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p>
    <w:p>
      <w:pPr>
        <w:pStyle w:val="BodyText"/>
        <w:spacing w:before="1"/>
        <w:rPr>
          <w:sz w:val="22"/>
        </w:rPr>
      </w:pPr>
    </w:p>
    <w:p>
      <w:pPr>
        <w:spacing w:line="403" w:lineRule="auto" w:before="60"/>
        <w:ind w:left="4233" w:right="0" w:hanging="2166"/>
        <w:jc w:val="left"/>
        <w:rPr>
          <w:sz w:val="32"/>
        </w:rPr>
      </w:pPr>
      <w:r>
        <w:rPr/>
        <w:drawing>
          <wp:anchor distT="0" distB="0" distL="0" distR="0" allowOverlap="1" layoutInCell="1" locked="0" behindDoc="0" simplePos="0" relativeHeight="1048">
            <wp:simplePos x="0" y="0"/>
            <wp:positionH relativeFrom="page">
              <wp:posOffset>637031</wp:posOffset>
            </wp:positionH>
            <wp:positionV relativeFrom="paragraph">
              <wp:posOffset>-159543</wp:posOffset>
            </wp:positionV>
            <wp:extent cx="1152144" cy="987551"/>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152144" cy="987551"/>
                    </a:xfrm>
                    <a:prstGeom prst="rect">
                      <a:avLst/>
                    </a:prstGeom>
                  </pic:spPr>
                </pic:pic>
              </a:graphicData>
            </a:graphic>
          </wp:anchor>
        </w:drawing>
      </w:r>
      <w:r>
        <w:rPr>
          <w:sz w:val="32"/>
        </w:rPr>
        <w:t>UNIVERSIDAD AUTÓNOMA DEL ESTADO DE MÉXICO FACULTAD DE QUÍMICA</w:t>
      </w:r>
    </w:p>
    <w:p>
      <w:pPr>
        <w:pStyle w:val="BodyText"/>
        <w:rPr>
          <w:sz w:val="32"/>
        </w:rPr>
      </w:pPr>
    </w:p>
    <w:p>
      <w:pPr>
        <w:pStyle w:val="BodyText"/>
        <w:spacing w:before="4"/>
        <w:rPr>
          <w:sz w:val="29"/>
        </w:rPr>
      </w:pPr>
    </w:p>
    <w:p>
      <w:pPr>
        <w:spacing w:line="273" w:lineRule="auto" w:before="0"/>
        <w:ind w:left="2148" w:right="460" w:hanging="7"/>
        <w:jc w:val="center"/>
        <w:rPr>
          <w:sz w:val="28"/>
        </w:rPr>
      </w:pPr>
      <w:r>
        <w:rPr/>
        <w:pict>
          <v:line style="position:absolute;mso-position-horizontal-relative:page;mso-position-vertical-relative:paragraph;z-index:1072" from="105.599998pt,-11.959678pt" to="105.599998pt,380.840322pt" stroked="true" strokeweight="1.44pt" strokecolor="#000000">
            <w10:wrap type="none"/>
          </v:line>
        </w:pict>
      </w:r>
      <w:r>
        <w:rPr/>
        <w:pict>
          <v:line style="position:absolute;mso-position-horizontal-relative:page;mso-position-vertical-relative:paragraph;z-index:1096" from="88.559998pt,-12.199677pt" to="88.559998pt,380.600323pt" stroked="true" strokeweight="1.44pt" strokecolor="#000000">
            <w10:wrap type="none"/>
          </v:line>
        </w:pict>
      </w:r>
      <w:r>
        <w:rPr>
          <w:sz w:val="28"/>
        </w:rPr>
        <w:t>“LA COBERTURA Y USO </w:t>
      </w:r>
      <w:r>
        <w:rPr>
          <w:spacing w:val="2"/>
          <w:sz w:val="28"/>
        </w:rPr>
        <w:t>DEL </w:t>
      </w:r>
      <w:r>
        <w:rPr>
          <w:sz w:val="28"/>
        </w:rPr>
        <w:t>SUELO EN LA PRODUCCIÓN DE SEDIMENTOS Y ESCURRIMIENTOS SUPERFICIALES</w:t>
      </w:r>
      <w:r>
        <w:rPr>
          <w:spacing w:val="-30"/>
          <w:sz w:val="28"/>
        </w:rPr>
        <w:t> </w:t>
      </w:r>
      <w:r>
        <w:rPr>
          <w:sz w:val="28"/>
        </w:rPr>
        <w:t>EN LA CUENCA EL TEJOCOTE, MÉXICO, MEDIANTE EL MODELO HIDROLÓGICO</w:t>
      </w:r>
      <w:r>
        <w:rPr>
          <w:spacing w:val="-11"/>
          <w:sz w:val="28"/>
        </w:rPr>
        <w:t> </w:t>
      </w:r>
      <w:r>
        <w:rPr>
          <w:sz w:val="28"/>
        </w:rPr>
        <w:t>SWAT”</w:t>
      </w:r>
    </w:p>
    <w:p>
      <w:pPr>
        <w:pStyle w:val="BodyText"/>
        <w:rPr>
          <w:sz w:val="28"/>
        </w:rPr>
      </w:pPr>
    </w:p>
    <w:p>
      <w:pPr>
        <w:pStyle w:val="BodyText"/>
        <w:rPr>
          <w:sz w:val="40"/>
        </w:rPr>
      </w:pPr>
    </w:p>
    <w:p>
      <w:pPr>
        <w:spacing w:before="0"/>
        <w:ind w:left="3228" w:right="1538" w:firstLine="0"/>
        <w:jc w:val="center"/>
        <w:rPr>
          <w:sz w:val="28"/>
        </w:rPr>
      </w:pPr>
      <w:r>
        <w:rPr>
          <w:sz w:val="28"/>
        </w:rPr>
        <w:t>T E S I S</w:t>
      </w:r>
    </w:p>
    <w:p>
      <w:pPr>
        <w:spacing w:line="276" w:lineRule="auto" w:before="47"/>
        <w:ind w:left="3349" w:right="1667" w:firstLine="6"/>
        <w:jc w:val="center"/>
        <w:rPr>
          <w:sz w:val="28"/>
        </w:rPr>
      </w:pPr>
      <w:r>
        <w:rPr>
          <w:sz w:val="28"/>
        </w:rPr>
        <w:t>QUE PARA OBTENER EL GRADO </w:t>
      </w:r>
      <w:r>
        <w:rPr>
          <w:spacing w:val="2"/>
          <w:sz w:val="28"/>
        </w:rPr>
        <w:t>DE </w:t>
      </w:r>
      <w:r>
        <w:rPr>
          <w:sz w:val="28"/>
        </w:rPr>
        <w:t>MAESTRA EN CIENCIAS</w:t>
      </w:r>
      <w:r>
        <w:rPr>
          <w:spacing w:val="-19"/>
          <w:sz w:val="28"/>
        </w:rPr>
        <w:t> </w:t>
      </w:r>
      <w:r>
        <w:rPr>
          <w:sz w:val="28"/>
        </w:rPr>
        <w:t>AMBIENTALES</w:t>
      </w:r>
    </w:p>
    <w:p>
      <w:pPr>
        <w:pStyle w:val="BodyText"/>
        <w:rPr>
          <w:sz w:val="28"/>
        </w:rPr>
      </w:pPr>
    </w:p>
    <w:p>
      <w:pPr>
        <w:pStyle w:val="BodyText"/>
        <w:spacing w:before="9"/>
        <w:rPr>
          <w:sz w:val="36"/>
        </w:rPr>
      </w:pPr>
    </w:p>
    <w:p>
      <w:pPr>
        <w:spacing w:before="0"/>
        <w:ind w:left="3228" w:right="1535" w:firstLine="0"/>
        <w:jc w:val="center"/>
        <w:rPr>
          <w:sz w:val="28"/>
        </w:rPr>
      </w:pPr>
      <w:r>
        <w:rPr>
          <w:sz w:val="28"/>
        </w:rPr>
        <w:t>SUSTENTA:</w:t>
      </w:r>
    </w:p>
    <w:p>
      <w:pPr>
        <w:spacing w:before="47"/>
        <w:ind w:left="3228" w:right="1542" w:firstLine="0"/>
        <w:jc w:val="center"/>
        <w:rPr>
          <w:sz w:val="28"/>
        </w:rPr>
      </w:pPr>
      <w:r>
        <w:rPr>
          <w:sz w:val="28"/>
        </w:rPr>
        <w:t>KARLA GABRIELA MOCIÑO VELÁZQUEZ</w:t>
      </w:r>
    </w:p>
    <w:p>
      <w:pPr>
        <w:pStyle w:val="BodyText"/>
        <w:spacing w:before="3"/>
        <w:rPr>
          <w:sz w:val="36"/>
        </w:rPr>
      </w:pPr>
    </w:p>
    <w:p>
      <w:pPr>
        <w:spacing w:before="0"/>
        <w:ind w:left="3228" w:right="1535" w:firstLine="0"/>
        <w:jc w:val="center"/>
        <w:rPr>
          <w:sz w:val="28"/>
        </w:rPr>
      </w:pPr>
      <w:r>
        <w:rPr>
          <w:sz w:val="28"/>
        </w:rPr>
        <w:t>DIRIGIDA POR:</w:t>
      </w:r>
    </w:p>
    <w:p>
      <w:pPr>
        <w:spacing w:line="271" w:lineRule="auto" w:before="47"/>
        <w:ind w:left="3282" w:right="1481" w:firstLine="331"/>
        <w:jc w:val="left"/>
        <w:rPr>
          <w:sz w:val="28"/>
        </w:rPr>
      </w:pPr>
      <w:r>
        <w:rPr>
          <w:sz w:val="28"/>
        </w:rPr>
        <w:t>DR. SALVADOR ADAME MARTÍNEZ DR. DEMETRIO S. FERNÁNDEZ REYNOSO</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2"/>
        </w:rPr>
      </w:pPr>
    </w:p>
    <w:p>
      <w:pPr>
        <w:spacing w:before="0"/>
        <w:ind w:left="5611" w:right="0" w:firstLine="0"/>
        <w:jc w:val="left"/>
        <w:rPr>
          <w:sz w:val="24"/>
        </w:rPr>
      </w:pPr>
      <w:r>
        <w:rPr/>
        <w:drawing>
          <wp:anchor distT="0" distB="0" distL="0" distR="0" allowOverlap="1" layoutInCell="1" locked="0" behindDoc="0" simplePos="0" relativeHeight="0">
            <wp:simplePos x="0" y="0"/>
            <wp:positionH relativeFrom="page">
              <wp:posOffset>711200</wp:posOffset>
            </wp:positionH>
            <wp:positionV relativeFrom="paragraph">
              <wp:posOffset>-589657</wp:posOffset>
            </wp:positionV>
            <wp:extent cx="1118870" cy="1003935"/>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1118870" cy="1003935"/>
                    </a:xfrm>
                    <a:prstGeom prst="rect">
                      <a:avLst/>
                    </a:prstGeom>
                  </pic:spPr>
                </pic:pic>
              </a:graphicData>
            </a:graphic>
          </wp:anchor>
        </w:drawing>
      </w:r>
      <w:r>
        <w:rPr>
          <w:sz w:val="28"/>
        </w:rPr>
        <w:t>TOLUCA, MÉXICO, ENERO 2015</w:t>
      </w:r>
      <w:r>
        <w:rPr>
          <w:sz w:val="24"/>
        </w:rPr>
        <w:t>.</w:t>
      </w:r>
    </w:p>
    <w:p>
      <w:pPr>
        <w:spacing w:after="0"/>
        <w:jc w:val="left"/>
        <w:rPr>
          <w:sz w:val="24"/>
        </w:rPr>
        <w:sectPr>
          <w:type w:val="continuous"/>
          <w:pgSz w:w="12240" w:h="15840"/>
          <w:pgMar w:top="1500" w:bottom="280" w:left="900" w:right="1140"/>
        </w:sectPr>
      </w:pPr>
    </w:p>
    <w:p>
      <w:pPr>
        <w:pStyle w:val="Heading1"/>
        <w:spacing w:before="53"/>
        <w:ind w:left="255" w:right="259"/>
        <w:jc w:val="center"/>
      </w:pPr>
      <w:r>
        <w:rPr/>
        <w:t>AGRADECIMIENTOS</w:t>
      </w:r>
    </w:p>
    <w:p>
      <w:pPr>
        <w:pStyle w:val="BodyText"/>
        <w:rPr>
          <w:b/>
        </w:rPr>
      </w:pPr>
    </w:p>
    <w:p>
      <w:pPr>
        <w:pStyle w:val="BodyText"/>
        <w:rPr>
          <w:b/>
        </w:rPr>
      </w:pPr>
    </w:p>
    <w:p>
      <w:pPr>
        <w:pStyle w:val="BodyText"/>
        <w:rPr>
          <w:b/>
        </w:rPr>
      </w:pPr>
    </w:p>
    <w:p>
      <w:pPr>
        <w:pStyle w:val="BodyText"/>
        <w:spacing w:before="10"/>
        <w:rPr>
          <w:b/>
          <w:sz w:val="25"/>
        </w:rPr>
      </w:pPr>
    </w:p>
    <w:p>
      <w:pPr>
        <w:pStyle w:val="BodyText"/>
        <w:spacing w:line="357" w:lineRule="auto"/>
        <w:ind w:left="116" w:right="116"/>
        <w:jc w:val="both"/>
      </w:pPr>
      <w:r>
        <w:rPr/>
        <w:t>Para el Consejo Nacional de Ciencia y Tecnología (CONACYT) por el apoyo brindado para la realización de los estudios de Maestría bajo el número de becario 273680.</w:t>
      </w:r>
    </w:p>
    <w:p>
      <w:pPr>
        <w:pStyle w:val="BodyText"/>
      </w:pPr>
    </w:p>
    <w:p>
      <w:pPr>
        <w:pStyle w:val="BodyText"/>
      </w:pPr>
    </w:p>
    <w:p>
      <w:pPr>
        <w:pStyle w:val="BodyText"/>
        <w:rPr>
          <w:sz w:val="27"/>
        </w:rPr>
      </w:pPr>
    </w:p>
    <w:p>
      <w:pPr>
        <w:pStyle w:val="BodyText"/>
        <w:spacing w:line="357" w:lineRule="auto"/>
        <w:ind w:left="116" w:right="116"/>
        <w:jc w:val="both"/>
      </w:pPr>
      <w:r>
        <w:rPr/>
        <w:t>Para el Dr. Demetrio Fernández y el Ing. Carlos Palacios, el más grande y especial agradecimiento por brindarme su tiempo, paciencia e invaluable apoyo para la realización del presente trabajo de investigación, sin ellos no hubiera sido posible.</w:t>
      </w:r>
    </w:p>
    <w:p>
      <w:pPr>
        <w:pStyle w:val="BodyText"/>
      </w:pPr>
    </w:p>
    <w:p>
      <w:pPr>
        <w:pStyle w:val="BodyText"/>
      </w:pPr>
    </w:p>
    <w:p>
      <w:pPr>
        <w:pStyle w:val="BodyText"/>
        <w:rPr>
          <w:sz w:val="27"/>
        </w:rPr>
      </w:pPr>
    </w:p>
    <w:p>
      <w:pPr>
        <w:pStyle w:val="BodyText"/>
        <w:spacing w:line="357" w:lineRule="auto"/>
        <w:ind w:left="116" w:right="116"/>
        <w:jc w:val="both"/>
      </w:pPr>
      <w:r>
        <w:rPr/>
        <w:t>Igualmente, agradezco a mi familia por su cariño y compañía, y a ti Mauricio por tu gran amor; ustedes me motivan a continuar preparándome profesional y personalmente.</w:t>
      </w:r>
    </w:p>
    <w:p>
      <w:pPr>
        <w:spacing w:after="0" w:line="357" w:lineRule="auto"/>
        <w:jc w:val="both"/>
        <w:sectPr>
          <w:footerReference w:type="default" r:id="rId7"/>
          <w:pgSz w:w="12240" w:h="15840"/>
          <w:pgMar w:footer="1473" w:header="0" w:top="1360" w:bottom="1660" w:left="1300" w:right="1300"/>
          <w:pgNumType w:start="2"/>
        </w:sectPr>
      </w:pPr>
    </w:p>
    <w:p>
      <w:pPr>
        <w:pStyle w:val="Heading1"/>
        <w:spacing w:before="53"/>
        <w:ind w:left="3441" w:right="3422"/>
        <w:jc w:val="center"/>
      </w:pPr>
      <w:r>
        <w:rPr/>
        <w:t>CONTENIDO</w:t>
      </w:r>
    </w:p>
    <w:p>
      <w:pPr>
        <w:spacing w:after="0"/>
        <w:jc w:val="center"/>
        <w:sectPr>
          <w:pgSz w:w="12240" w:h="15840"/>
          <w:pgMar w:header="0" w:footer="1473" w:top="1360" w:bottom="1796" w:left="1300" w:right="1320"/>
        </w:sectPr>
      </w:pPr>
    </w:p>
    <w:sdt>
      <w:sdtPr>
        <w:docPartObj>
          <w:docPartGallery w:val="Table of Contents"/>
          <w:docPartUnique/>
        </w:docPartObj>
      </w:sdtPr>
      <w:sdtEndPr/>
      <w:sdtContent>
        <w:p>
          <w:pPr>
            <w:pStyle w:val="TOC1"/>
            <w:tabs>
              <w:tab w:pos="9513" w:val="right" w:leader="dot"/>
            </w:tabs>
            <w:spacing w:before="22"/>
          </w:pPr>
          <w:hyperlink w:history="true" w:anchor="_bookmark0">
            <w:r>
              <w:rPr/>
              <w:t>ÍNDICE DE</w:t>
            </w:r>
            <w:r>
              <w:rPr>
                <w:spacing w:val="1"/>
              </w:rPr>
              <w:t> </w:t>
            </w:r>
            <w:r>
              <w:rPr/>
              <w:t>CUADROS</w:t>
              <w:tab/>
              <w:t>vii</w:t>
            </w:r>
          </w:hyperlink>
        </w:p>
        <w:p>
          <w:pPr>
            <w:pStyle w:val="TOC1"/>
            <w:tabs>
              <w:tab w:pos="9513" w:val="right" w:leader="dot"/>
            </w:tabs>
            <w:spacing w:before="244"/>
          </w:pPr>
          <w:hyperlink w:history="true" w:anchor="_bookmark1">
            <w:r>
              <w:rPr/>
              <w:t>ÍNDICE DE</w:t>
            </w:r>
            <w:r>
              <w:rPr>
                <w:spacing w:val="1"/>
              </w:rPr>
              <w:t> </w:t>
            </w:r>
            <w:r>
              <w:rPr/>
              <w:t>FIGURAS</w:t>
              <w:tab/>
              <w:t>vii</w:t>
            </w:r>
          </w:hyperlink>
        </w:p>
        <w:p>
          <w:pPr>
            <w:pStyle w:val="TOC1"/>
            <w:tabs>
              <w:tab w:pos="9518" w:val="right" w:leader="dot"/>
            </w:tabs>
          </w:pPr>
          <w:hyperlink w:history="true" w:anchor="_bookmark2">
            <w:r>
              <w:rPr/>
              <w:t>ÍNDICE DE</w:t>
            </w:r>
            <w:r>
              <w:rPr>
                <w:spacing w:val="5"/>
              </w:rPr>
              <w:t> </w:t>
            </w:r>
            <w:r>
              <w:rPr/>
              <w:t>ANEXOS</w:t>
              <w:tab/>
              <w:t>ix</w:t>
            </w:r>
          </w:hyperlink>
        </w:p>
        <w:p>
          <w:pPr>
            <w:pStyle w:val="TOC1"/>
            <w:tabs>
              <w:tab w:pos="9518" w:val="right" w:leader="dot"/>
            </w:tabs>
            <w:spacing w:before="248"/>
          </w:pPr>
          <w:hyperlink w:history="true" w:anchor="_bookmark3">
            <w:r>
              <w:rPr/>
              <w:t>RESUMEN</w:t>
              <w:tab/>
              <w:t>xi</w:t>
            </w:r>
          </w:hyperlink>
        </w:p>
        <w:p>
          <w:pPr>
            <w:pStyle w:val="TOC1"/>
            <w:tabs>
              <w:tab w:pos="9518" w:val="right" w:leader="dot"/>
            </w:tabs>
            <w:spacing w:before="244"/>
          </w:pPr>
          <w:hyperlink w:history="true" w:anchor="_bookmark4">
            <w:r>
              <w:rPr/>
              <w:t>SUMMARY</w:t>
              <w:tab/>
              <w:t>xii</w:t>
            </w:r>
          </w:hyperlink>
        </w:p>
        <w:p>
          <w:pPr>
            <w:pStyle w:val="TOC1"/>
            <w:tabs>
              <w:tab w:pos="9518" w:val="right" w:leader="dot"/>
            </w:tabs>
          </w:pPr>
          <w:hyperlink w:history="true" w:anchor="_bookmark5">
            <w:r>
              <w:rPr/>
              <w:t>INTRODUCCIÓN</w:t>
              <w:tab/>
              <w:t>1</w:t>
            </w:r>
          </w:hyperlink>
        </w:p>
        <w:p>
          <w:pPr>
            <w:pStyle w:val="TOC1"/>
            <w:tabs>
              <w:tab w:pos="9518" w:val="right" w:leader="dot"/>
            </w:tabs>
          </w:pPr>
          <w:hyperlink w:history="true" w:anchor="_bookmark6">
            <w:r>
              <w:rPr/>
              <w:t>JUSTIFICACIÓN</w:t>
              <w:tab/>
              <w:t>4</w:t>
            </w:r>
          </w:hyperlink>
        </w:p>
        <w:p>
          <w:pPr>
            <w:pStyle w:val="TOC1"/>
            <w:tabs>
              <w:tab w:pos="9518" w:val="right" w:leader="dot"/>
            </w:tabs>
            <w:spacing w:before="248"/>
          </w:pPr>
          <w:hyperlink w:history="true" w:anchor="_bookmark7">
            <w:r>
              <w:rPr/>
              <w:t>OBJETIVO GENERAL, PARTICULARES E HIPÓTESIS</w:t>
              <w:tab/>
              <w:t>6</w:t>
            </w:r>
          </w:hyperlink>
        </w:p>
        <w:p>
          <w:pPr>
            <w:pStyle w:val="TOC1"/>
            <w:numPr>
              <w:ilvl w:val="0"/>
              <w:numId w:val="1"/>
            </w:numPr>
            <w:tabs>
              <w:tab w:pos="380" w:val="left" w:leader="none"/>
              <w:tab w:pos="9518" w:val="right" w:leader="dot"/>
            </w:tabs>
            <w:spacing w:line="278" w:lineRule="auto" w:before="244" w:after="0"/>
            <w:ind w:left="116" w:right="99" w:firstLine="0"/>
            <w:jc w:val="left"/>
          </w:pPr>
          <w:hyperlink w:history="true" w:anchor="_bookmark8">
            <w:r>
              <w:rPr/>
              <w:t>MARCO CONCEPTUAL SOBRE LA CUENCA HIDROGRÁFICA Y MODELOS</w:t>
            </w:r>
          </w:hyperlink>
          <w:r>
            <w:rPr/>
            <w:t> </w:t>
          </w:r>
          <w:hyperlink w:history="true" w:anchor="_bookmark8">
            <w:r>
              <w:rPr/>
              <w:t>HIDROLÓGICOS</w:t>
            </w:r>
            <w:r>
              <w:rPr>
                <w:spacing w:val="-5"/>
              </w:rPr>
              <w:t> </w:t>
            </w:r>
            <w:r>
              <w:rPr/>
              <w:t>DE</w:t>
            </w:r>
            <w:r>
              <w:rPr>
                <w:spacing w:val="5"/>
              </w:rPr>
              <w:t> </w:t>
            </w:r>
            <w:r>
              <w:rPr/>
              <w:t>SILUMACIÓN</w:t>
              <w:tab/>
              <w:t>8</w:t>
            </w:r>
          </w:hyperlink>
        </w:p>
        <w:p>
          <w:pPr>
            <w:pStyle w:val="TOC2"/>
            <w:numPr>
              <w:ilvl w:val="1"/>
              <w:numId w:val="1"/>
            </w:numPr>
            <w:tabs>
              <w:tab w:pos="731" w:val="left" w:leader="none"/>
              <w:tab w:pos="9518" w:val="right" w:leader="dot"/>
            </w:tabs>
            <w:spacing w:line="240" w:lineRule="auto" w:before="197" w:after="0"/>
            <w:ind w:left="730" w:right="0" w:hanging="393"/>
            <w:jc w:val="left"/>
          </w:pPr>
          <w:hyperlink w:history="true" w:anchor="_bookmark9">
            <w:r>
              <w:rPr>
                <w:spacing w:val="-3"/>
              </w:rPr>
              <w:t>La</w:t>
            </w:r>
            <w:r>
              <w:rPr>
                <w:spacing w:val="1"/>
              </w:rPr>
              <w:t> </w:t>
            </w:r>
            <w:r>
              <w:rPr/>
              <w:t>cuenca</w:t>
            </w:r>
            <w:r>
              <w:rPr>
                <w:spacing w:val="1"/>
              </w:rPr>
              <w:t> </w:t>
            </w:r>
            <w:r>
              <w:rPr/>
              <w:t>hidrográfica</w:t>
              <w:tab/>
              <w:t>8</w:t>
            </w:r>
          </w:hyperlink>
        </w:p>
        <w:p>
          <w:pPr>
            <w:pStyle w:val="TOC3"/>
            <w:numPr>
              <w:ilvl w:val="2"/>
              <w:numId w:val="1"/>
            </w:numPr>
            <w:tabs>
              <w:tab w:pos="1148" w:val="left" w:leader="none"/>
              <w:tab w:pos="9518" w:val="right" w:leader="dot"/>
            </w:tabs>
            <w:spacing w:line="240" w:lineRule="auto" w:before="244" w:after="0"/>
            <w:ind w:left="1147" w:right="0" w:hanging="589"/>
            <w:jc w:val="left"/>
          </w:pPr>
          <w:hyperlink w:history="true" w:anchor="_bookmark10">
            <w:r>
              <w:rPr/>
              <w:t>Definición de</w:t>
            </w:r>
            <w:r>
              <w:rPr>
                <w:spacing w:val="3"/>
              </w:rPr>
              <w:t> </w:t>
            </w:r>
            <w:r>
              <w:rPr/>
              <w:t>cuenca</w:t>
            </w:r>
            <w:r>
              <w:rPr>
                <w:spacing w:val="1"/>
              </w:rPr>
              <w:t> </w:t>
            </w:r>
            <w:r>
              <w:rPr/>
              <w:t>hidrográfica</w:t>
              <w:tab/>
              <w:t>9</w:t>
            </w:r>
          </w:hyperlink>
        </w:p>
        <w:p>
          <w:pPr>
            <w:pStyle w:val="TOC3"/>
            <w:numPr>
              <w:ilvl w:val="2"/>
              <w:numId w:val="1"/>
            </w:numPr>
            <w:tabs>
              <w:tab w:pos="1148" w:val="left" w:leader="none"/>
              <w:tab w:pos="9518" w:val="right" w:leader="dot"/>
            </w:tabs>
            <w:spacing w:line="240" w:lineRule="auto" w:before="248" w:after="0"/>
            <w:ind w:left="1147" w:right="0" w:hanging="589"/>
            <w:jc w:val="left"/>
          </w:pPr>
          <w:hyperlink w:history="true" w:anchor="_bookmark11">
            <w:r>
              <w:rPr/>
              <w:t>Tipos de</w:t>
            </w:r>
            <w:r>
              <w:rPr>
                <w:spacing w:val="-3"/>
              </w:rPr>
              <w:t> </w:t>
            </w:r>
            <w:r>
              <w:rPr/>
              <w:t>cuencas</w:t>
            </w:r>
            <w:r>
              <w:rPr>
                <w:spacing w:val="1"/>
              </w:rPr>
              <w:t> </w:t>
            </w:r>
            <w:r>
              <w:rPr/>
              <w:t>hidrográficas</w:t>
              <w:tab/>
              <w:t>10</w:t>
            </w:r>
          </w:hyperlink>
        </w:p>
        <w:p>
          <w:pPr>
            <w:pStyle w:val="TOC3"/>
            <w:numPr>
              <w:ilvl w:val="2"/>
              <w:numId w:val="1"/>
            </w:numPr>
            <w:tabs>
              <w:tab w:pos="1148" w:val="left" w:leader="none"/>
              <w:tab w:pos="9518" w:val="right" w:leader="dot"/>
            </w:tabs>
            <w:spacing w:line="240" w:lineRule="auto" w:before="243" w:after="0"/>
            <w:ind w:left="1147" w:right="0" w:hanging="589"/>
            <w:jc w:val="left"/>
          </w:pPr>
          <w:hyperlink w:history="true" w:anchor="_bookmark12">
            <w:r>
              <w:rPr/>
              <w:t>Manejo de</w:t>
            </w:r>
            <w:r>
              <w:rPr>
                <w:spacing w:val="-2"/>
              </w:rPr>
              <w:t> </w:t>
            </w:r>
            <w:r>
              <w:rPr/>
              <w:t>cuencas</w:t>
            </w:r>
            <w:r>
              <w:rPr>
                <w:spacing w:val="1"/>
              </w:rPr>
              <w:t> </w:t>
            </w:r>
            <w:r>
              <w:rPr/>
              <w:t>hidrográficas</w:t>
              <w:tab/>
              <w:t>11</w:t>
            </w:r>
          </w:hyperlink>
        </w:p>
        <w:p>
          <w:pPr>
            <w:pStyle w:val="TOC3"/>
            <w:numPr>
              <w:ilvl w:val="2"/>
              <w:numId w:val="1"/>
            </w:numPr>
            <w:tabs>
              <w:tab w:pos="1148" w:val="left" w:leader="none"/>
              <w:tab w:pos="9518" w:val="right" w:leader="dot"/>
            </w:tabs>
            <w:spacing w:line="240" w:lineRule="auto" w:before="244" w:after="0"/>
            <w:ind w:left="1147" w:right="0" w:hanging="589"/>
            <w:jc w:val="left"/>
          </w:pPr>
          <w:hyperlink w:history="true" w:anchor="_bookmark13">
            <w:r>
              <w:rPr/>
              <w:t>Manejo de cuencas en</w:t>
            </w:r>
            <w:r>
              <w:rPr>
                <w:spacing w:val="1"/>
              </w:rPr>
              <w:t> </w:t>
            </w:r>
            <w:r>
              <w:rPr/>
              <w:t>México</w:t>
              <w:tab/>
              <w:t>12</w:t>
            </w:r>
          </w:hyperlink>
        </w:p>
        <w:p>
          <w:pPr>
            <w:pStyle w:val="TOC2"/>
            <w:numPr>
              <w:ilvl w:val="1"/>
              <w:numId w:val="1"/>
            </w:numPr>
            <w:tabs>
              <w:tab w:pos="731" w:val="left" w:leader="none"/>
              <w:tab w:pos="9518" w:val="right" w:leader="dot"/>
            </w:tabs>
            <w:spacing w:line="240" w:lineRule="auto" w:before="243" w:after="0"/>
            <w:ind w:left="730" w:right="0" w:hanging="393"/>
            <w:jc w:val="left"/>
          </w:pPr>
          <w:hyperlink w:history="true" w:anchor="_bookmark14">
            <w:r>
              <w:rPr/>
              <w:t>Hidrología superficial</w:t>
              <w:tab/>
              <w:t>15</w:t>
            </w:r>
          </w:hyperlink>
        </w:p>
        <w:p>
          <w:pPr>
            <w:pStyle w:val="TOC3"/>
            <w:numPr>
              <w:ilvl w:val="2"/>
              <w:numId w:val="1"/>
            </w:numPr>
            <w:tabs>
              <w:tab w:pos="1148" w:val="left" w:leader="none"/>
              <w:tab w:pos="9518" w:val="right" w:leader="dot"/>
            </w:tabs>
            <w:spacing w:line="240" w:lineRule="auto" w:before="248" w:after="0"/>
            <w:ind w:left="1147" w:right="0" w:hanging="589"/>
            <w:jc w:val="left"/>
          </w:pPr>
          <w:hyperlink w:history="true" w:anchor="_bookmark15">
            <w:r>
              <w:rPr/>
              <w:t>Precipitación</w:t>
              <w:tab/>
              <w:t>15</w:t>
            </w:r>
          </w:hyperlink>
        </w:p>
        <w:p>
          <w:pPr>
            <w:pStyle w:val="TOC3"/>
            <w:numPr>
              <w:ilvl w:val="2"/>
              <w:numId w:val="1"/>
            </w:numPr>
            <w:tabs>
              <w:tab w:pos="1148" w:val="left" w:leader="none"/>
              <w:tab w:pos="9518" w:val="right" w:leader="dot"/>
            </w:tabs>
            <w:spacing w:line="240" w:lineRule="auto" w:before="244" w:after="0"/>
            <w:ind w:left="1147" w:right="0" w:hanging="589"/>
            <w:jc w:val="left"/>
          </w:pPr>
          <w:hyperlink w:history="true" w:anchor="_bookmark16">
            <w:r>
              <w:rPr/>
              <w:t>Escurrimientos</w:t>
              <w:tab/>
              <w:t>16</w:t>
            </w:r>
          </w:hyperlink>
        </w:p>
        <w:p>
          <w:pPr>
            <w:pStyle w:val="TOC3"/>
            <w:numPr>
              <w:ilvl w:val="2"/>
              <w:numId w:val="1"/>
            </w:numPr>
            <w:tabs>
              <w:tab w:pos="1148" w:val="left" w:leader="none"/>
              <w:tab w:pos="9518" w:val="right" w:leader="dot"/>
            </w:tabs>
            <w:spacing w:line="240" w:lineRule="auto" w:before="243" w:after="0"/>
            <w:ind w:left="1147" w:right="0" w:hanging="589"/>
            <w:jc w:val="left"/>
          </w:pPr>
          <w:hyperlink w:history="true" w:anchor="_bookmark18">
            <w:r>
              <w:rPr/>
              <w:t>Evaporación y evapotranspiración</w:t>
              <w:tab/>
              <w:t>19</w:t>
            </w:r>
          </w:hyperlink>
        </w:p>
        <w:p>
          <w:pPr>
            <w:pStyle w:val="TOC3"/>
            <w:numPr>
              <w:ilvl w:val="2"/>
              <w:numId w:val="1"/>
            </w:numPr>
            <w:tabs>
              <w:tab w:pos="1148" w:val="left" w:leader="none"/>
              <w:tab w:pos="9518" w:val="right" w:leader="dot"/>
            </w:tabs>
            <w:spacing w:line="240" w:lineRule="auto" w:before="248" w:after="0"/>
            <w:ind w:left="1147" w:right="0" w:hanging="589"/>
            <w:jc w:val="left"/>
          </w:pPr>
          <w:hyperlink w:history="true" w:anchor="_bookmark19">
            <w:r>
              <w:rPr/>
              <w:t>Infiltración</w:t>
              <w:tab/>
              <w:t>20</w:t>
            </w:r>
          </w:hyperlink>
        </w:p>
        <w:p>
          <w:pPr>
            <w:pStyle w:val="TOC2"/>
            <w:numPr>
              <w:ilvl w:val="1"/>
              <w:numId w:val="1"/>
            </w:numPr>
            <w:tabs>
              <w:tab w:pos="731" w:val="left" w:leader="none"/>
              <w:tab w:pos="9518" w:val="right" w:leader="dot"/>
            </w:tabs>
            <w:spacing w:line="240" w:lineRule="auto" w:before="244" w:after="0"/>
            <w:ind w:left="730" w:right="0" w:hanging="393"/>
            <w:jc w:val="left"/>
          </w:pPr>
          <w:hyperlink w:history="true" w:anchor="_bookmark20">
            <w:r>
              <w:rPr/>
              <w:t>Modelos hidrológicos</w:t>
              <w:tab/>
              <w:t>21</w:t>
            </w:r>
          </w:hyperlink>
        </w:p>
        <w:p>
          <w:pPr>
            <w:pStyle w:val="TOC3"/>
            <w:numPr>
              <w:ilvl w:val="2"/>
              <w:numId w:val="1"/>
            </w:numPr>
            <w:tabs>
              <w:tab w:pos="1148" w:val="left" w:leader="none"/>
              <w:tab w:pos="9518" w:val="right" w:leader="dot"/>
            </w:tabs>
            <w:spacing w:line="240" w:lineRule="auto" w:before="243" w:after="0"/>
            <w:ind w:left="1147" w:right="0" w:hanging="589"/>
            <w:jc w:val="left"/>
          </w:pPr>
          <w:hyperlink w:history="true" w:anchor="_bookmark21">
            <w:r>
              <w:rPr/>
              <w:t>Definición</w:t>
            </w:r>
            <w:r>
              <w:rPr>
                <w:spacing w:val="1"/>
              </w:rPr>
              <w:t> </w:t>
            </w:r>
            <w:r>
              <w:rPr/>
              <w:t>de</w:t>
            </w:r>
            <w:r>
              <w:rPr>
                <w:spacing w:val="1"/>
              </w:rPr>
              <w:t> </w:t>
            </w:r>
            <w:r>
              <w:rPr/>
              <w:t>modelo</w:t>
              <w:tab/>
              <w:t>21</w:t>
            </w:r>
          </w:hyperlink>
        </w:p>
        <w:p>
          <w:pPr>
            <w:pStyle w:val="TOC3"/>
            <w:numPr>
              <w:ilvl w:val="2"/>
              <w:numId w:val="1"/>
            </w:numPr>
            <w:tabs>
              <w:tab w:pos="1148" w:val="left" w:leader="none"/>
              <w:tab w:pos="9518" w:val="right" w:leader="dot"/>
            </w:tabs>
            <w:spacing w:line="240" w:lineRule="auto" w:before="243" w:after="0"/>
            <w:ind w:left="1147" w:right="0" w:hanging="589"/>
            <w:jc w:val="left"/>
          </w:pPr>
          <w:hyperlink w:history="true" w:anchor="_bookmark22">
            <w:r>
              <w:rPr/>
              <w:t>Utilidad de</w:t>
            </w:r>
            <w:r>
              <w:rPr>
                <w:spacing w:val="3"/>
              </w:rPr>
              <w:t> </w:t>
            </w:r>
            <w:r>
              <w:rPr/>
              <w:t>los</w:t>
            </w:r>
            <w:r>
              <w:rPr>
                <w:spacing w:val="-5"/>
              </w:rPr>
              <w:t> </w:t>
            </w:r>
            <w:r>
              <w:rPr/>
              <w:t>modelos</w:t>
              <w:tab/>
              <w:t>22</w:t>
            </w:r>
          </w:hyperlink>
        </w:p>
        <w:p>
          <w:pPr>
            <w:pStyle w:val="TOC3"/>
            <w:numPr>
              <w:ilvl w:val="2"/>
              <w:numId w:val="1"/>
            </w:numPr>
            <w:tabs>
              <w:tab w:pos="1148" w:val="left" w:leader="none"/>
              <w:tab w:pos="9518" w:val="right" w:leader="dot"/>
            </w:tabs>
            <w:spacing w:line="240" w:lineRule="auto" w:before="49" w:after="0"/>
            <w:ind w:left="1147" w:right="0" w:hanging="589"/>
            <w:jc w:val="left"/>
          </w:pPr>
          <w:hyperlink w:history="true" w:anchor="_bookmark23">
            <w:r>
              <w:rPr/>
              <w:t>Modelos para el manejo</w:t>
            </w:r>
            <w:r>
              <w:rPr>
                <w:spacing w:val="1"/>
              </w:rPr>
              <w:t> </w:t>
            </w:r>
            <w:r>
              <w:rPr/>
              <w:t>de</w:t>
            </w:r>
            <w:r>
              <w:rPr>
                <w:spacing w:val="1"/>
              </w:rPr>
              <w:t> </w:t>
            </w:r>
            <w:r>
              <w:rPr/>
              <w:t>cuencas</w:t>
              <w:tab/>
              <w:t>23</w:t>
            </w:r>
          </w:hyperlink>
        </w:p>
        <w:p>
          <w:pPr>
            <w:pStyle w:val="TOC3"/>
            <w:numPr>
              <w:ilvl w:val="2"/>
              <w:numId w:val="1"/>
            </w:numPr>
            <w:tabs>
              <w:tab w:pos="1210" w:val="left" w:leader="none"/>
              <w:tab w:pos="9518" w:val="right" w:leader="dot"/>
            </w:tabs>
            <w:spacing w:line="240" w:lineRule="auto" w:before="248" w:after="0"/>
            <w:ind w:left="1209" w:right="0" w:hanging="651"/>
            <w:jc w:val="left"/>
          </w:pPr>
          <w:hyperlink w:history="true" w:anchor="_bookmark33">
            <w:r>
              <w:rPr/>
              <w:t>Modelo SWAT</w:t>
              <w:tab/>
              <w:t>34</w:t>
            </w:r>
          </w:hyperlink>
        </w:p>
        <w:p>
          <w:pPr>
            <w:pStyle w:val="TOC1"/>
            <w:numPr>
              <w:ilvl w:val="0"/>
              <w:numId w:val="1"/>
            </w:numPr>
            <w:tabs>
              <w:tab w:pos="381" w:val="left" w:leader="none"/>
              <w:tab w:pos="9518" w:val="right" w:leader="dot"/>
            </w:tabs>
            <w:spacing w:line="240" w:lineRule="auto" w:before="244" w:after="0"/>
            <w:ind w:left="380" w:right="0" w:hanging="264"/>
            <w:jc w:val="left"/>
          </w:pPr>
          <w:hyperlink w:history="true" w:anchor="_bookmark40">
            <w:r>
              <w:rPr/>
              <w:t>ANTECEDENTES</w:t>
              <w:tab/>
              <w:t>54</w:t>
            </w:r>
          </w:hyperlink>
        </w:p>
        <w:p>
          <w:pPr>
            <w:pStyle w:val="TOC2"/>
            <w:numPr>
              <w:ilvl w:val="1"/>
              <w:numId w:val="1"/>
            </w:numPr>
            <w:tabs>
              <w:tab w:pos="731" w:val="left" w:leader="none"/>
              <w:tab w:pos="9518" w:val="right" w:leader="dot"/>
            </w:tabs>
            <w:spacing w:line="240" w:lineRule="auto" w:before="243" w:after="0"/>
            <w:ind w:left="730" w:right="0" w:hanging="393"/>
            <w:jc w:val="left"/>
          </w:pPr>
          <w:hyperlink w:history="true" w:anchor="_bookmark41">
            <w:r>
              <w:rPr/>
              <w:t>Estudios a</w:t>
            </w:r>
            <w:r>
              <w:rPr>
                <w:spacing w:val="2"/>
              </w:rPr>
              <w:t> </w:t>
            </w:r>
            <w:r>
              <w:rPr/>
              <w:t>nivel internacional</w:t>
              <w:tab/>
              <w:t>55</w:t>
            </w:r>
          </w:hyperlink>
        </w:p>
        <w:p>
          <w:pPr>
            <w:pStyle w:val="TOC2"/>
            <w:numPr>
              <w:ilvl w:val="1"/>
              <w:numId w:val="1"/>
            </w:numPr>
            <w:tabs>
              <w:tab w:pos="731" w:val="left" w:leader="none"/>
              <w:tab w:pos="9518" w:val="right" w:leader="dot"/>
            </w:tabs>
            <w:spacing w:line="240" w:lineRule="auto" w:before="248" w:after="0"/>
            <w:ind w:left="730" w:right="0" w:hanging="393"/>
            <w:jc w:val="left"/>
          </w:pPr>
          <w:hyperlink w:history="true" w:anchor="_bookmark42">
            <w:r>
              <w:rPr/>
              <w:t>Estudios a</w:t>
            </w:r>
            <w:r>
              <w:rPr>
                <w:spacing w:val="2"/>
              </w:rPr>
              <w:t> </w:t>
            </w:r>
            <w:r>
              <w:rPr/>
              <w:t>nivel nacional</w:t>
              <w:tab/>
              <w:t>59</w:t>
            </w:r>
          </w:hyperlink>
        </w:p>
        <w:p>
          <w:pPr>
            <w:pStyle w:val="TOC1"/>
            <w:numPr>
              <w:ilvl w:val="0"/>
              <w:numId w:val="1"/>
            </w:numPr>
            <w:tabs>
              <w:tab w:pos="380" w:val="left" w:leader="none"/>
              <w:tab w:pos="9518" w:val="right" w:leader="dot"/>
            </w:tabs>
            <w:spacing w:line="240" w:lineRule="auto" w:before="244" w:after="0"/>
            <w:ind w:left="379" w:right="0" w:hanging="263"/>
            <w:jc w:val="left"/>
          </w:pPr>
          <w:hyperlink w:history="true" w:anchor="_bookmark43">
            <w:r>
              <w:rPr/>
              <w:t>METODOLOGÍA</w:t>
              <w:tab/>
              <w:t>61</w:t>
            </w:r>
          </w:hyperlink>
        </w:p>
        <w:p>
          <w:pPr>
            <w:pStyle w:val="TOC2"/>
            <w:numPr>
              <w:ilvl w:val="1"/>
              <w:numId w:val="1"/>
            </w:numPr>
            <w:tabs>
              <w:tab w:pos="732" w:val="left" w:leader="none"/>
              <w:tab w:pos="9518" w:val="right" w:leader="dot"/>
            </w:tabs>
            <w:spacing w:line="240" w:lineRule="auto" w:before="243" w:after="0"/>
            <w:ind w:left="337" w:right="0" w:firstLine="0"/>
            <w:jc w:val="left"/>
          </w:pPr>
          <w:hyperlink w:history="true" w:anchor="_bookmark45">
            <w:r>
              <w:rPr/>
              <w:t>Caracterización geomorfológica de la</w:t>
            </w:r>
            <w:r>
              <w:rPr>
                <w:spacing w:val="5"/>
              </w:rPr>
              <w:t> </w:t>
            </w:r>
            <w:r>
              <w:rPr/>
              <w:t>cuenca</w:t>
            </w:r>
            <w:r>
              <w:rPr>
                <w:spacing w:val="1"/>
              </w:rPr>
              <w:t> </w:t>
            </w:r>
            <w:r>
              <w:rPr/>
              <w:t>hidrográfica</w:t>
              <w:tab/>
              <w:t>62</w:t>
            </w:r>
          </w:hyperlink>
        </w:p>
        <w:p>
          <w:pPr>
            <w:pStyle w:val="TOC2"/>
            <w:numPr>
              <w:ilvl w:val="1"/>
              <w:numId w:val="1"/>
            </w:numPr>
            <w:tabs>
              <w:tab w:pos="731" w:val="left" w:leader="none"/>
              <w:tab w:pos="9518" w:val="right" w:leader="dot"/>
            </w:tabs>
            <w:spacing w:line="278" w:lineRule="auto" w:before="243" w:after="0"/>
            <w:ind w:left="337" w:right="99" w:firstLine="0"/>
            <w:jc w:val="left"/>
          </w:pPr>
          <w:hyperlink w:history="true" w:anchor="_bookmark49">
            <w:r>
              <w:rPr/>
              <w:t>Bases de datos para alimentar el modelo SWAT (Archivos de entrada al Arc SWAT</w:t>
            </w:r>
          </w:hyperlink>
          <w:r>
            <w:rPr/>
            <w:t> </w:t>
          </w:r>
          <w:hyperlink w:history="true" w:anchor="_bookmark49">
            <w:r>
              <w:rPr/>
              <w:t>en texto</w:t>
            </w:r>
            <w:r>
              <w:rPr>
                <w:spacing w:val="2"/>
              </w:rPr>
              <w:t> </w:t>
            </w:r>
            <w:r>
              <w:rPr/>
              <w:t>y tablas)</w:t>
              <w:tab/>
              <w:t>70</w:t>
            </w:r>
          </w:hyperlink>
        </w:p>
        <w:p>
          <w:pPr>
            <w:pStyle w:val="TOC3"/>
            <w:numPr>
              <w:ilvl w:val="2"/>
              <w:numId w:val="1"/>
            </w:numPr>
            <w:tabs>
              <w:tab w:pos="1148" w:val="left" w:leader="none"/>
              <w:tab w:pos="9518" w:val="right" w:leader="dot"/>
            </w:tabs>
            <w:spacing w:line="240" w:lineRule="auto" w:before="198" w:after="0"/>
            <w:ind w:left="1147" w:right="0" w:hanging="589"/>
            <w:jc w:val="left"/>
          </w:pPr>
          <w:hyperlink w:history="true" w:anchor="_bookmark51">
            <w:r>
              <w:rPr/>
              <w:t>Datos generales de la cuenca</w:t>
            </w:r>
            <w:r>
              <w:rPr>
                <w:spacing w:val="6"/>
              </w:rPr>
              <w:t> </w:t>
            </w:r>
            <w:r>
              <w:rPr/>
              <w:t>(ARCHIVO BSN)</w:t>
              <w:tab/>
              <w:t>73</w:t>
            </w:r>
          </w:hyperlink>
        </w:p>
        <w:p>
          <w:pPr>
            <w:pStyle w:val="TOC3"/>
            <w:numPr>
              <w:ilvl w:val="2"/>
              <w:numId w:val="1"/>
            </w:numPr>
            <w:tabs>
              <w:tab w:pos="1148" w:val="left" w:leader="none"/>
              <w:tab w:pos="9518" w:val="right" w:leader="dot"/>
            </w:tabs>
            <w:spacing w:line="240" w:lineRule="auto" w:before="248" w:after="0"/>
            <w:ind w:left="1147" w:right="0" w:hanging="589"/>
            <w:jc w:val="left"/>
          </w:pPr>
          <w:hyperlink w:history="true" w:anchor="_bookmark52">
            <w:r>
              <w:rPr/>
              <w:t>Generadores climáticos</w:t>
            </w:r>
            <w:r>
              <w:rPr>
                <w:spacing w:val="3"/>
              </w:rPr>
              <w:t> </w:t>
            </w:r>
            <w:r>
              <w:rPr/>
              <w:t>(ARCHIVO</w:t>
            </w:r>
            <w:r>
              <w:rPr>
                <w:spacing w:val="1"/>
              </w:rPr>
              <w:t> </w:t>
            </w:r>
            <w:r>
              <w:rPr/>
              <w:t>WGN)</w:t>
              <w:tab/>
              <w:t>77</w:t>
            </w:r>
          </w:hyperlink>
        </w:p>
        <w:p>
          <w:pPr>
            <w:pStyle w:val="TOC3"/>
            <w:numPr>
              <w:ilvl w:val="2"/>
              <w:numId w:val="1"/>
            </w:numPr>
            <w:tabs>
              <w:tab w:pos="1148" w:val="left" w:leader="none"/>
              <w:tab w:pos="9518" w:val="right" w:leader="dot"/>
            </w:tabs>
            <w:spacing w:line="240" w:lineRule="auto" w:before="243" w:after="0"/>
            <w:ind w:left="1147" w:right="0" w:hanging="589"/>
            <w:jc w:val="left"/>
          </w:pPr>
          <w:hyperlink w:history="true" w:anchor="_bookmark56">
            <w:r>
              <w:rPr/>
              <w:t>Datos generales de las URH</w:t>
            </w:r>
            <w:r>
              <w:rPr>
                <w:spacing w:val="5"/>
              </w:rPr>
              <w:t> </w:t>
            </w:r>
            <w:r>
              <w:rPr/>
              <w:t>(ARCHIVO</w:t>
            </w:r>
            <w:r>
              <w:rPr>
                <w:spacing w:val="5"/>
              </w:rPr>
              <w:t> </w:t>
            </w:r>
            <w:r>
              <w:rPr/>
              <w:t>SUB)</w:t>
              <w:tab/>
              <w:t>83</w:t>
            </w:r>
          </w:hyperlink>
        </w:p>
        <w:p>
          <w:pPr>
            <w:pStyle w:val="TOC3"/>
            <w:numPr>
              <w:ilvl w:val="2"/>
              <w:numId w:val="1"/>
            </w:numPr>
            <w:tabs>
              <w:tab w:pos="1148" w:val="left" w:leader="none"/>
              <w:tab w:pos="9518" w:val="right" w:leader="dot"/>
            </w:tabs>
            <w:spacing w:line="240" w:lineRule="auto" w:before="244" w:after="0"/>
            <w:ind w:left="1147" w:right="0" w:hanging="589"/>
            <w:jc w:val="left"/>
          </w:pPr>
          <w:hyperlink w:history="true" w:anchor="_bookmark57">
            <w:r>
              <w:rPr/>
              <w:t>Datos de suelos</w:t>
            </w:r>
            <w:r>
              <w:rPr>
                <w:spacing w:val="-1"/>
              </w:rPr>
              <w:t> </w:t>
            </w:r>
            <w:r>
              <w:rPr/>
              <w:t>(ARCHIVO</w:t>
            </w:r>
            <w:r>
              <w:rPr>
                <w:spacing w:val="5"/>
              </w:rPr>
              <w:t> </w:t>
            </w:r>
            <w:r>
              <w:rPr/>
              <w:t>SOL)</w:t>
              <w:tab/>
              <w:t>85</w:t>
            </w:r>
          </w:hyperlink>
        </w:p>
        <w:p>
          <w:pPr>
            <w:pStyle w:val="TOC3"/>
            <w:numPr>
              <w:ilvl w:val="2"/>
              <w:numId w:val="1"/>
            </w:numPr>
            <w:tabs>
              <w:tab w:pos="1148" w:val="left" w:leader="none"/>
              <w:tab w:pos="9518" w:val="right" w:leader="dot"/>
            </w:tabs>
            <w:spacing w:line="240" w:lineRule="auto" w:before="248" w:after="0"/>
            <w:ind w:left="1147" w:right="0" w:hanging="589"/>
            <w:jc w:val="left"/>
          </w:pPr>
          <w:hyperlink w:history="true" w:anchor="_bookmark59">
            <w:r>
              <w:rPr/>
              <w:t>Datos generales del manejo de los cultivos</w:t>
            </w:r>
            <w:r>
              <w:rPr>
                <w:spacing w:val="3"/>
              </w:rPr>
              <w:t> </w:t>
            </w:r>
            <w:r>
              <w:rPr/>
              <w:t>(ARCHIVO MGT)</w:t>
              <w:tab/>
              <w:t>88</w:t>
            </w:r>
          </w:hyperlink>
        </w:p>
        <w:p>
          <w:pPr>
            <w:pStyle w:val="TOC3"/>
            <w:numPr>
              <w:ilvl w:val="2"/>
              <w:numId w:val="1"/>
            </w:numPr>
            <w:tabs>
              <w:tab w:pos="1148" w:val="left" w:leader="none"/>
              <w:tab w:pos="9518" w:val="right" w:leader="dot"/>
            </w:tabs>
            <w:spacing w:line="240" w:lineRule="auto" w:before="243" w:after="0"/>
            <w:ind w:left="1147" w:right="0" w:hanging="589"/>
            <w:jc w:val="left"/>
          </w:pPr>
          <w:hyperlink w:history="true" w:anchor="_bookmark60">
            <w:r>
              <w:rPr/>
              <w:t>Datos</w:t>
            </w:r>
            <w:r>
              <w:rPr>
                <w:spacing w:val="1"/>
              </w:rPr>
              <w:t> </w:t>
            </w:r>
            <w:r>
              <w:rPr/>
              <w:t>de</w:t>
            </w:r>
            <w:r>
              <w:rPr>
                <w:spacing w:val="-4"/>
              </w:rPr>
              <w:t> </w:t>
            </w:r>
            <w:r>
              <w:rPr/>
              <w:t>riego</w:t>
              <w:tab/>
              <w:t>89</w:t>
            </w:r>
          </w:hyperlink>
        </w:p>
        <w:p>
          <w:pPr>
            <w:pStyle w:val="TOC3"/>
            <w:numPr>
              <w:ilvl w:val="2"/>
              <w:numId w:val="1"/>
            </w:numPr>
            <w:tabs>
              <w:tab w:pos="1148" w:val="left" w:leader="none"/>
              <w:tab w:pos="9518" w:val="right" w:leader="dot"/>
            </w:tabs>
            <w:spacing w:line="240" w:lineRule="auto" w:before="244" w:after="0"/>
            <w:ind w:left="1147" w:right="0" w:hanging="589"/>
            <w:jc w:val="left"/>
          </w:pPr>
          <w:hyperlink w:history="true" w:anchor="_bookmark61">
            <w:r>
              <w:rPr/>
              <w:t>Datos</w:t>
            </w:r>
            <w:r>
              <w:rPr>
                <w:spacing w:val="1"/>
              </w:rPr>
              <w:t> </w:t>
            </w:r>
            <w:r>
              <w:rPr/>
              <w:t>de</w:t>
            </w:r>
            <w:r>
              <w:rPr>
                <w:spacing w:val="-4"/>
              </w:rPr>
              <w:t> </w:t>
            </w:r>
            <w:r>
              <w:rPr/>
              <w:t>plaguicidas</w:t>
              <w:tab/>
              <w:t>90</w:t>
            </w:r>
          </w:hyperlink>
        </w:p>
        <w:p>
          <w:pPr>
            <w:pStyle w:val="TOC3"/>
            <w:numPr>
              <w:ilvl w:val="2"/>
              <w:numId w:val="1"/>
            </w:numPr>
            <w:tabs>
              <w:tab w:pos="1149" w:val="left" w:leader="none"/>
              <w:tab w:pos="9518" w:val="right" w:leader="dot"/>
            </w:tabs>
            <w:spacing w:line="240" w:lineRule="auto" w:before="243" w:after="0"/>
            <w:ind w:left="1148" w:right="0" w:hanging="590"/>
            <w:jc w:val="left"/>
          </w:pPr>
          <w:hyperlink w:history="true" w:anchor="_bookmark62">
            <w:r>
              <w:rPr/>
              <w:t>Datos de</w:t>
            </w:r>
            <w:r>
              <w:rPr>
                <w:spacing w:val="-2"/>
              </w:rPr>
              <w:t> </w:t>
            </w:r>
            <w:r>
              <w:rPr/>
              <w:t>los fertilizantes</w:t>
              <w:tab/>
              <w:t>90</w:t>
            </w:r>
          </w:hyperlink>
        </w:p>
        <w:p>
          <w:pPr>
            <w:pStyle w:val="TOC3"/>
            <w:numPr>
              <w:ilvl w:val="2"/>
              <w:numId w:val="1"/>
            </w:numPr>
            <w:tabs>
              <w:tab w:pos="1148" w:val="left" w:leader="none"/>
              <w:tab w:pos="9518" w:val="right" w:leader="dot"/>
            </w:tabs>
            <w:spacing w:line="240" w:lineRule="auto" w:before="248" w:after="0"/>
            <w:ind w:left="1147" w:right="0" w:hanging="589"/>
            <w:jc w:val="left"/>
          </w:pPr>
          <w:hyperlink w:history="true" w:anchor="_bookmark63">
            <w:r>
              <w:rPr/>
              <w:t>Datos del cauce principal</w:t>
            </w:r>
            <w:r>
              <w:rPr>
                <w:spacing w:val="1"/>
              </w:rPr>
              <w:t> </w:t>
            </w:r>
            <w:r>
              <w:rPr/>
              <w:t>(ARCHIVO</w:t>
            </w:r>
            <w:r>
              <w:rPr>
                <w:spacing w:val="1"/>
              </w:rPr>
              <w:t> </w:t>
            </w:r>
            <w:r>
              <w:rPr/>
              <w:t>RTE)</w:t>
              <w:tab/>
              <w:t>91</w:t>
            </w:r>
          </w:hyperlink>
        </w:p>
        <w:p>
          <w:pPr>
            <w:pStyle w:val="TOC3"/>
            <w:numPr>
              <w:ilvl w:val="2"/>
              <w:numId w:val="1"/>
            </w:numPr>
            <w:tabs>
              <w:tab w:pos="1278" w:val="left" w:leader="none"/>
              <w:tab w:pos="9518" w:val="right" w:leader="dot"/>
            </w:tabs>
            <w:spacing w:line="240" w:lineRule="auto" w:before="244" w:after="0"/>
            <w:ind w:left="1277" w:right="0" w:hanging="719"/>
            <w:jc w:val="left"/>
          </w:pPr>
          <w:hyperlink w:history="true" w:anchor="_bookmark66">
            <w:r>
              <w:rPr/>
              <w:t>Datos de los cuerpos de agua</w:t>
            </w:r>
            <w:r>
              <w:rPr>
                <w:spacing w:val="2"/>
              </w:rPr>
              <w:t> </w:t>
            </w:r>
            <w:r>
              <w:rPr/>
              <w:t>(ARCHIVO PND)</w:t>
              <w:tab/>
              <w:t>95</w:t>
            </w:r>
          </w:hyperlink>
        </w:p>
        <w:p>
          <w:pPr>
            <w:pStyle w:val="TOC3"/>
            <w:numPr>
              <w:ilvl w:val="2"/>
              <w:numId w:val="1"/>
            </w:numPr>
            <w:tabs>
              <w:tab w:pos="1278" w:val="left" w:leader="none"/>
              <w:tab w:pos="9518" w:val="right" w:leader="dot"/>
            </w:tabs>
            <w:spacing w:line="240" w:lineRule="auto" w:before="243" w:after="0"/>
            <w:ind w:left="1277" w:right="0" w:hanging="719"/>
            <w:jc w:val="left"/>
          </w:pPr>
          <w:hyperlink w:history="true" w:anchor="_bookmark67">
            <w:r>
              <w:rPr/>
              <w:t>Datos de aguas subterráneas</w:t>
            </w:r>
            <w:r>
              <w:rPr>
                <w:spacing w:val="1"/>
              </w:rPr>
              <w:t> </w:t>
            </w:r>
            <w:r>
              <w:rPr/>
              <w:t>(ARCHIVO GW)</w:t>
              <w:tab/>
              <w:t>97</w:t>
            </w:r>
          </w:hyperlink>
        </w:p>
        <w:p>
          <w:pPr>
            <w:pStyle w:val="TOC2"/>
            <w:tabs>
              <w:tab w:pos="9518" w:val="right" w:leader="dot"/>
            </w:tabs>
            <w:spacing w:before="248"/>
            <w:ind w:left="337" w:firstLine="0"/>
          </w:pPr>
          <w:hyperlink w:history="true" w:anchor="_bookmark68">
            <w:r>
              <w:rPr/>
              <w:t>3.3. Calibración</w:t>
            </w:r>
            <w:r>
              <w:rPr>
                <w:spacing w:val="4"/>
              </w:rPr>
              <w:t> </w:t>
            </w:r>
            <w:r>
              <w:rPr/>
              <w:t>y validación</w:t>
              <w:tab/>
              <w:t>99</w:t>
            </w:r>
          </w:hyperlink>
        </w:p>
        <w:p>
          <w:pPr>
            <w:pStyle w:val="TOC1"/>
            <w:numPr>
              <w:ilvl w:val="0"/>
              <w:numId w:val="1"/>
            </w:numPr>
            <w:tabs>
              <w:tab w:pos="380" w:val="left" w:leader="none"/>
              <w:tab w:pos="9518" w:val="right" w:leader="dot"/>
            </w:tabs>
            <w:spacing w:line="240" w:lineRule="auto" w:before="244" w:after="0"/>
            <w:ind w:left="379" w:right="0" w:hanging="263"/>
            <w:jc w:val="left"/>
          </w:pPr>
          <w:hyperlink w:history="true" w:anchor="_bookmark69">
            <w:r>
              <w:rPr/>
              <w:t>CARACTERIZACIÓN DE LA CUENCA</w:t>
            </w:r>
            <w:r>
              <w:rPr>
                <w:spacing w:val="-4"/>
              </w:rPr>
              <w:t> </w:t>
            </w:r>
            <w:r>
              <w:rPr/>
              <w:t>EL</w:t>
            </w:r>
            <w:r>
              <w:rPr>
                <w:spacing w:val="-4"/>
              </w:rPr>
              <w:t> </w:t>
            </w:r>
            <w:r>
              <w:rPr/>
              <w:t>TEJOCOTE</w:t>
              <w:tab/>
              <w:t>103</w:t>
            </w:r>
          </w:hyperlink>
        </w:p>
        <w:p>
          <w:pPr>
            <w:pStyle w:val="TOC2"/>
            <w:numPr>
              <w:ilvl w:val="1"/>
              <w:numId w:val="1"/>
            </w:numPr>
            <w:tabs>
              <w:tab w:pos="731" w:val="left" w:leader="none"/>
              <w:tab w:pos="9518" w:val="right" w:leader="dot"/>
            </w:tabs>
            <w:spacing w:line="240" w:lineRule="auto" w:before="243" w:after="0"/>
            <w:ind w:left="730" w:right="0" w:hanging="393"/>
            <w:jc w:val="left"/>
          </w:pPr>
          <w:hyperlink w:history="true" w:anchor="_bookmark70">
            <w:r>
              <w:rPr/>
              <w:t>Localización de la cuenca</w:t>
            </w:r>
            <w:r>
              <w:rPr>
                <w:spacing w:val="6"/>
              </w:rPr>
              <w:t> </w:t>
            </w:r>
            <w:r>
              <w:rPr/>
              <w:t>El Tejocote</w:t>
              <w:tab/>
              <w:t>103</w:t>
            </w:r>
          </w:hyperlink>
        </w:p>
        <w:p>
          <w:pPr>
            <w:pStyle w:val="TOC2"/>
            <w:numPr>
              <w:ilvl w:val="1"/>
              <w:numId w:val="2"/>
            </w:numPr>
            <w:tabs>
              <w:tab w:pos="798" w:val="left" w:leader="none"/>
              <w:tab w:pos="9518" w:val="right" w:leader="dot"/>
            </w:tabs>
            <w:spacing w:line="240" w:lineRule="auto" w:before="248" w:after="0"/>
            <w:ind w:left="797" w:right="0" w:hanging="460"/>
            <w:jc w:val="left"/>
          </w:pPr>
          <w:hyperlink w:history="true" w:anchor="_bookmark72">
            <w:r>
              <w:rPr/>
              <w:t>Caracterización física de la cuenca</w:t>
            </w:r>
            <w:r>
              <w:rPr>
                <w:spacing w:val="4"/>
              </w:rPr>
              <w:t> </w:t>
            </w:r>
            <w:r>
              <w:rPr/>
              <w:t>El Tejocote</w:t>
              <w:tab/>
              <w:t>105</w:t>
            </w:r>
          </w:hyperlink>
        </w:p>
        <w:p>
          <w:pPr>
            <w:pStyle w:val="TOC3"/>
            <w:numPr>
              <w:ilvl w:val="2"/>
              <w:numId w:val="2"/>
            </w:numPr>
            <w:tabs>
              <w:tab w:pos="1148" w:val="left" w:leader="none"/>
              <w:tab w:pos="9518" w:val="right" w:leader="dot"/>
            </w:tabs>
            <w:spacing w:line="240" w:lineRule="auto" w:before="49" w:after="0"/>
            <w:ind w:left="1147" w:right="0" w:hanging="589"/>
            <w:jc w:val="left"/>
          </w:pPr>
          <w:hyperlink w:history="true" w:anchor="_bookmark73">
            <w:r>
              <w:rPr/>
              <w:t>Fisiografía</w:t>
              <w:tab/>
              <w:t>105</w:t>
            </w:r>
          </w:hyperlink>
        </w:p>
        <w:p>
          <w:pPr>
            <w:pStyle w:val="TOC3"/>
            <w:numPr>
              <w:ilvl w:val="2"/>
              <w:numId w:val="2"/>
            </w:numPr>
            <w:tabs>
              <w:tab w:pos="1148" w:val="left" w:leader="none"/>
              <w:tab w:pos="9518" w:val="right" w:leader="dot"/>
            </w:tabs>
            <w:spacing w:line="240" w:lineRule="auto" w:before="248" w:after="0"/>
            <w:ind w:left="1147" w:right="0" w:hanging="589"/>
            <w:jc w:val="left"/>
          </w:pPr>
          <w:hyperlink w:history="true" w:anchor="_bookmark74">
            <w:r>
              <w:rPr/>
              <w:t>Hidrología</w:t>
              <w:tab/>
              <w:t>105</w:t>
            </w:r>
          </w:hyperlink>
        </w:p>
        <w:p>
          <w:pPr>
            <w:pStyle w:val="TOC3"/>
            <w:numPr>
              <w:ilvl w:val="2"/>
              <w:numId w:val="2"/>
            </w:numPr>
            <w:tabs>
              <w:tab w:pos="1148" w:val="left" w:leader="none"/>
              <w:tab w:pos="9518" w:val="right" w:leader="dot"/>
            </w:tabs>
            <w:spacing w:line="240" w:lineRule="auto" w:before="244" w:after="0"/>
            <w:ind w:left="1147" w:right="0" w:hanging="589"/>
            <w:jc w:val="left"/>
          </w:pPr>
          <w:hyperlink w:history="true" w:anchor="_bookmark76">
            <w:r>
              <w:rPr/>
              <w:t>Geología</w:t>
              <w:tab/>
              <w:t>109</w:t>
            </w:r>
          </w:hyperlink>
        </w:p>
        <w:p>
          <w:pPr>
            <w:pStyle w:val="TOC3"/>
            <w:numPr>
              <w:ilvl w:val="2"/>
              <w:numId w:val="2"/>
            </w:numPr>
            <w:tabs>
              <w:tab w:pos="1148" w:val="left" w:leader="none"/>
              <w:tab w:pos="9518" w:val="right" w:leader="dot"/>
            </w:tabs>
            <w:spacing w:line="240" w:lineRule="auto" w:before="243" w:after="0"/>
            <w:ind w:left="1147" w:right="0" w:hanging="589"/>
            <w:jc w:val="left"/>
          </w:pPr>
          <w:hyperlink w:history="true" w:anchor="_bookmark78">
            <w:r>
              <w:rPr/>
              <w:t>Climatología</w:t>
              <w:tab/>
              <w:t>111</w:t>
            </w:r>
          </w:hyperlink>
        </w:p>
        <w:p>
          <w:pPr>
            <w:pStyle w:val="TOC3"/>
            <w:numPr>
              <w:ilvl w:val="2"/>
              <w:numId w:val="2"/>
            </w:numPr>
            <w:tabs>
              <w:tab w:pos="1148" w:val="left" w:leader="none"/>
              <w:tab w:pos="9518" w:val="right" w:leader="dot"/>
            </w:tabs>
            <w:spacing w:line="240" w:lineRule="auto" w:before="248" w:after="0"/>
            <w:ind w:left="1147" w:right="0" w:hanging="589"/>
            <w:jc w:val="left"/>
          </w:pPr>
          <w:hyperlink w:history="true" w:anchor="_bookmark79">
            <w:r>
              <w:rPr/>
              <w:t>Edafología</w:t>
              <w:tab/>
              <w:t>111</w:t>
            </w:r>
          </w:hyperlink>
        </w:p>
        <w:p>
          <w:pPr>
            <w:pStyle w:val="TOC3"/>
            <w:numPr>
              <w:ilvl w:val="2"/>
              <w:numId w:val="2"/>
            </w:numPr>
            <w:tabs>
              <w:tab w:pos="1148" w:val="left" w:leader="none"/>
              <w:tab w:pos="9518" w:val="right" w:leader="dot"/>
            </w:tabs>
            <w:spacing w:line="240" w:lineRule="auto" w:before="244" w:after="0"/>
            <w:ind w:left="1147" w:right="0" w:hanging="589"/>
            <w:jc w:val="left"/>
          </w:pPr>
          <w:hyperlink w:history="true" w:anchor="_bookmark81">
            <w:r>
              <w:rPr/>
              <w:t>Uso de suelo y vegetación</w:t>
              <w:tab/>
              <w:t>114</w:t>
            </w:r>
          </w:hyperlink>
        </w:p>
        <w:p>
          <w:pPr>
            <w:pStyle w:val="TOC2"/>
            <w:numPr>
              <w:ilvl w:val="1"/>
              <w:numId w:val="3"/>
            </w:numPr>
            <w:tabs>
              <w:tab w:pos="731" w:val="left" w:leader="none"/>
              <w:tab w:pos="9518" w:val="right" w:leader="dot"/>
            </w:tabs>
            <w:spacing w:line="240" w:lineRule="auto" w:before="243" w:after="0"/>
            <w:ind w:left="730" w:right="0" w:hanging="393"/>
            <w:jc w:val="left"/>
          </w:pPr>
          <w:hyperlink w:history="true" w:anchor="_bookmark84">
            <w:r>
              <w:rPr/>
              <w:t>Caracterización geomorfológica de la cuenca</w:t>
            </w:r>
            <w:r>
              <w:rPr>
                <w:spacing w:val="6"/>
              </w:rPr>
              <w:t> </w:t>
            </w:r>
            <w:r>
              <w:rPr/>
              <w:t>El Tejocote</w:t>
              <w:tab/>
              <w:t>116</w:t>
            </w:r>
          </w:hyperlink>
        </w:p>
        <w:p>
          <w:pPr>
            <w:pStyle w:val="TOC3"/>
            <w:numPr>
              <w:ilvl w:val="2"/>
              <w:numId w:val="3"/>
            </w:numPr>
            <w:tabs>
              <w:tab w:pos="1148" w:val="left" w:leader="none"/>
              <w:tab w:pos="9518" w:val="right" w:leader="dot"/>
            </w:tabs>
            <w:spacing w:line="240" w:lineRule="auto" w:before="243" w:after="0"/>
            <w:ind w:left="1147" w:right="0" w:hanging="589"/>
            <w:jc w:val="left"/>
          </w:pPr>
          <w:hyperlink w:history="true" w:anchor="_bookmark86">
            <w:r>
              <w:rPr/>
              <w:t>Tipo de</w:t>
            </w:r>
            <w:r>
              <w:rPr>
                <w:spacing w:val="-4"/>
              </w:rPr>
              <w:t> </w:t>
            </w:r>
            <w:r>
              <w:rPr/>
              <w:t>cuenca</w:t>
              <w:tab/>
              <w:t>116</w:t>
            </w:r>
          </w:hyperlink>
        </w:p>
        <w:p>
          <w:pPr>
            <w:pStyle w:val="TOC3"/>
            <w:numPr>
              <w:ilvl w:val="2"/>
              <w:numId w:val="3"/>
            </w:numPr>
            <w:tabs>
              <w:tab w:pos="1148" w:val="left" w:leader="none"/>
              <w:tab w:pos="9518" w:val="right" w:leader="dot"/>
            </w:tabs>
            <w:spacing w:line="240" w:lineRule="auto" w:before="249" w:after="0"/>
            <w:ind w:left="1147" w:right="0" w:hanging="589"/>
            <w:jc w:val="left"/>
          </w:pPr>
          <w:hyperlink w:history="true" w:anchor="_bookmark87">
            <w:r>
              <w:rPr/>
              <w:t>Área y Perímetro de</w:t>
            </w:r>
            <w:r>
              <w:rPr>
                <w:spacing w:val="5"/>
              </w:rPr>
              <w:t> </w:t>
            </w:r>
            <w:r>
              <w:rPr/>
              <w:t>la cuenca</w:t>
              <w:tab/>
              <w:t>116</w:t>
            </w:r>
          </w:hyperlink>
        </w:p>
        <w:p>
          <w:pPr>
            <w:pStyle w:val="TOC3"/>
            <w:numPr>
              <w:ilvl w:val="2"/>
              <w:numId w:val="3"/>
            </w:numPr>
            <w:tabs>
              <w:tab w:pos="1148" w:val="left" w:leader="none"/>
              <w:tab w:pos="9518" w:val="right" w:leader="dot"/>
            </w:tabs>
            <w:spacing w:line="240" w:lineRule="auto" w:before="243" w:after="0"/>
            <w:ind w:left="1147" w:right="0" w:hanging="589"/>
            <w:jc w:val="left"/>
          </w:pPr>
          <w:hyperlink w:history="true" w:anchor="_bookmark88">
            <w:r>
              <w:rPr/>
              <w:t>Pendiente media de</w:t>
            </w:r>
            <w:r>
              <w:rPr>
                <w:spacing w:val="5"/>
              </w:rPr>
              <w:t> </w:t>
            </w:r>
            <w:r>
              <w:rPr/>
              <w:t>la cuenca</w:t>
              <w:tab/>
              <w:t>117</w:t>
            </w:r>
          </w:hyperlink>
        </w:p>
        <w:p>
          <w:pPr>
            <w:pStyle w:val="TOC3"/>
            <w:numPr>
              <w:ilvl w:val="2"/>
              <w:numId w:val="3"/>
            </w:numPr>
            <w:tabs>
              <w:tab w:pos="1148" w:val="left" w:leader="none"/>
              <w:tab w:pos="9518" w:val="right" w:leader="dot"/>
            </w:tabs>
            <w:spacing w:line="240" w:lineRule="auto" w:before="243" w:after="0"/>
            <w:ind w:left="1147" w:right="0" w:hanging="589"/>
            <w:jc w:val="left"/>
          </w:pPr>
          <w:hyperlink w:history="true" w:anchor="_bookmark90">
            <w:r>
              <w:rPr/>
              <w:t>Relación</w:t>
            </w:r>
            <w:r>
              <w:rPr>
                <w:spacing w:val="1"/>
              </w:rPr>
              <w:t> </w:t>
            </w:r>
            <w:r>
              <w:rPr/>
              <w:t>hipsométrica</w:t>
              <w:tab/>
              <w:t>117</w:t>
            </w:r>
          </w:hyperlink>
        </w:p>
        <w:p>
          <w:pPr>
            <w:pStyle w:val="TOC3"/>
            <w:numPr>
              <w:ilvl w:val="2"/>
              <w:numId w:val="3"/>
            </w:numPr>
            <w:tabs>
              <w:tab w:pos="1148" w:val="left" w:leader="none"/>
              <w:tab w:pos="9518" w:val="right" w:leader="dot"/>
            </w:tabs>
            <w:spacing w:line="240" w:lineRule="auto" w:before="248" w:after="0"/>
            <w:ind w:left="1147" w:right="0" w:hanging="589"/>
            <w:jc w:val="left"/>
          </w:pPr>
          <w:hyperlink w:history="true" w:anchor="_bookmark91">
            <w:r>
              <w:rPr/>
              <w:t>Forma de</w:t>
            </w:r>
            <w:r>
              <w:rPr>
                <w:spacing w:val="3"/>
              </w:rPr>
              <w:t> </w:t>
            </w:r>
            <w:r>
              <w:rPr/>
              <w:t>la cuenca</w:t>
              <w:tab/>
              <w:t>117</w:t>
            </w:r>
          </w:hyperlink>
        </w:p>
        <w:p>
          <w:pPr>
            <w:pStyle w:val="TOC3"/>
            <w:numPr>
              <w:ilvl w:val="2"/>
              <w:numId w:val="3"/>
            </w:numPr>
            <w:tabs>
              <w:tab w:pos="1149" w:val="left" w:leader="none"/>
              <w:tab w:pos="9518" w:val="right" w:leader="dot"/>
            </w:tabs>
            <w:spacing w:line="240" w:lineRule="auto" w:before="243" w:after="0"/>
            <w:ind w:left="1148" w:right="0" w:hanging="590"/>
            <w:jc w:val="left"/>
          </w:pPr>
          <w:hyperlink w:history="true" w:anchor="_bookmark92">
            <w:r>
              <w:rPr/>
              <w:t>Red de</w:t>
            </w:r>
            <w:r>
              <w:rPr>
                <w:spacing w:val="-4"/>
              </w:rPr>
              <w:t> </w:t>
            </w:r>
            <w:r>
              <w:rPr/>
              <w:t>drenaje</w:t>
              <w:tab/>
              <w:t>118</w:t>
            </w:r>
          </w:hyperlink>
        </w:p>
        <w:p>
          <w:pPr>
            <w:pStyle w:val="TOC2"/>
            <w:numPr>
              <w:ilvl w:val="1"/>
              <w:numId w:val="3"/>
            </w:numPr>
            <w:tabs>
              <w:tab w:pos="731" w:val="left" w:leader="none"/>
              <w:tab w:pos="9518" w:val="right" w:leader="dot"/>
            </w:tabs>
            <w:spacing w:line="240" w:lineRule="auto" w:before="243" w:after="0"/>
            <w:ind w:left="730" w:right="0" w:hanging="393"/>
            <w:jc w:val="left"/>
          </w:pPr>
          <w:hyperlink w:history="true" w:anchor="_bookmark94">
            <w:r>
              <w:rPr/>
              <w:t>Factores socioeconómicos de la cuenca</w:t>
            </w:r>
            <w:r>
              <w:rPr>
                <w:spacing w:val="5"/>
              </w:rPr>
              <w:t> </w:t>
            </w:r>
            <w:r>
              <w:rPr/>
              <w:t>El Tejocote</w:t>
              <w:tab/>
              <w:t>121</w:t>
            </w:r>
          </w:hyperlink>
        </w:p>
        <w:p>
          <w:pPr>
            <w:pStyle w:val="TOC3"/>
            <w:numPr>
              <w:ilvl w:val="2"/>
              <w:numId w:val="3"/>
            </w:numPr>
            <w:tabs>
              <w:tab w:pos="1148" w:val="left" w:leader="none"/>
              <w:tab w:pos="9518" w:val="right" w:leader="dot"/>
            </w:tabs>
            <w:spacing w:line="240" w:lineRule="auto" w:before="248" w:after="0"/>
            <w:ind w:left="1147" w:right="0" w:hanging="589"/>
            <w:jc w:val="left"/>
          </w:pPr>
          <w:hyperlink w:history="true" w:anchor="_bookmark95">
            <w:r>
              <w:rPr/>
              <w:t>Condiciones ambientales de</w:t>
            </w:r>
            <w:r>
              <w:rPr>
                <w:spacing w:val="5"/>
              </w:rPr>
              <w:t> </w:t>
            </w:r>
            <w:r>
              <w:rPr/>
              <w:t>la cuenca</w:t>
              <w:tab/>
              <w:t>122</w:t>
            </w:r>
          </w:hyperlink>
        </w:p>
        <w:p>
          <w:pPr>
            <w:pStyle w:val="TOC1"/>
            <w:numPr>
              <w:ilvl w:val="0"/>
              <w:numId w:val="1"/>
            </w:numPr>
            <w:tabs>
              <w:tab w:pos="558" w:val="left" w:leader="none"/>
              <w:tab w:pos="559" w:val="left" w:leader="none"/>
              <w:tab w:pos="9518" w:val="right" w:leader="dot"/>
            </w:tabs>
            <w:spacing w:line="240" w:lineRule="auto" w:before="243" w:after="0"/>
            <w:ind w:left="558" w:right="0" w:hanging="442"/>
            <w:jc w:val="left"/>
          </w:pPr>
          <w:hyperlink w:history="true" w:anchor="_bookmark97">
            <w:r>
              <w:rPr/>
              <w:t>RESULTADOS</w:t>
              <w:tab/>
              <w:t>126</w:t>
            </w:r>
          </w:hyperlink>
        </w:p>
        <w:p>
          <w:pPr>
            <w:pStyle w:val="TOC2"/>
            <w:numPr>
              <w:ilvl w:val="1"/>
              <w:numId w:val="1"/>
            </w:numPr>
            <w:tabs>
              <w:tab w:pos="732" w:val="left" w:leader="none"/>
              <w:tab w:pos="9518" w:val="right" w:leader="dot"/>
            </w:tabs>
            <w:spacing w:line="240" w:lineRule="auto" w:before="243" w:after="0"/>
            <w:ind w:left="337" w:right="0" w:firstLine="0"/>
            <w:jc w:val="left"/>
          </w:pPr>
          <w:hyperlink w:history="true" w:anchor="_bookmark98">
            <w:r>
              <w:rPr/>
              <w:t>Calibración y validación del</w:t>
            </w:r>
            <w:r>
              <w:rPr>
                <w:spacing w:val="4"/>
              </w:rPr>
              <w:t> </w:t>
            </w:r>
            <w:r>
              <w:rPr/>
              <w:t>modelo</w:t>
            </w:r>
            <w:r>
              <w:rPr>
                <w:spacing w:val="5"/>
              </w:rPr>
              <w:t> </w:t>
            </w:r>
            <w:r>
              <w:rPr/>
              <w:t>SWAT</w:t>
              <w:tab/>
              <w:t>126</w:t>
            </w:r>
          </w:hyperlink>
        </w:p>
        <w:p>
          <w:pPr>
            <w:pStyle w:val="TOC3"/>
            <w:numPr>
              <w:ilvl w:val="2"/>
              <w:numId w:val="1"/>
            </w:numPr>
            <w:tabs>
              <w:tab w:pos="1148" w:val="left" w:leader="none"/>
              <w:tab w:pos="9518" w:val="right" w:leader="dot"/>
            </w:tabs>
            <w:spacing w:line="240" w:lineRule="auto" w:before="244" w:after="0"/>
            <w:ind w:left="1147" w:right="0" w:hanging="589"/>
            <w:jc w:val="left"/>
          </w:pPr>
          <w:hyperlink w:history="true" w:anchor="_bookmark99">
            <w:r>
              <w:rPr/>
              <w:t>Ajuste de</w:t>
            </w:r>
            <w:r>
              <w:rPr>
                <w:spacing w:val="1"/>
              </w:rPr>
              <w:t> </w:t>
            </w:r>
            <w:r>
              <w:rPr/>
              <w:t>parámetros</w:t>
              <w:tab/>
              <w:t>126</w:t>
            </w:r>
          </w:hyperlink>
        </w:p>
        <w:p>
          <w:pPr>
            <w:pStyle w:val="TOC3"/>
            <w:numPr>
              <w:ilvl w:val="2"/>
              <w:numId w:val="1"/>
            </w:numPr>
            <w:tabs>
              <w:tab w:pos="1149" w:val="left" w:leader="none"/>
              <w:tab w:pos="9518" w:val="right" w:leader="dot"/>
            </w:tabs>
            <w:spacing w:line="240" w:lineRule="auto" w:before="248" w:after="0"/>
            <w:ind w:left="1149" w:right="0" w:hanging="591"/>
            <w:jc w:val="left"/>
          </w:pPr>
          <w:hyperlink w:history="true" w:anchor="_bookmark101">
            <w:r>
              <w:rPr/>
              <w:t>Validación del</w:t>
            </w:r>
            <w:r>
              <w:rPr>
                <w:spacing w:val="2"/>
              </w:rPr>
              <w:t> </w:t>
            </w:r>
            <w:r>
              <w:rPr/>
              <w:t>modelo SWAT</w:t>
              <w:tab/>
              <w:t>128</w:t>
            </w:r>
          </w:hyperlink>
        </w:p>
        <w:p>
          <w:pPr>
            <w:pStyle w:val="TOC2"/>
            <w:numPr>
              <w:ilvl w:val="1"/>
              <w:numId w:val="1"/>
            </w:numPr>
            <w:tabs>
              <w:tab w:pos="995" w:val="left" w:leader="none"/>
              <w:tab w:pos="996" w:val="left" w:leader="none"/>
              <w:tab w:pos="9518" w:val="right" w:leader="dot"/>
            </w:tabs>
            <w:spacing w:line="240" w:lineRule="auto" w:before="243" w:after="0"/>
            <w:ind w:left="995" w:right="0" w:hanging="658"/>
            <w:jc w:val="left"/>
          </w:pPr>
          <w:hyperlink w:history="true" w:anchor="_bookmark102">
            <w:r>
              <w:rPr/>
              <w:t>Producción de</w:t>
            </w:r>
            <w:r>
              <w:rPr>
                <w:spacing w:val="3"/>
              </w:rPr>
              <w:t> </w:t>
            </w:r>
            <w:r>
              <w:rPr/>
              <w:t>escurrimientos superficiales</w:t>
              <w:tab/>
              <w:t>128</w:t>
            </w:r>
          </w:hyperlink>
        </w:p>
        <w:p>
          <w:pPr>
            <w:pStyle w:val="TOC3"/>
            <w:numPr>
              <w:ilvl w:val="2"/>
              <w:numId w:val="1"/>
            </w:numPr>
            <w:tabs>
              <w:tab w:pos="1436" w:val="left" w:leader="none"/>
              <w:tab w:pos="1437" w:val="left" w:leader="none"/>
              <w:tab w:pos="9518" w:val="right" w:leader="dot"/>
            </w:tabs>
            <w:spacing w:line="240" w:lineRule="auto" w:before="244" w:after="0"/>
            <w:ind w:left="1437" w:right="0" w:hanging="879"/>
            <w:jc w:val="left"/>
          </w:pPr>
          <w:hyperlink w:history="true" w:anchor="_bookmark106">
            <w:r>
              <w:rPr/>
              <w:t>Coeficiente</w:t>
            </w:r>
            <w:r>
              <w:rPr>
                <w:spacing w:val="1"/>
              </w:rPr>
              <w:t> </w:t>
            </w:r>
            <w:r>
              <w:rPr/>
              <w:t>de</w:t>
            </w:r>
            <w:r>
              <w:rPr>
                <w:spacing w:val="1"/>
              </w:rPr>
              <w:t> </w:t>
            </w:r>
            <w:r>
              <w:rPr/>
              <w:t>escurrimiento</w:t>
              <w:tab/>
              <w:t>131</w:t>
            </w:r>
          </w:hyperlink>
        </w:p>
        <w:p>
          <w:pPr>
            <w:pStyle w:val="TOC3"/>
            <w:numPr>
              <w:ilvl w:val="2"/>
              <w:numId w:val="1"/>
            </w:numPr>
            <w:tabs>
              <w:tab w:pos="1436" w:val="left" w:leader="none"/>
              <w:tab w:pos="1437" w:val="left" w:leader="none"/>
              <w:tab w:pos="9518" w:val="right" w:leader="dot"/>
            </w:tabs>
            <w:spacing w:line="240" w:lineRule="auto" w:before="248" w:after="0"/>
            <w:ind w:left="1437" w:right="0" w:hanging="879"/>
            <w:jc w:val="left"/>
          </w:pPr>
          <w:hyperlink w:history="true" w:anchor="_bookmark108">
            <w:r>
              <w:rPr/>
              <w:t>Gasto medio mensual</w:t>
            </w:r>
            <w:r>
              <w:rPr>
                <w:spacing w:val="8"/>
              </w:rPr>
              <w:t> </w:t>
            </w:r>
            <w:r>
              <w:rPr/>
              <w:t>por</w:t>
            </w:r>
            <w:r>
              <w:rPr>
                <w:spacing w:val="1"/>
              </w:rPr>
              <w:t> </w:t>
            </w:r>
            <w:r>
              <w:rPr/>
              <w:t>subcuenca</w:t>
              <w:tab/>
              <w:t>133</w:t>
            </w:r>
          </w:hyperlink>
        </w:p>
        <w:p>
          <w:pPr>
            <w:pStyle w:val="TOC3"/>
            <w:numPr>
              <w:ilvl w:val="2"/>
              <w:numId w:val="1"/>
            </w:numPr>
            <w:tabs>
              <w:tab w:pos="1148" w:val="left" w:leader="none"/>
              <w:tab w:pos="9518" w:val="right" w:leader="dot"/>
            </w:tabs>
            <w:spacing w:line="240" w:lineRule="auto" w:before="243" w:after="0"/>
            <w:ind w:left="1147" w:right="0" w:hanging="589"/>
            <w:jc w:val="left"/>
          </w:pPr>
          <w:hyperlink w:history="true" w:anchor="_bookmark110">
            <w:r>
              <w:rPr/>
              <w:t>Condición hidrológica de</w:t>
            </w:r>
            <w:r>
              <w:rPr>
                <w:spacing w:val="5"/>
              </w:rPr>
              <w:t> </w:t>
            </w:r>
            <w:r>
              <w:rPr/>
              <w:t>la cuenca</w:t>
              <w:tab/>
              <w:t>133</w:t>
            </w:r>
          </w:hyperlink>
        </w:p>
        <w:p>
          <w:pPr>
            <w:pStyle w:val="TOC2"/>
            <w:numPr>
              <w:ilvl w:val="1"/>
              <w:numId w:val="1"/>
            </w:numPr>
            <w:tabs>
              <w:tab w:pos="731" w:val="left" w:leader="none"/>
              <w:tab w:pos="9518" w:val="right" w:leader="dot"/>
            </w:tabs>
            <w:spacing w:line="240" w:lineRule="auto" w:before="49" w:after="0"/>
            <w:ind w:left="730" w:right="0" w:hanging="393"/>
            <w:jc w:val="left"/>
          </w:pPr>
          <w:hyperlink w:history="true" w:anchor="_bookmark113">
            <w:r>
              <w:rPr/>
              <w:t>Producción</w:t>
            </w:r>
            <w:r>
              <w:rPr>
                <w:spacing w:val="1"/>
              </w:rPr>
              <w:t> </w:t>
            </w:r>
            <w:r>
              <w:rPr/>
              <w:t>de</w:t>
            </w:r>
            <w:r>
              <w:rPr>
                <w:spacing w:val="1"/>
              </w:rPr>
              <w:t> </w:t>
            </w:r>
            <w:r>
              <w:rPr/>
              <w:t>sedimentos</w:t>
              <w:tab/>
              <w:t>135</w:t>
            </w:r>
          </w:hyperlink>
        </w:p>
        <w:p>
          <w:pPr>
            <w:pStyle w:val="TOC2"/>
            <w:numPr>
              <w:ilvl w:val="1"/>
              <w:numId w:val="1"/>
            </w:numPr>
            <w:tabs>
              <w:tab w:pos="731" w:val="left" w:leader="none"/>
              <w:tab w:pos="9518" w:val="right" w:leader="dot"/>
            </w:tabs>
            <w:spacing w:line="240" w:lineRule="auto" w:before="248" w:after="0"/>
            <w:ind w:left="730" w:right="0" w:hanging="393"/>
            <w:jc w:val="left"/>
          </w:pPr>
          <w:hyperlink w:history="true" w:anchor="_bookmark118">
            <w:r>
              <w:rPr/>
              <w:t>Rendimiento de</w:t>
            </w:r>
            <w:r>
              <w:rPr>
                <w:spacing w:val="1"/>
              </w:rPr>
              <w:t> </w:t>
            </w:r>
            <w:r>
              <w:rPr/>
              <w:t>cultivos</w:t>
              <w:tab/>
              <w:t>141</w:t>
            </w:r>
          </w:hyperlink>
        </w:p>
        <w:p>
          <w:pPr>
            <w:pStyle w:val="TOC2"/>
            <w:numPr>
              <w:ilvl w:val="1"/>
              <w:numId w:val="1"/>
            </w:numPr>
            <w:tabs>
              <w:tab w:pos="731" w:val="left" w:leader="none"/>
              <w:tab w:pos="9518" w:val="right" w:leader="dot"/>
            </w:tabs>
            <w:spacing w:line="240" w:lineRule="auto" w:before="244" w:after="0"/>
            <w:ind w:left="730" w:right="0" w:hanging="393"/>
            <w:jc w:val="left"/>
          </w:pPr>
          <w:hyperlink w:history="true" w:anchor="_bookmark120">
            <w:r>
              <w:rPr/>
              <w:t>Producción</w:t>
            </w:r>
            <w:r>
              <w:rPr>
                <w:spacing w:val="1"/>
              </w:rPr>
              <w:t> </w:t>
            </w:r>
            <w:r>
              <w:rPr/>
              <w:t>de</w:t>
            </w:r>
            <w:r>
              <w:rPr>
                <w:spacing w:val="1"/>
              </w:rPr>
              <w:t> </w:t>
            </w:r>
            <w:r>
              <w:rPr/>
              <w:t>Biomasa</w:t>
              <w:tab/>
              <w:t>142</w:t>
            </w:r>
          </w:hyperlink>
        </w:p>
        <w:p>
          <w:pPr>
            <w:pStyle w:val="TOC2"/>
            <w:numPr>
              <w:ilvl w:val="1"/>
              <w:numId w:val="1"/>
            </w:numPr>
            <w:tabs>
              <w:tab w:pos="731" w:val="left" w:leader="none"/>
              <w:tab w:pos="9518" w:val="right" w:leader="dot"/>
            </w:tabs>
            <w:spacing w:line="278" w:lineRule="auto" w:before="243" w:after="0"/>
            <w:ind w:left="337" w:right="99" w:firstLine="0"/>
            <w:jc w:val="left"/>
          </w:pPr>
          <w:hyperlink w:history="true" w:anchor="_bookmark122">
            <w:r>
              <w:rPr/>
              <w:t>Cálculo de daños económicos por la producción de sedimentos y escurrimientos</w:t>
            </w:r>
          </w:hyperlink>
          <w:r>
            <w:rPr/>
            <w:t> </w:t>
          </w:r>
          <w:hyperlink w:history="true" w:anchor="_bookmark122">
            <w:r>
              <w:rPr/>
              <w:t>superficiales</w:t>
              <w:tab/>
              <w:t>144</w:t>
            </w:r>
          </w:hyperlink>
        </w:p>
        <w:p>
          <w:pPr>
            <w:pStyle w:val="TOC2"/>
            <w:numPr>
              <w:ilvl w:val="1"/>
              <w:numId w:val="1"/>
            </w:numPr>
            <w:tabs>
              <w:tab w:pos="731" w:val="left" w:leader="none"/>
              <w:tab w:pos="9518" w:val="right" w:leader="dot"/>
            </w:tabs>
            <w:spacing w:line="240" w:lineRule="auto" w:before="197" w:after="0"/>
            <w:ind w:left="730" w:right="0" w:hanging="393"/>
            <w:jc w:val="left"/>
          </w:pPr>
          <w:hyperlink w:history="true" w:anchor="_bookmark126">
            <w:r>
              <w:rPr/>
              <w:t>Alternativas de uso de suelo y manejo de los</w:t>
            </w:r>
            <w:r>
              <w:rPr>
                <w:spacing w:val="6"/>
              </w:rPr>
              <w:t> </w:t>
            </w:r>
            <w:r>
              <w:rPr/>
              <w:t>recursos</w:t>
            </w:r>
            <w:r>
              <w:rPr>
                <w:spacing w:val="1"/>
              </w:rPr>
              <w:t> </w:t>
            </w:r>
            <w:r>
              <w:rPr/>
              <w:t>naturales</w:t>
              <w:tab/>
              <w:t>149</w:t>
            </w:r>
          </w:hyperlink>
        </w:p>
        <w:p>
          <w:pPr>
            <w:pStyle w:val="TOC2"/>
            <w:numPr>
              <w:ilvl w:val="1"/>
              <w:numId w:val="1"/>
            </w:numPr>
            <w:tabs>
              <w:tab w:pos="665" w:val="left" w:leader="none"/>
              <w:tab w:pos="9518" w:val="right" w:leader="dot"/>
            </w:tabs>
            <w:spacing w:line="240" w:lineRule="auto" w:before="248" w:after="0"/>
            <w:ind w:left="664" w:right="0" w:hanging="327"/>
            <w:jc w:val="left"/>
          </w:pPr>
          <w:hyperlink w:history="true" w:anchor="_bookmark133">
            <w:r>
              <w:rPr/>
              <w:t>Acuse de recibo de artículo</w:t>
            </w:r>
            <w:r>
              <w:rPr>
                <w:spacing w:val="8"/>
              </w:rPr>
              <w:t> </w:t>
            </w:r>
            <w:r>
              <w:rPr/>
              <w:t>en</w:t>
            </w:r>
            <w:r>
              <w:rPr>
                <w:spacing w:val="1"/>
              </w:rPr>
              <w:t> </w:t>
            </w:r>
            <w:r>
              <w:rPr/>
              <w:t>extenso</w:t>
              <w:tab/>
              <w:t>157</w:t>
            </w:r>
          </w:hyperlink>
        </w:p>
        <w:p>
          <w:pPr>
            <w:pStyle w:val="TOC1"/>
            <w:tabs>
              <w:tab w:pos="558" w:val="left" w:leader="none"/>
              <w:tab w:pos="9518" w:val="right" w:leader="dot"/>
            </w:tabs>
          </w:pPr>
          <w:hyperlink w:history="true" w:anchor="_bookmark134">
            <w:r>
              <w:rPr/>
              <w:t>6</w:t>
              <w:tab/>
              <w:t>DISCUSIÓN</w:t>
            </w:r>
            <w:r>
              <w:rPr>
                <w:spacing w:val="1"/>
              </w:rPr>
              <w:t> </w:t>
            </w:r>
            <w:r>
              <w:rPr/>
              <w:t>GENERAL</w:t>
              <w:tab/>
              <w:t>158</w:t>
            </w:r>
          </w:hyperlink>
        </w:p>
        <w:p>
          <w:pPr>
            <w:pStyle w:val="TOC1"/>
            <w:tabs>
              <w:tab w:pos="9518" w:val="right" w:leader="dot"/>
            </w:tabs>
          </w:pPr>
          <w:hyperlink w:history="true" w:anchor="_bookmark135">
            <w:r>
              <w:rPr/>
              <w:t>CONCLUSIONES</w:t>
            </w:r>
            <w:r>
              <w:rPr>
                <w:spacing w:val="-5"/>
              </w:rPr>
              <w:t> </w:t>
            </w:r>
            <w:r>
              <w:rPr/>
              <w:t>Y RECOMENDACIONES</w:t>
              <w:tab/>
              <w:t>159</w:t>
            </w:r>
          </w:hyperlink>
        </w:p>
        <w:p>
          <w:pPr>
            <w:pStyle w:val="TOC1"/>
            <w:tabs>
              <w:tab w:pos="9518" w:val="right" w:leader="dot"/>
            </w:tabs>
            <w:spacing w:before="244"/>
          </w:pPr>
          <w:hyperlink w:history="true" w:anchor="_bookmark136">
            <w:r>
              <w:rPr/>
              <w:t>BIBLIOGRAFÍA</w:t>
              <w:tab/>
              <w:t>161</w:t>
            </w:r>
          </w:hyperlink>
        </w:p>
        <w:p>
          <w:pPr>
            <w:pStyle w:val="TOC1"/>
            <w:tabs>
              <w:tab w:pos="9518" w:val="right" w:leader="dot"/>
            </w:tabs>
            <w:spacing w:before="248"/>
          </w:pPr>
          <w:hyperlink w:history="true" w:anchor="_bookmark137">
            <w:r>
              <w:rPr/>
              <w:t>ANEXOS</w:t>
              <w:tab/>
              <w:t>172</w:t>
            </w:r>
          </w:hyperlink>
        </w:p>
      </w:sdtContent>
    </w:sdt>
    <w:p>
      <w:pPr>
        <w:spacing w:after="0"/>
        <w:sectPr>
          <w:type w:val="continuous"/>
          <w:pgSz w:w="12240" w:h="15840"/>
          <w:pgMar w:top="1359" w:bottom="1796" w:left="1300" w:right="1320"/>
        </w:sectPr>
      </w:pPr>
    </w:p>
    <w:p>
      <w:pPr>
        <w:pStyle w:val="Heading1"/>
        <w:spacing w:before="53"/>
        <w:ind w:left="3441" w:right="3423"/>
        <w:jc w:val="center"/>
      </w:pPr>
      <w:bookmarkStart w:name="_bookmark0" w:id="1"/>
      <w:bookmarkEnd w:id="1"/>
      <w:r>
        <w:rPr>
          <w:b w:val="0"/>
        </w:rPr>
      </w:r>
      <w:r>
        <w:rPr/>
        <w:t>ÍNDICE DE CUADROS</w:t>
      </w:r>
    </w:p>
    <w:p>
      <w:pPr>
        <w:pStyle w:val="BodyText"/>
        <w:rPr>
          <w:b/>
        </w:rPr>
      </w:pPr>
    </w:p>
    <w:p>
      <w:pPr>
        <w:pStyle w:val="BodyText"/>
        <w:spacing w:before="189"/>
        <w:ind w:left="116"/>
      </w:pPr>
      <w:hyperlink w:history="true" w:anchor="_bookmark17">
        <w:r>
          <w:rPr/>
          <w:t>Cuadro 1. Valores de coeficiente de escurrimiento para diferentes condiciones de terreno.</w:t>
        </w:r>
      </w:hyperlink>
    </w:p>
    <w:p>
      <w:pPr>
        <w:pStyle w:val="BodyText"/>
        <w:spacing w:before="47"/>
        <w:ind w:left="178"/>
      </w:pPr>
      <w:hyperlink w:history="true" w:anchor="_bookmark17">
        <w:r>
          <w:rPr/>
          <w:t>.......................................................................................................................................18</w:t>
        </w:r>
      </w:hyperlink>
    </w:p>
    <w:p>
      <w:pPr>
        <w:pStyle w:val="BodyText"/>
        <w:tabs>
          <w:tab w:pos="9258" w:val="left" w:leader="dot"/>
        </w:tabs>
        <w:spacing w:before="42"/>
        <w:ind w:left="116"/>
      </w:pPr>
      <w:hyperlink w:history="true" w:anchor="_bookmark46">
        <w:r>
          <w:rPr/>
          <w:t>Cuadro 2. Clasificación de cuencas hidrográficas por</w:t>
        </w:r>
        <w:r>
          <w:rPr>
            <w:spacing w:val="-2"/>
          </w:rPr>
          <w:t> </w:t>
        </w:r>
        <w:r>
          <w:rPr/>
          <w:t>su</w:t>
        </w:r>
        <w:r>
          <w:rPr>
            <w:spacing w:val="-2"/>
          </w:rPr>
          <w:t> </w:t>
        </w:r>
        <w:r>
          <w:rPr/>
          <w:t>tamaño.</w:t>
          <w:tab/>
          <w:t>63</w:t>
        </w:r>
      </w:hyperlink>
    </w:p>
    <w:p>
      <w:pPr>
        <w:pStyle w:val="BodyText"/>
        <w:tabs>
          <w:tab w:pos="9258" w:val="left" w:leader="dot"/>
        </w:tabs>
        <w:spacing w:before="46"/>
        <w:ind w:left="116"/>
      </w:pPr>
      <w:hyperlink w:history="true" w:anchor="_bookmark53">
        <w:r>
          <w:rPr/>
          <w:t>Cuadro 3. Datos estadísticos climáticos requeridos por el</w:t>
        </w:r>
        <w:r>
          <w:rPr>
            <w:spacing w:val="-6"/>
          </w:rPr>
          <w:t> </w:t>
        </w:r>
        <w:r>
          <w:rPr/>
          <w:t>modelo</w:t>
        </w:r>
        <w:r>
          <w:rPr>
            <w:spacing w:val="4"/>
          </w:rPr>
          <w:t> </w:t>
        </w:r>
        <w:r>
          <w:rPr/>
          <w:t>SWAT.</w:t>
          <w:tab/>
          <w:t>80</w:t>
        </w:r>
      </w:hyperlink>
    </w:p>
    <w:p>
      <w:pPr>
        <w:pStyle w:val="BodyText"/>
        <w:tabs>
          <w:tab w:pos="9258" w:val="left" w:leader="dot"/>
        </w:tabs>
        <w:spacing w:before="42"/>
        <w:ind w:left="116"/>
      </w:pPr>
      <w:hyperlink w:history="true" w:anchor="_bookmark54">
        <w:r>
          <w:rPr/>
          <w:t>Cuadro 4. Estaciones climatológicas seleccionadas para la cuenca</w:t>
        </w:r>
        <w:r>
          <w:rPr>
            <w:spacing w:val="-2"/>
          </w:rPr>
          <w:t> </w:t>
        </w:r>
        <w:r>
          <w:rPr/>
          <w:t>El</w:t>
        </w:r>
        <w:r>
          <w:rPr>
            <w:spacing w:val="-2"/>
          </w:rPr>
          <w:t> </w:t>
        </w:r>
        <w:r>
          <w:rPr/>
          <w:t>Tejocote.</w:t>
          <w:tab/>
          <w:t>81</w:t>
        </w:r>
      </w:hyperlink>
    </w:p>
    <w:p>
      <w:pPr>
        <w:pStyle w:val="BodyText"/>
        <w:tabs>
          <w:tab w:pos="9258" w:val="left" w:leader="dot"/>
        </w:tabs>
        <w:spacing w:line="278" w:lineRule="auto" w:before="47"/>
        <w:ind w:left="116" w:right="99"/>
      </w:pPr>
      <w:hyperlink w:history="true" w:anchor="_bookmark58">
        <w:r>
          <w:rPr/>
          <w:t>Cuadro 5. Datos de propiedades físicas y químicas de los suelos requeridos por el modelo</w:t>
        </w:r>
      </w:hyperlink>
      <w:r>
        <w:rPr/>
        <w:t> </w:t>
      </w:r>
      <w:hyperlink w:history="true" w:anchor="_bookmark58">
        <w:r>
          <w:rPr/>
          <w:t>SWAT.</w:t>
          <w:tab/>
          <w:t>86</w:t>
        </w:r>
      </w:hyperlink>
    </w:p>
    <w:p>
      <w:pPr>
        <w:pStyle w:val="BodyText"/>
        <w:tabs>
          <w:tab w:pos="9258" w:val="left" w:leader="dot"/>
        </w:tabs>
        <w:spacing w:line="295" w:lineRule="exact"/>
        <w:ind w:left="116"/>
      </w:pPr>
      <w:hyperlink w:history="true" w:anchor="_bookmark64">
        <w:r>
          <w:rPr/>
          <w:t>Cuadro 6. Valores de coeficiente del banco</w:t>
        </w:r>
        <w:r>
          <w:rPr>
            <w:spacing w:val="-5"/>
          </w:rPr>
          <w:t> </w:t>
        </w:r>
        <w:r>
          <w:rPr/>
          <w:t>de</w:t>
        </w:r>
        <w:r>
          <w:rPr>
            <w:spacing w:val="-5"/>
          </w:rPr>
          <w:t> </w:t>
        </w:r>
        <w:r>
          <w:rPr/>
          <w:t>vegetación</w:t>
          <w:tab/>
          <w:t>92</w:t>
        </w:r>
      </w:hyperlink>
    </w:p>
    <w:p>
      <w:pPr>
        <w:pStyle w:val="BodyText"/>
        <w:tabs>
          <w:tab w:pos="9258" w:val="left" w:leader="dot"/>
        </w:tabs>
        <w:spacing w:before="46"/>
        <w:ind w:left="116"/>
      </w:pPr>
      <w:hyperlink w:history="true" w:anchor="_bookmark65">
        <w:r>
          <w:rPr/>
          <w:t>Cuadro 7. Valores del coeficiente de la cama</w:t>
        </w:r>
        <w:r>
          <w:rPr>
            <w:spacing w:val="-10"/>
          </w:rPr>
          <w:t> </w:t>
        </w:r>
        <w:r>
          <w:rPr/>
          <w:t>de</w:t>
        </w:r>
        <w:r>
          <w:rPr>
            <w:spacing w:val="-1"/>
          </w:rPr>
          <w:t> </w:t>
        </w:r>
        <w:r>
          <w:rPr/>
          <w:t>vegetación</w:t>
          <w:tab/>
          <w:t>93</w:t>
        </w:r>
      </w:hyperlink>
    </w:p>
    <w:p>
      <w:pPr>
        <w:pStyle w:val="BodyText"/>
        <w:tabs>
          <w:tab w:pos="9129" w:val="left" w:leader="dot"/>
        </w:tabs>
        <w:spacing w:before="46"/>
        <w:ind w:left="116"/>
      </w:pPr>
      <w:hyperlink w:history="true" w:anchor="_bookmark82">
        <w:r>
          <w:rPr/>
          <w:t>Cuadro 8. Vegetación y Usos del Suelo de la cuenca</w:t>
        </w:r>
        <w:r>
          <w:rPr>
            <w:spacing w:val="-6"/>
          </w:rPr>
          <w:t> </w:t>
        </w:r>
        <w:r>
          <w:rPr/>
          <w:t>El</w:t>
        </w:r>
        <w:r>
          <w:rPr>
            <w:spacing w:val="-2"/>
          </w:rPr>
          <w:t> </w:t>
        </w:r>
        <w:r>
          <w:rPr/>
          <w:t>Tejocote.</w:t>
          <w:tab/>
          <w:t>114</w:t>
        </w:r>
      </w:hyperlink>
    </w:p>
    <w:p>
      <w:pPr>
        <w:pStyle w:val="BodyText"/>
        <w:tabs>
          <w:tab w:pos="9129" w:val="left" w:leader="dot"/>
        </w:tabs>
        <w:spacing w:before="42"/>
        <w:ind w:left="116"/>
      </w:pPr>
      <w:hyperlink w:history="true" w:anchor="_bookmark85">
        <w:r>
          <w:rPr/>
          <w:t>Cuadro 9. Parámetros de la cuenca</w:t>
        </w:r>
        <w:r>
          <w:rPr>
            <w:spacing w:val="1"/>
          </w:rPr>
          <w:t> </w:t>
        </w:r>
        <w:r>
          <w:rPr/>
          <w:t>El</w:t>
        </w:r>
        <w:r>
          <w:rPr>
            <w:spacing w:val="-1"/>
          </w:rPr>
          <w:t> </w:t>
        </w:r>
        <w:r>
          <w:rPr/>
          <w:t>Tejocote.</w:t>
          <w:tab/>
          <w:t>116</w:t>
        </w:r>
      </w:hyperlink>
    </w:p>
    <w:p>
      <w:pPr>
        <w:pStyle w:val="BodyText"/>
        <w:tabs>
          <w:tab w:pos="9129" w:val="left" w:leader="dot"/>
        </w:tabs>
        <w:spacing w:before="46"/>
        <w:ind w:left="116"/>
      </w:pPr>
      <w:hyperlink w:history="true" w:anchor="_bookmark96">
        <w:r>
          <w:rPr/>
          <w:t>Cuadro 10. Enfoque ecosistémico de la cuenca</w:t>
        </w:r>
        <w:r>
          <w:rPr>
            <w:spacing w:val="-4"/>
          </w:rPr>
          <w:t> </w:t>
        </w:r>
        <w:r>
          <w:rPr/>
          <w:t>El</w:t>
        </w:r>
        <w:r>
          <w:rPr>
            <w:spacing w:val="-2"/>
          </w:rPr>
          <w:t> </w:t>
        </w:r>
        <w:r>
          <w:rPr/>
          <w:t>Tejocote</w:t>
          <w:tab/>
          <w:t>125</w:t>
        </w:r>
      </w:hyperlink>
    </w:p>
    <w:p>
      <w:pPr>
        <w:pStyle w:val="BodyText"/>
        <w:tabs>
          <w:tab w:pos="9129" w:val="left" w:leader="dot"/>
        </w:tabs>
        <w:spacing w:before="46"/>
        <w:ind w:left="116"/>
      </w:pPr>
      <w:hyperlink w:history="true" w:anchor="_bookmark100">
        <w:r>
          <w:rPr/>
          <w:t>Cuadro 11. Parámetros más sensibles que afectan los valores del</w:t>
        </w:r>
        <w:r>
          <w:rPr>
            <w:spacing w:val="-15"/>
          </w:rPr>
          <w:t> </w:t>
        </w:r>
        <w:r>
          <w:rPr/>
          <w:t>modelo</w:t>
        </w:r>
        <w:r>
          <w:rPr>
            <w:spacing w:val="2"/>
          </w:rPr>
          <w:t> </w:t>
        </w:r>
        <w:r>
          <w:rPr/>
          <w:t>SWAT</w:t>
          <w:tab/>
          <w:t>127</w:t>
        </w:r>
      </w:hyperlink>
    </w:p>
    <w:p>
      <w:pPr>
        <w:pStyle w:val="BodyText"/>
        <w:tabs>
          <w:tab w:pos="9129" w:val="left" w:leader="dot"/>
        </w:tabs>
        <w:spacing w:line="278" w:lineRule="auto" w:before="42"/>
        <w:ind w:left="116" w:right="99"/>
      </w:pPr>
      <w:hyperlink w:history="true" w:anchor="_bookmark117">
        <w:r>
          <w:rPr/>
          <w:t>Cuadro 12. Parámetros estadísticos anuales de las producciones de agua y sedimento en la</w:t>
        </w:r>
      </w:hyperlink>
      <w:r>
        <w:rPr/>
        <w:t> </w:t>
      </w:r>
      <w:hyperlink w:history="true" w:anchor="_bookmark117">
        <w:r>
          <w:rPr/>
          <w:t>cuenca El</w:t>
        </w:r>
        <w:r>
          <w:rPr>
            <w:spacing w:val="-1"/>
          </w:rPr>
          <w:t> </w:t>
        </w:r>
        <w:r>
          <w:rPr/>
          <w:t>Tejocote.</w:t>
          <w:tab/>
          <w:t>141</w:t>
        </w:r>
      </w:hyperlink>
    </w:p>
    <w:p>
      <w:pPr>
        <w:pStyle w:val="BodyText"/>
        <w:tabs>
          <w:tab w:pos="9129" w:val="left" w:leader="dot"/>
        </w:tabs>
        <w:spacing w:line="278" w:lineRule="auto"/>
        <w:ind w:left="116" w:right="99"/>
      </w:pPr>
      <w:hyperlink w:history="true" w:anchor="_bookmark119">
        <w:r>
          <w:rPr/>
          <w:t>Cuadro 13.  Rendimientos agrícolas simulados y observados de agricultura en la cuenca</w:t>
        </w:r>
      </w:hyperlink>
      <w:r>
        <w:rPr/>
        <w:t> </w:t>
      </w:r>
      <w:hyperlink w:history="true" w:anchor="_bookmark119">
        <w:r>
          <w:rPr/>
          <w:t>El</w:t>
        </w:r>
        <w:r>
          <w:rPr>
            <w:spacing w:val="-1"/>
          </w:rPr>
          <w:t> </w:t>
        </w:r>
        <w:r>
          <w:rPr/>
          <w:t>Tejocote.</w:t>
          <w:tab/>
          <w:t>142</w:t>
        </w:r>
      </w:hyperlink>
    </w:p>
    <w:p>
      <w:pPr>
        <w:pStyle w:val="BodyText"/>
        <w:tabs>
          <w:tab w:pos="9129" w:val="left" w:leader="dot"/>
        </w:tabs>
        <w:ind w:left="116"/>
      </w:pPr>
      <w:hyperlink w:history="true" w:anchor="_bookmark123">
        <w:r>
          <w:rPr/>
          <w:t>Cuadro 14. Daños por erosión</w:t>
        </w:r>
        <w:r>
          <w:rPr>
            <w:spacing w:val="2"/>
          </w:rPr>
          <w:t> </w:t>
        </w:r>
        <w:r>
          <w:rPr/>
          <w:t>de</w:t>
        </w:r>
        <w:r>
          <w:rPr>
            <w:spacing w:val="-5"/>
          </w:rPr>
          <w:t> </w:t>
        </w:r>
        <w:r>
          <w:rPr/>
          <w:t>suelos</w:t>
          <w:tab/>
          <w:t>144</w:t>
        </w:r>
      </w:hyperlink>
    </w:p>
    <w:p>
      <w:pPr>
        <w:pStyle w:val="BodyText"/>
        <w:tabs>
          <w:tab w:pos="9129" w:val="left" w:leader="dot"/>
        </w:tabs>
        <w:spacing w:before="42"/>
        <w:ind w:left="116"/>
      </w:pPr>
      <w:hyperlink w:history="true" w:anchor="_bookmark124">
        <w:r>
          <w:rPr/>
          <w:t>Cuadro 15. Cierre de producción municipal, 2013, 2012</w:t>
        </w:r>
        <w:r>
          <w:rPr>
            <w:spacing w:val="1"/>
          </w:rPr>
          <w:t> </w:t>
        </w:r>
        <w:r>
          <w:rPr/>
          <w:t>y</w:t>
        </w:r>
        <w:r>
          <w:rPr>
            <w:spacing w:val="-2"/>
          </w:rPr>
          <w:t> </w:t>
        </w:r>
        <w:r>
          <w:rPr/>
          <w:t>2011.</w:t>
          <w:tab/>
          <w:t>146</w:t>
        </w:r>
      </w:hyperlink>
    </w:p>
    <w:p>
      <w:pPr>
        <w:pStyle w:val="BodyText"/>
        <w:tabs>
          <w:tab w:pos="9129" w:val="left" w:leader="dot"/>
        </w:tabs>
        <w:spacing w:line="278" w:lineRule="auto" w:before="46"/>
        <w:ind w:left="116" w:right="99"/>
      </w:pPr>
      <w:hyperlink w:history="true" w:anchor="_bookmark130">
        <w:r>
          <w:rPr/>
          <w:t>Cuadro 16. Estimaciones analizadas de los costos de algunas prácticas adoptadas en los</w:t>
        </w:r>
      </w:hyperlink>
      <w:r>
        <w:rPr/>
        <w:t> </w:t>
      </w:r>
      <w:hyperlink w:history="true" w:anchor="_bookmark130">
        <w:r>
          <w:rPr/>
          <w:t>Estados Unidos para combatir</w:t>
        </w:r>
        <w:r>
          <w:rPr>
            <w:spacing w:val="-4"/>
          </w:rPr>
          <w:t> </w:t>
        </w:r>
        <w:r>
          <w:rPr/>
          <w:t>la</w:t>
        </w:r>
        <w:r>
          <w:rPr>
            <w:spacing w:val="-2"/>
          </w:rPr>
          <w:t> </w:t>
        </w:r>
        <w:r>
          <w:rPr/>
          <w:t>erosión</w:t>
          <w:tab/>
          <w:t>153</w:t>
        </w:r>
      </w:hyperlink>
    </w:p>
    <w:p>
      <w:pPr>
        <w:pStyle w:val="BodyText"/>
        <w:tabs>
          <w:tab w:pos="9129" w:val="left" w:leader="dot"/>
        </w:tabs>
        <w:spacing w:line="295" w:lineRule="exact"/>
        <w:ind w:left="116"/>
      </w:pPr>
      <w:hyperlink w:history="true" w:anchor="_bookmark131">
        <w:r>
          <w:rPr/>
          <w:t>Cuadro 17. Unidades de gestión ecológica de la cuenca</w:t>
        </w:r>
        <w:r>
          <w:rPr>
            <w:spacing w:val="-1"/>
          </w:rPr>
          <w:t> </w:t>
        </w:r>
        <w:r>
          <w:rPr/>
          <w:t>El</w:t>
        </w:r>
        <w:r>
          <w:rPr>
            <w:spacing w:val="-2"/>
          </w:rPr>
          <w:t> </w:t>
        </w:r>
        <w:r>
          <w:rPr/>
          <w:t>Tejocote</w:t>
          <w:tab/>
          <w:t>155</w:t>
        </w:r>
      </w:hyperlink>
    </w:p>
    <w:p>
      <w:pPr>
        <w:pStyle w:val="BodyText"/>
      </w:pPr>
    </w:p>
    <w:p>
      <w:pPr>
        <w:pStyle w:val="BodyText"/>
      </w:pPr>
    </w:p>
    <w:p>
      <w:pPr>
        <w:pStyle w:val="BodyText"/>
      </w:pPr>
    </w:p>
    <w:p>
      <w:pPr>
        <w:pStyle w:val="BodyText"/>
        <w:spacing w:before="9"/>
        <w:rPr>
          <w:sz w:val="20"/>
        </w:rPr>
      </w:pPr>
    </w:p>
    <w:p>
      <w:pPr>
        <w:pStyle w:val="Heading1"/>
        <w:spacing w:before="1"/>
        <w:ind w:left="3441" w:right="3423"/>
        <w:jc w:val="center"/>
      </w:pPr>
      <w:bookmarkStart w:name="_bookmark1" w:id="2"/>
      <w:bookmarkEnd w:id="2"/>
      <w:r>
        <w:rPr>
          <w:b w:val="0"/>
        </w:rPr>
      </w:r>
      <w:r>
        <w:rPr/>
        <w:t>ÍNDICE DE FIGURAS</w:t>
      </w:r>
    </w:p>
    <w:p>
      <w:pPr>
        <w:pStyle w:val="BodyText"/>
        <w:rPr>
          <w:b/>
        </w:rPr>
      </w:pPr>
    </w:p>
    <w:p>
      <w:pPr>
        <w:pStyle w:val="BodyText"/>
        <w:rPr>
          <w:b/>
          <w:sz w:val="21"/>
        </w:rPr>
      </w:pPr>
    </w:p>
    <w:p>
      <w:pPr>
        <w:pStyle w:val="BodyText"/>
        <w:tabs>
          <w:tab w:pos="9258" w:val="left" w:leader="dot"/>
        </w:tabs>
        <w:ind w:left="116"/>
      </w:pPr>
      <w:hyperlink w:history="true" w:anchor="_bookmark24">
        <w:r>
          <w:rPr/>
          <w:t>Figura 1. Clasificación de</w:t>
        </w:r>
        <w:r>
          <w:rPr>
            <w:spacing w:val="-3"/>
          </w:rPr>
          <w:t> </w:t>
        </w:r>
        <w:r>
          <w:rPr/>
          <w:t>los</w:t>
        </w:r>
        <w:r>
          <w:rPr>
            <w:spacing w:val="-2"/>
          </w:rPr>
          <w:t> </w:t>
        </w:r>
        <w:r>
          <w:rPr/>
          <w:t>modelos</w:t>
          <w:tab/>
          <w:t>24</w:t>
        </w:r>
      </w:hyperlink>
    </w:p>
    <w:p>
      <w:pPr>
        <w:pStyle w:val="BodyText"/>
        <w:tabs>
          <w:tab w:pos="9258" w:val="left" w:leader="dot"/>
        </w:tabs>
        <w:spacing w:before="46"/>
        <w:ind w:left="116"/>
      </w:pPr>
      <w:hyperlink w:history="true" w:anchor="_bookmark25">
        <w:r>
          <w:rPr/>
          <w:t>Figura 2. Modelamiento hidrológico de un evento en una</w:t>
        </w:r>
        <w:r>
          <w:rPr>
            <w:spacing w:val="-7"/>
          </w:rPr>
          <w:t> </w:t>
        </w:r>
        <w:r>
          <w:rPr/>
          <w:t>cuenca</w:t>
        </w:r>
        <w:r>
          <w:rPr>
            <w:spacing w:val="-1"/>
          </w:rPr>
          <w:t> </w:t>
        </w:r>
        <w:r>
          <w:rPr/>
          <w:t>andina</w:t>
          <w:tab/>
          <w:t>27</w:t>
        </w:r>
      </w:hyperlink>
    </w:p>
    <w:p>
      <w:pPr>
        <w:pStyle w:val="BodyText"/>
        <w:tabs>
          <w:tab w:pos="9258" w:val="left" w:leader="dot"/>
        </w:tabs>
        <w:spacing w:line="278" w:lineRule="auto" w:before="42"/>
        <w:ind w:left="116" w:right="99"/>
      </w:pPr>
      <w:hyperlink w:history="true" w:anchor="_bookmark26">
        <w:r>
          <w:rPr/>
          <w:t>Figura 3. Distribución del flujo modelado en PRMS en escorrentía superficial, interflujo y</w:t>
        </w:r>
      </w:hyperlink>
      <w:r>
        <w:rPr/>
        <w:t> </w:t>
      </w:r>
      <w:hyperlink w:history="true" w:anchor="_bookmark26">
        <w:r>
          <w:rPr/>
          <w:t>flujo base</w:t>
          <w:tab/>
          <w:t>28</w:t>
        </w:r>
      </w:hyperlink>
    </w:p>
    <w:p>
      <w:pPr>
        <w:pStyle w:val="BodyText"/>
        <w:tabs>
          <w:tab w:pos="9258" w:val="left" w:leader="dot"/>
        </w:tabs>
        <w:ind w:left="116"/>
      </w:pPr>
      <w:hyperlink w:history="true" w:anchor="_bookmark27">
        <w:r>
          <w:rPr/>
          <w:t>Figura 4.</w:t>
        </w:r>
        <w:r>
          <w:rPr>
            <w:spacing w:val="-1"/>
          </w:rPr>
          <w:t> </w:t>
        </w:r>
        <w:r>
          <w:rPr/>
          <w:t>Software</w:t>
        </w:r>
        <w:r>
          <w:rPr>
            <w:spacing w:val="-1"/>
          </w:rPr>
          <w:t> </w:t>
        </w:r>
        <w:r>
          <w:rPr/>
          <w:t>QGIS</w:t>
          <w:tab/>
          <w:t>29</w:t>
        </w:r>
      </w:hyperlink>
    </w:p>
    <w:p>
      <w:pPr>
        <w:pStyle w:val="BodyText"/>
        <w:tabs>
          <w:tab w:pos="9258" w:val="left" w:leader="dot"/>
        </w:tabs>
        <w:spacing w:before="42"/>
        <w:ind w:left="116"/>
      </w:pPr>
      <w:hyperlink w:history="true" w:anchor="_bookmark28">
        <w:r>
          <w:rPr/>
          <w:t>Figura 5. Software SAGA</w:t>
        </w:r>
        <w:r>
          <w:rPr>
            <w:spacing w:val="-5"/>
          </w:rPr>
          <w:t> </w:t>
        </w:r>
        <w:r>
          <w:rPr/>
          <w:t>GIS</w:t>
          <w:tab/>
          <w:t>30</w:t>
        </w:r>
      </w:hyperlink>
    </w:p>
    <w:p>
      <w:pPr>
        <w:pStyle w:val="BodyText"/>
        <w:tabs>
          <w:tab w:pos="9258" w:val="left" w:leader="dot"/>
        </w:tabs>
        <w:spacing w:before="46"/>
        <w:ind w:left="116"/>
      </w:pPr>
      <w:hyperlink w:history="true" w:anchor="_bookmark29">
        <w:r>
          <w:rPr/>
          <w:t>Figura 6. Modelo numérico de una cuenca andina tridimensional</w:t>
        </w:r>
        <w:r>
          <w:rPr>
            <w:spacing w:val="-8"/>
          </w:rPr>
          <w:t> </w:t>
        </w:r>
        <w:r>
          <w:rPr/>
          <w:t>en</w:t>
        </w:r>
        <w:r>
          <w:rPr>
            <w:spacing w:val="-1"/>
          </w:rPr>
          <w:t> </w:t>
        </w:r>
        <w:r>
          <w:rPr/>
          <w:t>MODFLOW</w:t>
          <w:tab/>
          <w:t>31</w:t>
        </w:r>
      </w:hyperlink>
    </w:p>
    <w:p>
      <w:pPr>
        <w:spacing w:after="0"/>
        <w:sectPr>
          <w:pgSz w:w="12240" w:h="15840"/>
          <w:pgMar w:header="0" w:footer="1473" w:top="1360" w:bottom="1660" w:left="1300" w:right="1320"/>
        </w:sectPr>
      </w:pPr>
    </w:p>
    <w:p>
      <w:pPr>
        <w:pStyle w:val="BodyText"/>
        <w:tabs>
          <w:tab w:pos="9518" w:val="right" w:leader="dot"/>
        </w:tabs>
        <w:spacing w:before="49"/>
        <w:ind w:left="116"/>
      </w:pPr>
      <w:hyperlink w:history="true" w:anchor="_bookmark30">
        <w:r>
          <w:rPr/>
          <w:t>Figura 7. Modelamiento de pluma contaminante de un</w:t>
        </w:r>
        <w:r>
          <w:rPr>
            <w:spacing w:val="8"/>
          </w:rPr>
          <w:t> </w:t>
        </w:r>
        <w:r>
          <w:rPr/>
          <w:t>botadero</w:t>
        </w:r>
        <w:r>
          <w:rPr>
            <w:spacing w:val="1"/>
          </w:rPr>
          <w:t> </w:t>
        </w:r>
        <w:r>
          <w:rPr/>
          <w:t>minero</w:t>
          <w:tab/>
          <w:t>32</w:t>
        </w:r>
      </w:hyperlink>
    </w:p>
    <w:p>
      <w:pPr>
        <w:pStyle w:val="BodyText"/>
        <w:tabs>
          <w:tab w:pos="9518" w:val="right" w:leader="dot"/>
        </w:tabs>
        <w:spacing w:before="46"/>
        <w:ind w:left="116"/>
      </w:pPr>
      <w:hyperlink w:history="true" w:anchor="_bookmark31">
        <w:r>
          <w:rPr/>
          <w:t>Figura 8. Esquema del sistema fluvial por HEC-RAS y secciones</w:t>
        </w:r>
        <w:r>
          <w:rPr>
            <w:spacing w:val="2"/>
          </w:rPr>
          <w:t> </w:t>
        </w:r>
        <w:r>
          <w:rPr/>
          <w:t>de</w:t>
        </w:r>
        <w:r>
          <w:rPr>
            <w:spacing w:val="1"/>
          </w:rPr>
          <w:t> </w:t>
        </w:r>
        <w:r>
          <w:rPr/>
          <w:t>análisis</w:t>
          <w:tab/>
          <w:t>33</w:t>
        </w:r>
      </w:hyperlink>
    </w:p>
    <w:p>
      <w:pPr>
        <w:pStyle w:val="BodyText"/>
        <w:tabs>
          <w:tab w:pos="9518" w:val="right" w:leader="dot"/>
        </w:tabs>
        <w:spacing w:before="46"/>
        <w:ind w:left="116"/>
      </w:pPr>
      <w:hyperlink w:history="true" w:anchor="_bookmark32">
        <w:r>
          <w:rPr/>
          <w:t>Figura 9. Visualización de resultados de inundación de río modelado</w:t>
        </w:r>
        <w:r>
          <w:rPr>
            <w:spacing w:val="5"/>
          </w:rPr>
          <w:t> </w:t>
        </w:r>
        <w:r>
          <w:rPr/>
          <w:t>en iRIC</w:t>
          <w:tab/>
          <w:t>34</w:t>
        </w:r>
      </w:hyperlink>
    </w:p>
    <w:p>
      <w:pPr>
        <w:pStyle w:val="BodyText"/>
        <w:tabs>
          <w:tab w:pos="9518" w:val="right" w:leader="dot"/>
        </w:tabs>
        <w:spacing w:before="42"/>
        <w:ind w:left="116"/>
      </w:pPr>
      <w:hyperlink w:history="true" w:anchor="_bookmark34">
        <w:r>
          <w:rPr/>
          <w:t>Figura 10. Esquema del desarrollo histórico del SWAT y</w:t>
        </w:r>
        <w:r>
          <w:rPr>
            <w:spacing w:val="4"/>
          </w:rPr>
          <w:t> </w:t>
        </w:r>
        <w:r>
          <w:rPr/>
          <w:t>modelos</w:t>
        </w:r>
        <w:r>
          <w:rPr>
            <w:spacing w:val="-1"/>
          </w:rPr>
          <w:t> </w:t>
        </w:r>
        <w:r>
          <w:rPr/>
          <w:t>adoptados</w:t>
          <w:tab/>
          <w:t>36</w:t>
        </w:r>
      </w:hyperlink>
    </w:p>
    <w:p>
      <w:pPr>
        <w:pStyle w:val="BodyText"/>
        <w:tabs>
          <w:tab w:pos="9518" w:val="right" w:leader="dot"/>
        </w:tabs>
        <w:spacing w:before="46"/>
        <w:ind w:left="116"/>
      </w:pPr>
      <w:hyperlink w:history="true" w:anchor="_bookmark35">
        <w:r>
          <w:rPr/>
          <w:t>Figura 11. Fase terrestre del</w:t>
        </w:r>
        <w:r>
          <w:rPr>
            <w:spacing w:val="8"/>
          </w:rPr>
          <w:t> </w:t>
        </w:r>
        <w:r>
          <w:rPr/>
          <w:t>ciclo</w:t>
        </w:r>
        <w:r>
          <w:rPr>
            <w:spacing w:val="1"/>
          </w:rPr>
          <w:t> </w:t>
        </w:r>
        <w:r>
          <w:rPr/>
          <w:t>hidrológico</w:t>
          <w:tab/>
          <w:t>37</w:t>
        </w:r>
      </w:hyperlink>
    </w:p>
    <w:p>
      <w:pPr>
        <w:pStyle w:val="BodyText"/>
        <w:tabs>
          <w:tab w:pos="9518" w:val="right" w:leader="dot"/>
        </w:tabs>
        <w:spacing w:before="46"/>
        <w:ind w:left="116"/>
      </w:pPr>
      <w:hyperlink w:history="true" w:anchor="_bookmark36">
        <w:r>
          <w:rPr/>
          <w:t>Figura 12. Componentes del</w:t>
        </w:r>
        <w:r>
          <w:rPr>
            <w:spacing w:val="6"/>
          </w:rPr>
          <w:t> </w:t>
        </w:r>
        <w:r>
          <w:rPr/>
          <w:t>modelo SWAT</w:t>
          <w:tab/>
          <w:t>40</w:t>
        </w:r>
      </w:hyperlink>
    </w:p>
    <w:p>
      <w:pPr>
        <w:pStyle w:val="BodyText"/>
        <w:tabs>
          <w:tab w:pos="9518" w:val="right" w:leader="dot"/>
        </w:tabs>
        <w:spacing w:before="42"/>
        <w:ind w:left="116"/>
      </w:pPr>
      <w:hyperlink w:history="true" w:anchor="_bookmark37">
        <w:r>
          <w:rPr/>
          <w:t>Figura 13. División del nitrógeno</w:t>
        </w:r>
        <w:r>
          <w:rPr>
            <w:spacing w:val="6"/>
          </w:rPr>
          <w:t> </w:t>
        </w:r>
        <w:r>
          <w:rPr/>
          <w:t>en</w:t>
        </w:r>
        <w:r>
          <w:rPr>
            <w:spacing w:val="1"/>
          </w:rPr>
          <w:t> </w:t>
        </w:r>
        <w:r>
          <w:rPr/>
          <w:t>SWAT</w:t>
          <w:tab/>
          <w:t>48</w:t>
        </w:r>
      </w:hyperlink>
    </w:p>
    <w:p>
      <w:pPr>
        <w:pStyle w:val="BodyText"/>
        <w:tabs>
          <w:tab w:pos="9518" w:val="right" w:leader="dot"/>
        </w:tabs>
        <w:spacing w:before="46"/>
        <w:ind w:left="116"/>
      </w:pPr>
      <w:hyperlink w:history="true" w:anchor="_bookmark38">
        <w:r>
          <w:rPr/>
          <w:t>Figura 14. División del fósforo</w:t>
        </w:r>
        <w:r>
          <w:rPr>
            <w:spacing w:val="7"/>
          </w:rPr>
          <w:t> </w:t>
        </w:r>
        <w:r>
          <w:rPr/>
          <w:t>en</w:t>
        </w:r>
        <w:r>
          <w:rPr>
            <w:spacing w:val="1"/>
          </w:rPr>
          <w:t> </w:t>
        </w:r>
        <w:r>
          <w:rPr/>
          <w:t>SWAT</w:t>
          <w:tab/>
          <w:t>49</w:t>
        </w:r>
      </w:hyperlink>
    </w:p>
    <w:p>
      <w:pPr>
        <w:pStyle w:val="BodyText"/>
        <w:tabs>
          <w:tab w:pos="9518" w:val="right" w:leader="dot"/>
        </w:tabs>
        <w:spacing w:before="42"/>
        <w:ind w:left="116"/>
      </w:pPr>
      <w:hyperlink w:history="true" w:anchor="_bookmark39">
        <w:r>
          <w:rPr/>
          <w:t>Figura 15. Destino del pesticida y transporte</w:t>
        </w:r>
        <w:r>
          <w:rPr>
            <w:spacing w:val="8"/>
          </w:rPr>
          <w:t> </w:t>
        </w:r>
        <w:r>
          <w:rPr/>
          <w:t>en</w:t>
        </w:r>
        <w:r>
          <w:rPr>
            <w:spacing w:val="1"/>
          </w:rPr>
          <w:t> </w:t>
        </w:r>
        <w:r>
          <w:rPr/>
          <w:t>SWAT</w:t>
          <w:tab/>
          <w:t>50</w:t>
        </w:r>
      </w:hyperlink>
    </w:p>
    <w:p>
      <w:pPr>
        <w:pStyle w:val="BodyText"/>
        <w:tabs>
          <w:tab w:pos="9518" w:val="right" w:leader="dot"/>
        </w:tabs>
        <w:spacing w:before="46"/>
        <w:ind w:left="116"/>
      </w:pPr>
      <w:hyperlink w:history="true" w:anchor="_bookmark44">
        <w:r>
          <w:rPr/>
          <w:t>Figura 16. Metodología</w:t>
        </w:r>
        <w:r>
          <w:rPr>
            <w:spacing w:val="5"/>
          </w:rPr>
          <w:t> </w:t>
        </w:r>
        <w:r>
          <w:rPr/>
          <w:t>de</w:t>
        </w:r>
        <w:r>
          <w:rPr>
            <w:spacing w:val="1"/>
          </w:rPr>
          <w:t> </w:t>
        </w:r>
        <w:r>
          <w:rPr/>
          <w:t>trabajo</w:t>
          <w:tab/>
          <w:t>61</w:t>
        </w:r>
      </w:hyperlink>
    </w:p>
    <w:p>
      <w:pPr>
        <w:pStyle w:val="BodyText"/>
        <w:tabs>
          <w:tab w:pos="9518" w:val="right" w:leader="dot"/>
        </w:tabs>
        <w:spacing w:before="46"/>
        <w:ind w:left="116"/>
      </w:pPr>
      <w:hyperlink w:history="true" w:anchor="_bookmark47">
        <w:r>
          <w:rPr/>
          <w:t>Figura 17. Modelos</w:t>
        </w:r>
        <w:r>
          <w:rPr>
            <w:spacing w:val="5"/>
          </w:rPr>
          <w:t> </w:t>
        </w:r>
        <w:r>
          <w:rPr/>
          <w:t>de</w:t>
        </w:r>
        <w:r>
          <w:rPr>
            <w:spacing w:val="1"/>
          </w:rPr>
          <w:t> </w:t>
        </w:r>
        <w:r>
          <w:rPr/>
          <w:t>drenaje.</w:t>
          <w:tab/>
          <w:t>65</w:t>
        </w:r>
      </w:hyperlink>
    </w:p>
    <w:p>
      <w:pPr>
        <w:pStyle w:val="BodyText"/>
        <w:tabs>
          <w:tab w:pos="9518" w:val="right" w:leader="dot"/>
        </w:tabs>
        <w:spacing w:before="42"/>
        <w:ind w:left="116"/>
      </w:pPr>
      <w:hyperlink w:history="true" w:anchor="_bookmark48">
        <w:r>
          <w:rPr/>
          <w:t>Figura 18. Forma de</w:t>
        </w:r>
        <w:r>
          <w:rPr>
            <w:spacing w:val="8"/>
          </w:rPr>
          <w:t> </w:t>
        </w:r>
        <w:r>
          <w:rPr/>
          <w:t>la cuenca</w:t>
          <w:tab/>
          <w:t>70</w:t>
        </w:r>
      </w:hyperlink>
    </w:p>
    <w:p>
      <w:pPr>
        <w:pStyle w:val="BodyText"/>
        <w:tabs>
          <w:tab w:pos="9518" w:val="right" w:leader="dot"/>
        </w:tabs>
        <w:spacing w:before="46"/>
        <w:ind w:left="116"/>
      </w:pPr>
      <w:hyperlink w:history="true" w:anchor="_bookmark50">
        <w:r>
          <w:rPr/>
          <w:t>Figura 19. Esquema de trabajo del</w:t>
        </w:r>
        <w:r>
          <w:rPr>
            <w:spacing w:val="8"/>
          </w:rPr>
          <w:t> </w:t>
        </w:r>
        <w:r>
          <w:rPr/>
          <w:t>modelo</w:t>
        </w:r>
        <w:r>
          <w:rPr>
            <w:spacing w:val="5"/>
          </w:rPr>
          <w:t> </w:t>
        </w:r>
        <w:r>
          <w:rPr/>
          <w:t>SWAT</w:t>
          <w:tab/>
          <w:t>72</w:t>
        </w:r>
      </w:hyperlink>
    </w:p>
    <w:p>
      <w:pPr>
        <w:pStyle w:val="BodyText"/>
        <w:tabs>
          <w:tab w:pos="9518" w:val="right" w:leader="dot"/>
        </w:tabs>
        <w:spacing w:before="47"/>
        <w:ind w:left="116"/>
      </w:pPr>
      <w:hyperlink w:history="true" w:anchor="_bookmark55">
        <w:r>
          <w:rPr/>
          <w:t>Figura 20. Estaciones climatológicas e hidrométrica para la cuenca</w:t>
        </w:r>
        <w:r>
          <w:rPr>
            <w:spacing w:val="7"/>
          </w:rPr>
          <w:t> </w:t>
        </w:r>
        <w:r>
          <w:rPr/>
          <w:t>El</w:t>
        </w:r>
        <w:r>
          <w:rPr>
            <w:spacing w:val="-1"/>
          </w:rPr>
          <w:t> </w:t>
        </w:r>
        <w:r>
          <w:rPr/>
          <w:t>Tejocote.</w:t>
          <w:tab/>
          <w:t>82</w:t>
        </w:r>
      </w:hyperlink>
    </w:p>
    <w:p>
      <w:pPr>
        <w:pStyle w:val="BodyText"/>
        <w:tabs>
          <w:tab w:pos="9518" w:val="right" w:leader="dot"/>
        </w:tabs>
        <w:spacing w:before="42"/>
        <w:ind w:left="116"/>
      </w:pPr>
      <w:hyperlink w:history="true" w:anchor="_bookmark71">
        <w:r>
          <w:rPr/>
          <w:t>Figura 21.</w:t>
        </w:r>
        <w:r>
          <w:rPr>
            <w:spacing w:val="4"/>
          </w:rPr>
          <w:t> </w:t>
        </w:r>
        <w:r>
          <w:rPr/>
          <w:t>Mapa</w:t>
        </w:r>
        <w:r>
          <w:rPr>
            <w:spacing w:val="1"/>
          </w:rPr>
          <w:t> </w:t>
        </w:r>
        <w:r>
          <w:rPr/>
          <w:t>Base</w:t>
          <w:tab/>
          <w:t>104</w:t>
        </w:r>
      </w:hyperlink>
    </w:p>
    <w:p>
      <w:pPr>
        <w:pStyle w:val="BodyText"/>
        <w:tabs>
          <w:tab w:pos="9518" w:val="right" w:leader="dot"/>
        </w:tabs>
        <w:spacing w:before="46"/>
        <w:ind w:left="116"/>
      </w:pPr>
      <w:hyperlink w:history="true" w:anchor="_bookmark75">
        <w:r>
          <w:rPr/>
          <w:t>Figura 22.</w:t>
        </w:r>
        <w:r>
          <w:rPr>
            <w:spacing w:val="4"/>
          </w:rPr>
          <w:t> </w:t>
        </w:r>
        <w:r>
          <w:rPr/>
          <w:t>Mapa</w:t>
        </w:r>
        <w:r>
          <w:rPr>
            <w:spacing w:val="1"/>
          </w:rPr>
          <w:t> </w:t>
        </w:r>
        <w:r>
          <w:rPr/>
          <w:t>Hidrológico</w:t>
          <w:tab/>
          <w:t>107</w:t>
        </w:r>
      </w:hyperlink>
    </w:p>
    <w:p>
      <w:pPr>
        <w:pStyle w:val="BodyText"/>
        <w:tabs>
          <w:tab w:pos="9518" w:val="right" w:leader="dot"/>
        </w:tabs>
        <w:spacing w:before="42"/>
        <w:ind w:left="116"/>
      </w:pPr>
      <w:hyperlink w:history="true" w:anchor="_bookmark77">
        <w:r>
          <w:rPr/>
          <w:t>Figura 23.</w:t>
        </w:r>
        <w:r>
          <w:rPr>
            <w:spacing w:val="4"/>
          </w:rPr>
          <w:t> </w:t>
        </w:r>
        <w:r>
          <w:rPr/>
          <w:t>Mapa</w:t>
        </w:r>
        <w:r>
          <w:rPr>
            <w:spacing w:val="1"/>
          </w:rPr>
          <w:t> </w:t>
        </w:r>
        <w:r>
          <w:rPr/>
          <w:t>Geológico</w:t>
          <w:tab/>
          <w:t>110</w:t>
        </w:r>
      </w:hyperlink>
    </w:p>
    <w:p>
      <w:pPr>
        <w:pStyle w:val="BodyText"/>
        <w:tabs>
          <w:tab w:pos="9518" w:val="right" w:leader="dot"/>
        </w:tabs>
        <w:spacing w:before="47"/>
        <w:ind w:left="116"/>
      </w:pPr>
      <w:hyperlink w:history="true" w:anchor="_bookmark80">
        <w:r>
          <w:rPr/>
          <w:t>Figura 24.</w:t>
        </w:r>
        <w:r>
          <w:rPr>
            <w:spacing w:val="4"/>
          </w:rPr>
          <w:t> </w:t>
        </w:r>
        <w:r>
          <w:rPr/>
          <w:t>Mapa</w:t>
        </w:r>
        <w:r>
          <w:rPr>
            <w:spacing w:val="1"/>
          </w:rPr>
          <w:t> </w:t>
        </w:r>
        <w:r>
          <w:rPr/>
          <w:t>Edafológico</w:t>
          <w:tab/>
          <w:t>113</w:t>
        </w:r>
      </w:hyperlink>
    </w:p>
    <w:p>
      <w:pPr>
        <w:pStyle w:val="BodyText"/>
        <w:tabs>
          <w:tab w:pos="9518" w:val="right" w:leader="dot"/>
        </w:tabs>
        <w:spacing w:before="46"/>
        <w:ind w:left="116"/>
      </w:pPr>
      <w:hyperlink w:history="true" w:anchor="_bookmark83">
        <w:r>
          <w:rPr/>
          <w:t>Figura 25. Mapa Uso del Suelo</w:t>
        </w:r>
        <w:r>
          <w:rPr>
            <w:spacing w:val="7"/>
          </w:rPr>
          <w:t> </w:t>
        </w:r>
        <w:r>
          <w:rPr/>
          <w:t>y Vegetación</w:t>
          <w:tab/>
          <w:t>115</w:t>
        </w:r>
      </w:hyperlink>
    </w:p>
    <w:p>
      <w:pPr>
        <w:pStyle w:val="BodyText"/>
        <w:tabs>
          <w:tab w:pos="9518" w:val="right" w:leader="dot"/>
        </w:tabs>
        <w:spacing w:before="42"/>
        <w:ind w:left="116"/>
      </w:pPr>
      <w:hyperlink w:history="true" w:anchor="_bookmark89">
        <w:r>
          <w:rPr/>
          <w:t>Figura 26. Curva Hipsométrica de la cuenca</w:t>
        </w:r>
        <w:r>
          <w:rPr>
            <w:spacing w:val="12"/>
          </w:rPr>
          <w:t> </w:t>
        </w:r>
        <w:r>
          <w:rPr/>
          <w:t>El Tejocote.</w:t>
          <w:tab/>
          <w:t>117</w:t>
        </w:r>
      </w:hyperlink>
    </w:p>
    <w:p>
      <w:pPr>
        <w:pStyle w:val="BodyText"/>
        <w:tabs>
          <w:tab w:pos="9518" w:val="right" w:leader="dot"/>
        </w:tabs>
        <w:spacing w:before="46"/>
        <w:ind w:left="116"/>
      </w:pPr>
      <w:hyperlink w:history="true" w:anchor="_bookmark93">
        <w:r>
          <w:rPr/>
          <w:t>Figura 27. Orden de corrientes de la cuenca</w:t>
        </w:r>
        <w:r>
          <w:rPr>
            <w:spacing w:val="13"/>
          </w:rPr>
          <w:t> </w:t>
        </w:r>
        <w:r>
          <w:rPr/>
          <w:t>El</w:t>
        </w:r>
        <w:r>
          <w:rPr>
            <w:spacing w:val="-4"/>
          </w:rPr>
          <w:t> </w:t>
        </w:r>
        <w:r>
          <w:rPr/>
          <w:t>Tejocote.</w:t>
          <w:tab/>
          <w:t>119</w:t>
        </w:r>
      </w:hyperlink>
    </w:p>
    <w:p>
      <w:pPr>
        <w:pStyle w:val="BodyText"/>
        <w:tabs>
          <w:tab w:pos="9518" w:val="right" w:leader="dot"/>
        </w:tabs>
        <w:spacing w:before="46"/>
        <w:ind w:left="116"/>
      </w:pPr>
      <w:hyperlink w:history="true" w:anchor="_bookmark103">
        <w:r>
          <w:rPr/>
          <w:t>Figura 28. Ciclo del agua en la cuenca El Tejocote en un período de</w:t>
        </w:r>
        <w:r>
          <w:rPr>
            <w:spacing w:val="8"/>
          </w:rPr>
          <w:t> </w:t>
        </w:r>
        <w:r>
          <w:rPr/>
          <w:t>siete años</w:t>
          <w:tab/>
          <w:t>129</w:t>
        </w:r>
      </w:hyperlink>
    </w:p>
    <w:p>
      <w:pPr>
        <w:pStyle w:val="BodyText"/>
        <w:tabs>
          <w:tab w:pos="9518" w:val="right" w:leader="dot"/>
        </w:tabs>
        <w:spacing w:line="278" w:lineRule="auto" w:before="42"/>
        <w:ind w:left="116" w:right="99"/>
      </w:pPr>
      <w:hyperlink w:history="true" w:anchor="_bookmark104">
        <w:r>
          <w:rPr/>
          <w:t>Figura 29. Dinámica y magnitud de la producción de escurrimientos medidos y simulados</w:t>
        </w:r>
      </w:hyperlink>
      <w:r>
        <w:rPr/>
        <w:t> </w:t>
      </w:r>
      <w:hyperlink w:history="true" w:anchor="_bookmark104">
        <w:r>
          <w:rPr/>
          <w:t>en la cuenca El Tejocote con el modelo SWAT en un período de</w:t>
        </w:r>
        <w:r>
          <w:rPr>
            <w:spacing w:val="9"/>
          </w:rPr>
          <w:t> </w:t>
        </w:r>
        <w:r>
          <w:rPr/>
          <w:t>siete</w:t>
        </w:r>
        <w:r>
          <w:rPr>
            <w:spacing w:val="3"/>
          </w:rPr>
          <w:t> </w:t>
        </w:r>
        <w:r>
          <w:rPr/>
          <w:t>años.</w:t>
          <w:tab/>
          <w:t>130</w:t>
        </w:r>
      </w:hyperlink>
    </w:p>
    <w:p>
      <w:pPr>
        <w:pStyle w:val="BodyText"/>
        <w:tabs>
          <w:tab w:pos="9518" w:val="right" w:leader="dot"/>
        </w:tabs>
        <w:spacing w:line="276" w:lineRule="auto"/>
        <w:ind w:left="116" w:right="99"/>
      </w:pPr>
      <w:hyperlink w:history="true" w:anchor="_bookmark105">
        <w:r>
          <w:rPr/>
          <w:t>Figura 30. Análisis de regresión para la producción de escurrimientos medidos y</w:t>
        </w:r>
      </w:hyperlink>
      <w:r>
        <w:rPr/>
        <w:t> </w:t>
      </w:r>
      <w:hyperlink w:history="true" w:anchor="_bookmark105">
        <w:r>
          <w:rPr/>
          <w:t>simulados en la cuenca El Tejocote con el modelo SWAT en un período de siete años.</w:t>
        </w:r>
        <w:r>
          <w:rPr>
            <w:spacing w:val="-32"/>
          </w:rPr>
          <w:t> </w:t>
        </w:r>
        <w:r>
          <w:rPr/>
          <w:t>131</w:t>
        </w:r>
      </w:hyperlink>
      <w:r>
        <w:rPr/>
        <w:t> </w:t>
      </w:r>
      <w:hyperlink w:history="true" w:anchor="_bookmark107">
        <w:r>
          <w:rPr/>
          <w:t>Figura 31. Mapa Coeficiente</w:t>
        </w:r>
        <w:r>
          <w:rPr>
            <w:spacing w:val="7"/>
          </w:rPr>
          <w:t> </w:t>
        </w:r>
        <w:r>
          <w:rPr/>
          <w:t>de</w:t>
        </w:r>
        <w:r>
          <w:rPr>
            <w:spacing w:val="1"/>
          </w:rPr>
          <w:t> </w:t>
        </w:r>
        <w:r>
          <w:rPr/>
          <w:t>Escurrimiento</w:t>
          <w:tab/>
          <w:t>132</w:t>
        </w:r>
      </w:hyperlink>
    </w:p>
    <w:p>
      <w:pPr>
        <w:pStyle w:val="BodyText"/>
        <w:tabs>
          <w:tab w:pos="9518" w:val="right" w:leader="dot"/>
        </w:tabs>
        <w:spacing w:line="298" w:lineRule="exact"/>
        <w:ind w:left="116"/>
      </w:pPr>
      <w:hyperlink w:history="true" w:anchor="_bookmark109">
        <w:r>
          <w:rPr/>
          <w:t>Figura 32. Escurrimiento promedio</w:t>
        </w:r>
        <w:r>
          <w:rPr>
            <w:spacing w:val="5"/>
          </w:rPr>
          <w:t> </w:t>
        </w:r>
        <w:r>
          <w:rPr/>
          <w:t>por</w:t>
        </w:r>
        <w:r>
          <w:rPr>
            <w:spacing w:val="1"/>
          </w:rPr>
          <w:t> </w:t>
        </w:r>
        <w:r>
          <w:rPr/>
          <w:t>subcuenca.</w:t>
          <w:tab/>
          <w:t>133</w:t>
        </w:r>
      </w:hyperlink>
    </w:p>
    <w:p>
      <w:pPr>
        <w:pStyle w:val="BodyText"/>
        <w:tabs>
          <w:tab w:pos="9518" w:val="right" w:leader="dot"/>
        </w:tabs>
        <w:spacing w:line="278" w:lineRule="auto" w:before="46"/>
        <w:ind w:left="116" w:right="99"/>
      </w:pPr>
      <w:hyperlink w:history="true" w:anchor="_bookmark111">
        <w:r>
          <w:rPr/>
          <w:t>Figura 33. Distribución mensual de la precipitación, escurrimientos y evapotranspiración</w:t>
        </w:r>
      </w:hyperlink>
      <w:r>
        <w:rPr/>
        <w:t> </w:t>
      </w:r>
      <w:hyperlink w:history="true" w:anchor="_bookmark111">
        <w:r>
          <w:rPr/>
          <w:t>en la cuenca</w:t>
        </w:r>
        <w:r>
          <w:rPr>
            <w:spacing w:val="4"/>
          </w:rPr>
          <w:t> </w:t>
        </w:r>
        <w:r>
          <w:rPr/>
          <w:t>El Tejocote.</w:t>
          <w:tab/>
          <w:t>134</w:t>
        </w:r>
      </w:hyperlink>
    </w:p>
    <w:p>
      <w:pPr>
        <w:pStyle w:val="BodyText"/>
        <w:tabs>
          <w:tab w:pos="9518" w:val="right" w:leader="dot"/>
        </w:tabs>
        <w:spacing w:line="278" w:lineRule="auto"/>
        <w:ind w:left="116" w:right="99"/>
      </w:pPr>
      <w:hyperlink w:history="true" w:anchor="_bookmark112">
        <w:r>
          <w:rPr/>
          <w:t>Figura 34. Distribución mensual de la precipitación, producción de agua, percolación y</w:t>
        </w:r>
      </w:hyperlink>
      <w:r>
        <w:rPr/>
        <w:t> </w:t>
      </w:r>
      <w:hyperlink w:history="true" w:anchor="_bookmark112">
        <w:r>
          <w:rPr/>
          <w:t>agua en el suelo en la cuenca</w:t>
        </w:r>
        <w:r>
          <w:rPr>
            <w:spacing w:val="9"/>
          </w:rPr>
          <w:t> </w:t>
        </w:r>
        <w:r>
          <w:rPr/>
          <w:t>El Tejocote.</w:t>
          <w:tab/>
          <w:t>135</w:t>
        </w:r>
      </w:hyperlink>
    </w:p>
    <w:p>
      <w:pPr>
        <w:pStyle w:val="BodyText"/>
        <w:tabs>
          <w:tab w:pos="9518" w:val="right" w:leader="dot"/>
        </w:tabs>
        <w:spacing w:line="273" w:lineRule="auto" w:before="1"/>
        <w:ind w:left="116" w:right="99"/>
      </w:pPr>
      <w:hyperlink w:history="true" w:anchor="_bookmark114">
        <w:r>
          <w:rPr/>
          <w:t>Figura 35. Dinámica y magnitud de la producción de sedimentos medidos y simulados en</w:t>
        </w:r>
      </w:hyperlink>
      <w:r>
        <w:rPr/>
        <w:t> </w:t>
      </w:r>
      <w:hyperlink w:history="true" w:anchor="_bookmark114">
        <w:r>
          <w:rPr/>
          <w:t>la cuenca El Tejocote con el modelo SWAT en un período de</w:t>
        </w:r>
        <w:r>
          <w:rPr>
            <w:spacing w:val="12"/>
          </w:rPr>
          <w:t> </w:t>
        </w:r>
        <w:r>
          <w:rPr/>
          <w:t>siete</w:t>
        </w:r>
        <w:r>
          <w:rPr>
            <w:spacing w:val="1"/>
          </w:rPr>
          <w:t> </w:t>
        </w:r>
        <w:r>
          <w:rPr/>
          <w:t>años</w:t>
          <w:tab/>
          <w:t>136</w:t>
        </w:r>
      </w:hyperlink>
    </w:p>
    <w:p>
      <w:pPr>
        <w:pStyle w:val="BodyText"/>
        <w:tabs>
          <w:tab w:pos="9518" w:val="right" w:leader="dot"/>
        </w:tabs>
        <w:spacing w:before="6"/>
        <w:ind w:left="116"/>
      </w:pPr>
      <w:hyperlink w:history="true" w:anchor="_bookmark115">
        <w:r>
          <w:rPr/>
          <w:t>Figura 36. Mapa producción</w:t>
        </w:r>
        <w:r>
          <w:rPr>
            <w:spacing w:val="7"/>
          </w:rPr>
          <w:t> </w:t>
        </w:r>
        <w:r>
          <w:rPr/>
          <w:t>de</w:t>
        </w:r>
        <w:r>
          <w:rPr>
            <w:spacing w:val="1"/>
          </w:rPr>
          <w:t> </w:t>
        </w:r>
        <w:r>
          <w:rPr/>
          <w:t>sedimentos</w:t>
          <w:tab/>
          <w:t>138</w:t>
        </w:r>
      </w:hyperlink>
    </w:p>
    <w:p>
      <w:pPr>
        <w:pStyle w:val="BodyText"/>
        <w:tabs>
          <w:tab w:pos="9518" w:val="right" w:leader="dot"/>
        </w:tabs>
        <w:spacing w:before="42"/>
        <w:ind w:left="116"/>
      </w:pPr>
      <w:hyperlink w:history="true" w:anchor="_bookmark116">
        <w:r>
          <w:rPr/>
          <w:t>Figura 37. Producción de sedimentos por</w:t>
        </w:r>
        <w:r>
          <w:rPr>
            <w:spacing w:val="8"/>
          </w:rPr>
          <w:t> </w:t>
        </w:r>
        <w:r>
          <w:rPr/>
          <w:t>núcleos</w:t>
        </w:r>
        <w:r>
          <w:rPr>
            <w:spacing w:val="1"/>
          </w:rPr>
          <w:t> </w:t>
        </w:r>
        <w:r>
          <w:rPr/>
          <w:t>agrarios</w:t>
          <w:tab/>
          <w:t>140</w:t>
        </w:r>
      </w:hyperlink>
    </w:p>
    <w:p>
      <w:pPr>
        <w:pStyle w:val="BodyText"/>
        <w:tabs>
          <w:tab w:pos="9518" w:val="right" w:leader="dot"/>
        </w:tabs>
        <w:spacing w:before="46"/>
        <w:ind w:left="116"/>
      </w:pPr>
      <w:hyperlink w:history="true" w:anchor="_bookmark121">
        <w:r>
          <w:rPr/>
          <w:t>Figura 38. Mapa producción</w:t>
        </w:r>
        <w:r>
          <w:rPr>
            <w:spacing w:val="7"/>
          </w:rPr>
          <w:t> </w:t>
        </w:r>
        <w:r>
          <w:rPr/>
          <w:t>de</w:t>
        </w:r>
        <w:r>
          <w:rPr>
            <w:spacing w:val="1"/>
          </w:rPr>
          <w:t> </w:t>
        </w:r>
        <w:r>
          <w:rPr/>
          <w:t>biomasa</w:t>
          <w:tab/>
          <w:t>143</w:t>
        </w:r>
      </w:hyperlink>
    </w:p>
    <w:p>
      <w:pPr>
        <w:spacing w:after="0"/>
        <w:sectPr>
          <w:pgSz w:w="12240" w:h="15840"/>
          <w:pgMar w:header="0" w:footer="1473" w:top="1360" w:bottom="1660" w:left="1300" w:right="1320"/>
        </w:sectPr>
      </w:pPr>
    </w:p>
    <w:p>
      <w:pPr>
        <w:pStyle w:val="BodyText"/>
        <w:tabs>
          <w:tab w:pos="9518" w:val="right" w:leader="dot"/>
        </w:tabs>
        <w:spacing w:before="49"/>
        <w:ind w:left="116"/>
      </w:pPr>
      <w:hyperlink w:history="true" w:anchor="_bookmark125">
        <w:r>
          <w:rPr/>
          <w:t>Figura 39. Mapa erosión</w:t>
        </w:r>
        <w:r>
          <w:rPr>
            <w:spacing w:val="7"/>
          </w:rPr>
          <w:t> </w:t>
        </w:r>
        <w:r>
          <w:rPr/>
          <w:t>de</w:t>
        </w:r>
        <w:r>
          <w:rPr>
            <w:spacing w:val="1"/>
          </w:rPr>
          <w:t> </w:t>
        </w:r>
        <w:r>
          <w:rPr/>
          <w:t>suelos</w:t>
          <w:tab/>
          <w:t>148</w:t>
        </w:r>
      </w:hyperlink>
    </w:p>
    <w:p>
      <w:pPr>
        <w:pStyle w:val="BodyText"/>
        <w:tabs>
          <w:tab w:pos="9518" w:val="right" w:leader="dot"/>
        </w:tabs>
        <w:spacing w:before="46"/>
        <w:ind w:left="116"/>
      </w:pPr>
      <w:hyperlink w:history="true" w:anchor="_bookmark127">
        <w:r>
          <w:rPr/>
          <w:t>Figura 40. Surcado</w:t>
        </w:r>
        <w:r>
          <w:rPr>
            <w:spacing w:val="5"/>
          </w:rPr>
          <w:t> </w:t>
        </w:r>
        <w:r>
          <w:rPr/>
          <w:t>en</w:t>
        </w:r>
        <w:r>
          <w:rPr>
            <w:spacing w:val="1"/>
          </w:rPr>
          <w:t> </w:t>
        </w:r>
        <w:r>
          <w:rPr/>
          <w:t>contorno</w:t>
          <w:tab/>
          <w:t>150</w:t>
        </w:r>
      </w:hyperlink>
    </w:p>
    <w:p>
      <w:pPr>
        <w:pStyle w:val="BodyText"/>
        <w:tabs>
          <w:tab w:pos="9518" w:val="right" w:leader="dot"/>
        </w:tabs>
        <w:spacing w:before="46"/>
        <w:ind w:left="116"/>
      </w:pPr>
      <w:hyperlink w:history="true" w:anchor="_bookmark128">
        <w:r>
          <w:rPr/>
          <w:t>Figura 41. Surcos o</w:t>
        </w:r>
        <w:r>
          <w:rPr>
            <w:spacing w:val="5"/>
          </w:rPr>
          <w:t> </w:t>
        </w:r>
        <w:r>
          <w:rPr/>
          <w:t>melgas</w:t>
        </w:r>
        <w:r>
          <w:rPr>
            <w:spacing w:val="1"/>
          </w:rPr>
          <w:t> </w:t>
        </w:r>
        <w:r>
          <w:rPr/>
          <w:t>rectas</w:t>
          <w:tab/>
          <w:t>152</w:t>
        </w:r>
      </w:hyperlink>
    </w:p>
    <w:p>
      <w:pPr>
        <w:pStyle w:val="BodyText"/>
        <w:tabs>
          <w:tab w:pos="9518" w:val="right" w:leader="dot"/>
        </w:tabs>
        <w:spacing w:before="42"/>
        <w:ind w:left="116"/>
      </w:pPr>
      <w:hyperlink w:history="true" w:anchor="_bookmark129">
        <w:r>
          <w:rPr/>
          <w:t>Figura 42. Terraza de</w:t>
        </w:r>
        <w:r>
          <w:rPr>
            <w:spacing w:val="7"/>
          </w:rPr>
          <w:t> </w:t>
        </w:r>
        <w:r>
          <w:rPr/>
          <w:t>formación</w:t>
        </w:r>
        <w:r>
          <w:rPr>
            <w:spacing w:val="1"/>
          </w:rPr>
          <w:t> </w:t>
        </w:r>
        <w:r>
          <w:rPr/>
          <w:t>sucesiva</w:t>
          <w:tab/>
          <w:t>152</w:t>
        </w:r>
      </w:hyperlink>
    </w:p>
    <w:p>
      <w:pPr>
        <w:pStyle w:val="BodyText"/>
        <w:tabs>
          <w:tab w:pos="9518" w:val="right" w:leader="dot"/>
        </w:tabs>
        <w:spacing w:before="46"/>
        <w:ind w:left="116"/>
      </w:pPr>
      <w:hyperlink w:history="true" w:anchor="_bookmark132">
        <w:r>
          <w:rPr/>
          <w:t>Figura 43. Unidades de Gestión Ambiental de la cuenca</w:t>
        </w:r>
        <w:r>
          <w:rPr>
            <w:spacing w:val="15"/>
          </w:rPr>
          <w:t> </w:t>
        </w:r>
        <w:r>
          <w:rPr/>
          <w:t>El Tejocote</w:t>
          <w:tab/>
          <w:t>156</w:t>
        </w:r>
      </w:hyperlink>
    </w:p>
    <w:p>
      <w:pPr>
        <w:pStyle w:val="BodyText"/>
      </w:pPr>
    </w:p>
    <w:p>
      <w:pPr>
        <w:pStyle w:val="BodyText"/>
      </w:pPr>
    </w:p>
    <w:p>
      <w:pPr>
        <w:pStyle w:val="BodyText"/>
        <w:spacing w:before="6"/>
        <w:rPr>
          <w:sz w:val="35"/>
        </w:rPr>
      </w:pPr>
    </w:p>
    <w:p>
      <w:pPr>
        <w:pStyle w:val="Heading1"/>
        <w:ind w:left="3441" w:right="3423"/>
        <w:jc w:val="center"/>
      </w:pPr>
      <w:bookmarkStart w:name="_bookmark2" w:id="3"/>
      <w:bookmarkEnd w:id="3"/>
      <w:r>
        <w:rPr>
          <w:b w:val="0"/>
        </w:rPr>
      </w:r>
      <w:r>
        <w:rPr/>
        <w:t>ÍNDICE DE ANEXOS</w:t>
      </w:r>
    </w:p>
    <w:p>
      <w:pPr>
        <w:pStyle w:val="BodyText"/>
        <w:tabs>
          <w:tab w:pos="9518" w:val="right" w:leader="dot"/>
        </w:tabs>
        <w:spacing w:before="488"/>
        <w:ind w:left="116"/>
      </w:pPr>
      <w:hyperlink w:history="true" w:anchor="_bookmark138">
        <w:r>
          <w:rPr/>
          <w:t>Tabla 1.  Resultados ciclo hidrológico de la cuenca</w:t>
        </w:r>
        <w:r>
          <w:rPr>
            <w:spacing w:val="11"/>
          </w:rPr>
          <w:t> </w:t>
        </w:r>
        <w:r>
          <w:rPr/>
          <w:t>El Tejocote</w:t>
          <w:tab/>
          <w:t>173</w:t>
        </w:r>
      </w:hyperlink>
    </w:p>
    <w:p>
      <w:pPr>
        <w:pStyle w:val="BodyText"/>
        <w:tabs>
          <w:tab w:pos="9518" w:val="right" w:leader="dot"/>
        </w:tabs>
        <w:spacing w:before="42"/>
        <w:ind w:left="116"/>
      </w:pPr>
      <w:hyperlink w:history="true" w:anchor="_bookmark139">
        <w:r>
          <w:rPr/>
          <w:t>Tabla 2. Resultados de salida del</w:t>
        </w:r>
        <w:r>
          <w:rPr>
            <w:spacing w:val="6"/>
          </w:rPr>
          <w:t> </w:t>
        </w:r>
        <w:r>
          <w:rPr/>
          <w:t>modelo</w:t>
        </w:r>
        <w:r>
          <w:rPr>
            <w:spacing w:val="5"/>
          </w:rPr>
          <w:t> </w:t>
        </w:r>
        <w:r>
          <w:rPr/>
          <w:t>SWAT</w:t>
          <w:tab/>
          <w:t>174</w:t>
        </w:r>
      </w:hyperlink>
    </w:p>
    <w:p>
      <w:pPr>
        <w:pStyle w:val="BodyText"/>
        <w:tabs>
          <w:tab w:pos="9518" w:val="right" w:leader="dot"/>
        </w:tabs>
        <w:spacing w:before="47"/>
        <w:ind w:left="116"/>
      </w:pPr>
      <w:hyperlink w:history="true" w:anchor="_bookmark140">
        <w:r>
          <w:rPr/>
          <w:t>Tabla 3. Producción de escurrimientos superficiales por</w:t>
        </w:r>
        <w:r>
          <w:rPr>
            <w:spacing w:val="7"/>
          </w:rPr>
          <w:t> </w:t>
        </w:r>
        <w:r>
          <w:rPr/>
          <w:t>subcuenca</w:t>
        </w:r>
        <w:r>
          <w:rPr>
            <w:spacing w:val="1"/>
          </w:rPr>
          <w:t> </w:t>
        </w:r>
        <w:r>
          <w:rPr/>
          <w:t>(mm)</w:t>
          <w:tab/>
          <w:t>181</w:t>
        </w:r>
      </w:hyperlink>
    </w:p>
    <w:p>
      <w:pPr>
        <w:pStyle w:val="BodyText"/>
        <w:tabs>
          <w:tab w:pos="9518" w:val="right" w:leader="dot"/>
        </w:tabs>
        <w:spacing w:before="46"/>
        <w:ind w:left="116"/>
      </w:pPr>
      <w:hyperlink w:history="true" w:anchor="_bookmark141">
        <w:r>
          <w:rPr/>
          <w:t>Tabla 4.  Estadísticas climatológicas de la estación</w:t>
        </w:r>
        <w:r>
          <w:rPr>
            <w:spacing w:val="8"/>
          </w:rPr>
          <w:t> </w:t>
        </w:r>
        <w:r>
          <w:rPr/>
          <w:t>15001 Acambay</w:t>
          <w:tab/>
          <w:t>182</w:t>
        </w:r>
      </w:hyperlink>
    </w:p>
    <w:p>
      <w:pPr>
        <w:pStyle w:val="BodyText"/>
        <w:tabs>
          <w:tab w:pos="9518" w:val="right" w:leader="dot"/>
        </w:tabs>
        <w:spacing w:before="42"/>
        <w:ind w:left="116"/>
      </w:pPr>
      <w:hyperlink w:history="true" w:anchor="_bookmark142">
        <w:r>
          <w:rPr/>
          <w:t>Tabla 5. Estadísticas climatológicas de la estación</w:t>
        </w:r>
        <w:r>
          <w:rPr>
            <w:spacing w:val="5"/>
          </w:rPr>
          <w:t> </w:t>
        </w:r>
        <w:r>
          <w:rPr/>
          <w:t>15029</w:t>
        </w:r>
        <w:r>
          <w:rPr>
            <w:spacing w:val="5"/>
          </w:rPr>
          <w:t> </w:t>
        </w:r>
        <w:r>
          <w:rPr/>
          <w:t>Atlacomulco</w:t>
          <w:tab/>
          <w:t>183</w:t>
        </w:r>
      </w:hyperlink>
    </w:p>
    <w:p>
      <w:pPr>
        <w:pStyle w:val="BodyText"/>
        <w:tabs>
          <w:tab w:pos="9518" w:val="right" w:leader="dot"/>
        </w:tabs>
        <w:spacing w:before="46"/>
        <w:ind w:left="116"/>
      </w:pPr>
      <w:hyperlink w:history="true" w:anchor="_bookmark143">
        <w:r>
          <w:rPr/>
          <w:t>Tabla 6. Estadísticas climatológicas de la estación 15251 Atlacomulco</w:t>
        </w:r>
        <w:r>
          <w:rPr>
            <w:spacing w:val="-1"/>
          </w:rPr>
          <w:t> </w:t>
        </w:r>
        <w:r>
          <w:rPr/>
          <w:t>(Prepa)</w:t>
          <w:tab/>
          <w:t>184</w:t>
        </w:r>
      </w:hyperlink>
    </w:p>
    <w:p>
      <w:pPr>
        <w:pStyle w:val="BodyText"/>
        <w:tabs>
          <w:tab w:pos="9518" w:val="right" w:leader="dot"/>
        </w:tabs>
        <w:spacing w:before="42"/>
        <w:ind w:left="116"/>
      </w:pPr>
      <w:hyperlink w:history="true" w:anchor="_bookmark144">
        <w:r>
          <w:rPr/>
          <w:t>Tabla 7. Estadísticas climatológicas de la estación 15261</w:t>
        </w:r>
        <w:r>
          <w:rPr>
            <w:spacing w:val="7"/>
          </w:rPr>
          <w:t> </w:t>
        </w:r>
        <w:r>
          <w:rPr/>
          <w:t>El Jasmin</w:t>
          <w:tab/>
          <w:t>185</w:t>
        </w:r>
      </w:hyperlink>
    </w:p>
    <w:p>
      <w:pPr>
        <w:pStyle w:val="BodyText"/>
        <w:tabs>
          <w:tab w:pos="9518" w:val="right" w:leader="dot"/>
        </w:tabs>
        <w:spacing w:before="47"/>
        <w:ind w:left="116"/>
      </w:pPr>
      <w:hyperlink w:history="true" w:anchor="_bookmark145">
        <w:r>
          <w:rPr/>
          <w:t>Tabla 8. Temperatura máxima mensual promedio</w:t>
        </w:r>
        <w:r>
          <w:rPr>
            <w:spacing w:val="6"/>
          </w:rPr>
          <w:t> </w:t>
        </w:r>
        <w:r>
          <w:rPr/>
          <w:t>por</w:t>
        </w:r>
        <w:r>
          <w:rPr>
            <w:spacing w:val="1"/>
          </w:rPr>
          <w:t> </w:t>
        </w:r>
        <w:r>
          <w:rPr/>
          <w:t>subcuenca</w:t>
          <w:tab/>
          <w:t>186</w:t>
        </w:r>
      </w:hyperlink>
    </w:p>
    <w:p>
      <w:pPr>
        <w:pStyle w:val="BodyText"/>
        <w:tabs>
          <w:tab w:pos="9518" w:val="right" w:leader="dot"/>
        </w:tabs>
        <w:spacing w:before="46"/>
        <w:ind w:left="116"/>
      </w:pPr>
      <w:hyperlink w:history="true" w:anchor="_bookmark146">
        <w:r>
          <w:rPr/>
          <w:t>Tabla 9. Temperatura mínima mensual promedio</w:t>
        </w:r>
        <w:r>
          <w:rPr>
            <w:spacing w:val="6"/>
          </w:rPr>
          <w:t> </w:t>
        </w:r>
        <w:r>
          <w:rPr/>
          <w:t>por</w:t>
        </w:r>
        <w:r>
          <w:rPr>
            <w:spacing w:val="1"/>
          </w:rPr>
          <w:t> </w:t>
        </w:r>
        <w:r>
          <w:rPr/>
          <w:t>subcuenca</w:t>
          <w:tab/>
          <w:t>187</w:t>
        </w:r>
      </w:hyperlink>
    </w:p>
    <w:p>
      <w:pPr>
        <w:pStyle w:val="BodyText"/>
        <w:tabs>
          <w:tab w:pos="9518" w:val="right" w:leader="dot"/>
        </w:tabs>
        <w:spacing w:before="42"/>
        <w:ind w:left="116"/>
      </w:pPr>
      <w:hyperlink w:history="true" w:anchor="_bookmark147">
        <w:r>
          <w:rPr/>
          <w:t>Tabla 10. Valores de radiación solar</w:t>
        </w:r>
        <w:r>
          <w:rPr>
            <w:spacing w:val="11"/>
          </w:rPr>
          <w:t> </w:t>
        </w:r>
        <w:r>
          <w:rPr/>
          <w:t>por</w:t>
        </w:r>
        <w:r>
          <w:rPr>
            <w:spacing w:val="-4"/>
          </w:rPr>
          <w:t> </w:t>
        </w:r>
        <w:r>
          <w:rPr/>
          <w:t>subcuenca</w:t>
          <w:tab/>
          <w:t>188</w:t>
        </w:r>
      </w:hyperlink>
    </w:p>
    <w:p>
      <w:pPr>
        <w:pStyle w:val="BodyText"/>
        <w:tabs>
          <w:tab w:pos="9518" w:val="right" w:leader="dot"/>
        </w:tabs>
        <w:spacing w:before="46"/>
        <w:ind w:left="116"/>
      </w:pPr>
      <w:hyperlink w:history="true" w:anchor="_bookmark148">
        <w:r>
          <w:rPr/>
          <w:t>Tabla 11. Cantidad máxima de lluvia en 0.5 h</w:t>
        </w:r>
        <w:r>
          <w:rPr>
            <w:spacing w:val="13"/>
          </w:rPr>
          <w:t> </w:t>
        </w:r>
        <w:r>
          <w:rPr/>
          <w:t>por</w:t>
        </w:r>
        <w:r>
          <w:rPr>
            <w:spacing w:val="1"/>
          </w:rPr>
          <w:t> </w:t>
        </w:r>
        <w:r>
          <w:rPr/>
          <w:t>subcuenca</w:t>
          <w:tab/>
          <w:t>190</w:t>
        </w:r>
      </w:hyperlink>
    </w:p>
    <w:p>
      <w:pPr>
        <w:pStyle w:val="BodyText"/>
        <w:tabs>
          <w:tab w:pos="9518" w:val="right" w:leader="dot"/>
        </w:tabs>
        <w:spacing w:line="276" w:lineRule="auto" w:before="46"/>
        <w:ind w:left="116" w:right="99"/>
      </w:pPr>
      <w:hyperlink w:history="true" w:anchor="_bookmark149">
        <w:r>
          <w:rPr/>
          <w:t>Tabla 12. Promedio mensual de un día de lluvia después de un día seco por subcuenca</w:t>
        </w:r>
        <w:r>
          <w:rPr>
            <w:spacing w:val="-31"/>
          </w:rPr>
          <w:t> </w:t>
        </w:r>
        <w:r>
          <w:rPr/>
          <w:t>191</w:t>
        </w:r>
      </w:hyperlink>
      <w:r>
        <w:rPr/>
        <w:t> </w:t>
      </w:r>
      <w:hyperlink w:history="true" w:anchor="_bookmark150">
        <w:r>
          <w:rPr/>
          <w:t>Tabla 13.Probabilidad mensual de un día de lluvia después e otro día de lluvia por</w:t>
        </w:r>
      </w:hyperlink>
      <w:r>
        <w:rPr/>
        <w:t> </w:t>
      </w:r>
      <w:hyperlink w:history="true" w:anchor="_bookmark150">
        <w:r>
          <w:rPr/>
          <w:t>subcuenca</w:t>
          <w:tab/>
          <w:t>192</w:t>
        </w:r>
      </w:hyperlink>
    </w:p>
    <w:p>
      <w:pPr>
        <w:pStyle w:val="BodyText"/>
        <w:tabs>
          <w:tab w:pos="9518" w:val="right" w:leader="dot"/>
        </w:tabs>
        <w:spacing w:before="3"/>
        <w:ind w:left="116"/>
      </w:pPr>
      <w:hyperlink w:history="true" w:anchor="_bookmark151">
        <w:r>
          <w:rPr/>
          <w:t>Tabla 14. Punto de rocío</w:t>
        </w:r>
        <w:r>
          <w:rPr>
            <w:spacing w:val="4"/>
          </w:rPr>
          <w:t> </w:t>
        </w:r>
        <w:r>
          <w:rPr/>
          <w:t>por</w:t>
        </w:r>
        <w:r>
          <w:rPr>
            <w:spacing w:val="1"/>
          </w:rPr>
          <w:t> </w:t>
        </w:r>
        <w:r>
          <w:rPr/>
          <w:t>subcuenca</w:t>
          <w:tab/>
          <w:t>194</w:t>
        </w:r>
      </w:hyperlink>
    </w:p>
    <w:p>
      <w:pPr>
        <w:pStyle w:val="BodyText"/>
        <w:tabs>
          <w:tab w:pos="9518" w:val="right" w:leader="dot"/>
        </w:tabs>
        <w:spacing w:line="278" w:lineRule="auto" w:before="42"/>
        <w:ind w:left="116" w:right="99"/>
      </w:pPr>
      <w:hyperlink w:history="true" w:anchor="_bookmark152">
        <w:r>
          <w:rPr/>
          <w:t>Tabla 15. Textura, Grupo Hidrológico, Número de capas y Profundidad máximo de la</w:t>
        </w:r>
      </w:hyperlink>
      <w:r>
        <w:rPr/>
        <w:t> </w:t>
      </w:r>
      <w:hyperlink w:history="true" w:anchor="_bookmark152">
        <w:r>
          <w:rPr/>
          <w:t>última capa de cada suelo en la cuenca</w:t>
        </w:r>
        <w:r>
          <w:rPr>
            <w:spacing w:val="10"/>
          </w:rPr>
          <w:t> </w:t>
        </w:r>
        <w:r>
          <w:rPr/>
          <w:t>El Tejocote</w:t>
          <w:tab/>
          <w:t>196</w:t>
        </w:r>
      </w:hyperlink>
    </w:p>
    <w:p>
      <w:pPr>
        <w:pStyle w:val="BodyText"/>
        <w:tabs>
          <w:tab w:pos="9518" w:val="right" w:leader="dot"/>
        </w:tabs>
        <w:spacing w:line="295" w:lineRule="exact"/>
        <w:ind w:left="116"/>
      </w:pPr>
      <w:hyperlink w:history="true" w:anchor="_bookmark153">
        <w:r>
          <w:rPr/>
          <w:t>Tabla 16. Contenido de arcilla</w:t>
        </w:r>
        <w:r>
          <w:rPr>
            <w:spacing w:val="10"/>
          </w:rPr>
          <w:t> </w:t>
        </w:r>
        <w:r>
          <w:rPr/>
          <w:t>del</w:t>
        </w:r>
        <w:r>
          <w:rPr>
            <w:spacing w:val="-4"/>
          </w:rPr>
          <w:t> </w:t>
        </w:r>
        <w:r>
          <w:rPr/>
          <w:t>suelo</w:t>
          <w:tab/>
          <w:t>197</w:t>
        </w:r>
      </w:hyperlink>
    </w:p>
    <w:p>
      <w:pPr>
        <w:pStyle w:val="BodyText"/>
        <w:tabs>
          <w:tab w:pos="9518" w:val="right" w:leader="dot"/>
        </w:tabs>
        <w:spacing w:before="46"/>
        <w:ind w:left="116"/>
      </w:pPr>
      <w:hyperlink w:history="true" w:anchor="_bookmark154">
        <w:r>
          <w:rPr/>
          <w:t>Tabla 17. Contenido de fragmentos de roca</w:t>
        </w:r>
        <w:r>
          <w:rPr>
            <w:spacing w:val="11"/>
          </w:rPr>
          <w:t> </w:t>
        </w:r>
        <w:r>
          <w:rPr/>
          <w:t>del suelo</w:t>
          <w:tab/>
          <w:t>197</w:t>
        </w:r>
      </w:hyperlink>
    </w:p>
    <w:p>
      <w:pPr>
        <w:pStyle w:val="BodyText"/>
        <w:tabs>
          <w:tab w:pos="9518" w:val="right" w:leader="dot"/>
        </w:tabs>
        <w:spacing w:before="46"/>
        <w:ind w:left="116"/>
      </w:pPr>
      <w:hyperlink w:history="true" w:anchor="_bookmark155">
        <w:r>
          <w:rPr/>
          <w:t>Tabla 18. Contenido de arena</w:t>
        </w:r>
        <w:r>
          <w:rPr>
            <w:spacing w:val="10"/>
          </w:rPr>
          <w:t> </w:t>
        </w:r>
        <w:r>
          <w:rPr/>
          <w:t>del</w:t>
        </w:r>
        <w:r>
          <w:rPr>
            <w:spacing w:val="-4"/>
          </w:rPr>
          <w:t> </w:t>
        </w:r>
        <w:r>
          <w:rPr/>
          <w:t>suelo</w:t>
          <w:tab/>
          <w:t>198</w:t>
        </w:r>
      </w:hyperlink>
    </w:p>
    <w:p>
      <w:pPr>
        <w:pStyle w:val="BodyText"/>
        <w:tabs>
          <w:tab w:pos="9518" w:val="right" w:leader="dot"/>
        </w:tabs>
        <w:spacing w:before="42"/>
        <w:ind w:left="116"/>
      </w:pPr>
      <w:hyperlink w:history="true" w:anchor="_bookmark156">
        <w:r>
          <w:rPr/>
          <w:t>Tabla 19. Contenido de limo</w:t>
        </w:r>
        <w:r>
          <w:rPr>
            <w:spacing w:val="8"/>
          </w:rPr>
          <w:t> </w:t>
        </w:r>
        <w:r>
          <w:rPr/>
          <w:t>del suelo</w:t>
          <w:tab/>
          <w:t>199</w:t>
        </w:r>
      </w:hyperlink>
    </w:p>
    <w:p>
      <w:pPr>
        <w:pStyle w:val="BodyText"/>
        <w:tabs>
          <w:tab w:pos="9518" w:val="right" w:leader="dot"/>
        </w:tabs>
        <w:spacing w:before="46"/>
        <w:ind w:left="116"/>
      </w:pPr>
      <w:hyperlink w:history="true" w:anchor="_bookmark157">
        <w:r>
          <w:rPr/>
          <w:t>Tabla 20. Albedo húmedo</w:t>
        </w:r>
        <w:r>
          <w:rPr>
            <w:spacing w:val="6"/>
          </w:rPr>
          <w:t> </w:t>
        </w:r>
        <w:r>
          <w:rPr/>
          <w:t>del suelo</w:t>
          <w:tab/>
          <w:t>200</w:t>
        </w:r>
      </w:hyperlink>
    </w:p>
    <w:p>
      <w:pPr>
        <w:pStyle w:val="BodyText"/>
        <w:tabs>
          <w:tab w:pos="9518" w:val="right" w:leader="dot"/>
        </w:tabs>
        <w:spacing w:before="47"/>
        <w:ind w:left="116"/>
      </w:pPr>
      <w:hyperlink w:history="true" w:anchor="_bookmark158">
        <w:r>
          <w:rPr/>
          <w:t>Tabla 21. Capacidad disponible de agua</w:t>
        </w:r>
        <w:r>
          <w:rPr>
            <w:spacing w:val="11"/>
          </w:rPr>
          <w:t> </w:t>
        </w:r>
        <w:r>
          <w:rPr/>
          <w:t>en</w:t>
        </w:r>
        <w:r>
          <w:rPr>
            <w:spacing w:val="1"/>
          </w:rPr>
          <w:t> </w:t>
        </w:r>
        <w:r>
          <w:rPr/>
          <w:t>suelos</w:t>
          <w:tab/>
          <w:t>201</w:t>
        </w:r>
      </w:hyperlink>
    </w:p>
    <w:p>
      <w:pPr>
        <w:pStyle w:val="BodyText"/>
        <w:tabs>
          <w:tab w:pos="9518" w:val="right" w:leader="dot"/>
        </w:tabs>
        <w:spacing w:before="42"/>
        <w:ind w:left="116"/>
      </w:pPr>
      <w:hyperlink w:history="true" w:anchor="_bookmark159">
        <w:r>
          <w:rPr/>
          <w:t>Tabla 22. Densidad húmeda aparente</w:t>
        </w:r>
        <w:r>
          <w:rPr>
            <w:spacing w:val="9"/>
          </w:rPr>
          <w:t> </w:t>
        </w:r>
        <w:r>
          <w:rPr/>
          <w:t>del suelo</w:t>
          <w:tab/>
          <w:t>201</w:t>
        </w:r>
      </w:hyperlink>
    </w:p>
    <w:p>
      <w:pPr>
        <w:pStyle w:val="BodyText"/>
        <w:tabs>
          <w:tab w:pos="9518" w:val="right" w:leader="dot"/>
        </w:tabs>
        <w:spacing w:before="46"/>
        <w:ind w:left="116"/>
      </w:pPr>
      <w:hyperlink w:history="true" w:anchor="_bookmark160">
        <w:r>
          <w:rPr/>
          <w:t>Tabla 23. Contenido de carbonato de Calcio</w:t>
        </w:r>
        <w:r>
          <w:rPr>
            <w:spacing w:val="11"/>
          </w:rPr>
          <w:t> </w:t>
        </w:r>
        <w:r>
          <w:rPr/>
          <w:t>del</w:t>
        </w:r>
        <w:r>
          <w:rPr>
            <w:spacing w:val="5"/>
          </w:rPr>
          <w:t> </w:t>
        </w:r>
        <w:r>
          <w:rPr/>
          <w:t>suelo</w:t>
          <w:tab/>
          <w:t>202</w:t>
        </w:r>
      </w:hyperlink>
    </w:p>
    <w:p>
      <w:pPr>
        <w:pStyle w:val="BodyText"/>
        <w:tabs>
          <w:tab w:pos="9518" w:val="right" w:leader="dot"/>
        </w:tabs>
        <w:spacing w:before="42"/>
        <w:ind w:left="116"/>
      </w:pPr>
      <w:hyperlink w:history="true" w:anchor="_bookmark161">
        <w:r>
          <w:rPr/>
          <w:t>Tabla 24. Contenido orgánico de carbón</w:t>
        </w:r>
        <w:r>
          <w:rPr>
            <w:spacing w:val="11"/>
          </w:rPr>
          <w:t> </w:t>
        </w:r>
        <w:r>
          <w:rPr/>
          <w:t>del suelo</w:t>
          <w:tab/>
          <w:t>203</w:t>
        </w:r>
      </w:hyperlink>
    </w:p>
    <w:p>
      <w:pPr>
        <w:spacing w:after="0"/>
        <w:sectPr>
          <w:footerReference w:type="default" r:id="rId8"/>
          <w:pgSz w:w="12240" w:h="15840"/>
          <w:pgMar w:footer="1473" w:header="0" w:top="1360" w:bottom="1660" w:left="1300" w:right="1320"/>
          <w:pgNumType w:start="9"/>
        </w:sectPr>
      </w:pPr>
    </w:p>
    <w:p>
      <w:pPr>
        <w:pStyle w:val="BodyText"/>
        <w:tabs>
          <w:tab w:pos="9518" w:val="right" w:leader="dot"/>
        </w:tabs>
        <w:spacing w:before="49"/>
        <w:ind w:left="116"/>
      </w:pPr>
      <w:hyperlink w:history="true" w:anchor="_bookmark162">
        <w:r>
          <w:rPr/>
          <w:t>Tabla 25. Conductividad eléctrica</w:t>
        </w:r>
        <w:r>
          <w:rPr>
            <w:spacing w:val="6"/>
          </w:rPr>
          <w:t> </w:t>
        </w:r>
        <w:r>
          <w:rPr/>
          <w:t>del suelo</w:t>
          <w:tab/>
          <w:t>204</w:t>
        </w:r>
      </w:hyperlink>
    </w:p>
    <w:p>
      <w:pPr>
        <w:pStyle w:val="BodyText"/>
        <w:tabs>
          <w:tab w:pos="9518" w:val="right" w:leader="dot"/>
        </w:tabs>
        <w:spacing w:before="46"/>
        <w:ind w:left="116"/>
      </w:pPr>
      <w:hyperlink w:history="true" w:anchor="_bookmark163">
        <w:r>
          <w:rPr/>
          <w:t>Tabla 26. Conductividad hidráulica saturada</w:t>
        </w:r>
        <w:r>
          <w:rPr>
            <w:spacing w:val="8"/>
          </w:rPr>
          <w:t> </w:t>
        </w:r>
        <w:r>
          <w:rPr/>
          <w:t>del suelo</w:t>
          <w:tab/>
          <w:t>205</w:t>
        </w:r>
      </w:hyperlink>
    </w:p>
    <w:p>
      <w:pPr>
        <w:pStyle w:val="BodyText"/>
        <w:tabs>
          <w:tab w:pos="9518" w:val="right" w:leader="dot"/>
        </w:tabs>
        <w:spacing w:before="46"/>
        <w:ind w:left="116"/>
      </w:pPr>
      <w:hyperlink w:history="true" w:anchor="_bookmark164">
        <w:r>
          <w:rPr/>
          <w:t>Tabla 27. pH</w:t>
        </w:r>
        <w:r>
          <w:rPr>
            <w:spacing w:val="5"/>
          </w:rPr>
          <w:t> </w:t>
        </w:r>
        <w:r>
          <w:rPr/>
          <w:t>del</w:t>
        </w:r>
        <w:r>
          <w:rPr>
            <w:spacing w:val="-4"/>
          </w:rPr>
          <w:t> </w:t>
        </w:r>
        <w:r>
          <w:rPr/>
          <w:t>suelo</w:t>
          <w:tab/>
          <w:t>205</w:t>
        </w:r>
      </w:hyperlink>
    </w:p>
    <w:p>
      <w:pPr>
        <w:pStyle w:val="BodyText"/>
        <w:tabs>
          <w:tab w:pos="9518" w:val="right" w:leader="dot"/>
        </w:tabs>
        <w:spacing w:before="42"/>
        <w:ind w:left="116"/>
      </w:pPr>
      <w:hyperlink w:history="true" w:anchor="_bookmark165">
        <w:r>
          <w:rPr/>
          <w:t>Tabla 28. Profundidad de cada capa</w:t>
        </w:r>
        <w:r>
          <w:rPr>
            <w:spacing w:val="6"/>
          </w:rPr>
          <w:t> </w:t>
        </w:r>
        <w:r>
          <w:rPr/>
          <w:t>del suelo</w:t>
          <w:tab/>
          <w:t>206</w:t>
        </w:r>
      </w:hyperlink>
    </w:p>
    <w:p>
      <w:pPr>
        <w:pStyle w:val="BodyText"/>
        <w:tabs>
          <w:tab w:pos="9518" w:val="right" w:leader="dot"/>
        </w:tabs>
        <w:spacing w:before="46"/>
        <w:ind w:left="116"/>
      </w:pPr>
      <w:hyperlink w:history="true" w:anchor="_bookmark166">
        <w:r>
          <w:rPr/>
          <w:t>Tabla 29. Factor K de erosibidad</w:t>
        </w:r>
        <w:r>
          <w:rPr>
            <w:spacing w:val="4"/>
          </w:rPr>
          <w:t> </w:t>
        </w:r>
        <w:r>
          <w:rPr/>
          <w:t>del suelo</w:t>
          <w:tab/>
          <w:t>207</w:t>
        </w:r>
      </w:hyperlink>
    </w:p>
    <w:p>
      <w:pPr>
        <w:pStyle w:val="BodyText"/>
        <w:tabs>
          <w:tab w:pos="9518" w:val="right" w:leader="dot"/>
        </w:tabs>
        <w:spacing w:line="273" w:lineRule="auto" w:before="46"/>
        <w:ind w:left="116" w:right="99"/>
      </w:pPr>
      <w:hyperlink w:history="true" w:anchor="_bookmark167">
        <w:r>
          <w:rPr/>
          <w:t>Tabla 30. Ancho promedio, profundidad del cauce, pendiente media, longitud promedio y</w:t>
        </w:r>
      </w:hyperlink>
      <w:r>
        <w:rPr/>
        <w:t> </w:t>
      </w:r>
      <w:hyperlink w:history="true" w:anchor="_bookmark167">
        <w:r>
          <w:rPr/>
          <w:t>rugosidad</w:t>
        </w:r>
        <w:r>
          <w:rPr>
            <w:spacing w:val="1"/>
          </w:rPr>
          <w:t> </w:t>
        </w:r>
        <w:r>
          <w:rPr/>
          <w:t>del cauce</w:t>
          <w:tab/>
          <w:t>209</w:t>
        </w:r>
      </w:hyperlink>
    </w:p>
    <w:p>
      <w:pPr>
        <w:pStyle w:val="BodyText"/>
        <w:tabs>
          <w:tab w:pos="9518" w:val="right" w:leader="dot"/>
        </w:tabs>
        <w:spacing w:before="6"/>
        <w:ind w:left="116"/>
      </w:pPr>
      <w:hyperlink w:history="true" w:anchor="_bookmark168">
        <w:r>
          <w:rPr/>
          <w:t>Tabla 31. Grupos hidrológicos usados por</w:t>
        </w:r>
        <w:r>
          <w:rPr>
            <w:spacing w:val="9"/>
          </w:rPr>
          <w:t> </w:t>
        </w:r>
        <w:r>
          <w:rPr/>
          <w:t>el SCS</w:t>
          <w:tab/>
          <w:t>210</w:t>
        </w:r>
      </w:hyperlink>
    </w:p>
    <w:p>
      <w:pPr>
        <w:pStyle w:val="BodyText"/>
        <w:tabs>
          <w:tab w:pos="9518" w:val="right" w:leader="dot"/>
        </w:tabs>
        <w:spacing w:line="278" w:lineRule="auto" w:before="42"/>
        <w:ind w:left="116" w:right="99"/>
      </w:pPr>
      <w:hyperlink w:history="true" w:anchor="_bookmark169">
        <w:r>
          <w:rPr/>
          <w:t>Tabla 32. Curva numérica (CN) para estimar el escurrimeitno bajo diferentes complejos</w:t>
        </w:r>
      </w:hyperlink>
      <w:r>
        <w:rPr/>
        <w:t> </w:t>
      </w:r>
      <w:hyperlink w:history="true" w:anchor="_bookmark169">
        <w:r>
          <w:rPr/>
          <w:t>suelo – cobertura y manejo de condición (condición de humedad II, y </w:t>
        </w:r>
        <w:r>
          <w:rPr>
            <w:spacing w:val="-3"/>
          </w:rPr>
          <w:t>Ia </w:t>
        </w:r>
        <w:r>
          <w:rPr/>
          <w:t>=</w:t>
        </w:r>
        <w:r>
          <w:rPr>
            <w:spacing w:val="-3"/>
          </w:rPr>
          <w:t> </w:t>
        </w:r>
        <w:r>
          <w:rPr/>
          <w:t>0.2S)</w:t>
          <w:tab/>
          <w:t>210</w:t>
        </w:r>
      </w:hyperlink>
    </w:p>
    <w:p>
      <w:pPr>
        <w:pStyle w:val="BodyText"/>
        <w:tabs>
          <w:tab w:pos="9518" w:val="right" w:leader="dot"/>
        </w:tabs>
        <w:spacing w:line="273" w:lineRule="auto"/>
        <w:ind w:left="116" w:right="99"/>
      </w:pPr>
      <w:hyperlink w:history="true" w:anchor="_bookmark170">
        <w:r>
          <w:rPr/>
          <w:t>Tabla 33. Fracción de cada subcuenca que drena hacia los cuerpos de agua, área total de</w:t>
        </w:r>
      </w:hyperlink>
      <w:r>
        <w:rPr/>
        <w:t> </w:t>
      </w:r>
      <w:hyperlink w:history="true" w:anchor="_bookmark170">
        <w:r>
          <w:rPr/>
          <w:t>la superficie del almacenamiento, volumen de</w:t>
        </w:r>
        <w:r>
          <w:rPr>
            <w:spacing w:val="6"/>
          </w:rPr>
          <w:t> </w:t>
        </w:r>
        <w:r>
          <w:rPr/>
          <w:t>agua</w:t>
        </w:r>
        <w:r>
          <w:rPr>
            <w:spacing w:val="1"/>
          </w:rPr>
          <w:t> </w:t>
        </w:r>
        <w:r>
          <w:rPr/>
          <w:t>necesaria</w:t>
          <w:tab/>
          <w:t>212</w:t>
        </w:r>
      </w:hyperlink>
    </w:p>
    <w:p>
      <w:pPr>
        <w:pStyle w:val="BodyText"/>
        <w:tabs>
          <w:tab w:pos="9518" w:val="right" w:leader="dot"/>
        </w:tabs>
        <w:spacing w:before="6"/>
        <w:ind w:left="116"/>
      </w:pPr>
      <w:hyperlink w:history="true" w:anchor="_bookmark171">
        <w:r>
          <w:rPr/>
          <w:t>Tabla 34. Manejo de</w:t>
        </w:r>
        <w:r>
          <w:rPr>
            <w:spacing w:val="8"/>
          </w:rPr>
          <w:t> </w:t>
        </w:r>
        <w:r>
          <w:rPr/>
          <w:t>los</w:t>
        </w:r>
        <w:r>
          <w:rPr>
            <w:spacing w:val="-5"/>
          </w:rPr>
          <w:t> </w:t>
        </w:r>
        <w:r>
          <w:rPr/>
          <w:t>cultivos</w:t>
          <w:tab/>
          <w:t>213</w:t>
        </w:r>
      </w:hyperlink>
    </w:p>
    <w:p>
      <w:pPr>
        <w:pStyle w:val="BodyText"/>
        <w:tabs>
          <w:tab w:pos="9518" w:val="right" w:leader="dot"/>
        </w:tabs>
        <w:spacing w:line="273" w:lineRule="auto" w:before="47"/>
        <w:ind w:left="116" w:right="99"/>
      </w:pPr>
      <w:hyperlink w:history="true" w:anchor="_bookmark172">
        <w:r>
          <w:rPr/>
          <w:t>Tabla 35. Longitud, pendiente promedio, ancho promedio, conductividad hidráulica y</w:t>
        </w:r>
      </w:hyperlink>
      <w:r>
        <w:rPr/>
        <w:t> </w:t>
      </w:r>
      <w:hyperlink w:history="true" w:anchor="_bookmark172">
        <w:r>
          <w:rPr/>
          <w:t>rugosidad del cauce</w:t>
        </w:r>
        <w:r>
          <w:rPr>
            <w:spacing w:val="5"/>
          </w:rPr>
          <w:t> </w:t>
        </w:r>
        <w:r>
          <w:rPr/>
          <w:t>por</w:t>
        </w:r>
        <w:r>
          <w:rPr>
            <w:spacing w:val="1"/>
          </w:rPr>
          <w:t> </w:t>
        </w:r>
        <w:r>
          <w:rPr/>
          <w:t>subcuenca</w:t>
          <w:tab/>
          <w:t>214</w:t>
        </w:r>
      </w:hyperlink>
    </w:p>
    <w:p>
      <w:pPr>
        <w:spacing w:after="0" w:line="273" w:lineRule="auto"/>
        <w:sectPr>
          <w:pgSz w:w="12240" w:h="15840"/>
          <w:pgMar w:header="0" w:footer="1473" w:top="1360" w:bottom="1660" w:left="1300" w:right="1320"/>
        </w:sectPr>
      </w:pPr>
    </w:p>
    <w:p>
      <w:pPr>
        <w:pStyle w:val="Heading1"/>
        <w:spacing w:before="53"/>
        <w:ind w:left="116"/>
        <w:jc w:val="both"/>
      </w:pPr>
      <w:bookmarkStart w:name="_bookmark3" w:id="4"/>
      <w:bookmarkEnd w:id="4"/>
      <w:r>
        <w:rPr>
          <w:b w:val="0"/>
        </w:rPr>
      </w:r>
      <w:r>
        <w:rPr/>
        <w:t>RESUMEN</w:t>
      </w:r>
    </w:p>
    <w:p>
      <w:pPr>
        <w:pStyle w:val="BodyText"/>
        <w:spacing w:before="8"/>
        <w:rPr>
          <w:b/>
          <w:sz w:val="38"/>
        </w:rPr>
      </w:pPr>
    </w:p>
    <w:p>
      <w:pPr>
        <w:pStyle w:val="BodyText"/>
        <w:spacing w:line="360" w:lineRule="auto"/>
        <w:ind w:left="116" w:right="116"/>
        <w:jc w:val="both"/>
      </w:pPr>
      <w:r>
        <w:rPr/>
        <w:t>En</w:t>
      </w:r>
      <w:r>
        <w:rPr>
          <w:spacing w:val="-10"/>
        </w:rPr>
        <w:t> </w:t>
      </w:r>
      <w:r>
        <w:rPr/>
        <w:t>el</w:t>
      </w:r>
      <w:r>
        <w:rPr>
          <w:spacing w:val="-10"/>
        </w:rPr>
        <w:t> </w:t>
      </w:r>
      <w:r>
        <w:rPr/>
        <w:t>presente</w:t>
      </w:r>
      <w:r>
        <w:rPr>
          <w:spacing w:val="-9"/>
        </w:rPr>
        <w:t> </w:t>
      </w:r>
      <w:r>
        <w:rPr/>
        <w:t>trabajo</w:t>
      </w:r>
      <w:r>
        <w:rPr>
          <w:spacing w:val="-10"/>
        </w:rPr>
        <w:t> </w:t>
      </w:r>
      <w:r>
        <w:rPr/>
        <w:t>de</w:t>
      </w:r>
      <w:r>
        <w:rPr>
          <w:spacing w:val="-10"/>
        </w:rPr>
        <w:t> </w:t>
      </w:r>
      <w:r>
        <w:rPr/>
        <w:t>investigación</w:t>
      </w:r>
      <w:r>
        <w:rPr>
          <w:spacing w:val="-10"/>
        </w:rPr>
        <w:t> </w:t>
      </w:r>
      <w:r>
        <w:rPr/>
        <w:t>se</w:t>
      </w:r>
      <w:r>
        <w:rPr>
          <w:spacing w:val="-10"/>
        </w:rPr>
        <w:t> </w:t>
      </w:r>
      <w:r>
        <w:rPr/>
        <w:t>aplicó</w:t>
      </w:r>
      <w:r>
        <w:rPr>
          <w:spacing w:val="-10"/>
        </w:rPr>
        <w:t> </w:t>
      </w:r>
      <w:r>
        <w:rPr/>
        <w:t>el</w:t>
      </w:r>
      <w:r>
        <w:rPr>
          <w:spacing w:val="-10"/>
        </w:rPr>
        <w:t> </w:t>
      </w:r>
      <w:r>
        <w:rPr/>
        <w:t>modelo</w:t>
      </w:r>
      <w:r>
        <w:rPr>
          <w:spacing w:val="-10"/>
        </w:rPr>
        <w:t> </w:t>
      </w:r>
      <w:r>
        <w:rPr/>
        <w:t>hidrológico</w:t>
      </w:r>
      <w:r>
        <w:rPr>
          <w:spacing w:val="-5"/>
        </w:rPr>
        <w:t> </w:t>
      </w:r>
      <w:r>
        <w:rPr/>
        <w:t>SWAT</w:t>
      </w:r>
      <w:r>
        <w:rPr>
          <w:spacing w:val="-10"/>
        </w:rPr>
        <w:t> </w:t>
      </w:r>
      <w:r>
        <w:rPr/>
        <w:t>en</w:t>
      </w:r>
      <w:r>
        <w:rPr>
          <w:spacing w:val="-10"/>
        </w:rPr>
        <w:t> </w:t>
      </w:r>
      <w:r>
        <w:rPr/>
        <w:t>la</w:t>
      </w:r>
      <w:r>
        <w:rPr>
          <w:spacing w:val="-10"/>
        </w:rPr>
        <w:t> </w:t>
      </w:r>
      <w:r>
        <w:rPr/>
        <w:t>cuenca El</w:t>
      </w:r>
      <w:r>
        <w:rPr>
          <w:spacing w:val="-12"/>
        </w:rPr>
        <w:t> </w:t>
      </w:r>
      <w:r>
        <w:rPr/>
        <w:t>Tejocote</w:t>
      </w:r>
      <w:r>
        <w:rPr>
          <w:spacing w:val="-12"/>
        </w:rPr>
        <w:t> </w:t>
      </w:r>
      <w:r>
        <w:rPr/>
        <w:t>ubicada</w:t>
      </w:r>
      <w:r>
        <w:rPr>
          <w:spacing w:val="-12"/>
        </w:rPr>
        <w:t> </w:t>
      </w:r>
      <w:r>
        <w:rPr/>
        <w:t>en</w:t>
      </w:r>
      <w:r>
        <w:rPr>
          <w:spacing w:val="-12"/>
        </w:rPr>
        <w:t> </w:t>
      </w:r>
      <w:r>
        <w:rPr/>
        <w:t>los</w:t>
      </w:r>
      <w:r>
        <w:rPr>
          <w:spacing w:val="-7"/>
        </w:rPr>
        <w:t> </w:t>
      </w:r>
      <w:r>
        <w:rPr/>
        <w:t>municipios</w:t>
      </w:r>
      <w:r>
        <w:rPr>
          <w:spacing w:val="-12"/>
        </w:rPr>
        <w:t> </w:t>
      </w:r>
      <w:r>
        <w:rPr/>
        <w:t>de</w:t>
      </w:r>
      <w:r>
        <w:rPr>
          <w:spacing w:val="-7"/>
        </w:rPr>
        <w:t> </w:t>
      </w:r>
      <w:r>
        <w:rPr/>
        <w:t>Acambay,</w:t>
      </w:r>
      <w:r>
        <w:rPr>
          <w:spacing w:val="-5"/>
        </w:rPr>
        <w:t> </w:t>
      </w:r>
      <w:r>
        <w:rPr/>
        <w:t>Atlacomulco</w:t>
      </w:r>
      <w:r>
        <w:rPr>
          <w:spacing w:val="-12"/>
        </w:rPr>
        <w:t> </w:t>
      </w:r>
      <w:r>
        <w:rPr/>
        <w:t>y</w:t>
      </w:r>
      <w:r>
        <w:rPr>
          <w:spacing w:val="-12"/>
        </w:rPr>
        <w:t> </w:t>
      </w:r>
      <w:r>
        <w:rPr/>
        <w:t>Temascalcingo,</w:t>
      </w:r>
      <w:r>
        <w:rPr>
          <w:spacing w:val="-10"/>
        </w:rPr>
        <w:t> </w:t>
      </w:r>
      <w:r>
        <w:rPr/>
        <w:t>Estado de México, con la finalidad de simular la producción de escurrimientos superficiales y sedimentos</w:t>
      </w:r>
      <w:r>
        <w:rPr>
          <w:spacing w:val="-10"/>
        </w:rPr>
        <w:t> </w:t>
      </w:r>
      <w:r>
        <w:rPr/>
        <w:t>en</w:t>
      </w:r>
      <w:r>
        <w:rPr>
          <w:spacing w:val="-10"/>
        </w:rPr>
        <w:t> </w:t>
      </w:r>
      <w:r>
        <w:rPr/>
        <w:t>las</w:t>
      </w:r>
      <w:r>
        <w:rPr>
          <w:spacing w:val="-10"/>
        </w:rPr>
        <w:t> </w:t>
      </w:r>
      <w:r>
        <w:rPr/>
        <w:t>diversas</w:t>
      </w:r>
      <w:r>
        <w:rPr>
          <w:spacing w:val="-10"/>
        </w:rPr>
        <w:t> </w:t>
      </w:r>
      <w:r>
        <w:rPr/>
        <w:t>coberturas</w:t>
      </w:r>
      <w:r>
        <w:rPr>
          <w:spacing w:val="-10"/>
        </w:rPr>
        <w:t> </w:t>
      </w:r>
      <w:r>
        <w:rPr/>
        <w:t>y/o</w:t>
      </w:r>
      <w:r>
        <w:rPr>
          <w:spacing w:val="-10"/>
        </w:rPr>
        <w:t> </w:t>
      </w:r>
      <w:r>
        <w:rPr/>
        <w:t>usos</w:t>
      </w:r>
      <w:r>
        <w:rPr>
          <w:spacing w:val="-6"/>
        </w:rPr>
        <w:t> </w:t>
      </w:r>
      <w:r>
        <w:rPr/>
        <w:t>de</w:t>
      </w:r>
      <w:r>
        <w:rPr>
          <w:spacing w:val="-10"/>
        </w:rPr>
        <w:t> </w:t>
      </w:r>
      <w:r>
        <w:rPr/>
        <w:t>suelo</w:t>
      </w:r>
      <w:r>
        <w:rPr>
          <w:spacing w:val="-8"/>
        </w:rPr>
        <w:t> </w:t>
      </w:r>
      <w:r>
        <w:rPr/>
        <w:t>en</w:t>
      </w:r>
      <w:r>
        <w:rPr>
          <w:spacing w:val="-10"/>
        </w:rPr>
        <w:t> </w:t>
      </w:r>
      <w:r>
        <w:rPr/>
        <w:t>el</w:t>
      </w:r>
      <w:r>
        <w:rPr>
          <w:spacing w:val="-10"/>
        </w:rPr>
        <w:t> </w:t>
      </w:r>
      <w:r>
        <w:rPr/>
        <w:t>periodo</w:t>
      </w:r>
      <w:r>
        <w:rPr>
          <w:spacing w:val="-10"/>
        </w:rPr>
        <w:t> </w:t>
      </w:r>
      <w:r>
        <w:rPr/>
        <w:t>2000-2006.</w:t>
      </w:r>
      <w:r>
        <w:rPr>
          <w:spacing w:val="-9"/>
        </w:rPr>
        <w:t> </w:t>
      </w:r>
      <w:r>
        <w:rPr/>
        <w:t>Esto</w:t>
      </w:r>
      <w:r>
        <w:rPr>
          <w:spacing w:val="-10"/>
        </w:rPr>
        <w:t> </w:t>
      </w:r>
      <w:r>
        <w:rPr/>
        <w:t>tiene un doble propósito, por un lado generar alternativas que manejo del suelo a fin de detener su degradación y, por otro validar el modelo empleado, para con ello aplicar dicho</w:t>
      </w:r>
      <w:r>
        <w:rPr>
          <w:spacing w:val="-21"/>
        </w:rPr>
        <w:t> </w:t>
      </w:r>
      <w:r>
        <w:rPr/>
        <w:t>modelo a cualquier cuenca que no disponga de una estación de</w:t>
      </w:r>
      <w:r>
        <w:rPr>
          <w:spacing w:val="-4"/>
        </w:rPr>
        <w:t> </w:t>
      </w:r>
      <w:r>
        <w:rPr/>
        <w:t>aforo.</w:t>
      </w:r>
    </w:p>
    <w:p>
      <w:pPr>
        <w:pStyle w:val="BodyText"/>
      </w:pPr>
    </w:p>
    <w:p>
      <w:pPr>
        <w:pStyle w:val="BodyText"/>
        <w:spacing w:line="360" w:lineRule="auto" w:before="156"/>
        <w:ind w:left="116" w:right="118"/>
        <w:jc w:val="both"/>
      </w:pPr>
      <w:r>
        <w:rPr/>
        <w:t>La forma en la que el modelo arrojó los datos simulados fue a través de 29 subcuencas, dosificadas considerando sus características topográficas, edafológicas y de uso del suelo, de ésta manera se hizo más sencillo el análisis de las condiciones dentro de la cuenca, sus problemáticas y el planteamiento de alternativas propias de cada situación.</w:t>
      </w:r>
    </w:p>
    <w:p>
      <w:pPr>
        <w:pStyle w:val="BodyText"/>
      </w:pPr>
    </w:p>
    <w:p>
      <w:pPr>
        <w:pStyle w:val="BodyText"/>
        <w:spacing w:line="360" w:lineRule="auto" w:before="156"/>
        <w:ind w:left="116" w:right="116"/>
        <w:jc w:val="both"/>
      </w:pPr>
      <w:r>
        <w:rPr/>
        <w:t>Como resultado se obtuvo que las subcuencas que más inciden en la producción de sedimentos y escurrimientos son aquellas ocupadas por agricultura de ladera, principalmente. Asimismo, debido a que los resultados de la simulación tanto para la producción de escurrimientos y sedimentos, como de producción de biomasa y rendimientos agrícolas, fueron muy cercanos a lo medido por la estación de aforo de la cuenca,</w:t>
      </w:r>
      <w:r>
        <w:rPr>
          <w:spacing w:val="-7"/>
        </w:rPr>
        <w:t> </w:t>
      </w:r>
      <w:r>
        <w:rPr/>
        <w:t>se</w:t>
      </w:r>
      <w:r>
        <w:rPr>
          <w:spacing w:val="-10"/>
        </w:rPr>
        <w:t> </w:t>
      </w:r>
      <w:r>
        <w:rPr/>
        <w:t>concluyó</w:t>
      </w:r>
      <w:r>
        <w:rPr>
          <w:spacing w:val="-10"/>
        </w:rPr>
        <w:t> </w:t>
      </w:r>
      <w:r>
        <w:rPr/>
        <w:t>que</w:t>
      </w:r>
      <w:r>
        <w:rPr>
          <w:spacing w:val="-10"/>
        </w:rPr>
        <w:t> </w:t>
      </w:r>
      <w:r>
        <w:rPr/>
        <w:t>el</w:t>
      </w:r>
      <w:r>
        <w:rPr>
          <w:spacing w:val="-5"/>
        </w:rPr>
        <w:t> </w:t>
      </w:r>
      <w:r>
        <w:rPr/>
        <w:t>modelo</w:t>
      </w:r>
      <w:r>
        <w:rPr>
          <w:spacing w:val="-10"/>
        </w:rPr>
        <w:t> </w:t>
      </w:r>
      <w:r>
        <w:rPr/>
        <w:t>es</w:t>
      </w:r>
      <w:r>
        <w:rPr>
          <w:spacing w:val="-10"/>
        </w:rPr>
        <w:t> </w:t>
      </w:r>
      <w:r>
        <w:rPr/>
        <w:t>recomendable</w:t>
      </w:r>
      <w:r>
        <w:rPr>
          <w:spacing w:val="-10"/>
        </w:rPr>
        <w:t> </w:t>
      </w:r>
      <w:r>
        <w:rPr/>
        <w:t>para</w:t>
      </w:r>
      <w:r>
        <w:rPr>
          <w:spacing w:val="-10"/>
        </w:rPr>
        <w:t> </w:t>
      </w:r>
      <w:r>
        <w:rPr/>
        <w:t>su</w:t>
      </w:r>
      <w:r>
        <w:rPr>
          <w:spacing w:val="-10"/>
        </w:rPr>
        <w:t> </w:t>
      </w:r>
      <w:r>
        <w:rPr/>
        <w:t>aplicación</w:t>
      </w:r>
      <w:r>
        <w:rPr>
          <w:spacing w:val="-10"/>
        </w:rPr>
        <w:t> </w:t>
      </w:r>
      <w:r>
        <w:rPr/>
        <w:t>en</w:t>
      </w:r>
      <w:r>
        <w:rPr>
          <w:spacing w:val="-10"/>
        </w:rPr>
        <w:t> </w:t>
      </w:r>
      <w:r>
        <w:rPr/>
        <w:t>cualquier</w:t>
      </w:r>
      <w:r>
        <w:rPr>
          <w:spacing w:val="-10"/>
        </w:rPr>
        <w:t> </w:t>
      </w:r>
      <w:r>
        <w:rPr/>
        <w:t>cuenca de condiciones</w:t>
      </w:r>
      <w:r>
        <w:rPr>
          <w:spacing w:val="-9"/>
        </w:rPr>
        <w:t> </w:t>
      </w:r>
      <w:r>
        <w:rPr/>
        <w:t>similares.</w:t>
      </w:r>
    </w:p>
    <w:p>
      <w:pPr>
        <w:pStyle w:val="BodyText"/>
      </w:pPr>
    </w:p>
    <w:p>
      <w:pPr>
        <w:pStyle w:val="BodyText"/>
        <w:spacing w:line="360" w:lineRule="auto" w:before="155"/>
        <w:ind w:left="116" w:right="117"/>
        <w:jc w:val="both"/>
      </w:pPr>
      <w:r>
        <w:rPr/>
        <w:t>Un</w:t>
      </w:r>
      <w:r>
        <w:rPr>
          <w:spacing w:val="-6"/>
        </w:rPr>
        <w:t> </w:t>
      </w:r>
      <w:r>
        <w:rPr/>
        <w:t>aspecto</w:t>
      </w:r>
      <w:r>
        <w:rPr>
          <w:spacing w:val="-6"/>
        </w:rPr>
        <w:t> </w:t>
      </w:r>
      <w:r>
        <w:rPr/>
        <w:t>de</w:t>
      </w:r>
      <w:r>
        <w:rPr>
          <w:spacing w:val="-6"/>
        </w:rPr>
        <w:t> </w:t>
      </w:r>
      <w:r>
        <w:rPr/>
        <w:t>igual</w:t>
      </w:r>
      <w:r>
        <w:rPr>
          <w:spacing w:val="-6"/>
        </w:rPr>
        <w:t> </w:t>
      </w:r>
      <w:r>
        <w:rPr/>
        <w:t>importancia,</w:t>
      </w:r>
      <w:r>
        <w:rPr>
          <w:spacing w:val="-3"/>
        </w:rPr>
        <w:t> </w:t>
      </w:r>
      <w:r>
        <w:rPr/>
        <w:t>fue</w:t>
      </w:r>
      <w:r>
        <w:rPr>
          <w:spacing w:val="-6"/>
        </w:rPr>
        <w:t> </w:t>
      </w:r>
      <w:r>
        <w:rPr/>
        <w:t>el</w:t>
      </w:r>
      <w:r>
        <w:rPr>
          <w:spacing w:val="-6"/>
        </w:rPr>
        <w:t> </w:t>
      </w:r>
      <w:r>
        <w:rPr/>
        <w:t>uso</w:t>
      </w:r>
      <w:r>
        <w:rPr>
          <w:spacing w:val="-6"/>
        </w:rPr>
        <w:t> </w:t>
      </w:r>
      <w:r>
        <w:rPr/>
        <w:t>de</w:t>
      </w:r>
      <w:r>
        <w:rPr>
          <w:spacing w:val="-1"/>
        </w:rPr>
        <w:t> </w:t>
      </w:r>
      <w:r>
        <w:rPr/>
        <w:t>los</w:t>
      </w:r>
      <w:r>
        <w:rPr>
          <w:spacing w:val="-6"/>
        </w:rPr>
        <w:t> </w:t>
      </w:r>
      <w:r>
        <w:rPr/>
        <w:t>sistemas</w:t>
      </w:r>
      <w:r>
        <w:rPr>
          <w:spacing w:val="-3"/>
        </w:rPr>
        <w:t> </w:t>
      </w:r>
      <w:r>
        <w:rPr/>
        <w:t>de</w:t>
      </w:r>
      <w:r>
        <w:rPr>
          <w:spacing w:val="-6"/>
        </w:rPr>
        <w:t> </w:t>
      </w:r>
      <w:r>
        <w:rPr/>
        <w:t>información</w:t>
      </w:r>
      <w:r>
        <w:rPr>
          <w:spacing w:val="-1"/>
        </w:rPr>
        <w:t> </w:t>
      </w:r>
      <w:r>
        <w:rPr/>
        <w:t>geográfica</w:t>
      </w:r>
      <w:r>
        <w:rPr>
          <w:spacing w:val="-6"/>
        </w:rPr>
        <w:t> </w:t>
      </w:r>
      <w:r>
        <w:rPr/>
        <w:t>para la aplicación del modelo, la posibilidad de trabajar con diversas plataformas como</w:t>
      </w:r>
      <w:r>
        <w:rPr>
          <w:spacing w:val="-34"/>
        </w:rPr>
        <w:t> </w:t>
      </w:r>
      <w:r>
        <w:rPr/>
        <w:t>ArcGis, facilita al usuario el manejo de grandes bases de datos requeridas por el mismo, así como el ajuste de</w:t>
      </w:r>
      <w:r>
        <w:rPr>
          <w:spacing w:val="-8"/>
        </w:rPr>
        <w:t> </w:t>
      </w:r>
      <w:r>
        <w:rPr/>
        <w:t>parámetros.</w:t>
      </w:r>
    </w:p>
    <w:p>
      <w:pPr>
        <w:spacing w:after="0" w:line="360" w:lineRule="auto"/>
        <w:jc w:val="both"/>
        <w:sectPr>
          <w:pgSz w:w="12240" w:h="15840"/>
          <w:pgMar w:header="0" w:footer="1473" w:top="1360" w:bottom="1660" w:left="1300" w:right="1300"/>
        </w:sectPr>
      </w:pPr>
    </w:p>
    <w:p>
      <w:pPr>
        <w:pStyle w:val="Heading1"/>
        <w:spacing w:before="53"/>
        <w:ind w:left="116"/>
        <w:jc w:val="both"/>
      </w:pPr>
      <w:bookmarkStart w:name="_bookmark4" w:id="5"/>
      <w:bookmarkEnd w:id="5"/>
      <w:r>
        <w:rPr>
          <w:b w:val="0"/>
        </w:rPr>
      </w:r>
      <w:r>
        <w:rPr/>
        <w:t>SUMMARY</w:t>
      </w:r>
    </w:p>
    <w:p>
      <w:pPr>
        <w:pStyle w:val="BodyText"/>
        <w:spacing w:before="8"/>
        <w:rPr>
          <w:b/>
          <w:sz w:val="38"/>
        </w:rPr>
      </w:pPr>
    </w:p>
    <w:p>
      <w:pPr>
        <w:pStyle w:val="BodyText"/>
        <w:spacing w:line="360" w:lineRule="auto"/>
        <w:ind w:left="116" w:right="116"/>
        <w:jc w:val="both"/>
      </w:pPr>
      <w:r>
        <w:rPr>
          <w:spacing w:val="-3"/>
        </w:rPr>
        <w:t>In </w:t>
      </w:r>
      <w:r>
        <w:rPr/>
        <w:t>the present investigation the SWAT hydrological model was applied in the basin El Tejocote located in the municipalities of Acambay, Atlacamulco and Temascalcingo, Estado</w:t>
      </w:r>
      <w:r>
        <w:rPr>
          <w:spacing w:val="-9"/>
        </w:rPr>
        <w:t> </w:t>
      </w:r>
      <w:r>
        <w:rPr/>
        <w:t>de</w:t>
      </w:r>
      <w:r>
        <w:rPr>
          <w:spacing w:val="-9"/>
        </w:rPr>
        <w:t> </w:t>
      </w:r>
      <w:r>
        <w:rPr/>
        <w:t>México,</w:t>
      </w:r>
      <w:r>
        <w:rPr>
          <w:spacing w:val="-6"/>
        </w:rPr>
        <w:t> </w:t>
      </w:r>
      <w:r>
        <w:rPr/>
        <w:t>in</w:t>
      </w:r>
      <w:r>
        <w:rPr>
          <w:spacing w:val="-9"/>
        </w:rPr>
        <w:t> </w:t>
      </w:r>
      <w:r>
        <w:rPr/>
        <w:t>order</w:t>
      </w:r>
      <w:r>
        <w:rPr>
          <w:spacing w:val="-9"/>
        </w:rPr>
        <w:t> </w:t>
      </w:r>
      <w:r>
        <w:rPr/>
        <w:t>to</w:t>
      </w:r>
      <w:r>
        <w:rPr>
          <w:spacing w:val="-9"/>
        </w:rPr>
        <w:t> </w:t>
      </w:r>
      <w:r>
        <w:rPr/>
        <w:t>simulate</w:t>
      </w:r>
      <w:r>
        <w:rPr>
          <w:spacing w:val="-9"/>
        </w:rPr>
        <w:t> </w:t>
      </w:r>
      <w:r>
        <w:rPr/>
        <w:t>the</w:t>
      </w:r>
      <w:r>
        <w:rPr>
          <w:spacing w:val="-9"/>
        </w:rPr>
        <w:t> </w:t>
      </w:r>
      <w:r>
        <w:rPr/>
        <w:t>production</w:t>
      </w:r>
      <w:r>
        <w:rPr>
          <w:spacing w:val="-9"/>
        </w:rPr>
        <w:t> </w:t>
      </w:r>
      <w:r>
        <w:rPr/>
        <w:t>of</w:t>
      </w:r>
      <w:r>
        <w:rPr>
          <w:spacing w:val="-9"/>
        </w:rPr>
        <w:t> </w:t>
      </w:r>
      <w:r>
        <w:rPr/>
        <w:t>surface</w:t>
      </w:r>
      <w:r>
        <w:rPr>
          <w:spacing w:val="-8"/>
        </w:rPr>
        <w:t> </w:t>
      </w:r>
      <w:r>
        <w:rPr/>
        <w:t>runoff</w:t>
      </w:r>
      <w:r>
        <w:rPr>
          <w:spacing w:val="-9"/>
        </w:rPr>
        <w:t> </w:t>
      </w:r>
      <w:r>
        <w:rPr/>
        <w:t>and</w:t>
      </w:r>
      <w:r>
        <w:rPr>
          <w:spacing w:val="-9"/>
        </w:rPr>
        <w:t> </w:t>
      </w:r>
      <w:r>
        <w:rPr/>
        <w:t>sediment</w:t>
      </w:r>
      <w:r>
        <w:rPr>
          <w:spacing w:val="-9"/>
        </w:rPr>
        <w:t> </w:t>
      </w:r>
      <w:r>
        <w:rPr/>
        <w:t>in</w:t>
      </w:r>
      <w:r>
        <w:rPr>
          <w:spacing w:val="-9"/>
        </w:rPr>
        <w:t> </w:t>
      </w:r>
      <w:r>
        <w:rPr/>
        <w:t>the various</w:t>
      </w:r>
      <w:r>
        <w:rPr>
          <w:spacing w:val="-16"/>
        </w:rPr>
        <w:t> </w:t>
      </w:r>
      <w:r>
        <w:rPr/>
        <w:t>coverages</w:t>
      </w:r>
      <w:r>
        <w:rPr>
          <w:spacing w:val="-16"/>
        </w:rPr>
        <w:t> </w:t>
      </w:r>
      <w:r>
        <w:rPr/>
        <w:t>and/or</w:t>
      </w:r>
      <w:r>
        <w:rPr>
          <w:spacing w:val="-16"/>
        </w:rPr>
        <w:t> </w:t>
      </w:r>
      <w:r>
        <w:rPr/>
        <w:t>land</w:t>
      </w:r>
      <w:r>
        <w:rPr>
          <w:spacing w:val="-16"/>
        </w:rPr>
        <w:t> </w:t>
      </w:r>
      <w:r>
        <w:rPr/>
        <w:t>uses</w:t>
      </w:r>
      <w:r>
        <w:rPr>
          <w:spacing w:val="-16"/>
        </w:rPr>
        <w:t> </w:t>
      </w:r>
      <w:r>
        <w:rPr/>
        <w:t>in</w:t>
      </w:r>
      <w:r>
        <w:rPr>
          <w:spacing w:val="-21"/>
        </w:rPr>
        <w:t> </w:t>
      </w:r>
      <w:r>
        <w:rPr/>
        <w:t>2000-2006.</w:t>
      </w:r>
      <w:r>
        <w:rPr>
          <w:spacing w:val="-14"/>
        </w:rPr>
        <w:t> </w:t>
      </w:r>
      <w:r>
        <w:rPr/>
        <w:t>This</w:t>
      </w:r>
      <w:r>
        <w:rPr>
          <w:spacing w:val="-21"/>
        </w:rPr>
        <w:t> </w:t>
      </w:r>
      <w:r>
        <w:rPr/>
        <w:t>has</w:t>
      </w:r>
      <w:r>
        <w:rPr>
          <w:spacing w:val="-16"/>
        </w:rPr>
        <w:t> </w:t>
      </w:r>
      <w:r>
        <w:rPr/>
        <w:t>a</w:t>
      </w:r>
      <w:r>
        <w:rPr>
          <w:spacing w:val="-20"/>
        </w:rPr>
        <w:t> </w:t>
      </w:r>
      <w:r>
        <w:rPr/>
        <w:t>dual</w:t>
      </w:r>
      <w:r>
        <w:rPr>
          <w:spacing w:val="-20"/>
        </w:rPr>
        <w:t> </w:t>
      </w:r>
      <w:r>
        <w:rPr/>
        <w:t>purpose,</w:t>
      </w:r>
      <w:r>
        <w:rPr>
          <w:spacing w:val="-18"/>
        </w:rPr>
        <w:t> </w:t>
      </w:r>
      <w:r>
        <w:rPr/>
        <w:t>firstly</w:t>
      </w:r>
      <w:r>
        <w:rPr>
          <w:spacing w:val="-15"/>
        </w:rPr>
        <w:t> </w:t>
      </w:r>
      <w:r>
        <w:rPr/>
        <w:t>to</w:t>
      </w:r>
      <w:r>
        <w:rPr>
          <w:spacing w:val="-21"/>
        </w:rPr>
        <w:t> </w:t>
      </w:r>
      <w:r>
        <w:rPr/>
        <w:t>generate alternative</w:t>
      </w:r>
      <w:r>
        <w:rPr>
          <w:spacing w:val="-10"/>
        </w:rPr>
        <w:t> </w:t>
      </w:r>
      <w:r>
        <w:rPr/>
        <w:t>land</w:t>
      </w:r>
      <w:r>
        <w:rPr>
          <w:spacing w:val="-6"/>
        </w:rPr>
        <w:t> </w:t>
      </w:r>
      <w:r>
        <w:rPr/>
        <w:t>management</w:t>
      </w:r>
      <w:r>
        <w:rPr>
          <w:spacing w:val="-7"/>
        </w:rPr>
        <w:t> </w:t>
      </w:r>
      <w:r>
        <w:rPr/>
        <w:t>in</w:t>
      </w:r>
      <w:r>
        <w:rPr>
          <w:spacing w:val="-10"/>
        </w:rPr>
        <w:t> </w:t>
      </w:r>
      <w:r>
        <w:rPr/>
        <w:t>order</w:t>
      </w:r>
      <w:r>
        <w:rPr>
          <w:spacing w:val="-10"/>
        </w:rPr>
        <w:t> </w:t>
      </w:r>
      <w:r>
        <w:rPr/>
        <w:t>to</w:t>
      </w:r>
      <w:r>
        <w:rPr>
          <w:spacing w:val="-10"/>
        </w:rPr>
        <w:t> </w:t>
      </w:r>
      <w:r>
        <w:rPr/>
        <w:t>stop</w:t>
      </w:r>
      <w:r>
        <w:rPr>
          <w:spacing w:val="-10"/>
        </w:rPr>
        <w:t> </w:t>
      </w:r>
      <w:r>
        <w:rPr/>
        <w:t>their</w:t>
      </w:r>
      <w:r>
        <w:rPr>
          <w:spacing w:val="-10"/>
        </w:rPr>
        <w:t> </w:t>
      </w:r>
      <w:r>
        <w:rPr/>
        <w:t>degradation</w:t>
      </w:r>
      <w:r>
        <w:rPr>
          <w:spacing w:val="-10"/>
        </w:rPr>
        <w:t> </w:t>
      </w:r>
      <w:r>
        <w:rPr/>
        <w:t>and,</w:t>
      </w:r>
      <w:r>
        <w:rPr>
          <w:spacing w:val="-8"/>
        </w:rPr>
        <w:t> </w:t>
      </w:r>
      <w:r>
        <w:rPr/>
        <w:t>the</w:t>
      </w:r>
      <w:r>
        <w:rPr>
          <w:spacing w:val="-10"/>
        </w:rPr>
        <w:t> </w:t>
      </w:r>
      <w:r>
        <w:rPr/>
        <w:t>other</w:t>
      </w:r>
      <w:r>
        <w:rPr>
          <w:spacing w:val="-10"/>
        </w:rPr>
        <w:t> </w:t>
      </w:r>
      <w:r>
        <w:rPr/>
        <w:t>to</w:t>
      </w:r>
      <w:r>
        <w:rPr>
          <w:spacing w:val="-6"/>
        </w:rPr>
        <w:t> </w:t>
      </w:r>
      <w:r>
        <w:rPr/>
        <w:t>validate</w:t>
      </w:r>
      <w:r>
        <w:rPr>
          <w:spacing w:val="-10"/>
        </w:rPr>
        <w:t> </w:t>
      </w:r>
      <w:r>
        <w:rPr/>
        <w:t>the model used, to thereby apply this model to any basin that does not have a gauging</w:t>
      </w:r>
      <w:r>
        <w:rPr>
          <w:spacing w:val="-20"/>
        </w:rPr>
        <w:t> </w:t>
      </w:r>
      <w:r>
        <w:rPr/>
        <w:t>station.</w:t>
      </w:r>
    </w:p>
    <w:p>
      <w:pPr>
        <w:pStyle w:val="BodyText"/>
      </w:pPr>
    </w:p>
    <w:p>
      <w:pPr>
        <w:pStyle w:val="BodyText"/>
        <w:spacing w:line="360" w:lineRule="auto" w:before="155"/>
        <w:ind w:left="116" w:right="111"/>
        <w:jc w:val="both"/>
      </w:pPr>
      <w:r>
        <w:rPr/>
        <w:t>The way in which the model simulated data was flung across 29 sub-basins, dosed considering</w:t>
      </w:r>
      <w:r>
        <w:rPr>
          <w:spacing w:val="-10"/>
        </w:rPr>
        <w:t> </w:t>
      </w:r>
      <w:r>
        <w:rPr/>
        <w:t>its</w:t>
      </w:r>
      <w:r>
        <w:rPr>
          <w:spacing w:val="-6"/>
        </w:rPr>
        <w:t> </w:t>
      </w:r>
      <w:r>
        <w:rPr/>
        <w:t>topography,</w:t>
      </w:r>
      <w:r>
        <w:rPr>
          <w:spacing w:val="-4"/>
        </w:rPr>
        <w:t> </w:t>
      </w:r>
      <w:r>
        <w:rPr/>
        <w:t>soil</w:t>
      </w:r>
      <w:r>
        <w:rPr>
          <w:spacing w:val="-6"/>
        </w:rPr>
        <w:t> </w:t>
      </w:r>
      <w:r>
        <w:rPr/>
        <w:t>and</w:t>
      </w:r>
      <w:r>
        <w:rPr>
          <w:spacing w:val="-6"/>
        </w:rPr>
        <w:t> </w:t>
      </w:r>
      <w:r>
        <w:rPr/>
        <w:t>land</w:t>
      </w:r>
      <w:r>
        <w:rPr>
          <w:spacing w:val="-6"/>
        </w:rPr>
        <w:t> </w:t>
      </w:r>
      <w:r>
        <w:rPr/>
        <w:t>use,</w:t>
      </w:r>
      <w:r>
        <w:rPr>
          <w:spacing w:val="-7"/>
        </w:rPr>
        <w:t> </w:t>
      </w:r>
      <w:r>
        <w:rPr/>
        <w:t>this</w:t>
      </w:r>
      <w:r>
        <w:rPr>
          <w:spacing w:val="-6"/>
        </w:rPr>
        <w:t> </w:t>
      </w:r>
      <w:r>
        <w:rPr/>
        <w:t>way</w:t>
      </w:r>
      <w:r>
        <w:rPr>
          <w:spacing w:val="-6"/>
        </w:rPr>
        <w:t> </w:t>
      </w:r>
      <w:r>
        <w:rPr/>
        <w:t>the</w:t>
      </w:r>
      <w:r>
        <w:rPr>
          <w:spacing w:val="-6"/>
        </w:rPr>
        <w:t> </w:t>
      </w:r>
      <w:r>
        <w:rPr/>
        <w:t>analysis</w:t>
      </w:r>
      <w:r>
        <w:rPr>
          <w:spacing w:val="-6"/>
        </w:rPr>
        <w:t> </w:t>
      </w:r>
      <w:r>
        <w:rPr/>
        <w:t>of</w:t>
      </w:r>
      <w:r>
        <w:rPr>
          <w:spacing w:val="-6"/>
        </w:rPr>
        <w:t> </w:t>
      </w:r>
      <w:r>
        <w:rPr/>
        <w:t>conditions</w:t>
      </w:r>
      <w:r>
        <w:rPr>
          <w:spacing w:val="-6"/>
        </w:rPr>
        <w:t> </w:t>
      </w:r>
      <w:r>
        <w:rPr/>
        <w:t>within</w:t>
      </w:r>
      <w:r>
        <w:rPr>
          <w:spacing w:val="-6"/>
        </w:rPr>
        <w:t> </w:t>
      </w:r>
      <w:r>
        <w:rPr/>
        <w:t>the basin became more simple, its problems and approach of each alternative</w:t>
      </w:r>
      <w:r>
        <w:rPr>
          <w:spacing w:val="-13"/>
        </w:rPr>
        <w:t> </w:t>
      </w:r>
      <w:r>
        <w:rPr/>
        <w:t>situation.</w:t>
      </w:r>
    </w:p>
    <w:p>
      <w:pPr>
        <w:pStyle w:val="BodyText"/>
      </w:pPr>
    </w:p>
    <w:p>
      <w:pPr>
        <w:pStyle w:val="BodyText"/>
        <w:spacing w:line="360" w:lineRule="auto" w:before="155"/>
        <w:ind w:left="116" w:right="111"/>
        <w:jc w:val="both"/>
      </w:pPr>
      <w:r>
        <w:rPr/>
        <w:t>The obtained results showed that the sub-basins that most affect sediment production and runoff are those occupied hillside agriculture mainly. Also, due to the results of the simulation</w:t>
      </w:r>
      <w:r>
        <w:rPr>
          <w:spacing w:val="-11"/>
        </w:rPr>
        <w:t> </w:t>
      </w:r>
      <w:r>
        <w:rPr/>
        <w:t>for</w:t>
      </w:r>
      <w:r>
        <w:rPr>
          <w:spacing w:val="-11"/>
        </w:rPr>
        <w:t> </w:t>
      </w:r>
      <w:r>
        <w:rPr/>
        <w:t>both</w:t>
      </w:r>
      <w:r>
        <w:rPr>
          <w:spacing w:val="-11"/>
        </w:rPr>
        <w:t> </w:t>
      </w:r>
      <w:r>
        <w:rPr/>
        <w:t>the</w:t>
      </w:r>
      <w:r>
        <w:rPr>
          <w:spacing w:val="-11"/>
        </w:rPr>
        <w:t> </w:t>
      </w:r>
      <w:r>
        <w:rPr/>
        <w:t>production</w:t>
      </w:r>
      <w:r>
        <w:rPr>
          <w:spacing w:val="-11"/>
        </w:rPr>
        <w:t> </w:t>
      </w:r>
      <w:r>
        <w:rPr/>
        <w:t>of</w:t>
      </w:r>
      <w:r>
        <w:rPr>
          <w:spacing w:val="-11"/>
        </w:rPr>
        <w:t> </w:t>
      </w:r>
      <w:r>
        <w:rPr/>
        <w:t>runoff</w:t>
      </w:r>
      <w:r>
        <w:rPr>
          <w:spacing w:val="-11"/>
        </w:rPr>
        <w:t> </w:t>
      </w:r>
      <w:r>
        <w:rPr/>
        <w:t>and</w:t>
      </w:r>
      <w:r>
        <w:rPr>
          <w:spacing w:val="-11"/>
        </w:rPr>
        <w:t> </w:t>
      </w:r>
      <w:r>
        <w:rPr/>
        <w:t>sediment</w:t>
      </w:r>
      <w:r>
        <w:rPr>
          <w:spacing w:val="-11"/>
        </w:rPr>
        <w:t> </w:t>
      </w:r>
      <w:r>
        <w:rPr/>
        <w:t>and</w:t>
      </w:r>
      <w:r>
        <w:rPr>
          <w:spacing w:val="-11"/>
        </w:rPr>
        <w:t> </w:t>
      </w:r>
      <w:r>
        <w:rPr/>
        <w:t>biomass</w:t>
      </w:r>
      <w:r>
        <w:rPr>
          <w:spacing w:val="-11"/>
        </w:rPr>
        <w:t> </w:t>
      </w:r>
      <w:r>
        <w:rPr/>
        <w:t>production</w:t>
      </w:r>
      <w:r>
        <w:rPr>
          <w:spacing w:val="-11"/>
        </w:rPr>
        <w:t> </w:t>
      </w:r>
      <w:r>
        <w:rPr/>
        <w:t>and</w:t>
      </w:r>
      <w:r>
        <w:rPr>
          <w:spacing w:val="-11"/>
        </w:rPr>
        <w:t> </w:t>
      </w:r>
      <w:r>
        <w:rPr/>
        <w:t>crop yields</w:t>
      </w:r>
      <w:r>
        <w:rPr>
          <w:spacing w:val="-6"/>
        </w:rPr>
        <w:t> </w:t>
      </w:r>
      <w:r>
        <w:rPr/>
        <w:t>were</w:t>
      </w:r>
      <w:r>
        <w:rPr>
          <w:spacing w:val="-6"/>
        </w:rPr>
        <w:t> </w:t>
      </w:r>
      <w:r>
        <w:rPr/>
        <w:t>very</w:t>
      </w:r>
      <w:r>
        <w:rPr>
          <w:spacing w:val="-6"/>
        </w:rPr>
        <w:t> </w:t>
      </w:r>
      <w:r>
        <w:rPr/>
        <w:t>close</w:t>
      </w:r>
      <w:r>
        <w:rPr>
          <w:spacing w:val="-6"/>
        </w:rPr>
        <w:t> </w:t>
      </w:r>
      <w:r>
        <w:rPr/>
        <w:t>to</w:t>
      </w:r>
      <w:r>
        <w:rPr>
          <w:spacing w:val="-6"/>
        </w:rPr>
        <w:t> </w:t>
      </w:r>
      <w:r>
        <w:rPr/>
        <w:t>that</w:t>
      </w:r>
      <w:r>
        <w:rPr>
          <w:spacing w:val="-6"/>
        </w:rPr>
        <w:t> </w:t>
      </w:r>
      <w:r>
        <w:rPr/>
        <w:t>measured</w:t>
      </w:r>
      <w:r>
        <w:rPr>
          <w:spacing w:val="-6"/>
        </w:rPr>
        <w:t> </w:t>
      </w:r>
      <w:r>
        <w:rPr/>
        <w:t>by</w:t>
      </w:r>
      <w:r>
        <w:rPr>
          <w:spacing w:val="-6"/>
        </w:rPr>
        <w:t> </w:t>
      </w:r>
      <w:r>
        <w:rPr/>
        <w:t>the</w:t>
      </w:r>
      <w:r>
        <w:rPr>
          <w:spacing w:val="-6"/>
        </w:rPr>
        <w:t> </w:t>
      </w:r>
      <w:r>
        <w:rPr/>
        <w:t>gauge</w:t>
      </w:r>
      <w:r>
        <w:rPr>
          <w:spacing w:val="-6"/>
        </w:rPr>
        <w:t> </w:t>
      </w:r>
      <w:r>
        <w:rPr/>
        <w:t>of</w:t>
      </w:r>
      <w:r>
        <w:rPr>
          <w:spacing w:val="-6"/>
        </w:rPr>
        <w:t> </w:t>
      </w:r>
      <w:r>
        <w:rPr/>
        <w:t>the</w:t>
      </w:r>
      <w:r>
        <w:rPr>
          <w:spacing w:val="-6"/>
        </w:rPr>
        <w:t> </w:t>
      </w:r>
      <w:r>
        <w:rPr/>
        <w:t>basin,</w:t>
      </w:r>
      <w:r>
        <w:rPr>
          <w:spacing w:val="-4"/>
        </w:rPr>
        <w:t> </w:t>
      </w:r>
      <w:r>
        <w:rPr/>
        <w:t>it</w:t>
      </w:r>
      <w:r>
        <w:rPr>
          <w:spacing w:val="-6"/>
        </w:rPr>
        <w:t> </w:t>
      </w:r>
      <w:r>
        <w:rPr/>
        <w:t>was</w:t>
      </w:r>
      <w:r>
        <w:rPr>
          <w:spacing w:val="-6"/>
        </w:rPr>
        <w:t> </w:t>
      </w:r>
      <w:r>
        <w:rPr/>
        <w:t>concluded</w:t>
      </w:r>
      <w:r>
        <w:rPr>
          <w:spacing w:val="-6"/>
        </w:rPr>
        <w:t> </w:t>
      </w:r>
      <w:r>
        <w:rPr/>
        <w:t>that</w:t>
      </w:r>
      <w:r>
        <w:rPr>
          <w:spacing w:val="-6"/>
        </w:rPr>
        <w:t> </w:t>
      </w:r>
      <w:r>
        <w:rPr/>
        <w:t>the model is recommended for application in any basin similar</w:t>
      </w:r>
      <w:r>
        <w:rPr>
          <w:spacing w:val="-18"/>
        </w:rPr>
        <w:t> </w:t>
      </w:r>
      <w:r>
        <w:rPr/>
        <w:t>conditions.</w:t>
      </w:r>
    </w:p>
    <w:p>
      <w:pPr>
        <w:pStyle w:val="BodyText"/>
      </w:pPr>
    </w:p>
    <w:p>
      <w:pPr>
        <w:pStyle w:val="BodyText"/>
        <w:spacing w:line="360" w:lineRule="auto" w:before="151"/>
        <w:ind w:left="116" w:right="117"/>
        <w:jc w:val="both"/>
      </w:pPr>
      <w:r>
        <w:rPr/>
        <w:t>An equally important aspect was the use of geographic information systems for the application of the model, the ability to work on multiple platforms such as ArcGIS, helps users to manage large databases required for the same, and the adjustment parameter.</w:t>
      </w:r>
    </w:p>
    <w:p>
      <w:pPr>
        <w:spacing w:after="0" w:line="360" w:lineRule="auto"/>
        <w:jc w:val="both"/>
        <w:sectPr>
          <w:pgSz w:w="12240" w:h="15840"/>
          <w:pgMar w:header="0" w:footer="1473" w:top="1360" w:bottom="1660" w:left="1300" w:right="1300"/>
        </w:sectPr>
      </w:pPr>
    </w:p>
    <w:p>
      <w:pPr>
        <w:pStyle w:val="Heading1"/>
        <w:spacing w:before="53"/>
        <w:ind w:left="116"/>
        <w:jc w:val="both"/>
      </w:pPr>
      <w:bookmarkStart w:name="_bookmark5" w:id="6"/>
      <w:bookmarkEnd w:id="6"/>
      <w:r>
        <w:rPr>
          <w:b w:val="0"/>
        </w:rPr>
      </w:r>
      <w:r>
        <w:rPr/>
        <w:t>INTRODUCCIÓN</w:t>
      </w:r>
    </w:p>
    <w:p>
      <w:pPr>
        <w:pStyle w:val="BodyText"/>
        <w:rPr>
          <w:b/>
        </w:rPr>
      </w:pPr>
    </w:p>
    <w:p>
      <w:pPr>
        <w:pStyle w:val="BodyText"/>
        <w:spacing w:before="7"/>
        <w:rPr>
          <w:b/>
          <w:sz w:val="25"/>
        </w:rPr>
      </w:pPr>
    </w:p>
    <w:p>
      <w:pPr>
        <w:pStyle w:val="BodyText"/>
        <w:spacing w:line="360" w:lineRule="auto" w:before="1"/>
        <w:ind w:left="116" w:right="110"/>
        <w:jc w:val="both"/>
      </w:pPr>
      <w:r>
        <w:rPr/>
        <w:t>El presente trabajo de investigación se desarrolló en la cuenca El Tejocote, ubicada sobre los municipios de Atlacomulco, Temascalcingo y Acambay, municipios cuya actividad económica</w:t>
      </w:r>
      <w:r>
        <w:rPr>
          <w:spacing w:val="-6"/>
        </w:rPr>
        <w:t> </w:t>
      </w:r>
      <w:r>
        <w:rPr/>
        <w:t>principal</w:t>
      </w:r>
      <w:r>
        <w:rPr>
          <w:spacing w:val="-6"/>
        </w:rPr>
        <w:t> </w:t>
      </w:r>
      <w:r>
        <w:rPr/>
        <w:t>es</w:t>
      </w:r>
      <w:r>
        <w:rPr>
          <w:spacing w:val="-6"/>
        </w:rPr>
        <w:t> </w:t>
      </w:r>
      <w:r>
        <w:rPr/>
        <w:t>la</w:t>
      </w:r>
      <w:r>
        <w:rPr>
          <w:spacing w:val="-5"/>
        </w:rPr>
        <w:t> </w:t>
      </w:r>
      <w:r>
        <w:rPr/>
        <w:t>agricultura.</w:t>
      </w:r>
      <w:r>
        <w:rPr>
          <w:spacing w:val="-3"/>
        </w:rPr>
        <w:t> </w:t>
      </w:r>
      <w:r>
        <w:rPr/>
        <w:t>Dicha</w:t>
      </w:r>
      <w:r>
        <w:rPr>
          <w:spacing w:val="-5"/>
        </w:rPr>
        <w:t> </w:t>
      </w:r>
      <w:r>
        <w:rPr/>
        <w:t>cuenca</w:t>
      </w:r>
      <w:r>
        <w:rPr>
          <w:spacing w:val="-6"/>
        </w:rPr>
        <w:t> </w:t>
      </w:r>
      <w:r>
        <w:rPr/>
        <w:t>cuenta</w:t>
      </w:r>
      <w:r>
        <w:rPr>
          <w:spacing w:val="-6"/>
        </w:rPr>
        <w:t> </w:t>
      </w:r>
      <w:r>
        <w:rPr/>
        <w:t>con</w:t>
      </w:r>
      <w:r>
        <w:rPr>
          <w:spacing w:val="-6"/>
        </w:rPr>
        <w:t> </w:t>
      </w:r>
      <w:r>
        <w:rPr/>
        <w:t>las</w:t>
      </w:r>
      <w:r>
        <w:rPr>
          <w:spacing w:val="-6"/>
        </w:rPr>
        <w:t> </w:t>
      </w:r>
      <w:r>
        <w:rPr/>
        <w:t>condiciones</w:t>
      </w:r>
      <w:r>
        <w:rPr>
          <w:spacing w:val="-6"/>
        </w:rPr>
        <w:t> </w:t>
      </w:r>
      <w:r>
        <w:rPr/>
        <w:t>físicas</w:t>
      </w:r>
      <w:r>
        <w:rPr>
          <w:spacing w:val="-5"/>
        </w:rPr>
        <w:t> </w:t>
      </w:r>
      <w:r>
        <w:rPr/>
        <w:t>para el desarrollo de tal actividad, como es la disponibilidad de agua, clima, los tipos de suelo, además de mano de obra e incluso una buena ubicación geográfica para la distribución de productos, con lo que representa una de las principales regiones en México, en producción de</w:t>
      </w:r>
      <w:r>
        <w:rPr>
          <w:spacing w:val="-9"/>
        </w:rPr>
        <w:t> </w:t>
      </w:r>
      <w:r>
        <w:rPr/>
        <w:t>gramíneas.</w:t>
      </w:r>
    </w:p>
    <w:p>
      <w:pPr>
        <w:pStyle w:val="BodyText"/>
      </w:pPr>
    </w:p>
    <w:p>
      <w:pPr>
        <w:pStyle w:val="BodyText"/>
        <w:spacing w:line="360" w:lineRule="auto" w:before="156"/>
        <w:ind w:left="116" w:right="110"/>
        <w:jc w:val="both"/>
      </w:pPr>
      <w:r>
        <w:rPr/>
        <w:t>Sin embargo, las presiones demográficas, económicas y la falta de infraestructura agrícola moderna han transformado y dañado los recursos naturales de la cuenca. Por ejemplo, no se tiene control alguno del cambio de uso de suelo, reconvirtiendo pastizales naturales y bosques a zonas agrícolas y con ello generando la erosión de suelos, el azolvamiento de cuerpos de agua e incluso inundaciones en las partes bajas de la cuenca.</w:t>
      </w:r>
    </w:p>
    <w:p>
      <w:pPr>
        <w:pStyle w:val="BodyText"/>
      </w:pPr>
    </w:p>
    <w:p>
      <w:pPr>
        <w:pStyle w:val="BodyText"/>
        <w:spacing w:line="360" w:lineRule="auto" w:before="155"/>
        <w:ind w:left="116" w:right="110"/>
        <w:jc w:val="both"/>
      </w:pPr>
      <w:r>
        <w:rPr>
          <w:spacing w:val="-3"/>
        </w:rPr>
        <w:t>La </w:t>
      </w:r>
      <w:r>
        <w:rPr/>
        <w:t>gestión del agua es también un aspecto fundamental en la planeación, uso y manejo de recursos naturales, así como en el desarrollo </w:t>
      </w:r>
      <w:r>
        <w:rPr>
          <w:spacing w:val="-3"/>
        </w:rPr>
        <w:t>de </w:t>
      </w:r>
      <w:r>
        <w:rPr/>
        <w:t>actividades productivas. </w:t>
      </w:r>
      <w:r>
        <w:rPr>
          <w:spacing w:val="-3"/>
        </w:rPr>
        <w:t>La </w:t>
      </w:r>
      <w:r>
        <w:rPr/>
        <w:t>disponibilidad del</w:t>
      </w:r>
      <w:r>
        <w:rPr>
          <w:spacing w:val="-10"/>
        </w:rPr>
        <w:t> </w:t>
      </w:r>
      <w:r>
        <w:rPr/>
        <w:t>recurso</w:t>
      </w:r>
      <w:r>
        <w:rPr>
          <w:spacing w:val="-9"/>
        </w:rPr>
        <w:t> </w:t>
      </w:r>
      <w:r>
        <w:rPr/>
        <w:t>agua,</w:t>
      </w:r>
      <w:r>
        <w:rPr>
          <w:spacing w:val="-8"/>
        </w:rPr>
        <w:t> </w:t>
      </w:r>
      <w:r>
        <w:rPr/>
        <w:t>es</w:t>
      </w:r>
      <w:r>
        <w:rPr>
          <w:spacing w:val="-8"/>
        </w:rPr>
        <w:t> </w:t>
      </w:r>
      <w:r>
        <w:rPr/>
        <w:t>un</w:t>
      </w:r>
      <w:r>
        <w:rPr>
          <w:spacing w:val="-10"/>
        </w:rPr>
        <w:t> </w:t>
      </w:r>
      <w:r>
        <w:rPr/>
        <w:t>tema</w:t>
      </w:r>
      <w:r>
        <w:rPr>
          <w:spacing w:val="-10"/>
        </w:rPr>
        <w:t> </w:t>
      </w:r>
      <w:r>
        <w:rPr/>
        <w:t>de</w:t>
      </w:r>
      <w:r>
        <w:rPr>
          <w:spacing w:val="-9"/>
        </w:rPr>
        <w:t> </w:t>
      </w:r>
      <w:r>
        <w:rPr/>
        <w:t>relevancia</w:t>
      </w:r>
      <w:r>
        <w:rPr>
          <w:spacing w:val="-10"/>
        </w:rPr>
        <w:t> </w:t>
      </w:r>
      <w:r>
        <w:rPr/>
        <w:t>para</w:t>
      </w:r>
      <w:r>
        <w:rPr>
          <w:spacing w:val="-5"/>
        </w:rPr>
        <w:t> </w:t>
      </w:r>
      <w:r>
        <w:rPr/>
        <w:t>continuar</w:t>
      </w:r>
      <w:r>
        <w:rPr>
          <w:spacing w:val="-9"/>
        </w:rPr>
        <w:t> </w:t>
      </w:r>
      <w:r>
        <w:rPr/>
        <w:t>con</w:t>
      </w:r>
      <w:r>
        <w:rPr>
          <w:spacing w:val="-10"/>
        </w:rPr>
        <w:t> </w:t>
      </w:r>
      <w:r>
        <w:rPr/>
        <w:t>las</w:t>
      </w:r>
      <w:r>
        <w:rPr>
          <w:spacing w:val="-10"/>
        </w:rPr>
        <w:t> </w:t>
      </w:r>
      <w:r>
        <w:rPr/>
        <w:t>producciones</w:t>
      </w:r>
      <w:r>
        <w:rPr>
          <w:spacing w:val="-10"/>
        </w:rPr>
        <w:t> </w:t>
      </w:r>
      <w:r>
        <w:rPr/>
        <w:t>agrícolas</w:t>
      </w:r>
      <w:r>
        <w:rPr>
          <w:spacing w:val="-8"/>
        </w:rPr>
        <w:t> </w:t>
      </w:r>
      <w:r>
        <w:rPr>
          <w:spacing w:val="4"/>
        </w:rPr>
        <w:t>de </w:t>
      </w:r>
      <w:r>
        <w:rPr/>
        <w:t>la cuenca; dicha cuenta con una estación hidrométrica “El Tejocote” donde se registra la cantidad de agua que escurre, sin embargo no se cuenta con una correcta gestión para el aprovechamiento de la</w:t>
      </w:r>
      <w:r>
        <w:rPr>
          <w:spacing w:val="-10"/>
        </w:rPr>
        <w:t> </w:t>
      </w:r>
      <w:r>
        <w:rPr/>
        <w:t>misma.</w:t>
      </w:r>
    </w:p>
    <w:p>
      <w:pPr>
        <w:pStyle w:val="BodyText"/>
      </w:pPr>
    </w:p>
    <w:p>
      <w:pPr>
        <w:pStyle w:val="BodyText"/>
        <w:spacing w:line="360" w:lineRule="auto" w:before="155"/>
        <w:ind w:left="116" w:right="112"/>
        <w:jc w:val="both"/>
      </w:pPr>
      <w:r>
        <w:rPr/>
        <w:t>Considerando el objetivo general del presente trabajo de investigación se retoman las consideraciones de Bonini (2003) en las cuales afirma que la mejor forma de abordar un estudio hidrológico de una región es a través de una cuenca, debido a que esta última constituye la unidad geográfica natural, donde la entrada es la precipitación y las salidas</w:t>
      </w:r>
    </w:p>
    <w:p>
      <w:pPr>
        <w:spacing w:after="0" w:line="360" w:lineRule="auto"/>
        <w:jc w:val="both"/>
        <w:sectPr>
          <w:footerReference w:type="default" r:id="rId9"/>
          <w:pgSz w:w="12240" w:h="15840"/>
          <w:pgMar w:footer="1473" w:header="0" w:top="1360" w:bottom="1660" w:left="1300" w:right="1300"/>
          <w:pgNumType w:start="1"/>
        </w:sectPr>
      </w:pPr>
    </w:p>
    <w:p>
      <w:pPr>
        <w:pStyle w:val="BodyText"/>
        <w:spacing w:line="362" w:lineRule="auto" w:before="49"/>
        <w:ind w:left="116" w:right="117"/>
        <w:jc w:val="both"/>
      </w:pPr>
      <w:r>
        <w:rPr/>
        <w:t>son el escurrimiento y el sedimento, incluyendo el proceso la influencia de vegetación, suelo y topografía.</w:t>
      </w:r>
    </w:p>
    <w:p>
      <w:pPr>
        <w:pStyle w:val="BodyText"/>
      </w:pPr>
    </w:p>
    <w:p>
      <w:pPr>
        <w:pStyle w:val="BodyText"/>
        <w:spacing w:line="360" w:lineRule="auto" w:before="153"/>
        <w:ind w:left="116" w:right="111"/>
        <w:jc w:val="both"/>
      </w:pPr>
      <w:r>
        <w:rPr/>
        <w:t>No obstante, en la mayoría de las ocasiones el problema de trabajar a escala de cuencas hidrográficas lo representa la manipulación de grandes volúmenes de información, su análisis y la posterior toma de decisiones. Ante esta circunstancia, una alternativa es el</w:t>
      </w:r>
      <w:r>
        <w:rPr>
          <w:spacing w:val="-42"/>
        </w:rPr>
        <w:t> </w:t>
      </w:r>
      <w:r>
        <w:rPr/>
        <w:t>uso de los modelos hidrológicos de simulación, debido a su bajo costo y a la estimación razonable de sus resultados (Herrero y otros,</w:t>
      </w:r>
      <w:r>
        <w:rPr>
          <w:spacing w:val="-5"/>
        </w:rPr>
        <w:t> </w:t>
      </w:r>
      <w:r>
        <w:rPr/>
        <w:t>2010).</w:t>
      </w:r>
    </w:p>
    <w:p>
      <w:pPr>
        <w:pStyle w:val="BodyText"/>
      </w:pPr>
    </w:p>
    <w:p>
      <w:pPr>
        <w:pStyle w:val="BodyText"/>
        <w:spacing w:line="360" w:lineRule="auto" w:before="155"/>
        <w:ind w:left="116" w:right="115"/>
        <w:jc w:val="both"/>
      </w:pPr>
      <w:r>
        <w:rPr/>
        <w:t>Los modelos de simulación basados en procesos de hidrología y erosión, son herramientas valiosas para evaluar el efecto de prácticas de manejo sobre el ambiente, escurrimiento, producción de sedimentos, erosión y productividad agrícola. Estos modelos utilizan como plataforma programas de cómputo de gran capacidad en almacenamiento de datos, como son los Sistemas de Información Geográfica (SIG) a través de varios softwares, entre los que destacan ArcGis, ArcView, Idrisi, entre otros (Torres y otros, 2004).</w:t>
      </w:r>
    </w:p>
    <w:p>
      <w:pPr>
        <w:pStyle w:val="BodyText"/>
      </w:pPr>
    </w:p>
    <w:p>
      <w:pPr>
        <w:pStyle w:val="BodyText"/>
        <w:spacing w:line="360" w:lineRule="auto" w:before="155"/>
        <w:ind w:left="116" w:right="115"/>
        <w:jc w:val="both"/>
      </w:pPr>
      <w:r>
        <w:rPr/>
        <w:t>De entre este tipo de modelos de simulación hidrológica, se adoptó el modelo Soil and Water Assessment Tool (SWAT) que es un programa de modelamiento hidrológico diseñado por el Departamento de Agricultura de los Estados Unidos en conjunto con la Universidad de Texas. Este modelo se basa en un balance hídrico para determinar la entrada, salida y almacenamiento de agua en la cuenca. Permite simular la producción de agua y sedimentos en cuencas hidrográficas, así como el efecto que en la calidad del agua tienen las prácticas agronómicas por el uso de pesticidas y fertilizantes (Proaño y otros, 2006).</w:t>
      </w:r>
    </w:p>
    <w:p>
      <w:pPr>
        <w:pStyle w:val="BodyText"/>
      </w:pPr>
    </w:p>
    <w:p>
      <w:pPr>
        <w:pStyle w:val="BodyText"/>
        <w:spacing w:line="360" w:lineRule="auto" w:before="156"/>
        <w:ind w:left="116" w:right="111"/>
        <w:jc w:val="both"/>
      </w:pPr>
      <w:r>
        <w:rPr/>
        <w:t>De dicha forma la metodología utilizada para desarrollar el presente trabajo de investigación se basó en una primera parte de caracterización física y morfológica de la cueca</w:t>
      </w:r>
      <w:r>
        <w:rPr>
          <w:spacing w:val="-5"/>
        </w:rPr>
        <w:t> </w:t>
      </w:r>
      <w:r>
        <w:rPr/>
        <w:t>a</w:t>
      </w:r>
      <w:r>
        <w:rPr>
          <w:spacing w:val="-5"/>
        </w:rPr>
        <w:t> </w:t>
      </w:r>
      <w:r>
        <w:rPr/>
        <w:t>fin</w:t>
      </w:r>
      <w:r>
        <w:rPr>
          <w:spacing w:val="-5"/>
        </w:rPr>
        <w:t> </w:t>
      </w:r>
      <w:r>
        <w:rPr/>
        <w:t>de</w:t>
      </w:r>
      <w:r>
        <w:rPr>
          <w:spacing w:val="-5"/>
        </w:rPr>
        <w:t> </w:t>
      </w:r>
      <w:r>
        <w:rPr/>
        <w:t>conocer</w:t>
      </w:r>
      <w:r>
        <w:rPr>
          <w:spacing w:val="-5"/>
        </w:rPr>
        <w:t> </w:t>
      </w:r>
      <w:r>
        <w:rPr/>
        <w:t>su</w:t>
      </w:r>
      <w:r>
        <w:rPr>
          <w:spacing w:val="-5"/>
        </w:rPr>
        <w:t> </w:t>
      </w:r>
      <w:r>
        <w:rPr/>
        <w:t>estado</w:t>
      </w:r>
      <w:r>
        <w:rPr>
          <w:spacing w:val="-5"/>
        </w:rPr>
        <w:t> </w:t>
      </w:r>
      <w:r>
        <w:rPr/>
        <w:t>de</w:t>
      </w:r>
      <w:r>
        <w:rPr>
          <w:spacing w:val="-5"/>
        </w:rPr>
        <w:t> </w:t>
      </w:r>
      <w:r>
        <w:rPr/>
        <w:t>conservación</w:t>
      </w:r>
      <w:r>
        <w:rPr>
          <w:spacing w:val="-5"/>
        </w:rPr>
        <w:t> </w:t>
      </w:r>
      <w:r>
        <w:rPr/>
        <w:t>actual</w:t>
      </w:r>
      <w:r>
        <w:rPr>
          <w:spacing w:val="-5"/>
        </w:rPr>
        <w:t> </w:t>
      </w:r>
      <w:r>
        <w:rPr/>
        <w:t>y</w:t>
      </w:r>
      <w:r>
        <w:rPr>
          <w:spacing w:val="-5"/>
        </w:rPr>
        <w:t> </w:t>
      </w:r>
      <w:r>
        <w:rPr/>
        <w:t>el</w:t>
      </w:r>
      <w:r>
        <w:rPr>
          <w:spacing w:val="-5"/>
        </w:rPr>
        <w:t> </w:t>
      </w:r>
      <w:r>
        <w:rPr/>
        <w:t>de</w:t>
      </w:r>
      <w:r>
        <w:rPr>
          <w:spacing w:val="-5"/>
        </w:rPr>
        <w:t> </w:t>
      </w:r>
      <w:r>
        <w:rPr/>
        <w:t>los</w:t>
      </w:r>
      <w:r>
        <w:rPr>
          <w:spacing w:val="-5"/>
        </w:rPr>
        <w:t> </w:t>
      </w:r>
      <w:r>
        <w:rPr/>
        <w:t>elementos</w:t>
      </w:r>
      <w:r>
        <w:rPr>
          <w:spacing w:val="-5"/>
        </w:rPr>
        <w:t> </w:t>
      </w:r>
      <w:r>
        <w:rPr/>
        <w:t>naturales</w:t>
      </w:r>
      <w:r>
        <w:rPr>
          <w:spacing w:val="-5"/>
        </w:rPr>
        <w:t> </w:t>
      </w:r>
      <w:r>
        <w:rPr/>
        <w:t>que</w:t>
      </w:r>
    </w:p>
    <w:p>
      <w:pPr>
        <w:spacing w:after="0" w:line="360" w:lineRule="auto"/>
        <w:jc w:val="both"/>
        <w:sectPr>
          <w:pgSz w:w="12240" w:h="15840"/>
          <w:pgMar w:header="0" w:footer="1473" w:top="1360" w:bottom="1660" w:left="1300" w:right="1300"/>
        </w:sectPr>
      </w:pPr>
    </w:p>
    <w:p>
      <w:pPr>
        <w:pStyle w:val="BodyText"/>
        <w:spacing w:line="362" w:lineRule="auto" w:before="49"/>
        <w:ind w:left="116" w:right="117"/>
        <w:jc w:val="both"/>
      </w:pPr>
      <w:r>
        <w:rPr/>
        <w:t>la componen y, una segunda parte correspondiente al esquema de trabajo propio del modelo.</w:t>
      </w:r>
    </w:p>
    <w:p>
      <w:pPr>
        <w:pStyle w:val="BodyText"/>
      </w:pPr>
    </w:p>
    <w:p>
      <w:pPr>
        <w:pStyle w:val="BodyText"/>
        <w:spacing w:line="360" w:lineRule="auto" w:before="153"/>
        <w:ind w:left="116" w:right="110"/>
        <w:jc w:val="both"/>
      </w:pPr>
      <w:r>
        <w:rPr/>
        <w:t>Ello permitió dar respuesta a la pregunta de investigación planteada, en la cual se buscaba conocer cuál es la cobertura de mayor impacto en la producción de sedimentos y escurrimientos superficiales, teniendo como resultado que las agricultura sobre laderas es la que está provocando mayores afectaciones en la cuenca, ello debido a que no se</w:t>
      </w:r>
      <w:r>
        <w:rPr>
          <w:spacing w:val="-36"/>
        </w:rPr>
        <w:t> </w:t>
      </w:r>
      <w:r>
        <w:rPr/>
        <w:t>cuentan con las correctas técnicas de cultivo, lo que demanda a su vez la necesidad de proponer prácticas de conservación de suelos, principalmente en la zonas con agricultura sobre laderas.</w:t>
      </w:r>
    </w:p>
    <w:p>
      <w:pPr>
        <w:pStyle w:val="BodyText"/>
      </w:pPr>
    </w:p>
    <w:p>
      <w:pPr>
        <w:pStyle w:val="BodyText"/>
        <w:spacing w:line="360" w:lineRule="auto" w:before="156"/>
        <w:ind w:left="116" w:right="115"/>
        <w:jc w:val="both"/>
      </w:pPr>
      <w:r>
        <w:rPr/>
        <w:t>Al mismo tiempo que se logró afirmar la hipótesis planteada sobre la utilidad del modelo SWAT para determinar las condiciones hidrológicas de la cuenca así como también que permite elaborar una base de datos con la información hidrológica necesaria útil para cualquier proyecto al respecto y toma de decisiones.</w:t>
      </w:r>
    </w:p>
    <w:p>
      <w:pPr>
        <w:pStyle w:val="BodyText"/>
      </w:pPr>
    </w:p>
    <w:p>
      <w:pPr>
        <w:pStyle w:val="BodyText"/>
        <w:spacing w:line="360" w:lineRule="auto" w:before="155"/>
        <w:ind w:left="116" w:right="112"/>
        <w:jc w:val="both"/>
      </w:pPr>
      <w:r>
        <w:rPr/>
        <w:t>Por tanto, se puede afirmar que el modelo SWAT es una buena herramienta para la simulación de los procesos hidrológicos de cualquier territorio donde se desee aplicar, sin embargo los usuarios deberán considerar que para lograr la mayor cercanía a la realidad</w:t>
      </w:r>
      <w:r>
        <w:rPr>
          <w:spacing w:val="-18"/>
        </w:rPr>
        <w:t> </w:t>
      </w:r>
      <w:r>
        <w:rPr/>
        <w:t>es necesario</w:t>
      </w:r>
      <w:r>
        <w:rPr>
          <w:spacing w:val="-15"/>
        </w:rPr>
        <w:t> </w:t>
      </w:r>
      <w:r>
        <w:rPr/>
        <w:t>contar</w:t>
      </w:r>
      <w:r>
        <w:rPr>
          <w:spacing w:val="-15"/>
        </w:rPr>
        <w:t> </w:t>
      </w:r>
      <w:r>
        <w:rPr/>
        <w:t>con</w:t>
      </w:r>
      <w:r>
        <w:rPr>
          <w:spacing w:val="-16"/>
        </w:rPr>
        <w:t> </w:t>
      </w:r>
      <w:r>
        <w:rPr/>
        <w:t>la</w:t>
      </w:r>
      <w:r>
        <w:rPr>
          <w:spacing w:val="-16"/>
        </w:rPr>
        <w:t> </w:t>
      </w:r>
      <w:r>
        <w:rPr/>
        <w:t>máxima</w:t>
      </w:r>
      <w:r>
        <w:rPr>
          <w:spacing w:val="-16"/>
        </w:rPr>
        <w:t> </w:t>
      </w:r>
      <w:r>
        <w:rPr/>
        <w:t>cantidad</w:t>
      </w:r>
      <w:r>
        <w:rPr>
          <w:spacing w:val="-15"/>
        </w:rPr>
        <w:t> </w:t>
      </w:r>
      <w:r>
        <w:rPr/>
        <w:t>de</w:t>
      </w:r>
      <w:r>
        <w:rPr>
          <w:spacing w:val="-16"/>
        </w:rPr>
        <w:t> </w:t>
      </w:r>
      <w:r>
        <w:rPr/>
        <w:t>información</w:t>
      </w:r>
      <w:r>
        <w:rPr>
          <w:spacing w:val="-16"/>
        </w:rPr>
        <w:t> </w:t>
      </w:r>
      <w:r>
        <w:rPr/>
        <w:t>disponible</w:t>
      </w:r>
      <w:r>
        <w:rPr>
          <w:spacing w:val="-12"/>
        </w:rPr>
        <w:t> </w:t>
      </w:r>
      <w:r>
        <w:rPr/>
        <w:t>en</w:t>
      </w:r>
      <w:r>
        <w:rPr>
          <w:spacing w:val="-16"/>
        </w:rPr>
        <w:t> </w:t>
      </w:r>
      <w:r>
        <w:rPr/>
        <w:t>torno</w:t>
      </w:r>
      <w:r>
        <w:rPr>
          <w:spacing w:val="-16"/>
        </w:rPr>
        <w:t> </w:t>
      </w:r>
      <w:r>
        <w:rPr/>
        <w:t>a</w:t>
      </w:r>
      <w:r>
        <w:rPr>
          <w:spacing w:val="-16"/>
        </w:rPr>
        <w:t> </w:t>
      </w:r>
      <w:r>
        <w:rPr/>
        <w:t>climatología, características de los suelos, coberturas vegetales y la condiciones particulares de la zona, sobre todo en aquellas donde predominan las actividades</w:t>
      </w:r>
      <w:r>
        <w:rPr>
          <w:spacing w:val="-16"/>
        </w:rPr>
        <w:t> </w:t>
      </w:r>
      <w:r>
        <w:rPr/>
        <w:t>agrícolas.</w:t>
      </w:r>
    </w:p>
    <w:p>
      <w:pPr>
        <w:spacing w:after="0" w:line="360" w:lineRule="auto"/>
        <w:jc w:val="both"/>
        <w:sectPr>
          <w:pgSz w:w="12240" w:h="15840"/>
          <w:pgMar w:header="0" w:footer="1473" w:top="1360" w:bottom="1660" w:left="1300" w:right="1300"/>
        </w:sectPr>
      </w:pPr>
    </w:p>
    <w:p>
      <w:pPr>
        <w:pStyle w:val="Heading1"/>
        <w:spacing w:before="53"/>
        <w:ind w:left="116"/>
        <w:jc w:val="both"/>
      </w:pPr>
      <w:bookmarkStart w:name="_bookmark6" w:id="7"/>
      <w:bookmarkEnd w:id="7"/>
      <w:r>
        <w:rPr>
          <w:b w:val="0"/>
        </w:rPr>
      </w:r>
      <w:r>
        <w:rPr/>
        <w:t>JUSTIFICACIÓN</w:t>
      </w:r>
    </w:p>
    <w:p>
      <w:pPr>
        <w:pStyle w:val="BodyText"/>
        <w:rPr>
          <w:b/>
        </w:rPr>
      </w:pPr>
    </w:p>
    <w:p>
      <w:pPr>
        <w:pStyle w:val="BodyText"/>
        <w:spacing w:before="7"/>
        <w:rPr>
          <w:b/>
          <w:sz w:val="25"/>
        </w:rPr>
      </w:pPr>
    </w:p>
    <w:p>
      <w:pPr>
        <w:pStyle w:val="BodyText"/>
        <w:spacing w:line="360" w:lineRule="auto" w:before="1"/>
        <w:ind w:left="116" w:right="115"/>
        <w:jc w:val="both"/>
      </w:pPr>
      <w:r>
        <w:rPr/>
        <w:t>Diversas actividades antropogénicas como el cambio de cobertura y de usos de suelo, la agricultura intensiva, el sobrepastoreo, la deforestación y la creciente urbanización, en conjunto con la mala gestión del recurso agua, han provocado en la cuenca El Tejocote un incremento de producción de escurrimientos superficiales y sedimentos.</w:t>
      </w:r>
    </w:p>
    <w:p>
      <w:pPr>
        <w:pStyle w:val="BodyText"/>
      </w:pPr>
    </w:p>
    <w:p>
      <w:pPr>
        <w:pStyle w:val="BodyText"/>
        <w:spacing w:line="360" w:lineRule="auto" w:before="151"/>
        <w:ind w:left="116" w:right="113"/>
        <w:jc w:val="both"/>
      </w:pPr>
      <w:r>
        <w:rPr/>
        <w:t>A pesar de que estos sedimentos son generados naturalmente y constituyen un aporte de suelo hacia las partes bajas de la cuenca y, los escurrimientos sirven para abastecer vegetación,</w:t>
      </w:r>
      <w:r>
        <w:rPr>
          <w:spacing w:val="-3"/>
        </w:rPr>
        <w:t> </w:t>
      </w:r>
      <w:r>
        <w:rPr/>
        <w:t>recarga</w:t>
      </w:r>
      <w:r>
        <w:rPr>
          <w:spacing w:val="-7"/>
        </w:rPr>
        <w:t> </w:t>
      </w:r>
      <w:r>
        <w:rPr/>
        <w:t>de</w:t>
      </w:r>
      <w:r>
        <w:rPr>
          <w:spacing w:val="-7"/>
        </w:rPr>
        <w:t> </w:t>
      </w:r>
      <w:r>
        <w:rPr/>
        <w:t>cuerpos</w:t>
      </w:r>
      <w:r>
        <w:rPr>
          <w:spacing w:val="-7"/>
        </w:rPr>
        <w:t> </w:t>
      </w:r>
      <w:r>
        <w:rPr/>
        <w:t>de</w:t>
      </w:r>
      <w:r>
        <w:rPr>
          <w:spacing w:val="-7"/>
        </w:rPr>
        <w:t> </w:t>
      </w:r>
      <w:r>
        <w:rPr/>
        <w:t>agua,</w:t>
      </w:r>
      <w:r>
        <w:rPr>
          <w:spacing w:val="-5"/>
        </w:rPr>
        <w:t> </w:t>
      </w:r>
      <w:r>
        <w:rPr/>
        <w:t>abastecimiento</w:t>
      </w:r>
      <w:r>
        <w:rPr>
          <w:spacing w:val="-7"/>
        </w:rPr>
        <w:t> </w:t>
      </w:r>
      <w:r>
        <w:rPr/>
        <w:t>de</w:t>
      </w:r>
      <w:r>
        <w:rPr>
          <w:spacing w:val="-7"/>
        </w:rPr>
        <w:t> </w:t>
      </w:r>
      <w:r>
        <w:rPr/>
        <w:t>la</w:t>
      </w:r>
      <w:r>
        <w:rPr>
          <w:spacing w:val="-7"/>
        </w:rPr>
        <w:t> </w:t>
      </w:r>
      <w:r>
        <w:rPr/>
        <w:t>población</w:t>
      </w:r>
      <w:r>
        <w:rPr>
          <w:spacing w:val="-7"/>
        </w:rPr>
        <w:t> </w:t>
      </w:r>
      <w:r>
        <w:rPr/>
        <w:t>y</w:t>
      </w:r>
      <w:r>
        <w:rPr>
          <w:spacing w:val="-12"/>
        </w:rPr>
        <w:t> </w:t>
      </w:r>
      <w:r>
        <w:rPr/>
        <w:t>riego</w:t>
      </w:r>
      <w:r>
        <w:rPr>
          <w:spacing w:val="-7"/>
        </w:rPr>
        <w:t> </w:t>
      </w:r>
      <w:r>
        <w:rPr/>
        <w:t>de</w:t>
      </w:r>
      <w:r>
        <w:rPr>
          <w:spacing w:val="-7"/>
        </w:rPr>
        <w:t> </w:t>
      </w:r>
      <w:r>
        <w:rPr/>
        <w:t>cultivos; cuando se produce un importante volumen provoca impactos</w:t>
      </w:r>
      <w:r>
        <w:rPr>
          <w:spacing w:val="-11"/>
        </w:rPr>
        <w:t> </w:t>
      </w:r>
      <w:r>
        <w:rPr/>
        <w:t>negativos.</w:t>
      </w:r>
    </w:p>
    <w:p>
      <w:pPr>
        <w:pStyle w:val="BodyText"/>
      </w:pPr>
    </w:p>
    <w:p>
      <w:pPr>
        <w:pStyle w:val="BodyText"/>
        <w:spacing w:line="360" w:lineRule="auto" w:before="155"/>
        <w:ind w:left="116" w:right="115"/>
        <w:jc w:val="both"/>
      </w:pPr>
      <w:r>
        <w:rPr/>
        <w:t>Los riesgos de la producción de escurrimientos en exceso producen una mayor erosión de los</w:t>
      </w:r>
      <w:r>
        <w:rPr>
          <w:spacing w:val="-6"/>
        </w:rPr>
        <w:t> </w:t>
      </w:r>
      <w:r>
        <w:rPr/>
        <w:t>suelos</w:t>
      </w:r>
      <w:r>
        <w:rPr>
          <w:spacing w:val="-6"/>
        </w:rPr>
        <w:t> </w:t>
      </w:r>
      <w:r>
        <w:rPr/>
        <w:t>de</w:t>
      </w:r>
      <w:r>
        <w:rPr>
          <w:spacing w:val="-6"/>
        </w:rPr>
        <w:t> </w:t>
      </w:r>
      <w:r>
        <w:rPr/>
        <w:t>la</w:t>
      </w:r>
      <w:r>
        <w:rPr>
          <w:spacing w:val="-11"/>
        </w:rPr>
        <w:t> </w:t>
      </w:r>
      <w:r>
        <w:rPr/>
        <w:t>cuenca</w:t>
      </w:r>
      <w:r>
        <w:rPr>
          <w:spacing w:val="-5"/>
        </w:rPr>
        <w:t> </w:t>
      </w:r>
      <w:r>
        <w:rPr/>
        <w:t>y</w:t>
      </w:r>
      <w:r>
        <w:rPr>
          <w:spacing w:val="-6"/>
        </w:rPr>
        <w:t> </w:t>
      </w:r>
      <w:r>
        <w:rPr/>
        <w:t>con</w:t>
      </w:r>
      <w:r>
        <w:rPr>
          <w:spacing w:val="-11"/>
        </w:rPr>
        <w:t> </w:t>
      </w:r>
      <w:r>
        <w:rPr/>
        <w:t>ello</w:t>
      </w:r>
      <w:r>
        <w:rPr>
          <w:spacing w:val="-6"/>
        </w:rPr>
        <w:t> </w:t>
      </w:r>
      <w:r>
        <w:rPr/>
        <w:t>el</w:t>
      </w:r>
      <w:r>
        <w:rPr>
          <w:spacing w:val="-11"/>
        </w:rPr>
        <w:t> </w:t>
      </w:r>
      <w:r>
        <w:rPr/>
        <w:t>abatimiento</w:t>
      </w:r>
      <w:r>
        <w:rPr>
          <w:spacing w:val="-6"/>
        </w:rPr>
        <w:t> </w:t>
      </w:r>
      <w:r>
        <w:rPr/>
        <w:t>de</w:t>
      </w:r>
      <w:r>
        <w:rPr>
          <w:spacing w:val="-6"/>
        </w:rPr>
        <w:t> </w:t>
      </w:r>
      <w:r>
        <w:rPr/>
        <w:t>los</w:t>
      </w:r>
      <w:r>
        <w:rPr>
          <w:spacing w:val="-6"/>
        </w:rPr>
        <w:t> </w:t>
      </w:r>
      <w:r>
        <w:rPr/>
        <w:t>rendimientos</w:t>
      </w:r>
      <w:r>
        <w:rPr>
          <w:spacing w:val="-6"/>
        </w:rPr>
        <w:t> </w:t>
      </w:r>
      <w:r>
        <w:rPr/>
        <w:t>agrícolas,</w:t>
      </w:r>
      <w:r>
        <w:rPr>
          <w:spacing w:val="-4"/>
        </w:rPr>
        <w:t> </w:t>
      </w:r>
      <w:r>
        <w:rPr/>
        <w:t>asimismo</w:t>
      </w:r>
      <w:r>
        <w:rPr>
          <w:spacing w:val="-6"/>
        </w:rPr>
        <w:t> </w:t>
      </w:r>
      <w:r>
        <w:rPr/>
        <w:t>el aumento de erosión produce mayor deslave y producción de sedimentos que llegan a las partes bajas de la cuenca provocando azolvamiento de drenes y cuerpos de</w:t>
      </w:r>
      <w:r>
        <w:rPr>
          <w:spacing w:val="-16"/>
        </w:rPr>
        <w:t> </w:t>
      </w:r>
      <w:r>
        <w:rPr/>
        <w:t>agua.</w:t>
      </w:r>
    </w:p>
    <w:p>
      <w:pPr>
        <w:pStyle w:val="BodyText"/>
      </w:pPr>
    </w:p>
    <w:p>
      <w:pPr>
        <w:pStyle w:val="BodyText"/>
        <w:spacing w:line="360" w:lineRule="auto" w:before="156"/>
        <w:ind w:left="116" w:right="118"/>
        <w:jc w:val="both"/>
      </w:pPr>
      <w:r>
        <w:rPr/>
        <w:t>Cuando dichos sedimentos llegan a las zonas urbanas transportados a la infraestructura hidráulica y sanitaria; los drenajes se tapan y provocan inundaciones, también se dañan caminos,</w:t>
      </w:r>
      <w:r>
        <w:rPr>
          <w:spacing w:val="-10"/>
        </w:rPr>
        <w:t> </w:t>
      </w:r>
      <w:r>
        <w:rPr/>
        <w:t>carreteras,</w:t>
      </w:r>
      <w:r>
        <w:rPr>
          <w:spacing w:val="-9"/>
        </w:rPr>
        <w:t> </w:t>
      </w:r>
      <w:r>
        <w:rPr/>
        <w:t>puentes,</w:t>
      </w:r>
      <w:r>
        <w:rPr>
          <w:spacing w:val="-9"/>
        </w:rPr>
        <w:t> </w:t>
      </w:r>
      <w:r>
        <w:rPr/>
        <w:t>etc.</w:t>
      </w:r>
      <w:r>
        <w:rPr>
          <w:spacing w:val="-10"/>
        </w:rPr>
        <w:t> </w:t>
      </w:r>
      <w:r>
        <w:rPr/>
        <w:t>Asimismo</w:t>
      </w:r>
      <w:r>
        <w:rPr>
          <w:spacing w:val="-12"/>
        </w:rPr>
        <w:t> </w:t>
      </w:r>
      <w:r>
        <w:rPr/>
        <w:t>se</w:t>
      </w:r>
      <w:r>
        <w:rPr>
          <w:spacing w:val="-7"/>
        </w:rPr>
        <w:t> </w:t>
      </w:r>
      <w:r>
        <w:rPr/>
        <w:t>considera</w:t>
      </w:r>
      <w:r>
        <w:rPr>
          <w:spacing w:val="-12"/>
        </w:rPr>
        <w:t> </w:t>
      </w:r>
      <w:r>
        <w:rPr/>
        <w:t>que</w:t>
      </w:r>
      <w:r>
        <w:rPr>
          <w:spacing w:val="-12"/>
        </w:rPr>
        <w:t> </w:t>
      </w:r>
      <w:r>
        <w:rPr/>
        <w:t>los</w:t>
      </w:r>
      <w:r>
        <w:rPr>
          <w:spacing w:val="-12"/>
        </w:rPr>
        <w:t> </w:t>
      </w:r>
      <w:r>
        <w:rPr/>
        <w:t>escurrimientos</w:t>
      </w:r>
      <w:r>
        <w:rPr>
          <w:spacing w:val="-12"/>
        </w:rPr>
        <w:t> </w:t>
      </w:r>
      <w:r>
        <w:rPr/>
        <w:t>en</w:t>
      </w:r>
      <w:r>
        <w:rPr>
          <w:spacing w:val="-7"/>
        </w:rPr>
        <w:t> </w:t>
      </w:r>
      <w:r>
        <w:rPr/>
        <w:t>grandes cantidades crean fallas en los terrenos, taludes y zonas de deslizamiento, por tanto ponen en peligro grandes áreas de asentamientos</w:t>
      </w:r>
      <w:r>
        <w:rPr>
          <w:spacing w:val="-5"/>
        </w:rPr>
        <w:t> </w:t>
      </w:r>
      <w:r>
        <w:rPr/>
        <w:t>humanos.</w:t>
      </w:r>
    </w:p>
    <w:p>
      <w:pPr>
        <w:pStyle w:val="BodyText"/>
      </w:pPr>
    </w:p>
    <w:p>
      <w:pPr>
        <w:pStyle w:val="BodyText"/>
        <w:spacing w:line="360" w:lineRule="auto" w:before="155"/>
        <w:ind w:left="116" w:right="112"/>
        <w:jc w:val="both"/>
      </w:pPr>
      <w:r>
        <w:rPr/>
        <w:t>Ante esta problemática se </w:t>
      </w:r>
      <w:r>
        <w:rPr>
          <w:spacing w:val="-3"/>
        </w:rPr>
        <w:t>ve </w:t>
      </w:r>
      <w:r>
        <w:rPr/>
        <w:t>la necesidad de tomar medidas tendientes a mejorar las condiciones ambientales, cobertura vegetal y las prácticas productivas, a fin de conservar el recurso hídrico y de suelo. Cabe destacar que un método de gran ayuda para la conservación</w:t>
      </w:r>
      <w:r>
        <w:rPr>
          <w:spacing w:val="-10"/>
        </w:rPr>
        <w:t> </w:t>
      </w:r>
      <w:r>
        <w:rPr/>
        <w:t>del</w:t>
      </w:r>
      <w:r>
        <w:rPr>
          <w:spacing w:val="-10"/>
        </w:rPr>
        <w:t> </w:t>
      </w:r>
      <w:r>
        <w:rPr/>
        <w:t>agua</w:t>
      </w:r>
      <w:r>
        <w:rPr>
          <w:spacing w:val="-10"/>
        </w:rPr>
        <w:t> </w:t>
      </w:r>
      <w:r>
        <w:rPr/>
        <w:t>es</w:t>
      </w:r>
      <w:r>
        <w:rPr>
          <w:spacing w:val="-10"/>
        </w:rPr>
        <w:t> </w:t>
      </w:r>
      <w:r>
        <w:rPr/>
        <w:t>la</w:t>
      </w:r>
      <w:r>
        <w:rPr>
          <w:spacing w:val="-10"/>
        </w:rPr>
        <w:t> </w:t>
      </w:r>
      <w:r>
        <w:rPr/>
        <w:t>existencia</w:t>
      </w:r>
      <w:r>
        <w:rPr>
          <w:spacing w:val="-10"/>
        </w:rPr>
        <w:t> </w:t>
      </w:r>
      <w:r>
        <w:rPr/>
        <w:t>de</w:t>
      </w:r>
      <w:r>
        <w:rPr>
          <w:spacing w:val="-10"/>
        </w:rPr>
        <w:t> </w:t>
      </w:r>
      <w:r>
        <w:rPr/>
        <w:t>estaciones</w:t>
      </w:r>
      <w:r>
        <w:rPr>
          <w:spacing w:val="-10"/>
        </w:rPr>
        <w:t> </w:t>
      </w:r>
      <w:r>
        <w:rPr/>
        <w:t>de</w:t>
      </w:r>
      <w:r>
        <w:rPr>
          <w:spacing w:val="-10"/>
        </w:rPr>
        <w:t> </w:t>
      </w:r>
      <w:r>
        <w:rPr/>
        <w:t>aforo</w:t>
      </w:r>
      <w:r>
        <w:rPr>
          <w:spacing w:val="-10"/>
        </w:rPr>
        <w:t> </w:t>
      </w:r>
      <w:r>
        <w:rPr/>
        <w:t>que</w:t>
      </w:r>
      <w:r>
        <w:rPr>
          <w:spacing w:val="-10"/>
        </w:rPr>
        <w:t> </w:t>
      </w:r>
      <w:r>
        <w:rPr/>
        <w:t>midan</w:t>
      </w:r>
      <w:r>
        <w:rPr>
          <w:spacing w:val="-10"/>
        </w:rPr>
        <w:t> </w:t>
      </w:r>
      <w:r>
        <w:rPr/>
        <w:t>la</w:t>
      </w:r>
      <w:r>
        <w:rPr>
          <w:spacing w:val="-10"/>
        </w:rPr>
        <w:t> </w:t>
      </w:r>
      <w:r>
        <w:rPr/>
        <w:t>cantidad</w:t>
      </w:r>
      <w:r>
        <w:rPr>
          <w:spacing w:val="-10"/>
        </w:rPr>
        <w:t> </w:t>
      </w:r>
      <w:r>
        <w:rPr/>
        <w:t>de</w:t>
      </w:r>
      <w:r>
        <w:rPr>
          <w:spacing w:val="-10"/>
        </w:rPr>
        <w:t> </w:t>
      </w:r>
      <w:r>
        <w:rPr/>
        <w:t>agua producida</w:t>
      </w:r>
      <w:r>
        <w:rPr>
          <w:spacing w:val="-15"/>
        </w:rPr>
        <w:t> </w:t>
      </w:r>
      <w:r>
        <w:rPr/>
        <w:t>dentro</w:t>
      </w:r>
      <w:r>
        <w:rPr>
          <w:spacing w:val="-16"/>
        </w:rPr>
        <w:t> </w:t>
      </w:r>
      <w:r>
        <w:rPr/>
        <w:t>de</w:t>
      </w:r>
      <w:r>
        <w:rPr>
          <w:spacing w:val="-16"/>
        </w:rPr>
        <w:t> </w:t>
      </w:r>
      <w:r>
        <w:rPr/>
        <w:t>la</w:t>
      </w:r>
      <w:r>
        <w:rPr>
          <w:spacing w:val="-19"/>
        </w:rPr>
        <w:t> </w:t>
      </w:r>
      <w:r>
        <w:rPr/>
        <w:t>cuenca</w:t>
      </w:r>
      <w:r>
        <w:rPr>
          <w:spacing w:val="-15"/>
        </w:rPr>
        <w:t> </w:t>
      </w:r>
      <w:r>
        <w:rPr/>
        <w:t>hidrográfica,</w:t>
      </w:r>
      <w:r>
        <w:rPr>
          <w:spacing w:val="-13"/>
        </w:rPr>
        <w:t> </w:t>
      </w:r>
      <w:r>
        <w:rPr/>
        <w:t>no</w:t>
      </w:r>
      <w:r>
        <w:rPr>
          <w:spacing w:val="-20"/>
        </w:rPr>
        <w:t> </w:t>
      </w:r>
      <w:r>
        <w:rPr/>
        <w:t>obstante,</w:t>
      </w:r>
      <w:r>
        <w:rPr>
          <w:spacing w:val="-13"/>
        </w:rPr>
        <w:t> </w:t>
      </w:r>
      <w:r>
        <w:rPr/>
        <w:t>en</w:t>
      </w:r>
      <w:r>
        <w:rPr>
          <w:spacing w:val="-16"/>
        </w:rPr>
        <w:t> </w:t>
      </w:r>
      <w:r>
        <w:rPr/>
        <w:t>el</w:t>
      </w:r>
      <w:r>
        <w:rPr>
          <w:spacing w:val="-19"/>
        </w:rPr>
        <w:t> </w:t>
      </w:r>
      <w:r>
        <w:rPr/>
        <w:t>país</w:t>
      </w:r>
      <w:r>
        <w:rPr>
          <w:spacing w:val="-16"/>
        </w:rPr>
        <w:t> </w:t>
      </w:r>
      <w:r>
        <w:rPr/>
        <w:t>son</w:t>
      </w:r>
      <w:r>
        <w:rPr>
          <w:spacing w:val="-20"/>
        </w:rPr>
        <w:t> </w:t>
      </w:r>
      <w:r>
        <w:rPr/>
        <w:t>pocas</w:t>
      </w:r>
      <w:r>
        <w:rPr>
          <w:spacing w:val="-16"/>
        </w:rPr>
        <w:t> </w:t>
      </w:r>
      <w:r>
        <w:rPr/>
        <w:t>las</w:t>
      </w:r>
      <w:r>
        <w:rPr>
          <w:spacing w:val="-19"/>
        </w:rPr>
        <w:t> </w:t>
      </w:r>
      <w:r>
        <w:rPr/>
        <w:t>que</w:t>
      </w:r>
      <w:r>
        <w:rPr>
          <w:spacing w:val="-16"/>
        </w:rPr>
        <w:t> </w:t>
      </w:r>
      <w:r>
        <w:rPr/>
        <w:t>cuentan</w:t>
      </w:r>
    </w:p>
    <w:p>
      <w:pPr>
        <w:spacing w:after="0" w:line="360" w:lineRule="auto"/>
        <w:jc w:val="both"/>
        <w:sectPr>
          <w:pgSz w:w="12240" w:h="15840"/>
          <w:pgMar w:header="0" w:footer="1473" w:top="1360" w:bottom="1660" w:left="1300" w:right="1300"/>
        </w:sectPr>
      </w:pPr>
    </w:p>
    <w:p>
      <w:pPr>
        <w:pStyle w:val="BodyText"/>
        <w:spacing w:line="360" w:lineRule="auto" w:before="49"/>
        <w:ind w:left="116" w:right="117"/>
        <w:jc w:val="both"/>
      </w:pPr>
      <w:r>
        <w:rPr/>
        <w:t>con una de éstas. Es por ello, que se presenta </w:t>
      </w:r>
      <w:r>
        <w:rPr>
          <w:spacing w:val="-3"/>
        </w:rPr>
        <w:t>un </w:t>
      </w:r>
      <w:r>
        <w:rPr/>
        <w:t>análisis de la cuenca El Tejocote a través de</w:t>
      </w:r>
      <w:r>
        <w:rPr>
          <w:spacing w:val="-5"/>
        </w:rPr>
        <w:t> </w:t>
      </w:r>
      <w:r>
        <w:rPr/>
        <w:t>una</w:t>
      </w:r>
      <w:r>
        <w:rPr>
          <w:spacing w:val="-5"/>
        </w:rPr>
        <w:t> </w:t>
      </w:r>
      <w:r>
        <w:rPr/>
        <w:t>simulación</w:t>
      </w:r>
      <w:r>
        <w:rPr>
          <w:spacing w:val="-5"/>
        </w:rPr>
        <w:t> </w:t>
      </w:r>
      <w:r>
        <w:rPr/>
        <w:t>hídrica,</w:t>
      </w:r>
      <w:r>
        <w:rPr>
          <w:spacing w:val="-3"/>
        </w:rPr>
        <w:t> </w:t>
      </w:r>
      <w:r>
        <w:rPr/>
        <w:t>debido</w:t>
      </w:r>
      <w:r>
        <w:rPr>
          <w:spacing w:val="-5"/>
        </w:rPr>
        <w:t> </w:t>
      </w:r>
      <w:r>
        <w:rPr/>
        <w:t>a</w:t>
      </w:r>
      <w:r>
        <w:rPr>
          <w:spacing w:val="-5"/>
        </w:rPr>
        <w:t> </w:t>
      </w:r>
      <w:r>
        <w:rPr/>
        <w:t>que</w:t>
      </w:r>
      <w:r>
        <w:rPr>
          <w:spacing w:val="-5"/>
        </w:rPr>
        <w:t> </w:t>
      </w:r>
      <w:r>
        <w:rPr/>
        <w:t>el</w:t>
      </w:r>
      <w:r>
        <w:rPr>
          <w:spacing w:val="-5"/>
        </w:rPr>
        <w:t> </w:t>
      </w:r>
      <w:r>
        <w:rPr/>
        <w:t>conocimiento</w:t>
      </w:r>
      <w:r>
        <w:rPr>
          <w:spacing w:val="-5"/>
        </w:rPr>
        <w:t> </w:t>
      </w:r>
      <w:r>
        <w:rPr/>
        <w:t>de</w:t>
      </w:r>
      <w:r>
        <w:rPr>
          <w:spacing w:val="-5"/>
        </w:rPr>
        <w:t> </w:t>
      </w:r>
      <w:r>
        <w:rPr/>
        <w:t>los</w:t>
      </w:r>
      <w:r>
        <w:rPr>
          <w:spacing w:val="-5"/>
        </w:rPr>
        <w:t> </w:t>
      </w:r>
      <w:r>
        <w:rPr/>
        <w:t>procesos</w:t>
      </w:r>
      <w:r>
        <w:rPr>
          <w:spacing w:val="-5"/>
        </w:rPr>
        <w:t> </w:t>
      </w:r>
      <w:r>
        <w:rPr/>
        <w:t>hidrológicos</w:t>
      </w:r>
      <w:r>
        <w:rPr>
          <w:spacing w:val="-5"/>
        </w:rPr>
        <w:t> </w:t>
      </w:r>
      <w:r>
        <w:rPr/>
        <w:t>y</w:t>
      </w:r>
      <w:r>
        <w:rPr>
          <w:spacing w:val="-5"/>
        </w:rPr>
        <w:t> </w:t>
      </w:r>
      <w:r>
        <w:rPr/>
        <w:t>los cambios climáticos que ocurren sobre la cuenca, permitirán establecer su grado de afectación, su comportamiento y la predicción de escenarios</w:t>
      </w:r>
      <w:r>
        <w:rPr>
          <w:spacing w:val="-21"/>
        </w:rPr>
        <w:t> </w:t>
      </w:r>
      <w:r>
        <w:rPr/>
        <w:t>tendenciales.</w:t>
      </w:r>
    </w:p>
    <w:p>
      <w:pPr>
        <w:pStyle w:val="BodyText"/>
      </w:pPr>
    </w:p>
    <w:p>
      <w:pPr>
        <w:pStyle w:val="BodyText"/>
        <w:spacing w:line="360" w:lineRule="auto" w:before="155"/>
        <w:ind w:left="116" w:right="116"/>
        <w:jc w:val="both"/>
      </w:pPr>
      <w:r>
        <w:rPr/>
        <w:t>Cuantificando el nivel de escurrimientos y sedimentos producidos a causa de la alteración de la cobertura vegetal y uso de suelo, se puede plantear alternativas que reordenen el manejo de la cuenca El Tejocote e impulsen el aprovechamiento racional de los recursos naturales.</w:t>
      </w:r>
    </w:p>
    <w:p>
      <w:pPr>
        <w:pStyle w:val="BodyText"/>
      </w:pPr>
    </w:p>
    <w:p>
      <w:pPr>
        <w:pStyle w:val="BodyText"/>
        <w:spacing w:line="360" w:lineRule="auto" w:before="156"/>
        <w:ind w:left="116" w:right="110"/>
        <w:jc w:val="both"/>
      </w:pPr>
      <w:r>
        <w:rPr/>
        <w:t>Como antecedente se puede justificar que la relación que guardan las diversas coberturas vegetales y usos del suelo con la producción de escurrimientos y sedimentos atiende a que un territorio ocupado por bosques, selvas, matorrales o cualquier tipo de vegetación produce una mayor retención de escurrimientos y suelo, caso contrario de aquellas suelos ocupados por agricultura sobre laderas principalmente, pastizales inducidos o suelos desnudos.</w:t>
      </w:r>
    </w:p>
    <w:p>
      <w:pPr>
        <w:pStyle w:val="BodyText"/>
      </w:pPr>
    </w:p>
    <w:p>
      <w:pPr>
        <w:pStyle w:val="BodyText"/>
        <w:spacing w:line="360" w:lineRule="auto" w:before="156"/>
        <w:ind w:left="116" w:right="115"/>
        <w:jc w:val="both"/>
      </w:pPr>
      <w:r>
        <w:rPr/>
        <w:t>El análisis de la interacción entre todos los sectores económicos, sociales y naturales permitirá</w:t>
      </w:r>
      <w:r>
        <w:rPr>
          <w:spacing w:val="-6"/>
        </w:rPr>
        <w:t> </w:t>
      </w:r>
      <w:r>
        <w:rPr/>
        <w:t>desarrollar</w:t>
      </w:r>
      <w:r>
        <w:rPr>
          <w:spacing w:val="-6"/>
        </w:rPr>
        <w:t> </w:t>
      </w:r>
      <w:r>
        <w:rPr/>
        <w:t>procesos</w:t>
      </w:r>
      <w:r>
        <w:rPr>
          <w:spacing w:val="-6"/>
        </w:rPr>
        <w:t> </w:t>
      </w:r>
      <w:r>
        <w:rPr/>
        <w:t>de</w:t>
      </w:r>
      <w:r>
        <w:rPr>
          <w:spacing w:val="-6"/>
        </w:rPr>
        <w:t> </w:t>
      </w:r>
      <w:r>
        <w:rPr/>
        <w:t>planificación</w:t>
      </w:r>
      <w:r>
        <w:rPr>
          <w:spacing w:val="-1"/>
        </w:rPr>
        <w:t> </w:t>
      </w:r>
      <w:r>
        <w:rPr/>
        <w:t>y</w:t>
      </w:r>
      <w:r>
        <w:rPr>
          <w:spacing w:val="-6"/>
        </w:rPr>
        <w:t> </w:t>
      </w:r>
      <w:r>
        <w:rPr/>
        <w:t>toma</w:t>
      </w:r>
      <w:r>
        <w:rPr>
          <w:spacing w:val="-6"/>
        </w:rPr>
        <w:t> </w:t>
      </w:r>
      <w:r>
        <w:rPr/>
        <w:t>de</w:t>
      </w:r>
      <w:r>
        <w:rPr>
          <w:spacing w:val="-6"/>
        </w:rPr>
        <w:t> </w:t>
      </w:r>
      <w:r>
        <w:rPr/>
        <w:t>decisiones</w:t>
      </w:r>
      <w:r>
        <w:rPr>
          <w:spacing w:val="-6"/>
        </w:rPr>
        <w:t> </w:t>
      </w:r>
      <w:r>
        <w:rPr/>
        <w:t>en</w:t>
      </w:r>
      <w:r>
        <w:rPr>
          <w:spacing w:val="-5"/>
        </w:rPr>
        <w:t> </w:t>
      </w:r>
      <w:r>
        <w:rPr/>
        <w:t>el</w:t>
      </w:r>
      <w:r>
        <w:rPr>
          <w:spacing w:val="-6"/>
        </w:rPr>
        <w:t> </w:t>
      </w:r>
      <w:r>
        <w:rPr/>
        <w:t>corto,</w:t>
      </w:r>
      <w:r>
        <w:rPr>
          <w:spacing w:val="-4"/>
        </w:rPr>
        <w:t> </w:t>
      </w:r>
      <w:r>
        <w:rPr/>
        <w:t>mediano</w:t>
      </w:r>
      <w:r>
        <w:rPr>
          <w:spacing w:val="-6"/>
        </w:rPr>
        <w:t> </w:t>
      </w:r>
      <w:r>
        <w:rPr/>
        <w:t>y largo plazo, sobre todo al incluir el uso de la simulación a través de modelos que </w:t>
      </w:r>
      <w:r>
        <w:rPr>
          <w:spacing w:val="4"/>
        </w:rPr>
        <w:t>en </w:t>
      </w:r>
      <w:r>
        <w:rPr/>
        <w:t>los últimos</w:t>
      </w:r>
      <w:r>
        <w:rPr>
          <w:spacing w:val="-7"/>
        </w:rPr>
        <w:t> </w:t>
      </w:r>
      <w:r>
        <w:rPr/>
        <w:t>años,</w:t>
      </w:r>
      <w:r>
        <w:rPr>
          <w:spacing w:val="-5"/>
        </w:rPr>
        <w:t> </w:t>
      </w:r>
      <w:r>
        <w:rPr/>
        <w:t>han</w:t>
      </w:r>
      <w:r>
        <w:rPr>
          <w:spacing w:val="-7"/>
        </w:rPr>
        <w:t> </w:t>
      </w:r>
      <w:r>
        <w:rPr/>
        <w:t>sido</w:t>
      </w:r>
      <w:r>
        <w:rPr>
          <w:spacing w:val="-7"/>
        </w:rPr>
        <w:t> </w:t>
      </w:r>
      <w:r>
        <w:rPr/>
        <w:t>cada</w:t>
      </w:r>
      <w:r>
        <w:rPr>
          <w:spacing w:val="-11"/>
        </w:rPr>
        <w:t> </w:t>
      </w:r>
      <w:r>
        <w:rPr/>
        <w:t>vez</w:t>
      </w:r>
      <w:r>
        <w:rPr>
          <w:spacing w:val="-7"/>
        </w:rPr>
        <w:t> </w:t>
      </w:r>
      <w:r>
        <w:rPr/>
        <w:t>más</w:t>
      </w:r>
      <w:r>
        <w:rPr>
          <w:spacing w:val="-7"/>
        </w:rPr>
        <w:t> </w:t>
      </w:r>
      <w:r>
        <w:rPr/>
        <w:t>utilizados</w:t>
      </w:r>
      <w:r>
        <w:rPr>
          <w:spacing w:val="-2"/>
        </w:rPr>
        <w:t> </w:t>
      </w:r>
      <w:r>
        <w:rPr/>
        <w:t>para</w:t>
      </w:r>
      <w:r>
        <w:rPr>
          <w:spacing w:val="-7"/>
        </w:rPr>
        <w:t> </w:t>
      </w:r>
      <w:r>
        <w:rPr/>
        <w:t>comprender</w:t>
      </w:r>
      <w:r>
        <w:rPr>
          <w:spacing w:val="-7"/>
        </w:rPr>
        <w:t> </w:t>
      </w:r>
      <w:r>
        <w:rPr/>
        <w:t>y</w:t>
      </w:r>
      <w:r>
        <w:rPr>
          <w:spacing w:val="-7"/>
        </w:rPr>
        <w:t> </w:t>
      </w:r>
      <w:r>
        <w:rPr/>
        <w:t>gestionar</w:t>
      </w:r>
      <w:r>
        <w:rPr>
          <w:spacing w:val="-7"/>
        </w:rPr>
        <w:t> </w:t>
      </w:r>
      <w:r>
        <w:rPr/>
        <w:t>las</w:t>
      </w:r>
      <w:r>
        <w:rPr>
          <w:spacing w:val="-7"/>
        </w:rPr>
        <w:t> </w:t>
      </w:r>
      <w:r>
        <w:rPr/>
        <w:t>actividades naturales y humanas que afectan a los sistemas de cuencas</w:t>
      </w:r>
      <w:r>
        <w:rPr>
          <w:spacing w:val="-12"/>
        </w:rPr>
        <w:t> </w:t>
      </w:r>
      <w:r>
        <w:rPr/>
        <w:t>hidrográficas.</w:t>
      </w:r>
    </w:p>
    <w:p>
      <w:pPr>
        <w:spacing w:after="0" w:line="360" w:lineRule="auto"/>
        <w:jc w:val="both"/>
        <w:sectPr>
          <w:pgSz w:w="12240" w:h="15840"/>
          <w:pgMar w:header="0" w:footer="1473" w:top="1360" w:bottom="1660" w:left="1300" w:right="1300"/>
        </w:sectPr>
      </w:pPr>
    </w:p>
    <w:p>
      <w:pPr>
        <w:pStyle w:val="Heading1"/>
        <w:spacing w:before="53"/>
        <w:ind w:left="116"/>
        <w:jc w:val="both"/>
      </w:pPr>
      <w:bookmarkStart w:name="_bookmark7" w:id="8"/>
      <w:bookmarkEnd w:id="8"/>
      <w:r>
        <w:rPr>
          <w:b w:val="0"/>
        </w:rPr>
      </w:r>
      <w:r>
        <w:rPr/>
        <w:t>OBJETIVO GENERAL, PARTICULARES E HIPÓTESIS</w:t>
      </w:r>
    </w:p>
    <w:p>
      <w:pPr>
        <w:pStyle w:val="BodyText"/>
        <w:rPr>
          <w:b/>
        </w:rPr>
      </w:pPr>
    </w:p>
    <w:p>
      <w:pPr>
        <w:pStyle w:val="BodyText"/>
        <w:spacing w:before="1"/>
        <w:rPr>
          <w:b/>
        </w:rPr>
      </w:pPr>
    </w:p>
    <w:p>
      <w:pPr>
        <w:spacing w:before="0"/>
        <w:ind w:left="116" w:right="0" w:firstLine="0"/>
        <w:jc w:val="both"/>
        <w:rPr>
          <w:b/>
          <w:i/>
          <w:sz w:val="26"/>
        </w:rPr>
      </w:pPr>
      <w:r>
        <w:rPr>
          <w:b/>
          <w:i/>
          <w:sz w:val="26"/>
        </w:rPr>
        <w:t>Objetivo General</w:t>
      </w:r>
    </w:p>
    <w:p>
      <w:pPr>
        <w:pStyle w:val="BodyText"/>
        <w:rPr>
          <w:b/>
          <w:i/>
        </w:rPr>
      </w:pPr>
    </w:p>
    <w:p>
      <w:pPr>
        <w:pStyle w:val="BodyText"/>
        <w:spacing w:before="7"/>
        <w:rPr>
          <w:b/>
          <w:i/>
          <w:sz w:val="25"/>
        </w:rPr>
      </w:pPr>
    </w:p>
    <w:p>
      <w:pPr>
        <w:pStyle w:val="BodyText"/>
        <w:spacing w:line="360" w:lineRule="auto"/>
        <w:ind w:left="116" w:right="116"/>
        <w:jc w:val="both"/>
      </w:pPr>
      <w:r>
        <w:rPr/>
        <w:t>Aplicar, calibrar y validar el modelo SWAT para simular la producción de escurrimientos superficiales y sedimentos en la cuenca El Tejocote, a fin de generar alternativas de uso y manejo del suelo y agua.</w:t>
      </w:r>
    </w:p>
    <w:p>
      <w:pPr>
        <w:pStyle w:val="BodyText"/>
      </w:pPr>
    </w:p>
    <w:p>
      <w:pPr>
        <w:spacing w:before="160"/>
        <w:ind w:left="116" w:right="0" w:firstLine="0"/>
        <w:jc w:val="both"/>
        <w:rPr>
          <w:b/>
          <w:i/>
          <w:sz w:val="26"/>
        </w:rPr>
      </w:pPr>
      <w:r>
        <w:rPr>
          <w:b/>
          <w:i/>
          <w:sz w:val="26"/>
        </w:rPr>
        <w:t>Objetivos Particulares</w:t>
      </w:r>
    </w:p>
    <w:p>
      <w:pPr>
        <w:pStyle w:val="BodyText"/>
        <w:rPr>
          <w:b/>
          <w:i/>
        </w:rPr>
      </w:pPr>
    </w:p>
    <w:p>
      <w:pPr>
        <w:pStyle w:val="BodyText"/>
        <w:spacing w:before="8"/>
        <w:rPr>
          <w:b/>
          <w:i/>
          <w:sz w:val="25"/>
        </w:rPr>
      </w:pPr>
    </w:p>
    <w:p>
      <w:pPr>
        <w:pStyle w:val="ListParagraph"/>
        <w:numPr>
          <w:ilvl w:val="0"/>
          <w:numId w:val="4"/>
        </w:numPr>
        <w:tabs>
          <w:tab w:pos="836" w:val="left" w:leader="none"/>
          <w:tab w:pos="837" w:val="left" w:leader="none"/>
        </w:tabs>
        <w:spacing w:line="350" w:lineRule="auto" w:before="0" w:after="0"/>
        <w:ind w:left="837" w:right="110" w:hanging="361"/>
        <w:jc w:val="left"/>
        <w:rPr>
          <w:sz w:val="26"/>
        </w:rPr>
      </w:pPr>
      <w:r>
        <w:rPr>
          <w:sz w:val="26"/>
        </w:rPr>
        <w:t>Caracterizar física y morfológicamente la cuenca hidrográfica El Tejocote para conocer sus condiciones</w:t>
      </w:r>
      <w:r>
        <w:rPr>
          <w:spacing w:val="-8"/>
          <w:sz w:val="26"/>
        </w:rPr>
        <w:t> </w:t>
      </w:r>
      <w:r>
        <w:rPr>
          <w:sz w:val="26"/>
        </w:rPr>
        <w:t>actuales.</w:t>
      </w:r>
    </w:p>
    <w:p>
      <w:pPr>
        <w:pStyle w:val="ListParagraph"/>
        <w:numPr>
          <w:ilvl w:val="0"/>
          <w:numId w:val="4"/>
        </w:numPr>
        <w:tabs>
          <w:tab w:pos="836" w:val="left" w:leader="none"/>
          <w:tab w:pos="837" w:val="left" w:leader="none"/>
        </w:tabs>
        <w:spacing w:line="355" w:lineRule="auto" w:before="15" w:after="0"/>
        <w:ind w:left="837" w:right="117" w:hanging="361"/>
        <w:jc w:val="left"/>
        <w:rPr>
          <w:sz w:val="26"/>
        </w:rPr>
      </w:pPr>
      <w:r>
        <w:rPr>
          <w:sz w:val="26"/>
        </w:rPr>
        <w:t>Realizar un balance hídrico de la cuenca bajo estudio para utilizarlo como fundamento de las propuestas de manejo del recurso</w:t>
      </w:r>
      <w:r>
        <w:rPr>
          <w:spacing w:val="-12"/>
          <w:sz w:val="26"/>
        </w:rPr>
        <w:t> </w:t>
      </w:r>
      <w:r>
        <w:rPr>
          <w:sz w:val="26"/>
        </w:rPr>
        <w:t>agua.</w:t>
      </w:r>
    </w:p>
    <w:p>
      <w:pPr>
        <w:pStyle w:val="ListParagraph"/>
        <w:numPr>
          <w:ilvl w:val="0"/>
          <w:numId w:val="4"/>
        </w:numPr>
        <w:tabs>
          <w:tab w:pos="836" w:val="left" w:leader="none"/>
          <w:tab w:pos="837" w:val="left" w:leader="none"/>
        </w:tabs>
        <w:spacing w:line="240" w:lineRule="auto" w:before="9" w:after="0"/>
        <w:ind w:left="837" w:right="0" w:hanging="361"/>
        <w:jc w:val="left"/>
        <w:rPr>
          <w:sz w:val="26"/>
        </w:rPr>
      </w:pPr>
      <w:r>
        <w:rPr>
          <w:sz w:val="26"/>
        </w:rPr>
        <w:t>Calibrar y validad el modelo SWAT para la cuenca hidrográfica El</w:t>
      </w:r>
      <w:r>
        <w:rPr>
          <w:spacing w:val="-11"/>
          <w:sz w:val="26"/>
        </w:rPr>
        <w:t> </w:t>
      </w:r>
      <w:r>
        <w:rPr>
          <w:sz w:val="26"/>
        </w:rPr>
        <w:t>Tejocote.</w:t>
      </w:r>
    </w:p>
    <w:p>
      <w:pPr>
        <w:pStyle w:val="ListParagraph"/>
        <w:numPr>
          <w:ilvl w:val="0"/>
          <w:numId w:val="4"/>
        </w:numPr>
        <w:tabs>
          <w:tab w:pos="836" w:val="left" w:leader="none"/>
          <w:tab w:pos="837" w:val="left" w:leader="none"/>
        </w:tabs>
        <w:spacing w:line="240" w:lineRule="auto" w:before="152" w:after="0"/>
        <w:ind w:left="837" w:right="0" w:hanging="361"/>
        <w:jc w:val="left"/>
        <w:rPr>
          <w:sz w:val="26"/>
        </w:rPr>
      </w:pPr>
      <w:r>
        <w:rPr>
          <w:sz w:val="26"/>
        </w:rPr>
        <w:t>Proponer alternativas de uso de suelo y manejo del suelo y</w:t>
      </w:r>
      <w:r>
        <w:rPr>
          <w:spacing w:val="-14"/>
          <w:sz w:val="26"/>
        </w:rPr>
        <w:t> </w:t>
      </w:r>
      <w:r>
        <w:rPr>
          <w:sz w:val="26"/>
        </w:rPr>
        <w:t>agua.</w:t>
      </w:r>
    </w:p>
    <w:p>
      <w:pPr>
        <w:pStyle w:val="ListParagraph"/>
        <w:numPr>
          <w:ilvl w:val="0"/>
          <w:numId w:val="4"/>
        </w:numPr>
        <w:tabs>
          <w:tab w:pos="836" w:val="left" w:leader="none"/>
          <w:tab w:pos="837" w:val="left" w:leader="none"/>
        </w:tabs>
        <w:spacing w:line="350" w:lineRule="auto" w:before="147" w:after="0"/>
        <w:ind w:left="837" w:right="120" w:hanging="361"/>
        <w:jc w:val="left"/>
        <w:rPr>
          <w:sz w:val="26"/>
        </w:rPr>
      </w:pPr>
      <w:r>
        <w:rPr>
          <w:sz w:val="26"/>
        </w:rPr>
        <w:t>Diagnosticar</w:t>
      </w:r>
      <w:r>
        <w:rPr>
          <w:spacing w:val="-6"/>
          <w:sz w:val="26"/>
        </w:rPr>
        <w:t> </w:t>
      </w:r>
      <w:r>
        <w:rPr>
          <w:sz w:val="26"/>
        </w:rPr>
        <w:t>y</w:t>
      </w:r>
      <w:r>
        <w:rPr>
          <w:spacing w:val="-6"/>
          <w:sz w:val="26"/>
        </w:rPr>
        <w:t> </w:t>
      </w:r>
      <w:r>
        <w:rPr>
          <w:sz w:val="26"/>
        </w:rPr>
        <w:t>recomendar</w:t>
      </w:r>
      <w:r>
        <w:rPr>
          <w:spacing w:val="-6"/>
          <w:sz w:val="26"/>
        </w:rPr>
        <w:t> </w:t>
      </w:r>
      <w:r>
        <w:rPr>
          <w:sz w:val="26"/>
        </w:rPr>
        <w:t>el</w:t>
      </w:r>
      <w:r>
        <w:rPr>
          <w:spacing w:val="-2"/>
          <w:sz w:val="26"/>
        </w:rPr>
        <w:t> </w:t>
      </w:r>
      <w:r>
        <w:rPr>
          <w:sz w:val="26"/>
        </w:rPr>
        <w:t>uso</w:t>
      </w:r>
      <w:r>
        <w:rPr>
          <w:spacing w:val="-6"/>
          <w:sz w:val="26"/>
        </w:rPr>
        <w:t> </w:t>
      </w:r>
      <w:r>
        <w:rPr>
          <w:sz w:val="26"/>
        </w:rPr>
        <w:t>del</w:t>
      </w:r>
      <w:r>
        <w:rPr>
          <w:spacing w:val="-2"/>
          <w:sz w:val="26"/>
        </w:rPr>
        <w:t> </w:t>
      </w:r>
      <w:r>
        <w:rPr>
          <w:sz w:val="26"/>
        </w:rPr>
        <w:t>modelo</w:t>
      </w:r>
      <w:r>
        <w:rPr>
          <w:spacing w:val="-2"/>
          <w:sz w:val="26"/>
        </w:rPr>
        <w:t> </w:t>
      </w:r>
      <w:r>
        <w:rPr>
          <w:sz w:val="26"/>
        </w:rPr>
        <w:t>SWAT</w:t>
      </w:r>
      <w:r>
        <w:rPr>
          <w:spacing w:val="-6"/>
          <w:sz w:val="26"/>
        </w:rPr>
        <w:t> </w:t>
      </w:r>
      <w:r>
        <w:rPr>
          <w:sz w:val="26"/>
        </w:rPr>
        <w:t>para</w:t>
      </w:r>
      <w:r>
        <w:rPr>
          <w:spacing w:val="-6"/>
          <w:sz w:val="26"/>
        </w:rPr>
        <w:t> </w:t>
      </w:r>
      <w:r>
        <w:rPr>
          <w:sz w:val="26"/>
        </w:rPr>
        <w:t>cuencas</w:t>
      </w:r>
      <w:r>
        <w:rPr>
          <w:spacing w:val="-6"/>
          <w:sz w:val="26"/>
        </w:rPr>
        <w:t> </w:t>
      </w:r>
      <w:r>
        <w:rPr>
          <w:sz w:val="26"/>
        </w:rPr>
        <w:t>hidrológicas</w:t>
      </w:r>
      <w:r>
        <w:rPr>
          <w:spacing w:val="-6"/>
          <w:sz w:val="26"/>
        </w:rPr>
        <w:t> </w:t>
      </w:r>
      <w:r>
        <w:rPr>
          <w:sz w:val="26"/>
        </w:rPr>
        <w:t>que no cuentan con estaciones de</w:t>
      </w:r>
      <w:r>
        <w:rPr>
          <w:spacing w:val="-2"/>
          <w:sz w:val="26"/>
        </w:rPr>
        <w:t> </w:t>
      </w:r>
      <w:r>
        <w:rPr>
          <w:sz w:val="26"/>
        </w:rPr>
        <w:t>aforo.</w:t>
      </w:r>
    </w:p>
    <w:p>
      <w:pPr>
        <w:spacing w:after="0" w:line="350" w:lineRule="auto"/>
        <w:jc w:val="left"/>
        <w:rPr>
          <w:sz w:val="26"/>
        </w:rPr>
        <w:sectPr>
          <w:pgSz w:w="12240" w:h="15840"/>
          <w:pgMar w:header="0" w:footer="1473" w:top="1360" w:bottom="1660" w:left="1300" w:right="1300"/>
        </w:sectPr>
      </w:pPr>
    </w:p>
    <w:p>
      <w:pPr>
        <w:spacing w:before="53"/>
        <w:ind w:left="116" w:right="0" w:firstLine="0"/>
        <w:jc w:val="both"/>
        <w:rPr>
          <w:b/>
          <w:i/>
          <w:sz w:val="26"/>
        </w:rPr>
      </w:pPr>
      <w:r>
        <w:rPr>
          <w:b/>
          <w:i/>
          <w:sz w:val="26"/>
        </w:rPr>
        <w:t>Hipótesis</w:t>
      </w:r>
    </w:p>
    <w:p>
      <w:pPr>
        <w:pStyle w:val="BodyText"/>
        <w:rPr>
          <w:b/>
          <w:i/>
        </w:rPr>
      </w:pPr>
    </w:p>
    <w:p>
      <w:pPr>
        <w:pStyle w:val="BodyText"/>
        <w:spacing w:before="7"/>
        <w:rPr>
          <w:b/>
          <w:i/>
          <w:sz w:val="25"/>
        </w:rPr>
      </w:pPr>
    </w:p>
    <w:p>
      <w:pPr>
        <w:pStyle w:val="BodyText"/>
        <w:spacing w:line="360" w:lineRule="auto" w:before="1"/>
        <w:ind w:left="116" w:right="117"/>
        <w:jc w:val="both"/>
      </w:pPr>
      <w:r>
        <w:rPr>
          <w:spacing w:val="-3"/>
        </w:rPr>
        <w:t>La </w:t>
      </w:r>
      <w:r>
        <w:rPr/>
        <w:t>aplicación del modelo SWAT en la cuenca permitirá conocer cuál es la cobertura y/o uso</w:t>
      </w:r>
      <w:r>
        <w:rPr>
          <w:spacing w:val="-7"/>
        </w:rPr>
        <w:t> </w:t>
      </w:r>
      <w:r>
        <w:rPr/>
        <w:t>de</w:t>
      </w:r>
      <w:r>
        <w:rPr>
          <w:spacing w:val="-7"/>
        </w:rPr>
        <w:t> </w:t>
      </w:r>
      <w:r>
        <w:rPr/>
        <w:t>suelo</w:t>
      </w:r>
      <w:r>
        <w:rPr>
          <w:spacing w:val="-7"/>
        </w:rPr>
        <w:t> </w:t>
      </w:r>
      <w:r>
        <w:rPr/>
        <w:t>que</w:t>
      </w:r>
      <w:r>
        <w:rPr>
          <w:spacing w:val="-11"/>
        </w:rPr>
        <w:t> </w:t>
      </w:r>
      <w:r>
        <w:rPr/>
        <w:t>genera</w:t>
      </w:r>
      <w:r>
        <w:rPr>
          <w:spacing w:val="-7"/>
        </w:rPr>
        <w:t> </w:t>
      </w:r>
      <w:r>
        <w:rPr/>
        <w:t>más</w:t>
      </w:r>
      <w:r>
        <w:rPr>
          <w:spacing w:val="-7"/>
        </w:rPr>
        <w:t> </w:t>
      </w:r>
      <w:r>
        <w:rPr/>
        <w:t>producción</w:t>
      </w:r>
      <w:r>
        <w:rPr>
          <w:spacing w:val="-7"/>
        </w:rPr>
        <w:t> </w:t>
      </w:r>
      <w:r>
        <w:rPr/>
        <w:t>de</w:t>
      </w:r>
      <w:r>
        <w:rPr>
          <w:spacing w:val="-7"/>
        </w:rPr>
        <w:t> </w:t>
      </w:r>
      <w:r>
        <w:rPr/>
        <w:t>sedimentos</w:t>
      </w:r>
      <w:r>
        <w:rPr>
          <w:spacing w:val="-7"/>
        </w:rPr>
        <w:t> </w:t>
      </w:r>
      <w:r>
        <w:rPr/>
        <w:t>y</w:t>
      </w:r>
      <w:r>
        <w:rPr>
          <w:spacing w:val="-7"/>
        </w:rPr>
        <w:t> </w:t>
      </w:r>
      <w:r>
        <w:rPr/>
        <w:t>escurrimientos</w:t>
      </w:r>
      <w:r>
        <w:rPr>
          <w:spacing w:val="-7"/>
        </w:rPr>
        <w:t> </w:t>
      </w:r>
      <w:r>
        <w:rPr/>
        <w:t>superficiales</w:t>
      </w:r>
      <w:r>
        <w:rPr>
          <w:spacing w:val="-6"/>
        </w:rPr>
        <w:t> </w:t>
      </w:r>
      <w:r>
        <w:rPr/>
        <w:t>en</w:t>
      </w:r>
      <w:r>
        <w:rPr>
          <w:spacing w:val="-7"/>
        </w:rPr>
        <w:t> </w:t>
      </w:r>
      <w:r>
        <w:rPr/>
        <w:t>la cuenca hidrográfica El Tejocote y con ello el mayor daño a los recursos</w:t>
      </w:r>
      <w:r>
        <w:rPr>
          <w:spacing w:val="-15"/>
        </w:rPr>
        <w:t> </w:t>
      </w:r>
      <w:r>
        <w:rPr/>
        <w:t>naturales.</w:t>
      </w:r>
    </w:p>
    <w:p>
      <w:pPr>
        <w:pStyle w:val="BodyText"/>
      </w:pPr>
    </w:p>
    <w:p>
      <w:pPr>
        <w:pStyle w:val="BodyText"/>
        <w:spacing w:line="360" w:lineRule="auto" w:before="156"/>
        <w:ind w:left="116" w:right="116"/>
        <w:jc w:val="both"/>
      </w:pPr>
      <w:r>
        <w:rPr/>
        <w:t>Asimismo se generará información hidrológica que pueda ser considerada para elaborar una planeación ambiental del recurso agua de una forma sustentable, además de implementar alternativas de uso y manejo del suelo y agua..</w:t>
      </w:r>
    </w:p>
    <w:p>
      <w:pPr>
        <w:pStyle w:val="BodyText"/>
      </w:pPr>
    </w:p>
    <w:p>
      <w:pPr>
        <w:spacing w:before="161"/>
        <w:ind w:left="116" w:right="0" w:firstLine="0"/>
        <w:jc w:val="both"/>
        <w:rPr>
          <w:b/>
          <w:i/>
          <w:sz w:val="26"/>
        </w:rPr>
      </w:pPr>
      <w:r>
        <w:rPr>
          <w:b/>
          <w:i/>
          <w:sz w:val="26"/>
        </w:rPr>
        <w:t>Pregunta de investigación</w:t>
      </w:r>
    </w:p>
    <w:p>
      <w:pPr>
        <w:pStyle w:val="BodyText"/>
        <w:rPr>
          <w:b/>
          <w:i/>
        </w:rPr>
      </w:pPr>
    </w:p>
    <w:p>
      <w:pPr>
        <w:pStyle w:val="BodyText"/>
        <w:spacing w:before="7"/>
        <w:rPr>
          <w:b/>
          <w:i/>
          <w:sz w:val="25"/>
        </w:rPr>
      </w:pPr>
    </w:p>
    <w:p>
      <w:pPr>
        <w:pStyle w:val="BodyText"/>
        <w:spacing w:line="357" w:lineRule="auto"/>
        <w:ind w:left="116" w:right="122"/>
        <w:jc w:val="both"/>
      </w:pPr>
      <w:r>
        <w:rPr/>
        <w:t>¿Cuál es la cobertura y/o uso de suelo de mayor impacto en la producción de sedimentos</w:t>
      </w:r>
      <w:r>
        <w:rPr>
          <w:spacing w:val="-25"/>
        </w:rPr>
        <w:t> </w:t>
      </w:r>
      <w:r>
        <w:rPr/>
        <w:t>y escurrimientos superficiales en la cuenca hidrográfica El Tejocote,</w:t>
      </w:r>
      <w:r>
        <w:rPr>
          <w:spacing w:val="-14"/>
        </w:rPr>
        <w:t> </w:t>
      </w:r>
      <w:r>
        <w:rPr/>
        <w:t>México?</w:t>
      </w:r>
    </w:p>
    <w:p>
      <w:pPr>
        <w:spacing w:after="0" w:line="357" w:lineRule="auto"/>
        <w:jc w:val="both"/>
        <w:sectPr>
          <w:pgSz w:w="12240" w:h="15840"/>
          <w:pgMar w:header="0" w:footer="1473" w:top="1360" w:bottom="1660" w:left="1300" w:right="1300"/>
        </w:sectPr>
      </w:pPr>
    </w:p>
    <w:p>
      <w:pPr>
        <w:pStyle w:val="Heading1"/>
        <w:numPr>
          <w:ilvl w:val="0"/>
          <w:numId w:val="5"/>
        </w:numPr>
        <w:tabs>
          <w:tab w:pos="367" w:val="left" w:leader="none"/>
        </w:tabs>
        <w:spacing w:line="362" w:lineRule="auto" w:before="53" w:after="0"/>
        <w:ind w:left="116" w:right="119" w:firstLine="0"/>
        <w:jc w:val="both"/>
      </w:pPr>
      <w:bookmarkStart w:name="_bookmark8" w:id="9"/>
      <w:bookmarkEnd w:id="9"/>
      <w:r>
        <w:rPr>
          <w:b w:val="0"/>
        </w:rPr>
      </w:r>
      <w:bookmarkStart w:name="_bookmark8" w:id="10"/>
      <w:bookmarkEnd w:id="10"/>
      <w:r>
        <w:rPr/>
        <w:t>MARCO</w:t>
      </w:r>
      <w:r>
        <w:rPr>
          <w:spacing w:val="-15"/>
        </w:rPr>
        <w:t> </w:t>
      </w:r>
      <w:r>
        <w:rPr/>
        <w:t>CONCEPTUAL</w:t>
      </w:r>
      <w:r>
        <w:rPr>
          <w:spacing w:val="-16"/>
        </w:rPr>
        <w:t> </w:t>
      </w:r>
      <w:r>
        <w:rPr/>
        <w:t>SOBRE</w:t>
      </w:r>
      <w:r>
        <w:rPr>
          <w:spacing w:val="-16"/>
        </w:rPr>
        <w:t> </w:t>
      </w:r>
      <w:r>
        <w:rPr/>
        <w:t>LA</w:t>
      </w:r>
      <w:r>
        <w:rPr>
          <w:spacing w:val="-16"/>
        </w:rPr>
        <w:t> </w:t>
      </w:r>
      <w:r>
        <w:rPr/>
        <w:t>CUENCA</w:t>
      </w:r>
      <w:r>
        <w:rPr>
          <w:spacing w:val="-16"/>
        </w:rPr>
        <w:t> </w:t>
      </w:r>
      <w:r>
        <w:rPr/>
        <w:t>HIDROGRÁFICA</w:t>
      </w:r>
      <w:r>
        <w:rPr>
          <w:spacing w:val="-16"/>
        </w:rPr>
        <w:t> </w:t>
      </w:r>
      <w:r>
        <w:rPr/>
        <w:t>Y</w:t>
      </w:r>
      <w:r>
        <w:rPr>
          <w:spacing w:val="-16"/>
        </w:rPr>
        <w:t> </w:t>
      </w:r>
      <w:r>
        <w:rPr/>
        <w:t>MODELOS HIDROLÓGICOS DE</w:t>
      </w:r>
      <w:r>
        <w:rPr>
          <w:spacing w:val="-7"/>
        </w:rPr>
        <w:t> </w:t>
      </w:r>
      <w:r>
        <w:rPr/>
        <w:t>SILUMACIÓN</w:t>
      </w:r>
    </w:p>
    <w:p>
      <w:pPr>
        <w:pStyle w:val="BodyText"/>
        <w:spacing w:before="10"/>
        <w:rPr>
          <w:b/>
          <w:sz w:val="38"/>
        </w:rPr>
      </w:pPr>
    </w:p>
    <w:p>
      <w:pPr>
        <w:pStyle w:val="BodyText"/>
        <w:spacing w:line="360" w:lineRule="auto"/>
        <w:ind w:left="116" w:right="110"/>
        <w:jc w:val="both"/>
      </w:pPr>
      <w:r>
        <w:rPr/>
        <w:t>En el presente capítulo se pretende realizar un compendio sobre las generalidades de la cuenca hidrográfica, es decir, la conceptualización y tipología que diversos autores han presentado, así como también los principios que conlleva el manejo de cuencas y su desarrollo a través de la historia a nivel internacional y nacional.</w:t>
      </w:r>
    </w:p>
    <w:p>
      <w:pPr>
        <w:pStyle w:val="BodyText"/>
      </w:pPr>
    </w:p>
    <w:p>
      <w:pPr>
        <w:pStyle w:val="BodyText"/>
        <w:spacing w:line="360" w:lineRule="auto" w:before="155"/>
        <w:ind w:left="116" w:right="105"/>
        <w:jc w:val="both"/>
      </w:pPr>
      <w:r>
        <w:rPr/>
        <w:t>También</w:t>
      </w:r>
      <w:r>
        <w:rPr>
          <w:spacing w:val="-5"/>
        </w:rPr>
        <w:t> </w:t>
      </w:r>
      <w:r>
        <w:rPr/>
        <w:t>se</w:t>
      </w:r>
      <w:r>
        <w:rPr>
          <w:spacing w:val="-6"/>
        </w:rPr>
        <w:t> </w:t>
      </w:r>
      <w:r>
        <w:rPr/>
        <w:t>retomarán</w:t>
      </w:r>
      <w:r>
        <w:rPr>
          <w:spacing w:val="-6"/>
        </w:rPr>
        <w:t> </w:t>
      </w:r>
      <w:r>
        <w:rPr/>
        <w:t>los</w:t>
      </w:r>
      <w:r>
        <w:rPr>
          <w:spacing w:val="-6"/>
        </w:rPr>
        <w:t> </w:t>
      </w:r>
      <w:r>
        <w:rPr/>
        <w:t>elementos</w:t>
      </w:r>
      <w:r>
        <w:rPr>
          <w:spacing w:val="-6"/>
        </w:rPr>
        <w:t> </w:t>
      </w:r>
      <w:r>
        <w:rPr/>
        <w:t>con</w:t>
      </w:r>
      <w:r>
        <w:rPr>
          <w:spacing w:val="-6"/>
        </w:rPr>
        <w:t> </w:t>
      </w:r>
      <w:r>
        <w:rPr/>
        <w:t>que</w:t>
      </w:r>
      <w:r>
        <w:rPr>
          <w:spacing w:val="-6"/>
        </w:rPr>
        <w:t> </w:t>
      </w:r>
      <w:r>
        <w:rPr/>
        <w:t>la</w:t>
      </w:r>
      <w:r>
        <w:rPr>
          <w:spacing w:val="-6"/>
        </w:rPr>
        <w:t> </w:t>
      </w:r>
      <w:r>
        <w:rPr/>
        <w:t>cuenca</w:t>
      </w:r>
      <w:r>
        <w:rPr>
          <w:spacing w:val="-6"/>
        </w:rPr>
        <w:t> </w:t>
      </w:r>
      <w:r>
        <w:rPr/>
        <w:t>guarda</w:t>
      </w:r>
      <w:r>
        <w:rPr>
          <w:spacing w:val="-6"/>
        </w:rPr>
        <w:t> </w:t>
      </w:r>
      <w:r>
        <w:rPr/>
        <w:t>una</w:t>
      </w:r>
      <w:r>
        <w:rPr>
          <w:spacing w:val="-6"/>
        </w:rPr>
        <w:t> </w:t>
      </w:r>
      <w:r>
        <w:rPr/>
        <w:t>estrecha</w:t>
      </w:r>
      <w:r>
        <w:rPr>
          <w:spacing w:val="-6"/>
        </w:rPr>
        <w:t> </w:t>
      </w:r>
      <w:r>
        <w:rPr/>
        <w:t>relación,</w:t>
      </w:r>
      <w:r>
        <w:rPr>
          <w:spacing w:val="-5"/>
        </w:rPr>
        <w:t> </w:t>
      </w:r>
      <w:r>
        <w:rPr/>
        <w:t>como es el ciclo hidrológico y, algunas de las metodologías a través del uso de modelos ambientales que se han utilizado para el estudio de las cuencas hidrográficas. En especial, se tratará el marco teórico del modelo SWAT y los componentes en los cuales se basa la simulación que</w:t>
      </w:r>
      <w:r>
        <w:rPr>
          <w:spacing w:val="-6"/>
        </w:rPr>
        <w:t> </w:t>
      </w:r>
      <w:r>
        <w:rPr/>
        <w:t>realiza.</w:t>
      </w:r>
    </w:p>
    <w:p>
      <w:pPr>
        <w:pStyle w:val="BodyText"/>
      </w:pPr>
    </w:p>
    <w:p>
      <w:pPr>
        <w:pStyle w:val="Heading1"/>
        <w:numPr>
          <w:ilvl w:val="1"/>
          <w:numId w:val="5"/>
        </w:numPr>
        <w:tabs>
          <w:tab w:pos="510" w:val="left" w:leader="none"/>
        </w:tabs>
        <w:spacing w:line="240" w:lineRule="auto" w:before="194" w:after="0"/>
        <w:ind w:left="509" w:right="0" w:hanging="393"/>
        <w:jc w:val="both"/>
      </w:pPr>
      <w:bookmarkStart w:name="_bookmark9" w:id="11"/>
      <w:bookmarkEnd w:id="11"/>
      <w:r>
        <w:rPr>
          <w:b w:val="0"/>
        </w:rPr>
      </w:r>
      <w:bookmarkStart w:name="_bookmark9" w:id="12"/>
      <w:bookmarkEnd w:id="12"/>
      <w:r>
        <w:rPr/>
        <w:t>La</w:t>
      </w:r>
      <w:r>
        <w:rPr/>
        <w:t> cuenca</w:t>
      </w:r>
      <w:r>
        <w:rPr>
          <w:spacing w:val="-15"/>
        </w:rPr>
        <w:t> </w:t>
      </w:r>
      <w:r>
        <w:rPr/>
        <w:t>hidrográfica</w:t>
      </w:r>
    </w:p>
    <w:p>
      <w:pPr>
        <w:pStyle w:val="BodyText"/>
        <w:rPr>
          <w:b/>
        </w:rPr>
      </w:pPr>
    </w:p>
    <w:p>
      <w:pPr>
        <w:pStyle w:val="BodyText"/>
        <w:spacing w:line="360" w:lineRule="auto" w:before="165"/>
        <w:ind w:left="116" w:right="115"/>
        <w:jc w:val="both"/>
      </w:pPr>
      <w:r>
        <w:rPr/>
        <w:t>Las cuencas constituyen un complejo mosaico de ecosistemas, naturales y manejados, donde se otorgan bienes y servicios ambientales invaluables para nuestra existencia como son el suministro de agua dulce, la regulación del caudal de los ríos, el mantenimiento de los regímenes hidrológicos naturales. La regulación de la erosión o la respuesta a eventos naturales extremos, entre otros (Balvanera y Cotler, 2009).</w:t>
      </w:r>
    </w:p>
    <w:p>
      <w:pPr>
        <w:pStyle w:val="BodyText"/>
      </w:pPr>
    </w:p>
    <w:p>
      <w:pPr>
        <w:pStyle w:val="BodyText"/>
        <w:spacing w:line="357" w:lineRule="auto" w:before="156"/>
        <w:ind w:left="116" w:right="119"/>
        <w:jc w:val="both"/>
      </w:pPr>
      <w:r>
        <w:rPr/>
        <w:t>Teniendo</w:t>
      </w:r>
      <w:r>
        <w:rPr>
          <w:spacing w:val="-15"/>
        </w:rPr>
        <w:t> </w:t>
      </w:r>
      <w:r>
        <w:rPr/>
        <w:t>en</w:t>
      </w:r>
      <w:r>
        <w:rPr>
          <w:spacing w:val="-10"/>
        </w:rPr>
        <w:t> </w:t>
      </w:r>
      <w:r>
        <w:rPr/>
        <w:t>mente</w:t>
      </w:r>
      <w:r>
        <w:rPr>
          <w:spacing w:val="-15"/>
        </w:rPr>
        <w:t> </w:t>
      </w:r>
      <w:r>
        <w:rPr/>
        <w:t>estos</w:t>
      </w:r>
      <w:r>
        <w:rPr>
          <w:spacing w:val="-15"/>
        </w:rPr>
        <w:t> </w:t>
      </w:r>
      <w:r>
        <w:rPr/>
        <w:t>antecedentes,</w:t>
      </w:r>
      <w:r>
        <w:rPr>
          <w:spacing w:val="-12"/>
        </w:rPr>
        <w:t> </w:t>
      </w:r>
      <w:r>
        <w:rPr/>
        <w:t>el</w:t>
      </w:r>
      <w:r>
        <w:rPr>
          <w:spacing w:val="-15"/>
        </w:rPr>
        <w:t> </w:t>
      </w:r>
      <w:r>
        <w:rPr/>
        <w:t>propósito</w:t>
      </w:r>
      <w:r>
        <w:rPr>
          <w:spacing w:val="-15"/>
        </w:rPr>
        <w:t> </w:t>
      </w:r>
      <w:r>
        <w:rPr/>
        <w:t>de</w:t>
      </w:r>
      <w:r>
        <w:rPr>
          <w:spacing w:val="-15"/>
        </w:rPr>
        <w:t> </w:t>
      </w:r>
      <w:r>
        <w:rPr/>
        <w:t>este</w:t>
      </w:r>
      <w:r>
        <w:rPr>
          <w:spacing w:val="-15"/>
        </w:rPr>
        <w:t> </w:t>
      </w:r>
      <w:r>
        <w:rPr/>
        <w:t>apartado</w:t>
      </w:r>
      <w:r>
        <w:rPr>
          <w:spacing w:val="-15"/>
        </w:rPr>
        <w:t> </w:t>
      </w:r>
      <w:r>
        <w:rPr/>
        <w:t>es</w:t>
      </w:r>
      <w:r>
        <w:rPr>
          <w:spacing w:val="-15"/>
        </w:rPr>
        <w:t> </w:t>
      </w:r>
      <w:r>
        <w:rPr/>
        <w:t>ofrecer</w:t>
      </w:r>
      <w:r>
        <w:rPr>
          <w:spacing w:val="-14"/>
        </w:rPr>
        <w:t> </w:t>
      </w:r>
      <w:r>
        <w:rPr/>
        <w:t>un</w:t>
      </w:r>
      <w:r>
        <w:rPr>
          <w:spacing w:val="-15"/>
        </w:rPr>
        <w:t> </w:t>
      </w:r>
      <w:r>
        <w:rPr/>
        <w:t>panorama de las principales características físicas que componen una cuenca</w:t>
      </w:r>
      <w:r>
        <w:rPr>
          <w:spacing w:val="-18"/>
        </w:rPr>
        <w:t> </w:t>
      </w:r>
      <w:r>
        <w:rPr/>
        <w:t>hidrográfica.</w:t>
      </w:r>
    </w:p>
    <w:p>
      <w:pPr>
        <w:spacing w:after="0" w:line="357" w:lineRule="auto"/>
        <w:jc w:val="both"/>
        <w:sectPr>
          <w:pgSz w:w="12240" w:h="15840"/>
          <w:pgMar w:header="0" w:footer="1473" w:top="1360" w:bottom="1660" w:left="1300" w:right="1300"/>
        </w:sectPr>
      </w:pPr>
    </w:p>
    <w:p>
      <w:pPr>
        <w:pStyle w:val="Heading1"/>
        <w:numPr>
          <w:ilvl w:val="2"/>
          <w:numId w:val="5"/>
        </w:numPr>
        <w:tabs>
          <w:tab w:pos="706" w:val="left" w:leader="none"/>
        </w:tabs>
        <w:spacing w:line="240" w:lineRule="auto" w:before="49" w:after="0"/>
        <w:ind w:left="705" w:right="0" w:hanging="589"/>
        <w:jc w:val="both"/>
      </w:pPr>
      <w:bookmarkStart w:name="_bookmark10" w:id="13"/>
      <w:bookmarkEnd w:id="13"/>
      <w:r>
        <w:rPr>
          <w:b w:val="0"/>
        </w:rPr>
      </w:r>
      <w:bookmarkStart w:name="_bookmark10" w:id="14"/>
      <w:bookmarkEnd w:id="14"/>
      <w:r>
        <w:rPr/>
        <w:t>De</w:t>
      </w:r>
      <w:r>
        <w:rPr/>
        <w:t>finición </w:t>
      </w:r>
      <w:r>
        <w:rPr>
          <w:spacing w:val="-3"/>
        </w:rPr>
        <w:t>de </w:t>
      </w:r>
      <w:r>
        <w:rPr/>
        <w:t>cuenca</w:t>
      </w:r>
      <w:r>
        <w:rPr>
          <w:spacing w:val="-11"/>
        </w:rPr>
        <w:t> </w:t>
      </w:r>
      <w:r>
        <w:rPr/>
        <w:t>hidrográfica</w:t>
      </w:r>
    </w:p>
    <w:p>
      <w:pPr>
        <w:pStyle w:val="BodyText"/>
        <w:rPr>
          <w:b/>
        </w:rPr>
      </w:pPr>
    </w:p>
    <w:p>
      <w:pPr>
        <w:pStyle w:val="BodyText"/>
        <w:spacing w:before="6"/>
        <w:rPr>
          <w:b/>
          <w:sz w:val="31"/>
        </w:rPr>
      </w:pPr>
    </w:p>
    <w:p>
      <w:pPr>
        <w:pStyle w:val="BodyText"/>
        <w:spacing w:line="360" w:lineRule="auto"/>
        <w:ind w:left="116" w:right="114"/>
        <w:jc w:val="both"/>
      </w:pPr>
      <w:r>
        <w:rPr/>
        <w:t>Stallings, (1982) citado por Loredo y otros, (2007) define a la cuenca hidrográfica como una</w:t>
      </w:r>
      <w:r>
        <w:rPr>
          <w:spacing w:val="-12"/>
        </w:rPr>
        <w:t> </w:t>
      </w:r>
      <w:r>
        <w:rPr/>
        <w:t>unidad</w:t>
      </w:r>
      <w:r>
        <w:rPr>
          <w:spacing w:val="-12"/>
        </w:rPr>
        <w:t> </w:t>
      </w:r>
      <w:r>
        <w:rPr/>
        <w:t>natural.</w:t>
      </w:r>
      <w:r>
        <w:rPr>
          <w:spacing w:val="-14"/>
        </w:rPr>
        <w:t> </w:t>
      </w:r>
      <w:r>
        <w:rPr/>
        <w:t>Por</w:t>
      </w:r>
      <w:r>
        <w:rPr>
          <w:spacing w:val="-12"/>
        </w:rPr>
        <w:t> </w:t>
      </w:r>
      <w:r>
        <w:rPr/>
        <w:t>su</w:t>
      </w:r>
      <w:r>
        <w:rPr>
          <w:spacing w:val="-16"/>
        </w:rPr>
        <w:t> </w:t>
      </w:r>
      <w:r>
        <w:rPr/>
        <w:t>parte</w:t>
      </w:r>
      <w:r>
        <w:rPr>
          <w:spacing w:val="-15"/>
        </w:rPr>
        <w:t> </w:t>
      </w:r>
      <w:r>
        <w:rPr/>
        <w:t>el</w:t>
      </w:r>
      <w:r>
        <w:rPr>
          <w:spacing w:val="-12"/>
        </w:rPr>
        <w:t> </w:t>
      </w:r>
      <w:r>
        <w:rPr/>
        <w:t>Colegio</w:t>
      </w:r>
      <w:r>
        <w:rPr>
          <w:spacing w:val="-12"/>
        </w:rPr>
        <w:t> </w:t>
      </w:r>
      <w:r>
        <w:rPr/>
        <w:t>de</w:t>
      </w:r>
      <w:r>
        <w:rPr>
          <w:spacing w:val="-12"/>
        </w:rPr>
        <w:t> </w:t>
      </w:r>
      <w:r>
        <w:rPr/>
        <w:t>Postgraduados,</w:t>
      </w:r>
      <w:r>
        <w:rPr>
          <w:spacing w:val="-10"/>
        </w:rPr>
        <w:t> </w:t>
      </w:r>
      <w:r>
        <w:rPr/>
        <w:t>(1977)</w:t>
      </w:r>
      <w:r>
        <w:rPr>
          <w:spacing w:val="-10"/>
        </w:rPr>
        <w:t> </w:t>
      </w:r>
      <w:r>
        <w:rPr/>
        <w:t>la</w:t>
      </w:r>
      <w:r>
        <w:rPr>
          <w:spacing w:val="-16"/>
        </w:rPr>
        <w:t> </w:t>
      </w:r>
      <w:r>
        <w:rPr/>
        <w:t>conceptualiza</w:t>
      </w:r>
      <w:r>
        <w:rPr>
          <w:spacing w:val="-12"/>
        </w:rPr>
        <w:t> </w:t>
      </w:r>
      <w:r>
        <w:rPr/>
        <w:t>como un área limitada por un parteaguas y drenada por una corriente o por un sistema de corrientes, cuyas aguas concurren en un punto de salida. Sánchez y otros (2003) señalan también que es un concepto utilizado para designar un territorio, región o zona, cuya característica escurre hacia un cauce común que desemboca en un afluente más grande, en una laguna o en el</w:t>
      </w:r>
      <w:r>
        <w:rPr>
          <w:spacing w:val="-7"/>
        </w:rPr>
        <w:t> </w:t>
      </w:r>
      <w:r>
        <w:rPr/>
        <w:t>mar.</w:t>
      </w:r>
    </w:p>
    <w:p>
      <w:pPr>
        <w:pStyle w:val="BodyText"/>
      </w:pPr>
    </w:p>
    <w:p>
      <w:pPr>
        <w:pStyle w:val="BodyText"/>
        <w:spacing w:line="360" w:lineRule="auto" w:before="156"/>
        <w:ind w:left="116" w:right="107"/>
        <w:jc w:val="both"/>
      </w:pPr>
      <w:r>
        <w:rPr/>
        <w:t>Maas, (2005) describe a la cuenca como una especie de embudo natural, cuyos bordes son los vértices de las montañas y la boca es la salida del río o arroyo, en ella interrelacionan factores ecológicos, climatológicos, hidrológicos, sociales, económicos, culturales, etc., dando que cada cuenca tiene su propia dinámica.</w:t>
      </w:r>
    </w:p>
    <w:p>
      <w:pPr>
        <w:pStyle w:val="BodyText"/>
      </w:pPr>
    </w:p>
    <w:p>
      <w:pPr>
        <w:pStyle w:val="BodyText"/>
        <w:spacing w:line="362" w:lineRule="auto" w:before="151"/>
        <w:ind w:left="116" w:right="120"/>
        <w:jc w:val="both"/>
      </w:pPr>
      <w:r>
        <w:rPr/>
        <w:t>En un sentido general algunas de las consideraciones para definir una cuenca</w:t>
      </w:r>
      <w:r>
        <w:rPr>
          <w:spacing w:val="-20"/>
        </w:rPr>
        <w:t> </w:t>
      </w:r>
      <w:r>
        <w:rPr/>
        <w:t>hidrográfica, son las</w:t>
      </w:r>
      <w:r>
        <w:rPr>
          <w:spacing w:val="-9"/>
        </w:rPr>
        <w:t> </w:t>
      </w:r>
      <w:r>
        <w:rPr/>
        <w:t>siguientes:</w:t>
      </w:r>
    </w:p>
    <w:p>
      <w:pPr>
        <w:pStyle w:val="BodyText"/>
      </w:pPr>
    </w:p>
    <w:p>
      <w:pPr>
        <w:pStyle w:val="ListParagraph"/>
        <w:numPr>
          <w:ilvl w:val="3"/>
          <w:numId w:val="5"/>
        </w:numPr>
        <w:tabs>
          <w:tab w:pos="837" w:val="left" w:leader="none"/>
        </w:tabs>
        <w:spacing w:line="360" w:lineRule="auto" w:before="153" w:after="0"/>
        <w:ind w:left="837" w:right="115" w:hanging="361"/>
        <w:jc w:val="both"/>
        <w:rPr>
          <w:sz w:val="26"/>
        </w:rPr>
      </w:pPr>
      <w:r>
        <w:rPr>
          <w:sz w:val="26"/>
        </w:rPr>
        <w:t>Una cuenca es un área que es fuente de recursos hidráulicos, en la cual debe haber un manejo planificado de los recursos naturales y de la preservación del ecosistema (Helweg, 1992 y Nadal,</w:t>
      </w:r>
      <w:r>
        <w:rPr>
          <w:spacing w:val="-3"/>
          <w:sz w:val="26"/>
        </w:rPr>
        <w:t> </w:t>
      </w:r>
      <w:r>
        <w:rPr>
          <w:sz w:val="26"/>
        </w:rPr>
        <w:t>1993).</w:t>
      </w:r>
    </w:p>
    <w:p>
      <w:pPr>
        <w:pStyle w:val="ListParagraph"/>
        <w:numPr>
          <w:ilvl w:val="3"/>
          <w:numId w:val="5"/>
        </w:numPr>
        <w:tabs>
          <w:tab w:pos="837" w:val="left" w:leader="none"/>
        </w:tabs>
        <w:spacing w:line="360" w:lineRule="auto" w:before="4" w:after="0"/>
        <w:ind w:left="837" w:right="116" w:hanging="361"/>
        <w:jc w:val="both"/>
        <w:rPr>
          <w:sz w:val="26"/>
        </w:rPr>
      </w:pPr>
      <w:r>
        <w:rPr>
          <w:sz w:val="26"/>
        </w:rPr>
        <w:t>Es también, un espacio ocupado por un grupo humano, que genera una demanda sobre la oferta de los recursos naturales renovables y realiza transformaciones del medio. Bajo esta perspectiva, las acciones que se ejecutan para la gestión y manejo de recursos naturales son las mismas acciones que se ejecutan en un programa de desarrollo regional aplicado al espacio de la cuenca hidrográfica (OEA, 1978; Varela, 1992 y Dourojeanni, 1993,</w:t>
      </w:r>
      <w:r>
        <w:rPr>
          <w:spacing w:val="-3"/>
          <w:sz w:val="26"/>
        </w:rPr>
        <w:t> </w:t>
      </w:r>
      <w:r>
        <w:rPr>
          <w:sz w:val="26"/>
        </w:rPr>
        <w:t>1994).</w:t>
      </w:r>
    </w:p>
    <w:p>
      <w:pPr>
        <w:spacing w:after="0" w:line="360" w:lineRule="auto"/>
        <w:jc w:val="both"/>
        <w:rPr>
          <w:sz w:val="26"/>
        </w:rPr>
        <w:sectPr>
          <w:pgSz w:w="12240" w:h="15840"/>
          <w:pgMar w:header="0" w:footer="1473" w:top="1360" w:bottom="1660" w:left="1300" w:right="1300"/>
        </w:sectPr>
      </w:pPr>
    </w:p>
    <w:p>
      <w:pPr>
        <w:pStyle w:val="ListParagraph"/>
        <w:numPr>
          <w:ilvl w:val="3"/>
          <w:numId w:val="5"/>
        </w:numPr>
        <w:tabs>
          <w:tab w:pos="837" w:val="left" w:leader="none"/>
        </w:tabs>
        <w:spacing w:line="360" w:lineRule="auto" w:before="49" w:after="0"/>
        <w:ind w:left="837" w:right="112" w:hanging="361"/>
        <w:jc w:val="both"/>
        <w:rPr>
          <w:sz w:val="26"/>
        </w:rPr>
      </w:pPr>
      <w:r>
        <w:rPr>
          <w:sz w:val="26"/>
        </w:rPr>
        <w:t>Y,</w:t>
      </w:r>
      <w:r>
        <w:rPr>
          <w:spacing w:val="-3"/>
          <w:sz w:val="26"/>
        </w:rPr>
        <w:t> </w:t>
      </w:r>
      <w:r>
        <w:rPr>
          <w:sz w:val="26"/>
        </w:rPr>
        <w:t>al</w:t>
      </w:r>
      <w:r>
        <w:rPr>
          <w:spacing w:val="-5"/>
          <w:sz w:val="26"/>
        </w:rPr>
        <w:t> </w:t>
      </w:r>
      <w:r>
        <w:rPr>
          <w:sz w:val="26"/>
        </w:rPr>
        <w:t>mismo</w:t>
      </w:r>
      <w:r>
        <w:rPr>
          <w:spacing w:val="-5"/>
          <w:sz w:val="26"/>
        </w:rPr>
        <w:t> </w:t>
      </w:r>
      <w:r>
        <w:rPr>
          <w:sz w:val="26"/>
        </w:rPr>
        <w:t>tiempo</w:t>
      </w:r>
      <w:r>
        <w:rPr>
          <w:spacing w:val="-5"/>
          <w:sz w:val="26"/>
        </w:rPr>
        <w:t> </w:t>
      </w:r>
      <w:r>
        <w:rPr>
          <w:sz w:val="26"/>
        </w:rPr>
        <w:t>constituye</w:t>
      </w:r>
      <w:r>
        <w:rPr>
          <w:spacing w:val="-5"/>
          <w:sz w:val="26"/>
        </w:rPr>
        <w:t> </w:t>
      </w:r>
      <w:r>
        <w:rPr>
          <w:sz w:val="26"/>
        </w:rPr>
        <w:t>un</w:t>
      </w:r>
      <w:r>
        <w:rPr>
          <w:spacing w:val="-5"/>
          <w:sz w:val="26"/>
        </w:rPr>
        <w:t> </w:t>
      </w:r>
      <w:r>
        <w:rPr>
          <w:sz w:val="26"/>
        </w:rPr>
        <w:t>sistema</w:t>
      </w:r>
      <w:r>
        <w:rPr>
          <w:spacing w:val="-5"/>
          <w:sz w:val="26"/>
        </w:rPr>
        <w:t> </w:t>
      </w:r>
      <w:r>
        <w:rPr>
          <w:sz w:val="26"/>
        </w:rPr>
        <w:t>organizado</w:t>
      </w:r>
      <w:r>
        <w:rPr>
          <w:spacing w:val="-5"/>
          <w:sz w:val="26"/>
        </w:rPr>
        <w:t> </w:t>
      </w:r>
      <w:r>
        <w:rPr>
          <w:sz w:val="26"/>
        </w:rPr>
        <w:t>de</w:t>
      </w:r>
      <w:r>
        <w:rPr>
          <w:spacing w:val="-5"/>
          <w:sz w:val="26"/>
        </w:rPr>
        <w:t> </w:t>
      </w:r>
      <w:r>
        <w:rPr>
          <w:sz w:val="26"/>
        </w:rPr>
        <w:t>relaciones</w:t>
      </w:r>
      <w:r>
        <w:rPr>
          <w:spacing w:val="-5"/>
          <w:sz w:val="26"/>
        </w:rPr>
        <w:t> </w:t>
      </w:r>
      <w:r>
        <w:rPr>
          <w:sz w:val="26"/>
        </w:rPr>
        <w:t>complejas</w:t>
      </w:r>
      <w:r>
        <w:rPr>
          <w:spacing w:val="-5"/>
          <w:sz w:val="26"/>
        </w:rPr>
        <w:t> </w:t>
      </w:r>
      <w:r>
        <w:rPr>
          <w:sz w:val="26"/>
        </w:rPr>
        <w:t>tanto internas como externas. Es un sistema contenido dentro de otro sistema (ambiente) constituido por las interacciones de otros subsistemas (biofísico, social,</w:t>
      </w:r>
      <w:r>
        <w:rPr>
          <w:spacing w:val="-31"/>
          <w:sz w:val="26"/>
        </w:rPr>
        <w:t> </w:t>
      </w:r>
      <w:r>
        <w:rPr>
          <w:sz w:val="26"/>
        </w:rPr>
        <w:t>económico, etc.),</w:t>
      </w:r>
      <w:r>
        <w:rPr>
          <w:spacing w:val="-8"/>
          <w:sz w:val="26"/>
        </w:rPr>
        <w:t> </w:t>
      </w:r>
      <w:r>
        <w:rPr>
          <w:sz w:val="26"/>
        </w:rPr>
        <w:t>cuyo</w:t>
      </w:r>
      <w:r>
        <w:rPr>
          <w:spacing w:val="-6"/>
          <w:sz w:val="26"/>
        </w:rPr>
        <w:t> </w:t>
      </w:r>
      <w:r>
        <w:rPr>
          <w:sz w:val="26"/>
        </w:rPr>
        <w:t>fin</w:t>
      </w:r>
      <w:r>
        <w:rPr>
          <w:spacing w:val="-10"/>
          <w:sz w:val="26"/>
        </w:rPr>
        <w:t> </w:t>
      </w:r>
      <w:r>
        <w:rPr>
          <w:sz w:val="26"/>
        </w:rPr>
        <w:t>principal</w:t>
      </w:r>
      <w:r>
        <w:rPr>
          <w:spacing w:val="-6"/>
          <w:sz w:val="26"/>
        </w:rPr>
        <w:t> </w:t>
      </w:r>
      <w:r>
        <w:rPr>
          <w:sz w:val="26"/>
        </w:rPr>
        <w:t>es</w:t>
      </w:r>
      <w:r>
        <w:rPr>
          <w:spacing w:val="-10"/>
          <w:sz w:val="26"/>
        </w:rPr>
        <w:t> </w:t>
      </w:r>
      <w:r>
        <w:rPr>
          <w:sz w:val="26"/>
        </w:rPr>
        <w:t>producir</w:t>
      </w:r>
      <w:r>
        <w:rPr>
          <w:spacing w:val="-6"/>
          <w:sz w:val="26"/>
        </w:rPr>
        <w:t> </w:t>
      </w:r>
      <w:r>
        <w:rPr>
          <w:sz w:val="26"/>
        </w:rPr>
        <w:t>bienestar</w:t>
      </w:r>
      <w:r>
        <w:rPr>
          <w:spacing w:val="-9"/>
          <w:sz w:val="26"/>
        </w:rPr>
        <w:t> </w:t>
      </w:r>
      <w:r>
        <w:rPr>
          <w:sz w:val="26"/>
        </w:rPr>
        <w:t>a</w:t>
      </w:r>
      <w:r>
        <w:rPr>
          <w:spacing w:val="-10"/>
          <w:sz w:val="26"/>
        </w:rPr>
        <w:t> </w:t>
      </w:r>
      <w:r>
        <w:rPr>
          <w:sz w:val="26"/>
        </w:rPr>
        <w:t>la</w:t>
      </w:r>
      <w:r>
        <w:rPr>
          <w:spacing w:val="-6"/>
          <w:sz w:val="26"/>
        </w:rPr>
        <w:t> </w:t>
      </w:r>
      <w:r>
        <w:rPr>
          <w:sz w:val="26"/>
        </w:rPr>
        <w:t>sociedad</w:t>
      </w:r>
      <w:r>
        <w:rPr>
          <w:spacing w:val="-6"/>
          <w:sz w:val="26"/>
        </w:rPr>
        <w:t> </w:t>
      </w:r>
      <w:r>
        <w:rPr>
          <w:sz w:val="26"/>
        </w:rPr>
        <w:t>que</w:t>
      </w:r>
      <w:r>
        <w:rPr>
          <w:spacing w:val="-10"/>
          <w:sz w:val="26"/>
        </w:rPr>
        <w:t> </w:t>
      </w:r>
      <w:r>
        <w:rPr>
          <w:sz w:val="26"/>
        </w:rPr>
        <w:t>la</w:t>
      </w:r>
      <w:r>
        <w:rPr>
          <w:spacing w:val="-6"/>
          <w:sz w:val="26"/>
        </w:rPr>
        <w:t> </w:t>
      </w:r>
      <w:r>
        <w:rPr>
          <w:sz w:val="26"/>
        </w:rPr>
        <w:t>gobierna</w:t>
      </w:r>
      <w:r>
        <w:rPr>
          <w:spacing w:val="-6"/>
          <w:sz w:val="26"/>
        </w:rPr>
        <w:t> </w:t>
      </w:r>
      <w:r>
        <w:rPr>
          <w:sz w:val="26"/>
        </w:rPr>
        <w:t>(cantidad y calidad de agua, energía, insumos, alimentos, recreación,</w:t>
      </w:r>
      <w:r>
        <w:rPr>
          <w:spacing w:val="-11"/>
          <w:sz w:val="26"/>
        </w:rPr>
        <w:t> </w:t>
      </w:r>
      <w:r>
        <w:rPr>
          <w:sz w:val="26"/>
        </w:rPr>
        <w:t>etc.).</w:t>
      </w:r>
    </w:p>
    <w:p>
      <w:pPr>
        <w:pStyle w:val="BodyText"/>
      </w:pPr>
    </w:p>
    <w:p>
      <w:pPr>
        <w:pStyle w:val="BodyText"/>
        <w:spacing w:line="360" w:lineRule="auto" w:before="156"/>
        <w:ind w:left="116" w:right="116"/>
        <w:jc w:val="both"/>
      </w:pPr>
      <w:r>
        <w:rPr/>
        <w:t>Hernández y otros, (2009) destacan también como las cuencas hidrográficas facilitan la percepción del efecto negativo de las acciones del hombre sobre su entorno, evidenciándolas en la contaminación y en la calidad del agua evacuada por la cuenca, quedando claro, por cierto, que el agua es el recurso integrador y el producto resultante de la cuenca.</w:t>
      </w:r>
    </w:p>
    <w:p>
      <w:pPr>
        <w:pStyle w:val="BodyText"/>
      </w:pPr>
    </w:p>
    <w:p>
      <w:pPr>
        <w:pStyle w:val="Heading1"/>
        <w:numPr>
          <w:ilvl w:val="2"/>
          <w:numId w:val="5"/>
        </w:numPr>
        <w:tabs>
          <w:tab w:pos="708" w:val="left" w:leader="none"/>
        </w:tabs>
        <w:spacing w:line="240" w:lineRule="auto" w:before="199" w:after="0"/>
        <w:ind w:left="707" w:right="0" w:hanging="591"/>
        <w:jc w:val="both"/>
      </w:pPr>
      <w:bookmarkStart w:name="_bookmark11" w:id="15"/>
      <w:bookmarkEnd w:id="15"/>
      <w:r>
        <w:rPr>
          <w:b w:val="0"/>
        </w:rPr>
      </w:r>
      <w:bookmarkStart w:name="_bookmark11" w:id="16"/>
      <w:bookmarkEnd w:id="16"/>
      <w:r>
        <w:rPr>
          <w:spacing w:val="-3"/>
        </w:rPr>
        <w:t>Ti</w:t>
      </w:r>
      <w:r>
        <w:rPr>
          <w:spacing w:val="-3"/>
        </w:rPr>
        <w:t>pos de </w:t>
      </w:r>
      <w:r>
        <w:rPr/>
        <w:t>cuencas</w:t>
      </w:r>
      <w:r>
        <w:rPr>
          <w:spacing w:val="4"/>
        </w:rPr>
        <w:t> </w:t>
      </w:r>
      <w:r>
        <w:rPr/>
        <w:t>hidrográficas</w:t>
      </w:r>
    </w:p>
    <w:p>
      <w:pPr>
        <w:pStyle w:val="BodyText"/>
        <w:spacing w:line="360" w:lineRule="auto" w:before="210"/>
        <w:ind w:left="116" w:right="113"/>
        <w:jc w:val="both"/>
      </w:pPr>
      <w:r>
        <w:rPr/>
        <w:t>Desde el punto de vista de su salida, para Hernández y otros, (2009) existen fundamentalmente dos tipos de cuencas: a) endorreicas y b) exorreicas. En las primeras el punto de salida está dentro de los límites de </w:t>
      </w:r>
      <w:r>
        <w:rPr>
          <w:spacing w:val="-3"/>
        </w:rPr>
        <w:t>la </w:t>
      </w:r>
      <w:r>
        <w:rPr/>
        <w:t>cuenca y generalmente es un lago; en las segundas,</w:t>
      </w:r>
      <w:r>
        <w:rPr>
          <w:spacing w:val="-3"/>
        </w:rPr>
        <w:t> </w:t>
      </w:r>
      <w:r>
        <w:rPr/>
        <w:t>el</w:t>
      </w:r>
      <w:r>
        <w:rPr>
          <w:spacing w:val="-5"/>
        </w:rPr>
        <w:t> </w:t>
      </w:r>
      <w:r>
        <w:rPr/>
        <w:t>punto</w:t>
      </w:r>
      <w:r>
        <w:rPr>
          <w:spacing w:val="-5"/>
        </w:rPr>
        <w:t> </w:t>
      </w:r>
      <w:r>
        <w:rPr/>
        <w:t>de</w:t>
      </w:r>
      <w:r>
        <w:rPr>
          <w:spacing w:val="-10"/>
        </w:rPr>
        <w:t> </w:t>
      </w:r>
      <w:r>
        <w:rPr/>
        <w:t>salida</w:t>
      </w:r>
      <w:r>
        <w:rPr>
          <w:spacing w:val="-5"/>
        </w:rPr>
        <w:t> </w:t>
      </w:r>
      <w:r>
        <w:rPr/>
        <w:t>se</w:t>
      </w:r>
      <w:r>
        <w:rPr>
          <w:spacing w:val="-10"/>
        </w:rPr>
        <w:t> </w:t>
      </w:r>
      <w:r>
        <w:rPr/>
        <w:t>encuentra</w:t>
      </w:r>
      <w:r>
        <w:rPr>
          <w:spacing w:val="-5"/>
        </w:rPr>
        <w:t> </w:t>
      </w:r>
      <w:r>
        <w:rPr/>
        <w:t>en</w:t>
      </w:r>
      <w:r>
        <w:rPr>
          <w:spacing w:val="-5"/>
        </w:rPr>
        <w:t> </w:t>
      </w:r>
      <w:r>
        <w:rPr/>
        <w:t>los</w:t>
      </w:r>
      <w:r>
        <w:rPr>
          <w:spacing w:val="-10"/>
        </w:rPr>
        <w:t> </w:t>
      </w:r>
      <w:r>
        <w:rPr/>
        <w:t>límites</w:t>
      </w:r>
      <w:r>
        <w:rPr>
          <w:spacing w:val="-5"/>
        </w:rPr>
        <w:t> </w:t>
      </w:r>
      <w:r>
        <w:rPr/>
        <w:t>de</w:t>
      </w:r>
      <w:r>
        <w:rPr>
          <w:spacing w:val="-5"/>
        </w:rPr>
        <w:t> </w:t>
      </w:r>
      <w:r>
        <w:rPr/>
        <w:t>la</w:t>
      </w:r>
      <w:r>
        <w:rPr>
          <w:spacing w:val="-5"/>
        </w:rPr>
        <w:t> </w:t>
      </w:r>
      <w:r>
        <w:rPr/>
        <w:t>cuenca</w:t>
      </w:r>
      <w:r>
        <w:rPr>
          <w:spacing w:val="-5"/>
        </w:rPr>
        <w:t> </w:t>
      </w:r>
      <w:r>
        <w:rPr/>
        <w:t>y</w:t>
      </w:r>
      <w:r>
        <w:rPr>
          <w:spacing w:val="-10"/>
        </w:rPr>
        <w:t> </w:t>
      </w:r>
      <w:r>
        <w:rPr/>
        <w:t>está</w:t>
      </w:r>
      <w:r>
        <w:rPr>
          <w:spacing w:val="-5"/>
        </w:rPr>
        <w:t> </w:t>
      </w:r>
      <w:r>
        <w:rPr/>
        <w:t>en</w:t>
      </w:r>
      <w:r>
        <w:rPr>
          <w:spacing w:val="-10"/>
        </w:rPr>
        <w:t> </w:t>
      </w:r>
      <w:r>
        <w:rPr/>
        <w:t>otra</w:t>
      </w:r>
      <w:r>
        <w:rPr>
          <w:spacing w:val="-5"/>
        </w:rPr>
        <w:t> </w:t>
      </w:r>
      <w:r>
        <w:rPr/>
        <w:t>corriente o en el</w:t>
      </w:r>
      <w:r>
        <w:rPr>
          <w:spacing w:val="-5"/>
        </w:rPr>
        <w:t> </w:t>
      </w:r>
      <w:r>
        <w:rPr/>
        <w:t>mar.</w:t>
      </w:r>
    </w:p>
    <w:p>
      <w:pPr>
        <w:pStyle w:val="BodyText"/>
      </w:pPr>
    </w:p>
    <w:p>
      <w:pPr>
        <w:pStyle w:val="BodyText"/>
        <w:spacing w:line="360" w:lineRule="auto" w:before="155"/>
        <w:ind w:left="116" w:right="113"/>
        <w:jc w:val="both"/>
      </w:pPr>
      <w:r>
        <w:rPr/>
        <w:t>Parra, (2009) divide a la cuenca de varias formas, siendo común el uso del término subcuenca</w:t>
      </w:r>
      <w:r>
        <w:rPr>
          <w:spacing w:val="-12"/>
        </w:rPr>
        <w:t> </w:t>
      </w:r>
      <w:r>
        <w:rPr/>
        <w:t>para</w:t>
      </w:r>
      <w:r>
        <w:rPr>
          <w:spacing w:val="-12"/>
        </w:rPr>
        <w:t> </w:t>
      </w:r>
      <w:r>
        <w:rPr/>
        <w:t>denominar</w:t>
      </w:r>
      <w:r>
        <w:rPr>
          <w:spacing w:val="-13"/>
        </w:rPr>
        <w:t> </w:t>
      </w:r>
      <w:r>
        <w:rPr/>
        <w:t>a</w:t>
      </w:r>
      <w:r>
        <w:rPr>
          <w:spacing w:val="-13"/>
        </w:rPr>
        <w:t> </w:t>
      </w:r>
      <w:r>
        <w:rPr/>
        <w:t>las</w:t>
      </w:r>
      <w:r>
        <w:rPr>
          <w:spacing w:val="-13"/>
        </w:rPr>
        <w:t> </w:t>
      </w:r>
      <w:r>
        <w:rPr/>
        <w:t>unidades</w:t>
      </w:r>
      <w:r>
        <w:rPr>
          <w:spacing w:val="-12"/>
        </w:rPr>
        <w:t> </w:t>
      </w:r>
      <w:r>
        <w:rPr/>
        <w:t>de</w:t>
      </w:r>
      <w:r>
        <w:rPr>
          <w:spacing w:val="-13"/>
        </w:rPr>
        <w:t> </w:t>
      </w:r>
      <w:r>
        <w:rPr/>
        <w:t>menor</w:t>
      </w:r>
      <w:r>
        <w:rPr>
          <w:spacing w:val="-13"/>
        </w:rPr>
        <w:t> </w:t>
      </w:r>
      <w:r>
        <w:rPr/>
        <w:t>jerarquía,</w:t>
      </w:r>
      <w:r>
        <w:rPr>
          <w:spacing w:val="-11"/>
        </w:rPr>
        <w:t> </w:t>
      </w:r>
      <w:r>
        <w:rPr/>
        <w:t>drenadas</w:t>
      </w:r>
      <w:r>
        <w:rPr>
          <w:spacing w:val="-12"/>
        </w:rPr>
        <w:t> </w:t>
      </w:r>
      <w:r>
        <w:rPr/>
        <w:t>por</w:t>
      </w:r>
      <w:r>
        <w:rPr>
          <w:spacing w:val="-13"/>
        </w:rPr>
        <w:t> </w:t>
      </w:r>
      <w:r>
        <w:rPr/>
        <w:t>un</w:t>
      </w:r>
      <w:r>
        <w:rPr>
          <w:spacing w:val="-13"/>
        </w:rPr>
        <w:t> </w:t>
      </w:r>
      <w:r>
        <w:rPr/>
        <w:t>tributario</w:t>
      </w:r>
      <w:r>
        <w:rPr>
          <w:spacing w:val="-13"/>
        </w:rPr>
        <w:t> </w:t>
      </w:r>
      <w:r>
        <w:rPr/>
        <w:t>del río</w:t>
      </w:r>
      <w:r>
        <w:rPr>
          <w:spacing w:val="-12"/>
        </w:rPr>
        <w:t> </w:t>
      </w:r>
      <w:r>
        <w:rPr/>
        <w:t>principal.</w:t>
      </w:r>
      <w:r>
        <w:rPr>
          <w:spacing w:val="-9"/>
        </w:rPr>
        <w:t> </w:t>
      </w:r>
      <w:r>
        <w:rPr/>
        <w:t>El</w:t>
      </w:r>
      <w:r>
        <w:rPr>
          <w:spacing w:val="-17"/>
        </w:rPr>
        <w:t> </w:t>
      </w:r>
      <w:r>
        <w:rPr/>
        <w:t>término</w:t>
      </w:r>
      <w:r>
        <w:rPr>
          <w:spacing w:val="-12"/>
        </w:rPr>
        <w:t> </w:t>
      </w:r>
      <w:r>
        <w:rPr/>
        <w:t>microcuenca</w:t>
      </w:r>
      <w:r>
        <w:rPr>
          <w:spacing w:val="-11"/>
        </w:rPr>
        <w:t> </w:t>
      </w:r>
      <w:r>
        <w:rPr/>
        <w:t>se</w:t>
      </w:r>
      <w:r>
        <w:rPr>
          <w:spacing w:val="-12"/>
        </w:rPr>
        <w:t> </w:t>
      </w:r>
      <w:r>
        <w:rPr/>
        <w:t>emplea</w:t>
      </w:r>
      <w:r>
        <w:rPr>
          <w:spacing w:val="-12"/>
        </w:rPr>
        <w:t> </w:t>
      </w:r>
      <w:r>
        <w:rPr/>
        <w:t>para</w:t>
      </w:r>
      <w:r>
        <w:rPr>
          <w:spacing w:val="-12"/>
        </w:rPr>
        <w:t> </w:t>
      </w:r>
      <w:r>
        <w:rPr/>
        <w:t>definir</w:t>
      </w:r>
      <w:r>
        <w:rPr>
          <w:spacing w:val="-16"/>
        </w:rPr>
        <w:t> </w:t>
      </w:r>
      <w:r>
        <w:rPr/>
        <w:t>las</w:t>
      </w:r>
      <w:r>
        <w:rPr>
          <w:spacing w:val="-12"/>
        </w:rPr>
        <w:t> </w:t>
      </w:r>
      <w:r>
        <w:rPr/>
        <w:t>unidades</w:t>
      </w:r>
      <w:r>
        <w:rPr>
          <w:spacing w:val="-12"/>
        </w:rPr>
        <w:t> </w:t>
      </w:r>
      <w:r>
        <w:rPr/>
        <w:t>hidrográficas</w:t>
      </w:r>
      <w:r>
        <w:rPr>
          <w:spacing w:val="-11"/>
        </w:rPr>
        <w:t> </w:t>
      </w:r>
      <w:r>
        <w:rPr/>
        <w:t>más pequeñas</w:t>
      </w:r>
      <w:r>
        <w:rPr>
          <w:spacing w:val="-15"/>
        </w:rPr>
        <w:t> </w:t>
      </w:r>
      <w:r>
        <w:rPr/>
        <w:t>dentro</w:t>
      </w:r>
      <w:r>
        <w:rPr>
          <w:spacing w:val="-16"/>
        </w:rPr>
        <w:t> </w:t>
      </w:r>
      <w:r>
        <w:rPr/>
        <w:t>de</w:t>
      </w:r>
      <w:r>
        <w:rPr>
          <w:spacing w:val="-16"/>
        </w:rPr>
        <w:t> </w:t>
      </w:r>
      <w:r>
        <w:rPr/>
        <w:t>una</w:t>
      </w:r>
      <w:r>
        <w:rPr>
          <w:spacing w:val="-16"/>
        </w:rPr>
        <w:t> </w:t>
      </w:r>
      <w:r>
        <w:rPr/>
        <w:t>cuenca</w:t>
      </w:r>
      <w:r>
        <w:rPr>
          <w:spacing w:val="-15"/>
        </w:rPr>
        <w:t> </w:t>
      </w:r>
      <w:r>
        <w:rPr/>
        <w:t>principal.</w:t>
      </w:r>
      <w:r>
        <w:rPr>
          <w:spacing w:val="-14"/>
        </w:rPr>
        <w:t> </w:t>
      </w:r>
      <w:r>
        <w:rPr/>
        <w:t>Esta</w:t>
      </w:r>
      <w:r>
        <w:rPr>
          <w:spacing w:val="-16"/>
        </w:rPr>
        <w:t> </w:t>
      </w:r>
      <w:r>
        <w:rPr/>
        <w:t>subdivisión</w:t>
      </w:r>
      <w:r>
        <w:rPr>
          <w:spacing w:val="-16"/>
        </w:rPr>
        <w:t> </w:t>
      </w:r>
      <w:r>
        <w:rPr/>
        <w:t>de</w:t>
      </w:r>
      <w:r>
        <w:rPr>
          <w:spacing w:val="-16"/>
        </w:rPr>
        <w:t> </w:t>
      </w:r>
      <w:r>
        <w:rPr/>
        <w:t>las</w:t>
      </w:r>
      <w:r>
        <w:rPr>
          <w:spacing w:val="-16"/>
        </w:rPr>
        <w:t> </w:t>
      </w:r>
      <w:r>
        <w:rPr/>
        <w:t>cuencas</w:t>
      </w:r>
      <w:r>
        <w:rPr>
          <w:spacing w:val="-15"/>
        </w:rPr>
        <w:t> </w:t>
      </w:r>
      <w:r>
        <w:rPr/>
        <w:t>permite</w:t>
      </w:r>
      <w:r>
        <w:rPr>
          <w:spacing w:val="-16"/>
        </w:rPr>
        <w:t> </w:t>
      </w:r>
      <w:r>
        <w:rPr/>
        <w:t>una</w:t>
      </w:r>
      <w:r>
        <w:rPr>
          <w:spacing w:val="-12"/>
        </w:rPr>
        <w:t> </w:t>
      </w:r>
      <w:r>
        <w:rPr/>
        <w:t>mejor priorización de las unidades de intervención o</w:t>
      </w:r>
      <w:r>
        <w:rPr>
          <w:spacing w:val="-12"/>
        </w:rPr>
        <w:t> </w:t>
      </w:r>
      <w:r>
        <w:rPr/>
        <w:t>tratamiento.</w:t>
      </w:r>
    </w:p>
    <w:p>
      <w:pPr>
        <w:pStyle w:val="BodyText"/>
      </w:pPr>
    </w:p>
    <w:p>
      <w:pPr>
        <w:pStyle w:val="BodyText"/>
        <w:spacing w:line="360" w:lineRule="auto" w:before="156"/>
        <w:ind w:left="116" w:right="118"/>
        <w:jc w:val="both"/>
      </w:pPr>
      <w:r>
        <w:rPr/>
        <w:t>Loredo</w:t>
      </w:r>
      <w:r>
        <w:rPr>
          <w:spacing w:val="-5"/>
        </w:rPr>
        <w:t> </w:t>
      </w:r>
      <w:r>
        <w:rPr/>
        <w:t>y</w:t>
      </w:r>
      <w:r>
        <w:rPr>
          <w:spacing w:val="-6"/>
        </w:rPr>
        <w:t> </w:t>
      </w:r>
      <w:r>
        <w:rPr/>
        <w:t>otros,</w:t>
      </w:r>
      <w:r>
        <w:rPr>
          <w:spacing w:val="-4"/>
        </w:rPr>
        <w:t> </w:t>
      </w:r>
      <w:r>
        <w:rPr/>
        <w:t>(2007)</w:t>
      </w:r>
      <w:r>
        <w:rPr>
          <w:spacing w:val="-6"/>
        </w:rPr>
        <w:t> </w:t>
      </w:r>
      <w:r>
        <w:rPr/>
        <w:t>subdividen</w:t>
      </w:r>
      <w:r>
        <w:rPr>
          <w:spacing w:val="-6"/>
        </w:rPr>
        <w:t> </w:t>
      </w:r>
      <w:r>
        <w:rPr/>
        <w:t>a</w:t>
      </w:r>
      <w:r>
        <w:rPr>
          <w:spacing w:val="-6"/>
        </w:rPr>
        <w:t> </w:t>
      </w:r>
      <w:r>
        <w:rPr/>
        <w:t>la</w:t>
      </w:r>
      <w:r>
        <w:rPr>
          <w:spacing w:val="-6"/>
        </w:rPr>
        <w:t> </w:t>
      </w:r>
      <w:r>
        <w:rPr/>
        <w:t>cuenca</w:t>
      </w:r>
      <w:r>
        <w:rPr>
          <w:spacing w:val="-6"/>
        </w:rPr>
        <w:t> </w:t>
      </w:r>
      <w:r>
        <w:rPr/>
        <w:t>en</w:t>
      </w:r>
      <w:r>
        <w:rPr>
          <w:spacing w:val="-6"/>
        </w:rPr>
        <w:t> </w:t>
      </w:r>
      <w:r>
        <w:rPr/>
        <w:t>microcuencas</w:t>
      </w:r>
      <w:r>
        <w:rPr>
          <w:spacing w:val="-6"/>
        </w:rPr>
        <w:t> </w:t>
      </w:r>
      <w:r>
        <w:rPr/>
        <w:t>o</w:t>
      </w:r>
      <w:r>
        <w:rPr>
          <w:spacing w:val="-6"/>
        </w:rPr>
        <w:t> </w:t>
      </w:r>
      <w:r>
        <w:rPr/>
        <w:t>unidades</w:t>
      </w:r>
      <w:r>
        <w:rPr>
          <w:spacing w:val="-6"/>
        </w:rPr>
        <w:t> </w:t>
      </w:r>
      <w:r>
        <w:rPr/>
        <w:t>de</w:t>
      </w:r>
      <w:r>
        <w:rPr>
          <w:spacing w:val="-6"/>
        </w:rPr>
        <w:t> </w:t>
      </w:r>
      <w:r>
        <w:rPr/>
        <w:t>planeación</w:t>
      </w:r>
      <w:r>
        <w:rPr>
          <w:spacing w:val="-1"/>
        </w:rPr>
        <w:t> </w:t>
      </w:r>
      <w:r>
        <w:rPr/>
        <w:t>y programación</w:t>
      </w:r>
      <w:r>
        <w:rPr>
          <w:spacing w:val="-6"/>
        </w:rPr>
        <w:t> </w:t>
      </w:r>
      <w:r>
        <w:rPr/>
        <w:t>de</w:t>
      </w:r>
      <w:r>
        <w:rPr>
          <w:spacing w:val="-6"/>
        </w:rPr>
        <w:t> </w:t>
      </w:r>
      <w:r>
        <w:rPr/>
        <w:t>acciones</w:t>
      </w:r>
      <w:r>
        <w:rPr>
          <w:spacing w:val="-6"/>
        </w:rPr>
        <w:t> </w:t>
      </w:r>
      <w:r>
        <w:rPr/>
        <w:t>donde</w:t>
      </w:r>
      <w:r>
        <w:rPr>
          <w:spacing w:val="-6"/>
        </w:rPr>
        <w:t> </w:t>
      </w:r>
      <w:r>
        <w:rPr/>
        <w:t>se</w:t>
      </w:r>
      <w:r>
        <w:rPr>
          <w:spacing w:val="-6"/>
        </w:rPr>
        <w:t> </w:t>
      </w:r>
      <w:r>
        <w:rPr/>
        <w:t>pueden</w:t>
      </w:r>
      <w:r>
        <w:rPr>
          <w:spacing w:val="-6"/>
        </w:rPr>
        <w:t> </w:t>
      </w:r>
      <w:r>
        <w:rPr/>
        <w:t>desarrollar</w:t>
      </w:r>
      <w:r>
        <w:rPr>
          <w:spacing w:val="-6"/>
        </w:rPr>
        <w:t> </w:t>
      </w:r>
      <w:r>
        <w:rPr/>
        <w:t>y</w:t>
      </w:r>
      <w:r>
        <w:rPr>
          <w:spacing w:val="-6"/>
        </w:rPr>
        <w:t> </w:t>
      </w:r>
      <w:r>
        <w:rPr/>
        <w:t>coordinar</w:t>
      </w:r>
      <w:r>
        <w:rPr>
          <w:spacing w:val="-6"/>
        </w:rPr>
        <w:t> </w:t>
      </w:r>
      <w:r>
        <w:rPr/>
        <w:t>los</w:t>
      </w:r>
      <w:r>
        <w:rPr>
          <w:spacing w:val="-6"/>
        </w:rPr>
        <w:t> </w:t>
      </w:r>
      <w:r>
        <w:rPr/>
        <w:t>servicios</w:t>
      </w:r>
      <w:r>
        <w:rPr>
          <w:spacing w:val="-6"/>
        </w:rPr>
        <w:t> </w:t>
      </w:r>
      <w:r>
        <w:rPr/>
        <w:t>integrados de la instituciones (CIAT,</w:t>
      </w:r>
      <w:r>
        <w:rPr>
          <w:spacing w:val="-8"/>
        </w:rPr>
        <w:t> </w:t>
      </w:r>
      <w:r>
        <w:rPr/>
        <w:t>1999).</w:t>
      </w:r>
    </w:p>
    <w:p>
      <w:pPr>
        <w:spacing w:after="0" w:line="360" w:lineRule="auto"/>
        <w:jc w:val="both"/>
        <w:sectPr>
          <w:footerReference w:type="default" r:id="rId10"/>
          <w:pgSz w:w="12240" w:h="15840"/>
          <w:pgMar w:footer="1473" w:header="0" w:top="1360" w:bottom="1660" w:left="1300" w:right="1300"/>
        </w:sectPr>
      </w:pPr>
    </w:p>
    <w:p>
      <w:pPr>
        <w:pStyle w:val="Heading1"/>
        <w:numPr>
          <w:ilvl w:val="2"/>
          <w:numId w:val="5"/>
        </w:numPr>
        <w:tabs>
          <w:tab w:pos="708" w:val="left" w:leader="none"/>
        </w:tabs>
        <w:spacing w:line="240" w:lineRule="auto" w:before="53" w:after="0"/>
        <w:ind w:left="707" w:right="0" w:hanging="591"/>
        <w:jc w:val="both"/>
      </w:pPr>
      <w:bookmarkStart w:name="_bookmark12" w:id="17"/>
      <w:bookmarkEnd w:id="17"/>
      <w:r>
        <w:rPr>
          <w:b w:val="0"/>
        </w:rPr>
      </w:r>
      <w:bookmarkStart w:name="_bookmark12" w:id="18"/>
      <w:bookmarkEnd w:id="18"/>
      <w:r>
        <w:rPr/>
        <w:t>Ma</w:t>
      </w:r>
      <w:r>
        <w:rPr/>
        <w:t>nejo </w:t>
      </w:r>
      <w:r>
        <w:rPr>
          <w:spacing w:val="-3"/>
        </w:rPr>
        <w:t>de </w:t>
      </w:r>
      <w:r>
        <w:rPr/>
        <w:t>cuencas</w:t>
      </w:r>
      <w:r>
        <w:rPr>
          <w:spacing w:val="-13"/>
        </w:rPr>
        <w:t> </w:t>
      </w:r>
      <w:r>
        <w:rPr/>
        <w:t>hidrográficas</w:t>
      </w:r>
    </w:p>
    <w:p>
      <w:pPr>
        <w:pStyle w:val="BodyText"/>
        <w:rPr>
          <w:b/>
        </w:rPr>
      </w:pPr>
    </w:p>
    <w:p>
      <w:pPr>
        <w:pStyle w:val="BodyText"/>
        <w:spacing w:before="10"/>
        <w:rPr>
          <w:b/>
          <w:sz w:val="21"/>
        </w:rPr>
      </w:pPr>
    </w:p>
    <w:p>
      <w:pPr>
        <w:pStyle w:val="BodyText"/>
        <w:spacing w:line="360" w:lineRule="auto"/>
        <w:ind w:left="116" w:right="118"/>
        <w:jc w:val="both"/>
      </w:pPr>
      <w:r>
        <w:rPr>
          <w:spacing w:val="-3"/>
        </w:rPr>
        <w:t>Se </w:t>
      </w:r>
      <w:r>
        <w:rPr/>
        <w:t>entiende por manejo de cuencas la aplicación de principios y métodos para el uso racional,</w:t>
      </w:r>
      <w:r>
        <w:rPr>
          <w:spacing w:val="-14"/>
        </w:rPr>
        <w:t> </w:t>
      </w:r>
      <w:r>
        <w:rPr/>
        <w:t>integrado</w:t>
      </w:r>
      <w:r>
        <w:rPr>
          <w:spacing w:val="-16"/>
        </w:rPr>
        <w:t> </w:t>
      </w:r>
      <w:r>
        <w:rPr/>
        <w:t>y</w:t>
      </w:r>
      <w:r>
        <w:rPr>
          <w:spacing w:val="-14"/>
        </w:rPr>
        <w:t> </w:t>
      </w:r>
      <w:r>
        <w:rPr/>
        <w:t>participativo</w:t>
      </w:r>
      <w:r>
        <w:rPr>
          <w:spacing w:val="-16"/>
        </w:rPr>
        <w:t> </w:t>
      </w:r>
      <w:r>
        <w:rPr/>
        <w:t>de</w:t>
      </w:r>
      <w:r>
        <w:rPr>
          <w:spacing w:val="-16"/>
        </w:rPr>
        <w:t> </w:t>
      </w:r>
      <w:r>
        <w:rPr/>
        <w:t>los</w:t>
      </w:r>
      <w:r>
        <w:rPr>
          <w:spacing w:val="-16"/>
        </w:rPr>
        <w:t> </w:t>
      </w:r>
      <w:r>
        <w:rPr/>
        <w:t>recursos</w:t>
      </w:r>
      <w:r>
        <w:rPr>
          <w:spacing w:val="-16"/>
        </w:rPr>
        <w:t> </w:t>
      </w:r>
      <w:r>
        <w:rPr/>
        <w:t>naturales</w:t>
      </w:r>
      <w:r>
        <w:rPr>
          <w:spacing w:val="-15"/>
        </w:rPr>
        <w:t> </w:t>
      </w:r>
      <w:r>
        <w:rPr/>
        <w:t>de</w:t>
      </w:r>
      <w:r>
        <w:rPr>
          <w:spacing w:val="-16"/>
        </w:rPr>
        <w:t> </w:t>
      </w:r>
      <w:r>
        <w:rPr/>
        <w:t>la</w:t>
      </w:r>
      <w:r>
        <w:rPr>
          <w:spacing w:val="-16"/>
        </w:rPr>
        <w:t> </w:t>
      </w:r>
      <w:r>
        <w:rPr/>
        <w:t>cuenca;</w:t>
      </w:r>
      <w:r>
        <w:rPr>
          <w:spacing w:val="-15"/>
        </w:rPr>
        <w:t> </w:t>
      </w:r>
      <w:r>
        <w:rPr/>
        <w:t>fundamentalmente del</w:t>
      </w:r>
      <w:r>
        <w:rPr>
          <w:spacing w:val="-6"/>
        </w:rPr>
        <w:t> </w:t>
      </w:r>
      <w:r>
        <w:rPr/>
        <w:t>agua,</w:t>
      </w:r>
      <w:r>
        <w:rPr>
          <w:spacing w:val="-4"/>
        </w:rPr>
        <w:t> </w:t>
      </w:r>
      <w:r>
        <w:rPr/>
        <w:t>del</w:t>
      </w:r>
      <w:r>
        <w:rPr>
          <w:spacing w:val="-6"/>
        </w:rPr>
        <w:t> </w:t>
      </w:r>
      <w:r>
        <w:rPr/>
        <w:t>suelo</w:t>
      </w:r>
      <w:r>
        <w:rPr>
          <w:spacing w:val="-6"/>
        </w:rPr>
        <w:t> </w:t>
      </w:r>
      <w:r>
        <w:rPr/>
        <w:t>y</w:t>
      </w:r>
      <w:r>
        <w:rPr>
          <w:spacing w:val="-6"/>
        </w:rPr>
        <w:t> </w:t>
      </w:r>
      <w:r>
        <w:rPr/>
        <w:t>de</w:t>
      </w:r>
      <w:r>
        <w:rPr>
          <w:spacing w:val="-6"/>
        </w:rPr>
        <w:t> </w:t>
      </w:r>
      <w:r>
        <w:rPr/>
        <w:t>la</w:t>
      </w:r>
      <w:r>
        <w:rPr>
          <w:spacing w:val="-6"/>
        </w:rPr>
        <w:t> </w:t>
      </w:r>
      <w:r>
        <w:rPr/>
        <w:t>vegetación,</w:t>
      </w:r>
      <w:r>
        <w:rPr>
          <w:spacing w:val="-4"/>
        </w:rPr>
        <w:t> </w:t>
      </w:r>
      <w:r>
        <w:rPr/>
        <w:t>a</w:t>
      </w:r>
      <w:r>
        <w:rPr>
          <w:spacing w:val="-6"/>
        </w:rPr>
        <w:t> </w:t>
      </w:r>
      <w:r>
        <w:rPr/>
        <w:t>fin</w:t>
      </w:r>
      <w:r>
        <w:rPr>
          <w:spacing w:val="-6"/>
        </w:rPr>
        <w:t> </w:t>
      </w:r>
      <w:r>
        <w:rPr/>
        <w:t>de</w:t>
      </w:r>
      <w:r>
        <w:rPr>
          <w:spacing w:val="-6"/>
        </w:rPr>
        <w:t> </w:t>
      </w:r>
      <w:r>
        <w:rPr/>
        <w:t>lograr</w:t>
      </w:r>
      <w:r>
        <w:rPr>
          <w:spacing w:val="-6"/>
        </w:rPr>
        <w:t> </w:t>
      </w:r>
      <w:r>
        <w:rPr/>
        <w:t>una</w:t>
      </w:r>
      <w:r>
        <w:rPr>
          <w:spacing w:val="-6"/>
        </w:rPr>
        <w:t> </w:t>
      </w:r>
      <w:r>
        <w:rPr/>
        <w:t>producción</w:t>
      </w:r>
      <w:r>
        <w:rPr>
          <w:spacing w:val="-6"/>
        </w:rPr>
        <w:t> </w:t>
      </w:r>
      <w:r>
        <w:rPr/>
        <w:t>óptima</w:t>
      </w:r>
      <w:r>
        <w:rPr>
          <w:spacing w:val="-6"/>
        </w:rPr>
        <w:t> </w:t>
      </w:r>
      <w:r>
        <w:rPr/>
        <w:t>y</w:t>
      </w:r>
      <w:r>
        <w:rPr>
          <w:spacing w:val="-6"/>
        </w:rPr>
        <w:t> </w:t>
      </w:r>
      <w:r>
        <w:rPr/>
        <w:t>sostenida</w:t>
      </w:r>
      <w:r>
        <w:rPr>
          <w:spacing w:val="-6"/>
        </w:rPr>
        <w:t> </w:t>
      </w:r>
      <w:r>
        <w:rPr/>
        <w:t>de estos recursos con el mínimo deterioro ambiental. En el manejo de la cuenca es</w:t>
      </w:r>
      <w:r>
        <w:rPr>
          <w:spacing w:val="-42"/>
        </w:rPr>
        <w:t> </w:t>
      </w:r>
      <w:r>
        <w:rPr/>
        <w:t>importante la labor coordinada de las instituciones públicas y privadas</w:t>
      </w:r>
      <w:r>
        <w:rPr>
          <w:spacing w:val="-13"/>
        </w:rPr>
        <w:t> </w:t>
      </w:r>
      <w:r>
        <w:rPr/>
        <w:t>pertinentes.</w:t>
      </w:r>
    </w:p>
    <w:p>
      <w:pPr>
        <w:pStyle w:val="BodyText"/>
      </w:pPr>
    </w:p>
    <w:p>
      <w:pPr>
        <w:pStyle w:val="BodyText"/>
        <w:spacing w:line="360" w:lineRule="auto" w:before="155"/>
        <w:ind w:left="116" w:right="108"/>
        <w:jc w:val="both"/>
      </w:pPr>
      <w:r>
        <w:rPr/>
        <w:t>Así,</w:t>
      </w:r>
      <w:r>
        <w:rPr>
          <w:spacing w:val="-10"/>
        </w:rPr>
        <w:t> </w:t>
      </w:r>
      <w:r>
        <w:rPr/>
        <w:t>es</w:t>
      </w:r>
      <w:r>
        <w:rPr>
          <w:spacing w:val="-12"/>
        </w:rPr>
        <w:t> </w:t>
      </w:r>
      <w:r>
        <w:rPr/>
        <w:t>claro</w:t>
      </w:r>
      <w:r>
        <w:rPr>
          <w:spacing w:val="-12"/>
        </w:rPr>
        <w:t> </w:t>
      </w:r>
      <w:r>
        <w:rPr/>
        <w:t>para</w:t>
      </w:r>
      <w:r>
        <w:rPr>
          <w:spacing w:val="-16"/>
        </w:rPr>
        <w:t> </w:t>
      </w:r>
      <w:r>
        <w:rPr/>
        <w:t>varios</w:t>
      </w:r>
      <w:r>
        <w:rPr>
          <w:spacing w:val="-12"/>
        </w:rPr>
        <w:t> </w:t>
      </w:r>
      <w:r>
        <w:rPr/>
        <w:t>autores</w:t>
      </w:r>
      <w:r>
        <w:rPr>
          <w:spacing w:val="-12"/>
        </w:rPr>
        <w:t> </w:t>
      </w:r>
      <w:r>
        <w:rPr/>
        <w:t>como</w:t>
      </w:r>
      <w:r>
        <w:rPr>
          <w:spacing w:val="-10"/>
        </w:rPr>
        <w:t> </w:t>
      </w:r>
      <w:r>
        <w:rPr/>
        <w:t>OEA,</w:t>
      </w:r>
      <w:r>
        <w:rPr>
          <w:spacing w:val="-10"/>
        </w:rPr>
        <w:t> </w:t>
      </w:r>
      <w:r>
        <w:rPr/>
        <w:t>(1978),</w:t>
      </w:r>
      <w:r>
        <w:rPr>
          <w:spacing w:val="-9"/>
        </w:rPr>
        <w:t> </w:t>
      </w:r>
      <w:r>
        <w:rPr/>
        <w:t>Arias</w:t>
      </w:r>
      <w:r>
        <w:rPr>
          <w:spacing w:val="-12"/>
        </w:rPr>
        <w:t> </w:t>
      </w:r>
      <w:r>
        <w:rPr/>
        <w:t>y</w:t>
      </w:r>
      <w:r>
        <w:rPr>
          <w:spacing w:val="-12"/>
        </w:rPr>
        <w:t> </w:t>
      </w:r>
      <w:r>
        <w:rPr/>
        <w:t>Duque,</w:t>
      </w:r>
      <w:r>
        <w:rPr>
          <w:spacing w:val="-14"/>
        </w:rPr>
        <w:t> </w:t>
      </w:r>
      <w:r>
        <w:rPr/>
        <w:t>(1992),</w:t>
      </w:r>
      <w:r>
        <w:rPr>
          <w:spacing w:val="-13"/>
        </w:rPr>
        <w:t> </w:t>
      </w:r>
      <w:r>
        <w:rPr/>
        <w:t>Varela,</w:t>
      </w:r>
      <w:r>
        <w:rPr>
          <w:spacing w:val="-14"/>
        </w:rPr>
        <w:t> </w:t>
      </w:r>
      <w:r>
        <w:rPr/>
        <w:t>(1992), Nadal, (1993), CVC, (1995), Dourojeanni, (1993), (1994), Jouravlev, (2001), Dourojeanni y otros, (2002) que la cuenca es un espacio natural (un conjunto de sistemas entrelazados) idóneo</w:t>
      </w:r>
      <w:r>
        <w:rPr>
          <w:spacing w:val="-11"/>
        </w:rPr>
        <w:t> </w:t>
      </w:r>
      <w:r>
        <w:rPr/>
        <w:t>para</w:t>
      </w:r>
      <w:r>
        <w:rPr>
          <w:spacing w:val="-11"/>
        </w:rPr>
        <w:t> </w:t>
      </w:r>
      <w:r>
        <w:rPr/>
        <w:t>llevar</w:t>
      </w:r>
      <w:r>
        <w:rPr>
          <w:spacing w:val="-11"/>
        </w:rPr>
        <w:t> </w:t>
      </w:r>
      <w:r>
        <w:rPr/>
        <w:t>a</w:t>
      </w:r>
      <w:r>
        <w:rPr>
          <w:spacing w:val="-11"/>
        </w:rPr>
        <w:t> </w:t>
      </w:r>
      <w:r>
        <w:rPr/>
        <w:t>cabo</w:t>
      </w:r>
      <w:r>
        <w:rPr>
          <w:spacing w:val="-16"/>
        </w:rPr>
        <w:t> </w:t>
      </w:r>
      <w:r>
        <w:rPr/>
        <w:t>la</w:t>
      </w:r>
      <w:r>
        <w:rPr>
          <w:spacing w:val="-11"/>
        </w:rPr>
        <w:t> </w:t>
      </w:r>
      <w:r>
        <w:rPr/>
        <w:t>labor</w:t>
      </w:r>
      <w:r>
        <w:rPr>
          <w:spacing w:val="-16"/>
        </w:rPr>
        <w:t> </w:t>
      </w:r>
      <w:r>
        <w:rPr/>
        <w:t>conjunta</w:t>
      </w:r>
      <w:r>
        <w:rPr>
          <w:spacing w:val="-11"/>
        </w:rPr>
        <w:t> </w:t>
      </w:r>
      <w:r>
        <w:rPr/>
        <w:t>de</w:t>
      </w:r>
      <w:r>
        <w:rPr>
          <w:spacing w:val="-16"/>
        </w:rPr>
        <w:t> </w:t>
      </w:r>
      <w:r>
        <w:rPr/>
        <w:t>la</w:t>
      </w:r>
      <w:r>
        <w:rPr>
          <w:spacing w:val="-16"/>
        </w:rPr>
        <w:t> </w:t>
      </w:r>
      <w:r>
        <w:rPr/>
        <w:t>planeación</w:t>
      </w:r>
      <w:r>
        <w:rPr>
          <w:spacing w:val="-10"/>
        </w:rPr>
        <w:t> </w:t>
      </w:r>
      <w:r>
        <w:rPr/>
        <w:t>de</w:t>
      </w:r>
      <w:r>
        <w:rPr>
          <w:spacing w:val="-16"/>
        </w:rPr>
        <w:t> </w:t>
      </w:r>
      <w:r>
        <w:rPr/>
        <w:t>los</w:t>
      </w:r>
      <w:r>
        <w:rPr>
          <w:spacing w:val="-11"/>
        </w:rPr>
        <w:t> </w:t>
      </w:r>
      <w:r>
        <w:rPr/>
        <w:t>recursos</w:t>
      </w:r>
      <w:r>
        <w:rPr>
          <w:spacing w:val="-15"/>
        </w:rPr>
        <w:t> </w:t>
      </w:r>
      <w:r>
        <w:rPr/>
        <w:t>naturales.</w:t>
      </w:r>
      <w:r>
        <w:rPr>
          <w:spacing w:val="-8"/>
        </w:rPr>
        <w:t> </w:t>
      </w:r>
      <w:r>
        <w:rPr/>
        <w:t>Según Parra, (2009) las cuencas como áreas geográficas son unidades óptimas de organización para conducir el manejo del agua y recursos estrechamente relacionados, sin embargo, debido a que los límites naturales de las cuencas raramente coinciden con jurisdicciones políticas y así ellas pueden no ser muy útiles para propósitos políticos, tanto la estructura de una organización de manejo de cuenca y la naturaleza de las actividades que deben enfrentarse deben ser acordes a la escala de la</w:t>
      </w:r>
      <w:r>
        <w:rPr>
          <w:spacing w:val="-14"/>
        </w:rPr>
        <w:t> </w:t>
      </w:r>
      <w:r>
        <w:rPr/>
        <w:t>cuenca.</w:t>
      </w:r>
    </w:p>
    <w:p>
      <w:pPr>
        <w:pStyle w:val="BodyText"/>
      </w:pPr>
    </w:p>
    <w:p>
      <w:pPr>
        <w:pStyle w:val="BodyText"/>
        <w:spacing w:line="360" w:lineRule="auto" w:before="155"/>
        <w:ind w:left="116" w:right="115"/>
        <w:jc w:val="both"/>
      </w:pPr>
      <w:r>
        <w:rPr/>
        <w:t>De igual forma, una importante necesidad para avanzar en el manejo de cuenca es desarrollar</w:t>
      </w:r>
      <w:r>
        <w:rPr>
          <w:spacing w:val="-10"/>
        </w:rPr>
        <w:t> </w:t>
      </w:r>
      <w:r>
        <w:rPr/>
        <w:t>procedimientos</w:t>
      </w:r>
      <w:r>
        <w:rPr>
          <w:spacing w:val="-11"/>
        </w:rPr>
        <w:t> </w:t>
      </w:r>
      <w:r>
        <w:rPr/>
        <w:t>prácticos</w:t>
      </w:r>
      <w:r>
        <w:rPr>
          <w:spacing w:val="-10"/>
        </w:rPr>
        <w:t> </w:t>
      </w:r>
      <w:r>
        <w:rPr/>
        <w:t>para</w:t>
      </w:r>
      <w:r>
        <w:rPr>
          <w:spacing w:val="-11"/>
        </w:rPr>
        <w:t> </w:t>
      </w:r>
      <w:r>
        <w:rPr/>
        <w:t>considerar</w:t>
      </w:r>
      <w:r>
        <w:rPr>
          <w:spacing w:val="-10"/>
        </w:rPr>
        <w:t> </w:t>
      </w:r>
      <w:r>
        <w:rPr/>
        <w:t>el</w:t>
      </w:r>
      <w:r>
        <w:rPr>
          <w:spacing w:val="-11"/>
        </w:rPr>
        <w:t> </w:t>
      </w:r>
      <w:r>
        <w:rPr/>
        <w:t>riesgo</w:t>
      </w:r>
      <w:r>
        <w:rPr>
          <w:spacing w:val="-11"/>
        </w:rPr>
        <w:t> </w:t>
      </w:r>
      <w:r>
        <w:rPr/>
        <w:t>y</w:t>
      </w:r>
      <w:r>
        <w:rPr>
          <w:spacing w:val="-11"/>
        </w:rPr>
        <w:t> </w:t>
      </w:r>
      <w:r>
        <w:rPr/>
        <w:t>la</w:t>
      </w:r>
      <w:r>
        <w:rPr>
          <w:spacing w:val="-11"/>
        </w:rPr>
        <w:t> </w:t>
      </w:r>
      <w:r>
        <w:rPr/>
        <w:t>incertidumbre</w:t>
      </w:r>
      <w:r>
        <w:rPr>
          <w:spacing w:val="-10"/>
        </w:rPr>
        <w:t> </w:t>
      </w:r>
      <w:r>
        <w:rPr/>
        <w:t>en</w:t>
      </w:r>
      <w:r>
        <w:rPr>
          <w:spacing w:val="-11"/>
        </w:rPr>
        <w:t> </w:t>
      </w:r>
      <w:r>
        <w:rPr/>
        <w:t>la</w:t>
      </w:r>
      <w:r>
        <w:rPr>
          <w:spacing w:val="-11"/>
        </w:rPr>
        <w:t> </w:t>
      </w:r>
      <w:r>
        <w:rPr/>
        <w:t>toma de decisiones. Los científicos y gestores deben enfatizar en que las expectativas de investigación y de toma de decisiones sean razonables, y que lo planes de manejo de cuencas sean vistos como el punto de partida y no el producto final de un ciclo de manejo (Parra,</w:t>
      </w:r>
      <w:r>
        <w:rPr>
          <w:spacing w:val="-1"/>
        </w:rPr>
        <w:t> </w:t>
      </w:r>
      <w:r>
        <w:rPr/>
        <w:t>2009).</w:t>
      </w:r>
    </w:p>
    <w:p>
      <w:pPr>
        <w:spacing w:after="0" w:line="360" w:lineRule="auto"/>
        <w:jc w:val="both"/>
        <w:sectPr>
          <w:footerReference w:type="default" r:id="rId11"/>
          <w:pgSz w:w="12240" w:h="15840"/>
          <w:pgMar w:footer="1473" w:header="0" w:top="1360" w:bottom="1660" w:left="1300" w:right="1300"/>
          <w:pgNumType w:start="11"/>
        </w:sectPr>
      </w:pPr>
    </w:p>
    <w:p>
      <w:pPr>
        <w:pStyle w:val="Heading1"/>
        <w:numPr>
          <w:ilvl w:val="2"/>
          <w:numId w:val="5"/>
        </w:numPr>
        <w:tabs>
          <w:tab w:pos="708" w:val="left" w:leader="none"/>
        </w:tabs>
        <w:spacing w:line="240" w:lineRule="auto" w:before="53" w:after="0"/>
        <w:ind w:left="707" w:right="0" w:hanging="591"/>
        <w:jc w:val="both"/>
      </w:pPr>
      <w:bookmarkStart w:name="_bookmark13" w:id="19"/>
      <w:bookmarkEnd w:id="19"/>
      <w:r>
        <w:rPr>
          <w:b w:val="0"/>
        </w:rPr>
      </w:r>
      <w:bookmarkStart w:name="_bookmark13" w:id="20"/>
      <w:bookmarkEnd w:id="20"/>
      <w:r>
        <w:rPr/>
        <w:t>Ma</w:t>
      </w:r>
      <w:r>
        <w:rPr/>
        <w:t>nejo </w:t>
      </w:r>
      <w:r>
        <w:rPr>
          <w:spacing w:val="-3"/>
        </w:rPr>
        <w:t>de </w:t>
      </w:r>
      <w:r>
        <w:rPr/>
        <w:t>cuencas en</w:t>
      </w:r>
      <w:r>
        <w:rPr>
          <w:spacing w:val="-4"/>
        </w:rPr>
        <w:t> </w:t>
      </w:r>
      <w:r>
        <w:rPr/>
        <w:t>México</w:t>
      </w:r>
    </w:p>
    <w:p>
      <w:pPr>
        <w:pStyle w:val="BodyText"/>
        <w:rPr>
          <w:b/>
        </w:rPr>
      </w:pPr>
    </w:p>
    <w:p>
      <w:pPr>
        <w:pStyle w:val="BodyText"/>
        <w:spacing w:before="10"/>
        <w:rPr>
          <w:b/>
          <w:sz w:val="21"/>
        </w:rPr>
      </w:pPr>
    </w:p>
    <w:p>
      <w:pPr>
        <w:pStyle w:val="BodyText"/>
        <w:spacing w:line="360" w:lineRule="auto"/>
        <w:ind w:left="116" w:right="116"/>
        <w:jc w:val="both"/>
      </w:pPr>
      <w:r>
        <w:rPr>
          <w:spacing w:val="-3"/>
        </w:rPr>
        <w:t>La </w:t>
      </w:r>
      <w:r>
        <w:rPr/>
        <w:t>historia del manejo de los recursos naturales se ha guiado por enfoques y propósitos diferentes utilizando distintas unidades de gestión. A nivel internacional organismos internacionales</w:t>
      </w:r>
      <w:r>
        <w:rPr>
          <w:spacing w:val="-14"/>
        </w:rPr>
        <w:t> </w:t>
      </w:r>
      <w:r>
        <w:rPr/>
        <w:t>como</w:t>
      </w:r>
      <w:r>
        <w:rPr>
          <w:spacing w:val="-14"/>
        </w:rPr>
        <w:t> </w:t>
      </w:r>
      <w:r>
        <w:rPr/>
        <w:t>la</w:t>
      </w:r>
      <w:r>
        <w:rPr>
          <w:spacing w:val="-14"/>
        </w:rPr>
        <w:t> </w:t>
      </w:r>
      <w:r>
        <w:rPr/>
        <w:t>Comisión</w:t>
      </w:r>
      <w:r>
        <w:rPr>
          <w:spacing w:val="-14"/>
        </w:rPr>
        <w:t> </w:t>
      </w:r>
      <w:r>
        <w:rPr/>
        <w:t>Económica</w:t>
      </w:r>
      <w:r>
        <w:rPr>
          <w:spacing w:val="-13"/>
        </w:rPr>
        <w:t> </w:t>
      </w:r>
      <w:r>
        <w:rPr/>
        <w:t>para</w:t>
      </w:r>
      <w:r>
        <w:rPr>
          <w:spacing w:val="-13"/>
        </w:rPr>
        <w:t> </w:t>
      </w:r>
      <w:r>
        <w:rPr/>
        <w:t>América</w:t>
      </w:r>
      <w:r>
        <w:rPr>
          <w:spacing w:val="-9"/>
        </w:rPr>
        <w:t> </w:t>
      </w:r>
      <w:r>
        <w:rPr/>
        <w:t>Latina</w:t>
      </w:r>
      <w:r>
        <w:rPr>
          <w:spacing w:val="-14"/>
        </w:rPr>
        <w:t> </w:t>
      </w:r>
      <w:r>
        <w:rPr/>
        <w:t>(CEPAL)</w:t>
      </w:r>
      <w:r>
        <w:rPr>
          <w:spacing w:val="-14"/>
        </w:rPr>
        <w:t> </w:t>
      </w:r>
      <w:r>
        <w:rPr/>
        <w:t>ha</w:t>
      </w:r>
      <w:r>
        <w:rPr>
          <w:spacing w:val="-14"/>
        </w:rPr>
        <w:t> </w:t>
      </w:r>
      <w:r>
        <w:rPr/>
        <w:t>formulado recomendaciones para reformas institucionales básicas para la instauración de organismo de</w:t>
      </w:r>
      <w:r>
        <w:rPr>
          <w:spacing w:val="-7"/>
        </w:rPr>
        <w:t> </w:t>
      </w:r>
      <w:r>
        <w:rPr/>
        <w:t>cuenca.</w:t>
      </w:r>
      <w:r>
        <w:rPr>
          <w:spacing w:val="-4"/>
        </w:rPr>
        <w:t> </w:t>
      </w:r>
      <w:r>
        <w:rPr/>
        <w:t>Del</w:t>
      </w:r>
      <w:r>
        <w:rPr>
          <w:spacing w:val="-7"/>
        </w:rPr>
        <w:t> </w:t>
      </w:r>
      <w:r>
        <w:rPr/>
        <w:t>mismo</w:t>
      </w:r>
      <w:r>
        <w:rPr>
          <w:spacing w:val="-3"/>
        </w:rPr>
        <w:t> </w:t>
      </w:r>
      <w:r>
        <w:rPr/>
        <w:t>modo,</w:t>
      </w:r>
      <w:r>
        <w:rPr>
          <w:spacing w:val="-5"/>
        </w:rPr>
        <w:t> </w:t>
      </w:r>
      <w:r>
        <w:rPr/>
        <w:t>la</w:t>
      </w:r>
      <w:r>
        <w:rPr>
          <w:spacing w:val="-7"/>
        </w:rPr>
        <w:t> </w:t>
      </w:r>
      <w:r>
        <w:rPr/>
        <w:t>Organización</w:t>
      </w:r>
      <w:r>
        <w:rPr>
          <w:spacing w:val="-7"/>
        </w:rPr>
        <w:t> </w:t>
      </w:r>
      <w:r>
        <w:rPr/>
        <w:t>para</w:t>
      </w:r>
      <w:r>
        <w:rPr>
          <w:spacing w:val="-7"/>
        </w:rPr>
        <w:t> </w:t>
      </w:r>
      <w:r>
        <w:rPr/>
        <w:t>la</w:t>
      </w:r>
      <w:r>
        <w:rPr>
          <w:spacing w:val="-7"/>
        </w:rPr>
        <w:t> </w:t>
      </w:r>
      <w:r>
        <w:rPr/>
        <w:t>Cooperación</w:t>
      </w:r>
      <w:r>
        <w:rPr>
          <w:spacing w:val="-7"/>
        </w:rPr>
        <w:t> </w:t>
      </w:r>
      <w:r>
        <w:rPr/>
        <w:t>y</w:t>
      </w:r>
      <w:r>
        <w:rPr>
          <w:spacing w:val="-7"/>
        </w:rPr>
        <w:t> </w:t>
      </w:r>
      <w:r>
        <w:rPr/>
        <w:t>el</w:t>
      </w:r>
      <w:r>
        <w:rPr>
          <w:spacing w:val="-7"/>
        </w:rPr>
        <w:t> </w:t>
      </w:r>
      <w:r>
        <w:rPr/>
        <w:t>Desarrollo</w:t>
      </w:r>
      <w:r>
        <w:rPr>
          <w:spacing w:val="-7"/>
        </w:rPr>
        <w:t> </w:t>
      </w:r>
      <w:r>
        <w:rPr/>
        <w:t>(OCDE) ha expresado en diferentes momentos su aprobación al uso del manejo integral de cuencas como uno de los instrumentos que deberían ser utilizados en la gestión del agua (Barrow, 1998).</w:t>
      </w:r>
    </w:p>
    <w:p>
      <w:pPr>
        <w:pStyle w:val="BodyText"/>
      </w:pPr>
    </w:p>
    <w:p>
      <w:pPr>
        <w:pStyle w:val="BodyText"/>
        <w:spacing w:line="360" w:lineRule="auto" w:before="156"/>
        <w:ind w:left="116" w:right="107"/>
        <w:jc w:val="both"/>
      </w:pPr>
      <w:r>
        <w:rPr/>
        <w:t>Durante el </w:t>
      </w:r>
      <w:r>
        <w:rPr>
          <w:spacing w:val="-3"/>
        </w:rPr>
        <w:t>IV </w:t>
      </w:r>
      <w:r>
        <w:rPr/>
        <w:t>Foro Mundial del </w:t>
      </w:r>
      <w:r>
        <w:rPr>
          <w:spacing w:val="-3"/>
        </w:rPr>
        <w:t>Agua </w:t>
      </w:r>
      <w:r>
        <w:rPr/>
        <w:t>realizado en México en el 2006 se hizo explícita la necesidad</w:t>
      </w:r>
      <w:r>
        <w:rPr>
          <w:spacing w:val="-15"/>
        </w:rPr>
        <w:t> </w:t>
      </w:r>
      <w:r>
        <w:rPr/>
        <w:t>de</w:t>
      </w:r>
      <w:r>
        <w:rPr>
          <w:spacing w:val="-16"/>
        </w:rPr>
        <w:t> </w:t>
      </w:r>
      <w:r>
        <w:rPr/>
        <w:t>adoptar</w:t>
      </w:r>
      <w:r>
        <w:rPr>
          <w:spacing w:val="-15"/>
        </w:rPr>
        <w:t> </w:t>
      </w:r>
      <w:r>
        <w:rPr/>
        <w:t>un</w:t>
      </w:r>
      <w:r>
        <w:rPr>
          <w:spacing w:val="-16"/>
        </w:rPr>
        <w:t> </w:t>
      </w:r>
      <w:r>
        <w:rPr/>
        <w:t>enfoque</w:t>
      </w:r>
      <w:r>
        <w:rPr>
          <w:spacing w:val="-16"/>
        </w:rPr>
        <w:t> </w:t>
      </w:r>
      <w:r>
        <w:rPr/>
        <w:t>a</w:t>
      </w:r>
      <w:r>
        <w:rPr>
          <w:spacing w:val="-16"/>
        </w:rPr>
        <w:t> </w:t>
      </w:r>
      <w:r>
        <w:rPr/>
        <w:t>nivel</w:t>
      </w:r>
      <w:r>
        <w:rPr>
          <w:spacing w:val="-16"/>
        </w:rPr>
        <w:t> </w:t>
      </w:r>
      <w:r>
        <w:rPr/>
        <w:t>de</w:t>
      </w:r>
      <w:r>
        <w:rPr>
          <w:spacing w:val="-16"/>
        </w:rPr>
        <w:t> </w:t>
      </w:r>
      <w:r>
        <w:rPr/>
        <w:t>cuencas</w:t>
      </w:r>
      <w:r>
        <w:rPr>
          <w:spacing w:val="-16"/>
        </w:rPr>
        <w:t> </w:t>
      </w:r>
      <w:r>
        <w:rPr/>
        <w:t>para</w:t>
      </w:r>
      <w:r>
        <w:rPr>
          <w:spacing w:val="-15"/>
        </w:rPr>
        <w:t> </w:t>
      </w:r>
      <w:r>
        <w:rPr/>
        <w:t>el</w:t>
      </w:r>
      <w:r>
        <w:rPr>
          <w:spacing w:val="-16"/>
        </w:rPr>
        <w:t> </w:t>
      </w:r>
      <w:r>
        <w:rPr/>
        <w:t>manejo</w:t>
      </w:r>
      <w:r>
        <w:rPr>
          <w:spacing w:val="-16"/>
        </w:rPr>
        <w:t> </w:t>
      </w:r>
      <w:r>
        <w:rPr/>
        <w:t>integrado</w:t>
      </w:r>
      <w:r>
        <w:rPr>
          <w:spacing w:val="-16"/>
        </w:rPr>
        <w:t> </w:t>
      </w:r>
      <w:r>
        <w:rPr/>
        <w:t>de</w:t>
      </w:r>
      <w:r>
        <w:rPr>
          <w:spacing w:val="-16"/>
        </w:rPr>
        <w:t> </w:t>
      </w:r>
      <w:r>
        <w:rPr/>
        <w:t>los</w:t>
      </w:r>
      <w:r>
        <w:rPr>
          <w:spacing w:val="-16"/>
        </w:rPr>
        <w:t> </w:t>
      </w:r>
      <w:r>
        <w:rPr/>
        <w:t>recursos hídricos</w:t>
      </w:r>
      <w:r>
        <w:rPr>
          <w:spacing w:val="-6"/>
        </w:rPr>
        <w:t> </w:t>
      </w:r>
      <w:r>
        <w:rPr/>
        <w:t>(CONAGUA,</w:t>
      </w:r>
      <w:r>
        <w:rPr>
          <w:spacing w:val="-4"/>
        </w:rPr>
        <w:t> </w:t>
      </w:r>
      <w:r>
        <w:rPr/>
        <w:t>2006)</w:t>
      </w:r>
      <w:r>
        <w:rPr>
          <w:spacing w:val="-6"/>
        </w:rPr>
        <w:t> </w:t>
      </w:r>
      <w:r>
        <w:rPr/>
        <w:t>y,</w:t>
      </w:r>
      <w:r>
        <w:rPr>
          <w:spacing w:val="-4"/>
        </w:rPr>
        <w:t> </w:t>
      </w:r>
      <w:r>
        <w:rPr/>
        <w:t>finalmente</w:t>
      </w:r>
      <w:r>
        <w:rPr>
          <w:spacing w:val="-6"/>
        </w:rPr>
        <w:t> </w:t>
      </w:r>
      <w:r>
        <w:rPr/>
        <w:t>la</w:t>
      </w:r>
      <w:r>
        <w:rPr>
          <w:spacing w:val="-6"/>
        </w:rPr>
        <w:t> </w:t>
      </w:r>
      <w:r>
        <w:rPr>
          <w:spacing w:val="-4"/>
        </w:rPr>
        <w:t>FAO</w:t>
      </w:r>
      <w:r>
        <w:rPr>
          <w:spacing w:val="-6"/>
        </w:rPr>
        <w:t> </w:t>
      </w:r>
      <w:r>
        <w:rPr/>
        <w:t>en</w:t>
      </w:r>
      <w:r>
        <w:rPr>
          <w:spacing w:val="-6"/>
        </w:rPr>
        <w:t> </w:t>
      </w:r>
      <w:r>
        <w:rPr/>
        <w:t>el</w:t>
      </w:r>
      <w:r>
        <w:rPr>
          <w:spacing w:val="-6"/>
        </w:rPr>
        <w:t> </w:t>
      </w:r>
      <w:r>
        <w:rPr/>
        <w:t>mismo</w:t>
      </w:r>
      <w:r>
        <w:rPr>
          <w:spacing w:val="-6"/>
        </w:rPr>
        <w:t> </w:t>
      </w:r>
      <w:r>
        <w:rPr/>
        <w:t>año,</w:t>
      </w:r>
      <w:r>
        <w:rPr>
          <w:spacing w:val="-4"/>
        </w:rPr>
        <w:t> </w:t>
      </w:r>
      <w:r>
        <w:rPr/>
        <w:t>publicó</w:t>
      </w:r>
      <w:r>
        <w:rPr>
          <w:spacing w:val="-6"/>
        </w:rPr>
        <w:t> </w:t>
      </w:r>
      <w:r>
        <w:rPr/>
        <w:t>los</w:t>
      </w:r>
      <w:r>
        <w:rPr>
          <w:spacing w:val="-6"/>
        </w:rPr>
        <w:t> </w:t>
      </w:r>
      <w:r>
        <w:rPr/>
        <w:t>resultados de un trabajo colectivo mundial para sistematizar los resultados de la gestión de cuencas y analizar las tendencias hacia el futuro. Entre sus principales contribuciones está la conformación</w:t>
      </w:r>
      <w:r>
        <w:rPr>
          <w:spacing w:val="-6"/>
        </w:rPr>
        <w:t> </w:t>
      </w:r>
      <w:r>
        <w:rPr/>
        <w:t>de</w:t>
      </w:r>
      <w:r>
        <w:rPr>
          <w:spacing w:val="-6"/>
        </w:rPr>
        <w:t> </w:t>
      </w:r>
      <w:r>
        <w:rPr/>
        <w:t>un</w:t>
      </w:r>
      <w:r>
        <w:rPr>
          <w:spacing w:val="-6"/>
        </w:rPr>
        <w:t> </w:t>
      </w:r>
      <w:r>
        <w:rPr/>
        <w:t>nuevo</w:t>
      </w:r>
      <w:r>
        <w:rPr>
          <w:spacing w:val="-6"/>
        </w:rPr>
        <w:t> </w:t>
      </w:r>
      <w:r>
        <w:rPr/>
        <w:t>enfoque</w:t>
      </w:r>
      <w:r>
        <w:rPr>
          <w:spacing w:val="-7"/>
        </w:rPr>
        <w:t> </w:t>
      </w:r>
      <w:r>
        <w:rPr/>
        <w:t>como</w:t>
      </w:r>
      <w:r>
        <w:rPr>
          <w:spacing w:val="-6"/>
        </w:rPr>
        <w:t> </w:t>
      </w:r>
      <w:r>
        <w:rPr/>
        <w:t>el</w:t>
      </w:r>
      <w:r>
        <w:rPr>
          <w:spacing w:val="-2"/>
        </w:rPr>
        <w:t> </w:t>
      </w:r>
      <w:r>
        <w:rPr/>
        <w:t>manejo</w:t>
      </w:r>
      <w:r>
        <w:rPr>
          <w:spacing w:val="-7"/>
        </w:rPr>
        <w:t> </w:t>
      </w:r>
      <w:r>
        <w:rPr/>
        <w:t>“incorporado”</w:t>
      </w:r>
      <w:r>
        <w:rPr>
          <w:spacing w:val="-7"/>
        </w:rPr>
        <w:t> </w:t>
      </w:r>
      <w:r>
        <w:rPr/>
        <w:t>o</w:t>
      </w:r>
      <w:r>
        <w:rPr>
          <w:spacing w:val="-6"/>
        </w:rPr>
        <w:t> </w:t>
      </w:r>
      <w:r>
        <w:rPr/>
        <w:t>el</w:t>
      </w:r>
      <w:r>
        <w:rPr>
          <w:spacing w:val="-2"/>
        </w:rPr>
        <w:t> </w:t>
      </w:r>
      <w:r>
        <w:rPr/>
        <w:t>manejo</w:t>
      </w:r>
      <w:r>
        <w:rPr>
          <w:spacing w:val="-2"/>
        </w:rPr>
        <w:t> </w:t>
      </w:r>
      <w:r>
        <w:rPr/>
        <w:t>“conjunto” de cuencas que busca sustituir en el futuro al manejo integrado de cuencas. En este nuevo enfoque se enfatizan los objetivos de sustentabilidad para la conservación y manejo del capital natural como una base necesaria para alcanzar objetivos de desarrollo humano (las dimensiones social y económica de la</w:t>
      </w:r>
      <w:r>
        <w:rPr>
          <w:spacing w:val="-9"/>
        </w:rPr>
        <w:t> </w:t>
      </w:r>
      <w:r>
        <w:rPr/>
        <w:t>sustentabilidad).</w:t>
      </w:r>
    </w:p>
    <w:p>
      <w:pPr>
        <w:pStyle w:val="BodyText"/>
      </w:pPr>
    </w:p>
    <w:p>
      <w:pPr>
        <w:pStyle w:val="BodyText"/>
        <w:spacing w:line="360" w:lineRule="auto" w:before="156"/>
        <w:ind w:left="116" w:right="112"/>
        <w:jc w:val="both"/>
      </w:pPr>
      <w:r>
        <w:rPr/>
        <w:t>En el caso de México, la historia de la creación de organismos encargados del estudio de cuencas</w:t>
      </w:r>
      <w:r>
        <w:rPr>
          <w:spacing w:val="-16"/>
        </w:rPr>
        <w:t> </w:t>
      </w:r>
      <w:r>
        <w:rPr/>
        <w:t>hidrográficas</w:t>
      </w:r>
      <w:r>
        <w:rPr>
          <w:spacing w:val="-16"/>
        </w:rPr>
        <w:t> </w:t>
      </w:r>
      <w:r>
        <w:rPr/>
        <w:t>de</w:t>
      </w:r>
      <w:r>
        <w:rPr>
          <w:spacing w:val="-16"/>
        </w:rPr>
        <w:t> </w:t>
      </w:r>
      <w:r>
        <w:rPr/>
        <w:t>acuerdo</w:t>
      </w:r>
      <w:r>
        <w:rPr>
          <w:spacing w:val="-16"/>
        </w:rPr>
        <w:t> </w:t>
      </w:r>
      <w:r>
        <w:rPr/>
        <w:t>con</w:t>
      </w:r>
      <w:r>
        <w:rPr>
          <w:spacing w:val="-16"/>
        </w:rPr>
        <w:t> </w:t>
      </w:r>
      <w:r>
        <w:rPr/>
        <w:t>Mollard</w:t>
      </w:r>
      <w:r>
        <w:rPr>
          <w:spacing w:val="-16"/>
        </w:rPr>
        <w:t> </w:t>
      </w:r>
      <w:r>
        <w:rPr/>
        <w:t>y</w:t>
      </w:r>
      <w:r>
        <w:rPr>
          <w:spacing w:val="-16"/>
        </w:rPr>
        <w:t> </w:t>
      </w:r>
      <w:r>
        <w:rPr/>
        <w:t>Vargas,</w:t>
      </w:r>
      <w:r>
        <w:rPr>
          <w:spacing w:val="-13"/>
        </w:rPr>
        <w:t> </w:t>
      </w:r>
      <w:r>
        <w:rPr/>
        <w:t>(2005)</w:t>
      </w:r>
      <w:r>
        <w:rPr>
          <w:spacing w:val="-16"/>
        </w:rPr>
        <w:t> </w:t>
      </w:r>
      <w:r>
        <w:rPr/>
        <w:t>ha</w:t>
      </w:r>
      <w:r>
        <w:rPr>
          <w:spacing w:val="-16"/>
        </w:rPr>
        <w:t> </w:t>
      </w:r>
      <w:r>
        <w:rPr/>
        <w:t>pasado</w:t>
      </w:r>
      <w:r>
        <w:rPr>
          <w:spacing w:val="-16"/>
        </w:rPr>
        <w:t> </w:t>
      </w:r>
      <w:r>
        <w:rPr/>
        <w:t>por</w:t>
      </w:r>
      <w:r>
        <w:rPr>
          <w:spacing w:val="-16"/>
        </w:rPr>
        <w:t> </w:t>
      </w:r>
      <w:r>
        <w:rPr/>
        <w:t>las</w:t>
      </w:r>
      <w:r>
        <w:rPr>
          <w:spacing w:val="-16"/>
        </w:rPr>
        <w:t> </w:t>
      </w:r>
      <w:r>
        <w:rPr/>
        <w:t>siguientes fases: la primera fase puede situarse a inicios del siglo X y estuvo caracterizada por un manejo completamente centralizado del agua a través de delegaciones o instancias regionales de las administraciones centrales. El interés principal consistía en la necesidad de controlar las crecidas y de extender el área agrícola irrigada. </w:t>
      </w:r>
      <w:r>
        <w:rPr>
          <w:spacing w:val="-3"/>
        </w:rPr>
        <w:t>La </w:t>
      </w:r>
      <w:r>
        <w:rPr/>
        <w:t>segunda fase,  </w:t>
      </w:r>
      <w:r>
        <w:rPr>
          <w:spacing w:val="7"/>
        </w:rPr>
        <w:t> </w:t>
      </w:r>
      <w:r>
        <w:rPr/>
        <w:t>ubicada</w:t>
      </w:r>
    </w:p>
    <w:p>
      <w:pPr>
        <w:spacing w:after="0" w:line="360" w:lineRule="auto"/>
        <w:jc w:val="both"/>
        <w:sectPr>
          <w:pgSz w:w="12240" w:h="15840"/>
          <w:pgMar w:header="0" w:footer="1473" w:top="1360" w:bottom="1660" w:left="1300" w:right="1300"/>
        </w:sectPr>
      </w:pPr>
    </w:p>
    <w:p>
      <w:pPr>
        <w:pStyle w:val="BodyText"/>
        <w:spacing w:line="360" w:lineRule="auto" w:before="49"/>
        <w:ind w:left="116" w:right="113"/>
        <w:jc w:val="both"/>
      </w:pPr>
      <w:r>
        <w:rPr/>
        <w:t>alrededor de los años 40´s, consistió en crear organizaciones de grandes cuencas con el objetivo de establecer vastas políticas de desarrollo, siguiendo el ejemplo del valle de Tenessee en Estados Unidos, el cual se basó </w:t>
      </w:r>
      <w:r>
        <w:rPr>
          <w:spacing w:val="-3"/>
        </w:rPr>
        <w:t>en </w:t>
      </w:r>
      <w:r>
        <w:rPr/>
        <w:t>el enfoque de gestión integral de recursos hídricos.</w:t>
      </w:r>
      <w:r>
        <w:rPr>
          <w:spacing w:val="-4"/>
        </w:rPr>
        <w:t> </w:t>
      </w:r>
      <w:r>
        <w:rPr>
          <w:spacing w:val="-3"/>
        </w:rPr>
        <w:t>La</w:t>
      </w:r>
      <w:r>
        <w:rPr>
          <w:spacing w:val="-6"/>
        </w:rPr>
        <w:t> </w:t>
      </w:r>
      <w:r>
        <w:rPr/>
        <w:t>idea</w:t>
      </w:r>
      <w:r>
        <w:rPr>
          <w:spacing w:val="-6"/>
        </w:rPr>
        <w:t> </w:t>
      </w:r>
      <w:r>
        <w:rPr/>
        <w:t>era</w:t>
      </w:r>
      <w:r>
        <w:rPr>
          <w:spacing w:val="-6"/>
        </w:rPr>
        <w:t> </w:t>
      </w:r>
      <w:r>
        <w:rPr/>
        <w:t>impulsar</w:t>
      </w:r>
      <w:r>
        <w:rPr>
          <w:spacing w:val="-6"/>
        </w:rPr>
        <w:t> </w:t>
      </w:r>
      <w:r>
        <w:rPr/>
        <w:t>y</w:t>
      </w:r>
      <w:r>
        <w:rPr>
          <w:spacing w:val="-6"/>
        </w:rPr>
        <w:t> </w:t>
      </w:r>
      <w:r>
        <w:rPr/>
        <w:t>coordinar</w:t>
      </w:r>
      <w:r>
        <w:rPr>
          <w:spacing w:val="-6"/>
        </w:rPr>
        <w:t> </w:t>
      </w:r>
      <w:r>
        <w:rPr/>
        <w:t>programas</w:t>
      </w:r>
      <w:r>
        <w:rPr>
          <w:spacing w:val="-6"/>
        </w:rPr>
        <w:t> </w:t>
      </w:r>
      <w:r>
        <w:rPr/>
        <w:t>ambiciosos</w:t>
      </w:r>
      <w:r>
        <w:rPr>
          <w:spacing w:val="-6"/>
        </w:rPr>
        <w:t> </w:t>
      </w:r>
      <w:r>
        <w:rPr/>
        <w:t>de</w:t>
      </w:r>
      <w:r>
        <w:rPr>
          <w:spacing w:val="-6"/>
        </w:rPr>
        <w:t> </w:t>
      </w:r>
      <w:r>
        <w:rPr/>
        <w:t>desarrollo</w:t>
      </w:r>
      <w:r>
        <w:rPr>
          <w:spacing w:val="-3"/>
        </w:rPr>
        <w:t> </w:t>
      </w:r>
      <w:r>
        <w:rPr/>
        <w:t>–incluido</w:t>
      </w:r>
      <w:r>
        <w:rPr>
          <w:spacing w:val="-6"/>
        </w:rPr>
        <w:t> </w:t>
      </w:r>
      <w:r>
        <w:rPr/>
        <w:t>el industrial- en una gran región, mediante la gestión del</w:t>
      </w:r>
      <w:r>
        <w:rPr>
          <w:spacing w:val="-20"/>
        </w:rPr>
        <w:t> </w:t>
      </w:r>
      <w:r>
        <w:rPr/>
        <w:t>agua.</w:t>
      </w:r>
    </w:p>
    <w:p>
      <w:pPr>
        <w:pStyle w:val="BodyText"/>
      </w:pPr>
    </w:p>
    <w:p>
      <w:pPr>
        <w:pStyle w:val="BodyText"/>
        <w:spacing w:line="360" w:lineRule="auto" w:before="156"/>
        <w:ind w:left="116" w:right="115"/>
        <w:jc w:val="both"/>
      </w:pPr>
      <w:r>
        <w:rPr/>
        <w:t>A</w:t>
      </w:r>
      <w:r>
        <w:rPr>
          <w:spacing w:val="-11"/>
        </w:rPr>
        <w:t> </w:t>
      </w:r>
      <w:r>
        <w:rPr/>
        <w:t>partir</w:t>
      </w:r>
      <w:r>
        <w:rPr>
          <w:spacing w:val="-6"/>
        </w:rPr>
        <w:t> </w:t>
      </w:r>
      <w:r>
        <w:rPr/>
        <w:t>de</w:t>
      </w:r>
      <w:r>
        <w:rPr>
          <w:spacing w:val="-6"/>
        </w:rPr>
        <w:t> </w:t>
      </w:r>
      <w:r>
        <w:rPr/>
        <w:t>ésta</w:t>
      </w:r>
      <w:r>
        <w:rPr>
          <w:spacing w:val="-6"/>
        </w:rPr>
        <w:t> </w:t>
      </w:r>
      <w:r>
        <w:rPr/>
        <w:t>última</w:t>
      </w:r>
      <w:r>
        <w:rPr>
          <w:spacing w:val="-6"/>
        </w:rPr>
        <w:t> </w:t>
      </w:r>
      <w:r>
        <w:rPr/>
        <w:t>etapa,</w:t>
      </w:r>
      <w:r>
        <w:rPr>
          <w:spacing w:val="-4"/>
        </w:rPr>
        <w:t> </w:t>
      </w:r>
      <w:r>
        <w:rPr/>
        <w:t>los</w:t>
      </w:r>
      <w:r>
        <w:rPr>
          <w:spacing w:val="-6"/>
        </w:rPr>
        <w:t> </w:t>
      </w:r>
      <w:r>
        <w:rPr/>
        <w:t>esfuerzos</w:t>
      </w:r>
      <w:r>
        <w:rPr>
          <w:spacing w:val="-6"/>
        </w:rPr>
        <w:t> </w:t>
      </w:r>
      <w:r>
        <w:rPr/>
        <w:t>de</w:t>
      </w:r>
      <w:r>
        <w:rPr>
          <w:spacing w:val="-11"/>
        </w:rPr>
        <w:t> </w:t>
      </w:r>
      <w:r>
        <w:rPr/>
        <w:t>México</w:t>
      </w:r>
      <w:r>
        <w:rPr>
          <w:spacing w:val="-6"/>
        </w:rPr>
        <w:t> </w:t>
      </w:r>
      <w:r>
        <w:rPr/>
        <w:t>han</w:t>
      </w:r>
      <w:r>
        <w:rPr>
          <w:spacing w:val="-6"/>
        </w:rPr>
        <w:t> </w:t>
      </w:r>
      <w:r>
        <w:rPr/>
        <w:t>sido</w:t>
      </w:r>
      <w:r>
        <w:rPr>
          <w:spacing w:val="-6"/>
        </w:rPr>
        <w:t> </w:t>
      </w:r>
      <w:r>
        <w:rPr/>
        <w:t>constantes,</w:t>
      </w:r>
      <w:r>
        <w:rPr>
          <w:spacing w:val="-4"/>
        </w:rPr>
        <w:t> </w:t>
      </w:r>
      <w:r>
        <w:rPr/>
        <w:t>los</w:t>
      </w:r>
      <w:r>
        <w:rPr>
          <w:spacing w:val="-6"/>
        </w:rPr>
        <w:t> </w:t>
      </w:r>
      <w:r>
        <w:rPr/>
        <w:t>trabajos</w:t>
      </w:r>
      <w:r>
        <w:rPr>
          <w:spacing w:val="-6"/>
        </w:rPr>
        <w:t> </w:t>
      </w:r>
      <w:r>
        <w:rPr/>
        <w:t>más recientes al respecto, fueron durante el sexenio 2001-2006, donde la Secretaría de Medio Ambiente y Recursos Naturales (SEMARNAT) plantearon que “para lograr el manejo integral de los recursos naturales en el territorio se adoptaría un enfoque integral de cuencas” para lo cual “se requería que el sector de medio ambiente a nivel federal se organizara de manera compatible con este concepto… mediante una estructura administrativa por cuencas hidrográficas”. Siguiendo con este precepto, a mediados del sexenio pasado, se instauró una coordinación, aquella correspondiente a la cuenca de México, la cual no consiguió un arraigo institucional que posibilitase sus funciones (Barrow,</w:t>
      </w:r>
      <w:r>
        <w:rPr>
          <w:spacing w:val="-3"/>
        </w:rPr>
        <w:t> </w:t>
      </w:r>
      <w:r>
        <w:rPr/>
        <w:t>1998).</w:t>
      </w:r>
    </w:p>
    <w:p>
      <w:pPr>
        <w:pStyle w:val="BodyText"/>
      </w:pPr>
    </w:p>
    <w:p>
      <w:pPr>
        <w:pStyle w:val="BodyText"/>
        <w:spacing w:line="360" w:lineRule="auto" w:before="156"/>
        <w:ind w:left="116" w:right="113"/>
        <w:jc w:val="both"/>
      </w:pPr>
      <w:r>
        <w:rPr/>
        <w:t>En febrero del 2002 surgió a través del Fideicomiso de Riesgo Compartido (FIRCO) de la Secretaría</w:t>
      </w:r>
      <w:r>
        <w:rPr>
          <w:spacing w:val="-16"/>
        </w:rPr>
        <w:t> </w:t>
      </w:r>
      <w:r>
        <w:rPr/>
        <w:t>de</w:t>
      </w:r>
      <w:r>
        <w:rPr>
          <w:spacing w:val="-13"/>
        </w:rPr>
        <w:t> </w:t>
      </w:r>
      <w:r>
        <w:rPr/>
        <w:t>Agricultura,</w:t>
      </w:r>
      <w:r>
        <w:rPr>
          <w:spacing w:val="-15"/>
        </w:rPr>
        <w:t> </w:t>
      </w:r>
      <w:r>
        <w:rPr/>
        <w:t>Ganadería,</w:t>
      </w:r>
      <w:r>
        <w:rPr>
          <w:spacing w:val="-15"/>
        </w:rPr>
        <w:t> </w:t>
      </w:r>
      <w:r>
        <w:rPr/>
        <w:t>Desarrollo</w:t>
      </w:r>
      <w:r>
        <w:rPr>
          <w:spacing w:val="-16"/>
        </w:rPr>
        <w:t> </w:t>
      </w:r>
      <w:r>
        <w:rPr/>
        <w:t>Rural,</w:t>
      </w:r>
      <w:r>
        <w:rPr>
          <w:spacing w:val="-15"/>
        </w:rPr>
        <w:t> </w:t>
      </w:r>
      <w:r>
        <w:rPr/>
        <w:t>Pesca</w:t>
      </w:r>
      <w:r>
        <w:rPr>
          <w:spacing w:val="-16"/>
        </w:rPr>
        <w:t> </w:t>
      </w:r>
      <w:r>
        <w:rPr/>
        <w:t>y</w:t>
      </w:r>
      <w:r>
        <w:rPr>
          <w:spacing w:val="-17"/>
        </w:rPr>
        <w:t> </w:t>
      </w:r>
      <w:r>
        <w:rPr/>
        <w:t>Alimentación</w:t>
      </w:r>
      <w:r>
        <w:rPr>
          <w:spacing w:val="-17"/>
        </w:rPr>
        <w:t> </w:t>
      </w:r>
      <w:r>
        <w:rPr/>
        <w:t>(SAGARPA) el Programa Nacional de Microcuencas sustentado en la Ley de Desarrollo Rural Sustentable (Casillas, 2007). Para este programa, la unidad de gestión considerada son las microcuencas, donde se aplica un modelo de atención sobre tres ejes: el desarrollo del capital humano con enfoque de género, la conservación y rehabilitación de los recursos naturales y la diversificación</w:t>
      </w:r>
      <w:r>
        <w:rPr>
          <w:spacing w:val="-13"/>
        </w:rPr>
        <w:t> </w:t>
      </w:r>
      <w:r>
        <w:rPr/>
        <w:t>productiva.</w:t>
      </w:r>
    </w:p>
    <w:p>
      <w:pPr>
        <w:pStyle w:val="BodyText"/>
      </w:pPr>
    </w:p>
    <w:p>
      <w:pPr>
        <w:pStyle w:val="BodyText"/>
        <w:spacing w:line="360" w:lineRule="auto" w:before="156"/>
        <w:ind w:left="116" w:right="115"/>
        <w:jc w:val="both"/>
      </w:pPr>
      <w:r>
        <w:rPr/>
        <w:t>Hasta la fecha, la Comisión Nacional del Agua divide al país en 13 regiones hidrológicas donde actúan 25 Consejos de cuenca, los cuales funcionan como espacios de discusión y concertación  para  la  toma  de  decisiones  a  nivel  regional  en  los  temas </w:t>
      </w:r>
      <w:r>
        <w:rPr>
          <w:spacing w:val="54"/>
        </w:rPr>
        <w:t> </w:t>
      </w:r>
      <w:r>
        <w:rPr/>
        <w:t>relacionados</w:t>
      </w:r>
    </w:p>
    <w:p>
      <w:pPr>
        <w:spacing w:after="0" w:line="360" w:lineRule="auto"/>
        <w:jc w:val="both"/>
        <w:sectPr>
          <w:pgSz w:w="12240" w:h="15840"/>
          <w:pgMar w:header="0" w:footer="1473" w:top="1360" w:bottom="1660" w:left="1300" w:right="1300"/>
        </w:sectPr>
      </w:pPr>
    </w:p>
    <w:p>
      <w:pPr>
        <w:pStyle w:val="BodyText"/>
        <w:spacing w:line="360" w:lineRule="auto" w:before="49"/>
        <w:ind w:left="116" w:right="110"/>
        <w:jc w:val="both"/>
      </w:pPr>
      <w:r>
        <w:rPr/>
        <w:t>principalmente con la distribución del agua. En este nivel existe un énfasis sobre la corrección de los problemas relacionados con el agua (tratamiento y distribución) y sobre estrategias del largo plazo relativas a un enfoque preventivo (protección de fuentes del recurso y prevención de su contaminación).</w:t>
      </w:r>
    </w:p>
    <w:p>
      <w:pPr>
        <w:pStyle w:val="BodyText"/>
      </w:pPr>
    </w:p>
    <w:p>
      <w:pPr>
        <w:pStyle w:val="BodyText"/>
        <w:spacing w:line="360" w:lineRule="auto" w:before="155"/>
        <w:ind w:left="116" w:right="112"/>
        <w:jc w:val="both"/>
      </w:pPr>
      <w:r>
        <w:rPr/>
        <w:t>En este punto es necesario recalcar que toda gestión, y en particular aquella que involucra los recursos naturales de una cuenca, requiere por un lado, de un conocimiento sistémico de las condiciones biofísicas, sociales y económicas para entender las externalidades que se</w:t>
      </w:r>
      <w:r>
        <w:rPr>
          <w:spacing w:val="-11"/>
        </w:rPr>
        <w:t> </w:t>
      </w:r>
      <w:r>
        <w:rPr/>
        <w:t>generan</w:t>
      </w:r>
      <w:r>
        <w:rPr>
          <w:spacing w:val="-10"/>
        </w:rPr>
        <w:t> </w:t>
      </w:r>
      <w:r>
        <w:rPr/>
        <w:t>y</w:t>
      </w:r>
      <w:r>
        <w:rPr>
          <w:spacing w:val="-11"/>
        </w:rPr>
        <w:t> </w:t>
      </w:r>
      <w:r>
        <w:rPr/>
        <w:t>por</w:t>
      </w:r>
      <w:r>
        <w:rPr>
          <w:spacing w:val="-11"/>
        </w:rPr>
        <w:t> </w:t>
      </w:r>
      <w:r>
        <w:rPr/>
        <w:t>otro,</w:t>
      </w:r>
      <w:r>
        <w:rPr>
          <w:spacing w:val="-13"/>
        </w:rPr>
        <w:t> </w:t>
      </w:r>
      <w:r>
        <w:rPr/>
        <w:t>de</w:t>
      </w:r>
      <w:r>
        <w:rPr>
          <w:spacing w:val="-16"/>
        </w:rPr>
        <w:t> </w:t>
      </w:r>
      <w:r>
        <w:rPr/>
        <w:t>la</w:t>
      </w:r>
      <w:r>
        <w:rPr>
          <w:spacing w:val="-11"/>
        </w:rPr>
        <w:t> </w:t>
      </w:r>
      <w:r>
        <w:rPr/>
        <w:t>participación</w:t>
      </w:r>
      <w:r>
        <w:rPr>
          <w:spacing w:val="-10"/>
        </w:rPr>
        <w:t> </w:t>
      </w:r>
      <w:r>
        <w:rPr/>
        <w:t>activa</w:t>
      </w:r>
      <w:r>
        <w:rPr>
          <w:spacing w:val="-16"/>
        </w:rPr>
        <w:t> </w:t>
      </w:r>
      <w:r>
        <w:rPr/>
        <w:t>de</w:t>
      </w:r>
      <w:r>
        <w:rPr>
          <w:spacing w:val="-11"/>
        </w:rPr>
        <w:t> </w:t>
      </w:r>
      <w:r>
        <w:rPr/>
        <w:t>la</w:t>
      </w:r>
      <w:r>
        <w:rPr>
          <w:spacing w:val="-11"/>
        </w:rPr>
        <w:t> </w:t>
      </w:r>
      <w:r>
        <w:rPr/>
        <w:t>sociedad</w:t>
      </w:r>
      <w:r>
        <w:rPr>
          <w:spacing w:val="-11"/>
        </w:rPr>
        <w:t> </w:t>
      </w:r>
      <w:r>
        <w:rPr/>
        <w:t>organizada</w:t>
      </w:r>
      <w:r>
        <w:rPr>
          <w:spacing w:val="-10"/>
        </w:rPr>
        <w:t> </w:t>
      </w:r>
      <w:r>
        <w:rPr/>
        <w:t>para</w:t>
      </w:r>
      <w:r>
        <w:rPr>
          <w:spacing w:val="-11"/>
        </w:rPr>
        <w:t> </w:t>
      </w:r>
      <w:r>
        <w:rPr/>
        <w:t>llevar</w:t>
      </w:r>
      <w:r>
        <w:rPr>
          <w:spacing w:val="-11"/>
        </w:rPr>
        <w:t> </w:t>
      </w:r>
      <w:r>
        <w:rPr/>
        <w:t>a</w:t>
      </w:r>
      <w:r>
        <w:rPr>
          <w:spacing w:val="-11"/>
        </w:rPr>
        <w:t> </w:t>
      </w:r>
      <w:r>
        <w:rPr/>
        <w:t>cabo el seguimiento de las acciones y dar pie a la gobernanza de dichos recursos (GEA y otros, 2008).</w:t>
      </w:r>
    </w:p>
    <w:p>
      <w:pPr>
        <w:pStyle w:val="BodyText"/>
      </w:pPr>
    </w:p>
    <w:p>
      <w:pPr>
        <w:pStyle w:val="BodyText"/>
        <w:spacing w:line="360" w:lineRule="auto" w:before="155"/>
        <w:ind w:left="116" w:right="118"/>
        <w:jc w:val="both"/>
      </w:pPr>
      <w:r>
        <w:rPr/>
        <w:t>En</w:t>
      </w:r>
      <w:r>
        <w:rPr>
          <w:spacing w:val="-16"/>
        </w:rPr>
        <w:t> </w:t>
      </w:r>
      <w:r>
        <w:rPr/>
        <w:t>el</w:t>
      </w:r>
      <w:r>
        <w:rPr>
          <w:spacing w:val="-16"/>
        </w:rPr>
        <w:t> </w:t>
      </w:r>
      <w:r>
        <w:rPr/>
        <w:t>país,</w:t>
      </w:r>
      <w:r>
        <w:rPr>
          <w:spacing w:val="-13"/>
        </w:rPr>
        <w:t> </w:t>
      </w:r>
      <w:r>
        <w:rPr/>
        <w:t>sectores</w:t>
      </w:r>
      <w:r>
        <w:rPr>
          <w:spacing w:val="-15"/>
        </w:rPr>
        <w:t> </w:t>
      </w:r>
      <w:r>
        <w:rPr/>
        <w:t>académicos</w:t>
      </w:r>
      <w:r>
        <w:rPr>
          <w:spacing w:val="-14"/>
        </w:rPr>
        <w:t> </w:t>
      </w:r>
      <w:r>
        <w:rPr/>
        <w:t>también</w:t>
      </w:r>
      <w:r>
        <w:rPr>
          <w:spacing w:val="-15"/>
        </w:rPr>
        <w:t> </w:t>
      </w:r>
      <w:r>
        <w:rPr/>
        <w:t>están</w:t>
      </w:r>
      <w:r>
        <w:rPr>
          <w:spacing w:val="-16"/>
        </w:rPr>
        <w:t> </w:t>
      </w:r>
      <w:r>
        <w:rPr/>
        <w:t>sumando</w:t>
      </w:r>
      <w:r>
        <w:rPr>
          <w:spacing w:val="-16"/>
        </w:rPr>
        <w:t> </w:t>
      </w:r>
      <w:r>
        <w:rPr/>
        <w:t>esfuerzos</w:t>
      </w:r>
      <w:r>
        <w:rPr>
          <w:spacing w:val="-15"/>
        </w:rPr>
        <w:t> </w:t>
      </w:r>
      <w:r>
        <w:rPr/>
        <w:t>para</w:t>
      </w:r>
      <w:r>
        <w:rPr>
          <w:spacing w:val="-15"/>
        </w:rPr>
        <w:t> </w:t>
      </w:r>
      <w:r>
        <w:rPr/>
        <w:t>consolidar</w:t>
      </w:r>
      <w:r>
        <w:rPr>
          <w:spacing w:val="-16"/>
        </w:rPr>
        <w:t> </w:t>
      </w:r>
      <w:r>
        <w:rPr/>
        <w:t>el</w:t>
      </w:r>
      <w:r>
        <w:rPr>
          <w:spacing w:val="-11"/>
        </w:rPr>
        <w:t> </w:t>
      </w:r>
      <w:r>
        <w:rPr/>
        <w:t>manejo de cuencas, buscando formar y consolidar equipos interdisciplinarios para el abordaje de problemas complejos y donde las cuencas, como territorios definidos naturalmente, representan unidades de trabajo adecuadas para el análisis ecosistémico, la planeación del desarrollo y la atención de grupos humanos vulnerables con un enfoque de desarrollo sustentable (Pineda y otros,</w:t>
      </w:r>
      <w:r>
        <w:rPr>
          <w:spacing w:val="-29"/>
        </w:rPr>
        <w:t> </w:t>
      </w:r>
      <w:r>
        <w:rPr/>
        <w:t>2007).</w:t>
      </w:r>
    </w:p>
    <w:p>
      <w:pPr>
        <w:pStyle w:val="BodyText"/>
      </w:pPr>
    </w:p>
    <w:p>
      <w:pPr>
        <w:pStyle w:val="BodyText"/>
        <w:spacing w:line="360" w:lineRule="auto" w:before="155"/>
        <w:ind w:left="116" w:right="112"/>
        <w:jc w:val="both"/>
      </w:pPr>
      <w:r>
        <w:rPr>
          <w:spacing w:val="-3"/>
        </w:rPr>
        <w:t>La </w:t>
      </w:r>
      <w:r>
        <w:rPr/>
        <w:t>experiencia en México es aún limitada y disímil, como ejemplo se pueden mencionar los casos de la cuenca del río Conchos y de la cuenca Lerma-Chapala. Ambas cuencas presentan superficies mayores a los 50000 km</w:t>
      </w:r>
      <w:r>
        <w:rPr>
          <w:position w:val="9"/>
          <w:sz w:val="17"/>
        </w:rPr>
        <w:t>2</w:t>
      </w:r>
      <w:r>
        <w:rPr/>
        <w:t>, en la primera se tenía como objetivo principal la estabilización y/o reversión de las tendencias de deterioro de los ecosistemas dulceacuícolas para el años 2050 con un incremento sustancial de la calidad de vida de</w:t>
      </w:r>
      <w:r>
        <w:rPr>
          <w:spacing w:val="-22"/>
        </w:rPr>
        <w:t> </w:t>
      </w:r>
      <w:r>
        <w:rPr/>
        <w:t>sus pobladores; en la segunda la premisa era la generación de consensos, acuerdos y negociación a nivel estatal y</w:t>
      </w:r>
      <w:r>
        <w:rPr>
          <w:spacing w:val="-12"/>
        </w:rPr>
        <w:t> </w:t>
      </w:r>
      <w:r>
        <w:rPr/>
        <w:t>municipal.</w:t>
      </w:r>
    </w:p>
    <w:p>
      <w:pPr>
        <w:spacing w:after="0" w:line="360" w:lineRule="auto"/>
        <w:jc w:val="both"/>
        <w:sectPr>
          <w:pgSz w:w="12240" w:h="15840"/>
          <w:pgMar w:header="0" w:footer="1473" w:top="1360" w:bottom="1660" w:left="1300" w:right="1300"/>
        </w:sectPr>
      </w:pPr>
    </w:p>
    <w:p>
      <w:pPr>
        <w:pStyle w:val="Heading1"/>
        <w:numPr>
          <w:ilvl w:val="1"/>
          <w:numId w:val="6"/>
        </w:numPr>
        <w:tabs>
          <w:tab w:pos="510" w:val="left" w:leader="none"/>
        </w:tabs>
        <w:spacing w:line="240" w:lineRule="auto" w:before="49" w:after="0"/>
        <w:ind w:left="509" w:right="0" w:hanging="393"/>
        <w:jc w:val="both"/>
      </w:pPr>
      <w:bookmarkStart w:name="_bookmark14" w:id="21"/>
      <w:bookmarkEnd w:id="21"/>
      <w:r>
        <w:rPr>
          <w:b w:val="0"/>
        </w:rPr>
      </w:r>
      <w:bookmarkStart w:name="_bookmark14" w:id="22"/>
      <w:bookmarkEnd w:id="22"/>
      <w:r>
        <w:rPr/>
        <w:t>Hi</w:t>
      </w:r>
      <w:r>
        <w:rPr/>
        <w:t>drología</w:t>
      </w:r>
      <w:r>
        <w:rPr>
          <w:spacing w:val="-16"/>
        </w:rPr>
        <w:t> </w:t>
      </w:r>
      <w:r>
        <w:rPr/>
        <w:t>superficial</w:t>
      </w:r>
    </w:p>
    <w:p>
      <w:pPr>
        <w:pStyle w:val="BodyText"/>
        <w:rPr>
          <w:b/>
        </w:rPr>
      </w:pPr>
    </w:p>
    <w:p>
      <w:pPr>
        <w:pStyle w:val="BodyText"/>
        <w:spacing w:before="6"/>
        <w:rPr>
          <w:b/>
          <w:sz w:val="31"/>
        </w:rPr>
      </w:pPr>
    </w:p>
    <w:p>
      <w:pPr>
        <w:pStyle w:val="BodyText"/>
        <w:spacing w:line="360" w:lineRule="auto"/>
        <w:ind w:left="116" w:right="116"/>
        <w:jc w:val="both"/>
      </w:pPr>
      <w:r>
        <w:rPr>
          <w:spacing w:val="-3"/>
        </w:rPr>
        <w:t>La</w:t>
      </w:r>
      <w:r>
        <w:rPr>
          <w:spacing w:val="-4"/>
        </w:rPr>
        <w:t> </w:t>
      </w:r>
      <w:r>
        <w:rPr/>
        <w:t>hidrología</w:t>
      </w:r>
      <w:r>
        <w:rPr>
          <w:spacing w:val="-4"/>
        </w:rPr>
        <w:t> </w:t>
      </w:r>
      <w:r>
        <w:rPr/>
        <w:t>superficial</w:t>
      </w:r>
      <w:r>
        <w:rPr>
          <w:spacing w:val="-4"/>
        </w:rPr>
        <w:t> </w:t>
      </w:r>
      <w:r>
        <w:rPr/>
        <w:t>describe</w:t>
      </w:r>
      <w:r>
        <w:rPr>
          <w:spacing w:val="-4"/>
        </w:rPr>
        <w:t> </w:t>
      </w:r>
      <w:r>
        <w:rPr/>
        <w:t>la</w:t>
      </w:r>
      <w:r>
        <w:rPr>
          <w:spacing w:val="-4"/>
        </w:rPr>
        <w:t> </w:t>
      </w:r>
      <w:r>
        <w:rPr/>
        <w:t>relación</w:t>
      </w:r>
      <w:r>
        <w:rPr>
          <w:spacing w:val="-4"/>
        </w:rPr>
        <w:t> </w:t>
      </w:r>
      <w:r>
        <w:rPr/>
        <w:t>entre</w:t>
      </w:r>
      <w:r>
        <w:rPr>
          <w:spacing w:val="-4"/>
        </w:rPr>
        <w:t> </w:t>
      </w:r>
      <w:r>
        <w:rPr/>
        <w:t>la</w:t>
      </w:r>
      <w:r>
        <w:rPr>
          <w:spacing w:val="-4"/>
        </w:rPr>
        <w:t> </w:t>
      </w:r>
      <w:r>
        <w:rPr/>
        <w:t>lluvia</w:t>
      </w:r>
      <w:r>
        <w:rPr>
          <w:spacing w:val="-4"/>
        </w:rPr>
        <w:t> </w:t>
      </w:r>
      <w:r>
        <w:rPr/>
        <w:t>y</w:t>
      </w:r>
      <w:r>
        <w:rPr>
          <w:spacing w:val="-4"/>
        </w:rPr>
        <w:t> </w:t>
      </w:r>
      <w:r>
        <w:rPr/>
        <w:t>el</w:t>
      </w:r>
      <w:r>
        <w:rPr>
          <w:spacing w:val="-1"/>
        </w:rPr>
        <w:t> </w:t>
      </w:r>
      <w:r>
        <w:rPr/>
        <w:t>escurrimiento</w:t>
      </w:r>
      <w:r>
        <w:rPr>
          <w:spacing w:val="-4"/>
        </w:rPr>
        <w:t> </w:t>
      </w:r>
      <w:r>
        <w:rPr/>
        <w:t>lo</w:t>
      </w:r>
      <w:r>
        <w:rPr>
          <w:spacing w:val="-4"/>
        </w:rPr>
        <w:t> </w:t>
      </w:r>
      <w:r>
        <w:rPr/>
        <w:t>cual</w:t>
      </w:r>
      <w:r>
        <w:rPr>
          <w:spacing w:val="-4"/>
        </w:rPr>
        <w:t> </w:t>
      </w:r>
      <w:r>
        <w:rPr/>
        <w:t>es</w:t>
      </w:r>
      <w:r>
        <w:rPr>
          <w:spacing w:val="-4"/>
        </w:rPr>
        <w:t> </w:t>
      </w:r>
      <w:r>
        <w:rPr/>
        <w:t>de importancia</w:t>
      </w:r>
      <w:r>
        <w:rPr>
          <w:spacing w:val="-10"/>
        </w:rPr>
        <w:t> </w:t>
      </w:r>
      <w:r>
        <w:rPr/>
        <w:t>para</w:t>
      </w:r>
      <w:r>
        <w:rPr>
          <w:spacing w:val="-10"/>
        </w:rPr>
        <w:t> </w:t>
      </w:r>
      <w:r>
        <w:rPr/>
        <w:t>los</w:t>
      </w:r>
      <w:r>
        <w:rPr>
          <w:spacing w:val="-10"/>
        </w:rPr>
        <w:t> </w:t>
      </w:r>
      <w:r>
        <w:rPr/>
        <w:t>diversos</w:t>
      </w:r>
      <w:r>
        <w:rPr>
          <w:spacing w:val="-10"/>
        </w:rPr>
        <w:t> </w:t>
      </w:r>
      <w:r>
        <w:rPr/>
        <w:t>usos</w:t>
      </w:r>
      <w:r>
        <w:rPr>
          <w:spacing w:val="-10"/>
        </w:rPr>
        <w:t> </w:t>
      </w:r>
      <w:r>
        <w:rPr/>
        <w:t>del</w:t>
      </w:r>
      <w:r>
        <w:rPr>
          <w:spacing w:val="-10"/>
        </w:rPr>
        <w:t> </w:t>
      </w:r>
      <w:r>
        <w:rPr/>
        <w:t>agua,</w:t>
      </w:r>
      <w:r>
        <w:rPr>
          <w:spacing w:val="-8"/>
        </w:rPr>
        <w:t> </w:t>
      </w:r>
      <w:r>
        <w:rPr/>
        <w:t>ya</w:t>
      </w:r>
      <w:r>
        <w:rPr>
          <w:spacing w:val="-5"/>
        </w:rPr>
        <w:t> </w:t>
      </w:r>
      <w:r>
        <w:rPr/>
        <w:t>sea</w:t>
      </w:r>
      <w:r>
        <w:rPr>
          <w:spacing w:val="-10"/>
        </w:rPr>
        <w:t> </w:t>
      </w:r>
      <w:r>
        <w:rPr/>
        <w:t>para</w:t>
      </w:r>
      <w:r>
        <w:rPr>
          <w:spacing w:val="-10"/>
        </w:rPr>
        <w:t> </w:t>
      </w:r>
      <w:r>
        <w:rPr/>
        <w:t>usos</w:t>
      </w:r>
      <w:r>
        <w:rPr>
          <w:spacing w:val="-10"/>
        </w:rPr>
        <w:t> </w:t>
      </w:r>
      <w:r>
        <w:rPr/>
        <w:t>domésticos,</w:t>
      </w:r>
      <w:r>
        <w:rPr>
          <w:spacing w:val="-8"/>
        </w:rPr>
        <w:t> </w:t>
      </w:r>
      <w:r>
        <w:rPr/>
        <w:t>agrícolas,</w:t>
      </w:r>
      <w:r>
        <w:rPr>
          <w:spacing w:val="-7"/>
        </w:rPr>
        <w:t> </w:t>
      </w:r>
      <w:r>
        <w:rPr/>
        <w:t>control de inundaciones, drenaje urbano y rural. De igual manera, representa la dinámica de flujo del agua en sistemas superficiales como ríos, canales, corrientes, lagos, etc. (Aparicio, 1989).</w:t>
      </w:r>
    </w:p>
    <w:p>
      <w:pPr>
        <w:pStyle w:val="BodyText"/>
        <w:spacing w:before="6"/>
        <w:rPr>
          <w:sz w:val="21"/>
        </w:rPr>
      </w:pPr>
    </w:p>
    <w:p>
      <w:pPr>
        <w:pStyle w:val="Heading1"/>
        <w:numPr>
          <w:ilvl w:val="2"/>
          <w:numId w:val="6"/>
        </w:numPr>
        <w:tabs>
          <w:tab w:pos="706" w:val="left" w:leader="none"/>
        </w:tabs>
        <w:spacing w:line="240" w:lineRule="auto" w:before="0" w:after="0"/>
        <w:ind w:left="705" w:right="0" w:hanging="589"/>
        <w:jc w:val="both"/>
      </w:pPr>
      <w:bookmarkStart w:name="_bookmark15" w:id="23"/>
      <w:bookmarkEnd w:id="23"/>
      <w:r>
        <w:rPr>
          <w:b w:val="0"/>
        </w:rPr>
      </w:r>
      <w:bookmarkStart w:name="_bookmark15" w:id="24"/>
      <w:bookmarkEnd w:id="24"/>
      <w:r>
        <w:rPr/>
        <w:t>Preci</w:t>
      </w:r>
      <w:r>
        <w:rPr/>
        <w:t>pitación</w:t>
      </w:r>
    </w:p>
    <w:p>
      <w:pPr>
        <w:pStyle w:val="BodyText"/>
        <w:rPr>
          <w:b/>
        </w:rPr>
      </w:pPr>
    </w:p>
    <w:p>
      <w:pPr>
        <w:pStyle w:val="BodyText"/>
        <w:spacing w:before="1"/>
        <w:rPr>
          <w:b/>
          <w:sz w:val="31"/>
        </w:rPr>
      </w:pPr>
    </w:p>
    <w:p>
      <w:pPr>
        <w:pStyle w:val="BodyText"/>
        <w:spacing w:line="360" w:lineRule="auto"/>
        <w:ind w:left="116" w:right="115"/>
        <w:jc w:val="both"/>
      </w:pPr>
      <w:r>
        <w:rPr/>
        <w:t>De</w:t>
      </w:r>
      <w:r>
        <w:rPr>
          <w:spacing w:val="-6"/>
        </w:rPr>
        <w:t> </w:t>
      </w:r>
      <w:r>
        <w:rPr/>
        <w:t>acuerdo</w:t>
      </w:r>
      <w:r>
        <w:rPr>
          <w:spacing w:val="-6"/>
        </w:rPr>
        <w:t> </w:t>
      </w:r>
      <w:r>
        <w:rPr/>
        <w:t>a</w:t>
      </w:r>
      <w:r>
        <w:rPr>
          <w:spacing w:val="-6"/>
        </w:rPr>
        <w:t> </w:t>
      </w:r>
      <w:r>
        <w:rPr/>
        <w:t>SRH,</w:t>
      </w:r>
      <w:r>
        <w:rPr>
          <w:spacing w:val="-4"/>
        </w:rPr>
        <w:t> </w:t>
      </w:r>
      <w:r>
        <w:rPr/>
        <w:t>(1974)</w:t>
      </w:r>
      <w:r>
        <w:rPr>
          <w:spacing w:val="-6"/>
        </w:rPr>
        <w:t> </w:t>
      </w:r>
      <w:r>
        <w:rPr/>
        <w:t>en</w:t>
      </w:r>
      <w:r>
        <w:rPr>
          <w:spacing w:val="-6"/>
        </w:rPr>
        <w:t> </w:t>
      </w:r>
      <w:r>
        <w:rPr/>
        <w:t>hidrología,</w:t>
      </w:r>
      <w:r>
        <w:rPr>
          <w:spacing w:val="-4"/>
        </w:rPr>
        <w:t> </w:t>
      </w:r>
      <w:r>
        <w:rPr/>
        <w:t>la</w:t>
      </w:r>
      <w:r>
        <w:rPr>
          <w:spacing w:val="-6"/>
        </w:rPr>
        <w:t> </w:t>
      </w:r>
      <w:r>
        <w:rPr/>
        <w:t>precipitación</w:t>
      </w:r>
      <w:r>
        <w:rPr>
          <w:spacing w:val="-5"/>
        </w:rPr>
        <w:t> </w:t>
      </w:r>
      <w:r>
        <w:rPr/>
        <w:t>es</w:t>
      </w:r>
      <w:r>
        <w:rPr>
          <w:spacing w:val="-6"/>
        </w:rPr>
        <w:t> </w:t>
      </w:r>
      <w:r>
        <w:rPr/>
        <w:t>el</w:t>
      </w:r>
      <w:r>
        <w:rPr>
          <w:spacing w:val="-6"/>
        </w:rPr>
        <w:t> </w:t>
      </w:r>
      <w:r>
        <w:rPr/>
        <w:t>término</w:t>
      </w:r>
      <w:r>
        <w:rPr>
          <w:spacing w:val="-2"/>
        </w:rPr>
        <w:t> </w:t>
      </w:r>
      <w:r>
        <w:rPr/>
        <w:t>general</w:t>
      </w:r>
      <w:r>
        <w:rPr>
          <w:spacing w:val="-6"/>
        </w:rPr>
        <w:t> </w:t>
      </w:r>
      <w:r>
        <w:rPr/>
        <w:t>para</w:t>
      </w:r>
      <w:r>
        <w:rPr>
          <w:spacing w:val="-6"/>
        </w:rPr>
        <w:t> </w:t>
      </w:r>
      <w:r>
        <w:rPr/>
        <w:t>toda</w:t>
      </w:r>
      <w:r>
        <w:rPr>
          <w:spacing w:val="-6"/>
        </w:rPr>
        <w:t> </w:t>
      </w:r>
      <w:r>
        <w:rPr/>
        <w:t>el agua</w:t>
      </w:r>
      <w:r>
        <w:rPr>
          <w:spacing w:val="-10"/>
        </w:rPr>
        <w:t> </w:t>
      </w:r>
      <w:r>
        <w:rPr/>
        <w:t>que</w:t>
      </w:r>
      <w:r>
        <w:rPr>
          <w:spacing w:val="-10"/>
        </w:rPr>
        <w:t> </w:t>
      </w:r>
      <w:r>
        <w:rPr/>
        <w:t>proviene</w:t>
      </w:r>
      <w:r>
        <w:rPr>
          <w:spacing w:val="-10"/>
        </w:rPr>
        <w:t> </w:t>
      </w:r>
      <w:r>
        <w:rPr/>
        <w:t>de</w:t>
      </w:r>
      <w:r>
        <w:rPr>
          <w:spacing w:val="-10"/>
        </w:rPr>
        <w:t> </w:t>
      </w:r>
      <w:r>
        <w:rPr/>
        <w:t>las</w:t>
      </w:r>
      <w:r>
        <w:rPr>
          <w:spacing w:val="-10"/>
        </w:rPr>
        <w:t> </w:t>
      </w:r>
      <w:r>
        <w:rPr/>
        <w:t>nubes</w:t>
      </w:r>
      <w:r>
        <w:rPr>
          <w:spacing w:val="-10"/>
        </w:rPr>
        <w:t> </w:t>
      </w:r>
      <w:r>
        <w:rPr/>
        <w:t>y</w:t>
      </w:r>
      <w:r>
        <w:rPr>
          <w:spacing w:val="-10"/>
        </w:rPr>
        <w:t> </w:t>
      </w:r>
      <w:r>
        <w:rPr/>
        <w:t>cae</w:t>
      </w:r>
      <w:r>
        <w:rPr>
          <w:spacing w:val="-9"/>
        </w:rPr>
        <w:t> </w:t>
      </w:r>
      <w:r>
        <w:rPr/>
        <w:t>a</w:t>
      </w:r>
      <w:r>
        <w:rPr>
          <w:spacing w:val="-10"/>
        </w:rPr>
        <w:t> </w:t>
      </w:r>
      <w:r>
        <w:rPr/>
        <w:t>la</w:t>
      </w:r>
      <w:r>
        <w:rPr>
          <w:spacing w:val="-10"/>
        </w:rPr>
        <w:t> </w:t>
      </w:r>
      <w:r>
        <w:rPr/>
        <w:t>tierra</w:t>
      </w:r>
      <w:r>
        <w:rPr>
          <w:spacing w:val="-10"/>
        </w:rPr>
        <w:t> </w:t>
      </w:r>
      <w:r>
        <w:rPr/>
        <w:t>en</w:t>
      </w:r>
      <w:r>
        <w:rPr>
          <w:spacing w:val="-10"/>
        </w:rPr>
        <w:t> </w:t>
      </w:r>
      <w:r>
        <w:rPr/>
        <w:t>cualquiera</w:t>
      </w:r>
      <w:r>
        <w:rPr>
          <w:spacing w:val="-10"/>
        </w:rPr>
        <w:t> </w:t>
      </w:r>
      <w:r>
        <w:rPr/>
        <w:t>de</w:t>
      </w:r>
      <w:r>
        <w:rPr>
          <w:spacing w:val="-10"/>
        </w:rPr>
        <w:t> </w:t>
      </w:r>
      <w:r>
        <w:rPr/>
        <w:t>sus</w:t>
      </w:r>
      <w:r>
        <w:rPr>
          <w:spacing w:val="-10"/>
        </w:rPr>
        <w:t> </w:t>
      </w:r>
      <w:r>
        <w:rPr/>
        <w:t>estados</w:t>
      </w:r>
      <w:r>
        <w:rPr>
          <w:spacing w:val="-10"/>
        </w:rPr>
        <w:t> </w:t>
      </w:r>
      <w:r>
        <w:rPr/>
        <w:t>físicos.</w:t>
      </w:r>
      <w:r>
        <w:rPr>
          <w:spacing w:val="-4"/>
        </w:rPr>
        <w:t> </w:t>
      </w:r>
      <w:r>
        <w:rPr/>
        <w:t>Existen varias formas de precipitación dependiendo las condiciones metereológicas existentes, en latitudes</w:t>
      </w:r>
      <w:r>
        <w:rPr>
          <w:spacing w:val="-10"/>
        </w:rPr>
        <w:t> </w:t>
      </w:r>
      <w:r>
        <w:rPr/>
        <w:t>medias</w:t>
      </w:r>
      <w:r>
        <w:rPr>
          <w:spacing w:val="-10"/>
        </w:rPr>
        <w:t> </w:t>
      </w:r>
      <w:r>
        <w:rPr/>
        <w:t>se</w:t>
      </w:r>
      <w:r>
        <w:rPr>
          <w:spacing w:val="-10"/>
        </w:rPr>
        <w:t> </w:t>
      </w:r>
      <w:r>
        <w:rPr/>
        <w:t>pueden</w:t>
      </w:r>
      <w:r>
        <w:rPr>
          <w:spacing w:val="-10"/>
        </w:rPr>
        <w:t> </w:t>
      </w:r>
      <w:r>
        <w:rPr/>
        <w:t>distinguir</w:t>
      </w:r>
      <w:r>
        <w:rPr>
          <w:spacing w:val="-10"/>
        </w:rPr>
        <w:t> </w:t>
      </w:r>
      <w:r>
        <w:rPr/>
        <w:t>las</w:t>
      </w:r>
      <w:r>
        <w:rPr>
          <w:spacing w:val="-10"/>
        </w:rPr>
        <w:t> </w:t>
      </w:r>
      <w:r>
        <w:rPr/>
        <w:t>siguientes:</w:t>
      </w:r>
      <w:r>
        <w:rPr>
          <w:spacing w:val="-10"/>
        </w:rPr>
        <w:t> </w:t>
      </w:r>
      <w:r>
        <w:rPr/>
        <w:t>llovizna,</w:t>
      </w:r>
      <w:r>
        <w:rPr>
          <w:spacing w:val="-8"/>
        </w:rPr>
        <w:t> </w:t>
      </w:r>
      <w:r>
        <w:rPr/>
        <w:t>lluvia,</w:t>
      </w:r>
      <w:r>
        <w:rPr>
          <w:spacing w:val="-8"/>
        </w:rPr>
        <w:t> </w:t>
      </w:r>
      <w:r>
        <w:rPr/>
        <w:t>granizo,</w:t>
      </w:r>
      <w:r>
        <w:rPr>
          <w:spacing w:val="-8"/>
        </w:rPr>
        <w:t> </w:t>
      </w:r>
      <w:r>
        <w:rPr/>
        <w:t>nieve,</w:t>
      </w:r>
      <w:r>
        <w:rPr>
          <w:spacing w:val="-8"/>
        </w:rPr>
        <w:t> </w:t>
      </w:r>
      <w:r>
        <w:rPr/>
        <w:t>rocío</w:t>
      </w:r>
      <w:r>
        <w:rPr>
          <w:spacing w:val="-10"/>
        </w:rPr>
        <w:t> </w:t>
      </w:r>
      <w:r>
        <w:rPr/>
        <w:t>y escarcha (Linsley y otros,</w:t>
      </w:r>
      <w:r>
        <w:rPr>
          <w:spacing w:val="-9"/>
        </w:rPr>
        <w:t> </w:t>
      </w:r>
      <w:r>
        <w:rPr/>
        <w:t>1990).</w:t>
      </w:r>
    </w:p>
    <w:p>
      <w:pPr>
        <w:pStyle w:val="BodyText"/>
      </w:pPr>
    </w:p>
    <w:p>
      <w:pPr>
        <w:pStyle w:val="BodyText"/>
        <w:spacing w:line="360" w:lineRule="auto" w:before="155"/>
        <w:ind w:left="116" w:right="116"/>
        <w:jc w:val="both"/>
      </w:pPr>
      <w:r>
        <w:rPr/>
        <w:t>Según</w:t>
      </w:r>
      <w:r>
        <w:rPr>
          <w:spacing w:val="-12"/>
        </w:rPr>
        <w:t> </w:t>
      </w:r>
      <w:r>
        <w:rPr/>
        <w:t>la</w:t>
      </w:r>
      <w:r>
        <w:rPr>
          <w:spacing w:val="-7"/>
        </w:rPr>
        <w:t> </w:t>
      </w:r>
      <w:r>
        <w:rPr/>
        <w:t>SRH,</w:t>
      </w:r>
      <w:r>
        <w:rPr>
          <w:spacing w:val="-10"/>
        </w:rPr>
        <w:t> </w:t>
      </w:r>
      <w:r>
        <w:rPr/>
        <w:t>(1974)</w:t>
      </w:r>
      <w:r>
        <w:rPr>
          <w:spacing w:val="-12"/>
        </w:rPr>
        <w:t> </w:t>
      </w:r>
      <w:r>
        <w:rPr/>
        <w:t>el</w:t>
      </w:r>
      <w:r>
        <w:rPr>
          <w:spacing w:val="-12"/>
        </w:rPr>
        <w:t> </w:t>
      </w:r>
      <w:r>
        <w:rPr/>
        <w:t>tipo</w:t>
      </w:r>
      <w:r>
        <w:rPr>
          <w:spacing w:val="-12"/>
        </w:rPr>
        <w:t> </w:t>
      </w:r>
      <w:r>
        <w:rPr/>
        <w:t>y</w:t>
      </w:r>
      <w:r>
        <w:rPr>
          <w:spacing w:val="-10"/>
        </w:rPr>
        <w:t> </w:t>
      </w:r>
      <w:r>
        <w:rPr/>
        <w:t>la</w:t>
      </w:r>
      <w:r>
        <w:rPr>
          <w:spacing w:val="-12"/>
        </w:rPr>
        <w:t> </w:t>
      </w:r>
      <w:r>
        <w:rPr/>
        <w:t>cantidad</w:t>
      </w:r>
      <w:r>
        <w:rPr>
          <w:spacing w:val="-12"/>
        </w:rPr>
        <w:t> </w:t>
      </w:r>
      <w:r>
        <w:rPr/>
        <w:t>de</w:t>
      </w:r>
      <w:r>
        <w:rPr>
          <w:spacing w:val="-12"/>
        </w:rPr>
        <w:t> </w:t>
      </w:r>
      <w:r>
        <w:rPr/>
        <w:t>precipitación</w:t>
      </w:r>
      <w:r>
        <w:rPr>
          <w:spacing w:val="-12"/>
        </w:rPr>
        <w:t> </w:t>
      </w:r>
      <w:r>
        <w:rPr/>
        <w:t>dependen</w:t>
      </w:r>
      <w:r>
        <w:rPr>
          <w:spacing w:val="-11"/>
        </w:rPr>
        <w:t> </w:t>
      </w:r>
      <w:r>
        <w:rPr/>
        <w:t>enormemente</w:t>
      </w:r>
      <w:r>
        <w:rPr>
          <w:spacing w:val="-12"/>
        </w:rPr>
        <w:t> </w:t>
      </w:r>
      <w:r>
        <w:rPr/>
        <w:t>del</w:t>
      </w:r>
      <w:r>
        <w:rPr>
          <w:spacing w:val="-12"/>
        </w:rPr>
        <w:t> </w:t>
      </w:r>
      <w:r>
        <w:rPr/>
        <w:t>tipo y cantidad de enfriamiento y de la humedad existente en el aire, pudiendo encontrar precipitaciones de tipo ciclónica, convectiva, orográfica, por choques de masas de aire y por</w:t>
      </w:r>
      <w:r>
        <w:rPr>
          <w:spacing w:val="-3"/>
        </w:rPr>
        <w:t> </w:t>
      </w:r>
      <w:r>
        <w:rPr/>
        <w:t>radiación.</w:t>
      </w:r>
    </w:p>
    <w:p>
      <w:pPr>
        <w:pStyle w:val="BodyText"/>
      </w:pPr>
    </w:p>
    <w:p>
      <w:pPr>
        <w:pStyle w:val="BodyText"/>
        <w:spacing w:line="360" w:lineRule="auto" w:before="156"/>
        <w:ind w:left="116" w:right="111"/>
        <w:jc w:val="both"/>
      </w:pPr>
      <w:r>
        <w:rPr/>
        <w:t>Sin embargo, independientemente de la forma y tipo de precipitación, una vez que el agua de lluvia llega al suelo, la altura de precipitación, ocurrida en un tiempo, se distribuye, dependiendo la forma de distribución de las condiciones imperantes en el momento y en</w:t>
      </w:r>
      <w:r>
        <w:rPr>
          <w:spacing w:val="-27"/>
        </w:rPr>
        <w:t> </w:t>
      </w:r>
      <w:r>
        <w:rPr/>
        <w:t>el sitio en que ocurre la</w:t>
      </w:r>
      <w:r>
        <w:rPr>
          <w:spacing w:val="-3"/>
        </w:rPr>
        <w:t> </w:t>
      </w:r>
      <w:r>
        <w:rPr/>
        <w:t>precipitación.</w:t>
      </w:r>
    </w:p>
    <w:p>
      <w:pPr>
        <w:pStyle w:val="BodyText"/>
      </w:pPr>
    </w:p>
    <w:p>
      <w:pPr>
        <w:pStyle w:val="BodyText"/>
        <w:spacing w:line="362" w:lineRule="auto" w:before="156"/>
        <w:ind w:left="116" w:right="113"/>
        <w:jc w:val="both"/>
      </w:pPr>
      <w:r>
        <w:rPr/>
        <w:t>Una</w:t>
      </w:r>
      <w:r>
        <w:rPr>
          <w:spacing w:val="-16"/>
        </w:rPr>
        <w:t> </w:t>
      </w:r>
      <w:r>
        <w:rPr/>
        <w:t>parte</w:t>
      </w:r>
      <w:r>
        <w:rPr>
          <w:spacing w:val="-15"/>
        </w:rPr>
        <w:t> </w:t>
      </w:r>
      <w:r>
        <w:rPr/>
        <w:t>es</w:t>
      </w:r>
      <w:r>
        <w:rPr>
          <w:spacing w:val="-16"/>
        </w:rPr>
        <w:t> </w:t>
      </w:r>
      <w:r>
        <w:rPr/>
        <w:t>interceptada</w:t>
      </w:r>
      <w:r>
        <w:rPr>
          <w:spacing w:val="-15"/>
        </w:rPr>
        <w:t> </w:t>
      </w:r>
      <w:r>
        <w:rPr/>
        <w:t>por</w:t>
      </w:r>
      <w:r>
        <w:rPr>
          <w:spacing w:val="-16"/>
        </w:rPr>
        <w:t> </w:t>
      </w:r>
      <w:r>
        <w:rPr/>
        <w:t>las</w:t>
      </w:r>
      <w:r>
        <w:rPr>
          <w:spacing w:val="-16"/>
        </w:rPr>
        <w:t> </w:t>
      </w:r>
      <w:r>
        <w:rPr/>
        <w:t>plantas,</w:t>
      </w:r>
      <w:r>
        <w:rPr>
          <w:spacing w:val="-13"/>
        </w:rPr>
        <w:t> </w:t>
      </w:r>
      <w:r>
        <w:rPr/>
        <w:t>otra</w:t>
      </w:r>
      <w:r>
        <w:rPr>
          <w:spacing w:val="-16"/>
        </w:rPr>
        <w:t> </w:t>
      </w:r>
      <w:r>
        <w:rPr/>
        <w:t>se</w:t>
      </w:r>
      <w:r>
        <w:rPr>
          <w:spacing w:val="-20"/>
        </w:rPr>
        <w:t> </w:t>
      </w:r>
      <w:r>
        <w:rPr/>
        <w:t>deposita</w:t>
      </w:r>
      <w:r>
        <w:rPr>
          <w:spacing w:val="-15"/>
        </w:rPr>
        <w:t> </w:t>
      </w:r>
      <w:r>
        <w:rPr/>
        <w:t>en</w:t>
      </w:r>
      <w:r>
        <w:rPr>
          <w:spacing w:val="-16"/>
        </w:rPr>
        <w:t> </w:t>
      </w:r>
      <w:r>
        <w:rPr/>
        <w:t>almacenamientos</w:t>
      </w:r>
      <w:r>
        <w:rPr>
          <w:spacing w:val="-16"/>
        </w:rPr>
        <w:t> </w:t>
      </w:r>
      <w:r>
        <w:rPr/>
        <w:t>superficiales, una más se infiltra incrementando las corrientes subterráneas, saturando primero el suelo</w:t>
      </w:r>
      <w:r>
        <w:rPr>
          <w:spacing w:val="-22"/>
        </w:rPr>
        <w:t> </w:t>
      </w:r>
      <w:r>
        <w:rPr/>
        <w:t>y</w:t>
      </w:r>
    </w:p>
    <w:p>
      <w:pPr>
        <w:spacing w:after="0" w:line="362" w:lineRule="auto"/>
        <w:jc w:val="both"/>
        <w:sectPr>
          <w:pgSz w:w="12240" w:h="15840"/>
          <w:pgMar w:header="0" w:footer="1473" w:top="1360" w:bottom="1660" w:left="1300" w:right="1300"/>
        </w:sectPr>
      </w:pPr>
    </w:p>
    <w:p>
      <w:pPr>
        <w:pStyle w:val="BodyText"/>
        <w:spacing w:line="362" w:lineRule="auto" w:before="49"/>
        <w:ind w:left="116" w:right="120"/>
        <w:jc w:val="both"/>
      </w:pPr>
      <w:r>
        <w:rPr/>
        <w:t>la restante escurre superficialmente hacia los cauces naturales de drenaje, formando así</w:t>
      </w:r>
      <w:r>
        <w:rPr>
          <w:spacing w:val="-41"/>
        </w:rPr>
        <w:t> </w:t>
      </w:r>
      <w:r>
        <w:rPr/>
        <w:t>las corrientes.</w:t>
      </w:r>
    </w:p>
    <w:p>
      <w:pPr>
        <w:pStyle w:val="BodyText"/>
        <w:spacing w:before="11"/>
        <w:rPr>
          <w:sz w:val="20"/>
        </w:rPr>
      </w:pPr>
    </w:p>
    <w:p>
      <w:pPr>
        <w:pStyle w:val="Heading1"/>
        <w:numPr>
          <w:ilvl w:val="2"/>
          <w:numId w:val="6"/>
        </w:numPr>
        <w:tabs>
          <w:tab w:pos="706" w:val="left" w:leader="none"/>
        </w:tabs>
        <w:spacing w:line="240" w:lineRule="auto" w:before="0" w:after="0"/>
        <w:ind w:left="705" w:right="0" w:hanging="589"/>
        <w:jc w:val="both"/>
      </w:pPr>
      <w:bookmarkStart w:name="_bookmark16" w:id="25"/>
      <w:bookmarkEnd w:id="25"/>
      <w:r>
        <w:rPr>
          <w:b w:val="0"/>
        </w:rPr>
      </w:r>
      <w:bookmarkStart w:name="_bookmark16" w:id="26"/>
      <w:bookmarkEnd w:id="26"/>
      <w:r>
        <w:rPr/>
        <w:t>Esc</w:t>
      </w:r>
      <w:r>
        <w:rPr/>
        <w:t>urrimientos</w:t>
      </w:r>
    </w:p>
    <w:p>
      <w:pPr>
        <w:pStyle w:val="BodyText"/>
        <w:rPr>
          <w:b/>
        </w:rPr>
      </w:pPr>
    </w:p>
    <w:p>
      <w:pPr>
        <w:pStyle w:val="BodyText"/>
        <w:spacing w:before="5"/>
        <w:rPr>
          <w:b/>
          <w:sz w:val="31"/>
        </w:rPr>
      </w:pPr>
    </w:p>
    <w:p>
      <w:pPr>
        <w:pStyle w:val="BodyText"/>
        <w:spacing w:line="360" w:lineRule="auto"/>
        <w:ind w:left="116" w:right="115"/>
        <w:jc w:val="both"/>
      </w:pPr>
      <w:r>
        <w:rPr/>
        <w:t>Maderey, (1977) define a los escurrimientos desde el punto de vista hidrológico como la parte de la precipitación que aparece en las corrientes fluviales superficiales, perennes, intermitentes o efímeras, y que regresa al mar o a los cuerpos de agua interiores. Dicho de otra manera es el deslizamiento virgen del agua que no ha sido afectado por obras artificiales hechas por el hombre. Campos, (1992) detalla que el escurrimiento es la parte de la precipitación que fluye por gravedad por la superficie del terreno, o en el interior del mismo.</w:t>
      </w:r>
    </w:p>
    <w:p>
      <w:pPr>
        <w:pStyle w:val="BodyText"/>
      </w:pPr>
    </w:p>
    <w:p>
      <w:pPr>
        <w:pStyle w:val="BodyText"/>
        <w:spacing w:line="360" w:lineRule="auto" w:before="155"/>
        <w:ind w:left="116" w:right="120"/>
        <w:jc w:val="both"/>
      </w:pPr>
      <w:r>
        <w:rPr/>
        <w:t>De acuerdo con la SARH, (1988) existen cuatro tipos de escurrimiento, de canales, el superficial, el subsuperficial y el subterráneo, de ellos el que presenta un mayor poder erosivo</w:t>
      </w:r>
      <w:r>
        <w:rPr>
          <w:spacing w:val="-10"/>
        </w:rPr>
        <w:t> </w:t>
      </w:r>
      <w:r>
        <w:rPr/>
        <w:t>es</w:t>
      </w:r>
      <w:r>
        <w:rPr>
          <w:spacing w:val="-10"/>
        </w:rPr>
        <w:t> </w:t>
      </w:r>
      <w:r>
        <w:rPr/>
        <w:t>el</w:t>
      </w:r>
      <w:r>
        <w:rPr>
          <w:spacing w:val="-10"/>
        </w:rPr>
        <w:t> </w:t>
      </w:r>
      <w:r>
        <w:rPr/>
        <w:t>superficial,</w:t>
      </w:r>
      <w:r>
        <w:rPr>
          <w:spacing w:val="-7"/>
        </w:rPr>
        <w:t> </w:t>
      </w:r>
      <w:r>
        <w:rPr/>
        <w:t>que</w:t>
      </w:r>
      <w:r>
        <w:rPr>
          <w:spacing w:val="-10"/>
        </w:rPr>
        <w:t> </w:t>
      </w:r>
      <w:r>
        <w:rPr/>
        <w:t>se</w:t>
      </w:r>
      <w:r>
        <w:rPr>
          <w:spacing w:val="-10"/>
        </w:rPr>
        <w:t> </w:t>
      </w:r>
      <w:r>
        <w:rPr/>
        <w:t>define</w:t>
      </w:r>
      <w:r>
        <w:rPr>
          <w:spacing w:val="-5"/>
        </w:rPr>
        <w:t> </w:t>
      </w:r>
      <w:r>
        <w:rPr/>
        <w:t>como</w:t>
      </w:r>
      <w:r>
        <w:rPr>
          <w:spacing w:val="-10"/>
        </w:rPr>
        <w:t> </w:t>
      </w:r>
      <w:r>
        <w:rPr/>
        <w:t>la</w:t>
      </w:r>
      <w:r>
        <w:rPr>
          <w:spacing w:val="-5"/>
        </w:rPr>
        <w:t> </w:t>
      </w:r>
      <w:r>
        <w:rPr/>
        <w:t>porción</w:t>
      </w:r>
      <w:r>
        <w:rPr>
          <w:spacing w:val="-10"/>
        </w:rPr>
        <w:t> </w:t>
      </w:r>
      <w:r>
        <w:rPr/>
        <w:t>de</w:t>
      </w:r>
      <w:r>
        <w:rPr>
          <w:spacing w:val="-10"/>
        </w:rPr>
        <w:t> </w:t>
      </w:r>
      <w:r>
        <w:rPr/>
        <w:t>la</w:t>
      </w:r>
      <w:r>
        <w:rPr>
          <w:spacing w:val="-10"/>
        </w:rPr>
        <w:t> </w:t>
      </w:r>
      <w:r>
        <w:rPr/>
        <w:t>precipitación</w:t>
      </w:r>
      <w:r>
        <w:rPr>
          <w:spacing w:val="-9"/>
        </w:rPr>
        <w:t> </w:t>
      </w:r>
      <w:r>
        <w:rPr/>
        <w:t>que</w:t>
      </w:r>
      <w:r>
        <w:rPr>
          <w:spacing w:val="-10"/>
        </w:rPr>
        <w:t> </w:t>
      </w:r>
      <w:r>
        <w:rPr/>
        <w:t>no</w:t>
      </w:r>
      <w:r>
        <w:rPr>
          <w:spacing w:val="-10"/>
        </w:rPr>
        <w:t> </w:t>
      </w:r>
      <w:r>
        <w:rPr/>
        <w:t>se</w:t>
      </w:r>
      <w:r>
        <w:rPr>
          <w:spacing w:val="-10"/>
        </w:rPr>
        <w:t> </w:t>
      </w:r>
      <w:r>
        <w:rPr/>
        <w:t>infiltra y se mueve sobre la superficie del suelo hacia la red de drenaje o cuerpos de agua de la cuenca.</w:t>
      </w:r>
    </w:p>
    <w:p>
      <w:pPr>
        <w:pStyle w:val="BodyText"/>
      </w:pPr>
    </w:p>
    <w:p>
      <w:pPr>
        <w:pStyle w:val="BodyText"/>
        <w:spacing w:line="357" w:lineRule="auto" w:before="156"/>
        <w:ind w:left="116" w:right="116"/>
        <w:jc w:val="both"/>
      </w:pPr>
      <w:r>
        <w:rPr/>
        <w:t>Campos, (1992) coincide con los anteriores tipos de escurrimientos sintetizando cada uno de ellos, de la siguiente manera:</w:t>
      </w:r>
    </w:p>
    <w:p>
      <w:pPr>
        <w:pStyle w:val="BodyText"/>
      </w:pPr>
    </w:p>
    <w:p>
      <w:pPr>
        <w:pStyle w:val="ListParagraph"/>
        <w:numPr>
          <w:ilvl w:val="3"/>
          <w:numId w:val="6"/>
        </w:numPr>
        <w:tabs>
          <w:tab w:pos="837" w:val="left" w:leader="none"/>
        </w:tabs>
        <w:spacing w:line="355" w:lineRule="auto" w:before="159" w:after="0"/>
        <w:ind w:left="837" w:right="117" w:hanging="361"/>
        <w:jc w:val="both"/>
        <w:rPr>
          <w:sz w:val="26"/>
        </w:rPr>
      </w:pPr>
      <w:r>
        <w:rPr>
          <w:i/>
          <w:sz w:val="26"/>
        </w:rPr>
        <w:t>El escurrimiento superficial, </w:t>
      </w:r>
      <w:r>
        <w:rPr>
          <w:sz w:val="26"/>
        </w:rPr>
        <w:t>es la parte del escurrimiento que viaja sobre el suelo y después hacia los cauces. </w:t>
      </w:r>
      <w:r>
        <w:rPr>
          <w:spacing w:val="-3"/>
          <w:sz w:val="26"/>
        </w:rPr>
        <w:t>La </w:t>
      </w:r>
      <w:r>
        <w:rPr>
          <w:sz w:val="26"/>
        </w:rPr>
        <w:t>parte del escurrimiento superficial que fluye sobre el terreno hacia los cauces se llama flujo sobre el</w:t>
      </w:r>
      <w:r>
        <w:rPr>
          <w:spacing w:val="-20"/>
          <w:sz w:val="26"/>
        </w:rPr>
        <w:t> </w:t>
      </w:r>
      <w:r>
        <w:rPr>
          <w:sz w:val="26"/>
        </w:rPr>
        <w:t>terreno.</w:t>
      </w:r>
    </w:p>
    <w:p>
      <w:pPr>
        <w:pStyle w:val="ListParagraph"/>
        <w:numPr>
          <w:ilvl w:val="3"/>
          <w:numId w:val="6"/>
        </w:numPr>
        <w:tabs>
          <w:tab w:pos="837" w:val="left" w:leader="none"/>
        </w:tabs>
        <w:spacing w:line="355" w:lineRule="auto" w:before="10" w:after="0"/>
        <w:ind w:left="837" w:right="116" w:hanging="361"/>
        <w:jc w:val="both"/>
        <w:rPr>
          <w:sz w:val="26"/>
        </w:rPr>
      </w:pPr>
      <w:r>
        <w:rPr>
          <w:i/>
          <w:sz w:val="26"/>
        </w:rPr>
        <w:t>El escurrimiento subsuperficial</w:t>
      </w:r>
      <w:r>
        <w:rPr>
          <w:sz w:val="26"/>
        </w:rPr>
        <w:t>, también conocido como flujo subsuperficial o interflujo, es el escurrimiento debido a la porción de la precipitación que se infiltra en</w:t>
      </w:r>
      <w:r>
        <w:rPr>
          <w:spacing w:val="-10"/>
          <w:sz w:val="26"/>
        </w:rPr>
        <w:t> </w:t>
      </w:r>
      <w:r>
        <w:rPr>
          <w:sz w:val="26"/>
        </w:rPr>
        <w:t>el</w:t>
      </w:r>
      <w:r>
        <w:rPr>
          <w:spacing w:val="-10"/>
          <w:sz w:val="26"/>
        </w:rPr>
        <w:t> </w:t>
      </w:r>
      <w:r>
        <w:rPr>
          <w:sz w:val="26"/>
        </w:rPr>
        <w:t>terreno</w:t>
      </w:r>
      <w:r>
        <w:rPr>
          <w:spacing w:val="-10"/>
          <w:sz w:val="26"/>
        </w:rPr>
        <w:t> </w:t>
      </w:r>
      <w:r>
        <w:rPr>
          <w:sz w:val="26"/>
        </w:rPr>
        <w:t>y</w:t>
      </w:r>
      <w:r>
        <w:rPr>
          <w:spacing w:val="-10"/>
          <w:sz w:val="26"/>
        </w:rPr>
        <w:t> </w:t>
      </w:r>
      <w:r>
        <w:rPr>
          <w:sz w:val="26"/>
        </w:rPr>
        <w:t>se</w:t>
      </w:r>
      <w:r>
        <w:rPr>
          <w:spacing w:val="-10"/>
          <w:sz w:val="26"/>
        </w:rPr>
        <w:t> </w:t>
      </w:r>
      <w:r>
        <w:rPr>
          <w:sz w:val="26"/>
        </w:rPr>
        <w:t>mueve</w:t>
      </w:r>
      <w:r>
        <w:rPr>
          <w:spacing w:val="-10"/>
          <w:sz w:val="26"/>
        </w:rPr>
        <w:t> </w:t>
      </w:r>
      <w:r>
        <w:rPr>
          <w:sz w:val="26"/>
        </w:rPr>
        <w:t>lateralmente</w:t>
      </w:r>
      <w:r>
        <w:rPr>
          <w:spacing w:val="-10"/>
          <w:sz w:val="26"/>
        </w:rPr>
        <w:t> </w:t>
      </w:r>
      <w:r>
        <w:rPr>
          <w:sz w:val="26"/>
        </w:rPr>
        <w:t>en</w:t>
      </w:r>
      <w:r>
        <w:rPr>
          <w:spacing w:val="-10"/>
          <w:sz w:val="26"/>
        </w:rPr>
        <w:t> </w:t>
      </w:r>
      <w:r>
        <w:rPr>
          <w:sz w:val="26"/>
        </w:rPr>
        <w:t>los</w:t>
      </w:r>
      <w:r>
        <w:rPr>
          <w:spacing w:val="-10"/>
          <w:sz w:val="26"/>
        </w:rPr>
        <w:t> </w:t>
      </w:r>
      <w:r>
        <w:rPr>
          <w:sz w:val="26"/>
        </w:rPr>
        <w:t>horizontes</w:t>
      </w:r>
      <w:r>
        <w:rPr>
          <w:spacing w:val="-10"/>
          <w:sz w:val="26"/>
        </w:rPr>
        <w:t> </w:t>
      </w:r>
      <w:r>
        <w:rPr>
          <w:sz w:val="26"/>
        </w:rPr>
        <w:t>superiores</w:t>
      </w:r>
      <w:r>
        <w:rPr>
          <w:spacing w:val="-10"/>
          <w:sz w:val="26"/>
        </w:rPr>
        <w:t> </w:t>
      </w:r>
      <w:r>
        <w:rPr>
          <w:sz w:val="26"/>
        </w:rPr>
        <w:t>del</w:t>
      </w:r>
      <w:r>
        <w:rPr>
          <w:spacing w:val="-10"/>
          <w:sz w:val="26"/>
        </w:rPr>
        <w:t> </w:t>
      </w:r>
      <w:r>
        <w:rPr>
          <w:sz w:val="26"/>
        </w:rPr>
        <w:t>suelo</w:t>
      </w:r>
      <w:r>
        <w:rPr>
          <w:spacing w:val="-10"/>
          <w:sz w:val="26"/>
        </w:rPr>
        <w:t> </w:t>
      </w:r>
      <w:r>
        <w:rPr>
          <w:sz w:val="26"/>
        </w:rPr>
        <w:t>hacia</w:t>
      </w:r>
      <w:r>
        <w:rPr>
          <w:spacing w:val="-10"/>
          <w:sz w:val="26"/>
        </w:rPr>
        <w:t> </w:t>
      </w:r>
      <w:r>
        <w:rPr>
          <w:sz w:val="26"/>
        </w:rPr>
        <w:t>las</w:t>
      </w:r>
    </w:p>
    <w:p>
      <w:pPr>
        <w:spacing w:after="0" w:line="355" w:lineRule="auto"/>
        <w:jc w:val="both"/>
        <w:rPr>
          <w:sz w:val="26"/>
        </w:rPr>
        <w:sectPr>
          <w:pgSz w:w="12240" w:h="15840"/>
          <w:pgMar w:header="0" w:footer="1473" w:top="1360" w:bottom="1660" w:left="1300" w:right="1300"/>
        </w:sectPr>
      </w:pPr>
    </w:p>
    <w:p>
      <w:pPr>
        <w:pStyle w:val="BodyText"/>
        <w:spacing w:line="362" w:lineRule="auto" w:before="49"/>
        <w:ind w:left="836" w:right="118"/>
      </w:pPr>
      <w:r>
        <w:rPr/>
        <w:t>corrientes y otra se percola hasta alcanzar el agua subterránea, cuya descarga producirá el escurrimiento subterráneo.</w:t>
      </w:r>
    </w:p>
    <w:p>
      <w:pPr>
        <w:pStyle w:val="BodyText"/>
      </w:pPr>
    </w:p>
    <w:p>
      <w:pPr>
        <w:pStyle w:val="BodyText"/>
        <w:spacing w:line="360" w:lineRule="auto" w:before="153"/>
        <w:ind w:left="116" w:right="117"/>
        <w:jc w:val="both"/>
      </w:pPr>
      <w:r>
        <w:rPr/>
        <w:t>Para estimar los escurrimientos según la SARH, (1988), es necesario considerar la</w:t>
      </w:r>
      <w:r>
        <w:rPr>
          <w:spacing w:val="-21"/>
        </w:rPr>
        <w:t> </w:t>
      </w:r>
      <w:r>
        <w:rPr/>
        <w:t>porción de la precipitación que es interceptada en diferentes formas y posteriormente estimar la cantidad de lluvia que forma parte del escurrimiento. Ésta porción de la precipitación interceptada es fácil de conocer considerando la relación entre el volumen escurrido y el volumen</w:t>
      </w:r>
      <w:r>
        <w:rPr>
          <w:spacing w:val="-8"/>
        </w:rPr>
        <w:t> </w:t>
      </w:r>
      <w:r>
        <w:rPr/>
        <w:t>llovido.</w:t>
      </w:r>
    </w:p>
    <w:p>
      <w:pPr>
        <w:pStyle w:val="BodyText"/>
      </w:pPr>
    </w:p>
    <w:p>
      <w:pPr>
        <w:pStyle w:val="BodyText"/>
        <w:spacing w:line="360" w:lineRule="auto" w:before="155"/>
        <w:ind w:left="116" w:right="110"/>
        <w:jc w:val="both"/>
      </w:pPr>
      <w:r>
        <w:rPr/>
        <w:t>Cuando no se cuenta con datos de aforo a la salida de las corrientes de una cuenca, la estimación de los escurrimientos medio y máximo debe realizarse utilizando fórmulas empíricas que puedan predecir los escurrimientos con base en datos de precipitación y características del área. Para estimar los escurrimientos en forma indirecta, se determina previamente el coeficiente de escurrimiento, el que se define como la relación que existe entre el volumen escurrido y el volumen llovido.</w:t>
      </w:r>
    </w:p>
    <w:p>
      <w:pPr>
        <w:pStyle w:val="BodyText"/>
      </w:pPr>
    </w:p>
    <w:p>
      <w:pPr>
        <w:pStyle w:val="BodyText"/>
        <w:spacing w:line="360" w:lineRule="auto" w:before="155"/>
        <w:ind w:left="116" w:right="119"/>
        <w:jc w:val="both"/>
      </w:pPr>
      <w:r>
        <w:rPr/>
        <w:t>Cuando no se cuenta con datos de escurrimiento, el valor del coeficiente se puede estimar por</w:t>
      </w:r>
      <w:r>
        <w:rPr>
          <w:spacing w:val="-6"/>
        </w:rPr>
        <w:t> </w:t>
      </w:r>
      <w:r>
        <w:rPr/>
        <w:t>medio</w:t>
      </w:r>
      <w:r>
        <w:rPr>
          <w:spacing w:val="-6"/>
        </w:rPr>
        <w:t> </w:t>
      </w:r>
      <w:r>
        <w:rPr/>
        <w:t>del</w:t>
      </w:r>
      <w:r>
        <w:rPr>
          <w:spacing w:val="-6"/>
        </w:rPr>
        <w:t> </w:t>
      </w:r>
      <w:r>
        <w:rPr/>
        <w:t>Cuadro</w:t>
      </w:r>
      <w:r>
        <w:rPr>
          <w:spacing w:val="-6"/>
        </w:rPr>
        <w:t> </w:t>
      </w:r>
      <w:r>
        <w:rPr/>
        <w:t>1,</w:t>
      </w:r>
      <w:r>
        <w:rPr>
          <w:spacing w:val="-4"/>
        </w:rPr>
        <w:t> </w:t>
      </w:r>
      <w:r>
        <w:rPr/>
        <w:t>propuesto</w:t>
      </w:r>
      <w:r>
        <w:rPr>
          <w:spacing w:val="-6"/>
        </w:rPr>
        <w:t> </w:t>
      </w:r>
      <w:r>
        <w:rPr/>
        <w:t>por</w:t>
      </w:r>
      <w:r>
        <w:rPr>
          <w:spacing w:val="-6"/>
        </w:rPr>
        <w:t> </w:t>
      </w:r>
      <w:r>
        <w:rPr/>
        <w:t>la</w:t>
      </w:r>
      <w:r>
        <w:rPr>
          <w:spacing w:val="-6"/>
        </w:rPr>
        <w:t> </w:t>
      </w:r>
      <w:r>
        <w:rPr/>
        <w:t>SARH,</w:t>
      </w:r>
      <w:r>
        <w:rPr>
          <w:spacing w:val="-4"/>
        </w:rPr>
        <w:t> </w:t>
      </w:r>
      <w:r>
        <w:rPr/>
        <w:t>(1988),</w:t>
      </w:r>
      <w:r>
        <w:rPr>
          <w:spacing w:val="-4"/>
        </w:rPr>
        <w:t> </w:t>
      </w:r>
      <w:r>
        <w:rPr/>
        <w:t>de</w:t>
      </w:r>
      <w:r>
        <w:rPr>
          <w:spacing w:val="-6"/>
        </w:rPr>
        <w:t> </w:t>
      </w:r>
      <w:r>
        <w:rPr/>
        <w:t>acuerdo</w:t>
      </w:r>
      <w:r>
        <w:rPr>
          <w:spacing w:val="-6"/>
        </w:rPr>
        <w:t> </w:t>
      </w:r>
      <w:r>
        <w:rPr/>
        <w:t>con</w:t>
      </w:r>
      <w:r>
        <w:rPr>
          <w:spacing w:val="-6"/>
        </w:rPr>
        <w:t> </w:t>
      </w:r>
      <w:r>
        <w:rPr/>
        <w:t>las</w:t>
      </w:r>
      <w:r>
        <w:rPr>
          <w:spacing w:val="-11"/>
        </w:rPr>
        <w:t> </w:t>
      </w:r>
      <w:r>
        <w:rPr/>
        <w:t>características de la cuenca y al uso de</w:t>
      </w:r>
      <w:r>
        <w:rPr>
          <w:spacing w:val="-3"/>
        </w:rPr>
        <w:t> </w:t>
      </w:r>
      <w:r>
        <w:rPr/>
        <w:t>suelo.</w:t>
      </w:r>
    </w:p>
    <w:p>
      <w:pPr>
        <w:pStyle w:val="BodyText"/>
      </w:pPr>
    </w:p>
    <w:p>
      <w:pPr>
        <w:pStyle w:val="BodyText"/>
        <w:spacing w:line="360" w:lineRule="auto" w:before="155"/>
        <w:ind w:left="116" w:right="116"/>
        <w:jc w:val="both"/>
      </w:pPr>
      <w:r>
        <w:rPr/>
        <w:t>Cuando la cuenca o área de drenaje presenta diferentes tipos de suelo, vegetación y pendiente media, el coeficiente de escurrimiento se obtendrá para cada área parcial y posteriormente se calcula el promedio ponderado para conocer el valor medio del mismo por aplicar a la cuenca.</w:t>
      </w:r>
    </w:p>
    <w:p>
      <w:pPr>
        <w:spacing w:after="0" w:line="360" w:lineRule="auto"/>
        <w:jc w:val="both"/>
        <w:sectPr>
          <w:pgSz w:w="12240" w:h="15840"/>
          <w:pgMar w:header="0" w:footer="1473" w:top="1360" w:bottom="1660" w:left="1300" w:right="1300"/>
        </w:sectPr>
      </w:pPr>
    </w:p>
    <w:p>
      <w:pPr>
        <w:pStyle w:val="Heading1"/>
        <w:spacing w:before="53"/>
        <w:ind w:left="4375" w:right="118" w:hanging="4024"/>
      </w:pPr>
      <w:bookmarkStart w:name="_bookmark18" w:id="27"/>
      <w:bookmarkEnd w:id="27"/>
      <w:r>
        <w:rPr>
          <w:b w:val="0"/>
        </w:rPr>
      </w:r>
      <w:bookmarkStart w:name="_bookmark17" w:id="28"/>
      <w:bookmarkEnd w:id="28"/>
      <w:r>
        <w:rPr>
          <w:b w:val="0"/>
        </w:rPr>
      </w:r>
      <w:r>
        <w:rPr/>
        <w:t>Cuadro 1. Valores de coeficiente de escurrimiento para diferentes condiciones de terreno.</w:t>
      </w:r>
    </w:p>
    <w:p>
      <w:pPr>
        <w:pStyle w:val="BodyText"/>
        <w:rPr>
          <w:b/>
          <w:sz w:val="18"/>
        </w:rPr>
      </w:pPr>
    </w:p>
    <w:tbl>
      <w:tblPr>
        <w:tblW w:w="0" w:type="auto"/>
        <w:jc w:val="left"/>
        <w:tblInd w:w="10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66"/>
        <w:gridCol w:w="1290"/>
        <w:gridCol w:w="1301"/>
        <w:gridCol w:w="1211"/>
      </w:tblGrid>
      <w:tr>
        <w:trPr>
          <w:trHeight w:val="308" w:hRule="exact"/>
        </w:trPr>
        <w:tc>
          <w:tcPr>
            <w:tcW w:w="3766" w:type="dxa"/>
            <w:tcBorders>
              <w:left w:val="nil"/>
              <w:right w:val="nil"/>
            </w:tcBorders>
          </w:tcPr>
          <w:p>
            <w:pPr>
              <w:pStyle w:val="TableParagraph"/>
              <w:spacing w:line="297" w:lineRule="exact" w:before="0"/>
              <w:ind w:left="1252" w:right="1245"/>
              <w:jc w:val="center"/>
              <w:rPr>
                <w:b/>
                <w:sz w:val="26"/>
              </w:rPr>
            </w:pPr>
            <w:r>
              <w:rPr>
                <w:b/>
                <w:sz w:val="26"/>
              </w:rPr>
              <w:t>Vegetación</w:t>
            </w:r>
          </w:p>
        </w:tc>
        <w:tc>
          <w:tcPr>
            <w:tcW w:w="3802" w:type="dxa"/>
            <w:gridSpan w:val="3"/>
            <w:tcBorders>
              <w:left w:val="nil"/>
              <w:right w:val="nil"/>
            </w:tcBorders>
          </w:tcPr>
          <w:p>
            <w:pPr>
              <w:pStyle w:val="TableParagraph"/>
              <w:spacing w:line="297" w:lineRule="exact" w:before="0"/>
              <w:ind w:left="935"/>
              <w:jc w:val="left"/>
              <w:rPr>
                <w:b/>
                <w:sz w:val="26"/>
              </w:rPr>
            </w:pPr>
            <w:r>
              <w:rPr>
                <w:b/>
                <w:sz w:val="26"/>
              </w:rPr>
              <w:t>Textura del suelo</w:t>
            </w:r>
          </w:p>
        </w:tc>
      </w:tr>
      <w:tr>
        <w:trPr>
          <w:trHeight w:val="310" w:hRule="exact"/>
        </w:trPr>
        <w:tc>
          <w:tcPr>
            <w:tcW w:w="3766" w:type="dxa"/>
            <w:tcBorders>
              <w:left w:val="nil"/>
              <w:bottom w:val="nil"/>
              <w:right w:val="nil"/>
            </w:tcBorders>
          </w:tcPr>
          <w:p>
            <w:pPr>
              <w:pStyle w:val="TableParagraph"/>
              <w:spacing w:line="291" w:lineRule="exact" w:before="0"/>
              <w:ind w:left="1245" w:right="1245"/>
              <w:jc w:val="center"/>
              <w:rPr>
                <w:sz w:val="26"/>
              </w:rPr>
            </w:pPr>
            <w:r>
              <w:rPr>
                <w:sz w:val="26"/>
              </w:rPr>
              <w:t>Topografía</w:t>
            </w:r>
          </w:p>
        </w:tc>
        <w:tc>
          <w:tcPr>
            <w:tcW w:w="1290" w:type="dxa"/>
            <w:tcBorders>
              <w:left w:val="nil"/>
              <w:bottom w:val="nil"/>
              <w:right w:val="nil"/>
            </w:tcBorders>
          </w:tcPr>
          <w:p>
            <w:pPr>
              <w:pStyle w:val="TableParagraph"/>
              <w:spacing w:line="291" w:lineRule="exact" w:before="0"/>
              <w:ind w:left="267"/>
              <w:jc w:val="left"/>
              <w:rPr>
                <w:sz w:val="26"/>
              </w:rPr>
            </w:pPr>
            <w:r>
              <w:rPr>
                <w:sz w:val="26"/>
              </w:rPr>
              <w:t>Gruesa</w:t>
            </w:r>
          </w:p>
        </w:tc>
        <w:tc>
          <w:tcPr>
            <w:tcW w:w="1301" w:type="dxa"/>
            <w:tcBorders>
              <w:left w:val="nil"/>
              <w:bottom w:val="nil"/>
              <w:right w:val="nil"/>
            </w:tcBorders>
          </w:tcPr>
          <w:p>
            <w:pPr>
              <w:pStyle w:val="TableParagraph"/>
              <w:spacing w:line="291" w:lineRule="exact" w:before="0"/>
              <w:ind w:left="288"/>
              <w:jc w:val="left"/>
              <w:rPr>
                <w:sz w:val="26"/>
              </w:rPr>
            </w:pPr>
            <w:r>
              <w:rPr>
                <w:sz w:val="26"/>
              </w:rPr>
              <w:t>Media</w:t>
            </w:r>
          </w:p>
        </w:tc>
        <w:tc>
          <w:tcPr>
            <w:tcW w:w="1211" w:type="dxa"/>
            <w:tcBorders>
              <w:left w:val="nil"/>
              <w:bottom w:val="nil"/>
              <w:right w:val="nil"/>
            </w:tcBorders>
          </w:tcPr>
          <w:p>
            <w:pPr>
              <w:pStyle w:val="TableParagraph"/>
              <w:spacing w:line="291" w:lineRule="exact" w:before="0"/>
              <w:ind w:left="350"/>
              <w:jc w:val="left"/>
              <w:rPr>
                <w:sz w:val="26"/>
              </w:rPr>
            </w:pPr>
            <w:r>
              <w:rPr>
                <w:sz w:val="26"/>
              </w:rPr>
              <w:t>Fina</w:t>
            </w:r>
          </w:p>
        </w:tc>
      </w:tr>
      <w:tr>
        <w:trPr>
          <w:trHeight w:val="1198" w:hRule="exact"/>
        </w:trPr>
        <w:tc>
          <w:tcPr>
            <w:tcW w:w="3766" w:type="dxa"/>
            <w:tcBorders>
              <w:top w:val="nil"/>
              <w:left w:val="nil"/>
              <w:bottom w:val="nil"/>
              <w:right w:val="nil"/>
            </w:tcBorders>
          </w:tcPr>
          <w:p>
            <w:pPr>
              <w:pStyle w:val="TableParagraph"/>
              <w:spacing w:line="284" w:lineRule="exact" w:before="0"/>
              <w:ind w:left="120"/>
              <w:jc w:val="left"/>
              <w:rPr>
                <w:sz w:val="26"/>
              </w:rPr>
            </w:pPr>
            <w:r>
              <w:rPr>
                <w:sz w:val="26"/>
              </w:rPr>
              <w:t>Bosque</w:t>
            </w:r>
          </w:p>
          <w:p>
            <w:pPr>
              <w:pStyle w:val="TableParagraph"/>
              <w:spacing w:line="298" w:lineRule="exact" w:before="3"/>
              <w:ind w:left="120"/>
              <w:jc w:val="left"/>
              <w:rPr>
                <w:sz w:val="26"/>
              </w:rPr>
            </w:pPr>
            <w:r>
              <w:rPr>
                <w:sz w:val="26"/>
              </w:rPr>
              <w:t>Plano (0 a 5% pendiente)</w:t>
            </w:r>
          </w:p>
          <w:p>
            <w:pPr>
              <w:pStyle w:val="TableParagraph"/>
              <w:spacing w:line="298" w:lineRule="exact" w:before="0"/>
              <w:ind w:left="120"/>
              <w:jc w:val="left"/>
              <w:rPr>
                <w:sz w:val="26"/>
              </w:rPr>
            </w:pPr>
            <w:r>
              <w:rPr>
                <w:sz w:val="26"/>
              </w:rPr>
              <w:t>Ondulado (6 a 10% pendiente)</w:t>
            </w:r>
          </w:p>
          <w:p>
            <w:pPr>
              <w:pStyle w:val="TableParagraph"/>
              <w:spacing w:line="298" w:lineRule="exact" w:before="0"/>
              <w:ind w:left="120"/>
              <w:jc w:val="left"/>
              <w:rPr>
                <w:sz w:val="26"/>
              </w:rPr>
            </w:pPr>
            <w:r>
              <w:rPr>
                <w:sz w:val="26"/>
              </w:rPr>
              <w:t>Escarpado (11 a 30% pendiente)</w:t>
            </w:r>
          </w:p>
        </w:tc>
        <w:tc>
          <w:tcPr>
            <w:tcW w:w="1290" w:type="dxa"/>
            <w:tcBorders>
              <w:top w:val="nil"/>
              <w:left w:val="nil"/>
              <w:bottom w:val="nil"/>
              <w:right w:val="nil"/>
            </w:tcBorders>
          </w:tcPr>
          <w:p>
            <w:pPr>
              <w:pStyle w:val="TableParagraph"/>
              <w:spacing w:before="11"/>
              <w:jc w:val="left"/>
              <w:rPr>
                <w:b/>
                <w:sz w:val="24"/>
              </w:rPr>
            </w:pPr>
          </w:p>
          <w:p>
            <w:pPr>
              <w:pStyle w:val="TableParagraph"/>
              <w:spacing w:line="298" w:lineRule="exact" w:before="0"/>
              <w:ind w:left="407"/>
              <w:jc w:val="left"/>
              <w:rPr>
                <w:sz w:val="26"/>
              </w:rPr>
            </w:pPr>
            <w:r>
              <w:rPr>
                <w:sz w:val="26"/>
              </w:rPr>
              <w:t>0.10</w:t>
            </w:r>
          </w:p>
          <w:p>
            <w:pPr>
              <w:pStyle w:val="TableParagraph"/>
              <w:spacing w:line="298" w:lineRule="exact" w:before="0"/>
              <w:ind w:left="407"/>
              <w:jc w:val="left"/>
              <w:rPr>
                <w:sz w:val="26"/>
              </w:rPr>
            </w:pPr>
            <w:r>
              <w:rPr>
                <w:sz w:val="26"/>
              </w:rPr>
              <w:t>0.25</w:t>
            </w:r>
          </w:p>
          <w:p>
            <w:pPr>
              <w:pStyle w:val="TableParagraph"/>
              <w:spacing w:line="298" w:lineRule="exact" w:before="0"/>
              <w:ind w:left="407"/>
              <w:jc w:val="left"/>
              <w:rPr>
                <w:sz w:val="26"/>
              </w:rPr>
            </w:pPr>
            <w:r>
              <w:rPr>
                <w:sz w:val="26"/>
              </w:rPr>
              <w:t>0.30</w:t>
            </w:r>
          </w:p>
        </w:tc>
        <w:tc>
          <w:tcPr>
            <w:tcW w:w="1301" w:type="dxa"/>
            <w:tcBorders>
              <w:top w:val="nil"/>
              <w:left w:val="nil"/>
              <w:bottom w:val="nil"/>
              <w:right w:val="nil"/>
            </w:tcBorders>
          </w:tcPr>
          <w:p>
            <w:pPr>
              <w:pStyle w:val="TableParagraph"/>
              <w:spacing w:before="11"/>
              <w:jc w:val="left"/>
              <w:rPr>
                <w:b/>
                <w:sz w:val="24"/>
              </w:rPr>
            </w:pPr>
          </w:p>
          <w:p>
            <w:pPr>
              <w:pStyle w:val="TableParagraph"/>
              <w:spacing w:line="298" w:lineRule="exact" w:before="0"/>
              <w:ind w:left="393"/>
              <w:jc w:val="left"/>
              <w:rPr>
                <w:sz w:val="26"/>
              </w:rPr>
            </w:pPr>
            <w:r>
              <w:rPr>
                <w:sz w:val="26"/>
              </w:rPr>
              <w:t>0.30</w:t>
            </w:r>
          </w:p>
          <w:p>
            <w:pPr>
              <w:pStyle w:val="TableParagraph"/>
              <w:spacing w:line="298" w:lineRule="exact" w:before="0"/>
              <w:ind w:left="393"/>
              <w:jc w:val="left"/>
              <w:rPr>
                <w:sz w:val="26"/>
              </w:rPr>
            </w:pPr>
            <w:r>
              <w:rPr>
                <w:sz w:val="26"/>
              </w:rPr>
              <w:t>0.35</w:t>
            </w:r>
          </w:p>
          <w:p>
            <w:pPr>
              <w:pStyle w:val="TableParagraph"/>
              <w:spacing w:line="298" w:lineRule="exact" w:before="0"/>
              <w:ind w:left="393"/>
              <w:jc w:val="left"/>
              <w:rPr>
                <w:sz w:val="26"/>
              </w:rPr>
            </w:pPr>
            <w:r>
              <w:rPr>
                <w:sz w:val="26"/>
              </w:rPr>
              <w:t>0.50</w:t>
            </w:r>
          </w:p>
        </w:tc>
        <w:tc>
          <w:tcPr>
            <w:tcW w:w="1211" w:type="dxa"/>
            <w:tcBorders>
              <w:top w:val="nil"/>
              <w:left w:val="nil"/>
              <w:bottom w:val="nil"/>
              <w:right w:val="nil"/>
            </w:tcBorders>
          </w:tcPr>
          <w:p>
            <w:pPr>
              <w:pStyle w:val="TableParagraph"/>
              <w:spacing w:before="11"/>
              <w:jc w:val="left"/>
              <w:rPr>
                <w:b/>
                <w:sz w:val="24"/>
              </w:rPr>
            </w:pPr>
          </w:p>
          <w:p>
            <w:pPr>
              <w:pStyle w:val="TableParagraph"/>
              <w:spacing w:line="298" w:lineRule="exact" w:before="0"/>
              <w:ind w:left="355"/>
              <w:jc w:val="left"/>
              <w:rPr>
                <w:sz w:val="26"/>
              </w:rPr>
            </w:pPr>
            <w:r>
              <w:rPr>
                <w:sz w:val="26"/>
              </w:rPr>
              <w:t>0.40</w:t>
            </w:r>
          </w:p>
          <w:p>
            <w:pPr>
              <w:pStyle w:val="TableParagraph"/>
              <w:spacing w:line="298" w:lineRule="exact" w:before="0"/>
              <w:ind w:left="355"/>
              <w:jc w:val="left"/>
              <w:rPr>
                <w:sz w:val="26"/>
              </w:rPr>
            </w:pPr>
            <w:r>
              <w:rPr>
                <w:sz w:val="26"/>
              </w:rPr>
              <w:t>0.50</w:t>
            </w:r>
          </w:p>
          <w:p>
            <w:pPr>
              <w:pStyle w:val="TableParagraph"/>
              <w:spacing w:line="298" w:lineRule="exact" w:before="0"/>
              <w:ind w:left="355"/>
              <w:jc w:val="left"/>
              <w:rPr>
                <w:sz w:val="26"/>
              </w:rPr>
            </w:pPr>
            <w:r>
              <w:rPr>
                <w:sz w:val="26"/>
              </w:rPr>
              <w:t>0.60</w:t>
            </w:r>
          </w:p>
        </w:tc>
      </w:tr>
      <w:tr>
        <w:trPr>
          <w:trHeight w:val="1195" w:hRule="exact"/>
        </w:trPr>
        <w:tc>
          <w:tcPr>
            <w:tcW w:w="3766" w:type="dxa"/>
            <w:tcBorders>
              <w:top w:val="nil"/>
              <w:left w:val="nil"/>
              <w:bottom w:val="nil"/>
              <w:right w:val="nil"/>
            </w:tcBorders>
          </w:tcPr>
          <w:p>
            <w:pPr>
              <w:pStyle w:val="TableParagraph"/>
              <w:spacing w:line="286" w:lineRule="exact" w:before="0"/>
              <w:ind w:left="120"/>
              <w:jc w:val="left"/>
              <w:rPr>
                <w:sz w:val="26"/>
              </w:rPr>
            </w:pPr>
            <w:r>
              <w:rPr>
                <w:sz w:val="26"/>
              </w:rPr>
              <w:t>Pastizales</w:t>
            </w:r>
          </w:p>
          <w:p>
            <w:pPr>
              <w:pStyle w:val="TableParagraph"/>
              <w:spacing w:line="298" w:lineRule="exact" w:before="0"/>
              <w:ind w:left="120"/>
              <w:jc w:val="left"/>
              <w:rPr>
                <w:sz w:val="26"/>
              </w:rPr>
            </w:pPr>
            <w:r>
              <w:rPr>
                <w:sz w:val="26"/>
              </w:rPr>
              <w:t>Plano (0 a 5% pendiente)</w:t>
            </w:r>
          </w:p>
          <w:p>
            <w:pPr>
              <w:pStyle w:val="TableParagraph"/>
              <w:spacing w:line="298" w:lineRule="exact" w:before="0"/>
              <w:ind w:left="120"/>
              <w:jc w:val="left"/>
              <w:rPr>
                <w:sz w:val="26"/>
              </w:rPr>
            </w:pPr>
            <w:r>
              <w:rPr>
                <w:sz w:val="26"/>
              </w:rPr>
              <w:t>Ondulado (6 a 10% pendiente)</w:t>
            </w:r>
          </w:p>
          <w:p>
            <w:pPr>
              <w:pStyle w:val="TableParagraph"/>
              <w:spacing w:line="298" w:lineRule="exact" w:before="0"/>
              <w:ind w:left="120"/>
              <w:jc w:val="left"/>
              <w:rPr>
                <w:sz w:val="26"/>
              </w:rPr>
            </w:pPr>
            <w:r>
              <w:rPr>
                <w:sz w:val="26"/>
              </w:rPr>
              <w:t>Escarpado (11 a 30% pendiente)</w:t>
            </w:r>
          </w:p>
        </w:tc>
        <w:tc>
          <w:tcPr>
            <w:tcW w:w="1290" w:type="dxa"/>
            <w:tcBorders>
              <w:top w:val="nil"/>
              <w:left w:val="nil"/>
              <w:bottom w:val="nil"/>
              <w:right w:val="nil"/>
            </w:tcBorders>
          </w:tcPr>
          <w:p>
            <w:pPr>
              <w:pStyle w:val="TableParagraph"/>
              <w:spacing w:before="9"/>
              <w:jc w:val="left"/>
              <w:rPr>
                <w:b/>
                <w:sz w:val="24"/>
              </w:rPr>
            </w:pPr>
          </w:p>
          <w:p>
            <w:pPr>
              <w:pStyle w:val="TableParagraph"/>
              <w:spacing w:line="298" w:lineRule="exact" w:before="0"/>
              <w:ind w:left="407"/>
              <w:jc w:val="left"/>
              <w:rPr>
                <w:sz w:val="26"/>
              </w:rPr>
            </w:pPr>
            <w:r>
              <w:rPr>
                <w:sz w:val="26"/>
              </w:rPr>
              <w:t>0.10</w:t>
            </w:r>
          </w:p>
          <w:p>
            <w:pPr>
              <w:pStyle w:val="TableParagraph"/>
              <w:spacing w:line="298" w:lineRule="exact" w:before="0"/>
              <w:ind w:left="407"/>
              <w:jc w:val="left"/>
              <w:rPr>
                <w:sz w:val="26"/>
              </w:rPr>
            </w:pPr>
            <w:r>
              <w:rPr>
                <w:sz w:val="26"/>
              </w:rPr>
              <w:t>0.16</w:t>
            </w:r>
          </w:p>
          <w:p>
            <w:pPr>
              <w:pStyle w:val="TableParagraph"/>
              <w:spacing w:line="298" w:lineRule="exact" w:before="0"/>
              <w:ind w:left="407"/>
              <w:jc w:val="left"/>
              <w:rPr>
                <w:sz w:val="26"/>
              </w:rPr>
            </w:pPr>
            <w:r>
              <w:rPr>
                <w:sz w:val="26"/>
              </w:rPr>
              <w:t>0.22</w:t>
            </w:r>
          </w:p>
        </w:tc>
        <w:tc>
          <w:tcPr>
            <w:tcW w:w="1301" w:type="dxa"/>
            <w:tcBorders>
              <w:top w:val="nil"/>
              <w:left w:val="nil"/>
              <w:bottom w:val="nil"/>
              <w:right w:val="nil"/>
            </w:tcBorders>
          </w:tcPr>
          <w:p>
            <w:pPr>
              <w:pStyle w:val="TableParagraph"/>
              <w:spacing w:before="9"/>
              <w:jc w:val="left"/>
              <w:rPr>
                <w:b/>
                <w:sz w:val="24"/>
              </w:rPr>
            </w:pPr>
          </w:p>
          <w:p>
            <w:pPr>
              <w:pStyle w:val="TableParagraph"/>
              <w:spacing w:line="298" w:lineRule="exact" w:before="0"/>
              <w:ind w:left="393"/>
              <w:jc w:val="left"/>
              <w:rPr>
                <w:sz w:val="26"/>
              </w:rPr>
            </w:pPr>
            <w:r>
              <w:rPr>
                <w:sz w:val="26"/>
              </w:rPr>
              <w:t>0.30</w:t>
            </w:r>
          </w:p>
          <w:p>
            <w:pPr>
              <w:pStyle w:val="TableParagraph"/>
              <w:spacing w:line="298" w:lineRule="exact" w:before="0"/>
              <w:ind w:left="393"/>
              <w:jc w:val="left"/>
              <w:rPr>
                <w:sz w:val="26"/>
              </w:rPr>
            </w:pPr>
            <w:r>
              <w:rPr>
                <w:sz w:val="26"/>
              </w:rPr>
              <w:t>0.36</w:t>
            </w:r>
          </w:p>
          <w:p>
            <w:pPr>
              <w:pStyle w:val="TableParagraph"/>
              <w:spacing w:line="298" w:lineRule="exact" w:before="0"/>
              <w:ind w:left="393"/>
              <w:jc w:val="left"/>
              <w:rPr>
                <w:sz w:val="26"/>
              </w:rPr>
            </w:pPr>
            <w:r>
              <w:rPr>
                <w:sz w:val="26"/>
              </w:rPr>
              <w:t>0.42</w:t>
            </w:r>
          </w:p>
        </w:tc>
        <w:tc>
          <w:tcPr>
            <w:tcW w:w="1211" w:type="dxa"/>
            <w:tcBorders>
              <w:top w:val="nil"/>
              <w:left w:val="nil"/>
              <w:bottom w:val="nil"/>
              <w:right w:val="nil"/>
            </w:tcBorders>
          </w:tcPr>
          <w:p>
            <w:pPr>
              <w:pStyle w:val="TableParagraph"/>
              <w:spacing w:before="9"/>
              <w:jc w:val="left"/>
              <w:rPr>
                <w:b/>
                <w:sz w:val="24"/>
              </w:rPr>
            </w:pPr>
          </w:p>
          <w:p>
            <w:pPr>
              <w:pStyle w:val="TableParagraph"/>
              <w:spacing w:line="298" w:lineRule="exact" w:before="0"/>
              <w:ind w:left="355"/>
              <w:jc w:val="left"/>
              <w:rPr>
                <w:sz w:val="26"/>
              </w:rPr>
            </w:pPr>
            <w:r>
              <w:rPr>
                <w:sz w:val="26"/>
              </w:rPr>
              <w:t>0.40</w:t>
            </w:r>
          </w:p>
          <w:p>
            <w:pPr>
              <w:pStyle w:val="TableParagraph"/>
              <w:spacing w:line="298" w:lineRule="exact" w:before="0"/>
              <w:ind w:left="355"/>
              <w:jc w:val="left"/>
              <w:rPr>
                <w:sz w:val="26"/>
              </w:rPr>
            </w:pPr>
            <w:r>
              <w:rPr>
                <w:sz w:val="26"/>
              </w:rPr>
              <w:t>0.55</w:t>
            </w:r>
          </w:p>
          <w:p>
            <w:pPr>
              <w:pStyle w:val="TableParagraph"/>
              <w:spacing w:line="298" w:lineRule="exact" w:before="0"/>
              <w:ind w:left="355"/>
              <w:jc w:val="left"/>
              <w:rPr>
                <w:sz w:val="26"/>
              </w:rPr>
            </w:pPr>
            <w:r>
              <w:rPr>
                <w:sz w:val="26"/>
              </w:rPr>
              <w:t>0.60</w:t>
            </w:r>
          </w:p>
        </w:tc>
      </w:tr>
      <w:tr>
        <w:trPr>
          <w:trHeight w:val="1196" w:hRule="exact"/>
        </w:trPr>
        <w:tc>
          <w:tcPr>
            <w:tcW w:w="3766" w:type="dxa"/>
            <w:tcBorders>
              <w:top w:val="nil"/>
              <w:left w:val="nil"/>
              <w:right w:val="nil"/>
            </w:tcBorders>
          </w:tcPr>
          <w:p>
            <w:pPr>
              <w:pStyle w:val="TableParagraph"/>
              <w:spacing w:before="0"/>
              <w:ind w:left="120" w:right="997"/>
              <w:jc w:val="left"/>
              <w:rPr>
                <w:sz w:val="26"/>
              </w:rPr>
            </w:pPr>
            <w:r>
              <w:rPr>
                <w:sz w:val="26"/>
              </w:rPr>
              <w:t>Terrenos cultivados Plano (0 a 5% pendiente)</w:t>
            </w:r>
          </w:p>
          <w:p>
            <w:pPr>
              <w:pStyle w:val="TableParagraph"/>
              <w:spacing w:line="298" w:lineRule="exact" w:before="0"/>
              <w:ind w:left="120"/>
              <w:jc w:val="left"/>
              <w:rPr>
                <w:sz w:val="26"/>
              </w:rPr>
            </w:pPr>
            <w:r>
              <w:rPr>
                <w:sz w:val="26"/>
              </w:rPr>
              <w:t>Ondulado (6 a 10% pendiente)</w:t>
            </w:r>
          </w:p>
          <w:p>
            <w:pPr>
              <w:pStyle w:val="TableParagraph"/>
              <w:spacing w:before="3"/>
              <w:ind w:left="120"/>
              <w:jc w:val="left"/>
              <w:rPr>
                <w:sz w:val="26"/>
              </w:rPr>
            </w:pPr>
            <w:r>
              <w:rPr>
                <w:sz w:val="26"/>
              </w:rPr>
              <w:t>Escarpado (11 a 30% pendiente)</w:t>
            </w:r>
          </w:p>
        </w:tc>
        <w:tc>
          <w:tcPr>
            <w:tcW w:w="1290" w:type="dxa"/>
            <w:tcBorders>
              <w:top w:val="nil"/>
              <w:left w:val="nil"/>
              <w:right w:val="nil"/>
            </w:tcBorders>
          </w:tcPr>
          <w:p>
            <w:pPr>
              <w:pStyle w:val="TableParagraph"/>
              <w:spacing w:before="9"/>
              <w:jc w:val="left"/>
              <w:rPr>
                <w:b/>
                <w:sz w:val="24"/>
              </w:rPr>
            </w:pPr>
          </w:p>
          <w:p>
            <w:pPr>
              <w:pStyle w:val="TableParagraph"/>
              <w:spacing w:line="299" w:lineRule="exact" w:before="0"/>
              <w:ind w:left="407"/>
              <w:jc w:val="left"/>
              <w:rPr>
                <w:sz w:val="26"/>
              </w:rPr>
            </w:pPr>
            <w:r>
              <w:rPr>
                <w:sz w:val="26"/>
              </w:rPr>
              <w:t>0.30</w:t>
            </w:r>
          </w:p>
          <w:p>
            <w:pPr>
              <w:pStyle w:val="TableParagraph"/>
              <w:spacing w:line="299" w:lineRule="exact" w:before="0"/>
              <w:ind w:left="407"/>
              <w:jc w:val="left"/>
              <w:rPr>
                <w:sz w:val="26"/>
              </w:rPr>
            </w:pPr>
            <w:r>
              <w:rPr>
                <w:sz w:val="26"/>
              </w:rPr>
              <w:t>0.40</w:t>
            </w:r>
          </w:p>
          <w:p>
            <w:pPr>
              <w:pStyle w:val="TableParagraph"/>
              <w:spacing w:before="3"/>
              <w:ind w:left="407"/>
              <w:jc w:val="left"/>
              <w:rPr>
                <w:sz w:val="26"/>
              </w:rPr>
            </w:pPr>
            <w:r>
              <w:rPr>
                <w:sz w:val="26"/>
              </w:rPr>
              <w:t>0.52</w:t>
            </w:r>
          </w:p>
        </w:tc>
        <w:tc>
          <w:tcPr>
            <w:tcW w:w="1301" w:type="dxa"/>
            <w:tcBorders>
              <w:top w:val="nil"/>
              <w:left w:val="nil"/>
              <w:right w:val="nil"/>
            </w:tcBorders>
          </w:tcPr>
          <w:p>
            <w:pPr>
              <w:pStyle w:val="TableParagraph"/>
              <w:spacing w:before="9"/>
              <w:jc w:val="left"/>
              <w:rPr>
                <w:b/>
                <w:sz w:val="24"/>
              </w:rPr>
            </w:pPr>
          </w:p>
          <w:p>
            <w:pPr>
              <w:pStyle w:val="TableParagraph"/>
              <w:spacing w:line="299" w:lineRule="exact" w:before="0"/>
              <w:ind w:left="393"/>
              <w:jc w:val="left"/>
              <w:rPr>
                <w:sz w:val="26"/>
              </w:rPr>
            </w:pPr>
            <w:r>
              <w:rPr>
                <w:sz w:val="26"/>
              </w:rPr>
              <w:t>0.50</w:t>
            </w:r>
          </w:p>
          <w:p>
            <w:pPr>
              <w:pStyle w:val="TableParagraph"/>
              <w:spacing w:line="299" w:lineRule="exact" w:before="0"/>
              <w:ind w:left="393"/>
              <w:jc w:val="left"/>
              <w:rPr>
                <w:sz w:val="26"/>
              </w:rPr>
            </w:pPr>
            <w:r>
              <w:rPr>
                <w:sz w:val="26"/>
              </w:rPr>
              <w:t>0.60</w:t>
            </w:r>
          </w:p>
          <w:p>
            <w:pPr>
              <w:pStyle w:val="TableParagraph"/>
              <w:spacing w:before="3"/>
              <w:ind w:left="393"/>
              <w:jc w:val="left"/>
              <w:rPr>
                <w:sz w:val="26"/>
              </w:rPr>
            </w:pPr>
            <w:r>
              <w:rPr>
                <w:sz w:val="26"/>
              </w:rPr>
              <w:t>0.72</w:t>
            </w:r>
          </w:p>
        </w:tc>
        <w:tc>
          <w:tcPr>
            <w:tcW w:w="1211" w:type="dxa"/>
            <w:tcBorders>
              <w:top w:val="nil"/>
              <w:left w:val="nil"/>
              <w:right w:val="nil"/>
            </w:tcBorders>
          </w:tcPr>
          <w:p>
            <w:pPr>
              <w:pStyle w:val="TableParagraph"/>
              <w:spacing w:before="9"/>
              <w:jc w:val="left"/>
              <w:rPr>
                <w:b/>
                <w:sz w:val="24"/>
              </w:rPr>
            </w:pPr>
          </w:p>
          <w:p>
            <w:pPr>
              <w:pStyle w:val="TableParagraph"/>
              <w:spacing w:line="299" w:lineRule="exact" w:before="0"/>
              <w:ind w:left="355"/>
              <w:jc w:val="left"/>
              <w:rPr>
                <w:sz w:val="26"/>
              </w:rPr>
            </w:pPr>
            <w:r>
              <w:rPr>
                <w:sz w:val="26"/>
              </w:rPr>
              <w:t>0.60</w:t>
            </w:r>
          </w:p>
          <w:p>
            <w:pPr>
              <w:pStyle w:val="TableParagraph"/>
              <w:spacing w:line="299" w:lineRule="exact" w:before="0"/>
              <w:ind w:left="355"/>
              <w:jc w:val="left"/>
              <w:rPr>
                <w:sz w:val="26"/>
              </w:rPr>
            </w:pPr>
            <w:r>
              <w:rPr>
                <w:sz w:val="26"/>
              </w:rPr>
              <w:t>0.70</w:t>
            </w:r>
          </w:p>
          <w:p>
            <w:pPr>
              <w:pStyle w:val="TableParagraph"/>
              <w:spacing w:before="3"/>
              <w:ind w:left="355"/>
              <w:jc w:val="left"/>
              <w:rPr>
                <w:sz w:val="26"/>
              </w:rPr>
            </w:pPr>
            <w:r>
              <w:rPr>
                <w:sz w:val="26"/>
              </w:rPr>
              <w:t>0.82</w:t>
            </w:r>
          </w:p>
        </w:tc>
      </w:tr>
    </w:tbl>
    <w:p>
      <w:pPr>
        <w:spacing w:line="244" w:lineRule="exact" w:before="0"/>
        <w:ind w:left="1163" w:right="118" w:firstLine="0"/>
        <w:jc w:val="left"/>
        <w:rPr>
          <w:sz w:val="22"/>
        </w:rPr>
      </w:pPr>
      <w:r>
        <w:rPr>
          <w:sz w:val="22"/>
        </w:rPr>
        <w:t>Fuente: SARH, 1988.</w:t>
      </w:r>
    </w:p>
    <w:p>
      <w:pPr>
        <w:pStyle w:val="BodyText"/>
        <w:rPr>
          <w:sz w:val="22"/>
        </w:rPr>
      </w:pPr>
    </w:p>
    <w:p>
      <w:pPr>
        <w:pStyle w:val="BodyText"/>
        <w:rPr>
          <w:sz w:val="22"/>
        </w:rPr>
      </w:pPr>
    </w:p>
    <w:p>
      <w:pPr>
        <w:pStyle w:val="BodyText"/>
        <w:spacing w:before="10"/>
        <w:rPr>
          <w:sz w:val="20"/>
        </w:rPr>
      </w:pPr>
    </w:p>
    <w:p>
      <w:pPr>
        <w:pStyle w:val="BodyText"/>
        <w:spacing w:line="360" w:lineRule="auto" w:before="1"/>
        <w:ind w:left="116" w:right="112"/>
        <w:jc w:val="both"/>
      </w:pPr>
      <w:r>
        <w:rPr/>
        <w:t>La SRH, (1974) también determina el coeficiente de escurrimiento, por medio de la comparación de la cuenca con otra u otras de características climatológicas, de extensión, pendiente, vegetación, geología, forma de concentración, otros, semejantes y en las cuales se cuente con datos de aforo que hayan permitido deducir previamente el coeficiente de escurrimiento.</w:t>
      </w:r>
    </w:p>
    <w:p>
      <w:pPr>
        <w:pStyle w:val="BodyText"/>
      </w:pPr>
    </w:p>
    <w:p>
      <w:pPr>
        <w:pStyle w:val="BodyText"/>
        <w:spacing w:line="360" w:lineRule="auto" w:before="155"/>
        <w:ind w:left="116" w:right="117"/>
        <w:jc w:val="both"/>
      </w:pPr>
      <w:r>
        <w:rPr/>
        <w:t>Considerando que el coeficiente de escurrimiento depende de otros factores, además de la intensidad de la lluvia, su variación en el transcurso del año no es lineal, de ahí que inicialmente se calcule el coeficiente medio anual y la precipitación media anual.</w:t>
      </w:r>
    </w:p>
    <w:p>
      <w:pPr>
        <w:spacing w:after="0" w:line="360" w:lineRule="auto"/>
        <w:jc w:val="both"/>
        <w:sectPr>
          <w:pgSz w:w="12240" w:h="15840"/>
          <w:pgMar w:header="0" w:footer="1473" w:top="1360" w:bottom="1660" w:left="1300" w:right="1300"/>
        </w:sectPr>
      </w:pPr>
    </w:p>
    <w:p>
      <w:pPr>
        <w:pStyle w:val="Heading1"/>
        <w:numPr>
          <w:ilvl w:val="2"/>
          <w:numId w:val="6"/>
        </w:numPr>
        <w:tabs>
          <w:tab w:pos="706" w:val="left" w:leader="none"/>
        </w:tabs>
        <w:spacing w:line="240" w:lineRule="auto" w:before="49" w:after="0"/>
        <w:ind w:left="705" w:right="0" w:hanging="589"/>
        <w:jc w:val="both"/>
      </w:pPr>
      <w:r>
        <w:rPr/>
        <w:t>Evaporación y</w:t>
      </w:r>
      <w:r>
        <w:rPr>
          <w:spacing w:val="-15"/>
        </w:rPr>
        <w:t> </w:t>
      </w:r>
      <w:r>
        <w:rPr/>
        <w:t>evapotranspiración</w:t>
      </w:r>
    </w:p>
    <w:p>
      <w:pPr>
        <w:pStyle w:val="BodyText"/>
        <w:rPr>
          <w:b/>
        </w:rPr>
      </w:pPr>
    </w:p>
    <w:p>
      <w:pPr>
        <w:pStyle w:val="BodyText"/>
        <w:spacing w:before="6"/>
        <w:rPr>
          <w:b/>
          <w:sz w:val="31"/>
        </w:rPr>
      </w:pPr>
    </w:p>
    <w:p>
      <w:pPr>
        <w:pStyle w:val="BodyText"/>
        <w:spacing w:line="360" w:lineRule="auto"/>
        <w:ind w:left="116" w:right="112"/>
        <w:jc w:val="both"/>
      </w:pPr>
      <w:r>
        <w:rPr/>
        <w:t>Aparicio, (1989) lo define como el proceso por el cual el agua pasa del estado líquido en que</w:t>
      </w:r>
      <w:r>
        <w:rPr>
          <w:spacing w:val="-10"/>
        </w:rPr>
        <w:t> </w:t>
      </w:r>
      <w:r>
        <w:rPr/>
        <w:t>se</w:t>
      </w:r>
      <w:r>
        <w:rPr>
          <w:spacing w:val="-10"/>
        </w:rPr>
        <w:t> </w:t>
      </w:r>
      <w:r>
        <w:rPr/>
        <w:t>encuentra</w:t>
      </w:r>
      <w:r>
        <w:rPr>
          <w:spacing w:val="-10"/>
        </w:rPr>
        <w:t> </w:t>
      </w:r>
      <w:r>
        <w:rPr/>
        <w:t>en</w:t>
      </w:r>
      <w:r>
        <w:rPr>
          <w:spacing w:val="-10"/>
        </w:rPr>
        <w:t> </w:t>
      </w:r>
      <w:r>
        <w:rPr/>
        <w:t>los</w:t>
      </w:r>
      <w:r>
        <w:rPr>
          <w:spacing w:val="-10"/>
        </w:rPr>
        <w:t> </w:t>
      </w:r>
      <w:r>
        <w:rPr/>
        <w:t>almacenamientos,</w:t>
      </w:r>
      <w:r>
        <w:rPr>
          <w:spacing w:val="-8"/>
        </w:rPr>
        <w:t> </w:t>
      </w:r>
      <w:r>
        <w:rPr/>
        <w:t>conducciones</w:t>
      </w:r>
      <w:r>
        <w:rPr>
          <w:spacing w:val="-10"/>
        </w:rPr>
        <w:t> </w:t>
      </w:r>
      <w:r>
        <w:rPr/>
        <w:t>y</w:t>
      </w:r>
      <w:r>
        <w:rPr>
          <w:spacing w:val="-10"/>
        </w:rPr>
        <w:t> </w:t>
      </w:r>
      <w:r>
        <w:rPr/>
        <w:t>en</w:t>
      </w:r>
      <w:r>
        <w:rPr>
          <w:spacing w:val="-10"/>
        </w:rPr>
        <w:t> </w:t>
      </w:r>
      <w:r>
        <w:rPr/>
        <w:t>el</w:t>
      </w:r>
      <w:r>
        <w:rPr>
          <w:spacing w:val="-10"/>
        </w:rPr>
        <w:t> </w:t>
      </w:r>
      <w:r>
        <w:rPr/>
        <w:t>suelo,</w:t>
      </w:r>
      <w:r>
        <w:rPr>
          <w:spacing w:val="-8"/>
        </w:rPr>
        <w:t> </w:t>
      </w:r>
      <w:r>
        <w:rPr/>
        <w:t>en</w:t>
      </w:r>
      <w:r>
        <w:rPr>
          <w:spacing w:val="-10"/>
        </w:rPr>
        <w:t> </w:t>
      </w:r>
      <w:r>
        <w:rPr/>
        <w:t>las</w:t>
      </w:r>
      <w:r>
        <w:rPr>
          <w:spacing w:val="-10"/>
        </w:rPr>
        <w:t> </w:t>
      </w:r>
      <w:r>
        <w:rPr/>
        <w:t>capas</w:t>
      </w:r>
      <w:r>
        <w:rPr>
          <w:spacing w:val="-10"/>
        </w:rPr>
        <w:t> </w:t>
      </w:r>
      <w:r>
        <w:rPr/>
        <w:t>cercanas a su superficie, al estado gaseoso y se transfiera a la</w:t>
      </w:r>
      <w:r>
        <w:rPr>
          <w:spacing w:val="-13"/>
        </w:rPr>
        <w:t> </w:t>
      </w:r>
      <w:r>
        <w:rPr/>
        <w:t>atmósfera.</w:t>
      </w:r>
    </w:p>
    <w:p>
      <w:pPr>
        <w:pStyle w:val="BodyText"/>
      </w:pPr>
    </w:p>
    <w:p>
      <w:pPr>
        <w:pStyle w:val="BodyText"/>
        <w:spacing w:line="360" w:lineRule="auto" w:before="151"/>
        <w:ind w:left="116" w:right="115"/>
        <w:jc w:val="both"/>
      </w:pPr>
      <w:r>
        <w:rPr>
          <w:spacing w:val="-3"/>
        </w:rPr>
        <w:t>La </w:t>
      </w:r>
      <w:r>
        <w:rPr/>
        <w:t>evaporación se produce básicamente por el aumento de energía cinética que experimentan las moléculas de agua cercanas a la superficie de un suelo húmedo o una masa de agua, producido por la radiación solar, el viento y las diferencias en presión de vapor.</w:t>
      </w:r>
      <w:r>
        <w:rPr>
          <w:spacing w:val="-13"/>
        </w:rPr>
        <w:t> </w:t>
      </w:r>
      <w:r>
        <w:rPr/>
        <w:t>Este</w:t>
      </w:r>
      <w:r>
        <w:rPr>
          <w:spacing w:val="-15"/>
        </w:rPr>
        <w:t> </w:t>
      </w:r>
      <w:r>
        <w:rPr/>
        <w:t>aumento</w:t>
      </w:r>
      <w:r>
        <w:rPr>
          <w:spacing w:val="-15"/>
        </w:rPr>
        <w:t> </w:t>
      </w:r>
      <w:r>
        <w:rPr/>
        <w:t>de</w:t>
      </w:r>
      <w:r>
        <w:rPr>
          <w:spacing w:val="-15"/>
        </w:rPr>
        <w:t> </w:t>
      </w:r>
      <w:r>
        <w:rPr/>
        <w:t>energía</w:t>
      </w:r>
      <w:r>
        <w:rPr>
          <w:spacing w:val="-15"/>
        </w:rPr>
        <w:t> </w:t>
      </w:r>
      <w:r>
        <w:rPr/>
        <w:t>cinética</w:t>
      </w:r>
      <w:r>
        <w:rPr>
          <w:spacing w:val="-14"/>
        </w:rPr>
        <w:t> </w:t>
      </w:r>
      <w:r>
        <w:rPr/>
        <w:t>provoca</w:t>
      </w:r>
      <w:r>
        <w:rPr>
          <w:spacing w:val="-15"/>
        </w:rPr>
        <w:t> </w:t>
      </w:r>
      <w:r>
        <w:rPr/>
        <w:t>que</w:t>
      </w:r>
      <w:r>
        <w:rPr>
          <w:spacing w:val="-15"/>
        </w:rPr>
        <w:t> </w:t>
      </w:r>
      <w:r>
        <w:rPr/>
        <w:t>algunas</w:t>
      </w:r>
      <w:r>
        <w:rPr>
          <w:spacing w:val="-11"/>
        </w:rPr>
        <w:t> </w:t>
      </w:r>
      <w:r>
        <w:rPr/>
        <w:t>moléculas</w:t>
      </w:r>
      <w:r>
        <w:rPr>
          <w:spacing w:val="-15"/>
        </w:rPr>
        <w:t> </w:t>
      </w:r>
      <w:r>
        <w:rPr/>
        <w:t>de</w:t>
      </w:r>
      <w:r>
        <w:rPr>
          <w:spacing w:val="-11"/>
        </w:rPr>
        <w:t> </w:t>
      </w:r>
      <w:r>
        <w:rPr/>
        <w:t>agua</w:t>
      </w:r>
      <w:r>
        <w:rPr>
          <w:spacing w:val="-11"/>
        </w:rPr>
        <w:t> </w:t>
      </w:r>
      <w:r>
        <w:rPr/>
        <w:t>“brinquen” de manera continua a la atmósfera. </w:t>
      </w:r>
      <w:r>
        <w:rPr>
          <w:spacing w:val="-3"/>
        </w:rPr>
        <w:t>Al </w:t>
      </w:r>
      <w:r>
        <w:rPr/>
        <w:t>mismo tiempo, algunas de las moléculas que ya se encuentran en la atmósfera se condensan y regresan al cuerpo de agua SARH,</w:t>
      </w:r>
      <w:r>
        <w:rPr>
          <w:spacing w:val="-18"/>
        </w:rPr>
        <w:t> </w:t>
      </w:r>
      <w:r>
        <w:rPr/>
        <w:t>(1988).</w:t>
      </w:r>
    </w:p>
    <w:p>
      <w:pPr>
        <w:pStyle w:val="BodyText"/>
      </w:pPr>
    </w:p>
    <w:p>
      <w:pPr>
        <w:pStyle w:val="BodyText"/>
        <w:spacing w:line="360" w:lineRule="auto" w:before="156"/>
        <w:ind w:left="116" w:right="114"/>
        <w:jc w:val="both"/>
      </w:pPr>
      <w:r>
        <w:rPr/>
        <w:t>Linsley y otros, (1990) señalan que a pesar de que continuamente existe un intercambio</w:t>
      </w:r>
      <w:r>
        <w:rPr>
          <w:spacing w:val="-33"/>
        </w:rPr>
        <w:t> </w:t>
      </w:r>
      <w:r>
        <w:rPr/>
        <w:t>de moléculas</w:t>
      </w:r>
      <w:r>
        <w:rPr>
          <w:spacing w:val="-11"/>
        </w:rPr>
        <w:t> </w:t>
      </w:r>
      <w:r>
        <w:rPr/>
        <w:t>de</w:t>
      </w:r>
      <w:r>
        <w:rPr>
          <w:spacing w:val="-11"/>
        </w:rPr>
        <w:t> </w:t>
      </w:r>
      <w:r>
        <w:rPr/>
        <w:t>agua</w:t>
      </w:r>
      <w:r>
        <w:rPr>
          <w:spacing w:val="-11"/>
        </w:rPr>
        <w:t> </w:t>
      </w:r>
      <w:r>
        <w:rPr/>
        <w:t>hacia</w:t>
      </w:r>
      <w:r>
        <w:rPr>
          <w:spacing w:val="-11"/>
        </w:rPr>
        <w:t> </w:t>
      </w:r>
      <w:r>
        <w:rPr/>
        <w:t>y</w:t>
      </w:r>
      <w:r>
        <w:rPr>
          <w:spacing w:val="-11"/>
        </w:rPr>
        <w:t> </w:t>
      </w:r>
      <w:r>
        <w:rPr/>
        <w:t>desde</w:t>
      </w:r>
      <w:r>
        <w:rPr>
          <w:spacing w:val="-11"/>
        </w:rPr>
        <w:t> </w:t>
      </w:r>
      <w:r>
        <w:rPr/>
        <w:t>la</w:t>
      </w:r>
      <w:r>
        <w:rPr>
          <w:spacing w:val="-11"/>
        </w:rPr>
        <w:t> </w:t>
      </w:r>
      <w:r>
        <w:rPr/>
        <w:t>atmósfera,</w:t>
      </w:r>
      <w:r>
        <w:rPr>
          <w:spacing w:val="-9"/>
        </w:rPr>
        <w:t> </w:t>
      </w:r>
      <w:r>
        <w:rPr/>
        <w:t>la</w:t>
      </w:r>
      <w:r>
        <w:rPr>
          <w:spacing w:val="-11"/>
        </w:rPr>
        <w:t> </w:t>
      </w:r>
      <w:r>
        <w:rPr/>
        <w:t>definición</w:t>
      </w:r>
      <w:r>
        <w:rPr>
          <w:spacing w:val="-10"/>
        </w:rPr>
        <w:t> </w:t>
      </w:r>
      <w:r>
        <w:rPr/>
        <w:t>hidrológica</w:t>
      </w:r>
      <w:r>
        <w:rPr>
          <w:spacing w:val="-11"/>
        </w:rPr>
        <w:t> </w:t>
      </w:r>
      <w:r>
        <w:rPr/>
        <w:t>de</w:t>
      </w:r>
      <w:r>
        <w:rPr>
          <w:spacing w:val="-11"/>
        </w:rPr>
        <w:t> </w:t>
      </w:r>
      <w:r>
        <w:rPr/>
        <w:t>evaporación</w:t>
      </w:r>
      <w:r>
        <w:rPr>
          <w:spacing w:val="-11"/>
        </w:rPr>
        <w:t> </w:t>
      </w:r>
      <w:r>
        <w:rPr/>
        <w:t>está restringida a la tasa neta de transporte de vapor hacia la atmósfera. Según Aparicio,</w:t>
      </w:r>
      <w:r>
        <w:rPr>
          <w:spacing w:val="-43"/>
        </w:rPr>
        <w:t> </w:t>
      </w:r>
      <w:r>
        <w:rPr/>
        <w:t>(1989) primeramente la transpiración es el agua que </w:t>
      </w:r>
      <w:r>
        <w:rPr>
          <w:spacing w:val="-3"/>
        </w:rPr>
        <w:t>se </w:t>
      </w:r>
      <w:r>
        <w:rPr/>
        <w:t>despide en forma de vapor de las hojas de las plantas. Esta agua es tomada por las plantas, naturalmente del suelo. Así resulta la evapotranspiración que es la combinación de evaporación y</w:t>
      </w:r>
      <w:r>
        <w:rPr>
          <w:spacing w:val="-13"/>
        </w:rPr>
        <w:t> </w:t>
      </w:r>
      <w:r>
        <w:rPr/>
        <w:t>transpiración.</w:t>
      </w:r>
    </w:p>
    <w:p>
      <w:pPr>
        <w:pStyle w:val="BodyText"/>
      </w:pPr>
    </w:p>
    <w:p>
      <w:pPr>
        <w:pStyle w:val="BodyText"/>
        <w:spacing w:line="360" w:lineRule="auto" w:before="155"/>
        <w:ind w:left="116" w:right="118"/>
        <w:jc w:val="both"/>
      </w:pPr>
      <w:r>
        <w:rPr/>
        <w:t>Del agua absorbida por el sistema de raíces de una planta, sólo una porción minúscula permanece en los tejidos de la misma; virtualmente, toda el agua retorna a la atmósfera en forma de vapor, debido a la transpiración. Este proceso constituye una fase importante del ciclo hidrológico debido a que es el mecanismo principal por medio del cual el agua precipitada sobre la superficie de la tierra regresa a la atmósfera (Linsley y otros, 1990).</w:t>
      </w:r>
    </w:p>
    <w:p>
      <w:pPr>
        <w:pStyle w:val="BodyText"/>
      </w:pPr>
    </w:p>
    <w:p>
      <w:pPr>
        <w:pStyle w:val="BodyText"/>
        <w:spacing w:line="362" w:lineRule="auto" w:before="156"/>
        <w:ind w:left="116" w:right="116"/>
        <w:jc w:val="both"/>
      </w:pPr>
      <w:r>
        <w:rPr/>
        <w:t>De acuerdo con la SRH, (1974) en México se usan fundamentalmente dos métodos para</w:t>
      </w:r>
      <w:r>
        <w:rPr>
          <w:spacing w:val="-16"/>
        </w:rPr>
        <w:t> </w:t>
      </w:r>
      <w:r>
        <w:rPr/>
        <w:t>el cálculo</w:t>
      </w:r>
      <w:r>
        <w:rPr>
          <w:spacing w:val="-16"/>
        </w:rPr>
        <w:t> </w:t>
      </w:r>
      <w:r>
        <w:rPr/>
        <w:t>del</w:t>
      </w:r>
      <w:r>
        <w:rPr>
          <w:spacing w:val="-16"/>
        </w:rPr>
        <w:t> </w:t>
      </w:r>
      <w:r>
        <w:rPr/>
        <w:t>uso</w:t>
      </w:r>
      <w:r>
        <w:rPr>
          <w:spacing w:val="-16"/>
        </w:rPr>
        <w:t> </w:t>
      </w:r>
      <w:r>
        <w:rPr/>
        <w:t>consuntivo:</w:t>
      </w:r>
      <w:r>
        <w:rPr>
          <w:spacing w:val="-16"/>
        </w:rPr>
        <w:t> </w:t>
      </w:r>
      <w:r>
        <w:rPr/>
        <w:t>el</w:t>
      </w:r>
      <w:r>
        <w:rPr>
          <w:spacing w:val="-16"/>
        </w:rPr>
        <w:t> </w:t>
      </w:r>
      <w:r>
        <w:rPr/>
        <w:t>de</w:t>
      </w:r>
      <w:r>
        <w:rPr>
          <w:spacing w:val="-20"/>
        </w:rPr>
        <w:t> </w:t>
      </w:r>
      <w:r>
        <w:rPr/>
        <w:t>Thornthwaite</w:t>
      </w:r>
      <w:r>
        <w:rPr>
          <w:spacing w:val="-20"/>
        </w:rPr>
        <w:t> </w:t>
      </w:r>
      <w:r>
        <w:rPr/>
        <w:t>y</w:t>
      </w:r>
      <w:r>
        <w:rPr>
          <w:spacing w:val="-16"/>
        </w:rPr>
        <w:t> </w:t>
      </w:r>
      <w:r>
        <w:rPr/>
        <w:t>el</w:t>
      </w:r>
      <w:r>
        <w:rPr>
          <w:spacing w:val="-16"/>
        </w:rPr>
        <w:t> </w:t>
      </w:r>
      <w:r>
        <w:rPr/>
        <w:t>de</w:t>
      </w:r>
      <w:r>
        <w:rPr>
          <w:spacing w:val="-20"/>
        </w:rPr>
        <w:t> </w:t>
      </w:r>
      <w:r>
        <w:rPr/>
        <w:t>Blaney-Criddle.</w:t>
      </w:r>
      <w:r>
        <w:rPr>
          <w:spacing w:val="-14"/>
        </w:rPr>
        <w:t> </w:t>
      </w:r>
      <w:r>
        <w:rPr/>
        <w:t>El</w:t>
      </w:r>
      <w:r>
        <w:rPr>
          <w:spacing w:val="-20"/>
        </w:rPr>
        <w:t> </w:t>
      </w:r>
      <w:r>
        <w:rPr/>
        <w:t>primero</w:t>
      </w:r>
      <w:r>
        <w:rPr>
          <w:spacing w:val="-16"/>
        </w:rPr>
        <w:t> </w:t>
      </w:r>
      <w:r>
        <w:rPr/>
        <w:t>por</w:t>
      </w:r>
      <w:r>
        <w:rPr>
          <w:spacing w:val="-16"/>
        </w:rPr>
        <w:t> </w:t>
      </w:r>
      <w:r>
        <w:rPr/>
        <w:t>tomar</w:t>
      </w:r>
    </w:p>
    <w:p>
      <w:pPr>
        <w:spacing w:after="0" w:line="362" w:lineRule="auto"/>
        <w:jc w:val="both"/>
        <w:sectPr>
          <w:pgSz w:w="12240" w:h="15840"/>
          <w:pgMar w:header="0" w:footer="1473" w:top="1360" w:bottom="1660" w:left="1300" w:right="1300"/>
        </w:sectPr>
      </w:pPr>
    </w:p>
    <w:p>
      <w:pPr>
        <w:pStyle w:val="BodyText"/>
        <w:spacing w:line="360" w:lineRule="auto" w:before="49"/>
        <w:ind w:left="116" w:right="122"/>
        <w:jc w:val="both"/>
      </w:pPr>
      <w:r>
        <w:rPr/>
        <w:t>en cuenta sólo la temperatura media mensual, arroja resultados estimativos que pueden usarse únicamente en estudios preliminares o de gran visión, mientras que el segundo es aplicable a casos más específicos.</w:t>
      </w:r>
    </w:p>
    <w:p>
      <w:pPr>
        <w:pStyle w:val="BodyText"/>
      </w:pPr>
    </w:p>
    <w:p>
      <w:pPr>
        <w:pStyle w:val="Heading1"/>
        <w:numPr>
          <w:ilvl w:val="2"/>
          <w:numId w:val="6"/>
        </w:numPr>
        <w:tabs>
          <w:tab w:pos="706" w:val="left" w:leader="none"/>
        </w:tabs>
        <w:spacing w:line="240" w:lineRule="auto" w:before="199" w:after="0"/>
        <w:ind w:left="705" w:right="0" w:hanging="589"/>
        <w:jc w:val="both"/>
      </w:pPr>
      <w:bookmarkStart w:name="_bookmark19" w:id="29"/>
      <w:bookmarkEnd w:id="29"/>
      <w:r>
        <w:rPr>
          <w:b w:val="0"/>
        </w:rPr>
      </w:r>
      <w:bookmarkStart w:name="_bookmark19" w:id="30"/>
      <w:bookmarkEnd w:id="30"/>
      <w:r>
        <w:rPr/>
        <w:t>I</w:t>
      </w:r>
      <w:r>
        <w:rPr/>
        <w:t>nfiltración</w:t>
      </w:r>
    </w:p>
    <w:p>
      <w:pPr>
        <w:pStyle w:val="BodyText"/>
        <w:rPr>
          <w:b/>
        </w:rPr>
      </w:pPr>
    </w:p>
    <w:p>
      <w:pPr>
        <w:pStyle w:val="BodyText"/>
        <w:spacing w:before="6"/>
        <w:rPr>
          <w:b/>
          <w:sz w:val="31"/>
        </w:rPr>
      </w:pPr>
    </w:p>
    <w:p>
      <w:pPr>
        <w:pStyle w:val="BodyText"/>
        <w:spacing w:line="360" w:lineRule="auto"/>
        <w:ind w:left="116" w:right="118"/>
        <w:jc w:val="both"/>
      </w:pPr>
      <w:r>
        <w:rPr/>
        <w:t>De acuerdo con Aparicio, (1989) la infiltración se define como el movimiento del agua, a través de la superficie del suelo y hacia adentro del mismo, producido por la acción de las fuerzas gravitacionales y capilares.</w:t>
      </w:r>
    </w:p>
    <w:p>
      <w:pPr>
        <w:pStyle w:val="BodyText"/>
      </w:pPr>
    </w:p>
    <w:p>
      <w:pPr>
        <w:pStyle w:val="BodyText"/>
        <w:spacing w:line="360" w:lineRule="auto" w:before="151"/>
        <w:ind w:left="116" w:right="118"/>
        <w:jc w:val="both"/>
      </w:pPr>
      <w:r>
        <w:rPr/>
        <w:t>Campos, (1992) denota la importancia del estudio de la infiltración para la comprensión y cuantificación de la relación precipitación-escurrimiento, además, el agua infiltrada representa la mayor fuente de abastecimiento de plantas y cultivos.</w:t>
      </w:r>
    </w:p>
    <w:p>
      <w:pPr>
        <w:pStyle w:val="BodyText"/>
      </w:pPr>
    </w:p>
    <w:p>
      <w:pPr>
        <w:pStyle w:val="BodyText"/>
        <w:spacing w:line="360" w:lineRule="auto" w:before="156"/>
        <w:ind w:left="116" w:right="110"/>
        <w:jc w:val="both"/>
      </w:pPr>
      <w:r>
        <w:rPr/>
        <w:t>Por</w:t>
      </w:r>
      <w:r>
        <w:rPr>
          <w:spacing w:val="-16"/>
        </w:rPr>
        <w:t> </w:t>
      </w:r>
      <w:r>
        <w:rPr/>
        <w:t>tanto</w:t>
      </w:r>
      <w:r>
        <w:rPr>
          <w:spacing w:val="-16"/>
        </w:rPr>
        <w:t> </w:t>
      </w:r>
      <w:r>
        <w:rPr/>
        <w:t>dicho</w:t>
      </w:r>
      <w:r>
        <w:rPr>
          <w:spacing w:val="-16"/>
        </w:rPr>
        <w:t> </w:t>
      </w:r>
      <w:r>
        <w:rPr/>
        <w:t>autor</w:t>
      </w:r>
      <w:r>
        <w:rPr>
          <w:spacing w:val="-16"/>
        </w:rPr>
        <w:t> </w:t>
      </w:r>
      <w:r>
        <w:rPr/>
        <w:t>afirma,</w:t>
      </w:r>
      <w:r>
        <w:rPr>
          <w:spacing w:val="-14"/>
        </w:rPr>
        <w:t> </w:t>
      </w:r>
      <w:r>
        <w:rPr/>
        <w:t>que</w:t>
      </w:r>
      <w:r>
        <w:rPr>
          <w:spacing w:val="-16"/>
        </w:rPr>
        <w:t> </w:t>
      </w:r>
      <w:r>
        <w:rPr/>
        <w:t>el</w:t>
      </w:r>
      <w:r>
        <w:rPr>
          <w:spacing w:val="-14"/>
        </w:rPr>
        <w:t> </w:t>
      </w:r>
      <w:r>
        <w:rPr/>
        <w:t>fenómeno</w:t>
      </w:r>
      <w:r>
        <w:rPr>
          <w:spacing w:val="-16"/>
        </w:rPr>
        <w:t> </w:t>
      </w:r>
      <w:r>
        <w:rPr/>
        <w:t>de</w:t>
      </w:r>
      <w:r>
        <w:rPr>
          <w:spacing w:val="-16"/>
        </w:rPr>
        <w:t> </w:t>
      </w:r>
      <w:r>
        <w:rPr/>
        <w:t>la</w:t>
      </w:r>
      <w:r>
        <w:rPr>
          <w:spacing w:val="-16"/>
        </w:rPr>
        <w:t> </w:t>
      </w:r>
      <w:r>
        <w:rPr/>
        <w:t>infiltración</w:t>
      </w:r>
      <w:r>
        <w:rPr>
          <w:spacing w:val="-16"/>
        </w:rPr>
        <w:t> </w:t>
      </w:r>
      <w:r>
        <w:rPr/>
        <w:t>guarda</w:t>
      </w:r>
      <w:r>
        <w:rPr>
          <w:spacing w:val="-15"/>
        </w:rPr>
        <w:t> </w:t>
      </w:r>
      <w:r>
        <w:rPr/>
        <w:t>una</w:t>
      </w:r>
      <w:r>
        <w:rPr>
          <w:spacing w:val="-16"/>
        </w:rPr>
        <w:t> </w:t>
      </w:r>
      <w:r>
        <w:rPr/>
        <w:t>estrecha</w:t>
      </w:r>
      <w:r>
        <w:rPr>
          <w:spacing w:val="-15"/>
        </w:rPr>
        <w:t> </w:t>
      </w:r>
      <w:r>
        <w:rPr/>
        <w:t>relación con las pérdidas producidas en el ciclo hidrológico, estas se resultan de </w:t>
      </w:r>
      <w:r>
        <w:rPr>
          <w:spacing w:val="3"/>
        </w:rPr>
        <w:t>la </w:t>
      </w:r>
      <w:r>
        <w:rPr/>
        <w:t>diferencia entre el volumen de agua que llueve en una cuenca y el que escurre por su salida; están constituidas por la intercepción en el follaje de las plantas y en los techos de las construcciones, la retención en depresiones o charcos que posteriormente se evapora o se infiltra,</w:t>
      </w:r>
      <w:r>
        <w:rPr>
          <w:spacing w:val="-11"/>
        </w:rPr>
        <w:t> </w:t>
      </w:r>
      <w:r>
        <w:rPr/>
        <w:t>la</w:t>
      </w:r>
      <w:r>
        <w:rPr>
          <w:spacing w:val="-18"/>
        </w:rPr>
        <w:t> </w:t>
      </w:r>
      <w:r>
        <w:rPr/>
        <w:t>evaporación</w:t>
      </w:r>
      <w:r>
        <w:rPr>
          <w:spacing w:val="-14"/>
        </w:rPr>
        <w:t> </w:t>
      </w:r>
      <w:r>
        <w:rPr/>
        <w:t>y</w:t>
      </w:r>
      <w:r>
        <w:rPr>
          <w:spacing w:val="-14"/>
        </w:rPr>
        <w:t> </w:t>
      </w:r>
      <w:r>
        <w:rPr/>
        <w:t>la</w:t>
      </w:r>
      <w:r>
        <w:rPr>
          <w:spacing w:val="-18"/>
        </w:rPr>
        <w:t> </w:t>
      </w:r>
      <w:r>
        <w:rPr/>
        <w:t>infiltración.</w:t>
      </w:r>
      <w:r>
        <w:rPr>
          <w:spacing w:val="-12"/>
        </w:rPr>
        <w:t> </w:t>
      </w:r>
      <w:r>
        <w:rPr/>
        <w:t>Además</w:t>
      </w:r>
      <w:r>
        <w:rPr>
          <w:spacing w:val="-14"/>
        </w:rPr>
        <w:t> </w:t>
      </w:r>
      <w:r>
        <w:rPr/>
        <w:t>de</w:t>
      </w:r>
      <w:r>
        <w:rPr>
          <w:spacing w:val="-18"/>
        </w:rPr>
        <w:t> </w:t>
      </w:r>
      <w:r>
        <w:rPr/>
        <w:t>que</w:t>
      </w:r>
      <w:r>
        <w:rPr>
          <w:spacing w:val="-13"/>
        </w:rPr>
        <w:t> </w:t>
      </w:r>
      <w:r>
        <w:rPr/>
        <w:t>en</w:t>
      </w:r>
      <w:r>
        <w:rPr>
          <w:spacing w:val="-18"/>
        </w:rPr>
        <w:t> </w:t>
      </w:r>
      <w:r>
        <w:rPr/>
        <w:t>la</w:t>
      </w:r>
      <w:r>
        <w:rPr>
          <w:spacing w:val="-18"/>
        </w:rPr>
        <w:t> </w:t>
      </w:r>
      <w:r>
        <w:rPr/>
        <w:t>práctica</w:t>
      </w:r>
      <w:r>
        <w:rPr>
          <w:spacing w:val="-13"/>
        </w:rPr>
        <w:t> </w:t>
      </w:r>
      <w:r>
        <w:rPr/>
        <w:t>es</w:t>
      </w:r>
      <w:r>
        <w:rPr>
          <w:spacing w:val="-13"/>
        </w:rPr>
        <w:t> </w:t>
      </w:r>
      <w:r>
        <w:rPr/>
        <w:t>difícil</w:t>
      </w:r>
      <w:r>
        <w:rPr>
          <w:spacing w:val="-18"/>
        </w:rPr>
        <w:t> </w:t>
      </w:r>
      <w:r>
        <w:rPr/>
        <w:t>separar</w:t>
      </w:r>
      <w:r>
        <w:rPr>
          <w:spacing w:val="-13"/>
        </w:rPr>
        <w:t> </w:t>
      </w:r>
      <w:r>
        <w:rPr/>
        <w:t>estos cuatro componentes, la porción más considerable de las pérdidas está dada por la infiltración,</w:t>
      </w:r>
      <w:r>
        <w:rPr>
          <w:spacing w:val="-5"/>
        </w:rPr>
        <w:t> </w:t>
      </w:r>
      <w:r>
        <w:rPr/>
        <w:t>por</w:t>
      </w:r>
      <w:r>
        <w:rPr>
          <w:spacing w:val="-6"/>
        </w:rPr>
        <w:t> </w:t>
      </w:r>
      <w:r>
        <w:rPr/>
        <w:t>lo</w:t>
      </w:r>
      <w:r>
        <w:rPr>
          <w:spacing w:val="-6"/>
        </w:rPr>
        <w:t> </w:t>
      </w:r>
      <w:r>
        <w:rPr/>
        <w:t>que</w:t>
      </w:r>
      <w:r>
        <w:rPr>
          <w:spacing w:val="-6"/>
        </w:rPr>
        <w:t> </w:t>
      </w:r>
      <w:r>
        <w:rPr/>
        <w:t>es</w:t>
      </w:r>
      <w:r>
        <w:rPr>
          <w:spacing w:val="-11"/>
        </w:rPr>
        <w:t> </w:t>
      </w:r>
      <w:r>
        <w:rPr/>
        <w:t>costumbre</w:t>
      </w:r>
      <w:r>
        <w:rPr>
          <w:spacing w:val="-6"/>
        </w:rPr>
        <w:t> </w:t>
      </w:r>
      <w:r>
        <w:rPr/>
        <w:t>calcularlas</w:t>
      </w:r>
      <w:r>
        <w:rPr>
          <w:spacing w:val="-6"/>
        </w:rPr>
        <w:t> </w:t>
      </w:r>
      <w:r>
        <w:rPr/>
        <w:t>conjuntamente</w:t>
      </w:r>
      <w:r>
        <w:rPr>
          <w:spacing w:val="-6"/>
        </w:rPr>
        <w:t> </w:t>
      </w:r>
      <w:r>
        <w:rPr/>
        <w:t>bajo</w:t>
      </w:r>
      <w:r>
        <w:rPr>
          <w:spacing w:val="-6"/>
        </w:rPr>
        <w:t> </w:t>
      </w:r>
      <w:r>
        <w:rPr/>
        <w:t>este</w:t>
      </w:r>
      <w:r>
        <w:rPr>
          <w:spacing w:val="-6"/>
        </w:rPr>
        <w:t> </w:t>
      </w:r>
      <w:r>
        <w:rPr/>
        <w:t>nombre.</w:t>
      </w:r>
    </w:p>
    <w:p>
      <w:pPr>
        <w:pStyle w:val="BodyText"/>
      </w:pPr>
    </w:p>
    <w:p>
      <w:pPr>
        <w:pStyle w:val="BodyText"/>
        <w:spacing w:line="362" w:lineRule="auto" w:before="155"/>
        <w:ind w:left="116" w:right="110"/>
        <w:jc w:val="both"/>
      </w:pPr>
      <w:r>
        <w:rPr/>
        <w:t>Los factores que afectan la capacidad de infiltración según Aparicio, (1989) son principalmente:</w:t>
      </w:r>
    </w:p>
    <w:p>
      <w:pPr>
        <w:pStyle w:val="BodyText"/>
        <w:spacing w:before="10"/>
        <w:rPr>
          <w:sz w:val="38"/>
        </w:rPr>
      </w:pPr>
    </w:p>
    <w:p>
      <w:pPr>
        <w:pStyle w:val="ListParagraph"/>
        <w:numPr>
          <w:ilvl w:val="3"/>
          <w:numId w:val="6"/>
        </w:numPr>
        <w:tabs>
          <w:tab w:pos="836" w:val="left" w:leader="none"/>
          <w:tab w:pos="837" w:val="left" w:leader="none"/>
        </w:tabs>
        <w:spacing w:line="240" w:lineRule="auto" w:before="0" w:after="0"/>
        <w:ind w:left="837" w:right="0" w:hanging="361"/>
        <w:jc w:val="left"/>
        <w:rPr>
          <w:sz w:val="26"/>
        </w:rPr>
      </w:pPr>
      <w:r>
        <w:rPr>
          <w:sz w:val="26"/>
        </w:rPr>
        <w:t>Textura del</w:t>
      </w:r>
      <w:r>
        <w:rPr>
          <w:spacing w:val="-3"/>
          <w:sz w:val="26"/>
        </w:rPr>
        <w:t> </w:t>
      </w:r>
      <w:r>
        <w:rPr>
          <w:sz w:val="26"/>
        </w:rPr>
        <w:t>suelo</w:t>
      </w:r>
    </w:p>
    <w:p>
      <w:pPr>
        <w:pStyle w:val="ListParagraph"/>
        <w:numPr>
          <w:ilvl w:val="3"/>
          <w:numId w:val="6"/>
        </w:numPr>
        <w:tabs>
          <w:tab w:pos="836" w:val="left" w:leader="none"/>
          <w:tab w:pos="837" w:val="left" w:leader="none"/>
        </w:tabs>
        <w:spacing w:line="240" w:lineRule="auto" w:before="152" w:after="0"/>
        <w:ind w:left="837" w:right="0" w:hanging="361"/>
        <w:jc w:val="left"/>
        <w:rPr>
          <w:sz w:val="26"/>
        </w:rPr>
      </w:pPr>
      <w:r>
        <w:rPr>
          <w:sz w:val="26"/>
        </w:rPr>
        <w:t>Contenido de humedad</w:t>
      </w:r>
      <w:r>
        <w:rPr>
          <w:spacing w:val="-9"/>
          <w:sz w:val="26"/>
        </w:rPr>
        <w:t> </w:t>
      </w:r>
      <w:r>
        <w:rPr>
          <w:sz w:val="26"/>
        </w:rPr>
        <w:t>inicial</w:t>
      </w:r>
    </w:p>
    <w:p>
      <w:pPr>
        <w:spacing w:after="0" w:line="240" w:lineRule="auto"/>
        <w:jc w:val="left"/>
        <w:rPr>
          <w:sz w:val="26"/>
        </w:rPr>
        <w:sectPr>
          <w:footerReference w:type="default" r:id="rId12"/>
          <w:pgSz w:w="12240" w:h="15840"/>
          <w:pgMar w:footer="1473" w:header="0" w:top="1360" w:bottom="1660" w:left="1300" w:right="1300"/>
        </w:sectPr>
      </w:pPr>
    </w:p>
    <w:p>
      <w:pPr>
        <w:pStyle w:val="ListParagraph"/>
        <w:numPr>
          <w:ilvl w:val="3"/>
          <w:numId w:val="6"/>
        </w:numPr>
        <w:tabs>
          <w:tab w:pos="836" w:val="left" w:leader="none"/>
          <w:tab w:pos="837" w:val="left" w:leader="none"/>
        </w:tabs>
        <w:spacing w:line="240" w:lineRule="auto" w:before="29" w:after="0"/>
        <w:ind w:left="837" w:right="0" w:hanging="361"/>
        <w:jc w:val="left"/>
        <w:rPr>
          <w:sz w:val="26"/>
        </w:rPr>
      </w:pPr>
      <w:r>
        <w:rPr>
          <w:sz w:val="26"/>
        </w:rPr>
        <w:t>Contenido de humedad de</w:t>
      </w:r>
      <w:r>
        <w:rPr>
          <w:spacing w:val="-9"/>
          <w:sz w:val="26"/>
        </w:rPr>
        <w:t> </w:t>
      </w:r>
      <w:r>
        <w:rPr>
          <w:sz w:val="26"/>
        </w:rPr>
        <w:t>saturación</w:t>
      </w:r>
    </w:p>
    <w:p>
      <w:pPr>
        <w:pStyle w:val="ListParagraph"/>
        <w:numPr>
          <w:ilvl w:val="3"/>
          <w:numId w:val="6"/>
        </w:numPr>
        <w:tabs>
          <w:tab w:pos="836" w:val="left" w:leader="none"/>
          <w:tab w:pos="837" w:val="left" w:leader="none"/>
        </w:tabs>
        <w:spacing w:line="240" w:lineRule="auto" w:before="152" w:after="0"/>
        <w:ind w:left="837" w:right="0" w:hanging="361"/>
        <w:jc w:val="left"/>
        <w:rPr>
          <w:sz w:val="26"/>
        </w:rPr>
      </w:pPr>
      <w:r>
        <w:rPr>
          <w:sz w:val="26"/>
        </w:rPr>
        <w:t>Cobertura</w:t>
      </w:r>
      <w:r>
        <w:rPr>
          <w:spacing w:val="-10"/>
          <w:sz w:val="26"/>
        </w:rPr>
        <w:t> </w:t>
      </w:r>
      <w:r>
        <w:rPr>
          <w:sz w:val="26"/>
        </w:rPr>
        <w:t>vegetal</w:t>
      </w:r>
    </w:p>
    <w:p>
      <w:pPr>
        <w:pStyle w:val="ListParagraph"/>
        <w:numPr>
          <w:ilvl w:val="3"/>
          <w:numId w:val="6"/>
        </w:numPr>
        <w:tabs>
          <w:tab w:pos="836" w:val="left" w:leader="none"/>
          <w:tab w:pos="837" w:val="left" w:leader="none"/>
        </w:tabs>
        <w:spacing w:line="240" w:lineRule="auto" w:before="147" w:after="0"/>
        <w:ind w:left="837" w:right="0" w:hanging="361"/>
        <w:jc w:val="left"/>
        <w:rPr>
          <w:sz w:val="26"/>
        </w:rPr>
      </w:pPr>
      <w:r>
        <w:rPr>
          <w:sz w:val="26"/>
        </w:rPr>
        <w:t>Uso del</w:t>
      </w:r>
      <w:r>
        <w:rPr>
          <w:spacing w:val="-3"/>
          <w:sz w:val="26"/>
        </w:rPr>
        <w:t> </w:t>
      </w:r>
      <w:r>
        <w:rPr>
          <w:sz w:val="26"/>
        </w:rPr>
        <w:t>suelo</w:t>
      </w:r>
    </w:p>
    <w:p>
      <w:pPr>
        <w:pStyle w:val="ListParagraph"/>
        <w:numPr>
          <w:ilvl w:val="3"/>
          <w:numId w:val="6"/>
        </w:numPr>
        <w:tabs>
          <w:tab w:pos="836" w:val="left" w:leader="none"/>
          <w:tab w:pos="837" w:val="left" w:leader="none"/>
        </w:tabs>
        <w:spacing w:line="240" w:lineRule="auto" w:before="147" w:after="0"/>
        <w:ind w:left="837" w:right="0" w:hanging="361"/>
        <w:jc w:val="left"/>
        <w:rPr>
          <w:sz w:val="26"/>
        </w:rPr>
      </w:pPr>
      <w:r>
        <w:rPr>
          <w:sz w:val="26"/>
        </w:rPr>
        <w:t>Aire</w:t>
      </w:r>
      <w:r>
        <w:rPr>
          <w:spacing w:val="-8"/>
          <w:sz w:val="26"/>
        </w:rPr>
        <w:t> </w:t>
      </w:r>
      <w:r>
        <w:rPr>
          <w:sz w:val="26"/>
        </w:rPr>
        <w:t>atrapado</w:t>
      </w:r>
    </w:p>
    <w:p>
      <w:pPr>
        <w:pStyle w:val="ListParagraph"/>
        <w:numPr>
          <w:ilvl w:val="3"/>
          <w:numId w:val="6"/>
        </w:numPr>
        <w:tabs>
          <w:tab w:pos="836" w:val="left" w:leader="none"/>
          <w:tab w:pos="837" w:val="left" w:leader="none"/>
        </w:tabs>
        <w:spacing w:line="240" w:lineRule="auto" w:before="152" w:after="0"/>
        <w:ind w:left="837" w:right="0" w:hanging="361"/>
        <w:jc w:val="left"/>
        <w:rPr>
          <w:sz w:val="26"/>
        </w:rPr>
      </w:pPr>
      <w:r>
        <w:rPr>
          <w:sz w:val="26"/>
        </w:rPr>
        <w:t>Lavado de material</w:t>
      </w:r>
      <w:r>
        <w:rPr>
          <w:spacing w:val="-9"/>
          <w:sz w:val="26"/>
        </w:rPr>
        <w:t> </w:t>
      </w:r>
      <w:r>
        <w:rPr>
          <w:sz w:val="26"/>
        </w:rPr>
        <w:t>fino</w:t>
      </w:r>
    </w:p>
    <w:p>
      <w:pPr>
        <w:pStyle w:val="ListParagraph"/>
        <w:numPr>
          <w:ilvl w:val="3"/>
          <w:numId w:val="6"/>
        </w:numPr>
        <w:tabs>
          <w:tab w:pos="836" w:val="left" w:leader="none"/>
          <w:tab w:pos="837" w:val="left" w:leader="none"/>
        </w:tabs>
        <w:spacing w:line="240" w:lineRule="auto" w:before="147" w:after="0"/>
        <w:ind w:left="837" w:right="0" w:hanging="361"/>
        <w:jc w:val="left"/>
        <w:rPr>
          <w:sz w:val="26"/>
        </w:rPr>
      </w:pPr>
      <w:r>
        <w:rPr>
          <w:sz w:val="26"/>
        </w:rPr>
        <w:t>Compactación</w:t>
      </w:r>
    </w:p>
    <w:p>
      <w:pPr>
        <w:pStyle w:val="ListParagraph"/>
        <w:numPr>
          <w:ilvl w:val="3"/>
          <w:numId w:val="6"/>
        </w:numPr>
        <w:tabs>
          <w:tab w:pos="836" w:val="left" w:leader="none"/>
          <w:tab w:pos="837" w:val="left" w:leader="none"/>
        </w:tabs>
        <w:spacing w:line="240" w:lineRule="auto" w:before="147" w:after="0"/>
        <w:ind w:left="837" w:right="0" w:hanging="361"/>
        <w:jc w:val="left"/>
        <w:rPr>
          <w:sz w:val="26"/>
        </w:rPr>
      </w:pPr>
      <w:r>
        <w:rPr>
          <w:sz w:val="26"/>
        </w:rPr>
        <w:t>Temperatura, sus cambios y</w:t>
      </w:r>
      <w:r>
        <w:rPr>
          <w:spacing w:val="-11"/>
          <w:sz w:val="26"/>
        </w:rPr>
        <w:t> </w:t>
      </w:r>
      <w:r>
        <w:rPr>
          <w:sz w:val="26"/>
        </w:rPr>
        <w:t>diferencias</w:t>
      </w:r>
    </w:p>
    <w:p>
      <w:pPr>
        <w:pStyle w:val="BodyText"/>
      </w:pPr>
    </w:p>
    <w:p>
      <w:pPr>
        <w:pStyle w:val="BodyText"/>
        <w:spacing w:before="11"/>
        <w:rPr>
          <w:sz w:val="25"/>
        </w:rPr>
      </w:pPr>
    </w:p>
    <w:p>
      <w:pPr>
        <w:pStyle w:val="BodyText"/>
        <w:spacing w:line="360" w:lineRule="auto"/>
        <w:ind w:left="116" w:right="115"/>
        <w:jc w:val="both"/>
      </w:pPr>
      <w:r>
        <w:rPr/>
        <w:t>Para concluir con el presente apartado sobre temas hidrológicos, se puede señalar que la importancia del estudio de la hidrología radica en ser el primer paso fundamental en la planeación, diseño y operación de proyectos hidráulicos. Así también la hidrología juega un papel importante en la operación efectiva de estructuras hidráulicas, especialmente aquellas</w:t>
      </w:r>
      <w:r>
        <w:rPr>
          <w:spacing w:val="-11"/>
        </w:rPr>
        <w:t> </w:t>
      </w:r>
      <w:r>
        <w:rPr/>
        <w:t>que</w:t>
      </w:r>
      <w:r>
        <w:rPr>
          <w:spacing w:val="-10"/>
        </w:rPr>
        <w:t> </w:t>
      </w:r>
      <w:r>
        <w:rPr/>
        <w:t>se</w:t>
      </w:r>
      <w:r>
        <w:rPr>
          <w:spacing w:val="-10"/>
        </w:rPr>
        <w:t> </w:t>
      </w:r>
      <w:r>
        <w:rPr/>
        <w:t>destinan</w:t>
      </w:r>
      <w:r>
        <w:rPr>
          <w:spacing w:val="-10"/>
        </w:rPr>
        <w:t> </w:t>
      </w:r>
      <w:r>
        <w:rPr/>
        <w:t>a</w:t>
      </w:r>
      <w:r>
        <w:rPr>
          <w:spacing w:val="-10"/>
        </w:rPr>
        <w:t> </w:t>
      </w:r>
      <w:r>
        <w:rPr/>
        <w:t>la</w:t>
      </w:r>
      <w:r>
        <w:rPr>
          <w:spacing w:val="-10"/>
        </w:rPr>
        <w:t> </w:t>
      </w:r>
      <w:r>
        <w:rPr/>
        <w:t>generación</w:t>
      </w:r>
      <w:r>
        <w:rPr>
          <w:spacing w:val="-10"/>
        </w:rPr>
        <w:t> </w:t>
      </w:r>
      <w:r>
        <w:rPr/>
        <w:t>de</w:t>
      </w:r>
      <w:r>
        <w:rPr>
          <w:spacing w:val="-10"/>
        </w:rPr>
        <w:t> </w:t>
      </w:r>
      <w:r>
        <w:rPr/>
        <w:t>energía</w:t>
      </w:r>
      <w:r>
        <w:rPr>
          <w:spacing w:val="-10"/>
        </w:rPr>
        <w:t> </w:t>
      </w:r>
      <w:r>
        <w:rPr/>
        <w:t>y</w:t>
      </w:r>
      <w:r>
        <w:rPr>
          <w:spacing w:val="-10"/>
        </w:rPr>
        <w:t> </w:t>
      </w:r>
      <w:r>
        <w:rPr/>
        <w:t>control</w:t>
      </w:r>
      <w:r>
        <w:rPr>
          <w:spacing w:val="-11"/>
        </w:rPr>
        <w:t> </w:t>
      </w:r>
      <w:r>
        <w:rPr/>
        <w:t>de</w:t>
      </w:r>
      <w:r>
        <w:rPr>
          <w:spacing w:val="-10"/>
        </w:rPr>
        <w:t> </w:t>
      </w:r>
      <w:r>
        <w:rPr/>
        <w:t>avenidas,</w:t>
      </w:r>
      <w:r>
        <w:rPr>
          <w:spacing w:val="-8"/>
        </w:rPr>
        <w:t> </w:t>
      </w:r>
      <w:r>
        <w:rPr/>
        <w:t>donde</w:t>
      </w:r>
      <w:r>
        <w:rPr>
          <w:spacing w:val="-10"/>
        </w:rPr>
        <w:t> </w:t>
      </w:r>
      <w:r>
        <w:rPr/>
        <w:t>se</w:t>
      </w:r>
      <w:r>
        <w:rPr>
          <w:spacing w:val="-10"/>
        </w:rPr>
        <w:t> </w:t>
      </w:r>
      <w:r>
        <w:rPr/>
        <w:t>requiera con frecuencia el pronóstico de avenidas y sequías (Aparicio,</w:t>
      </w:r>
      <w:r>
        <w:rPr>
          <w:spacing w:val="-12"/>
        </w:rPr>
        <w:t> </w:t>
      </w:r>
      <w:r>
        <w:rPr/>
        <w:t>1989).</w:t>
      </w:r>
    </w:p>
    <w:p>
      <w:pPr>
        <w:pStyle w:val="BodyText"/>
        <w:spacing w:before="6"/>
        <w:rPr>
          <w:sz w:val="21"/>
        </w:rPr>
      </w:pPr>
    </w:p>
    <w:p>
      <w:pPr>
        <w:pStyle w:val="Heading1"/>
        <w:numPr>
          <w:ilvl w:val="1"/>
          <w:numId w:val="7"/>
        </w:numPr>
        <w:tabs>
          <w:tab w:pos="510" w:val="left" w:leader="none"/>
        </w:tabs>
        <w:spacing w:line="240" w:lineRule="auto" w:before="0" w:after="0"/>
        <w:ind w:left="509" w:right="0" w:hanging="393"/>
        <w:jc w:val="both"/>
      </w:pPr>
      <w:bookmarkStart w:name="_bookmark20" w:id="31"/>
      <w:bookmarkEnd w:id="31"/>
      <w:r>
        <w:rPr>
          <w:b w:val="0"/>
        </w:rPr>
      </w:r>
      <w:bookmarkStart w:name="_bookmark20" w:id="32"/>
      <w:bookmarkEnd w:id="32"/>
      <w:r>
        <w:rPr/>
        <w:t>Mo</w:t>
      </w:r>
      <w:r>
        <w:rPr/>
        <w:t>delos</w:t>
      </w:r>
      <w:r>
        <w:rPr>
          <w:spacing w:val="-15"/>
        </w:rPr>
        <w:t> </w:t>
      </w:r>
      <w:r>
        <w:rPr/>
        <w:t>hidrológicos</w:t>
      </w:r>
    </w:p>
    <w:p>
      <w:pPr>
        <w:pStyle w:val="BodyText"/>
        <w:rPr>
          <w:b/>
        </w:rPr>
      </w:pPr>
    </w:p>
    <w:p>
      <w:pPr>
        <w:pStyle w:val="BodyText"/>
        <w:spacing w:before="1"/>
        <w:rPr>
          <w:b/>
          <w:sz w:val="31"/>
        </w:rPr>
      </w:pPr>
    </w:p>
    <w:p>
      <w:pPr>
        <w:pStyle w:val="BodyText"/>
        <w:spacing w:line="360" w:lineRule="auto"/>
        <w:ind w:left="116" w:right="115"/>
        <w:jc w:val="both"/>
      </w:pPr>
      <w:r>
        <w:rPr/>
        <w:t>Debido</w:t>
      </w:r>
      <w:r>
        <w:rPr>
          <w:spacing w:val="-12"/>
        </w:rPr>
        <w:t> </w:t>
      </w:r>
      <w:r>
        <w:rPr/>
        <w:t>a</w:t>
      </w:r>
      <w:r>
        <w:rPr>
          <w:spacing w:val="-11"/>
        </w:rPr>
        <w:t> </w:t>
      </w:r>
      <w:r>
        <w:rPr/>
        <w:t>que</w:t>
      </w:r>
      <w:r>
        <w:rPr>
          <w:spacing w:val="-17"/>
        </w:rPr>
        <w:t> </w:t>
      </w:r>
      <w:r>
        <w:rPr/>
        <w:t>en</w:t>
      </w:r>
      <w:r>
        <w:rPr>
          <w:spacing w:val="-12"/>
        </w:rPr>
        <w:t> </w:t>
      </w:r>
      <w:r>
        <w:rPr/>
        <w:t>muchas</w:t>
      </w:r>
      <w:r>
        <w:rPr>
          <w:spacing w:val="-12"/>
        </w:rPr>
        <w:t> </w:t>
      </w:r>
      <w:r>
        <w:rPr/>
        <w:t>ocasiones</w:t>
      </w:r>
      <w:r>
        <w:rPr>
          <w:spacing w:val="-12"/>
        </w:rPr>
        <w:t> </w:t>
      </w:r>
      <w:r>
        <w:rPr/>
        <w:t>es</w:t>
      </w:r>
      <w:r>
        <w:rPr>
          <w:spacing w:val="-12"/>
        </w:rPr>
        <w:t> </w:t>
      </w:r>
      <w:r>
        <w:rPr/>
        <w:t>complicado</w:t>
      </w:r>
      <w:r>
        <w:rPr>
          <w:spacing w:val="-10"/>
        </w:rPr>
        <w:t> </w:t>
      </w:r>
      <w:r>
        <w:rPr/>
        <w:t>llevar</w:t>
      </w:r>
      <w:r>
        <w:rPr>
          <w:spacing w:val="-12"/>
        </w:rPr>
        <w:t> </w:t>
      </w:r>
      <w:r>
        <w:rPr/>
        <w:t>a</w:t>
      </w:r>
      <w:r>
        <w:rPr>
          <w:spacing w:val="-12"/>
        </w:rPr>
        <w:t> </w:t>
      </w:r>
      <w:r>
        <w:rPr/>
        <w:t>cabo</w:t>
      </w:r>
      <w:r>
        <w:rPr>
          <w:spacing w:val="-12"/>
        </w:rPr>
        <w:t> </w:t>
      </w:r>
      <w:r>
        <w:rPr/>
        <w:t>experimentos</w:t>
      </w:r>
      <w:r>
        <w:rPr>
          <w:spacing w:val="-11"/>
        </w:rPr>
        <w:t> </w:t>
      </w:r>
      <w:r>
        <w:rPr/>
        <w:t>en</w:t>
      </w:r>
      <w:r>
        <w:rPr>
          <w:spacing w:val="-12"/>
        </w:rPr>
        <w:t> </w:t>
      </w:r>
      <w:r>
        <w:rPr/>
        <w:t>campo</w:t>
      </w:r>
      <w:r>
        <w:rPr>
          <w:spacing w:val="-12"/>
        </w:rPr>
        <w:t> </w:t>
      </w:r>
      <w:r>
        <w:rPr/>
        <w:t>que respondan</w:t>
      </w:r>
      <w:r>
        <w:rPr>
          <w:spacing w:val="-5"/>
        </w:rPr>
        <w:t> </w:t>
      </w:r>
      <w:r>
        <w:rPr/>
        <w:t>a</w:t>
      </w:r>
      <w:r>
        <w:rPr>
          <w:spacing w:val="-5"/>
        </w:rPr>
        <w:t> </w:t>
      </w:r>
      <w:r>
        <w:rPr/>
        <w:t>las</w:t>
      </w:r>
      <w:r>
        <w:rPr>
          <w:spacing w:val="-5"/>
        </w:rPr>
        <w:t> </w:t>
      </w:r>
      <w:r>
        <w:rPr/>
        <w:t>necesidades</w:t>
      </w:r>
      <w:r>
        <w:rPr>
          <w:spacing w:val="-5"/>
        </w:rPr>
        <w:t> </w:t>
      </w:r>
      <w:r>
        <w:rPr/>
        <w:t>prácticas</w:t>
      </w:r>
      <w:r>
        <w:rPr>
          <w:spacing w:val="-5"/>
        </w:rPr>
        <w:t> </w:t>
      </w:r>
      <w:r>
        <w:rPr/>
        <w:t>de</w:t>
      </w:r>
      <w:r>
        <w:rPr>
          <w:spacing w:val="-5"/>
        </w:rPr>
        <w:t> </w:t>
      </w:r>
      <w:r>
        <w:rPr/>
        <w:t>la</w:t>
      </w:r>
      <w:r>
        <w:rPr>
          <w:spacing w:val="-5"/>
        </w:rPr>
        <w:t> </w:t>
      </w:r>
      <w:r>
        <w:rPr/>
        <w:t>investigación</w:t>
      </w:r>
      <w:r>
        <w:rPr>
          <w:spacing w:val="-5"/>
        </w:rPr>
        <w:t> </w:t>
      </w:r>
      <w:r>
        <w:rPr/>
        <w:t>sobre</w:t>
      </w:r>
      <w:r>
        <w:rPr>
          <w:spacing w:val="-5"/>
        </w:rPr>
        <w:t> </w:t>
      </w:r>
      <w:r>
        <w:rPr/>
        <w:t>sistemas</w:t>
      </w:r>
      <w:r>
        <w:rPr>
          <w:spacing w:val="-5"/>
        </w:rPr>
        <w:t> </w:t>
      </w:r>
      <w:r>
        <w:rPr/>
        <w:t>ambientales,</w:t>
      </w:r>
      <w:r>
        <w:rPr>
          <w:spacing w:val="-4"/>
        </w:rPr>
        <w:t> </w:t>
      </w:r>
      <w:r>
        <w:rPr/>
        <w:t>se</w:t>
      </w:r>
      <w:r>
        <w:rPr>
          <w:spacing w:val="-5"/>
        </w:rPr>
        <w:t> </w:t>
      </w:r>
      <w:r>
        <w:rPr/>
        <w:t>ha propuesto una amplia gama de modos de trabajo que relajan las estrictas condiciones que debe</w:t>
      </w:r>
      <w:r>
        <w:rPr>
          <w:spacing w:val="-5"/>
        </w:rPr>
        <w:t> </w:t>
      </w:r>
      <w:r>
        <w:rPr/>
        <w:t>cumplir</w:t>
      </w:r>
      <w:r>
        <w:rPr>
          <w:spacing w:val="-5"/>
        </w:rPr>
        <w:t> </w:t>
      </w:r>
      <w:r>
        <w:rPr/>
        <w:t>un</w:t>
      </w:r>
      <w:r>
        <w:rPr>
          <w:spacing w:val="-5"/>
        </w:rPr>
        <w:t> </w:t>
      </w:r>
      <w:r>
        <w:rPr/>
        <w:t>experimento.</w:t>
      </w:r>
      <w:r>
        <w:rPr>
          <w:spacing w:val="-3"/>
        </w:rPr>
        <w:t> </w:t>
      </w:r>
      <w:r>
        <w:rPr/>
        <w:t>Una</w:t>
      </w:r>
      <w:r>
        <w:rPr>
          <w:spacing w:val="-5"/>
        </w:rPr>
        <w:t> </w:t>
      </w:r>
      <w:r>
        <w:rPr/>
        <w:t>de</w:t>
      </w:r>
      <w:r>
        <w:rPr>
          <w:spacing w:val="-5"/>
        </w:rPr>
        <w:t> </w:t>
      </w:r>
      <w:r>
        <w:rPr/>
        <w:t>estas</w:t>
      </w:r>
      <w:r>
        <w:rPr>
          <w:spacing w:val="-5"/>
        </w:rPr>
        <w:t> </w:t>
      </w:r>
      <w:r>
        <w:rPr/>
        <w:t>líneas</w:t>
      </w:r>
      <w:r>
        <w:rPr>
          <w:spacing w:val="-5"/>
        </w:rPr>
        <w:t> </w:t>
      </w:r>
      <w:r>
        <w:rPr/>
        <w:t>es</w:t>
      </w:r>
      <w:r>
        <w:rPr>
          <w:spacing w:val="-5"/>
        </w:rPr>
        <w:t> </w:t>
      </w:r>
      <w:r>
        <w:rPr/>
        <w:t>el</w:t>
      </w:r>
      <w:r>
        <w:rPr>
          <w:spacing w:val="-5"/>
        </w:rPr>
        <w:t> </w:t>
      </w:r>
      <w:r>
        <w:rPr/>
        <w:t>estudio</w:t>
      </w:r>
      <w:r>
        <w:rPr>
          <w:spacing w:val="-5"/>
        </w:rPr>
        <w:t> </w:t>
      </w:r>
      <w:r>
        <w:rPr/>
        <w:t>de</w:t>
      </w:r>
      <w:r>
        <w:rPr>
          <w:spacing w:val="-5"/>
        </w:rPr>
        <w:t> </w:t>
      </w:r>
      <w:r>
        <w:rPr/>
        <w:t>los</w:t>
      </w:r>
      <w:r>
        <w:rPr>
          <w:spacing w:val="-5"/>
        </w:rPr>
        <w:t> </w:t>
      </w:r>
      <w:r>
        <w:rPr/>
        <w:t>sistemas</w:t>
      </w:r>
      <w:r>
        <w:rPr>
          <w:spacing w:val="-5"/>
        </w:rPr>
        <w:t> </w:t>
      </w:r>
      <w:r>
        <w:rPr/>
        <w:t>ambientales mediante</w:t>
      </w:r>
      <w:r>
        <w:rPr>
          <w:spacing w:val="-5"/>
        </w:rPr>
        <w:t> </w:t>
      </w:r>
      <w:r>
        <w:rPr/>
        <w:t>modelos.</w:t>
      </w:r>
    </w:p>
    <w:p>
      <w:pPr>
        <w:pStyle w:val="BodyText"/>
      </w:pPr>
    </w:p>
    <w:p>
      <w:pPr>
        <w:pStyle w:val="BodyText"/>
        <w:spacing w:before="4"/>
        <w:rPr>
          <w:sz w:val="34"/>
        </w:rPr>
      </w:pPr>
    </w:p>
    <w:p>
      <w:pPr>
        <w:pStyle w:val="Heading1"/>
        <w:numPr>
          <w:ilvl w:val="2"/>
          <w:numId w:val="7"/>
        </w:numPr>
        <w:tabs>
          <w:tab w:pos="706" w:val="left" w:leader="none"/>
        </w:tabs>
        <w:spacing w:line="240" w:lineRule="auto" w:before="0" w:after="0"/>
        <w:ind w:left="705" w:right="0" w:hanging="589"/>
        <w:jc w:val="both"/>
      </w:pPr>
      <w:bookmarkStart w:name="_bookmark21" w:id="33"/>
      <w:bookmarkEnd w:id="33"/>
      <w:r>
        <w:rPr>
          <w:b w:val="0"/>
        </w:rPr>
      </w:r>
      <w:bookmarkStart w:name="_bookmark21" w:id="34"/>
      <w:bookmarkEnd w:id="34"/>
      <w:r>
        <w:rPr/>
        <w:t>De</w:t>
      </w:r>
      <w:r>
        <w:rPr/>
        <w:t>finición </w:t>
      </w:r>
      <w:r>
        <w:rPr>
          <w:spacing w:val="-3"/>
        </w:rPr>
        <w:t>de</w:t>
      </w:r>
      <w:r>
        <w:rPr>
          <w:spacing w:val="-6"/>
        </w:rPr>
        <w:t> </w:t>
      </w:r>
      <w:r>
        <w:rPr/>
        <w:t>modelo</w:t>
      </w:r>
    </w:p>
    <w:p>
      <w:pPr>
        <w:pStyle w:val="BodyText"/>
        <w:rPr>
          <w:b/>
        </w:rPr>
      </w:pPr>
    </w:p>
    <w:p>
      <w:pPr>
        <w:pStyle w:val="BodyText"/>
        <w:spacing w:before="1"/>
        <w:rPr>
          <w:b/>
          <w:sz w:val="31"/>
        </w:rPr>
      </w:pPr>
    </w:p>
    <w:p>
      <w:pPr>
        <w:pStyle w:val="BodyText"/>
        <w:spacing w:line="357" w:lineRule="auto"/>
        <w:ind w:left="116" w:right="118"/>
        <w:jc w:val="both"/>
      </w:pPr>
      <w:r>
        <w:rPr/>
        <w:t>Acorde con Estrela, (1996) un </w:t>
      </w:r>
      <w:r>
        <w:rPr>
          <w:i/>
        </w:rPr>
        <w:t>modelo </w:t>
      </w:r>
      <w:r>
        <w:rPr/>
        <w:t>es una representación simplificada de una realidad compleja de forma que resulte adecuada para los propósitos de la modelización.</w:t>
      </w:r>
      <w:r>
        <w:rPr>
          <w:spacing w:val="50"/>
        </w:rPr>
        <w:t> </w:t>
      </w:r>
      <w:r>
        <w:rPr/>
        <w:t>Esta</w:t>
      </w:r>
    </w:p>
    <w:p>
      <w:pPr>
        <w:spacing w:after="0" w:line="357" w:lineRule="auto"/>
        <w:jc w:val="both"/>
        <w:sectPr>
          <w:footerReference w:type="default" r:id="rId13"/>
          <w:pgSz w:w="12240" w:h="15840"/>
          <w:pgMar w:footer="1473" w:header="0" w:top="1380" w:bottom="1660" w:left="1300" w:right="1300"/>
          <w:pgNumType w:start="21"/>
        </w:sectPr>
      </w:pPr>
    </w:p>
    <w:p>
      <w:pPr>
        <w:pStyle w:val="BodyText"/>
        <w:spacing w:line="362" w:lineRule="auto" w:before="49"/>
        <w:ind w:left="116" w:right="118"/>
      </w:pPr>
      <w:r>
        <w:rPr/>
        <w:t>simplificación se basa en una serie de asunciones acerca de cómo funciona un sistema que no son totalmente válidas pero permiten representar el sistema de forma más sencilla.</w:t>
      </w:r>
    </w:p>
    <w:p>
      <w:pPr>
        <w:pStyle w:val="BodyText"/>
        <w:spacing w:before="11"/>
        <w:rPr>
          <w:sz w:val="20"/>
        </w:rPr>
      </w:pPr>
    </w:p>
    <w:p>
      <w:pPr>
        <w:pStyle w:val="Heading1"/>
        <w:numPr>
          <w:ilvl w:val="2"/>
          <w:numId w:val="7"/>
        </w:numPr>
        <w:tabs>
          <w:tab w:pos="706" w:val="left" w:leader="none"/>
        </w:tabs>
        <w:spacing w:line="240" w:lineRule="auto" w:before="0" w:after="0"/>
        <w:ind w:left="705" w:right="0" w:hanging="589"/>
        <w:jc w:val="left"/>
      </w:pPr>
      <w:bookmarkStart w:name="_bookmark22" w:id="35"/>
      <w:bookmarkEnd w:id="35"/>
      <w:r>
        <w:rPr>
          <w:b w:val="0"/>
        </w:rPr>
      </w:r>
      <w:bookmarkStart w:name="_bookmark22" w:id="36"/>
      <w:bookmarkEnd w:id="36"/>
      <w:r>
        <w:rPr/>
        <w:t>Utili</w:t>
      </w:r>
      <w:r>
        <w:rPr/>
        <w:t>dad </w:t>
      </w:r>
      <w:r>
        <w:rPr>
          <w:spacing w:val="-3"/>
        </w:rPr>
        <w:t>de </w:t>
      </w:r>
      <w:r>
        <w:rPr/>
        <w:t>los</w:t>
      </w:r>
      <w:r>
        <w:rPr>
          <w:spacing w:val="-7"/>
        </w:rPr>
        <w:t> </w:t>
      </w:r>
      <w:r>
        <w:rPr/>
        <w:t>modelos</w:t>
      </w:r>
    </w:p>
    <w:p>
      <w:pPr>
        <w:pStyle w:val="BodyText"/>
        <w:rPr>
          <w:b/>
        </w:rPr>
      </w:pPr>
    </w:p>
    <w:p>
      <w:pPr>
        <w:pStyle w:val="BodyText"/>
        <w:spacing w:before="5"/>
        <w:rPr>
          <w:b/>
          <w:sz w:val="31"/>
        </w:rPr>
      </w:pPr>
    </w:p>
    <w:p>
      <w:pPr>
        <w:pStyle w:val="BodyText"/>
        <w:spacing w:line="357" w:lineRule="auto"/>
        <w:ind w:left="116"/>
      </w:pPr>
      <w:r>
        <w:rPr/>
        <w:t>El</w:t>
      </w:r>
      <w:r>
        <w:rPr>
          <w:spacing w:val="-7"/>
        </w:rPr>
        <w:t> </w:t>
      </w:r>
      <w:r>
        <w:rPr/>
        <w:t>estudio</w:t>
      </w:r>
      <w:r>
        <w:rPr>
          <w:spacing w:val="-7"/>
        </w:rPr>
        <w:t> </w:t>
      </w:r>
      <w:r>
        <w:rPr/>
        <w:t>de</w:t>
      </w:r>
      <w:r>
        <w:rPr>
          <w:spacing w:val="-7"/>
        </w:rPr>
        <w:t> </w:t>
      </w:r>
      <w:r>
        <w:rPr/>
        <w:t>cuencas</w:t>
      </w:r>
      <w:r>
        <w:rPr>
          <w:spacing w:val="-10"/>
        </w:rPr>
        <w:t> </w:t>
      </w:r>
      <w:r>
        <w:rPr/>
        <w:t>mediante</w:t>
      </w:r>
      <w:r>
        <w:rPr>
          <w:spacing w:val="-7"/>
        </w:rPr>
        <w:t> </w:t>
      </w:r>
      <w:r>
        <w:rPr/>
        <w:t>el</w:t>
      </w:r>
      <w:r>
        <w:rPr>
          <w:spacing w:val="-7"/>
        </w:rPr>
        <w:t> </w:t>
      </w:r>
      <w:r>
        <w:rPr/>
        <w:t>uso</w:t>
      </w:r>
      <w:r>
        <w:rPr>
          <w:spacing w:val="-7"/>
        </w:rPr>
        <w:t> </w:t>
      </w:r>
      <w:r>
        <w:rPr/>
        <w:t>de</w:t>
      </w:r>
      <w:r>
        <w:rPr>
          <w:spacing w:val="-7"/>
        </w:rPr>
        <w:t> </w:t>
      </w:r>
      <w:r>
        <w:rPr/>
        <w:t>modelo</w:t>
      </w:r>
      <w:r>
        <w:rPr>
          <w:spacing w:val="-7"/>
        </w:rPr>
        <w:t> </w:t>
      </w:r>
      <w:r>
        <w:rPr/>
        <w:t>cuenta</w:t>
      </w:r>
      <w:r>
        <w:rPr>
          <w:spacing w:val="-7"/>
        </w:rPr>
        <w:t> </w:t>
      </w:r>
      <w:r>
        <w:rPr/>
        <w:t>con</w:t>
      </w:r>
      <w:r>
        <w:rPr>
          <w:spacing w:val="-7"/>
        </w:rPr>
        <w:t> </w:t>
      </w:r>
      <w:r>
        <w:rPr/>
        <w:t>diversas</w:t>
      </w:r>
      <w:r>
        <w:rPr>
          <w:spacing w:val="-7"/>
        </w:rPr>
        <w:t> </w:t>
      </w:r>
      <w:r>
        <w:rPr/>
        <w:t>ventajas</w:t>
      </w:r>
      <w:r>
        <w:rPr>
          <w:spacing w:val="-7"/>
        </w:rPr>
        <w:t> </w:t>
      </w:r>
      <w:r>
        <w:rPr/>
        <w:t>entre</w:t>
      </w:r>
      <w:r>
        <w:rPr>
          <w:spacing w:val="-7"/>
        </w:rPr>
        <w:t> </w:t>
      </w:r>
      <w:r>
        <w:rPr/>
        <w:t>las</w:t>
      </w:r>
      <w:r>
        <w:rPr>
          <w:spacing w:val="-7"/>
        </w:rPr>
        <w:t> </w:t>
      </w:r>
      <w:r>
        <w:rPr/>
        <w:t>que destacan las siguientes (Fohrer y otros,</w:t>
      </w:r>
      <w:r>
        <w:rPr>
          <w:spacing w:val="-5"/>
        </w:rPr>
        <w:t> </w:t>
      </w:r>
      <w:r>
        <w:rPr/>
        <w:t>2001):</w:t>
      </w:r>
    </w:p>
    <w:p>
      <w:pPr>
        <w:pStyle w:val="ListParagraph"/>
        <w:numPr>
          <w:ilvl w:val="3"/>
          <w:numId w:val="7"/>
        </w:numPr>
        <w:tabs>
          <w:tab w:pos="837" w:val="left" w:leader="none"/>
        </w:tabs>
        <w:spacing w:line="355" w:lineRule="auto" w:before="7" w:after="0"/>
        <w:ind w:left="837" w:right="118" w:hanging="361"/>
        <w:jc w:val="both"/>
        <w:rPr>
          <w:sz w:val="26"/>
        </w:rPr>
      </w:pPr>
      <w:r>
        <w:rPr>
          <w:spacing w:val="-3"/>
          <w:sz w:val="26"/>
        </w:rPr>
        <w:t>Se</w:t>
      </w:r>
      <w:r>
        <w:rPr>
          <w:spacing w:val="-16"/>
          <w:sz w:val="26"/>
        </w:rPr>
        <w:t> </w:t>
      </w:r>
      <w:r>
        <w:rPr>
          <w:sz w:val="26"/>
        </w:rPr>
        <w:t>pueden</w:t>
      </w:r>
      <w:r>
        <w:rPr>
          <w:spacing w:val="-15"/>
          <w:sz w:val="26"/>
        </w:rPr>
        <w:t> </w:t>
      </w:r>
      <w:r>
        <w:rPr>
          <w:sz w:val="26"/>
        </w:rPr>
        <w:t>comprender</w:t>
      </w:r>
      <w:r>
        <w:rPr>
          <w:spacing w:val="-11"/>
          <w:sz w:val="26"/>
        </w:rPr>
        <w:t> </w:t>
      </w:r>
      <w:r>
        <w:rPr>
          <w:sz w:val="26"/>
        </w:rPr>
        <w:t>mejor</w:t>
      </w:r>
      <w:r>
        <w:rPr>
          <w:spacing w:val="-16"/>
          <w:sz w:val="26"/>
        </w:rPr>
        <w:t> </w:t>
      </w:r>
      <w:r>
        <w:rPr>
          <w:sz w:val="26"/>
        </w:rPr>
        <w:t>los</w:t>
      </w:r>
      <w:r>
        <w:rPr>
          <w:spacing w:val="-16"/>
          <w:sz w:val="26"/>
        </w:rPr>
        <w:t> </w:t>
      </w:r>
      <w:r>
        <w:rPr>
          <w:sz w:val="26"/>
        </w:rPr>
        <w:t>procesos</w:t>
      </w:r>
      <w:r>
        <w:rPr>
          <w:spacing w:val="-15"/>
          <w:sz w:val="26"/>
        </w:rPr>
        <w:t> </w:t>
      </w:r>
      <w:r>
        <w:rPr>
          <w:sz w:val="26"/>
        </w:rPr>
        <w:t>que</w:t>
      </w:r>
      <w:r>
        <w:rPr>
          <w:spacing w:val="-11"/>
          <w:sz w:val="26"/>
        </w:rPr>
        <w:t> </w:t>
      </w:r>
      <w:r>
        <w:rPr>
          <w:sz w:val="26"/>
        </w:rPr>
        <w:t>ocurren</w:t>
      </w:r>
      <w:r>
        <w:rPr>
          <w:spacing w:val="-15"/>
          <w:sz w:val="26"/>
        </w:rPr>
        <w:t> </w:t>
      </w:r>
      <w:r>
        <w:rPr>
          <w:sz w:val="26"/>
        </w:rPr>
        <w:t>en</w:t>
      </w:r>
      <w:r>
        <w:rPr>
          <w:spacing w:val="-16"/>
          <w:sz w:val="26"/>
        </w:rPr>
        <w:t> </w:t>
      </w:r>
      <w:r>
        <w:rPr>
          <w:sz w:val="26"/>
        </w:rPr>
        <w:t>un</w:t>
      </w:r>
      <w:r>
        <w:rPr>
          <w:spacing w:val="-16"/>
          <w:sz w:val="26"/>
        </w:rPr>
        <w:t> </w:t>
      </w:r>
      <w:r>
        <w:rPr>
          <w:sz w:val="26"/>
        </w:rPr>
        <w:t>sistema</w:t>
      </w:r>
      <w:r>
        <w:rPr>
          <w:spacing w:val="-16"/>
          <w:sz w:val="26"/>
        </w:rPr>
        <w:t> </w:t>
      </w:r>
      <w:r>
        <w:rPr>
          <w:sz w:val="26"/>
        </w:rPr>
        <w:t>en</w:t>
      </w:r>
      <w:r>
        <w:rPr>
          <w:spacing w:val="-16"/>
          <w:sz w:val="26"/>
        </w:rPr>
        <w:t> </w:t>
      </w:r>
      <w:r>
        <w:rPr>
          <w:sz w:val="26"/>
        </w:rPr>
        <w:t>un</w:t>
      </w:r>
      <w:r>
        <w:rPr>
          <w:spacing w:val="-11"/>
          <w:sz w:val="26"/>
        </w:rPr>
        <w:t> </w:t>
      </w:r>
      <w:r>
        <w:rPr>
          <w:sz w:val="26"/>
        </w:rPr>
        <w:t>momento decisivo.</w:t>
      </w:r>
    </w:p>
    <w:p>
      <w:pPr>
        <w:pStyle w:val="ListParagraph"/>
        <w:numPr>
          <w:ilvl w:val="3"/>
          <w:numId w:val="7"/>
        </w:numPr>
        <w:tabs>
          <w:tab w:pos="837" w:val="left" w:leader="none"/>
        </w:tabs>
        <w:spacing w:line="355" w:lineRule="auto" w:before="9" w:after="0"/>
        <w:ind w:left="837" w:right="117" w:hanging="361"/>
        <w:jc w:val="both"/>
        <w:rPr>
          <w:sz w:val="26"/>
        </w:rPr>
      </w:pPr>
      <w:r>
        <w:rPr>
          <w:spacing w:val="-3"/>
          <w:sz w:val="26"/>
        </w:rPr>
        <w:t>Se </w:t>
      </w:r>
      <w:r>
        <w:rPr>
          <w:sz w:val="26"/>
        </w:rPr>
        <w:t>tiene la posibilidad de estudiar varios escenarios diferentes y de manera rápida, ya que muchos de ellos no tienen operación en experimentos reales o en</w:t>
      </w:r>
      <w:r>
        <w:rPr>
          <w:spacing w:val="-12"/>
          <w:sz w:val="26"/>
        </w:rPr>
        <w:t> </w:t>
      </w:r>
      <w:r>
        <w:rPr>
          <w:sz w:val="26"/>
        </w:rPr>
        <w:t>campo.</w:t>
      </w:r>
    </w:p>
    <w:p>
      <w:pPr>
        <w:pStyle w:val="ListParagraph"/>
        <w:numPr>
          <w:ilvl w:val="3"/>
          <w:numId w:val="7"/>
        </w:numPr>
        <w:tabs>
          <w:tab w:pos="837" w:val="left" w:leader="none"/>
        </w:tabs>
        <w:spacing w:line="357" w:lineRule="auto" w:before="9" w:after="0"/>
        <w:ind w:left="837" w:right="116" w:hanging="361"/>
        <w:jc w:val="both"/>
        <w:rPr>
          <w:sz w:val="26"/>
        </w:rPr>
      </w:pPr>
      <w:r>
        <w:rPr>
          <w:spacing w:val="-3"/>
          <w:sz w:val="26"/>
        </w:rPr>
        <w:t>La </w:t>
      </w:r>
      <w:r>
        <w:rPr>
          <w:sz w:val="26"/>
        </w:rPr>
        <w:t>simulación de escenarios se asocia a su bajo costo. En la mayoría de las aplicaciones, el costo de la realización de un programa de ordenador es muchos órdenes de magnitud menor que el costo correspondiente en la investigación experimental.</w:t>
      </w:r>
    </w:p>
    <w:p>
      <w:pPr>
        <w:pStyle w:val="BodyText"/>
        <w:spacing w:line="360" w:lineRule="auto" w:before="11"/>
        <w:ind w:left="836" w:right="118"/>
        <w:jc w:val="both"/>
      </w:pPr>
      <w:r>
        <w:rPr/>
        <w:t>Este</w:t>
      </w:r>
      <w:r>
        <w:rPr>
          <w:spacing w:val="-6"/>
        </w:rPr>
        <w:t> </w:t>
      </w:r>
      <w:r>
        <w:rPr/>
        <w:t>factor</w:t>
      </w:r>
      <w:r>
        <w:rPr>
          <w:spacing w:val="-6"/>
        </w:rPr>
        <w:t> </w:t>
      </w:r>
      <w:r>
        <w:rPr/>
        <w:t>adquiere</w:t>
      </w:r>
      <w:r>
        <w:rPr>
          <w:spacing w:val="-6"/>
        </w:rPr>
        <w:t> </w:t>
      </w:r>
      <w:r>
        <w:rPr/>
        <w:t>una</w:t>
      </w:r>
      <w:r>
        <w:rPr>
          <w:spacing w:val="-1"/>
        </w:rPr>
        <w:t> </w:t>
      </w:r>
      <w:r>
        <w:rPr/>
        <w:t>mayor</w:t>
      </w:r>
      <w:r>
        <w:rPr>
          <w:spacing w:val="-6"/>
        </w:rPr>
        <w:t> </w:t>
      </w:r>
      <w:r>
        <w:rPr/>
        <w:t>importancia</w:t>
      </w:r>
      <w:r>
        <w:rPr>
          <w:spacing w:val="-6"/>
        </w:rPr>
        <w:t> </w:t>
      </w:r>
      <w:r>
        <w:rPr/>
        <w:t>a</w:t>
      </w:r>
      <w:r>
        <w:rPr>
          <w:spacing w:val="-1"/>
        </w:rPr>
        <w:t> </w:t>
      </w:r>
      <w:r>
        <w:rPr/>
        <w:t>medida</w:t>
      </w:r>
      <w:r>
        <w:rPr>
          <w:spacing w:val="-6"/>
        </w:rPr>
        <w:t> </w:t>
      </w:r>
      <w:r>
        <w:rPr/>
        <w:t>que</w:t>
      </w:r>
      <w:r>
        <w:rPr>
          <w:spacing w:val="-6"/>
        </w:rPr>
        <w:t> </w:t>
      </w:r>
      <w:r>
        <w:rPr/>
        <w:t>el</w:t>
      </w:r>
      <w:r>
        <w:rPr>
          <w:spacing w:val="-6"/>
        </w:rPr>
        <w:t> </w:t>
      </w:r>
      <w:r>
        <w:rPr/>
        <w:t>problema</w:t>
      </w:r>
      <w:r>
        <w:rPr>
          <w:spacing w:val="-1"/>
        </w:rPr>
        <w:t> </w:t>
      </w:r>
      <w:r>
        <w:rPr/>
        <w:t>verdadero</w:t>
      </w:r>
      <w:r>
        <w:rPr>
          <w:spacing w:val="-6"/>
        </w:rPr>
        <w:t> </w:t>
      </w:r>
      <w:r>
        <w:rPr/>
        <w:t>de estudio es más grande y presenta complejidad (tal como una cuenca), y mayores costos de operación relacionados con las investigaciones de campo (Pessoa y otros, 1997).</w:t>
      </w:r>
    </w:p>
    <w:p>
      <w:pPr>
        <w:pStyle w:val="ListParagraph"/>
        <w:numPr>
          <w:ilvl w:val="3"/>
          <w:numId w:val="7"/>
        </w:numPr>
        <w:tabs>
          <w:tab w:pos="837" w:val="left" w:leader="none"/>
        </w:tabs>
        <w:spacing w:line="357" w:lineRule="auto" w:before="4" w:after="0"/>
        <w:ind w:left="837" w:right="110" w:hanging="361"/>
        <w:jc w:val="both"/>
        <w:rPr>
          <w:sz w:val="26"/>
        </w:rPr>
      </w:pPr>
      <w:r>
        <w:rPr>
          <w:sz w:val="26"/>
        </w:rPr>
        <w:t>Es posible la simulación y predicción de los fenómenos físicos a corto, mediano y largo plazo. Asimismo a través de los modelos se pueden obtener relaciones causa- efecto, sin haber realizado cambios en los sistemas reales y las capacidades de simulación varían en términos de tiempo y</w:t>
      </w:r>
      <w:r>
        <w:rPr>
          <w:spacing w:val="-10"/>
          <w:sz w:val="26"/>
        </w:rPr>
        <w:t> </w:t>
      </w:r>
      <w:r>
        <w:rPr>
          <w:sz w:val="26"/>
        </w:rPr>
        <w:t>espacio.</w:t>
      </w:r>
    </w:p>
    <w:p>
      <w:pPr>
        <w:pStyle w:val="ListParagraph"/>
        <w:numPr>
          <w:ilvl w:val="3"/>
          <w:numId w:val="7"/>
        </w:numPr>
        <w:tabs>
          <w:tab w:pos="837" w:val="left" w:leader="none"/>
        </w:tabs>
        <w:spacing w:line="357" w:lineRule="auto" w:before="11" w:after="0"/>
        <w:ind w:left="837" w:right="115" w:hanging="361"/>
        <w:jc w:val="both"/>
        <w:rPr>
          <w:sz w:val="26"/>
        </w:rPr>
      </w:pPr>
      <w:r>
        <w:rPr>
          <w:spacing w:val="-3"/>
          <w:sz w:val="26"/>
        </w:rPr>
        <w:t>Se </w:t>
      </w:r>
      <w:r>
        <w:rPr>
          <w:sz w:val="26"/>
        </w:rPr>
        <w:t>utilizan para estudiar situaciones extremas, difícilmente observables en la realidad, como por ejemplo los efectos </w:t>
      </w:r>
      <w:r>
        <w:rPr>
          <w:spacing w:val="-3"/>
          <w:sz w:val="26"/>
        </w:rPr>
        <w:t>de </w:t>
      </w:r>
      <w:r>
        <w:rPr>
          <w:sz w:val="26"/>
        </w:rPr>
        <w:t>precipitaciones muy intensas y prolongadas en cuencas hidrográficas, en su estado natural, o en las que se ha intervenido con obras como canales, represas, diques de contención, puentes,</w:t>
      </w:r>
      <w:r>
        <w:rPr>
          <w:spacing w:val="-10"/>
          <w:sz w:val="26"/>
        </w:rPr>
        <w:t> </w:t>
      </w:r>
      <w:r>
        <w:rPr>
          <w:sz w:val="26"/>
        </w:rPr>
        <w:t>etc.</w:t>
      </w:r>
    </w:p>
    <w:p>
      <w:pPr>
        <w:spacing w:after="0" w:line="357" w:lineRule="auto"/>
        <w:jc w:val="both"/>
        <w:rPr>
          <w:sz w:val="26"/>
        </w:rPr>
        <w:sectPr>
          <w:pgSz w:w="12240" w:h="15840"/>
          <w:pgMar w:header="0" w:footer="1473" w:top="1360" w:bottom="1660" w:left="1300" w:right="1300"/>
        </w:sectPr>
      </w:pPr>
    </w:p>
    <w:p>
      <w:pPr>
        <w:pStyle w:val="BodyText"/>
        <w:spacing w:line="360" w:lineRule="auto" w:before="49"/>
        <w:ind w:left="116" w:right="122"/>
        <w:jc w:val="both"/>
      </w:pPr>
      <w:r>
        <w:rPr/>
        <w:t>Fernández y otros, (s/f) mencionan como en las áreas de conocimiento relacionadas con el medio natural, al ser tan grande el número de factores que determinan el comportamiento de cada sistema, este proceso de selección de las variables a las que es más sensible el sistema y de eliminación del resto es una tarea imprescindible.</w:t>
      </w:r>
    </w:p>
    <w:p>
      <w:pPr>
        <w:pStyle w:val="BodyText"/>
      </w:pPr>
    </w:p>
    <w:p>
      <w:pPr>
        <w:pStyle w:val="BodyText"/>
        <w:spacing w:line="360" w:lineRule="auto" w:before="155"/>
        <w:ind w:left="116" w:right="121"/>
        <w:jc w:val="both"/>
      </w:pPr>
      <w:r>
        <w:rPr/>
        <w:t>Por ello, la forma habitual de enfrentar los problemas en las ciencias de la Tierra es la utilización de modelos. Los modelos también pueden contribuir al medio ambiente, ubicando las áreas críticas, dando indicaciones para las operaciones de emergencia y contención (Aparecida y Calijuri, 2010).</w:t>
      </w:r>
    </w:p>
    <w:p>
      <w:pPr>
        <w:pStyle w:val="BodyText"/>
      </w:pPr>
    </w:p>
    <w:p>
      <w:pPr>
        <w:pStyle w:val="BodyText"/>
        <w:spacing w:line="360" w:lineRule="auto" w:before="156"/>
        <w:ind w:left="116" w:right="109"/>
        <w:jc w:val="both"/>
      </w:pPr>
      <w:r>
        <w:rPr/>
        <w:t>Pese</w:t>
      </w:r>
      <w:r>
        <w:rPr>
          <w:spacing w:val="-11"/>
        </w:rPr>
        <w:t> </w:t>
      </w:r>
      <w:r>
        <w:rPr/>
        <w:t>a</w:t>
      </w:r>
      <w:r>
        <w:rPr>
          <w:spacing w:val="-11"/>
        </w:rPr>
        <w:t> </w:t>
      </w:r>
      <w:r>
        <w:rPr/>
        <w:t>las</w:t>
      </w:r>
      <w:r>
        <w:rPr>
          <w:spacing w:val="-11"/>
        </w:rPr>
        <w:t> </w:t>
      </w:r>
      <w:r>
        <w:rPr/>
        <w:t>cualidades</w:t>
      </w:r>
      <w:r>
        <w:rPr>
          <w:spacing w:val="-11"/>
        </w:rPr>
        <w:t> </w:t>
      </w:r>
      <w:r>
        <w:rPr/>
        <w:t>que</w:t>
      </w:r>
      <w:r>
        <w:rPr>
          <w:spacing w:val="-11"/>
        </w:rPr>
        <w:t> </w:t>
      </w:r>
      <w:r>
        <w:rPr/>
        <w:t>contienen</w:t>
      </w:r>
      <w:r>
        <w:rPr>
          <w:spacing w:val="-11"/>
        </w:rPr>
        <w:t> </w:t>
      </w:r>
      <w:r>
        <w:rPr/>
        <w:t>los</w:t>
      </w:r>
      <w:r>
        <w:rPr>
          <w:spacing w:val="-11"/>
        </w:rPr>
        <w:t> </w:t>
      </w:r>
      <w:r>
        <w:rPr/>
        <w:t>modelos,</w:t>
      </w:r>
      <w:r>
        <w:rPr>
          <w:spacing w:val="-9"/>
        </w:rPr>
        <w:t> </w:t>
      </w:r>
      <w:r>
        <w:rPr/>
        <w:t>la</w:t>
      </w:r>
      <w:r>
        <w:rPr>
          <w:spacing w:val="-11"/>
        </w:rPr>
        <w:t> </w:t>
      </w:r>
      <w:r>
        <w:rPr/>
        <w:t>principal</w:t>
      </w:r>
      <w:r>
        <w:rPr>
          <w:spacing w:val="-11"/>
        </w:rPr>
        <w:t> </w:t>
      </w:r>
      <w:r>
        <w:rPr/>
        <w:t>limitación</w:t>
      </w:r>
      <w:r>
        <w:rPr>
          <w:spacing w:val="-12"/>
        </w:rPr>
        <w:t> </w:t>
      </w:r>
      <w:r>
        <w:rPr/>
        <w:t>es</w:t>
      </w:r>
      <w:r>
        <w:rPr>
          <w:spacing w:val="-11"/>
        </w:rPr>
        <w:t> </w:t>
      </w:r>
      <w:r>
        <w:rPr/>
        <w:t>la</w:t>
      </w:r>
      <w:r>
        <w:rPr>
          <w:spacing w:val="-11"/>
        </w:rPr>
        <w:t> </w:t>
      </w:r>
      <w:r>
        <w:rPr/>
        <w:t>dificultad</w:t>
      </w:r>
      <w:r>
        <w:rPr>
          <w:spacing w:val="-11"/>
        </w:rPr>
        <w:t> </w:t>
      </w:r>
      <w:r>
        <w:rPr/>
        <w:t>para trabajar gran cantidad de datos que describen la heterogeneidad de los sistemas naturales. Por estas razones, los Sistemas de Información Geográfica (SIG) se utilizan en </w:t>
      </w:r>
      <w:r>
        <w:rPr>
          <w:spacing w:val="2"/>
        </w:rPr>
        <w:t>la </w:t>
      </w:r>
      <w:r>
        <w:rPr/>
        <w:t>creación de</w:t>
      </w:r>
      <w:r>
        <w:rPr>
          <w:spacing w:val="-16"/>
        </w:rPr>
        <w:t> </w:t>
      </w:r>
      <w:r>
        <w:rPr/>
        <w:t>la</w:t>
      </w:r>
      <w:r>
        <w:rPr>
          <w:spacing w:val="-15"/>
        </w:rPr>
        <w:t> </w:t>
      </w:r>
      <w:r>
        <w:rPr/>
        <w:t>base</w:t>
      </w:r>
      <w:r>
        <w:rPr>
          <w:spacing w:val="-20"/>
        </w:rPr>
        <w:t> </w:t>
      </w:r>
      <w:r>
        <w:rPr/>
        <w:t>de</w:t>
      </w:r>
      <w:r>
        <w:rPr>
          <w:spacing w:val="-16"/>
        </w:rPr>
        <w:t> </w:t>
      </w:r>
      <w:r>
        <w:rPr/>
        <w:t>datos</w:t>
      </w:r>
      <w:r>
        <w:rPr>
          <w:spacing w:val="-20"/>
        </w:rPr>
        <w:t> </w:t>
      </w:r>
      <w:r>
        <w:rPr/>
        <w:t>de</w:t>
      </w:r>
      <w:r>
        <w:rPr>
          <w:spacing w:val="-16"/>
        </w:rPr>
        <w:t> </w:t>
      </w:r>
      <w:r>
        <w:rPr/>
        <w:t>estos</w:t>
      </w:r>
      <w:r>
        <w:rPr>
          <w:spacing w:val="-16"/>
        </w:rPr>
        <w:t> </w:t>
      </w:r>
      <w:r>
        <w:rPr/>
        <w:t>modelos;</w:t>
      </w:r>
      <w:r>
        <w:rPr>
          <w:spacing w:val="-15"/>
        </w:rPr>
        <w:t> </w:t>
      </w:r>
      <w:r>
        <w:rPr/>
        <w:t>la</w:t>
      </w:r>
      <w:r>
        <w:rPr>
          <w:spacing w:val="-16"/>
        </w:rPr>
        <w:t> </w:t>
      </w:r>
      <w:r>
        <w:rPr/>
        <w:t>unión</w:t>
      </w:r>
      <w:r>
        <w:rPr>
          <w:spacing w:val="-16"/>
        </w:rPr>
        <w:t> </w:t>
      </w:r>
      <w:r>
        <w:rPr>
          <w:spacing w:val="-3"/>
        </w:rPr>
        <w:t>de</w:t>
      </w:r>
      <w:r>
        <w:rPr>
          <w:spacing w:val="-16"/>
        </w:rPr>
        <w:t> </w:t>
      </w:r>
      <w:r>
        <w:rPr/>
        <w:t>estas</w:t>
      </w:r>
      <w:r>
        <w:rPr>
          <w:spacing w:val="-16"/>
        </w:rPr>
        <w:t> </w:t>
      </w:r>
      <w:r>
        <w:rPr/>
        <w:t>dos</w:t>
      </w:r>
      <w:r>
        <w:rPr>
          <w:spacing w:val="-16"/>
        </w:rPr>
        <w:t> </w:t>
      </w:r>
      <w:r>
        <w:rPr/>
        <w:t>tecnologías</w:t>
      </w:r>
      <w:r>
        <w:rPr>
          <w:spacing w:val="-16"/>
        </w:rPr>
        <w:t> </w:t>
      </w:r>
      <w:r>
        <w:rPr/>
        <w:t>es</w:t>
      </w:r>
      <w:r>
        <w:rPr>
          <w:spacing w:val="-16"/>
        </w:rPr>
        <w:t> </w:t>
      </w:r>
      <w:r>
        <w:rPr/>
        <w:t>un</w:t>
      </w:r>
      <w:r>
        <w:rPr>
          <w:spacing w:val="-21"/>
        </w:rPr>
        <w:t> </w:t>
      </w:r>
      <w:r>
        <w:rPr/>
        <w:t>paso</w:t>
      </w:r>
      <w:r>
        <w:rPr>
          <w:spacing w:val="-16"/>
        </w:rPr>
        <w:t> </w:t>
      </w:r>
      <w:r>
        <w:rPr/>
        <w:t>importante para la gestión de cuencas. Con esta combinación, no sólo se pueden construir escenarios actuales sino también simular escenarios futuros con un bajo costo y por lo tanto rápidos (Grigg,</w:t>
      </w:r>
      <w:r>
        <w:rPr>
          <w:spacing w:val="-7"/>
        </w:rPr>
        <w:t> </w:t>
      </w:r>
      <w:r>
        <w:rPr/>
        <w:t>1996).</w:t>
      </w:r>
    </w:p>
    <w:p>
      <w:pPr>
        <w:pStyle w:val="BodyText"/>
      </w:pPr>
    </w:p>
    <w:p>
      <w:pPr>
        <w:pStyle w:val="Heading1"/>
        <w:numPr>
          <w:ilvl w:val="2"/>
          <w:numId w:val="7"/>
        </w:numPr>
        <w:tabs>
          <w:tab w:pos="708" w:val="left" w:leader="none"/>
        </w:tabs>
        <w:spacing w:line="240" w:lineRule="auto" w:before="204" w:after="0"/>
        <w:ind w:left="707" w:right="0" w:hanging="591"/>
        <w:jc w:val="both"/>
      </w:pPr>
      <w:bookmarkStart w:name="_bookmark23" w:id="37"/>
      <w:bookmarkEnd w:id="37"/>
      <w:r>
        <w:rPr>
          <w:b w:val="0"/>
        </w:rPr>
      </w:r>
      <w:bookmarkStart w:name="_bookmark23" w:id="38"/>
      <w:bookmarkEnd w:id="38"/>
      <w:r>
        <w:rPr/>
        <w:t>M</w:t>
      </w:r>
      <w:r>
        <w:rPr/>
        <w:t>odelos para el manejo </w:t>
      </w:r>
      <w:r>
        <w:rPr>
          <w:spacing w:val="-3"/>
        </w:rPr>
        <w:t>de</w:t>
      </w:r>
      <w:r>
        <w:rPr>
          <w:spacing w:val="-14"/>
        </w:rPr>
        <w:t> </w:t>
      </w:r>
      <w:r>
        <w:rPr/>
        <w:t>cuencas</w:t>
      </w:r>
    </w:p>
    <w:p>
      <w:pPr>
        <w:pStyle w:val="BodyText"/>
        <w:rPr>
          <w:b/>
        </w:rPr>
      </w:pPr>
    </w:p>
    <w:p>
      <w:pPr>
        <w:pStyle w:val="BodyText"/>
        <w:spacing w:before="2"/>
        <w:rPr>
          <w:b/>
          <w:sz w:val="30"/>
        </w:rPr>
      </w:pPr>
    </w:p>
    <w:p>
      <w:pPr>
        <w:pStyle w:val="BodyText"/>
        <w:spacing w:line="276" w:lineRule="auto"/>
        <w:ind w:left="116" w:right="110"/>
        <w:jc w:val="both"/>
      </w:pPr>
      <w:r>
        <w:rPr/>
        <w:t>El objetivo del presente apartado es mostrar algunos antecedentes de modelos que se han ocupado en estudios para determinar la erosión de suelos y procesos hidrológicos en cuencas, algunos de ellos incluyen el uso de los SIG como plataforma de trabajo.</w:t>
      </w:r>
    </w:p>
    <w:p>
      <w:pPr>
        <w:pStyle w:val="Heading1"/>
        <w:numPr>
          <w:ilvl w:val="3"/>
          <w:numId w:val="8"/>
        </w:numPr>
        <w:tabs>
          <w:tab w:pos="967" w:val="left" w:leader="none"/>
        </w:tabs>
        <w:spacing w:line="240" w:lineRule="auto" w:before="205" w:after="0"/>
        <w:ind w:left="966" w:right="0" w:hanging="850"/>
        <w:jc w:val="both"/>
      </w:pPr>
      <w:r>
        <w:rPr/>
        <w:t>Modelación </w:t>
      </w:r>
      <w:r>
        <w:rPr>
          <w:spacing w:val="-3"/>
        </w:rPr>
        <w:t>de </w:t>
      </w:r>
      <w:r>
        <w:rPr/>
        <w:t>la erosión </w:t>
      </w:r>
      <w:r>
        <w:rPr>
          <w:spacing w:val="-3"/>
        </w:rPr>
        <w:t>de</w:t>
      </w:r>
      <w:r>
        <w:rPr>
          <w:spacing w:val="-6"/>
        </w:rPr>
        <w:t> </w:t>
      </w:r>
      <w:r>
        <w:rPr/>
        <w:t>suelos</w:t>
      </w:r>
    </w:p>
    <w:p>
      <w:pPr>
        <w:pStyle w:val="BodyText"/>
        <w:rPr>
          <w:b/>
        </w:rPr>
      </w:pPr>
    </w:p>
    <w:p>
      <w:pPr>
        <w:pStyle w:val="BodyText"/>
        <w:spacing w:line="278" w:lineRule="auto" w:before="189"/>
        <w:ind w:left="116" w:right="122"/>
        <w:jc w:val="both"/>
      </w:pPr>
      <w:r>
        <w:rPr/>
        <w:t>Argota, (2011) clasifica a los modelos de acuerdo a los datos que utiliza y la forma de generarlos, esto se esquematiza en la Figura 1 siguiente.</w:t>
      </w:r>
    </w:p>
    <w:p>
      <w:pPr>
        <w:spacing w:after="0" w:line="278" w:lineRule="auto"/>
        <w:jc w:val="both"/>
        <w:sectPr>
          <w:pgSz w:w="12240" w:h="15840"/>
          <w:pgMar w:header="0" w:footer="1473" w:top="1360" w:bottom="1660" w:left="1300" w:right="1300"/>
        </w:sectPr>
      </w:pPr>
    </w:p>
    <w:p>
      <w:pPr>
        <w:pStyle w:val="BodyText"/>
        <w:spacing w:before="3"/>
        <w:rPr>
          <w:sz w:val="7"/>
        </w:rPr>
      </w:pPr>
    </w:p>
    <w:p>
      <w:pPr>
        <w:pStyle w:val="BodyText"/>
        <w:ind w:left="797"/>
        <w:rPr>
          <w:sz w:val="20"/>
        </w:rPr>
      </w:pPr>
      <w:r>
        <w:rPr>
          <w:sz w:val="20"/>
        </w:rPr>
        <w:pict>
          <v:group style="width:431.8pt;height:135.6pt;mso-position-horizontal-relative:char;mso-position-vertical-relative:line" coordorigin="0,0" coordsize="8636,2712">
            <v:rect style="position:absolute;left:2772;top:910;width:2770;height:658" filled="false" stroked="true" strokeweight=".72pt" strokecolor="#000000"/>
            <v:shape style="position:absolute;left:3115;top:0;width:1723;height:451" type="#_x0000_t75" stroked="false">
              <v:imagedata r:id="rId14" o:title=""/>
            </v:shape>
            <v:shape style="position:absolute;left:0;top:902;width:2592;height:677" type="#_x0000_t75" stroked="false">
              <v:imagedata r:id="rId15" o:title=""/>
            </v:shape>
            <v:line style="position:absolute" from="1992,653" to="6582,668" stroked="true" strokeweight=".48pt" strokecolor="#000000"/>
            <v:line style="position:absolute" from="2002,672" to="2002,897" stroked="true" strokeweight=".48pt" strokecolor="#000000"/>
            <v:shape style="position:absolute;left:5813;top:902;width:2784;height:677" type="#_x0000_t75" stroked="false">
              <v:imagedata r:id="rId16" o:title=""/>
            </v:shape>
            <v:line style="position:absolute" from="6547,672" to="6547,927" stroked="true" strokeweight=".48pt" strokecolor="#000000"/>
            <v:line style="position:absolute" from="3893,446" to="3893,618" stroked="true" strokeweight=".48pt" strokecolor="#000000"/>
            <v:line style="position:absolute" from="3893,667" to="3893,904" stroked="true" strokeweight=".48pt" strokecolor="#000000"/>
            <v:line style="position:absolute" from="6557,1584" to="6557,1792" stroked="true" strokeweight=".48pt" strokecolor="#000000"/>
            <v:line style="position:absolute" from="3619,1790" to="7554,1808" stroked="true" strokeweight=".48pt" strokecolor="#000000"/>
            <v:shape style="position:absolute;left:4800;top:1987;width:1814;height:706" type="#_x0000_t75" stroked="false">
              <v:imagedata r:id="rId17" o:title=""/>
            </v:shape>
            <v:line style="position:absolute" from="5342,1819" to="5342,2023" stroked="true" strokeweight=".48pt" strokecolor="#000000"/>
            <v:shape style="position:absolute;left:6854;top:2002;width:1781;height:701" type="#_x0000_t75" stroked="false">
              <v:imagedata r:id="rId18" o:title=""/>
            </v:shape>
            <v:line style="position:absolute" from="7555,1819" to="7555,1991" stroked="true" strokeweight=".48pt" strokecolor="#000000"/>
            <v:shape style="position:absolute;left:2717;top:1978;width:1843;height:734" type="#_x0000_t75" stroked="false">
              <v:imagedata r:id="rId19" o:title=""/>
            </v:shape>
            <v:line style="position:absolute" from="3635,1790" to="3619,1982" stroked="true" strokeweight=".48pt" strokecolor="#000000"/>
            <v:shape style="position:absolute;left:2772;top:915;width:2770;height:653" type="#_x0000_t202" filled="false" stroked="false">
              <v:textbox inset="0,0,0,0">
                <w:txbxContent>
                  <w:p>
                    <w:pPr>
                      <w:spacing w:before="66"/>
                      <w:ind w:left="470" w:right="0" w:firstLine="0"/>
                      <w:jc w:val="left"/>
                      <w:rPr>
                        <w:sz w:val="22"/>
                      </w:rPr>
                    </w:pPr>
                    <w:r>
                      <w:rPr>
                        <w:sz w:val="22"/>
                      </w:rPr>
                      <w:t>Modelos Analógicos</w:t>
                    </w:r>
                  </w:p>
                </w:txbxContent>
              </v:textbox>
              <w10:wrap type="none"/>
            </v:shape>
            <v:shape style="position:absolute;left:3434;top:106;width:1078;height:221" type="#_x0000_t202" filled="false" stroked="false">
              <v:textbox inset="0,0,0,0">
                <w:txbxContent>
                  <w:p>
                    <w:pPr>
                      <w:spacing w:line="221" w:lineRule="exact" w:before="0"/>
                      <w:ind w:left="0" w:right="-17" w:firstLine="0"/>
                      <w:jc w:val="left"/>
                      <w:rPr>
                        <w:sz w:val="22"/>
                      </w:rPr>
                    </w:pPr>
                    <w:r>
                      <w:rPr>
                        <w:sz w:val="22"/>
                      </w:rPr>
                      <w:t>Sistema</w:t>
                    </w:r>
                    <w:r>
                      <w:rPr>
                        <w:spacing w:val="-7"/>
                        <w:sz w:val="22"/>
                      </w:rPr>
                      <w:t> </w:t>
                    </w:r>
                    <w:r>
                      <w:rPr>
                        <w:sz w:val="22"/>
                      </w:rPr>
                      <w:t>real</w:t>
                    </w:r>
                  </w:p>
                </w:txbxContent>
              </v:textbox>
              <w10:wrap type="none"/>
            </v:shape>
            <v:shape style="position:absolute;left:567;top:1009;width:1445;height:221" type="#_x0000_t202" filled="false" stroked="false">
              <v:textbox inset="0,0,0,0">
                <w:txbxContent>
                  <w:p>
                    <w:pPr>
                      <w:spacing w:line="221" w:lineRule="exact" w:before="0"/>
                      <w:ind w:left="0" w:right="-14" w:firstLine="0"/>
                      <w:jc w:val="left"/>
                      <w:rPr>
                        <w:sz w:val="22"/>
                      </w:rPr>
                    </w:pPr>
                    <w:r>
                      <w:rPr>
                        <w:sz w:val="22"/>
                      </w:rPr>
                      <w:t>Modelos</w:t>
                    </w:r>
                    <w:r>
                      <w:rPr>
                        <w:spacing w:val="-10"/>
                        <w:sz w:val="22"/>
                      </w:rPr>
                      <w:t> </w:t>
                    </w:r>
                    <w:r>
                      <w:rPr>
                        <w:sz w:val="22"/>
                      </w:rPr>
                      <w:t>Físicos</w:t>
                    </w:r>
                  </w:p>
                </w:txbxContent>
              </v:textbox>
              <w10:wrap type="none"/>
            </v:shape>
            <v:shape style="position:absolute;left:6397;top:1009;width:1612;height:221" type="#_x0000_t202" filled="false" stroked="false">
              <v:textbox inset="0,0,0,0">
                <w:txbxContent>
                  <w:p>
                    <w:pPr>
                      <w:spacing w:line="221" w:lineRule="exact" w:before="0"/>
                      <w:ind w:left="0" w:right="-13" w:firstLine="0"/>
                      <w:jc w:val="left"/>
                      <w:rPr>
                        <w:sz w:val="22"/>
                      </w:rPr>
                    </w:pPr>
                    <w:r>
                      <w:rPr>
                        <w:sz w:val="22"/>
                      </w:rPr>
                      <w:t>Modelos</w:t>
                    </w:r>
                    <w:r>
                      <w:rPr>
                        <w:spacing w:val="-15"/>
                        <w:sz w:val="22"/>
                      </w:rPr>
                      <w:t> </w:t>
                    </w:r>
                    <w:r>
                      <w:rPr>
                        <w:sz w:val="22"/>
                      </w:rPr>
                      <w:t>Digitales</w:t>
                    </w:r>
                  </w:p>
                </w:txbxContent>
              </v:textbox>
              <w10:wrap type="none"/>
            </v:shape>
            <v:shape style="position:absolute;left:2983;top:2099;width:1302;height:221" type="#_x0000_t202" filled="false" stroked="false">
              <v:textbox inset="0,0,0,0">
                <w:txbxContent>
                  <w:p>
                    <w:pPr>
                      <w:spacing w:line="221" w:lineRule="exact" w:before="0"/>
                      <w:ind w:left="0" w:right="-16" w:firstLine="0"/>
                      <w:jc w:val="left"/>
                      <w:rPr>
                        <w:sz w:val="22"/>
                      </w:rPr>
                    </w:pPr>
                    <w:r>
                      <w:rPr>
                        <w:sz w:val="22"/>
                      </w:rPr>
                      <w:t>Con fase</w:t>
                    </w:r>
                    <w:r>
                      <w:rPr>
                        <w:spacing w:val="-10"/>
                        <w:sz w:val="22"/>
                      </w:rPr>
                      <w:t> </w:t>
                    </w:r>
                    <w:r>
                      <w:rPr>
                        <w:sz w:val="22"/>
                      </w:rPr>
                      <w:t>física</w:t>
                    </w:r>
                  </w:p>
                </w:txbxContent>
              </v:textbox>
              <w10:wrap type="none"/>
            </v:shape>
            <v:shape style="position:absolute;left:5158;top:2103;width:1084;height:221" type="#_x0000_t202" filled="false" stroked="false">
              <v:textbox inset="0,0,0,0">
                <w:txbxContent>
                  <w:p>
                    <w:pPr>
                      <w:spacing w:line="221" w:lineRule="exact" w:before="0"/>
                      <w:ind w:left="0" w:right="-12" w:firstLine="0"/>
                      <w:jc w:val="left"/>
                      <w:rPr>
                        <w:sz w:val="22"/>
                      </w:rPr>
                    </w:pPr>
                    <w:r>
                      <w:rPr>
                        <w:spacing w:val="-1"/>
                        <w:sz w:val="22"/>
                      </w:rPr>
                      <w:t>Estocásticos</w:t>
                    </w:r>
                  </w:p>
                </w:txbxContent>
              </v:textbox>
              <w10:wrap type="none"/>
            </v:shape>
            <v:shape style="position:absolute;left:7295;top:2113;width:902;height:221" type="#_x0000_t202" filled="false" stroked="false">
              <v:textbox inset="0,0,0,0">
                <w:txbxContent>
                  <w:p>
                    <w:pPr>
                      <w:spacing w:line="221" w:lineRule="exact" w:before="0"/>
                      <w:ind w:left="0" w:right="-14" w:firstLine="0"/>
                      <w:jc w:val="left"/>
                      <w:rPr>
                        <w:sz w:val="22"/>
                      </w:rPr>
                    </w:pPr>
                    <w:r>
                      <w:rPr>
                        <w:spacing w:val="-1"/>
                        <w:sz w:val="22"/>
                      </w:rPr>
                      <w:t>Empíricos</w:t>
                    </w:r>
                  </w:p>
                </w:txbxContent>
              </v:textbox>
              <w10:wrap type="none"/>
            </v:shape>
          </v:group>
        </w:pict>
      </w:r>
      <w:r>
        <w:rPr>
          <w:sz w:val="20"/>
        </w:rPr>
      </w:r>
    </w:p>
    <w:p>
      <w:pPr>
        <w:pStyle w:val="BodyText"/>
        <w:spacing w:before="10"/>
        <w:rPr>
          <w:sz w:val="19"/>
        </w:rPr>
      </w:pPr>
    </w:p>
    <w:p>
      <w:pPr>
        <w:spacing w:before="72"/>
        <w:ind w:left="255" w:right="251" w:firstLine="0"/>
        <w:jc w:val="center"/>
        <w:rPr>
          <w:sz w:val="22"/>
        </w:rPr>
      </w:pPr>
      <w:r>
        <w:rPr>
          <w:sz w:val="22"/>
        </w:rPr>
        <w:t>Fuente: Argota, (2011)</w:t>
      </w:r>
    </w:p>
    <w:p>
      <w:pPr>
        <w:pStyle w:val="Heading1"/>
        <w:spacing w:before="2"/>
        <w:ind w:left="255" w:right="257"/>
        <w:jc w:val="center"/>
      </w:pPr>
      <w:bookmarkStart w:name="_bookmark24" w:id="39"/>
      <w:bookmarkEnd w:id="39"/>
      <w:r>
        <w:rPr>
          <w:b w:val="0"/>
        </w:rPr>
      </w:r>
      <w:r>
        <w:rPr/>
        <w:t>Figura 1. Clasificación de los modelos.</w:t>
      </w:r>
    </w:p>
    <w:p>
      <w:pPr>
        <w:pStyle w:val="BodyText"/>
        <w:rPr>
          <w:b/>
        </w:rPr>
      </w:pPr>
    </w:p>
    <w:p>
      <w:pPr>
        <w:pStyle w:val="BodyText"/>
        <w:spacing w:before="7"/>
        <w:rPr>
          <w:b/>
          <w:sz w:val="38"/>
        </w:rPr>
      </w:pPr>
    </w:p>
    <w:p>
      <w:pPr>
        <w:pStyle w:val="BodyText"/>
        <w:spacing w:line="360" w:lineRule="auto"/>
        <w:ind w:left="116" w:right="113"/>
        <w:jc w:val="both"/>
      </w:pPr>
      <w:r>
        <w:rPr/>
        <w:t>Dentro de los digitales sobresalen aquellos con fase física que incorporan las leyes de conservación</w:t>
      </w:r>
      <w:r>
        <w:rPr>
          <w:spacing w:val="-5"/>
        </w:rPr>
        <w:t> </w:t>
      </w:r>
      <w:r>
        <w:rPr/>
        <w:t>de</w:t>
      </w:r>
      <w:r>
        <w:rPr>
          <w:spacing w:val="-5"/>
        </w:rPr>
        <w:t> </w:t>
      </w:r>
      <w:r>
        <w:rPr/>
        <w:t>la</w:t>
      </w:r>
      <w:r>
        <w:rPr>
          <w:spacing w:val="-2"/>
        </w:rPr>
        <w:t> </w:t>
      </w:r>
      <w:r>
        <w:rPr/>
        <w:t>masa</w:t>
      </w:r>
      <w:r>
        <w:rPr>
          <w:spacing w:val="-5"/>
        </w:rPr>
        <w:t> </w:t>
      </w:r>
      <w:r>
        <w:rPr/>
        <w:t>y</w:t>
      </w:r>
      <w:r>
        <w:rPr>
          <w:spacing w:val="-5"/>
        </w:rPr>
        <w:t> </w:t>
      </w:r>
      <w:r>
        <w:rPr/>
        <w:t>la</w:t>
      </w:r>
      <w:r>
        <w:rPr>
          <w:spacing w:val="-5"/>
        </w:rPr>
        <w:t> </w:t>
      </w:r>
      <w:r>
        <w:rPr/>
        <w:t>energía.</w:t>
      </w:r>
      <w:r>
        <w:rPr>
          <w:spacing w:val="1"/>
        </w:rPr>
        <w:t> </w:t>
      </w:r>
      <w:r>
        <w:rPr>
          <w:spacing w:val="-3"/>
        </w:rPr>
        <w:t>La</w:t>
      </w:r>
      <w:r>
        <w:rPr>
          <w:spacing w:val="-1"/>
        </w:rPr>
        <w:t> </w:t>
      </w:r>
      <w:r>
        <w:rPr/>
        <w:t>mayoría</w:t>
      </w:r>
      <w:r>
        <w:rPr>
          <w:spacing w:val="-5"/>
        </w:rPr>
        <w:t> </w:t>
      </w:r>
      <w:r>
        <w:rPr/>
        <w:t>de</w:t>
      </w:r>
      <w:r>
        <w:rPr>
          <w:spacing w:val="-5"/>
        </w:rPr>
        <w:t> </w:t>
      </w:r>
      <w:r>
        <w:rPr/>
        <w:t>ellos</w:t>
      </w:r>
      <w:r>
        <w:rPr>
          <w:spacing w:val="-5"/>
        </w:rPr>
        <w:t> </w:t>
      </w:r>
      <w:r>
        <w:rPr/>
        <w:t>utilizan</w:t>
      </w:r>
      <w:r>
        <w:rPr>
          <w:spacing w:val="-5"/>
        </w:rPr>
        <w:t> </w:t>
      </w:r>
      <w:r>
        <w:rPr/>
        <w:t>una</w:t>
      </w:r>
      <w:r>
        <w:rPr>
          <w:spacing w:val="-5"/>
        </w:rPr>
        <w:t> </w:t>
      </w:r>
      <w:r>
        <w:rPr/>
        <w:t>ecuación</w:t>
      </w:r>
      <w:r>
        <w:rPr>
          <w:spacing w:val="-5"/>
        </w:rPr>
        <w:t> </w:t>
      </w:r>
      <w:r>
        <w:rPr/>
        <w:t>diferencial particular denominada ecuación de continuidad, que representa un estado de la conservación</w:t>
      </w:r>
      <w:r>
        <w:rPr>
          <w:spacing w:val="-6"/>
        </w:rPr>
        <w:t> </w:t>
      </w:r>
      <w:r>
        <w:rPr/>
        <w:t>de</w:t>
      </w:r>
      <w:r>
        <w:rPr>
          <w:spacing w:val="-6"/>
        </w:rPr>
        <w:t> </w:t>
      </w:r>
      <w:r>
        <w:rPr/>
        <w:t>la</w:t>
      </w:r>
      <w:r>
        <w:rPr>
          <w:spacing w:val="-6"/>
        </w:rPr>
        <w:t> </w:t>
      </w:r>
      <w:r>
        <w:rPr/>
        <w:t>materia</w:t>
      </w:r>
      <w:r>
        <w:rPr>
          <w:spacing w:val="-6"/>
        </w:rPr>
        <w:t> </w:t>
      </w:r>
      <w:r>
        <w:rPr/>
        <w:t>y</w:t>
      </w:r>
      <w:r>
        <w:rPr>
          <w:spacing w:val="-11"/>
        </w:rPr>
        <w:t> </w:t>
      </w:r>
      <w:r>
        <w:rPr/>
        <w:t>su</w:t>
      </w:r>
      <w:r>
        <w:rPr>
          <w:spacing w:val="-6"/>
        </w:rPr>
        <w:t> </w:t>
      </w:r>
      <w:r>
        <w:rPr/>
        <w:t>trasformación</w:t>
      </w:r>
      <w:r>
        <w:rPr>
          <w:spacing w:val="-6"/>
        </w:rPr>
        <w:t> </w:t>
      </w:r>
      <w:r>
        <w:rPr/>
        <w:t>en</w:t>
      </w:r>
      <w:r>
        <w:rPr>
          <w:spacing w:val="-6"/>
        </w:rPr>
        <w:t> </w:t>
      </w:r>
      <w:r>
        <w:rPr/>
        <w:t>el</w:t>
      </w:r>
      <w:r>
        <w:rPr>
          <w:spacing w:val="-6"/>
        </w:rPr>
        <w:t> </w:t>
      </w:r>
      <w:r>
        <w:rPr/>
        <w:t>espacio</w:t>
      </w:r>
      <w:r>
        <w:rPr>
          <w:spacing w:val="-11"/>
        </w:rPr>
        <w:t> </w:t>
      </w:r>
      <w:r>
        <w:rPr/>
        <w:t>y</w:t>
      </w:r>
      <w:r>
        <w:rPr>
          <w:spacing w:val="-6"/>
        </w:rPr>
        <w:t> </w:t>
      </w:r>
      <w:r>
        <w:rPr/>
        <w:t>en</w:t>
      </w:r>
      <w:r>
        <w:rPr>
          <w:spacing w:val="-11"/>
        </w:rPr>
        <w:t> </w:t>
      </w:r>
      <w:r>
        <w:rPr/>
        <w:t>el</w:t>
      </w:r>
      <w:r>
        <w:rPr>
          <w:spacing w:val="-11"/>
        </w:rPr>
        <w:t> </w:t>
      </w:r>
      <w:r>
        <w:rPr/>
        <w:t>tiempo.</w:t>
      </w:r>
      <w:r>
        <w:rPr>
          <w:spacing w:val="-4"/>
        </w:rPr>
        <w:t> </w:t>
      </w:r>
      <w:r>
        <w:rPr/>
        <w:t>Entre</w:t>
      </w:r>
      <w:r>
        <w:rPr>
          <w:spacing w:val="-6"/>
        </w:rPr>
        <w:t> </w:t>
      </w:r>
      <w:r>
        <w:rPr/>
        <w:t>los</w:t>
      </w:r>
      <w:r>
        <w:rPr>
          <w:spacing w:val="-11"/>
        </w:rPr>
        <w:t> </w:t>
      </w:r>
      <w:r>
        <w:rPr/>
        <w:t>cuales se describen los</w:t>
      </w:r>
      <w:r>
        <w:rPr>
          <w:spacing w:val="-9"/>
        </w:rPr>
        <w:t> </w:t>
      </w:r>
      <w:r>
        <w:rPr/>
        <w:t>siguientes:</w:t>
      </w:r>
    </w:p>
    <w:p>
      <w:pPr>
        <w:pStyle w:val="Heading1"/>
        <w:numPr>
          <w:ilvl w:val="4"/>
          <w:numId w:val="8"/>
        </w:numPr>
        <w:tabs>
          <w:tab w:pos="837" w:val="left" w:leader="none"/>
        </w:tabs>
        <w:spacing w:line="240" w:lineRule="auto" w:before="210" w:after="0"/>
        <w:ind w:left="837" w:right="0" w:hanging="361"/>
        <w:jc w:val="left"/>
      </w:pPr>
      <w:r>
        <w:rPr/>
        <w:t>Meyer y</w:t>
      </w:r>
      <w:r>
        <w:rPr>
          <w:spacing w:val="-10"/>
        </w:rPr>
        <w:t> </w:t>
      </w:r>
      <w:r>
        <w:rPr/>
        <w:t>Wischmeier</w:t>
      </w:r>
    </w:p>
    <w:p>
      <w:pPr>
        <w:pStyle w:val="BodyText"/>
        <w:spacing w:before="11"/>
        <w:rPr>
          <w:b/>
          <w:sz w:val="29"/>
        </w:rPr>
      </w:pPr>
    </w:p>
    <w:p>
      <w:pPr>
        <w:pStyle w:val="BodyText"/>
        <w:spacing w:line="360" w:lineRule="auto"/>
        <w:ind w:left="116" w:right="115"/>
        <w:jc w:val="both"/>
      </w:pPr>
      <w:r>
        <w:rPr/>
        <w:t>Casi todos los modelos con base física deben </w:t>
      </w:r>
      <w:r>
        <w:rPr>
          <w:spacing w:val="-3"/>
        </w:rPr>
        <w:t>su </w:t>
      </w:r>
      <w:r>
        <w:rPr/>
        <w:t>origen al esquema, relativamente simple, desarrollado por Meyer y Wischmeier (1969) para comprobar si era factible una aproximación matemática que simulara la erosión. Este modelo utiliza cuatro ecuaciones para describir independientemente los procesos de desprendimiento de las partículas por</w:t>
      </w:r>
      <w:r>
        <w:rPr>
          <w:spacing w:val="-40"/>
        </w:rPr>
        <w:t> </w:t>
      </w:r>
      <w:r>
        <w:rPr/>
        <w:t>la lluvia,</w:t>
      </w:r>
      <w:r>
        <w:rPr>
          <w:spacing w:val="-14"/>
        </w:rPr>
        <w:t> </w:t>
      </w:r>
      <w:r>
        <w:rPr/>
        <w:t>el</w:t>
      </w:r>
      <w:r>
        <w:rPr>
          <w:spacing w:val="-17"/>
        </w:rPr>
        <w:t> </w:t>
      </w:r>
      <w:r>
        <w:rPr/>
        <w:t>desprendimiento</w:t>
      </w:r>
      <w:r>
        <w:rPr>
          <w:spacing w:val="-17"/>
        </w:rPr>
        <w:t> </w:t>
      </w:r>
      <w:r>
        <w:rPr/>
        <w:t>del</w:t>
      </w:r>
      <w:r>
        <w:rPr>
          <w:spacing w:val="-17"/>
        </w:rPr>
        <w:t> </w:t>
      </w:r>
      <w:r>
        <w:rPr/>
        <w:t>suelo</w:t>
      </w:r>
      <w:r>
        <w:rPr>
          <w:spacing w:val="-17"/>
        </w:rPr>
        <w:t> </w:t>
      </w:r>
      <w:r>
        <w:rPr/>
        <w:t>por</w:t>
      </w:r>
      <w:r>
        <w:rPr>
          <w:spacing w:val="-17"/>
        </w:rPr>
        <w:t> </w:t>
      </w:r>
      <w:r>
        <w:rPr/>
        <w:t>la</w:t>
      </w:r>
      <w:r>
        <w:rPr>
          <w:spacing w:val="-21"/>
        </w:rPr>
        <w:t> </w:t>
      </w:r>
      <w:r>
        <w:rPr/>
        <w:t>escorrentía,</w:t>
      </w:r>
      <w:r>
        <w:rPr>
          <w:spacing w:val="-14"/>
        </w:rPr>
        <w:t> </w:t>
      </w:r>
      <w:r>
        <w:rPr/>
        <w:t>la</w:t>
      </w:r>
      <w:r>
        <w:rPr>
          <w:spacing w:val="-21"/>
        </w:rPr>
        <w:t> </w:t>
      </w:r>
      <w:r>
        <w:rPr/>
        <w:t>capacidad</w:t>
      </w:r>
      <w:r>
        <w:rPr>
          <w:spacing w:val="-16"/>
        </w:rPr>
        <w:t> </w:t>
      </w:r>
      <w:r>
        <w:rPr/>
        <w:t>de</w:t>
      </w:r>
      <w:r>
        <w:rPr>
          <w:spacing w:val="-21"/>
        </w:rPr>
        <w:t> </w:t>
      </w:r>
      <w:r>
        <w:rPr/>
        <w:t>transporte</w:t>
      </w:r>
      <w:r>
        <w:rPr>
          <w:spacing w:val="-17"/>
        </w:rPr>
        <w:t> </w:t>
      </w:r>
      <w:r>
        <w:rPr/>
        <w:t>de</w:t>
      </w:r>
      <w:r>
        <w:rPr>
          <w:spacing w:val="-21"/>
        </w:rPr>
        <w:t> </w:t>
      </w:r>
      <w:r>
        <w:rPr/>
        <w:t>la</w:t>
      </w:r>
      <w:r>
        <w:rPr>
          <w:spacing w:val="-17"/>
        </w:rPr>
        <w:t> </w:t>
      </w:r>
      <w:r>
        <w:rPr/>
        <w:t>lluvia y la capacidad de transporte de la</w:t>
      </w:r>
      <w:r>
        <w:rPr>
          <w:spacing w:val="-8"/>
        </w:rPr>
        <w:t> </w:t>
      </w:r>
      <w:r>
        <w:rPr/>
        <w:t>escorrentía.</w:t>
      </w:r>
    </w:p>
    <w:p>
      <w:pPr>
        <w:spacing w:after="0" w:line="360" w:lineRule="auto"/>
        <w:jc w:val="both"/>
        <w:sectPr>
          <w:pgSz w:w="12240" w:h="15840"/>
          <w:pgMar w:header="0" w:footer="1473" w:top="1500" w:bottom="1660" w:left="1300" w:right="1300"/>
        </w:sectPr>
      </w:pPr>
    </w:p>
    <w:p>
      <w:pPr>
        <w:pStyle w:val="Heading1"/>
        <w:numPr>
          <w:ilvl w:val="4"/>
          <w:numId w:val="8"/>
        </w:numPr>
        <w:tabs>
          <w:tab w:pos="837" w:val="left" w:leader="none"/>
          <w:tab w:pos="5409" w:val="left" w:leader="none"/>
        </w:tabs>
        <w:spacing w:line="362" w:lineRule="auto" w:before="53" w:after="0"/>
        <w:ind w:left="837" w:right="121" w:hanging="361"/>
        <w:jc w:val="left"/>
      </w:pPr>
      <w:r>
        <w:rPr/>
        <w:t>ANSWERS   (Areal </w:t>
      </w:r>
      <w:r>
        <w:rPr>
          <w:spacing w:val="56"/>
        </w:rPr>
        <w:t> </w:t>
      </w:r>
      <w:r>
        <w:rPr/>
        <w:t>Nonpoint </w:t>
      </w:r>
      <w:r>
        <w:rPr>
          <w:spacing w:val="60"/>
        </w:rPr>
        <w:t> </w:t>
      </w:r>
      <w:r>
        <w:rPr/>
        <w:t>Source</w:t>
        <w:tab/>
        <w:t>Watershed </w:t>
      </w:r>
      <w:r>
        <w:rPr>
          <w:spacing w:val="55"/>
        </w:rPr>
        <w:t> </w:t>
      </w:r>
      <w:r>
        <w:rPr/>
        <w:t>Environment </w:t>
      </w:r>
      <w:r>
        <w:rPr>
          <w:spacing w:val="59"/>
        </w:rPr>
        <w:t> </w:t>
      </w:r>
      <w:r>
        <w:rPr/>
        <w:t>Response</w:t>
      </w:r>
      <w:r>
        <w:rPr>
          <w:w w:val="99"/>
        </w:rPr>
        <w:t> </w:t>
      </w:r>
      <w:r>
        <w:rPr/>
        <w:t>Siluation), Beasley, Huggins y Monke</w:t>
      </w:r>
      <w:r>
        <w:rPr>
          <w:spacing w:val="-9"/>
        </w:rPr>
        <w:t> </w:t>
      </w:r>
      <w:r>
        <w:rPr/>
        <w:t>(1980)</w:t>
      </w:r>
    </w:p>
    <w:p>
      <w:pPr>
        <w:pStyle w:val="BodyText"/>
        <w:spacing w:line="360" w:lineRule="auto" w:before="198"/>
        <w:ind w:left="116" w:right="118"/>
        <w:jc w:val="both"/>
      </w:pPr>
      <w:r>
        <w:rPr/>
        <w:t>Es una ampliación del esquema de Meyer y otros, (1969), desarrollado para simular el comportamiento hidrológico y erosivo de pequeñas cuencas agrícolas durante las lluvias e inmediatamente después de ellas.</w:t>
      </w:r>
    </w:p>
    <w:p>
      <w:pPr>
        <w:pStyle w:val="Heading1"/>
        <w:numPr>
          <w:ilvl w:val="4"/>
          <w:numId w:val="8"/>
        </w:numPr>
        <w:tabs>
          <w:tab w:pos="837" w:val="left" w:leader="none"/>
        </w:tabs>
        <w:spacing w:line="240" w:lineRule="auto" w:before="210" w:after="0"/>
        <w:ind w:left="837" w:right="0" w:hanging="361"/>
        <w:jc w:val="left"/>
      </w:pPr>
      <w:r>
        <w:rPr/>
        <w:t>CREAMS: Chemicals, Runoff and Erosion from Agricultural</w:t>
      </w:r>
      <w:r>
        <w:rPr>
          <w:spacing w:val="-21"/>
        </w:rPr>
        <w:t> </w:t>
      </w:r>
      <w:r>
        <w:rPr/>
        <w:t>Management</w:t>
      </w:r>
    </w:p>
    <w:p>
      <w:pPr>
        <w:pStyle w:val="BodyText"/>
        <w:spacing w:before="10"/>
        <w:rPr>
          <w:b/>
          <w:sz w:val="29"/>
        </w:rPr>
      </w:pPr>
    </w:p>
    <w:p>
      <w:pPr>
        <w:pStyle w:val="BodyText"/>
        <w:spacing w:line="360" w:lineRule="auto"/>
        <w:ind w:left="116" w:right="122"/>
        <w:jc w:val="both"/>
      </w:pPr>
      <w:r>
        <w:rPr/>
        <w:t>Es un modelo de campo, desarrollado en USA para evaluar la contaminación difusa y</w:t>
      </w:r>
      <w:r>
        <w:rPr>
          <w:spacing w:val="-19"/>
        </w:rPr>
        <w:t> </w:t>
      </w:r>
      <w:r>
        <w:rPr/>
        <w:t>para investigar</w:t>
      </w:r>
      <w:r>
        <w:rPr>
          <w:spacing w:val="-8"/>
        </w:rPr>
        <w:t> </w:t>
      </w:r>
      <w:r>
        <w:rPr/>
        <w:t>cuantitativamente</w:t>
      </w:r>
      <w:r>
        <w:rPr>
          <w:spacing w:val="-8"/>
        </w:rPr>
        <w:t> </w:t>
      </w:r>
      <w:r>
        <w:rPr/>
        <w:t>las</w:t>
      </w:r>
      <w:r>
        <w:rPr>
          <w:spacing w:val="-8"/>
        </w:rPr>
        <w:t> </w:t>
      </w:r>
      <w:r>
        <w:rPr/>
        <w:t>consecuencias</w:t>
      </w:r>
      <w:r>
        <w:rPr>
          <w:spacing w:val="-8"/>
        </w:rPr>
        <w:t> </w:t>
      </w:r>
      <w:r>
        <w:rPr/>
        <w:t>ambientales</w:t>
      </w:r>
      <w:r>
        <w:rPr>
          <w:spacing w:val="-8"/>
        </w:rPr>
        <w:t> </w:t>
      </w:r>
      <w:r>
        <w:rPr/>
        <w:t>de</w:t>
      </w:r>
      <w:r>
        <w:rPr>
          <w:spacing w:val="-8"/>
        </w:rPr>
        <w:t> </w:t>
      </w:r>
      <w:r>
        <w:rPr/>
        <w:t>distintas</w:t>
      </w:r>
      <w:r>
        <w:rPr>
          <w:spacing w:val="-8"/>
        </w:rPr>
        <w:t> </w:t>
      </w:r>
      <w:r>
        <w:rPr/>
        <w:t>prácticas</w:t>
      </w:r>
      <w:r>
        <w:rPr>
          <w:spacing w:val="-8"/>
        </w:rPr>
        <w:t> </w:t>
      </w:r>
      <w:r>
        <w:rPr/>
        <w:t>agrícolas. El modelo tiene en cuenta tres componentes: hidrología, erosión y</w:t>
      </w:r>
      <w:r>
        <w:rPr>
          <w:spacing w:val="-14"/>
        </w:rPr>
        <w:t> </w:t>
      </w:r>
      <w:r>
        <w:rPr/>
        <w:t>química.</w:t>
      </w:r>
    </w:p>
    <w:p>
      <w:pPr>
        <w:pStyle w:val="Heading1"/>
        <w:numPr>
          <w:ilvl w:val="4"/>
          <w:numId w:val="8"/>
        </w:numPr>
        <w:tabs>
          <w:tab w:pos="837" w:val="left" w:leader="none"/>
        </w:tabs>
        <w:spacing w:line="240" w:lineRule="auto" w:before="210" w:after="0"/>
        <w:ind w:left="837" w:right="0" w:hanging="361"/>
        <w:jc w:val="left"/>
      </w:pPr>
      <w:r>
        <w:rPr/>
        <w:t>WEPP: Water Erosion Prediction</w:t>
      </w:r>
      <w:r>
        <w:rPr>
          <w:spacing w:val="-14"/>
        </w:rPr>
        <w:t> </w:t>
      </w:r>
      <w:r>
        <w:rPr/>
        <w:t>Project</w:t>
      </w:r>
    </w:p>
    <w:p>
      <w:pPr>
        <w:pStyle w:val="BodyText"/>
        <w:spacing w:before="10"/>
        <w:rPr>
          <w:b/>
          <w:sz w:val="29"/>
        </w:rPr>
      </w:pPr>
    </w:p>
    <w:p>
      <w:pPr>
        <w:pStyle w:val="BodyText"/>
        <w:spacing w:line="360" w:lineRule="auto"/>
        <w:ind w:left="116" w:right="119"/>
        <w:jc w:val="both"/>
      </w:pPr>
      <w:r>
        <w:rPr/>
        <w:t>Es un modelo basado en procesos que se apoya en los conocimientos modernos sobre hidrología</w:t>
      </w:r>
      <w:r>
        <w:rPr>
          <w:spacing w:val="-12"/>
        </w:rPr>
        <w:t> </w:t>
      </w:r>
      <w:r>
        <w:rPr/>
        <w:t>y</w:t>
      </w:r>
      <w:r>
        <w:rPr>
          <w:spacing w:val="-12"/>
        </w:rPr>
        <w:t> </w:t>
      </w:r>
      <w:r>
        <w:rPr/>
        <w:t>erosión,</w:t>
      </w:r>
      <w:r>
        <w:rPr>
          <w:spacing w:val="-13"/>
        </w:rPr>
        <w:t> </w:t>
      </w:r>
      <w:r>
        <w:rPr/>
        <w:t>diseñado</w:t>
      </w:r>
      <w:r>
        <w:rPr>
          <w:spacing w:val="-12"/>
        </w:rPr>
        <w:t> </w:t>
      </w:r>
      <w:r>
        <w:rPr/>
        <w:t>para</w:t>
      </w:r>
      <w:r>
        <w:rPr>
          <w:spacing w:val="-15"/>
        </w:rPr>
        <w:t> </w:t>
      </w:r>
      <w:r>
        <w:rPr/>
        <w:t>reemplazar</w:t>
      </w:r>
      <w:r>
        <w:rPr>
          <w:spacing w:val="-15"/>
        </w:rPr>
        <w:t> </w:t>
      </w:r>
      <w:r>
        <w:rPr/>
        <w:t>a</w:t>
      </w:r>
      <w:r>
        <w:rPr>
          <w:spacing w:val="-12"/>
        </w:rPr>
        <w:t> </w:t>
      </w:r>
      <w:r>
        <w:rPr/>
        <w:t>la</w:t>
      </w:r>
      <w:r>
        <w:rPr>
          <w:spacing w:val="-16"/>
        </w:rPr>
        <w:t> </w:t>
      </w:r>
      <w:r>
        <w:rPr/>
        <w:t>Ecuación</w:t>
      </w:r>
      <w:r>
        <w:rPr>
          <w:spacing w:val="-12"/>
        </w:rPr>
        <w:t> </w:t>
      </w:r>
      <w:r>
        <w:rPr/>
        <w:t>Universal</w:t>
      </w:r>
      <w:r>
        <w:rPr>
          <w:spacing w:val="-12"/>
        </w:rPr>
        <w:t> </w:t>
      </w:r>
      <w:r>
        <w:rPr/>
        <w:t>de</w:t>
      </w:r>
      <w:r>
        <w:rPr>
          <w:spacing w:val="-12"/>
        </w:rPr>
        <w:t> </w:t>
      </w:r>
      <w:r>
        <w:rPr/>
        <w:t>Pérdida</w:t>
      </w:r>
      <w:r>
        <w:rPr>
          <w:spacing w:val="-15"/>
        </w:rPr>
        <w:t> </w:t>
      </w:r>
      <w:r>
        <w:rPr/>
        <w:t>de</w:t>
      </w:r>
      <w:r>
        <w:rPr>
          <w:spacing w:val="-16"/>
        </w:rPr>
        <w:t> </w:t>
      </w:r>
      <w:r>
        <w:rPr/>
        <w:t>Suelo en las valoraciones rutinarias de erosión del suelo por organizaciones comprometidas en</w:t>
      </w:r>
      <w:r>
        <w:rPr>
          <w:spacing w:val="-36"/>
        </w:rPr>
        <w:t> </w:t>
      </w:r>
      <w:r>
        <w:rPr/>
        <w:t>la conservación del suelo y del agua, y en la planificación y evaluación medioambiental. Los datos que proporciona este modelo es una potente herramienta para la planificación y conservación del</w:t>
      </w:r>
      <w:r>
        <w:rPr>
          <w:spacing w:val="-7"/>
        </w:rPr>
        <w:t> </w:t>
      </w:r>
      <w:r>
        <w:rPr/>
        <w:t>suelo.</w:t>
      </w:r>
    </w:p>
    <w:p>
      <w:pPr>
        <w:pStyle w:val="Heading1"/>
        <w:numPr>
          <w:ilvl w:val="4"/>
          <w:numId w:val="8"/>
        </w:numPr>
        <w:tabs>
          <w:tab w:pos="837" w:val="left" w:leader="none"/>
        </w:tabs>
        <w:spacing w:line="240" w:lineRule="auto" w:before="210" w:after="0"/>
        <w:ind w:left="837" w:right="0" w:hanging="361"/>
        <w:jc w:val="left"/>
      </w:pPr>
      <w:r>
        <w:rPr/>
        <w:t>GUESS: Griffth University Erosion Sedimentation</w:t>
      </w:r>
      <w:r>
        <w:rPr>
          <w:spacing w:val="-12"/>
        </w:rPr>
        <w:t> </w:t>
      </w:r>
      <w:r>
        <w:rPr/>
        <w:t>System</w:t>
      </w:r>
    </w:p>
    <w:p>
      <w:pPr>
        <w:pStyle w:val="BodyText"/>
        <w:spacing w:before="10"/>
        <w:rPr>
          <w:b/>
          <w:sz w:val="29"/>
        </w:rPr>
      </w:pPr>
    </w:p>
    <w:p>
      <w:pPr>
        <w:pStyle w:val="BodyText"/>
        <w:spacing w:line="360" w:lineRule="auto"/>
        <w:ind w:left="116" w:right="116"/>
        <w:jc w:val="both"/>
      </w:pPr>
      <w:r>
        <w:rPr/>
        <w:t>Es un modelo matemático que simula los procesos de erosión y deposición a lo largo de una ladera. El modelo difiere del CREAMS y del WEPP en que divide la superficie del suelo en dos partes: la que está en el suelo original y posee un cierto grado de cohesión y la comprendida en el material recientemente desprendido y sin cohesión.</w:t>
      </w:r>
    </w:p>
    <w:p>
      <w:pPr>
        <w:pStyle w:val="Heading1"/>
        <w:numPr>
          <w:ilvl w:val="4"/>
          <w:numId w:val="8"/>
        </w:numPr>
        <w:tabs>
          <w:tab w:pos="837" w:val="left" w:leader="none"/>
        </w:tabs>
        <w:spacing w:line="240" w:lineRule="auto" w:before="210" w:after="0"/>
        <w:ind w:left="837" w:right="0" w:hanging="361"/>
        <w:jc w:val="left"/>
      </w:pPr>
      <w:r>
        <w:rPr/>
        <w:t>EUROSEM: European Soil Erosion</w:t>
      </w:r>
      <w:r>
        <w:rPr>
          <w:spacing w:val="-18"/>
        </w:rPr>
        <w:t> </w:t>
      </w:r>
      <w:r>
        <w:rPr/>
        <w:t>Model</w:t>
      </w:r>
    </w:p>
    <w:p>
      <w:pPr>
        <w:pStyle w:val="BodyText"/>
        <w:spacing w:before="10"/>
        <w:rPr>
          <w:b/>
          <w:sz w:val="29"/>
        </w:rPr>
      </w:pPr>
    </w:p>
    <w:p>
      <w:pPr>
        <w:pStyle w:val="BodyText"/>
        <w:spacing w:line="357" w:lineRule="auto"/>
        <w:ind w:left="116" w:right="118"/>
        <w:jc w:val="both"/>
      </w:pPr>
      <w:r>
        <w:rPr/>
        <w:t>Es</w:t>
      </w:r>
      <w:r>
        <w:rPr>
          <w:spacing w:val="-6"/>
        </w:rPr>
        <w:t> </w:t>
      </w:r>
      <w:r>
        <w:rPr/>
        <w:t>un</w:t>
      </w:r>
      <w:r>
        <w:rPr>
          <w:spacing w:val="-6"/>
        </w:rPr>
        <w:t> </w:t>
      </w:r>
      <w:r>
        <w:rPr/>
        <w:t>modelo</w:t>
      </w:r>
      <w:r>
        <w:rPr>
          <w:spacing w:val="-6"/>
        </w:rPr>
        <w:t> </w:t>
      </w:r>
      <w:r>
        <w:rPr/>
        <w:t>basado</w:t>
      </w:r>
      <w:r>
        <w:rPr>
          <w:spacing w:val="-6"/>
        </w:rPr>
        <w:t> </w:t>
      </w:r>
      <w:r>
        <w:rPr/>
        <w:t>en</w:t>
      </w:r>
      <w:r>
        <w:rPr>
          <w:spacing w:val="-6"/>
        </w:rPr>
        <w:t> </w:t>
      </w:r>
      <w:r>
        <w:rPr/>
        <w:t>sucesos</w:t>
      </w:r>
      <w:r>
        <w:rPr>
          <w:spacing w:val="-6"/>
        </w:rPr>
        <w:t> </w:t>
      </w:r>
      <w:r>
        <w:rPr/>
        <w:t>y</w:t>
      </w:r>
      <w:r>
        <w:rPr>
          <w:spacing w:val="-6"/>
        </w:rPr>
        <w:t> </w:t>
      </w:r>
      <w:r>
        <w:rPr/>
        <w:t>desarrollado</w:t>
      </w:r>
      <w:r>
        <w:rPr>
          <w:spacing w:val="-1"/>
        </w:rPr>
        <w:t> </w:t>
      </w:r>
      <w:r>
        <w:rPr/>
        <w:t>para</w:t>
      </w:r>
      <w:r>
        <w:rPr>
          <w:spacing w:val="-6"/>
        </w:rPr>
        <w:t> </w:t>
      </w:r>
      <w:r>
        <w:rPr/>
        <w:t>computar</w:t>
      </w:r>
      <w:r>
        <w:rPr>
          <w:spacing w:val="-6"/>
        </w:rPr>
        <w:t> </w:t>
      </w:r>
      <w:r>
        <w:rPr/>
        <w:t>el</w:t>
      </w:r>
      <w:r>
        <w:rPr>
          <w:spacing w:val="-6"/>
        </w:rPr>
        <w:t> </w:t>
      </w:r>
      <w:r>
        <w:rPr/>
        <w:t>transporte</w:t>
      </w:r>
      <w:r>
        <w:rPr>
          <w:spacing w:val="-6"/>
        </w:rPr>
        <w:t> </w:t>
      </w:r>
      <w:r>
        <w:rPr/>
        <w:t>de</w:t>
      </w:r>
      <w:r>
        <w:rPr>
          <w:spacing w:val="-6"/>
        </w:rPr>
        <w:t> </w:t>
      </w:r>
      <w:r>
        <w:rPr/>
        <w:t>sedimentos, la</w:t>
      </w:r>
      <w:r>
        <w:rPr>
          <w:spacing w:val="-10"/>
        </w:rPr>
        <w:t> </w:t>
      </w:r>
      <w:r>
        <w:rPr/>
        <w:t>erosión</w:t>
      </w:r>
      <w:r>
        <w:rPr>
          <w:spacing w:val="-10"/>
        </w:rPr>
        <w:t> </w:t>
      </w:r>
      <w:r>
        <w:rPr/>
        <w:t>y</w:t>
      </w:r>
      <w:r>
        <w:rPr>
          <w:spacing w:val="-10"/>
        </w:rPr>
        <w:t> </w:t>
      </w:r>
      <w:r>
        <w:rPr/>
        <w:t>la</w:t>
      </w:r>
      <w:r>
        <w:rPr>
          <w:spacing w:val="-10"/>
        </w:rPr>
        <w:t> </w:t>
      </w:r>
      <w:r>
        <w:rPr/>
        <w:t>deposición</w:t>
      </w:r>
      <w:r>
        <w:rPr>
          <w:spacing w:val="-10"/>
        </w:rPr>
        <w:t> </w:t>
      </w:r>
      <w:r>
        <w:rPr/>
        <w:t>sobre</w:t>
      </w:r>
      <w:r>
        <w:rPr>
          <w:spacing w:val="-10"/>
        </w:rPr>
        <w:t> </w:t>
      </w:r>
      <w:r>
        <w:rPr/>
        <w:t>la</w:t>
      </w:r>
      <w:r>
        <w:rPr>
          <w:spacing w:val="-10"/>
        </w:rPr>
        <w:t> </w:t>
      </w:r>
      <w:r>
        <w:rPr/>
        <w:t>superficie</w:t>
      </w:r>
      <w:r>
        <w:rPr>
          <w:spacing w:val="-9"/>
        </w:rPr>
        <w:t> </w:t>
      </w:r>
      <w:r>
        <w:rPr/>
        <w:t>del</w:t>
      </w:r>
      <w:r>
        <w:rPr>
          <w:spacing w:val="-10"/>
        </w:rPr>
        <w:t> </w:t>
      </w:r>
      <w:r>
        <w:rPr/>
        <w:t>suelo</w:t>
      </w:r>
      <w:r>
        <w:rPr>
          <w:spacing w:val="-10"/>
        </w:rPr>
        <w:t> </w:t>
      </w:r>
      <w:r>
        <w:rPr/>
        <w:t>como</w:t>
      </w:r>
      <w:r>
        <w:rPr>
          <w:spacing w:val="-10"/>
        </w:rPr>
        <w:t> </w:t>
      </w:r>
      <w:r>
        <w:rPr/>
        <w:t>consecuencia</w:t>
      </w:r>
      <w:r>
        <w:rPr>
          <w:spacing w:val="-10"/>
        </w:rPr>
        <w:t> </w:t>
      </w:r>
      <w:r>
        <w:rPr/>
        <w:t>de</w:t>
      </w:r>
      <w:r>
        <w:rPr>
          <w:spacing w:val="-10"/>
        </w:rPr>
        <w:t> </w:t>
      </w:r>
      <w:r>
        <w:rPr/>
        <w:t>una</w:t>
      </w:r>
      <w:r>
        <w:rPr>
          <w:spacing w:val="-10"/>
        </w:rPr>
        <w:t> </w:t>
      </w:r>
      <w:r>
        <w:rPr/>
        <w:t>tormenta.</w:t>
      </w:r>
    </w:p>
    <w:p>
      <w:pPr>
        <w:spacing w:after="0" w:line="357" w:lineRule="auto"/>
        <w:jc w:val="both"/>
        <w:sectPr>
          <w:pgSz w:w="12240" w:h="15840"/>
          <w:pgMar w:header="0" w:footer="1473" w:top="1360" w:bottom="1660" w:left="1300" w:right="1300"/>
        </w:sectPr>
      </w:pPr>
    </w:p>
    <w:p>
      <w:pPr>
        <w:pStyle w:val="BodyText"/>
        <w:spacing w:line="362" w:lineRule="auto" w:before="49"/>
        <w:ind w:left="116" w:right="117"/>
        <w:jc w:val="both"/>
      </w:pPr>
      <w:r>
        <w:rPr/>
        <w:t>Puede aplicarse a parcelas o a pequeñas cuencas. Se utiliza para simular los efectos de la vegetación o el cultivo, teniendo en cuenta el drenaje foliar.</w:t>
      </w:r>
    </w:p>
    <w:p>
      <w:pPr>
        <w:pStyle w:val="BodyText"/>
      </w:pPr>
    </w:p>
    <w:p>
      <w:pPr>
        <w:pStyle w:val="Heading1"/>
        <w:numPr>
          <w:ilvl w:val="3"/>
          <w:numId w:val="9"/>
        </w:numPr>
        <w:tabs>
          <w:tab w:pos="899" w:val="left" w:leader="none"/>
        </w:tabs>
        <w:spacing w:line="240" w:lineRule="auto" w:before="163" w:after="0"/>
        <w:ind w:left="898" w:right="0" w:hanging="782"/>
        <w:jc w:val="both"/>
      </w:pPr>
      <w:r>
        <w:rPr/>
        <w:t>Modelación para estudios</w:t>
      </w:r>
      <w:r>
        <w:rPr>
          <w:spacing w:val="-20"/>
        </w:rPr>
        <w:t> </w:t>
      </w:r>
      <w:r>
        <w:rPr/>
        <w:t>hidrológicos</w:t>
      </w:r>
    </w:p>
    <w:p>
      <w:pPr>
        <w:pStyle w:val="BodyText"/>
        <w:rPr>
          <w:b/>
        </w:rPr>
      </w:pPr>
    </w:p>
    <w:p>
      <w:pPr>
        <w:pStyle w:val="BodyText"/>
        <w:spacing w:before="7"/>
        <w:rPr>
          <w:b/>
          <w:sz w:val="20"/>
        </w:rPr>
      </w:pPr>
    </w:p>
    <w:p>
      <w:pPr>
        <w:pStyle w:val="BodyText"/>
        <w:spacing w:line="360" w:lineRule="auto"/>
        <w:ind w:left="116" w:right="113"/>
        <w:jc w:val="both"/>
      </w:pPr>
      <w:r>
        <w:rPr/>
        <w:t>Debido a la complejidad de manipulación de datos en tiempo y espacio que requieren los estudios</w:t>
      </w:r>
      <w:r>
        <w:rPr>
          <w:spacing w:val="-7"/>
        </w:rPr>
        <w:t> </w:t>
      </w:r>
      <w:r>
        <w:rPr/>
        <w:t>hidrológicos,</w:t>
      </w:r>
      <w:r>
        <w:rPr>
          <w:spacing w:val="-5"/>
        </w:rPr>
        <w:t> </w:t>
      </w:r>
      <w:r>
        <w:rPr/>
        <w:t>varias</w:t>
      </w:r>
      <w:r>
        <w:rPr>
          <w:spacing w:val="-7"/>
        </w:rPr>
        <w:t> </w:t>
      </w:r>
      <w:r>
        <w:rPr/>
        <w:t>instituciones</w:t>
      </w:r>
      <w:r>
        <w:rPr>
          <w:spacing w:val="-7"/>
        </w:rPr>
        <w:t> </w:t>
      </w:r>
      <w:r>
        <w:rPr/>
        <w:t>a</w:t>
      </w:r>
      <w:r>
        <w:rPr>
          <w:spacing w:val="-7"/>
        </w:rPr>
        <w:t> </w:t>
      </w:r>
      <w:r>
        <w:rPr/>
        <w:t>nivel</w:t>
      </w:r>
      <w:r>
        <w:rPr>
          <w:spacing w:val="-7"/>
        </w:rPr>
        <w:t> </w:t>
      </w:r>
      <w:r>
        <w:rPr/>
        <w:t>mundial</w:t>
      </w:r>
      <w:r>
        <w:rPr>
          <w:spacing w:val="-7"/>
        </w:rPr>
        <w:t> </w:t>
      </w:r>
      <w:r>
        <w:rPr/>
        <w:t>han</w:t>
      </w:r>
      <w:r>
        <w:rPr>
          <w:spacing w:val="-7"/>
        </w:rPr>
        <w:t> </w:t>
      </w:r>
      <w:r>
        <w:rPr/>
        <w:t>trabajado</w:t>
      </w:r>
      <w:r>
        <w:rPr>
          <w:spacing w:val="-8"/>
        </w:rPr>
        <w:t> </w:t>
      </w:r>
      <w:r>
        <w:rPr/>
        <w:t>en</w:t>
      </w:r>
      <w:r>
        <w:rPr>
          <w:spacing w:val="-7"/>
        </w:rPr>
        <w:t> </w:t>
      </w:r>
      <w:r>
        <w:rPr/>
        <w:t>el</w:t>
      </w:r>
      <w:r>
        <w:rPr>
          <w:spacing w:val="-12"/>
        </w:rPr>
        <w:t> </w:t>
      </w:r>
      <w:r>
        <w:rPr/>
        <w:t>desarrollo</w:t>
      </w:r>
      <w:r>
        <w:rPr>
          <w:spacing w:val="-8"/>
        </w:rPr>
        <w:t> </w:t>
      </w:r>
      <w:r>
        <w:rPr/>
        <w:t>de modelos bajo plataforma de los SIG para facilitar a los investigadores en el estudio de cuencas y toma de</w:t>
      </w:r>
      <w:r>
        <w:rPr>
          <w:spacing w:val="-11"/>
        </w:rPr>
        <w:t> </w:t>
      </w:r>
      <w:r>
        <w:rPr/>
        <w:t>decisiones.</w:t>
      </w:r>
    </w:p>
    <w:p>
      <w:pPr>
        <w:pStyle w:val="BodyText"/>
        <w:spacing w:before="205"/>
        <w:ind w:left="116"/>
        <w:jc w:val="both"/>
      </w:pPr>
      <w:r>
        <w:rPr/>
        <w:t>Algunos de los programas que realizan simulaciones hidrológicas son los siguientes:</w:t>
      </w:r>
    </w:p>
    <w:p>
      <w:pPr>
        <w:pStyle w:val="BodyText"/>
        <w:spacing w:before="8"/>
        <w:rPr>
          <w:sz w:val="30"/>
        </w:rPr>
      </w:pPr>
    </w:p>
    <w:p>
      <w:pPr>
        <w:pStyle w:val="Heading1"/>
        <w:numPr>
          <w:ilvl w:val="4"/>
          <w:numId w:val="9"/>
        </w:numPr>
        <w:tabs>
          <w:tab w:pos="837" w:val="left" w:leader="none"/>
        </w:tabs>
        <w:spacing w:line="240" w:lineRule="auto" w:before="1" w:after="0"/>
        <w:ind w:left="837" w:right="0" w:hanging="361"/>
        <w:jc w:val="left"/>
      </w:pPr>
      <w:r>
        <w:rPr/>
        <w:t>Modelo</w:t>
      </w:r>
      <w:r>
        <w:rPr>
          <w:spacing w:val="-12"/>
        </w:rPr>
        <w:t> </w:t>
      </w:r>
      <w:r>
        <w:rPr/>
        <w:t>HEC-HMS</w:t>
      </w:r>
    </w:p>
    <w:p>
      <w:pPr>
        <w:pStyle w:val="BodyText"/>
        <w:spacing w:before="8"/>
        <w:rPr>
          <w:b/>
          <w:sz w:val="20"/>
        </w:rPr>
      </w:pPr>
    </w:p>
    <w:p>
      <w:pPr>
        <w:pStyle w:val="BodyText"/>
        <w:spacing w:line="360" w:lineRule="auto"/>
        <w:ind w:left="116" w:right="110"/>
        <w:jc w:val="both"/>
      </w:pPr>
      <w:r>
        <w:rPr/>
        <w:t>El Sistema de Modelación Hidrológica (HEC-HMS) está diseñado para simular los procesos hidrológicos de cuencas. El software incluye procedimientos de análisis hidrológicos tradicionales, como eventos de infiltración, hidrogramas unitarios, y enrutamiento hidrológico. HEC-HMS también incluye los módulos para la evapotranspiración, derretimiento de nieve y cálculo de la humedad del suelo. La Figura 2 muestra un ejemplo de la plataforma de trabajo del software.</w:t>
      </w:r>
    </w:p>
    <w:p>
      <w:pPr>
        <w:spacing w:after="0" w:line="360" w:lineRule="auto"/>
        <w:jc w:val="both"/>
        <w:sectPr>
          <w:pgSz w:w="12240" w:h="15840"/>
          <w:pgMar w:header="0" w:footer="1473" w:top="1360" w:bottom="1660" w:left="1300" w:right="1300"/>
        </w:sectPr>
      </w:pPr>
    </w:p>
    <w:p>
      <w:pPr>
        <w:pStyle w:val="BodyText"/>
        <w:ind w:left="139"/>
        <w:rPr>
          <w:sz w:val="20"/>
        </w:rPr>
      </w:pPr>
      <w:r>
        <w:rPr>
          <w:sz w:val="20"/>
        </w:rPr>
        <w:pict>
          <v:group style="width:467.8pt;height:305.05pt;mso-position-horizontal-relative:char;mso-position-vertical-relative:line" coordorigin="0,0" coordsize="9356,6101">
            <v:shape style="position:absolute;left:29;top:29;width:9298;height:6043" type="#_x0000_t75" stroked="false">
              <v:imagedata r:id="rId20" o:title=""/>
            </v:shape>
            <v:rect style="position:absolute;left:15;top:15;width:9326;height:6072" filled="false" stroked="true" strokeweight="1.44pt" strokecolor="#000000"/>
          </v:group>
        </w:pict>
      </w:r>
      <w:r>
        <w:rPr>
          <w:sz w:val="20"/>
        </w:rPr>
      </w:r>
    </w:p>
    <w:p>
      <w:pPr>
        <w:pStyle w:val="BodyText"/>
        <w:spacing w:before="7"/>
        <w:rPr>
          <w:sz w:val="18"/>
        </w:rPr>
      </w:pPr>
    </w:p>
    <w:p>
      <w:pPr>
        <w:spacing w:before="72"/>
        <w:ind w:left="255" w:right="249" w:firstLine="0"/>
        <w:jc w:val="center"/>
        <w:rPr>
          <w:sz w:val="22"/>
        </w:rPr>
      </w:pPr>
      <w:r>
        <w:rPr>
          <w:sz w:val="22"/>
        </w:rPr>
        <w:t>Fuente: Gidahatari, (2014)</w:t>
      </w:r>
    </w:p>
    <w:p>
      <w:pPr>
        <w:pStyle w:val="Heading1"/>
        <w:spacing w:before="2"/>
        <w:ind w:left="255" w:right="260"/>
        <w:jc w:val="center"/>
      </w:pPr>
      <w:bookmarkStart w:name="_bookmark25" w:id="40"/>
      <w:bookmarkEnd w:id="40"/>
      <w:r>
        <w:rPr>
          <w:b w:val="0"/>
        </w:rPr>
      </w:r>
      <w:r>
        <w:rPr/>
        <w:t>Figura 2. Modelamiento hidrológico de un evento en una cuenca andina.</w:t>
      </w:r>
    </w:p>
    <w:p>
      <w:pPr>
        <w:pStyle w:val="BodyText"/>
        <w:rPr>
          <w:b/>
        </w:rPr>
      </w:pPr>
    </w:p>
    <w:p>
      <w:pPr>
        <w:pStyle w:val="BodyText"/>
        <w:spacing w:before="5"/>
        <w:rPr>
          <w:b/>
          <w:sz w:val="34"/>
        </w:rPr>
      </w:pPr>
    </w:p>
    <w:p>
      <w:pPr>
        <w:pStyle w:val="ListParagraph"/>
        <w:numPr>
          <w:ilvl w:val="4"/>
          <w:numId w:val="9"/>
        </w:numPr>
        <w:tabs>
          <w:tab w:pos="837" w:val="left" w:leader="none"/>
        </w:tabs>
        <w:spacing w:line="240" w:lineRule="auto" w:before="0" w:after="0"/>
        <w:ind w:left="837" w:right="0" w:hanging="361"/>
        <w:jc w:val="left"/>
        <w:rPr>
          <w:b/>
          <w:sz w:val="26"/>
        </w:rPr>
      </w:pPr>
      <w:r>
        <w:rPr>
          <w:b/>
          <w:sz w:val="26"/>
        </w:rPr>
        <w:t>Modelo</w:t>
      </w:r>
      <w:r>
        <w:rPr>
          <w:b/>
          <w:spacing w:val="-9"/>
          <w:sz w:val="26"/>
        </w:rPr>
        <w:t> </w:t>
      </w:r>
      <w:r>
        <w:rPr>
          <w:b/>
          <w:sz w:val="26"/>
        </w:rPr>
        <w:t>PRMS</w:t>
      </w:r>
    </w:p>
    <w:p>
      <w:pPr>
        <w:pStyle w:val="BodyText"/>
        <w:spacing w:before="8"/>
        <w:rPr>
          <w:b/>
          <w:sz w:val="20"/>
        </w:rPr>
      </w:pPr>
    </w:p>
    <w:p>
      <w:pPr>
        <w:pStyle w:val="BodyText"/>
        <w:spacing w:line="360" w:lineRule="auto"/>
        <w:ind w:left="116" w:right="115"/>
        <w:jc w:val="both"/>
      </w:pPr>
      <w:r>
        <w:rPr/>
        <w:t>El código de modelamiento PRMS (Sistema de Modelamiento de Precipitación- Escorrentía) es un sistema modular, de parámetros espacialmente distribuidos, que representa</w:t>
      </w:r>
      <w:r>
        <w:rPr>
          <w:spacing w:val="-10"/>
        </w:rPr>
        <w:t> </w:t>
      </w:r>
      <w:r>
        <w:rPr/>
        <w:t>los</w:t>
      </w:r>
      <w:r>
        <w:rPr>
          <w:spacing w:val="-10"/>
        </w:rPr>
        <w:t> </w:t>
      </w:r>
      <w:r>
        <w:rPr/>
        <w:t>procesos</w:t>
      </w:r>
      <w:r>
        <w:rPr>
          <w:spacing w:val="-10"/>
        </w:rPr>
        <w:t> </w:t>
      </w:r>
      <w:r>
        <w:rPr/>
        <w:t>físicos</w:t>
      </w:r>
      <w:r>
        <w:rPr>
          <w:spacing w:val="-10"/>
        </w:rPr>
        <w:t> </w:t>
      </w:r>
      <w:r>
        <w:rPr/>
        <w:t>de</w:t>
      </w:r>
      <w:r>
        <w:rPr>
          <w:spacing w:val="-10"/>
        </w:rPr>
        <w:t> </w:t>
      </w:r>
      <w:r>
        <w:rPr/>
        <w:t>una</w:t>
      </w:r>
      <w:r>
        <w:rPr>
          <w:spacing w:val="-10"/>
        </w:rPr>
        <w:t> </w:t>
      </w:r>
      <w:r>
        <w:rPr/>
        <w:t>cuenca</w:t>
      </w:r>
      <w:r>
        <w:rPr>
          <w:spacing w:val="-10"/>
        </w:rPr>
        <w:t> </w:t>
      </w:r>
      <w:r>
        <w:rPr/>
        <w:t>hidrográfica.</w:t>
      </w:r>
      <w:r>
        <w:rPr>
          <w:spacing w:val="-8"/>
        </w:rPr>
        <w:t> </w:t>
      </w:r>
      <w:r>
        <w:rPr/>
        <w:t>Fue</w:t>
      </w:r>
      <w:r>
        <w:rPr>
          <w:spacing w:val="-10"/>
        </w:rPr>
        <w:t> </w:t>
      </w:r>
      <w:r>
        <w:rPr/>
        <w:t>desarrollado</w:t>
      </w:r>
      <w:r>
        <w:rPr>
          <w:spacing w:val="-10"/>
        </w:rPr>
        <w:t> </w:t>
      </w:r>
      <w:r>
        <w:rPr/>
        <w:t>por</w:t>
      </w:r>
      <w:r>
        <w:rPr>
          <w:spacing w:val="-10"/>
        </w:rPr>
        <w:t> </w:t>
      </w:r>
      <w:r>
        <w:rPr/>
        <w:t>el</w:t>
      </w:r>
      <w:r>
        <w:rPr>
          <w:spacing w:val="-5"/>
        </w:rPr>
        <w:t> </w:t>
      </w:r>
      <w:r>
        <w:rPr/>
        <w:t>Servicio Geológico de Estados Unidos (USGS) para evaluar los efectos de varias combinaciones</w:t>
      </w:r>
      <w:r>
        <w:rPr>
          <w:spacing w:val="-38"/>
        </w:rPr>
        <w:t> </w:t>
      </w:r>
      <w:r>
        <w:rPr/>
        <w:t>de geomorfología, tipo y uso de suelo, vegetación y parámetros climáticos sobre la respuesta hidrológica</w:t>
      </w:r>
      <w:r>
        <w:rPr>
          <w:spacing w:val="-6"/>
        </w:rPr>
        <w:t> </w:t>
      </w:r>
      <w:r>
        <w:rPr/>
        <w:t>de</w:t>
      </w:r>
      <w:r>
        <w:rPr>
          <w:spacing w:val="-6"/>
        </w:rPr>
        <w:t> </w:t>
      </w:r>
      <w:r>
        <w:rPr/>
        <w:t>la</w:t>
      </w:r>
      <w:r>
        <w:rPr>
          <w:spacing w:val="-6"/>
        </w:rPr>
        <w:t> </w:t>
      </w:r>
      <w:r>
        <w:rPr/>
        <w:t>cuenca.</w:t>
      </w:r>
      <w:r>
        <w:rPr>
          <w:spacing w:val="-2"/>
        </w:rPr>
        <w:t> </w:t>
      </w:r>
      <w:r>
        <w:rPr>
          <w:spacing w:val="-3"/>
        </w:rPr>
        <w:t>La</w:t>
      </w:r>
      <w:r>
        <w:rPr>
          <w:spacing w:val="-6"/>
        </w:rPr>
        <w:t> </w:t>
      </w:r>
      <w:r>
        <w:rPr/>
        <w:t>Figura</w:t>
      </w:r>
      <w:r>
        <w:rPr>
          <w:spacing w:val="-5"/>
        </w:rPr>
        <w:t> </w:t>
      </w:r>
      <w:r>
        <w:rPr/>
        <w:t>3</w:t>
      </w:r>
      <w:r>
        <w:rPr>
          <w:spacing w:val="-1"/>
        </w:rPr>
        <w:t> </w:t>
      </w:r>
      <w:r>
        <w:rPr/>
        <w:t>muestra</w:t>
      </w:r>
      <w:r>
        <w:rPr>
          <w:spacing w:val="-1"/>
        </w:rPr>
        <w:t> </w:t>
      </w:r>
      <w:r>
        <w:rPr/>
        <w:t>un</w:t>
      </w:r>
      <w:r>
        <w:rPr>
          <w:spacing w:val="-6"/>
        </w:rPr>
        <w:t> </w:t>
      </w:r>
      <w:r>
        <w:rPr/>
        <w:t>ejemplo</w:t>
      </w:r>
      <w:r>
        <w:rPr>
          <w:spacing w:val="-6"/>
        </w:rPr>
        <w:t> </w:t>
      </w:r>
      <w:r>
        <w:rPr/>
        <w:t>de</w:t>
      </w:r>
      <w:r>
        <w:rPr>
          <w:spacing w:val="-6"/>
        </w:rPr>
        <w:t> </w:t>
      </w:r>
      <w:r>
        <w:rPr/>
        <w:t>la</w:t>
      </w:r>
      <w:r>
        <w:rPr>
          <w:spacing w:val="-5"/>
        </w:rPr>
        <w:t> </w:t>
      </w:r>
      <w:r>
        <w:rPr/>
        <w:t>simulación</w:t>
      </w:r>
      <w:r>
        <w:rPr>
          <w:spacing w:val="-6"/>
        </w:rPr>
        <w:t> </w:t>
      </w:r>
      <w:r>
        <w:rPr/>
        <w:t>de</w:t>
      </w:r>
      <w:r>
        <w:rPr>
          <w:spacing w:val="-6"/>
        </w:rPr>
        <w:t> </w:t>
      </w:r>
      <w:r>
        <w:rPr/>
        <w:t>modelado</w:t>
      </w:r>
      <w:r>
        <w:rPr>
          <w:spacing w:val="-6"/>
        </w:rPr>
        <w:t> </w:t>
      </w:r>
      <w:r>
        <w:rPr/>
        <w:t>de flujos hidrológicos por el software</w:t>
      </w:r>
      <w:r>
        <w:rPr>
          <w:spacing w:val="-17"/>
        </w:rPr>
        <w:t> </w:t>
      </w:r>
      <w:r>
        <w:rPr/>
        <w:t>PRMS.</w:t>
      </w:r>
    </w:p>
    <w:p>
      <w:pPr>
        <w:spacing w:after="0" w:line="360" w:lineRule="auto"/>
        <w:jc w:val="both"/>
        <w:sectPr>
          <w:pgSz w:w="12240" w:h="15840"/>
          <w:pgMar w:header="0" w:footer="1473" w:top="1420" w:bottom="1660" w:left="1300" w:right="1300"/>
        </w:sectPr>
      </w:pPr>
    </w:p>
    <w:p>
      <w:pPr>
        <w:pStyle w:val="BodyText"/>
        <w:ind w:left="523"/>
        <w:rPr>
          <w:sz w:val="20"/>
        </w:rPr>
      </w:pPr>
      <w:r>
        <w:rPr>
          <w:sz w:val="20"/>
        </w:rPr>
        <w:pict>
          <v:group style="width:464.2pt;height:274.850pt;mso-position-horizontal-relative:char;mso-position-vertical-relative:line" coordorigin="0,0" coordsize="9284,5497">
            <v:shape style="position:absolute;left:29;top:29;width:9226;height:5438" type="#_x0000_t75" stroked="false">
              <v:imagedata r:id="rId21" o:title=""/>
            </v:shape>
            <v:rect style="position:absolute;left:15;top:15;width:9254;height:5467" filled="false" stroked="true" strokeweight="1.44pt" strokecolor="#000000"/>
          </v:group>
        </w:pict>
      </w:r>
      <w:r>
        <w:rPr>
          <w:sz w:val="20"/>
        </w:rPr>
      </w:r>
    </w:p>
    <w:p>
      <w:pPr>
        <w:spacing w:before="23"/>
        <w:ind w:left="472" w:right="738" w:firstLine="0"/>
        <w:jc w:val="center"/>
        <w:rPr>
          <w:sz w:val="22"/>
        </w:rPr>
      </w:pPr>
      <w:r>
        <w:rPr>
          <w:sz w:val="22"/>
        </w:rPr>
        <w:t>Fuente: Fuente: Gidahatari, (2014)</w:t>
      </w:r>
    </w:p>
    <w:p>
      <w:pPr>
        <w:pStyle w:val="Heading1"/>
        <w:spacing w:before="2"/>
        <w:ind w:left="472" w:right="761"/>
        <w:jc w:val="center"/>
      </w:pPr>
      <w:bookmarkStart w:name="_bookmark26" w:id="41"/>
      <w:bookmarkEnd w:id="41"/>
      <w:r>
        <w:rPr>
          <w:b w:val="0"/>
        </w:rPr>
      </w:r>
      <w:r>
        <w:rPr/>
        <w:t>Figura 3. Distribución del flujo modelado en PRMS en escorrentía superficial, interflujo y flujo base.</w:t>
      </w:r>
    </w:p>
    <w:p>
      <w:pPr>
        <w:pStyle w:val="BodyText"/>
        <w:spacing w:before="1"/>
        <w:rPr>
          <w:b/>
          <w:sz w:val="12"/>
        </w:rPr>
      </w:pPr>
    </w:p>
    <w:p>
      <w:pPr>
        <w:pStyle w:val="ListParagraph"/>
        <w:numPr>
          <w:ilvl w:val="4"/>
          <w:numId w:val="9"/>
        </w:numPr>
        <w:tabs>
          <w:tab w:pos="837" w:val="left" w:leader="none"/>
        </w:tabs>
        <w:spacing w:line="240" w:lineRule="auto" w:before="66" w:after="0"/>
        <w:ind w:left="837" w:right="0" w:hanging="361"/>
        <w:jc w:val="left"/>
        <w:rPr>
          <w:b/>
          <w:sz w:val="26"/>
        </w:rPr>
      </w:pPr>
      <w:r>
        <w:rPr>
          <w:b/>
          <w:sz w:val="26"/>
        </w:rPr>
        <w:t>Modelo</w:t>
      </w:r>
      <w:r>
        <w:rPr>
          <w:b/>
          <w:spacing w:val="-11"/>
          <w:sz w:val="26"/>
        </w:rPr>
        <w:t> </w:t>
      </w:r>
      <w:r>
        <w:rPr>
          <w:b/>
          <w:sz w:val="26"/>
        </w:rPr>
        <w:t>QGIS</w:t>
      </w:r>
    </w:p>
    <w:p>
      <w:pPr>
        <w:pStyle w:val="BodyText"/>
        <w:spacing w:before="10"/>
        <w:rPr>
          <w:b/>
          <w:sz w:val="29"/>
        </w:rPr>
      </w:pPr>
    </w:p>
    <w:p>
      <w:pPr>
        <w:pStyle w:val="BodyText"/>
        <w:spacing w:line="360" w:lineRule="auto"/>
        <w:ind w:left="116" w:right="395"/>
        <w:jc w:val="both"/>
      </w:pPr>
      <w:r>
        <w:rPr/>
        <w:t>QGIS</w:t>
      </w:r>
      <w:r>
        <w:rPr>
          <w:spacing w:val="-21"/>
        </w:rPr>
        <w:t> </w:t>
      </w:r>
      <w:r>
        <w:rPr/>
        <w:t>es</w:t>
      </w:r>
      <w:r>
        <w:rPr>
          <w:spacing w:val="-17"/>
        </w:rPr>
        <w:t> </w:t>
      </w:r>
      <w:r>
        <w:rPr/>
        <w:t>una</w:t>
      </w:r>
      <w:r>
        <w:rPr>
          <w:spacing w:val="-17"/>
        </w:rPr>
        <w:t> </w:t>
      </w:r>
      <w:r>
        <w:rPr/>
        <w:t>herramienta</w:t>
      </w:r>
      <w:r>
        <w:rPr>
          <w:spacing w:val="-13"/>
        </w:rPr>
        <w:t> </w:t>
      </w:r>
      <w:r>
        <w:rPr/>
        <w:t>SIG</w:t>
      </w:r>
      <w:r>
        <w:rPr>
          <w:spacing w:val="-17"/>
        </w:rPr>
        <w:t> </w:t>
      </w:r>
      <w:r>
        <w:rPr/>
        <w:t>de</w:t>
      </w:r>
      <w:r>
        <w:rPr>
          <w:spacing w:val="-17"/>
        </w:rPr>
        <w:t> </w:t>
      </w:r>
      <w:r>
        <w:rPr/>
        <w:t>código</w:t>
      </w:r>
      <w:r>
        <w:rPr>
          <w:spacing w:val="-17"/>
        </w:rPr>
        <w:t> </w:t>
      </w:r>
      <w:r>
        <w:rPr/>
        <w:t>abierto</w:t>
      </w:r>
      <w:r>
        <w:rPr>
          <w:spacing w:val="-13"/>
        </w:rPr>
        <w:t> </w:t>
      </w:r>
      <w:r>
        <w:rPr/>
        <w:t>con</w:t>
      </w:r>
      <w:r>
        <w:rPr>
          <w:spacing w:val="-17"/>
        </w:rPr>
        <w:t> </w:t>
      </w:r>
      <w:r>
        <w:rPr/>
        <w:t>particular</w:t>
      </w:r>
      <w:r>
        <w:rPr>
          <w:spacing w:val="-17"/>
        </w:rPr>
        <w:t> </w:t>
      </w:r>
      <w:r>
        <w:rPr/>
        <w:t>ecosistema</w:t>
      </w:r>
      <w:r>
        <w:rPr>
          <w:spacing w:val="-17"/>
        </w:rPr>
        <w:t> </w:t>
      </w:r>
      <w:r>
        <w:rPr/>
        <w:t>de</w:t>
      </w:r>
      <w:r>
        <w:rPr>
          <w:spacing w:val="-17"/>
        </w:rPr>
        <w:t> </w:t>
      </w:r>
      <w:r>
        <w:rPr/>
        <w:t>complementos "plugins".</w:t>
      </w:r>
      <w:r>
        <w:rPr>
          <w:spacing w:val="-13"/>
        </w:rPr>
        <w:t> </w:t>
      </w:r>
      <w:r>
        <w:rPr/>
        <w:t>QGIS</w:t>
      </w:r>
      <w:r>
        <w:rPr>
          <w:spacing w:val="-15"/>
        </w:rPr>
        <w:t> </w:t>
      </w:r>
      <w:r>
        <w:rPr/>
        <w:t>ofrece</w:t>
      </w:r>
      <w:r>
        <w:rPr>
          <w:spacing w:val="-14"/>
        </w:rPr>
        <w:t> </w:t>
      </w:r>
      <w:r>
        <w:rPr/>
        <w:t>una</w:t>
      </w:r>
      <w:r>
        <w:rPr>
          <w:spacing w:val="-15"/>
        </w:rPr>
        <w:t> </w:t>
      </w:r>
      <w:r>
        <w:rPr/>
        <w:t>alternativa</w:t>
      </w:r>
      <w:r>
        <w:rPr>
          <w:spacing w:val="-15"/>
        </w:rPr>
        <w:t> </w:t>
      </w:r>
      <w:r>
        <w:rPr/>
        <w:t>abierta</w:t>
      </w:r>
      <w:r>
        <w:rPr>
          <w:spacing w:val="-10"/>
        </w:rPr>
        <w:t> </w:t>
      </w:r>
      <w:r>
        <w:rPr/>
        <w:t>que</w:t>
      </w:r>
      <w:r>
        <w:rPr>
          <w:spacing w:val="-15"/>
        </w:rPr>
        <w:t> </w:t>
      </w:r>
      <w:r>
        <w:rPr/>
        <w:t>reduce</w:t>
      </w:r>
      <w:r>
        <w:rPr>
          <w:spacing w:val="-14"/>
        </w:rPr>
        <w:t> </w:t>
      </w:r>
      <w:r>
        <w:rPr/>
        <w:t>las</w:t>
      </w:r>
      <w:r>
        <w:rPr>
          <w:spacing w:val="-15"/>
        </w:rPr>
        <w:t> </w:t>
      </w:r>
      <w:r>
        <w:rPr/>
        <w:t>barreras</w:t>
      </w:r>
      <w:r>
        <w:rPr>
          <w:spacing w:val="-14"/>
        </w:rPr>
        <w:t> </w:t>
      </w:r>
      <w:r>
        <w:rPr/>
        <w:t>de</w:t>
      </w:r>
      <w:r>
        <w:rPr>
          <w:spacing w:val="-15"/>
        </w:rPr>
        <w:t> </w:t>
      </w:r>
      <w:r>
        <w:rPr/>
        <w:t>entrada</w:t>
      </w:r>
      <w:r>
        <w:rPr>
          <w:spacing w:val="-14"/>
        </w:rPr>
        <w:t> </w:t>
      </w:r>
      <w:r>
        <w:rPr/>
        <w:t>y</w:t>
      </w:r>
      <w:r>
        <w:rPr>
          <w:spacing w:val="-15"/>
        </w:rPr>
        <w:t> </w:t>
      </w:r>
      <w:r>
        <w:rPr/>
        <w:t>de</w:t>
      </w:r>
      <w:r>
        <w:rPr>
          <w:spacing w:val="-15"/>
        </w:rPr>
        <w:t> </w:t>
      </w:r>
      <w:r>
        <w:rPr/>
        <w:t>costo, no</w:t>
      </w:r>
      <w:r>
        <w:rPr>
          <w:spacing w:val="-5"/>
        </w:rPr>
        <w:t> </w:t>
      </w:r>
      <w:r>
        <w:rPr/>
        <w:t>tiene</w:t>
      </w:r>
      <w:r>
        <w:rPr>
          <w:spacing w:val="-5"/>
        </w:rPr>
        <w:t> </w:t>
      </w:r>
      <w:r>
        <w:rPr/>
        <w:t>derechos</w:t>
      </w:r>
      <w:r>
        <w:rPr>
          <w:spacing w:val="-5"/>
        </w:rPr>
        <w:t> </w:t>
      </w:r>
      <w:r>
        <w:rPr/>
        <w:t>de</w:t>
      </w:r>
      <w:r>
        <w:rPr>
          <w:spacing w:val="-5"/>
        </w:rPr>
        <w:t> </w:t>
      </w:r>
      <w:r>
        <w:rPr/>
        <w:t>licencia,</w:t>
      </w:r>
      <w:r>
        <w:rPr>
          <w:spacing w:val="-7"/>
        </w:rPr>
        <w:t> </w:t>
      </w:r>
      <w:r>
        <w:rPr/>
        <w:t>y</w:t>
      </w:r>
      <w:r>
        <w:rPr>
          <w:spacing w:val="-5"/>
        </w:rPr>
        <w:t> </w:t>
      </w:r>
      <w:r>
        <w:rPr/>
        <w:t>se</w:t>
      </w:r>
      <w:r>
        <w:rPr>
          <w:spacing w:val="-5"/>
        </w:rPr>
        <w:t> </w:t>
      </w:r>
      <w:r>
        <w:rPr/>
        <w:t>ejecuta</w:t>
      </w:r>
      <w:r>
        <w:rPr>
          <w:spacing w:val="-9"/>
        </w:rPr>
        <w:t> </w:t>
      </w:r>
      <w:r>
        <w:rPr/>
        <w:t>en</w:t>
      </w:r>
      <w:r>
        <w:rPr>
          <w:spacing w:val="-5"/>
        </w:rPr>
        <w:t> </w:t>
      </w:r>
      <w:r>
        <w:rPr/>
        <w:t>el</w:t>
      </w:r>
      <w:r>
        <w:rPr>
          <w:spacing w:val="-10"/>
        </w:rPr>
        <w:t> </w:t>
      </w:r>
      <w:r>
        <w:rPr/>
        <w:t>sistema</w:t>
      </w:r>
      <w:r>
        <w:rPr>
          <w:spacing w:val="-5"/>
        </w:rPr>
        <w:t> </w:t>
      </w:r>
      <w:r>
        <w:rPr/>
        <w:t>operativo</w:t>
      </w:r>
      <w:r>
        <w:rPr>
          <w:spacing w:val="-5"/>
        </w:rPr>
        <w:t> </w:t>
      </w:r>
      <w:r>
        <w:rPr/>
        <w:t>de</w:t>
      </w:r>
      <w:r>
        <w:rPr>
          <w:spacing w:val="-5"/>
        </w:rPr>
        <w:t> </w:t>
      </w:r>
      <w:r>
        <w:rPr/>
        <w:t>su</w:t>
      </w:r>
      <w:r>
        <w:rPr>
          <w:spacing w:val="-3"/>
        </w:rPr>
        <w:t> </w:t>
      </w:r>
      <w:r>
        <w:rPr/>
        <w:t>elección.</w:t>
      </w:r>
      <w:r>
        <w:rPr>
          <w:spacing w:val="-4"/>
        </w:rPr>
        <w:t> </w:t>
      </w:r>
      <w:r>
        <w:rPr>
          <w:spacing w:val="-3"/>
        </w:rPr>
        <w:t>La</w:t>
      </w:r>
      <w:r>
        <w:rPr>
          <w:spacing w:val="-5"/>
        </w:rPr>
        <w:t> </w:t>
      </w:r>
      <w:r>
        <w:rPr/>
        <w:t>Figura 4 muestra la plataforma electrónica donde se descarga el software de forma</w:t>
      </w:r>
      <w:r>
        <w:rPr>
          <w:spacing w:val="-20"/>
        </w:rPr>
        <w:t> </w:t>
      </w:r>
      <w:r>
        <w:rPr/>
        <w:t>gratuita.</w:t>
      </w:r>
    </w:p>
    <w:p>
      <w:pPr>
        <w:spacing w:after="0" w:line="360" w:lineRule="auto"/>
        <w:jc w:val="both"/>
        <w:sectPr>
          <w:pgSz w:w="12240" w:h="15840"/>
          <w:pgMar w:header="0" w:footer="1473" w:top="1420" w:bottom="1660" w:left="1300" w:right="1020"/>
        </w:sectPr>
      </w:pPr>
    </w:p>
    <w:p>
      <w:pPr>
        <w:pStyle w:val="BodyText"/>
        <w:ind w:left="112"/>
        <w:rPr>
          <w:sz w:val="20"/>
        </w:rPr>
      </w:pPr>
      <w:r>
        <w:rPr>
          <w:sz w:val="20"/>
        </w:rPr>
        <w:pict>
          <v:group style="width:472.35pt;height:288.75pt;mso-position-horizontal-relative:char;mso-position-vertical-relative:line" coordorigin="0,0" coordsize="9447,5775">
            <v:shape style="position:absolute;left:29;top:29;width:9389;height:5717" type="#_x0000_t75" stroked="false">
              <v:imagedata r:id="rId22" o:title=""/>
            </v:shape>
            <v:rect style="position:absolute;left:15;top:15;width:9418;height:5746" filled="false" stroked="true" strokeweight="1.44pt" strokecolor="#000000"/>
          </v:group>
        </w:pict>
      </w:r>
      <w:r>
        <w:rPr>
          <w:sz w:val="20"/>
        </w:rPr>
      </w:r>
    </w:p>
    <w:p>
      <w:pPr>
        <w:pStyle w:val="BodyText"/>
        <w:rPr>
          <w:sz w:val="12"/>
        </w:rPr>
      </w:pPr>
    </w:p>
    <w:p>
      <w:pPr>
        <w:spacing w:before="73"/>
        <w:ind w:left="616" w:right="571" w:firstLine="0"/>
        <w:jc w:val="center"/>
        <w:rPr>
          <w:sz w:val="22"/>
        </w:rPr>
      </w:pPr>
      <w:r>
        <w:rPr>
          <w:sz w:val="22"/>
        </w:rPr>
        <w:t>Fuente: Gidahatari, (2014)</w:t>
      </w:r>
    </w:p>
    <w:p>
      <w:pPr>
        <w:pStyle w:val="Heading1"/>
        <w:spacing w:before="2"/>
        <w:ind w:left="616" w:right="574"/>
        <w:jc w:val="center"/>
      </w:pPr>
      <w:bookmarkStart w:name="_bookmark27" w:id="42"/>
      <w:bookmarkEnd w:id="42"/>
      <w:r>
        <w:rPr>
          <w:b w:val="0"/>
        </w:rPr>
      </w:r>
      <w:r>
        <w:rPr/>
        <w:t>Figura 4. Software QGIS.</w:t>
      </w:r>
    </w:p>
    <w:p>
      <w:pPr>
        <w:pStyle w:val="BodyText"/>
        <w:rPr>
          <w:b/>
          <w:sz w:val="20"/>
        </w:rPr>
      </w:pPr>
    </w:p>
    <w:p>
      <w:pPr>
        <w:pStyle w:val="BodyText"/>
        <w:rPr>
          <w:b/>
          <w:sz w:val="20"/>
        </w:rPr>
      </w:pPr>
    </w:p>
    <w:p>
      <w:pPr>
        <w:pStyle w:val="BodyText"/>
        <w:spacing w:before="4"/>
        <w:rPr>
          <w:b/>
          <w:sz w:val="20"/>
        </w:rPr>
      </w:pPr>
    </w:p>
    <w:p>
      <w:pPr>
        <w:pStyle w:val="ListParagraph"/>
        <w:numPr>
          <w:ilvl w:val="4"/>
          <w:numId w:val="9"/>
        </w:numPr>
        <w:tabs>
          <w:tab w:pos="877" w:val="left" w:leader="none"/>
        </w:tabs>
        <w:spacing w:line="240" w:lineRule="auto" w:before="0" w:after="0"/>
        <w:ind w:left="877" w:right="0" w:hanging="361"/>
        <w:jc w:val="left"/>
        <w:rPr>
          <w:b/>
          <w:sz w:val="26"/>
        </w:rPr>
      </w:pPr>
      <w:r>
        <w:rPr>
          <w:b/>
          <w:sz w:val="26"/>
        </w:rPr>
        <w:t>Modelo SAGA</w:t>
      </w:r>
      <w:r>
        <w:rPr>
          <w:b/>
          <w:spacing w:val="-12"/>
          <w:sz w:val="26"/>
        </w:rPr>
        <w:t> </w:t>
      </w:r>
      <w:r>
        <w:rPr>
          <w:b/>
          <w:sz w:val="26"/>
        </w:rPr>
        <w:t>GIS</w:t>
      </w:r>
    </w:p>
    <w:p>
      <w:pPr>
        <w:pStyle w:val="BodyText"/>
        <w:spacing w:before="9"/>
        <w:rPr>
          <w:b/>
          <w:sz w:val="20"/>
        </w:rPr>
      </w:pPr>
    </w:p>
    <w:p>
      <w:pPr>
        <w:pStyle w:val="BodyText"/>
        <w:spacing w:line="360" w:lineRule="auto"/>
        <w:ind w:left="156" w:right="116"/>
        <w:jc w:val="both"/>
      </w:pPr>
      <w:r>
        <w:rPr/>
        <w:t>SAGA GIS, es una plataforma GIS orientada al análisis espacial y la caracterización de cuencas. Las opciones de interpolación en SAGA GIS están mejor implementadas que en otros softwares libres y comerciales. La Figura 5 muestra la plataforma de trabajo del sorfware.</w:t>
      </w:r>
    </w:p>
    <w:p>
      <w:pPr>
        <w:spacing w:after="0" w:line="360" w:lineRule="auto"/>
        <w:jc w:val="both"/>
        <w:sectPr>
          <w:pgSz w:w="12240" w:h="15840"/>
          <w:pgMar w:header="0" w:footer="1473" w:top="1500" w:bottom="1660" w:left="1260" w:right="1300"/>
        </w:sectPr>
      </w:pPr>
    </w:p>
    <w:p>
      <w:pPr>
        <w:pStyle w:val="BodyText"/>
        <w:ind w:left="120"/>
        <w:rPr>
          <w:sz w:val="20"/>
        </w:rPr>
      </w:pPr>
      <w:r>
        <w:rPr>
          <w:sz w:val="20"/>
        </w:rPr>
        <w:pict>
          <v:group style="width:479.8pt;height:296.9pt;mso-position-horizontal-relative:char;mso-position-vertical-relative:line" coordorigin="0,0" coordsize="9596,5938">
            <v:shape style="position:absolute;left:29;top:29;width:9538;height:5880" type="#_x0000_t75" stroked="false">
              <v:imagedata r:id="rId24" o:title=""/>
            </v:shape>
            <v:rect style="position:absolute;left:15;top:15;width:9566;height:5909" filled="false" stroked="true" strokeweight="1.44pt" strokecolor="#000000"/>
          </v:group>
        </w:pict>
      </w:r>
      <w:r>
        <w:rPr>
          <w:sz w:val="20"/>
        </w:rPr>
      </w:r>
    </w:p>
    <w:p>
      <w:pPr>
        <w:pStyle w:val="BodyText"/>
        <w:rPr>
          <w:sz w:val="20"/>
        </w:rPr>
      </w:pPr>
    </w:p>
    <w:p>
      <w:pPr>
        <w:spacing w:before="73"/>
        <w:ind w:left="3083" w:right="3255" w:firstLine="0"/>
        <w:jc w:val="center"/>
        <w:rPr>
          <w:sz w:val="22"/>
        </w:rPr>
      </w:pPr>
      <w:r>
        <w:rPr>
          <w:sz w:val="22"/>
        </w:rPr>
        <w:t>Fuente: Gidahatari, (2014)</w:t>
      </w:r>
    </w:p>
    <w:p>
      <w:pPr>
        <w:pStyle w:val="Heading1"/>
        <w:spacing w:before="2"/>
        <w:ind w:left="3083" w:right="3259"/>
        <w:jc w:val="center"/>
      </w:pPr>
      <w:bookmarkStart w:name="_bookmark28" w:id="43"/>
      <w:bookmarkEnd w:id="43"/>
      <w:r>
        <w:rPr>
          <w:b w:val="0"/>
        </w:rPr>
      </w:r>
      <w:r>
        <w:rPr/>
        <w:t>Figura 5. Software SAGA GIS.</w:t>
      </w:r>
    </w:p>
    <w:p>
      <w:pPr>
        <w:pStyle w:val="BodyText"/>
        <w:rPr>
          <w:b/>
        </w:rPr>
      </w:pPr>
    </w:p>
    <w:p>
      <w:pPr>
        <w:pStyle w:val="BodyText"/>
        <w:spacing w:before="5"/>
        <w:rPr>
          <w:b/>
          <w:sz w:val="34"/>
        </w:rPr>
      </w:pPr>
    </w:p>
    <w:p>
      <w:pPr>
        <w:pStyle w:val="ListParagraph"/>
        <w:numPr>
          <w:ilvl w:val="4"/>
          <w:numId w:val="9"/>
        </w:numPr>
        <w:tabs>
          <w:tab w:pos="837" w:val="left" w:leader="none"/>
        </w:tabs>
        <w:spacing w:line="240" w:lineRule="auto" w:before="0" w:after="0"/>
        <w:ind w:left="837" w:right="0" w:hanging="361"/>
        <w:jc w:val="left"/>
        <w:rPr>
          <w:b/>
          <w:sz w:val="26"/>
        </w:rPr>
      </w:pPr>
      <w:r>
        <w:rPr>
          <w:b/>
          <w:sz w:val="26"/>
        </w:rPr>
        <w:t>Modelo</w:t>
      </w:r>
      <w:r>
        <w:rPr>
          <w:b/>
          <w:spacing w:val="-5"/>
          <w:sz w:val="26"/>
        </w:rPr>
        <w:t> </w:t>
      </w:r>
      <w:r>
        <w:rPr>
          <w:b/>
          <w:sz w:val="26"/>
        </w:rPr>
        <w:t>MODFLOW</w:t>
      </w:r>
    </w:p>
    <w:p>
      <w:pPr>
        <w:pStyle w:val="BodyText"/>
        <w:spacing w:before="8"/>
        <w:rPr>
          <w:b/>
          <w:sz w:val="20"/>
        </w:rPr>
      </w:pPr>
    </w:p>
    <w:p>
      <w:pPr>
        <w:pStyle w:val="BodyText"/>
        <w:spacing w:line="360" w:lineRule="auto"/>
        <w:ind w:left="116" w:right="295"/>
        <w:jc w:val="both"/>
      </w:pPr>
      <w:r>
        <w:rPr/>
        <w:t>Modelo de agua subterránea por diferencias finitas desarrollado por el Servicio Geológico de</w:t>
      </w:r>
      <w:r>
        <w:rPr>
          <w:spacing w:val="-13"/>
        </w:rPr>
        <w:t> </w:t>
      </w:r>
      <w:r>
        <w:rPr/>
        <w:t>Estados</w:t>
      </w:r>
      <w:r>
        <w:rPr>
          <w:spacing w:val="-13"/>
        </w:rPr>
        <w:t> </w:t>
      </w:r>
      <w:r>
        <w:rPr/>
        <w:t>Unidos</w:t>
      </w:r>
      <w:r>
        <w:rPr>
          <w:spacing w:val="-13"/>
        </w:rPr>
        <w:t> </w:t>
      </w:r>
      <w:r>
        <w:rPr/>
        <w:t>(USGS).</w:t>
      </w:r>
      <w:r>
        <w:rPr>
          <w:spacing w:val="-11"/>
        </w:rPr>
        <w:t> </w:t>
      </w:r>
      <w:r>
        <w:rPr/>
        <w:t>El</w:t>
      </w:r>
      <w:r>
        <w:rPr>
          <w:spacing w:val="-13"/>
        </w:rPr>
        <w:t> </w:t>
      </w:r>
      <w:r>
        <w:rPr/>
        <w:t>modelamiento</w:t>
      </w:r>
      <w:r>
        <w:rPr>
          <w:spacing w:val="-13"/>
        </w:rPr>
        <w:t> </w:t>
      </w:r>
      <w:r>
        <w:rPr/>
        <w:t>numérico</w:t>
      </w:r>
      <w:r>
        <w:rPr>
          <w:spacing w:val="-13"/>
        </w:rPr>
        <w:t> </w:t>
      </w:r>
      <w:r>
        <w:rPr/>
        <w:t>es</w:t>
      </w:r>
      <w:r>
        <w:rPr>
          <w:spacing w:val="-13"/>
        </w:rPr>
        <w:t> </w:t>
      </w:r>
      <w:r>
        <w:rPr/>
        <w:t>capaz</w:t>
      </w:r>
      <w:r>
        <w:rPr>
          <w:spacing w:val="-12"/>
        </w:rPr>
        <w:t> </w:t>
      </w:r>
      <w:r>
        <w:rPr/>
        <w:t>de</w:t>
      </w:r>
      <w:r>
        <w:rPr>
          <w:spacing w:val="-17"/>
        </w:rPr>
        <w:t> </w:t>
      </w:r>
      <w:r>
        <w:rPr/>
        <w:t>simular</w:t>
      </w:r>
      <w:r>
        <w:rPr>
          <w:spacing w:val="-13"/>
        </w:rPr>
        <w:t> </w:t>
      </w:r>
      <w:r>
        <w:rPr/>
        <w:t>el</w:t>
      </w:r>
      <w:r>
        <w:rPr>
          <w:spacing w:val="-13"/>
        </w:rPr>
        <w:t> </w:t>
      </w:r>
      <w:r>
        <w:rPr/>
        <w:t>flujo</w:t>
      </w:r>
      <w:r>
        <w:rPr>
          <w:spacing w:val="-13"/>
        </w:rPr>
        <w:t> </w:t>
      </w:r>
      <w:r>
        <w:rPr/>
        <w:t>de</w:t>
      </w:r>
      <w:r>
        <w:rPr>
          <w:spacing w:val="-17"/>
        </w:rPr>
        <w:t> </w:t>
      </w:r>
      <w:r>
        <w:rPr/>
        <w:t>agua subterránea</w:t>
      </w:r>
      <w:r>
        <w:rPr>
          <w:spacing w:val="-16"/>
        </w:rPr>
        <w:t> </w:t>
      </w:r>
      <w:r>
        <w:rPr/>
        <w:t>en</w:t>
      </w:r>
      <w:r>
        <w:rPr>
          <w:spacing w:val="-17"/>
        </w:rPr>
        <w:t> </w:t>
      </w:r>
      <w:r>
        <w:rPr/>
        <w:t>dos</w:t>
      </w:r>
      <w:r>
        <w:rPr>
          <w:spacing w:val="-17"/>
        </w:rPr>
        <w:t> </w:t>
      </w:r>
      <w:r>
        <w:rPr/>
        <w:t>o</w:t>
      </w:r>
      <w:r>
        <w:rPr>
          <w:spacing w:val="-17"/>
        </w:rPr>
        <w:t> </w:t>
      </w:r>
      <w:r>
        <w:rPr/>
        <w:t>tres</w:t>
      </w:r>
      <w:r>
        <w:rPr>
          <w:spacing w:val="-16"/>
        </w:rPr>
        <w:t> </w:t>
      </w:r>
      <w:r>
        <w:rPr/>
        <w:t>dimensiones</w:t>
      </w:r>
      <w:r>
        <w:rPr>
          <w:spacing w:val="-17"/>
        </w:rPr>
        <w:t> </w:t>
      </w:r>
      <w:r>
        <w:rPr/>
        <w:t>y</w:t>
      </w:r>
      <w:r>
        <w:rPr>
          <w:spacing w:val="-17"/>
        </w:rPr>
        <w:t> </w:t>
      </w:r>
      <w:r>
        <w:rPr/>
        <w:t>simula</w:t>
      </w:r>
      <w:r>
        <w:rPr>
          <w:spacing w:val="-17"/>
        </w:rPr>
        <w:t> </w:t>
      </w:r>
      <w:r>
        <w:rPr/>
        <w:t>los</w:t>
      </w:r>
      <w:r>
        <w:rPr>
          <w:spacing w:val="-17"/>
        </w:rPr>
        <w:t> </w:t>
      </w:r>
      <w:r>
        <w:rPr/>
        <w:t>principales</w:t>
      </w:r>
      <w:r>
        <w:rPr>
          <w:spacing w:val="-16"/>
        </w:rPr>
        <w:t> </w:t>
      </w:r>
      <w:r>
        <w:rPr/>
        <w:t>procesos</w:t>
      </w:r>
      <w:r>
        <w:rPr>
          <w:spacing w:val="-16"/>
        </w:rPr>
        <w:t> </w:t>
      </w:r>
      <w:r>
        <w:rPr/>
        <w:t>físicos</w:t>
      </w:r>
      <w:r>
        <w:rPr>
          <w:spacing w:val="-17"/>
        </w:rPr>
        <w:t> </w:t>
      </w:r>
      <w:r>
        <w:rPr/>
        <w:t>relacionados con el régimen de agua subterránea como recarga, evapotranspiración, bombeo, drenaje, etc. </w:t>
      </w:r>
      <w:r>
        <w:rPr>
          <w:spacing w:val="-3"/>
        </w:rPr>
        <w:t>La </w:t>
      </w:r>
      <w:r>
        <w:rPr/>
        <w:t>Figura 6 muestra la plataforma electrónica donde se puede descargar el programa de manera</w:t>
      </w:r>
      <w:r>
        <w:rPr>
          <w:spacing w:val="-7"/>
        </w:rPr>
        <w:t> </w:t>
      </w:r>
      <w:r>
        <w:rPr/>
        <w:t>gratuita.</w:t>
      </w:r>
    </w:p>
    <w:p>
      <w:pPr>
        <w:spacing w:after="0" w:line="360" w:lineRule="auto"/>
        <w:jc w:val="both"/>
        <w:sectPr>
          <w:footerReference w:type="default" r:id="rId23"/>
          <w:pgSz w:w="12240" w:h="15840"/>
          <w:pgMar w:footer="1473" w:header="0" w:top="1420" w:bottom="1660" w:left="1300" w:right="1120"/>
        </w:sectPr>
      </w:pPr>
    </w:p>
    <w:p>
      <w:pPr>
        <w:pStyle w:val="BodyText"/>
        <w:ind w:left="120"/>
        <w:rPr>
          <w:sz w:val="20"/>
        </w:rPr>
      </w:pPr>
      <w:r>
        <w:rPr>
          <w:sz w:val="20"/>
        </w:rPr>
        <w:pict>
          <v:group style="width:458.65pt;height:219.65pt;mso-position-horizontal-relative:char;mso-position-vertical-relative:line" coordorigin="0,0" coordsize="9173,4393">
            <v:shape style="position:absolute;left:29;top:29;width:9115;height:4334" type="#_x0000_t75" stroked="false">
              <v:imagedata r:id="rId26" o:title=""/>
            </v:shape>
            <v:rect style="position:absolute;left:15;top:15;width:9144;height:4363" filled="false" stroked="true" strokeweight="1.44pt" strokecolor="#000000"/>
          </v:group>
        </w:pict>
      </w:r>
      <w:r>
        <w:rPr>
          <w:sz w:val="20"/>
        </w:rPr>
      </w:r>
    </w:p>
    <w:p>
      <w:pPr>
        <w:pStyle w:val="BodyText"/>
        <w:spacing w:before="9"/>
        <w:rPr>
          <w:sz w:val="10"/>
        </w:rPr>
      </w:pPr>
    </w:p>
    <w:p>
      <w:pPr>
        <w:spacing w:before="72"/>
        <w:ind w:left="255" w:right="250" w:firstLine="0"/>
        <w:jc w:val="center"/>
        <w:rPr>
          <w:sz w:val="22"/>
        </w:rPr>
      </w:pPr>
      <w:r>
        <w:rPr>
          <w:sz w:val="22"/>
        </w:rPr>
        <w:t>Fuente: Gidahatari, (2014)</w:t>
      </w:r>
    </w:p>
    <w:p>
      <w:pPr>
        <w:pStyle w:val="Heading1"/>
        <w:spacing w:before="2"/>
        <w:ind w:left="255" w:right="255"/>
        <w:jc w:val="center"/>
      </w:pPr>
      <w:bookmarkStart w:name="_bookmark29" w:id="44"/>
      <w:bookmarkEnd w:id="44"/>
      <w:r>
        <w:rPr>
          <w:b w:val="0"/>
        </w:rPr>
      </w:r>
      <w:r>
        <w:rPr/>
        <w:t>Figura 6. Modelo numérico de una cuenca andina tridimensional en MODFLOW.</w:t>
      </w:r>
    </w:p>
    <w:p>
      <w:pPr>
        <w:pStyle w:val="BodyText"/>
        <w:rPr>
          <w:b/>
        </w:rPr>
      </w:pPr>
    </w:p>
    <w:p>
      <w:pPr>
        <w:pStyle w:val="BodyText"/>
        <w:spacing w:before="5"/>
        <w:rPr>
          <w:b/>
          <w:sz w:val="34"/>
        </w:rPr>
      </w:pPr>
    </w:p>
    <w:p>
      <w:pPr>
        <w:pStyle w:val="ListParagraph"/>
        <w:numPr>
          <w:ilvl w:val="4"/>
          <w:numId w:val="9"/>
        </w:numPr>
        <w:tabs>
          <w:tab w:pos="837" w:val="left" w:leader="none"/>
        </w:tabs>
        <w:spacing w:line="240" w:lineRule="auto" w:before="0" w:after="0"/>
        <w:ind w:left="837" w:right="0" w:hanging="361"/>
        <w:jc w:val="left"/>
        <w:rPr>
          <w:b/>
          <w:sz w:val="26"/>
        </w:rPr>
      </w:pPr>
      <w:r>
        <w:rPr>
          <w:b/>
          <w:sz w:val="26"/>
        </w:rPr>
        <w:t>Modelo</w:t>
      </w:r>
      <w:r>
        <w:rPr>
          <w:b/>
          <w:spacing w:val="-7"/>
          <w:sz w:val="26"/>
        </w:rPr>
        <w:t> </w:t>
      </w:r>
      <w:r>
        <w:rPr>
          <w:b/>
          <w:sz w:val="26"/>
        </w:rPr>
        <w:t>MT3DMS</w:t>
      </w:r>
    </w:p>
    <w:p>
      <w:pPr>
        <w:pStyle w:val="BodyText"/>
        <w:spacing w:before="4"/>
        <w:rPr>
          <w:b/>
          <w:sz w:val="30"/>
        </w:rPr>
      </w:pPr>
    </w:p>
    <w:p>
      <w:pPr>
        <w:pStyle w:val="BodyText"/>
        <w:spacing w:line="360" w:lineRule="auto"/>
        <w:ind w:left="116" w:right="115"/>
        <w:jc w:val="both"/>
      </w:pPr>
      <w:r>
        <w:rPr/>
        <w:t>El paquete MT3DMS es un modelo de transporte de masa acoplado a un modelo de flujo en MODFLOW. El código MT3DMS simula la advección, dispersión/difusión y las reacciones químicas de adsorción/absorción de los contaminantes en agua subterránea.</w:t>
      </w:r>
      <w:r>
        <w:rPr>
          <w:spacing w:val="52"/>
        </w:rPr>
        <w:t> </w:t>
      </w:r>
      <w:r>
        <w:rPr>
          <w:spacing w:val="-3"/>
        </w:rPr>
        <w:t>La </w:t>
      </w:r>
      <w:r>
        <w:rPr/>
        <w:t>Figura 7 muestra un ejemplo de la simulación que realiza el software MT3DMS para </w:t>
      </w:r>
      <w:r>
        <w:rPr>
          <w:spacing w:val="2"/>
        </w:rPr>
        <w:t>una </w:t>
      </w:r>
      <w:r>
        <w:rPr/>
        <w:t>pluma contaminante de un botanero minero.</w:t>
      </w:r>
    </w:p>
    <w:p>
      <w:pPr>
        <w:spacing w:after="0" w:line="360" w:lineRule="auto"/>
        <w:jc w:val="both"/>
        <w:sectPr>
          <w:footerReference w:type="default" r:id="rId25"/>
          <w:pgSz w:w="12240" w:h="15840"/>
          <w:pgMar w:footer="1473" w:header="0" w:top="1420" w:bottom="1660" w:left="1300" w:right="1300"/>
          <w:pgNumType w:start="31"/>
        </w:sectPr>
      </w:pPr>
    </w:p>
    <w:p>
      <w:pPr>
        <w:pStyle w:val="BodyText"/>
        <w:ind w:left="1219"/>
        <w:rPr>
          <w:sz w:val="20"/>
        </w:rPr>
      </w:pPr>
      <w:r>
        <w:rPr>
          <w:sz w:val="20"/>
        </w:rPr>
        <w:pict>
          <v:group style="width:372.05pt;height:282.25pt;mso-position-horizontal-relative:char;mso-position-vertical-relative:line" coordorigin="0,0" coordsize="7441,5645">
            <v:shape style="position:absolute;left:29;top:29;width:7382;height:5587" type="#_x0000_t75" stroked="false">
              <v:imagedata r:id="rId27" o:title=""/>
            </v:shape>
            <v:rect style="position:absolute;left:15;top:15;width:7411;height:5616" filled="false" stroked="true" strokeweight="1.44pt" strokecolor="#000000"/>
          </v:group>
        </w:pict>
      </w:r>
      <w:r>
        <w:rPr>
          <w:sz w:val="20"/>
        </w:rPr>
      </w:r>
    </w:p>
    <w:p>
      <w:pPr>
        <w:spacing w:line="252" w:lineRule="exact" w:before="18"/>
        <w:ind w:left="255" w:right="250" w:firstLine="0"/>
        <w:jc w:val="center"/>
        <w:rPr>
          <w:sz w:val="22"/>
        </w:rPr>
      </w:pPr>
      <w:r>
        <w:rPr>
          <w:sz w:val="22"/>
        </w:rPr>
        <w:t>Fuente: Gidahatari, (2014)</w:t>
      </w:r>
    </w:p>
    <w:p>
      <w:pPr>
        <w:pStyle w:val="Heading1"/>
        <w:spacing w:line="298" w:lineRule="exact"/>
        <w:ind w:left="255" w:right="255"/>
        <w:jc w:val="center"/>
      </w:pPr>
      <w:bookmarkStart w:name="_bookmark30" w:id="45"/>
      <w:bookmarkEnd w:id="45"/>
      <w:r>
        <w:rPr>
          <w:b w:val="0"/>
        </w:rPr>
      </w:r>
      <w:r>
        <w:rPr/>
        <w:t>Figura 7. Modelamiento de pluma contaminante de un botadero minero.</w:t>
      </w:r>
    </w:p>
    <w:p>
      <w:pPr>
        <w:pStyle w:val="BodyText"/>
        <w:rPr>
          <w:b/>
        </w:rPr>
      </w:pPr>
    </w:p>
    <w:p>
      <w:pPr>
        <w:pStyle w:val="BodyText"/>
        <w:spacing w:before="9"/>
        <w:rPr>
          <w:b/>
          <w:sz w:val="34"/>
        </w:rPr>
      </w:pPr>
    </w:p>
    <w:p>
      <w:pPr>
        <w:pStyle w:val="ListParagraph"/>
        <w:numPr>
          <w:ilvl w:val="4"/>
          <w:numId w:val="9"/>
        </w:numPr>
        <w:tabs>
          <w:tab w:pos="837" w:val="left" w:leader="none"/>
        </w:tabs>
        <w:spacing w:line="240" w:lineRule="auto" w:before="0" w:after="0"/>
        <w:ind w:left="837" w:right="0" w:hanging="361"/>
        <w:jc w:val="left"/>
        <w:rPr>
          <w:b/>
          <w:sz w:val="26"/>
        </w:rPr>
      </w:pPr>
      <w:r>
        <w:rPr>
          <w:b/>
          <w:sz w:val="26"/>
        </w:rPr>
        <w:t>Modelo</w:t>
      </w:r>
      <w:r>
        <w:rPr>
          <w:b/>
          <w:spacing w:val="-9"/>
          <w:sz w:val="26"/>
        </w:rPr>
        <w:t> </w:t>
      </w:r>
      <w:r>
        <w:rPr>
          <w:b/>
          <w:sz w:val="26"/>
        </w:rPr>
        <w:t>HEC-RAS</w:t>
      </w:r>
    </w:p>
    <w:p>
      <w:pPr>
        <w:pStyle w:val="BodyText"/>
        <w:spacing w:before="8"/>
        <w:rPr>
          <w:b/>
          <w:sz w:val="20"/>
        </w:rPr>
      </w:pPr>
    </w:p>
    <w:p>
      <w:pPr>
        <w:pStyle w:val="BodyText"/>
        <w:spacing w:line="360" w:lineRule="auto"/>
        <w:ind w:left="116" w:right="110"/>
        <w:jc w:val="both"/>
      </w:pPr>
      <w:r>
        <w:rPr/>
        <w:t>El modelo numérico HEC-RAS fue desarrollado por un Cuerpo de Ingenieros del Ejército de</w:t>
      </w:r>
      <w:r>
        <w:rPr>
          <w:spacing w:val="-11"/>
        </w:rPr>
        <w:t> </w:t>
      </w:r>
      <w:r>
        <w:rPr/>
        <w:t>Estados</w:t>
      </w:r>
      <w:r>
        <w:rPr>
          <w:spacing w:val="-11"/>
        </w:rPr>
        <w:t> </w:t>
      </w:r>
      <w:r>
        <w:rPr/>
        <w:t>Unidos.</w:t>
      </w:r>
      <w:r>
        <w:rPr>
          <w:spacing w:val="-4"/>
        </w:rPr>
        <w:t> </w:t>
      </w:r>
      <w:r>
        <w:rPr/>
        <w:t>Los</w:t>
      </w:r>
      <w:r>
        <w:rPr>
          <w:spacing w:val="-6"/>
        </w:rPr>
        <w:t> </w:t>
      </w:r>
      <w:r>
        <w:rPr/>
        <w:t>modelos</w:t>
      </w:r>
      <w:r>
        <w:rPr>
          <w:spacing w:val="-11"/>
        </w:rPr>
        <w:t> </w:t>
      </w:r>
      <w:r>
        <w:rPr/>
        <w:t>hidráulicos</w:t>
      </w:r>
      <w:r>
        <w:rPr>
          <w:spacing w:val="-11"/>
        </w:rPr>
        <w:t> </w:t>
      </w:r>
      <w:r>
        <w:rPr/>
        <w:t>de</w:t>
      </w:r>
      <w:r>
        <w:rPr>
          <w:spacing w:val="-6"/>
        </w:rPr>
        <w:t> </w:t>
      </w:r>
      <w:r>
        <w:rPr/>
        <w:t>río</w:t>
      </w:r>
      <w:r>
        <w:rPr>
          <w:spacing w:val="-11"/>
        </w:rPr>
        <w:t> </w:t>
      </w:r>
      <w:r>
        <w:rPr/>
        <w:t>utilizan</w:t>
      </w:r>
      <w:r>
        <w:rPr>
          <w:spacing w:val="-11"/>
        </w:rPr>
        <w:t> </w:t>
      </w:r>
      <w:r>
        <w:rPr/>
        <w:t>la</w:t>
      </w:r>
      <w:r>
        <w:rPr>
          <w:spacing w:val="-6"/>
        </w:rPr>
        <w:t> </w:t>
      </w:r>
      <w:r>
        <w:rPr/>
        <w:t>gradiente</w:t>
      </w:r>
      <w:r>
        <w:rPr>
          <w:spacing w:val="-10"/>
        </w:rPr>
        <w:t> </w:t>
      </w:r>
      <w:r>
        <w:rPr/>
        <w:t>y</w:t>
      </w:r>
      <w:r>
        <w:rPr>
          <w:spacing w:val="-11"/>
        </w:rPr>
        <w:t> </w:t>
      </w:r>
      <w:r>
        <w:rPr/>
        <w:t>la</w:t>
      </w:r>
      <w:r>
        <w:rPr>
          <w:spacing w:val="-11"/>
        </w:rPr>
        <w:t> </w:t>
      </w:r>
      <w:r>
        <w:rPr/>
        <w:t>topografía</w:t>
      </w:r>
      <w:r>
        <w:rPr>
          <w:spacing w:val="-10"/>
        </w:rPr>
        <w:t> </w:t>
      </w:r>
      <w:r>
        <w:rPr/>
        <w:t>para evaluar el tirante, las velocidades y las zonas inundadas. También sirve para calcular el transporte de sedimentos y la temperatura del agua. </w:t>
      </w:r>
      <w:r>
        <w:rPr>
          <w:spacing w:val="-3"/>
        </w:rPr>
        <w:t>La </w:t>
      </w:r>
      <w:r>
        <w:rPr/>
        <w:t>Figura 8 muestra un ejemplo de simulación de un sistema pluvial realizado por el software</w:t>
      </w:r>
      <w:r>
        <w:rPr>
          <w:spacing w:val="-15"/>
        </w:rPr>
        <w:t> </w:t>
      </w:r>
      <w:r>
        <w:rPr/>
        <w:t>HEC-RAS.</w:t>
      </w:r>
    </w:p>
    <w:p>
      <w:pPr>
        <w:spacing w:after="0" w:line="360" w:lineRule="auto"/>
        <w:jc w:val="both"/>
        <w:sectPr>
          <w:pgSz w:w="12240" w:h="15840"/>
          <w:pgMar w:header="0" w:footer="1473" w:top="1400" w:bottom="1660" w:left="1300" w:right="1300"/>
        </w:sectPr>
      </w:pPr>
    </w:p>
    <w:p>
      <w:pPr>
        <w:pStyle w:val="BodyText"/>
        <w:ind w:left="139"/>
        <w:rPr>
          <w:sz w:val="20"/>
        </w:rPr>
      </w:pPr>
      <w:r>
        <w:rPr>
          <w:sz w:val="20"/>
        </w:rPr>
        <w:pict>
          <v:group style="width:468.75pt;height:298.1pt;mso-position-horizontal-relative:char;mso-position-vertical-relative:line" coordorigin="0,0" coordsize="9375,5962">
            <v:shape style="position:absolute;left:29;top:29;width:9317;height:5904" type="#_x0000_t75" stroked="false">
              <v:imagedata r:id="rId28" o:title=""/>
            </v:shape>
            <v:rect style="position:absolute;left:15;top:15;width:9346;height:5933" filled="false" stroked="true" strokeweight="1.44pt" strokecolor="#000000"/>
          </v:group>
        </w:pict>
      </w:r>
      <w:r>
        <w:rPr>
          <w:sz w:val="20"/>
        </w:rPr>
      </w:r>
    </w:p>
    <w:p>
      <w:pPr>
        <w:pStyle w:val="BodyText"/>
        <w:spacing w:before="1"/>
        <w:rPr>
          <w:sz w:val="9"/>
        </w:rPr>
      </w:pPr>
    </w:p>
    <w:p>
      <w:pPr>
        <w:spacing w:before="72"/>
        <w:ind w:left="255" w:right="250" w:firstLine="0"/>
        <w:jc w:val="center"/>
        <w:rPr>
          <w:sz w:val="22"/>
        </w:rPr>
      </w:pPr>
      <w:r>
        <w:rPr>
          <w:sz w:val="22"/>
        </w:rPr>
        <w:t>Fuente: Gidahatari, (2014)</w:t>
      </w:r>
    </w:p>
    <w:p>
      <w:pPr>
        <w:pStyle w:val="Heading1"/>
        <w:spacing w:before="2"/>
        <w:ind w:left="255" w:right="255"/>
        <w:jc w:val="center"/>
      </w:pPr>
      <w:bookmarkStart w:name="_bookmark31" w:id="46"/>
      <w:bookmarkEnd w:id="46"/>
      <w:r>
        <w:rPr>
          <w:b w:val="0"/>
        </w:rPr>
      </w:r>
      <w:r>
        <w:rPr/>
        <w:t>Figura 8. Esquema del sistema fluvial por HEC-RAS y secciones de análisis.</w:t>
      </w:r>
    </w:p>
    <w:p>
      <w:pPr>
        <w:pStyle w:val="BodyText"/>
        <w:rPr>
          <w:b/>
        </w:rPr>
      </w:pPr>
    </w:p>
    <w:p>
      <w:pPr>
        <w:pStyle w:val="BodyText"/>
        <w:spacing w:before="4"/>
        <w:rPr>
          <w:b/>
          <w:sz w:val="34"/>
        </w:rPr>
      </w:pPr>
    </w:p>
    <w:p>
      <w:pPr>
        <w:pStyle w:val="ListParagraph"/>
        <w:numPr>
          <w:ilvl w:val="4"/>
          <w:numId w:val="9"/>
        </w:numPr>
        <w:tabs>
          <w:tab w:pos="837" w:val="left" w:leader="none"/>
        </w:tabs>
        <w:spacing w:line="240" w:lineRule="auto" w:before="0" w:after="0"/>
        <w:ind w:left="837" w:right="0" w:hanging="361"/>
        <w:jc w:val="left"/>
        <w:rPr>
          <w:b/>
          <w:sz w:val="26"/>
        </w:rPr>
      </w:pPr>
      <w:r>
        <w:rPr>
          <w:b/>
          <w:sz w:val="26"/>
        </w:rPr>
        <w:t>Modelo</w:t>
      </w:r>
      <w:r>
        <w:rPr>
          <w:b/>
          <w:spacing w:val="-13"/>
          <w:sz w:val="26"/>
        </w:rPr>
        <w:t> </w:t>
      </w:r>
      <w:r>
        <w:rPr>
          <w:b/>
          <w:sz w:val="26"/>
        </w:rPr>
        <w:t>iRIC</w:t>
      </w:r>
    </w:p>
    <w:p>
      <w:pPr>
        <w:pStyle w:val="BodyText"/>
        <w:spacing w:before="11"/>
        <w:rPr>
          <w:b/>
          <w:sz w:val="29"/>
        </w:rPr>
      </w:pPr>
    </w:p>
    <w:p>
      <w:pPr>
        <w:pStyle w:val="BodyText"/>
        <w:spacing w:line="360" w:lineRule="auto"/>
        <w:ind w:left="116" w:right="116"/>
        <w:jc w:val="both"/>
      </w:pPr>
      <w:r>
        <w:rPr/>
        <w:t>iRIC (International River Interface Cooperative) es un software desarrollado con la finalidad de proporcionar un entorno completo de simulación del cauce del río, cuyos resultados pueden ser importados y utilizados por los usuarios con fines de análisis, mitigación y prevención de desastres, mediante la visualización de los resultados de la simulación del río. La Figura 9 muestra un ejemplo de simulación de inundación de un río realizada por el software.</w:t>
      </w:r>
    </w:p>
    <w:p>
      <w:pPr>
        <w:spacing w:after="0" w:line="360" w:lineRule="auto"/>
        <w:jc w:val="both"/>
        <w:sectPr>
          <w:pgSz w:w="12240" w:h="15840"/>
          <w:pgMar w:header="0" w:footer="1473" w:top="1420" w:bottom="1660" w:left="1300" w:right="1300"/>
        </w:sectPr>
      </w:pPr>
    </w:p>
    <w:p>
      <w:pPr>
        <w:pStyle w:val="BodyText"/>
        <w:spacing w:before="11"/>
        <w:rPr>
          <w:sz w:val="8"/>
        </w:rPr>
      </w:pPr>
    </w:p>
    <w:p>
      <w:pPr>
        <w:pStyle w:val="BodyText"/>
        <w:ind w:left="112"/>
        <w:rPr>
          <w:sz w:val="20"/>
        </w:rPr>
      </w:pPr>
      <w:r>
        <w:rPr>
          <w:sz w:val="20"/>
        </w:rPr>
        <w:pict>
          <v:group style="width:472.6pt;height:280.350pt;mso-position-horizontal-relative:char;mso-position-vertical-relative:line" coordorigin="0,0" coordsize="9452,5607">
            <v:shape style="position:absolute;left:29;top:29;width:9394;height:5549" type="#_x0000_t75" stroked="false">
              <v:imagedata r:id="rId29" o:title=""/>
            </v:shape>
            <v:rect style="position:absolute;left:15;top:15;width:9422;height:5578" filled="false" stroked="true" strokeweight="1.44pt" strokecolor="#000000"/>
          </v:group>
        </w:pict>
      </w:r>
      <w:r>
        <w:rPr>
          <w:sz w:val="20"/>
        </w:rPr>
      </w:r>
    </w:p>
    <w:p>
      <w:pPr>
        <w:spacing w:line="252" w:lineRule="exact" w:before="3"/>
        <w:ind w:left="616" w:right="571" w:firstLine="0"/>
        <w:jc w:val="center"/>
        <w:rPr>
          <w:sz w:val="22"/>
        </w:rPr>
      </w:pPr>
      <w:r>
        <w:rPr>
          <w:sz w:val="22"/>
        </w:rPr>
        <w:t>Fuente: Gidahatari, (2014)</w:t>
      </w:r>
    </w:p>
    <w:p>
      <w:pPr>
        <w:pStyle w:val="Heading1"/>
        <w:spacing w:line="298" w:lineRule="exact"/>
        <w:ind w:left="616" w:right="580"/>
        <w:jc w:val="center"/>
      </w:pPr>
      <w:bookmarkStart w:name="_bookmark32" w:id="47"/>
      <w:bookmarkEnd w:id="47"/>
      <w:r>
        <w:rPr>
          <w:b w:val="0"/>
        </w:rPr>
      </w:r>
      <w:r>
        <w:rPr/>
        <w:t>Figura 9. Visualización de resultados de inundación de río modelado en Iric.</w:t>
      </w:r>
    </w:p>
    <w:p>
      <w:pPr>
        <w:pStyle w:val="BodyText"/>
        <w:rPr>
          <w:b/>
        </w:rPr>
      </w:pPr>
    </w:p>
    <w:p>
      <w:pPr>
        <w:pStyle w:val="BodyText"/>
        <w:spacing w:before="1"/>
        <w:rPr>
          <w:b/>
          <w:sz w:val="38"/>
        </w:rPr>
      </w:pPr>
    </w:p>
    <w:p>
      <w:pPr>
        <w:pStyle w:val="Heading1"/>
        <w:numPr>
          <w:ilvl w:val="2"/>
          <w:numId w:val="10"/>
        </w:numPr>
        <w:tabs>
          <w:tab w:pos="810" w:val="left" w:leader="none"/>
        </w:tabs>
        <w:spacing w:line="240" w:lineRule="auto" w:before="1" w:after="0"/>
        <w:ind w:left="809" w:right="0" w:hanging="653"/>
        <w:jc w:val="both"/>
      </w:pPr>
      <w:bookmarkStart w:name="_bookmark33" w:id="48"/>
      <w:bookmarkEnd w:id="48"/>
      <w:r>
        <w:rPr>
          <w:b w:val="0"/>
        </w:rPr>
      </w:r>
      <w:bookmarkStart w:name="_bookmark33" w:id="49"/>
      <w:bookmarkEnd w:id="49"/>
      <w:r>
        <w:rPr/>
        <w:t>Mo</w:t>
      </w:r>
      <w:r>
        <w:rPr/>
        <w:t>delo</w:t>
      </w:r>
      <w:r>
        <w:rPr>
          <w:spacing w:val="-12"/>
        </w:rPr>
        <w:t> </w:t>
      </w:r>
      <w:r>
        <w:rPr/>
        <w:t>SWAT</w:t>
      </w:r>
    </w:p>
    <w:p>
      <w:pPr>
        <w:pStyle w:val="BodyText"/>
        <w:rPr>
          <w:b/>
        </w:rPr>
      </w:pPr>
    </w:p>
    <w:p>
      <w:pPr>
        <w:pStyle w:val="BodyText"/>
        <w:spacing w:before="5"/>
        <w:rPr>
          <w:b/>
          <w:sz w:val="21"/>
        </w:rPr>
      </w:pPr>
    </w:p>
    <w:p>
      <w:pPr>
        <w:pStyle w:val="BodyText"/>
        <w:spacing w:line="360" w:lineRule="auto"/>
        <w:ind w:left="156" w:right="105"/>
        <w:jc w:val="both"/>
      </w:pPr>
      <w:r>
        <w:rPr/>
        <w:t>El</w:t>
      </w:r>
      <w:r>
        <w:rPr>
          <w:spacing w:val="-8"/>
        </w:rPr>
        <w:t> </w:t>
      </w:r>
      <w:r>
        <w:rPr/>
        <w:t>Colegio</w:t>
      </w:r>
      <w:r>
        <w:rPr>
          <w:spacing w:val="-8"/>
        </w:rPr>
        <w:t> </w:t>
      </w:r>
      <w:r>
        <w:rPr/>
        <w:t>de</w:t>
      </w:r>
      <w:r>
        <w:rPr>
          <w:spacing w:val="-8"/>
        </w:rPr>
        <w:t> </w:t>
      </w:r>
      <w:r>
        <w:rPr/>
        <w:t>Postgraduados,</w:t>
      </w:r>
      <w:r>
        <w:rPr>
          <w:spacing w:val="-6"/>
        </w:rPr>
        <w:t> </w:t>
      </w:r>
      <w:r>
        <w:rPr/>
        <w:t>(2005)</w:t>
      </w:r>
      <w:r>
        <w:rPr>
          <w:spacing w:val="-8"/>
        </w:rPr>
        <w:t> </w:t>
      </w:r>
      <w:r>
        <w:rPr/>
        <w:t>menciona</w:t>
      </w:r>
      <w:r>
        <w:rPr>
          <w:spacing w:val="-3"/>
        </w:rPr>
        <w:t> </w:t>
      </w:r>
      <w:r>
        <w:rPr/>
        <w:t>que</w:t>
      </w:r>
      <w:r>
        <w:rPr>
          <w:spacing w:val="-8"/>
        </w:rPr>
        <w:t> </w:t>
      </w:r>
      <w:r>
        <w:rPr/>
        <w:t>el</w:t>
      </w:r>
      <w:r>
        <w:rPr>
          <w:spacing w:val="-12"/>
        </w:rPr>
        <w:t> </w:t>
      </w:r>
      <w:r>
        <w:rPr/>
        <w:t>modelo</w:t>
      </w:r>
      <w:r>
        <w:rPr>
          <w:spacing w:val="-8"/>
        </w:rPr>
        <w:t> </w:t>
      </w:r>
      <w:r>
        <w:rPr/>
        <w:t>Soil</w:t>
      </w:r>
      <w:r>
        <w:rPr>
          <w:spacing w:val="-8"/>
        </w:rPr>
        <w:t> </w:t>
      </w:r>
      <w:r>
        <w:rPr/>
        <w:t>Water</w:t>
      </w:r>
      <w:r>
        <w:rPr>
          <w:spacing w:val="-8"/>
        </w:rPr>
        <w:t> </w:t>
      </w:r>
      <w:r>
        <w:rPr/>
        <w:t>Assessment</w:t>
      </w:r>
      <w:r>
        <w:rPr>
          <w:spacing w:val="-8"/>
        </w:rPr>
        <w:t> </w:t>
      </w:r>
      <w:r>
        <w:rPr/>
        <w:t>Tool (SWAT) fue desarrollado por el Departamento de Agricultura de los Estados Unidos en conjunto con la Universidad de Texas para predecir el impacto en el manejo del suelo y la vegetación en la producción de agua, sedimentos y químicos agrícolas en grandes y complejas</w:t>
      </w:r>
      <w:r>
        <w:rPr>
          <w:spacing w:val="-10"/>
        </w:rPr>
        <w:t> </w:t>
      </w:r>
      <w:r>
        <w:rPr/>
        <w:t>cuencas</w:t>
      </w:r>
      <w:r>
        <w:rPr>
          <w:spacing w:val="-9"/>
        </w:rPr>
        <w:t> </w:t>
      </w:r>
      <w:r>
        <w:rPr/>
        <w:t>con</w:t>
      </w:r>
      <w:r>
        <w:rPr>
          <w:spacing w:val="-5"/>
        </w:rPr>
        <w:t> </w:t>
      </w:r>
      <w:r>
        <w:rPr/>
        <w:t>variación</w:t>
      </w:r>
      <w:r>
        <w:rPr>
          <w:spacing w:val="-10"/>
        </w:rPr>
        <w:t> </w:t>
      </w:r>
      <w:r>
        <w:rPr/>
        <w:t>en</w:t>
      </w:r>
      <w:r>
        <w:rPr>
          <w:spacing w:val="-10"/>
        </w:rPr>
        <w:t> </w:t>
      </w:r>
      <w:r>
        <w:rPr/>
        <w:t>suelos,</w:t>
      </w:r>
      <w:r>
        <w:rPr>
          <w:spacing w:val="-8"/>
        </w:rPr>
        <w:t> </w:t>
      </w:r>
      <w:r>
        <w:rPr/>
        <w:t>uso</w:t>
      </w:r>
      <w:r>
        <w:rPr>
          <w:spacing w:val="-6"/>
        </w:rPr>
        <w:t> </w:t>
      </w:r>
      <w:r>
        <w:rPr/>
        <w:t>de</w:t>
      </w:r>
      <w:r>
        <w:rPr>
          <w:spacing w:val="-10"/>
        </w:rPr>
        <w:t> </w:t>
      </w:r>
      <w:r>
        <w:rPr/>
        <w:t>suelo</w:t>
      </w:r>
      <w:r>
        <w:rPr>
          <w:spacing w:val="-10"/>
        </w:rPr>
        <w:t> </w:t>
      </w:r>
      <w:r>
        <w:rPr/>
        <w:t>y</w:t>
      </w:r>
      <w:r>
        <w:rPr>
          <w:spacing w:val="-10"/>
        </w:rPr>
        <w:t> </w:t>
      </w:r>
      <w:r>
        <w:rPr/>
        <w:t>condiciones</w:t>
      </w:r>
      <w:r>
        <w:rPr>
          <w:spacing w:val="-10"/>
        </w:rPr>
        <w:t> </w:t>
      </w:r>
      <w:r>
        <w:rPr/>
        <w:t>de</w:t>
      </w:r>
      <w:r>
        <w:rPr>
          <w:spacing w:val="-5"/>
        </w:rPr>
        <w:t> </w:t>
      </w:r>
      <w:r>
        <w:rPr/>
        <w:t>manejo</w:t>
      </w:r>
      <w:r>
        <w:rPr>
          <w:spacing w:val="-10"/>
        </w:rPr>
        <w:t> </w:t>
      </w:r>
      <w:r>
        <w:rPr/>
        <w:t>en</w:t>
      </w:r>
      <w:r>
        <w:rPr>
          <w:spacing w:val="-10"/>
        </w:rPr>
        <w:t> </w:t>
      </w:r>
      <w:r>
        <w:rPr/>
        <w:t>largos periodos</w:t>
      </w:r>
      <w:r>
        <w:rPr>
          <w:spacing w:val="-15"/>
        </w:rPr>
        <w:t> </w:t>
      </w:r>
      <w:r>
        <w:rPr/>
        <w:t>de</w:t>
      </w:r>
      <w:r>
        <w:rPr>
          <w:spacing w:val="-15"/>
        </w:rPr>
        <w:t> </w:t>
      </w:r>
      <w:r>
        <w:rPr/>
        <w:t>tiempo.</w:t>
      </w:r>
      <w:r>
        <w:rPr>
          <w:spacing w:val="-13"/>
        </w:rPr>
        <w:t> </w:t>
      </w:r>
      <w:r>
        <w:rPr/>
        <w:t>El</w:t>
      </w:r>
      <w:r>
        <w:rPr>
          <w:spacing w:val="-10"/>
        </w:rPr>
        <w:t> </w:t>
      </w:r>
      <w:r>
        <w:rPr/>
        <w:t>modelo</w:t>
      </w:r>
      <w:r>
        <w:rPr>
          <w:spacing w:val="-15"/>
        </w:rPr>
        <w:t> </w:t>
      </w:r>
      <w:r>
        <w:rPr/>
        <w:t>tiene</w:t>
      </w:r>
      <w:r>
        <w:rPr>
          <w:spacing w:val="-10"/>
        </w:rPr>
        <w:t> </w:t>
      </w:r>
      <w:r>
        <w:rPr/>
        <w:t>como</w:t>
      </w:r>
      <w:r>
        <w:rPr>
          <w:spacing w:val="-15"/>
        </w:rPr>
        <w:t> </w:t>
      </w:r>
      <w:r>
        <w:rPr/>
        <w:t>principal</w:t>
      </w:r>
      <w:r>
        <w:rPr>
          <w:spacing w:val="-15"/>
        </w:rPr>
        <w:t> </w:t>
      </w:r>
      <w:r>
        <w:rPr/>
        <w:t>objetivo</w:t>
      </w:r>
      <w:r>
        <w:rPr>
          <w:spacing w:val="-15"/>
        </w:rPr>
        <w:t> </w:t>
      </w:r>
      <w:r>
        <w:rPr/>
        <w:t>el</w:t>
      </w:r>
      <w:r>
        <w:rPr>
          <w:spacing w:val="-15"/>
        </w:rPr>
        <w:t> </w:t>
      </w:r>
      <w:r>
        <w:rPr/>
        <w:t>predecir</w:t>
      </w:r>
      <w:r>
        <w:rPr>
          <w:spacing w:val="-14"/>
        </w:rPr>
        <w:t> </w:t>
      </w:r>
      <w:r>
        <w:rPr/>
        <w:t>el</w:t>
      </w:r>
      <w:r>
        <w:rPr>
          <w:spacing w:val="-15"/>
        </w:rPr>
        <w:t> </w:t>
      </w:r>
      <w:r>
        <w:rPr/>
        <w:t>efecto</w:t>
      </w:r>
      <w:r>
        <w:rPr>
          <w:spacing w:val="-15"/>
        </w:rPr>
        <w:t> </w:t>
      </w:r>
      <w:r>
        <w:rPr/>
        <w:t>en</w:t>
      </w:r>
      <w:r>
        <w:rPr>
          <w:spacing w:val="-15"/>
        </w:rPr>
        <w:t> </w:t>
      </w:r>
      <w:r>
        <w:rPr/>
        <w:t>la</w:t>
      </w:r>
      <w:r>
        <w:rPr>
          <w:spacing w:val="-15"/>
        </w:rPr>
        <w:t> </w:t>
      </w:r>
      <w:r>
        <w:rPr/>
        <w:t>toma de decisiones en el manejo de la producción de agua, sedimentos, nutrientes y pesticidas con</w:t>
      </w:r>
      <w:r>
        <w:rPr>
          <w:spacing w:val="-11"/>
        </w:rPr>
        <w:t> </w:t>
      </w:r>
      <w:r>
        <w:rPr/>
        <w:t>razonable</w:t>
      </w:r>
      <w:r>
        <w:rPr>
          <w:spacing w:val="-10"/>
        </w:rPr>
        <w:t> </w:t>
      </w:r>
      <w:r>
        <w:rPr/>
        <w:t>precisión</w:t>
      </w:r>
      <w:r>
        <w:rPr>
          <w:spacing w:val="-11"/>
        </w:rPr>
        <w:t> </w:t>
      </w:r>
      <w:r>
        <w:rPr/>
        <w:t>en</w:t>
      </w:r>
      <w:r>
        <w:rPr>
          <w:spacing w:val="-11"/>
        </w:rPr>
        <w:t> </w:t>
      </w:r>
      <w:r>
        <w:rPr/>
        <w:t>cuencas</w:t>
      </w:r>
      <w:r>
        <w:rPr>
          <w:spacing w:val="-10"/>
        </w:rPr>
        <w:t> </w:t>
      </w:r>
      <w:r>
        <w:rPr/>
        <w:t>que</w:t>
      </w:r>
      <w:r>
        <w:rPr>
          <w:spacing w:val="-11"/>
        </w:rPr>
        <w:t> </w:t>
      </w:r>
      <w:r>
        <w:rPr/>
        <w:t>no</w:t>
      </w:r>
      <w:r>
        <w:rPr>
          <w:spacing w:val="-11"/>
        </w:rPr>
        <w:t> </w:t>
      </w:r>
      <w:r>
        <w:rPr/>
        <w:t>cuentan</w:t>
      </w:r>
      <w:r>
        <w:rPr>
          <w:spacing w:val="-11"/>
        </w:rPr>
        <w:t> </w:t>
      </w:r>
      <w:r>
        <w:rPr/>
        <w:t>con</w:t>
      </w:r>
      <w:r>
        <w:rPr>
          <w:spacing w:val="-11"/>
        </w:rPr>
        <w:t> </w:t>
      </w:r>
      <w:r>
        <w:rPr/>
        <w:t>estaciones</w:t>
      </w:r>
      <w:r>
        <w:rPr>
          <w:spacing w:val="-11"/>
        </w:rPr>
        <w:t> </w:t>
      </w:r>
      <w:r>
        <w:rPr/>
        <w:t>de</w:t>
      </w:r>
      <w:r>
        <w:rPr>
          <w:spacing w:val="-11"/>
        </w:rPr>
        <w:t> </w:t>
      </w:r>
      <w:r>
        <w:rPr/>
        <w:t>aforo</w:t>
      </w:r>
      <w:r>
        <w:rPr>
          <w:spacing w:val="-11"/>
        </w:rPr>
        <w:t> </w:t>
      </w:r>
      <w:r>
        <w:rPr/>
        <w:t>(Arnold</w:t>
      </w:r>
      <w:r>
        <w:rPr>
          <w:spacing w:val="-7"/>
        </w:rPr>
        <w:t> </w:t>
      </w:r>
      <w:r>
        <w:rPr/>
        <w:t>y</w:t>
      </w:r>
      <w:r>
        <w:rPr>
          <w:spacing w:val="-11"/>
        </w:rPr>
        <w:t> </w:t>
      </w:r>
      <w:r>
        <w:rPr/>
        <w:t>otros, 1987).</w:t>
      </w:r>
    </w:p>
    <w:p>
      <w:pPr>
        <w:spacing w:after="0" w:line="360" w:lineRule="auto"/>
        <w:jc w:val="both"/>
        <w:sectPr>
          <w:pgSz w:w="12240" w:h="15840"/>
          <w:pgMar w:header="0" w:footer="1473" w:top="1500" w:bottom="1660" w:left="1260" w:right="1300"/>
        </w:sectPr>
      </w:pPr>
    </w:p>
    <w:p>
      <w:pPr>
        <w:pStyle w:val="BodyText"/>
        <w:spacing w:line="360" w:lineRule="auto" w:before="49"/>
        <w:ind w:left="116" w:right="110"/>
        <w:jc w:val="both"/>
      </w:pPr>
      <w:r>
        <w:rPr/>
        <w:t>Arnold y otros, (2012), mencionan que desde su creación el modelo ha incluido componentes</w:t>
      </w:r>
      <w:r>
        <w:rPr>
          <w:spacing w:val="-4"/>
        </w:rPr>
        <w:t> </w:t>
      </w:r>
      <w:r>
        <w:rPr/>
        <w:t>de</w:t>
      </w:r>
      <w:r>
        <w:rPr>
          <w:spacing w:val="-5"/>
        </w:rPr>
        <w:t> </w:t>
      </w:r>
      <w:r>
        <w:rPr/>
        <w:t>los</w:t>
      </w:r>
      <w:r>
        <w:rPr>
          <w:spacing w:val="-2"/>
        </w:rPr>
        <w:t> </w:t>
      </w:r>
      <w:r>
        <w:rPr/>
        <w:t>modelos</w:t>
      </w:r>
      <w:r>
        <w:rPr>
          <w:spacing w:val="-5"/>
        </w:rPr>
        <w:t> </w:t>
      </w:r>
      <w:r>
        <w:rPr/>
        <w:t>de</w:t>
      </w:r>
      <w:r>
        <w:rPr>
          <w:spacing w:val="-5"/>
        </w:rPr>
        <w:t> </w:t>
      </w:r>
      <w:r>
        <w:rPr/>
        <w:t>las</w:t>
      </w:r>
      <w:r>
        <w:rPr>
          <w:spacing w:val="-5"/>
        </w:rPr>
        <w:t> </w:t>
      </w:r>
      <w:r>
        <w:rPr/>
        <w:t>USDA-ARS,</w:t>
      </w:r>
      <w:r>
        <w:rPr>
          <w:spacing w:val="-3"/>
        </w:rPr>
        <w:t> </w:t>
      </w:r>
      <w:r>
        <w:rPr/>
        <w:t>además</w:t>
      </w:r>
      <w:r>
        <w:rPr>
          <w:spacing w:val="-5"/>
        </w:rPr>
        <w:t> </w:t>
      </w:r>
      <w:r>
        <w:rPr/>
        <w:t>de</w:t>
      </w:r>
      <w:r>
        <w:rPr>
          <w:spacing w:val="-5"/>
        </w:rPr>
        <w:t> </w:t>
      </w:r>
      <w:r>
        <w:rPr/>
        <w:t>algunos</w:t>
      </w:r>
      <w:r>
        <w:rPr>
          <w:spacing w:val="-5"/>
        </w:rPr>
        <w:t> </w:t>
      </w:r>
      <w:r>
        <w:rPr/>
        <w:t>otros</w:t>
      </w:r>
      <w:r>
        <w:rPr>
          <w:spacing w:val="-3"/>
        </w:rPr>
        <w:t> </w:t>
      </w:r>
      <w:r>
        <w:rPr/>
        <w:t>sobre</w:t>
      </w:r>
      <w:r>
        <w:rPr>
          <w:spacing w:val="-4"/>
        </w:rPr>
        <w:t> </w:t>
      </w:r>
      <w:r>
        <w:rPr/>
        <w:t>transporte de</w:t>
      </w:r>
      <w:r>
        <w:rPr>
          <w:spacing w:val="-6"/>
        </w:rPr>
        <w:t> </w:t>
      </w:r>
      <w:r>
        <w:rPr/>
        <w:t>plaguicidas,</w:t>
      </w:r>
      <w:r>
        <w:rPr>
          <w:spacing w:val="-4"/>
        </w:rPr>
        <w:t> </w:t>
      </w:r>
      <w:r>
        <w:rPr/>
        <w:t>hidrología</w:t>
      </w:r>
      <w:r>
        <w:rPr>
          <w:spacing w:val="-6"/>
        </w:rPr>
        <w:t> </w:t>
      </w:r>
      <w:r>
        <w:rPr/>
        <w:t>y</w:t>
      </w:r>
      <w:r>
        <w:rPr>
          <w:spacing w:val="-6"/>
        </w:rPr>
        <w:t> </w:t>
      </w:r>
      <w:r>
        <w:rPr/>
        <w:t>crecimiento</w:t>
      </w:r>
      <w:r>
        <w:rPr>
          <w:spacing w:val="-6"/>
        </w:rPr>
        <w:t> </w:t>
      </w:r>
      <w:r>
        <w:rPr/>
        <w:t>de</w:t>
      </w:r>
      <w:r>
        <w:rPr>
          <w:spacing w:val="-6"/>
        </w:rPr>
        <w:t> </w:t>
      </w:r>
      <w:r>
        <w:rPr/>
        <w:t>los</w:t>
      </w:r>
      <w:r>
        <w:rPr>
          <w:spacing w:val="1"/>
        </w:rPr>
        <w:t> </w:t>
      </w:r>
      <w:r>
        <w:rPr/>
        <w:t>cultivos.</w:t>
      </w:r>
      <w:r>
        <w:rPr>
          <w:spacing w:val="-4"/>
        </w:rPr>
        <w:t> </w:t>
      </w:r>
      <w:r>
        <w:rPr/>
        <w:t>Entre</w:t>
      </w:r>
      <w:r>
        <w:rPr>
          <w:spacing w:val="-6"/>
        </w:rPr>
        <w:t> </w:t>
      </w:r>
      <w:r>
        <w:rPr/>
        <w:t>ellos</w:t>
      </w:r>
      <w:r>
        <w:rPr>
          <w:spacing w:val="-5"/>
        </w:rPr>
        <w:t> </w:t>
      </w:r>
      <w:r>
        <w:rPr/>
        <w:t>se</w:t>
      </w:r>
      <w:r>
        <w:rPr>
          <w:spacing w:val="-6"/>
        </w:rPr>
        <w:t> </w:t>
      </w:r>
      <w:r>
        <w:rPr/>
        <w:t>encuentra</w:t>
      </w:r>
      <w:r>
        <w:rPr>
          <w:spacing w:val="-5"/>
        </w:rPr>
        <w:t> </w:t>
      </w:r>
      <w:r>
        <w:rPr/>
        <w:t>el</w:t>
      </w:r>
      <w:r>
        <w:rPr>
          <w:spacing w:val="-2"/>
        </w:rPr>
        <w:t> </w:t>
      </w:r>
      <w:r>
        <w:rPr/>
        <w:t>modelo GLEAMS sobre los efectos de las aguas subterráneas a los sistemas de gestión agrícola, el modelo CREAMS sobre químicos, la escorrentía y la erosión de los sistemas de gestión agrícola</w:t>
      </w:r>
      <w:r>
        <w:rPr>
          <w:spacing w:val="-11"/>
        </w:rPr>
        <w:t> </w:t>
      </w:r>
      <w:r>
        <w:rPr/>
        <w:t>y,</w:t>
      </w:r>
      <w:r>
        <w:rPr>
          <w:spacing w:val="-9"/>
        </w:rPr>
        <w:t> </w:t>
      </w:r>
      <w:r>
        <w:rPr/>
        <w:t>el</w:t>
      </w:r>
      <w:r>
        <w:rPr>
          <w:spacing w:val="-11"/>
        </w:rPr>
        <w:t> </w:t>
      </w:r>
      <w:r>
        <w:rPr/>
        <w:t>modelo</w:t>
      </w:r>
      <w:r>
        <w:rPr>
          <w:spacing w:val="-11"/>
        </w:rPr>
        <w:t> </w:t>
      </w:r>
      <w:r>
        <w:rPr/>
        <w:t>integrado</w:t>
      </w:r>
      <w:r>
        <w:rPr>
          <w:spacing w:val="-11"/>
        </w:rPr>
        <w:t> </w:t>
      </w:r>
      <w:r>
        <w:rPr/>
        <w:t>de</w:t>
      </w:r>
      <w:r>
        <w:rPr>
          <w:spacing w:val="-11"/>
        </w:rPr>
        <w:t> </w:t>
      </w:r>
      <w:r>
        <w:rPr/>
        <w:t>Política</w:t>
      </w:r>
      <w:r>
        <w:rPr>
          <w:spacing w:val="-7"/>
        </w:rPr>
        <w:t> </w:t>
      </w:r>
      <w:r>
        <w:rPr/>
        <w:t>Ambiental</w:t>
      </w:r>
      <w:r>
        <w:rPr>
          <w:spacing w:val="-9"/>
        </w:rPr>
        <w:t> </w:t>
      </w:r>
      <w:r>
        <w:rPr/>
        <w:t>Climático;</w:t>
      </w:r>
      <w:r>
        <w:rPr>
          <w:spacing w:val="-11"/>
        </w:rPr>
        <w:t> </w:t>
      </w:r>
      <w:r>
        <w:rPr/>
        <w:t>estos</w:t>
      </w:r>
      <w:r>
        <w:rPr>
          <w:spacing w:val="-11"/>
        </w:rPr>
        <w:t> </w:t>
      </w:r>
      <w:r>
        <w:rPr/>
        <w:t>componentes</w:t>
      </w:r>
      <w:r>
        <w:rPr>
          <w:spacing w:val="-11"/>
        </w:rPr>
        <w:t> </w:t>
      </w:r>
      <w:r>
        <w:rPr/>
        <w:t>fueron incorporados por primera vez en el Simulador de Recursos Hídricos en Cuencas Rurales (SWRRB).</w:t>
      </w:r>
    </w:p>
    <w:p>
      <w:pPr>
        <w:pStyle w:val="BodyText"/>
      </w:pPr>
    </w:p>
    <w:p>
      <w:pPr>
        <w:pStyle w:val="BodyText"/>
        <w:spacing w:line="360" w:lineRule="auto" w:before="155"/>
        <w:ind w:left="116" w:right="115"/>
        <w:jc w:val="both"/>
      </w:pPr>
      <w:r>
        <w:rPr/>
        <w:t>En la actualidad se ha sumado el enrutamiento ampliado y el transporte de contaminantes incluyendo depósitos, estanques, humedales, fuentes puntuales, y efectos de tanques sépticos, así como las rutinas de enrutamiento de sedimentos y rutinas de transmisión cinéticas del modelo QUAL2E. Las modificaciones adicionales que se han incorporado en SWAT incluyen una mejor rutina del ciclo del carbono basado en el modelo CFARM, las rutinas diarias de hidrología incluyendo el método de infiltración de Green- Ampt, las acciones</w:t>
      </w:r>
      <w:r>
        <w:rPr>
          <w:spacing w:val="-6"/>
        </w:rPr>
        <w:t> </w:t>
      </w:r>
      <w:r>
        <w:rPr/>
        <w:t>temporales</w:t>
      </w:r>
      <w:r>
        <w:rPr>
          <w:spacing w:val="-6"/>
        </w:rPr>
        <w:t> </w:t>
      </w:r>
      <w:r>
        <w:rPr/>
        <w:t>de</w:t>
      </w:r>
      <w:r>
        <w:rPr>
          <w:spacing w:val="-6"/>
        </w:rPr>
        <w:t> </w:t>
      </w:r>
      <w:r>
        <w:rPr/>
        <w:t>las</w:t>
      </w:r>
      <w:r>
        <w:rPr>
          <w:spacing w:val="-6"/>
        </w:rPr>
        <w:t> </w:t>
      </w:r>
      <w:r>
        <w:rPr/>
        <w:t>prácticas</w:t>
      </w:r>
      <w:r>
        <w:rPr>
          <w:spacing w:val="-6"/>
        </w:rPr>
        <w:t> </w:t>
      </w:r>
      <w:r>
        <w:rPr/>
        <w:t>de</w:t>
      </w:r>
      <w:r>
        <w:rPr>
          <w:spacing w:val="-2"/>
        </w:rPr>
        <w:t> </w:t>
      </w:r>
      <w:r>
        <w:rPr/>
        <w:t>gestión</w:t>
      </w:r>
      <w:r>
        <w:rPr>
          <w:spacing w:val="-2"/>
        </w:rPr>
        <w:t> </w:t>
      </w:r>
      <w:r>
        <w:rPr/>
        <w:t>y</w:t>
      </w:r>
      <w:r>
        <w:rPr>
          <w:spacing w:val="-6"/>
        </w:rPr>
        <w:t> </w:t>
      </w:r>
      <w:r>
        <w:rPr/>
        <w:t>cambio</w:t>
      </w:r>
      <w:r>
        <w:rPr>
          <w:spacing w:val="-6"/>
        </w:rPr>
        <w:t> </w:t>
      </w:r>
      <w:r>
        <w:rPr/>
        <w:t>de</w:t>
      </w:r>
      <w:r>
        <w:rPr>
          <w:spacing w:val="-2"/>
        </w:rPr>
        <w:t> </w:t>
      </w:r>
      <w:r>
        <w:rPr/>
        <w:t>uso</w:t>
      </w:r>
      <w:r>
        <w:rPr>
          <w:spacing w:val="-6"/>
        </w:rPr>
        <w:t> </w:t>
      </w:r>
      <w:r>
        <w:rPr/>
        <w:t>del</w:t>
      </w:r>
      <w:r>
        <w:rPr>
          <w:spacing w:val="-6"/>
        </w:rPr>
        <w:t> </w:t>
      </w:r>
      <w:r>
        <w:rPr/>
        <w:t>suelo</w:t>
      </w:r>
      <w:r>
        <w:rPr>
          <w:spacing w:val="-6"/>
        </w:rPr>
        <w:t> </w:t>
      </w:r>
      <w:r>
        <w:rPr/>
        <w:t>y,</w:t>
      </w:r>
      <w:r>
        <w:rPr>
          <w:spacing w:val="-4"/>
        </w:rPr>
        <w:t> </w:t>
      </w:r>
      <w:r>
        <w:rPr/>
        <w:t>las</w:t>
      </w:r>
      <w:r>
        <w:rPr>
          <w:spacing w:val="-2"/>
        </w:rPr>
        <w:t> </w:t>
      </w:r>
      <w:r>
        <w:rPr/>
        <w:t>mejoras</w:t>
      </w:r>
      <w:r>
        <w:rPr>
          <w:spacing w:val="-6"/>
        </w:rPr>
        <w:t> </w:t>
      </w:r>
      <w:r>
        <w:rPr/>
        <w:t>en el drenaje en el subsuelo, franjas filtrantes, vías fluviales con césped, riego, y otras representaciones mejoradas de las prácticas de conservación y de gestión; todo ello se aprecia en la Figura</w:t>
      </w:r>
      <w:r>
        <w:rPr>
          <w:spacing w:val="-9"/>
        </w:rPr>
        <w:t> </w:t>
      </w:r>
      <w:r>
        <w:rPr/>
        <w:t>10.</w:t>
      </w:r>
    </w:p>
    <w:p>
      <w:pPr>
        <w:pStyle w:val="BodyText"/>
      </w:pPr>
    </w:p>
    <w:p>
      <w:pPr>
        <w:pStyle w:val="BodyText"/>
        <w:spacing w:line="360" w:lineRule="auto" w:before="155"/>
        <w:ind w:left="116" w:right="115"/>
        <w:jc w:val="both"/>
      </w:pPr>
      <w:r>
        <w:rPr/>
        <w:t>Con la agrupación de dichos modelos, el SWAT permite simular la producción de agua y sedimentos en cuencas hidrográficas, así como el efecto que en la calidad del agua tienen las prácticas agronómicas por el uso de pesticidas y fertilizantes (Oñate y Aguilar, 2003).</w:t>
      </w:r>
    </w:p>
    <w:p>
      <w:pPr>
        <w:pStyle w:val="BodyText"/>
      </w:pPr>
    </w:p>
    <w:p>
      <w:pPr>
        <w:pStyle w:val="BodyText"/>
        <w:spacing w:line="360" w:lineRule="auto" w:before="155"/>
        <w:ind w:left="116" w:right="117"/>
        <w:jc w:val="both"/>
      </w:pPr>
      <w:r>
        <w:rPr/>
        <w:t>El</w:t>
      </w:r>
      <w:r>
        <w:rPr>
          <w:spacing w:val="-17"/>
        </w:rPr>
        <w:t> </w:t>
      </w:r>
      <w:r>
        <w:rPr/>
        <w:t>SWAT</w:t>
      </w:r>
      <w:r>
        <w:rPr>
          <w:spacing w:val="-17"/>
        </w:rPr>
        <w:t> </w:t>
      </w:r>
      <w:r>
        <w:rPr/>
        <w:t>se</w:t>
      </w:r>
      <w:r>
        <w:rPr>
          <w:spacing w:val="-17"/>
        </w:rPr>
        <w:t> </w:t>
      </w:r>
      <w:r>
        <w:rPr/>
        <w:t>basa</w:t>
      </w:r>
      <w:r>
        <w:rPr>
          <w:spacing w:val="-17"/>
        </w:rPr>
        <w:t> </w:t>
      </w:r>
      <w:r>
        <w:rPr/>
        <w:t>en</w:t>
      </w:r>
      <w:r>
        <w:rPr>
          <w:spacing w:val="-17"/>
        </w:rPr>
        <w:t> </w:t>
      </w:r>
      <w:r>
        <w:rPr/>
        <w:t>un</w:t>
      </w:r>
      <w:r>
        <w:rPr>
          <w:spacing w:val="-21"/>
        </w:rPr>
        <w:t> </w:t>
      </w:r>
      <w:r>
        <w:rPr/>
        <w:t>balance</w:t>
      </w:r>
      <w:r>
        <w:rPr>
          <w:spacing w:val="-16"/>
        </w:rPr>
        <w:t> </w:t>
      </w:r>
      <w:r>
        <w:rPr/>
        <w:t>hídrico</w:t>
      </w:r>
      <w:r>
        <w:rPr>
          <w:spacing w:val="-20"/>
        </w:rPr>
        <w:t> </w:t>
      </w:r>
      <w:r>
        <w:rPr/>
        <w:t>para</w:t>
      </w:r>
      <w:r>
        <w:rPr>
          <w:spacing w:val="-16"/>
        </w:rPr>
        <w:t> </w:t>
      </w:r>
      <w:r>
        <w:rPr/>
        <w:t>determinar</w:t>
      </w:r>
      <w:r>
        <w:rPr>
          <w:spacing w:val="-17"/>
        </w:rPr>
        <w:t> </w:t>
      </w:r>
      <w:r>
        <w:rPr/>
        <w:t>la</w:t>
      </w:r>
      <w:r>
        <w:rPr>
          <w:spacing w:val="-17"/>
        </w:rPr>
        <w:t> </w:t>
      </w:r>
      <w:r>
        <w:rPr/>
        <w:t>entrada,</w:t>
      </w:r>
      <w:r>
        <w:rPr>
          <w:spacing w:val="-14"/>
        </w:rPr>
        <w:t> </w:t>
      </w:r>
      <w:r>
        <w:rPr/>
        <w:t>salida</w:t>
      </w:r>
      <w:r>
        <w:rPr>
          <w:spacing w:val="-16"/>
        </w:rPr>
        <w:t> </w:t>
      </w:r>
      <w:r>
        <w:rPr/>
        <w:t>y</w:t>
      </w:r>
      <w:r>
        <w:rPr>
          <w:spacing w:val="-21"/>
        </w:rPr>
        <w:t> </w:t>
      </w:r>
      <w:r>
        <w:rPr/>
        <w:t>almacenamiento de agua en la cuenca. Para el modelamiento, la cuenca hidrográfica se divide en pequeñas subcuencas</w:t>
      </w:r>
      <w:r>
        <w:rPr>
          <w:spacing w:val="17"/>
        </w:rPr>
        <w:t> </w:t>
      </w:r>
      <w:r>
        <w:rPr/>
        <w:t>con</w:t>
      </w:r>
      <w:r>
        <w:rPr>
          <w:spacing w:val="17"/>
        </w:rPr>
        <w:t> </w:t>
      </w:r>
      <w:r>
        <w:rPr/>
        <w:t>el</w:t>
      </w:r>
      <w:r>
        <w:rPr>
          <w:spacing w:val="17"/>
        </w:rPr>
        <w:t> </w:t>
      </w:r>
      <w:r>
        <w:rPr/>
        <w:t>fin</w:t>
      </w:r>
      <w:r>
        <w:rPr>
          <w:spacing w:val="17"/>
        </w:rPr>
        <w:t> </w:t>
      </w:r>
      <w:r>
        <w:rPr/>
        <w:t>de</w:t>
      </w:r>
      <w:r>
        <w:rPr>
          <w:spacing w:val="22"/>
        </w:rPr>
        <w:t> </w:t>
      </w:r>
      <w:r>
        <w:rPr/>
        <w:t>mejorar</w:t>
      </w:r>
      <w:r>
        <w:rPr>
          <w:spacing w:val="17"/>
        </w:rPr>
        <w:t> </w:t>
      </w:r>
      <w:r>
        <w:rPr/>
        <w:t>la</w:t>
      </w:r>
      <w:r>
        <w:rPr>
          <w:spacing w:val="17"/>
        </w:rPr>
        <w:t> </w:t>
      </w:r>
      <w:r>
        <w:rPr/>
        <w:t>exactitud</w:t>
      </w:r>
      <w:r>
        <w:rPr>
          <w:spacing w:val="22"/>
        </w:rPr>
        <w:t> </w:t>
      </w:r>
      <w:r>
        <w:rPr/>
        <w:t>de</w:t>
      </w:r>
      <w:r>
        <w:rPr>
          <w:spacing w:val="17"/>
        </w:rPr>
        <w:t> </w:t>
      </w:r>
      <w:r>
        <w:rPr/>
        <w:t>los</w:t>
      </w:r>
      <w:r>
        <w:rPr>
          <w:spacing w:val="16"/>
        </w:rPr>
        <w:t> </w:t>
      </w:r>
      <w:r>
        <w:rPr/>
        <w:t>cálculos.</w:t>
      </w:r>
      <w:r>
        <w:rPr>
          <w:spacing w:val="23"/>
        </w:rPr>
        <w:t> </w:t>
      </w:r>
      <w:r>
        <w:rPr/>
        <w:t>Adicionalmente</w:t>
      </w:r>
      <w:r>
        <w:rPr>
          <w:spacing w:val="17"/>
        </w:rPr>
        <w:t> </w:t>
      </w:r>
      <w:r>
        <w:rPr/>
        <w:t>el</w:t>
      </w:r>
      <w:r>
        <w:rPr>
          <w:spacing w:val="21"/>
        </w:rPr>
        <w:t> </w:t>
      </w:r>
      <w:r>
        <w:rPr/>
        <w:t>SWAT</w:t>
      </w:r>
    </w:p>
    <w:p>
      <w:pPr>
        <w:spacing w:after="0" w:line="360" w:lineRule="auto"/>
        <w:jc w:val="both"/>
        <w:sectPr>
          <w:pgSz w:w="12240" w:h="15840"/>
          <w:pgMar w:header="0" w:footer="1473" w:top="1360" w:bottom="1660" w:left="1300" w:right="1300"/>
        </w:sectPr>
      </w:pPr>
    </w:p>
    <w:p>
      <w:pPr>
        <w:pStyle w:val="BodyText"/>
        <w:spacing w:line="362" w:lineRule="auto" w:before="49"/>
        <w:ind w:left="116" w:right="322"/>
        <w:jc w:val="both"/>
      </w:pPr>
      <w:r>
        <w:rPr/>
        <w:t>trabaja por unidades de respuesta hidrológica (HRU) obtenidas del cruce de los diferentes tipos de suelo con las coberturas presentes.</w:t>
      </w:r>
    </w:p>
    <w:p>
      <w:pPr>
        <w:pStyle w:val="BodyText"/>
        <w:ind w:left="120"/>
        <w:rPr>
          <w:sz w:val="20"/>
        </w:rPr>
      </w:pPr>
      <w:r>
        <w:rPr>
          <w:sz w:val="20"/>
        </w:rPr>
        <w:pict>
          <v:group style="width:480pt;height:344.2pt;mso-position-horizontal-relative:char;mso-position-vertical-relative:line" coordorigin="0,0" coordsize="9600,6884">
            <v:shape style="position:absolute;left:7896;top:2942;width:1104;height:427" type="#_x0000_t75" stroked="false">
              <v:imagedata r:id="rId30" o:title=""/>
            </v:shape>
            <v:shape style="position:absolute;left:6446;top:2866;width:1142;height:610" type="#_x0000_t75" stroked="false">
              <v:imagedata r:id="rId31" o:title=""/>
            </v:shape>
            <v:shape style="position:absolute;left:6106;top:3103;width:336;height:120" type="#_x0000_t75" stroked="false">
              <v:imagedata r:id="rId32" o:title=""/>
            </v:shape>
            <v:shape style="position:absolute;left:7133;top:0;width:2467;height:2611" type="#_x0000_t75" stroked="false">
              <v:imagedata r:id="rId33" o:title=""/>
            </v:shape>
            <v:shape style="position:absolute;left:6120;top:1793;width:1017;height:1121" coordorigin="6120,1793" coordsize="1017,1121" path="m6156,2784l6120,2913,6245,2865,6224,2846,6195,2846,6180,2833,6193,2818,6156,2784xm6193,2818l6180,2833,6195,2846,6208,2831,6193,2818xm6208,2831l6195,2846,6224,2846,6208,2831xm7122,1793l6193,2818,6208,2831,7136,1807,7122,1793xe" filled="true" fillcolor="#000000" stroked="false">
              <v:path arrowok="t"/>
              <v:fill type="solid"/>
            </v:shape>
            <v:shape style="position:absolute;left:7555;top:3086;width:316;height:120" type="#_x0000_t75" stroked="false">
              <v:imagedata r:id="rId34" o:title=""/>
            </v:shape>
            <v:shape style="position:absolute;left:4982;top:2904;width:1118;height:552" type="#_x0000_t75" stroked="false">
              <v:imagedata r:id="rId35" o:title=""/>
            </v:shape>
            <v:shape style="position:absolute;left:5006;top:1373;width:1090;height:432" type="#_x0000_t75" stroked="false">
              <v:imagedata r:id="rId36" o:title=""/>
            </v:shape>
            <v:shape style="position:absolute;left:5006;top:2050;width:1080;height:610" type="#_x0000_t75" stroked="false">
              <v:imagedata r:id="rId37" o:title=""/>
            </v:shape>
            <v:shape style="position:absolute;left:3523;top:2866;width:1171;height:581" type="#_x0000_t75" stroked="false">
              <v:imagedata r:id="rId38" o:title=""/>
            </v:shape>
            <v:shape style="position:absolute;left:4670;top:3093;width:317;height:120" type="#_x0000_t75" stroked="false">
              <v:imagedata r:id="rId39" o:title=""/>
            </v:shape>
            <v:shape style="position:absolute;left:5427;top:2654;width:120;height:258" type="#_x0000_t75" stroked="false">
              <v:imagedata r:id="rId40" o:title=""/>
            </v:shape>
            <v:shape style="position:absolute;left:5460;top:1786;width:120;height:270" type="#_x0000_t75" stroked="false">
              <v:imagedata r:id="rId41" o:title=""/>
            </v:shape>
            <v:line style="position:absolute" from="3091,1824" to="3248,1824" stroked="true" strokeweight=".48pt" strokecolor="#000000"/>
            <v:line style="position:absolute" from="3259,1838" to="3259,4430" stroked="true" strokeweight=".48pt" strokecolor="#000000"/>
            <v:line style="position:absolute" from="3120,4411" to="3276,4411" stroked="true" strokeweight=".48pt" strokecolor="#000000"/>
            <v:shape style="position:absolute;left:3244;top:3085;width:246;height:120" type="#_x0000_t75" stroked="false">
              <v:imagedata r:id="rId42" o:title=""/>
            </v:shape>
            <v:shape style="position:absolute;left:1426;top:4037;width:1694;height:778" type="#_x0000_t75" stroked="false">
              <v:imagedata r:id="rId43" o:title=""/>
            </v:shape>
            <v:shape style="position:absolute;left:1474;top:2726;width:1642;height:787" type="#_x0000_t75" stroked="false">
              <v:imagedata r:id="rId44" o:title=""/>
            </v:shape>
            <v:shape style="position:absolute;left:1498;top:1478;width:1613;height:634" type="#_x0000_t75" stroked="false">
              <v:imagedata r:id="rId45" o:title=""/>
            </v:shape>
            <v:shape style="position:absolute;left:115;top:1565;width:1128;height:427" type="#_x0000_t75" stroked="false">
              <v:imagedata r:id="rId46" o:title=""/>
            </v:shape>
            <v:shape style="position:absolute;left:1248;top:1726;width:268;height:120" type="#_x0000_t75" stroked="false">
              <v:imagedata r:id="rId47" o:title=""/>
            </v:shape>
            <v:shape style="position:absolute;left:0;top:4205;width:1171;height:427" type="#_x0000_t75" stroked="false">
              <v:imagedata r:id="rId48" o:title=""/>
            </v:shape>
            <v:shape style="position:absolute;left:1147;top:4380;width:269;height:120" type="#_x0000_t75" stroked="false">
              <v:imagedata r:id="rId49" o:title=""/>
            </v:shape>
            <v:shape style="position:absolute;left:38;top:2890;width:1171;height:432" type="#_x0000_t75" stroked="false">
              <v:imagedata r:id="rId50" o:title=""/>
            </v:shape>
            <v:shape style="position:absolute;left:1200;top:3050;width:269;height:120" type="#_x0000_t75" stroked="false">
              <v:imagedata r:id="rId49" o:title=""/>
            </v:shape>
            <v:shape style="position:absolute;left:7526;top:3859;width:1848;height:816" type="#_x0000_t75" stroked="false">
              <v:imagedata r:id="rId51" o:title=""/>
            </v:shape>
            <v:shape style="position:absolute;left:5261;top:4690;width:912;height:427" type="#_x0000_t75" stroked="false">
              <v:imagedata r:id="rId52" o:title=""/>
            </v:shape>
            <v:shape style="position:absolute;left:4982;top:3821;width:1339;height:566" type="#_x0000_t75" stroked="false">
              <v:imagedata r:id="rId53" o:title=""/>
            </v:shape>
            <v:shape style="position:absolute;left:2885;top:5021;width:2040;height:1814" type="#_x0000_t75" stroked="false">
              <v:imagedata r:id="rId54" o:title=""/>
            </v:shape>
            <v:shape style="position:absolute;left:6432;top:5045;width:2261;height:1838" type="#_x0000_t75" stroked="false">
              <v:imagedata r:id="rId55" o:title=""/>
            </v:shape>
            <v:shape style="position:absolute;left:5638;top:4402;width:120;height:306" type="#_x0000_t75" stroked="false">
              <v:imagedata r:id="rId56" o:title=""/>
            </v:shape>
            <v:shape style="position:absolute;left:5450;top:3442;width:120;height:221" type="#_x0000_t75" stroked="false">
              <v:imagedata r:id="rId57" o:title=""/>
            </v:shape>
            <v:shape style="position:absolute;left:4161;top:3604;width:1357;height:120" coordorigin="4161,3604" coordsize="1357,120" path="m5500,3653l5418,3653,5418,3673,5399,3674,5399,3724,5518,3662,5500,3653xm5398,3654l4161,3667,4162,3687,5399,3674,5398,3654xm5418,3653l5398,3654,5399,3674,5418,3673,5418,3653xm5398,3604l5398,3654,5418,3653,5500,3653,5398,3604xe" filled="true" fillcolor="#000000" stroked="false">
              <v:path arrowok="t"/>
              <v:fill type="solid"/>
            </v:shape>
            <v:shape style="position:absolute;left:5520;top:3602;width:1439;height:120" coordorigin="5520,3602" coordsize="1439,120" path="m5640,3602l5520,3662,5640,3722,5640,3672,5620,3672,5620,3652,5640,3652,5640,3602xm5640,3652l5620,3652,5620,3672,5640,3672,5640,3652xm6959,3652l5640,3652,5640,3672,6959,3672,6959,3652xe" filled="true" fillcolor="#000000" stroked="false">
              <v:path arrowok="t"/>
              <v:fill type="solid"/>
            </v:shape>
            <v:line style="position:absolute" from="4173,3662" to="4162,5046" stroked="true" strokeweight=".48pt" strokecolor="#000000"/>
            <v:line style="position:absolute" from="6973,3662" to="6960,5067" stroked="true" strokeweight=".48pt" strokecolor="#000000"/>
            <v:shape style="position:absolute;left:5714;top:3408;width:120;height:188" type="#_x0000_t75" stroked="false">
              <v:imagedata r:id="rId58" o:title=""/>
            </v:shape>
            <v:line style="position:absolute" from="5750,3595" to="8417,3595" stroked="true" strokeweight=".48pt" strokecolor="#000000"/>
            <v:line style="position:absolute" from="8395,3586" to="8395,3890" stroked="true" strokeweight=".48pt" strokecolor="#000000"/>
            <v:shape style="position:absolute;left:7607;top:113;width:1513;height:356" type="#_x0000_t202" filled="false" stroked="false">
              <v:textbox inset="0,0,0,0">
                <w:txbxContent>
                  <w:p>
                    <w:pPr>
                      <w:spacing w:line="162" w:lineRule="exact" w:before="0"/>
                      <w:ind w:left="0" w:right="0" w:firstLine="0"/>
                      <w:jc w:val="center"/>
                      <w:rPr>
                        <w:rFonts w:ascii="Calibri" w:hAnsi="Calibri"/>
                        <w:sz w:val="16"/>
                      </w:rPr>
                    </w:pPr>
                    <w:r>
                      <w:rPr>
                        <w:rFonts w:ascii="Calibri" w:hAnsi="Calibri"/>
                        <w:sz w:val="16"/>
                      </w:rPr>
                      <w:t>Submódulos de</w:t>
                    </w:r>
                    <w:r>
                      <w:rPr>
                        <w:rFonts w:ascii="Calibri" w:hAnsi="Calibri"/>
                        <w:spacing w:val="-13"/>
                        <w:sz w:val="16"/>
                      </w:rPr>
                      <w:t> </w:t>
                    </w:r>
                    <w:r>
                      <w:rPr>
                        <w:rFonts w:ascii="Calibri" w:hAnsi="Calibri"/>
                        <w:sz w:val="16"/>
                      </w:rPr>
                      <w:t>gestión</w:t>
                    </w:r>
                  </w:p>
                  <w:p>
                    <w:pPr>
                      <w:spacing w:line="192" w:lineRule="exact" w:before="1"/>
                      <w:ind w:left="0" w:right="1" w:firstLine="0"/>
                      <w:jc w:val="center"/>
                      <w:rPr>
                        <w:rFonts w:ascii="Calibri"/>
                        <w:sz w:val="16"/>
                      </w:rPr>
                    </w:pPr>
                    <w:r>
                      <w:rPr>
                        <w:rFonts w:ascii="Calibri"/>
                        <w:sz w:val="16"/>
                      </w:rPr>
                      <w:t>mejorada</w:t>
                    </w:r>
                  </w:p>
                </w:txbxContent>
              </v:textbox>
              <w10:wrap type="none"/>
            </v:shape>
            <v:shape style="position:absolute;left:298;top:1698;width:754;height:221" type="#_x0000_t202" filled="false" stroked="false">
              <v:textbox inset="0,0,0,0">
                <w:txbxContent>
                  <w:p>
                    <w:pPr>
                      <w:spacing w:line="221" w:lineRule="exact" w:before="0"/>
                      <w:ind w:left="0" w:right="-16" w:firstLine="0"/>
                      <w:jc w:val="left"/>
                      <w:rPr>
                        <w:rFonts w:ascii="Calibri"/>
                        <w:sz w:val="22"/>
                      </w:rPr>
                    </w:pPr>
                    <w:r>
                      <w:rPr>
                        <w:rFonts w:ascii="Calibri"/>
                        <w:spacing w:val="-1"/>
                        <w:sz w:val="22"/>
                      </w:rPr>
                      <w:t>GLEAMS</w:t>
                    </w:r>
                  </w:p>
                </w:txbxContent>
              </v:textbox>
              <w10:wrap type="none"/>
            </v:shape>
            <v:shape style="position:absolute;left:1657;top:1591;width:1078;height:356" type="#_x0000_t202" filled="false" stroked="false">
              <v:textbox inset="0,0,0,0">
                <w:txbxContent>
                  <w:p>
                    <w:pPr>
                      <w:spacing w:line="162" w:lineRule="exact" w:before="0"/>
                      <w:ind w:left="0" w:right="-14" w:firstLine="0"/>
                      <w:jc w:val="left"/>
                      <w:rPr>
                        <w:rFonts w:ascii="Calibri"/>
                        <w:sz w:val="16"/>
                      </w:rPr>
                    </w:pPr>
                    <w:r>
                      <w:rPr>
                        <w:rFonts w:ascii="Calibri"/>
                        <w:sz w:val="16"/>
                      </w:rPr>
                      <w:t>Componente</w:t>
                    </w:r>
                    <w:r>
                      <w:rPr>
                        <w:rFonts w:ascii="Calibri"/>
                        <w:spacing w:val="-12"/>
                        <w:sz w:val="16"/>
                      </w:rPr>
                      <w:t> </w:t>
                    </w:r>
                    <w:r>
                      <w:rPr>
                        <w:rFonts w:ascii="Calibri"/>
                        <w:sz w:val="16"/>
                      </w:rPr>
                      <w:t>del</w:t>
                    </w:r>
                  </w:p>
                  <w:p>
                    <w:pPr>
                      <w:spacing w:line="192" w:lineRule="exact" w:before="2"/>
                      <w:ind w:left="0" w:right="-17" w:firstLine="0"/>
                      <w:jc w:val="left"/>
                      <w:rPr>
                        <w:rFonts w:ascii="Calibri"/>
                        <w:sz w:val="16"/>
                      </w:rPr>
                    </w:pPr>
                    <w:r>
                      <w:rPr>
                        <w:rFonts w:ascii="Calibri"/>
                        <w:sz w:val="16"/>
                      </w:rPr>
                      <w:t>plaguicida</w:t>
                    </w:r>
                  </w:p>
                </w:txbxContent>
              </v:textbox>
              <w10:wrap type="none"/>
            </v:shape>
            <v:shape style="position:absolute;left:5186;top:1505;width:732;height:222" type="#_x0000_t202" filled="false" stroked="false">
              <v:textbox inset="0,0,0,0">
                <w:txbxContent>
                  <w:p>
                    <w:pPr>
                      <w:spacing w:line="221" w:lineRule="exact" w:before="0"/>
                      <w:ind w:left="0" w:right="-16" w:firstLine="0"/>
                      <w:jc w:val="left"/>
                      <w:rPr>
                        <w:rFonts w:ascii="Calibri"/>
                        <w:sz w:val="22"/>
                      </w:rPr>
                    </w:pPr>
                    <w:r>
                      <w:rPr>
                        <w:rFonts w:ascii="Calibri"/>
                        <w:sz w:val="22"/>
                      </w:rPr>
                      <w:t>QUAL2E</w:t>
                    </w:r>
                  </w:p>
                </w:txbxContent>
              </v:textbox>
              <w10:wrap type="none"/>
            </v:shape>
            <v:shape style="position:absolute;left:7127;top:713;width:2292;height:1196" type="#_x0000_t202" filled="false" stroked="false">
              <v:textbox inset="0,0,0,0">
                <w:txbxContent>
                  <w:p>
                    <w:pPr>
                      <w:spacing w:line="162" w:lineRule="exact" w:before="0"/>
                      <w:ind w:left="0" w:right="-10" w:firstLine="0"/>
                      <w:jc w:val="left"/>
                      <w:rPr>
                        <w:rFonts w:ascii="Calibri"/>
                        <w:sz w:val="16"/>
                      </w:rPr>
                    </w:pPr>
                    <w:r>
                      <w:rPr>
                        <w:rFonts w:ascii="Calibri"/>
                        <w:sz w:val="16"/>
                      </w:rPr>
                      <w:t>renaje de baldosas</w:t>
                    </w:r>
                    <w:r>
                      <w:rPr>
                        <w:rFonts w:ascii="Calibri"/>
                        <w:spacing w:val="-15"/>
                        <w:sz w:val="16"/>
                      </w:rPr>
                      <w:t> </w:t>
                    </w:r>
                    <w:r>
                      <w:rPr>
                        <w:rFonts w:ascii="Calibri"/>
                        <w:sz w:val="16"/>
                      </w:rPr>
                      <w:t>subsuperficiales</w:t>
                    </w:r>
                  </w:p>
                  <w:p>
                    <w:pPr>
                      <w:numPr>
                        <w:ilvl w:val="0"/>
                        <w:numId w:val="11"/>
                      </w:numPr>
                      <w:tabs>
                        <w:tab w:pos="461" w:val="left" w:leader="none"/>
                      </w:tabs>
                      <w:spacing w:line="192" w:lineRule="exact" w:before="130"/>
                      <w:ind w:left="1214" w:right="9" w:hanging="931"/>
                      <w:jc w:val="left"/>
                      <w:rPr>
                        <w:rFonts w:ascii="Calibri" w:hAnsi="Calibri"/>
                        <w:sz w:val="16"/>
                      </w:rPr>
                    </w:pPr>
                    <w:r>
                      <w:rPr>
                        <w:rFonts w:ascii="Calibri" w:hAnsi="Calibri"/>
                        <w:sz w:val="16"/>
                      </w:rPr>
                      <w:t>Representación de la tira</w:t>
                    </w:r>
                    <w:r>
                      <w:rPr>
                        <w:rFonts w:ascii="Calibri" w:hAnsi="Calibri"/>
                        <w:spacing w:val="-11"/>
                        <w:sz w:val="16"/>
                      </w:rPr>
                      <w:t> </w:t>
                    </w:r>
                    <w:r>
                      <w:rPr>
                        <w:rFonts w:ascii="Calibri" w:hAnsi="Calibri"/>
                        <w:sz w:val="16"/>
                      </w:rPr>
                      <w:t>de filtro</w:t>
                    </w:r>
                  </w:p>
                  <w:p>
                    <w:pPr>
                      <w:numPr>
                        <w:ilvl w:val="0"/>
                        <w:numId w:val="11"/>
                      </w:numPr>
                      <w:tabs>
                        <w:tab w:pos="504" w:val="left" w:leader="none"/>
                      </w:tabs>
                      <w:spacing w:line="202" w:lineRule="exact" w:before="127"/>
                      <w:ind w:left="504" w:right="0" w:hanging="178"/>
                      <w:jc w:val="left"/>
                      <w:rPr>
                        <w:rFonts w:ascii="Calibri" w:hAnsi="Calibri"/>
                        <w:sz w:val="16"/>
                      </w:rPr>
                    </w:pPr>
                    <w:r>
                      <w:rPr>
                        <w:rFonts w:ascii="Calibri" w:hAnsi="Calibri"/>
                        <w:sz w:val="16"/>
                      </w:rPr>
                      <w:t>Representación de HRU</w:t>
                    </w:r>
                    <w:r>
                      <w:rPr>
                        <w:rFonts w:ascii="Calibri" w:hAnsi="Calibri"/>
                        <w:spacing w:val="-10"/>
                        <w:sz w:val="16"/>
                      </w:rPr>
                      <w:t> </w:t>
                    </w:r>
                    <w:r>
                      <w:rPr>
                        <w:rFonts w:ascii="Calibri" w:hAnsi="Calibri"/>
                        <w:sz w:val="16"/>
                      </w:rPr>
                      <w:t>de</w:t>
                    </w:r>
                  </w:p>
                  <w:p>
                    <w:pPr>
                      <w:spacing w:line="190" w:lineRule="exact" w:before="0"/>
                      <w:ind w:left="482" w:right="38" w:firstLine="0"/>
                      <w:jc w:val="center"/>
                      <w:rPr>
                        <w:rFonts w:ascii="Calibri" w:hAnsi="Calibri"/>
                        <w:sz w:val="16"/>
                      </w:rPr>
                    </w:pPr>
                    <w:r>
                      <w:rPr>
                        <w:rFonts w:ascii="Calibri" w:hAnsi="Calibri"/>
                        <w:sz w:val="16"/>
                      </w:rPr>
                      <w:t>cursos de agua con césped</w:t>
                    </w:r>
                  </w:p>
                </w:txbxContent>
              </v:textbox>
              <w10:wrap type="none"/>
            </v:shape>
            <v:shape style="position:absolute;left:5186;top:2065;width:4246;height:482" type="#_x0000_t202" filled="false" stroked="false">
              <v:textbox inset="0,0,0,0">
                <w:txbxContent>
                  <w:p>
                    <w:pPr>
                      <w:tabs>
                        <w:tab w:pos="2108" w:val="left" w:leader="none"/>
                      </w:tabs>
                      <w:spacing w:line="129" w:lineRule="auto" w:before="43"/>
                      <w:ind w:left="2525" w:right="0" w:hanging="2526"/>
                      <w:jc w:val="left"/>
                      <w:rPr>
                        <w:rFonts w:ascii="Calibri" w:hAnsi="Calibri"/>
                        <w:sz w:val="16"/>
                      </w:rPr>
                    </w:pPr>
                    <w:r>
                      <w:rPr>
                        <w:rFonts w:ascii="Calibri" w:hAnsi="Calibri"/>
                        <w:position w:val="-8"/>
                        <w:sz w:val="16"/>
                      </w:rPr>
                      <w:t>Cinética</w:t>
                    </w:r>
                    <w:r>
                      <w:rPr>
                        <w:rFonts w:ascii="Calibri" w:hAnsi="Calibri"/>
                        <w:spacing w:val="-4"/>
                        <w:position w:val="-8"/>
                        <w:sz w:val="16"/>
                      </w:rPr>
                      <w:t> </w:t>
                    </w:r>
                    <w:r>
                      <w:rPr>
                        <w:rFonts w:ascii="Calibri" w:hAnsi="Calibri"/>
                        <w:position w:val="-8"/>
                        <w:sz w:val="16"/>
                      </w:rPr>
                      <w:t>de</w:t>
                      <w:tab/>
                    </w:r>
                    <w:r>
                      <w:rPr>
                        <w:rFonts w:ascii="Symbol" w:hAnsi="Symbol"/>
                        <w:sz w:val="16"/>
                      </w:rPr>
                      <w:t></w:t>
                    </w:r>
                    <w:r>
                      <w:rPr>
                        <w:sz w:val="16"/>
                      </w:rPr>
                      <w:t>     </w:t>
                    </w:r>
                    <w:r>
                      <w:rPr>
                        <w:rFonts w:ascii="Calibri" w:hAnsi="Calibri"/>
                        <w:sz w:val="16"/>
                      </w:rPr>
                      <w:t>Introducción temporal</w:t>
                    </w:r>
                    <w:r>
                      <w:rPr>
                        <w:rFonts w:ascii="Calibri" w:hAnsi="Calibri"/>
                        <w:spacing w:val="-18"/>
                        <w:sz w:val="16"/>
                      </w:rPr>
                      <w:t> </w:t>
                    </w:r>
                    <w:r>
                      <w:rPr>
                        <w:rFonts w:ascii="Calibri" w:hAnsi="Calibri"/>
                        <w:sz w:val="16"/>
                      </w:rPr>
                      <w:t>de</w:t>
                    </w:r>
                    <w:r>
                      <w:rPr>
                        <w:rFonts w:ascii="Calibri" w:hAnsi="Calibri"/>
                        <w:spacing w:val="-2"/>
                        <w:sz w:val="16"/>
                      </w:rPr>
                      <w:t> </w:t>
                    </w:r>
                    <w:r>
                      <w:rPr>
                        <w:rFonts w:ascii="Calibri" w:hAnsi="Calibri"/>
                        <w:sz w:val="16"/>
                      </w:rPr>
                      <w:t>las</w:t>
                    </w:r>
                    <w:r>
                      <w:rPr>
                        <w:rFonts w:ascii="Calibri" w:hAnsi="Calibri"/>
                        <w:w w:val="99"/>
                        <w:sz w:val="16"/>
                      </w:rPr>
                      <w:t> </w:t>
                    </w:r>
                    <w:r>
                      <w:rPr>
                        <w:rFonts w:ascii="Calibri" w:hAnsi="Calibri"/>
                        <w:sz w:val="16"/>
                      </w:rPr>
                      <w:t>BMP y/o uso de la</w:t>
                    </w:r>
                    <w:r>
                      <w:rPr>
                        <w:rFonts w:ascii="Calibri" w:hAnsi="Calibri"/>
                        <w:spacing w:val="-8"/>
                        <w:sz w:val="16"/>
                      </w:rPr>
                      <w:t> </w:t>
                    </w:r>
                    <w:r>
                      <w:rPr>
                        <w:rFonts w:ascii="Calibri" w:hAnsi="Calibri"/>
                        <w:sz w:val="16"/>
                      </w:rPr>
                      <w:t>tierra</w:t>
                    </w:r>
                  </w:p>
                  <w:p>
                    <w:pPr>
                      <w:spacing w:line="136" w:lineRule="exact" w:before="0"/>
                      <w:ind w:left="62" w:right="0" w:firstLine="0"/>
                      <w:jc w:val="left"/>
                      <w:rPr>
                        <w:rFonts w:ascii="Calibri"/>
                        <w:sz w:val="16"/>
                      </w:rPr>
                    </w:pPr>
                    <w:r>
                      <w:rPr>
                        <w:rFonts w:ascii="Calibri"/>
                        <w:sz w:val="16"/>
                      </w:rPr>
                      <w:t>corriente</w:t>
                    </w:r>
                  </w:p>
                </w:txbxContent>
              </v:textbox>
              <w10:wrap type="none"/>
            </v:shape>
            <v:shape style="position:absolute;left:240;top:3023;width:764;height:221" type="#_x0000_t202" filled="false" stroked="false">
              <v:textbox inset="0,0,0,0">
                <w:txbxContent>
                  <w:p>
                    <w:pPr>
                      <w:spacing w:line="221" w:lineRule="exact" w:before="0"/>
                      <w:ind w:left="0" w:right="-17" w:firstLine="0"/>
                      <w:jc w:val="left"/>
                      <w:rPr>
                        <w:rFonts w:ascii="Calibri"/>
                        <w:sz w:val="22"/>
                      </w:rPr>
                    </w:pPr>
                    <w:r>
                      <w:rPr>
                        <w:rFonts w:ascii="Calibri"/>
                        <w:sz w:val="22"/>
                      </w:rPr>
                      <w:t>CREAMS</w:t>
                    </w:r>
                  </w:p>
                </w:txbxContent>
              </v:textbox>
              <w10:wrap type="none"/>
            </v:shape>
            <v:shape style="position:absolute;left:1772;top:2839;width:1048;height:553" type="#_x0000_t202" filled="false" stroked="false">
              <v:textbox inset="0,0,0,0">
                <w:txbxContent>
                  <w:p>
                    <w:pPr>
                      <w:spacing w:line="162" w:lineRule="exact" w:before="0"/>
                      <w:ind w:left="0" w:right="0" w:firstLine="0"/>
                      <w:jc w:val="center"/>
                      <w:rPr>
                        <w:rFonts w:ascii="Calibri"/>
                        <w:sz w:val="16"/>
                      </w:rPr>
                    </w:pPr>
                    <w:r>
                      <w:rPr>
                        <w:rFonts w:ascii="Calibri"/>
                        <w:sz w:val="16"/>
                      </w:rPr>
                      <w:t>Componente de</w:t>
                    </w:r>
                  </w:p>
                  <w:p>
                    <w:pPr>
                      <w:spacing w:before="1"/>
                      <w:ind w:left="0" w:right="2" w:firstLine="0"/>
                      <w:jc w:val="center"/>
                      <w:rPr>
                        <w:rFonts w:ascii="Calibri" w:hAnsi="Calibri"/>
                        <w:sz w:val="16"/>
                      </w:rPr>
                    </w:pPr>
                    <w:r>
                      <w:rPr>
                        <w:rFonts w:ascii="Calibri" w:hAnsi="Calibri"/>
                        <w:sz w:val="16"/>
                      </w:rPr>
                      <w:t>hidrología lluvia</w:t>
                    </w:r>
                  </w:p>
                  <w:p>
                    <w:pPr>
                      <w:spacing w:line="192" w:lineRule="exact" w:before="1"/>
                      <w:ind w:left="3" w:right="0" w:firstLine="0"/>
                      <w:jc w:val="center"/>
                      <w:rPr>
                        <w:rFonts w:ascii="Calibri"/>
                        <w:sz w:val="16"/>
                      </w:rPr>
                    </w:pPr>
                    <w:r>
                      <w:rPr>
                        <w:rFonts w:ascii="Calibri"/>
                        <w:sz w:val="16"/>
                      </w:rPr>
                      <w:t>diaria</w:t>
                    </w:r>
                  </w:p>
                </w:txbxContent>
              </v:textbox>
              <w10:wrap type="none"/>
            </v:shape>
            <v:shape style="position:absolute;left:3775;top:2999;width:658;height:221" type="#_x0000_t202" filled="false" stroked="false">
              <v:textbox inset="0,0,0,0">
                <w:txbxContent>
                  <w:p>
                    <w:pPr>
                      <w:spacing w:line="221" w:lineRule="exact" w:before="0"/>
                      <w:ind w:left="0" w:right="-18" w:firstLine="0"/>
                      <w:jc w:val="left"/>
                      <w:rPr>
                        <w:rFonts w:ascii="Calibri"/>
                        <w:sz w:val="22"/>
                      </w:rPr>
                    </w:pPr>
                    <w:r>
                      <w:rPr>
                        <w:rFonts w:ascii="Calibri"/>
                        <w:sz w:val="22"/>
                      </w:rPr>
                      <w:t>SWRRB</w:t>
                    </w:r>
                  </w:p>
                </w:txbxContent>
              </v:textbox>
              <w10:wrap type="none"/>
            </v:shape>
            <v:shape style="position:absolute;left:5278;top:3037;width:535;height:221" type="#_x0000_t202" filled="false" stroked="false">
              <v:textbox inset="0,0,0,0">
                <w:txbxContent>
                  <w:p>
                    <w:pPr>
                      <w:spacing w:line="221" w:lineRule="exact" w:before="0"/>
                      <w:ind w:left="0" w:right="-17" w:firstLine="0"/>
                      <w:jc w:val="left"/>
                      <w:rPr>
                        <w:rFonts w:ascii="Calibri"/>
                        <w:sz w:val="22"/>
                      </w:rPr>
                    </w:pPr>
                    <w:r>
                      <w:rPr>
                        <w:rFonts w:ascii="Calibri"/>
                        <w:sz w:val="22"/>
                      </w:rPr>
                      <w:t>SWAT</w:t>
                    </w:r>
                  </w:p>
                </w:txbxContent>
              </v:textbox>
              <w10:wrap type="none"/>
            </v:shape>
            <v:shape style="position:absolute;left:6742;top:2983;width:544;height:380" type="#_x0000_t202" filled="false" stroked="false">
              <v:textbox inset="0,0,0,0">
                <w:txbxContent>
                  <w:p>
                    <w:pPr>
                      <w:spacing w:line="162" w:lineRule="exact" w:before="0"/>
                      <w:ind w:left="4" w:right="-12" w:hanging="5"/>
                      <w:jc w:val="left"/>
                      <w:rPr>
                        <w:rFonts w:ascii="Calibri"/>
                        <w:sz w:val="16"/>
                      </w:rPr>
                    </w:pPr>
                    <w:r>
                      <w:rPr>
                        <w:rFonts w:ascii="Calibri"/>
                        <w:sz w:val="16"/>
                      </w:rPr>
                      <w:t>Ciclo</w:t>
                    </w:r>
                    <w:r>
                      <w:rPr>
                        <w:rFonts w:ascii="Calibri"/>
                        <w:spacing w:val="-11"/>
                        <w:sz w:val="16"/>
                      </w:rPr>
                      <w:t> </w:t>
                    </w:r>
                    <w:r>
                      <w:rPr>
                        <w:rFonts w:ascii="Calibri"/>
                        <w:sz w:val="16"/>
                      </w:rPr>
                      <w:t>del</w:t>
                    </w:r>
                  </w:p>
                  <w:p>
                    <w:pPr>
                      <w:spacing w:line="192" w:lineRule="exact" w:before="25"/>
                      <w:ind w:left="4" w:right="-17" w:firstLine="0"/>
                      <w:jc w:val="left"/>
                      <w:rPr>
                        <w:rFonts w:ascii="Calibri"/>
                        <w:sz w:val="16"/>
                      </w:rPr>
                    </w:pPr>
                    <w:r>
                      <w:rPr>
                        <w:rFonts w:ascii="Calibri"/>
                        <w:sz w:val="16"/>
                      </w:rPr>
                      <w:t>carbono</w:t>
                    </w:r>
                  </w:p>
                </w:txbxContent>
              </v:textbox>
              <w10:wrap type="none"/>
            </v:shape>
            <v:shape style="position:absolute;left:8120;top:3071;width:660;height:221" type="#_x0000_t202" filled="false" stroked="false">
              <v:textbox inset="0,0,0,0">
                <w:txbxContent>
                  <w:p>
                    <w:pPr>
                      <w:spacing w:line="221" w:lineRule="exact" w:before="0"/>
                      <w:ind w:left="0" w:right="-14" w:firstLine="0"/>
                      <w:jc w:val="left"/>
                      <w:rPr>
                        <w:rFonts w:ascii="Calibri"/>
                        <w:sz w:val="22"/>
                      </w:rPr>
                    </w:pPr>
                    <w:r>
                      <w:rPr>
                        <w:rFonts w:ascii="Calibri"/>
                        <w:sz w:val="22"/>
                      </w:rPr>
                      <w:t>CFARM</w:t>
                    </w:r>
                  </w:p>
                </w:txbxContent>
              </v:textbox>
              <w10:wrap type="none"/>
            </v:shape>
            <v:shape style="position:absolute;left:5206;top:3939;width:895;height:384" type="#_x0000_t202" filled="false" stroked="false">
              <v:textbox inset="0,0,0,0">
                <w:txbxContent>
                  <w:p>
                    <w:pPr>
                      <w:spacing w:line="162" w:lineRule="exact" w:before="0"/>
                      <w:ind w:left="0" w:right="-11" w:firstLine="14"/>
                      <w:jc w:val="left"/>
                      <w:rPr>
                        <w:rFonts w:ascii="Calibri"/>
                        <w:sz w:val="16"/>
                      </w:rPr>
                    </w:pPr>
                    <w:r>
                      <w:rPr>
                        <w:rFonts w:ascii="Calibri"/>
                        <w:sz w:val="16"/>
                      </w:rPr>
                      <w:t>Estructura de</w:t>
                    </w:r>
                  </w:p>
                  <w:p>
                    <w:pPr>
                      <w:spacing w:line="192" w:lineRule="exact" w:before="30"/>
                      <w:ind w:left="0" w:right="-11" w:firstLine="0"/>
                      <w:jc w:val="left"/>
                      <w:rPr>
                        <w:rFonts w:ascii="Calibri"/>
                        <w:sz w:val="16"/>
                      </w:rPr>
                    </w:pPr>
                    <w:r>
                      <w:rPr>
                        <w:rFonts w:ascii="Calibri"/>
                        <w:w w:val="95"/>
                        <w:sz w:val="16"/>
                      </w:rPr>
                      <w:t>enrutamiento</w:t>
                    </w:r>
                  </w:p>
                </w:txbxContent>
              </v:textbox>
              <w10:wrap type="none"/>
            </v:shape>
            <v:shape style="position:absolute;left:384;top:4334;width:396;height:221" type="#_x0000_t202" filled="false" stroked="false">
              <v:textbox inset="0,0,0,0">
                <w:txbxContent>
                  <w:p>
                    <w:pPr>
                      <w:spacing w:line="221" w:lineRule="exact" w:before="0"/>
                      <w:ind w:left="0" w:right="-18" w:firstLine="0"/>
                      <w:jc w:val="left"/>
                      <w:rPr>
                        <w:rFonts w:ascii="Calibri"/>
                        <w:sz w:val="22"/>
                      </w:rPr>
                    </w:pPr>
                    <w:r>
                      <w:rPr>
                        <w:rFonts w:ascii="Calibri"/>
                        <w:sz w:val="22"/>
                      </w:rPr>
                      <w:t>EPIC</w:t>
                    </w:r>
                  </w:p>
                </w:txbxContent>
              </v:textbox>
              <w10:wrap type="none"/>
            </v:shape>
            <v:shape style="position:absolute;left:1719;top:4155;width:1195;height:548" type="#_x0000_t202" filled="false" stroked="false">
              <v:textbox inset="0,0,0,0">
                <w:txbxContent>
                  <w:p>
                    <w:pPr>
                      <w:spacing w:line="160" w:lineRule="exact" w:before="0"/>
                      <w:ind w:left="0" w:right="-19" w:firstLine="72"/>
                      <w:jc w:val="left"/>
                      <w:rPr>
                        <w:rFonts w:ascii="Calibri"/>
                        <w:sz w:val="16"/>
                      </w:rPr>
                    </w:pPr>
                    <w:r>
                      <w:rPr>
                        <w:rFonts w:ascii="Calibri"/>
                        <w:sz w:val="16"/>
                      </w:rPr>
                      <w:t>Componente de</w:t>
                    </w:r>
                  </w:p>
                  <w:p>
                    <w:pPr>
                      <w:spacing w:before="0"/>
                      <w:ind w:left="346" w:right="-19" w:hanging="346"/>
                      <w:jc w:val="left"/>
                      <w:rPr>
                        <w:rFonts w:ascii="Calibri"/>
                        <w:sz w:val="16"/>
                      </w:rPr>
                    </w:pPr>
                    <w:r>
                      <w:rPr>
                        <w:rFonts w:ascii="Calibri"/>
                        <w:sz w:val="16"/>
                      </w:rPr>
                      <w:t>crecimiento de los cultivos</w:t>
                    </w:r>
                  </w:p>
                </w:txbxContent>
              </v:textbox>
              <w10:wrap type="none"/>
            </v:shape>
            <v:shape style="position:absolute;left:7770;top:3978;width:1352;height:548" type="#_x0000_t202" filled="false" stroked="false">
              <v:textbox inset="0,0,0,0">
                <w:txbxContent>
                  <w:p>
                    <w:pPr>
                      <w:spacing w:line="160" w:lineRule="exact" w:before="0"/>
                      <w:ind w:left="0" w:right="0" w:firstLine="0"/>
                      <w:jc w:val="center"/>
                      <w:rPr>
                        <w:rFonts w:ascii="Calibri"/>
                        <w:sz w:val="16"/>
                      </w:rPr>
                    </w:pPr>
                    <w:r>
                      <w:rPr>
                        <w:rFonts w:ascii="Calibri"/>
                        <w:sz w:val="16"/>
                      </w:rPr>
                      <w:t>Alternativas diarias</w:t>
                    </w:r>
                    <w:r>
                      <w:rPr>
                        <w:rFonts w:ascii="Calibri"/>
                        <w:spacing w:val="-13"/>
                        <w:sz w:val="16"/>
                      </w:rPr>
                      <w:t> </w:t>
                    </w:r>
                    <w:r>
                      <w:rPr>
                        <w:rFonts w:ascii="Calibri"/>
                        <w:sz w:val="16"/>
                      </w:rPr>
                      <w:t>y</w:t>
                    </w:r>
                  </w:p>
                  <w:p>
                    <w:pPr>
                      <w:spacing w:before="0"/>
                      <w:ind w:left="33" w:right="32" w:hanging="1"/>
                      <w:jc w:val="center"/>
                      <w:rPr>
                        <w:rFonts w:ascii="Calibri" w:hAnsi="Calibri"/>
                        <w:sz w:val="16"/>
                      </w:rPr>
                    </w:pPr>
                    <w:r>
                      <w:rPr>
                        <w:rFonts w:ascii="Calibri" w:hAnsi="Calibri"/>
                        <w:sz w:val="16"/>
                      </w:rPr>
                      <w:t>submodelos de hidrología</w:t>
                    </w:r>
                    <w:r>
                      <w:rPr>
                        <w:rFonts w:ascii="Calibri" w:hAnsi="Calibri"/>
                        <w:spacing w:val="-13"/>
                        <w:sz w:val="16"/>
                      </w:rPr>
                      <w:t> </w:t>
                    </w:r>
                    <w:r>
                      <w:rPr>
                        <w:rFonts w:ascii="Calibri" w:hAnsi="Calibri"/>
                        <w:sz w:val="16"/>
                      </w:rPr>
                      <w:t>subdiaria</w:t>
                    </w:r>
                  </w:p>
                </w:txbxContent>
              </v:textbox>
              <w10:wrap type="none"/>
            </v:shape>
            <v:shape style="position:absolute;left:5513;top:4818;width:414;height:222" type="#_x0000_t202" filled="false" stroked="false">
              <v:textbox inset="0,0,0,0">
                <w:txbxContent>
                  <w:p>
                    <w:pPr>
                      <w:spacing w:line="221" w:lineRule="exact" w:before="0"/>
                      <w:ind w:left="0" w:right="-17" w:firstLine="0"/>
                      <w:jc w:val="left"/>
                      <w:rPr>
                        <w:rFonts w:ascii="Calibri"/>
                        <w:sz w:val="22"/>
                      </w:rPr>
                    </w:pPr>
                    <w:r>
                      <w:rPr>
                        <w:rFonts w:ascii="Calibri"/>
                        <w:spacing w:val="-1"/>
                        <w:sz w:val="22"/>
                      </w:rPr>
                      <w:t>Ruta</w:t>
                    </w:r>
                  </w:p>
                </w:txbxContent>
              </v:textbox>
              <w10:wrap type="none"/>
            </v:shape>
            <v:shape style="position:absolute;left:3333;top:5135;width:1139;height:356" type="#_x0000_t202" filled="false" stroked="false">
              <v:textbox inset="0,0,0,0">
                <w:txbxContent>
                  <w:p>
                    <w:pPr>
                      <w:spacing w:line="162" w:lineRule="exact" w:before="0"/>
                      <w:ind w:left="0" w:right="0" w:firstLine="0"/>
                      <w:jc w:val="center"/>
                      <w:rPr>
                        <w:rFonts w:ascii="Calibri"/>
                        <w:sz w:val="16"/>
                      </w:rPr>
                    </w:pPr>
                    <w:r>
                      <w:rPr>
                        <w:rFonts w:ascii="Calibri"/>
                        <w:sz w:val="16"/>
                      </w:rPr>
                      <w:t>Componentes</w:t>
                    </w:r>
                    <w:r>
                      <w:rPr>
                        <w:rFonts w:ascii="Calibri"/>
                        <w:spacing w:val="-14"/>
                        <w:sz w:val="16"/>
                      </w:rPr>
                      <w:t> </w:t>
                    </w:r>
                    <w:r>
                      <w:rPr>
                        <w:rFonts w:ascii="Calibri"/>
                        <w:sz w:val="16"/>
                      </w:rPr>
                      <w:t>del</w:t>
                    </w:r>
                  </w:p>
                  <w:p>
                    <w:pPr>
                      <w:spacing w:line="192" w:lineRule="exact" w:before="1"/>
                      <w:ind w:left="4" w:right="0" w:firstLine="0"/>
                      <w:jc w:val="center"/>
                      <w:rPr>
                        <w:rFonts w:ascii="Calibri"/>
                        <w:sz w:val="16"/>
                      </w:rPr>
                    </w:pPr>
                    <w:r>
                      <w:rPr>
                        <w:rFonts w:ascii="Calibri"/>
                        <w:sz w:val="16"/>
                      </w:rPr>
                      <w:t>enrutamiento</w:t>
                    </w:r>
                  </w:p>
                </w:txbxContent>
              </v:textbox>
              <w10:wrap type="none"/>
            </v:shape>
            <v:shape style="position:absolute;left:6598;top:5164;width:1937;height:351" type="#_x0000_t202" filled="false" stroked="false">
              <v:textbox inset="0,0,0,0">
                <w:txbxContent>
                  <w:p>
                    <w:pPr>
                      <w:spacing w:line="160" w:lineRule="exact" w:before="0"/>
                      <w:ind w:left="0" w:right="0" w:firstLine="0"/>
                      <w:jc w:val="center"/>
                      <w:rPr>
                        <w:rFonts w:ascii="Calibri"/>
                        <w:sz w:val="16"/>
                      </w:rPr>
                    </w:pPr>
                    <w:r>
                      <w:rPr>
                        <w:rFonts w:ascii="Calibri"/>
                        <w:sz w:val="16"/>
                      </w:rPr>
                      <w:t>Submodelos de</w:t>
                    </w:r>
                    <w:r>
                      <w:rPr>
                        <w:rFonts w:ascii="Calibri"/>
                        <w:spacing w:val="-11"/>
                        <w:sz w:val="16"/>
                      </w:rPr>
                      <w:t> </w:t>
                    </w:r>
                    <w:r>
                      <w:rPr>
                        <w:rFonts w:ascii="Calibri"/>
                        <w:sz w:val="16"/>
                      </w:rPr>
                      <w:t>enrutamiento</w:t>
                    </w:r>
                  </w:p>
                  <w:p>
                    <w:pPr>
                      <w:spacing w:line="190" w:lineRule="exact" w:before="0"/>
                      <w:ind w:left="0" w:right="5" w:firstLine="0"/>
                      <w:jc w:val="center"/>
                      <w:rPr>
                        <w:rFonts w:ascii="Calibri"/>
                        <w:sz w:val="16"/>
                      </w:rPr>
                    </w:pPr>
                    <w:r>
                      <w:rPr>
                        <w:rFonts w:ascii="Calibri"/>
                        <w:sz w:val="16"/>
                      </w:rPr>
                      <w:t>de sedimentos mejorados</w:t>
                    </w:r>
                  </w:p>
                </w:txbxContent>
              </v:textbox>
              <w10:wrap type="none"/>
            </v:shape>
            <v:shape style="position:absolute;left:3059;top:5724;width:1683;height:1015" type="#_x0000_t202" filled="false" stroked="false">
              <v:textbox inset="0,0,0,0">
                <w:txbxContent>
                  <w:p>
                    <w:pPr>
                      <w:numPr>
                        <w:ilvl w:val="0"/>
                        <w:numId w:val="12"/>
                      </w:numPr>
                      <w:tabs>
                        <w:tab w:pos="183" w:val="left" w:leader="none"/>
                      </w:tabs>
                      <w:spacing w:line="173" w:lineRule="exact" w:before="0"/>
                      <w:ind w:left="711" w:right="0" w:hanging="711"/>
                      <w:jc w:val="left"/>
                      <w:rPr>
                        <w:rFonts w:ascii="Calibri"/>
                        <w:sz w:val="16"/>
                      </w:rPr>
                    </w:pPr>
                    <w:r>
                      <w:rPr>
                        <w:rFonts w:ascii="Calibri"/>
                        <w:sz w:val="16"/>
                      </w:rPr>
                      <w:t>Embalses</w:t>
                    </w:r>
                  </w:p>
                  <w:p>
                    <w:pPr>
                      <w:numPr>
                        <w:ilvl w:val="0"/>
                        <w:numId w:val="12"/>
                      </w:numPr>
                      <w:tabs>
                        <w:tab w:pos="188" w:val="left" w:leader="none"/>
                      </w:tabs>
                      <w:spacing w:line="192" w:lineRule="exact" w:before="130"/>
                      <w:ind w:left="711" w:right="0" w:hanging="707"/>
                      <w:jc w:val="left"/>
                      <w:rPr>
                        <w:rFonts w:ascii="Calibri"/>
                        <w:sz w:val="16"/>
                      </w:rPr>
                    </w:pPr>
                    <w:r>
                      <w:rPr>
                        <w:rFonts w:ascii="Calibri"/>
                        <w:w w:val="95"/>
                        <w:sz w:val="16"/>
                      </w:rPr>
                      <w:t>Estanques/humedales/ </w:t>
                    </w:r>
                    <w:r>
                      <w:rPr>
                        <w:rFonts w:ascii="Calibri"/>
                        <w:sz w:val="16"/>
                      </w:rPr>
                      <w:t>baches</w:t>
                    </w:r>
                  </w:p>
                  <w:p>
                    <w:pPr>
                      <w:numPr>
                        <w:ilvl w:val="0"/>
                        <w:numId w:val="12"/>
                      </w:numPr>
                      <w:tabs>
                        <w:tab w:pos="203" w:val="left" w:leader="none"/>
                      </w:tabs>
                      <w:spacing w:line="201" w:lineRule="exact" w:before="127"/>
                      <w:ind w:left="202" w:right="0" w:hanging="178"/>
                      <w:jc w:val="left"/>
                      <w:rPr>
                        <w:rFonts w:ascii="Calibri"/>
                        <w:sz w:val="16"/>
                      </w:rPr>
                    </w:pPr>
                    <w:r>
                      <w:rPr>
                        <w:rFonts w:ascii="Calibri"/>
                        <w:sz w:val="16"/>
                      </w:rPr>
                      <w:t>Fuentes</w:t>
                    </w:r>
                    <w:r>
                      <w:rPr>
                        <w:rFonts w:ascii="Calibri"/>
                        <w:spacing w:val="-12"/>
                        <w:sz w:val="16"/>
                      </w:rPr>
                      <w:t> </w:t>
                    </w:r>
                    <w:r>
                      <w:rPr>
                        <w:rFonts w:ascii="Calibri"/>
                        <w:sz w:val="16"/>
                      </w:rPr>
                      <w:t>puntuales</w:t>
                    </w:r>
                  </w:p>
                </w:txbxContent>
              </v:textbox>
              <w10:wrap type="none"/>
            </v:shape>
            <v:shape style="position:absolute;left:6545;top:5752;width:1979;height:813" type="#_x0000_t202" filled="false" stroked="false">
              <v:textbox inset="0,0,0,0">
                <w:txbxContent>
                  <w:p>
                    <w:pPr>
                      <w:spacing w:line="173" w:lineRule="exact" w:before="0"/>
                      <w:ind w:left="0" w:right="0" w:firstLine="0"/>
                      <w:jc w:val="left"/>
                      <w:rPr>
                        <w:rFonts w:ascii="Calibri" w:hAnsi="Calibri"/>
                        <w:sz w:val="16"/>
                      </w:rPr>
                    </w:pPr>
                    <w:r>
                      <w:rPr>
                        <w:rFonts w:ascii="Symbol" w:hAnsi="Symbol"/>
                        <w:sz w:val="16"/>
                      </w:rPr>
                      <w:t></w:t>
                    </w:r>
                    <w:r>
                      <w:rPr>
                        <w:rFonts w:ascii="Calibri" w:hAnsi="Calibri"/>
                        <w:sz w:val="16"/>
                      </w:rPr>
                      <w:t>Rutinas de enrutamiento del</w:t>
                    </w:r>
                  </w:p>
                  <w:p>
                    <w:pPr>
                      <w:spacing w:line="266" w:lineRule="auto" w:before="16"/>
                      <w:ind w:left="62" w:right="0" w:hanging="2"/>
                      <w:jc w:val="center"/>
                      <w:rPr>
                        <w:rFonts w:ascii="Calibri"/>
                        <w:sz w:val="16"/>
                      </w:rPr>
                    </w:pPr>
                    <w:r>
                      <w:rPr>
                        <w:rFonts w:ascii="Calibri"/>
                        <w:sz w:val="16"/>
                      </w:rPr>
                      <w:t>canal de vapor basados en cuatro diferentes modelos</w:t>
                    </w:r>
                    <w:r>
                      <w:rPr>
                        <w:rFonts w:ascii="Calibri"/>
                        <w:spacing w:val="-13"/>
                        <w:sz w:val="16"/>
                      </w:rPr>
                      <w:t> </w:t>
                    </w:r>
                    <w:r>
                      <w:rPr>
                        <w:rFonts w:ascii="Calibri"/>
                        <w:sz w:val="16"/>
                      </w:rPr>
                      <w:t>de enrutamiento</w:t>
                    </w:r>
                  </w:p>
                </w:txbxContent>
              </v:textbox>
              <w10:wrap type="none"/>
            </v:shape>
          </v:group>
        </w:pict>
      </w:r>
      <w:r>
        <w:rPr>
          <w:sz w:val="20"/>
        </w:rPr>
      </w:r>
    </w:p>
    <w:p>
      <w:pPr>
        <w:spacing w:line="245" w:lineRule="exact" w:before="0"/>
        <w:ind w:left="538" w:right="730" w:firstLine="0"/>
        <w:jc w:val="center"/>
        <w:rPr>
          <w:sz w:val="22"/>
        </w:rPr>
      </w:pPr>
      <w:r>
        <w:rPr>
          <w:sz w:val="22"/>
        </w:rPr>
        <w:t>Fuente: Uribe, (2010)</w:t>
      </w:r>
    </w:p>
    <w:p>
      <w:pPr>
        <w:pStyle w:val="Heading1"/>
        <w:spacing w:line="298" w:lineRule="exact"/>
        <w:ind w:left="538" w:right="738"/>
        <w:jc w:val="center"/>
      </w:pPr>
      <w:bookmarkStart w:name="_bookmark34" w:id="50"/>
      <w:bookmarkEnd w:id="50"/>
      <w:r>
        <w:rPr>
          <w:b w:val="0"/>
        </w:rPr>
      </w:r>
      <w:r>
        <w:rPr/>
        <w:t>Figura 10. Esquema del desarrollo histórico del SWAT y modelos adoptados.</w:t>
      </w:r>
    </w:p>
    <w:p>
      <w:pPr>
        <w:pStyle w:val="BodyText"/>
        <w:rPr>
          <w:b/>
        </w:rPr>
      </w:pPr>
    </w:p>
    <w:p>
      <w:pPr>
        <w:pStyle w:val="BodyText"/>
        <w:spacing w:before="7"/>
        <w:rPr>
          <w:b/>
          <w:sz w:val="30"/>
        </w:rPr>
      </w:pPr>
    </w:p>
    <w:p>
      <w:pPr>
        <w:pStyle w:val="BodyText"/>
        <w:spacing w:line="360" w:lineRule="auto"/>
        <w:ind w:left="116" w:right="310"/>
        <w:jc w:val="both"/>
      </w:pPr>
      <w:r>
        <w:rPr>
          <w:spacing w:val="-3"/>
        </w:rPr>
        <w:t>La </w:t>
      </w:r>
      <w:r>
        <w:rPr/>
        <w:t>simulación de la hidrología de la cuenca puede separarse en dos grandes divisiones: la primera división es la fase terrestre del ciclo hidrológico, que controla la cantidad de</w:t>
      </w:r>
      <w:r>
        <w:rPr>
          <w:spacing w:val="-17"/>
        </w:rPr>
        <w:t> </w:t>
      </w:r>
      <w:r>
        <w:rPr/>
        <w:t>agua, sedimento</w:t>
      </w:r>
      <w:r>
        <w:rPr>
          <w:spacing w:val="-6"/>
        </w:rPr>
        <w:t> </w:t>
      </w:r>
      <w:r>
        <w:rPr/>
        <w:t>y</w:t>
      </w:r>
      <w:r>
        <w:rPr>
          <w:spacing w:val="-6"/>
        </w:rPr>
        <w:t> </w:t>
      </w:r>
      <w:r>
        <w:rPr/>
        <w:t>pesticidas</w:t>
      </w:r>
      <w:r>
        <w:rPr>
          <w:spacing w:val="-6"/>
        </w:rPr>
        <w:t> </w:t>
      </w:r>
      <w:r>
        <w:rPr/>
        <w:t>transportados</w:t>
      </w:r>
      <w:r>
        <w:rPr>
          <w:spacing w:val="-6"/>
        </w:rPr>
        <w:t> </w:t>
      </w:r>
      <w:r>
        <w:rPr/>
        <w:t>al</w:t>
      </w:r>
      <w:r>
        <w:rPr>
          <w:spacing w:val="-11"/>
        </w:rPr>
        <w:t> </w:t>
      </w:r>
      <w:r>
        <w:rPr/>
        <w:t>canal</w:t>
      </w:r>
      <w:r>
        <w:rPr>
          <w:spacing w:val="-6"/>
        </w:rPr>
        <w:t> </w:t>
      </w:r>
      <w:r>
        <w:rPr/>
        <w:t>principal</w:t>
      </w:r>
      <w:r>
        <w:rPr>
          <w:spacing w:val="-6"/>
        </w:rPr>
        <w:t> </w:t>
      </w:r>
      <w:r>
        <w:rPr/>
        <w:t>por</w:t>
      </w:r>
      <w:r>
        <w:rPr>
          <w:spacing w:val="-6"/>
        </w:rPr>
        <w:t> </w:t>
      </w:r>
      <w:r>
        <w:rPr/>
        <w:t>cada</w:t>
      </w:r>
      <w:r>
        <w:rPr>
          <w:spacing w:val="-6"/>
        </w:rPr>
        <w:t> </w:t>
      </w:r>
      <w:r>
        <w:rPr/>
        <w:t>subcuenca</w:t>
      </w:r>
      <w:r>
        <w:rPr>
          <w:spacing w:val="-10"/>
        </w:rPr>
        <w:t> </w:t>
      </w:r>
      <w:r>
        <w:rPr/>
        <w:t>y,</w:t>
      </w:r>
      <w:r>
        <w:rPr>
          <w:spacing w:val="-8"/>
        </w:rPr>
        <w:t> </w:t>
      </w:r>
      <w:r>
        <w:rPr/>
        <w:t>la</w:t>
      </w:r>
      <w:r>
        <w:rPr>
          <w:spacing w:val="-6"/>
        </w:rPr>
        <w:t> </w:t>
      </w:r>
      <w:r>
        <w:rPr/>
        <w:t>segunda</w:t>
      </w:r>
      <w:r>
        <w:rPr>
          <w:spacing w:val="-6"/>
        </w:rPr>
        <w:t> </w:t>
      </w:r>
      <w:r>
        <w:rPr/>
        <w:t>es la del agua o la fase de tránsito, la cual puede definirse como el movimiento del agua, sedimentos, etc, a través de la red del canal hasta el sitio de descarga de la cuenca (Bonini y otros,</w:t>
      </w:r>
      <w:r>
        <w:rPr>
          <w:spacing w:val="1"/>
        </w:rPr>
        <w:t> </w:t>
      </w:r>
      <w:r>
        <w:rPr/>
        <w:t>2003).</w:t>
      </w:r>
    </w:p>
    <w:p>
      <w:pPr>
        <w:spacing w:after="0" w:line="360" w:lineRule="auto"/>
        <w:jc w:val="both"/>
        <w:sectPr>
          <w:pgSz w:w="12240" w:h="15840"/>
          <w:pgMar w:header="0" w:footer="1473" w:top="1360" w:bottom="1660" w:left="1300" w:right="1100"/>
        </w:sectPr>
      </w:pPr>
    </w:p>
    <w:p>
      <w:pPr>
        <w:pStyle w:val="BodyText"/>
        <w:spacing w:line="360" w:lineRule="auto" w:before="49"/>
        <w:ind w:left="116" w:right="116"/>
        <w:jc w:val="both"/>
      </w:pPr>
      <w:r>
        <w:rPr/>
        <w:t>Las</w:t>
      </w:r>
      <w:r>
        <w:rPr>
          <w:spacing w:val="-12"/>
        </w:rPr>
        <w:t> </w:t>
      </w:r>
      <w:r>
        <w:rPr/>
        <w:t>rutinas</w:t>
      </w:r>
      <w:r>
        <w:rPr>
          <w:spacing w:val="-12"/>
        </w:rPr>
        <w:t> </w:t>
      </w:r>
      <w:r>
        <w:rPr/>
        <w:t>hidrológicas</w:t>
      </w:r>
      <w:r>
        <w:rPr>
          <w:spacing w:val="-12"/>
        </w:rPr>
        <w:t> </w:t>
      </w:r>
      <w:r>
        <w:rPr/>
        <w:t>dentro</w:t>
      </w:r>
      <w:r>
        <w:rPr>
          <w:spacing w:val="-12"/>
        </w:rPr>
        <w:t> </w:t>
      </w:r>
      <w:r>
        <w:rPr/>
        <w:t>de</w:t>
      </w:r>
      <w:r>
        <w:rPr>
          <w:spacing w:val="-17"/>
        </w:rPr>
        <w:t> </w:t>
      </w:r>
      <w:r>
        <w:rPr/>
        <w:t>SWAT</w:t>
      </w:r>
      <w:r>
        <w:rPr>
          <w:spacing w:val="-12"/>
        </w:rPr>
        <w:t> </w:t>
      </w:r>
      <w:r>
        <w:rPr/>
        <w:t>permiten</w:t>
      </w:r>
      <w:r>
        <w:rPr>
          <w:spacing w:val="-11"/>
        </w:rPr>
        <w:t> </w:t>
      </w:r>
      <w:r>
        <w:rPr/>
        <w:t>simular</w:t>
      </w:r>
      <w:r>
        <w:rPr>
          <w:spacing w:val="-12"/>
        </w:rPr>
        <w:t> </w:t>
      </w:r>
      <w:r>
        <w:rPr/>
        <w:t>los</w:t>
      </w:r>
      <w:r>
        <w:rPr>
          <w:spacing w:val="-12"/>
        </w:rPr>
        <w:t> </w:t>
      </w:r>
      <w:r>
        <w:rPr/>
        <w:t>procesos</w:t>
      </w:r>
      <w:r>
        <w:rPr>
          <w:spacing w:val="-12"/>
        </w:rPr>
        <w:t> </w:t>
      </w:r>
      <w:r>
        <w:rPr/>
        <w:t>de</w:t>
      </w:r>
      <w:r>
        <w:rPr>
          <w:spacing w:val="-17"/>
        </w:rPr>
        <w:t> </w:t>
      </w:r>
      <w:r>
        <w:rPr/>
        <w:t>flujo</w:t>
      </w:r>
      <w:r>
        <w:rPr>
          <w:spacing w:val="-17"/>
        </w:rPr>
        <w:t> </w:t>
      </w:r>
      <w:r>
        <w:rPr/>
        <w:t>superficial y del subsuelo, la infiltración, la evaporación y evapotranspiración de las plantas, el flujo lateral, percolación y producción de sedimentos. Estas rutinas se aplican a todas las subcuencas</w:t>
      </w:r>
      <w:r>
        <w:rPr>
          <w:spacing w:val="-6"/>
        </w:rPr>
        <w:t> </w:t>
      </w:r>
      <w:r>
        <w:rPr/>
        <w:t>generadas</w:t>
      </w:r>
      <w:r>
        <w:rPr>
          <w:spacing w:val="-6"/>
        </w:rPr>
        <w:t> </w:t>
      </w:r>
      <w:r>
        <w:rPr/>
        <w:t>por</w:t>
      </w:r>
      <w:r>
        <w:rPr>
          <w:spacing w:val="-6"/>
        </w:rPr>
        <w:t> </w:t>
      </w:r>
      <w:r>
        <w:rPr/>
        <w:t>el</w:t>
      </w:r>
      <w:r>
        <w:rPr>
          <w:spacing w:val="-6"/>
        </w:rPr>
        <w:t> </w:t>
      </w:r>
      <w:r>
        <w:rPr/>
        <w:t>modelo,</w:t>
      </w:r>
      <w:r>
        <w:rPr>
          <w:spacing w:val="-4"/>
        </w:rPr>
        <w:t> </w:t>
      </w:r>
      <w:r>
        <w:rPr/>
        <w:t>permitiendo</w:t>
      </w:r>
      <w:r>
        <w:rPr>
          <w:spacing w:val="-6"/>
        </w:rPr>
        <w:t> </w:t>
      </w:r>
      <w:r>
        <w:rPr/>
        <w:t>que</w:t>
      </w:r>
      <w:r>
        <w:rPr>
          <w:spacing w:val="-6"/>
        </w:rPr>
        <w:t> </w:t>
      </w:r>
      <w:r>
        <w:rPr/>
        <w:t>las</w:t>
      </w:r>
      <w:r>
        <w:rPr>
          <w:spacing w:val="-10"/>
        </w:rPr>
        <w:t> </w:t>
      </w:r>
      <w:r>
        <w:rPr/>
        <w:t>diferencias</w:t>
      </w:r>
      <w:r>
        <w:rPr>
          <w:spacing w:val="-6"/>
        </w:rPr>
        <w:t> </w:t>
      </w:r>
      <w:r>
        <w:rPr/>
        <w:t>en</w:t>
      </w:r>
      <w:r>
        <w:rPr>
          <w:spacing w:val="-10"/>
        </w:rPr>
        <w:t> </w:t>
      </w:r>
      <w:r>
        <w:rPr/>
        <w:t>sus</w:t>
      </w:r>
      <w:r>
        <w:rPr>
          <w:spacing w:val="-10"/>
        </w:rPr>
        <w:t> </w:t>
      </w:r>
      <w:r>
        <w:rPr/>
        <w:t>características hidrológicas sean consideradas de forma independiente (Minoti,</w:t>
      </w:r>
      <w:r>
        <w:rPr>
          <w:spacing w:val="-8"/>
        </w:rPr>
        <w:t> </w:t>
      </w:r>
      <w:r>
        <w:rPr/>
        <w:t>2006).</w:t>
      </w:r>
    </w:p>
    <w:p>
      <w:pPr>
        <w:pStyle w:val="BodyText"/>
      </w:pPr>
    </w:p>
    <w:p>
      <w:pPr>
        <w:pStyle w:val="Heading1"/>
        <w:numPr>
          <w:ilvl w:val="3"/>
          <w:numId w:val="10"/>
        </w:numPr>
        <w:tabs>
          <w:tab w:pos="900" w:val="left" w:leader="none"/>
        </w:tabs>
        <w:spacing w:line="240" w:lineRule="auto" w:before="161" w:after="0"/>
        <w:ind w:left="899" w:right="0" w:hanging="783"/>
        <w:jc w:val="both"/>
      </w:pPr>
      <w:r>
        <w:rPr/>
        <w:t>Fase terrestre del ciclo</w:t>
      </w:r>
      <w:r>
        <w:rPr>
          <w:spacing w:val="-14"/>
        </w:rPr>
        <w:t> </w:t>
      </w:r>
      <w:r>
        <w:rPr/>
        <w:t>hidrológico</w:t>
      </w:r>
    </w:p>
    <w:p>
      <w:pPr>
        <w:pStyle w:val="BodyText"/>
        <w:spacing w:before="8"/>
        <w:rPr>
          <w:b/>
          <w:sz w:val="38"/>
        </w:rPr>
      </w:pPr>
    </w:p>
    <w:p>
      <w:pPr>
        <w:pStyle w:val="BodyText"/>
        <w:spacing w:line="360" w:lineRule="auto"/>
        <w:ind w:left="116" w:right="111"/>
        <w:jc w:val="both"/>
      </w:pPr>
      <w:r>
        <w:rPr/>
        <w:t>Uno de los componentes del modelo SWAT corresponde a la simulación de todos los procesos que constituyen el ciclo hidrológico, lo cual permite realizar un balance hídrico en toda la cuenca; este ciclo controla la cantidad de agua y sedimentos que fluyen a través de las microcuencas hacia las redes de drenaje, dicho proceso se observa en la Figura 11.</w:t>
      </w:r>
    </w:p>
    <w:p>
      <w:pPr>
        <w:pStyle w:val="BodyText"/>
      </w:pPr>
    </w:p>
    <w:p>
      <w:pPr>
        <w:pStyle w:val="BodyText"/>
        <w:spacing w:line="360" w:lineRule="auto" w:before="155" w:after="8"/>
        <w:ind w:left="116" w:right="111"/>
        <w:jc w:val="both"/>
      </w:pPr>
      <w:r>
        <w:rPr/>
        <w:t>Oñate</w:t>
      </w:r>
      <w:r>
        <w:rPr>
          <w:spacing w:val="-7"/>
        </w:rPr>
        <w:t> </w:t>
      </w:r>
      <w:r>
        <w:rPr/>
        <w:t>y</w:t>
      </w:r>
      <w:r>
        <w:rPr>
          <w:spacing w:val="-7"/>
        </w:rPr>
        <w:t> </w:t>
      </w:r>
      <w:r>
        <w:rPr/>
        <w:t>Aguilar</w:t>
      </w:r>
      <w:r>
        <w:rPr>
          <w:spacing w:val="-7"/>
        </w:rPr>
        <w:t> </w:t>
      </w:r>
      <w:r>
        <w:rPr/>
        <w:t>(2003)</w:t>
      </w:r>
      <w:r>
        <w:rPr>
          <w:spacing w:val="-7"/>
        </w:rPr>
        <w:t> </w:t>
      </w:r>
      <w:r>
        <w:rPr/>
        <w:t>afirman</w:t>
      </w:r>
      <w:r>
        <w:rPr>
          <w:spacing w:val="-5"/>
        </w:rPr>
        <w:t> </w:t>
      </w:r>
      <w:r>
        <w:rPr/>
        <w:t>que</w:t>
      </w:r>
      <w:r>
        <w:rPr>
          <w:spacing w:val="-7"/>
        </w:rPr>
        <w:t> </w:t>
      </w:r>
      <w:r>
        <w:rPr/>
        <w:t>el</w:t>
      </w:r>
      <w:r>
        <w:rPr>
          <w:spacing w:val="-7"/>
        </w:rPr>
        <w:t> </w:t>
      </w:r>
      <w:r>
        <w:rPr/>
        <w:t>éxito</w:t>
      </w:r>
      <w:r>
        <w:rPr>
          <w:spacing w:val="-11"/>
        </w:rPr>
        <w:t> </w:t>
      </w:r>
      <w:r>
        <w:rPr/>
        <w:t>de</w:t>
      </w:r>
      <w:r>
        <w:rPr>
          <w:spacing w:val="-16"/>
        </w:rPr>
        <w:t> </w:t>
      </w:r>
      <w:r>
        <w:rPr/>
        <w:t>la</w:t>
      </w:r>
      <w:r>
        <w:rPr>
          <w:spacing w:val="-7"/>
        </w:rPr>
        <w:t> </w:t>
      </w:r>
      <w:r>
        <w:rPr/>
        <w:t>simulación</w:t>
      </w:r>
      <w:r>
        <w:rPr>
          <w:spacing w:val="-7"/>
        </w:rPr>
        <w:t> </w:t>
      </w:r>
      <w:r>
        <w:rPr/>
        <w:t>radica</w:t>
      </w:r>
      <w:r>
        <w:rPr>
          <w:spacing w:val="-7"/>
        </w:rPr>
        <w:t> </w:t>
      </w:r>
      <w:r>
        <w:rPr/>
        <w:t>en</w:t>
      </w:r>
      <w:r>
        <w:rPr>
          <w:spacing w:val="-7"/>
        </w:rPr>
        <w:t> </w:t>
      </w:r>
      <w:r>
        <w:rPr/>
        <w:t>la</w:t>
      </w:r>
      <w:r>
        <w:rPr>
          <w:spacing w:val="-11"/>
        </w:rPr>
        <w:t> </w:t>
      </w:r>
      <w:r>
        <w:rPr/>
        <w:t>representación</w:t>
      </w:r>
      <w:r>
        <w:rPr>
          <w:spacing w:val="-6"/>
        </w:rPr>
        <w:t> </w:t>
      </w:r>
      <w:r>
        <w:rPr/>
        <w:t>de los fenómenos involucrados en el ciclo hidrológico, de la manera más detallada y precisa posible, por lo que el SWAT para los cálculos considera los siguientes</w:t>
      </w:r>
      <w:r>
        <w:rPr>
          <w:spacing w:val="-18"/>
        </w:rPr>
        <w:t> </w:t>
      </w:r>
      <w:r>
        <w:rPr/>
        <w:t>aspectos:</w:t>
      </w:r>
    </w:p>
    <w:p>
      <w:pPr>
        <w:pStyle w:val="BodyText"/>
        <w:ind w:left="1642"/>
        <w:rPr>
          <w:sz w:val="20"/>
        </w:rPr>
      </w:pPr>
      <w:r>
        <w:rPr>
          <w:sz w:val="20"/>
        </w:rPr>
        <w:pict>
          <v:group style="width:317.8pt;height:244.1pt;mso-position-horizontal-relative:char;mso-position-vertical-relative:line" coordorigin="0,0" coordsize="6356,4882">
            <v:shape style="position:absolute;left:29;top:29;width:6298;height:4824" type="#_x0000_t75" stroked="false">
              <v:imagedata r:id="rId59" o:title=""/>
            </v:shape>
            <v:rect style="position:absolute;left:15;top:15;width:6326;height:4853" filled="false" stroked="true" strokeweight="1.44pt" strokecolor="#000000"/>
          </v:group>
        </w:pict>
      </w:r>
      <w:r>
        <w:rPr>
          <w:sz w:val="20"/>
        </w:rPr>
      </w:r>
    </w:p>
    <w:p>
      <w:pPr>
        <w:spacing w:before="106"/>
        <w:ind w:left="255" w:right="254" w:firstLine="0"/>
        <w:jc w:val="center"/>
        <w:rPr>
          <w:sz w:val="22"/>
        </w:rPr>
      </w:pPr>
      <w:r>
        <w:rPr>
          <w:sz w:val="22"/>
        </w:rPr>
        <w:t>Fuente: Neitsch y otros, 2005</w:t>
      </w:r>
    </w:p>
    <w:p>
      <w:pPr>
        <w:pStyle w:val="Heading1"/>
        <w:spacing w:before="2"/>
        <w:ind w:left="255" w:right="255"/>
        <w:jc w:val="center"/>
      </w:pPr>
      <w:bookmarkStart w:name="_bookmark35" w:id="51"/>
      <w:bookmarkEnd w:id="51"/>
      <w:r>
        <w:rPr>
          <w:b w:val="0"/>
        </w:rPr>
      </w:r>
      <w:r>
        <w:rPr/>
        <w:t>Figura 11. Fase terrestre del ciclo hidrológico.</w:t>
      </w:r>
    </w:p>
    <w:p>
      <w:pPr>
        <w:spacing w:after="0"/>
        <w:jc w:val="center"/>
        <w:sectPr>
          <w:pgSz w:w="12240" w:h="15840"/>
          <w:pgMar w:header="0" w:footer="1473" w:top="1360" w:bottom="1660" w:left="1300" w:right="1300"/>
        </w:sectPr>
      </w:pPr>
    </w:p>
    <w:p>
      <w:pPr>
        <w:pStyle w:val="ListParagraph"/>
        <w:numPr>
          <w:ilvl w:val="4"/>
          <w:numId w:val="10"/>
        </w:numPr>
        <w:tabs>
          <w:tab w:pos="837" w:val="left" w:leader="none"/>
        </w:tabs>
        <w:spacing w:line="240" w:lineRule="auto" w:before="53" w:after="0"/>
        <w:ind w:left="837" w:right="0" w:hanging="361"/>
        <w:jc w:val="left"/>
        <w:rPr>
          <w:b/>
          <w:sz w:val="26"/>
        </w:rPr>
      </w:pPr>
      <w:r>
        <w:rPr>
          <w:b/>
          <w:sz w:val="26"/>
        </w:rPr>
        <w:t>Balance</w:t>
      </w:r>
      <w:r>
        <w:rPr>
          <w:b/>
          <w:spacing w:val="-8"/>
          <w:sz w:val="26"/>
        </w:rPr>
        <w:t> </w:t>
      </w:r>
      <w:r>
        <w:rPr>
          <w:b/>
          <w:sz w:val="26"/>
        </w:rPr>
        <w:t>hídrico</w:t>
      </w:r>
    </w:p>
    <w:p>
      <w:pPr>
        <w:pStyle w:val="BodyText"/>
        <w:rPr>
          <w:b/>
        </w:rPr>
      </w:pPr>
    </w:p>
    <w:p>
      <w:pPr>
        <w:pStyle w:val="BodyText"/>
        <w:spacing w:before="7"/>
        <w:rPr>
          <w:b/>
          <w:sz w:val="25"/>
        </w:rPr>
      </w:pPr>
    </w:p>
    <w:p>
      <w:pPr>
        <w:pStyle w:val="BodyText"/>
        <w:spacing w:line="362" w:lineRule="auto" w:before="1"/>
        <w:ind w:left="116" w:right="118"/>
      </w:pPr>
      <w:r>
        <w:rPr/>
        <w:t>La hidrología del modelo se basa en el criterio de que el agua entra, sale y se almacena como lo describe la ecuación 1:</w:t>
      </w:r>
    </w:p>
    <w:p>
      <w:pPr>
        <w:pStyle w:val="BodyText"/>
        <w:rPr>
          <w:sz w:val="20"/>
        </w:rPr>
      </w:pPr>
    </w:p>
    <w:p>
      <w:pPr>
        <w:spacing w:after="0"/>
        <w:rPr>
          <w:sz w:val="20"/>
        </w:rPr>
        <w:sectPr>
          <w:pgSz w:w="12240" w:h="15840"/>
          <w:pgMar w:header="0" w:footer="1473" w:top="1360" w:bottom="1660" w:left="1300" w:right="1300"/>
        </w:sectPr>
      </w:pPr>
    </w:p>
    <w:p>
      <w:pPr>
        <w:pStyle w:val="BodyText"/>
      </w:pPr>
    </w:p>
    <w:p>
      <w:pPr>
        <w:pStyle w:val="BodyText"/>
      </w:pPr>
    </w:p>
    <w:p>
      <w:pPr>
        <w:pStyle w:val="BodyText"/>
      </w:pPr>
    </w:p>
    <w:p>
      <w:pPr>
        <w:pStyle w:val="BodyText"/>
        <w:spacing w:before="194"/>
        <w:ind w:left="116"/>
      </w:pPr>
      <w:r>
        <w:rPr>
          <w:w w:val="95"/>
        </w:rPr>
        <w:t>Donde:</w:t>
      </w:r>
    </w:p>
    <w:p>
      <w:pPr>
        <w:pStyle w:val="BodyText"/>
        <w:spacing w:before="11"/>
        <w:rPr>
          <w:sz w:val="35"/>
        </w:rPr>
      </w:pPr>
      <w:r>
        <w:rPr/>
        <w:br w:type="column"/>
      </w:r>
      <w:r>
        <w:rPr>
          <w:sz w:val="35"/>
        </w:rPr>
      </w:r>
    </w:p>
    <w:p>
      <w:pPr>
        <w:spacing w:before="0"/>
        <w:ind w:left="116" w:right="-3" w:firstLine="0"/>
        <w:jc w:val="left"/>
        <w:rPr>
          <w:i/>
          <w:sz w:val="15"/>
        </w:rPr>
      </w:pPr>
      <w:r>
        <w:rPr>
          <w:i/>
          <w:spacing w:val="-8"/>
          <w:w w:val="95"/>
          <w:sz w:val="26"/>
        </w:rPr>
        <w:t>SW</w:t>
      </w:r>
      <w:r>
        <w:rPr>
          <w:i/>
          <w:spacing w:val="-8"/>
          <w:w w:val="95"/>
          <w:position w:val="-5"/>
          <w:sz w:val="15"/>
        </w:rPr>
        <w:t>t</w:t>
      </w:r>
    </w:p>
    <w:p>
      <w:pPr>
        <w:pStyle w:val="BodyText"/>
        <w:rPr>
          <w:i/>
          <w:sz w:val="14"/>
        </w:rPr>
      </w:pPr>
      <w:r>
        <w:rPr/>
        <w:br w:type="column"/>
      </w:r>
      <w:r>
        <w:rPr>
          <w:i/>
          <w:sz w:val="14"/>
        </w:rPr>
      </w:r>
    </w:p>
    <w:p>
      <w:pPr>
        <w:spacing w:line="107" w:lineRule="exact" w:before="96"/>
        <w:ind w:left="989" w:right="0" w:firstLine="0"/>
        <w:jc w:val="left"/>
        <w:rPr>
          <w:i/>
          <w:sz w:val="15"/>
        </w:rPr>
      </w:pPr>
      <w:r>
        <w:rPr>
          <w:i/>
          <w:w w:val="99"/>
          <w:sz w:val="15"/>
        </w:rPr>
        <w:t>t</w:t>
      </w:r>
    </w:p>
    <w:p>
      <w:pPr>
        <w:spacing w:line="409" w:lineRule="exact" w:before="0"/>
        <w:ind w:left="116" w:right="0" w:firstLine="0"/>
        <w:jc w:val="left"/>
        <w:rPr>
          <w:sz w:val="26"/>
        </w:rPr>
      </w:pPr>
      <w:r>
        <w:rPr>
          <w:rFonts w:ascii="Symbol" w:hAnsi="Symbol"/>
          <w:w w:val="98"/>
          <w:position w:val="1"/>
          <w:sz w:val="26"/>
        </w:rPr>
        <w:t></w:t>
      </w:r>
      <w:r>
        <w:rPr>
          <w:spacing w:val="8"/>
          <w:position w:val="1"/>
          <w:sz w:val="26"/>
        </w:rPr>
        <w:t> </w:t>
      </w:r>
      <w:r>
        <w:rPr>
          <w:i/>
          <w:spacing w:val="-6"/>
          <w:w w:val="98"/>
          <w:position w:val="1"/>
          <w:sz w:val="26"/>
        </w:rPr>
        <w:t>S</w:t>
      </w:r>
      <w:r>
        <w:rPr>
          <w:i/>
          <w:w w:val="98"/>
          <w:position w:val="1"/>
          <w:sz w:val="26"/>
        </w:rPr>
        <w:t>W</w:t>
      </w:r>
      <w:r>
        <w:rPr>
          <w:i/>
          <w:spacing w:val="-13"/>
          <w:position w:val="1"/>
          <w:sz w:val="26"/>
        </w:rPr>
        <w:t> </w:t>
      </w:r>
      <w:r>
        <w:rPr>
          <w:rFonts w:ascii="Symbol" w:hAnsi="Symbol"/>
          <w:spacing w:val="26"/>
          <w:w w:val="98"/>
          <w:position w:val="1"/>
          <w:sz w:val="26"/>
        </w:rPr>
        <w:t></w:t>
      </w:r>
      <w:r>
        <w:rPr>
          <w:rFonts w:ascii="Symbol" w:hAnsi="Symbol"/>
          <w:spacing w:val="11"/>
          <w:w w:val="98"/>
          <w:position w:val="-3"/>
          <w:sz w:val="39"/>
        </w:rPr>
        <w:t></w:t>
      </w:r>
      <w:r>
        <w:rPr>
          <w:rFonts w:ascii="Symbol" w:hAnsi="Symbol"/>
          <w:spacing w:val="-2"/>
          <w:w w:val="72"/>
          <w:position w:val="2"/>
          <w:sz w:val="35"/>
        </w:rPr>
        <w:t></w:t>
      </w:r>
      <w:r>
        <w:rPr>
          <w:i/>
          <w:spacing w:val="-10"/>
          <w:w w:val="98"/>
          <w:position w:val="1"/>
          <w:sz w:val="26"/>
        </w:rPr>
        <w:t>R</w:t>
      </w:r>
      <w:r>
        <w:rPr>
          <w:i/>
          <w:w w:val="99"/>
          <w:position w:val="-4"/>
          <w:sz w:val="15"/>
        </w:rPr>
        <w:t>i</w:t>
      </w:r>
      <w:r>
        <w:rPr>
          <w:i/>
          <w:position w:val="-4"/>
          <w:sz w:val="15"/>
        </w:rPr>
        <w:t> </w:t>
      </w:r>
      <w:r>
        <w:rPr>
          <w:i/>
          <w:spacing w:val="-9"/>
          <w:position w:val="-4"/>
          <w:sz w:val="15"/>
        </w:rPr>
        <w:t> </w:t>
      </w:r>
      <w:r>
        <w:rPr>
          <w:rFonts w:ascii="Symbol" w:hAnsi="Symbol"/>
          <w:spacing w:val="17"/>
          <w:w w:val="98"/>
          <w:position w:val="1"/>
          <w:sz w:val="26"/>
        </w:rPr>
        <w:t></w:t>
      </w:r>
      <w:r>
        <w:rPr>
          <w:i/>
          <w:spacing w:val="-12"/>
          <w:w w:val="98"/>
          <w:position w:val="1"/>
          <w:sz w:val="26"/>
        </w:rPr>
        <w:t>Q</w:t>
      </w:r>
      <w:r>
        <w:rPr>
          <w:i/>
          <w:w w:val="99"/>
          <w:position w:val="-4"/>
          <w:sz w:val="15"/>
        </w:rPr>
        <w:t>i</w:t>
      </w:r>
      <w:r>
        <w:rPr>
          <w:i/>
          <w:position w:val="-4"/>
          <w:sz w:val="15"/>
        </w:rPr>
        <w:t> </w:t>
      </w:r>
      <w:r>
        <w:rPr>
          <w:i/>
          <w:spacing w:val="-9"/>
          <w:position w:val="-4"/>
          <w:sz w:val="15"/>
        </w:rPr>
        <w:t> </w:t>
      </w:r>
      <w:r>
        <w:rPr>
          <w:rFonts w:ascii="Symbol" w:hAnsi="Symbol"/>
          <w:w w:val="98"/>
          <w:position w:val="1"/>
          <w:sz w:val="26"/>
        </w:rPr>
        <w:t></w:t>
      </w:r>
      <w:r>
        <w:rPr>
          <w:spacing w:val="-33"/>
          <w:position w:val="1"/>
          <w:sz w:val="26"/>
        </w:rPr>
        <w:t> </w:t>
      </w:r>
      <w:r>
        <w:rPr>
          <w:i/>
          <w:spacing w:val="-3"/>
          <w:w w:val="98"/>
          <w:position w:val="1"/>
          <w:sz w:val="26"/>
        </w:rPr>
        <w:t>E</w:t>
      </w:r>
      <w:r>
        <w:rPr>
          <w:i/>
          <w:spacing w:val="-22"/>
          <w:w w:val="98"/>
          <w:position w:val="1"/>
          <w:sz w:val="26"/>
        </w:rPr>
        <w:t>T</w:t>
      </w:r>
      <w:r>
        <w:rPr>
          <w:i/>
          <w:w w:val="99"/>
          <w:position w:val="-4"/>
          <w:sz w:val="15"/>
        </w:rPr>
        <w:t>i</w:t>
      </w:r>
      <w:r>
        <w:rPr>
          <w:i/>
          <w:position w:val="-4"/>
          <w:sz w:val="15"/>
        </w:rPr>
        <w:t> </w:t>
      </w:r>
      <w:r>
        <w:rPr>
          <w:i/>
          <w:spacing w:val="-9"/>
          <w:position w:val="-4"/>
          <w:sz w:val="15"/>
        </w:rPr>
        <w:t> </w:t>
      </w:r>
      <w:r>
        <w:rPr>
          <w:rFonts w:ascii="Symbol" w:hAnsi="Symbol"/>
          <w:w w:val="98"/>
          <w:position w:val="1"/>
          <w:sz w:val="26"/>
        </w:rPr>
        <w:t></w:t>
      </w:r>
      <w:r>
        <w:rPr>
          <w:spacing w:val="-18"/>
          <w:position w:val="1"/>
          <w:sz w:val="26"/>
        </w:rPr>
        <w:t> </w:t>
      </w:r>
      <w:r>
        <w:rPr>
          <w:i/>
          <w:spacing w:val="-41"/>
          <w:w w:val="98"/>
          <w:position w:val="1"/>
          <w:sz w:val="26"/>
        </w:rPr>
        <w:t>P</w:t>
      </w:r>
      <w:r>
        <w:rPr>
          <w:i/>
          <w:w w:val="99"/>
          <w:position w:val="-4"/>
          <w:sz w:val="15"/>
        </w:rPr>
        <w:t>i</w:t>
      </w:r>
      <w:r>
        <w:rPr>
          <w:i/>
          <w:position w:val="-4"/>
          <w:sz w:val="15"/>
        </w:rPr>
        <w:t> </w:t>
      </w:r>
      <w:r>
        <w:rPr>
          <w:i/>
          <w:spacing w:val="-8"/>
          <w:position w:val="-4"/>
          <w:sz w:val="15"/>
        </w:rPr>
        <w:t> </w:t>
      </w:r>
      <w:r>
        <w:rPr>
          <w:rFonts w:ascii="Symbol" w:hAnsi="Symbol"/>
          <w:spacing w:val="17"/>
          <w:w w:val="98"/>
          <w:position w:val="1"/>
          <w:sz w:val="26"/>
        </w:rPr>
        <w:t></w:t>
      </w:r>
      <w:r>
        <w:rPr>
          <w:i/>
          <w:spacing w:val="-16"/>
          <w:w w:val="98"/>
          <w:position w:val="1"/>
          <w:sz w:val="26"/>
        </w:rPr>
        <w:t>Q</w:t>
      </w:r>
      <w:r>
        <w:rPr>
          <w:i/>
          <w:spacing w:val="-7"/>
          <w:w w:val="98"/>
          <w:position w:val="1"/>
          <w:sz w:val="26"/>
        </w:rPr>
        <w:t>R</w:t>
      </w:r>
      <w:r>
        <w:rPr>
          <w:i/>
          <w:w w:val="99"/>
          <w:position w:val="-4"/>
          <w:sz w:val="15"/>
        </w:rPr>
        <w:t>i</w:t>
      </w:r>
      <w:r>
        <w:rPr>
          <w:i/>
          <w:spacing w:val="7"/>
          <w:position w:val="-4"/>
          <w:sz w:val="15"/>
        </w:rPr>
        <w:t> </w:t>
      </w:r>
      <w:r>
        <w:rPr>
          <w:rFonts w:ascii="Symbol" w:hAnsi="Symbol"/>
          <w:spacing w:val="16"/>
          <w:w w:val="72"/>
          <w:position w:val="2"/>
          <w:sz w:val="35"/>
        </w:rPr>
        <w:t></w:t>
      </w:r>
      <w:r>
        <w:rPr>
          <w:w w:val="99"/>
          <w:sz w:val="26"/>
        </w:rPr>
        <w:t>……………………</w:t>
      </w:r>
      <w:r>
        <w:rPr>
          <w:spacing w:val="2"/>
          <w:w w:val="99"/>
          <w:sz w:val="26"/>
        </w:rPr>
        <w:t>.....</w:t>
      </w:r>
      <w:r>
        <w:rPr>
          <w:spacing w:val="-3"/>
          <w:w w:val="99"/>
          <w:sz w:val="26"/>
        </w:rPr>
        <w:t>.</w:t>
      </w:r>
      <w:r>
        <w:rPr>
          <w:spacing w:val="2"/>
          <w:w w:val="99"/>
          <w:sz w:val="26"/>
        </w:rPr>
        <w:t>.</w:t>
      </w:r>
      <w:r>
        <w:rPr>
          <w:spacing w:val="-3"/>
          <w:w w:val="99"/>
          <w:sz w:val="26"/>
        </w:rPr>
        <w:t>.</w:t>
      </w:r>
      <w:r>
        <w:rPr>
          <w:spacing w:val="2"/>
          <w:w w:val="99"/>
          <w:sz w:val="26"/>
        </w:rPr>
        <w:t>.</w:t>
      </w:r>
      <w:r>
        <w:rPr>
          <w:spacing w:val="-3"/>
          <w:w w:val="99"/>
          <w:sz w:val="26"/>
        </w:rPr>
        <w:t>.</w:t>
      </w:r>
      <w:r>
        <w:rPr>
          <w:spacing w:val="2"/>
          <w:w w:val="99"/>
          <w:sz w:val="26"/>
        </w:rPr>
        <w:t>.</w:t>
      </w:r>
      <w:r>
        <w:rPr>
          <w:spacing w:val="-3"/>
          <w:w w:val="99"/>
          <w:sz w:val="26"/>
        </w:rPr>
        <w:t>.</w:t>
      </w:r>
      <w:r>
        <w:rPr>
          <w:spacing w:val="2"/>
          <w:w w:val="99"/>
          <w:sz w:val="26"/>
        </w:rPr>
        <w:t>..</w:t>
      </w:r>
      <w:r>
        <w:rPr>
          <w:w w:val="99"/>
          <w:sz w:val="26"/>
        </w:rPr>
        <w:t>(1)</w:t>
      </w:r>
    </w:p>
    <w:p>
      <w:pPr>
        <w:spacing w:line="161" w:lineRule="exact" w:before="0"/>
        <w:ind w:left="924" w:right="0" w:firstLine="0"/>
        <w:jc w:val="left"/>
        <w:rPr>
          <w:sz w:val="15"/>
        </w:rPr>
      </w:pPr>
      <w:r>
        <w:rPr>
          <w:i/>
          <w:sz w:val="15"/>
        </w:rPr>
        <w:t>i</w:t>
      </w:r>
      <w:r>
        <w:rPr>
          <w:rFonts w:ascii="Symbol" w:hAnsi="Symbol"/>
          <w:sz w:val="15"/>
        </w:rPr>
        <w:t></w:t>
      </w:r>
      <w:r>
        <w:rPr>
          <w:sz w:val="15"/>
        </w:rPr>
        <w:t>1</w:t>
      </w:r>
    </w:p>
    <w:p>
      <w:pPr>
        <w:spacing w:after="0" w:line="161" w:lineRule="exact"/>
        <w:jc w:val="left"/>
        <w:rPr>
          <w:sz w:val="15"/>
        </w:rPr>
        <w:sectPr>
          <w:type w:val="continuous"/>
          <w:pgSz w:w="12240" w:h="15840"/>
          <w:pgMar w:top="1500" w:bottom="280" w:left="1300" w:right="1300"/>
          <w:cols w:num="3" w:equalWidth="0">
            <w:col w:w="880" w:space="1240"/>
            <w:col w:w="478" w:space="54"/>
            <w:col w:w="6988"/>
          </w:cols>
        </w:sectPr>
      </w:pPr>
    </w:p>
    <w:p>
      <w:pPr>
        <w:pStyle w:val="BodyText"/>
        <w:spacing w:before="147"/>
        <w:ind w:left="1917" w:right="118"/>
      </w:pPr>
      <w:r>
        <w:rPr>
          <w:i/>
        </w:rPr>
        <w:t>SWt </w:t>
      </w:r>
      <w:r>
        <w:rPr/>
        <w:t>= Contenido de agua en el suelo el día t,</w:t>
      </w:r>
    </w:p>
    <w:p>
      <w:pPr>
        <w:pStyle w:val="BodyText"/>
        <w:spacing w:line="360" w:lineRule="auto" w:before="152"/>
        <w:ind w:left="1917" w:right="118"/>
      </w:pPr>
      <w:r>
        <w:rPr>
          <w:i/>
        </w:rPr>
        <w:t>SW </w:t>
      </w:r>
      <w:r>
        <w:rPr/>
        <w:t>= Agua aprovechable por las plantas o el contenido de agua en el suelo menos el contenido de agua a 15 bar,</w:t>
      </w:r>
    </w:p>
    <w:p>
      <w:pPr>
        <w:pStyle w:val="BodyText"/>
        <w:spacing w:before="3"/>
        <w:ind w:left="1917" w:right="118"/>
      </w:pPr>
      <w:r>
        <w:rPr>
          <w:i/>
        </w:rPr>
        <w:t>t  </w:t>
      </w:r>
      <w:r>
        <w:rPr/>
        <w:t>= Es el tiempo (días),</w:t>
      </w:r>
    </w:p>
    <w:p>
      <w:pPr>
        <w:pStyle w:val="BodyText"/>
        <w:spacing w:before="152"/>
        <w:ind w:left="1917" w:right="118"/>
      </w:pPr>
      <w:r>
        <w:rPr>
          <w:i/>
        </w:rPr>
        <w:t>R </w:t>
      </w:r>
      <w:r>
        <w:rPr/>
        <w:t>= Es la precipitación diaria (mm),</w:t>
      </w:r>
    </w:p>
    <w:p>
      <w:pPr>
        <w:pStyle w:val="BodyText"/>
        <w:spacing w:before="147"/>
        <w:ind w:left="1917" w:right="118"/>
      </w:pPr>
      <w:r>
        <w:rPr>
          <w:i/>
        </w:rPr>
        <w:t>Q </w:t>
      </w:r>
      <w:r>
        <w:rPr/>
        <w:t>= Es la cantidad de escorrentía diaria (mm),</w:t>
      </w:r>
    </w:p>
    <w:p>
      <w:pPr>
        <w:pStyle w:val="BodyText"/>
        <w:spacing w:before="152"/>
        <w:ind w:left="1917" w:right="118"/>
      </w:pPr>
      <w:r>
        <w:rPr>
          <w:i/>
        </w:rPr>
        <w:t>ET </w:t>
      </w:r>
      <w:r>
        <w:rPr/>
        <w:t>= Evapotranspiración diaria (mm),</w:t>
      </w:r>
    </w:p>
    <w:p>
      <w:pPr>
        <w:pStyle w:val="BodyText"/>
        <w:spacing w:before="147"/>
        <w:ind w:left="1917" w:right="118"/>
      </w:pPr>
      <w:r>
        <w:rPr>
          <w:i/>
        </w:rPr>
        <w:t>P </w:t>
      </w:r>
      <w:r>
        <w:rPr/>
        <w:t>= Percolación diaria (mm) y,</w:t>
      </w:r>
    </w:p>
    <w:p>
      <w:pPr>
        <w:pStyle w:val="BodyText"/>
        <w:spacing w:before="152"/>
        <w:ind w:left="1917" w:right="118"/>
      </w:pPr>
      <w:r>
        <w:rPr>
          <w:i/>
        </w:rPr>
        <w:t>QR </w:t>
      </w:r>
      <w:r>
        <w:rPr/>
        <w:t>= Flujo de retorno o flujo base (mm).</w:t>
      </w:r>
    </w:p>
    <w:p>
      <w:pPr>
        <w:pStyle w:val="BodyText"/>
      </w:pPr>
    </w:p>
    <w:p>
      <w:pPr>
        <w:pStyle w:val="BodyText"/>
        <w:spacing w:before="7"/>
        <w:rPr>
          <w:sz w:val="25"/>
        </w:rPr>
      </w:pPr>
    </w:p>
    <w:p>
      <w:pPr>
        <w:pStyle w:val="BodyText"/>
        <w:spacing w:line="360" w:lineRule="auto"/>
        <w:ind w:left="116" w:right="109"/>
        <w:jc w:val="both"/>
      </w:pPr>
      <w:r>
        <w:rPr>
          <w:spacing w:val="-3"/>
        </w:rPr>
        <w:t>La</w:t>
      </w:r>
      <w:r>
        <w:rPr>
          <w:spacing w:val="-10"/>
        </w:rPr>
        <w:t> </w:t>
      </w:r>
      <w:r>
        <w:rPr/>
        <w:t>cantidad</w:t>
      </w:r>
      <w:r>
        <w:rPr>
          <w:spacing w:val="-10"/>
        </w:rPr>
        <w:t> </w:t>
      </w:r>
      <w:r>
        <w:rPr/>
        <w:t>de</w:t>
      </w:r>
      <w:r>
        <w:rPr>
          <w:spacing w:val="-10"/>
        </w:rPr>
        <w:t> </w:t>
      </w:r>
      <w:r>
        <w:rPr/>
        <w:t>escorrentía</w:t>
      </w:r>
      <w:r>
        <w:rPr>
          <w:spacing w:val="-10"/>
        </w:rPr>
        <w:t> </w:t>
      </w:r>
      <w:r>
        <w:rPr/>
        <w:t>es</w:t>
      </w:r>
      <w:r>
        <w:rPr>
          <w:spacing w:val="-10"/>
        </w:rPr>
        <w:t> </w:t>
      </w:r>
      <w:r>
        <w:rPr/>
        <w:t>estimada</w:t>
      </w:r>
      <w:r>
        <w:rPr>
          <w:spacing w:val="-10"/>
        </w:rPr>
        <w:t> </w:t>
      </w:r>
      <w:r>
        <w:rPr/>
        <w:t>aplicando</w:t>
      </w:r>
      <w:r>
        <w:rPr>
          <w:spacing w:val="-10"/>
        </w:rPr>
        <w:t> </w:t>
      </w:r>
      <w:r>
        <w:rPr/>
        <w:t>la</w:t>
      </w:r>
      <w:r>
        <w:rPr>
          <w:spacing w:val="-10"/>
        </w:rPr>
        <w:t> </w:t>
      </w:r>
      <w:r>
        <w:rPr/>
        <w:t>metodología</w:t>
      </w:r>
      <w:r>
        <w:rPr>
          <w:spacing w:val="-10"/>
        </w:rPr>
        <w:t> </w:t>
      </w:r>
      <w:r>
        <w:rPr/>
        <w:t>del</w:t>
      </w:r>
      <w:r>
        <w:rPr>
          <w:spacing w:val="-10"/>
        </w:rPr>
        <w:t> </w:t>
      </w:r>
      <w:r>
        <w:rPr/>
        <w:t>número</w:t>
      </w:r>
      <w:r>
        <w:rPr>
          <w:spacing w:val="-10"/>
        </w:rPr>
        <w:t> </w:t>
      </w:r>
      <w:r>
        <w:rPr/>
        <w:t>de</w:t>
      </w:r>
      <w:r>
        <w:rPr>
          <w:spacing w:val="-10"/>
        </w:rPr>
        <w:t> </w:t>
      </w:r>
      <w:r>
        <w:rPr/>
        <w:t>la</w:t>
      </w:r>
      <w:r>
        <w:rPr>
          <w:spacing w:val="-10"/>
        </w:rPr>
        <w:t> </w:t>
      </w:r>
      <w:r>
        <w:rPr/>
        <w:t>curva</w:t>
      </w:r>
      <w:r>
        <w:rPr>
          <w:spacing w:val="-10"/>
        </w:rPr>
        <w:t> </w:t>
      </w:r>
      <w:r>
        <w:rPr/>
        <w:t>del Servicio</w:t>
      </w:r>
      <w:r>
        <w:rPr>
          <w:spacing w:val="-6"/>
        </w:rPr>
        <w:t> </w:t>
      </w:r>
      <w:r>
        <w:rPr/>
        <w:t>de</w:t>
      </w:r>
      <w:r>
        <w:rPr>
          <w:spacing w:val="-6"/>
        </w:rPr>
        <w:t> </w:t>
      </w:r>
      <w:r>
        <w:rPr/>
        <w:t>Conservación</w:t>
      </w:r>
      <w:r>
        <w:rPr>
          <w:spacing w:val="-4"/>
        </w:rPr>
        <w:t> </w:t>
      </w:r>
      <w:r>
        <w:rPr/>
        <w:t>de</w:t>
      </w:r>
      <w:r>
        <w:rPr>
          <w:spacing w:val="-6"/>
        </w:rPr>
        <w:t> </w:t>
      </w:r>
      <w:r>
        <w:rPr/>
        <w:t>Suelos</w:t>
      </w:r>
      <w:r>
        <w:rPr>
          <w:spacing w:val="-5"/>
        </w:rPr>
        <w:t> </w:t>
      </w:r>
      <w:r>
        <w:rPr/>
        <w:t>de</w:t>
      </w:r>
      <w:r>
        <w:rPr>
          <w:spacing w:val="-6"/>
        </w:rPr>
        <w:t> </w:t>
      </w:r>
      <w:r>
        <w:rPr/>
        <w:t>los</w:t>
      </w:r>
      <w:r>
        <w:rPr>
          <w:spacing w:val="-6"/>
        </w:rPr>
        <w:t> </w:t>
      </w:r>
      <w:r>
        <w:rPr/>
        <w:t>Estados</w:t>
      </w:r>
      <w:r>
        <w:rPr>
          <w:spacing w:val="-6"/>
        </w:rPr>
        <w:t> </w:t>
      </w:r>
      <w:r>
        <w:rPr/>
        <w:t>Unidos</w:t>
      </w:r>
      <w:r>
        <w:rPr>
          <w:spacing w:val="-6"/>
        </w:rPr>
        <w:t> </w:t>
      </w:r>
      <w:r>
        <w:rPr/>
        <w:t>(SCS)</w:t>
      </w:r>
      <w:r>
        <w:rPr>
          <w:spacing w:val="-6"/>
        </w:rPr>
        <w:t> </w:t>
      </w:r>
      <w:r>
        <w:rPr/>
        <w:t>(USDA-SCS,</w:t>
      </w:r>
      <w:r>
        <w:rPr>
          <w:spacing w:val="-4"/>
        </w:rPr>
        <w:t> </w:t>
      </w:r>
      <w:r>
        <w:rPr/>
        <w:t>1972),</w:t>
      </w:r>
      <w:r>
        <w:rPr>
          <w:spacing w:val="-3"/>
        </w:rPr>
        <w:t> </w:t>
      </w:r>
      <w:r>
        <w:rPr/>
        <w:t>con datos</w:t>
      </w:r>
      <w:r>
        <w:rPr>
          <w:spacing w:val="-6"/>
        </w:rPr>
        <w:t> </w:t>
      </w:r>
      <w:r>
        <w:rPr/>
        <w:t>de</w:t>
      </w:r>
      <w:r>
        <w:rPr>
          <w:spacing w:val="-6"/>
        </w:rPr>
        <w:t> </w:t>
      </w:r>
      <w:r>
        <w:rPr/>
        <w:t>lluvia</w:t>
      </w:r>
      <w:r>
        <w:rPr>
          <w:spacing w:val="-6"/>
        </w:rPr>
        <w:t> </w:t>
      </w:r>
      <w:r>
        <w:rPr/>
        <w:t>diarios.</w:t>
      </w:r>
      <w:r>
        <w:rPr>
          <w:spacing w:val="-4"/>
        </w:rPr>
        <w:t> </w:t>
      </w:r>
      <w:r>
        <w:rPr/>
        <w:t>Esta</w:t>
      </w:r>
      <w:r>
        <w:rPr>
          <w:spacing w:val="-6"/>
        </w:rPr>
        <w:t> </w:t>
      </w:r>
      <w:r>
        <w:rPr/>
        <w:t>ecuación</w:t>
      </w:r>
      <w:r>
        <w:rPr>
          <w:spacing w:val="-6"/>
        </w:rPr>
        <w:t> </w:t>
      </w:r>
      <w:r>
        <w:rPr/>
        <w:t>se</w:t>
      </w:r>
      <w:r>
        <w:rPr>
          <w:spacing w:val="-6"/>
        </w:rPr>
        <w:t> </w:t>
      </w:r>
      <w:r>
        <w:rPr/>
        <w:t>fundamenta</w:t>
      </w:r>
      <w:r>
        <w:rPr>
          <w:spacing w:val="-6"/>
        </w:rPr>
        <w:t> </w:t>
      </w:r>
      <w:r>
        <w:rPr/>
        <w:t>en</w:t>
      </w:r>
      <w:r>
        <w:rPr>
          <w:spacing w:val="-6"/>
        </w:rPr>
        <w:t> </w:t>
      </w:r>
      <w:r>
        <w:rPr/>
        <w:t>que</w:t>
      </w:r>
      <w:r>
        <w:rPr>
          <w:spacing w:val="-6"/>
        </w:rPr>
        <w:t> </w:t>
      </w:r>
      <w:r>
        <w:rPr/>
        <w:t>la</w:t>
      </w:r>
      <w:r>
        <w:rPr>
          <w:spacing w:val="-6"/>
        </w:rPr>
        <w:t> </w:t>
      </w:r>
      <w:r>
        <w:rPr/>
        <w:t>escorrentía</w:t>
      </w:r>
      <w:r>
        <w:rPr>
          <w:spacing w:val="-6"/>
        </w:rPr>
        <w:t> </w:t>
      </w:r>
      <w:r>
        <w:rPr/>
        <w:t>está</w:t>
      </w:r>
      <w:r>
        <w:rPr>
          <w:spacing w:val="-6"/>
        </w:rPr>
        <w:t> </w:t>
      </w:r>
      <w:r>
        <w:rPr/>
        <w:t>determinada por el suelo, la cobertura de suelo y la práctica de manejo que en éste se</w:t>
      </w:r>
      <w:r>
        <w:rPr>
          <w:spacing w:val="-12"/>
        </w:rPr>
        <w:t> </w:t>
      </w:r>
      <w:r>
        <w:rPr/>
        <w:t>realice.</w:t>
      </w:r>
    </w:p>
    <w:p>
      <w:pPr>
        <w:pStyle w:val="BodyText"/>
      </w:pPr>
    </w:p>
    <w:p>
      <w:pPr>
        <w:pStyle w:val="BodyText"/>
        <w:spacing w:line="360" w:lineRule="auto" w:before="155"/>
        <w:ind w:left="116" w:right="115"/>
        <w:jc w:val="both"/>
      </w:pPr>
      <w:r>
        <w:rPr/>
        <w:t>El agua que penetra en el suelo o infiltración puede tomar varios caminos: incrementar la humedad</w:t>
      </w:r>
      <w:r>
        <w:rPr>
          <w:spacing w:val="-11"/>
        </w:rPr>
        <w:t> </w:t>
      </w:r>
      <w:r>
        <w:rPr/>
        <w:t>del</w:t>
      </w:r>
      <w:r>
        <w:rPr>
          <w:spacing w:val="-11"/>
        </w:rPr>
        <w:t> </w:t>
      </w:r>
      <w:r>
        <w:rPr/>
        <w:t>suelo</w:t>
      </w:r>
      <w:r>
        <w:rPr>
          <w:spacing w:val="-11"/>
        </w:rPr>
        <w:t> </w:t>
      </w:r>
      <w:r>
        <w:rPr/>
        <w:t>en</w:t>
      </w:r>
      <w:r>
        <w:rPr>
          <w:spacing w:val="-16"/>
        </w:rPr>
        <w:t> </w:t>
      </w:r>
      <w:r>
        <w:rPr/>
        <w:t>la</w:t>
      </w:r>
      <w:r>
        <w:rPr>
          <w:spacing w:val="-11"/>
        </w:rPr>
        <w:t> </w:t>
      </w:r>
      <w:r>
        <w:rPr/>
        <w:t>zona</w:t>
      </w:r>
      <w:r>
        <w:rPr>
          <w:spacing w:val="-16"/>
        </w:rPr>
        <w:t> </w:t>
      </w:r>
      <w:r>
        <w:rPr/>
        <w:t>radical,</w:t>
      </w:r>
      <w:r>
        <w:rPr>
          <w:spacing w:val="-13"/>
        </w:rPr>
        <w:t> </w:t>
      </w:r>
      <w:r>
        <w:rPr/>
        <w:t>moverse</w:t>
      </w:r>
      <w:r>
        <w:rPr>
          <w:spacing w:val="-11"/>
        </w:rPr>
        <w:t> </w:t>
      </w:r>
      <w:r>
        <w:rPr/>
        <w:t>subsuperficialmente</w:t>
      </w:r>
      <w:r>
        <w:rPr>
          <w:spacing w:val="-11"/>
        </w:rPr>
        <w:t> </w:t>
      </w:r>
      <w:r>
        <w:rPr/>
        <w:t>como</w:t>
      </w:r>
      <w:r>
        <w:rPr>
          <w:spacing w:val="-11"/>
        </w:rPr>
        <w:t> </w:t>
      </w:r>
      <w:r>
        <w:rPr/>
        <w:t>flujo</w:t>
      </w:r>
      <w:r>
        <w:rPr>
          <w:spacing w:val="-11"/>
        </w:rPr>
        <w:t> </w:t>
      </w:r>
      <w:r>
        <w:rPr/>
        <w:t>lateral</w:t>
      </w:r>
      <w:r>
        <w:rPr>
          <w:spacing w:val="-11"/>
        </w:rPr>
        <w:t> </w:t>
      </w:r>
      <w:r>
        <w:rPr/>
        <w:t>hacia los canales de drenaje, recargar acuíferos poco profundos, donde ésta agua también</w:t>
      </w:r>
      <w:r>
        <w:rPr>
          <w:spacing w:val="-36"/>
        </w:rPr>
        <w:t> </w:t>
      </w:r>
      <w:r>
        <w:rPr/>
        <w:t>llegara hasta los canales de drenaje y recargar acuíferos profundos. El SWAT considera flujo lateral, percolación y flujo de</w:t>
      </w:r>
      <w:r>
        <w:rPr>
          <w:spacing w:val="-28"/>
        </w:rPr>
        <w:t> </w:t>
      </w:r>
      <w:r>
        <w:rPr/>
        <w:t>retorno.</w:t>
      </w:r>
    </w:p>
    <w:p>
      <w:pPr>
        <w:spacing w:after="0" w:line="360" w:lineRule="auto"/>
        <w:jc w:val="both"/>
        <w:sectPr>
          <w:type w:val="continuous"/>
          <w:pgSz w:w="12240" w:h="15840"/>
          <w:pgMar w:top="1500" w:bottom="280" w:left="1300" w:right="1300"/>
        </w:sectPr>
      </w:pPr>
    </w:p>
    <w:p>
      <w:pPr>
        <w:pStyle w:val="BodyText"/>
        <w:spacing w:before="6"/>
        <w:rPr>
          <w:sz w:val="25"/>
        </w:rPr>
      </w:pPr>
    </w:p>
    <w:p>
      <w:pPr>
        <w:pStyle w:val="BodyText"/>
        <w:spacing w:line="360" w:lineRule="auto" w:before="66"/>
        <w:ind w:left="116" w:right="122"/>
        <w:jc w:val="both"/>
      </w:pPr>
      <w:r>
        <w:rPr/>
        <w:t>El modelo SWAT ofrece tres métodos para la estimación de la evapotranspiración potencial: Penman-Monteith, Hargreaves and Sammami y Priestley – Taylor.</w:t>
      </w:r>
    </w:p>
    <w:p>
      <w:pPr>
        <w:pStyle w:val="BodyText"/>
      </w:pPr>
    </w:p>
    <w:p>
      <w:pPr>
        <w:pStyle w:val="BodyText"/>
        <w:spacing w:line="360" w:lineRule="auto" w:before="155"/>
        <w:ind w:left="116" w:right="113"/>
        <w:jc w:val="both"/>
      </w:pPr>
      <w:r>
        <w:rPr/>
        <w:t>Las variables climáticas utilizadas por el </w:t>
      </w:r>
      <w:r>
        <w:rPr>
          <w:spacing w:val="-3"/>
        </w:rPr>
        <w:t>SWAT </w:t>
      </w:r>
      <w:r>
        <w:rPr/>
        <w:t>son la precipitación, la temperatura del aire, radiación solar, velocidad del viento y humedad relativa. </w:t>
      </w:r>
      <w:r>
        <w:rPr>
          <w:spacing w:val="-3"/>
        </w:rPr>
        <w:t>Si </w:t>
      </w:r>
      <w:r>
        <w:rPr/>
        <w:t>la precipitación y la temperatura diaria están disponibles deben ser ingresadas directamente al modelo, sino, el generador de variables climáticas puede simular la temperatura y precipitación diaria.</w:t>
      </w:r>
      <w:r>
        <w:rPr>
          <w:spacing w:val="-31"/>
        </w:rPr>
        <w:t> </w:t>
      </w:r>
      <w:r>
        <w:rPr/>
        <w:t>Para aplicaciones</w:t>
      </w:r>
      <w:r>
        <w:rPr>
          <w:spacing w:val="-16"/>
        </w:rPr>
        <w:t> </w:t>
      </w:r>
      <w:r>
        <w:rPr/>
        <w:t>prácticas,</w:t>
      </w:r>
      <w:r>
        <w:rPr>
          <w:spacing w:val="-15"/>
        </w:rPr>
        <w:t> </w:t>
      </w:r>
      <w:r>
        <w:rPr/>
        <w:t>se</w:t>
      </w:r>
      <w:r>
        <w:rPr>
          <w:spacing w:val="-16"/>
        </w:rPr>
        <w:t> </w:t>
      </w:r>
      <w:r>
        <w:rPr/>
        <w:t>recomienda</w:t>
      </w:r>
      <w:r>
        <w:rPr>
          <w:spacing w:val="-16"/>
        </w:rPr>
        <w:t> </w:t>
      </w:r>
      <w:r>
        <w:rPr/>
        <w:t>utilizar</w:t>
      </w:r>
      <w:r>
        <w:rPr>
          <w:spacing w:val="-16"/>
        </w:rPr>
        <w:t> </w:t>
      </w:r>
      <w:r>
        <w:rPr/>
        <w:t>las</w:t>
      </w:r>
      <w:r>
        <w:rPr>
          <w:spacing w:val="-16"/>
        </w:rPr>
        <w:t> </w:t>
      </w:r>
      <w:r>
        <w:rPr/>
        <w:t>simulaciones</w:t>
      </w:r>
      <w:r>
        <w:rPr>
          <w:spacing w:val="-16"/>
        </w:rPr>
        <w:t> </w:t>
      </w:r>
      <w:r>
        <w:rPr/>
        <w:t>del</w:t>
      </w:r>
      <w:r>
        <w:rPr>
          <w:spacing w:val="-16"/>
        </w:rPr>
        <w:t> </w:t>
      </w:r>
      <w:r>
        <w:rPr/>
        <w:t>simulador</w:t>
      </w:r>
      <w:r>
        <w:rPr>
          <w:spacing w:val="-16"/>
        </w:rPr>
        <w:t> </w:t>
      </w:r>
      <w:r>
        <w:rPr/>
        <w:t>de</w:t>
      </w:r>
      <w:r>
        <w:rPr>
          <w:spacing w:val="-16"/>
        </w:rPr>
        <w:t> </w:t>
      </w:r>
      <w:r>
        <w:rPr/>
        <w:t>clima</w:t>
      </w:r>
      <w:r>
        <w:rPr>
          <w:spacing w:val="-16"/>
        </w:rPr>
        <w:t> </w:t>
      </w:r>
      <w:r>
        <w:rPr/>
        <w:t>como última</w:t>
      </w:r>
      <w:r>
        <w:rPr>
          <w:spacing w:val="-8"/>
        </w:rPr>
        <w:t> </w:t>
      </w:r>
      <w:r>
        <w:rPr/>
        <w:t>opción.</w:t>
      </w:r>
    </w:p>
    <w:p>
      <w:pPr>
        <w:pStyle w:val="BodyText"/>
      </w:pPr>
    </w:p>
    <w:p>
      <w:pPr>
        <w:pStyle w:val="BodyText"/>
        <w:spacing w:line="360" w:lineRule="auto" w:before="156"/>
        <w:ind w:left="116" w:right="114"/>
        <w:jc w:val="both"/>
      </w:pPr>
      <w:r>
        <w:rPr>
          <w:spacing w:val="-3"/>
        </w:rPr>
        <w:t>La </w:t>
      </w:r>
      <w:r>
        <w:rPr/>
        <w:t>producción de sedimentos se calcula para cada unidad de respuesta hidrológica con la ecuación</w:t>
      </w:r>
      <w:r>
        <w:rPr>
          <w:spacing w:val="-7"/>
        </w:rPr>
        <w:t> </w:t>
      </w:r>
      <w:r>
        <w:rPr/>
        <w:t>modificada</w:t>
      </w:r>
      <w:r>
        <w:rPr>
          <w:spacing w:val="-7"/>
        </w:rPr>
        <w:t> </w:t>
      </w:r>
      <w:r>
        <w:rPr/>
        <w:t>de</w:t>
      </w:r>
      <w:r>
        <w:rPr>
          <w:spacing w:val="-7"/>
        </w:rPr>
        <w:t> </w:t>
      </w:r>
      <w:r>
        <w:rPr/>
        <w:t>la</w:t>
      </w:r>
      <w:r>
        <w:rPr>
          <w:spacing w:val="-7"/>
        </w:rPr>
        <w:t> </w:t>
      </w:r>
      <w:r>
        <w:rPr/>
        <w:t>pérdida</w:t>
      </w:r>
      <w:r>
        <w:rPr>
          <w:spacing w:val="-6"/>
        </w:rPr>
        <w:t> </w:t>
      </w:r>
      <w:r>
        <w:rPr/>
        <w:t>universal</w:t>
      </w:r>
      <w:r>
        <w:rPr>
          <w:spacing w:val="-7"/>
        </w:rPr>
        <w:t> </w:t>
      </w:r>
      <w:r>
        <w:rPr/>
        <w:t>del</w:t>
      </w:r>
      <w:r>
        <w:rPr>
          <w:spacing w:val="-7"/>
        </w:rPr>
        <w:t> </w:t>
      </w:r>
      <w:r>
        <w:rPr/>
        <w:t>suelo</w:t>
      </w:r>
      <w:r>
        <w:rPr>
          <w:spacing w:val="-7"/>
        </w:rPr>
        <w:t> </w:t>
      </w:r>
      <w:r>
        <w:rPr/>
        <w:t>(MUSLE),</w:t>
      </w:r>
      <w:r>
        <w:rPr>
          <w:spacing w:val="-5"/>
        </w:rPr>
        <w:t> </w:t>
      </w:r>
      <w:r>
        <w:rPr/>
        <w:t>la</w:t>
      </w:r>
      <w:r>
        <w:rPr>
          <w:spacing w:val="-7"/>
        </w:rPr>
        <w:t> </w:t>
      </w:r>
      <w:r>
        <w:rPr/>
        <w:t>cual</w:t>
      </w:r>
      <w:r>
        <w:rPr>
          <w:spacing w:val="-7"/>
        </w:rPr>
        <w:t> </w:t>
      </w:r>
      <w:r>
        <w:rPr/>
        <w:t>se</w:t>
      </w:r>
      <w:r>
        <w:rPr>
          <w:spacing w:val="-7"/>
        </w:rPr>
        <w:t> </w:t>
      </w:r>
      <w:r>
        <w:rPr/>
        <w:t>desarrolla</w:t>
      </w:r>
      <w:r>
        <w:rPr>
          <w:spacing w:val="-7"/>
        </w:rPr>
        <w:t> </w:t>
      </w:r>
      <w:r>
        <w:rPr/>
        <w:t>en</w:t>
      </w:r>
      <w:r>
        <w:rPr>
          <w:spacing w:val="-7"/>
        </w:rPr>
        <w:t> </w:t>
      </w:r>
      <w:r>
        <w:rPr/>
        <w:t>la siguiente ecuación</w:t>
      </w:r>
      <w:r>
        <w:rPr>
          <w:spacing w:val="-3"/>
        </w:rPr>
        <w:t> </w:t>
      </w:r>
      <w:r>
        <w:rPr/>
        <w:t>2:</w:t>
      </w:r>
    </w:p>
    <w:p>
      <w:pPr>
        <w:pStyle w:val="BodyText"/>
        <w:rPr>
          <w:sz w:val="20"/>
        </w:rPr>
      </w:pPr>
    </w:p>
    <w:p>
      <w:pPr>
        <w:pStyle w:val="BodyText"/>
        <w:spacing w:before="3"/>
        <w:rPr>
          <w:sz w:val="20"/>
        </w:rPr>
      </w:pPr>
    </w:p>
    <w:p>
      <w:pPr>
        <w:spacing w:before="28"/>
        <w:ind w:left="2673" w:right="0" w:firstLine="0"/>
        <w:jc w:val="left"/>
        <w:rPr>
          <w:sz w:val="26"/>
        </w:rPr>
      </w:pPr>
      <w:r>
        <w:rPr/>
        <w:pict>
          <v:shape style="position:absolute;margin-left:262.184662pt;margin-top:18.674141pt;width:3.75pt;height:7.45pt;mso-position-horizontal-relative:page;mso-position-vertical-relative:paragraph;z-index:-1040920" type="#_x0000_t202" filled="false" stroked="false">
            <v:textbox inset="0,0,0,0">
              <w:txbxContent>
                <w:p>
                  <w:pPr>
                    <w:spacing w:line="149" w:lineRule="exact" w:before="0"/>
                    <w:ind w:left="0" w:right="0" w:firstLine="0"/>
                    <w:jc w:val="left"/>
                    <w:rPr>
                      <w:i/>
                      <w:sz w:val="15"/>
                    </w:rPr>
                  </w:pPr>
                  <w:r>
                    <w:rPr>
                      <w:i/>
                      <w:w w:val="98"/>
                      <w:sz w:val="15"/>
                    </w:rPr>
                    <w:t>p</w:t>
                  </w:r>
                </w:p>
              </w:txbxContent>
            </v:textbox>
            <w10:wrap type="none"/>
          </v:shape>
        </w:pict>
      </w:r>
      <w:r>
        <w:rPr>
          <w:i/>
          <w:w w:val="101"/>
          <w:position w:val="1"/>
          <w:sz w:val="25"/>
        </w:rPr>
        <w:t>Y</w:t>
      </w:r>
      <w:r>
        <w:rPr>
          <w:i/>
          <w:spacing w:val="25"/>
          <w:position w:val="1"/>
          <w:sz w:val="25"/>
        </w:rPr>
        <w:t> </w:t>
      </w:r>
      <w:r>
        <w:rPr>
          <w:rFonts w:ascii="Symbol" w:hAnsi="Symbol"/>
          <w:spacing w:val="1"/>
          <w:w w:val="101"/>
          <w:position w:val="1"/>
          <w:sz w:val="25"/>
        </w:rPr>
        <w:t></w:t>
      </w:r>
      <w:r>
        <w:rPr>
          <w:spacing w:val="-3"/>
          <w:w w:val="101"/>
          <w:position w:val="1"/>
          <w:sz w:val="25"/>
        </w:rPr>
        <w:t>1</w:t>
      </w:r>
      <w:r>
        <w:rPr>
          <w:spacing w:val="-8"/>
          <w:w w:val="101"/>
          <w:position w:val="1"/>
          <w:sz w:val="25"/>
        </w:rPr>
        <w:t>1</w:t>
      </w:r>
      <w:r>
        <w:rPr>
          <w:spacing w:val="-3"/>
          <w:w w:val="101"/>
          <w:position w:val="1"/>
          <w:sz w:val="25"/>
        </w:rPr>
        <w:t>.</w:t>
      </w:r>
      <w:r>
        <w:rPr>
          <w:spacing w:val="-9"/>
          <w:w w:val="101"/>
          <w:position w:val="1"/>
          <w:sz w:val="25"/>
        </w:rPr>
        <w:t>8</w:t>
      </w:r>
      <w:r>
        <w:rPr>
          <w:rFonts w:ascii="Symbol" w:hAnsi="Symbol"/>
          <w:spacing w:val="-41"/>
          <w:w w:val="62"/>
          <w:position w:val="1"/>
          <w:sz w:val="40"/>
        </w:rPr>
        <w:t></w:t>
      </w:r>
      <w:r>
        <w:rPr>
          <w:i/>
          <w:w w:val="101"/>
          <w:position w:val="1"/>
          <w:sz w:val="25"/>
        </w:rPr>
        <w:t>V</w:t>
      </w:r>
      <w:r>
        <w:rPr>
          <w:i/>
          <w:spacing w:val="-16"/>
          <w:position w:val="1"/>
          <w:sz w:val="25"/>
        </w:rPr>
        <w:t> </w:t>
      </w:r>
      <w:r>
        <w:rPr>
          <w:spacing w:val="16"/>
          <w:w w:val="101"/>
          <w:position w:val="1"/>
          <w:sz w:val="25"/>
        </w:rPr>
        <w:t>.</w:t>
      </w:r>
      <w:r>
        <w:rPr>
          <w:i/>
          <w:w w:val="101"/>
          <w:position w:val="1"/>
          <w:sz w:val="25"/>
        </w:rPr>
        <w:t>q</w:t>
      </w:r>
      <w:r>
        <w:rPr>
          <w:i/>
          <w:position w:val="1"/>
          <w:sz w:val="25"/>
        </w:rPr>
        <w:t> </w:t>
      </w:r>
      <w:r>
        <w:rPr>
          <w:i/>
          <w:spacing w:val="15"/>
          <w:position w:val="1"/>
          <w:sz w:val="25"/>
        </w:rPr>
        <w:t> </w:t>
      </w:r>
      <w:r>
        <w:rPr>
          <w:rFonts w:ascii="Symbol" w:hAnsi="Symbol"/>
          <w:spacing w:val="-14"/>
          <w:w w:val="62"/>
          <w:position w:val="1"/>
          <w:sz w:val="40"/>
        </w:rPr>
        <w:t></w:t>
      </w:r>
      <w:r>
        <w:rPr>
          <w:spacing w:val="-3"/>
          <w:w w:val="98"/>
          <w:position w:val="14"/>
          <w:sz w:val="15"/>
        </w:rPr>
        <w:t>0</w:t>
      </w:r>
      <w:r>
        <w:rPr>
          <w:spacing w:val="-2"/>
          <w:w w:val="98"/>
          <w:position w:val="14"/>
          <w:sz w:val="15"/>
        </w:rPr>
        <w:t>.</w:t>
      </w:r>
      <w:r>
        <w:rPr>
          <w:spacing w:val="4"/>
          <w:w w:val="98"/>
          <w:position w:val="14"/>
          <w:sz w:val="15"/>
        </w:rPr>
        <w:t>5</w:t>
      </w:r>
      <w:r>
        <w:rPr>
          <w:w w:val="98"/>
          <w:position w:val="14"/>
          <w:sz w:val="15"/>
        </w:rPr>
        <w:t>6</w:t>
      </w:r>
      <w:r>
        <w:rPr>
          <w:spacing w:val="-14"/>
          <w:position w:val="14"/>
          <w:sz w:val="15"/>
        </w:rPr>
        <w:t> </w:t>
      </w:r>
      <w:r>
        <w:rPr>
          <w:rFonts w:ascii="Symbol" w:hAnsi="Symbol"/>
          <w:w w:val="76"/>
          <w:position w:val="1"/>
          <w:sz w:val="33"/>
        </w:rPr>
        <w:t></w:t>
      </w:r>
      <w:r>
        <w:rPr>
          <w:i/>
          <w:w w:val="101"/>
          <w:position w:val="1"/>
          <w:sz w:val="25"/>
        </w:rPr>
        <w:t>K</w:t>
      </w:r>
      <w:r>
        <w:rPr>
          <w:i/>
          <w:spacing w:val="-34"/>
          <w:position w:val="1"/>
          <w:sz w:val="25"/>
        </w:rPr>
        <w:t> </w:t>
      </w:r>
      <w:r>
        <w:rPr>
          <w:rFonts w:ascii="Symbol" w:hAnsi="Symbol"/>
          <w:spacing w:val="5"/>
          <w:w w:val="76"/>
          <w:position w:val="1"/>
          <w:sz w:val="33"/>
        </w:rPr>
        <w:t></w:t>
      </w:r>
      <w:r>
        <w:rPr>
          <w:rFonts w:ascii="Symbol" w:hAnsi="Symbol"/>
          <w:spacing w:val="-15"/>
          <w:w w:val="76"/>
          <w:position w:val="1"/>
          <w:sz w:val="33"/>
        </w:rPr>
        <w:t></w:t>
      </w:r>
      <w:r>
        <w:rPr>
          <w:i/>
          <w:spacing w:val="17"/>
          <w:w w:val="101"/>
          <w:position w:val="1"/>
          <w:sz w:val="25"/>
        </w:rPr>
        <w:t>C</w:t>
      </w:r>
      <w:r>
        <w:rPr>
          <w:rFonts w:ascii="Symbol" w:hAnsi="Symbol"/>
          <w:spacing w:val="5"/>
          <w:w w:val="76"/>
          <w:position w:val="1"/>
          <w:sz w:val="33"/>
        </w:rPr>
        <w:t></w:t>
      </w:r>
      <w:r>
        <w:rPr>
          <w:rFonts w:ascii="Symbol" w:hAnsi="Symbol"/>
          <w:w w:val="76"/>
          <w:position w:val="1"/>
          <w:sz w:val="33"/>
        </w:rPr>
        <w:t></w:t>
      </w:r>
      <w:r>
        <w:rPr>
          <w:i/>
          <w:w w:val="101"/>
          <w:position w:val="1"/>
          <w:sz w:val="25"/>
        </w:rPr>
        <w:t>P</w:t>
      </w:r>
      <w:r>
        <w:rPr>
          <w:i/>
          <w:spacing w:val="9"/>
          <w:w w:val="101"/>
          <w:position w:val="1"/>
          <w:sz w:val="25"/>
        </w:rPr>
        <w:t>E</w:t>
      </w:r>
      <w:r>
        <w:rPr>
          <w:rFonts w:ascii="Symbol" w:hAnsi="Symbol"/>
          <w:spacing w:val="5"/>
          <w:w w:val="76"/>
          <w:position w:val="1"/>
          <w:sz w:val="33"/>
        </w:rPr>
        <w:t></w:t>
      </w:r>
      <w:r>
        <w:rPr>
          <w:rFonts w:ascii="Symbol" w:hAnsi="Symbol"/>
          <w:w w:val="76"/>
          <w:position w:val="1"/>
          <w:sz w:val="33"/>
        </w:rPr>
        <w:t></w:t>
      </w:r>
      <w:r>
        <w:rPr>
          <w:i/>
          <w:spacing w:val="-2"/>
          <w:w w:val="101"/>
          <w:position w:val="1"/>
          <w:sz w:val="25"/>
        </w:rPr>
        <w:t>L</w:t>
      </w:r>
      <w:r>
        <w:rPr>
          <w:i/>
          <w:w w:val="101"/>
          <w:position w:val="1"/>
          <w:sz w:val="25"/>
        </w:rPr>
        <w:t>S</w:t>
      </w:r>
      <w:r>
        <w:rPr>
          <w:i/>
          <w:spacing w:val="-41"/>
          <w:position w:val="1"/>
          <w:sz w:val="25"/>
        </w:rPr>
        <w:t> </w:t>
      </w:r>
      <w:r>
        <w:rPr>
          <w:rFonts w:ascii="Symbol" w:hAnsi="Symbol"/>
          <w:spacing w:val="20"/>
          <w:w w:val="76"/>
          <w:position w:val="1"/>
          <w:sz w:val="33"/>
        </w:rPr>
        <w:t></w:t>
      </w:r>
      <w:r>
        <w:rPr>
          <w:w w:val="99"/>
          <w:sz w:val="26"/>
        </w:rPr>
        <w:t>……………………</w:t>
      </w:r>
      <w:r>
        <w:rPr>
          <w:spacing w:val="4"/>
          <w:w w:val="99"/>
          <w:sz w:val="26"/>
        </w:rPr>
        <w:t>…</w:t>
      </w:r>
      <w:r>
        <w:rPr>
          <w:w w:val="99"/>
          <w:sz w:val="26"/>
        </w:rPr>
        <w:t>………(2)</w:t>
      </w:r>
    </w:p>
    <w:p>
      <w:pPr>
        <w:pStyle w:val="BodyText"/>
        <w:rPr>
          <w:sz w:val="24"/>
        </w:rPr>
      </w:pPr>
    </w:p>
    <w:p>
      <w:pPr>
        <w:spacing w:after="0"/>
        <w:rPr>
          <w:sz w:val="24"/>
        </w:rPr>
        <w:sectPr>
          <w:pgSz w:w="12240" w:h="15840"/>
          <w:pgMar w:header="0" w:footer="1473" w:top="1500" w:bottom="1660" w:left="1300" w:right="1300"/>
        </w:sectPr>
      </w:pPr>
    </w:p>
    <w:p>
      <w:pPr>
        <w:pStyle w:val="BodyText"/>
        <w:spacing w:before="66"/>
        <w:ind w:left="116"/>
      </w:pPr>
      <w:r>
        <w:rPr>
          <w:w w:val="95"/>
        </w:rPr>
        <w:t>Donde:</w:t>
      </w:r>
    </w:p>
    <w:p>
      <w:pPr>
        <w:pStyle w:val="BodyText"/>
      </w:pPr>
      <w:r>
        <w:rPr/>
        <w:br w:type="column"/>
      </w:r>
      <w:r>
        <w:rPr/>
      </w:r>
    </w:p>
    <w:p>
      <w:pPr>
        <w:pStyle w:val="BodyText"/>
        <w:spacing w:before="213"/>
        <w:ind w:left="116"/>
      </w:pPr>
      <w:r>
        <w:rPr>
          <w:i/>
        </w:rPr>
        <w:t>Y </w:t>
      </w:r>
      <w:r>
        <w:rPr/>
        <w:t>= Es la producción de sedimentos desde la subcuenca en t,</w:t>
      </w:r>
    </w:p>
    <w:p>
      <w:pPr>
        <w:pStyle w:val="BodyText"/>
        <w:spacing w:before="146"/>
        <w:ind w:left="116"/>
      </w:pPr>
      <w:r>
        <w:rPr>
          <w:i/>
        </w:rPr>
        <w:t>V </w:t>
      </w:r>
      <w:r>
        <w:rPr/>
        <w:t>= Es el volumen de escurrimiento superficial para la subcuenca en m</w:t>
      </w:r>
      <w:r>
        <w:rPr>
          <w:position w:val="9"/>
          <w:sz w:val="17"/>
        </w:rPr>
        <w:t>3</w:t>
      </w:r>
      <w:r>
        <w:rPr/>
        <w:t>,</w:t>
      </w:r>
    </w:p>
    <w:p>
      <w:pPr>
        <w:pStyle w:val="BodyText"/>
        <w:spacing w:before="140"/>
        <w:ind w:left="116"/>
      </w:pPr>
      <w:r>
        <w:rPr>
          <w:i/>
          <w:position w:val="2"/>
        </w:rPr>
        <w:t>q</w:t>
      </w:r>
      <w:r>
        <w:rPr>
          <w:i/>
          <w:sz w:val="16"/>
        </w:rPr>
        <w:t>p  </w:t>
      </w:r>
      <w:r>
        <w:rPr>
          <w:position w:val="2"/>
        </w:rPr>
        <w:t>= Es la tasa de flujo pico (m</w:t>
      </w:r>
      <w:r>
        <w:rPr>
          <w:position w:val="11"/>
          <w:sz w:val="17"/>
        </w:rPr>
        <w:t>3</w:t>
      </w:r>
      <w:r>
        <w:rPr>
          <w:position w:val="2"/>
        </w:rPr>
        <w:t>/s),</w:t>
      </w:r>
    </w:p>
    <w:p>
      <w:pPr>
        <w:pStyle w:val="BodyText"/>
        <w:spacing w:before="153"/>
        <w:ind w:left="116"/>
      </w:pPr>
      <w:r>
        <w:rPr>
          <w:i/>
        </w:rPr>
        <w:t>K </w:t>
      </w:r>
      <w:r>
        <w:rPr/>
        <w:t>= Es el factor de erodabilidad del suelo,</w:t>
      </w:r>
    </w:p>
    <w:p>
      <w:pPr>
        <w:pStyle w:val="BodyText"/>
        <w:spacing w:before="147"/>
        <w:ind w:left="116"/>
      </w:pPr>
      <w:r>
        <w:rPr>
          <w:i/>
        </w:rPr>
        <w:t>C </w:t>
      </w:r>
      <w:r>
        <w:rPr/>
        <w:t>= Es el factor de manejo,</w:t>
      </w:r>
    </w:p>
    <w:p>
      <w:pPr>
        <w:pStyle w:val="BodyText"/>
        <w:spacing w:before="152"/>
        <w:ind w:left="116"/>
      </w:pPr>
      <w:r>
        <w:rPr>
          <w:i/>
        </w:rPr>
        <w:t>PE </w:t>
      </w:r>
      <w:r>
        <w:rPr/>
        <w:t>= Es el factor de práctica del control de la erosión y</w:t>
      </w:r>
    </w:p>
    <w:p>
      <w:pPr>
        <w:pStyle w:val="BodyText"/>
        <w:spacing w:before="147"/>
        <w:ind w:left="116"/>
      </w:pPr>
      <w:r>
        <w:rPr>
          <w:i/>
        </w:rPr>
        <w:t>LS </w:t>
      </w:r>
      <w:r>
        <w:rPr/>
        <w:t>= Es el factor de longitud de inclinación.</w:t>
      </w:r>
    </w:p>
    <w:p>
      <w:pPr>
        <w:spacing w:after="0"/>
        <w:sectPr>
          <w:type w:val="continuous"/>
          <w:pgSz w:w="12240" w:h="15840"/>
          <w:pgMar w:top="1500" w:bottom="280" w:left="1300" w:right="1300"/>
          <w:cols w:num="2" w:equalWidth="0">
            <w:col w:w="881" w:space="920"/>
            <w:col w:w="7839"/>
          </w:cols>
        </w:sectPr>
      </w:pPr>
    </w:p>
    <w:p>
      <w:pPr>
        <w:pStyle w:val="Heading1"/>
        <w:numPr>
          <w:ilvl w:val="3"/>
          <w:numId w:val="10"/>
        </w:numPr>
        <w:tabs>
          <w:tab w:pos="900" w:val="left" w:leader="none"/>
        </w:tabs>
        <w:spacing w:line="240" w:lineRule="auto" w:before="53" w:after="0"/>
        <w:ind w:left="899" w:right="0" w:hanging="783"/>
        <w:jc w:val="both"/>
      </w:pPr>
      <w:r>
        <w:rPr/>
        <w:t>Componentes del modelo</w:t>
      </w:r>
      <w:r>
        <w:rPr>
          <w:spacing w:val="-16"/>
        </w:rPr>
        <w:t> </w:t>
      </w:r>
      <w:r>
        <w:rPr/>
        <w:t>SWAT</w:t>
      </w:r>
    </w:p>
    <w:p>
      <w:pPr>
        <w:pStyle w:val="BodyText"/>
        <w:spacing w:before="8"/>
        <w:rPr>
          <w:b/>
          <w:sz w:val="38"/>
        </w:rPr>
      </w:pPr>
    </w:p>
    <w:p>
      <w:pPr>
        <w:pStyle w:val="BodyText"/>
        <w:spacing w:line="360" w:lineRule="auto"/>
        <w:ind w:left="116" w:right="450"/>
        <w:jc w:val="both"/>
      </w:pPr>
      <w:r>
        <w:rPr/>
        <w:pict>
          <v:group style="position:absolute;margin-left:73.660004pt;margin-top:163.536697pt;width:485.1pt;height:381.4pt;mso-position-horizontal-relative:page;mso-position-vertical-relative:paragraph;z-index:2824;mso-wrap-distance-left:0;mso-wrap-distance-right:0" coordorigin="1473,3271" coordsize="9702,7628">
            <v:shape style="position:absolute;left:9893;top:4615;width:166;height:3925" coordorigin="9893,4615" coordsize="166,3925" path="m9893,4615l9893,8540,10058,8540e" filled="false" stroked="true" strokeweight=".96pt" strokecolor="#000000">
              <v:path arrowok="t"/>
            </v:shape>
            <v:shape style="position:absolute;left:9893;top:4615;width:166;height:3001" coordorigin="9893,4615" coordsize="166,3001" path="m9893,4615l9893,7616,10058,7616e" filled="false" stroked="true" strokeweight=".96pt" strokecolor="#000000">
              <v:path arrowok="t"/>
            </v:shape>
            <v:shape style="position:absolute;left:9893;top:4615;width:166;height:2077" coordorigin="9893,4615" coordsize="166,2077" path="m9893,4615l9893,6692,10058,6692e" filled="false" stroked="true" strokeweight=".96pt" strokecolor="#000000">
              <v:path arrowok="t"/>
            </v:shape>
            <v:shape style="position:absolute;left:9893;top:4615;width:166;height:1293" coordorigin="9893,4615" coordsize="166,1293" path="m9893,4615l9893,5907,10058,5907e" filled="false" stroked="true" strokeweight=".96pt" strokecolor="#000000">
              <v:path arrowok="t"/>
            </v:shape>
            <v:shape style="position:absolute;left:9893;top:4615;width:166;height:508" coordorigin="9893,4615" coordsize="166,508" path="m9893,4615l9893,5123,10058,5123e" filled="false" stroked="true" strokeweight=".96pt" strokecolor="#000000">
              <v:path arrowok="t"/>
            </v:shape>
            <v:shape style="position:absolute;left:6187;top:3833;width:4150;height:232" coordorigin="6187,3833" coordsize="4150,232" path="m6187,3833l6187,3949,10337,3949,10337,4065e" filled="false" stroked="true" strokeweight=".96pt" strokecolor="#000000">
              <v:path arrowok="t"/>
            </v:shape>
            <v:shape style="position:absolute;left:6187;top:3833;width:2813;height:232" coordorigin="6187,3833" coordsize="2813,232" path="m6187,3833l6187,3949,9000,3949,9000,4065e" filled="false" stroked="true" strokeweight=".96pt" strokecolor="#000000">
              <v:path arrowok="t"/>
            </v:shape>
            <v:shape style="position:absolute;left:6187;top:3833;width:1477;height:232" coordorigin="6187,3833" coordsize="1477,232" path="m6187,3833l6187,3949,7664,3949,7664,4065e" filled="false" stroked="true" strokeweight=".96pt" strokecolor="#000000">
              <v:path arrowok="t"/>
            </v:shape>
            <v:shape style="position:absolute;left:6187;top:3833;width:141;height:232" coordorigin="6187,3833" coordsize="141,232" path="m6187,3833l6187,3949,6327,3949,6327,4065e" filled="false" stroked="true" strokeweight=".96pt" strokecolor="#467aa9">
              <v:path arrowok="t"/>
            </v:shape>
            <v:shape style="position:absolute;left:4848;top:3833;width:1337;height:232" coordorigin="4848,3833" coordsize="1337,232" path="m6184,3833l6184,3949,4848,3949,4848,4065e" filled="false" stroked="true" strokeweight=".96pt" strokecolor="#467aa9">
              <v:path arrowok="t"/>
            </v:shape>
            <v:shape style="position:absolute;left:3370;top:3833;width:2813;height:232" coordorigin="3370,3833" coordsize="2813,232" path="m6183,3833l6183,3949,3370,3949,3370,4065e" filled="false" stroked="true" strokeweight=".96pt" strokecolor="#467aa9">
              <v:path arrowok="t"/>
            </v:shape>
            <v:shape style="position:absolute;left:2035;top:3833;width:4150;height:232" coordorigin="2035,3833" coordsize="4150,232" path="m6185,3833l6185,3949,2035,3949,2035,4065e" filled="false" stroked="true" strokeweight=".96pt" strokecolor="#000000">
              <v:path arrowok="t"/>
            </v:shape>
            <v:rect style="position:absolute;left:5630;top:3281;width:1109;height:552" filled="false" stroked="true" strokeweight=".96pt" strokecolor="#000000"/>
            <v:shape style="position:absolute;left:1594;top:4615;width:166;height:5998" coordorigin="1594,4615" coordsize="166,5998" path="m1594,4615l1594,10613,1759,10613e" filled="false" stroked="true" strokeweight=".96pt" strokecolor="#000000">
              <v:path arrowok="t"/>
            </v:shape>
            <v:shape style="position:absolute;left:1594;top:4615;width:166;height:5214" coordorigin="1594,4615" coordsize="166,5214" path="m1594,4615l1594,9828,1759,9828e" filled="false" stroked="true" strokeweight=".96pt" strokecolor="#000000">
              <v:path arrowok="t"/>
            </v:shape>
            <v:shape style="position:absolute;left:1594;top:4615;width:166;height:4429" coordorigin="1594,4615" coordsize="166,4429" path="m1594,4615l1594,9044,1759,9044e" filled="false" stroked="true" strokeweight=".96pt" strokecolor="#000000">
              <v:path arrowok="t"/>
            </v:shape>
            <v:shape style="position:absolute;left:1594;top:4615;width:166;height:3645" coordorigin="1594,4615" coordsize="166,3645" path="m1594,4615l1594,8260,1759,8260e" filled="false" stroked="true" strokeweight=".96pt" strokecolor="#000000">
              <v:path arrowok="t"/>
            </v:shape>
            <v:shape style="position:absolute;left:1594;top:4615;width:166;height:2861" coordorigin="1594,4615" coordsize="166,2861" path="m1594,4615l1594,7476,1759,7476e" filled="false" stroked="true" strokeweight=".96pt" strokecolor="#000000">
              <v:path arrowok="t"/>
            </v:shape>
            <v:shape style="position:absolute;left:1594;top:4615;width:166;height:2077" coordorigin="1594,4615" coordsize="166,2077" path="m1594,4615l1594,6692,1759,6692e" filled="false" stroked="true" strokeweight=".96pt" strokecolor="#528bc1">
              <v:path arrowok="t"/>
            </v:shape>
            <v:shape style="position:absolute;left:1594;top:4615;width:166;height:1293" coordorigin="1594,4615" coordsize="166,1293" path="m1594,4615l1594,5907,1759,5907e" filled="false" stroked="true" strokeweight=".96pt" strokecolor="#000000">
              <v:path arrowok="t"/>
            </v:shape>
            <v:shape style="position:absolute;left:1594;top:4615;width:166;height:508" coordorigin="1594,4615" coordsize="166,508" path="m1594,4615l1594,5123,1759,5123e" filled="false" stroked="true" strokeweight=".96pt" strokecolor="#000000">
              <v:path arrowok="t"/>
            </v:shape>
            <v:rect style="position:absolute;left:1483;top:4063;width:1104;height:552" filled="false" stroked="true" strokeweight=".96pt" strokecolor="#000000"/>
            <v:shape style="position:absolute;left:2928;top:4615;width:166;height:2193" coordorigin="2928,4615" coordsize="166,2193" path="m2928,4615l2928,6808,3094,6808e" filled="false" stroked="true" strokeweight=".96pt" strokecolor="#000000">
              <v:path arrowok="t"/>
            </v:shape>
            <v:shape style="position:absolute;left:2928;top:4615;width:166;height:1293" coordorigin="2928,4615" coordsize="166,1293" path="m2928,4615l2928,5907,3094,5907e" filled="false" stroked="true" strokeweight=".96pt" strokecolor="#000000">
              <v:path arrowok="t"/>
            </v:shape>
            <v:shape style="position:absolute;left:2928;top:4615;width:166;height:508" coordorigin="2928,4615" coordsize="166,508" path="m2928,4615l2928,5123,3094,5123e" filled="false" stroked="true" strokeweight=".96pt" strokecolor="#000000">
              <v:path arrowok="t"/>
            </v:shape>
            <v:rect style="position:absolute;left:1762;top:4846;width:1104;height:557" filled="false" stroked="true" strokeweight=".96pt" strokecolor="#000000"/>
            <v:rect style="position:absolute;left:1762;top:5633;width:1104;height:552" filled="false" stroked="true" strokeweight=".96pt" strokecolor="#000000"/>
            <v:rect style="position:absolute;left:1762;top:6415;width:1104;height:552" filled="false" stroked="true" strokeweight=".96pt" strokecolor="#000000"/>
            <v:rect style="position:absolute;left:1762;top:7202;width:1104;height:552" filled="false" stroked="true" strokeweight=".96pt" strokecolor="#000000"/>
            <v:rect style="position:absolute;left:1762;top:7985;width:1104;height:552" filled="false" stroked="true" strokeweight=".96pt" strokecolor="#000000"/>
            <v:rect style="position:absolute;left:1762;top:8767;width:1104;height:552" filled="false" stroked="true" strokeweight=".96pt" strokecolor="#000000"/>
            <v:rect style="position:absolute;left:1762;top:9554;width:1104;height:552" filled="false" stroked="true" strokeweight=".96pt" strokecolor="#000000"/>
            <v:rect style="position:absolute;left:1762;top:10337;width:1104;height:552" filled="false" stroked="true" strokeweight=".96pt" strokecolor="#000000"/>
            <v:rect style="position:absolute;left:2818;top:4063;width:1109;height:552" filled="false" stroked="true" strokeweight=".96pt" strokecolor="#000000"/>
            <v:rect style="position:absolute;left:3096;top:4846;width:1104;height:557" filled="false" stroked="true" strokeweight=".96pt" strokecolor="#000000"/>
            <v:rect style="position:absolute;left:3096;top:5633;width:1104;height:552" filled="false" stroked="true" strokeweight=".96pt" strokecolor="#000000"/>
            <v:rect style="position:absolute;left:3096;top:6415;width:1104;height:787" filled="false" stroked="true" strokeweight=".96pt" strokecolor="#000000"/>
            <v:shape style="position:absolute;left:4296;top:4615;width:208;height:1293" coordorigin="4296,4615" coordsize="208,1293" path="m4296,4615l4296,5907,4504,5907e" filled="false" stroked="true" strokeweight=".96pt" strokecolor="#000000">
              <v:path arrowok="t"/>
            </v:shape>
            <v:shape style="position:absolute;left:4296;top:4615;width:208;height:508" coordorigin="4296,4615" coordsize="208,508" path="m4296,4615l4296,5123,4504,5123e" filled="false" stroked="true" strokeweight=".96pt" strokecolor="#000000">
              <v:path arrowok="t"/>
            </v:shape>
            <v:rect style="position:absolute;left:4157;top:4063;width:1382;height:552" filled="false" stroked="true" strokeweight=".96pt" strokecolor="#000000"/>
            <v:rect style="position:absolute;left:4502;top:4846;width:1104;height:557" filled="false" stroked="true" strokeweight=".96pt" strokecolor="#000000"/>
            <v:rect style="position:absolute;left:4502;top:5633;width:1104;height:552" filled="false" stroked="true" strokeweight=".96pt" strokecolor="#000000"/>
            <v:rect style="position:absolute;left:5774;top:4063;width:1104;height:552" filled="false" stroked="true" strokeweight=".96pt" strokecolor="#000000"/>
            <v:shape style="position:absolute;left:7219;top:4615;width:166;height:2077" coordorigin="7219,4615" coordsize="166,2077" path="m7219,4615l7219,6692,7385,6692e" filled="false" stroked="true" strokeweight=".96pt" strokecolor="#000000">
              <v:path arrowok="t"/>
            </v:shape>
            <v:shape style="position:absolute;left:7219;top:4615;width:166;height:1293" coordorigin="7219,4615" coordsize="166,1293" path="m7219,4615l7219,5907,7385,5907e" filled="false" stroked="true" strokeweight=".96pt" strokecolor="#000000">
              <v:path arrowok="t"/>
            </v:shape>
            <v:shape style="position:absolute;left:7219;top:4615;width:166;height:508" coordorigin="7219,4615" coordsize="166,508" path="m7219,4615l7219,5123,7385,5123e" filled="false" stroked="true" strokeweight=".96pt" strokecolor="#000000">
              <v:path arrowok="t"/>
            </v:shape>
            <v:rect style="position:absolute;left:7109;top:4063;width:1104;height:552" filled="false" stroked="true" strokeweight=".96pt" strokecolor="#000000"/>
            <v:shape style="position:absolute;left:8558;top:4615;width:166;height:1293" coordorigin="8558,4615" coordsize="166,1293" path="m8558,4615l8558,5907,8724,5907e" filled="false" stroked="true" strokeweight=".96pt" strokecolor="#000000">
              <v:path arrowok="t"/>
            </v:shape>
            <v:shape style="position:absolute;left:8558;top:4615;width:166;height:508" coordorigin="8558,4615" coordsize="166,508" path="m8558,4615l8558,5123,8724,5123e" filled="false" stroked="true" strokeweight=".96pt" strokecolor="#000000">
              <v:path arrowok="t"/>
            </v:shape>
            <v:rect style="position:absolute;left:7387;top:4846;width:1104;height:557" filled="false" stroked="true" strokeweight=".96pt" strokecolor="#000000"/>
            <v:rect style="position:absolute;left:7387;top:5633;width:1104;height:552" filled="false" stroked="true" strokeweight=".96pt" strokecolor="#000000"/>
            <v:rect style="position:absolute;left:7387;top:6415;width:1104;height:552" filled="false" stroked="true" strokeweight=".96pt" strokecolor="#000000"/>
            <v:rect style="position:absolute;left:8448;top:4063;width:1104;height:552" filled="false" stroked="true" strokeweight=".96pt" strokecolor="#000000"/>
            <v:rect style="position:absolute;left:8722;top:4846;width:1104;height:557" filled="false" stroked="true" strokeweight=".96pt" strokecolor="#000000"/>
            <v:rect style="position:absolute;left:8722;top:5633;width:1104;height:552" filled="false" stroked="true" strokeweight=".96pt" strokecolor="#000000"/>
            <v:rect style="position:absolute;left:9782;top:4063;width:1104;height:552" filled="false" stroked="true" strokeweight=".96pt" strokecolor="#000000"/>
            <v:rect style="position:absolute;left:10056;top:4846;width:1109;height:557" filled="false" stroked="true" strokeweight=".96pt" strokecolor="#000000"/>
            <v:rect style="position:absolute;left:10056;top:5633;width:1109;height:552" filled="false" stroked="true" strokeweight=".96pt" strokecolor="#000000"/>
            <v:rect style="position:absolute;left:10056;top:6415;width:1109;height:552" filled="false" stroked="true" strokeweight=".96pt" strokecolor="#000000"/>
            <v:rect style="position:absolute;left:10056;top:7202;width:1109;height:830" filled="false" stroked="true" strokeweight=".96pt" strokecolor="#000000"/>
            <v:rect style="position:absolute;left:10056;top:8263;width:1109;height:552" filled="false" stroked="true" strokeweight=".96pt" strokecolor="#000000"/>
            <v:shape style="position:absolute;left:5592;top:3281;width:1148;height:552" type="#_x0000_t202" filled="false" stroked="false">
              <v:textbox inset="0,0,0,0">
                <w:txbxContent>
                  <w:p>
                    <w:pPr>
                      <w:spacing w:before="128"/>
                      <w:ind w:left="318" w:right="0" w:firstLine="0"/>
                      <w:jc w:val="left"/>
                      <w:rPr>
                        <w:rFonts w:ascii="Calibri"/>
                        <w:b/>
                        <w:sz w:val="22"/>
                      </w:rPr>
                    </w:pPr>
                    <w:r>
                      <w:rPr>
                        <w:rFonts w:ascii="Calibri"/>
                        <w:b/>
                        <w:sz w:val="22"/>
                      </w:rPr>
                      <w:t>SWAT</w:t>
                    </w:r>
                  </w:p>
                </w:txbxContent>
              </v:textbox>
              <w10:wrap type="none"/>
            </v:shape>
            <v:shape style="position:absolute;left:1483;top:4063;width:1104;height:552" type="#_x0000_t202" filled="false" stroked="false">
              <v:textbox inset="0,0,0,0">
                <w:txbxContent>
                  <w:p>
                    <w:pPr>
                      <w:spacing w:before="157"/>
                      <w:ind w:left="62" w:right="0" w:firstLine="0"/>
                      <w:jc w:val="left"/>
                      <w:rPr>
                        <w:rFonts w:ascii="Calibri" w:hAnsi="Calibri"/>
                        <w:sz w:val="18"/>
                      </w:rPr>
                    </w:pPr>
                    <w:r>
                      <w:rPr>
                        <w:rFonts w:ascii="Calibri" w:hAnsi="Calibri"/>
                        <w:b/>
                        <w:sz w:val="18"/>
                      </w:rPr>
                      <w:t>HIDROLOGÍ</w:t>
                    </w:r>
                    <w:r>
                      <w:rPr>
                        <w:rFonts w:ascii="Calibri" w:hAnsi="Calibri"/>
                        <w:sz w:val="18"/>
                      </w:rPr>
                      <w:t>A</w:t>
                    </w:r>
                  </w:p>
                </w:txbxContent>
              </v:textbox>
              <w10:wrap type="none"/>
            </v:shape>
            <v:shape style="position:absolute;left:2866;top:4063;width:1060;height:552" type="#_x0000_t202" filled="false" stroked="false">
              <v:textbox inset="0,0,0,0">
                <w:txbxContent>
                  <w:p>
                    <w:pPr>
                      <w:spacing w:before="157"/>
                      <w:ind w:left="260" w:right="0" w:firstLine="0"/>
                      <w:jc w:val="left"/>
                      <w:rPr>
                        <w:rFonts w:ascii="Calibri"/>
                        <w:b/>
                        <w:sz w:val="18"/>
                      </w:rPr>
                    </w:pPr>
                    <w:r>
                      <w:rPr>
                        <w:rFonts w:ascii="Calibri"/>
                        <w:b/>
                        <w:sz w:val="18"/>
                      </w:rPr>
                      <w:t>CLIMA</w:t>
                    </w:r>
                  </w:p>
                </w:txbxContent>
              </v:textbox>
              <w10:wrap type="none"/>
            </v:shape>
            <v:shape style="position:absolute;left:4189;top:4063;width:1407;height:552" type="#_x0000_t202" filled="false" stroked="false">
              <v:textbox inset="0,0,0,0">
                <w:txbxContent>
                  <w:p>
                    <w:pPr>
                      <w:spacing w:line="240" w:lineRule="auto" w:before="0"/>
                      <w:rPr>
                        <w:sz w:val="15"/>
                      </w:rPr>
                    </w:pPr>
                  </w:p>
                  <w:p>
                    <w:pPr>
                      <w:spacing w:before="0"/>
                      <w:ind w:left="96" w:right="0" w:firstLine="0"/>
                      <w:jc w:val="left"/>
                      <w:rPr>
                        <w:rFonts w:ascii="Calibri" w:hAnsi="Calibri"/>
                        <w:b/>
                        <w:sz w:val="16"/>
                      </w:rPr>
                    </w:pPr>
                    <w:r>
                      <w:rPr>
                        <w:rFonts w:ascii="Calibri" w:hAnsi="Calibri"/>
                        <w:b/>
                        <w:sz w:val="16"/>
                      </w:rPr>
                      <w:t>SEDIMENTACIÓN</w:t>
                    </w:r>
                  </w:p>
                </w:txbxContent>
              </v:textbox>
              <w10:wrap type="none"/>
            </v:shape>
            <v:shape style="position:absolute;left:5774;top:4063;width:1104;height:552" type="#_x0000_t202" filled="false" stroked="false">
              <v:textbox inset="0,0,0,0">
                <w:txbxContent>
                  <w:p>
                    <w:pPr>
                      <w:spacing w:line="154" w:lineRule="exact" w:before="40"/>
                      <w:ind w:left="21" w:right="18" w:firstLine="0"/>
                      <w:jc w:val="center"/>
                      <w:rPr>
                        <w:rFonts w:ascii="Calibri"/>
                        <w:b/>
                        <w:sz w:val="14"/>
                      </w:rPr>
                    </w:pPr>
                    <w:r>
                      <w:rPr>
                        <w:rFonts w:ascii="Calibri"/>
                        <w:b/>
                        <w:sz w:val="14"/>
                      </w:rPr>
                      <w:t>MODELO DEL CRECIMIENTO DEL CULTIVO</w:t>
                    </w:r>
                  </w:p>
                </w:txbxContent>
              </v:textbox>
              <w10:wrap type="none"/>
            </v:shape>
            <v:shape style="position:absolute;left:7109;top:4063;width:1104;height:552" type="#_x0000_t202" filled="false" stroked="false">
              <v:textbox inset="0,0,0,0">
                <w:txbxContent>
                  <w:p>
                    <w:pPr>
                      <w:spacing w:before="157"/>
                      <w:ind w:left="74" w:right="0" w:firstLine="0"/>
                      <w:jc w:val="left"/>
                      <w:rPr>
                        <w:rFonts w:ascii="Calibri"/>
                        <w:b/>
                        <w:sz w:val="18"/>
                      </w:rPr>
                    </w:pPr>
                    <w:r>
                      <w:rPr>
                        <w:rFonts w:ascii="Calibri"/>
                        <w:b/>
                        <w:sz w:val="18"/>
                      </w:rPr>
                      <w:t>NUTRIENTES</w:t>
                    </w:r>
                  </w:p>
                </w:txbxContent>
              </v:textbox>
              <w10:wrap type="none"/>
            </v:shape>
            <v:shape style="position:absolute;left:8503;top:4063;width:1050;height:552" type="#_x0000_t202" filled="false" stroked="false">
              <v:textbox inset="0,0,0,0">
                <w:txbxContent>
                  <w:p>
                    <w:pPr>
                      <w:spacing w:line="209" w:lineRule="exact" w:before="58"/>
                      <w:ind w:left="0" w:right="52" w:firstLine="0"/>
                      <w:jc w:val="center"/>
                      <w:rPr>
                        <w:rFonts w:ascii="Calibri"/>
                        <w:b/>
                        <w:sz w:val="18"/>
                      </w:rPr>
                    </w:pPr>
                    <w:r>
                      <w:rPr>
                        <w:rFonts w:ascii="Calibri"/>
                        <w:b/>
                        <w:sz w:val="18"/>
                      </w:rPr>
                      <w:t>MANEJO DEL</w:t>
                    </w:r>
                  </w:p>
                  <w:p>
                    <w:pPr>
                      <w:spacing w:line="209" w:lineRule="exact" w:before="0"/>
                      <w:ind w:left="0" w:right="53" w:firstLine="0"/>
                      <w:jc w:val="center"/>
                      <w:rPr>
                        <w:rFonts w:ascii="Calibri"/>
                        <w:b/>
                        <w:sz w:val="18"/>
                      </w:rPr>
                    </w:pPr>
                    <w:r>
                      <w:rPr>
                        <w:rFonts w:ascii="Calibri"/>
                        <w:b/>
                        <w:sz w:val="18"/>
                      </w:rPr>
                      <w:t>CULTIVO</w:t>
                    </w:r>
                  </w:p>
                </w:txbxContent>
              </v:textbox>
              <w10:wrap type="none"/>
            </v:shape>
            <v:shape style="position:absolute;left:9782;top:4063;width:1104;height:552" type="#_x0000_t202" filled="false" stroked="false">
              <v:textbox inset="0,0,0,0">
                <w:txbxContent>
                  <w:p>
                    <w:pPr>
                      <w:spacing w:line="216" w:lineRule="auto" w:before="12"/>
                      <w:ind w:left="36" w:right="32" w:firstLine="0"/>
                      <w:jc w:val="center"/>
                      <w:rPr>
                        <w:rFonts w:ascii="Calibri"/>
                        <w:b/>
                        <w:sz w:val="16"/>
                      </w:rPr>
                    </w:pPr>
                    <w:r>
                      <w:rPr>
                        <w:rFonts w:ascii="Calibri"/>
                        <w:b/>
                        <w:w w:val="95"/>
                        <w:sz w:val="16"/>
                      </w:rPr>
                      <w:t>COMPONENTES </w:t>
                    </w:r>
                    <w:r>
                      <w:rPr>
                        <w:rFonts w:ascii="Calibri"/>
                        <w:b/>
                        <w:sz w:val="16"/>
                      </w:rPr>
                      <w:t>DE       TRANSPORTE</w:t>
                    </w:r>
                  </w:p>
                </w:txbxContent>
              </v:textbox>
              <w10:wrap type="none"/>
            </v:shape>
            <v:shape style="position:absolute;left:1762;top:4846;width:1105;height:557" type="#_x0000_t202" filled="false" stroked="false">
              <v:textbox inset="0,0,0,0">
                <w:txbxContent>
                  <w:p>
                    <w:pPr>
                      <w:spacing w:line="184" w:lineRule="exact" w:before="86"/>
                      <w:ind w:left="79" w:right="79" w:firstLine="0"/>
                      <w:jc w:val="center"/>
                      <w:rPr>
                        <w:rFonts w:ascii="Calibri"/>
                        <w:sz w:val="16"/>
                      </w:rPr>
                    </w:pPr>
                    <w:r>
                      <w:rPr>
                        <w:rFonts w:ascii="Calibri"/>
                        <w:sz w:val="16"/>
                      </w:rPr>
                      <w:t>Escurrimiento</w:t>
                    </w:r>
                  </w:p>
                  <w:p>
                    <w:pPr>
                      <w:spacing w:line="184" w:lineRule="exact" w:before="0"/>
                      <w:ind w:left="77" w:right="79" w:firstLine="0"/>
                      <w:jc w:val="center"/>
                      <w:rPr>
                        <w:rFonts w:ascii="Calibri"/>
                        <w:sz w:val="16"/>
                      </w:rPr>
                    </w:pPr>
                    <w:r>
                      <w:rPr>
                        <w:rFonts w:ascii="Calibri"/>
                        <w:sz w:val="16"/>
                      </w:rPr>
                      <w:t>superficial</w:t>
                    </w:r>
                  </w:p>
                </w:txbxContent>
              </v:textbox>
              <w10:wrap type="none"/>
            </v:shape>
            <v:shape style="position:absolute;left:3096;top:4846;width:1094;height:557" type="#_x0000_t202" filled="false" stroked="false">
              <v:textbox inset="0,0,0,0">
                <w:txbxContent>
                  <w:p>
                    <w:pPr>
                      <w:spacing w:line="240" w:lineRule="auto" w:before="1"/>
                      <w:rPr>
                        <w:sz w:val="15"/>
                      </w:rPr>
                    </w:pPr>
                  </w:p>
                  <w:p>
                    <w:pPr>
                      <w:spacing w:before="1"/>
                      <w:ind w:left="133" w:right="0" w:firstLine="0"/>
                      <w:jc w:val="left"/>
                      <w:rPr>
                        <w:rFonts w:ascii="Calibri" w:hAnsi="Calibri"/>
                        <w:sz w:val="16"/>
                      </w:rPr>
                    </w:pPr>
                    <w:r>
                      <w:rPr>
                        <w:rFonts w:ascii="Calibri" w:hAnsi="Calibri"/>
                        <w:sz w:val="16"/>
                      </w:rPr>
                      <w:t>Precipitación</w:t>
                    </w:r>
                  </w:p>
                </w:txbxContent>
              </v:textbox>
              <w10:wrap type="none"/>
            </v:shape>
            <v:shape style="position:absolute;left:4502;top:4846;width:1096;height:557" type="#_x0000_t202" filled="false" stroked="false">
              <v:textbox inset="0,0,0,0">
                <w:txbxContent>
                  <w:p>
                    <w:pPr>
                      <w:spacing w:line="184" w:lineRule="exact" w:before="86"/>
                      <w:ind w:left="91" w:right="0" w:firstLine="0"/>
                      <w:jc w:val="left"/>
                      <w:rPr>
                        <w:rFonts w:ascii="Calibri" w:hAnsi="Calibri"/>
                        <w:sz w:val="16"/>
                      </w:rPr>
                    </w:pPr>
                    <w:r>
                      <w:rPr>
                        <w:rFonts w:ascii="Calibri" w:hAnsi="Calibri"/>
                        <w:sz w:val="16"/>
                      </w:rPr>
                      <w:t>Producción de</w:t>
                    </w:r>
                  </w:p>
                  <w:p>
                    <w:pPr>
                      <w:spacing w:line="184" w:lineRule="exact" w:before="0"/>
                      <w:ind w:left="182" w:right="0" w:firstLine="0"/>
                      <w:jc w:val="left"/>
                      <w:rPr>
                        <w:rFonts w:ascii="Calibri"/>
                        <w:sz w:val="16"/>
                      </w:rPr>
                    </w:pPr>
                    <w:r>
                      <w:rPr>
                        <w:rFonts w:ascii="Calibri"/>
                        <w:sz w:val="16"/>
                      </w:rPr>
                      <w:t>sedimentos</w:t>
                    </w:r>
                  </w:p>
                </w:txbxContent>
              </v:textbox>
              <w10:wrap type="none"/>
            </v:shape>
            <v:shape style="position:absolute;left:7387;top:4846;width:1116;height:557" type="#_x0000_t202" filled="false" stroked="false">
              <v:textbox inset="0,0,0,0">
                <w:txbxContent>
                  <w:p>
                    <w:pPr>
                      <w:spacing w:line="240" w:lineRule="auto" w:before="1"/>
                      <w:rPr>
                        <w:sz w:val="15"/>
                      </w:rPr>
                    </w:pPr>
                  </w:p>
                  <w:p>
                    <w:pPr>
                      <w:spacing w:before="1"/>
                      <w:ind w:left="230" w:right="0" w:firstLine="0"/>
                      <w:jc w:val="left"/>
                      <w:rPr>
                        <w:rFonts w:ascii="Calibri" w:hAnsi="Calibri"/>
                        <w:sz w:val="16"/>
                      </w:rPr>
                    </w:pPr>
                    <w:r>
                      <w:rPr>
                        <w:rFonts w:ascii="Calibri" w:hAnsi="Calibri"/>
                        <w:sz w:val="16"/>
                      </w:rPr>
                      <w:t>Nitrógeno</w:t>
                    </w:r>
                  </w:p>
                </w:txbxContent>
              </v:textbox>
              <w10:wrap type="none"/>
            </v:shape>
            <v:shape style="position:absolute;left:8722;top:4846;width:1172;height:557" type="#_x0000_t202" filled="false" stroked="false">
              <v:textbox inset="0,0,0,0">
                <w:txbxContent>
                  <w:p>
                    <w:pPr>
                      <w:spacing w:line="184" w:lineRule="exact" w:before="86"/>
                      <w:ind w:left="208" w:right="0" w:firstLine="0"/>
                      <w:jc w:val="left"/>
                      <w:rPr>
                        <w:rFonts w:ascii="Calibri"/>
                        <w:sz w:val="16"/>
                      </w:rPr>
                    </w:pPr>
                    <w:r>
                      <w:rPr>
                        <w:rFonts w:ascii="Calibri"/>
                        <w:sz w:val="16"/>
                      </w:rPr>
                      <w:t>Labranza y</w:t>
                    </w:r>
                  </w:p>
                  <w:p>
                    <w:pPr>
                      <w:spacing w:line="184" w:lineRule="exact" w:before="0"/>
                      <w:ind w:left="285" w:right="0" w:firstLine="0"/>
                      <w:jc w:val="left"/>
                      <w:rPr>
                        <w:rFonts w:ascii="Calibri"/>
                        <w:sz w:val="16"/>
                      </w:rPr>
                    </w:pPr>
                    <w:r>
                      <w:rPr>
                        <w:rFonts w:ascii="Calibri"/>
                        <w:sz w:val="16"/>
                      </w:rPr>
                      <w:t>residuos</w:t>
                    </w:r>
                  </w:p>
                </w:txbxContent>
              </v:textbox>
              <w10:wrap type="none"/>
            </v:shape>
            <v:shape style="position:absolute;left:10056;top:4846;width:1109;height:557" type="#_x0000_t202" filled="false" stroked="false">
              <v:textbox inset="0,0,0,0">
                <w:txbxContent>
                  <w:p>
                    <w:pPr>
                      <w:spacing w:line="154" w:lineRule="exact" w:before="119"/>
                      <w:ind w:left="32" w:right="1" w:firstLine="124"/>
                      <w:jc w:val="left"/>
                      <w:rPr>
                        <w:rFonts w:ascii="Calibri"/>
                        <w:sz w:val="14"/>
                      </w:rPr>
                    </w:pPr>
                    <w:r>
                      <w:rPr>
                        <w:rFonts w:ascii="Calibri"/>
                        <w:sz w:val="14"/>
                      </w:rPr>
                      <w:t>Transporte de agua en los cauces</w:t>
                    </w:r>
                  </w:p>
                </w:txbxContent>
              </v:textbox>
              <w10:wrap type="none"/>
            </v:shape>
            <v:shape style="position:absolute;left:1762;top:5633;width:1105;height:552" type="#_x0000_t202" filled="false" stroked="false">
              <v:textbox inset="0,0,0,0">
                <w:txbxContent>
                  <w:p>
                    <w:pPr>
                      <w:spacing w:line="240" w:lineRule="auto" w:before="11"/>
                      <w:rPr>
                        <w:sz w:val="14"/>
                      </w:rPr>
                    </w:pPr>
                  </w:p>
                  <w:p>
                    <w:pPr>
                      <w:spacing w:before="0"/>
                      <w:ind w:left="174" w:right="0" w:firstLine="0"/>
                      <w:jc w:val="left"/>
                      <w:rPr>
                        <w:rFonts w:ascii="Calibri" w:hAnsi="Calibri"/>
                        <w:sz w:val="16"/>
                      </w:rPr>
                    </w:pPr>
                    <w:r>
                      <w:rPr>
                        <w:rFonts w:ascii="Calibri" w:hAnsi="Calibri"/>
                        <w:sz w:val="16"/>
                      </w:rPr>
                      <w:t>Percolación</w:t>
                    </w:r>
                  </w:p>
                </w:txbxContent>
              </v:textbox>
              <w10:wrap type="none"/>
            </v:shape>
            <v:shape style="position:absolute;left:3096;top:5633;width:1094;height:552" type="#_x0000_t202" filled="false" stroked="false">
              <v:textbox inset="0,0,0,0">
                <w:txbxContent>
                  <w:p>
                    <w:pPr>
                      <w:spacing w:line="154" w:lineRule="exact" w:before="39"/>
                      <w:ind w:left="54" w:right="46" w:firstLine="0"/>
                      <w:jc w:val="center"/>
                      <w:rPr>
                        <w:rFonts w:ascii="Calibri" w:hAnsi="Calibri"/>
                        <w:sz w:val="14"/>
                      </w:rPr>
                    </w:pPr>
                    <w:r>
                      <w:rPr>
                        <w:rFonts w:ascii="Calibri" w:hAnsi="Calibri"/>
                        <w:sz w:val="14"/>
                      </w:rPr>
                      <w:t>Temperatura del aire y radiación solar</w:t>
                    </w:r>
                  </w:p>
                </w:txbxContent>
              </v:textbox>
              <w10:wrap type="none"/>
            </v:shape>
            <v:shape style="position:absolute;left:4502;top:5633;width:1096;height:552" type="#_x0000_t202" filled="false" stroked="false">
              <v:textbox inset="0,0,0,0">
                <w:txbxContent>
                  <w:p>
                    <w:pPr>
                      <w:spacing w:line="184" w:lineRule="exact" w:before="84"/>
                      <w:ind w:left="5" w:right="0" w:firstLine="0"/>
                      <w:jc w:val="center"/>
                      <w:rPr>
                        <w:rFonts w:ascii="Calibri"/>
                        <w:sz w:val="16"/>
                      </w:rPr>
                    </w:pPr>
                    <w:r>
                      <w:rPr>
                        <w:rFonts w:ascii="Calibri"/>
                        <w:sz w:val="16"/>
                      </w:rPr>
                      <w:t>Temperatura del</w:t>
                    </w:r>
                  </w:p>
                  <w:p>
                    <w:pPr>
                      <w:spacing w:line="184" w:lineRule="exact" w:before="0"/>
                      <w:ind w:left="15" w:right="0" w:firstLine="0"/>
                      <w:jc w:val="center"/>
                      <w:rPr>
                        <w:rFonts w:ascii="Calibri"/>
                        <w:sz w:val="16"/>
                      </w:rPr>
                    </w:pPr>
                    <w:r>
                      <w:rPr>
                        <w:rFonts w:ascii="Calibri"/>
                        <w:sz w:val="16"/>
                      </w:rPr>
                      <w:t>suelo</w:t>
                    </w:r>
                  </w:p>
                </w:txbxContent>
              </v:textbox>
              <w10:wrap type="none"/>
            </v:shape>
            <v:shape style="position:absolute;left:7387;top:5633;width:1116;height:552" type="#_x0000_t202" filled="false" stroked="false">
              <v:textbox inset="0,0,0,0">
                <w:txbxContent>
                  <w:p>
                    <w:pPr>
                      <w:spacing w:line="240" w:lineRule="auto" w:before="11"/>
                      <w:rPr>
                        <w:sz w:val="14"/>
                      </w:rPr>
                    </w:pPr>
                  </w:p>
                  <w:p>
                    <w:pPr>
                      <w:spacing w:before="0"/>
                      <w:ind w:left="311" w:right="0" w:firstLine="0"/>
                      <w:jc w:val="left"/>
                      <w:rPr>
                        <w:rFonts w:ascii="Calibri" w:hAnsi="Calibri"/>
                        <w:sz w:val="16"/>
                      </w:rPr>
                    </w:pPr>
                    <w:r>
                      <w:rPr>
                        <w:rFonts w:ascii="Calibri" w:hAnsi="Calibri"/>
                        <w:sz w:val="16"/>
                      </w:rPr>
                      <w:t>Fósforo</w:t>
                    </w:r>
                  </w:p>
                </w:txbxContent>
              </v:textbox>
              <w10:wrap type="none"/>
            </v:shape>
            <v:shape style="position:absolute;left:8722;top:5633;width:1172;height:552" type="#_x0000_t202" filled="false" stroked="false">
              <v:textbox inset="0,0,0,0">
                <w:txbxContent>
                  <w:p>
                    <w:pPr>
                      <w:spacing w:line="240" w:lineRule="auto" w:before="11"/>
                      <w:rPr>
                        <w:sz w:val="14"/>
                      </w:rPr>
                    </w:pPr>
                  </w:p>
                  <w:p>
                    <w:pPr>
                      <w:spacing w:before="0"/>
                      <w:ind w:left="376" w:right="0" w:firstLine="0"/>
                      <w:jc w:val="left"/>
                      <w:rPr>
                        <w:rFonts w:ascii="Calibri"/>
                        <w:sz w:val="16"/>
                      </w:rPr>
                    </w:pPr>
                    <w:r>
                      <w:rPr>
                        <w:rFonts w:ascii="Calibri"/>
                        <w:sz w:val="16"/>
                      </w:rPr>
                      <w:t>Riego</w:t>
                    </w:r>
                  </w:p>
                </w:txbxContent>
              </v:textbox>
              <w10:wrap type="none"/>
            </v:shape>
            <v:shape style="position:absolute;left:10056;top:5633;width:1109;height:552" type="#_x0000_t202" filled="false" stroked="false">
              <v:textbox inset="0,0,0,0">
                <w:txbxContent>
                  <w:p>
                    <w:pPr>
                      <w:spacing w:line="154" w:lineRule="exact" w:before="39"/>
                      <w:ind w:left="142" w:right="133" w:firstLine="2"/>
                      <w:jc w:val="center"/>
                      <w:rPr>
                        <w:rFonts w:ascii="Calibri"/>
                        <w:sz w:val="14"/>
                      </w:rPr>
                    </w:pPr>
                    <w:r>
                      <w:rPr>
                        <w:rFonts w:ascii="Calibri"/>
                        <w:sz w:val="14"/>
                      </w:rPr>
                      <w:t>Transporte de sedimentos</w:t>
                    </w:r>
                    <w:r>
                      <w:rPr>
                        <w:rFonts w:ascii="Calibri"/>
                        <w:spacing w:val="-10"/>
                        <w:sz w:val="14"/>
                      </w:rPr>
                      <w:t> </w:t>
                    </w:r>
                    <w:r>
                      <w:rPr>
                        <w:rFonts w:ascii="Calibri"/>
                        <w:sz w:val="14"/>
                      </w:rPr>
                      <w:t>en cauces</w:t>
                    </w:r>
                  </w:p>
                </w:txbxContent>
              </v:textbox>
              <w10:wrap type="none"/>
            </v:shape>
            <v:shape style="position:absolute;left:1762;top:6415;width:1105;height:552" type="#_x0000_t202" filled="false" stroked="false">
              <v:textbox inset="0,0,0,0">
                <w:txbxContent>
                  <w:p>
                    <w:pPr>
                      <w:spacing w:line="172" w:lineRule="exact" w:before="101"/>
                      <w:ind w:left="102" w:right="0" w:firstLine="62"/>
                      <w:jc w:val="left"/>
                      <w:rPr>
                        <w:rFonts w:ascii="Calibri"/>
                        <w:sz w:val="16"/>
                      </w:rPr>
                    </w:pPr>
                    <w:r>
                      <w:rPr>
                        <w:rFonts w:ascii="Calibri"/>
                        <w:sz w:val="16"/>
                      </w:rPr>
                      <w:t>Flujo lateral subsuperficial</w:t>
                    </w:r>
                  </w:p>
                </w:txbxContent>
              </v:textbox>
              <w10:wrap type="none"/>
            </v:shape>
            <v:shape style="position:absolute;left:3096;top:6415;width:1094;height:788" type="#_x0000_t202" filled="false" stroked="false">
              <v:textbox inset="0,0,0,0">
                <w:txbxContent>
                  <w:p>
                    <w:pPr>
                      <w:spacing w:line="240" w:lineRule="auto" w:before="7"/>
                      <w:rPr>
                        <w:sz w:val="13"/>
                      </w:rPr>
                    </w:pPr>
                  </w:p>
                  <w:p>
                    <w:pPr>
                      <w:spacing w:line="154" w:lineRule="exact" w:before="0"/>
                      <w:ind w:left="41" w:right="26" w:hanging="3"/>
                      <w:jc w:val="center"/>
                      <w:rPr>
                        <w:rFonts w:ascii="Calibri"/>
                        <w:sz w:val="14"/>
                      </w:rPr>
                    </w:pPr>
                    <w:r>
                      <w:rPr>
                        <w:rFonts w:ascii="Calibri"/>
                        <w:sz w:val="14"/>
                      </w:rPr>
                      <w:t>Velocidad del viento y</w:t>
                    </w:r>
                    <w:r>
                      <w:rPr>
                        <w:rFonts w:ascii="Calibri"/>
                        <w:spacing w:val="-10"/>
                        <w:sz w:val="14"/>
                      </w:rPr>
                      <w:t> </w:t>
                    </w:r>
                    <w:r>
                      <w:rPr>
                        <w:rFonts w:ascii="Calibri"/>
                        <w:sz w:val="14"/>
                      </w:rPr>
                      <w:t>humedad relativa</w:t>
                    </w:r>
                  </w:p>
                </w:txbxContent>
              </v:textbox>
              <w10:wrap type="none"/>
            </v:shape>
            <v:shape style="position:absolute;left:7387;top:6415;width:1116;height:552" type="#_x0000_t202" filled="false" stroked="false">
              <v:textbox inset="0,0,0,0">
                <w:txbxContent>
                  <w:p>
                    <w:pPr>
                      <w:spacing w:line="172" w:lineRule="exact" w:before="101"/>
                      <w:ind w:left="234" w:right="0" w:hanging="135"/>
                      <w:jc w:val="left"/>
                      <w:rPr>
                        <w:rFonts w:ascii="Calibri"/>
                        <w:sz w:val="16"/>
                      </w:rPr>
                    </w:pPr>
                    <w:r>
                      <w:rPr>
                        <w:rFonts w:ascii="Calibri"/>
                        <w:sz w:val="16"/>
                      </w:rPr>
                      <w:t>Transporte de pesticidas</w:t>
                    </w:r>
                  </w:p>
                </w:txbxContent>
              </v:textbox>
              <w10:wrap type="none"/>
            </v:shape>
            <v:shape style="position:absolute;left:10056;top:6415;width:1109;height:552" type="#_x0000_t202" filled="false" stroked="false">
              <v:textbox inset="0,0,0,0">
                <w:txbxContent>
                  <w:p>
                    <w:pPr>
                      <w:spacing w:line="154" w:lineRule="exact" w:before="41"/>
                      <w:ind w:left="37" w:right="28" w:firstLine="0"/>
                      <w:jc w:val="center"/>
                      <w:rPr>
                        <w:rFonts w:ascii="Calibri" w:hAnsi="Calibri"/>
                        <w:sz w:val="14"/>
                      </w:rPr>
                    </w:pPr>
                    <w:r>
                      <w:rPr>
                        <w:rFonts w:ascii="Calibri" w:hAnsi="Calibri"/>
                        <w:sz w:val="14"/>
                      </w:rPr>
                      <w:t>Tránsito de agua y sedimentos en almacenamiento</w:t>
                    </w:r>
                  </w:p>
                </w:txbxContent>
              </v:textbox>
              <w10:wrap type="none"/>
            </v:shape>
            <v:shape style="position:absolute;left:1762;top:7202;width:1107;height:552" type="#_x0000_t202" filled="false" stroked="false">
              <v:textbox inset="0,0,0,0">
                <w:txbxContent>
                  <w:p>
                    <w:pPr>
                      <w:spacing w:line="172" w:lineRule="exact" w:before="98"/>
                      <w:ind w:left="159" w:right="106" w:hanging="44"/>
                      <w:jc w:val="left"/>
                      <w:rPr>
                        <w:rFonts w:ascii="Calibri" w:hAnsi="Calibri"/>
                        <w:sz w:val="16"/>
                      </w:rPr>
                    </w:pPr>
                    <w:r>
                      <w:rPr>
                        <w:rFonts w:ascii="Calibri" w:hAnsi="Calibri"/>
                        <w:sz w:val="16"/>
                      </w:rPr>
                      <w:t>Flujo de agua subterránea</w:t>
                    </w:r>
                  </w:p>
                </w:txbxContent>
              </v:textbox>
              <w10:wrap type="none"/>
            </v:shape>
            <v:shape style="position:absolute;left:10056;top:7202;width:1109;height:807" type="#_x0000_t202" filled="false" stroked="false">
              <v:textbox inset="0,0,0,0">
                <w:txbxContent>
                  <w:p>
                    <w:pPr>
                      <w:spacing w:line="154" w:lineRule="exact" w:before="101"/>
                      <w:ind w:left="13" w:right="10" w:firstLine="2"/>
                      <w:jc w:val="center"/>
                      <w:rPr>
                        <w:rFonts w:ascii="Calibri"/>
                        <w:sz w:val="14"/>
                      </w:rPr>
                    </w:pPr>
                    <w:r>
                      <w:rPr>
                        <w:rFonts w:ascii="Calibri"/>
                        <w:sz w:val="14"/>
                      </w:rPr>
                      <w:t>Balance y transporte de agua en           almacenamientos</w:t>
                    </w:r>
                  </w:p>
                </w:txbxContent>
              </v:textbox>
              <w10:wrap type="none"/>
            </v:shape>
            <v:shape style="position:absolute;left:1762;top:8009;width:1107;height:528" type="#_x0000_t202" filled="false" stroked="false">
              <v:textbox inset="0,0,0,0">
                <w:txbxContent>
                  <w:p>
                    <w:pPr>
                      <w:spacing w:line="154" w:lineRule="exact" w:before="93"/>
                      <w:ind w:left="514" w:right="0" w:hanging="471"/>
                      <w:jc w:val="left"/>
                      <w:rPr>
                        <w:rFonts w:ascii="Calibri" w:hAnsi="Calibri"/>
                        <w:sz w:val="14"/>
                      </w:rPr>
                    </w:pPr>
                    <w:r>
                      <w:rPr>
                        <w:rFonts w:ascii="Calibri" w:hAnsi="Calibri"/>
                        <w:sz w:val="14"/>
                      </w:rPr>
                      <w:t>Evapotranspiració n</w:t>
                    </w:r>
                  </w:p>
                </w:txbxContent>
              </v:textbox>
              <w10:wrap type="none"/>
            </v:shape>
            <v:shape style="position:absolute;left:10056;top:8263;width:1109;height:528" type="#_x0000_t202" filled="false" stroked="false">
              <v:textbox inset="0,0,0,0">
                <w:txbxContent>
                  <w:p>
                    <w:pPr>
                      <w:spacing w:line="154" w:lineRule="exact" w:before="42"/>
                      <w:ind w:left="84" w:right="75" w:hanging="2"/>
                      <w:jc w:val="center"/>
                      <w:rPr>
                        <w:rFonts w:ascii="Calibri"/>
                        <w:sz w:val="14"/>
                      </w:rPr>
                    </w:pPr>
                    <w:r>
                      <w:rPr>
                        <w:rFonts w:ascii="Calibri"/>
                        <w:sz w:val="14"/>
                      </w:rPr>
                      <w:t>Nutrientes y pesticidas en el </w:t>
                    </w:r>
                    <w:r>
                      <w:rPr>
                        <w:rFonts w:ascii="Calibri"/>
                        <w:spacing w:val="-1"/>
                        <w:sz w:val="14"/>
                      </w:rPr>
                      <w:t>almacenamiento</w:t>
                    </w:r>
                  </w:p>
                </w:txbxContent>
              </v:textbox>
              <w10:wrap type="none"/>
            </v:shape>
            <v:shape style="position:absolute;left:1762;top:8791;width:1108;height:528" type="#_x0000_t202" filled="false" stroked="false">
              <v:textbox inset="0,0,0,0">
                <w:txbxContent>
                  <w:p>
                    <w:pPr>
                      <w:spacing w:line="240" w:lineRule="auto" w:before="0"/>
                      <w:rPr>
                        <w:sz w:val="14"/>
                      </w:rPr>
                    </w:pPr>
                  </w:p>
                  <w:p>
                    <w:pPr>
                      <w:spacing w:before="1"/>
                      <w:ind w:left="48" w:right="-3" w:firstLine="0"/>
                      <w:jc w:val="left"/>
                      <w:rPr>
                        <w:rFonts w:ascii="Calibri"/>
                        <w:sz w:val="14"/>
                      </w:rPr>
                    </w:pPr>
                    <w:r>
                      <w:rPr>
                        <w:rFonts w:ascii="Calibri"/>
                        <w:sz w:val="14"/>
                      </w:rPr>
                      <w:t>Deshielo de nieve</w:t>
                    </w:r>
                  </w:p>
                </w:txbxContent>
              </v:textbox>
              <w10:wrap type="none"/>
            </v:shape>
            <v:shape style="position:absolute;left:1762;top:9554;width:1108;height:552" type="#_x0000_t202" filled="false" stroked="false">
              <v:textbox inset="0,0,0,0">
                <w:txbxContent>
                  <w:p>
                    <w:pPr>
                      <w:spacing w:line="172" w:lineRule="exact" w:before="99"/>
                      <w:ind w:left="169" w:right="-3" w:hanging="29"/>
                      <w:jc w:val="left"/>
                      <w:rPr>
                        <w:rFonts w:ascii="Calibri" w:hAnsi="Calibri"/>
                        <w:sz w:val="16"/>
                      </w:rPr>
                    </w:pPr>
                    <w:r>
                      <w:rPr>
                        <w:rFonts w:ascii="Calibri" w:hAnsi="Calibri"/>
                        <w:sz w:val="16"/>
                      </w:rPr>
                      <w:t>Pérdidas por transmisión</w:t>
                    </w:r>
                  </w:p>
                </w:txbxContent>
              </v:textbox>
              <w10:wrap type="none"/>
            </v:shape>
            <v:shape style="position:absolute;left:1762;top:10337;width:1108;height:552" type="#_x0000_t202" filled="false" stroked="false">
              <v:textbox inset="0,0,0,0">
                <w:txbxContent>
                  <w:p>
                    <w:pPr>
                      <w:spacing w:line="240" w:lineRule="auto" w:before="1"/>
                      <w:rPr>
                        <w:sz w:val="15"/>
                      </w:rPr>
                    </w:pPr>
                  </w:p>
                  <w:p>
                    <w:pPr>
                      <w:spacing w:before="1"/>
                      <w:ind w:left="6" w:right="-3" w:firstLine="0"/>
                      <w:jc w:val="left"/>
                      <w:rPr>
                        <w:rFonts w:ascii="Calibri"/>
                        <w:sz w:val="16"/>
                      </w:rPr>
                    </w:pPr>
                    <w:r>
                      <w:rPr>
                        <w:rFonts w:ascii="Calibri"/>
                        <w:sz w:val="16"/>
                      </w:rPr>
                      <w:t>Cuerpos de agua</w:t>
                    </w:r>
                  </w:p>
                </w:txbxContent>
              </v:textbox>
              <w10:wrap type="none"/>
            </v:shape>
            <w10:wrap type="topAndBottom"/>
          </v:group>
        </w:pict>
      </w:r>
      <w:r>
        <w:rPr/>
        <w:t>Los componente que integran el modelo SWAT son todos aquellos elementos y procesos que se desarrollan dentro de la cuenca de manera natural y a causa de las actividades antropogénicas, entre los cuales se encuentran: el componente hidrológico, el clima, la sedimentación, los nutrientes, al manejo de los cultivos, los componentes del transporte y el tránsito de agua y sedimentos en el almacenamiento. Dichos componentes se pueden apreciar</w:t>
      </w:r>
      <w:r>
        <w:rPr>
          <w:spacing w:val="-16"/>
        </w:rPr>
        <w:t> </w:t>
      </w:r>
      <w:r>
        <w:rPr/>
        <w:t>en</w:t>
      </w:r>
      <w:r>
        <w:rPr>
          <w:spacing w:val="-16"/>
        </w:rPr>
        <w:t> </w:t>
      </w:r>
      <w:r>
        <w:rPr/>
        <w:t>la</w:t>
      </w:r>
      <w:r>
        <w:rPr>
          <w:spacing w:val="-16"/>
        </w:rPr>
        <w:t> </w:t>
      </w:r>
      <w:r>
        <w:rPr/>
        <w:t>Figura</w:t>
      </w:r>
      <w:r>
        <w:rPr>
          <w:spacing w:val="-16"/>
        </w:rPr>
        <w:t> </w:t>
      </w:r>
      <w:r>
        <w:rPr/>
        <w:t>12</w:t>
      </w:r>
      <w:r>
        <w:rPr>
          <w:spacing w:val="-15"/>
        </w:rPr>
        <w:t> </w:t>
      </w:r>
      <w:r>
        <w:rPr/>
        <w:t>y</w:t>
      </w:r>
      <w:r>
        <w:rPr>
          <w:spacing w:val="-16"/>
        </w:rPr>
        <w:t> </w:t>
      </w:r>
      <w:r>
        <w:rPr/>
        <w:t>posteriormente</w:t>
      </w:r>
      <w:r>
        <w:rPr>
          <w:spacing w:val="-16"/>
        </w:rPr>
        <w:t> </w:t>
      </w:r>
      <w:r>
        <w:rPr/>
        <w:t>se</w:t>
      </w:r>
      <w:r>
        <w:rPr>
          <w:spacing w:val="-16"/>
        </w:rPr>
        <w:t> </w:t>
      </w:r>
      <w:r>
        <w:rPr/>
        <w:t>analizan</w:t>
      </w:r>
      <w:r>
        <w:rPr>
          <w:spacing w:val="-15"/>
        </w:rPr>
        <w:t> </w:t>
      </w:r>
      <w:r>
        <w:rPr/>
        <w:t>de</w:t>
      </w:r>
      <w:r>
        <w:rPr>
          <w:spacing w:val="-16"/>
        </w:rPr>
        <w:t> </w:t>
      </w:r>
      <w:r>
        <w:rPr/>
        <w:t>manera</w:t>
      </w:r>
      <w:r>
        <w:rPr>
          <w:spacing w:val="-15"/>
        </w:rPr>
        <w:t> </w:t>
      </w:r>
      <w:r>
        <w:rPr/>
        <w:t>individual</w:t>
      </w:r>
      <w:r>
        <w:rPr>
          <w:spacing w:val="-13"/>
        </w:rPr>
        <w:t> </w:t>
      </w:r>
      <w:r>
        <w:rPr/>
        <w:t>como</w:t>
      </w:r>
      <w:r>
        <w:rPr>
          <w:spacing w:val="-16"/>
        </w:rPr>
        <w:t> </w:t>
      </w:r>
      <w:r>
        <w:rPr/>
        <w:t>lo</w:t>
      </w:r>
      <w:r>
        <w:rPr>
          <w:spacing w:val="-15"/>
        </w:rPr>
        <w:t> </w:t>
      </w:r>
      <w:r>
        <w:rPr/>
        <w:t>describe Uribe, (2010).</w:t>
      </w:r>
    </w:p>
    <w:p>
      <w:pPr>
        <w:spacing w:before="215"/>
        <w:ind w:left="2352" w:right="2684" w:firstLine="0"/>
        <w:jc w:val="center"/>
        <w:rPr>
          <w:sz w:val="22"/>
        </w:rPr>
      </w:pPr>
      <w:r>
        <w:rPr>
          <w:sz w:val="22"/>
        </w:rPr>
        <w:t>Fuente: Uribe, (2010)</w:t>
      </w:r>
    </w:p>
    <w:p>
      <w:pPr>
        <w:pStyle w:val="Heading1"/>
        <w:spacing w:before="2"/>
        <w:ind w:left="2352" w:right="2697"/>
        <w:jc w:val="center"/>
      </w:pPr>
      <w:bookmarkStart w:name="_bookmark36" w:id="52"/>
      <w:bookmarkEnd w:id="52"/>
      <w:r>
        <w:rPr>
          <w:b w:val="0"/>
        </w:rPr>
      </w:r>
      <w:r>
        <w:rPr/>
        <w:t>Figura 12. Componentes del modelo SWAT.</w:t>
      </w:r>
    </w:p>
    <w:p>
      <w:pPr>
        <w:spacing w:after="0"/>
        <w:jc w:val="center"/>
        <w:sectPr>
          <w:footerReference w:type="default" r:id="rId60"/>
          <w:pgSz w:w="12240" w:h="15840"/>
          <w:pgMar w:footer="1473" w:header="0" w:top="1360" w:bottom="1660" w:left="1300" w:right="960"/>
        </w:sectPr>
      </w:pPr>
    </w:p>
    <w:p>
      <w:pPr>
        <w:pStyle w:val="Heading1"/>
        <w:numPr>
          <w:ilvl w:val="4"/>
          <w:numId w:val="10"/>
        </w:numPr>
        <w:tabs>
          <w:tab w:pos="837" w:val="left" w:leader="none"/>
        </w:tabs>
        <w:spacing w:line="240" w:lineRule="auto" w:before="53" w:after="0"/>
        <w:ind w:left="837" w:right="0" w:hanging="361"/>
        <w:jc w:val="left"/>
      </w:pPr>
      <w:r>
        <w:rPr/>
        <w:t>Hidrología</w:t>
      </w:r>
    </w:p>
    <w:p>
      <w:pPr>
        <w:pStyle w:val="BodyText"/>
        <w:spacing w:before="4"/>
        <w:rPr>
          <w:b/>
          <w:sz w:val="30"/>
        </w:rPr>
      </w:pPr>
    </w:p>
    <w:p>
      <w:pPr>
        <w:pStyle w:val="BodyText"/>
        <w:spacing w:line="360" w:lineRule="auto"/>
        <w:ind w:left="116" w:right="116"/>
        <w:jc w:val="both"/>
      </w:pPr>
      <w:r>
        <w:rPr/>
        <w:pict>
          <v:line style="position:absolute;mso-position-horizontal-relative:page;mso-position-vertical-relative:paragraph;z-index:-1040128" from="468.890015pt,67.606750pt" to="468.890015pt,82.48675pt" stroked="true" strokeweight="2.88pt" strokecolor="#ffff00">
            <w10:wrap type="none"/>
          </v:line>
        </w:pict>
      </w:r>
      <w:r>
        <w:rPr/>
        <w:t>El presente componente contempla los tipos de producción de agua por medio de escurrimientos, percolación, evapotranspiración o pérdidas por transmisión que son simulados por el modelo SWAT y que representan el aporte de agua hacia los mantos acuíferos,</w:t>
      </w:r>
      <w:r>
        <w:rPr>
          <w:spacing w:val="-8"/>
        </w:rPr>
        <w:t> </w:t>
      </w:r>
      <w:r>
        <w:rPr/>
        <w:t>cuerpos</w:t>
      </w:r>
      <w:r>
        <w:rPr>
          <w:spacing w:val="-10"/>
        </w:rPr>
        <w:t> </w:t>
      </w:r>
      <w:r>
        <w:rPr/>
        <w:t>de</w:t>
      </w:r>
      <w:r>
        <w:rPr>
          <w:spacing w:val="-10"/>
        </w:rPr>
        <w:t> </w:t>
      </w:r>
      <w:r>
        <w:rPr/>
        <w:t>agua</w:t>
      </w:r>
      <w:r>
        <w:rPr>
          <w:spacing w:val="-8"/>
        </w:rPr>
        <w:t> </w:t>
      </w:r>
      <w:r>
        <w:rPr/>
        <w:t>o</w:t>
      </w:r>
      <w:r>
        <w:rPr>
          <w:spacing w:val="-10"/>
        </w:rPr>
        <w:t> </w:t>
      </w:r>
      <w:r>
        <w:rPr/>
        <w:t>que</w:t>
      </w:r>
      <w:r>
        <w:rPr>
          <w:spacing w:val="-10"/>
        </w:rPr>
        <w:t> </w:t>
      </w:r>
      <w:r>
        <w:rPr/>
        <w:t>alimentan</w:t>
      </w:r>
      <w:r>
        <w:rPr>
          <w:spacing w:val="-10"/>
        </w:rPr>
        <w:t> </w:t>
      </w:r>
      <w:r>
        <w:rPr/>
        <w:t>a</w:t>
      </w:r>
      <w:r>
        <w:rPr>
          <w:spacing w:val="-10"/>
        </w:rPr>
        <w:t> </w:t>
      </w:r>
      <w:r>
        <w:rPr/>
        <w:t>los</w:t>
      </w:r>
      <w:r>
        <w:rPr>
          <w:spacing w:val="-10"/>
        </w:rPr>
        <w:t> </w:t>
      </w:r>
      <w:r>
        <w:rPr/>
        <w:t>cultivos,</w:t>
      </w:r>
      <w:r>
        <w:rPr>
          <w:spacing w:val="-8"/>
        </w:rPr>
        <w:t> </w:t>
      </w:r>
      <w:r>
        <w:rPr/>
        <w:t>dichos</w:t>
      </w:r>
      <w:r>
        <w:rPr>
          <w:spacing w:val="-10"/>
        </w:rPr>
        <w:t> </w:t>
      </w:r>
      <w:r>
        <w:rPr/>
        <w:t>se</w:t>
      </w:r>
      <w:r>
        <w:rPr>
          <w:spacing w:val="-10"/>
        </w:rPr>
        <w:t> </w:t>
      </w:r>
      <w:r>
        <w:rPr/>
        <w:t>señalan</w:t>
      </w:r>
      <w:r>
        <w:rPr>
          <w:spacing w:val="-10"/>
        </w:rPr>
        <w:t> </w:t>
      </w:r>
      <w:r>
        <w:rPr/>
        <w:t>a</w:t>
      </w:r>
      <w:r>
        <w:rPr>
          <w:spacing w:val="-8"/>
        </w:rPr>
        <w:t> </w:t>
      </w:r>
      <w:r>
        <w:rPr/>
        <w:t>continuación:</w:t>
      </w:r>
    </w:p>
    <w:p>
      <w:pPr>
        <w:pStyle w:val="ListParagraph"/>
        <w:numPr>
          <w:ilvl w:val="0"/>
          <w:numId w:val="13"/>
        </w:numPr>
        <w:tabs>
          <w:tab w:pos="837" w:val="left" w:leader="none"/>
        </w:tabs>
        <w:spacing w:line="357" w:lineRule="auto" w:before="206" w:after="0"/>
        <w:ind w:left="837" w:right="112" w:hanging="361"/>
        <w:jc w:val="both"/>
        <w:rPr>
          <w:sz w:val="26"/>
        </w:rPr>
      </w:pPr>
      <w:r>
        <w:rPr>
          <w:b/>
          <w:sz w:val="26"/>
        </w:rPr>
        <w:t>Escurrimiento superficial. </w:t>
      </w:r>
      <w:r>
        <w:rPr>
          <w:sz w:val="26"/>
        </w:rPr>
        <w:t>El modelo simula los escurrimientos superficiales y</w:t>
      </w:r>
      <w:r>
        <w:rPr>
          <w:spacing w:val="-39"/>
          <w:sz w:val="26"/>
        </w:rPr>
        <w:t> </w:t>
      </w:r>
      <w:r>
        <w:rPr>
          <w:sz w:val="26"/>
        </w:rPr>
        <w:t>los gastos máximos, que se producen por la lluvia diaria. El volumen de escurrimiento se estima con la técnica modificada de las curvas numéricas, propuesta por el Servicio de Conservación del Suelo (SCS) (USDA-SCS, 1972) representada en la ecuación 3, 3.1 y</w:t>
      </w:r>
      <w:r>
        <w:rPr>
          <w:spacing w:val="-1"/>
          <w:sz w:val="26"/>
        </w:rPr>
        <w:t> </w:t>
      </w:r>
      <w:r>
        <w:rPr>
          <w:sz w:val="26"/>
        </w:rPr>
        <w:t>4.</w:t>
      </w:r>
    </w:p>
    <w:p>
      <w:pPr>
        <w:pStyle w:val="BodyText"/>
        <w:spacing w:before="3"/>
        <w:rPr>
          <w:sz w:val="10"/>
        </w:rPr>
      </w:pPr>
    </w:p>
    <w:p>
      <w:pPr>
        <w:spacing w:after="0"/>
        <w:rPr>
          <w:sz w:val="10"/>
        </w:rPr>
        <w:sectPr>
          <w:footerReference w:type="default" r:id="rId61"/>
          <w:pgSz w:w="12240" w:h="15840"/>
          <w:pgMar w:footer="1473" w:header="0" w:top="1360" w:bottom="1660" w:left="1300" w:right="1300"/>
          <w:pgNumType w:start="41"/>
        </w:sectPr>
      </w:pPr>
    </w:p>
    <w:p>
      <w:pPr>
        <w:spacing w:line="425" w:lineRule="exact" w:before="152"/>
        <w:ind w:left="0" w:right="131" w:firstLine="0"/>
        <w:jc w:val="right"/>
        <w:rPr>
          <w:rFonts w:ascii="Cambria Math" w:hAnsi="Cambria Math" w:eastAsia="Cambria Math"/>
          <w:sz w:val="23"/>
        </w:rPr>
      </w:pPr>
      <w:r>
        <w:rPr/>
        <w:pict>
          <v:line style="position:absolute;mso-position-horizontal-relative:page;mso-position-vertical-relative:paragraph;z-index:-1040104" from="279.220001pt,23.827223pt" to="327.004001pt,23.827223pt" stroked="true" strokeweight=".96002pt" strokecolor="#000000">
            <w10:wrap type="none"/>
          </v:line>
        </w:pict>
      </w:r>
      <w:r>
        <w:rPr/>
        <w:pict>
          <v:shape style="position:absolute;margin-left:327.480011pt;margin-top:5.024111pt;width:6.7pt;height:11.55pt;mso-position-horizontal-relative:page;mso-position-vertical-relative:paragraph;z-index:2896" type="#_x0000_t202" filled="false" stroked="false">
            <v:textbox inset="0,0,0,0">
              <w:txbxContent>
                <w:p>
                  <w:pPr>
                    <w:spacing w:line="230" w:lineRule="exact" w:before="0"/>
                    <w:ind w:left="0" w:right="0" w:firstLine="0"/>
                    <w:jc w:val="left"/>
                    <w:rPr>
                      <w:rFonts w:ascii="Cambria Math"/>
                      <w:sz w:val="23"/>
                    </w:rPr>
                  </w:pPr>
                  <w:r>
                    <w:rPr>
                      <w:rFonts w:ascii="Cambria Math"/>
                      <w:w w:val="104"/>
                      <w:sz w:val="23"/>
                    </w:rPr>
                    <w:t>2</w:t>
                  </w:r>
                </w:p>
              </w:txbxContent>
            </v:textbox>
            <w10:wrap type="none"/>
          </v:shape>
        </w:pict>
      </w:r>
      <w:r>
        <w:rPr>
          <w:rFonts w:ascii="Cambria Math" w:hAnsi="Cambria Math" w:eastAsia="Cambria Math"/>
          <w:position w:val="-18"/>
          <w:sz w:val="32"/>
        </w:rPr>
        <w:t>�  = </w:t>
      </w:r>
      <w:r>
        <w:rPr>
          <w:rFonts w:ascii="Cambria Math" w:hAnsi="Cambria Math" w:eastAsia="Cambria Math"/>
          <w:sz w:val="23"/>
        </w:rPr>
        <w:t>(𝑃−0.2𝑆</w:t>
      </w:r>
      <w:r>
        <w:rPr>
          <w:rFonts w:ascii="Cambria Math" w:hAnsi="Cambria Math" w:eastAsia="Cambria Math"/>
          <w:position w:val="1"/>
          <w:sz w:val="23"/>
        </w:rPr>
        <w:t>)</w:t>
      </w:r>
    </w:p>
    <w:p>
      <w:pPr>
        <w:spacing w:line="205" w:lineRule="exact" w:before="0"/>
        <w:ind w:left="0" w:right="136" w:firstLine="0"/>
        <w:jc w:val="right"/>
        <w:rPr>
          <w:rFonts w:ascii="Cambria Math" w:eastAsia="Cambria Math"/>
          <w:sz w:val="23"/>
        </w:rPr>
      </w:pPr>
      <w:r>
        <w:rPr>
          <w:rFonts w:ascii="Cambria Math" w:eastAsia="Cambria Math"/>
          <w:sz w:val="23"/>
        </w:rPr>
        <w:t>𝑃+(0.8𝑆)</w:t>
      </w:r>
    </w:p>
    <w:p>
      <w:pPr>
        <w:pStyle w:val="BodyText"/>
        <w:spacing w:before="8"/>
        <w:rPr>
          <w:rFonts w:ascii="Cambria Math"/>
          <w:sz w:val="27"/>
        </w:rPr>
      </w:pPr>
      <w:r>
        <w:rPr/>
        <w:br w:type="column"/>
      </w:r>
      <w:r>
        <w:rPr>
          <w:rFonts w:ascii="Cambria Math"/>
          <w:sz w:val="27"/>
        </w:rPr>
      </w:r>
    </w:p>
    <w:p>
      <w:pPr>
        <w:pStyle w:val="BodyText"/>
        <w:ind w:left="-35"/>
      </w:pPr>
      <w:r>
        <w:rPr/>
        <w:t>…………...…………………………(3)</w:t>
      </w:r>
    </w:p>
    <w:p>
      <w:pPr>
        <w:spacing w:after="0"/>
        <w:sectPr>
          <w:type w:val="continuous"/>
          <w:pgSz w:w="12240" w:h="15840"/>
          <w:pgMar w:top="1500" w:bottom="280" w:left="1300" w:right="1300"/>
          <w:cols w:num="2" w:equalWidth="0">
            <w:col w:w="5384" w:space="40"/>
            <w:col w:w="4216"/>
          </w:cols>
        </w:sectPr>
      </w:pPr>
    </w:p>
    <w:p>
      <w:pPr>
        <w:pStyle w:val="BodyText"/>
        <w:spacing w:before="7"/>
        <w:rPr>
          <w:sz w:val="27"/>
        </w:rPr>
      </w:pPr>
    </w:p>
    <w:p>
      <w:pPr>
        <w:pStyle w:val="BodyText"/>
        <w:spacing w:before="61"/>
        <w:ind w:left="3473" w:right="118"/>
      </w:pPr>
      <w:r>
        <w:rPr>
          <w:rFonts w:ascii="Cambria Math" w:hAnsi="Cambria Math" w:eastAsia="Cambria Math"/>
        </w:rPr>
        <w:t>� &gt; 0 �í 0.2� ≤ �</w:t>
      </w:r>
      <w:r>
        <w:rPr/>
        <w:t>………………………….………..(3.1)</w:t>
      </w:r>
    </w:p>
    <w:p>
      <w:pPr>
        <w:pStyle w:val="BodyText"/>
        <w:spacing w:before="3"/>
        <w:rPr>
          <w:sz w:val="25"/>
        </w:rPr>
      </w:pPr>
    </w:p>
    <w:p>
      <w:pPr>
        <w:pStyle w:val="BodyText"/>
        <w:spacing w:before="66"/>
        <w:ind w:left="1533" w:right="118"/>
      </w:pPr>
      <w:r>
        <w:rPr/>
        <w:t>Donde:</w:t>
      </w:r>
    </w:p>
    <w:p>
      <w:pPr>
        <w:pStyle w:val="BodyText"/>
        <w:spacing w:before="4"/>
        <w:rPr>
          <w:sz w:val="30"/>
        </w:rPr>
      </w:pPr>
    </w:p>
    <w:p>
      <w:pPr>
        <w:pStyle w:val="BodyText"/>
        <w:ind w:left="1533" w:right="118"/>
      </w:pPr>
      <w:r>
        <w:rPr>
          <w:i/>
        </w:rPr>
        <w:t>Q = </w:t>
      </w:r>
      <w:r>
        <w:rPr/>
        <w:t>Escurrimiento medio (mm)</w:t>
      </w:r>
    </w:p>
    <w:p>
      <w:pPr>
        <w:pStyle w:val="BodyText"/>
        <w:spacing w:before="152"/>
        <w:ind w:left="1533" w:right="118"/>
      </w:pPr>
      <w:r>
        <w:rPr>
          <w:i/>
        </w:rPr>
        <w:t>P </w:t>
      </w:r>
      <w:r>
        <w:rPr/>
        <w:t>= Precipitación por evento (mm)</w:t>
      </w:r>
    </w:p>
    <w:p>
      <w:pPr>
        <w:pStyle w:val="BodyText"/>
        <w:spacing w:before="147"/>
        <w:ind w:left="1533" w:right="118"/>
      </w:pPr>
      <w:r>
        <w:rPr>
          <w:i/>
        </w:rPr>
        <w:t>S </w:t>
      </w:r>
      <w:r>
        <w:rPr/>
        <w:t>= Retención máxima potencial (mm)</w:t>
      </w:r>
    </w:p>
    <w:p>
      <w:pPr>
        <w:pStyle w:val="BodyText"/>
        <w:rPr>
          <w:sz w:val="20"/>
        </w:rPr>
      </w:pPr>
    </w:p>
    <w:p>
      <w:pPr>
        <w:pStyle w:val="BodyText"/>
        <w:spacing w:before="3"/>
        <w:rPr>
          <w:sz w:val="24"/>
        </w:rPr>
      </w:pPr>
    </w:p>
    <w:p>
      <w:pPr>
        <w:spacing w:line="169" w:lineRule="exact" w:before="71"/>
        <w:ind w:left="0" w:right="660" w:firstLine="0"/>
        <w:jc w:val="center"/>
        <w:rPr>
          <w:rFonts w:ascii="Cambria Math"/>
          <w:sz w:val="21"/>
        </w:rPr>
      </w:pPr>
      <w:r>
        <w:rPr>
          <w:spacing w:val="-53"/>
          <w:w w:val="100"/>
          <w:sz w:val="21"/>
          <w:u w:val="single"/>
        </w:rPr>
        <w:t> </w:t>
      </w:r>
      <w:r>
        <w:rPr>
          <w:rFonts w:ascii="Cambria Math"/>
          <w:w w:val="105"/>
          <w:sz w:val="21"/>
          <w:u w:val="single"/>
        </w:rPr>
        <w:t>25400</w:t>
      </w:r>
    </w:p>
    <w:p>
      <w:pPr>
        <w:tabs>
          <w:tab w:pos="4855" w:val="left" w:leader="none"/>
        </w:tabs>
        <w:spacing w:line="218" w:lineRule="exact" w:before="0"/>
        <w:ind w:left="3626" w:right="0" w:firstLine="0"/>
        <w:jc w:val="left"/>
        <w:rPr>
          <w:sz w:val="26"/>
        </w:rPr>
      </w:pPr>
      <w:r>
        <w:rPr>
          <w:rFonts w:ascii="Cambria Math" w:hAnsi="Cambria Math" w:eastAsia="Cambria Math"/>
          <w:sz w:val="30"/>
        </w:rPr>
        <w:t>�</w:t>
      </w:r>
      <w:r>
        <w:rPr>
          <w:rFonts w:ascii="Cambria Math" w:hAnsi="Cambria Math" w:eastAsia="Cambria Math"/>
          <w:spacing w:val="5"/>
          <w:sz w:val="30"/>
        </w:rPr>
        <w:t> </w:t>
      </w:r>
      <w:r>
        <w:rPr>
          <w:rFonts w:ascii="Cambria Math" w:hAnsi="Cambria Math" w:eastAsia="Cambria Math"/>
          <w:sz w:val="30"/>
        </w:rPr>
        <w:t>=</w:t>
        <w:tab/>
        <w:t>− 254 </w:t>
      </w:r>
      <w:r>
        <w:rPr>
          <w:sz w:val="26"/>
        </w:rPr>
        <w:t>………….………………….........(4)</w:t>
      </w:r>
    </w:p>
    <w:p>
      <w:pPr>
        <w:spacing w:line="190" w:lineRule="exact" w:before="0"/>
        <w:ind w:left="255" w:right="918" w:firstLine="0"/>
        <w:jc w:val="center"/>
        <w:rPr>
          <w:rFonts w:ascii="Cambria Math" w:eastAsia="Cambria Math"/>
          <w:sz w:val="21"/>
        </w:rPr>
      </w:pPr>
      <w:r>
        <w:rPr>
          <w:rFonts w:ascii="Cambria Math" w:eastAsia="Cambria Math"/>
          <w:w w:val="105"/>
          <w:sz w:val="21"/>
        </w:rPr>
        <w:t>𝐶𝑁</w:t>
      </w:r>
    </w:p>
    <w:p>
      <w:pPr>
        <w:pStyle w:val="BodyText"/>
        <w:spacing w:before="6"/>
        <w:rPr>
          <w:rFonts w:ascii="Cambria Math"/>
          <w:sz w:val="22"/>
        </w:rPr>
      </w:pPr>
    </w:p>
    <w:p>
      <w:pPr>
        <w:pStyle w:val="BodyText"/>
        <w:spacing w:before="66"/>
        <w:ind w:left="1533" w:right="118"/>
      </w:pPr>
      <w:r>
        <w:rPr/>
        <w:t>Donde:</w:t>
      </w:r>
    </w:p>
    <w:p>
      <w:pPr>
        <w:pStyle w:val="BodyText"/>
        <w:spacing w:before="4"/>
        <w:rPr>
          <w:sz w:val="30"/>
        </w:rPr>
      </w:pPr>
    </w:p>
    <w:p>
      <w:pPr>
        <w:pStyle w:val="BodyText"/>
        <w:ind w:left="1533" w:right="118"/>
      </w:pPr>
      <w:r>
        <w:rPr>
          <w:i/>
        </w:rPr>
        <w:t>S </w:t>
      </w:r>
      <w:r>
        <w:rPr/>
        <w:t>= Potencial máximo de retención (mm)</w:t>
      </w:r>
    </w:p>
    <w:p>
      <w:pPr>
        <w:pStyle w:val="BodyText"/>
        <w:spacing w:before="4"/>
        <w:rPr>
          <w:sz w:val="30"/>
        </w:rPr>
      </w:pPr>
    </w:p>
    <w:p>
      <w:pPr>
        <w:pStyle w:val="BodyText"/>
        <w:ind w:left="1533" w:right="118"/>
      </w:pPr>
      <w:r>
        <w:rPr>
          <w:i/>
        </w:rPr>
        <w:t>CN </w:t>
      </w:r>
      <w:r>
        <w:rPr/>
        <w:t>= Curvas numéricas (adimensional)</w:t>
      </w:r>
    </w:p>
    <w:p>
      <w:pPr>
        <w:spacing w:after="0"/>
        <w:sectPr>
          <w:type w:val="continuous"/>
          <w:pgSz w:w="12240" w:h="15840"/>
          <w:pgMar w:top="1500" w:bottom="280" w:left="1300" w:right="1300"/>
        </w:sectPr>
      </w:pPr>
    </w:p>
    <w:p>
      <w:pPr>
        <w:pStyle w:val="BodyText"/>
        <w:spacing w:line="360" w:lineRule="auto" w:before="49"/>
        <w:ind w:left="116" w:right="110"/>
        <w:jc w:val="both"/>
      </w:pPr>
      <w:r>
        <w:rPr/>
        <w:t>El</w:t>
      </w:r>
      <w:r>
        <w:rPr>
          <w:spacing w:val="-6"/>
        </w:rPr>
        <w:t> </w:t>
      </w:r>
      <w:r>
        <w:rPr/>
        <w:t>uso</w:t>
      </w:r>
      <w:r>
        <w:rPr>
          <w:spacing w:val="-6"/>
        </w:rPr>
        <w:t> </w:t>
      </w:r>
      <w:r>
        <w:rPr/>
        <w:t>de</w:t>
      </w:r>
      <w:r>
        <w:rPr>
          <w:spacing w:val="-6"/>
        </w:rPr>
        <w:t> </w:t>
      </w:r>
      <w:r>
        <w:rPr/>
        <w:t>datos</w:t>
      </w:r>
      <w:r>
        <w:rPr>
          <w:spacing w:val="-11"/>
        </w:rPr>
        <w:t> </w:t>
      </w:r>
      <w:r>
        <w:rPr/>
        <w:t>de</w:t>
      </w:r>
      <w:r>
        <w:rPr>
          <w:spacing w:val="-6"/>
        </w:rPr>
        <w:t> </w:t>
      </w:r>
      <w:r>
        <w:rPr/>
        <w:t>precipitación</w:t>
      </w:r>
      <w:r>
        <w:rPr>
          <w:spacing w:val="-5"/>
        </w:rPr>
        <w:t> </w:t>
      </w:r>
      <w:r>
        <w:rPr/>
        <w:t>diarios</w:t>
      </w:r>
      <w:r>
        <w:rPr>
          <w:spacing w:val="-11"/>
        </w:rPr>
        <w:t> </w:t>
      </w:r>
      <w:r>
        <w:rPr/>
        <w:t>es</w:t>
      </w:r>
      <w:r>
        <w:rPr>
          <w:spacing w:val="-6"/>
        </w:rPr>
        <w:t> </w:t>
      </w:r>
      <w:r>
        <w:rPr/>
        <w:t>particularmente</w:t>
      </w:r>
      <w:r>
        <w:rPr>
          <w:spacing w:val="-6"/>
        </w:rPr>
        <w:t> </w:t>
      </w:r>
      <w:r>
        <w:rPr/>
        <w:t>importante</w:t>
      </w:r>
      <w:r>
        <w:rPr>
          <w:spacing w:val="-6"/>
        </w:rPr>
        <w:t> </w:t>
      </w:r>
      <w:r>
        <w:rPr/>
        <w:t>para</w:t>
      </w:r>
      <w:r>
        <w:rPr>
          <w:spacing w:val="-6"/>
        </w:rPr>
        <w:t> </w:t>
      </w:r>
      <w:r>
        <w:rPr/>
        <w:t>la</w:t>
      </w:r>
      <w:r>
        <w:rPr>
          <w:spacing w:val="-6"/>
        </w:rPr>
        <w:t> </w:t>
      </w:r>
      <w:r>
        <w:rPr/>
        <w:t>técnica</w:t>
      </w:r>
      <w:r>
        <w:rPr>
          <w:spacing w:val="-6"/>
        </w:rPr>
        <w:t> </w:t>
      </w:r>
      <w:r>
        <w:rPr/>
        <w:t>de</w:t>
      </w:r>
      <w:r>
        <w:rPr>
          <w:spacing w:val="-11"/>
        </w:rPr>
        <w:t> </w:t>
      </w:r>
      <w:r>
        <w:rPr/>
        <w:t>las curvas numéricas debido a que en muchas localidades, los datos de precipitación con incremento en tiempo de menos de un día no existen. También, el manejo de los datos de precipitación y los cálculos de escurrimiento superficial son más eficientes para datos diarios que en intervalos más</w:t>
      </w:r>
      <w:r>
        <w:rPr>
          <w:spacing w:val="-6"/>
        </w:rPr>
        <w:t> </w:t>
      </w:r>
      <w:r>
        <w:rPr/>
        <w:t>cortos.</w:t>
      </w:r>
    </w:p>
    <w:p>
      <w:pPr>
        <w:pStyle w:val="BodyText"/>
        <w:spacing w:line="360" w:lineRule="auto" w:before="205"/>
        <w:ind w:left="116" w:right="116"/>
        <w:jc w:val="both"/>
      </w:pPr>
      <w:r>
        <w:rPr/>
        <w:t>El modelo cuenta con dos opciones para estimar el gasto máximo, la fórmula racional modificada y el método TR-55 del SCS (USDA-SCS, 1986). La ecuación racional cuenta con un elemento de tipo estocástico que permite la simulación real del gasto máximo, con base en la lluvia diaria y la intensidad de la lluvia mensual.</w:t>
      </w:r>
    </w:p>
    <w:p>
      <w:pPr>
        <w:pStyle w:val="ListParagraph"/>
        <w:numPr>
          <w:ilvl w:val="0"/>
          <w:numId w:val="13"/>
        </w:numPr>
        <w:tabs>
          <w:tab w:pos="837" w:val="left" w:leader="none"/>
        </w:tabs>
        <w:spacing w:line="360" w:lineRule="auto" w:before="206" w:after="0"/>
        <w:ind w:left="837" w:right="110" w:hanging="361"/>
        <w:jc w:val="both"/>
        <w:rPr>
          <w:sz w:val="26"/>
        </w:rPr>
      </w:pPr>
      <w:r>
        <w:rPr>
          <w:b/>
          <w:sz w:val="26"/>
        </w:rPr>
        <w:t>Percolación. </w:t>
      </w:r>
      <w:r>
        <w:rPr>
          <w:sz w:val="26"/>
        </w:rPr>
        <w:t>El componente de percolación del </w:t>
      </w:r>
      <w:r>
        <w:rPr>
          <w:spacing w:val="-3"/>
          <w:sz w:val="26"/>
        </w:rPr>
        <w:t>SWAT </w:t>
      </w:r>
      <w:r>
        <w:rPr>
          <w:sz w:val="26"/>
        </w:rPr>
        <w:t>usa una técnica de almacenamiento que predice el flujo a través de cada capa de suelo en la zona de raíces.</w:t>
      </w:r>
      <w:r>
        <w:rPr>
          <w:spacing w:val="-12"/>
          <w:sz w:val="26"/>
        </w:rPr>
        <w:t> </w:t>
      </w:r>
      <w:r>
        <w:rPr>
          <w:sz w:val="26"/>
        </w:rPr>
        <w:t>El</w:t>
      </w:r>
      <w:r>
        <w:rPr>
          <w:spacing w:val="-15"/>
          <w:sz w:val="26"/>
        </w:rPr>
        <w:t> </w:t>
      </w:r>
      <w:r>
        <w:rPr>
          <w:sz w:val="26"/>
        </w:rPr>
        <w:t>flujo</w:t>
      </w:r>
      <w:r>
        <w:rPr>
          <w:spacing w:val="-15"/>
          <w:sz w:val="26"/>
        </w:rPr>
        <w:t> </w:t>
      </w:r>
      <w:r>
        <w:rPr>
          <w:sz w:val="26"/>
        </w:rPr>
        <w:t>hacia</w:t>
      </w:r>
      <w:r>
        <w:rPr>
          <w:spacing w:val="-14"/>
          <w:sz w:val="26"/>
        </w:rPr>
        <w:t> </w:t>
      </w:r>
      <w:r>
        <w:rPr>
          <w:sz w:val="26"/>
        </w:rPr>
        <w:t>abajo</w:t>
      </w:r>
      <w:r>
        <w:rPr>
          <w:spacing w:val="-14"/>
          <w:sz w:val="26"/>
        </w:rPr>
        <w:t> </w:t>
      </w:r>
      <w:r>
        <w:rPr>
          <w:sz w:val="26"/>
        </w:rPr>
        <w:t>se</w:t>
      </w:r>
      <w:r>
        <w:rPr>
          <w:spacing w:val="-15"/>
          <w:sz w:val="26"/>
        </w:rPr>
        <w:t> </w:t>
      </w:r>
      <w:r>
        <w:rPr>
          <w:sz w:val="26"/>
        </w:rPr>
        <w:t>presenta</w:t>
      </w:r>
      <w:r>
        <w:rPr>
          <w:spacing w:val="-14"/>
          <w:sz w:val="26"/>
        </w:rPr>
        <w:t> </w:t>
      </w:r>
      <w:r>
        <w:rPr>
          <w:sz w:val="26"/>
        </w:rPr>
        <w:t>cuando</w:t>
      </w:r>
      <w:r>
        <w:rPr>
          <w:spacing w:val="-14"/>
          <w:sz w:val="26"/>
        </w:rPr>
        <w:t> </w:t>
      </w:r>
      <w:r>
        <w:rPr>
          <w:sz w:val="26"/>
        </w:rPr>
        <w:t>se</w:t>
      </w:r>
      <w:r>
        <w:rPr>
          <w:spacing w:val="-15"/>
          <w:sz w:val="26"/>
        </w:rPr>
        <w:t> </w:t>
      </w:r>
      <w:r>
        <w:rPr>
          <w:sz w:val="26"/>
        </w:rPr>
        <w:t>excede</w:t>
      </w:r>
      <w:r>
        <w:rPr>
          <w:spacing w:val="-14"/>
          <w:sz w:val="26"/>
        </w:rPr>
        <w:t> </w:t>
      </w:r>
      <w:r>
        <w:rPr>
          <w:sz w:val="26"/>
        </w:rPr>
        <w:t>la</w:t>
      </w:r>
      <w:r>
        <w:rPr>
          <w:spacing w:val="-15"/>
          <w:sz w:val="26"/>
        </w:rPr>
        <w:t> </w:t>
      </w:r>
      <w:r>
        <w:rPr>
          <w:sz w:val="26"/>
        </w:rPr>
        <w:t>capacidad</w:t>
      </w:r>
      <w:r>
        <w:rPr>
          <w:spacing w:val="-14"/>
          <w:sz w:val="26"/>
        </w:rPr>
        <w:t> </w:t>
      </w:r>
      <w:r>
        <w:rPr>
          <w:sz w:val="26"/>
        </w:rPr>
        <w:t>de</w:t>
      </w:r>
      <w:r>
        <w:rPr>
          <w:spacing w:val="-15"/>
          <w:sz w:val="26"/>
        </w:rPr>
        <w:t> </w:t>
      </w:r>
      <w:r>
        <w:rPr>
          <w:sz w:val="26"/>
        </w:rPr>
        <w:t>campo</w:t>
      </w:r>
      <w:r>
        <w:rPr>
          <w:spacing w:val="-15"/>
          <w:sz w:val="26"/>
        </w:rPr>
        <w:t> </w:t>
      </w:r>
      <w:r>
        <w:rPr>
          <w:sz w:val="26"/>
        </w:rPr>
        <w:t>(CC) de una capa de suelo y si la capa inferior no está saturada. </w:t>
      </w:r>
      <w:r>
        <w:rPr>
          <w:spacing w:val="-3"/>
          <w:sz w:val="26"/>
        </w:rPr>
        <w:t>La </w:t>
      </w:r>
      <w:r>
        <w:rPr>
          <w:sz w:val="26"/>
        </w:rPr>
        <w:t>tasa de flujo hacia abajo está gobernada por la conductividad a saturación en la capa del suelo. El</w:t>
      </w:r>
      <w:r>
        <w:rPr>
          <w:spacing w:val="-31"/>
          <w:sz w:val="26"/>
        </w:rPr>
        <w:t> </w:t>
      </w:r>
      <w:r>
        <w:rPr>
          <w:sz w:val="26"/>
        </w:rPr>
        <w:t>flujo hacia</w:t>
      </w:r>
      <w:r>
        <w:rPr>
          <w:spacing w:val="-6"/>
          <w:sz w:val="26"/>
        </w:rPr>
        <w:t> </w:t>
      </w:r>
      <w:r>
        <w:rPr>
          <w:sz w:val="26"/>
        </w:rPr>
        <w:t>arriba</w:t>
      </w:r>
      <w:r>
        <w:rPr>
          <w:spacing w:val="-6"/>
          <w:sz w:val="26"/>
        </w:rPr>
        <w:t> </w:t>
      </w:r>
      <w:r>
        <w:rPr>
          <w:sz w:val="26"/>
        </w:rPr>
        <w:t>puede</w:t>
      </w:r>
      <w:r>
        <w:rPr>
          <w:spacing w:val="-6"/>
          <w:sz w:val="26"/>
        </w:rPr>
        <w:t> </w:t>
      </w:r>
      <w:r>
        <w:rPr>
          <w:sz w:val="26"/>
        </w:rPr>
        <w:t>ocurrir</w:t>
      </w:r>
      <w:r>
        <w:rPr>
          <w:spacing w:val="-10"/>
          <w:sz w:val="26"/>
        </w:rPr>
        <w:t> </w:t>
      </w:r>
      <w:r>
        <w:rPr>
          <w:sz w:val="26"/>
        </w:rPr>
        <w:t>cuando</w:t>
      </w:r>
      <w:r>
        <w:rPr>
          <w:spacing w:val="-6"/>
          <w:sz w:val="26"/>
        </w:rPr>
        <w:t> </w:t>
      </w:r>
      <w:r>
        <w:rPr>
          <w:sz w:val="26"/>
        </w:rPr>
        <w:t>una</w:t>
      </w:r>
      <w:r>
        <w:rPr>
          <w:spacing w:val="-6"/>
          <w:sz w:val="26"/>
        </w:rPr>
        <w:t> </w:t>
      </w:r>
      <w:r>
        <w:rPr>
          <w:sz w:val="26"/>
        </w:rPr>
        <w:t>capa</w:t>
      </w:r>
      <w:r>
        <w:rPr>
          <w:spacing w:val="-11"/>
          <w:sz w:val="26"/>
        </w:rPr>
        <w:t> </w:t>
      </w:r>
      <w:r>
        <w:rPr>
          <w:sz w:val="26"/>
        </w:rPr>
        <w:t>inferior</w:t>
      </w:r>
      <w:r>
        <w:rPr>
          <w:spacing w:val="-6"/>
          <w:sz w:val="26"/>
        </w:rPr>
        <w:t> </w:t>
      </w:r>
      <w:r>
        <w:rPr>
          <w:sz w:val="26"/>
        </w:rPr>
        <w:t>excede</w:t>
      </w:r>
      <w:r>
        <w:rPr>
          <w:spacing w:val="-6"/>
          <w:sz w:val="26"/>
        </w:rPr>
        <w:t> </w:t>
      </w:r>
      <w:r>
        <w:rPr>
          <w:sz w:val="26"/>
        </w:rPr>
        <w:t>la</w:t>
      </w:r>
      <w:r>
        <w:rPr>
          <w:spacing w:val="-11"/>
          <w:sz w:val="26"/>
        </w:rPr>
        <w:t> </w:t>
      </w:r>
      <w:r>
        <w:rPr>
          <w:sz w:val="26"/>
        </w:rPr>
        <w:t>CC.</w:t>
      </w:r>
      <w:r>
        <w:rPr>
          <w:spacing w:val="-4"/>
          <w:sz w:val="26"/>
        </w:rPr>
        <w:t> </w:t>
      </w:r>
      <w:r>
        <w:rPr>
          <w:sz w:val="26"/>
        </w:rPr>
        <w:t>El</w:t>
      </w:r>
      <w:r>
        <w:rPr>
          <w:spacing w:val="-11"/>
          <w:sz w:val="26"/>
        </w:rPr>
        <w:t> </w:t>
      </w:r>
      <w:r>
        <w:rPr>
          <w:sz w:val="26"/>
        </w:rPr>
        <w:t>movimiento</w:t>
      </w:r>
      <w:r>
        <w:rPr>
          <w:spacing w:val="-6"/>
          <w:sz w:val="26"/>
        </w:rPr>
        <w:t> </w:t>
      </w:r>
      <w:r>
        <w:rPr>
          <w:sz w:val="26"/>
        </w:rPr>
        <w:t>de agua de una capa inferior hacia una capa inferior adyacente </w:t>
      </w:r>
      <w:r>
        <w:rPr>
          <w:spacing w:val="2"/>
          <w:sz w:val="26"/>
        </w:rPr>
        <w:t>es </w:t>
      </w:r>
      <w:r>
        <w:rPr>
          <w:sz w:val="26"/>
        </w:rPr>
        <w:t>regulado por el coeficiente de agua del suelo CC de las dos</w:t>
      </w:r>
      <w:r>
        <w:rPr>
          <w:spacing w:val="-16"/>
          <w:sz w:val="26"/>
        </w:rPr>
        <w:t> </w:t>
      </w:r>
      <w:r>
        <w:rPr>
          <w:sz w:val="26"/>
        </w:rPr>
        <w:t>capas.</w:t>
      </w:r>
    </w:p>
    <w:p>
      <w:pPr>
        <w:pStyle w:val="ListParagraph"/>
        <w:numPr>
          <w:ilvl w:val="0"/>
          <w:numId w:val="13"/>
        </w:numPr>
        <w:tabs>
          <w:tab w:pos="836" w:val="left" w:leader="none"/>
          <w:tab w:pos="837" w:val="left" w:leader="none"/>
        </w:tabs>
        <w:spacing w:line="240" w:lineRule="auto" w:before="4" w:after="0"/>
        <w:ind w:left="837" w:right="0" w:hanging="361"/>
        <w:jc w:val="left"/>
        <w:rPr>
          <w:sz w:val="26"/>
        </w:rPr>
      </w:pPr>
      <w:r>
        <w:rPr>
          <w:b/>
          <w:sz w:val="26"/>
        </w:rPr>
        <w:t>Flujo</w:t>
      </w:r>
      <w:r>
        <w:rPr>
          <w:b/>
          <w:spacing w:val="-9"/>
          <w:sz w:val="26"/>
        </w:rPr>
        <w:t> </w:t>
      </w:r>
      <w:r>
        <w:rPr>
          <w:b/>
          <w:sz w:val="26"/>
        </w:rPr>
        <w:t>lateral</w:t>
      </w:r>
      <w:r>
        <w:rPr>
          <w:b/>
          <w:spacing w:val="-4"/>
          <w:sz w:val="26"/>
        </w:rPr>
        <w:t> </w:t>
      </w:r>
      <w:r>
        <w:rPr>
          <w:b/>
          <w:sz w:val="26"/>
        </w:rPr>
        <w:t>subsuperficial.</w:t>
      </w:r>
      <w:r>
        <w:rPr>
          <w:b/>
          <w:spacing w:val="-2"/>
          <w:sz w:val="26"/>
        </w:rPr>
        <w:t> </w:t>
      </w:r>
      <w:r>
        <w:rPr>
          <w:sz w:val="26"/>
        </w:rPr>
        <w:t>El</w:t>
      </w:r>
      <w:r>
        <w:rPr>
          <w:spacing w:val="-4"/>
          <w:sz w:val="26"/>
        </w:rPr>
        <w:t> </w:t>
      </w:r>
      <w:r>
        <w:rPr>
          <w:sz w:val="26"/>
        </w:rPr>
        <w:t>flujo</w:t>
      </w:r>
      <w:r>
        <w:rPr>
          <w:spacing w:val="-4"/>
          <w:sz w:val="26"/>
        </w:rPr>
        <w:t> </w:t>
      </w:r>
      <w:r>
        <w:rPr>
          <w:sz w:val="26"/>
        </w:rPr>
        <w:t>lateral</w:t>
      </w:r>
      <w:r>
        <w:rPr>
          <w:spacing w:val="-4"/>
          <w:sz w:val="26"/>
        </w:rPr>
        <w:t> </w:t>
      </w:r>
      <w:r>
        <w:rPr>
          <w:sz w:val="26"/>
        </w:rPr>
        <w:t>subsuperficial</w:t>
      </w:r>
      <w:r>
        <w:rPr>
          <w:spacing w:val="-4"/>
          <w:sz w:val="26"/>
        </w:rPr>
        <w:t> </w:t>
      </w:r>
      <w:r>
        <w:rPr>
          <w:sz w:val="26"/>
        </w:rPr>
        <w:t>en</w:t>
      </w:r>
      <w:r>
        <w:rPr>
          <w:spacing w:val="-4"/>
          <w:sz w:val="26"/>
        </w:rPr>
        <w:t> </w:t>
      </w:r>
      <w:r>
        <w:rPr>
          <w:sz w:val="26"/>
        </w:rPr>
        <w:t>el</w:t>
      </w:r>
      <w:r>
        <w:rPr>
          <w:spacing w:val="-4"/>
          <w:sz w:val="26"/>
        </w:rPr>
        <w:t> </w:t>
      </w:r>
      <w:r>
        <w:rPr>
          <w:sz w:val="26"/>
        </w:rPr>
        <w:t>perfil</w:t>
      </w:r>
      <w:r>
        <w:rPr>
          <w:spacing w:val="-4"/>
          <w:sz w:val="26"/>
        </w:rPr>
        <w:t> </w:t>
      </w:r>
      <w:r>
        <w:rPr>
          <w:sz w:val="26"/>
        </w:rPr>
        <w:t>del</w:t>
      </w:r>
      <w:r>
        <w:rPr>
          <w:spacing w:val="-4"/>
          <w:sz w:val="26"/>
        </w:rPr>
        <w:t> </w:t>
      </w:r>
      <w:r>
        <w:rPr>
          <w:sz w:val="26"/>
        </w:rPr>
        <w:t>suelo</w:t>
      </w:r>
      <w:r>
        <w:rPr>
          <w:spacing w:val="-4"/>
          <w:sz w:val="26"/>
        </w:rPr>
        <w:t> </w:t>
      </w:r>
      <w:r>
        <w:rPr>
          <w:sz w:val="26"/>
        </w:rPr>
        <w:t>(0-</w:t>
      </w:r>
    </w:p>
    <w:p>
      <w:pPr>
        <w:pStyle w:val="ListParagraph"/>
        <w:numPr>
          <w:ilvl w:val="0"/>
          <w:numId w:val="7"/>
        </w:numPr>
        <w:tabs>
          <w:tab w:pos="1121" w:val="left" w:leader="none"/>
        </w:tabs>
        <w:spacing w:line="360" w:lineRule="auto" w:before="146" w:after="0"/>
        <w:ind w:left="837" w:right="113" w:firstLine="0"/>
        <w:jc w:val="both"/>
        <w:rPr>
          <w:sz w:val="26"/>
        </w:rPr>
      </w:pPr>
      <w:r>
        <w:rPr>
          <w:spacing w:val="-3"/>
          <w:sz w:val="26"/>
        </w:rPr>
        <w:t>m) </w:t>
      </w:r>
      <w:r>
        <w:rPr>
          <w:sz w:val="26"/>
        </w:rPr>
        <w:t>se calcula simultáneamente con la percolación. </w:t>
      </w:r>
      <w:r>
        <w:rPr>
          <w:spacing w:val="-3"/>
          <w:sz w:val="26"/>
        </w:rPr>
        <w:t>Se </w:t>
      </w:r>
      <w:r>
        <w:rPr>
          <w:sz w:val="26"/>
        </w:rPr>
        <w:t>emplea un modelo cinemático de almacenamiento para predecir el flujo lateral en cada capa del suelo. El modelo considera variación en la conductividad, pendiente y contenido de agua en el suelo. También considera para el flujo hacia arriba a una capa adyacente o de la</w:t>
      </w:r>
      <w:r>
        <w:rPr>
          <w:spacing w:val="-3"/>
          <w:sz w:val="26"/>
        </w:rPr>
        <w:t> </w:t>
      </w:r>
      <w:r>
        <w:rPr>
          <w:sz w:val="26"/>
        </w:rPr>
        <w:t>superficie.</w:t>
      </w:r>
    </w:p>
    <w:p>
      <w:pPr>
        <w:pStyle w:val="ListParagraph"/>
        <w:numPr>
          <w:ilvl w:val="0"/>
          <w:numId w:val="13"/>
        </w:numPr>
        <w:tabs>
          <w:tab w:pos="837" w:val="left" w:leader="none"/>
        </w:tabs>
        <w:spacing w:line="355" w:lineRule="auto" w:before="4" w:after="0"/>
        <w:ind w:left="837" w:right="111" w:hanging="361"/>
        <w:jc w:val="both"/>
        <w:rPr>
          <w:sz w:val="26"/>
        </w:rPr>
      </w:pPr>
      <w:r>
        <w:rPr>
          <w:b/>
          <w:sz w:val="26"/>
        </w:rPr>
        <w:t>Flujo de agua subterránea. </w:t>
      </w:r>
      <w:r>
        <w:rPr>
          <w:spacing w:val="-3"/>
          <w:sz w:val="26"/>
        </w:rPr>
        <w:t>La </w:t>
      </w:r>
      <w:r>
        <w:rPr>
          <w:sz w:val="26"/>
        </w:rPr>
        <w:t>contribución del flujo subterráneo al flujo total se simula creando un acuífero de almacenamiento poco profundo, la percolación a partir de la parte baja de la zona de raíces es una recarga para ese acuífero</w:t>
      </w:r>
      <w:r>
        <w:rPr>
          <w:spacing w:val="27"/>
          <w:sz w:val="26"/>
        </w:rPr>
        <w:t> </w:t>
      </w:r>
      <w:r>
        <w:rPr>
          <w:sz w:val="26"/>
        </w:rPr>
        <w:t>delgado.</w:t>
      </w:r>
    </w:p>
    <w:p>
      <w:pPr>
        <w:spacing w:after="0" w:line="355" w:lineRule="auto"/>
        <w:jc w:val="both"/>
        <w:rPr>
          <w:sz w:val="26"/>
        </w:rPr>
        <w:sectPr>
          <w:pgSz w:w="12240" w:h="15840"/>
          <w:pgMar w:header="0" w:footer="1473" w:top="1360" w:bottom="1660" w:left="1300" w:right="1300"/>
        </w:sectPr>
      </w:pPr>
    </w:p>
    <w:p>
      <w:pPr>
        <w:pStyle w:val="BodyText"/>
        <w:spacing w:line="362" w:lineRule="auto" w:before="49"/>
        <w:ind w:left="756"/>
      </w:pPr>
      <w:r>
        <w:rPr/>
        <w:t>Una constante de recesión derivada a partir de datos diarios de flujo se usa para retardar el flujo del acuífero a la corriente de agua.</w:t>
      </w:r>
    </w:p>
    <w:p>
      <w:pPr>
        <w:pStyle w:val="ListParagraph"/>
        <w:numPr>
          <w:ilvl w:val="0"/>
          <w:numId w:val="14"/>
        </w:numPr>
        <w:tabs>
          <w:tab w:pos="757" w:val="left" w:leader="none"/>
        </w:tabs>
        <w:spacing w:line="360" w:lineRule="auto" w:before="1" w:after="0"/>
        <w:ind w:left="757" w:right="110" w:hanging="361"/>
        <w:jc w:val="both"/>
        <w:rPr>
          <w:sz w:val="26"/>
        </w:rPr>
      </w:pPr>
      <w:r>
        <w:rPr>
          <w:b/>
          <w:sz w:val="26"/>
        </w:rPr>
        <w:t>Evapotranspiración. </w:t>
      </w:r>
      <w:r>
        <w:rPr>
          <w:sz w:val="26"/>
        </w:rPr>
        <w:t>El modelo ofrece tres opciones para su estimación: Hargreaves (Hargreaves and Samani, 1985), Pristley Taylor (Pristley and Taylor, 1972), y Penman-Monteinth (Monteinth, 1965). El método de Penman requiere datos de radiación solar, temperatura del aire, humedad relativa y velocidad del viento. </w:t>
      </w:r>
      <w:r>
        <w:rPr>
          <w:spacing w:val="-3"/>
          <w:sz w:val="26"/>
        </w:rPr>
        <w:t>Si </w:t>
      </w:r>
      <w:r>
        <w:rPr>
          <w:sz w:val="26"/>
        </w:rPr>
        <w:t>alguno de éstos datos no están disponibles (valores diarios) se pueden generar a partir de valores promedio mensuales. Los métodos Hargreaves y de Pristley Taylor dan opciones con resultados reales en la mayoría de los casos, éste método calcula la evapotranspiración de suelos y plantas separadamente mediante la ecuación</w:t>
      </w:r>
      <w:r>
        <w:rPr>
          <w:spacing w:val="-2"/>
          <w:sz w:val="26"/>
        </w:rPr>
        <w:t> </w:t>
      </w:r>
      <w:r>
        <w:rPr>
          <w:sz w:val="26"/>
        </w:rPr>
        <w:t>5.</w:t>
      </w:r>
    </w:p>
    <w:p>
      <w:pPr>
        <w:pStyle w:val="BodyText"/>
        <w:spacing w:before="5"/>
        <w:rPr>
          <w:sz w:val="10"/>
        </w:rPr>
      </w:pPr>
    </w:p>
    <w:p>
      <w:pPr>
        <w:spacing w:line="169" w:lineRule="exact" w:before="70"/>
        <w:ind w:left="409" w:right="0" w:firstLine="0"/>
        <w:jc w:val="center"/>
        <w:rPr>
          <w:rFonts w:ascii="Cambria Math" w:hAnsi="Cambria Math"/>
          <w:sz w:val="21"/>
        </w:rPr>
      </w:pPr>
      <w:r>
        <w:rPr>
          <w:w w:val="100"/>
          <w:sz w:val="21"/>
          <w:u w:val="single"/>
        </w:rPr>
        <w:t> </w:t>
      </w:r>
      <w:r>
        <w:rPr>
          <w:sz w:val="21"/>
          <w:u w:val="single"/>
        </w:rPr>
        <w:t>  </w:t>
      </w:r>
      <w:r>
        <w:rPr>
          <w:rFonts w:ascii="Cambria Math" w:hAnsi="Cambria Math"/>
          <w:sz w:val="21"/>
          <w:u w:val="single"/>
        </w:rPr>
        <w:t>∆ </w:t>
      </w:r>
    </w:p>
    <w:p>
      <w:pPr>
        <w:tabs>
          <w:tab w:pos="5236" w:val="left" w:leader="none"/>
        </w:tabs>
        <w:spacing w:line="218" w:lineRule="exact" w:before="0"/>
        <w:ind w:left="3978" w:right="0" w:firstLine="0"/>
        <w:jc w:val="left"/>
        <w:rPr>
          <w:sz w:val="26"/>
        </w:rPr>
      </w:pPr>
      <w:r>
        <w:rPr>
          <w:rFonts w:ascii="Cambria Math" w:hAnsi="Cambria Math" w:eastAsia="Cambria Math"/>
          <w:sz w:val="30"/>
        </w:rPr>
        <w:t>𝐸</w:t>
      </w:r>
      <w:r>
        <w:rPr>
          <w:rFonts w:ascii="Cambria Math" w:hAnsi="Cambria Math" w:eastAsia="Cambria Math"/>
          <w:spacing w:val="30"/>
          <w:sz w:val="30"/>
        </w:rPr>
        <w:t> </w:t>
      </w:r>
      <w:r>
        <w:rPr>
          <w:rFonts w:ascii="Cambria Math" w:hAnsi="Cambria Math" w:eastAsia="Cambria Math"/>
          <w:sz w:val="30"/>
        </w:rPr>
        <w:t>=∝</w:t>
        <w:tab/>
        <w:t>(�𝑛 −</w:t>
      </w:r>
      <w:r>
        <w:rPr>
          <w:rFonts w:ascii="Cambria Math" w:hAnsi="Cambria Math" w:eastAsia="Cambria Math"/>
          <w:spacing w:val="-4"/>
          <w:sz w:val="30"/>
        </w:rPr>
        <w:t> </w:t>
      </w:r>
      <w:r>
        <w:rPr>
          <w:rFonts w:ascii="Cambria Math" w:hAnsi="Cambria Math" w:eastAsia="Cambria Math"/>
          <w:sz w:val="30"/>
        </w:rPr>
        <w:t>𝐺)</w:t>
      </w:r>
      <w:r>
        <w:rPr>
          <w:sz w:val="26"/>
        </w:rPr>
        <w:t>………………………..…(5)</w:t>
      </w:r>
    </w:p>
    <w:p>
      <w:pPr>
        <w:spacing w:line="190" w:lineRule="exact" w:before="0"/>
        <w:ind w:left="405" w:right="0" w:firstLine="0"/>
        <w:jc w:val="center"/>
        <w:rPr>
          <w:rFonts w:ascii="Cambria Math" w:hAnsi="Cambria Math" w:eastAsia="Cambria Math"/>
          <w:sz w:val="21"/>
        </w:rPr>
      </w:pPr>
      <w:r>
        <w:rPr>
          <w:rFonts w:ascii="Cambria Math" w:hAnsi="Cambria Math" w:eastAsia="Cambria Math"/>
          <w:w w:val="105"/>
          <w:sz w:val="21"/>
        </w:rPr>
        <w:t>∆+𝛾</w:t>
      </w:r>
    </w:p>
    <w:p>
      <w:pPr>
        <w:pStyle w:val="BodyText"/>
        <w:spacing w:before="4"/>
        <w:rPr>
          <w:rFonts w:ascii="Cambria Math"/>
          <w:sz w:val="25"/>
        </w:rPr>
      </w:pPr>
    </w:p>
    <w:p>
      <w:pPr>
        <w:pStyle w:val="BodyText"/>
        <w:spacing w:before="66"/>
        <w:ind w:left="1453"/>
      </w:pPr>
      <w:r>
        <w:rPr/>
        <w:t>Donde:</w:t>
      </w:r>
    </w:p>
    <w:p>
      <w:pPr>
        <w:pStyle w:val="BodyText"/>
        <w:spacing w:before="4"/>
        <w:rPr>
          <w:sz w:val="30"/>
        </w:rPr>
      </w:pPr>
    </w:p>
    <w:p>
      <w:pPr>
        <w:pStyle w:val="BodyText"/>
        <w:ind w:left="1453"/>
      </w:pPr>
      <w:r>
        <w:rPr/>
        <w:t>α= parámetro adimensioanl de Pristley and Taylor</w:t>
      </w:r>
    </w:p>
    <w:p>
      <w:pPr>
        <w:pStyle w:val="BodyText"/>
        <w:spacing w:before="4"/>
        <w:rPr>
          <w:sz w:val="30"/>
        </w:rPr>
      </w:pPr>
    </w:p>
    <w:p>
      <w:pPr>
        <w:pStyle w:val="ListParagraph"/>
        <w:numPr>
          <w:ilvl w:val="0"/>
          <w:numId w:val="15"/>
        </w:numPr>
        <w:tabs>
          <w:tab w:pos="757" w:val="left" w:leader="none"/>
        </w:tabs>
        <w:spacing w:line="360" w:lineRule="auto" w:before="0" w:after="0"/>
        <w:ind w:left="757" w:right="117" w:hanging="500"/>
        <w:jc w:val="both"/>
        <w:rPr>
          <w:sz w:val="26"/>
        </w:rPr>
      </w:pPr>
      <w:r>
        <w:rPr>
          <w:spacing w:val="-3"/>
          <w:sz w:val="26"/>
        </w:rPr>
        <w:t>La </w:t>
      </w:r>
      <w:r>
        <w:rPr>
          <w:sz w:val="26"/>
        </w:rPr>
        <w:t>evapotranspiración potencial del agua en el suelo se estima como función de evapotranspiración y el índice de área foliar (el área de las hojas de una planta en relación al área del suelo</w:t>
      </w:r>
      <w:r>
        <w:rPr>
          <w:spacing w:val="-1"/>
          <w:sz w:val="26"/>
        </w:rPr>
        <w:t> </w:t>
      </w:r>
      <w:r>
        <w:rPr>
          <w:sz w:val="26"/>
        </w:rPr>
        <w:t>m</w:t>
      </w:r>
      <w:r>
        <w:rPr>
          <w:position w:val="9"/>
          <w:sz w:val="16"/>
        </w:rPr>
        <w:t>2</w:t>
      </w:r>
      <w:r>
        <w:rPr>
          <w:sz w:val="26"/>
        </w:rPr>
        <w:t>/m</w:t>
      </w:r>
      <w:r>
        <w:rPr>
          <w:position w:val="9"/>
          <w:sz w:val="16"/>
        </w:rPr>
        <w:t>2</w:t>
      </w:r>
      <w:r>
        <w:rPr>
          <w:sz w:val="26"/>
        </w:rPr>
        <w:t>).</w:t>
      </w:r>
    </w:p>
    <w:p>
      <w:pPr>
        <w:pStyle w:val="ListParagraph"/>
        <w:numPr>
          <w:ilvl w:val="0"/>
          <w:numId w:val="15"/>
        </w:numPr>
        <w:tabs>
          <w:tab w:pos="757" w:val="left" w:leader="none"/>
        </w:tabs>
        <w:spacing w:line="357" w:lineRule="auto" w:before="8" w:after="0"/>
        <w:ind w:left="757" w:right="120" w:hanging="572"/>
        <w:jc w:val="both"/>
        <w:rPr>
          <w:sz w:val="26"/>
        </w:rPr>
      </w:pPr>
      <w:r>
        <w:rPr>
          <w:spacing w:val="-3"/>
          <w:sz w:val="26"/>
        </w:rPr>
        <w:t>La </w:t>
      </w:r>
      <w:r>
        <w:rPr>
          <w:sz w:val="26"/>
        </w:rPr>
        <w:t>evapotranspiración del suelo real se estima usando ecuaciones exponenciales de la profundidad del</w:t>
      </w:r>
      <w:r>
        <w:rPr>
          <w:spacing w:val="-4"/>
          <w:sz w:val="26"/>
        </w:rPr>
        <w:t> </w:t>
      </w:r>
      <w:r>
        <w:rPr>
          <w:sz w:val="26"/>
        </w:rPr>
        <w:t>suelo.</w:t>
      </w:r>
    </w:p>
    <w:p>
      <w:pPr>
        <w:pStyle w:val="ListParagraph"/>
        <w:numPr>
          <w:ilvl w:val="0"/>
          <w:numId w:val="15"/>
        </w:numPr>
        <w:tabs>
          <w:tab w:pos="756" w:val="left" w:leader="none"/>
          <w:tab w:pos="757" w:val="left" w:leader="none"/>
        </w:tabs>
        <w:spacing w:line="357" w:lineRule="auto" w:before="11" w:after="0"/>
        <w:ind w:left="757" w:right="116" w:hanging="644"/>
        <w:jc w:val="left"/>
        <w:rPr>
          <w:sz w:val="26"/>
        </w:rPr>
      </w:pPr>
      <w:r>
        <w:rPr>
          <w:spacing w:val="-3"/>
          <w:sz w:val="26"/>
        </w:rPr>
        <w:t>La </w:t>
      </w:r>
      <w:r>
        <w:rPr>
          <w:sz w:val="26"/>
        </w:rPr>
        <w:t>evapotranspiración del agua en la planta se simula como una función lineal de</w:t>
      </w:r>
      <w:r>
        <w:rPr>
          <w:spacing w:val="-23"/>
          <w:sz w:val="26"/>
        </w:rPr>
        <w:t> </w:t>
      </w:r>
      <w:r>
        <w:rPr>
          <w:sz w:val="26"/>
        </w:rPr>
        <w:t>la evapotranspiración potencial y el índice de área</w:t>
      </w:r>
      <w:r>
        <w:rPr>
          <w:spacing w:val="-11"/>
          <w:sz w:val="26"/>
        </w:rPr>
        <w:t> </w:t>
      </w:r>
      <w:r>
        <w:rPr>
          <w:sz w:val="26"/>
        </w:rPr>
        <w:t>foliar.</w:t>
      </w:r>
    </w:p>
    <w:p>
      <w:pPr>
        <w:pStyle w:val="BodyText"/>
      </w:pPr>
    </w:p>
    <w:p>
      <w:pPr>
        <w:pStyle w:val="ListParagraph"/>
        <w:numPr>
          <w:ilvl w:val="1"/>
          <w:numId w:val="15"/>
        </w:numPr>
        <w:tabs>
          <w:tab w:pos="757" w:val="left" w:leader="none"/>
        </w:tabs>
        <w:spacing w:line="357" w:lineRule="auto" w:before="159" w:after="0"/>
        <w:ind w:left="757" w:right="112" w:hanging="361"/>
        <w:jc w:val="both"/>
        <w:rPr>
          <w:sz w:val="26"/>
        </w:rPr>
      </w:pPr>
      <w:r>
        <w:rPr>
          <w:b/>
          <w:sz w:val="26"/>
        </w:rPr>
        <w:t>Deshielo </w:t>
      </w:r>
      <w:r>
        <w:rPr>
          <w:b/>
          <w:spacing w:val="-3"/>
          <w:sz w:val="26"/>
        </w:rPr>
        <w:t>de </w:t>
      </w:r>
      <w:r>
        <w:rPr>
          <w:b/>
          <w:sz w:val="26"/>
        </w:rPr>
        <w:t>nieve. </w:t>
      </w:r>
      <w:r>
        <w:rPr>
          <w:sz w:val="26"/>
        </w:rPr>
        <w:t>El componente de derretimiento de hielo del modelo SWAT es similar al del modelo CREAMS, si hay nieve esta se derrite en días cuando la temperatura máxima excede los 0°C usando una función lineal de la temperatura,</w:t>
      </w:r>
      <w:r>
        <w:rPr>
          <w:spacing w:val="-26"/>
          <w:sz w:val="26"/>
        </w:rPr>
        <w:t> </w:t>
      </w:r>
      <w:r>
        <w:rPr>
          <w:sz w:val="26"/>
        </w:rPr>
        <w:t>la nieve  derretida  es  transferida  en la misma  forma  que  la  lluvia  para  estimar  el</w:t>
      </w:r>
    </w:p>
    <w:p>
      <w:pPr>
        <w:spacing w:after="0" w:line="357" w:lineRule="auto"/>
        <w:jc w:val="both"/>
        <w:rPr>
          <w:sz w:val="26"/>
        </w:rPr>
        <w:sectPr>
          <w:pgSz w:w="12240" w:h="15840"/>
          <w:pgMar w:header="0" w:footer="1473" w:top="1360" w:bottom="1660" w:left="1380" w:right="1300"/>
        </w:sectPr>
      </w:pPr>
    </w:p>
    <w:p>
      <w:pPr>
        <w:pStyle w:val="BodyText"/>
        <w:spacing w:line="360" w:lineRule="auto" w:before="49"/>
        <w:ind w:left="836" w:right="112"/>
        <w:jc w:val="both"/>
      </w:pPr>
      <w:r>
        <w:rPr/>
        <w:t>escurrimiento y la precipitación. Sin embargo, la energía de la lluvia es</w:t>
      </w:r>
      <w:r>
        <w:rPr>
          <w:spacing w:val="-32"/>
        </w:rPr>
        <w:t> </w:t>
      </w:r>
      <w:r>
        <w:rPr/>
        <w:t>considerada como cero y la tasa del escurrimiento pico se estima asumiendo una distribución uniforme de la lluvia para una duración de 24</w:t>
      </w:r>
      <w:r>
        <w:rPr>
          <w:spacing w:val="-10"/>
        </w:rPr>
        <w:t> </w:t>
      </w:r>
      <w:r>
        <w:rPr/>
        <w:t>horas.</w:t>
      </w:r>
    </w:p>
    <w:p>
      <w:pPr>
        <w:pStyle w:val="ListParagraph"/>
        <w:numPr>
          <w:ilvl w:val="2"/>
          <w:numId w:val="15"/>
        </w:numPr>
        <w:tabs>
          <w:tab w:pos="837" w:val="left" w:leader="none"/>
        </w:tabs>
        <w:spacing w:line="360" w:lineRule="auto" w:before="8" w:after="0"/>
        <w:ind w:left="837" w:right="114" w:hanging="361"/>
        <w:jc w:val="both"/>
        <w:rPr>
          <w:sz w:val="26"/>
        </w:rPr>
      </w:pPr>
      <w:r>
        <w:rPr>
          <w:b/>
          <w:sz w:val="26"/>
        </w:rPr>
        <w:t>Pérdidas por transmisión</w:t>
      </w:r>
      <w:r>
        <w:rPr>
          <w:sz w:val="26"/>
        </w:rPr>
        <w:t>. Muchas cuencas de climas semiáridos tienen canales aluviales que sustraen grandes volúmenes de agua de la corriente (Lane, 1983). Las pérdidas por transmisión reducen los volúmenes de escurrimiento a medida que el agua escurre corriente abajo. El modelo SWAT utiliza el modelo de Lane descrito en el Manual de Hidrología del SCS (USDA, 1986) para estimar las pérdidas por transmisión. Las pérdidas en los canales son función del ancho del canal, de la longitud y duración del flujo, tanto el volumen de escurrimiento y la tasa pico se ajusta cuando ocurren pérdidas por</w:t>
      </w:r>
      <w:r>
        <w:rPr>
          <w:spacing w:val="-4"/>
          <w:sz w:val="26"/>
        </w:rPr>
        <w:t> </w:t>
      </w:r>
      <w:r>
        <w:rPr>
          <w:sz w:val="26"/>
        </w:rPr>
        <w:t>transmisión.</w:t>
      </w:r>
    </w:p>
    <w:p>
      <w:pPr>
        <w:pStyle w:val="ListParagraph"/>
        <w:numPr>
          <w:ilvl w:val="2"/>
          <w:numId w:val="15"/>
        </w:numPr>
        <w:tabs>
          <w:tab w:pos="837" w:val="left" w:leader="none"/>
        </w:tabs>
        <w:spacing w:line="357" w:lineRule="auto" w:before="4" w:after="0"/>
        <w:ind w:left="837" w:right="110" w:hanging="361"/>
        <w:jc w:val="both"/>
        <w:rPr>
          <w:sz w:val="26"/>
        </w:rPr>
      </w:pPr>
      <w:r>
        <w:rPr>
          <w:b/>
          <w:sz w:val="26"/>
        </w:rPr>
        <w:t>Cuerpos </w:t>
      </w:r>
      <w:r>
        <w:rPr>
          <w:b/>
          <w:spacing w:val="-3"/>
          <w:sz w:val="26"/>
        </w:rPr>
        <w:t>de </w:t>
      </w:r>
      <w:r>
        <w:rPr>
          <w:b/>
          <w:sz w:val="26"/>
        </w:rPr>
        <w:t>agua. </w:t>
      </w:r>
      <w:r>
        <w:rPr>
          <w:sz w:val="26"/>
        </w:rPr>
        <w:t>El almacenamiento en los cuerpos de agua se simula en función de la capacidad del cuerpo de agua, de las entradas y salidas diarias de agua, y de</w:t>
      </w:r>
      <w:r>
        <w:rPr>
          <w:spacing w:val="-18"/>
          <w:sz w:val="26"/>
        </w:rPr>
        <w:t> </w:t>
      </w:r>
      <w:r>
        <w:rPr>
          <w:sz w:val="26"/>
        </w:rPr>
        <w:t>la transmisión y evaporación. </w:t>
      </w:r>
      <w:r>
        <w:rPr>
          <w:spacing w:val="-3"/>
          <w:sz w:val="26"/>
        </w:rPr>
        <w:t>Se </w:t>
      </w:r>
      <w:r>
        <w:rPr>
          <w:sz w:val="26"/>
        </w:rPr>
        <w:t>asume que en los almacenamientos se tienen solamente vertedores de emergencia. Los datos requeridos son la capacidad y área de la superficie del almacenamiento. El área superficial debajo de la capacidad del almacenamiento se estima a partir de una función no lineal del</w:t>
      </w:r>
      <w:r>
        <w:rPr>
          <w:spacing w:val="-16"/>
          <w:sz w:val="26"/>
        </w:rPr>
        <w:t> </w:t>
      </w:r>
      <w:r>
        <w:rPr>
          <w:sz w:val="26"/>
        </w:rPr>
        <w:t>almacenamiento.</w:t>
      </w:r>
    </w:p>
    <w:p>
      <w:pPr>
        <w:pStyle w:val="BodyText"/>
      </w:pPr>
    </w:p>
    <w:p>
      <w:pPr>
        <w:pStyle w:val="Heading1"/>
        <w:numPr>
          <w:ilvl w:val="4"/>
          <w:numId w:val="10"/>
        </w:numPr>
        <w:tabs>
          <w:tab w:pos="837" w:val="left" w:leader="none"/>
        </w:tabs>
        <w:spacing w:line="240" w:lineRule="auto" w:before="163" w:after="0"/>
        <w:ind w:left="837" w:right="0" w:hanging="361"/>
        <w:jc w:val="left"/>
      </w:pPr>
      <w:r>
        <w:rPr/>
        <w:t>Clima</w:t>
      </w:r>
    </w:p>
    <w:p>
      <w:pPr>
        <w:pStyle w:val="BodyText"/>
        <w:spacing w:before="10"/>
        <w:rPr>
          <w:b/>
          <w:sz w:val="29"/>
        </w:rPr>
      </w:pPr>
    </w:p>
    <w:p>
      <w:pPr>
        <w:pStyle w:val="BodyText"/>
        <w:spacing w:line="360" w:lineRule="auto"/>
        <w:ind w:left="116" w:right="114"/>
        <w:jc w:val="both"/>
      </w:pPr>
      <w:r>
        <w:rPr/>
        <w:t>Las variables climáticas necesarias para correr el modelo SWAT son: precipitación, temperatura del aire, radiación solar, velocidad del viento y humedad relativa. </w:t>
      </w:r>
      <w:r>
        <w:rPr>
          <w:spacing w:val="-3"/>
        </w:rPr>
        <w:t>Sí </w:t>
      </w:r>
      <w:r>
        <w:rPr/>
        <w:t>la precipitación</w:t>
      </w:r>
      <w:r>
        <w:rPr>
          <w:spacing w:val="-6"/>
        </w:rPr>
        <w:t> </w:t>
      </w:r>
      <w:r>
        <w:rPr/>
        <w:t>diaria</w:t>
      </w:r>
      <w:r>
        <w:rPr>
          <w:spacing w:val="-7"/>
        </w:rPr>
        <w:t> </w:t>
      </w:r>
      <w:r>
        <w:rPr/>
        <w:t>y</w:t>
      </w:r>
      <w:r>
        <w:rPr>
          <w:spacing w:val="-12"/>
        </w:rPr>
        <w:t> </w:t>
      </w:r>
      <w:r>
        <w:rPr/>
        <w:t>las</w:t>
      </w:r>
      <w:r>
        <w:rPr>
          <w:spacing w:val="-7"/>
        </w:rPr>
        <w:t> </w:t>
      </w:r>
      <w:r>
        <w:rPr/>
        <w:t>temperaturas</w:t>
      </w:r>
      <w:r>
        <w:rPr>
          <w:spacing w:val="-7"/>
        </w:rPr>
        <w:t> </w:t>
      </w:r>
      <w:r>
        <w:rPr/>
        <w:t>máximas</w:t>
      </w:r>
      <w:r>
        <w:rPr>
          <w:spacing w:val="-7"/>
        </w:rPr>
        <w:t> </w:t>
      </w:r>
      <w:r>
        <w:rPr/>
        <w:t>y</w:t>
      </w:r>
      <w:r>
        <w:rPr>
          <w:spacing w:val="-12"/>
        </w:rPr>
        <w:t> </w:t>
      </w:r>
      <w:r>
        <w:rPr/>
        <w:t>mínimas</w:t>
      </w:r>
      <w:r>
        <w:rPr>
          <w:spacing w:val="-7"/>
        </w:rPr>
        <w:t> </w:t>
      </w:r>
      <w:r>
        <w:rPr/>
        <w:t>no</w:t>
      </w:r>
      <w:r>
        <w:rPr>
          <w:spacing w:val="-7"/>
        </w:rPr>
        <w:t> </w:t>
      </w:r>
      <w:r>
        <w:rPr/>
        <w:t>están</w:t>
      </w:r>
      <w:r>
        <w:rPr>
          <w:spacing w:val="-7"/>
        </w:rPr>
        <w:t> </w:t>
      </w:r>
      <w:r>
        <w:rPr/>
        <w:t>disponibles</w:t>
      </w:r>
      <w:r>
        <w:rPr>
          <w:spacing w:val="-7"/>
        </w:rPr>
        <w:t> </w:t>
      </w:r>
      <w:r>
        <w:rPr/>
        <w:t>pueden</w:t>
      </w:r>
      <w:r>
        <w:rPr>
          <w:spacing w:val="-12"/>
        </w:rPr>
        <w:t> </w:t>
      </w:r>
      <w:r>
        <w:rPr/>
        <w:t>ser introducidas directamente al modelo, el generador climático puede simular tanto temperatura como la lluvia diaria. </w:t>
      </w:r>
      <w:r>
        <w:rPr>
          <w:spacing w:val="-3"/>
        </w:rPr>
        <w:t>La </w:t>
      </w:r>
      <w:r>
        <w:rPr/>
        <w:t>radiación solar, velocidad del viento y humedad relativa son siempre</w:t>
      </w:r>
      <w:r>
        <w:rPr>
          <w:spacing w:val="-12"/>
        </w:rPr>
        <w:t> </w:t>
      </w:r>
      <w:r>
        <w:rPr/>
        <w:t>simuladas.</w:t>
      </w:r>
    </w:p>
    <w:p>
      <w:pPr>
        <w:pStyle w:val="ListParagraph"/>
        <w:numPr>
          <w:ilvl w:val="2"/>
          <w:numId w:val="15"/>
        </w:numPr>
        <w:tabs>
          <w:tab w:pos="837" w:val="left" w:leader="none"/>
        </w:tabs>
        <w:spacing w:line="355" w:lineRule="auto" w:before="205" w:after="0"/>
        <w:ind w:left="837" w:right="115" w:hanging="361"/>
        <w:jc w:val="both"/>
        <w:rPr>
          <w:sz w:val="26"/>
        </w:rPr>
      </w:pPr>
      <w:r>
        <w:rPr>
          <w:b/>
          <w:sz w:val="26"/>
        </w:rPr>
        <w:t>Precipitación.</w:t>
      </w:r>
      <w:r>
        <w:rPr>
          <w:b/>
          <w:spacing w:val="-9"/>
          <w:sz w:val="26"/>
        </w:rPr>
        <w:t> </w:t>
      </w:r>
      <w:r>
        <w:rPr>
          <w:sz w:val="26"/>
        </w:rPr>
        <w:t>El</w:t>
      </w:r>
      <w:r>
        <w:rPr>
          <w:spacing w:val="-12"/>
          <w:sz w:val="26"/>
        </w:rPr>
        <w:t> </w:t>
      </w:r>
      <w:r>
        <w:rPr>
          <w:sz w:val="26"/>
        </w:rPr>
        <w:t>modelo</w:t>
      </w:r>
      <w:r>
        <w:rPr>
          <w:spacing w:val="-12"/>
          <w:sz w:val="26"/>
        </w:rPr>
        <w:t> </w:t>
      </w:r>
      <w:r>
        <w:rPr>
          <w:sz w:val="26"/>
        </w:rPr>
        <w:t>de</w:t>
      </w:r>
      <w:r>
        <w:rPr>
          <w:spacing w:val="-12"/>
          <w:sz w:val="26"/>
        </w:rPr>
        <w:t> </w:t>
      </w:r>
      <w:r>
        <w:rPr>
          <w:sz w:val="26"/>
        </w:rPr>
        <w:t>precipitación</w:t>
      </w:r>
      <w:r>
        <w:rPr>
          <w:spacing w:val="-11"/>
          <w:sz w:val="26"/>
        </w:rPr>
        <w:t> </w:t>
      </w:r>
      <w:r>
        <w:rPr>
          <w:sz w:val="26"/>
        </w:rPr>
        <w:t>del</w:t>
      </w:r>
      <w:r>
        <w:rPr>
          <w:spacing w:val="-12"/>
          <w:sz w:val="26"/>
        </w:rPr>
        <w:t> </w:t>
      </w:r>
      <w:r>
        <w:rPr>
          <w:sz w:val="26"/>
        </w:rPr>
        <w:t>SWAT</w:t>
      </w:r>
      <w:r>
        <w:rPr>
          <w:spacing w:val="-12"/>
          <w:sz w:val="26"/>
        </w:rPr>
        <w:t> </w:t>
      </w:r>
      <w:r>
        <w:rPr>
          <w:sz w:val="26"/>
        </w:rPr>
        <w:t>desarrollado</w:t>
      </w:r>
      <w:r>
        <w:rPr>
          <w:spacing w:val="-12"/>
          <w:sz w:val="26"/>
        </w:rPr>
        <w:t> </w:t>
      </w:r>
      <w:r>
        <w:rPr>
          <w:sz w:val="26"/>
        </w:rPr>
        <w:t>por</w:t>
      </w:r>
      <w:r>
        <w:rPr>
          <w:spacing w:val="-12"/>
          <w:sz w:val="26"/>
        </w:rPr>
        <w:t> </w:t>
      </w:r>
      <w:r>
        <w:rPr>
          <w:sz w:val="26"/>
        </w:rPr>
        <w:t>Nicks</w:t>
      </w:r>
      <w:r>
        <w:rPr>
          <w:spacing w:val="-12"/>
          <w:sz w:val="26"/>
        </w:rPr>
        <w:t> </w:t>
      </w:r>
      <w:r>
        <w:rPr>
          <w:sz w:val="26"/>
        </w:rPr>
        <w:t>(1974) es</w:t>
      </w:r>
      <w:r>
        <w:rPr>
          <w:spacing w:val="27"/>
          <w:sz w:val="26"/>
        </w:rPr>
        <w:t> </w:t>
      </w:r>
      <w:r>
        <w:rPr>
          <w:sz w:val="26"/>
        </w:rPr>
        <w:t>un</w:t>
      </w:r>
      <w:r>
        <w:rPr>
          <w:spacing w:val="27"/>
          <w:sz w:val="26"/>
        </w:rPr>
        <w:t> </w:t>
      </w:r>
      <w:r>
        <w:rPr>
          <w:sz w:val="26"/>
        </w:rPr>
        <w:t>modelo</w:t>
      </w:r>
      <w:r>
        <w:rPr>
          <w:spacing w:val="28"/>
          <w:sz w:val="26"/>
        </w:rPr>
        <w:t> </w:t>
      </w:r>
      <w:r>
        <w:rPr>
          <w:sz w:val="26"/>
        </w:rPr>
        <w:t>de</w:t>
      </w:r>
      <w:r>
        <w:rPr>
          <w:spacing w:val="27"/>
          <w:sz w:val="26"/>
        </w:rPr>
        <w:t> </w:t>
      </w:r>
      <w:r>
        <w:rPr>
          <w:sz w:val="26"/>
        </w:rPr>
        <w:t>cadena</w:t>
      </w:r>
      <w:r>
        <w:rPr>
          <w:spacing w:val="23"/>
          <w:sz w:val="26"/>
        </w:rPr>
        <w:t> </w:t>
      </w:r>
      <w:r>
        <w:rPr>
          <w:sz w:val="26"/>
        </w:rPr>
        <w:t>de</w:t>
      </w:r>
      <w:r>
        <w:rPr>
          <w:spacing w:val="27"/>
          <w:sz w:val="26"/>
        </w:rPr>
        <w:t> </w:t>
      </w:r>
      <w:r>
        <w:rPr>
          <w:sz w:val="26"/>
        </w:rPr>
        <w:t>Markov</w:t>
      </w:r>
      <w:r>
        <w:rPr>
          <w:spacing w:val="22"/>
          <w:sz w:val="26"/>
        </w:rPr>
        <w:t> </w:t>
      </w:r>
      <w:r>
        <w:rPr>
          <w:sz w:val="26"/>
        </w:rPr>
        <w:t>de</w:t>
      </w:r>
      <w:r>
        <w:rPr>
          <w:spacing w:val="27"/>
          <w:sz w:val="26"/>
        </w:rPr>
        <w:t> </w:t>
      </w:r>
      <w:r>
        <w:rPr>
          <w:sz w:val="26"/>
        </w:rPr>
        <w:t>primer</w:t>
      </w:r>
      <w:r>
        <w:rPr>
          <w:spacing w:val="27"/>
          <w:sz w:val="26"/>
        </w:rPr>
        <w:t> </w:t>
      </w:r>
      <w:r>
        <w:rPr>
          <w:sz w:val="26"/>
        </w:rPr>
        <w:t>orden,</w:t>
      </w:r>
      <w:r>
        <w:rPr>
          <w:spacing w:val="25"/>
          <w:sz w:val="26"/>
        </w:rPr>
        <w:t> </w:t>
      </w:r>
      <w:r>
        <w:rPr>
          <w:sz w:val="26"/>
        </w:rPr>
        <w:t>por</w:t>
      </w:r>
      <w:r>
        <w:rPr>
          <w:spacing w:val="27"/>
          <w:sz w:val="26"/>
        </w:rPr>
        <w:t> </w:t>
      </w:r>
      <w:r>
        <w:rPr>
          <w:sz w:val="26"/>
        </w:rPr>
        <w:t>lo</w:t>
      </w:r>
      <w:r>
        <w:rPr>
          <w:spacing w:val="22"/>
          <w:sz w:val="26"/>
        </w:rPr>
        <w:t> </w:t>
      </w:r>
      <w:r>
        <w:rPr>
          <w:sz w:val="26"/>
        </w:rPr>
        <w:t>tanto</w:t>
      </w:r>
      <w:r>
        <w:rPr>
          <w:spacing w:val="27"/>
          <w:sz w:val="26"/>
        </w:rPr>
        <w:t> </w:t>
      </w:r>
      <w:r>
        <w:rPr>
          <w:sz w:val="26"/>
        </w:rPr>
        <w:t>las</w:t>
      </w:r>
      <w:r>
        <w:rPr>
          <w:spacing w:val="23"/>
          <w:sz w:val="26"/>
        </w:rPr>
        <w:t> </w:t>
      </w:r>
      <w:r>
        <w:rPr>
          <w:sz w:val="26"/>
        </w:rPr>
        <w:t>entradas</w:t>
      </w:r>
      <w:r>
        <w:rPr>
          <w:spacing w:val="28"/>
          <w:sz w:val="26"/>
        </w:rPr>
        <w:t> </w:t>
      </w:r>
      <w:r>
        <w:rPr>
          <w:sz w:val="26"/>
        </w:rPr>
        <w:t>al</w:t>
      </w:r>
    </w:p>
    <w:p>
      <w:pPr>
        <w:spacing w:after="0" w:line="355" w:lineRule="auto"/>
        <w:jc w:val="both"/>
        <w:rPr>
          <w:sz w:val="26"/>
        </w:rPr>
        <w:sectPr>
          <w:pgSz w:w="12240" w:h="15840"/>
          <w:pgMar w:header="0" w:footer="1473" w:top="1360" w:bottom="1660" w:left="1300" w:right="1300"/>
        </w:sectPr>
      </w:pPr>
    </w:p>
    <w:p>
      <w:pPr>
        <w:pStyle w:val="BodyText"/>
        <w:spacing w:line="360" w:lineRule="auto" w:before="49"/>
        <w:ind w:left="476" w:right="115"/>
        <w:jc w:val="both"/>
      </w:pPr>
      <w:r>
        <w:rPr/>
        <w:t>modelo deben incluir las probabilidades mensuales de recibir precipitación si el día anterior fue seco o húmedo. Dada la relación húmedo-seco el modelo determina estocásticamente si ocurre o no precipitación. Cuando un evento de precipitación ocurre, la lámina se calcula a partir de la generación de una distribución de la precipitación diaria. La cantidad de la precipitación diaria se reparte entre la lluvia y la nieve usando la temperatura diaria promedio del aire</w:t>
      </w:r>
    </w:p>
    <w:p>
      <w:pPr>
        <w:pStyle w:val="ListParagraph"/>
        <w:numPr>
          <w:ilvl w:val="0"/>
          <w:numId w:val="16"/>
        </w:numPr>
        <w:tabs>
          <w:tab w:pos="477" w:val="left" w:leader="none"/>
        </w:tabs>
        <w:spacing w:line="357" w:lineRule="auto" w:before="4" w:after="0"/>
        <w:ind w:left="477" w:right="110" w:hanging="361"/>
        <w:jc w:val="both"/>
        <w:rPr>
          <w:sz w:val="26"/>
        </w:rPr>
      </w:pPr>
      <w:r>
        <w:rPr>
          <w:b/>
          <w:sz w:val="26"/>
        </w:rPr>
        <w:t>Temperatura del aire y radiación solar. </w:t>
      </w:r>
      <w:r>
        <w:rPr>
          <w:spacing w:val="-3"/>
          <w:sz w:val="26"/>
        </w:rPr>
        <w:t>La </w:t>
      </w:r>
      <w:r>
        <w:rPr>
          <w:sz w:val="26"/>
        </w:rPr>
        <w:t>temperatura del aire, máxima y mínima, así como la radiación solar se genera a partir de una distribución normal corregida por las probabilidades húmedo-seco. El factor de corrección se usa para dar mayor desviación en la temperatura y radiación cuando el clima cambia y para días lluviosos. De esta manera las desviaciones son menores en días secos. Los factores</w:t>
      </w:r>
      <w:r>
        <w:rPr>
          <w:spacing w:val="-17"/>
          <w:sz w:val="26"/>
        </w:rPr>
        <w:t> </w:t>
      </w:r>
      <w:r>
        <w:rPr>
          <w:sz w:val="26"/>
        </w:rPr>
        <w:t>de</w:t>
      </w:r>
      <w:r>
        <w:rPr>
          <w:spacing w:val="-17"/>
          <w:sz w:val="26"/>
        </w:rPr>
        <w:t> </w:t>
      </w:r>
      <w:r>
        <w:rPr>
          <w:sz w:val="26"/>
        </w:rPr>
        <w:t>corrección</w:t>
      </w:r>
      <w:r>
        <w:rPr>
          <w:spacing w:val="-17"/>
          <w:sz w:val="26"/>
        </w:rPr>
        <w:t> </w:t>
      </w:r>
      <w:r>
        <w:rPr>
          <w:sz w:val="26"/>
        </w:rPr>
        <w:t>se</w:t>
      </w:r>
      <w:r>
        <w:rPr>
          <w:spacing w:val="-17"/>
          <w:sz w:val="26"/>
        </w:rPr>
        <w:t> </w:t>
      </w:r>
      <w:r>
        <w:rPr>
          <w:sz w:val="26"/>
        </w:rPr>
        <w:t>calculan</w:t>
      </w:r>
      <w:r>
        <w:rPr>
          <w:spacing w:val="-17"/>
          <w:sz w:val="26"/>
        </w:rPr>
        <w:t> </w:t>
      </w:r>
      <w:r>
        <w:rPr>
          <w:sz w:val="26"/>
        </w:rPr>
        <w:t>para</w:t>
      </w:r>
      <w:r>
        <w:rPr>
          <w:spacing w:val="-21"/>
          <w:sz w:val="26"/>
        </w:rPr>
        <w:t> </w:t>
      </w:r>
      <w:r>
        <w:rPr>
          <w:sz w:val="26"/>
        </w:rPr>
        <w:t>asegurar</w:t>
      </w:r>
      <w:r>
        <w:rPr>
          <w:spacing w:val="-12"/>
          <w:sz w:val="26"/>
        </w:rPr>
        <w:t> </w:t>
      </w:r>
      <w:r>
        <w:rPr>
          <w:sz w:val="26"/>
        </w:rPr>
        <w:t>que</w:t>
      </w:r>
      <w:r>
        <w:rPr>
          <w:spacing w:val="-17"/>
          <w:sz w:val="26"/>
        </w:rPr>
        <w:t> </w:t>
      </w:r>
      <w:r>
        <w:rPr>
          <w:sz w:val="26"/>
        </w:rPr>
        <w:t>las</w:t>
      </w:r>
      <w:r>
        <w:rPr>
          <w:spacing w:val="-17"/>
          <w:sz w:val="26"/>
        </w:rPr>
        <w:t> </w:t>
      </w:r>
      <w:r>
        <w:rPr>
          <w:sz w:val="26"/>
        </w:rPr>
        <w:t>desviaciones</w:t>
      </w:r>
      <w:r>
        <w:rPr>
          <w:spacing w:val="-17"/>
          <w:sz w:val="26"/>
        </w:rPr>
        <w:t> </w:t>
      </w:r>
      <w:r>
        <w:rPr>
          <w:sz w:val="26"/>
        </w:rPr>
        <w:t>estándar</w:t>
      </w:r>
      <w:r>
        <w:rPr>
          <w:spacing w:val="-17"/>
          <w:sz w:val="26"/>
        </w:rPr>
        <w:t> </w:t>
      </w:r>
      <w:r>
        <w:rPr>
          <w:sz w:val="26"/>
        </w:rPr>
        <w:t>a</w:t>
      </w:r>
      <w:r>
        <w:rPr>
          <w:spacing w:val="-17"/>
          <w:sz w:val="26"/>
        </w:rPr>
        <w:t> </w:t>
      </w:r>
      <w:r>
        <w:rPr>
          <w:sz w:val="26"/>
        </w:rPr>
        <w:t>largo plazo de variables diaria se</w:t>
      </w:r>
      <w:r>
        <w:rPr>
          <w:spacing w:val="-9"/>
          <w:sz w:val="26"/>
        </w:rPr>
        <w:t> </w:t>
      </w:r>
      <w:r>
        <w:rPr>
          <w:sz w:val="26"/>
        </w:rPr>
        <w:t>mantengan.</w:t>
      </w:r>
    </w:p>
    <w:p>
      <w:pPr>
        <w:pStyle w:val="ListParagraph"/>
        <w:numPr>
          <w:ilvl w:val="0"/>
          <w:numId w:val="16"/>
        </w:numPr>
        <w:tabs>
          <w:tab w:pos="477" w:val="left" w:leader="none"/>
        </w:tabs>
        <w:spacing w:line="357" w:lineRule="auto" w:before="12" w:after="0"/>
        <w:ind w:left="477" w:right="116" w:hanging="361"/>
        <w:jc w:val="both"/>
        <w:rPr>
          <w:sz w:val="26"/>
        </w:rPr>
      </w:pPr>
      <w:r>
        <w:rPr>
          <w:b/>
          <w:sz w:val="26"/>
        </w:rPr>
        <w:t>Velocidad</w:t>
      </w:r>
      <w:r>
        <w:rPr>
          <w:b/>
          <w:spacing w:val="-11"/>
          <w:sz w:val="26"/>
        </w:rPr>
        <w:t> </w:t>
      </w:r>
      <w:r>
        <w:rPr>
          <w:b/>
          <w:sz w:val="26"/>
        </w:rPr>
        <w:t>del</w:t>
      </w:r>
      <w:r>
        <w:rPr>
          <w:b/>
          <w:spacing w:val="-6"/>
          <w:sz w:val="26"/>
        </w:rPr>
        <w:t> </w:t>
      </w:r>
      <w:r>
        <w:rPr>
          <w:b/>
          <w:sz w:val="26"/>
        </w:rPr>
        <w:t>viento</w:t>
      </w:r>
      <w:r>
        <w:rPr>
          <w:b/>
          <w:spacing w:val="-11"/>
          <w:sz w:val="26"/>
        </w:rPr>
        <w:t> </w:t>
      </w:r>
      <w:r>
        <w:rPr>
          <w:b/>
          <w:sz w:val="26"/>
        </w:rPr>
        <w:t>y</w:t>
      </w:r>
      <w:r>
        <w:rPr>
          <w:b/>
          <w:spacing w:val="-2"/>
          <w:sz w:val="26"/>
        </w:rPr>
        <w:t> </w:t>
      </w:r>
      <w:r>
        <w:rPr>
          <w:b/>
          <w:sz w:val="26"/>
        </w:rPr>
        <w:t>humedad</w:t>
      </w:r>
      <w:r>
        <w:rPr>
          <w:b/>
          <w:spacing w:val="-11"/>
          <w:sz w:val="26"/>
        </w:rPr>
        <w:t> </w:t>
      </w:r>
      <w:r>
        <w:rPr>
          <w:b/>
          <w:sz w:val="26"/>
        </w:rPr>
        <w:t>relativa.</w:t>
      </w:r>
      <w:r>
        <w:rPr>
          <w:b/>
          <w:spacing w:val="-1"/>
          <w:sz w:val="26"/>
        </w:rPr>
        <w:t> </w:t>
      </w:r>
      <w:r>
        <w:rPr>
          <w:spacing w:val="-3"/>
          <w:sz w:val="26"/>
        </w:rPr>
        <w:t>La</w:t>
      </w:r>
      <w:r>
        <w:rPr>
          <w:spacing w:val="-1"/>
          <w:sz w:val="26"/>
        </w:rPr>
        <w:t> </w:t>
      </w:r>
      <w:r>
        <w:rPr>
          <w:sz w:val="26"/>
        </w:rPr>
        <w:t>velocidad</w:t>
      </w:r>
      <w:r>
        <w:rPr>
          <w:spacing w:val="-6"/>
          <w:sz w:val="26"/>
        </w:rPr>
        <w:t> </w:t>
      </w:r>
      <w:r>
        <w:rPr>
          <w:sz w:val="26"/>
        </w:rPr>
        <w:t>del</w:t>
      </w:r>
      <w:r>
        <w:rPr>
          <w:spacing w:val="-6"/>
          <w:sz w:val="26"/>
        </w:rPr>
        <w:t> </w:t>
      </w:r>
      <w:r>
        <w:rPr>
          <w:sz w:val="26"/>
        </w:rPr>
        <w:t>viento</w:t>
      </w:r>
      <w:r>
        <w:rPr>
          <w:spacing w:val="-6"/>
          <w:sz w:val="26"/>
        </w:rPr>
        <w:t> </w:t>
      </w:r>
      <w:r>
        <w:rPr>
          <w:sz w:val="26"/>
        </w:rPr>
        <w:t>diaria</w:t>
      </w:r>
      <w:r>
        <w:rPr>
          <w:spacing w:val="-6"/>
          <w:sz w:val="26"/>
        </w:rPr>
        <w:t> </w:t>
      </w:r>
      <w:r>
        <w:rPr>
          <w:sz w:val="26"/>
        </w:rPr>
        <w:t>se</w:t>
      </w:r>
      <w:r>
        <w:rPr>
          <w:spacing w:val="-6"/>
          <w:sz w:val="26"/>
        </w:rPr>
        <w:t> </w:t>
      </w:r>
      <w:r>
        <w:rPr>
          <w:sz w:val="26"/>
        </w:rPr>
        <w:t>simula usando una ecuación especial, ya que la velocidad mensual media del viento es un factor de entrada. El modelo de humedad relativa simula promedios diarios a partir de promedios mensuales, esto lo hace utilizando una distribución triangular igual que</w:t>
      </w:r>
      <w:r>
        <w:rPr>
          <w:spacing w:val="-15"/>
          <w:sz w:val="26"/>
        </w:rPr>
        <w:t> </w:t>
      </w:r>
      <w:r>
        <w:rPr>
          <w:sz w:val="26"/>
        </w:rPr>
        <w:t>con</w:t>
      </w:r>
      <w:r>
        <w:rPr>
          <w:spacing w:val="-15"/>
          <w:sz w:val="26"/>
        </w:rPr>
        <w:t> </w:t>
      </w:r>
      <w:r>
        <w:rPr>
          <w:sz w:val="26"/>
        </w:rPr>
        <w:t>la</w:t>
      </w:r>
      <w:r>
        <w:rPr>
          <w:spacing w:val="-15"/>
          <w:sz w:val="26"/>
        </w:rPr>
        <w:t> </w:t>
      </w:r>
      <w:r>
        <w:rPr>
          <w:sz w:val="26"/>
        </w:rPr>
        <w:t>temperatura</w:t>
      </w:r>
      <w:r>
        <w:rPr>
          <w:spacing w:val="-14"/>
          <w:sz w:val="26"/>
        </w:rPr>
        <w:t> </w:t>
      </w:r>
      <w:r>
        <w:rPr>
          <w:sz w:val="26"/>
        </w:rPr>
        <w:t>y</w:t>
      </w:r>
      <w:r>
        <w:rPr>
          <w:spacing w:val="-15"/>
          <w:sz w:val="26"/>
        </w:rPr>
        <w:t> </w:t>
      </w:r>
      <w:r>
        <w:rPr>
          <w:sz w:val="26"/>
        </w:rPr>
        <w:t>la</w:t>
      </w:r>
      <w:r>
        <w:rPr>
          <w:spacing w:val="-15"/>
          <w:sz w:val="26"/>
        </w:rPr>
        <w:t> </w:t>
      </w:r>
      <w:r>
        <w:rPr>
          <w:sz w:val="26"/>
        </w:rPr>
        <w:t>radiación,</w:t>
      </w:r>
      <w:r>
        <w:rPr>
          <w:spacing w:val="-13"/>
          <w:sz w:val="26"/>
        </w:rPr>
        <w:t> </w:t>
      </w:r>
      <w:r>
        <w:rPr>
          <w:sz w:val="26"/>
        </w:rPr>
        <w:t>la</w:t>
      </w:r>
      <w:r>
        <w:rPr>
          <w:spacing w:val="-15"/>
          <w:sz w:val="26"/>
        </w:rPr>
        <w:t> </w:t>
      </w:r>
      <w:r>
        <w:rPr>
          <w:sz w:val="26"/>
        </w:rPr>
        <w:t>humedad</w:t>
      </w:r>
      <w:r>
        <w:rPr>
          <w:spacing w:val="-15"/>
          <w:sz w:val="26"/>
        </w:rPr>
        <w:t> </w:t>
      </w:r>
      <w:r>
        <w:rPr>
          <w:sz w:val="26"/>
        </w:rPr>
        <w:t>relativa</w:t>
      </w:r>
      <w:r>
        <w:rPr>
          <w:spacing w:val="-10"/>
          <w:sz w:val="26"/>
        </w:rPr>
        <w:t> </w:t>
      </w:r>
      <w:r>
        <w:rPr>
          <w:sz w:val="26"/>
        </w:rPr>
        <w:t>media</w:t>
      </w:r>
      <w:r>
        <w:rPr>
          <w:spacing w:val="-15"/>
          <w:sz w:val="26"/>
        </w:rPr>
        <w:t> </w:t>
      </w:r>
      <w:r>
        <w:rPr>
          <w:sz w:val="26"/>
        </w:rPr>
        <w:t>diaria</w:t>
      </w:r>
      <w:r>
        <w:rPr>
          <w:spacing w:val="-14"/>
          <w:sz w:val="26"/>
        </w:rPr>
        <w:t> </w:t>
      </w:r>
      <w:r>
        <w:rPr>
          <w:sz w:val="26"/>
        </w:rPr>
        <w:t>se</w:t>
      </w:r>
      <w:r>
        <w:rPr>
          <w:spacing w:val="-15"/>
          <w:sz w:val="26"/>
        </w:rPr>
        <w:t> </w:t>
      </w:r>
      <w:r>
        <w:rPr>
          <w:sz w:val="26"/>
        </w:rPr>
        <w:t>ajusta</w:t>
      </w:r>
      <w:r>
        <w:rPr>
          <w:spacing w:val="-10"/>
          <w:sz w:val="26"/>
        </w:rPr>
        <w:t> </w:t>
      </w:r>
      <w:r>
        <w:rPr>
          <w:sz w:val="26"/>
        </w:rPr>
        <w:t>para tomar en cuenta los efectos de días húmedos y secos utilizando la ecuación</w:t>
      </w:r>
      <w:r>
        <w:rPr>
          <w:spacing w:val="-6"/>
          <w:sz w:val="26"/>
        </w:rPr>
        <w:t> </w:t>
      </w:r>
      <w:r>
        <w:rPr>
          <w:sz w:val="26"/>
        </w:rPr>
        <w:t>6.</w:t>
      </w:r>
    </w:p>
    <w:p>
      <w:pPr>
        <w:spacing w:line="169" w:lineRule="exact" w:before="155"/>
        <w:ind w:left="148" w:right="0" w:firstLine="0"/>
        <w:jc w:val="center"/>
        <w:rPr>
          <w:rFonts w:ascii="Cambria Math" w:eastAsia="Cambria Math"/>
          <w:sz w:val="21"/>
        </w:rPr>
      </w:pPr>
      <w:r>
        <w:rPr>
          <w:w w:val="100"/>
          <w:sz w:val="21"/>
          <w:u w:val="single"/>
        </w:rPr>
        <w:t> </w:t>
      </w:r>
      <w:r>
        <w:rPr>
          <w:rFonts w:ascii="Cambria Math" w:eastAsia="Cambria Math"/>
          <w:w w:val="110"/>
          <w:sz w:val="21"/>
          <w:u w:val="single"/>
        </w:rPr>
        <w:t>𝑒</w:t>
      </w:r>
      <w:r>
        <w:rPr>
          <w:rFonts w:ascii="Cambria Math" w:eastAsia="Cambria Math"/>
          <w:sz w:val="21"/>
          <w:u w:val="single"/>
        </w:rPr>
        <w:t> </w:t>
      </w:r>
    </w:p>
    <w:p>
      <w:pPr>
        <w:pStyle w:val="BodyText"/>
        <w:tabs>
          <w:tab w:pos="4831" w:val="left" w:leader="none"/>
        </w:tabs>
        <w:spacing w:line="218" w:lineRule="exact"/>
        <w:ind w:left="3842" w:right="26"/>
      </w:pPr>
      <w:r>
        <w:rPr>
          <w:rFonts w:ascii="Cambria Math" w:hAnsi="Cambria Math" w:eastAsia="Cambria Math"/>
          <w:sz w:val="30"/>
        </w:rPr>
        <w:t>�ℎ</w:t>
      </w:r>
      <w:r>
        <w:rPr>
          <w:rFonts w:ascii="Cambria Math" w:hAnsi="Cambria Math" w:eastAsia="Cambria Math"/>
          <w:spacing w:val="18"/>
          <w:sz w:val="30"/>
        </w:rPr>
        <w:t> </w:t>
      </w:r>
      <w:r>
        <w:rPr>
          <w:rFonts w:ascii="Cambria Math" w:hAnsi="Cambria Math" w:eastAsia="Cambria Math"/>
          <w:sz w:val="30"/>
        </w:rPr>
        <w:t>=</w:t>
        <w:tab/>
      </w:r>
      <w:r>
        <w:rPr/>
        <w:t>…………………………………..……(6)</w:t>
      </w:r>
    </w:p>
    <w:p>
      <w:pPr>
        <w:spacing w:line="190" w:lineRule="exact" w:before="0"/>
        <w:ind w:left="151" w:right="0" w:firstLine="0"/>
        <w:jc w:val="center"/>
        <w:rPr>
          <w:rFonts w:ascii="Cambria Math" w:eastAsia="Cambria Math"/>
          <w:sz w:val="21"/>
        </w:rPr>
      </w:pPr>
      <w:r>
        <w:rPr>
          <w:rFonts w:ascii="Cambria Math" w:eastAsia="Cambria Math"/>
          <w:w w:val="110"/>
          <w:sz w:val="21"/>
        </w:rPr>
        <w:t>𝑒0</w:t>
      </w:r>
    </w:p>
    <w:p>
      <w:pPr>
        <w:pStyle w:val="BodyText"/>
        <w:spacing w:before="6"/>
        <w:rPr>
          <w:rFonts w:ascii="Cambria Math"/>
          <w:sz w:val="22"/>
        </w:rPr>
      </w:pPr>
    </w:p>
    <w:p>
      <w:pPr>
        <w:pStyle w:val="BodyText"/>
        <w:spacing w:before="66"/>
        <w:ind w:left="1173" w:right="26"/>
      </w:pPr>
      <w:r>
        <w:rPr/>
        <w:t>Donde:</w:t>
      </w:r>
    </w:p>
    <w:p>
      <w:pPr>
        <w:pStyle w:val="BodyText"/>
        <w:spacing w:before="4"/>
        <w:rPr>
          <w:sz w:val="30"/>
        </w:rPr>
      </w:pPr>
    </w:p>
    <w:p>
      <w:pPr>
        <w:pStyle w:val="BodyText"/>
        <w:ind w:left="1173" w:right="26"/>
      </w:pPr>
      <w:r>
        <w:rPr>
          <w:i/>
        </w:rPr>
        <w:t>Rh </w:t>
      </w:r>
      <w:r>
        <w:rPr/>
        <w:t>= Humedad relativa en un día dado (mm)</w:t>
      </w:r>
    </w:p>
    <w:p>
      <w:pPr>
        <w:pStyle w:val="BodyText"/>
        <w:spacing w:before="4"/>
        <w:rPr>
          <w:sz w:val="30"/>
        </w:rPr>
      </w:pPr>
    </w:p>
    <w:p>
      <w:pPr>
        <w:pStyle w:val="BodyText"/>
        <w:ind w:left="1173" w:right="26"/>
      </w:pPr>
      <w:r>
        <w:rPr>
          <w:i/>
        </w:rPr>
        <w:t>E </w:t>
      </w:r>
      <w:r>
        <w:rPr/>
        <w:t>= presión de vapor actual en un día dado (kPa)</w:t>
      </w:r>
    </w:p>
    <w:p>
      <w:pPr>
        <w:pStyle w:val="BodyText"/>
        <w:spacing w:line="650" w:lineRule="atLeast"/>
        <w:ind w:left="1173" w:right="2081"/>
      </w:pPr>
      <w:r>
        <w:rPr>
          <w:i/>
        </w:rPr>
        <w:t>e0 </w:t>
      </w:r>
      <w:r>
        <w:rPr/>
        <w:t>= saturación de presión de vapor en un día dado (kPa) y</w:t>
      </w:r>
    </w:p>
    <w:p>
      <w:pPr>
        <w:spacing w:after="0" w:line="650" w:lineRule="atLeast"/>
        <w:sectPr>
          <w:pgSz w:w="12240" w:h="15840"/>
          <w:pgMar w:header="0" w:footer="1473" w:top="1360" w:bottom="1660" w:left="1660" w:right="1300"/>
        </w:sectPr>
      </w:pPr>
    </w:p>
    <w:p>
      <w:pPr>
        <w:pStyle w:val="BodyText"/>
        <w:spacing w:line="360" w:lineRule="auto" w:before="49"/>
        <w:ind w:left="1533" w:right="115"/>
        <w:jc w:val="both"/>
      </w:pPr>
      <w:r>
        <w:rPr/>
        <w:t>por el modelo exponencial modificado por Richardson y Wright, (1984)</w:t>
      </w:r>
      <w:r>
        <w:rPr>
          <w:spacing w:val="-23"/>
        </w:rPr>
        <w:t> </w:t>
      </w:r>
      <w:r>
        <w:rPr/>
        <w:t>para generar</w:t>
      </w:r>
      <w:r>
        <w:rPr>
          <w:spacing w:val="-8"/>
        </w:rPr>
        <w:t> </w:t>
      </w:r>
      <w:r>
        <w:rPr/>
        <w:t>la</w:t>
      </w:r>
      <w:r>
        <w:rPr>
          <w:spacing w:val="-8"/>
        </w:rPr>
        <w:t> </w:t>
      </w:r>
      <w:r>
        <w:rPr/>
        <w:t>velocidad</w:t>
      </w:r>
      <w:r>
        <w:rPr>
          <w:spacing w:val="-8"/>
        </w:rPr>
        <w:t> </w:t>
      </w:r>
      <w:r>
        <w:rPr/>
        <w:t>diaria</w:t>
      </w:r>
      <w:r>
        <w:rPr>
          <w:spacing w:val="-8"/>
        </w:rPr>
        <w:t> </w:t>
      </w:r>
      <w:r>
        <w:rPr/>
        <w:t>y</w:t>
      </w:r>
      <w:r>
        <w:rPr>
          <w:spacing w:val="-8"/>
        </w:rPr>
        <w:t> </w:t>
      </w:r>
      <w:r>
        <w:rPr/>
        <w:t>la</w:t>
      </w:r>
      <w:r>
        <w:rPr>
          <w:spacing w:val="-12"/>
        </w:rPr>
        <w:t> </w:t>
      </w:r>
      <w:r>
        <w:rPr/>
        <w:t>dirección</w:t>
      </w:r>
      <w:r>
        <w:rPr>
          <w:spacing w:val="-7"/>
        </w:rPr>
        <w:t> </w:t>
      </w:r>
      <w:r>
        <w:rPr/>
        <w:t>dada</w:t>
      </w:r>
      <w:r>
        <w:rPr>
          <w:spacing w:val="-11"/>
        </w:rPr>
        <w:t> </w:t>
      </w:r>
      <w:r>
        <w:rPr>
          <w:spacing w:val="-3"/>
        </w:rPr>
        <w:t>la</w:t>
      </w:r>
      <w:r>
        <w:rPr>
          <w:spacing w:val="-8"/>
        </w:rPr>
        <w:t> </w:t>
      </w:r>
      <w:r>
        <w:rPr/>
        <w:t>media</w:t>
      </w:r>
      <w:r>
        <w:rPr>
          <w:spacing w:val="-8"/>
        </w:rPr>
        <w:t> </w:t>
      </w:r>
      <w:r>
        <w:rPr/>
        <w:t>mensual</w:t>
      </w:r>
      <w:r>
        <w:rPr>
          <w:spacing w:val="-8"/>
        </w:rPr>
        <w:t> </w:t>
      </w:r>
      <w:r>
        <w:rPr/>
        <w:t>de</w:t>
      </w:r>
      <w:r>
        <w:rPr>
          <w:spacing w:val="-8"/>
        </w:rPr>
        <w:t> </w:t>
      </w:r>
      <w:r>
        <w:rPr/>
        <w:t>velocidad del viento mediante la ecuación</w:t>
      </w:r>
      <w:r>
        <w:rPr>
          <w:spacing w:val="-6"/>
        </w:rPr>
        <w:t> </w:t>
      </w:r>
      <w:r>
        <w:rPr/>
        <w:t>7:</w:t>
      </w:r>
    </w:p>
    <w:p>
      <w:pPr>
        <w:pStyle w:val="BodyText"/>
        <w:spacing w:before="4"/>
        <w:rPr>
          <w:sz w:val="10"/>
        </w:rPr>
      </w:pPr>
    </w:p>
    <w:p>
      <w:pPr>
        <w:spacing w:after="0"/>
        <w:rPr>
          <w:sz w:val="10"/>
        </w:rPr>
        <w:sectPr>
          <w:pgSz w:w="12240" w:h="15840"/>
          <w:pgMar w:header="0" w:footer="1473" w:top="1360" w:bottom="1660" w:left="1300" w:right="1300"/>
        </w:sectPr>
      </w:pPr>
    </w:p>
    <w:p>
      <w:pPr>
        <w:tabs>
          <w:tab w:pos="4117" w:val="left" w:leader="none"/>
          <w:tab w:pos="5304" w:val="left" w:leader="none"/>
        </w:tabs>
        <w:spacing w:line="300" w:lineRule="exact" w:before="35"/>
        <w:ind w:left="3562" w:right="0" w:firstLine="0"/>
        <w:jc w:val="left"/>
        <w:rPr>
          <w:i/>
          <w:sz w:val="27"/>
        </w:rPr>
      </w:pPr>
      <w:r>
        <w:rPr>
          <w:rFonts w:ascii="Symbol" w:hAnsi="Symbol"/>
          <w:i/>
          <w:w w:val="105"/>
          <w:sz w:val="29"/>
        </w:rPr>
        <w:t></w:t>
      </w:r>
      <w:r>
        <w:rPr>
          <w:w w:val="105"/>
          <w:sz w:val="29"/>
        </w:rPr>
        <w:tab/>
      </w:r>
      <w:r>
        <w:rPr>
          <w:rFonts w:ascii="Symbol" w:hAnsi="Symbol"/>
          <w:w w:val="105"/>
          <w:sz w:val="27"/>
        </w:rPr>
        <w:t></w:t>
      </w:r>
      <w:r>
        <w:rPr>
          <w:spacing w:val="2"/>
          <w:w w:val="105"/>
          <w:sz w:val="27"/>
        </w:rPr>
        <w:t> </w:t>
      </w:r>
      <w:r>
        <w:rPr>
          <w:rFonts w:ascii="Symbol" w:hAnsi="Symbol"/>
          <w:i/>
          <w:spacing w:val="-7"/>
          <w:w w:val="105"/>
          <w:sz w:val="29"/>
        </w:rPr>
        <w:t></w:t>
      </w:r>
      <w:r>
        <w:rPr>
          <w:i/>
          <w:spacing w:val="-7"/>
          <w:w w:val="105"/>
          <w:sz w:val="27"/>
        </w:rPr>
        <w:t>wnd</w:t>
        <w:tab/>
      </w:r>
      <w:r>
        <w:rPr>
          <w:rFonts w:ascii="Symbol" w:hAnsi="Symbol"/>
          <w:spacing w:val="-8"/>
          <w:sz w:val="36"/>
        </w:rPr>
        <w:t></w:t>
      </w:r>
      <w:r>
        <w:rPr>
          <w:spacing w:val="-8"/>
          <w:sz w:val="27"/>
        </w:rPr>
        <w:t>ln</w:t>
      </w:r>
      <w:r>
        <w:rPr>
          <w:rFonts w:ascii="Symbol" w:hAnsi="Symbol"/>
          <w:spacing w:val="-8"/>
          <w:sz w:val="36"/>
        </w:rPr>
        <w:t></w:t>
      </w:r>
      <w:r>
        <w:rPr>
          <w:i/>
          <w:spacing w:val="-8"/>
          <w:sz w:val="27"/>
        </w:rPr>
        <w:t>rnd</w:t>
      </w:r>
    </w:p>
    <w:p>
      <w:pPr>
        <w:spacing w:line="302" w:lineRule="exact" w:before="33"/>
        <w:ind w:left="60" w:right="0" w:firstLine="0"/>
        <w:jc w:val="left"/>
        <w:rPr>
          <w:sz w:val="24"/>
        </w:rPr>
      </w:pPr>
      <w:r>
        <w:rPr/>
        <w:br w:type="column"/>
      </w:r>
      <w:r>
        <w:rPr>
          <w:rFonts w:ascii="Symbol" w:hAnsi="Symbol"/>
          <w:spacing w:val="-18"/>
          <w:w w:val="82"/>
          <w:position w:val="1"/>
          <w:sz w:val="36"/>
        </w:rPr>
        <w:t></w:t>
      </w:r>
      <w:r>
        <w:rPr>
          <w:rFonts w:ascii="Symbol" w:hAnsi="Symbol"/>
          <w:spacing w:val="-16"/>
          <w:w w:val="82"/>
          <w:position w:val="1"/>
          <w:sz w:val="36"/>
        </w:rPr>
        <w:t></w:t>
      </w:r>
      <w:r>
        <w:rPr>
          <w:spacing w:val="-7"/>
          <w:w w:val="109"/>
          <w:position w:val="15"/>
          <w:sz w:val="16"/>
        </w:rPr>
        <w:t>0</w:t>
      </w:r>
      <w:r>
        <w:rPr>
          <w:spacing w:val="-3"/>
          <w:w w:val="109"/>
          <w:position w:val="15"/>
          <w:sz w:val="16"/>
        </w:rPr>
        <w:t>.</w:t>
      </w:r>
      <w:r>
        <w:rPr>
          <w:w w:val="109"/>
          <w:position w:val="15"/>
          <w:sz w:val="16"/>
        </w:rPr>
        <w:t>3</w:t>
      </w:r>
      <w:r>
        <w:rPr>
          <w:spacing w:val="-6"/>
          <w:position w:val="15"/>
          <w:sz w:val="16"/>
        </w:rPr>
        <w:t> </w:t>
      </w:r>
      <w:r>
        <w:rPr>
          <w:sz w:val="24"/>
        </w:rPr>
        <w:t>……………………………</w:t>
      </w:r>
      <w:r>
        <w:rPr>
          <w:spacing w:val="1"/>
          <w:sz w:val="24"/>
        </w:rPr>
        <w:t>(</w:t>
      </w:r>
      <w:r>
        <w:rPr>
          <w:sz w:val="24"/>
        </w:rPr>
        <w:t>7)</w:t>
      </w:r>
    </w:p>
    <w:p>
      <w:pPr>
        <w:spacing w:after="0" w:line="302" w:lineRule="exact"/>
        <w:jc w:val="left"/>
        <w:rPr>
          <w:sz w:val="24"/>
        </w:rPr>
        <w:sectPr>
          <w:type w:val="continuous"/>
          <w:pgSz w:w="12240" w:h="15840"/>
          <w:pgMar w:top="1500" w:bottom="280" w:left="1300" w:right="1300"/>
          <w:cols w:num="2" w:equalWidth="0">
            <w:col w:w="6100" w:space="40"/>
            <w:col w:w="3500"/>
          </w:cols>
        </w:sectPr>
      </w:pPr>
    </w:p>
    <w:p>
      <w:pPr>
        <w:tabs>
          <w:tab w:pos="1524" w:val="left" w:leader="none"/>
          <w:tab w:pos="2710" w:val="right" w:leader="none"/>
        </w:tabs>
        <w:spacing w:line="162" w:lineRule="exact" w:before="0"/>
        <w:ind w:left="255" w:right="0" w:firstLine="0"/>
        <w:jc w:val="center"/>
        <w:rPr>
          <w:sz w:val="16"/>
        </w:rPr>
      </w:pPr>
      <w:r>
        <w:rPr>
          <w:w w:val="110"/>
          <w:sz w:val="16"/>
        </w:rPr>
        <w:t>10</w:t>
      </w:r>
      <w:r>
        <w:rPr>
          <w:i/>
          <w:w w:val="110"/>
          <w:sz w:val="16"/>
        </w:rPr>
        <w:t>m</w:t>
        <w:tab/>
        <w:t>mon</w:t>
      </w:r>
      <w:r>
        <w:rPr>
          <w:w w:val="110"/>
          <w:sz w:val="16"/>
        </w:rPr>
        <w:tab/>
        <w:t>1</w:t>
      </w:r>
    </w:p>
    <w:p>
      <w:pPr>
        <w:spacing w:before="355"/>
        <w:ind w:left="1533" w:right="118" w:firstLine="0"/>
        <w:jc w:val="left"/>
        <w:rPr>
          <w:sz w:val="24"/>
        </w:rPr>
      </w:pPr>
      <w:r>
        <w:rPr>
          <w:sz w:val="24"/>
        </w:rPr>
        <w:t>Donde:</w:t>
      </w:r>
    </w:p>
    <w:p>
      <w:pPr>
        <w:spacing w:before="338"/>
        <w:ind w:left="1720" w:right="118" w:firstLine="0"/>
        <w:jc w:val="left"/>
        <w:rPr>
          <w:sz w:val="24"/>
        </w:rPr>
      </w:pPr>
      <w:r>
        <w:rPr/>
        <w:drawing>
          <wp:anchor distT="0" distB="0" distL="0" distR="0" allowOverlap="1" layoutInCell="1" locked="0" behindDoc="1" simplePos="0" relativeHeight="267395399">
            <wp:simplePos x="0" y="0"/>
            <wp:positionH relativeFrom="page">
              <wp:posOffset>1798954</wp:posOffset>
            </wp:positionH>
            <wp:positionV relativeFrom="paragraph">
              <wp:posOffset>220257</wp:posOffset>
            </wp:positionV>
            <wp:extent cx="237744" cy="167640"/>
            <wp:effectExtent l="0" t="0" r="0" b="0"/>
            <wp:wrapNone/>
            <wp:docPr id="5" name="image47.png" descr=""/>
            <wp:cNvGraphicFramePr>
              <a:graphicFrameLocks noChangeAspect="1"/>
            </wp:cNvGraphicFramePr>
            <a:graphic>
              <a:graphicData uri="http://schemas.openxmlformats.org/drawingml/2006/picture">
                <pic:pic>
                  <pic:nvPicPr>
                    <pic:cNvPr id="6" name="image47.png"/>
                    <pic:cNvPicPr/>
                  </pic:nvPicPr>
                  <pic:blipFill>
                    <a:blip r:embed="rId62" cstate="print"/>
                    <a:stretch>
                      <a:fillRect/>
                    </a:stretch>
                  </pic:blipFill>
                  <pic:spPr>
                    <a:xfrm>
                      <a:off x="0" y="0"/>
                      <a:ext cx="237744" cy="167640"/>
                    </a:xfrm>
                    <a:prstGeom prst="rect">
                      <a:avLst/>
                    </a:prstGeom>
                  </pic:spPr>
                </pic:pic>
              </a:graphicData>
            </a:graphic>
          </wp:anchor>
        </w:drawing>
      </w:r>
      <w:r>
        <w:rPr>
          <w:sz w:val="16"/>
        </w:rPr>
        <w:t>10m  </w:t>
      </w:r>
      <w:r>
        <w:rPr>
          <w:position w:val="2"/>
          <w:sz w:val="24"/>
        </w:rPr>
        <w:t>= velocidad media del viento para el día analizado (m/s)</w:t>
      </w:r>
    </w:p>
    <w:p>
      <w:pPr>
        <w:pStyle w:val="BodyText"/>
        <w:spacing w:before="2"/>
        <w:rPr>
          <w:sz w:val="29"/>
        </w:rPr>
      </w:pPr>
    </w:p>
    <w:p>
      <w:pPr>
        <w:spacing w:before="0"/>
        <w:ind w:left="2114" w:right="118" w:firstLine="0"/>
        <w:jc w:val="left"/>
        <w:rPr>
          <w:sz w:val="24"/>
        </w:rPr>
      </w:pPr>
      <w:r>
        <w:rPr/>
        <w:drawing>
          <wp:anchor distT="0" distB="0" distL="0" distR="0" allowOverlap="1" layoutInCell="1" locked="0" behindDoc="1" simplePos="0" relativeHeight="267395423">
            <wp:simplePos x="0" y="0"/>
            <wp:positionH relativeFrom="page">
              <wp:posOffset>1798954</wp:posOffset>
            </wp:positionH>
            <wp:positionV relativeFrom="paragraph">
              <wp:posOffset>5627</wp:posOffset>
            </wp:positionV>
            <wp:extent cx="461009" cy="167640"/>
            <wp:effectExtent l="0" t="0" r="0" b="0"/>
            <wp:wrapNone/>
            <wp:docPr id="7" name="image48.png" descr=""/>
            <wp:cNvGraphicFramePr>
              <a:graphicFrameLocks noChangeAspect="1"/>
            </wp:cNvGraphicFramePr>
            <a:graphic>
              <a:graphicData uri="http://schemas.openxmlformats.org/drawingml/2006/picture">
                <pic:pic>
                  <pic:nvPicPr>
                    <pic:cNvPr id="8" name="image48.png"/>
                    <pic:cNvPicPr/>
                  </pic:nvPicPr>
                  <pic:blipFill>
                    <a:blip r:embed="rId63" cstate="print"/>
                    <a:stretch>
                      <a:fillRect/>
                    </a:stretch>
                  </pic:blipFill>
                  <pic:spPr>
                    <a:xfrm>
                      <a:off x="0" y="0"/>
                      <a:ext cx="461009" cy="167640"/>
                    </a:xfrm>
                    <a:prstGeom prst="rect">
                      <a:avLst/>
                    </a:prstGeom>
                  </pic:spPr>
                </pic:pic>
              </a:graphicData>
            </a:graphic>
          </wp:anchor>
        </w:drawing>
      </w:r>
      <w:r>
        <w:rPr>
          <w:i/>
          <w:sz w:val="16"/>
        </w:rPr>
        <w:t>mon =  </w:t>
      </w:r>
      <w:r>
        <w:rPr>
          <w:position w:val="2"/>
          <w:sz w:val="24"/>
        </w:rPr>
        <w:t>velocidad media del viento para el mes analizado (m/s)</w:t>
      </w:r>
    </w:p>
    <w:p>
      <w:pPr>
        <w:pStyle w:val="BodyText"/>
        <w:spacing w:before="2"/>
        <w:rPr>
          <w:sz w:val="29"/>
        </w:rPr>
      </w:pPr>
    </w:p>
    <w:p>
      <w:pPr>
        <w:spacing w:before="1"/>
        <w:ind w:left="1533" w:right="118" w:firstLine="0"/>
        <w:jc w:val="left"/>
        <w:rPr>
          <w:sz w:val="24"/>
        </w:rPr>
      </w:pPr>
      <w:r>
        <w:rPr>
          <w:i/>
          <w:position w:val="2"/>
          <w:sz w:val="24"/>
        </w:rPr>
        <w:t>rnd</w:t>
      </w:r>
      <w:r>
        <w:rPr>
          <w:i/>
          <w:sz w:val="16"/>
        </w:rPr>
        <w:t>1 = </w:t>
      </w:r>
      <w:r>
        <w:rPr>
          <w:position w:val="2"/>
          <w:sz w:val="24"/>
        </w:rPr>
        <w:t>número aleatorio entre 0.0 y 1.0</w:t>
      </w:r>
    </w:p>
    <w:p>
      <w:pPr>
        <w:pStyle w:val="BodyText"/>
        <w:rPr>
          <w:sz w:val="24"/>
        </w:rPr>
      </w:pPr>
    </w:p>
    <w:p>
      <w:pPr>
        <w:pStyle w:val="BodyText"/>
        <w:rPr>
          <w:sz w:val="24"/>
        </w:rPr>
      </w:pPr>
    </w:p>
    <w:p>
      <w:pPr>
        <w:pStyle w:val="BodyText"/>
        <w:rPr>
          <w:sz w:val="24"/>
        </w:rPr>
      </w:pPr>
    </w:p>
    <w:p>
      <w:pPr>
        <w:pStyle w:val="Heading1"/>
        <w:numPr>
          <w:ilvl w:val="4"/>
          <w:numId w:val="10"/>
        </w:numPr>
        <w:tabs>
          <w:tab w:pos="837" w:val="left" w:leader="none"/>
        </w:tabs>
        <w:spacing w:line="240" w:lineRule="auto" w:before="166" w:after="0"/>
        <w:ind w:left="837" w:right="0" w:hanging="361"/>
        <w:jc w:val="left"/>
      </w:pPr>
      <w:r>
        <w:rPr/>
        <w:t>Sedimentación</w:t>
      </w:r>
    </w:p>
    <w:p>
      <w:pPr>
        <w:pStyle w:val="BodyText"/>
        <w:spacing w:before="11"/>
        <w:rPr>
          <w:b/>
          <w:sz w:val="29"/>
        </w:rPr>
      </w:pPr>
    </w:p>
    <w:p>
      <w:pPr>
        <w:pStyle w:val="BodyText"/>
        <w:spacing w:line="362" w:lineRule="auto"/>
        <w:ind w:left="116" w:right="110"/>
      </w:pPr>
      <w:r>
        <w:rPr/>
        <w:t>Dicho componente presenta totalmente la producción de sedimentos que simula el modelo y el elemento de temperatura del suelo que considera para dicho proceso.</w:t>
      </w:r>
    </w:p>
    <w:p>
      <w:pPr>
        <w:pStyle w:val="ListParagraph"/>
        <w:numPr>
          <w:ilvl w:val="1"/>
          <w:numId w:val="16"/>
        </w:numPr>
        <w:tabs>
          <w:tab w:pos="837" w:val="left" w:leader="none"/>
        </w:tabs>
        <w:spacing w:line="357" w:lineRule="auto" w:before="202" w:after="0"/>
        <w:ind w:left="837" w:right="110" w:hanging="361"/>
        <w:jc w:val="both"/>
        <w:rPr>
          <w:rFonts w:ascii="Symbol" w:hAnsi="Symbol"/>
          <w:sz w:val="26"/>
        </w:rPr>
      </w:pPr>
      <w:r>
        <w:rPr>
          <w:b/>
          <w:sz w:val="26"/>
        </w:rPr>
        <w:t>Producción </w:t>
      </w:r>
      <w:r>
        <w:rPr>
          <w:b/>
          <w:spacing w:val="-3"/>
          <w:sz w:val="26"/>
        </w:rPr>
        <w:t>de </w:t>
      </w:r>
      <w:r>
        <w:rPr>
          <w:b/>
          <w:sz w:val="26"/>
        </w:rPr>
        <w:t>sedimentos. </w:t>
      </w:r>
      <w:r>
        <w:rPr>
          <w:spacing w:val="-3"/>
          <w:sz w:val="26"/>
        </w:rPr>
        <w:t>La </w:t>
      </w:r>
      <w:r>
        <w:rPr>
          <w:sz w:val="26"/>
        </w:rPr>
        <w:t>producción de sedimentos se estima para cada subcuenca con la Ecuación Universal de Pérdida de Suelo Modificada. El modelo hidrológico provee la estimación del volumen de escurrimiento </w:t>
      </w:r>
      <w:r>
        <w:rPr>
          <w:i/>
          <w:sz w:val="26"/>
        </w:rPr>
        <w:t>y </w:t>
      </w:r>
      <w:r>
        <w:rPr>
          <w:sz w:val="26"/>
        </w:rPr>
        <w:t>la tasa de escurrimiento pico. El factor de manejo de los cultivos se evalúa como la biomasa aérea, el residuo de cosecha en la superficie y el valor mínimo del factor C para el cultivo. Otros factores de la ecuación de erosión se evalúan como los describe Wischmeier y Smith</w:t>
      </w:r>
      <w:r>
        <w:rPr>
          <w:spacing w:val="-12"/>
          <w:sz w:val="26"/>
        </w:rPr>
        <w:t> </w:t>
      </w:r>
      <w:r>
        <w:rPr>
          <w:sz w:val="26"/>
        </w:rPr>
        <w:t>(1978).</w:t>
      </w:r>
    </w:p>
    <w:p>
      <w:pPr>
        <w:pStyle w:val="ListParagraph"/>
        <w:numPr>
          <w:ilvl w:val="1"/>
          <w:numId w:val="16"/>
        </w:numPr>
        <w:tabs>
          <w:tab w:pos="837" w:val="left" w:leader="none"/>
        </w:tabs>
        <w:spacing w:line="357" w:lineRule="auto" w:before="11" w:after="0"/>
        <w:ind w:left="837" w:right="113" w:hanging="361"/>
        <w:jc w:val="both"/>
        <w:rPr>
          <w:rFonts w:ascii="Symbol" w:hAnsi="Symbol"/>
          <w:sz w:val="26"/>
        </w:rPr>
      </w:pPr>
      <w:r>
        <w:rPr>
          <w:b/>
          <w:sz w:val="26"/>
        </w:rPr>
        <w:t>Temperatura del suelo. </w:t>
      </w:r>
      <w:r>
        <w:rPr>
          <w:sz w:val="26"/>
        </w:rPr>
        <w:t>Los promedios diarios de la temperatura del suelo se simulan para el centro de cada capa de suelo para usarse en la hidrología y la degradación del residuo. </w:t>
      </w:r>
      <w:r>
        <w:rPr>
          <w:spacing w:val="-3"/>
          <w:sz w:val="26"/>
        </w:rPr>
        <w:t>La </w:t>
      </w:r>
      <w:r>
        <w:rPr>
          <w:sz w:val="26"/>
        </w:rPr>
        <w:t>temperatura de la superficie del suelo se estima usando la temperatura diaria del aire máxima y mínima y la cantidad de nieve, planta y las coberturas  de  residuos  para  el  día  de  interés  más  los  cuatro  días  </w:t>
      </w:r>
      <w:r>
        <w:rPr>
          <w:spacing w:val="20"/>
          <w:sz w:val="26"/>
        </w:rPr>
        <w:t> </w:t>
      </w:r>
      <w:r>
        <w:rPr>
          <w:sz w:val="26"/>
        </w:rPr>
        <w:t>inmediatos</w:t>
      </w:r>
    </w:p>
    <w:p>
      <w:pPr>
        <w:spacing w:after="0" w:line="357" w:lineRule="auto"/>
        <w:jc w:val="both"/>
        <w:rPr>
          <w:rFonts w:ascii="Symbol" w:hAnsi="Symbol"/>
          <w:sz w:val="26"/>
        </w:rPr>
        <w:sectPr>
          <w:type w:val="continuous"/>
          <w:pgSz w:w="12240" w:h="15840"/>
          <w:pgMar w:top="1500" w:bottom="280" w:left="1300" w:right="1300"/>
        </w:sectPr>
      </w:pPr>
    </w:p>
    <w:p>
      <w:pPr>
        <w:pStyle w:val="BodyText"/>
        <w:spacing w:line="360" w:lineRule="auto" w:before="49"/>
        <w:ind w:left="836" w:right="111"/>
        <w:jc w:val="both"/>
      </w:pPr>
      <w:r>
        <w:rPr/>
        <w:t>anteriores.</w:t>
      </w:r>
      <w:r>
        <w:rPr>
          <w:spacing w:val="-5"/>
        </w:rPr>
        <w:t> </w:t>
      </w:r>
      <w:r>
        <w:rPr>
          <w:spacing w:val="-3"/>
        </w:rPr>
        <w:t>La</w:t>
      </w:r>
      <w:r>
        <w:rPr>
          <w:spacing w:val="-6"/>
        </w:rPr>
        <w:t> </w:t>
      </w:r>
      <w:r>
        <w:rPr/>
        <w:t>temperatura</w:t>
      </w:r>
      <w:r>
        <w:rPr>
          <w:spacing w:val="-6"/>
        </w:rPr>
        <w:t> </w:t>
      </w:r>
      <w:r>
        <w:rPr/>
        <w:t>del</w:t>
      </w:r>
      <w:r>
        <w:rPr>
          <w:spacing w:val="-6"/>
        </w:rPr>
        <w:t> </w:t>
      </w:r>
      <w:r>
        <w:rPr/>
        <w:t>suelo</w:t>
      </w:r>
      <w:r>
        <w:rPr>
          <w:spacing w:val="-6"/>
        </w:rPr>
        <w:t> </w:t>
      </w:r>
      <w:r>
        <w:rPr/>
        <w:t>se</w:t>
      </w:r>
      <w:r>
        <w:rPr>
          <w:spacing w:val="-11"/>
        </w:rPr>
        <w:t> </w:t>
      </w:r>
      <w:r>
        <w:rPr/>
        <w:t>simula</w:t>
      </w:r>
      <w:r>
        <w:rPr>
          <w:spacing w:val="-11"/>
        </w:rPr>
        <w:t> </w:t>
      </w:r>
      <w:r>
        <w:rPr/>
        <w:t>para</w:t>
      </w:r>
      <w:r>
        <w:rPr>
          <w:spacing w:val="-6"/>
        </w:rPr>
        <w:t> </w:t>
      </w:r>
      <w:r>
        <w:rPr/>
        <w:t>cada</w:t>
      </w:r>
      <w:r>
        <w:rPr>
          <w:spacing w:val="-6"/>
        </w:rPr>
        <w:t> </w:t>
      </w:r>
      <w:r>
        <w:rPr/>
        <w:t>capa</w:t>
      </w:r>
      <w:r>
        <w:rPr>
          <w:spacing w:val="-11"/>
        </w:rPr>
        <w:t> </w:t>
      </w:r>
      <w:r>
        <w:rPr/>
        <w:t>usando</w:t>
      </w:r>
      <w:r>
        <w:rPr>
          <w:spacing w:val="-11"/>
        </w:rPr>
        <w:t> </w:t>
      </w:r>
      <w:r>
        <w:rPr/>
        <w:t>una</w:t>
      </w:r>
      <w:r>
        <w:rPr>
          <w:spacing w:val="-11"/>
        </w:rPr>
        <w:t> </w:t>
      </w:r>
      <w:r>
        <w:rPr/>
        <w:t>función</w:t>
      </w:r>
      <w:r>
        <w:rPr>
          <w:spacing w:val="-6"/>
        </w:rPr>
        <w:t> </w:t>
      </w:r>
      <w:r>
        <w:rPr/>
        <w:t>de la profundidad, temperatura superficial y la temperatura media anual del aire. </w:t>
      </w:r>
      <w:r>
        <w:rPr>
          <w:spacing w:val="-3"/>
        </w:rPr>
        <w:t>La </w:t>
      </w:r>
      <w:r>
        <w:rPr/>
        <w:t>profundidad depende de la densidad aparente y del agua del</w:t>
      </w:r>
      <w:r>
        <w:rPr>
          <w:spacing w:val="-9"/>
        </w:rPr>
        <w:t> </w:t>
      </w:r>
      <w:r>
        <w:rPr/>
        <w:t>suelo.</w:t>
      </w:r>
    </w:p>
    <w:p>
      <w:pPr>
        <w:pStyle w:val="BodyText"/>
      </w:pPr>
    </w:p>
    <w:p>
      <w:pPr>
        <w:pStyle w:val="Heading1"/>
        <w:numPr>
          <w:ilvl w:val="4"/>
          <w:numId w:val="10"/>
        </w:numPr>
        <w:tabs>
          <w:tab w:pos="837" w:val="left" w:leader="none"/>
        </w:tabs>
        <w:spacing w:line="240" w:lineRule="auto" w:before="160" w:after="0"/>
        <w:ind w:left="837" w:right="0" w:hanging="361"/>
        <w:jc w:val="left"/>
      </w:pPr>
      <w:r>
        <w:rPr/>
        <w:t>Modelo </w:t>
      </w:r>
      <w:r>
        <w:rPr>
          <w:spacing w:val="-3"/>
        </w:rPr>
        <w:t>de </w:t>
      </w:r>
      <w:r>
        <w:rPr/>
        <w:t>crecimiento del</w:t>
      </w:r>
      <w:r>
        <w:rPr>
          <w:spacing w:val="-3"/>
        </w:rPr>
        <w:t> </w:t>
      </w:r>
      <w:r>
        <w:rPr/>
        <w:t>cultivo</w:t>
      </w:r>
    </w:p>
    <w:p>
      <w:pPr>
        <w:pStyle w:val="BodyText"/>
        <w:spacing w:before="10"/>
        <w:rPr>
          <w:b/>
          <w:sz w:val="29"/>
        </w:rPr>
      </w:pPr>
    </w:p>
    <w:p>
      <w:pPr>
        <w:pStyle w:val="BodyText"/>
        <w:spacing w:line="360" w:lineRule="auto"/>
        <w:ind w:left="116" w:right="107"/>
        <w:jc w:val="both"/>
      </w:pPr>
      <w:r>
        <w:rPr/>
        <w:t>Dentro del modelo un solo cultivo se usa para simular todos los cultivos. </w:t>
      </w:r>
      <w:r>
        <w:rPr>
          <w:spacing w:val="-3"/>
        </w:rPr>
        <w:t>La </w:t>
      </w:r>
      <w:r>
        <w:rPr/>
        <w:t>intercepción de la energía se estima como función de la radiación y el índice de área foliar del cultivo. El incremento potencial en la biomasa para un día dado se estima como el producto de la energía interceptada y un parámetro de cultivo para convertir energía a biomasa. El índice de</w:t>
      </w:r>
      <w:r>
        <w:rPr>
          <w:spacing w:val="-2"/>
        </w:rPr>
        <w:t> </w:t>
      </w:r>
      <w:r>
        <w:rPr/>
        <w:t>área</w:t>
      </w:r>
      <w:r>
        <w:rPr>
          <w:spacing w:val="-6"/>
        </w:rPr>
        <w:t> </w:t>
      </w:r>
      <w:r>
        <w:rPr/>
        <w:t>foliar</w:t>
      </w:r>
      <w:r>
        <w:rPr>
          <w:spacing w:val="-2"/>
        </w:rPr>
        <w:t> </w:t>
      </w:r>
      <w:r>
        <w:rPr/>
        <w:t>se</w:t>
      </w:r>
      <w:r>
        <w:rPr>
          <w:spacing w:val="-6"/>
        </w:rPr>
        <w:t> </w:t>
      </w:r>
      <w:r>
        <w:rPr/>
        <w:t>simula</w:t>
      </w:r>
      <w:r>
        <w:rPr>
          <w:spacing w:val="-3"/>
        </w:rPr>
        <w:t> </w:t>
      </w:r>
      <w:r>
        <w:rPr/>
        <w:t>con</w:t>
      </w:r>
      <w:r>
        <w:rPr>
          <w:spacing w:val="-2"/>
        </w:rPr>
        <w:t> </w:t>
      </w:r>
      <w:r>
        <w:rPr/>
        <w:t>ecuaciones</w:t>
      </w:r>
      <w:r>
        <w:rPr>
          <w:spacing w:val="-3"/>
        </w:rPr>
        <w:t> </w:t>
      </w:r>
      <w:r>
        <w:rPr/>
        <w:t>que</w:t>
      </w:r>
      <w:r>
        <w:rPr>
          <w:spacing w:val="-6"/>
        </w:rPr>
        <w:t> </w:t>
      </w:r>
      <w:r>
        <w:rPr/>
        <w:t>dependen</w:t>
      </w:r>
      <w:r>
        <w:rPr>
          <w:spacing w:val="-3"/>
        </w:rPr>
        <w:t> </w:t>
      </w:r>
      <w:r>
        <w:rPr/>
        <w:t>de</w:t>
      </w:r>
      <w:r>
        <w:rPr>
          <w:spacing w:val="-3"/>
        </w:rPr>
        <w:t> </w:t>
      </w:r>
      <w:r>
        <w:rPr/>
        <w:t>las</w:t>
      </w:r>
      <w:r>
        <w:rPr>
          <w:spacing w:val="-7"/>
        </w:rPr>
        <w:t> </w:t>
      </w:r>
      <w:r>
        <w:rPr/>
        <w:t>unidades</w:t>
      </w:r>
      <w:r>
        <w:rPr>
          <w:spacing w:val="-3"/>
        </w:rPr>
        <w:t> </w:t>
      </w:r>
      <w:r>
        <w:rPr/>
        <w:t>calor,</w:t>
      </w:r>
      <w:r>
        <w:rPr>
          <w:spacing w:val="-5"/>
        </w:rPr>
        <w:t> </w:t>
      </w:r>
      <w:r>
        <w:rPr/>
        <w:t>el</w:t>
      </w:r>
      <w:r>
        <w:rPr>
          <w:spacing w:val="-3"/>
        </w:rPr>
        <w:t> </w:t>
      </w:r>
      <w:r>
        <w:rPr/>
        <w:t>rendimiento de cultivos se estima usando el concepto de índice de cosecha. El índice de cosecha se incrementa como una función no lineal de las unidades calor a partir de cero a la fecha de siembra hasta un valor óptimo de madurez. El índice de cosecha pude ser reducido por el estrés por agua durante períodos críticos del cultivo (generalmente 30 y 90% de la madurez).</w:t>
      </w:r>
    </w:p>
    <w:p>
      <w:pPr>
        <w:pStyle w:val="Heading1"/>
        <w:numPr>
          <w:ilvl w:val="4"/>
          <w:numId w:val="10"/>
        </w:numPr>
        <w:tabs>
          <w:tab w:pos="837" w:val="left" w:leader="none"/>
        </w:tabs>
        <w:spacing w:line="240" w:lineRule="auto" w:before="210" w:after="0"/>
        <w:ind w:left="837" w:right="0" w:hanging="361"/>
        <w:jc w:val="left"/>
      </w:pPr>
      <w:r>
        <w:rPr/>
        <w:t>Nutrientes</w:t>
      </w:r>
    </w:p>
    <w:p>
      <w:pPr>
        <w:pStyle w:val="BodyText"/>
        <w:spacing w:before="11"/>
        <w:rPr>
          <w:b/>
          <w:sz w:val="29"/>
        </w:rPr>
      </w:pPr>
    </w:p>
    <w:p>
      <w:pPr>
        <w:pStyle w:val="BodyText"/>
        <w:spacing w:line="360" w:lineRule="auto"/>
        <w:ind w:left="116" w:right="106"/>
        <w:jc w:val="both"/>
      </w:pPr>
      <w:r>
        <w:rPr/>
        <w:t>Con la finalidad de introducir las particularidades de los cultivos existentes dentro de la cuenca y la forma en que éstos se aprovechan o dispersan sobre los recursos naturales, el modelo permite la entrada de datos respecto a los nutrientes de fósforo, nitrógeno y pesticidas aplicados.</w:t>
      </w:r>
    </w:p>
    <w:p>
      <w:pPr>
        <w:pStyle w:val="ListParagraph"/>
        <w:numPr>
          <w:ilvl w:val="1"/>
          <w:numId w:val="16"/>
        </w:numPr>
        <w:tabs>
          <w:tab w:pos="837" w:val="left" w:leader="none"/>
        </w:tabs>
        <w:spacing w:line="357" w:lineRule="auto" w:before="206" w:after="0"/>
        <w:ind w:left="837" w:right="111" w:hanging="361"/>
        <w:jc w:val="both"/>
        <w:rPr>
          <w:rFonts w:ascii="Symbol" w:hAnsi="Symbol"/>
          <w:sz w:val="26"/>
        </w:rPr>
      </w:pPr>
      <w:r>
        <w:rPr>
          <w:b/>
          <w:sz w:val="26"/>
        </w:rPr>
        <w:t>Nitrógeno. </w:t>
      </w:r>
      <w:r>
        <w:rPr>
          <w:sz w:val="26"/>
        </w:rPr>
        <w:t>Las cantidades de N0</w:t>
      </w:r>
      <w:r>
        <w:rPr>
          <w:position w:val="9"/>
          <w:sz w:val="17"/>
        </w:rPr>
        <w:t>3</w:t>
      </w:r>
      <w:r>
        <w:rPr>
          <w:sz w:val="26"/>
        </w:rPr>
        <w:t>-N contenidas en el escurrimiento lateral y percolación se estiman como productos del volumen de agua y la concentración promedio</w:t>
      </w:r>
      <w:r>
        <w:rPr>
          <w:spacing w:val="-10"/>
          <w:sz w:val="26"/>
        </w:rPr>
        <w:t> </w:t>
      </w:r>
      <w:r>
        <w:rPr>
          <w:sz w:val="26"/>
        </w:rPr>
        <w:t>de</w:t>
      </w:r>
      <w:r>
        <w:rPr>
          <w:spacing w:val="-10"/>
          <w:sz w:val="26"/>
        </w:rPr>
        <w:t> </w:t>
      </w:r>
      <w:r>
        <w:rPr>
          <w:sz w:val="26"/>
        </w:rPr>
        <w:t>los</w:t>
      </w:r>
      <w:r>
        <w:rPr>
          <w:spacing w:val="-10"/>
          <w:sz w:val="26"/>
        </w:rPr>
        <w:t> </w:t>
      </w:r>
      <w:r>
        <w:rPr>
          <w:sz w:val="26"/>
        </w:rPr>
        <w:t>nutrimentos,</w:t>
      </w:r>
      <w:r>
        <w:rPr>
          <w:spacing w:val="-8"/>
          <w:sz w:val="26"/>
        </w:rPr>
        <w:t> </w:t>
      </w:r>
      <w:r>
        <w:rPr>
          <w:sz w:val="26"/>
        </w:rPr>
        <w:t>la</w:t>
      </w:r>
      <w:r>
        <w:rPr>
          <w:spacing w:val="-10"/>
          <w:sz w:val="26"/>
        </w:rPr>
        <w:t> </w:t>
      </w:r>
      <w:r>
        <w:rPr>
          <w:sz w:val="26"/>
        </w:rPr>
        <w:t>lixiviación</w:t>
      </w:r>
      <w:r>
        <w:rPr>
          <w:spacing w:val="-10"/>
          <w:sz w:val="26"/>
        </w:rPr>
        <w:t> </w:t>
      </w:r>
      <w:r>
        <w:rPr>
          <w:sz w:val="26"/>
        </w:rPr>
        <w:t>y</w:t>
      </w:r>
      <w:r>
        <w:rPr>
          <w:spacing w:val="-10"/>
          <w:sz w:val="26"/>
        </w:rPr>
        <w:t> </w:t>
      </w:r>
      <w:r>
        <w:rPr>
          <w:sz w:val="26"/>
        </w:rPr>
        <w:t>el</w:t>
      </w:r>
      <w:r>
        <w:rPr>
          <w:spacing w:val="-5"/>
          <w:sz w:val="26"/>
        </w:rPr>
        <w:t> </w:t>
      </w:r>
      <w:r>
        <w:rPr>
          <w:sz w:val="26"/>
        </w:rPr>
        <w:t>flujo</w:t>
      </w:r>
      <w:r>
        <w:rPr>
          <w:spacing w:val="-10"/>
          <w:sz w:val="26"/>
        </w:rPr>
        <w:t> </w:t>
      </w:r>
      <w:r>
        <w:rPr>
          <w:sz w:val="26"/>
        </w:rPr>
        <w:t>lateral</w:t>
      </w:r>
      <w:r>
        <w:rPr>
          <w:spacing w:val="-10"/>
          <w:sz w:val="26"/>
        </w:rPr>
        <w:t> </w:t>
      </w:r>
      <w:r>
        <w:rPr>
          <w:sz w:val="26"/>
        </w:rPr>
        <w:t>subsuperficial,</w:t>
      </w:r>
      <w:r>
        <w:rPr>
          <w:spacing w:val="-7"/>
          <w:sz w:val="26"/>
        </w:rPr>
        <w:t> </w:t>
      </w:r>
      <w:r>
        <w:rPr>
          <w:sz w:val="26"/>
        </w:rPr>
        <w:t>las</w:t>
      </w:r>
      <w:r>
        <w:rPr>
          <w:spacing w:val="-10"/>
          <w:sz w:val="26"/>
        </w:rPr>
        <w:t> </w:t>
      </w:r>
      <w:r>
        <w:rPr>
          <w:sz w:val="26"/>
        </w:rPr>
        <w:t>capas bajas</w:t>
      </w:r>
      <w:r>
        <w:rPr>
          <w:spacing w:val="-10"/>
          <w:sz w:val="26"/>
        </w:rPr>
        <w:t> </w:t>
      </w:r>
      <w:r>
        <w:rPr>
          <w:sz w:val="26"/>
        </w:rPr>
        <w:t>son</w:t>
      </w:r>
      <w:r>
        <w:rPr>
          <w:spacing w:val="-10"/>
          <w:sz w:val="26"/>
        </w:rPr>
        <w:t> </w:t>
      </w:r>
      <w:r>
        <w:rPr>
          <w:sz w:val="26"/>
        </w:rPr>
        <w:t>tratadas</w:t>
      </w:r>
      <w:r>
        <w:rPr>
          <w:spacing w:val="-10"/>
          <w:sz w:val="26"/>
        </w:rPr>
        <w:t> </w:t>
      </w:r>
      <w:r>
        <w:rPr>
          <w:sz w:val="26"/>
        </w:rPr>
        <w:t>con</w:t>
      </w:r>
      <w:r>
        <w:rPr>
          <w:spacing w:val="-10"/>
          <w:sz w:val="26"/>
        </w:rPr>
        <w:t> </w:t>
      </w:r>
      <w:r>
        <w:rPr>
          <w:sz w:val="26"/>
        </w:rPr>
        <w:t>la</w:t>
      </w:r>
      <w:r>
        <w:rPr>
          <w:spacing w:val="-5"/>
          <w:sz w:val="26"/>
        </w:rPr>
        <w:t> </w:t>
      </w:r>
      <w:r>
        <w:rPr>
          <w:sz w:val="26"/>
        </w:rPr>
        <w:t>misma</w:t>
      </w:r>
      <w:r>
        <w:rPr>
          <w:spacing w:val="-10"/>
          <w:sz w:val="26"/>
        </w:rPr>
        <w:t> </w:t>
      </w:r>
      <w:r>
        <w:rPr>
          <w:sz w:val="26"/>
        </w:rPr>
        <w:t>estrategia</w:t>
      </w:r>
      <w:r>
        <w:rPr>
          <w:spacing w:val="-10"/>
          <w:sz w:val="26"/>
        </w:rPr>
        <w:t> </w:t>
      </w:r>
      <w:r>
        <w:rPr>
          <w:sz w:val="26"/>
        </w:rPr>
        <w:t>que</w:t>
      </w:r>
      <w:r>
        <w:rPr>
          <w:spacing w:val="-10"/>
          <w:sz w:val="26"/>
        </w:rPr>
        <w:t> </w:t>
      </w:r>
      <w:r>
        <w:rPr>
          <w:sz w:val="26"/>
        </w:rPr>
        <w:t>se</w:t>
      </w:r>
      <w:r>
        <w:rPr>
          <w:spacing w:val="-10"/>
          <w:sz w:val="26"/>
        </w:rPr>
        <w:t> </w:t>
      </w:r>
      <w:r>
        <w:rPr>
          <w:sz w:val="26"/>
        </w:rPr>
        <w:t>usa</w:t>
      </w:r>
      <w:r>
        <w:rPr>
          <w:spacing w:val="-10"/>
          <w:sz w:val="26"/>
        </w:rPr>
        <w:t> </w:t>
      </w:r>
      <w:r>
        <w:rPr>
          <w:sz w:val="26"/>
        </w:rPr>
        <w:t>en</w:t>
      </w:r>
      <w:r>
        <w:rPr>
          <w:spacing w:val="-10"/>
          <w:sz w:val="26"/>
        </w:rPr>
        <w:t> </w:t>
      </w:r>
      <w:r>
        <w:rPr>
          <w:sz w:val="26"/>
        </w:rPr>
        <w:t>las</w:t>
      </w:r>
      <w:r>
        <w:rPr>
          <w:spacing w:val="-10"/>
          <w:sz w:val="26"/>
        </w:rPr>
        <w:t> </w:t>
      </w:r>
      <w:r>
        <w:rPr>
          <w:sz w:val="26"/>
        </w:rPr>
        <w:t>capas</w:t>
      </w:r>
      <w:r>
        <w:rPr>
          <w:spacing w:val="-10"/>
          <w:sz w:val="26"/>
        </w:rPr>
        <w:t> </w:t>
      </w:r>
      <w:r>
        <w:rPr>
          <w:sz w:val="26"/>
        </w:rPr>
        <w:t>superiores</w:t>
      </w:r>
      <w:r>
        <w:rPr>
          <w:spacing w:val="-10"/>
          <w:sz w:val="26"/>
        </w:rPr>
        <w:t> </w:t>
      </w:r>
      <w:r>
        <w:rPr>
          <w:sz w:val="26"/>
        </w:rPr>
        <w:t>excepto que el escurrimiento superficial no se considera una función de concentración para aplicarla</w:t>
      </w:r>
      <w:r>
        <w:rPr>
          <w:spacing w:val="42"/>
          <w:sz w:val="26"/>
        </w:rPr>
        <w:t> </w:t>
      </w:r>
      <w:r>
        <w:rPr>
          <w:sz w:val="26"/>
        </w:rPr>
        <w:t>a</w:t>
      </w:r>
      <w:r>
        <w:rPr>
          <w:spacing w:val="43"/>
          <w:sz w:val="26"/>
        </w:rPr>
        <w:t> </w:t>
      </w:r>
      <w:r>
        <w:rPr>
          <w:sz w:val="26"/>
        </w:rPr>
        <w:t>eventos</w:t>
      </w:r>
      <w:r>
        <w:rPr>
          <w:spacing w:val="42"/>
          <w:sz w:val="26"/>
        </w:rPr>
        <w:t> </w:t>
      </w:r>
      <w:r>
        <w:rPr>
          <w:sz w:val="26"/>
        </w:rPr>
        <w:t>individuales</w:t>
      </w:r>
      <w:r>
        <w:rPr>
          <w:spacing w:val="42"/>
          <w:sz w:val="26"/>
        </w:rPr>
        <w:t> </w:t>
      </w:r>
      <w:r>
        <w:rPr>
          <w:sz w:val="26"/>
        </w:rPr>
        <w:t>de</w:t>
      </w:r>
      <w:r>
        <w:rPr>
          <w:spacing w:val="43"/>
          <w:sz w:val="26"/>
        </w:rPr>
        <w:t> </w:t>
      </w:r>
      <w:r>
        <w:rPr>
          <w:sz w:val="26"/>
        </w:rPr>
        <w:t>escurrimiento,</w:t>
      </w:r>
      <w:r>
        <w:rPr>
          <w:spacing w:val="44"/>
          <w:sz w:val="26"/>
        </w:rPr>
        <w:t> </w:t>
      </w:r>
      <w:r>
        <w:rPr>
          <w:sz w:val="26"/>
        </w:rPr>
        <w:t>sino</w:t>
      </w:r>
      <w:r>
        <w:rPr>
          <w:spacing w:val="43"/>
          <w:sz w:val="26"/>
        </w:rPr>
        <w:t> </w:t>
      </w:r>
      <w:r>
        <w:rPr>
          <w:sz w:val="26"/>
        </w:rPr>
        <w:t>para</w:t>
      </w:r>
      <w:r>
        <w:rPr>
          <w:spacing w:val="43"/>
          <w:sz w:val="26"/>
        </w:rPr>
        <w:t> </w:t>
      </w:r>
      <w:r>
        <w:rPr>
          <w:sz w:val="26"/>
        </w:rPr>
        <w:t>estimar</w:t>
      </w:r>
      <w:r>
        <w:rPr>
          <w:spacing w:val="43"/>
          <w:sz w:val="26"/>
        </w:rPr>
        <w:t> </w:t>
      </w:r>
      <w:r>
        <w:rPr>
          <w:sz w:val="26"/>
        </w:rPr>
        <w:t>pérdidas</w:t>
      </w:r>
      <w:r>
        <w:rPr>
          <w:spacing w:val="43"/>
          <w:sz w:val="26"/>
        </w:rPr>
        <w:t> </w:t>
      </w:r>
      <w:r>
        <w:rPr>
          <w:sz w:val="26"/>
        </w:rPr>
        <w:t>de</w:t>
      </w:r>
    </w:p>
    <w:p>
      <w:pPr>
        <w:spacing w:after="0" w:line="357" w:lineRule="auto"/>
        <w:jc w:val="both"/>
        <w:rPr>
          <w:rFonts w:ascii="Symbol" w:hAnsi="Symbol"/>
          <w:sz w:val="26"/>
        </w:rPr>
        <w:sectPr>
          <w:pgSz w:w="12240" w:h="15840"/>
          <w:pgMar w:header="0" w:footer="1473" w:top="1360" w:bottom="1660" w:left="1300" w:right="1300"/>
        </w:sectPr>
      </w:pPr>
    </w:p>
    <w:p>
      <w:pPr>
        <w:pStyle w:val="BodyText"/>
        <w:spacing w:line="360" w:lineRule="auto" w:before="49"/>
        <w:ind w:left="716" w:right="115"/>
        <w:jc w:val="both"/>
      </w:pPr>
      <w:r>
        <w:rPr/>
        <w:t>nitrógeno orgánico. La función de concentración estima la pérdida de N orgánico diaria en el escurrimiento basada en la concentración de nitrógeno orgánico en la capa más superficial del suelo. La producción de sedimentos, el coeficiente de crecimiento y el uso de nitrógeno por el cultivo se estiman usando un modelo de suministro y demanda, representado en la Figura 13.</w:t>
      </w:r>
    </w:p>
    <w:p>
      <w:pPr>
        <w:pStyle w:val="BodyText"/>
        <w:rPr>
          <w:sz w:val="15"/>
        </w:rPr>
      </w:pPr>
      <w:r>
        <w:rPr/>
        <w:pict>
          <v:group style="position:absolute;margin-left:76.555pt;margin-top:10.574751pt;width:459.65pt;height:189.65pt;mso-position-horizontal-relative:page;mso-position-vertical-relative:paragraph;z-index:2968;mso-wrap-distance-left:0;mso-wrap-distance-right:0" coordorigin="1531,211" coordsize="9193,3793">
            <v:shape style="position:absolute;left:1560;top:240;width:9134;height:3734" type="#_x0000_t75" stroked="false">
              <v:imagedata r:id="rId64" o:title=""/>
            </v:shape>
            <v:rect style="position:absolute;left:1546;top:226;width:9163;height:3763" filled="false" stroked="true" strokeweight="1.44pt" strokecolor="#000000"/>
            <w10:wrap type="topAndBottom"/>
          </v:group>
        </w:pict>
      </w:r>
    </w:p>
    <w:p>
      <w:pPr>
        <w:pStyle w:val="BodyText"/>
        <w:spacing w:before="5"/>
        <w:rPr>
          <w:sz w:val="24"/>
        </w:rPr>
      </w:pPr>
    </w:p>
    <w:p>
      <w:pPr>
        <w:spacing w:line="252" w:lineRule="exact" w:before="0"/>
        <w:ind w:left="2245" w:right="2361" w:firstLine="0"/>
        <w:jc w:val="center"/>
        <w:rPr>
          <w:sz w:val="22"/>
        </w:rPr>
      </w:pPr>
      <w:r>
        <w:rPr>
          <w:sz w:val="22"/>
        </w:rPr>
        <w:t>Fuente: Neitsch y otros, 2005</w:t>
      </w:r>
    </w:p>
    <w:p>
      <w:pPr>
        <w:pStyle w:val="Heading1"/>
        <w:spacing w:line="298" w:lineRule="exact"/>
        <w:ind w:left="2245" w:right="2365"/>
        <w:jc w:val="center"/>
      </w:pPr>
      <w:bookmarkStart w:name="_bookmark37" w:id="53"/>
      <w:bookmarkEnd w:id="53"/>
      <w:r>
        <w:rPr>
          <w:b w:val="0"/>
        </w:rPr>
      </w:r>
      <w:r>
        <w:rPr/>
        <w:t>Figura 13. División del nitrógeno en SWAT.</w:t>
      </w:r>
    </w:p>
    <w:p>
      <w:pPr>
        <w:pStyle w:val="BodyText"/>
        <w:rPr>
          <w:b/>
        </w:rPr>
      </w:pPr>
    </w:p>
    <w:p>
      <w:pPr>
        <w:pStyle w:val="BodyText"/>
        <w:spacing w:before="5"/>
        <w:rPr>
          <w:b/>
          <w:sz w:val="34"/>
        </w:rPr>
      </w:pPr>
    </w:p>
    <w:p>
      <w:pPr>
        <w:pStyle w:val="ListParagraph"/>
        <w:numPr>
          <w:ilvl w:val="0"/>
          <w:numId w:val="17"/>
        </w:numPr>
        <w:tabs>
          <w:tab w:pos="717" w:val="left" w:leader="none"/>
        </w:tabs>
        <w:spacing w:line="360" w:lineRule="auto" w:before="0" w:after="0"/>
        <w:ind w:left="717" w:right="112" w:hanging="361"/>
        <w:jc w:val="both"/>
        <w:rPr>
          <w:sz w:val="26"/>
        </w:rPr>
      </w:pPr>
      <w:r>
        <w:rPr>
          <w:b/>
          <w:sz w:val="26"/>
        </w:rPr>
        <w:t>Fósforo. </w:t>
      </w:r>
      <w:r>
        <w:rPr>
          <w:spacing w:val="-3"/>
          <w:sz w:val="26"/>
        </w:rPr>
        <w:t>La </w:t>
      </w:r>
      <w:r>
        <w:rPr>
          <w:sz w:val="26"/>
        </w:rPr>
        <w:t>estrategia del SWAT para estimar la pérdida del fósforo soluble en el escurrimiento</w:t>
      </w:r>
      <w:r>
        <w:rPr>
          <w:spacing w:val="-11"/>
          <w:sz w:val="26"/>
        </w:rPr>
        <w:t> </w:t>
      </w:r>
      <w:r>
        <w:rPr>
          <w:sz w:val="26"/>
        </w:rPr>
        <w:t>superficial</w:t>
      </w:r>
      <w:r>
        <w:rPr>
          <w:spacing w:val="-10"/>
          <w:sz w:val="26"/>
        </w:rPr>
        <w:t> </w:t>
      </w:r>
      <w:r>
        <w:rPr>
          <w:sz w:val="26"/>
        </w:rPr>
        <w:t>se</w:t>
      </w:r>
      <w:r>
        <w:rPr>
          <w:spacing w:val="-11"/>
          <w:sz w:val="26"/>
        </w:rPr>
        <w:t> </w:t>
      </w:r>
      <w:r>
        <w:rPr>
          <w:sz w:val="26"/>
        </w:rPr>
        <w:t>basa</w:t>
      </w:r>
      <w:r>
        <w:rPr>
          <w:spacing w:val="-11"/>
          <w:sz w:val="26"/>
        </w:rPr>
        <w:t> </w:t>
      </w:r>
      <w:r>
        <w:rPr>
          <w:sz w:val="26"/>
        </w:rPr>
        <w:t>en</w:t>
      </w:r>
      <w:r>
        <w:rPr>
          <w:spacing w:val="-11"/>
          <w:sz w:val="26"/>
        </w:rPr>
        <w:t> </w:t>
      </w:r>
      <w:r>
        <w:rPr>
          <w:sz w:val="26"/>
        </w:rPr>
        <w:t>el</w:t>
      </w:r>
      <w:r>
        <w:rPr>
          <w:spacing w:val="-11"/>
          <w:sz w:val="26"/>
        </w:rPr>
        <w:t> </w:t>
      </w:r>
      <w:r>
        <w:rPr>
          <w:sz w:val="26"/>
        </w:rPr>
        <w:t>concepto</w:t>
      </w:r>
      <w:r>
        <w:rPr>
          <w:spacing w:val="-14"/>
          <w:sz w:val="26"/>
        </w:rPr>
        <w:t> </w:t>
      </w:r>
      <w:r>
        <w:rPr>
          <w:sz w:val="26"/>
        </w:rPr>
        <w:t>de</w:t>
      </w:r>
      <w:r>
        <w:rPr>
          <w:spacing w:val="-11"/>
          <w:sz w:val="26"/>
        </w:rPr>
        <w:t> </w:t>
      </w:r>
      <w:r>
        <w:rPr>
          <w:sz w:val="26"/>
        </w:rPr>
        <w:t>repartir</w:t>
      </w:r>
      <w:r>
        <w:rPr>
          <w:spacing w:val="-10"/>
          <w:sz w:val="26"/>
        </w:rPr>
        <w:t> </w:t>
      </w:r>
      <w:r>
        <w:rPr>
          <w:sz w:val="26"/>
        </w:rPr>
        <w:t>los</w:t>
      </w:r>
      <w:r>
        <w:rPr>
          <w:spacing w:val="-11"/>
          <w:sz w:val="26"/>
        </w:rPr>
        <w:t> </w:t>
      </w:r>
      <w:r>
        <w:rPr>
          <w:sz w:val="26"/>
        </w:rPr>
        <w:t>pesticidas</w:t>
      </w:r>
      <w:r>
        <w:rPr>
          <w:spacing w:val="-10"/>
          <w:sz w:val="26"/>
        </w:rPr>
        <w:t> </w:t>
      </w:r>
      <w:r>
        <w:rPr>
          <w:sz w:val="26"/>
        </w:rPr>
        <w:t>en</w:t>
      </w:r>
      <w:r>
        <w:rPr>
          <w:spacing w:val="-15"/>
          <w:sz w:val="26"/>
        </w:rPr>
        <w:t> </w:t>
      </w:r>
      <w:r>
        <w:rPr>
          <w:sz w:val="26"/>
        </w:rPr>
        <w:t>las</w:t>
      </w:r>
      <w:r>
        <w:rPr>
          <w:spacing w:val="-11"/>
          <w:sz w:val="26"/>
        </w:rPr>
        <w:t> </w:t>
      </w:r>
      <w:r>
        <w:rPr>
          <w:sz w:val="26"/>
        </w:rPr>
        <w:t>fases de solución y sedimentación, debido a que el fósforo está más asociado con la fase de sedimentos. El fósforo soluble en el escurrimiento se predice usando las concentraciones de fósforo en la capa superior del suelo, el volumen de escurrimiento y un factor de repartición. El transporte de fósforo en sedimentos se simula como una función de concentración. El uso del fósforo por el cultivo se estima</w:t>
      </w:r>
      <w:r>
        <w:rPr>
          <w:spacing w:val="-6"/>
          <w:sz w:val="26"/>
        </w:rPr>
        <w:t> </w:t>
      </w:r>
      <w:r>
        <w:rPr>
          <w:sz w:val="26"/>
        </w:rPr>
        <w:t>también</w:t>
      </w:r>
      <w:r>
        <w:rPr>
          <w:spacing w:val="-6"/>
          <w:sz w:val="26"/>
        </w:rPr>
        <w:t> </w:t>
      </w:r>
      <w:r>
        <w:rPr>
          <w:sz w:val="26"/>
        </w:rPr>
        <w:t>con</w:t>
      </w:r>
      <w:r>
        <w:rPr>
          <w:spacing w:val="-6"/>
          <w:sz w:val="26"/>
        </w:rPr>
        <w:t> </w:t>
      </w:r>
      <w:r>
        <w:rPr>
          <w:sz w:val="26"/>
        </w:rPr>
        <w:t>la</w:t>
      </w:r>
      <w:r>
        <w:rPr>
          <w:spacing w:val="-6"/>
          <w:sz w:val="26"/>
        </w:rPr>
        <w:t> </w:t>
      </w:r>
      <w:r>
        <w:rPr>
          <w:sz w:val="26"/>
        </w:rPr>
        <w:t>estrategia</w:t>
      </w:r>
      <w:r>
        <w:rPr>
          <w:spacing w:val="-6"/>
          <w:sz w:val="26"/>
        </w:rPr>
        <w:t> </w:t>
      </w:r>
      <w:r>
        <w:rPr>
          <w:sz w:val="26"/>
        </w:rPr>
        <w:t>de</w:t>
      </w:r>
      <w:r>
        <w:rPr>
          <w:spacing w:val="-6"/>
          <w:sz w:val="26"/>
        </w:rPr>
        <w:t> </w:t>
      </w:r>
      <w:r>
        <w:rPr>
          <w:sz w:val="26"/>
        </w:rPr>
        <w:t>suministro</w:t>
      </w:r>
      <w:r>
        <w:rPr>
          <w:spacing w:val="-2"/>
          <w:sz w:val="26"/>
        </w:rPr>
        <w:t> </w:t>
      </w:r>
      <w:r>
        <w:rPr>
          <w:sz w:val="26"/>
        </w:rPr>
        <w:t>y</w:t>
      </w:r>
      <w:r>
        <w:rPr>
          <w:spacing w:val="-6"/>
          <w:sz w:val="26"/>
        </w:rPr>
        <w:t> </w:t>
      </w:r>
      <w:r>
        <w:rPr>
          <w:sz w:val="26"/>
        </w:rPr>
        <w:t>demanda</w:t>
      </w:r>
      <w:r>
        <w:rPr>
          <w:spacing w:val="-1"/>
          <w:sz w:val="26"/>
        </w:rPr>
        <w:t> </w:t>
      </w:r>
      <w:r>
        <w:rPr>
          <w:sz w:val="26"/>
        </w:rPr>
        <w:t>mostrado</w:t>
      </w:r>
      <w:r>
        <w:rPr>
          <w:spacing w:val="-6"/>
          <w:sz w:val="26"/>
        </w:rPr>
        <w:t> </w:t>
      </w:r>
      <w:r>
        <w:rPr>
          <w:sz w:val="26"/>
        </w:rPr>
        <w:t>en</w:t>
      </w:r>
      <w:r>
        <w:rPr>
          <w:spacing w:val="-6"/>
          <w:sz w:val="26"/>
        </w:rPr>
        <w:t> </w:t>
      </w:r>
      <w:r>
        <w:rPr>
          <w:sz w:val="26"/>
        </w:rPr>
        <w:t>la</w:t>
      </w:r>
      <w:r>
        <w:rPr>
          <w:spacing w:val="-5"/>
          <w:sz w:val="26"/>
        </w:rPr>
        <w:t> </w:t>
      </w:r>
      <w:r>
        <w:rPr>
          <w:sz w:val="26"/>
        </w:rPr>
        <w:t>Figura</w:t>
      </w:r>
      <w:r>
        <w:rPr>
          <w:spacing w:val="-6"/>
          <w:sz w:val="26"/>
        </w:rPr>
        <w:t> </w:t>
      </w:r>
      <w:r>
        <w:rPr>
          <w:sz w:val="26"/>
        </w:rPr>
        <w:t>14.</w:t>
      </w:r>
    </w:p>
    <w:p>
      <w:pPr>
        <w:spacing w:after="0" w:line="360" w:lineRule="auto"/>
        <w:jc w:val="both"/>
        <w:rPr>
          <w:sz w:val="26"/>
        </w:rPr>
        <w:sectPr>
          <w:pgSz w:w="12240" w:h="15840"/>
          <w:pgMar w:header="0" w:footer="1473" w:top="1360" w:bottom="1660" w:left="1420" w:right="1300"/>
        </w:sectPr>
      </w:pPr>
    </w:p>
    <w:p>
      <w:pPr>
        <w:pStyle w:val="BodyText"/>
        <w:ind w:left="107"/>
        <w:rPr>
          <w:sz w:val="20"/>
        </w:rPr>
      </w:pPr>
      <w:r>
        <w:rPr>
          <w:sz w:val="20"/>
        </w:rPr>
        <w:pict>
          <v:group style="width:451.95pt;height:189.65pt;mso-position-horizontal-relative:char;mso-position-vertical-relative:line" coordorigin="0,0" coordsize="9039,3793">
            <v:shape style="position:absolute;left:29;top:29;width:8981;height:3734" type="#_x0000_t75" stroked="false">
              <v:imagedata r:id="rId65" o:title=""/>
            </v:shape>
            <v:rect style="position:absolute;left:15;top:15;width:9010;height:3763" filled="false" stroked="true" strokeweight="1.44pt" strokecolor="#000000"/>
          </v:group>
        </w:pict>
      </w:r>
      <w:r>
        <w:rPr>
          <w:sz w:val="20"/>
        </w:rPr>
      </w:r>
    </w:p>
    <w:p>
      <w:pPr>
        <w:pStyle w:val="BodyText"/>
        <w:spacing w:before="7"/>
        <w:rPr>
          <w:sz w:val="18"/>
        </w:rPr>
      </w:pPr>
    </w:p>
    <w:p>
      <w:pPr>
        <w:spacing w:before="73"/>
        <w:ind w:left="2309" w:right="2505" w:firstLine="0"/>
        <w:jc w:val="center"/>
        <w:rPr>
          <w:sz w:val="22"/>
        </w:rPr>
      </w:pPr>
      <w:r>
        <w:rPr>
          <w:sz w:val="22"/>
        </w:rPr>
        <w:t>Fuente: Neitsch y otros, 2005</w:t>
      </w:r>
    </w:p>
    <w:p>
      <w:pPr>
        <w:pStyle w:val="Heading1"/>
        <w:spacing w:before="3"/>
        <w:ind w:left="2309" w:right="2511"/>
        <w:jc w:val="center"/>
      </w:pPr>
      <w:bookmarkStart w:name="_bookmark38" w:id="54"/>
      <w:bookmarkEnd w:id="54"/>
      <w:r>
        <w:rPr>
          <w:b w:val="0"/>
        </w:rPr>
      </w:r>
      <w:r>
        <w:rPr/>
        <w:t>Figura 14. División del fósforo en SWAT.</w:t>
      </w:r>
    </w:p>
    <w:p>
      <w:pPr>
        <w:pStyle w:val="BodyText"/>
        <w:rPr>
          <w:b/>
        </w:rPr>
      </w:pPr>
    </w:p>
    <w:p>
      <w:pPr>
        <w:pStyle w:val="BodyText"/>
        <w:rPr>
          <w:b/>
          <w:sz w:val="34"/>
        </w:rPr>
      </w:pPr>
    </w:p>
    <w:p>
      <w:pPr>
        <w:pStyle w:val="ListParagraph"/>
        <w:numPr>
          <w:ilvl w:val="0"/>
          <w:numId w:val="18"/>
        </w:numPr>
        <w:tabs>
          <w:tab w:pos="637" w:val="left" w:leader="none"/>
        </w:tabs>
        <w:spacing w:line="360" w:lineRule="auto" w:before="0" w:after="0"/>
        <w:ind w:left="637" w:right="111" w:hanging="361"/>
        <w:jc w:val="both"/>
        <w:rPr>
          <w:sz w:val="26"/>
        </w:rPr>
      </w:pPr>
      <w:r>
        <w:rPr>
          <w:b/>
          <w:sz w:val="26"/>
        </w:rPr>
        <w:t>Transporte </w:t>
      </w:r>
      <w:r>
        <w:rPr>
          <w:b/>
          <w:spacing w:val="-3"/>
          <w:sz w:val="26"/>
        </w:rPr>
        <w:t>de </w:t>
      </w:r>
      <w:r>
        <w:rPr>
          <w:b/>
          <w:sz w:val="26"/>
        </w:rPr>
        <w:t>pesticidas. </w:t>
      </w:r>
      <w:r>
        <w:rPr>
          <w:sz w:val="26"/>
        </w:rPr>
        <w:t>El transporte de pesticidas por el escurrimiento, la percolación, la evapotranspiración del suelo y el sedimento utiliza la técnica del GLEAMS. Los pesticidas se pueden aplicar </w:t>
      </w:r>
      <w:r>
        <w:rPr>
          <w:spacing w:val="-3"/>
          <w:sz w:val="26"/>
        </w:rPr>
        <w:t>en </w:t>
      </w:r>
      <w:r>
        <w:rPr>
          <w:sz w:val="26"/>
        </w:rPr>
        <w:t>cualquier tiempo y dosis, al follaje de la planta o al suelo a cualquier profundidad. El índice de área foliar de la planta determina que fracción del pesticida aplicado al follaje alcanza la superficie del suelo; también una fracción de la dosis de aplicación (llamada eficiencia de aplicación) se pierde en la atmósfera. Cada pesticida tiene un conjunto único de parámetros que incluyen: solubilidad media de su vida en el suelo y en el follaje, fracción de lavado, un coeficiente de adsorción en el carbono orgánico y costo. El pesticida transportado por el agua y sedimento se calcula para cada evento de escurrimiento y su lixiviación se calcula para cada capa de suelo cuando ocurre la percolación, ello se puede apreciar en la Figura</w:t>
      </w:r>
      <w:r>
        <w:rPr>
          <w:spacing w:val="-1"/>
          <w:sz w:val="26"/>
        </w:rPr>
        <w:t> </w:t>
      </w:r>
      <w:r>
        <w:rPr>
          <w:sz w:val="26"/>
        </w:rPr>
        <w:t>15.</w:t>
      </w:r>
    </w:p>
    <w:p>
      <w:pPr>
        <w:spacing w:after="0" w:line="360" w:lineRule="auto"/>
        <w:jc w:val="both"/>
        <w:rPr>
          <w:sz w:val="26"/>
        </w:rPr>
        <w:sectPr>
          <w:pgSz w:w="12240" w:h="15840"/>
          <w:pgMar w:header="0" w:footer="1473" w:top="1420" w:bottom="1660" w:left="1500" w:right="1300"/>
        </w:sectPr>
      </w:pPr>
    </w:p>
    <w:p>
      <w:pPr>
        <w:pStyle w:val="BodyText"/>
        <w:ind w:left="1253"/>
        <w:rPr>
          <w:sz w:val="20"/>
        </w:rPr>
      </w:pPr>
      <w:r>
        <w:rPr>
          <w:sz w:val="20"/>
        </w:rPr>
        <w:pict>
          <v:group style="width:357.65pt;height:234.05pt;mso-position-horizontal-relative:char;mso-position-vertical-relative:line" coordorigin="0,0" coordsize="7153,4681">
            <v:shape style="position:absolute;left:29;top:29;width:7094;height:4622" type="#_x0000_t75" stroked="false">
              <v:imagedata r:id="rId67" o:title=""/>
            </v:shape>
            <v:rect style="position:absolute;left:15;top:15;width:7123;height:4651" filled="false" stroked="true" strokeweight="1.44pt" strokecolor="#000000"/>
          </v:group>
        </w:pict>
      </w:r>
      <w:r>
        <w:rPr>
          <w:sz w:val="20"/>
        </w:rPr>
      </w:r>
    </w:p>
    <w:p>
      <w:pPr>
        <w:pStyle w:val="BodyText"/>
        <w:spacing w:before="5"/>
        <w:rPr>
          <w:sz w:val="18"/>
        </w:rPr>
      </w:pPr>
    </w:p>
    <w:p>
      <w:pPr>
        <w:spacing w:before="73"/>
        <w:ind w:left="255" w:right="253" w:firstLine="0"/>
        <w:jc w:val="center"/>
        <w:rPr>
          <w:sz w:val="22"/>
        </w:rPr>
      </w:pPr>
      <w:r>
        <w:rPr>
          <w:sz w:val="22"/>
        </w:rPr>
        <w:t>Fuente: Neitsch y otros, 2005</w:t>
      </w:r>
    </w:p>
    <w:p>
      <w:pPr>
        <w:pStyle w:val="Heading1"/>
        <w:spacing w:before="2"/>
        <w:ind w:left="255" w:right="253"/>
        <w:jc w:val="center"/>
      </w:pPr>
      <w:bookmarkStart w:name="_bookmark39" w:id="55"/>
      <w:bookmarkEnd w:id="55"/>
      <w:r>
        <w:rPr>
          <w:b w:val="0"/>
        </w:rPr>
      </w:r>
      <w:r>
        <w:rPr/>
        <w:t>Figura 15. Destino del pesticida y transporte en SWAT.</w:t>
      </w:r>
    </w:p>
    <w:p>
      <w:pPr>
        <w:pStyle w:val="BodyText"/>
        <w:rPr>
          <w:b/>
        </w:rPr>
      </w:pPr>
    </w:p>
    <w:p>
      <w:pPr>
        <w:pStyle w:val="BodyText"/>
        <w:spacing w:before="5"/>
        <w:rPr>
          <w:b/>
          <w:sz w:val="34"/>
        </w:rPr>
      </w:pPr>
    </w:p>
    <w:p>
      <w:pPr>
        <w:pStyle w:val="ListParagraph"/>
        <w:numPr>
          <w:ilvl w:val="4"/>
          <w:numId w:val="10"/>
        </w:numPr>
        <w:tabs>
          <w:tab w:pos="837" w:val="left" w:leader="none"/>
        </w:tabs>
        <w:spacing w:line="240" w:lineRule="auto" w:before="0" w:after="0"/>
        <w:ind w:left="837" w:right="0" w:hanging="361"/>
        <w:jc w:val="left"/>
        <w:rPr>
          <w:b/>
          <w:sz w:val="26"/>
        </w:rPr>
      </w:pPr>
      <w:r>
        <w:rPr>
          <w:b/>
          <w:sz w:val="26"/>
        </w:rPr>
        <w:t>Manejo del</w:t>
      </w:r>
      <w:r>
        <w:rPr>
          <w:b/>
          <w:spacing w:val="-8"/>
          <w:sz w:val="26"/>
        </w:rPr>
        <w:t> </w:t>
      </w:r>
      <w:r>
        <w:rPr>
          <w:b/>
          <w:sz w:val="26"/>
        </w:rPr>
        <w:t>cultivo</w:t>
      </w:r>
    </w:p>
    <w:p>
      <w:pPr>
        <w:pStyle w:val="BodyText"/>
        <w:spacing w:before="10"/>
        <w:rPr>
          <w:b/>
          <w:sz w:val="29"/>
        </w:rPr>
      </w:pPr>
    </w:p>
    <w:p>
      <w:pPr>
        <w:pStyle w:val="BodyText"/>
        <w:spacing w:line="362" w:lineRule="auto"/>
        <w:ind w:left="116" w:right="118"/>
      </w:pPr>
      <w:r>
        <w:rPr/>
        <w:t>El SWAT permite rotaciones del cultivo sin límite y hasta tres cultivos por año, se puede también introducir riego, nutrientes y aplicación de pesticidas (fechas y cantidades)</w:t>
      </w:r>
    </w:p>
    <w:p>
      <w:pPr>
        <w:pStyle w:val="ListParagraph"/>
        <w:numPr>
          <w:ilvl w:val="1"/>
          <w:numId w:val="18"/>
        </w:numPr>
        <w:tabs>
          <w:tab w:pos="837" w:val="left" w:leader="none"/>
        </w:tabs>
        <w:spacing w:line="357" w:lineRule="auto" w:before="203" w:after="0"/>
        <w:ind w:left="837" w:right="113" w:hanging="361"/>
        <w:jc w:val="both"/>
        <w:rPr>
          <w:sz w:val="26"/>
        </w:rPr>
      </w:pPr>
      <w:r>
        <w:rPr>
          <w:b/>
          <w:sz w:val="26"/>
        </w:rPr>
        <w:t>Labranza y residuos. </w:t>
      </w:r>
      <w:r>
        <w:rPr>
          <w:sz w:val="26"/>
        </w:rPr>
        <w:t>El componente de labranza se designó para repartir la biomasa</w:t>
      </w:r>
      <w:r>
        <w:rPr>
          <w:spacing w:val="-7"/>
          <w:sz w:val="26"/>
        </w:rPr>
        <w:t> </w:t>
      </w:r>
      <w:r>
        <w:rPr>
          <w:sz w:val="26"/>
        </w:rPr>
        <w:t>aérea</w:t>
      </w:r>
      <w:r>
        <w:rPr>
          <w:spacing w:val="-6"/>
          <w:sz w:val="26"/>
        </w:rPr>
        <w:t> </w:t>
      </w:r>
      <w:r>
        <w:rPr>
          <w:sz w:val="26"/>
        </w:rPr>
        <w:t>al</w:t>
      </w:r>
      <w:r>
        <w:rPr>
          <w:spacing w:val="-7"/>
          <w:sz w:val="26"/>
        </w:rPr>
        <w:t> </w:t>
      </w:r>
      <w:r>
        <w:rPr>
          <w:sz w:val="26"/>
        </w:rPr>
        <w:t>momento</w:t>
      </w:r>
      <w:r>
        <w:rPr>
          <w:spacing w:val="-7"/>
          <w:sz w:val="26"/>
        </w:rPr>
        <w:t> </w:t>
      </w:r>
      <w:r>
        <w:rPr>
          <w:sz w:val="26"/>
        </w:rPr>
        <w:t>de</w:t>
      </w:r>
      <w:r>
        <w:rPr>
          <w:spacing w:val="-7"/>
          <w:sz w:val="26"/>
        </w:rPr>
        <w:t> </w:t>
      </w:r>
      <w:r>
        <w:rPr>
          <w:sz w:val="26"/>
        </w:rPr>
        <w:t>la</w:t>
      </w:r>
      <w:r>
        <w:rPr>
          <w:spacing w:val="-7"/>
          <w:sz w:val="26"/>
        </w:rPr>
        <w:t> </w:t>
      </w:r>
      <w:r>
        <w:rPr>
          <w:sz w:val="26"/>
        </w:rPr>
        <w:t>cosecha,</w:t>
      </w:r>
      <w:r>
        <w:rPr>
          <w:spacing w:val="-9"/>
          <w:sz w:val="26"/>
        </w:rPr>
        <w:t> </w:t>
      </w:r>
      <w:r>
        <w:rPr>
          <w:sz w:val="26"/>
        </w:rPr>
        <w:t>una</w:t>
      </w:r>
      <w:r>
        <w:rPr>
          <w:spacing w:val="-12"/>
          <w:sz w:val="26"/>
        </w:rPr>
        <w:t> </w:t>
      </w:r>
      <w:r>
        <w:rPr>
          <w:sz w:val="26"/>
        </w:rPr>
        <w:t>parte</w:t>
      </w:r>
      <w:r>
        <w:rPr>
          <w:spacing w:val="-7"/>
          <w:sz w:val="26"/>
        </w:rPr>
        <w:t> </w:t>
      </w:r>
      <w:r>
        <w:rPr>
          <w:sz w:val="26"/>
        </w:rPr>
        <w:t>de</w:t>
      </w:r>
      <w:r>
        <w:rPr>
          <w:spacing w:val="-12"/>
          <w:sz w:val="26"/>
        </w:rPr>
        <w:t> </w:t>
      </w:r>
      <w:r>
        <w:rPr>
          <w:sz w:val="26"/>
        </w:rPr>
        <w:t>la</w:t>
      </w:r>
      <w:r>
        <w:rPr>
          <w:spacing w:val="-7"/>
          <w:sz w:val="26"/>
        </w:rPr>
        <w:t> </w:t>
      </w:r>
      <w:r>
        <w:rPr>
          <w:sz w:val="26"/>
        </w:rPr>
        <w:t>biomasa</w:t>
      </w:r>
      <w:r>
        <w:rPr>
          <w:spacing w:val="-7"/>
          <w:sz w:val="26"/>
        </w:rPr>
        <w:t> </w:t>
      </w:r>
      <w:r>
        <w:rPr>
          <w:sz w:val="26"/>
        </w:rPr>
        <w:t>es</w:t>
      </w:r>
      <w:r>
        <w:rPr>
          <w:spacing w:val="-12"/>
          <w:sz w:val="26"/>
        </w:rPr>
        <w:t> </w:t>
      </w:r>
      <w:r>
        <w:rPr>
          <w:sz w:val="26"/>
        </w:rPr>
        <w:t>removida</w:t>
      </w:r>
      <w:r>
        <w:rPr>
          <w:spacing w:val="-7"/>
          <w:sz w:val="26"/>
        </w:rPr>
        <w:t> </w:t>
      </w:r>
      <w:r>
        <w:rPr>
          <w:sz w:val="26"/>
        </w:rPr>
        <w:t>como rendimiento,</w:t>
      </w:r>
      <w:r>
        <w:rPr>
          <w:spacing w:val="-3"/>
          <w:sz w:val="26"/>
        </w:rPr>
        <w:t> </w:t>
      </w:r>
      <w:r>
        <w:rPr>
          <w:sz w:val="26"/>
        </w:rPr>
        <w:t>parte</w:t>
      </w:r>
      <w:r>
        <w:rPr>
          <w:spacing w:val="-5"/>
          <w:sz w:val="26"/>
        </w:rPr>
        <w:t> </w:t>
      </w:r>
      <w:r>
        <w:rPr>
          <w:sz w:val="26"/>
        </w:rPr>
        <w:t>es</w:t>
      </w:r>
      <w:r>
        <w:rPr>
          <w:spacing w:val="-5"/>
          <w:sz w:val="26"/>
        </w:rPr>
        <w:t> </w:t>
      </w:r>
      <w:r>
        <w:rPr>
          <w:sz w:val="26"/>
        </w:rPr>
        <w:t>incorporada</w:t>
      </w:r>
      <w:r>
        <w:rPr>
          <w:spacing w:val="-5"/>
          <w:sz w:val="26"/>
        </w:rPr>
        <w:t> </w:t>
      </w:r>
      <w:r>
        <w:rPr>
          <w:sz w:val="26"/>
        </w:rPr>
        <w:t>al</w:t>
      </w:r>
      <w:r>
        <w:rPr>
          <w:spacing w:val="-5"/>
          <w:sz w:val="26"/>
        </w:rPr>
        <w:t> </w:t>
      </w:r>
      <w:r>
        <w:rPr>
          <w:sz w:val="26"/>
        </w:rPr>
        <w:t>suelo</w:t>
      </w:r>
      <w:r>
        <w:rPr>
          <w:spacing w:val="-5"/>
          <w:sz w:val="26"/>
        </w:rPr>
        <w:t> </w:t>
      </w:r>
      <w:r>
        <w:rPr>
          <w:sz w:val="26"/>
        </w:rPr>
        <w:t>y</w:t>
      </w:r>
      <w:r>
        <w:rPr>
          <w:spacing w:val="-5"/>
          <w:sz w:val="26"/>
        </w:rPr>
        <w:t> </w:t>
      </w:r>
      <w:r>
        <w:rPr>
          <w:sz w:val="26"/>
        </w:rPr>
        <w:t>la</w:t>
      </w:r>
      <w:r>
        <w:rPr>
          <w:spacing w:val="-10"/>
          <w:sz w:val="26"/>
        </w:rPr>
        <w:t> </w:t>
      </w:r>
      <w:r>
        <w:rPr>
          <w:sz w:val="26"/>
        </w:rPr>
        <w:t>restante</w:t>
      </w:r>
      <w:r>
        <w:rPr>
          <w:spacing w:val="-5"/>
          <w:sz w:val="26"/>
        </w:rPr>
        <w:t> </w:t>
      </w:r>
      <w:r>
        <w:rPr>
          <w:sz w:val="26"/>
        </w:rPr>
        <w:t>es</w:t>
      </w:r>
      <w:r>
        <w:rPr>
          <w:spacing w:val="-5"/>
          <w:sz w:val="26"/>
        </w:rPr>
        <w:t> </w:t>
      </w:r>
      <w:r>
        <w:rPr>
          <w:sz w:val="26"/>
        </w:rPr>
        <w:t>dejada</w:t>
      </w:r>
      <w:r>
        <w:rPr>
          <w:spacing w:val="-5"/>
          <w:sz w:val="26"/>
        </w:rPr>
        <w:t> </w:t>
      </w:r>
      <w:r>
        <w:rPr>
          <w:sz w:val="26"/>
        </w:rPr>
        <w:t>en</w:t>
      </w:r>
      <w:r>
        <w:rPr>
          <w:spacing w:val="-5"/>
          <w:sz w:val="26"/>
        </w:rPr>
        <w:t> </w:t>
      </w:r>
      <w:r>
        <w:rPr>
          <w:sz w:val="26"/>
        </w:rPr>
        <w:t>la</w:t>
      </w:r>
      <w:r>
        <w:rPr>
          <w:spacing w:val="-5"/>
          <w:sz w:val="26"/>
        </w:rPr>
        <w:t> </w:t>
      </w:r>
      <w:r>
        <w:rPr>
          <w:sz w:val="26"/>
        </w:rPr>
        <w:t>superficie</w:t>
      </w:r>
      <w:r>
        <w:rPr>
          <w:spacing w:val="-5"/>
          <w:sz w:val="26"/>
        </w:rPr>
        <w:t> </w:t>
      </w:r>
      <w:r>
        <w:rPr>
          <w:sz w:val="26"/>
        </w:rPr>
        <w:t>del suelo como</w:t>
      </w:r>
      <w:r>
        <w:rPr>
          <w:spacing w:val="-10"/>
          <w:sz w:val="26"/>
        </w:rPr>
        <w:t> </w:t>
      </w:r>
      <w:r>
        <w:rPr>
          <w:sz w:val="26"/>
        </w:rPr>
        <w:t>residuo.</w:t>
      </w:r>
    </w:p>
    <w:p>
      <w:pPr>
        <w:pStyle w:val="ListParagraph"/>
        <w:numPr>
          <w:ilvl w:val="1"/>
          <w:numId w:val="18"/>
        </w:numPr>
        <w:tabs>
          <w:tab w:pos="837" w:val="left" w:leader="none"/>
        </w:tabs>
        <w:spacing w:line="357" w:lineRule="auto" w:before="11" w:after="0"/>
        <w:ind w:left="837" w:right="116" w:hanging="361"/>
        <w:jc w:val="both"/>
        <w:rPr>
          <w:sz w:val="26"/>
        </w:rPr>
      </w:pPr>
      <w:r>
        <w:rPr>
          <w:b/>
          <w:sz w:val="26"/>
        </w:rPr>
        <w:t>Riego.</w:t>
      </w:r>
      <w:r>
        <w:rPr>
          <w:b/>
          <w:spacing w:val="1"/>
          <w:sz w:val="26"/>
        </w:rPr>
        <w:t> </w:t>
      </w:r>
      <w:r>
        <w:rPr>
          <w:spacing w:val="-3"/>
          <w:sz w:val="26"/>
        </w:rPr>
        <w:t>Se</w:t>
      </w:r>
      <w:r>
        <w:rPr>
          <w:spacing w:val="-5"/>
          <w:sz w:val="26"/>
        </w:rPr>
        <w:t> </w:t>
      </w:r>
      <w:r>
        <w:rPr>
          <w:sz w:val="26"/>
        </w:rPr>
        <w:t>tiene</w:t>
      </w:r>
      <w:r>
        <w:rPr>
          <w:spacing w:val="-5"/>
          <w:sz w:val="26"/>
        </w:rPr>
        <w:t> </w:t>
      </w:r>
      <w:r>
        <w:rPr>
          <w:sz w:val="26"/>
        </w:rPr>
        <w:t>la</w:t>
      </w:r>
      <w:r>
        <w:rPr>
          <w:spacing w:val="-5"/>
          <w:sz w:val="26"/>
        </w:rPr>
        <w:t> </w:t>
      </w:r>
      <w:r>
        <w:rPr>
          <w:sz w:val="26"/>
        </w:rPr>
        <w:t>opción</w:t>
      </w:r>
      <w:r>
        <w:rPr>
          <w:spacing w:val="-5"/>
          <w:sz w:val="26"/>
        </w:rPr>
        <w:t> </w:t>
      </w:r>
      <w:r>
        <w:rPr>
          <w:sz w:val="26"/>
        </w:rPr>
        <w:t>de</w:t>
      </w:r>
      <w:r>
        <w:rPr>
          <w:spacing w:val="-5"/>
          <w:sz w:val="26"/>
        </w:rPr>
        <w:t> </w:t>
      </w:r>
      <w:r>
        <w:rPr>
          <w:sz w:val="26"/>
        </w:rPr>
        <w:t>simular</w:t>
      </w:r>
      <w:r>
        <w:rPr>
          <w:spacing w:val="-5"/>
          <w:sz w:val="26"/>
        </w:rPr>
        <w:t> </w:t>
      </w:r>
      <w:r>
        <w:rPr>
          <w:sz w:val="26"/>
        </w:rPr>
        <w:t>agricultura</w:t>
      </w:r>
      <w:r>
        <w:rPr>
          <w:spacing w:val="-5"/>
          <w:sz w:val="26"/>
        </w:rPr>
        <w:t> </w:t>
      </w:r>
      <w:r>
        <w:rPr>
          <w:sz w:val="26"/>
        </w:rPr>
        <w:t>de</w:t>
      </w:r>
      <w:r>
        <w:rPr>
          <w:spacing w:val="-5"/>
          <w:sz w:val="26"/>
        </w:rPr>
        <w:t> </w:t>
      </w:r>
      <w:r>
        <w:rPr>
          <w:sz w:val="26"/>
        </w:rPr>
        <w:t>temporal</w:t>
      </w:r>
      <w:r>
        <w:rPr>
          <w:spacing w:val="-5"/>
          <w:sz w:val="26"/>
        </w:rPr>
        <w:t> </w:t>
      </w:r>
      <w:r>
        <w:rPr>
          <w:sz w:val="26"/>
        </w:rPr>
        <w:t>o</w:t>
      </w:r>
      <w:r>
        <w:rPr>
          <w:spacing w:val="-5"/>
          <w:sz w:val="26"/>
        </w:rPr>
        <w:t> </w:t>
      </w:r>
      <w:r>
        <w:rPr>
          <w:sz w:val="26"/>
        </w:rPr>
        <w:t>bajo</w:t>
      </w:r>
      <w:r>
        <w:rPr>
          <w:spacing w:val="-5"/>
          <w:sz w:val="26"/>
        </w:rPr>
        <w:t> </w:t>
      </w:r>
      <w:r>
        <w:rPr>
          <w:sz w:val="26"/>
        </w:rPr>
        <w:t>riego,</w:t>
      </w:r>
      <w:r>
        <w:rPr>
          <w:spacing w:val="-4"/>
          <w:sz w:val="26"/>
        </w:rPr>
        <w:t> </w:t>
      </w:r>
      <w:r>
        <w:rPr>
          <w:sz w:val="26"/>
        </w:rPr>
        <w:t>cuando</w:t>
      </w:r>
      <w:r>
        <w:rPr>
          <w:spacing w:val="-5"/>
          <w:sz w:val="26"/>
        </w:rPr>
        <w:t> </w:t>
      </w:r>
      <w:r>
        <w:rPr>
          <w:sz w:val="26"/>
        </w:rPr>
        <w:t>se selecciona</w:t>
      </w:r>
      <w:r>
        <w:rPr>
          <w:spacing w:val="-11"/>
          <w:sz w:val="26"/>
        </w:rPr>
        <w:t> </w:t>
      </w:r>
      <w:r>
        <w:rPr>
          <w:sz w:val="26"/>
        </w:rPr>
        <w:t>la</w:t>
      </w:r>
      <w:r>
        <w:rPr>
          <w:spacing w:val="-12"/>
          <w:sz w:val="26"/>
        </w:rPr>
        <w:t> </w:t>
      </w:r>
      <w:r>
        <w:rPr>
          <w:sz w:val="26"/>
        </w:rPr>
        <w:t>irrigación</w:t>
      </w:r>
      <w:r>
        <w:rPr>
          <w:spacing w:val="-12"/>
          <w:sz w:val="26"/>
        </w:rPr>
        <w:t> </w:t>
      </w:r>
      <w:r>
        <w:rPr>
          <w:sz w:val="26"/>
        </w:rPr>
        <w:t>se</w:t>
      </w:r>
      <w:r>
        <w:rPr>
          <w:spacing w:val="-12"/>
          <w:sz w:val="26"/>
        </w:rPr>
        <w:t> </w:t>
      </w:r>
      <w:r>
        <w:rPr>
          <w:sz w:val="26"/>
        </w:rPr>
        <w:t>debe</w:t>
      </w:r>
      <w:r>
        <w:rPr>
          <w:spacing w:val="-11"/>
          <w:sz w:val="26"/>
        </w:rPr>
        <w:t> </w:t>
      </w:r>
      <w:r>
        <w:rPr>
          <w:sz w:val="26"/>
        </w:rPr>
        <w:t>especificar</w:t>
      </w:r>
      <w:r>
        <w:rPr>
          <w:spacing w:val="-11"/>
          <w:sz w:val="26"/>
        </w:rPr>
        <w:t> </w:t>
      </w:r>
      <w:r>
        <w:rPr>
          <w:sz w:val="26"/>
        </w:rPr>
        <w:t>el</w:t>
      </w:r>
      <w:r>
        <w:rPr>
          <w:spacing w:val="-12"/>
          <w:sz w:val="26"/>
        </w:rPr>
        <w:t> </w:t>
      </w:r>
      <w:r>
        <w:rPr>
          <w:sz w:val="26"/>
        </w:rPr>
        <w:t>coeficiente</w:t>
      </w:r>
      <w:r>
        <w:rPr>
          <w:spacing w:val="-11"/>
          <w:sz w:val="26"/>
        </w:rPr>
        <w:t> </w:t>
      </w:r>
      <w:r>
        <w:rPr>
          <w:sz w:val="26"/>
        </w:rPr>
        <w:t>de</w:t>
      </w:r>
      <w:r>
        <w:rPr>
          <w:spacing w:val="-12"/>
          <w:sz w:val="26"/>
        </w:rPr>
        <w:t> </w:t>
      </w:r>
      <w:r>
        <w:rPr>
          <w:sz w:val="26"/>
        </w:rPr>
        <w:t>escurrimiento</w:t>
      </w:r>
      <w:r>
        <w:rPr>
          <w:spacing w:val="-12"/>
          <w:sz w:val="26"/>
        </w:rPr>
        <w:t> </w:t>
      </w:r>
      <w:r>
        <w:rPr>
          <w:sz w:val="26"/>
        </w:rPr>
        <w:t>(volumen de agua que sale/volumen aplicado) y un nivel de estrés hídrico de la planta para accionar el riego. El factor de estrés hídrico de la planta varía entre 0-1 (1 significa sin estrés y 0 no hay</w:t>
      </w:r>
      <w:r>
        <w:rPr>
          <w:spacing w:val="-12"/>
          <w:sz w:val="26"/>
        </w:rPr>
        <w:t> </w:t>
      </w:r>
      <w:r>
        <w:rPr>
          <w:sz w:val="26"/>
        </w:rPr>
        <w:t>crecimiento).</w:t>
      </w:r>
    </w:p>
    <w:p>
      <w:pPr>
        <w:spacing w:after="0" w:line="357" w:lineRule="auto"/>
        <w:jc w:val="both"/>
        <w:rPr>
          <w:sz w:val="26"/>
        </w:rPr>
        <w:sectPr>
          <w:footerReference w:type="default" r:id="rId66"/>
          <w:pgSz w:w="12240" w:h="15840"/>
          <w:pgMar w:footer="1473" w:header="0" w:top="1420" w:bottom="1660" w:left="1300" w:right="1300"/>
        </w:sectPr>
      </w:pPr>
    </w:p>
    <w:p>
      <w:pPr>
        <w:pStyle w:val="Heading1"/>
        <w:numPr>
          <w:ilvl w:val="4"/>
          <w:numId w:val="10"/>
        </w:numPr>
        <w:tabs>
          <w:tab w:pos="837" w:val="left" w:leader="none"/>
        </w:tabs>
        <w:spacing w:line="240" w:lineRule="auto" w:before="53" w:after="0"/>
        <w:ind w:left="837" w:right="0" w:hanging="361"/>
        <w:jc w:val="left"/>
      </w:pPr>
      <w:r>
        <w:rPr/>
        <w:t>Componentes </w:t>
      </w:r>
      <w:r>
        <w:rPr>
          <w:spacing w:val="-3"/>
        </w:rPr>
        <w:t>de</w:t>
      </w:r>
      <w:r>
        <w:rPr>
          <w:spacing w:val="-4"/>
        </w:rPr>
        <w:t> </w:t>
      </w:r>
      <w:r>
        <w:rPr/>
        <w:t>transporte</w:t>
      </w:r>
    </w:p>
    <w:p>
      <w:pPr>
        <w:pStyle w:val="BodyText"/>
        <w:spacing w:before="4"/>
        <w:rPr>
          <w:b/>
          <w:sz w:val="30"/>
        </w:rPr>
      </w:pPr>
    </w:p>
    <w:p>
      <w:pPr>
        <w:pStyle w:val="BodyText"/>
        <w:spacing w:line="357" w:lineRule="auto"/>
        <w:ind w:left="116" w:right="111"/>
        <w:jc w:val="both"/>
      </w:pPr>
      <w:r>
        <w:rPr/>
        <w:t>El modelo permite distinguir las rutas que siguen los escurrimientos, los sedimentos, nutrientes</w:t>
      </w:r>
      <w:r>
        <w:rPr>
          <w:spacing w:val="-10"/>
        </w:rPr>
        <w:t> </w:t>
      </w:r>
      <w:r>
        <w:rPr/>
        <w:t>y</w:t>
      </w:r>
      <w:r>
        <w:rPr>
          <w:spacing w:val="-11"/>
        </w:rPr>
        <w:t> </w:t>
      </w:r>
      <w:r>
        <w:rPr/>
        <w:t>los</w:t>
      </w:r>
      <w:r>
        <w:rPr>
          <w:spacing w:val="-11"/>
        </w:rPr>
        <w:t> </w:t>
      </w:r>
      <w:r>
        <w:rPr/>
        <w:t>pesticidas</w:t>
      </w:r>
      <w:r>
        <w:rPr>
          <w:spacing w:val="-15"/>
        </w:rPr>
        <w:t> </w:t>
      </w:r>
      <w:r>
        <w:rPr/>
        <w:t>dentro</w:t>
      </w:r>
      <w:r>
        <w:rPr>
          <w:spacing w:val="-11"/>
        </w:rPr>
        <w:t> </w:t>
      </w:r>
      <w:r>
        <w:rPr/>
        <w:t>de</w:t>
      </w:r>
      <w:r>
        <w:rPr>
          <w:spacing w:val="-16"/>
        </w:rPr>
        <w:t> </w:t>
      </w:r>
      <w:r>
        <w:rPr/>
        <w:t>la</w:t>
      </w:r>
      <w:r>
        <w:rPr>
          <w:spacing w:val="-11"/>
        </w:rPr>
        <w:t> </w:t>
      </w:r>
      <w:r>
        <w:rPr/>
        <w:t>cuenca,</w:t>
      </w:r>
      <w:r>
        <w:rPr>
          <w:spacing w:val="-14"/>
        </w:rPr>
        <w:t> </w:t>
      </w:r>
      <w:r>
        <w:rPr/>
        <w:t>con</w:t>
      </w:r>
      <w:r>
        <w:rPr>
          <w:spacing w:val="-11"/>
        </w:rPr>
        <w:t> </w:t>
      </w:r>
      <w:r>
        <w:rPr/>
        <w:t>el</w:t>
      </w:r>
      <w:r>
        <w:rPr>
          <w:spacing w:val="-11"/>
        </w:rPr>
        <w:t> </w:t>
      </w:r>
      <w:r>
        <w:rPr/>
        <w:t>objetivo</w:t>
      </w:r>
      <w:r>
        <w:rPr>
          <w:spacing w:val="-11"/>
        </w:rPr>
        <w:t> </w:t>
      </w:r>
      <w:r>
        <w:rPr/>
        <w:t>de</w:t>
      </w:r>
      <w:r>
        <w:rPr>
          <w:spacing w:val="-11"/>
        </w:rPr>
        <w:t> </w:t>
      </w:r>
      <w:r>
        <w:rPr/>
        <w:t>evaluar</w:t>
      </w:r>
      <w:r>
        <w:rPr>
          <w:spacing w:val="-9"/>
        </w:rPr>
        <w:t> </w:t>
      </w:r>
      <w:r>
        <w:rPr/>
        <w:t>la</w:t>
      </w:r>
      <w:r>
        <w:rPr>
          <w:spacing w:val="-11"/>
        </w:rPr>
        <w:t> </w:t>
      </w:r>
      <w:r>
        <w:rPr/>
        <w:t>afectación</w:t>
      </w:r>
      <w:r>
        <w:rPr>
          <w:spacing w:val="-15"/>
        </w:rPr>
        <w:t> </w:t>
      </w:r>
      <w:r>
        <w:rPr/>
        <w:t>hacia los sitios donde se están acumulando</w:t>
      </w:r>
      <w:r>
        <w:rPr>
          <w:spacing w:val="-9"/>
        </w:rPr>
        <w:t> </w:t>
      </w:r>
      <w:r>
        <w:rPr/>
        <w:t>dichos.</w:t>
      </w:r>
    </w:p>
    <w:p>
      <w:pPr>
        <w:pStyle w:val="ListParagraph"/>
        <w:numPr>
          <w:ilvl w:val="1"/>
          <w:numId w:val="18"/>
        </w:numPr>
        <w:tabs>
          <w:tab w:pos="837" w:val="left" w:leader="none"/>
        </w:tabs>
        <w:spacing w:line="360" w:lineRule="auto" w:before="208" w:after="0"/>
        <w:ind w:left="837" w:right="113" w:hanging="361"/>
        <w:jc w:val="both"/>
        <w:rPr>
          <w:sz w:val="26"/>
        </w:rPr>
      </w:pPr>
      <w:r>
        <w:rPr>
          <w:b/>
          <w:sz w:val="26"/>
        </w:rPr>
        <w:t>Transporte </w:t>
      </w:r>
      <w:r>
        <w:rPr>
          <w:b/>
          <w:spacing w:val="-3"/>
          <w:sz w:val="26"/>
        </w:rPr>
        <w:t>de </w:t>
      </w:r>
      <w:r>
        <w:rPr>
          <w:b/>
          <w:sz w:val="26"/>
        </w:rPr>
        <w:t>agua en los cauces. </w:t>
      </w:r>
      <w:r>
        <w:rPr>
          <w:sz w:val="26"/>
        </w:rPr>
        <w:t>El transporte en cauces usa el método de coeficiente</w:t>
      </w:r>
      <w:r>
        <w:rPr>
          <w:spacing w:val="-12"/>
          <w:sz w:val="26"/>
        </w:rPr>
        <w:t> </w:t>
      </w:r>
      <w:r>
        <w:rPr>
          <w:sz w:val="26"/>
        </w:rPr>
        <w:t>variable</w:t>
      </w:r>
      <w:r>
        <w:rPr>
          <w:spacing w:val="-12"/>
          <w:sz w:val="26"/>
        </w:rPr>
        <w:t> </w:t>
      </w:r>
      <w:r>
        <w:rPr>
          <w:sz w:val="26"/>
        </w:rPr>
        <w:t>de</w:t>
      </w:r>
      <w:r>
        <w:rPr>
          <w:spacing w:val="-12"/>
          <w:sz w:val="26"/>
        </w:rPr>
        <w:t> </w:t>
      </w:r>
      <w:r>
        <w:rPr>
          <w:sz w:val="26"/>
        </w:rPr>
        <w:t>almacenamiento,</w:t>
      </w:r>
      <w:r>
        <w:rPr>
          <w:spacing w:val="-11"/>
          <w:sz w:val="26"/>
        </w:rPr>
        <w:t> </w:t>
      </w:r>
      <w:r>
        <w:rPr>
          <w:sz w:val="26"/>
        </w:rPr>
        <w:t>los</w:t>
      </w:r>
      <w:r>
        <w:rPr>
          <w:spacing w:val="-12"/>
          <w:sz w:val="26"/>
        </w:rPr>
        <w:t> </w:t>
      </w:r>
      <w:r>
        <w:rPr>
          <w:sz w:val="26"/>
        </w:rPr>
        <w:t>parámetros</w:t>
      </w:r>
      <w:r>
        <w:rPr>
          <w:spacing w:val="-12"/>
          <w:sz w:val="26"/>
        </w:rPr>
        <w:t> </w:t>
      </w:r>
      <w:r>
        <w:rPr>
          <w:sz w:val="26"/>
        </w:rPr>
        <w:t>del</w:t>
      </w:r>
      <w:r>
        <w:rPr>
          <w:spacing w:val="-12"/>
          <w:sz w:val="26"/>
        </w:rPr>
        <w:t> </w:t>
      </w:r>
      <w:r>
        <w:rPr>
          <w:sz w:val="26"/>
        </w:rPr>
        <w:t>cauce</w:t>
      </w:r>
      <w:r>
        <w:rPr>
          <w:spacing w:val="-12"/>
          <w:sz w:val="26"/>
        </w:rPr>
        <w:t> </w:t>
      </w:r>
      <w:r>
        <w:rPr>
          <w:sz w:val="26"/>
        </w:rPr>
        <w:t>incluyen:</w:t>
      </w:r>
      <w:r>
        <w:rPr>
          <w:spacing w:val="-12"/>
          <w:sz w:val="26"/>
        </w:rPr>
        <w:t> </w:t>
      </w:r>
      <w:r>
        <w:rPr>
          <w:sz w:val="26"/>
        </w:rPr>
        <w:t>longitud del cauce, pendiente del cauce, ancho y profundidad del banco del cauce, la inclinación de taludes de los cauces, la pendiente del lecho del cauce y la rugosidad del</w:t>
      </w:r>
      <w:r>
        <w:rPr>
          <w:spacing w:val="-6"/>
          <w:sz w:val="26"/>
        </w:rPr>
        <w:t> </w:t>
      </w:r>
      <w:r>
        <w:rPr>
          <w:sz w:val="26"/>
        </w:rPr>
        <w:t>cauce.</w:t>
      </w:r>
      <w:r>
        <w:rPr>
          <w:spacing w:val="-3"/>
          <w:sz w:val="26"/>
        </w:rPr>
        <w:t> </w:t>
      </w:r>
      <w:r>
        <w:rPr>
          <w:sz w:val="26"/>
        </w:rPr>
        <w:t>El</w:t>
      </w:r>
      <w:r>
        <w:rPr>
          <w:spacing w:val="-6"/>
          <w:sz w:val="26"/>
        </w:rPr>
        <w:t> </w:t>
      </w:r>
      <w:r>
        <w:rPr>
          <w:sz w:val="26"/>
        </w:rPr>
        <w:t>gasto</w:t>
      </w:r>
      <w:r>
        <w:rPr>
          <w:spacing w:val="-6"/>
          <w:sz w:val="26"/>
        </w:rPr>
        <w:t> </w:t>
      </w:r>
      <w:r>
        <w:rPr>
          <w:sz w:val="26"/>
        </w:rPr>
        <w:t>y</w:t>
      </w:r>
      <w:r>
        <w:rPr>
          <w:spacing w:val="-6"/>
          <w:sz w:val="26"/>
        </w:rPr>
        <w:t> </w:t>
      </w:r>
      <w:r>
        <w:rPr>
          <w:sz w:val="26"/>
        </w:rPr>
        <w:t>la</w:t>
      </w:r>
      <w:r>
        <w:rPr>
          <w:spacing w:val="-6"/>
          <w:sz w:val="26"/>
        </w:rPr>
        <w:t> </w:t>
      </w:r>
      <w:r>
        <w:rPr>
          <w:sz w:val="26"/>
        </w:rPr>
        <w:t>velocidad</w:t>
      </w:r>
      <w:r>
        <w:rPr>
          <w:spacing w:val="-1"/>
          <w:sz w:val="26"/>
        </w:rPr>
        <w:t> </w:t>
      </w:r>
      <w:r>
        <w:rPr>
          <w:sz w:val="26"/>
        </w:rPr>
        <w:t>media</w:t>
      </w:r>
      <w:r>
        <w:rPr>
          <w:spacing w:val="-6"/>
          <w:sz w:val="26"/>
        </w:rPr>
        <w:t> </w:t>
      </w:r>
      <w:r>
        <w:rPr>
          <w:sz w:val="26"/>
        </w:rPr>
        <w:t>se</w:t>
      </w:r>
      <w:r>
        <w:rPr>
          <w:spacing w:val="-6"/>
          <w:sz w:val="26"/>
        </w:rPr>
        <w:t> </w:t>
      </w:r>
      <w:r>
        <w:rPr>
          <w:sz w:val="26"/>
        </w:rPr>
        <w:t>calculan</w:t>
      </w:r>
      <w:r>
        <w:rPr>
          <w:spacing w:val="-6"/>
          <w:sz w:val="26"/>
        </w:rPr>
        <w:t> </w:t>
      </w:r>
      <w:r>
        <w:rPr>
          <w:sz w:val="26"/>
        </w:rPr>
        <w:t>usando</w:t>
      </w:r>
      <w:r>
        <w:rPr>
          <w:spacing w:val="-6"/>
          <w:sz w:val="26"/>
        </w:rPr>
        <w:t> </w:t>
      </w:r>
      <w:r>
        <w:rPr>
          <w:sz w:val="26"/>
        </w:rPr>
        <w:t>la</w:t>
      </w:r>
      <w:r>
        <w:rPr>
          <w:spacing w:val="-6"/>
          <w:sz w:val="26"/>
        </w:rPr>
        <w:t> </w:t>
      </w:r>
      <w:r>
        <w:rPr>
          <w:sz w:val="26"/>
        </w:rPr>
        <w:t>ecuación</w:t>
      </w:r>
      <w:r>
        <w:rPr>
          <w:spacing w:val="-6"/>
          <w:sz w:val="26"/>
        </w:rPr>
        <w:t> </w:t>
      </w:r>
      <w:r>
        <w:rPr>
          <w:sz w:val="26"/>
        </w:rPr>
        <w:t>de</w:t>
      </w:r>
      <w:r>
        <w:rPr>
          <w:spacing w:val="-6"/>
          <w:sz w:val="26"/>
        </w:rPr>
        <w:t> </w:t>
      </w:r>
      <w:r>
        <w:rPr>
          <w:sz w:val="26"/>
        </w:rPr>
        <w:t>Manning y</w:t>
      </w:r>
      <w:r>
        <w:rPr>
          <w:spacing w:val="-11"/>
          <w:sz w:val="26"/>
        </w:rPr>
        <w:t> </w:t>
      </w:r>
      <w:r>
        <w:rPr>
          <w:sz w:val="26"/>
        </w:rPr>
        <w:t>el</w:t>
      </w:r>
      <w:r>
        <w:rPr>
          <w:spacing w:val="-11"/>
          <w:sz w:val="26"/>
        </w:rPr>
        <w:t> </w:t>
      </w:r>
      <w:r>
        <w:rPr>
          <w:sz w:val="26"/>
        </w:rPr>
        <w:t>tiempo</w:t>
      </w:r>
      <w:r>
        <w:rPr>
          <w:spacing w:val="-11"/>
          <w:sz w:val="26"/>
        </w:rPr>
        <w:t> </w:t>
      </w:r>
      <w:r>
        <w:rPr>
          <w:sz w:val="26"/>
        </w:rPr>
        <w:t>de</w:t>
      </w:r>
      <w:r>
        <w:rPr>
          <w:spacing w:val="-11"/>
          <w:sz w:val="26"/>
        </w:rPr>
        <w:t> </w:t>
      </w:r>
      <w:r>
        <w:rPr>
          <w:sz w:val="26"/>
        </w:rPr>
        <w:t>transporte</w:t>
      </w:r>
      <w:r>
        <w:rPr>
          <w:spacing w:val="-11"/>
          <w:sz w:val="26"/>
        </w:rPr>
        <w:t> </w:t>
      </w:r>
      <w:r>
        <w:rPr>
          <w:sz w:val="26"/>
        </w:rPr>
        <w:t>se</w:t>
      </w:r>
      <w:r>
        <w:rPr>
          <w:spacing w:val="-11"/>
          <w:sz w:val="26"/>
        </w:rPr>
        <w:t> </w:t>
      </w:r>
      <w:r>
        <w:rPr>
          <w:sz w:val="26"/>
        </w:rPr>
        <w:t>calcula</w:t>
      </w:r>
      <w:r>
        <w:rPr>
          <w:spacing w:val="-15"/>
          <w:sz w:val="26"/>
        </w:rPr>
        <w:t> </w:t>
      </w:r>
      <w:r>
        <w:rPr>
          <w:sz w:val="26"/>
        </w:rPr>
        <w:t>dividiendo</w:t>
      </w:r>
      <w:r>
        <w:rPr>
          <w:spacing w:val="-11"/>
          <w:sz w:val="26"/>
        </w:rPr>
        <w:t> </w:t>
      </w:r>
      <w:r>
        <w:rPr>
          <w:sz w:val="26"/>
        </w:rPr>
        <w:t>la</w:t>
      </w:r>
      <w:r>
        <w:rPr>
          <w:spacing w:val="-11"/>
          <w:sz w:val="26"/>
        </w:rPr>
        <w:t> </w:t>
      </w:r>
      <w:r>
        <w:rPr>
          <w:sz w:val="26"/>
        </w:rPr>
        <w:t>longitud</w:t>
      </w:r>
      <w:r>
        <w:rPr>
          <w:spacing w:val="-11"/>
          <w:sz w:val="26"/>
        </w:rPr>
        <w:t> </w:t>
      </w:r>
      <w:r>
        <w:rPr>
          <w:sz w:val="26"/>
        </w:rPr>
        <w:t>del</w:t>
      </w:r>
      <w:r>
        <w:rPr>
          <w:spacing w:val="-11"/>
          <w:sz w:val="26"/>
        </w:rPr>
        <w:t> </w:t>
      </w:r>
      <w:r>
        <w:rPr>
          <w:sz w:val="26"/>
        </w:rPr>
        <w:t>canal</w:t>
      </w:r>
      <w:r>
        <w:rPr>
          <w:spacing w:val="-11"/>
          <w:sz w:val="26"/>
        </w:rPr>
        <w:t> </w:t>
      </w:r>
      <w:r>
        <w:rPr>
          <w:sz w:val="26"/>
        </w:rPr>
        <w:t>por</w:t>
      </w:r>
      <w:r>
        <w:rPr>
          <w:spacing w:val="-11"/>
          <w:sz w:val="26"/>
        </w:rPr>
        <w:t> </w:t>
      </w:r>
      <w:r>
        <w:rPr>
          <w:sz w:val="26"/>
        </w:rPr>
        <w:t>la</w:t>
      </w:r>
      <w:r>
        <w:rPr>
          <w:spacing w:val="-11"/>
          <w:sz w:val="26"/>
        </w:rPr>
        <w:t> </w:t>
      </w:r>
      <w:r>
        <w:rPr>
          <w:sz w:val="26"/>
        </w:rPr>
        <w:t>velocidad. El flujo de salida del cauce se ajusta de acuerdo a las pérdidas de transmisión, evaporación, desviaciones y el flujo de</w:t>
      </w:r>
      <w:r>
        <w:rPr>
          <w:spacing w:val="-11"/>
          <w:sz w:val="26"/>
        </w:rPr>
        <w:t> </w:t>
      </w:r>
      <w:r>
        <w:rPr>
          <w:sz w:val="26"/>
        </w:rPr>
        <w:t>retorno.</w:t>
      </w:r>
    </w:p>
    <w:p>
      <w:pPr>
        <w:pStyle w:val="ListParagraph"/>
        <w:numPr>
          <w:ilvl w:val="1"/>
          <w:numId w:val="18"/>
        </w:numPr>
        <w:tabs>
          <w:tab w:pos="837" w:val="left" w:leader="none"/>
        </w:tabs>
        <w:spacing w:line="357" w:lineRule="auto" w:before="8" w:after="0"/>
        <w:ind w:left="837" w:right="114" w:hanging="361"/>
        <w:jc w:val="both"/>
        <w:rPr>
          <w:sz w:val="26"/>
        </w:rPr>
      </w:pPr>
      <w:r>
        <w:rPr>
          <w:b/>
          <w:sz w:val="26"/>
        </w:rPr>
        <w:t>Transporte </w:t>
      </w:r>
      <w:r>
        <w:rPr>
          <w:b/>
          <w:spacing w:val="-3"/>
          <w:sz w:val="26"/>
        </w:rPr>
        <w:t>de </w:t>
      </w:r>
      <w:r>
        <w:rPr>
          <w:b/>
          <w:sz w:val="26"/>
        </w:rPr>
        <w:t>sedimentos en cauces. </w:t>
      </w:r>
      <w:r>
        <w:rPr>
          <w:sz w:val="26"/>
        </w:rPr>
        <w:t>El modelo de transporte de sedimentos consiste en dos componentes que operan simultáneamente (depositación y degradación). El componente de depositación se basa en la velocidad de caída y el componente de degradación en el concepto del poder de la corriente. </w:t>
      </w:r>
      <w:r>
        <w:rPr>
          <w:spacing w:val="-3"/>
          <w:sz w:val="26"/>
        </w:rPr>
        <w:t>La </w:t>
      </w:r>
      <w:r>
        <w:rPr>
          <w:sz w:val="26"/>
        </w:rPr>
        <w:t>deposición en el cauce y en el lecho y el piso de la subcuenca hacia la salida de la cuenca se basa en la velocidad de caída de las partículas de</w:t>
      </w:r>
      <w:r>
        <w:rPr>
          <w:spacing w:val="-15"/>
          <w:sz w:val="26"/>
        </w:rPr>
        <w:t> </w:t>
      </w:r>
      <w:r>
        <w:rPr>
          <w:sz w:val="26"/>
        </w:rPr>
        <w:t>sedimentos.</w:t>
      </w:r>
    </w:p>
    <w:p>
      <w:pPr>
        <w:pStyle w:val="ListParagraph"/>
        <w:numPr>
          <w:ilvl w:val="1"/>
          <w:numId w:val="18"/>
        </w:numPr>
        <w:tabs>
          <w:tab w:pos="837" w:val="left" w:leader="none"/>
        </w:tabs>
        <w:spacing w:line="357" w:lineRule="auto" w:before="7" w:after="0"/>
        <w:ind w:left="837" w:right="115" w:hanging="361"/>
        <w:jc w:val="both"/>
        <w:rPr>
          <w:sz w:val="26"/>
        </w:rPr>
      </w:pPr>
      <w:r>
        <w:rPr>
          <w:b/>
          <w:sz w:val="26"/>
        </w:rPr>
        <w:t>Tránsito </w:t>
      </w:r>
      <w:r>
        <w:rPr>
          <w:b/>
          <w:spacing w:val="-3"/>
          <w:sz w:val="26"/>
        </w:rPr>
        <w:t>de </w:t>
      </w:r>
      <w:r>
        <w:rPr>
          <w:b/>
          <w:sz w:val="26"/>
        </w:rPr>
        <w:t>agua y sedimentos en almacenamiento. </w:t>
      </w:r>
      <w:r>
        <w:rPr>
          <w:sz w:val="26"/>
        </w:rPr>
        <w:t>Los almacenamientos existentes dentro de la cuenca también influyen en la forma en la que se distribuye el agua y los pesticidas. SWAT realiza un balance y simulación del transporte del agua,</w:t>
      </w:r>
      <w:r>
        <w:rPr>
          <w:spacing w:val="-10"/>
          <w:sz w:val="26"/>
        </w:rPr>
        <w:t> </w:t>
      </w:r>
      <w:r>
        <w:rPr>
          <w:sz w:val="26"/>
        </w:rPr>
        <w:t>sedimentos,</w:t>
      </w:r>
      <w:r>
        <w:rPr>
          <w:spacing w:val="-10"/>
          <w:sz w:val="26"/>
        </w:rPr>
        <w:t> </w:t>
      </w:r>
      <w:r>
        <w:rPr>
          <w:sz w:val="26"/>
        </w:rPr>
        <w:t>nutrientes</w:t>
      </w:r>
      <w:r>
        <w:rPr>
          <w:spacing w:val="-11"/>
          <w:sz w:val="26"/>
        </w:rPr>
        <w:t> </w:t>
      </w:r>
      <w:r>
        <w:rPr>
          <w:sz w:val="26"/>
        </w:rPr>
        <w:t>y</w:t>
      </w:r>
      <w:r>
        <w:rPr>
          <w:spacing w:val="-12"/>
          <w:sz w:val="26"/>
        </w:rPr>
        <w:t> </w:t>
      </w:r>
      <w:r>
        <w:rPr>
          <w:sz w:val="26"/>
        </w:rPr>
        <w:t>pesticidas</w:t>
      </w:r>
      <w:r>
        <w:rPr>
          <w:spacing w:val="-11"/>
          <w:sz w:val="26"/>
        </w:rPr>
        <w:t> </w:t>
      </w:r>
      <w:r>
        <w:rPr>
          <w:sz w:val="26"/>
        </w:rPr>
        <w:t>dentro</w:t>
      </w:r>
      <w:r>
        <w:rPr>
          <w:spacing w:val="-17"/>
          <w:sz w:val="26"/>
        </w:rPr>
        <w:t> </w:t>
      </w:r>
      <w:r>
        <w:rPr>
          <w:sz w:val="26"/>
        </w:rPr>
        <w:t>de</w:t>
      </w:r>
      <w:r>
        <w:rPr>
          <w:spacing w:val="-12"/>
          <w:sz w:val="26"/>
        </w:rPr>
        <w:t> </w:t>
      </w:r>
      <w:r>
        <w:rPr>
          <w:sz w:val="26"/>
        </w:rPr>
        <w:t>los</w:t>
      </w:r>
      <w:r>
        <w:rPr>
          <w:spacing w:val="-17"/>
          <w:sz w:val="26"/>
        </w:rPr>
        <w:t> </w:t>
      </w:r>
      <w:r>
        <w:rPr>
          <w:sz w:val="26"/>
        </w:rPr>
        <w:t>almacenamientos</w:t>
      </w:r>
      <w:r>
        <w:rPr>
          <w:spacing w:val="-12"/>
          <w:sz w:val="26"/>
        </w:rPr>
        <w:t> </w:t>
      </w:r>
      <w:r>
        <w:rPr>
          <w:sz w:val="26"/>
        </w:rPr>
        <w:t>registrados, donde se consideran los siguientes</w:t>
      </w:r>
      <w:r>
        <w:rPr>
          <w:spacing w:val="-9"/>
          <w:sz w:val="26"/>
        </w:rPr>
        <w:t> </w:t>
      </w:r>
      <w:r>
        <w:rPr>
          <w:sz w:val="26"/>
        </w:rPr>
        <w:t>aspectos:</w:t>
      </w:r>
    </w:p>
    <w:p>
      <w:pPr>
        <w:pStyle w:val="ListParagraph"/>
        <w:numPr>
          <w:ilvl w:val="1"/>
          <w:numId w:val="18"/>
        </w:numPr>
        <w:tabs>
          <w:tab w:pos="837" w:val="left" w:leader="none"/>
        </w:tabs>
        <w:spacing w:line="357" w:lineRule="auto" w:before="7" w:after="0"/>
        <w:ind w:left="837" w:right="112" w:hanging="361"/>
        <w:jc w:val="both"/>
        <w:rPr>
          <w:sz w:val="26"/>
        </w:rPr>
      </w:pPr>
      <w:r>
        <w:rPr>
          <w:b/>
          <w:sz w:val="26"/>
        </w:rPr>
        <w:t>Balance y transporte </w:t>
      </w:r>
      <w:r>
        <w:rPr>
          <w:b/>
          <w:spacing w:val="-3"/>
          <w:sz w:val="26"/>
        </w:rPr>
        <w:t>de </w:t>
      </w:r>
      <w:r>
        <w:rPr>
          <w:b/>
          <w:sz w:val="26"/>
        </w:rPr>
        <w:t>agua en almacenamiento. </w:t>
      </w:r>
      <w:r>
        <w:rPr>
          <w:sz w:val="26"/>
        </w:rPr>
        <w:t>El balance de agua en almacenamientos incluye flujos de entrada, flujos de salida, lluvia en la superficie del almacenamiento, evaporación, transmisión en el lecho del almacenamiento, desviaciones</w:t>
      </w:r>
      <w:r>
        <w:rPr>
          <w:spacing w:val="21"/>
          <w:sz w:val="26"/>
        </w:rPr>
        <w:t> </w:t>
      </w:r>
      <w:r>
        <w:rPr>
          <w:sz w:val="26"/>
        </w:rPr>
        <w:t>y</w:t>
      </w:r>
      <w:r>
        <w:rPr>
          <w:spacing w:val="20"/>
          <w:sz w:val="26"/>
        </w:rPr>
        <w:t> </w:t>
      </w:r>
      <w:r>
        <w:rPr>
          <w:sz w:val="26"/>
        </w:rPr>
        <w:t>flujo</w:t>
      </w:r>
      <w:r>
        <w:rPr>
          <w:spacing w:val="21"/>
          <w:sz w:val="26"/>
        </w:rPr>
        <w:t> </w:t>
      </w:r>
      <w:r>
        <w:rPr>
          <w:sz w:val="26"/>
        </w:rPr>
        <w:t>de</w:t>
      </w:r>
      <w:r>
        <w:rPr>
          <w:spacing w:val="21"/>
          <w:sz w:val="26"/>
        </w:rPr>
        <w:t> </w:t>
      </w:r>
      <w:r>
        <w:rPr>
          <w:sz w:val="26"/>
        </w:rPr>
        <w:t>retomo.</w:t>
      </w:r>
      <w:r>
        <w:rPr>
          <w:spacing w:val="23"/>
          <w:sz w:val="26"/>
        </w:rPr>
        <w:t> </w:t>
      </w:r>
      <w:r>
        <w:rPr>
          <w:sz w:val="26"/>
        </w:rPr>
        <w:t>Actualmente</w:t>
      </w:r>
      <w:r>
        <w:rPr>
          <w:spacing w:val="25"/>
          <w:sz w:val="26"/>
        </w:rPr>
        <w:t> </w:t>
      </w:r>
      <w:r>
        <w:rPr>
          <w:sz w:val="26"/>
        </w:rPr>
        <w:t>existen</w:t>
      </w:r>
      <w:r>
        <w:rPr>
          <w:spacing w:val="20"/>
          <w:sz w:val="26"/>
        </w:rPr>
        <w:t> </w:t>
      </w:r>
      <w:r>
        <w:rPr>
          <w:sz w:val="26"/>
        </w:rPr>
        <w:t>tres</w:t>
      </w:r>
      <w:r>
        <w:rPr>
          <w:spacing w:val="20"/>
          <w:sz w:val="26"/>
        </w:rPr>
        <w:t> </w:t>
      </w:r>
      <w:r>
        <w:rPr>
          <w:sz w:val="26"/>
        </w:rPr>
        <w:t>métodos</w:t>
      </w:r>
      <w:r>
        <w:rPr>
          <w:spacing w:val="26"/>
          <w:sz w:val="26"/>
        </w:rPr>
        <w:t> </w:t>
      </w:r>
      <w:r>
        <w:rPr>
          <w:sz w:val="26"/>
        </w:rPr>
        <w:t>para</w:t>
      </w:r>
      <w:r>
        <w:rPr>
          <w:spacing w:val="21"/>
          <w:sz w:val="26"/>
        </w:rPr>
        <w:t> </w:t>
      </w:r>
      <w:r>
        <w:rPr>
          <w:sz w:val="26"/>
        </w:rPr>
        <w:t>estimar</w:t>
      </w:r>
      <w:r>
        <w:rPr>
          <w:spacing w:val="21"/>
          <w:sz w:val="26"/>
        </w:rPr>
        <w:t> </w:t>
      </w:r>
      <w:r>
        <w:rPr>
          <w:sz w:val="26"/>
        </w:rPr>
        <w:t>el</w:t>
      </w:r>
    </w:p>
    <w:p>
      <w:pPr>
        <w:spacing w:after="0" w:line="357" w:lineRule="auto"/>
        <w:jc w:val="both"/>
        <w:rPr>
          <w:sz w:val="26"/>
        </w:rPr>
        <w:sectPr>
          <w:footerReference w:type="default" r:id="rId68"/>
          <w:pgSz w:w="12240" w:h="15840"/>
          <w:pgMar w:footer="1473" w:header="0" w:top="1360" w:bottom="1660" w:left="1300" w:right="1300"/>
          <w:pgNumType w:start="51"/>
        </w:sectPr>
      </w:pPr>
    </w:p>
    <w:p>
      <w:pPr>
        <w:pStyle w:val="BodyText"/>
        <w:spacing w:line="360" w:lineRule="auto" w:before="49"/>
        <w:ind w:left="836" w:right="115"/>
        <w:jc w:val="both"/>
      </w:pPr>
      <w:r>
        <w:rPr/>
        <w:t>flujo de salida: el primer método simplemente considera el flujo de salida medido y permite al modelo simular los otros componentes del balance hídrico; el segundo método es para pequeños almacenamientos incontrolados y el flujo de salida ocurre a una tasa de salida especificada cuando el volumen excede la capacidad de almacenamiento</w:t>
      </w:r>
      <w:r>
        <w:rPr>
          <w:spacing w:val="-6"/>
        </w:rPr>
        <w:t> </w:t>
      </w:r>
      <w:r>
        <w:rPr/>
        <w:t>y;</w:t>
      </w:r>
      <w:r>
        <w:rPr>
          <w:spacing w:val="-6"/>
        </w:rPr>
        <w:t> </w:t>
      </w:r>
      <w:r>
        <w:rPr/>
        <w:t>el</w:t>
      </w:r>
      <w:r>
        <w:rPr>
          <w:spacing w:val="-6"/>
        </w:rPr>
        <w:t> </w:t>
      </w:r>
      <w:r>
        <w:rPr/>
        <w:t>tercer</w:t>
      </w:r>
      <w:r>
        <w:rPr>
          <w:spacing w:val="-6"/>
        </w:rPr>
        <w:t> </w:t>
      </w:r>
      <w:r>
        <w:rPr/>
        <w:t>método</w:t>
      </w:r>
      <w:r>
        <w:rPr>
          <w:spacing w:val="-6"/>
        </w:rPr>
        <w:t> </w:t>
      </w:r>
      <w:r>
        <w:rPr/>
        <w:t>es</w:t>
      </w:r>
      <w:r>
        <w:rPr>
          <w:spacing w:val="-6"/>
        </w:rPr>
        <w:t> </w:t>
      </w:r>
      <w:r>
        <w:rPr/>
        <w:t>para</w:t>
      </w:r>
      <w:r>
        <w:rPr>
          <w:spacing w:val="-6"/>
        </w:rPr>
        <w:t> </w:t>
      </w:r>
      <w:r>
        <w:rPr/>
        <w:t>grandes</w:t>
      </w:r>
      <w:r>
        <w:rPr>
          <w:spacing w:val="-6"/>
        </w:rPr>
        <w:t> </w:t>
      </w:r>
      <w:r>
        <w:rPr/>
        <w:t>almacenamientos</w:t>
      </w:r>
      <w:r>
        <w:rPr>
          <w:spacing w:val="-6"/>
        </w:rPr>
        <w:t> </w:t>
      </w:r>
      <w:r>
        <w:rPr/>
        <w:t>con</w:t>
      </w:r>
      <w:r>
        <w:rPr>
          <w:spacing w:val="-1"/>
        </w:rPr>
        <w:t> </w:t>
      </w:r>
      <w:r>
        <w:rPr/>
        <w:t>manejo</w:t>
      </w:r>
      <w:r>
        <w:rPr>
          <w:spacing w:val="-1"/>
        </w:rPr>
        <w:t> </w:t>
      </w:r>
      <w:r>
        <w:rPr/>
        <w:t>y se utiliza una estrategia de un volumen mensual</w:t>
      </w:r>
      <w:r>
        <w:rPr>
          <w:spacing w:val="-14"/>
        </w:rPr>
        <w:t> </w:t>
      </w:r>
      <w:r>
        <w:rPr/>
        <w:t>especificado.</w:t>
      </w:r>
    </w:p>
    <w:p>
      <w:pPr>
        <w:pStyle w:val="ListParagraph"/>
        <w:numPr>
          <w:ilvl w:val="1"/>
          <w:numId w:val="18"/>
        </w:numPr>
        <w:tabs>
          <w:tab w:pos="837" w:val="left" w:leader="none"/>
        </w:tabs>
        <w:spacing w:line="360" w:lineRule="auto" w:before="4" w:after="0"/>
        <w:ind w:left="837" w:right="115" w:hanging="361"/>
        <w:jc w:val="both"/>
        <w:rPr>
          <w:sz w:val="26"/>
        </w:rPr>
      </w:pPr>
      <w:r>
        <w:rPr>
          <w:b/>
          <w:sz w:val="26"/>
        </w:rPr>
        <w:t>Transporte</w:t>
      </w:r>
      <w:r>
        <w:rPr>
          <w:b/>
          <w:spacing w:val="-4"/>
          <w:sz w:val="26"/>
        </w:rPr>
        <w:t> </w:t>
      </w:r>
      <w:r>
        <w:rPr>
          <w:b/>
          <w:spacing w:val="-3"/>
          <w:sz w:val="26"/>
        </w:rPr>
        <w:t>de</w:t>
      </w:r>
      <w:r>
        <w:rPr>
          <w:b/>
          <w:spacing w:val="-9"/>
          <w:sz w:val="26"/>
        </w:rPr>
        <w:t> </w:t>
      </w:r>
      <w:r>
        <w:rPr>
          <w:b/>
          <w:sz w:val="26"/>
        </w:rPr>
        <w:t>sedimentos</w:t>
      </w:r>
      <w:r>
        <w:rPr>
          <w:b/>
          <w:spacing w:val="-9"/>
          <w:sz w:val="26"/>
        </w:rPr>
        <w:t> </w:t>
      </w:r>
      <w:r>
        <w:rPr>
          <w:b/>
          <w:sz w:val="26"/>
        </w:rPr>
        <w:t>en</w:t>
      </w:r>
      <w:r>
        <w:rPr>
          <w:b/>
          <w:spacing w:val="-14"/>
          <w:sz w:val="26"/>
        </w:rPr>
        <w:t> </w:t>
      </w:r>
      <w:r>
        <w:rPr>
          <w:b/>
          <w:sz w:val="26"/>
        </w:rPr>
        <w:t>almacenamientos.</w:t>
      </w:r>
      <w:r>
        <w:rPr>
          <w:b/>
          <w:spacing w:val="-2"/>
          <w:sz w:val="26"/>
        </w:rPr>
        <w:t> </w:t>
      </w:r>
      <w:r>
        <w:rPr>
          <w:spacing w:val="-3"/>
          <w:sz w:val="26"/>
        </w:rPr>
        <w:t>La</w:t>
      </w:r>
      <w:r>
        <w:rPr>
          <w:spacing w:val="-9"/>
          <w:sz w:val="26"/>
        </w:rPr>
        <w:t> </w:t>
      </w:r>
      <w:r>
        <w:rPr>
          <w:sz w:val="26"/>
        </w:rPr>
        <w:t>producción</w:t>
      </w:r>
      <w:r>
        <w:rPr>
          <w:spacing w:val="-9"/>
          <w:sz w:val="26"/>
        </w:rPr>
        <w:t> </w:t>
      </w:r>
      <w:r>
        <w:rPr>
          <w:sz w:val="26"/>
        </w:rPr>
        <w:t>de</w:t>
      </w:r>
      <w:r>
        <w:rPr>
          <w:spacing w:val="-9"/>
          <w:sz w:val="26"/>
        </w:rPr>
        <w:t> </w:t>
      </w:r>
      <w:r>
        <w:rPr>
          <w:sz w:val="26"/>
        </w:rPr>
        <w:t>sedimentos</w:t>
      </w:r>
      <w:r>
        <w:rPr>
          <w:spacing w:val="-9"/>
          <w:sz w:val="26"/>
        </w:rPr>
        <w:t> </w:t>
      </w:r>
      <w:r>
        <w:rPr>
          <w:sz w:val="26"/>
        </w:rPr>
        <w:t>del flujo</w:t>
      </w:r>
      <w:r>
        <w:rPr>
          <w:spacing w:val="-14"/>
          <w:sz w:val="26"/>
        </w:rPr>
        <w:t> </w:t>
      </w:r>
      <w:r>
        <w:rPr>
          <w:sz w:val="26"/>
        </w:rPr>
        <w:t>de</w:t>
      </w:r>
      <w:r>
        <w:rPr>
          <w:spacing w:val="-14"/>
          <w:sz w:val="26"/>
        </w:rPr>
        <w:t> </w:t>
      </w:r>
      <w:r>
        <w:rPr>
          <w:sz w:val="26"/>
        </w:rPr>
        <w:t>entrada</w:t>
      </w:r>
      <w:r>
        <w:rPr>
          <w:spacing w:val="-13"/>
          <w:sz w:val="26"/>
        </w:rPr>
        <w:t> </w:t>
      </w:r>
      <w:r>
        <w:rPr>
          <w:sz w:val="26"/>
        </w:rPr>
        <w:t>a</w:t>
      </w:r>
      <w:r>
        <w:rPr>
          <w:spacing w:val="-14"/>
          <w:sz w:val="26"/>
        </w:rPr>
        <w:t> </w:t>
      </w:r>
      <w:r>
        <w:rPr>
          <w:sz w:val="26"/>
        </w:rPr>
        <w:t>los</w:t>
      </w:r>
      <w:r>
        <w:rPr>
          <w:spacing w:val="-14"/>
          <w:sz w:val="26"/>
        </w:rPr>
        <w:t> </w:t>
      </w:r>
      <w:r>
        <w:rPr>
          <w:sz w:val="26"/>
        </w:rPr>
        <w:t>cuerpos</w:t>
      </w:r>
      <w:r>
        <w:rPr>
          <w:spacing w:val="-14"/>
          <w:sz w:val="26"/>
        </w:rPr>
        <w:t> </w:t>
      </w:r>
      <w:r>
        <w:rPr>
          <w:sz w:val="26"/>
        </w:rPr>
        <w:t>de</w:t>
      </w:r>
      <w:r>
        <w:rPr>
          <w:spacing w:val="-14"/>
          <w:sz w:val="26"/>
        </w:rPr>
        <w:t> </w:t>
      </w:r>
      <w:r>
        <w:rPr>
          <w:sz w:val="26"/>
        </w:rPr>
        <w:t>agua</w:t>
      </w:r>
      <w:r>
        <w:rPr>
          <w:spacing w:val="-14"/>
          <w:sz w:val="26"/>
        </w:rPr>
        <w:t> </w:t>
      </w:r>
      <w:r>
        <w:rPr>
          <w:sz w:val="26"/>
        </w:rPr>
        <w:t>y</w:t>
      </w:r>
      <w:r>
        <w:rPr>
          <w:spacing w:val="-14"/>
          <w:sz w:val="26"/>
        </w:rPr>
        <w:t> </w:t>
      </w:r>
      <w:r>
        <w:rPr>
          <w:sz w:val="26"/>
        </w:rPr>
        <w:t>almacenamientos,</w:t>
      </w:r>
      <w:r>
        <w:rPr>
          <w:spacing w:val="-12"/>
          <w:sz w:val="26"/>
        </w:rPr>
        <w:t> </w:t>
      </w:r>
      <w:r>
        <w:rPr>
          <w:sz w:val="26"/>
        </w:rPr>
        <w:t>se</w:t>
      </w:r>
      <w:r>
        <w:rPr>
          <w:spacing w:val="-14"/>
          <w:sz w:val="26"/>
        </w:rPr>
        <w:t> </w:t>
      </w:r>
      <w:r>
        <w:rPr>
          <w:sz w:val="26"/>
        </w:rPr>
        <w:t>calcula</w:t>
      </w:r>
      <w:r>
        <w:rPr>
          <w:spacing w:val="-13"/>
          <w:sz w:val="26"/>
        </w:rPr>
        <w:t> </w:t>
      </w:r>
      <w:r>
        <w:rPr>
          <w:sz w:val="26"/>
        </w:rPr>
        <w:t>con</w:t>
      </w:r>
      <w:r>
        <w:rPr>
          <w:spacing w:val="-14"/>
          <w:sz w:val="26"/>
        </w:rPr>
        <w:t> </w:t>
      </w:r>
      <w:r>
        <w:rPr>
          <w:sz w:val="26"/>
        </w:rPr>
        <w:t>la</w:t>
      </w:r>
      <w:r>
        <w:rPr>
          <w:spacing w:val="-14"/>
          <w:sz w:val="26"/>
        </w:rPr>
        <w:t> </w:t>
      </w:r>
      <w:r>
        <w:rPr>
          <w:sz w:val="26"/>
        </w:rPr>
        <w:t>Ecuación Universal de Pérdida de Suelo Modificada, el flujo de salida de la producción de sedimentos a los almacenamientos, se calcula como el producto del volumen de salida por la concentración de sedimentos. </w:t>
      </w:r>
      <w:r>
        <w:rPr>
          <w:spacing w:val="-3"/>
          <w:sz w:val="26"/>
        </w:rPr>
        <w:t>La </w:t>
      </w:r>
      <w:r>
        <w:rPr>
          <w:sz w:val="26"/>
        </w:rPr>
        <w:t>concentración de la producción de sedimento en los almacenamientos del flujo de salida se estima usando una simple ecuación de continuidad basada en los volúmenes y concentración del flujo de entrada, flujo de salida y el almacenamiento del cuerpo de</w:t>
      </w:r>
      <w:r>
        <w:rPr>
          <w:spacing w:val="-18"/>
          <w:sz w:val="26"/>
        </w:rPr>
        <w:t> </w:t>
      </w:r>
      <w:r>
        <w:rPr>
          <w:sz w:val="26"/>
        </w:rPr>
        <w:t>agua.</w:t>
      </w:r>
    </w:p>
    <w:p>
      <w:pPr>
        <w:pStyle w:val="ListParagraph"/>
        <w:numPr>
          <w:ilvl w:val="1"/>
          <w:numId w:val="18"/>
        </w:numPr>
        <w:tabs>
          <w:tab w:pos="836" w:val="left" w:leader="none"/>
          <w:tab w:pos="837" w:val="left" w:leader="none"/>
        </w:tabs>
        <w:spacing w:line="318" w:lineRule="exact" w:before="0" w:after="0"/>
        <w:ind w:left="837" w:right="0" w:hanging="361"/>
        <w:jc w:val="left"/>
        <w:rPr>
          <w:sz w:val="26"/>
        </w:rPr>
      </w:pPr>
      <w:r>
        <w:rPr>
          <w:b/>
          <w:sz w:val="26"/>
        </w:rPr>
        <w:t>Nutrientes y pesticidas en el almacenamiento. </w:t>
      </w:r>
      <w:r>
        <w:rPr>
          <w:sz w:val="26"/>
        </w:rPr>
        <w:t>El modelo</w:t>
      </w:r>
      <w:r>
        <w:rPr>
          <w:spacing w:val="-22"/>
          <w:sz w:val="26"/>
        </w:rPr>
        <w:t> </w:t>
      </w:r>
      <w:r>
        <w:rPr>
          <w:sz w:val="26"/>
        </w:rPr>
        <w:t>asume:</w:t>
      </w:r>
    </w:p>
    <w:p>
      <w:pPr>
        <w:pStyle w:val="BodyText"/>
        <w:spacing w:before="7"/>
        <w:rPr>
          <w:sz w:val="30"/>
        </w:rPr>
      </w:pPr>
    </w:p>
    <w:p>
      <w:pPr>
        <w:pStyle w:val="ListParagraph"/>
        <w:numPr>
          <w:ilvl w:val="0"/>
          <w:numId w:val="19"/>
        </w:numPr>
        <w:tabs>
          <w:tab w:pos="385" w:val="left" w:leader="none"/>
        </w:tabs>
        <w:spacing w:line="240" w:lineRule="auto" w:before="1" w:after="0"/>
        <w:ind w:left="385" w:right="0" w:hanging="269"/>
        <w:jc w:val="both"/>
        <w:rPr>
          <w:sz w:val="26"/>
        </w:rPr>
      </w:pPr>
      <w:r>
        <w:rPr>
          <w:sz w:val="26"/>
        </w:rPr>
        <w:t>Un almacenamiento completamente</w:t>
      </w:r>
      <w:r>
        <w:rPr>
          <w:spacing w:val="-15"/>
          <w:sz w:val="26"/>
        </w:rPr>
        <w:t> </w:t>
      </w:r>
      <w:r>
        <w:rPr>
          <w:sz w:val="26"/>
        </w:rPr>
        <w:t>mezclado</w:t>
      </w:r>
    </w:p>
    <w:p>
      <w:pPr>
        <w:pStyle w:val="BodyText"/>
        <w:spacing w:before="4"/>
        <w:rPr>
          <w:sz w:val="30"/>
        </w:rPr>
      </w:pPr>
    </w:p>
    <w:p>
      <w:pPr>
        <w:pStyle w:val="ListParagraph"/>
        <w:numPr>
          <w:ilvl w:val="0"/>
          <w:numId w:val="19"/>
        </w:numPr>
        <w:tabs>
          <w:tab w:pos="400" w:val="left" w:leader="none"/>
        </w:tabs>
        <w:spacing w:line="240" w:lineRule="auto" w:before="0" w:after="0"/>
        <w:ind w:left="399" w:right="0" w:hanging="283"/>
        <w:jc w:val="both"/>
        <w:rPr>
          <w:sz w:val="26"/>
        </w:rPr>
      </w:pPr>
      <w:r>
        <w:rPr>
          <w:sz w:val="26"/>
        </w:rPr>
        <w:t>El fósforo es</w:t>
      </w:r>
      <w:r>
        <w:rPr>
          <w:spacing w:val="-7"/>
          <w:sz w:val="26"/>
        </w:rPr>
        <w:t> </w:t>
      </w:r>
      <w:r>
        <w:rPr>
          <w:sz w:val="26"/>
        </w:rPr>
        <w:t>limitado</w:t>
      </w:r>
    </w:p>
    <w:p>
      <w:pPr>
        <w:pStyle w:val="BodyText"/>
        <w:spacing w:before="4"/>
        <w:rPr>
          <w:sz w:val="30"/>
        </w:rPr>
      </w:pPr>
    </w:p>
    <w:p>
      <w:pPr>
        <w:pStyle w:val="BodyText"/>
        <w:ind w:left="116"/>
        <w:jc w:val="both"/>
      </w:pPr>
      <w:r>
        <w:rPr/>
        <w:t>e) El fósforo total puede ser medido en un estado trófico</w:t>
      </w:r>
    </w:p>
    <w:p>
      <w:pPr>
        <w:pStyle w:val="BodyText"/>
        <w:spacing w:before="8"/>
        <w:rPr>
          <w:sz w:val="30"/>
        </w:rPr>
      </w:pPr>
    </w:p>
    <w:p>
      <w:pPr>
        <w:pStyle w:val="BodyText"/>
        <w:spacing w:line="360" w:lineRule="auto" w:before="1"/>
        <w:ind w:left="116" w:right="111"/>
        <w:jc w:val="both"/>
      </w:pPr>
      <w:r>
        <w:rPr>
          <w:spacing w:val="-3"/>
        </w:rPr>
        <w:t>La </w:t>
      </w:r>
      <w:r>
        <w:rPr/>
        <w:t>ecuación de balance del fósforo incluye la concentración de fósforo en el almacenamiento, en el flujo de entrada y salida y una tasa de pérdida general. El modelo del balance de toxicidad en el almacenamiento se toma de Chapra (1989) y asume condiciones</w:t>
      </w:r>
      <w:r>
        <w:rPr>
          <w:spacing w:val="-16"/>
        </w:rPr>
        <w:t> </w:t>
      </w:r>
      <w:r>
        <w:rPr/>
        <w:t>de</w:t>
      </w:r>
      <w:r>
        <w:rPr>
          <w:spacing w:val="-16"/>
        </w:rPr>
        <w:t> </w:t>
      </w:r>
      <w:r>
        <w:rPr/>
        <w:t>mezclas</w:t>
      </w:r>
      <w:r>
        <w:rPr>
          <w:spacing w:val="-16"/>
        </w:rPr>
        <w:t> </w:t>
      </w:r>
      <w:r>
        <w:rPr/>
        <w:t>de</w:t>
      </w:r>
      <w:r>
        <w:rPr>
          <w:spacing w:val="-16"/>
        </w:rPr>
        <w:t> </w:t>
      </w:r>
      <w:r>
        <w:rPr/>
        <w:t>fósforo</w:t>
      </w:r>
      <w:r>
        <w:rPr>
          <w:spacing w:val="-16"/>
        </w:rPr>
        <w:t> </w:t>
      </w:r>
      <w:r>
        <w:rPr/>
        <w:t>sobre</w:t>
      </w:r>
      <w:r>
        <w:rPr>
          <w:spacing w:val="-16"/>
        </w:rPr>
        <w:t> </w:t>
      </w:r>
      <w:r>
        <w:rPr/>
        <w:t>una</w:t>
      </w:r>
      <w:r>
        <w:rPr>
          <w:spacing w:val="-16"/>
        </w:rPr>
        <w:t> </w:t>
      </w:r>
      <w:r>
        <w:rPr/>
        <w:t>capa</w:t>
      </w:r>
      <w:r>
        <w:rPr>
          <w:spacing w:val="-16"/>
        </w:rPr>
        <w:t> </w:t>
      </w:r>
      <w:r>
        <w:rPr/>
        <w:t>de</w:t>
      </w:r>
      <w:r>
        <w:rPr>
          <w:spacing w:val="-16"/>
        </w:rPr>
        <w:t> </w:t>
      </w:r>
      <w:r>
        <w:rPr/>
        <w:t>sedimentos.</w:t>
      </w:r>
      <w:r>
        <w:rPr>
          <w:spacing w:val="-14"/>
        </w:rPr>
        <w:t> </w:t>
      </w:r>
      <w:r>
        <w:rPr/>
        <w:t>Los</w:t>
      </w:r>
      <w:r>
        <w:rPr>
          <w:spacing w:val="-16"/>
        </w:rPr>
        <w:t> </w:t>
      </w:r>
      <w:r>
        <w:rPr/>
        <w:t>tóxicos</w:t>
      </w:r>
      <w:r>
        <w:rPr>
          <w:spacing w:val="-16"/>
        </w:rPr>
        <w:t> </w:t>
      </w:r>
      <w:r>
        <w:rPr/>
        <w:t>se</w:t>
      </w:r>
      <w:r>
        <w:rPr>
          <w:spacing w:val="-16"/>
        </w:rPr>
        <w:t> </w:t>
      </w:r>
      <w:r>
        <w:rPr/>
        <w:t>diferencian en disueltos y adsorbidos por partículas, tanto en el agua como en las capas de sedimento. Los procesos más importantes simulados por el modelo son la carga de flujo de salida, las reacciones, volatilización, asentamientos, difusión, resuspención y entierro de los pesticidas.</w:t>
      </w:r>
    </w:p>
    <w:p>
      <w:pPr>
        <w:spacing w:after="0" w:line="360" w:lineRule="auto"/>
        <w:jc w:val="both"/>
        <w:sectPr>
          <w:pgSz w:w="12240" w:h="15840"/>
          <w:pgMar w:header="0" w:footer="1473" w:top="1360" w:bottom="1660" w:left="1300" w:right="1300"/>
        </w:sectPr>
      </w:pPr>
    </w:p>
    <w:p>
      <w:pPr>
        <w:pStyle w:val="ListParagraph"/>
        <w:numPr>
          <w:ilvl w:val="3"/>
          <w:numId w:val="10"/>
        </w:numPr>
        <w:tabs>
          <w:tab w:pos="841" w:val="left" w:leader="none"/>
        </w:tabs>
        <w:spacing w:line="240" w:lineRule="auto" w:before="53" w:after="0"/>
        <w:ind w:left="840" w:right="0" w:hanging="724"/>
        <w:jc w:val="both"/>
        <w:rPr>
          <w:b/>
          <w:sz w:val="24"/>
        </w:rPr>
      </w:pPr>
      <w:bookmarkStart w:name="_bookmark40" w:id="56"/>
      <w:bookmarkEnd w:id="56"/>
      <w:r>
        <w:rPr/>
      </w:r>
      <w:bookmarkStart w:name="_bookmark40" w:id="57"/>
      <w:bookmarkEnd w:id="57"/>
      <w:r>
        <w:rPr>
          <w:b/>
          <w:sz w:val="24"/>
        </w:rPr>
        <w:t>L</w:t>
      </w:r>
      <w:r>
        <w:rPr>
          <w:b/>
          <w:sz w:val="24"/>
        </w:rPr>
        <w:t>imitantes para </w:t>
      </w:r>
      <w:r>
        <w:rPr>
          <w:b/>
          <w:spacing w:val="-3"/>
          <w:sz w:val="24"/>
        </w:rPr>
        <w:t>la </w:t>
      </w:r>
      <w:r>
        <w:rPr>
          <w:b/>
          <w:sz w:val="24"/>
        </w:rPr>
        <w:t>aplicación del modelo</w:t>
      </w:r>
      <w:r>
        <w:rPr>
          <w:b/>
          <w:spacing w:val="-7"/>
          <w:sz w:val="24"/>
        </w:rPr>
        <w:t> </w:t>
      </w:r>
      <w:r>
        <w:rPr>
          <w:b/>
          <w:sz w:val="24"/>
        </w:rPr>
        <w:t>SWAT</w:t>
      </w:r>
    </w:p>
    <w:p>
      <w:pPr>
        <w:pStyle w:val="BodyText"/>
        <w:rPr>
          <w:b/>
          <w:sz w:val="24"/>
        </w:rPr>
      </w:pPr>
    </w:p>
    <w:p>
      <w:pPr>
        <w:pStyle w:val="BodyText"/>
        <w:spacing w:before="4"/>
        <w:rPr>
          <w:b/>
        </w:rPr>
      </w:pPr>
    </w:p>
    <w:p>
      <w:pPr>
        <w:pStyle w:val="BodyText"/>
        <w:spacing w:line="360" w:lineRule="auto"/>
        <w:ind w:left="116" w:right="115"/>
        <w:jc w:val="both"/>
      </w:pPr>
      <w:r>
        <w:rPr/>
        <w:t>De acuerdo con la revisión bibliográfica realizada sobre casos de aplicación del modelo SWAT</w:t>
      </w:r>
      <w:r>
        <w:rPr>
          <w:spacing w:val="-5"/>
        </w:rPr>
        <w:t> </w:t>
      </w:r>
      <w:r>
        <w:rPr/>
        <w:t>es</w:t>
      </w:r>
      <w:r>
        <w:rPr>
          <w:spacing w:val="-5"/>
        </w:rPr>
        <w:t> </w:t>
      </w:r>
      <w:r>
        <w:rPr/>
        <w:t>importante</w:t>
      </w:r>
      <w:r>
        <w:rPr>
          <w:spacing w:val="-5"/>
        </w:rPr>
        <w:t> </w:t>
      </w:r>
      <w:r>
        <w:rPr/>
        <w:t>señalar</w:t>
      </w:r>
      <w:r>
        <w:rPr>
          <w:spacing w:val="-5"/>
        </w:rPr>
        <w:t> </w:t>
      </w:r>
      <w:r>
        <w:rPr/>
        <w:t>que</w:t>
      </w:r>
      <w:r>
        <w:rPr>
          <w:spacing w:val="-5"/>
        </w:rPr>
        <w:t> </w:t>
      </w:r>
      <w:r>
        <w:rPr/>
        <w:t>el</w:t>
      </w:r>
      <w:r>
        <w:rPr>
          <w:spacing w:val="-1"/>
        </w:rPr>
        <w:t> </w:t>
      </w:r>
      <w:r>
        <w:rPr/>
        <w:t>modelo</w:t>
      </w:r>
      <w:r>
        <w:rPr>
          <w:spacing w:val="-5"/>
        </w:rPr>
        <w:t> </w:t>
      </w:r>
      <w:r>
        <w:rPr/>
        <w:t>cuenta</w:t>
      </w:r>
      <w:r>
        <w:rPr>
          <w:spacing w:val="-5"/>
        </w:rPr>
        <w:t> </w:t>
      </w:r>
      <w:r>
        <w:rPr/>
        <w:t>con</w:t>
      </w:r>
      <w:r>
        <w:rPr>
          <w:spacing w:val="-5"/>
        </w:rPr>
        <w:t> </w:t>
      </w:r>
      <w:r>
        <w:rPr/>
        <w:t>algunas</w:t>
      </w:r>
      <w:r>
        <w:rPr>
          <w:spacing w:val="-5"/>
        </w:rPr>
        <w:t> </w:t>
      </w:r>
      <w:r>
        <w:rPr/>
        <w:t>consideraciones</w:t>
      </w:r>
      <w:r>
        <w:rPr>
          <w:spacing w:val="-5"/>
        </w:rPr>
        <w:t> </w:t>
      </w:r>
      <w:r>
        <w:rPr/>
        <w:t>que</w:t>
      </w:r>
      <w:r>
        <w:rPr>
          <w:spacing w:val="-5"/>
        </w:rPr>
        <w:t> </w:t>
      </w:r>
      <w:r>
        <w:rPr/>
        <w:t>deben tomarse</w:t>
      </w:r>
      <w:r>
        <w:rPr>
          <w:spacing w:val="-7"/>
        </w:rPr>
        <w:t> </w:t>
      </w:r>
      <w:r>
        <w:rPr/>
        <w:t>en</w:t>
      </w:r>
      <w:r>
        <w:rPr>
          <w:spacing w:val="-7"/>
        </w:rPr>
        <w:t> </w:t>
      </w:r>
      <w:r>
        <w:rPr/>
        <w:t>cuenta</w:t>
      </w:r>
      <w:r>
        <w:rPr>
          <w:spacing w:val="-7"/>
        </w:rPr>
        <w:t> </w:t>
      </w:r>
      <w:r>
        <w:rPr/>
        <w:t>antes</w:t>
      </w:r>
      <w:r>
        <w:rPr>
          <w:spacing w:val="-7"/>
        </w:rPr>
        <w:t> </w:t>
      </w:r>
      <w:r>
        <w:rPr/>
        <w:t>de</w:t>
      </w:r>
      <w:r>
        <w:rPr>
          <w:spacing w:val="-7"/>
        </w:rPr>
        <w:t> </w:t>
      </w:r>
      <w:r>
        <w:rPr/>
        <w:t>comenzar</w:t>
      </w:r>
      <w:r>
        <w:rPr>
          <w:spacing w:val="-7"/>
        </w:rPr>
        <w:t> </w:t>
      </w:r>
      <w:r>
        <w:rPr/>
        <w:t>a</w:t>
      </w:r>
      <w:r>
        <w:rPr>
          <w:spacing w:val="-7"/>
        </w:rPr>
        <w:t> </w:t>
      </w:r>
      <w:r>
        <w:rPr/>
        <w:t>utilizarlo,</w:t>
      </w:r>
      <w:r>
        <w:rPr>
          <w:spacing w:val="-5"/>
        </w:rPr>
        <w:t> </w:t>
      </w:r>
      <w:r>
        <w:rPr/>
        <w:t>principalmente</w:t>
      </w:r>
      <w:r>
        <w:rPr>
          <w:spacing w:val="-4"/>
        </w:rPr>
        <w:t> </w:t>
      </w:r>
      <w:r>
        <w:rPr/>
        <w:t>atendiendo</w:t>
      </w:r>
      <w:r>
        <w:rPr>
          <w:spacing w:val="-7"/>
        </w:rPr>
        <w:t> </w:t>
      </w:r>
      <w:r>
        <w:rPr/>
        <w:t>a</w:t>
      </w:r>
      <w:r>
        <w:rPr>
          <w:spacing w:val="-7"/>
        </w:rPr>
        <w:t> </w:t>
      </w:r>
      <w:r>
        <w:rPr/>
        <w:t>los</w:t>
      </w:r>
      <w:r>
        <w:rPr>
          <w:spacing w:val="-7"/>
        </w:rPr>
        <w:t> </w:t>
      </w:r>
      <w:r>
        <w:rPr/>
        <w:t>intereses particulares.</w:t>
      </w:r>
    </w:p>
    <w:p>
      <w:pPr>
        <w:pStyle w:val="BodyText"/>
        <w:spacing w:line="360" w:lineRule="auto" w:before="205"/>
        <w:ind w:left="116" w:right="115"/>
        <w:jc w:val="both"/>
      </w:pPr>
      <w:r>
        <w:rPr/>
        <w:t>Pese a los buenos resultados que arroja el modelo, este no realiza simulaciones por evento de lluvia. Asimismo no simula satisfactoriamente a nivel diario, su fortaleza es a nivel mensual y anual, por eso está recomendado para la toma de decisiones.</w:t>
      </w:r>
    </w:p>
    <w:p>
      <w:pPr>
        <w:pStyle w:val="BodyText"/>
        <w:spacing w:line="360" w:lineRule="auto" w:before="205"/>
        <w:ind w:left="116" w:right="113"/>
        <w:jc w:val="both"/>
      </w:pPr>
      <w:r>
        <w:rPr/>
        <w:t>Y,</w:t>
      </w:r>
      <w:r>
        <w:rPr>
          <w:spacing w:val="-9"/>
        </w:rPr>
        <w:t> </w:t>
      </w:r>
      <w:r>
        <w:rPr/>
        <w:t>quizás</w:t>
      </w:r>
      <w:r>
        <w:rPr>
          <w:spacing w:val="-11"/>
        </w:rPr>
        <w:t> </w:t>
      </w:r>
      <w:r>
        <w:rPr/>
        <w:t>uno</w:t>
      </w:r>
      <w:r>
        <w:rPr>
          <w:spacing w:val="-11"/>
        </w:rPr>
        <w:t> </w:t>
      </w:r>
      <w:r>
        <w:rPr/>
        <w:t>de</w:t>
      </w:r>
      <w:r>
        <w:rPr>
          <w:spacing w:val="-11"/>
        </w:rPr>
        <w:t> </w:t>
      </w:r>
      <w:r>
        <w:rPr/>
        <w:t>los</w:t>
      </w:r>
      <w:r>
        <w:rPr>
          <w:spacing w:val="-11"/>
        </w:rPr>
        <w:t> </w:t>
      </w:r>
      <w:r>
        <w:rPr/>
        <w:t>aspectos</w:t>
      </w:r>
      <w:r>
        <w:rPr>
          <w:spacing w:val="-6"/>
        </w:rPr>
        <w:t> </w:t>
      </w:r>
      <w:r>
        <w:rPr/>
        <w:t>más</w:t>
      </w:r>
      <w:r>
        <w:rPr>
          <w:spacing w:val="-11"/>
        </w:rPr>
        <w:t> </w:t>
      </w:r>
      <w:r>
        <w:rPr/>
        <w:t>importantes</w:t>
      </w:r>
      <w:r>
        <w:rPr>
          <w:spacing w:val="-6"/>
        </w:rPr>
        <w:t> </w:t>
      </w:r>
      <w:r>
        <w:rPr/>
        <w:t>para</w:t>
      </w:r>
      <w:r>
        <w:rPr>
          <w:spacing w:val="-11"/>
        </w:rPr>
        <w:t> </w:t>
      </w:r>
      <w:r>
        <w:rPr/>
        <w:t>considerar</w:t>
      </w:r>
      <w:r>
        <w:rPr>
          <w:spacing w:val="-11"/>
        </w:rPr>
        <w:t> </w:t>
      </w:r>
      <w:r>
        <w:rPr/>
        <w:t>utilizar</w:t>
      </w:r>
      <w:r>
        <w:rPr>
          <w:spacing w:val="-7"/>
        </w:rPr>
        <w:t> </w:t>
      </w:r>
      <w:r>
        <w:rPr/>
        <w:t>el</w:t>
      </w:r>
      <w:r>
        <w:rPr>
          <w:spacing w:val="-6"/>
        </w:rPr>
        <w:t> </w:t>
      </w:r>
      <w:r>
        <w:rPr/>
        <w:t>modelo,</w:t>
      </w:r>
      <w:r>
        <w:rPr>
          <w:spacing w:val="-9"/>
        </w:rPr>
        <w:t> </w:t>
      </w:r>
      <w:r>
        <w:rPr/>
        <w:t>es</w:t>
      </w:r>
      <w:r>
        <w:rPr>
          <w:spacing w:val="-11"/>
        </w:rPr>
        <w:t> </w:t>
      </w:r>
      <w:r>
        <w:rPr/>
        <w:t>la</w:t>
      </w:r>
      <w:r>
        <w:rPr>
          <w:spacing w:val="-6"/>
        </w:rPr>
        <w:t> </w:t>
      </w:r>
      <w:r>
        <w:rPr/>
        <w:t>gran cantidad de información requerida con un nivel de detalle muy fino para datos de suelos, usos de suelo y cobertura vegetal y sus particularidades que ha ido sufriendo a través del tiempo; para el caso de la información climatológica e hidrológica el modelo exige información por periodo de tiempo muy largos ya que puede subestimar o sobreestimar resultados.</w:t>
      </w:r>
    </w:p>
    <w:p>
      <w:pPr>
        <w:pStyle w:val="BodyText"/>
        <w:spacing w:line="360" w:lineRule="auto" w:before="205"/>
        <w:ind w:left="116" w:right="111"/>
        <w:jc w:val="both"/>
      </w:pPr>
      <w:r>
        <w:rPr/>
        <w:t>Asimismo,</w:t>
      </w:r>
      <w:r>
        <w:rPr>
          <w:spacing w:val="-15"/>
        </w:rPr>
        <w:t> </w:t>
      </w:r>
      <w:r>
        <w:rPr/>
        <w:t>si</w:t>
      </w:r>
      <w:r>
        <w:rPr>
          <w:spacing w:val="-17"/>
        </w:rPr>
        <w:t> </w:t>
      </w:r>
      <w:r>
        <w:rPr/>
        <w:t>el</w:t>
      </w:r>
      <w:r>
        <w:rPr>
          <w:spacing w:val="-17"/>
        </w:rPr>
        <w:t> </w:t>
      </w:r>
      <w:r>
        <w:rPr/>
        <w:t>objetivo</w:t>
      </w:r>
      <w:r>
        <w:rPr>
          <w:spacing w:val="-17"/>
        </w:rPr>
        <w:t> </w:t>
      </w:r>
      <w:r>
        <w:rPr/>
        <w:t>fuese</w:t>
      </w:r>
      <w:r>
        <w:rPr>
          <w:spacing w:val="-16"/>
        </w:rPr>
        <w:t> </w:t>
      </w:r>
      <w:r>
        <w:rPr/>
        <w:t>simular</w:t>
      </w:r>
      <w:r>
        <w:rPr>
          <w:spacing w:val="-17"/>
        </w:rPr>
        <w:t> </w:t>
      </w:r>
      <w:r>
        <w:rPr/>
        <w:t>producciones</w:t>
      </w:r>
      <w:r>
        <w:rPr>
          <w:spacing w:val="-17"/>
        </w:rPr>
        <w:t> </w:t>
      </w:r>
      <w:r>
        <w:rPr/>
        <w:t>agrícolas</w:t>
      </w:r>
      <w:r>
        <w:rPr>
          <w:spacing w:val="-16"/>
        </w:rPr>
        <w:t> </w:t>
      </w:r>
      <w:r>
        <w:rPr/>
        <w:t>o</w:t>
      </w:r>
      <w:r>
        <w:rPr>
          <w:spacing w:val="-17"/>
        </w:rPr>
        <w:t> </w:t>
      </w:r>
      <w:r>
        <w:rPr/>
        <w:t>procesos</w:t>
      </w:r>
      <w:r>
        <w:rPr>
          <w:spacing w:val="-16"/>
        </w:rPr>
        <w:t> </w:t>
      </w:r>
      <w:r>
        <w:rPr/>
        <w:t>de</w:t>
      </w:r>
      <w:r>
        <w:rPr>
          <w:spacing w:val="-17"/>
        </w:rPr>
        <w:t> </w:t>
      </w:r>
      <w:r>
        <w:rPr/>
        <w:t>contaminantes, se deberá contar con la información específica respecto a la actividad propia de la zona así como de los compuestos químicos</w:t>
      </w:r>
      <w:r>
        <w:rPr>
          <w:spacing w:val="-13"/>
        </w:rPr>
        <w:t> </w:t>
      </w:r>
      <w:r>
        <w:rPr/>
        <w:t>utilizados.</w:t>
      </w:r>
    </w:p>
    <w:p>
      <w:pPr>
        <w:pStyle w:val="BodyText"/>
        <w:spacing w:line="360" w:lineRule="auto" w:before="205"/>
        <w:ind w:left="116" w:right="114"/>
        <w:jc w:val="both"/>
      </w:pPr>
      <w:r>
        <w:rPr/>
        <w:t>El usuario deberá por tanto, conocer a detalles las condiciones de la zona de estudio</w:t>
      </w:r>
      <w:r>
        <w:rPr>
          <w:spacing w:val="-22"/>
        </w:rPr>
        <w:t> </w:t>
      </w:r>
      <w:r>
        <w:rPr/>
        <w:t>donde desee aplicar el modelo. </w:t>
      </w:r>
      <w:r>
        <w:rPr>
          <w:spacing w:val="-3"/>
        </w:rPr>
        <w:t>Al </w:t>
      </w:r>
      <w:r>
        <w:rPr/>
        <w:t>mismo tiempo se puede afirmar que si bien el modelo es utilizado para obtener datos en cuencas que no cuentan con estaciones de aforo, todas las consideraciones antes mencionadas ayudarán para dar certeza a los resultados que se obtengan de la simulación</w:t>
      </w:r>
      <w:r>
        <w:rPr>
          <w:spacing w:val="-10"/>
        </w:rPr>
        <w:t> </w:t>
      </w:r>
      <w:r>
        <w:rPr/>
        <w:t>realizada.</w:t>
      </w:r>
    </w:p>
    <w:p>
      <w:pPr>
        <w:spacing w:after="0" w:line="360" w:lineRule="auto"/>
        <w:jc w:val="both"/>
        <w:sectPr>
          <w:pgSz w:w="12240" w:h="15840"/>
          <w:pgMar w:header="0" w:footer="1473" w:top="1360" w:bottom="1660" w:left="1300" w:right="1300"/>
        </w:sectPr>
      </w:pPr>
    </w:p>
    <w:p>
      <w:pPr>
        <w:pStyle w:val="Heading1"/>
        <w:numPr>
          <w:ilvl w:val="0"/>
          <w:numId w:val="5"/>
        </w:numPr>
        <w:tabs>
          <w:tab w:pos="381" w:val="left" w:leader="none"/>
        </w:tabs>
        <w:spacing w:line="240" w:lineRule="auto" w:before="53" w:after="0"/>
        <w:ind w:left="380" w:right="0" w:hanging="264"/>
        <w:jc w:val="both"/>
      </w:pPr>
      <w:r>
        <w:rPr/>
        <w:t>ANTECEDENTES</w:t>
      </w:r>
    </w:p>
    <w:p>
      <w:pPr>
        <w:pStyle w:val="BodyText"/>
        <w:rPr>
          <w:b/>
        </w:rPr>
      </w:pPr>
    </w:p>
    <w:p>
      <w:pPr>
        <w:pStyle w:val="BodyText"/>
        <w:spacing w:before="1"/>
        <w:rPr>
          <w:b/>
          <w:sz w:val="21"/>
        </w:rPr>
      </w:pPr>
    </w:p>
    <w:p>
      <w:pPr>
        <w:pStyle w:val="BodyText"/>
        <w:spacing w:line="360" w:lineRule="auto"/>
        <w:ind w:left="116" w:right="118"/>
        <w:jc w:val="both"/>
      </w:pPr>
      <w:r>
        <w:rPr>
          <w:spacing w:val="-3"/>
        </w:rPr>
        <w:t>La </w:t>
      </w:r>
      <w:r>
        <w:rPr/>
        <w:t>aplicación del modelo de simulación hidrológica SWAT pretende hacer un análisis hidrológico a través de un balance hídrico para identificar las zonas que contribuyen con más</w:t>
      </w:r>
      <w:r>
        <w:rPr>
          <w:spacing w:val="-1"/>
        </w:rPr>
        <w:t> </w:t>
      </w:r>
      <w:r>
        <w:rPr/>
        <w:t>agua</w:t>
      </w:r>
      <w:r>
        <w:rPr>
          <w:spacing w:val="-1"/>
        </w:rPr>
        <w:t> </w:t>
      </w:r>
      <w:r>
        <w:rPr/>
        <w:t>al</w:t>
      </w:r>
      <w:r>
        <w:rPr>
          <w:spacing w:val="-2"/>
        </w:rPr>
        <w:t> </w:t>
      </w:r>
      <w:r>
        <w:rPr/>
        <w:t>caudal</w:t>
      </w:r>
      <w:r>
        <w:rPr>
          <w:spacing w:val="-6"/>
        </w:rPr>
        <w:t> </w:t>
      </w:r>
      <w:r>
        <w:rPr/>
        <w:t>que</w:t>
      </w:r>
      <w:r>
        <w:rPr>
          <w:spacing w:val="-1"/>
        </w:rPr>
        <w:t> </w:t>
      </w:r>
      <w:r>
        <w:rPr/>
        <w:t>llega</w:t>
      </w:r>
      <w:r>
        <w:rPr>
          <w:spacing w:val="-1"/>
        </w:rPr>
        <w:t> </w:t>
      </w:r>
      <w:r>
        <w:rPr/>
        <w:t>a</w:t>
      </w:r>
      <w:r>
        <w:rPr>
          <w:spacing w:val="-6"/>
        </w:rPr>
        <w:t> </w:t>
      </w:r>
      <w:r>
        <w:rPr/>
        <w:t>la</w:t>
      </w:r>
      <w:r>
        <w:rPr>
          <w:spacing w:val="-6"/>
        </w:rPr>
        <w:t> </w:t>
      </w:r>
      <w:r>
        <w:rPr/>
        <w:t>parte</w:t>
      </w:r>
      <w:r>
        <w:rPr>
          <w:spacing w:val="-1"/>
        </w:rPr>
        <w:t> </w:t>
      </w:r>
      <w:r>
        <w:rPr/>
        <w:t>baja</w:t>
      </w:r>
      <w:r>
        <w:rPr>
          <w:spacing w:val="-6"/>
        </w:rPr>
        <w:t> </w:t>
      </w:r>
      <w:r>
        <w:rPr/>
        <w:t>de</w:t>
      </w:r>
      <w:r>
        <w:rPr>
          <w:spacing w:val="-11"/>
        </w:rPr>
        <w:t> </w:t>
      </w:r>
      <w:r>
        <w:rPr/>
        <w:t>la</w:t>
      </w:r>
      <w:r>
        <w:rPr>
          <w:spacing w:val="-2"/>
        </w:rPr>
        <w:t> </w:t>
      </w:r>
      <w:r>
        <w:rPr/>
        <w:t>cuenca,</w:t>
      </w:r>
      <w:r>
        <w:rPr>
          <w:spacing w:val="-3"/>
        </w:rPr>
        <w:t> </w:t>
      </w:r>
      <w:r>
        <w:rPr/>
        <w:t>así</w:t>
      </w:r>
      <w:r>
        <w:rPr>
          <w:spacing w:val="-6"/>
        </w:rPr>
        <w:t> </w:t>
      </w:r>
      <w:r>
        <w:rPr/>
        <w:t>como</w:t>
      </w:r>
      <w:r>
        <w:rPr>
          <w:spacing w:val="-2"/>
        </w:rPr>
        <w:t> </w:t>
      </w:r>
      <w:r>
        <w:rPr/>
        <w:t>las</w:t>
      </w:r>
      <w:r>
        <w:rPr>
          <w:spacing w:val="-2"/>
        </w:rPr>
        <w:t> </w:t>
      </w:r>
      <w:r>
        <w:rPr/>
        <w:t>coberturas</w:t>
      </w:r>
      <w:r>
        <w:rPr>
          <w:spacing w:val="-1"/>
        </w:rPr>
        <w:t> </w:t>
      </w:r>
      <w:r>
        <w:rPr/>
        <w:t>vegetales y usos de suelo que producen escurrimientos y</w:t>
      </w:r>
      <w:r>
        <w:rPr>
          <w:spacing w:val="-13"/>
        </w:rPr>
        <w:t> </w:t>
      </w:r>
      <w:r>
        <w:rPr/>
        <w:t>sedimentos.</w:t>
      </w:r>
    </w:p>
    <w:p>
      <w:pPr>
        <w:pStyle w:val="BodyText"/>
      </w:pPr>
    </w:p>
    <w:p>
      <w:pPr>
        <w:pStyle w:val="BodyText"/>
        <w:spacing w:line="360" w:lineRule="auto" w:before="156"/>
        <w:ind w:left="116" w:right="114"/>
        <w:jc w:val="both"/>
      </w:pPr>
      <w:r>
        <w:rPr/>
        <w:t>Esto exige relacionar factores como: uso del suelo, pendiente, precipitación y el tipo del suelos,</w:t>
      </w:r>
      <w:r>
        <w:rPr>
          <w:spacing w:val="-13"/>
        </w:rPr>
        <w:t> </w:t>
      </w:r>
      <w:r>
        <w:rPr/>
        <w:t>con</w:t>
      </w:r>
      <w:r>
        <w:rPr>
          <w:spacing w:val="-16"/>
        </w:rPr>
        <w:t> </w:t>
      </w:r>
      <w:r>
        <w:rPr/>
        <w:t>la</w:t>
      </w:r>
      <w:r>
        <w:rPr>
          <w:spacing w:val="-16"/>
        </w:rPr>
        <w:t> </w:t>
      </w:r>
      <w:r>
        <w:rPr/>
        <w:t>generación</w:t>
      </w:r>
      <w:r>
        <w:rPr>
          <w:spacing w:val="-15"/>
        </w:rPr>
        <w:t> </w:t>
      </w:r>
      <w:r>
        <w:rPr/>
        <w:t>de</w:t>
      </w:r>
      <w:r>
        <w:rPr>
          <w:spacing w:val="-16"/>
        </w:rPr>
        <w:t> </w:t>
      </w:r>
      <w:r>
        <w:rPr/>
        <w:t>caudales</w:t>
      </w:r>
      <w:r>
        <w:rPr>
          <w:spacing w:val="-15"/>
        </w:rPr>
        <w:t> </w:t>
      </w:r>
      <w:r>
        <w:rPr/>
        <w:t>y</w:t>
      </w:r>
      <w:r>
        <w:rPr>
          <w:spacing w:val="-16"/>
        </w:rPr>
        <w:t> </w:t>
      </w:r>
      <w:r>
        <w:rPr/>
        <w:t>sedimentos,</w:t>
      </w:r>
      <w:r>
        <w:rPr>
          <w:spacing w:val="-13"/>
        </w:rPr>
        <w:t> </w:t>
      </w:r>
      <w:r>
        <w:rPr/>
        <w:t>elementos</w:t>
      </w:r>
      <w:r>
        <w:rPr>
          <w:spacing w:val="-16"/>
        </w:rPr>
        <w:t> </w:t>
      </w:r>
      <w:r>
        <w:rPr/>
        <w:t>fundamentales</w:t>
      </w:r>
      <w:r>
        <w:rPr>
          <w:spacing w:val="-15"/>
        </w:rPr>
        <w:t> </w:t>
      </w:r>
      <w:r>
        <w:rPr/>
        <w:t>para</w:t>
      </w:r>
      <w:r>
        <w:rPr>
          <w:spacing w:val="-15"/>
        </w:rPr>
        <w:t> </w:t>
      </w:r>
      <w:r>
        <w:rPr/>
        <w:t>priorizar áreas por su importancia actual o potencial, para producir agua y retener</w:t>
      </w:r>
      <w:r>
        <w:rPr>
          <w:spacing w:val="-14"/>
        </w:rPr>
        <w:t> </w:t>
      </w:r>
      <w:r>
        <w:rPr/>
        <w:t>sedimentos.</w:t>
      </w:r>
    </w:p>
    <w:p>
      <w:pPr>
        <w:pStyle w:val="BodyText"/>
      </w:pPr>
    </w:p>
    <w:p>
      <w:pPr>
        <w:pStyle w:val="BodyText"/>
        <w:spacing w:line="360" w:lineRule="auto" w:before="156"/>
        <w:ind w:left="116" w:right="116"/>
        <w:jc w:val="both"/>
      </w:pPr>
      <w:r>
        <w:rPr/>
        <w:t>Asimismo,</w:t>
      </w:r>
      <w:r>
        <w:rPr>
          <w:spacing w:val="-3"/>
        </w:rPr>
        <w:t> </w:t>
      </w:r>
      <w:r>
        <w:rPr/>
        <w:t>es</w:t>
      </w:r>
      <w:r>
        <w:rPr>
          <w:spacing w:val="-5"/>
        </w:rPr>
        <w:t> </w:t>
      </w:r>
      <w:r>
        <w:rPr/>
        <w:t>necesario</w:t>
      </w:r>
      <w:r>
        <w:rPr>
          <w:spacing w:val="-3"/>
        </w:rPr>
        <w:t> </w:t>
      </w:r>
      <w:r>
        <w:rPr/>
        <w:t>un</w:t>
      </w:r>
      <w:r>
        <w:rPr>
          <w:spacing w:val="-5"/>
        </w:rPr>
        <w:t> </w:t>
      </w:r>
      <w:r>
        <w:rPr/>
        <w:t>análisis</w:t>
      </w:r>
      <w:r>
        <w:rPr>
          <w:spacing w:val="-5"/>
        </w:rPr>
        <w:t> </w:t>
      </w:r>
      <w:r>
        <w:rPr/>
        <w:t>de</w:t>
      </w:r>
      <w:r>
        <w:rPr>
          <w:spacing w:val="-5"/>
        </w:rPr>
        <w:t> </w:t>
      </w:r>
      <w:r>
        <w:rPr/>
        <w:t>los</w:t>
      </w:r>
      <w:r>
        <w:rPr>
          <w:spacing w:val="-5"/>
        </w:rPr>
        <w:t> </w:t>
      </w:r>
      <w:r>
        <w:rPr/>
        <w:t>posibles</w:t>
      </w:r>
      <w:r>
        <w:rPr>
          <w:spacing w:val="-5"/>
        </w:rPr>
        <w:t> </w:t>
      </w:r>
      <w:r>
        <w:rPr/>
        <w:t>impactos</w:t>
      </w:r>
      <w:r>
        <w:rPr>
          <w:spacing w:val="-5"/>
        </w:rPr>
        <w:t> </w:t>
      </w:r>
      <w:r>
        <w:rPr/>
        <w:t>de</w:t>
      </w:r>
      <w:r>
        <w:rPr>
          <w:spacing w:val="-5"/>
        </w:rPr>
        <w:t> </w:t>
      </w:r>
      <w:r>
        <w:rPr/>
        <w:t>cambios</w:t>
      </w:r>
      <w:r>
        <w:rPr>
          <w:spacing w:val="-5"/>
        </w:rPr>
        <w:t> </w:t>
      </w:r>
      <w:r>
        <w:rPr/>
        <w:t>en</w:t>
      </w:r>
      <w:r>
        <w:rPr>
          <w:spacing w:val="-5"/>
        </w:rPr>
        <w:t> </w:t>
      </w:r>
      <w:r>
        <w:rPr/>
        <w:t>el</w:t>
      </w:r>
      <w:r>
        <w:rPr>
          <w:spacing w:val="-5"/>
        </w:rPr>
        <w:t> </w:t>
      </w:r>
      <w:r>
        <w:rPr/>
        <w:t>uso</w:t>
      </w:r>
      <w:r>
        <w:rPr>
          <w:spacing w:val="-5"/>
        </w:rPr>
        <w:t> </w:t>
      </w:r>
      <w:r>
        <w:rPr/>
        <w:t>del</w:t>
      </w:r>
      <w:r>
        <w:rPr>
          <w:spacing w:val="-5"/>
        </w:rPr>
        <w:t> </w:t>
      </w:r>
      <w:r>
        <w:rPr/>
        <w:t>suelo y coberturas vegetales a partir de una modelación hidrológica, calibrada y validada, de tal forma que cualquier cambio posterior a las variables de uso o manejo produzcan una simulación de confianza del efecto en el caudal de la</w:t>
      </w:r>
      <w:r>
        <w:rPr>
          <w:spacing w:val="-8"/>
        </w:rPr>
        <w:t> </w:t>
      </w:r>
      <w:r>
        <w:rPr/>
        <w:t>cuenca.</w:t>
      </w:r>
    </w:p>
    <w:p>
      <w:pPr>
        <w:pStyle w:val="BodyText"/>
      </w:pPr>
    </w:p>
    <w:p>
      <w:pPr>
        <w:pStyle w:val="BodyText"/>
        <w:spacing w:line="360" w:lineRule="auto" w:before="155"/>
        <w:ind w:left="116" w:right="117"/>
        <w:jc w:val="both"/>
      </w:pPr>
      <w:r>
        <w:rPr/>
        <w:t>En</w:t>
      </w:r>
      <w:r>
        <w:rPr>
          <w:spacing w:val="-16"/>
        </w:rPr>
        <w:t> </w:t>
      </w:r>
      <w:r>
        <w:rPr/>
        <w:t>este</w:t>
      </w:r>
      <w:r>
        <w:rPr>
          <w:spacing w:val="-16"/>
        </w:rPr>
        <w:t> </w:t>
      </w:r>
      <w:r>
        <w:rPr/>
        <w:t>sentido</w:t>
      </w:r>
      <w:r>
        <w:rPr>
          <w:spacing w:val="-15"/>
        </w:rPr>
        <w:t> </w:t>
      </w:r>
      <w:r>
        <w:rPr/>
        <w:t>el</w:t>
      </w:r>
      <w:r>
        <w:rPr>
          <w:spacing w:val="-20"/>
        </w:rPr>
        <w:t> </w:t>
      </w:r>
      <w:r>
        <w:rPr/>
        <w:t>presente</w:t>
      </w:r>
      <w:r>
        <w:rPr>
          <w:spacing w:val="-15"/>
        </w:rPr>
        <w:t> </w:t>
      </w:r>
      <w:r>
        <w:rPr/>
        <w:t>estudio</w:t>
      </w:r>
      <w:r>
        <w:rPr>
          <w:spacing w:val="-16"/>
        </w:rPr>
        <w:t> </w:t>
      </w:r>
      <w:r>
        <w:rPr/>
        <w:t>sobre</w:t>
      </w:r>
      <w:r>
        <w:rPr>
          <w:spacing w:val="-20"/>
        </w:rPr>
        <w:t> </w:t>
      </w:r>
      <w:r>
        <w:rPr/>
        <w:t>la</w:t>
      </w:r>
      <w:r>
        <w:rPr>
          <w:spacing w:val="-16"/>
        </w:rPr>
        <w:t> </w:t>
      </w:r>
      <w:r>
        <w:rPr/>
        <w:t>cuenca</w:t>
      </w:r>
      <w:r>
        <w:rPr>
          <w:spacing w:val="-15"/>
        </w:rPr>
        <w:t> </w:t>
      </w:r>
      <w:r>
        <w:rPr/>
        <w:t>El</w:t>
      </w:r>
      <w:r>
        <w:rPr>
          <w:spacing w:val="-16"/>
        </w:rPr>
        <w:t> </w:t>
      </w:r>
      <w:r>
        <w:rPr/>
        <w:t>Tejocote,</w:t>
      </w:r>
      <w:r>
        <w:rPr>
          <w:spacing w:val="-18"/>
        </w:rPr>
        <w:t> </w:t>
      </w:r>
      <w:r>
        <w:rPr/>
        <w:t>corresponde</w:t>
      </w:r>
      <w:r>
        <w:rPr>
          <w:spacing w:val="-15"/>
        </w:rPr>
        <w:t> </w:t>
      </w:r>
      <w:r>
        <w:rPr/>
        <w:t>a</w:t>
      </w:r>
      <w:r>
        <w:rPr>
          <w:spacing w:val="-20"/>
        </w:rPr>
        <w:t> </w:t>
      </w:r>
      <w:r>
        <w:rPr/>
        <w:t>la</w:t>
      </w:r>
      <w:r>
        <w:rPr>
          <w:spacing w:val="-16"/>
        </w:rPr>
        <w:t> </w:t>
      </w:r>
      <w:r>
        <w:rPr/>
        <w:t>modelación de</w:t>
      </w:r>
      <w:r>
        <w:rPr>
          <w:spacing w:val="-9"/>
        </w:rPr>
        <w:t> </w:t>
      </w:r>
      <w:r>
        <w:rPr/>
        <w:t>la</w:t>
      </w:r>
      <w:r>
        <w:rPr>
          <w:spacing w:val="-9"/>
        </w:rPr>
        <w:t> </w:t>
      </w:r>
      <w:r>
        <w:rPr/>
        <w:t>cuenca</w:t>
      </w:r>
      <w:r>
        <w:rPr>
          <w:spacing w:val="-8"/>
        </w:rPr>
        <w:t> </w:t>
      </w:r>
      <w:r>
        <w:rPr/>
        <w:t>bajo</w:t>
      </w:r>
      <w:r>
        <w:rPr>
          <w:spacing w:val="-9"/>
        </w:rPr>
        <w:t> </w:t>
      </w:r>
      <w:r>
        <w:rPr/>
        <w:t>las</w:t>
      </w:r>
      <w:r>
        <w:rPr>
          <w:spacing w:val="-9"/>
        </w:rPr>
        <w:t> </w:t>
      </w:r>
      <w:r>
        <w:rPr/>
        <w:t>condiciones</w:t>
      </w:r>
      <w:r>
        <w:rPr>
          <w:spacing w:val="-9"/>
        </w:rPr>
        <w:t> </w:t>
      </w:r>
      <w:r>
        <w:rPr/>
        <w:t>de</w:t>
      </w:r>
      <w:r>
        <w:rPr>
          <w:spacing w:val="-9"/>
        </w:rPr>
        <w:t> </w:t>
      </w:r>
      <w:r>
        <w:rPr/>
        <w:t>uso</w:t>
      </w:r>
      <w:r>
        <w:rPr>
          <w:spacing w:val="-9"/>
        </w:rPr>
        <w:t> </w:t>
      </w:r>
      <w:r>
        <w:rPr/>
        <w:t>de</w:t>
      </w:r>
      <w:r>
        <w:rPr>
          <w:spacing w:val="-9"/>
        </w:rPr>
        <w:t> </w:t>
      </w:r>
      <w:r>
        <w:rPr/>
        <w:t>suelo</w:t>
      </w:r>
      <w:r>
        <w:rPr>
          <w:spacing w:val="-9"/>
        </w:rPr>
        <w:t> </w:t>
      </w:r>
      <w:r>
        <w:rPr/>
        <w:t>más</w:t>
      </w:r>
      <w:r>
        <w:rPr>
          <w:spacing w:val="-9"/>
        </w:rPr>
        <w:t> </w:t>
      </w:r>
      <w:r>
        <w:rPr/>
        <w:t>recientes,</w:t>
      </w:r>
      <w:r>
        <w:rPr>
          <w:spacing w:val="-7"/>
        </w:rPr>
        <w:t> </w:t>
      </w:r>
      <w:r>
        <w:rPr/>
        <w:t>para</w:t>
      </w:r>
      <w:r>
        <w:rPr>
          <w:spacing w:val="-9"/>
        </w:rPr>
        <w:t> </w:t>
      </w:r>
      <w:r>
        <w:rPr/>
        <w:t>priorizar</w:t>
      </w:r>
      <w:r>
        <w:rPr>
          <w:spacing w:val="-8"/>
        </w:rPr>
        <w:t> </w:t>
      </w:r>
      <w:r>
        <w:rPr/>
        <w:t>las</w:t>
      </w:r>
      <w:r>
        <w:rPr>
          <w:spacing w:val="-9"/>
        </w:rPr>
        <w:t> </w:t>
      </w:r>
      <w:r>
        <w:rPr/>
        <w:t>áreas</w:t>
      </w:r>
      <w:r>
        <w:rPr>
          <w:spacing w:val="-9"/>
        </w:rPr>
        <w:t> </w:t>
      </w:r>
      <w:r>
        <w:rPr/>
        <w:t>que están contribuyendo de manera importante con la generación de escurrimientos superficiales y producción de sedimentos de las</w:t>
      </w:r>
      <w:r>
        <w:rPr>
          <w:spacing w:val="-45"/>
        </w:rPr>
        <w:t> </w:t>
      </w:r>
      <w:r>
        <w:rPr/>
        <w:t>partes bajas de la cuenca.</w:t>
      </w:r>
    </w:p>
    <w:p>
      <w:pPr>
        <w:pStyle w:val="BodyText"/>
      </w:pPr>
    </w:p>
    <w:p>
      <w:pPr>
        <w:pStyle w:val="BodyText"/>
        <w:spacing w:line="360" w:lineRule="auto" w:before="156"/>
        <w:ind w:left="116" w:right="113"/>
        <w:jc w:val="both"/>
      </w:pPr>
      <w:r>
        <w:rPr>
          <w:spacing w:val="-3"/>
        </w:rPr>
        <w:t>La</w:t>
      </w:r>
      <w:r>
        <w:rPr>
          <w:spacing w:val="-4"/>
        </w:rPr>
        <w:t> </w:t>
      </w:r>
      <w:r>
        <w:rPr/>
        <w:t>importancia</w:t>
      </w:r>
      <w:r>
        <w:rPr>
          <w:spacing w:val="-4"/>
        </w:rPr>
        <w:t> </w:t>
      </w:r>
      <w:r>
        <w:rPr/>
        <w:t>de</w:t>
      </w:r>
      <w:r>
        <w:rPr>
          <w:spacing w:val="-4"/>
        </w:rPr>
        <w:t> </w:t>
      </w:r>
      <w:r>
        <w:rPr/>
        <w:t>realizar</w:t>
      </w:r>
      <w:r>
        <w:rPr>
          <w:spacing w:val="-3"/>
        </w:rPr>
        <w:t> </w:t>
      </w:r>
      <w:r>
        <w:rPr/>
        <w:t>los</w:t>
      </w:r>
      <w:r>
        <w:rPr>
          <w:spacing w:val="-4"/>
        </w:rPr>
        <w:t> </w:t>
      </w:r>
      <w:r>
        <w:rPr/>
        <w:t>cálculos</w:t>
      </w:r>
      <w:r>
        <w:rPr>
          <w:spacing w:val="-4"/>
        </w:rPr>
        <w:t> </w:t>
      </w:r>
      <w:r>
        <w:rPr/>
        <w:t>de</w:t>
      </w:r>
      <w:r>
        <w:rPr>
          <w:spacing w:val="-4"/>
        </w:rPr>
        <w:t> </w:t>
      </w:r>
      <w:r>
        <w:rPr/>
        <w:t>la</w:t>
      </w:r>
      <w:r>
        <w:rPr>
          <w:spacing w:val="-4"/>
        </w:rPr>
        <w:t> </w:t>
      </w:r>
      <w:r>
        <w:rPr/>
        <w:t>cuenca</w:t>
      </w:r>
      <w:r>
        <w:rPr>
          <w:spacing w:val="-4"/>
        </w:rPr>
        <w:t> </w:t>
      </w:r>
      <w:r>
        <w:rPr/>
        <w:t>El</w:t>
      </w:r>
      <w:r>
        <w:rPr>
          <w:spacing w:val="-4"/>
        </w:rPr>
        <w:t> </w:t>
      </w:r>
      <w:r>
        <w:rPr/>
        <w:t>Tejocote,</w:t>
      </w:r>
      <w:r>
        <w:rPr>
          <w:spacing w:val="-2"/>
        </w:rPr>
        <w:t> </w:t>
      </w:r>
      <w:r>
        <w:rPr/>
        <w:t>se</w:t>
      </w:r>
      <w:r>
        <w:rPr>
          <w:spacing w:val="-4"/>
        </w:rPr>
        <w:t> </w:t>
      </w:r>
      <w:r>
        <w:rPr/>
        <w:t>basa</w:t>
      </w:r>
      <w:r>
        <w:rPr>
          <w:spacing w:val="-4"/>
        </w:rPr>
        <w:t> </w:t>
      </w:r>
      <w:r>
        <w:rPr/>
        <w:t>en</w:t>
      </w:r>
      <w:r>
        <w:rPr>
          <w:spacing w:val="-4"/>
        </w:rPr>
        <w:t> </w:t>
      </w:r>
      <w:r>
        <w:rPr/>
        <w:t>que</w:t>
      </w:r>
      <w:r>
        <w:rPr>
          <w:spacing w:val="-4"/>
        </w:rPr>
        <w:t> </w:t>
      </w:r>
      <w:r>
        <w:rPr/>
        <w:t>dicha</w:t>
      </w:r>
      <w:r>
        <w:rPr>
          <w:spacing w:val="-4"/>
        </w:rPr>
        <w:t> </w:t>
      </w:r>
      <w:r>
        <w:rPr/>
        <w:t>zona es de gran importancia en la producción agrícola. De seguir explotando el recurso hídrico sin control alguno, así como erosionando el suelo puede ser un factor que detenga el crecimiento económico de la población, además de provocar serios problemas de escasez de agua y afectación a los recursos naturales del</w:t>
      </w:r>
      <w:r>
        <w:rPr>
          <w:spacing w:val="-11"/>
        </w:rPr>
        <w:t> </w:t>
      </w:r>
      <w:r>
        <w:rPr/>
        <w:t>territorio.</w:t>
      </w:r>
    </w:p>
    <w:p>
      <w:pPr>
        <w:spacing w:after="0" w:line="360" w:lineRule="auto"/>
        <w:jc w:val="both"/>
        <w:sectPr>
          <w:pgSz w:w="12240" w:h="15840"/>
          <w:pgMar w:header="0" w:footer="1473" w:top="1360" w:bottom="1660" w:left="1300" w:right="1300"/>
        </w:sectPr>
      </w:pPr>
    </w:p>
    <w:p>
      <w:pPr>
        <w:pStyle w:val="Heading1"/>
        <w:numPr>
          <w:ilvl w:val="1"/>
          <w:numId w:val="5"/>
        </w:numPr>
        <w:tabs>
          <w:tab w:pos="511" w:val="left" w:leader="none"/>
        </w:tabs>
        <w:spacing w:line="240" w:lineRule="auto" w:before="53" w:after="0"/>
        <w:ind w:left="510" w:right="0" w:hanging="394"/>
        <w:jc w:val="both"/>
      </w:pPr>
      <w:bookmarkStart w:name="_bookmark41" w:id="58"/>
      <w:bookmarkEnd w:id="58"/>
      <w:r>
        <w:rPr>
          <w:b w:val="0"/>
        </w:rPr>
      </w:r>
      <w:bookmarkStart w:name="_bookmark41" w:id="59"/>
      <w:bookmarkEnd w:id="59"/>
      <w:r>
        <w:rPr/>
        <w:t>Estu</w:t>
      </w:r>
      <w:r>
        <w:rPr/>
        <w:t>dios a nivel</w:t>
      </w:r>
      <w:r>
        <w:rPr>
          <w:spacing w:val="-17"/>
        </w:rPr>
        <w:t> </w:t>
      </w:r>
      <w:r>
        <w:rPr/>
        <w:t>internacional</w:t>
      </w:r>
    </w:p>
    <w:p>
      <w:pPr>
        <w:pStyle w:val="BodyText"/>
        <w:rPr>
          <w:b/>
        </w:rPr>
      </w:pPr>
    </w:p>
    <w:p>
      <w:pPr>
        <w:pStyle w:val="BodyText"/>
        <w:spacing w:before="10"/>
        <w:rPr>
          <w:b/>
          <w:sz w:val="21"/>
        </w:rPr>
      </w:pPr>
    </w:p>
    <w:p>
      <w:pPr>
        <w:pStyle w:val="BodyText"/>
        <w:spacing w:line="360" w:lineRule="auto"/>
        <w:ind w:left="116" w:right="115"/>
        <w:jc w:val="both"/>
      </w:pPr>
      <w:r>
        <w:rPr/>
        <w:t>Con</w:t>
      </w:r>
      <w:r>
        <w:rPr>
          <w:spacing w:val="-11"/>
        </w:rPr>
        <w:t> </w:t>
      </w:r>
      <w:r>
        <w:rPr/>
        <w:t>el</w:t>
      </w:r>
      <w:r>
        <w:rPr>
          <w:spacing w:val="-11"/>
        </w:rPr>
        <w:t> </w:t>
      </w:r>
      <w:r>
        <w:rPr/>
        <w:t>fin</w:t>
      </w:r>
      <w:r>
        <w:rPr>
          <w:spacing w:val="-11"/>
        </w:rPr>
        <w:t> </w:t>
      </w:r>
      <w:r>
        <w:rPr/>
        <w:t>de</w:t>
      </w:r>
      <w:r>
        <w:rPr>
          <w:spacing w:val="-11"/>
        </w:rPr>
        <w:t> </w:t>
      </w:r>
      <w:r>
        <w:rPr/>
        <w:t>tomar</w:t>
      </w:r>
      <w:r>
        <w:rPr>
          <w:spacing w:val="-11"/>
        </w:rPr>
        <w:t> </w:t>
      </w:r>
      <w:r>
        <w:rPr/>
        <w:t>como</w:t>
      </w:r>
      <w:r>
        <w:rPr>
          <w:spacing w:val="-11"/>
        </w:rPr>
        <w:t> </w:t>
      </w:r>
      <w:r>
        <w:rPr/>
        <w:t>referencia</w:t>
      </w:r>
      <w:r>
        <w:rPr>
          <w:spacing w:val="-10"/>
        </w:rPr>
        <w:t> </w:t>
      </w:r>
      <w:r>
        <w:rPr/>
        <w:t>algunas</w:t>
      </w:r>
      <w:r>
        <w:rPr>
          <w:spacing w:val="-11"/>
        </w:rPr>
        <w:t> </w:t>
      </w:r>
      <w:r>
        <w:rPr/>
        <w:t>experiencias</w:t>
      </w:r>
      <w:r>
        <w:rPr>
          <w:spacing w:val="-11"/>
        </w:rPr>
        <w:t> </w:t>
      </w:r>
      <w:r>
        <w:rPr/>
        <w:t>descritas</w:t>
      </w:r>
      <w:r>
        <w:rPr>
          <w:spacing w:val="-10"/>
        </w:rPr>
        <w:t> </w:t>
      </w:r>
      <w:r>
        <w:rPr/>
        <w:t>en</w:t>
      </w:r>
      <w:r>
        <w:rPr>
          <w:spacing w:val="-11"/>
        </w:rPr>
        <w:t> </w:t>
      </w:r>
      <w:r>
        <w:rPr/>
        <w:t>el</w:t>
      </w:r>
      <w:r>
        <w:rPr>
          <w:spacing w:val="-11"/>
        </w:rPr>
        <w:t> </w:t>
      </w:r>
      <w:r>
        <w:rPr/>
        <w:t>estudio</w:t>
      </w:r>
      <w:r>
        <w:rPr>
          <w:spacing w:val="-11"/>
        </w:rPr>
        <w:t> </w:t>
      </w:r>
      <w:r>
        <w:rPr/>
        <w:t>de</w:t>
      </w:r>
      <w:r>
        <w:rPr>
          <w:spacing w:val="-11"/>
        </w:rPr>
        <w:t> </w:t>
      </w:r>
      <w:r>
        <w:rPr/>
        <w:t>cuencas hidrográficas, se procede a citar algunas investigaciones realizadas en varios países del mundo bajo la misma metodología de aplicación del modelo</w:t>
      </w:r>
      <w:r>
        <w:rPr>
          <w:spacing w:val="-18"/>
        </w:rPr>
        <w:t> </w:t>
      </w:r>
      <w:r>
        <w:rPr/>
        <w:t>SWAT.</w:t>
      </w:r>
    </w:p>
    <w:p>
      <w:pPr>
        <w:pStyle w:val="BodyText"/>
      </w:pPr>
    </w:p>
    <w:p>
      <w:pPr>
        <w:pStyle w:val="BodyText"/>
        <w:spacing w:line="360" w:lineRule="auto" w:before="156"/>
        <w:ind w:left="116" w:right="119"/>
        <w:jc w:val="both"/>
      </w:pPr>
      <w:r>
        <w:rPr/>
        <w:t>Oñate y Aguilar, (2003) aplicaron el modelo SWAT para la estimación de caudales y sedimentos en la cuenca alta del río Catamayo, Perú; con el objetivo de determinar la respuesta de la cuenca a la aplicación de una cobertura según el uso potencial del suelo, que permitieran disminuir la producción de sedimentos, afectando lo menos posible la disponibilidad del agua.</w:t>
      </w:r>
    </w:p>
    <w:p>
      <w:pPr>
        <w:pStyle w:val="BodyText"/>
      </w:pPr>
    </w:p>
    <w:p>
      <w:pPr>
        <w:pStyle w:val="BodyText"/>
        <w:spacing w:line="360" w:lineRule="auto" w:before="155"/>
        <w:ind w:left="116" w:right="115"/>
        <w:jc w:val="both"/>
      </w:pPr>
      <w:r>
        <w:rPr/>
        <w:t>La metodología que ellos desarrollaron incluyó la recolección de la información topográfica, de tipos de suelos y uso actual. Con la información de suelos recopilada, el SWAT definió las Unidades de Respuesta Hidrológica. Con información meteorológica se procedió a calibrar el modelo y de esta manera se pudo simular un registro histórico.</w:t>
      </w:r>
    </w:p>
    <w:p>
      <w:pPr>
        <w:pStyle w:val="BodyText"/>
        <w:spacing w:line="360" w:lineRule="auto" w:before="3"/>
        <w:ind w:left="116" w:right="118"/>
        <w:jc w:val="both"/>
      </w:pPr>
      <w:r>
        <w:rPr/>
        <w:t>Luego de la calibración, se realizó el modelamiento, utilizando la cobertura propuesta,</w:t>
      </w:r>
      <w:r>
        <w:rPr>
          <w:spacing w:val="-26"/>
        </w:rPr>
        <w:t> </w:t>
      </w:r>
      <w:r>
        <w:rPr/>
        <w:t>que se basó en el uso potencial del suelo, a fin </w:t>
      </w:r>
      <w:r>
        <w:rPr>
          <w:spacing w:val="-3"/>
        </w:rPr>
        <w:t>de </w:t>
      </w:r>
      <w:r>
        <w:rPr/>
        <w:t>obtener los hidrogramas de caudal y los volúmenes de sedimentos que ella</w:t>
      </w:r>
      <w:r>
        <w:rPr>
          <w:spacing w:val="-8"/>
        </w:rPr>
        <w:t> </w:t>
      </w:r>
      <w:r>
        <w:rPr/>
        <w:t>produciría.</w:t>
      </w:r>
    </w:p>
    <w:p>
      <w:pPr>
        <w:pStyle w:val="BodyText"/>
      </w:pPr>
    </w:p>
    <w:p>
      <w:pPr>
        <w:pStyle w:val="BodyText"/>
        <w:spacing w:line="360" w:lineRule="auto" w:before="155"/>
        <w:ind w:left="116" w:right="113"/>
        <w:jc w:val="both"/>
      </w:pPr>
      <w:r>
        <w:rPr>
          <w:spacing w:val="-3"/>
        </w:rPr>
        <w:t>Al </w:t>
      </w:r>
      <w:r>
        <w:rPr/>
        <w:t>final del estudio pudieron observar la necesidad de ampliar la red y de ser posible automatizar</w:t>
      </w:r>
      <w:r>
        <w:rPr>
          <w:spacing w:val="-13"/>
        </w:rPr>
        <w:t> </w:t>
      </w:r>
      <w:r>
        <w:rPr/>
        <w:t>la</w:t>
      </w:r>
      <w:r>
        <w:rPr>
          <w:spacing w:val="-13"/>
        </w:rPr>
        <w:t> </w:t>
      </w:r>
      <w:r>
        <w:rPr/>
        <w:t>recolección</w:t>
      </w:r>
      <w:r>
        <w:rPr>
          <w:spacing w:val="-12"/>
        </w:rPr>
        <w:t> </w:t>
      </w:r>
      <w:r>
        <w:rPr/>
        <w:t>y</w:t>
      </w:r>
      <w:r>
        <w:rPr>
          <w:spacing w:val="-18"/>
        </w:rPr>
        <w:t> </w:t>
      </w:r>
      <w:r>
        <w:rPr/>
        <w:t>transmisión</w:t>
      </w:r>
      <w:r>
        <w:rPr>
          <w:spacing w:val="-13"/>
        </w:rPr>
        <w:t> </w:t>
      </w:r>
      <w:r>
        <w:rPr/>
        <w:t>de</w:t>
      </w:r>
      <w:r>
        <w:rPr>
          <w:spacing w:val="-13"/>
        </w:rPr>
        <w:t> </w:t>
      </w:r>
      <w:r>
        <w:rPr/>
        <w:t>información</w:t>
      </w:r>
      <w:r>
        <w:rPr>
          <w:spacing w:val="-13"/>
        </w:rPr>
        <w:t> </w:t>
      </w:r>
      <w:r>
        <w:rPr/>
        <w:t>meteorológica,</w:t>
      </w:r>
      <w:r>
        <w:rPr>
          <w:spacing w:val="-12"/>
        </w:rPr>
        <w:t> </w:t>
      </w:r>
      <w:r>
        <w:rPr/>
        <w:t>además</w:t>
      </w:r>
      <w:r>
        <w:rPr>
          <w:spacing w:val="-13"/>
        </w:rPr>
        <w:t> </w:t>
      </w:r>
      <w:r>
        <w:rPr/>
        <w:t>se</w:t>
      </w:r>
      <w:r>
        <w:rPr>
          <w:spacing w:val="-13"/>
        </w:rPr>
        <w:t> </w:t>
      </w:r>
      <w:r>
        <w:rPr/>
        <w:t>requiere también realizar estudios de tipo y uso de suelo a mayor detalle, a fin de definir varias alternativas de manejo, ya que una cobertura según el uso potencial, reduce la producción de sedimentos, pero afecta notablemente la producción del agua. Y por último, continuar con la investigación en el área de modelamiento hidrológico ya que a pesar de las limitaciones es posible lograr</w:t>
      </w:r>
      <w:r>
        <w:rPr>
          <w:spacing w:val="-12"/>
        </w:rPr>
        <w:t> </w:t>
      </w:r>
      <w:r>
        <w:rPr/>
        <w:t>resultados.</w:t>
      </w:r>
    </w:p>
    <w:p>
      <w:pPr>
        <w:spacing w:after="0" w:line="360" w:lineRule="auto"/>
        <w:jc w:val="both"/>
        <w:sectPr>
          <w:pgSz w:w="12240" w:h="15840"/>
          <w:pgMar w:header="0" w:footer="1473" w:top="1360" w:bottom="1660" w:left="1300" w:right="1300"/>
        </w:sectPr>
      </w:pPr>
    </w:p>
    <w:p>
      <w:pPr>
        <w:pStyle w:val="BodyText"/>
        <w:spacing w:line="360" w:lineRule="auto" w:before="49"/>
        <w:ind w:left="116" w:right="119"/>
        <w:jc w:val="both"/>
      </w:pPr>
      <w:r>
        <w:rPr/>
        <w:t>También Bonini y otros, (2003) presentaron una herramienta de apoyo que ayudaría a determinar</w:t>
      </w:r>
      <w:r>
        <w:rPr>
          <w:spacing w:val="-10"/>
        </w:rPr>
        <w:t> </w:t>
      </w:r>
      <w:r>
        <w:rPr/>
        <w:t>caudales</w:t>
      </w:r>
      <w:r>
        <w:rPr>
          <w:spacing w:val="-9"/>
        </w:rPr>
        <w:t> </w:t>
      </w:r>
      <w:r>
        <w:rPr/>
        <w:t>y</w:t>
      </w:r>
      <w:r>
        <w:rPr>
          <w:spacing w:val="-10"/>
        </w:rPr>
        <w:t> </w:t>
      </w:r>
      <w:r>
        <w:rPr/>
        <w:t>sedimentos</w:t>
      </w:r>
      <w:r>
        <w:rPr>
          <w:spacing w:val="-10"/>
        </w:rPr>
        <w:t> </w:t>
      </w:r>
      <w:r>
        <w:rPr/>
        <w:t>en</w:t>
      </w:r>
      <w:r>
        <w:rPr>
          <w:spacing w:val="-10"/>
        </w:rPr>
        <w:t> </w:t>
      </w:r>
      <w:r>
        <w:rPr/>
        <w:t>una</w:t>
      </w:r>
      <w:r>
        <w:rPr>
          <w:spacing w:val="-10"/>
        </w:rPr>
        <w:t> </w:t>
      </w:r>
      <w:r>
        <w:rPr/>
        <w:t>cuenca</w:t>
      </w:r>
      <w:r>
        <w:rPr>
          <w:spacing w:val="-10"/>
        </w:rPr>
        <w:t> </w:t>
      </w:r>
      <w:r>
        <w:rPr/>
        <w:t>hidrográfica</w:t>
      </w:r>
      <w:r>
        <w:rPr>
          <w:spacing w:val="-9"/>
        </w:rPr>
        <w:t> </w:t>
      </w:r>
      <w:r>
        <w:rPr/>
        <w:t>de</w:t>
      </w:r>
      <w:r>
        <w:rPr>
          <w:spacing w:val="-10"/>
        </w:rPr>
        <w:t> </w:t>
      </w:r>
      <w:r>
        <w:rPr/>
        <w:t>Ecuador,</w:t>
      </w:r>
      <w:r>
        <w:rPr>
          <w:spacing w:val="-8"/>
        </w:rPr>
        <w:t> </w:t>
      </w:r>
      <w:r>
        <w:rPr/>
        <w:t>los</w:t>
      </w:r>
      <w:r>
        <w:rPr>
          <w:spacing w:val="-10"/>
        </w:rPr>
        <w:t> </w:t>
      </w:r>
      <w:r>
        <w:rPr/>
        <w:t>cuales</w:t>
      </w:r>
      <w:r>
        <w:rPr>
          <w:spacing w:val="-10"/>
        </w:rPr>
        <w:t> </w:t>
      </w:r>
      <w:r>
        <w:rPr/>
        <w:t>son</w:t>
      </w:r>
      <w:r>
        <w:rPr>
          <w:spacing w:val="-10"/>
        </w:rPr>
        <w:t> </w:t>
      </w:r>
      <w:r>
        <w:rPr/>
        <w:t>de mucha importancia en un proyecto</w:t>
      </w:r>
      <w:r>
        <w:rPr>
          <w:spacing w:val="-7"/>
        </w:rPr>
        <w:t> </w:t>
      </w:r>
      <w:r>
        <w:rPr/>
        <w:t>hidráulico.</w:t>
      </w:r>
    </w:p>
    <w:p>
      <w:pPr>
        <w:pStyle w:val="BodyText"/>
      </w:pPr>
    </w:p>
    <w:p>
      <w:pPr>
        <w:pStyle w:val="BodyText"/>
        <w:spacing w:before="155"/>
        <w:ind w:left="116"/>
        <w:jc w:val="both"/>
      </w:pPr>
      <w:r>
        <w:rPr/>
        <w:t>La metodología desarrollada conllevó:</w:t>
      </w:r>
    </w:p>
    <w:p>
      <w:pPr>
        <w:pStyle w:val="BodyText"/>
      </w:pPr>
    </w:p>
    <w:p>
      <w:pPr>
        <w:pStyle w:val="BodyText"/>
        <w:spacing w:before="1"/>
      </w:pPr>
    </w:p>
    <w:p>
      <w:pPr>
        <w:pStyle w:val="ListParagraph"/>
        <w:numPr>
          <w:ilvl w:val="0"/>
          <w:numId w:val="20"/>
        </w:numPr>
        <w:tabs>
          <w:tab w:pos="836" w:val="left" w:leader="none"/>
          <w:tab w:pos="837" w:val="left" w:leader="none"/>
        </w:tabs>
        <w:spacing w:line="240" w:lineRule="auto" w:before="0" w:after="0"/>
        <w:ind w:left="837" w:right="0" w:hanging="361"/>
        <w:jc w:val="left"/>
        <w:rPr>
          <w:sz w:val="26"/>
        </w:rPr>
      </w:pPr>
      <w:r>
        <w:rPr>
          <w:sz w:val="26"/>
        </w:rPr>
        <w:t>Recolección de la información topográfica, de tipos y uso actual de</w:t>
      </w:r>
      <w:r>
        <w:rPr>
          <w:spacing w:val="-7"/>
          <w:sz w:val="26"/>
        </w:rPr>
        <w:t> </w:t>
      </w:r>
      <w:r>
        <w:rPr>
          <w:sz w:val="26"/>
        </w:rPr>
        <w:t>suelos</w:t>
      </w:r>
    </w:p>
    <w:p>
      <w:pPr>
        <w:pStyle w:val="ListParagraph"/>
        <w:numPr>
          <w:ilvl w:val="0"/>
          <w:numId w:val="20"/>
        </w:numPr>
        <w:tabs>
          <w:tab w:pos="836" w:val="left" w:leader="none"/>
          <w:tab w:pos="837" w:val="left" w:leader="none"/>
        </w:tabs>
        <w:spacing w:line="240" w:lineRule="auto" w:before="147" w:after="0"/>
        <w:ind w:left="837" w:right="0" w:hanging="361"/>
        <w:jc w:val="left"/>
        <w:rPr>
          <w:sz w:val="26"/>
        </w:rPr>
      </w:pPr>
      <w:r>
        <w:rPr>
          <w:sz w:val="26"/>
        </w:rPr>
        <w:t>Procesamiento posterior usando el</w:t>
      </w:r>
      <w:r>
        <w:rPr>
          <w:spacing w:val="-11"/>
          <w:sz w:val="26"/>
        </w:rPr>
        <w:t> </w:t>
      </w:r>
      <w:r>
        <w:rPr>
          <w:sz w:val="26"/>
        </w:rPr>
        <w:t>SIG</w:t>
      </w:r>
    </w:p>
    <w:p>
      <w:pPr>
        <w:pStyle w:val="ListParagraph"/>
        <w:numPr>
          <w:ilvl w:val="0"/>
          <w:numId w:val="20"/>
        </w:numPr>
        <w:tabs>
          <w:tab w:pos="837" w:val="left" w:leader="none"/>
        </w:tabs>
        <w:spacing w:line="355" w:lineRule="auto" w:before="152" w:after="0"/>
        <w:ind w:left="837" w:right="114" w:hanging="361"/>
        <w:jc w:val="both"/>
        <w:rPr>
          <w:sz w:val="26"/>
        </w:rPr>
      </w:pPr>
      <w:r>
        <w:rPr>
          <w:sz w:val="26"/>
        </w:rPr>
        <w:t>Para fines de calibración se recolectó la información de caudales medios mensuales en dos estaciones hidrométricas localizadas en el interior de la cuenca, los registros databan desde enero de 1978 hasta marzo de</w:t>
      </w:r>
      <w:r>
        <w:rPr>
          <w:spacing w:val="-5"/>
          <w:sz w:val="26"/>
        </w:rPr>
        <w:t> </w:t>
      </w:r>
      <w:r>
        <w:rPr>
          <w:sz w:val="26"/>
        </w:rPr>
        <w:t>1982.</w:t>
      </w:r>
    </w:p>
    <w:p>
      <w:pPr>
        <w:pStyle w:val="ListParagraph"/>
        <w:numPr>
          <w:ilvl w:val="0"/>
          <w:numId w:val="20"/>
        </w:numPr>
        <w:tabs>
          <w:tab w:pos="837" w:val="left" w:leader="none"/>
        </w:tabs>
        <w:spacing w:line="350" w:lineRule="auto" w:before="14" w:after="0"/>
        <w:ind w:left="837" w:right="121" w:hanging="361"/>
        <w:jc w:val="both"/>
        <w:rPr>
          <w:sz w:val="26"/>
        </w:rPr>
      </w:pPr>
      <w:r>
        <w:rPr>
          <w:sz w:val="26"/>
        </w:rPr>
        <w:t>Con la información de suelos recopilada, el SWAT definió las Unidades de Respuesta</w:t>
      </w:r>
      <w:r>
        <w:rPr>
          <w:spacing w:val="-7"/>
          <w:sz w:val="26"/>
        </w:rPr>
        <w:t> </w:t>
      </w:r>
      <w:r>
        <w:rPr>
          <w:sz w:val="26"/>
        </w:rPr>
        <w:t>Hidrológica.</w:t>
      </w:r>
    </w:p>
    <w:p>
      <w:pPr>
        <w:pStyle w:val="ListParagraph"/>
        <w:numPr>
          <w:ilvl w:val="0"/>
          <w:numId w:val="20"/>
        </w:numPr>
        <w:tabs>
          <w:tab w:pos="837" w:val="left" w:leader="none"/>
        </w:tabs>
        <w:spacing w:line="357" w:lineRule="auto" w:before="20" w:after="0"/>
        <w:ind w:left="837" w:right="115" w:hanging="361"/>
        <w:jc w:val="both"/>
        <w:rPr>
          <w:sz w:val="26"/>
        </w:rPr>
      </w:pPr>
      <w:r>
        <w:rPr>
          <w:sz w:val="26"/>
        </w:rPr>
        <w:t>Con los datos de las estaciones anteriormente mencionadas, se generaron todos los datos necesarios que requiere el modelo matemático como datos de entrada y registros</w:t>
      </w:r>
      <w:r>
        <w:rPr>
          <w:spacing w:val="-11"/>
          <w:sz w:val="26"/>
        </w:rPr>
        <w:t> </w:t>
      </w:r>
      <w:r>
        <w:rPr>
          <w:sz w:val="26"/>
        </w:rPr>
        <w:t>mensuales</w:t>
      </w:r>
      <w:r>
        <w:rPr>
          <w:spacing w:val="-11"/>
          <w:sz w:val="26"/>
        </w:rPr>
        <w:t> </w:t>
      </w:r>
      <w:r>
        <w:rPr>
          <w:sz w:val="26"/>
        </w:rPr>
        <w:t>de</w:t>
      </w:r>
      <w:r>
        <w:rPr>
          <w:spacing w:val="-11"/>
          <w:sz w:val="26"/>
        </w:rPr>
        <w:t> </w:t>
      </w:r>
      <w:r>
        <w:rPr>
          <w:sz w:val="26"/>
        </w:rPr>
        <w:t>caudales</w:t>
      </w:r>
      <w:r>
        <w:rPr>
          <w:spacing w:val="-10"/>
          <w:sz w:val="26"/>
        </w:rPr>
        <w:t> </w:t>
      </w:r>
      <w:r>
        <w:rPr>
          <w:sz w:val="26"/>
        </w:rPr>
        <w:t>que</w:t>
      </w:r>
      <w:r>
        <w:rPr>
          <w:spacing w:val="-11"/>
          <w:sz w:val="26"/>
        </w:rPr>
        <w:t> </w:t>
      </w:r>
      <w:r>
        <w:rPr>
          <w:sz w:val="26"/>
        </w:rPr>
        <w:t>deben</w:t>
      </w:r>
      <w:r>
        <w:rPr>
          <w:spacing w:val="-11"/>
          <w:sz w:val="26"/>
        </w:rPr>
        <w:t> </w:t>
      </w:r>
      <w:r>
        <w:rPr>
          <w:sz w:val="26"/>
        </w:rPr>
        <w:t>ser</w:t>
      </w:r>
      <w:r>
        <w:rPr>
          <w:spacing w:val="-20"/>
          <w:sz w:val="26"/>
        </w:rPr>
        <w:t> </w:t>
      </w:r>
      <w:r>
        <w:rPr>
          <w:sz w:val="26"/>
        </w:rPr>
        <w:t>comparados</w:t>
      </w:r>
      <w:r>
        <w:rPr>
          <w:spacing w:val="-11"/>
          <w:sz w:val="26"/>
        </w:rPr>
        <w:t> </w:t>
      </w:r>
      <w:r>
        <w:rPr>
          <w:sz w:val="26"/>
        </w:rPr>
        <w:t>con</w:t>
      </w:r>
      <w:r>
        <w:rPr>
          <w:spacing w:val="-11"/>
          <w:sz w:val="26"/>
        </w:rPr>
        <w:t> </w:t>
      </w:r>
      <w:r>
        <w:rPr>
          <w:sz w:val="26"/>
        </w:rPr>
        <w:t>los</w:t>
      </w:r>
      <w:r>
        <w:rPr>
          <w:spacing w:val="-11"/>
          <w:sz w:val="26"/>
        </w:rPr>
        <w:t> </w:t>
      </w:r>
      <w:r>
        <w:rPr>
          <w:sz w:val="26"/>
        </w:rPr>
        <w:t>valores</w:t>
      </w:r>
      <w:r>
        <w:rPr>
          <w:spacing w:val="-11"/>
          <w:sz w:val="26"/>
        </w:rPr>
        <w:t> </w:t>
      </w:r>
      <w:r>
        <w:rPr>
          <w:sz w:val="26"/>
        </w:rPr>
        <w:t>reales</w:t>
      </w:r>
      <w:r>
        <w:rPr>
          <w:spacing w:val="-10"/>
          <w:sz w:val="26"/>
        </w:rPr>
        <w:t> </w:t>
      </w:r>
      <w:r>
        <w:rPr>
          <w:sz w:val="26"/>
        </w:rPr>
        <w:t>del caudal medidos en la estación de aforo. Las diferencias entre lo simulado y lo observado sirven para proceder a calibrar el modelo y de esta manera poder</w:t>
      </w:r>
      <w:r>
        <w:rPr>
          <w:spacing w:val="-25"/>
          <w:sz w:val="26"/>
        </w:rPr>
        <w:t> </w:t>
      </w:r>
      <w:r>
        <w:rPr>
          <w:sz w:val="26"/>
        </w:rPr>
        <w:t>simular un registro</w:t>
      </w:r>
      <w:r>
        <w:rPr>
          <w:spacing w:val="-10"/>
          <w:sz w:val="26"/>
        </w:rPr>
        <w:t> </w:t>
      </w:r>
      <w:r>
        <w:rPr>
          <w:sz w:val="26"/>
        </w:rPr>
        <w:t>histórico.</w:t>
      </w:r>
    </w:p>
    <w:p>
      <w:pPr>
        <w:pStyle w:val="BodyText"/>
      </w:pPr>
    </w:p>
    <w:p>
      <w:pPr>
        <w:pStyle w:val="BodyText"/>
        <w:spacing w:line="360" w:lineRule="auto" w:before="153"/>
        <w:ind w:left="116" w:right="119"/>
        <w:jc w:val="both"/>
      </w:pPr>
      <w:r>
        <w:rPr/>
        <w:t>Los autores concluyeron que, a pesar de la carencia de información, el modelo SWAT reproduce</w:t>
      </w:r>
      <w:r>
        <w:rPr>
          <w:spacing w:val="-5"/>
        </w:rPr>
        <w:t> </w:t>
      </w:r>
      <w:r>
        <w:rPr/>
        <w:t>de</w:t>
      </w:r>
      <w:r>
        <w:rPr>
          <w:spacing w:val="-5"/>
        </w:rPr>
        <w:t> </w:t>
      </w:r>
      <w:r>
        <w:rPr/>
        <w:t>una</w:t>
      </w:r>
      <w:r>
        <w:rPr>
          <w:spacing w:val="-5"/>
        </w:rPr>
        <w:t> </w:t>
      </w:r>
      <w:r>
        <w:rPr/>
        <w:t>buena</w:t>
      </w:r>
      <w:r>
        <w:rPr>
          <w:spacing w:val="-2"/>
        </w:rPr>
        <w:t> </w:t>
      </w:r>
      <w:r>
        <w:rPr/>
        <w:t>manera</w:t>
      </w:r>
      <w:r>
        <w:rPr>
          <w:spacing w:val="-5"/>
        </w:rPr>
        <w:t> </w:t>
      </w:r>
      <w:r>
        <w:rPr/>
        <w:t>los</w:t>
      </w:r>
      <w:r>
        <w:rPr>
          <w:spacing w:val="-5"/>
        </w:rPr>
        <w:t> </w:t>
      </w:r>
      <w:r>
        <w:rPr/>
        <w:t>registros</w:t>
      </w:r>
      <w:r>
        <w:rPr>
          <w:spacing w:val="-6"/>
        </w:rPr>
        <w:t> </w:t>
      </w:r>
      <w:r>
        <w:rPr/>
        <w:t>históricos</w:t>
      </w:r>
      <w:r>
        <w:rPr>
          <w:spacing w:val="-5"/>
        </w:rPr>
        <w:t> </w:t>
      </w:r>
      <w:r>
        <w:rPr/>
        <w:t>tanto</w:t>
      </w:r>
      <w:r>
        <w:rPr>
          <w:spacing w:val="-5"/>
        </w:rPr>
        <w:t> </w:t>
      </w:r>
      <w:r>
        <w:rPr/>
        <w:t>de</w:t>
      </w:r>
      <w:r>
        <w:rPr>
          <w:spacing w:val="-5"/>
        </w:rPr>
        <w:t> </w:t>
      </w:r>
      <w:r>
        <w:rPr/>
        <w:t>precipitaciones</w:t>
      </w:r>
      <w:r>
        <w:rPr>
          <w:spacing w:val="-5"/>
        </w:rPr>
        <w:t> </w:t>
      </w:r>
      <w:r>
        <w:rPr/>
        <w:t>como</w:t>
      </w:r>
      <w:r>
        <w:rPr>
          <w:spacing w:val="-5"/>
        </w:rPr>
        <w:t> </w:t>
      </w:r>
      <w:r>
        <w:rPr/>
        <w:t>la</w:t>
      </w:r>
      <w:r>
        <w:rPr>
          <w:spacing w:val="-5"/>
        </w:rPr>
        <w:t> </w:t>
      </w:r>
      <w:r>
        <w:rPr/>
        <w:t>de los</w:t>
      </w:r>
      <w:r>
        <w:rPr>
          <w:spacing w:val="-2"/>
        </w:rPr>
        <w:t> </w:t>
      </w:r>
      <w:r>
        <w:rPr/>
        <w:t>caudales.</w:t>
      </w:r>
    </w:p>
    <w:p>
      <w:pPr>
        <w:pStyle w:val="BodyText"/>
      </w:pPr>
    </w:p>
    <w:p>
      <w:pPr>
        <w:pStyle w:val="BodyText"/>
        <w:spacing w:line="360" w:lineRule="auto" w:before="156"/>
        <w:ind w:left="116" w:right="112"/>
        <w:jc w:val="both"/>
      </w:pPr>
      <w:r>
        <w:rPr/>
        <w:t>Otro referente al tema, es el trabajo de investigación Aplicación del Modelo SWAT en la subcuena del río Ambato, Ecuador (Proaño y otros, 2006); cuyo objetivo fue emplear el modelo de simulación hídrica SWAT en la subcuenca del río Ambato, para analizar los</w:t>
      </w:r>
    </w:p>
    <w:p>
      <w:pPr>
        <w:spacing w:after="0" w:line="360" w:lineRule="auto"/>
        <w:jc w:val="both"/>
        <w:sectPr>
          <w:pgSz w:w="12240" w:h="15840"/>
          <w:pgMar w:header="0" w:footer="1473" w:top="1360" w:bottom="1660" w:left="1300" w:right="1300"/>
        </w:sectPr>
      </w:pPr>
    </w:p>
    <w:p>
      <w:pPr>
        <w:pStyle w:val="BodyText"/>
        <w:spacing w:line="362" w:lineRule="auto" w:before="49"/>
        <w:ind w:left="116" w:right="122"/>
        <w:jc w:val="both"/>
      </w:pPr>
      <w:r>
        <w:rPr/>
        <w:t>efectos de las diversas prácticas de uso de suelo sobre la generación de caudales y producción de sedimentos.</w:t>
      </w:r>
    </w:p>
    <w:p>
      <w:pPr>
        <w:pStyle w:val="BodyText"/>
      </w:pPr>
    </w:p>
    <w:p>
      <w:pPr>
        <w:pStyle w:val="BodyText"/>
        <w:spacing w:line="360" w:lineRule="auto" w:before="153"/>
        <w:ind w:left="116" w:right="113"/>
        <w:jc w:val="both"/>
      </w:pPr>
      <w:r>
        <w:rPr>
          <w:spacing w:val="-3"/>
        </w:rPr>
        <w:t>La</w:t>
      </w:r>
      <w:r>
        <w:rPr>
          <w:spacing w:val="-15"/>
        </w:rPr>
        <w:t> </w:t>
      </w:r>
      <w:r>
        <w:rPr/>
        <w:t>información</w:t>
      </w:r>
      <w:r>
        <w:rPr>
          <w:spacing w:val="-10"/>
        </w:rPr>
        <w:t> </w:t>
      </w:r>
      <w:r>
        <w:rPr/>
        <w:t>mínima</w:t>
      </w:r>
      <w:r>
        <w:rPr>
          <w:spacing w:val="-15"/>
        </w:rPr>
        <w:t> </w:t>
      </w:r>
      <w:r>
        <w:rPr/>
        <w:t>que</w:t>
      </w:r>
      <w:r>
        <w:rPr>
          <w:spacing w:val="-15"/>
        </w:rPr>
        <w:t> </w:t>
      </w:r>
      <w:r>
        <w:rPr/>
        <w:t>se</w:t>
      </w:r>
      <w:r>
        <w:rPr>
          <w:spacing w:val="-15"/>
        </w:rPr>
        <w:t> </w:t>
      </w:r>
      <w:r>
        <w:rPr/>
        <w:t>utilizó</w:t>
      </w:r>
      <w:r>
        <w:rPr>
          <w:spacing w:val="-15"/>
        </w:rPr>
        <w:t> </w:t>
      </w:r>
      <w:r>
        <w:rPr/>
        <w:t>fue</w:t>
      </w:r>
      <w:r>
        <w:rPr>
          <w:spacing w:val="-15"/>
        </w:rPr>
        <w:t> </w:t>
      </w:r>
      <w:r>
        <w:rPr/>
        <w:t>para</w:t>
      </w:r>
      <w:r>
        <w:rPr>
          <w:spacing w:val="-14"/>
        </w:rPr>
        <w:t> </w:t>
      </w:r>
      <w:r>
        <w:rPr/>
        <w:t>elaborar</w:t>
      </w:r>
      <w:r>
        <w:rPr>
          <w:spacing w:val="-14"/>
        </w:rPr>
        <w:t> </w:t>
      </w:r>
      <w:r>
        <w:rPr/>
        <w:t>el</w:t>
      </w:r>
      <w:r>
        <w:rPr>
          <w:spacing w:val="-15"/>
        </w:rPr>
        <w:t> </w:t>
      </w:r>
      <w:r>
        <w:rPr/>
        <w:t>proyecto</w:t>
      </w:r>
      <w:r>
        <w:rPr>
          <w:spacing w:val="-14"/>
        </w:rPr>
        <w:t> </w:t>
      </w:r>
      <w:r>
        <w:rPr/>
        <w:t>fue</w:t>
      </w:r>
      <w:r>
        <w:rPr>
          <w:spacing w:val="-15"/>
        </w:rPr>
        <w:t> </w:t>
      </w:r>
      <w:r>
        <w:rPr/>
        <w:t>la</w:t>
      </w:r>
      <w:r>
        <w:rPr>
          <w:spacing w:val="-15"/>
        </w:rPr>
        <w:t> </w:t>
      </w:r>
      <w:r>
        <w:rPr/>
        <w:t>topografía</w:t>
      </w:r>
      <w:r>
        <w:rPr>
          <w:spacing w:val="-14"/>
        </w:rPr>
        <w:t> </w:t>
      </w:r>
      <w:r>
        <w:rPr/>
        <w:t>(curvas de nivel, ríos, entre otros), suelo, uso del suelo y cobertura vegetal e información</w:t>
      </w:r>
      <w:r>
        <w:rPr>
          <w:spacing w:val="-36"/>
        </w:rPr>
        <w:t> </w:t>
      </w:r>
      <w:r>
        <w:rPr/>
        <w:t>climática diaria en un periodo mínimo de 10 años, principalmente temperatura mínima, máxima y precipitación. Teniendo como resultado que la modelación hidrológica puede convertirse en una herramienta para los tomadores de decisiones sobre el manejo y planificación de cuencas.</w:t>
      </w:r>
    </w:p>
    <w:p>
      <w:pPr>
        <w:pStyle w:val="BodyText"/>
      </w:pPr>
    </w:p>
    <w:p>
      <w:pPr>
        <w:pStyle w:val="BodyText"/>
        <w:spacing w:line="360" w:lineRule="auto" w:before="156"/>
        <w:ind w:left="116" w:right="114"/>
        <w:jc w:val="both"/>
      </w:pPr>
      <w:r>
        <w:rPr/>
        <w:t>Oestreicher,</w:t>
      </w:r>
      <w:r>
        <w:rPr>
          <w:spacing w:val="-10"/>
        </w:rPr>
        <w:t> </w:t>
      </w:r>
      <w:r>
        <w:rPr/>
        <w:t>(2010)</w:t>
      </w:r>
      <w:r>
        <w:rPr>
          <w:spacing w:val="-12"/>
        </w:rPr>
        <w:t> </w:t>
      </w:r>
      <w:r>
        <w:rPr/>
        <w:t>elaboró</w:t>
      </w:r>
      <w:r>
        <w:rPr>
          <w:spacing w:val="-12"/>
        </w:rPr>
        <w:t> </w:t>
      </w:r>
      <w:r>
        <w:rPr/>
        <w:t>un</w:t>
      </w:r>
      <w:r>
        <w:rPr>
          <w:spacing w:val="-12"/>
        </w:rPr>
        <w:t> </w:t>
      </w:r>
      <w:r>
        <w:rPr/>
        <w:t>estudio</w:t>
      </w:r>
      <w:r>
        <w:rPr>
          <w:spacing w:val="-16"/>
        </w:rPr>
        <w:t> </w:t>
      </w:r>
      <w:r>
        <w:rPr/>
        <w:t>denominado</w:t>
      </w:r>
      <w:r>
        <w:rPr>
          <w:spacing w:val="-12"/>
        </w:rPr>
        <w:t> </w:t>
      </w:r>
      <w:r>
        <w:rPr/>
        <w:t>Prospectivas</w:t>
      </w:r>
      <w:r>
        <w:rPr>
          <w:spacing w:val="-12"/>
        </w:rPr>
        <w:t> </w:t>
      </w:r>
      <w:r>
        <w:rPr/>
        <w:t>y</w:t>
      </w:r>
      <w:r>
        <w:rPr>
          <w:spacing w:val="-12"/>
        </w:rPr>
        <w:t> </w:t>
      </w:r>
      <w:r>
        <w:rPr/>
        <w:t>aplicaciones</w:t>
      </w:r>
      <w:r>
        <w:rPr>
          <w:spacing w:val="-13"/>
        </w:rPr>
        <w:t> </w:t>
      </w:r>
      <w:r>
        <w:rPr/>
        <w:t>del</w:t>
      </w:r>
      <w:r>
        <w:rPr>
          <w:spacing w:val="-12"/>
        </w:rPr>
        <w:t> </w:t>
      </w:r>
      <w:r>
        <w:rPr/>
        <w:t>modelo hidrológico SWAT en la cuenca del Canal de Panamá. Con el procesamiento de información topográfica, de suelo, cobertura vegetal y uso de suelo y datos climáticos, el autor obtuvo que el modelo genera muchas posibilidades y prospectivas; predicciones con diferentes escenarios; brinda apoyo para la toma de decisiones y es una herramienta con múltiples</w:t>
      </w:r>
      <w:r>
        <w:rPr>
          <w:spacing w:val="-6"/>
        </w:rPr>
        <w:t> </w:t>
      </w:r>
      <w:r>
        <w:rPr/>
        <w:t>aplicaciones.</w:t>
      </w:r>
    </w:p>
    <w:p>
      <w:pPr>
        <w:pStyle w:val="BodyText"/>
      </w:pPr>
    </w:p>
    <w:p>
      <w:pPr>
        <w:pStyle w:val="BodyText"/>
        <w:spacing w:line="360" w:lineRule="auto" w:before="156"/>
        <w:ind w:left="116" w:right="110"/>
        <w:jc w:val="both"/>
      </w:pPr>
      <w:r>
        <w:rPr/>
        <w:t>Durante</w:t>
      </w:r>
      <w:r>
        <w:rPr>
          <w:spacing w:val="-17"/>
        </w:rPr>
        <w:t> </w:t>
      </w:r>
      <w:r>
        <w:rPr/>
        <w:t>el</w:t>
      </w:r>
      <w:r>
        <w:rPr>
          <w:spacing w:val="-17"/>
        </w:rPr>
        <w:t> </w:t>
      </w:r>
      <w:r>
        <w:rPr/>
        <w:t>mismo</w:t>
      </w:r>
      <w:r>
        <w:rPr>
          <w:spacing w:val="-17"/>
        </w:rPr>
        <w:t> </w:t>
      </w:r>
      <w:r>
        <w:rPr/>
        <w:t>año</w:t>
      </w:r>
      <w:r>
        <w:rPr>
          <w:spacing w:val="-17"/>
        </w:rPr>
        <w:t> </w:t>
      </w:r>
      <w:r>
        <w:rPr/>
        <w:t>2010,</w:t>
      </w:r>
      <w:r>
        <w:rPr>
          <w:spacing w:val="-19"/>
        </w:rPr>
        <w:t> </w:t>
      </w:r>
      <w:r>
        <w:rPr/>
        <w:t>Aparecida</w:t>
      </w:r>
      <w:r>
        <w:rPr>
          <w:spacing w:val="-16"/>
        </w:rPr>
        <w:t> </w:t>
      </w:r>
      <w:r>
        <w:rPr/>
        <w:t>y</w:t>
      </w:r>
      <w:r>
        <w:rPr>
          <w:spacing w:val="-17"/>
        </w:rPr>
        <w:t> </w:t>
      </w:r>
      <w:r>
        <w:rPr/>
        <w:t>Calijuri,</w:t>
      </w:r>
      <w:r>
        <w:rPr>
          <w:spacing w:val="-15"/>
        </w:rPr>
        <w:t> </w:t>
      </w:r>
      <w:r>
        <w:rPr/>
        <w:t>(2010)</w:t>
      </w:r>
      <w:r>
        <w:rPr>
          <w:spacing w:val="-17"/>
        </w:rPr>
        <w:t> </w:t>
      </w:r>
      <w:r>
        <w:rPr/>
        <w:t>realizaron</w:t>
      </w:r>
      <w:r>
        <w:rPr>
          <w:spacing w:val="-20"/>
        </w:rPr>
        <w:t> </w:t>
      </w:r>
      <w:r>
        <w:rPr/>
        <w:t>un</w:t>
      </w:r>
      <w:r>
        <w:rPr>
          <w:spacing w:val="-17"/>
        </w:rPr>
        <w:t> </w:t>
      </w:r>
      <w:r>
        <w:rPr/>
        <w:t>modelaje</w:t>
      </w:r>
      <w:r>
        <w:rPr>
          <w:spacing w:val="-17"/>
        </w:rPr>
        <w:t> </w:t>
      </w:r>
      <w:r>
        <w:rPr/>
        <w:t>de</w:t>
      </w:r>
      <w:r>
        <w:rPr>
          <w:spacing w:val="-17"/>
        </w:rPr>
        <w:t> </w:t>
      </w:r>
      <w:r>
        <w:rPr/>
        <w:t>cuencas hidrográficas en el sureste de Brasil utilizando SWAT, bajo la postura de que el uso inadecuado de la tierra agrícola está causando una pérdida gradual de la capacidad de producción y la contaminación del agua por sedimentos y contaminantes que los difusa, resultante del proceso de erosión a la que estos suelos están sujetos. </w:t>
      </w:r>
      <w:r>
        <w:rPr>
          <w:spacing w:val="-3"/>
        </w:rPr>
        <w:t>La </w:t>
      </w:r>
      <w:r>
        <w:rPr/>
        <w:t>acción humana mediante el uso de prácticas que destruyen las condiciones de equilibrio natural, acelera estos procesos en una forma intensa, con lo que, se provocan daños en el sector agrícola y el medio ambiente con consecuencias económicas y sociales (Tucci, 1998 y Amorim, 2000).</w:t>
      </w:r>
    </w:p>
    <w:p>
      <w:pPr>
        <w:spacing w:after="0" w:line="360" w:lineRule="auto"/>
        <w:jc w:val="both"/>
        <w:sectPr>
          <w:pgSz w:w="12240" w:h="15840"/>
          <w:pgMar w:header="0" w:footer="1473" w:top="1360" w:bottom="1660" w:left="1300" w:right="1300"/>
        </w:sectPr>
      </w:pPr>
    </w:p>
    <w:p>
      <w:pPr>
        <w:pStyle w:val="BodyText"/>
        <w:spacing w:line="360" w:lineRule="auto" w:before="49"/>
        <w:ind w:left="116" w:right="117"/>
        <w:jc w:val="both"/>
      </w:pPr>
      <w:r>
        <w:rPr/>
        <w:t>Dichos autores, afirmaron que el uso de los modelos matemáticos para estimar la pérdida de suelo por la erosión, han tenido eficacia tanto en la planificación de la conservación (Preventivo) y en la evaluación y el control de la erosión de las cuencas hidrográficas (Christofoletti, 1999 y Machado, 2002).</w:t>
      </w:r>
    </w:p>
    <w:p>
      <w:pPr>
        <w:pStyle w:val="BodyText"/>
      </w:pPr>
    </w:p>
    <w:p>
      <w:pPr>
        <w:pStyle w:val="BodyText"/>
        <w:spacing w:line="360" w:lineRule="auto" w:before="155"/>
        <w:ind w:left="116" w:right="115"/>
        <w:jc w:val="both"/>
      </w:pPr>
      <w:r>
        <w:rPr/>
        <w:t>Asimismo Uribe y Quintero, (2011) realizaron una investigación titulada aplicación del Modelo Hidrológico SWAT a la cuenca del río Cañete, Colombia; con el objetivo de cuantificar</w:t>
      </w:r>
      <w:r>
        <w:rPr>
          <w:spacing w:val="-10"/>
        </w:rPr>
        <w:t> </w:t>
      </w:r>
      <w:r>
        <w:rPr/>
        <w:t>todas</w:t>
      </w:r>
      <w:r>
        <w:rPr>
          <w:spacing w:val="-10"/>
        </w:rPr>
        <w:t> </w:t>
      </w:r>
      <w:r>
        <w:rPr/>
        <w:t>las</w:t>
      </w:r>
      <w:r>
        <w:rPr>
          <w:spacing w:val="-5"/>
        </w:rPr>
        <w:t> </w:t>
      </w:r>
      <w:r>
        <w:rPr/>
        <w:t>variables</w:t>
      </w:r>
      <w:r>
        <w:rPr>
          <w:spacing w:val="-11"/>
        </w:rPr>
        <w:t> </w:t>
      </w:r>
      <w:r>
        <w:rPr/>
        <w:t>del</w:t>
      </w:r>
      <w:r>
        <w:rPr>
          <w:spacing w:val="-10"/>
        </w:rPr>
        <w:t> </w:t>
      </w:r>
      <w:r>
        <w:rPr/>
        <w:t>balance</w:t>
      </w:r>
      <w:r>
        <w:rPr>
          <w:spacing w:val="-10"/>
        </w:rPr>
        <w:t> </w:t>
      </w:r>
      <w:r>
        <w:rPr/>
        <w:t>hídrico</w:t>
      </w:r>
      <w:r>
        <w:rPr>
          <w:spacing w:val="-10"/>
        </w:rPr>
        <w:t> </w:t>
      </w:r>
      <w:r>
        <w:rPr/>
        <w:t>del</w:t>
      </w:r>
      <w:r>
        <w:rPr>
          <w:spacing w:val="-10"/>
        </w:rPr>
        <w:t> </w:t>
      </w:r>
      <w:r>
        <w:rPr/>
        <w:t>flujo</w:t>
      </w:r>
      <w:r>
        <w:rPr>
          <w:spacing w:val="-10"/>
        </w:rPr>
        <w:t> </w:t>
      </w:r>
      <w:r>
        <w:rPr/>
        <w:t>del</w:t>
      </w:r>
      <w:r>
        <w:rPr>
          <w:spacing w:val="-10"/>
        </w:rPr>
        <w:t> </w:t>
      </w:r>
      <w:r>
        <w:rPr/>
        <w:t>agua</w:t>
      </w:r>
      <w:r>
        <w:rPr>
          <w:spacing w:val="-10"/>
        </w:rPr>
        <w:t> </w:t>
      </w:r>
      <w:r>
        <w:rPr/>
        <w:t>en</w:t>
      </w:r>
      <w:r>
        <w:rPr>
          <w:spacing w:val="-10"/>
        </w:rPr>
        <w:t> </w:t>
      </w:r>
      <w:r>
        <w:rPr/>
        <w:t>el</w:t>
      </w:r>
      <w:r>
        <w:rPr>
          <w:spacing w:val="-10"/>
        </w:rPr>
        <w:t> </w:t>
      </w:r>
      <w:r>
        <w:rPr/>
        <w:t>suelo</w:t>
      </w:r>
      <w:r>
        <w:rPr>
          <w:spacing w:val="-10"/>
        </w:rPr>
        <w:t> </w:t>
      </w:r>
      <w:r>
        <w:rPr/>
        <w:t>(Producción de agua, agua en el suelo y recarga de acuífero profundo) y agua en la vegetación (Evapotranspiración potencial y actual) para un periodo diario de 19 años</w:t>
      </w:r>
      <w:r>
        <w:rPr>
          <w:spacing w:val="-3"/>
        </w:rPr>
        <w:t> </w:t>
      </w:r>
      <w:r>
        <w:rPr/>
        <w:t>(1991-2009).</w:t>
      </w:r>
    </w:p>
    <w:p>
      <w:pPr>
        <w:pStyle w:val="BodyText"/>
      </w:pPr>
    </w:p>
    <w:p>
      <w:pPr>
        <w:pStyle w:val="BodyText"/>
        <w:spacing w:line="360" w:lineRule="auto" w:before="156"/>
        <w:ind w:left="116" w:right="115"/>
        <w:jc w:val="both"/>
      </w:pPr>
      <w:r>
        <w:rPr/>
        <w:t>El modelo fue calibrado y validado comparando con datos existente de caudal, ésta metodología básicamente consistió en: a) Calibración del modelo, para lograr un ajuste satisfactorio entre los datos medidos y los simulados, mediante un análisis de sensibilidad en los parámetros del modelo, con un periodo de calibración de 8 años de observación (1993-2000), b) Validación del modelo, para evaluar la capacidad predictiva mediante la comparación de los datos medidos y simulados para un periodo de 9 años de observación (2001-2009).</w:t>
      </w:r>
    </w:p>
    <w:p>
      <w:pPr>
        <w:pStyle w:val="BodyText"/>
      </w:pPr>
    </w:p>
    <w:p>
      <w:pPr>
        <w:pStyle w:val="BodyText"/>
        <w:spacing w:line="360" w:lineRule="auto" w:before="155"/>
        <w:ind w:left="116" w:right="113"/>
        <w:jc w:val="both"/>
      </w:pPr>
      <w:r>
        <w:rPr/>
        <w:t>Al finalizar su estudio, concluyeron que el modelo SWAT es una herramienta valiosa para la simulación del impacto del manejo del suelo y la vegetación en la producción de agua y sedimentos en la cuenca del Rio Cañete, la cual experimenta una alta variación en suelos, uso de suelo, pendientes y condiciones climáticas. El estudio provee una fuerte base para futuros estudios concernientes al agua, alimentación, seguridad y administración de estrategias para el recurso del agua en las provincias de Cañete y Yauyos.</w:t>
      </w:r>
    </w:p>
    <w:p>
      <w:pPr>
        <w:spacing w:after="0" w:line="360" w:lineRule="auto"/>
        <w:jc w:val="both"/>
        <w:sectPr>
          <w:pgSz w:w="12240" w:h="15840"/>
          <w:pgMar w:header="0" w:footer="1473" w:top="1360" w:bottom="1660" w:left="1300" w:right="1300"/>
        </w:sectPr>
      </w:pPr>
    </w:p>
    <w:p>
      <w:pPr>
        <w:pStyle w:val="Heading1"/>
        <w:numPr>
          <w:ilvl w:val="1"/>
          <w:numId w:val="5"/>
        </w:numPr>
        <w:tabs>
          <w:tab w:pos="511" w:val="left" w:leader="none"/>
        </w:tabs>
        <w:spacing w:line="240" w:lineRule="auto" w:before="53" w:after="0"/>
        <w:ind w:left="510" w:right="0" w:hanging="394"/>
        <w:jc w:val="both"/>
      </w:pPr>
      <w:bookmarkStart w:name="_bookmark42" w:id="60"/>
      <w:bookmarkEnd w:id="60"/>
      <w:r>
        <w:rPr>
          <w:b w:val="0"/>
        </w:rPr>
      </w:r>
      <w:bookmarkStart w:name="_bookmark42" w:id="61"/>
      <w:bookmarkEnd w:id="61"/>
      <w:r>
        <w:rPr/>
        <w:t>Estu</w:t>
      </w:r>
      <w:r>
        <w:rPr/>
        <w:t>dios a nivel</w:t>
      </w:r>
      <w:r>
        <w:rPr>
          <w:spacing w:val="-14"/>
        </w:rPr>
        <w:t> </w:t>
      </w:r>
      <w:r>
        <w:rPr/>
        <w:t>nacional</w:t>
      </w:r>
    </w:p>
    <w:p>
      <w:pPr>
        <w:pStyle w:val="BodyText"/>
        <w:rPr>
          <w:b/>
        </w:rPr>
      </w:pPr>
    </w:p>
    <w:p>
      <w:pPr>
        <w:pStyle w:val="BodyText"/>
        <w:spacing w:before="10"/>
        <w:rPr>
          <w:b/>
          <w:sz w:val="21"/>
        </w:rPr>
      </w:pPr>
    </w:p>
    <w:p>
      <w:pPr>
        <w:pStyle w:val="BodyText"/>
        <w:spacing w:line="360" w:lineRule="auto"/>
        <w:ind w:left="116" w:right="115"/>
        <w:jc w:val="both"/>
      </w:pPr>
      <w:r>
        <w:rPr/>
        <w:t>Cabe mencionar que en México han sido pocos los estudios realizados sobre cuencas hidrográficas aplicando el modelo SWAT, sin embargo, a continuación se procede a enunciar algunos de los artículos relacionados.</w:t>
      </w:r>
    </w:p>
    <w:p>
      <w:pPr>
        <w:pStyle w:val="BodyText"/>
      </w:pPr>
    </w:p>
    <w:p>
      <w:pPr>
        <w:pStyle w:val="BodyText"/>
        <w:spacing w:line="360" w:lineRule="auto" w:before="156"/>
        <w:ind w:left="116" w:right="116"/>
        <w:jc w:val="both"/>
      </w:pPr>
      <w:r>
        <w:rPr/>
        <w:t>Torres y otros, (2004) calibraron el Modelo de simulación SWAT para el balance hídrico en</w:t>
      </w:r>
      <w:r>
        <w:rPr>
          <w:spacing w:val="-7"/>
        </w:rPr>
        <w:t> </w:t>
      </w:r>
      <w:r>
        <w:rPr/>
        <w:t>la</w:t>
      </w:r>
      <w:r>
        <w:rPr>
          <w:spacing w:val="-7"/>
        </w:rPr>
        <w:t> </w:t>
      </w:r>
      <w:r>
        <w:rPr/>
        <w:t>cuenca</w:t>
      </w:r>
      <w:r>
        <w:rPr>
          <w:spacing w:val="-6"/>
        </w:rPr>
        <w:t> </w:t>
      </w:r>
      <w:r>
        <w:rPr/>
        <w:t>“El</w:t>
      </w:r>
      <w:r>
        <w:rPr>
          <w:spacing w:val="-7"/>
        </w:rPr>
        <w:t> </w:t>
      </w:r>
      <w:r>
        <w:rPr/>
        <w:t>Tejocote”,</w:t>
      </w:r>
      <w:r>
        <w:rPr>
          <w:spacing w:val="-4"/>
        </w:rPr>
        <w:t> </w:t>
      </w:r>
      <w:r>
        <w:rPr/>
        <w:t>Atlacomulco,</w:t>
      </w:r>
      <w:r>
        <w:rPr>
          <w:spacing w:val="-5"/>
        </w:rPr>
        <w:t> </w:t>
      </w:r>
      <w:r>
        <w:rPr/>
        <w:t>y</w:t>
      </w:r>
      <w:r>
        <w:rPr>
          <w:spacing w:val="-7"/>
        </w:rPr>
        <w:t> </w:t>
      </w:r>
      <w:r>
        <w:rPr/>
        <w:t>evaluaron</w:t>
      </w:r>
      <w:r>
        <w:rPr>
          <w:spacing w:val="-7"/>
        </w:rPr>
        <w:t> </w:t>
      </w:r>
      <w:r>
        <w:rPr/>
        <w:t>su</w:t>
      </w:r>
      <w:r>
        <w:rPr>
          <w:spacing w:val="-7"/>
        </w:rPr>
        <w:t> </w:t>
      </w:r>
      <w:r>
        <w:rPr/>
        <w:t>capacidad</w:t>
      </w:r>
      <w:r>
        <w:rPr>
          <w:spacing w:val="-6"/>
        </w:rPr>
        <w:t> </w:t>
      </w:r>
      <w:r>
        <w:rPr/>
        <w:t>predictiva</w:t>
      </w:r>
      <w:r>
        <w:rPr>
          <w:spacing w:val="-7"/>
        </w:rPr>
        <w:t> </w:t>
      </w:r>
      <w:r>
        <w:rPr/>
        <w:t>para</w:t>
      </w:r>
      <w:r>
        <w:rPr>
          <w:spacing w:val="-7"/>
        </w:rPr>
        <w:t> </w:t>
      </w:r>
      <w:r>
        <w:rPr/>
        <w:t>simular la producción de agua, sedimentos, gastos medios y producción de maíz en la</w:t>
      </w:r>
      <w:r>
        <w:rPr>
          <w:spacing w:val="-13"/>
        </w:rPr>
        <w:t> </w:t>
      </w:r>
      <w:r>
        <w:rPr/>
        <w:t>cuenca.</w:t>
      </w:r>
    </w:p>
    <w:p>
      <w:pPr>
        <w:pStyle w:val="BodyText"/>
      </w:pPr>
    </w:p>
    <w:p>
      <w:pPr>
        <w:pStyle w:val="BodyText"/>
        <w:spacing w:line="360" w:lineRule="auto" w:before="151"/>
        <w:ind w:left="116" w:right="117"/>
        <w:jc w:val="both"/>
      </w:pPr>
      <w:r>
        <w:rPr/>
        <w:t>Construyendo</w:t>
      </w:r>
      <w:r>
        <w:rPr>
          <w:spacing w:val="-9"/>
        </w:rPr>
        <w:t> </w:t>
      </w:r>
      <w:r>
        <w:rPr/>
        <w:t>escenarios</w:t>
      </w:r>
      <w:r>
        <w:rPr>
          <w:spacing w:val="-9"/>
        </w:rPr>
        <w:t> </w:t>
      </w:r>
      <w:r>
        <w:rPr/>
        <w:t>de</w:t>
      </w:r>
      <w:r>
        <w:rPr>
          <w:spacing w:val="-9"/>
        </w:rPr>
        <w:t> </w:t>
      </w:r>
      <w:r>
        <w:rPr/>
        <w:t>simulación</w:t>
      </w:r>
      <w:r>
        <w:rPr>
          <w:spacing w:val="-8"/>
        </w:rPr>
        <w:t> </w:t>
      </w:r>
      <w:r>
        <w:rPr/>
        <w:t>y</w:t>
      </w:r>
      <w:r>
        <w:rPr>
          <w:spacing w:val="-9"/>
        </w:rPr>
        <w:t> </w:t>
      </w:r>
      <w:r>
        <w:rPr/>
        <w:t>utilizando</w:t>
      </w:r>
      <w:r>
        <w:rPr>
          <w:spacing w:val="-9"/>
        </w:rPr>
        <w:t> </w:t>
      </w:r>
      <w:r>
        <w:rPr/>
        <w:t>el</w:t>
      </w:r>
      <w:r>
        <w:rPr>
          <w:spacing w:val="-9"/>
        </w:rPr>
        <w:t> </w:t>
      </w:r>
      <w:r>
        <w:rPr/>
        <w:t>Sistema</w:t>
      </w:r>
      <w:r>
        <w:rPr>
          <w:spacing w:val="-9"/>
        </w:rPr>
        <w:t> </w:t>
      </w:r>
      <w:r>
        <w:rPr/>
        <w:t>de</w:t>
      </w:r>
      <w:r>
        <w:rPr>
          <w:spacing w:val="-5"/>
        </w:rPr>
        <w:t> </w:t>
      </w:r>
      <w:r>
        <w:rPr/>
        <w:t>Información</w:t>
      </w:r>
      <w:r>
        <w:rPr>
          <w:spacing w:val="-9"/>
        </w:rPr>
        <w:t> </w:t>
      </w:r>
      <w:r>
        <w:rPr/>
        <w:t>Geográfica ArcView, los datos utilizados para calibrar el modelo consistieron en cinco años de información climática (1980 a 1984), 62 usos de suelo y 14 unidades de suelo, lo cual resultó en 116 unidades de respuesta</w:t>
      </w:r>
      <w:r>
        <w:rPr>
          <w:spacing w:val="-9"/>
        </w:rPr>
        <w:t> </w:t>
      </w:r>
      <w:r>
        <w:rPr/>
        <w:t>hidrológica.</w:t>
      </w:r>
    </w:p>
    <w:p>
      <w:pPr>
        <w:pStyle w:val="BodyText"/>
      </w:pPr>
    </w:p>
    <w:p>
      <w:pPr>
        <w:pStyle w:val="BodyText"/>
        <w:spacing w:line="360" w:lineRule="auto" w:before="156"/>
        <w:ind w:left="116" w:right="121"/>
        <w:jc w:val="both"/>
      </w:pPr>
      <w:r>
        <w:rPr/>
        <w:t>Al final del estudio, el modelo permitió la simulación del balance hidrológico diario, mensual y anual. La calibración se basó en datos diarios, sin embargo, se reportaron los resultados mensuales y anuales, debido a la facilidad de manipulación de la información que los autores pudieron observar.</w:t>
      </w:r>
    </w:p>
    <w:p>
      <w:pPr>
        <w:pStyle w:val="BodyText"/>
      </w:pPr>
    </w:p>
    <w:p>
      <w:pPr>
        <w:pStyle w:val="BodyText"/>
        <w:spacing w:line="360" w:lineRule="auto" w:before="155"/>
        <w:ind w:left="116" w:right="107"/>
        <w:jc w:val="both"/>
      </w:pPr>
      <w:r>
        <w:rPr/>
        <w:t>Posteriormente, el Colegio de Postgraduados, (2005) desarrolló un estudio empleando el modelo SWAT para generar alternativas de manejo en la cuenca del río Laja, Guanajuato, México. Ellos desarrollaron una metodología en dos etapas, las cuales consistieron en: a) Calibración</w:t>
      </w:r>
      <w:r>
        <w:rPr>
          <w:spacing w:val="-13"/>
        </w:rPr>
        <w:t> </w:t>
      </w:r>
      <w:r>
        <w:rPr/>
        <w:t>del</w:t>
      </w:r>
      <w:r>
        <w:rPr>
          <w:spacing w:val="-13"/>
        </w:rPr>
        <w:t> </w:t>
      </w:r>
      <w:r>
        <w:rPr/>
        <w:t>modelo,</w:t>
      </w:r>
      <w:r>
        <w:rPr>
          <w:spacing w:val="-11"/>
        </w:rPr>
        <w:t> </w:t>
      </w:r>
      <w:r>
        <w:rPr/>
        <w:t>para</w:t>
      </w:r>
      <w:r>
        <w:rPr>
          <w:spacing w:val="-13"/>
        </w:rPr>
        <w:t> </w:t>
      </w:r>
      <w:r>
        <w:rPr/>
        <w:t>lograr</w:t>
      </w:r>
      <w:r>
        <w:rPr>
          <w:spacing w:val="-13"/>
        </w:rPr>
        <w:t> </w:t>
      </w:r>
      <w:r>
        <w:rPr/>
        <w:t>un</w:t>
      </w:r>
      <w:r>
        <w:rPr>
          <w:spacing w:val="-13"/>
        </w:rPr>
        <w:t> </w:t>
      </w:r>
      <w:r>
        <w:rPr/>
        <w:t>ajuste</w:t>
      </w:r>
      <w:r>
        <w:rPr>
          <w:spacing w:val="-18"/>
        </w:rPr>
        <w:t> </w:t>
      </w:r>
      <w:r>
        <w:rPr/>
        <w:t>satisfactorio</w:t>
      </w:r>
      <w:r>
        <w:rPr>
          <w:spacing w:val="-13"/>
        </w:rPr>
        <w:t> </w:t>
      </w:r>
      <w:r>
        <w:rPr/>
        <w:t>entre</w:t>
      </w:r>
      <w:r>
        <w:rPr>
          <w:spacing w:val="-13"/>
        </w:rPr>
        <w:t> </w:t>
      </w:r>
      <w:r>
        <w:rPr/>
        <w:t>los</w:t>
      </w:r>
      <w:r>
        <w:rPr>
          <w:spacing w:val="-13"/>
        </w:rPr>
        <w:t> </w:t>
      </w:r>
      <w:r>
        <w:rPr/>
        <w:t>escurrimientos</w:t>
      </w:r>
      <w:r>
        <w:rPr>
          <w:spacing w:val="-14"/>
        </w:rPr>
        <w:t> </w:t>
      </w:r>
      <w:r>
        <w:rPr/>
        <w:t>medidos y los simulados, mediante un análisis de sensibilidad en los parámetros más sensibles del modelo; el periodo de calibración consistió de cinco años de observación (1993 a 1997) </w:t>
      </w:r>
      <w:r>
        <w:rPr>
          <w:spacing w:val="4"/>
        </w:rPr>
        <w:t> </w:t>
      </w:r>
      <w:r>
        <w:rPr/>
        <w:t>y</w:t>
      </w:r>
    </w:p>
    <w:p>
      <w:pPr>
        <w:pStyle w:val="BodyText"/>
        <w:spacing w:before="3"/>
        <w:ind w:left="116"/>
        <w:jc w:val="both"/>
      </w:pPr>
      <w:r>
        <w:rPr/>
        <w:t>b) Validación del modelo, para evaluar su capacidad predictiva mediante la   comparación</w:t>
      </w:r>
    </w:p>
    <w:p>
      <w:pPr>
        <w:spacing w:after="0"/>
        <w:jc w:val="both"/>
        <w:sectPr>
          <w:pgSz w:w="12240" w:h="15840"/>
          <w:pgMar w:header="0" w:footer="1473" w:top="1360" w:bottom="1660" w:left="1300" w:right="1300"/>
        </w:sectPr>
      </w:pPr>
    </w:p>
    <w:p>
      <w:pPr>
        <w:pStyle w:val="BodyText"/>
        <w:spacing w:line="362" w:lineRule="auto" w:before="49"/>
        <w:ind w:left="116" w:right="122"/>
        <w:jc w:val="both"/>
      </w:pPr>
      <w:r>
        <w:rPr/>
        <w:t>de los escurrimientos medidos y los simulados para un periodo de cinco años de observación (1998 a 2002).</w:t>
      </w:r>
    </w:p>
    <w:p>
      <w:pPr>
        <w:pStyle w:val="BodyText"/>
      </w:pPr>
    </w:p>
    <w:p>
      <w:pPr>
        <w:pStyle w:val="BodyText"/>
        <w:spacing w:line="360" w:lineRule="auto" w:before="153"/>
        <w:ind w:left="116" w:right="112"/>
        <w:jc w:val="both"/>
      </w:pPr>
      <w:r>
        <w:rPr>
          <w:spacing w:val="-3"/>
        </w:rPr>
        <w:t>Al </w:t>
      </w:r>
      <w:r>
        <w:rPr/>
        <w:t>final del estudio concluyeron que el uso de los modelos hidrológicos sin previa calibración y validación conduce a la sobreestimación o subestimación considerable de las variables</w:t>
      </w:r>
      <w:r>
        <w:rPr>
          <w:spacing w:val="-5"/>
        </w:rPr>
        <w:t> </w:t>
      </w:r>
      <w:r>
        <w:rPr/>
        <w:t>estudiadas.</w:t>
      </w:r>
      <w:r>
        <w:rPr>
          <w:spacing w:val="-3"/>
        </w:rPr>
        <w:t> </w:t>
      </w:r>
      <w:r>
        <w:rPr/>
        <w:t>Mediante</w:t>
      </w:r>
      <w:r>
        <w:rPr>
          <w:spacing w:val="-5"/>
        </w:rPr>
        <w:t> </w:t>
      </w:r>
      <w:r>
        <w:rPr/>
        <w:t>la</w:t>
      </w:r>
      <w:r>
        <w:rPr>
          <w:spacing w:val="-5"/>
        </w:rPr>
        <w:t> </w:t>
      </w:r>
      <w:r>
        <w:rPr/>
        <w:t>calibración</w:t>
      </w:r>
      <w:r>
        <w:rPr>
          <w:spacing w:val="-5"/>
        </w:rPr>
        <w:t> </w:t>
      </w:r>
      <w:r>
        <w:rPr/>
        <w:t>es</w:t>
      </w:r>
      <w:r>
        <w:rPr>
          <w:spacing w:val="-5"/>
        </w:rPr>
        <w:t> </w:t>
      </w:r>
      <w:r>
        <w:rPr/>
        <w:t>posible</w:t>
      </w:r>
      <w:r>
        <w:rPr>
          <w:spacing w:val="-5"/>
        </w:rPr>
        <w:t> </w:t>
      </w:r>
      <w:r>
        <w:rPr/>
        <w:t>lograr</w:t>
      </w:r>
      <w:r>
        <w:rPr>
          <w:spacing w:val="-5"/>
        </w:rPr>
        <w:t> </w:t>
      </w:r>
      <w:r>
        <w:rPr/>
        <w:t>un</w:t>
      </w:r>
      <w:r>
        <w:rPr>
          <w:spacing w:val="-5"/>
        </w:rPr>
        <w:t> </w:t>
      </w:r>
      <w:r>
        <w:rPr/>
        <w:t>ajuste</w:t>
      </w:r>
      <w:r>
        <w:rPr>
          <w:spacing w:val="-5"/>
        </w:rPr>
        <w:t> </w:t>
      </w:r>
      <w:r>
        <w:rPr/>
        <w:t>aceptable</w:t>
      </w:r>
      <w:r>
        <w:rPr>
          <w:spacing w:val="-2"/>
        </w:rPr>
        <w:t> </w:t>
      </w:r>
      <w:r>
        <w:rPr/>
        <w:t>entre</w:t>
      </w:r>
      <w:r>
        <w:rPr>
          <w:spacing w:val="-5"/>
        </w:rPr>
        <w:t> </w:t>
      </w:r>
      <w:r>
        <w:rPr/>
        <w:t>los datos observados y los medidos, sin embargo, la verdadera capacidad predictiva del modelo, es mayor que un modelo sin previa calibración, tal como lo muestra la etapa de validación.</w:t>
      </w:r>
      <w:r>
        <w:rPr>
          <w:spacing w:val="-2"/>
        </w:rPr>
        <w:t> </w:t>
      </w:r>
      <w:r>
        <w:rPr/>
        <w:t>Aun</w:t>
      </w:r>
      <w:r>
        <w:rPr>
          <w:spacing w:val="-5"/>
        </w:rPr>
        <w:t> </w:t>
      </w:r>
      <w:r>
        <w:rPr/>
        <w:t>cuando</w:t>
      </w:r>
      <w:r>
        <w:rPr>
          <w:spacing w:val="-5"/>
        </w:rPr>
        <w:t> </w:t>
      </w:r>
      <w:r>
        <w:rPr/>
        <w:t>la</w:t>
      </w:r>
      <w:r>
        <w:rPr>
          <w:spacing w:val="-5"/>
        </w:rPr>
        <w:t> </w:t>
      </w:r>
      <w:r>
        <w:rPr/>
        <w:t>naturaleza</w:t>
      </w:r>
      <w:r>
        <w:rPr>
          <w:spacing w:val="-4"/>
        </w:rPr>
        <w:t> </w:t>
      </w:r>
      <w:r>
        <w:rPr/>
        <w:t>de</w:t>
      </w:r>
      <w:r>
        <w:rPr>
          <w:spacing w:val="-5"/>
        </w:rPr>
        <w:t> </w:t>
      </w:r>
      <w:r>
        <w:rPr/>
        <w:t>este</w:t>
      </w:r>
      <w:r>
        <w:rPr>
          <w:spacing w:val="-5"/>
        </w:rPr>
        <w:t> </w:t>
      </w:r>
      <w:r>
        <w:rPr/>
        <w:t>tipo</w:t>
      </w:r>
      <w:r>
        <w:rPr>
          <w:spacing w:val="-5"/>
        </w:rPr>
        <w:t> </w:t>
      </w:r>
      <w:r>
        <w:rPr/>
        <w:t>de</w:t>
      </w:r>
      <w:r>
        <w:rPr>
          <w:spacing w:val="-5"/>
        </w:rPr>
        <w:t> </w:t>
      </w:r>
      <w:r>
        <w:rPr/>
        <w:t>modelos</w:t>
      </w:r>
      <w:r>
        <w:rPr>
          <w:spacing w:val="-5"/>
        </w:rPr>
        <w:t> </w:t>
      </w:r>
      <w:r>
        <w:rPr/>
        <w:t>los</w:t>
      </w:r>
      <w:r>
        <w:rPr>
          <w:spacing w:val="-5"/>
        </w:rPr>
        <w:t> </w:t>
      </w:r>
      <w:r>
        <w:rPr/>
        <w:t>hace</w:t>
      </w:r>
      <w:r>
        <w:rPr>
          <w:spacing w:val="-5"/>
        </w:rPr>
        <w:t> </w:t>
      </w:r>
      <w:r>
        <w:rPr/>
        <w:t>aplicables</w:t>
      </w:r>
      <w:r>
        <w:rPr>
          <w:spacing w:val="-5"/>
        </w:rPr>
        <w:t> </w:t>
      </w:r>
      <w:r>
        <w:rPr/>
        <w:t>a</w:t>
      </w:r>
      <w:r>
        <w:rPr>
          <w:spacing w:val="-5"/>
        </w:rPr>
        <w:t> </w:t>
      </w:r>
      <w:r>
        <w:rPr/>
        <w:t>cuencas que no cuentan con estaciones de aforo, los resultados muestran la conveniencia de ser calibrados y validos con el mayor número de datos de escurrimiento de calidad confiable; pero bajo las condiciones de la naturaleza de </w:t>
      </w:r>
      <w:r>
        <w:rPr>
          <w:spacing w:val="-3"/>
        </w:rPr>
        <w:t>la </w:t>
      </w:r>
      <w:r>
        <w:rPr/>
        <w:t>mayoría de las cuencas en nuestro país, es recomendable realizar estos procesos con los datos</w:t>
      </w:r>
      <w:r>
        <w:rPr>
          <w:spacing w:val="-10"/>
        </w:rPr>
        <w:t> </w:t>
      </w:r>
      <w:r>
        <w:rPr/>
        <w:t>disponibles.</w:t>
      </w:r>
    </w:p>
    <w:p>
      <w:pPr>
        <w:pStyle w:val="BodyText"/>
      </w:pPr>
    </w:p>
    <w:p>
      <w:pPr>
        <w:pStyle w:val="BodyText"/>
        <w:spacing w:line="360" w:lineRule="auto" w:before="151"/>
        <w:ind w:left="116" w:right="115"/>
        <w:jc w:val="both"/>
      </w:pPr>
      <w:r>
        <w:rPr>
          <w:spacing w:val="-3"/>
        </w:rPr>
        <w:t>Al </w:t>
      </w:r>
      <w:r>
        <w:rPr/>
        <w:t>término de la revisión de los resultados de los anteriores autores, la propuesta que se plantea para la cuenca del río El Tejocote, es la implementación del modelo SWAT, calibrándolo y validándolo, con el fin de observar la influencia que tiene el cambio de uso de</w:t>
      </w:r>
      <w:r>
        <w:rPr>
          <w:spacing w:val="-6"/>
        </w:rPr>
        <w:t> </w:t>
      </w:r>
      <w:r>
        <w:rPr/>
        <w:t>suelo</w:t>
      </w:r>
      <w:r>
        <w:rPr>
          <w:spacing w:val="-6"/>
        </w:rPr>
        <w:t> </w:t>
      </w:r>
      <w:r>
        <w:rPr/>
        <w:t>y</w:t>
      </w:r>
      <w:r>
        <w:rPr>
          <w:spacing w:val="-6"/>
        </w:rPr>
        <w:t> </w:t>
      </w:r>
      <w:r>
        <w:rPr/>
        <w:t>pérdidas</w:t>
      </w:r>
      <w:r>
        <w:rPr>
          <w:spacing w:val="-6"/>
        </w:rPr>
        <w:t> </w:t>
      </w:r>
      <w:r>
        <w:rPr/>
        <w:t>de</w:t>
      </w:r>
      <w:r>
        <w:rPr>
          <w:spacing w:val="-6"/>
        </w:rPr>
        <w:t> </w:t>
      </w:r>
      <w:r>
        <w:rPr/>
        <w:t>coberturas</w:t>
      </w:r>
      <w:r>
        <w:rPr>
          <w:spacing w:val="-6"/>
        </w:rPr>
        <w:t> </w:t>
      </w:r>
      <w:r>
        <w:rPr/>
        <w:t>vegetales</w:t>
      </w:r>
      <w:r>
        <w:rPr>
          <w:spacing w:val="-6"/>
        </w:rPr>
        <w:t> </w:t>
      </w:r>
      <w:r>
        <w:rPr/>
        <w:t>que</w:t>
      </w:r>
      <w:r>
        <w:rPr>
          <w:spacing w:val="-1"/>
        </w:rPr>
        <w:t> </w:t>
      </w:r>
      <w:r>
        <w:rPr/>
        <w:t>se</w:t>
      </w:r>
      <w:r>
        <w:rPr>
          <w:spacing w:val="-6"/>
        </w:rPr>
        <w:t> </w:t>
      </w:r>
      <w:r>
        <w:rPr/>
        <w:t>están</w:t>
      </w:r>
      <w:r>
        <w:rPr>
          <w:spacing w:val="-6"/>
        </w:rPr>
        <w:t> </w:t>
      </w:r>
      <w:r>
        <w:rPr/>
        <w:t>presentando</w:t>
      </w:r>
      <w:r>
        <w:rPr>
          <w:spacing w:val="-6"/>
        </w:rPr>
        <w:t> </w:t>
      </w:r>
      <w:r>
        <w:rPr/>
        <w:t>en</w:t>
      </w:r>
      <w:r>
        <w:rPr>
          <w:spacing w:val="-6"/>
        </w:rPr>
        <w:t> </w:t>
      </w:r>
      <w:r>
        <w:rPr/>
        <w:t>la</w:t>
      </w:r>
      <w:r>
        <w:rPr>
          <w:spacing w:val="-6"/>
        </w:rPr>
        <w:t> </w:t>
      </w:r>
      <w:r>
        <w:rPr/>
        <w:t>zona,</w:t>
      </w:r>
      <w:r>
        <w:rPr>
          <w:spacing w:val="-8"/>
        </w:rPr>
        <w:t> </w:t>
      </w:r>
      <w:r>
        <w:rPr/>
        <w:t>además</w:t>
      </w:r>
      <w:r>
        <w:rPr>
          <w:spacing w:val="-6"/>
        </w:rPr>
        <w:t> </w:t>
      </w:r>
      <w:r>
        <w:rPr/>
        <w:t>de la producción de escurrimientos y sedimentos acumulados en las partes bajas de la</w:t>
      </w:r>
      <w:r>
        <w:rPr>
          <w:spacing w:val="-32"/>
        </w:rPr>
        <w:t> </w:t>
      </w:r>
      <w:r>
        <w:rPr/>
        <w:t>cuenca, y los daños que estos provocan a la población y su</w:t>
      </w:r>
      <w:r>
        <w:rPr>
          <w:spacing w:val="-9"/>
        </w:rPr>
        <w:t> </w:t>
      </w:r>
      <w:r>
        <w:rPr/>
        <w:t>entorno.</w:t>
      </w:r>
    </w:p>
    <w:p>
      <w:pPr>
        <w:spacing w:after="0" w:line="360" w:lineRule="auto"/>
        <w:jc w:val="both"/>
        <w:sectPr>
          <w:footerReference w:type="default" r:id="rId69"/>
          <w:pgSz w:w="12240" w:h="15840"/>
          <w:pgMar w:footer="1473" w:header="0" w:top="1360" w:bottom="1660" w:left="1300" w:right="1300"/>
        </w:sectPr>
      </w:pPr>
    </w:p>
    <w:p>
      <w:pPr>
        <w:pStyle w:val="Heading1"/>
        <w:numPr>
          <w:ilvl w:val="0"/>
          <w:numId w:val="5"/>
        </w:numPr>
        <w:tabs>
          <w:tab w:pos="381" w:val="left" w:leader="none"/>
        </w:tabs>
        <w:spacing w:line="240" w:lineRule="auto" w:before="53" w:after="0"/>
        <w:ind w:left="380" w:right="0" w:hanging="264"/>
        <w:jc w:val="both"/>
      </w:pPr>
      <w:bookmarkStart w:name="_bookmark43" w:id="62"/>
      <w:bookmarkEnd w:id="62"/>
      <w:r>
        <w:rPr>
          <w:b w:val="0"/>
        </w:rPr>
      </w:r>
      <w:bookmarkStart w:name="_bookmark43" w:id="63"/>
      <w:bookmarkEnd w:id="63"/>
      <w:r>
        <w:rPr/>
        <w:t>METODOLO</w:t>
      </w:r>
      <w:r>
        <w:rPr/>
        <w:t>GÍA</w:t>
      </w:r>
    </w:p>
    <w:p>
      <w:pPr>
        <w:pStyle w:val="BodyText"/>
        <w:rPr>
          <w:b/>
        </w:rPr>
      </w:pPr>
    </w:p>
    <w:p>
      <w:pPr>
        <w:pStyle w:val="BodyText"/>
        <w:spacing w:before="7"/>
        <w:rPr>
          <w:b/>
          <w:sz w:val="25"/>
        </w:rPr>
      </w:pPr>
    </w:p>
    <w:p>
      <w:pPr>
        <w:pStyle w:val="BodyText"/>
        <w:spacing w:line="360" w:lineRule="auto" w:before="1" w:after="4"/>
        <w:ind w:left="116" w:right="114"/>
        <w:jc w:val="both"/>
      </w:pPr>
      <w:r>
        <w:rPr/>
        <w:t>Para cumplir el objetivo general y con la hipótesis de trabajo, el presente trabajo de investigación</w:t>
      </w:r>
      <w:r>
        <w:rPr>
          <w:spacing w:val="-10"/>
        </w:rPr>
        <w:t> </w:t>
      </w:r>
      <w:r>
        <w:rPr/>
        <w:t>hace</w:t>
      </w:r>
      <w:r>
        <w:rPr>
          <w:spacing w:val="-9"/>
        </w:rPr>
        <w:t> </w:t>
      </w:r>
      <w:r>
        <w:rPr/>
        <w:t>uso</w:t>
      </w:r>
      <w:r>
        <w:rPr>
          <w:spacing w:val="-10"/>
        </w:rPr>
        <w:t> </w:t>
      </w:r>
      <w:r>
        <w:rPr/>
        <w:t>de</w:t>
      </w:r>
      <w:r>
        <w:rPr>
          <w:spacing w:val="-10"/>
        </w:rPr>
        <w:t> </w:t>
      </w:r>
      <w:r>
        <w:rPr/>
        <w:t>los</w:t>
      </w:r>
      <w:r>
        <w:rPr>
          <w:spacing w:val="-10"/>
        </w:rPr>
        <w:t> </w:t>
      </w:r>
      <w:r>
        <w:rPr/>
        <w:t>aportes</w:t>
      </w:r>
      <w:r>
        <w:rPr>
          <w:spacing w:val="-10"/>
        </w:rPr>
        <w:t> </w:t>
      </w:r>
      <w:r>
        <w:rPr/>
        <w:t>de</w:t>
      </w:r>
      <w:r>
        <w:rPr>
          <w:spacing w:val="-10"/>
        </w:rPr>
        <w:t> </w:t>
      </w:r>
      <w:r>
        <w:rPr/>
        <w:t>Uribe,</w:t>
      </w:r>
      <w:r>
        <w:rPr>
          <w:spacing w:val="-3"/>
        </w:rPr>
        <w:t> </w:t>
      </w:r>
      <w:r>
        <w:rPr/>
        <w:t>(2010),</w:t>
      </w:r>
      <w:r>
        <w:rPr>
          <w:spacing w:val="-8"/>
        </w:rPr>
        <w:t> </w:t>
      </w:r>
      <w:r>
        <w:rPr/>
        <w:t>Fernández,</w:t>
      </w:r>
      <w:r>
        <w:rPr>
          <w:spacing w:val="-7"/>
        </w:rPr>
        <w:t> </w:t>
      </w:r>
      <w:r>
        <w:rPr/>
        <w:t>(1996)</w:t>
      </w:r>
      <w:r>
        <w:rPr>
          <w:spacing w:val="-10"/>
        </w:rPr>
        <w:t> </w:t>
      </w:r>
      <w:r>
        <w:rPr/>
        <w:t>y</w:t>
      </w:r>
      <w:r>
        <w:rPr>
          <w:spacing w:val="-10"/>
        </w:rPr>
        <w:t> </w:t>
      </w:r>
      <w:r>
        <w:rPr/>
        <w:t>Torres,</w:t>
      </w:r>
      <w:r>
        <w:rPr>
          <w:spacing w:val="-8"/>
        </w:rPr>
        <w:t> </w:t>
      </w:r>
      <w:r>
        <w:rPr/>
        <w:t>(2000). Estas contemplan a grandes rasgos una caracterización de la cuenca hidrográfica para posteriormente contar con los elementos y datos necesarios para utilizar</w:t>
      </w:r>
      <w:r>
        <w:rPr>
          <w:spacing w:val="-45"/>
        </w:rPr>
        <w:t> </w:t>
      </w:r>
      <w:r>
        <w:rPr/>
        <w:t>el modelo SWAT. A continuación la Figura 16 esquematiza la metodología que se siguió para desarrollar el presente trabajo de</w:t>
      </w:r>
      <w:r>
        <w:rPr>
          <w:spacing w:val="-11"/>
        </w:rPr>
        <w:t> </w:t>
      </w:r>
      <w:r>
        <w:rPr/>
        <w:t>investigación:</w:t>
      </w:r>
    </w:p>
    <w:p>
      <w:pPr>
        <w:pStyle w:val="BodyText"/>
        <w:ind w:left="1296"/>
        <w:rPr>
          <w:sz w:val="20"/>
        </w:rPr>
      </w:pPr>
      <w:r>
        <w:rPr>
          <w:sz w:val="20"/>
        </w:rPr>
        <w:pict>
          <v:group style="width:356.95pt;height:340.6pt;mso-position-horizontal-relative:char;mso-position-vertical-relative:line" coordorigin="0,0" coordsize="7139,6812">
            <v:shape style="position:absolute;left:1901;top:5040;width:131;height:1453" coordorigin="1901,5040" coordsize="131,1453" path="m1901,5040l1901,6493,2032,6493e" filled="false" stroked="true" strokeweight=".96pt" strokecolor="#000000">
              <v:path arrowok="t"/>
            </v:shape>
            <v:shape style="position:absolute;left:1522;top:5040;width:383;height:1453" coordorigin="1522,5040" coordsize="383,1453" path="m1905,5040l1905,6493,1522,6493e" filled="false" stroked="true" strokeweight=".96pt" strokecolor="#000000">
              <v:path arrowok="t"/>
            </v:shape>
            <v:shape style="position:absolute;left:1901;top:5040;width:131;height:572" coordorigin="1901,5040" coordsize="131,572" path="m1901,5040l1901,5612,2032,5612e" filled="false" stroked="true" strokeweight=".96pt" strokecolor="#000000">
              <v:path arrowok="t"/>
            </v:shape>
            <v:shape style="position:absolute;left:1772;top:5040;width:131;height:572" coordorigin="1772,5040" coordsize="131,572" path="m1902,5040l1902,5612,1772,5612e" filled="false" stroked="true" strokeweight=".96pt" strokecolor="#000000">
              <v:path arrowok="t"/>
            </v:shape>
            <v:shape style="position:absolute;left:2760;top:634;width:1282;height:4098" coordorigin="2760,634" coordsize="1282,4098" path="m4042,634l4042,4731,2760,4731e" filled="false" stroked="true" strokeweight=".96pt" strokecolor="#000000">
              <v:path arrowok="t"/>
            </v:shape>
            <v:shape style="position:absolute;left:4042;top:634;width:612;height:572" coordorigin="4042,634" coordsize="612,572" path="m4042,634l4042,1205,4654,1205e" filled="false" stroked="true" strokeweight=".96pt" strokecolor="#000000">
              <v:path arrowok="t"/>
            </v:shape>
            <v:shape style="position:absolute;left:2228;top:634;width:1815;height:572" coordorigin="2228,634" coordsize="1815,572" path="m4042,634l4042,1205,2228,1205e" filled="false" stroked="true" strokeweight=".96pt" strokecolor="#000000">
              <v:path arrowok="t"/>
            </v:shape>
            <v:rect style="position:absolute;left:3125;top:10;width:1834;height:624" filled="false" stroked="true" strokeweight=".96pt" strokecolor="#000000"/>
            <v:shape style="position:absolute;left:1383;top:1512;width:131;height:1453" coordorigin="1383,1512" coordsize="131,1453" path="m1383,1512l1383,2965,1513,2965e" filled="false" stroked="true" strokeweight=".96pt" strokecolor="#000000">
              <v:path arrowok="t"/>
            </v:shape>
            <v:shape style="position:absolute;left:1253;top:1512;width:131;height:1453" coordorigin="1253,1512" coordsize="131,1453" path="m1384,1512l1384,2965,1253,2965e" filled="false" stroked="true" strokeweight=".96pt" strokecolor="#000000">
              <v:path arrowok="t"/>
            </v:shape>
            <v:shape style="position:absolute;left:1383;top:1512;width:131;height:572" coordorigin="1383,1512" coordsize="131,572" path="m1383,1512l1383,2084,1513,2084e" filled="false" stroked="true" strokeweight=".96pt" strokecolor="#000000">
              <v:path arrowok="t"/>
            </v:shape>
            <v:shape style="position:absolute;left:1253;top:1512;width:131;height:572" coordorigin="1253,1512" coordsize="131,572" path="m1384,1512l1384,2084,1253,2084e" filled="false" stroked="true" strokeweight=".96pt" strokecolor="#000000">
              <v:path arrowok="t"/>
            </v:shape>
            <v:rect style="position:absolute;left:543;top:893;width:1685;height:619" filled="false" stroked="true" strokeweight=".96pt" strokecolor="#000000"/>
            <v:rect style="position:absolute;left:10;top:1776;width:1243;height:619" filled="false" stroked="true" strokeweight=".96pt" strokecolor="#000000"/>
            <v:rect style="position:absolute;left:1512;top:1776;width:1243;height:619" filled="false" stroked="true" strokeweight=".96pt" strokecolor="#000000"/>
            <v:rect style="position:absolute;left:10;top:2655;width:1243;height:624" filled="false" stroked="true" strokeweight=".96pt" strokecolor="#000000"/>
            <v:rect style="position:absolute;left:1512;top:2655;width:1243;height:624" filled="false" stroked="true" strokeweight=".96pt" strokecolor="#000000"/>
            <v:shape style="position:absolute;left:5415;top:1512;width:131;height:2335" coordorigin="5415,1512" coordsize="131,2335" path="m5545,1512l5545,3847,5415,3847e" filled="false" stroked="true" strokeweight=".96pt" strokecolor="#000000">
              <v:path arrowok="t"/>
            </v:shape>
            <v:shape style="position:absolute;left:5544;top:1512;width:131;height:1453" coordorigin="5544,1512" coordsize="131,1453" path="m5544,1512l5544,2965,5675,2965e" filled="false" stroked="true" strokeweight=".96pt" strokecolor="#000000">
              <v:path arrowok="t"/>
            </v:shape>
            <v:shape style="position:absolute;left:5415;top:1512;width:131;height:1453" coordorigin="5415,1512" coordsize="131,1453" path="m5545,1512l5545,2965,5415,2965e" filled="false" stroked="true" strokeweight=".96pt" strokecolor="#000000">
              <v:path arrowok="t"/>
            </v:shape>
            <v:shape style="position:absolute;left:5544;top:1512;width:131;height:572" coordorigin="5544,1512" coordsize="131,572" path="m5544,1512l5544,2084,5675,2084e" filled="false" stroked="true" strokeweight=".96pt" strokecolor="#000000">
              <v:path arrowok="t"/>
            </v:shape>
            <v:shape style="position:absolute;left:5415;top:1512;width:131;height:572" coordorigin="5415,1512" coordsize="131,572" path="m5545,1512l5545,2084,5415,2084e" filled="false" stroked="true" strokeweight=".96pt" strokecolor="#000000">
              <v:path arrowok="t"/>
            </v:shape>
            <v:rect style="position:absolute;left:4652;top:893;width:1781;height:619" filled="false" stroked="true" strokeweight=".96pt" strokecolor="#000000"/>
            <v:rect style="position:absolute;left:4172;top:1776;width:1243;height:619" filled="false" stroked="true" strokeweight=".96pt" strokecolor="#000000"/>
            <v:rect style="position:absolute;left:5674;top:1776;width:1454;height:619" filled="false" stroked="true" strokeweight=".96pt" strokecolor="#000000"/>
            <v:rect style="position:absolute;left:4172;top:2655;width:1243;height:624" filled="false" stroked="true" strokeweight=".96pt" strokecolor="#000000"/>
            <v:rect style="position:absolute;left:5674;top:2655;width:1243;height:624" filled="false" stroked="true" strokeweight=".96pt" strokecolor="#000000"/>
            <v:rect style="position:absolute;left:4172;top:3538;width:1243;height:619" filled="false" stroked="true" strokeweight=".96pt" strokecolor="#000000"/>
            <v:rect style="position:absolute;left:1047;top:4416;width:1714;height:624" filled="false" stroked="true" strokeweight=".96pt" strokecolor="#000000"/>
            <v:rect style="position:absolute;left:10;top:5300;width:1762;height:619" filled="false" stroked="true" strokeweight=".96pt" strokecolor="#000000"/>
            <v:rect style="position:absolute;left:2036;top:5300;width:1877;height:619" filled="false" stroked="true" strokeweight=".96pt" strokecolor="#000000"/>
            <v:rect style="position:absolute;left:10;top:6183;width:1512;height:619" filled="false" stroked="true" strokeweight=".96pt" strokecolor="#000000"/>
            <v:rect style="position:absolute;left:2036;top:6183;width:1238;height:619" filled="false" stroked="true" strokeweight=".96pt" strokecolor="#000000"/>
            <v:shape style="position:absolute;left:3125;top:10;width:1834;height:624" type="#_x0000_t202" filled="false" stroked="false">
              <v:textbox inset="0,0,0,0">
                <w:txbxContent>
                  <w:p>
                    <w:pPr>
                      <w:spacing w:line="196" w:lineRule="exact" w:before="107"/>
                      <w:ind w:left="465" w:right="325" w:hanging="130"/>
                      <w:jc w:val="left"/>
                      <w:rPr>
                        <w:rFonts w:ascii="Calibri" w:hAnsi="Calibri"/>
                        <w:sz w:val="18"/>
                      </w:rPr>
                    </w:pPr>
                    <w:r>
                      <w:rPr>
                        <w:rFonts w:ascii="Calibri" w:hAnsi="Calibri"/>
                        <w:sz w:val="18"/>
                      </w:rPr>
                      <w:t>Recopilación de información</w:t>
                    </w:r>
                  </w:p>
                </w:txbxContent>
              </v:textbox>
              <w10:wrap type="none"/>
            </v:shape>
            <v:shape style="position:absolute;left:543;top:893;width:1685;height:620" type="#_x0000_t202" filled="false" stroked="false">
              <v:textbox inset="0,0,0,0">
                <w:txbxContent>
                  <w:p>
                    <w:pPr>
                      <w:spacing w:line="196" w:lineRule="exact" w:before="105"/>
                      <w:ind w:left="382" w:right="59" w:hanging="313"/>
                      <w:jc w:val="left"/>
                      <w:rPr>
                        <w:rFonts w:ascii="Calibri" w:hAnsi="Calibri"/>
                        <w:sz w:val="18"/>
                      </w:rPr>
                    </w:pPr>
                    <w:r>
                      <w:rPr>
                        <w:rFonts w:ascii="Calibri" w:hAnsi="Calibri"/>
                        <w:sz w:val="18"/>
                      </w:rPr>
                      <w:t>Caracterización física de la cuenca</w:t>
                    </w:r>
                  </w:p>
                </w:txbxContent>
              </v:textbox>
              <w10:wrap type="none"/>
            </v:shape>
            <v:shape style="position:absolute;left:4652;top:893;width:1781;height:620" type="#_x0000_t202" filled="false" stroked="false">
              <v:textbox inset="0,0,0,0">
                <w:txbxContent>
                  <w:p>
                    <w:pPr>
                      <w:spacing w:line="218" w:lineRule="auto" w:before="7"/>
                      <w:ind w:left="122" w:right="115" w:hanging="1"/>
                      <w:jc w:val="center"/>
                      <w:rPr>
                        <w:rFonts w:ascii="Calibri" w:hAnsi="Calibri"/>
                        <w:sz w:val="18"/>
                      </w:rPr>
                    </w:pPr>
                    <w:r>
                      <w:rPr>
                        <w:rFonts w:ascii="Calibri" w:hAnsi="Calibri"/>
                        <w:sz w:val="18"/>
                      </w:rPr>
                      <w:t>Caracterización geomorfológica de la cuenca</w:t>
                    </w:r>
                  </w:p>
                </w:txbxContent>
              </v:textbox>
              <w10:wrap type="none"/>
            </v:shape>
            <v:shape style="position:absolute;left:10;top:1776;width:1244;height:620" type="#_x0000_t202" filled="false" stroked="false">
              <v:textbox inset="0,0,0,0">
                <w:txbxContent>
                  <w:p>
                    <w:pPr>
                      <w:spacing w:line="240" w:lineRule="auto" w:before="4"/>
                      <w:rPr>
                        <w:sz w:val="16"/>
                      </w:rPr>
                    </w:pPr>
                  </w:p>
                  <w:p>
                    <w:pPr>
                      <w:spacing w:before="0"/>
                      <w:ind w:left="241" w:right="0" w:firstLine="0"/>
                      <w:jc w:val="left"/>
                      <w:rPr>
                        <w:rFonts w:ascii="Calibri" w:hAnsi="Calibri"/>
                        <w:sz w:val="18"/>
                      </w:rPr>
                    </w:pPr>
                    <w:r>
                      <w:rPr>
                        <w:rFonts w:ascii="Calibri" w:hAnsi="Calibri"/>
                        <w:sz w:val="18"/>
                      </w:rPr>
                      <w:t>Fisiografía</w:t>
                    </w:r>
                  </w:p>
                </w:txbxContent>
              </v:textbox>
              <w10:wrap type="none"/>
            </v:shape>
            <v:shape style="position:absolute;left:1516;top:1776;width:1242;height:620" type="#_x0000_t202" filled="false" stroked="false">
              <v:textbox inset="0,0,0,0">
                <w:txbxContent>
                  <w:p>
                    <w:pPr>
                      <w:spacing w:line="240" w:lineRule="auto" w:before="4"/>
                      <w:rPr>
                        <w:sz w:val="16"/>
                      </w:rPr>
                    </w:pPr>
                  </w:p>
                  <w:p>
                    <w:pPr>
                      <w:spacing w:before="0"/>
                      <w:ind w:left="291" w:right="66" w:firstLine="0"/>
                      <w:jc w:val="left"/>
                      <w:rPr>
                        <w:rFonts w:ascii="Calibri" w:hAnsi="Calibri"/>
                        <w:sz w:val="18"/>
                      </w:rPr>
                    </w:pPr>
                    <w:r>
                      <w:rPr>
                        <w:rFonts w:ascii="Calibri" w:hAnsi="Calibri"/>
                        <w:sz w:val="18"/>
                      </w:rPr>
                      <w:t>Geología</w:t>
                    </w:r>
                  </w:p>
                </w:txbxContent>
              </v:textbox>
              <w10:wrap type="none"/>
            </v:shape>
            <v:shape style="position:absolute;left:4172;top:1776;width:1244;height:620" type="#_x0000_t202" filled="false" stroked="false">
              <v:textbox inset="0,0,0,0">
                <w:txbxContent>
                  <w:p>
                    <w:pPr>
                      <w:spacing w:line="240" w:lineRule="auto" w:before="4"/>
                      <w:rPr>
                        <w:sz w:val="16"/>
                      </w:rPr>
                    </w:pPr>
                  </w:p>
                  <w:p>
                    <w:pPr>
                      <w:spacing w:before="0"/>
                      <w:ind w:left="68" w:right="0" w:firstLine="0"/>
                      <w:jc w:val="left"/>
                      <w:rPr>
                        <w:rFonts w:ascii="Calibri"/>
                        <w:sz w:val="18"/>
                      </w:rPr>
                    </w:pPr>
                    <w:r>
                      <w:rPr>
                        <w:rFonts w:ascii="Calibri"/>
                        <w:sz w:val="18"/>
                      </w:rPr>
                      <w:t>Tipo de cuenca</w:t>
                    </w:r>
                  </w:p>
                </w:txbxContent>
              </v:textbox>
              <w10:wrap type="none"/>
            </v:shape>
            <v:shape style="position:absolute;left:5674;top:1776;width:1455;height:620" type="#_x0000_t202" filled="false" stroked="false">
              <v:textbox inset="0,0,0,0">
                <w:txbxContent>
                  <w:p>
                    <w:pPr>
                      <w:spacing w:line="196" w:lineRule="exact" w:before="104"/>
                      <w:ind w:left="270" w:right="89" w:hanging="168"/>
                      <w:jc w:val="left"/>
                      <w:rPr>
                        <w:rFonts w:ascii="Calibri" w:hAnsi="Calibri"/>
                        <w:sz w:val="18"/>
                      </w:rPr>
                    </w:pPr>
                    <w:r>
                      <w:rPr>
                        <w:rFonts w:ascii="Calibri" w:hAnsi="Calibri"/>
                        <w:sz w:val="18"/>
                      </w:rPr>
                      <w:t>Área y Perímetro de la cuenca</w:t>
                    </w:r>
                  </w:p>
                </w:txbxContent>
              </v:textbox>
              <w10:wrap type="none"/>
            </v:shape>
            <v:shape style="position:absolute;left:10;top:2655;width:1244;height:624" type="#_x0000_t202" filled="false" stroked="false">
              <v:textbox inset="0,0,0,0">
                <w:txbxContent>
                  <w:p>
                    <w:pPr>
                      <w:spacing w:line="240" w:lineRule="auto" w:before="8"/>
                      <w:rPr>
                        <w:sz w:val="16"/>
                      </w:rPr>
                    </w:pPr>
                  </w:p>
                  <w:p>
                    <w:pPr>
                      <w:spacing w:before="0"/>
                      <w:ind w:left="232" w:right="0" w:firstLine="0"/>
                      <w:jc w:val="left"/>
                      <w:rPr>
                        <w:rFonts w:ascii="Calibri" w:hAnsi="Calibri"/>
                        <w:sz w:val="18"/>
                      </w:rPr>
                    </w:pPr>
                    <w:r>
                      <w:rPr>
                        <w:rFonts w:ascii="Calibri" w:hAnsi="Calibri"/>
                        <w:sz w:val="18"/>
                      </w:rPr>
                      <w:t>Edafología</w:t>
                    </w:r>
                  </w:p>
                </w:txbxContent>
              </v:textbox>
              <w10:wrap type="none"/>
            </v:shape>
            <v:shape style="position:absolute;left:1516;top:2655;width:1242;height:624" type="#_x0000_t202" filled="false" stroked="false">
              <v:textbox inset="0,0,0,0">
                <w:txbxContent>
                  <w:p>
                    <w:pPr>
                      <w:spacing w:line="196" w:lineRule="exact" w:before="107"/>
                      <w:ind w:left="200" w:right="66" w:hanging="116"/>
                      <w:jc w:val="left"/>
                      <w:rPr>
                        <w:rFonts w:ascii="Calibri" w:hAnsi="Calibri"/>
                        <w:sz w:val="18"/>
                      </w:rPr>
                    </w:pPr>
                    <w:r>
                      <w:rPr>
                        <w:rFonts w:ascii="Calibri" w:hAnsi="Calibri"/>
                        <w:sz w:val="18"/>
                      </w:rPr>
                      <w:t>Uso de Suelo y Vegetación</w:t>
                    </w:r>
                  </w:p>
                </w:txbxContent>
              </v:textbox>
              <w10:wrap type="none"/>
            </v:shape>
            <v:shape style="position:absolute;left:4172;top:2655;width:1244;height:624" type="#_x0000_t202" filled="false" stroked="false">
              <v:textbox inset="0,0,0,0">
                <w:txbxContent>
                  <w:p>
                    <w:pPr>
                      <w:spacing w:line="196" w:lineRule="exact" w:before="107"/>
                      <w:ind w:left="135" w:right="133" w:firstLine="168"/>
                      <w:jc w:val="left"/>
                      <w:rPr>
                        <w:rFonts w:ascii="Calibri" w:hAnsi="Calibri"/>
                        <w:sz w:val="18"/>
                      </w:rPr>
                    </w:pPr>
                    <w:r>
                      <w:rPr>
                        <w:rFonts w:ascii="Calibri" w:hAnsi="Calibri"/>
                        <w:sz w:val="18"/>
                      </w:rPr>
                      <w:t>Relación hipsométrica</w:t>
                    </w:r>
                  </w:p>
                </w:txbxContent>
              </v:textbox>
              <w10:wrap type="none"/>
            </v:shape>
            <v:shape style="position:absolute;left:5674;top:2655;width:1244;height:624" type="#_x0000_t202" filled="false" stroked="false">
              <v:textbox inset="0,0,0,0">
                <w:txbxContent>
                  <w:p>
                    <w:pPr>
                      <w:spacing w:line="196" w:lineRule="exact" w:before="107"/>
                      <w:ind w:left="362" w:right="171" w:hanging="173"/>
                      <w:jc w:val="left"/>
                      <w:rPr>
                        <w:rFonts w:ascii="Calibri"/>
                        <w:sz w:val="18"/>
                      </w:rPr>
                    </w:pPr>
                    <w:r>
                      <w:rPr>
                        <w:rFonts w:ascii="Calibri"/>
                        <w:sz w:val="18"/>
                      </w:rPr>
                      <w:t>Forma de la cuenca</w:t>
                    </w:r>
                  </w:p>
                </w:txbxContent>
              </v:textbox>
              <w10:wrap type="none"/>
            </v:shape>
            <v:shape style="position:absolute;left:4172;top:3538;width:1244;height:620" type="#_x0000_t202" filled="false" stroked="false">
              <v:textbox inset="0,0,0,0">
                <w:txbxContent>
                  <w:p>
                    <w:pPr>
                      <w:spacing w:line="240" w:lineRule="auto" w:before="6"/>
                      <w:rPr>
                        <w:sz w:val="16"/>
                      </w:rPr>
                    </w:pPr>
                  </w:p>
                  <w:p>
                    <w:pPr>
                      <w:spacing w:before="0"/>
                      <w:ind w:left="63" w:right="0" w:firstLine="0"/>
                      <w:jc w:val="left"/>
                      <w:rPr>
                        <w:rFonts w:ascii="Calibri"/>
                        <w:sz w:val="18"/>
                      </w:rPr>
                    </w:pPr>
                    <w:r>
                      <w:rPr>
                        <w:rFonts w:ascii="Calibri"/>
                        <w:sz w:val="18"/>
                      </w:rPr>
                      <w:t>Red de drenaje</w:t>
                    </w:r>
                  </w:p>
                </w:txbxContent>
              </v:textbox>
              <w10:wrap type="none"/>
            </v:shape>
            <v:shape style="position:absolute;left:1047;top:4416;width:1711;height:624" type="#_x0000_t202" filled="false" stroked="false">
              <v:textbox inset="0,0,0,0">
                <w:txbxContent>
                  <w:p>
                    <w:pPr>
                      <w:spacing w:line="208" w:lineRule="exact" w:before="95"/>
                      <w:ind w:left="134" w:right="132" w:firstLine="0"/>
                      <w:jc w:val="center"/>
                      <w:rPr>
                        <w:rFonts w:ascii="Calibri"/>
                        <w:sz w:val="18"/>
                      </w:rPr>
                    </w:pPr>
                    <w:r>
                      <w:rPr>
                        <w:rFonts w:ascii="Calibri"/>
                        <w:sz w:val="18"/>
                      </w:rPr>
                      <w:t>Corrida del modelo</w:t>
                    </w:r>
                  </w:p>
                  <w:p>
                    <w:pPr>
                      <w:spacing w:line="208" w:lineRule="exact" w:before="0"/>
                      <w:ind w:left="132" w:right="132" w:firstLine="0"/>
                      <w:jc w:val="center"/>
                      <w:rPr>
                        <w:rFonts w:ascii="Calibri"/>
                        <w:sz w:val="18"/>
                      </w:rPr>
                    </w:pPr>
                    <w:r>
                      <w:rPr>
                        <w:rFonts w:ascii="Calibri"/>
                        <w:sz w:val="18"/>
                      </w:rPr>
                      <w:t>SWAT</w:t>
                    </w:r>
                  </w:p>
                </w:txbxContent>
              </v:textbox>
              <w10:wrap type="none"/>
            </v:shape>
            <v:shape style="position:absolute;left:10;top:5300;width:1762;height:620" type="#_x0000_t202" filled="false" stroked="false">
              <v:textbox inset="0,0,0,0">
                <w:txbxContent>
                  <w:p>
                    <w:pPr>
                      <w:spacing w:line="218" w:lineRule="auto" w:before="10"/>
                      <w:ind w:left="141" w:right="136" w:hanging="4"/>
                      <w:jc w:val="center"/>
                      <w:rPr>
                        <w:rFonts w:ascii="Calibri"/>
                        <w:sz w:val="18"/>
                      </w:rPr>
                    </w:pPr>
                    <w:r>
                      <w:rPr>
                        <w:rFonts w:ascii="Calibri"/>
                        <w:sz w:val="18"/>
                      </w:rPr>
                      <w:t>Bases de datos para alimentar el modelo SWAT</w:t>
                    </w:r>
                  </w:p>
                </w:txbxContent>
              </v:textbox>
              <w10:wrap type="none"/>
            </v:shape>
            <v:shape style="position:absolute;left:2036;top:5300;width:1877;height:620" type="#_x0000_t202" filled="false" stroked="false">
              <v:textbox inset="0,0,0,0">
                <w:txbxContent>
                  <w:p>
                    <w:pPr>
                      <w:spacing w:line="196" w:lineRule="exact" w:before="108"/>
                      <w:ind w:left="527" w:right="-9" w:hanging="519"/>
                      <w:jc w:val="left"/>
                      <w:rPr>
                        <w:rFonts w:ascii="Calibri"/>
                        <w:sz w:val="18"/>
                      </w:rPr>
                    </w:pPr>
                    <w:r>
                      <w:rPr>
                        <w:rFonts w:ascii="Calibri"/>
                        <w:sz w:val="18"/>
                      </w:rPr>
                      <w:t>Entrada de datos periodo de corridas</w:t>
                    </w:r>
                  </w:p>
                </w:txbxContent>
              </v:textbox>
              <w10:wrap type="none"/>
            </v:shape>
            <v:shape style="position:absolute;left:10;top:6183;width:1506;height:620" type="#_x0000_t202" filled="false" stroked="false">
              <v:textbox inset="0,0,0,0">
                <w:txbxContent>
                  <w:p>
                    <w:pPr>
                      <w:spacing w:line="218" w:lineRule="auto" w:before="9"/>
                      <w:ind w:left="21" w:right="9" w:hanging="5"/>
                      <w:jc w:val="center"/>
                      <w:rPr>
                        <w:rFonts w:ascii="Calibri" w:hAnsi="Calibri"/>
                        <w:sz w:val="18"/>
                      </w:rPr>
                    </w:pPr>
                    <w:r>
                      <w:rPr>
                        <w:rFonts w:ascii="Calibri" w:hAnsi="Calibri"/>
                        <w:sz w:val="18"/>
                      </w:rPr>
                      <w:t>Ajuste de parámetros periodo de calibración</w:t>
                    </w:r>
                  </w:p>
                </w:txbxContent>
              </v:textbox>
              <w10:wrap type="none"/>
            </v:shape>
            <v:shape style="position:absolute;left:2036;top:6183;width:1239;height:620" type="#_x0000_t202" filled="false" stroked="false">
              <v:textbox inset="0,0,0,0">
                <w:txbxContent>
                  <w:p>
                    <w:pPr>
                      <w:spacing w:line="240" w:lineRule="auto" w:before="7"/>
                      <w:rPr>
                        <w:sz w:val="16"/>
                      </w:rPr>
                    </w:pPr>
                  </w:p>
                  <w:p>
                    <w:pPr>
                      <w:spacing w:before="0"/>
                      <w:ind w:left="234" w:right="0" w:firstLine="0"/>
                      <w:jc w:val="left"/>
                      <w:rPr>
                        <w:rFonts w:ascii="Calibri" w:hAnsi="Calibri"/>
                        <w:sz w:val="18"/>
                      </w:rPr>
                    </w:pPr>
                    <w:r>
                      <w:rPr>
                        <w:rFonts w:ascii="Calibri" w:hAnsi="Calibri"/>
                        <w:sz w:val="18"/>
                      </w:rPr>
                      <w:t>Validación</w:t>
                    </w:r>
                  </w:p>
                </w:txbxContent>
              </v:textbox>
              <w10:wrap type="none"/>
            </v:shape>
          </v:group>
        </w:pict>
      </w:r>
      <w:r>
        <w:rPr>
          <w:sz w:val="20"/>
        </w:rPr>
      </w:r>
    </w:p>
    <w:p>
      <w:pPr>
        <w:spacing w:before="181"/>
        <w:ind w:left="255" w:right="251" w:firstLine="0"/>
        <w:jc w:val="center"/>
        <w:rPr>
          <w:sz w:val="22"/>
        </w:rPr>
      </w:pPr>
      <w:r>
        <w:rPr>
          <w:sz w:val="22"/>
        </w:rPr>
        <w:t>Fuente: Elaboración propia, 2014</w:t>
      </w:r>
    </w:p>
    <w:p>
      <w:pPr>
        <w:pStyle w:val="Heading1"/>
        <w:spacing w:before="3"/>
        <w:ind w:left="255" w:right="254"/>
        <w:jc w:val="center"/>
      </w:pPr>
      <w:bookmarkStart w:name="_bookmark44" w:id="64"/>
      <w:bookmarkEnd w:id="64"/>
      <w:r>
        <w:rPr>
          <w:b w:val="0"/>
        </w:rPr>
      </w:r>
      <w:r>
        <w:rPr/>
        <w:t>Figura 16. Metodología de trabajo.</w:t>
      </w:r>
    </w:p>
    <w:p>
      <w:pPr>
        <w:spacing w:after="0"/>
        <w:jc w:val="center"/>
        <w:sectPr>
          <w:footerReference w:type="default" r:id="rId70"/>
          <w:pgSz w:w="12240" w:h="15840"/>
          <w:pgMar w:footer="1473" w:header="0" w:top="1360" w:bottom="1660" w:left="1300" w:right="1300"/>
          <w:pgNumType w:start="61"/>
        </w:sectPr>
      </w:pPr>
    </w:p>
    <w:p>
      <w:pPr>
        <w:pStyle w:val="Heading1"/>
        <w:numPr>
          <w:ilvl w:val="1"/>
          <w:numId w:val="5"/>
        </w:numPr>
        <w:tabs>
          <w:tab w:pos="511" w:val="left" w:leader="none"/>
        </w:tabs>
        <w:spacing w:line="240" w:lineRule="auto" w:before="53" w:after="0"/>
        <w:ind w:left="116" w:right="0" w:firstLine="0"/>
        <w:jc w:val="both"/>
      </w:pPr>
      <w:bookmarkStart w:name="_bookmark45" w:id="65"/>
      <w:bookmarkEnd w:id="65"/>
      <w:r>
        <w:rPr>
          <w:b w:val="0"/>
        </w:rPr>
      </w:r>
      <w:bookmarkStart w:name="_bookmark45" w:id="66"/>
      <w:bookmarkEnd w:id="66"/>
      <w:r>
        <w:rPr/>
        <w:t>Caracteri</w:t>
      </w:r>
      <w:r>
        <w:rPr/>
        <w:t>zación geomorfológica </w:t>
      </w:r>
      <w:r>
        <w:rPr>
          <w:spacing w:val="-3"/>
        </w:rPr>
        <w:t>de </w:t>
      </w:r>
      <w:r>
        <w:rPr/>
        <w:t>la cuenca</w:t>
      </w:r>
      <w:r>
        <w:rPr>
          <w:spacing w:val="-11"/>
        </w:rPr>
        <w:t> </w:t>
      </w:r>
      <w:r>
        <w:rPr/>
        <w:t>hidrográfica</w:t>
      </w:r>
    </w:p>
    <w:p>
      <w:pPr>
        <w:pStyle w:val="BodyText"/>
        <w:rPr>
          <w:b/>
        </w:rPr>
      </w:pPr>
    </w:p>
    <w:p>
      <w:pPr>
        <w:pStyle w:val="BodyText"/>
        <w:spacing w:before="10"/>
        <w:rPr>
          <w:b/>
          <w:sz w:val="21"/>
        </w:rPr>
      </w:pPr>
    </w:p>
    <w:p>
      <w:pPr>
        <w:pStyle w:val="BodyText"/>
        <w:spacing w:line="360" w:lineRule="auto"/>
        <w:ind w:left="116" w:right="110"/>
        <w:jc w:val="both"/>
      </w:pPr>
      <w:r>
        <w:rPr/>
        <w:t>Para realizar la caracterización geomorfológica de la cuenca se retomaron los conceptos que desarrollan instituciones como la SRH, (1974), SARH, (1988) y algunos autores</w:t>
      </w:r>
      <w:r>
        <w:rPr>
          <w:spacing w:val="-44"/>
        </w:rPr>
        <w:t> </w:t>
      </w:r>
      <w:r>
        <w:rPr/>
        <w:t>como Aparicio, (1989); cada uno de ellos se conceptualiza a continuación para ser retomados posteriormente y obtener el dato respectivo de la cuenca El Tejocote durante la caracterización de la</w:t>
      </w:r>
      <w:r>
        <w:rPr>
          <w:spacing w:val="-10"/>
        </w:rPr>
        <w:t> </w:t>
      </w:r>
      <w:r>
        <w:rPr/>
        <w:t>misma.</w:t>
      </w:r>
    </w:p>
    <w:p>
      <w:pPr>
        <w:pStyle w:val="BodyText"/>
      </w:pPr>
    </w:p>
    <w:p>
      <w:pPr>
        <w:pStyle w:val="Heading1"/>
        <w:numPr>
          <w:ilvl w:val="0"/>
          <w:numId w:val="21"/>
        </w:numPr>
        <w:tabs>
          <w:tab w:pos="836" w:val="left" w:leader="none"/>
          <w:tab w:pos="837" w:val="left" w:leader="none"/>
        </w:tabs>
        <w:spacing w:line="240" w:lineRule="auto" w:before="161" w:after="0"/>
        <w:ind w:left="837" w:right="0" w:hanging="361"/>
        <w:jc w:val="left"/>
      </w:pPr>
      <w:r>
        <w:rPr/>
        <w:t>Área </w:t>
      </w:r>
      <w:r>
        <w:rPr>
          <w:spacing w:val="-3"/>
        </w:rPr>
        <w:t>de </w:t>
      </w:r>
      <w:r>
        <w:rPr/>
        <w:t>la</w:t>
      </w:r>
      <w:r>
        <w:rPr>
          <w:spacing w:val="2"/>
        </w:rPr>
        <w:t> </w:t>
      </w:r>
      <w:r>
        <w:rPr/>
        <w:t>cuenca</w:t>
      </w:r>
    </w:p>
    <w:p>
      <w:pPr>
        <w:pStyle w:val="BodyText"/>
        <w:rPr>
          <w:b/>
        </w:rPr>
      </w:pPr>
    </w:p>
    <w:p>
      <w:pPr>
        <w:pStyle w:val="BodyText"/>
        <w:spacing w:before="2"/>
        <w:rPr>
          <w:b/>
          <w:sz w:val="25"/>
        </w:rPr>
      </w:pPr>
    </w:p>
    <w:p>
      <w:pPr>
        <w:pStyle w:val="BodyText"/>
        <w:spacing w:line="360" w:lineRule="auto"/>
        <w:ind w:left="116" w:right="112"/>
        <w:jc w:val="both"/>
      </w:pPr>
      <w:r>
        <w:rPr/>
        <w:t>Aparicio, (1989) define a la cuenca como una zona de la superficie terrestre en donde (si fuera impermeable) las gotas de lluvia que caen sobre ella tienden a ser drenadas por el sistema de corrientes hacia un mismo punto de salida. </w:t>
      </w:r>
      <w:r>
        <w:rPr>
          <w:spacing w:val="-3"/>
        </w:rPr>
        <w:t>La </w:t>
      </w:r>
      <w:r>
        <w:rPr/>
        <w:t>definición anterior se refiere a una</w:t>
      </w:r>
      <w:r>
        <w:rPr>
          <w:spacing w:val="-11"/>
        </w:rPr>
        <w:t> </w:t>
      </w:r>
      <w:r>
        <w:rPr/>
        <w:t>cuenca</w:t>
      </w:r>
      <w:r>
        <w:rPr>
          <w:spacing w:val="-10"/>
        </w:rPr>
        <w:t> </w:t>
      </w:r>
      <w:r>
        <w:rPr/>
        <w:t>superficial;</w:t>
      </w:r>
      <w:r>
        <w:rPr>
          <w:spacing w:val="-10"/>
        </w:rPr>
        <w:t> </w:t>
      </w:r>
      <w:r>
        <w:rPr/>
        <w:t>asociada</w:t>
      </w:r>
      <w:r>
        <w:rPr>
          <w:spacing w:val="-10"/>
        </w:rPr>
        <w:t> </w:t>
      </w:r>
      <w:r>
        <w:rPr/>
        <w:t>a</w:t>
      </w:r>
      <w:r>
        <w:rPr>
          <w:spacing w:val="-11"/>
        </w:rPr>
        <w:t> </w:t>
      </w:r>
      <w:r>
        <w:rPr/>
        <w:t>cada</w:t>
      </w:r>
      <w:r>
        <w:rPr>
          <w:spacing w:val="-10"/>
        </w:rPr>
        <w:t> </w:t>
      </w:r>
      <w:r>
        <w:rPr/>
        <w:t>una</w:t>
      </w:r>
      <w:r>
        <w:rPr>
          <w:spacing w:val="-9"/>
        </w:rPr>
        <w:t> </w:t>
      </w:r>
      <w:r>
        <w:rPr/>
        <w:t>de</w:t>
      </w:r>
      <w:r>
        <w:rPr>
          <w:spacing w:val="-16"/>
        </w:rPr>
        <w:t> </w:t>
      </w:r>
      <w:r>
        <w:rPr/>
        <w:t>éstas</w:t>
      </w:r>
      <w:r>
        <w:rPr>
          <w:spacing w:val="-11"/>
        </w:rPr>
        <w:t> </w:t>
      </w:r>
      <w:r>
        <w:rPr/>
        <w:t>existe</w:t>
      </w:r>
      <w:r>
        <w:rPr>
          <w:spacing w:val="-11"/>
        </w:rPr>
        <w:t> </w:t>
      </w:r>
      <w:r>
        <w:rPr/>
        <w:t>también</w:t>
      </w:r>
      <w:r>
        <w:rPr>
          <w:spacing w:val="-11"/>
        </w:rPr>
        <w:t> </w:t>
      </w:r>
      <w:r>
        <w:rPr/>
        <w:t>una</w:t>
      </w:r>
      <w:r>
        <w:rPr>
          <w:spacing w:val="-11"/>
        </w:rPr>
        <w:t> </w:t>
      </w:r>
      <w:r>
        <w:rPr/>
        <w:t>cuenca</w:t>
      </w:r>
      <w:r>
        <w:rPr>
          <w:spacing w:val="-10"/>
        </w:rPr>
        <w:t> </w:t>
      </w:r>
      <w:r>
        <w:rPr/>
        <w:t>subterránea, cuya forma en planta es semejante a la</w:t>
      </w:r>
      <w:r>
        <w:rPr>
          <w:spacing w:val="-5"/>
        </w:rPr>
        <w:t> </w:t>
      </w:r>
      <w:r>
        <w:rPr/>
        <w:t>superficial.</w:t>
      </w:r>
    </w:p>
    <w:p>
      <w:pPr>
        <w:pStyle w:val="BodyText"/>
      </w:pPr>
    </w:p>
    <w:p>
      <w:pPr>
        <w:pStyle w:val="BodyText"/>
        <w:spacing w:line="360" w:lineRule="auto" w:before="155"/>
        <w:ind w:left="116" w:right="111"/>
        <w:jc w:val="both"/>
      </w:pPr>
      <w:r>
        <w:rPr>
          <w:spacing w:val="-3"/>
        </w:rPr>
        <w:t>La</w:t>
      </w:r>
      <w:r>
        <w:rPr/>
        <w:t> SARH,</w:t>
      </w:r>
      <w:r>
        <w:rPr>
          <w:spacing w:val="-3"/>
        </w:rPr>
        <w:t> </w:t>
      </w:r>
      <w:r>
        <w:rPr/>
        <w:t>(1988)</w:t>
      </w:r>
      <w:r>
        <w:rPr>
          <w:spacing w:val="-5"/>
        </w:rPr>
        <w:t> </w:t>
      </w:r>
      <w:r>
        <w:rPr/>
        <w:t>realizó</w:t>
      </w:r>
      <w:r>
        <w:rPr>
          <w:spacing w:val="-5"/>
        </w:rPr>
        <w:t> </w:t>
      </w:r>
      <w:r>
        <w:rPr/>
        <w:t>un</w:t>
      </w:r>
      <w:r>
        <w:rPr>
          <w:spacing w:val="-5"/>
        </w:rPr>
        <w:t> </w:t>
      </w:r>
      <w:r>
        <w:rPr/>
        <w:t>diagnóstico</w:t>
      </w:r>
      <w:r>
        <w:rPr>
          <w:spacing w:val="-5"/>
        </w:rPr>
        <w:t> </w:t>
      </w:r>
      <w:r>
        <w:rPr/>
        <w:t>para</w:t>
      </w:r>
      <w:r>
        <w:rPr>
          <w:spacing w:val="-5"/>
        </w:rPr>
        <w:t> </w:t>
      </w:r>
      <w:r>
        <w:rPr/>
        <w:t>estudio</w:t>
      </w:r>
      <w:r>
        <w:rPr>
          <w:spacing w:val="-5"/>
        </w:rPr>
        <w:t> </w:t>
      </w:r>
      <w:r>
        <w:rPr/>
        <w:t>de</w:t>
      </w:r>
      <w:r>
        <w:rPr>
          <w:spacing w:val="-5"/>
        </w:rPr>
        <w:t> </w:t>
      </w:r>
      <w:r>
        <w:rPr/>
        <w:t>un</w:t>
      </w:r>
      <w:r>
        <w:rPr>
          <w:spacing w:val="-1"/>
        </w:rPr>
        <w:t> </w:t>
      </w:r>
      <w:r>
        <w:rPr/>
        <w:t>manejo</w:t>
      </w:r>
      <w:r>
        <w:rPr>
          <w:spacing w:val="-5"/>
        </w:rPr>
        <w:t> </w:t>
      </w:r>
      <w:r>
        <w:rPr/>
        <w:t>de</w:t>
      </w:r>
      <w:r>
        <w:rPr>
          <w:spacing w:val="-5"/>
        </w:rPr>
        <w:t> </w:t>
      </w:r>
      <w:r>
        <w:rPr/>
        <w:t>cuencas,</w:t>
      </w:r>
      <w:r>
        <w:rPr>
          <w:spacing w:val="-2"/>
        </w:rPr>
        <w:t> </w:t>
      </w:r>
      <w:r>
        <w:rPr/>
        <w:t>donde</w:t>
      </w:r>
      <w:r>
        <w:rPr>
          <w:spacing w:val="-5"/>
        </w:rPr>
        <w:t> </w:t>
      </w:r>
      <w:r>
        <w:rPr/>
        <w:t>a</w:t>
      </w:r>
      <w:r>
        <w:rPr>
          <w:spacing w:val="-5"/>
        </w:rPr>
        <w:t> </w:t>
      </w:r>
      <w:r>
        <w:rPr/>
        <w:t>su vez describe dentro del componente ambiente las características físicas propias de la cuenca, considerando como características físicas aquellas cualidades del medio, independientes a la actividad humana o donde la cueca influye únicamente en forma indirecta, dentro de esta se</w:t>
      </w:r>
      <w:r>
        <w:rPr>
          <w:spacing w:val="-27"/>
        </w:rPr>
        <w:t> </w:t>
      </w:r>
      <w:r>
        <w:rPr/>
        <w:t>describe:</w:t>
      </w:r>
    </w:p>
    <w:p>
      <w:pPr>
        <w:pStyle w:val="BodyText"/>
      </w:pPr>
    </w:p>
    <w:p>
      <w:pPr>
        <w:pStyle w:val="BodyText"/>
        <w:spacing w:line="360" w:lineRule="auto" w:before="151"/>
        <w:ind w:left="116" w:right="118"/>
        <w:jc w:val="both"/>
      </w:pPr>
      <w:r>
        <w:rPr/>
        <w:t>El</w:t>
      </w:r>
      <w:r>
        <w:rPr>
          <w:spacing w:val="-6"/>
        </w:rPr>
        <w:t> </w:t>
      </w:r>
      <w:r>
        <w:rPr/>
        <w:t>área</w:t>
      </w:r>
      <w:r>
        <w:rPr>
          <w:spacing w:val="-6"/>
        </w:rPr>
        <w:t> </w:t>
      </w:r>
      <w:r>
        <w:rPr/>
        <w:t>de</w:t>
      </w:r>
      <w:r>
        <w:rPr>
          <w:spacing w:val="-6"/>
        </w:rPr>
        <w:t> </w:t>
      </w:r>
      <w:r>
        <w:rPr/>
        <w:t>la</w:t>
      </w:r>
      <w:r>
        <w:rPr>
          <w:spacing w:val="-6"/>
        </w:rPr>
        <w:t> </w:t>
      </w:r>
      <w:r>
        <w:rPr/>
        <w:t>cuenca</w:t>
      </w:r>
      <w:r>
        <w:rPr>
          <w:spacing w:val="-6"/>
        </w:rPr>
        <w:t> </w:t>
      </w:r>
      <w:r>
        <w:rPr/>
        <w:t>como</w:t>
      </w:r>
      <w:r>
        <w:rPr>
          <w:spacing w:val="-6"/>
        </w:rPr>
        <w:t> </w:t>
      </w:r>
      <w:r>
        <w:rPr/>
        <w:t>la</w:t>
      </w:r>
      <w:r>
        <w:rPr>
          <w:spacing w:val="-6"/>
        </w:rPr>
        <w:t> </w:t>
      </w:r>
      <w:r>
        <w:rPr/>
        <w:t>unidad</w:t>
      </w:r>
      <w:r>
        <w:rPr>
          <w:spacing w:val="-6"/>
        </w:rPr>
        <w:t> </w:t>
      </w:r>
      <w:r>
        <w:rPr/>
        <w:t>de</w:t>
      </w:r>
      <w:r>
        <w:rPr>
          <w:spacing w:val="-6"/>
        </w:rPr>
        <w:t> </w:t>
      </w:r>
      <w:r>
        <w:rPr/>
        <w:t>superficie</w:t>
      </w:r>
      <w:r>
        <w:rPr>
          <w:spacing w:val="-6"/>
        </w:rPr>
        <w:t> </w:t>
      </w:r>
      <w:r>
        <w:rPr/>
        <w:t>en</w:t>
      </w:r>
      <w:r>
        <w:rPr>
          <w:spacing w:val="-6"/>
        </w:rPr>
        <w:t> </w:t>
      </w:r>
      <w:r>
        <w:rPr/>
        <w:t>estudio,</w:t>
      </w:r>
      <w:r>
        <w:rPr>
          <w:spacing w:val="-4"/>
        </w:rPr>
        <w:t> </w:t>
      </w:r>
      <w:r>
        <w:rPr/>
        <w:t>geográficamente</w:t>
      </w:r>
      <w:r>
        <w:rPr>
          <w:spacing w:val="-6"/>
        </w:rPr>
        <w:t> </w:t>
      </w:r>
      <w:r>
        <w:rPr/>
        <w:t>limitada</w:t>
      </w:r>
      <w:r>
        <w:rPr>
          <w:spacing w:val="-6"/>
        </w:rPr>
        <w:t> </w:t>
      </w:r>
      <w:r>
        <w:rPr/>
        <w:t>por medio de líneas divisorias topográficas llamadas “parteaguas”, este se puede obtener de cartas topográficas de fotografías aéreas utilizando un planímetro u otro método, o bien calcularse en</w:t>
      </w:r>
      <w:r>
        <w:rPr>
          <w:spacing w:val="-9"/>
        </w:rPr>
        <w:t> </w:t>
      </w:r>
      <w:r>
        <w:rPr/>
        <w:t>campo.</w:t>
      </w:r>
    </w:p>
    <w:p>
      <w:pPr>
        <w:spacing w:after="0" w:line="360" w:lineRule="auto"/>
        <w:jc w:val="both"/>
        <w:sectPr>
          <w:pgSz w:w="12240" w:h="15840"/>
          <w:pgMar w:header="0" w:footer="1473" w:top="1360" w:bottom="1660" w:left="1300" w:right="1300"/>
        </w:sectPr>
      </w:pPr>
    </w:p>
    <w:p>
      <w:pPr>
        <w:pStyle w:val="BodyText"/>
        <w:spacing w:line="360" w:lineRule="auto" w:before="49"/>
        <w:ind w:left="116" w:right="115"/>
        <w:jc w:val="both"/>
      </w:pPr>
      <w:r>
        <w:rPr/>
        <w:t>La SRH, (1974) expresa que al medirla, realmente se mide su proyección sobre un plano horizontal, en donde se expresan los resultados en kilómetros cuadrados, aunque también se acostumbra expresarla en hectáreas, sobre todo tratándose de cuencas pequeñas; el tamaño de la cuenca se puede clasificar a través del siguiente Cuadro 2 realizado por la SARH, (1988).</w:t>
      </w:r>
    </w:p>
    <w:p>
      <w:pPr>
        <w:pStyle w:val="BodyText"/>
      </w:pPr>
    </w:p>
    <w:p>
      <w:pPr>
        <w:pStyle w:val="Heading1"/>
        <w:spacing w:before="156"/>
        <w:ind w:left="1245" w:right="118"/>
      </w:pPr>
      <w:bookmarkStart w:name="_bookmark46" w:id="67"/>
      <w:bookmarkEnd w:id="67"/>
      <w:r>
        <w:rPr>
          <w:b w:val="0"/>
        </w:rPr>
      </w:r>
      <w:r>
        <w:rPr/>
        <w:t>Cuadro 2. Clasificación de cuencas hidrográficas por su tamaño.</w:t>
      </w:r>
    </w:p>
    <w:p>
      <w:pPr>
        <w:pStyle w:val="BodyText"/>
        <w:rPr>
          <w:b/>
          <w:sz w:val="18"/>
        </w:rPr>
      </w:pPr>
    </w:p>
    <w:tbl>
      <w:tblPr>
        <w:tblW w:w="0" w:type="auto"/>
        <w:jc w:val="left"/>
        <w:tblInd w:w="18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44"/>
        <w:gridCol w:w="2958"/>
      </w:tblGrid>
      <w:tr>
        <w:trPr>
          <w:trHeight w:val="288" w:hRule="exact"/>
        </w:trPr>
        <w:tc>
          <w:tcPr>
            <w:tcW w:w="3044" w:type="dxa"/>
            <w:tcBorders>
              <w:left w:val="nil"/>
              <w:right w:val="nil"/>
            </w:tcBorders>
          </w:tcPr>
          <w:p>
            <w:pPr>
              <w:pStyle w:val="TableParagraph"/>
              <w:spacing w:line="273" w:lineRule="exact" w:before="0"/>
              <w:ind w:left="845"/>
              <w:jc w:val="left"/>
              <w:rPr>
                <w:b/>
                <w:sz w:val="24"/>
              </w:rPr>
            </w:pPr>
            <w:r>
              <w:rPr>
                <w:b/>
                <w:sz w:val="24"/>
              </w:rPr>
              <w:t>Clasificación</w:t>
            </w:r>
          </w:p>
        </w:tc>
        <w:tc>
          <w:tcPr>
            <w:tcW w:w="2958" w:type="dxa"/>
            <w:tcBorders>
              <w:left w:val="nil"/>
              <w:right w:val="nil"/>
            </w:tcBorders>
          </w:tcPr>
          <w:p>
            <w:pPr>
              <w:pStyle w:val="TableParagraph"/>
              <w:spacing w:line="273" w:lineRule="exact" w:before="0"/>
              <w:ind w:left="668" w:right="712"/>
              <w:jc w:val="center"/>
              <w:rPr>
                <w:b/>
                <w:sz w:val="24"/>
              </w:rPr>
            </w:pPr>
            <w:r>
              <w:rPr>
                <w:b/>
                <w:sz w:val="24"/>
              </w:rPr>
              <w:t>Tamaño (km2)</w:t>
            </w:r>
          </w:p>
        </w:tc>
      </w:tr>
      <w:tr>
        <w:trPr>
          <w:trHeight w:val="284" w:hRule="exact"/>
        </w:trPr>
        <w:tc>
          <w:tcPr>
            <w:tcW w:w="3044" w:type="dxa"/>
            <w:tcBorders>
              <w:left w:val="nil"/>
              <w:bottom w:val="nil"/>
              <w:right w:val="nil"/>
            </w:tcBorders>
          </w:tcPr>
          <w:p>
            <w:pPr>
              <w:pStyle w:val="TableParagraph"/>
              <w:spacing w:line="268" w:lineRule="exact" w:before="0"/>
              <w:ind w:left="120"/>
              <w:jc w:val="left"/>
              <w:rPr>
                <w:sz w:val="24"/>
              </w:rPr>
            </w:pPr>
            <w:r>
              <w:rPr>
                <w:sz w:val="24"/>
              </w:rPr>
              <w:t>Muy chicas</w:t>
            </w:r>
          </w:p>
        </w:tc>
        <w:tc>
          <w:tcPr>
            <w:tcW w:w="2958" w:type="dxa"/>
            <w:tcBorders>
              <w:left w:val="nil"/>
              <w:bottom w:val="nil"/>
              <w:right w:val="nil"/>
            </w:tcBorders>
          </w:tcPr>
          <w:p>
            <w:pPr>
              <w:pStyle w:val="TableParagraph"/>
              <w:spacing w:line="268" w:lineRule="exact" w:before="0"/>
              <w:ind w:left="673" w:right="709"/>
              <w:jc w:val="center"/>
              <w:rPr>
                <w:sz w:val="24"/>
              </w:rPr>
            </w:pPr>
            <w:r>
              <w:rPr>
                <w:sz w:val="24"/>
              </w:rPr>
              <w:t>&lt; 500</w:t>
            </w:r>
          </w:p>
        </w:tc>
      </w:tr>
      <w:tr>
        <w:trPr>
          <w:trHeight w:val="276" w:hRule="exact"/>
        </w:trPr>
        <w:tc>
          <w:tcPr>
            <w:tcW w:w="3044" w:type="dxa"/>
            <w:tcBorders>
              <w:top w:val="nil"/>
              <w:left w:val="nil"/>
              <w:bottom w:val="nil"/>
              <w:right w:val="nil"/>
            </w:tcBorders>
          </w:tcPr>
          <w:p>
            <w:pPr>
              <w:pStyle w:val="TableParagraph"/>
              <w:spacing w:line="262" w:lineRule="exact" w:before="0"/>
              <w:ind w:left="120"/>
              <w:jc w:val="left"/>
              <w:rPr>
                <w:sz w:val="24"/>
              </w:rPr>
            </w:pPr>
            <w:r>
              <w:rPr>
                <w:sz w:val="24"/>
              </w:rPr>
              <w:t>Chicas</w:t>
            </w:r>
          </w:p>
        </w:tc>
        <w:tc>
          <w:tcPr>
            <w:tcW w:w="2958" w:type="dxa"/>
            <w:tcBorders>
              <w:top w:val="nil"/>
              <w:left w:val="nil"/>
              <w:bottom w:val="nil"/>
              <w:right w:val="nil"/>
            </w:tcBorders>
          </w:tcPr>
          <w:p>
            <w:pPr>
              <w:pStyle w:val="TableParagraph"/>
              <w:spacing w:line="262" w:lineRule="exact" w:before="0"/>
              <w:ind w:left="673" w:right="704"/>
              <w:jc w:val="center"/>
              <w:rPr>
                <w:sz w:val="24"/>
              </w:rPr>
            </w:pPr>
            <w:r>
              <w:rPr>
                <w:sz w:val="24"/>
              </w:rPr>
              <w:t>500-1,000</w:t>
            </w:r>
          </w:p>
        </w:tc>
      </w:tr>
      <w:tr>
        <w:trPr>
          <w:trHeight w:val="276" w:hRule="exact"/>
        </w:trPr>
        <w:tc>
          <w:tcPr>
            <w:tcW w:w="3044" w:type="dxa"/>
            <w:tcBorders>
              <w:top w:val="nil"/>
              <w:left w:val="nil"/>
              <w:bottom w:val="nil"/>
              <w:right w:val="nil"/>
            </w:tcBorders>
          </w:tcPr>
          <w:p>
            <w:pPr/>
          </w:p>
        </w:tc>
        <w:tc>
          <w:tcPr>
            <w:tcW w:w="2958" w:type="dxa"/>
            <w:tcBorders>
              <w:top w:val="nil"/>
              <w:left w:val="nil"/>
              <w:bottom w:val="nil"/>
              <w:right w:val="nil"/>
            </w:tcBorders>
          </w:tcPr>
          <w:p>
            <w:pPr>
              <w:pStyle w:val="TableParagraph"/>
              <w:spacing w:line="264" w:lineRule="exact" w:before="0"/>
              <w:ind w:left="673" w:right="705"/>
              <w:jc w:val="center"/>
              <w:rPr>
                <w:sz w:val="24"/>
              </w:rPr>
            </w:pPr>
            <w:r>
              <w:rPr>
                <w:sz w:val="24"/>
              </w:rPr>
              <w:t>1,000-2,000</w:t>
            </w:r>
          </w:p>
        </w:tc>
      </w:tr>
      <w:tr>
        <w:trPr>
          <w:trHeight w:val="276" w:hRule="exact"/>
        </w:trPr>
        <w:tc>
          <w:tcPr>
            <w:tcW w:w="3044" w:type="dxa"/>
            <w:tcBorders>
              <w:top w:val="nil"/>
              <w:left w:val="nil"/>
              <w:bottom w:val="nil"/>
              <w:right w:val="nil"/>
            </w:tcBorders>
          </w:tcPr>
          <w:p>
            <w:pPr>
              <w:pStyle w:val="TableParagraph"/>
              <w:spacing w:line="262" w:lineRule="exact" w:before="0"/>
              <w:ind w:left="120"/>
              <w:jc w:val="left"/>
              <w:rPr>
                <w:sz w:val="24"/>
              </w:rPr>
            </w:pPr>
            <w:r>
              <w:rPr>
                <w:sz w:val="24"/>
              </w:rPr>
              <w:t>Medianas</w:t>
            </w:r>
          </w:p>
        </w:tc>
        <w:tc>
          <w:tcPr>
            <w:tcW w:w="2958" w:type="dxa"/>
            <w:tcBorders>
              <w:top w:val="nil"/>
              <w:left w:val="nil"/>
              <w:bottom w:val="nil"/>
              <w:right w:val="nil"/>
            </w:tcBorders>
          </w:tcPr>
          <w:p>
            <w:pPr>
              <w:pStyle w:val="TableParagraph"/>
              <w:spacing w:line="262" w:lineRule="exact" w:before="0"/>
              <w:ind w:left="673" w:right="705"/>
              <w:jc w:val="center"/>
              <w:rPr>
                <w:sz w:val="24"/>
              </w:rPr>
            </w:pPr>
            <w:r>
              <w:rPr>
                <w:sz w:val="24"/>
              </w:rPr>
              <w:t>2,000-5,000</w:t>
            </w:r>
          </w:p>
        </w:tc>
      </w:tr>
      <w:tr>
        <w:trPr>
          <w:trHeight w:val="276" w:hRule="exact"/>
        </w:trPr>
        <w:tc>
          <w:tcPr>
            <w:tcW w:w="3044" w:type="dxa"/>
            <w:tcBorders>
              <w:top w:val="nil"/>
              <w:left w:val="nil"/>
              <w:bottom w:val="nil"/>
              <w:right w:val="nil"/>
            </w:tcBorders>
          </w:tcPr>
          <w:p>
            <w:pPr/>
          </w:p>
        </w:tc>
        <w:tc>
          <w:tcPr>
            <w:tcW w:w="2958" w:type="dxa"/>
            <w:tcBorders>
              <w:top w:val="nil"/>
              <w:left w:val="nil"/>
              <w:bottom w:val="nil"/>
              <w:right w:val="nil"/>
            </w:tcBorders>
          </w:tcPr>
          <w:p>
            <w:pPr>
              <w:pStyle w:val="TableParagraph"/>
              <w:spacing w:line="264" w:lineRule="exact" w:before="0"/>
              <w:ind w:left="673" w:right="700"/>
              <w:jc w:val="center"/>
              <w:rPr>
                <w:sz w:val="24"/>
              </w:rPr>
            </w:pPr>
            <w:r>
              <w:rPr>
                <w:sz w:val="24"/>
              </w:rPr>
              <w:t>5,000-10,000</w:t>
            </w:r>
          </w:p>
        </w:tc>
      </w:tr>
      <w:tr>
        <w:trPr>
          <w:trHeight w:val="276" w:hRule="exact"/>
        </w:trPr>
        <w:tc>
          <w:tcPr>
            <w:tcW w:w="3044" w:type="dxa"/>
            <w:tcBorders>
              <w:top w:val="nil"/>
              <w:left w:val="nil"/>
              <w:bottom w:val="nil"/>
              <w:right w:val="nil"/>
            </w:tcBorders>
          </w:tcPr>
          <w:p>
            <w:pPr>
              <w:pStyle w:val="TableParagraph"/>
              <w:spacing w:line="262" w:lineRule="exact" w:before="0"/>
              <w:ind w:left="120"/>
              <w:jc w:val="left"/>
              <w:rPr>
                <w:sz w:val="24"/>
              </w:rPr>
            </w:pPr>
            <w:r>
              <w:rPr>
                <w:sz w:val="24"/>
              </w:rPr>
              <w:t>Medianamente grandes</w:t>
            </w:r>
          </w:p>
        </w:tc>
        <w:tc>
          <w:tcPr>
            <w:tcW w:w="2958" w:type="dxa"/>
            <w:tcBorders>
              <w:top w:val="nil"/>
              <w:left w:val="nil"/>
              <w:bottom w:val="nil"/>
              <w:right w:val="nil"/>
            </w:tcBorders>
          </w:tcPr>
          <w:p>
            <w:pPr>
              <w:pStyle w:val="TableParagraph"/>
              <w:spacing w:line="262" w:lineRule="exact" w:before="0"/>
              <w:ind w:left="673" w:right="705"/>
              <w:jc w:val="center"/>
              <w:rPr>
                <w:sz w:val="24"/>
              </w:rPr>
            </w:pPr>
            <w:r>
              <w:rPr>
                <w:sz w:val="24"/>
              </w:rPr>
              <w:t>10,000-20,000</w:t>
            </w:r>
          </w:p>
        </w:tc>
      </w:tr>
      <w:tr>
        <w:trPr>
          <w:trHeight w:val="276" w:hRule="exact"/>
        </w:trPr>
        <w:tc>
          <w:tcPr>
            <w:tcW w:w="3044" w:type="dxa"/>
            <w:tcBorders>
              <w:top w:val="nil"/>
              <w:left w:val="nil"/>
              <w:bottom w:val="nil"/>
              <w:right w:val="nil"/>
            </w:tcBorders>
          </w:tcPr>
          <w:p>
            <w:pPr>
              <w:pStyle w:val="TableParagraph"/>
              <w:spacing w:line="264" w:lineRule="exact" w:before="0"/>
              <w:ind w:left="120"/>
              <w:jc w:val="left"/>
              <w:rPr>
                <w:sz w:val="24"/>
              </w:rPr>
            </w:pPr>
            <w:r>
              <w:rPr>
                <w:sz w:val="24"/>
              </w:rPr>
              <w:t>Grandes</w:t>
            </w:r>
          </w:p>
        </w:tc>
        <w:tc>
          <w:tcPr>
            <w:tcW w:w="2958" w:type="dxa"/>
            <w:tcBorders>
              <w:top w:val="nil"/>
              <w:left w:val="nil"/>
              <w:bottom w:val="nil"/>
              <w:right w:val="nil"/>
            </w:tcBorders>
          </w:tcPr>
          <w:p>
            <w:pPr>
              <w:pStyle w:val="TableParagraph"/>
              <w:spacing w:line="264" w:lineRule="exact" w:before="0"/>
              <w:ind w:left="673" w:right="700"/>
              <w:jc w:val="center"/>
              <w:rPr>
                <w:sz w:val="24"/>
              </w:rPr>
            </w:pPr>
            <w:r>
              <w:rPr>
                <w:sz w:val="24"/>
              </w:rPr>
              <w:t>20,000-100,000</w:t>
            </w:r>
          </w:p>
        </w:tc>
      </w:tr>
      <w:tr>
        <w:trPr>
          <w:trHeight w:val="277" w:hRule="exact"/>
        </w:trPr>
        <w:tc>
          <w:tcPr>
            <w:tcW w:w="3044" w:type="dxa"/>
            <w:tcBorders>
              <w:top w:val="nil"/>
              <w:left w:val="nil"/>
              <w:right w:val="nil"/>
            </w:tcBorders>
          </w:tcPr>
          <w:p>
            <w:pPr>
              <w:pStyle w:val="TableParagraph"/>
              <w:spacing w:line="262" w:lineRule="exact" w:before="0"/>
              <w:ind w:left="120"/>
              <w:jc w:val="left"/>
              <w:rPr>
                <w:sz w:val="24"/>
              </w:rPr>
            </w:pPr>
            <w:r>
              <w:rPr>
                <w:sz w:val="24"/>
              </w:rPr>
              <w:t>Muy grandes</w:t>
            </w:r>
          </w:p>
        </w:tc>
        <w:tc>
          <w:tcPr>
            <w:tcW w:w="2958" w:type="dxa"/>
            <w:tcBorders>
              <w:top w:val="nil"/>
              <w:left w:val="nil"/>
              <w:right w:val="nil"/>
            </w:tcBorders>
          </w:tcPr>
          <w:p>
            <w:pPr>
              <w:pStyle w:val="TableParagraph"/>
              <w:spacing w:line="262" w:lineRule="exact" w:before="0"/>
              <w:ind w:left="673" w:right="704"/>
              <w:jc w:val="center"/>
              <w:rPr>
                <w:sz w:val="24"/>
              </w:rPr>
            </w:pPr>
            <w:r>
              <w:rPr>
                <w:sz w:val="24"/>
              </w:rPr>
              <w:t>&gt;100,000</w:t>
            </w:r>
          </w:p>
        </w:tc>
      </w:tr>
    </w:tbl>
    <w:p>
      <w:pPr>
        <w:spacing w:line="244" w:lineRule="exact" w:before="0"/>
        <w:ind w:left="2003" w:right="118" w:firstLine="0"/>
        <w:jc w:val="left"/>
        <w:rPr>
          <w:sz w:val="22"/>
        </w:rPr>
      </w:pPr>
      <w:r>
        <w:rPr>
          <w:sz w:val="22"/>
        </w:rPr>
        <w:t>Fuente: SARH, 1988.</w:t>
      </w:r>
    </w:p>
    <w:p>
      <w:pPr>
        <w:pStyle w:val="BodyText"/>
        <w:rPr>
          <w:sz w:val="22"/>
        </w:rPr>
      </w:pPr>
    </w:p>
    <w:p>
      <w:pPr>
        <w:pStyle w:val="BodyText"/>
        <w:spacing w:before="6"/>
        <w:rPr>
          <w:sz w:val="17"/>
        </w:rPr>
      </w:pPr>
    </w:p>
    <w:p>
      <w:pPr>
        <w:pStyle w:val="Heading1"/>
        <w:numPr>
          <w:ilvl w:val="0"/>
          <w:numId w:val="21"/>
        </w:numPr>
        <w:tabs>
          <w:tab w:pos="836" w:val="left" w:leader="none"/>
          <w:tab w:pos="837" w:val="left" w:leader="none"/>
        </w:tabs>
        <w:spacing w:line="240" w:lineRule="auto" w:before="0" w:after="0"/>
        <w:ind w:left="837" w:right="0" w:hanging="361"/>
        <w:jc w:val="left"/>
      </w:pPr>
      <w:r>
        <w:rPr/>
        <w:t>Perímetro </w:t>
      </w:r>
      <w:r>
        <w:rPr>
          <w:spacing w:val="-3"/>
        </w:rPr>
        <w:t>de </w:t>
      </w:r>
      <w:r>
        <w:rPr/>
        <w:t>la</w:t>
      </w:r>
      <w:r>
        <w:rPr>
          <w:spacing w:val="-4"/>
        </w:rPr>
        <w:t> </w:t>
      </w:r>
      <w:r>
        <w:rPr/>
        <w:t>cuenca</w:t>
      </w:r>
    </w:p>
    <w:p>
      <w:pPr>
        <w:pStyle w:val="BodyText"/>
        <w:rPr>
          <w:b/>
        </w:rPr>
      </w:pPr>
    </w:p>
    <w:p>
      <w:pPr>
        <w:pStyle w:val="BodyText"/>
        <w:spacing w:before="6"/>
        <w:rPr>
          <w:b/>
          <w:sz w:val="25"/>
        </w:rPr>
      </w:pPr>
    </w:p>
    <w:p>
      <w:pPr>
        <w:pStyle w:val="BodyText"/>
        <w:spacing w:line="360" w:lineRule="auto"/>
        <w:ind w:left="116" w:right="117"/>
        <w:jc w:val="both"/>
      </w:pPr>
      <w:r>
        <w:rPr/>
        <w:t>De igual manera, se suma el concepto de perímetro, el cual es el contorno de la superficie de la cuenca, y su longitud es equivalente a la longitud del parteaguas de la cuenca. El perímetro</w:t>
      </w:r>
      <w:r>
        <w:rPr>
          <w:spacing w:val="-10"/>
        </w:rPr>
        <w:t> </w:t>
      </w:r>
      <w:r>
        <w:rPr/>
        <w:t>se</w:t>
      </w:r>
      <w:r>
        <w:rPr>
          <w:spacing w:val="-10"/>
        </w:rPr>
        <w:t> </w:t>
      </w:r>
      <w:r>
        <w:rPr/>
        <w:t>obtiene</w:t>
      </w:r>
      <w:r>
        <w:rPr>
          <w:spacing w:val="-10"/>
        </w:rPr>
        <w:t> </w:t>
      </w:r>
      <w:r>
        <w:rPr/>
        <w:t>de</w:t>
      </w:r>
      <w:r>
        <w:rPr>
          <w:spacing w:val="-10"/>
        </w:rPr>
        <w:t> </w:t>
      </w:r>
      <w:r>
        <w:rPr/>
        <w:t>cartas</w:t>
      </w:r>
      <w:r>
        <w:rPr>
          <w:spacing w:val="-9"/>
        </w:rPr>
        <w:t> </w:t>
      </w:r>
      <w:r>
        <w:rPr/>
        <w:t>topográficas</w:t>
      </w:r>
      <w:r>
        <w:rPr>
          <w:spacing w:val="-10"/>
        </w:rPr>
        <w:t> </w:t>
      </w:r>
      <w:r>
        <w:rPr/>
        <w:t>o</w:t>
      </w:r>
      <w:r>
        <w:rPr>
          <w:spacing w:val="-10"/>
        </w:rPr>
        <w:t> </w:t>
      </w:r>
      <w:r>
        <w:rPr/>
        <w:t>de</w:t>
      </w:r>
      <w:r>
        <w:rPr>
          <w:spacing w:val="-5"/>
        </w:rPr>
        <w:t> </w:t>
      </w:r>
      <w:r>
        <w:rPr/>
        <w:t>fotografías</w:t>
      </w:r>
      <w:r>
        <w:rPr>
          <w:spacing w:val="-10"/>
        </w:rPr>
        <w:t> </w:t>
      </w:r>
      <w:r>
        <w:rPr/>
        <w:t>aéreas</w:t>
      </w:r>
      <w:r>
        <w:rPr>
          <w:spacing w:val="-10"/>
        </w:rPr>
        <w:t> </w:t>
      </w:r>
      <w:r>
        <w:rPr/>
        <w:t>utilizando</w:t>
      </w:r>
      <w:r>
        <w:rPr>
          <w:spacing w:val="-10"/>
        </w:rPr>
        <w:t> </w:t>
      </w:r>
      <w:r>
        <w:rPr/>
        <w:t>un</w:t>
      </w:r>
      <w:r>
        <w:rPr>
          <w:spacing w:val="-10"/>
        </w:rPr>
        <w:t> </w:t>
      </w:r>
      <w:r>
        <w:rPr/>
        <w:t>curvímetro o midiéndolo directamente en campo (SARH, 1988), así como a través de un</w:t>
      </w:r>
      <w:r>
        <w:rPr>
          <w:spacing w:val="-23"/>
        </w:rPr>
        <w:t> </w:t>
      </w:r>
      <w:r>
        <w:rPr/>
        <w:t>SIG.</w:t>
      </w:r>
    </w:p>
    <w:p>
      <w:pPr>
        <w:pStyle w:val="BodyText"/>
      </w:pPr>
    </w:p>
    <w:p>
      <w:pPr>
        <w:pStyle w:val="Heading1"/>
        <w:numPr>
          <w:ilvl w:val="0"/>
          <w:numId w:val="21"/>
        </w:numPr>
        <w:tabs>
          <w:tab w:pos="836" w:val="left" w:leader="none"/>
          <w:tab w:pos="837" w:val="left" w:leader="none"/>
        </w:tabs>
        <w:spacing w:line="240" w:lineRule="auto" w:before="161" w:after="0"/>
        <w:ind w:left="837" w:right="0" w:hanging="361"/>
        <w:jc w:val="left"/>
      </w:pPr>
      <w:r>
        <w:rPr/>
        <w:t>Pendiente </w:t>
      </w:r>
      <w:r>
        <w:rPr>
          <w:spacing w:val="-3"/>
        </w:rPr>
        <w:t>de </w:t>
      </w:r>
      <w:r>
        <w:rPr/>
        <w:t>la</w:t>
      </w:r>
      <w:r>
        <w:rPr>
          <w:spacing w:val="-2"/>
        </w:rPr>
        <w:t> </w:t>
      </w:r>
      <w:r>
        <w:rPr/>
        <w:t>cuenca</w:t>
      </w:r>
    </w:p>
    <w:p>
      <w:pPr>
        <w:pStyle w:val="BodyText"/>
        <w:rPr>
          <w:b/>
        </w:rPr>
      </w:pPr>
    </w:p>
    <w:p>
      <w:pPr>
        <w:pStyle w:val="BodyText"/>
        <w:spacing w:before="1"/>
        <w:rPr>
          <w:b/>
          <w:sz w:val="25"/>
        </w:rPr>
      </w:pPr>
    </w:p>
    <w:p>
      <w:pPr>
        <w:pStyle w:val="BodyText"/>
        <w:spacing w:line="360" w:lineRule="auto"/>
        <w:ind w:left="116" w:right="106"/>
        <w:jc w:val="both"/>
      </w:pPr>
      <w:r>
        <w:rPr/>
        <w:t>Para</w:t>
      </w:r>
      <w:r>
        <w:rPr>
          <w:spacing w:val="-11"/>
        </w:rPr>
        <w:t> </w:t>
      </w:r>
      <w:r>
        <w:rPr/>
        <w:t>Díaz</w:t>
      </w:r>
      <w:r>
        <w:rPr>
          <w:spacing w:val="-11"/>
        </w:rPr>
        <w:t> </w:t>
      </w:r>
      <w:r>
        <w:rPr/>
        <w:t>y</w:t>
      </w:r>
      <w:r>
        <w:rPr>
          <w:spacing w:val="-16"/>
        </w:rPr>
        <w:t> </w:t>
      </w:r>
      <w:r>
        <w:rPr/>
        <w:t>otros,</w:t>
      </w:r>
      <w:r>
        <w:rPr>
          <w:spacing w:val="-9"/>
        </w:rPr>
        <w:t> </w:t>
      </w:r>
      <w:r>
        <w:rPr/>
        <w:t>(2006)</w:t>
      </w:r>
      <w:r>
        <w:rPr>
          <w:spacing w:val="-16"/>
        </w:rPr>
        <w:t> </w:t>
      </w:r>
      <w:r>
        <w:rPr/>
        <w:t>la</w:t>
      </w:r>
      <w:r>
        <w:rPr>
          <w:spacing w:val="-11"/>
        </w:rPr>
        <w:t> </w:t>
      </w:r>
      <w:r>
        <w:rPr/>
        <w:t>relevancia</w:t>
      </w:r>
      <w:r>
        <w:rPr>
          <w:spacing w:val="-11"/>
        </w:rPr>
        <w:t> </w:t>
      </w:r>
      <w:r>
        <w:rPr/>
        <w:t>de</w:t>
      </w:r>
      <w:r>
        <w:rPr>
          <w:spacing w:val="-11"/>
        </w:rPr>
        <w:t> </w:t>
      </w:r>
      <w:r>
        <w:rPr/>
        <w:t>la</w:t>
      </w:r>
      <w:r>
        <w:rPr>
          <w:spacing w:val="-16"/>
        </w:rPr>
        <w:t> </w:t>
      </w:r>
      <w:r>
        <w:rPr/>
        <w:t>pendiente</w:t>
      </w:r>
      <w:r>
        <w:rPr>
          <w:spacing w:val="-11"/>
        </w:rPr>
        <w:t> </w:t>
      </w:r>
      <w:r>
        <w:rPr/>
        <w:t>de</w:t>
      </w:r>
      <w:r>
        <w:rPr>
          <w:spacing w:val="-11"/>
        </w:rPr>
        <w:t> </w:t>
      </w:r>
      <w:r>
        <w:rPr/>
        <w:t>una</w:t>
      </w:r>
      <w:r>
        <w:rPr>
          <w:spacing w:val="-16"/>
        </w:rPr>
        <w:t> </w:t>
      </w:r>
      <w:r>
        <w:rPr/>
        <w:t>cuenca</w:t>
      </w:r>
      <w:r>
        <w:rPr>
          <w:spacing w:val="-10"/>
        </w:rPr>
        <w:t> </w:t>
      </w:r>
      <w:r>
        <w:rPr/>
        <w:t>es</w:t>
      </w:r>
      <w:r>
        <w:rPr>
          <w:spacing w:val="-16"/>
        </w:rPr>
        <w:t> </w:t>
      </w:r>
      <w:r>
        <w:rPr/>
        <w:t>su</w:t>
      </w:r>
      <w:r>
        <w:rPr>
          <w:spacing w:val="-11"/>
        </w:rPr>
        <w:t> </w:t>
      </w:r>
      <w:r>
        <w:rPr/>
        <w:t>relación</w:t>
      </w:r>
      <w:r>
        <w:rPr>
          <w:spacing w:val="-10"/>
        </w:rPr>
        <w:t> </w:t>
      </w:r>
      <w:r>
        <w:rPr/>
        <w:t>estrecha con los fenómenos de infiltración, el escurrimiento superficial, la humedad del suelo y la contribución del agua subterránea al flujo de</w:t>
      </w:r>
      <w:r>
        <w:rPr>
          <w:spacing w:val="-15"/>
        </w:rPr>
        <w:t> </w:t>
      </w:r>
      <w:r>
        <w:rPr/>
        <w:t>cauces.</w:t>
      </w:r>
    </w:p>
    <w:p>
      <w:pPr>
        <w:spacing w:after="0" w:line="360" w:lineRule="auto"/>
        <w:jc w:val="both"/>
        <w:sectPr>
          <w:pgSz w:w="12240" w:h="15840"/>
          <w:pgMar w:header="0" w:footer="1473" w:top="1360" w:bottom="1660" w:left="1300" w:right="1300"/>
        </w:sectPr>
      </w:pPr>
    </w:p>
    <w:p>
      <w:pPr>
        <w:pStyle w:val="BodyText"/>
        <w:spacing w:line="360" w:lineRule="auto" w:before="49"/>
        <w:ind w:left="116" w:right="117"/>
        <w:jc w:val="both"/>
      </w:pPr>
      <w:r>
        <w:rPr/>
        <w:t>De</w:t>
      </w:r>
      <w:r>
        <w:rPr>
          <w:spacing w:val="-5"/>
        </w:rPr>
        <w:t> </w:t>
      </w:r>
      <w:r>
        <w:rPr/>
        <w:t>igual</w:t>
      </w:r>
      <w:r>
        <w:rPr>
          <w:spacing w:val="-5"/>
        </w:rPr>
        <w:t> </w:t>
      </w:r>
      <w:r>
        <w:rPr/>
        <w:t>forma,</w:t>
      </w:r>
      <w:r>
        <w:rPr>
          <w:spacing w:val="-3"/>
        </w:rPr>
        <w:t> </w:t>
      </w:r>
      <w:r>
        <w:rPr/>
        <w:t>las</w:t>
      </w:r>
      <w:r>
        <w:rPr>
          <w:spacing w:val="-5"/>
        </w:rPr>
        <w:t> </w:t>
      </w:r>
      <w:r>
        <w:rPr/>
        <w:t>SRH,</w:t>
      </w:r>
      <w:r>
        <w:rPr>
          <w:spacing w:val="-3"/>
        </w:rPr>
        <w:t> </w:t>
      </w:r>
      <w:r>
        <w:rPr/>
        <w:t>(1974)</w:t>
      </w:r>
      <w:r>
        <w:rPr>
          <w:spacing w:val="-5"/>
        </w:rPr>
        <w:t> </w:t>
      </w:r>
      <w:r>
        <w:rPr/>
        <w:t>concuerda</w:t>
      </w:r>
      <w:r>
        <w:rPr>
          <w:spacing w:val="-5"/>
        </w:rPr>
        <w:t> </w:t>
      </w:r>
      <w:r>
        <w:rPr/>
        <w:t>con</w:t>
      </w:r>
      <w:r>
        <w:rPr>
          <w:spacing w:val="-5"/>
        </w:rPr>
        <w:t> </w:t>
      </w:r>
      <w:r>
        <w:rPr/>
        <w:t>que</w:t>
      </w:r>
      <w:r>
        <w:rPr>
          <w:spacing w:val="-5"/>
        </w:rPr>
        <w:t> </w:t>
      </w:r>
      <w:r>
        <w:rPr/>
        <w:t>la</w:t>
      </w:r>
      <w:r>
        <w:rPr>
          <w:spacing w:val="-5"/>
        </w:rPr>
        <w:t> </w:t>
      </w:r>
      <w:r>
        <w:rPr/>
        <w:t>pendiente</w:t>
      </w:r>
      <w:r>
        <w:rPr>
          <w:spacing w:val="-5"/>
        </w:rPr>
        <w:t> </w:t>
      </w:r>
      <w:r>
        <w:rPr/>
        <w:t>es</w:t>
      </w:r>
      <w:r>
        <w:rPr>
          <w:spacing w:val="-5"/>
        </w:rPr>
        <w:t> </w:t>
      </w:r>
      <w:r>
        <w:rPr/>
        <w:t>una</w:t>
      </w:r>
      <w:r>
        <w:rPr>
          <w:spacing w:val="-5"/>
        </w:rPr>
        <w:t> </w:t>
      </w:r>
      <w:r>
        <w:rPr/>
        <w:t>característica</w:t>
      </w:r>
      <w:r>
        <w:rPr>
          <w:spacing w:val="-4"/>
        </w:rPr>
        <w:t> </w:t>
      </w:r>
      <w:r>
        <w:rPr/>
        <w:t>de</w:t>
      </w:r>
      <w:r>
        <w:rPr>
          <w:spacing w:val="-5"/>
        </w:rPr>
        <w:t> </w:t>
      </w:r>
      <w:r>
        <w:rPr/>
        <w:t>la cuenca, que tiene gran influencia en los escurrimientos de la corriente. Existen varios métodos de cálculo, dependiendo la selección de ellos del uso que se le vaya a dar al resultado, entre ellos se mencionan los</w:t>
      </w:r>
      <w:r>
        <w:rPr>
          <w:spacing w:val="-14"/>
        </w:rPr>
        <w:t> </w:t>
      </w:r>
      <w:r>
        <w:rPr/>
        <w:t>siguientes:</w:t>
      </w:r>
    </w:p>
    <w:p>
      <w:pPr>
        <w:pStyle w:val="BodyText"/>
      </w:pPr>
    </w:p>
    <w:p>
      <w:pPr>
        <w:pStyle w:val="ListParagraph"/>
        <w:numPr>
          <w:ilvl w:val="0"/>
          <w:numId w:val="22"/>
        </w:numPr>
        <w:tabs>
          <w:tab w:pos="837" w:val="left" w:leader="none"/>
        </w:tabs>
        <w:spacing w:line="360" w:lineRule="auto" w:before="155" w:after="0"/>
        <w:ind w:left="837" w:right="116" w:hanging="361"/>
        <w:jc w:val="both"/>
        <w:rPr>
          <w:sz w:val="26"/>
        </w:rPr>
      </w:pPr>
      <w:r>
        <w:rPr>
          <w:i/>
          <w:sz w:val="26"/>
        </w:rPr>
        <w:t>Método de Alvord</w:t>
      </w:r>
      <w:r>
        <w:rPr>
          <w:sz w:val="26"/>
        </w:rPr>
        <w:t>, es el más simple de los procedimientos y se basa en la</w:t>
      </w:r>
      <w:r>
        <w:rPr>
          <w:spacing w:val="-33"/>
          <w:sz w:val="26"/>
        </w:rPr>
        <w:t> </w:t>
      </w:r>
      <w:r>
        <w:rPr>
          <w:sz w:val="26"/>
        </w:rPr>
        <w:t>pendiente existente entre las líneas intermedias entre las curvas de nivel, que es equivalente</w:t>
      </w:r>
      <w:r>
        <w:rPr>
          <w:spacing w:val="-21"/>
          <w:sz w:val="26"/>
        </w:rPr>
        <w:t> </w:t>
      </w:r>
      <w:r>
        <w:rPr>
          <w:sz w:val="26"/>
        </w:rPr>
        <w:t>al desnivel entre dichas curvas, obteniendo la pendiente de la cuenca al sacar el promedio de la pendiente década faja en relación con su área de</w:t>
      </w:r>
      <w:r>
        <w:rPr>
          <w:spacing w:val="-13"/>
          <w:sz w:val="26"/>
        </w:rPr>
        <w:t> </w:t>
      </w:r>
      <w:r>
        <w:rPr>
          <w:sz w:val="26"/>
        </w:rPr>
        <w:t>influencia.</w:t>
      </w:r>
    </w:p>
    <w:p>
      <w:pPr>
        <w:pStyle w:val="BodyText"/>
      </w:pPr>
    </w:p>
    <w:p>
      <w:pPr>
        <w:pStyle w:val="ListParagraph"/>
        <w:numPr>
          <w:ilvl w:val="0"/>
          <w:numId w:val="22"/>
        </w:numPr>
        <w:tabs>
          <w:tab w:pos="837" w:val="left" w:leader="none"/>
        </w:tabs>
        <w:spacing w:line="360" w:lineRule="auto" w:before="156" w:after="0"/>
        <w:ind w:left="837" w:right="117" w:hanging="361"/>
        <w:jc w:val="both"/>
        <w:rPr>
          <w:sz w:val="26"/>
        </w:rPr>
      </w:pPr>
      <w:r>
        <w:rPr>
          <w:i/>
          <w:sz w:val="26"/>
        </w:rPr>
        <w:t>Método de Horton</w:t>
      </w:r>
      <w:r>
        <w:rPr>
          <w:sz w:val="26"/>
        </w:rPr>
        <w:t>, este método consiste esencialmente en determinar la pendiente de</w:t>
      </w:r>
      <w:r>
        <w:rPr>
          <w:spacing w:val="-15"/>
          <w:sz w:val="26"/>
        </w:rPr>
        <w:t> </w:t>
      </w:r>
      <w:r>
        <w:rPr>
          <w:sz w:val="26"/>
        </w:rPr>
        <w:t>la</w:t>
      </w:r>
      <w:r>
        <w:rPr>
          <w:spacing w:val="-15"/>
          <w:sz w:val="26"/>
        </w:rPr>
        <w:t> </w:t>
      </w:r>
      <w:r>
        <w:rPr>
          <w:sz w:val="26"/>
        </w:rPr>
        <w:t>cuenca</w:t>
      </w:r>
      <w:r>
        <w:rPr>
          <w:spacing w:val="-14"/>
          <w:sz w:val="26"/>
        </w:rPr>
        <w:t> </w:t>
      </w:r>
      <w:r>
        <w:rPr>
          <w:sz w:val="26"/>
        </w:rPr>
        <w:t>en</w:t>
      </w:r>
      <w:r>
        <w:rPr>
          <w:spacing w:val="-15"/>
          <w:sz w:val="26"/>
        </w:rPr>
        <w:t> </w:t>
      </w:r>
      <w:r>
        <w:rPr>
          <w:sz w:val="26"/>
        </w:rPr>
        <w:t>dos</w:t>
      </w:r>
      <w:r>
        <w:rPr>
          <w:spacing w:val="-15"/>
          <w:sz w:val="26"/>
        </w:rPr>
        <w:t> </w:t>
      </w:r>
      <w:r>
        <w:rPr>
          <w:sz w:val="26"/>
        </w:rPr>
        <w:t>direcciones,</w:t>
      </w:r>
      <w:r>
        <w:rPr>
          <w:spacing w:val="-12"/>
          <w:sz w:val="26"/>
        </w:rPr>
        <w:t> </w:t>
      </w:r>
      <w:r>
        <w:rPr>
          <w:sz w:val="26"/>
        </w:rPr>
        <w:t>para</w:t>
      </w:r>
      <w:r>
        <w:rPr>
          <w:spacing w:val="-14"/>
          <w:sz w:val="26"/>
        </w:rPr>
        <w:t> </w:t>
      </w:r>
      <w:r>
        <w:rPr>
          <w:sz w:val="26"/>
        </w:rPr>
        <w:t>posteriormente</w:t>
      </w:r>
      <w:r>
        <w:rPr>
          <w:spacing w:val="-15"/>
          <w:sz w:val="26"/>
        </w:rPr>
        <w:t> </w:t>
      </w:r>
      <w:r>
        <w:rPr>
          <w:sz w:val="26"/>
        </w:rPr>
        <w:t>determinar</w:t>
      </w:r>
      <w:r>
        <w:rPr>
          <w:spacing w:val="-15"/>
          <w:sz w:val="26"/>
        </w:rPr>
        <w:t> </w:t>
      </w:r>
      <w:r>
        <w:rPr>
          <w:sz w:val="26"/>
        </w:rPr>
        <w:t>la</w:t>
      </w:r>
      <w:r>
        <w:rPr>
          <w:spacing w:val="-15"/>
          <w:sz w:val="26"/>
        </w:rPr>
        <w:t> </w:t>
      </w:r>
      <w:r>
        <w:rPr>
          <w:sz w:val="26"/>
        </w:rPr>
        <w:t>pendiente</w:t>
      </w:r>
      <w:r>
        <w:rPr>
          <w:spacing w:val="-9"/>
          <w:sz w:val="26"/>
        </w:rPr>
        <w:t> </w:t>
      </w:r>
      <w:r>
        <w:rPr>
          <w:sz w:val="26"/>
        </w:rPr>
        <w:t>general de la cuenca, tomando en consideración la inclinación de las curvas de</w:t>
      </w:r>
      <w:r>
        <w:rPr>
          <w:spacing w:val="-15"/>
          <w:sz w:val="26"/>
        </w:rPr>
        <w:t> </w:t>
      </w:r>
      <w:r>
        <w:rPr>
          <w:sz w:val="26"/>
        </w:rPr>
        <w:t>nivel.</w:t>
      </w:r>
    </w:p>
    <w:p>
      <w:pPr>
        <w:pStyle w:val="BodyText"/>
      </w:pPr>
    </w:p>
    <w:p>
      <w:pPr>
        <w:pStyle w:val="ListParagraph"/>
        <w:numPr>
          <w:ilvl w:val="0"/>
          <w:numId w:val="22"/>
        </w:numPr>
        <w:tabs>
          <w:tab w:pos="837" w:val="left" w:leader="none"/>
        </w:tabs>
        <w:spacing w:line="360" w:lineRule="auto" w:before="151" w:after="0"/>
        <w:ind w:left="837" w:right="106" w:hanging="361"/>
        <w:jc w:val="both"/>
        <w:rPr>
          <w:sz w:val="26"/>
        </w:rPr>
      </w:pPr>
      <w:r>
        <w:rPr>
          <w:i/>
          <w:sz w:val="26"/>
        </w:rPr>
        <w:t>Método de Nash</w:t>
      </w:r>
      <w:r>
        <w:rPr>
          <w:sz w:val="26"/>
        </w:rPr>
        <w:t>, este procedimiento de cálculo de la pendiente de una cuenca es análogo</w:t>
      </w:r>
      <w:r>
        <w:rPr>
          <w:spacing w:val="-16"/>
          <w:sz w:val="26"/>
        </w:rPr>
        <w:t> </w:t>
      </w:r>
      <w:r>
        <w:rPr>
          <w:sz w:val="26"/>
        </w:rPr>
        <w:t>al</w:t>
      </w:r>
      <w:r>
        <w:rPr>
          <w:spacing w:val="-16"/>
          <w:sz w:val="26"/>
        </w:rPr>
        <w:t> </w:t>
      </w:r>
      <w:r>
        <w:rPr>
          <w:sz w:val="26"/>
        </w:rPr>
        <w:t>empleado</w:t>
      </w:r>
      <w:r>
        <w:rPr>
          <w:spacing w:val="-16"/>
          <w:sz w:val="26"/>
        </w:rPr>
        <w:t> </w:t>
      </w:r>
      <w:r>
        <w:rPr>
          <w:sz w:val="26"/>
        </w:rPr>
        <w:t>por</w:t>
      </w:r>
      <w:r>
        <w:rPr>
          <w:spacing w:val="-16"/>
          <w:sz w:val="26"/>
        </w:rPr>
        <w:t> </w:t>
      </w:r>
      <w:r>
        <w:rPr>
          <w:sz w:val="26"/>
        </w:rPr>
        <w:t>Horton,</w:t>
      </w:r>
      <w:r>
        <w:rPr>
          <w:spacing w:val="-14"/>
          <w:sz w:val="26"/>
        </w:rPr>
        <w:t> </w:t>
      </w:r>
      <w:r>
        <w:rPr>
          <w:sz w:val="26"/>
        </w:rPr>
        <w:t>ya</w:t>
      </w:r>
      <w:r>
        <w:rPr>
          <w:spacing w:val="-20"/>
          <w:sz w:val="26"/>
        </w:rPr>
        <w:t> </w:t>
      </w:r>
      <w:r>
        <w:rPr>
          <w:sz w:val="26"/>
        </w:rPr>
        <w:t>que</w:t>
      </w:r>
      <w:r>
        <w:rPr>
          <w:spacing w:val="-16"/>
          <w:sz w:val="26"/>
        </w:rPr>
        <w:t> </w:t>
      </w:r>
      <w:r>
        <w:rPr>
          <w:sz w:val="26"/>
        </w:rPr>
        <w:t>también</w:t>
      </w:r>
      <w:r>
        <w:rPr>
          <w:spacing w:val="-16"/>
          <w:sz w:val="26"/>
        </w:rPr>
        <w:t> </w:t>
      </w:r>
      <w:r>
        <w:rPr>
          <w:sz w:val="26"/>
        </w:rPr>
        <w:t>requiere</w:t>
      </w:r>
      <w:r>
        <w:rPr>
          <w:spacing w:val="-15"/>
          <w:sz w:val="26"/>
        </w:rPr>
        <w:t> </w:t>
      </w:r>
      <w:r>
        <w:rPr>
          <w:sz w:val="26"/>
        </w:rPr>
        <w:t>trazar</w:t>
      </w:r>
      <w:r>
        <w:rPr>
          <w:spacing w:val="-15"/>
          <w:sz w:val="26"/>
        </w:rPr>
        <w:t> </w:t>
      </w:r>
      <w:r>
        <w:rPr>
          <w:sz w:val="26"/>
        </w:rPr>
        <w:t>una</w:t>
      </w:r>
      <w:r>
        <w:rPr>
          <w:spacing w:val="-20"/>
          <w:sz w:val="26"/>
        </w:rPr>
        <w:t> </w:t>
      </w:r>
      <w:r>
        <w:rPr>
          <w:sz w:val="26"/>
        </w:rPr>
        <w:t>cuadrícula</w:t>
      </w:r>
      <w:r>
        <w:rPr>
          <w:spacing w:val="-15"/>
          <w:sz w:val="26"/>
        </w:rPr>
        <w:t> </w:t>
      </w:r>
      <w:r>
        <w:rPr>
          <w:sz w:val="26"/>
        </w:rPr>
        <w:t>sobre el plano topográfico de la cuenca, de manera tal que se obtenga aproximadamente 100 intersecciones, en cada una de las cuales </w:t>
      </w:r>
      <w:r>
        <w:rPr>
          <w:spacing w:val="-3"/>
          <w:sz w:val="26"/>
        </w:rPr>
        <w:t>se </w:t>
      </w:r>
      <w:r>
        <w:rPr>
          <w:sz w:val="26"/>
        </w:rPr>
        <w:t>mide la distancia mínima entre las curvas de nivel y la pendiente en ese punto se considera como la relación entre la diferencia de nivel entre curvas y la mínima distancia medida, la pendiente así obtenida es la correspondiente a cada intersección y la media aritmética de ellas se considera la pendiente de la</w:t>
      </w:r>
      <w:r>
        <w:rPr>
          <w:spacing w:val="-3"/>
          <w:sz w:val="26"/>
        </w:rPr>
        <w:t> </w:t>
      </w:r>
      <w:r>
        <w:rPr>
          <w:sz w:val="26"/>
        </w:rPr>
        <w:t>cuenca.</w:t>
      </w:r>
    </w:p>
    <w:p>
      <w:pPr>
        <w:pStyle w:val="BodyText"/>
      </w:pPr>
    </w:p>
    <w:p>
      <w:pPr>
        <w:pStyle w:val="Heading1"/>
        <w:numPr>
          <w:ilvl w:val="0"/>
          <w:numId w:val="21"/>
        </w:numPr>
        <w:tabs>
          <w:tab w:pos="836" w:val="left" w:leader="none"/>
          <w:tab w:pos="837" w:val="left" w:leader="none"/>
        </w:tabs>
        <w:spacing w:line="240" w:lineRule="auto" w:before="161" w:after="0"/>
        <w:ind w:left="837" w:right="0" w:hanging="361"/>
        <w:jc w:val="left"/>
      </w:pPr>
      <w:r>
        <w:rPr/>
        <w:t>Red </w:t>
      </w:r>
      <w:r>
        <w:rPr>
          <w:spacing w:val="-3"/>
        </w:rPr>
        <w:t>de </w:t>
      </w:r>
      <w:r>
        <w:rPr/>
        <w:t>drenaje</w:t>
      </w:r>
    </w:p>
    <w:p>
      <w:pPr>
        <w:pStyle w:val="BodyText"/>
        <w:rPr>
          <w:b/>
        </w:rPr>
      </w:pPr>
    </w:p>
    <w:p>
      <w:pPr>
        <w:pStyle w:val="BodyText"/>
        <w:spacing w:before="6"/>
        <w:rPr>
          <w:b/>
          <w:sz w:val="25"/>
        </w:rPr>
      </w:pPr>
    </w:p>
    <w:p>
      <w:pPr>
        <w:pStyle w:val="BodyText"/>
        <w:spacing w:line="360" w:lineRule="auto" w:before="1"/>
        <w:ind w:left="116" w:right="116"/>
        <w:jc w:val="both"/>
      </w:pPr>
      <w:r>
        <w:rPr/>
        <w:t>Una característica importante de cualquier cuenca y que interviene enormemente en la magnitud de escurrimientos es la red de drenaje, consiste en el número y trayectoria de los escurrimientos y su importancia radica en la eficiencia del drenaje de la cuenca, además la</w:t>
      </w:r>
    </w:p>
    <w:p>
      <w:pPr>
        <w:spacing w:after="0" w:line="360" w:lineRule="auto"/>
        <w:jc w:val="both"/>
        <w:sectPr>
          <w:pgSz w:w="12240" w:h="15840"/>
          <w:pgMar w:header="0" w:footer="1473" w:top="1360" w:bottom="1660" w:left="1300" w:right="1300"/>
        </w:sectPr>
      </w:pPr>
    </w:p>
    <w:p>
      <w:pPr>
        <w:pStyle w:val="BodyText"/>
        <w:spacing w:line="360" w:lineRule="auto" w:before="49"/>
        <w:ind w:left="116" w:right="118"/>
        <w:jc w:val="both"/>
      </w:pPr>
      <w:r>
        <w:rPr/>
        <w:t>forma de drenaje es un indicador de las condiciones del suelo y la superficie de la cuenca. De acuerdo a la SRH, (1974) las características de una red de drenaje se describen considerando los siguientes temas</w:t>
      </w:r>
    </w:p>
    <w:p>
      <w:pPr>
        <w:pStyle w:val="BodyText"/>
      </w:pPr>
    </w:p>
    <w:p>
      <w:pPr>
        <w:pStyle w:val="ListParagraph"/>
        <w:numPr>
          <w:ilvl w:val="0"/>
          <w:numId w:val="23"/>
        </w:numPr>
        <w:tabs>
          <w:tab w:pos="905" w:val="left" w:leader="none"/>
        </w:tabs>
        <w:spacing w:line="360" w:lineRule="auto" w:before="155" w:after="0"/>
        <w:ind w:left="904" w:right="112" w:hanging="361"/>
        <w:jc w:val="both"/>
        <w:rPr>
          <w:sz w:val="26"/>
        </w:rPr>
      </w:pPr>
      <w:r>
        <w:rPr>
          <w:i/>
          <w:sz w:val="26"/>
        </w:rPr>
        <w:t>Clase</w:t>
      </w:r>
      <w:r>
        <w:rPr>
          <w:i/>
          <w:spacing w:val="-6"/>
          <w:sz w:val="26"/>
        </w:rPr>
        <w:t> </w:t>
      </w:r>
      <w:r>
        <w:rPr>
          <w:i/>
          <w:sz w:val="26"/>
        </w:rPr>
        <w:t>de</w:t>
      </w:r>
      <w:r>
        <w:rPr>
          <w:i/>
          <w:spacing w:val="-6"/>
          <w:sz w:val="26"/>
        </w:rPr>
        <w:t> </w:t>
      </w:r>
      <w:r>
        <w:rPr>
          <w:i/>
          <w:sz w:val="26"/>
        </w:rPr>
        <w:t>corrientes</w:t>
      </w:r>
      <w:r>
        <w:rPr>
          <w:sz w:val="26"/>
        </w:rPr>
        <w:t>,</w:t>
      </w:r>
      <w:r>
        <w:rPr>
          <w:spacing w:val="-8"/>
          <w:sz w:val="26"/>
        </w:rPr>
        <w:t> </w:t>
      </w:r>
      <w:r>
        <w:rPr>
          <w:sz w:val="26"/>
        </w:rPr>
        <w:t>todas</w:t>
      </w:r>
      <w:r>
        <w:rPr>
          <w:spacing w:val="-6"/>
          <w:sz w:val="26"/>
        </w:rPr>
        <w:t> </w:t>
      </w:r>
      <w:r>
        <w:rPr>
          <w:sz w:val="26"/>
        </w:rPr>
        <w:t>las</w:t>
      </w:r>
      <w:r>
        <w:rPr>
          <w:spacing w:val="-11"/>
          <w:sz w:val="26"/>
        </w:rPr>
        <w:t> </w:t>
      </w:r>
      <w:r>
        <w:rPr>
          <w:sz w:val="26"/>
        </w:rPr>
        <w:t>corrientes</w:t>
      </w:r>
      <w:r>
        <w:rPr>
          <w:spacing w:val="-6"/>
          <w:sz w:val="26"/>
        </w:rPr>
        <w:t> </w:t>
      </w:r>
      <w:r>
        <w:rPr>
          <w:sz w:val="26"/>
        </w:rPr>
        <w:t>se</w:t>
      </w:r>
      <w:r>
        <w:rPr>
          <w:spacing w:val="-11"/>
          <w:sz w:val="26"/>
        </w:rPr>
        <w:t> </w:t>
      </w:r>
      <w:r>
        <w:rPr>
          <w:sz w:val="26"/>
        </w:rPr>
        <w:t>clasifican</w:t>
      </w:r>
      <w:r>
        <w:rPr>
          <w:spacing w:val="-6"/>
          <w:sz w:val="26"/>
        </w:rPr>
        <w:t> </w:t>
      </w:r>
      <w:r>
        <w:rPr>
          <w:sz w:val="26"/>
        </w:rPr>
        <w:t>en</w:t>
      </w:r>
      <w:r>
        <w:rPr>
          <w:spacing w:val="-6"/>
          <w:sz w:val="26"/>
        </w:rPr>
        <w:t> </w:t>
      </w:r>
      <w:r>
        <w:rPr>
          <w:sz w:val="26"/>
        </w:rPr>
        <w:t>tres</w:t>
      </w:r>
      <w:r>
        <w:rPr>
          <w:spacing w:val="-11"/>
          <w:sz w:val="26"/>
        </w:rPr>
        <w:t> </w:t>
      </w:r>
      <w:r>
        <w:rPr>
          <w:sz w:val="26"/>
        </w:rPr>
        <w:t>clases</w:t>
      </w:r>
      <w:r>
        <w:rPr>
          <w:spacing w:val="-6"/>
          <w:sz w:val="26"/>
        </w:rPr>
        <w:t> </w:t>
      </w:r>
      <w:r>
        <w:rPr>
          <w:sz w:val="26"/>
        </w:rPr>
        <w:t>dependiendo</w:t>
      </w:r>
      <w:r>
        <w:rPr>
          <w:spacing w:val="-11"/>
          <w:sz w:val="26"/>
        </w:rPr>
        <w:t> </w:t>
      </w:r>
      <w:r>
        <w:rPr>
          <w:sz w:val="26"/>
        </w:rPr>
        <w:t>del tipo de escurrimiento, el cual involucra las características físicas y condiciones climáticas de la cuenca, así las corrientes pueden ser: efímeras, intermitentes o perennes.</w:t>
      </w:r>
    </w:p>
    <w:p>
      <w:pPr>
        <w:pStyle w:val="ListParagraph"/>
        <w:numPr>
          <w:ilvl w:val="0"/>
          <w:numId w:val="23"/>
        </w:numPr>
        <w:tabs>
          <w:tab w:pos="905" w:val="left" w:leader="none"/>
        </w:tabs>
        <w:spacing w:line="360" w:lineRule="auto" w:before="8" w:after="9"/>
        <w:ind w:left="904" w:right="109" w:hanging="361"/>
        <w:jc w:val="both"/>
        <w:rPr>
          <w:sz w:val="26"/>
        </w:rPr>
      </w:pPr>
      <w:r>
        <w:rPr>
          <w:i/>
          <w:sz w:val="26"/>
        </w:rPr>
        <w:t>Orden</w:t>
      </w:r>
      <w:r>
        <w:rPr>
          <w:i/>
          <w:spacing w:val="-16"/>
          <w:sz w:val="26"/>
        </w:rPr>
        <w:t> </w:t>
      </w:r>
      <w:r>
        <w:rPr>
          <w:i/>
          <w:sz w:val="26"/>
        </w:rPr>
        <w:t>de</w:t>
      </w:r>
      <w:r>
        <w:rPr>
          <w:i/>
          <w:spacing w:val="-16"/>
          <w:sz w:val="26"/>
        </w:rPr>
        <w:t> </w:t>
      </w:r>
      <w:r>
        <w:rPr>
          <w:i/>
          <w:sz w:val="26"/>
        </w:rPr>
        <w:t>corrientes</w:t>
      </w:r>
      <w:r>
        <w:rPr>
          <w:sz w:val="26"/>
        </w:rPr>
        <w:t>,</w:t>
      </w:r>
      <w:r>
        <w:rPr>
          <w:spacing w:val="-14"/>
          <w:sz w:val="26"/>
        </w:rPr>
        <w:t> </w:t>
      </w:r>
      <w:r>
        <w:rPr>
          <w:sz w:val="26"/>
        </w:rPr>
        <w:t>la</w:t>
      </w:r>
      <w:r>
        <w:rPr>
          <w:spacing w:val="-19"/>
          <w:sz w:val="26"/>
        </w:rPr>
        <w:t> </w:t>
      </w:r>
      <w:r>
        <w:rPr>
          <w:sz w:val="26"/>
        </w:rPr>
        <w:t>red</w:t>
      </w:r>
      <w:r>
        <w:rPr>
          <w:spacing w:val="-15"/>
          <w:sz w:val="26"/>
        </w:rPr>
        <w:t> </w:t>
      </w:r>
      <w:r>
        <w:rPr>
          <w:sz w:val="26"/>
        </w:rPr>
        <w:t>de</w:t>
      </w:r>
      <w:r>
        <w:rPr>
          <w:spacing w:val="-16"/>
          <w:sz w:val="26"/>
        </w:rPr>
        <w:t> </w:t>
      </w:r>
      <w:r>
        <w:rPr>
          <w:sz w:val="26"/>
        </w:rPr>
        <w:t>drenaje</w:t>
      </w:r>
      <w:r>
        <w:rPr>
          <w:spacing w:val="-19"/>
          <w:sz w:val="26"/>
        </w:rPr>
        <w:t> </w:t>
      </w:r>
      <w:r>
        <w:rPr>
          <w:sz w:val="26"/>
        </w:rPr>
        <w:t>se</w:t>
      </w:r>
      <w:r>
        <w:rPr>
          <w:spacing w:val="-16"/>
          <w:sz w:val="26"/>
        </w:rPr>
        <w:t> </w:t>
      </w:r>
      <w:r>
        <w:rPr>
          <w:sz w:val="26"/>
        </w:rPr>
        <w:t>compone</w:t>
      </w:r>
      <w:r>
        <w:rPr>
          <w:spacing w:val="-16"/>
          <w:sz w:val="26"/>
        </w:rPr>
        <w:t> </w:t>
      </w:r>
      <w:r>
        <w:rPr>
          <w:sz w:val="26"/>
        </w:rPr>
        <w:t>de</w:t>
      </w:r>
      <w:r>
        <w:rPr>
          <w:spacing w:val="-16"/>
          <w:sz w:val="26"/>
        </w:rPr>
        <w:t> </w:t>
      </w:r>
      <w:r>
        <w:rPr>
          <w:sz w:val="26"/>
        </w:rPr>
        <w:t>una</w:t>
      </w:r>
      <w:r>
        <w:rPr>
          <w:spacing w:val="-16"/>
          <w:sz w:val="26"/>
        </w:rPr>
        <w:t> </w:t>
      </w:r>
      <w:r>
        <w:rPr>
          <w:sz w:val="26"/>
        </w:rPr>
        <w:t>corriente</w:t>
      </w:r>
      <w:r>
        <w:rPr>
          <w:spacing w:val="-15"/>
          <w:sz w:val="26"/>
        </w:rPr>
        <w:t> </w:t>
      </w:r>
      <w:r>
        <w:rPr>
          <w:sz w:val="26"/>
        </w:rPr>
        <w:t>o</w:t>
      </w:r>
      <w:r>
        <w:rPr>
          <w:spacing w:val="-20"/>
          <w:sz w:val="26"/>
        </w:rPr>
        <w:t> </w:t>
      </w:r>
      <w:r>
        <w:rPr>
          <w:sz w:val="26"/>
        </w:rPr>
        <w:t>cauce</w:t>
      </w:r>
      <w:r>
        <w:rPr>
          <w:spacing w:val="-15"/>
          <w:sz w:val="26"/>
        </w:rPr>
        <w:t> </w:t>
      </w:r>
      <w:r>
        <w:rPr>
          <w:sz w:val="26"/>
        </w:rPr>
        <w:t>principal y una serie de afluentes y para ordenar las corrientes, se efectúa una clasificación, la</w:t>
      </w:r>
      <w:r>
        <w:rPr>
          <w:spacing w:val="-12"/>
          <w:sz w:val="26"/>
        </w:rPr>
        <w:t> </w:t>
      </w:r>
      <w:r>
        <w:rPr>
          <w:sz w:val="26"/>
        </w:rPr>
        <w:t>cual</w:t>
      </w:r>
      <w:r>
        <w:rPr>
          <w:spacing w:val="-12"/>
          <w:sz w:val="26"/>
        </w:rPr>
        <w:t> </w:t>
      </w:r>
      <w:r>
        <w:rPr>
          <w:sz w:val="26"/>
        </w:rPr>
        <w:t>considera</w:t>
      </w:r>
      <w:r>
        <w:rPr>
          <w:spacing w:val="-16"/>
          <w:sz w:val="26"/>
        </w:rPr>
        <w:t> </w:t>
      </w:r>
      <w:r>
        <w:rPr>
          <w:sz w:val="26"/>
        </w:rPr>
        <w:t>como</w:t>
      </w:r>
      <w:r>
        <w:rPr>
          <w:spacing w:val="-12"/>
          <w:sz w:val="26"/>
        </w:rPr>
        <w:t> </w:t>
      </w:r>
      <w:r>
        <w:rPr>
          <w:sz w:val="26"/>
        </w:rPr>
        <w:t>corriente</w:t>
      </w:r>
      <w:r>
        <w:rPr>
          <w:spacing w:val="-12"/>
          <w:sz w:val="26"/>
        </w:rPr>
        <w:t> </w:t>
      </w:r>
      <w:r>
        <w:rPr>
          <w:sz w:val="26"/>
        </w:rPr>
        <w:t>de</w:t>
      </w:r>
      <w:r>
        <w:rPr>
          <w:spacing w:val="-12"/>
          <w:sz w:val="26"/>
        </w:rPr>
        <w:t> </w:t>
      </w:r>
      <w:r>
        <w:rPr>
          <w:sz w:val="26"/>
        </w:rPr>
        <w:t>primer</w:t>
      </w:r>
      <w:r>
        <w:rPr>
          <w:spacing w:val="-12"/>
          <w:sz w:val="26"/>
        </w:rPr>
        <w:t> </w:t>
      </w:r>
      <w:r>
        <w:rPr>
          <w:sz w:val="26"/>
        </w:rPr>
        <w:t>orden,</w:t>
      </w:r>
      <w:r>
        <w:rPr>
          <w:spacing w:val="-10"/>
          <w:sz w:val="26"/>
        </w:rPr>
        <w:t> </w:t>
      </w:r>
      <w:r>
        <w:rPr>
          <w:sz w:val="26"/>
        </w:rPr>
        <w:t>aquellas</w:t>
      </w:r>
      <w:r>
        <w:rPr>
          <w:spacing w:val="-16"/>
          <w:sz w:val="26"/>
        </w:rPr>
        <w:t> </w:t>
      </w:r>
      <w:r>
        <w:rPr>
          <w:sz w:val="26"/>
        </w:rPr>
        <w:t>que</w:t>
      </w:r>
      <w:r>
        <w:rPr>
          <w:spacing w:val="-12"/>
          <w:sz w:val="26"/>
        </w:rPr>
        <w:t> </w:t>
      </w:r>
      <w:r>
        <w:rPr>
          <w:sz w:val="26"/>
        </w:rPr>
        <w:t>no</w:t>
      </w:r>
      <w:r>
        <w:rPr>
          <w:spacing w:val="-16"/>
          <w:sz w:val="26"/>
        </w:rPr>
        <w:t> </w:t>
      </w:r>
      <w:r>
        <w:rPr>
          <w:sz w:val="26"/>
        </w:rPr>
        <w:t>tienen</w:t>
      </w:r>
      <w:r>
        <w:rPr>
          <w:spacing w:val="-12"/>
          <w:sz w:val="26"/>
        </w:rPr>
        <w:t> </w:t>
      </w:r>
      <w:r>
        <w:rPr>
          <w:sz w:val="26"/>
        </w:rPr>
        <w:t>tributarios; de segundo orden a los que tienen tributarios de primer orden; de tercer orden aquellas</w:t>
      </w:r>
      <w:r>
        <w:rPr>
          <w:spacing w:val="-7"/>
          <w:sz w:val="26"/>
        </w:rPr>
        <w:t> </w:t>
      </w:r>
      <w:r>
        <w:rPr>
          <w:sz w:val="26"/>
        </w:rPr>
        <w:t>corrientes</w:t>
      </w:r>
      <w:r>
        <w:rPr>
          <w:spacing w:val="-7"/>
          <w:sz w:val="26"/>
        </w:rPr>
        <w:t> </w:t>
      </w:r>
      <w:r>
        <w:rPr>
          <w:sz w:val="26"/>
        </w:rPr>
        <w:t>que</w:t>
      </w:r>
      <w:r>
        <w:rPr>
          <w:spacing w:val="-6"/>
          <w:sz w:val="26"/>
        </w:rPr>
        <w:t> </w:t>
      </w:r>
      <w:r>
        <w:rPr>
          <w:sz w:val="26"/>
        </w:rPr>
        <w:t>tienen</w:t>
      </w:r>
      <w:r>
        <w:rPr>
          <w:spacing w:val="-7"/>
          <w:sz w:val="26"/>
        </w:rPr>
        <w:t> </w:t>
      </w:r>
      <w:r>
        <w:rPr>
          <w:sz w:val="26"/>
        </w:rPr>
        <w:t>dos</w:t>
      </w:r>
      <w:r>
        <w:rPr>
          <w:spacing w:val="-6"/>
          <w:sz w:val="26"/>
        </w:rPr>
        <w:t> </w:t>
      </w:r>
      <w:r>
        <w:rPr>
          <w:sz w:val="26"/>
        </w:rPr>
        <w:t>o</w:t>
      </w:r>
      <w:r>
        <w:rPr>
          <w:spacing w:val="-6"/>
          <w:sz w:val="26"/>
        </w:rPr>
        <w:t> </w:t>
      </w:r>
      <w:r>
        <w:rPr>
          <w:sz w:val="26"/>
        </w:rPr>
        <w:t>más</w:t>
      </w:r>
      <w:r>
        <w:rPr>
          <w:spacing w:val="-6"/>
          <w:sz w:val="26"/>
        </w:rPr>
        <w:t> </w:t>
      </w:r>
      <w:r>
        <w:rPr>
          <w:sz w:val="26"/>
        </w:rPr>
        <w:t>tributarios</w:t>
      </w:r>
      <w:r>
        <w:rPr>
          <w:spacing w:val="-6"/>
          <w:sz w:val="26"/>
        </w:rPr>
        <w:t> </w:t>
      </w:r>
      <w:r>
        <w:rPr>
          <w:sz w:val="26"/>
        </w:rPr>
        <w:t>de</w:t>
      </w:r>
      <w:r>
        <w:rPr>
          <w:spacing w:val="-6"/>
          <w:sz w:val="26"/>
        </w:rPr>
        <w:t> </w:t>
      </w:r>
      <w:r>
        <w:rPr>
          <w:sz w:val="26"/>
        </w:rPr>
        <w:t>segundo</w:t>
      </w:r>
      <w:r>
        <w:rPr>
          <w:spacing w:val="-6"/>
          <w:sz w:val="26"/>
        </w:rPr>
        <w:t> </w:t>
      </w:r>
      <w:r>
        <w:rPr>
          <w:sz w:val="26"/>
        </w:rPr>
        <w:t>orden,</w:t>
      </w:r>
      <w:r>
        <w:rPr>
          <w:spacing w:val="-4"/>
          <w:sz w:val="26"/>
        </w:rPr>
        <w:t> </w:t>
      </w:r>
      <w:r>
        <w:rPr>
          <w:sz w:val="26"/>
        </w:rPr>
        <w:t>etc.</w:t>
      </w:r>
      <w:r>
        <w:rPr>
          <w:spacing w:val="-4"/>
          <w:sz w:val="26"/>
        </w:rPr>
        <w:t> </w:t>
      </w:r>
      <w:r>
        <w:rPr>
          <w:sz w:val="26"/>
        </w:rPr>
        <w:t>El</w:t>
      </w:r>
      <w:r>
        <w:rPr>
          <w:spacing w:val="-6"/>
          <w:sz w:val="26"/>
        </w:rPr>
        <w:t> </w:t>
      </w:r>
      <w:r>
        <w:rPr>
          <w:sz w:val="26"/>
        </w:rPr>
        <w:t>orden de corriente da lugar a diversos tipos de drenaje como se muestran en la Figura</w:t>
      </w:r>
      <w:r>
        <w:rPr>
          <w:spacing w:val="-13"/>
          <w:sz w:val="26"/>
        </w:rPr>
        <w:t> </w:t>
      </w:r>
      <w:r>
        <w:rPr>
          <w:sz w:val="26"/>
        </w:rPr>
        <w:t>17.</w:t>
      </w:r>
    </w:p>
    <w:p>
      <w:pPr>
        <w:pStyle w:val="BodyText"/>
        <w:ind w:left="1988"/>
        <w:rPr>
          <w:sz w:val="20"/>
        </w:rPr>
      </w:pPr>
      <w:r>
        <w:rPr>
          <w:sz w:val="20"/>
        </w:rPr>
        <w:drawing>
          <wp:inline distT="0" distB="0" distL="0" distR="0">
            <wp:extent cx="4034129" cy="2870263"/>
            <wp:effectExtent l="0" t="0" r="0" b="0"/>
            <wp:docPr id="9" name="image52.jpeg" descr=""/>
            <wp:cNvGraphicFramePr>
              <a:graphicFrameLocks noChangeAspect="1"/>
            </wp:cNvGraphicFramePr>
            <a:graphic>
              <a:graphicData uri="http://schemas.openxmlformats.org/drawingml/2006/picture">
                <pic:pic>
                  <pic:nvPicPr>
                    <pic:cNvPr id="10" name="image52.jpeg"/>
                    <pic:cNvPicPr/>
                  </pic:nvPicPr>
                  <pic:blipFill>
                    <a:blip r:embed="rId71" cstate="print"/>
                    <a:stretch>
                      <a:fillRect/>
                    </a:stretch>
                  </pic:blipFill>
                  <pic:spPr>
                    <a:xfrm>
                      <a:off x="0" y="0"/>
                      <a:ext cx="4034129" cy="2870263"/>
                    </a:xfrm>
                    <a:prstGeom prst="rect">
                      <a:avLst/>
                    </a:prstGeom>
                  </pic:spPr>
                </pic:pic>
              </a:graphicData>
            </a:graphic>
          </wp:inline>
        </w:drawing>
      </w:r>
      <w:r>
        <w:rPr>
          <w:sz w:val="20"/>
        </w:rPr>
      </w:r>
    </w:p>
    <w:p>
      <w:pPr>
        <w:spacing w:line="252" w:lineRule="exact" w:before="188"/>
        <w:ind w:left="255" w:right="255" w:firstLine="0"/>
        <w:jc w:val="center"/>
        <w:rPr>
          <w:sz w:val="22"/>
        </w:rPr>
      </w:pPr>
      <w:r>
        <w:rPr>
          <w:sz w:val="22"/>
        </w:rPr>
        <w:t>Fuente: Aparicio, 1989.</w:t>
      </w:r>
    </w:p>
    <w:p>
      <w:pPr>
        <w:pStyle w:val="Heading1"/>
        <w:spacing w:line="298" w:lineRule="exact"/>
        <w:ind w:left="255" w:right="260"/>
        <w:jc w:val="center"/>
      </w:pPr>
      <w:bookmarkStart w:name="_bookmark47" w:id="68"/>
      <w:bookmarkEnd w:id="68"/>
      <w:r>
        <w:rPr>
          <w:b w:val="0"/>
        </w:rPr>
      </w:r>
      <w:r>
        <w:rPr/>
        <w:t>Figura 17. Modelos de drenaje.</w:t>
      </w:r>
    </w:p>
    <w:p>
      <w:pPr>
        <w:pStyle w:val="ListParagraph"/>
        <w:numPr>
          <w:ilvl w:val="0"/>
          <w:numId w:val="23"/>
        </w:numPr>
        <w:tabs>
          <w:tab w:pos="905" w:val="left" w:leader="none"/>
        </w:tabs>
        <w:spacing w:line="362" w:lineRule="auto" w:before="200" w:after="0"/>
        <w:ind w:left="904" w:right="120" w:hanging="361"/>
        <w:jc w:val="both"/>
        <w:rPr>
          <w:sz w:val="26"/>
        </w:rPr>
      </w:pPr>
      <w:r>
        <w:rPr>
          <w:i/>
          <w:sz w:val="26"/>
        </w:rPr>
        <w:t>Longitud de tributarios</w:t>
      </w:r>
      <w:r>
        <w:rPr>
          <w:sz w:val="26"/>
        </w:rPr>
        <w:t>, la topografía de una cuenca define en sí la longitud de los tributarios, ya que estos son indicadores de la pendiente.   </w:t>
      </w:r>
      <w:r>
        <w:rPr>
          <w:spacing w:val="24"/>
          <w:sz w:val="26"/>
        </w:rPr>
        <w:t> </w:t>
      </w:r>
      <w:r>
        <w:rPr>
          <w:sz w:val="26"/>
        </w:rPr>
        <w:t>Generalmente las áreas</w:t>
      </w:r>
    </w:p>
    <w:p>
      <w:pPr>
        <w:spacing w:after="0" w:line="362" w:lineRule="auto"/>
        <w:jc w:val="both"/>
        <w:rPr>
          <w:sz w:val="26"/>
        </w:rPr>
        <w:sectPr>
          <w:pgSz w:w="12240" w:h="15840"/>
          <w:pgMar w:header="0" w:footer="1473" w:top="1360" w:bottom="1660" w:left="1300" w:right="1300"/>
        </w:sectPr>
      </w:pPr>
    </w:p>
    <w:p>
      <w:pPr>
        <w:pStyle w:val="BodyText"/>
        <w:spacing w:line="360" w:lineRule="auto" w:before="49"/>
        <w:ind w:left="544" w:right="113"/>
        <w:jc w:val="both"/>
      </w:pPr>
      <w:r>
        <w:rPr/>
        <w:t>escarpadas y con buen drenaje tienen numerosas corrientes pequeñas y efímeras, por</w:t>
      </w:r>
      <w:r>
        <w:rPr>
          <w:spacing w:val="-16"/>
        </w:rPr>
        <w:t> </w:t>
      </w:r>
      <w:r>
        <w:rPr/>
        <w:t>lo</w:t>
      </w:r>
      <w:r>
        <w:rPr>
          <w:spacing w:val="-16"/>
        </w:rPr>
        <w:t> </w:t>
      </w:r>
      <w:r>
        <w:rPr/>
        <w:t>contrario</w:t>
      </w:r>
      <w:r>
        <w:rPr>
          <w:spacing w:val="-15"/>
        </w:rPr>
        <w:t> </w:t>
      </w:r>
      <w:r>
        <w:rPr/>
        <w:t>las</w:t>
      </w:r>
      <w:r>
        <w:rPr>
          <w:spacing w:val="-20"/>
        </w:rPr>
        <w:t> </w:t>
      </w:r>
      <w:r>
        <w:rPr/>
        <w:t>áreas</w:t>
      </w:r>
      <w:r>
        <w:rPr>
          <w:spacing w:val="-15"/>
        </w:rPr>
        <w:t> </w:t>
      </w:r>
      <w:r>
        <w:rPr/>
        <w:t>planas</w:t>
      </w:r>
      <w:r>
        <w:rPr>
          <w:spacing w:val="-20"/>
        </w:rPr>
        <w:t> </w:t>
      </w:r>
      <w:r>
        <w:rPr/>
        <w:t>con</w:t>
      </w:r>
      <w:r>
        <w:rPr>
          <w:spacing w:val="-16"/>
        </w:rPr>
        <w:t> </w:t>
      </w:r>
      <w:r>
        <w:rPr/>
        <w:t>suelos</w:t>
      </w:r>
      <w:r>
        <w:rPr>
          <w:spacing w:val="-20"/>
        </w:rPr>
        <w:t> </w:t>
      </w:r>
      <w:r>
        <w:rPr/>
        <w:t>profundos</w:t>
      </w:r>
      <w:r>
        <w:rPr>
          <w:spacing w:val="-16"/>
        </w:rPr>
        <w:t> </w:t>
      </w:r>
      <w:r>
        <w:rPr/>
        <w:t>y</w:t>
      </w:r>
      <w:r>
        <w:rPr>
          <w:spacing w:val="-16"/>
        </w:rPr>
        <w:t> </w:t>
      </w:r>
      <w:r>
        <w:rPr/>
        <w:t>permeables</w:t>
      </w:r>
      <w:r>
        <w:rPr>
          <w:spacing w:val="-15"/>
        </w:rPr>
        <w:t> </w:t>
      </w:r>
      <w:r>
        <w:rPr/>
        <w:t>tienen</w:t>
      </w:r>
      <w:r>
        <w:rPr>
          <w:spacing w:val="-16"/>
        </w:rPr>
        <w:t> </w:t>
      </w:r>
      <w:r>
        <w:rPr/>
        <w:t>corrientes largas generalmente</w:t>
      </w:r>
      <w:r>
        <w:rPr>
          <w:spacing w:val="-8"/>
        </w:rPr>
        <w:t> </w:t>
      </w:r>
      <w:r>
        <w:rPr/>
        <w:t>perennes.</w:t>
      </w:r>
    </w:p>
    <w:p>
      <w:pPr>
        <w:pStyle w:val="ListParagraph"/>
        <w:numPr>
          <w:ilvl w:val="0"/>
          <w:numId w:val="24"/>
        </w:numPr>
        <w:tabs>
          <w:tab w:pos="612" w:val="left" w:leader="none"/>
        </w:tabs>
        <w:spacing w:line="357" w:lineRule="auto" w:before="8" w:after="0"/>
        <w:ind w:left="544" w:right="122" w:hanging="361"/>
        <w:jc w:val="both"/>
        <w:rPr>
          <w:sz w:val="26"/>
        </w:rPr>
      </w:pPr>
      <w:r>
        <w:rPr>
          <w:i/>
          <w:sz w:val="26"/>
        </w:rPr>
        <w:t>Longitud del cauce principal</w:t>
      </w:r>
      <w:r>
        <w:rPr>
          <w:sz w:val="26"/>
        </w:rPr>
        <w:t>, es la distancia que presenta la corriente principal, desde su origen a la desembocadura o salida del área de estudio (SARH,</w:t>
      </w:r>
      <w:r>
        <w:rPr>
          <w:spacing w:val="-18"/>
          <w:sz w:val="26"/>
        </w:rPr>
        <w:t> </w:t>
      </w:r>
      <w:r>
        <w:rPr>
          <w:sz w:val="26"/>
        </w:rPr>
        <w:t>1988).</w:t>
      </w:r>
    </w:p>
    <w:p>
      <w:pPr>
        <w:pStyle w:val="ListParagraph"/>
        <w:numPr>
          <w:ilvl w:val="0"/>
          <w:numId w:val="25"/>
        </w:numPr>
        <w:tabs>
          <w:tab w:pos="477" w:val="left" w:leader="none"/>
        </w:tabs>
        <w:spacing w:line="357" w:lineRule="auto" w:before="11" w:after="0"/>
        <w:ind w:left="477" w:right="111" w:hanging="361"/>
        <w:jc w:val="both"/>
        <w:rPr>
          <w:sz w:val="26"/>
        </w:rPr>
      </w:pPr>
      <w:r>
        <w:rPr>
          <w:i/>
          <w:sz w:val="26"/>
        </w:rPr>
        <w:t>Densidad de drenaje</w:t>
      </w:r>
      <w:r>
        <w:rPr>
          <w:sz w:val="26"/>
        </w:rPr>
        <w:t>, esta característica es más real y confiable que la densidad de corrientes, ya que expresa la longitud de las corrientes por unidad de</w:t>
      </w:r>
      <w:r>
        <w:rPr>
          <w:spacing w:val="-19"/>
          <w:sz w:val="26"/>
        </w:rPr>
        <w:t> </w:t>
      </w:r>
      <w:r>
        <w:rPr>
          <w:sz w:val="26"/>
        </w:rPr>
        <w:t>área.</w:t>
      </w:r>
    </w:p>
    <w:p>
      <w:pPr>
        <w:pStyle w:val="ListParagraph"/>
        <w:numPr>
          <w:ilvl w:val="0"/>
          <w:numId w:val="25"/>
        </w:numPr>
        <w:tabs>
          <w:tab w:pos="477" w:val="left" w:leader="none"/>
        </w:tabs>
        <w:spacing w:line="360" w:lineRule="auto" w:before="6" w:after="0"/>
        <w:ind w:left="477" w:right="117" w:hanging="361"/>
        <w:jc w:val="both"/>
        <w:rPr>
          <w:sz w:val="26"/>
        </w:rPr>
      </w:pPr>
      <w:r>
        <w:rPr>
          <w:i/>
          <w:sz w:val="26"/>
        </w:rPr>
        <w:t>Pendiente</w:t>
      </w:r>
      <w:r>
        <w:rPr>
          <w:i/>
          <w:spacing w:val="-10"/>
          <w:sz w:val="26"/>
        </w:rPr>
        <w:t> </w:t>
      </w:r>
      <w:r>
        <w:rPr>
          <w:i/>
          <w:sz w:val="26"/>
        </w:rPr>
        <w:t>del</w:t>
      </w:r>
      <w:r>
        <w:rPr>
          <w:i/>
          <w:spacing w:val="-10"/>
          <w:sz w:val="26"/>
        </w:rPr>
        <w:t> </w:t>
      </w:r>
      <w:r>
        <w:rPr>
          <w:i/>
          <w:sz w:val="26"/>
        </w:rPr>
        <w:t>cauce</w:t>
      </w:r>
      <w:r>
        <w:rPr>
          <w:sz w:val="26"/>
        </w:rPr>
        <w:t>,</w:t>
      </w:r>
      <w:r>
        <w:rPr>
          <w:spacing w:val="-8"/>
          <w:sz w:val="26"/>
        </w:rPr>
        <w:t> </w:t>
      </w:r>
      <w:r>
        <w:rPr>
          <w:sz w:val="26"/>
        </w:rPr>
        <w:t>es</w:t>
      </w:r>
      <w:r>
        <w:rPr>
          <w:spacing w:val="-10"/>
          <w:sz w:val="26"/>
        </w:rPr>
        <w:t> </w:t>
      </w:r>
      <w:r>
        <w:rPr>
          <w:sz w:val="26"/>
        </w:rPr>
        <w:t>la</w:t>
      </w:r>
      <w:r>
        <w:rPr>
          <w:spacing w:val="-10"/>
          <w:sz w:val="26"/>
        </w:rPr>
        <w:t> </w:t>
      </w:r>
      <w:r>
        <w:rPr>
          <w:sz w:val="26"/>
        </w:rPr>
        <w:t>relación</w:t>
      </w:r>
      <w:r>
        <w:rPr>
          <w:spacing w:val="-10"/>
          <w:sz w:val="26"/>
        </w:rPr>
        <w:t> </w:t>
      </w:r>
      <w:r>
        <w:rPr>
          <w:sz w:val="26"/>
        </w:rPr>
        <w:t>existente</w:t>
      </w:r>
      <w:r>
        <w:rPr>
          <w:spacing w:val="-10"/>
          <w:sz w:val="26"/>
        </w:rPr>
        <w:t> </w:t>
      </w:r>
      <w:r>
        <w:rPr>
          <w:sz w:val="26"/>
        </w:rPr>
        <w:t>entre</w:t>
      </w:r>
      <w:r>
        <w:rPr>
          <w:spacing w:val="-10"/>
          <w:sz w:val="26"/>
        </w:rPr>
        <w:t> </w:t>
      </w:r>
      <w:r>
        <w:rPr>
          <w:sz w:val="26"/>
        </w:rPr>
        <w:t>la</w:t>
      </w:r>
      <w:r>
        <w:rPr>
          <w:spacing w:val="-10"/>
          <w:sz w:val="26"/>
        </w:rPr>
        <w:t> </w:t>
      </w:r>
      <w:r>
        <w:rPr>
          <w:sz w:val="26"/>
        </w:rPr>
        <w:t>diferencia</w:t>
      </w:r>
      <w:r>
        <w:rPr>
          <w:spacing w:val="-9"/>
          <w:sz w:val="26"/>
        </w:rPr>
        <w:t> </w:t>
      </w:r>
      <w:r>
        <w:rPr>
          <w:sz w:val="26"/>
        </w:rPr>
        <w:t>de</w:t>
      </w:r>
      <w:r>
        <w:rPr>
          <w:spacing w:val="-10"/>
          <w:sz w:val="26"/>
        </w:rPr>
        <w:t> </w:t>
      </w:r>
      <w:r>
        <w:rPr>
          <w:sz w:val="26"/>
        </w:rPr>
        <w:t>elevaciones</w:t>
      </w:r>
      <w:r>
        <w:rPr>
          <w:spacing w:val="-10"/>
          <w:sz w:val="26"/>
        </w:rPr>
        <w:t> </w:t>
      </w:r>
      <w:r>
        <w:rPr>
          <w:sz w:val="26"/>
        </w:rPr>
        <w:t>de</w:t>
      </w:r>
      <w:r>
        <w:rPr>
          <w:spacing w:val="-10"/>
          <w:sz w:val="26"/>
        </w:rPr>
        <w:t> </w:t>
      </w:r>
      <w:r>
        <w:rPr>
          <w:sz w:val="26"/>
        </w:rPr>
        <w:t>los extremos de la corriente, es decir el desnivel existente entre esos dos puntos y la longitud horizontal de dicho</w:t>
      </w:r>
      <w:r>
        <w:rPr>
          <w:spacing w:val="-11"/>
          <w:sz w:val="26"/>
        </w:rPr>
        <w:t> </w:t>
      </w:r>
      <w:r>
        <w:rPr>
          <w:sz w:val="26"/>
        </w:rPr>
        <w:t>tramo.</w:t>
      </w:r>
    </w:p>
    <w:p>
      <w:pPr>
        <w:pStyle w:val="BodyText"/>
      </w:pPr>
    </w:p>
    <w:p>
      <w:pPr>
        <w:pStyle w:val="BodyText"/>
        <w:spacing w:line="360" w:lineRule="auto" w:before="156"/>
        <w:ind w:left="476" w:right="110"/>
        <w:jc w:val="both"/>
      </w:pPr>
      <w:r>
        <w:rPr>
          <w:spacing w:val="-3"/>
        </w:rPr>
        <w:t>La </w:t>
      </w:r>
      <w:r>
        <w:rPr/>
        <w:t>SARH, (1988) también la define como la relación que existe entre el desnivel</w:t>
      </w:r>
      <w:r>
        <w:rPr>
          <w:spacing w:val="-31"/>
        </w:rPr>
        <w:t> </w:t>
      </w:r>
      <w:r>
        <w:rPr/>
        <w:t>en dos</w:t>
      </w:r>
      <w:r>
        <w:rPr>
          <w:spacing w:val="-6"/>
        </w:rPr>
        <w:t> </w:t>
      </w:r>
      <w:r>
        <w:rPr/>
        <w:t>puntos</w:t>
      </w:r>
      <w:r>
        <w:rPr>
          <w:spacing w:val="-6"/>
        </w:rPr>
        <w:t> </w:t>
      </w:r>
      <w:r>
        <w:rPr/>
        <w:t>del</w:t>
      </w:r>
      <w:r>
        <w:rPr>
          <w:spacing w:val="-6"/>
        </w:rPr>
        <w:t> </w:t>
      </w:r>
      <w:r>
        <w:rPr/>
        <w:t>mismo</w:t>
      </w:r>
      <w:r>
        <w:rPr>
          <w:spacing w:val="-6"/>
        </w:rPr>
        <w:t> </w:t>
      </w:r>
      <w:r>
        <w:rPr/>
        <w:t>y</w:t>
      </w:r>
      <w:r>
        <w:rPr>
          <w:spacing w:val="-6"/>
        </w:rPr>
        <w:t> </w:t>
      </w:r>
      <w:r>
        <w:rPr/>
        <w:t>la</w:t>
      </w:r>
      <w:r>
        <w:rPr>
          <w:spacing w:val="-6"/>
        </w:rPr>
        <w:t> </w:t>
      </w:r>
      <w:r>
        <w:rPr/>
        <w:t>longitud</w:t>
      </w:r>
      <w:r>
        <w:rPr>
          <w:spacing w:val="-6"/>
        </w:rPr>
        <w:t> </w:t>
      </w:r>
      <w:r>
        <w:rPr/>
        <w:t>entre</w:t>
      </w:r>
      <w:r>
        <w:rPr>
          <w:spacing w:val="-6"/>
        </w:rPr>
        <w:t> </w:t>
      </w:r>
      <w:r>
        <w:rPr/>
        <w:t>los</w:t>
      </w:r>
      <w:r>
        <w:rPr>
          <w:spacing w:val="-6"/>
        </w:rPr>
        <w:t> </w:t>
      </w:r>
      <w:r>
        <w:rPr/>
        <w:t>mismos</w:t>
      </w:r>
      <w:r>
        <w:rPr>
          <w:spacing w:val="-6"/>
        </w:rPr>
        <w:t> </w:t>
      </w:r>
      <w:r>
        <w:rPr/>
        <w:t>puntos.</w:t>
      </w:r>
      <w:r>
        <w:rPr>
          <w:spacing w:val="-4"/>
        </w:rPr>
        <w:t> </w:t>
      </w:r>
      <w:r>
        <w:rPr>
          <w:spacing w:val="-3"/>
        </w:rPr>
        <w:t>La</w:t>
      </w:r>
      <w:r>
        <w:rPr>
          <w:spacing w:val="-6"/>
        </w:rPr>
        <w:t> </w:t>
      </w:r>
      <w:r>
        <w:rPr/>
        <w:t>pendiente</w:t>
      </w:r>
      <w:r>
        <w:rPr>
          <w:spacing w:val="-6"/>
        </w:rPr>
        <w:t> </w:t>
      </w:r>
      <w:r>
        <w:rPr/>
        <w:t>del</w:t>
      </w:r>
      <w:r>
        <w:rPr>
          <w:spacing w:val="-6"/>
        </w:rPr>
        <w:t> </w:t>
      </w:r>
      <w:r>
        <w:rPr/>
        <w:t>cauce influye sobra la velocidad de flujo y juega </w:t>
      </w:r>
      <w:r>
        <w:rPr>
          <w:spacing w:val="-3"/>
        </w:rPr>
        <w:t>un </w:t>
      </w:r>
      <w:r>
        <w:rPr/>
        <w:t>papel importante en la forma del escurrimiento.</w:t>
      </w:r>
      <w:r>
        <w:rPr>
          <w:spacing w:val="-4"/>
        </w:rPr>
        <w:t> </w:t>
      </w:r>
      <w:r>
        <w:rPr/>
        <w:t>Esta</w:t>
      </w:r>
      <w:r>
        <w:rPr>
          <w:spacing w:val="-6"/>
        </w:rPr>
        <w:t> </w:t>
      </w:r>
      <w:r>
        <w:rPr/>
        <w:t>se</w:t>
      </w:r>
      <w:r>
        <w:rPr>
          <w:spacing w:val="-11"/>
        </w:rPr>
        <w:t> </w:t>
      </w:r>
      <w:r>
        <w:rPr/>
        <w:t>puede</w:t>
      </w:r>
      <w:r>
        <w:rPr>
          <w:spacing w:val="-11"/>
        </w:rPr>
        <w:t> </w:t>
      </w:r>
      <w:r>
        <w:rPr/>
        <w:t>obtener</w:t>
      </w:r>
      <w:r>
        <w:rPr>
          <w:spacing w:val="-6"/>
        </w:rPr>
        <w:t> </w:t>
      </w:r>
      <w:r>
        <w:rPr/>
        <w:t>en</w:t>
      </w:r>
      <w:r>
        <w:rPr>
          <w:spacing w:val="-11"/>
        </w:rPr>
        <w:t> </w:t>
      </w:r>
      <w:r>
        <w:rPr/>
        <w:t>tramos</w:t>
      </w:r>
      <w:r>
        <w:rPr>
          <w:spacing w:val="-6"/>
        </w:rPr>
        <w:t> </w:t>
      </w:r>
      <w:r>
        <w:rPr/>
        <w:t>parciales</w:t>
      </w:r>
      <w:r>
        <w:rPr>
          <w:spacing w:val="-6"/>
        </w:rPr>
        <w:t> </w:t>
      </w:r>
      <w:r>
        <w:rPr/>
        <w:t>de</w:t>
      </w:r>
      <w:r>
        <w:rPr>
          <w:spacing w:val="-11"/>
        </w:rPr>
        <w:t> </w:t>
      </w:r>
      <w:r>
        <w:rPr/>
        <w:t>acuerdo</w:t>
      </w:r>
      <w:r>
        <w:rPr>
          <w:spacing w:val="-10"/>
        </w:rPr>
        <w:t> </w:t>
      </w:r>
      <w:r>
        <w:rPr/>
        <w:t>a</w:t>
      </w:r>
      <w:r>
        <w:rPr>
          <w:spacing w:val="-11"/>
        </w:rPr>
        <w:t> </w:t>
      </w:r>
      <w:r>
        <w:rPr/>
        <w:t>la</w:t>
      </w:r>
      <w:r>
        <w:rPr>
          <w:spacing w:val="-9"/>
        </w:rPr>
        <w:t> </w:t>
      </w:r>
      <w:r>
        <w:rPr/>
        <w:t>ecuación</w:t>
      </w:r>
      <w:r>
        <w:rPr>
          <w:spacing w:val="-7"/>
        </w:rPr>
        <w:t> </w:t>
      </w:r>
      <w:r>
        <w:rPr/>
        <w:t>8:</w:t>
      </w:r>
    </w:p>
    <w:p>
      <w:pPr>
        <w:pStyle w:val="BodyText"/>
        <w:rPr>
          <w:sz w:val="20"/>
        </w:rPr>
      </w:pPr>
    </w:p>
    <w:p>
      <w:pPr>
        <w:spacing w:after="0"/>
        <w:rPr>
          <w:sz w:val="20"/>
        </w:rPr>
        <w:sectPr>
          <w:pgSz w:w="12240" w:h="15840"/>
          <w:pgMar w:header="0" w:footer="1473" w:top="1360" w:bottom="1660" w:left="1660" w:right="1300"/>
        </w:sectPr>
      </w:pPr>
    </w:p>
    <w:p>
      <w:pPr>
        <w:pStyle w:val="BodyText"/>
        <w:spacing w:before="5"/>
        <w:rPr>
          <w:sz w:val="33"/>
        </w:rPr>
      </w:pPr>
    </w:p>
    <w:p>
      <w:pPr>
        <w:spacing w:before="0"/>
        <w:ind w:left="0" w:right="0" w:firstLine="0"/>
        <w:jc w:val="right"/>
        <w:rPr>
          <w:i/>
          <w:sz w:val="14"/>
        </w:rPr>
      </w:pPr>
      <w:r>
        <w:rPr>
          <w:i/>
          <w:w w:val="105"/>
          <w:position w:val="6"/>
          <w:sz w:val="24"/>
        </w:rPr>
        <w:t>P</w:t>
      </w:r>
      <w:r>
        <w:rPr>
          <w:i/>
          <w:w w:val="105"/>
          <w:sz w:val="14"/>
        </w:rPr>
        <w:t>pc</w:t>
      </w:r>
    </w:p>
    <w:p>
      <w:pPr>
        <w:spacing w:line="388" w:lineRule="exact" w:before="237"/>
        <w:ind w:left="35" w:right="0" w:firstLine="0"/>
        <w:jc w:val="left"/>
        <w:rPr>
          <w:sz w:val="26"/>
        </w:rPr>
      </w:pPr>
      <w:r>
        <w:rPr/>
        <w:br w:type="column"/>
      </w:r>
      <w:r>
        <w:rPr>
          <w:rFonts w:ascii="Symbol" w:hAnsi="Symbol"/>
          <w:position w:val="1"/>
          <w:sz w:val="24"/>
        </w:rPr>
        <w:t></w:t>
      </w:r>
      <w:r>
        <w:rPr>
          <w:position w:val="1"/>
          <w:sz w:val="24"/>
        </w:rPr>
        <w:t>  </w:t>
      </w:r>
      <w:r>
        <w:rPr>
          <w:i/>
          <w:position w:val="16"/>
          <w:sz w:val="24"/>
        </w:rPr>
        <w:t>hi  </w:t>
      </w:r>
      <w:r>
        <w:rPr>
          <w:rFonts w:ascii="Symbol" w:hAnsi="Symbol"/>
          <w:position w:val="1"/>
          <w:sz w:val="24"/>
        </w:rPr>
        <w:t></w:t>
      </w:r>
      <w:r>
        <w:rPr>
          <w:position w:val="1"/>
          <w:sz w:val="24"/>
        </w:rPr>
        <w:t>100 </w:t>
      </w:r>
      <w:r>
        <w:rPr>
          <w:sz w:val="26"/>
        </w:rPr>
        <w:t>…………………………………(8)</w:t>
      </w:r>
    </w:p>
    <w:p>
      <w:pPr>
        <w:spacing w:line="223" w:lineRule="exact" w:before="0"/>
        <w:ind w:left="222" w:right="0" w:firstLine="0"/>
        <w:jc w:val="left"/>
        <w:rPr>
          <w:i/>
          <w:sz w:val="24"/>
        </w:rPr>
      </w:pPr>
      <w:r>
        <w:rPr/>
        <w:pict>
          <v:line style="position:absolute;mso-position-horizontal-relative:page;mso-position-vertical-relative:paragraph;z-index:-1039504" from="311.608093pt,-3.764431pt" to="328.891552pt,-3.764425pt" stroked="true" strokeweight=".475697pt" strokecolor="#000000">
            <w10:wrap type="none"/>
          </v:line>
        </w:pict>
      </w:r>
      <w:r>
        <w:rPr>
          <w:i/>
          <w:w w:val="105"/>
          <w:sz w:val="24"/>
        </w:rPr>
        <w:t>Lci</w:t>
      </w:r>
    </w:p>
    <w:p>
      <w:pPr>
        <w:spacing w:after="0" w:line="223" w:lineRule="exact"/>
        <w:jc w:val="left"/>
        <w:rPr>
          <w:sz w:val="24"/>
        </w:rPr>
        <w:sectPr>
          <w:type w:val="continuous"/>
          <w:pgSz w:w="12240" w:h="15840"/>
          <w:pgMar w:top="1500" w:bottom="280" w:left="1660" w:right="1300"/>
          <w:cols w:num="2" w:equalWidth="0">
            <w:col w:w="4333" w:space="40"/>
            <w:col w:w="4907"/>
          </w:cols>
        </w:sectPr>
      </w:pPr>
    </w:p>
    <w:p>
      <w:pPr>
        <w:pStyle w:val="BodyText"/>
        <w:rPr>
          <w:i/>
          <w:sz w:val="20"/>
        </w:rPr>
      </w:pPr>
    </w:p>
    <w:p>
      <w:pPr>
        <w:pStyle w:val="BodyText"/>
        <w:spacing w:before="11"/>
        <w:rPr>
          <w:i/>
        </w:rPr>
      </w:pPr>
    </w:p>
    <w:p>
      <w:pPr>
        <w:spacing w:after="0"/>
        <w:sectPr>
          <w:type w:val="continuous"/>
          <w:pgSz w:w="12240" w:h="15840"/>
          <w:pgMar w:top="1500" w:bottom="280" w:left="1660" w:right="1300"/>
        </w:sectPr>
      </w:pPr>
    </w:p>
    <w:p>
      <w:pPr>
        <w:pStyle w:val="BodyText"/>
        <w:spacing w:before="66"/>
        <w:ind w:left="476"/>
      </w:pPr>
      <w:r>
        <w:rPr>
          <w:w w:val="95"/>
        </w:rPr>
        <w:t>Donde:</w:t>
      </w:r>
    </w:p>
    <w:p>
      <w:pPr>
        <w:pStyle w:val="BodyText"/>
      </w:pPr>
      <w:r>
        <w:rPr/>
        <w:br w:type="column"/>
      </w:r>
      <w:r>
        <w:rPr/>
      </w:r>
    </w:p>
    <w:p>
      <w:pPr>
        <w:pStyle w:val="BodyText"/>
        <w:spacing w:before="217"/>
        <w:ind w:left="277"/>
      </w:pPr>
      <w:r>
        <w:rPr>
          <w:i/>
          <w:position w:val="2"/>
        </w:rPr>
        <w:t>P</w:t>
      </w:r>
      <w:r>
        <w:rPr>
          <w:i/>
          <w:sz w:val="16"/>
        </w:rPr>
        <w:t>pc </w:t>
      </w:r>
      <w:r>
        <w:rPr>
          <w:position w:val="2"/>
        </w:rPr>
        <w:t>= Pendiente parcial del cauce entre dos puntos considerados (%)</w:t>
      </w:r>
    </w:p>
    <w:p>
      <w:pPr>
        <w:pStyle w:val="BodyText"/>
        <w:spacing w:before="149"/>
        <w:ind w:left="277"/>
      </w:pPr>
      <w:r>
        <w:rPr>
          <w:i/>
        </w:rPr>
        <w:t>hi </w:t>
      </w:r>
      <w:r>
        <w:rPr/>
        <w:t>= Desnivel entre los puntos considerados (m)</w:t>
      </w:r>
    </w:p>
    <w:p>
      <w:pPr>
        <w:pStyle w:val="BodyText"/>
        <w:spacing w:before="147"/>
        <w:ind w:left="277"/>
      </w:pPr>
      <w:r>
        <w:rPr>
          <w:i/>
        </w:rPr>
        <w:t>Lci </w:t>
      </w:r>
      <w:r>
        <w:rPr/>
        <w:t>= Longitud del cauce entre los puntos considerados (m)</w:t>
      </w:r>
    </w:p>
    <w:p>
      <w:pPr>
        <w:spacing w:after="0"/>
        <w:sectPr>
          <w:type w:val="continuous"/>
          <w:pgSz w:w="12240" w:h="15840"/>
          <w:pgMar w:top="1500" w:bottom="280" w:left="1660" w:right="1300"/>
          <w:cols w:num="2" w:equalWidth="0">
            <w:col w:w="1241" w:space="40"/>
            <w:col w:w="7999"/>
          </w:cols>
        </w:sectPr>
      </w:pPr>
    </w:p>
    <w:p>
      <w:pPr>
        <w:pStyle w:val="BodyText"/>
        <w:rPr>
          <w:sz w:val="20"/>
        </w:rPr>
      </w:pPr>
    </w:p>
    <w:p>
      <w:pPr>
        <w:pStyle w:val="BodyText"/>
        <w:spacing w:before="3"/>
      </w:pPr>
    </w:p>
    <w:p>
      <w:pPr>
        <w:pStyle w:val="BodyText"/>
        <w:spacing w:line="362" w:lineRule="auto" w:before="66"/>
        <w:ind w:left="467" w:right="26"/>
      </w:pPr>
      <w:r>
        <w:rPr/>
        <w:t>De igual forma se puede obtener la pendiente media del cauce principal, de acuerdo a la ecuación 9.</w:t>
      </w:r>
    </w:p>
    <w:p>
      <w:pPr>
        <w:spacing w:line="315" w:lineRule="exact" w:before="13"/>
        <w:ind w:left="4134" w:right="26" w:firstLine="0"/>
        <w:jc w:val="left"/>
        <w:rPr>
          <w:sz w:val="26"/>
        </w:rPr>
      </w:pPr>
      <w:r>
        <w:rPr/>
        <w:pict>
          <v:line style="position:absolute;mso-position-horizontal-relative:page;mso-position-vertical-relative:paragraph;z-index:-1039480" from="309.917297pt,16.193174pt" to="322.796766pt,16.193174pt" stroked="true" strokeweight=".475697pt" strokecolor="#000000">
            <w10:wrap type="none"/>
          </v:line>
        </w:pict>
      </w:r>
      <w:r>
        <w:rPr>
          <w:i/>
          <w:position w:val="1"/>
          <w:sz w:val="24"/>
        </w:rPr>
        <w:t>P </w:t>
      </w:r>
      <w:r>
        <w:rPr>
          <w:rFonts w:ascii="Symbol" w:hAnsi="Symbol"/>
          <w:position w:val="1"/>
          <w:sz w:val="24"/>
        </w:rPr>
        <w:t></w:t>
      </w:r>
      <w:r>
        <w:rPr>
          <w:position w:val="1"/>
          <w:sz w:val="24"/>
        </w:rPr>
        <w:t> </w:t>
      </w:r>
      <w:r>
        <w:rPr>
          <w:i/>
          <w:position w:val="16"/>
          <w:sz w:val="24"/>
        </w:rPr>
        <w:t>hc </w:t>
      </w:r>
      <w:r>
        <w:rPr>
          <w:rFonts w:ascii="Symbol" w:hAnsi="Symbol"/>
          <w:position w:val="1"/>
          <w:sz w:val="24"/>
        </w:rPr>
        <w:t></w:t>
      </w:r>
      <w:r>
        <w:rPr>
          <w:position w:val="1"/>
          <w:sz w:val="24"/>
        </w:rPr>
        <w:t>100 </w:t>
      </w:r>
      <w:r>
        <w:rPr>
          <w:sz w:val="26"/>
        </w:rPr>
        <w:t>…………………………………..(9)</w:t>
      </w:r>
    </w:p>
    <w:p>
      <w:pPr>
        <w:tabs>
          <w:tab w:pos="356" w:val="left" w:leader="none"/>
        </w:tabs>
        <w:spacing w:line="298" w:lineRule="exact" w:before="0"/>
        <w:ind w:left="0" w:right="280" w:firstLine="0"/>
        <w:jc w:val="center"/>
        <w:rPr>
          <w:i/>
          <w:sz w:val="24"/>
        </w:rPr>
      </w:pPr>
      <w:r>
        <w:rPr>
          <w:i/>
          <w:w w:val="105"/>
          <w:sz w:val="14"/>
        </w:rPr>
        <w:t>c</w:t>
        <w:tab/>
      </w:r>
      <w:r>
        <w:rPr>
          <w:i/>
          <w:w w:val="105"/>
          <w:position w:val="-12"/>
          <w:sz w:val="24"/>
        </w:rPr>
        <w:t>L</w:t>
      </w:r>
    </w:p>
    <w:p>
      <w:pPr>
        <w:spacing w:after="0" w:line="298" w:lineRule="exact"/>
        <w:jc w:val="center"/>
        <w:rPr>
          <w:sz w:val="24"/>
        </w:rPr>
        <w:sectPr>
          <w:type w:val="continuous"/>
          <w:pgSz w:w="12240" w:h="15840"/>
          <w:pgMar w:top="1500" w:bottom="280" w:left="1660" w:right="1300"/>
        </w:sectPr>
      </w:pPr>
    </w:p>
    <w:p>
      <w:pPr>
        <w:pStyle w:val="BodyText"/>
        <w:spacing w:before="49"/>
        <w:ind w:left="827"/>
      </w:pPr>
      <w:r>
        <w:rPr>
          <w:w w:val="95"/>
        </w:rPr>
        <w:t>Donde:</w:t>
      </w:r>
    </w:p>
    <w:p>
      <w:pPr>
        <w:pStyle w:val="BodyText"/>
      </w:pPr>
      <w:r>
        <w:rPr/>
        <w:br w:type="column"/>
      </w:r>
      <w:r>
        <w:rPr/>
      </w:r>
    </w:p>
    <w:p>
      <w:pPr>
        <w:pStyle w:val="BodyText"/>
        <w:spacing w:before="200"/>
        <w:ind w:left="286" w:right="1"/>
      </w:pPr>
      <w:r>
        <w:rPr>
          <w:i/>
          <w:position w:val="2"/>
        </w:rPr>
        <w:t>P</w:t>
      </w:r>
      <w:r>
        <w:rPr>
          <w:i/>
          <w:sz w:val="16"/>
        </w:rPr>
        <w:t>c </w:t>
      </w:r>
      <w:r>
        <w:rPr>
          <w:position w:val="2"/>
        </w:rPr>
        <w:t>= Pendiente media del cauce principal (%)</w:t>
      </w:r>
    </w:p>
    <w:p>
      <w:pPr>
        <w:pStyle w:val="BodyText"/>
        <w:spacing w:line="362" w:lineRule="auto" w:before="149"/>
        <w:ind w:left="286" w:right="1"/>
      </w:pPr>
      <w:r>
        <w:rPr>
          <w:i/>
        </w:rPr>
        <w:t>hc </w:t>
      </w:r>
      <w:r>
        <w:rPr/>
        <w:t>= Desnivel entre el punto más alejado del cauce principal y el punto a la salida de la cuenca (m)</w:t>
      </w:r>
    </w:p>
    <w:p>
      <w:pPr>
        <w:pStyle w:val="BodyText"/>
        <w:ind w:left="286" w:right="1"/>
      </w:pPr>
      <w:r>
        <w:rPr>
          <w:i/>
        </w:rPr>
        <w:t>L </w:t>
      </w:r>
      <w:r>
        <w:rPr/>
        <w:t>= Longitud del cauce principal (m)</w:t>
      </w:r>
    </w:p>
    <w:p>
      <w:pPr>
        <w:spacing w:after="0"/>
        <w:sectPr>
          <w:pgSz w:w="12240" w:h="15840"/>
          <w:pgMar w:header="0" w:footer="1473" w:top="1360" w:bottom="1660" w:left="1300" w:right="1300"/>
          <w:cols w:num="2" w:equalWidth="0">
            <w:col w:w="1591" w:space="40"/>
            <w:col w:w="8009"/>
          </w:cols>
        </w:sectPr>
      </w:pPr>
    </w:p>
    <w:p>
      <w:pPr>
        <w:pStyle w:val="BodyText"/>
        <w:rPr>
          <w:sz w:val="20"/>
        </w:rPr>
      </w:pPr>
    </w:p>
    <w:p>
      <w:pPr>
        <w:pStyle w:val="BodyText"/>
        <w:spacing w:before="1"/>
        <w:rPr>
          <w:sz w:val="28"/>
        </w:rPr>
      </w:pPr>
    </w:p>
    <w:p>
      <w:pPr>
        <w:pStyle w:val="Heading1"/>
        <w:numPr>
          <w:ilvl w:val="1"/>
          <w:numId w:val="25"/>
        </w:numPr>
        <w:tabs>
          <w:tab w:pos="836" w:val="left" w:leader="none"/>
          <w:tab w:pos="837" w:val="left" w:leader="none"/>
        </w:tabs>
        <w:spacing w:line="240" w:lineRule="auto" w:before="51" w:after="0"/>
        <w:ind w:left="837" w:right="0" w:hanging="361"/>
        <w:jc w:val="left"/>
      </w:pPr>
      <w:r>
        <w:rPr/>
        <w:t>Forma </w:t>
      </w:r>
      <w:r>
        <w:rPr>
          <w:spacing w:val="-3"/>
        </w:rPr>
        <w:t>de </w:t>
      </w:r>
      <w:r>
        <w:rPr/>
        <w:t>la</w:t>
      </w:r>
      <w:r>
        <w:rPr>
          <w:spacing w:val="-1"/>
        </w:rPr>
        <w:t> </w:t>
      </w:r>
      <w:r>
        <w:rPr/>
        <w:t>cuenca</w:t>
      </w:r>
    </w:p>
    <w:p>
      <w:pPr>
        <w:pStyle w:val="BodyText"/>
        <w:rPr>
          <w:b/>
        </w:rPr>
      </w:pPr>
    </w:p>
    <w:p>
      <w:pPr>
        <w:pStyle w:val="BodyText"/>
        <w:spacing w:before="6"/>
        <w:rPr>
          <w:b/>
          <w:sz w:val="25"/>
        </w:rPr>
      </w:pPr>
    </w:p>
    <w:p>
      <w:pPr>
        <w:pStyle w:val="BodyText"/>
        <w:spacing w:line="360" w:lineRule="auto"/>
        <w:ind w:left="116" w:right="113"/>
        <w:jc w:val="both"/>
      </w:pPr>
      <w:r>
        <w:rPr/>
        <w:t>Las relaciones de forma son parámetros que a través de comparaciones con figuras geométricas, permiten definir la forma del hidrograma y el tiempo que tarda en salir el escurrimiento superficial desde su punto más lejano. La forma de la cuenca, por lo tanto, está relacionada con los hidrogramas de escurrimiento y las tasas de flujo máximo, por lo que se han realizado numerosos intentos para predecir el efecto de la forma con un solo valor numérico. Los indicadores de la forma de la cuenca son los siguientes (SRH, 1974):</w:t>
      </w:r>
    </w:p>
    <w:p>
      <w:pPr>
        <w:pStyle w:val="BodyText"/>
      </w:pPr>
    </w:p>
    <w:p>
      <w:pPr>
        <w:pStyle w:val="ListParagraph"/>
        <w:numPr>
          <w:ilvl w:val="0"/>
          <w:numId w:val="26"/>
        </w:numPr>
        <w:tabs>
          <w:tab w:pos="837" w:val="left" w:leader="none"/>
        </w:tabs>
        <w:spacing w:line="360" w:lineRule="auto" w:before="155" w:after="0"/>
        <w:ind w:left="837" w:right="115" w:hanging="361"/>
        <w:jc w:val="both"/>
        <w:rPr>
          <w:sz w:val="26"/>
        </w:rPr>
      </w:pPr>
      <w:r>
        <w:rPr>
          <w:i/>
          <w:sz w:val="26"/>
        </w:rPr>
        <w:t>Índice de forma</w:t>
      </w:r>
      <w:r>
        <w:rPr>
          <w:sz w:val="26"/>
        </w:rPr>
        <w:t>, es la relación que existe entre el área de la cuenca y la longitud</w:t>
      </w:r>
      <w:r>
        <w:rPr>
          <w:spacing w:val="-31"/>
          <w:sz w:val="26"/>
        </w:rPr>
        <w:t> </w:t>
      </w:r>
      <w:r>
        <w:rPr>
          <w:sz w:val="26"/>
        </w:rPr>
        <w:t>del cauce principal, esta relación permite determinar si la cuenca presenta una forma circular o alargada, para ello se calcula el inverso del valor obtenido y si es menor de 5 se considera como circular y si el valor es mayor de 6 se considera alargada. Este índice se determina a través de la siguiente ecuación</w:t>
      </w:r>
      <w:r>
        <w:rPr>
          <w:spacing w:val="-5"/>
          <w:sz w:val="26"/>
        </w:rPr>
        <w:t> </w:t>
      </w:r>
      <w:r>
        <w:rPr>
          <w:sz w:val="26"/>
        </w:rPr>
        <w:t>10:</w:t>
      </w:r>
    </w:p>
    <w:p>
      <w:pPr>
        <w:pStyle w:val="BodyText"/>
        <w:rPr>
          <w:sz w:val="20"/>
        </w:rPr>
      </w:pPr>
    </w:p>
    <w:p>
      <w:pPr>
        <w:spacing w:after="0"/>
        <w:rPr>
          <w:sz w:val="20"/>
        </w:rPr>
        <w:sectPr>
          <w:type w:val="continuous"/>
          <w:pgSz w:w="12240" w:h="15840"/>
          <w:pgMar w:top="1500" w:bottom="280" w:left="1300" w:right="1300"/>
        </w:sectPr>
      </w:pPr>
    </w:p>
    <w:p>
      <w:pPr>
        <w:pStyle w:val="BodyText"/>
      </w:pPr>
    </w:p>
    <w:p>
      <w:pPr>
        <w:pStyle w:val="BodyText"/>
      </w:pPr>
    </w:p>
    <w:p>
      <w:pPr>
        <w:pStyle w:val="BodyText"/>
        <w:spacing w:before="7"/>
        <w:rPr>
          <w:sz w:val="35"/>
        </w:rPr>
      </w:pPr>
    </w:p>
    <w:p>
      <w:pPr>
        <w:pStyle w:val="BodyText"/>
        <w:ind w:left="836"/>
      </w:pPr>
      <w:r>
        <w:rPr>
          <w:w w:val="95"/>
        </w:rPr>
        <w:t>Donde:</w:t>
      </w:r>
    </w:p>
    <w:p>
      <w:pPr>
        <w:spacing w:line="370" w:lineRule="exact" w:before="237"/>
        <w:ind w:left="2748" w:right="0" w:firstLine="0"/>
        <w:jc w:val="left"/>
        <w:rPr>
          <w:sz w:val="26"/>
        </w:rPr>
      </w:pPr>
      <w:r>
        <w:rPr/>
        <w:br w:type="column"/>
      </w:r>
      <w:r>
        <w:rPr>
          <w:i/>
          <w:w w:val="105"/>
          <w:position w:val="1"/>
          <w:sz w:val="24"/>
        </w:rPr>
        <w:t>I </w:t>
      </w:r>
      <w:r>
        <w:rPr>
          <w:rFonts w:ascii="Symbol" w:hAnsi="Symbol"/>
          <w:w w:val="105"/>
          <w:position w:val="1"/>
          <w:sz w:val="24"/>
        </w:rPr>
        <w:t></w:t>
      </w:r>
      <w:r>
        <w:rPr>
          <w:w w:val="105"/>
          <w:position w:val="1"/>
          <w:sz w:val="24"/>
        </w:rPr>
        <w:t> </w:t>
      </w:r>
      <w:r>
        <w:rPr>
          <w:i/>
          <w:w w:val="105"/>
          <w:position w:val="16"/>
          <w:sz w:val="24"/>
        </w:rPr>
        <w:t>A</w:t>
      </w:r>
      <w:r>
        <w:rPr>
          <w:i/>
          <w:spacing w:val="-50"/>
          <w:w w:val="105"/>
          <w:position w:val="16"/>
          <w:sz w:val="24"/>
        </w:rPr>
        <w:t> </w:t>
      </w:r>
      <w:r>
        <w:rPr>
          <w:w w:val="105"/>
          <w:sz w:val="26"/>
        </w:rPr>
        <w:t>……………...………………………..(10)</w:t>
      </w:r>
    </w:p>
    <w:p>
      <w:pPr>
        <w:tabs>
          <w:tab w:pos="320" w:val="left" w:leader="none"/>
        </w:tabs>
        <w:spacing w:line="243" w:lineRule="exact" w:before="0"/>
        <w:ind w:left="0" w:right="1724" w:firstLine="0"/>
        <w:jc w:val="center"/>
        <w:rPr>
          <w:sz w:val="14"/>
        </w:rPr>
      </w:pPr>
      <w:r>
        <w:rPr/>
        <w:pict>
          <v:line style="position:absolute;mso-position-horizontal-relative:page;mso-position-vertical-relative:paragraph;z-index:-1039456" from="305.755157pt,-2.954575pt" to="318.665498pt,-2.95457pt" stroked="true" strokeweight=".499486pt" strokecolor="#000000">
            <w10:wrap type="none"/>
          </v:line>
        </w:pict>
      </w:r>
      <w:r>
        <w:rPr>
          <w:i/>
          <w:w w:val="105"/>
          <w:sz w:val="14"/>
        </w:rPr>
        <w:t>f</w:t>
        <w:tab/>
      </w:r>
      <w:r>
        <w:rPr>
          <w:i/>
          <w:spacing w:val="-9"/>
          <w:w w:val="105"/>
          <w:position w:val="-12"/>
          <w:sz w:val="24"/>
        </w:rPr>
        <w:t>L</w:t>
      </w:r>
      <w:r>
        <w:rPr>
          <w:spacing w:val="-9"/>
          <w:w w:val="105"/>
          <w:position w:val="-1"/>
          <w:sz w:val="14"/>
        </w:rPr>
        <w:t>2</w:t>
      </w:r>
    </w:p>
    <w:p>
      <w:pPr>
        <w:pStyle w:val="BodyText"/>
        <w:rPr>
          <w:sz w:val="28"/>
        </w:rPr>
      </w:pPr>
    </w:p>
    <w:p>
      <w:pPr>
        <w:pStyle w:val="BodyText"/>
        <w:spacing w:before="4"/>
        <w:rPr>
          <w:sz w:val="24"/>
        </w:rPr>
      </w:pPr>
    </w:p>
    <w:p>
      <w:pPr>
        <w:pStyle w:val="BodyText"/>
        <w:ind w:left="277"/>
      </w:pPr>
      <w:r>
        <w:rPr>
          <w:i/>
          <w:position w:val="2"/>
        </w:rPr>
        <w:t>I</w:t>
      </w:r>
      <w:r>
        <w:rPr>
          <w:i/>
          <w:sz w:val="17"/>
        </w:rPr>
        <w:t>f  </w:t>
      </w:r>
      <w:r>
        <w:rPr>
          <w:position w:val="2"/>
        </w:rPr>
        <w:t>= Índice de forma (adimensional)</w:t>
      </w:r>
    </w:p>
    <w:p>
      <w:pPr>
        <w:pStyle w:val="BodyText"/>
        <w:spacing w:before="153"/>
        <w:ind w:left="277"/>
      </w:pPr>
      <w:r>
        <w:rPr>
          <w:i/>
        </w:rPr>
        <w:t>A </w:t>
      </w:r>
      <w:r>
        <w:rPr/>
        <w:t>= Área de la cuenca (km</w:t>
      </w:r>
      <w:r>
        <w:rPr>
          <w:position w:val="9"/>
          <w:sz w:val="16"/>
        </w:rPr>
        <w:t>2</w:t>
      </w:r>
      <w:r>
        <w:rPr/>
        <w:t>)</w:t>
      </w:r>
    </w:p>
    <w:p>
      <w:pPr>
        <w:pStyle w:val="BodyText"/>
        <w:spacing w:before="147"/>
        <w:ind w:left="277"/>
      </w:pPr>
      <w:r>
        <w:rPr>
          <w:i/>
        </w:rPr>
        <w:t>L </w:t>
      </w:r>
      <w:r>
        <w:rPr/>
        <w:t>= Longitud del cauce principal (km)</w:t>
      </w:r>
    </w:p>
    <w:p>
      <w:pPr>
        <w:spacing w:after="0"/>
        <w:sectPr>
          <w:type w:val="continuous"/>
          <w:pgSz w:w="12240" w:h="15840"/>
          <w:pgMar w:top="1500" w:bottom="280" w:left="1300" w:right="1300"/>
          <w:cols w:num="2" w:equalWidth="0">
            <w:col w:w="1601" w:space="40"/>
            <w:col w:w="7999"/>
          </w:cols>
        </w:sectPr>
      </w:pPr>
    </w:p>
    <w:p>
      <w:pPr>
        <w:pStyle w:val="ListParagraph"/>
        <w:numPr>
          <w:ilvl w:val="0"/>
          <w:numId w:val="27"/>
        </w:numPr>
        <w:tabs>
          <w:tab w:pos="477" w:val="left" w:leader="none"/>
        </w:tabs>
        <w:spacing w:line="360" w:lineRule="auto" w:before="49" w:after="0"/>
        <w:ind w:left="477" w:right="113" w:hanging="361"/>
        <w:jc w:val="both"/>
        <w:rPr>
          <w:sz w:val="26"/>
        </w:rPr>
      </w:pPr>
      <w:r>
        <w:rPr>
          <w:i/>
          <w:sz w:val="26"/>
        </w:rPr>
        <w:t>Relación de forma o relación de circularidad</w:t>
      </w:r>
      <w:r>
        <w:rPr>
          <w:sz w:val="26"/>
        </w:rPr>
        <w:t>, esta relación nos permite conocer la similitud existente entre el área de la cuenca y un círculo que tenga el mismo perímetro que la cuenca, de tal forma que mientras el resultado de esta relación se aproxime más a la unidad, la cuenca tenderá a presentar una forma circular. Aplicando esta relación se muestran las siguientes ecuaciones 11, 11.1 y</w:t>
      </w:r>
      <w:r>
        <w:rPr>
          <w:spacing w:val="-10"/>
          <w:sz w:val="26"/>
        </w:rPr>
        <w:t> </w:t>
      </w:r>
      <w:r>
        <w:rPr>
          <w:sz w:val="26"/>
        </w:rPr>
        <w:t>11.2.</w:t>
      </w:r>
    </w:p>
    <w:p>
      <w:pPr>
        <w:spacing w:after="0" w:line="360" w:lineRule="auto"/>
        <w:jc w:val="both"/>
        <w:rPr>
          <w:sz w:val="26"/>
        </w:rPr>
        <w:sectPr>
          <w:pgSz w:w="12240" w:h="15840"/>
          <w:pgMar w:header="0" w:footer="1473" w:top="1360" w:bottom="1660" w:left="1660" w:right="1300"/>
        </w:sectPr>
      </w:pPr>
    </w:p>
    <w:p>
      <w:pPr>
        <w:pStyle w:val="BodyText"/>
      </w:pPr>
    </w:p>
    <w:p>
      <w:pPr>
        <w:pStyle w:val="BodyText"/>
      </w:pPr>
    </w:p>
    <w:p>
      <w:pPr>
        <w:pStyle w:val="BodyText"/>
        <w:spacing w:before="188"/>
        <w:ind w:left="476"/>
      </w:pPr>
      <w:r>
        <w:rPr>
          <w:w w:val="95"/>
        </w:rPr>
        <w:t>Donde:</w:t>
      </w:r>
    </w:p>
    <w:p>
      <w:pPr>
        <w:spacing w:before="153"/>
        <w:ind w:left="476" w:right="-17" w:firstLine="0"/>
        <w:jc w:val="left"/>
        <w:rPr>
          <w:rFonts w:ascii="Symbol" w:hAnsi="Symbol"/>
          <w:sz w:val="24"/>
        </w:rPr>
      </w:pPr>
      <w:r>
        <w:rPr/>
        <w:br w:type="column"/>
      </w:r>
      <w:r>
        <w:rPr>
          <w:i/>
          <w:spacing w:val="-8"/>
          <w:w w:val="105"/>
          <w:sz w:val="24"/>
        </w:rPr>
        <w:t>Rc</w:t>
      </w:r>
      <w:r>
        <w:rPr>
          <w:i/>
          <w:spacing w:val="-29"/>
          <w:w w:val="105"/>
          <w:sz w:val="24"/>
        </w:rPr>
        <w:t> </w:t>
      </w:r>
      <w:r>
        <w:rPr>
          <w:rFonts w:ascii="Symbol" w:hAnsi="Symbol"/>
          <w:w w:val="105"/>
          <w:sz w:val="24"/>
        </w:rPr>
        <w:t></w:t>
      </w:r>
    </w:p>
    <w:p>
      <w:pPr>
        <w:spacing w:line="388" w:lineRule="exact" w:before="20"/>
        <w:ind w:left="79" w:right="0" w:firstLine="0"/>
        <w:jc w:val="left"/>
        <w:rPr>
          <w:i/>
          <w:sz w:val="26"/>
        </w:rPr>
      </w:pPr>
      <w:r>
        <w:rPr/>
        <w:br w:type="column"/>
      </w:r>
      <w:r>
        <w:rPr>
          <w:i/>
          <w:position w:val="16"/>
          <w:sz w:val="24"/>
        </w:rPr>
        <w:t>A </w:t>
      </w:r>
      <w:r>
        <w:rPr>
          <w:sz w:val="26"/>
        </w:rPr>
        <w:t>…</w:t>
      </w:r>
      <w:r>
        <w:rPr>
          <w:i/>
          <w:sz w:val="26"/>
        </w:rPr>
        <w:t>…………………………………………(11)</w:t>
      </w:r>
    </w:p>
    <w:p>
      <w:pPr>
        <w:spacing w:line="224" w:lineRule="exact" w:before="0"/>
        <w:ind w:left="22" w:right="0" w:firstLine="0"/>
        <w:jc w:val="left"/>
        <w:rPr>
          <w:i/>
          <w:sz w:val="24"/>
        </w:rPr>
      </w:pPr>
      <w:r>
        <w:rPr/>
        <w:pict>
          <v:line style="position:absolute;mso-position-horizontal-relative:page;mso-position-vertical-relative:paragraph;z-index:-1039432" from="304.349487pt,-3.729411pt" to="319.518877pt,-3.729391pt" stroked="true" strokeweight=".499486pt" strokecolor="#000000">
            <w10:wrap type="none"/>
          </v:line>
        </w:pict>
      </w:r>
      <w:r>
        <w:rPr>
          <w:i/>
          <w:w w:val="105"/>
          <w:sz w:val="24"/>
        </w:rPr>
        <w:t>Ac</w:t>
      </w:r>
    </w:p>
    <w:p>
      <w:pPr>
        <w:spacing w:after="0" w:line="224" w:lineRule="exact"/>
        <w:jc w:val="left"/>
        <w:rPr>
          <w:sz w:val="24"/>
        </w:rPr>
        <w:sectPr>
          <w:type w:val="continuous"/>
          <w:pgSz w:w="12240" w:h="15840"/>
          <w:pgMar w:top="1500" w:bottom="280" w:left="1660" w:right="1300"/>
          <w:cols w:num="3" w:equalWidth="0">
            <w:col w:w="1241" w:space="2258"/>
            <w:col w:w="902" w:space="40"/>
            <w:col w:w="4839"/>
          </w:cols>
        </w:sectPr>
      </w:pPr>
    </w:p>
    <w:p>
      <w:pPr>
        <w:pStyle w:val="BodyText"/>
        <w:spacing w:before="147"/>
        <w:ind w:left="1557" w:right="26"/>
      </w:pPr>
      <w:r>
        <w:rPr>
          <w:i/>
        </w:rPr>
        <w:t>Rc </w:t>
      </w:r>
      <w:r>
        <w:rPr/>
        <w:t>= Relación de circularidad (adimensional)</w:t>
      </w:r>
    </w:p>
    <w:p>
      <w:pPr>
        <w:pStyle w:val="BodyText"/>
        <w:spacing w:before="146"/>
        <w:ind w:left="1557" w:right="26"/>
      </w:pPr>
      <w:r>
        <w:rPr>
          <w:i/>
        </w:rPr>
        <w:t>A </w:t>
      </w:r>
      <w:r>
        <w:rPr/>
        <w:t>= Área de la cuenca (km</w:t>
      </w:r>
      <w:r>
        <w:rPr>
          <w:position w:val="9"/>
          <w:sz w:val="17"/>
        </w:rPr>
        <w:t>2</w:t>
      </w:r>
      <w:r>
        <w:rPr/>
        <w:t>)</w:t>
      </w:r>
    </w:p>
    <w:p>
      <w:pPr>
        <w:pStyle w:val="BodyText"/>
        <w:spacing w:before="142"/>
        <w:ind w:left="1557" w:right="26"/>
      </w:pPr>
      <w:r>
        <w:rPr>
          <w:i/>
        </w:rPr>
        <w:t>Ac </w:t>
      </w:r>
      <w:r>
        <w:rPr/>
        <w:t>= Área de un círculo del mismo perímetro de la cuenca (km</w:t>
      </w:r>
      <w:r>
        <w:rPr>
          <w:position w:val="9"/>
          <w:sz w:val="17"/>
        </w:rPr>
        <w:t>2</w:t>
      </w:r>
      <w:r>
        <w:rPr/>
        <w:t>)</w:t>
      </w:r>
    </w:p>
    <w:p>
      <w:pPr>
        <w:pStyle w:val="BodyText"/>
        <w:rPr>
          <w:sz w:val="20"/>
        </w:rPr>
      </w:pPr>
    </w:p>
    <w:p>
      <w:pPr>
        <w:pStyle w:val="BodyText"/>
        <w:spacing w:before="3"/>
      </w:pPr>
    </w:p>
    <w:p>
      <w:pPr>
        <w:spacing w:after="0"/>
        <w:sectPr>
          <w:type w:val="continuous"/>
          <w:pgSz w:w="12240" w:h="15840"/>
          <w:pgMar w:top="1500" w:bottom="280" w:left="1660" w:right="1300"/>
        </w:sectPr>
      </w:pPr>
    </w:p>
    <w:p>
      <w:pPr>
        <w:pStyle w:val="BodyText"/>
        <w:spacing w:before="66"/>
        <w:ind w:left="476"/>
      </w:pPr>
      <w:r>
        <w:rPr/>
        <w:t>Como:</w:t>
      </w:r>
    </w:p>
    <w:p>
      <w:pPr>
        <w:pStyle w:val="BodyText"/>
      </w:pPr>
    </w:p>
    <w:p>
      <w:pPr>
        <w:pStyle w:val="BodyText"/>
      </w:pPr>
    </w:p>
    <w:p>
      <w:pPr>
        <w:pStyle w:val="BodyText"/>
        <w:spacing w:before="4"/>
        <w:rPr>
          <w:sz w:val="31"/>
        </w:rPr>
      </w:pPr>
    </w:p>
    <w:p>
      <w:pPr>
        <w:pStyle w:val="BodyText"/>
        <w:ind w:left="476"/>
      </w:pPr>
      <w:r>
        <w:rPr>
          <w:w w:val="95"/>
        </w:rPr>
        <w:t>Donde:</w:t>
      </w:r>
    </w:p>
    <w:p>
      <w:pPr>
        <w:pStyle w:val="BodyText"/>
        <w:spacing w:before="1"/>
        <w:rPr>
          <w:sz w:val="49"/>
        </w:rPr>
      </w:pPr>
      <w:r>
        <w:rPr/>
        <w:br w:type="column"/>
      </w:r>
      <w:r>
        <w:rPr>
          <w:sz w:val="49"/>
        </w:rPr>
      </w:r>
    </w:p>
    <w:p>
      <w:pPr>
        <w:spacing w:line="367" w:lineRule="exact" w:before="0"/>
        <w:ind w:left="0" w:right="90" w:firstLine="0"/>
        <w:jc w:val="right"/>
        <w:rPr>
          <w:i/>
          <w:sz w:val="24"/>
        </w:rPr>
      </w:pPr>
      <w:r>
        <w:rPr>
          <w:i/>
          <w:sz w:val="24"/>
        </w:rPr>
        <w:t>Ac </w:t>
      </w:r>
      <w:r>
        <w:rPr>
          <w:rFonts w:ascii="Symbol" w:hAnsi="Symbol"/>
          <w:sz w:val="24"/>
        </w:rPr>
        <w:t></w:t>
      </w:r>
      <w:r>
        <w:rPr>
          <w:sz w:val="24"/>
        </w:rPr>
        <w:t> </w:t>
      </w:r>
      <w:r>
        <w:rPr>
          <w:i/>
          <w:position w:val="15"/>
          <w:sz w:val="24"/>
        </w:rPr>
        <w:t>p</w:t>
      </w:r>
    </w:p>
    <w:p>
      <w:pPr>
        <w:spacing w:line="247" w:lineRule="exact" w:before="0"/>
        <w:ind w:left="0" w:right="0" w:firstLine="0"/>
        <w:jc w:val="right"/>
        <w:rPr>
          <w:rFonts w:ascii="Symbol" w:hAnsi="Symbol"/>
          <w:i/>
          <w:sz w:val="25"/>
        </w:rPr>
      </w:pPr>
      <w:r>
        <w:rPr/>
        <w:pict>
          <v:line style="position:absolute;mso-position-horizontal-relative:page;mso-position-vertical-relative:paragraph;z-index:-1039408" from="316.709167pt,-2.624245pt" to="331.943027pt,-2.624236pt" stroked="true" strokeweight=".510826pt" strokecolor="#000000">
            <w10:wrap type="none"/>
          </v:line>
        </w:pict>
      </w:r>
      <w:r>
        <w:rPr/>
        <w:pict>
          <v:shape style="position:absolute;margin-left:326.267059pt;margin-top:-18.183119pt;width:3.6pt;height:7.2pt;mso-position-horizontal-relative:page;mso-position-vertical-relative:paragraph;z-index:3616" type="#_x0000_t202" filled="false" stroked="false">
            <v:textbox inset="0,0,0,0">
              <w:txbxContent>
                <w:p>
                  <w:pPr>
                    <w:spacing w:line="143" w:lineRule="exact" w:before="0"/>
                    <w:ind w:left="0" w:right="0" w:firstLine="0"/>
                    <w:jc w:val="left"/>
                    <w:rPr>
                      <w:sz w:val="14"/>
                    </w:rPr>
                  </w:pPr>
                  <w:r>
                    <w:rPr>
                      <w:w w:val="101"/>
                      <w:sz w:val="14"/>
                    </w:rPr>
                    <w:t>2</w:t>
                  </w:r>
                </w:p>
              </w:txbxContent>
            </v:textbox>
            <w10:wrap type="none"/>
          </v:shape>
        </w:pict>
      </w:r>
      <w:r>
        <w:rPr>
          <w:w w:val="95"/>
          <w:sz w:val="24"/>
        </w:rPr>
        <w:t>4</w:t>
      </w:r>
      <w:r>
        <w:rPr>
          <w:rFonts w:ascii="Symbol" w:hAnsi="Symbol"/>
          <w:i/>
          <w:w w:val="95"/>
          <w:sz w:val="25"/>
        </w:rPr>
        <w:t></w:t>
      </w:r>
    </w:p>
    <w:p>
      <w:pPr>
        <w:pStyle w:val="BodyText"/>
        <w:rPr>
          <w:rFonts w:ascii="Symbol" w:hAnsi="Symbol"/>
          <w:i/>
        </w:rPr>
      </w:pPr>
      <w:r>
        <w:rPr/>
        <w:br w:type="column"/>
      </w:r>
      <w:r>
        <w:rPr>
          <w:rFonts w:ascii="Symbol" w:hAnsi="Symbol"/>
          <w:i/>
        </w:rPr>
      </w:r>
    </w:p>
    <w:p>
      <w:pPr>
        <w:pStyle w:val="BodyText"/>
        <w:spacing w:before="2"/>
        <w:rPr>
          <w:rFonts w:ascii="Symbol" w:hAnsi="Symbol"/>
          <w:i/>
          <w:sz w:val="31"/>
        </w:rPr>
      </w:pPr>
    </w:p>
    <w:p>
      <w:pPr>
        <w:pStyle w:val="BodyText"/>
        <w:ind w:left="52"/>
      </w:pPr>
      <w:r>
        <w:rPr/>
        <w:t>……………..……………………(11.1)</w:t>
      </w:r>
    </w:p>
    <w:p>
      <w:pPr>
        <w:spacing w:after="0"/>
        <w:sectPr>
          <w:type w:val="continuous"/>
          <w:pgSz w:w="12240" w:h="15840"/>
          <w:pgMar w:top="1500" w:bottom="280" w:left="1660" w:right="1300"/>
          <w:cols w:num="3" w:equalWidth="0">
            <w:col w:w="1241" w:space="2461"/>
            <w:col w:w="1235" w:space="40"/>
            <w:col w:w="4303"/>
          </w:cols>
        </w:sectPr>
      </w:pPr>
    </w:p>
    <w:p>
      <w:pPr>
        <w:pStyle w:val="BodyText"/>
        <w:spacing w:before="152"/>
        <w:ind w:left="1557" w:right="26"/>
      </w:pPr>
      <w:r>
        <w:rPr>
          <w:i/>
        </w:rPr>
        <w:t>P </w:t>
      </w:r>
      <w:r>
        <w:rPr/>
        <w:t>= Perímetro de la cuenca (km)</w:t>
      </w:r>
    </w:p>
    <w:p>
      <w:pPr>
        <w:pStyle w:val="BodyText"/>
        <w:rPr>
          <w:sz w:val="20"/>
        </w:rPr>
      </w:pPr>
    </w:p>
    <w:p>
      <w:pPr>
        <w:pStyle w:val="BodyText"/>
        <w:spacing w:before="10"/>
        <w:rPr>
          <w:sz w:val="25"/>
        </w:rPr>
      </w:pPr>
    </w:p>
    <w:p>
      <w:pPr>
        <w:spacing w:after="0"/>
        <w:rPr>
          <w:sz w:val="25"/>
        </w:rPr>
        <w:sectPr>
          <w:type w:val="continuous"/>
          <w:pgSz w:w="12240" w:h="15840"/>
          <w:pgMar w:top="1500" w:bottom="280" w:left="1660" w:right="1300"/>
        </w:sectPr>
      </w:pPr>
    </w:p>
    <w:p>
      <w:pPr>
        <w:pStyle w:val="BodyText"/>
        <w:spacing w:before="66"/>
        <w:ind w:left="476"/>
      </w:pPr>
      <w:r>
        <w:rPr>
          <w:w w:val="95"/>
        </w:rPr>
        <w:t>Sustituyendo:</w:t>
      </w:r>
    </w:p>
    <w:p>
      <w:pPr>
        <w:pStyle w:val="BodyText"/>
        <w:rPr>
          <w:sz w:val="24"/>
        </w:rPr>
      </w:pPr>
      <w:r>
        <w:rPr/>
        <w:br w:type="column"/>
      </w:r>
      <w:r>
        <w:rPr>
          <w:sz w:val="24"/>
        </w:rPr>
      </w:r>
    </w:p>
    <w:p>
      <w:pPr>
        <w:pStyle w:val="BodyText"/>
        <w:spacing w:before="8"/>
        <w:rPr>
          <w:sz w:val="32"/>
        </w:rPr>
      </w:pPr>
    </w:p>
    <w:p>
      <w:pPr>
        <w:spacing w:before="0"/>
        <w:ind w:left="477" w:right="-19" w:firstLine="0"/>
        <w:jc w:val="left"/>
        <w:rPr>
          <w:rFonts w:ascii="Symbol" w:hAnsi="Symbol"/>
          <w:sz w:val="25"/>
        </w:rPr>
      </w:pPr>
      <w:r>
        <w:rPr>
          <w:i/>
          <w:spacing w:val="-9"/>
          <w:sz w:val="25"/>
        </w:rPr>
        <w:t>Rc</w:t>
      </w:r>
      <w:r>
        <w:rPr>
          <w:i/>
          <w:spacing w:val="-22"/>
          <w:sz w:val="25"/>
        </w:rPr>
        <w:t> </w:t>
      </w:r>
      <w:r>
        <w:rPr>
          <w:rFonts w:ascii="Symbol" w:hAnsi="Symbol"/>
          <w:sz w:val="25"/>
        </w:rPr>
        <w:t></w:t>
      </w:r>
    </w:p>
    <w:p>
      <w:pPr>
        <w:pStyle w:val="BodyText"/>
        <w:rPr>
          <w:rFonts w:ascii="Symbol" w:hAnsi="Symbol"/>
          <w:sz w:val="24"/>
        </w:rPr>
      </w:pPr>
      <w:r>
        <w:rPr/>
        <w:br w:type="column"/>
      </w:r>
      <w:r>
        <w:rPr>
          <w:rFonts w:ascii="Symbol" w:hAnsi="Symbol"/>
          <w:sz w:val="24"/>
        </w:rPr>
      </w:r>
    </w:p>
    <w:p>
      <w:pPr>
        <w:pStyle w:val="BodyText"/>
        <w:spacing w:before="4"/>
        <w:rPr>
          <w:rFonts w:ascii="Symbol" w:hAnsi="Symbol"/>
          <w:sz w:val="18"/>
        </w:rPr>
      </w:pPr>
    </w:p>
    <w:p>
      <w:pPr>
        <w:spacing w:before="0"/>
        <w:ind w:left="61" w:right="0" w:firstLine="0"/>
        <w:jc w:val="center"/>
        <w:rPr>
          <w:i/>
          <w:sz w:val="25"/>
        </w:rPr>
      </w:pPr>
      <w:r>
        <w:rPr>
          <w:i/>
          <w:w w:val="101"/>
          <w:sz w:val="25"/>
        </w:rPr>
        <w:t>A</w:t>
      </w:r>
    </w:p>
    <w:p>
      <w:pPr>
        <w:spacing w:before="24"/>
        <w:ind w:left="30" w:right="0" w:firstLine="0"/>
        <w:jc w:val="center"/>
        <w:rPr>
          <w:rFonts w:ascii="Symbol" w:hAnsi="Symbol"/>
          <w:i/>
          <w:sz w:val="26"/>
        </w:rPr>
      </w:pPr>
      <w:r>
        <w:rPr/>
        <w:pict>
          <v:line style="position:absolute;mso-position-horizontal-relative:page;mso-position-vertical-relative:paragraph;z-index:-1039384" from="302.334564pt,1.79775pt" to="337.904778pt,1.797765pt" stroked="true" strokeweight=".479391pt" strokecolor="#000000">
            <w10:wrap type="none"/>
          </v:line>
        </w:pict>
      </w:r>
      <w:r>
        <w:rPr>
          <w:i/>
          <w:spacing w:val="7"/>
          <w:sz w:val="25"/>
        </w:rPr>
        <w:t>p</w:t>
      </w:r>
      <w:r>
        <w:rPr>
          <w:spacing w:val="7"/>
          <w:position w:val="11"/>
          <w:sz w:val="14"/>
        </w:rPr>
        <w:t>2 </w:t>
      </w:r>
      <w:r>
        <w:rPr>
          <w:sz w:val="25"/>
        </w:rPr>
        <w:t>/</w:t>
      </w:r>
      <w:r>
        <w:rPr>
          <w:spacing w:val="-6"/>
          <w:sz w:val="25"/>
        </w:rPr>
        <w:t> </w:t>
      </w:r>
      <w:r>
        <w:rPr>
          <w:spacing w:val="-10"/>
          <w:sz w:val="25"/>
        </w:rPr>
        <w:t>4</w:t>
      </w:r>
      <w:r>
        <w:rPr>
          <w:rFonts w:ascii="Symbol" w:hAnsi="Symbol"/>
          <w:i/>
          <w:spacing w:val="-10"/>
          <w:sz w:val="26"/>
        </w:rPr>
        <w:t></w:t>
      </w:r>
    </w:p>
    <w:p>
      <w:pPr>
        <w:pStyle w:val="BodyText"/>
        <w:rPr>
          <w:rFonts w:ascii="Symbol" w:hAnsi="Symbol"/>
          <w:i/>
        </w:rPr>
      </w:pPr>
      <w:r>
        <w:rPr/>
        <w:br w:type="column"/>
      </w:r>
      <w:r>
        <w:rPr>
          <w:rFonts w:ascii="Symbol" w:hAnsi="Symbol"/>
          <w:i/>
        </w:rPr>
      </w:r>
    </w:p>
    <w:p>
      <w:pPr>
        <w:pStyle w:val="BodyText"/>
        <w:spacing w:before="5"/>
        <w:rPr>
          <w:rFonts w:ascii="Symbol" w:hAnsi="Symbol"/>
          <w:i/>
          <w:sz w:val="28"/>
        </w:rPr>
      </w:pPr>
    </w:p>
    <w:p>
      <w:pPr>
        <w:pStyle w:val="BodyText"/>
        <w:ind w:left="58"/>
      </w:pPr>
      <w:r>
        <w:rPr/>
        <w:t>…………………………………(11.2)</w:t>
      </w:r>
    </w:p>
    <w:p>
      <w:pPr>
        <w:spacing w:after="0"/>
        <w:sectPr>
          <w:type w:val="continuous"/>
          <w:pgSz w:w="12240" w:h="15840"/>
          <w:pgMar w:top="1500" w:bottom="280" w:left="1660" w:right="1300"/>
          <w:cols w:num="4" w:equalWidth="0">
            <w:col w:w="1903" w:space="1558"/>
            <w:col w:w="902" w:space="40"/>
            <w:col w:w="659" w:space="40"/>
            <w:col w:w="4178"/>
          </w:cols>
        </w:sectPr>
      </w:pPr>
    </w:p>
    <w:p>
      <w:pPr>
        <w:pStyle w:val="BodyText"/>
        <w:rPr>
          <w:sz w:val="20"/>
        </w:rPr>
      </w:pPr>
    </w:p>
    <w:p>
      <w:pPr>
        <w:pStyle w:val="BodyText"/>
        <w:rPr>
          <w:sz w:val="20"/>
        </w:rPr>
      </w:pPr>
    </w:p>
    <w:p>
      <w:pPr>
        <w:pStyle w:val="ListParagraph"/>
        <w:numPr>
          <w:ilvl w:val="0"/>
          <w:numId w:val="27"/>
        </w:numPr>
        <w:tabs>
          <w:tab w:pos="477" w:val="left" w:leader="none"/>
        </w:tabs>
        <w:spacing w:line="360" w:lineRule="auto" w:before="195" w:after="0"/>
        <w:ind w:left="477" w:right="112" w:hanging="361"/>
        <w:jc w:val="both"/>
        <w:rPr>
          <w:sz w:val="26"/>
        </w:rPr>
      </w:pPr>
      <w:r>
        <w:rPr>
          <w:i/>
          <w:sz w:val="26"/>
        </w:rPr>
        <w:t>Coeficiente de compacidad o índice de graveluis</w:t>
      </w:r>
      <w:r>
        <w:rPr>
          <w:sz w:val="26"/>
        </w:rPr>
        <w:t>, este coeficiente relaciona el perímetro</w:t>
      </w:r>
      <w:r>
        <w:rPr>
          <w:spacing w:val="-10"/>
          <w:sz w:val="26"/>
        </w:rPr>
        <w:t> </w:t>
      </w:r>
      <w:r>
        <w:rPr>
          <w:sz w:val="26"/>
        </w:rPr>
        <w:t>de</w:t>
      </w:r>
      <w:r>
        <w:rPr>
          <w:spacing w:val="-11"/>
          <w:sz w:val="26"/>
        </w:rPr>
        <w:t> </w:t>
      </w:r>
      <w:r>
        <w:rPr>
          <w:sz w:val="26"/>
        </w:rPr>
        <w:t>la</w:t>
      </w:r>
      <w:r>
        <w:rPr>
          <w:spacing w:val="-11"/>
          <w:sz w:val="26"/>
        </w:rPr>
        <w:t> </w:t>
      </w:r>
      <w:r>
        <w:rPr>
          <w:sz w:val="26"/>
        </w:rPr>
        <w:t>cuenca</w:t>
      </w:r>
      <w:r>
        <w:rPr>
          <w:spacing w:val="-10"/>
          <w:sz w:val="26"/>
        </w:rPr>
        <w:t> </w:t>
      </w:r>
      <w:r>
        <w:rPr>
          <w:sz w:val="26"/>
        </w:rPr>
        <w:t>con</w:t>
      </w:r>
      <w:r>
        <w:rPr>
          <w:spacing w:val="-16"/>
          <w:sz w:val="26"/>
        </w:rPr>
        <w:t> </w:t>
      </w:r>
      <w:r>
        <w:rPr>
          <w:sz w:val="26"/>
        </w:rPr>
        <w:t>el</w:t>
      </w:r>
      <w:r>
        <w:rPr>
          <w:spacing w:val="-11"/>
          <w:sz w:val="26"/>
        </w:rPr>
        <w:t> </w:t>
      </w:r>
      <w:r>
        <w:rPr>
          <w:sz w:val="26"/>
        </w:rPr>
        <w:t>perímetro</w:t>
      </w:r>
      <w:r>
        <w:rPr>
          <w:spacing w:val="-11"/>
          <w:sz w:val="26"/>
        </w:rPr>
        <w:t> </w:t>
      </w:r>
      <w:r>
        <w:rPr>
          <w:sz w:val="26"/>
        </w:rPr>
        <w:t>de</w:t>
      </w:r>
      <w:r>
        <w:rPr>
          <w:spacing w:val="-11"/>
          <w:sz w:val="26"/>
        </w:rPr>
        <w:t> </w:t>
      </w:r>
      <w:r>
        <w:rPr>
          <w:sz w:val="26"/>
        </w:rPr>
        <w:t>un</w:t>
      </w:r>
      <w:r>
        <w:rPr>
          <w:spacing w:val="-11"/>
          <w:sz w:val="26"/>
        </w:rPr>
        <w:t> </w:t>
      </w:r>
      <w:r>
        <w:rPr>
          <w:sz w:val="26"/>
        </w:rPr>
        <w:t>círculo</w:t>
      </w:r>
      <w:r>
        <w:rPr>
          <w:spacing w:val="-11"/>
          <w:sz w:val="26"/>
        </w:rPr>
        <w:t> </w:t>
      </w:r>
      <w:r>
        <w:rPr>
          <w:sz w:val="26"/>
        </w:rPr>
        <w:t>de</w:t>
      </w:r>
      <w:r>
        <w:rPr>
          <w:spacing w:val="-11"/>
          <w:sz w:val="26"/>
        </w:rPr>
        <w:t> </w:t>
      </w:r>
      <w:r>
        <w:rPr>
          <w:sz w:val="26"/>
        </w:rPr>
        <w:t>la</w:t>
      </w:r>
      <w:r>
        <w:rPr>
          <w:spacing w:val="-11"/>
          <w:sz w:val="26"/>
        </w:rPr>
        <w:t> </w:t>
      </w:r>
      <w:r>
        <w:rPr>
          <w:sz w:val="26"/>
        </w:rPr>
        <w:t>misma</w:t>
      </w:r>
      <w:r>
        <w:rPr>
          <w:spacing w:val="-11"/>
          <w:sz w:val="26"/>
        </w:rPr>
        <w:t> </w:t>
      </w:r>
      <w:r>
        <w:rPr>
          <w:sz w:val="26"/>
        </w:rPr>
        <w:t>área</w:t>
      </w:r>
      <w:r>
        <w:rPr>
          <w:spacing w:val="-10"/>
          <w:sz w:val="26"/>
        </w:rPr>
        <w:t> </w:t>
      </w:r>
      <w:r>
        <w:rPr>
          <w:sz w:val="26"/>
        </w:rPr>
        <w:t>que</w:t>
      </w:r>
      <w:r>
        <w:rPr>
          <w:spacing w:val="-11"/>
          <w:sz w:val="26"/>
        </w:rPr>
        <w:t> </w:t>
      </w:r>
      <w:r>
        <w:rPr>
          <w:sz w:val="26"/>
        </w:rPr>
        <w:t>la</w:t>
      </w:r>
      <w:r>
        <w:rPr>
          <w:spacing w:val="-11"/>
          <w:sz w:val="26"/>
        </w:rPr>
        <w:t> </w:t>
      </w:r>
      <w:r>
        <w:rPr>
          <w:sz w:val="26"/>
        </w:rPr>
        <w:t>cuenca buscando la relación de semejanza entre la primera y el segundo. Este coeficiente indica si una cuenca es alargada o no, para ello, cuando el coeficiente toma valores mayores a 1 es alargada y cuando es menor la cuenca tiende a ser redonda (Figura 18),</w:t>
      </w:r>
      <w:r>
        <w:rPr>
          <w:spacing w:val="-14"/>
          <w:sz w:val="26"/>
        </w:rPr>
        <w:t> </w:t>
      </w:r>
      <w:r>
        <w:rPr>
          <w:sz w:val="26"/>
        </w:rPr>
        <w:t>y</w:t>
      </w:r>
      <w:r>
        <w:rPr>
          <w:spacing w:val="-16"/>
          <w:sz w:val="26"/>
        </w:rPr>
        <w:t> </w:t>
      </w:r>
      <w:r>
        <w:rPr>
          <w:sz w:val="26"/>
        </w:rPr>
        <w:t>se</w:t>
      </w:r>
      <w:r>
        <w:rPr>
          <w:spacing w:val="-16"/>
          <w:sz w:val="26"/>
        </w:rPr>
        <w:t> </w:t>
      </w:r>
      <w:r>
        <w:rPr>
          <w:sz w:val="26"/>
        </w:rPr>
        <w:t>expresa</w:t>
      </w:r>
      <w:r>
        <w:rPr>
          <w:spacing w:val="-15"/>
          <w:sz w:val="26"/>
        </w:rPr>
        <w:t> </w:t>
      </w:r>
      <w:r>
        <w:rPr>
          <w:sz w:val="26"/>
        </w:rPr>
        <w:t>mediante</w:t>
      </w:r>
      <w:r>
        <w:rPr>
          <w:spacing w:val="-15"/>
          <w:sz w:val="26"/>
        </w:rPr>
        <w:t> </w:t>
      </w:r>
      <w:r>
        <w:rPr>
          <w:sz w:val="26"/>
        </w:rPr>
        <w:t>las</w:t>
      </w:r>
      <w:r>
        <w:rPr>
          <w:spacing w:val="-16"/>
          <w:sz w:val="26"/>
        </w:rPr>
        <w:t> </w:t>
      </w:r>
      <w:r>
        <w:rPr>
          <w:sz w:val="26"/>
        </w:rPr>
        <w:t>siguientes</w:t>
      </w:r>
      <w:r>
        <w:rPr>
          <w:spacing w:val="-16"/>
          <w:sz w:val="26"/>
        </w:rPr>
        <w:t> </w:t>
      </w:r>
      <w:r>
        <w:rPr>
          <w:sz w:val="26"/>
        </w:rPr>
        <w:t>ecuaciones</w:t>
      </w:r>
      <w:r>
        <w:rPr>
          <w:spacing w:val="-16"/>
          <w:sz w:val="26"/>
        </w:rPr>
        <w:t> </w:t>
      </w:r>
      <w:r>
        <w:rPr>
          <w:sz w:val="26"/>
        </w:rPr>
        <w:t>12,</w:t>
      </w:r>
      <w:r>
        <w:rPr>
          <w:spacing w:val="-14"/>
          <w:sz w:val="26"/>
        </w:rPr>
        <w:t> </w:t>
      </w:r>
      <w:r>
        <w:rPr>
          <w:sz w:val="26"/>
        </w:rPr>
        <w:t>12.1,</w:t>
      </w:r>
      <w:r>
        <w:rPr>
          <w:spacing w:val="-14"/>
          <w:sz w:val="26"/>
        </w:rPr>
        <w:t> </w:t>
      </w:r>
      <w:r>
        <w:rPr>
          <w:sz w:val="26"/>
        </w:rPr>
        <w:t>12.2,</w:t>
      </w:r>
      <w:r>
        <w:rPr>
          <w:spacing w:val="-14"/>
          <w:sz w:val="26"/>
        </w:rPr>
        <w:t> </w:t>
      </w:r>
      <w:r>
        <w:rPr>
          <w:sz w:val="26"/>
        </w:rPr>
        <w:t>12.3,</w:t>
      </w:r>
      <w:r>
        <w:rPr>
          <w:spacing w:val="-14"/>
          <w:sz w:val="26"/>
        </w:rPr>
        <w:t> </w:t>
      </w:r>
      <w:r>
        <w:rPr>
          <w:sz w:val="26"/>
        </w:rPr>
        <w:t>12.4</w:t>
      </w:r>
      <w:r>
        <w:rPr>
          <w:spacing w:val="-16"/>
          <w:sz w:val="26"/>
        </w:rPr>
        <w:t> </w:t>
      </w:r>
      <w:r>
        <w:rPr>
          <w:sz w:val="26"/>
        </w:rPr>
        <w:t>y</w:t>
      </w:r>
      <w:r>
        <w:rPr>
          <w:spacing w:val="-16"/>
          <w:sz w:val="26"/>
        </w:rPr>
        <w:t> </w:t>
      </w:r>
      <w:r>
        <w:rPr>
          <w:sz w:val="26"/>
        </w:rPr>
        <w:t>12.5.</w:t>
      </w:r>
    </w:p>
    <w:p>
      <w:pPr>
        <w:spacing w:after="0" w:line="360" w:lineRule="auto"/>
        <w:jc w:val="both"/>
        <w:rPr>
          <w:sz w:val="26"/>
        </w:rPr>
        <w:sectPr>
          <w:type w:val="continuous"/>
          <w:pgSz w:w="12240" w:h="15840"/>
          <w:pgMar w:top="1500" w:bottom="280" w:left="1660" w:right="1300"/>
        </w:sectPr>
      </w:pPr>
    </w:p>
    <w:p>
      <w:pPr>
        <w:pStyle w:val="BodyText"/>
      </w:pPr>
    </w:p>
    <w:p>
      <w:pPr>
        <w:pStyle w:val="BodyText"/>
      </w:pPr>
    </w:p>
    <w:p>
      <w:pPr>
        <w:pStyle w:val="BodyText"/>
        <w:spacing w:before="233"/>
        <w:ind w:left="416"/>
      </w:pPr>
      <w:r>
        <w:rPr>
          <w:w w:val="95"/>
        </w:rPr>
        <w:t>Donde:</w:t>
      </w:r>
    </w:p>
    <w:p>
      <w:pPr>
        <w:spacing w:line="388" w:lineRule="exact" w:before="55"/>
        <w:ind w:left="0" w:right="57" w:firstLine="0"/>
        <w:jc w:val="right"/>
        <w:rPr>
          <w:i/>
          <w:sz w:val="25"/>
        </w:rPr>
      </w:pPr>
      <w:r>
        <w:rPr/>
        <w:br w:type="column"/>
      </w:r>
      <w:r>
        <w:rPr>
          <w:i/>
          <w:sz w:val="25"/>
        </w:rPr>
        <w:t>Cc</w:t>
      </w:r>
      <w:r>
        <w:rPr>
          <w:rFonts w:ascii="Symbol" w:hAnsi="Symbol"/>
          <w:sz w:val="25"/>
        </w:rPr>
        <w:t></w:t>
      </w:r>
      <w:r>
        <w:rPr>
          <w:sz w:val="25"/>
        </w:rPr>
        <w:t> </w:t>
      </w:r>
      <w:r>
        <w:rPr>
          <w:i/>
          <w:position w:val="15"/>
          <w:sz w:val="25"/>
        </w:rPr>
        <w:t>P</w:t>
      </w:r>
    </w:p>
    <w:p>
      <w:pPr>
        <w:spacing w:line="237" w:lineRule="exact" w:before="0"/>
        <w:ind w:left="0" w:right="0" w:firstLine="0"/>
        <w:jc w:val="right"/>
        <w:rPr>
          <w:i/>
          <w:sz w:val="25"/>
        </w:rPr>
      </w:pPr>
      <w:r>
        <w:rPr/>
        <w:pict>
          <v:line style="position:absolute;mso-position-horizontal-relative:page;mso-position-vertical-relative:paragraph;z-index:-1039336" from="312.773926pt,-3.261107pt" to="327.386048pt,-3.261088pt" stroked="true" strokeweight=".503384pt" strokecolor="#000000">
            <w10:wrap type="none"/>
          </v:line>
        </w:pict>
      </w:r>
      <w:r>
        <w:rPr>
          <w:i/>
          <w:sz w:val="25"/>
        </w:rPr>
        <w:t>Pc</w:t>
      </w:r>
    </w:p>
    <w:p>
      <w:pPr>
        <w:spacing w:before="202"/>
        <w:ind w:left="18" w:right="0" w:firstLine="0"/>
        <w:jc w:val="left"/>
        <w:rPr>
          <w:i/>
          <w:sz w:val="26"/>
        </w:rPr>
      </w:pPr>
      <w:r>
        <w:rPr/>
        <w:br w:type="column"/>
      </w:r>
      <w:r>
        <w:rPr>
          <w:sz w:val="26"/>
        </w:rPr>
        <w:t>…</w:t>
      </w:r>
      <w:r>
        <w:rPr>
          <w:i/>
          <w:sz w:val="26"/>
        </w:rPr>
        <w:t>……………………………………….(12)</w:t>
      </w:r>
    </w:p>
    <w:p>
      <w:pPr>
        <w:spacing w:after="0"/>
        <w:jc w:val="left"/>
        <w:rPr>
          <w:sz w:val="26"/>
        </w:rPr>
        <w:sectPr>
          <w:pgSz w:w="12240" w:h="15840"/>
          <w:pgMar w:header="0" w:footer="1473" w:top="1360" w:bottom="1660" w:left="1720" w:right="1300"/>
          <w:cols w:num="3" w:equalWidth="0">
            <w:col w:w="1181" w:space="2471"/>
            <w:col w:w="1173" w:space="40"/>
            <w:col w:w="4355"/>
          </w:cols>
        </w:sectPr>
      </w:pPr>
    </w:p>
    <w:p>
      <w:pPr>
        <w:pStyle w:val="BodyText"/>
        <w:spacing w:before="148"/>
        <w:ind w:left="1497"/>
      </w:pPr>
      <w:r>
        <w:rPr>
          <w:i/>
        </w:rPr>
        <w:t>Cc </w:t>
      </w:r>
      <w:r>
        <w:rPr/>
        <w:t>= Coeficiente de compacidad (adimensional)</w:t>
      </w:r>
    </w:p>
    <w:p>
      <w:pPr>
        <w:pStyle w:val="BodyText"/>
        <w:spacing w:before="152"/>
        <w:ind w:left="1497"/>
      </w:pPr>
      <w:r>
        <w:rPr>
          <w:i/>
        </w:rPr>
        <w:t>P </w:t>
      </w:r>
      <w:r>
        <w:rPr/>
        <w:t>= Perímetro de la cuenca (km)</w:t>
      </w:r>
    </w:p>
    <w:p>
      <w:pPr>
        <w:pStyle w:val="BodyText"/>
        <w:spacing w:before="147"/>
        <w:ind w:left="1497"/>
      </w:pPr>
      <w:r>
        <w:rPr>
          <w:i/>
        </w:rPr>
        <w:t>Pc </w:t>
      </w:r>
      <w:r>
        <w:rPr/>
        <w:t>= Perímetro de un círculo de la misma área que la cuenca (km)</w:t>
      </w:r>
    </w:p>
    <w:p>
      <w:pPr>
        <w:pStyle w:val="BodyText"/>
        <w:rPr>
          <w:sz w:val="20"/>
        </w:rPr>
      </w:pPr>
    </w:p>
    <w:p>
      <w:pPr>
        <w:pStyle w:val="BodyText"/>
        <w:spacing w:before="4"/>
      </w:pPr>
    </w:p>
    <w:p>
      <w:pPr>
        <w:spacing w:after="0"/>
        <w:sectPr>
          <w:type w:val="continuous"/>
          <w:pgSz w:w="12240" w:h="15840"/>
          <w:pgMar w:top="1500" w:bottom="280" w:left="1720" w:right="1300"/>
        </w:sectPr>
      </w:pPr>
    </w:p>
    <w:p>
      <w:pPr>
        <w:pStyle w:val="BodyText"/>
        <w:spacing w:before="66"/>
        <w:ind w:left="416" w:right="-18"/>
      </w:pPr>
      <w:r>
        <w:rPr>
          <w:w w:val="95"/>
        </w:rPr>
        <w:t>Como:</w:t>
      </w:r>
    </w:p>
    <w:p>
      <w:pPr>
        <w:pStyle w:val="BodyText"/>
      </w:pPr>
    </w:p>
    <w:p>
      <w:pPr>
        <w:pStyle w:val="BodyText"/>
      </w:pPr>
    </w:p>
    <w:p>
      <w:pPr>
        <w:pStyle w:val="BodyText"/>
        <w:spacing w:before="7"/>
        <w:rPr>
          <w:sz w:val="32"/>
        </w:rPr>
      </w:pPr>
    </w:p>
    <w:p>
      <w:pPr>
        <w:pStyle w:val="BodyText"/>
        <w:ind w:left="394" w:right="394"/>
        <w:jc w:val="center"/>
      </w:pPr>
      <w:r>
        <w:rPr/>
        <w:t>Sí:</w:t>
      </w:r>
    </w:p>
    <w:p>
      <w:pPr>
        <w:pStyle w:val="BodyText"/>
      </w:pPr>
      <w:r>
        <w:rPr/>
        <w:br w:type="column"/>
      </w:r>
      <w:r>
        <w:rPr/>
      </w:r>
    </w:p>
    <w:p>
      <w:pPr>
        <w:pStyle w:val="BodyText"/>
        <w:spacing w:before="5"/>
        <w:rPr>
          <w:sz w:val="29"/>
        </w:rPr>
      </w:pPr>
    </w:p>
    <w:p>
      <w:pPr>
        <w:spacing w:before="0"/>
        <w:ind w:left="416" w:right="-16" w:firstLine="0"/>
        <w:jc w:val="left"/>
        <w:rPr>
          <w:i/>
          <w:sz w:val="24"/>
        </w:rPr>
      </w:pPr>
      <w:r>
        <w:rPr>
          <w:i/>
          <w:spacing w:val="6"/>
          <w:w w:val="105"/>
          <w:sz w:val="24"/>
        </w:rPr>
        <w:t>A</w:t>
      </w:r>
      <w:r>
        <w:rPr>
          <w:rFonts w:ascii="Symbol" w:hAnsi="Symbol"/>
          <w:spacing w:val="6"/>
          <w:w w:val="105"/>
          <w:sz w:val="24"/>
        </w:rPr>
        <w:t></w:t>
      </w:r>
      <w:r>
        <w:rPr>
          <w:rFonts w:ascii="Symbol" w:hAnsi="Symbol"/>
          <w:i/>
          <w:spacing w:val="6"/>
          <w:w w:val="105"/>
          <w:sz w:val="26"/>
        </w:rPr>
        <w:t></w:t>
      </w:r>
      <w:r>
        <w:rPr>
          <w:i/>
          <w:spacing w:val="6"/>
          <w:w w:val="105"/>
          <w:sz w:val="26"/>
        </w:rPr>
        <w:t> </w:t>
      </w:r>
      <w:r>
        <w:rPr>
          <w:i/>
          <w:w w:val="105"/>
          <w:sz w:val="24"/>
        </w:rPr>
        <w:t>r</w:t>
      </w:r>
      <w:r>
        <w:rPr>
          <w:i/>
          <w:spacing w:val="-51"/>
          <w:w w:val="105"/>
          <w:sz w:val="24"/>
        </w:rPr>
        <w:t> </w:t>
      </w:r>
      <w:r>
        <w:rPr>
          <w:w w:val="105"/>
          <w:position w:val="11"/>
          <w:sz w:val="14"/>
        </w:rPr>
        <w:t>2 </w:t>
      </w:r>
      <w:r>
        <w:rPr>
          <w:w w:val="105"/>
          <w:sz w:val="24"/>
        </w:rPr>
        <w:t>, </w:t>
      </w:r>
      <w:r>
        <w:rPr>
          <w:i/>
          <w:w w:val="105"/>
          <w:sz w:val="24"/>
        </w:rPr>
        <w:t>y</w:t>
      </w:r>
    </w:p>
    <w:p>
      <w:pPr>
        <w:pStyle w:val="BodyText"/>
        <w:rPr>
          <w:i/>
        </w:rPr>
      </w:pPr>
    </w:p>
    <w:p>
      <w:pPr>
        <w:pStyle w:val="BodyText"/>
        <w:rPr>
          <w:i/>
        </w:rPr>
      </w:pPr>
    </w:p>
    <w:p>
      <w:pPr>
        <w:pStyle w:val="BodyText"/>
        <w:spacing w:before="6"/>
        <w:rPr>
          <w:i/>
          <w:sz w:val="38"/>
        </w:rPr>
      </w:pPr>
    </w:p>
    <w:p>
      <w:pPr>
        <w:spacing w:line="35" w:lineRule="exact" w:before="0"/>
        <w:ind w:left="0" w:right="162" w:firstLine="0"/>
        <w:jc w:val="right"/>
        <w:rPr>
          <w:sz w:val="14"/>
        </w:rPr>
      </w:pPr>
      <w:r>
        <w:rPr>
          <w:w w:val="102"/>
          <w:sz w:val="14"/>
        </w:rPr>
        <w:t>2</w:t>
      </w:r>
    </w:p>
    <w:p>
      <w:pPr>
        <w:pStyle w:val="BodyText"/>
      </w:pPr>
      <w:r>
        <w:rPr/>
        <w:br w:type="column"/>
      </w:r>
      <w:r>
        <w:rPr/>
      </w:r>
    </w:p>
    <w:p>
      <w:pPr>
        <w:pStyle w:val="BodyText"/>
        <w:spacing w:before="5"/>
        <w:rPr>
          <w:sz w:val="29"/>
        </w:rPr>
      </w:pPr>
    </w:p>
    <w:p>
      <w:pPr>
        <w:spacing w:before="0"/>
        <w:ind w:left="80" w:right="-14" w:firstLine="0"/>
        <w:jc w:val="left"/>
        <w:rPr>
          <w:rFonts w:ascii="Symbol" w:hAnsi="Symbol"/>
          <w:sz w:val="24"/>
        </w:rPr>
      </w:pPr>
      <w:r>
        <w:rPr>
          <w:i/>
          <w:w w:val="105"/>
          <w:sz w:val="24"/>
        </w:rPr>
        <w:t>P</w:t>
      </w:r>
      <w:r>
        <w:rPr>
          <w:i/>
          <w:spacing w:val="-39"/>
          <w:w w:val="105"/>
          <w:sz w:val="24"/>
        </w:rPr>
        <w:t> </w:t>
      </w:r>
      <w:r>
        <w:rPr>
          <w:rFonts w:ascii="Symbol" w:hAnsi="Symbol"/>
          <w:spacing w:val="8"/>
          <w:w w:val="105"/>
          <w:sz w:val="24"/>
        </w:rPr>
        <w:t></w:t>
      </w:r>
      <w:r>
        <w:rPr>
          <w:spacing w:val="8"/>
          <w:w w:val="105"/>
          <w:sz w:val="24"/>
        </w:rPr>
        <w:t>2</w:t>
      </w:r>
      <w:r>
        <w:rPr>
          <w:rFonts w:ascii="Symbol" w:hAnsi="Symbol"/>
          <w:i/>
          <w:spacing w:val="8"/>
          <w:w w:val="105"/>
          <w:sz w:val="26"/>
        </w:rPr>
        <w:t></w:t>
      </w:r>
      <w:r>
        <w:rPr>
          <w:i/>
          <w:spacing w:val="-14"/>
          <w:w w:val="105"/>
          <w:sz w:val="26"/>
        </w:rPr>
        <w:t> </w:t>
      </w:r>
      <w:r>
        <w:rPr>
          <w:i/>
          <w:spacing w:val="3"/>
          <w:w w:val="105"/>
          <w:sz w:val="24"/>
        </w:rPr>
        <w:t>r</w:t>
      </w:r>
      <w:r>
        <w:rPr>
          <w:spacing w:val="3"/>
          <w:w w:val="105"/>
          <w:sz w:val="24"/>
        </w:rPr>
        <w:t>,</w:t>
      </w:r>
      <w:r>
        <w:rPr>
          <w:spacing w:val="-9"/>
          <w:w w:val="105"/>
          <w:sz w:val="24"/>
        </w:rPr>
        <w:t> </w:t>
      </w:r>
      <w:r>
        <w:rPr>
          <w:i/>
          <w:spacing w:val="6"/>
          <w:w w:val="105"/>
          <w:sz w:val="24"/>
        </w:rPr>
        <w:t>Cc</w:t>
      </w:r>
      <w:r>
        <w:rPr>
          <w:rFonts w:ascii="Symbol" w:hAnsi="Symbol"/>
          <w:spacing w:val="6"/>
          <w:w w:val="105"/>
          <w:sz w:val="24"/>
        </w:rPr>
        <w:t></w:t>
      </w:r>
    </w:p>
    <w:p>
      <w:pPr>
        <w:pStyle w:val="BodyText"/>
        <w:rPr>
          <w:rFonts w:ascii="Symbol" w:hAnsi="Symbol"/>
        </w:rPr>
      </w:pPr>
    </w:p>
    <w:p>
      <w:pPr>
        <w:pStyle w:val="BodyText"/>
        <w:rPr>
          <w:rFonts w:ascii="Symbol" w:hAnsi="Symbol"/>
        </w:rPr>
      </w:pPr>
    </w:p>
    <w:p>
      <w:pPr>
        <w:pStyle w:val="BodyText"/>
        <w:spacing w:before="10"/>
        <w:rPr>
          <w:rFonts w:ascii="Symbol" w:hAnsi="Symbol"/>
          <w:sz w:val="21"/>
        </w:rPr>
      </w:pPr>
    </w:p>
    <w:p>
      <w:pPr>
        <w:spacing w:line="171" w:lineRule="exact" w:before="0"/>
        <w:ind w:left="46" w:right="0" w:firstLine="0"/>
        <w:jc w:val="left"/>
        <w:rPr>
          <w:i/>
          <w:sz w:val="24"/>
        </w:rPr>
      </w:pPr>
      <w:r>
        <w:rPr/>
        <w:pict>
          <v:group style="position:absolute;margin-left:352.225708pt;margin-top:-.468696pt;width:18.4pt;height:30.9pt;mso-position-horizontal-relative:page;mso-position-vertical-relative:paragraph;z-index:3736" coordorigin="7045,-9" coordsize="368,618">
            <v:shape style="position:absolute;left:1110;top:9285;width:347;height:59" coordorigin="1110,9285" coordsize="347,59" path="m7205,315l7388,315m7050,373l7079,355e" filled="false" stroked="true" strokeweight=".484579pt" strokecolor="#000000">
              <v:path arrowok="t"/>
            </v:shape>
            <v:line style="position:absolute" from="7079,361" to="7123,575" stroked="true" strokeweight=".990608pt" strokecolor="#000000"/>
            <v:shape style="position:absolute;left:1190;top:8960;width:287;height:591" coordorigin="1190,8960" coordsize="287,591" path="m7128,575l7186,-4m7186,-4l7407,-4e" filled="false" stroked="true" strokeweight=".484579pt" strokecolor="#000000">
              <v:path arrowok="t"/>
            </v:shape>
            <v:shape style="position:absolute;left:7045;top:-9;width:368;height:618" type="#_x0000_t202" filled="false" stroked="false">
              <v:textbox inset="0,0,0,0">
                <w:txbxContent>
                  <w:p>
                    <w:pPr>
                      <w:spacing w:before="9"/>
                      <w:ind w:left="194" w:right="0" w:firstLine="0"/>
                      <w:jc w:val="left"/>
                      <w:rPr>
                        <w:i/>
                        <w:sz w:val="24"/>
                      </w:rPr>
                    </w:pPr>
                    <w:r>
                      <w:rPr>
                        <w:i/>
                        <w:w w:val="102"/>
                        <w:sz w:val="24"/>
                      </w:rPr>
                      <w:t>A</w:t>
                    </w:r>
                  </w:p>
                  <w:p>
                    <w:pPr>
                      <w:spacing w:line="308" w:lineRule="exact" w:before="24"/>
                      <w:ind w:left="164" w:right="0" w:firstLine="0"/>
                      <w:jc w:val="left"/>
                      <w:rPr>
                        <w:rFonts w:ascii="Symbol" w:hAnsi="Symbol"/>
                        <w:i/>
                        <w:sz w:val="26"/>
                      </w:rPr>
                    </w:pPr>
                    <w:r>
                      <w:rPr>
                        <w:rFonts w:ascii="Symbol" w:hAnsi="Symbol"/>
                        <w:i/>
                        <w:w w:val="94"/>
                        <w:sz w:val="26"/>
                      </w:rPr>
                      <w:t></w:t>
                    </w:r>
                  </w:p>
                </w:txbxContent>
              </v:textbox>
              <w10:wrap type="none"/>
            </v:shape>
            <w10:wrap type="none"/>
          </v:group>
        </w:pict>
      </w:r>
      <w:r>
        <w:rPr>
          <w:i/>
          <w:w w:val="102"/>
          <w:sz w:val="24"/>
        </w:rPr>
        <w:t>A</w:t>
      </w:r>
    </w:p>
    <w:p>
      <w:pPr>
        <w:pStyle w:val="BodyText"/>
        <w:rPr>
          <w:i/>
          <w:sz w:val="24"/>
        </w:rPr>
      </w:pPr>
      <w:r>
        <w:rPr/>
        <w:br w:type="column"/>
      </w:r>
      <w:r>
        <w:rPr>
          <w:i/>
          <w:sz w:val="24"/>
        </w:rPr>
      </w:r>
    </w:p>
    <w:p>
      <w:pPr>
        <w:pStyle w:val="BodyText"/>
        <w:spacing w:before="6"/>
        <w:rPr>
          <w:i/>
          <w:sz w:val="21"/>
        </w:rPr>
      </w:pPr>
    </w:p>
    <w:p>
      <w:pPr>
        <w:spacing w:before="0"/>
        <w:ind w:left="19" w:right="0" w:firstLine="0"/>
        <w:jc w:val="center"/>
        <w:rPr>
          <w:i/>
          <w:sz w:val="24"/>
        </w:rPr>
      </w:pPr>
      <w:r>
        <w:rPr>
          <w:i/>
          <w:w w:val="105"/>
          <w:sz w:val="24"/>
        </w:rPr>
        <w:t>P</w:t>
      </w:r>
    </w:p>
    <w:p>
      <w:pPr>
        <w:spacing w:before="25"/>
        <w:ind w:left="1" w:right="0" w:firstLine="0"/>
        <w:jc w:val="center"/>
        <w:rPr>
          <w:i/>
          <w:sz w:val="24"/>
        </w:rPr>
      </w:pPr>
      <w:r>
        <w:rPr/>
        <w:pict>
          <v:line style="position:absolute;mso-position-horizontal-relative:page;mso-position-vertical-relative:paragraph;z-index:-1039312" from="391.910278pt,1.963776pt" to="413.815782pt,1.963784pt" stroked="true" strokeweight=".479391pt" strokecolor="#000000">
            <w10:wrap type="none"/>
          </v:line>
        </w:pict>
      </w:r>
      <w:r>
        <w:rPr>
          <w:spacing w:val="-10"/>
          <w:w w:val="105"/>
          <w:sz w:val="24"/>
        </w:rPr>
        <w:t>2</w:t>
      </w:r>
      <w:r>
        <w:rPr>
          <w:rFonts w:ascii="Symbol" w:hAnsi="Symbol"/>
          <w:i/>
          <w:spacing w:val="-10"/>
          <w:w w:val="105"/>
          <w:sz w:val="26"/>
        </w:rPr>
        <w:t></w:t>
      </w:r>
      <w:r>
        <w:rPr>
          <w:i/>
          <w:spacing w:val="-20"/>
          <w:w w:val="105"/>
          <w:sz w:val="26"/>
        </w:rPr>
        <w:t> </w:t>
      </w:r>
      <w:r>
        <w:rPr>
          <w:i/>
          <w:w w:val="105"/>
          <w:sz w:val="24"/>
        </w:rPr>
        <w:t>r</w:t>
      </w:r>
    </w:p>
    <w:p>
      <w:pPr>
        <w:pStyle w:val="BodyText"/>
        <w:rPr>
          <w:i/>
        </w:rPr>
      </w:pPr>
      <w:r>
        <w:rPr/>
        <w:br w:type="column"/>
      </w:r>
      <w:r>
        <w:rPr>
          <w:i/>
        </w:rPr>
      </w:r>
    </w:p>
    <w:p>
      <w:pPr>
        <w:pStyle w:val="BodyText"/>
        <w:spacing w:before="2"/>
        <w:rPr>
          <w:i/>
          <w:sz w:val="30"/>
        </w:rPr>
      </w:pPr>
    </w:p>
    <w:p>
      <w:pPr>
        <w:pStyle w:val="BodyText"/>
        <w:spacing w:before="1"/>
        <w:ind w:left="19"/>
      </w:pPr>
      <w:r>
        <w:rPr/>
        <w:t>………………….(12.1)</w:t>
      </w:r>
    </w:p>
    <w:p>
      <w:pPr>
        <w:spacing w:after="0"/>
        <w:sectPr>
          <w:type w:val="continuous"/>
          <w:pgSz w:w="12240" w:h="15840"/>
          <w:pgMar w:top="1500" w:bottom="280" w:left="1720" w:right="1300"/>
          <w:cols w:num="5" w:equalWidth="0">
            <w:col w:w="1118" w:space="2108"/>
            <w:col w:w="1413" w:space="40"/>
            <w:col w:w="1414" w:space="40"/>
            <w:col w:w="405" w:space="40"/>
            <w:col w:w="2642"/>
          </w:cols>
        </w:sectPr>
      </w:pPr>
    </w:p>
    <w:p>
      <w:pPr>
        <w:pStyle w:val="BodyText"/>
      </w:pPr>
    </w:p>
    <w:p>
      <w:pPr>
        <w:pStyle w:val="BodyText"/>
        <w:spacing w:before="5"/>
        <w:rPr>
          <w:sz w:val="28"/>
        </w:rPr>
      </w:pPr>
    </w:p>
    <w:p>
      <w:pPr>
        <w:pStyle w:val="BodyText"/>
        <w:spacing w:before="1"/>
        <w:ind w:left="416"/>
      </w:pPr>
      <w:r>
        <w:rPr/>
        <w:pict>
          <v:group style="position:absolute;margin-left:346.417816pt;margin-top:38.908455pt;width:38.1pt;height:31.15pt;mso-position-horizontal-relative:page;mso-position-vertical-relative:paragraph;z-index:-1039144" coordorigin="6928,778" coordsize="762,623">
            <v:line style="position:absolute" from="6967,1299" to="6997,1281" stroked="true" strokeweight=".493192pt" strokecolor="#000000"/>
            <v:line style="position:absolute" from="6997,1286" to="7042,1368" stroked="true" strokeweight="1.00972pt" strokecolor="#000000"/>
            <v:shape style="position:absolute;left:1907;top:8477;width:238;height:245" coordorigin="1907,8477" coordsize="238,245" path="m7047,1368l7106,1124m7106,1124l7283,1124e" filled="false" stroked="true" strokeweight=".492879pt" strokecolor="#000000">
              <v:path arrowok="t"/>
            </v:shape>
            <v:line style="position:absolute" from="6931,1085" to="7315,1085" stroked="true" strokeweight=".246755pt" strokecolor="#000000"/>
            <v:line style="position:absolute" from="7362,1087" to="7392,1069" stroked="true" strokeweight=".493191pt" strokecolor="#000000"/>
            <v:line style="position:absolute" from="7392,1075" to="7436,1155" stroked="true" strokeweight="1.009727pt" strokecolor="#000000"/>
            <v:shape style="position:absolute;left:2303;top:8267;width:245;height:241" coordorigin="2303,8267" coordsize="245,241" path="m7441,1155l7500,915m7500,915l7685,915e" filled="false" stroked="true" strokeweight=".492879pt" strokecolor="#000000">
              <v:path arrowok="t"/>
            </v:shape>
            <v:shape style="position:absolute;left:6928;top:778;width:762;height:623" type="#_x0000_t202" filled="false" stroked="false">
              <v:textbox inset="0,0,0,0">
                <w:txbxContent>
                  <w:p>
                    <w:pPr>
                      <w:tabs>
                        <w:tab w:pos="605" w:val="left" w:leader="none"/>
                      </w:tabs>
                      <w:spacing w:line="367" w:lineRule="exact" w:before="0"/>
                      <w:ind w:left="18" w:right="0" w:firstLine="0"/>
                      <w:jc w:val="left"/>
                      <w:rPr>
                        <w:i/>
                        <w:sz w:val="25"/>
                      </w:rPr>
                    </w:pPr>
                    <w:r>
                      <w:rPr>
                        <w:spacing w:val="-9"/>
                        <w:sz w:val="25"/>
                      </w:rPr>
                      <w:t>2</w:t>
                    </w:r>
                    <w:r>
                      <w:rPr>
                        <w:rFonts w:ascii="Symbol" w:hAnsi="Symbol"/>
                        <w:i/>
                        <w:spacing w:val="-9"/>
                        <w:sz w:val="26"/>
                      </w:rPr>
                      <w:t></w:t>
                    </w:r>
                    <w:r>
                      <w:rPr>
                        <w:spacing w:val="-9"/>
                        <w:sz w:val="26"/>
                      </w:rPr>
                      <w:tab/>
                    </w:r>
                    <w:r>
                      <w:rPr>
                        <w:i/>
                        <w:position w:val="-14"/>
                        <w:sz w:val="25"/>
                      </w:rPr>
                      <w:t>A</w:t>
                    </w:r>
                  </w:p>
                  <w:p>
                    <w:pPr>
                      <w:spacing w:line="256" w:lineRule="exact" w:before="0"/>
                      <w:ind w:left="177" w:right="0" w:firstLine="0"/>
                      <w:jc w:val="left"/>
                      <w:rPr>
                        <w:rFonts w:ascii="Symbol" w:hAnsi="Symbol"/>
                        <w:i/>
                        <w:sz w:val="26"/>
                      </w:rPr>
                    </w:pPr>
                    <w:r>
                      <w:rPr>
                        <w:rFonts w:ascii="Symbol" w:hAnsi="Symbol"/>
                        <w:i/>
                        <w:w w:val="95"/>
                        <w:sz w:val="26"/>
                      </w:rPr>
                      <w:t></w:t>
                    </w:r>
                  </w:p>
                </w:txbxContent>
              </v:textbox>
              <w10:wrap type="none"/>
            </v:shape>
            <w10:wrap type="none"/>
          </v:group>
        </w:pict>
      </w:r>
      <w:r>
        <w:rPr/>
        <w:pict>
          <v:line style="position:absolute;mso-position-horizontal-relative:page;mso-position-vertical-relative:paragraph;z-index:-1039120" from="345.534302pt,38.712875pt" to="387.325485pt,38.712884pt" stroked="true" strokeweight=".493509pt" strokecolor="#000000">
            <w10:wrap type="none"/>
          </v:line>
        </w:pict>
      </w:r>
      <w:r>
        <w:rPr>
          <w:w w:val="95"/>
        </w:rPr>
        <w:t>Entonces:</w:t>
      </w:r>
    </w:p>
    <w:p>
      <w:pPr>
        <w:tabs>
          <w:tab w:pos="1039" w:val="left" w:leader="none"/>
        </w:tabs>
        <w:spacing w:line="193" w:lineRule="exact" w:before="0"/>
        <w:ind w:left="416" w:right="0" w:firstLine="0"/>
        <w:jc w:val="center"/>
        <w:rPr>
          <w:rFonts w:ascii="Symbol" w:hAnsi="Symbol"/>
          <w:sz w:val="24"/>
        </w:rPr>
      </w:pPr>
      <w:r>
        <w:rPr/>
        <w:br w:type="column"/>
      </w:r>
      <w:r>
        <w:rPr>
          <w:i/>
          <w:w w:val="105"/>
          <w:sz w:val="24"/>
        </w:rPr>
        <w:t>r </w:t>
      </w:r>
      <w:r>
        <w:rPr>
          <w:i/>
          <w:spacing w:val="22"/>
          <w:w w:val="105"/>
          <w:sz w:val="24"/>
        </w:rPr>
        <w:t> </w:t>
      </w:r>
      <w:r>
        <w:rPr>
          <w:rFonts w:ascii="Symbol" w:hAnsi="Symbol"/>
          <w:w w:val="105"/>
          <w:sz w:val="24"/>
        </w:rPr>
        <w:t></w:t>
      </w:r>
      <w:r>
        <w:rPr>
          <w:w w:val="105"/>
          <w:sz w:val="24"/>
        </w:rPr>
        <w:tab/>
        <w:t>, </w:t>
      </w:r>
      <w:r>
        <w:rPr>
          <w:i/>
          <w:w w:val="105"/>
          <w:sz w:val="24"/>
        </w:rPr>
        <w:t>r</w:t>
      </w:r>
      <w:r>
        <w:rPr>
          <w:i/>
          <w:spacing w:val="-32"/>
          <w:w w:val="105"/>
          <w:sz w:val="24"/>
        </w:rPr>
        <w:t> </w:t>
      </w:r>
      <w:r>
        <w:rPr>
          <w:rFonts w:ascii="Symbol" w:hAnsi="Symbol"/>
          <w:w w:val="105"/>
          <w:sz w:val="24"/>
        </w:rPr>
        <w:t></w:t>
      </w:r>
    </w:p>
    <w:p>
      <w:pPr>
        <w:spacing w:line="255" w:lineRule="exact" w:before="0"/>
        <w:ind w:left="364" w:right="0" w:firstLine="0"/>
        <w:jc w:val="center"/>
        <w:rPr>
          <w:rFonts w:ascii="Symbol" w:hAnsi="Symbol"/>
          <w:i/>
          <w:sz w:val="26"/>
        </w:rPr>
      </w:pPr>
      <w:r>
        <w:rPr/>
        <w:pict>
          <v:line style="position:absolute;mso-position-horizontal-relative:page;mso-position-vertical-relative:paragraph;z-index:-1039288" from="320.566589pt,-2.448497pt" to="329.745955pt,-2.448497pt" stroked="true" strokeweight=".486061pt" strokecolor="#000000">
            <w10:wrap type="none"/>
          </v:line>
        </w:pict>
      </w:r>
      <w:r>
        <w:rPr>
          <w:rFonts w:ascii="Symbol" w:hAnsi="Symbol"/>
          <w:i/>
          <w:w w:val="94"/>
          <w:sz w:val="26"/>
        </w:rPr>
        <w:t></w:t>
      </w:r>
    </w:p>
    <w:p>
      <w:pPr>
        <w:pStyle w:val="BodyText"/>
        <w:spacing w:line="283" w:lineRule="exact"/>
        <w:ind w:left="408"/>
      </w:pPr>
      <w:r>
        <w:rPr/>
        <w:br w:type="column"/>
      </w:r>
      <w:r>
        <w:rPr/>
        <w:t>………………………..…(12.2)</w:t>
      </w:r>
    </w:p>
    <w:p>
      <w:pPr>
        <w:spacing w:after="0" w:line="283" w:lineRule="exact"/>
        <w:sectPr>
          <w:type w:val="continuous"/>
          <w:pgSz w:w="12240" w:h="15840"/>
          <w:pgMar w:top="1500" w:bottom="280" w:left="1720" w:right="1300"/>
          <w:cols w:num="3" w:equalWidth="0">
            <w:col w:w="1440" w:space="2425"/>
            <w:col w:w="1433" w:space="40"/>
            <w:col w:w="3882"/>
          </w:cols>
        </w:sectPr>
      </w:pPr>
    </w:p>
    <w:p>
      <w:pPr>
        <w:tabs>
          <w:tab w:pos="739" w:val="left" w:leader="none"/>
        </w:tabs>
        <w:spacing w:before="151"/>
        <w:ind w:left="0" w:right="0" w:firstLine="0"/>
        <w:jc w:val="right"/>
        <w:rPr>
          <w:i/>
          <w:sz w:val="25"/>
        </w:rPr>
      </w:pPr>
      <w:r>
        <w:rPr/>
        <w:pict>
          <v:group style="position:absolute;margin-left:281.931122pt;margin-top:23.457523pt;width:35pt;height:33.050pt;mso-position-horizontal-relative:page;mso-position-vertical-relative:paragraph;z-index:-1039192" coordorigin="5639,469" coordsize="700,661">
            <v:line style="position:absolute" from="6107,835" to="6293,835" stroked="true" strokeweight=".246755pt" strokecolor="#000000"/>
            <v:line style="position:absolute" from="5949,893" to="5980,875" stroked="true" strokeweight=".493192pt" strokecolor="#000000"/>
            <v:line style="position:absolute" from="5980,881" to="6024,1096" stroked="true" strokeweight="1.009228pt" strokecolor="#000000"/>
            <v:shape style="position:absolute;left:496;top:7826;width:694;height:624" coordorigin="496,7826" coordsize="694,624" path="m6029,1096l6088,514m6088,514l6313,514m5644,474l6333,474e" filled="false" stroked="true" strokeweight=".492879pt" strokecolor="#000000">
              <v:path arrowok="t"/>
            </v:shape>
            <v:shape style="position:absolute;left:5639;top:469;width:700;height:661" type="#_x0000_t202" filled="false" stroked="false">
              <v:textbox inset="0,0,0,0">
                <w:txbxContent>
                  <w:p>
                    <w:pPr>
                      <w:tabs>
                        <w:tab w:pos="481" w:val="left" w:leader="none"/>
                      </w:tabs>
                      <w:spacing w:line="375" w:lineRule="exact" w:before="42"/>
                      <w:ind w:left="0" w:right="42" w:firstLine="0"/>
                      <w:jc w:val="right"/>
                      <w:rPr>
                        <w:i/>
                        <w:sz w:val="25"/>
                      </w:rPr>
                    </w:pPr>
                    <w:r>
                      <w:rPr>
                        <w:spacing w:val="-8"/>
                        <w:sz w:val="25"/>
                      </w:rPr>
                      <w:t>2</w:t>
                    </w:r>
                    <w:r>
                      <w:rPr>
                        <w:rFonts w:ascii="Symbol" w:hAnsi="Symbol"/>
                        <w:i/>
                        <w:spacing w:val="-8"/>
                        <w:sz w:val="26"/>
                      </w:rPr>
                      <w:t></w:t>
                    </w:r>
                    <w:r>
                      <w:rPr>
                        <w:spacing w:val="-8"/>
                        <w:sz w:val="26"/>
                      </w:rPr>
                      <w:tab/>
                    </w:r>
                    <w:r>
                      <w:rPr>
                        <w:i/>
                        <w:w w:val="95"/>
                        <w:position w:val="15"/>
                        <w:sz w:val="25"/>
                      </w:rPr>
                      <w:t>A</w:t>
                    </w:r>
                  </w:p>
                  <w:p>
                    <w:pPr>
                      <w:spacing w:line="243" w:lineRule="exact" w:before="0"/>
                      <w:ind w:left="0" w:right="88" w:firstLine="0"/>
                      <w:jc w:val="right"/>
                      <w:rPr>
                        <w:rFonts w:ascii="Symbol" w:hAnsi="Symbol"/>
                        <w:i/>
                        <w:sz w:val="26"/>
                      </w:rPr>
                    </w:pPr>
                    <w:r>
                      <w:rPr>
                        <w:rFonts w:ascii="Symbol" w:hAnsi="Symbol"/>
                        <w:i/>
                        <w:w w:val="95"/>
                        <w:sz w:val="26"/>
                      </w:rPr>
                      <w:t></w:t>
                    </w:r>
                  </w:p>
                </w:txbxContent>
              </v:textbox>
              <w10:wrap type="none"/>
            </v:shape>
            <w10:wrap type="none"/>
          </v:group>
        </w:pict>
      </w:r>
      <w:r>
        <w:rPr>
          <w:i/>
          <w:spacing w:val="8"/>
          <w:sz w:val="25"/>
        </w:rPr>
        <w:t>Cc</w:t>
      </w:r>
      <w:r>
        <w:rPr>
          <w:rFonts w:ascii="Symbol" w:hAnsi="Symbol"/>
          <w:spacing w:val="8"/>
          <w:sz w:val="25"/>
        </w:rPr>
        <w:t></w:t>
      </w:r>
      <w:r>
        <w:rPr>
          <w:spacing w:val="8"/>
          <w:sz w:val="25"/>
        </w:rPr>
        <w:tab/>
      </w:r>
      <w:r>
        <w:rPr>
          <w:i/>
          <w:w w:val="95"/>
          <w:position w:val="15"/>
          <w:sz w:val="25"/>
        </w:rPr>
        <w:t>P</w:t>
      </w:r>
    </w:p>
    <w:p>
      <w:pPr>
        <w:tabs>
          <w:tab w:pos="1148" w:val="left" w:leader="none"/>
        </w:tabs>
        <w:spacing w:before="151"/>
        <w:ind w:left="290" w:right="0" w:firstLine="0"/>
        <w:jc w:val="left"/>
        <w:rPr>
          <w:i/>
          <w:sz w:val="25"/>
        </w:rPr>
      </w:pPr>
      <w:r>
        <w:rPr/>
        <w:br w:type="column"/>
      </w:r>
      <w:r>
        <w:rPr>
          <w:sz w:val="25"/>
        </w:rPr>
        <w:t>; </w:t>
      </w:r>
      <w:r>
        <w:rPr>
          <w:spacing w:val="12"/>
          <w:sz w:val="25"/>
        </w:rPr>
        <w:t> </w:t>
      </w:r>
      <w:r>
        <w:rPr>
          <w:i/>
          <w:sz w:val="25"/>
        </w:rPr>
        <w:t>Cc</w:t>
        <w:tab/>
      </w:r>
      <w:r>
        <w:rPr>
          <w:i/>
          <w:w w:val="95"/>
          <w:position w:val="15"/>
          <w:sz w:val="25"/>
        </w:rPr>
        <w:t>P</w:t>
      </w:r>
    </w:p>
    <w:p>
      <w:pPr>
        <w:pStyle w:val="BodyText"/>
        <w:rPr>
          <w:i/>
          <w:sz w:val="27"/>
        </w:rPr>
      </w:pPr>
      <w:r>
        <w:rPr/>
        <w:br w:type="column"/>
      </w:r>
      <w:r>
        <w:rPr>
          <w:i/>
          <w:sz w:val="27"/>
        </w:rPr>
      </w:r>
    </w:p>
    <w:p>
      <w:pPr>
        <w:pStyle w:val="BodyText"/>
        <w:ind w:left="342"/>
      </w:pPr>
      <w:r>
        <w:rPr/>
        <w:t>……………………….(12.3)</w:t>
      </w:r>
    </w:p>
    <w:p>
      <w:pPr>
        <w:spacing w:after="0"/>
        <w:sectPr>
          <w:type w:val="continuous"/>
          <w:pgSz w:w="12240" w:h="15840"/>
          <w:pgMar w:top="1500" w:bottom="280" w:left="1720" w:right="1300"/>
          <w:cols w:num="3" w:equalWidth="0">
            <w:col w:w="4351" w:space="40"/>
            <w:col w:w="1300" w:space="40"/>
            <w:col w:w="3489"/>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after="0"/>
        <w:rPr>
          <w:sz w:val="20"/>
        </w:rPr>
        <w:sectPr>
          <w:type w:val="continuous"/>
          <w:pgSz w:w="12240" w:h="15840"/>
          <w:pgMar w:top="1500" w:bottom="280" w:left="1720" w:right="1300"/>
        </w:sectPr>
      </w:pPr>
    </w:p>
    <w:p>
      <w:pPr>
        <w:pStyle w:val="BodyText"/>
      </w:pPr>
    </w:p>
    <w:p>
      <w:pPr>
        <w:pStyle w:val="BodyText"/>
      </w:pPr>
    </w:p>
    <w:p>
      <w:pPr>
        <w:pStyle w:val="BodyText"/>
        <w:rPr>
          <w:sz w:val="24"/>
        </w:rPr>
      </w:pPr>
    </w:p>
    <w:p>
      <w:pPr>
        <w:pStyle w:val="BodyText"/>
        <w:ind w:left="416" w:right="-19"/>
      </w:pPr>
      <w:r>
        <w:rPr/>
        <w:t>Por lo tanto:</w:t>
      </w:r>
    </w:p>
    <w:p>
      <w:pPr>
        <w:spacing w:line="230" w:lineRule="exact" w:before="206"/>
        <w:ind w:left="417" w:right="0" w:firstLine="0"/>
        <w:jc w:val="left"/>
        <w:rPr>
          <w:rFonts w:ascii="Symbol" w:hAnsi="Symbol"/>
          <w:sz w:val="24"/>
        </w:rPr>
      </w:pPr>
      <w:r>
        <w:rPr/>
        <w:br w:type="column"/>
      </w:r>
      <w:r>
        <w:rPr>
          <w:i/>
          <w:w w:val="105"/>
          <w:sz w:val="24"/>
        </w:rPr>
        <w:t>Cc </w:t>
      </w:r>
      <w:r>
        <w:rPr>
          <w:rFonts w:ascii="Symbol" w:hAnsi="Symbol"/>
          <w:w w:val="105"/>
          <w:sz w:val="24"/>
        </w:rPr>
        <w:t></w:t>
      </w:r>
    </w:p>
    <w:p>
      <w:pPr>
        <w:spacing w:line="254" w:lineRule="exact" w:before="0"/>
        <w:ind w:left="0" w:right="0" w:firstLine="0"/>
        <w:jc w:val="right"/>
        <w:rPr>
          <w:rFonts w:ascii="Symbol" w:hAnsi="Symbol"/>
          <w:i/>
          <w:sz w:val="26"/>
        </w:rPr>
      </w:pPr>
      <w:r>
        <w:rPr>
          <w:sz w:val="24"/>
        </w:rPr>
        <w:t>2</w:t>
      </w:r>
      <w:r>
        <w:rPr>
          <w:rFonts w:ascii="Symbol" w:hAnsi="Symbol"/>
          <w:i/>
          <w:sz w:val="26"/>
        </w:rPr>
        <w:t></w:t>
      </w:r>
    </w:p>
    <w:p>
      <w:pPr>
        <w:pStyle w:val="BodyText"/>
        <w:spacing w:line="399" w:lineRule="exact" w:before="71"/>
        <w:ind w:left="236"/>
      </w:pPr>
      <w:r>
        <w:rPr/>
        <w:br w:type="column"/>
      </w:r>
      <w:r>
        <w:rPr>
          <w:i/>
          <w:position w:val="16"/>
          <w:sz w:val="24"/>
        </w:rPr>
        <w:t>P  </w:t>
      </w:r>
      <w:r>
        <w:rPr/>
        <w:t>………………..………….(12.4)</w:t>
      </w:r>
    </w:p>
    <w:p>
      <w:pPr>
        <w:spacing w:line="235" w:lineRule="exact" w:before="0"/>
        <w:ind w:left="320" w:right="0" w:firstLine="0"/>
        <w:jc w:val="left"/>
        <w:rPr>
          <w:i/>
          <w:sz w:val="24"/>
        </w:rPr>
      </w:pPr>
      <w:r>
        <w:rPr/>
        <w:pict>
          <v:group style="position:absolute;margin-left:325.881775pt;margin-top:-20.247726pt;width:19pt;height:16.4pt;mso-position-horizontal-relative:page;mso-position-vertical-relative:paragraph;z-index:3904" coordorigin="6518,-405" coordsize="380,328">
            <v:line style="position:absolute" from="6548,-227" to="6580,-244" stroked="true" strokeweight=".51517pt" strokecolor="#000000"/>
            <v:line style="position:absolute" from="6580,-240" to="6625,-159" stroked="true" strokeweight="1.012657pt" strokecolor="#000000"/>
            <v:shape style="position:absolute;left:503;top:5617;width:369;height:321" coordorigin="503,5617" coordsize="369,321" path="m6630,-159l6690,-399m6690,-399l6871,-399m6523,-83l6892,-83e" filled="false" stroked="true" strokeweight=".516964pt" strokecolor="#000000">
              <v:path arrowok="t"/>
            </v:shape>
            <v:shape style="position:absolute;left:6518;top:-405;width:379;height:327" type="#_x0000_t202" filled="false" stroked="false">
              <v:textbox inset="0,0,0,0">
                <w:txbxContent>
                  <w:p>
                    <w:pPr>
                      <w:spacing w:line="289" w:lineRule="exact" w:before="0"/>
                      <w:ind w:left="172" w:right="0" w:firstLine="0"/>
                      <w:jc w:val="left"/>
                      <w:rPr>
                        <w:rFonts w:ascii="Symbol" w:hAnsi="Symbol"/>
                        <w:i/>
                        <w:sz w:val="26"/>
                      </w:rPr>
                    </w:pPr>
                    <w:r>
                      <w:rPr>
                        <w:rFonts w:ascii="Symbol" w:hAnsi="Symbol"/>
                        <w:i/>
                        <w:w w:val="95"/>
                        <w:sz w:val="26"/>
                      </w:rPr>
                      <w:t></w:t>
                    </w:r>
                  </w:p>
                </w:txbxContent>
              </v:textbox>
              <w10:wrap type="none"/>
            </v:shape>
            <w10:wrap type="none"/>
          </v:group>
        </w:pict>
      </w:r>
      <w:r>
        <w:rPr/>
        <w:pict>
          <v:group style="position:absolute;margin-left:348.52655pt;margin-top:-4.416518pt;width:19.4pt;height:14.6pt;mso-position-horizontal-relative:page;mso-position-vertical-relative:paragraph;z-index:-1039048" coordorigin="6971,-88" coordsize="388,292">
            <v:line style="position:absolute" from="7002,126" to="7033,109" stroked="true" strokeweight=".515235pt" strokecolor="#000000"/>
            <v:line style="position:absolute" from="7033,114" to="7078,193" stroked="true" strokeweight="1.012623pt" strokecolor="#000000"/>
            <v:shape style="position:absolute;left:956;top:5937;width:377;height:280" coordorigin="956,5937" coordsize="377,280" path="m7084,193l7144,-43m7144,-43l7332,-43m6976,-83l7353,-83e" filled="false" stroked="true" strokeweight=".516964pt" strokecolor="#000000">
              <v:path arrowok="t"/>
            </v:shape>
            <w10:wrap type="none"/>
          </v:group>
        </w:pict>
      </w:r>
      <w:r>
        <w:rPr>
          <w:i/>
          <w:w w:val="103"/>
          <w:sz w:val="24"/>
        </w:rPr>
        <w:t>A</w:t>
      </w:r>
    </w:p>
    <w:p>
      <w:pPr>
        <w:spacing w:after="0" w:line="235" w:lineRule="exact"/>
        <w:jc w:val="left"/>
        <w:rPr>
          <w:sz w:val="24"/>
        </w:rPr>
        <w:sectPr>
          <w:type w:val="continuous"/>
          <w:pgSz w:w="12240" w:h="15840"/>
          <w:pgMar w:top="1500" w:bottom="280" w:left="1720" w:right="1300"/>
          <w:cols w:num="3" w:equalWidth="0">
            <w:col w:w="1703" w:space="2208"/>
            <w:col w:w="1186" w:space="40"/>
            <w:col w:w="4083"/>
          </w:cols>
        </w:sectPr>
      </w:pPr>
    </w:p>
    <w:p>
      <w:pPr>
        <w:pStyle w:val="BodyText"/>
        <w:spacing w:before="3"/>
        <w:rPr>
          <w:i/>
          <w:sz w:val="25"/>
        </w:rPr>
      </w:pPr>
    </w:p>
    <w:p>
      <w:pPr>
        <w:spacing w:before="1"/>
        <w:ind w:left="0" w:right="0" w:firstLine="0"/>
        <w:jc w:val="right"/>
        <w:rPr>
          <w:sz w:val="24"/>
        </w:rPr>
      </w:pPr>
      <w:r>
        <w:rPr>
          <w:i/>
          <w:sz w:val="24"/>
        </w:rPr>
        <w:t>Cc</w:t>
      </w:r>
      <w:r>
        <w:rPr>
          <w:rFonts w:ascii="Symbol" w:hAnsi="Symbol"/>
          <w:sz w:val="24"/>
        </w:rPr>
        <w:t></w:t>
      </w:r>
      <w:r>
        <w:rPr>
          <w:sz w:val="24"/>
        </w:rPr>
        <w:t>0.28</w:t>
      </w:r>
    </w:p>
    <w:p>
      <w:pPr>
        <w:pStyle w:val="BodyText"/>
        <w:spacing w:line="400" w:lineRule="exact" w:before="155"/>
        <w:ind w:left="93"/>
      </w:pPr>
      <w:r>
        <w:rPr/>
        <w:br w:type="column"/>
      </w:r>
      <w:r>
        <w:rPr>
          <w:i/>
          <w:position w:val="16"/>
          <w:sz w:val="24"/>
        </w:rPr>
        <w:t>P  </w:t>
      </w:r>
      <w:r>
        <w:rPr/>
        <w:t>…………………………….(12.5)</w:t>
      </w:r>
    </w:p>
    <w:p>
      <w:pPr>
        <w:spacing w:line="235" w:lineRule="exact" w:before="0"/>
        <w:ind w:left="175" w:right="0" w:firstLine="0"/>
        <w:jc w:val="left"/>
        <w:rPr>
          <w:i/>
          <w:sz w:val="24"/>
        </w:rPr>
      </w:pPr>
      <w:r>
        <w:rPr/>
        <w:pict>
          <v:group style="position:absolute;margin-left:342.13681pt;margin-top:-4.319865pt;width:18.8pt;height:14.55pt;mso-position-horizontal-relative:page;mso-position-vertical-relative:paragraph;z-index:-1039024" coordorigin="6843,-86" coordsize="376,291">
            <v:line style="position:absolute" from="6873,127" to="6903,110" stroked="true" strokeweight=".487162pt" strokecolor="#000000"/>
            <v:line style="position:absolute" from="6903,114" to="6947,193" stroked="true" strokeweight="1.001522pt" strokecolor="#000000"/>
            <v:shape style="position:absolute;left:935;top:4679;width:371;height:280" coordorigin="935,4679" coordsize="371,280" path="m6952,193l7010,-42m7010,-42l7194,-42m6848,-81l7214,-81e" filled="false" stroked="true" strokeweight=".487835pt" strokecolor="#000000">
              <v:path arrowok="t"/>
            </v:shape>
            <w10:wrap type="none"/>
          </v:group>
        </w:pict>
      </w:r>
      <w:r>
        <w:rPr>
          <w:i/>
          <w:w w:val="102"/>
          <w:sz w:val="24"/>
        </w:rPr>
        <w:t>A</w:t>
      </w:r>
    </w:p>
    <w:p>
      <w:pPr>
        <w:spacing w:after="0" w:line="235" w:lineRule="exact"/>
        <w:jc w:val="left"/>
        <w:rPr>
          <w:sz w:val="24"/>
        </w:rPr>
        <w:sectPr>
          <w:type w:val="continuous"/>
          <w:pgSz w:w="12240" w:h="15840"/>
          <w:pgMar w:top="1500" w:bottom="280" w:left="1720" w:right="1300"/>
          <w:cols w:num="2" w:equalWidth="0">
            <w:col w:w="5109" w:space="40"/>
            <w:col w:w="4071"/>
          </w:cols>
        </w:sectPr>
      </w:pPr>
    </w:p>
    <w:p>
      <w:pPr>
        <w:pStyle w:val="BodyText"/>
        <w:rPr>
          <w:i/>
          <w:sz w:val="20"/>
        </w:rPr>
      </w:pPr>
    </w:p>
    <w:p>
      <w:pPr>
        <w:pStyle w:val="BodyText"/>
        <w:rPr>
          <w:i/>
          <w:sz w:val="20"/>
        </w:rPr>
      </w:pPr>
    </w:p>
    <w:p>
      <w:pPr>
        <w:pStyle w:val="BodyText"/>
        <w:rPr>
          <w:i/>
          <w:sz w:val="20"/>
        </w:rPr>
      </w:pPr>
    </w:p>
    <w:p>
      <w:pPr>
        <w:pStyle w:val="BodyText"/>
        <w:rPr>
          <w:i/>
          <w:sz w:val="27"/>
        </w:rPr>
      </w:pPr>
    </w:p>
    <w:p>
      <w:pPr>
        <w:spacing w:after="0"/>
        <w:rPr>
          <w:sz w:val="27"/>
        </w:rPr>
        <w:sectPr>
          <w:type w:val="continuous"/>
          <w:pgSz w:w="12240" w:h="15840"/>
          <w:pgMar w:top="1500" w:bottom="280" w:left="1720" w:right="1300"/>
        </w:sectPr>
      </w:pPr>
    </w:p>
    <w:p>
      <w:pPr>
        <w:pStyle w:val="BodyText"/>
        <w:spacing w:before="66"/>
        <w:ind w:left="416"/>
      </w:pPr>
      <w:r>
        <w:rPr>
          <w:w w:val="95"/>
        </w:rPr>
        <w:t>Donde:</w:t>
      </w:r>
    </w:p>
    <w:p>
      <w:pPr>
        <w:pStyle w:val="BodyText"/>
        <w:rPr>
          <w:sz w:val="28"/>
        </w:rPr>
      </w:pPr>
      <w:r>
        <w:rPr/>
        <w:br w:type="column"/>
      </w:r>
      <w:r>
        <w:rPr>
          <w:sz w:val="28"/>
        </w:rPr>
      </w:r>
    </w:p>
    <w:p>
      <w:pPr>
        <w:pStyle w:val="BodyText"/>
        <w:spacing w:before="196"/>
        <w:ind w:left="277"/>
      </w:pPr>
      <w:r>
        <w:rPr>
          <w:i/>
        </w:rPr>
        <w:t>A </w:t>
      </w:r>
      <w:r>
        <w:rPr/>
        <w:t>= Área de la cuenca (km</w:t>
      </w:r>
      <w:r>
        <w:rPr>
          <w:position w:val="9"/>
          <w:sz w:val="16"/>
        </w:rPr>
        <w:t>2</w:t>
      </w:r>
      <w:r>
        <w:rPr/>
        <w:t>)</w:t>
      </w:r>
    </w:p>
    <w:p>
      <w:pPr>
        <w:pStyle w:val="BodyText"/>
        <w:spacing w:before="147"/>
        <w:ind w:left="277"/>
      </w:pPr>
      <w:r>
        <w:rPr>
          <w:i/>
        </w:rPr>
        <w:t>P y Cc </w:t>
      </w:r>
      <w:r>
        <w:rPr/>
        <w:t>= Fueron previamente definidos</w:t>
      </w:r>
    </w:p>
    <w:p>
      <w:pPr>
        <w:spacing w:after="0"/>
        <w:sectPr>
          <w:type w:val="continuous"/>
          <w:pgSz w:w="12240" w:h="15840"/>
          <w:pgMar w:top="1500" w:bottom="280" w:left="1720" w:right="1300"/>
          <w:cols w:num="2" w:equalWidth="0">
            <w:col w:w="1181" w:space="40"/>
            <w:col w:w="7999"/>
          </w:cols>
        </w:sectPr>
      </w:pPr>
    </w:p>
    <w:p>
      <w:pPr>
        <w:pStyle w:val="BodyText"/>
        <w:ind w:left="4032"/>
        <w:rPr>
          <w:sz w:val="20"/>
        </w:rPr>
      </w:pPr>
      <w:r>
        <w:rPr>
          <w:sz w:val="20"/>
        </w:rPr>
        <w:drawing>
          <wp:inline distT="0" distB="0" distL="0" distR="0">
            <wp:extent cx="2136345" cy="1844611"/>
            <wp:effectExtent l="0" t="0" r="0" b="0"/>
            <wp:docPr id="11" name="image53.png" descr=""/>
            <wp:cNvGraphicFramePr>
              <a:graphicFrameLocks noChangeAspect="1"/>
            </wp:cNvGraphicFramePr>
            <a:graphic>
              <a:graphicData uri="http://schemas.openxmlformats.org/drawingml/2006/picture">
                <pic:pic>
                  <pic:nvPicPr>
                    <pic:cNvPr id="12" name="image53.png"/>
                    <pic:cNvPicPr/>
                  </pic:nvPicPr>
                  <pic:blipFill>
                    <a:blip r:embed="rId73" cstate="print"/>
                    <a:stretch>
                      <a:fillRect/>
                    </a:stretch>
                  </pic:blipFill>
                  <pic:spPr>
                    <a:xfrm>
                      <a:off x="0" y="0"/>
                      <a:ext cx="2136345" cy="1844611"/>
                    </a:xfrm>
                    <a:prstGeom prst="rect">
                      <a:avLst/>
                    </a:prstGeom>
                  </pic:spPr>
                </pic:pic>
              </a:graphicData>
            </a:graphic>
          </wp:inline>
        </w:drawing>
      </w:r>
      <w:r>
        <w:rPr>
          <w:sz w:val="20"/>
        </w:rPr>
      </w:r>
    </w:p>
    <w:p>
      <w:pPr>
        <w:pStyle w:val="BodyText"/>
        <w:spacing w:before="4"/>
        <w:rPr>
          <w:sz w:val="6"/>
        </w:rPr>
      </w:pPr>
    </w:p>
    <w:p>
      <w:pPr>
        <w:spacing w:before="73"/>
        <w:ind w:left="255" w:right="255" w:firstLine="0"/>
        <w:jc w:val="center"/>
        <w:rPr>
          <w:sz w:val="22"/>
        </w:rPr>
      </w:pPr>
      <w:r>
        <w:rPr>
          <w:sz w:val="22"/>
        </w:rPr>
        <w:t>Fuente: SARH, 1988.</w:t>
      </w:r>
    </w:p>
    <w:p>
      <w:pPr>
        <w:pStyle w:val="Heading1"/>
        <w:spacing w:before="2"/>
        <w:ind w:left="255" w:right="257"/>
        <w:jc w:val="center"/>
      </w:pPr>
      <w:bookmarkStart w:name="_bookmark48" w:id="69"/>
      <w:bookmarkEnd w:id="69"/>
      <w:r>
        <w:rPr>
          <w:b w:val="0"/>
        </w:rPr>
      </w:r>
      <w:r>
        <w:rPr/>
        <w:t>Figura 18. Forma de la cuenca.</w:t>
      </w:r>
    </w:p>
    <w:p>
      <w:pPr>
        <w:pStyle w:val="BodyText"/>
        <w:rPr>
          <w:b/>
        </w:rPr>
      </w:pPr>
    </w:p>
    <w:p>
      <w:pPr>
        <w:pStyle w:val="BodyText"/>
        <w:spacing w:before="9"/>
        <w:rPr>
          <w:b/>
          <w:sz w:val="37"/>
        </w:rPr>
      </w:pPr>
    </w:p>
    <w:p>
      <w:pPr>
        <w:pStyle w:val="Heading1"/>
        <w:numPr>
          <w:ilvl w:val="1"/>
          <w:numId w:val="5"/>
        </w:numPr>
        <w:tabs>
          <w:tab w:pos="554" w:val="left" w:leader="none"/>
        </w:tabs>
        <w:spacing w:line="278" w:lineRule="auto" w:before="0" w:after="0"/>
        <w:ind w:left="116" w:right="118" w:firstLine="0"/>
        <w:jc w:val="both"/>
      </w:pPr>
      <w:bookmarkStart w:name="_bookmark49" w:id="70"/>
      <w:bookmarkEnd w:id="70"/>
      <w:r>
        <w:rPr>
          <w:b w:val="0"/>
        </w:rPr>
      </w:r>
      <w:bookmarkStart w:name="_bookmark49" w:id="71"/>
      <w:bookmarkEnd w:id="71"/>
      <w:r>
        <w:rPr/>
        <w:t>Bases</w:t>
      </w:r>
      <w:r>
        <w:rPr/>
        <w:t> </w:t>
      </w:r>
      <w:r>
        <w:rPr>
          <w:spacing w:val="-3"/>
        </w:rPr>
        <w:t>de </w:t>
      </w:r>
      <w:r>
        <w:rPr/>
        <w:t>datos para alimentar el modelo SWAT (Archivos </w:t>
      </w:r>
      <w:r>
        <w:rPr>
          <w:spacing w:val="-3"/>
        </w:rPr>
        <w:t>de </w:t>
      </w:r>
      <w:r>
        <w:rPr/>
        <w:t>entrada al Arc SWAT en texto y</w:t>
      </w:r>
      <w:r>
        <w:rPr>
          <w:spacing w:val="-10"/>
        </w:rPr>
        <w:t> </w:t>
      </w:r>
      <w:r>
        <w:rPr/>
        <w:t>tablas)</w:t>
      </w:r>
    </w:p>
    <w:p>
      <w:pPr>
        <w:pStyle w:val="BodyText"/>
        <w:rPr>
          <w:b/>
        </w:rPr>
      </w:pPr>
    </w:p>
    <w:p>
      <w:pPr>
        <w:pStyle w:val="BodyText"/>
        <w:spacing w:line="360" w:lineRule="auto" w:before="200"/>
        <w:ind w:left="116" w:right="110"/>
        <w:jc w:val="both"/>
      </w:pPr>
      <w:r>
        <w:rPr>
          <w:spacing w:val="-3"/>
        </w:rPr>
        <w:t>La </w:t>
      </w:r>
      <w:r>
        <w:rPr/>
        <w:t>extensión ArcSWAT ArcGis es la interfaz de usuario para el modelo SWAT2010 (Arnold y otros, 1998), este es un paquete de análisis de datos geográficos diseñados para ayudar a generar archivos de entrada SWAT y analizar específicamente información resultante de simulaciones usando las características principales de ArcGIS. Los datos de entrada necesarios deberán estar listos para correr la interface, es decir se debe disponer</w:t>
      </w:r>
      <w:r>
        <w:rPr>
          <w:spacing w:val="-34"/>
        </w:rPr>
        <w:t> </w:t>
      </w:r>
      <w:r>
        <w:rPr/>
        <w:t>de la información que especifican los siguientes grupos de archivos, estos se esquematizan</w:t>
      </w:r>
      <w:r>
        <w:rPr>
          <w:spacing w:val="-25"/>
        </w:rPr>
        <w:t> </w:t>
      </w:r>
      <w:r>
        <w:rPr/>
        <w:t>en la Figura 19 y posteriormente se describen de manera</w:t>
      </w:r>
      <w:r>
        <w:rPr>
          <w:spacing w:val="-7"/>
        </w:rPr>
        <w:t> </w:t>
      </w:r>
      <w:r>
        <w:rPr/>
        <w:t>individual:</w:t>
      </w:r>
    </w:p>
    <w:p>
      <w:pPr>
        <w:pStyle w:val="BodyText"/>
      </w:pPr>
    </w:p>
    <w:p>
      <w:pPr>
        <w:pStyle w:val="ListParagraph"/>
        <w:numPr>
          <w:ilvl w:val="0"/>
          <w:numId w:val="28"/>
        </w:numPr>
        <w:tabs>
          <w:tab w:pos="836" w:val="left" w:leader="none"/>
          <w:tab w:pos="837" w:val="left" w:leader="none"/>
        </w:tabs>
        <w:spacing w:line="240" w:lineRule="auto" w:before="156" w:after="0"/>
        <w:ind w:left="837" w:right="0" w:hanging="361"/>
        <w:jc w:val="left"/>
        <w:rPr>
          <w:sz w:val="26"/>
        </w:rPr>
      </w:pPr>
      <w:r>
        <w:rPr>
          <w:sz w:val="26"/>
        </w:rPr>
        <w:t>Archivos WGN (Generadores</w:t>
      </w:r>
      <w:r>
        <w:rPr>
          <w:spacing w:val="-12"/>
          <w:sz w:val="26"/>
        </w:rPr>
        <w:t> </w:t>
      </w:r>
      <w:r>
        <w:rPr>
          <w:sz w:val="26"/>
        </w:rPr>
        <w:t>climáticos)</w:t>
      </w:r>
    </w:p>
    <w:p>
      <w:pPr>
        <w:pStyle w:val="ListParagraph"/>
        <w:numPr>
          <w:ilvl w:val="0"/>
          <w:numId w:val="28"/>
        </w:numPr>
        <w:tabs>
          <w:tab w:pos="836" w:val="left" w:leader="none"/>
          <w:tab w:pos="837" w:val="left" w:leader="none"/>
        </w:tabs>
        <w:spacing w:line="240" w:lineRule="auto" w:before="147" w:after="0"/>
        <w:ind w:left="837" w:right="0" w:hanging="361"/>
        <w:jc w:val="left"/>
        <w:rPr>
          <w:sz w:val="26"/>
        </w:rPr>
      </w:pPr>
      <w:r>
        <w:rPr>
          <w:sz w:val="26"/>
        </w:rPr>
        <w:t>Archivos SUB (Datos generales de las</w:t>
      </w:r>
      <w:r>
        <w:rPr>
          <w:spacing w:val="-12"/>
          <w:sz w:val="26"/>
        </w:rPr>
        <w:t> </w:t>
      </w:r>
      <w:r>
        <w:rPr>
          <w:sz w:val="26"/>
        </w:rPr>
        <w:t>URH)</w:t>
      </w:r>
    </w:p>
    <w:p>
      <w:pPr>
        <w:pStyle w:val="ListParagraph"/>
        <w:numPr>
          <w:ilvl w:val="0"/>
          <w:numId w:val="28"/>
        </w:numPr>
        <w:tabs>
          <w:tab w:pos="836" w:val="left" w:leader="none"/>
          <w:tab w:pos="837" w:val="left" w:leader="none"/>
        </w:tabs>
        <w:spacing w:line="240" w:lineRule="auto" w:before="147" w:after="0"/>
        <w:ind w:left="837" w:right="0" w:hanging="361"/>
        <w:jc w:val="left"/>
        <w:rPr>
          <w:sz w:val="26"/>
        </w:rPr>
      </w:pPr>
      <w:r>
        <w:rPr>
          <w:sz w:val="26"/>
        </w:rPr>
        <w:t>Archivos SOL (Datos de</w:t>
      </w:r>
      <w:r>
        <w:rPr>
          <w:spacing w:val="-11"/>
          <w:sz w:val="26"/>
        </w:rPr>
        <w:t> </w:t>
      </w:r>
      <w:r>
        <w:rPr>
          <w:sz w:val="26"/>
        </w:rPr>
        <w:t>suelos)</w:t>
      </w:r>
    </w:p>
    <w:p>
      <w:pPr>
        <w:pStyle w:val="ListParagraph"/>
        <w:numPr>
          <w:ilvl w:val="0"/>
          <w:numId w:val="28"/>
        </w:numPr>
        <w:tabs>
          <w:tab w:pos="836" w:val="left" w:leader="none"/>
          <w:tab w:pos="837" w:val="left" w:leader="none"/>
        </w:tabs>
        <w:spacing w:line="240" w:lineRule="auto" w:before="152" w:after="0"/>
        <w:ind w:left="837" w:right="0" w:hanging="361"/>
        <w:jc w:val="left"/>
        <w:rPr>
          <w:sz w:val="26"/>
        </w:rPr>
      </w:pPr>
      <w:r>
        <w:rPr>
          <w:sz w:val="26"/>
        </w:rPr>
        <w:t>Archivos MGT (Datos del manejo de</w:t>
      </w:r>
      <w:r>
        <w:rPr>
          <w:spacing w:val="-14"/>
          <w:sz w:val="26"/>
        </w:rPr>
        <w:t> </w:t>
      </w:r>
      <w:r>
        <w:rPr>
          <w:sz w:val="26"/>
        </w:rPr>
        <w:t>cultivos)</w:t>
      </w:r>
    </w:p>
    <w:p>
      <w:pPr>
        <w:pStyle w:val="ListParagraph"/>
        <w:numPr>
          <w:ilvl w:val="0"/>
          <w:numId w:val="28"/>
        </w:numPr>
        <w:tabs>
          <w:tab w:pos="836" w:val="left" w:leader="none"/>
          <w:tab w:pos="837" w:val="left" w:leader="none"/>
        </w:tabs>
        <w:spacing w:line="240" w:lineRule="auto" w:before="147" w:after="0"/>
        <w:ind w:left="837" w:right="0" w:hanging="361"/>
        <w:jc w:val="left"/>
        <w:rPr>
          <w:sz w:val="26"/>
        </w:rPr>
      </w:pPr>
      <w:r>
        <w:rPr>
          <w:sz w:val="26"/>
        </w:rPr>
        <w:t>Archivo RTE (Datos del</w:t>
      </w:r>
      <w:r>
        <w:rPr>
          <w:spacing w:val="-11"/>
          <w:sz w:val="26"/>
        </w:rPr>
        <w:t> </w:t>
      </w:r>
      <w:r>
        <w:rPr>
          <w:sz w:val="26"/>
        </w:rPr>
        <w:t>cauce)</w:t>
      </w:r>
    </w:p>
    <w:p>
      <w:pPr>
        <w:pStyle w:val="ListParagraph"/>
        <w:numPr>
          <w:ilvl w:val="0"/>
          <w:numId w:val="28"/>
        </w:numPr>
        <w:tabs>
          <w:tab w:pos="836" w:val="left" w:leader="none"/>
          <w:tab w:pos="837" w:val="left" w:leader="none"/>
        </w:tabs>
        <w:spacing w:line="240" w:lineRule="auto" w:before="147" w:after="0"/>
        <w:ind w:left="837" w:right="0" w:hanging="361"/>
        <w:jc w:val="left"/>
        <w:rPr>
          <w:sz w:val="26"/>
        </w:rPr>
      </w:pPr>
      <w:r>
        <w:rPr>
          <w:sz w:val="26"/>
        </w:rPr>
        <w:t>Archivo PND (Datos de cuerpos de</w:t>
      </w:r>
      <w:r>
        <w:rPr>
          <w:spacing w:val="-15"/>
          <w:sz w:val="26"/>
        </w:rPr>
        <w:t> </w:t>
      </w:r>
      <w:r>
        <w:rPr>
          <w:sz w:val="26"/>
        </w:rPr>
        <w:t>agua)</w:t>
      </w:r>
    </w:p>
    <w:p>
      <w:pPr>
        <w:pStyle w:val="ListParagraph"/>
        <w:numPr>
          <w:ilvl w:val="0"/>
          <w:numId w:val="28"/>
        </w:numPr>
        <w:tabs>
          <w:tab w:pos="836" w:val="left" w:leader="none"/>
          <w:tab w:pos="837" w:val="left" w:leader="none"/>
        </w:tabs>
        <w:spacing w:line="240" w:lineRule="auto" w:before="152" w:after="0"/>
        <w:ind w:left="837" w:right="0" w:hanging="361"/>
        <w:jc w:val="left"/>
        <w:rPr>
          <w:sz w:val="26"/>
        </w:rPr>
      </w:pPr>
      <w:r>
        <w:rPr>
          <w:sz w:val="26"/>
        </w:rPr>
        <w:t>Archivo GW (Datos de aguas</w:t>
      </w:r>
      <w:r>
        <w:rPr>
          <w:spacing w:val="-9"/>
          <w:sz w:val="26"/>
        </w:rPr>
        <w:t> </w:t>
      </w:r>
      <w:r>
        <w:rPr>
          <w:sz w:val="26"/>
        </w:rPr>
        <w:t>subterráneas)</w:t>
      </w:r>
    </w:p>
    <w:p>
      <w:pPr>
        <w:spacing w:after="0" w:line="240" w:lineRule="auto"/>
        <w:jc w:val="left"/>
        <w:rPr>
          <w:sz w:val="26"/>
        </w:rPr>
        <w:sectPr>
          <w:footerReference w:type="default" r:id="rId72"/>
          <w:pgSz w:w="12240" w:h="15840"/>
          <w:pgMar w:footer="1473" w:header="0" w:top="1420" w:bottom="1660" w:left="1300" w:right="1300"/>
        </w:sectPr>
      </w:pPr>
    </w:p>
    <w:p>
      <w:pPr>
        <w:pStyle w:val="BodyText"/>
        <w:spacing w:before="6"/>
        <w:rPr>
          <w:sz w:val="25"/>
        </w:rPr>
      </w:pPr>
    </w:p>
    <w:p>
      <w:pPr>
        <w:pStyle w:val="BodyText"/>
        <w:spacing w:line="360" w:lineRule="auto" w:before="66"/>
        <w:ind w:left="116" w:right="109"/>
        <w:jc w:val="both"/>
      </w:pPr>
      <w:r>
        <w:rPr/>
        <w:t>Información cartográfica requerida por Arc SWAT para delimitar la zona de estudio antes de comenzar a llenar los archivos antes mencionados:</w:t>
      </w:r>
    </w:p>
    <w:p>
      <w:pPr>
        <w:pStyle w:val="BodyText"/>
      </w:pPr>
    </w:p>
    <w:p>
      <w:pPr>
        <w:pStyle w:val="BodyText"/>
        <w:spacing w:line="360" w:lineRule="auto" w:before="155"/>
        <w:ind w:left="116" w:right="121"/>
        <w:jc w:val="both"/>
      </w:pPr>
      <w:r>
        <w:rPr/>
        <w:t>GRID- Modelo Digital de Elevación (DEM). La interface permite valores enteros o reales para las elevaciones DEM. La resolución del mapa se definió por unidades métricas de 15x15m.</w:t>
      </w:r>
    </w:p>
    <w:p>
      <w:pPr>
        <w:pStyle w:val="BodyText"/>
      </w:pPr>
    </w:p>
    <w:p>
      <w:pPr>
        <w:pStyle w:val="BodyText"/>
        <w:spacing w:line="357" w:lineRule="auto" w:before="155"/>
        <w:ind w:left="116" w:right="116"/>
        <w:jc w:val="both"/>
      </w:pPr>
      <w:r>
        <w:rPr/>
        <w:t>GRID-Cobertura y Uso del suelo. Se clasificaron a través de 11categorías definiendo códigos de cuatro letras.</w:t>
      </w:r>
    </w:p>
    <w:p>
      <w:pPr>
        <w:pStyle w:val="BodyText"/>
      </w:pPr>
    </w:p>
    <w:p>
      <w:pPr>
        <w:pStyle w:val="BodyText"/>
        <w:spacing w:line="362" w:lineRule="auto" w:before="159"/>
        <w:ind w:left="116" w:right="112"/>
        <w:jc w:val="both"/>
      </w:pPr>
      <w:r>
        <w:rPr/>
        <w:t>GRID-Suelos. Las categorías especificadas en el mapa debieron estar asociadas a la base de datos de suelos, obteniendo un total de 22 categorías.</w:t>
      </w:r>
    </w:p>
    <w:p>
      <w:pPr>
        <w:spacing w:after="0" w:line="362" w:lineRule="auto"/>
        <w:jc w:val="both"/>
        <w:sectPr>
          <w:footerReference w:type="default" r:id="rId74"/>
          <w:pgSz w:w="12240" w:h="15840"/>
          <w:pgMar w:footer="1473" w:header="0" w:top="1500" w:bottom="1660" w:left="1300" w:right="1300"/>
          <w:pgNumType w:start="71"/>
        </w:sectPr>
      </w:pPr>
    </w:p>
    <w:p>
      <w:pPr>
        <w:pStyle w:val="BodyText"/>
        <w:spacing w:before="6"/>
        <w:rPr>
          <w:sz w:val="8"/>
        </w:rPr>
      </w:pPr>
      <w:r>
        <w:rPr/>
        <w:pict>
          <v:group style="position:absolute;margin-left:417.600006pt;margin-top:271.440002pt;width:60pt;height:43.2pt;mso-position-horizontal-relative:page;mso-position-vertical-relative:page;z-index:-1038424" coordorigin="8352,5429" coordsize="1200,864">
            <v:shape style="position:absolute;left:8352;top:5429;width:1200;height:864" type="#_x0000_t75" stroked="false">
              <v:imagedata r:id="rId75" o:title=""/>
            </v:shape>
            <v:shape style="position:absolute;left:8352;top:5429;width:1200;height:864" type="#_x0000_t202" filled="false" stroked="false">
              <v:textbox inset="0,0,0,0">
                <w:txbxContent>
                  <w:p>
                    <w:pPr>
                      <w:spacing w:before="79"/>
                      <w:ind w:left="154" w:right="154" w:firstLine="0"/>
                      <w:jc w:val="center"/>
                      <w:rPr>
                        <w:rFonts w:ascii="Calibri" w:hAnsi="Calibri"/>
                        <w:sz w:val="20"/>
                      </w:rPr>
                    </w:pPr>
                    <w:r>
                      <w:rPr>
                        <w:rFonts w:ascii="Calibri" w:hAnsi="Calibri"/>
                        <w:sz w:val="20"/>
                      </w:rPr>
                      <w:t>Años</w:t>
                    </w:r>
                  </w:p>
                  <w:p>
                    <w:pPr>
                      <w:spacing w:before="1"/>
                      <w:ind w:left="154" w:right="154" w:firstLine="0"/>
                      <w:jc w:val="center"/>
                      <w:rPr>
                        <w:rFonts w:ascii="Calibri"/>
                        <w:sz w:val="20"/>
                      </w:rPr>
                    </w:pPr>
                    <w:r>
                      <w:rPr>
                        <w:rFonts w:ascii="Calibri"/>
                        <w:sz w:val="20"/>
                      </w:rPr>
                      <w:t>completos</w:t>
                    </w:r>
                  </w:p>
                </w:txbxContent>
              </v:textbox>
              <w10:wrap type="none"/>
            </v:shape>
            <w10:wrap type="none"/>
          </v:group>
        </w:pict>
      </w:r>
    </w:p>
    <w:p>
      <w:pPr>
        <w:pStyle w:val="BodyText"/>
        <w:ind w:left="100"/>
        <w:rPr>
          <w:sz w:val="20"/>
        </w:rPr>
      </w:pPr>
      <w:r>
        <w:rPr>
          <w:sz w:val="20"/>
        </w:rPr>
        <w:pict>
          <v:group style="width:490.1pt;height:470.65pt;mso-position-horizontal-relative:char;mso-position-vertical-relative:line" coordorigin="0,0" coordsize="9802,9413">
            <v:line style="position:absolute" from="4908,4687" to="4908,4906" stroked="true" strokeweight=".72pt" strokecolor="#000000"/>
            <v:shape style="position:absolute;left:4176;top:3830;width:1550;height:864" type="#_x0000_t75" stroked="false">
              <v:imagedata r:id="rId76" o:title=""/>
            </v:shape>
            <v:shape style="position:absolute;left:4858;top:1836;width:120;height:2001" coordorigin="4858,1836" coordsize="120,2001" path="m4908,3716l4858,3716,4919,3836,4968,3736,4908,3736,4908,3716xm4928,1836l4908,1836,4908,3736,4928,3736,4928,1836xm4978,3716l4928,3716,4928,3736,4968,3736,4978,3716xe" filled="true" fillcolor="#000000" stroked="false">
              <v:path arrowok="t"/>
              <v:fill type="solid"/>
            </v:shape>
            <v:shape style="position:absolute;left:2904;top:3830;width:1195;height:864" type="#_x0000_t75" stroked="false">
              <v:imagedata r:id="rId77" o:title=""/>
            </v:shape>
            <v:shape style="position:absolute;left:3495;top:1836;width:120;height:2001" coordorigin="3495,1836" coordsize="120,2001" path="m3545,3716l3495,3716,3555,3836,3605,3736,3545,3736,3545,3716xm3564,1836l3544,1836,3545,3736,3565,3736,3564,1836xm3615,3716l3565,3716,3565,3736,3605,3736,3615,3716xe" filled="true" fillcolor="#000000" stroked="false">
              <v:path arrowok="t"/>
              <v:fill type="solid"/>
            </v:shape>
            <v:shape style="position:absolute;left:1584;top:3830;width:1243;height:850" type="#_x0000_t75" stroked="false">
              <v:imagedata r:id="rId78" o:title=""/>
            </v:shape>
            <v:shape style="position:absolute;left:1114;top:1814;width:1358;height:1651" type="#_x0000_t75" stroked="false">
              <v:imagedata r:id="rId79" o:title=""/>
            </v:shape>
            <v:shape style="position:absolute;left:1934;top:946;width:1594;height:514" type="#_x0000_t75" stroked="false">
              <v:imagedata r:id="rId80" o:title=""/>
            </v:shape>
            <v:shape style="position:absolute;left:2659;top:732;width:120;height:202" type="#_x0000_t75" stroked="false">
              <v:imagedata r:id="rId81" o:title=""/>
            </v:shape>
            <v:shape style="position:absolute;left:2530;top:1452;width:120;height:2385" coordorigin="2530,1452" coordsize="120,2385" path="m2530,3716l2590,3836,2640,3736,2600,3736,2580,3736,2580,3716,2530,3716xm2580,3716l2580,3736,2600,3736,2600,3716,2580,3716xm2600,3716l2600,3736,2640,3736,2650,3717,2600,3716xm2615,1452l2595,1452,2580,3716,2600,3716,2615,1452xe" filled="true" fillcolor="#000000" stroked="false">
              <v:path arrowok="t"/>
              <v:fill type="solid"/>
            </v:shape>
            <v:line style="position:absolute" from="3554,1831" to="4920,1831" stroked="true" strokeweight=".72pt" strokecolor="#000000"/>
            <v:shape style="position:absolute;left:2021;top:4879;width:120;height:270" type="#_x0000_t75" stroked="false">
              <v:imagedata r:id="rId82" o:title=""/>
            </v:shape>
            <v:shape style="position:absolute;left:552;top:5141;width:3744;height:514" type="#_x0000_t75" stroked="false">
              <v:imagedata r:id="rId83" o:title=""/>
            </v:shape>
            <v:line style="position:absolute" from="3584,6197" to="3583,5652" stroked="true" strokeweight=".72pt" strokecolor="#000000"/>
            <v:shape style="position:absolute;left:5962;top:5155;width:3749;height:778" type="#_x0000_t75" stroked="false">
              <v:imagedata r:id="rId84" o:title=""/>
            </v:shape>
            <v:line style="position:absolute" from="6386,6197" to="6386,5911" stroked="true" strokeweight=".72pt" strokecolor="#000000"/>
            <v:line style="position:absolute" from="3583,6214" to="6390,6214" stroked="true" strokeweight=".72pt" strokecolor="#000000"/>
            <v:shape style="position:absolute;left:533;top:7325;width:2568;height:514" type="#_x0000_t75" stroked="false">
              <v:imagedata r:id="rId85" o:title=""/>
            </v:shape>
            <v:shape style="position:absolute;left:3850;top:8146;width:2290;height:514" type="#_x0000_t75" stroked="false">
              <v:imagedata r:id="rId86" o:title=""/>
            </v:shape>
            <v:shape style="position:absolute;left:1682;top:7821;width:2173;height:1294" coordorigin="1682,7821" coordsize="2173,1294" path="m3735,8995l3735,9115,3835,9065,3755,9065,3755,9045,3835,9045,3735,8995xm1699,7831l1699,9065,3735,9065,3735,9055,1719,9055,1709,9045,1719,9045,1719,7841,1709,7841,1699,7831xm3835,9045l3755,9045,3755,9065,3835,9065,3855,9055,3835,9045xm1719,9045l1709,9045,1719,9055,1719,9045xm3735,9045l1719,9045,1719,9055,3735,9055,3735,9045xm1719,7821l1682,7821,1682,7841,1699,7841,1699,7831,1719,7831,1719,7821xm1719,7831l1699,7831,1709,7841,1719,7841,1719,7831xe" filled="true" fillcolor="#000000" stroked="false">
              <v:path arrowok="t"/>
              <v:fill type="solid"/>
            </v:shape>
            <v:shape style="position:absolute;left:3850;top:8899;width:2290;height:514" type="#_x0000_t75" stroked="false">
              <v:imagedata r:id="rId87" o:title=""/>
            </v:shape>
            <v:line style="position:absolute" from="4918,8652" to="4918,8888" stroked="true" strokeweight=".72pt" strokecolor="#000000"/>
            <v:shape style="position:absolute;left:3086;top:6523;width:3749;height:499" type="#_x0000_t75" stroked="false">
              <v:imagedata r:id="rId88" o:title=""/>
            </v:shape>
            <v:shape style="position:absolute;left:4858;top:6996;width:120;height:420" coordorigin="4858,6996" coordsize="120,420" path="m4928,7096l4908,7096,4908,7415,4928,7415,4928,7096xm4918,6996l4858,7116,4908,7116,4908,7096,4968,7096,4918,6996xm4968,7096l4928,7096,4928,7116,4978,7116,4968,7096xe" filled="true" fillcolor="#000000" stroked="false">
              <v:path arrowok="t"/>
              <v:fill type="solid"/>
            </v:shape>
            <v:shape style="position:absolute;left:3941;top:7426;width:2078;height:514" type="#_x0000_t75" stroked="false">
              <v:imagedata r:id="rId89" o:title=""/>
            </v:shape>
            <v:shape style="position:absolute;left:4858;top:6228;width:120;height:300" type="#_x0000_t75" stroked="false">
              <v:imagedata r:id="rId90" o:title=""/>
            </v:shape>
            <v:shape style="position:absolute;left:7056;top:7291;width:2290;height:768" type="#_x0000_t75" stroked="false">
              <v:imagedata r:id="rId91" o:title=""/>
            </v:shape>
            <v:shape style="position:absolute;left:6132;top:8052;width:2050;height:398" coordorigin="6132,8052" coordsize="2050,398" path="m6132,8450l8182,8450,8182,8052,8140,8052e" filled="false" stroked="true" strokeweight=".72pt" strokecolor="#000000">
              <v:path arrowok="t"/>
            </v:shape>
            <v:shape style="position:absolute;left:6012;top:7598;width:1045;height:120" coordorigin="6012,7598" coordsize="1045,120" path="m6132,7598l6012,7658,6132,7718,6132,7668,6112,7668,6112,7648,6132,7648,6132,7598xm6132,7648l6112,7648,6112,7668,6132,7668,6132,7648xm7057,7648l6132,7648,6132,7668,7057,7668,7057,7648xe" filled="true" fillcolor="#000000" stroked="false">
              <v:path arrowok="t"/>
              <v:fill type="solid"/>
            </v:shape>
            <v:shape style="position:absolute;left:1704;top:5647;width:120;height:1678" coordorigin="1704,5647" coordsize="120,1678" path="m1754,7204l1704,7204,1764,7324,1814,7224,1754,7224,1754,7204xm1774,5647l1754,5647,1754,7224,1774,7224,1774,5647xm1824,7204l1774,7204,1774,7224,1814,7224,1824,7204xe" filled="true" fillcolor="#000000" stroked="false">
              <v:path arrowok="t"/>
              <v:fill type="solid"/>
            </v:shape>
            <v:shape style="position:absolute;left:7411;top:4879;width:120;height:270" type="#_x0000_t75" stroked="false">
              <v:imagedata r:id="rId82" o:title=""/>
            </v:shape>
            <v:line style="position:absolute" from="4918,4879" to="9139,4879" stroked="true" strokeweight=".72pt" strokecolor="#000000"/>
            <v:line style="position:absolute" from="732,4879" to="3582,4879" stroked="true" strokeweight=".72pt" strokecolor="#000000"/>
            <v:shape style="position:absolute;left:1838;top:3458;width:120;height:379" type="#_x0000_t75" stroked="false">
              <v:imagedata r:id="rId92" o:title=""/>
            </v:shape>
            <v:shape style="position:absolute;left:3912;top:926;width:1368;height:518" type="#_x0000_t75" stroked="false">
              <v:imagedata r:id="rId93" o:title=""/>
            </v:shape>
            <v:shape style="position:absolute;left:4493;top:751;width:120;height:202" type="#_x0000_t75" stroked="false">
              <v:imagedata r:id="rId81" o:title=""/>
            </v:shape>
            <v:shape style="position:absolute;left:4214;top:1438;width:120;height:401" coordorigin="4214,1438" coordsize="120,401" path="m4264,1718l4214,1718,4274,1838,4324,1738,4264,1738,4264,1718xm4284,1438l4264,1438,4264,1738,4284,1738,4284,1438xm4334,1718l4284,1718,4284,1738,4324,1738,4334,1718xe" filled="true" fillcolor="#000000" stroked="false">
              <v:path arrowok="t"/>
              <v:fill type="solid"/>
            </v:shape>
            <v:shape style="position:absolute;left:5832;top:3830;width:1109;height:864" type="#_x0000_t75" stroked="false">
              <v:imagedata r:id="rId94" o:title=""/>
            </v:shape>
            <v:shape style="position:absolute;left:5933;top:946;width:1426;height:514" type="#_x0000_t75" stroked="false">
              <v:imagedata r:id="rId95" o:title=""/>
            </v:shape>
            <v:shape style="position:absolute;left:6390;top:1452;width:120;height:2385" coordorigin="6390,1452" coordsize="120,2385" path="m6390,3716l6449,3836,6500,3736,6459,3736,6439,3736,6440,3716,6390,3716xm6440,3716l6439,3736,6459,3736,6460,3716,6440,3716xm6460,3716l6459,3736,6500,3736,6510,3717,6460,3716xm6474,1452l6454,1452,6440,3716,6460,3716,6474,1452xe" filled="true" fillcolor="#000000" stroked="false">
              <v:path arrowok="t"/>
              <v:fill type="solid"/>
            </v:shape>
            <v:shape style="position:absolute;left:6518;top:751;width:120;height:202" type="#_x0000_t75" stroked="false">
              <v:imagedata r:id="rId81" o:title=""/>
            </v:shape>
            <v:shape style="position:absolute;left:7598;top:1829;width:1507;height:1325" type="#_x0000_t75" stroked="false">
              <v:imagedata r:id="rId96" o:title=""/>
            </v:shape>
            <v:shape style="position:absolute;left:7714;top:946;width:1632;height:514" type="#_x0000_t75" stroked="false">
              <v:imagedata r:id="rId97" o:title=""/>
            </v:shape>
            <v:shape style="position:absolute;left:8290;top:1438;width:120;height:384" type="#_x0000_t75" stroked="false">
              <v:imagedata r:id="rId98" o:title=""/>
            </v:shape>
            <v:shape style="position:absolute;left:8534;top:732;width:120;height:202" type="#_x0000_t75" stroked="false">
              <v:imagedata r:id="rId81" o:title=""/>
            </v:shape>
            <v:shape style="position:absolute;left:0;top:3830;width:1478;height:850" type="#_x0000_t75" stroked="false">
              <v:imagedata r:id="rId99" o:title=""/>
            </v:shape>
            <v:shape style="position:absolute;left:307;top:946;width:1382;height:514" type="#_x0000_t75" stroked="false">
              <v:imagedata r:id="rId100" o:title=""/>
            </v:shape>
            <v:shape style="position:absolute;left:917;top:732;width:120;height:202" type="#_x0000_t75" stroked="false">
              <v:imagedata r:id="rId81" o:title=""/>
            </v:shape>
            <v:shape style="position:absolute;left:630;top:1452;width:120;height:2385" coordorigin="630,1452" coordsize="120,2385" path="m630,3716l689,3836,740,3736,699,3736,679,3736,680,3716,630,3716xm680,3716l679,3736,699,3736,700,3716,680,3716xm700,3716l699,3736,740,3736,750,3717,700,3716xm714,1452l694,1452,680,3716,700,3716,714,1452xe" filled="true" fillcolor="#000000" stroked="false">
              <v:path arrowok="t"/>
              <v:fill type="solid"/>
            </v:shape>
            <v:line style="position:absolute" from="977,732" to="8596,732" stroked="true" strokeweight=".72pt" strokecolor="#000000"/>
            <v:shape style="position:absolute;left:3442;top:0;width:2957;height:518" type="#_x0000_t75" stroked="false">
              <v:imagedata r:id="rId101" o:title=""/>
            </v:shape>
            <v:line style="position:absolute" from="4918,511" to="4918,734" stroked="true" strokeweight=".72pt" strokecolor="#000000"/>
            <v:shape style="position:absolute;left:8342;top:3830;width:1459;height:850" type="#_x0000_t75" stroked="false">
              <v:imagedata r:id="rId102" o:title=""/>
            </v:shape>
            <v:line style="position:absolute" from="9125,4685" to="9110,4903" stroked="true" strokeweight=".48pt" strokecolor="#000000"/>
            <v:line style="position:absolute" from="3552,4685" to="3552,4873" stroked="true" strokeweight=".48pt" strokecolor="#000000"/>
            <v:line style="position:absolute" from="754,4670" to="769,4874" stroked="true" strokeweight=".48pt" strokecolor="#000000"/>
            <v:shape style="position:absolute;left:3645;top:128;width:2549;height:221" type="#_x0000_t202" filled="false" stroked="false">
              <v:textbox inset="0,0,0,0">
                <w:txbxContent>
                  <w:p>
                    <w:pPr>
                      <w:spacing w:line="221" w:lineRule="exact" w:before="0"/>
                      <w:ind w:left="0" w:right="-18" w:firstLine="0"/>
                      <w:jc w:val="left"/>
                      <w:rPr>
                        <w:rFonts w:ascii="Calibri" w:hAnsi="Calibri"/>
                        <w:sz w:val="22"/>
                      </w:rPr>
                    </w:pPr>
                    <w:r>
                      <w:rPr>
                        <w:rFonts w:ascii="Calibri" w:hAnsi="Calibri"/>
                        <w:sz w:val="22"/>
                      </w:rPr>
                      <w:t>Recopilación de Información</w:t>
                    </w:r>
                  </w:p>
                </w:txbxContent>
              </v:textbox>
              <w10:wrap type="none"/>
            </v:shape>
            <v:shape style="position:absolute;left:509;top:1069;width:965;height:221" type="#_x0000_t202" filled="false" stroked="false">
              <v:textbox inset="0,0,0,0">
                <w:txbxContent>
                  <w:p>
                    <w:pPr>
                      <w:spacing w:line="221" w:lineRule="exact" w:before="0"/>
                      <w:ind w:left="0" w:right="-19" w:firstLine="0"/>
                      <w:jc w:val="left"/>
                      <w:rPr>
                        <w:rFonts w:ascii="Calibri" w:hAnsi="Calibri"/>
                        <w:sz w:val="22"/>
                      </w:rPr>
                    </w:pPr>
                    <w:r>
                      <w:rPr>
                        <w:rFonts w:ascii="Calibri" w:hAnsi="Calibri"/>
                        <w:sz w:val="22"/>
                      </w:rPr>
                      <w:t>Topografía</w:t>
                    </w:r>
                  </w:p>
                </w:txbxContent>
              </v:textbox>
              <w10:wrap type="none"/>
            </v:shape>
            <v:shape style="position:absolute;left:2123;top:1069;width:1215;height:221" type="#_x0000_t202" filled="false" stroked="false">
              <v:textbox inset="0,0,0,0">
                <w:txbxContent>
                  <w:p>
                    <w:pPr>
                      <w:spacing w:line="221" w:lineRule="exact" w:before="0"/>
                      <w:ind w:left="0" w:right="-16" w:firstLine="0"/>
                      <w:jc w:val="left"/>
                      <w:rPr>
                        <w:rFonts w:ascii="Calibri"/>
                        <w:sz w:val="22"/>
                      </w:rPr>
                    </w:pPr>
                    <w:r>
                      <w:rPr>
                        <w:rFonts w:ascii="Calibri"/>
                        <w:sz w:val="22"/>
                      </w:rPr>
                      <w:t>Uso del Suelo</w:t>
                    </w:r>
                  </w:p>
                </w:txbxContent>
              </v:textbox>
              <w10:wrap type="none"/>
            </v:shape>
            <v:shape style="position:absolute;left:4125;top:1055;width:941;height:221" type="#_x0000_t202" filled="false" stroked="false">
              <v:textbox inset="0,0,0,0">
                <w:txbxContent>
                  <w:p>
                    <w:pPr>
                      <w:spacing w:line="221" w:lineRule="exact" w:before="0"/>
                      <w:ind w:left="0" w:right="-17" w:firstLine="0"/>
                      <w:jc w:val="left"/>
                      <w:rPr>
                        <w:rFonts w:ascii="Calibri" w:hAnsi="Calibri"/>
                        <w:sz w:val="22"/>
                      </w:rPr>
                    </w:pPr>
                    <w:r>
                      <w:rPr>
                        <w:rFonts w:ascii="Calibri" w:hAnsi="Calibri"/>
                        <w:sz w:val="22"/>
                      </w:rPr>
                      <w:t>Edafología</w:t>
                    </w:r>
                  </w:p>
                </w:txbxContent>
              </v:textbox>
              <w10:wrap type="none"/>
            </v:shape>
            <v:shape style="position:absolute;left:6180;top:1069;width:926;height:221" type="#_x0000_t202" filled="false" stroked="false">
              <v:textbox inset="0,0,0,0">
                <w:txbxContent>
                  <w:p>
                    <w:pPr>
                      <w:spacing w:line="221" w:lineRule="exact" w:before="0"/>
                      <w:ind w:left="0" w:right="-16" w:firstLine="0"/>
                      <w:jc w:val="left"/>
                      <w:rPr>
                        <w:rFonts w:ascii="Calibri" w:hAnsi="Calibri"/>
                        <w:sz w:val="22"/>
                      </w:rPr>
                    </w:pPr>
                    <w:r>
                      <w:rPr>
                        <w:rFonts w:ascii="Calibri" w:hAnsi="Calibri"/>
                        <w:sz w:val="22"/>
                      </w:rPr>
                      <w:t>Hidrología</w:t>
                    </w:r>
                  </w:p>
                </w:txbxContent>
              </v:textbox>
              <w10:wrap type="none"/>
            </v:shape>
            <v:shape style="position:absolute;left:7971;top:1069;width:1118;height:221" type="#_x0000_t202" filled="false" stroked="false">
              <v:textbox inset="0,0,0,0">
                <w:txbxContent>
                  <w:p>
                    <w:pPr>
                      <w:spacing w:line="221" w:lineRule="exact" w:before="0"/>
                      <w:ind w:left="0" w:right="-18" w:firstLine="0"/>
                      <w:jc w:val="left"/>
                      <w:rPr>
                        <w:rFonts w:ascii="Calibri" w:hAnsi="Calibri"/>
                        <w:sz w:val="22"/>
                      </w:rPr>
                    </w:pPr>
                    <w:r>
                      <w:rPr>
                        <w:rFonts w:ascii="Calibri" w:hAnsi="Calibri"/>
                        <w:sz w:val="22"/>
                      </w:rPr>
                      <w:t>Climatología</w:t>
                    </w:r>
                  </w:p>
                </w:txbxContent>
              </v:textbox>
              <w10:wrap type="none"/>
            </v:shape>
            <v:shape style="position:absolute;left:1283;top:1933;width:1010;height:1186" type="#_x0000_t202" filled="false" stroked="false">
              <v:textbox inset="0,0,0,0">
                <w:txbxContent>
                  <w:p>
                    <w:pPr>
                      <w:spacing w:line="205" w:lineRule="exact" w:before="0"/>
                      <w:ind w:left="0" w:right="0" w:firstLine="0"/>
                      <w:jc w:val="center"/>
                      <w:rPr>
                        <w:rFonts w:ascii="Calibri"/>
                        <w:sz w:val="20"/>
                      </w:rPr>
                    </w:pPr>
                    <w:r>
                      <w:rPr>
                        <w:rFonts w:ascii="Calibri"/>
                        <w:sz w:val="20"/>
                      </w:rPr>
                      <w:t>Manejo,</w:t>
                    </w:r>
                  </w:p>
                  <w:p>
                    <w:pPr>
                      <w:spacing w:line="242" w:lineRule="auto" w:before="0"/>
                      <w:ind w:left="0" w:right="0" w:firstLine="0"/>
                      <w:jc w:val="center"/>
                      <w:rPr>
                        <w:rFonts w:ascii="Calibri" w:hAnsi="Calibri"/>
                        <w:sz w:val="20"/>
                      </w:rPr>
                    </w:pPr>
                    <w:r>
                      <w:rPr>
                        <w:rFonts w:ascii="Calibri" w:hAnsi="Calibri"/>
                        <w:sz w:val="20"/>
                      </w:rPr>
                      <w:t>prácticas culturales y factores fisiotécnicos</w:t>
                    </w:r>
                  </w:p>
                </w:txbxContent>
              </v:textbox>
              <w10:wrap type="none"/>
            </v:shape>
            <v:shape style="position:absolute;left:7775;top:1952;width:1150;height:932" type="#_x0000_t202" filled="false" stroked="false">
              <v:textbox inset="0,0,0,0">
                <w:txbxContent>
                  <w:p>
                    <w:pPr>
                      <w:spacing w:line="205" w:lineRule="exact" w:before="0"/>
                      <w:ind w:left="1" w:right="1" w:firstLine="0"/>
                      <w:jc w:val="center"/>
                      <w:rPr>
                        <w:rFonts w:ascii="Calibri" w:hAnsi="Calibri"/>
                        <w:sz w:val="20"/>
                      </w:rPr>
                    </w:pPr>
                    <w:r>
                      <w:rPr>
                        <w:rFonts w:ascii="Calibri" w:hAnsi="Calibri"/>
                        <w:sz w:val="20"/>
                      </w:rPr>
                      <w:t>Precipitación,</w:t>
                    </w:r>
                  </w:p>
                  <w:p>
                    <w:pPr>
                      <w:spacing w:line="237" w:lineRule="auto" w:before="2"/>
                      <w:ind w:left="0" w:right="0" w:firstLine="2"/>
                      <w:jc w:val="center"/>
                      <w:rPr>
                        <w:rFonts w:ascii="Calibri" w:hAnsi="Calibri"/>
                        <w:sz w:val="20"/>
                      </w:rPr>
                    </w:pPr>
                    <w:r>
                      <w:rPr>
                        <w:rFonts w:ascii="Calibri" w:hAnsi="Calibri"/>
                        <w:sz w:val="20"/>
                      </w:rPr>
                      <w:t>Radiación Solar, Temperaturas</w:t>
                    </w:r>
                  </w:p>
                </w:txbxContent>
              </v:textbox>
              <w10:wrap type="none"/>
            </v:shape>
            <v:shape style="position:absolute;left:197;top:3944;width:1070;height:405" type="#_x0000_t202" filled="false" stroked="false">
              <v:textbox inset="0,0,0,0">
                <w:txbxContent>
                  <w:p>
                    <w:pPr>
                      <w:spacing w:line="185" w:lineRule="exact" w:before="0"/>
                      <w:ind w:left="91" w:right="-15" w:hanging="92"/>
                      <w:jc w:val="left"/>
                      <w:rPr>
                        <w:rFonts w:ascii="Calibri" w:hAnsi="Calibri"/>
                        <w:sz w:val="18"/>
                      </w:rPr>
                    </w:pPr>
                    <w:r>
                      <w:rPr>
                        <w:rFonts w:ascii="Calibri" w:hAnsi="Calibri"/>
                        <w:sz w:val="18"/>
                      </w:rPr>
                      <w:t>Características</w:t>
                    </w:r>
                  </w:p>
                  <w:p>
                    <w:pPr>
                      <w:spacing w:line="217" w:lineRule="exact" w:before="1"/>
                      <w:ind w:left="91" w:right="-15" w:firstLine="0"/>
                      <w:jc w:val="left"/>
                      <w:rPr>
                        <w:rFonts w:ascii="Calibri" w:hAnsi="Calibri"/>
                        <w:sz w:val="18"/>
                      </w:rPr>
                    </w:pPr>
                    <w:r>
                      <w:rPr>
                        <w:rFonts w:ascii="Calibri" w:hAnsi="Calibri"/>
                        <w:sz w:val="18"/>
                      </w:rPr>
                      <w:t>Fisiográficas</w:t>
                    </w:r>
                  </w:p>
                </w:txbxContent>
              </v:textbox>
              <w10:wrap type="none"/>
            </v:shape>
            <v:shape style="position:absolute;left:1796;top:3944;width:826;height:183" type="#_x0000_t202" filled="false" stroked="false">
              <v:textbox inset="0,0,0,0">
                <w:txbxContent>
                  <w:p>
                    <w:pPr>
                      <w:spacing w:line="183" w:lineRule="exact" w:before="0"/>
                      <w:ind w:left="0" w:right="-14" w:firstLine="0"/>
                      <w:jc w:val="left"/>
                      <w:rPr>
                        <w:rFonts w:ascii="Calibri" w:hAnsi="Calibri"/>
                        <w:sz w:val="18"/>
                      </w:rPr>
                    </w:pPr>
                    <w:r>
                      <w:rPr>
                        <w:rFonts w:ascii="Calibri" w:hAnsi="Calibri"/>
                        <w:sz w:val="18"/>
                      </w:rPr>
                      <w:t>Vegetación</w:t>
                    </w:r>
                  </w:p>
                </w:txbxContent>
              </v:textbox>
              <w10:wrap type="none"/>
            </v:shape>
            <v:shape style="position:absolute;left:3155;top:3944;width:694;height:405" type="#_x0000_t202" filled="false" stroked="false">
              <v:textbox inset="0,0,0,0">
                <w:txbxContent>
                  <w:p>
                    <w:pPr>
                      <w:spacing w:line="185" w:lineRule="exact" w:before="0"/>
                      <w:ind w:left="33" w:right="-12" w:hanging="34"/>
                      <w:jc w:val="left"/>
                      <w:rPr>
                        <w:rFonts w:ascii="Calibri"/>
                        <w:sz w:val="18"/>
                      </w:rPr>
                    </w:pPr>
                    <w:r>
                      <w:rPr>
                        <w:rFonts w:ascii="Calibri"/>
                        <w:sz w:val="18"/>
                      </w:rPr>
                      <w:t>Unidades</w:t>
                    </w:r>
                  </w:p>
                  <w:p>
                    <w:pPr>
                      <w:spacing w:line="217" w:lineRule="exact" w:before="1"/>
                      <w:ind w:left="33" w:right="-12" w:firstLine="0"/>
                      <w:jc w:val="left"/>
                      <w:rPr>
                        <w:rFonts w:ascii="Calibri"/>
                        <w:sz w:val="18"/>
                      </w:rPr>
                    </w:pPr>
                    <w:r>
                      <w:rPr>
                        <w:rFonts w:ascii="Calibri"/>
                        <w:sz w:val="18"/>
                      </w:rPr>
                      <w:t>de Suelo</w:t>
                    </w:r>
                  </w:p>
                </w:txbxContent>
              </v:textbox>
              <w10:wrap type="none"/>
            </v:shape>
            <v:shape style="position:absolute;left:4442;top:3949;width:1024;height:693" type="#_x0000_t202" filled="false" stroked="false">
              <v:textbox inset="0,0,0,0">
                <w:txbxContent>
                  <w:p>
                    <w:pPr>
                      <w:spacing w:line="205" w:lineRule="exact" w:before="0"/>
                      <w:ind w:left="0" w:right="0" w:firstLine="0"/>
                      <w:jc w:val="center"/>
                      <w:rPr>
                        <w:rFonts w:ascii="Calibri"/>
                        <w:sz w:val="20"/>
                      </w:rPr>
                    </w:pPr>
                    <w:r>
                      <w:rPr>
                        <w:rFonts w:ascii="Calibri"/>
                        <w:sz w:val="20"/>
                      </w:rPr>
                      <w:t>Propiedades</w:t>
                    </w:r>
                  </w:p>
                  <w:p>
                    <w:pPr>
                      <w:spacing w:before="1"/>
                      <w:ind w:left="134" w:right="130" w:hanging="8"/>
                      <w:jc w:val="center"/>
                      <w:rPr>
                        <w:rFonts w:ascii="Calibri" w:hAnsi="Calibri"/>
                        <w:sz w:val="20"/>
                      </w:rPr>
                    </w:pPr>
                    <w:r>
                      <w:rPr>
                        <w:rFonts w:ascii="Calibri" w:hAnsi="Calibri"/>
                        <w:sz w:val="20"/>
                      </w:rPr>
                      <w:t>Físico- Químicas</w:t>
                    </w:r>
                  </w:p>
                </w:txbxContent>
              </v:textbox>
              <w10:wrap type="none"/>
            </v:shape>
            <v:shape style="position:absolute;left:5993;top:3949;width:792;height:448" type="#_x0000_t202" filled="false" stroked="false">
              <v:textbox inset="0,0,0,0">
                <w:txbxContent>
                  <w:p>
                    <w:pPr>
                      <w:spacing w:line="205" w:lineRule="exact" w:before="0"/>
                      <w:ind w:left="0" w:right="0" w:firstLine="0"/>
                      <w:jc w:val="center"/>
                      <w:rPr>
                        <w:rFonts w:ascii="Calibri"/>
                        <w:sz w:val="20"/>
                      </w:rPr>
                    </w:pPr>
                    <w:r>
                      <w:rPr>
                        <w:rFonts w:ascii="Calibri"/>
                        <w:sz w:val="20"/>
                      </w:rPr>
                      <w:t>Aforos de</w:t>
                    </w:r>
                  </w:p>
                  <w:p>
                    <w:pPr>
                      <w:spacing w:line="241" w:lineRule="exact" w:before="1"/>
                      <w:ind w:left="0" w:right="2" w:firstLine="0"/>
                      <w:jc w:val="center"/>
                      <w:rPr>
                        <w:rFonts w:ascii="Calibri"/>
                        <w:sz w:val="20"/>
                      </w:rPr>
                    </w:pPr>
                    <w:r>
                      <w:rPr>
                        <w:rFonts w:ascii="Calibri"/>
                        <w:sz w:val="20"/>
                      </w:rPr>
                      <w:t>Agua</w:t>
                    </w:r>
                  </w:p>
                </w:txbxContent>
              </v:textbox>
              <w10:wrap type="none"/>
            </v:shape>
            <v:shape style="position:absolute;left:8548;top:3944;width:1057;height:183" type="#_x0000_t202" filled="false" stroked="false">
              <v:textbox inset="0,0,0,0">
                <w:txbxContent>
                  <w:p>
                    <w:pPr>
                      <w:spacing w:line="183" w:lineRule="exact" w:before="0"/>
                      <w:ind w:left="0" w:right="-16" w:firstLine="0"/>
                      <w:jc w:val="left"/>
                      <w:rPr>
                        <w:rFonts w:ascii="Calibri" w:hAnsi="Calibri"/>
                        <w:sz w:val="18"/>
                      </w:rPr>
                    </w:pPr>
                    <w:r>
                      <w:rPr>
                        <w:rFonts w:ascii="Calibri" w:hAnsi="Calibri"/>
                        <w:sz w:val="18"/>
                      </w:rPr>
                      <w:t>Serie Histórica</w:t>
                    </w:r>
                  </w:p>
                </w:txbxContent>
              </v:textbox>
              <w10:wrap type="none"/>
            </v:shape>
            <v:shape style="position:absolute;left:707;top:5256;width:2984;height:183" type="#_x0000_t202" filled="false" stroked="false">
              <v:textbox inset="0,0,0,0">
                <w:txbxContent>
                  <w:p>
                    <w:pPr>
                      <w:spacing w:line="182" w:lineRule="exact" w:before="0"/>
                      <w:ind w:left="0" w:right="-19" w:firstLine="0"/>
                      <w:jc w:val="left"/>
                      <w:rPr>
                        <w:rFonts w:ascii="Calibri" w:hAnsi="Calibri"/>
                        <w:sz w:val="18"/>
                      </w:rPr>
                    </w:pPr>
                    <w:r>
                      <w:rPr>
                        <w:rFonts w:ascii="Calibri" w:hAnsi="Calibri"/>
                        <w:sz w:val="18"/>
                      </w:rPr>
                      <w:t>Procesamiento de información en ArcGis</w:t>
                    </w:r>
                  </w:p>
                </w:txbxContent>
              </v:textbox>
              <w10:wrap type="none"/>
            </v:shape>
            <v:shape style="position:absolute;left:6180;top:5280;width:3314;height:442" type="#_x0000_t202" filled="false" stroked="false">
              <v:textbox inset="0,0,0,0">
                <w:txbxContent>
                  <w:p>
                    <w:pPr>
                      <w:spacing w:line="203" w:lineRule="exact" w:before="0"/>
                      <w:ind w:left="0" w:right="0" w:firstLine="0"/>
                      <w:jc w:val="center"/>
                      <w:rPr>
                        <w:rFonts w:ascii="Calibri"/>
                        <w:sz w:val="20"/>
                      </w:rPr>
                    </w:pPr>
                    <w:r>
                      <w:rPr>
                        <w:rFonts w:ascii="Calibri"/>
                        <w:sz w:val="20"/>
                      </w:rPr>
                      <w:t>Bases de datos para alimentar el modelo</w:t>
                    </w:r>
                  </w:p>
                  <w:p>
                    <w:pPr>
                      <w:spacing w:line="239" w:lineRule="exact" w:before="0"/>
                      <w:ind w:left="0" w:right="5" w:firstLine="0"/>
                      <w:jc w:val="center"/>
                      <w:rPr>
                        <w:rFonts w:ascii="Calibri"/>
                        <w:sz w:val="20"/>
                      </w:rPr>
                    </w:pPr>
                    <w:r>
                      <w:rPr>
                        <w:rFonts w:ascii="Calibri"/>
                        <w:sz w:val="20"/>
                      </w:rPr>
                      <w:t>SWAT</w:t>
                    </w:r>
                  </w:p>
                </w:txbxContent>
              </v:textbox>
              <w10:wrap type="none"/>
            </v:shape>
            <v:shape style="position:absolute;left:3338;top:6643;width:3248;height:202" type="#_x0000_t202" filled="false" stroked="false">
              <v:textbox inset="0,0,0,0">
                <w:txbxContent>
                  <w:p>
                    <w:pPr>
                      <w:spacing w:line="202" w:lineRule="exact" w:before="0"/>
                      <w:ind w:left="0" w:right="-15" w:firstLine="0"/>
                      <w:jc w:val="left"/>
                      <w:rPr>
                        <w:rFonts w:ascii="Calibri" w:hAnsi="Calibri"/>
                        <w:sz w:val="20"/>
                      </w:rPr>
                    </w:pPr>
                    <w:r>
                      <w:rPr>
                        <w:rFonts w:ascii="Calibri" w:hAnsi="Calibri"/>
                        <w:sz w:val="20"/>
                      </w:rPr>
                      <w:t>Entrada de datos periodo de calibración</w:t>
                    </w:r>
                  </w:p>
                </w:txbxContent>
              </v:textbox>
              <w10:wrap type="none"/>
            </v:shape>
            <v:shape style="position:absolute;left:812;top:7440;width:2015;height:183" type="#_x0000_t202" filled="false" stroked="false">
              <v:textbox inset="0,0,0,0">
                <w:txbxContent>
                  <w:p>
                    <w:pPr>
                      <w:spacing w:line="182" w:lineRule="exact" w:before="0"/>
                      <w:ind w:left="0" w:right="-17" w:firstLine="0"/>
                      <w:jc w:val="left"/>
                      <w:rPr>
                        <w:rFonts w:ascii="Calibri" w:hAnsi="Calibri"/>
                        <w:sz w:val="18"/>
                      </w:rPr>
                    </w:pPr>
                    <w:r>
                      <w:rPr>
                        <w:rFonts w:ascii="Calibri" w:hAnsi="Calibri"/>
                        <w:sz w:val="18"/>
                      </w:rPr>
                      <w:t>Edición de mapas en ArcGis</w:t>
                    </w:r>
                  </w:p>
                </w:txbxContent>
              </v:textbox>
              <w10:wrap type="none"/>
            </v:shape>
            <v:shape style="position:absolute;left:4188;top:7541;width:1584;height:183" type="#_x0000_t202" filled="false" stroked="false">
              <v:textbox inset="0,0,0,0">
                <w:txbxContent>
                  <w:p>
                    <w:pPr>
                      <w:spacing w:line="182" w:lineRule="exact" w:before="0"/>
                      <w:ind w:left="0" w:right="-16" w:firstLine="0"/>
                      <w:jc w:val="left"/>
                      <w:rPr>
                        <w:rFonts w:ascii="Calibri" w:hAnsi="Calibri"/>
                        <w:sz w:val="18"/>
                      </w:rPr>
                    </w:pPr>
                    <w:r>
                      <w:rPr>
                        <w:rFonts w:ascii="Calibri" w:hAnsi="Calibri"/>
                        <w:sz w:val="18"/>
                      </w:rPr>
                      <w:t>Ajuste de parámetros</w:t>
                    </w:r>
                  </w:p>
                </w:txbxContent>
              </v:textbox>
              <w10:wrap type="none"/>
            </v:shape>
            <v:shape style="position:absolute;left:7429;top:7416;width:1554;height:442" type="#_x0000_t202" filled="false" stroked="false">
              <v:textbox inset="0,0,0,0">
                <w:txbxContent>
                  <w:p>
                    <w:pPr>
                      <w:spacing w:line="203" w:lineRule="exact" w:before="0"/>
                      <w:ind w:left="0" w:right="0" w:firstLine="0"/>
                      <w:jc w:val="center"/>
                      <w:rPr>
                        <w:rFonts w:ascii="Calibri"/>
                        <w:sz w:val="20"/>
                      </w:rPr>
                    </w:pPr>
                    <w:r>
                      <w:rPr>
                        <w:rFonts w:ascii="Calibri"/>
                        <w:sz w:val="20"/>
                      </w:rPr>
                      <w:t>Salida y entrada de</w:t>
                    </w:r>
                  </w:p>
                  <w:p>
                    <w:pPr>
                      <w:spacing w:line="239" w:lineRule="exact" w:before="0"/>
                      <w:ind w:left="0" w:right="3" w:firstLine="0"/>
                      <w:jc w:val="center"/>
                      <w:rPr>
                        <w:rFonts w:ascii="Calibri"/>
                        <w:sz w:val="20"/>
                      </w:rPr>
                    </w:pPr>
                    <w:r>
                      <w:rPr>
                        <w:rFonts w:ascii="Calibri"/>
                        <w:sz w:val="20"/>
                      </w:rPr>
                      <w:t>datos</w:t>
                    </w:r>
                  </w:p>
                </w:txbxContent>
              </v:textbox>
              <w10:wrap type="none"/>
            </v:shape>
            <v:shape style="position:absolute;left:4144;top:8261;width:1708;height:183" type="#_x0000_t202" filled="false" stroked="false">
              <v:textbox inset="0,0,0,0">
                <w:txbxContent>
                  <w:p>
                    <w:pPr>
                      <w:spacing w:line="182" w:lineRule="exact" w:before="0"/>
                      <w:ind w:left="0" w:right="-17" w:firstLine="0"/>
                      <w:jc w:val="left"/>
                      <w:rPr>
                        <w:rFonts w:ascii="Calibri" w:hAnsi="Calibri"/>
                        <w:sz w:val="18"/>
                      </w:rPr>
                    </w:pPr>
                    <w:r>
                      <w:rPr>
                        <w:rFonts w:ascii="Calibri" w:hAnsi="Calibri"/>
                        <w:sz w:val="18"/>
                      </w:rPr>
                      <w:t>Análisis de Información</w:t>
                    </w:r>
                  </w:p>
                </w:txbxContent>
              </v:textbox>
              <w10:wrap type="none"/>
            </v:shape>
            <v:shape style="position:absolute;left:4471;top:9024;width:1052;height:222" type="#_x0000_t202" filled="false" stroked="false">
              <v:textbox inset="0,0,0,0">
                <w:txbxContent>
                  <w:p>
                    <w:pPr>
                      <w:spacing w:line="221" w:lineRule="exact" w:before="0"/>
                      <w:ind w:left="0" w:right="-19" w:firstLine="0"/>
                      <w:jc w:val="left"/>
                      <w:rPr>
                        <w:rFonts w:ascii="Calibri"/>
                        <w:sz w:val="22"/>
                      </w:rPr>
                    </w:pPr>
                    <w:r>
                      <w:rPr>
                        <w:rFonts w:ascii="Calibri"/>
                        <w:sz w:val="22"/>
                      </w:rPr>
                      <w:t>Documento</w:t>
                    </w:r>
                  </w:p>
                </w:txbxContent>
              </v:textbox>
              <w10:wrap type="none"/>
            </v:shape>
          </v:group>
        </w:pict>
      </w:r>
      <w:r>
        <w:rPr>
          <w:sz w:val="20"/>
        </w:rPr>
      </w:r>
    </w:p>
    <w:p>
      <w:pPr>
        <w:pStyle w:val="BodyText"/>
        <w:spacing w:before="7"/>
        <w:rPr>
          <w:sz w:val="14"/>
        </w:rPr>
      </w:pPr>
    </w:p>
    <w:p>
      <w:pPr>
        <w:spacing w:before="73"/>
        <w:ind w:left="2094" w:right="2272" w:firstLine="0"/>
        <w:jc w:val="center"/>
        <w:rPr>
          <w:sz w:val="22"/>
        </w:rPr>
      </w:pPr>
      <w:r>
        <w:rPr>
          <w:sz w:val="22"/>
        </w:rPr>
        <w:t>Fuente: Torres, 2000.</w:t>
      </w:r>
    </w:p>
    <w:p>
      <w:pPr>
        <w:pStyle w:val="Heading1"/>
        <w:spacing w:before="2"/>
        <w:ind w:left="2094" w:right="2274"/>
        <w:jc w:val="center"/>
      </w:pPr>
      <w:bookmarkStart w:name="_bookmark50" w:id="72"/>
      <w:bookmarkEnd w:id="72"/>
      <w:r>
        <w:rPr>
          <w:b w:val="0"/>
        </w:rPr>
      </w:r>
      <w:r>
        <w:rPr/>
        <w:t>Figura 19. Esquema de trabajo del modelo SWAT.</w:t>
      </w:r>
    </w:p>
    <w:p>
      <w:pPr>
        <w:pStyle w:val="BodyText"/>
        <w:rPr>
          <w:b/>
        </w:rPr>
      </w:pPr>
    </w:p>
    <w:p>
      <w:pPr>
        <w:pStyle w:val="BodyText"/>
        <w:spacing w:before="3"/>
        <w:rPr>
          <w:b/>
          <w:sz w:val="30"/>
        </w:rPr>
      </w:pPr>
    </w:p>
    <w:p>
      <w:pPr>
        <w:pStyle w:val="BodyText"/>
        <w:spacing w:line="360" w:lineRule="auto"/>
        <w:ind w:left="216" w:right="392"/>
        <w:jc w:val="both"/>
      </w:pPr>
      <w:r>
        <w:rPr/>
        <w:t>Como se mencionó anteriormente, en los siguientes apartados se describen los datos necesarios dentro de cada grupo de archivo del Arc SWAT para realizar la simulación hidrológica,</w:t>
      </w:r>
      <w:r>
        <w:rPr>
          <w:spacing w:val="-9"/>
        </w:rPr>
        <w:t> </w:t>
      </w:r>
      <w:r>
        <w:rPr/>
        <w:t>asimismo</w:t>
      </w:r>
      <w:r>
        <w:rPr>
          <w:spacing w:val="-11"/>
        </w:rPr>
        <w:t> </w:t>
      </w:r>
      <w:r>
        <w:rPr/>
        <w:t>se</w:t>
      </w:r>
      <w:r>
        <w:rPr>
          <w:spacing w:val="-11"/>
        </w:rPr>
        <w:t> </w:t>
      </w:r>
      <w:r>
        <w:rPr/>
        <w:t>mencionan</w:t>
      </w:r>
      <w:r>
        <w:rPr>
          <w:spacing w:val="-11"/>
        </w:rPr>
        <w:t> </w:t>
      </w:r>
      <w:r>
        <w:rPr/>
        <w:t>las</w:t>
      </w:r>
      <w:r>
        <w:rPr>
          <w:spacing w:val="-11"/>
        </w:rPr>
        <w:t> </w:t>
      </w:r>
      <w:r>
        <w:rPr/>
        <w:t>cifras</w:t>
      </w:r>
      <w:r>
        <w:rPr>
          <w:spacing w:val="-15"/>
        </w:rPr>
        <w:t> </w:t>
      </w:r>
      <w:r>
        <w:rPr/>
        <w:t>que</w:t>
      </w:r>
      <w:r>
        <w:rPr>
          <w:spacing w:val="-11"/>
        </w:rPr>
        <w:t> </w:t>
      </w:r>
      <w:r>
        <w:rPr/>
        <w:t>se</w:t>
      </w:r>
      <w:r>
        <w:rPr>
          <w:spacing w:val="-11"/>
        </w:rPr>
        <w:t> </w:t>
      </w:r>
      <w:r>
        <w:rPr/>
        <w:t>consideraron</w:t>
      </w:r>
      <w:r>
        <w:rPr>
          <w:spacing w:val="-11"/>
        </w:rPr>
        <w:t> </w:t>
      </w:r>
      <w:r>
        <w:rPr/>
        <w:t>para</w:t>
      </w:r>
      <w:r>
        <w:rPr>
          <w:spacing w:val="-15"/>
        </w:rPr>
        <w:t> </w:t>
      </w:r>
      <w:r>
        <w:rPr/>
        <w:t>el</w:t>
      </w:r>
      <w:r>
        <w:rPr>
          <w:spacing w:val="-16"/>
        </w:rPr>
        <w:t> </w:t>
      </w:r>
      <w:r>
        <w:rPr/>
        <w:t>caso</w:t>
      </w:r>
      <w:r>
        <w:rPr>
          <w:spacing w:val="-11"/>
        </w:rPr>
        <w:t> </w:t>
      </w:r>
      <w:r>
        <w:rPr/>
        <w:t>de</w:t>
      </w:r>
      <w:r>
        <w:rPr>
          <w:spacing w:val="-16"/>
        </w:rPr>
        <w:t> </w:t>
      </w:r>
      <w:r>
        <w:rPr/>
        <w:t>la</w:t>
      </w:r>
      <w:r>
        <w:rPr>
          <w:spacing w:val="-16"/>
        </w:rPr>
        <w:t> </w:t>
      </w:r>
      <w:r>
        <w:rPr/>
        <w:t>cuenca</w:t>
      </w:r>
    </w:p>
    <w:p>
      <w:pPr>
        <w:spacing w:after="0" w:line="360" w:lineRule="auto"/>
        <w:jc w:val="both"/>
        <w:sectPr>
          <w:pgSz w:w="12240" w:h="15840"/>
          <w:pgMar w:header="0" w:footer="1473" w:top="1500" w:bottom="1660" w:left="1200" w:right="1020"/>
        </w:sectPr>
      </w:pPr>
    </w:p>
    <w:p>
      <w:pPr>
        <w:pStyle w:val="BodyText"/>
        <w:spacing w:line="362" w:lineRule="auto" w:before="49"/>
        <w:ind w:left="116" w:right="118"/>
      </w:pPr>
      <w:r>
        <w:rPr/>
        <w:t>El Tejocote obtenidas de información bibliográfica, de campo y de estudios realizados de la misma zona por Torres, (2000) y Fernández (1996).</w:t>
      </w:r>
    </w:p>
    <w:p>
      <w:pPr>
        <w:pStyle w:val="BodyText"/>
      </w:pPr>
    </w:p>
    <w:p>
      <w:pPr>
        <w:pStyle w:val="BodyText"/>
        <w:spacing w:before="7"/>
        <w:rPr>
          <w:sz w:val="34"/>
        </w:rPr>
      </w:pPr>
    </w:p>
    <w:p>
      <w:pPr>
        <w:pStyle w:val="Heading1"/>
        <w:numPr>
          <w:ilvl w:val="2"/>
          <w:numId w:val="5"/>
        </w:numPr>
        <w:tabs>
          <w:tab w:pos="707" w:val="left" w:leader="none"/>
        </w:tabs>
        <w:spacing w:line="240" w:lineRule="auto" w:before="0" w:after="0"/>
        <w:ind w:left="706" w:right="0" w:hanging="590"/>
        <w:jc w:val="left"/>
      </w:pPr>
      <w:bookmarkStart w:name="_bookmark51" w:id="73"/>
      <w:bookmarkEnd w:id="73"/>
      <w:r>
        <w:rPr>
          <w:b w:val="0"/>
        </w:rPr>
      </w:r>
      <w:bookmarkStart w:name="_bookmark51" w:id="74"/>
      <w:bookmarkEnd w:id="74"/>
      <w:r>
        <w:rPr/>
        <w:t>Dat</w:t>
      </w:r>
      <w:r>
        <w:rPr/>
        <w:t>os generales </w:t>
      </w:r>
      <w:r>
        <w:rPr>
          <w:spacing w:val="-3"/>
        </w:rPr>
        <w:t>de </w:t>
      </w:r>
      <w:r>
        <w:rPr/>
        <w:t>la cuenca (ARCHIVO</w:t>
      </w:r>
      <w:r>
        <w:rPr>
          <w:spacing w:val="-5"/>
        </w:rPr>
        <w:t> </w:t>
      </w:r>
      <w:r>
        <w:rPr/>
        <w:t>BSN)</w:t>
      </w:r>
    </w:p>
    <w:p>
      <w:pPr>
        <w:pStyle w:val="BodyText"/>
        <w:rPr>
          <w:b/>
        </w:rPr>
      </w:pPr>
    </w:p>
    <w:p>
      <w:pPr>
        <w:pStyle w:val="BodyText"/>
        <w:spacing w:before="5"/>
        <w:rPr>
          <w:b/>
          <w:sz w:val="21"/>
        </w:rPr>
      </w:pPr>
    </w:p>
    <w:p>
      <w:pPr>
        <w:pStyle w:val="ListParagraph"/>
        <w:numPr>
          <w:ilvl w:val="0"/>
          <w:numId w:val="29"/>
        </w:numPr>
        <w:tabs>
          <w:tab w:pos="837" w:val="left" w:leader="none"/>
        </w:tabs>
        <w:spacing w:line="355" w:lineRule="auto" w:before="1" w:after="0"/>
        <w:ind w:left="837" w:right="115" w:hanging="361"/>
        <w:jc w:val="both"/>
        <w:rPr>
          <w:sz w:val="26"/>
        </w:rPr>
      </w:pPr>
      <w:r>
        <w:rPr>
          <w:i/>
          <w:sz w:val="26"/>
        </w:rPr>
        <w:t>Título</w:t>
      </w:r>
      <w:r>
        <w:rPr>
          <w:sz w:val="26"/>
        </w:rPr>
        <w:t>. </w:t>
      </w:r>
      <w:r>
        <w:rPr>
          <w:spacing w:val="-3"/>
          <w:sz w:val="26"/>
        </w:rPr>
        <w:t>La </w:t>
      </w:r>
      <w:r>
        <w:rPr>
          <w:sz w:val="26"/>
        </w:rPr>
        <w:t>primera línea es reservada para una descripción. </w:t>
      </w:r>
      <w:r>
        <w:rPr>
          <w:spacing w:val="-3"/>
          <w:sz w:val="26"/>
        </w:rPr>
        <w:t>La </w:t>
      </w:r>
      <w:r>
        <w:rPr>
          <w:sz w:val="26"/>
        </w:rPr>
        <w:t>descripción puede tomar hasta 80 espacios</w:t>
      </w:r>
      <w:r>
        <w:rPr>
          <w:spacing w:val="-9"/>
          <w:sz w:val="26"/>
        </w:rPr>
        <w:t> </w:t>
      </w:r>
      <w:r>
        <w:rPr>
          <w:sz w:val="26"/>
        </w:rPr>
        <w:t>(opcional).</w:t>
      </w:r>
    </w:p>
    <w:p>
      <w:pPr>
        <w:pStyle w:val="BodyText"/>
      </w:pPr>
    </w:p>
    <w:p>
      <w:pPr>
        <w:pStyle w:val="ListParagraph"/>
        <w:numPr>
          <w:ilvl w:val="0"/>
          <w:numId w:val="29"/>
        </w:numPr>
        <w:tabs>
          <w:tab w:pos="837" w:val="left" w:leader="none"/>
        </w:tabs>
        <w:spacing w:line="357" w:lineRule="auto" w:before="157" w:after="0"/>
        <w:ind w:left="837" w:right="112" w:hanging="361"/>
        <w:jc w:val="both"/>
        <w:rPr>
          <w:sz w:val="26"/>
        </w:rPr>
      </w:pPr>
      <w:r>
        <w:rPr>
          <w:i/>
          <w:sz w:val="26"/>
        </w:rPr>
        <w:t>Área de la cuenca en km</w:t>
      </w:r>
      <w:r>
        <w:rPr>
          <w:i/>
          <w:position w:val="8"/>
          <w:sz w:val="17"/>
        </w:rPr>
        <w:t>2 </w:t>
      </w:r>
      <w:r>
        <w:rPr>
          <w:i/>
          <w:sz w:val="26"/>
        </w:rPr>
        <w:t>(DA_KM). </w:t>
      </w:r>
      <w:r>
        <w:rPr>
          <w:spacing w:val="-3"/>
          <w:sz w:val="26"/>
        </w:rPr>
        <w:t>Se </w:t>
      </w:r>
      <w:r>
        <w:rPr>
          <w:sz w:val="26"/>
        </w:rPr>
        <w:t>incluye el área de la cuenca en kilómetros cuadrados, el modelo no está limitado por el área de drenaje. El dato para la superficie drenable de la cuenca, cuyo límite fue la salida de la misma es de 177.31 km</w:t>
      </w:r>
      <w:r>
        <w:rPr>
          <w:position w:val="9"/>
          <w:sz w:val="16"/>
        </w:rPr>
        <w:t>2</w:t>
      </w:r>
      <w:r>
        <w:rPr>
          <w:sz w:val="26"/>
        </w:rPr>
        <w:t>, obtenido mediante el cálculo de la</w:t>
      </w:r>
      <w:r>
        <w:rPr>
          <w:spacing w:val="-8"/>
          <w:sz w:val="26"/>
        </w:rPr>
        <w:t> </w:t>
      </w:r>
      <w:r>
        <w:rPr>
          <w:sz w:val="26"/>
        </w:rPr>
        <w:t>interface.</w:t>
      </w:r>
    </w:p>
    <w:p>
      <w:pPr>
        <w:pStyle w:val="BodyText"/>
        <w:spacing w:before="4"/>
        <w:rPr>
          <w:sz w:val="39"/>
        </w:rPr>
      </w:pPr>
    </w:p>
    <w:p>
      <w:pPr>
        <w:pStyle w:val="ListParagraph"/>
        <w:numPr>
          <w:ilvl w:val="0"/>
          <w:numId w:val="29"/>
        </w:numPr>
        <w:tabs>
          <w:tab w:pos="837" w:val="left" w:leader="none"/>
        </w:tabs>
        <w:spacing w:line="357" w:lineRule="auto" w:before="0" w:after="0"/>
        <w:ind w:left="837" w:right="112" w:hanging="361"/>
        <w:jc w:val="both"/>
        <w:rPr>
          <w:sz w:val="26"/>
        </w:rPr>
      </w:pPr>
      <w:r>
        <w:rPr>
          <w:i/>
          <w:sz w:val="26"/>
        </w:rPr>
        <w:t>Número del pesticida que va a ser direccionado a través de la red de canales de la </w:t>
      </w:r>
      <w:r>
        <w:rPr>
          <w:i/>
          <w:sz w:val="26"/>
        </w:rPr>
        <w:t>cuenca (IRTPEST)</w:t>
      </w:r>
      <w:r>
        <w:rPr>
          <w:sz w:val="26"/>
        </w:rPr>
        <w:t>. Aunque más de un tipo de pesticidas puede ser aplicado a una URH, el modelo monitorea el movimiento de sólo un pesticida a través de la red de canales. Este valor fue de 32 correspondiente </w:t>
      </w:r>
      <w:r>
        <w:rPr>
          <w:spacing w:val="-3"/>
          <w:sz w:val="26"/>
        </w:rPr>
        <w:t>al </w:t>
      </w:r>
      <w:r>
        <w:rPr>
          <w:sz w:val="26"/>
        </w:rPr>
        <w:t>Furadán, ya que es el pesticida que se utiliza en la cuenca en mayor</w:t>
      </w:r>
      <w:r>
        <w:rPr>
          <w:spacing w:val="-9"/>
          <w:sz w:val="26"/>
        </w:rPr>
        <w:t> </w:t>
      </w:r>
      <w:r>
        <w:rPr>
          <w:sz w:val="26"/>
        </w:rPr>
        <w:t>cantidad.</w:t>
      </w:r>
    </w:p>
    <w:p>
      <w:pPr>
        <w:pStyle w:val="BodyText"/>
      </w:pPr>
    </w:p>
    <w:p>
      <w:pPr>
        <w:pStyle w:val="ListParagraph"/>
        <w:numPr>
          <w:ilvl w:val="0"/>
          <w:numId w:val="29"/>
        </w:numPr>
        <w:tabs>
          <w:tab w:pos="837" w:val="left" w:leader="none"/>
        </w:tabs>
        <w:spacing w:line="357" w:lineRule="auto" w:before="159" w:after="0"/>
        <w:ind w:left="837" w:right="110" w:hanging="361"/>
        <w:jc w:val="both"/>
        <w:rPr>
          <w:sz w:val="26"/>
        </w:rPr>
      </w:pPr>
      <w:r>
        <w:rPr>
          <w:i/>
          <w:sz w:val="26"/>
        </w:rPr>
        <w:t>Almacenamiento inicial de agua en el suelo como fracción del contenido de agua a </w:t>
      </w:r>
      <w:r>
        <w:rPr>
          <w:i/>
          <w:sz w:val="26"/>
        </w:rPr>
        <w:t>capacidad de campo (FFCB). </w:t>
      </w:r>
      <w:r>
        <w:rPr>
          <w:sz w:val="26"/>
        </w:rPr>
        <w:t>Todos los suelos en la misma cuenca inician con la misma fracción. </w:t>
      </w:r>
      <w:r>
        <w:rPr>
          <w:spacing w:val="-3"/>
          <w:sz w:val="26"/>
        </w:rPr>
        <w:t>Si </w:t>
      </w:r>
      <w:r>
        <w:rPr>
          <w:sz w:val="26"/>
        </w:rPr>
        <w:t>no se da un valor de FFCB, el modelo lo calculará en función</w:t>
      </w:r>
      <w:r>
        <w:rPr>
          <w:spacing w:val="-32"/>
          <w:sz w:val="26"/>
        </w:rPr>
        <w:t> </w:t>
      </w:r>
      <w:r>
        <w:rPr>
          <w:sz w:val="26"/>
        </w:rPr>
        <w:t>de la precipitación promedio anual. FFCB deberá estar entre 0.0 </w:t>
      </w:r>
      <w:r>
        <w:rPr>
          <w:i/>
          <w:sz w:val="26"/>
        </w:rPr>
        <w:t>y </w:t>
      </w:r>
      <w:r>
        <w:rPr>
          <w:sz w:val="26"/>
        </w:rPr>
        <w:t>1.0. El método de default es permitir al modelo calcular FFCB (FFCB=0.0). El valor fue de 0.2, obtenido de las diferencias entre PMP y CC de los suelos de la</w:t>
      </w:r>
      <w:r>
        <w:rPr>
          <w:spacing w:val="-11"/>
          <w:sz w:val="26"/>
        </w:rPr>
        <w:t> </w:t>
      </w:r>
      <w:r>
        <w:rPr>
          <w:sz w:val="26"/>
        </w:rPr>
        <w:t>cuenca.</w:t>
      </w:r>
    </w:p>
    <w:p>
      <w:pPr>
        <w:pStyle w:val="BodyText"/>
        <w:spacing w:before="3"/>
        <w:rPr>
          <w:sz w:val="29"/>
        </w:rPr>
      </w:pPr>
    </w:p>
    <w:p>
      <w:pPr>
        <w:pStyle w:val="ListParagraph"/>
        <w:numPr>
          <w:ilvl w:val="0"/>
          <w:numId w:val="29"/>
        </w:numPr>
        <w:tabs>
          <w:tab w:pos="837" w:val="left" w:leader="none"/>
        </w:tabs>
        <w:spacing w:line="440" w:lineRule="atLeast" w:before="0" w:after="0"/>
        <w:ind w:left="837" w:right="114" w:hanging="361"/>
        <w:jc w:val="both"/>
        <w:rPr>
          <w:sz w:val="26"/>
        </w:rPr>
      </w:pPr>
      <w:r>
        <w:rPr>
          <w:i/>
          <w:sz w:val="26"/>
        </w:rPr>
        <w:t>Parámetro lineal para calcular la máxima cantidad de sedimento que puede ser </w:t>
      </w:r>
      <w:r>
        <w:rPr>
          <w:i/>
          <w:position w:val="2"/>
          <w:sz w:val="26"/>
        </w:rPr>
        <w:t>adicionado</w:t>
      </w:r>
      <w:r>
        <w:rPr>
          <w:i/>
          <w:spacing w:val="-15"/>
          <w:position w:val="2"/>
          <w:sz w:val="26"/>
        </w:rPr>
        <w:t> </w:t>
      </w:r>
      <w:r>
        <w:rPr>
          <w:i/>
          <w:position w:val="2"/>
          <w:sz w:val="26"/>
        </w:rPr>
        <w:t>durante</w:t>
      </w:r>
      <w:r>
        <w:rPr>
          <w:i/>
          <w:spacing w:val="-16"/>
          <w:position w:val="2"/>
          <w:sz w:val="26"/>
        </w:rPr>
        <w:t> </w:t>
      </w:r>
      <w:r>
        <w:rPr>
          <w:i/>
          <w:position w:val="2"/>
          <w:sz w:val="26"/>
        </w:rPr>
        <w:t>el</w:t>
      </w:r>
      <w:r>
        <w:rPr>
          <w:i/>
          <w:spacing w:val="-16"/>
          <w:position w:val="2"/>
          <w:sz w:val="26"/>
        </w:rPr>
        <w:t> </w:t>
      </w:r>
      <w:r>
        <w:rPr>
          <w:i/>
          <w:position w:val="2"/>
          <w:sz w:val="26"/>
        </w:rPr>
        <w:t>transito</w:t>
      </w:r>
      <w:r>
        <w:rPr>
          <w:i/>
          <w:spacing w:val="-16"/>
          <w:position w:val="2"/>
          <w:sz w:val="26"/>
        </w:rPr>
        <w:t> </w:t>
      </w:r>
      <w:r>
        <w:rPr>
          <w:i/>
          <w:position w:val="2"/>
          <w:sz w:val="26"/>
        </w:rPr>
        <w:t>del</w:t>
      </w:r>
      <w:r>
        <w:rPr>
          <w:i/>
          <w:spacing w:val="-16"/>
          <w:position w:val="2"/>
          <w:sz w:val="26"/>
        </w:rPr>
        <w:t> </w:t>
      </w:r>
      <w:r>
        <w:rPr>
          <w:i/>
          <w:position w:val="2"/>
          <w:sz w:val="26"/>
        </w:rPr>
        <w:t>sedimento</w:t>
      </w:r>
      <w:r>
        <w:rPr>
          <w:i/>
          <w:spacing w:val="-15"/>
          <w:position w:val="2"/>
          <w:sz w:val="26"/>
        </w:rPr>
        <w:t> </w:t>
      </w:r>
      <w:r>
        <w:rPr>
          <w:i/>
          <w:position w:val="2"/>
          <w:sz w:val="26"/>
        </w:rPr>
        <w:t>en</w:t>
      </w:r>
      <w:r>
        <w:rPr>
          <w:i/>
          <w:spacing w:val="-16"/>
          <w:position w:val="2"/>
          <w:sz w:val="26"/>
        </w:rPr>
        <w:t> </w:t>
      </w:r>
      <w:r>
        <w:rPr>
          <w:i/>
          <w:position w:val="2"/>
          <w:sz w:val="26"/>
        </w:rPr>
        <w:t>el</w:t>
      </w:r>
      <w:r>
        <w:rPr>
          <w:i/>
          <w:spacing w:val="-16"/>
          <w:position w:val="2"/>
          <w:sz w:val="26"/>
        </w:rPr>
        <w:t> </w:t>
      </w:r>
      <w:r>
        <w:rPr>
          <w:i/>
          <w:position w:val="2"/>
          <w:sz w:val="26"/>
        </w:rPr>
        <w:t>canal</w:t>
      </w:r>
      <w:r>
        <w:rPr>
          <w:i/>
          <w:spacing w:val="-16"/>
          <w:position w:val="2"/>
          <w:sz w:val="26"/>
        </w:rPr>
        <w:t> </w:t>
      </w:r>
      <w:r>
        <w:rPr>
          <w:i/>
          <w:position w:val="2"/>
          <w:sz w:val="26"/>
        </w:rPr>
        <w:t>(SPCON).</w:t>
      </w:r>
      <w:r>
        <w:rPr>
          <w:i/>
          <w:spacing w:val="-12"/>
          <w:position w:val="2"/>
          <w:sz w:val="26"/>
        </w:rPr>
        <w:t> </w:t>
      </w:r>
      <w:r>
        <w:rPr>
          <w:position w:val="2"/>
          <w:sz w:val="26"/>
        </w:rPr>
        <w:t>(DEG</w:t>
      </w:r>
      <w:r>
        <w:rPr>
          <w:sz w:val="17"/>
        </w:rPr>
        <w:t>r</w:t>
      </w:r>
      <w:r>
        <w:rPr>
          <w:spacing w:val="7"/>
          <w:sz w:val="17"/>
        </w:rPr>
        <w:t> </w:t>
      </w:r>
      <w:r>
        <w:rPr>
          <w:position w:val="2"/>
          <w:sz w:val="26"/>
        </w:rPr>
        <w:t>=</w:t>
      </w:r>
      <w:r>
        <w:rPr>
          <w:spacing w:val="-18"/>
          <w:position w:val="2"/>
          <w:sz w:val="26"/>
        </w:rPr>
        <w:t> </w:t>
      </w:r>
      <w:r>
        <w:rPr>
          <w:position w:val="2"/>
          <w:sz w:val="26"/>
        </w:rPr>
        <w:t>SPCON</w:t>
      </w:r>
    </w:p>
    <w:p>
      <w:pPr>
        <w:spacing w:after="0" w:line="440" w:lineRule="atLeast"/>
        <w:jc w:val="both"/>
        <w:rPr>
          <w:sz w:val="26"/>
        </w:rPr>
        <w:sectPr>
          <w:pgSz w:w="12240" w:h="15840"/>
          <w:pgMar w:header="0" w:footer="1473" w:top="1360" w:bottom="1660" w:left="1300" w:right="1300"/>
        </w:sectPr>
      </w:pPr>
    </w:p>
    <w:p>
      <w:pPr>
        <w:pStyle w:val="BodyText"/>
        <w:spacing w:line="362" w:lineRule="auto" w:before="62"/>
        <w:ind w:left="476" w:right="115"/>
        <w:jc w:val="both"/>
      </w:pPr>
      <w:r>
        <w:rPr>
          <w:position w:val="2"/>
        </w:rPr>
        <w:t>x</w:t>
      </w:r>
      <w:r>
        <w:rPr>
          <w:spacing w:val="-10"/>
          <w:position w:val="2"/>
        </w:rPr>
        <w:t> </w:t>
      </w:r>
      <w:r>
        <w:rPr>
          <w:position w:val="2"/>
        </w:rPr>
        <w:t>(V</w:t>
      </w:r>
      <w:r>
        <w:rPr>
          <w:sz w:val="16"/>
        </w:rPr>
        <w:t>c</w:t>
      </w:r>
      <w:r>
        <w:rPr>
          <w:position w:val="2"/>
        </w:rPr>
        <w:t>)</w:t>
      </w:r>
      <w:r>
        <w:rPr>
          <w:position w:val="11"/>
          <w:sz w:val="17"/>
        </w:rPr>
        <w:t>SPEXP</w:t>
      </w:r>
      <w:r>
        <w:rPr>
          <w:spacing w:val="16"/>
          <w:position w:val="11"/>
          <w:sz w:val="17"/>
        </w:rPr>
        <w:t> </w:t>
      </w:r>
      <w:r>
        <w:rPr>
          <w:position w:val="2"/>
        </w:rPr>
        <w:t>donde</w:t>
      </w:r>
      <w:r>
        <w:rPr>
          <w:spacing w:val="-10"/>
          <w:position w:val="2"/>
        </w:rPr>
        <w:t> </w:t>
      </w:r>
      <w:r>
        <w:rPr>
          <w:position w:val="2"/>
        </w:rPr>
        <w:t>DEG</w:t>
      </w:r>
      <w:r>
        <w:rPr>
          <w:sz w:val="16"/>
        </w:rPr>
        <w:t>r</w:t>
      </w:r>
      <w:r>
        <w:rPr>
          <w:position w:val="2"/>
        </w:rPr>
        <w:t>,</w:t>
      </w:r>
      <w:r>
        <w:rPr>
          <w:spacing w:val="-8"/>
          <w:position w:val="2"/>
        </w:rPr>
        <w:t> </w:t>
      </w:r>
      <w:r>
        <w:rPr>
          <w:position w:val="2"/>
        </w:rPr>
        <w:t>es</w:t>
      </w:r>
      <w:r>
        <w:rPr>
          <w:spacing w:val="-10"/>
          <w:position w:val="2"/>
        </w:rPr>
        <w:t> </w:t>
      </w:r>
      <w:r>
        <w:rPr>
          <w:position w:val="2"/>
        </w:rPr>
        <w:t>la</w:t>
      </w:r>
      <w:r>
        <w:rPr>
          <w:spacing w:val="-10"/>
          <w:position w:val="2"/>
        </w:rPr>
        <w:t> </w:t>
      </w:r>
      <w:r>
        <w:rPr>
          <w:position w:val="2"/>
        </w:rPr>
        <w:t>cantidad</w:t>
      </w:r>
      <w:r>
        <w:rPr>
          <w:spacing w:val="-10"/>
          <w:position w:val="2"/>
        </w:rPr>
        <w:t> </w:t>
      </w:r>
      <w:r>
        <w:rPr>
          <w:position w:val="2"/>
        </w:rPr>
        <w:t>de</w:t>
      </w:r>
      <w:r>
        <w:rPr>
          <w:spacing w:val="-10"/>
          <w:position w:val="2"/>
        </w:rPr>
        <w:t> </w:t>
      </w:r>
      <w:r>
        <w:rPr>
          <w:position w:val="2"/>
        </w:rPr>
        <w:t>sedimento</w:t>
      </w:r>
      <w:r>
        <w:rPr>
          <w:spacing w:val="-10"/>
          <w:position w:val="2"/>
        </w:rPr>
        <w:t> </w:t>
      </w:r>
      <w:r>
        <w:rPr>
          <w:position w:val="2"/>
        </w:rPr>
        <w:t>adicionado</w:t>
      </w:r>
      <w:r>
        <w:rPr>
          <w:spacing w:val="-8"/>
          <w:position w:val="2"/>
        </w:rPr>
        <w:t> </w:t>
      </w:r>
      <w:r>
        <w:rPr>
          <w:i/>
          <w:position w:val="2"/>
        </w:rPr>
        <w:t>y</w:t>
      </w:r>
      <w:r>
        <w:rPr>
          <w:i/>
          <w:spacing w:val="-10"/>
          <w:position w:val="2"/>
        </w:rPr>
        <w:t> </w:t>
      </w:r>
      <w:r>
        <w:rPr>
          <w:position w:val="2"/>
        </w:rPr>
        <w:t>V</w:t>
      </w:r>
      <w:r>
        <w:rPr>
          <w:sz w:val="16"/>
        </w:rPr>
        <w:t>c</w:t>
      </w:r>
      <w:r>
        <w:rPr>
          <w:spacing w:val="13"/>
          <w:sz w:val="16"/>
        </w:rPr>
        <w:t> </w:t>
      </w:r>
      <w:r>
        <w:rPr>
          <w:position w:val="2"/>
        </w:rPr>
        <w:t>es</w:t>
      </w:r>
      <w:r>
        <w:rPr>
          <w:spacing w:val="-10"/>
          <w:position w:val="2"/>
        </w:rPr>
        <w:t> </w:t>
      </w:r>
      <w:r>
        <w:rPr>
          <w:position w:val="2"/>
        </w:rPr>
        <w:t>la</w:t>
      </w:r>
      <w:r>
        <w:rPr>
          <w:spacing w:val="-10"/>
          <w:position w:val="2"/>
        </w:rPr>
        <w:t> </w:t>
      </w:r>
      <w:r>
        <w:rPr>
          <w:position w:val="2"/>
        </w:rPr>
        <w:t>velocidad </w:t>
      </w:r>
      <w:r>
        <w:rPr/>
        <w:t>del flujo en el canal. SPCON debería variar entre 0.0001 </w:t>
      </w:r>
      <w:r>
        <w:rPr>
          <w:i/>
        </w:rPr>
        <w:t>y </w:t>
      </w:r>
      <w:r>
        <w:rPr/>
        <w:t>0.01. El valor incluido para</w:t>
      </w:r>
      <w:r>
        <w:rPr>
          <w:spacing w:val="-5"/>
        </w:rPr>
        <w:t> </w:t>
      </w:r>
      <w:r>
        <w:rPr/>
        <w:t>este</w:t>
      </w:r>
      <w:r>
        <w:rPr>
          <w:spacing w:val="-5"/>
        </w:rPr>
        <w:t> </w:t>
      </w:r>
      <w:r>
        <w:rPr/>
        <w:t>parámetro</w:t>
      </w:r>
      <w:r>
        <w:rPr>
          <w:spacing w:val="-5"/>
        </w:rPr>
        <w:t> </w:t>
      </w:r>
      <w:r>
        <w:rPr/>
        <w:t>fue</w:t>
      </w:r>
      <w:r>
        <w:rPr>
          <w:spacing w:val="-5"/>
        </w:rPr>
        <w:t> </w:t>
      </w:r>
      <w:r>
        <w:rPr/>
        <w:t>de</w:t>
      </w:r>
      <w:r>
        <w:rPr>
          <w:spacing w:val="-5"/>
        </w:rPr>
        <w:t> </w:t>
      </w:r>
      <w:r>
        <w:rPr/>
        <w:t>0.0001</w:t>
      </w:r>
      <w:r>
        <w:rPr>
          <w:spacing w:val="-1"/>
        </w:rPr>
        <w:t> </w:t>
      </w:r>
      <w:r>
        <w:rPr/>
        <w:t>valor</w:t>
      </w:r>
      <w:r>
        <w:rPr>
          <w:spacing w:val="-5"/>
        </w:rPr>
        <w:t> </w:t>
      </w:r>
      <w:r>
        <w:rPr/>
        <w:t>que</w:t>
      </w:r>
      <w:r>
        <w:rPr>
          <w:spacing w:val="-5"/>
        </w:rPr>
        <w:t> </w:t>
      </w:r>
      <w:r>
        <w:rPr/>
        <w:t>toma</w:t>
      </w:r>
      <w:r>
        <w:rPr>
          <w:spacing w:val="-5"/>
        </w:rPr>
        <w:t> </w:t>
      </w:r>
      <w:r>
        <w:rPr/>
        <w:t>el</w:t>
      </w:r>
      <w:r>
        <w:rPr>
          <w:spacing w:val="-1"/>
        </w:rPr>
        <w:t> </w:t>
      </w:r>
      <w:r>
        <w:rPr/>
        <w:t>modelo</w:t>
      </w:r>
      <w:r>
        <w:rPr>
          <w:spacing w:val="-5"/>
        </w:rPr>
        <w:t> </w:t>
      </w:r>
      <w:r>
        <w:rPr/>
        <w:t>por</w:t>
      </w:r>
      <w:r>
        <w:rPr>
          <w:spacing w:val="-5"/>
        </w:rPr>
        <w:t> </w:t>
      </w:r>
      <w:r>
        <w:rPr/>
        <w:t>default</w:t>
      </w:r>
      <w:r>
        <w:rPr>
          <w:spacing w:val="-5"/>
        </w:rPr>
        <w:t> </w:t>
      </w:r>
      <w:r>
        <w:rPr/>
        <w:t>cuando</w:t>
      </w:r>
      <w:r>
        <w:rPr>
          <w:spacing w:val="-5"/>
        </w:rPr>
        <w:t> </w:t>
      </w:r>
      <w:r>
        <w:rPr/>
        <w:t>éste no es</w:t>
      </w:r>
      <w:r>
        <w:rPr>
          <w:spacing w:val="-3"/>
        </w:rPr>
        <w:t> </w:t>
      </w:r>
      <w:r>
        <w:rPr/>
        <w:t>introducido.</w:t>
      </w:r>
    </w:p>
    <w:p>
      <w:pPr>
        <w:pStyle w:val="BodyText"/>
      </w:pPr>
    </w:p>
    <w:p>
      <w:pPr>
        <w:pStyle w:val="ListParagraph"/>
        <w:numPr>
          <w:ilvl w:val="0"/>
          <w:numId w:val="16"/>
        </w:numPr>
        <w:tabs>
          <w:tab w:pos="477" w:val="left" w:leader="none"/>
        </w:tabs>
        <w:spacing w:line="357" w:lineRule="auto" w:before="153" w:after="0"/>
        <w:ind w:left="477" w:right="112" w:hanging="361"/>
        <w:jc w:val="both"/>
        <w:rPr>
          <w:sz w:val="26"/>
        </w:rPr>
      </w:pPr>
      <w:r>
        <w:rPr>
          <w:i/>
          <w:sz w:val="26"/>
        </w:rPr>
        <w:t>Parámetro en forma de exponente para calcular el sedimento adicionado en el </w:t>
      </w:r>
      <w:r>
        <w:rPr>
          <w:i/>
          <w:position w:val="2"/>
          <w:sz w:val="26"/>
        </w:rPr>
        <w:t>transito del sedimento en el canal (SPEXP)</w:t>
      </w:r>
      <w:r>
        <w:rPr>
          <w:position w:val="2"/>
          <w:sz w:val="26"/>
        </w:rPr>
        <w:t>. (DEG</w:t>
      </w:r>
      <w:r>
        <w:rPr>
          <w:sz w:val="17"/>
        </w:rPr>
        <w:t>r </w:t>
      </w:r>
      <w:r>
        <w:rPr>
          <w:position w:val="2"/>
          <w:sz w:val="26"/>
        </w:rPr>
        <w:t>= SPCON x (V</w:t>
      </w:r>
      <w:r>
        <w:rPr>
          <w:sz w:val="17"/>
        </w:rPr>
        <w:t>c</w:t>
      </w:r>
      <w:r>
        <w:rPr>
          <w:position w:val="2"/>
          <w:sz w:val="26"/>
        </w:rPr>
        <w:t>) </w:t>
      </w:r>
      <w:r>
        <w:rPr>
          <w:position w:val="11"/>
          <w:sz w:val="16"/>
        </w:rPr>
        <w:t>SPEXP </w:t>
      </w:r>
      <w:r>
        <w:rPr>
          <w:position w:val="2"/>
          <w:sz w:val="26"/>
        </w:rPr>
        <w:t>donde DEG</w:t>
      </w:r>
      <w:r>
        <w:rPr>
          <w:sz w:val="17"/>
        </w:rPr>
        <w:t>r </w:t>
      </w:r>
      <w:r>
        <w:rPr>
          <w:position w:val="2"/>
          <w:sz w:val="26"/>
        </w:rPr>
        <w:t>es la cantidad de sedimento adicionado y V</w:t>
      </w:r>
      <w:r>
        <w:rPr>
          <w:sz w:val="17"/>
        </w:rPr>
        <w:t>c </w:t>
      </w:r>
      <w:r>
        <w:rPr>
          <w:position w:val="2"/>
          <w:sz w:val="26"/>
        </w:rPr>
        <w:t>es la velocidad del flujo en el </w:t>
      </w:r>
      <w:r>
        <w:rPr>
          <w:sz w:val="26"/>
        </w:rPr>
        <w:t>canal. SPEXP debería variar entre 1.0 </w:t>
      </w:r>
      <w:r>
        <w:rPr>
          <w:i/>
          <w:sz w:val="26"/>
        </w:rPr>
        <w:t>y </w:t>
      </w:r>
      <w:r>
        <w:rPr>
          <w:sz w:val="26"/>
        </w:rPr>
        <w:t>1.5. El modelo aplicó un 1 por</w:t>
      </w:r>
      <w:r>
        <w:rPr>
          <w:spacing w:val="-7"/>
          <w:sz w:val="26"/>
        </w:rPr>
        <w:t> </w:t>
      </w:r>
      <w:r>
        <w:rPr>
          <w:sz w:val="26"/>
        </w:rPr>
        <w:t>default.</w:t>
      </w:r>
    </w:p>
    <w:p>
      <w:pPr>
        <w:pStyle w:val="BodyText"/>
      </w:pPr>
    </w:p>
    <w:p>
      <w:pPr>
        <w:pStyle w:val="BodyText"/>
        <w:rPr>
          <w:sz w:val="31"/>
        </w:rPr>
      </w:pPr>
    </w:p>
    <w:p>
      <w:pPr>
        <w:pStyle w:val="ListParagraph"/>
        <w:numPr>
          <w:ilvl w:val="0"/>
          <w:numId w:val="16"/>
        </w:numPr>
        <w:tabs>
          <w:tab w:pos="477" w:val="left" w:leader="none"/>
        </w:tabs>
        <w:spacing w:line="360" w:lineRule="auto" w:before="0" w:after="0"/>
        <w:ind w:left="477" w:right="112" w:hanging="361"/>
        <w:jc w:val="both"/>
        <w:rPr>
          <w:sz w:val="26"/>
        </w:rPr>
      </w:pPr>
      <w:r>
        <w:rPr>
          <w:i/>
          <w:sz w:val="26"/>
        </w:rPr>
        <w:t>Factor</w:t>
      </w:r>
      <w:r>
        <w:rPr>
          <w:i/>
          <w:spacing w:val="-6"/>
          <w:sz w:val="26"/>
        </w:rPr>
        <w:t> </w:t>
      </w:r>
      <w:r>
        <w:rPr>
          <w:i/>
          <w:sz w:val="26"/>
        </w:rPr>
        <w:t>de</w:t>
      </w:r>
      <w:r>
        <w:rPr>
          <w:i/>
          <w:spacing w:val="-6"/>
          <w:sz w:val="26"/>
        </w:rPr>
        <w:t> </w:t>
      </w:r>
      <w:r>
        <w:rPr>
          <w:i/>
          <w:sz w:val="26"/>
        </w:rPr>
        <w:t>ajuste</w:t>
      </w:r>
      <w:r>
        <w:rPr>
          <w:i/>
          <w:spacing w:val="-6"/>
          <w:sz w:val="26"/>
        </w:rPr>
        <w:t> </w:t>
      </w:r>
      <w:r>
        <w:rPr>
          <w:i/>
          <w:sz w:val="26"/>
        </w:rPr>
        <w:t>del</w:t>
      </w:r>
      <w:r>
        <w:rPr>
          <w:i/>
          <w:spacing w:val="-6"/>
          <w:sz w:val="26"/>
        </w:rPr>
        <w:t> </w:t>
      </w:r>
      <w:r>
        <w:rPr>
          <w:i/>
          <w:sz w:val="26"/>
        </w:rPr>
        <w:t>gasto</w:t>
      </w:r>
      <w:r>
        <w:rPr>
          <w:i/>
          <w:spacing w:val="-5"/>
          <w:sz w:val="26"/>
        </w:rPr>
        <w:t> </w:t>
      </w:r>
      <w:r>
        <w:rPr>
          <w:i/>
          <w:sz w:val="26"/>
        </w:rPr>
        <w:t>máximo</w:t>
      </w:r>
      <w:r>
        <w:rPr>
          <w:i/>
          <w:spacing w:val="-11"/>
          <w:sz w:val="26"/>
        </w:rPr>
        <w:t> </w:t>
      </w:r>
      <w:r>
        <w:rPr>
          <w:i/>
          <w:sz w:val="26"/>
        </w:rPr>
        <w:t>para</w:t>
      </w:r>
      <w:r>
        <w:rPr>
          <w:i/>
          <w:spacing w:val="-6"/>
          <w:sz w:val="26"/>
        </w:rPr>
        <w:t> </w:t>
      </w:r>
      <w:r>
        <w:rPr>
          <w:i/>
          <w:sz w:val="26"/>
        </w:rPr>
        <w:t>el</w:t>
      </w:r>
      <w:r>
        <w:rPr>
          <w:i/>
          <w:spacing w:val="-10"/>
          <w:sz w:val="26"/>
        </w:rPr>
        <w:t> </w:t>
      </w:r>
      <w:r>
        <w:rPr>
          <w:i/>
          <w:sz w:val="26"/>
        </w:rPr>
        <w:t>tránsito</w:t>
      </w:r>
      <w:r>
        <w:rPr>
          <w:i/>
          <w:spacing w:val="-6"/>
          <w:sz w:val="26"/>
        </w:rPr>
        <w:t> </w:t>
      </w:r>
      <w:r>
        <w:rPr>
          <w:i/>
          <w:sz w:val="26"/>
        </w:rPr>
        <w:t>del</w:t>
      </w:r>
      <w:r>
        <w:rPr>
          <w:i/>
          <w:spacing w:val="-6"/>
          <w:sz w:val="26"/>
        </w:rPr>
        <w:t> </w:t>
      </w:r>
      <w:r>
        <w:rPr>
          <w:i/>
          <w:sz w:val="26"/>
        </w:rPr>
        <w:t>sedimento</w:t>
      </w:r>
      <w:r>
        <w:rPr>
          <w:i/>
          <w:spacing w:val="-6"/>
          <w:sz w:val="26"/>
        </w:rPr>
        <w:t> </w:t>
      </w:r>
      <w:r>
        <w:rPr>
          <w:i/>
          <w:sz w:val="26"/>
        </w:rPr>
        <w:t>en</w:t>
      </w:r>
      <w:r>
        <w:rPr>
          <w:i/>
          <w:spacing w:val="-11"/>
          <w:sz w:val="26"/>
        </w:rPr>
        <w:t> </w:t>
      </w:r>
      <w:r>
        <w:rPr>
          <w:i/>
          <w:sz w:val="26"/>
        </w:rPr>
        <w:t>el</w:t>
      </w:r>
      <w:r>
        <w:rPr>
          <w:i/>
          <w:spacing w:val="-11"/>
          <w:sz w:val="26"/>
        </w:rPr>
        <w:t> </w:t>
      </w:r>
      <w:r>
        <w:rPr>
          <w:i/>
          <w:sz w:val="26"/>
        </w:rPr>
        <w:t>canal</w:t>
      </w:r>
      <w:r>
        <w:rPr>
          <w:i/>
          <w:spacing w:val="-5"/>
          <w:sz w:val="26"/>
        </w:rPr>
        <w:t> </w:t>
      </w:r>
      <w:r>
        <w:rPr>
          <w:i/>
          <w:sz w:val="26"/>
        </w:rPr>
        <w:t>(PRF). </w:t>
      </w:r>
      <w:r>
        <w:rPr>
          <w:sz w:val="26"/>
        </w:rPr>
        <w:t>El direccionamiento del sedimento es función del gasto máximo y el escurrimiento diario</w:t>
      </w:r>
      <w:r>
        <w:rPr>
          <w:spacing w:val="-8"/>
          <w:sz w:val="26"/>
        </w:rPr>
        <w:t> </w:t>
      </w:r>
      <w:r>
        <w:rPr>
          <w:sz w:val="26"/>
        </w:rPr>
        <w:t>promedio.</w:t>
      </w:r>
      <w:r>
        <w:rPr>
          <w:spacing w:val="-6"/>
          <w:sz w:val="26"/>
        </w:rPr>
        <w:t> </w:t>
      </w:r>
      <w:r>
        <w:rPr>
          <w:sz w:val="26"/>
        </w:rPr>
        <w:t>Debido</w:t>
      </w:r>
      <w:r>
        <w:rPr>
          <w:spacing w:val="-8"/>
          <w:sz w:val="26"/>
        </w:rPr>
        <w:t> </w:t>
      </w:r>
      <w:r>
        <w:rPr>
          <w:sz w:val="26"/>
        </w:rPr>
        <w:t>a</w:t>
      </w:r>
      <w:r>
        <w:rPr>
          <w:spacing w:val="-12"/>
          <w:sz w:val="26"/>
        </w:rPr>
        <w:t> </w:t>
      </w:r>
      <w:r>
        <w:rPr>
          <w:sz w:val="26"/>
        </w:rPr>
        <w:t>que</w:t>
      </w:r>
      <w:r>
        <w:rPr>
          <w:spacing w:val="-12"/>
          <w:sz w:val="26"/>
        </w:rPr>
        <w:t> </w:t>
      </w:r>
      <w:r>
        <w:rPr>
          <w:sz w:val="26"/>
        </w:rPr>
        <w:t>SWAT</w:t>
      </w:r>
      <w:r>
        <w:rPr>
          <w:spacing w:val="-8"/>
          <w:sz w:val="26"/>
        </w:rPr>
        <w:t> </w:t>
      </w:r>
      <w:r>
        <w:rPr>
          <w:sz w:val="26"/>
        </w:rPr>
        <w:t>no</w:t>
      </w:r>
      <w:r>
        <w:rPr>
          <w:spacing w:val="-8"/>
          <w:sz w:val="26"/>
        </w:rPr>
        <w:t> </w:t>
      </w:r>
      <w:r>
        <w:rPr>
          <w:sz w:val="26"/>
        </w:rPr>
        <w:t>puede</w:t>
      </w:r>
      <w:r>
        <w:rPr>
          <w:spacing w:val="-8"/>
          <w:sz w:val="26"/>
        </w:rPr>
        <w:t> </w:t>
      </w:r>
      <w:r>
        <w:rPr>
          <w:sz w:val="26"/>
        </w:rPr>
        <w:t>directamente</w:t>
      </w:r>
      <w:r>
        <w:rPr>
          <w:spacing w:val="-8"/>
          <w:sz w:val="26"/>
        </w:rPr>
        <w:t> </w:t>
      </w:r>
      <w:r>
        <w:rPr>
          <w:sz w:val="26"/>
        </w:rPr>
        <w:t>calcular</w:t>
      </w:r>
      <w:r>
        <w:rPr>
          <w:spacing w:val="-8"/>
          <w:sz w:val="26"/>
        </w:rPr>
        <w:t> </w:t>
      </w:r>
      <w:r>
        <w:rPr>
          <w:sz w:val="26"/>
        </w:rPr>
        <w:t>la</w:t>
      </w:r>
      <w:r>
        <w:rPr>
          <w:spacing w:val="-10"/>
          <w:sz w:val="26"/>
        </w:rPr>
        <w:t> </w:t>
      </w:r>
      <w:r>
        <w:rPr>
          <w:sz w:val="26"/>
        </w:rPr>
        <w:t>hidrografía subdiaria,</w:t>
      </w:r>
      <w:r>
        <w:rPr>
          <w:spacing w:val="-8"/>
          <w:sz w:val="26"/>
        </w:rPr>
        <w:t> </w:t>
      </w:r>
      <w:r>
        <w:rPr>
          <w:sz w:val="26"/>
        </w:rPr>
        <w:t>esta</w:t>
      </w:r>
      <w:r>
        <w:rPr>
          <w:spacing w:val="-11"/>
          <w:sz w:val="26"/>
        </w:rPr>
        <w:t> </w:t>
      </w:r>
      <w:r>
        <w:rPr>
          <w:sz w:val="26"/>
        </w:rPr>
        <w:t>variable</w:t>
      </w:r>
      <w:r>
        <w:rPr>
          <w:spacing w:val="-11"/>
          <w:sz w:val="26"/>
        </w:rPr>
        <w:t> </w:t>
      </w:r>
      <w:r>
        <w:rPr>
          <w:sz w:val="26"/>
        </w:rPr>
        <w:t>fue</w:t>
      </w:r>
      <w:r>
        <w:rPr>
          <w:spacing w:val="-11"/>
          <w:sz w:val="26"/>
        </w:rPr>
        <w:t> </w:t>
      </w:r>
      <w:r>
        <w:rPr>
          <w:sz w:val="26"/>
        </w:rPr>
        <w:t>incorporada</w:t>
      </w:r>
      <w:r>
        <w:rPr>
          <w:spacing w:val="-11"/>
          <w:sz w:val="26"/>
        </w:rPr>
        <w:t> </w:t>
      </w:r>
      <w:r>
        <w:rPr>
          <w:sz w:val="26"/>
        </w:rPr>
        <w:t>para</w:t>
      </w:r>
      <w:r>
        <w:rPr>
          <w:spacing w:val="-11"/>
          <w:sz w:val="26"/>
        </w:rPr>
        <w:t> </w:t>
      </w:r>
      <w:r>
        <w:rPr>
          <w:sz w:val="26"/>
        </w:rPr>
        <w:t>permitir</w:t>
      </w:r>
      <w:r>
        <w:rPr>
          <w:spacing w:val="-11"/>
          <w:sz w:val="26"/>
        </w:rPr>
        <w:t> </w:t>
      </w:r>
      <w:r>
        <w:rPr>
          <w:sz w:val="26"/>
        </w:rPr>
        <w:t>el</w:t>
      </w:r>
      <w:r>
        <w:rPr>
          <w:spacing w:val="-11"/>
          <w:sz w:val="26"/>
        </w:rPr>
        <w:t> </w:t>
      </w:r>
      <w:r>
        <w:rPr>
          <w:sz w:val="26"/>
        </w:rPr>
        <w:t>ajuste</w:t>
      </w:r>
      <w:r>
        <w:rPr>
          <w:spacing w:val="-11"/>
          <w:sz w:val="26"/>
        </w:rPr>
        <w:t> </w:t>
      </w:r>
      <w:r>
        <w:rPr>
          <w:sz w:val="26"/>
        </w:rPr>
        <w:t>por</w:t>
      </w:r>
      <w:r>
        <w:rPr>
          <w:spacing w:val="-11"/>
          <w:sz w:val="26"/>
        </w:rPr>
        <w:t> </w:t>
      </w:r>
      <w:r>
        <w:rPr>
          <w:sz w:val="26"/>
        </w:rPr>
        <w:t>el</w:t>
      </w:r>
      <w:r>
        <w:rPr>
          <w:spacing w:val="-11"/>
          <w:sz w:val="26"/>
        </w:rPr>
        <w:t> </w:t>
      </w:r>
      <w:r>
        <w:rPr>
          <w:sz w:val="26"/>
        </w:rPr>
        <w:t>efecto</w:t>
      </w:r>
      <w:r>
        <w:rPr>
          <w:spacing w:val="-10"/>
          <w:sz w:val="26"/>
        </w:rPr>
        <w:t> </w:t>
      </w:r>
      <w:r>
        <w:rPr>
          <w:sz w:val="26"/>
        </w:rPr>
        <w:t>del</w:t>
      </w:r>
      <w:r>
        <w:rPr>
          <w:spacing w:val="-6"/>
          <w:sz w:val="26"/>
        </w:rPr>
        <w:t> </w:t>
      </w:r>
      <w:r>
        <w:rPr>
          <w:sz w:val="26"/>
        </w:rPr>
        <w:t>gasto máximo</w:t>
      </w:r>
      <w:r>
        <w:rPr>
          <w:spacing w:val="-8"/>
          <w:sz w:val="26"/>
        </w:rPr>
        <w:t> </w:t>
      </w:r>
      <w:r>
        <w:rPr>
          <w:sz w:val="26"/>
        </w:rPr>
        <w:t>en</w:t>
      </w:r>
      <w:r>
        <w:rPr>
          <w:spacing w:val="-8"/>
          <w:sz w:val="26"/>
        </w:rPr>
        <w:t> </w:t>
      </w:r>
      <w:r>
        <w:rPr>
          <w:sz w:val="26"/>
        </w:rPr>
        <w:t>el</w:t>
      </w:r>
      <w:r>
        <w:rPr>
          <w:spacing w:val="-8"/>
          <w:sz w:val="26"/>
        </w:rPr>
        <w:t> </w:t>
      </w:r>
      <w:r>
        <w:rPr>
          <w:sz w:val="26"/>
        </w:rPr>
        <w:t>direccionamiento</w:t>
      </w:r>
      <w:r>
        <w:rPr>
          <w:spacing w:val="-8"/>
          <w:sz w:val="26"/>
        </w:rPr>
        <w:t> </w:t>
      </w:r>
      <w:r>
        <w:rPr>
          <w:sz w:val="26"/>
        </w:rPr>
        <w:t>del</w:t>
      </w:r>
      <w:r>
        <w:rPr>
          <w:spacing w:val="-8"/>
          <w:sz w:val="26"/>
        </w:rPr>
        <w:t> </w:t>
      </w:r>
      <w:r>
        <w:rPr>
          <w:sz w:val="26"/>
        </w:rPr>
        <w:t>sedimento.</w:t>
      </w:r>
      <w:r>
        <w:rPr>
          <w:spacing w:val="-11"/>
          <w:sz w:val="26"/>
        </w:rPr>
        <w:t> </w:t>
      </w:r>
      <w:r>
        <w:rPr>
          <w:sz w:val="26"/>
        </w:rPr>
        <w:t>Esta</w:t>
      </w:r>
      <w:r>
        <w:rPr>
          <w:spacing w:val="-8"/>
          <w:sz w:val="26"/>
        </w:rPr>
        <w:t> </w:t>
      </w:r>
      <w:r>
        <w:rPr>
          <w:sz w:val="26"/>
        </w:rPr>
        <w:t>variable</w:t>
      </w:r>
      <w:r>
        <w:rPr>
          <w:spacing w:val="-8"/>
          <w:sz w:val="26"/>
        </w:rPr>
        <w:t> </w:t>
      </w:r>
      <w:r>
        <w:rPr>
          <w:sz w:val="26"/>
        </w:rPr>
        <w:t>impacta</w:t>
      </w:r>
      <w:r>
        <w:rPr>
          <w:spacing w:val="-8"/>
          <w:sz w:val="26"/>
        </w:rPr>
        <w:t> </w:t>
      </w:r>
      <w:r>
        <w:rPr>
          <w:sz w:val="26"/>
        </w:rPr>
        <w:t>la</w:t>
      </w:r>
      <w:r>
        <w:rPr>
          <w:spacing w:val="-8"/>
          <w:sz w:val="26"/>
        </w:rPr>
        <w:t> </w:t>
      </w:r>
      <w:r>
        <w:rPr>
          <w:sz w:val="26"/>
        </w:rPr>
        <w:t>degradación del canal. </w:t>
      </w:r>
      <w:r>
        <w:rPr>
          <w:spacing w:val="-3"/>
          <w:sz w:val="26"/>
        </w:rPr>
        <w:t>Si </w:t>
      </w:r>
      <w:r>
        <w:rPr>
          <w:sz w:val="26"/>
        </w:rPr>
        <w:t>no se da un valor para PRF, el modelo usa PRF= 1.0, valor que fue introducido.</w:t>
      </w:r>
    </w:p>
    <w:p>
      <w:pPr>
        <w:pStyle w:val="BodyText"/>
      </w:pPr>
    </w:p>
    <w:p>
      <w:pPr>
        <w:pStyle w:val="ListParagraph"/>
        <w:numPr>
          <w:ilvl w:val="0"/>
          <w:numId w:val="16"/>
        </w:numPr>
        <w:tabs>
          <w:tab w:pos="477" w:val="left" w:leader="none"/>
        </w:tabs>
        <w:spacing w:line="357" w:lineRule="auto" w:before="156" w:after="0"/>
        <w:ind w:left="477" w:right="113" w:hanging="361"/>
        <w:jc w:val="both"/>
        <w:rPr>
          <w:sz w:val="26"/>
        </w:rPr>
      </w:pPr>
      <w:r>
        <w:rPr>
          <w:i/>
          <w:sz w:val="26"/>
        </w:rPr>
        <w:t>Coeficiente de percolación de pesticidas (PERCOP). </w:t>
      </w:r>
      <w:r>
        <w:rPr>
          <w:sz w:val="26"/>
        </w:rPr>
        <w:t>PERCOP controla la cantidad de pesticida removida de la capa superficial por el escurrimiento, relativa a la cantidad removida vía percolación. El valor de PERCOP puede variar de 0.0 a 1.0. Cuando PERCOP= 0.0 la concentración de pesticida en el escurrimiento es 0, cuando PERCOP= 1.0 el escurrimiento superficial tiene la misma concentración de pesticida</w:t>
      </w:r>
      <w:r>
        <w:rPr>
          <w:spacing w:val="-15"/>
          <w:sz w:val="26"/>
        </w:rPr>
        <w:t> </w:t>
      </w:r>
      <w:r>
        <w:rPr>
          <w:sz w:val="26"/>
        </w:rPr>
        <w:t>que</w:t>
      </w:r>
      <w:r>
        <w:rPr>
          <w:spacing w:val="-16"/>
          <w:sz w:val="26"/>
        </w:rPr>
        <w:t> </w:t>
      </w:r>
      <w:r>
        <w:rPr>
          <w:sz w:val="26"/>
        </w:rPr>
        <w:t>en</w:t>
      </w:r>
      <w:r>
        <w:rPr>
          <w:spacing w:val="-16"/>
          <w:sz w:val="26"/>
        </w:rPr>
        <w:t> </w:t>
      </w:r>
      <w:r>
        <w:rPr>
          <w:sz w:val="26"/>
        </w:rPr>
        <w:t>el</w:t>
      </w:r>
      <w:r>
        <w:rPr>
          <w:spacing w:val="-16"/>
          <w:sz w:val="26"/>
        </w:rPr>
        <w:t> </w:t>
      </w:r>
      <w:r>
        <w:rPr>
          <w:sz w:val="26"/>
        </w:rPr>
        <w:t>percolado.</w:t>
      </w:r>
      <w:r>
        <w:rPr>
          <w:spacing w:val="-13"/>
          <w:sz w:val="26"/>
        </w:rPr>
        <w:t> </w:t>
      </w:r>
      <w:r>
        <w:rPr>
          <w:sz w:val="26"/>
        </w:rPr>
        <w:t>Dado</w:t>
      </w:r>
      <w:r>
        <w:rPr>
          <w:spacing w:val="-16"/>
          <w:sz w:val="26"/>
        </w:rPr>
        <w:t> </w:t>
      </w:r>
      <w:r>
        <w:rPr>
          <w:sz w:val="26"/>
        </w:rPr>
        <w:t>que</w:t>
      </w:r>
      <w:r>
        <w:rPr>
          <w:spacing w:val="-20"/>
          <w:sz w:val="26"/>
        </w:rPr>
        <w:t> </w:t>
      </w:r>
      <w:r>
        <w:rPr>
          <w:sz w:val="26"/>
        </w:rPr>
        <w:t>no</w:t>
      </w:r>
      <w:r>
        <w:rPr>
          <w:spacing w:val="-16"/>
          <w:sz w:val="26"/>
        </w:rPr>
        <w:t> </w:t>
      </w:r>
      <w:r>
        <w:rPr>
          <w:sz w:val="26"/>
        </w:rPr>
        <w:t>se</w:t>
      </w:r>
      <w:r>
        <w:rPr>
          <w:spacing w:val="-16"/>
          <w:sz w:val="26"/>
        </w:rPr>
        <w:t> </w:t>
      </w:r>
      <w:r>
        <w:rPr>
          <w:sz w:val="26"/>
        </w:rPr>
        <w:t>cuenta</w:t>
      </w:r>
      <w:r>
        <w:rPr>
          <w:spacing w:val="-15"/>
          <w:sz w:val="26"/>
        </w:rPr>
        <w:t> </w:t>
      </w:r>
      <w:r>
        <w:rPr>
          <w:sz w:val="26"/>
        </w:rPr>
        <w:t>con</w:t>
      </w:r>
      <w:r>
        <w:rPr>
          <w:spacing w:val="-16"/>
          <w:sz w:val="26"/>
        </w:rPr>
        <w:t> </w:t>
      </w:r>
      <w:r>
        <w:rPr>
          <w:sz w:val="26"/>
        </w:rPr>
        <w:t>este</w:t>
      </w:r>
      <w:r>
        <w:rPr>
          <w:spacing w:val="-16"/>
          <w:sz w:val="26"/>
        </w:rPr>
        <w:t> </w:t>
      </w:r>
      <w:r>
        <w:rPr>
          <w:sz w:val="26"/>
        </w:rPr>
        <w:t>valor,</w:t>
      </w:r>
      <w:r>
        <w:rPr>
          <w:spacing w:val="-13"/>
          <w:sz w:val="26"/>
        </w:rPr>
        <w:t> </w:t>
      </w:r>
      <w:r>
        <w:rPr>
          <w:sz w:val="26"/>
        </w:rPr>
        <w:t>el</w:t>
      </w:r>
      <w:r>
        <w:rPr>
          <w:spacing w:val="-16"/>
          <w:sz w:val="26"/>
        </w:rPr>
        <w:t> </w:t>
      </w:r>
      <w:r>
        <w:rPr>
          <w:sz w:val="26"/>
        </w:rPr>
        <w:t>modelo</w:t>
      </w:r>
      <w:r>
        <w:rPr>
          <w:spacing w:val="-16"/>
          <w:sz w:val="26"/>
        </w:rPr>
        <w:t> </w:t>
      </w:r>
      <w:r>
        <w:rPr>
          <w:sz w:val="26"/>
        </w:rPr>
        <w:t>asigna un valor de</w:t>
      </w:r>
      <w:r>
        <w:rPr>
          <w:spacing w:val="-3"/>
          <w:sz w:val="26"/>
        </w:rPr>
        <w:t> </w:t>
      </w:r>
      <w:r>
        <w:rPr>
          <w:sz w:val="26"/>
        </w:rPr>
        <w:t>0.50.</w:t>
      </w:r>
    </w:p>
    <w:p>
      <w:pPr>
        <w:pStyle w:val="BodyText"/>
        <w:spacing w:before="3"/>
        <w:rPr>
          <w:sz w:val="29"/>
        </w:rPr>
      </w:pPr>
    </w:p>
    <w:p>
      <w:pPr>
        <w:pStyle w:val="ListParagraph"/>
        <w:numPr>
          <w:ilvl w:val="0"/>
          <w:numId w:val="16"/>
        </w:numPr>
        <w:tabs>
          <w:tab w:pos="477" w:val="left" w:leader="none"/>
        </w:tabs>
        <w:spacing w:line="440" w:lineRule="atLeast" w:before="0" w:after="0"/>
        <w:ind w:left="477" w:right="116" w:hanging="361"/>
        <w:jc w:val="both"/>
        <w:rPr>
          <w:sz w:val="26"/>
        </w:rPr>
      </w:pPr>
      <w:r>
        <w:rPr>
          <w:i/>
          <w:sz w:val="26"/>
        </w:rPr>
        <w:t>Coeficiente</w:t>
      </w:r>
      <w:r>
        <w:rPr>
          <w:i/>
          <w:spacing w:val="-14"/>
          <w:sz w:val="26"/>
        </w:rPr>
        <w:t> </w:t>
      </w:r>
      <w:r>
        <w:rPr>
          <w:i/>
          <w:sz w:val="26"/>
        </w:rPr>
        <w:t>de</w:t>
      </w:r>
      <w:r>
        <w:rPr>
          <w:i/>
          <w:spacing w:val="-15"/>
          <w:sz w:val="26"/>
        </w:rPr>
        <w:t> </w:t>
      </w:r>
      <w:r>
        <w:rPr>
          <w:i/>
          <w:sz w:val="26"/>
        </w:rPr>
        <w:t>percolación</w:t>
      </w:r>
      <w:r>
        <w:rPr>
          <w:i/>
          <w:spacing w:val="-9"/>
          <w:sz w:val="26"/>
        </w:rPr>
        <w:t> </w:t>
      </w:r>
      <w:r>
        <w:rPr>
          <w:i/>
          <w:sz w:val="26"/>
        </w:rPr>
        <w:t>del</w:t>
      </w:r>
      <w:r>
        <w:rPr>
          <w:i/>
          <w:spacing w:val="-15"/>
          <w:sz w:val="26"/>
        </w:rPr>
        <w:t> </w:t>
      </w:r>
      <w:r>
        <w:rPr>
          <w:i/>
          <w:sz w:val="26"/>
        </w:rPr>
        <w:t>nitrógeno</w:t>
      </w:r>
      <w:r>
        <w:rPr>
          <w:i/>
          <w:spacing w:val="-13"/>
          <w:sz w:val="26"/>
        </w:rPr>
        <w:t> </w:t>
      </w:r>
      <w:r>
        <w:rPr>
          <w:sz w:val="26"/>
        </w:rPr>
        <w:t>(NPERCO).</w:t>
      </w:r>
      <w:r>
        <w:rPr>
          <w:spacing w:val="-11"/>
          <w:sz w:val="26"/>
        </w:rPr>
        <w:t> </w:t>
      </w:r>
      <w:r>
        <w:rPr>
          <w:sz w:val="26"/>
        </w:rPr>
        <w:t>NPERCO</w:t>
      </w:r>
      <w:r>
        <w:rPr>
          <w:spacing w:val="-15"/>
          <w:sz w:val="26"/>
        </w:rPr>
        <w:t> </w:t>
      </w:r>
      <w:r>
        <w:rPr>
          <w:sz w:val="26"/>
        </w:rPr>
        <w:t>controla</w:t>
      </w:r>
      <w:r>
        <w:rPr>
          <w:spacing w:val="-15"/>
          <w:sz w:val="26"/>
        </w:rPr>
        <w:t> </w:t>
      </w:r>
      <w:r>
        <w:rPr>
          <w:sz w:val="26"/>
        </w:rPr>
        <w:t>la</w:t>
      </w:r>
      <w:r>
        <w:rPr>
          <w:spacing w:val="-15"/>
          <w:sz w:val="26"/>
        </w:rPr>
        <w:t> </w:t>
      </w:r>
      <w:r>
        <w:rPr>
          <w:sz w:val="26"/>
        </w:rPr>
        <w:t>cantidad de</w:t>
      </w:r>
      <w:r>
        <w:rPr>
          <w:spacing w:val="41"/>
          <w:sz w:val="26"/>
        </w:rPr>
        <w:t> </w:t>
      </w:r>
      <w:r>
        <w:rPr>
          <w:sz w:val="26"/>
        </w:rPr>
        <w:t>N</w:t>
      </w:r>
      <w:r>
        <w:rPr>
          <w:spacing w:val="41"/>
          <w:sz w:val="26"/>
        </w:rPr>
        <w:t> </w:t>
      </w:r>
      <w:r>
        <w:rPr>
          <w:sz w:val="26"/>
        </w:rPr>
        <w:t>mineral</w:t>
      </w:r>
      <w:r>
        <w:rPr>
          <w:spacing w:val="41"/>
          <w:sz w:val="26"/>
        </w:rPr>
        <w:t> </w:t>
      </w:r>
      <w:r>
        <w:rPr>
          <w:sz w:val="26"/>
        </w:rPr>
        <w:t>removido</w:t>
      </w:r>
      <w:r>
        <w:rPr>
          <w:spacing w:val="41"/>
          <w:sz w:val="26"/>
        </w:rPr>
        <w:t> </w:t>
      </w:r>
      <w:r>
        <w:rPr>
          <w:sz w:val="26"/>
        </w:rPr>
        <w:t>de</w:t>
      </w:r>
      <w:r>
        <w:rPr>
          <w:spacing w:val="41"/>
          <w:sz w:val="26"/>
        </w:rPr>
        <w:t> </w:t>
      </w:r>
      <w:r>
        <w:rPr>
          <w:sz w:val="26"/>
        </w:rPr>
        <w:t>la</w:t>
      </w:r>
      <w:r>
        <w:rPr>
          <w:spacing w:val="41"/>
          <w:sz w:val="26"/>
        </w:rPr>
        <w:t> </w:t>
      </w:r>
      <w:r>
        <w:rPr>
          <w:sz w:val="26"/>
        </w:rPr>
        <w:t>capa</w:t>
      </w:r>
      <w:r>
        <w:rPr>
          <w:spacing w:val="41"/>
          <w:sz w:val="26"/>
        </w:rPr>
        <w:t> </w:t>
      </w:r>
      <w:r>
        <w:rPr>
          <w:sz w:val="26"/>
        </w:rPr>
        <w:t>superficial</w:t>
      </w:r>
      <w:r>
        <w:rPr>
          <w:spacing w:val="41"/>
          <w:sz w:val="26"/>
        </w:rPr>
        <w:t> </w:t>
      </w:r>
      <w:r>
        <w:rPr>
          <w:sz w:val="26"/>
        </w:rPr>
        <w:t>por</w:t>
      </w:r>
      <w:r>
        <w:rPr>
          <w:spacing w:val="41"/>
          <w:sz w:val="26"/>
        </w:rPr>
        <w:t> </w:t>
      </w:r>
      <w:r>
        <w:rPr>
          <w:sz w:val="26"/>
        </w:rPr>
        <w:t>el</w:t>
      </w:r>
      <w:r>
        <w:rPr>
          <w:spacing w:val="37"/>
          <w:sz w:val="26"/>
        </w:rPr>
        <w:t> </w:t>
      </w:r>
      <w:r>
        <w:rPr>
          <w:sz w:val="26"/>
        </w:rPr>
        <w:t>escurrimiento</w:t>
      </w:r>
      <w:r>
        <w:rPr>
          <w:spacing w:val="41"/>
          <w:sz w:val="26"/>
        </w:rPr>
        <w:t> </w:t>
      </w:r>
      <w:r>
        <w:rPr>
          <w:sz w:val="26"/>
        </w:rPr>
        <w:t>relativo</w:t>
      </w:r>
      <w:r>
        <w:rPr>
          <w:spacing w:val="41"/>
          <w:sz w:val="26"/>
        </w:rPr>
        <w:t> </w:t>
      </w:r>
      <w:r>
        <w:rPr>
          <w:sz w:val="26"/>
        </w:rPr>
        <w:t>a</w:t>
      </w:r>
      <w:r>
        <w:rPr>
          <w:spacing w:val="41"/>
          <w:sz w:val="26"/>
        </w:rPr>
        <w:t> </w:t>
      </w:r>
      <w:r>
        <w:rPr>
          <w:sz w:val="26"/>
        </w:rPr>
        <w:t>la</w:t>
      </w:r>
    </w:p>
    <w:p>
      <w:pPr>
        <w:spacing w:after="0" w:line="440" w:lineRule="atLeast"/>
        <w:jc w:val="both"/>
        <w:rPr>
          <w:sz w:val="26"/>
        </w:rPr>
        <w:sectPr>
          <w:pgSz w:w="12240" w:h="15840"/>
          <w:pgMar w:header="0" w:footer="1473" w:top="1340" w:bottom="1660" w:left="1660" w:right="1300"/>
        </w:sectPr>
      </w:pPr>
    </w:p>
    <w:p>
      <w:pPr>
        <w:pStyle w:val="BodyText"/>
        <w:spacing w:line="360" w:lineRule="auto" w:before="49"/>
        <w:ind w:left="476" w:right="117"/>
        <w:jc w:val="both"/>
      </w:pPr>
      <w:r>
        <w:rPr/>
        <w:t>cantidad removida vía percolación. El valor de NPERCO puede variar de 0.0 a 1.0. Cuando NPERCO=0, la concentración de N mineral en el escurrimiento es 0. Cuando NPERC0=1.0, el escurrimiento superficial tiene la misma concentración</w:t>
      </w:r>
      <w:r>
        <w:rPr>
          <w:spacing w:val="-30"/>
        </w:rPr>
        <w:t> </w:t>
      </w:r>
      <w:r>
        <w:rPr/>
        <w:t>de N mineral que el percolado. Debido a que </w:t>
      </w:r>
      <w:r>
        <w:rPr>
          <w:spacing w:val="-3"/>
        </w:rPr>
        <w:t>no </w:t>
      </w:r>
      <w:r>
        <w:rPr/>
        <w:t>se le asignó valor a NPERCO, el modelo usó un valor de</w:t>
      </w:r>
      <w:r>
        <w:rPr>
          <w:spacing w:val="-11"/>
        </w:rPr>
        <w:t> </w:t>
      </w:r>
      <w:r>
        <w:rPr/>
        <w:t>NPERC0=0.20.</w:t>
      </w:r>
    </w:p>
    <w:p>
      <w:pPr>
        <w:pStyle w:val="BodyText"/>
      </w:pPr>
    </w:p>
    <w:p>
      <w:pPr>
        <w:pStyle w:val="ListParagraph"/>
        <w:numPr>
          <w:ilvl w:val="0"/>
          <w:numId w:val="16"/>
        </w:numPr>
        <w:tabs>
          <w:tab w:pos="477" w:val="left" w:leader="none"/>
        </w:tabs>
        <w:spacing w:line="357" w:lineRule="auto" w:before="156" w:after="0"/>
        <w:ind w:left="477" w:right="111" w:hanging="361"/>
        <w:jc w:val="both"/>
        <w:rPr>
          <w:sz w:val="26"/>
        </w:rPr>
      </w:pPr>
      <w:r>
        <w:rPr>
          <w:i/>
          <w:sz w:val="26"/>
        </w:rPr>
        <w:t>Coeficiente de percolación de fósforo (PPERCO). </w:t>
      </w:r>
      <w:r>
        <w:rPr>
          <w:sz w:val="26"/>
        </w:rPr>
        <w:t>PPERCO es la relación de la cantidad de P soluble removido de la capa superficial por el escurrimiento, relativo a la cantidad de P soluble removido vía percolación. El valor de PPERCO puede variar</w:t>
      </w:r>
      <w:r>
        <w:rPr>
          <w:spacing w:val="-15"/>
          <w:sz w:val="26"/>
        </w:rPr>
        <w:t> </w:t>
      </w:r>
      <w:r>
        <w:rPr>
          <w:sz w:val="26"/>
        </w:rPr>
        <w:t>de</w:t>
      </w:r>
      <w:r>
        <w:rPr>
          <w:spacing w:val="-16"/>
          <w:sz w:val="26"/>
        </w:rPr>
        <w:t> </w:t>
      </w:r>
      <w:r>
        <w:rPr>
          <w:sz w:val="26"/>
        </w:rPr>
        <w:t>10.0</w:t>
      </w:r>
      <w:r>
        <w:rPr>
          <w:spacing w:val="-16"/>
          <w:sz w:val="26"/>
        </w:rPr>
        <w:t> </w:t>
      </w:r>
      <w:r>
        <w:rPr>
          <w:sz w:val="26"/>
        </w:rPr>
        <w:t>a</w:t>
      </w:r>
      <w:r>
        <w:rPr>
          <w:spacing w:val="-16"/>
          <w:sz w:val="26"/>
        </w:rPr>
        <w:t> </w:t>
      </w:r>
      <w:r>
        <w:rPr>
          <w:sz w:val="26"/>
        </w:rPr>
        <w:t>17.5.</w:t>
      </w:r>
      <w:r>
        <w:rPr>
          <w:spacing w:val="-18"/>
          <w:sz w:val="26"/>
        </w:rPr>
        <w:t> </w:t>
      </w:r>
      <w:r>
        <w:rPr>
          <w:sz w:val="26"/>
        </w:rPr>
        <w:t>Dado</w:t>
      </w:r>
      <w:r>
        <w:rPr>
          <w:spacing w:val="-16"/>
          <w:sz w:val="26"/>
        </w:rPr>
        <w:t> </w:t>
      </w:r>
      <w:r>
        <w:rPr>
          <w:sz w:val="26"/>
        </w:rPr>
        <w:t>que</w:t>
      </w:r>
      <w:r>
        <w:rPr>
          <w:spacing w:val="-16"/>
          <w:sz w:val="26"/>
        </w:rPr>
        <w:t> </w:t>
      </w:r>
      <w:r>
        <w:rPr>
          <w:sz w:val="26"/>
        </w:rPr>
        <w:t>no</w:t>
      </w:r>
      <w:r>
        <w:rPr>
          <w:spacing w:val="-20"/>
          <w:sz w:val="26"/>
        </w:rPr>
        <w:t> </w:t>
      </w:r>
      <w:r>
        <w:rPr>
          <w:sz w:val="26"/>
        </w:rPr>
        <w:t>se</w:t>
      </w:r>
      <w:r>
        <w:rPr>
          <w:spacing w:val="-16"/>
          <w:sz w:val="26"/>
        </w:rPr>
        <w:t> </w:t>
      </w:r>
      <w:r>
        <w:rPr>
          <w:sz w:val="26"/>
        </w:rPr>
        <w:t>le</w:t>
      </w:r>
      <w:r>
        <w:rPr>
          <w:spacing w:val="-16"/>
          <w:sz w:val="26"/>
        </w:rPr>
        <w:t> </w:t>
      </w:r>
      <w:r>
        <w:rPr>
          <w:sz w:val="26"/>
        </w:rPr>
        <w:t>asignó</w:t>
      </w:r>
      <w:r>
        <w:rPr>
          <w:spacing w:val="-16"/>
          <w:sz w:val="26"/>
        </w:rPr>
        <w:t> </w:t>
      </w:r>
      <w:r>
        <w:rPr>
          <w:sz w:val="26"/>
        </w:rPr>
        <w:t>un</w:t>
      </w:r>
      <w:r>
        <w:rPr>
          <w:spacing w:val="-16"/>
          <w:sz w:val="26"/>
        </w:rPr>
        <w:t> </w:t>
      </w:r>
      <w:r>
        <w:rPr>
          <w:sz w:val="26"/>
        </w:rPr>
        <w:t>valor</w:t>
      </w:r>
      <w:r>
        <w:rPr>
          <w:spacing w:val="-16"/>
          <w:sz w:val="26"/>
        </w:rPr>
        <w:t> </w:t>
      </w:r>
      <w:r>
        <w:rPr>
          <w:sz w:val="26"/>
        </w:rPr>
        <w:t>a</w:t>
      </w:r>
      <w:r>
        <w:rPr>
          <w:spacing w:val="-16"/>
          <w:sz w:val="26"/>
        </w:rPr>
        <w:t> </w:t>
      </w:r>
      <w:r>
        <w:rPr>
          <w:sz w:val="26"/>
        </w:rPr>
        <w:t>PPERCO,</w:t>
      </w:r>
      <w:r>
        <w:rPr>
          <w:spacing w:val="-14"/>
          <w:sz w:val="26"/>
        </w:rPr>
        <w:t> </w:t>
      </w:r>
      <w:r>
        <w:rPr>
          <w:sz w:val="26"/>
        </w:rPr>
        <w:t>el</w:t>
      </w:r>
      <w:r>
        <w:rPr>
          <w:spacing w:val="-16"/>
          <w:sz w:val="26"/>
        </w:rPr>
        <w:t> </w:t>
      </w:r>
      <w:r>
        <w:rPr>
          <w:sz w:val="26"/>
        </w:rPr>
        <w:t>modelo</w:t>
      </w:r>
      <w:r>
        <w:rPr>
          <w:spacing w:val="-16"/>
          <w:sz w:val="26"/>
        </w:rPr>
        <w:t> </w:t>
      </w:r>
      <w:r>
        <w:rPr>
          <w:sz w:val="26"/>
        </w:rPr>
        <w:t>asignó PPERC0=10.0.</w:t>
      </w:r>
    </w:p>
    <w:p>
      <w:pPr>
        <w:pStyle w:val="BodyText"/>
      </w:pPr>
    </w:p>
    <w:p>
      <w:pPr>
        <w:pStyle w:val="ListParagraph"/>
        <w:numPr>
          <w:ilvl w:val="0"/>
          <w:numId w:val="16"/>
        </w:numPr>
        <w:tabs>
          <w:tab w:pos="477" w:val="left" w:leader="none"/>
        </w:tabs>
        <w:spacing w:line="357" w:lineRule="auto" w:before="154" w:after="0"/>
        <w:ind w:left="477" w:right="116" w:hanging="361"/>
        <w:jc w:val="both"/>
        <w:rPr>
          <w:sz w:val="26"/>
        </w:rPr>
      </w:pPr>
      <w:r>
        <w:rPr>
          <w:i/>
          <w:sz w:val="26"/>
        </w:rPr>
        <w:t>Coeficiente</w:t>
      </w:r>
      <w:r>
        <w:rPr>
          <w:i/>
          <w:spacing w:val="-9"/>
          <w:sz w:val="26"/>
        </w:rPr>
        <w:t> </w:t>
      </w:r>
      <w:r>
        <w:rPr>
          <w:i/>
          <w:sz w:val="26"/>
        </w:rPr>
        <w:t>de</w:t>
      </w:r>
      <w:r>
        <w:rPr>
          <w:i/>
          <w:spacing w:val="-10"/>
          <w:sz w:val="26"/>
        </w:rPr>
        <w:t> </w:t>
      </w:r>
      <w:r>
        <w:rPr>
          <w:i/>
          <w:sz w:val="26"/>
        </w:rPr>
        <w:t>descomposición</w:t>
      </w:r>
      <w:r>
        <w:rPr>
          <w:i/>
          <w:spacing w:val="-9"/>
          <w:sz w:val="26"/>
        </w:rPr>
        <w:t> </w:t>
      </w:r>
      <w:r>
        <w:rPr>
          <w:i/>
          <w:sz w:val="26"/>
        </w:rPr>
        <w:t>del</w:t>
      </w:r>
      <w:r>
        <w:rPr>
          <w:i/>
          <w:spacing w:val="-10"/>
          <w:sz w:val="26"/>
        </w:rPr>
        <w:t> </w:t>
      </w:r>
      <w:r>
        <w:rPr>
          <w:i/>
          <w:sz w:val="26"/>
        </w:rPr>
        <w:t>residuo</w:t>
      </w:r>
      <w:r>
        <w:rPr>
          <w:i/>
          <w:spacing w:val="-10"/>
          <w:sz w:val="26"/>
        </w:rPr>
        <w:t> </w:t>
      </w:r>
      <w:r>
        <w:rPr>
          <w:i/>
          <w:sz w:val="26"/>
        </w:rPr>
        <w:t>(RSDCO).</w:t>
      </w:r>
      <w:r>
        <w:rPr>
          <w:i/>
          <w:spacing w:val="-7"/>
          <w:sz w:val="26"/>
        </w:rPr>
        <w:t> </w:t>
      </w:r>
      <w:r>
        <w:rPr>
          <w:spacing w:val="-3"/>
          <w:sz w:val="26"/>
        </w:rPr>
        <w:t>La</w:t>
      </w:r>
      <w:r>
        <w:rPr>
          <w:spacing w:val="-10"/>
          <w:sz w:val="26"/>
        </w:rPr>
        <w:t> </w:t>
      </w:r>
      <w:r>
        <w:rPr>
          <w:sz w:val="26"/>
        </w:rPr>
        <w:t>fracción</w:t>
      </w:r>
      <w:r>
        <w:rPr>
          <w:spacing w:val="-9"/>
          <w:sz w:val="26"/>
        </w:rPr>
        <w:t> </w:t>
      </w:r>
      <w:r>
        <w:rPr>
          <w:sz w:val="26"/>
        </w:rPr>
        <w:t>del</w:t>
      </w:r>
      <w:r>
        <w:rPr>
          <w:spacing w:val="-10"/>
          <w:sz w:val="26"/>
        </w:rPr>
        <w:t> </w:t>
      </w:r>
      <w:r>
        <w:rPr>
          <w:sz w:val="26"/>
        </w:rPr>
        <w:t>residuo</w:t>
      </w:r>
      <w:r>
        <w:rPr>
          <w:spacing w:val="-10"/>
          <w:sz w:val="26"/>
        </w:rPr>
        <w:t> </w:t>
      </w:r>
      <w:r>
        <w:rPr>
          <w:sz w:val="26"/>
        </w:rPr>
        <w:t>que</w:t>
      </w:r>
      <w:r>
        <w:rPr>
          <w:spacing w:val="-10"/>
          <w:sz w:val="26"/>
        </w:rPr>
        <w:t> </w:t>
      </w:r>
      <w:r>
        <w:rPr>
          <w:sz w:val="26"/>
        </w:rPr>
        <w:t>se descompone en un día, asumiendo humedad, temperatura, relaciones C:N y C:P óptimas, dado que no se proporcionó un valor de RSDCO, el modelo asignó RSDCO=0.05.</w:t>
      </w:r>
    </w:p>
    <w:p>
      <w:pPr>
        <w:pStyle w:val="BodyText"/>
      </w:pPr>
    </w:p>
    <w:p>
      <w:pPr>
        <w:pStyle w:val="ListParagraph"/>
        <w:numPr>
          <w:ilvl w:val="0"/>
          <w:numId w:val="16"/>
        </w:numPr>
        <w:tabs>
          <w:tab w:pos="477" w:val="left" w:leader="none"/>
        </w:tabs>
        <w:spacing w:line="355" w:lineRule="auto" w:before="154" w:after="0"/>
        <w:ind w:left="477" w:right="111" w:hanging="361"/>
        <w:jc w:val="both"/>
        <w:rPr>
          <w:sz w:val="26"/>
        </w:rPr>
      </w:pPr>
      <w:r>
        <w:rPr>
          <w:i/>
          <w:sz w:val="26"/>
        </w:rPr>
        <w:t>Coeficiente de partición del fósforo en el suelo (PHOSKD). </w:t>
      </w:r>
      <w:r>
        <w:rPr>
          <w:spacing w:val="-3"/>
          <w:sz w:val="26"/>
        </w:rPr>
        <w:t>La </w:t>
      </w:r>
      <w:r>
        <w:rPr>
          <w:sz w:val="26"/>
        </w:rPr>
        <w:t>relación del fósforo adherido al sedimento con el fósforo disuelto en el agua del suelo. Este valor fue asignado por el modelo PHOSKC=</w:t>
      </w:r>
      <w:r>
        <w:rPr>
          <w:spacing w:val="-10"/>
          <w:sz w:val="26"/>
        </w:rPr>
        <w:t> </w:t>
      </w:r>
      <w:r>
        <w:rPr>
          <w:sz w:val="26"/>
        </w:rPr>
        <w:t>175.0.</w:t>
      </w:r>
    </w:p>
    <w:p>
      <w:pPr>
        <w:pStyle w:val="BodyText"/>
      </w:pPr>
    </w:p>
    <w:p>
      <w:pPr>
        <w:pStyle w:val="ListParagraph"/>
        <w:numPr>
          <w:ilvl w:val="0"/>
          <w:numId w:val="16"/>
        </w:numPr>
        <w:tabs>
          <w:tab w:pos="477" w:val="left" w:leader="none"/>
        </w:tabs>
        <w:spacing w:line="355" w:lineRule="auto" w:before="162" w:after="0"/>
        <w:ind w:left="477" w:right="113" w:hanging="361"/>
        <w:jc w:val="both"/>
        <w:rPr>
          <w:sz w:val="26"/>
        </w:rPr>
      </w:pPr>
      <w:r>
        <w:rPr>
          <w:i/>
          <w:sz w:val="26"/>
        </w:rPr>
        <w:t>Temperatura de la nieve (°C) (SFTMP). </w:t>
      </w:r>
      <w:r>
        <w:rPr>
          <w:sz w:val="26"/>
        </w:rPr>
        <w:t>Temperatura promedio del aire a la cual la precipitación es igualmente probable a ser lluvia </w:t>
      </w:r>
      <w:r>
        <w:rPr>
          <w:i/>
          <w:sz w:val="26"/>
        </w:rPr>
        <w:t>en </w:t>
      </w:r>
      <w:r>
        <w:rPr>
          <w:sz w:val="26"/>
        </w:rPr>
        <w:t>forma de nieve o granizo. </w:t>
      </w:r>
      <w:r>
        <w:rPr>
          <w:spacing w:val="-3"/>
          <w:sz w:val="26"/>
        </w:rPr>
        <w:t>Si </w:t>
      </w:r>
      <w:r>
        <w:rPr>
          <w:sz w:val="26"/>
        </w:rPr>
        <w:t>no se asigna valor a SFTMP, el modelo usa</w:t>
      </w:r>
      <w:r>
        <w:rPr>
          <w:spacing w:val="-16"/>
          <w:sz w:val="26"/>
        </w:rPr>
        <w:t> </w:t>
      </w:r>
      <w:r>
        <w:rPr>
          <w:sz w:val="26"/>
        </w:rPr>
        <w:t>SFTMP=1.0.</w:t>
      </w:r>
    </w:p>
    <w:p>
      <w:pPr>
        <w:pStyle w:val="BodyText"/>
      </w:pPr>
    </w:p>
    <w:p>
      <w:pPr>
        <w:pStyle w:val="ListParagraph"/>
        <w:numPr>
          <w:ilvl w:val="0"/>
          <w:numId w:val="16"/>
        </w:numPr>
        <w:tabs>
          <w:tab w:pos="477" w:val="left" w:leader="none"/>
        </w:tabs>
        <w:spacing w:line="350" w:lineRule="auto" w:before="162" w:after="0"/>
        <w:ind w:left="477" w:right="116" w:hanging="361"/>
        <w:jc w:val="both"/>
        <w:rPr>
          <w:sz w:val="26"/>
        </w:rPr>
      </w:pPr>
      <w:r>
        <w:rPr>
          <w:i/>
          <w:sz w:val="26"/>
        </w:rPr>
        <w:t>Temperatura base para el deshielo de la nieve (°C) (SMTMP). </w:t>
      </w:r>
      <w:r>
        <w:rPr>
          <w:sz w:val="26"/>
        </w:rPr>
        <w:t>Temperatura promedio</w:t>
      </w:r>
      <w:r>
        <w:rPr>
          <w:spacing w:val="22"/>
          <w:sz w:val="26"/>
        </w:rPr>
        <w:t> </w:t>
      </w:r>
      <w:r>
        <w:rPr>
          <w:sz w:val="26"/>
        </w:rPr>
        <w:t>del</w:t>
      </w:r>
      <w:r>
        <w:rPr>
          <w:spacing w:val="23"/>
          <w:sz w:val="26"/>
        </w:rPr>
        <w:t> </w:t>
      </w:r>
      <w:r>
        <w:rPr>
          <w:sz w:val="26"/>
        </w:rPr>
        <w:t>aire</w:t>
      </w:r>
      <w:r>
        <w:rPr>
          <w:spacing w:val="23"/>
          <w:sz w:val="26"/>
        </w:rPr>
        <w:t> </w:t>
      </w:r>
      <w:r>
        <w:rPr>
          <w:sz w:val="26"/>
        </w:rPr>
        <w:t>a</w:t>
      </w:r>
      <w:r>
        <w:rPr>
          <w:spacing w:val="18"/>
          <w:sz w:val="26"/>
        </w:rPr>
        <w:t> </w:t>
      </w:r>
      <w:r>
        <w:rPr>
          <w:sz w:val="26"/>
        </w:rPr>
        <w:t>la</w:t>
      </w:r>
      <w:r>
        <w:rPr>
          <w:spacing w:val="18"/>
          <w:sz w:val="26"/>
        </w:rPr>
        <w:t> </w:t>
      </w:r>
      <w:r>
        <w:rPr>
          <w:sz w:val="26"/>
        </w:rPr>
        <w:t>cual</w:t>
      </w:r>
      <w:r>
        <w:rPr>
          <w:spacing w:val="23"/>
          <w:sz w:val="26"/>
        </w:rPr>
        <w:t> </w:t>
      </w:r>
      <w:r>
        <w:rPr>
          <w:sz w:val="26"/>
        </w:rPr>
        <w:t>ocurre</w:t>
      </w:r>
      <w:r>
        <w:rPr>
          <w:spacing w:val="23"/>
          <w:sz w:val="26"/>
        </w:rPr>
        <w:t> </w:t>
      </w:r>
      <w:r>
        <w:rPr>
          <w:sz w:val="26"/>
        </w:rPr>
        <w:t>el</w:t>
      </w:r>
      <w:r>
        <w:rPr>
          <w:spacing w:val="18"/>
          <w:sz w:val="26"/>
        </w:rPr>
        <w:t> </w:t>
      </w:r>
      <w:r>
        <w:rPr>
          <w:sz w:val="26"/>
        </w:rPr>
        <w:t>deshielo</w:t>
      </w:r>
      <w:r>
        <w:rPr>
          <w:spacing w:val="18"/>
          <w:sz w:val="26"/>
        </w:rPr>
        <w:t> </w:t>
      </w:r>
      <w:r>
        <w:rPr>
          <w:sz w:val="26"/>
        </w:rPr>
        <w:t>de</w:t>
      </w:r>
      <w:r>
        <w:rPr>
          <w:spacing w:val="23"/>
          <w:sz w:val="26"/>
        </w:rPr>
        <w:t> </w:t>
      </w:r>
      <w:r>
        <w:rPr>
          <w:sz w:val="26"/>
        </w:rPr>
        <w:t>la</w:t>
      </w:r>
      <w:r>
        <w:rPr>
          <w:spacing w:val="18"/>
          <w:sz w:val="26"/>
        </w:rPr>
        <w:t> </w:t>
      </w:r>
      <w:r>
        <w:rPr>
          <w:sz w:val="26"/>
        </w:rPr>
        <w:t>nieve.</w:t>
      </w:r>
      <w:r>
        <w:rPr>
          <w:spacing w:val="25"/>
          <w:sz w:val="26"/>
        </w:rPr>
        <w:t> </w:t>
      </w:r>
      <w:r>
        <w:rPr>
          <w:sz w:val="26"/>
        </w:rPr>
        <w:t>Parámetro</w:t>
      </w:r>
      <w:r>
        <w:rPr>
          <w:spacing w:val="22"/>
          <w:sz w:val="26"/>
        </w:rPr>
        <w:t> </w:t>
      </w:r>
      <w:r>
        <w:rPr>
          <w:sz w:val="26"/>
        </w:rPr>
        <w:t>no</w:t>
      </w:r>
      <w:r>
        <w:rPr>
          <w:spacing w:val="22"/>
          <w:sz w:val="26"/>
        </w:rPr>
        <w:t> </w:t>
      </w:r>
      <w:r>
        <w:rPr>
          <w:sz w:val="26"/>
        </w:rPr>
        <w:t>utilizado</w:t>
      </w:r>
    </w:p>
    <w:p>
      <w:pPr>
        <w:spacing w:after="0" w:line="350" w:lineRule="auto"/>
        <w:jc w:val="both"/>
        <w:rPr>
          <w:sz w:val="26"/>
        </w:rPr>
        <w:sectPr>
          <w:pgSz w:w="12240" w:h="15840"/>
          <w:pgMar w:header="0" w:footer="1473" w:top="1360" w:bottom="1660" w:left="1660" w:right="1300"/>
        </w:sectPr>
      </w:pPr>
    </w:p>
    <w:p>
      <w:pPr>
        <w:pStyle w:val="BodyText"/>
        <w:spacing w:line="362" w:lineRule="auto" w:before="49"/>
        <w:ind w:left="476" w:right="26"/>
      </w:pPr>
      <w:r>
        <w:rPr/>
        <w:t>debido</w:t>
      </w:r>
      <w:r>
        <w:rPr>
          <w:spacing w:val="-16"/>
        </w:rPr>
        <w:t> </w:t>
      </w:r>
      <w:r>
        <w:rPr/>
        <w:t>a</w:t>
      </w:r>
      <w:r>
        <w:rPr>
          <w:spacing w:val="-16"/>
        </w:rPr>
        <w:t> </w:t>
      </w:r>
      <w:r>
        <w:rPr/>
        <w:t>que</w:t>
      </w:r>
      <w:r>
        <w:rPr>
          <w:spacing w:val="-16"/>
        </w:rPr>
        <w:t> </w:t>
      </w:r>
      <w:r>
        <w:rPr/>
        <w:t>en</w:t>
      </w:r>
      <w:r>
        <w:rPr>
          <w:spacing w:val="-16"/>
        </w:rPr>
        <w:t> </w:t>
      </w:r>
      <w:r>
        <w:rPr/>
        <w:t>la</w:t>
      </w:r>
      <w:r>
        <w:rPr>
          <w:spacing w:val="-16"/>
        </w:rPr>
        <w:t> </w:t>
      </w:r>
      <w:r>
        <w:rPr/>
        <w:t>cuenca</w:t>
      </w:r>
      <w:r>
        <w:rPr>
          <w:spacing w:val="-15"/>
        </w:rPr>
        <w:t> </w:t>
      </w:r>
      <w:r>
        <w:rPr/>
        <w:t>no</w:t>
      </w:r>
      <w:r>
        <w:rPr>
          <w:spacing w:val="-16"/>
        </w:rPr>
        <w:t> </w:t>
      </w:r>
      <w:r>
        <w:rPr/>
        <w:t>hay</w:t>
      </w:r>
      <w:r>
        <w:rPr>
          <w:spacing w:val="-16"/>
        </w:rPr>
        <w:t> </w:t>
      </w:r>
      <w:r>
        <w:rPr/>
        <w:t>presencia</w:t>
      </w:r>
      <w:r>
        <w:rPr>
          <w:spacing w:val="-15"/>
        </w:rPr>
        <w:t> </w:t>
      </w:r>
      <w:r>
        <w:rPr/>
        <w:t>de</w:t>
      </w:r>
      <w:r>
        <w:rPr>
          <w:spacing w:val="-16"/>
        </w:rPr>
        <w:t> </w:t>
      </w:r>
      <w:r>
        <w:rPr/>
        <w:t>nevadas,</w:t>
      </w:r>
      <w:r>
        <w:rPr>
          <w:spacing w:val="-13"/>
        </w:rPr>
        <w:t> </w:t>
      </w:r>
      <w:r>
        <w:rPr/>
        <w:t>sin</w:t>
      </w:r>
      <w:r>
        <w:rPr>
          <w:spacing w:val="-16"/>
        </w:rPr>
        <w:t> </w:t>
      </w:r>
      <w:r>
        <w:rPr/>
        <w:t>embargo</w:t>
      </w:r>
      <w:r>
        <w:rPr>
          <w:spacing w:val="-16"/>
        </w:rPr>
        <w:t> </w:t>
      </w:r>
      <w:r>
        <w:rPr/>
        <w:t>el</w:t>
      </w:r>
      <w:r>
        <w:rPr>
          <w:spacing w:val="-16"/>
        </w:rPr>
        <w:t> </w:t>
      </w:r>
      <w:r>
        <w:rPr/>
        <w:t>modelo</w:t>
      </w:r>
      <w:r>
        <w:rPr>
          <w:spacing w:val="-16"/>
        </w:rPr>
        <w:t> </w:t>
      </w:r>
      <w:r>
        <w:rPr/>
        <w:t>aplica por default un valor de</w:t>
      </w:r>
      <w:r>
        <w:rPr>
          <w:spacing w:val="-2"/>
        </w:rPr>
        <w:t> </w:t>
      </w:r>
      <w:r>
        <w:rPr/>
        <w:t>0.5.</w:t>
      </w:r>
    </w:p>
    <w:p>
      <w:pPr>
        <w:pStyle w:val="BodyText"/>
      </w:pPr>
    </w:p>
    <w:p>
      <w:pPr>
        <w:pStyle w:val="ListParagraph"/>
        <w:numPr>
          <w:ilvl w:val="0"/>
          <w:numId w:val="16"/>
        </w:numPr>
        <w:tabs>
          <w:tab w:pos="477" w:val="left" w:leader="none"/>
        </w:tabs>
        <w:spacing w:line="357" w:lineRule="auto" w:before="154" w:after="0"/>
        <w:ind w:left="477" w:right="110" w:hanging="361"/>
        <w:jc w:val="both"/>
        <w:rPr>
          <w:sz w:val="26"/>
        </w:rPr>
      </w:pPr>
      <w:r>
        <w:rPr>
          <w:i/>
          <w:sz w:val="26"/>
        </w:rPr>
        <w:t>Máxima</w:t>
      </w:r>
      <w:r>
        <w:rPr>
          <w:i/>
          <w:spacing w:val="-11"/>
          <w:sz w:val="26"/>
        </w:rPr>
        <w:t> </w:t>
      </w:r>
      <w:r>
        <w:rPr>
          <w:i/>
          <w:sz w:val="26"/>
        </w:rPr>
        <w:t>tasa</w:t>
      </w:r>
      <w:r>
        <w:rPr>
          <w:i/>
          <w:spacing w:val="-11"/>
          <w:sz w:val="26"/>
        </w:rPr>
        <w:t> </w:t>
      </w:r>
      <w:r>
        <w:rPr>
          <w:i/>
          <w:sz w:val="26"/>
        </w:rPr>
        <w:t>de</w:t>
      </w:r>
      <w:r>
        <w:rPr>
          <w:i/>
          <w:spacing w:val="-11"/>
          <w:sz w:val="26"/>
        </w:rPr>
        <w:t> </w:t>
      </w:r>
      <w:r>
        <w:rPr>
          <w:i/>
          <w:sz w:val="26"/>
        </w:rPr>
        <w:t>deshielo</w:t>
      </w:r>
      <w:r>
        <w:rPr>
          <w:i/>
          <w:spacing w:val="-11"/>
          <w:sz w:val="26"/>
        </w:rPr>
        <w:t> </w:t>
      </w:r>
      <w:r>
        <w:rPr>
          <w:i/>
          <w:sz w:val="26"/>
        </w:rPr>
        <w:t>de</w:t>
      </w:r>
      <w:r>
        <w:rPr>
          <w:i/>
          <w:spacing w:val="-15"/>
          <w:sz w:val="26"/>
        </w:rPr>
        <w:t> </w:t>
      </w:r>
      <w:r>
        <w:rPr>
          <w:i/>
          <w:sz w:val="26"/>
        </w:rPr>
        <w:t>la</w:t>
      </w:r>
      <w:r>
        <w:rPr>
          <w:i/>
          <w:spacing w:val="-11"/>
          <w:sz w:val="26"/>
        </w:rPr>
        <w:t> </w:t>
      </w:r>
      <w:r>
        <w:rPr>
          <w:i/>
          <w:sz w:val="26"/>
        </w:rPr>
        <w:t>nieve</w:t>
      </w:r>
      <w:r>
        <w:rPr>
          <w:i/>
          <w:spacing w:val="-11"/>
          <w:sz w:val="26"/>
        </w:rPr>
        <w:t> </w:t>
      </w:r>
      <w:r>
        <w:rPr>
          <w:i/>
          <w:sz w:val="26"/>
        </w:rPr>
        <w:t>durante</w:t>
      </w:r>
      <w:r>
        <w:rPr>
          <w:i/>
          <w:spacing w:val="-15"/>
          <w:sz w:val="26"/>
        </w:rPr>
        <w:t> </w:t>
      </w:r>
      <w:r>
        <w:rPr>
          <w:i/>
          <w:sz w:val="26"/>
        </w:rPr>
        <w:t>el</w:t>
      </w:r>
      <w:r>
        <w:rPr>
          <w:i/>
          <w:spacing w:val="-15"/>
          <w:sz w:val="26"/>
        </w:rPr>
        <w:t> </w:t>
      </w:r>
      <w:r>
        <w:rPr>
          <w:i/>
          <w:sz w:val="26"/>
        </w:rPr>
        <w:t>año</w:t>
      </w:r>
      <w:r>
        <w:rPr>
          <w:i/>
          <w:spacing w:val="-9"/>
          <w:sz w:val="26"/>
        </w:rPr>
        <w:t> </w:t>
      </w:r>
      <w:r>
        <w:rPr>
          <w:i/>
          <w:sz w:val="26"/>
        </w:rPr>
        <w:t>(SMFMX).</w:t>
      </w:r>
      <w:r>
        <w:rPr>
          <w:i/>
          <w:spacing w:val="-8"/>
          <w:sz w:val="26"/>
        </w:rPr>
        <w:t> </w:t>
      </w:r>
      <w:r>
        <w:rPr>
          <w:sz w:val="26"/>
        </w:rPr>
        <w:t>Ocurre</w:t>
      </w:r>
      <w:r>
        <w:rPr>
          <w:spacing w:val="-10"/>
          <w:sz w:val="26"/>
        </w:rPr>
        <w:t> </w:t>
      </w:r>
      <w:r>
        <w:rPr>
          <w:sz w:val="26"/>
        </w:rPr>
        <w:t>en</w:t>
      </w:r>
      <w:r>
        <w:rPr>
          <w:spacing w:val="-11"/>
          <w:sz w:val="26"/>
        </w:rPr>
        <w:t> </w:t>
      </w:r>
      <w:r>
        <w:rPr>
          <w:sz w:val="26"/>
        </w:rPr>
        <w:t>el</w:t>
      </w:r>
      <w:r>
        <w:rPr>
          <w:spacing w:val="-11"/>
          <w:sz w:val="26"/>
        </w:rPr>
        <w:t> </w:t>
      </w:r>
      <w:r>
        <w:rPr>
          <w:sz w:val="26"/>
        </w:rPr>
        <w:t>solsticio </w:t>
      </w:r>
      <w:r>
        <w:rPr>
          <w:position w:val="2"/>
          <w:sz w:val="26"/>
        </w:rPr>
        <w:t>de verano (mm H</w:t>
      </w:r>
      <w:r>
        <w:rPr>
          <w:sz w:val="16"/>
        </w:rPr>
        <w:t>2</w:t>
      </w:r>
      <w:r>
        <w:rPr>
          <w:position w:val="2"/>
          <w:sz w:val="26"/>
        </w:rPr>
        <w:t>O/°C/día) donde °C se refiere a la temperatura del aire. SMFMX </w:t>
      </w:r>
      <w:r>
        <w:rPr>
          <w:sz w:val="26"/>
        </w:rPr>
        <w:t>Y SMFMN permiten que la tasa de deshielo varíe a través del año. Las variables consideran el impacto de la temperatura del suelo en el deshielo de la nieve. Parámetro no utilizado debido a la ausencia de nieve en la cuenca, el modelo aplica un valor de</w:t>
      </w:r>
      <w:r>
        <w:rPr>
          <w:spacing w:val="-3"/>
          <w:sz w:val="26"/>
        </w:rPr>
        <w:t> </w:t>
      </w:r>
      <w:r>
        <w:rPr>
          <w:sz w:val="26"/>
        </w:rPr>
        <w:t>4.5.</w:t>
      </w:r>
    </w:p>
    <w:p>
      <w:pPr>
        <w:pStyle w:val="BodyText"/>
      </w:pPr>
    </w:p>
    <w:p>
      <w:pPr>
        <w:pStyle w:val="ListParagraph"/>
        <w:numPr>
          <w:ilvl w:val="0"/>
          <w:numId w:val="16"/>
        </w:numPr>
        <w:tabs>
          <w:tab w:pos="477" w:val="left" w:leader="none"/>
        </w:tabs>
        <w:spacing w:line="355" w:lineRule="auto" w:before="159" w:after="0"/>
        <w:ind w:left="477" w:right="110" w:hanging="361"/>
        <w:jc w:val="both"/>
        <w:rPr>
          <w:sz w:val="26"/>
        </w:rPr>
      </w:pPr>
      <w:r>
        <w:rPr>
          <w:i/>
          <w:sz w:val="26"/>
        </w:rPr>
        <w:t>Mínima</w:t>
      </w:r>
      <w:r>
        <w:rPr>
          <w:i/>
          <w:spacing w:val="-10"/>
          <w:sz w:val="26"/>
        </w:rPr>
        <w:t> </w:t>
      </w:r>
      <w:r>
        <w:rPr>
          <w:i/>
          <w:sz w:val="26"/>
        </w:rPr>
        <w:t>tasa</w:t>
      </w:r>
      <w:r>
        <w:rPr>
          <w:i/>
          <w:spacing w:val="-10"/>
          <w:sz w:val="26"/>
        </w:rPr>
        <w:t> </w:t>
      </w:r>
      <w:r>
        <w:rPr>
          <w:i/>
          <w:sz w:val="26"/>
        </w:rPr>
        <w:t>de</w:t>
      </w:r>
      <w:r>
        <w:rPr>
          <w:i/>
          <w:spacing w:val="-10"/>
          <w:sz w:val="26"/>
        </w:rPr>
        <w:t> </w:t>
      </w:r>
      <w:r>
        <w:rPr>
          <w:i/>
          <w:sz w:val="26"/>
        </w:rPr>
        <w:t>deshielo</w:t>
      </w:r>
      <w:r>
        <w:rPr>
          <w:i/>
          <w:spacing w:val="-10"/>
          <w:sz w:val="26"/>
        </w:rPr>
        <w:t> </w:t>
      </w:r>
      <w:r>
        <w:rPr>
          <w:i/>
          <w:sz w:val="26"/>
        </w:rPr>
        <w:t>de</w:t>
      </w:r>
      <w:r>
        <w:rPr>
          <w:i/>
          <w:spacing w:val="-10"/>
          <w:sz w:val="26"/>
        </w:rPr>
        <w:t> </w:t>
      </w:r>
      <w:r>
        <w:rPr>
          <w:i/>
          <w:sz w:val="26"/>
        </w:rPr>
        <w:t>la</w:t>
      </w:r>
      <w:r>
        <w:rPr>
          <w:i/>
          <w:spacing w:val="-10"/>
          <w:sz w:val="26"/>
        </w:rPr>
        <w:t> </w:t>
      </w:r>
      <w:r>
        <w:rPr>
          <w:i/>
          <w:sz w:val="26"/>
        </w:rPr>
        <w:t>nieve</w:t>
      </w:r>
      <w:r>
        <w:rPr>
          <w:i/>
          <w:spacing w:val="-10"/>
          <w:sz w:val="26"/>
        </w:rPr>
        <w:t> </w:t>
      </w:r>
      <w:r>
        <w:rPr>
          <w:i/>
          <w:sz w:val="26"/>
        </w:rPr>
        <w:t>durante</w:t>
      </w:r>
      <w:r>
        <w:rPr>
          <w:i/>
          <w:spacing w:val="-10"/>
          <w:sz w:val="26"/>
        </w:rPr>
        <w:t> </w:t>
      </w:r>
      <w:r>
        <w:rPr>
          <w:i/>
          <w:sz w:val="26"/>
        </w:rPr>
        <w:t>el</w:t>
      </w:r>
      <w:r>
        <w:rPr>
          <w:i/>
          <w:spacing w:val="-5"/>
          <w:sz w:val="26"/>
        </w:rPr>
        <w:t> </w:t>
      </w:r>
      <w:r>
        <w:rPr>
          <w:i/>
          <w:sz w:val="26"/>
        </w:rPr>
        <w:t>año</w:t>
      </w:r>
      <w:r>
        <w:rPr>
          <w:i/>
          <w:spacing w:val="-8"/>
          <w:sz w:val="26"/>
        </w:rPr>
        <w:t> </w:t>
      </w:r>
      <w:r>
        <w:rPr>
          <w:i/>
          <w:sz w:val="26"/>
        </w:rPr>
        <w:t>(SMFMN).</w:t>
      </w:r>
      <w:r>
        <w:rPr>
          <w:i/>
          <w:spacing w:val="-7"/>
          <w:sz w:val="26"/>
        </w:rPr>
        <w:t> </w:t>
      </w:r>
      <w:r>
        <w:rPr>
          <w:sz w:val="26"/>
        </w:rPr>
        <w:t>Ocurre</w:t>
      </w:r>
      <w:r>
        <w:rPr>
          <w:spacing w:val="-9"/>
          <w:sz w:val="26"/>
        </w:rPr>
        <w:t> </w:t>
      </w:r>
      <w:r>
        <w:rPr>
          <w:sz w:val="26"/>
        </w:rPr>
        <w:t>en</w:t>
      </w:r>
      <w:r>
        <w:rPr>
          <w:spacing w:val="-10"/>
          <w:sz w:val="26"/>
        </w:rPr>
        <w:t> </w:t>
      </w:r>
      <w:r>
        <w:rPr>
          <w:sz w:val="26"/>
        </w:rPr>
        <w:t>el</w:t>
      </w:r>
      <w:r>
        <w:rPr>
          <w:spacing w:val="-10"/>
          <w:sz w:val="26"/>
        </w:rPr>
        <w:t> </w:t>
      </w:r>
      <w:r>
        <w:rPr>
          <w:sz w:val="26"/>
        </w:rPr>
        <w:t>solsticio </w:t>
      </w:r>
      <w:r>
        <w:rPr>
          <w:position w:val="2"/>
          <w:sz w:val="26"/>
        </w:rPr>
        <w:t>de invierno (mm H</w:t>
      </w:r>
      <w:r>
        <w:rPr>
          <w:sz w:val="17"/>
        </w:rPr>
        <w:t>2</w:t>
      </w:r>
      <w:r>
        <w:rPr>
          <w:position w:val="2"/>
          <w:sz w:val="26"/>
        </w:rPr>
        <w:t>O/°C/día) donde °C se refiere a la temperatura del aire. El </w:t>
      </w:r>
      <w:r>
        <w:rPr>
          <w:sz w:val="26"/>
        </w:rPr>
        <w:t>modelo evalúa un valor de 4.5 por default. No</w:t>
      </w:r>
      <w:r>
        <w:rPr>
          <w:spacing w:val="-15"/>
          <w:sz w:val="26"/>
        </w:rPr>
        <w:t> </w:t>
      </w:r>
      <w:r>
        <w:rPr>
          <w:sz w:val="26"/>
        </w:rPr>
        <w:t>considerado.</w:t>
      </w:r>
    </w:p>
    <w:p>
      <w:pPr>
        <w:pStyle w:val="BodyText"/>
      </w:pPr>
    </w:p>
    <w:p>
      <w:pPr>
        <w:pStyle w:val="ListParagraph"/>
        <w:numPr>
          <w:ilvl w:val="0"/>
          <w:numId w:val="16"/>
        </w:numPr>
        <w:tabs>
          <w:tab w:pos="477" w:val="left" w:leader="none"/>
        </w:tabs>
        <w:spacing w:line="360" w:lineRule="auto" w:before="162" w:after="0"/>
        <w:ind w:left="477" w:right="109" w:hanging="361"/>
        <w:jc w:val="both"/>
        <w:rPr>
          <w:sz w:val="26"/>
        </w:rPr>
      </w:pPr>
      <w:r>
        <w:rPr>
          <w:i/>
          <w:sz w:val="26"/>
        </w:rPr>
        <w:t>Factor para el período de reducción de la temperatura de la nieve (TIMP). </w:t>
      </w:r>
      <w:r>
        <w:rPr>
          <w:sz w:val="26"/>
        </w:rPr>
        <w:t>Este parámetro controla el impacto de la temperatura actual del aire en la temperatura</w:t>
      </w:r>
      <w:r>
        <w:rPr>
          <w:spacing w:val="-29"/>
          <w:sz w:val="26"/>
        </w:rPr>
        <w:t> </w:t>
      </w:r>
      <w:r>
        <w:rPr>
          <w:sz w:val="26"/>
        </w:rPr>
        <w:t>de la nieve. TIMP puede variar de 0.0 a 1.0. Cuando TIMP=1.0 no hay periodo de reducción, es decir la temperatura de la nieve es la misma que la temperatura actual del aire. A medida que TIMP </w:t>
      </w:r>
      <w:r>
        <w:rPr>
          <w:spacing w:val="-3"/>
          <w:sz w:val="26"/>
        </w:rPr>
        <w:t>va </w:t>
      </w:r>
      <w:r>
        <w:rPr>
          <w:sz w:val="26"/>
        </w:rPr>
        <w:t>hacia el 0, la temperatura de la nieve será menos influenciada</w:t>
      </w:r>
      <w:r>
        <w:rPr>
          <w:spacing w:val="-9"/>
          <w:sz w:val="26"/>
        </w:rPr>
        <w:t> </w:t>
      </w:r>
      <w:r>
        <w:rPr>
          <w:sz w:val="26"/>
        </w:rPr>
        <w:t>por</w:t>
      </w:r>
      <w:r>
        <w:rPr>
          <w:spacing w:val="-9"/>
          <w:sz w:val="26"/>
        </w:rPr>
        <w:t> </w:t>
      </w:r>
      <w:r>
        <w:rPr>
          <w:sz w:val="26"/>
        </w:rPr>
        <w:t>la</w:t>
      </w:r>
      <w:r>
        <w:rPr>
          <w:spacing w:val="-13"/>
          <w:sz w:val="26"/>
        </w:rPr>
        <w:t> </w:t>
      </w:r>
      <w:r>
        <w:rPr>
          <w:sz w:val="26"/>
        </w:rPr>
        <w:t>temperatura</w:t>
      </w:r>
      <w:r>
        <w:rPr>
          <w:spacing w:val="-8"/>
          <w:sz w:val="26"/>
        </w:rPr>
        <w:t> </w:t>
      </w:r>
      <w:r>
        <w:rPr>
          <w:sz w:val="26"/>
        </w:rPr>
        <w:t>actual</w:t>
      </w:r>
      <w:r>
        <w:rPr>
          <w:spacing w:val="-9"/>
          <w:sz w:val="26"/>
        </w:rPr>
        <w:t> </w:t>
      </w:r>
      <w:r>
        <w:rPr>
          <w:sz w:val="26"/>
        </w:rPr>
        <w:t>del</w:t>
      </w:r>
      <w:r>
        <w:rPr>
          <w:spacing w:val="-13"/>
          <w:sz w:val="26"/>
        </w:rPr>
        <w:t> </w:t>
      </w:r>
      <w:r>
        <w:rPr>
          <w:sz w:val="26"/>
        </w:rPr>
        <w:t>aire.</w:t>
      </w:r>
      <w:r>
        <w:rPr>
          <w:spacing w:val="-15"/>
          <w:sz w:val="26"/>
        </w:rPr>
        <w:t> </w:t>
      </w:r>
      <w:r>
        <w:rPr>
          <w:sz w:val="26"/>
        </w:rPr>
        <w:t>Aunque</w:t>
      </w:r>
      <w:r>
        <w:rPr>
          <w:spacing w:val="-9"/>
          <w:sz w:val="26"/>
        </w:rPr>
        <w:t> </w:t>
      </w:r>
      <w:r>
        <w:rPr>
          <w:sz w:val="26"/>
        </w:rPr>
        <w:t>ésta</w:t>
      </w:r>
      <w:r>
        <w:rPr>
          <w:spacing w:val="-9"/>
          <w:sz w:val="26"/>
        </w:rPr>
        <w:t> </w:t>
      </w:r>
      <w:r>
        <w:rPr>
          <w:sz w:val="26"/>
        </w:rPr>
        <w:t>variable</w:t>
      </w:r>
      <w:r>
        <w:rPr>
          <w:spacing w:val="-9"/>
          <w:sz w:val="26"/>
        </w:rPr>
        <w:t> </w:t>
      </w:r>
      <w:r>
        <w:rPr>
          <w:sz w:val="26"/>
        </w:rPr>
        <w:t>no</w:t>
      </w:r>
      <w:r>
        <w:rPr>
          <w:spacing w:val="-9"/>
          <w:sz w:val="26"/>
        </w:rPr>
        <w:t> </w:t>
      </w:r>
      <w:r>
        <w:rPr>
          <w:sz w:val="26"/>
        </w:rPr>
        <w:t>se</w:t>
      </w:r>
      <w:r>
        <w:rPr>
          <w:spacing w:val="-7"/>
          <w:sz w:val="26"/>
        </w:rPr>
        <w:t> </w:t>
      </w:r>
      <w:r>
        <w:rPr>
          <w:sz w:val="26"/>
        </w:rPr>
        <w:t>considera para la cuenca, el modelo aplica por default un valor de</w:t>
      </w:r>
      <w:r>
        <w:rPr>
          <w:spacing w:val="-9"/>
          <w:sz w:val="26"/>
        </w:rPr>
        <w:t> </w:t>
      </w:r>
      <w:r>
        <w:rPr>
          <w:sz w:val="26"/>
        </w:rPr>
        <w:t>1.</w:t>
      </w:r>
    </w:p>
    <w:p>
      <w:pPr>
        <w:pStyle w:val="BodyText"/>
      </w:pPr>
    </w:p>
    <w:p>
      <w:pPr>
        <w:pStyle w:val="ListParagraph"/>
        <w:numPr>
          <w:ilvl w:val="0"/>
          <w:numId w:val="16"/>
        </w:numPr>
        <w:tabs>
          <w:tab w:pos="477" w:val="left" w:leader="none"/>
        </w:tabs>
        <w:spacing w:line="357" w:lineRule="auto" w:before="157" w:after="0"/>
        <w:ind w:left="477" w:right="115" w:hanging="361"/>
        <w:jc w:val="both"/>
        <w:rPr>
          <w:sz w:val="26"/>
        </w:rPr>
      </w:pPr>
      <w:r>
        <w:rPr>
          <w:i/>
          <w:sz w:val="26"/>
        </w:rPr>
        <w:t>Máximo contenido de agua en la nieve que corresponde a un 100% de cobertura </w:t>
      </w:r>
      <w:r>
        <w:rPr>
          <w:i/>
          <w:position w:val="2"/>
          <w:sz w:val="26"/>
        </w:rPr>
        <w:t>por</w:t>
      </w:r>
      <w:r>
        <w:rPr>
          <w:i/>
          <w:spacing w:val="-6"/>
          <w:position w:val="2"/>
          <w:sz w:val="26"/>
        </w:rPr>
        <w:t> </w:t>
      </w:r>
      <w:r>
        <w:rPr>
          <w:i/>
          <w:position w:val="2"/>
          <w:sz w:val="26"/>
        </w:rPr>
        <w:t>la</w:t>
      </w:r>
      <w:r>
        <w:rPr>
          <w:i/>
          <w:spacing w:val="-6"/>
          <w:position w:val="2"/>
          <w:sz w:val="26"/>
        </w:rPr>
        <w:t> </w:t>
      </w:r>
      <w:r>
        <w:rPr>
          <w:i/>
          <w:position w:val="2"/>
          <w:sz w:val="26"/>
        </w:rPr>
        <w:t>nieve</w:t>
      </w:r>
      <w:r>
        <w:rPr>
          <w:i/>
          <w:spacing w:val="-6"/>
          <w:position w:val="2"/>
          <w:sz w:val="26"/>
        </w:rPr>
        <w:t> </w:t>
      </w:r>
      <w:r>
        <w:rPr>
          <w:i/>
          <w:position w:val="2"/>
          <w:sz w:val="26"/>
        </w:rPr>
        <w:t>(mm</w:t>
      </w:r>
      <w:r>
        <w:rPr>
          <w:i/>
          <w:spacing w:val="-6"/>
          <w:position w:val="2"/>
          <w:sz w:val="26"/>
        </w:rPr>
        <w:t> </w:t>
      </w:r>
      <w:r>
        <w:rPr>
          <w:i/>
          <w:position w:val="2"/>
          <w:sz w:val="26"/>
        </w:rPr>
        <w:t>H</w:t>
      </w:r>
      <w:r>
        <w:rPr>
          <w:i/>
          <w:sz w:val="16"/>
        </w:rPr>
        <w:t>2</w:t>
      </w:r>
      <w:r>
        <w:rPr>
          <w:i/>
          <w:position w:val="2"/>
          <w:sz w:val="26"/>
        </w:rPr>
        <w:t>O)</w:t>
      </w:r>
      <w:r>
        <w:rPr>
          <w:i/>
          <w:spacing w:val="-10"/>
          <w:position w:val="2"/>
          <w:sz w:val="26"/>
        </w:rPr>
        <w:t> </w:t>
      </w:r>
      <w:r>
        <w:rPr>
          <w:i/>
          <w:position w:val="2"/>
          <w:sz w:val="26"/>
        </w:rPr>
        <w:t>(SNOCOVMX).</w:t>
      </w:r>
      <w:r>
        <w:rPr>
          <w:i/>
          <w:spacing w:val="-4"/>
          <w:position w:val="2"/>
          <w:sz w:val="26"/>
        </w:rPr>
        <w:t> </w:t>
      </w:r>
      <w:r>
        <w:rPr>
          <w:spacing w:val="-3"/>
          <w:position w:val="2"/>
          <w:sz w:val="26"/>
        </w:rPr>
        <w:t>Si</w:t>
      </w:r>
      <w:r>
        <w:rPr>
          <w:spacing w:val="-6"/>
          <w:position w:val="2"/>
          <w:sz w:val="26"/>
        </w:rPr>
        <w:t> </w:t>
      </w:r>
      <w:r>
        <w:rPr>
          <w:position w:val="2"/>
          <w:sz w:val="26"/>
        </w:rPr>
        <w:t>el</w:t>
      </w:r>
      <w:r>
        <w:rPr>
          <w:spacing w:val="-6"/>
          <w:position w:val="2"/>
          <w:sz w:val="26"/>
        </w:rPr>
        <w:t> </w:t>
      </w:r>
      <w:r>
        <w:rPr>
          <w:position w:val="2"/>
          <w:sz w:val="26"/>
        </w:rPr>
        <w:t>contenido</w:t>
      </w:r>
      <w:r>
        <w:rPr>
          <w:spacing w:val="-6"/>
          <w:position w:val="2"/>
          <w:sz w:val="26"/>
        </w:rPr>
        <w:t> </w:t>
      </w:r>
      <w:r>
        <w:rPr>
          <w:position w:val="2"/>
          <w:sz w:val="26"/>
        </w:rPr>
        <w:t>de</w:t>
      </w:r>
      <w:r>
        <w:rPr>
          <w:spacing w:val="-6"/>
          <w:position w:val="2"/>
          <w:sz w:val="26"/>
        </w:rPr>
        <w:t> </w:t>
      </w:r>
      <w:r>
        <w:rPr>
          <w:position w:val="2"/>
          <w:sz w:val="26"/>
        </w:rPr>
        <w:t>agua</w:t>
      </w:r>
      <w:r>
        <w:rPr>
          <w:spacing w:val="-6"/>
          <w:position w:val="2"/>
          <w:sz w:val="26"/>
        </w:rPr>
        <w:t> </w:t>
      </w:r>
      <w:r>
        <w:rPr>
          <w:position w:val="2"/>
          <w:sz w:val="26"/>
        </w:rPr>
        <w:t>de</w:t>
      </w:r>
      <w:r>
        <w:rPr>
          <w:spacing w:val="-6"/>
          <w:position w:val="2"/>
          <w:sz w:val="26"/>
        </w:rPr>
        <w:t> </w:t>
      </w:r>
      <w:r>
        <w:rPr>
          <w:position w:val="2"/>
          <w:sz w:val="26"/>
        </w:rPr>
        <w:t>la</w:t>
      </w:r>
      <w:r>
        <w:rPr>
          <w:spacing w:val="-6"/>
          <w:position w:val="2"/>
          <w:sz w:val="26"/>
        </w:rPr>
        <w:t> </w:t>
      </w:r>
      <w:r>
        <w:rPr>
          <w:position w:val="2"/>
          <w:sz w:val="26"/>
        </w:rPr>
        <w:t>nieve</w:t>
      </w:r>
      <w:r>
        <w:rPr>
          <w:spacing w:val="-6"/>
          <w:position w:val="2"/>
          <w:sz w:val="26"/>
        </w:rPr>
        <w:t> </w:t>
      </w:r>
      <w:r>
        <w:rPr>
          <w:position w:val="2"/>
          <w:sz w:val="26"/>
        </w:rPr>
        <w:t>es</w:t>
      </w:r>
      <w:r>
        <w:rPr>
          <w:spacing w:val="-6"/>
          <w:position w:val="2"/>
          <w:sz w:val="26"/>
        </w:rPr>
        <w:t> </w:t>
      </w:r>
      <w:r>
        <w:rPr>
          <w:position w:val="2"/>
          <w:sz w:val="26"/>
        </w:rPr>
        <w:t>menor </w:t>
      </w:r>
      <w:r>
        <w:rPr>
          <w:sz w:val="26"/>
        </w:rPr>
        <w:t>que SNOCOVMX, entonces cierto porcentaje del suelo estará descubierto. El modelo aplica un valor de</w:t>
      </w:r>
      <w:r>
        <w:rPr>
          <w:spacing w:val="-6"/>
          <w:sz w:val="26"/>
        </w:rPr>
        <w:t> </w:t>
      </w:r>
      <w:r>
        <w:rPr>
          <w:sz w:val="26"/>
        </w:rPr>
        <w:t>1.</w:t>
      </w:r>
    </w:p>
    <w:p>
      <w:pPr>
        <w:spacing w:after="0" w:line="357" w:lineRule="auto"/>
        <w:jc w:val="both"/>
        <w:rPr>
          <w:sz w:val="26"/>
        </w:rPr>
        <w:sectPr>
          <w:pgSz w:w="12240" w:h="15840"/>
          <w:pgMar w:header="0" w:footer="1473" w:top="1360" w:bottom="1660" w:left="1660" w:right="1300"/>
        </w:sectPr>
      </w:pPr>
    </w:p>
    <w:p>
      <w:pPr>
        <w:pStyle w:val="ListParagraph"/>
        <w:numPr>
          <w:ilvl w:val="1"/>
          <w:numId w:val="16"/>
        </w:numPr>
        <w:tabs>
          <w:tab w:pos="837" w:val="left" w:leader="none"/>
        </w:tabs>
        <w:spacing w:line="355" w:lineRule="auto" w:before="29" w:after="0"/>
        <w:ind w:left="837" w:right="115" w:hanging="361"/>
        <w:jc w:val="both"/>
        <w:rPr>
          <w:rFonts w:ascii="Symbol" w:hAnsi="Symbol"/>
          <w:sz w:val="26"/>
        </w:rPr>
      </w:pPr>
      <w:r>
        <w:rPr>
          <w:i/>
          <w:sz w:val="26"/>
        </w:rPr>
        <w:t>Contenido equivalente de agua en la nieve que corresponde a un 50% de</w:t>
      </w:r>
      <w:r>
        <w:rPr>
          <w:i/>
          <w:spacing w:val="-24"/>
          <w:sz w:val="26"/>
        </w:rPr>
        <w:t> </w:t>
      </w:r>
      <w:r>
        <w:rPr>
          <w:i/>
          <w:sz w:val="26"/>
        </w:rPr>
        <w:t>cobertura </w:t>
      </w:r>
      <w:r>
        <w:rPr>
          <w:i/>
          <w:position w:val="2"/>
          <w:sz w:val="26"/>
        </w:rPr>
        <w:t>(mm</w:t>
      </w:r>
      <w:r>
        <w:rPr>
          <w:i/>
          <w:spacing w:val="-16"/>
          <w:position w:val="2"/>
          <w:sz w:val="26"/>
        </w:rPr>
        <w:t> </w:t>
      </w:r>
      <w:r>
        <w:rPr>
          <w:i/>
          <w:position w:val="2"/>
          <w:sz w:val="26"/>
        </w:rPr>
        <w:t>H</w:t>
      </w:r>
      <w:r>
        <w:rPr>
          <w:i/>
          <w:sz w:val="16"/>
        </w:rPr>
        <w:t>2</w:t>
      </w:r>
      <w:r>
        <w:rPr>
          <w:i/>
          <w:position w:val="2"/>
          <w:sz w:val="26"/>
        </w:rPr>
        <w:t>O)</w:t>
      </w:r>
      <w:r>
        <w:rPr>
          <w:i/>
          <w:spacing w:val="-16"/>
          <w:position w:val="2"/>
          <w:sz w:val="26"/>
        </w:rPr>
        <w:t> </w:t>
      </w:r>
      <w:r>
        <w:rPr>
          <w:i/>
          <w:position w:val="2"/>
          <w:sz w:val="26"/>
        </w:rPr>
        <w:t>(SNO50COV</w:t>
      </w:r>
      <w:r>
        <w:rPr>
          <w:position w:val="2"/>
          <w:sz w:val="26"/>
        </w:rPr>
        <w:t>).</w:t>
      </w:r>
      <w:r>
        <w:rPr>
          <w:spacing w:val="-13"/>
          <w:position w:val="2"/>
          <w:sz w:val="26"/>
        </w:rPr>
        <w:t> </w:t>
      </w:r>
      <w:r>
        <w:rPr>
          <w:position w:val="2"/>
          <w:sz w:val="26"/>
        </w:rPr>
        <w:t>El</w:t>
      </w:r>
      <w:r>
        <w:rPr>
          <w:spacing w:val="-11"/>
          <w:position w:val="2"/>
          <w:sz w:val="26"/>
        </w:rPr>
        <w:t> </w:t>
      </w:r>
      <w:r>
        <w:rPr>
          <w:position w:val="2"/>
          <w:sz w:val="26"/>
        </w:rPr>
        <w:t>modelo</w:t>
      </w:r>
      <w:r>
        <w:rPr>
          <w:spacing w:val="-10"/>
          <w:position w:val="2"/>
          <w:sz w:val="26"/>
        </w:rPr>
        <w:t> </w:t>
      </w:r>
      <w:r>
        <w:rPr>
          <w:position w:val="2"/>
          <w:sz w:val="26"/>
        </w:rPr>
        <w:t>SWAT</w:t>
      </w:r>
      <w:r>
        <w:rPr>
          <w:spacing w:val="-16"/>
          <w:position w:val="2"/>
          <w:sz w:val="26"/>
        </w:rPr>
        <w:t> </w:t>
      </w:r>
      <w:r>
        <w:rPr>
          <w:position w:val="2"/>
          <w:sz w:val="26"/>
        </w:rPr>
        <w:t>establece</w:t>
      </w:r>
      <w:r>
        <w:rPr>
          <w:spacing w:val="-15"/>
          <w:position w:val="2"/>
          <w:sz w:val="26"/>
        </w:rPr>
        <w:t> </w:t>
      </w:r>
      <w:r>
        <w:rPr>
          <w:position w:val="2"/>
          <w:sz w:val="26"/>
        </w:rPr>
        <w:t>una</w:t>
      </w:r>
      <w:r>
        <w:rPr>
          <w:spacing w:val="-16"/>
          <w:position w:val="2"/>
          <w:sz w:val="26"/>
        </w:rPr>
        <w:t> </w:t>
      </w:r>
      <w:r>
        <w:rPr>
          <w:position w:val="2"/>
          <w:sz w:val="26"/>
        </w:rPr>
        <w:t>correlación</w:t>
      </w:r>
      <w:r>
        <w:rPr>
          <w:spacing w:val="-14"/>
          <w:position w:val="2"/>
          <w:sz w:val="26"/>
        </w:rPr>
        <w:t> </w:t>
      </w:r>
      <w:r>
        <w:rPr>
          <w:position w:val="2"/>
          <w:sz w:val="26"/>
        </w:rPr>
        <w:t>no</w:t>
      </w:r>
      <w:r>
        <w:rPr>
          <w:spacing w:val="-16"/>
          <w:position w:val="2"/>
          <w:sz w:val="26"/>
        </w:rPr>
        <w:t> </w:t>
      </w:r>
      <w:r>
        <w:rPr>
          <w:position w:val="2"/>
          <w:sz w:val="26"/>
        </w:rPr>
        <w:t>lineal</w:t>
      </w:r>
      <w:r>
        <w:rPr>
          <w:spacing w:val="-16"/>
          <w:position w:val="2"/>
          <w:sz w:val="26"/>
        </w:rPr>
        <w:t> </w:t>
      </w:r>
      <w:r>
        <w:rPr>
          <w:position w:val="2"/>
          <w:sz w:val="26"/>
        </w:rPr>
        <w:t>entre </w:t>
      </w:r>
      <w:r>
        <w:rPr>
          <w:sz w:val="26"/>
        </w:rPr>
        <w:t>el agua de nieve </w:t>
      </w:r>
      <w:r>
        <w:rPr>
          <w:i/>
          <w:sz w:val="26"/>
        </w:rPr>
        <w:t>y </w:t>
      </w:r>
      <w:r>
        <w:rPr>
          <w:sz w:val="26"/>
        </w:rPr>
        <w:t>la cobertura de la nieve y aplica un valor de 0.5. No</w:t>
      </w:r>
      <w:r>
        <w:rPr>
          <w:spacing w:val="-21"/>
          <w:sz w:val="26"/>
        </w:rPr>
        <w:t> </w:t>
      </w:r>
      <w:r>
        <w:rPr>
          <w:sz w:val="26"/>
        </w:rPr>
        <w:t>considerado.</w:t>
      </w:r>
    </w:p>
    <w:p>
      <w:pPr>
        <w:pStyle w:val="BodyText"/>
      </w:pPr>
    </w:p>
    <w:p>
      <w:pPr>
        <w:pStyle w:val="ListParagraph"/>
        <w:numPr>
          <w:ilvl w:val="1"/>
          <w:numId w:val="16"/>
        </w:numPr>
        <w:tabs>
          <w:tab w:pos="837" w:val="left" w:leader="none"/>
        </w:tabs>
        <w:spacing w:line="350" w:lineRule="auto" w:before="162" w:after="0"/>
        <w:ind w:left="837" w:right="118" w:hanging="361"/>
        <w:jc w:val="both"/>
        <w:rPr>
          <w:rFonts w:ascii="Symbol" w:hAnsi="Symbol"/>
          <w:sz w:val="26"/>
        </w:rPr>
      </w:pPr>
      <w:r>
        <w:rPr>
          <w:i/>
          <w:sz w:val="26"/>
        </w:rPr>
        <w:t>Concentración de N en la lluvia (mg N/L) (RCN). </w:t>
      </w:r>
      <w:r>
        <w:rPr>
          <w:sz w:val="26"/>
        </w:rPr>
        <w:t>El modelo usa RCN= 1.0 cuando este no es proporcionado. En el caso de la cuenca el valor aplicado fue de</w:t>
      </w:r>
      <w:r>
        <w:rPr>
          <w:spacing w:val="-1"/>
          <w:sz w:val="26"/>
        </w:rPr>
        <w:t> </w:t>
      </w:r>
      <w:r>
        <w:rPr>
          <w:sz w:val="26"/>
        </w:rPr>
        <w:t>0.</w:t>
      </w:r>
    </w:p>
    <w:p>
      <w:pPr>
        <w:pStyle w:val="BodyText"/>
      </w:pPr>
    </w:p>
    <w:p>
      <w:pPr>
        <w:pStyle w:val="ListParagraph"/>
        <w:numPr>
          <w:ilvl w:val="1"/>
          <w:numId w:val="16"/>
        </w:numPr>
        <w:tabs>
          <w:tab w:pos="837" w:val="left" w:leader="none"/>
        </w:tabs>
        <w:spacing w:line="360" w:lineRule="auto" w:before="168" w:after="0"/>
        <w:ind w:left="837" w:right="112" w:hanging="361"/>
        <w:jc w:val="both"/>
        <w:rPr>
          <w:rFonts w:ascii="Symbol" w:hAnsi="Symbol"/>
          <w:sz w:val="26"/>
        </w:rPr>
      </w:pPr>
      <w:r>
        <w:rPr>
          <w:i/>
          <w:sz w:val="26"/>
        </w:rPr>
        <w:t>Tiempo de retraso (días) del escurrimiento subsuperficial (SURLAG). </w:t>
      </w:r>
      <w:r>
        <w:rPr>
          <w:spacing w:val="-3"/>
          <w:sz w:val="26"/>
        </w:rPr>
        <w:t>Se </w:t>
      </w:r>
      <w:r>
        <w:rPr>
          <w:sz w:val="26"/>
        </w:rPr>
        <w:t>define como el tiempo (en días) que tarda el escurrimiento superficial en contribuir al escurrimiento</w:t>
      </w:r>
      <w:r>
        <w:rPr>
          <w:spacing w:val="-10"/>
          <w:sz w:val="26"/>
        </w:rPr>
        <w:t> </w:t>
      </w:r>
      <w:r>
        <w:rPr>
          <w:sz w:val="26"/>
        </w:rPr>
        <w:t>del</w:t>
      </w:r>
      <w:r>
        <w:rPr>
          <w:spacing w:val="-10"/>
          <w:sz w:val="26"/>
        </w:rPr>
        <w:t> </w:t>
      </w:r>
      <w:r>
        <w:rPr>
          <w:sz w:val="26"/>
        </w:rPr>
        <w:t>canal,</w:t>
      </w:r>
      <w:r>
        <w:rPr>
          <w:spacing w:val="-8"/>
          <w:sz w:val="26"/>
        </w:rPr>
        <w:t> </w:t>
      </w:r>
      <w:r>
        <w:rPr>
          <w:sz w:val="26"/>
        </w:rPr>
        <w:t>después</w:t>
      </w:r>
      <w:r>
        <w:rPr>
          <w:spacing w:val="-10"/>
          <w:sz w:val="26"/>
        </w:rPr>
        <w:t> </w:t>
      </w:r>
      <w:r>
        <w:rPr>
          <w:sz w:val="26"/>
        </w:rPr>
        <w:t>de</w:t>
      </w:r>
      <w:r>
        <w:rPr>
          <w:spacing w:val="-10"/>
          <w:sz w:val="26"/>
        </w:rPr>
        <w:t> </w:t>
      </w:r>
      <w:r>
        <w:rPr>
          <w:sz w:val="26"/>
        </w:rPr>
        <w:t>un</w:t>
      </w:r>
      <w:r>
        <w:rPr>
          <w:spacing w:val="-10"/>
          <w:sz w:val="26"/>
        </w:rPr>
        <w:t> </w:t>
      </w:r>
      <w:r>
        <w:rPr>
          <w:sz w:val="26"/>
        </w:rPr>
        <w:t>evento</w:t>
      </w:r>
      <w:r>
        <w:rPr>
          <w:spacing w:val="-10"/>
          <w:sz w:val="26"/>
        </w:rPr>
        <w:t> </w:t>
      </w:r>
      <w:r>
        <w:rPr>
          <w:sz w:val="26"/>
        </w:rPr>
        <w:t>de</w:t>
      </w:r>
      <w:r>
        <w:rPr>
          <w:spacing w:val="-10"/>
          <w:sz w:val="26"/>
        </w:rPr>
        <w:t> </w:t>
      </w:r>
      <w:r>
        <w:rPr>
          <w:sz w:val="26"/>
        </w:rPr>
        <w:t>lluvia.</w:t>
      </w:r>
      <w:r>
        <w:rPr>
          <w:spacing w:val="-8"/>
          <w:sz w:val="26"/>
        </w:rPr>
        <w:t> </w:t>
      </w:r>
      <w:r>
        <w:rPr>
          <w:sz w:val="26"/>
        </w:rPr>
        <w:t>El</w:t>
      </w:r>
      <w:r>
        <w:rPr>
          <w:spacing w:val="-10"/>
          <w:sz w:val="26"/>
        </w:rPr>
        <w:t> </w:t>
      </w:r>
      <w:r>
        <w:rPr>
          <w:sz w:val="26"/>
        </w:rPr>
        <w:t>rango</w:t>
      </w:r>
      <w:r>
        <w:rPr>
          <w:spacing w:val="-10"/>
          <w:sz w:val="26"/>
        </w:rPr>
        <w:t> </w:t>
      </w:r>
      <w:r>
        <w:rPr>
          <w:sz w:val="26"/>
        </w:rPr>
        <w:t>aceptable</w:t>
      </w:r>
      <w:r>
        <w:rPr>
          <w:spacing w:val="-10"/>
          <w:sz w:val="26"/>
        </w:rPr>
        <w:t> </w:t>
      </w:r>
      <w:r>
        <w:rPr>
          <w:sz w:val="26"/>
        </w:rPr>
        <w:t>para</w:t>
      </w:r>
      <w:r>
        <w:rPr>
          <w:spacing w:val="-10"/>
          <w:sz w:val="26"/>
        </w:rPr>
        <w:t> </w:t>
      </w:r>
      <w:r>
        <w:rPr>
          <w:sz w:val="26"/>
        </w:rPr>
        <w:t>éste parámetro varía entre 0.0 y 120.0 días. </w:t>
      </w:r>
      <w:r>
        <w:rPr>
          <w:spacing w:val="-3"/>
          <w:sz w:val="26"/>
        </w:rPr>
        <w:t>Si </w:t>
      </w:r>
      <w:r>
        <w:rPr>
          <w:sz w:val="26"/>
        </w:rPr>
        <w:t>se incluye el valor de 0.0, todo el escurrimiento subsuperficial alcanza la salida de la subcuenca en el </w:t>
      </w:r>
      <w:r>
        <w:rPr>
          <w:spacing w:val="-3"/>
          <w:sz w:val="26"/>
        </w:rPr>
        <w:t>mismo </w:t>
      </w:r>
      <w:r>
        <w:rPr>
          <w:sz w:val="26"/>
        </w:rPr>
        <w:t>día que ocurre la lluvia. Con base en la información obtenida por Fernández (1996), se asignó un valor de 15 días, en que el escurrimiento significativo se presentó constante.</w:t>
      </w:r>
    </w:p>
    <w:p>
      <w:pPr>
        <w:pStyle w:val="BodyText"/>
      </w:pPr>
    </w:p>
    <w:p>
      <w:pPr>
        <w:pStyle w:val="BodyText"/>
        <w:spacing w:before="9"/>
        <w:rPr>
          <w:sz w:val="34"/>
        </w:rPr>
      </w:pPr>
    </w:p>
    <w:p>
      <w:pPr>
        <w:pStyle w:val="Heading1"/>
        <w:numPr>
          <w:ilvl w:val="2"/>
          <w:numId w:val="5"/>
        </w:numPr>
        <w:tabs>
          <w:tab w:pos="707" w:val="left" w:leader="none"/>
        </w:tabs>
        <w:spacing w:line="240" w:lineRule="auto" w:before="0" w:after="0"/>
        <w:ind w:left="706" w:right="0" w:hanging="590"/>
        <w:jc w:val="left"/>
      </w:pPr>
      <w:bookmarkStart w:name="_bookmark52" w:id="75"/>
      <w:bookmarkEnd w:id="75"/>
      <w:r>
        <w:rPr>
          <w:b w:val="0"/>
        </w:rPr>
      </w:r>
      <w:bookmarkStart w:name="_bookmark52" w:id="76"/>
      <w:bookmarkEnd w:id="76"/>
      <w:r>
        <w:rPr/>
        <w:t>G</w:t>
      </w:r>
      <w:r>
        <w:rPr/>
        <w:t>eneradores climáticos (ARCHIVO</w:t>
      </w:r>
      <w:r>
        <w:rPr>
          <w:spacing w:val="-19"/>
        </w:rPr>
        <w:t> </w:t>
      </w:r>
      <w:r>
        <w:rPr/>
        <w:t>WGN)</w:t>
      </w:r>
    </w:p>
    <w:p>
      <w:pPr>
        <w:pStyle w:val="BodyText"/>
        <w:rPr>
          <w:b/>
        </w:rPr>
      </w:pPr>
    </w:p>
    <w:p>
      <w:pPr>
        <w:pStyle w:val="BodyText"/>
        <w:spacing w:before="11"/>
        <w:rPr>
          <w:b/>
          <w:sz w:val="21"/>
        </w:rPr>
      </w:pPr>
    </w:p>
    <w:p>
      <w:pPr>
        <w:pStyle w:val="ListParagraph"/>
        <w:numPr>
          <w:ilvl w:val="0"/>
          <w:numId w:val="30"/>
        </w:numPr>
        <w:tabs>
          <w:tab w:pos="837" w:val="left" w:leader="none"/>
        </w:tabs>
        <w:spacing w:line="357" w:lineRule="auto" w:before="0" w:after="0"/>
        <w:ind w:left="837" w:right="111" w:hanging="361"/>
        <w:jc w:val="both"/>
        <w:rPr>
          <w:sz w:val="26"/>
        </w:rPr>
      </w:pPr>
      <w:r>
        <w:rPr>
          <w:i/>
          <w:sz w:val="26"/>
        </w:rPr>
        <w:t>Lluvia máxima en 0.5 h con período de retorno de 10 años (RAIN_HH) y 6 h </w:t>
      </w:r>
      <w:r>
        <w:rPr>
          <w:i/>
          <w:sz w:val="26"/>
        </w:rPr>
        <w:t>(RAIN_6H) y número de años de información pluviográfica disponibles (RAIN_ YRS)</w:t>
      </w:r>
      <w:r>
        <w:rPr>
          <w:sz w:val="26"/>
        </w:rPr>
        <w:t>. Corresponden a la lámina máxima para un evento de duración de 0.5 y 6 h. Respectivamente</w:t>
      </w:r>
      <w:r>
        <w:rPr>
          <w:spacing w:val="-7"/>
          <w:sz w:val="26"/>
        </w:rPr>
        <w:t> </w:t>
      </w:r>
      <w:r>
        <w:rPr>
          <w:sz w:val="26"/>
        </w:rPr>
        <w:t>y</w:t>
      </w:r>
      <w:r>
        <w:rPr>
          <w:spacing w:val="-7"/>
          <w:sz w:val="26"/>
        </w:rPr>
        <w:t> </w:t>
      </w:r>
      <w:r>
        <w:rPr>
          <w:sz w:val="26"/>
        </w:rPr>
        <w:t>que</w:t>
      </w:r>
      <w:r>
        <w:rPr>
          <w:spacing w:val="-7"/>
          <w:sz w:val="26"/>
        </w:rPr>
        <w:t> </w:t>
      </w:r>
      <w:r>
        <w:rPr>
          <w:sz w:val="26"/>
        </w:rPr>
        <w:t>ocurre</w:t>
      </w:r>
      <w:r>
        <w:rPr>
          <w:spacing w:val="-7"/>
          <w:sz w:val="26"/>
        </w:rPr>
        <w:t> </w:t>
      </w:r>
      <w:r>
        <w:rPr>
          <w:sz w:val="26"/>
        </w:rPr>
        <w:t>con</w:t>
      </w:r>
      <w:r>
        <w:rPr>
          <w:spacing w:val="-11"/>
          <w:sz w:val="26"/>
        </w:rPr>
        <w:t> </w:t>
      </w:r>
      <w:r>
        <w:rPr>
          <w:sz w:val="26"/>
        </w:rPr>
        <w:t>una</w:t>
      </w:r>
      <w:r>
        <w:rPr>
          <w:spacing w:val="-7"/>
          <w:sz w:val="26"/>
        </w:rPr>
        <w:t> </w:t>
      </w:r>
      <w:r>
        <w:rPr>
          <w:sz w:val="26"/>
        </w:rPr>
        <w:t>frecuencia</w:t>
      </w:r>
      <w:r>
        <w:rPr>
          <w:spacing w:val="-7"/>
          <w:sz w:val="26"/>
        </w:rPr>
        <w:t> </w:t>
      </w:r>
      <w:r>
        <w:rPr>
          <w:sz w:val="26"/>
        </w:rPr>
        <w:t>de</w:t>
      </w:r>
      <w:r>
        <w:rPr>
          <w:spacing w:val="-7"/>
          <w:sz w:val="26"/>
        </w:rPr>
        <w:t> </w:t>
      </w:r>
      <w:r>
        <w:rPr>
          <w:sz w:val="26"/>
        </w:rPr>
        <w:t>una</w:t>
      </w:r>
      <w:r>
        <w:rPr>
          <w:spacing w:val="-11"/>
          <w:sz w:val="26"/>
        </w:rPr>
        <w:t> </w:t>
      </w:r>
      <w:r>
        <w:rPr>
          <w:sz w:val="26"/>
        </w:rPr>
        <w:t>vez</w:t>
      </w:r>
      <w:r>
        <w:rPr>
          <w:spacing w:val="-7"/>
          <w:sz w:val="26"/>
        </w:rPr>
        <w:t> </w:t>
      </w:r>
      <w:r>
        <w:rPr>
          <w:sz w:val="26"/>
        </w:rPr>
        <w:t>cada</w:t>
      </w:r>
      <w:r>
        <w:rPr>
          <w:spacing w:val="-7"/>
          <w:sz w:val="26"/>
        </w:rPr>
        <w:t> </w:t>
      </w:r>
      <w:r>
        <w:rPr>
          <w:sz w:val="26"/>
        </w:rPr>
        <w:t>10</w:t>
      </w:r>
      <w:r>
        <w:rPr>
          <w:spacing w:val="-7"/>
          <w:sz w:val="26"/>
        </w:rPr>
        <w:t> </w:t>
      </w:r>
      <w:r>
        <w:rPr>
          <w:sz w:val="26"/>
        </w:rPr>
        <w:t>años.</w:t>
      </w:r>
      <w:r>
        <w:rPr>
          <w:spacing w:val="-5"/>
          <w:sz w:val="26"/>
        </w:rPr>
        <w:t> </w:t>
      </w:r>
      <w:r>
        <w:rPr>
          <w:sz w:val="26"/>
        </w:rPr>
        <w:t>El</w:t>
      </w:r>
      <w:r>
        <w:rPr>
          <w:spacing w:val="-11"/>
          <w:sz w:val="26"/>
        </w:rPr>
        <w:t> </w:t>
      </w:r>
      <w:r>
        <w:rPr>
          <w:sz w:val="26"/>
        </w:rPr>
        <w:t>rango de estos parámetros está entre 5 - 150 para 0.5 h y 25 - 200 para 6</w:t>
      </w:r>
      <w:r>
        <w:rPr>
          <w:spacing w:val="-5"/>
          <w:sz w:val="26"/>
        </w:rPr>
        <w:t> </w:t>
      </w:r>
      <w:r>
        <w:rPr>
          <w:spacing w:val="-3"/>
          <w:sz w:val="26"/>
        </w:rPr>
        <w:t>h.</w:t>
      </w:r>
    </w:p>
    <w:p>
      <w:pPr>
        <w:pStyle w:val="BodyText"/>
      </w:pPr>
    </w:p>
    <w:p>
      <w:pPr>
        <w:pStyle w:val="ListParagraph"/>
        <w:numPr>
          <w:ilvl w:val="0"/>
          <w:numId w:val="30"/>
        </w:numPr>
        <w:tabs>
          <w:tab w:pos="837" w:val="left" w:leader="none"/>
        </w:tabs>
        <w:spacing w:line="350" w:lineRule="auto" w:before="159" w:after="0"/>
        <w:ind w:left="837" w:right="119" w:hanging="361"/>
        <w:jc w:val="both"/>
        <w:rPr>
          <w:sz w:val="26"/>
        </w:rPr>
      </w:pPr>
      <w:r>
        <w:rPr>
          <w:i/>
          <w:sz w:val="26"/>
        </w:rPr>
        <w:t>Latitud de la cuenca (LAT). </w:t>
      </w:r>
      <w:r>
        <w:rPr>
          <w:spacing w:val="-3"/>
          <w:sz w:val="26"/>
        </w:rPr>
        <w:t>La </w:t>
      </w:r>
      <w:r>
        <w:rPr>
          <w:sz w:val="26"/>
        </w:rPr>
        <w:t>cuenca se encuentra ubicada sobre las coordenadas geográficas 19°54'57.6" (19.916°)</w:t>
      </w:r>
      <w:r>
        <w:rPr>
          <w:spacing w:val="-6"/>
          <w:sz w:val="26"/>
        </w:rPr>
        <w:t> </w:t>
      </w:r>
      <w:r>
        <w:rPr>
          <w:sz w:val="26"/>
        </w:rPr>
        <w:t>norte.</w:t>
      </w:r>
    </w:p>
    <w:p>
      <w:pPr>
        <w:spacing w:after="0" w:line="350" w:lineRule="auto"/>
        <w:jc w:val="both"/>
        <w:rPr>
          <w:sz w:val="26"/>
        </w:rPr>
        <w:sectPr>
          <w:pgSz w:w="12240" w:h="15840"/>
          <w:pgMar w:header="0" w:footer="1473" w:top="1380" w:bottom="1660" w:left="1300" w:right="1300"/>
        </w:sectPr>
      </w:pPr>
    </w:p>
    <w:p>
      <w:pPr>
        <w:pStyle w:val="ListParagraph"/>
        <w:numPr>
          <w:ilvl w:val="0"/>
          <w:numId w:val="16"/>
        </w:numPr>
        <w:tabs>
          <w:tab w:pos="477" w:val="left" w:leader="none"/>
        </w:tabs>
        <w:spacing w:line="357" w:lineRule="auto" w:before="29" w:after="0"/>
        <w:ind w:left="477" w:right="113" w:hanging="361"/>
        <w:jc w:val="both"/>
        <w:rPr>
          <w:sz w:val="26"/>
        </w:rPr>
      </w:pPr>
      <w:r>
        <w:rPr>
          <w:i/>
          <w:sz w:val="26"/>
        </w:rPr>
        <w:t>Temperatura máxima mensual promedio (TMP_MX) y mínima (TMP_MN). </w:t>
      </w:r>
      <w:r>
        <w:rPr>
          <w:spacing w:val="-3"/>
          <w:sz w:val="26"/>
        </w:rPr>
        <w:t>Se </w:t>
      </w:r>
      <w:r>
        <w:rPr>
          <w:sz w:val="26"/>
        </w:rPr>
        <w:t>refiere a la temperatura máxima y mínima mensual promedio en el período de observación,</w:t>
      </w:r>
      <w:r>
        <w:rPr>
          <w:spacing w:val="-4"/>
          <w:sz w:val="26"/>
        </w:rPr>
        <w:t> </w:t>
      </w:r>
      <w:r>
        <w:rPr>
          <w:sz w:val="26"/>
        </w:rPr>
        <w:t>de</w:t>
      </w:r>
      <w:r>
        <w:rPr>
          <w:spacing w:val="-6"/>
          <w:sz w:val="26"/>
        </w:rPr>
        <w:t> </w:t>
      </w:r>
      <w:r>
        <w:rPr>
          <w:sz w:val="26"/>
        </w:rPr>
        <w:t>enero</w:t>
      </w:r>
      <w:r>
        <w:rPr>
          <w:spacing w:val="-6"/>
          <w:sz w:val="26"/>
        </w:rPr>
        <w:t> </w:t>
      </w:r>
      <w:r>
        <w:rPr>
          <w:sz w:val="26"/>
        </w:rPr>
        <w:t>a</w:t>
      </w:r>
      <w:r>
        <w:rPr>
          <w:spacing w:val="-6"/>
          <w:sz w:val="26"/>
        </w:rPr>
        <w:t> </w:t>
      </w:r>
      <w:r>
        <w:rPr>
          <w:sz w:val="26"/>
        </w:rPr>
        <w:t>diciembre.</w:t>
      </w:r>
      <w:r>
        <w:rPr>
          <w:spacing w:val="-4"/>
          <w:sz w:val="26"/>
        </w:rPr>
        <w:t> </w:t>
      </w:r>
      <w:r>
        <w:rPr>
          <w:sz w:val="26"/>
        </w:rPr>
        <w:t>El</w:t>
      </w:r>
      <w:r>
        <w:rPr>
          <w:spacing w:val="-6"/>
          <w:sz w:val="26"/>
        </w:rPr>
        <w:t> </w:t>
      </w:r>
      <w:r>
        <w:rPr>
          <w:sz w:val="26"/>
        </w:rPr>
        <w:t>rango</w:t>
      </w:r>
      <w:r>
        <w:rPr>
          <w:spacing w:val="-6"/>
          <w:sz w:val="26"/>
        </w:rPr>
        <w:t> </w:t>
      </w:r>
      <w:r>
        <w:rPr>
          <w:sz w:val="26"/>
        </w:rPr>
        <w:t>de</w:t>
      </w:r>
      <w:r>
        <w:rPr>
          <w:spacing w:val="-6"/>
          <w:sz w:val="26"/>
        </w:rPr>
        <w:t> </w:t>
      </w:r>
      <w:r>
        <w:rPr>
          <w:sz w:val="26"/>
        </w:rPr>
        <w:t>valores</w:t>
      </w:r>
      <w:r>
        <w:rPr>
          <w:spacing w:val="-6"/>
          <w:sz w:val="26"/>
        </w:rPr>
        <w:t> </w:t>
      </w:r>
      <w:r>
        <w:rPr>
          <w:sz w:val="26"/>
        </w:rPr>
        <w:t>se</w:t>
      </w:r>
      <w:r>
        <w:rPr>
          <w:spacing w:val="-6"/>
          <w:sz w:val="26"/>
        </w:rPr>
        <w:t> </w:t>
      </w:r>
      <w:r>
        <w:rPr>
          <w:sz w:val="26"/>
        </w:rPr>
        <w:t>encuentra</w:t>
      </w:r>
      <w:r>
        <w:rPr>
          <w:spacing w:val="-6"/>
          <w:sz w:val="26"/>
        </w:rPr>
        <w:t> </w:t>
      </w:r>
      <w:r>
        <w:rPr>
          <w:sz w:val="26"/>
        </w:rPr>
        <w:t>entre</w:t>
      </w:r>
      <w:r>
        <w:rPr>
          <w:spacing w:val="-6"/>
          <w:sz w:val="26"/>
        </w:rPr>
        <w:t> </w:t>
      </w:r>
      <w:r>
        <w:rPr>
          <w:sz w:val="26"/>
        </w:rPr>
        <w:t>19</w:t>
      </w:r>
      <w:r>
        <w:rPr>
          <w:spacing w:val="-6"/>
          <w:sz w:val="26"/>
        </w:rPr>
        <w:t> </w:t>
      </w:r>
      <w:r>
        <w:rPr>
          <w:sz w:val="26"/>
        </w:rPr>
        <w:t>a</w:t>
      </w:r>
      <w:r>
        <w:rPr>
          <w:spacing w:val="-6"/>
          <w:sz w:val="26"/>
        </w:rPr>
        <w:t> </w:t>
      </w:r>
      <w:r>
        <w:rPr>
          <w:sz w:val="26"/>
        </w:rPr>
        <w:t>24°C para la temperatura máxima y -3 a 9°C para temperatura mínima. Los valores para cada subcuenca se presentan el Anexo C en la Tabla 9 y</w:t>
      </w:r>
      <w:r>
        <w:rPr>
          <w:spacing w:val="-10"/>
          <w:sz w:val="26"/>
        </w:rPr>
        <w:t> </w:t>
      </w:r>
      <w:r>
        <w:rPr>
          <w:sz w:val="26"/>
        </w:rPr>
        <w:t>10.</w:t>
      </w:r>
    </w:p>
    <w:p>
      <w:pPr>
        <w:pStyle w:val="BodyText"/>
      </w:pPr>
    </w:p>
    <w:p>
      <w:pPr>
        <w:pStyle w:val="ListParagraph"/>
        <w:numPr>
          <w:ilvl w:val="0"/>
          <w:numId w:val="16"/>
        </w:numPr>
        <w:tabs>
          <w:tab w:pos="477" w:val="left" w:leader="none"/>
        </w:tabs>
        <w:spacing w:line="350" w:lineRule="auto" w:before="159" w:after="0"/>
        <w:ind w:left="477" w:right="112" w:hanging="361"/>
        <w:jc w:val="both"/>
        <w:rPr>
          <w:sz w:val="26"/>
        </w:rPr>
      </w:pPr>
      <w:r>
        <w:rPr>
          <w:i/>
          <w:sz w:val="26"/>
        </w:rPr>
        <w:t>Radiación solar media mensual (SOLAR_ </w:t>
      </w:r>
      <w:r>
        <w:rPr>
          <w:i/>
          <w:spacing w:val="-3"/>
          <w:sz w:val="26"/>
        </w:rPr>
        <w:t>AV). </w:t>
      </w:r>
      <w:r>
        <w:rPr>
          <w:sz w:val="26"/>
        </w:rPr>
        <w:t>Los valores para este factor, se resumen en el Anexo C en la Tabla</w:t>
      </w:r>
      <w:r>
        <w:rPr>
          <w:spacing w:val="-3"/>
          <w:sz w:val="26"/>
        </w:rPr>
        <w:t> </w:t>
      </w:r>
      <w:r>
        <w:rPr>
          <w:sz w:val="26"/>
        </w:rPr>
        <w:t>11.</w:t>
      </w:r>
    </w:p>
    <w:p>
      <w:pPr>
        <w:pStyle w:val="BodyText"/>
      </w:pPr>
    </w:p>
    <w:p>
      <w:pPr>
        <w:pStyle w:val="ListParagraph"/>
        <w:numPr>
          <w:ilvl w:val="0"/>
          <w:numId w:val="16"/>
        </w:numPr>
        <w:tabs>
          <w:tab w:pos="477" w:val="left" w:leader="none"/>
        </w:tabs>
        <w:spacing w:line="357" w:lineRule="auto" w:before="167" w:after="0"/>
        <w:ind w:left="477" w:right="115" w:hanging="361"/>
        <w:jc w:val="both"/>
        <w:rPr>
          <w:sz w:val="26"/>
        </w:rPr>
      </w:pPr>
      <w:r>
        <w:rPr>
          <w:i/>
          <w:sz w:val="26"/>
        </w:rPr>
        <w:t>Cantidad máxima de lluvia en 0.5 h. A nivel mensual (RAIN_HHMX). </w:t>
      </w:r>
      <w:r>
        <w:rPr>
          <w:sz w:val="26"/>
        </w:rPr>
        <w:t>Consiste en la máxima lámina de lluvia mensual con una duración de 0.5 horas con una frecuencia</w:t>
      </w:r>
      <w:r>
        <w:rPr>
          <w:spacing w:val="-12"/>
          <w:sz w:val="26"/>
        </w:rPr>
        <w:t> </w:t>
      </w:r>
      <w:r>
        <w:rPr>
          <w:sz w:val="26"/>
        </w:rPr>
        <w:t>de</w:t>
      </w:r>
      <w:r>
        <w:rPr>
          <w:spacing w:val="-12"/>
          <w:sz w:val="26"/>
        </w:rPr>
        <w:t> </w:t>
      </w:r>
      <w:r>
        <w:rPr>
          <w:sz w:val="26"/>
        </w:rPr>
        <w:t>una</w:t>
      </w:r>
      <w:r>
        <w:rPr>
          <w:spacing w:val="-12"/>
          <w:sz w:val="26"/>
        </w:rPr>
        <w:t> </w:t>
      </w:r>
      <w:r>
        <w:rPr>
          <w:sz w:val="26"/>
        </w:rPr>
        <w:t>vez</w:t>
      </w:r>
      <w:r>
        <w:rPr>
          <w:spacing w:val="-12"/>
          <w:sz w:val="26"/>
        </w:rPr>
        <w:t> </w:t>
      </w:r>
      <w:r>
        <w:rPr>
          <w:sz w:val="26"/>
        </w:rPr>
        <w:t>en</w:t>
      </w:r>
      <w:r>
        <w:rPr>
          <w:spacing w:val="-12"/>
          <w:sz w:val="26"/>
        </w:rPr>
        <w:t> </w:t>
      </w:r>
      <w:r>
        <w:rPr>
          <w:sz w:val="26"/>
        </w:rPr>
        <w:t>10</w:t>
      </w:r>
      <w:r>
        <w:rPr>
          <w:spacing w:val="-12"/>
          <w:sz w:val="26"/>
        </w:rPr>
        <w:t> </w:t>
      </w:r>
      <w:r>
        <w:rPr>
          <w:sz w:val="26"/>
        </w:rPr>
        <w:t>años.</w:t>
      </w:r>
      <w:r>
        <w:rPr>
          <w:spacing w:val="-10"/>
          <w:sz w:val="26"/>
        </w:rPr>
        <w:t> </w:t>
      </w:r>
      <w:r>
        <w:rPr>
          <w:sz w:val="26"/>
        </w:rPr>
        <w:t>Los</w:t>
      </w:r>
      <w:r>
        <w:rPr>
          <w:spacing w:val="-12"/>
          <w:sz w:val="26"/>
        </w:rPr>
        <w:t> </w:t>
      </w:r>
      <w:r>
        <w:rPr>
          <w:sz w:val="26"/>
        </w:rPr>
        <w:t>valores</w:t>
      </w:r>
      <w:r>
        <w:rPr>
          <w:spacing w:val="-12"/>
          <w:sz w:val="26"/>
        </w:rPr>
        <w:t> </w:t>
      </w:r>
      <w:r>
        <w:rPr>
          <w:sz w:val="26"/>
        </w:rPr>
        <w:t>utilizados</w:t>
      </w:r>
      <w:r>
        <w:rPr>
          <w:spacing w:val="-12"/>
          <w:sz w:val="26"/>
        </w:rPr>
        <w:t> </w:t>
      </w:r>
      <w:r>
        <w:rPr>
          <w:sz w:val="26"/>
        </w:rPr>
        <w:t>para</w:t>
      </w:r>
      <w:r>
        <w:rPr>
          <w:spacing w:val="-12"/>
          <w:sz w:val="26"/>
        </w:rPr>
        <w:t> </w:t>
      </w:r>
      <w:r>
        <w:rPr>
          <w:sz w:val="26"/>
        </w:rPr>
        <w:t>esta</w:t>
      </w:r>
      <w:r>
        <w:rPr>
          <w:spacing w:val="-12"/>
          <w:sz w:val="26"/>
        </w:rPr>
        <w:t> </w:t>
      </w:r>
      <w:r>
        <w:rPr>
          <w:sz w:val="26"/>
        </w:rPr>
        <w:t>opción</w:t>
      </w:r>
      <w:r>
        <w:rPr>
          <w:spacing w:val="-12"/>
          <w:sz w:val="26"/>
        </w:rPr>
        <w:t> </w:t>
      </w:r>
      <w:r>
        <w:rPr>
          <w:sz w:val="26"/>
        </w:rPr>
        <w:t>se</w:t>
      </w:r>
      <w:r>
        <w:rPr>
          <w:spacing w:val="-16"/>
          <w:sz w:val="26"/>
        </w:rPr>
        <w:t> </w:t>
      </w:r>
      <w:r>
        <w:rPr>
          <w:sz w:val="26"/>
        </w:rPr>
        <w:t>resumen en el Anexo C en la Tabla</w:t>
      </w:r>
      <w:r>
        <w:rPr>
          <w:spacing w:val="-2"/>
          <w:sz w:val="26"/>
        </w:rPr>
        <w:t> </w:t>
      </w:r>
      <w:r>
        <w:rPr>
          <w:sz w:val="26"/>
        </w:rPr>
        <w:t>12.</w:t>
      </w:r>
    </w:p>
    <w:p>
      <w:pPr>
        <w:pStyle w:val="BodyText"/>
      </w:pPr>
    </w:p>
    <w:p>
      <w:pPr>
        <w:pStyle w:val="ListParagraph"/>
        <w:numPr>
          <w:ilvl w:val="0"/>
          <w:numId w:val="16"/>
        </w:numPr>
        <w:tabs>
          <w:tab w:pos="477" w:val="left" w:leader="none"/>
        </w:tabs>
        <w:spacing w:line="350" w:lineRule="auto" w:before="159" w:after="0"/>
        <w:ind w:left="477" w:right="110" w:hanging="361"/>
        <w:jc w:val="both"/>
        <w:rPr>
          <w:sz w:val="26"/>
        </w:rPr>
      </w:pPr>
      <w:r>
        <w:rPr>
          <w:i/>
          <w:sz w:val="26"/>
        </w:rPr>
        <w:t>Probabilidad</w:t>
      </w:r>
      <w:r>
        <w:rPr>
          <w:i/>
          <w:spacing w:val="-12"/>
          <w:sz w:val="26"/>
        </w:rPr>
        <w:t> </w:t>
      </w:r>
      <w:r>
        <w:rPr>
          <w:i/>
          <w:sz w:val="26"/>
        </w:rPr>
        <w:t>mensual</w:t>
      </w:r>
      <w:r>
        <w:rPr>
          <w:i/>
          <w:spacing w:val="-12"/>
          <w:sz w:val="26"/>
        </w:rPr>
        <w:t> </w:t>
      </w:r>
      <w:r>
        <w:rPr>
          <w:i/>
          <w:sz w:val="26"/>
        </w:rPr>
        <w:t>de</w:t>
      </w:r>
      <w:r>
        <w:rPr>
          <w:i/>
          <w:spacing w:val="-12"/>
          <w:sz w:val="26"/>
        </w:rPr>
        <w:t> </w:t>
      </w:r>
      <w:r>
        <w:rPr>
          <w:i/>
          <w:sz w:val="26"/>
        </w:rPr>
        <w:t>un</w:t>
      </w:r>
      <w:r>
        <w:rPr>
          <w:i/>
          <w:spacing w:val="-12"/>
          <w:sz w:val="26"/>
        </w:rPr>
        <w:t> </w:t>
      </w:r>
      <w:r>
        <w:rPr>
          <w:i/>
          <w:sz w:val="26"/>
        </w:rPr>
        <w:t>día</w:t>
      </w:r>
      <w:r>
        <w:rPr>
          <w:i/>
          <w:spacing w:val="-16"/>
          <w:sz w:val="26"/>
        </w:rPr>
        <w:t> </w:t>
      </w:r>
      <w:r>
        <w:rPr>
          <w:i/>
          <w:sz w:val="26"/>
        </w:rPr>
        <w:t>de</w:t>
      </w:r>
      <w:r>
        <w:rPr>
          <w:i/>
          <w:spacing w:val="-12"/>
          <w:sz w:val="26"/>
        </w:rPr>
        <w:t> </w:t>
      </w:r>
      <w:r>
        <w:rPr>
          <w:i/>
          <w:sz w:val="26"/>
        </w:rPr>
        <w:t>lluvia</w:t>
      </w:r>
      <w:r>
        <w:rPr>
          <w:i/>
          <w:spacing w:val="-12"/>
          <w:sz w:val="26"/>
        </w:rPr>
        <w:t> </w:t>
      </w:r>
      <w:r>
        <w:rPr>
          <w:i/>
          <w:sz w:val="26"/>
        </w:rPr>
        <w:t>después</w:t>
      </w:r>
      <w:r>
        <w:rPr>
          <w:i/>
          <w:spacing w:val="-12"/>
          <w:sz w:val="26"/>
        </w:rPr>
        <w:t> </w:t>
      </w:r>
      <w:r>
        <w:rPr>
          <w:i/>
          <w:sz w:val="26"/>
        </w:rPr>
        <w:t>de</w:t>
      </w:r>
      <w:r>
        <w:rPr>
          <w:i/>
          <w:spacing w:val="-12"/>
          <w:sz w:val="26"/>
        </w:rPr>
        <w:t> </w:t>
      </w:r>
      <w:r>
        <w:rPr>
          <w:i/>
          <w:sz w:val="26"/>
        </w:rPr>
        <w:t>un</w:t>
      </w:r>
      <w:r>
        <w:rPr>
          <w:i/>
          <w:spacing w:val="-16"/>
          <w:sz w:val="26"/>
        </w:rPr>
        <w:t> </w:t>
      </w:r>
      <w:r>
        <w:rPr>
          <w:i/>
          <w:sz w:val="26"/>
        </w:rPr>
        <w:t>día</w:t>
      </w:r>
      <w:r>
        <w:rPr>
          <w:i/>
          <w:spacing w:val="-12"/>
          <w:sz w:val="26"/>
        </w:rPr>
        <w:t> </w:t>
      </w:r>
      <w:r>
        <w:rPr>
          <w:i/>
          <w:sz w:val="26"/>
        </w:rPr>
        <w:t>seco</w:t>
      </w:r>
      <w:r>
        <w:rPr>
          <w:i/>
          <w:spacing w:val="-12"/>
          <w:sz w:val="26"/>
        </w:rPr>
        <w:t> </w:t>
      </w:r>
      <w:r>
        <w:rPr>
          <w:i/>
          <w:sz w:val="26"/>
        </w:rPr>
        <w:t>(PRW_1).</w:t>
      </w:r>
      <w:r>
        <w:rPr>
          <w:i/>
          <w:spacing w:val="-9"/>
          <w:sz w:val="26"/>
        </w:rPr>
        <w:t> </w:t>
      </w:r>
      <w:r>
        <w:rPr>
          <w:sz w:val="26"/>
        </w:rPr>
        <w:t>Consiste en la probabilidad </w:t>
      </w:r>
      <w:r>
        <w:rPr>
          <w:i/>
          <w:sz w:val="26"/>
        </w:rPr>
        <w:t>de </w:t>
      </w:r>
      <w:r>
        <w:rPr>
          <w:sz w:val="26"/>
        </w:rPr>
        <w:t>tener lluvia un día, después de un día</w:t>
      </w:r>
      <w:r>
        <w:rPr>
          <w:spacing w:val="-12"/>
          <w:sz w:val="26"/>
        </w:rPr>
        <w:t> </w:t>
      </w:r>
      <w:r>
        <w:rPr>
          <w:sz w:val="26"/>
        </w:rPr>
        <w:t>seco.</w:t>
      </w:r>
    </w:p>
    <w:p>
      <w:pPr>
        <w:pStyle w:val="BodyText"/>
      </w:pPr>
    </w:p>
    <w:p>
      <w:pPr>
        <w:pStyle w:val="ListParagraph"/>
        <w:numPr>
          <w:ilvl w:val="0"/>
          <w:numId w:val="16"/>
        </w:numPr>
        <w:tabs>
          <w:tab w:pos="476" w:val="left" w:leader="none"/>
          <w:tab w:pos="477" w:val="left" w:leader="none"/>
        </w:tabs>
        <w:spacing w:line="240" w:lineRule="auto" w:before="168" w:after="0"/>
        <w:ind w:left="477" w:right="0" w:hanging="361"/>
        <w:jc w:val="left"/>
        <w:rPr>
          <w:i/>
          <w:sz w:val="26"/>
        </w:rPr>
      </w:pPr>
      <w:r>
        <w:rPr>
          <w:i/>
          <w:sz w:val="26"/>
        </w:rPr>
        <w:t>Probabilidad mensual de un día de lluvia después de otro día de lluvia  </w:t>
      </w:r>
      <w:r>
        <w:rPr>
          <w:i/>
          <w:spacing w:val="60"/>
          <w:sz w:val="26"/>
        </w:rPr>
        <w:t> </w:t>
      </w:r>
      <w:r>
        <w:rPr>
          <w:i/>
          <w:sz w:val="26"/>
        </w:rPr>
        <w:t>(PRW_2).</w:t>
      </w:r>
    </w:p>
    <w:p>
      <w:pPr>
        <w:pStyle w:val="BodyText"/>
        <w:spacing w:before="151"/>
        <w:ind w:left="476" w:right="26"/>
      </w:pPr>
      <w:r>
        <w:rPr/>
        <w:t>Consiste en la probabilidad de tener lluvia un día, después de un día de lluvia.</w:t>
      </w:r>
    </w:p>
    <w:p>
      <w:pPr>
        <w:pStyle w:val="BodyText"/>
      </w:pPr>
    </w:p>
    <w:p>
      <w:pPr>
        <w:pStyle w:val="BodyText"/>
        <w:spacing w:before="7"/>
        <w:rPr>
          <w:sz w:val="25"/>
        </w:rPr>
      </w:pPr>
    </w:p>
    <w:p>
      <w:pPr>
        <w:pStyle w:val="ListParagraph"/>
        <w:numPr>
          <w:ilvl w:val="0"/>
          <w:numId w:val="16"/>
        </w:numPr>
        <w:tabs>
          <w:tab w:pos="477" w:val="left" w:leader="none"/>
        </w:tabs>
        <w:spacing w:line="355" w:lineRule="auto" w:before="1" w:after="0"/>
        <w:ind w:left="477" w:right="111" w:hanging="361"/>
        <w:jc w:val="both"/>
        <w:rPr>
          <w:sz w:val="26"/>
        </w:rPr>
      </w:pPr>
      <w:r>
        <w:rPr>
          <w:sz w:val="26"/>
        </w:rPr>
        <w:t>Los valores introducidos para estos parámetros se presentan en el Anexo C en las Tablas 13 y</w:t>
      </w:r>
      <w:r>
        <w:rPr>
          <w:spacing w:val="-1"/>
          <w:sz w:val="26"/>
        </w:rPr>
        <w:t> </w:t>
      </w:r>
      <w:r>
        <w:rPr>
          <w:sz w:val="26"/>
        </w:rPr>
        <w:t>14.</w:t>
      </w:r>
    </w:p>
    <w:p>
      <w:pPr>
        <w:pStyle w:val="BodyText"/>
      </w:pPr>
    </w:p>
    <w:p>
      <w:pPr>
        <w:pStyle w:val="ListParagraph"/>
        <w:numPr>
          <w:ilvl w:val="0"/>
          <w:numId w:val="16"/>
        </w:numPr>
        <w:tabs>
          <w:tab w:pos="477" w:val="left" w:leader="none"/>
        </w:tabs>
        <w:spacing w:line="350" w:lineRule="auto" w:before="162" w:after="0"/>
        <w:ind w:left="477" w:right="118" w:hanging="361"/>
        <w:jc w:val="both"/>
        <w:rPr>
          <w:sz w:val="26"/>
        </w:rPr>
      </w:pPr>
      <w:r>
        <w:rPr>
          <w:i/>
          <w:sz w:val="26"/>
        </w:rPr>
        <w:t>Días de lluvia mensual promedio (PCPD)</w:t>
      </w:r>
      <w:r>
        <w:rPr>
          <w:sz w:val="26"/>
        </w:rPr>
        <w:t>. </w:t>
      </w:r>
      <w:r>
        <w:rPr>
          <w:spacing w:val="-3"/>
          <w:sz w:val="26"/>
        </w:rPr>
        <w:t>Se </w:t>
      </w:r>
      <w:r>
        <w:rPr>
          <w:sz w:val="26"/>
        </w:rPr>
        <w:t>incluyen los días promedio de precipitación que se tuvieron en el</w:t>
      </w:r>
      <w:r>
        <w:rPr>
          <w:spacing w:val="-11"/>
          <w:sz w:val="26"/>
        </w:rPr>
        <w:t> </w:t>
      </w:r>
      <w:r>
        <w:rPr>
          <w:sz w:val="26"/>
        </w:rPr>
        <w:t>mes.</w:t>
      </w:r>
    </w:p>
    <w:p>
      <w:pPr>
        <w:pStyle w:val="BodyText"/>
      </w:pPr>
    </w:p>
    <w:p>
      <w:pPr>
        <w:pStyle w:val="ListParagraph"/>
        <w:numPr>
          <w:ilvl w:val="0"/>
          <w:numId w:val="16"/>
        </w:numPr>
        <w:tabs>
          <w:tab w:pos="477" w:val="left" w:leader="none"/>
        </w:tabs>
        <w:spacing w:line="350" w:lineRule="auto" w:before="167" w:after="0"/>
        <w:ind w:left="477" w:right="117" w:hanging="361"/>
        <w:jc w:val="both"/>
        <w:rPr>
          <w:sz w:val="26"/>
        </w:rPr>
      </w:pPr>
      <w:r>
        <w:rPr>
          <w:i/>
          <w:sz w:val="26"/>
        </w:rPr>
        <w:t>Precipitación media mensual por evento (PCPMON</w:t>
      </w:r>
      <w:r>
        <w:rPr>
          <w:sz w:val="26"/>
        </w:rPr>
        <w:t>. Número promedio de precipitaciones mensuales entre el número de días con</w:t>
      </w:r>
      <w:r>
        <w:rPr>
          <w:spacing w:val="-11"/>
          <w:sz w:val="26"/>
        </w:rPr>
        <w:t> </w:t>
      </w:r>
      <w:r>
        <w:rPr>
          <w:sz w:val="26"/>
        </w:rPr>
        <w:t>lluvia.</w:t>
      </w:r>
    </w:p>
    <w:p>
      <w:pPr>
        <w:spacing w:after="0" w:line="350" w:lineRule="auto"/>
        <w:jc w:val="both"/>
        <w:rPr>
          <w:sz w:val="26"/>
        </w:rPr>
        <w:sectPr>
          <w:pgSz w:w="12240" w:h="15840"/>
          <w:pgMar w:header="0" w:footer="1473" w:top="1380" w:bottom="1660" w:left="1660" w:right="1300"/>
        </w:sectPr>
      </w:pPr>
    </w:p>
    <w:p>
      <w:pPr>
        <w:pStyle w:val="BodyText"/>
        <w:spacing w:before="10"/>
      </w:pPr>
    </w:p>
    <w:p>
      <w:pPr>
        <w:pStyle w:val="ListParagraph"/>
        <w:numPr>
          <w:ilvl w:val="1"/>
          <w:numId w:val="16"/>
        </w:numPr>
        <w:tabs>
          <w:tab w:pos="837" w:val="left" w:leader="none"/>
        </w:tabs>
        <w:spacing w:line="350" w:lineRule="auto" w:before="51" w:after="0"/>
        <w:ind w:left="837" w:right="115" w:hanging="361"/>
        <w:jc w:val="both"/>
        <w:rPr>
          <w:rFonts w:ascii="Symbol" w:hAnsi="Symbol"/>
          <w:sz w:val="26"/>
        </w:rPr>
      </w:pPr>
      <w:r>
        <w:rPr>
          <w:i/>
          <w:sz w:val="26"/>
        </w:rPr>
        <w:t>Desviación</w:t>
      </w:r>
      <w:r>
        <w:rPr>
          <w:i/>
          <w:spacing w:val="-16"/>
          <w:sz w:val="26"/>
        </w:rPr>
        <w:t> </w:t>
      </w:r>
      <w:r>
        <w:rPr>
          <w:i/>
          <w:sz w:val="26"/>
        </w:rPr>
        <w:t>estándar</w:t>
      </w:r>
      <w:r>
        <w:rPr>
          <w:i/>
          <w:spacing w:val="-16"/>
          <w:sz w:val="26"/>
        </w:rPr>
        <w:t> </w:t>
      </w:r>
      <w:r>
        <w:rPr>
          <w:i/>
          <w:sz w:val="26"/>
        </w:rPr>
        <w:t>mensual</w:t>
      </w:r>
      <w:r>
        <w:rPr>
          <w:i/>
          <w:spacing w:val="-16"/>
          <w:sz w:val="26"/>
        </w:rPr>
        <w:t> </w:t>
      </w:r>
      <w:r>
        <w:rPr>
          <w:i/>
          <w:sz w:val="26"/>
        </w:rPr>
        <w:t>de</w:t>
      </w:r>
      <w:r>
        <w:rPr>
          <w:i/>
          <w:spacing w:val="-16"/>
          <w:sz w:val="26"/>
        </w:rPr>
        <w:t> </w:t>
      </w:r>
      <w:r>
        <w:rPr>
          <w:i/>
          <w:sz w:val="26"/>
        </w:rPr>
        <w:t>la</w:t>
      </w:r>
      <w:r>
        <w:rPr>
          <w:i/>
          <w:spacing w:val="-21"/>
          <w:sz w:val="26"/>
        </w:rPr>
        <w:t> </w:t>
      </w:r>
      <w:r>
        <w:rPr>
          <w:i/>
          <w:sz w:val="26"/>
        </w:rPr>
        <w:t>precipitación</w:t>
      </w:r>
      <w:r>
        <w:rPr>
          <w:i/>
          <w:spacing w:val="-16"/>
          <w:sz w:val="26"/>
        </w:rPr>
        <w:t> </w:t>
      </w:r>
      <w:r>
        <w:rPr>
          <w:i/>
          <w:sz w:val="26"/>
        </w:rPr>
        <w:t>(PCP</w:t>
      </w:r>
      <w:r>
        <w:rPr>
          <w:i/>
          <w:spacing w:val="-20"/>
          <w:sz w:val="26"/>
        </w:rPr>
        <w:t> </w:t>
      </w:r>
      <w:r>
        <w:rPr>
          <w:i/>
          <w:sz w:val="26"/>
        </w:rPr>
        <w:t>STAT).</w:t>
      </w:r>
      <w:r>
        <w:rPr>
          <w:i/>
          <w:spacing w:val="-14"/>
          <w:sz w:val="26"/>
        </w:rPr>
        <w:t> </w:t>
      </w:r>
      <w:r>
        <w:rPr>
          <w:sz w:val="26"/>
        </w:rPr>
        <w:t>El</w:t>
      </w:r>
      <w:r>
        <w:rPr>
          <w:spacing w:val="-16"/>
          <w:sz w:val="26"/>
        </w:rPr>
        <w:t> </w:t>
      </w:r>
      <w:r>
        <w:rPr>
          <w:sz w:val="26"/>
        </w:rPr>
        <w:t>rango</w:t>
      </w:r>
      <w:r>
        <w:rPr>
          <w:spacing w:val="-16"/>
          <w:sz w:val="26"/>
        </w:rPr>
        <w:t> </w:t>
      </w:r>
      <w:r>
        <w:rPr>
          <w:sz w:val="26"/>
        </w:rPr>
        <w:t>de</w:t>
      </w:r>
      <w:r>
        <w:rPr>
          <w:spacing w:val="-16"/>
          <w:sz w:val="26"/>
        </w:rPr>
        <w:t> </w:t>
      </w:r>
      <w:r>
        <w:rPr>
          <w:sz w:val="26"/>
        </w:rPr>
        <w:t>este</w:t>
      </w:r>
      <w:r>
        <w:rPr>
          <w:spacing w:val="-20"/>
          <w:sz w:val="26"/>
        </w:rPr>
        <w:t> </w:t>
      </w:r>
      <w:r>
        <w:rPr>
          <w:sz w:val="26"/>
        </w:rPr>
        <w:t>valor se encuentra entre 0.5 y 200</w:t>
      </w:r>
      <w:r>
        <w:rPr>
          <w:spacing w:val="-2"/>
          <w:sz w:val="26"/>
        </w:rPr>
        <w:t> </w:t>
      </w:r>
      <w:r>
        <w:rPr>
          <w:spacing w:val="-4"/>
          <w:sz w:val="26"/>
        </w:rPr>
        <w:t>mm.</w:t>
      </w:r>
    </w:p>
    <w:p>
      <w:pPr>
        <w:pStyle w:val="BodyText"/>
      </w:pPr>
    </w:p>
    <w:p>
      <w:pPr>
        <w:pStyle w:val="ListParagraph"/>
        <w:numPr>
          <w:ilvl w:val="1"/>
          <w:numId w:val="16"/>
        </w:numPr>
        <w:tabs>
          <w:tab w:pos="837" w:val="left" w:leader="none"/>
        </w:tabs>
        <w:spacing w:line="350" w:lineRule="auto" w:before="167" w:after="0"/>
        <w:ind w:left="837" w:right="116" w:hanging="361"/>
        <w:jc w:val="both"/>
        <w:rPr>
          <w:rFonts w:ascii="Symbol" w:hAnsi="Symbol"/>
          <w:sz w:val="26"/>
        </w:rPr>
      </w:pPr>
      <w:r>
        <w:rPr>
          <w:i/>
          <w:sz w:val="26"/>
        </w:rPr>
        <w:t>Coeficiente de sesgo o asimetría mensual (PCP _STAT3). </w:t>
      </w:r>
      <w:r>
        <w:rPr>
          <w:spacing w:val="-3"/>
          <w:sz w:val="26"/>
        </w:rPr>
        <w:t>Se </w:t>
      </w:r>
      <w:r>
        <w:rPr>
          <w:sz w:val="26"/>
        </w:rPr>
        <w:t>incluye el coeficiente de asimetría mensual de la precipitación</w:t>
      </w:r>
      <w:r>
        <w:rPr>
          <w:spacing w:val="-9"/>
          <w:sz w:val="26"/>
        </w:rPr>
        <w:t> </w:t>
      </w:r>
      <w:r>
        <w:rPr>
          <w:sz w:val="26"/>
        </w:rPr>
        <w:t>diaria.</w:t>
      </w:r>
    </w:p>
    <w:p>
      <w:pPr>
        <w:pStyle w:val="BodyText"/>
      </w:pPr>
    </w:p>
    <w:p>
      <w:pPr>
        <w:pStyle w:val="ListParagraph"/>
        <w:numPr>
          <w:ilvl w:val="1"/>
          <w:numId w:val="16"/>
        </w:numPr>
        <w:tabs>
          <w:tab w:pos="837" w:val="left" w:leader="none"/>
        </w:tabs>
        <w:spacing w:line="355" w:lineRule="auto" w:before="168" w:after="0"/>
        <w:ind w:left="837" w:right="115" w:hanging="361"/>
        <w:jc w:val="both"/>
        <w:rPr>
          <w:rFonts w:ascii="Symbol" w:hAnsi="Symbol"/>
          <w:sz w:val="26"/>
        </w:rPr>
      </w:pPr>
      <w:r>
        <w:rPr>
          <w:i/>
          <w:sz w:val="26"/>
        </w:rPr>
        <w:t>Factor</w:t>
      </w:r>
      <w:r>
        <w:rPr>
          <w:i/>
          <w:spacing w:val="-6"/>
          <w:sz w:val="26"/>
        </w:rPr>
        <w:t> </w:t>
      </w:r>
      <w:r>
        <w:rPr>
          <w:i/>
          <w:sz w:val="26"/>
        </w:rPr>
        <w:t>de</w:t>
      </w:r>
      <w:r>
        <w:rPr>
          <w:i/>
          <w:spacing w:val="-6"/>
          <w:sz w:val="26"/>
        </w:rPr>
        <w:t> </w:t>
      </w:r>
      <w:r>
        <w:rPr>
          <w:i/>
          <w:sz w:val="26"/>
        </w:rPr>
        <w:t>compensación</w:t>
      </w:r>
      <w:r>
        <w:rPr>
          <w:i/>
          <w:spacing w:val="-6"/>
          <w:sz w:val="26"/>
        </w:rPr>
        <w:t> </w:t>
      </w:r>
      <w:r>
        <w:rPr>
          <w:i/>
          <w:sz w:val="26"/>
        </w:rPr>
        <w:t>de</w:t>
      </w:r>
      <w:r>
        <w:rPr>
          <w:i/>
          <w:spacing w:val="-6"/>
          <w:sz w:val="26"/>
        </w:rPr>
        <w:t> </w:t>
      </w:r>
      <w:r>
        <w:rPr>
          <w:i/>
          <w:sz w:val="26"/>
        </w:rPr>
        <w:t>la</w:t>
      </w:r>
      <w:r>
        <w:rPr>
          <w:i/>
          <w:spacing w:val="-6"/>
          <w:sz w:val="26"/>
        </w:rPr>
        <w:t> </w:t>
      </w:r>
      <w:r>
        <w:rPr>
          <w:i/>
          <w:sz w:val="26"/>
        </w:rPr>
        <w:t>evaporación</w:t>
      </w:r>
      <w:r>
        <w:rPr>
          <w:i/>
          <w:spacing w:val="-6"/>
          <w:sz w:val="26"/>
        </w:rPr>
        <w:t> </w:t>
      </w:r>
      <w:r>
        <w:rPr>
          <w:i/>
          <w:sz w:val="26"/>
        </w:rPr>
        <w:t>del</w:t>
      </w:r>
      <w:r>
        <w:rPr>
          <w:i/>
          <w:spacing w:val="-11"/>
          <w:sz w:val="26"/>
        </w:rPr>
        <w:t> </w:t>
      </w:r>
      <w:r>
        <w:rPr>
          <w:i/>
          <w:sz w:val="26"/>
        </w:rPr>
        <w:t>suelo</w:t>
      </w:r>
      <w:r>
        <w:rPr>
          <w:i/>
          <w:spacing w:val="-5"/>
          <w:sz w:val="26"/>
        </w:rPr>
        <w:t> </w:t>
      </w:r>
      <w:r>
        <w:rPr>
          <w:i/>
          <w:sz w:val="26"/>
        </w:rPr>
        <w:t>(ESCO).</w:t>
      </w:r>
      <w:r>
        <w:rPr>
          <w:i/>
          <w:spacing w:val="-8"/>
          <w:sz w:val="26"/>
        </w:rPr>
        <w:t> </w:t>
      </w:r>
      <w:r>
        <w:rPr>
          <w:spacing w:val="-3"/>
          <w:sz w:val="26"/>
        </w:rPr>
        <w:t>Se</w:t>
      </w:r>
      <w:r>
        <w:rPr>
          <w:spacing w:val="-6"/>
          <w:sz w:val="26"/>
        </w:rPr>
        <w:t> </w:t>
      </w:r>
      <w:r>
        <w:rPr>
          <w:sz w:val="26"/>
        </w:rPr>
        <w:t>asignó</w:t>
      </w:r>
      <w:r>
        <w:rPr>
          <w:spacing w:val="-6"/>
          <w:sz w:val="26"/>
        </w:rPr>
        <w:t> </w:t>
      </w:r>
      <w:r>
        <w:rPr>
          <w:sz w:val="26"/>
        </w:rPr>
        <w:t>un</w:t>
      </w:r>
      <w:r>
        <w:rPr>
          <w:spacing w:val="-6"/>
          <w:sz w:val="26"/>
        </w:rPr>
        <w:t> </w:t>
      </w:r>
      <w:r>
        <w:rPr>
          <w:sz w:val="26"/>
        </w:rPr>
        <w:t>valor</w:t>
      </w:r>
      <w:r>
        <w:rPr>
          <w:spacing w:val="-6"/>
          <w:sz w:val="26"/>
        </w:rPr>
        <w:t> </w:t>
      </w:r>
      <w:r>
        <w:rPr>
          <w:sz w:val="26"/>
        </w:rPr>
        <w:t>de ESCO=0.8 ya que fue el que tuvo un mejor ajuste en la producción de agua y sedimentos para el período de simulación de la</w:t>
      </w:r>
      <w:r>
        <w:rPr>
          <w:spacing w:val="-9"/>
          <w:sz w:val="26"/>
        </w:rPr>
        <w:t> </w:t>
      </w:r>
      <w:r>
        <w:rPr>
          <w:sz w:val="26"/>
        </w:rPr>
        <w:t>cuenca.</w:t>
      </w:r>
    </w:p>
    <w:p>
      <w:pPr>
        <w:pStyle w:val="BodyText"/>
      </w:pPr>
    </w:p>
    <w:p>
      <w:pPr>
        <w:pStyle w:val="ListParagraph"/>
        <w:numPr>
          <w:ilvl w:val="1"/>
          <w:numId w:val="16"/>
        </w:numPr>
        <w:tabs>
          <w:tab w:pos="837" w:val="left" w:leader="none"/>
        </w:tabs>
        <w:spacing w:line="355" w:lineRule="auto" w:before="162" w:after="0"/>
        <w:ind w:left="837" w:right="117" w:hanging="361"/>
        <w:jc w:val="both"/>
        <w:rPr>
          <w:rFonts w:ascii="Symbol" w:hAnsi="Symbol"/>
          <w:sz w:val="26"/>
        </w:rPr>
      </w:pPr>
      <w:r>
        <w:rPr>
          <w:i/>
          <w:sz w:val="26"/>
        </w:rPr>
        <w:t>Factor de compensación de extracción de agua del suelo por las plantas (EPCO). </w:t>
      </w:r>
      <w:r>
        <w:rPr>
          <w:spacing w:val="-3"/>
          <w:sz w:val="26"/>
        </w:rPr>
        <w:t>Se </w:t>
      </w:r>
      <w:r>
        <w:rPr>
          <w:sz w:val="26"/>
        </w:rPr>
        <w:t>asignó un valor de EPCO=0.5 ya que fue el que tuvo un mejor ajuste en la producción de agua y sedimentos para el período de simulación de la</w:t>
      </w:r>
      <w:r>
        <w:rPr>
          <w:spacing w:val="-8"/>
          <w:sz w:val="26"/>
        </w:rPr>
        <w:t> </w:t>
      </w:r>
      <w:r>
        <w:rPr>
          <w:sz w:val="26"/>
        </w:rPr>
        <w:t>cuenca.</w:t>
      </w:r>
    </w:p>
    <w:p>
      <w:pPr>
        <w:pStyle w:val="BodyText"/>
      </w:pPr>
    </w:p>
    <w:p>
      <w:pPr>
        <w:pStyle w:val="BodyText"/>
        <w:spacing w:before="156"/>
        <w:ind w:left="116" w:right="118"/>
      </w:pPr>
      <w:r>
        <w:rPr/>
        <w:t>El Cuadro 3 resume la información requerida dentro del archivo WGN:</w:t>
      </w:r>
    </w:p>
    <w:p>
      <w:pPr>
        <w:spacing w:after="0"/>
        <w:sectPr>
          <w:pgSz w:w="12240" w:h="15840"/>
          <w:pgMar w:header="0" w:footer="1473" w:top="1500" w:bottom="1660" w:left="1300" w:right="1300"/>
        </w:sectPr>
      </w:pPr>
    </w:p>
    <w:p>
      <w:pPr>
        <w:pStyle w:val="Heading1"/>
        <w:spacing w:before="49"/>
        <w:ind w:left="793" w:right="118"/>
      </w:pPr>
      <w:bookmarkStart w:name="_bookmark53" w:id="77"/>
      <w:bookmarkEnd w:id="77"/>
      <w:r>
        <w:rPr>
          <w:b w:val="0"/>
        </w:rPr>
      </w:r>
      <w:r>
        <w:rPr/>
        <w:t>Cuadro 3. Datos estadísticos climáticos requeridos por el modelo SWAT.</w:t>
      </w:r>
    </w:p>
    <w:p>
      <w:pPr>
        <w:pStyle w:val="BodyText"/>
        <w:rPr>
          <w:b/>
          <w:sz w:val="18"/>
        </w:rPr>
      </w:pPr>
    </w:p>
    <w:tbl>
      <w:tblPr>
        <w:tblW w:w="0" w:type="auto"/>
        <w:jc w:val="left"/>
        <w:tblInd w:w="10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421"/>
        <w:gridCol w:w="2069"/>
      </w:tblGrid>
      <w:tr>
        <w:trPr>
          <w:trHeight w:val="288" w:hRule="exact"/>
        </w:trPr>
        <w:tc>
          <w:tcPr>
            <w:tcW w:w="5421" w:type="dxa"/>
            <w:tcBorders>
              <w:left w:val="nil"/>
              <w:right w:val="nil"/>
            </w:tcBorders>
          </w:tcPr>
          <w:p>
            <w:pPr>
              <w:pStyle w:val="TableParagraph"/>
              <w:spacing w:line="273" w:lineRule="exact" w:before="0"/>
              <w:ind w:left="2244" w:right="2244"/>
              <w:jc w:val="center"/>
              <w:rPr>
                <w:b/>
                <w:sz w:val="24"/>
              </w:rPr>
            </w:pPr>
            <w:r>
              <w:rPr>
                <w:b/>
                <w:sz w:val="24"/>
              </w:rPr>
              <w:t>Variable</w:t>
            </w:r>
          </w:p>
        </w:tc>
        <w:tc>
          <w:tcPr>
            <w:tcW w:w="2069" w:type="dxa"/>
            <w:tcBorders>
              <w:left w:val="nil"/>
              <w:right w:val="nil"/>
            </w:tcBorders>
          </w:tcPr>
          <w:p>
            <w:pPr>
              <w:pStyle w:val="TableParagraph"/>
              <w:spacing w:line="273" w:lineRule="exact" w:before="0"/>
              <w:ind w:left="718" w:right="724"/>
              <w:jc w:val="center"/>
              <w:rPr>
                <w:b/>
                <w:sz w:val="24"/>
              </w:rPr>
            </w:pPr>
            <w:r>
              <w:rPr>
                <w:b/>
                <w:sz w:val="24"/>
              </w:rPr>
              <w:t>Clave</w:t>
            </w:r>
          </w:p>
        </w:tc>
      </w:tr>
      <w:tr>
        <w:trPr>
          <w:trHeight w:val="287" w:hRule="exact"/>
        </w:trPr>
        <w:tc>
          <w:tcPr>
            <w:tcW w:w="5421" w:type="dxa"/>
            <w:tcBorders>
              <w:left w:val="nil"/>
              <w:bottom w:val="nil"/>
              <w:right w:val="nil"/>
            </w:tcBorders>
          </w:tcPr>
          <w:p>
            <w:pPr>
              <w:pStyle w:val="TableParagraph"/>
              <w:spacing w:line="268" w:lineRule="exact" w:before="0"/>
              <w:ind w:left="110" w:right="-14"/>
              <w:jc w:val="left"/>
              <w:rPr>
                <w:sz w:val="24"/>
              </w:rPr>
            </w:pPr>
            <w:r>
              <w:rPr>
                <w:sz w:val="24"/>
              </w:rPr>
              <w:t>Estación climática</w:t>
            </w:r>
          </w:p>
        </w:tc>
        <w:tc>
          <w:tcPr>
            <w:tcW w:w="2069" w:type="dxa"/>
            <w:tcBorders>
              <w:left w:val="nil"/>
              <w:bottom w:val="nil"/>
              <w:right w:val="nil"/>
            </w:tcBorders>
          </w:tcPr>
          <w:p>
            <w:pPr>
              <w:pStyle w:val="TableParagraph"/>
              <w:spacing w:line="268" w:lineRule="exact" w:before="0"/>
              <w:ind w:left="105"/>
              <w:jc w:val="left"/>
              <w:rPr>
                <w:sz w:val="24"/>
              </w:rPr>
            </w:pPr>
            <w:r>
              <w:rPr>
                <w:sz w:val="24"/>
              </w:rPr>
              <w:t>STATION</w:t>
            </w:r>
          </w:p>
        </w:tc>
      </w:tr>
      <w:tr>
        <w:trPr>
          <w:trHeight w:val="276" w:hRule="exact"/>
        </w:trPr>
        <w:tc>
          <w:tcPr>
            <w:tcW w:w="5421" w:type="dxa"/>
            <w:tcBorders>
              <w:top w:val="nil"/>
              <w:left w:val="nil"/>
              <w:bottom w:val="nil"/>
              <w:right w:val="nil"/>
            </w:tcBorders>
          </w:tcPr>
          <w:p>
            <w:pPr>
              <w:pStyle w:val="TableParagraph"/>
              <w:spacing w:line="265" w:lineRule="exact" w:before="0"/>
              <w:ind w:left="110" w:right="-14"/>
              <w:jc w:val="left"/>
              <w:rPr>
                <w:sz w:val="24"/>
              </w:rPr>
            </w:pPr>
            <w:r>
              <w:rPr>
                <w:sz w:val="24"/>
              </w:rPr>
              <w:t>Latitud</w:t>
            </w:r>
          </w:p>
        </w:tc>
        <w:tc>
          <w:tcPr>
            <w:tcW w:w="2069" w:type="dxa"/>
            <w:tcBorders>
              <w:top w:val="nil"/>
              <w:left w:val="nil"/>
              <w:bottom w:val="nil"/>
              <w:right w:val="nil"/>
            </w:tcBorders>
          </w:tcPr>
          <w:p>
            <w:pPr>
              <w:pStyle w:val="TableParagraph"/>
              <w:spacing w:line="265" w:lineRule="exact" w:before="0"/>
              <w:ind w:left="105"/>
              <w:jc w:val="left"/>
              <w:rPr>
                <w:sz w:val="24"/>
              </w:rPr>
            </w:pPr>
            <w:r>
              <w:rPr>
                <w:sz w:val="24"/>
              </w:rPr>
              <w:t>WLATITUD</w:t>
            </w:r>
          </w:p>
        </w:tc>
      </w:tr>
      <w:tr>
        <w:trPr>
          <w:trHeight w:val="276" w:hRule="exact"/>
        </w:trPr>
        <w:tc>
          <w:tcPr>
            <w:tcW w:w="5421" w:type="dxa"/>
            <w:tcBorders>
              <w:top w:val="nil"/>
              <w:left w:val="nil"/>
              <w:bottom w:val="nil"/>
              <w:right w:val="nil"/>
            </w:tcBorders>
          </w:tcPr>
          <w:p>
            <w:pPr>
              <w:pStyle w:val="TableParagraph"/>
              <w:spacing w:line="262" w:lineRule="exact" w:before="0"/>
              <w:ind w:left="110" w:right="-14"/>
              <w:jc w:val="left"/>
              <w:rPr>
                <w:sz w:val="24"/>
              </w:rPr>
            </w:pPr>
            <w:r>
              <w:rPr>
                <w:sz w:val="24"/>
              </w:rPr>
              <w:t>Longitud</w:t>
            </w:r>
          </w:p>
        </w:tc>
        <w:tc>
          <w:tcPr>
            <w:tcW w:w="2069" w:type="dxa"/>
            <w:tcBorders>
              <w:top w:val="nil"/>
              <w:left w:val="nil"/>
              <w:bottom w:val="nil"/>
              <w:right w:val="nil"/>
            </w:tcBorders>
          </w:tcPr>
          <w:p>
            <w:pPr>
              <w:pStyle w:val="TableParagraph"/>
              <w:spacing w:line="262" w:lineRule="exact" w:before="0"/>
              <w:ind w:left="105"/>
              <w:jc w:val="left"/>
              <w:rPr>
                <w:sz w:val="24"/>
              </w:rPr>
            </w:pPr>
            <w:r>
              <w:rPr>
                <w:sz w:val="24"/>
              </w:rPr>
              <w:t>WLONGITUDE</w:t>
            </w:r>
          </w:p>
        </w:tc>
      </w:tr>
      <w:tr>
        <w:trPr>
          <w:trHeight w:val="276" w:hRule="exact"/>
        </w:trPr>
        <w:tc>
          <w:tcPr>
            <w:tcW w:w="5421" w:type="dxa"/>
            <w:tcBorders>
              <w:top w:val="nil"/>
              <w:left w:val="nil"/>
              <w:bottom w:val="nil"/>
              <w:right w:val="nil"/>
            </w:tcBorders>
          </w:tcPr>
          <w:p>
            <w:pPr>
              <w:pStyle w:val="TableParagraph"/>
              <w:spacing w:line="264" w:lineRule="exact" w:before="0"/>
              <w:ind w:left="110" w:right="-14"/>
              <w:jc w:val="left"/>
              <w:rPr>
                <w:sz w:val="24"/>
              </w:rPr>
            </w:pPr>
            <w:r>
              <w:rPr>
                <w:sz w:val="24"/>
              </w:rPr>
              <w:t>Elevación</w:t>
            </w:r>
          </w:p>
        </w:tc>
        <w:tc>
          <w:tcPr>
            <w:tcW w:w="2069" w:type="dxa"/>
            <w:tcBorders>
              <w:top w:val="nil"/>
              <w:left w:val="nil"/>
              <w:bottom w:val="nil"/>
              <w:right w:val="nil"/>
            </w:tcBorders>
          </w:tcPr>
          <w:p>
            <w:pPr>
              <w:pStyle w:val="TableParagraph"/>
              <w:spacing w:line="264" w:lineRule="exact" w:before="0"/>
              <w:ind w:left="105"/>
              <w:jc w:val="left"/>
              <w:rPr>
                <w:sz w:val="24"/>
              </w:rPr>
            </w:pPr>
            <w:r>
              <w:rPr>
                <w:sz w:val="24"/>
              </w:rPr>
              <w:t>WELEV</w:t>
            </w:r>
          </w:p>
        </w:tc>
      </w:tr>
      <w:tr>
        <w:trPr>
          <w:trHeight w:val="597" w:hRule="exact"/>
        </w:trPr>
        <w:tc>
          <w:tcPr>
            <w:tcW w:w="5421" w:type="dxa"/>
            <w:tcBorders>
              <w:top w:val="nil"/>
              <w:left w:val="nil"/>
              <w:bottom w:val="nil"/>
              <w:right w:val="nil"/>
            </w:tcBorders>
          </w:tcPr>
          <w:p>
            <w:pPr>
              <w:pStyle w:val="TableParagraph"/>
              <w:spacing w:before="0"/>
              <w:ind w:left="110" w:right="-14"/>
              <w:jc w:val="left"/>
              <w:rPr>
                <w:sz w:val="26"/>
              </w:rPr>
            </w:pPr>
            <w:r>
              <w:rPr>
                <w:sz w:val="26"/>
              </w:rPr>
              <w:t>Número de años de información pluviográfica disponibles</w:t>
            </w:r>
          </w:p>
        </w:tc>
        <w:tc>
          <w:tcPr>
            <w:tcW w:w="2069" w:type="dxa"/>
            <w:tcBorders>
              <w:top w:val="nil"/>
              <w:left w:val="nil"/>
              <w:bottom w:val="nil"/>
              <w:right w:val="nil"/>
            </w:tcBorders>
          </w:tcPr>
          <w:p>
            <w:pPr>
              <w:pStyle w:val="TableParagraph"/>
              <w:spacing w:line="262" w:lineRule="exact" w:before="0"/>
              <w:ind w:left="105"/>
              <w:jc w:val="left"/>
              <w:rPr>
                <w:sz w:val="24"/>
              </w:rPr>
            </w:pPr>
            <w:r>
              <w:rPr>
                <w:sz w:val="24"/>
              </w:rPr>
              <w:t>RAIN_YRS</w:t>
            </w:r>
          </w:p>
        </w:tc>
      </w:tr>
      <w:tr>
        <w:trPr>
          <w:trHeight w:val="277" w:hRule="exact"/>
        </w:trPr>
        <w:tc>
          <w:tcPr>
            <w:tcW w:w="5421" w:type="dxa"/>
            <w:tcBorders>
              <w:top w:val="nil"/>
              <w:left w:val="nil"/>
              <w:bottom w:val="nil"/>
              <w:right w:val="nil"/>
            </w:tcBorders>
          </w:tcPr>
          <w:p>
            <w:pPr>
              <w:pStyle w:val="TableParagraph"/>
              <w:spacing w:line="265" w:lineRule="exact" w:before="0"/>
              <w:ind w:left="110" w:right="-14"/>
              <w:jc w:val="left"/>
              <w:rPr>
                <w:sz w:val="24"/>
              </w:rPr>
            </w:pPr>
            <w:r>
              <w:rPr>
                <w:sz w:val="24"/>
              </w:rPr>
              <w:t>Promedio de temperatura máxima</w:t>
            </w:r>
          </w:p>
        </w:tc>
        <w:tc>
          <w:tcPr>
            <w:tcW w:w="2069" w:type="dxa"/>
            <w:tcBorders>
              <w:top w:val="nil"/>
              <w:left w:val="nil"/>
              <w:bottom w:val="nil"/>
              <w:right w:val="nil"/>
            </w:tcBorders>
          </w:tcPr>
          <w:p>
            <w:pPr>
              <w:pStyle w:val="TableParagraph"/>
              <w:spacing w:line="265" w:lineRule="exact" w:before="0"/>
              <w:ind w:left="105"/>
              <w:jc w:val="left"/>
              <w:rPr>
                <w:sz w:val="24"/>
              </w:rPr>
            </w:pPr>
            <w:r>
              <w:rPr>
                <w:sz w:val="24"/>
              </w:rPr>
              <w:t>TMPMX</w:t>
            </w:r>
          </w:p>
        </w:tc>
      </w:tr>
      <w:tr>
        <w:trPr>
          <w:trHeight w:val="276" w:hRule="exact"/>
        </w:trPr>
        <w:tc>
          <w:tcPr>
            <w:tcW w:w="5421" w:type="dxa"/>
            <w:tcBorders>
              <w:top w:val="nil"/>
              <w:left w:val="nil"/>
              <w:bottom w:val="nil"/>
              <w:right w:val="nil"/>
            </w:tcBorders>
          </w:tcPr>
          <w:p>
            <w:pPr>
              <w:pStyle w:val="TableParagraph"/>
              <w:spacing w:line="262" w:lineRule="exact" w:before="0"/>
              <w:ind w:left="110" w:right="-14"/>
              <w:jc w:val="left"/>
              <w:rPr>
                <w:sz w:val="24"/>
              </w:rPr>
            </w:pPr>
            <w:r>
              <w:rPr>
                <w:sz w:val="24"/>
              </w:rPr>
              <w:t>Promedio de temperatura mínima</w:t>
            </w:r>
          </w:p>
        </w:tc>
        <w:tc>
          <w:tcPr>
            <w:tcW w:w="2069" w:type="dxa"/>
            <w:tcBorders>
              <w:top w:val="nil"/>
              <w:left w:val="nil"/>
              <w:bottom w:val="nil"/>
              <w:right w:val="nil"/>
            </w:tcBorders>
          </w:tcPr>
          <w:p>
            <w:pPr>
              <w:pStyle w:val="TableParagraph"/>
              <w:spacing w:line="262" w:lineRule="exact" w:before="0"/>
              <w:ind w:left="105"/>
              <w:jc w:val="left"/>
              <w:rPr>
                <w:sz w:val="24"/>
              </w:rPr>
            </w:pPr>
            <w:r>
              <w:rPr>
                <w:sz w:val="24"/>
              </w:rPr>
              <w:t>TMPMN</w:t>
            </w:r>
          </w:p>
        </w:tc>
      </w:tr>
      <w:tr>
        <w:trPr>
          <w:trHeight w:val="552" w:hRule="exact"/>
        </w:trPr>
        <w:tc>
          <w:tcPr>
            <w:tcW w:w="5421" w:type="dxa"/>
            <w:tcBorders>
              <w:top w:val="nil"/>
              <w:left w:val="nil"/>
              <w:bottom w:val="nil"/>
              <w:right w:val="nil"/>
            </w:tcBorders>
          </w:tcPr>
          <w:p>
            <w:pPr>
              <w:pStyle w:val="TableParagraph"/>
              <w:spacing w:line="237" w:lineRule="auto" w:before="0"/>
              <w:ind w:left="110" w:right="-14"/>
              <w:jc w:val="left"/>
              <w:rPr>
                <w:sz w:val="24"/>
              </w:rPr>
            </w:pPr>
            <w:r>
              <w:rPr>
                <w:sz w:val="24"/>
              </w:rPr>
              <w:t>Desviación estándar de promedio de temperatura máxima</w:t>
            </w:r>
          </w:p>
        </w:tc>
        <w:tc>
          <w:tcPr>
            <w:tcW w:w="2069" w:type="dxa"/>
            <w:tcBorders>
              <w:top w:val="nil"/>
              <w:left w:val="nil"/>
              <w:bottom w:val="nil"/>
              <w:right w:val="nil"/>
            </w:tcBorders>
          </w:tcPr>
          <w:p>
            <w:pPr>
              <w:pStyle w:val="TableParagraph"/>
              <w:spacing w:line="264" w:lineRule="exact" w:before="0"/>
              <w:ind w:left="105"/>
              <w:jc w:val="left"/>
              <w:rPr>
                <w:sz w:val="24"/>
              </w:rPr>
            </w:pPr>
            <w:r>
              <w:rPr>
                <w:sz w:val="24"/>
              </w:rPr>
              <w:t>TMPSTDMX</w:t>
            </w:r>
          </w:p>
        </w:tc>
      </w:tr>
      <w:tr>
        <w:trPr>
          <w:trHeight w:val="552" w:hRule="exact"/>
        </w:trPr>
        <w:tc>
          <w:tcPr>
            <w:tcW w:w="5421" w:type="dxa"/>
            <w:tcBorders>
              <w:top w:val="nil"/>
              <w:left w:val="nil"/>
              <w:bottom w:val="nil"/>
              <w:right w:val="nil"/>
            </w:tcBorders>
          </w:tcPr>
          <w:p>
            <w:pPr>
              <w:pStyle w:val="TableParagraph"/>
              <w:spacing w:line="237" w:lineRule="auto" w:before="0"/>
              <w:ind w:left="110" w:right="-14"/>
              <w:jc w:val="left"/>
              <w:rPr>
                <w:sz w:val="24"/>
              </w:rPr>
            </w:pPr>
            <w:r>
              <w:rPr>
                <w:sz w:val="24"/>
              </w:rPr>
              <w:t>Desviación estándar de promedio de temperatura mínima</w:t>
            </w:r>
          </w:p>
        </w:tc>
        <w:tc>
          <w:tcPr>
            <w:tcW w:w="2069" w:type="dxa"/>
            <w:tcBorders>
              <w:top w:val="nil"/>
              <w:left w:val="nil"/>
              <w:bottom w:val="nil"/>
              <w:right w:val="nil"/>
            </w:tcBorders>
          </w:tcPr>
          <w:p>
            <w:pPr>
              <w:pStyle w:val="TableParagraph"/>
              <w:spacing w:line="264" w:lineRule="exact" w:before="0"/>
              <w:ind w:left="105"/>
              <w:jc w:val="left"/>
              <w:rPr>
                <w:sz w:val="24"/>
              </w:rPr>
            </w:pPr>
            <w:r>
              <w:rPr>
                <w:sz w:val="24"/>
              </w:rPr>
              <w:t>TMPSTDMN</w:t>
            </w:r>
          </w:p>
        </w:tc>
      </w:tr>
      <w:tr>
        <w:trPr>
          <w:trHeight w:val="276" w:hRule="exact"/>
        </w:trPr>
        <w:tc>
          <w:tcPr>
            <w:tcW w:w="5421" w:type="dxa"/>
            <w:tcBorders>
              <w:top w:val="nil"/>
              <w:left w:val="nil"/>
              <w:bottom w:val="nil"/>
              <w:right w:val="nil"/>
            </w:tcBorders>
          </w:tcPr>
          <w:p>
            <w:pPr>
              <w:pStyle w:val="TableParagraph"/>
              <w:spacing w:line="264" w:lineRule="exact" w:before="0"/>
              <w:ind w:left="110" w:right="-14"/>
              <w:jc w:val="left"/>
              <w:rPr>
                <w:sz w:val="24"/>
              </w:rPr>
            </w:pPr>
            <w:r>
              <w:rPr>
                <w:sz w:val="24"/>
              </w:rPr>
              <w:t>Precipitación media</w:t>
            </w:r>
          </w:p>
        </w:tc>
        <w:tc>
          <w:tcPr>
            <w:tcW w:w="2069" w:type="dxa"/>
            <w:tcBorders>
              <w:top w:val="nil"/>
              <w:left w:val="nil"/>
              <w:bottom w:val="nil"/>
              <w:right w:val="nil"/>
            </w:tcBorders>
          </w:tcPr>
          <w:p>
            <w:pPr>
              <w:pStyle w:val="TableParagraph"/>
              <w:spacing w:line="264" w:lineRule="exact" w:before="0"/>
              <w:ind w:left="105"/>
              <w:jc w:val="left"/>
              <w:rPr>
                <w:sz w:val="24"/>
              </w:rPr>
            </w:pPr>
            <w:r>
              <w:rPr>
                <w:sz w:val="24"/>
              </w:rPr>
              <w:t>PCPMM</w:t>
            </w:r>
          </w:p>
        </w:tc>
      </w:tr>
      <w:tr>
        <w:trPr>
          <w:trHeight w:val="276" w:hRule="exact"/>
        </w:trPr>
        <w:tc>
          <w:tcPr>
            <w:tcW w:w="5421" w:type="dxa"/>
            <w:tcBorders>
              <w:top w:val="nil"/>
              <w:left w:val="nil"/>
              <w:bottom w:val="nil"/>
              <w:right w:val="nil"/>
            </w:tcBorders>
          </w:tcPr>
          <w:p>
            <w:pPr>
              <w:pStyle w:val="TableParagraph"/>
              <w:spacing w:line="262" w:lineRule="exact" w:before="0"/>
              <w:ind w:left="110" w:right="-14"/>
              <w:jc w:val="left"/>
              <w:rPr>
                <w:sz w:val="24"/>
              </w:rPr>
            </w:pPr>
            <w:r>
              <w:rPr>
                <w:sz w:val="24"/>
              </w:rPr>
              <w:t>Desviación estándar de precipitación media</w:t>
            </w:r>
          </w:p>
        </w:tc>
        <w:tc>
          <w:tcPr>
            <w:tcW w:w="2069" w:type="dxa"/>
            <w:tcBorders>
              <w:top w:val="nil"/>
              <w:left w:val="nil"/>
              <w:bottom w:val="nil"/>
              <w:right w:val="nil"/>
            </w:tcBorders>
          </w:tcPr>
          <w:p>
            <w:pPr>
              <w:pStyle w:val="TableParagraph"/>
              <w:spacing w:line="262" w:lineRule="exact" w:before="0"/>
              <w:ind w:left="105"/>
              <w:jc w:val="left"/>
              <w:rPr>
                <w:sz w:val="24"/>
              </w:rPr>
            </w:pPr>
            <w:r>
              <w:rPr>
                <w:sz w:val="24"/>
              </w:rPr>
              <w:t>PCPSTD</w:t>
            </w:r>
          </w:p>
        </w:tc>
      </w:tr>
      <w:tr>
        <w:trPr>
          <w:trHeight w:val="276" w:hRule="exact"/>
        </w:trPr>
        <w:tc>
          <w:tcPr>
            <w:tcW w:w="5421" w:type="dxa"/>
            <w:tcBorders>
              <w:top w:val="nil"/>
              <w:left w:val="nil"/>
              <w:bottom w:val="nil"/>
              <w:right w:val="nil"/>
            </w:tcBorders>
          </w:tcPr>
          <w:p>
            <w:pPr>
              <w:pStyle w:val="TableParagraph"/>
              <w:spacing w:line="264" w:lineRule="exact" w:before="0"/>
              <w:ind w:left="110" w:right="-14"/>
              <w:jc w:val="left"/>
              <w:rPr>
                <w:sz w:val="24"/>
              </w:rPr>
            </w:pPr>
            <w:r>
              <w:rPr>
                <w:sz w:val="24"/>
              </w:rPr>
              <w:t>Probabilidad de un día de lluvia después de un día seco</w:t>
            </w:r>
          </w:p>
        </w:tc>
        <w:tc>
          <w:tcPr>
            <w:tcW w:w="2069" w:type="dxa"/>
            <w:tcBorders>
              <w:top w:val="nil"/>
              <w:left w:val="nil"/>
              <w:bottom w:val="nil"/>
              <w:right w:val="nil"/>
            </w:tcBorders>
          </w:tcPr>
          <w:p>
            <w:pPr>
              <w:pStyle w:val="TableParagraph"/>
              <w:spacing w:line="264" w:lineRule="exact" w:before="0"/>
              <w:ind w:left="105"/>
              <w:jc w:val="left"/>
              <w:rPr>
                <w:sz w:val="24"/>
              </w:rPr>
            </w:pPr>
            <w:r>
              <w:rPr>
                <w:sz w:val="24"/>
              </w:rPr>
              <w:t>PR_W1</w:t>
            </w:r>
          </w:p>
        </w:tc>
      </w:tr>
      <w:tr>
        <w:trPr>
          <w:trHeight w:val="552" w:hRule="exact"/>
        </w:trPr>
        <w:tc>
          <w:tcPr>
            <w:tcW w:w="5421" w:type="dxa"/>
            <w:tcBorders>
              <w:top w:val="nil"/>
              <w:left w:val="nil"/>
              <w:bottom w:val="nil"/>
              <w:right w:val="nil"/>
            </w:tcBorders>
          </w:tcPr>
          <w:p>
            <w:pPr>
              <w:pStyle w:val="TableParagraph"/>
              <w:spacing w:line="242" w:lineRule="auto" w:before="0"/>
              <w:ind w:left="110" w:right="39"/>
              <w:jc w:val="left"/>
              <w:rPr>
                <w:sz w:val="24"/>
              </w:rPr>
            </w:pPr>
            <w:r>
              <w:rPr>
                <w:sz w:val="24"/>
              </w:rPr>
              <w:t>Probabilidad de un día de lluvia después de otro día de lluvia</w:t>
            </w:r>
          </w:p>
        </w:tc>
        <w:tc>
          <w:tcPr>
            <w:tcW w:w="2069" w:type="dxa"/>
            <w:tcBorders>
              <w:top w:val="nil"/>
              <w:left w:val="nil"/>
              <w:bottom w:val="nil"/>
              <w:right w:val="nil"/>
            </w:tcBorders>
          </w:tcPr>
          <w:p>
            <w:pPr>
              <w:pStyle w:val="TableParagraph"/>
              <w:spacing w:line="262" w:lineRule="exact" w:before="0"/>
              <w:ind w:left="105"/>
              <w:jc w:val="left"/>
              <w:rPr>
                <w:sz w:val="24"/>
              </w:rPr>
            </w:pPr>
            <w:r>
              <w:rPr>
                <w:sz w:val="24"/>
              </w:rPr>
              <w:t>PR_W2</w:t>
            </w:r>
          </w:p>
        </w:tc>
      </w:tr>
      <w:tr>
        <w:trPr>
          <w:trHeight w:val="276" w:hRule="exact"/>
        </w:trPr>
        <w:tc>
          <w:tcPr>
            <w:tcW w:w="5421" w:type="dxa"/>
            <w:tcBorders>
              <w:top w:val="nil"/>
              <w:left w:val="nil"/>
              <w:bottom w:val="nil"/>
              <w:right w:val="nil"/>
            </w:tcBorders>
          </w:tcPr>
          <w:p>
            <w:pPr>
              <w:pStyle w:val="TableParagraph"/>
              <w:spacing w:line="262" w:lineRule="exact" w:before="0"/>
              <w:ind w:left="110" w:right="-14"/>
              <w:jc w:val="left"/>
              <w:rPr>
                <w:sz w:val="24"/>
              </w:rPr>
            </w:pPr>
            <w:r>
              <w:rPr>
                <w:sz w:val="24"/>
              </w:rPr>
              <w:t>Días de lluvia mensual promedio</w:t>
            </w:r>
          </w:p>
        </w:tc>
        <w:tc>
          <w:tcPr>
            <w:tcW w:w="2069" w:type="dxa"/>
            <w:tcBorders>
              <w:top w:val="nil"/>
              <w:left w:val="nil"/>
              <w:bottom w:val="nil"/>
              <w:right w:val="nil"/>
            </w:tcBorders>
          </w:tcPr>
          <w:p>
            <w:pPr>
              <w:pStyle w:val="TableParagraph"/>
              <w:spacing w:line="262" w:lineRule="exact" w:before="0"/>
              <w:ind w:left="105"/>
              <w:jc w:val="left"/>
              <w:rPr>
                <w:sz w:val="24"/>
              </w:rPr>
            </w:pPr>
            <w:r>
              <w:rPr>
                <w:sz w:val="24"/>
              </w:rPr>
              <w:t>PCPD</w:t>
            </w:r>
          </w:p>
        </w:tc>
      </w:tr>
      <w:tr>
        <w:trPr>
          <w:trHeight w:val="276" w:hRule="exact"/>
        </w:trPr>
        <w:tc>
          <w:tcPr>
            <w:tcW w:w="5421" w:type="dxa"/>
            <w:tcBorders>
              <w:top w:val="nil"/>
              <w:left w:val="nil"/>
              <w:bottom w:val="nil"/>
              <w:right w:val="nil"/>
            </w:tcBorders>
          </w:tcPr>
          <w:p>
            <w:pPr>
              <w:pStyle w:val="TableParagraph"/>
              <w:spacing w:line="264" w:lineRule="exact" w:before="0"/>
              <w:ind w:left="110" w:right="-14"/>
              <w:jc w:val="left"/>
              <w:rPr>
                <w:sz w:val="24"/>
              </w:rPr>
            </w:pPr>
            <w:r>
              <w:rPr>
                <w:sz w:val="24"/>
              </w:rPr>
              <w:t>Cantidad máxima de lluvia en 0.5 Hr</w:t>
            </w:r>
          </w:p>
        </w:tc>
        <w:tc>
          <w:tcPr>
            <w:tcW w:w="2069" w:type="dxa"/>
            <w:tcBorders>
              <w:top w:val="nil"/>
              <w:left w:val="nil"/>
              <w:bottom w:val="nil"/>
              <w:right w:val="nil"/>
            </w:tcBorders>
          </w:tcPr>
          <w:p>
            <w:pPr>
              <w:pStyle w:val="TableParagraph"/>
              <w:spacing w:line="264" w:lineRule="exact" w:before="0"/>
              <w:ind w:left="105"/>
              <w:jc w:val="left"/>
              <w:rPr>
                <w:sz w:val="24"/>
              </w:rPr>
            </w:pPr>
            <w:r>
              <w:rPr>
                <w:sz w:val="24"/>
              </w:rPr>
              <w:t>RAINHHMX</w:t>
            </w:r>
          </w:p>
        </w:tc>
      </w:tr>
      <w:tr>
        <w:trPr>
          <w:trHeight w:val="276" w:hRule="exact"/>
        </w:trPr>
        <w:tc>
          <w:tcPr>
            <w:tcW w:w="5421" w:type="dxa"/>
            <w:tcBorders>
              <w:top w:val="nil"/>
              <w:left w:val="nil"/>
              <w:bottom w:val="nil"/>
              <w:right w:val="nil"/>
            </w:tcBorders>
          </w:tcPr>
          <w:p>
            <w:pPr>
              <w:pStyle w:val="TableParagraph"/>
              <w:spacing w:line="262" w:lineRule="exact" w:before="0"/>
              <w:ind w:left="110" w:right="-14"/>
              <w:jc w:val="left"/>
              <w:rPr>
                <w:sz w:val="24"/>
              </w:rPr>
            </w:pPr>
            <w:r>
              <w:rPr>
                <w:sz w:val="24"/>
              </w:rPr>
              <w:t>Radiación solar</w:t>
            </w:r>
          </w:p>
        </w:tc>
        <w:tc>
          <w:tcPr>
            <w:tcW w:w="2069" w:type="dxa"/>
            <w:tcBorders>
              <w:top w:val="nil"/>
              <w:left w:val="nil"/>
              <w:bottom w:val="nil"/>
              <w:right w:val="nil"/>
            </w:tcBorders>
          </w:tcPr>
          <w:p>
            <w:pPr>
              <w:pStyle w:val="TableParagraph"/>
              <w:spacing w:line="262" w:lineRule="exact" w:before="0"/>
              <w:ind w:left="105"/>
              <w:jc w:val="left"/>
              <w:rPr>
                <w:sz w:val="24"/>
              </w:rPr>
            </w:pPr>
            <w:r>
              <w:rPr>
                <w:sz w:val="24"/>
              </w:rPr>
              <w:t>SOLARAV</w:t>
            </w:r>
          </w:p>
        </w:tc>
      </w:tr>
      <w:tr>
        <w:trPr>
          <w:trHeight w:val="299" w:hRule="exact"/>
        </w:trPr>
        <w:tc>
          <w:tcPr>
            <w:tcW w:w="5421" w:type="dxa"/>
            <w:tcBorders>
              <w:top w:val="nil"/>
              <w:left w:val="nil"/>
              <w:bottom w:val="nil"/>
              <w:right w:val="nil"/>
            </w:tcBorders>
          </w:tcPr>
          <w:p>
            <w:pPr>
              <w:pStyle w:val="TableParagraph"/>
              <w:spacing w:line="264" w:lineRule="exact" w:before="0"/>
              <w:ind w:left="110" w:right="-14"/>
              <w:jc w:val="left"/>
              <w:rPr>
                <w:sz w:val="24"/>
              </w:rPr>
            </w:pPr>
            <w:r>
              <w:rPr>
                <w:sz w:val="24"/>
              </w:rPr>
              <w:t>Punto de rocío</w:t>
            </w:r>
          </w:p>
        </w:tc>
        <w:tc>
          <w:tcPr>
            <w:tcW w:w="2069" w:type="dxa"/>
            <w:tcBorders>
              <w:top w:val="nil"/>
              <w:left w:val="nil"/>
              <w:bottom w:val="nil"/>
              <w:right w:val="nil"/>
            </w:tcBorders>
          </w:tcPr>
          <w:p>
            <w:pPr>
              <w:pStyle w:val="TableParagraph"/>
              <w:spacing w:line="288" w:lineRule="exact" w:before="0"/>
              <w:ind w:left="105"/>
              <w:jc w:val="left"/>
              <w:rPr>
                <w:sz w:val="26"/>
              </w:rPr>
            </w:pPr>
            <w:r>
              <w:rPr>
                <w:sz w:val="26"/>
              </w:rPr>
              <w:t>DEWPT</w:t>
            </w:r>
          </w:p>
        </w:tc>
      </w:tr>
      <w:tr>
        <w:trPr>
          <w:trHeight w:val="297" w:hRule="exact"/>
        </w:trPr>
        <w:tc>
          <w:tcPr>
            <w:tcW w:w="5421" w:type="dxa"/>
            <w:tcBorders>
              <w:top w:val="nil"/>
              <w:left w:val="nil"/>
              <w:right w:val="nil"/>
            </w:tcBorders>
          </w:tcPr>
          <w:p>
            <w:pPr>
              <w:pStyle w:val="TableParagraph"/>
              <w:spacing w:line="262" w:lineRule="exact" w:before="0"/>
              <w:ind w:left="110" w:right="-14"/>
              <w:jc w:val="left"/>
              <w:rPr>
                <w:sz w:val="24"/>
              </w:rPr>
            </w:pPr>
            <w:r>
              <w:rPr>
                <w:sz w:val="24"/>
              </w:rPr>
              <w:t>Velocidad del viento</w:t>
            </w:r>
          </w:p>
        </w:tc>
        <w:tc>
          <w:tcPr>
            <w:tcW w:w="2069" w:type="dxa"/>
            <w:tcBorders>
              <w:top w:val="nil"/>
              <w:left w:val="nil"/>
              <w:right w:val="nil"/>
            </w:tcBorders>
          </w:tcPr>
          <w:p>
            <w:pPr>
              <w:pStyle w:val="TableParagraph"/>
              <w:spacing w:line="286" w:lineRule="exact" w:before="0"/>
              <w:ind w:left="105"/>
              <w:jc w:val="left"/>
              <w:rPr>
                <w:sz w:val="26"/>
              </w:rPr>
            </w:pPr>
            <w:r>
              <w:rPr>
                <w:sz w:val="26"/>
              </w:rPr>
              <w:t>WNDAV</w:t>
            </w:r>
          </w:p>
        </w:tc>
      </w:tr>
    </w:tbl>
    <w:p>
      <w:pPr>
        <w:spacing w:line="244" w:lineRule="exact" w:before="0"/>
        <w:ind w:left="1288" w:right="118" w:firstLine="0"/>
        <w:jc w:val="left"/>
        <w:rPr>
          <w:sz w:val="22"/>
        </w:rPr>
      </w:pPr>
      <w:r>
        <w:rPr>
          <w:sz w:val="22"/>
        </w:rPr>
        <w:t>Fuente: Fernández, 1996</w:t>
      </w:r>
    </w:p>
    <w:p>
      <w:pPr>
        <w:pStyle w:val="BodyText"/>
        <w:spacing w:before="1"/>
      </w:pPr>
    </w:p>
    <w:p>
      <w:pPr>
        <w:pStyle w:val="BodyText"/>
        <w:spacing w:line="360" w:lineRule="auto"/>
        <w:ind w:left="116" w:right="112"/>
        <w:jc w:val="both"/>
      </w:pPr>
      <w:r>
        <w:rPr/>
        <w:t>Para</w:t>
      </w:r>
      <w:r>
        <w:rPr>
          <w:spacing w:val="-16"/>
        </w:rPr>
        <w:t> </w:t>
      </w:r>
      <w:r>
        <w:rPr/>
        <w:t>la</w:t>
      </w:r>
      <w:r>
        <w:rPr>
          <w:spacing w:val="-16"/>
        </w:rPr>
        <w:t> </w:t>
      </w:r>
      <w:r>
        <w:rPr/>
        <w:t>aplicación</w:t>
      </w:r>
      <w:r>
        <w:rPr>
          <w:spacing w:val="-15"/>
        </w:rPr>
        <w:t> </w:t>
      </w:r>
      <w:r>
        <w:rPr/>
        <w:t>del</w:t>
      </w:r>
      <w:r>
        <w:rPr>
          <w:spacing w:val="-20"/>
        </w:rPr>
        <w:t> </w:t>
      </w:r>
      <w:r>
        <w:rPr/>
        <w:t>modelo</w:t>
      </w:r>
      <w:r>
        <w:rPr>
          <w:spacing w:val="-16"/>
        </w:rPr>
        <w:t> </w:t>
      </w:r>
      <w:r>
        <w:rPr/>
        <w:t>en</w:t>
      </w:r>
      <w:r>
        <w:rPr>
          <w:spacing w:val="-14"/>
        </w:rPr>
        <w:t> </w:t>
      </w:r>
      <w:r>
        <w:rPr/>
        <w:t>la</w:t>
      </w:r>
      <w:r>
        <w:rPr>
          <w:spacing w:val="-20"/>
        </w:rPr>
        <w:t> </w:t>
      </w:r>
      <w:r>
        <w:rPr/>
        <w:t>cuenca</w:t>
      </w:r>
      <w:r>
        <w:rPr>
          <w:spacing w:val="-15"/>
        </w:rPr>
        <w:t> </w:t>
      </w:r>
      <w:r>
        <w:rPr/>
        <w:t>El</w:t>
      </w:r>
      <w:r>
        <w:rPr>
          <w:spacing w:val="-20"/>
        </w:rPr>
        <w:t> </w:t>
      </w:r>
      <w:r>
        <w:rPr/>
        <w:t>Tejocote</w:t>
      </w:r>
      <w:r>
        <w:rPr>
          <w:spacing w:val="-15"/>
        </w:rPr>
        <w:t> </w:t>
      </w:r>
      <w:r>
        <w:rPr/>
        <w:t>se</w:t>
      </w:r>
      <w:r>
        <w:rPr>
          <w:spacing w:val="-16"/>
        </w:rPr>
        <w:t> </w:t>
      </w:r>
      <w:r>
        <w:rPr/>
        <w:t>utilizaron</w:t>
      </w:r>
      <w:r>
        <w:rPr>
          <w:spacing w:val="-15"/>
        </w:rPr>
        <w:t> </w:t>
      </w:r>
      <w:r>
        <w:rPr/>
        <w:t>un</w:t>
      </w:r>
      <w:r>
        <w:rPr>
          <w:spacing w:val="-21"/>
        </w:rPr>
        <w:t> </w:t>
      </w:r>
      <w:r>
        <w:rPr/>
        <w:t>total</w:t>
      </w:r>
      <w:r>
        <w:rPr>
          <w:spacing w:val="-16"/>
        </w:rPr>
        <w:t> </w:t>
      </w:r>
      <w:r>
        <w:rPr/>
        <w:t>de</w:t>
      </w:r>
      <w:r>
        <w:rPr>
          <w:spacing w:val="-20"/>
        </w:rPr>
        <w:t> </w:t>
      </w:r>
      <w:r>
        <w:rPr/>
        <w:t>11</w:t>
      </w:r>
      <w:r>
        <w:rPr>
          <w:spacing w:val="-21"/>
        </w:rPr>
        <w:t> </w:t>
      </w:r>
      <w:r>
        <w:rPr/>
        <w:t>estaciones climatológicas de la red del Sistema Metereológico Nacional (SMN), las cuales se</w:t>
      </w:r>
      <w:r>
        <w:rPr>
          <w:spacing w:val="-22"/>
        </w:rPr>
        <w:t> </w:t>
      </w:r>
      <w:r>
        <w:rPr/>
        <w:t>enlistan en</w:t>
      </w:r>
      <w:r>
        <w:rPr>
          <w:spacing w:val="-11"/>
        </w:rPr>
        <w:t> </w:t>
      </w:r>
      <w:r>
        <w:rPr/>
        <w:t>Cuadro</w:t>
      </w:r>
      <w:r>
        <w:rPr>
          <w:spacing w:val="-10"/>
        </w:rPr>
        <w:t> </w:t>
      </w:r>
      <w:r>
        <w:rPr>
          <w:spacing w:val="-3"/>
        </w:rPr>
        <w:t>4,</w:t>
      </w:r>
      <w:r>
        <w:rPr>
          <w:spacing w:val="-8"/>
        </w:rPr>
        <w:t> </w:t>
      </w:r>
      <w:r>
        <w:rPr/>
        <w:t>éstas</w:t>
      </w:r>
      <w:r>
        <w:rPr>
          <w:spacing w:val="-16"/>
        </w:rPr>
        <w:t> </w:t>
      </w:r>
      <w:r>
        <w:rPr/>
        <w:t>están</w:t>
      </w:r>
      <w:r>
        <w:rPr>
          <w:spacing w:val="-15"/>
        </w:rPr>
        <w:t> </w:t>
      </w:r>
      <w:r>
        <w:rPr/>
        <w:t>ubicadas</w:t>
      </w:r>
      <w:r>
        <w:rPr>
          <w:spacing w:val="-11"/>
        </w:rPr>
        <w:t> </w:t>
      </w:r>
      <w:r>
        <w:rPr/>
        <w:t>dentro</w:t>
      </w:r>
      <w:r>
        <w:rPr>
          <w:spacing w:val="-11"/>
        </w:rPr>
        <w:t> </w:t>
      </w:r>
      <w:r>
        <w:rPr/>
        <w:t>y</w:t>
      </w:r>
      <w:r>
        <w:rPr>
          <w:spacing w:val="-16"/>
        </w:rPr>
        <w:t> </w:t>
      </w:r>
      <w:r>
        <w:rPr/>
        <w:t>en</w:t>
      </w:r>
      <w:r>
        <w:rPr>
          <w:spacing w:val="-14"/>
        </w:rPr>
        <w:t> </w:t>
      </w:r>
      <w:r>
        <w:rPr/>
        <w:t>los</w:t>
      </w:r>
      <w:r>
        <w:rPr>
          <w:spacing w:val="-11"/>
        </w:rPr>
        <w:t> </w:t>
      </w:r>
      <w:r>
        <w:rPr/>
        <w:t>límites</w:t>
      </w:r>
      <w:r>
        <w:rPr>
          <w:spacing w:val="-11"/>
        </w:rPr>
        <w:t> </w:t>
      </w:r>
      <w:r>
        <w:rPr/>
        <w:t>fuera</w:t>
      </w:r>
      <w:r>
        <w:rPr>
          <w:spacing w:val="-10"/>
        </w:rPr>
        <w:t> </w:t>
      </w:r>
      <w:r>
        <w:rPr/>
        <w:t>de</w:t>
      </w:r>
      <w:r>
        <w:rPr>
          <w:spacing w:val="-16"/>
        </w:rPr>
        <w:t> </w:t>
      </w:r>
      <w:r>
        <w:rPr/>
        <w:t>la</w:t>
      </w:r>
      <w:r>
        <w:rPr>
          <w:spacing w:val="-11"/>
        </w:rPr>
        <w:t> </w:t>
      </w:r>
      <w:r>
        <w:rPr/>
        <w:t>cuenca</w:t>
      </w:r>
      <w:r>
        <w:rPr>
          <w:spacing w:val="-15"/>
        </w:rPr>
        <w:t> </w:t>
      </w:r>
      <w:r>
        <w:rPr/>
        <w:t>como</w:t>
      </w:r>
      <w:r>
        <w:rPr>
          <w:spacing w:val="-11"/>
        </w:rPr>
        <w:t> </w:t>
      </w:r>
      <w:r>
        <w:rPr/>
        <w:t>se</w:t>
      </w:r>
      <w:r>
        <w:rPr>
          <w:spacing w:val="-11"/>
        </w:rPr>
        <w:t> </w:t>
      </w:r>
      <w:r>
        <w:rPr/>
        <w:t>observa en la Figura 20, con registros de 7 años correspondientes a 2000-2006, sobre precipitación diaria, temperatura máxima y mínima diarias, entre</w:t>
      </w:r>
      <w:r>
        <w:rPr>
          <w:spacing w:val="-9"/>
        </w:rPr>
        <w:t> </w:t>
      </w:r>
      <w:r>
        <w:rPr/>
        <w:t>otras.</w:t>
      </w:r>
    </w:p>
    <w:p>
      <w:pPr>
        <w:spacing w:after="0" w:line="360" w:lineRule="auto"/>
        <w:jc w:val="both"/>
        <w:sectPr>
          <w:footerReference w:type="default" r:id="rId103"/>
          <w:pgSz w:w="12240" w:h="15840"/>
          <w:pgMar w:footer="1473" w:header="0" w:top="1360" w:bottom="1660" w:left="1300" w:right="1300"/>
        </w:sectPr>
      </w:pPr>
    </w:p>
    <w:p>
      <w:pPr>
        <w:pStyle w:val="Heading1"/>
        <w:spacing w:before="49"/>
        <w:ind w:left="514" w:right="118"/>
      </w:pPr>
      <w:bookmarkStart w:name="_bookmark54" w:id="78"/>
      <w:bookmarkEnd w:id="78"/>
      <w:r>
        <w:rPr>
          <w:b w:val="0"/>
        </w:rPr>
      </w:r>
      <w:r>
        <w:rPr/>
        <w:t>Cuadro 4. Estaciones climatológicas seleccionadas para la cuenca El Tejocote.</w:t>
      </w:r>
    </w:p>
    <w:p>
      <w:pPr>
        <w:pStyle w:val="BodyText"/>
        <w:rPr>
          <w:b/>
          <w:sz w:val="18"/>
        </w:rPr>
      </w:pP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38"/>
        <w:gridCol w:w="1874"/>
        <w:gridCol w:w="1679"/>
        <w:gridCol w:w="1944"/>
        <w:gridCol w:w="1677"/>
      </w:tblGrid>
      <w:tr>
        <w:trPr>
          <w:trHeight w:val="562" w:hRule="exact"/>
        </w:trPr>
        <w:tc>
          <w:tcPr>
            <w:tcW w:w="2238" w:type="dxa"/>
            <w:tcBorders>
              <w:left w:val="nil"/>
              <w:right w:val="nil"/>
            </w:tcBorders>
          </w:tcPr>
          <w:p>
            <w:pPr>
              <w:pStyle w:val="TableParagraph"/>
              <w:spacing w:line="273" w:lineRule="exact" w:before="0"/>
              <w:ind w:left="682" w:right="107"/>
              <w:jc w:val="left"/>
              <w:rPr>
                <w:b/>
                <w:sz w:val="24"/>
              </w:rPr>
            </w:pPr>
            <w:r>
              <w:rPr>
                <w:b/>
                <w:sz w:val="24"/>
              </w:rPr>
              <w:t>Estación</w:t>
            </w:r>
          </w:p>
        </w:tc>
        <w:tc>
          <w:tcPr>
            <w:tcW w:w="1874" w:type="dxa"/>
            <w:tcBorders>
              <w:left w:val="nil"/>
              <w:right w:val="nil"/>
            </w:tcBorders>
          </w:tcPr>
          <w:p>
            <w:pPr>
              <w:pStyle w:val="TableParagraph"/>
              <w:spacing w:line="273" w:lineRule="exact" w:before="0"/>
              <w:ind w:left="89" w:right="283"/>
              <w:jc w:val="center"/>
              <w:rPr>
                <w:b/>
                <w:sz w:val="24"/>
              </w:rPr>
            </w:pPr>
            <w:r>
              <w:rPr>
                <w:b/>
                <w:sz w:val="24"/>
              </w:rPr>
              <w:t>Municipio</w:t>
            </w:r>
          </w:p>
        </w:tc>
        <w:tc>
          <w:tcPr>
            <w:tcW w:w="1679" w:type="dxa"/>
            <w:tcBorders>
              <w:left w:val="nil"/>
              <w:right w:val="nil"/>
            </w:tcBorders>
          </w:tcPr>
          <w:p>
            <w:pPr>
              <w:pStyle w:val="TableParagraph"/>
              <w:spacing w:line="242" w:lineRule="auto" w:before="0"/>
              <w:ind w:left="363" w:right="537" w:hanging="15"/>
              <w:jc w:val="left"/>
              <w:rPr>
                <w:b/>
                <w:sz w:val="24"/>
              </w:rPr>
            </w:pPr>
            <w:r>
              <w:rPr>
                <w:b/>
                <w:sz w:val="24"/>
              </w:rPr>
              <w:t>Latitud (Norte)</w:t>
            </w:r>
          </w:p>
        </w:tc>
        <w:tc>
          <w:tcPr>
            <w:tcW w:w="1944" w:type="dxa"/>
            <w:tcBorders>
              <w:left w:val="nil"/>
              <w:right w:val="nil"/>
            </w:tcBorders>
          </w:tcPr>
          <w:p>
            <w:pPr>
              <w:pStyle w:val="TableParagraph"/>
              <w:spacing w:line="242" w:lineRule="auto" w:before="0"/>
              <w:ind w:left="696" w:right="453" w:hanging="173"/>
              <w:jc w:val="left"/>
              <w:rPr>
                <w:b/>
                <w:sz w:val="24"/>
              </w:rPr>
            </w:pPr>
            <w:r>
              <w:rPr>
                <w:b/>
                <w:sz w:val="24"/>
              </w:rPr>
              <w:t>Longitud (Este)</w:t>
            </w:r>
          </w:p>
        </w:tc>
        <w:tc>
          <w:tcPr>
            <w:tcW w:w="1677" w:type="dxa"/>
            <w:tcBorders>
              <w:left w:val="nil"/>
              <w:right w:val="nil"/>
            </w:tcBorders>
          </w:tcPr>
          <w:p>
            <w:pPr>
              <w:pStyle w:val="TableParagraph"/>
              <w:spacing w:line="242" w:lineRule="auto" w:before="0"/>
              <w:ind w:left="471" w:firstLine="28"/>
              <w:jc w:val="left"/>
              <w:rPr>
                <w:b/>
                <w:sz w:val="24"/>
              </w:rPr>
            </w:pPr>
            <w:r>
              <w:rPr>
                <w:b/>
                <w:sz w:val="24"/>
              </w:rPr>
              <w:t>Altitud (msnm)</w:t>
            </w:r>
          </w:p>
        </w:tc>
      </w:tr>
      <w:tr>
        <w:trPr>
          <w:trHeight w:val="289" w:hRule="exact"/>
        </w:trPr>
        <w:tc>
          <w:tcPr>
            <w:tcW w:w="2238" w:type="dxa"/>
            <w:tcBorders>
              <w:left w:val="nil"/>
              <w:bottom w:val="nil"/>
              <w:right w:val="nil"/>
            </w:tcBorders>
          </w:tcPr>
          <w:p>
            <w:pPr>
              <w:pStyle w:val="TableParagraph"/>
              <w:spacing w:line="273" w:lineRule="exact" w:before="0"/>
              <w:ind w:left="110" w:right="107"/>
              <w:jc w:val="left"/>
              <w:rPr>
                <w:sz w:val="24"/>
              </w:rPr>
            </w:pPr>
            <w:r>
              <w:rPr>
                <w:sz w:val="24"/>
              </w:rPr>
              <w:t>El Tejocote</w:t>
            </w:r>
          </w:p>
        </w:tc>
        <w:tc>
          <w:tcPr>
            <w:tcW w:w="1874" w:type="dxa"/>
            <w:tcBorders>
              <w:left w:val="nil"/>
              <w:bottom w:val="nil"/>
              <w:right w:val="nil"/>
            </w:tcBorders>
          </w:tcPr>
          <w:p>
            <w:pPr>
              <w:pStyle w:val="TableParagraph"/>
              <w:spacing w:line="273" w:lineRule="exact" w:before="0"/>
              <w:ind w:left="85" w:right="292"/>
              <w:jc w:val="center"/>
              <w:rPr>
                <w:sz w:val="24"/>
              </w:rPr>
            </w:pPr>
            <w:r>
              <w:rPr>
                <w:sz w:val="24"/>
              </w:rPr>
              <w:t>Atlacomulco</w:t>
            </w:r>
          </w:p>
        </w:tc>
        <w:tc>
          <w:tcPr>
            <w:tcW w:w="1679" w:type="dxa"/>
            <w:tcBorders>
              <w:left w:val="nil"/>
              <w:bottom w:val="nil"/>
              <w:right w:val="nil"/>
            </w:tcBorders>
          </w:tcPr>
          <w:p>
            <w:pPr>
              <w:pStyle w:val="TableParagraph"/>
              <w:spacing w:line="273" w:lineRule="exact" w:before="0"/>
              <w:ind w:left="315"/>
              <w:jc w:val="left"/>
              <w:rPr>
                <w:sz w:val="24"/>
              </w:rPr>
            </w:pPr>
            <w:r>
              <w:rPr>
                <w:sz w:val="24"/>
              </w:rPr>
              <w:t>2197039</w:t>
            </w:r>
          </w:p>
        </w:tc>
        <w:tc>
          <w:tcPr>
            <w:tcW w:w="1944" w:type="dxa"/>
            <w:tcBorders>
              <w:left w:val="nil"/>
              <w:bottom w:val="nil"/>
              <w:right w:val="nil"/>
            </w:tcBorders>
          </w:tcPr>
          <w:p>
            <w:pPr>
              <w:pStyle w:val="TableParagraph"/>
              <w:spacing w:line="273" w:lineRule="exact" w:before="0"/>
              <w:ind w:right="583"/>
              <w:rPr>
                <w:sz w:val="24"/>
              </w:rPr>
            </w:pPr>
            <w:r>
              <w:rPr>
                <w:sz w:val="24"/>
              </w:rPr>
              <w:t>404314</w:t>
            </w:r>
          </w:p>
        </w:tc>
        <w:tc>
          <w:tcPr>
            <w:tcW w:w="1677" w:type="dxa"/>
            <w:tcBorders>
              <w:left w:val="nil"/>
              <w:bottom w:val="nil"/>
              <w:right w:val="nil"/>
            </w:tcBorders>
          </w:tcPr>
          <w:p>
            <w:pPr>
              <w:pStyle w:val="TableParagraph"/>
              <w:spacing w:line="273" w:lineRule="exact" w:before="0"/>
              <w:ind w:right="569"/>
              <w:rPr>
                <w:sz w:val="24"/>
              </w:rPr>
            </w:pPr>
            <w:r>
              <w:rPr>
                <w:sz w:val="24"/>
              </w:rPr>
              <w:t>2487</w:t>
            </w:r>
          </w:p>
        </w:tc>
      </w:tr>
      <w:tr>
        <w:trPr>
          <w:trHeight w:val="276" w:hRule="exact"/>
        </w:trPr>
        <w:tc>
          <w:tcPr>
            <w:tcW w:w="2238" w:type="dxa"/>
            <w:tcBorders>
              <w:top w:val="nil"/>
              <w:left w:val="nil"/>
              <w:bottom w:val="nil"/>
              <w:right w:val="nil"/>
            </w:tcBorders>
          </w:tcPr>
          <w:p>
            <w:pPr>
              <w:pStyle w:val="TableParagraph"/>
              <w:spacing w:line="262" w:lineRule="exact" w:before="0"/>
              <w:ind w:left="110" w:right="107"/>
              <w:jc w:val="left"/>
              <w:rPr>
                <w:sz w:val="24"/>
              </w:rPr>
            </w:pPr>
            <w:r>
              <w:rPr>
                <w:sz w:val="24"/>
              </w:rPr>
              <w:t>San Pedro Potla</w:t>
            </w:r>
          </w:p>
        </w:tc>
        <w:tc>
          <w:tcPr>
            <w:tcW w:w="1874" w:type="dxa"/>
            <w:tcBorders>
              <w:top w:val="nil"/>
              <w:left w:val="nil"/>
              <w:bottom w:val="nil"/>
              <w:right w:val="nil"/>
            </w:tcBorders>
          </w:tcPr>
          <w:p>
            <w:pPr>
              <w:pStyle w:val="TableParagraph"/>
              <w:spacing w:line="262" w:lineRule="exact" w:before="0"/>
              <w:ind w:left="89" w:right="291"/>
              <w:jc w:val="center"/>
              <w:rPr>
                <w:sz w:val="24"/>
              </w:rPr>
            </w:pPr>
            <w:r>
              <w:rPr>
                <w:sz w:val="24"/>
              </w:rPr>
              <w:t>Acambay</w:t>
            </w:r>
          </w:p>
        </w:tc>
        <w:tc>
          <w:tcPr>
            <w:tcW w:w="1679" w:type="dxa"/>
            <w:tcBorders>
              <w:top w:val="nil"/>
              <w:left w:val="nil"/>
              <w:bottom w:val="nil"/>
              <w:right w:val="nil"/>
            </w:tcBorders>
          </w:tcPr>
          <w:p>
            <w:pPr>
              <w:pStyle w:val="TableParagraph"/>
              <w:spacing w:line="262" w:lineRule="exact" w:before="0"/>
              <w:ind w:left="315"/>
              <w:jc w:val="left"/>
              <w:rPr>
                <w:sz w:val="24"/>
              </w:rPr>
            </w:pPr>
            <w:r>
              <w:rPr>
                <w:sz w:val="24"/>
              </w:rPr>
              <w:t>2195734</w:t>
            </w:r>
          </w:p>
        </w:tc>
        <w:tc>
          <w:tcPr>
            <w:tcW w:w="1944" w:type="dxa"/>
            <w:tcBorders>
              <w:top w:val="nil"/>
              <w:left w:val="nil"/>
              <w:bottom w:val="nil"/>
              <w:right w:val="nil"/>
            </w:tcBorders>
          </w:tcPr>
          <w:p>
            <w:pPr>
              <w:pStyle w:val="TableParagraph"/>
              <w:spacing w:line="262" w:lineRule="exact" w:before="0"/>
              <w:ind w:right="583"/>
              <w:rPr>
                <w:sz w:val="24"/>
              </w:rPr>
            </w:pPr>
            <w:r>
              <w:rPr>
                <w:sz w:val="24"/>
              </w:rPr>
              <w:t>398665</w:t>
            </w:r>
          </w:p>
        </w:tc>
        <w:tc>
          <w:tcPr>
            <w:tcW w:w="1677" w:type="dxa"/>
            <w:tcBorders>
              <w:top w:val="nil"/>
              <w:left w:val="nil"/>
              <w:bottom w:val="nil"/>
              <w:right w:val="nil"/>
            </w:tcBorders>
          </w:tcPr>
          <w:p>
            <w:pPr>
              <w:pStyle w:val="TableParagraph"/>
              <w:spacing w:line="262" w:lineRule="exact" w:before="0"/>
              <w:ind w:right="569"/>
              <w:rPr>
                <w:sz w:val="24"/>
              </w:rPr>
            </w:pPr>
            <w:r>
              <w:rPr>
                <w:sz w:val="24"/>
              </w:rPr>
              <w:t>2475</w:t>
            </w:r>
          </w:p>
        </w:tc>
      </w:tr>
      <w:tr>
        <w:trPr>
          <w:trHeight w:val="276" w:hRule="exact"/>
        </w:trPr>
        <w:tc>
          <w:tcPr>
            <w:tcW w:w="2238" w:type="dxa"/>
            <w:tcBorders>
              <w:top w:val="nil"/>
              <w:left w:val="nil"/>
              <w:bottom w:val="nil"/>
              <w:right w:val="nil"/>
            </w:tcBorders>
          </w:tcPr>
          <w:p>
            <w:pPr>
              <w:pStyle w:val="TableParagraph"/>
              <w:spacing w:line="264" w:lineRule="exact" w:before="0"/>
              <w:ind w:left="110" w:right="107"/>
              <w:jc w:val="left"/>
              <w:rPr>
                <w:sz w:val="24"/>
              </w:rPr>
            </w:pPr>
            <w:r>
              <w:rPr>
                <w:sz w:val="24"/>
              </w:rPr>
              <w:t>Acambay</w:t>
            </w:r>
          </w:p>
        </w:tc>
        <w:tc>
          <w:tcPr>
            <w:tcW w:w="1874" w:type="dxa"/>
            <w:tcBorders>
              <w:top w:val="nil"/>
              <w:left w:val="nil"/>
              <w:bottom w:val="nil"/>
              <w:right w:val="nil"/>
            </w:tcBorders>
          </w:tcPr>
          <w:p>
            <w:pPr>
              <w:pStyle w:val="TableParagraph"/>
              <w:spacing w:line="264" w:lineRule="exact" w:before="0"/>
              <w:ind w:left="89" w:right="291"/>
              <w:jc w:val="center"/>
              <w:rPr>
                <w:sz w:val="24"/>
              </w:rPr>
            </w:pPr>
            <w:r>
              <w:rPr>
                <w:sz w:val="24"/>
              </w:rPr>
              <w:t>Acambay</w:t>
            </w:r>
          </w:p>
        </w:tc>
        <w:tc>
          <w:tcPr>
            <w:tcW w:w="1679" w:type="dxa"/>
            <w:tcBorders>
              <w:top w:val="nil"/>
              <w:left w:val="nil"/>
              <w:bottom w:val="nil"/>
              <w:right w:val="nil"/>
            </w:tcBorders>
          </w:tcPr>
          <w:p>
            <w:pPr>
              <w:pStyle w:val="TableParagraph"/>
              <w:spacing w:line="264" w:lineRule="exact" w:before="0"/>
              <w:ind w:left="315"/>
              <w:jc w:val="left"/>
              <w:rPr>
                <w:sz w:val="24"/>
              </w:rPr>
            </w:pPr>
            <w:r>
              <w:rPr>
                <w:sz w:val="24"/>
              </w:rPr>
              <w:t>2209697</w:t>
            </w:r>
          </w:p>
        </w:tc>
        <w:tc>
          <w:tcPr>
            <w:tcW w:w="1944" w:type="dxa"/>
            <w:tcBorders>
              <w:top w:val="nil"/>
              <w:left w:val="nil"/>
              <w:bottom w:val="nil"/>
              <w:right w:val="nil"/>
            </w:tcBorders>
          </w:tcPr>
          <w:p>
            <w:pPr>
              <w:pStyle w:val="TableParagraph"/>
              <w:spacing w:line="264" w:lineRule="exact" w:before="0"/>
              <w:ind w:right="583"/>
              <w:rPr>
                <w:sz w:val="24"/>
              </w:rPr>
            </w:pPr>
            <w:r>
              <w:rPr>
                <w:sz w:val="24"/>
              </w:rPr>
              <w:t>411361</w:t>
            </w:r>
          </w:p>
        </w:tc>
        <w:tc>
          <w:tcPr>
            <w:tcW w:w="1677" w:type="dxa"/>
            <w:tcBorders>
              <w:top w:val="nil"/>
              <w:left w:val="nil"/>
              <w:bottom w:val="nil"/>
              <w:right w:val="nil"/>
            </w:tcBorders>
          </w:tcPr>
          <w:p>
            <w:pPr>
              <w:pStyle w:val="TableParagraph"/>
              <w:spacing w:line="264" w:lineRule="exact" w:before="0"/>
              <w:ind w:right="569"/>
              <w:rPr>
                <w:sz w:val="24"/>
              </w:rPr>
            </w:pPr>
            <w:r>
              <w:rPr>
                <w:sz w:val="24"/>
              </w:rPr>
              <w:t>2388</w:t>
            </w:r>
          </w:p>
        </w:tc>
      </w:tr>
      <w:tr>
        <w:trPr>
          <w:trHeight w:val="552" w:hRule="exact"/>
        </w:trPr>
        <w:tc>
          <w:tcPr>
            <w:tcW w:w="2238" w:type="dxa"/>
            <w:tcBorders>
              <w:top w:val="nil"/>
              <w:left w:val="nil"/>
              <w:bottom w:val="nil"/>
              <w:right w:val="nil"/>
            </w:tcBorders>
          </w:tcPr>
          <w:p>
            <w:pPr>
              <w:pStyle w:val="TableParagraph"/>
              <w:tabs>
                <w:tab w:pos="1439" w:val="left" w:leader="none"/>
              </w:tabs>
              <w:spacing w:line="242" w:lineRule="auto" w:before="0"/>
              <w:ind w:left="110" w:right="107"/>
              <w:jc w:val="left"/>
              <w:rPr>
                <w:sz w:val="24"/>
              </w:rPr>
            </w:pPr>
            <w:r>
              <w:rPr>
                <w:sz w:val="24"/>
              </w:rPr>
              <w:t>San</w:t>
              <w:tab/>
            </w:r>
            <w:r>
              <w:rPr>
                <w:spacing w:val="-1"/>
                <w:sz w:val="24"/>
              </w:rPr>
              <w:t>Andrés </w:t>
            </w:r>
            <w:r>
              <w:rPr>
                <w:sz w:val="24"/>
              </w:rPr>
              <w:t>Timilpan</w:t>
            </w:r>
          </w:p>
        </w:tc>
        <w:tc>
          <w:tcPr>
            <w:tcW w:w="1874" w:type="dxa"/>
            <w:tcBorders>
              <w:top w:val="nil"/>
              <w:left w:val="nil"/>
              <w:bottom w:val="nil"/>
              <w:right w:val="nil"/>
            </w:tcBorders>
          </w:tcPr>
          <w:p>
            <w:pPr>
              <w:pStyle w:val="TableParagraph"/>
              <w:spacing w:line="262" w:lineRule="exact" w:before="0"/>
              <w:ind w:left="89" w:right="287"/>
              <w:jc w:val="center"/>
              <w:rPr>
                <w:sz w:val="24"/>
              </w:rPr>
            </w:pPr>
            <w:r>
              <w:rPr>
                <w:sz w:val="24"/>
              </w:rPr>
              <w:t>Timilpan</w:t>
            </w:r>
          </w:p>
        </w:tc>
        <w:tc>
          <w:tcPr>
            <w:tcW w:w="1679" w:type="dxa"/>
            <w:tcBorders>
              <w:top w:val="nil"/>
              <w:left w:val="nil"/>
              <w:bottom w:val="nil"/>
              <w:right w:val="nil"/>
            </w:tcBorders>
          </w:tcPr>
          <w:p>
            <w:pPr>
              <w:pStyle w:val="TableParagraph"/>
              <w:spacing w:line="262" w:lineRule="exact" w:before="0"/>
              <w:ind w:left="315"/>
              <w:jc w:val="left"/>
              <w:rPr>
                <w:sz w:val="24"/>
              </w:rPr>
            </w:pPr>
            <w:r>
              <w:rPr>
                <w:sz w:val="24"/>
              </w:rPr>
              <w:t>2197704</w:t>
            </w:r>
          </w:p>
        </w:tc>
        <w:tc>
          <w:tcPr>
            <w:tcW w:w="1944" w:type="dxa"/>
            <w:tcBorders>
              <w:top w:val="nil"/>
              <w:left w:val="nil"/>
              <w:bottom w:val="nil"/>
              <w:right w:val="nil"/>
            </w:tcBorders>
          </w:tcPr>
          <w:p>
            <w:pPr>
              <w:pStyle w:val="TableParagraph"/>
              <w:spacing w:line="262" w:lineRule="exact" w:before="0"/>
              <w:ind w:right="583"/>
              <w:rPr>
                <w:sz w:val="24"/>
              </w:rPr>
            </w:pPr>
            <w:r>
              <w:rPr>
                <w:sz w:val="24"/>
              </w:rPr>
              <w:t>423190</w:t>
            </w:r>
          </w:p>
        </w:tc>
        <w:tc>
          <w:tcPr>
            <w:tcW w:w="1677" w:type="dxa"/>
            <w:tcBorders>
              <w:top w:val="nil"/>
              <w:left w:val="nil"/>
              <w:bottom w:val="nil"/>
              <w:right w:val="nil"/>
            </w:tcBorders>
          </w:tcPr>
          <w:p>
            <w:pPr>
              <w:pStyle w:val="TableParagraph"/>
              <w:spacing w:line="262" w:lineRule="exact" w:before="0"/>
              <w:ind w:right="569"/>
              <w:rPr>
                <w:sz w:val="24"/>
              </w:rPr>
            </w:pPr>
            <w:r>
              <w:rPr>
                <w:sz w:val="24"/>
              </w:rPr>
              <w:t>2680</w:t>
            </w:r>
          </w:p>
        </w:tc>
      </w:tr>
      <w:tr>
        <w:trPr>
          <w:trHeight w:val="274" w:hRule="exact"/>
        </w:trPr>
        <w:tc>
          <w:tcPr>
            <w:tcW w:w="2238" w:type="dxa"/>
            <w:tcBorders>
              <w:top w:val="nil"/>
              <w:left w:val="nil"/>
              <w:bottom w:val="nil"/>
              <w:right w:val="nil"/>
            </w:tcBorders>
          </w:tcPr>
          <w:p>
            <w:pPr>
              <w:pStyle w:val="TableParagraph"/>
              <w:spacing w:line="262" w:lineRule="exact" w:before="0"/>
              <w:ind w:left="110" w:right="107"/>
              <w:jc w:val="left"/>
              <w:rPr>
                <w:sz w:val="24"/>
              </w:rPr>
            </w:pPr>
            <w:r>
              <w:rPr>
                <w:sz w:val="24"/>
              </w:rPr>
              <w:t>Temascalcingo</w:t>
            </w:r>
          </w:p>
        </w:tc>
        <w:tc>
          <w:tcPr>
            <w:tcW w:w="1874" w:type="dxa"/>
            <w:tcBorders>
              <w:top w:val="nil"/>
              <w:left w:val="nil"/>
              <w:bottom w:val="nil"/>
              <w:right w:val="nil"/>
            </w:tcBorders>
          </w:tcPr>
          <w:p>
            <w:pPr>
              <w:pStyle w:val="TableParagraph"/>
              <w:spacing w:line="262" w:lineRule="exact" w:before="0"/>
              <w:ind w:left="89" w:right="292"/>
              <w:jc w:val="center"/>
              <w:rPr>
                <w:sz w:val="24"/>
              </w:rPr>
            </w:pPr>
            <w:r>
              <w:rPr>
                <w:sz w:val="24"/>
              </w:rPr>
              <w:t>Temascalcingo</w:t>
            </w:r>
          </w:p>
        </w:tc>
        <w:tc>
          <w:tcPr>
            <w:tcW w:w="1679" w:type="dxa"/>
            <w:tcBorders>
              <w:top w:val="nil"/>
              <w:left w:val="nil"/>
              <w:bottom w:val="nil"/>
              <w:right w:val="nil"/>
            </w:tcBorders>
          </w:tcPr>
          <w:p>
            <w:pPr>
              <w:pStyle w:val="TableParagraph"/>
              <w:spacing w:line="262" w:lineRule="exact" w:before="0"/>
              <w:ind w:left="315"/>
              <w:jc w:val="left"/>
              <w:rPr>
                <w:sz w:val="24"/>
              </w:rPr>
            </w:pPr>
            <w:r>
              <w:rPr>
                <w:sz w:val="24"/>
              </w:rPr>
              <w:t>2202920</w:t>
            </w:r>
          </w:p>
        </w:tc>
        <w:tc>
          <w:tcPr>
            <w:tcW w:w="1944" w:type="dxa"/>
            <w:tcBorders>
              <w:top w:val="nil"/>
              <w:left w:val="nil"/>
              <w:bottom w:val="nil"/>
              <w:right w:val="nil"/>
            </w:tcBorders>
          </w:tcPr>
          <w:p>
            <w:pPr>
              <w:pStyle w:val="TableParagraph"/>
              <w:spacing w:line="262" w:lineRule="exact" w:before="0"/>
              <w:ind w:right="583"/>
              <w:rPr>
                <w:sz w:val="24"/>
              </w:rPr>
            </w:pPr>
            <w:r>
              <w:rPr>
                <w:sz w:val="24"/>
              </w:rPr>
              <w:t>394061</w:t>
            </w:r>
          </w:p>
        </w:tc>
        <w:tc>
          <w:tcPr>
            <w:tcW w:w="1677" w:type="dxa"/>
            <w:tcBorders>
              <w:top w:val="nil"/>
              <w:left w:val="nil"/>
              <w:bottom w:val="nil"/>
              <w:right w:val="nil"/>
            </w:tcBorders>
          </w:tcPr>
          <w:p>
            <w:pPr>
              <w:pStyle w:val="TableParagraph"/>
              <w:spacing w:line="262" w:lineRule="exact" w:before="0"/>
              <w:ind w:right="569"/>
              <w:rPr>
                <w:sz w:val="24"/>
              </w:rPr>
            </w:pPr>
            <w:r>
              <w:rPr>
                <w:sz w:val="24"/>
              </w:rPr>
              <w:t>2379</w:t>
            </w:r>
          </w:p>
        </w:tc>
      </w:tr>
      <w:tr>
        <w:trPr>
          <w:trHeight w:val="552" w:hRule="exact"/>
        </w:trPr>
        <w:tc>
          <w:tcPr>
            <w:tcW w:w="2238" w:type="dxa"/>
            <w:tcBorders>
              <w:top w:val="nil"/>
              <w:left w:val="nil"/>
              <w:bottom w:val="nil"/>
              <w:right w:val="nil"/>
            </w:tcBorders>
          </w:tcPr>
          <w:p>
            <w:pPr>
              <w:pStyle w:val="TableParagraph"/>
              <w:spacing w:line="242" w:lineRule="auto" w:before="0"/>
              <w:ind w:left="110" w:right="107"/>
              <w:jc w:val="left"/>
              <w:rPr>
                <w:sz w:val="24"/>
              </w:rPr>
            </w:pPr>
            <w:r>
              <w:rPr>
                <w:sz w:val="24"/>
              </w:rPr>
              <w:t>Observatorio U.A.E.M.</w:t>
            </w:r>
          </w:p>
        </w:tc>
        <w:tc>
          <w:tcPr>
            <w:tcW w:w="1874" w:type="dxa"/>
            <w:tcBorders>
              <w:top w:val="nil"/>
              <w:left w:val="nil"/>
              <w:bottom w:val="nil"/>
              <w:right w:val="nil"/>
            </w:tcBorders>
          </w:tcPr>
          <w:p>
            <w:pPr>
              <w:pStyle w:val="TableParagraph"/>
              <w:spacing w:line="262" w:lineRule="exact" w:before="0"/>
              <w:ind w:left="89" w:right="290"/>
              <w:jc w:val="center"/>
              <w:rPr>
                <w:sz w:val="24"/>
              </w:rPr>
            </w:pPr>
            <w:r>
              <w:rPr>
                <w:sz w:val="24"/>
              </w:rPr>
              <w:t>Toluca</w:t>
            </w:r>
          </w:p>
        </w:tc>
        <w:tc>
          <w:tcPr>
            <w:tcW w:w="1679" w:type="dxa"/>
            <w:tcBorders>
              <w:top w:val="nil"/>
              <w:left w:val="nil"/>
              <w:bottom w:val="nil"/>
              <w:right w:val="nil"/>
            </w:tcBorders>
          </w:tcPr>
          <w:p>
            <w:pPr>
              <w:pStyle w:val="TableParagraph"/>
              <w:spacing w:line="262" w:lineRule="exact" w:before="0"/>
              <w:ind w:left="315"/>
              <w:jc w:val="left"/>
              <w:rPr>
                <w:sz w:val="24"/>
              </w:rPr>
            </w:pPr>
            <w:r>
              <w:rPr>
                <w:sz w:val="24"/>
              </w:rPr>
              <w:t>2132515</w:t>
            </w:r>
          </w:p>
        </w:tc>
        <w:tc>
          <w:tcPr>
            <w:tcW w:w="1944" w:type="dxa"/>
            <w:tcBorders>
              <w:top w:val="nil"/>
              <w:left w:val="nil"/>
              <w:bottom w:val="nil"/>
              <w:right w:val="nil"/>
            </w:tcBorders>
          </w:tcPr>
          <w:p>
            <w:pPr>
              <w:pStyle w:val="TableParagraph"/>
              <w:spacing w:line="262" w:lineRule="exact" w:before="0"/>
              <w:ind w:right="583"/>
              <w:rPr>
                <w:sz w:val="24"/>
              </w:rPr>
            </w:pPr>
            <w:r>
              <w:rPr>
                <w:sz w:val="24"/>
              </w:rPr>
              <w:t>431405</w:t>
            </w:r>
          </w:p>
        </w:tc>
        <w:tc>
          <w:tcPr>
            <w:tcW w:w="1677" w:type="dxa"/>
            <w:tcBorders>
              <w:top w:val="nil"/>
              <w:left w:val="nil"/>
              <w:bottom w:val="nil"/>
              <w:right w:val="nil"/>
            </w:tcBorders>
          </w:tcPr>
          <w:p>
            <w:pPr>
              <w:pStyle w:val="TableParagraph"/>
              <w:spacing w:line="262" w:lineRule="exact" w:before="0"/>
              <w:ind w:right="569"/>
              <w:rPr>
                <w:sz w:val="24"/>
              </w:rPr>
            </w:pPr>
            <w:r>
              <w:rPr>
                <w:sz w:val="24"/>
              </w:rPr>
              <w:t>2671</w:t>
            </w:r>
          </w:p>
        </w:tc>
      </w:tr>
      <w:tr>
        <w:trPr>
          <w:trHeight w:val="276" w:hRule="exact"/>
        </w:trPr>
        <w:tc>
          <w:tcPr>
            <w:tcW w:w="2238" w:type="dxa"/>
            <w:tcBorders>
              <w:top w:val="nil"/>
              <w:left w:val="nil"/>
              <w:bottom w:val="nil"/>
              <w:right w:val="nil"/>
            </w:tcBorders>
          </w:tcPr>
          <w:p>
            <w:pPr>
              <w:pStyle w:val="TableParagraph"/>
              <w:spacing w:line="262" w:lineRule="exact" w:before="0"/>
              <w:ind w:left="110" w:right="107"/>
              <w:jc w:val="left"/>
              <w:rPr>
                <w:sz w:val="24"/>
              </w:rPr>
            </w:pPr>
            <w:r>
              <w:rPr>
                <w:sz w:val="24"/>
              </w:rPr>
              <w:t>La Jordana</w:t>
            </w:r>
          </w:p>
        </w:tc>
        <w:tc>
          <w:tcPr>
            <w:tcW w:w="1874" w:type="dxa"/>
            <w:tcBorders>
              <w:top w:val="nil"/>
              <w:left w:val="nil"/>
              <w:bottom w:val="nil"/>
              <w:right w:val="nil"/>
            </w:tcBorders>
          </w:tcPr>
          <w:p>
            <w:pPr>
              <w:pStyle w:val="TableParagraph"/>
              <w:spacing w:line="262" w:lineRule="exact" w:before="0"/>
              <w:ind w:left="89" w:right="292"/>
              <w:jc w:val="center"/>
              <w:rPr>
                <w:sz w:val="24"/>
              </w:rPr>
            </w:pPr>
            <w:r>
              <w:rPr>
                <w:sz w:val="24"/>
              </w:rPr>
              <w:t>El Oro</w:t>
            </w:r>
          </w:p>
        </w:tc>
        <w:tc>
          <w:tcPr>
            <w:tcW w:w="1679" w:type="dxa"/>
            <w:tcBorders>
              <w:top w:val="nil"/>
              <w:left w:val="nil"/>
              <w:bottom w:val="nil"/>
              <w:right w:val="nil"/>
            </w:tcBorders>
          </w:tcPr>
          <w:p>
            <w:pPr>
              <w:pStyle w:val="TableParagraph"/>
              <w:spacing w:line="262" w:lineRule="exact" w:before="0"/>
              <w:ind w:left="315"/>
              <w:jc w:val="left"/>
              <w:rPr>
                <w:sz w:val="24"/>
              </w:rPr>
            </w:pPr>
            <w:r>
              <w:rPr>
                <w:sz w:val="24"/>
              </w:rPr>
              <w:t>2189236</w:t>
            </w:r>
          </w:p>
        </w:tc>
        <w:tc>
          <w:tcPr>
            <w:tcW w:w="1944" w:type="dxa"/>
            <w:tcBorders>
              <w:top w:val="nil"/>
              <w:left w:val="nil"/>
              <w:bottom w:val="nil"/>
              <w:right w:val="nil"/>
            </w:tcBorders>
          </w:tcPr>
          <w:p>
            <w:pPr>
              <w:pStyle w:val="TableParagraph"/>
              <w:spacing w:line="262" w:lineRule="exact" w:before="0"/>
              <w:ind w:right="583"/>
              <w:rPr>
                <w:sz w:val="24"/>
              </w:rPr>
            </w:pPr>
            <w:r>
              <w:rPr>
                <w:sz w:val="24"/>
              </w:rPr>
              <w:t>395777</w:t>
            </w:r>
          </w:p>
        </w:tc>
        <w:tc>
          <w:tcPr>
            <w:tcW w:w="1677" w:type="dxa"/>
            <w:tcBorders>
              <w:top w:val="nil"/>
              <w:left w:val="nil"/>
              <w:bottom w:val="nil"/>
              <w:right w:val="nil"/>
            </w:tcBorders>
          </w:tcPr>
          <w:p>
            <w:pPr>
              <w:pStyle w:val="TableParagraph"/>
              <w:spacing w:line="262" w:lineRule="exact" w:before="0"/>
              <w:ind w:right="569"/>
              <w:rPr>
                <w:sz w:val="24"/>
              </w:rPr>
            </w:pPr>
            <w:r>
              <w:rPr>
                <w:sz w:val="24"/>
              </w:rPr>
              <w:t>2643</w:t>
            </w:r>
          </w:p>
        </w:tc>
      </w:tr>
      <w:tr>
        <w:trPr>
          <w:trHeight w:val="276" w:hRule="exact"/>
        </w:trPr>
        <w:tc>
          <w:tcPr>
            <w:tcW w:w="2238" w:type="dxa"/>
            <w:tcBorders>
              <w:top w:val="nil"/>
              <w:left w:val="nil"/>
              <w:bottom w:val="nil"/>
              <w:right w:val="nil"/>
            </w:tcBorders>
          </w:tcPr>
          <w:p>
            <w:pPr>
              <w:pStyle w:val="TableParagraph"/>
              <w:spacing w:line="264" w:lineRule="exact" w:before="0"/>
              <w:ind w:left="110"/>
              <w:jc w:val="left"/>
              <w:rPr>
                <w:sz w:val="24"/>
              </w:rPr>
            </w:pPr>
            <w:r>
              <w:rPr>
                <w:sz w:val="24"/>
              </w:rPr>
              <w:t>Atlacomulco (Prepa)</w:t>
            </w:r>
          </w:p>
        </w:tc>
        <w:tc>
          <w:tcPr>
            <w:tcW w:w="1874" w:type="dxa"/>
            <w:tcBorders>
              <w:top w:val="nil"/>
              <w:left w:val="nil"/>
              <w:bottom w:val="nil"/>
              <w:right w:val="nil"/>
            </w:tcBorders>
          </w:tcPr>
          <w:p>
            <w:pPr>
              <w:pStyle w:val="TableParagraph"/>
              <w:spacing w:line="264" w:lineRule="exact" w:before="0"/>
              <w:ind w:left="85" w:right="292"/>
              <w:jc w:val="center"/>
              <w:rPr>
                <w:sz w:val="24"/>
              </w:rPr>
            </w:pPr>
            <w:r>
              <w:rPr>
                <w:sz w:val="24"/>
              </w:rPr>
              <w:t>Atlacomulco</w:t>
            </w:r>
          </w:p>
        </w:tc>
        <w:tc>
          <w:tcPr>
            <w:tcW w:w="1679" w:type="dxa"/>
            <w:tcBorders>
              <w:top w:val="nil"/>
              <w:left w:val="nil"/>
              <w:bottom w:val="nil"/>
              <w:right w:val="nil"/>
            </w:tcBorders>
          </w:tcPr>
          <w:p>
            <w:pPr>
              <w:pStyle w:val="TableParagraph"/>
              <w:spacing w:line="264" w:lineRule="exact" w:before="0"/>
              <w:ind w:left="315"/>
              <w:jc w:val="left"/>
              <w:rPr>
                <w:sz w:val="24"/>
              </w:rPr>
            </w:pPr>
            <w:r>
              <w:rPr>
                <w:sz w:val="24"/>
              </w:rPr>
              <w:t>2189320</w:t>
            </w:r>
          </w:p>
        </w:tc>
        <w:tc>
          <w:tcPr>
            <w:tcW w:w="1944" w:type="dxa"/>
            <w:tcBorders>
              <w:top w:val="nil"/>
              <w:left w:val="nil"/>
              <w:bottom w:val="nil"/>
              <w:right w:val="nil"/>
            </w:tcBorders>
          </w:tcPr>
          <w:p>
            <w:pPr>
              <w:pStyle w:val="TableParagraph"/>
              <w:spacing w:line="264" w:lineRule="exact" w:before="0"/>
              <w:ind w:right="583"/>
              <w:rPr>
                <w:sz w:val="24"/>
              </w:rPr>
            </w:pPr>
            <w:r>
              <w:rPr>
                <w:sz w:val="24"/>
              </w:rPr>
              <w:t>408407</w:t>
            </w:r>
          </w:p>
        </w:tc>
        <w:tc>
          <w:tcPr>
            <w:tcW w:w="1677" w:type="dxa"/>
            <w:tcBorders>
              <w:top w:val="nil"/>
              <w:left w:val="nil"/>
              <w:bottom w:val="nil"/>
              <w:right w:val="nil"/>
            </w:tcBorders>
          </w:tcPr>
          <w:p>
            <w:pPr>
              <w:pStyle w:val="TableParagraph"/>
              <w:spacing w:line="264" w:lineRule="exact" w:before="0"/>
              <w:ind w:right="569"/>
              <w:rPr>
                <w:sz w:val="24"/>
              </w:rPr>
            </w:pPr>
            <w:r>
              <w:rPr>
                <w:sz w:val="24"/>
              </w:rPr>
              <w:t>2579</w:t>
            </w:r>
          </w:p>
        </w:tc>
      </w:tr>
      <w:tr>
        <w:trPr>
          <w:trHeight w:val="276" w:hRule="exact"/>
        </w:trPr>
        <w:tc>
          <w:tcPr>
            <w:tcW w:w="2238" w:type="dxa"/>
            <w:tcBorders>
              <w:top w:val="nil"/>
              <w:left w:val="nil"/>
              <w:bottom w:val="nil"/>
              <w:right w:val="nil"/>
            </w:tcBorders>
          </w:tcPr>
          <w:p>
            <w:pPr>
              <w:pStyle w:val="TableParagraph"/>
              <w:spacing w:line="262" w:lineRule="exact" w:before="0"/>
              <w:ind w:left="110" w:right="107"/>
              <w:jc w:val="left"/>
              <w:rPr>
                <w:sz w:val="24"/>
              </w:rPr>
            </w:pPr>
            <w:r>
              <w:rPr>
                <w:sz w:val="24"/>
              </w:rPr>
              <w:t>El Jasmin</w:t>
            </w:r>
          </w:p>
        </w:tc>
        <w:tc>
          <w:tcPr>
            <w:tcW w:w="1874" w:type="dxa"/>
            <w:tcBorders>
              <w:top w:val="nil"/>
              <w:left w:val="nil"/>
              <w:bottom w:val="nil"/>
              <w:right w:val="nil"/>
            </w:tcBorders>
          </w:tcPr>
          <w:p>
            <w:pPr>
              <w:pStyle w:val="TableParagraph"/>
              <w:spacing w:line="262" w:lineRule="exact" w:before="0"/>
              <w:ind w:left="85" w:right="292"/>
              <w:jc w:val="center"/>
              <w:rPr>
                <w:sz w:val="24"/>
              </w:rPr>
            </w:pPr>
            <w:r>
              <w:rPr>
                <w:sz w:val="24"/>
              </w:rPr>
              <w:t>Aculco</w:t>
            </w:r>
          </w:p>
        </w:tc>
        <w:tc>
          <w:tcPr>
            <w:tcW w:w="1679" w:type="dxa"/>
            <w:tcBorders>
              <w:top w:val="nil"/>
              <w:left w:val="nil"/>
              <w:bottom w:val="nil"/>
              <w:right w:val="nil"/>
            </w:tcBorders>
          </w:tcPr>
          <w:p>
            <w:pPr>
              <w:pStyle w:val="TableParagraph"/>
              <w:spacing w:line="262" w:lineRule="exact" w:before="0"/>
              <w:ind w:left="315"/>
              <w:jc w:val="left"/>
              <w:rPr>
                <w:sz w:val="24"/>
              </w:rPr>
            </w:pPr>
            <w:r>
              <w:rPr>
                <w:sz w:val="24"/>
              </w:rPr>
              <w:t>2214028</w:t>
            </w:r>
          </w:p>
        </w:tc>
        <w:tc>
          <w:tcPr>
            <w:tcW w:w="1944" w:type="dxa"/>
            <w:tcBorders>
              <w:top w:val="nil"/>
              <w:left w:val="nil"/>
              <w:bottom w:val="nil"/>
              <w:right w:val="nil"/>
            </w:tcBorders>
          </w:tcPr>
          <w:p>
            <w:pPr>
              <w:pStyle w:val="TableParagraph"/>
              <w:spacing w:line="262" w:lineRule="exact" w:before="0"/>
              <w:ind w:right="583"/>
              <w:rPr>
                <w:sz w:val="24"/>
              </w:rPr>
            </w:pPr>
            <w:r>
              <w:rPr>
                <w:sz w:val="24"/>
              </w:rPr>
              <w:t>407954</w:t>
            </w:r>
          </w:p>
        </w:tc>
        <w:tc>
          <w:tcPr>
            <w:tcW w:w="1677" w:type="dxa"/>
            <w:tcBorders>
              <w:top w:val="nil"/>
              <w:left w:val="nil"/>
              <w:bottom w:val="nil"/>
              <w:right w:val="nil"/>
            </w:tcBorders>
          </w:tcPr>
          <w:p>
            <w:pPr>
              <w:pStyle w:val="TableParagraph"/>
              <w:spacing w:line="262" w:lineRule="exact" w:before="0"/>
              <w:ind w:right="569"/>
              <w:rPr>
                <w:sz w:val="24"/>
              </w:rPr>
            </w:pPr>
            <w:r>
              <w:rPr>
                <w:sz w:val="24"/>
              </w:rPr>
              <w:t>2693</w:t>
            </w:r>
          </w:p>
        </w:tc>
      </w:tr>
      <w:tr>
        <w:trPr>
          <w:trHeight w:val="276" w:hRule="exact"/>
        </w:trPr>
        <w:tc>
          <w:tcPr>
            <w:tcW w:w="2238" w:type="dxa"/>
            <w:tcBorders>
              <w:top w:val="nil"/>
              <w:left w:val="nil"/>
              <w:bottom w:val="nil"/>
              <w:right w:val="nil"/>
            </w:tcBorders>
          </w:tcPr>
          <w:p>
            <w:pPr>
              <w:pStyle w:val="TableParagraph"/>
              <w:spacing w:line="264" w:lineRule="exact" w:before="0"/>
              <w:ind w:left="110" w:right="107"/>
              <w:jc w:val="left"/>
              <w:rPr>
                <w:sz w:val="24"/>
              </w:rPr>
            </w:pPr>
            <w:r>
              <w:rPr>
                <w:sz w:val="24"/>
              </w:rPr>
              <w:t>Nado</w:t>
            </w:r>
          </w:p>
        </w:tc>
        <w:tc>
          <w:tcPr>
            <w:tcW w:w="1874" w:type="dxa"/>
            <w:tcBorders>
              <w:top w:val="nil"/>
              <w:left w:val="nil"/>
              <w:bottom w:val="nil"/>
              <w:right w:val="nil"/>
            </w:tcBorders>
          </w:tcPr>
          <w:p>
            <w:pPr>
              <w:pStyle w:val="TableParagraph"/>
              <w:spacing w:line="264" w:lineRule="exact" w:before="0"/>
              <w:ind w:left="85" w:right="292"/>
              <w:jc w:val="center"/>
              <w:rPr>
                <w:sz w:val="24"/>
              </w:rPr>
            </w:pPr>
            <w:r>
              <w:rPr>
                <w:sz w:val="24"/>
              </w:rPr>
              <w:t>Aculco</w:t>
            </w:r>
          </w:p>
        </w:tc>
        <w:tc>
          <w:tcPr>
            <w:tcW w:w="1679" w:type="dxa"/>
            <w:tcBorders>
              <w:top w:val="nil"/>
              <w:left w:val="nil"/>
              <w:bottom w:val="nil"/>
              <w:right w:val="nil"/>
            </w:tcBorders>
          </w:tcPr>
          <w:p>
            <w:pPr>
              <w:pStyle w:val="TableParagraph"/>
              <w:spacing w:line="264" w:lineRule="exact" w:before="0"/>
              <w:ind w:left="315"/>
              <w:jc w:val="left"/>
              <w:rPr>
                <w:sz w:val="24"/>
              </w:rPr>
            </w:pPr>
            <w:r>
              <w:rPr>
                <w:sz w:val="24"/>
              </w:rPr>
              <w:t>2216005</w:t>
            </w:r>
          </w:p>
        </w:tc>
        <w:tc>
          <w:tcPr>
            <w:tcW w:w="1944" w:type="dxa"/>
            <w:tcBorders>
              <w:top w:val="nil"/>
              <w:left w:val="nil"/>
              <w:bottom w:val="nil"/>
              <w:right w:val="nil"/>
            </w:tcBorders>
          </w:tcPr>
          <w:p>
            <w:pPr>
              <w:pStyle w:val="TableParagraph"/>
              <w:spacing w:line="264" w:lineRule="exact" w:before="0"/>
              <w:ind w:right="583"/>
              <w:rPr>
                <w:sz w:val="24"/>
              </w:rPr>
            </w:pPr>
            <w:r>
              <w:rPr>
                <w:sz w:val="24"/>
              </w:rPr>
              <w:t>409592</w:t>
            </w:r>
          </w:p>
        </w:tc>
        <w:tc>
          <w:tcPr>
            <w:tcW w:w="1677" w:type="dxa"/>
            <w:tcBorders>
              <w:top w:val="nil"/>
              <w:left w:val="nil"/>
              <w:bottom w:val="nil"/>
              <w:right w:val="nil"/>
            </w:tcBorders>
          </w:tcPr>
          <w:p>
            <w:pPr>
              <w:pStyle w:val="TableParagraph"/>
              <w:spacing w:line="264" w:lineRule="exact" w:before="0"/>
              <w:ind w:right="569"/>
              <w:rPr>
                <w:sz w:val="24"/>
              </w:rPr>
            </w:pPr>
            <w:r>
              <w:rPr>
                <w:sz w:val="24"/>
              </w:rPr>
              <w:t>2582</w:t>
            </w:r>
          </w:p>
        </w:tc>
      </w:tr>
      <w:tr>
        <w:trPr>
          <w:trHeight w:val="277" w:hRule="exact"/>
        </w:trPr>
        <w:tc>
          <w:tcPr>
            <w:tcW w:w="2238" w:type="dxa"/>
            <w:tcBorders>
              <w:top w:val="nil"/>
              <w:left w:val="nil"/>
              <w:right w:val="nil"/>
            </w:tcBorders>
          </w:tcPr>
          <w:p>
            <w:pPr>
              <w:pStyle w:val="TableParagraph"/>
              <w:spacing w:line="262" w:lineRule="exact" w:before="0"/>
              <w:ind w:left="110" w:right="107"/>
              <w:jc w:val="left"/>
              <w:rPr>
                <w:sz w:val="24"/>
              </w:rPr>
            </w:pPr>
            <w:r>
              <w:rPr>
                <w:sz w:val="24"/>
              </w:rPr>
              <w:t>El Palmito</w:t>
            </w:r>
          </w:p>
        </w:tc>
        <w:tc>
          <w:tcPr>
            <w:tcW w:w="1874" w:type="dxa"/>
            <w:tcBorders>
              <w:top w:val="nil"/>
              <w:left w:val="nil"/>
              <w:right w:val="nil"/>
            </w:tcBorders>
          </w:tcPr>
          <w:p>
            <w:pPr>
              <w:pStyle w:val="TableParagraph"/>
              <w:spacing w:line="262" w:lineRule="exact" w:before="0"/>
              <w:ind w:left="89" w:right="287"/>
              <w:jc w:val="center"/>
              <w:rPr>
                <w:sz w:val="24"/>
              </w:rPr>
            </w:pPr>
            <w:r>
              <w:rPr>
                <w:sz w:val="24"/>
              </w:rPr>
              <w:t>Timilpan</w:t>
            </w:r>
          </w:p>
        </w:tc>
        <w:tc>
          <w:tcPr>
            <w:tcW w:w="1679" w:type="dxa"/>
            <w:tcBorders>
              <w:top w:val="nil"/>
              <w:left w:val="nil"/>
              <w:right w:val="nil"/>
            </w:tcBorders>
          </w:tcPr>
          <w:p>
            <w:pPr>
              <w:pStyle w:val="TableParagraph"/>
              <w:spacing w:line="262" w:lineRule="exact" w:before="0"/>
              <w:ind w:left="315"/>
              <w:jc w:val="left"/>
              <w:rPr>
                <w:sz w:val="24"/>
              </w:rPr>
            </w:pPr>
            <w:r>
              <w:rPr>
                <w:sz w:val="24"/>
              </w:rPr>
              <w:t>2202473</w:t>
            </w:r>
          </w:p>
        </w:tc>
        <w:tc>
          <w:tcPr>
            <w:tcW w:w="1944" w:type="dxa"/>
            <w:tcBorders>
              <w:top w:val="nil"/>
              <w:left w:val="nil"/>
              <w:right w:val="nil"/>
            </w:tcBorders>
          </w:tcPr>
          <w:p>
            <w:pPr>
              <w:pStyle w:val="TableParagraph"/>
              <w:spacing w:line="262" w:lineRule="exact" w:before="0"/>
              <w:ind w:right="583"/>
              <w:rPr>
                <w:sz w:val="24"/>
              </w:rPr>
            </w:pPr>
            <w:r>
              <w:rPr>
                <w:sz w:val="24"/>
              </w:rPr>
              <w:t>428835</w:t>
            </w:r>
          </w:p>
        </w:tc>
        <w:tc>
          <w:tcPr>
            <w:tcW w:w="1677" w:type="dxa"/>
            <w:tcBorders>
              <w:top w:val="nil"/>
              <w:left w:val="nil"/>
              <w:right w:val="nil"/>
            </w:tcBorders>
          </w:tcPr>
          <w:p>
            <w:pPr>
              <w:pStyle w:val="TableParagraph"/>
              <w:spacing w:line="262" w:lineRule="exact" w:before="0"/>
              <w:ind w:right="569"/>
              <w:rPr>
                <w:sz w:val="24"/>
              </w:rPr>
            </w:pPr>
            <w:r>
              <w:rPr>
                <w:sz w:val="24"/>
              </w:rPr>
              <w:t>2656</w:t>
            </w:r>
          </w:p>
        </w:tc>
      </w:tr>
    </w:tbl>
    <w:p>
      <w:pPr>
        <w:spacing w:line="244" w:lineRule="exact" w:before="0"/>
        <w:ind w:left="116" w:right="118" w:firstLine="0"/>
        <w:jc w:val="left"/>
        <w:rPr>
          <w:sz w:val="22"/>
        </w:rPr>
      </w:pPr>
      <w:r>
        <w:rPr>
          <w:sz w:val="22"/>
        </w:rPr>
        <w:t>Fuente: SMN, 2012.</w:t>
      </w:r>
    </w:p>
    <w:p>
      <w:pPr>
        <w:spacing w:after="0" w:line="244" w:lineRule="exact"/>
        <w:jc w:val="left"/>
        <w:rPr>
          <w:sz w:val="22"/>
        </w:rPr>
        <w:sectPr>
          <w:footerReference w:type="default" r:id="rId104"/>
          <w:pgSz w:w="12240" w:h="15840"/>
          <w:pgMar w:footer="1473" w:header="0" w:top="1360" w:bottom="1660" w:left="1300" w:right="1300"/>
        </w:sectPr>
      </w:pPr>
    </w:p>
    <w:p>
      <w:pPr>
        <w:pStyle w:val="BodyText"/>
        <w:rPr>
          <w:sz w:val="24"/>
        </w:rPr>
      </w:pPr>
    </w:p>
    <w:p>
      <w:pPr>
        <w:pStyle w:val="BodyText"/>
        <w:ind w:left="116" w:right="-16"/>
        <w:rPr>
          <w:sz w:val="20"/>
        </w:rPr>
      </w:pPr>
      <w:r>
        <w:rPr>
          <w:sz w:val="20"/>
        </w:rPr>
        <w:drawing>
          <wp:inline distT="0" distB="0" distL="0" distR="0">
            <wp:extent cx="8318249" cy="5230368"/>
            <wp:effectExtent l="0" t="0" r="0" b="0"/>
            <wp:docPr id="13" name="image82.jpeg" descr=""/>
            <wp:cNvGraphicFramePr>
              <a:graphicFrameLocks noChangeAspect="1"/>
            </wp:cNvGraphicFramePr>
            <a:graphic>
              <a:graphicData uri="http://schemas.openxmlformats.org/drawingml/2006/picture">
                <pic:pic>
                  <pic:nvPicPr>
                    <pic:cNvPr id="14" name="image82.jpeg"/>
                    <pic:cNvPicPr/>
                  </pic:nvPicPr>
                  <pic:blipFill>
                    <a:blip r:embed="rId106" cstate="print"/>
                    <a:stretch>
                      <a:fillRect/>
                    </a:stretch>
                  </pic:blipFill>
                  <pic:spPr>
                    <a:xfrm>
                      <a:off x="0" y="0"/>
                      <a:ext cx="8318249" cy="5230368"/>
                    </a:xfrm>
                    <a:prstGeom prst="rect">
                      <a:avLst/>
                    </a:prstGeom>
                  </pic:spPr>
                </pic:pic>
              </a:graphicData>
            </a:graphic>
          </wp:inline>
        </w:drawing>
      </w:r>
      <w:r>
        <w:rPr>
          <w:sz w:val="20"/>
        </w:rPr>
      </w:r>
    </w:p>
    <w:p>
      <w:pPr>
        <w:spacing w:before="100"/>
        <w:ind w:left="2201" w:right="2201" w:firstLine="0"/>
        <w:jc w:val="center"/>
        <w:rPr>
          <w:sz w:val="22"/>
        </w:rPr>
      </w:pPr>
      <w:r>
        <w:rPr>
          <w:sz w:val="22"/>
        </w:rPr>
        <w:t>Fuente: Elaboración propia con base en base de datos del SMN, 2012.</w:t>
      </w:r>
    </w:p>
    <w:p>
      <w:pPr>
        <w:pStyle w:val="Heading1"/>
        <w:spacing w:before="2"/>
        <w:ind w:left="2203" w:right="2201"/>
        <w:jc w:val="center"/>
      </w:pPr>
      <w:bookmarkStart w:name="_bookmark55" w:id="79"/>
      <w:bookmarkEnd w:id="79"/>
      <w:r>
        <w:rPr>
          <w:b w:val="0"/>
        </w:rPr>
      </w:r>
      <w:r>
        <w:rPr/>
        <w:t>Figura 20. Estaciones climatológicas e hidrométrica para la cuenca El Tejocote.</w:t>
      </w:r>
    </w:p>
    <w:p>
      <w:pPr>
        <w:pStyle w:val="BodyText"/>
        <w:spacing w:before="8"/>
        <w:rPr>
          <w:b/>
          <w:sz w:val="13"/>
        </w:rPr>
      </w:pPr>
    </w:p>
    <w:p>
      <w:pPr>
        <w:spacing w:before="56"/>
        <w:ind w:left="0" w:right="109" w:firstLine="0"/>
        <w:jc w:val="right"/>
        <w:rPr>
          <w:rFonts w:ascii="Calibri"/>
          <w:sz w:val="22"/>
        </w:rPr>
      </w:pPr>
      <w:r>
        <w:rPr>
          <w:rFonts w:ascii="Calibri"/>
          <w:sz w:val="22"/>
        </w:rPr>
        <w:t>82</w:t>
      </w:r>
    </w:p>
    <w:p>
      <w:pPr>
        <w:spacing w:after="0"/>
        <w:jc w:val="right"/>
        <w:rPr>
          <w:rFonts w:ascii="Calibri"/>
          <w:sz w:val="22"/>
        </w:rPr>
        <w:sectPr>
          <w:footerReference w:type="default" r:id="rId105"/>
          <w:pgSz w:w="15840" w:h="12240" w:orient="landscape"/>
          <w:pgMar w:footer="0" w:header="0" w:top="1140" w:bottom="280" w:left="1300" w:right="1300"/>
        </w:sectPr>
      </w:pPr>
    </w:p>
    <w:p>
      <w:pPr>
        <w:pStyle w:val="Heading1"/>
        <w:numPr>
          <w:ilvl w:val="2"/>
          <w:numId w:val="5"/>
        </w:numPr>
        <w:tabs>
          <w:tab w:pos="706" w:val="left" w:leader="none"/>
        </w:tabs>
        <w:spacing w:line="240" w:lineRule="auto" w:before="52" w:after="0"/>
        <w:ind w:left="705" w:right="0" w:hanging="589"/>
        <w:jc w:val="left"/>
      </w:pPr>
      <w:bookmarkStart w:name="_bookmark56" w:id="80"/>
      <w:bookmarkEnd w:id="80"/>
      <w:r>
        <w:rPr>
          <w:b w:val="0"/>
        </w:rPr>
      </w:r>
      <w:bookmarkStart w:name="_bookmark56" w:id="81"/>
      <w:bookmarkEnd w:id="81"/>
      <w:r>
        <w:rPr/>
        <w:t>Dat</w:t>
      </w:r>
      <w:r>
        <w:rPr/>
        <w:t>os generales </w:t>
      </w:r>
      <w:r>
        <w:rPr>
          <w:spacing w:val="-3"/>
        </w:rPr>
        <w:t>de </w:t>
      </w:r>
      <w:r>
        <w:rPr/>
        <w:t>las URH (ARCHIVO</w:t>
      </w:r>
      <w:r>
        <w:rPr>
          <w:spacing w:val="-5"/>
        </w:rPr>
        <w:t> </w:t>
      </w:r>
      <w:r>
        <w:rPr/>
        <w:t>SUB)</w:t>
      </w:r>
    </w:p>
    <w:p>
      <w:pPr>
        <w:pStyle w:val="BodyText"/>
        <w:rPr>
          <w:b/>
        </w:rPr>
      </w:pPr>
    </w:p>
    <w:p>
      <w:pPr>
        <w:pStyle w:val="BodyText"/>
        <w:spacing w:before="10"/>
        <w:rPr>
          <w:b/>
          <w:sz w:val="21"/>
        </w:rPr>
      </w:pPr>
    </w:p>
    <w:p>
      <w:pPr>
        <w:pStyle w:val="BodyText"/>
        <w:spacing w:line="362" w:lineRule="auto"/>
        <w:ind w:left="116" w:right="118"/>
      </w:pPr>
      <w:r>
        <w:rPr/>
        <w:t>Los siguientes son datos para cada una de las 698 Unidades de Respuesta Hidrológica generadas dentro de las 29 subcuencas ubicadas en la cuenca delimitadas por el SWAT.</w:t>
      </w:r>
    </w:p>
    <w:p>
      <w:pPr>
        <w:pStyle w:val="BodyText"/>
      </w:pPr>
    </w:p>
    <w:p>
      <w:pPr>
        <w:pStyle w:val="ListParagraph"/>
        <w:numPr>
          <w:ilvl w:val="0"/>
          <w:numId w:val="31"/>
        </w:numPr>
        <w:tabs>
          <w:tab w:pos="837" w:val="left" w:leader="none"/>
        </w:tabs>
        <w:spacing w:line="357" w:lineRule="auto" w:before="153" w:after="0"/>
        <w:ind w:left="837" w:right="114" w:hanging="361"/>
        <w:jc w:val="both"/>
        <w:rPr>
          <w:sz w:val="26"/>
        </w:rPr>
      </w:pPr>
      <w:r>
        <w:rPr>
          <w:i/>
          <w:sz w:val="26"/>
        </w:rPr>
        <w:t>Fracción</w:t>
      </w:r>
      <w:r>
        <w:rPr>
          <w:i/>
          <w:spacing w:val="-11"/>
          <w:sz w:val="26"/>
        </w:rPr>
        <w:t> </w:t>
      </w:r>
      <w:r>
        <w:rPr>
          <w:i/>
          <w:sz w:val="26"/>
        </w:rPr>
        <w:t>de</w:t>
      </w:r>
      <w:r>
        <w:rPr>
          <w:i/>
          <w:spacing w:val="-11"/>
          <w:sz w:val="26"/>
        </w:rPr>
        <w:t> </w:t>
      </w:r>
      <w:r>
        <w:rPr>
          <w:i/>
          <w:sz w:val="26"/>
        </w:rPr>
        <w:t>la</w:t>
      </w:r>
      <w:r>
        <w:rPr>
          <w:i/>
          <w:spacing w:val="-11"/>
          <w:sz w:val="26"/>
        </w:rPr>
        <w:t> </w:t>
      </w:r>
      <w:r>
        <w:rPr>
          <w:i/>
          <w:sz w:val="26"/>
        </w:rPr>
        <w:t>URH</w:t>
      </w:r>
      <w:r>
        <w:rPr>
          <w:i/>
          <w:spacing w:val="-11"/>
          <w:sz w:val="26"/>
        </w:rPr>
        <w:t> </w:t>
      </w:r>
      <w:r>
        <w:rPr>
          <w:i/>
          <w:sz w:val="26"/>
        </w:rPr>
        <w:t>con</w:t>
      </w:r>
      <w:r>
        <w:rPr>
          <w:i/>
          <w:spacing w:val="-11"/>
          <w:sz w:val="26"/>
        </w:rPr>
        <w:t> </w:t>
      </w:r>
      <w:r>
        <w:rPr>
          <w:i/>
          <w:sz w:val="26"/>
        </w:rPr>
        <w:t>respecto</w:t>
      </w:r>
      <w:r>
        <w:rPr>
          <w:i/>
          <w:spacing w:val="-11"/>
          <w:sz w:val="26"/>
        </w:rPr>
        <w:t> </w:t>
      </w:r>
      <w:r>
        <w:rPr>
          <w:i/>
          <w:sz w:val="26"/>
        </w:rPr>
        <w:t>al</w:t>
      </w:r>
      <w:r>
        <w:rPr>
          <w:i/>
          <w:spacing w:val="-15"/>
          <w:sz w:val="26"/>
        </w:rPr>
        <w:t> </w:t>
      </w:r>
      <w:r>
        <w:rPr>
          <w:i/>
          <w:sz w:val="26"/>
        </w:rPr>
        <w:t>área</w:t>
      </w:r>
      <w:r>
        <w:rPr>
          <w:i/>
          <w:spacing w:val="-11"/>
          <w:sz w:val="26"/>
        </w:rPr>
        <w:t> </w:t>
      </w:r>
      <w:r>
        <w:rPr>
          <w:i/>
          <w:sz w:val="26"/>
        </w:rPr>
        <w:t>de</w:t>
      </w:r>
      <w:r>
        <w:rPr>
          <w:i/>
          <w:spacing w:val="-11"/>
          <w:sz w:val="26"/>
        </w:rPr>
        <w:t> </w:t>
      </w:r>
      <w:r>
        <w:rPr>
          <w:i/>
          <w:sz w:val="26"/>
        </w:rPr>
        <w:t>la</w:t>
      </w:r>
      <w:r>
        <w:rPr>
          <w:i/>
          <w:spacing w:val="-20"/>
          <w:sz w:val="26"/>
        </w:rPr>
        <w:t> </w:t>
      </w:r>
      <w:r>
        <w:rPr>
          <w:i/>
          <w:sz w:val="26"/>
        </w:rPr>
        <w:t>cuenca</w:t>
      </w:r>
      <w:r>
        <w:rPr>
          <w:i/>
          <w:spacing w:val="-10"/>
          <w:sz w:val="26"/>
        </w:rPr>
        <w:t> </w:t>
      </w:r>
      <w:r>
        <w:rPr>
          <w:i/>
          <w:sz w:val="26"/>
        </w:rPr>
        <w:t>en</w:t>
      </w:r>
      <w:r>
        <w:rPr>
          <w:i/>
          <w:spacing w:val="-11"/>
          <w:sz w:val="26"/>
        </w:rPr>
        <w:t> </w:t>
      </w:r>
      <w:r>
        <w:rPr>
          <w:i/>
          <w:sz w:val="26"/>
        </w:rPr>
        <w:t>km</w:t>
      </w:r>
      <w:r>
        <w:rPr>
          <w:i/>
          <w:position w:val="8"/>
          <w:sz w:val="17"/>
        </w:rPr>
        <w:t>2</w:t>
      </w:r>
      <w:r>
        <w:rPr>
          <w:i/>
          <w:sz w:val="26"/>
        </w:rPr>
        <w:t>/km</w:t>
      </w:r>
      <w:r>
        <w:rPr>
          <w:i/>
          <w:position w:val="8"/>
          <w:sz w:val="17"/>
        </w:rPr>
        <w:t>2</w:t>
      </w:r>
      <w:r>
        <w:rPr>
          <w:i/>
          <w:spacing w:val="-4"/>
          <w:position w:val="8"/>
          <w:sz w:val="17"/>
        </w:rPr>
        <w:t> </w:t>
      </w:r>
      <w:r>
        <w:rPr>
          <w:i/>
          <w:sz w:val="26"/>
        </w:rPr>
        <w:t>(HRU_FR).</w:t>
      </w:r>
      <w:r>
        <w:rPr>
          <w:i/>
          <w:spacing w:val="-8"/>
          <w:sz w:val="26"/>
        </w:rPr>
        <w:t> </w:t>
      </w:r>
      <w:r>
        <w:rPr>
          <w:sz w:val="26"/>
        </w:rPr>
        <w:t>Estos valores fueron calculados por la interface al realizar combinaciones múltiples entre los mapas de suelo y uso del suelo y generar las URH que de ellas se derivan al especificarle la sensibilidad de generación de URH a la</w:t>
      </w:r>
      <w:r>
        <w:rPr>
          <w:spacing w:val="-16"/>
          <w:sz w:val="26"/>
        </w:rPr>
        <w:t> </w:t>
      </w:r>
      <w:r>
        <w:rPr>
          <w:sz w:val="26"/>
        </w:rPr>
        <w:t>interface.</w:t>
      </w:r>
    </w:p>
    <w:p>
      <w:pPr>
        <w:pStyle w:val="BodyText"/>
      </w:pPr>
    </w:p>
    <w:p>
      <w:pPr>
        <w:pStyle w:val="ListParagraph"/>
        <w:numPr>
          <w:ilvl w:val="0"/>
          <w:numId w:val="31"/>
        </w:numPr>
        <w:tabs>
          <w:tab w:pos="837" w:val="left" w:leader="none"/>
        </w:tabs>
        <w:spacing w:line="357" w:lineRule="auto" w:before="159" w:after="0"/>
        <w:ind w:left="837" w:right="115" w:hanging="361"/>
        <w:jc w:val="both"/>
        <w:rPr>
          <w:sz w:val="26"/>
        </w:rPr>
      </w:pPr>
      <w:r>
        <w:rPr>
          <w:i/>
          <w:position w:val="2"/>
          <w:sz w:val="26"/>
        </w:rPr>
        <w:t>Número de curva de escurrimiento (CN</w:t>
      </w:r>
      <w:r>
        <w:rPr>
          <w:i/>
          <w:sz w:val="17"/>
        </w:rPr>
        <w:t>2</w:t>
      </w:r>
      <w:r>
        <w:rPr>
          <w:i/>
          <w:position w:val="2"/>
          <w:sz w:val="26"/>
        </w:rPr>
        <w:t>). </w:t>
      </w:r>
      <w:r>
        <w:rPr>
          <w:position w:val="2"/>
          <w:sz w:val="26"/>
        </w:rPr>
        <w:t>Es el número de curva de la humedad </w:t>
      </w:r>
      <w:r>
        <w:rPr>
          <w:sz w:val="26"/>
        </w:rPr>
        <w:t>antecedente media (2). Para el cálculo de este parámetro, el modelo extrae el valor </w:t>
      </w:r>
      <w:r>
        <w:rPr>
          <w:position w:val="2"/>
          <w:sz w:val="26"/>
        </w:rPr>
        <w:t>de CN</w:t>
      </w:r>
      <w:r>
        <w:rPr>
          <w:sz w:val="16"/>
        </w:rPr>
        <w:t>2 </w:t>
      </w:r>
      <w:r>
        <w:rPr>
          <w:position w:val="2"/>
          <w:sz w:val="26"/>
        </w:rPr>
        <w:t>para cada URH mediante la tabulación de los valores de las bases de datos de CN</w:t>
      </w:r>
      <w:r>
        <w:rPr>
          <w:sz w:val="17"/>
        </w:rPr>
        <w:t>2</w:t>
      </w:r>
      <w:r>
        <w:rPr>
          <w:position w:val="2"/>
          <w:sz w:val="26"/>
        </w:rPr>
        <w:t>, grupos hidrológicos de suelos del archivo </w:t>
      </w:r>
      <w:r>
        <w:rPr>
          <w:i/>
          <w:position w:val="2"/>
          <w:sz w:val="26"/>
        </w:rPr>
        <w:t>.sol </w:t>
      </w:r>
      <w:r>
        <w:rPr>
          <w:position w:val="2"/>
          <w:sz w:val="26"/>
        </w:rPr>
        <w:t>y de la base de datos de uso de suelo del archivo </w:t>
      </w:r>
      <w:r>
        <w:rPr>
          <w:i/>
          <w:position w:val="2"/>
          <w:sz w:val="26"/>
        </w:rPr>
        <w:t>.crop., </w:t>
      </w:r>
      <w:r>
        <w:rPr>
          <w:position w:val="2"/>
          <w:sz w:val="26"/>
        </w:rPr>
        <w:t>asignando así un valor de </w:t>
      </w:r>
      <w:r>
        <w:rPr>
          <w:spacing w:val="2"/>
          <w:position w:val="2"/>
          <w:sz w:val="26"/>
        </w:rPr>
        <w:t>CN</w:t>
      </w:r>
      <w:r>
        <w:rPr>
          <w:spacing w:val="2"/>
          <w:sz w:val="16"/>
        </w:rPr>
        <w:t>2 </w:t>
      </w:r>
      <w:r>
        <w:rPr>
          <w:position w:val="2"/>
          <w:sz w:val="26"/>
        </w:rPr>
        <w:t>a cada URH, como se </w:t>
      </w:r>
      <w:r>
        <w:rPr>
          <w:sz w:val="26"/>
        </w:rPr>
        <w:t>muestra en el Anexo B en la Tabla</w:t>
      </w:r>
      <w:r>
        <w:rPr>
          <w:spacing w:val="-2"/>
          <w:sz w:val="26"/>
        </w:rPr>
        <w:t> </w:t>
      </w:r>
      <w:r>
        <w:rPr>
          <w:sz w:val="26"/>
        </w:rPr>
        <w:t>6.</w:t>
      </w:r>
    </w:p>
    <w:p>
      <w:pPr>
        <w:pStyle w:val="BodyText"/>
      </w:pPr>
    </w:p>
    <w:p>
      <w:pPr>
        <w:pStyle w:val="ListParagraph"/>
        <w:numPr>
          <w:ilvl w:val="0"/>
          <w:numId w:val="31"/>
        </w:numPr>
        <w:tabs>
          <w:tab w:pos="837" w:val="left" w:leader="none"/>
        </w:tabs>
        <w:spacing w:line="355" w:lineRule="auto" w:before="158" w:after="0"/>
        <w:ind w:left="837" w:right="117" w:hanging="361"/>
        <w:jc w:val="both"/>
        <w:rPr>
          <w:sz w:val="26"/>
        </w:rPr>
      </w:pPr>
      <w:r>
        <w:rPr>
          <w:i/>
          <w:position w:val="2"/>
          <w:sz w:val="26"/>
        </w:rPr>
        <w:t>Concentración de bióxido de carbono (CO</w:t>
      </w:r>
      <w:r>
        <w:rPr>
          <w:i/>
          <w:sz w:val="17"/>
        </w:rPr>
        <w:t>2</w:t>
      </w:r>
      <w:r>
        <w:rPr>
          <w:i/>
          <w:position w:val="2"/>
          <w:sz w:val="26"/>
        </w:rPr>
        <w:t>). </w:t>
      </w:r>
      <w:r>
        <w:rPr>
          <w:position w:val="2"/>
          <w:sz w:val="26"/>
        </w:rPr>
        <w:t>Para la cuenca se asignó el valor de 330</w:t>
      </w:r>
      <w:r>
        <w:rPr>
          <w:spacing w:val="-15"/>
          <w:position w:val="2"/>
          <w:sz w:val="26"/>
        </w:rPr>
        <w:t> </w:t>
      </w:r>
      <w:r>
        <w:rPr>
          <w:position w:val="2"/>
          <w:sz w:val="26"/>
        </w:rPr>
        <w:t>ppm,</w:t>
      </w:r>
      <w:r>
        <w:rPr>
          <w:spacing w:val="-13"/>
          <w:position w:val="2"/>
          <w:sz w:val="26"/>
        </w:rPr>
        <w:t> </w:t>
      </w:r>
      <w:r>
        <w:rPr>
          <w:position w:val="2"/>
          <w:sz w:val="26"/>
        </w:rPr>
        <w:t>que</w:t>
      </w:r>
      <w:r>
        <w:rPr>
          <w:spacing w:val="-15"/>
          <w:position w:val="2"/>
          <w:sz w:val="26"/>
        </w:rPr>
        <w:t> </w:t>
      </w:r>
      <w:r>
        <w:rPr>
          <w:position w:val="2"/>
          <w:sz w:val="26"/>
        </w:rPr>
        <w:t>es</w:t>
      </w:r>
      <w:r>
        <w:rPr>
          <w:spacing w:val="-15"/>
          <w:position w:val="2"/>
          <w:sz w:val="26"/>
        </w:rPr>
        <w:t> </w:t>
      </w:r>
      <w:r>
        <w:rPr>
          <w:position w:val="2"/>
          <w:sz w:val="26"/>
        </w:rPr>
        <w:t>la</w:t>
      </w:r>
      <w:r>
        <w:rPr>
          <w:spacing w:val="-15"/>
          <w:position w:val="2"/>
          <w:sz w:val="26"/>
        </w:rPr>
        <w:t> </w:t>
      </w:r>
      <w:r>
        <w:rPr>
          <w:position w:val="2"/>
          <w:sz w:val="26"/>
        </w:rPr>
        <w:t>concentración</w:t>
      </w:r>
      <w:r>
        <w:rPr>
          <w:spacing w:val="-14"/>
          <w:position w:val="2"/>
          <w:sz w:val="26"/>
        </w:rPr>
        <w:t> </w:t>
      </w:r>
      <w:r>
        <w:rPr>
          <w:position w:val="2"/>
          <w:sz w:val="26"/>
        </w:rPr>
        <w:t>ambiente</w:t>
      </w:r>
      <w:r>
        <w:rPr>
          <w:spacing w:val="-14"/>
          <w:position w:val="2"/>
          <w:sz w:val="26"/>
        </w:rPr>
        <w:t> </w:t>
      </w:r>
      <w:r>
        <w:rPr>
          <w:position w:val="2"/>
          <w:sz w:val="26"/>
        </w:rPr>
        <w:t>de</w:t>
      </w:r>
      <w:r>
        <w:rPr>
          <w:spacing w:val="-10"/>
          <w:position w:val="2"/>
          <w:sz w:val="26"/>
        </w:rPr>
        <w:t> </w:t>
      </w:r>
      <w:r>
        <w:rPr>
          <w:position w:val="2"/>
          <w:sz w:val="26"/>
        </w:rPr>
        <w:t>C0</w:t>
      </w:r>
      <w:r>
        <w:rPr>
          <w:sz w:val="17"/>
        </w:rPr>
        <w:t>2</w:t>
      </w:r>
      <w:r>
        <w:rPr>
          <w:position w:val="2"/>
          <w:sz w:val="26"/>
        </w:rPr>
        <w:t>.</w:t>
      </w:r>
      <w:r>
        <w:rPr>
          <w:spacing w:val="-13"/>
          <w:position w:val="2"/>
          <w:sz w:val="26"/>
        </w:rPr>
        <w:t> </w:t>
      </w:r>
      <w:r>
        <w:rPr>
          <w:position w:val="2"/>
          <w:sz w:val="26"/>
        </w:rPr>
        <w:t>Este</w:t>
      </w:r>
      <w:r>
        <w:rPr>
          <w:spacing w:val="-15"/>
          <w:position w:val="2"/>
          <w:sz w:val="26"/>
        </w:rPr>
        <w:t> </w:t>
      </w:r>
      <w:r>
        <w:rPr>
          <w:position w:val="2"/>
          <w:sz w:val="26"/>
        </w:rPr>
        <w:t>valor</w:t>
      </w:r>
      <w:r>
        <w:rPr>
          <w:spacing w:val="-15"/>
          <w:position w:val="2"/>
          <w:sz w:val="26"/>
        </w:rPr>
        <w:t> </w:t>
      </w:r>
      <w:r>
        <w:rPr>
          <w:position w:val="2"/>
          <w:sz w:val="26"/>
        </w:rPr>
        <w:t>es</w:t>
      </w:r>
      <w:r>
        <w:rPr>
          <w:spacing w:val="-15"/>
          <w:position w:val="2"/>
          <w:sz w:val="26"/>
        </w:rPr>
        <w:t> </w:t>
      </w:r>
      <w:r>
        <w:rPr>
          <w:position w:val="2"/>
          <w:sz w:val="26"/>
        </w:rPr>
        <w:t>el</w:t>
      </w:r>
      <w:r>
        <w:rPr>
          <w:spacing w:val="-10"/>
          <w:position w:val="2"/>
          <w:sz w:val="26"/>
        </w:rPr>
        <w:t> </w:t>
      </w:r>
      <w:r>
        <w:rPr>
          <w:position w:val="2"/>
          <w:sz w:val="26"/>
        </w:rPr>
        <w:t>mismo</w:t>
      </w:r>
      <w:r>
        <w:rPr>
          <w:spacing w:val="-15"/>
          <w:position w:val="2"/>
          <w:sz w:val="26"/>
        </w:rPr>
        <w:t> </w:t>
      </w:r>
      <w:r>
        <w:rPr>
          <w:position w:val="2"/>
          <w:sz w:val="26"/>
        </w:rPr>
        <w:t>para</w:t>
      </w:r>
      <w:r>
        <w:rPr>
          <w:spacing w:val="-15"/>
          <w:position w:val="2"/>
          <w:sz w:val="26"/>
        </w:rPr>
        <w:t> </w:t>
      </w:r>
      <w:r>
        <w:rPr>
          <w:position w:val="2"/>
          <w:sz w:val="26"/>
        </w:rPr>
        <w:t>todas </w:t>
      </w:r>
      <w:r>
        <w:rPr>
          <w:sz w:val="26"/>
        </w:rPr>
        <w:t>las URH dentro de la subcuenca</w:t>
      </w:r>
      <w:r>
        <w:rPr>
          <w:spacing w:val="-4"/>
          <w:sz w:val="26"/>
        </w:rPr>
        <w:t> </w:t>
      </w:r>
      <w:r>
        <w:rPr>
          <w:sz w:val="26"/>
        </w:rPr>
        <w:t>(opcional).</w:t>
      </w:r>
    </w:p>
    <w:p>
      <w:pPr>
        <w:pStyle w:val="BodyText"/>
      </w:pPr>
    </w:p>
    <w:p>
      <w:pPr>
        <w:pStyle w:val="ListParagraph"/>
        <w:numPr>
          <w:ilvl w:val="0"/>
          <w:numId w:val="31"/>
        </w:numPr>
        <w:tabs>
          <w:tab w:pos="837" w:val="left" w:leader="none"/>
        </w:tabs>
        <w:spacing w:line="357" w:lineRule="auto" w:before="162" w:after="0"/>
        <w:ind w:left="837" w:right="112" w:hanging="361"/>
        <w:jc w:val="both"/>
        <w:rPr>
          <w:sz w:val="26"/>
        </w:rPr>
      </w:pPr>
      <w:r>
        <w:rPr>
          <w:i/>
          <w:sz w:val="26"/>
        </w:rPr>
        <w:t>Longitud del cauce principal de la subcuenca (CH_L1). </w:t>
      </w:r>
      <w:r>
        <w:rPr>
          <w:sz w:val="26"/>
        </w:rPr>
        <w:t>Este valor fue considerado como la distancia comprendida entre la salida y el punto más distante de la subcuenca. Esta variable tiene el mismo valor para todas la URH dentro de la subcuenca (ver Anexo B en la Tabla</w:t>
      </w:r>
      <w:r>
        <w:rPr>
          <w:spacing w:val="-11"/>
          <w:sz w:val="26"/>
        </w:rPr>
        <w:t> </w:t>
      </w:r>
      <w:r>
        <w:rPr>
          <w:sz w:val="26"/>
        </w:rPr>
        <w:t>6).</w:t>
      </w:r>
    </w:p>
    <w:p>
      <w:pPr>
        <w:spacing w:after="0" w:line="357" w:lineRule="auto"/>
        <w:jc w:val="both"/>
        <w:rPr>
          <w:sz w:val="26"/>
        </w:rPr>
        <w:sectPr>
          <w:footerReference w:type="default" r:id="rId107"/>
          <w:pgSz w:w="12240" w:h="15840"/>
          <w:pgMar w:footer="1473" w:header="0" w:top="1400" w:bottom="1660" w:left="1300" w:right="1300"/>
          <w:pgNumType w:start="83"/>
        </w:sectPr>
      </w:pPr>
    </w:p>
    <w:p>
      <w:pPr>
        <w:pStyle w:val="ListParagraph"/>
        <w:numPr>
          <w:ilvl w:val="0"/>
          <w:numId w:val="16"/>
        </w:numPr>
        <w:tabs>
          <w:tab w:pos="477" w:val="left" w:leader="none"/>
        </w:tabs>
        <w:spacing w:line="355" w:lineRule="auto" w:before="29" w:after="0"/>
        <w:ind w:left="477" w:right="111" w:hanging="361"/>
        <w:jc w:val="both"/>
        <w:rPr>
          <w:sz w:val="26"/>
        </w:rPr>
      </w:pPr>
      <w:r>
        <w:rPr>
          <w:i/>
          <w:sz w:val="26"/>
        </w:rPr>
        <w:t>Pendiente</w:t>
      </w:r>
      <w:r>
        <w:rPr>
          <w:i/>
          <w:spacing w:val="-6"/>
          <w:sz w:val="26"/>
        </w:rPr>
        <w:t> </w:t>
      </w:r>
      <w:r>
        <w:rPr>
          <w:i/>
          <w:sz w:val="26"/>
        </w:rPr>
        <w:t>promedio</w:t>
      </w:r>
      <w:r>
        <w:rPr>
          <w:i/>
          <w:spacing w:val="-6"/>
          <w:sz w:val="26"/>
        </w:rPr>
        <w:t> </w:t>
      </w:r>
      <w:r>
        <w:rPr>
          <w:i/>
          <w:sz w:val="26"/>
        </w:rPr>
        <w:t>del</w:t>
      </w:r>
      <w:r>
        <w:rPr>
          <w:i/>
          <w:spacing w:val="-11"/>
          <w:sz w:val="26"/>
        </w:rPr>
        <w:t> </w:t>
      </w:r>
      <w:r>
        <w:rPr>
          <w:i/>
          <w:sz w:val="26"/>
        </w:rPr>
        <w:t>cauce</w:t>
      </w:r>
      <w:r>
        <w:rPr>
          <w:i/>
          <w:spacing w:val="-6"/>
          <w:sz w:val="26"/>
        </w:rPr>
        <w:t> </w:t>
      </w:r>
      <w:r>
        <w:rPr>
          <w:i/>
          <w:sz w:val="26"/>
        </w:rPr>
        <w:t>(CH_S).</w:t>
      </w:r>
      <w:r>
        <w:rPr>
          <w:i/>
          <w:spacing w:val="-8"/>
          <w:sz w:val="26"/>
        </w:rPr>
        <w:t> </w:t>
      </w:r>
      <w:r>
        <w:rPr>
          <w:sz w:val="26"/>
        </w:rPr>
        <w:t>Este</w:t>
      </w:r>
      <w:r>
        <w:rPr>
          <w:spacing w:val="-11"/>
          <w:sz w:val="26"/>
        </w:rPr>
        <w:t> </w:t>
      </w:r>
      <w:r>
        <w:rPr>
          <w:sz w:val="26"/>
        </w:rPr>
        <w:t>valor</w:t>
      </w:r>
      <w:r>
        <w:rPr>
          <w:spacing w:val="-6"/>
          <w:sz w:val="26"/>
        </w:rPr>
        <w:t> </w:t>
      </w:r>
      <w:r>
        <w:rPr>
          <w:sz w:val="26"/>
        </w:rPr>
        <w:t>es</w:t>
      </w:r>
      <w:r>
        <w:rPr>
          <w:spacing w:val="-11"/>
          <w:sz w:val="26"/>
        </w:rPr>
        <w:t> </w:t>
      </w:r>
      <w:r>
        <w:rPr>
          <w:sz w:val="26"/>
        </w:rPr>
        <w:t>calculado</w:t>
      </w:r>
      <w:r>
        <w:rPr>
          <w:spacing w:val="-6"/>
          <w:sz w:val="26"/>
        </w:rPr>
        <w:t> </w:t>
      </w:r>
      <w:r>
        <w:rPr>
          <w:sz w:val="26"/>
        </w:rPr>
        <w:t>como</w:t>
      </w:r>
      <w:r>
        <w:rPr>
          <w:spacing w:val="-6"/>
          <w:sz w:val="26"/>
        </w:rPr>
        <w:t> </w:t>
      </w:r>
      <w:r>
        <w:rPr>
          <w:sz w:val="26"/>
        </w:rPr>
        <w:t>la</w:t>
      </w:r>
      <w:r>
        <w:rPr>
          <w:spacing w:val="-11"/>
          <w:sz w:val="26"/>
        </w:rPr>
        <w:t> </w:t>
      </w:r>
      <w:r>
        <w:rPr>
          <w:sz w:val="26"/>
        </w:rPr>
        <w:t>relación</w:t>
      </w:r>
      <w:r>
        <w:rPr>
          <w:spacing w:val="-6"/>
          <w:sz w:val="26"/>
        </w:rPr>
        <w:t> </w:t>
      </w:r>
      <w:r>
        <w:rPr>
          <w:sz w:val="26"/>
        </w:rPr>
        <w:t>que guarda</w:t>
      </w:r>
      <w:r>
        <w:rPr>
          <w:spacing w:val="-14"/>
          <w:sz w:val="26"/>
        </w:rPr>
        <w:t> </w:t>
      </w:r>
      <w:r>
        <w:rPr>
          <w:sz w:val="26"/>
        </w:rPr>
        <w:t>la</w:t>
      </w:r>
      <w:r>
        <w:rPr>
          <w:spacing w:val="-15"/>
          <w:sz w:val="26"/>
        </w:rPr>
        <w:t> </w:t>
      </w:r>
      <w:r>
        <w:rPr>
          <w:sz w:val="26"/>
        </w:rPr>
        <w:t>longitud</w:t>
      </w:r>
      <w:r>
        <w:rPr>
          <w:spacing w:val="-15"/>
          <w:sz w:val="26"/>
        </w:rPr>
        <w:t> </w:t>
      </w:r>
      <w:r>
        <w:rPr>
          <w:sz w:val="26"/>
        </w:rPr>
        <w:t>del</w:t>
      </w:r>
      <w:r>
        <w:rPr>
          <w:spacing w:val="-15"/>
          <w:sz w:val="26"/>
        </w:rPr>
        <w:t> </w:t>
      </w:r>
      <w:r>
        <w:rPr>
          <w:sz w:val="26"/>
        </w:rPr>
        <w:t>cauce</w:t>
      </w:r>
      <w:r>
        <w:rPr>
          <w:spacing w:val="-14"/>
          <w:sz w:val="26"/>
        </w:rPr>
        <w:t> </w:t>
      </w:r>
      <w:r>
        <w:rPr>
          <w:sz w:val="26"/>
        </w:rPr>
        <w:t>principal</w:t>
      </w:r>
      <w:r>
        <w:rPr>
          <w:spacing w:val="-14"/>
          <w:sz w:val="26"/>
        </w:rPr>
        <w:t> </w:t>
      </w:r>
      <w:r>
        <w:rPr>
          <w:sz w:val="26"/>
        </w:rPr>
        <w:t>y</w:t>
      </w:r>
      <w:r>
        <w:rPr>
          <w:spacing w:val="-15"/>
          <w:sz w:val="26"/>
        </w:rPr>
        <w:t> </w:t>
      </w:r>
      <w:r>
        <w:rPr>
          <w:sz w:val="26"/>
        </w:rPr>
        <w:t>la</w:t>
      </w:r>
      <w:r>
        <w:rPr>
          <w:spacing w:val="-15"/>
          <w:sz w:val="26"/>
        </w:rPr>
        <w:t> </w:t>
      </w:r>
      <w:r>
        <w:rPr>
          <w:sz w:val="26"/>
        </w:rPr>
        <w:t>diferencia</w:t>
      </w:r>
      <w:r>
        <w:rPr>
          <w:spacing w:val="-14"/>
          <w:sz w:val="26"/>
        </w:rPr>
        <w:t> </w:t>
      </w:r>
      <w:r>
        <w:rPr>
          <w:sz w:val="26"/>
        </w:rPr>
        <w:t>de</w:t>
      </w:r>
      <w:r>
        <w:rPr>
          <w:spacing w:val="-15"/>
          <w:sz w:val="26"/>
        </w:rPr>
        <w:t> </w:t>
      </w:r>
      <w:r>
        <w:rPr>
          <w:sz w:val="26"/>
        </w:rPr>
        <w:t>elevaciones</w:t>
      </w:r>
      <w:r>
        <w:rPr>
          <w:spacing w:val="-15"/>
          <w:sz w:val="26"/>
        </w:rPr>
        <w:t> </w:t>
      </w:r>
      <w:r>
        <w:rPr>
          <w:sz w:val="26"/>
        </w:rPr>
        <w:t>en</w:t>
      </w:r>
      <w:r>
        <w:rPr>
          <w:spacing w:val="-15"/>
          <w:sz w:val="26"/>
        </w:rPr>
        <w:t> </w:t>
      </w:r>
      <w:r>
        <w:rPr>
          <w:sz w:val="26"/>
        </w:rPr>
        <w:t>sus</w:t>
      </w:r>
      <w:r>
        <w:rPr>
          <w:spacing w:val="-15"/>
          <w:sz w:val="26"/>
        </w:rPr>
        <w:t> </w:t>
      </w:r>
      <w:r>
        <w:rPr>
          <w:sz w:val="26"/>
        </w:rPr>
        <w:t>extremos. Esta variable tiene el mismo valor para todas las URH dentro de la</w:t>
      </w:r>
      <w:r>
        <w:rPr>
          <w:spacing w:val="-10"/>
          <w:sz w:val="26"/>
        </w:rPr>
        <w:t> </w:t>
      </w:r>
      <w:r>
        <w:rPr>
          <w:sz w:val="26"/>
        </w:rPr>
        <w:t>subcuenca.</w:t>
      </w:r>
    </w:p>
    <w:p>
      <w:pPr>
        <w:pStyle w:val="BodyText"/>
      </w:pPr>
    </w:p>
    <w:p>
      <w:pPr>
        <w:pStyle w:val="ListParagraph"/>
        <w:numPr>
          <w:ilvl w:val="0"/>
          <w:numId w:val="16"/>
        </w:numPr>
        <w:tabs>
          <w:tab w:pos="477" w:val="left" w:leader="none"/>
        </w:tabs>
        <w:spacing w:line="357" w:lineRule="auto" w:before="162" w:after="0"/>
        <w:ind w:left="477" w:right="116" w:hanging="361"/>
        <w:jc w:val="both"/>
        <w:rPr>
          <w:sz w:val="26"/>
        </w:rPr>
      </w:pPr>
      <w:r>
        <w:rPr>
          <w:i/>
          <w:sz w:val="26"/>
        </w:rPr>
        <w:t>Conductividad hidráulica efectiva del cauce aluvial (CH_K1). </w:t>
      </w:r>
      <w:r>
        <w:rPr>
          <w:spacing w:val="-3"/>
          <w:sz w:val="26"/>
        </w:rPr>
        <w:t>Su </w:t>
      </w:r>
      <w:r>
        <w:rPr>
          <w:sz w:val="26"/>
        </w:rPr>
        <w:t>determinación se basó en observaciones y mediciones de campo, en 40 tramos de cauce representativos</w:t>
      </w:r>
      <w:r>
        <w:rPr>
          <w:spacing w:val="-12"/>
          <w:sz w:val="26"/>
        </w:rPr>
        <w:t> </w:t>
      </w:r>
      <w:r>
        <w:rPr>
          <w:sz w:val="26"/>
        </w:rPr>
        <w:t>de</w:t>
      </w:r>
      <w:r>
        <w:rPr>
          <w:spacing w:val="-12"/>
          <w:sz w:val="26"/>
        </w:rPr>
        <w:t> </w:t>
      </w:r>
      <w:r>
        <w:rPr>
          <w:sz w:val="26"/>
        </w:rPr>
        <w:t>la</w:t>
      </w:r>
      <w:r>
        <w:rPr>
          <w:spacing w:val="-12"/>
          <w:sz w:val="26"/>
        </w:rPr>
        <w:t> </w:t>
      </w:r>
      <w:r>
        <w:rPr>
          <w:sz w:val="26"/>
        </w:rPr>
        <w:t>cuenca</w:t>
      </w:r>
      <w:r>
        <w:rPr>
          <w:spacing w:val="-12"/>
          <w:sz w:val="26"/>
        </w:rPr>
        <w:t> </w:t>
      </w:r>
      <w:r>
        <w:rPr>
          <w:sz w:val="26"/>
        </w:rPr>
        <w:t>al</w:t>
      </w:r>
      <w:r>
        <w:rPr>
          <w:spacing w:val="-12"/>
          <w:sz w:val="26"/>
        </w:rPr>
        <w:t> </w:t>
      </w:r>
      <w:r>
        <w:rPr>
          <w:sz w:val="26"/>
        </w:rPr>
        <w:t>igual</w:t>
      </w:r>
      <w:r>
        <w:rPr>
          <w:spacing w:val="-12"/>
          <w:sz w:val="26"/>
        </w:rPr>
        <w:t> </w:t>
      </w:r>
      <w:r>
        <w:rPr>
          <w:sz w:val="26"/>
        </w:rPr>
        <w:t>que</w:t>
      </w:r>
      <w:r>
        <w:rPr>
          <w:spacing w:val="-12"/>
          <w:sz w:val="26"/>
        </w:rPr>
        <w:t> </w:t>
      </w:r>
      <w:r>
        <w:rPr>
          <w:sz w:val="26"/>
        </w:rPr>
        <w:t>CH_W1.</w:t>
      </w:r>
      <w:r>
        <w:rPr>
          <w:spacing w:val="-10"/>
          <w:sz w:val="26"/>
        </w:rPr>
        <w:t> </w:t>
      </w:r>
      <w:r>
        <w:rPr>
          <w:sz w:val="26"/>
        </w:rPr>
        <w:t>Esta</w:t>
      </w:r>
      <w:r>
        <w:rPr>
          <w:spacing w:val="-12"/>
          <w:sz w:val="26"/>
        </w:rPr>
        <w:t> </w:t>
      </w:r>
      <w:r>
        <w:rPr>
          <w:sz w:val="26"/>
        </w:rPr>
        <w:t>variable</w:t>
      </w:r>
      <w:r>
        <w:rPr>
          <w:spacing w:val="-12"/>
          <w:sz w:val="26"/>
        </w:rPr>
        <w:t> </w:t>
      </w:r>
      <w:r>
        <w:rPr>
          <w:sz w:val="26"/>
        </w:rPr>
        <w:t>tiene</w:t>
      </w:r>
      <w:r>
        <w:rPr>
          <w:spacing w:val="-12"/>
          <w:sz w:val="26"/>
        </w:rPr>
        <w:t> </w:t>
      </w:r>
      <w:r>
        <w:rPr>
          <w:sz w:val="26"/>
        </w:rPr>
        <w:t>el</w:t>
      </w:r>
      <w:r>
        <w:rPr>
          <w:spacing w:val="-12"/>
          <w:sz w:val="26"/>
        </w:rPr>
        <w:t> </w:t>
      </w:r>
      <w:r>
        <w:rPr>
          <w:sz w:val="26"/>
        </w:rPr>
        <w:t>mismo</w:t>
      </w:r>
      <w:r>
        <w:rPr>
          <w:spacing w:val="-7"/>
          <w:sz w:val="26"/>
        </w:rPr>
        <w:t> </w:t>
      </w:r>
      <w:r>
        <w:rPr>
          <w:sz w:val="26"/>
        </w:rPr>
        <w:t>valor para todas la URH dentro de la</w:t>
      </w:r>
      <w:r>
        <w:rPr>
          <w:spacing w:val="-7"/>
          <w:sz w:val="26"/>
        </w:rPr>
        <w:t> </w:t>
      </w:r>
      <w:r>
        <w:rPr>
          <w:sz w:val="26"/>
        </w:rPr>
        <w:t>subcuenca.</w:t>
      </w:r>
    </w:p>
    <w:p>
      <w:pPr>
        <w:pStyle w:val="BodyText"/>
      </w:pPr>
    </w:p>
    <w:p>
      <w:pPr>
        <w:pStyle w:val="ListParagraph"/>
        <w:numPr>
          <w:ilvl w:val="0"/>
          <w:numId w:val="16"/>
        </w:numPr>
        <w:tabs>
          <w:tab w:pos="477" w:val="left" w:leader="none"/>
        </w:tabs>
        <w:spacing w:line="355" w:lineRule="auto" w:before="159" w:after="0"/>
        <w:ind w:left="477" w:right="118" w:hanging="361"/>
        <w:jc w:val="both"/>
        <w:rPr>
          <w:sz w:val="26"/>
        </w:rPr>
      </w:pPr>
      <w:r>
        <w:rPr>
          <w:i/>
          <w:sz w:val="26"/>
        </w:rPr>
        <w:t>Ancho promedio del cauce </w:t>
      </w:r>
      <w:r>
        <w:rPr>
          <w:sz w:val="26"/>
        </w:rPr>
        <w:t>(CH_W1). Este parámetro se midió a la altura de las huellas máximas medias observadas. Esta variable tiene el mismo valor para todas las URH dentro de la</w:t>
      </w:r>
      <w:r>
        <w:rPr>
          <w:spacing w:val="-3"/>
          <w:sz w:val="26"/>
        </w:rPr>
        <w:t> </w:t>
      </w:r>
      <w:r>
        <w:rPr>
          <w:sz w:val="26"/>
        </w:rPr>
        <w:t>subcuenca.</w:t>
      </w:r>
    </w:p>
    <w:p>
      <w:pPr>
        <w:pStyle w:val="BodyText"/>
      </w:pPr>
    </w:p>
    <w:p>
      <w:pPr>
        <w:pStyle w:val="ListParagraph"/>
        <w:numPr>
          <w:ilvl w:val="0"/>
          <w:numId w:val="16"/>
        </w:numPr>
        <w:tabs>
          <w:tab w:pos="477" w:val="left" w:leader="none"/>
        </w:tabs>
        <w:spacing w:line="357" w:lineRule="auto" w:before="162" w:after="0"/>
        <w:ind w:left="477" w:right="110" w:hanging="361"/>
        <w:jc w:val="both"/>
        <w:rPr>
          <w:sz w:val="26"/>
        </w:rPr>
      </w:pPr>
      <w:r>
        <w:rPr>
          <w:i/>
          <w:sz w:val="26"/>
        </w:rPr>
        <w:t>Rugosidad</w:t>
      </w:r>
      <w:r>
        <w:rPr>
          <w:i/>
          <w:spacing w:val="-12"/>
          <w:sz w:val="26"/>
        </w:rPr>
        <w:t> </w:t>
      </w:r>
      <w:r>
        <w:rPr>
          <w:i/>
          <w:sz w:val="26"/>
        </w:rPr>
        <w:t>del</w:t>
      </w:r>
      <w:r>
        <w:rPr>
          <w:i/>
          <w:spacing w:val="-12"/>
          <w:sz w:val="26"/>
        </w:rPr>
        <w:t> </w:t>
      </w:r>
      <w:r>
        <w:rPr>
          <w:i/>
          <w:sz w:val="26"/>
        </w:rPr>
        <w:t>cauce</w:t>
      </w:r>
      <w:r>
        <w:rPr>
          <w:i/>
          <w:spacing w:val="-11"/>
          <w:sz w:val="26"/>
        </w:rPr>
        <w:t> </w:t>
      </w:r>
      <w:r>
        <w:rPr>
          <w:sz w:val="26"/>
        </w:rPr>
        <w:t>(CH_N).</w:t>
      </w:r>
      <w:r>
        <w:rPr>
          <w:spacing w:val="-14"/>
          <w:sz w:val="26"/>
        </w:rPr>
        <w:t> </w:t>
      </w:r>
      <w:r>
        <w:rPr>
          <w:sz w:val="26"/>
        </w:rPr>
        <w:t>Es</w:t>
      </w:r>
      <w:r>
        <w:rPr>
          <w:spacing w:val="-17"/>
          <w:sz w:val="26"/>
        </w:rPr>
        <w:t> </w:t>
      </w:r>
      <w:r>
        <w:rPr>
          <w:sz w:val="26"/>
        </w:rPr>
        <w:t>un</w:t>
      </w:r>
      <w:r>
        <w:rPr>
          <w:spacing w:val="-12"/>
          <w:sz w:val="26"/>
        </w:rPr>
        <w:t> </w:t>
      </w:r>
      <w:r>
        <w:rPr>
          <w:sz w:val="26"/>
        </w:rPr>
        <w:t>valor</w:t>
      </w:r>
      <w:r>
        <w:rPr>
          <w:spacing w:val="-12"/>
          <w:sz w:val="26"/>
        </w:rPr>
        <w:t> </w:t>
      </w:r>
      <w:r>
        <w:rPr>
          <w:sz w:val="26"/>
        </w:rPr>
        <w:t>de</w:t>
      </w:r>
      <w:r>
        <w:rPr>
          <w:spacing w:val="-12"/>
          <w:sz w:val="26"/>
        </w:rPr>
        <w:t> </w:t>
      </w:r>
      <w:r>
        <w:rPr>
          <w:sz w:val="26"/>
        </w:rPr>
        <w:t>rugosidad</w:t>
      </w:r>
      <w:r>
        <w:rPr>
          <w:spacing w:val="-12"/>
          <w:sz w:val="26"/>
        </w:rPr>
        <w:t> </w:t>
      </w:r>
      <w:r>
        <w:rPr>
          <w:sz w:val="26"/>
        </w:rPr>
        <w:t>del</w:t>
      </w:r>
      <w:r>
        <w:rPr>
          <w:spacing w:val="-12"/>
          <w:sz w:val="26"/>
        </w:rPr>
        <w:t> </w:t>
      </w:r>
      <w:r>
        <w:rPr>
          <w:sz w:val="26"/>
        </w:rPr>
        <w:t>cauce</w:t>
      </w:r>
      <w:r>
        <w:rPr>
          <w:spacing w:val="-11"/>
          <w:sz w:val="26"/>
        </w:rPr>
        <w:t> </w:t>
      </w:r>
      <w:r>
        <w:rPr>
          <w:sz w:val="26"/>
        </w:rPr>
        <w:t>principal,</w:t>
      </w:r>
      <w:r>
        <w:rPr>
          <w:spacing w:val="-9"/>
          <w:sz w:val="26"/>
        </w:rPr>
        <w:t> </w:t>
      </w:r>
      <w:r>
        <w:rPr>
          <w:sz w:val="26"/>
        </w:rPr>
        <w:t>el</w:t>
      </w:r>
      <w:r>
        <w:rPr>
          <w:spacing w:val="-14"/>
          <w:sz w:val="26"/>
        </w:rPr>
        <w:t> </w:t>
      </w:r>
      <w:r>
        <w:rPr>
          <w:i/>
          <w:sz w:val="26"/>
        </w:rPr>
        <w:t>rango </w:t>
      </w:r>
      <w:r>
        <w:rPr>
          <w:sz w:val="26"/>
        </w:rPr>
        <w:t>aceptable</w:t>
      </w:r>
      <w:r>
        <w:rPr>
          <w:spacing w:val="-10"/>
          <w:sz w:val="26"/>
        </w:rPr>
        <w:t> </w:t>
      </w:r>
      <w:r>
        <w:rPr>
          <w:sz w:val="26"/>
        </w:rPr>
        <w:t>para</w:t>
      </w:r>
      <w:r>
        <w:rPr>
          <w:spacing w:val="-10"/>
          <w:sz w:val="26"/>
        </w:rPr>
        <w:t> </w:t>
      </w:r>
      <w:r>
        <w:rPr>
          <w:sz w:val="26"/>
        </w:rPr>
        <w:t>este</w:t>
      </w:r>
      <w:r>
        <w:rPr>
          <w:spacing w:val="-10"/>
          <w:sz w:val="26"/>
        </w:rPr>
        <w:t> </w:t>
      </w:r>
      <w:r>
        <w:rPr>
          <w:sz w:val="26"/>
        </w:rPr>
        <w:t>valor</w:t>
      </w:r>
      <w:r>
        <w:rPr>
          <w:spacing w:val="-10"/>
          <w:sz w:val="26"/>
        </w:rPr>
        <w:t> </w:t>
      </w:r>
      <w:r>
        <w:rPr>
          <w:sz w:val="26"/>
        </w:rPr>
        <w:t>está</w:t>
      </w:r>
      <w:r>
        <w:rPr>
          <w:spacing w:val="-10"/>
          <w:sz w:val="26"/>
        </w:rPr>
        <w:t> </w:t>
      </w:r>
      <w:r>
        <w:rPr>
          <w:sz w:val="26"/>
        </w:rPr>
        <w:t>entre</w:t>
      </w:r>
      <w:r>
        <w:rPr>
          <w:spacing w:val="-10"/>
          <w:sz w:val="26"/>
        </w:rPr>
        <w:t> </w:t>
      </w:r>
      <w:r>
        <w:rPr>
          <w:sz w:val="26"/>
        </w:rPr>
        <w:t>0.01</w:t>
      </w:r>
      <w:r>
        <w:rPr>
          <w:spacing w:val="-9"/>
          <w:sz w:val="26"/>
        </w:rPr>
        <w:t> </w:t>
      </w:r>
      <w:r>
        <w:rPr>
          <w:i/>
          <w:sz w:val="26"/>
        </w:rPr>
        <w:t>y</w:t>
      </w:r>
      <w:r>
        <w:rPr>
          <w:i/>
          <w:spacing w:val="-10"/>
          <w:sz w:val="26"/>
        </w:rPr>
        <w:t> </w:t>
      </w:r>
      <w:r>
        <w:rPr>
          <w:sz w:val="26"/>
        </w:rPr>
        <w:t>0.30.</w:t>
      </w:r>
      <w:r>
        <w:rPr>
          <w:spacing w:val="-13"/>
          <w:sz w:val="26"/>
        </w:rPr>
        <w:t> </w:t>
      </w:r>
      <w:r>
        <w:rPr>
          <w:sz w:val="26"/>
        </w:rPr>
        <w:t>Los</w:t>
      </w:r>
      <w:r>
        <w:rPr>
          <w:spacing w:val="-5"/>
          <w:sz w:val="26"/>
        </w:rPr>
        <w:t> </w:t>
      </w:r>
      <w:r>
        <w:rPr>
          <w:sz w:val="26"/>
        </w:rPr>
        <w:t>valores</w:t>
      </w:r>
      <w:r>
        <w:rPr>
          <w:spacing w:val="-10"/>
          <w:sz w:val="26"/>
        </w:rPr>
        <w:t> </w:t>
      </w:r>
      <w:r>
        <w:rPr>
          <w:sz w:val="26"/>
        </w:rPr>
        <w:t>obtenidos</w:t>
      </w:r>
      <w:r>
        <w:rPr>
          <w:spacing w:val="-10"/>
          <w:sz w:val="26"/>
        </w:rPr>
        <w:t> </w:t>
      </w:r>
      <w:r>
        <w:rPr>
          <w:sz w:val="26"/>
        </w:rPr>
        <w:t>para</w:t>
      </w:r>
      <w:r>
        <w:rPr>
          <w:spacing w:val="-10"/>
          <w:sz w:val="26"/>
        </w:rPr>
        <w:t> </w:t>
      </w:r>
      <w:r>
        <w:rPr>
          <w:sz w:val="26"/>
        </w:rPr>
        <w:t>la</w:t>
      </w:r>
      <w:r>
        <w:rPr>
          <w:spacing w:val="-10"/>
          <w:sz w:val="26"/>
        </w:rPr>
        <w:t> </w:t>
      </w:r>
      <w:r>
        <w:rPr>
          <w:sz w:val="26"/>
        </w:rPr>
        <w:t>cuenca se</w:t>
      </w:r>
      <w:r>
        <w:rPr>
          <w:spacing w:val="-2"/>
          <w:sz w:val="26"/>
        </w:rPr>
        <w:t> </w:t>
      </w:r>
      <w:r>
        <w:rPr>
          <w:sz w:val="26"/>
        </w:rPr>
        <w:t>encuentran</w:t>
      </w:r>
      <w:r>
        <w:rPr>
          <w:spacing w:val="-2"/>
          <w:sz w:val="26"/>
        </w:rPr>
        <w:t> </w:t>
      </w:r>
      <w:r>
        <w:rPr>
          <w:sz w:val="26"/>
        </w:rPr>
        <w:t>en</w:t>
      </w:r>
      <w:r>
        <w:rPr>
          <w:spacing w:val="-7"/>
          <w:sz w:val="26"/>
        </w:rPr>
        <w:t> </w:t>
      </w:r>
      <w:r>
        <w:rPr>
          <w:sz w:val="26"/>
        </w:rPr>
        <w:t>un</w:t>
      </w:r>
      <w:r>
        <w:rPr>
          <w:spacing w:val="-6"/>
          <w:sz w:val="26"/>
        </w:rPr>
        <w:t> </w:t>
      </w:r>
      <w:r>
        <w:rPr>
          <w:i/>
          <w:sz w:val="26"/>
        </w:rPr>
        <w:t>rango</w:t>
      </w:r>
      <w:r>
        <w:rPr>
          <w:i/>
          <w:spacing w:val="-2"/>
          <w:sz w:val="26"/>
        </w:rPr>
        <w:t> </w:t>
      </w:r>
      <w:r>
        <w:rPr>
          <w:sz w:val="26"/>
        </w:rPr>
        <w:t>de</w:t>
      </w:r>
      <w:r>
        <w:rPr>
          <w:spacing w:val="-7"/>
          <w:sz w:val="26"/>
        </w:rPr>
        <w:t> </w:t>
      </w:r>
      <w:r>
        <w:rPr>
          <w:sz w:val="26"/>
        </w:rPr>
        <w:t>0.014</w:t>
      </w:r>
      <w:r>
        <w:rPr>
          <w:spacing w:val="-3"/>
          <w:sz w:val="26"/>
        </w:rPr>
        <w:t> </w:t>
      </w:r>
      <w:r>
        <w:rPr>
          <w:sz w:val="26"/>
        </w:rPr>
        <w:t>a</w:t>
      </w:r>
      <w:r>
        <w:rPr>
          <w:spacing w:val="-7"/>
          <w:sz w:val="26"/>
        </w:rPr>
        <w:t> </w:t>
      </w:r>
      <w:r>
        <w:rPr>
          <w:sz w:val="26"/>
        </w:rPr>
        <w:t>0.042.</w:t>
      </w:r>
      <w:r>
        <w:rPr>
          <w:spacing w:val="-5"/>
          <w:sz w:val="26"/>
        </w:rPr>
        <w:t> </w:t>
      </w:r>
      <w:r>
        <w:rPr>
          <w:sz w:val="26"/>
        </w:rPr>
        <w:t>Esta</w:t>
      </w:r>
      <w:r>
        <w:rPr>
          <w:spacing w:val="-3"/>
          <w:sz w:val="26"/>
        </w:rPr>
        <w:t> </w:t>
      </w:r>
      <w:r>
        <w:rPr>
          <w:sz w:val="26"/>
        </w:rPr>
        <w:t>variable</w:t>
      </w:r>
      <w:r>
        <w:rPr>
          <w:spacing w:val="-2"/>
          <w:sz w:val="26"/>
        </w:rPr>
        <w:t> </w:t>
      </w:r>
      <w:r>
        <w:rPr>
          <w:sz w:val="26"/>
        </w:rPr>
        <w:t>tiene</w:t>
      </w:r>
      <w:r>
        <w:rPr>
          <w:spacing w:val="-2"/>
          <w:sz w:val="26"/>
        </w:rPr>
        <w:t> </w:t>
      </w:r>
      <w:r>
        <w:rPr>
          <w:sz w:val="26"/>
        </w:rPr>
        <w:t>el</w:t>
      </w:r>
      <w:r>
        <w:rPr>
          <w:spacing w:val="-7"/>
          <w:sz w:val="26"/>
        </w:rPr>
        <w:t> </w:t>
      </w:r>
      <w:r>
        <w:rPr>
          <w:sz w:val="26"/>
        </w:rPr>
        <w:t>mismo</w:t>
      </w:r>
      <w:r>
        <w:rPr>
          <w:spacing w:val="1"/>
          <w:sz w:val="26"/>
        </w:rPr>
        <w:t> </w:t>
      </w:r>
      <w:r>
        <w:rPr>
          <w:sz w:val="26"/>
        </w:rPr>
        <w:t>valor</w:t>
      </w:r>
      <w:r>
        <w:rPr>
          <w:spacing w:val="-2"/>
          <w:sz w:val="26"/>
        </w:rPr>
        <w:t> </w:t>
      </w:r>
      <w:r>
        <w:rPr>
          <w:sz w:val="26"/>
        </w:rPr>
        <w:t>para todas la URH dentro de la</w:t>
      </w:r>
      <w:r>
        <w:rPr>
          <w:spacing w:val="-4"/>
          <w:sz w:val="26"/>
        </w:rPr>
        <w:t> </w:t>
      </w:r>
      <w:r>
        <w:rPr>
          <w:sz w:val="26"/>
        </w:rPr>
        <w:t>subcuenca.</w:t>
      </w:r>
    </w:p>
    <w:p>
      <w:pPr>
        <w:pStyle w:val="BodyText"/>
      </w:pPr>
    </w:p>
    <w:p>
      <w:pPr>
        <w:pStyle w:val="ListParagraph"/>
        <w:numPr>
          <w:ilvl w:val="0"/>
          <w:numId w:val="16"/>
        </w:numPr>
        <w:tabs>
          <w:tab w:pos="477" w:val="left" w:leader="none"/>
        </w:tabs>
        <w:spacing w:line="357" w:lineRule="auto" w:before="159" w:after="0"/>
        <w:ind w:left="477" w:right="116" w:hanging="361"/>
        <w:jc w:val="both"/>
        <w:rPr>
          <w:sz w:val="26"/>
        </w:rPr>
      </w:pPr>
      <w:r>
        <w:rPr>
          <w:i/>
          <w:sz w:val="26"/>
        </w:rPr>
        <w:t>Valor de "N" de Manning para el flujo sobre el suelo (OV_N). </w:t>
      </w:r>
      <w:r>
        <w:rPr>
          <w:sz w:val="26"/>
        </w:rPr>
        <w:t>Este valor es calculado por el SWAT de acuerdo a los parámetros para los diferentes tipos y manejos de cobertura vegetal introducidos al modelo. Estos valores se encuentran en un rango de 0.023 a</w:t>
      </w:r>
      <w:r>
        <w:rPr>
          <w:spacing w:val="-5"/>
          <w:sz w:val="26"/>
        </w:rPr>
        <w:t> </w:t>
      </w:r>
      <w:r>
        <w:rPr>
          <w:sz w:val="26"/>
        </w:rPr>
        <w:t>0.7.</w:t>
      </w:r>
    </w:p>
    <w:p>
      <w:pPr>
        <w:pStyle w:val="BodyText"/>
      </w:pPr>
    </w:p>
    <w:p>
      <w:pPr>
        <w:pStyle w:val="ListParagraph"/>
        <w:numPr>
          <w:ilvl w:val="0"/>
          <w:numId w:val="16"/>
        </w:numPr>
        <w:tabs>
          <w:tab w:pos="477" w:val="left" w:leader="none"/>
        </w:tabs>
        <w:spacing w:line="355" w:lineRule="auto" w:before="159" w:after="0"/>
        <w:ind w:left="477" w:right="115" w:hanging="361"/>
        <w:jc w:val="both"/>
        <w:rPr>
          <w:sz w:val="26"/>
        </w:rPr>
      </w:pPr>
      <w:r>
        <w:rPr>
          <w:i/>
          <w:sz w:val="26"/>
        </w:rPr>
        <w:t>Tiempo de recorrido del flujo lateral (LAT_TIME). </w:t>
      </w:r>
      <w:r>
        <w:rPr>
          <w:sz w:val="26"/>
        </w:rPr>
        <w:t>Como no se conoce este valor </w:t>
      </w:r>
      <w:r>
        <w:rPr>
          <w:i/>
          <w:sz w:val="26"/>
        </w:rPr>
        <w:t>y </w:t>
      </w:r>
      <w:r>
        <w:rPr>
          <w:sz w:val="26"/>
        </w:rPr>
        <w:t>con</w:t>
      </w:r>
      <w:r>
        <w:rPr>
          <w:spacing w:val="-1"/>
          <w:sz w:val="26"/>
        </w:rPr>
        <w:t> </w:t>
      </w:r>
      <w:r>
        <w:rPr>
          <w:sz w:val="26"/>
        </w:rPr>
        <w:t>la</w:t>
      </w:r>
      <w:r>
        <w:rPr>
          <w:spacing w:val="-2"/>
          <w:sz w:val="26"/>
        </w:rPr>
        <w:t> </w:t>
      </w:r>
      <w:r>
        <w:rPr>
          <w:sz w:val="26"/>
        </w:rPr>
        <w:t>finalidad</w:t>
      </w:r>
      <w:r>
        <w:rPr>
          <w:spacing w:val="-6"/>
          <w:sz w:val="26"/>
        </w:rPr>
        <w:t> </w:t>
      </w:r>
      <w:r>
        <w:rPr>
          <w:sz w:val="26"/>
        </w:rPr>
        <w:t>de</w:t>
      </w:r>
      <w:r>
        <w:rPr>
          <w:spacing w:val="-1"/>
          <w:sz w:val="26"/>
        </w:rPr>
        <w:t> </w:t>
      </w:r>
      <w:r>
        <w:rPr>
          <w:sz w:val="26"/>
        </w:rPr>
        <w:t>que</w:t>
      </w:r>
      <w:r>
        <w:rPr>
          <w:spacing w:val="-6"/>
          <w:sz w:val="26"/>
        </w:rPr>
        <w:t> </w:t>
      </w:r>
      <w:r>
        <w:rPr>
          <w:sz w:val="26"/>
        </w:rPr>
        <w:t>el</w:t>
      </w:r>
      <w:r>
        <w:rPr>
          <w:spacing w:val="-6"/>
          <w:sz w:val="26"/>
        </w:rPr>
        <w:t> </w:t>
      </w:r>
      <w:r>
        <w:rPr>
          <w:sz w:val="26"/>
        </w:rPr>
        <w:t>SWAT</w:t>
      </w:r>
      <w:r>
        <w:rPr>
          <w:spacing w:val="-2"/>
          <w:sz w:val="26"/>
        </w:rPr>
        <w:t> </w:t>
      </w:r>
      <w:r>
        <w:rPr>
          <w:sz w:val="26"/>
        </w:rPr>
        <w:t>lo</w:t>
      </w:r>
      <w:r>
        <w:rPr>
          <w:spacing w:val="-2"/>
          <w:sz w:val="26"/>
        </w:rPr>
        <w:t> </w:t>
      </w:r>
      <w:r>
        <w:rPr>
          <w:sz w:val="26"/>
        </w:rPr>
        <w:t>calcule,</w:t>
      </w:r>
      <w:r>
        <w:rPr>
          <w:spacing w:val="-4"/>
          <w:sz w:val="26"/>
        </w:rPr>
        <w:t> </w:t>
      </w:r>
      <w:r>
        <w:rPr>
          <w:sz w:val="26"/>
        </w:rPr>
        <w:t>se</w:t>
      </w:r>
      <w:r>
        <w:rPr>
          <w:spacing w:val="-6"/>
          <w:sz w:val="26"/>
        </w:rPr>
        <w:t> </w:t>
      </w:r>
      <w:r>
        <w:rPr>
          <w:sz w:val="26"/>
        </w:rPr>
        <w:t>le</w:t>
      </w:r>
      <w:r>
        <w:rPr>
          <w:spacing w:val="-2"/>
          <w:sz w:val="26"/>
        </w:rPr>
        <w:t> </w:t>
      </w:r>
      <w:r>
        <w:rPr>
          <w:sz w:val="26"/>
        </w:rPr>
        <w:t>asignó</w:t>
      </w:r>
      <w:r>
        <w:rPr>
          <w:spacing w:val="-2"/>
          <w:sz w:val="26"/>
        </w:rPr>
        <w:t> </w:t>
      </w:r>
      <w:r>
        <w:rPr>
          <w:sz w:val="26"/>
        </w:rPr>
        <w:t>el</w:t>
      </w:r>
      <w:r>
        <w:rPr>
          <w:spacing w:val="-2"/>
          <w:sz w:val="26"/>
        </w:rPr>
        <w:t> </w:t>
      </w:r>
      <w:r>
        <w:rPr>
          <w:sz w:val="26"/>
        </w:rPr>
        <w:t>valor</w:t>
      </w:r>
      <w:r>
        <w:rPr>
          <w:spacing w:val="-1"/>
          <w:sz w:val="26"/>
        </w:rPr>
        <w:t> </w:t>
      </w:r>
      <w:r>
        <w:rPr>
          <w:sz w:val="26"/>
        </w:rPr>
        <w:t>de</w:t>
      </w:r>
      <w:r>
        <w:rPr>
          <w:spacing w:val="-1"/>
          <w:sz w:val="26"/>
        </w:rPr>
        <w:t> </w:t>
      </w:r>
      <w:r>
        <w:rPr>
          <w:sz w:val="26"/>
        </w:rPr>
        <w:t>cero.</w:t>
      </w:r>
      <w:r>
        <w:rPr>
          <w:spacing w:val="-4"/>
          <w:sz w:val="26"/>
        </w:rPr>
        <w:t> </w:t>
      </w:r>
      <w:r>
        <w:rPr>
          <w:sz w:val="26"/>
        </w:rPr>
        <w:t>El</w:t>
      </w:r>
      <w:r>
        <w:rPr>
          <w:spacing w:val="-6"/>
          <w:sz w:val="26"/>
        </w:rPr>
        <w:t> </w:t>
      </w:r>
      <w:r>
        <w:rPr>
          <w:sz w:val="26"/>
        </w:rPr>
        <w:t>modelo calcula LAT_TIME a partir de las propiedades hidráulicas del</w:t>
      </w:r>
      <w:r>
        <w:rPr>
          <w:spacing w:val="-21"/>
          <w:sz w:val="26"/>
        </w:rPr>
        <w:t> </w:t>
      </w:r>
      <w:r>
        <w:rPr>
          <w:sz w:val="26"/>
        </w:rPr>
        <w:t>modelo.</w:t>
      </w:r>
    </w:p>
    <w:p>
      <w:pPr>
        <w:spacing w:after="0" w:line="355" w:lineRule="auto"/>
        <w:jc w:val="both"/>
        <w:rPr>
          <w:sz w:val="26"/>
        </w:rPr>
        <w:sectPr>
          <w:pgSz w:w="12240" w:h="15840"/>
          <w:pgMar w:header="0" w:footer="1473" w:top="1380" w:bottom="1660" w:left="1660" w:right="1300"/>
        </w:sectPr>
      </w:pPr>
    </w:p>
    <w:p>
      <w:pPr>
        <w:pStyle w:val="ListParagraph"/>
        <w:numPr>
          <w:ilvl w:val="1"/>
          <w:numId w:val="16"/>
        </w:numPr>
        <w:tabs>
          <w:tab w:pos="837" w:val="left" w:leader="none"/>
        </w:tabs>
        <w:spacing w:line="357" w:lineRule="auto" w:before="29" w:after="0"/>
        <w:ind w:left="837" w:right="111" w:hanging="361"/>
        <w:jc w:val="both"/>
        <w:rPr>
          <w:rFonts w:ascii="Symbol" w:hAnsi="Symbol"/>
          <w:sz w:val="26"/>
        </w:rPr>
      </w:pPr>
      <w:r>
        <w:rPr>
          <w:i/>
          <w:sz w:val="26"/>
        </w:rPr>
        <w:t>Factor de práctica mecánica de la USLE para el control de la erosión (USLE_P). </w:t>
      </w:r>
      <w:r>
        <w:rPr>
          <w:sz w:val="26"/>
        </w:rPr>
        <w:t>Dentro de la cuenca sobresale la práctica </w:t>
      </w:r>
      <w:r>
        <w:rPr>
          <w:spacing w:val="-3"/>
          <w:sz w:val="26"/>
        </w:rPr>
        <w:t>de </w:t>
      </w:r>
      <w:r>
        <w:rPr>
          <w:sz w:val="26"/>
        </w:rPr>
        <w:t>surcado al contorno en las áreas agrícolas ubicadas en las laderas principalmente. En las URH donde no se realizan prácticas de control de la erosión se les asignó el valor de USLE_P=</w:t>
      </w:r>
      <w:r>
        <w:rPr>
          <w:spacing w:val="-17"/>
          <w:sz w:val="26"/>
        </w:rPr>
        <w:t> </w:t>
      </w:r>
      <w:r>
        <w:rPr>
          <w:sz w:val="26"/>
        </w:rPr>
        <w:t>1.</w:t>
      </w:r>
    </w:p>
    <w:p>
      <w:pPr>
        <w:pStyle w:val="BodyText"/>
      </w:pPr>
    </w:p>
    <w:p>
      <w:pPr>
        <w:pStyle w:val="ListParagraph"/>
        <w:numPr>
          <w:ilvl w:val="1"/>
          <w:numId w:val="16"/>
        </w:numPr>
        <w:tabs>
          <w:tab w:pos="837" w:val="left" w:leader="none"/>
        </w:tabs>
        <w:spacing w:line="360" w:lineRule="auto" w:before="154" w:after="0"/>
        <w:ind w:left="837" w:right="111" w:hanging="361"/>
        <w:jc w:val="both"/>
        <w:rPr>
          <w:rFonts w:ascii="Symbol" w:hAnsi="Symbol"/>
          <w:sz w:val="26"/>
        </w:rPr>
      </w:pPr>
      <w:r>
        <w:rPr>
          <w:i/>
          <w:sz w:val="26"/>
        </w:rPr>
        <w:t>Índice de ajuste para la temperatura (TLAP) y la precipitación (PLAP). </w:t>
      </w:r>
      <w:r>
        <w:rPr>
          <w:spacing w:val="-3"/>
          <w:sz w:val="26"/>
        </w:rPr>
        <w:t>Se </w:t>
      </w:r>
      <w:r>
        <w:rPr>
          <w:sz w:val="26"/>
        </w:rPr>
        <w:t>refiere al cambio de la temperatura afectado por el cambio de elevación. Este valor se obtuvo mediante la correlación lineal de las temperaturas medias anuales y las precipitaciones anuales, respectivamente para todas las estaciones climatológicas consideradas</w:t>
      </w:r>
      <w:r>
        <w:rPr>
          <w:spacing w:val="-6"/>
          <w:sz w:val="26"/>
        </w:rPr>
        <w:t> </w:t>
      </w:r>
      <w:r>
        <w:rPr>
          <w:sz w:val="26"/>
        </w:rPr>
        <w:t>en</w:t>
      </w:r>
      <w:r>
        <w:rPr>
          <w:spacing w:val="-6"/>
          <w:sz w:val="26"/>
        </w:rPr>
        <w:t> </w:t>
      </w:r>
      <w:r>
        <w:rPr>
          <w:sz w:val="26"/>
        </w:rPr>
        <w:t>la</w:t>
      </w:r>
      <w:r>
        <w:rPr>
          <w:spacing w:val="-6"/>
          <w:sz w:val="26"/>
        </w:rPr>
        <w:t> </w:t>
      </w:r>
      <w:r>
        <w:rPr>
          <w:sz w:val="26"/>
        </w:rPr>
        <w:t>cuenca,</w:t>
      </w:r>
      <w:r>
        <w:rPr>
          <w:spacing w:val="-4"/>
          <w:sz w:val="26"/>
        </w:rPr>
        <w:t> </w:t>
      </w:r>
      <w:r>
        <w:rPr>
          <w:sz w:val="26"/>
        </w:rPr>
        <w:t>los</w:t>
      </w:r>
      <w:r>
        <w:rPr>
          <w:spacing w:val="-6"/>
          <w:sz w:val="26"/>
        </w:rPr>
        <w:t> </w:t>
      </w:r>
      <w:r>
        <w:rPr>
          <w:sz w:val="26"/>
        </w:rPr>
        <w:t>valores</w:t>
      </w:r>
      <w:r>
        <w:rPr>
          <w:spacing w:val="-6"/>
          <w:sz w:val="26"/>
        </w:rPr>
        <w:t> </w:t>
      </w:r>
      <w:r>
        <w:rPr>
          <w:sz w:val="26"/>
        </w:rPr>
        <w:t>resultantes</w:t>
      </w:r>
      <w:r>
        <w:rPr>
          <w:spacing w:val="-6"/>
          <w:sz w:val="26"/>
        </w:rPr>
        <w:t> </w:t>
      </w:r>
      <w:r>
        <w:rPr>
          <w:sz w:val="26"/>
        </w:rPr>
        <w:t>fueron</w:t>
      </w:r>
      <w:r>
        <w:rPr>
          <w:spacing w:val="-6"/>
          <w:sz w:val="26"/>
        </w:rPr>
        <w:t> </w:t>
      </w:r>
      <w:r>
        <w:rPr>
          <w:sz w:val="26"/>
        </w:rPr>
        <w:t>los</w:t>
      </w:r>
      <w:r>
        <w:rPr>
          <w:spacing w:val="-6"/>
          <w:sz w:val="26"/>
        </w:rPr>
        <w:t> </w:t>
      </w:r>
      <w:r>
        <w:rPr>
          <w:sz w:val="26"/>
        </w:rPr>
        <w:t>de</w:t>
      </w:r>
      <w:r>
        <w:rPr>
          <w:spacing w:val="-6"/>
          <w:sz w:val="26"/>
        </w:rPr>
        <w:t> </w:t>
      </w:r>
      <w:r>
        <w:rPr>
          <w:sz w:val="26"/>
        </w:rPr>
        <w:t>las</w:t>
      </w:r>
      <w:r>
        <w:rPr>
          <w:spacing w:val="-6"/>
          <w:sz w:val="26"/>
        </w:rPr>
        <w:t> </w:t>
      </w:r>
      <w:r>
        <w:rPr>
          <w:sz w:val="26"/>
        </w:rPr>
        <w:t>pendientes</w:t>
      </w:r>
      <w:r>
        <w:rPr>
          <w:spacing w:val="-6"/>
          <w:sz w:val="26"/>
        </w:rPr>
        <w:t> </w:t>
      </w:r>
      <w:r>
        <w:rPr>
          <w:sz w:val="26"/>
        </w:rPr>
        <w:t>de</w:t>
      </w:r>
      <w:r>
        <w:rPr>
          <w:spacing w:val="-6"/>
          <w:sz w:val="26"/>
        </w:rPr>
        <w:t> </w:t>
      </w:r>
      <w:r>
        <w:rPr>
          <w:sz w:val="26"/>
        </w:rPr>
        <w:t>las rectas resultado de las regresiones lineales para cada parámetro 3.5°C para la temperatura y 218 mm para la</w:t>
      </w:r>
      <w:r>
        <w:rPr>
          <w:spacing w:val="-6"/>
          <w:sz w:val="26"/>
        </w:rPr>
        <w:t> </w:t>
      </w:r>
      <w:r>
        <w:rPr>
          <w:sz w:val="26"/>
        </w:rPr>
        <w:t>precipitación.</w:t>
      </w:r>
    </w:p>
    <w:p>
      <w:pPr>
        <w:pStyle w:val="BodyText"/>
      </w:pPr>
    </w:p>
    <w:p>
      <w:pPr>
        <w:pStyle w:val="BodyText"/>
        <w:spacing w:before="9"/>
        <w:rPr>
          <w:sz w:val="34"/>
        </w:rPr>
      </w:pPr>
    </w:p>
    <w:p>
      <w:pPr>
        <w:pStyle w:val="Heading1"/>
        <w:numPr>
          <w:ilvl w:val="2"/>
          <w:numId w:val="5"/>
        </w:numPr>
        <w:tabs>
          <w:tab w:pos="707" w:val="left" w:leader="none"/>
        </w:tabs>
        <w:spacing w:line="240" w:lineRule="auto" w:before="1" w:after="0"/>
        <w:ind w:left="706" w:right="0" w:hanging="590"/>
        <w:jc w:val="both"/>
      </w:pPr>
      <w:bookmarkStart w:name="_bookmark57" w:id="82"/>
      <w:bookmarkEnd w:id="82"/>
      <w:r>
        <w:rPr>
          <w:b w:val="0"/>
        </w:rPr>
      </w:r>
      <w:bookmarkStart w:name="_bookmark57" w:id="83"/>
      <w:bookmarkEnd w:id="83"/>
      <w:r>
        <w:rPr/>
        <w:t>Dat</w:t>
      </w:r>
      <w:r>
        <w:rPr/>
        <w:t>os </w:t>
      </w:r>
      <w:r>
        <w:rPr>
          <w:spacing w:val="-3"/>
        </w:rPr>
        <w:t>de </w:t>
      </w:r>
      <w:r>
        <w:rPr/>
        <w:t>suelos (ARCHIVO</w:t>
      </w:r>
      <w:r>
        <w:rPr>
          <w:spacing w:val="-9"/>
        </w:rPr>
        <w:t> </w:t>
      </w:r>
      <w:r>
        <w:rPr/>
        <w:t>SOL)</w:t>
      </w:r>
    </w:p>
    <w:p>
      <w:pPr>
        <w:pStyle w:val="BodyText"/>
        <w:rPr>
          <w:b/>
        </w:rPr>
      </w:pPr>
    </w:p>
    <w:p>
      <w:pPr>
        <w:pStyle w:val="BodyText"/>
        <w:spacing w:before="5"/>
        <w:rPr>
          <w:b/>
          <w:sz w:val="21"/>
        </w:rPr>
      </w:pPr>
    </w:p>
    <w:p>
      <w:pPr>
        <w:pStyle w:val="BodyText"/>
        <w:spacing w:line="360" w:lineRule="auto"/>
        <w:ind w:left="116" w:right="111"/>
        <w:jc w:val="both"/>
      </w:pPr>
      <w:r>
        <w:rPr>
          <w:spacing w:val="-3"/>
        </w:rPr>
        <w:t>La </w:t>
      </w:r>
      <w:r>
        <w:rPr/>
        <w:t>información que requiere el modelo respecto a suelo incluye sus propiedades físicas y químicas, con el fin de analizar las condiciones que intervienen en la capacidad del suelo para alterar el ciclo del agua dentro de la cuenca, así como también en los rendimientos agrícolas</w:t>
      </w:r>
      <w:r>
        <w:rPr>
          <w:spacing w:val="-5"/>
        </w:rPr>
        <w:t> </w:t>
      </w:r>
      <w:r>
        <w:rPr/>
        <w:t>presentados</w:t>
      </w:r>
      <w:r>
        <w:rPr>
          <w:spacing w:val="-5"/>
        </w:rPr>
        <w:t> </w:t>
      </w:r>
      <w:r>
        <w:rPr/>
        <w:t>en</w:t>
      </w:r>
      <w:r>
        <w:rPr>
          <w:spacing w:val="-5"/>
        </w:rPr>
        <w:t> </w:t>
      </w:r>
      <w:r>
        <w:rPr/>
        <w:t>la</w:t>
      </w:r>
      <w:r>
        <w:rPr>
          <w:spacing w:val="-5"/>
        </w:rPr>
        <w:t> </w:t>
      </w:r>
      <w:r>
        <w:rPr/>
        <w:t>actualidad.</w:t>
      </w:r>
      <w:r>
        <w:rPr>
          <w:spacing w:val="2"/>
        </w:rPr>
        <w:t> </w:t>
      </w:r>
      <w:r>
        <w:rPr>
          <w:spacing w:val="-3"/>
        </w:rPr>
        <w:t>La</w:t>
      </w:r>
      <w:r>
        <w:rPr>
          <w:spacing w:val="-5"/>
        </w:rPr>
        <w:t> </w:t>
      </w:r>
      <w:r>
        <w:rPr/>
        <w:t>información</w:t>
      </w:r>
      <w:r>
        <w:rPr>
          <w:spacing w:val="-5"/>
        </w:rPr>
        <w:t> </w:t>
      </w:r>
      <w:r>
        <w:rPr/>
        <w:t>de</w:t>
      </w:r>
      <w:r>
        <w:rPr>
          <w:spacing w:val="-5"/>
        </w:rPr>
        <w:t> </w:t>
      </w:r>
      <w:r>
        <w:rPr/>
        <w:t>suelos</w:t>
      </w:r>
      <w:r>
        <w:rPr>
          <w:spacing w:val="-5"/>
        </w:rPr>
        <w:t> </w:t>
      </w:r>
      <w:r>
        <w:rPr/>
        <w:t>fue</w:t>
      </w:r>
      <w:r>
        <w:rPr>
          <w:spacing w:val="-5"/>
        </w:rPr>
        <w:t> </w:t>
      </w:r>
      <w:r>
        <w:rPr/>
        <w:t>obtenida</w:t>
      </w:r>
      <w:r>
        <w:rPr>
          <w:spacing w:val="-5"/>
        </w:rPr>
        <w:t> </w:t>
      </w:r>
      <w:r>
        <w:rPr/>
        <w:t>de</w:t>
      </w:r>
      <w:r>
        <w:rPr>
          <w:spacing w:val="-5"/>
        </w:rPr>
        <w:t> </w:t>
      </w:r>
      <w:r>
        <w:rPr/>
        <w:t>la</w:t>
      </w:r>
      <w:r>
        <w:rPr>
          <w:spacing w:val="-5"/>
        </w:rPr>
        <w:t> </w:t>
      </w:r>
      <w:r>
        <w:rPr/>
        <w:t>base</w:t>
      </w:r>
      <w:r>
        <w:rPr>
          <w:spacing w:val="-5"/>
        </w:rPr>
        <w:t> </w:t>
      </w:r>
      <w:r>
        <w:rPr/>
        <w:t>de datos realizada por Fernández (1996) para el área de estudio, la cual proveniente de las cartas edafológicas del INEGI y del análisis de muestras de suelos realizados por el INIFAP,</w:t>
      </w:r>
      <w:r>
        <w:rPr>
          <w:spacing w:val="-9"/>
        </w:rPr>
        <w:t> </w:t>
      </w:r>
      <w:r>
        <w:rPr/>
        <w:t>dentro</w:t>
      </w:r>
      <w:r>
        <w:rPr>
          <w:spacing w:val="-11"/>
        </w:rPr>
        <w:t> </w:t>
      </w:r>
      <w:r>
        <w:rPr/>
        <w:t>de</w:t>
      </w:r>
      <w:r>
        <w:rPr>
          <w:spacing w:val="-15"/>
        </w:rPr>
        <w:t> </w:t>
      </w:r>
      <w:r>
        <w:rPr/>
        <w:t>las</w:t>
      </w:r>
      <w:r>
        <w:rPr>
          <w:spacing w:val="-15"/>
        </w:rPr>
        <w:t> </w:t>
      </w:r>
      <w:r>
        <w:rPr/>
        <w:t>unidades</w:t>
      </w:r>
      <w:r>
        <w:rPr>
          <w:spacing w:val="-11"/>
        </w:rPr>
        <w:t> </w:t>
      </w:r>
      <w:r>
        <w:rPr/>
        <w:t>y</w:t>
      </w:r>
      <w:r>
        <w:rPr>
          <w:spacing w:val="-15"/>
        </w:rPr>
        <w:t> </w:t>
      </w:r>
      <w:r>
        <w:rPr/>
        <w:t>las</w:t>
      </w:r>
      <w:r>
        <w:rPr>
          <w:spacing w:val="-15"/>
        </w:rPr>
        <w:t> </w:t>
      </w:r>
      <w:r>
        <w:rPr/>
        <w:t>fases</w:t>
      </w:r>
      <w:r>
        <w:rPr>
          <w:spacing w:val="-11"/>
        </w:rPr>
        <w:t> </w:t>
      </w:r>
      <w:r>
        <w:rPr/>
        <w:t>de</w:t>
      </w:r>
      <w:r>
        <w:rPr>
          <w:spacing w:val="-15"/>
        </w:rPr>
        <w:t> </w:t>
      </w:r>
      <w:r>
        <w:rPr/>
        <w:t>la</w:t>
      </w:r>
      <w:r>
        <w:rPr>
          <w:spacing w:val="-15"/>
        </w:rPr>
        <w:t> </w:t>
      </w:r>
      <w:r>
        <w:rPr/>
        <w:t>cuenca.</w:t>
      </w:r>
      <w:r>
        <w:rPr>
          <w:spacing w:val="-13"/>
        </w:rPr>
        <w:t> </w:t>
      </w:r>
      <w:r>
        <w:rPr/>
        <w:t>El</w:t>
      </w:r>
      <w:r>
        <w:rPr>
          <w:spacing w:val="-15"/>
        </w:rPr>
        <w:t> </w:t>
      </w:r>
      <w:r>
        <w:rPr/>
        <w:t>listado</w:t>
      </w:r>
      <w:r>
        <w:rPr>
          <w:spacing w:val="-11"/>
        </w:rPr>
        <w:t> </w:t>
      </w:r>
      <w:r>
        <w:rPr/>
        <w:t>de</w:t>
      </w:r>
      <w:r>
        <w:rPr>
          <w:spacing w:val="-15"/>
        </w:rPr>
        <w:t> </w:t>
      </w:r>
      <w:r>
        <w:rPr/>
        <w:t>información</w:t>
      </w:r>
      <w:r>
        <w:rPr>
          <w:spacing w:val="-11"/>
        </w:rPr>
        <w:t> </w:t>
      </w:r>
      <w:r>
        <w:rPr/>
        <w:t>requerida se muestra en el Cuadro</w:t>
      </w:r>
      <w:r>
        <w:rPr>
          <w:spacing w:val="-2"/>
        </w:rPr>
        <w:t> </w:t>
      </w:r>
      <w:r>
        <w:rPr/>
        <w:t>5.</w:t>
      </w:r>
    </w:p>
    <w:p>
      <w:pPr>
        <w:spacing w:after="0" w:line="360" w:lineRule="auto"/>
        <w:jc w:val="both"/>
        <w:sectPr>
          <w:pgSz w:w="12240" w:h="15840"/>
          <w:pgMar w:header="0" w:footer="1473" w:top="1380" w:bottom="1660" w:left="1300" w:right="1300"/>
        </w:sectPr>
      </w:pPr>
    </w:p>
    <w:p>
      <w:pPr>
        <w:pStyle w:val="Heading1"/>
        <w:spacing w:before="53"/>
        <w:ind w:left="3727" w:hanging="3626"/>
      </w:pPr>
      <w:bookmarkStart w:name="_bookmark58" w:id="84"/>
      <w:bookmarkEnd w:id="84"/>
      <w:r>
        <w:rPr>
          <w:b w:val="0"/>
        </w:rPr>
      </w:r>
      <w:r>
        <w:rPr/>
        <w:t>Cuadro 5. Datos de propiedades físicas y químicas de los suelos requeridos por el modelo SWAT.</w:t>
      </w:r>
    </w:p>
    <w:p>
      <w:pPr>
        <w:pStyle w:val="BodyText"/>
        <w:rPr>
          <w:b/>
          <w:sz w:val="18"/>
        </w:rPr>
      </w:pPr>
    </w:p>
    <w:tbl>
      <w:tblPr>
        <w:tblW w:w="0" w:type="auto"/>
        <w:jc w:val="left"/>
        <w:tblInd w:w="3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227"/>
        <w:gridCol w:w="2253"/>
      </w:tblGrid>
      <w:tr>
        <w:trPr>
          <w:trHeight w:val="284" w:hRule="exact"/>
        </w:trPr>
        <w:tc>
          <w:tcPr>
            <w:tcW w:w="6227" w:type="dxa"/>
            <w:tcBorders>
              <w:left w:val="nil"/>
              <w:right w:val="nil"/>
            </w:tcBorders>
          </w:tcPr>
          <w:p>
            <w:pPr>
              <w:pStyle w:val="TableParagraph"/>
              <w:spacing w:line="273" w:lineRule="exact" w:before="0"/>
              <w:ind w:left="2647" w:right="2645"/>
              <w:jc w:val="center"/>
              <w:rPr>
                <w:b/>
                <w:sz w:val="24"/>
              </w:rPr>
            </w:pPr>
            <w:r>
              <w:rPr>
                <w:b/>
                <w:sz w:val="24"/>
              </w:rPr>
              <w:t>Variable</w:t>
            </w:r>
          </w:p>
        </w:tc>
        <w:tc>
          <w:tcPr>
            <w:tcW w:w="2253" w:type="dxa"/>
            <w:tcBorders>
              <w:left w:val="nil"/>
              <w:right w:val="nil"/>
            </w:tcBorders>
          </w:tcPr>
          <w:p>
            <w:pPr>
              <w:pStyle w:val="TableParagraph"/>
              <w:spacing w:line="273" w:lineRule="exact" w:before="0"/>
              <w:ind w:left="814" w:right="812"/>
              <w:jc w:val="center"/>
              <w:rPr>
                <w:b/>
                <w:sz w:val="24"/>
              </w:rPr>
            </w:pPr>
            <w:r>
              <w:rPr>
                <w:b/>
                <w:sz w:val="24"/>
              </w:rPr>
              <w:t>Clave</w:t>
            </w:r>
          </w:p>
        </w:tc>
      </w:tr>
      <w:tr>
        <w:trPr>
          <w:trHeight w:val="287" w:hRule="exact"/>
        </w:trPr>
        <w:tc>
          <w:tcPr>
            <w:tcW w:w="6227" w:type="dxa"/>
            <w:tcBorders>
              <w:left w:val="nil"/>
              <w:bottom w:val="nil"/>
              <w:right w:val="nil"/>
            </w:tcBorders>
          </w:tcPr>
          <w:p>
            <w:pPr>
              <w:pStyle w:val="TableParagraph"/>
              <w:spacing w:line="268" w:lineRule="exact" w:before="0"/>
              <w:ind w:left="110"/>
              <w:jc w:val="left"/>
              <w:rPr>
                <w:sz w:val="24"/>
              </w:rPr>
            </w:pPr>
            <w:r>
              <w:rPr>
                <w:sz w:val="24"/>
              </w:rPr>
              <w:t>Nombre del suelo</w:t>
            </w:r>
          </w:p>
        </w:tc>
        <w:tc>
          <w:tcPr>
            <w:tcW w:w="2253" w:type="dxa"/>
            <w:tcBorders>
              <w:left w:val="nil"/>
              <w:bottom w:val="nil"/>
              <w:right w:val="nil"/>
            </w:tcBorders>
          </w:tcPr>
          <w:p>
            <w:pPr>
              <w:pStyle w:val="TableParagraph"/>
              <w:spacing w:line="268" w:lineRule="exact" w:before="0"/>
              <w:ind w:left="111"/>
              <w:jc w:val="left"/>
              <w:rPr>
                <w:sz w:val="24"/>
              </w:rPr>
            </w:pPr>
            <w:r>
              <w:rPr>
                <w:sz w:val="24"/>
              </w:rPr>
              <w:t>SNAM</w:t>
            </w:r>
          </w:p>
        </w:tc>
      </w:tr>
      <w:tr>
        <w:trPr>
          <w:trHeight w:val="276" w:hRule="exact"/>
        </w:trPr>
        <w:tc>
          <w:tcPr>
            <w:tcW w:w="6227" w:type="dxa"/>
            <w:tcBorders>
              <w:top w:val="nil"/>
              <w:left w:val="nil"/>
              <w:bottom w:val="nil"/>
              <w:right w:val="nil"/>
            </w:tcBorders>
          </w:tcPr>
          <w:p>
            <w:pPr>
              <w:pStyle w:val="TableParagraph"/>
              <w:spacing w:line="264" w:lineRule="exact" w:before="0"/>
              <w:ind w:left="110"/>
              <w:jc w:val="left"/>
              <w:rPr>
                <w:sz w:val="24"/>
              </w:rPr>
            </w:pPr>
            <w:r>
              <w:rPr>
                <w:sz w:val="24"/>
              </w:rPr>
              <w:t>Numero de capas en el suelo</w:t>
            </w:r>
          </w:p>
        </w:tc>
        <w:tc>
          <w:tcPr>
            <w:tcW w:w="2253" w:type="dxa"/>
            <w:tcBorders>
              <w:top w:val="nil"/>
              <w:left w:val="nil"/>
              <w:bottom w:val="nil"/>
              <w:right w:val="nil"/>
            </w:tcBorders>
          </w:tcPr>
          <w:p>
            <w:pPr>
              <w:pStyle w:val="TableParagraph"/>
              <w:spacing w:line="264" w:lineRule="exact" w:before="0"/>
              <w:ind w:left="111"/>
              <w:jc w:val="left"/>
              <w:rPr>
                <w:sz w:val="24"/>
              </w:rPr>
            </w:pPr>
            <w:r>
              <w:rPr>
                <w:sz w:val="24"/>
              </w:rPr>
              <w:t>NLAYERS</w:t>
            </w:r>
          </w:p>
        </w:tc>
      </w:tr>
      <w:tr>
        <w:trPr>
          <w:trHeight w:val="276" w:hRule="exact"/>
        </w:trPr>
        <w:tc>
          <w:tcPr>
            <w:tcW w:w="6227" w:type="dxa"/>
            <w:tcBorders>
              <w:top w:val="nil"/>
              <w:left w:val="nil"/>
              <w:bottom w:val="nil"/>
              <w:right w:val="nil"/>
            </w:tcBorders>
          </w:tcPr>
          <w:p>
            <w:pPr>
              <w:pStyle w:val="TableParagraph"/>
              <w:spacing w:line="262" w:lineRule="exact" w:before="0"/>
              <w:ind w:left="110"/>
              <w:jc w:val="left"/>
              <w:rPr>
                <w:sz w:val="24"/>
              </w:rPr>
            </w:pPr>
            <w:r>
              <w:rPr>
                <w:sz w:val="24"/>
              </w:rPr>
              <w:t>Grupo hidrológico del suelo</w:t>
            </w:r>
          </w:p>
        </w:tc>
        <w:tc>
          <w:tcPr>
            <w:tcW w:w="2253" w:type="dxa"/>
            <w:tcBorders>
              <w:top w:val="nil"/>
              <w:left w:val="nil"/>
              <w:bottom w:val="nil"/>
              <w:right w:val="nil"/>
            </w:tcBorders>
          </w:tcPr>
          <w:p>
            <w:pPr>
              <w:pStyle w:val="TableParagraph"/>
              <w:spacing w:line="262" w:lineRule="exact" w:before="0"/>
              <w:ind w:left="111"/>
              <w:jc w:val="left"/>
              <w:rPr>
                <w:sz w:val="24"/>
              </w:rPr>
            </w:pPr>
            <w:r>
              <w:rPr>
                <w:sz w:val="24"/>
              </w:rPr>
              <w:t>HYDGRP</w:t>
            </w:r>
          </w:p>
        </w:tc>
      </w:tr>
      <w:tr>
        <w:trPr>
          <w:trHeight w:val="276" w:hRule="exact"/>
        </w:trPr>
        <w:tc>
          <w:tcPr>
            <w:tcW w:w="6227" w:type="dxa"/>
            <w:tcBorders>
              <w:top w:val="nil"/>
              <w:left w:val="nil"/>
              <w:bottom w:val="nil"/>
              <w:right w:val="nil"/>
            </w:tcBorders>
          </w:tcPr>
          <w:p>
            <w:pPr>
              <w:pStyle w:val="TableParagraph"/>
              <w:spacing w:line="264" w:lineRule="exact" w:before="0"/>
              <w:ind w:left="110"/>
              <w:jc w:val="left"/>
              <w:rPr>
                <w:sz w:val="24"/>
              </w:rPr>
            </w:pPr>
            <w:r>
              <w:rPr>
                <w:sz w:val="24"/>
              </w:rPr>
              <w:t>Profundidad de enraizamiento máximo del suelo</w:t>
            </w:r>
          </w:p>
        </w:tc>
        <w:tc>
          <w:tcPr>
            <w:tcW w:w="2253" w:type="dxa"/>
            <w:tcBorders>
              <w:top w:val="nil"/>
              <w:left w:val="nil"/>
              <w:bottom w:val="nil"/>
              <w:right w:val="nil"/>
            </w:tcBorders>
          </w:tcPr>
          <w:p>
            <w:pPr>
              <w:pStyle w:val="TableParagraph"/>
              <w:spacing w:line="264" w:lineRule="exact" w:before="0"/>
              <w:ind w:left="111"/>
              <w:jc w:val="left"/>
              <w:rPr>
                <w:sz w:val="24"/>
              </w:rPr>
            </w:pPr>
            <w:r>
              <w:rPr>
                <w:sz w:val="24"/>
              </w:rPr>
              <w:t>SOL_ZMX</w:t>
            </w:r>
          </w:p>
        </w:tc>
      </w:tr>
      <w:tr>
        <w:trPr>
          <w:trHeight w:val="276" w:hRule="exact"/>
        </w:trPr>
        <w:tc>
          <w:tcPr>
            <w:tcW w:w="6227" w:type="dxa"/>
            <w:tcBorders>
              <w:top w:val="nil"/>
              <w:left w:val="nil"/>
              <w:bottom w:val="nil"/>
              <w:right w:val="nil"/>
            </w:tcBorders>
          </w:tcPr>
          <w:p>
            <w:pPr>
              <w:pStyle w:val="TableParagraph"/>
              <w:spacing w:line="262" w:lineRule="exact" w:before="0"/>
              <w:ind w:left="110"/>
              <w:jc w:val="left"/>
              <w:rPr>
                <w:sz w:val="24"/>
              </w:rPr>
            </w:pPr>
            <w:r>
              <w:rPr>
                <w:sz w:val="24"/>
              </w:rPr>
              <w:t>Textura de la capa del suelo</w:t>
            </w:r>
          </w:p>
        </w:tc>
        <w:tc>
          <w:tcPr>
            <w:tcW w:w="2253" w:type="dxa"/>
            <w:tcBorders>
              <w:top w:val="nil"/>
              <w:left w:val="nil"/>
              <w:bottom w:val="nil"/>
              <w:right w:val="nil"/>
            </w:tcBorders>
          </w:tcPr>
          <w:p>
            <w:pPr>
              <w:pStyle w:val="TableParagraph"/>
              <w:spacing w:line="262" w:lineRule="exact" w:before="0"/>
              <w:ind w:left="111"/>
              <w:jc w:val="left"/>
              <w:rPr>
                <w:sz w:val="24"/>
              </w:rPr>
            </w:pPr>
            <w:r>
              <w:rPr>
                <w:sz w:val="24"/>
              </w:rPr>
              <w:t>TEXTURE</w:t>
            </w:r>
          </w:p>
        </w:tc>
      </w:tr>
      <w:tr>
        <w:trPr>
          <w:trHeight w:val="552" w:hRule="exact"/>
        </w:trPr>
        <w:tc>
          <w:tcPr>
            <w:tcW w:w="6227" w:type="dxa"/>
            <w:tcBorders>
              <w:top w:val="nil"/>
              <w:left w:val="nil"/>
              <w:bottom w:val="nil"/>
              <w:right w:val="nil"/>
            </w:tcBorders>
          </w:tcPr>
          <w:p>
            <w:pPr>
              <w:pStyle w:val="TableParagraph"/>
              <w:spacing w:line="237" w:lineRule="auto" w:before="0"/>
              <w:ind w:left="110"/>
              <w:jc w:val="left"/>
              <w:rPr>
                <w:sz w:val="24"/>
              </w:rPr>
            </w:pPr>
            <w:r>
              <w:rPr>
                <w:sz w:val="24"/>
              </w:rPr>
              <w:t>Profundidad de la superficie del suelo a la parte inferior de la capa</w:t>
            </w:r>
          </w:p>
        </w:tc>
        <w:tc>
          <w:tcPr>
            <w:tcW w:w="2253" w:type="dxa"/>
            <w:tcBorders>
              <w:top w:val="nil"/>
              <w:left w:val="nil"/>
              <w:bottom w:val="nil"/>
              <w:right w:val="nil"/>
            </w:tcBorders>
          </w:tcPr>
          <w:p>
            <w:pPr>
              <w:pStyle w:val="TableParagraph"/>
              <w:spacing w:line="264" w:lineRule="exact" w:before="0"/>
              <w:ind w:left="111"/>
              <w:jc w:val="left"/>
              <w:rPr>
                <w:sz w:val="24"/>
              </w:rPr>
            </w:pPr>
            <w:r>
              <w:rPr>
                <w:sz w:val="24"/>
              </w:rPr>
              <w:t>SOL_Z1</w:t>
            </w:r>
          </w:p>
        </w:tc>
      </w:tr>
      <w:tr>
        <w:trPr>
          <w:trHeight w:val="276" w:hRule="exact"/>
        </w:trPr>
        <w:tc>
          <w:tcPr>
            <w:tcW w:w="6227" w:type="dxa"/>
            <w:tcBorders>
              <w:top w:val="nil"/>
              <w:left w:val="nil"/>
              <w:bottom w:val="nil"/>
              <w:right w:val="nil"/>
            </w:tcBorders>
          </w:tcPr>
          <w:p>
            <w:pPr>
              <w:pStyle w:val="TableParagraph"/>
              <w:spacing w:line="264" w:lineRule="exact" w:before="0"/>
              <w:ind w:left="110"/>
              <w:jc w:val="left"/>
              <w:rPr>
                <w:sz w:val="24"/>
              </w:rPr>
            </w:pPr>
            <w:r>
              <w:rPr>
                <w:sz w:val="24"/>
              </w:rPr>
              <w:t>Densidad húmeda aparente</w:t>
            </w:r>
          </w:p>
        </w:tc>
        <w:tc>
          <w:tcPr>
            <w:tcW w:w="2253" w:type="dxa"/>
            <w:tcBorders>
              <w:top w:val="nil"/>
              <w:left w:val="nil"/>
              <w:bottom w:val="nil"/>
              <w:right w:val="nil"/>
            </w:tcBorders>
          </w:tcPr>
          <w:p>
            <w:pPr>
              <w:pStyle w:val="TableParagraph"/>
              <w:spacing w:line="264" w:lineRule="exact" w:before="0"/>
              <w:ind w:left="111"/>
              <w:jc w:val="left"/>
              <w:rPr>
                <w:sz w:val="24"/>
              </w:rPr>
            </w:pPr>
            <w:r>
              <w:rPr>
                <w:sz w:val="24"/>
              </w:rPr>
              <w:t>SOL_BD1</w:t>
            </w:r>
          </w:p>
        </w:tc>
      </w:tr>
      <w:tr>
        <w:trPr>
          <w:trHeight w:val="276" w:hRule="exact"/>
        </w:trPr>
        <w:tc>
          <w:tcPr>
            <w:tcW w:w="6227" w:type="dxa"/>
            <w:tcBorders>
              <w:top w:val="nil"/>
              <w:left w:val="nil"/>
              <w:bottom w:val="nil"/>
              <w:right w:val="nil"/>
            </w:tcBorders>
          </w:tcPr>
          <w:p>
            <w:pPr>
              <w:pStyle w:val="TableParagraph"/>
              <w:spacing w:line="262" w:lineRule="exact" w:before="0"/>
              <w:ind w:left="110"/>
              <w:jc w:val="left"/>
              <w:rPr>
                <w:sz w:val="24"/>
              </w:rPr>
            </w:pPr>
            <w:r>
              <w:rPr>
                <w:sz w:val="24"/>
              </w:rPr>
              <w:t>Capacidad disponible de agua de la capa del suelo</w:t>
            </w:r>
          </w:p>
        </w:tc>
        <w:tc>
          <w:tcPr>
            <w:tcW w:w="2253" w:type="dxa"/>
            <w:tcBorders>
              <w:top w:val="nil"/>
              <w:left w:val="nil"/>
              <w:bottom w:val="nil"/>
              <w:right w:val="nil"/>
            </w:tcBorders>
          </w:tcPr>
          <w:p>
            <w:pPr>
              <w:pStyle w:val="TableParagraph"/>
              <w:spacing w:line="262" w:lineRule="exact" w:before="0"/>
              <w:ind w:left="111"/>
              <w:jc w:val="left"/>
              <w:rPr>
                <w:sz w:val="24"/>
              </w:rPr>
            </w:pPr>
            <w:r>
              <w:rPr>
                <w:sz w:val="24"/>
              </w:rPr>
              <w:t>SOL_AWC1</w:t>
            </w:r>
          </w:p>
        </w:tc>
      </w:tr>
      <w:tr>
        <w:trPr>
          <w:trHeight w:val="276" w:hRule="exact"/>
        </w:trPr>
        <w:tc>
          <w:tcPr>
            <w:tcW w:w="6227" w:type="dxa"/>
            <w:tcBorders>
              <w:top w:val="nil"/>
              <w:left w:val="nil"/>
              <w:bottom w:val="nil"/>
              <w:right w:val="nil"/>
            </w:tcBorders>
          </w:tcPr>
          <w:p>
            <w:pPr>
              <w:pStyle w:val="TableParagraph"/>
              <w:spacing w:line="264" w:lineRule="exact" w:before="0"/>
              <w:ind w:left="110"/>
              <w:jc w:val="left"/>
              <w:rPr>
                <w:sz w:val="24"/>
              </w:rPr>
            </w:pPr>
            <w:r>
              <w:rPr>
                <w:sz w:val="24"/>
              </w:rPr>
              <w:t>Conductividad hidráulica saturada</w:t>
            </w:r>
          </w:p>
        </w:tc>
        <w:tc>
          <w:tcPr>
            <w:tcW w:w="2253" w:type="dxa"/>
            <w:tcBorders>
              <w:top w:val="nil"/>
              <w:left w:val="nil"/>
              <w:bottom w:val="nil"/>
              <w:right w:val="nil"/>
            </w:tcBorders>
          </w:tcPr>
          <w:p>
            <w:pPr>
              <w:pStyle w:val="TableParagraph"/>
              <w:spacing w:line="264" w:lineRule="exact" w:before="0"/>
              <w:ind w:left="111"/>
              <w:jc w:val="left"/>
              <w:rPr>
                <w:sz w:val="24"/>
              </w:rPr>
            </w:pPr>
            <w:r>
              <w:rPr>
                <w:sz w:val="24"/>
              </w:rPr>
              <w:t>SOL_K1</w:t>
            </w:r>
          </w:p>
        </w:tc>
      </w:tr>
      <w:tr>
        <w:trPr>
          <w:trHeight w:val="276" w:hRule="exact"/>
        </w:trPr>
        <w:tc>
          <w:tcPr>
            <w:tcW w:w="6227" w:type="dxa"/>
            <w:tcBorders>
              <w:top w:val="nil"/>
              <w:left w:val="nil"/>
              <w:bottom w:val="nil"/>
              <w:right w:val="nil"/>
            </w:tcBorders>
          </w:tcPr>
          <w:p>
            <w:pPr>
              <w:pStyle w:val="TableParagraph"/>
              <w:spacing w:line="262" w:lineRule="exact" w:before="0"/>
              <w:ind w:left="110"/>
              <w:jc w:val="left"/>
              <w:rPr>
                <w:sz w:val="24"/>
              </w:rPr>
            </w:pPr>
            <w:r>
              <w:rPr>
                <w:sz w:val="24"/>
              </w:rPr>
              <w:t>Contenido organice de carbón</w:t>
            </w:r>
          </w:p>
        </w:tc>
        <w:tc>
          <w:tcPr>
            <w:tcW w:w="2253" w:type="dxa"/>
            <w:tcBorders>
              <w:top w:val="nil"/>
              <w:left w:val="nil"/>
              <w:bottom w:val="nil"/>
              <w:right w:val="nil"/>
            </w:tcBorders>
          </w:tcPr>
          <w:p>
            <w:pPr>
              <w:pStyle w:val="TableParagraph"/>
              <w:spacing w:line="262" w:lineRule="exact" w:before="0"/>
              <w:ind w:left="111"/>
              <w:jc w:val="left"/>
              <w:rPr>
                <w:sz w:val="24"/>
              </w:rPr>
            </w:pPr>
            <w:r>
              <w:rPr>
                <w:sz w:val="24"/>
              </w:rPr>
              <w:t>SOL_CBN1</w:t>
            </w:r>
          </w:p>
        </w:tc>
      </w:tr>
      <w:tr>
        <w:trPr>
          <w:trHeight w:val="276" w:hRule="exact"/>
        </w:trPr>
        <w:tc>
          <w:tcPr>
            <w:tcW w:w="6227" w:type="dxa"/>
            <w:tcBorders>
              <w:top w:val="nil"/>
              <w:left w:val="nil"/>
              <w:bottom w:val="nil"/>
              <w:right w:val="nil"/>
            </w:tcBorders>
          </w:tcPr>
          <w:p>
            <w:pPr>
              <w:pStyle w:val="TableParagraph"/>
              <w:spacing w:line="264" w:lineRule="exact" w:before="0"/>
              <w:ind w:left="110"/>
              <w:jc w:val="left"/>
              <w:rPr>
                <w:sz w:val="24"/>
              </w:rPr>
            </w:pPr>
            <w:r>
              <w:rPr>
                <w:sz w:val="24"/>
              </w:rPr>
              <w:t>Contenido de arcilla</w:t>
            </w:r>
          </w:p>
        </w:tc>
        <w:tc>
          <w:tcPr>
            <w:tcW w:w="2253" w:type="dxa"/>
            <w:tcBorders>
              <w:top w:val="nil"/>
              <w:left w:val="nil"/>
              <w:bottom w:val="nil"/>
              <w:right w:val="nil"/>
            </w:tcBorders>
          </w:tcPr>
          <w:p>
            <w:pPr>
              <w:pStyle w:val="TableParagraph"/>
              <w:spacing w:line="264" w:lineRule="exact" w:before="0"/>
              <w:ind w:left="111"/>
              <w:jc w:val="left"/>
              <w:rPr>
                <w:sz w:val="24"/>
              </w:rPr>
            </w:pPr>
            <w:r>
              <w:rPr>
                <w:sz w:val="24"/>
              </w:rPr>
              <w:t>CLAY1</w:t>
            </w:r>
          </w:p>
        </w:tc>
      </w:tr>
      <w:tr>
        <w:trPr>
          <w:trHeight w:val="276" w:hRule="exact"/>
        </w:trPr>
        <w:tc>
          <w:tcPr>
            <w:tcW w:w="6227" w:type="dxa"/>
            <w:tcBorders>
              <w:top w:val="nil"/>
              <w:left w:val="nil"/>
              <w:bottom w:val="nil"/>
              <w:right w:val="nil"/>
            </w:tcBorders>
          </w:tcPr>
          <w:p>
            <w:pPr>
              <w:pStyle w:val="TableParagraph"/>
              <w:spacing w:line="262" w:lineRule="exact" w:before="0"/>
              <w:ind w:left="110"/>
              <w:jc w:val="left"/>
              <w:rPr>
                <w:sz w:val="24"/>
              </w:rPr>
            </w:pPr>
            <w:r>
              <w:rPr>
                <w:sz w:val="24"/>
              </w:rPr>
              <w:t>Contenido de limo</w:t>
            </w:r>
          </w:p>
        </w:tc>
        <w:tc>
          <w:tcPr>
            <w:tcW w:w="2253" w:type="dxa"/>
            <w:tcBorders>
              <w:top w:val="nil"/>
              <w:left w:val="nil"/>
              <w:bottom w:val="nil"/>
              <w:right w:val="nil"/>
            </w:tcBorders>
          </w:tcPr>
          <w:p>
            <w:pPr>
              <w:pStyle w:val="TableParagraph"/>
              <w:spacing w:line="262" w:lineRule="exact" w:before="0"/>
              <w:ind w:left="111"/>
              <w:jc w:val="left"/>
              <w:rPr>
                <w:sz w:val="24"/>
              </w:rPr>
            </w:pPr>
            <w:r>
              <w:rPr>
                <w:sz w:val="24"/>
              </w:rPr>
              <w:t>SILT1</w:t>
            </w:r>
          </w:p>
        </w:tc>
      </w:tr>
      <w:tr>
        <w:trPr>
          <w:trHeight w:val="276" w:hRule="exact"/>
        </w:trPr>
        <w:tc>
          <w:tcPr>
            <w:tcW w:w="6227" w:type="dxa"/>
            <w:tcBorders>
              <w:top w:val="nil"/>
              <w:left w:val="nil"/>
              <w:bottom w:val="nil"/>
              <w:right w:val="nil"/>
            </w:tcBorders>
          </w:tcPr>
          <w:p>
            <w:pPr>
              <w:pStyle w:val="TableParagraph"/>
              <w:spacing w:line="264" w:lineRule="exact" w:before="0"/>
              <w:ind w:left="110"/>
              <w:jc w:val="left"/>
              <w:rPr>
                <w:sz w:val="24"/>
              </w:rPr>
            </w:pPr>
            <w:r>
              <w:rPr>
                <w:sz w:val="24"/>
              </w:rPr>
              <w:t>Contenido de arena</w:t>
            </w:r>
          </w:p>
        </w:tc>
        <w:tc>
          <w:tcPr>
            <w:tcW w:w="2253" w:type="dxa"/>
            <w:tcBorders>
              <w:top w:val="nil"/>
              <w:left w:val="nil"/>
              <w:bottom w:val="nil"/>
              <w:right w:val="nil"/>
            </w:tcBorders>
          </w:tcPr>
          <w:p>
            <w:pPr>
              <w:pStyle w:val="TableParagraph"/>
              <w:spacing w:line="264" w:lineRule="exact" w:before="0"/>
              <w:ind w:left="111"/>
              <w:jc w:val="left"/>
              <w:rPr>
                <w:sz w:val="24"/>
              </w:rPr>
            </w:pPr>
            <w:r>
              <w:rPr>
                <w:sz w:val="24"/>
              </w:rPr>
              <w:t>SAND1</w:t>
            </w:r>
          </w:p>
        </w:tc>
      </w:tr>
      <w:tr>
        <w:trPr>
          <w:trHeight w:val="276" w:hRule="exact"/>
        </w:trPr>
        <w:tc>
          <w:tcPr>
            <w:tcW w:w="6227" w:type="dxa"/>
            <w:tcBorders>
              <w:top w:val="nil"/>
              <w:left w:val="nil"/>
              <w:bottom w:val="nil"/>
              <w:right w:val="nil"/>
            </w:tcBorders>
          </w:tcPr>
          <w:p>
            <w:pPr>
              <w:pStyle w:val="TableParagraph"/>
              <w:spacing w:line="262" w:lineRule="exact" w:before="0"/>
              <w:ind w:left="110"/>
              <w:jc w:val="left"/>
              <w:rPr>
                <w:sz w:val="24"/>
              </w:rPr>
            </w:pPr>
            <w:r>
              <w:rPr>
                <w:sz w:val="24"/>
              </w:rPr>
              <w:t>Contenido de fragmentos de roca</w:t>
            </w:r>
          </w:p>
        </w:tc>
        <w:tc>
          <w:tcPr>
            <w:tcW w:w="2253" w:type="dxa"/>
            <w:tcBorders>
              <w:top w:val="nil"/>
              <w:left w:val="nil"/>
              <w:bottom w:val="nil"/>
              <w:right w:val="nil"/>
            </w:tcBorders>
          </w:tcPr>
          <w:p>
            <w:pPr>
              <w:pStyle w:val="TableParagraph"/>
              <w:spacing w:line="262" w:lineRule="exact" w:before="0"/>
              <w:ind w:left="111"/>
              <w:jc w:val="left"/>
              <w:rPr>
                <w:sz w:val="24"/>
              </w:rPr>
            </w:pPr>
            <w:r>
              <w:rPr>
                <w:sz w:val="24"/>
              </w:rPr>
              <w:t>ROCK1</w:t>
            </w:r>
          </w:p>
        </w:tc>
      </w:tr>
      <w:tr>
        <w:trPr>
          <w:trHeight w:val="276" w:hRule="exact"/>
        </w:trPr>
        <w:tc>
          <w:tcPr>
            <w:tcW w:w="6227" w:type="dxa"/>
            <w:tcBorders>
              <w:top w:val="nil"/>
              <w:left w:val="nil"/>
              <w:bottom w:val="nil"/>
              <w:right w:val="nil"/>
            </w:tcBorders>
          </w:tcPr>
          <w:p>
            <w:pPr>
              <w:pStyle w:val="TableParagraph"/>
              <w:spacing w:line="264" w:lineRule="exact" w:before="0"/>
              <w:ind w:left="110"/>
              <w:jc w:val="left"/>
              <w:rPr>
                <w:sz w:val="24"/>
              </w:rPr>
            </w:pPr>
            <w:r>
              <w:rPr>
                <w:sz w:val="24"/>
              </w:rPr>
              <w:t>Albedo húmedo del suelo</w:t>
            </w:r>
          </w:p>
        </w:tc>
        <w:tc>
          <w:tcPr>
            <w:tcW w:w="2253" w:type="dxa"/>
            <w:tcBorders>
              <w:top w:val="nil"/>
              <w:left w:val="nil"/>
              <w:bottom w:val="nil"/>
              <w:right w:val="nil"/>
            </w:tcBorders>
          </w:tcPr>
          <w:p>
            <w:pPr>
              <w:pStyle w:val="TableParagraph"/>
              <w:spacing w:line="264" w:lineRule="exact" w:before="0"/>
              <w:ind w:left="111"/>
              <w:jc w:val="left"/>
              <w:rPr>
                <w:sz w:val="24"/>
              </w:rPr>
            </w:pPr>
            <w:r>
              <w:rPr>
                <w:sz w:val="24"/>
              </w:rPr>
              <w:t>SOL_ALB1</w:t>
            </w:r>
          </w:p>
        </w:tc>
      </w:tr>
      <w:tr>
        <w:trPr>
          <w:trHeight w:val="276" w:hRule="exact"/>
        </w:trPr>
        <w:tc>
          <w:tcPr>
            <w:tcW w:w="6227" w:type="dxa"/>
            <w:tcBorders>
              <w:top w:val="nil"/>
              <w:left w:val="nil"/>
              <w:bottom w:val="nil"/>
              <w:right w:val="nil"/>
            </w:tcBorders>
          </w:tcPr>
          <w:p>
            <w:pPr>
              <w:pStyle w:val="TableParagraph"/>
              <w:spacing w:line="262" w:lineRule="exact" w:before="0"/>
              <w:ind w:left="110"/>
              <w:jc w:val="left"/>
              <w:rPr>
                <w:sz w:val="24"/>
              </w:rPr>
            </w:pPr>
            <w:r>
              <w:rPr>
                <w:sz w:val="24"/>
              </w:rPr>
              <w:t>Ecuación USLE Factor (K) de erosibidad del suelo</w:t>
            </w:r>
          </w:p>
        </w:tc>
        <w:tc>
          <w:tcPr>
            <w:tcW w:w="2253" w:type="dxa"/>
            <w:tcBorders>
              <w:top w:val="nil"/>
              <w:left w:val="nil"/>
              <w:bottom w:val="nil"/>
              <w:right w:val="nil"/>
            </w:tcBorders>
          </w:tcPr>
          <w:p>
            <w:pPr>
              <w:pStyle w:val="TableParagraph"/>
              <w:spacing w:line="262" w:lineRule="exact" w:before="0"/>
              <w:ind w:left="111"/>
              <w:jc w:val="left"/>
              <w:rPr>
                <w:sz w:val="24"/>
              </w:rPr>
            </w:pPr>
            <w:r>
              <w:rPr>
                <w:sz w:val="24"/>
              </w:rPr>
              <w:t>USLE_K1</w:t>
            </w:r>
          </w:p>
        </w:tc>
      </w:tr>
      <w:tr>
        <w:trPr>
          <w:trHeight w:val="275" w:hRule="exact"/>
        </w:trPr>
        <w:tc>
          <w:tcPr>
            <w:tcW w:w="6227" w:type="dxa"/>
            <w:tcBorders>
              <w:top w:val="nil"/>
              <w:left w:val="nil"/>
              <w:bottom w:val="single" w:sz="4" w:space="0" w:color="000000"/>
              <w:right w:val="nil"/>
            </w:tcBorders>
          </w:tcPr>
          <w:p>
            <w:pPr>
              <w:pStyle w:val="TableParagraph"/>
              <w:spacing w:line="264" w:lineRule="exact" w:before="0"/>
              <w:ind w:left="110"/>
              <w:jc w:val="left"/>
              <w:rPr>
                <w:sz w:val="24"/>
              </w:rPr>
            </w:pPr>
            <w:r>
              <w:rPr>
                <w:sz w:val="24"/>
              </w:rPr>
              <w:t>Conductividad eléctrica</w:t>
            </w:r>
          </w:p>
        </w:tc>
        <w:tc>
          <w:tcPr>
            <w:tcW w:w="2253" w:type="dxa"/>
            <w:tcBorders>
              <w:top w:val="nil"/>
              <w:left w:val="nil"/>
              <w:bottom w:val="single" w:sz="4" w:space="0" w:color="000000"/>
              <w:right w:val="nil"/>
            </w:tcBorders>
          </w:tcPr>
          <w:p>
            <w:pPr>
              <w:pStyle w:val="TableParagraph"/>
              <w:spacing w:line="264" w:lineRule="exact" w:before="0"/>
              <w:ind w:left="111"/>
              <w:jc w:val="left"/>
              <w:rPr>
                <w:sz w:val="24"/>
              </w:rPr>
            </w:pPr>
            <w:r>
              <w:rPr>
                <w:sz w:val="24"/>
              </w:rPr>
              <w:t>SOL_EC1</w:t>
            </w:r>
          </w:p>
        </w:tc>
      </w:tr>
    </w:tbl>
    <w:p>
      <w:pPr>
        <w:spacing w:line="244" w:lineRule="exact" w:before="0"/>
        <w:ind w:left="529" w:right="0" w:firstLine="0"/>
        <w:jc w:val="left"/>
        <w:rPr>
          <w:sz w:val="22"/>
        </w:rPr>
      </w:pPr>
      <w:r>
        <w:rPr>
          <w:sz w:val="22"/>
        </w:rPr>
        <w:t>Fuente: Fernández, 1996.</w:t>
      </w:r>
    </w:p>
    <w:p>
      <w:pPr>
        <w:pStyle w:val="BodyText"/>
        <w:rPr>
          <w:sz w:val="22"/>
        </w:rPr>
      </w:pPr>
    </w:p>
    <w:p>
      <w:pPr>
        <w:pStyle w:val="BodyText"/>
        <w:spacing w:before="5"/>
        <w:rPr>
          <w:sz w:val="30"/>
        </w:rPr>
      </w:pPr>
    </w:p>
    <w:p>
      <w:pPr>
        <w:pStyle w:val="ListParagraph"/>
        <w:numPr>
          <w:ilvl w:val="0"/>
          <w:numId w:val="32"/>
        </w:numPr>
        <w:tabs>
          <w:tab w:pos="597" w:val="left" w:leader="none"/>
        </w:tabs>
        <w:spacing w:line="360" w:lineRule="auto" w:before="0" w:after="0"/>
        <w:ind w:left="597" w:right="111" w:hanging="361"/>
        <w:jc w:val="both"/>
        <w:rPr>
          <w:sz w:val="26"/>
        </w:rPr>
      </w:pPr>
      <w:r>
        <w:rPr>
          <w:i/>
          <w:sz w:val="26"/>
        </w:rPr>
        <w:t>Nombre del suelo (SNAM). </w:t>
      </w:r>
      <w:r>
        <w:rPr>
          <w:sz w:val="26"/>
        </w:rPr>
        <w:t>Los datos pueden obtenerse automáticamente de la</w:t>
      </w:r>
      <w:r>
        <w:rPr>
          <w:spacing w:val="-16"/>
          <w:sz w:val="26"/>
        </w:rPr>
        <w:t> </w:t>
      </w:r>
      <w:r>
        <w:rPr>
          <w:sz w:val="26"/>
        </w:rPr>
        <w:t>base de datos del modelo para suelos de los Estados Unidos con solamente identificar el nombre del suelo. En caso contrario, los suelos son accesados a la base de datos del usuario mediante el editor de bases de datos de la interface SWAT-Arc Gis. Los suelos identificados en el área corresponden a los Andosoles Ócricos, Litosoles, Vertisoles, Feozem Háplico, Planosol Mólico y Luvisol Crómico para las fases dúrica, dúrica profunda, lítica, lítica profunda y pedregosa, según la carta edafológica escala 1:50,000 del Instituto Nacional de Estadística, Geografía e Informática (INEGI,</w:t>
      </w:r>
      <w:r>
        <w:rPr>
          <w:spacing w:val="-6"/>
          <w:sz w:val="26"/>
        </w:rPr>
        <w:t> </w:t>
      </w:r>
      <w:r>
        <w:rPr>
          <w:sz w:val="26"/>
        </w:rPr>
        <w:t>2010).</w:t>
      </w:r>
    </w:p>
    <w:p>
      <w:pPr>
        <w:pStyle w:val="BodyText"/>
      </w:pPr>
    </w:p>
    <w:p>
      <w:pPr>
        <w:pStyle w:val="ListParagraph"/>
        <w:numPr>
          <w:ilvl w:val="0"/>
          <w:numId w:val="32"/>
        </w:numPr>
        <w:tabs>
          <w:tab w:pos="597" w:val="left" w:leader="none"/>
        </w:tabs>
        <w:spacing w:line="350" w:lineRule="auto" w:before="156" w:after="0"/>
        <w:ind w:left="597" w:right="113" w:hanging="361"/>
        <w:jc w:val="both"/>
        <w:rPr>
          <w:sz w:val="26"/>
        </w:rPr>
      </w:pPr>
      <w:r>
        <w:rPr>
          <w:i/>
          <w:sz w:val="26"/>
        </w:rPr>
        <w:t>Grupo hidrológico de suelo (HYDGRO). </w:t>
      </w:r>
      <w:r>
        <w:rPr>
          <w:sz w:val="26"/>
        </w:rPr>
        <w:t>De acuerdo a los criterios tomados de la Tabla</w:t>
      </w:r>
      <w:r>
        <w:rPr>
          <w:spacing w:val="19"/>
          <w:sz w:val="26"/>
        </w:rPr>
        <w:t> </w:t>
      </w:r>
      <w:r>
        <w:rPr>
          <w:sz w:val="26"/>
        </w:rPr>
        <w:t>16</w:t>
      </w:r>
      <w:r>
        <w:rPr>
          <w:spacing w:val="19"/>
          <w:sz w:val="26"/>
        </w:rPr>
        <w:t> </w:t>
      </w:r>
      <w:r>
        <w:rPr>
          <w:sz w:val="26"/>
        </w:rPr>
        <w:t>del</w:t>
      </w:r>
      <w:r>
        <w:rPr>
          <w:spacing w:val="19"/>
          <w:sz w:val="26"/>
        </w:rPr>
        <w:t> </w:t>
      </w:r>
      <w:r>
        <w:rPr>
          <w:sz w:val="26"/>
        </w:rPr>
        <w:t>anexo</w:t>
      </w:r>
      <w:r>
        <w:rPr>
          <w:spacing w:val="19"/>
          <w:sz w:val="26"/>
        </w:rPr>
        <w:t> </w:t>
      </w:r>
      <w:r>
        <w:rPr>
          <w:sz w:val="26"/>
        </w:rPr>
        <w:t>B,</w:t>
      </w:r>
      <w:r>
        <w:rPr>
          <w:spacing w:val="21"/>
          <w:sz w:val="26"/>
        </w:rPr>
        <w:t> </w:t>
      </w:r>
      <w:r>
        <w:rPr>
          <w:sz w:val="26"/>
        </w:rPr>
        <w:t>los</w:t>
      </w:r>
      <w:r>
        <w:rPr>
          <w:spacing w:val="19"/>
          <w:sz w:val="26"/>
        </w:rPr>
        <w:t> </w:t>
      </w:r>
      <w:r>
        <w:rPr>
          <w:sz w:val="26"/>
        </w:rPr>
        <w:t>grupos</w:t>
      </w:r>
      <w:r>
        <w:rPr>
          <w:spacing w:val="19"/>
          <w:sz w:val="26"/>
        </w:rPr>
        <w:t> </w:t>
      </w:r>
      <w:r>
        <w:rPr>
          <w:sz w:val="26"/>
        </w:rPr>
        <w:t>hidrológicos</w:t>
      </w:r>
      <w:r>
        <w:rPr>
          <w:spacing w:val="22"/>
          <w:sz w:val="26"/>
        </w:rPr>
        <w:t> </w:t>
      </w:r>
      <w:r>
        <w:rPr>
          <w:sz w:val="26"/>
        </w:rPr>
        <w:t>se</w:t>
      </w:r>
      <w:r>
        <w:rPr>
          <w:spacing w:val="19"/>
          <w:sz w:val="26"/>
        </w:rPr>
        <w:t> </w:t>
      </w:r>
      <w:r>
        <w:rPr>
          <w:sz w:val="26"/>
        </w:rPr>
        <w:t>dividen</w:t>
      </w:r>
      <w:r>
        <w:rPr>
          <w:spacing w:val="19"/>
          <w:sz w:val="26"/>
        </w:rPr>
        <w:t> </w:t>
      </w:r>
      <w:r>
        <w:rPr>
          <w:sz w:val="26"/>
        </w:rPr>
        <w:t>en</w:t>
      </w:r>
      <w:r>
        <w:rPr>
          <w:spacing w:val="23"/>
          <w:sz w:val="26"/>
        </w:rPr>
        <w:t> </w:t>
      </w:r>
      <w:r>
        <w:rPr>
          <w:spacing w:val="-3"/>
          <w:sz w:val="26"/>
        </w:rPr>
        <w:t>A,</w:t>
      </w:r>
      <w:r>
        <w:rPr>
          <w:spacing w:val="21"/>
          <w:sz w:val="26"/>
        </w:rPr>
        <w:t> </w:t>
      </w:r>
      <w:r>
        <w:rPr>
          <w:sz w:val="26"/>
        </w:rPr>
        <w:t>B</w:t>
      </w:r>
      <w:r>
        <w:rPr>
          <w:spacing w:val="19"/>
          <w:sz w:val="26"/>
        </w:rPr>
        <w:t> </w:t>
      </w:r>
      <w:r>
        <w:rPr>
          <w:sz w:val="26"/>
        </w:rPr>
        <w:t>o</w:t>
      </w:r>
      <w:r>
        <w:rPr>
          <w:spacing w:val="19"/>
          <w:sz w:val="26"/>
        </w:rPr>
        <w:t> </w:t>
      </w:r>
      <w:r>
        <w:rPr>
          <w:sz w:val="26"/>
        </w:rPr>
        <w:t>C,</w:t>
      </w:r>
      <w:r>
        <w:rPr>
          <w:spacing w:val="21"/>
          <w:sz w:val="26"/>
        </w:rPr>
        <w:t> </w:t>
      </w:r>
      <w:r>
        <w:rPr>
          <w:sz w:val="26"/>
        </w:rPr>
        <w:t>según</w:t>
      </w:r>
      <w:r>
        <w:rPr>
          <w:spacing w:val="19"/>
          <w:sz w:val="26"/>
        </w:rPr>
        <w:t> </w:t>
      </w:r>
      <w:r>
        <w:rPr>
          <w:sz w:val="26"/>
        </w:rPr>
        <w:t>sus</w:t>
      </w:r>
    </w:p>
    <w:p>
      <w:pPr>
        <w:spacing w:after="0" w:line="350" w:lineRule="auto"/>
        <w:jc w:val="both"/>
        <w:rPr>
          <w:sz w:val="26"/>
        </w:rPr>
        <w:sectPr>
          <w:pgSz w:w="12240" w:h="15840"/>
          <w:pgMar w:header="0" w:footer="1473" w:top="1360" w:bottom="1660" w:left="1540" w:right="1300"/>
        </w:sectPr>
      </w:pPr>
    </w:p>
    <w:p>
      <w:pPr>
        <w:pStyle w:val="BodyText"/>
        <w:spacing w:line="362" w:lineRule="auto" w:before="49"/>
        <w:ind w:left="476" w:right="26"/>
      </w:pPr>
      <w:r>
        <w:rPr/>
        <w:t>características hidrológicas para producir escurrimiento. Estos valores se obtuvieron de la base de datos de suelos para el área de estudio realizada por Fernández (1996).</w:t>
      </w:r>
    </w:p>
    <w:p>
      <w:pPr>
        <w:pStyle w:val="BodyText"/>
      </w:pPr>
    </w:p>
    <w:p>
      <w:pPr>
        <w:pStyle w:val="ListParagraph"/>
        <w:numPr>
          <w:ilvl w:val="0"/>
          <w:numId w:val="16"/>
        </w:numPr>
        <w:tabs>
          <w:tab w:pos="477" w:val="left" w:leader="none"/>
        </w:tabs>
        <w:spacing w:line="357" w:lineRule="auto" w:before="154" w:after="0"/>
        <w:ind w:left="477" w:right="114" w:hanging="361"/>
        <w:jc w:val="both"/>
        <w:rPr>
          <w:sz w:val="26"/>
        </w:rPr>
      </w:pPr>
      <w:r>
        <w:rPr>
          <w:i/>
          <w:sz w:val="26"/>
        </w:rPr>
        <w:t>Profundidad máxima de enraizamiento (SOL_ZMX). </w:t>
      </w:r>
      <w:r>
        <w:rPr>
          <w:spacing w:val="-3"/>
          <w:sz w:val="26"/>
        </w:rPr>
        <w:t>La </w:t>
      </w:r>
      <w:r>
        <w:rPr>
          <w:sz w:val="26"/>
        </w:rPr>
        <w:t>profundidad máxima de enraizamiento se refiere a la profundidad de </w:t>
      </w:r>
      <w:r>
        <w:rPr>
          <w:spacing w:val="-3"/>
          <w:sz w:val="26"/>
        </w:rPr>
        <w:t>la </w:t>
      </w:r>
      <w:r>
        <w:rPr>
          <w:sz w:val="26"/>
        </w:rPr>
        <w:t>capa del fondo del perfil del suelo. Para</w:t>
      </w:r>
      <w:r>
        <w:rPr>
          <w:spacing w:val="-7"/>
          <w:sz w:val="26"/>
        </w:rPr>
        <w:t> </w:t>
      </w:r>
      <w:r>
        <w:rPr>
          <w:sz w:val="26"/>
        </w:rPr>
        <w:t>este</w:t>
      </w:r>
      <w:r>
        <w:rPr>
          <w:spacing w:val="-7"/>
          <w:sz w:val="26"/>
        </w:rPr>
        <w:t> </w:t>
      </w:r>
      <w:r>
        <w:rPr>
          <w:sz w:val="26"/>
        </w:rPr>
        <w:t>parámetro</w:t>
      </w:r>
      <w:r>
        <w:rPr>
          <w:spacing w:val="-7"/>
          <w:sz w:val="26"/>
        </w:rPr>
        <w:t> </w:t>
      </w:r>
      <w:r>
        <w:rPr>
          <w:sz w:val="26"/>
        </w:rPr>
        <w:t>se</w:t>
      </w:r>
      <w:r>
        <w:rPr>
          <w:spacing w:val="-7"/>
          <w:sz w:val="26"/>
        </w:rPr>
        <w:t> </w:t>
      </w:r>
      <w:r>
        <w:rPr>
          <w:sz w:val="26"/>
        </w:rPr>
        <w:t>asumió</w:t>
      </w:r>
      <w:r>
        <w:rPr>
          <w:spacing w:val="-7"/>
          <w:sz w:val="26"/>
        </w:rPr>
        <w:t> </w:t>
      </w:r>
      <w:r>
        <w:rPr>
          <w:sz w:val="26"/>
        </w:rPr>
        <w:t>a</w:t>
      </w:r>
      <w:r>
        <w:rPr>
          <w:spacing w:val="-11"/>
          <w:sz w:val="26"/>
        </w:rPr>
        <w:t> </w:t>
      </w:r>
      <w:r>
        <w:rPr>
          <w:sz w:val="26"/>
        </w:rPr>
        <w:t>SOL_ZMX</w:t>
      </w:r>
      <w:r>
        <w:rPr>
          <w:spacing w:val="-7"/>
          <w:sz w:val="26"/>
        </w:rPr>
        <w:t> </w:t>
      </w:r>
      <w:r>
        <w:rPr>
          <w:sz w:val="26"/>
        </w:rPr>
        <w:t>igual</w:t>
      </w:r>
      <w:r>
        <w:rPr>
          <w:spacing w:val="-7"/>
          <w:sz w:val="26"/>
        </w:rPr>
        <w:t> </w:t>
      </w:r>
      <w:r>
        <w:rPr>
          <w:sz w:val="26"/>
        </w:rPr>
        <w:t>a</w:t>
      </w:r>
      <w:r>
        <w:rPr>
          <w:spacing w:val="-7"/>
          <w:sz w:val="26"/>
        </w:rPr>
        <w:t> </w:t>
      </w:r>
      <w:r>
        <w:rPr>
          <w:sz w:val="26"/>
        </w:rPr>
        <w:t>la</w:t>
      </w:r>
      <w:r>
        <w:rPr>
          <w:spacing w:val="-11"/>
          <w:sz w:val="26"/>
        </w:rPr>
        <w:t> </w:t>
      </w:r>
      <w:r>
        <w:rPr>
          <w:sz w:val="26"/>
        </w:rPr>
        <w:t>profundidad</w:t>
      </w:r>
      <w:r>
        <w:rPr>
          <w:spacing w:val="-7"/>
          <w:sz w:val="26"/>
        </w:rPr>
        <w:t> </w:t>
      </w:r>
      <w:r>
        <w:rPr>
          <w:sz w:val="26"/>
        </w:rPr>
        <w:t>de</w:t>
      </w:r>
      <w:r>
        <w:rPr>
          <w:spacing w:val="-11"/>
          <w:sz w:val="26"/>
        </w:rPr>
        <w:t> </w:t>
      </w:r>
      <w:r>
        <w:rPr>
          <w:sz w:val="26"/>
        </w:rPr>
        <w:t>la</w:t>
      </w:r>
      <w:r>
        <w:rPr>
          <w:spacing w:val="-11"/>
          <w:sz w:val="26"/>
        </w:rPr>
        <w:t> </w:t>
      </w:r>
      <w:r>
        <w:rPr>
          <w:sz w:val="26"/>
        </w:rPr>
        <w:t>última</w:t>
      </w:r>
      <w:r>
        <w:rPr>
          <w:spacing w:val="-7"/>
          <w:sz w:val="26"/>
        </w:rPr>
        <w:t> </w:t>
      </w:r>
      <w:r>
        <w:rPr>
          <w:sz w:val="26"/>
        </w:rPr>
        <w:t>capa del perfil del</w:t>
      </w:r>
      <w:r>
        <w:rPr>
          <w:spacing w:val="-2"/>
          <w:sz w:val="26"/>
        </w:rPr>
        <w:t> </w:t>
      </w:r>
      <w:r>
        <w:rPr>
          <w:sz w:val="26"/>
        </w:rPr>
        <w:t>suelo.</w:t>
      </w:r>
    </w:p>
    <w:p>
      <w:pPr>
        <w:pStyle w:val="BodyText"/>
      </w:pPr>
    </w:p>
    <w:p>
      <w:pPr>
        <w:pStyle w:val="ListParagraph"/>
        <w:numPr>
          <w:ilvl w:val="0"/>
          <w:numId w:val="16"/>
        </w:numPr>
        <w:tabs>
          <w:tab w:pos="477" w:val="left" w:leader="none"/>
        </w:tabs>
        <w:spacing w:line="355" w:lineRule="auto" w:before="159" w:after="0"/>
        <w:ind w:left="477" w:right="113" w:hanging="361"/>
        <w:jc w:val="both"/>
        <w:rPr>
          <w:sz w:val="26"/>
        </w:rPr>
      </w:pPr>
      <w:r>
        <w:rPr>
          <w:i/>
          <w:sz w:val="26"/>
        </w:rPr>
        <w:t>Número</w:t>
      </w:r>
      <w:r>
        <w:rPr>
          <w:i/>
          <w:spacing w:val="-5"/>
          <w:sz w:val="26"/>
        </w:rPr>
        <w:t> </w:t>
      </w:r>
      <w:r>
        <w:rPr>
          <w:i/>
          <w:sz w:val="26"/>
        </w:rPr>
        <w:t>de</w:t>
      </w:r>
      <w:r>
        <w:rPr>
          <w:i/>
          <w:spacing w:val="-5"/>
          <w:sz w:val="26"/>
        </w:rPr>
        <w:t> </w:t>
      </w:r>
      <w:r>
        <w:rPr>
          <w:i/>
          <w:sz w:val="26"/>
        </w:rPr>
        <w:t>capas</w:t>
      </w:r>
      <w:r>
        <w:rPr>
          <w:i/>
          <w:spacing w:val="-5"/>
          <w:sz w:val="26"/>
        </w:rPr>
        <w:t> </w:t>
      </w:r>
      <w:r>
        <w:rPr>
          <w:i/>
          <w:sz w:val="26"/>
        </w:rPr>
        <w:t>en</w:t>
      </w:r>
      <w:r>
        <w:rPr>
          <w:i/>
          <w:spacing w:val="-5"/>
          <w:sz w:val="26"/>
        </w:rPr>
        <w:t> </w:t>
      </w:r>
      <w:r>
        <w:rPr>
          <w:i/>
          <w:sz w:val="26"/>
        </w:rPr>
        <w:t>el</w:t>
      </w:r>
      <w:r>
        <w:rPr>
          <w:i/>
          <w:spacing w:val="-10"/>
          <w:sz w:val="26"/>
        </w:rPr>
        <w:t> </w:t>
      </w:r>
      <w:r>
        <w:rPr>
          <w:i/>
          <w:sz w:val="26"/>
        </w:rPr>
        <w:t>perfil</w:t>
      </w:r>
      <w:r>
        <w:rPr>
          <w:i/>
          <w:spacing w:val="-5"/>
          <w:sz w:val="26"/>
        </w:rPr>
        <w:t> </w:t>
      </w:r>
      <w:r>
        <w:rPr>
          <w:i/>
          <w:sz w:val="26"/>
        </w:rPr>
        <w:t>del</w:t>
      </w:r>
      <w:r>
        <w:rPr>
          <w:i/>
          <w:spacing w:val="-5"/>
          <w:sz w:val="26"/>
        </w:rPr>
        <w:t> </w:t>
      </w:r>
      <w:r>
        <w:rPr>
          <w:i/>
          <w:sz w:val="26"/>
        </w:rPr>
        <w:t>suelo</w:t>
      </w:r>
      <w:r>
        <w:rPr>
          <w:i/>
          <w:spacing w:val="-10"/>
          <w:sz w:val="26"/>
        </w:rPr>
        <w:t> </w:t>
      </w:r>
      <w:r>
        <w:rPr>
          <w:i/>
          <w:sz w:val="26"/>
        </w:rPr>
        <w:t>y</w:t>
      </w:r>
      <w:r>
        <w:rPr>
          <w:i/>
          <w:spacing w:val="-4"/>
          <w:sz w:val="26"/>
        </w:rPr>
        <w:t> </w:t>
      </w:r>
      <w:r>
        <w:rPr>
          <w:i/>
          <w:sz w:val="26"/>
        </w:rPr>
        <w:t>profundidad</w:t>
      </w:r>
      <w:r>
        <w:rPr>
          <w:i/>
          <w:spacing w:val="-5"/>
          <w:sz w:val="26"/>
        </w:rPr>
        <w:t> </w:t>
      </w:r>
      <w:r>
        <w:rPr>
          <w:i/>
          <w:sz w:val="26"/>
        </w:rPr>
        <w:t>del</w:t>
      </w:r>
      <w:r>
        <w:rPr>
          <w:i/>
          <w:spacing w:val="-5"/>
          <w:sz w:val="26"/>
        </w:rPr>
        <w:t> </w:t>
      </w:r>
      <w:r>
        <w:rPr>
          <w:i/>
          <w:sz w:val="26"/>
        </w:rPr>
        <w:t>fondo</w:t>
      </w:r>
      <w:r>
        <w:rPr>
          <w:i/>
          <w:spacing w:val="-5"/>
          <w:sz w:val="26"/>
        </w:rPr>
        <w:t> </w:t>
      </w:r>
      <w:r>
        <w:rPr>
          <w:i/>
          <w:sz w:val="26"/>
        </w:rPr>
        <w:t>de</w:t>
      </w:r>
      <w:r>
        <w:rPr>
          <w:i/>
          <w:spacing w:val="-5"/>
          <w:sz w:val="26"/>
        </w:rPr>
        <w:t> </w:t>
      </w:r>
      <w:r>
        <w:rPr>
          <w:i/>
          <w:sz w:val="26"/>
        </w:rPr>
        <w:t>la</w:t>
      </w:r>
      <w:r>
        <w:rPr>
          <w:i/>
          <w:spacing w:val="-10"/>
          <w:sz w:val="26"/>
        </w:rPr>
        <w:t> </w:t>
      </w:r>
      <w:r>
        <w:rPr>
          <w:i/>
          <w:sz w:val="26"/>
        </w:rPr>
        <w:t>capa</w:t>
      </w:r>
      <w:r>
        <w:rPr>
          <w:i/>
          <w:spacing w:val="-5"/>
          <w:sz w:val="26"/>
        </w:rPr>
        <w:t> </w:t>
      </w:r>
      <w:r>
        <w:rPr>
          <w:i/>
          <w:sz w:val="26"/>
        </w:rPr>
        <w:t>(SOL_Z). </w:t>
      </w:r>
      <w:r>
        <w:rPr>
          <w:sz w:val="26"/>
        </w:rPr>
        <w:t>El</w:t>
      </w:r>
      <w:r>
        <w:rPr>
          <w:spacing w:val="-6"/>
          <w:sz w:val="26"/>
        </w:rPr>
        <w:t> </w:t>
      </w:r>
      <w:r>
        <w:rPr>
          <w:sz w:val="26"/>
        </w:rPr>
        <w:t>modelo</w:t>
      </w:r>
      <w:r>
        <w:rPr>
          <w:spacing w:val="-6"/>
          <w:sz w:val="26"/>
        </w:rPr>
        <w:t> </w:t>
      </w:r>
      <w:r>
        <w:rPr>
          <w:sz w:val="26"/>
        </w:rPr>
        <w:t>acepta</w:t>
      </w:r>
      <w:r>
        <w:rPr>
          <w:spacing w:val="-6"/>
          <w:sz w:val="26"/>
        </w:rPr>
        <w:t> </w:t>
      </w:r>
      <w:r>
        <w:rPr>
          <w:sz w:val="26"/>
        </w:rPr>
        <w:t>hasta</w:t>
      </w:r>
      <w:r>
        <w:rPr>
          <w:spacing w:val="-6"/>
          <w:sz w:val="26"/>
        </w:rPr>
        <w:t> </w:t>
      </w:r>
      <w:r>
        <w:rPr>
          <w:sz w:val="26"/>
        </w:rPr>
        <w:t>un</w:t>
      </w:r>
      <w:r>
        <w:rPr>
          <w:spacing w:val="-6"/>
          <w:sz w:val="26"/>
        </w:rPr>
        <w:t> </w:t>
      </w:r>
      <w:r>
        <w:rPr>
          <w:sz w:val="26"/>
        </w:rPr>
        <w:t>máximo</w:t>
      </w:r>
      <w:r>
        <w:rPr>
          <w:spacing w:val="-6"/>
          <w:sz w:val="26"/>
        </w:rPr>
        <w:t> </w:t>
      </w:r>
      <w:r>
        <w:rPr>
          <w:sz w:val="26"/>
        </w:rPr>
        <w:t>de</w:t>
      </w:r>
      <w:r>
        <w:rPr>
          <w:spacing w:val="-6"/>
          <w:sz w:val="26"/>
        </w:rPr>
        <w:t> </w:t>
      </w:r>
      <w:r>
        <w:rPr>
          <w:sz w:val="26"/>
        </w:rPr>
        <w:t>10</w:t>
      </w:r>
      <w:r>
        <w:rPr>
          <w:spacing w:val="-6"/>
          <w:sz w:val="26"/>
        </w:rPr>
        <w:t> </w:t>
      </w:r>
      <w:r>
        <w:rPr>
          <w:sz w:val="26"/>
        </w:rPr>
        <w:t>capas</w:t>
      </w:r>
      <w:r>
        <w:rPr>
          <w:spacing w:val="-6"/>
          <w:sz w:val="26"/>
        </w:rPr>
        <w:t> </w:t>
      </w:r>
      <w:r>
        <w:rPr>
          <w:sz w:val="26"/>
        </w:rPr>
        <w:t>y</w:t>
      </w:r>
      <w:r>
        <w:rPr>
          <w:spacing w:val="-6"/>
          <w:sz w:val="26"/>
        </w:rPr>
        <w:t> </w:t>
      </w:r>
      <w:r>
        <w:rPr>
          <w:sz w:val="26"/>
        </w:rPr>
        <w:t>una</w:t>
      </w:r>
      <w:r>
        <w:rPr>
          <w:spacing w:val="-6"/>
          <w:sz w:val="26"/>
        </w:rPr>
        <w:t> </w:t>
      </w:r>
      <w:r>
        <w:rPr>
          <w:sz w:val="26"/>
        </w:rPr>
        <w:t>profundidad</w:t>
      </w:r>
      <w:r>
        <w:rPr>
          <w:spacing w:val="-6"/>
          <w:sz w:val="26"/>
        </w:rPr>
        <w:t> </w:t>
      </w:r>
      <w:r>
        <w:rPr>
          <w:sz w:val="26"/>
        </w:rPr>
        <w:t>máxima</w:t>
      </w:r>
      <w:r>
        <w:rPr>
          <w:spacing w:val="-6"/>
          <w:sz w:val="26"/>
        </w:rPr>
        <w:t> </w:t>
      </w:r>
      <w:r>
        <w:rPr>
          <w:sz w:val="26"/>
        </w:rPr>
        <w:t>de</w:t>
      </w:r>
      <w:r>
        <w:rPr>
          <w:spacing w:val="-6"/>
          <w:sz w:val="26"/>
        </w:rPr>
        <w:t> </w:t>
      </w:r>
      <w:r>
        <w:rPr>
          <w:sz w:val="26"/>
        </w:rPr>
        <w:t>capas hasta de 3500 mm, la cual es</w:t>
      </w:r>
      <w:r>
        <w:rPr>
          <w:spacing w:val="-13"/>
          <w:sz w:val="26"/>
        </w:rPr>
        <w:t> </w:t>
      </w:r>
      <w:r>
        <w:rPr>
          <w:sz w:val="26"/>
        </w:rPr>
        <w:t>acumulativa.</w:t>
      </w:r>
    </w:p>
    <w:p>
      <w:pPr>
        <w:pStyle w:val="BodyText"/>
      </w:pPr>
    </w:p>
    <w:p>
      <w:pPr>
        <w:pStyle w:val="ListParagraph"/>
        <w:numPr>
          <w:ilvl w:val="0"/>
          <w:numId w:val="16"/>
        </w:numPr>
        <w:tabs>
          <w:tab w:pos="477" w:val="left" w:leader="none"/>
        </w:tabs>
        <w:spacing w:line="357" w:lineRule="auto" w:before="162" w:after="0"/>
        <w:ind w:left="477" w:right="110" w:hanging="361"/>
        <w:jc w:val="both"/>
        <w:rPr>
          <w:sz w:val="26"/>
        </w:rPr>
      </w:pPr>
      <w:r>
        <w:rPr>
          <w:i/>
          <w:sz w:val="26"/>
        </w:rPr>
        <w:t>Densidad aparente del suelo (SOL_BD) y capacidad de agua disponible </w:t>
      </w:r>
      <w:r>
        <w:rPr>
          <w:i/>
          <w:sz w:val="26"/>
        </w:rPr>
        <w:t>(SOL_AWC).</w:t>
      </w:r>
      <w:r>
        <w:rPr>
          <w:i/>
          <w:spacing w:val="-2"/>
          <w:sz w:val="26"/>
        </w:rPr>
        <w:t> </w:t>
      </w:r>
      <w:r>
        <w:rPr>
          <w:sz w:val="26"/>
        </w:rPr>
        <w:t>Estos</w:t>
      </w:r>
      <w:r>
        <w:rPr>
          <w:spacing w:val="-5"/>
          <w:sz w:val="26"/>
        </w:rPr>
        <w:t> </w:t>
      </w:r>
      <w:r>
        <w:rPr>
          <w:sz w:val="26"/>
        </w:rPr>
        <w:t>valores</w:t>
      </w:r>
      <w:r>
        <w:rPr>
          <w:spacing w:val="-4"/>
          <w:sz w:val="26"/>
        </w:rPr>
        <w:t> </w:t>
      </w:r>
      <w:r>
        <w:rPr>
          <w:sz w:val="26"/>
        </w:rPr>
        <w:t>fueron</w:t>
      </w:r>
      <w:r>
        <w:rPr>
          <w:spacing w:val="-5"/>
          <w:sz w:val="26"/>
        </w:rPr>
        <w:t> </w:t>
      </w:r>
      <w:r>
        <w:rPr>
          <w:sz w:val="26"/>
        </w:rPr>
        <w:t>determinados</w:t>
      </w:r>
      <w:r>
        <w:rPr>
          <w:spacing w:val="-5"/>
          <w:sz w:val="26"/>
        </w:rPr>
        <w:t> </w:t>
      </w:r>
      <w:r>
        <w:rPr>
          <w:sz w:val="26"/>
        </w:rPr>
        <w:t>por</w:t>
      </w:r>
      <w:r>
        <w:rPr>
          <w:spacing w:val="-5"/>
          <w:sz w:val="26"/>
        </w:rPr>
        <w:t> </w:t>
      </w:r>
      <w:r>
        <w:rPr>
          <w:sz w:val="26"/>
        </w:rPr>
        <w:t>Fernández</w:t>
      </w:r>
      <w:r>
        <w:rPr>
          <w:spacing w:val="-5"/>
          <w:sz w:val="26"/>
        </w:rPr>
        <w:t> </w:t>
      </w:r>
      <w:r>
        <w:rPr>
          <w:sz w:val="26"/>
        </w:rPr>
        <w:t>(1996)</w:t>
      </w:r>
      <w:r>
        <w:rPr>
          <w:spacing w:val="-5"/>
          <w:sz w:val="26"/>
        </w:rPr>
        <w:t> </w:t>
      </w:r>
      <w:r>
        <w:rPr>
          <w:sz w:val="26"/>
        </w:rPr>
        <w:t>a</w:t>
      </w:r>
      <w:r>
        <w:rPr>
          <w:spacing w:val="-5"/>
          <w:sz w:val="26"/>
        </w:rPr>
        <w:t> </w:t>
      </w:r>
      <w:r>
        <w:rPr>
          <w:sz w:val="26"/>
        </w:rPr>
        <w:t>partir</w:t>
      </w:r>
      <w:r>
        <w:rPr>
          <w:spacing w:val="-5"/>
          <w:sz w:val="26"/>
        </w:rPr>
        <w:t> </w:t>
      </w:r>
      <w:r>
        <w:rPr>
          <w:sz w:val="26"/>
        </w:rPr>
        <w:t>de</w:t>
      </w:r>
      <w:r>
        <w:rPr>
          <w:spacing w:val="-5"/>
          <w:sz w:val="26"/>
        </w:rPr>
        <w:t> </w:t>
      </w:r>
      <w:r>
        <w:rPr>
          <w:sz w:val="26"/>
        </w:rPr>
        <w:t>la textura del suelo, según los valores medios que reporta el Anexo D en las Tablas</w:t>
      </w:r>
      <w:r>
        <w:rPr>
          <w:spacing w:val="-42"/>
          <w:sz w:val="26"/>
        </w:rPr>
        <w:t> </w:t>
      </w:r>
      <w:r>
        <w:rPr>
          <w:sz w:val="26"/>
        </w:rPr>
        <w:t>22 y</w:t>
      </w:r>
      <w:r>
        <w:rPr>
          <w:spacing w:val="13"/>
          <w:sz w:val="26"/>
        </w:rPr>
        <w:t> </w:t>
      </w:r>
      <w:r>
        <w:rPr>
          <w:sz w:val="26"/>
        </w:rPr>
        <w:t>23.</w:t>
      </w:r>
      <w:r>
        <w:rPr>
          <w:spacing w:val="11"/>
          <w:sz w:val="26"/>
        </w:rPr>
        <w:t> </w:t>
      </w:r>
      <w:r>
        <w:rPr>
          <w:sz w:val="26"/>
        </w:rPr>
        <w:t>Estos</w:t>
      </w:r>
      <w:r>
        <w:rPr>
          <w:spacing w:val="13"/>
          <w:sz w:val="26"/>
        </w:rPr>
        <w:t> </w:t>
      </w:r>
      <w:r>
        <w:rPr>
          <w:sz w:val="26"/>
        </w:rPr>
        <w:t>valores</w:t>
      </w:r>
      <w:r>
        <w:rPr>
          <w:spacing w:val="13"/>
          <w:sz w:val="26"/>
        </w:rPr>
        <w:t> </w:t>
      </w:r>
      <w:r>
        <w:rPr>
          <w:sz w:val="26"/>
        </w:rPr>
        <w:t>se</w:t>
      </w:r>
      <w:r>
        <w:rPr>
          <w:spacing w:val="13"/>
          <w:sz w:val="26"/>
        </w:rPr>
        <w:t> </w:t>
      </w:r>
      <w:r>
        <w:rPr>
          <w:sz w:val="26"/>
        </w:rPr>
        <w:t>encuentran</w:t>
      </w:r>
      <w:r>
        <w:rPr>
          <w:spacing w:val="9"/>
          <w:sz w:val="26"/>
        </w:rPr>
        <w:t> </w:t>
      </w:r>
      <w:r>
        <w:rPr>
          <w:sz w:val="26"/>
        </w:rPr>
        <w:t>en</w:t>
      </w:r>
      <w:r>
        <w:rPr>
          <w:spacing w:val="13"/>
          <w:sz w:val="26"/>
        </w:rPr>
        <w:t> </w:t>
      </w:r>
      <w:r>
        <w:rPr>
          <w:sz w:val="26"/>
        </w:rPr>
        <w:t>un</w:t>
      </w:r>
      <w:r>
        <w:rPr>
          <w:spacing w:val="8"/>
          <w:sz w:val="26"/>
        </w:rPr>
        <w:t> </w:t>
      </w:r>
      <w:r>
        <w:rPr>
          <w:sz w:val="26"/>
        </w:rPr>
        <w:t>rango</w:t>
      </w:r>
      <w:r>
        <w:rPr>
          <w:spacing w:val="13"/>
          <w:sz w:val="26"/>
        </w:rPr>
        <w:t> </w:t>
      </w:r>
      <w:r>
        <w:rPr>
          <w:sz w:val="26"/>
        </w:rPr>
        <w:t>de</w:t>
      </w:r>
      <w:r>
        <w:rPr>
          <w:spacing w:val="13"/>
          <w:sz w:val="26"/>
        </w:rPr>
        <w:t> </w:t>
      </w:r>
      <w:r>
        <w:rPr>
          <w:sz w:val="26"/>
        </w:rPr>
        <w:t>1.5</w:t>
      </w:r>
      <w:r>
        <w:rPr>
          <w:spacing w:val="8"/>
          <w:sz w:val="26"/>
        </w:rPr>
        <w:t> </w:t>
      </w:r>
      <w:r>
        <w:rPr>
          <w:sz w:val="26"/>
        </w:rPr>
        <w:t>a</w:t>
      </w:r>
      <w:r>
        <w:rPr>
          <w:spacing w:val="13"/>
          <w:sz w:val="26"/>
        </w:rPr>
        <w:t> </w:t>
      </w:r>
      <w:r>
        <w:rPr>
          <w:sz w:val="26"/>
        </w:rPr>
        <w:t>1.6</w:t>
      </w:r>
      <w:r>
        <w:rPr>
          <w:spacing w:val="13"/>
          <w:sz w:val="26"/>
        </w:rPr>
        <w:t> </w:t>
      </w:r>
      <w:r>
        <w:rPr>
          <w:sz w:val="26"/>
        </w:rPr>
        <w:t>para</w:t>
      </w:r>
      <w:r>
        <w:rPr>
          <w:spacing w:val="9"/>
          <w:sz w:val="26"/>
        </w:rPr>
        <w:t> </w:t>
      </w:r>
      <w:r>
        <w:rPr>
          <w:sz w:val="26"/>
        </w:rPr>
        <w:t>SOL_BD</w:t>
      </w:r>
      <w:r>
        <w:rPr>
          <w:spacing w:val="13"/>
          <w:sz w:val="26"/>
        </w:rPr>
        <w:t> </w:t>
      </w:r>
      <w:r>
        <w:rPr>
          <w:sz w:val="26"/>
        </w:rPr>
        <w:t>y</w:t>
      </w:r>
      <w:r>
        <w:rPr>
          <w:spacing w:val="13"/>
          <w:sz w:val="26"/>
        </w:rPr>
        <w:t> </w:t>
      </w:r>
      <w:r>
        <w:rPr>
          <w:sz w:val="26"/>
        </w:rPr>
        <w:t>0.10</w:t>
      </w:r>
      <w:r>
        <w:rPr>
          <w:spacing w:val="8"/>
          <w:sz w:val="26"/>
        </w:rPr>
        <w:t> </w:t>
      </w:r>
      <w:r>
        <w:rPr>
          <w:sz w:val="26"/>
        </w:rPr>
        <w:t>a</w:t>
      </w:r>
    </w:p>
    <w:p>
      <w:pPr>
        <w:pStyle w:val="BodyText"/>
        <w:spacing w:before="6"/>
        <w:ind w:left="476" w:right="26"/>
      </w:pPr>
      <w:r>
        <w:rPr/>
        <w:t>0.20 para SOL_AWC.</w:t>
      </w:r>
    </w:p>
    <w:p>
      <w:pPr>
        <w:pStyle w:val="BodyText"/>
      </w:pPr>
    </w:p>
    <w:p>
      <w:pPr>
        <w:pStyle w:val="BodyText"/>
        <w:spacing w:before="1"/>
      </w:pPr>
    </w:p>
    <w:p>
      <w:pPr>
        <w:pStyle w:val="ListParagraph"/>
        <w:numPr>
          <w:ilvl w:val="0"/>
          <w:numId w:val="16"/>
        </w:numPr>
        <w:tabs>
          <w:tab w:pos="477" w:val="left" w:leader="none"/>
        </w:tabs>
        <w:spacing w:line="355" w:lineRule="auto" w:before="0" w:after="0"/>
        <w:ind w:left="477" w:right="111" w:hanging="361"/>
        <w:jc w:val="both"/>
        <w:rPr>
          <w:sz w:val="26"/>
        </w:rPr>
      </w:pPr>
      <w:r>
        <w:rPr>
          <w:i/>
          <w:sz w:val="26"/>
        </w:rPr>
        <w:t>Conductividad saturada (SOL_K). </w:t>
      </w:r>
      <w:r>
        <w:rPr>
          <w:sz w:val="26"/>
        </w:rPr>
        <w:t>Los valores fueron generados por medio de la textura</w:t>
      </w:r>
      <w:r>
        <w:rPr>
          <w:spacing w:val="-10"/>
          <w:sz w:val="26"/>
        </w:rPr>
        <w:t> </w:t>
      </w:r>
      <w:r>
        <w:rPr>
          <w:sz w:val="26"/>
        </w:rPr>
        <w:t>de</w:t>
      </w:r>
      <w:r>
        <w:rPr>
          <w:spacing w:val="-11"/>
          <w:sz w:val="26"/>
        </w:rPr>
        <w:t> </w:t>
      </w:r>
      <w:r>
        <w:rPr>
          <w:sz w:val="26"/>
        </w:rPr>
        <w:t>cada</w:t>
      </w:r>
      <w:r>
        <w:rPr>
          <w:spacing w:val="-10"/>
          <w:sz w:val="26"/>
        </w:rPr>
        <w:t> </w:t>
      </w:r>
      <w:r>
        <w:rPr>
          <w:sz w:val="26"/>
        </w:rPr>
        <w:t>una</w:t>
      </w:r>
      <w:r>
        <w:rPr>
          <w:spacing w:val="-10"/>
          <w:sz w:val="26"/>
        </w:rPr>
        <w:t> </w:t>
      </w:r>
      <w:r>
        <w:rPr>
          <w:sz w:val="26"/>
        </w:rPr>
        <w:t>de</w:t>
      </w:r>
      <w:r>
        <w:rPr>
          <w:spacing w:val="-11"/>
          <w:sz w:val="26"/>
        </w:rPr>
        <w:t> </w:t>
      </w:r>
      <w:r>
        <w:rPr>
          <w:sz w:val="26"/>
        </w:rPr>
        <w:t>las</w:t>
      </w:r>
      <w:r>
        <w:rPr>
          <w:spacing w:val="-11"/>
          <w:sz w:val="26"/>
        </w:rPr>
        <w:t> </w:t>
      </w:r>
      <w:r>
        <w:rPr>
          <w:sz w:val="26"/>
        </w:rPr>
        <w:t>capas</w:t>
      </w:r>
      <w:r>
        <w:rPr>
          <w:spacing w:val="-10"/>
          <w:sz w:val="26"/>
        </w:rPr>
        <w:t> </w:t>
      </w:r>
      <w:r>
        <w:rPr>
          <w:sz w:val="26"/>
        </w:rPr>
        <w:t>de</w:t>
      </w:r>
      <w:r>
        <w:rPr>
          <w:spacing w:val="-11"/>
          <w:sz w:val="26"/>
        </w:rPr>
        <w:t> </w:t>
      </w:r>
      <w:r>
        <w:rPr>
          <w:sz w:val="26"/>
        </w:rPr>
        <w:t>los</w:t>
      </w:r>
      <w:r>
        <w:rPr>
          <w:spacing w:val="-11"/>
          <w:sz w:val="26"/>
        </w:rPr>
        <w:t> </w:t>
      </w:r>
      <w:r>
        <w:rPr>
          <w:sz w:val="26"/>
        </w:rPr>
        <w:t>suelos</w:t>
      </w:r>
      <w:r>
        <w:rPr>
          <w:spacing w:val="-10"/>
          <w:sz w:val="26"/>
        </w:rPr>
        <w:t> </w:t>
      </w:r>
      <w:r>
        <w:rPr>
          <w:sz w:val="26"/>
        </w:rPr>
        <w:t>y</w:t>
      </w:r>
      <w:r>
        <w:rPr>
          <w:spacing w:val="-11"/>
          <w:sz w:val="26"/>
        </w:rPr>
        <w:t> </w:t>
      </w:r>
      <w:r>
        <w:rPr>
          <w:sz w:val="26"/>
        </w:rPr>
        <w:t>basándose</w:t>
      </w:r>
      <w:r>
        <w:rPr>
          <w:spacing w:val="-10"/>
          <w:sz w:val="26"/>
        </w:rPr>
        <w:t> </w:t>
      </w:r>
      <w:r>
        <w:rPr>
          <w:sz w:val="26"/>
        </w:rPr>
        <w:t>en</w:t>
      </w:r>
      <w:r>
        <w:rPr>
          <w:spacing w:val="-8"/>
          <w:sz w:val="26"/>
        </w:rPr>
        <w:t> </w:t>
      </w:r>
      <w:r>
        <w:rPr>
          <w:sz w:val="26"/>
        </w:rPr>
        <w:t>el</w:t>
      </w:r>
      <w:r>
        <w:rPr>
          <w:spacing w:val="-11"/>
          <w:sz w:val="26"/>
        </w:rPr>
        <w:t> </w:t>
      </w:r>
      <w:r>
        <w:rPr>
          <w:sz w:val="26"/>
        </w:rPr>
        <w:t>Anexo</w:t>
      </w:r>
      <w:r>
        <w:rPr>
          <w:spacing w:val="-11"/>
          <w:sz w:val="26"/>
        </w:rPr>
        <w:t> </w:t>
      </w:r>
      <w:r>
        <w:rPr>
          <w:sz w:val="26"/>
        </w:rPr>
        <w:t>D</w:t>
      </w:r>
      <w:r>
        <w:rPr>
          <w:spacing w:val="-11"/>
          <w:sz w:val="26"/>
        </w:rPr>
        <w:t> </w:t>
      </w:r>
      <w:r>
        <w:rPr>
          <w:sz w:val="26"/>
        </w:rPr>
        <w:t>en</w:t>
      </w:r>
      <w:r>
        <w:rPr>
          <w:spacing w:val="-10"/>
          <w:sz w:val="26"/>
        </w:rPr>
        <w:t> </w:t>
      </w:r>
      <w:r>
        <w:rPr>
          <w:sz w:val="26"/>
        </w:rPr>
        <w:t>la</w:t>
      </w:r>
      <w:r>
        <w:rPr>
          <w:spacing w:val="-11"/>
          <w:sz w:val="26"/>
        </w:rPr>
        <w:t> </w:t>
      </w:r>
      <w:r>
        <w:rPr>
          <w:sz w:val="26"/>
        </w:rPr>
        <w:t>Tabla 27 del.</w:t>
      </w:r>
    </w:p>
    <w:p>
      <w:pPr>
        <w:pStyle w:val="BodyText"/>
      </w:pPr>
    </w:p>
    <w:p>
      <w:pPr>
        <w:pStyle w:val="ListParagraph"/>
        <w:numPr>
          <w:ilvl w:val="0"/>
          <w:numId w:val="16"/>
        </w:numPr>
        <w:tabs>
          <w:tab w:pos="477" w:val="left" w:leader="none"/>
        </w:tabs>
        <w:spacing w:line="355" w:lineRule="auto" w:before="157" w:after="0"/>
        <w:ind w:left="477" w:right="112" w:hanging="361"/>
        <w:jc w:val="both"/>
        <w:rPr>
          <w:sz w:val="26"/>
        </w:rPr>
      </w:pPr>
      <w:r>
        <w:rPr>
          <w:i/>
          <w:sz w:val="26"/>
        </w:rPr>
        <w:t>Porcentaje de carbono orgánico (SOL_CBN). </w:t>
      </w:r>
      <w:r>
        <w:rPr>
          <w:sz w:val="26"/>
        </w:rPr>
        <w:t>El valor se obtuvo a partir de la materia orgánica (MO), mediante la relación CBN = %MO1.724</w:t>
      </w:r>
      <w:r>
        <w:rPr>
          <w:position w:val="9"/>
          <w:sz w:val="16"/>
        </w:rPr>
        <w:t>-1</w:t>
      </w:r>
      <w:r>
        <w:rPr>
          <w:sz w:val="26"/>
        </w:rPr>
        <w:t>, de los perfiles del suelo. Estos valores se reportan en el Anexo D en la Tabla</w:t>
      </w:r>
      <w:r>
        <w:rPr>
          <w:spacing w:val="-6"/>
          <w:sz w:val="26"/>
        </w:rPr>
        <w:t> </w:t>
      </w:r>
      <w:r>
        <w:rPr>
          <w:sz w:val="26"/>
        </w:rPr>
        <w:t>25.</w:t>
      </w:r>
    </w:p>
    <w:p>
      <w:pPr>
        <w:pStyle w:val="BodyText"/>
      </w:pPr>
    </w:p>
    <w:p>
      <w:pPr>
        <w:pStyle w:val="ListParagraph"/>
        <w:numPr>
          <w:ilvl w:val="0"/>
          <w:numId w:val="16"/>
        </w:numPr>
        <w:tabs>
          <w:tab w:pos="477" w:val="left" w:leader="none"/>
        </w:tabs>
        <w:spacing w:line="350" w:lineRule="auto" w:before="162" w:after="0"/>
        <w:ind w:left="477" w:right="111" w:hanging="361"/>
        <w:jc w:val="both"/>
        <w:rPr>
          <w:sz w:val="26"/>
        </w:rPr>
      </w:pPr>
      <w:r>
        <w:rPr>
          <w:i/>
          <w:sz w:val="26"/>
        </w:rPr>
        <w:t>Contenido de arcilla </w:t>
      </w:r>
      <w:r>
        <w:rPr>
          <w:sz w:val="26"/>
        </w:rPr>
        <w:t>(CLAY), contenido de limo (SIL T) y contenido de arena (SAND). Los datos para estos tres parámetros fueron retomados de los estudios </w:t>
      </w:r>
      <w:r>
        <w:rPr>
          <w:spacing w:val="39"/>
          <w:sz w:val="26"/>
        </w:rPr>
        <w:t> </w:t>
      </w:r>
      <w:r>
        <w:rPr>
          <w:sz w:val="26"/>
        </w:rPr>
        <w:t>de</w:t>
      </w:r>
    </w:p>
    <w:p>
      <w:pPr>
        <w:spacing w:after="0" w:line="350" w:lineRule="auto"/>
        <w:jc w:val="both"/>
        <w:rPr>
          <w:sz w:val="26"/>
        </w:rPr>
        <w:sectPr>
          <w:pgSz w:w="12240" w:h="15840"/>
          <w:pgMar w:header="0" w:footer="1473" w:top="1360" w:bottom="1660" w:left="1660" w:right="1300"/>
        </w:sectPr>
      </w:pPr>
    </w:p>
    <w:p>
      <w:pPr>
        <w:pStyle w:val="BodyText"/>
        <w:spacing w:line="362" w:lineRule="auto" w:before="49"/>
        <w:ind w:left="836" w:right="118"/>
      </w:pPr>
      <w:r>
        <w:rPr/>
        <w:t>Fernández (1996), de los perfiles de suelos y de los muestreos realizados en el área de estudio. Estos valores se reportan en el Anexo D en las Tablas 17, 19 y 20.</w:t>
      </w:r>
    </w:p>
    <w:p>
      <w:pPr>
        <w:pStyle w:val="BodyText"/>
      </w:pPr>
    </w:p>
    <w:p>
      <w:pPr>
        <w:pStyle w:val="ListParagraph"/>
        <w:numPr>
          <w:ilvl w:val="1"/>
          <w:numId w:val="16"/>
        </w:numPr>
        <w:tabs>
          <w:tab w:pos="837" w:val="left" w:leader="none"/>
        </w:tabs>
        <w:spacing w:line="357" w:lineRule="auto" w:before="154" w:after="0"/>
        <w:ind w:left="837" w:right="115" w:hanging="361"/>
        <w:jc w:val="both"/>
        <w:rPr>
          <w:rFonts w:ascii="Symbol" w:hAnsi="Symbol"/>
          <w:sz w:val="26"/>
        </w:rPr>
      </w:pPr>
      <w:r>
        <w:rPr>
          <w:i/>
          <w:sz w:val="26"/>
        </w:rPr>
        <w:t>Albedo</w:t>
      </w:r>
      <w:r>
        <w:rPr>
          <w:i/>
          <w:spacing w:val="-6"/>
          <w:sz w:val="26"/>
        </w:rPr>
        <w:t> </w:t>
      </w:r>
      <w:r>
        <w:rPr>
          <w:i/>
          <w:sz w:val="26"/>
        </w:rPr>
        <w:t>del</w:t>
      </w:r>
      <w:r>
        <w:rPr>
          <w:i/>
          <w:spacing w:val="-6"/>
          <w:sz w:val="26"/>
        </w:rPr>
        <w:t> </w:t>
      </w:r>
      <w:r>
        <w:rPr>
          <w:i/>
          <w:sz w:val="26"/>
        </w:rPr>
        <w:t>suelo</w:t>
      </w:r>
      <w:r>
        <w:rPr>
          <w:i/>
          <w:spacing w:val="-6"/>
          <w:sz w:val="26"/>
        </w:rPr>
        <w:t> </w:t>
      </w:r>
      <w:r>
        <w:rPr>
          <w:i/>
          <w:sz w:val="26"/>
        </w:rPr>
        <w:t>(SOL_ALB).</w:t>
      </w:r>
      <w:r>
        <w:rPr>
          <w:i/>
          <w:spacing w:val="-3"/>
          <w:sz w:val="26"/>
        </w:rPr>
        <w:t> </w:t>
      </w:r>
      <w:r>
        <w:rPr>
          <w:sz w:val="26"/>
        </w:rPr>
        <w:t>Los</w:t>
      </w:r>
      <w:r>
        <w:rPr>
          <w:spacing w:val="-6"/>
          <w:sz w:val="26"/>
        </w:rPr>
        <w:t> </w:t>
      </w:r>
      <w:r>
        <w:rPr>
          <w:sz w:val="26"/>
        </w:rPr>
        <w:t>valores</w:t>
      </w:r>
      <w:r>
        <w:rPr>
          <w:spacing w:val="-6"/>
          <w:sz w:val="26"/>
        </w:rPr>
        <w:t> </w:t>
      </w:r>
      <w:r>
        <w:rPr>
          <w:sz w:val="26"/>
        </w:rPr>
        <w:t>promedio</w:t>
      </w:r>
      <w:r>
        <w:rPr>
          <w:spacing w:val="-6"/>
          <w:sz w:val="26"/>
        </w:rPr>
        <w:t> </w:t>
      </w:r>
      <w:r>
        <w:rPr>
          <w:sz w:val="26"/>
        </w:rPr>
        <w:t>del</w:t>
      </w:r>
      <w:r>
        <w:rPr>
          <w:spacing w:val="-6"/>
          <w:sz w:val="26"/>
        </w:rPr>
        <w:t> </w:t>
      </w:r>
      <w:r>
        <w:rPr>
          <w:sz w:val="26"/>
        </w:rPr>
        <w:t>albedo</w:t>
      </w:r>
      <w:r>
        <w:rPr>
          <w:spacing w:val="-6"/>
          <w:sz w:val="26"/>
        </w:rPr>
        <w:t> </w:t>
      </w:r>
      <w:r>
        <w:rPr>
          <w:sz w:val="26"/>
        </w:rPr>
        <w:t>del</w:t>
      </w:r>
      <w:r>
        <w:rPr>
          <w:spacing w:val="-6"/>
          <w:sz w:val="26"/>
        </w:rPr>
        <w:t> </w:t>
      </w:r>
      <w:r>
        <w:rPr>
          <w:sz w:val="26"/>
        </w:rPr>
        <w:t>suelo</w:t>
      </w:r>
      <w:r>
        <w:rPr>
          <w:spacing w:val="-6"/>
          <w:sz w:val="26"/>
        </w:rPr>
        <w:t> </w:t>
      </w:r>
      <w:r>
        <w:rPr>
          <w:sz w:val="26"/>
        </w:rPr>
        <w:t>están</w:t>
      </w:r>
      <w:r>
        <w:rPr>
          <w:spacing w:val="-6"/>
          <w:sz w:val="26"/>
        </w:rPr>
        <w:t> </w:t>
      </w:r>
      <w:r>
        <w:rPr>
          <w:sz w:val="26"/>
        </w:rPr>
        <w:t>entre un rango de 0.10 para suelos oscuro y 0.15 para colores daros. Debido a que existe poca</w:t>
      </w:r>
      <w:r>
        <w:rPr>
          <w:spacing w:val="-6"/>
          <w:sz w:val="26"/>
        </w:rPr>
        <w:t> </w:t>
      </w:r>
      <w:r>
        <w:rPr>
          <w:sz w:val="26"/>
        </w:rPr>
        <w:t>variación,</w:t>
      </w:r>
      <w:r>
        <w:rPr>
          <w:spacing w:val="-4"/>
          <w:sz w:val="26"/>
        </w:rPr>
        <w:t> </w:t>
      </w:r>
      <w:r>
        <w:rPr>
          <w:sz w:val="26"/>
        </w:rPr>
        <w:t>el</w:t>
      </w:r>
      <w:r>
        <w:rPr>
          <w:spacing w:val="-6"/>
          <w:sz w:val="26"/>
        </w:rPr>
        <w:t> </w:t>
      </w:r>
      <w:r>
        <w:rPr>
          <w:sz w:val="26"/>
        </w:rPr>
        <w:t>albedo</w:t>
      </w:r>
      <w:r>
        <w:rPr>
          <w:spacing w:val="-6"/>
          <w:sz w:val="26"/>
        </w:rPr>
        <w:t> </w:t>
      </w:r>
      <w:r>
        <w:rPr>
          <w:sz w:val="26"/>
        </w:rPr>
        <w:t>del</w:t>
      </w:r>
      <w:r>
        <w:rPr>
          <w:spacing w:val="-6"/>
          <w:sz w:val="26"/>
        </w:rPr>
        <w:t> </w:t>
      </w:r>
      <w:r>
        <w:rPr>
          <w:sz w:val="26"/>
        </w:rPr>
        <w:t>suelo</w:t>
      </w:r>
      <w:r>
        <w:rPr>
          <w:spacing w:val="-6"/>
          <w:sz w:val="26"/>
        </w:rPr>
        <w:t> </w:t>
      </w:r>
      <w:r>
        <w:rPr>
          <w:sz w:val="26"/>
        </w:rPr>
        <w:t>puede</w:t>
      </w:r>
      <w:r>
        <w:rPr>
          <w:spacing w:val="-6"/>
          <w:sz w:val="26"/>
        </w:rPr>
        <w:t> </w:t>
      </w:r>
      <w:r>
        <w:rPr>
          <w:sz w:val="26"/>
        </w:rPr>
        <w:t>ser</w:t>
      </w:r>
      <w:r>
        <w:rPr>
          <w:spacing w:val="-6"/>
          <w:sz w:val="26"/>
        </w:rPr>
        <w:t> </w:t>
      </w:r>
      <w:r>
        <w:rPr>
          <w:sz w:val="26"/>
        </w:rPr>
        <w:t>estimado</w:t>
      </w:r>
      <w:r>
        <w:rPr>
          <w:spacing w:val="-6"/>
          <w:sz w:val="26"/>
        </w:rPr>
        <w:t> </w:t>
      </w:r>
      <w:r>
        <w:rPr>
          <w:sz w:val="26"/>
        </w:rPr>
        <w:t>con</w:t>
      </w:r>
      <w:r>
        <w:rPr>
          <w:spacing w:val="-6"/>
          <w:sz w:val="26"/>
        </w:rPr>
        <w:t> </w:t>
      </w:r>
      <w:r>
        <w:rPr>
          <w:sz w:val="26"/>
        </w:rPr>
        <w:t>un</w:t>
      </w:r>
      <w:r>
        <w:rPr>
          <w:spacing w:val="-6"/>
          <w:sz w:val="26"/>
        </w:rPr>
        <w:t> </w:t>
      </w:r>
      <w:r>
        <w:rPr>
          <w:sz w:val="26"/>
        </w:rPr>
        <w:t>conocimiento</w:t>
      </w:r>
      <w:r>
        <w:rPr>
          <w:spacing w:val="-2"/>
          <w:sz w:val="26"/>
        </w:rPr>
        <w:t> </w:t>
      </w:r>
      <w:r>
        <w:rPr>
          <w:sz w:val="26"/>
        </w:rPr>
        <w:t>general del suelo o puede utilizarse un valor de 0.125 sin afectar significativamente la evaporación.</w:t>
      </w:r>
      <w:r>
        <w:rPr>
          <w:spacing w:val="-5"/>
          <w:sz w:val="26"/>
        </w:rPr>
        <w:t> </w:t>
      </w:r>
      <w:r>
        <w:rPr>
          <w:sz w:val="26"/>
        </w:rPr>
        <w:t>El</w:t>
      </w:r>
      <w:r>
        <w:rPr>
          <w:spacing w:val="-6"/>
          <w:sz w:val="26"/>
        </w:rPr>
        <w:t> </w:t>
      </w:r>
      <w:r>
        <w:rPr>
          <w:sz w:val="26"/>
        </w:rPr>
        <w:t>rango</w:t>
      </w:r>
      <w:r>
        <w:rPr>
          <w:spacing w:val="-6"/>
          <w:sz w:val="26"/>
        </w:rPr>
        <w:t> </w:t>
      </w:r>
      <w:r>
        <w:rPr>
          <w:sz w:val="26"/>
        </w:rPr>
        <w:t>aceptable</w:t>
      </w:r>
      <w:r>
        <w:rPr>
          <w:spacing w:val="-6"/>
          <w:sz w:val="26"/>
        </w:rPr>
        <w:t> </w:t>
      </w:r>
      <w:r>
        <w:rPr>
          <w:sz w:val="26"/>
        </w:rPr>
        <w:t>de</w:t>
      </w:r>
      <w:r>
        <w:rPr>
          <w:spacing w:val="-11"/>
          <w:sz w:val="26"/>
        </w:rPr>
        <w:t> </w:t>
      </w:r>
      <w:r>
        <w:rPr>
          <w:sz w:val="26"/>
        </w:rPr>
        <w:t>valores</w:t>
      </w:r>
      <w:r>
        <w:rPr>
          <w:spacing w:val="-6"/>
          <w:sz w:val="26"/>
        </w:rPr>
        <w:t> </w:t>
      </w:r>
      <w:r>
        <w:rPr>
          <w:sz w:val="26"/>
        </w:rPr>
        <w:t>en</w:t>
      </w:r>
      <w:r>
        <w:rPr>
          <w:spacing w:val="-6"/>
          <w:sz w:val="26"/>
        </w:rPr>
        <w:t> </w:t>
      </w:r>
      <w:r>
        <w:rPr>
          <w:spacing w:val="-3"/>
          <w:sz w:val="26"/>
        </w:rPr>
        <w:t>el</w:t>
      </w:r>
      <w:r>
        <w:rPr>
          <w:spacing w:val="-6"/>
          <w:sz w:val="26"/>
        </w:rPr>
        <w:t> </w:t>
      </w:r>
      <w:r>
        <w:rPr>
          <w:sz w:val="26"/>
        </w:rPr>
        <w:t>modelo</w:t>
      </w:r>
      <w:r>
        <w:rPr>
          <w:spacing w:val="-6"/>
          <w:sz w:val="26"/>
        </w:rPr>
        <w:t> </w:t>
      </w:r>
      <w:r>
        <w:rPr>
          <w:spacing w:val="-3"/>
          <w:sz w:val="26"/>
        </w:rPr>
        <w:t>va</w:t>
      </w:r>
      <w:r>
        <w:rPr>
          <w:spacing w:val="-6"/>
          <w:sz w:val="26"/>
        </w:rPr>
        <w:t> </w:t>
      </w:r>
      <w:r>
        <w:rPr>
          <w:sz w:val="26"/>
        </w:rPr>
        <w:t>de</w:t>
      </w:r>
      <w:r>
        <w:rPr>
          <w:spacing w:val="-6"/>
          <w:sz w:val="26"/>
        </w:rPr>
        <w:t> </w:t>
      </w:r>
      <w:r>
        <w:rPr>
          <w:sz w:val="26"/>
        </w:rPr>
        <w:t>0.0</w:t>
      </w:r>
      <w:r>
        <w:rPr>
          <w:spacing w:val="-11"/>
          <w:sz w:val="26"/>
        </w:rPr>
        <w:t> </w:t>
      </w:r>
      <w:r>
        <w:rPr>
          <w:sz w:val="26"/>
        </w:rPr>
        <w:t>a</w:t>
      </w:r>
      <w:r>
        <w:rPr>
          <w:spacing w:val="-11"/>
          <w:sz w:val="26"/>
        </w:rPr>
        <w:t> </w:t>
      </w:r>
      <w:r>
        <w:rPr>
          <w:sz w:val="26"/>
        </w:rPr>
        <w:t>1.0.</w:t>
      </w:r>
      <w:r>
        <w:rPr>
          <w:spacing w:val="-8"/>
          <w:sz w:val="26"/>
        </w:rPr>
        <w:t> </w:t>
      </w:r>
      <w:r>
        <w:rPr>
          <w:sz w:val="26"/>
        </w:rPr>
        <w:t>Los</w:t>
      </w:r>
      <w:r>
        <w:rPr>
          <w:spacing w:val="-6"/>
          <w:sz w:val="26"/>
        </w:rPr>
        <w:t> </w:t>
      </w:r>
      <w:r>
        <w:rPr>
          <w:sz w:val="26"/>
        </w:rPr>
        <w:t>valores obtenidos se reportan en el Anexo D en la Tabla</w:t>
      </w:r>
      <w:r>
        <w:rPr>
          <w:spacing w:val="-5"/>
          <w:sz w:val="26"/>
        </w:rPr>
        <w:t> </w:t>
      </w:r>
      <w:r>
        <w:rPr>
          <w:sz w:val="26"/>
        </w:rPr>
        <w:t>21.</w:t>
      </w:r>
    </w:p>
    <w:p>
      <w:pPr>
        <w:pStyle w:val="BodyText"/>
      </w:pPr>
    </w:p>
    <w:p>
      <w:pPr>
        <w:pStyle w:val="ListParagraph"/>
        <w:numPr>
          <w:ilvl w:val="1"/>
          <w:numId w:val="16"/>
        </w:numPr>
        <w:tabs>
          <w:tab w:pos="837" w:val="left" w:leader="none"/>
        </w:tabs>
        <w:spacing w:line="355" w:lineRule="auto" w:before="159" w:after="0"/>
        <w:ind w:left="837" w:right="113" w:hanging="361"/>
        <w:jc w:val="both"/>
        <w:rPr>
          <w:rFonts w:ascii="Symbol" w:hAnsi="Symbol"/>
          <w:sz w:val="26"/>
        </w:rPr>
      </w:pPr>
      <w:r>
        <w:rPr>
          <w:i/>
          <w:sz w:val="26"/>
        </w:rPr>
        <w:t>Factor K del suelo de la USLE (USLE_ K). </w:t>
      </w:r>
      <w:r>
        <w:rPr>
          <w:sz w:val="26"/>
        </w:rPr>
        <w:t>Este factor se determinó con base en la textura y la materia orgánica para la primer capa del suelo, según el Anexo D en la Tabla</w:t>
      </w:r>
      <w:r>
        <w:rPr>
          <w:spacing w:val="-1"/>
          <w:sz w:val="26"/>
        </w:rPr>
        <w:t> </w:t>
      </w:r>
      <w:r>
        <w:rPr>
          <w:sz w:val="26"/>
        </w:rPr>
        <w:t>25.</w:t>
      </w:r>
    </w:p>
    <w:p>
      <w:pPr>
        <w:pStyle w:val="BodyText"/>
      </w:pPr>
    </w:p>
    <w:p>
      <w:pPr>
        <w:pStyle w:val="BodyText"/>
        <w:spacing w:before="4"/>
        <w:rPr>
          <w:sz w:val="35"/>
        </w:rPr>
      </w:pPr>
    </w:p>
    <w:p>
      <w:pPr>
        <w:pStyle w:val="Heading1"/>
        <w:numPr>
          <w:ilvl w:val="2"/>
          <w:numId w:val="5"/>
        </w:numPr>
        <w:tabs>
          <w:tab w:pos="707" w:val="left" w:leader="none"/>
        </w:tabs>
        <w:spacing w:line="240" w:lineRule="auto" w:before="0" w:after="0"/>
        <w:ind w:left="706" w:right="0" w:hanging="590"/>
        <w:jc w:val="both"/>
      </w:pPr>
      <w:bookmarkStart w:name="_bookmark59" w:id="85"/>
      <w:bookmarkEnd w:id="85"/>
      <w:r>
        <w:rPr>
          <w:b w:val="0"/>
        </w:rPr>
      </w:r>
      <w:bookmarkStart w:name="_bookmark59" w:id="86"/>
      <w:bookmarkEnd w:id="86"/>
      <w:r>
        <w:rPr/>
        <w:t>Dat</w:t>
      </w:r>
      <w:r>
        <w:rPr/>
        <w:t>os generales del manejo </w:t>
      </w:r>
      <w:r>
        <w:rPr>
          <w:spacing w:val="-3"/>
        </w:rPr>
        <w:t>de </w:t>
      </w:r>
      <w:r>
        <w:rPr/>
        <w:t>los cultivos (ARCHIVO</w:t>
      </w:r>
      <w:r>
        <w:rPr>
          <w:spacing w:val="-17"/>
        </w:rPr>
        <w:t> </w:t>
      </w:r>
      <w:r>
        <w:rPr/>
        <w:t>MGT)</w:t>
      </w:r>
    </w:p>
    <w:p>
      <w:pPr>
        <w:pStyle w:val="BodyText"/>
        <w:spacing w:before="10"/>
        <w:rPr>
          <w:b/>
          <w:sz w:val="34"/>
        </w:rPr>
      </w:pPr>
    </w:p>
    <w:p>
      <w:pPr>
        <w:pStyle w:val="BodyText"/>
        <w:spacing w:line="360" w:lineRule="auto" w:before="1"/>
        <w:ind w:left="116" w:right="110"/>
        <w:jc w:val="both"/>
      </w:pPr>
      <w:r>
        <w:rPr/>
        <w:t>Esta</w:t>
      </w:r>
      <w:r>
        <w:rPr>
          <w:spacing w:val="-7"/>
        </w:rPr>
        <w:t> </w:t>
      </w:r>
      <w:r>
        <w:rPr/>
        <w:t>información</w:t>
      </w:r>
      <w:r>
        <w:rPr>
          <w:spacing w:val="-7"/>
        </w:rPr>
        <w:t> </w:t>
      </w:r>
      <w:r>
        <w:rPr/>
        <w:t>está</w:t>
      </w:r>
      <w:r>
        <w:rPr>
          <w:spacing w:val="-7"/>
        </w:rPr>
        <w:t> </w:t>
      </w:r>
      <w:r>
        <w:rPr/>
        <w:t>relacionada</w:t>
      </w:r>
      <w:r>
        <w:rPr>
          <w:spacing w:val="-5"/>
        </w:rPr>
        <w:t> </w:t>
      </w:r>
      <w:r>
        <w:rPr/>
        <w:t>entre</w:t>
      </w:r>
      <w:r>
        <w:rPr>
          <w:spacing w:val="-7"/>
        </w:rPr>
        <w:t> </w:t>
      </w:r>
      <w:r>
        <w:rPr/>
        <w:t>la</w:t>
      </w:r>
      <w:r>
        <w:rPr>
          <w:spacing w:val="-11"/>
        </w:rPr>
        <w:t> </w:t>
      </w:r>
      <w:r>
        <w:rPr/>
        <w:t>afectación</w:t>
      </w:r>
      <w:r>
        <w:rPr>
          <w:spacing w:val="-7"/>
        </w:rPr>
        <w:t> </w:t>
      </w:r>
      <w:r>
        <w:rPr/>
        <w:t>que</w:t>
      </w:r>
      <w:r>
        <w:rPr>
          <w:spacing w:val="-7"/>
        </w:rPr>
        <w:t> </w:t>
      </w:r>
      <w:r>
        <w:rPr/>
        <w:t>están</w:t>
      </w:r>
      <w:r>
        <w:rPr>
          <w:spacing w:val="-11"/>
        </w:rPr>
        <w:t> </w:t>
      </w:r>
      <w:r>
        <w:rPr/>
        <w:t>sufriendo</w:t>
      </w:r>
      <w:r>
        <w:rPr>
          <w:spacing w:val="-7"/>
        </w:rPr>
        <w:t> </w:t>
      </w:r>
      <w:r>
        <w:rPr/>
        <w:t>los</w:t>
      </w:r>
      <w:r>
        <w:rPr>
          <w:spacing w:val="-11"/>
        </w:rPr>
        <w:t> </w:t>
      </w:r>
      <w:r>
        <w:rPr/>
        <w:t>recursos</w:t>
      </w:r>
      <w:r>
        <w:rPr>
          <w:spacing w:val="-7"/>
        </w:rPr>
        <w:t> </w:t>
      </w:r>
      <w:r>
        <w:rPr/>
        <w:t>suelo y agua por la aplicación de fertilizantes y agroquímicos, de las actividades de labranza y</w:t>
      </w:r>
      <w:r>
        <w:rPr>
          <w:spacing w:val="-27"/>
        </w:rPr>
        <w:t> </w:t>
      </w:r>
      <w:r>
        <w:rPr/>
        <w:t>la productividad agrícola que está teniendo la cuenca. </w:t>
      </w:r>
      <w:r>
        <w:rPr>
          <w:spacing w:val="-3"/>
        </w:rPr>
        <w:t>La </w:t>
      </w:r>
      <w:r>
        <w:rPr/>
        <w:t>información utilizada fue retomada de Fernández (1996), respecto a fechas de plantación y cosecha de los cultivos; número de riegos, cantidades y fechas; número de aplicaciones de fertilizantes y plaguicidas, cantidades y fechas; y número de operaciones de labranza. Para el caso de coberturas vegetales</w:t>
      </w:r>
      <w:r>
        <w:rPr>
          <w:spacing w:val="-10"/>
        </w:rPr>
        <w:t> </w:t>
      </w:r>
      <w:r>
        <w:rPr/>
        <w:t>se</w:t>
      </w:r>
      <w:r>
        <w:rPr>
          <w:spacing w:val="-10"/>
        </w:rPr>
        <w:t> </w:t>
      </w:r>
      <w:r>
        <w:rPr/>
        <w:t>ocupan</w:t>
      </w:r>
      <w:r>
        <w:rPr>
          <w:spacing w:val="-10"/>
        </w:rPr>
        <w:t> </w:t>
      </w:r>
      <w:r>
        <w:rPr/>
        <w:t>Unidades</w:t>
      </w:r>
      <w:r>
        <w:rPr>
          <w:spacing w:val="-10"/>
        </w:rPr>
        <w:t> </w:t>
      </w:r>
      <w:r>
        <w:rPr/>
        <w:t>Potenciales</w:t>
      </w:r>
      <w:r>
        <w:rPr>
          <w:spacing w:val="-10"/>
        </w:rPr>
        <w:t> </w:t>
      </w:r>
      <w:r>
        <w:rPr/>
        <w:t>de</w:t>
      </w:r>
      <w:r>
        <w:rPr>
          <w:spacing w:val="-10"/>
        </w:rPr>
        <w:t> </w:t>
      </w:r>
      <w:r>
        <w:rPr/>
        <w:t>Calor</w:t>
      </w:r>
      <w:r>
        <w:rPr>
          <w:spacing w:val="-10"/>
        </w:rPr>
        <w:t> </w:t>
      </w:r>
      <w:r>
        <w:rPr/>
        <w:t>que</w:t>
      </w:r>
      <w:r>
        <w:rPr>
          <w:spacing w:val="-10"/>
        </w:rPr>
        <w:t> </w:t>
      </w:r>
      <w:r>
        <w:rPr/>
        <w:t>el</w:t>
      </w:r>
      <w:r>
        <w:rPr>
          <w:spacing w:val="-10"/>
        </w:rPr>
        <w:t> </w:t>
      </w:r>
      <w:r>
        <w:rPr/>
        <w:t>modelo</w:t>
      </w:r>
      <w:r>
        <w:rPr>
          <w:spacing w:val="-10"/>
        </w:rPr>
        <w:t> </w:t>
      </w:r>
      <w:r>
        <w:rPr/>
        <w:t>calcula</w:t>
      </w:r>
      <w:r>
        <w:rPr>
          <w:spacing w:val="-9"/>
        </w:rPr>
        <w:t> </w:t>
      </w:r>
      <w:r>
        <w:rPr/>
        <w:t>automáticamente</w:t>
      </w:r>
    </w:p>
    <w:p>
      <w:pPr>
        <w:pStyle w:val="BodyText"/>
      </w:pPr>
    </w:p>
    <w:p>
      <w:pPr>
        <w:pStyle w:val="ListParagraph"/>
        <w:numPr>
          <w:ilvl w:val="0"/>
          <w:numId w:val="33"/>
        </w:numPr>
        <w:tabs>
          <w:tab w:pos="837" w:val="left" w:leader="none"/>
        </w:tabs>
        <w:spacing w:line="357" w:lineRule="auto" w:before="156" w:after="0"/>
        <w:ind w:left="837" w:right="116" w:hanging="361"/>
        <w:jc w:val="both"/>
        <w:rPr>
          <w:sz w:val="26"/>
        </w:rPr>
      </w:pPr>
      <w:r>
        <w:rPr>
          <w:i/>
          <w:sz w:val="26"/>
        </w:rPr>
        <w:t>Número</w:t>
      </w:r>
      <w:r>
        <w:rPr>
          <w:i/>
          <w:spacing w:val="-10"/>
          <w:sz w:val="26"/>
        </w:rPr>
        <w:t> </w:t>
      </w:r>
      <w:r>
        <w:rPr>
          <w:i/>
          <w:sz w:val="26"/>
        </w:rPr>
        <w:t>de</w:t>
      </w:r>
      <w:r>
        <w:rPr>
          <w:i/>
          <w:spacing w:val="-10"/>
          <w:sz w:val="26"/>
        </w:rPr>
        <w:t> </w:t>
      </w:r>
      <w:r>
        <w:rPr>
          <w:i/>
          <w:sz w:val="26"/>
        </w:rPr>
        <w:t>años</w:t>
      </w:r>
      <w:r>
        <w:rPr>
          <w:i/>
          <w:spacing w:val="-10"/>
          <w:sz w:val="26"/>
        </w:rPr>
        <w:t> </w:t>
      </w:r>
      <w:r>
        <w:rPr>
          <w:i/>
          <w:sz w:val="26"/>
        </w:rPr>
        <w:t>de</w:t>
      </w:r>
      <w:r>
        <w:rPr>
          <w:i/>
          <w:spacing w:val="-10"/>
          <w:sz w:val="26"/>
        </w:rPr>
        <w:t> </w:t>
      </w:r>
      <w:r>
        <w:rPr>
          <w:i/>
          <w:sz w:val="26"/>
        </w:rPr>
        <w:t>rotación</w:t>
      </w:r>
      <w:r>
        <w:rPr>
          <w:i/>
          <w:spacing w:val="-10"/>
          <w:sz w:val="26"/>
        </w:rPr>
        <w:t> </w:t>
      </w:r>
      <w:r>
        <w:rPr>
          <w:i/>
          <w:sz w:val="26"/>
        </w:rPr>
        <w:t>(NROT).</w:t>
      </w:r>
      <w:r>
        <w:rPr>
          <w:i/>
          <w:spacing w:val="-1"/>
          <w:sz w:val="26"/>
        </w:rPr>
        <w:t> </w:t>
      </w:r>
      <w:r>
        <w:rPr>
          <w:sz w:val="26"/>
        </w:rPr>
        <w:t>Sobre</w:t>
      </w:r>
      <w:r>
        <w:rPr>
          <w:spacing w:val="-10"/>
          <w:sz w:val="26"/>
        </w:rPr>
        <w:t> </w:t>
      </w:r>
      <w:r>
        <w:rPr>
          <w:sz w:val="26"/>
        </w:rPr>
        <w:t>esta</w:t>
      </w:r>
      <w:r>
        <w:rPr>
          <w:spacing w:val="-10"/>
          <w:sz w:val="26"/>
        </w:rPr>
        <w:t> </w:t>
      </w:r>
      <w:r>
        <w:rPr>
          <w:sz w:val="26"/>
        </w:rPr>
        <w:t>variable</w:t>
      </w:r>
      <w:r>
        <w:rPr>
          <w:spacing w:val="-4"/>
          <w:sz w:val="26"/>
        </w:rPr>
        <w:t> </w:t>
      </w:r>
      <w:r>
        <w:rPr>
          <w:sz w:val="26"/>
        </w:rPr>
        <w:t>se</w:t>
      </w:r>
      <w:r>
        <w:rPr>
          <w:spacing w:val="-10"/>
          <w:sz w:val="26"/>
        </w:rPr>
        <w:t> </w:t>
      </w:r>
      <w:r>
        <w:rPr>
          <w:sz w:val="26"/>
        </w:rPr>
        <w:t>presenta</w:t>
      </w:r>
      <w:r>
        <w:rPr>
          <w:spacing w:val="-9"/>
          <w:sz w:val="26"/>
        </w:rPr>
        <w:t> </w:t>
      </w:r>
      <w:r>
        <w:rPr>
          <w:sz w:val="26"/>
        </w:rPr>
        <w:t>la</w:t>
      </w:r>
      <w:r>
        <w:rPr>
          <w:spacing w:val="-10"/>
          <w:sz w:val="26"/>
        </w:rPr>
        <w:t> </w:t>
      </w:r>
      <w:r>
        <w:rPr>
          <w:sz w:val="26"/>
        </w:rPr>
        <w:t>información que implica la rotación de cultivos en el año. El modelo puede considerar hasta tres cultivos anuales, pero debido al efecto de las heladas, en la cuenca solo se siembra un cultivo al</w:t>
      </w:r>
      <w:r>
        <w:rPr>
          <w:spacing w:val="-7"/>
          <w:sz w:val="26"/>
        </w:rPr>
        <w:t> </w:t>
      </w:r>
      <w:r>
        <w:rPr>
          <w:sz w:val="26"/>
        </w:rPr>
        <w:t>año.</w:t>
      </w:r>
    </w:p>
    <w:p>
      <w:pPr>
        <w:spacing w:after="0" w:line="357" w:lineRule="auto"/>
        <w:jc w:val="both"/>
        <w:rPr>
          <w:sz w:val="26"/>
        </w:rPr>
        <w:sectPr>
          <w:pgSz w:w="12240" w:h="15840"/>
          <w:pgMar w:header="0" w:footer="1473" w:top="1360" w:bottom="1660" w:left="1300" w:right="1300"/>
        </w:sectPr>
      </w:pPr>
    </w:p>
    <w:p>
      <w:pPr>
        <w:pStyle w:val="ListParagraph"/>
        <w:numPr>
          <w:ilvl w:val="0"/>
          <w:numId w:val="33"/>
        </w:numPr>
        <w:tabs>
          <w:tab w:pos="837" w:val="left" w:leader="none"/>
        </w:tabs>
        <w:spacing w:line="357" w:lineRule="auto" w:before="29" w:after="0"/>
        <w:ind w:left="837" w:right="116" w:hanging="361"/>
        <w:jc w:val="both"/>
        <w:rPr>
          <w:sz w:val="26"/>
        </w:rPr>
      </w:pPr>
      <w:r>
        <w:rPr>
          <w:i/>
          <w:sz w:val="26"/>
        </w:rPr>
        <w:t>Fechas de plantación: mes/día, fechas de cosecha: mes/día. </w:t>
      </w:r>
      <w:r>
        <w:rPr>
          <w:sz w:val="26"/>
        </w:rPr>
        <w:t>Para los cultivos perennes; estas fechas fueron fijadas a partir de la acumulación de unidades calor (calculadas por el SWAT). En las subcuencas agrícolas según su condición de humedad, se accesaron las fechas de siembra y cosecha para</w:t>
      </w:r>
      <w:r>
        <w:rPr>
          <w:spacing w:val="-12"/>
          <w:sz w:val="26"/>
        </w:rPr>
        <w:t> </w:t>
      </w:r>
      <w:r>
        <w:rPr>
          <w:sz w:val="26"/>
        </w:rPr>
        <w:t>maíz.</w:t>
      </w:r>
    </w:p>
    <w:p>
      <w:pPr>
        <w:pStyle w:val="BodyText"/>
      </w:pPr>
    </w:p>
    <w:p>
      <w:pPr>
        <w:pStyle w:val="ListParagraph"/>
        <w:numPr>
          <w:ilvl w:val="0"/>
          <w:numId w:val="33"/>
        </w:numPr>
        <w:tabs>
          <w:tab w:pos="837" w:val="left" w:leader="none"/>
        </w:tabs>
        <w:spacing w:line="355" w:lineRule="auto" w:before="154" w:after="0"/>
        <w:ind w:left="837" w:right="114" w:hanging="361"/>
        <w:jc w:val="both"/>
        <w:rPr>
          <w:sz w:val="26"/>
        </w:rPr>
      </w:pPr>
      <w:r>
        <w:rPr>
          <w:i/>
          <w:sz w:val="26"/>
        </w:rPr>
        <w:t>Número de identificación del cultivo</w:t>
      </w:r>
      <w:r>
        <w:rPr>
          <w:sz w:val="26"/>
        </w:rPr>
        <w:t>. Con este parámetro se indica al modelo si el cultivo o cobertura es anual o</w:t>
      </w:r>
      <w:r>
        <w:rPr>
          <w:spacing w:val="-8"/>
          <w:sz w:val="26"/>
        </w:rPr>
        <w:t> </w:t>
      </w:r>
      <w:r>
        <w:rPr>
          <w:sz w:val="26"/>
        </w:rPr>
        <w:t>perenne.</w:t>
      </w:r>
    </w:p>
    <w:p>
      <w:pPr>
        <w:pStyle w:val="BodyText"/>
      </w:pPr>
    </w:p>
    <w:p>
      <w:pPr>
        <w:pStyle w:val="ListParagraph"/>
        <w:numPr>
          <w:ilvl w:val="0"/>
          <w:numId w:val="33"/>
        </w:numPr>
        <w:tabs>
          <w:tab w:pos="837" w:val="left" w:leader="none"/>
        </w:tabs>
        <w:spacing w:line="350" w:lineRule="auto" w:before="161" w:after="0"/>
        <w:ind w:left="837" w:right="116" w:hanging="361"/>
        <w:jc w:val="both"/>
        <w:rPr>
          <w:sz w:val="26"/>
        </w:rPr>
      </w:pPr>
      <w:r>
        <w:rPr>
          <w:i/>
          <w:position w:val="2"/>
          <w:sz w:val="26"/>
        </w:rPr>
        <w:t>Valor de CN</w:t>
      </w:r>
      <w:r>
        <w:rPr>
          <w:i/>
          <w:sz w:val="16"/>
        </w:rPr>
        <w:t>2 </w:t>
      </w:r>
      <w:r>
        <w:rPr>
          <w:i/>
          <w:position w:val="2"/>
          <w:sz w:val="26"/>
        </w:rPr>
        <w:t>al momento de la siembra y operaciones de labranza (CNOP). </w:t>
      </w:r>
      <w:r>
        <w:rPr>
          <w:position w:val="2"/>
          <w:sz w:val="26"/>
        </w:rPr>
        <w:t>Los </w:t>
      </w:r>
      <w:r>
        <w:rPr>
          <w:sz w:val="26"/>
        </w:rPr>
        <w:t>valores se muestran en el Anexo E en la Tabla</w:t>
      </w:r>
      <w:r>
        <w:rPr>
          <w:spacing w:val="-5"/>
          <w:sz w:val="26"/>
        </w:rPr>
        <w:t> </w:t>
      </w:r>
      <w:r>
        <w:rPr>
          <w:sz w:val="26"/>
        </w:rPr>
        <w:t>33.</w:t>
      </w:r>
    </w:p>
    <w:p>
      <w:pPr>
        <w:pStyle w:val="BodyText"/>
      </w:pPr>
    </w:p>
    <w:p>
      <w:pPr>
        <w:pStyle w:val="ListParagraph"/>
        <w:numPr>
          <w:ilvl w:val="0"/>
          <w:numId w:val="33"/>
        </w:numPr>
        <w:tabs>
          <w:tab w:pos="837" w:val="left" w:leader="none"/>
        </w:tabs>
        <w:spacing w:line="357" w:lineRule="auto" w:before="168" w:after="0"/>
        <w:ind w:left="837" w:right="110" w:hanging="361"/>
        <w:jc w:val="both"/>
        <w:rPr>
          <w:sz w:val="26"/>
        </w:rPr>
      </w:pPr>
      <w:r>
        <w:rPr>
          <w:i/>
          <w:sz w:val="26"/>
        </w:rPr>
        <w:t>Unidades potenciales de calor (HUSC). </w:t>
      </w:r>
      <w:r>
        <w:rPr>
          <w:sz w:val="26"/>
        </w:rPr>
        <w:t>Este valor se calculó como la suma de las diferencias entre la temperatura media diaria ((tmax+tmín)/2)-10) y la básica igual a 10°c (temperatura en que deja de crecer el cultivo, Ortiz-Solorio, 1987), desde la germinación hasta la madurez fisiológica (cultivos anuales) o dentro del periodo libre de crecimiento (coberturas</w:t>
      </w:r>
      <w:r>
        <w:rPr>
          <w:spacing w:val="-12"/>
          <w:sz w:val="26"/>
        </w:rPr>
        <w:t> </w:t>
      </w:r>
      <w:r>
        <w:rPr>
          <w:sz w:val="26"/>
        </w:rPr>
        <w:t>perennes).</w:t>
      </w:r>
    </w:p>
    <w:p>
      <w:pPr>
        <w:pStyle w:val="BodyText"/>
      </w:pPr>
    </w:p>
    <w:p>
      <w:pPr>
        <w:pStyle w:val="ListParagraph"/>
        <w:numPr>
          <w:ilvl w:val="0"/>
          <w:numId w:val="33"/>
        </w:numPr>
        <w:tabs>
          <w:tab w:pos="837" w:val="left" w:leader="none"/>
        </w:tabs>
        <w:spacing w:line="357" w:lineRule="auto" w:before="159" w:after="0"/>
        <w:ind w:left="837" w:right="112" w:hanging="361"/>
        <w:jc w:val="both"/>
        <w:rPr>
          <w:sz w:val="26"/>
        </w:rPr>
      </w:pPr>
      <w:r>
        <w:rPr>
          <w:i/>
          <w:sz w:val="26"/>
        </w:rPr>
        <w:t>Eficiencia del mezclado biológico (BIOMIX). </w:t>
      </w:r>
      <w:r>
        <w:rPr>
          <w:sz w:val="26"/>
        </w:rPr>
        <w:t>Mezclado del suelo debido a la actividad de lombrices y otra biota del suelo. El mezclado es llevado a cabo al final de cada año calendario. </w:t>
      </w:r>
      <w:r>
        <w:rPr>
          <w:spacing w:val="-3"/>
          <w:sz w:val="26"/>
        </w:rPr>
        <w:t>Si </w:t>
      </w:r>
      <w:r>
        <w:rPr>
          <w:sz w:val="26"/>
        </w:rPr>
        <w:t>no se asigna valor a BIOMIX, debido a que no se cuenta con este tipo de información, el modelo asignó un valor a</w:t>
      </w:r>
      <w:r>
        <w:rPr>
          <w:spacing w:val="-13"/>
          <w:sz w:val="26"/>
        </w:rPr>
        <w:t> </w:t>
      </w:r>
      <w:r>
        <w:rPr>
          <w:sz w:val="26"/>
        </w:rPr>
        <w:t>BIOMIX=0.20.</w:t>
      </w:r>
    </w:p>
    <w:p>
      <w:pPr>
        <w:pStyle w:val="BodyText"/>
        <w:spacing w:before="3"/>
        <w:rPr>
          <w:sz w:val="22"/>
        </w:rPr>
      </w:pPr>
    </w:p>
    <w:p>
      <w:pPr>
        <w:pStyle w:val="Heading1"/>
        <w:numPr>
          <w:ilvl w:val="2"/>
          <w:numId w:val="5"/>
        </w:numPr>
        <w:tabs>
          <w:tab w:pos="707" w:val="left" w:leader="none"/>
        </w:tabs>
        <w:spacing w:line="240" w:lineRule="auto" w:before="0" w:after="0"/>
        <w:ind w:left="706" w:right="0" w:hanging="590"/>
        <w:jc w:val="left"/>
      </w:pPr>
      <w:bookmarkStart w:name="_bookmark60" w:id="87"/>
      <w:bookmarkEnd w:id="87"/>
      <w:r>
        <w:rPr>
          <w:b w:val="0"/>
        </w:rPr>
      </w:r>
      <w:bookmarkStart w:name="_bookmark60" w:id="88"/>
      <w:bookmarkEnd w:id="88"/>
      <w:r>
        <w:rPr/>
        <w:t>Dat</w:t>
      </w:r>
      <w:r>
        <w:rPr/>
        <w:t>os </w:t>
      </w:r>
      <w:r>
        <w:rPr>
          <w:spacing w:val="-3"/>
        </w:rPr>
        <w:t>de</w:t>
      </w:r>
      <w:r>
        <w:rPr>
          <w:spacing w:val="-2"/>
        </w:rPr>
        <w:t> </w:t>
      </w:r>
      <w:r>
        <w:rPr/>
        <w:t>riego</w:t>
      </w:r>
    </w:p>
    <w:p>
      <w:pPr>
        <w:pStyle w:val="BodyText"/>
        <w:rPr>
          <w:b/>
        </w:rPr>
      </w:pPr>
    </w:p>
    <w:p>
      <w:pPr>
        <w:pStyle w:val="BodyText"/>
        <w:spacing w:before="5"/>
        <w:rPr>
          <w:b/>
          <w:sz w:val="21"/>
        </w:rPr>
      </w:pPr>
    </w:p>
    <w:p>
      <w:pPr>
        <w:pStyle w:val="BodyText"/>
        <w:spacing w:line="362" w:lineRule="auto"/>
        <w:ind w:left="116" w:right="113"/>
      </w:pPr>
      <w:r>
        <w:rPr/>
        <w:t>En</w:t>
      </w:r>
      <w:r>
        <w:rPr>
          <w:spacing w:val="-6"/>
        </w:rPr>
        <w:t> </w:t>
      </w:r>
      <w:r>
        <w:rPr/>
        <w:t>las</w:t>
      </w:r>
      <w:r>
        <w:rPr>
          <w:spacing w:val="-6"/>
        </w:rPr>
        <w:t> </w:t>
      </w:r>
      <w:r>
        <w:rPr/>
        <w:t>áreas</w:t>
      </w:r>
      <w:r>
        <w:rPr>
          <w:spacing w:val="-10"/>
        </w:rPr>
        <w:t> </w:t>
      </w:r>
      <w:r>
        <w:rPr/>
        <w:t>de</w:t>
      </w:r>
      <w:r>
        <w:rPr>
          <w:spacing w:val="-6"/>
        </w:rPr>
        <w:t> </w:t>
      </w:r>
      <w:r>
        <w:rPr/>
        <w:t>riego</w:t>
      </w:r>
      <w:r>
        <w:rPr>
          <w:spacing w:val="-6"/>
        </w:rPr>
        <w:t> </w:t>
      </w:r>
      <w:r>
        <w:rPr/>
        <w:t>de</w:t>
      </w:r>
      <w:r>
        <w:rPr>
          <w:spacing w:val="-6"/>
        </w:rPr>
        <w:t> </w:t>
      </w:r>
      <w:r>
        <w:rPr/>
        <w:t>la</w:t>
      </w:r>
      <w:r>
        <w:rPr>
          <w:spacing w:val="-11"/>
        </w:rPr>
        <w:t> </w:t>
      </w:r>
      <w:r>
        <w:rPr/>
        <w:t>cuenca,</w:t>
      </w:r>
      <w:r>
        <w:rPr>
          <w:spacing w:val="-8"/>
        </w:rPr>
        <w:t> </w:t>
      </w:r>
      <w:r>
        <w:rPr/>
        <w:t>este</w:t>
      </w:r>
      <w:r>
        <w:rPr>
          <w:spacing w:val="-6"/>
        </w:rPr>
        <w:t> </w:t>
      </w:r>
      <w:r>
        <w:rPr/>
        <w:t>se</w:t>
      </w:r>
      <w:r>
        <w:rPr>
          <w:spacing w:val="-11"/>
        </w:rPr>
        <w:t> </w:t>
      </w:r>
      <w:r>
        <w:rPr/>
        <w:t>aplica</w:t>
      </w:r>
      <w:r>
        <w:rPr>
          <w:spacing w:val="-6"/>
        </w:rPr>
        <w:t> </w:t>
      </w:r>
      <w:r>
        <w:rPr/>
        <w:t>por</w:t>
      </w:r>
      <w:r>
        <w:rPr>
          <w:spacing w:val="-6"/>
        </w:rPr>
        <w:t> </w:t>
      </w:r>
      <w:r>
        <w:rPr/>
        <w:t>gravedad,</w:t>
      </w:r>
      <w:r>
        <w:rPr>
          <w:spacing w:val="-5"/>
        </w:rPr>
        <w:t> </w:t>
      </w:r>
      <w:r>
        <w:rPr/>
        <w:t>con</w:t>
      </w:r>
      <w:r>
        <w:rPr>
          <w:spacing w:val="-6"/>
        </w:rPr>
        <w:t> </w:t>
      </w:r>
      <w:r>
        <w:rPr/>
        <w:t>una</w:t>
      </w:r>
      <w:r>
        <w:rPr>
          <w:spacing w:val="-6"/>
        </w:rPr>
        <w:t> </w:t>
      </w:r>
      <w:r>
        <w:rPr/>
        <w:t>primer</w:t>
      </w:r>
      <w:r>
        <w:rPr>
          <w:spacing w:val="-6"/>
        </w:rPr>
        <w:t> </w:t>
      </w:r>
      <w:r>
        <w:rPr/>
        <w:t>lámina</w:t>
      </w:r>
      <w:r>
        <w:rPr>
          <w:spacing w:val="-6"/>
        </w:rPr>
        <w:t> </w:t>
      </w:r>
      <w:r>
        <w:rPr/>
        <w:t>antes de la siembra y un segundo riego de auxilio cuando el periodo de lluvias se</w:t>
      </w:r>
      <w:r>
        <w:rPr>
          <w:spacing w:val="-18"/>
        </w:rPr>
        <w:t> </w:t>
      </w:r>
      <w:r>
        <w:rPr/>
        <w:t>atrasa.</w:t>
      </w:r>
    </w:p>
    <w:p>
      <w:pPr>
        <w:spacing w:after="0" w:line="362" w:lineRule="auto"/>
        <w:sectPr>
          <w:pgSz w:w="12240" w:h="15840"/>
          <w:pgMar w:header="0" w:footer="1473" w:top="1380" w:bottom="1660" w:left="1300" w:right="1300"/>
        </w:sectPr>
      </w:pPr>
    </w:p>
    <w:p>
      <w:pPr>
        <w:pStyle w:val="ListParagraph"/>
        <w:numPr>
          <w:ilvl w:val="0"/>
          <w:numId w:val="34"/>
        </w:numPr>
        <w:tabs>
          <w:tab w:pos="837" w:val="left" w:leader="none"/>
        </w:tabs>
        <w:spacing w:line="355" w:lineRule="auto" w:before="29" w:after="0"/>
        <w:ind w:left="837" w:right="113" w:hanging="361"/>
        <w:jc w:val="both"/>
        <w:rPr>
          <w:sz w:val="26"/>
        </w:rPr>
      </w:pPr>
      <w:r>
        <w:rPr>
          <w:i/>
          <w:sz w:val="26"/>
        </w:rPr>
        <w:t>Código de aplicación del riego (IRR). </w:t>
      </w:r>
      <w:r>
        <w:rPr>
          <w:sz w:val="26"/>
        </w:rPr>
        <w:t>Ofrece las opciones de la profundidad del acuífero del que será tomada el agua de riego, así como la fecha y lámina de aplicación.</w:t>
      </w:r>
    </w:p>
    <w:p>
      <w:pPr>
        <w:pStyle w:val="BodyText"/>
      </w:pPr>
    </w:p>
    <w:p>
      <w:pPr>
        <w:pStyle w:val="BodyText"/>
        <w:spacing w:before="3"/>
        <w:rPr>
          <w:sz w:val="35"/>
        </w:rPr>
      </w:pPr>
    </w:p>
    <w:p>
      <w:pPr>
        <w:pStyle w:val="Heading1"/>
        <w:numPr>
          <w:ilvl w:val="2"/>
          <w:numId w:val="5"/>
        </w:numPr>
        <w:tabs>
          <w:tab w:pos="707" w:val="left" w:leader="none"/>
        </w:tabs>
        <w:spacing w:line="240" w:lineRule="auto" w:before="0" w:after="0"/>
        <w:ind w:left="706" w:right="0" w:hanging="590"/>
        <w:jc w:val="both"/>
      </w:pPr>
      <w:bookmarkStart w:name="_bookmark61" w:id="89"/>
      <w:bookmarkEnd w:id="89"/>
      <w:r>
        <w:rPr>
          <w:b w:val="0"/>
        </w:rPr>
      </w:r>
      <w:bookmarkStart w:name="_bookmark61" w:id="90"/>
      <w:bookmarkEnd w:id="90"/>
      <w:r>
        <w:rPr/>
        <w:t>Dat</w:t>
      </w:r>
      <w:r>
        <w:rPr/>
        <w:t>os </w:t>
      </w:r>
      <w:r>
        <w:rPr>
          <w:spacing w:val="-3"/>
        </w:rPr>
        <w:t>de</w:t>
      </w:r>
      <w:r>
        <w:rPr>
          <w:spacing w:val="-11"/>
        </w:rPr>
        <w:t> </w:t>
      </w:r>
      <w:r>
        <w:rPr/>
        <w:t>plaguicidas</w:t>
      </w:r>
    </w:p>
    <w:p>
      <w:pPr>
        <w:pStyle w:val="BodyText"/>
        <w:rPr>
          <w:b/>
        </w:rPr>
      </w:pPr>
    </w:p>
    <w:p>
      <w:pPr>
        <w:pStyle w:val="BodyText"/>
        <w:spacing w:before="10"/>
        <w:rPr>
          <w:b/>
          <w:sz w:val="21"/>
        </w:rPr>
      </w:pPr>
    </w:p>
    <w:p>
      <w:pPr>
        <w:pStyle w:val="BodyText"/>
        <w:spacing w:line="357" w:lineRule="auto"/>
        <w:ind w:left="116" w:right="117"/>
        <w:jc w:val="both"/>
      </w:pPr>
      <w:r>
        <w:rPr/>
        <w:t>Aun cuando el objetivo del presente trabajo no es el de la simulación de los plaguicidas, estos fueron alimentados al modelo para los cultivos del maíz, dicho se retomaron de Torres, (2000).</w:t>
      </w:r>
    </w:p>
    <w:p>
      <w:pPr>
        <w:pStyle w:val="BodyText"/>
      </w:pPr>
    </w:p>
    <w:p>
      <w:pPr>
        <w:pStyle w:val="ListParagraph"/>
        <w:numPr>
          <w:ilvl w:val="0"/>
          <w:numId w:val="35"/>
        </w:numPr>
        <w:tabs>
          <w:tab w:pos="837" w:val="left" w:leader="none"/>
        </w:tabs>
        <w:spacing w:line="355" w:lineRule="auto" w:before="159" w:after="0"/>
        <w:ind w:left="837" w:right="110" w:hanging="361"/>
        <w:jc w:val="both"/>
        <w:rPr>
          <w:sz w:val="26"/>
        </w:rPr>
      </w:pPr>
      <w:r>
        <w:rPr>
          <w:i/>
          <w:sz w:val="26"/>
        </w:rPr>
        <w:t>Número de los plaguicidas simulados (NPTOT). </w:t>
      </w:r>
      <w:r>
        <w:rPr>
          <w:spacing w:val="-3"/>
          <w:sz w:val="26"/>
        </w:rPr>
        <w:t>Se </w:t>
      </w:r>
      <w:r>
        <w:rPr>
          <w:sz w:val="26"/>
        </w:rPr>
        <w:t>accesaron dos herbicidas, un insecticida para el suelo y uno para el follaje, en el Anexo G en la Tabla 35 se muestran los plaguicidas y cantidades introducidas al</w:t>
      </w:r>
      <w:r>
        <w:rPr>
          <w:spacing w:val="-17"/>
          <w:sz w:val="26"/>
        </w:rPr>
        <w:t> </w:t>
      </w:r>
      <w:r>
        <w:rPr>
          <w:sz w:val="26"/>
        </w:rPr>
        <w:t>modelo.</w:t>
      </w:r>
    </w:p>
    <w:p>
      <w:pPr>
        <w:pStyle w:val="BodyText"/>
      </w:pPr>
    </w:p>
    <w:p>
      <w:pPr>
        <w:pStyle w:val="ListParagraph"/>
        <w:numPr>
          <w:ilvl w:val="0"/>
          <w:numId w:val="35"/>
        </w:numPr>
        <w:tabs>
          <w:tab w:pos="837" w:val="left" w:leader="none"/>
        </w:tabs>
        <w:spacing w:line="355" w:lineRule="auto" w:before="162" w:after="0"/>
        <w:ind w:left="837" w:right="117" w:hanging="361"/>
        <w:jc w:val="both"/>
        <w:rPr>
          <w:sz w:val="26"/>
        </w:rPr>
      </w:pPr>
      <w:r>
        <w:rPr>
          <w:i/>
          <w:sz w:val="26"/>
        </w:rPr>
        <w:t>Código de identificación del plaguicida (PEST_ID). </w:t>
      </w:r>
      <w:r>
        <w:rPr>
          <w:spacing w:val="-3"/>
          <w:sz w:val="26"/>
        </w:rPr>
        <w:t>Se </w:t>
      </w:r>
      <w:r>
        <w:rPr>
          <w:sz w:val="26"/>
        </w:rPr>
        <w:t>incluyeron dos herbicidas, así como el furadan y paratión metílico, como insecticidas del suelo y follaje respectivamente.</w:t>
      </w:r>
    </w:p>
    <w:p>
      <w:pPr>
        <w:pStyle w:val="BodyText"/>
      </w:pPr>
    </w:p>
    <w:p>
      <w:pPr>
        <w:pStyle w:val="ListParagraph"/>
        <w:numPr>
          <w:ilvl w:val="0"/>
          <w:numId w:val="35"/>
        </w:numPr>
        <w:tabs>
          <w:tab w:pos="837" w:val="left" w:leader="none"/>
        </w:tabs>
        <w:spacing w:line="355" w:lineRule="auto" w:before="162" w:after="0"/>
        <w:ind w:left="837" w:right="110" w:hanging="361"/>
        <w:jc w:val="both"/>
        <w:rPr>
          <w:sz w:val="26"/>
        </w:rPr>
      </w:pPr>
      <w:r>
        <w:rPr>
          <w:i/>
          <w:sz w:val="26"/>
        </w:rPr>
        <w:t>Mes de aplicación del plaguicida (MONTH), día de la aplicación (DAY), cantidad </w:t>
      </w:r>
      <w:r>
        <w:rPr>
          <w:i/>
          <w:sz w:val="26"/>
        </w:rPr>
        <w:t>de plaguicida aplicado (PST_KG). </w:t>
      </w:r>
      <w:r>
        <w:rPr>
          <w:sz w:val="26"/>
        </w:rPr>
        <w:t>Las fechas, dosis </w:t>
      </w:r>
      <w:r>
        <w:rPr>
          <w:i/>
          <w:sz w:val="26"/>
        </w:rPr>
        <w:t>y </w:t>
      </w:r>
      <w:r>
        <w:rPr>
          <w:sz w:val="26"/>
        </w:rPr>
        <w:t>claves se muestran en </w:t>
      </w:r>
      <w:r>
        <w:rPr>
          <w:spacing w:val="4"/>
          <w:sz w:val="26"/>
        </w:rPr>
        <w:t>el </w:t>
      </w:r>
      <w:r>
        <w:rPr>
          <w:sz w:val="26"/>
        </w:rPr>
        <w:t>Anexo G en la Tabla</w:t>
      </w:r>
      <w:r>
        <w:rPr>
          <w:spacing w:val="-4"/>
          <w:sz w:val="26"/>
        </w:rPr>
        <w:t> </w:t>
      </w:r>
      <w:r>
        <w:rPr>
          <w:sz w:val="26"/>
        </w:rPr>
        <w:t>35</w:t>
      </w:r>
    </w:p>
    <w:p>
      <w:pPr>
        <w:pStyle w:val="BodyText"/>
      </w:pPr>
    </w:p>
    <w:p>
      <w:pPr>
        <w:pStyle w:val="BodyText"/>
        <w:spacing w:before="3"/>
        <w:rPr>
          <w:sz w:val="35"/>
        </w:rPr>
      </w:pPr>
    </w:p>
    <w:p>
      <w:pPr>
        <w:pStyle w:val="Heading1"/>
        <w:numPr>
          <w:ilvl w:val="2"/>
          <w:numId w:val="5"/>
        </w:numPr>
        <w:tabs>
          <w:tab w:pos="707" w:val="left" w:leader="none"/>
        </w:tabs>
        <w:spacing w:line="240" w:lineRule="auto" w:before="0" w:after="0"/>
        <w:ind w:left="706" w:right="0" w:hanging="590"/>
        <w:jc w:val="both"/>
      </w:pPr>
      <w:bookmarkStart w:name="_bookmark62" w:id="91"/>
      <w:bookmarkEnd w:id="91"/>
      <w:r>
        <w:rPr>
          <w:b w:val="0"/>
        </w:rPr>
      </w:r>
      <w:bookmarkStart w:name="_bookmark62" w:id="92"/>
      <w:bookmarkEnd w:id="92"/>
      <w:r>
        <w:rPr/>
        <w:t>Dat</w:t>
      </w:r>
      <w:r>
        <w:rPr/>
        <w:t>os </w:t>
      </w:r>
      <w:r>
        <w:rPr>
          <w:spacing w:val="-3"/>
        </w:rPr>
        <w:t>de </w:t>
      </w:r>
      <w:r>
        <w:rPr/>
        <w:t>los</w:t>
      </w:r>
      <w:r>
        <w:rPr>
          <w:spacing w:val="-10"/>
        </w:rPr>
        <w:t> </w:t>
      </w:r>
      <w:r>
        <w:rPr/>
        <w:t>fertilizantes</w:t>
      </w:r>
    </w:p>
    <w:p>
      <w:pPr>
        <w:pStyle w:val="BodyText"/>
        <w:rPr>
          <w:b/>
        </w:rPr>
      </w:pPr>
    </w:p>
    <w:p>
      <w:pPr>
        <w:pStyle w:val="BodyText"/>
        <w:spacing w:before="11"/>
        <w:rPr>
          <w:b/>
          <w:sz w:val="21"/>
        </w:rPr>
      </w:pPr>
    </w:p>
    <w:p>
      <w:pPr>
        <w:pStyle w:val="ListParagraph"/>
        <w:numPr>
          <w:ilvl w:val="0"/>
          <w:numId w:val="36"/>
        </w:numPr>
        <w:tabs>
          <w:tab w:pos="833" w:val="left" w:leader="none"/>
        </w:tabs>
        <w:spacing w:line="355" w:lineRule="auto" w:before="0" w:after="0"/>
        <w:ind w:left="832" w:right="107" w:hanging="361"/>
        <w:jc w:val="both"/>
        <w:rPr>
          <w:sz w:val="26"/>
        </w:rPr>
      </w:pPr>
      <w:r>
        <w:rPr>
          <w:i/>
          <w:sz w:val="26"/>
        </w:rPr>
        <w:t>Mes de aplicación de nitrógeno y fósforo (MONTH), día de aplicación de fósforo y </w:t>
      </w:r>
      <w:r>
        <w:rPr>
          <w:i/>
          <w:sz w:val="26"/>
        </w:rPr>
        <w:t>nitrógeno</w:t>
      </w:r>
      <w:r>
        <w:rPr>
          <w:i/>
          <w:spacing w:val="-16"/>
          <w:sz w:val="26"/>
        </w:rPr>
        <w:t> </w:t>
      </w:r>
      <w:r>
        <w:rPr>
          <w:i/>
          <w:sz w:val="26"/>
        </w:rPr>
        <w:t>(DAY),</w:t>
      </w:r>
      <w:r>
        <w:rPr>
          <w:i/>
          <w:spacing w:val="-12"/>
          <w:sz w:val="26"/>
        </w:rPr>
        <w:t> </w:t>
      </w:r>
      <w:r>
        <w:rPr>
          <w:i/>
          <w:sz w:val="26"/>
        </w:rPr>
        <w:t>cantidad</w:t>
      </w:r>
      <w:r>
        <w:rPr>
          <w:i/>
          <w:spacing w:val="-16"/>
          <w:sz w:val="26"/>
        </w:rPr>
        <w:t> </w:t>
      </w:r>
      <w:r>
        <w:rPr>
          <w:i/>
          <w:sz w:val="26"/>
        </w:rPr>
        <w:t>de</w:t>
      </w:r>
      <w:r>
        <w:rPr>
          <w:i/>
          <w:spacing w:val="-16"/>
          <w:sz w:val="26"/>
        </w:rPr>
        <w:t> </w:t>
      </w:r>
      <w:r>
        <w:rPr>
          <w:i/>
          <w:sz w:val="26"/>
        </w:rPr>
        <w:t>nitrógeno</w:t>
      </w:r>
      <w:r>
        <w:rPr>
          <w:i/>
          <w:spacing w:val="-16"/>
          <w:sz w:val="26"/>
        </w:rPr>
        <w:t> </w:t>
      </w:r>
      <w:r>
        <w:rPr>
          <w:i/>
          <w:sz w:val="26"/>
        </w:rPr>
        <w:t>y</w:t>
      </w:r>
      <w:r>
        <w:rPr>
          <w:i/>
          <w:spacing w:val="-16"/>
          <w:sz w:val="26"/>
        </w:rPr>
        <w:t> </w:t>
      </w:r>
      <w:r>
        <w:rPr>
          <w:i/>
          <w:sz w:val="26"/>
        </w:rPr>
        <w:t>cantidad</w:t>
      </w:r>
      <w:r>
        <w:rPr>
          <w:i/>
          <w:spacing w:val="-16"/>
          <w:sz w:val="26"/>
        </w:rPr>
        <w:t> </w:t>
      </w:r>
      <w:r>
        <w:rPr>
          <w:i/>
          <w:sz w:val="26"/>
        </w:rPr>
        <w:t>de</w:t>
      </w:r>
      <w:r>
        <w:rPr>
          <w:i/>
          <w:spacing w:val="-16"/>
          <w:sz w:val="26"/>
        </w:rPr>
        <w:t> </w:t>
      </w:r>
      <w:r>
        <w:rPr>
          <w:i/>
          <w:sz w:val="26"/>
        </w:rPr>
        <w:t>fósforo</w:t>
      </w:r>
      <w:r>
        <w:rPr>
          <w:i/>
          <w:spacing w:val="-16"/>
          <w:sz w:val="26"/>
        </w:rPr>
        <w:t> </w:t>
      </w:r>
      <w:r>
        <w:rPr>
          <w:i/>
          <w:sz w:val="26"/>
        </w:rPr>
        <w:t>aplicada</w:t>
      </w:r>
      <w:r>
        <w:rPr>
          <w:i/>
          <w:spacing w:val="-14"/>
          <w:sz w:val="26"/>
        </w:rPr>
        <w:t> </w:t>
      </w:r>
      <w:r>
        <w:rPr>
          <w:i/>
          <w:sz w:val="26"/>
        </w:rPr>
        <w:t>(FERT_KG</w:t>
      </w:r>
      <w:r>
        <w:rPr>
          <w:sz w:val="26"/>
        </w:rPr>
        <w:t>). El Anexo G en la Tabla 35 se muestran estos</w:t>
      </w:r>
      <w:r>
        <w:rPr>
          <w:spacing w:val="-7"/>
          <w:sz w:val="26"/>
        </w:rPr>
        <w:t> </w:t>
      </w:r>
      <w:r>
        <w:rPr>
          <w:sz w:val="26"/>
        </w:rPr>
        <w:t>datos.</w:t>
      </w:r>
    </w:p>
    <w:p>
      <w:pPr>
        <w:spacing w:after="0" w:line="355" w:lineRule="auto"/>
        <w:jc w:val="both"/>
        <w:rPr>
          <w:sz w:val="26"/>
        </w:rPr>
        <w:sectPr>
          <w:footerReference w:type="default" r:id="rId108"/>
          <w:pgSz w:w="12240" w:h="15840"/>
          <w:pgMar w:footer="1473" w:header="0" w:top="1380" w:bottom="1660" w:left="1300" w:right="1300"/>
        </w:sectPr>
      </w:pPr>
    </w:p>
    <w:p>
      <w:pPr>
        <w:pStyle w:val="Heading1"/>
        <w:numPr>
          <w:ilvl w:val="2"/>
          <w:numId w:val="5"/>
        </w:numPr>
        <w:tabs>
          <w:tab w:pos="707" w:val="left" w:leader="none"/>
        </w:tabs>
        <w:spacing w:line="240" w:lineRule="auto" w:before="53" w:after="0"/>
        <w:ind w:left="706" w:right="0" w:hanging="590"/>
        <w:jc w:val="both"/>
      </w:pPr>
      <w:bookmarkStart w:name="_bookmark63" w:id="93"/>
      <w:bookmarkEnd w:id="93"/>
      <w:r>
        <w:rPr>
          <w:b w:val="0"/>
        </w:rPr>
      </w:r>
      <w:bookmarkStart w:name="_bookmark63" w:id="94"/>
      <w:bookmarkEnd w:id="94"/>
      <w:r>
        <w:rPr/>
        <w:t>Dat</w:t>
      </w:r>
      <w:r>
        <w:rPr/>
        <w:t>os del cauce principal (ARCHIVO</w:t>
      </w:r>
      <w:r>
        <w:rPr>
          <w:spacing w:val="-17"/>
        </w:rPr>
        <w:t> </w:t>
      </w:r>
      <w:r>
        <w:rPr/>
        <w:t>RTE)</w:t>
      </w:r>
    </w:p>
    <w:p>
      <w:pPr>
        <w:pStyle w:val="BodyText"/>
        <w:rPr>
          <w:b/>
        </w:rPr>
      </w:pPr>
    </w:p>
    <w:p>
      <w:pPr>
        <w:pStyle w:val="BodyText"/>
        <w:spacing w:before="10"/>
        <w:rPr>
          <w:b/>
          <w:sz w:val="21"/>
        </w:rPr>
      </w:pPr>
    </w:p>
    <w:p>
      <w:pPr>
        <w:pStyle w:val="BodyText"/>
        <w:spacing w:line="360" w:lineRule="auto"/>
        <w:ind w:left="116" w:right="116"/>
        <w:jc w:val="both"/>
      </w:pPr>
      <w:r>
        <w:rPr/>
        <w:t>Con</w:t>
      </w:r>
      <w:r>
        <w:rPr>
          <w:spacing w:val="-10"/>
        </w:rPr>
        <w:t> </w:t>
      </w:r>
      <w:r>
        <w:rPr/>
        <w:t>el</w:t>
      </w:r>
      <w:r>
        <w:rPr>
          <w:spacing w:val="-10"/>
        </w:rPr>
        <w:t> </w:t>
      </w:r>
      <w:r>
        <w:rPr/>
        <w:t>objetivo</w:t>
      </w:r>
      <w:r>
        <w:rPr>
          <w:spacing w:val="-10"/>
        </w:rPr>
        <w:t> </w:t>
      </w:r>
      <w:r>
        <w:rPr/>
        <w:t>de</w:t>
      </w:r>
      <w:r>
        <w:rPr>
          <w:spacing w:val="-10"/>
        </w:rPr>
        <w:t> </w:t>
      </w:r>
      <w:r>
        <w:rPr/>
        <w:t>integrar</w:t>
      </w:r>
      <w:r>
        <w:rPr>
          <w:spacing w:val="-10"/>
        </w:rPr>
        <w:t> </w:t>
      </w:r>
      <w:r>
        <w:rPr/>
        <w:t>los</w:t>
      </w:r>
      <w:r>
        <w:rPr>
          <w:spacing w:val="-10"/>
        </w:rPr>
        <w:t> </w:t>
      </w:r>
      <w:r>
        <w:rPr/>
        <w:t>procesos</w:t>
      </w:r>
      <w:r>
        <w:rPr>
          <w:spacing w:val="-10"/>
        </w:rPr>
        <w:t> </w:t>
      </w:r>
      <w:r>
        <w:rPr/>
        <w:t>físicos</w:t>
      </w:r>
      <w:r>
        <w:rPr>
          <w:spacing w:val="-5"/>
        </w:rPr>
        <w:t> </w:t>
      </w:r>
      <w:r>
        <w:rPr/>
        <w:t>del</w:t>
      </w:r>
      <w:r>
        <w:rPr>
          <w:spacing w:val="-10"/>
        </w:rPr>
        <w:t> </w:t>
      </w:r>
      <w:r>
        <w:rPr/>
        <w:t>cauce</w:t>
      </w:r>
      <w:r>
        <w:rPr>
          <w:spacing w:val="-9"/>
        </w:rPr>
        <w:t> </w:t>
      </w:r>
      <w:r>
        <w:rPr/>
        <w:t>principal</w:t>
      </w:r>
      <w:r>
        <w:rPr>
          <w:spacing w:val="-9"/>
        </w:rPr>
        <w:t> </w:t>
      </w:r>
      <w:r>
        <w:rPr/>
        <w:t>que</w:t>
      </w:r>
      <w:r>
        <w:rPr>
          <w:spacing w:val="-10"/>
        </w:rPr>
        <w:t> </w:t>
      </w:r>
      <w:r>
        <w:rPr/>
        <w:t>afectan</w:t>
      </w:r>
      <w:r>
        <w:rPr>
          <w:spacing w:val="-9"/>
        </w:rPr>
        <w:t> </w:t>
      </w:r>
      <w:r>
        <w:rPr/>
        <w:t>el</w:t>
      </w:r>
      <w:r>
        <w:rPr>
          <w:spacing w:val="-10"/>
        </w:rPr>
        <w:t> </w:t>
      </w:r>
      <w:r>
        <w:rPr/>
        <w:t>transporte del</w:t>
      </w:r>
      <w:r>
        <w:rPr>
          <w:spacing w:val="-17"/>
        </w:rPr>
        <w:t> </w:t>
      </w:r>
      <w:r>
        <w:rPr/>
        <w:t>escurrimiento</w:t>
      </w:r>
      <w:r>
        <w:rPr>
          <w:spacing w:val="-17"/>
        </w:rPr>
        <w:t> </w:t>
      </w:r>
      <w:r>
        <w:rPr/>
        <w:t>y</w:t>
      </w:r>
      <w:r>
        <w:rPr>
          <w:spacing w:val="-17"/>
        </w:rPr>
        <w:t> </w:t>
      </w:r>
      <w:r>
        <w:rPr/>
        <w:t>sedimentos</w:t>
      </w:r>
      <w:r>
        <w:rPr>
          <w:spacing w:val="-17"/>
        </w:rPr>
        <w:t> </w:t>
      </w:r>
      <w:r>
        <w:rPr/>
        <w:t>en</w:t>
      </w:r>
      <w:r>
        <w:rPr>
          <w:spacing w:val="-17"/>
        </w:rPr>
        <w:t> </w:t>
      </w:r>
      <w:r>
        <w:rPr/>
        <w:t>la</w:t>
      </w:r>
      <w:r>
        <w:rPr>
          <w:spacing w:val="-17"/>
        </w:rPr>
        <w:t> </w:t>
      </w:r>
      <w:r>
        <w:rPr/>
        <w:t>ruta</w:t>
      </w:r>
      <w:r>
        <w:rPr>
          <w:spacing w:val="-17"/>
        </w:rPr>
        <w:t> </w:t>
      </w:r>
      <w:r>
        <w:rPr/>
        <w:t>del</w:t>
      </w:r>
      <w:r>
        <w:rPr>
          <w:spacing w:val="-17"/>
        </w:rPr>
        <w:t> </w:t>
      </w:r>
      <w:r>
        <w:rPr/>
        <w:t>canal</w:t>
      </w:r>
      <w:r>
        <w:rPr>
          <w:spacing w:val="-17"/>
        </w:rPr>
        <w:t> </w:t>
      </w:r>
      <w:r>
        <w:rPr/>
        <w:t>de</w:t>
      </w:r>
      <w:r>
        <w:rPr>
          <w:spacing w:val="-17"/>
        </w:rPr>
        <w:t> </w:t>
      </w:r>
      <w:r>
        <w:rPr/>
        <w:t>la</w:t>
      </w:r>
      <w:r>
        <w:rPr>
          <w:spacing w:val="-17"/>
        </w:rPr>
        <w:t> </w:t>
      </w:r>
      <w:r>
        <w:rPr/>
        <w:t>cuenca,</w:t>
      </w:r>
      <w:r>
        <w:rPr>
          <w:spacing w:val="-14"/>
        </w:rPr>
        <w:t> </w:t>
      </w:r>
      <w:r>
        <w:rPr/>
        <w:t>se</w:t>
      </w:r>
      <w:r>
        <w:rPr>
          <w:spacing w:val="-18"/>
        </w:rPr>
        <w:t> </w:t>
      </w:r>
      <w:r>
        <w:rPr/>
        <w:t>incluyeron</w:t>
      </w:r>
      <w:r>
        <w:rPr>
          <w:spacing w:val="-16"/>
        </w:rPr>
        <w:t> </w:t>
      </w:r>
      <w:r>
        <w:rPr/>
        <w:t>los</w:t>
      </w:r>
      <w:r>
        <w:rPr>
          <w:spacing w:val="-17"/>
        </w:rPr>
        <w:t> </w:t>
      </w:r>
      <w:r>
        <w:rPr/>
        <w:t>siguientes parámetros a las corridas del</w:t>
      </w:r>
      <w:r>
        <w:rPr>
          <w:spacing w:val="-12"/>
        </w:rPr>
        <w:t> </w:t>
      </w:r>
      <w:r>
        <w:rPr/>
        <w:t>modelo:</w:t>
      </w:r>
    </w:p>
    <w:p>
      <w:pPr>
        <w:pStyle w:val="BodyText"/>
      </w:pPr>
    </w:p>
    <w:p>
      <w:pPr>
        <w:pStyle w:val="ListParagraph"/>
        <w:numPr>
          <w:ilvl w:val="0"/>
          <w:numId w:val="37"/>
        </w:numPr>
        <w:tabs>
          <w:tab w:pos="837" w:val="left" w:leader="none"/>
        </w:tabs>
        <w:spacing w:line="355" w:lineRule="auto" w:before="156" w:after="0"/>
        <w:ind w:left="837" w:right="111" w:hanging="361"/>
        <w:jc w:val="both"/>
        <w:rPr>
          <w:sz w:val="26"/>
        </w:rPr>
      </w:pPr>
      <w:r>
        <w:rPr>
          <w:i/>
          <w:sz w:val="26"/>
        </w:rPr>
        <w:t>Ancho promedio (CH_W) y profundidad del cauce (CH_D). </w:t>
      </w:r>
      <w:r>
        <w:rPr>
          <w:sz w:val="26"/>
        </w:rPr>
        <w:t>Valor necesario para determinar las pérdidas por transmisión. Estos dos valores fueron obtenidos directamente en campo a partir de las hullas máximas observadas en 40</w:t>
      </w:r>
      <w:r>
        <w:rPr>
          <w:spacing w:val="-11"/>
          <w:sz w:val="26"/>
        </w:rPr>
        <w:t> </w:t>
      </w:r>
      <w:r>
        <w:rPr>
          <w:sz w:val="26"/>
        </w:rPr>
        <w:t>sitios.</w:t>
      </w:r>
    </w:p>
    <w:p>
      <w:pPr>
        <w:pStyle w:val="BodyText"/>
      </w:pPr>
    </w:p>
    <w:p>
      <w:pPr>
        <w:pStyle w:val="ListParagraph"/>
        <w:numPr>
          <w:ilvl w:val="0"/>
          <w:numId w:val="37"/>
        </w:numPr>
        <w:tabs>
          <w:tab w:pos="837" w:val="left" w:leader="none"/>
        </w:tabs>
        <w:spacing w:line="355" w:lineRule="auto" w:before="162" w:after="0"/>
        <w:ind w:left="837" w:right="119" w:hanging="361"/>
        <w:jc w:val="both"/>
        <w:rPr>
          <w:sz w:val="26"/>
        </w:rPr>
      </w:pPr>
      <w:r>
        <w:rPr>
          <w:i/>
          <w:sz w:val="26"/>
        </w:rPr>
        <w:t>Pendiente media del cauce (CH_S). </w:t>
      </w:r>
      <w:r>
        <w:rPr>
          <w:spacing w:val="-3"/>
          <w:sz w:val="26"/>
        </w:rPr>
        <w:t>Se </w:t>
      </w:r>
      <w:r>
        <w:rPr>
          <w:sz w:val="26"/>
        </w:rPr>
        <w:t>calcula dividiendo la diferencia de elevaciones</w:t>
      </w:r>
      <w:r>
        <w:rPr>
          <w:spacing w:val="-15"/>
          <w:sz w:val="26"/>
        </w:rPr>
        <w:t> </w:t>
      </w:r>
      <w:r>
        <w:rPr>
          <w:sz w:val="26"/>
        </w:rPr>
        <w:t>entre</w:t>
      </w:r>
      <w:r>
        <w:rPr>
          <w:spacing w:val="-14"/>
          <w:sz w:val="26"/>
        </w:rPr>
        <w:t> </w:t>
      </w:r>
      <w:r>
        <w:rPr>
          <w:sz w:val="26"/>
        </w:rPr>
        <w:t>las</w:t>
      </w:r>
      <w:r>
        <w:rPr>
          <w:spacing w:val="-15"/>
          <w:sz w:val="26"/>
        </w:rPr>
        <w:t> </w:t>
      </w:r>
      <w:r>
        <w:rPr>
          <w:sz w:val="26"/>
        </w:rPr>
        <w:t>salidas</w:t>
      </w:r>
      <w:r>
        <w:rPr>
          <w:spacing w:val="-14"/>
          <w:sz w:val="26"/>
        </w:rPr>
        <w:t> </w:t>
      </w:r>
      <w:r>
        <w:rPr>
          <w:sz w:val="26"/>
        </w:rPr>
        <w:t>de</w:t>
      </w:r>
      <w:r>
        <w:rPr>
          <w:spacing w:val="-15"/>
          <w:sz w:val="26"/>
        </w:rPr>
        <w:t> </w:t>
      </w:r>
      <w:r>
        <w:rPr>
          <w:sz w:val="26"/>
        </w:rPr>
        <w:t>las</w:t>
      </w:r>
      <w:r>
        <w:rPr>
          <w:spacing w:val="-15"/>
          <w:sz w:val="26"/>
        </w:rPr>
        <w:t> </w:t>
      </w:r>
      <w:r>
        <w:rPr>
          <w:sz w:val="26"/>
        </w:rPr>
        <w:t>subcuencas</w:t>
      </w:r>
      <w:r>
        <w:rPr>
          <w:spacing w:val="-15"/>
          <w:sz w:val="26"/>
        </w:rPr>
        <w:t> </w:t>
      </w:r>
      <w:r>
        <w:rPr>
          <w:sz w:val="26"/>
        </w:rPr>
        <w:t>y</w:t>
      </w:r>
      <w:r>
        <w:rPr>
          <w:spacing w:val="-15"/>
          <w:sz w:val="26"/>
        </w:rPr>
        <w:t> </w:t>
      </w:r>
      <w:r>
        <w:rPr>
          <w:sz w:val="26"/>
        </w:rPr>
        <w:t>la</w:t>
      </w:r>
      <w:r>
        <w:rPr>
          <w:spacing w:val="-15"/>
          <w:sz w:val="26"/>
        </w:rPr>
        <w:t> </w:t>
      </w:r>
      <w:r>
        <w:rPr>
          <w:sz w:val="26"/>
        </w:rPr>
        <w:t>cuenca,</w:t>
      </w:r>
      <w:r>
        <w:rPr>
          <w:spacing w:val="-12"/>
          <w:sz w:val="26"/>
        </w:rPr>
        <w:t> </w:t>
      </w:r>
      <w:r>
        <w:rPr>
          <w:sz w:val="26"/>
        </w:rPr>
        <w:t>con</w:t>
      </w:r>
      <w:r>
        <w:rPr>
          <w:spacing w:val="-15"/>
          <w:sz w:val="26"/>
        </w:rPr>
        <w:t> </w:t>
      </w:r>
      <w:r>
        <w:rPr>
          <w:sz w:val="26"/>
        </w:rPr>
        <w:t>la</w:t>
      </w:r>
      <w:r>
        <w:rPr>
          <w:spacing w:val="-15"/>
          <w:sz w:val="26"/>
        </w:rPr>
        <w:t> </w:t>
      </w:r>
      <w:r>
        <w:rPr>
          <w:sz w:val="26"/>
        </w:rPr>
        <w:t>longitud</w:t>
      </w:r>
      <w:r>
        <w:rPr>
          <w:spacing w:val="-15"/>
          <w:sz w:val="26"/>
        </w:rPr>
        <w:t> </w:t>
      </w:r>
      <w:r>
        <w:rPr>
          <w:sz w:val="26"/>
        </w:rPr>
        <w:t>del</w:t>
      </w:r>
      <w:r>
        <w:rPr>
          <w:spacing w:val="-15"/>
          <w:sz w:val="26"/>
        </w:rPr>
        <w:t> </w:t>
      </w:r>
      <w:r>
        <w:rPr>
          <w:sz w:val="26"/>
        </w:rPr>
        <w:t>cauce.</w:t>
      </w:r>
    </w:p>
    <w:p>
      <w:pPr>
        <w:pStyle w:val="BodyText"/>
      </w:pPr>
    </w:p>
    <w:p>
      <w:pPr>
        <w:pStyle w:val="ListParagraph"/>
        <w:numPr>
          <w:ilvl w:val="0"/>
          <w:numId w:val="37"/>
        </w:numPr>
        <w:tabs>
          <w:tab w:pos="837" w:val="left" w:leader="none"/>
        </w:tabs>
        <w:spacing w:line="355" w:lineRule="auto" w:before="157" w:after="0"/>
        <w:ind w:left="837" w:right="118" w:hanging="361"/>
        <w:jc w:val="both"/>
        <w:rPr>
          <w:sz w:val="26"/>
        </w:rPr>
      </w:pPr>
      <w:r>
        <w:rPr>
          <w:i/>
          <w:sz w:val="26"/>
        </w:rPr>
        <w:t>Longitud promedio del cauce (CH_L). </w:t>
      </w:r>
      <w:r>
        <w:rPr>
          <w:spacing w:val="-3"/>
          <w:sz w:val="26"/>
        </w:rPr>
        <w:t>Se </w:t>
      </w:r>
      <w:r>
        <w:rPr>
          <w:sz w:val="26"/>
        </w:rPr>
        <w:t>considera como el promedio de las distancias, de los diferentes tramos analizados en cada</w:t>
      </w:r>
      <w:r>
        <w:rPr>
          <w:spacing w:val="-9"/>
          <w:sz w:val="26"/>
        </w:rPr>
        <w:t> </w:t>
      </w:r>
      <w:r>
        <w:rPr>
          <w:sz w:val="26"/>
        </w:rPr>
        <w:t>subcuenca.</w:t>
      </w:r>
    </w:p>
    <w:p>
      <w:pPr>
        <w:pStyle w:val="BodyText"/>
      </w:pPr>
    </w:p>
    <w:p>
      <w:pPr>
        <w:pStyle w:val="ListParagraph"/>
        <w:numPr>
          <w:ilvl w:val="0"/>
          <w:numId w:val="37"/>
        </w:numPr>
        <w:tabs>
          <w:tab w:pos="837" w:val="left" w:leader="none"/>
        </w:tabs>
        <w:spacing w:line="350" w:lineRule="auto" w:before="162" w:after="0"/>
        <w:ind w:left="837" w:right="116" w:hanging="361"/>
        <w:jc w:val="both"/>
        <w:rPr>
          <w:sz w:val="26"/>
        </w:rPr>
      </w:pPr>
      <w:r>
        <w:rPr>
          <w:i/>
          <w:sz w:val="26"/>
        </w:rPr>
        <w:t>Valor</w:t>
      </w:r>
      <w:r>
        <w:rPr>
          <w:i/>
          <w:spacing w:val="-10"/>
          <w:sz w:val="26"/>
        </w:rPr>
        <w:t> </w:t>
      </w:r>
      <w:r>
        <w:rPr>
          <w:i/>
          <w:sz w:val="26"/>
        </w:rPr>
        <w:t>de</w:t>
      </w:r>
      <w:r>
        <w:rPr>
          <w:i/>
          <w:spacing w:val="-10"/>
          <w:sz w:val="26"/>
        </w:rPr>
        <w:t> </w:t>
      </w:r>
      <w:r>
        <w:rPr>
          <w:i/>
          <w:sz w:val="26"/>
        </w:rPr>
        <w:t>"N"</w:t>
      </w:r>
      <w:r>
        <w:rPr>
          <w:i/>
          <w:spacing w:val="-8"/>
          <w:sz w:val="26"/>
        </w:rPr>
        <w:t> </w:t>
      </w:r>
      <w:r>
        <w:rPr>
          <w:i/>
          <w:sz w:val="26"/>
        </w:rPr>
        <w:t>de</w:t>
      </w:r>
      <w:r>
        <w:rPr>
          <w:i/>
          <w:spacing w:val="-10"/>
          <w:sz w:val="26"/>
        </w:rPr>
        <w:t> </w:t>
      </w:r>
      <w:r>
        <w:rPr>
          <w:i/>
          <w:sz w:val="26"/>
        </w:rPr>
        <w:t>Manning</w:t>
      </w:r>
      <w:r>
        <w:rPr>
          <w:i/>
          <w:spacing w:val="-10"/>
          <w:sz w:val="26"/>
        </w:rPr>
        <w:t> </w:t>
      </w:r>
      <w:r>
        <w:rPr>
          <w:i/>
          <w:sz w:val="26"/>
        </w:rPr>
        <w:t>para</w:t>
      </w:r>
      <w:r>
        <w:rPr>
          <w:i/>
          <w:spacing w:val="-10"/>
          <w:sz w:val="26"/>
        </w:rPr>
        <w:t> </w:t>
      </w:r>
      <w:r>
        <w:rPr>
          <w:i/>
          <w:sz w:val="26"/>
        </w:rPr>
        <w:t>el</w:t>
      </w:r>
      <w:r>
        <w:rPr>
          <w:i/>
          <w:spacing w:val="-10"/>
          <w:sz w:val="26"/>
        </w:rPr>
        <w:t> </w:t>
      </w:r>
      <w:r>
        <w:rPr>
          <w:i/>
          <w:sz w:val="26"/>
        </w:rPr>
        <w:t>cauce</w:t>
      </w:r>
      <w:r>
        <w:rPr>
          <w:i/>
          <w:spacing w:val="-8"/>
          <w:sz w:val="26"/>
        </w:rPr>
        <w:t> </w:t>
      </w:r>
      <w:r>
        <w:rPr>
          <w:i/>
          <w:sz w:val="26"/>
        </w:rPr>
        <w:t>(CH_N).</w:t>
      </w:r>
      <w:r>
        <w:rPr>
          <w:i/>
          <w:spacing w:val="-7"/>
          <w:sz w:val="26"/>
        </w:rPr>
        <w:t> </w:t>
      </w:r>
      <w:r>
        <w:rPr>
          <w:sz w:val="26"/>
        </w:rPr>
        <w:t>Es</w:t>
      </w:r>
      <w:r>
        <w:rPr>
          <w:spacing w:val="-10"/>
          <w:sz w:val="26"/>
        </w:rPr>
        <w:t> </w:t>
      </w:r>
      <w:r>
        <w:rPr>
          <w:sz w:val="26"/>
        </w:rPr>
        <w:t>un</w:t>
      </w:r>
      <w:r>
        <w:rPr>
          <w:spacing w:val="-10"/>
          <w:sz w:val="26"/>
        </w:rPr>
        <w:t> </w:t>
      </w:r>
      <w:r>
        <w:rPr>
          <w:sz w:val="26"/>
        </w:rPr>
        <w:t>valor</w:t>
      </w:r>
      <w:r>
        <w:rPr>
          <w:spacing w:val="-10"/>
          <w:sz w:val="26"/>
        </w:rPr>
        <w:t> </w:t>
      </w:r>
      <w:r>
        <w:rPr>
          <w:sz w:val="26"/>
        </w:rPr>
        <w:t>de</w:t>
      </w:r>
      <w:r>
        <w:rPr>
          <w:spacing w:val="-9"/>
          <w:sz w:val="26"/>
        </w:rPr>
        <w:t> </w:t>
      </w:r>
      <w:r>
        <w:rPr>
          <w:sz w:val="26"/>
        </w:rPr>
        <w:t>rugosidad</w:t>
      </w:r>
      <w:r>
        <w:rPr>
          <w:spacing w:val="-10"/>
          <w:sz w:val="26"/>
        </w:rPr>
        <w:t> </w:t>
      </w:r>
      <w:r>
        <w:rPr>
          <w:sz w:val="26"/>
        </w:rPr>
        <w:t>del</w:t>
      </w:r>
      <w:r>
        <w:rPr>
          <w:spacing w:val="-10"/>
          <w:sz w:val="26"/>
        </w:rPr>
        <w:t> </w:t>
      </w:r>
      <w:r>
        <w:rPr>
          <w:sz w:val="26"/>
        </w:rPr>
        <w:t>cauce principal.</w:t>
      </w:r>
    </w:p>
    <w:p>
      <w:pPr>
        <w:pStyle w:val="BodyText"/>
      </w:pPr>
    </w:p>
    <w:p>
      <w:pPr>
        <w:pStyle w:val="BodyText"/>
        <w:spacing w:before="167"/>
        <w:ind w:left="116"/>
        <w:jc w:val="both"/>
      </w:pPr>
      <w:r>
        <w:rPr/>
        <w:t>Estos valores se resumen en el Anexo E de la Tabla 31.</w:t>
      </w:r>
    </w:p>
    <w:p>
      <w:pPr>
        <w:pStyle w:val="BodyText"/>
      </w:pPr>
    </w:p>
    <w:p>
      <w:pPr>
        <w:pStyle w:val="BodyText"/>
        <w:spacing w:before="1"/>
      </w:pPr>
    </w:p>
    <w:p>
      <w:pPr>
        <w:pStyle w:val="ListParagraph"/>
        <w:numPr>
          <w:ilvl w:val="0"/>
          <w:numId w:val="37"/>
        </w:numPr>
        <w:tabs>
          <w:tab w:pos="837" w:val="left" w:leader="none"/>
        </w:tabs>
        <w:spacing w:line="350" w:lineRule="auto" w:before="1" w:after="0"/>
        <w:ind w:left="837" w:right="115" w:hanging="361"/>
        <w:jc w:val="both"/>
        <w:rPr>
          <w:sz w:val="26"/>
        </w:rPr>
      </w:pPr>
      <w:r>
        <w:rPr>
          <w:i/>
          <w:sz w:val="26"/>
        </w:rPr>
        <w:t>Conductividad hidráulica efectiva del aluvión en el fondo del cauce (CH_K). </w:t>
      </w:r>
      <w:r>
        <w:rPr>
          <w:sz w:val="26"/>
        </w:rPr>
        <w:t>Se considera del material base del</w:t>
      </w:r>
      <w:r>
        <w:rPr>
          <w:spacing w:val="-12"/>
          <w:sz w:val="26"/>
        </w:rPr>
        <w:t> </w:t>
      </w:r>
      <w:r>
        <w:rPr>
          <w:sz w:val="26"/>
        </w:rPr>
        <w:t>cauce.</w:t>
      </w:r>
    </w:p>
    <w:p>
      <w:pPr>
        <w:pStyle w:val="BodyText"/>
      </w:pPr>
    </w:p>
    <w:p>
      <w:pPr>
        <w:pStyle w:val="ListParagraph"/>
        <w:numPr>
          <w:ilvl w:val="0"/>
          <w:numId w:val="37"/>
        </w:numPr>
        <w:tabs>
          <w:tab w:pos="837" w:val="left" w:leader="none"/>
        </w:tabs>
        <w:spacing w:line="355" w:lineRule="auto" w:before="167" w:after="0"/>
        <w:ind w:left="837" w:right="115" w:hanging="361"/>
        <w:jc w:val="both"/>
        <w:rPr>
          <w:sz w:val="26"/>
        </w:rPr>
      </w:pPr>
      <w:r>
        <w:rPr>
          <w:i/>
          <w:sz w:val="26"/>
        </w:rPr>
        <w:t>Valor</w:t>
      </w:r>
      <w:r>
        <w:rPr>
          <w:i/>
          <w:spacing w:val="-6"/>
          <w:sz w:val="26"/>
        </w:rPr>
        <w:t> </w:t>
      </w:r>
      <w:r>
        <w:rPr>
          <w:i/>
          <w:sz w:val="26"/>
        </w:rPr>
        <w:t>de</w:t>
      </w:r>
      <w:r>
        <w:rPr>
          <w:i/>
          <w:spacing w:val="-6"/>
          <w:sz w:val="26"/>
        </w:rPr>
        <w:t> </w:t>
      </w:r>
      <w:r>
        <w:rPr>
          <w:i/>
          <w:sz w:val="26"/>
        </w:rPr>
        <w:t>K</w:t>
      </w:r>
      <w:r>
        <w:rPr>
          <w:i/>
          <w:spacing w:val="-6"/>
          <w:sz w:val="26"/>
        </w:rPr>
        <w:t> </w:t>
      </w:r>
      <w:r>
        <w:rPr>
          <w:i/>
          <w:sz w:val="26"/>
        </w:rPr>
        <w:t>del</w:t>
      </w:r>
      <w:r>
        <w:rPr>
          <w:i/>
          <w:spacing w:val="-6"/>
          <w:sz w:val="26"/>
        </w:rPr>
        <w:t> </w:t>
      </w:r>
      <w:r>
        <w:rPr>
          <w:i/>
          <w:sz w:val="26"/>
        </w:rPr>
        <w:t>suelo</w:t>
      </w:r>
      <w:r>
        <w:rPr>
          <w:i/>
          <w:spacing w:val="-6"/>
          <w:sz w:val="26"/>
        </w:rPr>
        <w:t> </w:t>
      </w:r>
      <w:r>
        <w:rPr>
          <w:i/>
          <w:sz w:val="26"/>
        </w:rPr>
        <w:t>en</w:t>
      </w:r>
      <w:r>
        <w:rPr>
          <w:i/>
          <w:spacing w:val="-6"/>
          <w:sz w:val="26"/>
        </w:rPr>
        <w:t> </w:t>
      </w:r>
      <w:r>
        <w:rPr>
          <w:i/>
          <w:sz w:val="26"/>
        </w:rPr>
        <w:t>el</w:t>
      </w:r>
      <w:r>
        <w:rPr>
          <w:i/>
          <w:spacing w:val="-6"/>
          <w:sz w:val="26"/>
        </w:rPr>
        <w:t> </w:t>
      </w:r>
      <w:r>
        <w:rPr>
          <w:i/>
          <w:sz w:val="26"/>
        </w:rPr>
        <w:t>cauce</w:t>
      </w:r>
      <w:r>
        <w:rPr>
          <w:i/>
          <w:spacing w:val="-10"/>
          <w:sz w:val="26"/>
        </w:rPr>
        <w:t> </w:t>
      </w:r>
      <w:r>
        <w:rPr>
          <w:i/>
          <w:sz w:val="26"/>
        </w:rPr>
        <w:t>(CH_EROD)</w:t>
      </w:r>
      <w:r>
        <w:rPr>
          <w:i/>
          <w:spacing w:val="-6"/>
          <w:sz w:val="26"/>
        </w:rPr>
        <w:t> </w:t>
      </w:r>
      <w:r>
        <w:rPr>
          <w:i/>
          <w:sz w:val="26"/>
        </w:rPr>
        <w:t>y</w:t>
      </w:r>
      <w:r>
        <w:rPr>
          <w:i/>
          <w:spacing w:val="-6"/>
          <w:sz w:val="26"/>
        </w:rPr>
        <w:t> </w:t>
      </w:r>
      <w:r>
        <w:rPr>
          <w:i/>
          <w:sz w:val="26"/>
        </w:rPr>
        <w:t>de</w:t>
      </w:r>
      <w:r>
        <w:rPr>
          <w:i/>
          <w:spacing w:val="-6"/>
          <w:sz w:val="26"/>
        </w:rPr>
        <w:t> </w:t>
      </w:r>
      <w:r>
        <w:rPr>
          <w:i/>
          <w:sz w:val="26"/>
        </w:rPr>
        <w:t>cobertura</w:t>
      </w:r>
      <w:r>
        <w:rPr>
          <w:i/>
          <w:spacing w:val="-6"/>
          <w:sz w:val="26"/>
        </w:rPr>
        <w:t> </w:t>
      </w:r>
      <w:r>
        <w:rPr>
          <w:i/>
          <w:sz w:val="26"/>
        </w:rPr>
        <w:t>(CH_COV).</w:t>
      </w:r>
      <w:r>
        <w:rPr>
          <w:i/>
          <w:spacing w:val="-2"/>
          <w:sz w:val="26"/>
        </w:rPr>
        <w:t> </w:t>
      </w:r>
      <w:r>
        <w:rPr>
          <w:spacing w:val="-3"/>
          <w:sz w:val="26"/>
        </w:rPr>
        <w:t>Se</w:t>
      </w:r>
      <w:r>
        <w:rPr>
          <w:spacing w:val="-6"/>
          <w:sz w:val="26"/>
        </w:rPr>
        <w:t> </w:t>
      </w:r>
      <w:r>
        <w:rPr>
          <w:sz w:val="26"/>
        </w:rPr>
        <w:t>refiere al factor de erosibilidad y cobertura del suelo de la USLE, son necesarios para calcular el movimiento de los</w:t>
      </w:r>
      <w:r>
        <w:rPr>
          <w:spacing w:val="-16"/>
          <w:sz w:val="26"/>
        </w:rPr>
        <w:t> </w:t>
      </w:r>
      <w:r>
        <w:rPr>
          <w:sz w:val="26"/>
        </w:rPr>
        <w:t>sedimentos.</w:t>
      </w:r>
    </w:p>
    <w:p>
      <w:pPr>
        <w:spacing w:after="0" w:line="355" w:lineRule="auto"/>
        <w:jc w:val="both"/>
        <w:rPr>
          <w:sz w:val="26"/>
        </w:rPr>
        <w:sectPr>
          <w:footerReference w:type="default" r:id="rId109"/>
          <w:pgSz w:w="12240" w:h="15840"/>
          <w:pgMar w:footer="1473" w:header="0" w:top="1360" w:bottom="1660" w:left="1300" w:right="1300"/>
          <w:pgNumType w:start="91"/>
        </w:sectPr>
      </w:pPr>
    </w:p>
    <w:p>
      <w:pPr>
        <w:pStyle w:val="ListParagraph"/>
        <w:numPr>
          <w:ilvl w:val="0"/>
          <w:numId w:val="37"/>
        </w:numPr>
        <w:tabs>
          <w:tab w:pos="837" w:val="left" w:leader="none"/>
        </w:tabs>
        <w:spacing w:line="355" w:lineRule="auto" w:before="29" w:after="0"/>
        <w:ind w:left="837" w:right="110" w:hanging="361"/>
        <w:jc w:val="both"/>
        <w:rPr>
          <w:sz w:val="26"/>
        </w:rPr>
      </w:pPr>
      <w:r>
        <w:rPr>
          <w:i/>
          <w:sz w:val="26"/>
        </w:rPr>
        <w:t>Factor canal de erosibilidad de banco (CH_COV1) y de cama (CH_COV2). </w:t>
      </w:r>
      <w:r>
        <w:rPr>
          <w:sz w:val="26"/>
        </w:rPr>
        <w:t>Para</w:t>
      </w:r>
      <w:r>
        <w:rPr>
          <w:spacing w:val="-41"/>
          <w:sz w:val="26"/>
        </w:rPr>
        <w:t> </w:t>
      </w:r>
      <w:r>
        <w:rPr>
          <w:sz w:val="26"/>
        </w:rPr>
        <w:t>la cuenca se retomaron los datos de Fernández (1996); los Cuadros 6 y 7 se utilizan para determinar los</w:t>
      </w:r>
      <w:r>
        <w:rPr>
          <w:spacing w:val="-9"/>
          <w:sz w:val="26"/>
        </w:rPr>
        <w:t> </w:t>
      </w:r>
      <w:r>
        <w:rPr>
          <w:sz w:val="26"/>
        </w:rPr>
        <w:t>valores:</w:t>
      </w:r>
    </w:p>
    <w:p>
      <w:pPr>
        <w:pStyle w:val="BodyText"/>
        <w:spacing w:line="357" w:lineRule="auto" w:before="14"/>
        <w:ind w:left="4004" w:right="3998"/>
        <w:jc w:val="center"/>
      </w:pPr>
      <w:r>
        <w:rPr/>
        <w:t>Sí CH_EQ es 0 Entonces:</w:t>
      </w:r>
    </w:p>
    <w:p>
      <w:pPr>
        <w:pStyle w:val="BodyText"/>
      </w:pPr>
    </w:p>
    <w:p>
      <w:pPr>
        <w:pStyle w:val="BodyText"/>
        <w:spacing w:before="159"/>
        <w:ind w:left="255" w:right="259"/>
        <w:jc w:val="center"/>
      </w:pPr>
      <w:r>
        <w:rPr/>
        <w:t>CH_COV1:</w:t>
      </w:r>
    </w:p>
    <w:p>
      <w:pPr>
        <w:pStyle w:val="BodyText"/>
        <w:spacing w:before="147"/>
        <w:ind w:left="255" w:right="256"/>
        <w:jc w:val="center"/>
      </w:pPr>
      <w:r>
        <w:rPr/>
        <w:t>0 = canal no erosivo</w:t>
      </w:r>
    </w:p>
    <w:p>
      <w:pPr>
        <w:pStyle w:val="BodyText"/>
        <w:spacing w:before="152"/>
        <w:ind w:left="255" w:right="248"/>
        <w:jc w:val="center"/>
      </w:pPr>
      <w:r>
        <w:rPr/>
        <w:t>1 = no resistente a la erosión</w:t>
      </w:r>
    </w:p>
    <w:p>
      <w:pPr>
        <w:pStyle w:val="BodyText"/>
      </w:pPr>
    </w:p>
    <w:p>
      <w:pPr>
        <w:pStyle w:val="BodyText"/>
        <w:spacing w:before="1"/>
      </w:pPr>
    </w:p>
    <w:p>
      <w:pPr>
        <w:pStyle w:val="BodyText"/>
        <w:spacing w:line="357" w:lineRule="auto"/>
        <w:ind w:left="116" w:right="115"/>
        <w:jc w:val="both"/>
      </w:pPr>
      <w:r>
        <w:rPr/>
        <w:t>El canal de factor de erosibilidad es conceptualmente similar al factor de erosibilidad del suelo usado en la ecuación USLE. Para la cuenca se retomaron los datos de Fernández (1996).</w:t>
      </w:r>
    </w:p>
    <w:p>
      <w:pPr>
        <w:pStyle w:val="BodyText"/>
        <w:spacing w:before="11"/>
        <w:ind w:left="255" w:right="255"/>
        <w:jc w:val="center"/>
      </w:pPr>
      <w:r>
        <w:rPr/>
        <w:t>Sí CH_EQN = / 0</w:t>
      </w:r>
    </w:p>
    <w:p>
      <w:pPr>
        <w:pStyle w:val="BodyText"/>
        <w:spacing w:line="362" w:lineRule="auto" w:before="147"/>
        <w:ind w:left="116" w:right="118"/>
      </w:pPr>
      <w:r>
        <w:rPr/>
        <w:t>Se toman los valores del coeficiente del banco de vegetación para el esfuerzo crítico de corte.</w:t>
      </w:r>
    </w:p>
    <w:p>
      <w:pPr>
        <w:pStyle w:val="Heading1"/>
        <w:ind w:left="1648" w:right="118"/>
      </w:pPr>
      <w:bookmarkStart w:name="_bookmark64" w:id="95"/>
      <w:bookmarkEnd w:id="95"/>
      <w:r>
        <w:rPr>
          <w:b w:val="0"/>
        </w:rPr>
      </w:r>
      <w:r>
        <w:rPr/>
        <w:t>Cuadro 6. Valores de coeficiente del banco de vegetación.</w:t>
      </w:r>
    </w:p>
    <w:p>
      <w:pPr>
        <w:pStyle w:val="BodyText"/>
        <w:rPr>
          <w:b/>
          <w:sz w:val="18"/>
        </w:rPr>
      </w:pPr>
    </w:p>
    <w:tbl>
      <w:tblPr>
        <w:tblW w:w="0" w:type="auto"/>
        <w:jc w:val="left"/>
        <w:tblInd w:w="18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76"/>
        <w:gridCol w:w="2500"/>
      </w:tblGrid>
      <w:tr>
        <w:trPr>
          <w:trHeight w:val="461" w:hRule="exact"/>
        </w:trPr>
        <w:tc>
          <w:tcPr>
            <w:tcW w:w="3176" w:type="dxa"/>
            <w:tcBorders>
              <w:left w:val="nil"/>
              <w:right w:val="nil"/>
            </w:tcBorders>
          </w:tcPr>
          <w:p>
            <w:pPr>
              <w:pStyle w:val="TableParagraph"/>
              <w:spacing w:line="297" w:lineRule="exact" w:before="0"/>
              <w:ind w:left="374"/>
              <w:jc w:val="left"/>
              <w:rPr>
                <w:b/>
                <w:sz w:val="26"/>
              </w:rPr>
            </w:pPr>
            <w:r>
              <w:rPr>
                <w:b/>
                <w:sz w:val="26"/>
              </w:rPr>
              <w:t>Banco de vegetación</w:t>
            </w:r>
          </w:p>
        </w:tc>
        <w:tc>
          <w:tcPr>
            <w:tcW w:w="2500" w:type="dxa"/>
            <w:tcBorders>
              <w:left w:val="nil"/>
              <w:right w:val="nil"/>
            </w:tcBorders>
          </w:tcPr>
          <w:p>
            <w:pPr>
              <w:pStyle w:val="TableParagraph"/>
              <w:spacing w:line="297" w:lineRule="exact" w:before="0"/>
              <w:ind w:left="550"/>
              <w:jc w:val="left"/>
              <w:rPr>
                <w:b/>
                <w:sz w:val="26"/>
              </w:rPr>
            </w:pPr>
            <w:r>
              <w:rPr>
                <w:b/>
                <w:sz w:val="26"/>
              </w:rPr>
              <w:t>CH_COV1</w:t>
            </w:r>
          </w:p>
        </w:tc>
      </w:tr>
      <w:tr>
        <w:trPr>
          <w:trHeight w:val="384" w:hRule="exact"/>
        </w:trPr>
        <w:tc>
          <w:tcPr>
            <w:tcW w:w="3176" w:type="dxa"/>
            <w:tcBorders>
              <w:left w:val="nil"/>
              <w:bottom w:val="nil"/>
              <w:right w:val="nil"/>
            </w:tcBorders>
          </w:tcPr>
          <w:p>
            <w:pPr>
              <w:pStyle w:val="TableParagraph"/>
              <w:spacing w:line="291" w:lineRule="exact" w:before="0"/>
              <w:ind w:left="110"/>
              <w:jc w:val="left"/>
              <w:rPr>
                <w:sz w:val="26"/>
              </w:rPr>
            </w:pPr>
            <w:r>
              <w:rPr>
                <w:sz w:val="26"/>
              </w:rPr>
              <w:t>Ninguno</w:t>
            </w:r>
          </w:p>
        </w:tc>
        <w:tc>
          <w:tcPr>
            <w:tcW w:w="2500" w:type="dxa"/>
            <w:tcBorders>
              <w:left w:val="nil"/>
              <w:bottom w:val="nil"/>
              <w:right w:val="nil"/>
            </w:tcBorders>
          </w:tcPr>
          <w:p>
            <w:pPr>
              <w:pStyle w:val="TableParagraph"/>
              <w:spacing w:line="291" w:lineRule="exact" w:before="0"/>
              <w:ind w:right="104"/>
              <w:rPr>
                <w:sz w:val="26"/>
              </w:rPr>
            </w:pPr>
            <w:r>
              <w:rPr>
                <w:sz w:val="26"/>
              </w:rPr>
              <w:t>1.00</w:t>
            </w:r>
          </w:p>
        </w:tc>
      </w:tr>
      <w:tr>
        <w:trPr>
          <w:trHeight w:val="449" w:hRule="exact"/>
        </w:trPr>
        <w:tc>
          <w:tcPr>
            <w:tcW w:w="3176" w:type="dxa"/>
            <w:tcBorders>
              <w:top w:val="nil"/>
              <w:left w:val="nil"/>
              <w:bottom w:val="nil"/>
              <w:right w:val="nil"/>
            </w:tcBorders>
          </w:tcPr>
          <w:p>
            <w:pPr>
              <w:pStyle w:val="TableParagraph"/>
              <w:spacing w:before="59"/>
              <w:ind w:left="110"/>
              <w:jc w:val="left"/>
              <w:rPr>
                <w:sz w:val="26"/>
              </w:rPr>
            </w:pPr>
            <w:r>
              <w:rPr>
                <w:sz w:val="26"/>
              </w:rPr>
              <w:t>Cubierta de hierba</w:t>
            </w:r>
          </w:p>
        </w:tc>
        <w:tc>
          <w:tcPr>
            <w:tcW w:w="2500" w:type="dxa"/>
            <w:tcBorders>
              <w:top w:val="nil"/>
              <w:left w:val="nil"/>
              <w:bottom w:val="nil"/>
              <w:right w:val="nil"/>
            </w:tcBorders>
          </w:tcPr>
          <w:p>
            <w:pPr>
              <w:pStyle w:val="TableParagraph"/>
              <w:spacing w:before="59"/>
              <w:ind w:right="104"/>
              <w:rPr>
                <w:sz w:val="26"/>
              </w:rPr>
            </w:pPr>
            <w:r>
              <w:rPr>
                <w:sz w:val="26"/>
              </w:rPr>
              <w:t>1.97</w:t>
            </w:r>
          </w:p>
        </w:tc>
      </w:tr>
      <w:tr>
        <w:trPr>
          <w:trHeight w:val="449" w:hRule="exact"/>
        </w:trPr>
        <w:tc>
          <w:tcPr>
            <w:tcW w:w="3176" w:type="dxa"/>
            <w:tcBorders>
              <w:top w:val="nil"/>
              <w:left w:val="nil"/>
              <w:bottom w:val="nil"/>
              <w:right w:val="nil"/>
            </w:tcBorders>
          </w:tcPr>
          <w:p>
            <w:pPr>
              <w:pStyle w:val="TableParagraph"/>
              <w:spacing w:before="62"/>
              <w:ind w:left="110"/>
              <w:jc w:val="left"/>
              <w:rPr>
                <w:sz w:val="26"/>
              </w:rPr>
            </w:pPr>
            <w:r>
              <w:rPr>
                <w:sz w:val="26"/>
              </w:rPr>
              <w:t>Árboles dispersos</w:t>
            </w:r>
          </w:p>
        </w:tc>
        <w:tc>
          <w:tcPr>
            <w:tcW w:w="2500" w:type="dxa"/>
            <w:tcBorders>
              <w:top w:val="nil"/>
              <w:left w:val="nil"/>
              <w:bottom w:val="nil"/>
              <w:right w:val="nil"/>
            </w:tcBorders>
          </w:tcPr>
          <w:p>
            <w:pPr>
              <w:pStyle w:val="TableParagraph"/>
              <w:spacing w:before="62"/>
              <w:ind w:right="104"/>
              <w:rPr>
                <w:sz w:val="26"/>
              </w:rPr>
            </w:pPr>
            <w:r>
              <w:rPr>
                <w:sz w:val="26"/>
              </w:rPr>
              <w:t>5.40</w:t>
            </w:r>
          </w:p>
        </w:tc>
      </w:tr>
      <w:tr>
        <w:trPr>
          <w:trHeight w:val="523" w:hRule="exact"/>
        </w:trPr>
        <w:tc>
          <w:tcPr>
            <w:tcW w:w="3176" w:type="dxa"/>
            <w:tcBorders>
              <w:top w:val="nil"/>
              <w:left w:val="nil"/>
              <w:right w:val="nil"/>
            </w:tcBorders>
          </w:tcPr>
          <w:p>
            <w:pPr>
              <w:pStyle w:val="TableParagraph"/>
              <w:spacing w:before="59"/>
              <w:ind w:left="110"/>
              <w:jc w:val="left"/>
              <w:rPr>
                <w:sz w:val="26"/>
              </w:rPr>
            </w:pPr>
            <w:r>
              <w:rPr>
                <w:sz w:val="26"/>
              </w:rPr>
              <w:t>Árboles densos</w:t>
            </w:r>
          </w:p>
        </w:tc>
        <w:tc>
          <w:tcPr>
            <w:tcW w:w="2500" w:type="dxa"/>
            <w:tcBorders>
              <w:top w:val="nil"/>
              <w:left w:val="nil"/>
              <w:right w:val="nil"/>
            </w:tcBorders>
          </w:tcPr>
          <w:p>
            <w:pPr>
              <w:pStyle w:val="TableParagraph"/>
              <w:spacing w:before="59"/>
              <w:ind w:right="104"/>
              <w:rPr>
                <w:sz w:val="26"/>
              </w:rPr>
            </w:pPr>
            <w:r>
              <w:rPr>
                <w:sz w:val="26"/>
              </w:rPr>
              <w:t>19.20</w:t>
            </w:r>
          </w:p>
        </w:tc>
      </w:tr>
    </w:tbl>
    <w:p>
      <w:pPr>
        <w:spacing w:line="249" w:lineRule="exact" w:before="0"/>
        <w:ind w:left="1768" w:right="118" w:firstLine="0"/>
        <w:jc w:val="left"/>
        <w:rPr>
          <w:sz w:val="22"/>
        </w:rPr>
      </w:pPr>
      <w:r>
        <w:rPr>
          <w:sz w:val="22"/>
        </w:rPr>
        <w:t>Fuente: Fernández (1996).</w:t>
      </w:r>
    </w:p>
    <w:p>
      <w:pPr>
        <w:pStyle w:val="BodyText"/>
        <w:rPr>
          <w:sz w:val="20"/>
        </w:rPr>
      </w:pPr>
    </w:p>
    <w:p>
      <w:pPr>
        <w:pStyle w:val="BodyText"/>
        <w:spacing w:before="8"/>
        <w:rPr>
          <w:sz w:val="23"/>
        </w:rPr>
      </w:pPr>
    </w:p>
    <w:p>
      <w:pPr>
        <w:pStyle w:val="BodyText"/>
        <w:spacing w:line="357" w:lineRule="auto" w:before="66"/>
        <w:ind w:left="4197" w:right="4202" w:firstLine="5"/>
        <w:jc w:val="center"/>
      </w:pPr>
      <w:r>
        <w:rPr/>
        <w:t>Entonces: </w:t>
      </w:r>
      <w:r>
        <w:rPr>
          <w:w w:val="95"/>
        </w:rPr>
        <w:t>CH_COV2:</w:t>
      </w:r>
    </w:p>
    <w:p>
      <w:pPr>
        <w:spacing w:after="0" w:line="357" w:lineRule="auto"/>
        <w:jc w:val="center"/>
        <w:sectPr>
          <w:pgSz w:w="12240" w:h="15840"/>
          <w:pgMar w:header="0" w:footer="1473" w:top="1380" w:bottom="1660" w:left="1300" w:right="1300"/>
        </w:sectPr>
      </w:pPr>
    </w:p>
    <w:p>
      <w:pPr>
        <w:pStyle w:val="BodyText"/>
        <w:spacing w:before="49"/>
        <w:ind w:left="255" w:right="251"/>
        <w:jc w:val="center"/>
      </w:pPr>
      <w:r>
        <w:rPr/>
        <w:t>Sí CH_EQ es 0 el factor de canal de cubierta:</w:t>
      </w:r>
    </w:p>
    <w:p>
      <w:pPr>
        <w:pStyle w:val="BodyText"/>
        <w:spacing w:line="360" w:lineRule="auto" w:before="152"/>
        <w:ind w:left="1523" w:right="1521"/>
        <w:jc w:val="center"/>
      </w:pPr>
      <w:r>
        <w:rPr/>
        <w:t>0 = canal está completamente protegido de erosión por cubierta 1 = no hay cubierta vegetal en el canal</w:t>
      </w:r>
    </w:p>
    <w:p>
      <w:pPr>
        <w:pStyle w:val="BodyText"/>
      </w:pPr>
    </w:p>
    <w:p>
      <w:pPr>
        <w:pStyle w:val="BodyText"/>
        <w:spacing w:before="155"/>
        <w:ind w:left="255" w:right="256"/>
        <w:jc w:val="center"/>
      </w:pPr>
      <w:r>
        <w:rPr/>
        <w:t>Sí CH_EQN =/ 0</w:t>
      </w:r>
    </w:p>
    <w:p>
      <w:pPr>
        <w:pStyle w:val="BodyText"/>
        <w:spacing w:before="152"/>
        <w:ind w:left="255" w:right="258"/>
        <w:jc w:val="center"/>
      </w:pPr>
      <w:r>
        <w:rPr/>
        <w:t>Canal de cama de vegetación por esfuerzo crítico de corte</w:t>
      </w:r>
    </w:p>
    <w:p>
      <w:pPr>
        <w:pStyle w:val="Heading1"/>
        <w:spacing w:before="148"/>
        <w:ind w:left="255" w:right="255"/>
        <w:jc w:val="center"/>
      </w:pPr>
      <w:bookmarkStart w:name="_bookmark65" w:id="96"/>
      <w:bookmarkEnd w:id="96"/>
      <w:r>
        <w:rPr>
          <w:b w:val="0"/>
        </w:rPr>
      </w:r>
      <w:r>
        <w:rPr>
          <w:sz w:val="24"/>
        </w:rPr>
        <w:t>Cuadro 7. </w:t>
      </w:r>
      <w:r>
        <w:rPr/>
        <w:t>Valores del coeficiente de la cama de vegetación.</w:t>
      </w:r>
    </w:p>
    <w:p>
      <w:pPr>
        <w:pStyle w:val="BodyText"/>
        <w:rPr>
          <w:b/>
          <w:sz w:val="18"/>
        </w:rPr>
      </w:pPr>
    </w:p>
    <w:tbl>
      <w:tblPr>
        <w:tblW w:w="0" w:type="auto"/>
        <w:jc w:val="left"/>
        <w:tblInd w:w="18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69"/>
        <w:gridCol w:w="2507"/>
      </w:tblGrid>
      <w:tr>
        <w:trPr>
          <w:trHeight w:val="456" w:hRule="exact"/>
        </w:trPr>
        <w:tc>
          <w:tcPr>
            <w:tcW w:w="3169" w:type="dxa"/>
            <w:tcBorders>
              <w:left w:val="nil"/>
              <w:right w:val="nil"/>
            </w:tcBorders>
          </w:tcPr>
          <w:p>
            <w:pPr>
              <w:pStyle w:val="TableParagraph"/>
              <w:spacing w:line="296" w:lineRule="exact" w:before="0"/>
              <w:ind w:left="389"/>
              <w:jc w:val="left"/>
              <w:rPr>
                <w:b/>
                <w:sz w:val="26"/>
              </w:rPr>
            </w:pPr>
            <w:r>
              <w:rPr>
                <w:b/>
                <w:sz w:val="26"/>
              </w:rPr>
              <w:t>Cama de vegetación</w:t>
            </w:r>
          </w:p>
        </w:tc>
        <w:tc>
          <w:tcPr>
            <w:tcW w:w="2507" w:type="dxa"/>
            <w:tcBorders>
              <w:left w:val="nil"/>
              <w:right w:val="nil"/>
            </w:tcBorders>
          </w:tcPr>
          <w:p>
            <w:pPr>
              <w:pStyle w:val="TableParagraph"/>
              <w:spacing w:line="296" w:lineRule="exact" w:before="0"/>
              <w:ind w:left="557"/>
              <w:jc w:val="left"/>
              <w:rPr>
                <w:b/>
                <w:sz w:val="26"/>
              </w:rPr>
            </w:pPr>
            <w:r>
              <w:rPr>
                <w:b/>
                <w:sz w:val="26"/>
              </w:rPr>
              <w:t>CH_COV2</w:t>
            </w:r>
          </w:p>
        </w:tc>
      </w:tr>
      <w:tr>
        <w:trPr>
          <w:trHeight w:val="389" w:hRule="exact"/>
        </w:trPr>
        <w:tc>
          <w:tcPr>
            <w:tcW w:w="3169" w:type="dxa"/>
            <w:tcBorders>
              <w:left w:val="nil"/>
              <w:bottom w:val="nil"/>
              <w:right w:val="nil"/>
            </w:tcBorders>
          </w:tcPr>
          <w:p>
            <w:pPr>
              <w:pStyle w:val="TableParagraph"/>
              <w:spacing w:line="296" w:lineRule="exact" w:before="0"/>
              <w:ind w:left="110"/>
              <w:jc w:val="left"/>
              <w:rPr>
                <w:sz w:val="26"/>
              </w:rPr>
            </w:pPr>
            <w:r>
              <w:rPr>
                <w:sz w:val="26"/>
              </w:rPr>
              <w:t>Ninguno</w:t>
            </w:r>
          </w:p>
        </w:tc>
        <w:tc>
          <w:tcPr>
            <w:tcW w:w="2507" w:type="dxa"/>
            <w:tcBorders>
              <w:left w:val="nil"/>
              <w:bottom w:val="nil"/>
              <w:right w:val="nil"/>
            </w:tcBorders>
          </w:tcPr>
          <w:p>
            <w:pPr>
              <w:pStyle w:val="TableParagraph"/>
              <w:spacing w:line="296" w:lineRule="exact" w:before="0"/>
              <w:ind w:right="104"/>
              <w:rPr>
                <w:sz w:val="26"/>
              </w:rPr>
            </w:pPr>
            <w:r>
              <w:rPr>
                <w:sz w:val="26"/>
              </w:rPr>
              <w:t>1.00</w:t>
            </w:r>
          </w:p>
        </w:tc>
      </w:tr>
      <w:tr>
        <w:trPr>
          <w:trHeight w:val="447" w:hRule="exact"/>
        </w:trPr>
        <w:tc>
          <w:tcPr>
            <w:tcW w:w="3169" w:type="dxa"/>
            <w:tcBorders>
              <w:top w:val="nil"/>
              <w:left w:val="nil"/>
              <w:bottom w:val="nil"/>
              <w:right w:val="nil"/>
            </w:tcBorders>
          </w:tcPr>
          <w:p>
            <w:pPr>
              <w:pStyle w:val="TableParagraph"/>
              <w:spacing w:before="59"/>
              <w:ind w:left="110"/>
              <w:jc w:val="left"/>
              <w:rPr>
                <w:sz w:val="26"/>
              </w:rPr>
            </w:pPr>
            <w:r>
              <w:rPr>
                <w:sz w:val="26"/>
              </w:rPr>
              <w:t>Cubierta de hierba</w:t>
            </w:r>
          </w:p>
        </w:tc>
        <w:tc>
          <w:tcPr>
            <w:tcW w:w="2507" w:type="dxa"/>
            <w:tcBorders>
              <w:top w:val="nil"/>
              <w:left w:val="nil"/>
              <w:bottom w:val="nil"/>
              <w:right w:val="nil"/>
            </w:tcBorders>
          </w:tcPr>
          <w:p>
            <w:pPr>
              <w:pStyle w:val="TableParagraph"/>
              <w:spacing w:before="59"/>
              <w:ind w:right="104"/>
              <w:rPr>
                <w:sz w:val="26"/>
              </w:rPr>
            </w:pPr>
            <w:r>
              <w:rPr>
                <w:sz w:val="26"/>
              </w:rPr>
              <w:t>1.97</w:t>
            </w:r>
          </w:p>
        </w:tc>
      </w:tr>
      <w:tr>
        <w:trPr>
          <w:trHeight w:val="449" w:hRule="exact"/>
        </w:trPr>
        <w:tc>
          <w:tcPr>
            <w:tcW w:w="3169" w:type="dxa"/>
            <w:tcBorders>
              <w:top w:val="nil"/>
              <w:left w:val="nil"/>
              <w:bottom w:val="nil"/>
              <w:right w:val="nil"/>
            </w:tcBorders>
          </w:tcPr>
          <w:p>
            <w:pPr>
              <w:pStyle w:val="TableParagraph"/>
              <w:spacing w:before="59"/>
              <w:ind w:left="110"/>
              <w:jc w:val="left"/>
              <w:rPr>
                <w:sz w:val="26"/>
              </w:rPr>
            </w:pPr>
            <w:r>
              <w:rPr>
                <w:sz w:val="26"/>
              </w:rPr>
              <w:t>Árboles dispersos</w:t>
            </w:r>
          </w:p>
        </w:tc>
        <w:tc>
          <w:tcPr>
            <w:tcW w:w="2507" w:type="dxa"/>
            <w:tcBorders>
              <w:top w:val="nil"/>
              <w:left w:val="nil"/>
              <w:bottom w:val="nil"/>
              <w:right w:val="nil"/>
            </w:tcBorders>
          </w:tcPr>
          <w:p>
            <w:pPr>
              <w:pStyle w:val="TableParagraph"/>
              <w:spacing w:before="59"/>
              <w:ind w:right="104"/>
              <w:rPr>
                <w:sz w:val="26"/>
              </w:rPr>
            </w:pPr>
            <w:r>
              <w:rPr>
                <w:sz w:val="26"/>
              </w:rPr>
              <w:t>5.40</w:t>
            </w:r>
          </w:p>
        </w:tc>
      </w:tr>
      <w:tr>
        <w:trPr>
          <w:trHeight w:val="521" w:hRule="exact"/>
        </w:trPr>
        <w:tc>
          <w:tcPr>
            <w:tcW w:w="3169" w:type="dxa"/>
            <w:tcBorders>
              <w:top w:val="nil"/>
              <w:left w:val="nil"/>
              <w:right w:val="nil"/>
            </w:tcBorders>
          </w:tcPr>
          <w:p>
            <w:pPr>
              <w:pStyle w:val="TableParagraph"/>
              <w:spacing w:before="62"/>
              <w:ind w:left="110"/>
              <w:jc w:val="left"/>
              <w:rPr>
                <w:sz w:val="26"/>
              </w:rPr>
            </w:pPr>
            <w:r>
              <w:rPr>
                <w:sz w:val="26"/>
              </w:rPr>
              <w:t>Árboles densos</w:t>
            </w:r>
          </w:p>
        </w:tc>
        <w:tc>
          <w:tcPr>
            <w:tcW w:w="2507" w:type="dxa"/>
            <w:tcBorders>
              <w:top w:val="nil"/>
              <w:left w:val="nil"/>
              <w:right w:val="nil"/>
            </w:tcBorders>
          </w:tcPr>
          <w:p>
            <w:pPr>
              <w:pStyle w:val="TableParagraph"/>
              <w:spacing w:before="62"/>
              <w:ind w:right="104"/>
              <w:rPr>
                <w:sz w:val="26"/>
              </w:rPr>
            </w:pPr>
            <w:r>
              <w:rPr>
                <w:sz w:val="26"/>
              </w:rPr>
              <w:t>19.20</w:t>
            </w:r>
          </w:p>
        </w:tc>
      </w:tr>
    </w:tbl>
    <w:p>
      <w:pPr>
        <w:spacing w:line="249" w:lineRule="exact" w:before="0"/>
        <w:ind w:left="1825" w:right="118" w:firstLine="0"/>
        <w:jc w:val="left"/>
        <w:rPr>
          <w:sz w:val="22"/>
        </w:rPr>
      </w:pPr>
      <w:r>
        <w:rPr>
          <w:sz w:val="22"/>
        </w:rPr>
        <w:t>Fuente: Fernández (1996).</w:t>
      </w:r>
    </w:p>
    <w:p>
      <w:pPr>
        <w:pStyle w:val="BodyText"/>
        <w:rPr>
          <w:sz w:val="22"/>
        </w:rPr>
      </w:pPr>
    </w:p>
    <w:p>
      <w:pPr>
        <w:pStyle w:val="BodyText"/>
        <w:spacing w:before="11"/>
        <w:rPr>
          <w:sz w:val="27"/>
        </w:rPr>
      </w:pPr>
    </w:p>
    <w:p>
      <w:pPr>
        <w:pStyle w:val="ListParagraph"/>
        <w:numPr>
          <w:ilvl w:val="0"/>
          <w:numId w:val="37"/>
        </w:numPr>
        <w:tabs>
          <w:tab w:pos="837" w:val="left" w:leader="none"/>
        </w:tabs>
        <w:spacing w:line="360" w:lineRule="auto" w:before="0" w:after="0"/>
        <w:ind w:left="837" w:right="111" w:hanging="361"/>
        <w:jc w:val="both"/>
        <w:rPr>
          <w:sz w:val="26"/>
        </w:rPr>
      </w:pPr>
      <w:r>
        <w:rPr>
          <w:i/>
          <w:sz w:val="26"/>
        </w:rPr>
        <w:t>Factor</w:t>
      </w:r>
      <w:r>
        <w:rPr>
          <w:i/>
          <w:spacing w:val="-10"/>
          <w:sz w:val="26"/>
        </w:rPr>
        <w:t> </w:t>
      </w:r>
      <w:r>
        <w:rPr>
          <w:i/>
          <w:sz w:val="26"/>
        </w:rPr>
        <w:t>alfa</w:t>
      </w:r>
      <w:r>
        <w:rPr>
          <w:i/>
          <w:spacing w:val="-10"/>
          <w:sz w:val="26"/>
        </w:rPr>
        <w:t> </w:t>
      </w:r>
      <w:r>
        <w:rPr>
          <w:i/>
          <w:sz w:val="26"/>
        </w:rPr>
        <w:t>o</w:t>
      </w:r>
      <w:r>
        <w:rPr>
          <w:i/>
          <w:spacing w:val="-10"/>
          <w:sz w:val="26"/>
        </w:rPr>
        <w:t> </w:t>
      </w:r>
      <w:r>
        <w:rPr>
          <w:i/>
          <w:sz w:val="26"/>
        </w:rPr>
        <w:t>flujo</w:t>
      </w:r>
      <w:r>
        <w:rPr>
          <w:i/>
          <w:spacing w:val="-10"/>
          <w:sz w:val="26"/>
        </w:rPr>
        <w:t> </w:t>
      </w:r>
      <w:r>
        <w:rPr>
          <w:i/>
          <w:sz w:val="26"/>
        </w:rPr>
        <w:t>de</w:t>
      </w:r>
      <w:r>
        <w:rPr>
          <w:i/>
          <w:spacing w:val="-10"/>
          <w:sz w:val="26"/>
        </w:rPr>
        <w:t> </w:t>
      </w:r>
      <w:r>
        <w:rPr>
          <w:i/>
          <w:sz w:val="26"/>
        </w:rPr>
        <w:t>base</w:t>
      </w:r>
      <w:r>
        <w:rPr>
          <w:i/>
          <w:spacing w:val="-10"/>
          <w:sz w:val="26"/>
        </w:rPr>
        <w:t> </w:t>
      </w:r>
      <w:r>
        <w:rPr>
          <w:i/>
          <w:sz w:val="26"/>
        </w:rPr>
        <w:t>para</w:t>
      </w:r>
      <w:r>
        <w:rPr>
          <w:i/>
          <w:spacing w:val="-10"/>
          <w:sz w:val="26"/>
        </w:rPr>
        <w:t> </w:t>
      </w:r>
      <w:r>
        <w:rPr>
          <w:i/>
          <w:sz w:val="26"/>
        </w:rPr>
        <w:t>el</w:t>
      </w:r>
      <w:r>
        <w:rPr>
          <w:i/>
          <w:spacing w:val="-10"/>
          <w:sz w:val="26"/>
        </w:rPr>
        <w:t> </w:t>
      </w:r>
      <w:r>
        <w:rPr>
          <w:i/>
          <w:sz w:val="26"/>
        </w:rPr>
        <w:t>almacenamiento</w:t>
      </w:r>
      <w:r>
        <w:rPr>
          <w:i/>
          <w:spacing w:val="-10"/>
          <w:sz w:val="26"/>
        </w:rPr>
        <w:t> </w:t>
      </w:r>
      <w:r>
        <w:rPr>
          <w:i/>
          <w:sz w:val="26"/>
        </w:rPr>
        <w:t>de</w:t>
      </w:r>
      <w:r>
        <w:rPr>
          <w:i/>
          <w:spacing w:val="-10"/>
          <w:sz w:val="26"/>
        </w:rPr>
        <w:t> </w:t>
      </w:r>
      <w:r>
        <w:rPr>
          <w:i/>
          <w:sz w:val="26"/>
        </w:rPr>
        <w:t>banco</w:t>
      </w:r>
      <w:r>
        <w:rPr>
          <w:i/>
          <w:spacing w:val="-10"/>
          <w:sz w:val="26"/>
        </w:rPr>
        <w:t> </w:t>
      </w:r>
      <w:r>
        <w:rPr>
          <w:i/>
          <w:sz w:val="26"/>
        </w:rPr>
        <w:t>(días)</w:t>
      </w:r>
      <w:r>
        <w:rPr>
          <w:i/>
          <w:spacing w:val="-7"/>
          <w:sz w:val="26"/>
        </w:rPr>
        <w:t> </w:t>
      </w:r>
      <w:r>
        <w:rPr>
          <w:i/>
          <w:sz w:val="26"/>
        </w:rPr>
        <w:t>(ALPHA_BNK). </w:t>
      </w:r>
      <w:r>
        <w:rPr>
          <w:sz w:val="26"/>
        </w:rPr>
        <w:t>El</w:t>
      </w:r>
      <w:r>
        <w:rPr>
          <w:spacing w:val="-11"/>
          <w:sz w:val="26"/>
        </w:rPr>
        <w:t> </w:t>
      </w:r>
      <w:r>
        <w:rPr>
          <w:sz w:val="26"/>
        </w:rPr>
        <w:t>almacenamiento</w:t>
      </w:r>
      <w:r>
        <w:rPr>
          <w:spacing w:val="-11"/>
          <w:sz w:val="26"/>
        </w:rPr>
        <w:t> </w:t>
      </w:r>
      <w:r>
        <w:rPr>
          <w:sz w:val="26"/>
        </w:rPr>
        <w:t>del</w:t>
      </w:r>
      <w:r>
        <w:rPr>
          <w:spacing w:val="-11"/>
          <w:sz w:val="26"/>
        </w:rPr>
        <w:t> </w:t>
      </w:r>
      <w:r>
        <w:rPr>
          <w:sz w:val="26"/>
        </w:rPr>
        <w:t>banco</w:t>
      </w:r>
      <w:r>
        <w:rPr>
          <w:spacing w:val="-11"/>
          <w:sz w:val="26"/>
        </w:rPr>
        <w:t> </w:t>
      </w:r>
      <w:r>
        <w:rPr>
          <w:sz w:val="26"/>
        </w:rPr>
        <w:t>contribuye</w:t>
      </w:r>
      <w:r>
        <w:rPr>
          <w:spacing w:val="-11"/>
          <w:sz w:val="26"/>
        </w:rPr>
        <w:t> </w:t>
      </w:r>
      <w:r>
        <w:rPr>
          <w:sz w:val="26"/>
        </w:rPr>
        <w:t>al</w:t>
      </w:r>
      <w:r>
        <w:rPr>
          <w:spacing w:val="-11"/>
          <w:sz w:val="26"/>
        </w:rPr>
        <w:t> </w:t>
      </w:r>
      <w:r>
        <w:rPr>
          <w:sz w:val="26"/>
        </w:rPr>
        <w:t>flujo</w:t>
      </w:r>
      <w:r>
        <w:rPr>
          <w:spacing w:val="-8"/>
          <w:sz w:val="26"/>
        </w:rPr>
        <w:t> </w:t>
      </w:r>
      <w:r>
        <w:rPr>
          <w:sz w:val="26"/>
        </w:rPr>
        <w:t>del</w:t>
      </w:r>
      <w:r>
        <w:rPr>
          <w:spacing w:val="-11"/>
          <w:sz w:val="26"/>
        </w:rPr>
        <w:t> </w:t>
      </w:r>
      <w:r>
        <w:rPr>
          <w:sz w:val="26"/>
        </w:rPr>
        <w:t>canal</w:t>
      </w:r>
      <w:r>
        <w:rPr>
          <w:spacing w:val="-11"/>
          <w:sz w:val="26"/>
        </w:rPr>
        <w:t> </w:t>
      </w:r>
      <w:r>
        <w:rPr>
          <w:sz w:val="26"/>
        </w:rPr>
        <w:t>principal</w:t>
      </w:r>
      <w:r>
        <w:rPr>
          <w:spacing w:val="-10"/>
          <w:sz w:val="26"/>
        </w:rPr>
        <w:t> </w:t>
      </w:r>
      <w:r>
        <w:rPr>
          <w:sz w:val="26"/>
        </w:rPr>
        <w:t>o</w:t>
      </w:r>
      <w:r>
        <w:rPr>
          <w:spacing w:val="-16"/>
          <w:sz w:val="26"/>
        </w:rPr>
        <w:t> </w:t>
      </w:r>
      <w:r>
        <w:rPr>
          <w:sz w:val="26"/>
        </w:rPr>
        <w:t>alcance</w:t>
      </w:r>
      <w:r>
        <w:rPr>
          <w:spacing w:val="-10"/>
          <w:sz w:val="26"/>
        </w:rPr>
        <w:t> </w:t>
      </w:r>
      <w:r>
        <w:rPr>
          <w:sz w:val="26"/>
        </w:rPr>
        <w:t>dentro de la subcuenca. El banco de flujo simula una curva de recesiones similar a la utilizada para las aguas subterráneas. El factor alfa o flujo de base, o recesión constante, caracteriza la curva de recesión del banco de almacenamiento. Esta constante puede ser un número cercano a 1 para las recesiones planas y pequeñas</w:t>
      </w:r>
      <w:r>
        <w:rPr>
          <w:spacing w:val="-36"/>
          <w:sz w:val="26"/>
        </w:rPr>
        <w:t> </w:t>
      </w:r>
      <w:r>
        <w:rPr>
          <w:sz w:val="26"/>
        </w:rPr>
        <w:t>y; aproximado a cero para las recesiones empinadas. Para la simulación se estableció un valor de 1 para las subcuencas asentadas sobre el valle y agricultura de riego y, de 0.03 para el</w:t>
      </w:r>
      <w:r>
        <w:rPr>
          <w:spacing w:val="-2"/>
          <w:sz w:val="26"/>
        </w:rPr>
        <w:t> </w:t>
      </w:r>
      <w:r>
        <w:rPr>
          <w:sz w:val="26"/>
        </w:rPr>
        <w:t>resto.</w:t>
      </w:r>
    </w:p>
    <w:p>
      <w:pPr>
        <w:pStyle w:val="BodyText"/>
      </w:pPr>
    </w:p>
    <w:p>
      <w:pPr>
        <w:pStyle w:val="BodyText"/>
        <w:spacing w:line="357" w:lineRule="auto" w:before="155"/>
        <w:ind w:left="116" w:right="118"/>
      </w:pPr>
      <w:r>
        <w:rPr/>
        <w:t>Si no se introduce ningún valor para ALPHA_BNK, la variable será el mismo valor que ALPHA_BF desde el archivo de las aguas subterráneas (.gw).</w:t>
      </w:r>
    </w:p>
    <w:p>
      <w:pPr>
        <w:spacing w:after="0" w:line="357" w:lineRule="auto"/>
        <w:sectPr>
          <w:pgSz w:w="12240" w:h="15840"/>
          <w:pgMar w:header="0" w:footer="1473" w:top="1360" w:bottom="1660" w:left="1300" w:right="1300"/>
        </w:sectPr>
      </w:pPr>
    </w:p>
    <w:p>
      <w:pPr>
        <w:pStyle w:val="ListParagraph"/>
        <w:numPr>
          <w:ilvl w:val="0"/>
          <w:numId w:val="37"/>
        </w:numPr>
        <w:tabs>
          <w:tab w:pos="837" w:val="left" w:leader="none"/>
        </w:tabs>
        <w:spacing w:line="355" w:lineRule="auto" w:before="29" w:after="0"/>
        <w:ind w:left="837" w:right="117" w:hanging="361"/>
        <w:jc w:val="both"/>
        <w:rPr>
          <w:sz w:val="26"/>
        </w:rPr>
      </w:pPr>
      <w:r>
        <w:rPr>
          <w:i/>
          <w:sz w:val="26"/>
        </w:rPr>
        <w:t>Código de canal de riego (ICANAL). </w:t>
      </w:r>
      <w:r>
        <w:rPr>
          <w:sz w:val="26"/>
        </w:rPr>
        <w:t>Para la cuenca ésta valor no fue contemplado, sin embargo, un valor de 0 es para un canal no irrigado y, un valor de 1 es para los irrigados.</w:t>
      </w:r>
    </w:p>
    <w:p>
      <w:pPr>
        <w:pStyle w:val="BodyText"/>
      </w:pPr>
    </w:p>
    <w:p>
      <w:pPr>
        <w:pStyle w:val="ListParagraph"/>
        <w:numPr>
          <w:ilvl w:val="0"/>
          <w:numId w:val="37"/>
        </w:numPr>
        <w:tabs>
          <w:tab w:pos="837" w:val="left" w:leader="none"/>
        </w:tabs>
        <w:spacing w:line="355" w:lineRule="auto" w:before="162" w:after="0"/>
        <w:ind w:left="837" w:right="112" w:hanging="361"/>
        <w:jc w:val="both"/>
        <w:rPr>
          <w:sz w:val="26"/>
        </w:rPr>
      </w:pPr>
      <w:r>
        <w:rPr>
          <w:i/>
          <w:sz w:val="26"/>
        </w:rPr>
        <w:t>Cambio</w:t>
      </w:r>
      <w:r>
        <w:rPr>
          <w:i/>
          <w:spacing w:val="-11"/>
          <w:sz w:val="26"/>
        </w:rPr>
        <w:t> </w:t>
      </w:r>
      <w:r>
        <w:rPr>
          <w:i/>
          <w:sz w:val="26"/>
        </w:rPr>
        <w:t>en</w:t>
      </w:r>
      <w:r>
        <w:rPr>
          <w:i/>
          <w:spacing w:val="-11"/>
          <w:sz w:val="26"/>
        </w:rPr>
        <w:t> </w:t>
      </w:r>
      <w:r>
        <w:rPr>
          <w:i/>
          <w:sz w:val="26"/>
        </w:rPr>
        <w:t>distancia</w:t>
      </w:r>
      <w:r>
        <w:rPr>
          <w:i/>
          <w:spacing w:val="-11"/>
          <w:sz w:val="26"/>
        </w:rPr>
        <w:t> </w:t>
      </w:r>
      <w:r>
        <w:rPr>
          <w:i/>
          <w:sz w:val="26"/>
        </w:rPr>
        <w:t>horizontal</w:t>
      </w:r>
      <w:r>
        <w:rPr>
          <w:i/>
          <w:spacing w:val="-11"/>
          <w:sz w:val="26"/>
        </w:rPr>
        <w:t> </w:t>
      </w:r>
      <w:r>
        <w:rPr>
          <w:i/>
          <w:sz w:val="26"/>
        </w:rPr>
        <w:t>por</w:t>
      </w:r>
      <w:r>
        <w:rPr>
          <w:i/>
          <w:spacing w:val="-11"/>
          <w:sz w:val="26"/>
        </w:rPr>
        <w:t> </w:t>
      </w:r>
      <w:r>
        <w:rPr>
          <w:i/>
          <w:sz w:val="26"/>
        </w:rPr>
        <w:t>unidad</w:t>
      </w:r>
      <w:r>
        <w:rPr>
          <w:i/>
          <w:spacing w:val="-11"/>
          <w:sz w:val="26"/>
        </w:rPr>
        <w:t> </w:t>
      </w:r>
      <w:r>
        <w:rPr>
          <w:i/>
          <w:sz w:val="26"/>
        </w:rPr>
        <w:t>de</w:t>
      </w:r>
      <w:r>
        <w:rPr>
          <w:i/>
          <w:spacing w:val="-15"/>
          <w:sz w:val="26"/>
        </w:rPr>
        <w:t> </w:t>
      </w:r>
      <w:r>
        <w:rPr>
          <w:i/>
          <w:sz w:val="26"/>
        </w:rPr>
        <w:t>distancia</w:t>
      </w:r>
      <w:r>
        <w:rPr>
          <w:i/>
          <w:spacing w:val="-11"/>
          <w:sz w:val="26"/>
        </w:rPr>
        <w:t> </w:t>
      </w:r>
      <w:r>
        <w:rPr>
          <w:i/>
          <w:sz w:val="26"/>
        </w:rPr>
        <w:t>vertical</w:t>
      </w:r>
      <w:r>
        <w:rPr>
          <w:i/>
          <w:spacing w:val="-11"/>
          <w:sz w:val="26"/>
        </w:rPr>
        <w:t> </w:t>
      </w:r>
      <w:r>
        <w:rPr>
          <w:i/>
          <w:sz w:val="26"/>
        </w:rPr>
        <w:t>(0</w:t>
      </w:r>
      <w:r>
        <w:rPr>
          <w:i/>
          <w:spacing w:val="-8"/>
          <w:sz w:val="26"/>
        </w:rPr>
        <w:t> </w:t>
      </w:r>
      <w:r>
        <w:rPr>
          <w:i/>
          <w:sz w:val="26"/>
        </w:rPr>
        <w:t>–</w:t>
      </w:r>
      <w:r>
        <w:rPr>
          <w:i/>
          <w:spacing w:val="-11"/>
          <w:sz w:val="26"/>
        </w:rPr>
        <w:t> </w:t>
      </w:r>
      <w:r>
        <w:rPr>
          <w:i/>
          <w:sz w:val="26"/>
        </w:rPr>
        <w:t>5)</w:t>
      </w:r>
      <w:r>
        <w:rPr>
          <w:i/>
          <w:spacing w:val="-11"/>
          <w:sz w:val="26"/>
        </w:rPr>
        <w:t> </w:t>
      </w:r>
      <w:r>
        <w:rPr>
          <w:i/>
          <w:sz w:val="26"/>
        </w:rPr>
        <w:t>(CH_SIDE). </w:t>
      </w:r>
      <w:r>
        <w:rPr>
          <w:sz w:val="26"/>
        </w:rPr>
        <w:t>El modelo asigna un valor de 0 para banco de canal vertical y de 1 </w:t>
      </w:r>
      <w:r>
        <w:rPr>
          <w:spacing w:val="3"/>
          <w:sz w:val="26"/>
        </w:rPr>
        <w:t>para </w:t>
      </w:r>
      <w:r>
        <w:rPr>
          <w:sz w:val="26"/>
        </w:rPr>
        <w:t>banco de canal con pendiente lateral</w:t>
      </w:r>
      <w:r>
        <w:rPr>
          <w:spacing w:val="-8"/>
          <w:sz w:val="26"/>
        </w:rPr>
        <w:t> </w:t>
      </w:r>
      <w:r>
        <w:rPr>
          <w:sz w:val="26"/>
        </w:rPr>
        <w:t>suave.</w:t>
      </w:r>
    </w:p>
    <w:p>
      <w:pPr>
        <w:pStyle w:val="BodyText"/>
      </w:pPr>
    </w:p>
    <w:p>
      <w:pPr>
        <w:pStyle w:val="ListParagraph"/>
        <w:numPr>
          <w:ilvl w:val="0"/>
          <w:numId w:val="37"/>
        </w:numPr>
        <w:tabs>
          <w:tab w:pos="837" w:val="left" w:leader="none"/>
        </w:tabs>
        <w:spacing w:line="355" w:lineRule="auto" w:before="162" w:after="0"/>
        <w:ind w:left="837" w:right="115" w:hanging="361"/>
        <w:jc w:val="both"/>
        <w:rPr>
          <w:sz w:val="26"/>
        </w:rPr>
      </w:pPr>
      <w:r>
        <w:rPr>
          <w:i/>
          <w:sz w:val="26"/>
        </w:rPr>
        <w:t>Densidad</w:t>
      </w:r>
      <w:r>
        <w:rPr>
          <w:i/>
          <w:spacing w:val="-7"/>
          <w:sz w:val="26"/>
        </w:rPr>
        <w:t> </w:t>
      </w:r>
      <w:r>
        <w:rPr>
          <w:i/>
          <w:sz w:val="26"/>
        </w:rPr>
        <w:t>del</w:t>
      </w:r>
      <w:r>
        <w:rPr>
          <w:i/>
          <w:spacing w:val="-7"/>
          <w:sz w:val="26"/>
        </w:rPr>
        <w:t> </w:t>
      </w:r>
      <w:r>
        <w:rPr>
          <w:i/>
          <w:sz w:val="26"/>
        </w:rPr>
        <w:t>banco</w:t>
      </w:r>
      <w:r>
        <w:rPr>
          <w:i/>
          <w:spacing w:val="-7"/>
          <w:sz w:val="26"/>
        </w:rPr>
        <w:t> </w:t>
      </w:r>
      <w:r>
        <w:rPr>
          <w:i/>
          <w:sz w:val="26"/>
        </w:rPr>
        <w:t>de</w:t>
      </w:r>
      <w:r>
        <w:rPr>
          <w:i/>
          <w:spacing w:val="-11"/>
          <w:sz w:val="26"/>
        </w:rPr>
        <w:t> </w:t>
      </w:r>
      <w:r>
        <w:rPr>
          <w:i/>
          <w:sz w:val="26"/>
        </w:rPr>
        <w:t>canal</w:t>
      </w:r>
      <w:r>
        <w:rPr>
          <w:i/>
          <w:spacing w:val="-7"/>
          <w:sz w:val="26"/>
        </w:rPr>
        <w:t> </w:t>
      </w:r>
      <w:r>
        <w:rPr>
          <w:i/>
          <w:sz w:val="26"/>
        </w:rPr>
        <w:t>de</w:t>
      </w:r>
      <w:r>
        <w:rPr>
          <w:i/>
          <w:spacing w:val="-11"/>
          <w:sz w:val="26"/>
        </w:rPr>
        <w:t> </w:t>
      </w:r>
      <w:r>
        <w:rPr>
          <w:i/>
          <w:sz w:val="26"/>
        </w:rPr>
        <w:t>sedimentos</w:t>
      </w:r>
      <w:r>
        <w:rPr>
          <w:i/>
          <w:spacing w:val="-6"/>
          <w:sz w:val="26"/>
        </w:rPr>
        <w:t> </w:t>
      </w:r>
      <w:r>
        <w:rPr>
          <w:i/>
          <w:sz w:val="26"/>
        </w:rPr>
        <w:t>(CH_BNK_BD).</w:t>
      </w:r>
      <w:r>
        <w:rPr>
          <w:i/>
          <w:spacing w:val="-4"/>
          <w:sz w:val="26"/>
        </w:rPr>
        <w:t> </w:t>
      </w:r>
      <w:r>
        <w:rPr>
          <w:sz w:val="26"/>
        </w:rPr>
        <w:t>El</w:t>
      </w:r>
      <w:r>
        <w:rPr>
          <w:spacing w:val="-7"/>
          <w:sz w:val="26"/>
        </w:rPr>
        <w:t> </w:t>
      </w:r>
      <w:r>
        <w:rPr>
          <w:sz w:val="26"/>
        </w:rPr>
        <w:t>rango</w:t>
      </w:r>
      <w:r>
        <w:rPr>
          <w:spacing w:val="-7"/>
          <w:sz w:val="26"/>
        </w:rPr>
        <w:t> </w:t>
      </w:r>
      <w:r>
        <w:rPr>
          <w:sz w:val="26"/>
        </w:rPr>
        <w:t>contempla</w:t>
      </w:r>
      <w:r>
        <w:rPr>
          <w:spacing w:val="-7"/>
          <w:sz w:val="26"/>
        </w:rPr>
        <w:t> </w:t>
      </w:r>
      <w:r>
        <w:rPr>
          <w:sz w:val="26"/>
        </w:rPr>
        <w:t>de 1.1-1.9</w:t>
      </w:r>
      <w:r>
        <w:rPr>
          <w:spacing w:val="-5"/>
          <w:sz w:val="26"/>
        </w:rPr>
        <w:t> </w:t>
      </w:r>
      <w:r>
        <w:rPr>
          <w:sz w:val="26"/>
        </w:rPr>
        <w:t>g/cc.</w:t>
      </w:r>
      <w:r>
        <w:rPr>
          <w:spacing w:val="-3"/>
          <w:sz w:val="26"/>
        </w:rPr>
        <w:t> Si</w:t>
      </w:r>
      <w:r>
        <w:rPr>
          <w:spacing w:val="-5"/>
          <w:sz w:val="26"/>
        </w:rPr>
        <w:t> </w:t>
      </w:r>
      <w:r>
        <w:rPr>
          <w:sz w:val="26"/>
        </w:rPr>
        <w:t>no</w:t>
      </w:r>
      <w:r>
        <w:rPr>
          <w:spacing w:val="-5"/>
          <w:sz w:val="26"/>
        </w:rPr>
        <w:t> </w:t>
      </w:r>
      <w:r>
        <w:rPr>
          <w:sz w:val="26"/>
        </w:rPr>
        <w:t>se</w:t>
      </w:r>
      <w:r>
        <w:rPr>
          <w:spacing w:val="-5"/>
          <w:sz w:val="26"/>
        </w:rPr>
        <w:t> </w:t>
      </w:r>
      <w:r>
        <w:rPr>
          <w:sz w:val="26"/>
        </w:rPr>
        <w:t>da</w:t>
      </w:r>
      <w:r>
        <w:rPr>
          <w:spacing w:val="-5"/>
          <w:sz w:val="26"/>
        </w:rPr>
        <w:t> </w:t>
      </w:r>
      <w:r>
        <w:rPr>
          <w:sz w:val="26"/>
        </w:rPr>
        <w:t>la</w:t>
      </w:r>
      <w:r>
        <w:rPr>
          <w:spacing w:val="-5"/>
          <w:sz w:val="26"/>
        </w:rPr>
        <w:t> </w:t>
      </w:r>
      <w:r>
        <w:rPr>
          <w:sz w:val="26"/>
        </w:rPr>
        <w:t>densidad</w:t>
      </w:r>
      <w:r>
        <w:rPr>
          <w:spacing w:val="-5"/>
          <w:sz w:val="26"/>
        </w:rPr>
        <w:t> </w:t>
      </w:r>
      <w:r>
        <w:rPr>
          <w:sz w:val="26"/>
        </w:rPr>
        <w:t>aparente,</w:t>
      </w:r>
      <w:r>
        <w:rPr>
          <w:spacing w:val="-3"/>
          <w:sz w:val="26"/>
        </w:rPr>
        <w:t> </w:t>
      </w:r>
      <w:r>
        <w:rPr>
          <w:sz w:val="26"/>
        </w:rPr>
        <w:t>el</w:t>
      </w:r>
      <w:r>
        <w:rPr>
          <w:spacing w:val="-5"/>
          <w:sz w:val="26"/>
        </w:rPr>
        <w:t> </w:t>
      </w:r>
      <w:r>
        <w:rPr>
          <w:sz w:val="26"/>
        </w:rPr>
        <w:t>modelo</w:t>
      </w:r>
      <w:r>
        <w:rPr>
          <w:spacing w:val="-5"/>
          <w:sz w:val="26"/>
        </w:rPr>
        <w:t> </w:t>
      </w:r>
      <w:r>
        <w:rPr>
          <w:sz w:val="26"/>
        </w:rPr>
        <w:t>asume</w:t>
      </w:r>
      <w:r>
        <w:rPr>
          <w:spacing w:val="-5"/>
          <w:sz w:val="26"/>
        </w:rPr>
        <w:t> </w:t>
      </w:r>
      <w:r>
        <w:rPr>
          <w:sz w:val="26"/>
        </w:rPr>
        <w:t>un</w:t>
      </w:r>
      <w:r>
        <w:rPr>
          <w:spacing w:val="-2"/>
          <w:sz w:val="26"/>
        </w:rPr>
        <w:t> </w:t>
      </w:r>
      <w:r>
        <w:rPr>
          <w:sz w:val="26"/>
        </w:rPr>
        <w:t>valor</w:t>
      </w:r>
      <w:r>
        <w:rPr>
          <w:spacing w:val="-5"/>
          <w:sz w:val="26"/>
        </w:rPr>
        <w:t> </w:t>
      </w:r>
      <w:r>
        <w:rPr>
          <w:sz w:val="26"/>
        </w:rPr>
        <w:t>por</w:t>
      </w:r>
      <w:r>
        <w:rPr>
          <w:spacing w:val="-5"/>
          <w:sz w:val="26"/>
        </w:rPr>
        <w:t> </w:t>
      </w:r>
      <w:r>
        <w:rPr>
          <w:sz w:val="26"/>
        </w:rPr>
        <w:t>defecto de 1.4 g / cc para los sedimentos asumiendo material de tipo</w:t>
      </w:r>
      <w:r>
        <w:rPr>
          <w:spacing w:val="-15"/>
          <w:sz w:val="26"/>
        </w:rPr>
        <w:t> </w:t>
      </w:r>
      <w:r>
        <w:rPr>
          <w:sz w:val="26"/>
        </w:rPr>
        <w:t>limo.</w:t>
      </w:r>
    </w:p>
    <w:p>
      <w:pPr>
        <w:pStyle w:val="BodyText"/>
      </w:pPr>
    </w:p>
    <w:p>
      <w:pPr>
        <w:pStyle w:val="ListParagraph"/>
        <w:numPr>
          <w:ilvl w:val="0"/>
          <w:numId w:val="37"/>
        </w:numPr>
        <w:tabs>
          <w:tab w:pos="837" w:val="left" w:leader="none"/>
        </w:tabs>
        <w:spacing w:line="355" w:lineRule="auto" w:before="162" w:after="0"/>
        <w:ind w:left="837" w:right="117" w:hanging="361"/>
        <w:jc w:val="both"/>
        <w:rPr>
          <w:sz w:val="26"/>
        </w:rPr>
      </w:pPr>
      <w:r>
        <w:rPr>
          <w:i/>
          <w:sz w:val="26"/>
        </w:rPr>
        <w:t>Densidad de cama del canal de sedimentos (CH_BED_BD). </w:t>
      </w:r>
      <w:r>
        <w:rPr>
          <w:sz w:val="26"/>
        </w:rPr>
        <w:t>El rango contempla de 1.1-1.9</w:t>
      </w:r>
      <w:r>
        <w:rPr>
          <w:spacing w:val="-5"/>
          <w:sz w:val="26"/>
        </w:rPr>
        <w:t> </w:t>
      </w:r>
      <w:r>
        <w:rPr>
          <w:sz w:val="26"/>
        </w:rPr>
        <w:t>g/cc.</w:t>
      </w:r>
      <w:r>
        <w:rPr>
          <w:spacing w:val="-3"/>
          <w:sz w:val="26"/>
        </w:rPr>
        <w:t> Si</w:t>
      </w:r>
      <w:r>
        <w:rPr>
          <w:spacing w:val="-5"/>
          <w:sz w:val="26"/>
        </w:rPr>
        <w:t> </w:t>
      </w:r>
      <w:r>
        <w:rPr>
          <w:sz w:val="26"/>
        </w:rPr>
        <w:t>no</w:t>
      </w:r>
      <w:r>
        <w:rPr>
          <w:spacing w:val="-5"/>
          <w:sz w:val="26"/>
        </w:rPr>
        <w:t> </w:t>
      </w:r>
      <w:r>
        <w:rPr>
          <w:sz w:val="26"/>
        </w:rPr>
        <w:t>se</w:t>
      </w:r>
      <w:r>
        <w:rPr>
          <w:spacing w:val="-5"/>
          <w:sz w:val="26"/>
        </w:rPr>
        <w:t> </w:t>
      </w:r>
      <w:r>
        <w:rPr>
          <w:sz w:val="26"/>
        </w:rPr>
        <w:t>da</w:t>
      </w:r>
      <w:r>
        <w:rPr>
          <w:spacing w:val="-5"/>
          <w:sz w:val="26"/>
        </w:rPr>
        <w:t> </w:t>
      </w:r>
      <w:r>
        <w:rPr>
          <w:sz w:val="26"/>
        </w:rPr>
        <w:t>la</w:t>
      </w:r>
      <w:r>
        <w:rPr>
          <w:spacing w:val="-5"/>
          <w:sz w:val="26"/>
        </w:rPr>
        <w:t> </w:t>
      </w:r>
      <w:r>
        <w:rPr>
          <w:sz w:val="26"/>
        </w:rPr>
        <w:t>densidad</w:t>
      </w:r>
      <w:r>
        <w:rPr>
          <w:spacing w:val="-5"/>
          <w:sz w:val="26"/>
        </w:rPr>
        <w:t> </w:t>
      </w:r>
      <w:r>
        <w:rPr>
          <w:sz w:val="26"/>
        </w:rPr>
        <w:t>aparente,</w:t>
      </w:r>
      <w:r>
        <w:rPr>
          <w:spacing w:val="-3"/>
          <w:sz w:val="26"/>
        </w:rPr>
        <w:t> </w:t>
      </w:r>
      <w:r>
        <w:rPr>
          <w:sz w:val="26"/>
        </w:rPr>
        <w:t>el</w:t>
      </w:r>
      <w:r>
        <w:rPr>
          <w:spacing w:val="-5"/>
          <w:sz w:val="26"/>
        </w:rPr>
        <w:t> </w:t>
      </w:r>
      <w:r>
        <w:rPr>
          <w:sz w:val="26"/>
        </w:rPr>
        <w:t>modelo</w:t>
      </w:r>
      <w:r>
        <w:rPr>
          <w:spacing w:val="-5"/>
          <w:sz w:val="26"/>
        </w:rPr>
        <w:t> </w:t>
      </w:r>
      <w:r>
        <w:rPr>
          <w:sz w:val="26"/>
        </w:rPr>
        <w:t>asume</w:t>
      </w:r>
      <w:r>
        <w:rPr>
          <w:spacing w:val="-5"/>
          <w:sz w:val="26"/>
        </w:rPr>
        <w:t> </w:t>
      </w:r>
      <w:r>
        <w:rPr>
          <w:sz w:val="26"/>
        </w:rPr>
        <w:t>un</w:t>
      </w:r>
      <w:r>
        <w:rPr>
          <w:spacing w:val="-2"/>
          <w:sz w:val="26"/>
        </w:rPr>
        <w:t> </w:t>
      </w:r>
      <w:r>
        <w:rPr>
          <w:sz w:val="26"/>
        </w:rPr>
        <w:t>valor</w:t>
      </w:r>
      <w:r>
        <w:rPr>
          <w:spacing w:val="-5"/>
          <w:sz w:val="26"/>
        </w:rPr>
        <w:t> </w:t>
      </w:r>
      <w:r>
        <w:rPr>
          <w:sz w:val="26"/>
        </w:rPr>
        <w:t>por</w:t>
      </w:r>
      <w:r>
        <w:rPr>
          <w:spacing w:val="-5"/>
          <w:sz w:val="26"/>
        </w:rPr>
        <w:t> </w:t>
      </w:r>
      <w:r>
        <w:rPr>
          <w:sz w:val="26"/>
        </w:rPr>
        <w:t>defecto de 1.5 g/cc para los sedimentos asumiendo material de tipo</w:t>
      </w:r>
      <w:r>
        <w:rPr>
          <w:spacing w:val="-10"/>
          <w:sz w:val="26"/>
        </w:rPr>
        <w:t> </w:t>
      </w:r>
      <w:r>
        <w:rPr>
          <w:sz w:val="26"/>
        </w:rPr>
        <w:t>arena.</w:t>
      </w:r>
    </w:p>
    <w:p>
      <w:pPr>
        <w:pStyle w:val="BodyText"/>
      </w:pPr>
    </w:p>
    <w:p>
      <w:pPr>
        <w:pStyle w:val="BodyText"/>
        <w:spacing w:before="161"/>
        <w:ind w:left="116" w:right="118"/>
      </w:pPr>
      <w:r>
        <w:rPr/>
        <w:t>CH_BNK_KD:</w:t>
      </w:r>
    </w:p>
    <w:p>
      <w:pPr>
        <w:pStyle w:val="BodyText"/>
        <w:spacing w:line="362" w:lineRule="auto" w:before="142"/>
        <w:ind w:left="116" w:right="118"/>
      </w:pPr>
      <w:r>
        <w:rPr/>
        <w:t>El modelo asume un rango entre 0.001 y 3.75 cm</w:t>
      </w:r>
      <w:r>
        <w:rPr>
          <w:position w:val="9"/>
          <w:sz w:val="17"/>
        </w:rPr>
        <w:t>3</w:t>
      </w:r>
      <w:r>
        <w:rPr/>
        <w:t>/N-s, para suelos de baja a alta erosibilidad.</w:t>
      </w:r>
    </w:p>
    <w:p>
      <w:pPr>
        <w:pStyle w:val="BodyText"/>
      </w:pPr>
    </w:p>
    <w:p>
      <w:pPr>
        <w:pStyle w:val="BodyText"/>
        <w:spacing w:before="153"/>
        <w:ind w:left="116" w:right="118"/>
      </w:pPr>
      <w:r>
        <w:rPr/>
        <w:t>CH_BED_KD:</w:t>
      </w:r>
    </w:p>
    <w:p>
      <w:pPr>
        <w:pStyle w:val="BodyText"/>
        <w:spacing w:before="148"/>
        <w:ind w:left="116" w:right="118"/>
      </w:pPr>
      <w:r>
        <w:rPr/>
        <w:t>Similar a CH_BNK_KD pero calculado para la cama del canal (0.001 y 3.75 cm</w:t>
      </w:r>
      <w:r>
        <w:rPr>
          <w:position w:val="9"/>
          <w:sz w:val="16"/>
        </w:rPr>
        <w:t>3</w:t>
      </w:r>
      <w:r>
        <w:rPr/>
        <w:t>/N-s).</w:t>
      </w:r>
    </w:p>
    <w:p>
      <w:pPr>
        <w:pStyle w:val="BodyText"/>
        <w:rPr>
          <w:sz w:val="28"/>
        </w:rPr>
      </w:pPr>
    </w:p>
    <w:p>
      <w:pPr>
        <w:pStyle w:val="BodyText"/>
        <w:spacing w:before="1"/>
        <w:rPr>
          <w:sz w:val="24"/>
        </w:rPr>
      </w:pPr>
    </w:p>
    <w:p>
      <w:pPr>
        <w:pStyle w:val="ListParagraph"/>
        <w:numPr>
          <w:ilvl w:val="0"/>
          <w:numId w:val="37"/>
        </w:numPr>
        <w:tabs>
          <w:tab w:pos="837" w:val="left" w:leader="none"/>
        </w:tabs>
        <w:spacing w:line="350" w:lineRule="auto" w:before="0" w:after="0"/>
        <w:ind w:left="837" w:right="109" w:hanging="361"/>
        <w:jc w:val="both"/>
        <w:rPr>
          <w:sz w:val="26"/>
        </w:rPr>
      </w:pPr>
      <w:r>
        <w:rPr>
          <w:i/>
          <w:sz w:val="26"/>
        </w:rPr>
        <w:t>Tamaño</w:t>
      </w:r>
      <w:r>
        <w:rPr>
          <w:i/>
          <w:spacing w:val="-6"/>
          <w:sz w:val="26"/>
        </w:rPr>
        <w:t> </w:t>
      </w:r>
      <w:r>
        <w:rPr>
          <w:i/>
          <w:sz w:val="26"/>
        </w:rPr>
        <w:t>medio</w:t>
      </w:r>
      <w:r>
        <w:rPr>
          <w:i/>
          <w:spacing w:val="-6"/>
          <w:sz w:val="26"/>
        </w:rPr>
        <w:t> </w:t>
      </w:r>
      <w:r>
        <w:rPr>
          <w:i/>
          <w:sz w:val="26"/>
        </w:rPr>
        <w:t>del</w:t>
      </w:r>
      <w:r>
        <w:rPr>
          <w:i/>
          <w:spacing w:val="-11"/>
          <w:sz w:val="26"/>
        </w:rPr>
        <w:t> </w:t>
      </w:r>
      <w:r>
        <w:rPr>
          <w:i/>
          <w:sz w:val="26"/>
        </w:rPr>
        <w:t>diámetro</w:t>
      </w:r>
      <w:r>
        <w:rPr>
          <w:i/>
          <w:spacing w:val="-6"/>
          <w:sz w:val="26"/>
        </w:rPr>
        <w:t> </w:t>
      </w:r>
      <w:r>
        <w:rPr>
          <w:i/>
          <w:sz w:val="26"/>
        </w:rPr>
        <w:t>de</w:t>
      </w:r>
      <w:r>
        <w:rPr>
          <w:i/>
          <w:spacing w:val="-11"/>
          <w:sz w:val="26"/>
        </w:rPr>
        <w:t> </w:t>
      </w:r>
      <w:r>
        <w:rPr>
          <w:i/>
          <w:sz w:val="26"/>
        </w:rPr>
        <w:t>las</w:t>
      </w:r>
      <w:r>
        <w:rPr>
          <w:i/>
          <w:spacing w:val="-11"/>
          <w:sz w:val="26"/>
        </w:rPr>
        <w:t> </w:t>
      </w:r>
      <w:r>
        <w:rPr>
          <w:i/>
          <w:sz w:val="26"/>
        </w:rPr>
        <w:t>partículas</w:t>
      </w:r>
      <w:r>
        <w:rPr>
          <w:i/>
          <w:spacing w:val="-6"/>
          <w:sz w:val="26"/>
        </w:rPr>
        <w:t> </w:t>
      </w:r>
      <w:r>
        <w:rPr>
          <w:i/>
          <w:sz w:val="26"/>
        </w:rPr>
        <w:t>del</w:t>
      </w:r>
      <w:r>
        <w:rPr>
          <w:i/>
          <w:spacing w:val="-6"/>
          <w:sz w:val="26"/>
        </w:rPr>
        <w:t> </w:t>
      </w:r>
      <w:r>
        <w:rPr>
          <w:i/>
          <w:sz w:val="26"/>
        </w:rPr>
        <w:t>banco</w:t>
      </w:r>
      <w:r>
        <w:rPr>
          <w:i/>
          <w:spacing w:val="-6"/>
          <w:sz w:val="26"/>
        </w:rPr>
        <w:t> </w:t>
      </w:r>
      <w:r>
        <w:rPr>
          <w:i/>
          <w:sz w:val="26"/>
        </w:rPr>
        <w:t>de</w:t>
      </w:r>
      <w:r>
        <w:rPr>
          <w:i/>
          <w:spacing w:val="-9"/>
          <w:sz w:val="26"/>
        </w:rPr>
        <w:t> </w:t>
      </w:r>
      <w:r>
        <w:rPr>
          <w:i/>
          <w:sz w:val="26"/>
        </w:rPr>
        <w:t>canal</w:t>
      </w:r>
      <w:r>
        <w:rPr>
          <w:i/>
          <w:spacing w:val="-11"/>
          <w:sz w:val="26"/>
        </w:rPr>
        <w:t> </w:t>
      </w:r>
      <w:r>
        <w:rPr>
          <w:i/>
          <w:sz w:val="26"/>
        </w:rPr>
        <w:t>de</w:t>
      </w:r>
      <w:r>
        <w:rPr>
          <w:i/>
          <w:spacing w:val="-11"/>
          <w:sz w:val="26"/>
        </w:rPr>
        <w:t> </w:t>
      </w:r>
      <w:r>
        <w:rPr>
          <w:i/>
          <w:sz w:val="26"/>
        </w:rPr>
        <w:t>sedimento</w:t>
      </w:r>
      <w:r>
        <w:rPr>
          <w:i/>
          <w:spacing w:val="-5"/>
          <w:sz w:val="26"/>
        </w:rPr>
        <w:t> </w:t>
      </w:r>
      <w:r>
        <w:rPr>
          <w:i/>
          <w:sz w:val="26"/>
        </w:rPr>
        <w:t>(µm) </w:t>
      </w:r>
      <w:r>
        <w:rPr>
          <w:i/>
          <w:sz w:val="26"/>
        </w:rPr>
        <w:t>(CH_BNK_D50).</w:t>
      </w:r>
      <w:r>
        <w:rPr>
          <w:i/>
          <w:spacing w:val="-5"/>
          <w:sz w:val="26"/>
        </w:rPr>
        <w:t> </w:t>
      </w:r>
      <w:r>
        <w:rPr>
          <w:spacing w:val="-3"/>
          <w:sz w:val="26"/>
        </w:rPr>
        <w:t>Sí</w:t>
      </w:r>
      <w:r>
        <w:rPr>
          <w:spacing w:val="-6"/>
          <w:sz w:val="26"/>
        </w:rPr>
        <w:t> </w:t>
      </w:r>
      <w:r>
        <w:rPr>
          <w:sz w:val="26"/>
        </w:rPr>
        <w:t>el</w:t>
      </w:r>
      <w:r>
        <w:rPr>
          <w:spacing w:val="-6"/>
          <w:sz w:val="26"/>
        </w:rPr>
        <w:t> </w:t>
      </w:r>
      <w:r>
        <w:rPr>
          <w:sz w:val="26"/>
        </w:rPr>
        <w:t>valor</w:t>
      </w:r>
      <w:r>
        <w:rPr>
          <w:spacing w:val="-6"/>
          <w:sz w:val="26"/>
        </w:rPr>
        <w:t> </w:t>
      </w:r>
      <w:r>
        <w:rPr>
          <w:sz w:val="26"/>
        </w:rPr>
        <w:t>no</w:t>
      </w:r>
      <w:r>
        <w:rPr>
          <w:spacing w:val="-6"/>
          <w:sz w:val="26"/>
        </w:rPr>
        <w:t> </w:t>
      </w:r>
      <w:r>
        <w:rPr>
          <w:sz w:val="26"/>
        </w:rPr>
        <w:t>es</w:t>
      </w:r>
      <w:r>
        <w:rPr>
          <w:spacing w:val="-6"/>
          <w:sz w:val="26"/>
        </w:rPr>
        <w:t> </w:t>
      </w:r>
      <w:r>
        <w:rPr>
          <w:sz w:val="26"/>
        </w:rPr>
        <w:t>dado,</w:t>
      </w:r>
      <w:r>
        <w:rPr>
          <w:spacing w:val="-5"/>
          <w:sz w:val="26"/>
        </w:rPr>
        <w:t> </w:t>
      </w:r>
      <w:r>
        <w:rPr>
          <w:sz w:val="26"/>
        </w:rPr>
        <w:t>el</w:t>
      </w:r>
      <w:r>
        <w:rPr>
          <w:spacing w:val="-11"/>
          <w:sz w:val="26"/>
        </w:rPr>
        <w:t> </w:t>
      </w:r>
      <w:r>
        <w:rPr>
          <w:sz w:val="26"/>
        </w:rPr>
        <w:t>modelo</w:t>
      </w:r>
      <w:r>
        <w:rPr>
          <w:spacing w:val="-6"/>
          <w:sz w:val="26"/>
        </w:rPr>
        <w:t> </w:t>
      </w:r>
      <w:r>
        <w:rPr>
          <w:sz w:val="26"/>
        </w:rPr>
        <w:t>asume</w:t>
      </w:r>
      <w:r>
        <w:rPr>
          <w:spacing w:val="-6"/>
          <w:sz w:val="26"/>
        </w:rPr>
        <w:t> </w:t>
      </w:r>
      <w:r>
        <w:rPr>
          <w:sz w:val="26"/>
        </w:rPr>
        <w:t>un</w:t>
      </w:r>
      <w:r>
        <w:rPr>
          <w:spacing w:val="-6"/>
          <w:sz w:val="26"/>
        </w:rPr>
        <w:t> </w:t>
      </w:r>
      <w:r>
        <w:rPr>
          <w:sz w:val="26"/>
        </w:rPr>
        <w:t>valor</w:t>
      </w:r>
      <w:r>
        <w:rPr>
          <w:spacing w:val="-6"/>
          <w:sz w:val="26"/>
        </w:rPr>
        <w:t> </w:t>
      </w:r>
      <w:r>
        <w:rPr>
          <w:sz w:val="26"/>
        </w:rPr>
        <w:t>por</w:t>
      </w:r>
      <w:r>
        <w:rPr>
          <w:spacing w:val="-6"/>
          <w:sz w:val="26"/>
        </w:rPr>
        <w:t> </w:t>
      </w:r>
      <w:r>
        <w:rPr>
          <w:sz w:val="26"/>
        </w:rPr>
        <w:t>default</w:t>
      </w:r>
      <w:r>
        <w:rPr>
          <w:spacing w:val="-6"/>
          <w:sz w:val="26"/>
        </w:rPr>
        <w:t> </w:t>
      </w:r>
      <w:r>
        <w:rPr>
          <w:sz w:val="26"/>
        </w:rPr>
        <w:t>de</w:t>
      </w:r>
      <w:r>
        <w:rPr>
          <w:spacing w:val="-6"/>
          <w:sz w:val="26"/>
        </w:rPr>
        <w:t> </w:t>
      </w:r>
      <w:r>
        <w:rPr>
          <w:sz w:val="26"/>
        </w:rPr>
        <w:t>50</w:t>
      </w:r>
    </w:p>
    <w:p>
      <w:pPr>
        <w:pStyle w:val="BodyText"/>
        <w:spacing w:before="19"/>
        <w:ind w:left="836" w:right="118"/>
      </w:pPr>
      <w:r>
        <w:rPr/>
        <w:t>µm (sedimentos con tamaño de limo) para el banco. (1 a 10,000 µm)</w:t>
      </w:r>
    </w:p>
    <w:p>
      <w:pPr>
        <w:spacing w:after="0"/>
        <w:sectPr>
          <w:pgSz w:w="12240" w:h="15840"/>
          <w:pgMar w:header="0" w:footer="1473" w:top="1380" w:bottom="1660" w:left="1300" w:right="1300"/>
        </w:sectPr>
      </w:pPr>
    </w:p>
    <w:p>
      <w:pPr>
        <w:pStyle w:val="ListParagraph"/>
        <w:numPr>
          <w:ilvl w:val="0"/>
          <w:numId w:val="37"/>
        </w:numPr>
        <w:tabs>
          <w:tab w:pos="837" w:val="left" w:leader="none"/>
        </w:tabs>
        <w:spacing w:line="355" w:lineRule="auto" w:before="29" w:after="0"/>
        <w:ind w:left="837" w:right="115" w:hanging="361"/>
        <w:jc w:val="both"/>
        <w:rPr>
          <w:sz w:val="26"/>
        </w:rPr>
      </w:pPr>
      <w:r>
        <w:rPr>
          <w:i/>
          <w:sz w:val="26"/>
        </w:rPr>
        <w:t>Tamaño medio del diámetro las partículas de la cama del canal de sedimento (µm) </w:t>
      </w:r>
      <w:r>
        <w:rPr>
          <w:i/>
          <w:sz w:val="26"/>
        </w:rPr>
        <w:t>(CH_BED_D50).</w:t>
      </w:r>
      <w:r>
        <w:rPr>
          <w:i/>
          <w:spacing w:val="-12"/>
          <w:sz w:val="26"/>
        </w:rPr>
        <w:t> </w:t>
      </w:r>
      <w:r>
        <w:rPr>
          <w:sz w:val="26"/>
        </w:rPr>
        <w:t>El</w:t>
      </w:r>
      <w:r>
        <w:rPr>
          <w:spacing w:val="-10"/>
          <w:sz w:val="26"/>
        </w:rPr>
        <w:t> </w:t>
      </w:r>
      <w:r>
        <w:rPr>
          <w:sz w:val="26"/>
        </w:rPr>
        <w:t>modelo</w:t>
      </w:r>
      <w:r>
        <w:rPr>
          <w:spacing w:val="-15"/>
          <w:sz w:val="26"/>
        </w:rPr>
        <w:t> </w:t>
      </w:r>
      <w:r>
        <w:rPr>
          <w:sz w:val="26"/>
        </w:rPr>
        <w:t>asumió</w:t>
      </w:r>
      <w:r>
        <w:rPr>
          <w:spacing w:val="-15"/>
          <w:sz w:val="26"/>
        </w:rPr>
        <w:t> </w:t>
      </w:r>
      <w:r>
        <w:rPr>
          <w:sz w:val="26"/>
        </w:rPr>
        <w:t>un</w:t>
      </w:r>
      <w:r>
        <w:rPr>
          <w:spacing w:val="-10"/>
          <w:sz w:val="26"/>
        </w:rPr>
        <w:t> </w:t>
      </w:r>
      <w:r>
        <w:rPr>
          <w:sz w:val="26"/>
        </w:rPr>
        <w:t>valor</w:t>
      </w:r>
      <w:r>
        <w:rPr>
          <w:spacing w:val="-15"/>
          <w:sz w:val="26"/>
        </w:rPr>
        <w:t> </w:t>
      </w:r>
      <w:r>
        <w:rPr>
          <w:sz w:val="26"/>
        </w:rPr>
        <w:t>por</w:t>
      </w:r>
      <w:r>
        <w:rPr>
          <w:spacing w:val="-15"/>
          <w:sz w:val="26"/>
        </w:rPr>
        <w:t> </w:t>
      </w:r>
      <w:r>
        <w:rPr>
          <w:sz w:val="26"/>
        </w:rPr>
        <w:t>default</w:t>
      </w:r>
      <w:r>
        <w:rPr>
          <w:spacing w:val="-14"/>
          <w:sz w:val="26"/>
        </w:rPr>
        <w:t> </w:t>
      </w:r>
      <w:r>
        <w:rPr>
          <w:sz w:val="26"/>
        </w:rPr>
        <w:t>de</w:t>
      </w:r>
      <w:r>
        <w:rPr>
          <w:spacing w:val="-15"/>
          <w:sz w:val="26"/>
        </w:rPr>
        <w:t> </w:t>
      </w:r>
      <w:r>
        <w:rPr>
          <w:sz w:val="26"/>
        </w:rPr>
        <w:t>500</w:t>
      </w:r>
      <w:r>
        <w:rPr>
          <w:spacing w:val="-15"/>
          <w:sz w:val="26"/>
        </w:rPr>
        <w:t> </w:t>
      </w:r>
      <w:r>
        <w:rPr>
          <w:sz w:val="26"/>
        </w:rPr>
        <w:t>µm</w:t>
      </w:r>
      <w:r>
        <w:rPr>
          <w:spacing w:val="-19"/>
          <w:sz w:val="26"/>
        </w:rPr>
        <w:t> </w:t>
      </w:r>
      <w:r>
        <w:rPr>
          <w:sz w:val="26"/>
        </w:rPr>
        <w:t>(sedimentos</w:t>
      </w:r>
      <w:r>
        <w:rPr>
          <w:spacing w:val="-15"/>
          <w:sz w:val="26"/>
        </w:rPr>
        <w:t> </w:t>
      </w:r>
      <w:r>
        <w:rPr>
          <w:sz w:val="26"/>
        </w:rPr>
        <w:t>con tamaño de arena) para la cama. (1 a 10,000</w:t>
      </w:r>
      <w:r>
        <w:rPr>
          <w:spacing w:val="-10"/>
          <w:sz w:val="26"/>
        </w:rPr>
        <w:t> </w:t>
      </w:r>
      <w:r>
        <w:rPr>
          <w:sz w:val="26"/>
        </w:rPr>
        <w:t>µm)</w:t>
      </w:r>
    </w:p>
    <w:p>
      <w:pPr>
        <w:pStyle w:val="BodyText"/>
      </w:pPr>
    </w:p>
    <w:p>
      <w:pPr>
        <w:pStyle w:val="ListParagraph"/>
        <w:numPr>
          <w:ilvl w:val="0"/>
          <w:numId w:val="37"/>
        </w:numPr>
        <w:tabs>
          <w:tab w:pos="837" w:val="left" w:leader="none"/>
        </w:tabs>
        <w:spacing w:line="355" w:lineRule="auto" w:before="162" w:after="0"/>
        <w:ind w:left="837" w:right="112" w:hanging="361"/>
        <w:jc w:val="both"/>
        <w:rPr>
          <w:sz w:val="26"/>
        </w:rPr>
      </w:pPr>
      <w:r>
        <w:rPr>
          <w:i/>
          <w:sz w:val="26"/>
        </w:rPr>
        <w:t>CH_ERODMO</w:t>
      </w:r>
      <w:r>
        <w:rPr>
          <w:sz w:val="26"/>
        </w:rPr>
        <w:t>:</w:t>
      </w:r>
      <w:r>
        <w:rPr>
          <w:spacing w:val="-6"/>
          <w:sz w:val="26"/>
        </w:rPr>
        <w:t> </w:t>
      </w:r>
      <w:r>
        <w:rPr>
          <w:sz w:val="26"/>
        </w:rPr>
        <w:t>Está</w:t>
      </w:r>
      <w:r>
        <w:rPr>
          <w:spacing w:val="-6"/>
          <w:sz w:val="26"/>
        </w:rPr>
        <w:t> </w:t>
      </w:r>
      <w:r>
        <w:rPr>
          <w:sz w:val="26"/>
        </w:rPr>
        <w:t>ajustado</w:t>
      </w:r>
      <w:r>
        <w:rPr>
          <w:spacing w:val="-6"/>
          <w:sz w:val="26"/>
        </w:rPr>
        <w:t> </w:t>
      </w:r>
      <w:r>
        <w:rPr>
          <w:sz w:val="26"/>
        </w:rPr>
        <w:t>a</w:t>
      </w:r>
      <w:r>
        <w:rPr>
          <w:spacing w:val="-6"/>
          <w:sz w:val="26"/>
        </w:rPr>
        <w:t> </w:t>
      </w:r>
      <w:r>
        <w:rPr>
          <w:sz w:val="26"/>
        </w:rPr>
        <w:t>un</w:t>
      </w:r>
      <w:r>
        <w:rPr>
          <w:spacing w:val="-11"/>
          <w:sz w:val="26"/>
        </w:rPr>
        <w:t> </w:t>
      </w:r>
      <w:r>
        <w:rPr>
          <w:sz w:val="26"/>
        </w:rPr>
        <w:t>valor</w:t>
      </w:r>
      <w:r>
        <w:rPr>
          <w:spacing w:val="-6"/>
          <w:sz w:val="26"/>
        </w:rPr>
        <w:t> </w:t>
      </w:r>
      <w:r>
        <w:rPr>
          <w:sz w:val="26"/>
        </w:rPr>
        <w:t>entre</w:t>
      </w:r>
      <w:r>
        <w:rPr>
          <w:spacing w:val="-11"/>
          <w:sz w:val="26"/>
        </w:rPr>
        <w:t> </w:t>
      </w:r>
      <w:r>
        <w:rPr>
          <w:sz w:val="26"/>
        </w:rPr>
        <w:t>0</w:t>
      </w:r>
      <w:r>
        <w:rPr>
          <w:spacing w:val="-6"/>
          <w:sz w:val="26"/>
        </w:rPr>
        <w:t> </w:t>
      </w:r>
      <w:r>
        <w:rPr>
          <w:sz w:val="26"/>
        </w:rPr>
        <w:t>y</w:t>
      </w:r>
      <w:r>
        <w:rPr>
          <w:spacing w:val="-6"/>
          <w:sz w:val="26"/>
        </w:rPr>
        <w:t> </w:t>
      </w:r>
      <w:r>
        <w:rPr>
          <w:spacing w:val="-3"/>
          <w:sz w:val="26"/>
        </w:rPr>
        <w:t>1.</w:t>
      </w:r>
      <w:r>
        <w:rPr>
          <w:spacing w:val="-8"/>
          <w:sz w:val="26"/>
        </w:rPr>
        <w:t> </w:t>
      </w:r>
      <w:r>
        <w:rPr>
          <w:sz w:val="26"/>
        </w:rPr>
        <w:t>Un</w:t>
      </w:r>
      <w:r>
        <w:rPr>
          <w:spacing w:val="-6"/>
          <w:sz w:val="26"/>
        </w:rPr>
        <w:t> </w:t>
      </w:r>
      <w:r>
        <w:rPr>
          <w:sz w:val="26"/>
        </w:rPr>
        <w:t>valor</w:t>
      </w:r>
      <w:r>
        <w:rPr>
          <w:spacing w:val="-6"/>
          <w:sz w:val="26"/>
        </w:rPr>
        <w:t> </w:t>
      </w:r>
      <w:r>
        <w:rPr>
          <w:sz w:val="26"/>
        </w:rPr>
        <w:t>de</w:t>
      </w:r>
      <w:r>
        <w:rPr>
          <w:spacing w:val="-6"/>
          <w:sz w:val="26"/>
        </w:rPr>
        <w:t> </w:t>
      </w:r>
      <w:r>
        <w:rPr>
          <w:sz w:val="26"/>
        </w:rPr>
        <w:t>0</w:t>
      </w:r>
      <w:r>
        <w:rPr>
          <w:spacing w:val="-11"/>
          <w:sz w:val="26"/>
        </w:rPr>
        <w:t> </w:t>
      </w:r>
      <w:r>
        <w:rPr>
          <w:sz w:val="26"/>
        </w:rPr>
        <w:t>indica</w:t>
      </w:r>
      <w:r>
        <w:rPr>
          <w:spacing w:val="-6"/>
          <w:sz w:val="26"/>
        </w:rPr>
        <w:t> </w:t>
      </w:r>
      <w:r>
        <w:rPr>
          <w:sz w:val="26"/>
        </w:rPr>
        <w:t>no</w:t>
      </w:r>
      <w:r>
        <w:rPr>
          <w:spacing w:val="-11"/>
          <w:sz w:val="26"/>
        </w:rPr>
        <w:t> </w:t>
      </w:r>
      <w:r>
        <w:rPr>
          <w:sz w:val="26"/>
        </w:rPr>
        <w:t>erosión en el canal, mientras que un valor de 1 indica que no hay resistencia a la erosión.</w:t>
      </w:r>
      <w:r>
        <w:rPr>
          <w:spacing w:val="-19"/>
          <w:sz w:val="26"/>
        </w:rPr>
        <w:t> </w:t>
      </w:r>
      <w:r>
        <w:rPr>
          <w:sz w:val="26"/>
        </w:rPr>
        <w:t>El modelo aplicó un valor por default de</w:t>
      </w:r>
      <w:r>
        <w:rPr>
          <w:spacing w:val="-4"/>
          <w:sz w:val="26"/>
        </w:rPr>
        <w:t> </w:t>
      </w:r>
      <w:r>
        <w:rPr>
          <w:sz w:val="26"/>
        </w:rPr>
        <w:t>0.</w:t>
      </w:r>
    </w:p>
    <w:p>
      <w:pPr>
        <w:pStyle w:val="BodyText"/>
      </w:pPr>
    </w:p>
    <w:p>
      <w:pPr>
        <w:pStyle w:val="BodyText"/>
        <w:spacing w:before="3"/>
        <w:rPr>
          <w:sz w:val="35"/>
        </w:rPr>
      </w:pPr>
    </w:p>
    <w:p>
      <w:pPr>
        <w:pStyle w:val="Heading1"/>
        <w:numPr>
          <w:ilvl w:val="2"/>
          <w:numId w:val="5"/>
        </w:numPr>
        <w:tabs>
          <w:tab w:pos="836" w:val="left" w:leader="none"/>
        </w:tabs>
        <w:spacing w:line="240" w:lineRule="auto" w:before="0" w:after="0"/>
        <w:ind w:left="835" w:right="0" w:hanging="719"/>
        <w:jc w:val="left"/>
      </w:pPr>
      <w:bookmarkStart w:name="_bookmark66" w:id="97"/>
      <w:bookmarkEnd w:id="97"/>
      <w:r>
        <w:rPr>
          <w:b w:val="0"/>
        </w:rPr>
      </w:r>
      <w:bookmarkStart w:name="_bookmark66" w:id="98"/>
      <w:bookmarkEnd w:id="98"/>
      <w:r>
        <w:rPr/>
        <w:t>Dat</w:t>
      </w:r>
      <w:r>
        <w:rPr/>
        <w:t>os </w:t>
      </w:r>
      <w:r>
        <w:rPr>
          <w:spacing w:val="-3"/>
        </w:rPr>
        <w:t>de </w:t>
      </w:r>
      <w:r>
        <w:rPr/>
        <w:t>los cuerpos de agua (ARCHIVO</w:t>
      </w:r>
      <w:r>
        <w:rPr>
          <w:spacing w:val="-13"/>
        </w:rPr>
        <w:t> </w:t>
      </w:r>
      <w:r>
        <w:rPr/>
        <w:t>PND)</w:t>
      </w:r>
    </w:p>
    <w:p>
      <w:pPr>
        <w:pStyle w:val="BodyText"/>
        <w:rPr>
          <w:b/>
        </w:rPr>
      </w:pPr>
    </w:p>
    <w:p>
      <w:pPr>
        <w:pStyle w:val="BodyText"/>
        <w:spacing w:before="5"/>
        <w:rPr>
          <w:b/>
          <w:sz w:val="21"/>
        </w:rPr>
      </w:pPr>
    </w:p>
    <w:p>
      <w:pPr>
        <w:pStyle w:val="BodyText"/>
        <w:spacing w:before="1"/>
        <w:ind w:left="116"/>
      </w:pPr>
      <w:r>
        <w:rPr/>
        <w:t>Dentro de la cuenca se ubican 309 cuerpos de agua </w:t>
      </w:r>
      <w:r>
        <w:rPr>
          <w:i/>
        </w:rPr>
        <w:t>y </w:t>
      </w:r>
      <w:r>
        <w:rPr/>
        <w:t>en promedio cada uno de ellos</w:t>
      </w:r>
      <w:r>
        <w:rPr>
          <w:spacing w:val="62"/>
        </w:rPr>
        <w:t> </w:t>
      </w:r>
      <w:r>
        <w:rPr/>
        <w:t>capta</w:t>
      </w:r>
    </w:p>
    <w:p>
      <w:pPr>
        <w:pStyle w:val="ListParagraph"/>
        <w:numPr>
          <w:ilvl w:val="1"/>
          <w:numId w:val="38"/>
        </w:numPr>
        <w:tabs>
          <w:tab w:pos="640" w:val="left" w:leader="none"/>
        </w:tabs>
        <w:spacing w:line="240" w:lineRule="auto" w:before="152" w:after="0"/>
        <w:ind w:left="639" w:right="0" w:hanging="523"/>
        <w:jc w:val="left"/>
        <w:rPr>
          <w:sz w:val="26"/>
        </w:rPr>
      </w:pPr>
      <w:r>
        <w:rPr>
          <w:sz w:val="26"/>
        </w:rPr>
        <w:t>miles de</w:t>
      </w:r>
      <w:r>
        <w:rPr>
          <w:spacing w:val="-4"/>
          <w:sz w:val="26"/>
        </w:rPr>
        <w:t> </w:t>
      </w:r>
      <w:r>
        <w:rPr>
          <w:sz w:val="26"/>
        </w:rPr>
        <w:t>m</w:t>
      </w:r>
      <w:r>
        <w:rPr>
          <w:position w:val="9"/>
          <w:sz w:val="16"/>
        </w:rPr>
        <w:t>3</w:t>
      </w:r>
      <w:r>
        <w:rPr>
          <w:sz w:val="26"/>
        </w:rPr>
        <w:t>.</w:t>
      </w:r>
    </w:p>
    <w:p>
      <w:pPr>
        <w:pStyle w:val="BodyText"/>
        <w:rPr>
          <w:sz w:val="28"/>
        </w:rPr>
      </w:pPr>
    </w:p>
    <w:p>
      <w:pPr>
        <w:pStyle w:val="BodyText"/>
        <w:spacing w:before="8"/>
        <w:rPr>
          <w:sz w:val="23"/>
        </w:rPr>
      </w:pPr>
    </w:p>
    <w:p>
      <w:pPr>
        <w:pStyle w:val="ListParagraph"/>
        <w:numPr>
          <w:ilvl w:val="2"/>
          <w:numId w:val="38"/>
        </w:numPr>
        <w:tabs>
          <w:tab w:pos="837" w:val="left" w:leader="none"/>
        </w:tabs>
        <w:spacing w:line="357" w:lineRule="auto" w:before="0" w:after="0"/>
        <w:ind w:left="837" w:right="116" w:hanging="361"/>
        <w:jc w:val="both"/>
        <w:rPr>
          <w:sz w:val="26"/>
        </w:rPr>
      </w:pPr>
      <w:r>
        <w:rPr>
          <w:i/>
          <w:sz w:val="26"/>
        </w:rPr>
        <w:t>Fracción de cada subcuenca que drena hacia los cuerpos de agua (PND_RF). </w:t>
      </w:r>
      <w:r>
        <w:rPr>
          <w:sz w:val="26"/>
        </w:rPr>
        <w:t>Los valores se obtuvieron al sobreponer (con el módulo UNION TWO THEMES de ArcGis) la imagen de las áreas de escurrimiento de los depósitos, con la de las subcuencas generadas  en la delimitación de la zona de</w:t>
      </w:r>
      <w:r>
        <w:rPr>
          <w:spacing w:val="-16"/>
          <w:sz w:val="26"/>
        </w:rPr>
        <w:t> </w:t>
      </w:r>
      <w:r>
        <w:rPr>
          <w:sz w:val="26"/>
        </w:rPr>
        <w:t>estudio.</w:t>
      </w:r>
    </w:p>
    <w:p>
      <w:pPr>
        <w:pStyle w:val="BodyText"/>
      </w:pPr>
    </w:p>
    <w:p>
      <w:pPr>
        <w:pStyle w:val="ListParagraph"/>
        <w:numPr>
          <w:ilvl w:val="2"/>
          <w:numId w:val="38"/>
        </w:numPr>
        <w:tabs>
          <w:tab w:pos="837" w:val="left" w:leader="none"/>
        </w:tabs>
        <w:spacing w:line="350" w:lineRule="auto" w:before="159" w:after="0"/>
        <w:ind w:left="837" w:right="114" w:hanging="361"/>
        <w:jc w:val="both"/>
        <w:rPr>
          <w:sz w:val="26"/>
        </w:rPr>
      </w:pPr>
      <w:r>
        <w:rPr>
          <w:i/>
          <w:sz w:val="26"/>
        </w:rPr>
        <w:t>Área</w:t>
      </w:r>
      <w:r>
        <w:rPr>
          <w:i/>
          <w:spacing w:val="-6"/>
          <w:sz w:val="26"/>
        </w:rPr>
        <w:t> </w:t>
      </w:r>
      <w:r>
        <w:rPr>
          <w:i/>
          <w:sz w:val="26"/>
        </w:rPr>
        <w:t>total</w:t>
      </w:r>
      <w:r>
        <w:rPr>
          <w:i/>
          <w:spacing w:val="-6"/>
          <w:sz w:val="26"/>
        </w:rPr>
        <w:t> </w:t>
      </w:r>
      <w:r>
        <w:rPr>
          <w:i/>
          <w:sz w:val="26"/>
        </w:rPr>
        <w:t>de</w:t>
      </w:r>
      <w:r>
        <w:rPr>
          <w:i/>
          <w:spacing w:val="-6"/>
          <w:sz w:val="26"/>
        </w:rPr>
        <w:t> </w:t>
      </w:r>
      <w:r>
        <w:rPr>
          <w:i/>
          <w:sz w:val="26"/>
        </w:rPr>
        <w:t>la</w:t>
      </w:r>
      <w:r>
        <w:rPr>
          <w:i/>
          <w:spacing w:val="-6"/>
          <w:sz w:val="26"/>
        </w:rPr>
        <w:t> </w:t>
      </w:r>
      <w:r>
        <w:rPr>
          <w:i/>
          <w:sz w:val="26"/>
        </w:rPr>
        <w:t>superficie</w:t>
      </w:r>
      <w:r>
        <w:rPr>
          <w:i/>
          <w:spacing w:val="-6"/>
          <w:sz w:val="26"/>
        </w:rPr>
        <w:t> </w:t>
      </w:r>
      <w:r>
        <w:rPr>
          <w:i/>
          <w:sz w:val="26"/>
        </w:rPr>
        <w:t>(espejo</w:t>
      </w:r>
      <w:r>
        <w:rPr>
          <w:i/>
          <w:spacing w:val="-6"/>
          <w:sz w:val="26"/>
        </w:rPr>
        <w:t> </w:t>
      </w:r>
      <w:r>
        <w:rPr>
          <w:i/>
          <w:sz w:val="26"/>
        </w:rPr>
        <w:t>de</w:t>
      </w:r>
      <w:r>
        <w:rPr>
          <w:i/>
          <w:spacing w:val="-6"/>
          <w:sz w:val="26"/>
        </w:rPr>
        <w:t> </w:t>
      </w:r>
      <w:r>
        <w:rPr>
          <w:i/>
          <w:sz w:val="26"/>
        </w:rPr>
        <w:t>agua)</w:t>
      </w:r>
      <w:r>
        <w:rPr>
          <w:i/>
          <w:spacing w:val="-6"/>
          <w:sz w:val="26"/>
        </w:rPr>
        <w:t> </w:t>
      </w:r>
      <w:r>
        <w:rPr>
          <w:i/>
          <w:sz w:val="26"/>
        </w:rPr>
        <w:t>del</w:t>
      </w:r>
      <w:r>
        <w:rPr>
          <w:i/>
          <w:spacing w:val="-11"/>
          <w:sz w:val="26"/>
        </w:rPr>
        <w:t> </w:t>
      </w:r>
      <w:r>
        <w:rPr>
          <w:i/>
          <w:sz w:val="26"/>
        </w:rPr>
        <w:t>almacenamiento</w:t>
      </w:r>
      <w:r>
        <w:rPr>
          <w:i/>
          <w:spacing w:val="-3"/>
          <w:sz w:val="26"/>
        </w:rPr>
        <w:t> </w:t>
      </w:r>
      <w:r>
        <w:rPr>
          <w:sz w:val="26"/>
        </w:rPr>
        <w:t>(PND_PSA).</w:t>
      </w:r>
      <w:r>
        <w:rPr>
          <w:spacing w:val="-4"/>
          <w:sz w:val="26"/>
        </w:rPr>
        <w:t> </w:t>
      </w:r>
      <w:r>
        <w:rPr>
          <w:sz w:val="26"/>
        </w:rPr>
        <w:t>Estos valores se reportan en el Anexo F en la Tabla</w:t>
      </w:r>
      <w:r>
        <w:rPr>
          <w:spacing w:val="-3"/>
          <w:sz w:val="26"/>
        </w:rPr>
        <w:t> </w:t>
      </w:r>
      <w:r>
        <w:rPr>
          <w:sz w:val="26"/>
        </w:rPr>
        <w:t>34.</w:t>
      </w:r>
    </w:p>
    <w:p>
      <w:pPr>
        <w:pStyle w:val="BodyText"/>
      </w:pPr>
    </w:p>
    <w:p>
      <w:pPr>
        <w:pStyle w:val="ListParagraph"/>
        <w:numPr>
          <w:ilvl w:val="2"/>
          <w:numId w:val="38"/>
        </w:numPr>
        <w:tabs>
          <w:tab w:pos="837" w:val="left" w:leader="none"/>
        </w:tabs>
        <w:spacing w:line="350" w:lineRule="auto" w:before="168" w:after="0"/>
        <w:ind w:left="837" w:right="116" w:hanging="361"/>
        <w:jc w:val="both"/>
        <w:rPr>
          <w:sz w:val="26"/>
        </w:rPr>
      </w:pPr>
      <w:r>
        <w:rPr>
          <w:i/>
          <w:sz w:val="26"/>
        </w:rPr>
        <w:t>Volumen</w:t>
      </w:r>
      <w:r>
        <w:rPr>
          <w:i/>
          <w:spacing w:val="-5"/>
          <w:sz w:val="26"/>
        </w:rPr>
        <w:t> </w:t>
      </w:r>
      <w:r>
        <w:rPr>
          <w:i/>
          <w:sz w:val="26"/>
        </w:rPr>
        <w:t>de</w:t>
      </w:r>
      <w:r>
        <w:rPr>
          <w:i/>
          <w:spacing w:val="-5"/>
          <w:sz w:val="26"/>
        </w:rPr>
        <w:t> </w:t>
      </w:r>
      <w:r>
        <w:rPr>
          <w:i/>
          <w:sz w:val="26"/>
        </w:rPr>
        <w:t>agua</w:t>
      </w:r>
      <w:r>
        <w:rPr>
          <w:i/>
          <w:spacing w:val="-5"/>
          <w:sz w:val="26"/>
        </w:rPr>
        <w:t> </w:t>
      </w:r>
      <w:r>
        <w:rPr>
          <w:i/>
          <w:sz w:val="26"/>
        </w:rPr>
        <w:t>necesario</w:t>
      </w:r>
      <w:r>
        <w:rPr>
          <w:i/>
          <w:spacing w:val="-5"/>
          <w:sz w:val="26"/>
        </w:rPr>
        <w:t> </w:t>
      </w:r>
      <w:r>
        <w:rPr>
          <w:i/>
          <w:sz w:val="26"/>
        </w:rPr>
        <w:t>para</w:t>
      </w:r>
      <w:r>
        <w:rPr>
          <w:i/>
          <w:spacing w:val="-5"/>
          <w:sz w:val="26"/>
        </w:rPr>
        <w:t> </w:t>
      </w:r>
      <w:r>
        <w:rPr>
          <w:i/>
          <w:sz w:val="26"/>
        </w:rPr>
        <w:t>llenar</w:t>
      </w:r>
      <w:r>
        <w:rPr>
          <w:i/>
          <w:spacing w:val="-5"/>
          <w:sz w:val="26"/>
        </w:rPr>
        <w:t> </w:t>
      </w:r>
      <w:r>
        <w:rPr>
          <w:i/>
          <w:sz w:val="26"/>
        </w:rPr>
        <w:t>los</w:t>
      </w:r>
      <w:r>
        <w:rPr>
          <w:i/>
          <w:spacing w:val="-5"/>
          <w:sz w:val="26"/>
        </w:rPr>
        <w:t> </w:t>
      </w:r>
      <w:r>
        <w:rPr>
          <w:i/>
          <w:sz w:val="26"/>
        </w:rPr>
        <w:t>depósitos</w:t>
      </w:r>
      <w:r>
        <w:rPr>
          <w:i/>
          <w:spacing w:val="-4"/>
          <w:sz w:val="26"/>
        </w:rPr>
        <w:t> </w:t>
      </w:r>
      <w:r>
        <w:rPr>
          <w:i/>
          <w:sz w:val="26"/>
        </w:rPr>
        <w:t>(PND_PVOL).</w:t>
      </w:r>
      <w:r>
        <w:rPr>
          <w:i/>
          <w:spacing w:val="-4"/>
          <w:sz w:val="26"/>
        </w:rPr>
        <w:t> </w:t>
      </w:r>
      <w:r>
        <w:rPr>
          <w:sz w:val="26"/>
        </w:rPr>
        <w:t>En</w:t>
      </w:r>
      <w:r>
        <w:rPr>
          <w:spacing w:val="-5"/>
          <w:sz w:val="26"/>
        </w:rPr>
        <w:t> </w:t>
      </w:r>
      <w:r>
        <w:rPr>
          <w:sz w:val="26"/>
        </w:rPr>
        <w:t>el</w:t>
      </w:r>
      <w:r>
        <w:rPr>
          <w:spacing w:val="-5"/>
          <w:sz w:val="26"/>
        </w:rPr>
        <w:t> </w:t>
      </w:r>
      <w:r>
        <w:rPr>
          <w:sz w:val="26"/>
        </w:rPr>
        <w:t>Anexo</w:t>
      </w:r>
      <w:r>
        <w:rPr>
          <w:spacing w:val="-5"/>
          <w:sz w:val="26"/>
        </w:rPr>
        <w:t> </w:t>
      </w:r>
      <w:r>
        <w:rPr>
          <w:sz w:val="26"/>
        </w:rPr>
        <w:t>F de la Tabla 34 se presentan los valores</w:t>
      </w:r>
      <w:r>
        <w:rPr>
          <w:spacing w:val="-7"/>
          <w:sz w:val="26"/>
        </w:rPr>
        <w:t> </w:t>
      </w:r>
      <w:r>
        <w:rPr>
          <w:sz w:val="26"/>
        </w:rPr>
        <w:t>empleados.</w:t>
      </w:r>
    </w:p>
    <w:p>
      <w:pPr>
        <w:pStyle w:val="BodyText"/>
      </w:pPr>
    </w:p>
    <w:p>
      <w:pPr>
        <w:pStyle w:val="ListParagraph"/>
        <w:numPr>
          <w:ilvl w:val="2"/>
          <w:numId w:val="38"/>
        </w:numPr>
        <w:tabs>
          <w:tab w:pos="837" w:val="left" w:leader="none"/>
        </w:tabs>
        <w:spacing w:line="350" w:lineRule="auto" w:before="168" w:after="0"/>
        <w:ind w:left="837" w:right="116" w:hanging="361"/>
        <w:jc w:val="both"/>
        <w:rPr>
          <w:sz w:val="26"/>
        </w:rPr>
      </w:pPr>
      <w:r>
        <w:rPr>
          <w:i/>
          <w:sz w:val="26"/>
        </w:rPr>
        <w:t>Volumen de agua inicial en el cuerpo de agua (PND_VOL). </w:t>
      </w:r>
      <w:r>
        <w:rPr>
          <w:spacing w:val="-3"/>
          <w:sz w:val="26"/>
        </w:rPr>
        <w:t>Se </w:t>
      </w:r>
      <w:r>
        <w:rPr>
          <w:sz w:val="26"/>
        </w:rPr>
        <w:t>asignó un valor de PND_VOL = PND_PVOL</w:t>
      </w:r>
      <w:r>
        <w:rPr>
          <w:spacing w:val="-8"/>
          <w:sz w:val="26"/>
        </w:rPr>
        <w:t> </w:t>
      </w:r>
      <w:r>
        <w:rPr>
          <w:sz w:val="26"/>
        </w:rPr>
        <w:t>(0.75)</w:t>
      </w:r>
    </w:p>
    <w:p>
      <w:pPr>
        <w:spacing w:after="0" w:line="350" w:lineRule="auto"/>
        <w:jc w:val="both"/>
        <w:rPr>
          <w:sz w:val="26"/>
        </w:rPr>
        <w:sectPr>
          <w:pgSz w:w="12240" w:h="15840"/>
          <w:pgMar w:header="0" w:footer="1473" w:top="1380" w:bottom="1660" w:left="1300" w:right="1300"/>
        </w:sectPr>
      </w:pPr>
    </w:p>
    <w:p>
      <w:pPr>
        <w:pStyle w:val="ListParagraph"/>
        <w:numPr>
          <w:ilvl w:val="0"/>
          <w:numId w:val="16"/>
        </w:numPr>
        <w:tabs>
          <w:tab w:pos="477" w:val="left" w:leader="none"/>
        </w:tabs>
        <w:spacing w:line="355" w:lineRule="auto" w:before="29" w:after="0"/>
        <w:ind w:left="477" w:right="112" w:hanging="361"/>
        <w:jc w:val="both"/>
        <w:rPr>
          <w:sz w:val="26"/>
        </w:rPr>
      </w:pPr>
      <w:r>
        <w:rPr>
          <w:i/>
          <w:sz w:val="26"/>
        </w:rPr>
        <w:t>Concentración inicial de sedimentos (PND_SED). </w:t>
      </w:r>
      <w:r>
        <w:rPr>
          <w:sz w:val="26"/>
        </w:rPr>
        <w:t>Este valor fue obtenido del análisis de los datos de sedimentos, de los meses de diciembre y enero, con registro en la estación de aforo, el cual es de 63</w:t>
      </w:r>
      <w:r>
        <w:rPr>
          <w:spacing w:val="-9"/>
          <w:sz w:val="26"/>
        </w:rPr>
        <w:t> </w:t>
      </w:r>
      <w:r>
        <w:rPr>
          <w:sz w:val="26"/>
        </w:rPr>
        <w:t>ppm.</w:t>
      </w:r>
    </w:p>
    <w:p>
      <w:pPr>
        <w:pStyle w:val="BodyText"/>
      </w:pPr>
    </w:p>
    <w:p>
      <w:pPr>
        <w:pStyle w:val="ListParagraph"/>
        <w:numPr>
          <w:ilvl w:val="0"/>
          <w:numId w:val="16"/>
        </w:numPr>
        <w:tabs>
          <w:tab w:pos="477" w:val="left" w:leader="none"/>
        </w:tabs>
        <w:spacing w:line="355" w:lineRule="auto" w:before="162" w:after="0"/>
        <w:ind w:left="477" w:right="118" w:hanging="361"/>
        <w:jc w:val="both"/>
        <w:rPr>
          <w:sz w:val="26"/>
        </w:rPr>
      </w:pPr>
      <w:r>
        <w:rPr>
          <w:i/>
          <w:sz w:val="26"/>
        </w:rPr>
        <w:t>Concentración normal de sedimentos (PND_NSED). </w:t>
      </w:r>
      <w:r>
        <w:rPr>
          <w:spacing w:val="-3"/>
          <w:sz w:val="26"/>
        </w:rPr>
        <w:t>Se </w:t>
      </w:r>
      <w:r>
        <w:rPr>
          <w:sz w:val="26"/>
        </w:rPr>
        <w:t>estimó a partir de la concentración</w:t>
      </w:r>
      <w:r>
        <w:rPr>
          <w:spacing w:val="-6"/>
          <w:sz w:val="26"/>
        </w:rPr>
        <w:t> </w:t>
      </w:r>
      <w:r>
        <w:rPr>
          <w:sz w:val="26"/>
        </w:rPr>
        <w:t>media</w:t>
      </w:r>
      <w:r>
        <w:rPr>
          <w:spacing w:val="-11"/>
          <w:sz w:val="26"/>
        </w:rPr>
        <w:t> </w:t>
      </w:r>
      <w:r>
        <w:rPr>
          <w:sz w:val="26"/>
        </w:rPr>
        <w:t>(del</w:t>
      </w:r>
      <w:r>
        <w:rPr>
          <w:spacing w:val="-11"/>
          <w:sz w:val="26"/>
        </w:rPr>
        <w:t> </w:t>
      </w:r>
      <w:r>
        <w:rPr>
          <w:sz w:val="26"/>
        </w:rPr>
        <w:t>período</w:t>
      </w:r>
      <w:r>
        <w:rPr>
          <w:spacing w:val="-11"/>
          <w:sz w:val="26"/>
        </w:rPr>
        <w:t> </w:t>
      </w:r>
      <w:r>
        <w:rPr>
          <w:sz w:val="26"/>
        </w:rPr>
        <w:t>de</w:t>
      </w:r>
      <w:r>
        <w:rPr>
          <w:spacing w:val="-11"/>
          <w:sz w:val="26"/>
        </w:rPr>
        <w:t> </w:t>
      </w:r>
      <w:r>
        <w:rPr>
          <w:sz w:val="26"/>
        </w:rPr>
        <w:t>simulación)</w:t>
      </w:r>
      <w:r>
        <w:rPr>
          <w:spacing w:val="-11"/>
          <w:sz w:val="26"/>
        </w:rPr>
        <w:t> </w:t>
      </w:r>
      <w:r>
        <w:rPr>
          <w:sz w:val="26"/>
        </w:rPr>
        <w:t>en</w:t>
      </w:r>
      <w:r>
        <w:rPr>
          <w:spacing w:val="-11"/>
          <w:sz w:val="26"/>
        </w:rPr>
        <w:t> </w:t>
      </w:r>
      <w:r>
        <w:rPr>
          <w:sz w:val="26"/>
        </w:rPr>
        <w:t>la</w:t>
      </w:r>
      <w:r>
        <w:rPr>
          <w:spacing w:val="-11"/>
          <w:sz w:val="26"/>
        </w:rPr>
        <w:t> </w:t>
      </w:r>
      <w:r>
        <w:rPr>
          <w:sz w:val="26"/>
        </w:rPr>
        <w:t>estación</w:t>
      </w:r>
      <w:r>
        <w:rPr>
          <w:spacing w:val="-11"/>
          <w:sz w:val="26"/>
        </w:rPr>
        <w:t> </w:t>
      </w:r>
      <w:r>
        <w:rPr>
          <w:sz w:val="26"/>
        </w:rPr>
        <w:t>hidrométrica,</w:t>
      </w:r>
      <w:r>
        <w:rPr>
          <w:spacing w:val="-9"/>
          <w:sz w:val="26"/>
        </w:rPr>
        <w:t> </w:t>
      </w:r>
      <w:r>
        <w:rPr>
          <w:sz w:val="26"/>
        </w:rPr>
        <w:t>el</w:t>
      </w:r>
      <w:r>
        <w:rPr>
          <w:spacing w:val="-11"/>
          <w:sz w:val="26"/>
        </w:rPr>
        <w:t> </w:t>
      </w:r>
      <w:r>
        <w:rPr>
          <w:sz w:val="26"/>
        </w:rPr>
        <w:t>cual fue de 100</w:t>
      </w:r>
      <w:r>
        <w:rPr>
          <w:spacing w:val="-5"/>
          <w:sz w:val="26"/>
        </w:rPr>
        <w:t> </w:t>
      </w:r>
      <w:r>
        <w:rPr>
          <w:sz w:val="26"/>
        </w:rPr>
        <w:t>ppm.</w:t>
      </w:r>
    </w:p>
    <w:p>
      <w:pPr>
        <w:pStyle w:val="BodyText"/>
      </w:pPr>
    </w:p>
    <w:p>
      <w:pPr>
        <w:pStyle w:val="ListParagraph"/>
        <w:numPr>
          <w:ilvl w:val="0"/>
          <w:numId w:val="16"/>
        </w:numPr>
        <w:tabs>
          <w:tab w:pos="477" w:val="left" w:leader="none"/>
        </w:tabs>
        <w:spacing w:line="345" w:lineRule="auto" w:before="162" w:after="0"/>
        <w:ind w:left="477" w:right="116" w:hanging="361"/>
        <w:jc w:val="both"/>
        <w:rPr>
          <w:sz w:val="26"/>
        </w:rPr>
      </w:pPr>
      <w:r>
        <w:rPr>
          <w:i/>
          <w:sz w:val="26"/>
        </w:rPr>
        <w:t>Conductividad hidráulica del fondo de los depósitos (PND_K). </w:t>
      </w:r>
      <w:r>
        <w:rPr>
          <w:sz w:val="26"/>
        </w:rPr>
        <w:t>Para este</w:t>
      </w:r>
      <w:r>
        <w:rPr>
          <w:spacing w:val="-7"/>
          <w:sz w:val="26"/>
        </w:rPr>
        <w:t> </w:t>
      </w:r>
      <w:r>
        <w:rPr>
          <w:sz w:val="26"/>
        </w:rPr>
        <w:t>parámetro se asignó un valor de 0.08</w:t>
      </w:r>
      <w:r>
        <w:rPr>
          <w:spacing w:val="-9"/>
          <w:sz w:val="26"/>
        </w:rPr>
        <w:t> </w:t>
      </w:r>
      <w:r>
        <w:rPr>
          <w:sz w:val="26"/>
        </w:rPr>
        <w:t>mm.h</w:t>
      </w:r>
      <w:r>
        <w:rPr>
          <w:position w:val="9"/>
          <w:sz w:val="17"/>
        </w:rPr>
        <w:t>-1</w:t>
      </w:r>
      <w:r>
        <w:rPr>
          <w:sz w:val="26"/>
        </w:rPr>
        <w:t>.</w:t>
      </w:r>
    </w:p>
    <w:p>
      <w:pPr>
        <w:pStyle w:val="BodyText"/>
        <w:spacing w:before="8"/>
        <w:rPr>
          <w:sz w:val="40"/>
        </w:rPr>
      </w:pPr>
    </w:p>
    <w:p>
      <w:pPr>
        <w:pStyle w:val="ListParagraph"/>
        <w:numPr>
          <w:ilvl w:val="0"/>
          <w:numId w:val="16"/>
        </w:numPr>
        <w:tabs>
          <w:tab w:pos="477" w:val="left" w:leader="none"/>
        </w:tabs>
        <w:spacing w:line="357" w:lineRule="auto" w:before="1" w:after="0"/>
        <w:ind w:left="477" w:right="110" w:hanging="361"/>
        <w:jc w:val="both"/>
        <w:rPr>
          <w:sz w:val="26"/>
        </w:rPr>
      </w:pPr>
      <w:r>
        <w:rPr>
          <w:i/>
          <w:sz w:val="26"/>
        </w:rPr>
        <w:t>Mes de comienzo de la temporada de no inundación (IFLOD1). </w:t>
      </w:r>
      <w:r>
        <w:rPr>
          <w:sz w:val="26"/>
        </w:rPr>
        <w:t>El flujo de salida del estanque se calcula como una función de almacenamiento de destino. El almacenamiento</w:t>
      </w:r>
      <w:r>
        <w:rPr>
          <w:spacing w:val="-6"/>
          <w:sz w:val="26"/>
        </w:rPr>
        <w:t> </w:t>
      </w:r>
      <w:r>
        <w:rPr>
          <w:sz w:val="26"/>
        </w:rPr>
        <w:t>de</w:t>
      </w:r>
      <w:r>
        <w:rPr>
          <w:spacing w:val="-6"/>
          <w:sz w:val="26"/>
        </w:rPr>
        <w:t> </w:t>
      </w:r>
      <w:r>
        <w:rPr>
          <w:sz w:val="26"/>
        </w:rPr>
        <w:t>destino</w:t>
      </w:r>
      <w:r>
        <w:rPr>
          <w:spacing w:val="-1"/>
          <w:sz w:val="26"/>
        </w:rPr>
        <w:t> </w:t>
      </w:r>
      <w:r>
        <w:rPr>
          <w:sz w:val="26"/>
        </w:rPr>
        <w:t>varía</w:t>
      </w:r>
      <w:r>
        <w:rPr>
          <w:spacing w:val="-6"/>
          <w:sz w:val="26"/>
        </w:rPr>
        <w:t> </w:t>
      </w:r>
      <w:r>
        <w:rPr>
          <w:sz w:val="26"/>
        </w:rPr>
        <w:t>dependiendo</w:t>
      </w:r>
      <w:r>
        <w:rPr>
          <w:spacing w:val="-1"/>
          <w:sz w:val="26"/>
        </w:rPr>
        <w:t> </w:t>
      </w:r>
      <w:r>
        <w:rPr>
          <w:sz w:val="26"/>
        </w:rPr>
        <w:t>de</w:t>
      </w:r>
      <w:r>
        <w:rPr>
          <w:spacing w:val="-6"/>
          <w:sz w:val="26"/>
        </w:rPr>
        <w:t> </w:t>
      </w:r>
      <w:r>
        <w:rPr>
          <w:sz w:val="26"/>
        </w:rPr>
        <w:t>la</w:t>
      </w:r>
      <w:r>
        <w:rPr>
          <w:spacing w:val="-6"/>
          <w:sz w:val="26"/>
        </w:rPr>
        <w:t> </w:t>
      </w:r>
      <w:r>
        <w:rPr>
          <w:sz w:val="26"/>
        </w:rPr>
        <w:t>temporada</w:t>
      </w:r>
      <w:r>
        <w:rPr>
          <w:spacing w:val="-6"/>
          <w:sz w:val="26"/>
        </w:rPr>
        <w:t> </w:t>
      </w:r>
      <w:r>
        <w:rPr>
          <w:sz w:val="26"/>
        </w:rPr>
        <w:t>de</w:t>
      </w:r>
      <w:r>
        <w:rPr>
          <w:spacing w:val="-6"/>
          <w:sz w:val="26"/>
        </w:rPr>
        <w:t> </w:t>
      </w:r>
      <w:r>
        <w:rPr>
          <w:sz w:val="26"/>
        </w:rPr>
        <w:t>inundaciones</w:t>
      </w:r>
      <w:r>
        <w:rPr>
          <w:spacing w:val="-6"/>
          <w:sz w:val="26"/>
        </w:rPr>
        <w:t> </w:t>
      </w:r>
      <w:r>
        <w:rPr>
          <w:sz w:val="26"/>
        </w:rPr>
        <w:t>y</w:t>
      </w:r>
      <w:r>
        <w:rPr>
          <w:spacing w:val="-6"/>
          <w:sz w:val="26"/>
        </w:rPr>
        <w:t> </w:t>
      </w:r>
      <w:r>
        <w:rPr>
          <w:sz w:val="26"/>
        </w:rPr>
        <w:t>el contenido de agua del suelo. Para la cuenca se estableció un valor de 5 correspondiente al mes de</w:t>
      </w:r>
      <w:r>
        <w:rPr>
          <w:spacing w:val="-8"/>
          <w:sz w:val="26"/>
        </w:rPr>
        <w:t> </w:t>
      </w:r>
      <w:r>
        <w:rPr>
          <w:sz w:val="26"/>
        </w:rPr>
        <w:t>Junio.</w:t>
      </w:r>
    </w:p>
    <w:p>
      <w:pPr>
        <w:pStyle w:val="BodyText"/>
      </w:pPr>
    </w:p>
    <w:p>
      <w:pPr>
        <w:pStyle w:val="ListParagraph"/>
        <w:numPr>
          <w:ilvl w:val="0"/>
          <w:numId w:val="16"/>
        </w:numPr>
        <w:tabs>
          <w:tab w:pos="477" w:val="left" w:leader="none"/>
        </w:tabs>
        <w:spacing w:line="355" w:lineRule="auto" w:before="159" w:after="0"/>
        <w:ind w:left="477" w:right="115" w:hanging="361"/>
        <w:jc w:val="both"/>
        <w:rPr>
          <w:sz w:val="26"/>
        </w:rPr>
      </w:pPr>
      <w:r>
        <w:rPr>
          <w:i/>
          <w:sz w:val="26"/>
        </w:rPr>
        <w:t>Mes</w:t>
      </w:r>
      <w:r>
        <w:rPr>
          <w:i/>
          <w:spacing w:val="-11"/>
          <w:sz w:val="26"/>
        </w:rPr>
        <w:t> </w:t>
      </w:r>
      <w:r>
        <w:rPr>
          <w:i/>
          <w:sz w:val="26"/>
        </w:rPr>
        <w:t>de</w:t>
      </w:r>
      <w:r>
        <w:rPr>
          <w:i/>
          <w:spacing w:val="-11"/>
          <w:sz w:val="26"/>
        </w:rPr>
        <w:t> </w:t>
      </w:r>
      <w:r>
        <w:rPr>
          <w:i/>
          <w:sz w:val="26"/>
        </w:rPr>
        <w:t>término</w:t>
      </w:r>
      <w:r>
        <w:rPr>
          <w:i/>
          <w:spacing w:val="-11"/>
          <w:sz w:val="26"/>
        </w:rPr>
        <w:t> </w:t>
      </w:r>
      <w:r>
        <w:rPr>
          <w:i/>
          <w:sz w:val="26"/>
        </w:rPr>
        <w:t>de</w:t>
      </w:r>
      <w:r>
        <w:rPr>
          <w:i/>
          <w:spacing w:val="-11"/>
          <w:sz w:val="26"/>
        </w:rPr>
        <w:t> </w:t>
      </w:r>
      <w:r>
        <w:rPr>
          <w:i/>
          <w:sz w:val="26"/>
        </w:rPr>
        <w:t>la</w:t>
      </w:r>
      <w:r>
        <w:rPr>
          <w:i/>
          <w:spacing w:val="-11"/>
          <w:sz w:val="26"/>
        </w:rPr>
        <w:t> </w:t>
      </w:r>
      <w:r>
        <w:rPr>
          <w:i/>
          <w:sz w:val="26"/>
        </w:rPr>
        <w:t>temporada</w:t>
      </w:r>
      <w:r>
        <w:rPr>
          <w:i/>
          <w:spacing w:val="-11"/>
          <w:sz w:val="26"/>
        </w:rPr>
        <w:t> </w:t>
      </w:r>
      <w:r>
        <w:rPr>
          <w:i/>
          <w:sz w:val="26"/>
        </w:rPr>
        <w:t>de</w:t>
      </w:r>
      <w:r>
        <w:rPr>
          <w:i/>
          <w:spacing w:val="-11"/>
          <w:sz w:val="26"/>
        </w:rPr>
        <w:t> </w:t>
      </w:r>
      <w:r>
        <w:rPr>
          <w:i/>
          <w:sz w:val="26"/>
        </w:rPr>
        <w:t>no</w:t>
      </w:r>
      <w:r>
        <w:rPr>
          <w:i/>
          <w:spacing w:val="-11"/>
          <w:sz w:val="26"/>
        </w:rPr>
        <w:t> </w:t>
      </w:r>
      <w:r>
        <w:rPr>
          <w:i/>
          <w:sz w:val="26"/>
        </w:rPr>
        <w:t>inundación</w:t>
      </w:r>
      <w:r>
        <w:rPr>
          <w:i/>
          <w:spacing w:val="-10"/>
          <w:sz w:val="26"/>
        </w:rPr>
        <w:t> </w:t>
      </w:r>
      <w:r>
        <w:rPr>
          <w:i/>
          <w:sz w:val="26"/>
        </w:rPr>
        <w:t>(IFLOD2).</w:t>
      </w:r>
      <w:r>
        <w:rPr>
          <w:i/>
          <w:spacing w:val="-4"/>
          <w:sz w:val="26"/>
        </w:rPr>
        <w:t> </w:t>
      </w:r>
      <w:r>
        <w:rPr>
          <w:spacing w:val="-3"/>
          <w:sz w:val="26"/>
        </w:rPr>
        <w:t>Se</w:t>
      </w:r>
      <w:r>
        <w:rPr>
          <w:spacing w:val="-11"/>
          <w:sz w:val="26"/>
        </w:rPr>
        <w:t> </w:t>
      </w:r>
      <w:r>
        <w:rPr>
          <w:sz w:val="26"/>
        </w:rPr>
        <w:t>estableció</w:t>
      </w:r>
      <w:r>
        <w:rPr>
          <w:spacing w:val="-11"/>
          <w:sz w:val="26"/>
        </w:rPr>
        <w:t> </w:t>
      </w:r>
      <w:r>
        <w:rPr>
          <w:sz w:val="26"/>
        </w:rPr>
        <w:t>un</w:t>
      </w:r>
      <w:r>
        <w:rPr>
          <w:spacing w:val="-11"/>
          <w:sz w:val="26"/>
        </w:rPr>
        <w:t> </w:t>
      </w:r>
      <w:r>
        <w:rPr>
          <w:sz w:val="26"/>
        </w:rPr>
        <w:t>valor de 10 correspondiente al mes de</w:t>
      </w:r>
      <w:r>
        <w:rPr>
          <w:spacing w:val="-6"/>
          <w:sz w:val="26"/>
        </w:rPr>
        <w:t> </w:t>
      </w:r>
      <w:r>
        <w:rPr>
          <w:sz w:val="26"/>
        </w:rPr>
        <w:t>Octubre.</w:t>
      </w:r>
    </w:p>
    <w:p>
      <w:pPr>
        <w:pStyle w:val="BodyText"/>
      </w:pPr>
    </w:p>
    <w:p>
      <w:pPr>
        <w:pStyle w:val="ListParagraph"/>
        <w:numPr>
          <w:ilvl w:val="0"/>
          <w:numId w:val="16"/>
        </w:numPr>
        <w:tabs>
          <w:tab w:pos="477" w:val="left" w:leader="none"/>
        </w:tabs>
        <w:spacing w:line="355" w:lineRule="auto" w:before="157" w:after="0"/>
        <w:ind w:left="477" w:right="120" w:hanging="361"/>
        <w:jc w:val="both"/>
        <w:rPr>
          <w:sz w:val="26"/>
        </w:rPr>
      </w:pPr>
      <w:r>
        <w:rPr>
          <w:i/>
          <w:sz w:val="26"/>
        </w:rPr>
        <w:t>Número de días necesarios para alcanzar el almacenamiento del estanque actual </w:t>
      </w:r>
      <w:r>
        <w:rPr>
          <w:i/>
          <w:sz w:val="26"/>
        </w:rPr>
        <w:t>(NDTARG). </w:t>
      </w:r>
      <w:r>
        <w:rPr>
          <w:sz w:val="26"/>
        </w:rPr>
        <w:t>El valor establecido para la cuenca fue de 60</w:t>
      </w:r>
      <w:r>
        <w:rPr>
          <w:spacing w:val="-9"/>
          <w:sz w:val="26"/>
        </w:rPr>
        <w:t> </w:t>
      </w:r>
      <w:r>
        <w:rPr>
          <w:sz w:val="26"/>
        </w:rPr>
        <w:t>días.</w:t>
      </w:r>
    </w:p>
    <w:p>
      <w:pPr>
        <w:pStyle w:val="BodyText"/>
      </w:pPr>
    </w:p>
    <w:p>
      <w:pPr>
        <w:pStyle w:val="ListParagraph"/>
        <w:numPr>
          <w:ilvl w:val="0"/>
          <w:numId w:val="16"/>
        </w:numPr>
        <w:tabs>
          <w:tab w:pos="477" w:val="left" w:leader="none"/>
        </w:tabs>
        <w:spacing w:line="350" w:lineRule="auto" w:before="162" w:after="0"/>
        <w:ind w:left="477" w:right="116" w:hanging="361"/>
        <w:jc w:val="both"/>
        <w:rPr>
          <w:sz w:val="26"/>
        </w:rPr>
      </w:pPr>
      <w:r>
        <w:rPr>
          <w:i/>
          <w:sz w:val="26"/>
        </w:rPr>
        <w:t>El valor se aplica de acuerdo con el diámetro medio de la partícula de sedimento </w:t>
      </w:r>
      <w:r>
        <w:rPr>
          <w:i/>
          <w:sz w:val="26"/>
        </w:rPr>
        <w:t>(PND_D50). </w:t>
      </w:r>
      <w:r>
        <w:rPr>
          <w:sz w:val="26"/>
        </w:rPr>
        <w:t>Cuando el valor no es definido el modelo aplica por default 10</w:t>
      </w:r>
      <w:r>
        <w:rPr>
          <w:spacing w:val="-19"/>
          <w:sz w:val="26"/>
        </w:rPr>
        <w:t> </w:t>
      </w:r>
      <w:r>
        <w:rPr>
          <w:sz w:val="26"/>
        </w:rPr>
        <w:t>µm.</w:t>
      </w:r>
    </w:p>
    <w:p>
      <w:pPr>
        <w:pStyle w:val="BodyText"/>
      </w:pPr>
    </w:p>
    <w:p>
      <w:pPr>
        <w:pStyle w:val="ListParagraph"/>
        <w:numPr>
          <w:ilvl w:val="0"/>
          <w:numId w:val="16"/>
        </w:numPr>
        <w:tabs>
          <w:tab w:pos="477" w:val="left" w:leader="none"/>
        </w:tabs>
        <w:spacing w:line="350" w:lineRule="auto" w:before="167" w:after="0"/>
        <w:ind w:left="477" w:right="112" w:hanging="361"/>
        <w:jc w:val="both"/>
        <w:rPr>
          <w:sz w:val="26"/>
        </w:rPr>
      </w:pPr>
      <w:r>
        <w:rPr>
          <w:i/>
          <w:sz w:val="26"/>
        </w:rPr>
        <w:t>Mes de comienzo de la sedimentación de nutrientes a mitad de año o "temporada" </w:t>
      </w:r>
      <w:r>
        <w:rPr>
          <w:i/>
          <w:sz w:val="26"/>
        </w:rPr>
        <w:t>(IPND1). </w:t>
      </w:r>
      <w:r>
        <w:rPr>
          <w:spacing w:val="-3"/>
          <w:sz w:val="26"/>
        </w:rPr>
        <w:t>Se </w:t>
      </w:r>
      <w:r>
        <w:rPr>
          <w:sz w:val="26"/>
        </w:rPr>
        <w:t>estableció un valor de 5 correspondiente al mes de</w:t>
      </w:r>
      <w:r>
        <w:rPr>
          <w:spacing w:val="1"/>
          <w:sz w:val="26"/>
        </w:rPr>
        <w:t> </w:t>
      </w:r>
      <w:r>
        <w:rPr>
          <w:sz w:val="26"/>
        </w:rPr>
        <w:t>Junio.</w:t>
      </w:r>
    </w:p>
    <w:p>
      <w:pPr>
        <w:spacing w:after="0" w:line="350" w:lineRule="auto"/>
        <w:jc w:val="both"/>
        <w:rPr>
          <w:sz w:val="26"/>
        </w:rPr>
        <w:sectPr>
          <w:pgSz w:w="12240" w:h="15840"/>
          <w:pgMar w:header="0" w:footer="1473" w:top="1380" w:bottom="1660" w:left="1660" w:right="1300"/>
        </w:sectPr>
      </w:pPr>
    </w:p>
    <w:p>
      <w:pPr>
        <w:pStyle w:val="ListParagraph"/>
        <w:numPr>
          <w:ilvl w:val="1"/>
          <w:numId w:val="16"/>
        </w:numPr>
        <w:tabs>
          <w:tab w:pos="837" w:val="left" w:leader="none"/>
        </w:tabs>
        <w:spacing w:line="355" w:lineRule="auto" w:before="29" w:after="0"/>
        <w:ind w:left="837" w:right="123" w:hanging="361"/>
        <w:jc w:val="both"/>
        <w:rPr>
          <w:rFonts w:ascii="Symbol" w:hAnsi="Symbol"/>
          <w:sz w:val="26"/>
        </w:rPr>
      </w:pPr>
      <w:r>
        <w:rPr>
          <w:i/>
          <w:sz w:val="26"/>
        </w:rPr>
        <w:t>Mes de término de la sedimentación de nutrientes a mitad de año "temporada" </w:t>
      </w:r>
      <w:r>
        <w:rPr>
          <w:i/>
          <w:sz w:val="26"/>
        </w:rPr>
        <w:t>(IPND2). </w:t>
      </w:r>
      <w:r>
        <w:rPr>
          <w:spacing w:val="-3"/>
          <w:sz w:val="26"/>
        </w:rPr>
        <w:t>Se </w:t>
      </w:r>
      <w:r>
        <w:rPr>
          <w:sz w:val="26"/>
        </w:rPr>
        <w:t>estableció un valor de 12 correspondientes al mes de</w:t>
      </w:r>
      <w:r>
        <w:rPr>
          <w:spacing w:val="-2"/>
          <w:sz w:val="26"/>
        </w:rPr>
        <w:t> </w:t>
      </w:r>
      <w:r>
        <w:rPr>
          <w:sz w:val="26"/>
        </w:rPr>
        <w:t>Diciembre.</w:t>
      </w:r>
    </w:p>
    <w:p>
      <w:pPr>
        <w:pStyle w:val="BodyText"/>
      </w:pPr>
    </w:p>
    <w:p>
      <w:pPr>
        <w:pStyle w:val="BodyText"/>
        <w:spacing w:before="4"/>
        <w:rPr>
          <w:sz w:val="35"/>
        </w:rPr>
      </w:pPr>
    </w:p>
    <w:p>
      <w:pPr>
        <w:pStyle w:val="Heading1"/>
        <w:numPr>
          <w:ilvl w:val="2"/>
          <w:numId w:val="39"/>
        </w:numPr>
        <w:tabs>
          <w:tab w:pos="836" w:val="left" w:leader="none"/>
        </w:tabs>
        <w:spacing w:line="240" w:lineRule="auto" w:before="0" w:after="0"/>
        <w:ind w:left="835" w:right="0" w:hanging="719"/>
        <w:jc w:val="left"/>
      </w:pPr>
      <w:bookmarkStart w:name="_bookmark67" w:id="99"/>
      <w:bookmarkEnd w:id="99"/>
      <w:r>
        <w:rPr>
          <w:b w:val="0"/>
        </w:rPr>
      </w:r>
      <w:bookmarkStart w:name="_bookmark67" w:id="100"/>
      <w:bookmarkEnd w:id="100"/>
      <w:r>
        <w:rPr/>
        <w:t>Dat</w:t>
      </w:r>
      <w:r>
        <w:rPr/>
        <w:t>os </w:t>
      </w:r>
      <w:r>
        <w:rPr>
          <w:spacing w:val="-3"/>
        </w:rPr>
        <w:t>de </w:t>
      </w:r>
      <w:r>
        <w:rPr/>
        <w:t>aguas subterráneas (ARCHIVO</w:t>
      </w:r>
      <w:r>
        <w:rPr>
          <w:spacing w:val="-12"/>
        </w:rPr>
        <w:t> </w:t>
      </w:r>
      <w:r>
        <w:rPr/>
        <w:t>GW)</w:t>
      </w:r>
    </w:p>
    <w:p>
      <w:pPr>
        <w:pStyle w:val="BodyText"/>
        <w:rPr>
          <w:b/>
        </w:rPr>
      </w:pPr>
    </w:p>
    <w:p>
      <w:pPr>
        <w:pStyle w:val="BodyText"/>
        <w:spacing w:before="5"/>
        <w:rPr>
          <w:b/>
          <w:sz w:val="21"/>
        </w:rPr>
      </w:pPr>
    </w:p>
    <w:p>
      <w:pPr>
        <w:pStyle w:val="ListParagraph"/>
        <w:numPr>
          <w:ilvl w:val="3"/>
          <w:numId w:val="39"/>
        </w:numPr>
        <w:tabs>
          <w:tab w:pos="837" w:val="left" w:leader="none"/>
        </w:tabs>
        <w:spacing w:line="357" w:lineRule="auto" w:before="0" w:after="0"/>
        <w:ind w:left="837" w:right="111" w:hanging="361"/>
        <w:jc w:val="both"/>
        <w:rPr>
          <w:sz w:val="26"/>
        </w:rPr>
      </w:pPr>
      <w:r>
        <w:rPr>
          <w:i/>
          <w:position w:val="2"/>
          <w:sz w:val="26"/>
        </w:rPr>
        <w:t>Profundidad</w:t>
      </w:r>
      <w:r>
        <w:rPr>
          <w:i/>
          <w:spacing w:val="-9"/>
          <w:position w:val="2"/>
          <w:sz w:val="26"/>
        </w:rPr>
        <w:t> </w:t>
      </w:r>
      <w:r>
        <w:rPr>
          <w:i/>
          <w:position w:val="2"/>
          <w:sz w:val="26"/>
        </w:rPr>
        <w:t>inicial</w:t>
      </w:r>
      <w:r>
        <w:rPr>
          <w:i/>
          <w:spacing w:val="-9"/>
          <w:position w:val="2"/>
          <w:sz w:val="26"/>
        </w:rPr>
        <w:t> </w:t>
      </w:r>
      <w:r>
        <w:rPr>
          <w:i/>
          <w:position w:val="2"/>
          <w:sz w:val="26"/>
        </w:rPr>
        <w:t>de</w:t>
      </w:r>
      <w:r>
        <w:rPr>
          <w:i/>
          <w:spacing w:val="-9"/>
          <w:position w:val="2"/>
          <w:sz w:val="26"/>
        </w:rPr>
        <w:t> </w:t>
      </w:r>
      <w:r>
        <w:rPr>
          <w:i/>
          <w:position w:val="2"/>
          <w:sz w:val="26"/>
        </w:rPr>
        <w:t>agua</w:t>
      </w:r>
      <w:r>
        <w:rPr>
          <w:i/>
          <w:spacing w:val="-9"/>
          <w:position w:val="2"/>
          <w:sz w:val="26"/>
        </w:rPr>
        <w:t> </w:t>
      </w:r>
      <w:r>
        <w:rPr>
          <w:i/>
          <w:position w:val="2"/>
          <w:sz w:val="26"/>
        </w:rPr>
        <w:t>en</w:t>
      </w:r>
      <w:r>
        <w:rPr>
          <w:i/>
          <w:spacing w:val="-9"/>
          <w:position w:val="2"/>
          <w:sz w:val="26"/>
        </w:rPr>
        <w:t> </w:t>
      </w:r>
      <w:r>
        <w:rPr>
          <w:i/>
          <w:position w:val="2"/>
          <w:sz w:val="26"/>
        </w:rPr>
        <w:t>los</w:t>
      </w:r>
      <w:r>
        <w:rPr>
          <w:i/>
          <w:spacing w:val="-9"/>
          <w:position w:val="2"/>
          <w:sz w:val="26"/>
        </w:rPr>
        <w:t> </w:t>
      </w:r>
      <w:r>
        <w:rPr>
          <w:i/>
          <w:position w:val="2"/>
          <w:sz w:val="26"/>
        </w:rPr>
        <w:t>acuíferos</w:t>
      </w:r>
      <w:r>
        <w:rPr>
          <w:i/>
          <w:spacing w:val="-9"/>
          <w:position w:val="2"/>
          <w:sz w:val="26"/>
        </w:rPr>
        <w:t> </w:t>
      </w:r>
      <w:r>
        <w:rPr>
          <w:i/>
          <w:position w:val="2"/>
          <w:sz w:val="26"/>
        </w:rPr>
        <w:t>poco</w:t>
      </w:r>
      <w:r>
        <w:rPr>
          <w:i/>
          <w:spacing w:val="-9"/>
          <w:position w:val="2"/>
          <w:sz w:val="26"/>
        </w:rPr>
        <w:t> </w:t>
      </w:r>
      <w:r>
        <w:rPr>
          <w:i/>
          <w:position w:val="2"/>
          <w:sz w:val="26"/>
        </w:rPr>
        <w:t>profundos</w:t>
      </w:r>
      <w:r>
        <w:rPr>
          <w:i/>
          <w:spacing w:val="-6"/>
          <w:position w:val="2"/>
          <w:sz w:val="26"/>
        </w:rPr>
        <w:t> </w:t>
      </w:r>
      <w:r>
        <w:rPr>
          <w:i/>
          <w:position w:val="2"/>
          <w:sz w:val="26"/>
        </w:rPr>
        <w:t>(mm</w:t>
      </w:r>
      <w:r>
        <w:rPr>
          <w:i/>
          <w:spacing w:val="-9"/>
          <w:position w:val="2"/>
          <w:sz w:val="26"/>
        </w:rPr>
        <w:t> </w:t>
      </w:r>
      <w:r>
        <w:rPr>
          <w:i/>
          <w:position w:val="2"/>
          <w:sz w:val="26"/>
        </w:rPr>
        <w:t>H</w:t>
      </w:r>
      <w:r>
        <w:rPr>
          <w:i/>
          <w:sz w:val="16"/>
        </w:rPr>
        <w:t>2</w:t>
      </w:r>
      <w:r>
        <w:rPr>
          <w:i/>
          <w:position w:val="2"/>
          <w:sz w:val="26"/>
        </w:rPr>
        <w:t>0)</w:t>
      </w:r>
      <w:r>
        <w:rPr>
          <w:i/>
          <w:spacing w:val="-9"/>
          <w:position w:val="2"/>
          <w:sz w:val="26"/>
        </w:rPr>
        <w:t> </w:t>
      </w:r>
      <w:r>
        <w:rPr>
          <w:i/>
          <w:position w:val="2"/>
          <w:sz w:val="26"/>
        </w:rPr>
        <w:t>(SHALLST). </w:t>
      </w:r>
      <w:r>
        <w:rPr>
          <w:spacing w:val="-3"/>
          <w:sz w:val="26"/>
        </w:rPr>
        <w:t>Se </w:t>
      </w:r>
      <w:r>
        <w:rPr>
          <w:sz w:val="26"/>
        </w:rPr>
        <w:t>recomienda el uso de datos de 1 año antes del periodo de interés, ya que esto permitirá que el modelo simule el ciclo del agua adecuadamente antes de realizar cualquier comparación entre los datos medidos y simulados. Cuando se incorpora un periodo de equilibrio, el valor de SHALLST no es tan importante, no obstante para el modelo se estableció un valor de 5,000</w:t>
      </w:r>
      <w:r>
        <w:rPr>
          <w:spacing w:val="-14"/>
          <w:sz w:val="26"/>
        </w:rPr>
        <w:t> </w:t>
      </w:r>
      <w:r>
        <w:rPr>
          <w:sz w:val="26"/>
        </w:rPr>
        <w:t>mm.</w:t>
      </w:r>
    </w:p>
    <w:p>
      <w:pPr>
        <w:pStyle w:val="BodyText"/>
      </w:pPr>
    </w:p>
    <w:p>
      <w:pPr>
        <w:pStyle w:val="ListParagraph"/>
        <w:numPr>
          <w:ilvl w:val="3"/>
          <w:numId w:val="39"/>
        </w:numPr>
        <w:tabs>
          <w:tab w:pos="837" w:val="left" w:leader="none"/>
        </w:tabs>
        <w:spacing w:line="357" w:lineRule="auto" w:before="158" w:after="0"/>
        <w:ind w:left="837" w:right="112" w:hanging="361"/>
        <w:jc w:val="both"/>
        <w:rPr>
          <w:sz w:val="26"/>
        </w:rPr>
      </w:pPr>
      <w:r>
        <w:rPr>
          <w:i/>
          <w:position w:val="2"/>
          <w:sz w:val="26"/>
        </w:rPr>
        <w:t>Profundidad</w:t>
      </w:r>
      <w:r>
        <w:rPr>
          <w:i/>
          <w:spacing w:val="-7"/>
          <w:position w:val="2"/>
          <w:sz w:val="26"/>
        </w:rPr>
        <w:t> </w:t>
      </w:r>
      <w:r>
        <w:rPr>
          <w:i/>
          <w:position w:val="2"/>
          <w:sz w:val="26"/>
        </w:rPr>
        <w:t>inicial</w:t>
      </w:r>
      <w:r>
        <w:rPr>
          <w:i/>
          <w:spacing w:val="-7"/>
          <w:position w:val="2"/>
          <w:sz w:val="26"/>
        </w:rPr>
        <w:t> </w:t>
      </w:r>
      <w:r>
        <w:rPr>
          <w:i/>
          <w:position w:val="2"/>
          <w:sz w:val="26"/>
        </w:rPr>
        <w:t>de</w:t>
      </w:r>
      <w:r>
        <w:rPr>
          <w:i/>
          <w:spacing w:val="-12"/>
          <w:position w:val="2"/>
          <w:sz w:val="26"/>
        </w:rPr>
        <w:t> </w:t>
      </w:r>
      <w:r>
        <w:rPr>
          <w:i/>
          <w:position w:val="2"/>
          <w:sz w:val="26"/>
        </w:rPr>
        <w:t>agua</w:t>
      </w:r>
      <w:r>
        <w:rPr>
          <w:i/>
          <w:spacing w:val="-7"/>
          <w:position w:val="2"/>
          <w:sz w:val="26"/>
        </w:rPr>
        <w:t> </w:t>
      </w:r>
      <w:r>
        <w:rPr>
          <w:i/>
          <w:position w:val="2"/>
          <w:sz w:val="26"/>
        </w:rPr>
        <w:t>en</w:t>
      </w:r>
      <w:r>
        <w:rPr>
          <w:i/>
          <w:spacing w:val="-12"/>
          <w:position w:val="2"/>
          <w:sz w:val="26"/>
        </w:rPr>
        <w:t> </w:t>
      </w:r>
      <w:r>
        <w:rPr>
          <w:i/>
          <w:position w:val="2"/>
          <w:sz w:val="26"/>
        </w:rPr>
        <w:t>el</w:t>
      </w:r>
      <w:r>
        <w:rPr>
          <w:i/>
          <w:spacing w:val="-12"/>
          <w:position w:val="2"/>
          <w:sz w:val="26"/>
        </w:rPr>
        <w:t> </w:t>
      </w:r>
      <w:r>
        <w:rPr>
          <w:i/>
          <w:position w:val="2"/>
          <w:sz w:val="26"/>
        </w:rPr>
        <w:t>acuífero</w:t>
      </w:r>
      <w:r>
        <w:rPr>
          <w:i/>
          <w:spacing w:val="-7"/>
          <w:position w:val="2"/>
          <w:sz w:val="26"/>
        </w:rPr>
        <w:t> </w:t>
      </w:r>
      <w:r>
        <w:rPr>
          <w:i/>
          <w:position w:val="2"/>
          <w:sz w:val="26"/>
        </w:rPr>
        <w:t>profundo</w:t>
      </w:r>
      <w:r>
        <w:rPr>
          <w:i/>
          <w:spacing w:val="-6"/>
          <w:position w:val="2"/>
          <w:sz w:val="26"/>
        </w:rPr>
        <w:t> </w:t>
      </w:r>
      <w:r>
        <w:rPr>
          <w:i/>
          <w:position w:val="2"/>
          <w:sz w:val="26"/>
        </w:rPr>
        <w:t>(mm</w:t>
      </w:r>
      <w:r>
        <w:rPr>
          <w:i/>
          <w:spacing w:val="-7"/>
          <w:position w:val="2"/>
          <w:sz w:val="26"/>
        </w:rPr>
        <w:t> </w:t>
      </w:r>
      <w:r>
        <w:rPr>
          <w:i/>
          <w:position w:val="2"/>
          <w:sz w:val="26"/>
        </w:rPr>
        <w:t>H</w:t>
      </w:r>
      <w:r>
        <w:rPr>
          <w:i/>
          <w:sz w:val="17"/>
        </w:rPr>
        <w:t>2</w:t>
      </w:r>
      <w:r>
        <w:rPr>
          <w:i/>
          <w:position w:val="2"/>
          <w:sz w:val="26"/>
        </w:rPr>
        <w:t>0)</w:t>
      </w:r>
      <w:r>
        <w:rPr>
          <w:i/>
          <w:spacing w:val="-7"/>
          <w:position w:val="2"/>
          <w:sz w:val="26"/>
        </w:rPr>
        <w:t> </w:t>
      </w:r>
      <w:r>
        <w:rPr>
          <w:i/>
          <w:position w:val="2"/>
          <w:sz w:val="26"/>
        </w:rPr>
        <w:t>(DEEPST).</w:t>
      </w:r>
      <w:r>
        <w:rPr>
          <w:i/>
          <w:spacing w:val="-6"/>
          <w:position w:val="2"/>
          <w:sz w:val="26"/>
        </w:rPr>
        <w:t> </w:t>
      </w:r>
      <w:r>
        <w:rPr>
          <w:position w:val="2"/>
          <w:sz w:val="26"/>
        </w:rPr>
        <w:t>También </w:t>
      </w:r>
      <w:r>
        <w:rPr>
          <w:sz w:val="26"/>
        </w:rPr>
        <w:t>se recomienda el uso de datos de 1 año antes del período de interés. Cuando se incorpora un período de equilibrio, el valor para DEEPST no es tan importante. En cuencas donde no hay riego con agua del acuífero profundo, esta variable no tiene ningún impacto en absoluto. Para la cuenca se introdujo un valor de 60,000</w:t>
      </w:r>
      <w:r>
        <w:rPr>
          <w:spacing w:val="-21"/>
          <w:sz w:val="26"/>
        </w:rPr>
        <w:t> </w:t>
      </w:r>
      <w:r>
        <w:rPr>
          <w:sz w:val="26"/>
        </w:rPr>
        <w:t>mm.</w:t>
      </w:r>
    </w:p>
    <w:p>
      <w:pPr>
        <w:pStyle w:val="BodyText"/>
      </w:pPr>
    </w:p>
    <w:p>
      <w:pPr>
        <w:pStyle w:val="ListParagraph"/>
        <w:numPr>
          <w:ilvl w:val="3"/>
          <w:numId w:val="39"/>
        </w:numPr>
        <w:tabs>
          <w:tab w:pos="837" w:val="left" w:leader="none"/>
        </w:tabs>
        <w:spacing w:line="357" w:lineRule="auto" w:before="159" w:after="0"/>
        <w:ind w:left="837" w:right="111" w:hanging="361"/>
        <w:jc w:val="both"/>
        <w:rPr>
          <w:sz w:val="26"/>
        </w:rPr>
      </w:pPr>
      <w:r>
        <w:rPr>
          <w:i/>
          <w:sz w:val="26"/>
        </w:rPr>
        <w:t>Temporizadores</w:t>
      </w:r>
      <w:r>
        <w:rPr>
          <w:i/>
          <w:spacing w:val="-12"/>
          <w:sz w:val="26"/>
        </w:rPr>
        <w:t> </w:t>
      </w:r>
      <w:r>
        <w:rPr>
          <w:i/>
          <w:sz w:val="26"/>
        </w:rPr>
        <w:t>de</w:t>
      </w:r>
      <w:r>
        <w:rPr>
          <w:i/>
          <w:spacing w:val="-12"/>
          <w:sz w:val="26"/>
        </w:rPr>
        <w:t> </w:t>
      </w:r>
      <w:r>
        <w:rPr>
          <w:i/>
          <w:sz w:val="26"/>
        </w:rPr>
        <w:t>retardo</w:t>
      </w:r>
      <w:r>
        <w:rPr>
          <w:i/>
          <w:spacing w:val="-12"/>
          <w:sz w:val="26"/>
        </w:rPr>
        <w:t> </w:t>
      </w:r>
      <w:r>
        <w:rPr>
          <w:i/>
          <w:sz w:val="26"/>
        </w:rPr>
        <w:t>subterráneo</w:t>
      </w:r>
      <w:r>
        <w:rPr>
          <w:i/>
          <w:spacing w:val="-12"/>
          <w:sz w:val="26"/>
        </w:rPr>
        <w:t> </w:t>
      </w:r>
      <w:r>
        <w:rPr>
          <w:i/>
          <w:sz w:val="26"/>
        </w:rPr>
        <w:t>(días)</w:t>
      </w:r>
      <w:r>
        <w:rPr>
          <w:i/>
          <w:spacing w:val="-20"/>
          <w:sz w:val="26"/>
        </w:rPr>
        <w:t> </w:t>
      </w:r>
      <w:r>
        <w:rPr>
          <w:i/>
          <w:sz w:val="26"/>
        </w:rPr>
        <w:t>(GW_DELAY).</w:t>
      </w:r>
      <w:r>
        <w:rPr>
          <w:i/>
          <w:spacing w:val="-9"/>
          <w:sz w:val="26"/>
        </w:rPr>
        <w:t> </w:t>
      </w:r>
      <w:r>
        <w:rPr>
          <w:sz w:val="26"/>
        </w:rPr>
        <w:t>El</w:t>
      </w:r>
      <w:r>
        <w:rPr>
          <w:spacing w:val="-12"/>
          <w:sz w:val="26"/>
        </w:rPr>
        <w:t> </w:t>
      </w:r>
      <w:r>
        <w:rPr>
          <w:sz w:val="26"/>
        </w:rPr>
        <w:t>agua</w:t>
      </w:r>
      <w:r>
        <w:rPr>
          <w:spacing w:val="-12"/>
          <w:sz w:val="26"/>
        </w:rPr>
        <w:t> </w:t>
      </w:r>
      <w:r>
        <w:rPr>
          <w:sz w:val="26"/>
        </w:rPr>
        <w:t>que</w:t>
      </w:r>
      <w:r>
        <w:rPr>
          <w:spacing w:val="-17"/>
          <w:sz w:val="26"/>
        </w:rPr>
        <w:t> </w:t>
      </w:r>
      <w:r>
        <w:rPr>
          <w:sz w:val="26"/>
        </w:rPr>
        <w:t>se</w:t>
      </w:r>
      <w:r>
        <w:rPr>
          <w:spacing w:val="-12"/>
          <w:sz w:val="26"/>
        </w:rPr>
        <w:t> </w:t>
      </w:r>
      <w:r>
        <w:rPr>
          <w:sz w:val="26"/>
        </w:rPr>
        <w:t>mueve más allá de la profundidad más baja del perfil del suelo por percolación o flujo de derivación entra y fluye a través de la zona </w:t>
      </w:r>
      <w:r>
        <w:rPr>
          <w:spacing w:val="-3"/>
          <w:sz w:val="26"/>
        </w:rPr>
        <w:t>no </w:t>
      </w:r>
      <w:r>
        <w:rPr>
          <w:sz w:val="26"/>
        </w:rPr>
        <w:t>saturada antes de convertirse en la recarga del acuífero superficial. El desfase entre el tiempo que pasa del agua del perfil del suelo a los acuíferos poco profundos dependerá de la profundidad y de</w:t>
      </w:r>
      <w:r>
        <w:rPr>
          <w:spacing w:val="-27"/>
          <w:sz w:val="26"/>
        </w:rPr>
        <w:t> </w:t>
      </w:r>
      <w:r>
        <w:rPr>
          <w:sz w:val="26"/>
        </w:rPr>
        <w:t>las propiedades hidráulicas de las formaciones geológicas en las zonas no saturadas y las subterráneas. </w:t>
      </w:r>
      <w:r>
        <w:rPr>
          <w:spacing w:val="-3"/>
          <w:sz w:val="26"/>
        </w:rPr>
        <w:t>Se </w:t>
      </w:r>
      <w:r>
        <w:rPr>
          <w:sz w:val="26"/>
        </w:rPr>
        <w:t>aplicó un valor de 20 días.</w:t>
      </w:r>
    </w:p>
    <w:p>
      <w:pPr>
        <w:pStyle w:val="BodyText"/>
        <w:spacing w:before="3"/>
        <w:rPr>
          <w:sz w:val="29"/>
        </w:rPr>
      </w:pPr>
    </w:p>
    <w:p>
      <w:pPr>
        <w:pStyle w:val="ListParagraph"/>
        <w:numPr>
          <w:ilvl w:val="3"/>
          <w:numId w:val="39"/>
        </w:numPr>
        <w:tabs>
          <w:tab w:pos="837" w:val="left" w:leader="none"/>
        </w:tabs>
        <w:spacing w:line="440" w:lineRule="atLeast" w:before="0" w:after="0"/>
        <w:ind w:left="837" w:right="113" w:hanging="361"/>
        <w:jc w:val="both"/>
        <w:rPr>
          <w:sz w:val="26"/>
        </w:rPr>
      </w:pPr>
      <w:r>
        <w:rPr>
          <w:i/>
          <w:sz w:val="26"/>
        </w:rPr>
        <w:t>Factor de flujo base (1/día) (ALPHA_BF). </w:t>
      </w:r>
      <w:r>
        <w:rPr>
          <w:spacing w:val="-3"/>
          <w:sz w:val="26"/>
        </w:rPr>
        <w:t>La </w:t>
      </w:r>
      <w:r>
        <w:rPr>
          <w:sz w:val="26"/>
        </w:rPr>
        <w:t>constante de recesión del flujo de base, es un índice directo de la respuesta de flujo de agua subterránea a los</w:t>
      </w:r>
      <w:r>
        <w:rPr>
          <w:spacing w:val="-21"/>
          <w:sz w:val="26"/>
        </w:rPr>
        <w:t> </w:t>
      </w:r>
      <w:r>
        <w:rPr>
          <w:sz w:val="26"/>
        </w:rPr>
        <w:t>cambios</w:t>
      </w:r>
    </w:p>
    <w:p>
      <w:pPr>
        <w:spacing w:after="0" w:line="440" w:lineRule="atLeast"/>
        <w:jc w:val="both"/>
        <w:rPr>
          <w:sz w:val="26"/>
        </w:rPr>
        <w:sectPr>
          <w:pgSz w:w="12240" w:h="15840"/>
          <w:pgMar w:header="0" w:footer="1473" w:top="1380" w:bottom="1660" w:left="1300" w:right="1300"/>
        </w:sectPr>
      </w:pPr>
    </w:p>
    <w:p>
      <w:pPr>
        <w:pStyle w:val="BodyText"/>
        <w:spacing w:line="360" w:lineRule="auto" w:before="49"/>
        <w:ind w:left="836" w:right="113"/>
        <w:jc w:val="both"/>
      </w:pPr>
      <w:r>
        <w:rPr/>
        <w:t>en la recarga. Los valores varían de 0.1 a 0.3 para tierras con la lenta respuesta de recarga</w:t>
      </w:r>
      <w:r>
        <w:rPr>
          <w:spacing w:val="-15"/>
        </w:rPr>
        <w:t> </w:t>
      </w:r>
      <w:r>
        <w:rPr/>
        <w:t>y</w:t>
      </w:r>
      <w:r>
        <w:rPr>
          <w:spacing w:val="-15"/>
        </w:rPr>
        <w:t> </w:t>
      </w:r>
      <w:r>
        <w:rPr/>
        <w:t>de</w:t>
      </w:r>
      <w:r>
        <w:rPr>
          <w:spacing w:val="-15"/>
        </w:rPr>
        <w:t> </w:t>
      </w:r>
      <w:r>
        <w:rPr/>
        <w:t>0.9</w:t>
      </w:r>
      <w:r>
        <w:rPr>
          <w:spacing w:val="-15"/>
        </w:rPr>
        <w:t> </w:t>
      </w:r>
      <w:r>
        <w:rPr/>
        <w:t>a</w:t>
      </w:r>
      <w:r>
        <w:rPr>
          <w:spacing w:val="-15"/>
        </w:rPr>
        <w:t> </w:t>
      </w:r>
      <w:r>
        <w:rPr/>
        <w:t>1.0</w:t>
      </w:r>
      <w:r>
        <w:rPr>
          <w:spacing w:val="-15"/>
        </w:rPr>
        <w:t> </w:t>
      </w:r>
      <w:r>
        <w:rPr/>
        <w:t>para</w:t>
      </w:r>
      <w:r>
        <w:rPr>
          <w:spacing w:val="-14"/>
        </w:rPr>
        <w:t> </w:t>
      </w:r>
      <w:r>
        <w:rPr/>
        <w:t>tierras</w:t>
      </w:r>
      <w:r>
        <w:rPr>
          <w:spacing w:val="-14"/>
        </w:rPr>
        <w:t> </w:t>
      </w:r>
      <w:r>
        <w:rPr/>
        <w:t>con</w:t>
      </w:r>
      <w:r>
        <w:rPr>
          <w:spacing w:val="-15"/>
        </w:rPr>
        <w:t> </w:t>
      </w:r>
      <w:r>
        <w:rPr/>
        <w:t>una</w:t>
      </w:r>
      <w:r>
        <w:rPr>
          <w:spacing w:val="-19"/>
        </w:rPr>
        <w:t> </w:t>
      </w:r>
      <w:r>
        <w:rPr/>
        <w:t>respuesta</w:t>
      </w:r>
      <w:r>
        <w:rPr>
          <w:spacing w:val="-14"/>
        </w:rPr>
        <w:t> </w:t>
      </w:r>
      <w:r>
        <w:rPr/>
        <w:t>rápida.</w:t>
      </w:r>
      <w:r>
        <w:rPr>
          <w:spacing w:val="-13"/>
        </w:rPr>
        <w:t> </w:t>
      </w:r>
      <w:r>
        <w:rPr/>
        <w:t>Aunque</w:t>
      </w:r>
      <w:r>
        <w:rPr>
          <w:spacing w:val="-15"/>
        </w:rPr>
        <w:t> </w:t>
      </w:r>
      <w:r>
        <w:rPr/>
        <w:t>se</w:t>
      </w:r>
      <w:r>
        <w:rPr>
          <w:spacing w:val="-15"/>
        </w:rPr>
        <w:t> </w:t>
      </w:r>
      <w:r>
        <w:rPr/>
        <w:t>puede</w:t>
      </w:r>
      <w:r>
        <w:rPr>
          <w:spacing w:val="-14"/>
        </w:rPr>
        <w:t> </w:t>
      </w:r>
      <w:r>
        <w:rPr/>
        <w:t>calcular la constante de recesión del flujo de base, las mejores estimaciones se obtuvieron mediante el análisis de los caudales medidos durante periodos sin recarga en la cuenca. Para la cuenca se retomó un valor de 1 para las subcuencas ocupadas por agricultura en valle y riego y, de 0.03 para el resto de</w:t>
      </w:r>
      <w:r>
        <w:rPr>
          <w:spacing w:val="-9"/>
        </w:rPr>
        <w:t> </w:t>
      </w:r>
      <w:r>
        <w:rPr/>
        <w:t>ellas.</w:t>
      </w:r>
    </w:p>
    <w:p>
      <w:pPr>
        <w:pStyle w:val="BodyText"/>
      </w:pPr>
    </w:p>
    <w:p>
      <w:pPr>
        <w:pStyle w:val="ListParagraph"/>
        <w:numPr>
          <w:ilvl w:val="3"/>
          <w:numId w:val="39"/>
        </w:numPr>
        <w:tabs>
          <w:tab w:pos="837" w:val="left" w:leader="none"/>
        </w:tabs>
        <w:spacing w:line="357" w:lineRule="auto" w:before="152" w:after="0"/>
        <w:ind w:left="837" w:right="112" w:hanging="361"/>
        <w:jc w:val="both"/>
        <w:rPr>
          <w:sz w:val="26"/>
        </w:rPr>
      </w:pPr>
      <w:r>
        <w:rPr>
          <w:i/>
          <w:sz w:val="26"/>
        </w:rPr>
        <w:t>Umbral de profundidad de agua en el acuífero superficial para producir el flujo de </w:t>
      </w:r>
      <w:r>
        <w:rPr>
          <w:i/>
          <w:sz w:val="26"/>
        </w:rPr>
        <w:t>retorno (mmH20) (GWQMN). </w:t>
      </w:r>
      <w:r>
        <w:rPr>
          <w:sz w:val="26"/>
        </w:rPr>
        <w:t>Los flujos de agua subterránea sólo se permiten si la profundidad</w:t>
      </w:r>
      <w:r>
        <w:rPr>
          <w:spacing w:val="-7"/>
          <w:sz w:val="26"/>
        </w:rPr>
        <w:t> </w:t>
      </w:r>
      <w:r>
        <w:rPr>
          <w:sz w:val="26"/>
        </w:rPr>
        <w:t>del</w:t>
      </w:r>
      <w:r>
        <w:rPr>
          <w:spacing w:val="-7"/>
          <w:sz w:val="26"/>
        </w:rPr>
        <w:t> </w:t>
      </w:r>
      <w:r>
        <w:rPr>
          <w:sz w:val="26"/>
        </w:rPr>
        <w:t>agua</w:t>
      </w:r>
      <w:r>
        <w:rPr>
          <w:spacing w:val="-7"/>
          <w:sz w:val="26"/>
        </w:rPr>
        <w:t> </w:t>
      </w:r>
      <w:r>
        <w:rPr>
          <w:sz w:val="26"/>
        </w:rPr>
        <w:t>en</w:t>
      </w:r>
      <w:r>
        <w:rPr>
          <w:spacing w:val="-11"/>
          <w:sz w:val="26"/>
        </w:rPr>
        <w:t> </w:t>
      </w:r>
      <w:r>
        <w:rPr>
          <w:sz w:val="26"/>
        </w:rPr>
        <w:t>el</w:t>
      </w:r>
      <w:r>
        <w:rPr>
          <w:spacing w:val="-7"/>
          <w:sz w:val="26"/>
        </w:rPr>
        <w:t> </w:t>
      </w:r>
      <w:r>
        <w:rPr>
          <w:sz w:val="26"/>
        </w:rPr>
        <w:t>acuífero</w:t>
      </w:r>
      <w:r>
        <w:rPr>
          <w:spacing w:val="-10"/>
          <w:sz w:val="26"/>
        </w:rPr>
        <w:t> </w:t>
      </w:r>
      <w:r>
        <w:rPr>
          <w:sz w:val="26"/>
        </w:rPr>
        <w:t>superficial</w:t>
      </w:r>
      <w:r>
        <w:rPr>
          <w:spacing w:val="-10"/>
          <w:sz w:val="26"/>
        </w:rPr>
        <w:t> </w:t>
      </w:r>
      <w:r>
        <w:rPr>
          <w:sz w:val="26"/>
        </w:rPr>
        <w:t>es</w:t>
      </w:r>
      <w:r>
        <w:rPr>
          <w:spacing w:val="-7"/>
          <w:sz w:val="26"/>
        </w:rPr>
        <w:t> </w:t>
      </w:r>
      <w:r>
        <w:rPr>
          <w:sz w:val="26"/>
        </w:rPr>
        <w:t>igual</w:t>
      </w:r>
      <w:r>
        <w:rPr>
          <w:spacing w:val="-7"/>
          <w:sz w:val="26"/>
        </w:rPr>
        <w:t> </w:t>
      </w:r>
      <w:r>
        <w:rPr>
          <w:sz w:val="26"/>
        </w:rPr>
        <w:t>o</w:t>
      </w:r>
      <w:r>
        <w:rPr>
          <w:spacing w:val="-7"/>
          <w:sz w:val="26"/>
        </w:rPr>
        <w:t> </w:t>
      </w:r>
      <w:r>
        <w:rPr>
          <w:sz w:val="26"/>
        </w:rPr>
        <w:t>mayor</w:t>
      </w:r>
      <w:r>
        <w:rPr>
          <w:spacing w:val="-7"/>
          <w:sz w:val="26"/>
        </w:rPr>
        <w:t> </w:t>
      </w:r>
      <w:r>
        <w:rPr>
          <w:sz w:val="26"/>
        </w:rPr>
        <w:t>que</w:t>
      </w:r>
      <w:r>
        <w:rPr>
          <w:spacing w:val="-11"/>
          <w:sz w:val="26"/>
        </w:rPr>
        <w:t> </w:t>
      </w:r>
      <w:r>
        <w:rPr>
          <w:sz w:val="26"/>
        </w:rPr>
        <w:t>GWQMN.</w:t>
      </w:r>
      <w:r>
        <w:rPr>
          <w:spacing w:val="-8"/>
          <w:sz w:val="26"/>
        </w:rPr>
        <w:t> </w:t>
      </w:r>
      <w:r>
        <w:rPr>
          <w:sz w:val="26"/>
        </w:rPr>
        <w:t>Para obtener los mejores resultados para la cuenca se estableció un valor de 5,000</w:t>
      </w:r>
      <w:r>
        <w:rPr>
          <w:spacing w:val="-9"/>
          <w:sz w:val="26"/>
        </w:rPr>
        <w:t> </w:t>
      </w:r>
      <w:r>
        <w:rPr>
          <w:spacing w:val="-4"/>
          <w:sz w:val="26"/>
        </w:rPr>
        <w:t>mm.</w:t>
      </w:r>
    </w:p>
    <w:p>
      <w:pPr>
        <w:pStyle w:val="BodyText"/>
      </w:pPr>
    </w:p>
    <w:p>
      <w:pPr>
        <w:pStyle w:val="ListParagraph"/>
        <w:numPr>
          <w:ilvl w:val="3"/>
          <w:numId w:val="39"/>
        </w:numPr>
        <w:tabs>
          <w:tab w:pos="837" w:val="left" w:leader="none"/>
        </w:tabs>
        <w:spacing w:line="357" w:lineRule="auto" w:before="154" w:after="0"/>
        <w:ind w:left="837" w:right="115" w:hanging="361"/>
        <w:jc w:val="both"/>
        <w:rPr>
          <w:sz w:val="26"/>
        </w:rPr>
      </w:pPr>
      <w:r>
        <w:rPr>
          <w:i/>
          <w:sz w:val="26"/>
        </w:rPr>
        <w:t>Coeficiente "REVAP" para aguas subterráneas (GW_REVAP). </w:t>
      </w:r>
      <w:r>
        <w:rPr>
          <w:sz w:val="26"/>
        </w:rPr>
        <w:t>Este proceso es importante en cuencas donde la zona saturada no está muy lejos de la superficie o donde las raíces profundas de las plantas están creciendo. Debido a que el tipo de cubierta vegetal afecta el REVAP, éste puede variar por el uso del</w:t>
      </w:r>
      <w:r>
        <w:rPr>
          <w:spacing w:val="-19"/>
          <w:sz w:val="26"/>
        </w:rPr>
        <w:t> </w:t>
      </w:r>
      <w:r>
        <w:rPr>
          <w:sz w:val="26"/>
        </w:rPr>
        <w:t>suelo.</w:t>
      </w:r>
    </w:p>
    <w:p>
      <w:pPr>
        <w:pStyle w:val="BodyText"/>
      </w:pPr>
    </w:p>
    <w:p>
      <w:pPr>
        <w:pStyle w:val="BodyText"/>
        <w:spacing w:line="360" w:lineRule="auto" w:before="154"/>
        <w:ind w:left="116" w:right="113"/>
        <w:jc w:val="both"/>
      </w:pPr>
      <w:r>
        <w:rPr/>
        <w:t>Cuando</w:t>
      </w:r>
      <w:r>
        <w:rPr>
          <w:spacing w:val="-7"/>
        </w:rPr>
        <w:t> </w:t>
      </w:r>
      <w:r>
        <w:rPr/>
        <w:t>GW_REVAP</w:t>
      </w:r>
      <w:r>
        <w:rPr>
          <w:spacing w:val="-7"/>
        </w:rPr>
        <w:t> </w:t>
      </w:r>
      <w:r>
        <w:rPr/>
        <w:t>se</w:t>
      </w:r>
      <w:r>
        <w:rPr>
          <w:spacing w:val="-7"/>
        </w:rPr>
        <w:t> </w:t>
      </w:r>
      <w:r>
        <w:rPr/>
        <w:t>aproxima</w:t>
      </w:r>
      <w:r>
        <w:rPr>
          <w:spacing w:val="-7"/>
        </w:rPr>
        <w:t> </w:t>
      </w:r>
      <w:r>
        <w:rPr/>
        <w:t>a</w:t>
      </w:r>
      <w:r>
        <w:rPr>
          <w:spacing w:val="-7"/>
        </w:rPr>
        <w:t> </w:t>
      </w:r>
      <w:r>
        <w:rPr/>
        <w:t>0,</w:t>
      </w:r>
      <w:r>
        <w:rPr>
          <w:spacing w:val="-9"/>
        </w:rPr>
        <w:t> </w:t>
      </w:r>
      <w:r>
        <w:rPr/>
        <w:t>el</w:t>
      </w:r>
      <w:r>
        <w:rPr>
          <w:spacing w:val="-11"/>
        </w:rPr>
        <w:t> </w:t>
      </w:r>
      <w:r>
        <w:rPr/>
        <w:t>movimiento</w:t>
      </w:r>
      <w:r>
        <w:rPr>
          <w:spacing w:val="-7"/>
        </w:rPr>
        <w:t> </w:t>
      </w:r>
      <w:r>
        <w:rPr/>
        <w:t>de</w:t>
      </w:r>
      <w:r>
        <w:rPr>
          <w:spacing w:val="-7"/>
        </w:rPr>
        <w:t> </w:t>
      </w:r>
      <w:r>
        <w:rPr/>
        <w:t>agua</w:t>
      </w:r>
      <w:r>
        <w:rPr>
          <w:spacing w:val="-7"/>
        </w:rPr>
        <w:t> </w:t>
      </w:r>
      <w:r>
        <w:rPr/>
        <w:t>desde</w:t>
      </w:r>
      <w:r>
        <w:rPr>
          <w:spacing w:val="-7"/>
        </w:rPr>
        <w:t> </w:t>
      </w:r>
      <w:r>
        <w:rPr/>
        <w:t>el</w:t>
      </w:r>
      <w:r>
        <w:rPr>
          <w:spacing w:val="-7"/>
        </w:rPr>
        <w:t> </w:t>
      </w:r>
      <w:r>
        <w:rPr/>
        <w:t>acuífero</w:t>
      </w:r>
      <w:r>
        <w:rPr>
          <w:spacing w:val="-7"/>
        </w:rPr>
        <w:t> </w:t>
      </w:r>
      <w:r>
        <w:rPr/>
        <w:t>superficial a la raíz está restringido; cuando GW_REVAP se acerca a 1, la tasa de transferencia del acuífero superficial a la zona de la raíz se aproxima a la tasa de evapotranspiración potencial.</w:t>
      </w:r>
      <w:r>
        <w:rPr>
          <w:spacing w:val="-3"/>
        </w:rPr>
        <w:t> </w:t>
      </w:r>
      <w:r>
        <w:rPr/>
        <w:t>Esta</w:t>
      </w:r>
      <w:r>
        <w:rPr>
          <w:spacing w:val="-6"/>
        </w:rPr>
        <w:t> </w:t>
      </w:r>
      <w:r>
        <w:rPr/>
        <w:t>variable,</w:t>
      </w:r>
      <w:r>
        <w:rPr>
          <w:spacing w:val="-4"/>
        </w:rPr>
        <w:t> </w:t>
      </w:r>
      <w:r>
        <w:rPr/>
        <w:t>junto</w:t>
      </w:r>
      <w:r>
        <w:rPr>
          <w:spacing w:val="-6"/>
        </w:rPr>
        <w:t> </w:t>
      </w:r>
      <w:r>
        <w:rPr/>
        <w:t>con</w:t>
      </w:r>
      <w:r>
        <w:rPr>
          <w:spacing w:val="-6"/>
        </w:rPr>
        <w:t> </w:t>
      </w:r>
      <w:r>
        <w:rPr/>
        <w:t>REVAPMN,</w:t>
      </w:r>
      <w:r>
        <w:rPr>
          <w:spacing w:val="-4"/>
        </w:rPr>
        <w:t> </w:t>
      </w:r>
      <w:r>
        <w:rPr/>
        <w:t>es</w:t>
      </w:r>
      <w:r>
        <w:rPr>
          <w:spacing w:val="-6"/>
        </w:rPr>
        <w:t> </w:t>
      </w:r>
      <w:r>
        <w:rPr/>
        <w:t>la</w:t>
      </w:r>
      <w:r>
        <w:rPr>
          <w:spacing w:val="-11"/>
        </w:rPr>
        <w:t> </w:t>
      </w:r>
      <w:r>
        <w:rPr/>
        <w:t>razón</w:t>
      </w:r>
      <w:r>
        <w:rPr>
          <w:spacing w:val="-6"/>
        </w:rPr>
        <w:t> </w:t>
      </w:r>
      <w:r>
        <w:rPr/>
        <w:t>por</w:t>
      </w:r>
      <w:r>
        <w:rPr>
          <w:spacing w:val="-6"/>
        </w:rPr>
        <w:t> </w:t>
      </w:r>
      <w:r>
        <w:rPr/>
        <w:t>la</w:t>
      </w:r>
      <w:r>
        <w:rPr>
          <w:spacing w:val="-6"/>
        </w:rPr>
        <w:t> </w:t>
      </w:r>
      <w:r>
        <w:rPr/>
        <w:t>que</w:t>
      </w:r>
      <w:r>
        <w:rPr>
          <w:spacing w:val="-6"/>
        </w:rPr>
        <w:t> </w:t>
      </w:r>
      <w:r>
        <w:rPr/>
        <w:t>se</w:t>
      </w:r>
      <w:r>
        <w:rPr>
          <w:spacing w:val="-11"/>
        </w:rPr>
        <w:t> </w:t>
      </w:r>
      <w:r>
        <w:rPr/>
        <w:t>crea</w:t>
      </w:r>
      <w:r>
        <w:rPr>
          <w:spacing w:val="-6"/>
        </w:rPr>
        <w:t> </w:t>
      </w:r>
      <w:r>
        <w:rPr/>
        <w:t>un</w:t>
      </w:r>
      <w:r>
        <w:rPr>
          <w:spacing w:val="-6"/>
        </w:rPr>
        <w:t> </w:t>
      </w:r>
      <w:r>
        <w:rPr/>
        <w:t>archivo</w:t>
      </w:r>
      <w:r>
        <w:rPr>
          <w:spacing w:val="-6"/>
        </w:rPr>
        <w:t> </w:t>
      </w:r>
      <w:r>
        <w:rPr/>
        <w:t>de aguas subterráneas diferente para cada HRU </w:t>
      </w:r>
      <w:r>
        <w:rPr>
          <w:spacing w:val="-3"/>
        </w:rPr>
        <w:t>en </w:t>
      </w:r>
      <w:r>
        <w:rPr/>
        <w:t>lugar de cada</w:t>
      </w:r>
      <w:r>
        <w:rPr>
          <w:spacing w:val="-6"/>
        </w:rPr>
        <w:t> </w:t>
      </w:r>
      <w:r>
        <w:rPr/>
        <w:t>subcuenca.</w:t>
      </w:r>
    </w:p>
    <w:p>
      <w:pPr>
        <w:pStyle w:val="BodyText"/>
      </w:pPr>
    </w:p>
    <w:p>
      <w:pPr>
        <w:pStyle w:val="BodyText"/>
        <w:spacing w:line="362" w:lineRule="auto" w:before="155"/>
        <w:ind w:left="116" w:right="117"/>
        <w:jc w:val="both"/>
      </w:pPr>
      <w:r>
        <w:rPr/>
        <w:t>El valor para GW_REVAP debe estar entre 0.02 y 0.20, para la cuenca se estableció un valor de 0.</w:t>
      </w:r>
    </w:p>
    <w:p>
      <w:pPr>
        <w:pStyle w:val="BodyText"/>
        <w:spacing w:before="10"/>
        <w:rPr>
          <w:sz w:val="38"/>
        </w:rPr>
      </w:pPr>
    </w:p>
    <w:p>
      <w:pPr>
        <w:pStyle w:val="ListParagraph"/>
        <w:numPr>
          <w:ilvl w:val="3"/>
          <w:numId w:val="39"/>
        </w:numPr>
        <w:tabs>
          <w:tab w:pos="837" w:val="left" w:leader="none"/>
        </w:tabs>
        <w:spacing w:line="355" w:lineRule="auto" w:before="1" w:after="0"/>
        <w:ind w:left="837" w:right="116" w:hanging="361"/>
        <w:jc w:val="both"/>
        <w:rPr>
          <w:sz w:val="26"/>
        </w:rPr>
      </w:pPr>
      <w:r>
        <w:rPr>
          <w:i/>
          <w:sz w:val="26"/>
        </w:rPr>
        <w:t>Umbral</w:t>
      </w:r>
      <w:r>
        <w:rPr>
          <w:i/>
          <w:spacing w:val="-16"/>
          <w:sz w:val="26"/>
        </w:rPr>
        <w:t> </w:t>
      </w:r>
      <w:r>
        <w:rPr>
          <w:i/>
          <w:sz w:val="26"/>
        </w:rPr>
        <w:t>de</w:t>
      </w:r>
      <w:r>
        <w:rPr>
          <w:i/>
          <w:spacing w:val="-16"/>
          <w:sz w:val="26"/>
        </w:rPr>
        <w:t> </w:t>
      </w:r>
      <w:r>
        <w:rPr>
          <w:i/>
          <w:sz w:val="26"/>
        </w:rPr>
        <w:t>profundidad</w:t>
      </w:r>
      <w:r>
        <w:rPr>
          <w:i/>
          <w:spacing w:val="-16"/>
          <w:sz w:val="26"/>
        </w:rPr>
        <w:t> </w:t>
      </w:r>
      <w:r>
        <w:rPr>
          <w:i/>
          <w:sz w:val="26"/>
        </w:rPr>
        <w:t>del</w:t>
      </w:r>
      <w:r>
        <w:rPr>
          <w:i/>
          <w:spacing w:val="-16"/>
          <w:sz w:val="26"/>
        </w:rPr>
        <w:t> </w:t>
      </w:r>
      <w:r>
        <w:rPr>
          <w:i/>
          <w:sz w:val="26"/>
        </w:rPr>
        <w:t>agua</w:t>
      </w:r>
      <w:r>
        <w:rPr>
          <w:i/>
          <w:spacing w:val="-16"/>
          <w:sz w:val="26"/>
        </w:rPr>
        <w:t> </w:t>
      </w:r>
      <w:r>
        <w:rPr>
          <w:i/>
          <w:sz w:val="26"/>
        </w:rPr>
        <w:t>en</w:t>
      </w:r>
      <w:r>
        <w:rPr>
          <w:i/>
          <w:spacing w:val="-16"/>
          <w:sz w:val="26"/>
        </w:rPr>
        <w:t> </w:t>
      </w:r>
      <w:r>
        <w:rPr>
          <w:i/>
          <w:sz w:val="26"/>
        </w:rPr>
        <w:t>el</w:t>
      </w:r>
      <w:r>
        <w:rPr>
          <w:i/>
          <w:spacing w:val="-20"/>
          <w:sz w:val="26"/>
        </w:rPr>
        <w:t> </w:t>
      </w:r>
      <w:r>
        <w:rPr>
          <w:i/>
          <w:sz w:val="26"/>
        </w:rPr>
        <w:t>acuífero</w:t>
      </w:r>
      <w:r>
        <w:rPr>
          <w:i/>
          <w:spacing w:val="-20"/>
          <w:sz w:val="26"/>
        </w:rPr>
        <w:t> </w:t>
      </w:r>
      <w:r>
        <w:rPr>
          <w:i/>
          <w:sz w:val="26"/>
        </w:rPr>
        <w:t>superficial</w:t>
      </w:r>
      <w:r>
        <w:rPr>
          <w:i/>
          <w:spacing w:val="-16"/>
          <w:sz w:val="26"/>
        </w:rPr>
        <w:t> </w:t>
      </w:r>
      <w:r>
        <w:rPr>
          <w:i/>
          <w:sz w:val="26"/>
        </w:rPr>
        <w:t>para</w:t>
      </w:r>
      <w:r>
        <w:rPr>
          <w:i/>
          <w:spacing w:val="-16"/>
          <w:sz w:val="26"/>
        </w:rPr>
        <w:t> </w:t>
      </w:r>
      <w:r>
        <w:rPr>
          <w:i/>
          <w:sz w:val="26"/>
        </w:rPr>
        <w:t>ocurrir</w:t>
      </w:r>
      <w:r>
        <w:rPr>
          <w:i/>
          <w:spacing w:val="35"/>
          <w:sz w:val="26"/>
        </w:rPr>
        <w:t> </w:t>
      </w:r>
      <w:r>
        <w:rPr>
          <w:i/>
          <w:sz w:val="26"/>
        </w:rPr>
        <w:t>el</w:t>
      </w:r>
      <w:r>
        <w:rPr>
          <w:i/>
          <w:spacing w:val="-16"/>
          <w:sz w:val="26"/>
        </w:rPr>
        <w:t> </w:t>
      </w:r>
      <w:r>
        <w:rPr>
          <w:i/>
          <w:sz w:val="26"/>
        </w:rPr>
        <w:t>"REVAP" </w:t>
      </w:r>
      <w:r>
        <w:rPr>
          <w:i/>
          <w:sz w:val="26"/>
        </w:rPr>
        <w:t>o percolación en el acuífero profundo (mm H20) (REVAPMN). </w:t>
      </w:r>
      <w:r>
        <w:rPr>
          <w:sz w:val="26"/>
        </w:rPr>
        <w:t>El movimiento </w:t>
      </w:r>
      <w:r>
        <w:rPr>
          <w:spacing w:val="43"/>
          <w:sz w:val="26"/>
        </w:rPr>
        <w:t> </w:t>
      </w:r>
      <w:r>
        <w:rPr>
          <w:sz w:val="26"/>
        </w:rPr>
        <w:t>del</w:t>
      </w:r>
    </w:p>
    <w:p>
      <w:pPr>
        <w:spacing w:after="0" w:line="355" w:lineRule="auto"/>
        <w:jc w:val="both"/>
        <w:rPr>
          <w:sz w:val="26"/>
        </w:rPr>
        <w:sectPr>
          <w:pgSz w:w="12240" w:h="15840"/>
          <w:pgMar w:header="0" w:footer="1473" w:top="1360" w:bottom="1660" w:left="1300" w:right="1300"/>
        </w:sectPr>
      </w:pPr>
    </w:p>
    <w:p>
      <w:pPr>
        <w:pStyle w:val="BodyText"/>
        <w:spacing w:line="360" w:lineRule="auto" w:before="49"/>
        <w:ind w:left="836" w:right="117"/>
        <w:jc w:val="both"/>
      </w:pPr>
      <w:r>
        <w:rPr/>
        <w:t>agua del acuífero superficial a la zona no saturada sólo se permite si el volumen de agua</w:t>
      </w:r>
      <w:r>
        <w:rPr>
          <w:spacing w:val="-16"/>
        </w:rPr>
        <w:t> </w:t>
      </w:r>
      <w:r>
        <w:rPr/>
        <w:t>en</w:t>
      </w:r>
      <w:r>
        <w:rPr>
          <w:spacing w:val="-16"/>
        </w:rPr>
        <w:t> </w:t>
      </w:r>
      <w:r>
        <w:rPr/>
        <w:t>el</w:t>
      </w:r>
      <w:r>
        <w:rPr>
          <w:spacing w:val="-16"/>
        </w:rPr>
        <w:t> </w:t>
      </w:r>
      <w:r>
        <w:rPr/>
        <w:t>acuífero</w:t>
      </w:r>
      <w:r>
        <w:rPr>
          <w:spacing w:val="-15"/>
        </w:rPr>
        <w:t> </w:t>
      </w:r>
      <w:r>
        <w:rPr/>
        <w:t>superficial</w:t>
      </w:r>
      <w:r>
        <w:rPr>
          <w:spacing w:val="-16"/>
        </w:rPr>
        <w:t> </w:t>
      </w:r>
      <w:r>
        <w:rPr/>
        <w:t>es</w:t>
      </w:r>
      <w:r>
        <w:rPr>
          <w:spacing w:val="-16"/>
        </w:rPr>
        <w:t> </w:t>
      </w:r>
      <w:r>
        <w:rPr/>
        <w:t>igual</w:t>
      </w:r>
      <w:r>
        <w:rPr>
          <w:spacing w:val="-16"/>
        </w:rPr>
        <w:t> </w:t>
      </w:r>
      <w:r>
        <w:rPr/>
        <w:t>o</w:t>
      </w:r>
      <w:r>
        <w:rPr>
          <w:spacing w:val="-11"/>
        </w:rPr>
        <w:t> </w:t>
      </w:r>
      <w:r>
        <w:rPr/>
        <w:t>mayor</w:t>
      </w:r>
      <w:r>
        <w:rPr>
          <w:spacing w:val="-11"/>
        </w:rPr>
        <w:t> </w:t>
      </w:r>
      <w:r>
        <w:rPr/>
        <w:t>que</w:t>
      </w:r>
      <w:r>
        <w:rPr>
          <w:spacing w:val="-16"/>
        </w:rPr>
        <w:t> </w:t>
      </w:r>
      <w:r>
        <w:rPr/>
        <w:t>REVAPMN.</w:t>
      </w:r>
      <w:r>
        <w:rPr>
          <w:spacing w:val="-14"/>
        </w:rPr>
        <w:t> </w:t>
      </w:r>
      <w:r>
        <w:rPr/>
        <w:t>Esta</w:t>
      </w:r>
      <w:r>
        <w:rPr>
          <w:spacing w:val="-11"/>
        </w:rPr>
        <w:t> </w:t>
      </w:r>
      <w:r>
        <w:rPr/>
        <w:t>variable,</w:t>
      </w:r>
      <w:r>
        <w:rPr>
          <w:spacing w:val="-13"/>
        </w:rPr>
        <w:t> </w:t>
      </w:r>
      <w:r>
        <w:rPr/>
        <w:t>junto con GW_REVAP, es la razón de se cree un archivo de aguas subterráneas diferente para cada HRU en lugar de cada subcuenca. Para el modelo se aplicó un valor de 5,000</w:t>
      </w:r>
      <w:r>
        <w:rPr>
          <w:spacing w:val="-6"/>
        </w:rPr>
        <w:t> </w:t>
      </w:r>
      <w:r>
        <w:rPr/>
        <w:t>mm.</w:t>
      </w:r>
    </w:p>
    <w:p>
      <w:pPr>
        <w:pStyle w:val="BodyText"/>
      </w:pPr>
    </w:p>
    <w:p>
      <w:pPr>
        <w:pStyle w:val="ListParagraph"/>
        <w:numPr>
          <w:ilvl w:val="3"/>
          <w:numId w:val="39"/>
        </w:numPr>
        <w:tabs>
          <w:tab w:pos="837" w:val="left" w:leader="none"/>
        </w:tabs>
        <w:spacing w:line="357" w:lineRule="auto" w:before="156" w:after="0"/>
        <w:ind w:left="837" w:right="111" w:hanging="361"/>
        <w:jc w:val="both"/>
        <w:rPr>
          <w:sz w:val="26"/>
        </w:rPr>
      </w:pPr>
      <w:r>
        <w:rPr>
          <w:i/>
          <w:sz w:val="26"/>
        </w:rPr>
        <w:t>Fracción de percolación del acuífero profundo (RCHRG_DP). </w:t>
      </w:r>
      <w:r>
        <w:rPr>
          <w:sz w:val="26"/>
        </w:rPr>
        <w:t>Es la fracción de percolación desde la zona de la raíz que se recarga el acuífero profundo. El valor para RCHRG_DP debe estar entre 0 y 1. Debido a que dicha variable influye de forma considerable en los resultados de recarga se estableció un valor de 1 para equilibrar el</w:t>
      </w:r>
      <w:r>
        <w:rPr>
          <w:spacing w:val="-4"/>
          <w:sz w:val="26"/>
        </w:rPr>
        <w:t> </w:t>
      </w:r>
      <w:r>
        <w:rPr>
          <w:sz w:val="26"/>
        </w:rPr>
        <w:t>ciclo.</w:t>
      </w:r>
    </w:p>
    <w:p>
      <w:pPr>
        <w:pStyle w:val="BodyText"/>
      </w:pPr>
    </w:p>
    <w:p>
      <w:pPr>
        <w:pStyle w:val="BodyText"/>
        <w:spacing w:before="7"/>
        <w:rPr>
          <w:sz w:val="34"/>
        </w:rPr>
      </w:pPr>
    </w:p>
    <w:p>
      <w:pPr>
        <w:pStyle w:val="Heading1"/>
        <w:numPr>
          <w:ilvl w:val="1"/>
          <w:numId w:val="40"/>
        </w:numPr>
        <w:tabs>
          <w:tab w:pos="577" w:val="left" w:leader="none"/>
        </w:tabs>
        <w:spacing w:line="240" w:lineRule="auto" w:before="0" w:after="0"/>
        <w:ind w:left="576" w:right="0" w:hanging="460"/>
        <w:jc w:val="both"/>
      </w:pPr>
      <w:bookmarkStart w:name="_bookmark68" w:id="101"/>
      <w:bookmarkEnd w:id="101"/>
      <w:r>
        <w:rPr>
          <w:b w:val="0"/>
        </w:rPr>
      </w:r>
      <w:bookmarkStart w:name="_bookmark68" w:id="102"/>
      <w:bookmarkEnd w:id="102"/>
      <w:r>
        <w:rPr/>
        <w:t>Cali</w:t>
      </w:r>
      <w:r>
        <w:rPr/>
        <w:t>bración y</w:t>
      </w:r>
      <w:r>
        <w:rPr>
          <w:spacing w:val="-11"/>
        </w:rPr>
        <w:t> </w:t>
      </w:r>
      <w:r>
        <w:rPr/>
        <w:t>validación</w:t>
      </w:r>
    </w:p>
    <w:p>
      <w:pPr>
        <w:pStyle w:val="BodyText"/>
        <w:rPr>
          <w:b/>
        </w:rPr>
      </w:pPr>
    </w:p>
    <w:p>
      <w:pPr>
        <w:pStyle w:val="BodyText"/>
        <w:spacing w:before="7"/>
        <w:rPr>
          <w:b/>
          <w:sz w:val="25"/>
        </w:rPr>
      </w:pPr>
    </w:p>
    <w:p>
      <w:pPr>
        <w:pStyle w:val="BodyText"/>
        <w:spacing w:line="360" w:lineRule="auto"/>
        <w:ind w:left="116" w:right="112"/>
        <w:jc w:val="both"/>
      </w:pPr>
      <w:r>
        <w:rPr/>
        <w:t>De acuerdo con el manual para el uso, calibración y validación del modelo SWAT de Arnold y otros, (2012) la calibración y validación del modelo se dividen en los tres pasos siguientes:</w:t>
      </w:r>
    </w:p>
    <w:p>
      <w:pPr>
        <w:pStyle w:val="BodyText"/>
      </w:pPr>
    </w:p>
    <w:p>
      <w:pPr>
        <w:pStyle w:val="ListParagraph"/>
        <w:numPr>
          <w:ilvl w:val="2"/>
          <w:numId w:val="40"/>
        </w:numPr>
        <w:tabs>
          <w:tab w:pos="837" w:val="left" w:leader="none"/>
        </w:tabs>
        <w:spacing w:line="357" w:lineRule="auto" w:before="156" w:after="0"/>
        <w:ind w:left="837" w:right="116" w:hanging="361"/>
        <w:jc w:val="both"/>
        <w:rPr>
          <w:sz w:val="26"/>
        </w:rPr>
      </w:pPr>
      <w:r>
        <w:rPr>
          <w:sz w:val="26"/>
        </w:rPr>
        <w:t>El primer paso en el proceso de calibración y validación de SWAT es la determinación de los parámetros más sensibles para una determinada cuenca o subcuenca. El usuario debe determinar qué variables ajustar con base en la opinión de expertos o en la sensibilidad de</w:t>
      </w:r>
      <w:r>
        <w:rPr>
          <w:spacing w:val="-7"/>
          <w:sz w:val="26"/>
        </w:rPr>
        <w:t> </w:t>
      </w:r>
      <w:r>
        <w:rPr>
          <w:sz w:val="26"/>
        </w:rPr>
        <w:t>análisis.</w:t>
      </w:r>
    </w:p>
    <w:p>
      <w:pPr>
        <w:pStyle w:val="BodyText"/>
      </w:pPr>
    </w:p>
    <w:p>
      <w:pPr>
        <w:pStyle w:val="BodyText"/>
        <w:spacing w:line="360" w:lineRule="auto" w:before="158"/>
        <w:ind w:left="116" w:right="117"/>
        <w:jc w:val="both"/>
      </w:pPr>
      <w:r>
        <w:rPr/>
        <w:t>El análisis de sensibilidad es el proceso de determinar la tasa de cambio en la salida del modelo con respecto a los cambios en las entradas del mismo (parámetros), para ello es necesario identificar los parámetros clave y el parámetro de precisión requerido para la calibración</w:t>
      </w:r>
      <w:r>
        <w:rPr>
          <w:spacing w:val="-11"/>
        </w:rPr>
        <w:t> </w:t>
      </w:r>
      <w:r>
        <w:rPr/>
        <w:t>(Ma</w:t>
      </w:r>
      <w:r>
        <w:rPr>
          <w:spacing w:val="-11"/>
        </w:rPr>
        <w:t> </w:t>
      </w:r>
      <w:r>
        <w:rPr/>
        <w:t>y</w:t>
      </w:r>
      <w:r>
        <w:rPr>
          <w:spacing w:val="-11"/>
        </w:rPr>
        <w:t> </w:t>
      </w:r>
      <w:r>
        <w:rPr/>
        <w:t>otros,</w:t>
      </w:r>
      <w:r>
        <w:rPr>
          <w:spacing w:val="-9"/>
        </w:rPr>
        <w:t> </w:t>
      </w:r>
      <w:r>
        <w:rPr/>
        <w:t>2000).</w:t>
      </w:r>
      <w:r>
        <w:rPr>
          <w:spacing w:val="-9"/>
        </w:rPr>
        <w:t> </w:t>
      </w:r>
      <w:r>
        <w:rPr/>
        <w:t>En</w:t>
      </w:r>
      <w:r>
        <w:rPr>
          <w:spacing w:val="-11"/>
        </w:rPr>
        <w:t> </w:t>
      </w:r>
      <w:r>
        <w:rPr/>
        <w:t>un</w:t>
      </w:r>
      <w:r>
        <w:rPr>
          <w:spacing w:val="-11"/>
        </w:rPr>
        <w:t> </w:t>
      </w:r>
      <w:r>
        <w:rPr/>
        <w:t>sentido</w:t>
      </w:r>
      <w:r>
        <w:rPr>
          <w:spacing w:val="-11"/>
        </w:rPr>
        <w:t> </w:t>
      </w:r>
      <w:r>
        <w:rPr/>
        <w:t>práctico,</w:t>
      </w:r>
      <w:r>
        <w:rPr>
          <w:spacing w:val="-9"/>
        </w:rPr>
        <w:t> </w:t>
      </w:r>
      <w:r>
        <w:rPr/>
        <w:t>este</w:t>
      </w:r>
      <w:r>
        <w:rPr>
          <w:spacing w:val="-11"/>
        </w:rPr>
        <w:t> </w:t>
      </w:r>
      <w:r>
        <w:rPr/>
        <w:t>primer</w:t>
      </w:r>
      <w:r>
        <w:rPr>
          <w:spacing w:val="-11"/>
        </w:rPr>
        <w:t> </w:t>
      </w:r>
      <w:r>
        <w:rPr/>
        <w:t>paso</w:t>
      </w:r>
      <w:r>
        <w:rPr>
          <w:spacing w:val="-11"/>
        </w:rPr>
        <w:t> </w:t>
      </w:r>
      <w:r>
        <w:rPr/>
        <w:t>ayuda</w:t>
      </w:r>
      <w:r>
        <w:rPr>
          <w:spacing w:val="-11"/>
        </w:rPr>
        <w:t> </w:t>
      </w:r>
      <w:r>
        <w:rPr/>
        <w:t>a</w:t>
      </w:r>
      <w:r>
        <w:rPr>
          <w:spacing w:val="-11"/>
        </w:rPr>
        <w:t> </w:t>
      </w:r>
      <w:r>
        <w:rPr/>
        <w:t>determinar</w:t>
      </w:r>
    </w:p>
    <w:p>
      <w:pPr>
        <w:pStyle w:val="BodyText"/>
        <w:spacing w:before="3"/>
        <w:ind w:left="116"/>
        <w:jc w:val="both"/>
      </w:pPr>
      <w:r>
        <w:rPr/>
        <w:t>los procesos predominantes para el componente de interés.</w:t>
      </w:r>
    </w:p>
    <w:p>
      <w:pPr>
        <w:spacing w:after="0"/>
        <w:jc w:val="both"/>
        <w:sectPr>
          <w:pgSz w:w="12240" w:h="15840"/>
          <w:pgMar w:header="0" w:footer="1473" w:top="1360" w:bottom="1660" w:left="1300" w:right="1300"/>
        </w:sectPr>
      </w:pPr>
    </w:p>
    <w:p>
      <w:pPr>
        <w:pStyle w:val="BodyText"/>
        <w:spacing w:before="6"/>
        <w:rPr>
          <w:sz w:val="25"/>
        </w:rPr>
      </w:pPr>
    </w:p>
    <w:p>
      <w:pPr>
        <w:pStyle w:val="BodyText"/>
        <w:spacing w:line="360" w:lineRule="auto" w:before="66"/>
        <w:ind w:left="116" w:right="111"/>
        <w:jc w:val="both"/>
      </w:pPr>
      <w:r>
        <w:rPr/>
        <w:t>Existen dos tipos de análisis de sensibilidad: a) local, mediante el cambio de los valores</w:t>
      </w:r>
      <w:r>
        <w:rPr>
          <w:spacing w:val="-33"/>
        </w:rPr>
        <w:t> </w:t>
      </w:r>
      <w:r>
        <w:rPr/>
        <w:t>de uno en uno, y b) global, permitiendo que todos los valores de los parámetros cambien.</w:t>
      </w:r>
      <w:r>
        <w:rPr>
          <w:spacing w:val="-27"/>
        </w:rPr>
        <w:t> </w:t>
      </w:r>
      <w:r>
        <w:rPr/>
        <w:t>Los dos análisis, sin embargo, pueden dar resultados diferentes debido a que ambos presentan algunas desventajas ya que la sensibilidad de </w:t>
      </w:r>
      <w:r>
        <w:rPr>
          <w:spacing w:val="-3"/>
        </w:rPr>
        <w:t>un </w:t>
      </w:r>
      <w:r>
        <w:rPr/>
        <w:t>parámetro a menudo depende del valor</w:t>
      </w:r>
      <w:r>
        <w:rPr>
          <w:spacing w:val="-22"/>
        </w:rPr>
        <w:t> </w:t>
      </w:r>
      <w:r>
        <w:rPr/>
        <w:t>de otro parámetro relacionado, por lo tanto, el problema con el análisis de uno en uno es que los</w:t>
      </w:r>
      <w:r>
        <w:rPr>
          <w:spacing w:val="-11"/>
        </w:rPr>
        <w:t> </w:t>
      </w:r>
      <w:r>
        <w:rPr/>
        <w:t>valores</w:t>
      </w:r>
      <w:r>
        <w:rPr>
          <w:spacing w:val="-11"/>
        </w:rPr>
        <w:t> </w:t>
      </w:r>
      <w:r>
        <w:rPr/>
        <w:t>correctos</w:t>
      </w:r>
      <w:r>
        <w:rPr>
          <w:spacing w:val="-11"/>
        </w:rPr>
        <w:t> </w:t>
      </w:r>
      <w:r>
        <w:rPr/>
        <w:t>nunca</w:t>
      </w:r>
      <w:r>
        <w:rPr>
          <w:spacing w:val="-11"/>
        </w:rPr>
        <w:t> </w:t>
      </w:r>
      <w:r>
        <w:rPr/>
        <w:t>se</w:t>
      </w:r>
      <w:r>
        <w:rPr>
          <w:spacing w:val="-16"/>
        </w:rPr>
        <w:t> </w:t>
      </w:r>
      <w:r>
        <w:rPr/>
        <w:t>saben</w:t>
      </w:r>
      <w:r>
        <w:rPr>
          <w:spacing w:val="-16"/>
        </w:rPr>
        <w:t> </w:t>
      </w:r>
      <w:r>
        <w:rPr/>
        <w:t>y</w:t>
      </w:r>
      <w:r>
        <w:rPr>
          <w:spacing w:val="-11"/>
        </w:rPr>
        <w:t> </w:t>
      </w:r>
      <w:r>
        <w:rPr/>
        <w:t>la</w:t>
      </w:r>
      <w:r>
        <w:rPr>
          <w:spacing w:val="-16"/>
        </w:rPr>
        <w:t> </w:t>
      </w:r>
      <w:r>
        <w:rPr/>
        <w:t>desventaja</w:t>
      </w:r>
      <w:r>
        <w:rPr>
          <w:spacing w:val="-11"/>
        </w:rPr>
        <w:t> </w:t>
      </w:r>
      <w:r>
        <w:rPr/>
        <w:t>de</w:t>
      </w:r>
      <w:r>
        <w:rPr>
          <w:spacing w:val="-11"/>
        </w:rPr>
        <w:t> </w:t>
      </w:r>
      <w:r>
        <w:rPr/>
        <w:t>la</w:t>
      </w:r>
      <w:r>
        <w:rPr>
          <w:spacing w:val="-16"/>
        </w:rPr>
        <w:t> </w:t>
      </w:r>
      <w:r>
        <w:rPr/>
        <w:t>sensibilidad</w:t>
      </w:r>
      <w:r>
        <w:rPr>
          <w:spacing w:val="-11"/>
        </w:rPr>
        <w:t> </w:t>
      </w:r>
      <w:r>
        <w:rPr/>
        <w:t>global</w:t>
      </w:r>
      <w:r>
        <w:rPr>
          <w:spacing w:val="-11"/>
        </w:rPr>
        <w:t> </w:t>
      </w:r>
      <w:r>
        <w:rPr/>
        <w:t>es</w:t>
      </w:r>
      <w:r>
        <w:rPr>
          <w:spacing w:val="-12"/>
        </w:rPr>
        <w:t> </w:t>
      </w:r>
      <w:r>
        <w:rPr/>
        <w:t>que</w:t>
      </w:r>
      <w:r>
        <w:rPr>
          <w:spacing w:val="-11"/>
        </w:rPr>
        <w:t> </w:t>
      </w:r>
      <w:r>
        <w:rPr/>
        <w:t>necesita un</w:t>
      </w:r>
      <w:r>
        <w:rPr>
          <w:spacing w:val="-15"/>
        </w:rPr>
        <w:t> </w:t>
      </w:r>
      <w:r>
        <w:rPr/>
        <w:t>gran</w:t>
      </w:r>
      <w:r>
        <w:rPr>
          <w:spacing w:val="-15"/>
        </w:rPr>
        <w:t> </w:t>
      </w:r>
      <w:r>
        <w:rPr/>
        <w:t>número</w:t>
      </w:r>
      <w:r>
        <w:rPr>
          <w:spacing w:val="-15"/>
        </w:rPr>
        <w:t> </w:t>
      </w:r>
      <w:r>
        <w:rPr/>
        <w:t>de</w:t>
      </w:r>
      <w:r>
        <w:rPr>
          <w:spacing w:val="-15"/>
        </w:rPr>
        <w:t> </w:t>
      </w:r>
      <w:r>
        <w:rPr/>
        <w:t>simulaciones;</w:t>
      </w:r>
      <w:r>
        <w:rPr>
          <w:spacing w:val="-15"/>
        </w:rPr>
        <w:t> </w:t>
      </w:r>
      <w:r>
        <w:rPr/>
        <w:t>por</w:t>
      </w:r>
      <w:r>
        <w:rPr>
          <w:spacing w:val="-15"/>
        </w:rPr>
        <w:t> </w:t>
      </w:r>
      <w:r>
        <w:rPr/>
        <w:t>tanto</w:t>
      </w:r>
      <w:r>
        <w:rPr>
          <w:spacing w:val="-15"/>
        </w:rPr>
        <w:t> </w:t>
      </w:r>
      <w:r>
        <w:rPr/>
        <w:t>de</w:t>
      </w:r>
      <w:r>
        <w:rPr>
          <w:spacing w:val="-15"/>
        </w:rPr>
        <w:t> </w:t>
      </w:r>
      <w:r>
        <w:rPr/>
        <w:t>acuerdo</w:t>
      </w:r>
      <w:r>
        <w:rPr>
          <w:spacing w:val="-14"/>
        </w:rPr>
        <w:t> </w:t>
      </w:r>
      <w:r>
        <w:rPr/>
        <w:t>a</w:t>
      </w:r>
      <w:r>
        <w:rPr>
          <w:spacing w:val="-15"/>
        </w:rPr>
        <w:t> </w:t>
      </w:r>
      <w:r>
        <w:rPr/>
        <w:t>los</w:t>
      </w:r>
      <w:r>
        <w:rPr>
          <w:spacing w:val="-15"/>
        </w:rPr>
        <w:t> </w:t>
      </w:r>
      <w:r>
        <w:rPr/>
        <w:t>objetivos</w:t>
      </w:r>
      <w:r>
        <w:rPr>
          <w:spacing w:val="-15"/>
        </w:rPr>
        <w:t> </w:t>
      </w:r>
      <w:r>
        <w:rPr/>
        <w:t>del</w:t>
      </w:r>
      <w:r>
        <w:rPr>
          <w:spacing w:val="-15"/>
        </w:rPr>
        <w:t> </w:t>
      </w:r>
      <w:r>
        <w:rPr/>
        <w:t>análisis</w:t>
      </w:r>
      <w:r>
        <w:rPr>
          <w:spacing w:val="-15"/>
        </w:rPr>
        <w:t> </w:t>
      </w:r>
      <w:r>
        <w:rPr/>
        <w:t>se</w:t>
      </w:r>
      <w:r>
        <w:rPr>
          <w:spacing w:val="-15"/>
        </w:rPr>
        <w:t> </w:t>
      </w:r>
      <w:r>
        <w:rPr/>
        <w:t>deberán considerar ambas</w:t>
      </w:r>
      <w:r>
        <w:rPr>
          <w:spacing w:val="-10"/>
        </w:rPr>
        <w:t> </w:t>
      </w:r>
      <w:r>
        <w:rPr/>
        <w:t>situaciones.</w:t>
      </w:r>
    </w:p>
    <w:p>
      <w:pPr>
        <w:pStyle w:val="BodyText"/>
      </w:pPr>
    </w:p>
    <w:p>
      <w:pPr>
        <w:pStyle w:val="ListParagraph"/>
        <w:numPr>
          <w:ilvl w:val="2"/>
          <w:numId w:val="40"/>
        </w:numPr>
        <w:tabs>
          <w:tab w:pos="837" w:val="left" w:leader="none"/>
        </w:tabs>
        <w:spacing w:line="355" w:lineRule="auto" w:before="157" w:after="0"/>
        <w:ind w:left="837" w:right="119" w:hanging="361"/>
        <w:jc w:val="both"/>
        <w:rPr>
          <w:sz w:val="26"/>
        </w:rPr>
      </w:pPr>
      <w:r>
        <w:rPr>
          <w:sz w:val="26"/>
        </w:rPr>
        <w:t>El segundo paso es el proceso de calibración en sí mismo. </w:t>
      </w:r>
      <w:r>
        <w:rPr>
          <w:spacing w:val="-3"/>
          <w:sz w:val="26"/>
        </w:rPr>
        <w:t>La </w:t>
      </w:r>
      <w:r>
        <w:rPr>
          <w:sz w:val="26"/>
        </w:rPr>
        <w:t>calibración es un esfuerzo para parametrizar mejor el modelo para un determinado conjunto de condiciones locales, reduciendo así la incertidumbre de</w:t>
      </w:r>
      <w:r>
        <w:rPr>
          <w:spacing w:val="-20"/>
          <w:sz w:val="26"/>
        </w:rPr>
        <w:t> </w:t>
      </w:r>
      <w:r>
        <w:rPr>
          <w:sz w:val="26"/>
        </w:rPr>
        <w:t>predicción.</w:t>
      </w:r>
    </w:p>
    <w:p>
      <w:pPr>
        <w:pStyle w:val="BodyText"/>
      </w:pPr>
    </w:p>
    <w:p>
      <w:pPr>
        <w:pStyle w:val="BodyText"/>
        <w:spacing w:line="360" w:lineRule="auto" w:before="162"/>
        <w:ind w:left="116" w:right="114"/>
        <w:jc w:val="both"/>
      </w:pPr>
      <w:r>
        <w:rPr/>
        <w:t>La calibración del modelo se realiza mediante la cuidadosa selección de valores para los parámetros de entrada del modelo (en sus respectivos rangos de incertidumbre) mediante la comparación de las predicciones del modelo (salida) para un conjunto dado de condiciones asumidas con los datos observados para las mismas condiciones.</w:t>
      </w:r>
    </w:p>
    <w:p>
      <w:pPr>
        <w:pStyle w:val="BodyText"/>
      </w:pPr>
    </w:p>
    <w:p>
      <w:pPr>
        <w:pStyle w:val="BodyText"/>
        <w:spacing w:line="360" w:lineRule="auto" w:before="151"/>
        <w:ind w:left="116" w:right="112"/>
        <w:jc w:val="both"/>
      </w:pPr>
      <w:r>
        <w:rPr>
          <w:spacing w:val="-3"/>
        </w:rPr>
        <w:t>La </w:t>
      </w:r>
      <w:r>
        <w:rPr/>
        <w:t>calibración se puede realizar de forma manual o utilizando herramientas de autocalibración en </w:t>
      </w:r>
      <w:r>
        <w:rPr>
          <w:spacing w:val="-3"/>
        </w:rPr>
        <w:t>SWAT </w:t>
      </w:r>
      <w:r>
        <w:rPr/>
        <w:t>(Van Griensven y Bauwens, (2003); Van Liew y otros, (2005)</w:t>
      </w:r>
      <w:r>
        <w:rPr>
          <w:spacing w:val="-30"/>
        </w:rPr>
        <w:t> </w:t>
      </w:r>
      <w:r>
        <w:rPr/>
        <w:t>o SWAT -CUP (Abbaspour y otros, (2007). Idealmente, los procesos de calibración y validación deben tener una base espacial, teniendo en cuenta las aportaciones, el modelo y los parámetros de incertidumbre. Un buen ejemplo de proceso de calibración implica el análisis de caudal de la cuenca. Los procesos </w:t>
      </w:r>
      <w:r>
        <w:rPr>
          <w:spacing w:val="-3"/>
        </w:rPr>
        <w:t>de </w:t>
      </w:r>
      <w:r>
        <w:rPr/>
        <w:t>caudal están compuestos por el equilibrio de agua en la fase terrestre de la hidrología, incluyendo evapotranspiración, flujo lateral, escorrentía</w:t>
      </w:r>
      <w:r>
        <w:rPr>
          <w:spacing w:val="-6"/>
        </w:rPr>
        <w:t> </w:t>
      </w:r>
      <w:r>
        <w:rPr/>
        <w:t>superficial,</w:t>
      </w:r>
      <w:r>
        <w:rPr>
          <w:spacing w:val="-4"/>
        </w:rPr>
        <w:t> </w:t>
      </w:r>
      <w:r>
        <w:rPr/>
        <w:t>flujo</w:t>
      </w:r>
      <w:r>
        <w:rPr>
          <w:spacing w:val="-6"/>
        </w:rPr>
        <w:t> </w:t>
      </w:r>
      <w:r>
        <w:rPr/>
        <w:t>de</w:t>
      </w:r>
      <w:r>
        <w:rPr>
          <w:spacing w:val="-6"/>
        </w:rPr>
        <w:t> </w:t>
      </w:r>
      <w:r>
        <w:rPr/>
        <w:t>retorno,</w:t>
      </w:r>
      <w:r>
        <w:rPr>
          <w:spacing w:val="-4"/>
        </w:rPr>
        <w:t> </w:t>
      </w:r>
      <w:r>
        <w:rPr/>
        <w:t>el</w:t>
      </w:r>
      <w:r>
        <w:rPr>
          <w:spacing w:val="-6"/>
        </w:rPr>
        <w:t> </w:t>
      </w:r>
      <w:r>
        <w:rPr/>
        <w:t>flujo</w:t>
      </w:r>
      <w:r>
        <w:rPr>
          <w:spacing w:val="-6"/>
        </w:rPr>
        <w:t> </w:t>
      </w:r>
      <w:r>
        <w:rPr/>
        <w:t>de</w:t>
      </w:r>
      <w:r>
        <w:rPr>
          <w:spacing w:val="-6"/>
        </w:rPr>
        <w:t> </w:t>
      </w:r>
      <w:r>
        <w:rPr/>
        <w:t>la</w:t>
      </w:r>
      <w:r>
        <w:rPr>
          <w:spacing w:val="-6"/>
        </w:rPr>
        <w:t> </w:t>
      </w:r>
      <w:r>
        <w:rPr/>
        <w:t>baldosa</w:t>
      </w:r>
      <w:r>
        <w:rPr>
          <w:spacing w:val="-6"/>
        </w:rPr>
        <w:t> </w:t>
      </w:r>
      <w:r>
        <w:rPr/>
        <w:t>(si</w:t>
      </w:r>
      <w:r>
        <w:rPr>
          <w:spacing w:val="-6"/>
        </w:rPr>
        <w:t> </w:t>
      </w:r>
      <w:r>
        <w:rPr/>
        <w:t>está</w:t>
      </w:r>
      <w:r>
        <w:rPr>
          <w:spacing w:val="-6"/>
        </w:rPr>
        <w:t> </w:t>
      </w:r>
      <w:r>
        <w:rPr/>
        <w:t>presente)</w:t>
      </w:r>
      <w:r>
        <w:rPr>
          <w:spacing w:val="-6"/>
        </w:rPr>
        <w:t> </w:t>
      </w:r>
      <w:r>
        <w:rPr/>
        <w:t>las</w:t>
      </w:r>
      <w:r>
        <w:rPr>
          <w:spacing w:val="-6"/>
        </w:rPr>
        <w:t> </w:t>
      </w:r>
      <w:r>
        <w:rPr/>
        <w:t>pérdidas</w:t>
      </w:r>
    </w:p>
    <w:p>
      <w:pPr>
        <w:spacing w:after="0" w:line="360" w:lineRule="auto"/>
        <w:jc w:val="both"/>
        <w:sectPr>
          <w:footerReference w:type="default" r:id="rId110"/>
          <w:pgSz w:w="12240" w:h="15840"/>
          <w:pgMar w:footer="1473" w:header="0" w:top="1500" w:bottom="1660" w:left="1300" w:right="1300"/>
        </w:sectPr>
      </w:pPr>
    </w:p>
    <w:p>
      <w:pPr>
        <w:pStyle w:val="BodyText"/>
        <w:spacing w:line="362" w:lineRule="auto" w:before="49"/>
        <w:ind w:left="116" w:right="116"/>
        <w:jc w:val="both"/>
      </w:pPr>
      <w:r>
        <w:rPr/>
        <w:t>de transmisión de canal, y recarga del acuífero profundo. Si se dispone de datos para cada uno de estos procesos, deberán ser calibrados individualmente.</w:t>
      </w:r>
    </w:p>
    <w:p>
      <w:pPr>
        <w:pStyle w:val="BodyText"/>
      </w:pPr>
    </w:p>
    <w:p>
      <w:pPr>
        <w:pStyle w:val="BodyText"/>
        <w:spacing w:line="360" w:lineRule="auto" w:before="153"/>
        <w:ind w:left="116" w:right="117"/>
        <w:jc w:val="both"/>
      </w:pPr>
      <w:r>
        <w:rPr/>
        <w:t>Para la calibración de sedimentos, deben ser considerados los nutrientes, pesticidas y bacterias, las fuentes y sumideros. </w:t>
      </w:r>
      <w:r>
        <w:rPr>
          <w:spacing w:val="-3"/>
        </w:rPr>
        <w:t>Si </w:t>
      </w:r>
      <w:r>
        <w:rPr/>
        <w:t>un periodo de tiempo más largo está disponible para el componente hidrológico, es importante utilizar todos lo que esté disponible con el fin</w:t>
      </w:r>
      <w:r>
        <w:rPr>
          <w:spacing w:val="-41"/>
        </w:rPr>
        <w:t> </w:t>
      </w:r>
      <w:r>
        <w:rPr/>
        <w:t>de capturar las tendencias a largo</w:t>
      </w:r>
      <w:r>
        <w:rPr>
          <w:spacing w:val="-11"/>
        </w:rPr>
        <w:t> </w:t>
      </w:r>
      <w:r>
        <w:rPr/>
        <w:t>plazo.</w:t>
      </w:r>
    </w:p>
    <w:p>
      <w:pPr>
        <w:pStyle w:val="BodyText"/>
      </w:pPr>
    </w:p>
    <w:p>
      <w:pPr>
        <w:pStyle w:val="BodyText"/>
        <w:spacing w:line="360" w:lineRule="auto" w:before="155"/>
        <w:ind w:left="116" w:right="110"/>
        <w:jc w:val="both"/>
      </w:pPr>
      <w:r>
        <w:rPr/>
        <w:t>Sin embargo, generalmente hay insuficientes datos observados para permitir una completa calibración</w:t>
      </w:r>
      <w:r>
        <w:rPr>
          <w:spacing w:val="-8"/>
        </w:rPr>
        <w:t> </w:t>
      </w:r>
      <w:r>
        <w:rPr/>
        <w:t>y</w:t>
      </w:r>
      <w:r>
        <w:rPr>
          <w:spacing w:val="-7"/>
        </w:rPr>
        <w:t> </w:t>
      </w:r>
      <w:r>
        <w:rPr/>
        <w:t>validación</w:t>
      </w:r>
      <w:r>
        <w:rPr>
          <w:spacing w:val="-8"/>
        </w:rPr>
        <w:t> </w:t>
      </w:r>
      <w:r>
        <w:rPr/>
        <w:t>a</w:t>
      </w:r>
      <w:r>
        <w:rPr>
          <w:spacing w:val="-7"/>
        </w:rPr>
        <w:t> </w:t>
      </w:r>
      <w:r>
        <w:rPr/>
        <w:t>escala</w:t>
      </w:r>
      <w:r>
        <w:rPr>
          <w:spacing w:val="-7"/>
        </w:rPr>
        <w:t> </w:t>
      </w:r>
      <w:r>
        <w:rPr/>
        <w:t>de</w:t>
      </w:r>
      <w:r>
        <w:rPr>
          <w:spacing w:val="-7"/>
        </w:rPr>
        <w:t> </w:t>
      </w:r>
      <w:r>
        <w:rPr/>
        <w:t>cuencas.</w:t>
      </w:r>
      <w:r>
        <w:rPr>
          <w:spacing w:val="-5"/>
        </w:rPr>
        <w:t> </w:t>
      </w:r>
      <w:r>
        <w:rPr/>
        <w:t>Por</w:t>
      </w:r>
      <w:r>
        <w:rPr>
          <w:spacing w:val="-7"/>
        </w:rPr>
        <w:t> </w:t>
      </w:r>
      <w:r>
        <w:rPr/>
        <w:t>ello</w:t>
      </w:r>
      <w:r>
        <w:rPr>
          <w:spacing w:val="-7"/>
        </w:rPr>
        <w:t> </w:t>
      </w:r>
      <w:r>
        <w:rPr/>
        <w:t>los</w:t>
      </w:r>
      <w:r>
        <w:rPr>
          <w:spacing w:val="-7"/>
        </w:rPr>
        <w:t> </w:t>
      </w:r>
      <w:r>
        <w:rPr/>
        <w:t>métodos</w:t>
      </w:r>
      <w:r>
        <w:rPr>
          <w:spacing w:val="-8"/>
        </w:rPr>
        <w:t> </w:t>
      </w:r>
      <w:r>
        <w:rPr/>
        <w:t>utilizados</w:t>
      </w:r>
      <w:r>
        <w:rPr>
          <w:spacing w:val="-7"/>
        </w:rPr>
        <w:t> </w:t>
      </w:r>
      <w:r>
        <w:rPr/>
        <w:t>para</w:t>
      </w:r>
      <w:r>
        <w:rPr>
          <w:spacing w:val="-7"/>
        </w:rPr>
        <w:t> </w:t>
      </w:r>
      <w:r>
        <w:rPr/>
        <w:t>comparar los datos observados y predicciones del modelo son también importantes, los métodos estadísticos</w:t>
      </w:r>
      <w:r>
        <w:rPr>
          <w:spacing w:val="-16"/>
        </w:rPr>
        <w:t> </w:t>
      </w:r>
      <w:r>
        <w:rPr/>
        <w:t>que</w:t>
      </w:r>
      <w:r>
        <w:rPr>
          <w:spacing w:val="-16"/>
        </w:rPr>
        <w:t> </w:t>
      </w:r>
      <w:r>
        <w:rPr/>
        <w:t>suelen</w:t>
      </w:r>
      <w:r>
        <w:rPr>
          <w:spacing w:val="-16"/>
        </w:rPr>
        <w:t> </w:t>
      </w:r>
      <w:r>
        <w:rPr/>
        <w:t>ser</w:t>
      </w:r>
      <w:r>
        <w:rPr>
          <w:spacing w:val="-16"/>
        </w:rPr>
        <w:t> </w:t>
      </w:r>
      <w:r>
        <w:rPr/>
        <w:t>utilizados</w:t>
      </w:r>
      <w:r>
        <w:rPr>
          <w:spacing w:val="-16"/>
        </w:rPr>
        <w:t> </w:t>
      </w:r>
      <w:r>
        <w:rPr/>
        <w:t>son</w:t>
      </w:r>
      <w:r>
        <w:rPr>
          <w:spacing w:val="-16"/>
        </w:rPr>
        <w:t> </w:t>
      </w:r>
      <w:r>
        <w:rPr/>
        <w:t>series</w:t>
      </w:r>
      <w:r>
        <w:rPr>
          <w:spacing w:val="-20"/>
        </w:rPr>
        <w:t> </w:t>
      </w:r>
      <w:r>
        <w:rPr/>
        <w:t>de</w:t>
      </w:r>
      <w:r>
        <w:rPr>
          <w:spacing w:val="-16"/>
        </w:rPr>
        <w:t> </w:t>
      </w:r>
      <w:r>
        <w:rPr/>
        <w:t>tiempo</w:t>
      </w:r>
      <w:r>
        <w:rPr>
          <w:spacing w:val="-16"/>
        </w:rPr>
        <w:t> </w:t>
      </w:r>
      <w:r>
        <w:rPr/>
        <w:t>de</w:t>
      </w:r>
      <w:r>
        <w:rPr>
          <w:spacing w:val="-16"/>
        </w:rPr>
        <w:t> </w:t>
      </w:r>
      <w:r>
        <w:rPr/>
        <w:t>parcelas,</w:t>
      </w:r>
      <w:r>
        <w:rPr>
          <w:spacing w:val="-13"/>
        </w:rPr>
        <w:t> </w:t>
      </w:r>
      <w:r>
        <w:rPr/>
        <w:t>la</w:t>
      </w:r>
      <w:r>
        <w:rPr>
          <w:spacing w:val="-16"/>
        </w:rPr>
        <w:t> </w:t>
      </w:r>
      <w:r>
        <w:rPr/>
        <w:t>eficiencia</w:t>
      </w:r>
      <w:r>
        <w:rPr>
          <w:spacing w:val="-15"/>
        </w:rPr>
        <w:t> </w:t>
      </w:r>
      <w:r>
        <w:rPr/>
        <w:t>de</w:t>
      </w:r>
      <w:r>
        <w:rPr>
          <w:spacing w:val="-16"/>
        </w:rPr>
        <w:t> </w:t>
      </w:r>
      <w:r>
        <w:rPr/>
        <w:t>Nash- Sutcliffe (Nash y Sutcliffe, 1970), y el porcentaje de</w:t>
      </w:r>
      <w:r>
        <w:rPr>
          <w:spacing w:val="-14"/>
        </w:rPr>
        <w:t> </w:t>
      </w:r>
      <w:r>
        <w:rPr/>
        <w:t>sesgo.</w:t>
      </w:r>
    </w:p>
    <w:p>
      <w:pPr>
        <w:pStyle w:val="BodyText"/>
      </w:pPr>
    </w:p>
    <w:p>
      <w:pPr>
        <w:pStyle w:val="ListParagraph"/>
        <w:numPr>
          <w:ilvl w:val="2"/>
          <w:numId w:val="40"/>
        </w:numPr>
        <w:tabs>
          <w:tab w:pos="823" w:val="left" w:leader="none"/>
        </w:tabs>
        <w:spacing w:line="357" w:lineRule="auto" w:before="152" w:after="0"/>
        <w:ind w:left="837" w:right="116" w:hanging="361"/>
        <w:jc w:val="both"/>
        <w:rPr>
          <w:sz w:val="26"/>
        </w:rPr>
      </w:pPr>
      <w:r>
        <w:rPr>
          <w:sz w:val="26"/>
        </w:rPr>
        <w:t>El paso final de la ejecución del modelo es </w:t>
      </w:r>
      <w:r>
        <w:rPr>
          <w:spacing w:val="-3"/>
          <w:sz w:val="26"/>
        </w:rPr>
        <w:t>la </w:t>
      </w:r>
      <w:r>
        <w:rPr>
          <w:sz w:val="26"/>
        </w:rPr>
        <w:t>validación, y se realiza para cada componente de interés (caudal, producción de sedimentos, etc.). </w:t>
      </w:r>
      <w:r>
        <w:rPr>
          <w:spacing w:val="-3"/>
          <w:sz w:val="26"/>
        </w:rPr>
        <w:t>La </w:t>
      </w:r>
      <w:r>
        <w:rPr>
          <w:sz w:val="26"/>
        </w:rPr>
        <w:t>validación del modelo es el proceso de demostrar que un determinado modelo de sitio específico es</w:t>
      </w:r>
      <w:r>
        <w:rPr>
          <w:spacing w:val="-7"/>
          <w:sz w:val="26"/>
        </w:rPr>
        <w:t> </w:t>
      </w:r>
      <w:r>
        <w:rPr>
          <w:sz w:val="26"/>
        </w:rPr>
        <w:t>capaz</w:t>
      </w:r>
      <w:r>
        <w:rPr>
          <w:spacing w:val="-6"/>
          <w:sz w:val="26"/>
        </w:rPr>
        <w:t> </w:t>
      </w:r>
      <w:r>
        <w:rPr>
          <w:sz w:val="26"/>
        </w:rPr>
        <w:t>de</w:t>
      </w:r>
      <w:r>
        <w:rPr>
          <w:spacing w:val="-11"/>
          <w:sz w:val="26"/>
        </w:rPr>
        <w:t> </w:t>
      </w:r>
      <w:r>
        <w:rPr>
          <w:sz w:val="26"/>
        </w:rPr>
        <w:t>hacer</w:t>
      </w:r>
      <w:r>
        <w:rPr>
          <w:spacing w:val="-7"/>
          <w:sz w:val="26"/>
        </w:rPr>
        <w:t> </w:t>
      </w:r>
      <w:r>
        <w:rPr>
          <w:sz w:val="26"/>
        </w:rPr>
        <w:t>lo</w:t>
      </w:r>
      <w:r>
        <w:rPr>
          <w:spacing w:val="-11"/>
          <w:sz w:val="26"/>
        </w:rPr>
        <w:t> </w:t>
      </w:r>
      <w:r>
        <w:rPr>
          <w:sz w:val="26"/>
        </w:rPr>
        <w:t>suficientemente</w:t>
      </w:r>
      <w:r>
        <w:rPr>
          <w:spacing w:val="-7"/>
          <w:sz w:val="26"/>
        </w:rPr>
        <w:t> </w:t>
      </w:r>
      <w:r>
        <w:rPr>
          <w:sz w:val="26"/>
        </w:rPr>
        <w:t>precisa</w:t>
      </w:r>
      <w:r>
        <w:rPr>
          <w:spacing w:val="-7"/>
          <w:sz w:val="26"/>
        </w:rPr>
        <w:t> </w:t>
      </w:r>
      <w:r>
        <w:rPr>
          <w:sz w:val="26"/>
        </w:rPr>
        <w:t>la</w:t>
      </w:r>
      <w:r>
        <w:rPr>
          <w:spacing w:val="-11"/>
          <w:sz w:val="26"/>
        </w:rPr>
        <w:t> </w:t>
      </w:r>
      <w:r>
        <w:rPr>
          <w:sz w:val="26"/>
        </w:rPr>
        <w:t>simulación,</w:t>
      </w:r>
      <w:r>
        <w:rPr>
          <w:spacing w:val="-5"/>
          <w:sz w:val="26"/>
        </w:rPr>
        <w:t> </w:t>
      </w:r>
      <w:r>
        <w:rPr>
          <w:sz w:val="26"/>
        </w:rPr>
        <w:t>aunque</w:t>
      </w:r>
      <w:r>
        <w:rPr>
          <w:spacing w:val="-7"/>
          <w:sz w:val="26"/>
        </w:rPr>
        <w:t> </w:t>
      </w:r>
      <w:r>
        <w:rPr>
          <w:sz w:val="26"/>
        </w:rPr>
        <w:t>"suficientemente precisa" en ocasiones puede variar en función de las metas del proyecto</w:t>
      </w:r>
      <w:r>
        <w:rPr>
          <w:spacing w:val="-44"/>
          <w:sz w:val="26"/>
        </w:rPr>
        <w:t> </w:t>
      </w:r>
      <w:r>
        <w:rPr>
          <w:sz w:val="26"/>
        </w:rPr>
        <w:t>(Refsgaard, 1997).</w:t>
      </w:r>
    </w:p>
    <w:p>
      <w:pPr>
        <w:pStyle w:val="BodyText"/>
      </w:pPr>
    </w:p>
    <w:p>
      <w:pPr>
        <w:pStyle w:val="BodyText"/>
        <w:spacing w:line="360" w:lineRule="auto" w:before="159"/>
        <w:ind w:left="116" w:right="122"/>
        <w:jc w:val="both"/>
      </w:pPr>
      <w:r>
        <w:rPr/>
        <w:t>La validación implica la ejecución de un modelo usando parámetros que se determinaron durante el proceso de calibración, y comparando las predicciones a los datos observados que no se utilizaron en el mismo.</w:t>
      </w:r>
    </w:p>
    <w:p>
      <w:pPr>
        <w:pStyle w:val="BodyText"/>
      </w:pPr>
    </w:p>
    <w:p>
      <w:pPr>
        <w:pStyle w:val="BodyText"/>
        <w:spacing w:line="357" w:lineRule="auto" w:before="156"/>
        <w:ind w:left="116" w:right="117"/>
        <w:jc w:val="both"/>
      </w:pPr>
      <w:r>
        <w:rPr/>
        <w:t>Para ayudar con el proceso de calibración y validación del modelo SWAT recomendado, White y otros, (2012) desarrolló un programa que advierte a los usuarios si los  resultados</w:t>
      </w:r>
    </w:p>
    <w:p>
      <w:pPr>
        <w:spacing w:after="0" w:line="357" w:lineRule="auto"/>
        <w:jc w:val="both"/>
        <w:sectPr>
          <w:footerReference w:type="default" r:id="rId111"/>
          <w:pgSz w:w="12240" w:h="15840"/>
          <w:pgMar w:footer="1473" w:header="0" w:top="1360" w:bottom="1660" w:left="1300" w:right="1300"/>
          <w:pgNumType w:start="101"/>
        </w:sectPr>
      </w:pPr>
    </w:p>
    <w:p>
      <w:pPr>
        <w:pStyle w:val="BodyText"/>
        <w:spacing w:line="362" w:lineRule="auto" w:before="49"/>
        <w:ind w:left="116" w:right="119"/>
        <w:jc w:val="both"/>
      </w:pPr>
      <w:r>
        <w:rPr/>
        <w:t>del</w:t>
      </w:r>
      <w:r>
        <w:rPr>
          <w:spacing w:val="-16"/>
        </w:rPr>
        <w:t> </w:t>
      </w:r>
      <w:r>
        <w:rPr/>
        <w:t>modelo</w:t>
      </w:r>
      <w:r>
        <w:rPr>
          <w:spacing w:val="-16"/>
        </w:rPr>
        <w:t> </w:t>
      </w:r>
      <w:r>
        <w:rPr/>
        <w:t>seleccionados</w:t>
      </w:r>
      <w:r>
        <w:rPr>
          <w:spacing w:val="-16"/>
        </w:rPr>
        <w:t> </w:t>
      </w:r>
      <w:r>
        <w:rPr/>
        <w:t>varían</w:t>
      </w:r>
      <w:r>
        <w:rPr>
          <w:spacing w:val="-16"/>
        </w:rPr>
        <w:t> </w:t>
      </w:r>
      <w:r>
        <w:rPr/>
        <w:t>en</w:t>
      </w:r>
      <w:r>
        <w:rPr>
          <w:spacing w:val="-16"/>
        </w:rPr>
        <w:t> </w:t>
      </w:r>
      <w:r>
        <w:rPr/>
        <w:t>rangos</w:t>
      </w:r>
      <w:r>
        <w:rPr>
          <w:spacing w:val="-16"/>
        </w:rPr>
        <w:t> </w:t>
      </w:r>
      <w:r>
        <w:rPr/>
        <w:t>típicos</w:t>
      </w:r>
      <w:r>
        <w:rPr>
          <w:spacing w:val="-16"/>
        </w:rPr>
        <w:t> </w:t>
      </w:r>
      <w:r>
        <w:rPr/>
        <w:t>para</w:t>
      </w:r>
      <w:r>
        <w:rPr>
          <w:spacing w:val="-15"/>
        </w:rPr>
        <w:t> </w:t>
      </w:r>
      <w:r>
        <w:rPr/>
        <w:t>asegurar</w:t>
      </w:r>
      <w:r>
        <w:rPr>
          <w:spacing w:val="-15"/>
        </w:rPr>
        <w:t> </w:t>
      </w:r>
      <w:r>
        <w:rPr/>
        <w:t>que</w:t>
      </w:r>
      <w:r>
        <w:rPr>
          <w:spacing w:val="-16"/>
        </w:rPr>
        <w:t> </w:t>
      </w:r>
      <w:r>
        <w:rPr/>
        <w:t>los</w:t>
      </w:r>
      <w:r>
        <w:rPr>
          <w:spacing w:val="-16"/>
        </w:rPr>
        <w:t> </w:t>
      </w:r>
      <w:r>
        <w:rPr/>
        <w:t>procesos</w:t>
      </w:r>
      <w:r>
        <w:rPr>
          <w:spacing w:val="-15"/>
        </w:rPr>
        <w:t> </w:t>
      </w:r>
      <w:r>
        <w:rPr/>
        <w:t>simulados son</w:t>
      </w:r>
      <w:r>
        <w:rPr>
          <w:spacing w:val="-4"/>
        </w:rPr>
        <w:t> </w:t>
      </w:r>
      <w:r>
        <w:rPr/>
        <w:t>realistas.</w:t>
      </w:r>
    </w:p>
    <w:p>
      <w:pPr>
        <w:pStyle w:val="BodyText"/>
      </w:pPr>
    </w:p>
    <w:p>
      <w:pPr>
        <w:pStyle w:val="BodyText"/>
        <w:spacing w:line="360" w:lineRule="auto" w:before="153"/>
        <w:ind w:left="116" w:right="105"/>
        <w:jc w:val="both"/>
      </w:pPr>
      <w:r>
        <w:rPr/>
        <w:t>A éste programa se ha sumado una extensa </w:t>
      </w:r>
      <w:r>
        <w:rPr>
          <w:spacing w:val="-3"/>
        </w:rPr>
        <w:t>gama </w:t>
      </w:r>
      <w:r>
        <w:rPr/>
        <w:t>de estadísticas técnicas que se pueden utilizar</w:t>
      </w:r>
      <w:r>
        <w:rPr>
          <w:spacing w:val="-11"/>
        </w:rPr>
        <w:t> </w:t>
      </w:r>
      <w:r>
        <w:rPr/>
        <w:t>para</w:t>
      </w:r>
      <w:r>
        <w:rPr>
          <w:spacing w:val="-12"/>
        </w:rPr>
        <w:t> </w:t>
      </w:r>
      <w:r>
        <w:rPr/>
        <w:t>evaluar</w:t>
      </w:r>
      <w:r>
        <w:rPr>
          <w:spacing w:val="-12"/>
        </w:rPr>
        <w:t> </w:t>
      </w:r>
      <w:r>
        <w:rPr/>
        <w:t>el</w:t>
      </w:r>
      <w:r>
        <w:rPr>
          <w:spacing w:val="-12"/>
        </w:rPr>
        <w:t> </w:t>
      </w:r>
      <w:r>
        <w:rPr/>
        <w:t>modelo</w:t>
      </w:r>
      <w:r>
        <w:rPr>
          <w:spacing w:val="-12"/>
        </w:rPr>
        <w:t> </w:t>
      </w:r>
      <w:r>
        <w:rPr/>
        <w:t>hidrológico</w:t>
      </w:r>
      <w:r>
        <w:rPr>
          <w:spacing w:val="-8"/>
        </w:rPr>
        <w:t> </w:t>
      </w:r>
      <w:r>
        <w:rPr/>
        <w:t>SWAT</w:t>
      </w:r>
      <w:r>
        <w:rPr>
          <w:spacing w:val="-12"/>
        </w:rPr>
        <w:t> </w:t>
      </w:r>
      <w:r>
        <w:rPr/>
        <w:t>y</w:t>
      </w:r>
      <w:r>
        <w:rPr>
          <w:spacing w:val="-12"/>
        </w:rPr>
        <w:t> </w:t>
      </w:r>
      <w:r>
        <w:rPr/>
        <w:t>las</w:t>
      </w:r>
      <w:r>
        <w:rPr>
          <w:spacing w:val="-12"/>
        </w:rPr>
        <w:t> </w:t>
      </w:r>
      <w:r>
        <w:rPr/>
        <w:t>predicciones</w:t>
      </w:r>
      <w:r>
        <w:rPr>
          <w:spacing w:val="-11"/>
        </w:rPr>
        <w:t> </w:t>
      </w:r>
      <w:r>
        <w:rPr/>
        <w:t>de</w:t>
      </w:r>
      <w:r>
        <w:rPr>
          <w:spacing w:val="-12"/>
        </w:rPr>
        <w:t> </w:t>
      </w:r>
      <w:r>
        <w:rPr/>
        <w:t>contaminantes;</w:t>
      </w:r>
      <w:r>
        <w:rPr>
          <w:spacing w:val="-12"/>
        </w:rPr>
        <w:t> </w:t>
      </w:r>
      <w:r>
        <w:rPr/>
        <w:t>por ejemplo, Coffey y otros, (2004) describen cerca de 20 posibles pruebas estadísticas que se pueden utilizar para juzgar predicciones SWAT, incluyendo coeficiente de determinación (r</w:t>
      </w:r>
      <w:r>
        <w:rPr>
          <w:position w:val="9"/>
          <w:sz w:val="17"/>
        </w:rPr>
        <w:t>2</w:t>
      </w:r>
      <w:r>
        <w:rPr/>
        <w:t>), NSE, error cuadrático medio (RMSE), pruebas no paramétricas, t-test, funciones objetivo, autocorrelación, y correlación</w:t>
      </w:r>
      <w:r>
        <w:rPr>
          <w:spacing w:val="-10"/>
        </w:rPr>
        <w:t> </w:t>
      </w:r>
      <w:r>
        <w:rPr/>
        <w:t>cruzada.</w:t>
      </w:r>
    </w:p>
    <w:p>
      <w:pPr>
        <w:pStyle w:val="BodyText"/>
      </w:pPr>
    </w:p>
    <w:p>
      <w:pPr>
        <w:pStyle w:val="BodyText"/>
        <w:spacing w:line="357" w:lineRule="auto" w:before="156"/>
        <w:ind w:left="116" w:right="110"/>
        <w:jc w:val="both"/>
      </w:pPr>
      <w:r>
        <w:rPr/>
        <w:t>Por el momento, el más utilizado según lo reportado en estudios de apliación del SWAT son r</w:t>
      </w:r>
      <w:r>
        <w:rPr>
          <w:position w:val="9"/>
          <w:sz w:val="17"/>
        </w:rPr>
        <w:t>2 </w:t>
      </w:r>
      <w:r>
        <w:rPr/>
        <w:t>y NSE. El estadístico r</w:t>
      </w:r>
      <w:r>
        <w:rPr>
          <w:position w:val="9"/>
          <w:sz w:val="17"/>
        </w:rPr>
        <w:t>2 </w:t>
      </w:r>
      <w:r>
        <w:rPr/>
        <w:t>puede variar de 0 a 1, donde 0 indica que no hay correlación y 1 representa una correlación perfecta, y proporciona una estimación de lo bien que la varianza de los valores observados se replican por las predicciones del modelo (Krause et al., 2005). Un ajuste perfecto también requiere que la pendiente de la regresión y la ntersección sean iguales a 1 y 0, respectivamente; sin embargo, la pendiente y la intersección típicamente no han sido reportadas en estudios SWAT publicados. Si r</w:t>
      </w:r>
      <w:r>
        <w:rPr>
          <w:position w:val="9"/>
          <w:sz w:val="17"/>
        </w:rPr>
        <w:t>2 </w:t>
      </w:r>
      <w:r>
        <w:rPr/>
        <w:t>es la principal estadística medida, se debe utilizar siempre con pendiente y la intersección para asegurar que los medios son razonables (pendiente = 1) y el sesgo es bajo.</w:t>
      </w:r>
    </w:p>
    <w:p>
      <w:pPr>
        <w:pStyle w:val="BodyText"/>
      </w:pPr>
    </w:p>
    <w:p>
      <w:pPr>
        <w:pStyle w:val="BodyText"/>
        <w:spacing w:line="360" w:lineRule="auto" w:before="158"/>
        <w:ind w:left="116" w:right="119"/>
        <w:jc w:val="both"/>
      </w:pPr>
      <w:r>
        <w:rPr/>
        <w:t>Valores de NSE pueden variar entre -∞ a 1 y transmitir qué tan bien coincide la salida simulada con la observada, los datos a lo largo de un 1: (1 línea de regresión recta con pendiente igual a 1). Un ajuste perfecto entre el simulado y observado se indica mediante un valor de 1. Los valores de NSE ≤0 indican que los datos requieren más precisión.</w:t>
      </w:r>
    </w:p>
    <w:p>
      <w:pPr>
        <w:spacing w:after="0" w:line="360" w:lineRule="auto"/>
        <w:jc w:val="both"/>
        <w:sectPr>
          <w:pgSz w:w="12240" w:h="15840"/>
          <w:pgMar w:header="0" w:footer="1473" w:top="1360" w:bottom="1660" w:left="1300" w:right="1300"/>
        </w:sectPr>
      </w:pPr>
    </w:p>
    <w:p>
      <w:pPr>
        <w:pStyle w:val="Heading1"/>
        <w:numPr>
          <w:ilvl w:val="0"/>
          <w:numId w:val="5"/>
        </w:numPr>
        <w:tabs>
          <w:tab w:pos="381" w:val="left" w:leader="none"/>
        </w:tabs>
        <w:spacing w:line="240" w:lineRule="auto" w:before="53" w:after="0"/>
        <w:ind w:left="380" w:right="0" w:hanging="264"/>
        <w:jc w:val="both"/>
      </w:pPr>
      <w:bookmarkStart w:name="_bookmark69" w:id="103"/>
      <w:bookmarkEnd w:id="103"/>
      <w:r>
        <w:rPr>
          <w:b w:val="0"/>
        </w:rPr>
      </w:r>
      <w:bookmarkStart w:name="_bookmark69" w:id="104"/>
      <w:bookmarkEnd w:id="104"/>
      <w:r>
        <w:rPr/>
        <w:t>CARACTERI</w:t>
      </w:r>
      <w:r>
        <w:rPr/>
        <w:t>ZACIÓN DE LA CUENCA EL</w:t>
      </w:r>
      <w:r>
        <w:rPr>
          <w:spacing w:val="-12"/>
        </w:rPr>
        <w:t> </w:t>
      </w:r>
      <w:r>
        <w:rPr/>
        <w:t>TEJOCOTE</w:t>
      </w:r>
    </w:p>
    <w:p>
      <w:pPr>
        <w:pStyle w:val="BodyText"/>
        <w:rPr>
          <w:b/>
        </w:rPr>
      </w:pPr>
    </w:p>
    <w:p>
      <w:pPr>
        <w:pStyle w:val="BodyText"/>
        <w:spacing w:before="1"/>
        <w:rPr>
          <w:b/>
          <w:sz w:val="21"/>
        </w:rPr>
      </w:pPr>
    </w:p>
    <w:p>
      <w:pPr>
        <w:pStyle w:val="BodyText"/>
        <w:spacing w:line="360" w:lineRule="auto"/>
        <w:ind w:left="116" w:right="118"/>
        <w:jc w:val="both"/>
      </w:pPr>
      <w:r>
        <w:rPr/>
        <w:t>Con</w:t>
      </w:r>
      <w:r>
        <w:rPr>
          <w:spacing w:val="-5"/>
        </w:rPr>
        <w:t> </w:t>
      </w:r>
      <w:r>
        <w:rPr/>
        <w:t>la</w:t>
      </w:r>
      <w:r>
        <w:rPr>
          <w:spacing w:val="-5"/>
        </w:rPr>
        <w:t> </w:t>
      </w:r>
      <w:r>
        <w:rPr/>
        <w:t>finalidad</w:t>
      </w:r>
      <w:r>
        <w:rPr>
          <w:spacing w:val="-5"/>
        </w:rPr>
        <w:t> </w:t>
      </w:r>
      <w:r>
        <w:rPr/>
        <w:t>de</w:t>
      </w:r>
      <w:r>
        <w:rPr>
          <w:spacing w:val="-5"/>
        </w:rPr>
        <w:t> </w:t>
      </w:r>
      <w:r>
        <w:rPr/>
        <w:t>conocer</w:t>
      </w:r>
      <w:r>
        <w:rPr>
          <w:spacing w:val="-5"/>
        </w:rPr>
        <w:t> </w:t>
      </w:r>
      <w:r>
        <w:rPr/>
        <w:t>las</w:t>
      </w:r>
      <w:r>
        <w:rPr>
          <w:spacing w:val="-5"/>
        </w:rPr>
        <w:t> </w:t>
      </w:r>
      <w:r>
        <w:rPr/>
        <w:t>condiciones</w:t>
      </w:r>
      <w:r>
        <w:rPr>
          <w:spacing w:val="-5"/>
        </w:rPr>
        <w:t> </w:t>
      </w:r>
      <w:r>
        <w:rPr/>
        <w:t>en la</w:t>
      </w:r>
      <w:r>
        <w:rPr>
          <w:spacing w:val="-5"/>
        </w:rPr>
        <w:t> </w:t>
      </w:r>
      <w:r>
        <w:rPr/>
        <w:t>que</w:t>
      </w:r>
      <w:r>
        <w:rPr>
          <w:spacing w:val="-5"/>
        </w:rPr>
        <w:t> </w:t>
      </w:r>
      <w:r>
        <w:rPr/>
        <w:t>se</w:t>
      </w:r>
      <w:r>
        <w:rPr>
          <w:spacing w:val="-5"/>
        </w:rPr>
        <w:t> </w:t>
      </w:r>
      <w:r>
        <w:rPr/>
        <w:t>encuentra</w:t>
      </w:r>
      <w:r>
        <w:rPr>
          <w:spacing w:val="-5"/>
        </w:rPr>
        <w:t> </w:t>
      </w:r>
      <w:r>
        <w:rPr/>
        <w:t>la</w:t>
      </w:r>
      <w:r>
        <w:rPr>
          <w:spacing w:val="-5"/>
        </w:rPr>
        <w:t> </w:t>
      </w:r>
      <w:r>
        <w:rPr/>
        <w:t>cuenca</w:t>
      </w:r>
      <w:r>
        <w:rPr>
          <w:spacing w:val="-5"/>
        </w:rPr>
        <w:t> </w:t>
      </w:r>
      <w:r>
        <w:rPr/>
        <w:t>El</w:t>
      </w:r>
      <w:r>
        <w:rPr>
          <w:spacing w:val="-5"/>
        </w:rPr>
        <w:t> </w:t>
      </w:r>
      <w:r>
        <w:rPr/>
        <w:t>Tejocote,</w:t>
      </w:r>
      <w:r>
        <w:rPr>
          <w:spacing w:val="-3"/>
        </w:rPr>
        <w:t> </w:t>
      </w:r>
      <w:r>
        <w:rPr/>
        <w:t>a continuación se presentan las características geográficas en cuando a hidrología, edafología, geología, usos de suelos y vegetación, éstas permitirán comprender de mejor manera las aptitudes que tienen el suelo y los demás recursos naturales para sustentar las actividades económicas que desarrolla la población. Asimismo la caracterización morfológica ayuda a crear escenarios de tendencias futuras sobre el comportamiento que tendrán los recursos como consecuencia de la alteración de sus condiciones</w:t>
      </w:r>
      <w:r>
        <w:rPr>
          <w:spacing w:val="-19"/>
        </w:rPr>
        <w:t> </w:t>
      </w:r>
      <w:r>
        <w:rPr/>
        <w:t>naturales.</w:t>
      </w:r>
    </w:p>
    <w:p>
      <w:pPr>
        <w:pStyle w:val="BodyText"/>
        <w:spacing w:before="7"/>
        <w:rPr>
          <w:sz w:val="21"/>
        </w:rPr>
      </w:pPr>
    </w:p>
    <w:p>
      <w:pPr>
        <w:pStyle w:val="Heading1"/>
        <w:numPr>
          <w:ilvl w:val="1"/>
          <w:numId w:val="5"/>
        </w:numPr>
        <w:tabs>
          <w:tab w:pos="510" w:val="left" w:leader="none"/>
        </w:tabs>
        <w:spacing w:line="240" w:lineRule="auto" w:before="0" w:after="0"/>
        <w:ind w:left="509" w:right="0" w:hanging="393"/>
        <w:jc w:val="both"/>
      </w:pPr>
      <w:bookmarkStart w:name="_bookmark70" w:id="105"/>
      <w:bookmarkEnd w:id="105"/>
      <w:r>
        <w:rPr>
          <w:b w:val="0"/>
        </w:rPr>
      </w:r>
      <w:bookmarkStart w:name="_bookmark70" w:id="106"/>
      <w:bookmarkEnd w:id="106"/>
      <w:r>
        <w:rPr/>
        <w:t>L</w:t>
      </w:r>
      <w:r>
        <w:rPr/>
        <w:t>ocalización </w:t>
      </w:r>
      <w:r>
        <w:rPr>
          <w:spacing w:val="-3"/>
        </w:rPr>
        <w:t>de </w:t>
      </w:r>
      <w:r>
        <w:rPr/>
        <w:t>la cuenca El</w:t>
      </w:r>
      <w:r>
        <w:rPr>
          <w:spacing w:val="-12"/>
        </w:rPr>
        <w:t> </w:t>
      </w:r>
      <w:r>
        <w:rPr/>
        <w:t>Tejocote</w:t>
      </w:r>
    </w:p>
    <w:p>
      <w:pPr>
        <w:pStyle w:val="BodyText"/>
        <w:rPr>
          <w:b/>
        </w:rPr>
      </w:pPr>
    </w:p>
    <w:p>
      <w:pPr>
        <w:pStyle w:val="BodyText"/>
        <w:spacing w:before="7"/>
        <w:rPr>
          <w:b/>
          <w:sz w:val="30"/>
        </w:rPr>
      </w:pPr>
    </w:p>
    <w:p>
      <w:pPr>
        <w:pStyle w:val="BodyText"/>
        <w:spacing w:line="360" w:lineRule="auto"/>
        <w:ind w:left="116" w:right="112"/>
        <w:jc w:val="both"/>
      </w:pPr>
      <w:r>
        <w:rPr>
          <w:spacing w:val="-3"/>
        </w:rPr>
        <w:t>La </w:t>
      </w:r>
      <w:r>
        <w:rPr/>
        <w:t>cuenca se localiza en el Estado de México a 99º54’37¨ E y 19º51’22¨ N, en los municipios</w:t>
      </w:r>
      <w:r>
        <w:rPr>
          <w:spacing w:val="-13"/>
        </w:rPr>
        <w:t> </w:t>
      </w:r>
      <w:r>
        <w:rPr/>
        <w:t>de</w:t>
      </w:r>
      <w:r>
        <w:rPr>
          <w:spacing w:val="-13"/>
        </w:rPr>
        <w:t> </w:t>
      </w:r>
      <w:r>
        <w:rPr/>
        <w:t>Acambay,</w:t>
      </w:r>
      <w:r>
        <w:rPr>
          <w:spacing w:val="-11"/>
        </w:rPr>
        <w:t> </w:t>
      </w:r>
      <w:r>
        <w:rPr/>
        <w:t>Atlacomulco</w:t>
      </w:r>
      <w:r>
        <w:rPr>
          <w:spacing w:val="-13"/>
        </w:rPr>
        <w:t> </w:t>
      </w:r>
      <w:r>
        <w:rPr/>
        <w:t>y</w:t>
      </w:r>
      <w:r>
        <w:rPr>
          <w:spacing w:val="-13"/>
        </w:rPr>
        <w:t> </w:t>
      </w:r>
      <w:r>
        <w:rPr/>
        <w:t>Temascalcingo,</w:t>
      </w:r>
      <w:r>
        <w:rPr>
          <w:spacing w:val="-11"/>
        </w:rPr>
        <w:t> </w:t>
      </w:r>
      <w:r>
        <w:rPr/>
        <w:t>sobre</w:t>
      </w:r>
      <w:r>
        <w:rPr>
          <w:spacing w:val="-13"/>
        </w:rPr>
        <w:t> </w:t>
      </w:r>
      <w:r>
        <w:rPr/>
        <w:t>el</w:t>
      </w:r>
      <w:r>
        <w:rPr>
          <w:spacing w:val="-13"/>
        </w:rPr>
        <w:t> </w:t>
      </w:r>
      <w:r>
        <w:rPr/>
        <w:t>río</w:t>
      </w:r>
      <w:r>
        <w:rPr>
          <w:spacing w:val="-17"/>
        </w:rPr>
        <w:t> </w:t>
      </w:r>
      <w:r>
        <w:rPr/>
        <w:t>Chiquito.</w:t>
      </w:r>
      <w:r>
        <w:rPr>
          <w:spacing w:val="-11"/>
        </w:rPr>
        <w:t> </w:t>
      </w:r>
      <w:r>
        <w:rPr/>
        <w:t>Está</w:t>
      </w:r>
      <w:r>
        <w:rPr>
          <w:spacing w:val="-17"/>
        </w:rPr>
        <w:t> </w:t>
      </w:r>
      <w:r>
        <w:rPr/>
        <w:t>aforada por</w:t>
      </w:r>
      <w:r>
        <w:rPr>
          <w:spacing w:val="-11"/>
        </w:rPr>
        <w:t> </w:t>
      </w:r>
      <w:r>
        <w:rPr/>
        <w:t>la</w:t>
      </w:r>
      <w:r>
        <w:rPr>
          <w:spacing w:val="-11"/>
        </w:rPr>
        <w:t> </w:t>
      </w:r>
      <w:r>
        <w:rPr/>
        <w:t>estación</w:t>
      </w:r>
      <w:r>
        <w:rPr>
          <w:spacing w:val="-11"/>
        </w:rPr>
        <w:t> </w:t>
      </w:r>
      <w:r>
        <w:rPr/>
        <w:t>hidrométrica</w:t>
      </w:r>
      <w:r>
        <w:rPr>
          <w:spacing w:val="-7"/>
        </w:rPr>
        <w:t> </w:t>
      </w:r>
      <w:r>
        <w:rPr/>
        <w:t>“El</w:t>
      </w:r>
      <w:r>
        <w:rPr>
          <w:spacing w:val="-11"/>
        </w:rPr>
        <w:t> </w:t>
      </w:r>
      <w:r>
        <w:rPr/>
        <w:t>Tejocote”</w:t>
      </w:r>
      <w:r>
        <w:rPr>
          <w:spacing w:val="-8"/>
        </w:rPr>
        <w:t> </w:t>
      </w:r>
      <w:r>
        <w:rPr/>
        <w:t>en</w:t>
      </w:r>
      <w:r>
        <w:rPr>
          <w:spacing w:val="-11"/>
        </w:rPr>
        <w:t> </w:t>
      </w:r>
      <w:r>
        <w:rPr/>
        <w:t>el</w:t>
      </w:r>
      <w:r>
        <w:rPr>
          <w:spacing w:val="-11"/>
        </w:rPr>
        <w:t> </w:t>
      </w:r>
      <w:r>
        <w:rPr/>
        <w:t>municipio</w:t>
      </w:r>
      <w:r>
        <w:rPr>
          <w:spacing w:val="-11"/>
        </w:rPr>
        <w:t> </w:t>
      </w:r>
      <w:r>
        <w:rPr/>
        <w:t>de</w:t>
      </w:r>
      <w:r>
        <w:rPr>
          <w:spacing w:val="-7"/>
        </w:rPr>
        <w:t> </w:t>
      </w:r>
      <w:r>
        <w:rPr/>
        <w:t>Atlacomulco</w:t>
      </w:r>
      <w:r>
        <w:rPr>
          <w:spacing w:val="-9"/>
        </w:rPr>
        <w:t> </w:t>
      </w:r>
      <w:r>
        <w:rPr/>
        <w:t>(ver</w:t>
      </w:r>
      <w:r>
        <w:rPr>
          <w:spacing w:val="-11"/>
        </w:rPr>
        <w:t> </w:t>
      </w:r>
      <w:r>
        <w:rPr/>
        <w:t>Figura</w:t>
      </w:r>
      <w:r>
        <w:rPr>
          <w:spacing w:val="-11"/>
        </w:rPr>
        <w:t> </w:t>
      </w:r>
      <w:r>
        <w:rPr/>
        <w:t>21).</w:t>
      </w:r>
    </w:p>
    <w:p>
      <w:pPr>
        <w:spacing w:after="0" w:line="360" w:lineRule="auto"/>
        <w:jc w:val="both"/>
        <w:sectPr>
          <w:pgSz w:w="12240" w:h="15840"/>
          <w:pgMar w:header="0" w:footer="1473" w:top="1360" w:bottom="1660" w:left="1300" w:right="1300"/>
        </w:sectPr>
      </w:pPr>
    </w:p>
    <w:p>
      <w:pPr>
        <w:pStyle w:val="BodyText"/>
        <w:spacing w:before="9"/>
        <w:rPr>
          <w:sz w:val="23"/>
        </w:rPr>
      </w:pPr>
    </w:p>
    <w:p>
      <w:pPr>
        <w:pStyle w:val="BodyText"/>
        <w:ind w:left="115"/>
        <w:rPr>
          <w:sz w:val="20"/>
        </w:rPr>
      </w:pPr>
      <w:r>
        <w:rPr>
          <w:sz w:val="20"/>
        </w:rPr>
        <w:drawing>
          <wp:inline distT="0" distB="0" distL="0" distR="0">
            <wp:extent cx="8739132" cy="5431536"/>
            <wp:effectExtent l="0" t="0" r="0" b="0"/>
            <wp:docPr id="15" name="image83.jpeg" descr=""/>
            <wp:cNvGraphicFramePr>
              <a:graphicFrameLocks noChangeAspect="1"/>
            </wp:cNvGraphicFramePr>
            <a:graphic>
              <a:graphicData uri="http://schemas.openxmlformats.org/drawingml/2006/picture">
                <pic:pic>
                  <pic:nvPicPr>
                    <pic:cNvPr id="16" name="image83.jpeg"/>
                    <pic:cNvPicPr/>
                  </pic:nvPicPr>
                  <pic:blipFill>
                    <a:blip r:embed="rId113" cstate="print"/>
                    <a:stretch>
                      <a:fillRect/>
                    </a:stretch>
                  </pic:blipFill>
                  <pic:spPr>
                    <a:xfrm>
                      <a:off x="0" y="0"/>
                      <a:ext cx="8739132" cy="5431536"/>
                    </a:xfrm>
                    <a:prstGeom prst="rect">
                      <a:avLst/>
                    </a:prstGeom>
                  </pic:spPr>
                </pic:pic>
              </a:graphicData>
            </a:graphic>
          </wp:inline>
        </w:drawing>
      </w:r>
      <w:r>
        <w:rPr>
          <w:sz w:val="20"/>
        </w:rPr>
      </w:r>
    </w:p>
    <w:p>
      <w:pPr>
        <w:pStyle w:val="Heading1"/>
        <w:spacing w:before="36"/>
        <w:ind w:left="5194" w:right="5719"/>
        <w:jc w:val="center"/>
      </w:pPr>
      <w:bookmarkStart w:name="_bookmark71" w:id="107"/>
      <w:bookmarkEnd w:id="107"/>
      <w:r>
        <w:rPr>
          <w:b w:val="0"/>
        </w:rPr>
      </w:r>
      <w:r>
        <w:rPr/>
        <w:t>Figura 21. Mapa Base.</w:t>
      </w:r>
    </w:p>
    <w:p>
      <w:pPr>
        <w:pStyle w:val="BodyText"/>
        <w:spacing w:before="1"/>
        <w:rPr>
          <w:b/>
          <w:sz w:val="14"/>
        </w:rPr>
      </w:pPr>
    </w:p>
    <w:p>
      <w:pPr>
        <w:spacing w:before="57"/>
        <w:ind w:left="0" w:right="635" w:firstLine="0"/>
        <w:jc w:val="right"/>
        <w:rPr>
          <w:rFonts w:ascii="Calibri"/>
          <w:sz w:val="22"/>
        </w:rPr>
      </w:pPr>
      <w:r>
        <w:rPr>
          <w:rFonts w:ascii="Calibri"/>
          <w:sz w:val="22"/>
        </w:rPr>
        <w:t>104</w:t>
      </w:r>
    </w:p>
    <w:p>
      <w:pPr>
        <w:spacing w:after="0"/>
        <w:jc w:val="right"/>
        <w:rPr>
          <w:rFonts w:ascii="Calibri"/>
          <w:sz w:val="22"/>
        </w:rPr>
        <w:sectPr>
          <w:footerReference w:type="default" r:id="rId112"/>
          <w:pgSz w:w="15840" w:h="12240" w:orient="landscape"/>
          <w:pgMar w:footer="0" w:header="0" w:top="1140" w:bottom="280" w:left="1020" w:right="780"/>
        </w:sectPr>
      </w:pPr>
    </w:p>
    <w:p>
      <w:pPr>
        <w:pStyle w:val="Heading1"/>
        <w:numPr>
          <w:ilvl w:val="1"/>
          <w:numId w:val="41"/>
        </w:numPr>
        <w:tabs>
          <w:tab w:pos="577" w:val="left" w:leader="none"/>
        </w:tabs>
        <w:spacing w:line="240" w:lineRule="auto" w:before="149" w:after="0"/>
        <w:ind w:left="576" w:right="0" w:hanging="460"/>
        <w:jc w:val="both"/>
      </w:pPr>
      <w:bookmarkStart w:name="_bookmark72" w:id="108"/>
      <w:bookmarkEnd w:id="108"/>
      <w:r>
        <w:rPr>
          <w:b w:val="0"/>
        </w:rPr>
      </w:r>
      <w:bookmarkStart w:name="_bookmark72" w:id="109"/>
      <w:bookmarkEnd w:id="109"/>
      <w:r>
        <w:rPr/>
        <w:t>Caracteri</w:t>
      </w:r>
      <w:r>
        <w:rPr/>
        <w:t>zación física </w:t>
      </w:r>
      <w:r>
        <w:rPr>
          <w:spacing w:val="-3"/>
        </w:rPr>
        <w:t>de </w:t>
      </w:r>
      <w:r>
        <w:rPr/>
        <w:t>la cuenca El</w:t>
      </w:r>
      <w:r>
        <w:rPr>
          <w:spacing w:val="-14"/>
        </w:rPr>
        <w:t> </w:t>
      </w:r>
      <w:r>
        <w:rPr/>
        <w:t>Tejocote</w:t>
      </w:r>
    </w:p>
    <w:p>
      <w:pPr>
        <w:pStyle w:val="BodyText"/>
        <w:spacing w:before="1"/>
        <w:rPr>
          <w:b/>
          <w:sz w:val="34"/>
        </w:rPr>
      </w:pPr>
    </w:p>
    <w:p>
      <w:pPr>
        <w:pStyle w:val="Heading1"/>
        <w:numPr>
          <w:ilvl w:val="2"/>
          <w:numId w:val="41"/>
        </w:numPr>
        <w:tabs>
          <w:tab w:pos="708" w:val="left" w:leader="none"/>
        </w:tabs>
        <w:spacing w:line="240" w:lineRule="auto" w:before="1" w:after="0"/>
        <w:ind w:left="707" w:right="0" w:hanging="591"/>
        <w:jc w:val="both"/>
      </w:pPr>
      <w:bookmarkStart w:name="_bookmark73" w:id="110"/>
      <w:bookmarkEnd w:id="110"/>
      <w:r>
        <w:rPr>
          <w:b w:val="0"/>
        </w:rPr>
      </w:r>
      <w:bookmarkStart w:name="_bookmark73" w:id="111"/>
      <w:bookmarkEnd w:id="111"/>
      <w:r>
        <w:rPr/>
        <w:t>Fisi</w:t>
      </w:r>
      <w:r>
        <w:rPr/>
        <w:t>ografía</w:t>
      </w:r>
    </w:p>
    <w:p>
      <w:pPr>
        <w:pStyle w:val="BodyText"/>
        <w:rPr>
          <w:b/>
        </w:rPr>
      </w:pPr>
    </w:p>
    <w:p>
      <w:pPr>
        <w:pStyle w:val="BodyText"/>
        <w:spacing w:before="10"/>
        <w:rPr>
          <w:b/>
          <w:sz w:val="21"/>
        </w:rPr>
      </w:pPr>
    </w:p>
    <w:p>
      <w:pPr>
        <w:pStyle w:val="BodyText"/>
        <w:spacing w:line="360" w:lineRule="auto"/>
        <w:ind w:left="116" w:right="116"/>
        <w:jc w:val="both"/>
      </w:pPr>
      <w:r>
        <w:rPr>
          <w:spacing w:val="-3"/>
        </w:rPr>
        <w:t>La</w:t>
      </w:r>
      <w:r>
        <w:rPr>
          <w:spacing w:val="-10"/>
        </w:rPr>
        <w:t> </w:t>
      </w:r>
      <w:r>
        <w:rPr/>
        <w:t>cuenca</w:t>
      </w:r>
      <w:r>
        <w:rPr>
          <w:spacing w:val="-9"/>
        </w:rPr>
        <w:t> </w:t>
      </w:r>
      <w:r>
        <w:rPr/>
        <w:t>abarca</w:t>
      </w:r>
      <w:r>
        <w:rPr>
          <w:spacing w:val="-9"/>
        </w:rPr>
        <w:t> </w:t>
      </w:r>
      <w:r>
        <w:rPr/>
        <w:t>una</w:t>
      </w:r>
      <w:r>
        <w:rPr>
          <w:spacing w:val="-10"/>
        </w:rPr>
        <w:t> </w:t>
      </w:r>
      <w:r>
        <w:rPr/>
        <w:t>superficie</w:t>
      </w:r>
      <w:r>
        <w:rPr>
          <w:spacing w:val="-10"/>
        </w:rPr>
        <w:t> </w:t>
      </w:r>
      <w:r>
        <w:rPr/>
        <w:t>de</w:t>
      </w:r>
      <w:r>
        <w:rPr>
          <w:spacing w:val="-10"/>
        </w:rPr>
        <w:t> </w:t>
      </w:r>
      <w:r>
        <w:rPr/>
        <w:t>17,731</w:t>
      </w:r>
      <w:r>
        <w:rPr>
          <w:spacing w:val="-10"/>
        </w:rPr>
        <w:t> </w:t>
      </w:r>
      <w:r>
        <w:rPr/>
        <w:t>ha,</w:t>
      </w:r>
      <w:r>
        <w:rPr>
          <w:spacing w:val="-8"/>
        </w:rPr>
        <w:t> </w:t>
      </w:r>
      <w:r>
        <w:rPr/>
        <w:t>con</w:t>
      </w:r>
      <w:r>
        <w:rPr>
          <w:spacing w:val="-10"/>
        </w:rPr>
        <w:t> </w:t>
      </w:r>
      <w:r>
        <w:rPr/>
        <w:t>una</w:t>
      </w:r>
      <w:r>
        <w:rPr>
          <w:spacing w:val="-7"/>
        </w:rPr>
        <w:t> </w:t>
      </w:r>
      <w:r>
        <w:rPr/>
        <w:t>altitud</w:t>
      </w:r>
      <w:r>
        <w:rPr>
          <w:spacing w:val="-10"/>
        </w:rPr>
        <w:t> </w:t>
      </w:r>
      <w:r>
        <w:rPr/>
        <w:t>promedio</w:t>
      </w:r>
      <w:r>
        <w:rPr>
          <w:spacing w:val="-10"/>
        </w:rPr>
        <w:t> </w:t>
      </w:r>
      <w:r>
        <w:rPr/>
        <w:t>de</w:t>
      </w:r>
      <w:r>
        <w:rPr>
          <w:spacing w:val="-10"/>
        </w:rPr>
        <w:t> </w:t>
      </w:r>
      <w:r>
        <w:rPr/>
        <w:t>2,615.81</w:t>
      </w:r>
      <w:r>
        <w:rPr>
          <w:spacing w:val="-10"/>
        </w:rPr>
        <w:t> </w:t>
      </w:r>
      <w:r>
        <w:rPr/>
        <w:t>msnm, forma parte del altiplano central y se ubica en las cercanías del parteaguas continental, la parte central de la cuenca es considerada como un llano aislado que en algún tiempo fue una laguna natural (Valle de Acambay) (Torres,</w:t>
      </w:r>
      <w:r>
        <w:rPr>
          <w:spacing w:val="-5"/>
        </w:rPr>
        <w:t> </w:t>
      </w:r>
      <w:r>
        <w:rPr/>
        <w:t>2000).</w:t>
      </w:r>
    </w:p>
    <w:p>
      <w:pPr>
        <w:pStyle w:val="BodyText"/>
        <w:spacing w:before="6"/>
        <w:rPr>
          <w:sz w:val="21"/>
        </w:rPr>
      </w:pPr>
    </w:p>
    <w:p>
      <w:pPr>
        <w:pStyle w:val="Heading1"/>
        <w:numPr>
          <w:ilvl w:val="2"/>
          <w:numId w:val="41"/>
        </w:numPr>
        <w:tabs>
          <w:tab w:pos="708" w:val="left" w:leader="none"/>
        </w:tabs>
        <w:spacing w:line="240" w:lineRule="auto" w:before="0" w:after="0"/>
        <w:ind w:left="707" w:right="0" w:hanging="591"/>
        <w:jc w:val="both"/>
      </w:pPr>
      <w:bookmarkStart w:name="_bookmark74" w:id="112"/>
      <w:bookmarkEnd w:id="112"/>
      <w:r>
        <w:rPr>
          <w:b w:val="0"/>
        </w:rPr>
      </w:r>
      <w:bookmarkStart w:name="_bookmark74" w:id="113"/>
      <w:bookmarkEnd w:id="113"/>
      <w:r>
        <w:rPr/>
        <w:t>Hi</w:t>
      </w:r>
      <w:r>
        <w:rPr/>
        <w:t>drología</w:t>
      </w:r>
    </w:p>
    <w:p>
      <w:pPr>
        <w:pStyle w:val="BodyText"/>
        <w:rPr>
          <w:b/>
        </w:rPr>
      </w:pPr>
    </w:p>
    <w:p>
      <w:pPr>
        <w:pStyle w:val="BodyText"/>
        <w:spacing w:before="10"/>
        <w:rPr>
          <w:b/>
          <w:sz w:val="21"/>
        </w:rPr>
      </w:pPr>
    </w:p>
    <w:p>
      <w:pPr>
        <w:pStyle w:val="BodyText"/>
        <w:spacing w:line="360" w:lineRule="auto"/>
        <w:ind w:left="116" w:right="110"/>
        <w:jc w:val="both"/>
      </w:pPr>
      <w:r>
        <w:rPr/>
        <w:t>El INEGI, (2010) reporta información en la carta topográfica E14A17 donde se ubica </w:t>
      </w:r>
      <w:r>
        <w:rPr>
          <w:spacing w:val="4"/>
        </w:rPr>
        <w:t>la </w:t>
      </w:r>
      <w:r>
        <w:rPr/>
        <w:t>cuenca,</w:t>
      </w:r>
      <w:r>
        <w:rPr>
          <w:spacing w:val="-13"/>
        </w:rPr>
        <w:t> </w:t>
      </w:r>
      <w:r>
        <w:rPr/>
        <w:t>acerca</w:t>
      </w:r>
      <w:r>
        <w:rPr>
          <w:spacing w:val="-15"/>
        </w:rPr>
        <w:t> </w:t>
      </w:r>
      <w:r>
        <w:rPr/>
        <w:t>de</w:t>
      </w:r>
      <w:r>
        <w:rPr>
          <w:spacing w:val="-16"/>
        </w:rPr>
        <w:t> </w:t>
      </w:r>
      <w:r>
        <w:rPr/>
        <w:t>un</w:t>
      </w:r>
      <w:r>
        <w:rPr>
          <w:spacing w:val="-16"/>
        </w:rPr>
        <w:t> </w:t>
      </w:r>
      <w:r>
        <w:rPr/>
        <w:t>total</w:t>
      </w:r>
      <w:r>
        <w:rPr>
          <w:spacing w:val="-16"/>
        </w:rPr>
        <w:t> </w:t>
      </w:r>
      <w:r>
        <w:rPr/>
        <w:t>de</w:t>
      </w:r>
      <w:r>
        <w:rPr>
          <w:spacing w:val="-16"/>
        </w:rPr>
        <w:t> </w:t>
      </w:r>
      <w:r>
        <w:rPr/>
        <w:t>17</w:t>
      </w:r>
      <w:r>
        <w:rPr>
          <w:spacing w:val="-16"/>
        </w:rPr>
        <w:t> </w:t>
      </w:r>
      <w:r>
        <w:rPr/>
        <w:t>manantiales,</w:t>
      </w:r>
      <w:r>
        <w:rPr>
          <w:spacing w:val="-14"/>
        </w:rPr>
        <w:t> </w:t>
      </w:r>
      <w:r>
        <w:rPr/>
        <w:t>31</w:t>
      </w:r>
      <w:r>
        <w:rPr>
          <w:spacing w:val="-16"/>
        </w:rPr>
        <w:t> </w:t>
      </w:r>
      <w:r>
        <w:rPr/>
        <w:t>tanques</w:t>
      </w:r>
      <w:r>
        <w:rPr>
          <w:spacing w:val="-16"/>
        </w:rPr>
        <w:t> </w:t>
      </w:r>
      <w:r>
        <w:rPr/>
        <w:t>de</w:t>
      </w:r>
      <w:r>
        <w:rPr>
          <w:spacing w:val="-16"/>
        </w:rPr>
        <w:t> </w:t>
      </w:r>
      <w:r>
        <w:rPr/>
        <w:t>agua,</w:t>
      </w:r>
      <w:r>
        <w:rPr>
          <w:spacing w:val="-12"/>
        </w:rPr>
        <w:t> </w:t>
      </w:r>
      <w:r>
        <w:rPr/>
        <w:t>6</w:t>
      </w:r>
      <w:r>
        <w:rPr>
          <w:spacing w:val="-16"/>
        </w:rPr>
        <w:t> </w:t>
      </w:r>
      <w:r>
        <w:rPr/>
        <w:t>acueductos</w:t>
      </w:r>
      <w:r>
        <w:rPr>
          <w:spacing w:val="-15"/>
        </w:rPr>
        <w:t> </w:t>
      </w:r>
      <w:r>
        <w:rPr/>
        <w:t>subterráneos en operación, 148 bordos que cubren casi </w:t>
      </w:r>
      <w:r>
        <w:rPr>
          <w:spacing w:val="-3"/>
        </w:rPr>
        <w:t>en </w:t>
      </w:r>
      <w:r>
        <w:rPr/>
        <w:t>su totalidad a los 152 cuerpos de agua existentes, 56 canales y 523 corrientes de agua de varios ordenes de tipo intermitente. En conjunto</w:t>
      </w:r>
      <w:r>
        <w:rPr>
          <w:spacing w:val="-7"/>
        </w:rPr>
        <w:t> </w:t>
      </w:r>
      <w:r>
        <w:rPr/>
        <w:t>ofrecen</w:t>
      </w:r>
      <w:r>
        <w:rPr>
          <w:spacing w:val="-7"/>
        </w:rPr>
        <w:t> </w:t>
      </w:r>
      <w:r>
        <w:rPr/>
        <w:t>una</w:t>
      </w:r>
      <w:r>
        <w:rPr>
          <w:spacing w:val="-7"/>
        </w:rPr>
        <w:t> </w:t>
      </w:r>
      <w:r>
        <w:rPr/>
        <w:t>capacidad</w:t>
      </w:r>
      <w:r>
        <w:rPr>
          <w:spacing w:val="-7"/>
        </w:rPr>
        <w:t> </w:t>
      </w:r>
      <w:r>
        <w:rPr/>
        <w:t>aproximada</w:t>
      </w:r>
      <w:r>
        <w:rPr>
          <w:spacing w:val="-7"/>
        </w:rPr>
        <w:t> </w:t>
      </w:r>
      <w:r>
        <w:rPr/>
        <w:t>de</w:t>
      </w:r>
      <w:r>
        <w:rPr>
          <w:spacing w:val="-7"/>
        </w:rPr>
        <w:t> </w:t>
      </w:r>
      <w:r>
        <w:rPr/>
        <w:t>7.56</w:t>
      </w:r>
      <w:r>
        <w:rPr>
          <w:spacing w:val="-7"/>
        </w:rPr>
        <w:t> </w:t>
      </w:r>
      <w:r>
        <w:rPr/>
        <w:t>millones</w:t>
      </w:r>
      <w:r>
        <w:rPr>
          <w:spacing w:val="-7"/>
        </w:rPr>
        <w:t> </w:t>
      </w:r>
      <w:r>
        <w:rPr/>
        <w:t>de</w:t>
      </w:r>
      <w:r>
        <w:rPr>
          <w:spacing w:val="-7"/>
        </w:rPr>
        <w:t> </w:t>
      </w:r>
      <w:r>
        <w:rPr/>
        <w:t>m</w:t>
      </w:r>
      <w:r>
        <w:rPr>
          <w:position w:val="9"/>
          <w:sz w:val="17"/>
        </w:rPr>
        <w:t>3</w:t>
      </w:r>
      <w:r>
        <w:rPr/>
        <w:t>,</w:t>
      </w:r>
      <w:r>
        <w:rPr>
          <w:spacing w:val="-5"/>
        </w:rPr>
        <w:t> </w:t>
      </w:r>
      <w:r>
        <w:rPr/>
        <w:t>que</w:t>
      </w:r>
      <w:r>
        <w:rPr>
          <w:spacing w:val="-11"/>
        </w:rPr>
        <w:t> </w:t>
      </w:r>
      <w:r>
        <w:rPr/>
        <w:t>se</w:t>
      </w:r>
      <w:r>
        <w:rPr>
          <w:spacing w:val="-7"/>
        </w:rPr>
        <w:t> </w:t>
      </w:r>
      <w:r>
        <w:rPr/>
        <w:t>usan</w:t>
      </w:r>
      <w:r>
        <w:rPr>
          <w:spacing w:val="-11"/>
        </w:rPr>
        <w:t> </w:t>
      </w:r>
      <w:r>
        <w:rPr/>
        <w:t>para</w:t>
      </w:r>
      <w:r>
        <w:rPr>
          <w:spacing w:val="-7"/>
        </w:rPr>
        <w:t> </w:t>
      </w:r>
      <w:r>
        <w:rPr/>
        <w:t>riego agrícola y de</w:t>
      </w:r>
      <w:r>
        <w:rPr>
          <w:spacing w:val="-7"/>
        </w:rPr>
        <w:t> </w:t>
      </w:r>
      <w:r>
        <w:rPr/>
        <w:t>agostadero.</w:t>
      </w:r>
    </w:p>
    <w:p>
      <w:pPr>
        <w:pStyle w:val="BodyText"/>
        <w:spacing w:before="7"/>
      </w:pPr>
    </w:p>
    <w:p>
      <w:pPr>
        <w:pStyle w:val="BodyText"/>
        <w:spacing w:line="357" w:lineRule="auto"/>
        <w:ind w:left="116" w:right="117"/>
        <w:jc w:val="both"/>
      </w:pPr>
      <w:r>
        <w:rPr/>
        <w:t>Los escurrimientos en la parte alta, se concentran en forma radial al centro del valle y los producidos en la parte baja arriban directamente en la salida de la cuenca, para alcanzar finalmente su descarga al río Lerma.</w:t>
      </w:r>
    </w:p>
    <w:p>
      <w:pPr>
        <w:pStyle w:val="BodyText"/>
      </w:pPr>
    </w:p>
    <w:p>
      <w:pPr>
        <w:pStyle w:val="BodyText"/>
        <w:spacing w:line="360" w:lineRule="auto" w:before="159"/>
        <w:ind w:left="116" w:right="115"/>
        <w:jc w:val="both"/>
      </w:pPr>
      <w:r>
        <w:rPr/>
        <w:t>El</w:t>
      </w:r>
      <w:r>
        <w:rPr>
          <w:spacing w:val="-11"/>
        </w:rPr>
        <w:t> </w:t>
      </w:r>
      <w:r>
        <w:rPr/>
        <w:t>Municipio</w:t>
      </w:r>
      <w:r>
        <w:rPr>
          <w:spacing w:val="-11"/>
        </w:rPr>
        <w:t> </w:t>
      </w:r>
      <w:r>
        <w:rPr/>
        <w:t>de</w:t>
      </w:r>
      <w:r>
        <w:rPr>
          <w:spacing w:val="-11"/>
        </w:rPr>
        <w:t> </w:t>
      </w:r>
      <w:r>
        <w:rPr/>
        <w:t>Acambay</w:t>
      </w:r>
      <w:r>
        <w:rPr>
          <w:spacing w:val="-11"/>
        </w:rPr>
        <w:t> </w:t>
      </w:r>
      <w:r>
        <w:rPr/>
        <w:t>forma</w:t>
      </w:r>
      <w:r>
        <w:rPr>
          <w:spacing w:val="-11"/>
        </w:rPr>
        <w:t> </w:t>
      </w:r>
      <w:r>
        <w:rPr/>
        <w:t>parte</w:t>
      </w:r>
      <w:r>
        <w:rPr>
          <w:spacing w:val="-11"/>
        </w:rPr>
        <w:t> </w:t>
      </w:r>
      <w:r>
        <w:rPr/>
        <w:t>de</w:t>
      </w:r>
      <w:r>
        <w:rPr>
          <w:spacing w:val="-11"/>
        </w:rPr>
        <w:t> </w:t>
      </w:r>
      <w:r>
        <w:rPr/>
        <w:t>dos</w:t>
      </w:r>
      <w:r>
        <w:rPr>
          <w:spacing w:val="-11"/>
        </w:rPr>
        <w:t> </w:t>
      </w:r>
      <w:r>
        <w:rPr/>
        <w:t>Regiones</w:t>
      </w:r>
      <w:r>
        <w:rPr>
          <w:spacing w:val="-11"/>
        </w:rPr>
        <w:t> </w:t>
      </w:r>
      <w:r>
        <w:rPr/>
        <w:t>Hidrológicas,</w:t>
      </w:r>
      <w:r>
        <w:rPr>
          <w:spacing w:val="-9"/>
        </w:rPr>
        <w:t> </w:t>
      </w:r>
      <w:r>
        <w:rPr/>
        <w:t>al</w:t>
      </w:r>
      <w:r>
        <w:rPr>
          <w:spacing w:val="-11"/>
        </w:rPr>
        <w:t> </w:t>
      </w:r>
      <w:r>
        <w:rPr/>
        <w:t>suroeste</w:t>
      </w:r>
      <w:r>
        <w:rPr>
          <w:spacing w:val="-11"/>
        </w:rPr>
        <w:t> </w:t>
      </w:r>
      <w:r>
        <w:rPr/>
        <w:t>la</w:t>
      </w:r>
      <w:r>
        <w:rPr>
          <w:spacing w:val="-11"/>
        </w:rPr>
        <w:t> </w:t>
      </w:r>
      <w:r>
        <w:rPr/>
        <w:t>Cuenca del Río Lerma-Toluca (con las subcuencas Río Otzolotepec-Atlacomulco y Atlacomulco- Paso</w:t>
      </w:r>
      <w:r>
        <w:rPr>
          <w:spacing w:val="-6"/>
        </w:rPr>
        <w:t> </w:t>
      </w:r>
      <w:r>
        <w:rPr/>
        <w:t>de</w:t>
      </w:r>
      <w:r>
        <w:rPr>
          <w:spacing w:val="-6"/>
        </w:rPr>
        <w:t> </w:t>
      </w:r>
      <w:r>
        <w:rPr/>
        <w:t>Ovejas);</w:t>
      </w:r>
      <w:r>
        <w:rPr>
          <w:spacing w:val="-6"/>
        </w:rPr>
        <w:t> </w:t>
      </w:r>
      <w:r>
        <w:rPr/>
        <w:t>al</w:t>
      </w:r>
      <w:r>
        <w:rPr>
          <w:spacing w:val="-11"/>
        </w:rPr>
        <w:t> </w:t>
      </w:r>
      <w:r>
        <w:rPr/>
        <w:t>noreste</w:t>
      </w:r>
      <w:r>
        <w:rPr>
          <w:spacing w:val="-6"/>
        </w:rPr>
        <w:t> </w:t>
      </w:r>
      <w:r>
        <w:rPr/>
        <w:t>la</w:t>
      </w:r>
      <w:r>
        <w:rPr>
          <w:spacing w:val="-11"/>
        </w:rPr>
        <w:t> </w:t>
      </w:r>
      <w:r>
        <w:rPr/>
        <w:t>Cuenca</w:t>
      </w:r>
      <w:r>
        <w:rPr>
          <w:spacing w:val="-6"/>
        </w:rPr>
        <w:t> </w:t>
      </w:r>
      <w:r>
        <w:rPr/>
        <w:t>del</w:t>
      </w:r>
      <w:r>
        <w:rPr>
          <w:spacing w:val="-11"/>
        </w:rPr>
        <w:t> </w:t>
      </w:r>
      <w:r>
        <w:rPr/>
        <w:t>Río</w:t>
      </w:r>
      <w:r>
        <w:rPr>
          <w:spacing w:val="-16"/>
        </w:rPr>
        <w:t> </w:t>
      </w:r>
      <w:r>
        <w:rPr/>
        <w:t>Moctezuma</w:t>
      </w:r>
      <w:r>
        <w:rPr>
          <w:spacing w:val="-6"/>
        </w:rPr>
        <w:t> </w:t>
      </w:r>
      <w:r>
        <w:rPr/>
        <w:t>(subcuencas</w:t>
      </w:r>
      <w:r>
        <w:rPr>
          <w:spacing w:val="-6"/>
        </w:rPr>
        <w:t> </w:t>
      </w:r>
      <w:r>
        <w:rPr/>
        <w:t>Río</w:t>
      </w:r>
      <w:r>
        <w:rPr>
          <w:spacing w:val="-6"/>
        </w:rPr>
        <w:t> </w:t>
      </w:r>
      <w:r>
        <w:rPr/>
        <w:t>Prieto</w:t>
      </w:r>
      <w:r>
        <w:rPr>
          <w:spacing w:val="-11"/>
        </w:rPr>
        <w:t> </w:t>
      </w:r>
      <w:r>
        <w:rPr/>
        <w:t>y</w:t>
      </w:r>
      <w:r>
        <w:rPr>
          <w:spacing w:val="-6"/>
        </w:rPr>
        <w:t> </w:t>
      </w:r>
      <w:r>
        <w:rPr/>
        <w:t>Arroyo Zarco). Las principales corrientes permanentes del Municipio son los ríos Las Juntas, San Francisco Shaxní, El Agostadero, San Juan y el Juandó. En la porción suroeste se localiza el Río </w:t>
      </w:r>
      <w:r>
        <w:rPr>
          <w:spacing w:val="-3"/>
        </w:rPr>
        <w:t>La  </w:t>
      </w:r>
      <w:r>
        <w:rPr/>
        <w:t>Laguna,  ahora con características de  canal,  así como pequeños arroyos:   </w:t>
      </w:r>
      <w:r>
        <w:rPr>
          <w:spacing w:val="47"/>
        </w:rPr>
        <w:t> </w:t>
      </w:r>
      <w:r>
        <w:rPr/>
        <w:t>San</w:t>
      </w:r>
    </w:p>
    <w:p>
      <w:pPr>
        <w:spacing w:after="0" w:line="360" w:lineRule="auto"/>
        <w:jc w:val="both"/>
        <w:sectPr>
          <w:footerReference w:type="default" r:id="rId114"/>
          <w:pgSz w:w="12240" w:h="15840"/>
          <w:pgMar w:footer="1473" w:header="0" w:top="1500" w:bottom="1660" w:left="1300" w:right="1300"/>
          <w:pgNumType w:start="105"/>
        </w:sectPr>
      </w:pPr>
    </w:p>
    <w:p>
      <w:pPr>
        <w:pStyle w:val="BodyText"/>
        <w:spacing w:line="362" w:lineRule="auto" w:before="49"/>
        <w:ind w:left="116" w:right="118"/>
      </w:pPr>
      <w:r>
        <w:rPr/>
        <w:t>Francisco Shaxní, Puentecillas, Tixmadejé, Camposanto, Pathé, los cuales se unen para alimentar el caudal del Río Lerma (ver Figura 22).</w:t>
      </w:r>
    </w:p>
    <w:p>
      <w:pPr>
        <w:spacing w:after="0" w:line="362" w:lineRule="auto"/>
        <w:sectPr>
          <w:pgSz w:w="12240" w:h="15840"/>
          <w:pgMar w:header="0" w:footer="1473" w:top="1360" w:bottom="1660" w:left="1300" w:right="1300"/>
        </w:sectPr>
      </w:pPr>
    </w:p>
    <w:p>
      <w:pPr>
        <w:pStyle w:val="BodyText"/>
        <w:spacing w:before="9"/>
        <w:rPr>
          <w:sz w:val="23"/>
        </w:rPr>
      </w:pPr>
    </w:p>
    <w:p>
      <w:pPr>
        <w:pStyle w:val="BodyText"/>
        <w:ind w:left="115"/>
        <w:rPr>
          <w:sz w:val="20"/>
        </w:rPr>
      </w:pPr>
      <w:r>
        <w:rPr>
          <w:sz w:val="20"/>
        </w:rPr>
        <w:drawing>
          <wp:inline distT="0" distB="0" distL="0" distR="0">
            <wp:extent cx="8729665" cy="5431536"/>
            <wp:effectExtent l="0" t="0" r="0" b="0"/>
            <wp:docPr id="17" name="image84.jpeg" descr=""/>
            <wp:cNvGraphicFramePr>
              <a:graphicFrameLocks noChangeAspect="1"/>
            </wp:cNvGraphicFramePr>
            <a:graphic>
              <a:graphicData uri="http://schemas.openxmlformats.org/drawingml/2006/picture">
                <pic:pic>
                  <pic:nvPicPr>
                    <pic:cNvPr id="18" name="image84.jpeg"/>
                    <pic:cNvPicPr/>
                  </pic:nvPicPr>
                  <pic:blipFill>
                    <a:blip r:embed="rId116" cstate="print"/>
                    <a:stretch>
                      <a:fillRect/>
                    </a:stretch>
                  </pic:blipFill>
                  <pic:spPr>
                    <a:xfrm>
                      <a:off x="0" y="0"/>
                      <a:ext cx="8729665" cy="5431536"/>
                    </a:xfrm>
                    <a:prstGeom prst="rect">
                      <a:avLst/>
                    </a:prstGeom>
                  </pic:spPr>
                </pic:pic>
              </a:graphicData>
            </a:graphic>
          </wp:inline>
        </w:drawing>
      </w:r>
      <w:r>
        <w:rPr>
          <w:sz w:val="20"/>
        </w:rPr>
      </w:r>
    </w:p>
    <w:p>
      <w:pPr>
        <w:pStyle w:val="BodyText"/>
        <w:spacing w:before="4"/>
        <w:rPr>
          <w:sz w:val="10"/>
        </w:rPr>
      </w:pPr>
    </w:p>
    <w:p>
      <w:pPr>
        <w:spacing w:after="0"/>
        <w:rPr>
          <w:sz w:val="10"/>
        </w:rPr>
        <w:sectPr>
          <w:footerReference w:type="default" r:id="rId115"/>
          <w:pgSz w:w="15840" w:h="12240" w:orient="landscape"/>
          <w:pgMar w:footer="0" w:header="0" w:top="1140" w:bottom="280" w:left="1020" w:right="780"/>
        </w:sectPr>
      </w:pPr>
    </w:p>
    <w:p>
      <w:pPr>
        <w:pStyle w:val="Heading1"/>
        <w:spacing w:before="66"/>
        <w:ind w:left="5111" w:right="-14"/>
        <w:rPr>
          <w:b w:val="0"/>
          <w:i/>
        </w:rPr>
      </w:pPr>
      <w:bookmarkStart w:name="_bookmark75" w:id="114"/>
      <w:bookmarkEnd w:id="114"/>
      <w:r>
        <w:rPr>
          <w:b w:val="0"/>
        </w:rPr>
      </w:r>
      <w:r>
        <w:rPr/>
        <w:t>Figura 22. Mapa</w:t>
      </w:r>
      <w:r>
        <w:rPr>
          <w:spacing w:val="-10"/>
        </w:rPr>
        <w:t> </w:t>
      </w:r>
      <w:r>
        <w:rPr/>
        <w:t>Hidrológico</w:t>
      </w:r>
      <w:r>
        <w:rPr>
          <w:b w:val="0"/>
          <w:i/>
        </w:rPr>
        <w:t>.</w:t>
      </w:r>
    </w:p>
    <w:p>
      <w:pPr>
        <w:pStyle w:val="BodyText"/>
        <w:rPr>
          <w:i/>
          <w:sz w:val="22"/>
        </w:rPr>
      </w:pPr>
      <w:r>
        <w:rPr/>
        <w:br w:type="column"/>
      </w:r>
      <w:r>
        <w:rPr>
          <w:i/>
          <w:sz w:val="22"/>
        </w:rPr>
      </w:r>
    </w:p>
    <w:p>
      <w:pPr>
        <w:spacing w:before="183"/>
        <w:ind w:left="0" w:right="635" w:firstLine="0"/>
        <w:jc w:val="right"/>
        <w:rPr>
          <w:rFonts w:ascii="Calibri"/>
          <w:sz w:val="22"/>
        </w:rPr>
      </w:pPr>
      <w:r>
        <w:rPr>
          <w:rFonts w:ascii="Calibri"/>
          <w:sz w:val="22"/>
        </w:rPr>
        <w:t>107</w:t>
      </w:r>
    </w:p>
    <w:p>
      <w:pPr>
        <w:spacing w:after="0"/>
        <w:jc w:val="right"/>
        <w:rPr>
          <w:rFonts w:ascii="Calibri"/>
          <w:sz w:val="22"/>
        </w:rPr>
        <w:sectPr>
          <w:type w:val="continuous"/>
          <w:pgSz w:w="15840" w:h="12240" w:orient="landscape"/>
          <w:pgMar w:top="1500" w:bottom="280" w:left="1020" w:right="780"/>
          <w:cols w:num="2" w:equalWidth="0">
            <w:col w:w="8408" w:space="40"/>
            <w:col w:w="5592"/>
          </w:cols>
        </w:sectPr>
      </w:pPr>
    </w:p>
    <w:p>
      <w:pPr>
        <w:pStyle w:val="BodyText"/>
        <w:spacing w:line="360" w:lineRule="auto" w:before="49"/>
        <w:ind w:left="116" w:right="111"/>
        <w:jc w:val="both"/>
      </w:pPr>
      <w:r>
        <w:rPr/>
        <w:t>Para realizar el presente estudio, se retomarán datos de la estación hidrométrica “El Tejocote”,</w:t>
      </w:r>
      <w:r>
        <w:rPr>
          <w:spacing w:val="-3"/>
        </w:rPr>
        <w:t> </w:t>
      </w:r>
      <w:r>
        <w:rPr/>
        <w:t>la</w:t>
      </w:r>
      <w:r>
        <w:rPr>
          <w:spacing w:val="-5"/>
        </w:rPr>
        <w:t> </w:t>
      </w:r>
      <w:r>
        <w:rPr/>
        <w:t>cual</w:t>
      </w:r>
      <w:r>
        <w:rPr>
          <w:spacing w:val="-4"/>
        </w:rPr>
        <w:t> </w:t>
      </w:r>
      <w:r>
        <w:rPr/>
        <w:t>comenzó</w:t>
      </w:r>
      <w:r>
        <w:rPr>
          <w:spacing w:val="-5"/>
        </w:rPr>
        <w:t> </w:t>
      </w:r>
      <w:r>
        <w:rPr/>
        <w:t>a</w:t>
      </w:r>
      <w:r>
        <w:rPr>
          <w:spacing w:val="-5"/>
        </w:rPr>
        <w:t> </w:t>
      </w:r>
      <w:r>
        <w:rPr/>
        <w:t>operar</w:t>
      </w:r>
      <w:r>
        <w:rPr>
          <w:spacing w:val="-5"/>
        </w:rPr>
        <w:t> </w:t>
      </w:r>
      <w:r>
        <w:rPr/>
        <w:t>el</w:t>
      </w:r>
      <w:r>
        <w:rPr>
          <w:spacing w:val="-5"/>
        </w:rPr>
        <w:t> </w:t>
      </w:r>
      <w:r>
        <w:rPr/>
        <w:t>15</w:t>
      </w:r>
      <w:r>
        <w:rPr>
          <w:spacing w:val="-5"/>
        </w:rPr>
        <w:t> </w:t>
      </w:r>
      <w:r>
        <w:rPr/>
        <w:t>de</w:t>
      </w:r>
      <w:r>
        <w:rPr>
          <w:spacing w:val="-5"/>
        </w:rPr>
        <w:t> </w:t>
      </w:r>
      <w:r>
        <w:rPr/>
        <w:t>julio</w:t>
      </w:r>
      <w:r>
        <w:rPr>
          <w:spacing w:val="-5"/>
        </w:rPr>
        <w:t> </w:t>
      </w:r>
      <w:r>
        <w:rPr/>
        <w:t>de</w:t>
      </w:r>
      <w:r>
        <w:rPr>
          <w:spacing w:val="-5"/>
        </w:rPr>
        <w:t> </w:t>
      </w:r>
      <w:r>
        <w:rPr/>
        <w:t>1962,</w:t>
      </w:r>
      <w:r>
        <w:rPr>
          <w:spacing w:val="-3"/>
        </w:rPr>
        <w:t> </w:t>
      </w:r>
      <w:r>
        <w:rPr/>
        <w:t>la</w:t>
      </w:r>
      <w:r>
        <w:rPr>
          <w:spacing w:val="-5"/>
        </w:rPr>
        <w:t> </w:t>
      </w:r>
      <w:r>
        <w:rPr/>
        <w:t>corriente</w:t>
      </w:r>
      <w:r>
        <w:rPr>
          <w:spacing w:val="-5"/>
        </w:rPr>
        <w:t> </w:t>
      </w:r>
      <w:r>
        <w:rPr/>
        <w:t>que</w:t>
      </w:r>
      <w:r>
        <w:rPr>
          <w:spacing w:val="-5"/>
        </w:rPr>
        <w:t> </w:t>
      </w:r>
      <w:r>
        <w:rPr/>
        <w:t>pasa</w:t>
      </w:r>
      <w:r>
        <w:rPr>
          <w:spacing w:val="-10"/>
        </w:rPr>
        <w:t> </w:t>
      </w:r>
      <w:r>
        <w:rPr/>
        <w:t>por</w:t>
      </w:r>
      <w:r>
        <w:rPr>
          <w:spacing w:val="-5"/>
        </w:rPr>
        <w:t> </w:t>
      </w:r>
      <w:r>
        <w:rPr/>
        <w:t>ella</w:t>
      </w:r>
      <w:r>
        <w:rPr>
          <w:spacing w:val="-5"/>
        </w:rPr>
        <w:t> </w:t>
      </w:r>
      <w:r>
        <w:rPr/>
        <w:t>se denomina río Chiquito, el cual nace al noreste en el valle de Acambay y es un afluente del río</w:t>
      </w:r>
      <w:r>
        <w:rPr>
          <w:spacing w:val="-12"/>
        </w:rPr>
        <w:t> </w:t>
      </w:r>
      <w:r>
        <w:rPr/>
        <w:t>Lerma.</w:t>
      </w:r>
      <w:r>
        <w:rPr>
          <w:spacing w:val="-10"/>
        </w:rPr>
        <w:t> </w:t>
      </w:r>
      <w:r>
        <w:rPr/>
        <w:t>De</w:t>
      </w:r>
      <w:r>
        <w:rPr>
          <w:spacing w:val="-12"/>
        </w:rPr>
        <w:t> </w:t>
      </w:r>
      <w:r>
        <w:rPr/>
        <w:t>acuerdo</w:t>
      </w:r>
      <w:r>
        <w:rPr>
          <w:spacing w:val="-12"/>
        </w:rPr>
        <w:t> </w:t>
      </w:r>
      <w:r>
        <w:rPr/>
        <w:t>con</w:t>
      </w:r>
      <w:r>
        <w:rPr>
          <w:spacing w:val="-12"/>
        </w:rPr>
        <w:t> </w:t>
      </w:r>
      <w:r>
        <w:rPr/>
        <w:t>Torres,</w:t>
      </w:r>
      <w:r>
        <w:rPr>
          <w:spacing w:val="-14"/>
        </w:rPr>
        <w:t> </w:t>
      </w:r>
      <w:r>
        <w:rPr/>
        <w:t>(2000)</w:t>
      </w:r>
      <w:r>
        <w:rPr>
          <w:spacing w:val="-12"/>
        </w:rPr>
        <w:t> </w:t>
      </w:r>
      <w:r>
        <w:rPr/>
        <w:t>la</w:t>
      </w:r>
      <w:r>
        <w:rPr>
          <w:spacing w:val="-17"/>
        </w:rPr>
        <w:t> </w:t>
      </w:r>
      <w:r>
        <w:rPr/>
        <w:t>estación</w:t>
      </w:r>
      <w:r>
        <w:rPr>
          <w:spacing w:val="-12"/>
        </w:rPr>
        <w:t> </w:t>
      </w:r>
      <w:r>
        <w:rPr/>
        <w:t>presenta</w:t>
      </w:r>
      <w:r>
        <w:rPr>
          <w:spacing w:val="-11"/>
        </w:rPr>
        <w:t> </w:t>
      </w:r>
      <w:r>
        <w:rPr/>
        <w:t>las</w:t>
      </w:r>
      <w:r>
        <w:rPr>
          <w:spacing w:val="-12"/>
        </w:rPr>
        <w:t> </w:t>
      </w:r>
      <w:r>
        <w:rPr/>
        <w:t>siguientes</w:t>
      </w:r>
      <w:r>
        <w:rPr>
          <w:spacing w:val="-12"/>
        </w:rPr>
        <w:t> </w:t>
      </w:r>
      <w:r>
        <w:rPr/>
        <w:t>características:</w:t>
      </w:r>
    </w:p>
    <w:p>
      <w:pPr>
        <w:pStyle w:val="BodyText"/>
      </w:pPr>
    </w:p>
    <w:p>
      <w:pPr>
        <w:pStyle w:val="BodyText"/>
        <w:spacing w:line="357" w:lineRule="auto" w:before="155"/>
        <w:ind w:left="116" w:right="116"/>
        <w:jc w:val="both"/>
      </w:pPr>
      <w:r>
        <w:rPr/>
        <w:t>Condiciones de tramo. La estación se encuentra situada en un tramo recto rectificado, de unos 100 m de longitud, sus márgenes y fondos están formados por arcilla, arena limosa y grava.</w:t>
      </w:r>
    </w:p>
    <w:p>
      <w:pPr>
        <w:pStyle w:val="BodyText"/>
      </w:pPr>
    </w:p>
    <w:p>
      <w:pPr>
        <w:pStyle w:val="BodyText"/>
        <w:spacing w:line="360" w:lineRule="auto" w:before="158"/>
        <w:ind w:left="116" w:right="114"/>
        <w:jc w:val="both"/>
      </w:pPr>
      <w:r>
        <w:rPr/>
        <w:t>Estructura para aforos. Para efectuar los aforos se utiliza el puente de la carretera, el cual tiene un claro total de 8.66 m y está formado por una loza de concreto reforzado, con los estribos de mampostería. </w:t>
      </w:r>
      <w:r>
        <w:rPr>
          <w:spacing w:val="-3"/>
        </w:rPr>
        <w:t>La </w:t>
      </w:r>
      <w:r>
        <w:rPr/>
        <w:t>selección de aforos forma parte del puente y es perpendicular a</w:t>
      </w:r>
      <w:r>
        <w:rPr>
          <w:spacing w:val="-11"/>
        </w:rPr>
        <w:t> </w:t>
      </w:r>
      <w:r>
        <w:rPr/>
        <w:t>la</w:t>
      </w:r>
      <w:r>
        <w:rPr>
          <w:spacing w:val="-11"/>
        </w:rPr>
        <w:t> </w:t>
      </w:r>
      <w:r>
        <w:rPr/>
        <w:t>corriente,</w:t>
      </w:r>
      <w:r>
        <w:rPr>
          <w:spacing w:val="-8"/>
        </w:rPr>
        <w:t> </w:t>
      </w:r>
      <w:r>
        <w:rPr/>
        <w:t>con</w:t>
      </w:r>
      <w:r>
        <w:rPr>
          <w:spacing w:val="-11"/>
        </w:rPr>
        <w:t> </w:t>
      </w:r>
      <w:r>
        <w:rPr/>
        <w:t>ambas</w:t>
      </w:r>
      <w:r>
        <w:rPr>
          <w:spacing w:val="-11"/>
        </w:rPr>
        <w:t> </w:t>
      </w:r>
      <w:r>
        <w:rPr/>
        <w:t>márgenes</w:t>
      </w:r>
      <w:r>
        <w:rPr>
          <w:spacing w:val="-11"/>
        </w:rPr>
        <w:t> </w:t>
      </w:r>
      <w:r>
        <w:rPr/>
        <w:t>en</w:t>
      </w:r>
      <w:r>
        <w:rPr>
          <w:spacing w:val="-11"/>
        </w:rPr>
        <w:t> </w:t>
      </w:r>
      <w:r>
        <w:rPr/>
        <w:t>mampostería</w:t>
      </w:r>
      <w:r>
        <w:rPr>
          <w:spacing w:val="-11"/>
        </w:rPr>
        <w:t> </w:t>
      </w:r>
      <w:r>
        <w:rPr/>
        <w:t>y</w:t>
      </w:r>
      <w:r>
        <w:rPr>
          <w:spacing w:val="-11"/>
        </w:rPr>
        <w:t> </w:t>
      </w:r>
      <w:r>
        <w:rPr/>
        <w:t>fondo</w:t>
      </w:r>
      <w:r>
        <w:rPr>
          <w:spacing w:val="-11"/>
        </w:rPr>
        <w:t> </w:t>
      </w:r>
      <w:r>
        <w:rPr/>
        <w:t>de</w:t>
      </w:r>
      <w:r>
        <w:rPr>
          <w:spacing w:val="-11"/>
        </w:rPr>
        <w:t> </w:t>
      </w:r>
      <w:r>
        <w:rPr/>
        <w:t>concreto.</w:t>
      </w:r>
      <w:r>
        <w:rPr>
          <w:spacing w:val="-8"/>
        </w:rPr>
        <w:t> </w:t>
      </w:r>
      <w:r>
        <w:rPr/>
        <w:t>Un</w:t>
      </w:r>
      <w:r>
        <w:rPr>
          <w:spacing w:val="-11"/>
        </w:rPr>
        <w:t> </w:t>
      </w:r>
      <w:r>
        <w:rPr/>
        <w:t>banco</w:t>
      </w:r>
      <w:r>
        <w:rPr>
          <w:spacing w:val="-11"/>
        </w:rPr>
        <w:t> </w:t>
      </w:r>
      <w:r>
        <w:rPr/>
        <w:t>de</w:t>
      </w:r>
      <w:r>
        <w:rPr>
          <w:spacing w:val="-11"/>
        </w:rPr>
        <w:t> </w:t>
      </w:r>
      <w:r>
        <w:rPr/>
        <w:t>nivel de concreto se encuentra en el extremo derecho del pasamanos del puente, (cabeza de la escalera), con una altitud de 2485.9</w:t>
      </w:r>
      <w:r>
        <w:rPr>
          <w:spacing w:val="-16"/>
        </w:rPr>
        <w:t> </w:t>
      </w:r>
      <w:r>
        <w:rPr/>
        <w:t>msnm.</w:t>
      </w:r>
    </w:p>
    <w:p>
      <w:pPr>
        <w:pStyle w:val="BodyText"/>
      </w:pPr>
    </w:p>
    <w:p>
      <w:pPr>
        <w:pStyle w:val="BodyText"/>
        <w:spacing w:line="360" w:lineRule="auto" w:before="155"/>
        <w:ind w:left="116" w:right="113"/>
        <w:jc w:val="both"/>
      </w:pPr>
      <w:r>
        <w:rPr/>
        <w:t>Escala</w:t>
      </w:r>
      <w:r>
        <w:rPr>
          <w:spacing w:val="-5"/>
        </w:rPr>
        <w:t> </w:t>
      </w:r>
      <w:r>
        <w:rPr/>
        <w:t>limnimétrica.</w:t>
      </w:r>
      <w:r>
        <w:rPr>
          <w:spacing w:val="-3"/>
        </w:rPr>
        <w:t> La</w:t>
      </w:r>
      <w:r>
        <w:rPr>
          <w:spacing w:val="-5"/>
        </w:rPr>
        <w:t> </w:t>
      </w:r>
      <w:r>
        <w:rPr/>
        <w:t>escala</w:t>
      </w:r>
      <w:r>
        <w:rPr>
          <w:spacing w:val="-5"/>
        </w:rPr>
        <w:t> </w:t>
      </w:r>
      <w:r>
        <w:rPr/>
        <w:t>se</w:t>
      </w:r>
      <w:r>
        <w:rPr>
          <w:spacing w:val="-5"/>
        </w:rPr>
        <w:t> </w:t>
      </w:r>
      <w:r>
        <w:rPr/>
        <w:t>lee</w:t>
      </w:r>
      <w:r>
        <w:rPr>
          <w:spacing w:val="-5"/>
        </w:rPr>
        <w:t> </w:t>
      </w:r>
      <w:r>
        <w:rPr/>
        <w:t>diariamente</w:t>
      </w:r>
      <w:r>
        <w:rPr>
          <w:spacing w:val="-5"/>
        </w:rPr>
        <w:t> </w:t>
      </w:r>
      <w:r>
        <w:rPr/>
        <w:t>a</w:t>
      </w:r>
      <w:r>
        <w:rPr>
          <w:spacing w:val="-5"/>
        </w:rPr>
        <w:t> </w:t>
      </w:r>
      <w:r>
        <w:rPr/>
        <w:t>las</w:t>
      </w:r>
      <w:r>
        <w:rPr>
          <w:spacing w:val="-5"/>
        </w:rPr>
        <w:t> </w:t>
      </w:r>
      <w:r>
        <w:rPr/>
        <w:t>6,</w:t>
      </w:r>
      <w:r>
        <w:rPr>
          <w:spacing w:val="-3"/>
        </w:rPr>
        <w:t> </w:t>
      </w:r>
      <w:r>
        <w:rPr/>
        <w:t>12</w:t>
      </w:r>
      <w:r>
        <w:rPr>
          <w:spacing w:val="-5"/>
        </w:rPr>
        <w:t> </w:t>
      </w:r>
      <w:r>
        <w:rPr/>
        <w:t>y</w:t>
      </w:r>
      <w:r>
        <w:rPr>
          <w:spacing w:val="-5"/>
        </w:rPr>
        <w:t> </w:t>
      </w:r>
      <w:r>
        <w:rPr/>
        <w:t>18</w:t>
      </w:r>
      <w:r>
        <w:rPr>
          <w:spacing w:val="-10"/>
        </w:rPr>
        <w:t> </w:t>
      </w:r>
      <w:r>
        <w:rPr/>
        <w:t>horas,</w:t>
      </w:r>
      <w:r>
        <w:rPr>
          <w:spacing w:val="-3"/>
        </w:rPr>
        <w:t> </w:t>
      </w:r>
      <w:r>
        <w:rPr/>
        <w:t>durante</w:t>
      </w:r>
      <w:r>
        <w:rPr>
          <w:spacing w:val="-5"/>
        </w:rPr>
        <w:t> </w:t>
      </w:r>
      <w:r>
        <w:rPr/>
        <w:t>el</w:t>
      </w:r>
      <w:r>
        <w:rPr>
          <w:spacing w:val="-5"/>
        </w:rPr>
        <w:t> </w:t>
      </w:r>
      <w:r>
        <w:rPr/>
        <w:t>estiaje</w:t>
      </w:r>
      <w:r>
        <w:rPr>
          <w:spacing w:val="-5"/>
        </w:rPr>
        <w:t> </w:t>
      </w:r>
      <w:r>
        <w:rPr/>
        <w:t>y cada</w:t>
      </w:r>
      <w:r>
        <w:rPr>
          <w:spacing w:val="-2"/>
        </w:rPr>
        <w:t> </w:t>
      </w:r>
      <w:r>
        <w:rPr/>
        <w:t>hora</w:t>
      </w:r>
      <w:r>
        <w:rPr>
          <w:spacing w:val="-2"/>
        </w:rPr>
        <w:t> </w:t>
      </w:r>
      <w:r>
        <w:rPr/>
        <w:t>en</w:t>
      </w:r>
      <w:r>
        <w:rPr>
          <w:spacing w:val="-7"/>
        </w:rPr>
        <w:t> </w:t>
      </w:r>
      <w:r>
        <w:rPr/>
        <w:t>el</w:t>
      </w:r>
      <w:r>
        <w:rPr>
          <w:spacing w:val="-7"/>
        </w:rPr>
        <w:t> </w:t>
      </w:r>
      <w:r>
        <w:rPr/>
        <w:t>periodo</w:t>
      </w:r>
      <w:r>
        <w:rPr>
          <w:spacing w:val="-7"/>
        </w:rPr>
        <w:t> </w:t>
      </w:r>
      <w:r>
        <w:rPr/>
        <w:t>de</w:t>
      </w:r>
      <w:r>
        <w:rPr>
          <w:spacing w:val="-2"/>
        </w:rPr>
        <w:t> </w:t>
      </w:r>
      <w:r>
        <w:rPr/>
        <w:t>avenidas. Una</w:t>
      </w:r>
      <w:r>
        <w:rPr>
          <w:spacing w:val="-7"/>
        </w:rPr>
        <w:t> </w:t>
      </w:r>
      <w:r>
        <w:rPr/>
        <w:t>se</w:t>
      </w:r>
      <w:r>
        <w:rPr>
          <w:spacing w:val="-7"/>
        </w:rPr>
        <w:t> </w:t>
      </w:r>
      <w:r>
        <w:rPr/>
        <w:t>encuentra</w:t>
      </w:r>
      <w:r>
        <w:rPr>
          <w:spacing w:val="3"/>
        </w:rPr>
        <w:t> </w:t>
      </w:r>
      <w:r>
        <w:rPr/>
        <w:t>situada</w:t>
      </w:r>
      <w:r>
        <w:rPr>
          <w:spacing w:val="-2"/>
        </w:rPr>
        <w:t> </w:t>
      </w:r>
      <w:r>
        <w:rPr/>
        <w:t>a</w:t>
      </w:r>
      <w:r>
        <w:rPr>
          <w:spacing w:val="-7"/>
        </w:rPr>
        <w:t> </w:t>
      </w:r>
      <w:r>
        <w:rPr/>
        <w:t>8.30</w:t>
      </w:r>
      <w:r>
        <w:rPr>
          <w:spacing w:val="-7"/>
        </w:rPr>
        <w:t> </w:t>
      </w:r>
      <w:r>
        <w:rPr>
          <w:spacing w:val="-3"/>
        </w:rPr>
        <w:t>m,</w:t>
      </w:r>
      <w:r>
        <w:rPr>
          <w:spacing w:val="-1"/>
        </w:rPr>
        <w:t> </w:t>
      </w:r>
      <w:r>
        <w:rPr/>
        <w:t>aguas</w:t>
      </w:r>
      <w:r>
        <w:rPr>
          <w:spacing w:val="-2"/>
        </w:rPr>
        <w:t> </w:t>
      </w:r>
      <w:r>
        <w:rPr/>
        <w:t>abajo,</w:t>
      </w:r>
      <w:r>
        <w:rPr>
          <w:spacing w:val="-5"/>
        </w:rPr>
        <w:t> </w:t>
      </w:r>
      <w:r>
        <w:rPr/>
        <w:t>sobre la</w:t>
      </w:r>
      <w:r>
        <w:rPr>
          <w:spacing w:val="-6"/>
        </w:rPr>
        <w:t> </w:t>
      </w:r>
      <w:r>
        <w:rPr/>
        <w:t>margen</w:t>
      </w:r>
      <w:r>
        <w:rPr>
          <w:spacing w:val="-6"/>
        </w:rPr>
        <w:t> </w:t>
      </w:r>
      <w:r>
        <w:rPr/>
        <w:t>izquierda</w:t>
      </w:r>
      <w:r>
        <w:rPr>
          <w:spacing w:val="-6"/>
        </w:rPr>
        <w:t> </w:t>
      </w:r>
      <w:r>
        <w:rPr/>
        <w:t>y</w:t>
      </w:r>
      <w:r>
        <w:rPr>
          <w:spacing w:val="-6"/>
        </w:rPr>
        <w:t> </w:t>
      </w:r>
      <w:r>
        <w:rPr/>
        <w:t>la</w:t>
      </w:r>
      <w:r>
        <w:rPr>
          <w:spacing w:val="-6"/>
        </w:rPr>
        <w:t> </w:t>
      </w:r>
      <w:r>
        <w:rPr/>
        <w:t>otra</w:t>
      </w:r>
      <w:r>
        <w:rPr>
          <w:spacing w:val="-6"/>
        </w:rPr>
        <w:t> </w:t>
      </w:r>
      <w:r>
        <w:rPr/>
        <w:t>sobre</w:t>
      </w:r>
      <w:r>
        <w:rPr>
          <w:spacing w:val="-6"/>
        </w:rPr>
        <w:t> </w:t>
      </w:r>
      <w:r>
        <w:rPr/>
        <w:t>la</w:t>
      </w:r>
      <w:r>
        <w:rPr>
          <w:spacing w:val="-2"/>
        </w:rPr>
        <w:t> </w:t>
      </w:r>
      <w:r>
        <w:rPr/>
        <w:t>misma</w:t>
      </w:r>
      <w:r>
        <w:rPr>
          <w:spacing w:val="-1"/>
        </w:rPr>
        <w:t> </w:t>
      </w:r>
      <w:r>
        <w:rPr/>
        <w:t>margen,</w:t>
      </w:r>
      <w:r>
        <w:rPr>
          <w:spacing w:val="-4"/>
        </w:rPr>
        <w:t> </w:t>
      </w:r>
      <w:r>
        <w:rPr/>
        <w:t>pero</w:t>
      </w:r>
      <w:r>
        <w:rPr>
          <w:spacing w:val="-6"/>
        </w:rPr>
        <w:t> </w:t>
      </w:r>
      <w:r>
        <w:rPr/>
        <w:t>aguas</w:t>
      </w:r>
      <w:r>
        <w:rPr>
          <w:spacing w:val="-6"/>
        </w:rPr>
        <w:t> </w:t>
      </w:r>
      <w:r>
        <w:rPr/>
        <w:t>arriba.</w:t>
      </w:r>
      <w:r>
        <w:rPr>
          <w:spacing w:val="-3"/>
        </w:rPr>
        <w:t> </w:t>
      </w:r>
      <w:r>
        <w:rPr/>
        <w:t>El</w:t>
      </w:r>
      <w:r>
        <w:rPr>
          <w:spacing w:val="-6"/>
        </w:rPr>
        <w:t> </w:t>
      </w:r>
      <w:r>
        <w:rPr/>
        <w:t>primer</w:t>
      </w:r>
      <w:r>
        <w:rPr>
          <w:spacing w:val="-6"/>
        </w:rPr>
        <w:t> </w:t>
      </w:r>
      <w:r>
        <w:rPr/>
        <w:t>tramo</w:t>
      </w:r>
      <w:r>
        <w:rPr>
          <w:spacing w:val="-6"/>
        </w:rPr>
        <w:t> </w:t>
      </w:r>
      <w:r>
        <w:rPr/>
        <w:t>es de 3 m de largo, vertical y de concreto y el segundo de 1.50 m de longitud, inclinado y también de concreto. </w:t>
      </w:r>
      <w:r>
        <w:rPr>
          <w:spacing w:val="-3"/>
        </w:rPr>
        <w:t>La </w:t>
      </w:r>
      <w:r>
        <w:rPr/>
        <w:t>capacidad total es de 4.50</w:t>
      </w:r>
      <w:r>
        <w:rPr>
          <w:spacing w:val="7"/>
        </w:rPr>
        <w:t> </w:t>
      </w:r>
      <w:r>
        <w:rPr>
          <w:spacing w:val="-3"/>
        </w:rPr>
        <w:t>m.</w:t>
      </w:r>
    </w:p>
    <w:p>
      <w:pPr>
        <w:pStyle w:val="BodyText"/>
      </w:pPr>
    </w:p>
    <w:p>
      <w:pPr>
        <w:pStyle w:val="BodyText"/>
        <w:spacing w:line="360" w:lineRule="auto" w:before="156"/>
        <w:ind w:left="116" w:right="117"/>
        <w:jc w:val="both"/>
      </w:pPr>
      <w:r>
        <w:rPr/>
        <w:t>Aforos. Generalmente se efectúan dos aforos diarios, por el procedimiento de sección y velocidad con molinete hidráulico. Las mediciones comenzaron a hacerse el 15 de julio de 1962. En aguas bajas, se afora vadeando, en una sección situada 80 m aguas arriba de la principal.</w:t>
      </w:r>
    </w:p>
    <w:p>
      <w:pPr>
        <w:spacing w:after="0" w:line="360" w:lineRule="auto"/>
        <w:jc w:val="both"/>
        <w:sectPr>
          <w:footerReference w:type="default" r:id="rId117"/>
          <w:pgSz w:w="12240" w:h="15840"/>
          <w:pgMar w:footer="1473" w:header="0" w:top="1360" w:bottom="1660" w:left="1300" w:right="1300"/>
          <w:pgNumType w:start="108"/>
        </w:sectPr>
      </w:pPr>
    </w:p>
    <w:p>
      <w:pPr>
        <w:pStyle w:val="BodyText"/>
        <w:spacing w:line="360" w:lineRule="auto" w:before="49"/>
        <w:ind w:left="116" w:right="114"/>
        <w:jc w:val="both"/>
      </w:pPr>
      <w:r>
        <w:rPr/>
        <w:t>Registro gráfico de niveles. Para esto se tiene instalado un limnígrafo en la margen izquierda, 3.50 m aguas arriba de la sección de aforos. </w:t>
      </w:r>
      <w:r>
        <w:rPr>
          <w:spacing w:val="-3"/>
        </w:rPr>
        <w:t>La </w:t>
      </w:r>
      <w:r>
        <w:rPr/>
        <w:t>torre es de tubo ARMCO de 6.5 m de altura y 0.61 m de diámetro, con comunicación directa a la corriente. Este comenzó</w:t>
      </w:r>
      <w:r>
        <w:rPr>
          <w:spacing w:val="-38"/>
        </w:rPr>
        <w:t> </w:t>
      </w:r>
      <w:r>
        <w:rPr/>
        <w:t>a operar el 1 de septiembre de</w:t>
      </w:r>
      <w:r>
        <w:rPr>
          <w:spacing w:val="-5"/>
        </w:rPr>
        <w:t> </w:t>
      </w:r>
      <w:r>
        <w:rPr/>
        <w:t>1969.</w:t>
      </w:r>
    </w:p>
    <w:p>
      <w:pPr>
        <w:pStyle w:val="BodyText"/>
      </w:pPr>
    </w:p>
    <w:p>
      <w:pPr>
        <w:pStyle w:val="BodyText"/>
        <w:spacing w:line="357" w:lineRule="auto" w:before="155"/>
        <w:ind w:left="116" w:right="115"/>
        <w:jc w:val="both"/>
      </w:pPr>
      <w:r>
        <w:rPr/>
        <w:t>Sólidos</w:t>
      </w:r>
      <w:r>
        <w:rPr>
          <w:spacing w:val="-11"/>
        </w:rPr>
        <w:t> </w:t>
      </w:r>
      <w:r>
        <w:rPr/>
        <w:t>en</w:t>
      </w:r>
      <w:r>
        <w:rPr>
          <w:spacing w:val="-11"/>
        </w:rPr>
        <w:t> </w:t>
      </w:r>
      <w:r>
        <w:rPr/>
        <w:t>suspensión.</w:t>
      </w:r>
      <w:r>
        <w:rPr>
          <w:spacing w:val="-8"/>
        </w:rPr>
        <w:t> </w:t>
      </w:r>
      <w:r>
        <w:rPr/>
        <w:t>Las</w:t>
      </w:r>
      <w:r>
        <w:rPr>
          <w:spacing w:val="-11"/>
        </w:rPr>
        <w:t> </w:t>
      </w:r>
      <w:r>
        <w:rPr/>
        <w:t>observaciones</w:t>
      </w:r>
      <w:r>
        <w:rPr>
          <w:spacing w:val="-11"/>
        </w:rPr>
        <w:t> </w:t>
      </w:r>
      <w:r>
        <w:rPr/>
        <w:t>se</w:t>
      </w:r>
      <w:r>
        <w:rPr>
          <w:spacing w:val="-11"/>
        </w:rPr>
        <w:t> </w:t>
      </w:r>
      <w:r>
        <w:rPr/>
        <w:t>realizaron</w:t>
      </w:r>
      <w:r>
        <w:rPr>
          <w:spacing w:val="-10"/>
        </w:rPr>
        <w:t> </w:t>
      </w:r>
      <w:r>
        <w:rPr/>
        <w:t>del</w:t>
      </w:r>
      <w:r>
        <w:rPr>
          <w:spacing w:val="-11"/>
        </w:rPr>
        <w:t> </w:t>
      </w:r>
      <w:r>
        <w:rPr/>
        <w:t>15</w:t>
      </w:r>
      <w:r>
        <w:rPr>
          <w:spacing w:val="-11"/>
        </w:rPr>
        <w:t> </w:t>
      </w:r>
      <w:r>
        <w:rPr/>
        <w:t>de</w:t>
      </w:r>
      <w:r>
        <w:rPr>
          <w:spacing w:val="-11"/>
        </w:rPr>
        <w:t> </w:t>
      </w:r>
      <w:r>
        <w:rPr/>
        <w:t>julio</w:t>
      </w:r>
      <w:r>
        <w:rPr>
          <w:spacing w:val="-11"/>
        </w:rPr>
        <w:t> </w:t>
      </w:r>
      <w:r>
        <w:rPr/>
        <w:t>de</w:t>
      </w:r>
      <w:r>
        <w:rPr>
          <w:spacing w:val="-11"/>
        </w:rPr>
        <w:t> </w:t>
      </w:r>
      <w:r>
        <w:rPr/>
        <w:t>1962</w:t>
      </w:r>
      <w:r>
        <w:rPr>
          <w:spacing w:val="-11"/>
        </w:rPr>
        <w:t> </w:t>
      </w:r>
      <w:r>
        <w:rPr/>
        <w:t>hasta</w:t>
      </w:r>
      <w:r>
        <w:rPr>
          <w:spacing w:val="-15"/>
        </w:rPr>
        <w:t> </w:t>
      </w:r>
      <w:r>
        <w:rPr/>
        <w:t>finales de 1985, en cada aforo se tomaron muestras superficiales que fueron procesadas en </w:t>
      </w:r>
      <w:r>
        <w:rPr>
          <w:spacing w:val="3"/>
        </w:rPr>
        <w:t>la </w:t>
      </w:r>
      <w:r>
        <w:rPr/>
        <w:t>misma</w:t>
      </w:r>
      <w:r>
        <w:rPr>
          <w:spacing w:val="-10"/>
        </w:rPr>
        <w:t> </w:t>
      </w:r>
      <w:r>
        <w:rPr/>
        <w:t>estación.</w:t>
      </w:r>
    </w:p>
    <w:p>
      <w:pPr>
        <w:pStyle w:val="BodyText"/>
      </w:pPr>
    </w:p>
    <w:p>
      <w:pPr>
        <w:pStyle w:val="BodyText"/>
        <w:spacing w:before="1"/>
        <w:rPr>
          <w:sz w:val="35"/>
        </w:rPr>
      </w:pPr>
    </w:p>
    <w:p>
      <w:pPr>
        <w:pStyle w:val="Heading1"/>
        <w:ind w:left="116"/>
        <w:jc w:val="both"/>
      </w:pPr>
      <w:bookmarkStart w:name="_bookmark76" w:id="115"/>
      <w:bookmarkEnd w:id="115"/>
      <w:r>
        <w:rPr>
          <w:b w:val="0"/>
        </w:rPr>
      </w:r>
      <w:r>
        <w:rPr/>
        <w:t>4.2.3 Geología</w:t>
      </w:r>
    </w:p>
    <w:p>
      <w:pPr>
        <w:pStyle w:val="BodyText"/>
        <w:rPr>
          <w:b/>
        </w:rPr>
      </w:pPr>
    </w:p>
    <w:p>
      <w:pPr>
        <w:pStyle w:val="BodyText"/>
        <w:spacing w:before="10"/>
        <w:rPr>
          <w:b/>
          <w:sz w:val="21"/>
        </w:rPr>
      </w:pPr>
    </w:p>
    <w:p>
      <w:pPr>
        <w:pStyle w:val="BodyText"/>
        <w:spacing w:line="360" w:lineRule="auto"/>
        <w:ind w:left="116" w:right="116"/>
        <w:jc w:val="both"/>
      </w:pPr>
      <w:r>
        <w:rPr/>
        <w:t>La cuenca se caracteriza por estar asentada sobre formaciones Ígneas de tipo basáltico y andesítico, con depósitos piroclásticos representados por aglomerados, brechas y tobas (tepetates); observados principalmente en las serranías que se localizan al norte (Torres, 2000).</w:t>
      </w:r>
    </w:p>
    <w:p>
      <w:pPr>
        <w:pStyle w:val="BodyText"/>
      </w:pPr>
    </w:p>
    <w:p>
      <w:pPr>
        <w:pStyle w:val="BodyText"/>
        <w:spacing w:line="360" w:lineRule="auto" w:before="155"/>
        <w:ind w:left="116" w:right="118"/>
        <w:jc w:val="both"/>
      </w:pPr>
      <w:r>
        <w:rPr/>
        <w:t>En la zona norte de la cuenca se observan también afloramientos de basalto, con textura afanítica de color gris oscuro, sobreyaciendo se presenta una toba del mismo tipo de arena arcillosa de grano, depositada en un medio acuoso (ver Figura 23).</w:t>
      </w:r>
    </w:p>
    <w:p>
      <w:pPr>
        <w:spacing w:after="0" w:line="360" w:lineRule="auto"/>
        <w:jc w:val="both"/>
        <w:sectPr>
          <w:pgSz w:w="12240" w:h="15840"/>
          <w:pgMar w:header="0" w:footer="1473" w:top="1360" w:bottom="1660" w:left="1300" w:right="1300"/>
        </w:sectPr>
      </w:pPr>
    </w:p>
    <w:p>
      <w:pPr>
        <w:pStyle w:val="BodyText"/>
        <w:spacing w:before="2"/>
        <w:rPr>
          <w:sz w:val="24"/>
        </w:rPr>
      </w:pPr>
    </w:p>
    <w:p>
      <w:pPr>
        <w:pStyle w:val="BodyText"/>
        <w:ind w:left="115"/>
        <w:rPr>
          <w:sz w:val="20"/>
        </w:rPr>
      </w:pPr>
      <w:r>
        <w:rPr>
          <w:sz w:val="20"/>
        </w:rPr>
        <w:drawing>
          <wp:inline distT="0" distB="0" distL="0" distR="0">
            <wp:extent cx="8704702" cy="5431535"/>
            <wp:effectExtent l="0" t="0" r="0" b="0"/>
            <wp:docPr id="19" name="image85.jpeg" descr=""/>
            <wp:cNvGraphicFramePr>
              <a:graphicFrameLocks noChangeAspect="1"/>
            </wp:cNvGraphicFramePr>
            <a:graphic>
              <a:graphicData uri="http://schemas.openxmlformats.org/drawingml/2006/picture">
                <pic:pic>
                  <pic:nvPicPr>
                    <pic:cNvPr id="20" name="image85.jpeg"/>
                    <pic:cNvPicPr/>
                  </pic:nvPicPr>
                  <pic:blipFill>
                    <a:blip r:embed="rId119" cstate="print"/>
                    <a:stretch>
                      <a:fillRect/>
                    </a:stretch>
                  </pic:blipFill>
                  <pic:spPr>
                    <a:xfrm>
                      <a:off x="0" y="0"/>
                      <a:ext cx="8704702" cy="5431535"/>
                    </a:xfrm>
                    <a:prstGeom prst="rect">
                      <a:avLst/>
                    </a:prstGeom>
                  </pic:spPr>
                </pic:pic>
              </a:graphicData>
            </a:graphic>
          </wp:inline>
        </w:drawing>
      </w:r>
      <w:r>
        <w:rPr>
          <w:sz w:val="20"/>
        </w:rPr>
      </w:r>
    </w:p>
    <w:p>
      <w:pPr>
        <w:pStyle w:val="Heading1"/>
        <w:spacing w:before="70"/>
        <w:ind w:left="5196" w:right="5719"/>
        <w:jc w:val="center"/>
      </w:pPr>
      <w:bookmarkStart w:name="_bookmark77" w:id="116"/>
      <w:bookmarkEnd w:id="116"/>
      <w:r>
        <w:rPr>
          <w:b w:val="0"/>
        </w:rPr>
      </w:r>
      <w:r>
        <w:rPr/>
        <w:t>Figura 23. Mapa Geológico.</w:t>
      </w:r>
    </w:p>
    <w:p>
      <w:pPr>
        <w:pStyle w:val="BodyText"/>
        <w:spacing w:before="9"/>
        <w:rPr>
          <w:b/>
          <w:sz w:val="10"/>
        </w:rPr>
      </w:pPr>
    </w:p>
    <w:p>
      <w:pPr>
        <w:spacing w:before="56"/>
        <w:ind w:left="0" w:right="635" w:firstLine="0"/>
        <w:jc w:val="right"/>
        <w:rPr>
          <w:rFonts w:ascii="Calibri"/>
          <w:sz w:val="22"/>
        </w:rPr>
      </w:pPr>
      <w:r>
        <w:rPr>
          <w:rFonts w:ascii="Calibri"/>
          <w:sz w:val="22"/>
        </w:rPr>
        <w:t>110</w:t>
      </w:r>
    </w:p>
    <w:p>
      <w:pPr>
        <w:spacing w:after="0"/>
        <w:jc w:val="right"/>
        <w:rPr>
          <w:rFonts w:ascii="Calibri"/>
          <w:sz w:val="22"/>
        </w:rPr>
        <w:sectPr>
          <w:footerReference w:type="default" r:id="rId118"/>
          <w:pgSz w:w="15840" w:h="12240" w:orient="landscape"/>
          <w:pgMar w:footer="0" w:header="0" w:top="1140" w:bottom="280" w:left="1020" w:right="780"/>
        </w:sectPr>
      </w:pPr>
    </w:p>
    <w:p>
      <w:pPr>
        <w:pStyle w:val="BodyText"/>
        <w:spacing w:line="360" w:lineRule="auto" w:before="49"/>
        <w:ind w:left="116" w:right="116"/>
        <w:jc w:val="both"/>
      </w:pPr>
      <w:r>
        <w:rPr/>
        <w:t>Sus principales riesgos de tipo geológico están originados por la falla de carácter continental que atraviesa al municipio de Acambay en dirección este – oeste, denominada fracturamiento Zapopan – Acambay – Oxochitlán, la cual inicia en las Islas Marías, para atravesar el continente e ir más allá, hasta el Golfo de México, esta falla en su trayectoria por el territorio municipal, según el Atlas de Riesgos del Estado de México (DGPC), se ubica próxima a localidades como son: Botí, Doxtejé (Barrio II), Santa María Tixmadejé, Dongú,</w:t>
      </w:r>
      <w:r>
        <w:rPr>
          <w:spacing w:val="-9"/>
        </w:rPr>
        <w:t> </w:t>
      </w:r>
      <w:r>
        <w:rPr/>
        <w:t>Esdocá,</w:t>
      </w:r>
      <w:r>
        <w:rPr>
          <w:spacing w:val="-9"/>
        </w:rPr>
        <w:t> </w:t>
      </w:r>
      <w:r>
        <w:rPr/>
        <w:t>Botidí</w:t>
      </w:r>
      <w:r>
        <w:rPr>
          <w:spacing w:val="-11"/>
        </w:rPr>
        <w:t> </w:t>
      </w:r>
      <w:r>
        <w:rPr/>
        <w:t>y</w:t>
      </w:r>
      <w:r>
        <w:rPr>
          <w:spacing w:val="-11"/>
        </w:rPr>
        <w:t> </w:t>
      </w:r>
      <w:r>
        <w:rPr>
          <w:spacing w:val="-3"/>
        </w:rPr>
        <w:t>La</w:t>
      </w:r>
      <w:r>
        <w:rPr>
          <w:spacing w:val="-11"/>
        </w:rPr>
        <w:t> </w:t>
      </w:r>
      <w:r>
        <w:rPr/>
        <w:t>Manga;</w:t>
      </w:r>
      <w:r>
        <w:rPr>
          <w:spacing w:val="-11"/>
        </w:rPr>
        <w:t> </w:t>
      </w:r>
      <w:r>
        <w:rPr/>
        <w:t>que</w:t>
      </w:r>
      <w:r>
        <w:rPr>
          <w:spacing w:val="-11"/>
        </w:rPr>
        <w:t> </w:t>
      </w:r>
      <w:r>
        <w:rPr/>
        <w:t>conjuntamente</w:t>
      </w:r>
      <w:r>
        <w:rPr>
          <w:spacing w:val="-11"/>
        </w:rPr>
        <w:t> </w:t>
      </w:r>
      <w:r>
        <w:rPr/>
        <w:t>con</w:t>
      </w:r>
      <w:r>
        <w:rPr>
          <w:spacing w:val="-11"/>
        </w:rPr>
        <w:t> </w:t>
      </w:r>
      <w:r>
        <w:rPr/>
        <w:t>el</w:t>
      </w:r>
      <w:r>
        <w:rPr>
          <w:spacing w:val="-11"/>
        </w:rPr>
        <w:t> </w:t>
      </w:r>
      <w:r>
        <w:rPr/>
        <w:t>alto</w:t>
      </w:r>
      <w:r>
        <w:rPr>
          <w:spacing w:val="-6"/>
        </w:rPr>
        <w:t> </w:t>
      </w:r>
      <w:r>
        <w:rPr/>
        <w:t>grado</w:t>
      </w:r>
      <w:r>
        <w:rPr>
          <w:spacing w:val="-11"/>
        </w:rPr>
        <w:t> </w:t>
      </w:r>
      <w:r>
        <w:rPr/>
        <w:t>de</w:t>
      </w:r>
      <w:r>
        <w:rPr>
          <w:spacing w:val="-11"/>
        </w:rPr>
        <w:t> </w:t>
      </w:r>
      <w:r>
        <w:rPr/>
        <w:t>sismicidad</w:t>
      </w:r>
      <w:r>
        <w:rPr>
          <w:spacing w:val="-11"/>
        </w:rPr>
        <w:t> </w:t>
      </w:r>
      <w:r>
        <w:rPr/>
        <w:t>que se</w:t>
      </w:r>
      <w:r>
        <w:rPr>
          <w:spacing w:val="-5"/>
        </w:rPr>
        <w:t> </w:t>
      </w:r>
      <w:r>
        <w:rPr/>
        <w:t>presenta</w:t>
      </w:r>
      <w:r>
        <w:rPr>
          <w:spacing w:val="-5"/>
        </w:rPr>
        <w:t> </w:t>
      </w:r>
      <w:r>
        <w:rPr/>
        <w:t>en</w:t>
      </w:r>
      <w:r>
        <w:rPr>
          <w:spacing w:val="-5"/>
        </w:rPr>
        <w:t> </w:t>
      </w:r>
      <w:r>
        <w:rPr/>
        <w:t>la</w:t>
      </w:r>
      <w:r>
        <w:rPr>
          <w:spacing w:val="-5"/>
        </w:rPr>
        <w:t> </w:t>
      </w:r>
      <w:r>
        <w:rPr/>
        <w:t>zona,</w:t>
      </w:r>
      <w:r>
        <w:rPr>
          <w:spacing w:val="-3"/>
        </w:rPr>
        <w:t> </w:t>
      </w:r>
      <w:r>
        <w:rPr/>
        <w:t>representa</w:t>
      </w:r>
      <w:r>
        <w:rPr>
          <w:spacing w:val="-4"/>
        </w:rPr>
        <w:t> </w:t>
      </w:r>
      <w:r>
        <w:rPr/>
        <w:t>un</w:t>
      </w:r>
      <w:r>
        <w:rPr>
          <w:spacing w:val="-5"/>
        </w:rPr>
        <w:t> </w:t>
      </w:r>
      <w:r>
        <w:rPr/>
        <w:t>alto</w:t>
      </w:r>
      <w:r>
        <w:rPr>
          <w:spacing w:val="-5"/>
        </w:rPr>
        <w:t> </w:t>
      </w:r>
      <w:r>
        <w:rPr/>
        <w:t>riesgo</w:t>
      </w:r>
      <w:r>
        <w:rPr>
          <w:spacing w:val="-5"/>
        </w:rPr>
        <w:t> </w:t>
      </w:r>
      <w:r>
        <w:rPr/>
        <w:t>a</w:t>
      </w:r>
      <w:r>
        <w:rPr>
          <w:spacing w:val="-5"/>
        </w:rPr>
        <w:t> </w:t>
      </w:r>
      <w:r>
        <w:rPr/>
        <w:t>los</w:t>
      </w:r>
      <w:r>
        <w:rPr>
          <w:spacing w:val="-5"/>
        </w:rPr>
        <w:t> </w:t>
      </w:r>
      <w:r>
        <w:rPr/>
        <w:t>asentamientos</w:t>
      </w:r>
      <w:r>
        <w:rPr>
          <w:spacing w:val="-5"/>
        </w:rPr>
        <w:t> </w:t>
      </w:r>
      <w:r>
        <w:rPr/>
        <w:t>humanos</w:t>
      </w:r>
      <w:r>
        <w:rPr>
          <w:spacing w:val="-5"/>
        </w:rPr>
        <w:t> </w:t>
      </w:r>
      <w:r>
        <w:rPr/>
        <w:t>que</w:t>
      </w:r>
      <w:r>
        <w:rPr>
          <w:spacing w:val="-5"/>
        </w:rPr>
        <w:t> </w:t>
      </w:r>
      <w:r>
        <w:rPr/>
        <w:t>pudieran desarrollarse en ella; a la vez que se genera una zona de media vulnerabilidad en las poblaciones antes</w:t>
      </w:r>
      <w:r>
        <w:rPr>
          <w:spacing w:val="-7"/>
        </w:rPr>
        <w:t> </w:t>
      </w:r>
      <w:r>
        <w:rPr/>
        <w:t>mencionadas.</w:t>
      </w:r>
    </w:p>
    <w:p>
      <w:pPr>
        <w:pStyle w:val="BodyText"/>
        <w:rPr>
          <w:sz w:val="22"/>
        </w:rPr>
      </w:pPr>
    </w:p>
    <w:p>
      <w:pPr>
        <w:pStyle w:val="Heading1"/>
        <w:numPr>
          <w:ilvl w:val="2"/>
          <w:numId w:val="42"/>
        </w:numPr>
        <w:tabs>
          <w:tab w:pos="708" w:val="left" w:leader="none"/>
        </w:tabs>
        <w:spacing w:line="240" w:lineRule="auto" w:before="0" w:after="0"/>
        <w:ind w:left="707" w:right="0" w:hanging="591"/>
        <w:jc w:val="both"/>
      </w:pPr>
      <w:bookmarkStart w:name="_bookmark78" w:id="117"/>
      <w:bookmarkEnd w:id="117"/>
      <w:r>
        <w:rPr>
          <w:b w:val="0"/>
        </w:rPr>
      </w:r>
      <w:bookmarkStart w:name="_bookmark78" w:id="118"/>
      <w:bookmarkEnd w:id="118"/>
      <w:r>
        <w:rPr/>
        <w:t>Cl</w:t>
      </w:r>
      <w:r>
        <w:rPr/>
        <w:t>imatología</w:t>
      </w:r>
    </w:p>
    <w:p>
      <w:pPr>
        <w:pStyle w:val="BodyText"/>
        <w:rPr>
          <w:b/>
        </w:rPr>
      </w:pPr>
    </w:p>
    <w:p>
      <w:pPr>
        <w:pStyle w:val="BodyText"/>
        <w:spacing w:before="5"/>
        <w:rPr>
          <w:b/>
          <w:sz w:val="21"/>
        </w:rPr>
      </w:pPr>
    </w:p>
    <w:p>
      <w:pPr>
        <w:pStyle w:val="BodyText"/>
        <w:spacing w:line="360" w:lineRule="auto"/>
        <w:ind w:left="116" w:right="123"/>
        <w:jc w:val="both"/>
      </w:pPr>
      <w:r>
        <w:rPr/>
        <w:t>Según el sistema Köpen modificado por García (1973), el clima se clasifica como un C(W1)(W)b(i) y se describe como templado subhúmedo, con lluvias en verano e invierno bien definido, con temperatura media anual de 13.4ºC.</w:t>
      </w:r>
    </w:p>
    <w:p>
      <w:pPr>
        <w:pStyle w:val="BodyText"/>
      </w:pPr>
    </w:p>
    <w:p>
      <w:pPr>
        <w:pStyle w:val="BodyText"/>
        <w:spacing w:line="360" w:lineRule="auto" w:before="155"/>
        <w:ind w:left="116" w:right="117"/>
        <w:jc w:val="both"/>
      </w:pPr>
      <w:r>
        <w:rPr>
          <w:spacing w:val="-3"/>
        </w:rPr>
        <w:t>La </w:t>
      </w:r>
      <w:r>
        <w:rPr/>
        <w:t>precipitación media anual es de 838.5 mm, con una distribución uniforme que </w:t>
      </w:r>
      <w:r>
        <w:rPr>
          <w:spacing w:val="-3"/>
        </w:rPr>
        <w:t>va </w:t>
      </w:r>
      <w:r>
        <w:rPr/>
        <w:t>desde principios de junio hasta fines de septiembre, con un 70% de probabilidad de ocurrencia durante</w:t>
      </w:r>
      <w:r>
        <w:rPr>
          <w:spacing w:val="-5"/>
        </w:rPr>
        <w:t> </w:t>
      </w:r>
      <w:r>
        <w:rPr/>
        <w:t>este</w:t>
      </w:r>
      <w:r>
        <w:rPr>
          <w:spacing w:val="-5"/>
        </w:rPr>
        <w:t> </w:t>
      </w:r>
      <w:r>
        <w:rPr/>
        <w:t>lapso.</w:t>
      </w:r>
      <w:r>
        <w:rPr>
          <w:spacing w:val="-4"/>
        </w:rPr>
        <w:t> </w:t>
      </w:r>
      <w:r>
        <w:rPr/>
        <w:t>El</w:t>
      </w:r>
      <w:r>
        <w:rPr>
          <w:spacing w:val="-5"/>
        </w:rPr>
        <w:t> </w:t>
      </w:r>
      <w:r>
        <w:rPr/>
        <w:t>periodo</w:t>
      </w:r>
      <w:r>
        <w:rPr>
          <w:spacing w:val="-5"/>
        </w:rPr>
        <w:t> </w:t>
      </w:r>
      <w:r>
        <w:rPr/>
        <w:t>libre</w:t>
      </w:r>
      <w:r>
        <w:rPr>
          <w:spacing w:val="-5"/>
        </w:rPr>
        <w:t> </w:t>
      </w:r>
      <w:r>
        <w:rPr/>
        <w:t>de</w:t>
      </w:r>
      <w:r>
        <w:rPr>
          <w:spacing w:val="-5"/>
        </w:rPr>
        <w:t> </w:t>
      </w:r>
      <w:r>
        <w:rPr/>
        <w:t>heladas</w:t>
      </w:r>
      <w:r>
        <w:rPr>
          <w:spacing w:val="-10"/>
        </w:rPr>
        <w:t> </w:t>
      </w:r>
      <w:r>
        <w:rPr/>
        <w:t>abarca</w:t>
      </w:r>
      <w:r>
        <w:rPr>
          <w:spacing w:val="-5"/>
        </w:rPr>
        <w:t> </w:t>
      </w:r>
      <w:r>
        <w:rPr/>
        <w:t>del</w:t>
      </w:r>
      <w:r>
        <w:rPr>
          <w:spacing w:val="-3"/>
        </w:rPr>
        <w:t> </w:t>
      </w:r>
      <w:r>
        <w:rPr/>
        <w:t>mes</w:t>
      </w:r>
      <w:r>
        <w:rPr>
          <w:spacing w:val="-5"/>
        </w:rPr>
        <w:t> </w:t>
      </w:r>
      <w:r>
        <w:rPr/>
        <w:t>de</w:t>
      </w:r>
      <w:r>
        <w:rPr>
          <w:spacing w:val="-5"/>
        </w:rPr>
        <w:t> </w:t>
      </w:r>
      <w:r>
        <w:rPr/>
        <w:t>febrero</w:t>
      </w:r>
      <w:r>
        <w:rPr>
          <w:spacing w:val="-4"/>
        </w:rPr>
        <w:t> </w:t>
      </w:r>
      <w:r>
        <w:rPr/>
        <w:t>al</w:t>
      </w:r>
      <w:r>
        <w:rPr>
          <w:spacing w:val="-4"/>
        </w:rPr>
        <w:t> </w:t>
      </w:r>
      <w:r>
        <w:rPr/>
        <w:t>mes</w:t>
      </w:r>
      <w:r>
        <w:rPr>
          <w:spacing w:val="-5"/>
        </w:rPr>
        <w:t> </w:t>
      </w:r>
      <w:r>
        <w:rPr/>
        <w:t>de</w:t>
      </w:r>
      <w:r>
        <w:rPr>
          <w:spacing w:val="-4"/>
        </w:rPr>
        <w:t> </w:t>
      </w:r>
      <w:r>
        <w:rPr/>
        <w:t>octubre, con una probabilidad de ocurrencia de lluvia de 80% (Torres,</w:t>
      </w:r>
      <w:r>
        <w:rPr>
          <w:spacing w:val="-4"/>
        </w:rPr>
        <w:t> </w:t>
      </w:r>
      <w:r>
        <w:rPr/>
        <w:t>2000).</w:t>
      </w:r>
    </w:p>
    <w:p>
      <w:pPr>
        <w:pStyle w:val="BodyText"/>
        <w:rPr>
          <w:sz w:val="22"/>
        </w:rPr>
      </w:pPr>
    </w:p>
    <w:p>
      <w:pPr>
        <w:pStyle w:val="Heading1"/>
        <w:numPr>
          <w:ilvl w:val="2"/>
          <w:numId w:val="42"/>
        </w:numPr>
        <w:tabs>
          <w:tab w:pos="708" w:val="left" w:leader="none"/>
        </w:tabs>
        <w:spacing w:line="240" w:lineRule="auto" w:before="0" w:after="0"/>
        <w:ind w:left="707" w:right="0" w:hanging="591"/>
        <w:jc w:val="both"/>
      </w:pPr>
      <w:bookmarkStart w:name="_bookmark79" w:id="119"/>
      <w:bookmarkEnd w:id="119"/>
      <w:r>
        <w:rPr>
          <w:b w:val="0"/>
        </w:rPr>
      </w:r>
      <w:bookmarkStart w:name="_bookmark79" w:id="120"/>
      <w:bookmarkEnd w:id="120"/>
      <w:r>
        <w:rPr/>
        <w:t>E</w:t>
      </w:r>
      <w:r>
        <w:rPr/>
        <w:t>dafología</w:t>
      </w:r>
    </w:p>
    <w:p>
      <w:pPr>
        <w:pStyle w:val="BodyText"/>
        <w:rPr>
          <w:b/>
        </w:rPr>
      </w:pPr>
    </w:p>
    <w:p>
      <w:pPr>
        <w:pStyle w:val="BodyText"/>
        <w:spacing w:before="5"/>
        <w:rPr>
          <w:b/>
          <w:sz w:val="21"/>
        </w:rPr>
      </w:pPr>
    </w:p>
    <w:p>
      <w:pPr>
        <w:pStyle w:val="BodyText"/>
        <w:spacing w:line="360" w:lineRule="auto"/>
        <w:ind w:left="116" w:right="112"/>
        <w:jc w:val="both"/>
      </w:pPr>
      <w:r>
        <w:rPr/>
        <w:t>Las unidades y subunidades de suelo conforme el sistema de clasificación de suelos FAO/UNESCO (1970), modificado por INEGI, que están presentes en la cuenca son Andosol y Litosol en menor medida, Feozem en las orillas de la cuenca donde existen manchones de bosques, Vertisol y Planosol en la zona centro y, Luvisol en áreas al norte</w:t>
      </w:r>
      <w:r>
        <w:rPr>
          <w:spacing w:val="-17"/>
        </w:rPr>
        <w:t> </w:t>
      </w:r>
      <w:r>
        <w:rPr/>
        <w:t>y</w:t>
      </w:r>
    </w:p>
    <w:p>
      <w:pPr>
        <w:spacing w:after="0" w:line="360" w:lineRule="auto"/>
        <w:jc w:val="both"/>
        <w:sectPr>
          <w:footerReference w:type="default" r:id="rId120"/>
          <w:pgSz w:w="12240" w:h="15840"/>
          <w:pgMar w:footer="1473" w:header="0" w:top="1360" w:bottom="1660" w:left="1300" w:right="1300"/>
          <w:pgNumType w:start="111"/>
        </w:sectPr>
      </w:pPr>
    </w:p>
    <w:p>
      <w:pPr>
        <w:pStyle w:val="BodyText"/>
        <w:spacing w:line="362" w:lineRule="auto" w:before="49"/>
        <w:ind w:left="116"/>
      </w:pPr>
      <w:r>
        <w:rPr/>
        <w:t>oeste</w:t>
      </w:r>
      <w:r>
        <w:rPr>
          <w:spacing w:val="-11"/>
        </w:rPr>
        <w:t> </w:t>
      </w:r>
      <w:r>
        <w:rPr/>
        <w:t>de</w:t>
      </w:r>
      <w:r>
        <w:rPr>
          <w:spacing w:val="-11"/>
        </w:rPr>
        <w:t> </w:t>
      </w:r>
      <w:r>
        <w:rPr/>
        <w:t>la</w:t>
      </w:r>
      <w:r>
        <w:rPr>
          <w:spacing w:val="-11"/>
        </w:rPr>
        <w:t> </w:t>
      </w:r>
      <w:r>
        <w:rPr/>
        <w:t>cuenca;</w:t>
      </w:r>
      <w:r>
        <w:rPr>
          <w:spacing w:val="-10"/>
        </w:rPr>
        <w:t> </w:t>
      </w:r>
      <w:r>
        <w:rPr/>
        <w:t>según</w:t>
      </w:r>
      <w:r>
        <w:rPr>
          <w:spacing w:val="-11"/>
        </w:rPr>
        <w:t> </w:t>
      </w:r>
      <w:r>
        <w:rPr/>
        <w:t>la</w:t>
      </w:r>
      <w:r>
        <w:rPr>
          <w:spacing w:val="-11"/>
        </w:rPr>
        <w:t> </w:t>
      </w:r>
      <w:r>
        <w:rPr/>
        <w:t>carta</w:t>
      </w:r>
      <w:r>
        <w:rPr>
          <w:spacing w:val="-10"/>
        </w:rPr>
        <w:t> </w:t>
      </w:r>
      <w:r>
        <w:rPr/>
        <w:t>edafológica</w:t>
      </w:r>
      <w:r>
        <w:rPr>
          <w:spacing w:val="-11"/>
        </w:rPr>
        <w:t> </w:t>
      </w:r>
      <w:r>
        <w:rPr/>
        <w:t>de</w:t>
      </w:r>
      <w:r>
        <w:rPr>
          <w:spacing w:val="-11"/>
        </w:rPr>
        <w:t> </w:t>
      </w:r>
      <w:r>
        <w:rPr/>
        <w:t>INEGI,</w:t>
      </w:r>
      <w:r>
        <w:rPr>
          <w:spacing w:val="-9"/>
        </w:rPr>
        <w:t> </w:t>
      </w:r>
      <w:r>
        <w:rPr/>
        <w:t>(2010)</w:t>
      </w:r>
      <w:r>
        <w:rPr>
          <w:spacing w:val="-10"/>
        </w:rPr>
        <w:t> </w:t>
      </w:r>
      <w:r>
        <w:rPr/>
        <w:t>escala</w:t>
      </w:r>
      <w:r>
        <w:rPr>
          <w:spacing w:val="-10"/>
        </w:rPr>
        <w:t> </w:t>
      </w:r>
      <w:r>
        <w:rPr/>
        <w:t>1:50</w:t>
      </w:r>
      <w:r>
        <w:rPr>
          <w:spacing w:val="-11"/>
        </w:rPr>
        <w:t> </w:t>
      </w:r>
      <w:r>
        <w:rPr/>
        <w:t>000</w:t>
      </w:r>
      <w:r>
        <w:rPr>
          <w:spacing w:val="-11"/>
        </w:rPr>
        <w:t> </w:t>
      </w:r>
      <w:r>
        <w:rPr/>
        <w:t>(ver</w:t>
      </w:r>
      <w:r>
        <w:rPr>
          <w:spacing w:val="-11"/>
        </w:rPr>
        <w:t> </w:t>
      </w:r>
      <w:r>
        <w:rPr/>
        <w:t>Figura 24).</w:t>
      </w:r>
    </w:p>
    <w:p>
      <w:pPr>
        <w:spacing w:after="0" w:line="362" w:lineRule="auto"/>
        <w:sectPr>
          <w:pgSz w:w="12240" w:h="15840"/>
          <w:pgMar w:header="0" w:footer="1473" w:top="1360" w:bottom="1660" w:left="1300" w:right="1300"/>
        </w:sectPr>
      </w:pPr>
    </w:p>
    <w:p>
      <w:pPr>
        <w:pStyle w:val="BodyText"/>
        <w:spacing w:before="2"/>
        <w:rPr>
          <w:sz w:val="24"/>
        </w:rPr>
      </w:pPr>
    </w:p>
    <w:p>
      <w:pPr>
        <w:pStyle w:val="BodyText"/>
        <w:ind w:left="115"/>
        <w:rPr>
          <w:sz w:val="20"/>
        </w:rPr>
      </w:pPr>
      <w:r>
        <w:rPr>
          <w:sz w:val="20"/>
        </w:rPr>
        <w:drawing>
          <wp:inline distT="0" distB="0" distL="0" distR="0">
            <wp:extent cx="8694256" cy="5356098"/>
            <wp:effectExtent l="0" t="0" r="0" b="0"/>
            <wp:docPr id="21" name="image86.jpeg" descr=""/>
            <wp:cNvGraphicFramePr>
              <a:graphicFrameLocks noChangeAspect="1"/>
            </wp:cNvGraphicFramePr>
            <a:graphic>
              <a:graphicData uri="http://schemas.openxmlformats.org/drawingml/2006/picture">
                <pic:pic>
                  <pic:nvPicPr>
                    <pic:cNvPr id="22" name="image86.jpeg"/>
                    <pic:cNvPicPr/>
                  </pic:nvPicPr>
                  <pic:blipFill>
                    <a:blip r:embed="rId122" cstate="print"/>
                    <a:stretch>
                      <a:fillRect/>
                    </a:stretch>
                  </pic:blipFill>
                  <pic:spPr>
                    <a:xfrm>
                      <a:off x="0" y="0"/>
                      <a:ext cx="8694256" cy="5356098"/>
                    </a:xfrm>
                    <a:prstGeom prst="rect">
                      <a:avLst/>
                    </a:prstGeom>
                  </pic:spPr>
                </pic:pic>
              </a:graphicData>
            </a:graphic>
          </wp:inline>
        </w:drawing>
      </w:r>
      <w:r>
        <w:rPr>
          <w:sz w:val="20"/>
        </w:rPr>
      </w:r>
    </w:p>
    <w:p>
      <w:pPr>
        <w:pStyle w:val="BodyText"/>
        <w:spacing w:before="2"/>
        <w:rPr>
          <w:sz w:val="8"/>
        </w:rPr>
      </w:pPr>
    </w:p>
    <w:p>
      <w:pPr>
        <w:pStyle w:val="Heading1"/>
        <w:spacing w:before="66"/>
        <w:ind w:left="5085" w:right="5513"/>
        <w:jc w:val="center"/>
      </w:pPr>
      <w:bookmarkStart w:name="_bookmark80" w:id="121"/>
      <w:bookmarkEnd w:id="121"/>
      <w:r>
        <w:rPr>
          <w:b w:val="0"/>
        </w:rPr>
      </w:r>
      <w:r>
        <w:rPr/>
        <w:t>Figura 24. Mapa Edafológico.</w:t>
      </w:r>
    </w:p>
    <w:p>
      <w:pPr>
        <w:pStyle w:val="BodyText"/>
        <w:spacing w:before="3"/>
        <w:rPr>
          <w:b/>
          <w:sz w:val="13"/>
        </w:rPr>
      </w:pPr>
    </w:p>
    <w:p>
      <w:pPr>
        <w:spacing w:before="57"/>
        <w:ind w:left="0" w:right="535" w:firstLine="0"/>
        <w:jc w:val="right"/>
        <w:rPr>
          <w:rFonts w:ascii="Calibri"/>
          <w:sz w:val="22"/>
        </w:rPr>
      </w:pPr>
      <w:r>
        <w:rPr>
          <w:rFonts w:ascii="Calibri"/>
          <w:sz w:val="22"/>
        </w:rPr>
        <w:t>113</w:t>
      </w:r>
    </w:p>
    <w:p>
      <w:pPr>
        <w:spacing w:after="0"/>
        <w:jc w:val="right"/>
        <w:rPr>
          <w:rFonts w:ascii="Calibri"/>
          <w:sz w:val="22"/>
        </w:rPr>
        <w:sectPr>
          <w:footerReference w:type="default" r:id="rId121"/>
          <w:pgSz w:w="15840" w:h="12240" w:orient="landscape"/>
          <w:pgMar w:footer="0" w:header="0" w:top="1140" w:bottom="280" w:left="1020" w:right="880"/>
        </w:sectPr>
      </w:pPr>
    </w:p>
    <w:p>
      <w:pPr>
        <w:pStyle w:val="Heading1"/>
        <w:spacing w:before="153"/>
        <w:ind w:left="116"/>
        <w:jc w:val="both"/>
      </w:pPr>
      <w:bookmarkStart w:name="_bookmark81" w:id="122"/>
      <w:bookmarkEnd w:id="122"/>
      <w:r>
        <w:rPr>
          <w:b w:val="0"/>
        </w:rPr>
      </w:r>
      <w:r>
        <w:rPr/>
        <w:t>4.2.6 Uso de suelo y vegetación</w:t>
      </w:r>
    </w:p>
    <w:p>
      <w:pPr>
        <w:pStyle w:val="BodyText"/>
        <w:rPr>
          <w:b/>
        </w:rPr>
      </w:pPr>
    </w:p>
    <w:p>
      <w:pPr>
        <w:pStyle w:val="BodyText"/>
        <w:spacing w:before="10"/>
        <w:rPr>
          <w:b/>
          <w:sz w:val="21"/>
        </w:rPr>
      </w:pPr>
    </w:p>
    <w:p>
      <w:pPr>
        <w:pStyle w:val="BodyText"/>
        <w:spacing w:line="360" w:lineRule="auto"/>
        <w:ind w:left="116" w:right="115"/>
        <w:jc w:val="both"/>
      </w:pPr>
      <w:r>
        <w:rPr/>
        <w:t>De</w:t>
      </w:r>
      <w:r>
        <w:rPr>
          <w:spacing w:val="-6"/>
        </w:rPr>
        <w:t> </w:t>
      </w:r>
      <w:r>
        <w:rPr/>
        <w:t>acuerdo</w:t>
      </w:r>
      <w:r>
        <w:rPr>
          <w:spacing w:val="-6"/>
        </w:rPr>
        <w:t> </w:t>
      </w:r>
      <w:r>
        <w:rPr/>
        <w:t>con</w:t>
      </w:r>
      <w:r>
        <w:rPr>
          <w:spacing w:val="-6"/>
        </w:rPr>
        <w:t> </w:t>
      </w:r>
      <w:r>
        <w:rPr/>
        <w:t>la</w:t>
      </w:r>
      <w:r>
        <w:rPr>
          <w:spacing w:val="-6"/>
        </w:rPr>
        <w:t> </w:t>
      </w:r>
      <w:r>
        <w:rPr/>
        <w:t>clasificación</w:t>
      </w:r>
      <w:r>
        <w:rPr>
          <w:spacing w:val="-6"/>
        </w:rPr>
        <w:t> </w:t>
      </w:r>
      <w:r>
        <w:rPr/>
        <w:t>que</w:t>
      </w:r>
      <w:r>
        <w:rPr>
          <w:spacing w:val="-6"/>
        </w:rPr>
        <w:t> </w:t>
      </w:r>
      <w:r>
        <w:rPr/>
        <w:t>se</w:t>
      </w:r>
      <w:r>
        <w:rPr>
          <w:spacing w:val="-11"/>
        </w:rPr>
        <w:t> </w:t>
      </w:r>
      <w:r>
        <w:rPr/>
        <w:t>hizo</w:t>
      </w:r>
      <w:r>
        <w:rPr>
          <w:spacing w:val="-6"/>
        </w:rPr>
        <w:t> </w:t>
      </w:r>
      <w:r>
        <w:rPr/>
        <w:t>mediante</w:t>
      </w:r>
      <w:r>
        <w:rPr>
          <w:spacing w:val="-6"/>
        </w:rPr>
        <w:t> </w:t>
      </w:r>
      <w:r>
        <w:rPr/>
        <w:t>la</w:t>
      </w:r>
      <w:r>
        <w:rPr>
          <w:spacing w:val="-6"/>
        </w:rPr>
        <w:t> </w:t>
      </w:r>
      <w:r>
        <w:rPr/>
        <w:t>imagen</w:t>
      </w:r>
      <w:r>
        <w:rPr>
          <w:spacing w:val="-6"/>
        </w:rPr>
        <w:t> </w:t>
      </w:r>
      <w:r>
        <w:rPr/>
        <w:t>satelital</w:t>
      </w:r>
      <w:r>
        <w:rPr>
          <w:spacing w:val="-6"/>
        </w:rPr>
        <w:t> </w:t>
      </w:r>
      <w:r>
        <w:rPr/>
        <w:t>SPOT</w:t>
      </w:r>
      <w:r>
        <w:rPr>
          <w:spacing w:val="-3"/>
        </w:rPr>
        <w:t> </w:t>
      </w:r>
      <w:r>
        <w:rPr/>
        <w:t>2010</w:t>
      </w:r>
      <w:r>
        <w:rPr>
          <w:spacing w:val="-6"/>
        </w:rPr>
        <w:t> </w:t>
      </w:r>
      <w:r>
        <w:rPr/>
        <w:t>el</w:t>
      </w:r>
      <w:r>
        <w:rPr>
          <w:spacing w:val="-6"/>
        </w:rPr>
        <w:t> </w:t>
      </w:r>
      <w:r>
        <w:rPr/>
        <w:t>tipo de suelo que predomina en la cuenca es el agrícola, ocupando el 71.71% del territorio, en segundo</w:t>
      </w:r>
      <w:r>
        <w:rPr>
          <w:spacing w:val="-10"/>
        </w:rPr>
        <w:t> </w:t>
      </w:r>
      <w:r>
        <w:rPr/>
        <w:t>lugar</w:t>
      </w:r>
      <w:r>
        <w:rPr>
          <w:spacing w:val="-10"/>
        </w:rPr>
        <w:t> </w:t>
      </w:r>
      <w:r>
        <w:rPr/>
        <w:t>se</w:t>
      </w:r>
      <w:r>
        <w:rPr>
          <w:spacing w:val="-10"/>
        </w:rPr>
        <w:t> </w:t>
      </w:r>
      <w:r>
        <w:rPr/>
        <w:t>encuentra</w:t>
      </w:r>
      <w:r>
        <w:rPr>
          <w:spacing w:val="-10"/>
        </w:rPr>
        <w:t> </w:t>
      </w:r>
      <w:r>
        <w:rPr/>
        <w:t>la</w:t>
      </w:r>
      <w:r>
        <w:rPr>
          <w:spacing w:val="-5"/>
        </w:rPr>
        <w:t> </w:t>
      </w:r>
      <w:r>
        <w:rPr/>
        <w:t>vegetación</w:t>
      </w:r>
      <w:r>
        <w:rPr>
          <w:spacing w:val="-10"/>
        </w:rPr>
        <w:t> </w:t>
      </w:r>
      <w:r>
        <w:rPr/>
        <w:t>inducida</w:t>
      </w:r>
      <w:r>
        <w:rPr>
          <w:spacing w:val="-10"/>
        </w:rPr>
        <w:t> </w:t>
      </w:r>
      <w:r>
        <w:rPr/>
        <w:t>o</w:t>
      </w:r>
      <w:r>
        <w:rPr>
          <w:spacing w:val="-10"/>
        </w:rPr>
        <w:t> </w:t>
      </w:r>
      <w:r>
        <w:rPr/>
        <w:t>pastizales</w:t>
      </w:r>
      <w:r>
        <w:rPr>
          <w:spacing w:val="-9"/>
        </w:rPr>
        <w:t> </w:t>
      </w:r>
      <w:r>
        <w:rPr/>
        <w:t>con</w:t>
      </w:r>
      <w:r>
        <w:rPr>
          <w:spacing w:val="-10"/>
        </w:rPr>
        <w:t> </w:t>
      </w:r>
      <w:r>
        <w:rPr/>
        <w:t>19.20%</w:t>
      </w:r>
      <w:r>
        <w:rPr>
          <w:spacing w:val="-10"/>
        </w:rPr>
        <w:t> </w:t>
      </w:r>
      <w:r>
        <w:rPr/>
        <w:t>(ver</w:t>
      </w:r>
      <w:r>
        <w:rPr>
          <w:spacing w:val="-10"/>
        </w:rPr>
        <w:t> </w:t>
      </w:r>
      <w:r>
        <w:rPr/>
        <w:t>Figura</w:t>
      </w:r>
      <w:r>
        <w:rPr>
          <w:spacing w:val="-10"/>
        </w:rPr>
        <w:t> </w:t>
      </w:r>
      <w:r>
        <w:rPr/>
        <w:t>25).</w:t>
      </w:r>
    </w:p>
    <w:p>
      <w:pPr>
        <w:pStyle w:val="BodyText"/>
      </w:pPr>
    </w:p>
    <w:p>
      <w:pPr>
        <w:pStyle w:val="BodyText"/>
        <w:spacing w:line="360" w:lineRule="auto" w:before="156"/>
        <w:ind w:left="116" w:right="110"/>
        <w:jc w:val="both"/>
      </w:pPr>
      <w:r>
        <w:rPr/>
        <w:t>Este</w:t>
      </w:r>
      <w:r>
        <w:rPr>
          <w:spacing w:val="-8"/>
        </w:rPr>
        <w:t> </w:t>
      </w:r>
      <w:r>
        <w:rPr/>
        <w:t>tipo</w:t>
      </w:r>
      <w:r>
        <w:rPr>
          <w:spacing w:val="-8"/>
        </w:rPr>
        <w:t> </w:t>
      </w:r>
      <w:r>
        <w:rPr/>
        <w:t>de</w:t>
      </w:r>
      <w:r>
        <w:rPr>
          <w:spacing w:val="-12"/>
        </w:rPr>
        <w:t> </w:t>
      </w:r>
      <w:r>
        <w:rPr/>
        <w:t>vegetación</w:t>
      </w:r>
      <w:r>
        <w:rPr>
          <w:spacing w:val="-8"/>
        </w:rPr>
        <w:t> </w:t>
      </w:r>
      <w:r>
        <w:rPr/>
        <w:t>está</w:t>
      </w:r>
      <w:r>
        <w:rPr>
          <w:spacing w:val="-8"/>
        </w:rPr>
        <w:t> </w:t>
      </w:r>
      <w:r>
        <w:rPr/>
        <w:t>conformado</w:t>
      </w:r>
      <w:r>
        <w:rPr>
          <w:spacing w:val="-8"/>
        </w:rPr>
        <w:t> </w:t>
      </w:r>
      <w:r>
        <w:rPr/>
        <w:t>por</w:t>
      </w:r>
      <w:r>
        <w:rPr>
          <w:spacing w:val="-8"/>
        </w:rPr>
        <w:t> </w:t>
      </w:r>
      <w:r>
        <w:rPr/>
        <w:t>gramíneas</w:t>
      </w:r>
      <w:r>
        <w:rPr>
          <w:spacing w:val="-8"/>
        </w:rPr>
        <w:t> </w:t>
      </w:r>
      <w:r>
        <w:rPr/>
        <w:t>herbáceas,</w:t>
      </w:r>
      <w:r>
        <w:rPr>
          <w:spacing w:val="-5"/>
        </w:rPr>
        <w:t> </w:t>
      </w:r>
      <w:r>
        <w:rPr/>
        <w:t>no</w:t>
      </w:r>
      <w:r>
        <w:rPr>
          <w:spacing w:val="-8"/>
        </w:rPr>
        <w:t> </w:t>
      </w:r>
      <w:r>
        <w:rPr/>
        <w:t>mayores</w:t>
      </w:r>
      <w:r>
        <w:rPr>
          <w:spacing w:val="-8"/>
        </w:rPr>
        <w:t> </w:t>
      </w:r>
      <w:r>
        <w:rPr/>
        <w:t>de</w:t>
      </w:r>
      <w:r>
        <w:rPr>
          <w:spacing w:val="-8"/>
        </w:rPr>
        <w:t> </w:t>
      </w:r>
      <w:r>
        <w:rPr/>
        <w:t>un</w:t>
      </w:r>
      <w:r>
        <w:rPr>
          <w:spacing w:val="-8"/>
        </w:rPr>
        <w:t> </w:t>
      </w:r>
      <w:r>
        <w:rPr/>
        <w:t>metro de altura. Los géneros Bonteloud, Andropogon, Aristida,Cynodon, Eragrostis y Stipa son los más predominantes. También existen bosques de encino (5.13% de la superficie total) localizados en las zonas montañosas, observándose sobre todo tipo de rocas, así como en suelos profundos de terrenos aluviales planos y, en menor medida se desarrollan bosques de coníferas (2.97% de la superficie) (Torres, 2000). Las zonas urbanas ocupan el 0.54% del territorio, el restante 0.45%, cuerpos de agua como se puede apreciar en el Cuadro</w:t>
      </w:r>
      <w:r>
        <w:rPr>
          <w:spacing w:val="-10"/>
        </w:rPr>
        <w:t> </w:t>
      </w:r>
      <w:r>
        <w:rPr/>
        <w:t>8.</w:t>
      </w:r>
    </w:p>
    <w:p>
      <w:pPr>
        <w:pStyle w:val="BodyText"/>
        <w:spacing w:before="7"/>
      </w:pPr>
    </w:p>
    <w:p>
      <w:pPr>
        <w:pStyle w:val="Heading1"/>
        <w:ind w:left="1283" w:right="118"/>
      </w:pPr>
      <w:bookmarkStart w:name="_bookmark82" w:id="123"/>
      <w:bookmarkEnd w:id="123"/>
      <w:r>
        <w:rPr>
          <w:b w:val="0"/>
        </w:rPr>
      </w:r>
      <w:r>
        <w:rPr/>
        <w:t>Cuadro 8. Vegetación y Usos del Suelo de la cuenca El Tejocote.</w:t>
      </w:r>
    </w:p>
    <w:p>
      <w:pPr>
        <w:pStyle w:val="BodyText"/>
        <w:rPr>
          <w:b/>
          <w:sz w:val="18"/>
        </w:rPr>
      </w:pPr>
    </w:p>
    <w:tbl>
      <w:tblPr>
        <w:tblW w:w="0" w:type="auto"/>
        <w:jc w:val="left"/>
        <w:tblInd w:w="17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57"/>
        <w:gridCol w:w="2681"/>
      </w:tblGrid>
      <w:tr>
        <w:trPr>
          <w:trHeight w:val="288" w:hRule="exact"/>
        </w:trPr>
        <w:tc>
          <w:tcPr>
            <w:tcW w:w="3557" w:type="dxa"/>
            <w:tcBorders>
              <w:left w:val="nil"/>
              <w:right w:val="nil"/>
            </w:tcBorders>
          </w:tcPr>
          <w:p>
            <w:pPr>
              <w:pStyle w:val="TableParagraph"/>
              <w:spacing w:line="273" w:lineRule="exact" w:before="0"/>
              <w:ind w:left="317"/>
              <w:jc w:val="left"/>
              <w:rPr>
                <w:b/>
                <w:sz w:val="24"/>
              </w:rPr>
            </w:pPr>
            <w:r>
              <w:rPr>
                <w:b/>
                <w:sz w:val="24"/>
              </w:rPr>
              <w:t>Vegetación y Uso del Suelo</w:t>
            </w:r>
          </w:p>
        </w:tc>
        <w:tc>
          <w:tcPr>
            <w:tcW w:w="2681" w:type="dxa"/>
            <w:tcBorders>
              <w:left w:val="nil"/>
              <w:right w:val="nil"/>
            </w:tcBorders>
          </w:tcPr>
          <w:p>
            <w:pPr>
              <w:pStyle w:val="TableParagraph"/>
              <w:spacing w:line="273" w:lineRule="exact" w:before="0"/>
              <w:ind w:left="477" w:right="650"/>
              <w:jc w:val="center"/>
              <w:rPr>
                <w:b/>
                <w:sz w:val="24"/>
              </w:rPr>
            </w:pPr>
            <w:r>
              <w:rPr>
                <w:b/>
                <w:sz w:val="24"/>
              </w:rPr>
              <w:t>Superficie (ha)</w:t>
            </w:r>
          </w:p>
        </w:tc>
      </w:tr>
      <w:tr>
        <w:trPr>
          <w:trHeight w:val="284" w:hRule="exact"/>
        </w:trPr>
        <w:tc>
          <w:tcPr>
            <w:tcW w:w="3557" w:type="dxa"/>
            <w:tcBorders>
              <w:left w:val="nil"/>
              <w:bottom w:val="nil"/>
              <w:right w:val="nil"/>
            </w:tcBorders>
          </w:tcPr>
          <w:p>
            <w:pPr>
              <w:pStyle w:val="TableParagraph"/>
              <w:spacing w:line="268" w:lineRule="exact" w:before="0"/>
              <w:ind w:left="105"/>
              <w:jc w:val="left"/>
              <w:rPr>
                <w:sz w:val="24"/>
              </w:rPr>
            </w:pPr>
            <w:r>
              <w:rPr>
                <w:sz w:val="24"/>
              </w:rPr>
              <w:t>Agricultura laderas</w:t>
            </w:r>
          </w:p>
        </w:tc>
        <w:tc>
          <w:tcPr>
            <w:tcW w:w="2681" w:type="dxa"/>
            <w:tcBorders>
              <w:left w:val="nil"/>
              <w:bottom w:val="nil"/>
              <w:right w:val="nil"/>
            </w:tcBorders>
          </w:tcPr>
          <w:p>
            <w:pPr>
              <w:pStyle w:val="TableParagraph"/>
              <w:spacing w:line="268" w:lineRule="exact" w:before="0"/>
              <w:ind w:left="477" w:right="646"/>
              <w:jc w:val="center"/>
              <w:rPr>
                <w:sz w:val="24"/>
              </w:rPr>
            </w:pPr>
            <w:r>
              <w:rPr>
                <w:sz w:val="24"/>
              </w:rPr>
              <w:t>5,358.51</w:t>
            </w:r>
          </w:p>
        </w:tc>
      </w:tr>
      <w:tr>
        <w:trPr>
          <w:trHeight w:val="276" w:hRule="exact"/>
        </w:trPr>
        <w:tc>
          <w:tcPr>
            <w:tcW w:w="3557" w:type="dxa"/>
            <w:tcBorders>
              <w:top w:val="nil"/>
              <w:left w:val="nil"/>
              <w:bottom w:val="nil"/>
              <w:right w:val="nil"/>
            </w:tcBorders>
          </w:tcPr>
          <w:p>
            <w:pPr>
              <w:pStyle w:val="TableParagraph"/>
              <w:spacing w:line="262" w:lineRule="exact" w:before="0"/>
              <w:ind w:left="105"/>
              <w:jc w:val="left"/>
              <w:rPr>
                <w:sz w:val="24"/>
              </w:rPr>
            </w:pPr>
            <w:r>
              <w:rPr>
                <w:sz w:val="24"/>
              </w:rPr>
              <w:t>Agricultura valle</w:t>
            </w:r>
          </w:p>
        </w:tc>
        <w:tc>
          <w:tcPr>
            <w:tcW w:w="2681" w:type="dxa"/>
            <w:tcBorders>
              <w:top w:val="nil"/>
              <w:left w:val="nil"/>
              <w:bottom w:val="nil"/>
              <w:right w:val="nil"/>
            </w:tcBorders>
          </w:tcPr>
          <w:p>
            <w:pPr>
              <w:pStyle w:val="TableParagraph"/>
              <w:spacing w:line="262" w:lineRule="exact" w:before="0"/>
              <w:ind w:left="477" w:right="646"/>
              <w:jc w:val="center"/>
              <w:rPr>
                <w:sz w:val="24"/>
              </w:rPr>
            </w:pPr>
            <w:r>
              <w:rPr>
                <w:sz w:val="24"/>
              </w:rPr>
              <w:t>2,548.11</w:t>
            </w:r>
          </w:p>
        </w:tc>
      </w:tr>
      <w:tr>
        <w:trPr>
          <w:trHeight w:val="276" w:hRule="exact"/>
        </w:trPr>
        <w:tc>
          <w:tcPr>
            <w:tcW w:w="3557" w:type="dxa"/>
            <w:tcBorders>
              <w:top w:val="nil"/>
              <w:left w:val="nil"/>
              <w:bottom w:val="nil"/>
              <w:right w:val="nil"/>
            </w:tcBorders>
          </w:tcPr>
          <w:p>
            <w:pPr>
              <w:pStyle w:val="TableParagraph"/>
              <w:spacing w:line="264" w:lineRule="exact" w:before="0"/>
              <w:ind w:left="105"/>
              <w:jc w:val="left"/>
              <w:rPr>
                <w:sz w:val="24"/>
              </w:rPr>
            </w:pPr>
            <w:r>
              <w:rPr>
                <w:sz w:val="24"/>
              </w:rPr>
              <w:t>Agricultura riego</w:t>
            </w:r>
          </w:p>
        </w:tc>
        <w:tc>
          <w:tcPr>
            <w:tcW w:w="2681" w:type="dxa"/>
            <w:tcBorders>
              <w:top w:val="nil"/>
              <w:left w:val="nil"/>
              <w:bottom w:val="nil"/>
              <w:right w:val="nil"/>
            </w:tcBorders>
          </w:tcPr>
          <w:p>
            <w:pPr>
              <w:pStyle w:val="TableParagraph"/>
              <w:spacing w:line="264" w:lineRule="exact" w:before="0"/>
              <w:ind w:left="477" w:right="646"/>
              <w:jc w:val="center"/>
              <w:rPr>
                <w:sz w:val="24"/>
              </w:rPr>
            </w:pPr>
            <w:r>
              <w:rPr>
                <w:sz w:val="24"/>
              </w:rPr>
              <w:t>1,724.45</w:t>
            </w:r>
          </w:p>
        </w:tc>
      </w:tr>
      <w:tr>
        <w:trPr>
          <w:trHeight w:val="276" w:hRule="exact"/>
        </w:trPr>
        <w:tc>
          <w:tcPr>
            <w:tcW w:w="3557" w:type="dxa"/>
            <w:tcBorders>
              <w:top w:val="nil"/>
              <w:left w:val="nil"/>
              <w:bottom w:val="nil"/>
              <w:right w:val="nil"/>
            </w:tcBorders>
          </w:tcPr>
          <w:p>
            <w:pPr>
              <w:pStyle w:val="TableParagraph"/>
              <w:spacing w:line="262" w:lineRule="exact" w:before="0"/>
              <w:ind w:left="105"/>
              <w:jc w:val="left"/>
              <w:rPr>
                <w:sz w:val="24"/>
              </w:rPr>
            </w:pPr>
            <w:r>
              <w:rPr>
                <w:sz w:val="24"/>
              </w:rPr>
              <w:t>Urbano</w:t>
            </w:r>
          </w:p>
        </w:tc>
        <w:tc>
          <w:tcPr>
            <w:tcW w:w="2681" w:type="dxa"/>
            <w:tcBorders>
              <w:top w:val="nil"/>
              <w:left w:val="nil"/>
              <w:bottom w:val="nil"/>
              <w:right w:val="nil"/>
            </w:tcBorders>
          </w:tcPr>
          <w:p>
            <w:pPr>
              <w:pStyle w:val="TableParagraph"/>
              <w:spacing w:line="262" w:lineRule="exact" w:before="0"/>
              <w:ind w:left="477" w:right="646"/>
              <w:jc w:val="center"/>
              <w:rPr>
                <w:sz w:val="24"/>
              </w:rPr>
            </w:pPr>
            <w:r>
              <w:rPr>
                <w:sz w:val="24"/>
              </w:rPr>
              <w:t>328.43</w:t>
            </w:r>
          </w:p>
        </w:tc>
      </w:tr>
      <w:tr>
        <w:trPr>
          <w:trHeight w:val="276" w:hRule="exact"/>
        </w:trPr>
        <w:tc>
          <w:tcPr>
            <w:tcW w:w="3557" w:type="dxa"/>
            <w:tcBorders>
              <w:top w:val="nil"/>
              <w:left w:val="nil"/>
              <w:bottom w:val="nil"/>
              <w:right w:val="nil"/>
            </w:tcBorders>
          </w:tcPr>
          <w:p>
            <w:pPr>
              <w:pStyle w:val="TableParagraph"/>
              <w:spacing w:line="264" w:lineRule="exact" w:before="0"/>
              <w:ind w:left="105"/>
              <w:jc w:val="left"/>
              <w:rPr>
                <w:sz w:val="24"/>
              </w:rPr>
            </w:pPr>
            <w:r>
              <w:rPr>
                <w:sz w:val="24"/>
              </w:rPr>
              <w:t>Bosque de Coníferas</w:t>
            </w:r>
          </w:p>
        </w:tc>
        <w:tc>
          <w:tcPr>
            <w:tcW w:w="2681" w:type="dxa"/>
            <w:tcBorders>
              <w:top w:val="nil"/>
              <w:left w:val="nil"/>
              <w:bottom w:val="nil"/>
              <w:right w:val="nil"/>
            </w:tcBorders>
          </w:tcPr>
          <w:p>
            <w:pPr>
              <w:pStyle w:val="TableParagraph"/>
              <w:spacing w:line="264" w:lineRule="exact" w:before="0"/>
              <w:ind w:left="477" w:right="641"/>
              <w:jc w:val="center"/>
              <w:rPr>
                <w:sz w:val="24"/>
              </w:rPr>
            </w:pPr>
            <w:r>
              <w:rPr>
                <w:sz w:val="24"/>
              </w:rPr>
              <w:t>92.32</w:t>
            </w:r>
          </w:p>
        </w:tc>
      </w:tr>
      <w:tr>
        <w:trPr>
          <w:trHeight w:val="276" w:hRule="exact"/>
        </w:trPr>
        <w:tc>
          <w:tcPr>
            <w:tcW w:w="3557" w:type="dxa"/>
            <w:tcBorders>
              <w:top w:val="nil"/>
              <w:left w:val="nil"/>
              <w:bottom w:val="nil"/>
              <w:right w:val="nil"/>
            </w:tcBorders>
          </w:tcPr>
          <w:p>
            <w:pPr>
              <w:pStyle w:val="TableParagraph"/>
              <w:spacing w:line="262" w:lineRule="exact" w:before="0"/>
              <w:ind w:left="105"/>
              <w:jc w:val="left"/>
              <w:rPr>
                <w:sz w:val="24"/>
              </w:rPr>
            </w:pPr>
            <w:r>
              <w:rPr>
                <w:sz w:val="24"/>
              </w:rPr>
              <w:t>Bosque de Encino</w:t>
            </w:r>
          </w:p>
        </w:tc>
        <w:tc>
          <w:tcPr>
            <w:tcW w:w="2681" w:type="dxa"/>
            <w:tcBorders>
              <w:top w:val="nil"/>
              <w:left w:val="nil"/>
              <w:bottom w:val="nil"/>
              <w:right w:val="nil"/>
            </w:tcBorders>
          </w:tcPr>
          <w:p>
            <w:pPr>
              <w:pStyle w:val="TableParagraph"/>
              <w:spacing w:line="262" w:lineRule="exact" w:before="0"/>
              <w:ind w:left="477" w:right="646"/>
              <w:jc w:val="center"/>
              <w:rPr>
                <w:sz w:val="24"/>
              </w:rPr>
            </w:pPr>
            <w:r>
              <w:rPr>
                <w:sz w:val="24"/>
              </w:rPr>
              <w:t>1,935.53</w:t>
            </w:r>
          </w:p>
        </w:tc>
      </w:tr>
      <w:tr>
        <w:trPr>
          <w:trHeight w:val="276" w:hRule="exact"/>
        </w:trPr>
        <w:tc>
          <w:tcPr>
            <w:tcW w:w="3557" w:type="dxa"/>
            <w:tcBorders>
              <w:top w:val="nil"/>
              <w:left w:val="nil"/>
              <w:bottom w:val="nil"/>
              <w:right w:val="nil"/>
            </w:tcBorders>
          </w:tcPr>
          <w:p>
            <w:pPr>
              <w:pStyle w:val="TableParagraph"/>
              <w:spacing w:line="264" w:lineRule="exact" w:before="0"/>
              <w:ind w:left="105"/>
              <w:jc w:val="left"/>
              <w:rPr>
                <w:sz w:val="24"/>
              </w:rPr>
            </w:pPr>
            <w:r>
              <w:rPr>
                <w:sz w:val="24"/>
              </w:rPr>
              <w:t>Bosque de Pino</w:t>
            </w:r>
          </w:p>
        </w:tc>
        <w:tc>
          <w:tcPr>
            <w:tcW w:w="2681" w:type="dxa"/>
            <w:tcBorders>
              <w:top w:val="nil"/>
              <w:left w:val="nil"/>
              <w:bottom w:val="nil"/>
              <w:right w:val="nil"/>
            </w:tcBorders>
          </w:tcPr>
          <w:p>
            <w:pPr>
              <w:pStyle w:val="TableParagraph"/>
              <w:spacing w:line="264" w:lineRule="exact" w:before="0"/>
              <w:ind w:left="477" w:right="641"/>
              <w:jc w:val="center"/>
              <w:rPr>
                <w:sz w:val="24"/>
              </w:rPr>
            </w:pPr>
            <w:r>
              <w:rPr>
                <w:sz w:val="24"/>
              </w:rPr>
              <w:t>904.1</w:t>
            </w:r>
          </w:p>
        </w:tc>
      </w:tr>
      <w:tr>
        <w:trPr>
          <w:trHeight w:val="276" w:hRule="exact"/>
        </w:trPr>
        <w:tc>
          <w:tcPr>
            <w:tcW w:w="3557" w:type="dxa"/>
            <w:tcBorders>
              <w:top w:val="nil"/>
              <w:left w:val="nil"/>
              <w:bottom w:val="nil"/>
              <w:right w:val="nil"/>
            </w:tcBorders>
          </w:tcPr>
          <w:p>
            <w:pPr>
              <w:pStyle w:val="TableParagraph"/>
              <w:spacing w:line="262" w:lineRule="exact" w:before="0"/>
              <w:ind w:left="105"/>
              <w:jc w:val="left"/>
              <w:rPr>
                <w:sz w:val="24"/>
              </w:rPr>
            </w:pPr>
            <w:r>
              <w:rPr>
                <w:sz w:val="24"/>
              </w:rPr>
              <w:t>Bosque de Encino-Pino</w:t>
            </w:r>
          </w:p>
        </w:tc>
        <w:tc>
          <w:tcPr>
            <w:tcW w:w="2681" w:type="dxa"/>
            <w:tcBorders>
              <w:top w:val="nil"/>
              <w:left w:val="nil"/>
              <w:bottom w:val="nil"/>
              <w:right w:val="nil"/>
            </w:tcBorders>
          </w:tcPr>
          <w:p>
            <w:pPr>
              <w:pStyle w:val="TableParagraph"/>
              <w:spacing w:line="262" w:lineRule="exact" w:before="0"/>
              <w:ind w:left="477" w:right="646"/>
              <w:jc w:val="center"/>
              <w:rPr>
                <w:sz w:val="24"/>
              </w:rPr>
            </w:pPr>
            <w:r>
              <w:rPr>
                <w:sz w:val="24"/>
              </w:rPr>
              <w:t>2,197.26</w:t>
            </w:r>
          </w:p>
        </w:tc>
      </w:tr>
      <w:tr>
        <w:trPr>
          <w:trHeight w:val="276" w:hRule="exact"/>
        </w:trPr>
        <w:tc>
          <w:tcPr>
            <w:tcW w:w="3557" w:type="dxa"/>
            <w:tcBorders>
              <w:top w:val="nil"/>
              <w:left w:val="nil"/>
              <w:bottom w:val="nil"/>
              <w:right w:val="nil"/>
            </w:tcBorders>
          </w:tcPr>
          <w:p>
            <w:pPr>
              <w:pStyle w:val="TableParagraph"/>
              <w:spacing w:line="265" w:lineRule="exact" w:before="0"/>
              <w:ind w:left="105"/>
              <w:jc w:val="left"/>
              <w:rPr>
                <w:sz w:val="24"/>
              </w:rPr>
            </w:pPr>
            <w:r>
              <w:rPr>
                <w:sz w:val="24"/>
              </w:rPr>
              <w:t>Pastizales Inducidos</w:t>
            </w:r>
          </w:p>
        </w:tc>
        <w:tc>
          <w:tcPr>
            <w:tcW w:w="2681" w:type="dxa"/>
            <w:tcBorders>
              <w:top w:val="nil"/>
              <w:left w:val="nil"/>
              <w:bottom w:val="nil"/>
              <w:right w:val="nil"/>
            </w:tcBorders>
          </w:tcPr>
          <w:p>
            <w:pPr>
              <w:pStyle w:val="TableParagraph"/>
              <w:spacing w:line="265" w:lineRule="exact" w:before="0"/>
              <w:ind w:left="477" w:right="646"/>
              <w:jc w:val="center"/>
              <w:rPr>
                <w:sz w:val="24"/>
              </w:rPr>
            </w:pPr>
            <w:r>
              <w:rPr>
                <w:sz w:val="24"/>
              </w:rPr>
              <w:t>1,999.33</w:t>
            </w:r>
          </w:p>
        </w:tc>
      </w:tr>
      <w:tr>
        <w:trPr>
          <w:trHeight w:val="276" w:hRule="exact"/>
        </w:trPr>
        <w:tc>
          <w:tcPr>
            <w:tcW w:w="3557" w:type="dxa"/>
            <w:tcBorders>
              <w:top w:val="nil"/>
              <w:left w:val="nil"/>
              <w:bottom w:val="nil"/>
              <w:right w:val="nil"/>
            </w:tcBorders>
          </w:tcPr>
          <w:p>
            <w:pPr>
              <w:pStyle w:val="TableParagraph"/>
              <w:spacing w:line="262" w:lineRule="exact" w:before="0"/>
              <w:ind w:left="105"/>
              <w:jc w:val="left"/>
              <w:rPr>
                <w:sz w:val="24"/>
              </w:rPr>
            </w:pPr>
            <w:r>
              <w:rPr>
                <w:sz w:val="24"/>
              </w:rPr>
              <w:t>Suelo desnudo</w:t>
            </w:r>
          </w:p>
        </w:tc>
        <w:tc>
          <w:tcPr>
            <w:tcW w:w="2681" w:type="dxa"/>
            <w:tcBorders>
              <w:top w:val="nil"/>
              <w:left w:val="nil"/>
              <w:bottom w:val="nil"/>
              <w:right w:val="nil"/>
            </w:tcBorders>
          </w:tcPr>
          <w:p>
            <w:pPr>
              <w:pStyle w:val="TableParagraph"/>
              <w:spacing w:line="262" w:lineRule="exact" w:before="0"/>
              <w:ind w:left="477" w:right="646"/>
              <w:jc w:val="center"/>
              <w:rPr>
                <w:sz w:val="24"/>
              </w:rPr>
            </w:pPr>
            <w:r>
              <w:rPr>
                <w:sz w:val="24"/>
              </w:rPr>
              <w:t>260.74</w:t>
            </w:r>
          </w:p>
        </w:tc>
      </w:tr>
      <w:tr>
        <w:trPr>
          <w:trHeight w:val="275" w:hRule="exact"/>
        </w:trPr>
        <w:tc>
          <w:tcPr>
            <w:tcW w:w="3557" w:type="dxa"/>
            <w:tcBorders>
              <w:top w:val="nil"/>
              <w:left w:val="nil"/>
              <w:right w:val="nil"/>
            </w:tcBorders>
          </w:tcPr>
          <w:p>
            <w:pPr>
              <w:pStyle w:val="TableParagraph"/>
              <w:spacing w:line="264" w:lineRule="exact" w:before="0"/>
              <w:ind w:left="105"/>
              <w:jc w:val="left"/>
              <w:rPr>
                <w:sz w:val="24"/>
              </w:rPr>
            </w:pPr>
            <w:r>
              <w:rPr>
                <w:sz w:val="24"/>
              </w:rPr>
              <w:t>Cuerpos de Agua</w:t>
            </w:r>
          </w:p>
        </w:tc>
        <w:tc>
          <w:tcPr>
            <w:tcW w:w="2681" w:type="dxa"/>
            <w:tcBorders>
              <w:top w:val="nil"/>
              <w:left w:val="nil"/>
              <w:right w:val="nil"/>
            </w:tcBorders>
          </w:tcPr>
          <w:p>
            <w:pPr>
              <w:pStyle w:val="TableParagraph"/>
              <w:spacing w:line="264" w:lineRule="exact" w:before="0"/>
              <w:ind w:left="477" w:right="646"/>
              <w:jc w:val="center"/>
              <w:rPr>
                <w:sz w:val="24"/>
              </w:rPr>
            </w:pPr>
            <w:r>
              <w:rPr>
                <w:sz w:val="24"/>
              </w:rPr>
              <w:t>271.83</w:t>
            </w:r>
          </w:p>
        </w:tc>
      </w:tr>
    </w:tbl>
    <w:p>
      <w:pPr>
        <w:spacing w:line="244" w:lineRule="exact" w:before="0"/>
        <w:ind w:left="1763" w:right="118" w:firstLine="0"/>
        <w:jc w:val="left"/>
        <w:rPr>
          <w:sz w:val="22"/>
        </w:rPr>
      </w:pPr>
      <w:r>
        <w:rPr>
          <w:sz w:val="22"/>
        </w:rPr>
        <w:t>Fuente: Elaboración propia con base en imagen satelital SPOT, 2010.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9"/>
        </w:rPr>
      </w:pPr>
    </w:p>
    <w:p>
      <w:pPr>
        <w:spacing w:before="0"/>
        <w:ind w:left="0" w:right="115" w:firstLine="0"/>
        <w:jc w:val="right"/>
        <w:rPr>
          <w:rFonts w:ascii="Calibri"/>
          <w:sz w:val="22"/>
        </w:rPr>
      </w:pPr>
      <w:r>
        <w:rPr>
          <w:rFonts w:ascii="Calibri"/>
          <w:sz w:val="22"/>
        </w:rPr>
        <w:t>114</w:t>
      </w:r>
    </w:p>
    <w:p>
      <w:pPr>
        <w:spacing w:after="0"/>
        <w:jc w:val="right"/>
        <w:rPr>
          <w:rFonts w:ascii="Calibri"/>
          <w:sz w:val="22"/>
        </w:rPr>
        <w:sectPr>
          <w:footerReference w:type="default" r:id="rId123"/>
          <w:pgSz w:w="12240" w:h="15840"/>
          <w:pgMar w:footer="0" w:header="0" w:top="1500" w:bottom="280" w:left="1300" w:right="1300"/>
        </w:sectPr>
      </w:pPr>
    </w:p>
    <w:p>
      <w:pPr>
        <w:pStyle w:val="BodyText"/>
        <w:spacing w:before="10"/>
        <w:rPr>
          <w:rFonts w:ascii="Calibri"/>
          <w:sz w:val="22"/>
        </w:rPr>
      </w:pPr>
    </w:p>
    <w:p>
      <w:pPr>
        <w:pStyle w:val="BodyText"/>
        <w:ind w:left="118"/>
        <w:rPr>
          <w:rFonts w:ascii="Calibri"/>
          <w:sz w:val="20"/>
        </w:rPr>
      </w:pPr>
      <w:r>
        <w:rPr>
          <w:rFonts w:ascii="Calibri"/>
          <w:sz w:val="20"/>
        </w:rPr>
        <w:drawing>
          <wp:inline distT="0" distB="0" distL="0" distR="0">
            <wp:extent cx="8500458" cy="5431536"/>
            <wp:effectExtent l="0" t="0" r="0" b="0"/>
            <wp:docPr id="23" name="image87.jpeg" descr=""/>
            <wp:cNvGraphicFramePr>
              <a:graphicFrameLocks noChangeAspect="1"/>
            </wp:cNvGraphicFramePr>
            <a:graphic>
              <a:graphicData uri="http://schemas.openxmlformats.org/drawingml/2006/picture">
                <pic:pic>
                  <pic:nvPicPr>
                    <pic:cNvPr id="24" name="image87.jpeg"/>
                    <pic:cNvPicPr/>
                  </pic:nvPicPr>
                  <pic:blipFill>
                    <a:blip r:embed="rId125" cstate="print"/>
                    <a:stretch>
                      <a:fillRect/>
                    </a:stretch>
                  </pic:blipFill>
                  <pic:spPr>
                    <a:xfrm>
                      <a:off x="0" y="0"/>
                      <a:ext cx="8500458" cy="5431536"/>
                    </a:xfrm>
                    <a:prstGeom prst="rect">
                      <a:avLst/>
                    </a:prstGeom>
                  </pic:spPr>
                </pic:pic>
              </a:graphicData>
            </a:graphic>
          </wp:inline>
        </w:drawing>
      </w:r>
      <w:r>
        <w:rPr>
          <w:rFonts w:ascii="Calibri"/>
          <w:sz w:val="20"/>
        </w:rPr>
      </w:r>
    </w:p>
    <w:p>
      <w:pPr>
        <w:pStyle w:val="Heading1"/>
        <w:spacing w:before="3"/>
        <w:ind w:left="4139"/>
      </w:pPr>
      <w:bookmarkStart w:name="_bookmark83" w:id="124"/>
      <w:bookmarkEnd w:id="124"/>
      <w:r>
        <w:rPr>
          <w:b w:val="0"/>
        </w:rPr>
      </w:r>
      <w:r>
        <w:rPr/>
        <w:t>Figura 25. Mapa Uso del Suelo y Vegetación.</w:t>
      </w:r>
    </w:p>
    <w:p>
      <w:pPr>
        <w:pStyle w:val="BodyText"/>
        <w:spacing w:before="7"/>
        <w:rPr>
          <w:b/>
          <w:sz w:val="16"/>
        </w:rPr>
      </w:pPr>
    </w:p>
    <w:p>
      <w:pPr>
        <w:spacing w:before="57"/>
        <w:ind w:left="0" w:right="495" w:firstLine="0"/>
        <w:jc w:val="right"/>
        <w:rPr>
          <w:rFonts w:ascii="Calibri"/>
          <w:sz w:val="22"/>
        </w:rPr>
      </w:pPr>
      <w:r>
        <w:rPr>
          <w:rFonts w:ascii="Calibri"/>
          <w:sz w:val="22"/>
        </w:rPr>
        <w:t>115</w:t>
      </w:r>
    </w:p>
    <w:p>
      <w:pPr>
        <w:spacing w:after="0"/>
        <w:jc w:val="right"/>
        <w:rPr>
          <w:rFonts w:ascii="Calibri"/>
          <w:sz w:val="22"/>
        </w:rPr>
        <w:sectPr>
          <w:footerReference w:type="default" r:id="rId124"/>
          <w:pgSz w:w="15840" w:h="12240" w:orient="landscape"/>
          <w:pgMar w:footer="0" w:header="0" w:top="1140" w:bottom="280" w:left="1300" w:right="920"/>
        </w:sectPr>
      </w:pPr>
    </w:p>
    <w:p>
      <w:pPr>
        <w:pStyle w:val="Heading1"/>
        <w:numPr>
          <w:ilvl w:val="1"/>
          <w:numId w:val="43"/>
        </w:numPr>
        <w:tabs>
          <w:tab w:pos="510" w:val="left" w:leader="none"/>
        </w:tabs>
        <w:spacing w:line="240" w:lineRule="auto" w:before="153" w:after="0"/>
        <w:ind w:left="509" w:right="0" w:hanging="393"/>
        <w:jc w:val="both"/>
      </w:pPr>
      <w:bookmarkStart w:name="_bookmark84" w:id="125"/>
      <w:bookmarkEnd w:id="125"/>
      <w:r>
        <w:rPr>
          <w:b w:val="0"/>
        </w:rPr>
      </w:r>
      <w:bookmarkStart w:name="_bookmark84" w:id="126"/>
      <w:bookmarkEnd w:id="126"/>
      <w:r>
        <w:rPr/>
        <w:t>Caracteri</w:t>
      </w:r>
      <w:r>
        <w:rPr/>
        <w:t>zación geomorfológica </w:t>
      </w:r>
      <w:r>
        <w:rPr>
          <w:spacing w:val="-3"/>
        </w:rPr>
        <w:t>de </w:t>
      </w:r>
      <w:r>
        <w:rPr/>
        <w:t>la cuenca El</w:t>
      </w:r>
      <w:r>
        <w:rPr>
          <w:spacing w:val="-8"/>
        </w:rPr>
        <w:t> </w:t>
      </w:r>
      <w:r>
        <w:rPr/>
        <w:t>Tejocote</w:t>
      </w:r>
    </w:p>
    <w:p>
      <w:pPr>
        <w:pStyle w:val="BodyText"/>
        <w:spacing w:before="11"/>
        <w:rPr>
          <w:b/>
          <w:sz w:val="34"/>
        </w:rPr>
      </w:pPr>
    </w:p>
    <w:p>
      <w:pPr>
        <w:pStyle w:val="BodyText"/>
        <w:spacing w:line="360" w:lineRule="auto"/>
        <w:ind w:left="116" w:right="116"/>
        <w:jc w:val="both"/>
      </w:pPr>
      <w:r>
        <w:rPr/>
        <w:t>La realización de la caracterización física de la cuenca tuvo el objetivo de conocer los parámetros propios de la cuenca que determinan el comportamiento del transporte y deposición de sedimentos, así como producción de caudales y escurrimientos. Los resultados obtenidos se agrupan en el Cuadro 9.</w:t>
      </w:r>
    </w:p>
    <w:p>
      <w:pPr>
        <w:pStyle w:val="Heading1"/>
        <w:spacing w:before="8"/>
        <w:ind w:left="2171" w:right="118"/>
      </w:pPr>
      <w:bookmarkStart w:name="_bookmark85" w:id="127"/>
      <w:bookmarkEnd w:id="127"/>
      <w:r>
        <w:rPr>
          <w:b w:val="0"/>
        </w:rPr>
      </w:r>
      <w:r>
        <w:rPr/>
        <w:t>Cuadro 9. Parámetros de la cuenca El Tejocote.</w:t>
      </w:r>
    </w:p>
    <w:p>
      <w:pPr>
        <w:pStyle w:val="BodyText"/>
        <w:rPr>
          <w:b/>
          <w:sz w:val="18"/>
        </w:rPr>
      </w:pPr>
    </w:p>
    <w:tbl>
      <w:tblPr>
        <w:tblW w:w="0" w:type="auto"/>
        <w:jc w:val="left"/>
        <w:tblInd w:w="11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45"/>
        <w:gridCol w:w="3111"/>
      </w:tblGrid>
      <w:tr>
        <w:trPr>
          <w:trHeight w:val="307" w:hRule="exact"/>
        </w:trPr>
        <w:tc>
          <w:tcPr>
            <w:tcW w:w="4245" w:type="dxa"/>
            <w:tcBorders>
              <w:left w:val="nil"/>
              <w:right w:val="nil"/>
            </w:tcBorders>
          </w:tcPr>
          <w:p>
            <w:pPr/>
          </w:p>
        </w:tc>
        <w:tc>
          <w:tcPr>
            <w:tcW w:w="3111" w:type="dxa"/>
            <w:tcBorders>
              <w:left w:val="nil"/>
              <w:right w:val="nil"/>
            </w:tcBorders>
          </w:tcPr>
          <w:p>
            <w:pPr/>
          </w:p>
        </w:tc>
      </w:tr>
      <w:tr>
        <w:trPr>
          <w:trHeight w:val="306" w:hRule="exact"/>
        </w:trPr>
        <w:tc>
          <w:tcPr>
            <w:tcW w:w="4245" w:type="dxa"/>
            <w:tcBorders>
              <w:left w:val="nil"/>
              <w:bottom w:val="nil"/>
              <w:right w:val="nil"/>
            </w:tcBorders>
          </w:tcPr>
          <w:p>
            <w:pPr>
              <w:pStyle w:val="TableParagraph"/>
              <w:spacing w:line="268" w:lineRule="exact" w:before="0"/>
              <w:ind w:left="120"/>
              <w:jc w:val="left"/>
              <w:rPr>
                <w:sz w:val="24"/>
              </w:rPr>
            </w:pPr>
            <w:r>
              <w:rPr>
                <w:sz w:val="24"/>
              </w:rPr>
              <w:t>Superficie de la cuenca</w:t>
            </w:r>
          </w:p>
        </w:tc>
        <w:tc>
          <w:tcPr>
            <w:tcW w:w="3111" w:type="dxa"/>
            <w:tcBorders>
              <w:left w:val="nil"/>
              <w:bottom w:val="nil"/>
              <w:right w:val="nil"/>
            </w:tcBorders>
          </w:tcPr>
          <w:p>
            <w:pPr>
              <w:pStyle w:val="TableParagraph"/>
              <w:spacing w:line="268" w:lineRule="exact" w:before="0"/>
              <w:ind w:left="374"/>
              <w:jc w:val="left"/>
              <w:rPr>
                <w:sz w:val="24"/>
              </w:rPr>
            </w:pPr>
            <w:r>
              <w:rPr>
                <w:sz w:val="24"/>
              </w:rPr>
              <w:t>A_km</w:t>
            </w:r>
            <w:r>
              <w:rPr>
                <w:position w:val="9"/>
                <w:sz w:val="16"/>
              </w:rPr>
              <w:t>2</w:t>
            </w:r>
            <w:r>
              <w:rPr>
                <w:sz w:val="24"/>
              </w:rPr>
              <w:t>= 177.31</w:t>
            </w:r>
          </w:p>
        </w:tc>
      </w:tr>
      <w:tr>
        <w:trPr>
          <w:trHeight w:val="317" w:hRule="exact"/>
        </w:trPr>
        <w:tc>
          <w:tcPr>
            <w:tcW w:w="4245" w:type="dxa"/>
            <w:tcBorders>
              <w:top w:val="nil"/>
              <w:left w:val="nil"/>
              <w:bottom w:val="nil"/>
              <w:right w:val="nil"/>
            </w:tcBorders>
          </w:tcPr>
          <w:p>
            <w:pPr/>
          </w:p>
        </w:tc>
        <w:tc>
          <w:tcPr>
            <w:tcW w:w="3111" w:type="dxa"/>
            <w:tcBorders>
              <w:top w:val="nil"/>
              <w:left w:val="nil"/>
              <w:bottom w:val="nil"/>
              <w:right w:val="nil"/>
            </w:tcBorders>
          </w:tcPr>
          <w:p>
            <w:pPr>
              <w:pStyle w:val="TableParagraph"/>
              <w:spacing w:before="7"/>
              <w:ind w:left="374"/>
              <w:jc w:val="left"/>
              <w:rPr>
                <w:sz w:val="24"/>
              </w:rPr>
            </w:pPr>
            <w:r>
              <w:rPr>
                <w:sz w:val="24"/>
              </w:rPr>
              <w:t>P_km= 83.4</w:t>
            </w:r>
          </w:p>
        </w:tc>
      </w:tr>
      <w:tr>
        <w:trPr>
          <w:trHeight w:val="317" w:hRule="exact"/>
        </w:trPr>
        <w:tc>
          <w:tcPr>
            <w:tcW w:w="4245" w:type="dxa"/>
            <w:tcBorders>
              <w:top w:val="nil"/>
              <w:left w:val="nil"/>
              <w:bottom w:val="nil"/>
              <w:right w:val="nil"/>
            </w:tcBorders>
          </w:tcPr>
          <w:p>
            <w:pPr>
              <w:pStyle w:val="TableParagraph"/>
              <w:spacing w:before="7"/>
              <w:ind w:left="120"/>
              <w:jc w:val="left"/>
              <w:rPr>
                <w:sz w:val="24"/>
              </w:rPr>
            </w:pPr>
            <w:r>
              <w:rPr>
                <w:sz w:val="24"/>
              </w:rPr>
              <w:t>Elevación media de la cuenca</w:t>
            </w:r>
          </w:p>
        </w:tc>
        <w:tc>
          <w:tcPr>
            <w:tcW w:w="3111" w:type="dxa"/>
            <w:tcBorders>
              <w:top w:val="nil"/>
              <w:left w:val="nil"/>
              <w:bottom w:val="nil"/>
              <w:right w:val="nil"/>
            </w:tcBorders>
          </w:tcPr>
          <w:p>
            <w:pPr>
              <w:pStyle w:val="TableParagraph"/>
              <w:spacing w:before="7"/>
              <w:ind w:left="374"/>
              <w:jc w:val="left"/>
              <w:rPr>
                <w:sz w:val="24"/>
              </w:rPr>
            </w:pPr>
            <w:r>
              <w:rPr>
                <w:sz w:val="24"/>
              </w:rPr>
              <w:t>Em_m= 2615.81 msnm</w:t>
            </w:r>
          </w:p>
        </w:tc>
      </w:tr>
      <w:tr>
        <w:trPr>
          <w:trHeight w:val="317" w:hRule="exact"/>
        </w:trPr>
        <w:tc>
          <w:tcPr>
            <w:tcW w:w="4245" w:type="dxa"/>
            <w:tcBorders>
              <w:top w:val="nil"/>
              <w:left w:val="nil"/>
              <w:bottom w:val="nil"/>
              <w:right w:val="nil"/>
            </w:tcBorders>
          </w:tcPr>
          <w:p>
            <w:pPr>
              <w:pStyle w:val="TableParagraph"/>
              <w:spacing w:before="7"/>
              <w:ind w:left="120"/>
              <w:jc w:val="left"/>
              <w:rPr>
                <w:sz w:val="24"/>
              </w:rPr>
            </w:pPr>
            <w:r>
              <w:rPr>
                <w:sz w:val="24"/>
              </w:rPr>
              <w:t>Pendiente media de la cuenca</w:t>
            </w:r>
          </w:p>
        </w:tc>
        <w:tc>
          <w:tcPr>
            <w:tcW w:w="3111" w:type="dxa"/>
            <w:tcBorders>
              <w:top w:val="nil"/>
              <w:left w:val="nil"/>
              <w:bottom w:val="nil"/>
              <w:right w:val="nil"/>
            </w:tcBorders>
          </w:tcPr>
          <w:p>
            <w:pPr>
              <w:pStyle w:val="TableParagraph"/>
              <w:spacing w:before="7"/>
              <w:ind w:left="374"/>
              <w:jc w:val="left"/>
              <w:rPr>
                <w:sz w:val="24"/>
              </w:rPr>
            </w:pPr>
            <w:r>
              <w:rPr>
                <w:sz w:val="24"/>
              </w:rPr>
              <w:t>Pm_g= 7.75º</w:t>
            </w:r>
          </w:p>
        </w:tc>
      </w:tr>
      <w:tr>
        <w:trPr>
          <w:trHeight w:val="319" w:hRule="exact"/>
        </w:trPr>
        <w:tc>
          <w:tcPr>
            <w:tcW w:w="4245" w:type="dxa"/>
            <w:tcBorders>
              <w:top w:val="nil"/>
              <w:left w:val="nil"/>
              <w:bottom w:val="nil"/>
              <w:right w:val="nil"/>
            </w:tcBorders>
          </w:tcPr>
          <w:p>
            <w:pPr>
              <w:pStyle w:val="TableParagraph"/>
              <w:spacing w:before="7"/>
              <w:ind w:left="120"/>
              <w:jc w:val="left"/>
              <w:rPr>
                <w:sz w:val="24"/>
              </w:rPr>
            </w:pPr>
            <w:r>
              <w:rPr>
                <w:sz w:val="24"/>
              </w:rPr>
              <w:t>Pendiente media de la cuenca</w:t>
            </w:r>
          </w:p>
        </w:tc>
        <w:tc>
          <w:tcPr>
            <w:tcW w:w="3111" w:type="dxa"/>
            <w:tcBorders>
              <w:top w:val="nil"/>
              <w:left w:val="nil"/>
              <w:bottom w:val="nil"/>
              <w:right w:val="nil"/>
            </w:tcBorders>
          </w:tcPr>
          <w:p>
            <w:pPr>
              <w:pStyle w:val="TableParagraph"/>
              <w:spacing w:before="7"/>
              <w:ind w:left="374"/>
              <w:jc w:val="left"/>
              <w:rPr>
                <w:sz w:val="24"/>
              </w:rPr>
            </w:pPr>
            <w:r>
              <w:rPr>
                <w:sz w:val="24"/>
              </w:rPr>
              <w:t>Pm_p= 13.95%</w:t>
            </w:r>
          </w:p>
        </w:tc>
      </w:tr>
      <w:tr>
        <w:trPr>
          <w:trHeight w:val="319" w:hRule="exact"/>
        </w:trPr>
        <w:tc>
          <w:tcPr>
            <w:tcW w:w="4245" w:type="dxa"/>
            <w:tcBorders>
              <w:top w:val="nil"/>
              <w:left w:val="nil"/>
              <w:bottom w:val="nil"/>
              <w:right w:val="nil"/>
            </w:tcBorders>
          </w:tcPr>
          <w:p>
            <w:pPr>
              <w:pStyle w:val="TableParagraph"/>
              <w:spacing w:before="10"/>
              <w:ind w:left="120"/>
              <w:jc w:val="left"/>
              <w:rPr>
                <w:sz w:val="24"/>
              </w:rPr>
            </w:pPr>
            <w:r>
              <w:rPr>
                <w:sz w:val="24"/>
              </w:rPr>
              <w:t>Coeficiente de compacidad</w:t>
            </w:r>
          </w:p>
        </w:tc>
        <w:tc>
          <w:tcPr>
            <w:tcW w:w="3111" w:type="dxa"/>
            <w:tcBorders>
              <w:top w:val="nil"/>
              <w:left w:val="nil"/>
              <w:bottom w:val="nil"/>
              <w:right w:val="nil"/>
            </w:tcBorders>
          </w:tcPr>
          <w:p>
            <w:pPr>
              <w:pStyle w:val="TableParagraph"/>
              <w:spacing w:before="10"/>
              <w:ind w:left="374"/>
              <w:jc w:val="left"/>
              <w:rPr>
                <w:sz w:val="24"/>
              </w:rPr>
            </w:pPr>
            <w:r>
              <w:rPr>
                <w:sz w:val="24"/>
              </w:rPr>
              <w:t>Kc= 1.77</w:t>
            </w:r>
          </w:p>
        </w:tc>
      </w:tr>
      <w:tr>
        <w:trPr>
          <w:trHeight w:val="317" w:hRule="exact"/>
        </w:trPr>
        <w:tc>
          <w:tcPr>
            <w:tcW w:w="4245" w:type="dxa"/>
            <w:tcBorders>
              <w:top w:val="nil"/>
              <w:left w:val="nil"/>
              <w:bottom w:val="nil"/>
              <w:right w:val="nil"/>
            </w:tcBorders>
          </w:tcPr>
          <w:p>
            <w:pPr>
              <w:pStyle w:val="TableParagraph"/>
              <w:spacing w:before="7"/>
              <w:ind w:left="120"/>
              <w:jc w:val="left"/>
              <w:rPr>
                <w:sz w:val="24"/>
              </w:rPr>
            </w:pPr>
            <w:r>
              <w:rPr>
                <w:sz w:val="24"/>
              </w:rPr>
              <w:t>Relación de circularidad</w:t>
            </w:r>
          </w:p>
        </w:tc>
        <w:tc>
          <w:tcPr>
            <w:tcW w:w="3111" w:type="dxa"/>
            <w:tcBorders>
              <w:top w:val="nil"/>
              <w:left w:val="nil"/>
              <w:bottom w:val="nil"/>
              <w:right w:val="nil"/>
            </w:tcBorders>
          </w:tcPr>
          <w:p>
            <w:pPr>
              <w:pStyle w:val="TableParagraph"/>
              <w:spacing w:before="7"/>
              <w:ind w:left="374"/>
              <w:jc w:val="left"/>
              <w:rPr>
                <w:sz w:val="24"/>
              </w:rPr>
            </w:pPr>
            <w:r>
              <w:rPr>
                <w:sz w:val="24"/>
              </w:rPr>
              <w:t>Rci= 0.32</w:t>
            </w:r>
          </w:p>
        </w:tc>
      </w:tr>
      <w:tr>
        <w:trPr>
          <w:trHeight w:val="317" w:hRule="exact"/>
        </w:trPr>
        <w:tc>
          <w:tcPr>
            <w:tcW w:w="4245" w:type="dxa"/>
            <w:tcBorders>
              <w:top w:val="nil"/>
              <w:left w:val="nil"/>
              <w:bottom w:val="nil"/>
              <w:right w:val="nil"/>
            </w:tcBorders>
          </w:tcPr>
          <w:p>
            <w:pPr>
              <w:pStyle w:val="TableParagraph"/>
              <w:spacing w:before="7"/>
              <w:ind w:left="120"/>
              <w:jc w:val="left"/>
              <w:rPr>
                <w:sz w:val="24"/>
              </w:rPr>
            </w:pPr>
            <w:r>
              <w:rPr>
                <w:sz w:val="24"/>
              </w:rPr>
              <w:t>Relación hipsométrica</w:t>
            </w:r>
          </w:p>
        </w:tc>
        <w:tc>
          <w:tcPr>
            <w:tcW w:w="3111" w:type="dxa"/>
            <w:tcBorders>
              <w:top w:val="nil"/>
              <w:left w:val="nil"/>
              <w:bottom w:val="nil"/>
              <w:right w:val="nil"/>
            </w:tcBorders>
          </w:tcPr>
          <w:p>
            <w:pPr>
              <w:pStyle w:val="TableParagraph"/>
              <w:spacing w:before="7"/>
              <w:ind w:left="374"/>
              <w:jc w:val="left"/>
              <w:rPr>
                <w:sz w:val="24"/>
              </w:rPr>
            </w:pPr>
            <w:r>
              <w:rPr>
                <w:sz w:val="24"/>
              </w:rPr>
              <w:t>Rh= 3.65</w:t>
            </w:r>
          </w:p>
        </w:tc>
      </w:tr>
      <w:tr>
        <w:trPr>
          <w:trHeight w:val="317" w:hRule="exact"/>
        </w:trPr>
        <w:tc>
          <w:tcPr>
            <w:tcW w:w="4245" w:type="dxa"/>
            <w:tcBorders>
              <w:top w:val="nil"/>
              <w:left w:val="nil"/>
              <w:bottom w:val="nil"/>
              <w:right w:val="nil"/>
            </w:tcBorders>
          </w:tcPr>
          <w:p>
            <w:pPr>
              <w:pStyle w:val="TableParagraph"/>
              <w:spacing w:before="7"/>
              <w:ind w:left="120"/>
              <w:jc w:val="left"/>
              <w:rPr>
                <w:sz w:val="24"/>
              </w:rPr>
            </w:pPr>
            <w:r>
              <w:rPr>
                <w:sz w:val="24"/>
              </w:rPr>
              <w:t>Longitud del eje del río principal</w:t>
            </w:r>
          </w:p>
        </w:tc>
        <w:tc>
          <w:tcPr>
            <w:tcW w:w="3111" w:type="dxa"/>
            <w:tcBorders>
              <w:top w:val="nil"/>
              <w:left w:val="nil"/>
              <w:bottom w:val="nil"/>
              <w:right w:val="nil"/>
            </w:tcBorders>
          </w:tcPr>
          <w:p>
            <w:pPr>
              <w:pStyle w:val="TableParagraph"/>
              <w:spacing w:before="7"/>
              <w:ind w:left="374"/>
              <w:jc w:val="left"/>
              <w:rPr>
                <w:sz w:val="24"/>
              </w:rPr>
            </w:pPr>
            <w:r>
              <w:rPr>
                <w:sz w:val="24"/>
              </w:rPr>
              <w:t>Lc_km= 29.91 km</w:t>
            </w:r>
          </w:p>
        </w:tc>
      </w:tr>
      <w:tr>
        <w:trPr>
          <w:trHeight w:val="317" w:hRule="exact"/>
        </w:trPr>
        <w:tc>
          <w:tcPr>
            <w:tcW w:w="4245" w:type="dxa"/>
            <w:tcBorders>
              <w:top w:val="nil"/>
              <w:left w:val="nil"/>
              <w:bottom w:val="nil"/>
              <w:right w:val="nil"/>
            </w:tcBorders>
          </w:tcPr>
          <w:p>
            <w:pPr>
              <w:pStyle w:val="TableParagraph"/>
              <w:spacing w:before="7"/>
              <w:ind w:left="120"/>
              <w:jc w:val="left"/>
              <w:rPr>
                <w:sz w:val="24"/>
              </w:rPr>
            </w:pPr>
            <w:r>
              <w:rPr>
                <w:sz w:val="24"/>
              </w:rPr>
              <w:t>Longitud directa del río principal</w:t>
            </w:r>
          </w:p>
        </w:tc>
        <w:tc>
          <w:tcPr>
            <w:tcW w:w="3111" w:type="dxa"/>
            <w:tcBorders>
              <w:top w:val="nil"/>
              <w:left w:val="nil"/>
              <w:bottom w:val="nil"/>
              <w:right w:val="nil"/>
            </w:tcBorders>
          </w:tcPr>
          <w:p>
            <w:pPr>
              <w:pStyle w:val="TableParagraph"/>
              <w:spacing w:before="7"/>
              <w:ind w:left="374"/>
              <w:jc w:val="left"/>
              <w:rPr>
                <w:sz w:val="24"/>
              </w:rPr>
            </w:pPr>
            <w:r>
              <w:rPr>
                <w:sz w:val="24"/>
              </w:rPr>
              <w:t>La_km= 9.56 km</w:t>
            </w:r>
          </w:p>
        </w:tc>
      </w:tr>
      <w:tr>
        <w:trPr>
          <w:trHeight w:val="317" w:hRule="exact"/>
        </w:trPr>
        <w:tc>
          <w:tcPr>
            <w:tcW w:w="4245" w:type="dxa"/>
            <w:tcBorders>
              <w:top w:val="nil"/>
              <w:left w:val="nil"/>
              <w:bottom w:val="nil"/>
              <w:right w:val="nil"/>
            </w:tcBorders>
          </w:tcPr>
          <w:p>
            <w:pPr>
              <w:pStyle w:val="TableParagraph"/>
              <w:spacing w:before="7"/>
              <w:ind w:left="120"/>
              <w:jc w:val="left"/>
              <w:rPr>
                <w:sz w:val="24"/>
              </w:rPr>
            </w:pPr>
            <w:r>
              <w:rPr>
                <w:sz w:val="24"/>
              </w:rPr>
              <w:t>Coeficiente de sinuosidad hidráulico</w:t>
            </w:r>
          </w:p>
        </w:tc>
        <w:tc>
          <w:tcPr>
            <w:tcW w:w="3111" w:type="dxa"/>
            <w:tcBorders>
              <w:top w:val="nil"/>
              <w:left w:val="nil"/>
              <w:bottom w:val="nil"/>
              <w:right w:val="nil"/>
            </w:tcBorders>
          </w:tcPr>
          <w:p>
            <w:pPr>
              <w:pStyle w:val="TableParagraph"/>
              <w:spacing w:before="7"/>
              <w:ind w:left="374"/>
              <w:jc w:val="left"/>
              <w:rPr>
                <w:sz w:val="24"/>
              </w:rPr>
            </w:pPr>
            <w:r>
              <w:rPr>
                <w:sz w:val="24"/>
              </w:rPr>
              <w:t>Sh= 3.13</w:t>
            </w:r>
          </w:p>
        </w:tc>
      </w:tr>
      <w:tr>
        <w:trPr>
          <w:trHeight w:val="317" w:hRule="exact"/>
        </w:trPr>
        <w:tc>
          <w:tcPr>
            <w:tcW w:w="4245" w:type="dxa"/>
            <w:tcBorders>
              <w:top w:val="nil"/>
              <w:left w:val="nil"/>
              <w:bottom w:val="nil"/>
              <w:right w:val="nil"/>
            </w:tcBorders>
          </w:tcPr>
          <w:p>
            <w:pPr>
              <w:pStyle w:val="TableParagraph"/>
              <w:spacing w:before="7"/>
              <w:ind w:left="120"/>
              <w:jc w:val="left"/>
              <w:rPr>
                <w:sz w:val="24"/>
              </w:rPr>
            </w:pPr>
            <w:r>
              <w:rPr>
                <w:sz w:val="24"/>
              </w:rPr>
              <w:t>Elevación Máxima del río principal</w:t>
            </w:r>
          </w:p>
        </w:tc>
        <w:tc>
          <w:tcPr>
            <w:tcW w:w="3111" w:type="dxa"/>
            <w:tcBorders>
              <w:top w:val="nil"/>
              <w:left w:val="nil"/>
              <w:bottom w:val="nil"/>
              <w:right w:val="nil"/>
            </w:tcBorders>
          </w:tcPr>
          <w:p>
            <w:pPr>
              <w:pStyle w:val="TableParagraph"/>
              <w:spacing w:before="7"/>
              <w:ind w:left="374"/>
              <w:jc w:val="left"/>
              <w:rPr>
                <w:sz w:val="24"/>
              </w:rPr>
            </w:pPr>
            <w:r>
              <w:rPr>
                <w:sz w:val="24"/>
              </w:rPr>
              <w:t>Emx_m= 2788 msnm</w:t>
            </w:r>
          </w:p>
        </w:tc>
      </w:tr>
      <w:tr>
        <w:trPr>
          <w:trHeight w:val="319" w:hRule="exact"/>
        </w:trPr>
        <w:tc>
          <w:tcPr>
            <w:tcW w:w="4245" w:type="dxa"/>
            <w:tcBorders>
              <w:top w:val="nil"/>
              <w:left w:val="nil"/>
              <w:bottom w:val="nil"/>
              <w:right w:val="nil"/>
            </w:tcBorders>
          </w:tcPr>
          <w:p>
            <w:pPr>
              <w:pStyle w:val="TableParagraph"/>
              <w:spacing w:before="7"/>
              <w:ind w:left="120"/>
              <w:jc w:val="left"/>
              <w:rPr>
                <w:sz w:val="24"/>
              </w:rPr>
            </w:pPr>
            <w:r>
              <w:rPr>
                <w:sz w:val="24"/>
              </w:rPr>
              <w:t>Elevación Mínima del río principal</w:t>
            </w:r>
          </w:p>
        </w:tc>
        <w:tc>
          <w:tcPr>
            <w:tcW w:w="3111" w:type="dxa"/>
            <w:tcBorders>
              <w:top w:val="nil"/>
              <w:left w:val="nil"/>
              <w:bottom w:val="nil"/>
              <w:right w:val="nil"/>
            </w:tcBorders>
          </w:tcPr>
          <w:p>
            <w:pPr>
              <w:pStyle w:val="TableParagraph"/>
              <w:spacing w:before="7"/>
              <w:ind w:left="374"/>
              <w:jc w:val="left"/>
              <w:rPr>
                <w:sz w:val="24"/>
              </w:rPr>
            </w:pPr>
            <w:r>
              <w:rPr>
                <w:sz w:val="24"/>
              </w:rPr>
              <w:t>Emn_m= 2464 msnm</w:t>
            </w:r>
          </w:p>
        </w:tc>
      </w:tr>
      <w:tr>
        <w:trPr>
          <w:trHeight w:val="319" w:hRule="exact"/>
        </w:trPr>
        <w:tc>
          <w:tcPr>
            <w:tcW w:w="4245" w:type="dxa"/>
            <w:tcBorders>
              <w:top w:val="nil"/>
              <w:left w:val="nil"/>
              <w:bottom w:val="nil"/>
              <w:right w:val="nil"/>
            </w:tcBorders>
          </w:tcPr>
          <w:p>
            <w:pPr>
              <w:pStyle w:val="TableParagraph"/>
              <w:spacing w:before="10"/>
              <w:ind w:left="120"/>
              <w:jc w:val="left"/>
              <w:rPr>
                <w:sz w:val="24"/>
              </w:rPr>
            </w:pPr>
            <w:r>
              <w:rPr>
                <w:sz w:val="24"/>
              </w:rPr>
              <w:t>Pendiente promedio del río principal</w:t>
            </w:r>
          </w:p>
        </w:tc>
        <w:tc>
          <w:tcPr>
            <w:tcW w:w="3111" w:type="dxa"/>
            <w:tcBorders>
              <w:top w:val="nil"/>
              <w:left w:val="nil"/>
              <w:bottom w:val="nil"/>
              <w:right w:val="nil"/>
            </w:tcBorders>
          </w:tcPr>
          <w:p>
            <w:pPr>
              <w:pStyle w:val="TableParagraph"/>
              <w:spacing w:before="10"/>
              <w:ind w:left="374"/>
              <w:jc w:val="left"/>
              <w:rPr>
                <w:sz w:val="24"/>
              </w:rPr>
            </w:pPr>
            <w:r>
              <w:rPr>
                <w:sz w:val="24"/>
              </w:rPr>
              <w:t>Sc_p= 2.66%</w:t>
            </w:r>
          </w:p>
        </w:tc>
      </w:tr>
      <w:tr>
        <w:trPr>
          <w:trHeight w:val="317" w:hRule="exact"/>
        </w:trPr>
        <w:tc>
          <w:tcPr>
            <w:tcW w:w="4245" w:type="dxa"/>
            <w:tcBorders>
              <w:top w:val="nil"/>
              <w:left w:val="nil"/>
              <w:bottom w:val="nil"/>
              <w:right w:val="nil"/>
            </w:tcBorders>
          </w:tcPr>
          <w:p>
            <w:pPr>
              <w:pStyle w:val="TableParagraph"/>
              <w:spacing w:before="7"/>
              <w:ind w:left="120"/>
              <w:jc w:val="left"/>
              <w:rPr>
                <w:sz w:val="24"/>
              </w:rPr>
            </w:pPr>
            <w:r>
              <w:rPr>
                <w:sz w:val="24"/>
              </w:rPr>
              <w:t>Tiempo de concentración de Kirpich</w:t>
            </w:r>
          </w:p>
        </w:tc>
        <w:tc>
          <w:tcPr>
            <w:tcW w:w="3111" w:type="dxa"/>
            <w:tcBorders>
              <w:top w:val="nil"/>
              <w:left w:val="nil"/>
              <w:bottom w:val="nil"/>
              <w:right w:val="nil"/>
            </w:tcBorders>
          </w:tcPr>
          <w:p>
            <w:pPr>
              <w:pStyle w:val="TableParagraph"/>
              <w:spacing w:before="7"/>
              <w:ind w:left="374"/>
              <w:jc w:val="left"/>
              <w:rPr>
                <w:sz w:val="24"/>
              </w:rPr>
            </w:pPr>
            <w:r>
              <w:rPr>
                <w:sz w:val="24"/>
              </w:rPr>
              <w:t>Tc_Kirpich_h= 5.16 hr</w:t>
            </w:r>
          </w:p>
        </w:tc>
      </w:tr>
      <w:tr>
        <w:trPr>
          <w:trHeight w:val="654" w:hRule="exact"/>
        </w:trPr>
        <w:tc>
          <w:tcPr>
            <w:tcW w:w="4245" w:type="dxa"/>
            <w:tcBorders>
              <w:top w:val="nil"/>
              <w:left w:val="nil"/>
              <w:right w:val="nil"/>
            </w:tcBorders>
          </w:tcPr>
          <w:p>
            <w:pPr>
              <w:pStyle w:val="TableParagraph"/>
              <w:spacing w:line="276" w:lineRule="auto" w:before="7"/>
              <w:ind w:left="120"/>
              <w:jc w:val="left"/>
              <w:rPr>
                <w:sz w:val="24"/>
              </w:rPr>
            </w:pPr>
            <w:r>
              <w:rPr>
                <w:sz w:val="24"/>
              </w:rPr>
              <w:t>Tiempo de concentración de California Highways and Public Works</w:t>
            </w:r>
          </w:p>
        </w:tc>
        <w:tc>
          <w:tcPr>
            <w:tcW w:w="3111" w:type="dxa"/>
            <w:tcBorders>
              <w:top w:val="nil"/>
              <w:left w:val="nil"/>
              <w:right w:val="nil"/>
            </w:tcBorders>
          </w:tcPr>
          <w:p>
            <w:pPr>
              <w:pStyle w:val="TableParagraph"/>
              <w:spacing w:before="7"/>
              <w:ind w:left="374"/>
              <w:jc w:val="left"/>
              <w:rPr>
                <w:sz w:val="24"/>
              </w:rPr>
            </w:pPr>
            <w:r>
              <w:rPr>
                <w:sz w:val="24"/>
              </w:rPr>
              <w:t>Tc_CHPW_h= 5.19 hr</w:t>
            </w:r>
          </w:p>
        </w:tc>
      </w:tr>
    </w:tbl>
    <w:p>
      <w:pPr>
        <w:spacing w:line="244" w:lineRule="exact" w:before="0"/>
        <w:ind w:left="620" w:right="118" w:firstLine="0"/>
        <w:jc w:val="left"/>
        <w:rPr>
          <w:sz w:val="22"/>
        </w:rPr>
      </w:pPr>
      <w:r>
        <w:rPr>
          <w:sz w:val="22"/>
        </w:rPr>
        <w:t>Fuente: Determinación de datos propios utilizando programa IDRISI con base en INEGI, 2010.</w:t>
      </w:r>
    </w:p>
    <w:p>
      <w:pPr>
        <w:pStyle w:val="BodyText"/>
        <w:rPr>
          <w:sz w:val="22"/>
        </w:rPr>
      </w:pPr>
    </w:p>
    <w:p>
      <w:pPr>
        <w:pStyle w:val="BodyText"/>
        <w:rPr>
          <w:sz w:val="25"/>
        </w:rPr>
      </w:pPr>
    </w:p>
    <w:p>
      <w:pPr>
        <w:pStyle w:val="Heading1"/>
        <w:numPr>
          <w:ilvl w:val="2"/>
          <w:numId w:val="43"/>
        </w:numPr>
        <w:tabs>
          <w:tab w:pos="706" w:val="left" w:leader="none"/>
        </w:tabs>
        <w:spacing w:line="240" w:lineRule="auto" w:before="0" w:after="0"/>
        <w:ind w:left="705" w:right="0" w:hanging="589"/>
        <w:jc w:val="left"/>
      </w:pPr>
      <w:bookmarkStart w:name="_bookmark86" w:id="128"/>
      <w:bookmarkEnd w:id="128"/>
      <w:r>
        <w:rPr>
          <w:b w:val="0"/>
        </w:rPr>
      </w:r>
      <w:bookmarkStart w:name="_bookmark86" w:id="129"/>
      <w:bookmarkEnd w:id="129"/>
      <w:r>
        <w:rPr/>
        <w:t>Ti</w:t>
      </w:r>
      <w:r>
        <w:rPr/>
        <w:t>po </w:t>
      </w:r>
      <w:r>
        <w:rPr>
          <w:spacing w:val="-3"/>
        </w:rPr>
        <w:t>de</w:t>
      </w:r>
      <w:r>
        <w:rPr>
          <w:spacing w:val="-9"/>
        </w:rPr>
        <w:t> </w:t>
      </w:r>
      <w:r>
        <w:rPr/>
        <w:t>cuenca</w:t>
      </w:r>
    </w:p>
    <w:p>
      <w:pPr>
        <w:pStyle w:val="BodyText"/>
        <w:spacing w:line="357" w:lineRule="auto" w:before="210"/>
        <w:ind w:left="116" w:right="118"/>
      </w:pPr>
      <w:r>
        <w:rPr/>
        <w:t>De acuerdo con la SRH, (1974) la cuenca El Tejocote es de tipo </w:t>
      </w:r>
      <w:r>
        <w:rPr>
          <w:b/>
        </w:rPr>
        <w:t>endorreica </w:t>
      </w:r>
      <w:r>
        <w:rPr/>
        <w:t>debido a que las corrientes se concentran al centro de la misma.</w:t>
      </w:r>
    </w:p>
    <w:p>
      <w:pPr>
        <w:pStyle w:val="BodyText"/>
        <w:spacing w:before="10"/>
        <w:rPr>
          <w:sz w:val="21"/>
        </w:rPr>
      </w:pPr>
    </w:p>
    <w:p>
      <w:pPr>
        <w:pStyle w:val="Heading1"/>
        <w:numPr>
          <w:ilvl w:val="2"/>
          <w:numId w:val="43"/>
        </w:numPr>
        <w:tabs>
          <w:tab w:pos="706" w:val="left" w:leader="none"/>
        </w:tabs>
        <w:spacing w:line="240" w:lineRule="auto" w:before="0" w:after="0"/>
        <w:ind w:left="705" w:right="0" w:hanging="589"/>
        <w:jc w:val="left"/>
      </w:pPr>
      <w:bookmarkStart w:name="_bookmark87" w:id="130"/>
      <w:bookmarkEnd w:id="130"/>
      <w:r>
        <w:rPr>
          <w:b w:val="0"/>
        </w:rPr>
      </w:r>
      <w:bookmarkStart w:name="_bookmark87" w:id="131"/>
      <w:bookmarkEnd w:id="131"/>
      <w:r>
        <w:rPr/>
        <w:t>Área</w:t>
      </w:r>
      <w:r>
        <w:rPr/>
        <w:t> y Perímetro </w:t>
      </w:r>
      <w:r>
        <w:rPr>
          <w:spacing w:val="-3"/>
        </w:rPr>
        <w:t>de </w:t>
      </w:r>
      <w:r>
        <w:rPr/>
        <w:t>la</w:t>
      </w:r>
      <w:r>
        <w:rPr>
          <w:spacing w:val="-13"/>
        </w:rPr>
        <w:t> </w:t>
      </w:r>
      <w:r>
        <w:rPr/>
        <w:t>cuenca</w:t>
      </w:r>
    </w:p>
    <w:p>
      <w:pPr>
        <w:pStyle w:val="BodyText"/>
        <w:spacing w:line="440" w:lineRule="atLeast" w:before="69"/>
        <w:ind w:left="116"/>
      </w:pPr>
      <w:r>
        <w:rPr/>
        <w:t>Se puede considerar a la cuenca El Tejocote de tamaño pequeño según la SARH (1988), al tener una superficie de sólo 177.31 Km</w:t>
      </w:r>
      <w:r>
        <w:rPr>
          <w:position w:val="9"/>
          <w:sz w:val="17"/>
        </w:rPr>
        <w:t>2  </w:t>
      </w:r>
      <w:r>
        <w:rPr/>
        <w:t>y un perímetro de 83.4 Km.</w:t>
      </w:r>
    </w:p>
    <w:p>
      <w:pPr>
        <w:spacing w:after="0" w:line="440" w:lineRule="atLeast"/>
        <w:sectPr>
          <w:footerReference w:type="default" r:id="rId126"/>
          <w:pgSz w:w="12240" w:h="15840"/>
          <w:pgMar w:footer="1473" w:header="0" w:top="1500" w:bottom="1660" w:left="1300" w:right="1300"/>
          <w:pgNumType w:start="116"/>
        </w:sectPr>
      </w:pPr>
    </w:p>
    <w:p>
      <w:pPr>
        <w:pStyle w:val="Heading1"/>
        <w:numPr>
          <w:ilvl w:val="2"/>
          <w:numId w:val="43"/>
        </w:numPr>
        <w:tabs>
          <w:tab w:pos="706" w:val="left" w:leader="none"/>
        </w:tabs>
        <w:spacing w:line="240" w:lineRule="auto" w:before="49" w:after="0"/>
        <w:ind w:left="705" w:right="0" w:hanging="589"/>
        <w:jc w:val="both"/>
      </w:pPr>
      <w:bookmarkStart w:name="_bookmark88" w:id="132"/>
      <w:bookmarkEnd w:id="132"/>
      <w:r>
        <w:rPr>
          <w:b w:val="0"/>
        </w:rPr>
      </w:r>
      <w:bookmarkStart w:name="_bookmark88" w:id="133"/>
      <w:bookmarkEnd w:id="133"/>
      <w:r>
        <w:rPr/>
        <w:t>Pe</w:t>
      </w:r>
      <w:r>
        <w:rPr/>
        <w:t>ndiente media </w:t>
      </w:r>
      <w:r>
        <w:rPr>
          <w:spacing w:val="-3"/>
        </w:rPr>
        <w:t>de </w:t>
      </w:r>
      <w:r>
        <w:rPr/>
        <w:t>la</w:t>
      </w:r>
      <w:r>
        <w:rPr>
          <w:spacing w:val="-8"/>
        </w:rPr>
        <w:t> </w:t>
      </w:r>
      <w:r>
        <w:rPr/>
        <w:t>cuenca</w:t>
      </w:r>
    </w:p>
    <w:p>
      <w:pPr>
        <w:pStyle w:val="BodyText"/>
        <w:spacing w:line="360" w:lineRule="auto" w:before="210"/>
        <w:ind w:left="116" w:right="114"/>
        <w:jc w:val="both"/>
      </w:pPr>
      <w:r>
        <w:rPr/>
        <w:pict>
          <v:group style="position:absolute;margin-left:94.07pt;margin-top:79.246696pt;width:425.55pt;height:133.7pt;mso-position-horizontal-relative:page;mso-position-vertical-relative:paragraph;z-index:4576;mso-wrap-distance-left:0;mso-wrap-distance-right:0" coordorigin="1881,1585" coordsize="8511,2674">
            <v:shape style="position:absolute;left:1891;top:1595;width:8491;height:2654" type="#_x0000_t75" stroked="false">
              <v:imagedata r:id="rId127" o:title=""/>
            </v:shape>
            <v:rect style="position:absolute;left:1886;top:1590;width:8501;height:2664" filled="false" stroked="true" strokeweight=".48pt" strokecolor="#000000"/>
            <w10:wrap type="topAndBottom"/>
          </v:group>
        </w:pict>
      </w:r>
      <w:r>
        <w:rPr>
          <w:spacing w:val="-3"/>
        </w:rPr>
        <w:t>La</w:t>
      </w:r>
      <w:r>
        <w:rPr>
          <w:spacing w:val="-6"/>
        </w:rPr>
        <w:t> </w:t>
      </w:r>
      <w:r>
        <w:rPr/>
        <w:t>cuenca</w:t>
      </w:r>
      <w:r>
        <w:rPr>
          <w:spacing w:val="-6"/>
        </w:rPr>
        <w:t> </w:t>
      </w:r>
      <w:r>
        <w:rPr/>
        <w:t>El</w:t>
      </w:r>
      <w:r>
        <w:rPr>
          <w:spacing w:val="-6"/>
        </w:rPr>
        <w:t> </w:t>
      </w:r>
      <w:r>
        <w:rPr/>
        <w:t>Tejocote</w:t>
      </w:r>
      <w:r>
        <w:rPr>
          <w:spacing w:val="-11"/>
        </w:rPr>
        <w:t> </w:t>
      </w:r>
      <w:r>
        <w:rPr/>
        <w:t>se</w:t>
      </w:r>
      <w:r>
        <w:rPr>
          <w:spacing w:val="-6"/>
        </w:rPr>
        <w:t> </w:t>
      </w:r>
      <w:r>
        <w:rPr/>
        <w:t>registró</w:t>
      </w:r>
      <w:r>
        <w:rPr>
          <w:spacing w:val="-6"/>
        </w:rPr>
        <w:t> </w:t>
      </w:r>
      <w:r>
        <w:rPr/>
        <w:t>una</w:t>
      </w:r>
      <w:r>
        <w:rPr>
          <w:spacing w:val="-6"/>
        </w:rPr>
        <w:t> </w:t>
      </w:r>
      <w:r>
        <w:rPr/>
        <w:t>pendiente</w:t>
      </w:r>
      <w:r>
        <w:rPr>
          <w:spacing w:val="-6"/>
        </w:rPr>
        <w:t> </w:t>
      </w:r>
      <w:r>
        <w:rPr/>
        <w:t>promedio</w:t>
      </w:r>
      <w:r>
        <w:rPr>
          <w:spacing w:val="-6"/>
        </w:rPr>
        <w:t> </w:t>
      </w:r>
      <w:r>
        <w:rPr/>
        <w:t>de</w:t>
      </w:r>
      <w:r>
        <w:rPr>
          <w:spacing w:val="-6"/>
        </w:rPr>
        <w:t> </w:t>
      </w:r>
      <w:r>
        <w:rPr/>
        <w:t>7.75º</w:t>
      </w:r>
      <w:r>
        <w:rPr>
          <w:spacing w:val="-10"/>
        </w:rPr>
        <w:t> </w:t>
      </w:r>
      <w:r>
        <w:rPr/>
        <w:t>sobre</w:t>
      </w:r>
      <w:r>
        <w:rPr>
          <w:spacing w:val="-11"/>
        </w:rPr>
        <w:t> </w:t>
      </w:r>
      <w:r>
        <w:rPr/>
        <w:t>la</w:t>
      </w:r>
      <w:r>
        <w:rPr>
          <w:spacing w:val="-11"/>
        </w:rPr>
        <w:t> </w:t>
      </w:r>
      <w:r>
        <w:rPr/>
        <w:t>que</w:t>
      </w:r>
      <w:r>
        <w:rPr>
          <w:spacing w:val="-6"/>
        </w:rPr>
        <w:t> </w:t>
      </w:r>
      <w:r>
        <w:rPr/>
        <w:t>descienden los</w:t>
      </w:r>
      <w:r>
        <w:rPr>
          <w:spacing w:val="-7"/>
        </w:rPr>
        <w:t> </w:t>
      </w:r>
      <w:r>
        <w:rPr/>
        <w:t>escurrimientos;</w:t>
      </w:r>
      <w:r>
        <w:rPr>
          <w:spacing w:val="-7"/>
        </w:rPr>
        <w:t> </w:t>
      </w:r>
      <w:r>
        <w:rPr/>
        <w:t>la</w:t>
      </w:r>
      <w:r>
        <w:rPr>
          <w:spacing w:val="-7"/>
        </w:rPr>
        <w:t> </w:t>
      </w:r>
      <w:r>
        <w:rPr/>
        <w:t>Figura</w:t>
      </w:r>
      <w:r>
        <w:rPr>
          <w:spacing w:val="-6"/>
        </w:rPr>
        <w:t> </w:t>
      </w:r>
      <w:r>
        <w:rPr/>
        <w:t>26</w:t>
      </w:r>
      <w:r>
        <w:rPr>
          <w:spacing w:val="-2"/>
        </w:rPr>
        <w:t> </w:t>
      </w:r>
      <w:r>
        <w:rPr/>
        <w:t>muestra</w:t>
      </w:r>
      <w:r>
        <w:rPr>
          <w:spacing w:val="-7"/>
        </w:rPr>
        <w:t> </w:t>
      </w:r>
      <w:r>
        <w:rPr/>
        <w:t>la</w:t>
      </w:r>
      <w:r>
        <w:rPr>
          <w:spacing w:val="-7"/>
        </w:rPr>
        <w:t> </w:t>
      </w:r>
      <w:r>
        <w:rPr/>
        <w:t>curva</w:t>
      </w:r>
      <w:r>
        <w:rPr>
          <w:spacing w:val="-7"/>
        </w:rPr>
        <w:t> </w:t>
      </w:r>
      <w:r>
        <w:rPr/>
        <w:t>hipsométrica</w:t>
      </w:r>
      <w:r>
        <w:rPr>
          <w:spacing w:val="-5"/>
        </w:rPr>
        <w:t> </w:t>
      </w:r>
      <w:r>
        <w:rPr/>
        <w:t>con</w:t>
      </w:r>
      <w:r>
        <w:rPr>
          <w:spacing w:val="-7"/>
        </w:rPr>
        <w:t> </w:t>
      </w:r>
      <w:r>
        <w:rPr/>
        <w:t>la</w:t>
      </w:r>
      <w:r>
        <w:rPr>
          <w:spacing w:val="-7"/>
        </w:rPr>
        <w:t> </w:t>
      </w:r>
      <w:r>
        <w:rPr/>
        <w:t>que</w:t>
      </w:r>
      <w:r>
        <w:rPr>
          <w:spacing w:val="-7"/>
        </w:rPr>
        <w:t> </w:t>
      </w:r>
      <w:r>
        <w:rPr/>
        <w:t>se</w:t>
      </w:r>
      <w:r>
        <w:rPr>
          <w:spacing w:val="-7"/>
        </w:rPr>
        <w:t> </w:t>
      </w:r>
      <w:r>
        <w:rPr/>
        <w:t>puede</w:t>
      </w:r>
      <w:r>
        <w:rPr>
          <w:spacing w:val="-6"/>
        </w:rPr>
        <w:t> </w:t>
      </w:r>
      <w:r>
        <w:rPr/>
        <w:t>analizar como la mayor parte del terreno se asienta en altitudes mayores a los 2600</w:t>
      </w:r>
      <w:r>
        <w:rPr>
          <w:spacing w:val="-15"/>
        </w:rPr>
        <w:t> </w:t>
      </w:r>
      <w:r>
        <w:rPr/>
        <w:t>msnm.</w:t>
      </w:r>
    </w:p>
    <w:p>
      <w:pPr>
        <w:spacing w:before="0"/>
        <w:ind w:left="255" w:right="100" w:firstLine="0"/>
        <w:jc w:val="center"/>
        <w:rPr>
          <w:sz w:val="22"/>
        </w:rPr>
      </w:pPr>
      <w:r>
        <w:rPr>
          <w:sz w:val="22"/>
        </w:rPr>
        <w:t>Fuente: Determinación de datos propios utilizando programa IDRISI con base en INEGI, 2010.</w:t>
      </w:r>
    </w:p>
    <w:p>
      <w:pPr>
        <w:pStyle w:val="Heading1"/>
        <w:spacing w:before="2"/>
        <w:ind w:left="255" w:right="261"/>
        <w:jc w:val="center"/>
      </w:pPr>
      <w:bookmarkStart w:name="_bookmark89" w:id="134"/>
      <w:bookmarkEnd w:id="134"/>
      <w:r>
        <w:rPr>
          <w:b w:val="0"/>
        </w:rPr>
      </w:r>
      <w:r>
        <w:rPr/>
        <w:t>Figura 26. Curva Hipsométrica de la cuenca El Tejocote.</w:t>
      </w:r>
    </w:p>
    <w:p>
      <w:pPr>
        <w:pStyle w:val="BodyText"/>
        <w:spacing w:before="1"/>
        <w:rPr>
          <w:b/>
          <w:sz w:val="21"/>
        </w:rPr>
      </w:pPr>
    </w:p>
    <w:p>
      <w:pPr>
        <w:pStyle w:val="Heading1"/>
        <w:numPr>
          <w:ilvl w:val="2"/>
          <w:numId w:val="43"/>
        </w:numPr>
        <w:tabs>
          <w:tab w:pos="706" w:val="left" w:leader="none"/>
        </w:tabs>
        <w:spacing w:line="240" w:lineRule="auto" w:before="1" w:after="0"/>
        <w:ind w:left="705" w:right="0" w:hanging="589"/>
        <w:jc w:val="both"/>
      </w:pPr>
      <w:bookmarkStart w:name="_bookmark90" w:id="135"/>
      <w:bookmarkEnd w:id="135"/>
      <w:r>
        <w:rPr>
          <w:b w:val="0"/>
        </w:rPr>
      </w:r>
      <w:bookmarkStart w:name="_bookmark90" w:id="136"/>
      <w:bookmarkEnd w:id="136"/>
      <w:r>
        <w:rPr/>
        <w:t>Relaci</w:t>
      </w:r>
      <w:r>
        <w:rPr/>
        <w:t>ón</w:t>
      </w:r>
      <w:r>
        <w:rPr>
          <w:spacing w:val="-15"/>
        </w:rPr>
        <w:t> </w:t>
      </w:r>
      <w:r>
        <w:rPr/>
        <w:t>hipsométrica</w:t>
      </w:r>
    </w:p>
    <w:p>
      <w:pPr>
        <w:pStyle w:val="BodyText"/>
        <w:spacing w:line="360" w:lineRule="auto" w:before="205"/>
        <w:ind w:left="116" w:right="113"/>
        <w:jc w:val="both"/>
      </w:pPr>
      <w:r>
        <w:rPr>
          <w:spacing w:val="-3"/>
        </w:rPr>
        <w:t>La </w:t>
      </w:r>
      <w:r>
        <w:rPr/>
        <w:t>distribución espacial de la altitud en la cuenca es fundamental para caracterizar su condición morfológica, es decir saber qué porcentajes de la cuenca corresponden a zonas montañosas, lomeríos, planicies, etc. </w:t>
      </w:r>
      <w:r>
        <w:rPr>
          <w:spacing w:val="-3"/>
        </w:rPr>
        <w:t>La </w:t>
      </w:r>
      <w:r>
        <w:rPr/>
        <w:t>altura máxima de la cuenca supera más de 3000 msnm</w:t>
      </w:r>
      <w:r>
        <w:rPr>
          <w:spacing w:val="-11"/>
        </w:rPr>
        <w:t> </w:t>
      </w:r>
      <w:r>
        <w:rPr/>
        <w:t>y</w:t>
      </w:r>
      <w:r>
        <w:rPr>
          <w:spacing w:val="-6"/>
        </w:rPr>
        <w:t> </w:t>
      </w:r>
      <w:r>
        <w:rPr/>
        <w:t>un</w:t>
      </w:r>
      <w:r>
        <w:rPr>
          <w:spacing w:val="-6"/>
        </w:rPr>
        <w:t> </w:t>
      </w:r>
      <w:r>
        <w:rPr/>
        <w:t>poco</w:t>
      </w:r>
      <w:r>
        <w:rPr>
          <w:spacing w:val="-6"/>
        </w:rPr>
        <w:t> </w:t>
      </w:r>
      <w:r>
        <w:rPr/>
        <w:t>más</w:t>
      </w:r>
      <w:r>
        <w:rPr>
          <w:spacing w:val="-6"/>
        </w:rPr>
        <w:t> </w:t>
      </w:r>
      <w:r>
        <w:rPr/>
        <w:t>del</w:t>
      </w:r>
      <w:r>
        <w:rPr>
          <w:spacing w:val="-6"/>
        </w:rPr>
        <w:t> </w:t>
      </w:r>
      <w:r>
        <w:rPr/>
        <w:t>50%</w:t>
      </w:r>
      <w:r>
        <w:rPr>
          <w:spacing w:val="-6"/>
        </w:rPr>
        <w:t> </w:t>
      </w:r>
      <w:r>
        <w:rPr/>
        <w:t>de</w:t>
      </w:r>
      <w:r>
        <w:rPr>
          <w:spacing w:val="-6"/>
        </w:rPr>
        <w:t> </w:t>
      </w:r>
      <w:r>
        <w:rPr/>
        <w:t>la</w:t>
      </w:r>
      <w:r>
        <w:rPr>
          <w:spacing w:val="-6"/>
        </w:rPr>
        <w:t> </w:t>
      </w:r>
      <w:r>
        <w:rPr/>
        <w:t>cuenca</w:t>
      </w:r>
      <w:r>
        <w:rPr>
          <w:spacing w:val="-6"/>
        </w:rPr>
        <w:t> </w:t>
      </w:r>
      <w:r>
        <w:rPr/>
        <w:t>se</w:t>
      </w:r>
      <w:r>
        <w:rPr>
          <w:spacing w:val="-6"/>
        </w:rPr>
        <w:t> </w:t>
      </w:r>
      <w:r>
        <w:rPr/>
        <w:t>asienta</w:t>
      </w:r>
      <w:r>
        <w:rPr>
          <w:spacing w:val="-6"/>
        </w:rPr>
        <w:t> </w:t>
      </w:r>
      <w:r>
        <w:rPr/>
        <w:t>en</w:t>
      </w:r>
      <w:r>
        <w:rPr>
          <w:spacing w:val="-6"/>
        </w:rPr>
        <w:t> </w:t>
      </w:r>
      <w:r>
        <w:rPr/>
        <w:t>pendientes</w:t>
      </w:r>
      <w:r>
        <w:rPr>
          <w:spacing w:val="-6"/>
        </w:rPr>
        <w:t> </w:t>
      </w:r>
      <w:r>
        <w:rPr/>
        <w:t>de</w:t>
      </w:r>
      <w:r>
        <w:rPr>
          <w:spacing w:val="-6"/>
        </w:rPr>
        <w:t> </w:t>
      </w:r>
      <w:r>
        <w:rPr/>
        <w:t>más</w:t>
      </w:r>
      <w:r>
        <w:rPr>
          <w:spacing w:val="-6"/>
        </w:rPr>
        <w:t> </w:t>
      </w:r>
      <w:r>
        <w:rPr/>
        <w:t>de</w:t>
      </w:r>
      <w:r>
        <w:rPr>
          <w:spacing w:val="-6"/>
        </w:rPr>
        <w:t> </w:t>
      </w:r>
      <w:r>
        <w:rPr/>
        <w:t>2600</w:t>
      </w:r>
      <w:r>
        <w:rPr>
          <w:spacing w:val="-6"/>
        </w:rPr>
        <w:t> </w:t>
      </w:r>
      <w:r>
        <w:rPr/>
        <w:t>msnm.</w:t>
      </w:r>
    </w:p>
    <w:p>
      <w:pPr>
        <w:pStyle w:val="BodyText"/>
      </w:pPr>
    </w:p>
    <w:p>
      <w:pPr>
        <w:pStyle w:val="BodyText"/>
        <w:spacing w:line="360" w:lineRule="auto" w:before="156"/>
        <w:ind w:left="116" w:right="110"/>
        <w:jc w:val="both"/>
      </w:pPr>
      <w:r>
        <w:rPr/>
        <w:t>Además la relación hipsométrica sirve para conocer el posible rango de antigüedad de una cuenca, es decir, cuando se tienen valores menores de 1, se considera una cuenca joven y potencialmente erosiva, cuando son iguales a 1 la cuenca está en equilibrio y, cuando es mayor</w:t>
      </w:r>
      <w:r>
        <w:rPr>
          <w:spacing w:val="-6"/>
        </w:rPr>
        <w:t> </w:t>
      </w:r>
      <w:r>
        <w:rPr/>
        <w:t>a</w:t>
      </w:r>
      <w:r>
        <w:rPr>
          <w:spacing w:val="-6"/>
        </w:rPr>
        <w:t> </w:t>
      </w:r>
      <w:r>
        <w:rPr/>
        <w:t>1,</w:t>
      </w:r>
      <w:r>
        <w:rPr>
          <w:spacing w:val="-8"/>
        </w:rPr>
        <w:t> </w:t>
      </w:r>
      <w:r>
        <w:rPr/>
        <w:t>como</w:t>
      </w:r>
      <w:r>
        <w:rPr>
          <w:spacing w:val="-6"/>
        </w:rPr>
        <w:t> </w:t>
      </w:r>
      <w:r>
        <w:rPr/>
        <w:t>en</w:t>
      </w:r>
      <w:r>
        <w:rPr>
          <w:spacing w:val="-6"/>
        </w:rPr>
        <w:t> </w:t>
      </w:r>
      <w:r>
        <w:rPr/>
        <w:t>el</w:t>
      </w:r>
      <w:r>
        <w:rPr>
          <w:spacing w:val="-11"/>
        </w:rPr>
        <w:t> </w:t>
      </w:r>
      <w:r>
        <w:rPr/>
        <w:t>caso</w:t>
      </w:r>
      <w:r>
        <w:rPr>
          <w:spacing w:val="-6"/>
        </w:rPr>
        <w:t> </w:t>
      </w:r>
      <w:r>
        <w:rPr/>
        <w:t>de</w:t>
      </w:r>
      <w:r>
        <w:rPr>
          <w:spacing w:val="-11"/>
        </w:rPr>
        <w:t> </w:t>
      </w:r>
      <w:r>
        <w:rPr/>
        <w:t>la</w:t>
      </w:r>
      <w:r>
        <w:rPr>
          <w:spacing w:val="-11"/>
        </w:rPr>
        <w:t> </w:t>
      </w:r>
      <w:r>
        <w:rPr/>
        <w:t>cuenca</w:t>
      </w:r>
      <w:r>
        <w:rPr>
          <w:spacing w:val="-10"/>
        </w:rPr>
        <w:t> </w:t>
      </w:r>
      <w:r>
        <w:rPr/>
        <w:t>El</w:t>
      </w:r>
      <w:r>
        <w:rPr>
          <w:spacing w:val="-6"/>
        </w:rPr>
        <w:t> </w:t>
      </w:r>
      <w:r>
        <w:rPr/>
        <w:t>Tejocote</w:t>
      </w:r>
      <w:r>
        <w:rPr>
          <w:spacing w:val="-6"/>
        </w:rPr>
        <w:t> </w:t>
      </w:r>
      <w:r>
        <w:rPr/>
        <w:t>se</w:t>
      </w:r>
      <w:r>
        <w:rPr>
          <w:spacing w:val="-6"/>
        </w:rPr>
        <w:t> </w:t>
      </w:r>
      <w:r>
        <w:rPr/>
        <w:t>suponen</w:t>
      </w:r>
      <w:r>
        <w:rPr>
          <w:spacing w:val="-11"/>
        </w:rPr>
        <w:t> </w:t>
      </w:r>
      <w:r>
        <w:rPr/>
        <w:t>antiguas</w:t>
      </w:r>
      <w:r>
        <w:rPr>
          <w:spacing w:val="-6"/>
        </w:rPr>
        <w:t> </w:t>
      </w:r>
      <w:r>
        <w:rPr/>
        <w:t>o</w:t>
      </w:r>
      <w:r>
        <w:rPr>
          <w:spacing w:val="-6"/>
        </w:rPr>
        <w:t> </w:t>
      </w:r>
      <w:r>
        <w:rPr/>
        <w:t>viejas</w:t>
      </w:r>
      <w:r>
        <w:rPr>
          <w:spacing w:val="-6"/>
        </w:rPr>
        <w:t> </w:t>
      </w:r>
      <w:r>
        <w:rPr/>
        <w:t>por</w:t>
      </w:r>
      <w:r>
        <w:rPr>
          <w:spacing w:val="-6"/>
        </w:rPr>
        <w:t> </w:t>
      </w:r>
      <w:r>
        <w:rPr/>
        <w:t>tanto, sedimentarias.</w:t>
      </w:r>
    </w:p>
    <w:p>
      <w:pPr>
        <w:pStyle w:val="BodyText"/>
        <w:spacing w:before="2"/>
        <w:rPr>
          <w:sz w:val="21"/>
        </w:rPr>
      </w:pPr>
    </w:p>
    <w:p>
      <w:pPr>
        <w:pStyle w:val="Heading1"/>
        <w:numPr>
          <w:ilvl w:val="2"/>
          <w:numId w:val="43"/>
        </w:numPr>
        <w:tabs>
          <w:tab w:pos="706" w:val="left" w:leader="none"/>
        </w:tabs>
        <w:spacing w:line="240" w:lineRule="auto" w:before="0" w:after="0"/>
        <w:ind w:left="705" w:right="0" w:hanging="589"/>
        <w:jc w:val="both"/>
      </w:pPr>
      <w:bookmarkStart w:name="_bookmark91" w:id="137"/>
      <w:bookmarkEnd w:id="137"/>
      <w:r>
        <w:rPr>
          <w:b w:val="0"/>
        </w:rPr>
      </w:r>
      <w:bookmarkStart w:name="_bookmark91" w:id="138"/>
      <w:bookmarkEnd w:id="138"/>
      <w:r>
        <w:rPr>
          <w:spacing w:val="-3"/>
        </w:rPr>
        <w:t>F</w:t>
      </w:r>
      <w:r>
        <w:rPr>
          <w:spacing w:val="-3"/>
        </w:rPr>
        <w:t>orma de </w:t>
      </w:r>
      <w:r>
        <w:rPr/>
        <w:t>la</w:t>
      </w:r>
      <w:r>
        <w:rPr>
          <w:spacing w:val="12"/>
        </w:rPr>
        <w:t> </w:t>
      </w:r>
      <w:r>
        <w:rPr/>
        <w:t>cuenca</w:t>
      </w:r>
    </w:p>
    <w:p>
      <w:pPr>
        <w:pStyle w:val="BodyText"/>
        <w:spacing w:line="360" w:lineRule="auto" w:before="210"/>
        <w:ind w:left="116" w:right="112"/>
        <w:jc w:val="both"/>
      </w:pPr>
      <w:r>
        <w:rPr/>
        <w:t>La forma de la cuenca El Tejocote se analizó a través del coeficiente de compacidad y de la relación de circularidad, demostrando una forma alargada con mayor tiempo de concentración del agua al interior.</w:t>
      </w:r>
    </w:p>
    <w:p>
      <w:pPr>
        <w:spacing w:after="0" w:line="360" w:lineRule="auto"/>
        <w:jc w:val="both"/>
        <w:sectPr>
          <w:pgSz w:w="12240" w:h="15840"/>
          <w:pgMar w:header="0" w:footer="1473" w:top="1360" w:bottom="1660" w:left="1300" w:right="1300"/>
        </w:sectPr>
      </w:pPr>
    </w:p>
    <w:p>
      <w:pPr>
        <w:pStyle w:val="Heading1"/>
        <w:numPr>
          <w:ilvl w:val="3"/>
          <w:numId w:val="43"/>
        </w:numPr>
        <w:tabs>
          <w:tab w:pos="898" w:val="left" w:leader="none"/>
        </w:tabs>
        <w:spacing w:line="240" w:lineRule="auto" w:before="53" w:after="0"/>
        <w:ind w:left="897" w:right="0" w:hanging="781"/>
        <w:jc w:val="both"/>
      </w:pPr>
      <w:r>
        <w:rPr/>
        <w:t>Coeficiente </w:t>
      </w:r>
      <w:r>
        <w:rPr>
          <w:spacing w:val="-3"/>
        </w:rPr>
        <w:t>de</w:t>
      </w:r>
      <w:r>
        <w:rPr>
          <w:spacing w:val="-5"/>
        </w:rPr>
        <w:t> </w:t>
      </w:r>
      <w:r>
        <w:rPr/>
        <w:t>compacidad</w:t>
      </w:r>
    </w:p>
    <w:p>
      <w:pPr>
        <w:pStyle w:val="BodyText"/>
        <w:spacing w:line="360" w:lineRule="auto" w:before="147"/>
        <w:ind w:left="116" w:right="117"/>
        <w:jc w:val="both"/>
      </w:pPr>
      <w:r>
        <w:rPr>
          <w:spacing w:val="-3"/>
        </w:rPr>
        <w:t>La </w:t>
      </w:r>
      <w:r>
        <w:rPr/>
        <w:t>forma de la cuenca interviene de manera importante en el comportamiento del agua al caer a la superficie, por la velocidad que adquiere y la erosión que produce y además, por el tiempo que tarda en llegar a los límites de la cuenca a la salida de la misma. Cuanto</w:t>
      </w:r>
      <w:r>
        <w:rPr>
          <w:spacing w:val="-42"/>
        </w:rPr>
        <w:t> </w:t>
      </w:r>
      <w:r>
        <w:rPr/>
        <w:t>más irregular sea la cuenca, mayor será su coeficiente de</w:t>
      </w:r>
      <w:r>
        <w:rPr>
          <w:spacing w:val="-13"/>
        </w:rPr>
        <w:t> </w:t>
      </w:r>
      <w:r>
        <w:rPr/>
        <w:t>compacidad.</w:t>
      </w:r>
    </w:p>
    <w:p>
      <w:pPr>
        <w:pStyle w:val="BodyText"/>
        <w:spacing w:before="7"/>
      </w:pPr>
    </w:p>
    <w:p>
      <w:pPr>
        <w:pStyle w:val="BodyText"/>
        <w:spacing w:line="360" w:lineRule="auto"/>
        <w:ind w:left="116" w:right="118"/>
        <w:jc w:val="both"/>
      </w:pPr>
      <w:r>
        <w:rPr/>
        <w:t>Una cuenca circular tendrá un coeficiente de compacidad mínimo, igual a 1 y, una cuenca alargada suele tener valor mayores o igual a 3. Por tanto al considerar que para la cuenca El Tejocote el índice es de 1.7, se tendría que poseer una forma ligeramente alargada con mayor tiempo de concentración del agua y, de allí, es de esperarse que la magnitud de la escorrentía generada por una precipitación sea menor también.</w:t>
      </w:r>
    </w:p>
    <w:p>
      <w:pPr>
        <w:pStyle w:val="BodyText"/>
      </w:pPr>
    </w:p>
    <w:p>
      <w:pPr>
        <w:pStyle w:val="Heading1"/>
        <w:numPr>
          <w:ilvl w:val="3"/>
          <w:numId w:val="43"/>
        </w:numPr>
        <w:tabs>
          <w:tab w:pos="898" w:val="left" w:leader="none"/>
        </w:tabs>
        <w:spacing w:line="240" w:lineRule="auto" w:before="155" w:after="0"/>
        <w:ind w:left="897" w:right="0" w:hanging="781"/>
        <w:jc w:val="both"/>
      </w:pPr>
      <w:r>
        <w:rPr/>
        <w:t>Relación </w:t>
      </w:r>
      <w:r>
        <w:rPr>
          <w:spacing w:val="-3"/>
        </w:rPr>
        <w:t>de</w:t>
      </w:r>
      <w:r>
        <w:rPr>
          <w:spacing w:val="-1"/>
        </w:rPr>
        <w:t> </w:t>
      </w:r>
      <w:r>
        <w:rPr/>
        <w:t>circularidad</w:t>
      </w:r>
    </w:p>
    <w:p>
      <w:pPr>
        <w:pStyle w:val="BodyText"/>
        <w:spacing w:line="360" w:lineRule="auto" w:before="147"/>
        <w:ind w:left="116" w:right="114"/>
        <w:jc w:val="both"/>
      </w:pPr>
      <w:r>
        <w:rPr/>
        <w:t>Es el cociente entre el área de la cuenca y la del círculo cuya circunferencia es equivalente al perímetro de la cuenca. Tiene un valor unitario cuando la cuenca es circular, cuando es cuadrada su valor será 0.785. Para la cuenca El Tejocote el valor es de 0.32 indicando una forma ligeramente alargada.</w:t>
      </w:r>
    </w:p>
    <w:p>
      <w:pPr>
        <w:pStyle w:val="BodyText"/>
        <w:spacing w:before="7"/>
        <w:rPr>
          <w:sz w:val="21"/>
        </w:rPr>
      </w:pPr>
    </w:p>
    <w:p>
      <w:pPr>
        <w:pStyle w:val="Heading1"/>
        <w:ind w:left="116"/>
        <w:jc w:val="both"/>
      </w:pPr>
      <w:bookmarkStart w:name="_bookmark92" w:id="139"/>
      <w:bookmarkEnd w:id="139"/>
      <w:r>
        <w:rPr>
          <w:b w:val="0"/>
        </w:rPr>
      </w:r>
      <w:r>
        <w:rPr/>
        <w:t>4.3.6 Red de drenaje</w:t>
      </w:r>
    </w:p>
    <w:p>
      <w:pPr>
        <w:pStyle w:val="BodyText"/>
        <w:spacing w:line="357" w:lineRule="auto" w:before="210"/>
        <w:ind w:left="116" w:right="117"/>
        <w:jc w:val="both"/>
      </w:pPr>
      <w:r>
        <w:rPr/>
        <w:t>Como se mencionó anteriormente en la conceptualización de la red drenaje, ésta incluye los análisis de orden de corrientes, densidad de drenaje, densidad de corrientes,</w:t>
      </w:r>
      <w:r>
        <w:rPr>
          <w:spacing w:val="-10"/>
        </w:rPr>
        <w:t> </w:t>
      </w:r>
      <w:r>
        <w:rPr/>
        <w:t>sinuosidad de las corrientes, pendientes del cauce y tiempo de concentración de Kirpich, entre</w:t>
      </w:r>
      <w:r>
        <w:rPr>
          <w:spacing w:val="-12"/>
        </w:rPr>
        <w:t> </w:t>
      </w:r>
      <w:r>
        <w:rPr/>
        <w:t>otras.</w:t>
      </w:r>
    </w:p>
    <w:p>
      <w:pPr>
        <w:pStyle w:val="Heading1"/>
        <w:spacing w:before="213"/>
        <w:ind w:left="116"/>
        <w:jc w:val="both"/>
      </w:pPr>
      <w:r>
        <w:rPr/>
        <w:t>4.3.6.1 Orden de corrientes</w:t>
      </w:r>
    </w:p>
    <w:p>
      <w:pPr>
        <w:pStyle w:val="BodyText"/>
        <w:spacing w:line="360" w:lineRule="auto" w:before="147"/>
        <w:ind w:left="116" w:right="110"/>
        <w:jc w:val="both"/>
      </w:pPr>
      <w:r>
        <w:rPr/>
        <w:t>El orden de la cuenca está dado por el orden del cauce principal, entre más alto es el orden de la cuenca, indica un drenaje más eficiente que desalojará rápidamente el agua. En la cuenca se contabilizaron un total de 362 corrientes, de las cuales el 71.82% corresponde</w:t>
      </w:r>
      <w:r>
        <w:rPr>
          <w:spacing w:val="-15"/>
        </w:rPr>
        <w:t> </w:t>
      </w:r>
      <w:r>
        <w:rPr/>
        <w:t>al primer</w:t>
      </w:r>
      <w:r>
        <w:rPr>
          <w:spacing w:val="-11"/>
        </w:rPr>
        <w:t> </w:t>
      </w:r>
      <w:r>
        <w:rPr/>
        <w:t>orden,</w:t>
      </w:r>
      <w:r>
        <w:rPr>
          <w:spacing w:val="-9"/>
        </w:rPr>
        <w:t> </w:t>
      </w:r>
      <w:r>
        <w:rPr/>
        <w:t>24.03%</w:t>
      </w:r>
      <w:r>
        <w:rPr>
          <w:spacing w:val="-11"/>
        </w:rPr>
        <w:t> </w:t>
      </w:r>
      <w:r>
        <w:rPr/>
        <w:t>de</w:t>
      </w:r>
      <w:r>
        <w:rPr>
          <w:spacing w:val="-11"/>
        </w:rPr>
        <w:t> </w:t>
      </w:r>
      <w:r>
        <w:rPr/>
        <w:t>segundo</w:t>
      </w:r>
      <w:r>
        <w:rPr>
          <w:spacing w:val="-11"/>
        </w:rPr>
        <w:t> </w:t>
      </w:r>
      <w:r>
        <w:rPr/>
        <w:t>orden</w:t>
      </w:r>
      <w:r>
        <w:rPr>
          <w:spacing w:val="-11"/>
        </w:rPr>
        <w:t> </w:t>
      </w:r>
      <w:r>
        <w:rPr/>
        <w:t>y</w:t>
      </w:r>
      <w:r>
        <w:rPr>
          <w:spacing w:val="-8"/>
        </w:rPr>
        <w:t> </w:t>
      </w:r>
      <w:r>
        <w:rPr/>
        <w:t>4.15%</w:t>
      </w:r>
      <w:r>
        <w:rPr>
          <w:spacing w:val="-11"/>
        </w:rPr>
        <w:t> </w:t>
      </w:r>
      <w:r>
        <w:rPr/>
        <w:t>de</w:t>
      </w:r>
      <w:r>
        <w:rPr>
          <w:spacing w:val="-11"/>
        </w:rPr>
        <w:t> </w:t>
      </w:r>
      <w:r>
        <w:rPr/>
        <w:t>tercer</w:t>
      </w:r>
      <w:r>
        <w:rPr>
          <w:spacing w:val="-10"/>
        </w:rPr>
        <w:t> </w:t>
      </w:r>
      <w:r>
        <w:rPr/>
        <w:t>y</w:t>
      </w:r>
      <w:r>
        <w:rPr>
          <w:spacing w:val="-16"/>
        </w:rPr>
        <w:t> </w:t>
      </w:r>
      <w:r>
        <w:rPr/>
        <w:t>cuarto</w:t>
      </w:r>
      <w:r>
        <w:rPr>
          <w:spacing w:val="-11"/>
        </w:rPr>
        <w:t> </w:t>
      </w:r>
      <w:r>
        <w:rPr/>
        <w:t>orden,</w:t>
      </w:r>
      <w:r>
        <w:rPr>
          <w:spacing w:val="-13"/>
        </w:rPr>
        <w:t> </w:t>
      </w:r>
      <w:r>
        <w:rPr/>
        <w:t>el</w:t>
      </w:r>
      <w:r>
        <w:rPr>
          <w:spacing w:val="-16"/>
        </w:rPr>
        <w:t> </w:t>
      </w:r>
      <w:r>
        <w:rPr/>
        <w:t>tipo</w:t>
      </w:r>
      <w:r>
        <w:rPr>
          <w:spacing w:val="-11"/>
        </w:rPr>
        <w:t> </w:t>
      </w:r>
      <w:r>
        <w:rPr/>
        <w:t>de</w:t>
      </w:r>
      <w:r>
        <w:rPr>
          <w:spacing w:val="-16"/>
        </w:rPr>
        <w:t> </w:t>
      </w:r>
      <w:r>
        <w:rPr/>
        <w:t>drenaje es radial como se muestra en la Figura</w:t>
      </w:r>
      <w:r>
        <w:rPr>
          <w:spacing w:val="-6"/>
        </w:rPr>
        <w:t> </w:t>
      </w:r>
      <w:r>
        <w:rPr/>
        <w:t>27.</w:t>
      </w:r>
    </w:p>
    <w:p>
      <w:pPr>
        <w:spacing w:after="0" w:line="360" w:lineRule="auto"/>
        <w:jc w:val="both"/>
        <w:sectPr>
          <w:pgSz w:w="12240" w:h="15840"/>
          <w:pgMar w:header="0" w:footer="1473" w:top="1360" w:bottom="1660" w:left="1300" w:right="1300"/>
        </w:sectPr>
      </w:pPr>
    </w:p>
    <w:p>
      <w:pPr>
        <w:pStyle w:val="BodyText"/>
        <w:spacing w:before="9"/>
        <w:rPr>
          <w:sz w:val="23"/>
        </w:rPr>
      </w:pPr>
    </w:p>
    <w:p>
      <w:pPr>
        <w:pStyle w:val="BodyText"/>
        <w:ind w:left="118"/>
        <w:rPr>
          <w:sz w:val="20"/>
        </w:rPr>
      </w:pPr>
      <w:r>
        <w:rPr>
          <w:sz w:val="20"/>
        </w:rPr>
        <w:drawing>
          <wp:inline distT="0" distB="0" distL="0" distR="0">
            <wp:extent cx="8383214" cy="5129784"/>
            <wp:effectExtent l="0" t="0" r="0" b="0"/>
            <wp:docPr id="25" name="image84.jpeg" descr=""/>
            <wp:cNvGraphicFramePr>
              <a:graphicFrameLocks noChangeAspect="1"/>
            </wp:cNvGraphicFramePr>
            <a:graphic>
              <a:graphicData uri="http://schemas.openxmlformats.org/drawingml/2006/picture">
                <pic:pic>
                  <pic:nvPicPr>
                    <pic:cNvPr id="26" name="image84.jpeg"/>
                    <pic:cNvPicPr/>
                  </pic:nvPicPr>
                  <pic:blipFill>
                    <a:blip r:embed="rId116" cstate="print"/>
                    <a:stretch>
                      <a:fillRect/>
                    </a:stretch>
                  </pic:blipFill>
                  <pic:spPr>
                    <a:xfrm>
                      <a:off x="0" y="0"/>
                      <a:ext cx="8383214" cy="5129784"/>
                    </a:xfrm>
                    <a:prstGeom prst="rect">
                      <a:avLst/>
                    </a:prstGeom>
                  </pic:spPr>
                </pic:pic>
              </a:graphicData>
            </a:graphic>
          </wp:inline>
        </w:drawing>
      </w:r>
      <w:r>
        <w:rPr>
          <w:sz w:val="20"/>
        </w:rPr>
      </w:r>
    </w:p>
    <w:p>
      <w:pPr>
        <w:pStyle w:val="Heading1"/>
        <w:spacing w:before="113"/>
        <w:ind w:left="3496"/>
        <w:rPr>
          <w:b w:val="0"/>
          <w:i/>
        </w:rPr>
      </w:pPr>
      <w:bookmarkStart w:name="_bookmark93" w:id="140"/>
      <w:bookmarkEnd w:id="140"/>
      <w:r>
        <w:rPr>
          <w:b w:val="0"/>
        </w:rPr>
      </w:r>
      <w:r>
        <w:rPr/>
        <w:t>Figura 27. Orden de corrientes de la cuenca El Tejocote</w:t>
      </w:r>
      <w:r>
        <w:rPr>
          <w:b w:val="0"/>
          <w:i/>
        </w:rPr>
        <w:t>.</w:t>
      </w:r>
    </w:p>
    <w:p>
      <w:pPr>
        <w:pStyle w:val="BodyText"/>
        <w:rPr>
          <w:i/>
          <w:sz w:val="20"/>
        </w:rPr>
      </w:pPr>
    </w:p>
    <w:p>
      <w:pPr>
        <w:pStyle w:val="BodyText"/>
        <w:spacing w:before="9"/>
        <w:rPr>
          <w:i/>
          <w:sz w:val="28"/>
        </w:rPr>
      </w:pPr>
    </w:p>
    <w:p>
      <w:pPr>
        <w:spacing w:before="56"/>
        <w:ind w:left="0" w:right="255" w:firstLine="0"/>
        <w:jc w:val="right"/>
        <w:rPr>
          <w:rFonts w:ascii="Calibri"/>
          <w:sz w:val="22"/>
        </w:rPr>
      </w:pPr>
      <w:r>
        <w:rPr>
          <w:rFonts w:ascii="Calibri"/>
          <w:sz w:val="22"/>
        </w:rPr>
        <w:t>119</w:t>
      </w:r>
    </w:p>
    <w:p>
      <w:pPr>
        <w:spacing w:after="0"/>
        <w:jc w:val="right"/>
        <w:rPr>
          <w:rFonts w:ascii="Calibri"/>
          <w:sz w:val="22"/>
        </w:rPr>
        <w:sectPr>
          <w:footerReference w:type="default" r:id="rId128"/>
          <w:pgSz w:w="15840" w:h="12240" w:orient="landscape"/>
          <w:pgMar w:footer="0" w:header="0" w:top="1140" w:bottom="280" w:left="1300" w:right="1160"/>
        </w:sectPr>
      </w:pPr>
    </w:p>
    <w:p>
      <w:pPr>
        <w:pStyle w:val="Heading1"/>
        <w:spacing w:before="53"/>
        <w:ind w:left="116"/>
        <w:jc w:val="both"/>
      </w:pPr>
      <w:r>
        <w:rPr/>
        <w:t>4.2.6.2 Densidad de drenaje</w:t>
      </w:r>
    </w:p>
    <w:p>
      <w:pPr>
        <w:pStyle w:val="BodyText"/>
        <w:spacing w:line="360" w:lineRule="auto" w:before="147"/>
        <w:ind w:left="116" w:right="119"/>
        <w:jc w:val="both"/>
      </w:pPr>
      <w:r>
        <w:rPr>
          <w:spacing w:val="-3"/>
        </w:rPr>
        <w:t>Se </w:t>
      </w:r>
      <w:r>
        <w:rPr/>
        <w:t>considera bajo la definición de la densidad de drenaje que, entre mayor densidad de drenaje,</w:t>
      </w:r>
      <w:r>
        <w:rPr>
          <w:spacing w:val="-4"/>
        </w:rPr>
        <w:t> </w:t>
      </w:r>
      <w:r>
        <w:rPr/>
        <w:t>más</w:t>
      </w:r>
      <w:r>
        <w:rPr>
          <w:spacing w:val="-7"/>
        </w:rPr>
        <w:t> </w:t>
      </w:r>
      <w:r>
        <w:rPr/>
        <w:t>rápida</w:t>
      </w:r>
      <w:r>
        <w:rPr>
          <w:spacing w:val="-7"/>
        </w:rPr>
        <w:t> </w:t>
      </w:r>
      <w:r>
        <w:rPr/>
        <w:t>será</w:t>
      </w:r>
      <w:r>
        <w:rPr>
          <w:spacing w:val="-7"/>
        </w:rPr>
        <w:t> </w:t>
      </w:r>
      <w:r>
        <w:rPr/>
        <w:t>la</w:t>
      </w:r>
      <w:r>
        <w:rPr>
          <w:spacing w:val="-7"/>
        </w:rPr>
        <w:t> </w:t>
      </w:r>
      <w:r>
        <w:rPr/>
        <w:t>respuesta</w:t>
      </w:r>
      <w:r>
        <w:rPr>
          <w:spacing w:val="-7"/>
        </w:rPr>
        <w:t> </w:t>
      </w:r>
      <w:r>
        <w:rPr/>
        <w:t>de</w:t>
      </w:r>
      <w:r>
        <w:rPr>
          <w:spacing w:val="-7"/>
        </w:rPr>
        <w:t> </w:t>
      </w:r>
      <w:r>
        <w:rPr/>
        <w:t>la</w:t>
      </w:r>
      <w:r>
        <w:rPr>
          <w:spacing w:val="-7"/>
        </w:rPr>
        <w:t> </w:t>
      </w:r>
      <w:r>
        <w:rPr/>
        <w:t>cuenca</w:t>
      </w:r>
      <w:r>
        <w:rPr>
          <w:spacing w:val="-7"/>
        </w:rPr>
        <w:t> </w:t>
      </w:r>
      <w:r>
        <w:rPr/>
        <w:t>frente</w:t>
      </w:r>
      <w:r>
        <w:rPr>
          <w:spacing w:val="-7"/>
        </w:rPr>
        <w:t> </w:t>
      </w:r>
      <w:r>
        <w:rPr/>
        <w:t>a</w:t>
      </w:r>
      <w:r>
        <w:rPr>
          <w:spacing w:val="-7"/>
        </w:rPr>
        <w:t> </w:t>
      </w:r>
      <w:r>
        <w:rPr/>
        <w:t>una</w:t>
      </w:r>
      <w:r>
        <w:rPr>
          <w:spacing w:val="-7"/>
        </w:rPr>
        <w:t> </w:t>
      </w:r>
      <w:r>
        <w:rPr/>
        <w:t>tormenta,</w:t>
      </w:r>
      <w:r>
        <w:rPr>
          <w:spacing w:val="-5"/>
        </w:rPr>
        <w:t> </w:t>
      </w:r>
      <w:r>
        <w:rPr/>
        <w:t>evacuando</w:t>
      </w:r>
      <w:r>
        <w:rPr>
          <w:spacing w:val="-7"/>
        </w:rPr>
        <w:t> </w:t>
      </w:r>
      <w:r>
        <w:rPr/>
        <w:t>el</w:t>
      </w:r>
      <w:r>
        <w:rPr>
          <w:spacing w:val="-7"/>
        </w:rPr>
        <w:t> </w:t>
      </w:r>
      <w:r>
        <w:rPr/>
        <w:t>agua en menos tiempo. </w:t>
      </w:r>
      <w:r>
        <w:rPr>
          <w:spacing w:val="-3"/>
        </w:rPr>
        <w:t>La </w:t>
      </w:r>
      <w:r>
        <w:rPr/>
        <w:t>cuenca tiene una densidad baja de 0.17</w:t>
      </w:r>
      <w:r>
        <w:rPr>
          <w:spacing w:val="6"/>
        </w:rPr>
        <w:t> </w:t>
      </w:r>
      <w:r>
        <w:rPr/>
        <w:t>km/km</w:t>
      </w:r>
      <w:r>
        <w:rPr>
          <w:position w:val="9"/>
          <w:sz w:val="16"/>
        </w:rPr>
        <w:t>2</w:t>
      </w:r>
      <w:r>
        <w:rPr/>
        <w:t>.</w:t>
      </w:r>
    </w:p>
    <w:p>
      <w:pPr>
        <w:pStyle w:val="BodyText"/>
        <w:spacing w:before="10"/>
        <w:rPr>
          <w:sz w:val="39"/>
        </w:rPr>
      </w:pPr>
    </w:p>
    <w:p>
      <w:pPr>
        <w:pStyle w:val="Heading1"/>
        <w:numPr>
          <w:ilvl w:val="3"/>
          <w:numId w:val="44"/>
        </w:numPr>
        <w:tabs>
          <w:tab w:pos="898" w:val="left" w:leader="none"/>
        </w:tabs>
        <w:spacing w:line="240" w:lineRule="auto" w:before="0" w:after="0"/>
        <w:ind w:left="897" w:right="0" w:hanging="781"/>
        <w:jc w:val="both"/>
      </w:pPr>
      <w:r>
        <w:rPr/>
        <w:t>Densidad </w:t>
      </w:r>
      <w:r>
        <w:rPr>
          <w:spacing w:val="-3"/>
        </w:rPr>
        <w:t>de</w:t>
      </w:r>
      <w:r>
        <w:rPr>
          <w:spacing w:val="-7"/>
        </w:rPr>
        <w:t> </w:t>
      </w:r>
      <w:r>
        <w:rPr/>
        <w:t>corrientes</w:t>
      </w:r>
    </w:p>
    <w:p>
      <w:pPr>
        <w:pStyle w:val="BodyText"/>
        <w:spacing w:line="352" w:lineRule="auto" w:before="143"/>
        <w:ind w:left="116" w:right="114"/>
        <w:jc w:val="both"/>
      </w:pPr>
      <w:r>
        <w:rPr/>
        <w:t>Los valores altos de densidad de corriente significan un buen drenaje, en este sentido la cuenca El Tejocote tiene una densidad de 1.06 km</w:t>
      </w:r>
      <w:r>
        <w:rPr>
          <w:position w:val="9"/>
          <w:sz w:val="17"/>
        </w:rPr>
        <w:t>2</w:t>
      </w:r>
      <w:r>
        <w:rPr/>
        <w:t>, un poco baja.</w:t>
      </w:r>
    </w:p>
    <w:p>
      <w:pPr>
        <w:pStyle w:val="BodyText"/>
        <w:spacing w:before="3"/>
        <w:rPr>
          <w:sz w:val="40"/>
        </w:rPr>
      </w:pPr>
    </w:p>
    <w:p>
      <w:pPr>
        <w:pStyle w:val="Heading1"/>
        <w:numPr>
          <w:ilvl w:val="3"/>
          <w:numId w:val="44"/>
        </w:numPr>
        <w:tabs>
          <w:tab w:pos="900" w:val="left" w:leader="none"/>
        </w:tabs>
        <w:spacing w:line="240" w:lineRule="auto" w:before="0" w:after="0"/>
        <w:ind w:left="899" w:right="0" w:hanging="783"/>
        <w:jc w:val="both"/>
      </w:pPr>
      <w:r>
        <w:rPr/>
        <w:t>Pendiente del</w:t>
      </w:r>
      <w:r>
        <w:rPr>
          <w:spacing w:val="-11"/>
        </w:rPr>
        <w:t> </w:t>
      </w:r>
      <w:r>
        <w:rPr/>
        <w:t>cauce</w:t>
      </w:r>
    </w:p>
    <w:p>
      <w:pPr>
        <w:pStyle w:val="BodyText"/>
        <w:spacing w:before="148"/>
        <w:ind w:left="116"/>
        <w:jc w:val="both"/>
      </w:pPr>
      <w:r>
        <w:rPr/>
        <w:t>El río que cruza la superficie de la cuenca tiene una elevación de 2.66% en promedio.</w:t>
      </w:r>
    </w:p>
    <w:p>
      <w:pPr>
        <w:pStyle w:val="BodyText"/>
      </w:pPr>
    </w:p>
    <w:p>
      <w:pPr>
        <w:pStyle w:val="BodyText"/>
        <w:spacing w:before="5"/>
      </w:pPr>
    </w:p>
    <w:p>
      <w:pPr>
        <w:pStyle w:val="Heading1"/>
        <w:numPr>
          <w:ilvl w:val="3"/>
          <w:numId w:val="44"/>
        </w:numPr>
        <w:tabs>
          <w:tab w:pos="900" w:val="left" w:leader="none"/>
        </w:tabs>
        <w:spacing w:line="240" w:lineRule="auto" w:before="0" w:after="0"/>
        <w:ind w:left="899" w:right="0" w:hanging="783"/>
        <w:jc w:val="both"/>
      </w:pPr>
      <w:r>
        <w:rPr/>
        <w:t>Tiempo </w:t>
      </w:r>
      <w:r>
        <w:rPr>
          <w:spacing w:val="-3"/>
        </w:rPr>
        <w:t>de </w:t>
      </w:r>
      <w:r>
        <w:rPr/>
        <w:t>concentración </w:t>
      </w:r>
      <w:r>
        <w:rPr>
          <w:spacing w:val="-3"/>
        </w:rPr>
        <w:t>de</w:t>
      </w:r>
      <w:r>
        <w:rPr>
          <w:spacing w:val="4"/>
        </w:rPr>
        <w:t> </w:t>
      </w:r>
      <w:r>
        <w:rPr/>
        <w:t>Kirpich</w:t>
      </w:r>
    </w:p>
    <w:p>
      <w:pPr>
        <w:pStyle w:val="BodyText"/>
        <w:spacing w:line="360" w:lineRule="auto" w:before="143"/>
        <w:ind w:left="116" w:right="110"/>
        <w:jc w:val="both"/>
      </w:pPr>
      <w:r>
        <w:rPr/>
        <w:t>El tiempo de concentración para una cuenca es ampliamente usado como parámetro para estimar el caudal máximo en cuencas no aforadas. El tiempo de concentración se define como el tiempo de viaje de una partícula de agua que recorre el trayecto hidráulicamente más largo hasta la salida de una cuenca, es decir, el tiempo en que comienza a llegar la precipitación de todos los puntos de la cuenca. En la cuenca el tiempo de concentración es de 5.16 a 5.19 horas.</w:t>
      </w:r>
    </w:p>
    <w:p>
      <w:pPr>
        <w:spacing w:after="0" w:line="360" w:lineRule="auto"/>
        <w:jc w:val="both"/>
        <w:sectPr>
          <w:footerReference w:type="default" r:id="rId129"/>
          <w:pgSz w:w="12240" w:h="15840"/>
          <w:pgMar w:footer="1473" w:header="0" w:top="1360" w:bottom="1660" w:left="1300" w:right="1300"/>
          <w:pgNumType w:start="120"/>
        </w:sectPr>
      </w:pPr>
    </w:p>
    <w:p>
      <w:pPr>
        <w:pStyle w:val="Heading1"/>
        <w:spacing w:before="49"/>
        <w:ind w:left="116"/>
        <w:jc w:val="both"/>
      </w:pPr>
      <w:bookmarkStart w:name="_bookmark94" w:id="141"/>
      <w:bookmarkEnd w:id="141"/>
      <w:r>
        <w:rPr>
          <w:b w:val="0"/>
        </w:rPr>
      </w:r>
      <w:r>
        <w:rPr/>
        <w:t>4.4 Factores socioeconómicos de la cuenca El Tejocote</w:t>
      </w:r>
    </w:p>
    <w:p>
      <w:pPr>
        <w:pStyle w:val="BodyText"/>
        <w:rPr>
          <w:b/>
        </w:rPr>
      </w:pPr>
    </w:p>
    <w:p>
      <w:pPr>
        <w:pStyle w:val="BodyText"/>
        <w:spacing w:before="6"/>
        <w:rPr>
          <w:b/>
          <w:sz w:val="31"/>
        </w:rPr>
      </w:pPr>
    </w:p>
    <w:p>
      <w:pPr>
        <w:pStyle w:val="BodyText"/>
        <w:spacing w:line="360" w:lineRule="auto"/>
        <w:ind w:left="116" w:right="117"/>
        <w:jc w:val="both"/>
      </w:pPr>
      <w:r>
        <w:rPr/>
        <w:t>En lo que respecta a su población, la cuenca cuenta con más de 60,000 habitantes y sus localidades con más concentración de población y que presentan cierto grado de consolidación urbana, son: la Cabecera Municipal, Juandó, La Loma y El Agostadero (INEGI, 2010)</w:t>
      </w:r>
    </w:p>
    <w:p>
      <w:pPr>
        <w:pStyle w:val="BodyText"/>
      </w:pPr>
    </w:p>
    <w:p>
      <w:pPr>
        <w:pStyle w:val="BodyText"/>
        <w:spacing w:line="360" w:lineRule="auto" w:before="156"/>
        <w:ind w:left="116" w:right="114"/>
        <w:jc w:val="both"/>
      </w:pPr>
      <w:r>
        <w:rPr/>
        <w:t>De acuerdo con GEM, (2005) existe una centralización de los servicios, estableciéndose como</w:t>
      </w:r>
      <w:r>
        <w:rPr>
          <w:spacing w:val="-13"/>
        </w:rPr>
        <w:t> </w:t>
      </w:r>
      <w:r>
        <w:rPr/>
        <w:t>núcleo</w:t>
      </w:r>
      <w:r>
        <w:rPr>
          <w:spacing w:val="-13"/>
        </w:rPr>
        <w:t> </w:t>
      </w:r>
      <w:r>
        <w:rPr/>
        <w:t>concentrador</w:t>
      </w:r>
      <w:r>
        <w:rPr>
          <w:spacing w:val="-13"/>
        </w:rPr>
        <w:t> </w:t>
      </w:r>
      <w:r>
        <w:rPr/>
        <w:t>la</w:t>
      </w:r>
      <w:r>
        <w:rPr>
          <w:spacing w:val="-13"/>
        </w:rPr>
        <w:t> </w:t>
      </w:r>
      <w:r>
        <w:rPr/>
        <w:t>Cabecera</w:t>
      </w:r>
      <w:r>
        <w:rPr>
          <w:spacing w:val="-17"/>
        </w:rPr>
        <w:t> </w:t>
      </w:r>
      <w:r>
        <w:rPr/>
        <w:t>Municipal.</w:t>
      </w:r>
      <w:r>
        <w:rPr>
          <w:spacing w:val="-11"/>
        </w:rPr>
        <w:t> </w:t>
      </w:r>
      <w:r>
        <w:rPr>
          <w:spacing w:val="-3"/>
        </w:rPr>
        <w:t>La</w:t>
      </w:r>
      <w:r>
        <w:rPr>
          <w:spacing w:val="-13"/>
        </w:rPr>
        <w:t> </w:t>
      </w:r>
      <w:r>
        <w:rPr/>
        <w:t>vía</w:t>
      </w:r>
      <w:r>
        <w:rPr>
          <w:spacing w:val="-13"/>
        </w:rPr>
        <w:t> </w:t>
      </w:r>
      <w:r>
        <w:rPr/>
        <w:t>más</w:t>
      </w:r>
      <w:r>
        <w:rPr>
          <w:spacing w:val="-13"/>
        </w:rPr>
        <w:t> </w:t>
      </w:r>
      <w:r>
        <w:rPr/>
        <w:t>importante</w:t>
      </w:r>
      <w:r>
        <w:rPr>
          <w:spacing w:val="-13"/>
        </w:rPr>
        <w:t> </w:t>
      </w:r>
      <w:r>
        <w:rPr/>
        <w:t>de</w:t>
      </w:r>
      <w:r>
        <w:rPr>
          <w:spacing w:val="-13"/>
        </w:rPr>
        <w:t> </w:t>
      </w:r>
      <w:r>
        <w:rPr/>
        <w:t>comunicación, lo constituye la carretera federal 55, también conocida como Panamericana, la cual posee un</w:t>
      </w:r>
      <w:r>
        <w:rPr>
          <w:spacing w:val="-15"/>
        </w:rPr>
        <w:t> </w:t>
      </w:r>
      <w:r>
        <w:rPr/>
        <w:t>flujo</w:t>
      </w:r>
      <w:r>
        <w:rPr>
          <w:spacing w:val="-15"/>
        </w:rPr>
        <w:t> </w:t>
      </w:r>
      <w:r>
        <w:rPr/>
        <w:t>vehicular</w:t>
      </w:r>
      <w:r>
        <w:rPr>
          <w:spacing w:val="-14"/>
        </w:rPr>
        <w:t> </w:t>
      </w:r>
      <w:r>
        <w:rPr/>
        <w:t>intenso</w:t>
      </w:r>
      <w:r>
        <w:rPr>
          <w:spacing w:val="-15"/>
        </w:rPr>
        <w:t> </w:t>
      </w:r>
      <w:r>
        <w:rPr/>
        <w:t>y</w:t>
      </w:r>
      <w:r>
        <w:rPr>
          <w:spacing w:val="-15"/>
        </w:rPr>
        <w:t> </w:t>
      </w:r>
      <w:r>
        <w:rPr/>
        <w:t>circulación</w:t>
      </w:r>
      <w:r>
        <w:rPr>
          <w:spacing w:val="-14"/>
        </w:rPr>
        <w:t> </w:t>
      </w:r>
      <w:r>
        <w:rPr/>
        <w:t>de</w:t>
      </w:r>
      <w:r>
        <w:rPr>
          <w:spacing w:val="-15"/>
        </w:rPr>
        <w:t> </w:t>
      </w:r>
      <w:r>
        <w:rPr/>
        <w:t>vehículos</w:t>
      </w:r>
      <w:r>
        <w:rPr>
          <w:spacing w:val="-15"/>
        </w:rPr>
        <w:t> </w:t>
      </w:r>
      <w:r>
        <w:rPr/>
        <w:t>de</w:t>
      </w:r>
      <w:r>
        <w:rPr>
          <w:spacing w:val="-15"/>
        </w:rPr>
        <w:t> </w:t>
      </w:r>
      <w:r>
        <w:rPr/>
        <w:t>carga,</w:t>
      </w:r>
      <w:r>
        <w:rPr>
          <w:spacing w:val="-12"/>
        </w:rPr>
        <w:t> </w:t>
      </w:r>
      <w:r>
        <w:rPr/>
        <w:t>que</w:t>
      </w:r>
      <w:r>
        <w:rPr>
          <w:spacing w:val="-15"/>
        </w:rPr>
        <w:t> </w:t>
      </w:r>
      <w:r>
        <w:rPr/>
        <w:t>a</w:t>
      </w:r>
      <w:r>
        <w:rPr>
          <w:spacing w:val="-15"/>
        </w:rPr>
        <w:t> </w:t>
      </w:r>
      <w:r>
        <w:rPr/>
        <w:t>su</w:t>
      </w:r>
      <w:r>
        <w:rPr>
          <w:spacing w:val="-15"/>
        </w:rPr>
        <w:t> </w:t>
      </w:r>
      <w:r>
        <w:rPr/>
        <w:t>paso</w:t>
      </w:r>
      <w:r>
        <w:rPr>
          <w:spacing w:val="-15"/>
        </w:rPr>
        <w:t> </w:t>
      </w:r>
      <w:r>
        <w:rPr/>
        <w:t>por</w:t>
      </w:r>
      <w:r>
        <w:rPr>
          <w:spacing w:val="-15"/>
        </w:rPr>
        <w:t> </w:t>
      </w:r>
      <w:r>
        <w:rPr/>
        <w:t>la</w:t>
      </w:r>
      <w:r>
        <w:rPr>
          <w:spacing w:val="-15"/>
        </w:rPr>
        <w:t> </w:t>
      </w:r>
      <w:r>
        <w:rPr/>
        <w:t>Cabecera Municipal se establece como un problema a la circulación y un riesgo latente para los habitantes.</w:t>
      </w:r>
    </w:p>
    <w:p>
      <w:pPr>
        <w:pStyle w:val="BodyText"/>
      </w:pPr>
    </w:p>
    <w:p>
      <w:pPr>
        <w:pStyle w:val="BodyText"/>
        <w:spacing w:line="360" w:lineRule="auto" w:before="156"/>
        <w:ind w:left="116" w:right="110"/>
        <w:jc w:val="both"/>
      </w:pPr>
      <w:r>
        <w:rPr>
          <w:spacing w:val="-3"/>
        </w:rPr>
        <w:t>La </w:t>
      </w:r>
      <w:r>
        <w:rPr/>
        <w:t>cabecera municipal, presenta una conurbación con las localidades de Botidí, Endejé y Esdocá. </w:t>
      </w:r>
      <w:r>
        <w:rPr>
          <w:spacing w:val="-3"/>
        </w:rPr>
        <w:t>La </w:t>
      </w:r>
      <w:r>
        <w:rPr/>
        <w:t>economía de Acambay está basada, en orden de importancia en las actividades correspondientes a los sectores: primario, terciario y secundario. Es la agricultura la actividad</w:t>
      </w:r>
      <w:r>
        <w:rPr>
          <w:spacing w:val="-2"/>
        </w:rPr>
        <w:t> </w:t>
      </w:r>
      <w:r>
        <w:rPr/>
        <w:t>de</w:t>
      </w:r>
      <w:r>
        <w:rPr>
          <w:spacing w:val="-1"/>
        </w:rPr>
        <w:t> </w:t>
      </w:r>
      <w:r>
        <w:rPr/>
        <w:t>mayor</w:t>
      </w:r>
      <w:r>
        <w:rPr>
          <w:spacing w:val="-6"/>
        </w:rPr>
        <w:t> </w:t>
      </w:r>
      <w:r>
        <w:rPr/>
        <w:t>relevancia,</w:t>
      </w:r>
      <w:r>
        <w:rPr>
          <w:spacing w:val="-4"/>
        </w:rPr>
        <w:t> </w:t>
      </w:r>
      <w:r>
        <w:rPr/>
        <w:t>esto</w:t>
      </w:r>
      <w:r>
        <w:rPr>
          <w:spacing w:val="-6"/>
        </w:rPr>
        <w:t> </w:t>
      </w:r>
      <w:r>
        <w:rPr/>
        <w:t>debido</w:t>
      </w:r>
      <w:r>
        <w:rPr>
          <w:spacing w:val="-6"/>
        </w:rPr>
        <w:t> </w:t>
      </w:r>
      <w:r>
        <w:rPr/>
        <w:t>a</w:t>
      </w:r>
      <w:r>
        <w:rPr>
          <w:spacing w:val="-6"/>
        </w:rPr>
        <w:t> </w:t>
      </w:r>
      <w:r>
        <w:rPr/>
        <w:t>las</w:t>
      </w:r>
      <w:r>
        <w:rPr>
          <w:spacing w:val="-6"/>
        </w:rPr>
        <w:t> </w:t>
      </w:r>
      <w:r>
        <w:rPr/>
        <w:t>características</w:t>
      </w:r>
      <w:r>
        <w:rPr>
          <w:spacing w:val="-6"/>
        </w:rPr>
        <w:t> </w:t>
      </w:r>
      <w:r>
        <w:rPr/>
        <w:t>especiales</w:t>
      </w:r>
      <w:r>
        <w:rPr>
          <w:spacing w:val="-6"/>
        </w:rPr>
        <w:t> </w:t>
      </w:r>
      <w:r>
        <w:rPr/>
        <w:t>de</w:t>
      </w:r>
      <w:r>
        <w:rPr>
          <w:spacing w:val="-6"/>
        </w:rPr>
        <w:t> </w:t>
      </w:r>
      <w:r>
        <w:rPr/>
        <w:t>sus</w:t>
      </w:r>
      <w:r>
        <w:rPr>
          <w:spacing w:val="-6"/>
        </w:rPr>
        <w:t> </w:t>
      </w:r>
      <w:r>
        <w:rPr/>
        <w:t>terrenos</w:t>
      </w:r>
      <w:r>
        <w:rPr>
          <w:spacing w:val="-1"/>
        </w:rPr>
        <w:t> </w:t>
      </w:r>
      <w:r>
        <w:rPr/>
        <w:t>y a la superficie que se destina para este fin, esto es 42.6% del</w:t>
      </w:r>
      <w:r>
        <w:rPr>
          <w:spacing w:val="-45"/>
        </w:rPr>
        <w:t> </w:t>
      </w:r>
      <w:r>
        <w:rPr/>
        <w:t>territorio; además de absorber el 41.0% de la población económicamente activa. Sus cultivos principales son: el maíz, avena forrajera, cebada,</w:t>
      </w:r>
      <w:r>
        <w:rPr>
          <w:spacing w:val="-9"/>
        </w:rPr>
        <w:t> </w:t>
      </w:r>
      <w:r>
        <w:rPr/>
        <w:t>trigo.</w:t>
      </w:r>
    </w:p>
    <w:p>
      <w:pPr>
        <w:pStyle w:val="BodyText"/>
      </w:pPr>
    </w:p>
    <w:p>
      <w:pPr>
        <w:pStyle w:val="BodyText"/>
        <w:spacing w:line="360" w:lineRule="auto" w:before="151"/>
        <w:ind w:left="116" w:right="113"/>
        <w:jc w:val="both"/>
      </w:pPr>
      <w:r>
        <w:rPr/>
        <w:t>El municipio de Acambay, dentro de la región se ha situado como uno de los más importantes productores de gramíneas, llegando a obtener el primer sitio en lo referente al maíz. En cuanto a las actividades agropecuarias, estas se desarrollan en 5,539 hectáreas, esto</w:t>
      </w:r>
      <w:r>
        <w:rPr>
          <w:spacing w:val="-12"/>
        </w:rPr>
        <w:t> </w:t>
      </w:r>
      <w:r>
        <w:rPr/>
        <w:t>es</w:t>
      </w:r>
      <w:r>
        <w:rPr>
          <w:spacing w:val="-12"/>
        </w:rPr>
        <w:t> </w:t>
      </w:r>
      <w:r>
        <w:rPr/>
        <w:t>el</w:t>
      </w:r>
      <w:r>
        <w:rPr>
          <w:spacing w:val="-16"/>
        </w:rPr>
        <w:t> </w:t>
      </w:r>
      <w:r>
        <w:rPr/>
        <w:t>11.26%</w:t>
      </w:r>
      <w:r>
        <w:rPr>
          <w:spacing w:val="-12"/>
        </w:rPr>
        <w:t> </w:t>
      </w:r>
      <w:r>
        <w:rPr/>
        <w:t>del</w:t>
      </w:r>
      <w:r>
        <w:rPr>
          <w:spacing w:val="-16"/>
        </w:rPr>
        <w:t> </w:t>
      </w:r>
      <w:r>
        <w:rPr/>
        <w:t>territorio</w:t>
      </w:r>
      <w:r>
        <w:rPr>
          <w:spacing w:val="-12"/>
        </w:rPr>
        <w:t> </w:t>
      </w:r>
      <w:r>
        <w:rPr/>
        <w:t>municipal,</w:t>
      </w:r>
      <w:r>
        <w:rPr>
          <w:spacing w:val="-10"/>
        </w:rPr>
        <w:t> </w:t>
      </w:r>
      <w:r>
        <w:rPr/>
        <w:t>conformado</w:t>
      </w:r>
      <w:r>
        <w:rPr>
          <w:spacing w:val="-12"/>
        </w:rPr>
        <w:t> </w:t>
      </w:r>
      <w:r>
        <w:rPr/>
        <w:t>por</w:t>
      </w:r>
      <w:r>
        <w:rPr>
          <w:spacing w:val="-12"/>
        </w:rPr>
        <w:t> </w:t>
      </w:r>
      <w:r>
        <w:rPr/>
        <w:t>pastizales</w:t>
      </w:r>
      <w:r>
        <w:rPr>
          <w:spacing w:val="-11"/>
        </w:rPr>
        <w:t> </w:t>
      </w:r>
      <w:r>
        <w:rPr/>
        <w:t>y</w:t>
      </w:r>
      <w:r>
        <w:rPr>
          <w:spacing w:val="-12"/>
        </w:rPr>
        <w:t> </w:t>
      </w:r>
      <w:r>
        <w:rPr/>
        <w:t>tierra</w:t>
      </w:r>
      <w:r>
        <w:rPr>
          <w:spacing w:val="-12"/>
        </w:rPr>
        <w:t> </w:t>
      </w:r>
      <w:r>
        <w:rPr/>
        <w:t>de</w:t>
      </w:r>
      <w:r>
        <w:rPr>
          <w:spacing w:val="-12"/>
        </w:rPr>
        <w:t> </w:t>
      </w:r>
      <w:r>
        <w:rPr/>
        <w:t>agostadero.</w:t>
      </w:r>
    </w:p>
    <w:p>
      <w:pPr>
        <w:spacing w:after="0" w:line="360" w:lineRule="auto"/>
        <w:jc w:val="both"/>
        <w:sectPr>
          <w:pgSz w:w="12240" w:h="15840"/>
          <w:pgMar w:header="0" w:footer="1473" w:top="1360" w:bottom="1660" w:left="1300" w:right="1300"/>
        </w:sectPr>
      </w:pPr>
    </w:p>
    <w:p>
      <w:pPr>
        <w:pStyle w:val="BodyText"/>
        <w:spacing w:line="360" w:lineRule="auto" w:before="49"/>
        <w:ind w:left="116" w:right="110"/>
        <w:jc w:val="both"/>
      </w:pPr>
      <w:r>
        <w:rPr/>
        <w:t>Destaca la producción de 19,116 cabezas de ganado ovino que significan el 25.41% de la obtenida</w:t>
      </w:r>
      <w:r>
        <w:rPr>
          <w:spacing w:val="-7"/>
        </w:rPr>
        <w:t> </w:t>
      </w:r>
      <w:r>
        <w:rPr/>
        <w:t>a</w:t>
      </w:r>
      <w:r>
        <w:rPr>
          <w:spacing w:val="-7"/>
        </w:rPr>
        <w:t> </w:t>
      </w:r>
      <w:r>
        <w:rPr/>
        <w:t>nivel</w:t>
      </w:r>
      <w:r>
        <w:rPr>
          <w:spacing w:val="-7"/>
        </w:rPr>
        <w:t> </w:t>
      </w:r>
      <w:r>
        <w:rPr/>
        <w:t>regional,</w:t>
      </w:r>
      <w:r>
        <w:rPr>
          <w:spacing w:val="-5"/>
        </w:rPr>
        <w:t> </w:t>
      </w:r>
      <w:r>
        <w:rPr/>
        <w:t>colocándose</w:t>
      </w:r>
      <w:r>
        <w:rPr>
          <w:spacing w:val="-7"/>
        </w:rPr>
        <w:t> </w:t>
      </w:r>
      <w:r>
        <w:rPr/>
        <w:t>en</w:t>
      </w:r>
      <w:r>
        <w:rPr>
          <w:spacing w:val="-7"/>
        </w:rPr>
        <w:t> </w:t>
      </w:r>
      <w:r>
        <w:rPr/>
        <w:t>primer</w:t>
      </w:r>
      <w:r>
        <w:rPr>
          <w:spacing w:val="-7"/>
        </w:rPr>
        <w:t> </w:t>
      </w:r>
      <w:r>
        <w:rPr/>
        <w:t>sitio,</w:t>
      </w:r>
      <w:r>
        <w:rPr>
          <w:spacing w:val="-9"/>
        </w:rPr>
        <w:t> </w:t>
      </w:r>
      <w:r>
        <w:rPr/>
        <w:t>además</w:t>
      </w:r>
      <w:r>
        <w:rPr>
          <w:spacing w:val="-7"/>
        </w:rPr>
        <w:t> </w:t>
      </w:r>
      <w:r>
        <w:rPr/>
        <w:t>de</w:t>
      </w:r>
      <w:r>
        <w:rPr>
          <w:spacing w:val="-7"/>
        </w:rPr>
        <w:t> </w:t>
      </w:r>
      <w:r>
        <w:rPr/>
        <w:t>contribuir</w:t>
      </w:r>
      <w:r>
        <w:rPr>
          <w:spacing w:val="-7"/>
        </w:rPr>
        <w:t> </w:t>
      </w:r>
      <w:r>
        <w:rPr/>
        <w:t>en</w:t>
      </w:r>
      <w:r>
        <w:rPr>
          <w:spacing w:val="-12"/>
        </w:rPr>
        <w:t> </w:t>
      </w:r>
      <w:r>
        <w:rPr/>
        <w:t>el</w:t>
      </w:r>
      <w:r>
        <w:rPr>
          <w:spacing w:val="-7"/>
        </w:rPr>
        <w:t> </w:t>
      </w:r>
      <w:r>
        <w:rPr/>
        <w:t>3.69%</w:t>
      </w:r>
      <w:r>
        <w:rPr>
          <w:spacing w:val="-7"/>
        </w:rPr>
        <w:t> </w:t>
      </w:r>
      <w:r>
        <w:rPr/>
        <w:t>de la producción estatal. Asimismo, ocupó el segundo lugar, al participar con el 18.49% de la producción regional de ganado bovino, esto es 11,436 cabezas, únicamente superando por Aculco, en</w:t>
      </w:r>
      <w:r>
        <w:rPr>
          <w:spacing w:val="-3"/>
        </w:rPr>
        <w:t> </w:t>
      </w:r>
      <w:r>
        <w:rPr/>
        <w:t>14,944.</w:t>
      </w:r>
    </w:p>
    <w:p>
      <w:pPr>
        <w:pStyle w:val="BodyText"/>
      </w:pPr>
    </w:p>
    <w:p>
      <w:pPr>
        <w:pStyle w:val="BodyText"/>
        <w:spacing w:line="360" w:lineRule="auto" w:before="156"/>
        <w:ind w:left="116" w:right="110"/>
        <w:jc w:val="both"/>
      </w:pPr>
      <w:r>
        <w:rPr/>
        <w:t>Acambay cuenta con un gran potencial agropecuario, el cual no ha sido explotado adecuadamente, ya que prevalece la práctica de la actividad en forma extensiva en el 99.04% de la superficie disponible y únicamente en un 0.06% en forma intensiva.</w:t>
      </w:r>
    </w:p>
    <w:p>
      <w:pPr>
        <w:pStyle w:val="BodyText"/>
      </w:pPr>
    </w:p>
    <w:p>
      <w:pPr>
        <w:pStyle w:val="BodyText"/>
        <w:spacing w:line="360" w:lineRule="auto" w:before="156"/>
        <w:ind w:left="116" w:right="122"/>
        <w:jc w:val="both"/>
      </w:pPr>
      <w:r>
        <w:rPr/>
        <w:t>Finalmente, el 30.73% de territorio municipal está conformado por áreas arboladas de especies no comerciales, cuya explotación se realiza en forma no planeada, además de</w:t>
      </w:r>
      <w:r>
        <w:rPr>
          <w:spacing w:val="-26"/>
        </w:rPr>
        <w:t> </w:t>
      </w:r>
      <w:r>
        <w:rPr/>
        <w:t>que se destina principalmente para consumo</w:t>
      </w:r>
      <w:r>
        <w:rPr>
          <w:spacing w:val="-8"/>
        </w:rPr>
        <w:t> </w:t>
      </w:r>
      <w:r>
        <w:rPr/>
        <w:t>interno.</w:t>
      </w:r>
    </w:p>
    <w:p>
      <w:pPr>
        <w:pStyle w:val="BodyText"/>
        <w:spacing w:before="2"/>
        <w:rPr>
          <w:sz w:val="21"/>
        </w:rPr>
      </w:pPr>
    </w:p>
    <w:p>
      <w:pPr>
        <w:pStyle w:val="Heading1"/>
        <w:ind w:left="116"/>
        <w:jc w:val="both"/>
      </w:pPr>
      <w:bookmarkStart w:name="_bookmark95" w:id="142"/>
      <w:bookmarkEnd w:id="142"/>
      <w:r>
        <w:rPr>
          <w:b w:val="0"/>
        </w:rPr>
      </w:r>
      <w:r>
        <w:rPr/>
        <w:t>4.4.1 Condiciones ambientales de la cuenca</w:t>
      </w:r>
    </w:p>
    <w:p>
      <w:pPr>
        <w:pStyle w:val="BodyText"/>
        <w:rPr>
          <w:b/>
        </w:rPr>
      </w:pPr>
    </w:p>
    <w:p>
      <w:pPr>
        <w:pStyle w:val="BodyText"/>
        <w:rPr>
          <w:b/>
          <w:sz w:val="31"/>
        </w:rPr>
      </w:pPr>
    </w:p>
    <w:p>
      <w:pPr>
        <w:pStyle w:val="BodyText"/>
        <w:spacing w:line="360" w:lineRule="auto"/>
        <w:ind w:left="116" w:right="111"/>
        <w:jc w:val="both"/>
      </w:pPr>
      <w:r>
        <w:rPr/>
        <w:t>Debido a la variedad de climas, fenómenos hidrológicos, topográficos y tipos de suelo, existe una gran variedad de especies vegetales y de fauna al interior de la cuenca. De acuerdo con GEM, (2005) dentro de la vegetación es posible encontrar especies de pinus, quercus y abies en asociaciones de pino, encino, oyamel y latifoliados. Además las extensiones de pastizales aún existentes están compuestos por gramíneas herbáceas, no mayores de un metro de altura, los géneros que se pueden encontrar son Bonteloud, Andropogon, Aristida, Cynodon, Eragrostis y Stipa.</w:t>
      </w:r>
    </w:p>
    <w:p>
      <w:pPr>
        <w:pStyle w:val="BodyText"/>
      </w:pPr>
    </w:p>
    <w:p>
      <w:pPr>
        <w:pStyle w:val="BodyText"/>
        <w:spacing w:line="360" w:lineRule="auto" w:before="155"/>
        <w:ind w:left="116" w:right="120"/>
        <w:jc w:val="both"/>
      </w:pPr>
      <w:r>
        <w:rPr/>
        <w:t>Para</w:t>
      </w:r>
      <w:r>
        <w:rPr>
          <w:spacing w:val="-5"/>
        </w:rPr>
        <w:t> </w:t>
      </w:r>
      <w:r>
        <w:rPr/>
        <w:t>el</w:t>
      </w:r>
      <w:r>
        <w:rPr>
          <w:spacing w:val="-6"/>
        </w:rPr>
        <w:t> </w:t>
      </w:r>
      <w:r>
        <w:rPr/>
        <w:t>caso</w:t>
      </w:r>
      <w:r>
        <w:rPr>
          <w:spacing w:val="-6"/>
        </w:rPr>
        <w:t> </w:t>
      </w:r>
      <w:r>
        <w:rPr/>
        <w:t>de</w:t>
      </w:r>
      <w:r>
        <w:rPr>
          <w:spacing w:val="-6"/>
        </w:rPr>
        <w:t> </w:t>
      </w:r>
      <w:r>
        <w:rPr/>
        <w:t>la</w:t>
      </w:r>
      <w:r>
        <w:rPr>
          <w:spacing w:val="-11"/>
        </w:rPr>
        <w:t> </w:t>
      </w:r>
      <w:r>
        <w:rPr/>
        <w:t>fauna,</w:t>
      </w:r>
      <w:r>
        <w:rPr>
          <w:spacing w:val="-4"/>
        </w:rPr>
        <w:t> </w:t>
      </w:r>
      <w:r>
        <w:rPr/>
        <w:t>es</w:t>
      </w:r>
      <w:r>
        <w:rPr>
          <w:spacing w:val="-11"/>
        </w:rPr>
        <w:t> </w:t>
      </w:r>
      <w:r>
        <w:rPr/>
        <w:t>posible</w:t>
      </w:r>
      <w:r>
        <w:rPr>
          <w:spacing w:val="-6"/>
        </w:rPr>
        <w:t> </w:t>
      </w:r>
      <w:r>
        <w:rPr/>
        <w:t>hallar</w:t>
      </w:r>
      <w:r>
        <w:rPr>
          <w:spacing w:val="-6"/>
        </w:rPr>
        <w:t> </w:t>
      </w:r>
      <w:r>
        <w:rPr/>
        <w:t>mamíferos</w:t>
      </w:r>
      <w:r>
        <w:rPr>
          <w:spacing w:val="-6"/>
        </w:rPr>
        <w:t> </w:t>
      </w:r>
      <w:r>
        <w:rPr/>
        <w:t>como</w:t>
      </w:r>
      <w:r>
        <w:rPr>
          <w:spacing w:val="-6"/>
        </w:rPr>
        <w:t> </w:t>
      </w:r>
      <w:r>
        <w:rPr/>
        <w:t>el</w:t>
      </w:r>
      <w:r>
        <w:rPr>
          <w:spacing w:val="-6"/>
        </w:rPr>
        <w:t> </w:t>
      </w:r>
      <w:r>
        <w:rPr/>
        <w:t>conejo</w:t>
      </w:r>
      <w:r>
        <w:rPr>
          <w:spacing w:val="-6"/>
        </w:rPr>
        <w:t> </w:t>
      </w:r>
      <w:r>
        <w:rPr/>
        <w:t>castellano</w:t>
      </w:r>
      <w:r>
        <w:rPr>
          <w:spacing w:val="-6"/>
        </w:rPr>
        <w:t> </w:t>
      </w:r>
      <w:r>
        <w:rPr/>
        <w:t>y</w:t>
      </w:r>
      <w:r>
        <w:rPr>
          <w:spacing w:val="-6"/>
        </w:rPr>
        <w:t> </w:t>
      </w:r>
      <w:r>
        <w:rPr/>
        <w:t>de</w:t>
      </w:r>
      <w:r>
        <w:rPr>
          <w:spacing w:val="-6"/>
        </w:rPr>
        <w:t> </w:t>
      </w:r>
      <w:r>
        <w:rPr/>
        <w:t>monte, ardillas, topos, ratas y ratones de los volcanes, comadrejas, zorrillos, zorras, murciélagos, liebres, coyotes y tejones. Del grupo de las aves son notables los carpinteros, trepadores, colibríes,</w:t>
      </w:r>
      <w:r>
        <w:rPr>
          <w:spacing w:val="38"/>
        </w:rPr>
        <w:t> </w:t>
      </w:r>
      <w:r>
        <w:rPr/>
        <w:t>azulejos,</w:t>
      </w:r>
      <w:r>
        <w:rPr>
          <w:spacing w:val="37"/>
        </w:rPr>
        <w:t> </w:t>
      </w:r>
      <w:r>
        <w:rPr/>
        <w:t>tordos,</w:t>
      </w:r>
      <w:r>
        <w:rPr>
          <w:spacing w:val="37"/>
        </w:rPr>
        <w:t> </w:t>
      </w:r>
      <w:r>
        <w:rPr/>
        <w:t>lechuzas,</w:t>
      </w:r>
      <w:r>
        <w:rPr>
          <w:spacing w:val="38"/>
        </w:rPr>
        <w:t> </w:t>
      </w:r>
      <w:r>
        <w:rPr/>
        <w:t>codornices</w:t>
      </w:r>
      <w:r>
        <w:rPr>
          <w:spacing w:val="35"/>
        </w:rPr>
        <w:t> </w:t>
      </w:r>
      <w:r>
        <w:rPr/>
        <w:t>y</w:t>
      </w:r>
      <w:r>
        <w:rPr>
          <w:spacing w:val="36"/>
        </w:rPr>
        <w:t> </w:t>
      </w:r>
      <w:r>
        <w:rPr/>
        <w:t>gallinas</w:t>
      </w:r>
      <w:r>
        <w:rPr>
          <w:spacing w:val="35"/>
        </w:rPr>
        <w:t> </w:t>
      </w:r>
      <w:r>
        <w:rPr/>
        <w:t>de</w:t>
      </w:r>
      <w:r>
        <w:rPr>
          <w:spacing w:val="41"/>
        </w:rPr>
        <w:t> </w:t>
      </w:r>
      <w:r>
        <w:rPr/>
        <w:t>monte,</w:t>
      </w:r>
      <w:r>
        <w:rPr>
          <w:spacing w:val="38"/>
        </w:rPr>
        <w:t> </w:t>
      </w:r>
      <w:r>
        <w:rPr/>
        <w:t>así</w:t>
      </w:r>
      <w:r>
        <w:rPr>
          <w:spacing w:val="36"/>
        </w:rPr>
        <w:t> </w:t>
      </w:r>
      <w:r>
        <w:rPr/>
        <w:t>como</w:t>
      </w:r>
      <w:r>
        <w:rPr>
          <w:spacing w:val="36"/>
        </w:rPr>
        <w:t> </w:t>
      </w:r>
      <w:r>
        <w:rPr/>
        <w:t>algunos</w:t>
      </w:r>
    </w:p>
    <w:p>
      <w:pPr>
        <w:spacing w:after="0" w:line="360" w:lineRule="auto"/>
        <w:jc w:val="both"/>
        <w:sectPr>
          <w:pgSz w:w="12240" w:h="15840"/>
          <w:pgMar w:header="0" w:footer="1473" w:top="1360" w:bottom="1660" w:left="1300" w:right="1300"/>
        </w:sectPr>
      </w:pPr>
    </w:p>
    <w:p>
      <w:pPr>
        <w:pStyle w:val="BodyText"/>
        <w:spacing w:line="360" w:lineRule="auto" w:before="49"/>
        <w:ind w:left="116" w:right="116"/>
        <w:jc w:val="both"/>
      </w:pPr>
      <w:r>
        <w:rPr/>
        <w:t>depredadores como el aguililla de cola roja, los cercetos, gavilán, coliblancos, búho y halcón,</w:t>
      </w:r>
      <w:r>
        <w:rPr>
          <w:spacing w:val="-4"/>
        </w:rPr>
        <w:t> </w:t>
      </w:r>
      <w:r>
        <w:rPr/>
        <w:t>que</w:t>
      </w:r>
      <w:r>
        <w:rPr>
          <w:spacing w:val="-6"/>
        </w:rPr>
        <w:t> </w:t>
      </w:r>
      <w:r>
        <w:rPr/>
        <w:t>son</w:t>
      </w:r>
      <w:r>
        <w:rPr>
          <w:spacing w:val="-6"/>
        </w:rPr>
        <w:t> </w:t>
      </w:r>
      <w:r>
        <w:rPr/>
        <w:t>de</w:t>
      </w:r>
      <w:r>
        <w:rPr>
          <w:spacing w:val="-6"/>
        </w:rPr>
        <w:t> </w:t>
      </w:r>
      <w:r>
        <w:rPr/>
        <w:t>vital</w:t>
      </w:r>
      <w:r>
        <w:rPr>
          <w:spacing w:val="-6"/>
        </w:rPr>
        <w:t> </w:t>
      </w:r>
      <w:r>
        <w:rPr/>
        <w:t>importancia</w:t>
      </w:r>
      <w:r>
        <w:rPr>
          <w:spacing w:val="-6"/>
        </w:rPr>
        <w:t> </w:t>
      </w:r>
      <w:r>
        <w:rPr/>
        <w:t>para</w:t>
      </w:r>
      <w:r>
        <w:rPr>
          <w:spacing w:val="-6"/>
        </w:rPr>
        <w:t> </w:t>
      </w:r>
      <w:r>
        <w:rPr/>
        <w:t>evitar</w:t>
      </w:r>
      <w:r>
        <w:rPr>
          <w:spacing w:val="-1"/>
        </w:rPr>
        <w:t> </w:t>
      </w:r>
      <w:r>
        <w:rPr/>
        <w:t>la</w:t>
      </w:r>
      <w:r>
        <w:rPr>
          <w:spacing w:val="-6"/>
        </w:rPr>
        <w:t> </w:t>
      </w:r>
      <w:r>
        <w:rPr/>
        <w:t>proliferación</w:t>
      </w:r>
      <w:r>
        <w:rPr>
          <w:spacing w:val="-6"/>
        </w:rPr>
        <w:t> </w:t>
      </w:r>
      <w:r>
        <w:rPr/>
        <w:t>excesiva</w:t>
      </w:r>
      <w:r>
        <w:rPr>
          <w:spacing w:val="-6"/>
        </w:rPr>
        <w:t> </w:t>
      </w:r>
      <w:r>
        <w:rPr/>
        <w:t>de</w:t>
      </w:r>
      <w:r>
        <w:rPr>
          <w:spacing w:val="-6"/>
        </w:rPr>
        <w:t> </w:t>
      </w:r>
      <w:r>
        <w:rPr/>
        <w:t>ratones</w:t>
      </w:r>
      <w:r>
        <w:rPr>
          <w:spacing w:val="-6"/>
        </w:rPr>
        <w:t> </w:t>
      </w:r>
      <w:r>
        <w:rPr/>
        <w:t>y</w:t>
      </w:r>
      <w:r>
        <w:rPr>
          <w:spacing w:val="-6"/>
        </w:rPr>
        <w:t> </w:t>
      </w:r>
      <w:r>
        <w:rPr/>
        <w:t>otros roedores que afectan la producción agrícola. Entre los anfibios y reptiles se encuentran los sapos, camaleones, lagartijas,  culebras y víboras como la</w:t>
      </w:r>
      <w:r>
        <w:rPr>
          <w:spacing w:val="-16"/>
        </w:rPr>
        <w:t> </w:t>
      </w:r>
      <w:r>
        <w:rPr/>
        <w:t>cascabel.</w:t>
      </w:r>
    </w:p>
    <w:p>
      <w:pPr>
        <w:pStyle w:val="BodyText"/>
      </w:pPr>
    </w:p>
    <w:p>
      <w:pPr>
        <w:pStyle w:val="BodyText"/>
        <w:spacing w:line="357" w:lineRule="auto" w:before="155"/>
        <w:ind w:left="116" w:right="115"/>
        <w:jc w:val="both"/>
      </w:pPr>
      <w:r>
        <w:rPr/>
        <w:t>Sin</w:t>
      </w:r>
      <w:r>
        <w:rPr>
          <w:spacing w:val="-5"/>
        </w:rPr>
        <w:t> </w:t>
      </w:r>
      <w:r>
        <w:rPr/>
        <w:t>embargo,</w:t>
      </w:r>
      <w:r>
        <w:rPr>
          <w:spacing w:val="-3"/>
        </w:rPr>
        <w:t> </w:t>
      </w:r>
      <w:r>
        <w:rPr/>
        <w:t>dichas</w:t>
      </w:r>
      <w:r>
        <w:rPr>
          <w:spacing w:val="-5"/>
        </w:rPr>
        <w:t> </w:t>
      </w:r>
      <w:r>
        <w:rPr/>
        <w:t>especies</w:t>
      </w:r>
      <w:r>
        <w:rPr>
          <w:spacing w:val="-5"/>
        </w:rPr>
        <w:t> </w:t>
      </w:r>
      <w:r>
        <w:rPr/>
        <w:t>se ven</w:t>
      </w:r>
      <w:r>
        <w:rPr>
          <w:spacing w:val="-5"/>
        </w:rPr>
        <w:t> </w:t>
      </w:r>
      <w:r>
        <w:rPr/>
        <w:t>cada vez más</w:t>
      </w:r>
      <w:r>
        <w:rPr>
          <w:spacing w:val="-5"/>
        </w:rPr>
        <w:t> </w:t>
      </w:r>
      <w:r>
        <w:rPr/>
        <w:t>afectadas</w:t>
      </w:r>
      <w:r>
        <w:rPr>
          <w:spacing w:val="-5"/>
        </w:rPr>
        <w:t> </w:t>
      </w:r>
      <w:r>
        <w:rPr/>
        <w:t>por</w:t>
      </w:r>
      <w:r>
        <w:rPr>
          <w:spacing w:val="-5"/>
        </w:rPr>
        <w:t> </w:t>
      </w:r>
      <w:r>
        <w:rPr/>
        <w:t>las</w:t>
      </w:r>
      <w:r>
        <w:rPr>
          <w:spacing w:val="-5"/>
        </w:rPr>
        <w:t> </w:t>
      </w:r>
      <w:r>
        <w:rPr/>
        <w:t>presiones</w:t>
      </w:r>
      <w:r>
        <w:rPr>
          <w:spacing w:val="-5"/>
        </w:rPr>
        <w:t> </w:t>
      </w:r>
      <w:r>
        <w:rPr/>
        <w:t>que</w:t>
      </w:r>
      <w:r>
        <w:rPr>
          <w:spacing w:val="-5"/>
        </w:rPr>
        <w:t> </w:t>
      </w:r>
      <w:r>
        <w:rPr/>
        <w:t>ejerce</w:t>
      </w:r>
      <w:r>
        <w:rPr>
          <w:spacing w:val="-4"/>
        </w:rPr>
        <w:t> </w:t>
      </w:r>
      <w:r>
        <w:rPr/>
        <w:t>la población</w:t>
      </w:r>
      <w:r>
        <w:rPr>
          <w:spacing w:val="-6"/>
        </w:rPr>
        <w:t> </w:t>
      </w:r>
      <w:r>
        <w:rPr/>
        <w:t>mediante</w:t>
      </w:r>
      <w:r>
        <w:rPr>
          <w:spacing w:val="-6"/>
        </w:rPr>
        <w:t> </w:t>
      </w:r>
      <w:r>
        <w:rPr/>
        <w:t>la</w:t>
      </w:r>
      <w:r>
        <w:rPr>
          <w:spacing w:val="-6"/>
        </w:rPr>
        <w:t> </w:t>
      </w:r>
      <w:r>
        <w:rPr/>
        <w:t>ampliación</w:t>
      </w:r>
      <w:r>
        <w:rPr>
          <w:spacing w:val="-6"/>
        </w:rPr>
        <w:t> </w:t>
      </w:r>
      <w:r>
        <w:rPr/>
        <w:t>de</w:t>
      </w:r>
      <w:r>
        <w:rPr>
          <w:spacing w:val="-6"/>
        </w:rPr>
        <w:t> </w:t>
      </w:r>
      <w:r>
        <w:rPr/>
        <w:t>la</w:t>
      </w:r>
      <w:r>
        <w:rPr>
          <w:spacing w:val="-6"/>
        </w:rPr>
        <w:t> </w:t>
      </w:r>
      <w:r>
        <w:rPr/>
        <w:t>frontera</w:t>
      </w:r>
      <w:r>
        <w:rPr>
          <w:spacing w:val="-6"/>
        </w:rPr>
        <w:t> </w:t>
      </w:r>
      <w:r>
        <w:rPr/>
        <w:t>agrícola,</w:t>
      </w:r>
      <w:r>
        <w:rPr>
          <w:spacing w:val="-4"/>
        </w:rPr>
        <w:t> </w:t>
      </w:r>
      <w:r>
        <w:rPr/>
        <w:t>la</w:t>
      </w:r>
      <w:r>
        <w:rPr>
          <w:spacing w:val="-6"/>
        </w:rPr>
        <w:t> </w:t>
      </w:r>
      <w:r>
        <w:rPr/>
        <w:t>tala</w:t>
      </w:r>
      <w:r>
        <w:rPr>
          <w:spacing w:val="-6"/>
        </w:rPr>
        <w:t> </w:t>
      </w:r>
      <w:r>
        <w:rPr/>
        <w:t>de</w:t>
      </w:r>
      <w:r>
        <w:rPr>
          <w:spacing w:val="-6"/>
        </w:rPr>
        <w:t> </w:t>
      </w:r>
      <w:r>
        <w:rPr/>
        <w:t>bosques</w:t>
      </w:r>
      <w:r>
        <w:rPr>
          <w:spacing w:val="-6"/>
        </w:rPr>
        <w:t> </w:t>
      </w:r>
      <w:r>
        <w:rPr/>
        <w:t>y</w:t>
      </w:r>
      <w:r>
        <w:rPr>
          <w:spacing w:val="-6"/>
        </w:rPr>
        <w:t> </w:t>
      </w:r>
      <w:r>
        <w:rPr/>
        <w:t>los</w:t>
      </w:r>
      <w:r>
        <w:rPr>
          <w:spacing w:val="-6"/>
        </w:rPr>
        <w:t> </w:t>
      </w:r>
      <w:r>
        <w:rPr/>
        <w:t>incendios forestales</w:t>
      </w:r>
      <w:r>
        <w:rPr>
          <w:spacing w:val="-7"/>
        </w:rPr>
        <w:t> </w:t>
      </w:r>
      <w:r>
        <w:rPr/>
        <w:t>presentados.</w:t>
      </w:r>
    </w:p>
    <w:p>
      <w:pPr>
        <w:pStyle w:val="BodyText"/>
      </w:pPr>
    </w:p>
    <w:p>
      <w:pPr>
        <w:pStyle w:val="BodyText"/>
        <w:spacing w:line="360" w:lineRule="auto" w:before="158"/>
        <w:ind w:left="116" w:right="113"/>
        <w:jc w:val="both"/>
      </w:pPr>
      <w:r>
        <w:rPr/>
        <w:t>En el año 2000 el gobierno municipal registró 22 incendios forestales para un total de 235 Ha, de las cuales 21.5 Ha correspondieron a pastizales, 12.5 Ha a hierbas y arbustos,</w:t>
      </w:r>
      <w:r>
        <w:rPr>
          <w:spacing w:val="-42"/>
        </w:rPr>
        <w:t> </w:t>
      </w:r>
      <w:r>
        <w:rPr/>
        <w:t>158.5 Ha a superficies de renuevo y 42.5 Ha de áreas arboladas, repercutiendo directamente al estado de ecosistema natural de la cuenca además de las actividades agropecuarias, agrícolas y forestales (GEM,</w:t>
      </w:r>
      <w:r>
        <w:rPr>
          <w:spacing w:val="-7"/>
        </w:rPr>
        <w:t> </w:t>
      </w:r>
      <w:r>
        <w:rPr/>
        <w:t>2000).</w:t>
      </w:r>
    </w:p>
    <w:p>
      <w:pPr>
        <w:pStyle w:val="BodyText"/>
      </w:pPr>
    </w:p>
    <w:p>
      <w:pPr>
        <w:pStyle w:val="BodyText"/>
        <w:spacing w:line="360" w:lineRule="auto" w:before="155"/>
        <w:ind w:left="116" w:right="111"/>
        <w:jc w:val="both"/>
      </w:pPr>
      <w:r>
        <w:rPr/>
        <w:t>A ello se le suma el grado de erosión reportado por el GEM, (2005) donde se encuentra el 30.13% de territorio con grado medio de erosibilidad, 12.92% con un grado alto y 0.27% como muy alto. Una de las zonas afectadas por este efecto, es el Parque Estatal “Oso Bueno”, área natural protegida, cuya superficie comprende el 30.7% del territorio municipal de Acambay, no obstante, la deforestación supera las 2,000 Ha, así también, los incendios forestales, el libre pastoreo en áreas silvícolas, la acción del viento y del agua, han</w:t>
      </w:r>
      <w:r>
        <w:rPr>
          <w:spacing w:val="-5"/>
        </w:rPr>
        <w:t> </w:t>
      </w:r>
      <w:r>
        <w:rPr/>
        <w:t>dado</w:t>
      </w:r>
      <w:r>
        <w:rPr>
          <w:spacing w:val="-5"/>
        </w:rPr>
        <w:t> </w:t>
      </w:r>
      <w:r>
        <w:rPr/>
        <w:t>paso</w:t>
      </w:r>
      <w:r>
        <w:rPr>
          <w:spacing w:val="-5"/>
        </w:rPr>
        <w:t> </w:t>
      </w:r>
      <w:r>
        <w:rPr/>
        <w:t>a</w:t>
      </w:r>
      <w:r>
        <w:rPr>
          <w:spacing w:val="-5"/>
        </w:rPr>
        <w:t> </w:t>
      </w:r>
      <w:r>
        <w:rPr/>
        <w:t>la</w:t>
      </w:r>
      <w:r>
        <w:rPr>
          <w:spacing w:val="-5"/>
        </w:rPr>
        <w:t> </w:t>
      </w:r>
      <w:r>
        <w:rPr/>
        <w:t>erosión</w:t>
      </w:r>
      <w:r>
        <w:rPr>
          <w:spacing w:val="-5"/>
        </w:rPr>
        <w:t> </w:t>
      </w:r>
      <w:r>
        <w:rPr/>
        <w:t>del</w:t>
      </w:r>
      <w:r>
        <w:rPr>
          <w:spacing w:val="-10"/>
        </w:rPr>
        <w:t> </w:t>
      </w:r>
      <w:r>
        <w:rPr/>
        <w:t>suelo,</w:t>
      </w:r>
      <w:r>
        <w:rPr>
          <w:spacing w:val="-3"/>
        </w:rPr>
        <w:t> </w:t>
      </w:r>
      <w:r>
        <w:rPr/>
        <w:t>lo</w:t>
      </w:r>
      <w:r>
        <w:rPr>
          <w:spacing w:val="-8"/>
        </w:rPr>
        <w:t> </w:t>
      </w:r>
      <w:r>
        <w:rPr/>
        <w:t>cual</w:t>
      </w:r>
      <w:r>
        <w:rPr>
          <w:spacing w:val="-5"/>
        </w:rPr>
        <w:t> </w:t>
      </w:r>
      <w:r>
        <w:rPr/>
        <w:t>está</w:t>
      </w:r>
      <w:r>
        <w:rPr>
          <w:spacing w:val="-5"/>
        </w:rPr>
        <w:t> </w:t>
      </w:r>
      <w:r>
        <w:rPr/>
        <w:t>presente</w:t>
      </w:r>
      <w:r>
        <w:rPr>
          <w:spacing w:val="-5"/>
        </w:rPr>
        <w:t> </w:t>
      </w:r>
      <w:r>
        <w:rPr/>
        <w:t>en</w:t>
      </w:r>
      <w:r>
        <w:rPr>
          <w:spacing w:val="-5"/>
        </w:rPr>
        <w:t> </w:t>
      </w:r>
      <w:r>
        <w:rPr/>
        <w:t>433.1</w:t>
      </w:r>
      <w:r>
        <w:rPr>
          <w:spacing w:val="-4"/>
        </w:rPr>
        <w:t> </w:t>
      </w:r>
      <w:r>
        <w:rPr/>
        <w:t>Ha,</w:t>
      </w:r>
      <w:r>
        <w:rPr>
          <w:spacing w:val="-3"/>
        </w:rPr>
        <w:t> </w:t>
      </w:r>
      <w:r>
        <w:rPr/>
        <w:t>esto</w:t>
      </w:r>
      <w:r>
        <w:rPr>
          <w:spacing w:val="-5"/>
        </w:rPr>
        <w:t> </w:t>
      </w:r>
      <w:r>
        <w:rPr/>
        <w:t>es</w:t>
      </w:r>
      <w:r>
        <w:rPr>
          <w:spacing w:val="-10"/>
        </w:rPr>
        <w:t> </w:t>
      </w:r>
      <w:r>
        <w:rPr/>
        <w:t>el</w:t>
      </w:r>
      <w:r>
        <w:rPr>
          <w:spacing w:val="-5"/>
        </w:rPr>
        <w:t> </w:t>
      </w:r>
      <w:r>
        <w:rPr/>
        <w:t>0.90</w:t>
      </w:r>
      <w:r>
        <w:rPr>
          <w:spacing w:val="-10"/>
        </w:rPr>
        <w:t> </w:t>
      </w:r>
      <w:r>
        <w:rPr/>
        <w:t>%</w:t>
      </w:r>
      <w:r>
        <w:rPr>
          <w:spacing w:val="-5"/>
        </w:rPr>
        <w:t> </w:t>
      </w:r>
      <w:r>
        <w:rPr/>
        <w:t>de la superficie</w:t>
      </w:r>
      <w:r>
        <w:rPr>
          <w:spacing w:val="-10"/>
        </w:rPr>
        <w:t> </w:t>
      </w:r>
      <w:r>
        <w:rPr/>
        <w:t>municipal.</w:t>
      </w:r>
    </w:p>
    <w:p>
      <w:pPr>
        <w:pStyle w:val="BodyText"/>
      </w:pPr>
    </w:p>
    <w:p>
      <w:pPr>
        <w:pStyle w:val="BodyText"/>
        <w:spacing w:line="360" w:lineRule="auto" w:before="155"/>
        <w:ind w:left="116" w:right="112"/>
        <w:jc w:val="both"/>
      </w:pPr>
      <w:r>
        <w:rPr/>
        <w:t>Además, el mismo autor ha afirmado la presencia de algunos problemas más de contaminación de recursos naturales, principalmente de agua, ya que se ha ido disminuyendo la calidad debido al uso irracional de insecticidas, pesticidas y los desechos de   los   diferentes   insumos   domésticos   e   industriales   (plásticos,   metales,   aceites,</w:t>
      </w:r>
    </w:p>
    <w:p>
      <w:pPr>
        <w:spacing w:after="0" w:line="360" w:lineRule="auto"/>
        <w:jc w:val="both"/>
        <w:sectPr>
          <w:pgSz w:w="12240" w:h="15840"/>
          <w:pgMar w:header="0" w:footer="1473" w:top="1360" w:bottom="1660" w:left="1300" w:right="1300"/>
        </w:sectPr>
      </w:pPr>
    </w:p>
    <w:p>
      <w:pPr>
        <w:pStyle w:val="BodyText"/>
        <w:spacing w:line="362" w:lineRule="auto" w:before="49"/>
        <w:ind w:left="116" w:right="123"/>
        <w:jc w:val="both"/>
      </w:pPr>
      <w:r>
        <w:rPr/>
        <w:t>detergentes). Los desechos de estos insumos han provocado la contaminación de los cuerpos de agua, tanto superficiales como subterráneos.</w:t>
      </w:r>
    </w:p>
    <w:p>
      <w:pPr>
        <w:pStyle w:val="BodyText"/>
      </w:pPr>
    </w:p>
    <w:p>
      <w:pPr>
        <w:pStyle w:val="BodyText"/>
        <w:spacing w:line="360" w:lineRule="auto" w:before="153"/>
        <w:ind w:left="116" w:right="112"/>
        <w:jc w:val="both"/>
      </w:pPr>
      <w:r>
        <w:rPr/>
        <w:t>Igualmente, dichos desechos y productos han afectado al suelo provocando degradación y con ello erosión y pérdida de nutrientes necesarios para los cultivos; otro problema es la contaminación del mismo por la mala disposición de los envases de los agroquímicos aplicados, sumado a la ineficiente recolección y disposición final de los residuos sólidos por parte de las instituciones gubernamentales. </w:t>
      </w:r>
      <w:r>
        <w:rPr>
          <w:spacing w:val="-3"/>
        </w:rPr>
        <w:t>La </w:t>
      </w:r>
      <w:r>
        <w:rPr/>
        <w:t>infraestructura con que cuenta el Ayuntamiento no le permite recolectar los residuos sólidos que se generan,</w:t>
      </w:r>
      <w:r>
        <w:rPr>
          <w:spacing w:val="-24"/>
        </w:rPr>
        <w:t> </w:t>
      </w:r>
      <w:r>
        <w:rPr/>
        <w:t>principalmente en las zonas rurales, por tanto es muy común encontrar sitios clandestinos donde se abandonan los residuos sólidos, generalmente localizados en las</w:t>
      </w:r>
      <w:r>
        <w:rPr>
          <w:spacing w:val="-16"/>
        </w:rPr>
        <w:t> </w:t>
      </w:r>
      <w:r>
        <w:rPr/>
        <w:t>barrancas.</w:t>
      </w:r>
    </w:p>
    <w:p>
      <w:pPr>
        <w:pStyle w:val="BodyText"/>
      </w:pPr>
    </w:p>
    <w:p>
      <w:pPr>
        <w:pStyle w:val="BodyText"/>
        <w:spacing w:line="360" w:lineRule="auto" w:before="155"/>
        <w:ind w:left="116" w:right="118"/>
        <w:jc w:val="both"/>
      </w:pPr>
      <w:r>
        <w:rPr/>
        <w:t>Otro</w:t>
      </w:r>
      <w:r>
        <w:rPr>
          <w:spacing w:val="-5"/>
        </w:rPr>
        <w:t> </w:t>
      </w:r>
      <w:r>
        <w:rPr/>
        <w:t>recurso</w:t>
      </w:r>
      <w:r>
        <w:rPr>
          <w:spacing w:val="-5"/>
        </w:rPr>
        <w:t> </w:t>
      </w:r>
      <w:r>
        <w:rPr/>
        <w:t>afectado</w:t>
      </w:r>
      <w:r>
        <w:rPr>
          <w:spacing w:val="-5"/>
        </w:rPr>
        <w:t> </w:t>
      </w:r>
      <w:r>
        <w:rPr/>
        <w:t>es</w:t>
      </w:r>
      <w:r>
        <w:rPr>
          <w:spacing w:val="-5"/>
        </w:rPr>
        <w:t> </w:t>
      </w:r>
      <w:r>
        <w:rPr/>
        <w:t>el</w:t>
      </w:r>
      <w:r>
        <w:rPr>
          <w:spacing w:val="-5"/>
        </w:rPr>
        <w:t> </w:t>
      </w:r>
      <w:r>
        <w:rPr/>
        <w:t>aire</w:t>
      </w:r>
      <w:r>
        <w:rPr>
          <w:spacing w:val="-5"/>
        </w:rPr>
        <w:t> </w:t>
      </w:r>
      <w:r>
        <w:rPr/>
        <w:t>ya</w:t>
      </w:r>
      <w:r>
        <w:rPr>
          <w:spacing w:val="-5"/>
        </w:rPr>
        <w:t> </w:t>
      </w:r>
      <w:r>
        <w:rPr/>
        <w:t>que</w:t>
      </w:r>
      <w:r>
        <w:rPr>
          <w:spacing w:val="-5"/>
        </w:rPr>
        <w:t> </w:t>
      </w:r>
      <w:r>
        <w:rPr/>
        <w:t>se</w:t>
      </w:r>
      <w:r>
        <w:rPr>
          <w:spacing w:val="-5"/>
        </w:rPr>
        <w:t> </w:t>
      </w:r>
      <w:r>
        <w:rPr/>
        <w:t>presentan</w:t>
      </w:r>
      <w:r>
        <w:rPr>
          <w:spacing w:val="-5"/>
        </w:rPr>
        <w:t> </w:t>
      </w:r>
      <w:r>
        <w:rPr/>
        <w:t>fuentes</w:t>
      </w:r>
      <w:r>
        <w:rPr>
          <w:spacing w:val="-5"/>
        </w:rPr>
        <w:t> </w:t>
      </w:r>
      <w:r>
        <w:rPr/>
        <w:t>contaminantes</w:t>
      </w:r>
      <w:r>
        <w:rPr>
          <w:spacing w:val="-5"/>
        </w:rPr>
        <w:t> </w:t>
      </w:r>
      <w:r>
        <w:rPr/>
        <w:t>tanto</w:t>
      </w:r>
      <w:r>
        <w:rPr>
          <w:spacing w:val="-5"/>
        </w:rPr>
        <w:t> </w:t>
      </w:r>
      <w:r>
        <w:rPr/>
        <w:t>fijas</w:t>
      </w:r>
      <w:r>
        <w:rPr>
          <w:spacing w:val="-5"/>
        </w:rPr>
        <w:t> </w:t>
      </w:r>
      <w:r>
        <w:rPr/>
        <w:t>como móviles que producen grandes cantidades de emisiones atmosféricas que dañan la salud humana; entre las fijas, en este Municipio, se encuentran una tabiquera, algunas industrias y una</w:t>
      </w:r>
      <w:r>
        <w:rPr>
          <w:spacing w:val="-8"/>
        </w:rPr>
        <w:t> </w:t>
      </w:r>
      <w:r>
        <w:rPr/>
        <w:t>gasolinera.</w:t>
      </w:r>
    </w:p>
    <w:p>
      <w:pPr>
        <w:pStyle w:val="BodyText"/>
      </w:pPr>
    </w:p>
    <w:p>
      <w:pPr>
        <w:pStyle w:val="BodyText"/>
        <w:spacing w:line="360" w:lineRule="auto" w:before="156"/>
        <w:ind w:left="116" w:right="118"/>
        <w:jc w:val="both"/>
      </w:pPr>
      <w:r>
        <w:rPr/>
        <w:t>Un tercer grupo corresponde a las fuentes naturales, la emisión de las partículas minerales se deriva de las tolvaneras, y la emisión de partículas biológicas o químicas que arrastra el viento desde las diversas fuentes, como pueden ser las parcelas con cultivos. El gobierno municipal público en el año 1988 durante el mes de junio, un muestreo de la calidad del aire con resultado “no satisfactoria”, a causa de los niveles de concentración de partículas suspendidas fracción respirables (PM10).</w:t>
      </w:r>
    </w:p>
    <w:p>
      <w:pPr>
        <w:pStyle w:val="BodyText"/>
      </w:pPr>
    </w:p>
    <w:p>
      <w:pPr>
        <w:pStyle w:val="BodyText"/>
        <w:spacing w:line="360" w:lineRule="auto" w:before="155"/>
        <w:ind w:left="116" w:right="115"/>
        <w:jc w:val="both"/>
      </w:pPr>
      <w:r>
        <w:rPr/>
        <w:t>A manera de conclusión las condiciones ambientales de la cuenca pueden analizarse bajo un enfoque ecosistémico donde las interacciones entre los componentes sociales, económicos y naturales donde observarse de mejor manera, como se aprecia en el Cuadro 10.</w:t>
      </w:r>
    </w:p>
    <w:p>
      <w:pPr>
        <w:spacing w:after="0" w:line="360" w:lineRule="auto"/>
        <w:jc w:val="both"/>
        <w:sectPr>
          <w:pgSz w:w="12240" w:h="15840"/>
          <w:pgMar w:header="0" w:footer="1473" w:top="1360" w:bottom="1660" w:left="1300" w:right="1300"/>
        </w:sectPr>
      </w:pPr>
    </w:p>
    <w:p>
      <w:pPr>
        <w:pStyle w:val="Heading1"/>
        <w:spacing w:before="49"/>
        <w:ind w:left="540" w:right="580"/>
        <w:jc w:val="center"/>
      </w:pPr>
      <w:bookmarkStart w:name="_bookmark96" w:id="143"/>
      <w:bookmarkEnd w:id="143"/>
      <w:r>
        <w:rPr>
          <w:b w:val="0"/>
        </w:rPr>
      </w:r>
      <w:r>
        <w:rPr/>
        <w:t>Cuadro 10. Enfoque ecosistémico de la cuenca El Tejocote.</w:t>
      </w:r>
    </w:p>
    <w:p>
      <w:pPr>
        <w:pStyle w:val="BodyText"/>
        <w:rPr>
          <w:b/>
          <w:sz w:val="20"/>
        </w:rPr>
      </w:pPr>
    </w:p>
    <w:p>
      <w:pPr>
        <w:pStyle w:val="BodyText"/>
        <w:rPr>
          <w:b/>
          <w:sz w:val="25"/>
        </w:rPr>
      </w:pPr>
      <w:r>
        <w:rPr/>
        <w:pict>
          <v:group style="position:absolute;margin-left:71.980003pt;margin-top:16.368948pt;width:144.550pt;height:286.850pt;mso-position-horizontal-relative:page;mso-position-vertical-relative:paragraph;z-index:4744;mso-wrap-distance-left:0;mso-wrap-distance-right:0" coordorigin="1440,327" coordsize="2891,5737">
            <v:rect style="position:absolute;left:1450;top:337;width:2870;height:499" filled="false" stroked="true" strokeweight=".96pt" strokecolor="#000000"/>
            <v:rect style="position:absolute;left:1450;top:837;width:2870;height:5218" filled="false" stroked="true" strokeweight=".96pt" strokecolor="#000000"/>
            <v:shape style="position:absolute;left:1450;top:337;width:2871;height:500" type="#_x0000_t202" filled="false" stroked="false">
              <v:textbox inset="0,0,0,0">
                <w:txbxContent>
                  <w:p>
                    <w:pPr>
                      <w:spacing w:before="76"/>
                      <w:ind w:left="811" w:right="0" w:firstLine="0"/>
                      <w:jc w:val="left"/>
                      <w:rPr>
                        <w:sz w:val="28"/>
                      </w:rPr>
                    </w:pPr>
                    <w:r>
                      <w:rPr>
                        <w:sz w:val="28"/>
                      </w:rPr>
                      <w:t>Económico</w:t>
                    </w:r>
                  </w:p>
                </w:txbxContent>
              </v:textbox>
              <w10:wrap type="none"/>
            </v:shape>
            <v:shape style="position:absolute;left:1544;top:936;width:2660;height:2420" type="#_x0000_t202" filled="false" stroked="false">
              <v:textbox inset="0,0,0,0">
                <w:txbxContent>
                  <w:p>
                    <w:pPr>
                      <w:spacing w:line="213" w:lineRule="auto" w:before="0"/>
                      <w:ind w:left="91" w:right="0" w:hanging="92"/>
                      <w:jc w:val="both"/>
                      <w:rPr>
                        <w:sz w:val="22"/>
                      </w:rPr>
                    </w:pPr>
                    <w:r>
                      <w:rPr>
                        <w:sz w:val="22"/>
                      </w:rPr>
                      <w:t>•40% de la PEA se dedica  a la agricultura y actividades agropecuarias</w:t>
                    </w:r>
                  </w:p>
                  <w:p>
                    <w:pPr>
                      <w:numPr>
                        <w:ilvl w:val="0"/>
                        <w:numId w:val="45"/>
                      </w:numPr>
                      <w:tabs>
                        <w:tab w:pos="149" w:val="left" w:leader="none"/>
                      </w:tabs>
                      <w:spacing w:line="216" w:lineRule="auto" w:before="41"/>
                      <w:ind w:left="91" w:right="0" w:hanging="91"/>
                      <w:jc w:val="both"/>
                      <w:rPr>
                        <w:sz w:val="22"/>
                      </w:rPr>
                    </w:pPr>
                    <w:r>
                      <w:rPr>
                        <w:sz w:val="22"/>
                      </w:rPr>
                      <w:t>Las zonas ocupadas por terrenos agrícolas y pecuarios brindan bienes y </w:t>
                    </w:r>
                    <w:r>
                      <w:rPr>
                        <w:spacing w:val="-3"/>
                        <w:sz w:val="22"/>
                      </w:rPr>
                      <w:t>servicios  ambientales</w:t>
                    </w:r>
                    <w:r>
                      <w:rPr>
                        <w:spacing w:val="11"/>
                        <w:sz w:val="22"/>
                      </w:rPr>
                      <w:t> </w:t>
                    </w:r>
                    <w:r>
                      <w:rPr>
                        <w:spacing w:val="-5"/>
                        <w:sz w:val="22"/>
                      </w:rPr>
                      <w:t>como:</w:t>
                    </w:r>
                  </w:p>
                  <w:p>
                    <w:pPr>
                      <w:spacing w:line="240" w:lineRule="auto" w:before="8"/>
                      <w:rPr>
                        <w:b/>
                        <w:sz w:val="24"/>
                      </w:rPr>
                    </w:pPr>
                  </w:p>
                  <w:p>
                    <w:pPr>
                      <w:numPr>
                        <w:ilvl w:val="0"/>
                        <w:numId w:val="45"/>
                      </w:numPr>
                      <w:tabs>
                        <w:tab w:pos="144" w:val="left" w:leader="none"/>
                      </w:tabs>
                      <w:spacing w:before="0"/>
                      <w:ind w:left="144" w:right="0" w:hanging="144"/>
                      <w:jc w:val="both"/>
                      <w:rPr>
                        <w:sz w:val="22"/>
                      </w:rPr>
                    </w:pPr>
                    <w:r>
                      <w:rPr>
                        <w:sz w:val="22"/>
                      </w:rPr>
                      <w:t>Disponibilidad </w:t>
                    </w:r>
                    <w:r>
                      <w:rPr>
                        <w:spacing w:val="-3"/>
                        <w:sz w:val="22"/>
                      </w:rPr>
                      <w:t>de</w:t>
                    </w:r>
                    <w:r>
                      <w:rPr>
                        <w:spacing w:val="-10"/>
                        <w:sz w:val="22"/>
                      </w:rPr>
                      <w:t> </w:t>
                    </w:r>
                    <w:r>
                      <w:rPr>
                        <w:sz w:val="22"/>
                      </w:rPr>
                      <w:t>terreno</w:t>
                    </w:r>
                  </w:p>
                  <w:p>
                    <w:pPr>
                      <w:spacing w:line="249" w:lineRule="exact" w:before="11"/>
                      <w:ind w:left="0" w:right="0" w:firstLine="0"/>
                      <w:jc w:val="both"/>
                      <w:rPr>
                        <w:sz w:val="22"/>
                      </w:rPr>
                    </w:pPr>
                    <w:r>
                      <w:rPr>
                        <w:sz w:val="22"/>
                      </w:rPr>
                      <w:t>•Suelos      aptos      para    </w:t>
                    </w:r>
                    <w:r>
                      <w:rPr>
                        <w:spacing w:val="52"/>
                        <w:sz w:val="22"/>
                      </w:rPr>
                      <w:t> </w:t>
                    </w:r>
                    <w:r>
                      <w:rPr>
                        <w:spacing w:val="-4"/>
                        <w:sz w:val="22"/>
                      </w:rPr>
                      <w:t>la</w:t>
                    </w:r>
                  </w:p>
                </w:txbxContent>
              </v:textbox>
              <w10:wrap type="none"/>
            </v:shape>
            <v:shape style="position:absolute;left:1635;top:3361;width:952;height:452" type="#_x0000_t202" filled="false" stroked="false">
              <v:textbox inset="0,0,0,0">
                <w:txbxContent>
                  <w:p>
                    <w:pPr>
                      <w:spacing w:line="218" w:lineRule="auto" w:before="0"/>
                      <w:ind w:left="0" w:right="-10" w:firstLine="0"/>
                      <w:jc w:val="left"/>
                      <w:rPr>
                        <w:sz w:val="22"/>
                      </w:rPr>
                    </w:pPr>
                    <w:r>
                      <w:rPr>
                        <w:spacing w:val="-1"/>
                        <w:sz w:val="22"/>
                      </w:rPr>
                      <w:t>agricultura </w:t>
                    </w:r>
                    <w:r>
                      <w:rPr>
                        <w:sz w:val="22"/>
                      </w:rPr>
                      <w:t>pecuarias</w:t>
                    </w:r>
                  </w:p>
                </w:txbxContent>
              </v:textbox>
              <w10:wrap type="none"/>
            </v:shape>
            <v:shape style="position:absolute;left:2850;top:3361;width:111;height:221" type="#_x0000_t202" filled="false" stroked="false">
              <v:textbox inset="0,0,0,0">
                <w:txbxContent>
                  <w:p>
                    <w:pPr>
                      <w:spacing w:line="221" w:lineRule="exact" w:before="0"/>
                      <w:ind w:left="0" w:right="0" w:firstLine="0"/>
                      <w:jc w:val="left"/>
                      <w:rPr>
                        <w:sz w:val="22"/>
                      </w:rPr>
                    </w:pPr>
                    <w:r>
                      <w:rPr>
                        <w:w w:val="100"/>
                        <w:sz w:val="22"/>
                      </w:rPr>
                      <w:t>y</w:t>
                    </w:r>
                  </w:p>
                </w:txbxContent>
              </v:textbox>
              <w10:wrap type="none"/>
            </v:shape>
            <v:shape style="position:absolute;left:3215;top:3361;width:979;height:221" type="#_x0000_t202" filled="false" stroked="false">
              <v:textbox inset="0,0,0,0">
                <w:txbxContent>
                  <w:p>
                    <w:pPr>
                      <w:spacing w:line="221" w:lineRule="exact" w:before="0"/>
                      <w:ind w:left="0" w:right="-9" w:firstLine="0"/>
                      <w:jc w:val="left"/>
                      <w:rPr>
                        <w:sz w:val="22"/>
                      </w:rPr>
                    </w:pPr>
                    <w:r>
                      <w:rPr>
                        <w:spacing w:val="-2"/>
                        <w:sz w:val="22"/>
                      </w:rPr>
                      <w:t>actividades</w:t>
                    </w:r>
                  </w:p>
                </w:txbxContent>
              </v:textbox>
              <w10:wrap type="none"/>
            </v:shape>
            <v:shape style="position:absolute;left:1544;top:3856;width:2083;height:485" type="#_x0000_t202" filled="false" stroked="false">
              <v:textbox inset="0,0,0,0">
                <w:txbxContent>
                  <w:p>
                    <w:pPr>
                      <w:numPr>
                        <w:ilvl w:val="0"/>
                        <w:numId w:val="46"/>
                      </w:numPr>
                      <w:tabs>
                        <w:tab w:pos="144" w:val="left" w:leader="none"/>
                      </w:tabs>
                      <w:spacing w:line="225" w:lineRule="exact" w:before="0"/>
                      <w:ind w:left="144" w:right="0" w:hanging="144"/>
                      <w:jc w:val="left"/>
                      <w:rPr>
                        <w:sz w:val="22"/>
                      </w:rPr>
                    </w:pPr>
                    <w:r>
                      <w:rPr>
                        <w:sz w:val="22"/>
                      </w:rPr>
                      <w:t>Aporte </w:t>
                    </w:r>
                    <w:r>
                      <w:rPr>
                        <w:spacing w:val="-3"/>
                        <w:sz w:val="22"/>
                      </w:rPr>
                      <w:t>de</w:t>
                    </w:r>
                    <w:r>
                      <w:rPr>
                        <w:spacing w:val="14"/>
                        <w:sz w:val="22"/>
                      </w:rPr>
                      <w:t> </w:t>
                    </w:r>
                    <w:r>
                      <w:rPr>
                        <w:spacing w:val="-3"/>
                        <w:sz w:val="22"/>
                      </w:rPr>
                      <w:t>nutrientes</w:t>
                    </w:r>
                  </w:p>
                  <w:p>
                    <w:pPr>
                      <w:numPr>
                        <w:ilvl w:val="0"/>
                        <w:numId w:val="46"/>
                      </w:numPr>
                      <w:tabs>
                        <w:tab w:pos="144" w:val="left" w:leader="none"/>
                      </w:tabs>
                      <w:spacing w:line="249" w:lineRule="exact" w:before="11"/>
                      <w:ind w:left="144" w:right="0" w:hanging="144"/>
                      <w:jc w:val="left"/>
                      <w:rPr>
                        <w:sz w:val="22"/>
                      </w:rPr>
                    </w:pPr>
                    <w:r>
                      <w:rPr>
                        <w:sz w:val="22"/>
                      </w:rPr>
                      <w:t>Recursos</w:t>
                    </w:r>
                    <w:r>
                      <w:rPr>
                        <w:spacing w:val="8"/>
                        <w:sz w:val="22"/>
                      </w:rPr>
                      <w:t> </w:t>
                    </w:r>
                    <w:r>
                      <w:rPr>
                        <w:spacing w:val="-3"/>
                        <w:sz w:val="22"/>
                      </w:rPr>
                      <w:t>hidrológicos</w:t>
                    </w:r>
                  </w:p>
                </w:txbxContent>
              </v:textbox>
              <w10:wrap type="none"/>
            </v:shape>
            <w10:wrap type="topAndBottom"/>
          </v:group>
        </w:pict>
      </w:r>
      <w:r>
        <w:rPr/>
        <w:pict>
          <v:group style="position:absolute;margin-left:235.660004pt;margin-top:16.368948pt;width:144.550pt;height:286.850pt;mso-position-horizontal-relative:page;mso-position-vertical-relative:paragraph;z-index:4816;mso-wrap-distance-left:0;mso-wrap-distance-right:0" coordorigin="4713,327" coordsize="2891,5737">
            <v:rect style="position:absolute;left:4723;top:337;width:2870;height:499" filled="false" stroked="true" strokeweight=".96pt" strokecolor="#000000"/>
            <v:rect style="position:absolute;left:4723;top:837;width:2870;height:5218" filled="false" stroked="true" strokeweight=".96pt" strokecolor="#000000"/>
            <v:shape style="position:absolute;left:4723;top:337;width:2871;height:500" type="#_x0000_t202" filled="false" stroked="false">
              <v:textbox inset="0,0,0,0">
                <w:txbxContent>
                  <w:p>
                    <w:pPr>
                      <w:spacing w:before="76"/>
                      <w:ind w:left="997" w:right="986" w:firstLine="0"/>
                      <w:jc w:val="center"/>
                      <w:rPr>
                        <w:sz w:val="28"/>
                      </w:rPr>
                    </w:pPr>
                    <w:r>
                      <w:rPr>
                        <w:sz w:val="28"/>
                      </w:rPr>
                      <w:t>Social</w:t>
                    </w:r>
                  </w:p>
                </w:txbxContent>
              </v:textbox>
              <w10:wrap type="none"/>
            </v:shape>
            <v:shape style="position:absolute;left:4723;top:837;width:2871;height:5218" type="#_x0000_t202" filled="false" stroked="false">
              <v:textbox inset="0,0,0,0">
                <w:txbxContent>
                  <w:p>
                    <w:pPr>
                      <w:numPr>
                        <w:ilvl w:val="0"/>
                        <w:numId w:val="47"/>
                      </w:numPr>
                      <w:tabs>
                        <w:tab w:pos="243" w:val="left" w:leader="none"/>
                      </w:tabs>
                      <w:spacing w:line="216" w:lineRule="auto" w:before="92"/>
                      <w:ind w:left="185" w:right="119" w:hanging="91"/>
                      <w:jc w:val="both"/>
                      <w:rPr>
                        <w:sz w:val="22"/>
                      </w:rPr>
                    </w:pPr>
                    <w:r>
                      <w:rPr>
                        <w:sz w:val="22"/>
                      </w:rPr>
                      <w:t>Los recursos los que cuenta la cuenca le han brindado bienes y servicios ambientales a la sociales </w:t>
                    </w:r>
                    <w:r>
                      <w:rPr>
                        <w:spacing w:val="-5"/>
                        <w:sz w:val="22"/>
                      </w:rPr>
                      <w:t>como:</w:t>
                    </w:r>
                  </w:p>
                  <w:p>
                    <w:pPr>
                      <w:spacing w:line="240" w:lineRule="auto" w:before="9"/>
                      <w:rPr>
                        <w:b/>
                        <w:sz w:val="24"/>
                      </w:rPr>
                    </w:pPr>
                  </w:p>
                  <w:p>
                    <w:pPr>
                      <w:numPr>
                        <w:ilvl w:val="0"/>
                        <w:numId w:val="47"/>
                      </w:numPr>
                      <w:tabs>
                        <w:tab w:pos="238" w:val="left" w:leader="none"/>
                      </w:tabs>
                      <w:spacing w:before="0"/>
                      <w:ind w:left="238" w:right="0" w:hanging="144"/>
                      <w:jc w:val="both"/>
                      <w:rPr>
                        <w:sz w:val="22"/>
                      </w:rPr>
                    </w:pPr>
                    <w:r>
                      <w:rPr>
                        <w:spacing w:val="-3"/>
                        <w:sz w:val="22"/>
                      </w:rPr>
                      <w:t>Identidad</w:t>
                    </w:r>
                    <w:r>
                      <w:rPr>
                        <w:spacing w:val="19"/>
                        <w:sz w:val="22"/>
                      </w:rPr>
                      <w:t> </w:t>
                    </w:r>
                    <w:r>
                      <w:rPr>
                        <w:sz w:val="22"/>
                      </w:rPr>
                      <w:t>social</w:t>
                    </w:r>
                  </w:p>
                  <w:p>
                    <w:pPr>
                      <w:numPr>
                        <w:ilvl w:val="0"/>
                        <w:numId w:val="47"/>
                      </w:numPr>
                      <w:tabs>
                        <w:tab w:pos="243" w:val="left" w:leader="none"/>
                        <w:tab w:pos="1894" w:val="left" w:leader="none"/>
                      </w:tabs>
                      <w:spacing w:line="216" w:lineRule="auto" w:before="31"/>
                      <w:ind w:left="185" w:right="125" w:hanging="91"/>
                      <w:jc w:val="both"/>
                      <w:rPr>
                        <w:sz w:val="22"/>
                      </w:rPr>
                    </w:pPr>
                    <w:r>
                      <w:rPr>
                        <w:sz w:val="22"/>
                      </w:rPr>
                      <w:t>Aspesctos</w:t>
                      <w:tab/>
                    </w:r>
                    <w:r>
                      <w:rPr>
                        <w:spacing w:val="-1"/>
                        <w:sz w:val="22"/>
                      </w:rPr>
                      <w:t>culturales </w:t>
                    </w:r>
                    <w:r>
                      <w:rPr>
                        <w:sz w:val="22"/>
                      </w:rPr>
                      <w:t>basados en las actividades agrícolas</w:t>
                    </w:r>
                  </w:p>
                  <w:p>
                    <w:pPr>
                      <w:spacing w:before="15"/>
                      <w:ind w:left="94" w:right="0" w:firstLine="0"/>
                      <w:jc w:val="both"/>
                      <w:rPr>
                        <w:sz w:val="22"/>
                      </w:rPr>
                    </w:pPr>
                    <w:r>
                      <w:rPr>
                        <w:sz w:val="22"/>
                      </w:rPr>
                      <w:t>•Fuentes de empleo</w:t>
                    </w:r>
                  </w:p>
                </w:txbxContent>
              </v:textbox>
              <w10:wrap type="none"/>
            </v:shape>
            <w10:wrap type="topAndBottom"/>
          </v:group>
        </w:pict>
      </w:r>
      <w:r>
        <w:rPr/>
        <w:pict>
          <v:group style="position:absolute;margin-left:399.339996pt;margin-top:16.368948pt;width:144.550pt;height:286.850pt;mso-position-horizontal-relative:page;mso-position-vertical-relative:paragraph;z-index:4888;mso-wrap-distance-left:0;mso-wrap-distance-right:0" coordorigin="7987,327" coordsize="2891,5737">
            <v:rect style="position:absolute;left:7997;top:337;width:2870;height:499" filled="false" stroked="true" strokeweight=".96pt" strokecolor="#000000"/>
            <v:rect style="position:absolute;left:7997;top:837;width:2870;height:5218" filled="false" stroked="true" strokeweight=".96pt" strokecolor="#000000"/>
            <v:shape style="position:absolute;left:7997;top:337;width:2871;height:500" type="#_x0000_t202" filled="false" stroked="false">
              <v:textbox inset="0,0,0,0">
                <w:txbxContent>
                  <w:p>
                    <w:pPr>
                      <w:spacing w:before="76"/>
                      <w:ind w:left="997" w:right="993" w:firstLine="0"/>
                      <w:jc w:val="center"/>
                      <w:rPr>
                        <w:sz w:val="28"/>
                      </w:rPr>
                    </w:pPr>
                    <w:r>
                      <w:rPr>
                        <w:sz w:val="28"/>
                      </w:rPr>
                      <w:t>Natural</w:t>
                    </w:r>
                  </w:p>
                </w:txbxContent>
              </v:textbox>
              <w10:wrap type="none"/>
            </v:shape>
            <v:shape style="position:absolute;left:7997;top:837;width:2871;height:5218" type="#_x0000_t202" filled="false" stroked="false">
              <v:textbox inset="0,0,0,0">
                <w:txbxContent>
                  <w:p>
                    <w:pPr>
                      <w:numPr>
                        <w:ilvl w:val="0"/>
                        <w:numId w:val="48"/>
                      </w:numPr>
                      <w:tabs>
                        <w:tab w:pos="243" w:val="left" w:leader="none"/>
                      </w:tabs>
                      <w:spacing w:line="216" w:lineRule="auto" w:before="92"/>
                      <w:ind w:left="184" w:right="117" w:hanging="91"/>
                      <w:jc w:val="both"/>
                      <w:rPr>
                        <w:sz w:val="22"/>
                      </w:rPr>
                    </w:pPr>
                    <w:r>
                      <w:rPr>
                        <w:sz w:val="22"/>
                      </w:rPr>
                      <w:t>Las zonas ocupadas por coberturas vegetales brindan bienes y servicios </w:t>
                    </w:r>
                    <w:r>
                      <w:rPr>
                        <w:spacing w:val="-3"/>
                        <w:sz w:val="22"/>
                      </w:rPr>
                      <w:t>ambientales</w:t>
                    </w:r>
                    <w:r>
                      <w:rPr>
                        <w:spacing w:val="33"/>
                        <w:sz w:val="22"/>
                      </w:rPr>
                      <w:t> </w:t>
                    </w:r>
                    <w:r>
                      <w:rPr>
                        <w:spacing w:val="-5"/>
                        <w:sz w:val="22"/>
                      </w:rPr>
                      <w:t>como:</w:t>
                    </w:r>
                  </w:p>
                  <w:p>
                    <w:pPr>
                      <w:spacing w:line="240" w:lineRule="auto" w:before="3"/>
                      <w:rPr>
                        <w:b/>
                        <w:sz w:val="24"/>
                      </w:rPr>
                    </w:pPr>
                  </w:p>
                  <w:p>
                    <w:pPr>
                      <w:numPr>
                        <w:ilvl w:val="0"/>
                        <w:numId w:val="48"/>
                      </w:numPr>
                      <w:tabs>
                        <w:tab w:pos="243" w:val="left" w:leader="none"/>
                      </w:tabs>
                      <w:spacing w:line="242" w:lineRule="exact" w:before="1"/>
                      <w:ind w:left="242" w:right="0" w:hanging="149"/>
                      <w:jc w:val="both"/>
                      <w:rPr>
                        <w:sz w:val="22"/>
                      </w:rPr>
                    </w:pPr>
                    <w:r>
                      <w:rPr>
                        <w:sz w:val="22"/>
                      </w:rPr>
                      <w:t>Captación   y   filtración </w:t>
                    </w:r>
                    <w:r>
                      <w:rPr>
                        <w:spacing w:val="41"/>
                        <w:sz w:val="22"/>
                      </w:rPr>
                      <w:t> </w:t>
                    </w:r>
                    <w:r>
                      <w:rPr>
                        <w:sz w:val="22"/>
                      </w:rPr>
                      <w:t>de</w:t>
                    </w:r>
                  </w:p>
                  <w:p>
                    <w:pPr>
                      <w:spacing w:line="242" w:lineRule="exact" w:before="0"/>
                      <w:ind w:left="184" w:right="0" w:firstLine="0"/>
                      <w:jc w:val="both"/>
                      <w:rPr>
                        <w:sz w:val="22"/>
                      </w:rPr>
                    </w:pPr>
                    <w:r>
                      <w:rPr>
                        <w:sz w:val="22"/>
                      </w:rPr>
                      <w:t>agua</w:t>
                    </w:r>
                  </w:p>
                  <w:p>
                    <w:pPr>
                      <w:numPr>
                        <w:ilvl w:val="0"/>
                        <w:numId w:val="48"/>
                      </w:numPr>
                      <w:tabs>
                        <w:tab w:pos="243" w:val="left" w:leader="none"/>
                      </w:tabs>
                      <w:spacing w:line="230" w:lineRule="exact" w:before="32"/>
                      <w:ind w:left="184" w:right="117" w:hanging="91"/>
                      <w:jc w:val="left"/>
                      <w:rPr>
                        <w:sz w:val="22"/>
                      </w:rPr>
                    </w:pPr>
                    <w:r>
                      <w:rPr>
                        <w:sz w:val="22"/>
                      </w:rPr>
                      <w:t>Mitigación de </w:t>
                    </w:r>
                    <w:r>
                      <w:rPr>
                        <w:spacing w:val="-3"/>
                        <w:sz w:val="22"/>
                      </w:rPr>
                      <w:t>los </w:t>
                    </w:r>
                    <w:r>
                      <w:rPr>
                        <w:sz w:val="22"/>
                      </w:rPr>
                      <w:t>efectos de </w:t>
                    </w:r>
                    <w:r>
                      <w:rPr>
                        <w:spacing w:val="-3"/>
                        <w:sz w:val="22"/>
                      </w:rPr>
                      <w:t>cambio</w:t>
                    </w:r>
                    <w:r>
                      <w:rPr>
                        <w:spacing w:val="21"/>
                        <w:sz w:val="22"/>
                      </w:rPr>
                      <w:t> </w:t>
                    </w:r>
                    <w:r>
                      <w:rPr>
                        <w:spacing w:val="-3"/>
                        <w:sz w:val="22"/>
                      </w:rPr>
                      <w:t>climático</w:t>
                    </w:r>
                  </w:p>
                  <w:p>
                    <w:pPr>
                      <w:numPr>
                        <w:ilvl w:val="0"/>
                        <w:numId w:val="48"/>
                      </w:numPr>
                      <w:tabs>
                        <w:tab w:pos="238" w:val="left" w:leader="none"/>
                      </w:tabs>
                      <w:spacing w:before="12"/>
                      <w:ind w:left="237" w:right="0" w:hanging="144"/>
                      <w:jc w:val="both"/>
                      <w:rPr>
                        <w:sz w:val="22"/>
                      </w:rPr>
                    </w:pPr>
                    <w:r>
                      <w:rPr>
                        <w:spacing w:val="-3"/>
                        <w:sz w:val="22"/>
                      </w:rPr>
                      <w:t>Generación  de</w:t>
                    </w:r>
                    <w:r>
                      <w:rPr>
                        <w:spacing w:val="-9"/>
                        <w:sz w:val="22"/>
                      </w:rPr>
                      <w:t> </w:t>
                    </w:r>
                    <w:r>
                      <w:rPr>
                        <w:spacing w:val="-4"/>
                        <w:sz w:val="22"/>
                      </w:rPr>
                      <w:t>oxígeno</w:t>
                    </w:r>
                  </w:p>
                  <w:p>
                    <w:pPr>
                      <w:numPr>
                        <w:ilvl w:val="0"/>
                        <w:numId w:val="48"/>
                      </w:numPr>
                      <w:tabs>
                        <w:tab w:pos="243" w:val="left" w:leader="none"/>
                        <w:tab w:pos="1562" w:val="left" w:leader="none"/>
                        <w:tab w:pos="2013" w:val="left" w:leader="none"/>
                      </w:tabs>
                      <w:spacing w:line="230" w:lineRule="exact" w:before="32"/>
                      <w:ind w:left="184" w:right="125" w:hanging="91"/>
                      <w:jc w:val="left"/>
                      <w:rPr>
                        <w:sz w:val="22"/>
                      </w:rPr>
                    </w:pPr>
                    <w:r>
                      <w:rPr>
                        <w:sz w:val="22"/>
                      </w:rPr>
                      <w:t>Asimilación</w:t>
                      <w:tab/>
                      <w:t>de</w:t>
                      <w:tab/>
                    </w:r>
                    <w:r>
                      <w:rPr>
                        <w:spacing w:val="-1"/>
                        <w:sz w:val="22"/>
                      </w:rPr>
                      <w:t>diversos </w:t>
                    </w:r>
                    <w:r>
                      <w:rPr>
                        <w:spacing w:val="-3"/>
                        <w:sz w:val="22"/>
                      </w:rPr>
                      <w:t>contaminantes</w:t>
                    </w:r>
                  </w:p>
                  <w:p>
                    <w:pPr>
                      <w:numPr>
                        <w:ilvl w:val="0"/>
                        <w:numId w:val="48"/>
                      </w:numPr>
                      <w:tabs>
                        <w:tab w:pos="243" w:val="left" w:leader="none"/>
                      </w:tabs>
                      <w:spacing w:line="226" w:lineRule="exact" w:before="37"/>
                      <w:ind w:left="184" w:right="125" w:hanging="91"/>
                      <w:jc w:val="left"/>
                      <w:rPr>
                        <w:sz w:val="22"/>
                      </w:rPr>
                    </w:pPr>
                    <w:r>
                      <w:rPr>
                        <w:sz w:val="22"/>
                      </w:rPr>
                      <w:t>Protección de las especies </w:t>
                    </w:r>
                    <w:r>
                      <w:rPr>
                        <w:spacing w:val="-3"/>
                        <w:sz w:val="22"/>
                      </w:rPr>
                      <w:t>de </w:t>
                    </w:r>
                    <w:r>
                      <w:rPr>
                        <w:sz w:val="22"/>
                      </w:rPr>
                      <w:t>fauna y</w:t>
                    </w:r>
                    <w:r>
                      <w:rPr>
                        <w:spacing w:val="-2"/>
                        <w:sz w:val="22"/>
                      </w:rPr>
                      <w:t> </w:t>
                    </w:r>
                    <w:r>
                      <w:rPr>
                        <w:sz w:val="22"/>
                      </w:rPr>
                      <w:t>flora</w:t>
                    </w:r>
                  </w:p>
                  <w:p>
                    <w:pPr>
                      <w:numPr>
                        <w:ilvl w:val="0"/>
                        <w:numId w:val="48"/>
                      </w:numPr>
                      <w:tabs>
                        <w:tab w:pos="238" w:val="left" w:leader="none"/>
                      </w:tabs>
                      <w:spacing w:before="18"/>
                      <w:ind w:left="237" w:right="0" w:hanging="144"/>
                      <w:jc w:val="both"/>
                      <w:rPr>
                        <w:sz w:val="22"/>
                      </w:rPr>
                    </w:pPr>
                    <w:r>
                      <w:rPr>
                        <w:spacing w:val="-3"/>
                        <w:sz w:val="22"/>
                      </w:rPr>
                      <w:t>Retención  de</w:t>
                    </w:r>
                    <w:r>
                      <w:rPr>
                        <w:spacing w:val="-14"/>
                        <w:sz w:val="22"/>
                      </w:rPr>
                      <w:t> </w:t>
                    </w:r>
                    <w:r>
                      <w:rPr>
                        <w:spacing w:val="-3"/>
                        <w:sz w:val="22"/>
                      </w:rPr>
                      <w:t>suelo</w:t>
                    </w:r>
                  </w:p>
                  <w:p>
                    <w:pPr>
                      <w:numPr>
                        <w:ilvl w:val="0"/>
                        <w:numId w:val="48"/>
                      </w:numPr>
                      <w:tabs>
                        <w:tab w:pos="238" w:val="left" w:leader="none"/>
                      </w:tabs>
                      <w:spacing w:before="11"/>
                      <w:ind w:left="237" w:right="0" w:hanging="144"/>
                      <w:jc w:val="both"/>
                      <w:rPr>
                        <w:sz w:val="22"/>
                      </w:rPr>
                    </w:pPr>
                    <w:r>
                      <w:rPr>
                        <w:spacing w:val="-4"/>
                        <w:sz w:val="22"/>
                      </w:rPr>
                      <w:t>Belleza</w:t>
                    </w:r>
                    <w:r>
                      <w:rPr>
                        <w:spacing w:val="34"/>
                        <w:sz w:val="22"/>
                      </w:rPr>
                      <w:t> </w:t>
                    </w:r>
                    <w:r>
                      <w:rPr>
                        <w:spacing w:val="-4"/>
                        <w:sz w:val="22"/>
                      </w:rPr>
                      <w:t>escénica</w:t>
                    </w:r>
                  </w:p>
                  <w:p>
                    <w:pPr>
                      <w:numPr>
                        <w:ilvl w:val="0"/>
                        <w:numId w:val="48"/>
                      </w:numPr>
                      <w:tabs>
                        <w:tab w:pos="238" w:val="left" w:leader="none"/>
                      </w:tabs>
                      <w:spacing w:before="11"/>
                      <w:ind w:left="237" w:right="0" w:hanging="144"/>
                      <w:jc w:val="both"/>
                      <w:rPr>
                        <w:sz w:val="22"/>
                      </w:rPr>
                    </w:pPr>
                    <w:r>
                      <w:rPr>
                        <w:spacing w:val="-3"/>
                        <w:sz w:val="22"/>
                      </w:rPr>
                      <w:t>Recreación</w:t>
                    </w:r>
                  </w:p>
                  <w:p>
                    <w:pPr>
                      <w:numPr>
                        <w:ilvl w:val="0"/>
                        <w:numId w:val="48"/>
                      </w:numPr>
                      <w:tabs>
                        <w:tab w:pos="238" w:val="left" w:leader="none"/>
                      </w:tabs>
                      <w:spacing w:before="16"/>
                      <w:ind w:left="237" w:right="0" w:hanging="144"/>
                      <w:jc w:val="both"/>
                      <w:rPr>
                        <w:sz w:val="22"/>
                      </w:rPr>
                    </w:pPr>
                    <w:r>
                      <w:rPr>
                        <w:sz w:val="22"/>
                      </w:rPr>
                      <w:t>Ecoturismo</w:t>
                    </w:r>
                  </w:p>
                  <w:p>
                    <w:pPr>
                      <w:numPr>
                        <w:ilvl w:val="0"/>
                        <w:numId w:val="48"/>
                      </w:numPr>
                      <w:tabs>
                        <w:tab w:pos="243" w:val="left" w:leader="none"/>
                      </w:tabs>
                      <w:spacing w:line="239" w:lineRule="exact" w:before="11"/>
                      <w:ind w:left="242" w:right="0" w:hanging="149"/>
                      <w:jc w:val="both"/>
                      <w:rPr>
                        <w:sz w:val="22"/>
                      </w:rPr>
                    </w:pPr>
                    <w:r>
                      <w:rPr>
                        <w:sz w:val="22"/>
                      </w:rPr>
                      <w:t>Control     de     erosión    </w:t>
                    </w:r>
                    <w:r>
                      <w:rPr>
                        <w:spacing w:val="32"/>
                        <w:sz w:val="22"/>
                      </w:rPr>
                      <w:t> </w:t>
                    </w:r>
                    <w:r>
                      <w:rPr>
                        <w:sz w:val="22"/>
                      </w:rPr>
                      <w:t>y</w:t>
                    </w:r>
                  </w:p>
                  <w:p>
                    <w:pPr>
                      <w:spacing w:line="239" w:lineRule="exact" w:before="0"/>
                      <w:ind w:left="184" w:right="0" w:firstLine="0"/>
                      <w:jc w:val="both"/>
                      <w:rPr>
                        <w:sz w:val="22"/>
                      </w:rPr>
                    </w:pPr>
                    <w:r>
                      <w:rPr>
                        <w:sz w:val="22"/>
                      </w:rPr>
                      <w:t>azolves en las partes bajas</w:t>
                    </w:r>
                  </w:p>
                </w:txbxContent>
              </v:textbox>
              <w10:wrap type="none"/>
            </v:shape>
            <w10:wrap type="topAndBottom"/>
          </v:group>
        </w:pict>
      </w:r>
    </w:p>
    <w:p>
      <w:pPr>
        <w:pStyle w:val="BodyText"/>
        <w:rPr>
          <w:b/>
        </w:rPr>
      </w:pPr>
    </w:p>
    <w:p>
      <w:pPr>
        <w:spacing w:before="169"/>
        <w:ind w:left="542" w:right="580" w:firstLine="0"/>
        <w:jc w:val="center"/>
        <w:rPr>
          <w:sz w:val="22"/>
        </w:rPr>
      </w:pPr>
      <w:r>
        <w:rPr>
          <w:sz w:val="22"/>
        </w:rPr>
        <w:t>Fuente: Elaboración propia, 2014.</w:t>
      </w:r>
    </w:p>
    <w:p>
      <w:pPr>
        <w:pStyle w:val="BodyText"/>
        <w:rPr>
          <w:sz w:val="22"/>
        </w:rPr>
      </w:pPr>
    </w:p>
    <w:p>
      <w:pPr>
        <w:pStyle w:val="BodyText"/>
        <w:spacing w:before="10"/>
        <w:rPr>
          <w:sz w:val="27"/>
        </w:rPr>
      </w:pPr>
    </w:p>
    <w:p>
      <w:pPr>
        <w:pStyle w:val="BodyText"/>
        <w:spacing w:line="360" w:lineRule="auto"/>
        <w:ind w:left="116" w:right="150"/>
        <w:jc w:val="both"/>
      </w:pPr>
      <w:r>
        <w:rPr/>
        <w:t>De dicha forma es posible notar que los bienes y servicios ambientales que prestan los recursos</w:t>
      </w:r>
      <w:r>
        <w:rPr>
          <w:spacing w:val="-5"/>
        </w:rPr>
        <w:t> </w:t>
      </w:r>
      <w:r>
        <w:rPr/>
        <w:t>naturales</w:t>
      </w:r>
      <w:r>
        <w:rPr>
          <w:spacing w:val="-5"/>
        </w:rPr>
        <w:t> </w:t>
      </w:r>
      <w:r>
        <w:rPr/>
        <w:t>de</w:t>
      </w:r>
      <w:r>
        <w:rPr>
          <w:spacing w:val="-5"/>
        </w:rPr>
        <w:t> </w:t>
      </w:r>
      <w:r>
        <w:rPr/>
        <w:t>la</w:t>
      </w:r>
      <w:r>
        <w:rPr>
          <w:spacing w:val="-5"/>
        </w:rPr>
        <w:t> </w:t>
      </w:r>
      <w:r>
        <w:rPr/>
        <w:t>cuenca</w:t>
      </w:r>
      <w:r>
        <w:rPr>
          <w:spacing w:val="-5"/>
        </w:rPr>
        <w:t> </w:t>
      </w:r>
      <w:r>
        <w:rPr/>
        <w:t>a</w:t>
      </w:r>
      <w:r>
        <w:rPr>
          <w:spacing w:val="-5"/>
        </w:rPr>
        <w:t> </w:t>
      </w:r>
      <w:r>
        <w:rPr/>
        <w:t>la</w:t>
      </w:r>
      <w:r>
        <w:rPr>
          <w:spacing w:val="-1"/>
        </w:rPr>
        <w:t> </w:t>
      </w:r>
      <w:r>
        <w:rPr/>
        <w:t>población</w:t>
      </w:r>
      <w:r>
        <w:rPr>
          <w:spacing w:val="-5"/>
        </w:rPr>
        <w:t> </w:t>
      </w:r>
      <w:r>
        <w:rPr/>
        <w:t>son</w:t>
      </w:r>
      <w:r>
        <w:rPr>
          <w:spacing w:val="-5"/>
        </w:rPr>
        <w:t> </w:t>
      </w:r>
      <w:r>
        <w:rPr/>
        <w:t>básicos</w:t>
      </w:r>
      <w:r>
        <w:rPr>
          <w:spacing w:val="-5"/>
        </w:rPr>
        <w:t> </w:t>
      </w:r>
      <w:r>
        <w:rPr/>
        <w:t>para</w:t>
      </w:r>
      <w:r>
        <w:rPr>
          <w:spacing w:val="-5"/>
        </w:rPr>
        <w:t> </w:t>
      </w:r>
      <w:r>
        <w:rPr/>
        <w:t>su</w:t>
      </w:r>
      <w:r>
        <w:rPr>
          <w:spacing w:val="-5"/>
        </w:rPr>
        <w:t> </w:t>
      </w:r>
      <w:r>
        <w:rPr/>
        <w:t>supervivencia, por</w:t>
      </w:r>
      <w:r>
        <w:rPr>
          <w:spacing w:val="-5"/>
        </w:rPr>
        <w:t> </w:t>
      </w:r>
      <w:r>
        <w:rPr/>
        <w:t>tanto, es</w:t>
      </w:r>
      <w:r>
        <w:rPr>
          <w:spacing w:val="-11"/>
        </w:rPr>
        <w:t> </w:t>
      </w:r>
      <w:r>
        <w:rPr/>
        <w:t>imprescindible</w:t>
      </w:r>
      <w:r>
        <w:rPr>
          <w:spacing w:val="-11"/>
        </w:rPr>
        <w:t> </w:t>
      </w:r>
      <w:r>
        <w:rPr/>
        <w:t>la</w:t>
      </w:r>
      <w:r>
        <w:rPr>
          <w:spacing w:val="-11"/>
        </w:rPr>
        <w:t> </w:t>
      </w:r>
      <w:r>
        <w:rPr/>
        <w:t>valoración</w:t>
      </w:r>
      <w:r>
        <w:rPr>
          <w:spacing w:val="-11"/>
        </w:rPr>
        <w:t> </w:t>
      </w:r>
      <w:r>
        <w:rPr/>
        <w:t>del</w:t>
      </w:r>
      <w:r>
        <w:rPr>
          <w:spacing w:val="-11"/>
        </w:rPr>
        <w:t> </w:t>
      </w:r>
      <w:r>
        <w:rPr/>
        <w:t>ecosistema</w:t>
      </w:r>
      <w:r>
        <w:rPr>
          <w:spacing w:val="-6"/>
        </w:rPr>
        <w:t> </w:t>
      </w:r>
      <w:r>
        <w:rPr/>
        <w:t>que</w:t>
      </w:r>
      <w:r>
        <w:rPr>
          <w:spacing w:val="-11"/>
        </w:rPr>
        <w:t> </w:t>
      </w:r>
      <w:r>
        <w:rPr/>
        <w:t>forma</w:t>
      </w:r>
      <w:r>
        <w:rPr>
          <w:spacing w:val="-11"/>
        </w:rPr>
        <w:t> </w:t>
      </w:r>
      <w:r>
        <w:rPr/>
        <w:t>la</w:t>
      </w:r>
      <w:r>
        <w:rPr>
          <w:spacing w:val="-11"/>
        </w:rPr>
        <w:t> </w:t>
      </w:r>
      <w:r>
        <w:rPr/>
        <w:t>cuenca</w:t>
      </w:r>
      <w:r>
        <w:rPr>
          <w:spacing w:val="-10"/>
        </w:rPr>
        <w:t> </w:t>
      </w:r>
      <w:r>
        <w:rPr/>
        <w:t>de</w:t>
      </w:r>
      <w:r>
        <w:rPr>
          <w:spacing w:val="-11"/>
        </w:rPr>
        <w:t> </w:t>
      </w:r>
      <w:r>
        <w:rPr/>
        <w:t>El</w:t>
      </w:r>
      <w:r>
        <w:rPr>
          <w:spacing w:val="-11"/>
        </w:rPr>
        <w:t> </w:t>
      </w:r>
      <w:r>
        <w:rPr/>
        <w:t>Tejocote,</w:t>
      </w:r>
      <w:r>
        <w:rPr>
          <w:spacing w:val="-6"/>
        </w:rPr>
        <w:t> </w:t>
      </w:r>
      <w:r>
        <w:rPr/>
        <w:t>con</w:t>
      </w:r>
      <w:r>
        <w:rPr>
          <w:spacing w:val="-11"/>
        </w:rPr>
        <w:t> </w:t>
      </w:r>
      <w:r>
        <w:rPr/>
        <w:t>ello se busca la conservación de los recursos naturales y el aprovechamiento sustentable de los mismos</w:t>
      </w:r>
      <w:r>
        <w:rPr>
          <w:spacing w:val="-5"/>
        </w:rPr>
        <w:t> </w:t>
      </w:r>
      <w:r>
        <w:rPr/>
        <w:t>con</w:t>
      </w:r>
      <w:r>
        <w:rPr>
          <w:spacing w:val="-5"/>
        </w:rPr>
        <w:t> </w:t>
      </w:r>
      <w:r>
        <w:rPr/>
        <w:t>fines</w:t>
      </w:r>
      <w:r>
        <w:rPr>
          <w:spacing w:val="-5"/>
        </w:rPr>
        <w:t> </w:t>
      </w:r>
      <w:r>
        <w:rPr/>
        <w:t>productivos,</w:t>
      </w:r>
      <w:r>
        <w:rPr>
          <w:spacing w:val="-3"/>
        </w:rPr>
        <w:t> </w:t>
      </w:r>
      <w:r>
        <w:rPr/>
        <w:t>lo</w:t>
      </w:r>
      <w:r>
        <w:rPr>
          <w:spacing w:val="-5"/>
        </w:rPr>
        <w:t> </w:t>
      </w:r>
      <w:r>
        <w:rPr/>
        <w:t>que</w:t>
      </w:r>
      <w:r>
        <w:rPr>
          <w:spacing w:val="2"/>
        </w:rPr>
        <w:t> </w:t>
      </w:r>
      <w:r>
        <w:rPr/>
        <w:t>mejora</w:t>
      </w:r>
      <w:r>
        <w:rPr>
          <w:spacing w:val="-5"/>
        </w:rPr>
        <w:t> </w:t>
      </w:r>
      <w:r>
        <w:rPr/>
        <w:t>la calidad</w:t>
      </w:r>
      <w:r>
        <w:rPr>
          <w:spacing w:val="-5"/>
        </w:rPr>
        <w:t> </w:t>
      </w:r>
      <w:r>
        <w:rPr/>
        <w:t>de vida</w:t>
      </w:r>
      <w:r>
        <w:rPr>
          <w:spacing w:val="-5"/>
        </w:rPr>
        <w:t> </w:t>
      </w:r>
      <w:r>
        <w:rPr/>
        <w:t>de</w:t>
      </w:r>
      <w:r>
        <w:rPr>
          <w:spacing w:val="-5"/>
        </w:rPr>
        <w:t> </w:t>
      </w:r>
      <w:r>
        <w:rPr/>
        <w:t>la</w:t>
      </w:r>
      <w:r>
        <w:rPr>
          <w:spacing w:val="-5"/>
        </w:rPr>
        <w:t> </w:t>
      </w:r>
      <w:r>
        <w:rPr/>
        <w:t>población</w:t>
      </w:r>
      <w:r>
        <w:rPr>
          <w:spacing w:val="-5"/>
        </w:rPr>
        <w:t> </w:t>
      </w:r>
      <w:r>
        <w:rPr/>
        <w:t>en</w:t>
      </w:r>
      <w:r>
        <w:rPr>
          <w:spacing w:val="-5"/>
        </w:rPr>
        <w:t> </w:t>
      </w:r>
      <w:r>
        <w:rPr/>
        <w:t>armonía con el medio</w:t>
      </w:r>
      <w:r>
        <w:rPr>
          <w:spacing w:val="-8"/>
        </w:rPr>
        <w:t> </w:t>
      </w:r>
      <w:r>
        <w:rPr/>
        <w:t>natural.</w:t>
      </w:r>
    </w:p>
    <w:p>
      <w:pPr>
        <w:spacing w:after="0" w:line="360" w:lineRule="auto"/>
        <w:jc w:val="both"/>
        <w:sectPr>
          <w:pgSz w:w="12240" w:h="15840"/>
          <w:pgMar w:header="0" w:footer="1473" w:top="1360" w:bottom="1660" w:left="1300" w:right="1260"/>
        </w:sectPr>
      </w:pPr>
    </w:p>
    <w:p>
      <w:pPr>
        <w:pStyle w:val="Heading1"/>
        <w:numPr>
          <w:ilvl w:val="0"/>
          <w:numId w:val="5"/>
        </w:numPr>
        <w:tabs>
          <w:tab w:pos="698" w:val="left" w:leader="none"/>
        </w:tabs>
        <w:spacing w:line="240" w:lineRule="auto" w:before="53" w:after="0"/>
        <w:ind w:left="697" w:right="0" w:hanging="221"/>
        <w:jc w:val="left"/>
        <w:rPr>
          <w:sz w:val="24"/>
        </w:rPr>
      </w:pPr>
      <w:bookmarkStart w:name="_bookmark97" w:id="144"/>
      <w:bookmarkEnd w:id="144"/>
      <w:r>
        <w:rPr>
          <w:b w:val="0"/>
        </w:rPr>
      </w:r>
      <w:bookmarkStart w:name="_bookmark97" w:id="145"/>
      <w:bookmarkEnd w:id="145"/>
      <w:r>
        <w:rPr/>
        <w:t>RESULTADOS</w:t>
      </w:r>
    </w:p>
    <w:p>
      <w:pPr>
        <w:pStyle w:val="BodyText"/>
        <w:rPr>
          <w:b/>
        </w:rPr>
      </w:pPr>
    </w:p>
    <w:p>
      <w:pPr>
        <w:pStyle w:val="BodyText"/>
        <w:spacing w:before="9"/>
        <w:rPr>
          <w:b/>
          <w:sz w:val="24"/>
        </w:rPr>
      </w:pPr>
    </w:p>
    <w:p>
      <w:pPr>
        <w:pStyle w:val="Heading1"/>
        <w:numPr>
          <w:ilvl w:val="1"/>
          <w:numId w:val="49"/>
        </w:numPr>
        <w:tabs>
          <w:tab w:pos="511" w:val="left" w:leader="none"/>
        </w:tabs>
        <w:spacing w:line="240" w:lineRule="auto" w:before="1" w:after="0"/>
        <w:ind w:left="510" w:right="0" w:hanging="394"/>
        <w:jc w:val="both"/>
      </w:pPr>
      <w:bookmarkStart w:name="_bookmark98" w:id="146"/>
      <w:bookmarkEnd w:id="146"/>
      <w:r>
        <w:rPr>
          <w:b w:val="0"/>
        </w:rPr>
      </w:r>
      <w:bookmarkStart w:name="_bookmark98" w:id="147"/>
      <w:bookmarkEnd w:id="147"/>
      <w:r>
        <w:rPr/>
        <w:t>Cali</w:t>
      </w:r>
      <w:r>
        <w:rPr/>
        <w:t>bración y validación del modelo</w:t>
      </w:r>
      <w:r>
        <w:rPr>
          <w:spacing w:val="-11"/>
        </w:rPr>
        <w:t> </w:t>
      </w:r>
      <w:r>
        <w:rPr/>
        <w:t>SWAT</w:t>
      </w:r>
    </w:p>
    <w:p>
      <w:pPr>
        <w:pStyle w:val="BodyText"/>
        <w:rPr>
          <w:b/>
        </w:rPr>
      </w:pPr>
    </w:p>
    <w:p>
      <w:pPr>
        <w:pStyle w:val="BodyText"/>
        <w:spacing w:before="10"/>
        <w:rPr>
          <w:b/>
          <w:sz w:val="21"/>
        </w:rPr>
      </w:pPr>
    </w:p>
    <w:p>
      <w:pPr>
        <w:pStyle w:val="BodyText"/>
        <w:spacing w:line="360" w:lineRule="auto"/>
        <w:ind w:left="116" w:right="110"/>
        <w:jc w:val="both"/>
      </w:pPr>
      <w:r>
        <w:rPr>
          <w:spacing w:val="-3"/>
        </w:rPr>
        <w:t>La </w:t>
      </w:r>
      <w:r>
        <w:rPr/>
        <w:t>calibración del modelo SWAT consistió en lograr un ajuste satisfactorio entre los escurrimientos observados y los calculados, mediante el cambio en los valores de los parámetros de mayor influencia, aún de aquellos que se consideraban conocidos. Para lograr</w:t>
      </w:r>
      <w:r>
        <w:rPr>
          <w:spacing w:val="-5"/>
        </w:rPr>
        <w:t> </w:t>
      </w:r>
      <w:r>
        <w:rPr/>
        <w:t>dicha</w:t>
      </w:r>
      <w:r>
        <w:rPr>
          <w:spacing w:val="-5"/>
        </w:rPr>
        <w:t> </w:t>
      </w:r>
      <w:r>
        <w:rPr/>
        <w:t>semejanza</w:t>
      </w:r>
      <w:r>
        <w:rPr>
          <w:spacing w:val="-3"/>
        </w:rPr>
        <w:t> </w:t>
      </w:r>
      <w:r>
        <w:rPr/>
        <w:t>se</w:t>
      </w:r>
      <w:r>
        <w:rPr>
          <w:spacing w:val="-5"/>
        </w:rPr>
        <w:t> </w:t>
      </w:r>
      <w:r>
        <w:rPr/>
        <w:t>necesitaron</w:t>
      </w:r>
      <w:r>
        <w:rPr>
          <w:spacing w:val="-5"/>
        </w:rPr>
        <w:t> </w:t>
      </w:r>
      <w:r>
        <w:rPr/>
        <w:t>datos</w:t>
      </w:r>
      <w:r>
        <w:rPr>
          <w:spacing w:val="-5"/>
        </w:rPr>
        <w:t> </w:t>
      </w:r>
      <w:r>
        <w:rPr/>
        <w:t>reales</w:t>
      </w:r>
      <w:r>
        <w:rPr>
          <w:spacing w:val="-5"/>
        </w:rPr>
        <w:t> </w:t>
      </w:r>
      <w:r>
        <w:rPr/>
        <w:t>de</w:t>
      </w:r>
      <w:r>
        <w:rPr>
          <w:spacing w:val="-5"/>
        </w:rPr>
        <w:t> </w:t>
      </w:r>
      <w:r>
        <w:rPr/>
        <w:t>caudales</w:t>
      </w:r>
      <w:r>
        <w:rPr>
          <w:spacing w:val="-5"/>
        </w:rPr>
        <w:t> </w:t>
      </w:r>
      <w:r>
        <w:rPr/>
        <w:t>de</w:t>
      </w:r>
      <w:r>
        <w:rPr>
          <w:spacing w:val="-5"/>
        </w:rPr>
        <w:t> </w:t>
      </w:r>
      <w:r>
        <w:rPr/>
        <w:t>las</w:t>
      </w:r>
      <w:r>
        <w:rPr>
          <w:spacing w:val="-5"/>
        </w:rPr>
        <w:t> </w:t>
      </w:r>
      <w:r>
        <w:rPr/>
        <w:t>redes</w:t>
      </w:r>
      <w:r>
        <w:rPr>
          <w:spacing w:val="-5"/>
        </w:rPr>
        <w:t> </w:t>
      </w:r>
      <w:r>
        <w:rPr/>
        <w:t>de</w:t>
      </w:r>
      <w:r>
        <w:rPr>
          <w:spacing w:val="-5"/>
        </w:rPr>
        <w:t> </w:t>
      </w:r>
      <w:r>
        <w:rPr/>
        <w:t>drenaje</w:t>
      </w:r>
      <w:r>
        <w:rPr>
          <w:spacing w:val="-3"/>
        </w:rPr>
        <w:t> </w:t>
      </w:r>
      <w:r>
        <w:rPr/>
        <w:t>de</w:t>
      </w:r>
      <w:r>
        <w:rPr>
          <w:spacing w:val="-5"/>
        </w:rPr>
        <w:t> </w:t>
      </w:r>
      <w:r>
        <w:rPr/>
        <w:t>la estación</w:t>
      </w:r>
      <w:r>
        <w:rPr>
          <w:spacing w:val="-11"/>
        </w:rPr>
        <w:t> </w:t>
      </w:r>
      <w:r>
        <w:rPr/>
        <w:t>hidrométrica</w:t>
      </w:r>
      <w:r>
        <w:rPr>
          <w:spacing w:val="-10"/>
        </w:rPr>
        <w:t> </w:t>
      </w:r>
      <w:r>
        <w:rPr/>
        <w:t>El</w:t>
      </w:r>
      <w:r>
        <w:rPr>
          <w:spacing w:val="-10"/>
        </w:rPr>
        <w:t> </w:t>
      </w:r>
      <w:r>
        <w:rPr/>
        <w:t>Tejocote,</w:t>
      </w:r>
      <w:r>
        <w:rPr>
          <w:spacing w:val="-7"/>
        </w:rPr>
        <w:t> </w:t>
      </w:r>
      <w:r>
        <w:rPr/>
        <w:t>con</w:t>
      </w:r>
      <w:r>
        <w:rPr>
          <w:spacing w:val="-10"/>
        </w:rPr>
        <w:t> </w:t>
      </w:r>
      <w:r>
        <w:rPr/>
        <w:t>la</w:t>
      </w:r>
      <w:r>
        <w:rPr>
          <w:spacing w:val="-10"/>
        </w:rPr>
        <w:t> </w:t>
      </w:r>
      <w:r>
        <w:rPr/>
        <w:t>finalidad</w:t>
      </w:r>
      <w:r>
        <w:rPr>
          <w:spacing w:val="-9"/>
        </w:rPr>
        <w:t> </w:t>
      </w:r>
      <w:r>
        <w:rPr/>
        <w:t>de</w:t>
      </w:r>
      <w:r>
        <w:rPr>
          <w:spacing w:val="-10"/>
        </w:rPr>
        <w:t> </w:t>
      </w:r>
      <w:r>
        <w:rPr/>
        <w:t>comparar</w:t>
      </w:r>
      <w:r>
        <w:rPr>
          <w:spacing w:val="-9"/>
        </w:rPr>
        <w:t> </w:t>
      </w:r>
      <w:r>
        <w:rPr/>
        <w:t>con</w:t>
      </w:r>
      <w:r>
        <w:rPr>
          <w:spacing w:val="-10"/>
        </w:rPr>
        <w:t> </w:t>
      </w:r>
      <w:r>
        <w:rPr/>
        <w:t>los</w:t>
      </w:r>
      <w:r>
        <w:rPr>
          <w:spacing w:val="-10"/>
        </w:rPr>
        <w:t> </w:t>
      </w:r>
      <w:r>
        <w:rPr/>
        <w:t>caudales</w:t>
      </w:r>
      <w:r>
        <w:rPr>
          <w:spacing w:val="-10"/>
        </w:rPr>
        <w:t> </w:t>
      </w:r>
      <w:r>
        <w:rPr/>
        <w:t>simulados por el modelo</w:t>
      </w:r>
      <w:r>
        <w:rPr>
          <w:spacing w:val="-9"/>
        </w:rPr>
        <w:t> </w:t>
      </w:r>
      <w:r>
        <w:rPr/>
        <w:t>SWAT.</w:t>
      </w:r>
    </w:p>
    <w:p>
      <w:pPr>
        <w:pStyle w:val="BodyText"/>
      </w:pPr>
    </w:p>
    <w:p>
      <w:pPr>
        <w:pStyle w:val="BodyText"/>
        <w:spacing w:line="360" w:lineRule="auto" w:before="156"/>
        <w:ind w:left="116" w:right="110"/>
        <w:jc w:val="both"/>
      </w:pPr>
      <w:r>
        <w:rPr/>
        <w:t>En orden de temáticas se comenzó con la calibración de la biomasa, escurrimientos y por último sedimentación. Los años a utilizar para la calibración fueron a partir del 2000 al 2005, dejando 2006 y 2007 para validar el modelo.</w:t>
      </w:r>
    </w:p>
    <w:p>
      <w:pPr>
        <w:pStyle w:val="BodyText"/>
      </w:pPr>
    </w:p>
    <w:p>
      <w:pPr>
        <w:pStyle w:val="BodyText"/>
        <w:spacing w:before="9"/>
        <w:rPr>
          <w:sz w:val="34"/>
        </w:rPr>
      </w:pPr>
    </w:p>
    <w:p>
      <w:pPr>
        <w:pStyle w:val="Heading1"/>
        <w:numPr>
          <w:ilvl w:val="2"/>
          <w:numId w:val="49"/>
        </w:numPr>
        <w:tabs>
          <w:tab w:pos="706" w:val="left" w:leader="none"/>
        </w:tabs>
        <w:spacing w:line="240" w:lineRule="auto" w:before="1" w:after="0"/>
        <w:ind w:left="705" w:right="0" w:hanging="589"/>
        <w:jc w:val="both"/>
      </w:pPr>
      <w:bookmarkStart w:name="_bookmark99" w:id="148"/>
      <w:bookmarkEnd w:id="148"/>
      <w:r>
        <w:rPr>
          <w:b w:val="0"/>
        </w:rPr>
      </w:r>
      <w:bookmarkStart w:name="_bookmark99" w:id="149"/>
      <w:bookmarkEnd w:id="149"/>
      <w:r>
        <w:rPr/>
        <w:t>Aj</w:t>
      </w:r>
      <w:r>
        <w:rPr/>
        <w:t>uste </w:t>
      </w:r>
      <w:r>
        <w:rPr>
          <w:spacing w:val="-3"/>
        </w:rPr>
        <w:t>de</w:t>
      </w:r>
      <w:r>
        <w:rPr>
          <w:spacing w:val="-11"/>
        </w:rPr>
        <w:t> </w:t>
      </w:r>
      <w:r>
        <w:rPr/>
        <w:t>parámetros</w:t>
      </w:r>
    </w:p>
    <w:p>
      <w:pPr>
        <w:pStyle w:val="BodyText"/>
        <w:rPr>
          <w:b/>
        </w:rPr>
      </w:pPr>
    </w:p>
    <w:p>
      <w:pPr>
        <w:pStyle w:val="BodyText"/>
        <w:spacing w:before="5"/>
        <w:rPr>
          <w:b/>
          <w:sz w:val="21"/>
        </w:rPr>
      </w:pPr>
    </w:p>
    <w:p>
      <w:pPr>
        <w:pStyle w:val="BodyText"/>
        <w:spacing w:line="360" w:lineRule="auto"/>
        <w:ind w:left="116" w:right="116"/>
        <w:jc w:val="both"/>
      </w:pPr>
      <w:r>
        <w:rPr/>
        <w:t>Para lograr la calibración se realizó un análisis de sensibilidad de variables que afectan al modelo en sus diversos componentes: Los principales parámetros que se ajustaron de acuerdo al análisis de sensibilidad realizado se resumen en el Cuadro 11:</w:t>
      </w:r>
    </w:p>
    <w:p>
      <w:pPr>
        <w:pStyle w:val="BodyText"/>
      </w:pPr>
    </w:p>
    <w:p>
      <w:pPr>
        <w:pStyle w:val="ListParagraph"/>
        <w:numPr>
          <w:ilvl w:val="3"/>
          <w:numId w:val="49"/>
        </w:numPr>
        <w:tabs>
          <w:tab w:pos="836" w:val="left" w:leader="none"/>
          <w:tab w:pos="837" w:val="left" w:leader="none"/>
        </w:tabs>
        <w:spacing w:line="240" w:lineRule="auto" w:before="156" w:after="0"/>
        <w:ind w:left="837" w:right="0" w:hanging="361"/>
        <w:jc w:val="left"/>
        <w:rPr>
          <w:sz w:val="26"/>
        </w:rPr>
      </w:pPr>
      <w:r>
        <w:rPr>
          <w:position w:val="2"/>
          <w:sz w:val="26"/>
        </w:rPr>
        <w:t>CN</w:t>
      </w:r>
      <w:r>
        <w:rPr>
          <w:sz w:val="17"/>
        </w:rPr>
        <w:t>2  </w:t>
      </w:r>
      <w:r>
        <w:rPr>
          <w:position w:val="2"/>
          <w:sz w:val="26"/>
        </w:rPr>
        <w:t>a condiciones buenas para disminuir el escurrimiento</w:t>
      </w:r>
      <w:r>
        <w:rPr>
          <w:spacing w:val="-35"/>
          <w:position w:val="2"/>
          <w:sz w:val="26"/>
        </w:rPr>
        <w:t> </w:t>
      </w:r>
      <w:r>
        <w:rPr>
          <w:position w:val="2"/>
          <w:sz w:val="26"/>
        </w:rPr>
        <w:t>superficial</w:t>
      </w:r>
    </w:p>
    <w:p>
      <w:pPr>
        <w:pStyle w:val="ListParagraph"/>
        <w:numPr>
          <w:ilvl w:val="3"/>
          <w:numId w:val="49"/>
        </w:numPr>
        <w:tabs>
          <w:tab w:pos="836" w:val="left" w:leader="none"/>
          <w:tab w:pos="837" w:val="left" w:leader="none"/>
        </w:tabs>
        <w:spacing w:line="355" w:lineRule="auto" w:before="148" w:after="0"/>
        <w:ind w:left="837" w:right="123" w:hanging="361"/>
        <w:jc w:val="left"/>
        <w:rPr>
          <w:sz w:val="26"/>
        </w:rPr>
      </w:pPr>
      <w:r>
        <w:rPr>
          <w:sz w:val="26"/>
        </w:rPr>
        <w:t>GW_DELAY se disminuyeron los días para aumentar la rapidez en la filtración del agua</w:t>
      </w:r>
    </w:p>
    <w:p>
      <w:pPr>
        <w:pStyle w:val="ListParagraph"/>
        <w:numPr>
          <w:ilvl w:val="3"/>
          <w:numId w:val="49"/>
        </w:numPr>
        <w:tabs>
          <w:tab w:pos="836" w:val="left" w:leader="none"/>
          <w:tab w:pos="837" w:val="left" w:leader="none"/>
        </w:tabs>
        <w:spacing w:line="240" w:lineRule="auto" w:before="10" w:after="0"/>
        <w:ind w:left="837" w:right="0" w:hanging="361"/>
        <w:jc w:val="left"/>
        <w:rPr>
          <w:sz w:val="26"/>
        </w:rPr>
      </w:pPr>
      <w:r>
        <w:rPr>
          <w:sz w:val="26"/>
        </w:rPr>
        <w:t>ALPHA_BF se incrementó el factor para disminuir el flujo de</w:t>
      </w:r>
      <w:r>
        <w:rPr>
          <w:spacing w:val="-10"/>
          <w:sz w:val="26"/>
        </w:rPr>
        <w:t> </w:t>
      </w:r>
      <w:r>
        <w:rPr>
          <w:sz w:val="26"/>
        </w:rPr>
        <w:t>retorno</w:t>
      </w:r>
    </w:p>
    <w:p>
      <w:pPr>
        <w:pStyle w:val="ListParagraph"/>
        <w:numPr>
          <w:ilvl w:val="3"/>
          <w:numId w:val="49"/>
        </w:numPr>
        <w:tabs>
          <w:tab w:pos="836" w:val="left" w:leader="none"/>
          <w:tab w:pos="837" w:val="left" w:leader="none"/>
        </w:tabs>
        <w:spacing w:line="355" w:lineRule="auto" w:before="147" w:after="0"/>
        <w:ind w:left="837" w:right="118" w:hanging="361"/>
        <w:jc w:val="left"/>
        <w:rPr>
          <w:sz w:val="26"/>
        </w:rPr>
      </w:pPr>
      <w:r>
        <w:rPr>
          <w:sz w:val="26"/>
        </w:rPr>
        <w:t>GW_REVAP y REVAPMN para aumentar la evaporación y disminuir la percolación</w:t>
      </w:r>
    </w:p>
    <w:p>
      <w:pPr>
        <w:spacing w:after="0" w:line="355" w:lineRule="auto"/>
        <w:jc w:val="left"/>
        <w:rPr>
          <w:sz w:val="26"/>
        </w:rPr>
        <w:sectPr>
          <w:pgSz w:w="12240" w:h="15840"/>
          <w:pgMar w:header="0" w:footer="1473" w:top="1360" w:bottom="1660" w:left="1300" w:right="1300"/>
        </w:sectPr>
      </w:pPr>
    </w:p>
    <w:p>
      <w:pPr>
        <w:pStyle w:val="ListParagraph"/>
        <w:numPr>
          <w:ilvl w:val="0"/>
          <w:numId w:val="50"/>
        </w:numPr>
        <w:tabs>
          <w:tab w:pos="576" w:val="left" w:leader="none"/>
          <w:tab w:pos="577" w:val="left" w:leader="none"/>
        </w:tabs>
        <w:spacing w:line="355" w:lineRule="auto" w:before="29" w:after="0"/>
        <w:ind w:left="577" w:right="122" w:hanging="361"/>
        <w:jc w:val="left"/>
        <w:rPr>
          <w:sz w:val="26"/>
        </w:rPr>
      </w:pPr>
      <w:r>
        <w:rPr>
          <w:sz w:val="26"/>
        </w:rPr>
        <w:t>RCHRG_DP se retomó el valor más valor para aumentar al máximo la recarga de acuíferos</w:t>
      </w:r>
      <w:r>
        <w:rPr>
          <w:spacing w:val="-6"/>
          <w:sz w:val="26"/>
        </w:rPr>
        <w:t> </w:t>
      </w:r>
      <w:r>
        <w:rPr>
          <w:sz w:val="26"/>
        </w:rPr>
        <w:t>profundos</w:t>
      </w:r>
    </w:p>
    <w:p>
      <w:pPr>
        <w:pStyle w:val="ListParagraph"/>
        <w:numPr>
          <w:ilvl w:val="0"/>
          <w:numId w:val="50"/>
        </w:numPr>
        <w:tabs>
          <w:tab w:pos="576" w:val="left" w:leader="none"/>
          <w:tab w:pos="577" w:val="left" w:leader="none"/>
        </w:tabs>
        <w:spacing w:line="240" w:lineRule="auto" w:before="10" w:after="0"/>
        <w:ind w:left="577" w:right="0" w:hanging="361"/>
        <w:jc w:val="left"/>
        <w:rPr>
          <w:sz w:val="26"/>
        </w:rPr>
      </w:pPr>
      <w:r>
        <w:rPr>
          <w:sz w:val="26"/>
        </w:rPr>
        <w:t>SOL_Z se incrementó la profundidad de</w:t>
      </w:r>
      <w:r>
        <w:rPr>
          <w:spacing w:val="-13"/>
          <w:sz w:val="26"/>
        </w:rPr>
        <w:t> </w:t>
      </w:r>
      <w:r>
        <w:rPr>
          <w:sz w:val="26"/>
        </w:rPr>
        <w:t>suelos</w:t>
      </w:r>
    </w:p>
    <w:p>
      <w:pPr>
        <w:pStyle w:val="ListParagraph"/>
        <w:numPr>
          <w:ilvl w:val="0"/>
          <w:numId w:val="50"/>
        </w:numPr>
        <w:tabs>
          <w:tab w:pos="576" w:val="left" w:leader="none"/>
          <w:tab w:pos="577" w:val="left" w:leader="none"/>
        </w:tabs>
        <w:spacing w:line="240" w:lineRule="auto" w:before="147" w:after="0"/>
        <w:ind w:left="577" w:right="0" w:hanging="361"/>
        <w:jc w:val="left"/>
        <w:rPr>
          <w:sz w:val="26"/>
        </w:rPr>
      </w:pPr>
      <w:r>
        <w:rPr>
          <w:sz w:val="26"/>
        </w:rPr>
        <w:t>SOL_AWC disminuyó la capacidad hidráulica de los</w:t>
      </w:r>
      <w:r>
        <w:rPr>
          <w:spacing w:val="-6"/>
          <w:sz w:val="26"/>
        </w:rPr>
        <w:t> </w:t>
      </w:r>
      <w:r>
        <w:rPr>
          <w:sz w:val="26"/>
        </w:rPr>
        <w:t>suelos</w:t>
      </w:r>
    </w:p>
    <w:p>
      <w:pPr>
        <w:pStyle w:val="ListParagraph"/>
        <w:numPr>
          <w:ilvl w:val="0"/>
          <w:numId w:val="50"/>
        </w:numPr>
        <w:tabs>
          <w:tab w:pos="576" w:val="left" w:leader="none"/>
          <w:tab w:pos="577" w:val="left" w:leader="none"/>
        </w:tabs>
        <w:spacing w:line="240" w:lineRule="auto" w:before="152" w:after="0"/>
        <w:ind w:left="577" w:right="0" w:hanging="361"/>
        <w:jc w:val="left"/>
        <w:rPr>
          <w:sz w:val="26"/>
        </w:rPr>
      </w:pPr>
      <w:r>
        <w:rPr>
          <w:sz w:val="24"/>
        </w:rPr>
        <w:t>SLSOIL </w:t>
      </w:r>
      <w:r>
        <w:rPr>
          <w:sz w:val="26"/>
        </w:rPr>
        <w:t>disminuyó el escurrimiento</w:t>
      </w:r>
      <w:r>
        <w:rPr>
          <w:spacing w:val="-11"/>
          <w:sz w:val="26"/>
        </w:rPr>
        <w:t> </w:t>
      </w:r>
      <w:r>
        <w:rPr>
          <w:sz w:val="26"/>
        </w:rPr>
        <w:t>lateral</w:t>
      </w:r>
    </w:p>
    <w:p>
      <w:pPr>
        <w:pStyle w:val="BodyText"/>
      </w:pPr>
    </w:p>
    <w:p>
      <w:pPr>
        <w:pStyle w:val="BodyText"/>
      </w:pPr>
    </w:p>
    <w:p>
      <w:pPr>
        <w:pStyle w:val="Heading1"/>
        <w:ind w:left="115"/>
      </w:pPr>
      <w:bookmarkStart w:name="_bookmark100" w:id="150"/>
      <w:bookmarkEnd w:id="150"/>
      <w:r>
        <w:rPr>
          <w:b w:val="0"/>
        </w:rPr>
      </w:r>
      <w:r>
        <w:rPr/>
        <w:t>Cuadro 11. Parámetros más sensibles que afectan los valores del modelo SWAT.</w:t>
      </w:r>
    </w:p>
    <w:p>
      <w:pPr>
        <w:pStyle w:val="BodyText"/>
        <w:spacing w:before="7"/>
        <w:rPr>
          <w:b/>
          <w:sz w:val="17"/>
        </w:rPr>
      </w:pPr>
    </w:p>
    <w:tbl>
      <w:tblPr>
        <w:tblW w:w="0" w:type="auto"/>
        <w:jc w:val="left"/>
        <w:tblInd w:w="2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71"/>
        <w:gridCol w:w="2952"/>
        <w:gridCol w:w="1477"/>
        <w:gridCol w:w="2649"/>
      </w:tblGrid>
      <w:tr>
        <w:trPr>
          <w:trHeight w:val="566" w:hRule="exact"/>
        </w:trPr>
        <w:tc>
          <w:tcPr>
            <w:tcW w:w="1571" w:type="dxa"/>
            <w:tcBorders>
              <w:left w:val="nil"/>
              <w:right w:val="nil"/>
            </w:tcBorders>
          </w:tcPr>
          <w:p>
            <w:pPr>
              <w:pStyle w:val="TableParagraph"/>
              <w:spacing w:line="274" w:lineRule="exact" w:before="6"/>
              <w:ind w:left="221" w:firstLine="24"/>
              <w:jc w:val="left"/>
              <w:rPr>
                <w:b/>
                <w:sz w:val="24"/>
              </w:rPr>
            </w:pPr>
            <w:r>
              <w:rPr>
                <w:b/>
                <w:sz w:val="24"/>
              </w:rPr>
              <w:t>Parámetro modificado</w:t>
            </w:r>
          </w:p>
        </w:tc>
        <w:tc>
          <w:tcPr>
            <w:tcW w:w="2952" w:type="dxa"/>
            <w:tcBorders>
              <w:left w:val="nil"/>
              <w:right w:val="nil"/>
            </w:tcBorders>
          </w:tcPr>
          <w:p>
            <w:pPr>
              <w:pStyle w:val="TableParagraph"/>
              <w:spacing w:before="1"/>
              <w:ind w:left="897" w:right="137"/>
              <w:jc w:val="left"/>
              <w:rPr>
                <w:b/>
                <w:sz w:val="24"/>
              </w:rPr>
            </w:pPr>
            <w:r>
              <w:rPr>
                <w:b/>
                <w:sz w:val="24"/>
              </w:rPr>
              <w:t>Significado</w:t>
            </w:r>
          </w:p>
        </w:tc>
        <w:tc>
          <w:tcPr>
            <w:tcW w:w="1477" w:type="dxa"/>
            <w:tcBorders>
              <w:left w:val="nil"/>
              <w:right w:val="nil"/>
            </w:tcBorders>
          </w:tcPr>
          <w:p>
            <w:pPr>
              <w:pStyle w:val="TableParagraph"/>
              <w:spacing w:line="274" w:lineRule="exact" w:before="6"/>
              <w:ind w:left="130" w:firstLine="124"/>
              <w:jc w:val="left"/>
              <w:rPr>
                <w:b/>
                <w:sz w:val="24"/>
              </w:rPr>
            </w:pPr>
            <w:r>
              <w:rPr>
                <w:b/>
                <w:sz w:val="24"/>
              </w:rPr>
              <w:t>Grado de sensibilidad</w:t>
            </w:r>
          </w:p>
        </w:tc>
        <w:tc>
          <w:tcPr>
            <w:tcW w:w="2649" w:type="dxa"/>
            <w:tcBorders>
              <w:left w:val="nil"/>
              <w:right w:val="nil"/>
            </w:tcBorders>
          </w:tcPr>
          <w:p>
            <w:pPr>
              <w:pStyle w:val="TableParagraph"/>
              <w:spacing w:line="274" w:lineRule="exact" w:before="6"/>
              <w:ind w:left="676" w:right="93" w:hanging="371"/>
              <w:jc w:val="left"/>
              <w:rPr>
                <w:b/>
                <w:sz w:val="24"/>
              </w:rPr>
            </w:pPr>
            <w:r>
              <w:rPr>
                <w:b/>
                <w:sz w:val="24"/>
              </w:rPr>
              <w:t>Parámetro de salida que modifica</w:t>
            </w:r>
          </w:p>
        </w:tc>
      </w:tr>
      <w:tr>
        <w:trPr>
          <w:trHeight w:val="561" w:hRule="exact"/>
        </w:trPr>
        <w:tc>
          <w:tcPr>
            <w:tcW w:w="1571" w:type="dxa"/>
            <w:tcBorders>
              <w:left w:val="nil"/>
              <w:bottom w:val="nil"/>
              <w:right w:val="nil"/>
            </w:tcBorders>
          </w:tcPr>
          <w:p>
            <w:pPr>
              <w:pStyle w:val="TableParagraph"/>
              <w:spacing w:line="270" w:lineRule="exact" w:before="0"/>
              <w:ind w:left="110"/>
              <w:jc w:val="left"/>
              <w:rPr>
                <w:sz w:val="16"/>
              </w:rPr>
            </w:pPr>
            <w:r>
              <w:rPr>
                <w:position w:val="2"/>
                <w:sz w:val="24"/>
              </w:rPr>
              <w:t>CN</w:t>
            </w:r>
            <w:r>
              <w:rPr>
                <w:sz w:val="16"/>
              </w:rPr>
              <w:t>2</w:t>
            </w:r>
          </w:p>
        </w:tc>
        <w:tc>
          <w:tcPr>
            <w:tcW w:w="2952" w:type="dxa"/>
            <w:tcBorders>
              <w:left w:val="nil"/>
              <w:bottom w:val="nil"/>
              <w:right w:val="nil"/>
            </w:tcBorders>
          </w:tcPr>
          <w:p>
            <w:pPr>
              <w:pStyle w:val="TableParagraph"/>
              <w:tabs>
                <w:tab w:pos="983" w:val="left" w:leader="none"/>
                <w:tab w:pos="2144" w:val="left" w:leader="none"/>
                <w:tab w:pos="2647" w:val="left" w:leader="none"/>
              </w:tabs>
              <w:spacing w:line="237" w:lineRule="auto" w:before="0"/>
              <w:ind w:left="129" w:right="137"/>
              <w:jc w:val="left"/>
              <w:rPr>
                <w:sz w:val="24"/>
              </w:rPr>
            </w:pPr>
            <w:r>
              <w:rPr>
                <w:sz w:val="24"/>
              </w:rPr>
              <w:t>Curva</w:t>
              <w:tab/>
              <w:t>numérica</w:t>
              <w:tab/>
              <w:t>en</w:t>
              <w:tab/>
            </w:r>
            <w:r>
              <w:rPr>
                <w:spacing w:val="-5"/>
                <w:sz w:val="24"/>
              </w:rPr>
              <w:t>la </w:t>
            </w:r>
            <w:r>
              <w:rPr>
                <w:sz w:val="24"/>
              </w:rPr>
              <w:t>subcuenca</w:t>
            </w:r>
          </w:p>
        </w:tc>
        <w:tc>
          <w:tcPr>
            <w:tcW w:w="1477" w:type="dxa"/>
            <w:tcBorders>
              <w:left w:val="nil"/>
              <w:bottom w:val="nil"/>
              <w:right w:val="nil"/>
            </w:tcBorders>
          </w:tcPr>
          <w:p>
            <w:pPr>
              <w:pStyle w:val="TableParagraph"/>
              <w:spacing w:line="268" w:lineRule="exact" w:before="0"/>
              <w:ind w:left="401" w:right="404"/>
              <w:jc w:val="center"/>
              <w:rPr>
                <w:sz w:val="24"/>
              </w:rPr>
            </w:pPr>
            <w:r>
              <w:rPr>
                <w:sz w:val="24"/>
              </w:rPr>
              <w:t>Alto</w:t>
            </w:r>
          </w:p>
        </w:tc>
        <w:tc>
          <w:tcPr>
            <w:tcW w:w="2649" w:type="dxa"/>
            <w:tcBorders>
              <w:left w:val="nil"/>
              <w:bottom w:val="nil"/>
              <w:right w:val="nil"/>
            </w:tcBorders>
          </w:tcPr>
          <w:p>
            <w:pPr>
              <w:pStyle w:val="TableParagraph"/>
              <w:spacing w:line="237" w:lineRule="auto" w:before="0"/>
              <w:ind w:left="834" w:right="613" w:hanging="178"/>
              <w:jc w:val="left"/>
              <w:rPr>
                <w:sz w:val="24"/>
              </w:rPr>
            </w:pPr>
            <w:r>
              <w:rPr>
                <w:sz w:val="24"/>
              </w:rPr>
              <w:t>Escurrimiento superficial</w:t>
            </w:r>
          </w:p>
        </w:tc>
      </w:tr>
      <w:tr>
        <w:trPr>
          <w:trHeight w:val="552" w:hRule="exact"/>
        </w:trPr>
        <w:tc>
          <w:tcPr>
            <w:tcW w:w="1571" w:type="dxa"/>
            <w:tcBorders>
              <w:top w:val="nil"/>
              <w:left w:val="nil"/>
              <w:bottom w:val="nil"/>
              <w:right w:val="nil"/>
            </w:tcBorders>
          </w:tcPr>
          <w:p>
            <w:pPr>
              <w:pStyle w:val="TableParagraph"/>
              <w:spacing w:line="265" w:lineRule="exact" w:before="0"/>
              <w:ind w:left="110"/>
              <w:jc w:val="left"/>
              <w:rPr>
                <w:sz w:val="24"/>
              </w:rPr>
            </w:pPr>
            <w:r>
              <w:rPr>
                <w:sz w:val="24"/>
              </w:rPr>
              <w:t>RCHRG_DP</w:t>
            </w:r>
          </w:p>
        </w:tc>
        <w:tc>
          <w:tcPr>
            <w:tcW w:w="2952" w:type="dxa"/>
            <w:tcBorders>
              <w:top w:val="nil"/>
              <w:left w:val="nil"/>
              <w:bottom w:val="nil"/>
              <w:right w:val="nil"/>
            </w:tcBorders>
          </w:tcPr>
          <w:p>
            <w:pPr>
              <w:pStyle w:val="TableParagraph"/>
              <w:spacing w:line="237" w:lineRule="auto" w:before="0"/>
              <w:ind w:left="129" w:right="137"/>
              <w:jc w:val="left"/>
              <w:rPr>
                <w:sz w:val="24"/>
              </w:rPr>
            </w:pPr>
            <w:r>
              <w:rPr>
                <w:sz w:val="24"/>
              </w:rPr>
              <w:t>Fracción de percolación al acuífero profundo</w:t>
            </w:r>
          </w:p>
        </w:tc>
        <w:tc>
          <w:tcPr>
            <w:tcW w:w="1477" w:type="dxa"/>
            <w:tcBorders>
              <w:top w:val="nil"/>
              <w:left w:val="nil"/>
              <w:bottom w:val="nil"/>
              <w:right w:val="nil"/>
            </w:tcBorders>
          </w:tcPr>
          <w:p>
            <w:pPr>
              <w:pStyle w:val="TableParagraph"/>
              <w:spacing w:line="265" w:lineRule="exact" w:before="0"/>
              <w:ind w:left="401" w:right="404"/>
              <w:jc w:val="center"/>
              <w:rPr>
                <w:sz w:val="24"/>
              </w:rPr>
            </w:pPr>
            <w:r>
              <w:rPr>
                <w:sz w:val="24"/>
              </w:rPr>
              <w:t>Alto</w:t>
            </w:r>
          </w:p>
        </w:tc>
        <w:tc>
          <w:tcPr>
            <w:tcW w:w="2649" w:type="dxa"/>
            <w:tcBorders>
              <w:top w:val="nil"/>
              <w:left w:val="nil"/>
              <w:bottom w:val="nil"/>
              <w:right w:val="nil"/>
            </w:tcBorders>
          </w:tcPr>
          <w:p>
            <w:pPr>
              <w:pStyle w:val="TableParagraph"/>
              <w:spacing w:line="237" w:lineRule="auto" w:before="0"/>
              <w:ind w:left="901" w:right="93" w:hanging="524"/>
              <w:jc w:val="left"/>
              <w:rPr>
                <w:sz w:val="24"/>
              </w:rPr>
            </w:pPr>
            <w:r>
              <w:rPr>
                <w:sz w:val="24"/>
              </w:rPr>
              <w:t>Recarga de acuífero profundo</w:t>
            </w:r>
          </w:p>
        </w:tc>
      </w:tr>
      <w:tr>
        <w:trPr>
          <w:trHeight w:val="828" w:hRule="exact"/>
        </w:trPr>
        <w:tc>
          <w:tcPr>
            <w:tcW w:w="1571" w:type="dxa"/>
            <w:tcBorders>
              <w:top w:val="nil"/>
              <w:left w:val="nil"/>
              <w:bottom w:val="nil"/>
              <w:right w:val="nil"/>
            </w:tcBorders>
          </w:tcPr>
          <w:p>
            <w:pPr>
              <w:pStyle w:val="TableParagraph"/>
              <w:spacing w:line="264" w:lineRule="exact" w:before="0"/>
              <w:ind w:left="110"/>
              <w:jc w:val="left"/>
              <w:rPr>
                <w:sz w:val="24"/>
              </w:rPr>
            </w:pPr>
            <w:r>
              <w:rPr>
                <w:sz w:val="24"/>
              </w:rPr>
              <w:t>SLSOIL</w:t>
            </w:r>
          </w:p>
        </w:tc>
        <w:tc>
          <w:tcPr>
            <w:tcW w:w="2952" w:type="dxa"/>
            <w:tcBorders>
              <w:top w:val="nil"/>
              <w:left w:val="nil"/>
              <w:bottom w:val="nil"/>
              <w:right w:val="nil"/>
            </w:tcBorders>
          </w:tcPr>
          <w:p>
            <w:pPr>
              <w:pStyle w:val="TableParagraph"/>
              <w:spacing w:before="0"/>
              <w:ind w:left="129" w:right="137"/>
              <w:jc w:val="left"/>
              <w:rPr>
                <w:sz w:val="24"/>
              </w:rPr>
            </w:pPr>
            <w:r>
              <w:rPr>
                <w:sz w:val="24"/>
              </w:rPr>
              <w:t>Longitud de decantación para el flujo subsuperficial lateral</w:t>
            </w:r>
          </w:p>
        </w:tc>
        <w:tc>
          <w:tcPr>
            <w:tcW w:w="1477" w:type="dxa"/>
            <w:tcBorders>
              <w:top w:val="nil"/>
              <w:left w:val="nil"/>
              <w:bottom w:val="nil"/>
              <w:right w:val="nil"/>
            </w:tcBorders>
          </w:tcPr>
          <w:p>
            <w:pPr>
              <w:pStyle w:val="TableParagraph"/>
              <w:spacing w:line="264" w:lineRule="exact" w:before="0"/>
              <w:ind w:left="401" w:right="404"/>
              <w:jc w:val="center"/>
              <w:rPr>
                <w:sz w:val="24"/>
              </w:rPr>
            </w:pPr>
            <w:r>
              <w:rPr>
                <w:sz w:val="24"/>
              </w:rPr>
              <w:t>Alto</w:t>
            </w:r>
          </w:p>
        </w:tc>
        <w:tc>
          <w:tcPr>
            <w:tcW w:w="2649" w:type="dxa"/>
            <w:tcBorders>
              <w:top w:val="nil"/>
              <w:left w:val="nil"/>
              <w:bottom w:val="nil"/>
              <w:right w:val="nil"/>
            </w:tcBorders>
          </w:tcPr>
          <w:p>
            <w:pPr>
              <w:pStyle w:val="TableParagraph"/>
              <w:spacing w:line="237" w:lineRule="auto" w:before="0"/>
              <w:ind w:left="666" w:right="613" w:hanging="10"/>
              <w:jc w:val="left"/>
              <w:rPr>
                <w:sz w:val="24"/>
              </w:rPr>
            </w:pPr>
            <w:r>
              <w:rPr>
                <w:sz w:val="24"/>
              </w:rPr>
              <w:t>Escurrimiento subsuperficial</w:t>
            </w:r>
          </w:p>
        </w:tc>
      </w:tr>
      <w:tr>
        <w:trPr>
          <w:trHeight w:val="276" w:hRule="exact"/>
        </w:trPr>
        <w:tc>
          <w:tcPr>
            <w:tcW w:w="1571" w:type="dxa"/>
            <w:tcBorders>
              <w:top w:val="nil"/>
              <w:left w:val="nil"/>
              <w:bottom w:val="nil"/>
              <w:right w:val="nil"/>
            </w:tcBorders>
          </w:tcPr>
          <w:p>
            <w:pPr>
              <w:pStyle w:val="TableParagraph"/>
              <w:spacing w:line="262" w:lineRule="exact" w:before="0"/>
              <w:ind w:left="110"/>
              <w:jc w:val="left"/>
              <w:rPr>
                <w:sz w:val="24"/>
              </w:rPr>
            </w:pPr>
            <w:r>
              <w:rPr>
                <w:sz w:val="24"/>
              </w:rPr>
              <w:t>SLSUBBSN</w:t>
            </w:r>
          </w:p>
        </w:tc>
        <w:tc>
          <w:tcPr>
            <w:tcW w:w="2952" w:type="dxa"/>
            <w:tcBorders>
              <w:top w:val="nil"/>
              <w:left w:val="nil"/>
              <w:bottom w:val="nil"/>
              <w:right w:val="nil"/>
            </w:tcBorders>
          </w:tcPr>
          <w:p>
            <w:pPr>
              <w:pStyle w:val="TableParagraph"/>
              <w:spacing w:line="262" w:lineRule="exact" w:before="0"/>
              <w:ind w:left="129" w:right="137"/>
              <w:jc w:val="left"/>
              <w:rPr>
                <w:sz w:val="24"/>
              </w:rPr>
            </w:pPr>
            <w:r>
              <w:rPr>
                <w:sz w:val="24"/>
              </w:rPr>
              <w:t>Longitud de la pendiente</w:t>
            </w:r>
          </w:p>
        </w:tc>
        <w:tc>
          <w:tcPr>
            <w:tcW w:w="1477" w:type="dxa"/>
            <w:tcBorders>
              <w:top w:val="nil"/>
              <w:left w:val="nil"/>
              <w:bottom w:val="nil"/>
              <w:right w:val="nil"/>
            </w:tcBorders>
          </w:tcPr>
          <w:p>
            <w:pPr>
              <w:pStyle w:val="TableParagraph"/>
              <w:spacing w:line="262" w:lineRule="exact" w:before="0"/>
              <w:ind w:left="397" w:right="405"/>
              <w:jc w:val="center"/>
              <w:rPr>
                <w:sz w:val="24"/>
              </w:rPr>
            </w:pPr>
            <w:r>
              <w:rPr>
                <w:sz w:val="24"/>
              </w:rPr>
              <w:t>Medio</w:t>
            </w:r>
          </w:p>
        </w:tc>
        <w:tc>
          <w:tcPr>
            <w:tcW w:w="2649" w:type="dxa"/>
            <w:tcBorders>
              <w:top w:val="nil"/>
              <w:left w:val="nil"/>
              <w:bottom w:val="nil"/>
              <w:right w:val="nil"/>
            </w:tcBorders>
          </w:tcPr>
          <w:p>
            <w:pPr>
              <w:pStyle w:val="TableParagraph"/>
              <w:spacing w:line="262" w:lineRule="exact" w:before="0"/>
              <w:ind w:left="116" w:right="93"/>
              <w:jc w:val="center"/>
              <w:rPr>
                <w:sz w:val="24"/>
              </w:rPr>
            </w:pPr>
            <w:r>
              <w:rPr>
                <w:sz w:val="24"/>
              </w:rPr>
              <w:t>Escurrimiento de retorno</w:t>
            </w:r>
          </w:p>
        </w:tc>
      </w:tr>
      <w:tr>
        <w:trPr>
          <w:trHeight w:val="552" w:hRule="exact"/>
        </w:trPr>
        <w:tc>
          <w:tcPr>
            <w:tcW w:w="1571" w:type="dxa"/>
            <w:tcBorders>
              <w:top w:val="nil"/>
              <w:left w:val="nil"/>
              <w:bottom w:val="nil"/>
              <w:right w:val="nil"/>
            </w:tcBorders>
          </w:tcPr>
          <w:p>
            <w:pPr>
              <w:pStyle w:val="TableParagraph"/>
              <w:spacing w:line="264" w:lineRule="exact" w:before="0"/>
              <w:ind w:left="110"/>
              <w:jc w:val="left"/>
              <w:rPr>
                <w:sz w:val="24"/>
              </w:rPr>
            </w:pPr>
            <w:r>
              <w:rPr>
                <w:sz w:val="24"/>
              </w:rPr>
              <w:t>ALPHA_BF</w:t>
            </w:r>
          </w:p>
        </w:tc>
        <w:tc>
          <w:tcPr>
            <w:tcW w:w="2952" w:type="dxa"/>
            <w:tcBorders>
              <w:top w:val="nil"/>
              <w:left w:val="nil"/>
              <w:bottom w:val="nil"/>
              <w:right w:val="nil"/>
            </w:tcBorders>
          </w:tcPr>
          <w:p>
            <w:pPr>
              <w:pStyle w:val="TableParagraph"/>
              <w:spacing w:line="264" w:lineRule="exact" w:before="0"/>
              <w:ind w:left="129" w:right="137"/>
              <w:jc w:val="left"/>
              <w:rPr>
                <w:sz w:val="24"/>
              </w:rPr>
            </w:pPr>
            <w:r>
              <w:rPr>
                <w:sz w:val="24"/>
              </w:rPr>
              <w:t>Factor de flujo base</w:t>
            </w:r>
          </w:p>
        </w:tc>
        <w:tc>
          <w:tcPr>
            <w:tcW w:w="1477" w:type="dxa"/>
            <w:tcBorders>
              <w:top w:val="nil"/>
              <w:left w:val="nil"/>
              <w:bottom w:val="nil"/>
              <w:right w:val="nil"/>
            </w:tcBorders>
          </w:tcPr>
          <w:p>
            <w:pPr>
              <w:pStyle w:val="TableParagraph"/>
              <w:spacing w:line="264" w:lineRule="exact" w:before="0"/>
              <w:ind w:left="401" w:right="401"/>
              <w:jc w:val="center"/>
              <w:rPr>
                <w:sz w:val="24"/>
              </w:rPr>
            </w:pPr>
            <w:r>
              <w:rPr>
                <w:sz w:val="24"/>
              </w:rPr>
              <w:t>Medio</w:t>
            </w:r>
          </w:p>
        </w:tc>
        <w:tc>
          <w:tcPr>
            <w:tcW w:w="2649" w:type="dxa"/>
            <w:tcBorders>
              <w:top w:val="nil"/>
              <w:left w:val="nil"/>
              <w:bottom w:val="nil"/>
              <w:right w:val="nil"/>
            </w:tcBorders>
          </w:tcPr>
          <w:p>
            <w:pPr>
              <w:pStyle w:val="TableParagraph"/>
              <w:spacing w:line="237" w:lineRule="auto" w:before="0"/>
              <w:ind w:left="666" w:right="613" w:hanging="10"/>
              <w:jc w:val="left"/>
              <w:rPr>
                <w:sz w:val="24"/>
              </w:rPr>
            </w:pPr>
            <w:r>
              <w:rPr>
                <w:sz w:val="24"/>
              </w:rPr>
              <w:t>Escurrimiento subsuperficial</w:t>
            </w:r>
          </w:p>
        </w:tc>
      </w:tr>
      <w:tr>
        <w:trPr>
          <w:trHeight w:val="552" w:hRule="exact"/>
        </w:trPr>
        <w:tc>
          <w:tcPr>
            <w:tcW w:w="1571" w:type="dxa"/>
            <w:tcBorders>
              <w:top w:val="nil"/>
              <w:left w:val="nil"/>
              <w:bottom w:val="nil"/>
              <w:right w:val="nil"/>
            </w:tcBorders>
          </w:tcPr>
          <w:p>
            <w:pPr>
              <w:pStyle w:val="TableParagraph"/>
              <w:spacing w:line="264" w:lineRule="exact" w:before="0"/>
              <w:ind w:left="110"/>
              <w:jc w:val="left"/>
              <w:rPr>
                <w:sz w:val="24"/>
              </w:rPr>
            </w:pPr>
            <w:r>
              <w:rPr>
                <w:sz w:val="24"/>
              </w:rPr>
              <w:t>GW_REVAP</w:t>
            </w:r>
          </w:p>
        </w:tc>
        <w:tc>
          <w:tcPr>
            <w:tcW w:w="2952" w:type="dxa"/>
            <w:tcBorders>
              <w:top w:val="nil"/>
              <w:left w:val="nil"/>
              <w:bottom w:val="nil"/>
              <w:right w:val="nil"/>
            </w:tcBorders>
          </w:tcPr>
          <w:p>
            <w:pPr>
              <w:pStyle w:val="TableParagraph"/>
              <w:spacing w:line="237" w:lineRule="auto" w:before="0"/>
              <w:ind w:left="129" w:right="137"/>
              <w:jc w:val="left"/>
              <w:rPr>
                <w:sz w:val="24"/>
              </w:rPr>
            </w:pPr>
            <w:r>
              <w:rPr>
                <w:sz w:val="24"/>
              </w:rPr>
              <w:t>Coeficiente de “revap” del agua subterránea</w:t>
            </w:r>
          </w:p>
        </w:tc>
        <w:tc>
          <w:tcPr>
            <w:tcW w:w="1477" w:type="dxa"/>
            <w:tcBorders>
              <w:top w:val="nil"/>
              <w:left w:val="nil"/>
              <w:bottom w:val="nil"/>
              <w:right w:val="nil"/>
            </w:tcBorders>
          </w:tcPr>
          <w:p>
            <w:pPr>
              <w:pStyle w:val="TableParagraph"/>
              <w:spacing w:line="264" w:lineRule="exact" w:before="0"/>
              <w:ind w:left="397" w:right="405"/>
              <w:jc w:val="center"/>
              <w:rPr>
                <w:sz w:val="24"/>
              </w:rPr>
            </w:pPr>
            <w:r>
              <w:rPr>
                <w:sz w:val="24"/>
              </w:rPr>
              <w:t>Medio</w:t>
            </w:r>
          </w:p>
        </w:tc>
        <w:tc>
          <w:tcPr>
            <w:tcW w:w="2649" w:type="dxa"/>
            <w:tcBorders>
              <w:top w:val="nil"/>
              <w:left w:val="nil"/>
              <w:bottom w:val="nil"/>
              <w:right w:val="nil"/>
            </w:tcBorders>
          </w:tcPr>
          <w:p>
            <w:pPr>
              <w:pStyle w:val="TableParagraph"/>
              <w:spacing w:line="237" w:lineRule="auto" w:before="0"/>
              <w:ind w:left="137" w:right="93" w:firstLine="595"/>
              <w:jc w:val="left"/>
              <w:rPr>
                <w:sz w:val="24"/>
              </w:rPr>
            </w:pPr>
            <w:r>
              <w:rPr>
                <w:sz w:val="24"/>
              </w:rPr>
              <w:t>Evaporación Escurrimiento de retorno</w:t>
            </w:r>
          </w:p>
        </w:tc>
      </w:tr>
      <w:tr>
        <w:trPr>
          <w:trHeight w:val="1104" w:hRule="exact"/>
        </w:trPr>
        <w:tc>
          <w:tcPr>
            <w:tcW w:w="1571" w:type="dxa"/>
            <w:tcBorders>
              <w:top w:val="nil"/>
              <w:left w:val="nil"/>
              <w:bottom w:val="nil"/>
              <w:right w:val="nil"/>
            </w:tcBorders>
          </w:tcPr>
          <w:p>
            <w:pPr>
              <w:pStyle w:val="TableParagraph"/>
              <w:spacing w:line="264" w:lineRule="exact" w:before="0"/>
              <w:ind w:left="110"/>
              <w:jc w:val="left"/>
              <w:rPr>
                <w:sz w:val="24"/>
              </w:rPr>
            </w:pPr>
            <w:r>
              <w:rPr>
                <w:sz w:val="24"/>
              </w:rPr>
              <w:t>REVAPMN</w:t>
            </w:r>
          </w:p>
        </w:tc>
        <w:tc>
          <w:tcPr>
            <w:tcW w:w="2952" w:type="dxa"/>
            <w:tcBorders>
              <w:top w:val="nil"/>
              <w:left w:val="nil"/>
              <w:bottom w:val="nil"/>
              <w:right w:val="nil"/>
            </w:tcBorders>
          </w:tcPr>
          <w:p>
            <w:pPr>
              <w:pStyle w:val="TableParagraph"/>
              <w:spacing w:before="0"/>
              <w:ind w:left="129" w:right="130"/>
              <w:jc w:val="both"/>
              <w:rPr>
                <w:sz w:val="24"/>
              </w:rPr>
            </w:pPr>
            <w:r>
              <w:rPr>
                <w:sz w:val="24"/>
              </w:rPr>
              <w:t>Umbral de profundidad del agua en el acuífero sómero para ocurrir “revap” o percolación</w:t>
            </w:r>
          </w:p>
        </w:tc>
        <w:tc>
          <w:tcPr>
            <w:tcW w:w="1477" w:type="dxa"/>
            <w:tcBorders>
              <w:top w:val="nil"/>
              <w:left w:val="nil"/>
              <w:bottom w:val="nil"/>
              <w:right w:val="nil"/>
            </w:tcBorders>
          </w:tcPr>
          <w:p>
            <w:pPr>
              <w:pStyle w:val="TableParagraph"/>
              <w:spacing w:line="264" w:lineRule="exact" w:before="0"/>
              <w:ind w:left="397" w:right="405"/>
              <w:jc w:val="center"/>
              <w:rPr>
                <w:sz w:val="24"/>
              </w:rPr>
            </w:pPr>
            <w:r>
              <w:rPr>
                <w:sz w:val="24"/>
              </w:rPr>
              <w:t>Medio</w:t>
            </w:r>
          </w:p>
        </w:tc>
        <w:tc>
          <w:tcPr>
            <w:tcW w:w="2649" w:type="dxa"/>
            <w:tcBorders>
              <w:top w:val="nil"/>
              <w:left w:val="nil"/>
              <w:bottom w:val="nil"/>
              <w:right w:val="nil"/>
            </w:tcBorders>
          </w:tcPr>
          <w:p>
            <w:pPr>
              <w:pStyle w:val="TableParagraph"/>
              <w:spacing w:line="237" w:lineRule="auto" w:before="0"/>
              <w:ind w:left="137" w:right="93" w:firstLine="595"/>
              <w:jc w:val="left"/>
              <w:rPr>
                <w:sz w:val="24"/>
              </w:rPr>
            </w:pPr>
            <w:r>
              <w:rPr>
                <w:sz w:val="24"/>
              </w:rPr>
              <w:t>Evaporación Escurrimiento de retorno</w:t>
            </w:r>
          </w:p>
        </w:tc>
      </w:tr>
      <w:tr>
        <w:trPr>
          <w:trHeight w:val="1104" w:hRule="exact"/>
        </w:trPr>
        <w:tc>
          <w:tcPr>
            <w:tcW w:w="1571" w:type="dxa"/>
            <w:tcBorders>
              <w:top w:val="nil"/>
              <w:left w:val="nil"/>
              <w:bottom w:val="nil"/>
              <w:right w:val="nil"/>
            </w:tcBorders>
          </w:tcPr>
          <w:p>
            <w:pPr>
              <w:pStyle w:val="TableParagraph"/>
              <w:spacing w:line="264" w:lineRule="exact" w:before="0"/>
              <w:ind w:left="110"/>
              <w:jc w:val="left"/>
              <w:rPr>
                <w:sz w:val="24"/>
              </w:rPr>
            </w:pPr>
            <w:r>
              <w:rPr>
                <w:sz w:val="24"/>
              </w:rPr>
              <w:t>GWQMN</w:t>
            </w:r>
          </w:p>
        </w:tc>
        <w:tc>
          <w:tcPr>
            <w:tcW w:w="2952" w:type="dxa"/>
            <w:tcBorders>
              <w:top w:val="nil"/>
              <w:left w:val="nil"/>
              <w:bottom w:val="nil"/>
              <w:right w:val="nil"/>
            </w:tcBorders>
          </w:tcPr>
          <w:p>
            <w:pPr>
              <w:pStyle w:val="TableParagraph"/>
              <w:spacing w:before="0"/>
              <w:ind w:left="129" w:right="133"/>
              <w:jc w:val="both"/>
              <w:rPr>
                <w:sz w:val="24"/>
              </w:rPr>
            </w:pPr>
            <w:r>
              <w:rPr>
                <w:sz w:val="24"/>
              </w:rPr>
              <w:t>Profundidad umbral del agua en el acuífero sómero para producir flujo de retorno</w:t>
            </w:r>
          </w:p>
        </w:tc>
        <w:tc>
          <w:tcPr>
            <w:tcW w:w="1477" w:type="dxa"/>
            <w:tcBorders>
              <w:top w:val="nil"/>
              <w:left w:val="nil"/>
              <w:bottom w:val="nil"/>
              <w:right w:val="nil"/>
            </w:tcBorders>
          </w:tcPr>
          <w:p>
            <w:pPr>
              <w:pStyle w:val="TableParagraph"/>
              <w:spacing w:line="264" w:lineRule="exact" w:before="0"/>
              <w:ind w:left="397" w:right="405"/>
              <w:jc w:val="center"/>
              <w:rPr>
                <w:sz w:val="24"/>
              </w:rPr>
            </w:pPr>
            <w:r>
              <w:rPr>
                <w:sz w:val="24"/>
              </w:rPr>
              <w:t>Medio</w:t>
            </w:r>
          </w:p>
        </w:tc>
        <w:tc>
          <w:tcPr>
            <w:tcW w:w="2649" w:type="dxa"/>
            <w:tcBorders>
              <w:top w:val="nil"/>
              <w:left w:val="nil"/>
              <w:bottom w:val="nil"/>
              <w:right w:val="nil"/>
            </w:tcBorders>
          </w:tcPr>
          <w:p>
            <w:pPr>
              <w:pStyle w:val="TableParagraph"/>
              <w:spacing w:line="237" w:lineRule="auto" w:before="0"/>
              <w:ind w:left="137" w:right="93" w:firstLine="595"/>
              <w:jc w:val="left"/>
              <w:rPr>
                <w:sz w:val="24"/>
              </w:rPr>
            </w:pPr>
            <w:r>
              <w:rPr>
                <w:sz w:val="24"/>
              </w:rPr>
              <w:t>Evaporación Escurrimiento de retorno</w:t>
            </w:r>
          </w:p>
        </w:tc>
      </w:tr>
      <w:tr>
        <w:trPr>
          <w:trHeight w:val="552" w:hRule="exact"/>
        </w:trPr>
        <w:tc>
          <w:tcPr>
            <w:tcW w:w="1571" w:type="dxa"/>
            <w:tcBorders>
              <w:top w:val="nil"/>
              <w:left w:val="nil"/>
              <w:bottom w:val="nil"/>
              <w:right w:val="nil"/>
            </w:tcBorders>
          </w:tcPr>
          <w:p>
            <w:pPr>
              <w:pStyle w:val="TableParagraph"/>
              <w:spacing w:line="265" w:lineRule="exact" w:before="0"/>
              <w:ind w:left="110"/>
              <w:jc w:val="left"/>
              <w:rPr>
                <w:sz w:val="24"/>
              </w:rPr>
            </w:pPr>
            <w:r>
              <w:rPr>
                <w:sz w:val="24"/>
              </w:rPr>
              <w:t>SOL_Z</w:t>
            </w:r>
          </w:p>
        </w:tc>
        <w:tc>
          <w:tcPr>
            <w:tcW w:w="2952" w:type="dxa"/>
            <w:tcBorders>
              <w:top w:val="nil"/>
              <w:left w:val="nil"/>
              <w:bottom w:val="nil"/>
              <w:right w:val="nil"/>
            </w:tcBorders>
          </w:tcPr>
          <w:p>
            <w:pPr>
              <w:pStyle w:val="TableParagraph"/>
              <w:tabs>
                <w:tab w:pos="1534" w:val="left" w:leader="none"/>
                <w:tab w:pos="2518" w:val="left" w:leader="none"/>
              </w:tabs>
              <w:spacing w:line="237" w:lineRule="auto" w:before="0"/>
              <w:ind w:left="129" w:right="134"/>
              <w:jc w:val="left"/>
              <w:rPr>
                <w:sz w:val="24"/>
              </w:rPr>
            </w:pPr>
            <w:r>
              <w:rPr>
                <w:sz w:val="24"/>
              </w:rPr>
              <w:t>Profundidad</w:t>
              <w:tab/>
              <w:t>máxima</w:t>
              <w:tab/>
              <w:t>del suelo</w:t>
            </w:r>
          </w:p>
        </w:tc>
        <w:tc>
          <w:tcPr>
            <w:tcW w:w="1477" w:type="dxa"/>
            <w:tcBorders>
              <w:top w:val="nil"/>
              <w:left w:val="nil"/>
              <w:bottom w:val="nil"/>
              <w:right w:val="nil"/>
            </w:tcBorders>
          </w:tcPr>
          <w:p>
            <w:pPr>
              <w:pStyle w:val="TableParagraph"/>
              <w:spacing w:line="265" w:lineRule="exact" w:before="0"/>
              <w:ind w:left="401" w:right="404"/>
              <w:jc w:val="center"/>
              <w:rPr>
                <w:sz w:val="24"/>
              </w:rPr>
            </w:pPr>
            <w:r>
              <w:rPr>
                <w:sz w:val="24"/>
              </w:rPr>
              <w:t>Alto</w:t>
            </w:r>
          </w:p>
        </w:tc>
        <w:tc>
          <w:tcPr>
            <w:tcW w:w="2649" w:type="dxa"/>
            <w:tcBorders>
              <w:top w:val="nil"/>
              <w:left w:val="nil"/>
              <w:bottom w:val="nil"/>
              <w:right w:val="nil"/>
            </w:tcBorders>
          </w:tcPr>
          <w:p>
            <w:pPr>
              <w:pStyle w:val="TableParagraph"/>
              <w:spacing w:line="237" w:lineRule="auto" w:before="0"/>
              <w:ind w:left="834" w:right="613" w:hanging="178"/>
              <w:jc w:val="left"/>
              <w:rPr>
                <w:sz w:val="24"/>
              </w:rPr>
            </w:pPr>
            <w:r>
              <w:rPr>
                <w:sz w:val="24"/>
              </w:rPr>
              <w:t>Escurrimiento superficial</w:t>
            </w:r>
          </w:p>
        </w:tc>
      </w:tr>
      <w:tr>
        <w:trPr>
          <w:trHeight w:val="552" w:hRule="exact"/>
        </w:trPr>
        <w:tc>
          <w:tcPr>
            <w:tcW w:w="1571" w:type="dxa"/>
            <w:tcBorders>
              <w:top w:val="nil"/>
              <w:left w:val="nil"/>
              <w:bottom w:val="nil"/>
              <w:right w:val="nil"/>
            </w:tcBorders>
          </w:tcPr>
          <w:p>
            <w:pPr>
              <w:pStyle w:val="TableParagraph"/>
              <w:spacing w:line="264" w:lineRule="exact" w:before="0"/>
              <w:ind w:left="110"/>
              <w:jc w:val="left"/>
              <w:rPr>
                <w:sz w:val="24"/>
              </w:rPr>
            </w:pPr>
            <w:r>
              <w:rPr>
                <w:sz w:val="24"/>
              </w:rPr>
              <w:t>SURLAG</w:t>
            </w:r>
          </w:p>
        </w:tc>
        <w:tc>
          <w:tcPr>
            <w:tcW w:w="2952" w:type="dxa"/>
            <w:tcBorders>
              <w:top w:val="nil"/>
              <w:left w:val="nil"/>
              <w:bottom w:val="nil"/>
              <w:right w:val="nil"/>
            </w:tcBorders>
          </w:tcPr>
          <w:p>
            <w:pPr>
              <w:pStyle w:val="TableParagraph"/>
              <w:spacing w:line="237" w:lineRule="auto" w:before="0"/>
              <w:ind w:left="129" w:right="137"/>
              <w:jc w:val="left"/>
              <w:rPr>
                <w:sz w:val="24"/>
              </w:rPr>
            </w:pPr>
            <w:r>
              <w:rPr>
                <w:sz w:val="24"/>
              </w:rPr>
              <w:t>Coeficiente de retardo de escorrentía superficial</w:t>
            </w:r>
          </w:p>
        </w:tc>
        <w:tc>
          <w:tcPr>
            <w:tcW w:w="1477" w:type="dxa"/>
            <w:tcBorders>
              <w:top w:val="nil"/>
              <w:left w:val="nil"/>
              <w:bottom w:val="nil"/>
              <w:right w:val="nil"/>
            </w:tcBorders>
          </w:tcPr>
          <w:p>
            <w:pPr>
              <w:pStyle w:val="TableParagraph"/>
              <w:spacing w:line="264" w:lineRule="exact" w:before="0"/>
              <w:ind w:left="397" w:right="405"/>
              <w:jc w:val="center"/>
              <w:rPr>
                <w:sz w:val="24"/>
              </w:rPr>
            </w:pPr>
            <w:r>
              <w:rPr>
                <w:sz w:val="24"/>
              </w:rPr>
              <w:t>Medio</w:t>
            </w:r>
          </w:p>
        </w:tc>
        <w:tc>
          <w:tcPr>
            <w:tcW w:w="2649" w:type="dxa"/>
            <w:tcBorders>
              <w:top w:val="nil"/>
              <w:left w:val="nil"/>
              <w:bottom w:val="nil"/>
              <w:right w:val="nil"/>
            </w:tcBorders>
          </w:tcPr>
          <w:p>
            <w:pPr>
              <w:pStyle w:val="TableParagraph"/>
              <w:spacing w:line="237" w:lineRule="auto" w:before="0"/>
              <w:ind w:left="834" w:right="613" w:hanging="178"/>
              <w:jc w:val="left"/>
              <w:rPr>
                <w:sz w:val="24"/>
              </w:rPr>
            </w:pPr>
            <w:r>
              <w:rPr>
                <w:sz w:val="24"/>
              </w:rPr>
              <w:t>Escurrimiento superficial</w:t>
            </w:r>
          </w:p>
        </w:tc>
      </w:tr>
      <w:tr>
        <w:trPr>
          <w:trHeight w:val="552" w:hRule="exact"/>
        </w:trPr>
        <w:tc>
          <w:tcPr>
            <w:tcW w:w="1571" w:type="dxa"/>
            <w:tcBorders>
              <w:top w:val="nil"/>
              <w:left w:val="nil"/>
              <w:bottom w:val="nil"/>
              <w:right w:val="nil"/>
            </w:tcBorders>
          </w:tcPr>
          <w:p>
            <w:pPr>
              <w:pStyle w:val="TableParagraph"/>
              <w:spacing w:line="264" w:lineRule="exact" w:before="0"/>
              <w:ind w:left="110"/>
              <w:jc w:val="left"/>
              <w:rPr>
                <w:sz w:val="24"/>
              </w:rPr>
            </w:pPr>
            <w:r>
              <w:rPr>
                <w:sz w:val="24"/>
              </w:rPr>
              <w:t>GW_DELAY</w:t>
            </w:r>
          </w:p>
        </w:tc>
        <w:tc>
          <w:tcPr>
            <w:tcW w:w="2952" w:type="dxa"/>
            <w:tcBorders>
              <w:top w:val="nil"/>
              <w:left w:val="nil"/>
              <w:bottom w:val="nil"/>
              <w:right w:val="nil"/>
            </w:tcBorders>
          </w:tcPr>
          <w:p>
            <w:pPr>
              <w:pStyle w:val="TableParagraph"/>
              <w:tabs>
                <w:tab w:pos="1702" w:val="left" w:leader="none"/>
                <w:tab w:pos="2138" w:val="left" w:leader="none"/>
              </w:tabs>
              <w:spacing w:line="237" w:lineRule="auto" w:before="0"/>
              <w:ind w:left="129" w:right="134"/>
              <w:jc w:val="left"/>
              <w:rPr>
                <w:sz w:val="24"/>
              </w:rPr>
            </w:pPr>
            <w:r>
              <w:rPr>
                <w:sz w:val="24"/>
              </w:rPr>
              <w:t>Temporizador</w:t>
              <w:tab/>
              <w:t>de</w:t>
              <w:tab/>
            </w:r>
            <w:r>
              <w:rPr>
                <w:spacing w:val="-1"/>
                <w:sz w:val="24"/>
              </w:rPr>
              <w:t>retardo </w:t>
            </w:r>
            <w:r>
              <w:rPr>
                <w:sz w:val="24"/>
              </w:rPr>
              <w:t>subterráneo</w:t>
            </w:r>
          </w:p>
        </w:tc>
        <w:tc>
          <w:tcPr>
            <w:tcW w:w="1477" w:type="dxa"/>
            <w:tcBorders>
              <w:top w:val="nil"/>
              <w:left w:val="nil"/>
              <w:bottom w:val="nil"/>
              <w:right w:val="nil"/>
            </w:tcBorders>
          </w:tcPr>
          <w:p>
            <w:pPr>
              <w:pStyle w:val="TableParagraph"/>
              <w:spacing w:line="264" w:lineRule="exact" w:before="0"/>
              <w:ind w:left="401" w:right="401"/>
              <w:jc w:val="center"/>
              <w:rPr>
                <w:sz w:val="24"/>
              </w:rPr>
            </w:pPr>
            <w:r>
              <w:rPr>
                <w:sz w:val="24"/>
              </w:rPr>
              <w:t>Bajo</w:t>
            </w:r>
          </w:p>
        </w:tc>
        <w:tc>
          <w:tcPr>
            <w:tcW w:w="2649" w:type="dxa"/>
            <w:tcBorders>
              <w:top w:val="nil"/>
              <w:left w:val="nil"/>
              <w:bottom w:val="nil"/>
              <w:right w:val="nil"/>
            </w:tcBorders>
          </w:tcPr>
          <w:p>
            <w:pPr>
              <w:pStyle w:val="TableParagraph"/>
              <w:spacing w:line="237" w:lineRule="auto" w:before="0"/>
              <w:ind w:left="834" w:right="613" w:hanging="178"/>
              <w:jc w:val="left"/>
              <w:rPr>
                <w:sz w:val="24"/>
              </w:rPr>
            </w:pPr>
            <w:r>
              <w:rPr>
                <w:sz w:val="24"/>
              </w:rPr>
              <w:t>Escurrimiento superficial</w:t>
            </w:r>
          </w:p>
        </w:tc>
      </w:tr>
      <w:tr>
        <w:trPr>
          <w:trHeight w:val="552" w:hRule="exact"/>
        </w:trPr>
        <w:tc>
          <w:tcPr>
            <w:tcW w:w="1571" w:type="dxa"/>
            <w:tcBorders>
              <w:top w:val="nil"/>
              <w:left w:val="nil"/>
              <w:bottom w:val="nil"/>
              <w:right w:val="nil"/>
            </w:tcBorders>
          </w:tcPr>
          <w:p>
            <w:pPr>
              <w:pStyle w:val="TableParagraph"/>
              <w:spacing w:line="264" w:lineRule="exact" w:before="0"/>
              <w:ind w:left="110"/>
              <w:jc w:val="left"/>
              <w:rPr>
                <w:sz w:val="24"/>
              </w:rPr>
            </w:pPr>
            <w:r>
              <w:rPr>
                <w:sz w:val="24"/>
              </w:rPr>
              <w:t>SOL_AWC</w:t>
            </w:r>
          </w:p>
        </w:tc>
        <w:tc>
          <w:tcPr>
            <w:tcW w:w="2952" w:type="dxa"/>
            <w:tcBorders>
              <w:top w:val="nil"/>
              <w:left w:val="nil"/>
              <w:bottom w:val="nil"/>
              <w:right w:val="nil"/>
            </w:tcBorders>
          </w:tcPr>
          <w:p>
            <w:pPr>
              <w:pStyle w:val="TableParagraph"/>
              <w:tabs>
                <w:tab w:pos="1636" w:val="left" w:leader="none"/>
                <w:tab w:pos="2360" w:val="left" w:leader="none"/>
              </w:tabs>
              <w:spacing w:line="237" w:lineRule="auto" w:before="0"/>
              <w:ind w:left="129" w:right="136"/>
              <w:jc w:val="left"/>
              <w:rPr>
                <w:sz w:val="24"/>
              </w:rPr>
            </w:pPr>
            <w:r>
              <w:rPr>
                <w:sz w:val="24"/>
              </w:rPr>
              <w:t>Capacidad</w:t>
              <w:tab/>
              <w:t>de</w:t>
              <w:tab/>
              <w:t>agua disponible en el</w:t>
            </w:r>
            <w:r>
              <w:rPr>
                <w:spacing w:val="-21"/>
                <w:sz w:val="24"/>
              </w:rPr>
              <w:t> </w:t>
            </w:r>
            <w:r>
              <w:rPr>
                <w:sz w:val="24"/>
              </w:rPr>
              <w:t>suelo</w:t>
            </w:r>
          </w:p>
        </w:tc>
        <w:tc>
          <w:tcPr>
            <w:tcW w:w="1477" w:type="dxa"/>
            <w:tcBorders>
              <w:top w:val="nil"/>
              <w:left w:val="nil"/>
              <w:bottom w:val="nil"/>
              <w:right w:val="nil"/>
            </w:tcBorders>
          </w:tcPr>
          <w:p>
            <w:pPr>
              <w:pStyle w:val="TableParagraph"/>
              <w:spacing w:line="264" w:lineRule="exact" w:before="0"/>
              <w:ind w:left="401" w:right="401"/>
              <w:jc w:val="center"/>
              <w:rPr>
                <w:sz w:val="24"/>
              </w:rPr>
            </w:pPr>
            <w:r>
              <w:rPr>
                <w:sz w:val="24"/>
              </w:rPr>
              <w:t>Bajo</w:t>
            </w:r>
          </w:p>
        </w:tc>
        <w:tc>
          <w:tcPr>
            <w:tcW w:w="2649" w:type="dxa"/>
            <w:tcBorders>
              <w:top w:val="nil"/>
              <w:left w:val="nil"/>
              <w:bottom w:val="nil"/>
              <w:right w:val="nil"/>
            </w:tcBorders>
          </w:tcPr>
          <w:p>
            <w:pPr>
              <w:pStyle w:val="TableParagraph"/>
              <w:spacing w:line="237" w:lineRule="auto" w:before="0"/>
              <w:ind w:left="834" w:right="613" w:hanging="178"/>
              <w:jc w:val="left"/>
              <w:rPr>
                <w:sz w:val="24"/>
              </w:rPr>
            </w:pPr>
            <w:r>
              <w:rPr>
                <w:sz w:val="24"/>
              </w:rPr>
              <w:t>Escurrimiento superficial</w:t>
            </w:r>
          </w:p>
        </w:tc>
      </w:tr>
      <w:tr>
        <w:trPr>
          <w:trHeight w:val="553" w:hRule="exact"/>
        </w:trPr>
        <w:tc>
          <w:tcPr>
            <w:tcW w:w="1571" w:type="dxa"/>
            <w:tcBorders>
              <w:top w:val="nil"/>
              <w:left w:val="nil"/>
              <w:right w:val="nil"/>
            </w:tcBorders>
          </w:tcPr>
          <w:p>
            <w:pPr>
              <w:pStyle w:val="TableParagraph"/>
              <w:spacing w:line="264" w:lineRule="exact" w:before="0"/>
              <w:ind w:left="110"/>
              <w:jc w:val="left"/>
              <w:rPr>
                <w:sz w:val="24"/>
              </w:rPr>
            </w:pPr>
            <w:r>
              <w:rPr>
                <w:sz w:val="24"/>
              </w:rPr>
              <w:t>ESCO</w:t>
            </w:r>
          </w:p>
        </w:tc>
        <w:tc>
          <w:tcPr>
            <w:tcW w:w="2952" w:type="dxa"/>
            <w:tcBorders>
              <w:top w:val="nil"/>
              <w:left w:val="nil"/>
              <w:right w:val="nil"/>
            </w:tcBorders>
          </w:tcPr>
          <w:p>
            <w:pPr>
              <w:pStyle w:val="TableParagraph"/>
              <w:spacing w:line="237" w:lineRule="auto" w:before="0"/>
              <w:ind w:left="129" w:right="137"/>
              <w:jc w:val="left"/>
              <w:rPr>
                <w:sz w:val="24"/>
              </w:rPr>
            </w:pPr>
            <w:r>
              <w:rPr>
                <w:sz w:val="24"/>
              </w:rPr>
              <w:t>Factor de compensación de la evaporación del suelo</w:t>
            </w:r>
          </w:p>
        </w:tc>
        <w:tc>
          <w:tcPr>
            <w:tcW w:w="1477" w:type="dxa"/>
            <w:tcBorders>
              <w:top w:val="nil"/>
              <w:left w:val="nil"/>
              <w:right w:val="nil"/>
            </w:tcBorders>
          </w:tcPr>
          <w:p>
            <w:pPr>
              <w:pStyle w:val="TableParagraph"/>
              <w:spacing w:line="264" w:lineRule="exact" w:before="0"/>
              <w:ind w:left="401" w:right="401"/>
              <w:jc w:val="center"/>
              <w:rPr>
                <w:sz w:val="24"/>
              </w:rPr>
            </w:pPr>
            <w:r>
              <w:rPr>
                <w:sz w:val="24"/>
              </w:rPr>
              <w:t>Bajo</w:t>
            </w:r>
          </w:p>
        </w:tc>
        <w:tc>
          <w:tcPr>
            <w:tcW w:w="2649" w:type="dxa"/>
            <w:tcBorders>
              <w:top w:val="nil"/>
              <w:left w:val="nil"/>
              <w:right w:val="nil"/>
            </w:tcBorders>
          </w:tcPr>
          <w:p>
            <w:pPr>
              <w:pStyle w:val="TableParagraph"/>
              <w:spacing w:line="264" w:lineRule="exact" w:before="0"/>
              <w:ind w:left="116" w:right="85"/>
              <w:jc w:val="center"/>
              <w:rPr>
                <w:sz w:val="24"/>
              </w:rPr>
            </w:pPr>
            <w:r>
              <w:rPr>
                <w:sz w:val="24"/>
              </w:rPr>
              <w:t>Evaporación</w:t>
            </w:r>
          </w:p>
        </w:tc>
      </w:tr>
    </w:tbl>
    <w:p>
      <w:pPr>
        <w:spacing w:line="249" w:lineRule="exact" w:before="0"/>
        <w:ind w:left="3059" w:right="0" w:firstLine="0"/>
        <w:jc w:val="left"/>
        <w:rPr>
          <w:sz w:val="22"/>
        </w:rPr>
      </w:pPr>
      <w:r>
        <w:rPr>
          <w:sz w:val="22"/>
        </w:rPr>
        <w:t>Fuente: Elaboración propia, 2014.</w:t>
      </w:r>
    </w:p>
    <w:p>
      <w:pPr>
        <w:spacing w:after="0" w:line="249" w:lineRule="exact"/>
        <w:jc w:val="left"/>
        <w:rPr>
          <w:sz w:val="22"/>
        </w:rPr>
        <w:sectPr>
          <w:pgSz w:w="12240" w:h="15840"/>
          <w:pgMar w:header="0" w:footer="1473" w:top="1380" w:bottom="1660" w:left="1560" w:right="1300"/>
        </w:sectPr>
      </w:pPr>
    </w:p>
    <w:p>
      <w:pPr>
        <w:pStyle w:val="Heading1"/>
        <w:numPr>
          <w:ilvl w:val="2"/>
          <w:numId w:val="49"/>
        </w:numPr>
        <w:tabs>
          <w:tab w:pos="708" w:val="left" w:leader="none"/>
        </w:tabs>
        <w:spacing w:line="240" w:lineRule="auto" w:before="53" w:after="0"/>
        <w:ind w:left="707" w:right="0" w:hanging="591"/>
        <w:jc w:val="both"/>
      </w:pPr>
      <w:bookmarkStart w:name="_bookmark101" w:id="151"/>
      <w:bookmarkEnd w:id="151"/>
      <w:r>
        <w:rPr>
          <w:b w:val="0"/>
        </w:rPr>
      </w:r>
      <w:bookmarkStart w:name="_bookmark101" w:id="152"/>
      <w:bookmarkEnd w:id="152"/>
      <w:r>
        <w:rPr/>
        <w:t>Vali</w:t>
      </w:r>
      <w:r>
        <w:rPr/>
        <w:t>dación del modelo</w:t>
      </w:r>
      <w:r>
        <w:rPr>
          <w:spacing w:val="-20"/>
        </w:rPr>
        <w:t> </w:t>
      </w:r>
      <w:r>
        <w:rPr/>
        <w:t>SWAT</w:t>
      </w:r>
    </w:p>
    <w:p>
      <w:pPr>
        <w:pStyle w:val="BodyText"/>
        <w:rPr>
          <w:b/>
        </w:rPr>
      </w:pPr>
    </w:p>
    <w:p>
      <w:pPr>
        <w:pStyle w:val="BodyText"/>
        <w:spacing w:before="10"/>
        <w:rPr>
          <w:b/>
          <w:sz w:val="21"/>
        </w:rPr>
      </w:pPr>
    </w:p>
    <w:p>
      <w:pPr>
        <w:pStyle w:val="BodyText"/>
        <w:spacing w:line="360" w:lineRule="auto"/>
        <w:ind w:left="116" w:right="117"/>
        <w:jc w:val="both"/>
      </w:pPr>
      <w:r>
        <w:rPr/>
        <w:t>Por su parte, la validación del modelo consistió en medir su capacidad predictiva</w:t>
      </w:r>
      <w:r>
        <w:rPr>
          <w:spacing w:val="-36"/>
        </w:rPr>
        <w:t> </w:t>
      </w:r>
      <w:r>
        <w:rPr/>
        <w:t>mediante la comparación de los escurrimientos calculados y los observados con los parámetros determinados en la fase de calibración pero en un período diferente del utilizado en la calibración. Palacios, (1986) afirma que generalmente el ajuste entre escurrimientos observados y calculados obtenido durante la validación es menos satisfactorio que el obtenido en la calibración, pero es más representativo de la exactitud de las predicciones que se hagan con el</w:t>
      </w:r>
      <w:r>
        <w:rPr>
          <w:spacing w:val="-8"/>
        </w:rPr>
        <w:t> </w:t>
      </w:r>
      <w:r>
        <w:rPr/>
        <w:t>modelo.</w:t>
      </w:r>
    </w:p>
    <w:p>
      <w:pPr>
        <w:pStyle w:val="BodyText"/>
      </w:pPr>
    </w:p>
    <w:p>
      <w:pPr>
        <w:pStyle w:val="BodyText"/>
        <w:spacing w:before="5"/>
        <w:rPr>
          <w:sz w:val="34"/>
        </w:rPr>
      </w:pPr>
    </w:p>
    <w:p>
      <w:pPr>
        <w:pStyle w:val="Heading1"/>
        <w:ind w:left="116"/>
        <w:jc w:val="both"/>
      </w:pPr>
      <w:bookmarkStart w:name="_bookmark102" w:id="153"/>
      <w:bookmarkEnd w:id="153"/>
      <w:r>
        <w:rPr>
          <w:b w:val="0"/>
        </w:rPr>
      </w:r>
      <w:r>
        <w:rPr/>
        <w:t>5.2 Producción de escurrimientos superficiales</w:t>
      </w:r>
    </w:p>
    <w:p>
      <w:pPr>
        <w:pStyle w:val="BodyText"/>
        <w:rPr>
          <w:b/>
        </w:rPr>
      </w:pPr>
    </w:p>
    <w:p>
      <w:pPr>
        <w:pStyle w:val="BodyText"/>
        <w:spacing w:before="10"/>
        <w:rPr>
          <w:b/>
          <w:sz w:val="21"/>
        </w:rPr>
      </w:pPr>
    </w:p>
    <w:p>
      <w:pPr>
        <w:pStyle w:val="BodyText"/>
        <w:spacing w:line="360" w:lineRule="auto"/>
        <w:ind w:left="116" w:right="117"/>
        <w:jc w:val="both"/>
      </w:pPr>
      <w:r>
        <w:rPr/>
        <w:t>Con el fin de dimensionar la representatividad de la cantidad de escurrimiento superficial producido para la cuenca, es necesario conocer la producción de agua en la misma durante el periodo de simulación. El resultado que reporta el modelo es la suma de escurrimientos superficiales (SURQ) y subsuperficiales (LATQ y GWQ), menos las pérdidas por transmisión (TLOSS) y las abstracciones de los almacenamientos (WYLD = SURQ + LATQ + GWQ – TLOSS – IRR – SA_IRR – DA_IRR) (Uribe 2010).</w:t>
      </w:r>
    </w:p>
    <w:p>
      <w:pPr>
        <w:pStyle w:val="BodyText"/>
      </w:pPr>
    </w:p>
    <w:p>
      <w:pPr>
        <w:pStyle w:val="BodyText"/>
        <w:spacing w:line="360" w:lineRule="auto" w:before="155"/>
        <w:ind w:left="116" w:right="115"/>
        <w:jc w:val="both"/>
      </w:pPr>
      <w:r>
        <w:rPr>
          <w:spacing w:val="-3"/>
        </w:rPr>
        <w:t>La </w:t>
      </w:r>
      <w:r>
        <w:rPr/>
        <w:t>Figura 28 muestra las cantidades de agua en milímetros de las anteriores variables de</w:t>
      </w:r>
      <w:r>
        <w:rPr>
          <w:spacing w:val="-29"/>
        </w:rPr>
        <w:t> </w:t>
      </w:r>
      <w:r>
        <w:rPr/>
        <w:t>la ecuación del ciclo hidrológico. El promedio total de agua precipitada en la cuenca durante el</w:t>
      </w:r>
      <w:r>
        <w:rPr>
          <w:spacing w:val="-15"/>
        </w:rPr>
        <w:t> </w:t>
      </w:r>
      <w:r>
        <w:rPr/>
        <w:t>período</w:t>
      </w:r>
      <w:r>
        <w:rPr>
          <w:spacing w:val="-15"/>
        </w:rPr>
        <w:t> </w:t>
      </w:r>
      <w:r>
        <w:rPr/>
        <w:t>de</w:t>
      </w:r>
      <w:r>
        <w:rPr>
          <w:spacing w:val="-15"/>
        </w:rPr>
        <w:t> </w:t>
      </w:r>
      <w:r>
        <w:rPr/>
        <w:t>simulación</w:t>
      </w:r>
      <w:r>
        <w:rPr>
          <w:spacing w:val="-14"/>
        </w:rPr>
        <w:t> </w:t>
      </w:r>
      <w:r>
        <w:rPr/>
        <w:t>fue</w:t>
      </w:r>
      <w:r>
        <w:rPr>
          <w:spacing w:val="-15"/>
        </w:rPr>
        <w:t> </w:t>
      </w:r>
      <w:r>
        <w:rPr/>
        <w:t>de</w:t>
      </w:r>
      <w:r>
        <w:rPr>
          <w:spacing w:val="-19"/>
        </w:rPr>
        <w:t> </w:t>
      </w:r>
      <w:r>
        <w:rPr/>
        <w:t>837.2</w:t>
      </w:r>
      <w:r>
        <w:rPr>
          <w:spacing w:val="-14"/>
        </w:rPr>
        <w:t> </w:t>
      </w:r>
      <w:r>
        <w:rPr>
          <w:spacing w:val="-4"/>
        </w:rPr>
        <w:t>mm,</w:t>
      </w:r>
      <w:r>
        <w:rPr>
          <w:spacing w:val="-13"/>
        </w:rPr>
        <w:t> </w:t>
      </w:r>
      <w:r>
        <w:rPr/>
        <w:t>de</w:t>
      </w:r>
      <w:r>
        <w:rPr>
          <w:spacing w:val="-15"/>
        </w:rPr>
        <w:t> </w:t>
      </w:r>
      <w:r>
        <w:rPr/>
        <w:t>los</w:t>
      </w:r>
      <w:r>
        <w:rPr>
          <w:spacing w:val="-15"/>
        </w:rPr>
        <w:t> </w:t>
      </w:r>
      <w:r>
        <w:rPr/>
        <w:t>cuáles</w:t>
      </w:r>
      <w:r>
        <w:rPr>
          <w:spacing w:val="-14"/>
        </w:rPr>
        <w:t> </w:t>
      </w:r>
      <w:r>
        <w:rPr/>
        <w:t>598.9</w:t>
      </w:r>
      <w:r>
        <w:rPr>
          <w:spacing w:val="-19"/>
        </w:rPr>
        <w:t> </w:t>
      </w:r>
      <w:r>
        <w:rPr>
          <w:spacing w:val="-3"/>
        </w:rPr>
        <w:t>mm</w:t>
      </w:r>
      <w:r>
        <w:rPr>
          <w:spacing w:val="-19"/>
        </w:rPr>
        <w:t> </w:t>
      </w:r>
      <w:r>
        <w:rPr/>
        <w:t>regresaron</w:t>
      </w:r>
      <w:r>
        <w:rPr>
          <w:spacing w:val="-14"/>
        </w:rPr>
        <w:t> </w:t>
      </w:r>
      <w:r>
        <w:rPr/>
        <w:t>a</w:t>
      </w:r>
      <w:r>
        <w:rPr>
          <w:spacing w:val="-15"/>
        </w:rPr>
        <w:t> </w:t>
      </w:r>
      <w:r>
        <w:rPr/>
        <w:t>la</w:t>
      </w:r>
      <w:r>
        <w:rPr>
          <w:spacing w:val="-15"/>
        </w:rPr>
        <w:t> </w:t>
      </w:r>
      <w:r>
        <w:rPr/>
        <w:t>atmósfera por evaporación, 98.33 mm se infiltraron al suelo por percolación hasta llegar a los acuíferos profundos. Del todo de precipitación 125.84 </w:t>
      </w:r>
      <w:r>
        <w:rPr>
          <w:spacing w:val="-3"/>
        </w:rPr>
        <w:t>mm </w:t>
      </w:r>
      <w:r>
        <w:rPr/>
        <w:t>actúa como flujo superficial  </w:t>
      </w:r>
      <w:r>
        <w:rPr>
          <w:spacing w:val="19"/>
        </w:rPr>
        <w:t> </w:t>
      </w:r>
      <w:r>
        <w:rPr/>
        <w:t>y</w:t>
      </w:r>
    </w:p>
    <w:p>
      <w:pPr>
        <w:pStyle w:val="BodyText"/>
        <w:spacing w:before="4"/>
        <w:ind w:left="116"/>
        <w:jc w:val="both"/>
      </w:pPr>
      <w:r>
        <w:rPr/>
        <w:t>9.6 mm de flujo subsuperficial.</w:t>
      </w:r>
    </w:p>
    <w:p>
      <w:pPr>
        <w:spacing w:after="0"/>
        <w:jc w:val="both"/>
        <w:sectPr>
          <w:pgSz w:w="12240" w:h="15840"/>
          <w:pgMar w:header="0" w:footer="1473" w:top="1360" w:bottom="1660" w:left="1300" w:right="1300"/>
        </w:sectPr>
      </w:pPr>
    </w:p>
    <w:p>
      <w:pPr>
        <w:pStyle w:val="BodyText"/>
        <w:ind w:left="1027"/>
        <w:rPr>
          <w:sz w:val="20"/>
        </w:rPr>
      </w:pPr>
      <w:r>
        <w:rPr>
          <w:sz w:val="20"/>
        </w:rPr>
        <w:pict>
          <v:group style="width:379.45pt;height:270.75pt;mso-position-horizontal-relative:char;mso-position-vertical-relative:line" coordorigin="0,0" coordsize="7589,5415">
            <v:shape style="position:absolute;left:29;top:29;width:7531;height:5357" type="#_x0000_t75" stroked="false">
              <v:imagedata r:id="rId130" o:title=""/>
            </v:shape>
            <v:rect style="position:absolute;left:15;top:15;width:7560;height:5386" filled="false" stroked="true" strokeweight="1.44pt" strokecolor="#000000"/>
            <v:rect style="position:absolute;left:4589;top:1814;width:811;height:317" filled="true" fillcolor="#ffffff" stroked="false">
              <v:fill type="solid"/>
            </v:rect>
            <v:shape style="position:absolute;left:4603;top:1901;width:778;height:144" type="#_x0000_t75" stroked="false">
              <v:imagedata r:id="rId131" o:title=""/>
            </v:shape>
            <v:rect style="position:absolute;left:1094;top:3269;width:806;height:317" filled="true" fillcolor="#ffffff" stroked="false">
              <v:fill type="solid"/>
            </v:rect>
            <v:shape style="position:absolute;left:1109;top:3360;width:778;height:139" type="#_x0000_t75" stroked="false">
              <v:imagedata r:id="rId131" o:title=""/>
            </v:shape>
            <v:rect style="position:absolute;left:2952;top:3783;width:811;height:312" filled="true" fillcolor="#ffffff" stroked="false">
              <v:fill type="solid"/>
            </v:rect>
            <v:shape style="position:absolute;left:2966;top:3869;width:782;height:139" type="#_x0000_t75" stroked="false">
              <v:imagedata r:id="rId131" o:title=""/>
            </v:shape>
            <v:rect style="position:absolute;left:3283;top:2583;width:811;height:312" filled="true" fillcolor="#ffffff" stroked="false">
              <v:fill type="solid"/>
            </v:rect>
            <v:shape style="position:absolute;left:3298;top:2669;width:782;height:139" type="#_x0000_t75" stroked="false">
              <v:imagedata r:id="rId131" o:title=""/>
            </v:shape>
            <v:rect style="position:absolute;left:2054;top:2923;width:806;height:317" filled="true" fillcolor="#ffffff" stroked="false">
              <v:fill type="solid"/>
            </v:rect>
            <v:shape style="position:absolute;left:2069;top:3015;width:778;height:139" type="#_x0000_t75" stroked="false">
              <v:imagedata r:id="rId131" o:title=""/>
            </v:shape>
            <v:rect style="position:absolute;left:5621;top:4469;width:811;height:317" filled="true" fillcolor="#ffffff" stroked="false">
              <v:fill type="solid"/>
            </v:rect>
            <v:shape style="position:absolute;left:5640;top:4560;width:778;height:139" type="#_x0000_t75" stroked="false">
              <v:imagedata r:id="rId131" o:title=""/>
            </v:shape>
            <v:rect style="position:absolute;left:2846;top:1243;width:811;height:379" filled="true" fillcolor="#ffffff" stroked="false">
              <v:fill type="solid"/>
            </v:rect>
            <v:shape style="position:absolute;left:2861;top:1334;width:782;height:202" type="#_x0000_t75" stroked="false">
              <v:imagedata r:id="rId132" o:title=""/>
            </v:shape>
            <v:shape style="position:absolute;left:2846;top:1243;width:812;height:380" type="#_x0000_t202" filled="false" stroked="true" strokeweight="1.44pt" strokecolor="#000000">
              <v:textbox inset="0,0,0,0">
                <w:txbxContent>
                  <w:p>
                    <w:pPr>
                      <w:spacing w:before="71"/>
                      <w:ind w:left="145" w:right="0" w:firstLine="0"/>
                      <w:jc w:val="left"/>
                      <w:rPr>
                        <w:rFonts w:ascii="Arial"/>
                        <w:sz w:val="16"/>
                      </w:rPr>
                    </w:pPr>
                    <w:r>
                      <w:rPr>
                        <w:rFonts w:ascii="Arial"/>
                        <w:sz w:val="16"/>
                      </w:rPr>
                      <w:t>837.2</w:t>
                    </w:r>
                  </w:p>
                </w:txbxContent>
              </v:textbox>
              <w10:wrap type="none"/>
            </v:shape>
            <v:shape style="position:absolute;left:4589;top:1814;width:812;height:317" type="#_x0000_t202" filled="false" stroked="true" strokeweight="1.44pt" strokecolor="#000000">
              <v:textbox inset="0,0,0,0">
                <w:txbxContent>
                  <w:p>
                    <w:pPr>
                      <w:spacing w:before="67"/>
                      <w:ind w:left="146" w:right="0" w:firstLine="0"/>
                      <w:jc w:val="left"/>
                      <w:rPr>
                        <w:rFonts w:ascii="Arial"/>
                        <w:sz w:val="16"/>
                      </w:rPr>
                    </w:pPr>
                    <w:r>
                      <w:rPr>
                        <w:rFonts w:ascii="Arial"/>
                        <w:sz w:val="16"/>
                      </w:rPr>
                      <w:t>598.9</w:t>
                    </w:r>
                  </w:p>
                </w:txbxContent>
              </v:textbox>
              <w10:wrap type="none"/>
            </v:shape>
            <v:shape style="position:absolute;left:3283;top:2583;width:812;height:312" type="#_x0000_t202" filled="false" stroked="true" strokeweight="1.44pt" strokecolor="#000000">
              <v:textbox inset="0,0,0,0">
                <w:txbxContent>
                  <w:p>
                    <w:pPr>
                      <w:spacing w:before="67"/>
                      <w:ind w:left="145" w:right="0" w:firstLine="0"/>
                      <w:jc w:val="left"/>
                      <w:rPr>
                        <w:rFonts w:ascii="Arial"/>
                        <w:sz w:val="16"/>
                      </w:rPr>
                    </w:pPr>
                    <w:r>
                      <w:rPr>
                        <w:rFonts w:ascii="Arial"/>
                        <w:sz w:val="16"/>
                      </w:rPr>
                      <w:t>125.84</w:t>
                    </w:r>
                  </w:p>
                </w:txbxContent>
              </v:textbox>
              <w10:wrap type="none"/>
            </v:shape>
            <v:shape style="position:absolute;left:2054;top:2923;width:807;height:317" type="#_x0000_t202" filled="false" stroked="true" strokeweight="1.44pt" strokecolor="#000000">
              <v:textbox inset="0,0,0,0">
                <w:txbxContent>
                  <w:p>
                    <w:pPr>
                      <w:spacing w:before="72"/>
                      <w:ind w:left="145" w:right="0" w:firstLine="0"/>
                      <w:jc w:val="left"/>
                      <w:rPr>
                        <w:rFonts w:ascii="Arial"/>
                        <w:sz w:val="16"/>
                      </w:rPr>
                    </w:pPr>
                    <w:r>
                      <w:rPr>
                        <w:rFonts w:ascii="Arial"/>
                        <w:sz w:val="16"/>
                      </w:rPr>
                      <w:t>9.6</w:t>
                    </w:r>
                  </w:p>
                </w:txbxContent>
              </v:textbox>
              <w10:wrap type="none"/>
            </v:shape>
            <v:shape style="position:absolute;left:1094;top:3269;width:807;height:317" type="#_x0000_t202" filled="false" stroked="true" strokeweight="1.44pt" strokecolor="#000000">
              <v:textbox inset="0,0,0,0">
                <w:txbxContent>
                  <w:p>
                    <w:pPr>
                      <w:spacing w:before="67"/>
                      <w:ind w:left="145" w:right="0" w:firstLine="0"/>
                      <w:jc w:val="left"/>
                      <w:rPr>
                        <w:rFonts w:ascii="Arial"/>
                        <w:sz w:val="16"/>
                      </w:rPr>
                    </w:pPr>
                    <w:r>
                      <w:rPr>
                        <w:rFonts w:ascii="Arial"/>
                        <w:sz w:val="16"/>
                      </w:rPr>
                      <w:t>98.33</w:t>
                    </w:r>
                  </w:p>
                </w:txbxContent>
              </v:textbox>
              <w10:wrap type="none"/>
            </v:shape>
            <v:shape style="position:absolute;left:2952;top:3783;width:812;height:312" type="#_x0000_t202" filled="false" stroked="true" strokeweight="1.44pt" strokecolor="#000000">
              <v:textbox inset="0,0,0,0">
                <w:txbxContent>
                  <w:p>
                    <w:pPr>
                      <w:spacing w:before="67"/>
                      <w:ind w:left="145" w:right="0" w:firstLine="0"/>
                      <w:jc w:val="left"/>
                      <w:rPr>
                        <w:rFonts w:ascii="Arial"/>
                        <w:sz w:val="16"/>
                      </w:rPr>
                    </w:pPr>
                    <w:r>
                      <w:rPr>
                        <w:rFonts w:ascii="Arial"/>
                        <w:w w:val="98"/>
                        <w:sz w:val="16"/>
                      </w:rPr>
                      <w:t>0</w:t>
                    </w:r>
                  </w:p>
                </w:txbxContent>
              </v:textbox>
              <w10:wrap type="none"/>
            </v:shape>
            <v:shape style="position:absolute;left:5621;top:4469;width:812;height:317" type="#_x0000_t202" filled="false" stroked="true" strokeweight="1.44pt" strokecolor="#000000">
              <v:textbox inset="0,0,0,0">
                <w:txbxContent>
                  <w:p>
                    <w:pPr>
                      <w:spacing w:before="68"/>
                      <w:ind w:left="151" w:right="0" w:firstLine="0"/>
                      <w:jc w:val="left"/>
                      <w:rPr>
                        <w:rFonts w:ascii="Arial"/>
                        <w:sz w:val="16"/>
                      </w:rPr>
                    </w:pPr>
                    <w:r>
                      <w:rPr>
                        <w:rFonts w:ascii="Arial"/>
                        <w:sz w:val="16"/>
                      </w:rPr>
                      <w:t>98.33</w:t>
                    </w:r>
                  </w:p>
                </w:txbxContent>
              </v:textbox>
              <w10:wrap type="none"/>
            </v:shape>
          </v:group>
        </w:pict>
      </w:r>
      <w:r>
        <w:rPr>
          <w:sz w:val="20"/>
        </w:rPr>
      </w:r>
    </w:p>
    <w:p>
      <w:pPr>
        <w:pStyle w:val="BodyText"/>
        <w:spacing w:before="10"/>
        <w:rPr>
          <w:sz w:val="9"/>
        </w:rPr>
      </w:pPr>
    </w:p>
    <w:p>
      <w:pPr>
        <w:spacing w:before="72"/>
        <w:ind w:left="255" w:right="257" w:firstLine="0"/>
        <w:jc w:val="center"/>
        <w:rPr>
          <w:sz w:val="22"/>
        </w:rPr>
      </w:pPr>
      <w:r>
        <w:rPr/>
        <w:pict>
          <v:shape style="position:absolute;margin-left:117.839996pt;margin-top:-275.430481pt;width:376.6pt;height:267.850pt;mso-position-horizontal-relative:page;mso-position-vertical-relative:paragraph;z-index:-1037872" type="#_x0000_t202" filled="false" stroked="false">
            <v:textbox inset="0,0,0,0">
              <w:txbxContent>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8"/>
                    <w:rPr>
                      <w:sz w:val="28"/>
                    </w:rPr>
                  </w:pPr>
                </w:p>
                <w:p>
                  <w:pPr>
                    <w:spacing w:before="0"/>
                    <w:ind w:left="2262" w:right="0" w:firstLine="0"/>
                    <w:jc w:val="left"/>
                    <w:rPr>
                      <w:sz w:val="22"/>
                    </w:rPr>
                  </w:pPr>
                  <w:r>
                    <w:rPr>
                      <w:sz w:val="22"/>
                    </w:rPr>
                    <w:t>Fuente: Elaboración propia, 2014.</w:t>
                  </w:r>
                </w:p>
              </w:txbxContent>
            </v:textbox>
            <w10:wrap type="none"/>
          </v:shape>
        </w:pict>
      </w:r>
      <w:r>
        <w:rPr>
          <w:sz w:val="22"/>
        </w:rPr>
        <w:t>Fuente: Elaboración propia con base en Uribe, (2010)</w:t>
      </w:r>
    </w:p>
    <w:p>
      <w:pPr>
        <w:pStyle w:val="Heading1"/>
        <w:spacing w:before="3"/>
        <w:ind w:left="249" w:right="264"/>
        <w:jc w:val="center"/>
      </w:pPr>
      <w:bookmarkStart w:name="_bookmark103" w:id="154"/>
      <w:bookmarkEnd w:id="154"/>
      <w:r>
        <w:rPr>
          <w:b w:val="0"/>
        </w:rPr>
      </w:r>
      <w:r>
        <w:rPr/>
        <w:t>Figura 28. Ciclo del agua en la cuenca El Tejocote en un período de siete años.</w:t>
      </w:r>
    </w:p>
    <w:p>
      <w:pPr>
        <w:pStyle w:val="BodyText"/>
        <w:rPr>
          <w:b/>
        </w:rPr>
      </w:pPr>
    </w:p>
    <w:p>
      <w:pPr>
        <w:pStyle w:val="BodyText"/>
        <w:spacing w:before="2"/>
        <w:rPr>
          <w:b/>
          <w:sz w:val="30"/>
        </w:rPr>
      </w:pPr>
    </w:p>
    <w:p>
      <w:pPr>
        <w:pStyle w:val="BodyText"/>
        <w:spacing w:line="360" w:lineRule="auto"/>
        <w:ind w:left="116" w:right="119"/>
        <w:jc w:val="both"/>
      </w:pPr>
      <w:r>
        <w:rPr>
          <w:spacing w:val="-3"/>
        </w:rPr>
        <w:t>Al </w:t>
      </w:r>
      <w:r>
        <w:rPr/>
        <w:t>considerar ésta tres fuentes como las principales abastecedoras de los cuerpos de agua que son utilizados para el riego agrícola, los escurrimientos superficiales representan más del</w:t>
      </w:r>
      <w:r>
        <w:rPr>
          <w:spacing w:val="-6"/>
        </w:rPr>
        <w:t> </w:t>
      </w:r>
      <w:r>
        <w:rPr/>
        <w:t>16%</w:t>
      </w:r>
      <w:r>
        <w:rPr>
          <w:spacing w:val="-6"/>
        </w:rPr>
        <w:t> </w:t>
      </w:r>
      <w:r>
        <w:rPr/>
        <w:t>del</w:t>
      </w:r>
      <w:r>
        <w:rPr>
          <w:spacing w:val="-6"/>
        </w:rPr>
        <w:t> </w:t>
      </w:r>
      <w:r>
        <w:rPr/>
        <w:t>aporte,</w:t>
      </w:r>
      <w:r>
        <w:rPr>
          <w:spacing w:val="-4"/>
        </w:rPr>
        <w:t> </w:t>
      </w:r>
      <w:r>
        <w:rPr/>
        <w:t>por</w:t>
      </w:r>
      <w:r>
        <w:rPr>
          <w:spacing w:val="-6"/>
        </w:rPr>
        <w:t> </w:t>
      </w:r>
      <w:r>
        <w:rPr/>
        <w:t>tanto</w:t>
      </w:r>
      <w:r>
        <w:rPr>
          <w:spacing w:val="-11"/>
        </w:rPr>
        <w:t> </w:t>
      </w:r>
      <w:r>
        <w:rPr/>
        <w:t>la</w:t>
      </w:r>
      <w:r>
        <w:rPr>
          <w:spacing w:val="-6"/>
        </w:rPr>
        <w:t> </w:t>
      </w:r>
      <w:r>
        <w:rPr/>
        <w:t>necesidad</w:t>
      </w:r>
      <w:r>
        <w:rPr>
          <w:spacing w:val="-6"/>
        </w:rPr>
        <w:t> </w:t>
      </w:r>
      <w:r>
        <w:rPr/>
        <w:t>de</w:t>
      </w:r>
      <w:r>
        <w:rPr>
          <w:spacing w:val="-6"/>
        </w:rPr>
        <w:t> </w:t>
      </w:r>
      <w:r>
        <w:rPr/>
        <w:t>mejorar</w:t>
      </w:r>
      <w:r>
        <w:rPr>
          <w:spacing w:val="-6"/>
        </w:rPr>
        <w:t> </w:t>
      </w:r>
      <w:r>
        <w:rPr/>
        <w:t>las</w:t>
      </w:r>
      <w:r>
        <w:rPr>
          <w:spacing w:val="-6"/>
        </w:rPr>
        <w:t> </w:t>
      </w:r>
      <w:r>
        <w:rPr/>
        <w:t>prácticas</w:t>
      </w:r>
      <w:r>
        <w:rPr>
          <w:spacing w:val="-6"/>
        </w:rPr>
        <w:t> </w:t>
      </w:r>
      <w:r>
        <w:rPr/>
        <w:t>agrícolas</w:t>
      </w:r>
      <w:r>
        <w:rPr>
          <w:spacing w:val="-6"/>
        </w:rPr>
        <w:t> </w:t>
      </w:r>
      <w:r>
        <w:rPr/>
        <w:t>y</w:t>
      </w:r>
      <w:r>
        <w:rPr>
          <w:spacing w:val="-6"/>
        </w:rPr>
        <w:t> </w:t>
      </w:r>
      <w:r>
        <w:rPr/>
        <w:t>el</w:t>
      </w:r>
      <w:r>
        <w:rPr>
          <w:spacing w:val="-6"/>
        </w:rPr>
        <w:t> </w:t>
      </w:r>
      <w:r>
        <w:rPr/>
        <w:t>cambio</w:t>
      </w:r>
      <w:r>
        <w:rPr>
          <w:spacing w:val="-6"/>
        </w:rPr>
        <w:t> </w:t>
      </w:r>
      <w:r>
        <w:rPr/>
        <w:t>de cobertura del suelo es de suma</w:t>
      </w:r>
      <w:r>
        <w:rPr>
          <w:spacing w:val="-17"/>
        </w:rPr>
        <w:t> </w:t>
      </w:r>
      <w:r>
        <w:rPr/>
        <w:t>importancia.</w:t>
      </w:r>
    </w:p>
    <w:p>
      <w:pPr>
        <w:pStyle w:val="BodyText"/>
      </w:pPr>
    </w:p>
    <w:p>
      <w:pPr>
        <w:pStyle w:val="BodyText"/>
        <w:spacing w:line="360" w:lineRule="auto" w:before="151"/>
        <w:ind w:left="116" w:right="111"/>
        <w:jc w:val="both"/>
      </w:pPr>
      <w:r>
        <w:rPr/>
        <w:t>La Figura 29 exhibe la simulación que se realizó para la cuenca El Tejocote durante el periodo 2000-2006, es posible apreciar que los valores simulados se aproximan a los aforados por la estación hidrométrica El Tejocote. Como media se obtuvo un promedio aforado de 93.60 mm por año de escurrimiento, contra 101.85 mm arrojado por el modelo SWAT.</w:t>
      </w:r>
    </w:p>
    <w:p>
      <w:pPr>
        <w:spacing w:after="0" w:line="360" w:lineRule="auto"/>
        <w:jc w:val="both"/>
        <w:sectPr>
          <w:pgSz w:w="12240" w:h="15840"/>
          <w:pgMar w:header="0" w:footer="1473" w:top="1400" w:bottom="1660" w:left="1300" w:right="1300"/>
        </w:sectPr>
      </w:pPr>
    </w:p>
    <w:p>
      <w:pPr>
        <w:pStyle w:val="BodyText"/>
        <w:rPr>
          <w:sz w:val="20"/>
        </w:rPr>
      </w:pPr>
      <w:r>
        <w:rPr/>
        <w:pict>
          <v:shape style="position:absolute;margin-left:84.925995pt;margin-top:112.393715pt;width:14.05pt;height:99pt;mso-position-horizontal-relative:page;mso-position-vertical-relative:page;z-index:5248" type="#_x0000_t202" filled="false" stroked="false">
            <v:textbox inset="0,0,0,0" style="layout-flow:vertical;mso-layout-flow-alt:bottom-to-top">
              <w:txbxContent>
                <w:p>
                  <w:pPr>
                    <w:spacing w:line="265" w:lineRule="exact" w:before="0"/>
                    <w:ind w:left="20" w:right="-1104" w:firstLine="0"/>
                    <w:jc w:val="left"/>
                    <w:rPr>
                      <w:rFonts w:ascii="Calibri"/>
                      <w:sz w:val="24"/>
                    </w:rPr>
                  </w:pPr>
                  <w:r>
                    <w:rPr>
                      <w:rFonts w:ascii="Calibri"/>
                      <w:spacing w:val="-3"/>
                      <w:w w:val="100"/>
                      <w:sz w:val="24"/>
                    </w:rPr>
                    <w:t>E</w:t>
                  </w:r>
                  <w:r>
                    <w:rPr>
                      <w:rFonts w:ascii="Calibri"/>
                      <w:spacing w:val="1"/>
                      <w:w w:val="100"/>
                      <w:sz w:val="24"/>
                    </w:rPr>
                    <w:t>s</w:t>
                  </w:r>
                  <w:r>
                    <w:rPr>
                      <w:rFonts w:ascii="Calibri"/>
                      <w:spacing w:val="-1"/>
                      <w:w w:val="100"/>
                      <w:sz w:val="24"/>
                    </w:rPr>
                    <w:t>c</w:t>
                  </w:r>
                  <w:r>
                    <w:rPr>
                      <w:rFonts w:ascii="Calibri"/>
                      <w:spacing w:val="-2"/>
                      <w:w w:val="100"/>
                      <w:sz w:val="24"/>
                    </w:rPr>
                    <w:t>u</w:t>
                  </w:r>
                  <w:r>
                    <w:rPr>
                      <w:rFonts w:ascii="Calibri"/>
                      <w:spacing w:val="-3"/>
                      <w:w w:val="100"/>
                      <w:sz w:val="24"/>
                    </w:rPr>
                    <w:t>rri</w:t>
                  </w:r>
                  <w:r>
                    <w:rPr>
                      <w:rFonts w:ascii="Calibri"/>
                      <w:w w:val="100"/>
                      <w:sz w:val="24"/>
                    </w:rPr>
                    <w:t>m</w:t>
                  </w:r>
                  <w:r>
                    <w:rPr>
                      <w:rFonts w:ascii="Calibri"/>
                      <w:spacing w:val="-3"/>
                      <w:w w:val="100"/>
                      <w:sz w:val="24"/>
                    </w:rPr>
                    <w:t>i</w:t>
                  </w:r>
                  <w:r>
                    <w:rPr>
                      <w:rFonts w:ascii="Calibri"/>
                      <w:w w:val="100"/>
                      <w:sz w:val="24"/>
                    </w:rPr>
                    <w:t>e</w:t>
                  </w:r>
                  <w:r>
                    <w:rPr>
                      <w:rFonts w:ascii="Calibri"/>
                      <w:spacing w:val="-2"/>
                      <w:w w:val="100"/>
                      <w:sz w:val="24"/>
                    </w:rPr>
                    <w:t>n</w:t>
                  </w:r>
                  <w:r>
                    <w:rPr>
                      <w:rFonts w:ascii="Calibri"/>
                      <w:w w:val="100"/>
                      <w:sz w:val="24"/>
                    </w:rPr>
                    <w:t>to</w:t>
                  </w:r>
                  <w:r>
                    <w:rPr>
                      <w:rFonts w:ascii="Calibri"/>
                      <w:spacing w:val="5"/>
                      <w:sz w:val="24"/>
                    </w:rPr>
                    <w:t> </w:t>
                  </w:r>
                  <w:r>
                    <w:rPr>
                      <w:rFonts w:ascii="Calibri"/>
                      <w:spacing w:val="-1"/>
                      <w:w w:val="100"/>
                      <w:sz w:val="24"/>
                    </w:rPr>
                    <w:t>(</w:t>
                  </w:r>
                  <w:r>
                    <w:rPr>
                      <w:rFonts w:ascii="Calibri"/>
                      <w:w w:val="100"/>
                      <w:sz w:val="24"/>
                    </w:rPr>
                    <w:t>mm)</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5"/>
        </w:rPr>
      </w:pPr>
    </w:p>
    <w:p>
      <w:pPr>
        <w:spacing w:before="73"/>
        <w:ind w:left="3301" w:right="4599" w:firstLine="0"/>
        <w:jc w:val="center"/>
        <w:rPr>
          <w:sz w:val="22"/>
        </w:rPr>
      </w:pPr>
      <w:r>
        <w:rPr/>
        <w:pict>
          <v:group style="position:absolute;margin-left:70.320pt;margin-top:-255.94046pt;width:471.4pt;height:244.6pt;mso-position-horizontal-relative:page;mso-position-vertical-relative:paragraph;z-index:5224" coordorigin="1406,-5119" coordsize="9428,4892">
            <v:shape style="position:absolute;left:2450;top:-3115;width:8098;height:1056" coordorigin="2450,-3115" coordsize="8098,1056" path="m2450,-2059l10548,-2059m2450,-2409l10548,-2409m2450,-2764l10548,-2764m2450,-3115l10548,-3115e" filled="false" stroked="true" strokeweight=".72pt" strokecolor="#404040">
              <v:path arrowok="t"/>
            </v:shape>
            <v:line style="position:absolute" from="2450,-1708" to="10548,-1708" stroked="true" strokeweight=".72pt" strokecolor="#d9d9d9"/>
            <v:shape style="position:absolute;left:2498;top:-3302;width:8002;height:1584" coordorigin="2498,-3302" coordsize="8002,1584" path="m2498,-1723l2594,-1718,2690,-1718,2786,-1728,2882,-1771,2978,-2136,3074,-2164,3170,-2068,3266,-2256,3362,-2164,3458,-1824,3559,-1824,3655,-1819,3751,-1814,3847,-1809,3943,-1814,4039,-1881,4135,-2438,4231,-2491,4327,-2510,4423,-2217,4519,-1987,4615,-1968,4716,-1953,4812,-1934,4908,-1920,5004,-1891,5100,-1886,5196,-1982,5292,-3302,5388,-2380,5484,-2140,5580,-2323,5676,-2668,5777,-2006,5873,-1977,5969,-1968,6065,-1953,6161,-1924,6257,-1934,6353,-1958,6449,-2164,6545,-2280,6641,-2188,6737,-2313,6833,-1958,6934,-1881,7030,-1872,7126,-1862,7222,-1838,7318,-1833,7414,-1838,7510,-1848,7606,-2270,7702,-2145,7798,-2193,7894,-2203,7994,-1982,8090,-1876,8186,-1867,8282,-1852,8378,-1857,8474,-1838,8570,-1824,8666,-1828,8762,-1819,8858,-2088,8954,-2025,9055,-1996,9151,-1867,9247,-1790,9343,-1776,9439,-1766,9535,-1756,9631,-1752,9727,-1756,9823,-1785,9919,-1852,10015,-2097,10111,-2232,10212,-2150,10308,-2649,10404,-1886,10500,-1862e" filled="false" stroked="true" strokeweight="2.16pt" strokecolor="#7e7e7e">
              <v:path arrowok="t"/>
            </v:shape>
            <v:shape style="position:absolute;left:2450;top:-4521;width:8098;height:1056" coordorigin="2450,-4521" coordsize="8098,1056" path="m2450,-3465l10548,-3465m2450,-3816l10548,-3816m2450,-4171l10548,-4171m2450,-4521l10548,-4521e" filled="false" stroked="true" strokeweight=".72pt" strokecolor="#404040">
              <v:path arrowok="t"/>
            </v:shape>
            <v:shape style="position:absolute;left:2498;top:-4636;width:8002;height:2928" coordorigin="2498,-4636" coordsize="8002,2928" path="m2498,-1718l2594,-1708,2690,-1708,2786,-1713,2882,-1732,2978,-2164,3074,-1766,3170,-2016,3266,-1828,3362,-1747,3458,-1723,3559,-1718,3655,-1713,3751,-1708,3847,-1713,3943,-1718,4039,-1728,4135,-1944,4231,-3672,4327,-2438,4423,-3086,4519,-1848,4615,-1747,4716,-1742,4812,-1728,4908,-1713,5004,-1713,5100,-1718,5196,-1728,5292,-1992,5388,-2265,5484,-2174,5580,-2942,5676,-2289,5777,-1766,5873,-1752,5969,-1732,6065,-1723,6161,-1713,6257,-1723,6353,-1718,6449,-1780,6545,-2044,6641,-1944,6737,-4636,6833,-4396,6934,-1708,7030,-1795,7126,-1761,7222,-1718,7318,-1718,7414,-1723,7510,-1732,7606,-2616,7702,-2500,7798,-2640,7894,-3350,7994,-1992,8090,-1766,8186,-1737,8282,-1732,8378,-1713,8474,-1718,8570,-1713,8666,-1718,8762,-1713,8858,-1833,8954,-1944,9055,-2644,9151,-1785,9247,-1742,9343,-1732,9439,-1718,9535,-1713,9631,-1708,9727,-1713,9823,-1728,9919,-1728,10015,-1780,10111,-2059,10212,-2112,10308,-1968,10404,-1920,10500,-1776e" filled="false" stroked="true" strokeweight="2.16pt" strokecolor="#000000">
              <v:path arrowok="t"/>
            </v:shape>
            <v:line style="position:absolute" from="2450,-4872" to="10548,-4872" stroked="true" strokeweight=".72pt" strokecolor="#404040"/>
            <v:line style="position:absolute" from="4759,-528" to="5143,-528" stroked="true" strokeweight="2.16pt" strokecolor="#7e7e7e"/>
            <v:line style="position:absolute" from="6310,-528" to="6694,-528" stroked="true" strokeweight="2.16pt" strokecolor="#000000"/>
            <v:rect style="position:absolute;left:1418;top:-5107;width:9403;height:4867" filled="false" stroked="true" strokeweight="1.2pt" strokecolor="#000000"/>
            <v:shape style="position:absolute;left:2022;top:-4973;width:224;height:3388" type="#_x0000_t202" filled="false" stroked="false">
              <v:textbox inset="0,0,0,0">
                <w:txbxContent>
                  <w:p>
                    <w:pPr>
                      <w:spacing w:line="225" w:lineRule="exact" w:before="0"/>
                      <w:ind w:left="0" w:right="0" w:firstLine="0"/>
                      <w:jc w:val="center"/>
                      <w:rPr>
                        <w:rFonts w:ascii="Calibri"/>
                        <w:sz w:val="22"/>
                      </w:rPr>
                    </w:pPr>
                    <w:r>
                      <w:rPr>
                        <w:rFonts w:ascii="Calibri"/>
                        <w:sz w:val="22"/>
                      </w:rPr>
                      <w:t>90</w:t>
                    </w:r>
                  </w:p>
                  <w:p>
                    <w:pPr>
                      <w:spacing w:before="83"/>
                      <w:ind w:left="0" w:right="0" w:firstLine="0"/>
                      <w:jc w:val="center"/>
                      <w:rPr>
                        <w:rFonts w:ascii="Calibri"/>
                        <w:sz w:val="22"/>
                      </w:rPr>
                    </w:pPr>
                    <w:r>
                      <w:rPr>
                        <w:rFonts w:ascii="Calibri"/>
                        <w:sz w:val="22"/>
                      </w:rPr>
                      <w:t>80</w:t>
                    </w:r>
                  </w:p>
                  <w:p>
                    <w:pPr>
                      <w:spacing w:before="83"/>
                      <w:ind w:left="0" w:right="0" w:firstLine="0"/>
                      <w:jc w:val="center"/>
                      <w:rPr>
                        <w:rFonts w:ascii="Calibri"/>
                        <w:sz w:val="22"/>
                      </w:rPr>
                    </w:pPr>
                    <w:r>
                      <w:rPr>
                        <w:rFonts w:ascii="Calibri"/>
                        <w:sz w:val="22"/>
                      </w:rPr>
                      <w:t>70</w:t>
                    </w:r>
                  </w:p>
                  <w:p>
                    <w:pPr>
                      <w:spacing w:before="83"/>
                      <w:ind w:left="0" w:right="0" w:firstLine="0"/>
                      <w:jc w:val="center"/>
                      <w:rPr>
                        <w:rFonts w:ascii="Calibri"/>
                        <w:sz w:val="22"/>
                      </w:rPr>
                    </w:pPr>
                    <w:r>
                      <w:rPr>
                        <w:rFonts w:ascii="Calibri"/>
                        <w:sz w:val="22"/>
                      </w:rPr>
                      <w:t>60</w:t>
                    </w:r>
                  </w:p>
                  <w:p>
                    <w:pPr>
                      <w:spacing w:before="83"/>
                      <w:ind w:left="0" w:right="0" w:firstLine="0"/>
                      <w:jc w:val="center"/>
                      <w:rPr>
                        <w:rFonts w:ascii="Calibri"/>
                        <w:sz w:val="22"/>
                      </w:rPr>
                    </w:pPr>
                    <w:r>
                      <w:rPr>
                        <w:rFonts w:ascii="Calibri"/>
                        <w:sz w:val="22"/>
                      </w:rPr>
                      <w:t>50</w:t>
                    </w:r>
                  </w:p>
                  <w:p>
                    <w:pPr>
                      <w:spacing w:before="83"/>
                      <w:ind w:left="0" w:right="0" w:firstLine="0"/>
                      <w:jc w:val="center"/>
                      <w:rPr>
                        <w:rFonts w:ascii="Calibri"/>
                        <w:sz w:val="22"/>
                      </w:rPr>
                    </w:pPr>
                    <w:r>
                      <w:rPr>
                        <w:rFonts w:ascii="Calibri"/>
                        <w:sz w:val="22"/>
                      </w:rPr>
                      <w:t>40</w:t>
                    </w:r>
                  </w:p>
                  <w:p>
                    <w:pPr>
                      <w:spacing w:before="83"/>
                      <w:ind w:left="0" w:right="0" w:firstLine="0"/>
                      <w:jc w:val="center"/>
                      <w:rPr>
                        <w:rFonts w:ascii="Calibri"/>
                        <w:sz w:val="22"/>
                      </w:rPr>
                    </w:pPr>
                    <w:r>
                      <w:rPr>
                        <w:rFonts w:ascii="Calibri"/>
                        <w:sz w:val="22"/>
                      </w:rPr>
                      <w:t>30</w:t>
                    </w:r>
                  </w:p>
                  <w:p>
                    <w:pPr>
                      <w:spacing w:before="83"/>
                      <w:ind w:left="0" w:right="0" w:firstLine="0"/>
                      <w:jc w:val="center"/>
                      <w:rPr>
                        <w:rFonts w:ascii="Calibri"/>
                        <w:sz w:val="22"/>
                      </w:rPr>
                    </w:pPr>
                    <w:r>
                      <w:rPr>
                        <w:rFonts w:ascii="Calibri"/>
                        <w:sz w:val="22"/>
                      </w:rPr>
                      <w:t>20</w:t>
                    </w:r>
                  </w:p>
                  <w:p>
                    <w:pPr>
                      <w:spacing w:before="83"/>
                      <w:ind w:left="0" w:right="0" w:firstLine="0"/>
                      <w:jc w:val="center"/>
                      <w:rPr>
                        <w:rFonts w:ascii="Calibri"/>
                        <w:sz w:val="22"/>
                      </w:rPr>
                    </w:pPr>
                    <w:r>
                      <w:rPr>
                        <w:rFonts w:ascii="Calibri"/>
                        <w:sz w:val="22"/>
                      </w:rPr>
                      <w:t>10</w:t>
                    </w:r>
                  </w:p>
                  <w:p>
                    <w:pPr>
                      <w:spacing w:line="265" w:lineRule="exact" w:before="83"/>
                      <w:ind w:left="111" w:right="0" w:firstLine="0"/>
                      <w:jc w:val="center"/>
                      <w:rPr>
                        <w:rFonts w:ascii="Calibri"/>
                        <w:sz w:val="22"/>
                      </w:rPr>
                    </w:pPr>
                    <w:r>
                      <w:rPr>
                        <w:rFonts w:ascii="Calibri"/>
                        <w:w w:val="100"/>
                        <w:sz w:val="22"/>
                      </w:rPr>
                      <w:t>0</w:t>
                    </w:r>
                  </w:p>
                </w:txbxContent>
              </v:textbox>
              <w10:wrap type="none"/>
            </v:shape>
            <v:shape style="position:absolute;left:2441;top:-1520;width:7979;height:574" type="#_x0000_t202" filled="false" stroked="false">
              <v:textbox inset="0,0,0,0">
                <w:txbxContent>
                  <w:p>
                    <w:pPr>
                      <w:spacing w:line="225" w:lineRule="exact" w:before="0"/>
                      <w:ind w:left="0" w:right="0" w:firstLine="0"/>
                      <w:jc w:val="center"/>
                      <w:rPr>
                        <w:rFonts w:ascii="Calibri"/>
                        <w:sz w:val="22"/>
                      </w:rPr>
                    </w:pPr>
                    <w:r>
                      <w:rPr>
                        <w:rFonts w:ascii="Calibri"/>
                        <w:sz w:val="22"/>
                      </w:rPr>
                      <w:t>1    4           7  10 13 16 19 22 25 28 31 34 37 40 43 46 49 52 55 58 61 64 67 70 73 76 79 82</w:t>
                    </w:r>
                  </w:p>
                  <w:p>
                    <w:pPr>
                      <w:spacing w:line="289" w:lineRule="exact" w:before="60"/>
                      <w:ind w:left="138" w:right="0" w:firstLine="0"/>
                      <w:jc w:val="center"/>
                      <w:rPr>
                        <w:rFonts w:ascii="Calibri"/>
                        <w:sz w:val="24"/>
                      </w:rPr>
                    </w:pPr>
                    <w:r>
                      <w:rPr>
                        <w:rFonts w:ascii="Calibri"/>
                        <w:sz w:val="24"/>
                      </w:rPr>
                      <w:t>Meses</w:t>
                    </w:r>
                  </w:p>
                </w:txbxContent>
              </v:textbox>
              <w10:wrap type="none"/>
            </v:shape>
            <v:shape style="position:absolute;left:5186;top:-610;width:891;height:183" type="#_x0000_t202" filled="false" stroked="false">
              <v:textbox inset="0,0,0,0">
                <w:txbxContent>
                  <w:p>
                    <w:pPr>
                      <w:spacing w:line="183" w:lineRule="exact" w:before="0"/>
                      <w:ind w:left="0" w:right="-19" w:firstLine="0"/>
                      <w:jc w:val="left"/>
                      <w:rPr>
                        <w:rFonts w:ascii="Calibri"/>
                        <w:sz w:val="18"/>
                      </w:rPr>
                    </w:pPr>
                    <w:r>
                      <w:rPr>
                        <w:rFonts w:ascii="Calibri"/>
                        <w:color w:val="585858"/>
                        <w:sz w:val="18"/>
                      </w:rPr>
                      <w:t>SIMULADOS</w:t>
                    </w:r>
                  </w:p>
                </w:txbxContent>
              </v:textbox>
              <w10:wrap type="none"/>
            </v:shape>
            <v:shape style="position:absolute;left:6735;top:-610;width:824;height:183" type="#_x0000_t202" filled="false" stroked="false">
              <v:textbox inset="0,0,0,0">
                <w:txbxContent>
                  <w:p>
                    <w:pPr>
                      <w:spacing w:line="183" w:lineRule="exact" w:before="0"/>
                      <w:ind w:left="0" w:right="-17" w:firstLine="0"/>
                      <w:jc w:val="left"/>
                      <w:rPr>
                        <w:rFonts w:ascii="Calibri"/>
                        <w:sz w:val="18"/>
                      </w:rPr>
                    </w:pPr>
                    <w:r>
                      <w:rPr>
                        <w:rFonts w:ascii="Calibri"/>
                        <w:color w:val="585858"/>
                        <w:sz w:val="18"/>
                      </w:rPr>
                      <w:t>AFORADOS</w:t>
                    </w:r>
                  </w:p>
                </w:txbxContent>
              </v:textbox>
              <w10:wrap type="none"/>
            </v:shape>
            <w10:wrap type="none"/>
          </v:group>
        </w:pict>
      </w:r>
      <w:r>
        <w:rPr>
          <w:sz w:val="22"/>
        </w:rPr>
        <w:t>Fuente: Elaboración propia, 2014.</w:t>
      </w:r>
    </w:p>
    <w:p>
      <w:pPr>
        <w:pStyle w:val="Heading1"/>
        <w:spacing w:line="292" w:lineRule="exact" w:before="16"/>
        <w:ind w:left="116" w:right="1421" w:firstLine="3"/>
        <w:jc w:val="center"/>
      </w:pPr>
      <w:bookmarkStart w:name="_bookmark104" w:id="155"/>
      <w:bookmarkEnd w:id="155"/>
      <w:r>
        <w:rPr>
          <w:b w:val="0"/>
        </w:rPr>
      </w:r>
      <w:r>
        <w:rPr/>
        <w:t>Figura 29. Dinámica y magnitud de la producción de escurrimientos medidos y simulados en la cuenca El Tejocote con el modelo SWAT en un período de siete años.</w:t>
      </w:r>
    </w:p>
    <w:p>
      <w:pPr>
        <w:pStyle w:val="BodyText"/>
        <w:rPr>
          <w:b/>
        </w:rPr>
      </w:pPr>
    </w:p>
    <w:p>
      <w:pPr>
        <w:pStyle w:val="BodyText"/>
        <w:spacing w:before="5"/>
        <w:rPr>
          <w:b/>
          <w:sz w:val="30"/>
        </w:rPr>
      </w:pPr>
    </w:p>
    <w:p>
      <w:pPr>
        <w:pStyle w:val="BodyText"/>
        <w:spacing w:line="360" w:lineRule="auto"/>
        <w:ind w:left="116" w:right="1410"/>
        <w:jc w:val="both"/>
      </w:pPr>
      <w:r>
        <w:rPr>
          <w:spacing w:val="-3"/>
        </w:rPr>
        <w:t>La </w:t>
      </w:r>
      <w:r>
        <w:rPr/>
        <w:t>Figura 30 presenta el análisis de regresión de los datos simulados y aforados. </w:t>
      </w:r>
      <w:r>
        <w:rPr>
          <w:spacing w:val="-3"/>
        </w:rPr>
        <w:t>La </w:t>
      </w:r>
      <w:r>
        <w:rPr/>
        <w:t>pendiente de la recta y el r</w:t>
      </w:r>
      <w:r>
        <w:rPr>
          <w:position w:val="9"/>
          <w:sz w:val="17"/>
        </w:rPr>
        <w:t>2 </w:t>
      </w:r>
      <w:r>
        <w:rPr/>
        <w:t>demuestran que la producción de agua simulada y aforada sólo tiene un porcentaje de correlación de 46% y </w:t>
      </w:r>
      <w:r>
        <w:rPr>
          <w:spacing w:val="-3"/>
        </w:rPr>
        <w:t>de </w:t>
      </w:r>
      <w:r>
        <w:rPr/>
        <w:t>26% para la pendiente de la recta. Por lo que</w:t>
      </w:r>
      <w:r>
        <w:rPr>
          <w:spacing w:val="-16"/>
        </w:rPr>
        <w:t> </w:t>
      </w:r>
      <w:r>
        <w:rPr/>
        <w:t>los</w:t>
      </w:r>
      <w:r>
        <w:rPr>
          <w:spacing w:val="-16"/>
        </w:rPr>
        <w:t> </w:t>
      </w:r>
      <w:r>
        <w:rPr/>
        <w:t>resultados</w:t>
      </w:r>
      <w:r>
        <w:rPr>
          <w:spacing w:val="-15"/>
        </w:rPr>
        <w:t> </w:t>
      </w:r>
      <w:r>
        <w:rPr/>
        <w:t>quizás</w:t>
      </w:r>
      <w:r>
        <w:rPr>
          <w:spacing w:val="-15"/>
        </w:rPr>
        <w:t> </w:t>
      </w:r>
      <w:r>
        <w:rPr/>
        <w:t>no</w:t>
      </w:r>
      <w:r>
        <w:rPr>
          <w:spacing w:val="-16"/>
        </w:rPr>
        <w:t> </w:t>
      </w:r>
      <w:r>
        <w:rPr/>
        <w:t>son</w:t>
      </w:r>
      <w:r>
        <w:rPr>
          <w:spacing w:val="-16"/>
        </w:rPr>
        <w:t> </w:t>
      </w:r>
      <w:r>
        <w:rPr/>
        <w:t>muy</w:t>
      </w:r>
      <w:r>
        <w:rPr>
          <w:spacing w:val="-16"/>
        </w:rPr>
        <w:t> </w:t>
      </w:r>
      <w:r>
        <w:rPr/>
        <w:t>favorables</w:t>
      </w:r>
      <w:r>
        <w:rPr>
          <w:spacing w:val="-16"/>
        </w:rPr>
        <w:t> </w:t>
      </w:r>
      <w:r>
        <w:rPr/>
        <w:t>debido</w:t>
      </w:r>
      <w:r>
        <w:rPr>
          <w:spacing w:val="-16"/>
        </w:rPr>
        <w:t> </w:t>
      </w:r>
      <w:r>
        <w:rPr/>
        <w:t>a</w:t>
      </w:r>
      <w:r>
        <w:rPr>
          <w:spacing w:val="-16"/>
        </w:rPr>
        <w:t> </w:t>
      </w:r>
      <w:r>
        <w:rPr/>
        <w:t>la</w:t>
      </w:r>
      <w:r>
        <w:rPr>
          <w:spacing w:val="-16"/>
        </w:rPr>
        <w:t> </w:t>
      </w:r>
      <w:r>
        <w:rPr/>
        <w:t>falta</w:t>
      </w:r>
      <w:r>
        <w:rPr>
          <w:spacing w:val="-20"/>
        </w:rPr>
        <w:t> </w:t>
      </w:r>
      <w:r>
        <w:rPr/>
        <w:t>de</w:t>
      </w:r>
      <w:r>
        <w:rPr>
          <w:spacing w:val="-16"/>
        </w:rPr>
        <w:t> </w:t>
      </w:r>
      <w:r>
        <w:rPr/>
        <w:t>información</w:t>
      </w:r>
      <w:r>
        <w:rPr>
          <w:spacing w:val="-16"/>
        </w:rPr>
        <w:t> </w:t>
      </w:r>
      <w:r>
        <w:rPr/>
        <w:t>disponible, aspecto</w:t>
      </w:r>
      <w:r>
        <w:rPr>
          <w:spacing w:val="-11"/>
        </w:rPr>
        <w:t> </w:t>
      </w:r>
      <w:r>
        <w:rPr/>
        <w:t>que</w:t>
      </w:r>
      <w:r>
        <w:rPr>
          <w:spacing w:val="-11"/>
        </w:rPr>
        <w:t> </w:t>
      </w:r>
      <w:r>
        <w:rPr/>
        <w:t>debe</w:t>
      </w:r>
      <w:r>
        <w:rPr>
          <w:spacing w:val="-11"/>
        </w:rPr>
        <w:t> </w:t>
      </w:r>
      <w:r>
        <w:rPr/>
        <w:t>considerarse</w:t>
      </w:r>
      <w:r>
        <w:rPr>
          <w:spacing w:val="-11"/>
        </w:rPr>
        <w:t> </w:t>
      </w:r>
      <w:r>
        <w:rPr/>
        <w:t>para</w:t>
      </w:r>
      <w:r>
        <w:rPr>
          <w:spacing w:val="-16"/>
        </w:rPr>
        <w:t> </w:t>
      </w:r>
      <w:r>
        <w:rPr/>
        <w:t>futuras</w:t>
      </w:r>
      <w:r>
        <w:rPr>
          <w:spacing w:val="-11"/>
        </w:rPr>
        <w:t> </w:t>
      </w:r>
      <w:r>
        <w:rPr/>
        <w:t>simulaciones,</w:t>
      </w:r>
      <w:r>
        <w:rPr>
          <w:spacing w:val="-9"/>
        </w:rPr>
        <w:t> </w:t>
      </w:r>
      <w:r>
        <w:rPr/>
        <w:t>es</w:t>
      </w:r>
      <w:r>
        <w:rPr>
          <w:spacing w:val="-11"/>
        </w:rPr>
        <w:t> </w:t>
      </w:r>
      <w:r>
        <w:rPr/>
        <w:t>probable</w:t>
      </w:r>
      <w:r>
        <w:rPr>
          <w:spacing w:val="-16"/>
        </w:rPr>
        <w:t> </w:t>
      </w:r>
      <w:r>
        <w:rPr/>
        <w:t>que</w:t>
      </w:r>
      <w:r>
        <w:rPr>
          <w:spacing w:val="-11"/>
        </w:rPr>
        <w:t> </w:t>
      </w:r>
      <w:r>
        <w:rPr/>
        <w:t>quizás</w:t>
      </w:r>
      <w:r>
        <w:rPr>
          <w:spacing w:val="-11"/>
        </w:rPr>
        <w:t> </w:t>
      </w:r>
      <w:r>
        <w:rPr/>
        <w:t>un</w:t>
      </w:r>
      <w:r>
        <w:rPr>
          <w:spacing w:val="-16"/>
        </w:rPr>
        <w:t> </w:t>
      </w:r>
      <w:r>
        <w:rPr/>
        <w:t>periodo de ejecución más largo arroje también mejores</w:t>
      </w:r>
      <w:r>
        <w:rPr>
          <w:spacing w:val="-10"/>
        </w:rPr>
        <w:t> </w:t>
      </w:r>
      <w:r>
        <w:rPr/>
        <w:t>respuestas.</w:t>
      </w:r>
    </w:p>
    <w:p>
      <w:pPr>
        <w:spacing w:after="0" w:line="360" w:lineRule="auto"/>
        <w:jc w:val="both"/>
        <w:sectPr>
          <w:footerReference w:type="default" r:id="rId133"/>
          <w:pgSz w:w="12240" w:h="15840"/>
          <w:pgMar w:footer="1473" w:header="0" w:top="1400" w:bottom="1660" w:left="130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3"/>
        </w:rPr>
      </w:pPr>
    </w:p>
    <w:p>
      <w:pPr>
        <w:spacing w:before="72"/>
        <w:ind w:left="3561" w:right="4599" w:firstLine="0"/>
        <w:jc w:val="center"/>
        <w:rPr>
          <w:sz w:val="22"/>
        </w:rPr>
      </w:pPr>
      <w:r>
        <w:rPr/>
        <w:pict>
          <v:group style="position:absolute;margin-left:72.239998pt;margin-top:-289.110443pt;width:466.8pt;height:277.95pt;mso-position-horizontal-relative:page;mso-position-vertical-relative:paragraph;z-index:5536" coordorigin="1445,-5782" coordsize="9336,5559">
            <v:shape style="position:absolute;left:2575;top:-5535;width:7906;height:4728" coordorigin="2575,-5535" coordsize="7906,4728" path="m2575,-807l10481,-807m2575,-1753l10481,-1753m2575,-2228l10481,-2228m2575,-2698l10481,-2698m2575,-3173l10481,-3173m2575,-3644l10481,-3644m2575,-4119l10481,-4119m2575,-4589l10481,-4589m2575,-5065l10481,-5065m2575,-5535l10481,-5535e" filled="false" stroked="true" strokeweight=".72pt" strokecolor="#767070">
              <v:path arrowok="t"/>
            </v:shape>
            <v:shape style="position:absolute;left:4154;top:-5535;width:6327;height:4728" coordorigin="4154,-5535" coordsize="6327,4728" path="m4154,-5535l4154,-807m5738,-5535l5738,-807m7318,-5535l7318,-807m8897,-5535l8897,-807m10481,-5535l10481,-807e" filled="false" stroked="true" strokeweight=".72pt" strokecolor="#3a3838">
              <v:path arrowok="t"/>
            </v:shape>
            <v:shape style="position:absolute;left:2575;top:-5535;width:7906;height:4728" coordorigin="2575,-5535" coordsize="7906,4728" path="m2575,-807l10481,-807,10481,-5535,2575,-5535,2575,-807xm2575,-807l2575,-5535m2575,-1282l10481,-1282e" filled="false" stroked="true" strokeweight=".72pt" strokecolor="#bebebe">
              <v:path arrowok="t"/>
            </v:shape>
            <v:shape style="position:absolute;left:2591;top:-1343;width:96;height:96" coordorigin="2591,-1343" coordsize="96,96" path="m2639,-1343l2620,-1339,2605,-1329,2595,-1313,2591,-1295,2595,-1276,2605,-1261,2620,-1250,2639,-1247,2658,-1250,2673,-1261,2683,-1276,2687,-1295,2683,-1313,2673,-1329,2658,-1339,2639,-1343xe" filled="true" fillcolor="#000000" stroked="false">
              <v:path arrowok="t"/>
              <v:fill type="solid"/>
            </v:shape>
            <v:shape style="position:absolute;left:2591;top:-1343;width:96;height:96" coordorigin="2591,-1343" coordsize="96,96" path="m2687,-1295l2683,-1276,2673,-1261,2658,-1250,2639,-1247,2620,-1250,2605,-1261,2595,-1276,2591,-1295,2595,-1313,2605,-1329,2620,-1339,2639,-1343,2658,-1339,2673,-1329,2683,-1313,2687,-1295xe" filled="false" stroked="true" strokeweight=".72pt" strokecolor="#a4a4a4">
              <v:path arrowok="t"/>
            </v:shape>
            <v:shape style="position:absolute;left:2577;top:-1333;width:96;height:96" coordorigin="2577,-1333" coordsize="96,96" path="m2625,-1333l2606,-1329,2591,-1319,2581,-1304,2577,-1285,2581,-1266,2591,-1251,2606,-1241,2625,-1237,2644,-1241,2659,-1251,2669,-1266,2673,-1285,2669,-1304,2659,-1319,2644,-1329,2625,-1333xe" filled="true" fillcolor="#000000" stroked="false">
              <v:path arrowok="t"/>
              <v:fill type="solid"/>
            </v:shape>
            <v:shape style="position:absolute;left:2577;top:-1333;width:96;height:96" coordorigin="2577,-1333" coordsize="96,96" path="m2673,-1285l2669,-1266,2659,-1251,2644,-1241,2625,-1237,2606,-1241,2591,-1251,2581,-1266,2577,-1285,2581,-1304,2591,-1319,2606,-1329,2625,-1333,2644,-1329,2659,-1319,2669,-1304,2673,-1285xe" filled="false" stroked="true" strokeweight=".72pt" strokecolor="#a4a4a4">
              <v:path arrowok="t"/>
            </v:shape>
            <v:shape style="position:absolute;left:2582;top:-1333;width:96;height:96" coordorigin="2582,-1333" coordsize="96,96" path="m2630,-1333l2611,-1329,2596,-1319,2585,-1304,2582,-1285,2585,-1266,2596,-1251,2611,-1241,2630,-1237,2648,-1241,2664,-1251,2674,-1266,2678,-1285,2674,-1304,2664,-1319,2648,-1329,2630,-1333xe" filled="true" fillcolor="#000000" stroked="false">
              <v:path arrowok="t"/>
              <v:fill type="solid"/>
            </v:shape>
            <v:shape style="position:absolute;left:2582;top:-1333;width:96;height:96" coordorigin="2582,-1333" coordsize="96,96" path="m2678,-1285l2674,-1266,2664,-1251,2648,-1241,2630,-1237,2611,-1241,2596,-1251,2585,-1266,2582,-1285,2585,-1304,2596,-1319,2611,-1329,2630,-1333,2648,-1329,2664,-1319,2674,-1304,2678,-1285xe" filled="false" stroked="true" strokeweight=".72pt" strokecolor="#a4a4a4">
              <v:path arrowok="t"/>
            </v:shape>
            <v:shape style="position:absolute;left:2610;top:-1333;width:96;height:96" coordorigin="2610,-1333" coordsize="96,96" path="m2658,-1333l2640,-1329,2624,-1319,2614,-1304,2610,-1285,2614,-1266,2624,-1251,2640,-1241,2658,-1237,2677,-1241,2692,-1251,2703,-1266,2706,-1285,2703,-1304,2692,-1319,2677,-1329,2658,-1333xe" filled="true" fillcolor="#000000" stroked="false">
              <v:path arrowok="t"/>
              <v:fill type="solid"/>
            </v:shape>
            <v:shape style="position:absolute;left:2610;top:-1333;width:96;height:96" coordorigin="2610,-1333" coordsize="96,96" path="m2706,-1285l2703,-1266,2692,-1251,2677,-1241,2658,-1237,2640,-1241,2624,-1251,2614,-1266,2610,-1285,2614,-1304,2624,-1319,2640,-1329,2658,-1333,2677,-1329,2692,-1319,2703,-1304,2706,-1285xe" filled="false" stroked="true" strokeweight=".72pt" strokecolor="#a4a4a4">
              <v:path arrowok="t"/>
            </v:shape>
            <v:shape style="position:absolute;left:2812;top:-1362;width:96;height:96" coordorigin="2812,-1362" coordsize="96,96" path="m2860,-1362l2841,-1358,2826,-1348,2816,-1333,2812,-1314,2816,-1295,2826,-1280,2841,-1270,2860,-1266,2879,-1270,2894,-1280,2904,-1295,2908,-1314,2904,-1333,2894,-1348,2879,-1358,2860,-1362xe" filled="true" fillcolor="#000000" stroked="false">
              <v:path arrowok="t"/>
              <v:fill type="solid"/>
            </v:shape>
            <v:shape style="position:absolute;left:2812;top:-1362;width:96;height:96" coordorigin="2812,-1362" coordsize="96,96" path="m2908,-1314l2904,-1295,2894,-1280,2879,-1270,2860,-1266,2841,-1270,2826,-1280,2816,-1295,2812,-1314,2816,-1333,2826,-1348,2841,-1358,2860,-1362,2879,-1358,2894,-1348,2904,-1333,2908,-1314xe" filled="false" stroked="true" strokeweight=".72pt" strokecolor="#a4a4a4">
              <v:path arrowok="t"/>
            </v:shape>
            <v:shape style="position:absolute;left:4463;top:-1938;width:96;height:96" coordorigin="4463,-1938" coordsize="96,96" path="m4511,-1938l4492,-1934,4477,-1924,4467,-1909,4463,-1890,4467,-1871,4477,-1856,4492,-1846,4511,-1842,4530,-1846,4545,-1856,4555,-1871,4559,-1890,4555,-1909,4545,-1924,4530,-1934,4511,-1938xe" filled="true" fillcolor="#000000" stroked="false">
              <v:path arrowok="t"/>
              <v:fill type="solid"/>
            </v:shape>
            <v:shape style="position:absolute;left:4463;top:-1938;width:96;height:96" coordorigin="4463,-1938" coordsize="96,96" path="m4559,-1890l4555,-1871,4545,-1856,4530,-1846,4511,-1842,4492,-1846,4477,-1856,4467,-1871,4463,-1890,4467,-1909,4477,-1924,4492,-1934,4511,-1938,4530,-1934,4545,-1924,4555,-1909,4559,-1890xe" filled="false" stroked="true" strokeweight=".72pt" strokecolor="#a4a4a4">
              <v:path arrowok="t"/>
            </v:shape>
            <v:shape style="position:absolute;left:4578;top:-1410;width:96;height:96" coordorigin="4578,-1410" coordsize="96,96" path="m4626,-1410l4608,-1406,4592,-1396,4582,-1381,4578,-1362,4582,-1343,4592,-1328,4608,-1318,4626,-1314,4645,-1318,4660,-1328,4671,-1343,4674,-1362,4671,-1381,4660,-1396,4645,-1406,4626,-1410xe" filled="true" fillcolor="#000000" stroked="false">
              <v:path arrowok="t"/>
              <v:fill type="solid"/>
            </v:shape>
            <v:shape style="position:absolute;left:4578;top:-1410;width:96;height:96" coordorigin="4578,-1410" coordsize="96,96" path="m4674,-1362l4671,-1343,4660,-1328,4645,-1318,4626,-1314,4608,-1318,4592,-1328,4582,-1343,4578,-1362,4582,-1381,4592,-1396,4608,-1406,4626,-1410,4645,-1406,4660,-1396,4671,-1381,4674,-1362xe" filled="false" stroked="true" strokeweight=".72pt" strokecolor="#a4a4a4">
              <v:path arrowok="t"/>
            </v:shape>
            <v:shape style="position:absolute;left:4144;top:-1748;width:110;height:110" type="#_x0000_t75" stroked="false">
              <v:imagedata r:id="rId135" o:title=""/>
            </v:shape>
            <v:shape style="position:absolute;left:4979;top:-1499;width:110;height:110" type="#_x0000_t75" stroked="false">
              <v:imagedata r:id="rId136" o:title=""/>
            </v:shape>
            <v:shape style="position:absolute;left:4578;top:-1381;width:96;height:96" coordorigin="4578,-1381" coordsize="96,96" path="m4626,-1381l4608,-1377,4592,-1367,4582,-1352,4578,-1333,4582,-1314,4592,-1299,4608,-1289,4626,-1285,4645,-1289,4660,-1299,4671,-1314,4674,-1333,4671,-1352,4660,-1367,4645,-1377,4626,-1381xe" filled="true" fillcolor="#000000" stroked="false">
              <v:path arrowok="t"/>
              <v:fill type="solid"/>
            </v:shape>
            <v:shape style="position:absolute;left:4578;top:-1381;width:96;height:96" coordorigin="4578,-1381" coordsize="96,96" path="m4674,-1333l4671,-1314,4660,-1299,4645,-1289,4626,-1285,4608,-1289,4592,-1299,4582,-1314,4578,-1333,4582,-1352,4592,-1367,4608,-1377,4626,-1381,4645,-1377,4660,-1367,4671,-1352,4674,-1333xe" filled="false" stroked="true" strokeweight=".72pt" strokecolor="#a4a4a4">
              <v:path arrowok="t"/>
            </v:shape>
            <v:shape style="position:absolute;left:3047;top:-1347;width:96;height:96" coordorigin="3047,-1347" coordsize="96,96" path="m3095,-1347l3076,-1344,3061,-1333,3051,-1318,3047,-1299,3051,-1281,3061,-1265,3076,-1255,3095,-1251,3114,-1255,3129,-1265,3139,-1281,3143,-1299,3139,-1318,3129,-1333,3114,-1344,3095,-1347xe" filled="true" fillcolor="#000000" stroked="false">
              <v:path arrowok="t"/>
              <v:fill type="solid"/>
            </v:shape>
            <v:shape style="position:absolute;left:3047;top:-1347;width:96;height:96" coordorigin="3047,-1347" coordsize="96,96" path="m3143,-1299l3139,-1281,3129,-1265,3114,-1255,3095,-1251,3076,-1255,3061,-1265,3051,-1281,3047,-1299,3051,-1318,3061,-1333,3076,-1344,3095,-1347,3114,-1344,3129,-1333,3139,-1318,3143,-1299xe" filled="false" stroked="true" strokeweight=".72pt" strokecolor="#a4a4a4">
              <v:path arrowok="t"/>
            </v:shape>
            <v:shape style="position:absolute;left:3062;top:-1343;width:96;height:96" coordorigin="3062,-1343" coordsize="96,96" path="m3110,-1343l3091,-1339,3076,-1329,3065,-1313,3062,-1295,3065,-1276,3076,-1261,3091,-1250,3110,-1247,3128,-1250,3144,-1261,3154,-1276,3158,-1295,3154,-1313,3144,-1329,3128,-1339,3110,-1343xe" filled="true" fillcolor="#000000" stroked="false">
              <v:path arrowok="t"/>
              <v:fill type="solid"/>
            </v:shape>
            <v:shape style="position:absolute;left:3062;top:-1343;width:96;height:96" coordorigin="3062,-1343" coordsize="96,96" path="m3158,-1295l3154,-1276,3144,-1261,3128,-1250,3110,-1247,3091,-1250,3076,-1261,3065,-1276,3062,-1295,3065,-1313,3076,-1329,3091,-1339,3110,-1343,3128,-1339,3144,-1329,3154,-1313,3158,-1295xe" filled="false" stroked="true" strokeweight=".72pt" strokecolor="#a4a4a4">
              <v:path arrowok="t"/>
            </v:shape>
            <v:shape style="position:absolute;left:3038;top:-1338;width:96;height:96" coordorigin="3038,-1338" coordsize="96,96" path="m3086,-1338l3067,-1334,3052,-1324,3041,-1309,3038,-1290,3041,-1271,3052,-1256,3067,-1246,3086,-1242,3104,-1246,3120,-1256,3130,-1271,3134,-1290,3130,-1309,3120,-1324,3104,-1334,3086,-1338xe" filled="true" fillcolor="#000000" stroked="false">
              <v:path arrowok="t"/>
              <v:fill type="solid"/>
            </v:shape>
            <v:shape style="position:absolute;left:3038;top:-1338;width:96;height:96" coordorigin="3038,-1338" coordsize="96,96" path="m3134,-1290l3130,-1271,3120,-1256,3104,-1246,3086,-1242,3067,-1246,3052,-1256,3041,-1271,3038,-1290,3041,-1309,3052,-1324,3067,-1334,3086,-1338,3104,-1334,3120,-1324,3130,-1309,3134,-1290xe" filled="false" stroked="true" strokeweight=".72pt" strokecolor="#a4a4a4">
              <v:path arrowok="t"/>
            </v:shape>
            <v:shape style="position:absolute;left:3018;top:-1333;width:96;height:96" coordorigin="3018,-1333" coordsize="96,96" path="m3066,-1333l3048,-1329,3032,-1319,3022,-1304,3018,-1285,3022,-1266,3032,-1251,3048,-1241,3066,-1237,3085,-1241,3100,-1251,3111,-1266,3114,-1285,3111,-1304,3100,-1319,3085,-1329,3066,-1333xe" filled="true" fillcolor="#000000" stroked="false">
              <v:path arrowok="t"/>
              <v:fill type="solid"/>
            </v:shape>
            <v:shape style="position:absolute;left:3018;top:-1333;width:96;height:96" coordorigin="3018,-1333" coordsize="96,96" path="m3114,-1285l3111,-1266,3100,-1251,3085,-1241,3066,-1237,3048,-1241,3032,-1251,3022,-1266,3018,-1285,3022,-1304,3032,-1319,3048,-1329,3066,-1333,3085,-1329,3100,-1319,3111,-1304,3114,-1285xe" filled="false" stroked="true" strokeweight=".72pt" strokecolor="#a4a4a4">
              <v:path arrowok="t"/>
            </v:shape>
            <v:shape style="position:absolute;left:2975;top:-1333;width:96;height:96" coordorigin="2975,-1333" coordsize="96,96" path="m3023,-1333l3004,-1329,2989,-1319,2979,-1304,2975,-1285,2979,-1266,2989,-1251,3004,-1241,3023,-1237,3042,-1241,3057,-1251,3067,-1266,3071,-1285,3067,-1304,3057,-1319,3042,-1329,3023,-1333xe" filled="true" fillcolor="#000000" stroked="false">
              <v:path arrowok="t"/>
              <v:fill type="solid"/>
            </v:shape>
            <v:shape style="position:absolute;left:2975;top:-1333;width:96;height:96" coordorigin="2975,-1333" coordsize="96,96" path="m3071,-1285l3067,-1266,3057,-1251,3042,-1241,3023,-1237,3004,-1241,2989,-1251,2979,-1266,2975,-1285,2979,-1304,2989,-1319,3004,-1329,3023,-1333,3042,-1329,3057,-1319,3067,-1304,3071,-1285xe" filled="false" stroked="true" strokeweight=".72pt" strokecolor="#a4a4a4">
              <v:path arrowok="t"/>
            </v:shape>
            <v:shape style="position:absolute;left:3014;top:-1343;width:96;height:96" coordorigin="3014,-1343" coordsize="96,96" path="m3062,-1343l3043,-1339,3028,-1329,3017,-1313,3014,-1295,3017,-1276,3028,-1261,3043,-1250,3062,-1247,3080,-1250,3096,-1261,3106,-1276,3110,-1295,3106,-1313,3096,-1329,3080,-1339,3062,-1343xe" filled="true" fillcolor="#000000" stroked="false">
              <v:path arrowok="t"/>
              <v:fill type="solid"/>
            </v:shape>
            <v:shape style="position:absolute;left:3014;top:-1343;width:96;height:96" coordorigin="3014,-1343" coordsize="96,96" path="m3110,-1295l3106,-1276,3096,-1261,3080,-1250,3062,-1247,3043,-1250,3028,-1261,3017,-1276,3014,-1295,3017,-1313,3028,-1329,3043,-1339,3062,-1343,3080,-1339,3096,-1329,3106,-1313,3110,-1295xe" filled="false" stroked="true" strokeweight=".72pt" strokecolor="#a4a4a4">
              <v:path arrowok="t"/>
            </v:shape>
            <v:shape style="position:absolute;left:3316;top:-1357;width:96;height:96" coordorigin="3316,-1357" coordsize="96,96" path="m3364,-1357l3345,-1353,3330,-1343,3320,-1328,3316,-1309,3320,-1290,3330,-1275,3345,-1265,3364,-1261,3383,-1265,3398,-1275,3408,-1290,3412,-1309,3408,-1328,3398,-1343,3383,-1353,3364,-1357xe" filled="true" fillcolor="#000000" stroked="false">
              <v:path arrowok="t"/>
              <v:fill type="solid"/>
            </v:shape>
            <v:shape style="position:absolute;left:3316;top:-1357;width:96;height:96" coordorigin="3316,-1357" coordsize="96,96" path="m3412,-1309l3408,-1290,3398,-1275,3383,-1265,3364,-1261,3345,-1265,3330,-1275,3320,-1290,3316,-1309,3320,-1328,3330,-1343,3345,-1353,3364,-1357,3383,-1353,3398,-1343,3408,-1328,3412,-1309xe" filled="false" stroked="true" strokeweight=".72pt" strokecolor="#a4a4a4">
              <v:path arrowok="t"/>
            </v:shape>
            <v:shape style="position:absolute;left:5814;top:-1652;width:110;height:110" type="#_x0000_t75" stroked="false">
              <v:imagedata r:id="rId137" o:title=""/>
            </v:shape>
            <v:shape style="position:absolute;left:6054;top:-3975;width:110;height:110" type="#_x0000_t75" stroked="false">
              <v:imagedata r:id="rId137" o:title=""/>
            </v:shape>
            <v:shape style="position:absolute;left:6136;top:-2315;width:110;height:110" type="#_x0000_t75" stroked="false">
              <v:imagedata r:id="rId137" o:title=""/>
            </v:shape>
            <v:shape style="position:absolute;left:4821;top:-3188;width:110;height:110" type="#_x0000_t75" stroked="false">
              <v:imagedata r:id="rId135" o:title=""/>
            </v:shape>
            <v:shape style="position:absolute;left:3789;top:-1523;width:110;height:110" type="#_x0000_t75" stroked="false">
              <v:imagedata r:id="rId137" o:title=""/>
            </v:shape>
            <v:shape style="position:absolute;left:3506;top:-1388;width:298;height:154" type="#_x0000_t75" stroked="false">
              <v:imagedata r:id="rId138" o:title=""/>
            </v:shape>
            <v:shape style="position:absolute;left:4583;top:-1424;width:96;height:96" coordorigin="4583,-1424" coordsize="96,96" path="m4631,-1424l4612,-1420,4597,-1410,4587,-1395,4583,-1376,4587,-1357,4597,-1342,4612,-1332,4631,-1328,4650,-1332,4665,-1342,4675,-1357,4679,-1376,4675,-1395,4665,-1410,4650,-1420,4631,-1424xe" filled="true" fillcolor="#000000" stroked="false">
              <v:path arrowok="t"/>
              <v:fill type="solid"/>
            </v:shape>
            <v:shape style="position:absolute;left:4583;top:-1424;width:96;height:96" coordorigin="4583,-1424" coordsize="96,96" path="m4679,-1376l4675,-1357,4665,-1342,4650,-1332,4631,-1328,4612,-1332,4597,-1342,4587,-1357,4583,-1376,4587,-1395,4597,-1410,4612,-1420,4631,-1424,4650,-1420,4665,-1410,4675,-1395,4679,-1376xe" filled="false" stroked="true" strokeweight=".72pt" strokecolor="#a4a4a4">
              <v:path arrowok="t"/>
            </v:shape>
            <v:shape style="position:absolute;left:5085;top:-1787;width:110;height:110" type="#_x0000_t75" stroked="false">
              <v:imagedata r:id="rId137" o:title=""/>
            </v:shape>
            <v:shape style="position:absolute;left:4691;top:-1652;width:110;height:110" type="#_x0000_t75" stroked="false">
              <v:imagedata r:id="rId137" o:title=""/>
            </v:shape>
            <v:shape style="position:absolute;left:5243;top:-5271;width:110;height:110" type="#_x0000_t75" stroked="false">
              <v:imagedata r:id="rId136" o:title=""/>
            </v:shape>
            <v:shape style="position:absolute;left:3659;top:-4950;width:110;height:110" type="#_x0000_t75" stroked="false">
              <v:imagedata r:id="rId136" o:title=""/>
            </v:shape>
            <v:shape style="position:absolute;left:3316;top:-1328;width:96;height:96" coordorigin="3316,-1328" coordsize="96,96" path="m3364,-1328l3345,-1324,3330,-1314,3320,-1299,3316,-1280,3320,-1261,3330,-1246,3345,-1236,3364,-1232,3383,-1236,3398,-1246,3408,-1261,3412,-1280,3408,-1299,3398,-1314,3383,-1324,3364,-1328xe" filled="true" fillcolor="#000000" stroked="false">
              <v:path arrowok="t"/>
              <v:fill type="solid"/>
            </v:shape>
            <v:shape style="position:absolute;left:3316;top:-1328;width:96;height:96" coordorigin="3316,-1328" coordsize="96,96" path="m3412,-1280l3408,-1261,3398,-1246,3383,-1236,3364,-1232,3345,-1236,3330,-1246,3320,-1261,3316,-1280,3320,-1299,3330,-1314,3345,-1324,3364,-1328,3383,-1324,3398,-1314,3408,-1299,3412,-1280xe" filled="false" stroked="true" strokeweight=".72pt" strokecolor="#a4a4a4">
              <v:path arrowok="t"/>
            </v:shape>
            <v:shape style="position:absolute;left:3273;top:-1443;width:96;height:96" coordorigin="3273,-1443" coordsize="96,96" path="m3321,-1443l3302,-1440,3287,-1429,3277,-1414,3273,-1395,3277,-1377,3287,-1361,3302,-1351,3321,-1347,3340,-1351,3355,-1361,3365,-1377,3369,-1395,3365,-1414,3355,-1429,3340,-1440,3321,-1443xe" filled="true" fillcolor="#000000" stroked="false">
              <v:path arrowok="t"/>
              <v:fill type="solid"/>
            </v:shape>
            <v:shape style="position:absolute;left:3273;top:-1443;width:96;height:96" coordorigin="3273,-1443" coordsize="96,96" path="m3369,-1395l3365,-1377,3355,-1361,3340,-1351,3321,-1347,3302,-1351,3287,-1361,3277,-1377,3273,-1395,3277,-1414,3287,-1429,3302,-1440,3321,-1443,3340,-1440,3355,-1429,3365,-1414,3369,-1395xe" filled="false" stroked="true" strokeweight=".72pt" strokecolor="#a4a4a4">
              <v:path arrowok="t"/>
            </v:shape>
            <v:shape style="position:absolute;left:3215;top:-1395;width:96;height:96" coordorigin="3215,-1395" coordsize="96,96" path="m3263,-1395l3244,-1392,3229,-1381,3219,-1366,3215,-1347,3219,-1329,3229,-1313,3244,-1303,3263,-1299,3282,-1303,3297,-1313,3307,-1329,3311,-1347,3307,-1366,3297,-1381,3282,-1392,3263,-1395xe" filled="true" fillcolor="#000000" stroked="false">
              <v:path arrowok="t"/>
              <v:fill type="solid"/>
            </v:shape>
            <v:shape style="position:absolute;left:3215;top:-1395;width:96;height:96" coordorigin="3215,-1395" coordsize="96,96" path="m3311,-1347l3307,-1329,3297,-1313,3282,-1303,3263,-1299,3244,-1303,3229,-1313,3219,-1329,3215,-1347,3219,-1366,3229,-1381,3244,-1392,3263,-1395,3282,-1392,3297,-1381,3307,-1366,3311,-1347xe" filled="false" stroked="true" strokeweight=".72pt" strokecolor="#a4a4a4">
              <v:path arrowok="t"/>
            </v:shape>
            <v:shape style="position:absolute;left:3119;top:-1343;width:96;height:96" coordorigin="3119,-1343" coordsize="96,96" path="m3167,-1343l3148,-1339,3133,-1329,3123,-1313,3119,-1295,3123,-1276,3133,-1261,3148,-1250,3167,-1247,3186,-1250,3201,-1261,3211,-1276,3215,-1295,3211,-1313,3201,-1329,3186,-1339,3167,-1343xe" filled="true" fillcolor="#000000" stroked="false">
              <v:path arrowok="t"/>
              <v:fill type="solid"/>
            </v:shape>
            <v:shape style="position:absolute;left:3119;top:-1343;width:96;height:96" coordorigin="3119,-1343" coordsize="96,96" path="m3215,-1295l3211,-1276,3201,-1261,3186,-1250,3167,-1247,3148,-1250,3133,-1261,3123,-1276,3119,-1295,3123,-1313,3133,-1329,3148,-1339,3167,-1343,3186,-1339,3201,-1329,3211,-1313,3215,-1295xe" filled="false" stroked="true" strokeweight=".72pt" strokecolor="#a4a4a4">
              <v:path arrowok="t"/>
            </v:shape>
            <v:shape style="position:absolute;left:3090;top:-1343;width:96;height:96" coordorigin="3090,-1343" coordsize="96,96" path="m3138,-1343l3120,-1339,3104,-1329,3094,-1313,3090,-1295,3094,-1276,3104,-1261,3120,-1250,3138,-1247,3157,-1250,3172,-1261,3183,-1276,3186,-1295,3183,-1313,3172,-1329,3157,-1339,3138,-1343xe" filled="true" fillcolor="#000000" stroked="false">
              <v:path arrowok="t"/>
              <v:fill type="solid"/>
            </v:shape>
            <v:shape style="position:absolute;left:3090;top:-1343;width:96;height:96" coordorigin="3090,-1343" coordsize="96,96" path="m3186,-1295l3183,-1276,3172,-1261,3157,-1250,3138,-1247,3120,-1250,3104,-1261,3094,-1276,3090,-1295,3094,-1313,3104,-1329,3120,-1339,3138,-1343,3157,-1339,3172,-1329,3183,-1313,3186,-1295xe" filled="false" stroked="true" strokeweight=".72pt" strokecolor="#a4a4a4">
              <v:path arrowok="t"/>
            </v:shape>
            <v:shape style="position:absolute;left:3119;top:-1352;width:96;height:96" coordorigin="3119,-1352" coordsize="96,96" path="m3167,-1352l3148,-1348,3133,-1338,3123,-1323,3119,-1304,3123,-1285,3133,-1270,3148,-1260,3167,-1256,3186,-1260,3201,-1270,3211,-1285,3215,-1304,3211,-1323,3201,-1338,3186,-1348,3167,-1352xe" filled="true" fillcolor="#000000" stroked="false">
              <v:path arrowok="t"/>
              <v:fill type="solid"/>
            </v:shape>
            <v:shape style="position:absolute;left:3119;top:-1352;width:96;height:96" coordorigin="3119,-1352" coordsize="96,96" path="m3215,-1304l3211,-1285,3201,-1270,3186,-1260,3167,-1256,3148,-1260,3133,-1270,3123,-1285,3119,-1304,3123,-1323,3133,-1338,3148,-1348,3167,-1352,3186,-1348,3201,-1338,3211,-1323,3215,-1304xe" filled="false" stroked="true" strokeweight=".72pt" strokecolor="#a4a4a4">
              <v:path arrowok="t"/>
            </v:shape>
            <v:shape style="position:absolute;left:3153;top:-1362;width:96;height:96" coordorigin="3153,-1362" coordsize="96,96" path="m3201,-1362l3182,-1358,3167,-1348,3157,-1333,3153,-1314,3157,-1295,3167,-1280,3182,-1270,3201,-1266,3220,-1270,3235,-1280,3245,-1295,3249,-1314,3245,-1333,3235,-1348,3220,-1358,3201,-1362xe" filled="true" fillcolor="#000000" stroked="false">
              <v:path arrowok="t"/>
              <v:fill type="solid"/>
            </v:shape>
            <v:shape style="position:absolute;left:3153;top:-1362;width:96;height:96" coordorigin="3153,-1362" coordsize="96,96" path="m3249,-1314l3245,-1295,3235,-1280,3220,-1270,3201,-1266,3182,-1270,3167,-1280,3157,-1295,3153,-1314,3157,-1333,3167,-1348,3182,-1358,3201,-1362,3220,-1358,3235,-1348,3245,-1333,3249,-1314xe" filled="false" stroked="true" strokeweight=".72pt" strokecolor="#a4a4a4">
              <v:path arrowok="t"/>
            </v:shape>
            <v:shape style="position:absolute;left:5046;top:-2555;width:110;height:110" type="#_x0000_t75" stroked="false">
              <v:imagedata r:id="rId137" o:title=""/>
            </v:shape>
            <v:shape style="position:absolute;left:4480;top:-2401;width:110;height:110" type="#_x0000_t75" stroked="false">
              <v:imagedata r:id="rId137" o:title=""/>
            </v:shape>
            <v:shape style="position:absolute;left:4696;top:-2588;width:110;height:110" type="#_x0000_t75" stroked="false">
              <v:imagedata r:id="rId137" o:title=""/>
            </v:shape>
            <v:shape style="position:absolute;left:4754;top:-3539;width:110;height:110" type="#_x0000_t75" stroked="false">
              <v:imagedata r:id="rId136" o:title=""/>
            </v:shape>
            <v:shape style="position:absolute;left:3760;top:-1715;width:110;height:110" type="#_x0000_t75" stroked="false">
              <v:imagedata r:id="rId137" o:title=""/>
            </v:shape>
            <v:shape style="position:absolute;left:3287;top:-1410;width:96;height:96" coordorigin="3287,-1410" coordsize="96,96" path="m3335,-1410l3316,-1406,3301,-1396,3291,-1381,3287,-1362,3291,-1343,3301,-1328,3316,-1318,3335,-1314,3354,-1318,3369,-1328,3379,-1343,3383,-1362,3379,-1381,3369,-1396,3354,-1406,3335,-1410xe" filled="true" fillcolor="#000000" stroked="false">
              <v:path arrowok="t"/>
              <v:fill type="solid"/>
            </v:shape>
            <v:shape style="position:absolute;left:3287;top:-1410;width:96;height:96" coordorigin="3287,-1410" coordsize="96,96" path="m3383,-1362l3379,-1343,3369,-1328,3354,-1318,3335,-1314,3316,-1318,3301,-1328,3291,-1343,3287,-1362,3291,-1381,3301,-1396,3316,-1406,3335,-1410,3354,-1406,3369,-1396,3379,-1381,3383,-1362xe" filled="false" stroked="true" strokeweight=".72pt" strokecolor="#a4a4a4">
              <v:path arrowok="t"/>
            </v:shape>
            <v:shape style="position:absolute;left:3254;top:-1371;width:96;height:96" coordorigin="3254,-1371" coordsize="96,96" path="m3302,-1371l3283,-1368,3268,-1357,3257,-1342,3254,-1323,3257,-1305,3268,-1289,3283,-1279,3302,-1275,3320,-1279,3336,-1289,3346,-1305,3350,-1323,3346,-1342,3336,-1357,3320,-1368,3302,-1371xe" filled="true" fillcolor="#000000" stroked="false">
              <v:path arrowok="t"/>
              <v:fill type="solid"/>
            </v:shape>
            <v:shape style="position:absolute;left:3254;top:-1371;width:96;height:96" coordorigin="3254,-1371" coordsize="96,96" path="m3350,-1323l3346,-1305,3336,-1289,3320,-1279,3302,-1275,3283,-1279,3268,-1289,3257,-1305,3254,-1323,3257,-1342,3268,-1357,3283,-1368,3302,-1371,3320,-1368,3336,-1357,3346,-1342,3350,-1323xe" filled="false" stroked="true" strokeweight=".72pt" strokecolor="#a4a4a4">
              <v:path arrowok="t"/>
            </v:shape>
            <v:shape style="position:absolute;left:3186;top:-1362;width:96;height:96" coordorigin="3186,-1362" coordsize="96,96" path="m3234,-1362l3216,-1358,3200,-1348,3190,-1333,3186,-1314,3190,-1295,3200,-1280,3216,-1270,3234,-1266,3253,-1270,3268,-1280,3279,-1295,3282,-1314,3279,-1333,3268,-1348,3253,-1358,3234,-1362xe" filled="true" fillcolor="#000000" stroked="false">
              <v:path arrowok="t"/>
              <v:fill type="solid"/>
            </v:shape>
            <v:shape style="position:absolute;left:3186;top:-1362;width:96;height:96" coordorigin="3186,-1362" coordsize="96,96" path="m3282,-1314l3279,-1295,3268,-1280,3253,-1270,3234,-1266,3216,-1270,3200,-1280,3190,-1295,3186,-1314,3190,-1333,3200,-1348,3216,-1358,3234,-1362,3253,-1358,3268,-1348,3279,-1333,3282,-1314xe" filled="false" stroked="true" strokeweight=".72pt" strokecolor="#a4a4a4">
              <v:path arrowok="t"/>
            </v:shape>
            <v:shape style="position:absolute;left:3196;top:-1338;width:96;height:96" coordorigin="3196,-1338" coordsize="96,96" path="m3244,-1338l3225,-1334,3210,-1324,3200,-1309,3196,-1290,3200,-1271,3210,-1256,3225,-1246,3244,-1242,3263,-1246,3278,-1256,3288,-1271,3292,-1290,3288,-1309,3278,-1324,3263,-1334,3244,-1338xe" filled="true" fillcolor="#000000" stroked="false">
              <v:path arrowok="t"/>
              <v:fill type="solid"/>
            </v:shape>
            <v:shape style="position:absolute;left:3196;top:-1338;width:96;height:96" coordorigin="3196,-1338" coordsize="96,96" path="m3292,-1290l3288,-1271,3278,-1256,3263,-1246,3244,-1242,3225,-1246,3210,-1256,3200,-1271,3196,-1290,3200,-1309,3210,-1324,3225,-1334,3244,-1338,3263,-1334,3278,-1324,3288,-1309,3292,-1290xe" filled="false" stroked="true" strokeweight=".72pt" strokecolor="#a4a4a4">
              <v:path arrowok="t"/>
            </v:shape>
            <v:shape style="position:absolute;left:3110;top:-1343;width:96;height:96" coordorigin="3110,-1343" coordsize="96,96" path="m3158,-1343l3139,-1339,3124,-1329,3113,-1313,3110,-1295,3113,-1276,3124,-1261,3139,-1250,3158,-1247,3176,-1250,3192,-1261,3202,-1276,3206,-1295,3202,-1313,3192,-1329,3176,-1339,3158,-1343xe" filled="true" fillcolor="#000000" stroked="false">
              <v:path arrowok="t"/>
              <v:fill type="solid"/>
            </v:shape>
            <v:shape style="position:absolute;left:3110;top:-1343;width:96;height:96" coordorigin="3110,-1343" coordsize="96,96" path="m3206,-1295l3202,-1276,3192,-1261,3176,-1250,3158,-1247,3139,-1250,3124,-1261,3113,-1276,3110,-1295,3113,-1313,3124,-1329,3139,-1339,3158,-1343,3176,-1339,3192,-1329,3202,-1313,3206,-1295xe" filled="false" stroked="true" strokeweight=".72pt" strokecolor="#a4a4a4">
              <v:path arrowok="t"/>
            </v:shape>
            <v:shape style="position:absolute;left:3052;top:-1333;width:96;height:96" coordorigin="3052,-1333" coordsize="96,96" path="m3100,-1333l3081,-1329,3066,-1319,3056,-1304,3052,-1285,3056,-1266,3066,-1251,3081,-1241,3100,-1237,3119,-1241,3134,-1251,3144,-1266,3148,-1285,3144,-1304,3134,-1319,3119,-1329,3100,-1333xe" filled="true" fillcolor="#000000" stroked="false">
              <v:path arrowok="t"/>
              <v:fill type="solid"/>
            </v:shape>
            <v:shape style="position:absolute;left:3052;top:-1333;width:96;height:96" coordorigin="3052,-1333" coordsize="96,96" path="m3148,-1285l3144,-1266,3134,-1251,3119,-1241,3100,-1237,3081,-1241,3066,-1251,3056,-1266,3052,-1285,3056,-1304,3066,-1319,3081,-1329,3100,-1333,3119,-1329,3134,-1319,3144,-1304,3148,-1285xe" filled="false" stroked="true" strokeweight=".72pt" strokecolor="#a4a4a4">
              <v:path arrowok="t"/>
            </v:shape>
            <v:shape style="position:absolute;left:3071;top:-1343;width:96;height:96" coordorigin="3071,-1343" coordsize="96,96" path="m3119,-1343l3100,-1339,3085,-1329,3075,-1313,3071,-1295,3075,-1276,3085,-1261,3100,-1250,3119,-1247,3138,-1250,3153,-1261,3163,-1276,3167,-1295,3163,-1313,3153,-1329,3138,-1339,3119,-1343xe" filled="true" fillcolor="#000000" stroked="false">
              <v:path arrowok="t"/>
              <v:fill type="solid"/>
            </v:shape>
            <v:shape style="position:absolute;left:3071;top:-1343;width:96;height:96" coordorigin="3071,-1343" coordsize="96,96" path="m3167,-1295l3163,-1276,3153,-1261,3138,-1250,3119,-1247,3100,-1250,3085,-1261,3075,-1276,3071,-1295,3075,-1313,3085,-1329,3100,-1339,3119,-1343,3138,-1339,3153,-1329,3163,-1313,3167,-1295xe" filled="false" stroked="true" strokeweight=".72pt" strokecolor="#a4a4a4">
              <v:path arrowok="t"/>
            </v:shape>
            <v:shape style="position:absolute;left:3033;top:-1338;width:96;height:96" coordorigin="3033,-1338" coordsize="96,96" path="m3081,-1338l3062,-1334,3047,-1324,3037,-1309,3033,-1290,3037,-1271,3047,-1256,3062,-1246,3081,-1242,3100,-1246,3115,-1256,3125,-1271,3129,-1290,3125,-1309,3115,-1324,3100,-1334,3081,-1338xe" filled="true" fillcolor="#000000" stroked="false">
              <v:path arrowok="t"/>
              <v:fill type="solid"/>
            </v:shape>
            <v:shape style="position:absolute;left:3033;top:-1338;width:96;height:96" coordorigin="3033,-1338" coordsize="96,96" path="m3129,-1290l3125,-1271,3115,-1256,3100,-1246,3081,-1242,3062,-1246,3047,-1256,3037,-1271,3033,-1290,3037,-1309,3047,-1324,3062,-1334,3081,-1338,3100,-1334,3115,-1324,3125,-1309,3129,-1290xe" filled="false" stroked="true" strokeweight=".72pt" strokecolor="#a4a4a4">
              <v:path arrowok="t"/>
            </v:shape>
            <v:shape style="position:absolute;left:4247;top:-1496;width:96;height:96" coordorigin="4247,-1496" coordsize="96,96" path="m4295,-1496l4276,-1492,4261,-1482,4251,-1467,4247,-1448,4251,-1429,4261,-1414,4276,-1404,4295,-1400,4314,-1404,4329,-1414,4339,-1429,4343,-1448,4339,-1467,4329,-1482,4314,-1492,4295,-1496xe" filled="true" fillcolor="#000000" stroked="false">
              <v:path arrowok="t"/>
              <v:fill type="solid"/>
            </v:shape>
            <v:shape style="position:absolute;left:4247;top:-1496;width:96;height:96" coordorigin="4247,-1496" coordsize="96,96" path="m4343,-1448l4339,-1429,4329,-1414,4314,-1404,4295,-1400,4276,-1404,4261,-1414,4251,-1429,4247,-1448,4251,-1467,4261,-1482,4276,-1492,4295,-1496,4314,-1492,4329,-1482,4339,-1467,4343,-1448xe" filled="false" stroked="true" strokeweight=".72pt" strokecolor="#a4a4a4">
              <v:path arrowok="t"/>
            </v:shape>
            <v:shape style="position:absolute;left:3957;top:-1652;width:110;height:110" type="#_x0000_t75" stroked="false">
              <v:imagedata r:id="rId135" o:title=""/>
            </v:shape>
            <v:shape style="position:absolute;left:3818;top:-2593;width:110;height:110" type="#_x0000_t75" stroked="false">
              <v:imagedata r:id="rId136" o:title=""/>
            </v:shape>
            <v:shape style="position:absolute;left:3239;top:-1429;width:96;height:96" coordorigin="3239,-1429" coordsize="96,96" path="m3287,-1429l3268,-1425,3253,-1415,3243,-1400,3239,-1381,3243,-1362,3253,-1347,3268,-1337,3287,-1333,3306,-1337,3321,-1347,3331,-1362,3335,-1381,3331,-1400,3321,-1415,3306,-1425,3287,-1429xe" filled="true" fillcolor="#000000" stroked="false">
              <v:path arrowok="t"/>
              <v:fill type="solid"/>
            </v:shape>
            <v:shape style="position:absolute;left:3239;top:-1429;width:96;height:96" coordorigin="3239,-1429" coordsize="96,96" path="m3335,-1381l3331,-1362,3321,-1347,3306,-1337,3287,-1333,3268,-1337,3253,-1347,3243,-1362,3239,-1381,3243,-1400,3253,-1415,3268,-1425,3287,-1429,3306,-1425,3321,-1415,3331,-1400,3335,-1381xe" filled="false" stroked="true" strokeweight=".72pt" strokecolor="#a4a4a4">
              <v:path arrowok="t"/>
            </v:shape>
            <v:shape style="position:absolute;left:2894;top:-1371;width:96;height:96" coordorigin="2894,-1371" coordsize="96,96" path="m2942,-1371l2923,-1368,2908,-1357,2897,-1342,2894,-1323,2897,-1305,2908,-1289,2923,-1279,2942,-1275,2960,-1279,2976,-1289,2986,-1305,2990,-1323,2986,-1342,2976,-1357,2960,-1368,2942,-1371xe" filled="true" fillcolor="#000000" stroked="false">
              <v:path arrowok="t"/>
              <v:fill type="solid"/>
            </v:shape>
            <v:shape style="position:absolute;left:2894;top:-1371;width:96;height:96" coordorigin="2894,-1371" coordsize="96,96" path="m2990,-1323l2986,-1305,2976,-1289,2960,-1279,2942,-1275,2923,-1279,2908,-1289,2897,-1305,2894,-1323,2897,-1342,2908,-1357,2923,-1368,2942,-1371,2960,-1368,2976,-1357,2986,-1342,2990,-1323xe" filled="false" stroked="true" strokeweight=".72pt" strokecolor="#a4a4a4">
              <v:path arrowok="t"/>
            </v:shape>
            <v:shape style="position:absolute;left:2831;top:-1362;width:96;height:96" coordorigin="2831,-1362" coordsize="96,96" path="m2879,-1362l2860,-1358,2845,-1348,2835,-1333,2831,-1314,2835,-1295,2845,-1280,2860,-1270,2879,-1266,2898,-1270,2913,-1280,2923,-1295,2927,-1314,2923,-1333,2913,-1348,2898,-1358,2879,-1362xe" filled="true" fillcolor="#000000" stroked="false">
              <v:path arrowok="t"/>
              <v:fill type="solid"/>
            </v:shape>
            <v:shape style="position:absolute;left:2831;top:-1362;width:96;height:96" coordorigin="2831,-1362" coordsize="96,96" path="m2927,-1314l2923,-1295,2913,-1280,2898,-1270,2879,-1266,2860,-1270,2845,-1280,2835,-1295,2831,-1314,2835,-1333,2845,-1348,2860,-1358,2879,-1362,2898,-1358,2913,-1348,2923,-1333,2927,-1314xe" filled="false" stroked="true" strokeweight=".72pt" strokecolor="#a4a4a4">
              <v:path arrowok="t"/>
            </v:shape>
            <v:shape style="position:absolute;left:2783;top:-1343;width:96;height:96" coordorigin="2783,-1343" coordsize="96,96" path="m2831,-1343l2812,-1339,2797,-1329,2787,-1313,2783,-1295,2787,-1276,2797,-1261,2812,-1250,2831,-1247,2850,-1250,2865,-1261,2875,-1276,2879,-1295,2875,-1313,2865,-1329,2850,-1339,2831,-1343xe" filled="true" fillcolor="#000000" stroked="false">
              <v:path arrowok="t"/>
              <v:fill type="solid"/>
            </v:shape>
            <v:shape style="position:absolute;left:2783;top:-1343;width:96;height:96" coordorigin="2783,-1343" coordsize="96,96" path="m2879,-1295l2875,-1276,2865,-1261,2850,-1250,2831,-1247,2812,-1250,2797,-1261,2787,-1276,2783,-1295,2787,-1313,2797,-1329,2812,-1339,2831,-1343,2850,-1339,2865,-1329,2875,-1313,2879,-1295xe" filled="false" stroked="true" strokeweight=".72pt" strokecolor="#a4a4a4">
              <v:path arrowok="t"/>
            </v:shape>
            <v:shape style="position:absolute;left:2750;top:-1333;width:96;height:96" coordorigin="2750,-1333" coordsize="96,96" path="m2798,-1333l2779,-1329,2764,-1319,2753,-1304,2750,-1285,2753,-1266,2764,-1251,2779,-1241,2798,-1237,2816,-1241,2832,-1251,2842,-1266,2846,-1285,2842,-1304,2832,-1319,2816,-1329,2798,-1333xe" filled="true" fillcolor="#000000" stroked="false">
              <v:path arrowok="t"/>
              <v:fill type="solid"/>
            </v:shape>
            <v:shape style="position:absolute;left:2750;top:-1333;width:96;height:96" coordorigin="2750,-1333" coordsize="96,96" path="m2846,-1285l2842,-1266,2832,-1251,2816,-1241,2798,-1237,2779,-1241,2764,-1251,2753,-1266,2750,-1285,2753,-1304,2764,-1319,2779,-1329,2798,-1333,2816,-1329,2832,-1319,2842,-1304,2846,-1285xe" filled="false" stroked="true" strokeweight=".72pt" strokecolor="#a4a4a4">
              <v:path arrowok="t"/>
            </v:shape>
            <v:shape style="position:absolute;left:2735;top:-1333;width:96;height:96" coordorigin="2735,-1333" coordsize="96,96" path="m2783,-1333l2764,-1329,2749,-1319,2739,-1304,2735,-1285,2739,-1266,2749,-1251,2764,-1241,2783,-1237,2802,-1241,2817,-1251,2827,-1266,2831,-1285,2827,-1304,2817,-1319,2802,-1329,2783,-1333xe" filled="true" fillcolor="#000000" stroked="false">
              <v:path arrowok="t"/>
              <v:fill type="solid"/>
            </v:shape>
            <v:shape style="position:absolute;left:2735;top:-1333;width:96;height:96" coordorigin="2735,-1333" coordsize="96,96" path="m2831,-1285l2827,-1266,2817,-1251,2802,-1241,2783,-1237,2764,-1241,2749,-1251,2739,-1266,2735,-1285,2739,-1304,2749,-1319,2764,-1329,2783,-1333,2802,-1329,2817,-1319,2827,-1304,2831,-1285xe" filled="false" stroked="true" strokeweight=".72pt" strokecolor="#a4a4a4">
              <v:path arrowok="t"/>
            </v:shape>
            <v:shape style="position:absolute;left:2754;top:-1338;width:96;height:96" coordorigin="2754,-1338" coordsize="96,96" path="m2802,-1338l2784,-1334,2768,-1324,2758,-1309,2754,-1290,2758,-1271,2768,-1256,2784,-1246,2802,-1242,2821,-1246,2836,-1256,2847,-1271,2850,-1290,2847,-1309,2836,-1324,2821,-1334,2802,-1338xe" filled="true" fillcolor="#000000" stroked="false">
              <v:path arrowok="t"/>
              <v:fill type="solid"/>
            </v:shape>
            <v:shape style="position:absolute;left:2754;top:-1338;width:96;height:96" coordorigin="2754,-1338" coordsize="96,96" path="m2850,-1290l2847,-1271,2836,-1256,2821,-1246,2802,-1242,2784,-1246,2768,-1256,2758,-1271,2754,-1290,2758,-1309,2768,-1324,2784,-1334,2802,-1338,2821,-1334,2836,-1324,2847,-1309,2850,-1290xe" filled="false" stroked="true" strokeweight=".72pt" strokecolor="#a4a4a4">
              <v:path arrowok="t"/>
            </v:shape>
            <v:shape style="position:absolute;left:2870;top:-1357;width:96;height:96" coordorigin="2870,-1357" coordsize="96,96" path="m2918,-1357l2899,-1353,2884,-1343,2873,-1328,2870,-1309,2873,-1290,2884,-1275,2899,-1265,2918,-1261,2936,-1265,2952,-1275,2962,-1290,2966,-1309,2962,-1328,2952,-1343,2936,-1353,2918,-1357xe" filled="true" fillcolor="#000000" stroked="false">
              <v:path arrowok="t"/>
              <v:fill type="solid"/>
            </v:shape>
            <v:shape style="position:absolute;left:2870;top:-1357;width:96;height:96" coordorigin="2870,-1357" coordsize="96,96" path="m2966,-1309l2962,-1290,2952,-1275,2936,-1265,2918,-1261,2899,-1265,2884,-1275,2873,-1290,2870,-1309,2873,-1328,2884,-1343,2899,-1353,2918,-1357,2936,-1353,2952,-1343,2962,-1328,2966,-1309xe" filled="false" stroked="true" strokeweight=".72pt" strokecolor="#a4a4a4">
              <v:path arrowok="t"/>
            </v:shape>
            <v:shape style="position:absolute;left:3186;top:-1352;width:96;height:96" coordorigin="3186,-1352" coordsize="96,96" path="m3234,-1352l3216,-1348,3200,-1338,3190,-1323,3186,-1304,3190,-1285,3200,-1270,3216,-1260,3234,-1256,3253,-1260,3268,-1270,3279,-1285,3282,-1304,3279,-1323,3268,-1338,3253,-1348,3234,-1352xe" filled="true" fillcolor="#000000" stroked="false">
              <v:path arrowok="t"/>
              <v:fill type="solid"/>
            </v:shape>
            <v:shape style="position:absolute;left:3186;top:-1352;width:96;height:96" coordorigin="3186,-1352" coordsize="96,96" path="m3282,-1304l3279,-1285,3268,-1270,3253,-1260,3234,-1256,3216,-1260,3200,-1270,3190,-1285,3186,-1304,3190,-1323,3200,-1338,3216,-1348,3234,-1352,3253,-1348,3268,-1338,3279,-1323,3282,-1304xe" filled="false" stroked="true" strokeweight=".72pt" strokecolor="#a4a4a4">
              <v:path arrowok="t"/>
            </v:shape>
            <v:shape style="position:absolute;left:4281;top:-1424;width:96;height:96" coordorigin="4281,-1424" coordsize="96,96" path="m4329,-1424l4310,-1420,4295,-1410,4285,-1395,4281,-1376,4285,-1357,4295,-1342,4310,-1332,4329,-1328,4348,-1332,4363,-1342,4373,-1357,4377,-1376,4373,-1395,4363,-1410,4348,-1420,4329,-1424xe" filled="true" fillcolor="#000000" stroked="false">
              <v:path arrowok="t"/>
              <v:fill type="solid"/>
            </v:shape>
            <v:shape style="position:absolute;left:4281;top:-1424;width:96;height:96" coordorigin="4281,-1424" coordsize="96,96" path="m4377,-1376l4373,-1357,4363,-1342,4348,-1332,4329,-1328,4310,-1332,4295,-1342,4285,-1357,4281,-1376,4285,-1395,4295,-1410,4310,-1420,4329,-1424,4348,-1420,4363,-1410,4373,-1395,4377,-1376xe" filled="false" stroked="true" strokeweight=".72pt" strokecolor="#a4a4a4">
              <v:path arrowok="t"/>
            </v:shape>
            <v:shape style="position:absolute;left:4883;top:-1806;width:110;height:110" type="#_x0000_t75" stroked="false">
              <v:imagedata r:id="rId136" o:title=""/>
            </v:shape>
            <v:shape style="position:absolute;left:4526;top:-1871;width:96;height:96" coordorigin="4526,-1871" coordsize="96,96" path="m4574,-1871l4555,-1867,4540,-1857,4529,-1841,4526,-1823,4529,-1804,4540,-1789,4555,-1778,4574,-1775,4592,-1778,4608,-1789,4618,-1804,4622,-1823,4618,-1841,4608,-1857,4592,-1867,4574,-1871xe" filled="true" fillcolor="#000000" stroked="false">
              <v:path arrowok="t"/>
              <v:fill type="solid"/>
            </v:shape>
            <v:shape style="position:absolute;left:4526;top:-1871;width:96;height:96" coordorigin="4526,-1871" coordsize="96,96" path="m4622,-1823l4618,-1804,4608,-1789,4592,-1778,4574,-1775,4555,-1778,4540,-1789,4529,-1804,4526,-1823,4529,-1841,4540,-1857,4555,-1867,4574,-1871,4592,-1867,4608,-1857,4618,-1841,4622,-1823xe" filled="false" stroked="true" strokeweight=".72pt" strokecolor="#a4a4a4">
              <v:path arrowok="t"/>
            </v:shape>
            <v:shape style="position:absolute;left:6746;top:-1686;width:110;height:110" type="#_x0000_t75" stroked="false">
              <v:imagedata r:id="rId136" o:title=""/>
            </v:shape>
            <v:shape style="position:absolute;left:3333;top:-1619;width:110;height:110" type="#_x0000_t75" stroked="false">
              <v:imagedata r:id="rId136" o:title=""/>
            </v:shape>
            <v:shape style="position:absolute;left:3215;top:-1419;width:96;height:96" coordorigin="3215,-1419" coordsize="96,96" path="m3263,-1419l3244,-1416,3229,-1405,3219,-1390,3215,-1371,3219,-1353,3229,-1337,3244,-1327,3263,-1323,3282,-1327,3297,-1337,3307,-1353,3311,-1371,3307,-1390,3297,-1405,3282,-1416,3263,-1419xe" filled="true" fillcolor="#000000" stroked="false">
              <v:path arrowok="t"/>
              <v:fill type="solid"/>
            </v:shape>
            <v:shape style="position:absolute;left:3215;top:-1419;width:96;height:96" coordorigin="3215,-1419" coordsize="96,96" path="m3311,-1371l3307,-1353,3297,-1337,3282,-1327,3263,-1323,3244,-1327,3229,-1337,3219,-1353,3215,-1371,3219,-1390,3229,-1405,3244,-1416,3263,-1419,3282,-1416,3297,-1405,3307,-1390,3311,-1371xe" filled="false" stroked="true" strokeweight=".72pt" strokecolor="#a4a4a4">
              <v:path arrowok="t"/>
            </v:shape>
            <v:line style="position:absolute" from="2626,-1169" to="9739,-4150" stroked="true" strokeweight="1.44pt" strokecolor="#a4a4a4">
              <v:stroke dashstyle="dash"/>
            </v:line>
            <v:line style="position:absolute" from="2626,-1169" to="9739,-4150" stroked="true" strokeweight="1.44pt" strokecolor="#000000"/>
            <v:rect style="position:absolute;left:1457;top:-5770;width:9312;height:5534" filled="false" stroked="true" strokeweight="1.2pt" strokecolor="#000000"/>
            <v:shape style="position:absolute;left:2147;top:-5637;width:221;height:1167" type="#_x0000_t202" filled="false" stroked="false">
              <v:textbox inset="0,0,0,0">
                <w:txbxContent>
                  <w:p>
                    <w:pPr>
                      <w:spacing w:line="225" w:lineRule="exact" w:before="0"/>
                      <w:ind w:left="0" w:right="-19" w:firstLine="0"/>
                      <w:jc w:val="left"/>
                      <w:rPr>
                        <w:rFonts w:ascii="Calibri"/>
                        <w:sz w:val="22"/>
                      </w:rPr>
                    </w:pPr>
                    <w:r>
                      <w:rPr>
                        <w:rFonts w:ascii="Calibri"/>
                        <w:spacing w:val="-2"/>
                        <w:sz w:val="22"/>
                      </w:rPr>
                      <w:t>90</w:t>
                    </w:r>
                  </w:p>
                  <w:p>
                    <w:pPr>
                      <w:spacing w:line="240" w:lineRule="auto" w:before="8"/>
                      <w:rPr>
                        <w:sz w:val="17"/>
                      </w:rPr>
                    </w:pPr>
                  </w:p>
                  <w:p>
                    <w:pPr>
                      <w:spacing w:before="0"/>
                      <w:ind w:left="0" w:right="-19" w:firstLine="0"/>
                      <w:jc w:val="left"/>
                      <w:rPr>
                        <w:rFonts w:ascii="Calibri"/>
                        <w:sz w:val="22"/>
                      </w:rPr>
                    </w:pPr>
                    <w:r>
                      <w:rPr>
                        <w:rFonts w:ascii="Calibri"/>
                        <w:spacing w:val="-2"/>
                        <w:sz w:val="22"/>
                      </w:rPr>
                      <w:t>80</w:t>
                    </w:r>
                  </w:p>
                  <w:p>
                    <w:pPr>
                      <w:spacing w:line="240" w:lineRule="auto" w:before="9"/>
                      <w:rPr>
                        <w:sz w:val="17"/>
                      </w:rPr>
                    </w:pPr>
                  </w:p>
                  <w:p>
                    <w:pPr>
                      <w:spacing w:line="265" w:lineRule="exact" w:before="0"/>
                      <w:ind w:left="0" w:right="-19" w:firstLine="0"/>
                      <w:jc w:val="left"/>
                      <w:rPr>
                        <w:rFonts w:ascii="Calibri"/>
                        <w:sz w:val="22"/>
                      </w:rPr>
                    </w:pPr>
                    <w:r>
                      <w:rPr>
                        <w:rFonts w:ascii="Calibri"/>
                        <w:spacing w:val="-2"/>
                        <w:sz w:val="22"/>
                      </w:rPr>
                      <w:t>70</w:t>
                    </w:r>
                  </w:p>
                </w:txbxContent>
              </v:textbox>
              <w10:wrap type="none"/>
            </v:shape>
            <v:shape style="position:absolute;left:7819;top:-4854;width:1797;height:490" type="#_x0000_t202" filled="false" stroked="false">
              <v:textbox inset="0,0,0,0">
                <w:txbxContent>
                  <w:p>
                    <w:pPr>
                      <w:spacing w:line="225" w:lineRule="exact" w:before="0"/>
                      <w:ind w:left="0" w:right="0" w:firstLine="0"/>
                      <w:jc w:val="center"/>
                      <w:rPr>
                        <w:rFonts w:ascii="Calibri"/>
                        <w:sz w:val="22"/>
                      </w:rPr>
                    </w:pPr>
                    <w:r>
                      <w:rPr>
                        <w:rFonts w:ascii="Calibri"/>
                        <w:sz w:val="22"/>
                      </w:rPr>
                      <w:t>y = 1.4014x - 2.7996</w:t>
                    </w:r>
                  </w:p>
                  <w:p>
                    <w:pPr>
                      <w:spacing w:line="265" w:lineRule="exact" w:before="0"/>
                      <w:ind w:left="0" w:right="2" w:firstLine="0"/>
                      <w:jc w:val="center"/>
                      <w:rPr>
                        <w:rFonts w:ascii="Calibri" w:hAnsi="Calibri"/>
                        <w:sz w:val="22"/>
                      </w:rPr>
                    </w:pPr>
                    <w:r>
                      <w:rPr>
                        <w:rFonts w:ascii="Calibri" w:hAnsi="Calibri"/>
                        <w:sz w:val="22"/>
                      </w:rPr>
                      <w:t>R² = 0.2606</w:t>
                    </w:r>
                  </w:p>
                </w:txbxContent>
              </v:textbox>
              <w10:wrap type="none"/>
            </v:shape>
            <v:shape style="position:absolute;left:2147;top:-4218;width:224;height:3058" type="#_x0000_t202" filled="false" stroked="false">
              <v:textbox inset="0,0,0,0">
                <w:txbxContent>
                  <w:p>
                    <w:pPr>
                      <w:spacing w:line="225" w:lineRule="exact" w:before="0"/>
                      <w:ind w:left="0" w:right="0" w:firstLine="0"/>
                      <w:jc w:val="center"/>
                      <w:rPr>
                        <w:rFonts w:ascii="Calibri"/>
                        <w:sz w:val="22"/>
                      </w:rPr>
                    </w:pPr>
                    <w:r>
                      <w:rPr>
                        <w:rFonts w:ascii="Calibri"/>
                        <w:sz w:val="22"/>
                      </w:rPr>
                      <w:t>60</w:t>
                    </w:r>
                  </w:p>
                  <w:p>
                    <w:pPr>
                      <w:spacing w:line="240" w:lineRule="auto" w:before="8"/>
                      <w:rPr>
                        <w:sz w:val="17"/>
                      </w:rPr>
                    </w:pPr>
                  </w:p>
                  <w:p>
                    <w:pPr>
                      <w:spacing w:before="0"/>
                      <w:ind w:left="0" w:right="0" w:firstLine="0"/>
                      <w:jc w:val="center"/>
                      <w:rPr>
                        <w:rFonts w:ascii="Calibri"/>
                        <w:sz w:val="22"/>
                      </w:rPr>
                    </w:pPr>
                    <w:r>
                      <w:rPr>
                        <w:rFonts w:ascii="Calibri"/>
                        <w:sz w:val="22"/>
                      </w:rPr>
                      <w:t>50</w:t>
                    </w:r>
                  </w:p>
                  <w:p>
                    <w:pPr>
                      <w:spacing w:line="240" w:lineRule="auto" w:before="8"/>
                      <w:rPr>
                        <w:sz w:val="17"/>
                      </w:rPr>
                    </w:pPr>
                  </w:p>
                  <w:p>
                    <w:pPr>
                      <w:spacing w:before="0"/>
                      <w:ind w:left="0" w:right="0" w:firstLine="0"/>
                      <w:jc w:val="center"/>
                      <w:rPr>
                        <w:rFonts w:ascii="Calibri"/>
                        <w:sz w:val="22"/>
                      </w:rPr>
                    </w:pPr>
                    <w:r>
                      <w:rPr>
                        <w:rFonts w:ascii="Calibri"/>
                        <w:sz w:val="22"/>
                      </w:rPr>
                      <w:t>40</w:t>
                    </w:r>
                  </w:p>
                  <w:p>
                    <w:pPr>
                      <w:spacing w:line="240" w:lineRule="auto" w:before="9"/>
                      <w:rPr>
                        <w:sz w:val="17"/>
                      </w:rPr>
                    </w:pPr>
                  </w:p>
                  <w:p>
                    <w:pPr>
                      <w:spacing w:before="0"/>
                      <w:ind w:left="0" w:right="0" w:firstLine="0"/>
                      <w:jc w:val="center"/>
                      <w:rPr>
                        <w:rFonts w:ascii="Calibri"/>
                        <w:sz w:val="22"/>
                      </w:rPr>
                    </w:pPr>
                    <w:r>
                      <w:rPr>
                        <w:rFonts w:ascii="Calibri"/>
                        <w:sz w:val="22"/>
                      </w:rPr>
                      <w:t>30</w:t>
                    </w:r>
                  </w:p>
                  <w:p>
                    <w:pPr>
                      <w:spacing w:line="240" w:lineRule="auto" w:before="8"/>
                      <w:rPr>
                        <w:sz w:val="17"/>
                      </w:rPr>
                    </w:pPr>
                  </w:p>
                  <w:p>
                    <w:pPr>
                      <w:spacing w:before="0"/>
                      <w:ind w:left="0" w:right="0" w:firstLine="0"/>
                      <w:jc w:val="center"/>
                      <w:rPr>
                        <w:rFonts w:ascii="Calibri"/>
                        <w:sz w:val="22"/>
                      </w:rPr>
                    </w:pPr>
                    <w:r>
                      <w:rPr>
                        <w:rFonts w:ascii="Calibri"/>
                        <w:sz w:val="22"/>
                      </w:rPr>
                      <w:t>20</w:t>
                    </w:r>
                  </w:p>
                  <w:p>
                    <w:pPr>
                      <w:spacing w:line="240" w:lineRule="auto" w:before="8"/>
                      <w:rPr>
                        <w:sz w:val="17"/>
                      </w:rPr>
                    </w:pPr>
                  </w:p>
                  <w:p>
                    <w:pPr>
                      <w:spacing w:before="0"/>
                      <w:ind w:left="0" w:right="0" w:firstLine="0"/>
                      <w:jc w:val="center"/>
                      <w:rPr>
                        <w:rFonts w:ascii="Calibri"/>
                        <w:sz w:val="22"/>
                      </w:rPr>
                    </w:pPr>
                    <w:r>
                      <w:rPr>
                        <w:rFonts w:ascii="Calibri"/>
                        <w:sz w:val="22"/>
                      </w:rPr>
                      <w:t>10</w:t>
                    </w:r>
                  </w:p>
                  <w:p>
                    <w:pPr>
                      <w:spacing w:line="240" w:lineRule="auto" w:before="8"/>
                      <w:rPr>
                        <w:sz w:val="17"/>
                      </w:rPr>
                    </w:pPr>
                  </w:p>
                  <w:p>
                    <w:pPr>
                      <w:spacing w:line="265" w:lineRule="exact" w:before="0"/>
                      <w:ind w:left="111" w:right="0" w:firstLine="0"/>
                      <w:jc w:val="center"/>
                      <w:rPr>
                        <w:rFonts w:ascii="Calibri"/>
                        <w:sz w:val="22"/>
                      </w:rPr>
                    </w:pPr>
                    <w:r>
                      <w:rPr>
                        <w:rFonts w:ascii="Calibri"/>
                        <w:w w:val="100"/>
                        <w:sz w:val="22"/>
                      </w:rPr>
                      <w:t>0</w:t>
                    </w:r>
                  </w:p>
                </w:txbxContent>
              </v:textbox>
              <w10:wrap type="none"/>
            </v:shape>
            <v:shape style="position:absolute;left:2519;top:-1095;width:113;height:222" type="#_x0000_t202" filled="false" stroked="false">
              <v:textbox inset="0,0,0,0">
                <w:txbxContent>
                  <w:p>
                    <w:pPr>
                      <w:spacing w:line="221" w:lineRule="exact" w:before="0"/>
                      <w:ind w:left="0" w:right="0" w:firstLine="0"/>
                      <w:jc w:val="left"/>
                      <w:rPr>
                        <w:rFonts w:ascii="Calibri"/>
                        <w:sz w:val="22"/>
                      </w:rPr>
                    </w:pPr>
                    <w:r>
                      <w:rPr>
                        <w:rFonts w:ascii="Calibri"/>
                        <w:w w:val="100"/>
                        <w:sz w:val="22"/>
                      </w:rPr>
                      <w:t>0</w:t>
                    </w:r>
                  </w:p>
                </w:txbxContent>
              </v:textbox>
              <w10:wrap type="none"/>
            </v:shape>
            <v:shape style="position:absolute;left:4045;top:-1095;width:221;height:222" type="#_x0000_t202" filled="false" stroked="false">
              <v:textbox inset="0,0,0,0">
                <w:txbxContent>
                  <w:p>
                    <w:pPr>
                      <w:spacing w:line="221" w:lineRule="exact" w:before="0"/>
                      <w:ind w:left="0" w:right="-19" w:firstLine="0"/>
                      <w:jc w:val="left"/>
                      <w:rPr>
                        <w:rFonts w:ascii="Calibri"/>
                        <w:sz w:val="22"/>
                      </w:rPr>
                    </w:pPr>
                    <w:r>
                      <w:rPr>
                        <w:rFonts w:ascii="Calibri"/>
                        <w:spacing w:val="-2"/>
                        <w:sz w:val="22"/>
                      </w:rPr>
                      <w:t>10</w:t>
                    </w:r>
                  </w:p>
                </w:txbxContent>
              </v:textbox>
              <w10:wrap type="none"/>
            </v:shape>
            <v:shape style="position:absolute;left:5627;top:-1095;width:221;height:222" type="#_x0000_t202" filled="false" stroked="false">
              <v:textbox inset="0,0,0,0">
                <w:txbxContent>
                  <w:p>
                    <w:pPr>
                      <w:spacing w:line="221" w:lineRule="exact" w:before="0"/>
                      <w:ind w:left="0" w:right="-19" w:firstLine="0"/>
                      <w:jc w:val="left"/>
                      <w:rPr>
                        <w:rFonts w:ascii="Calibri"/>
                        <w:sz w:val="22"/>
                      </w:rPr>
                    </w:pPr>
                    <w:r>
                      <w:rPr>
                        <w:rFonts w:ascii="Calibri"/>
                        <w:spacing w:val="-2"/>
                        <w:sz w:val="22"/>
                      </w:rPr>
                      <w:t>20</w:t>
                    </w:r>
                  </w:p>
                </w:txbxContent>
              </v:textbox>
              <w10:wrap type="none"/>
            </v:shape>
            <v:shape style="position:absolute;left:7209;top:-1095;width:221;height:222" type="#_x0000_t202" filled="false" stroked="false">
              <v:textbox inset="0,0,0,0">
                <w:txbxContent>
                  <w:p>
                    <w:pPr>
                      <w:spacing w:line="221" w:lineRule="exact" w:before="0"/>
                      <w:ind w:left="0" w:right="-19" w:firstLine="0"/>
                      <w:jc w:val="left"/>
                      <w:rPr>
                        <w:rFonts w:ascii="Calibri"/>
                        <w:sz w:val="22"/>
                      </w:rPr>
                    </w:pPr>
                    <w:r>
                      <w:rPr>
                        <w:rFonts w:ascii="Calibri"/>
                        <w:spacing w:val="-2"/>
                        <w:sz w:val="22"/>
                      </w:rPr>
                      <w:t>30</w:t>
                    </w:r>
                  </w:p>
                </w:txbxContent>
              </v:textbox>
              <w10:wrap type="none"/>
            </v:shape>
            <v:shape style="position:absolute;left:8790;top:-1095;width:221;height:222" type="#_x0000_t202" filled="false" stroked="false">
              <v:textbox inset="0,0,0,0">
                <w:txbxContent>
                  <w:p>
                    <w:pPr>
                      <w:spacing w:line="221" w:lineRule="exact" w:before="0"/>
                      <w:ind w:left="0" w:right="-19" w:firstLine="0"/>
                      <w:jc w:val="left"/>
                      <w:rPr>
                        <w:rFonts w:ascii="Calibri"/>
                        <w:sz w:val="22"/>
                      </w:rPr>
                    </w:pPr>
                    <w:r>
                      <w:rPr>
                        <w:rFonts w:ascii="Calibri"/>
                        <w:spacing w:val="-2"/>
                        <w:sz w:val="22"/>
                      </w:rPr>
                      <w:t>40</w:t>
                    </w:r>
                  </w:p>
                </w:txbxContent>
              </v:textbox>
              <w10:wrap type="none"/>
            </v:shape>
            <v:shape style="position:absolute;left:10372;top:-1095;width:221;height:222" type="#_x0000_t202" filled="false" stroked="false">
              <v:textbox inset="0,0,0,0">
                <w:txbxContent>
                  <w:p>
                    <w:pPr>
                      <w:spacing w:line="221" w:lineRule="exact" w:before="0"/>
                      <w:ind w:left="0" w:right="-19" w:firstLine="0"/>
                      <w:jc w:val="left"/>
                      <w:rPr>
                        <w:rFonts w:ascii="Calibri"/>
                        <w:sz w:val="22"/>
                      </w:rPr>
                    </w:pPr>
                    <w:r>
                      <w:rPr>
                        <w:rFonts w:ascii="Calibri"/>
                        <w:spacing w:val="-2"/>
                        <w:sz w:val="22"/>
                      </w:rPr>
                      <w:t>50</w:t>
                    </w:r>
                  </w:p>
                </w:txbxContent>
              </v:textbox>
              <w10:wrap type="none"/>
            </v:shape>
            <v:shape style="position:absolute;left:2080;top:-908;width:290;height:222" type="#_x0000_t202" filled="false" stroked="false">
              <v:textbox inset="0,0,0,0">
                <w:txbxContent>
                  <w:p>
                    <w:pPr>
                      <w:spacing w:line="221" w:lineRule="exact" w:before="0"/>
                      <w:ind w:left="0" w:right="-18" w:firstLine="0"/>
                      <w:jc w:val="left"/>
                      <w:rPr>
                        <w:rFonts w:ascii="Calibri"/>
                        <w:sz w:val="22"/>
                      </w:rPr>
                    </w:pPr>
                    <w:r>
                      <w:rPr>
                        <w:rFonts w:ascii="Calibri"/>
                        <w:spacing w:val="-1"/>
                        <w:sz w:val="22"/>
                      </w:rPr>
                      <w:t>-10</w:t>
                    </w:r>
                  </w:p>
                </w:txbxContent>
              </v:textbox>
              <w10:wrap type="none"/>
            </v:shape>
            <v:shape style="position:absolute;left:5162;top:-726;width:2736;height:240" type="#_x0000_t202" filled="false" stroked="false">
              <v:textbox inset="0,0,0,0">
                <w:txbxContent>
                  <w:p>
                    <w:pPr>
                      <w:spacing w:line="240" w:lineRule="exact" w:before="0"/>
                      <w:ind w:left="0" w:right="-8" w:firstLine="0"/>
                      <w:jc w:val="left"/>
                      <w:rPr>
                        <w:rFonts w:ascii="Calibri"/>
                        <w:sz w:val="24"/>
                      </w:rPr>
                    </w:pPr>
                    <w:r>
                      <w:rPr>
                        <w:rFonts w:ascii="Calibri"/>
                        <w:sz w:val="24"/>
                      </w:rPr>
                      <w:t>Escurrimiento medido</w:t>
                    </w:r>
                    <w:r>
                      <w:rPr>
                        <w:rFonts w:ascii="Calibri"/>
                        <w:spacing w:val="-19"/>
                        <w:sz w:val="24"/>
                      </w:rPr>
                      <w:t> </w:t>
                    </w:r>
                    <w:r>
                      <w:rPr>
                        <w:rFonts w:ascii="Calibri"/>
                        <w:sz w:val="24"/>
                      </w:rPr>
                      <w:t>(mm)</w:t>
                    </w:r>
                  </w:p>
                </w:txbxContent>
              </v:textbox>
              <w10:wrap type="none"/>
            </v:shape>
            <w10:wrap type="none"/>
          </v:group>
        </w:pict>
      </w:r>
      <w:r>
        <w:rPr/>
        <w:pict>
          <v:shape style="position:absolute;margin-left:87.829994pt;margin-top:-231.592606pt;width:14.05pt;height:146pt;mso-position-horizontal-relative:page;mso-position-vertical-relative:paragraph;z-index:5560" type="#_x0000_t202" filled="false" stroked="false">
            <v:textbox inset="0,0,0,0" style="layout-flow:vertical;mso-layout-flow-alt:bottom-to-top">
              <w:txbxContent>
                <w:p>
                  <w:pPr>
                    <w:spacing w:line="265" w:lineRule="exact" w:before="0"/>
                    <w:ind w:left="20" w:right="-1104" w:firstLine="0"/>
                    <w:jc w:val="left"/>
                    <w:rPr>
                      <w:rFonts w:ascii="Calibri"/>
                      <w:sz w:val="24"/>
                    </w:rPr>
                  </w:pPr>
                  <w:r>
                    <w:rPr>
                      <w:rFonts w:ascii="Calibri"/>
                      <w:spacing w:val="-3"/>
                      <w:w w:val="100"/>
                      <w:sz w:val="24"/>
                    </w:rPr>
                    <w:t>E</w:t>
                  </w:r>
                  <w:r>
                    <w:rPr>
                      <w:rFonts w:ascii="Calibri"/>
                      <w:spacing w:val="1"/>
                      <w:w w:val="100"/>
                      <w:sz w:val="24"/>
                    </w:rPr>
                    <w:t>s</w:t>
                  </w:r>
                  <w:r>
                    <w:rPr>
                      <w:rFonts w:ascii="Calibri"/>
                      <w:spacing w:val="-1"/>
                      <w:w w:val="100"/>
                      <w:sz w:val="24"/>
                    </w:rPr>
                    <w:t>c</w:t>
                  </w:r>
                  <w:r>
                    <w:rPr>
                      <w:rFonts w:ascii="Calibri"/>
                      <w:spacing w:val="-2"/>
                      <w:w w:val="100"/>
                      <w:sz w:val="24"/>
                    </w:rPr>
                    <w:t>u</w:t>
                  </w:r>
                  <w:r>
                    <w:rPr>
                      <w:rFonts w:ascii="Calibri"/>
                      <w:spacing w:val="-3"/>
                      <w:w w:val="100"/>
                      <w:sz w:val="24"/>
                    </w:rPr>
                    <w:t>rri</w:t>
                  </w:r>
                  <w:r>
                    <w:rPr>
                      <w:rFonts w:ascii="Calibri"/>
                      <w:w w:val="100"/>
                      <w:sz w:val="24"/>
                    </w:rPr>
                    <w:t>m</w:t>
                  </w:r>
                  <w:r>
                    <w:rPr>
                      <w:rFonts w:ascii="Calibri"/>
                      <w:spacing w:val="-3"/>
                      <w:w w:val="100"/>
                      <w:sz w:val="24"/>
                    </w:rPr>
                    <w:t>i</w:t>
                  </w:r>
                  <w:r>
                    <w:rPr>
                      <w:rFonts w:ascii="Calibri"/>
                      <w:w w:val="100"/>
                      <w:sz w:val="24"/>
                    </w:rPr>
                    <w:t>e</w:t>
                  </w:r>
                  <w:r>
                    <w:rPr>
                      <w:rFonts w:ascii="Calibri"/>
                      <w:spacing w:val="-2"/>
                      <w:w w:val="100"/>
                      <w:sz w:val="24"/>
                    </w:rPr>
                    <w:t>n</w:t>
                  </w:r>
                  <w:r>
                    <w:rPr>
                      <w:rFonts w:ascii="Calibri"/>
                      <w:w w:val="100"/>
                      <w:sz w:val="24"/>
                    </w:rPr>
                    <w:t>to</w:t>
                  </w:r>
                  <w:r>
                    <w:rPr>
                      <w:rFonts w:ascii="Calibri"/>
                      <w:spacing w:val="5"/>
                      <w:sz w:val="24"/>
                    </w:rPr>
                    <w:t> </w:t>
                  </w:r>
                  <w:r>
                    <w:rPr>
                      <w:rFonts w:ascii="Calibri"/>
                      <w:spacing w:val="1"/>
                      <w:w w:val="100"/>
                      <w:sz w:val="24"/>
                    </w:rPr>
                    <w:t>s</w:t>
                  </w:r>
                  <w:r>
                    <w:rPr>
                      <w:rFonts w:ascii="Calibri"/>
                      <w:spacing w:val="-3"/>
                      <w:w w:val="100"/>
                      <w:sz w:val="24"/>
                    </w:rPr>
                    <w:t>i</w:t>
                  </w:r>
                  <w:r>
                    <w:rPr>
                      <w:rFonts w:ascii="Calibri"/>
                      <w:w w:val="100"/>
                      <w:sz w:val="24"/>
                    </w:rPr>
                    <w:t>m</w:t>
                  </w:r>
                  <w:r>
                    <w:rPr>
                      <w:rFonts w:ascii="Calibri"/>
                      <w:spacing w:val="-2"/>
                      <w:w w:val="100"/>
                      <w:sz w:val="24"/>
                    </w:rPr>
                    <w:t>u</w:t>
                  </w:r>
                  <w:r>
                    <w:rPr>
                      <w:rFonts w:ascii="Calibri"/>
                      <w:spacing w:val="-3"/>
                      <w:w w:val="100"/>
                      <w:sz w:val="24"/>
                    </w:rPr>
                    <w:t>l</w:t>
                  </w:r>
                  <w:r>
                    <w:rPr>
                      <w:rFonts w:ascii="Calibri"/>
                      <w:w w:val="100"/>
                      <w:sz w:val="24"/>
                    </w:rPr>
                    <w:t>a</w:t>
                  </w:r>
                  <w:r>
                    <w:rPr>
                      <w:rFonts w:ascii="Calibri"/>
                      <w:spacing w:val="-2"/>
                      <w:w w:val="100"/>
                      <w:sz w:val="24"/>
                    </w:rPr>
                    <w:t>d</w:t>
                  </w:r>
                  <w:r>
                    <w:rPr>
                      <w:rFonts w:ascii="Calibri"/>
                      <w:w w:val="100"/>
                      <w:sz w:val="24"/>
                    </w:rPr>
                    <w:t>o</w:t>
                  </w:r>
                  <w:r>
                    <w:rPr>
                      <w:rFonts w:ascii="Calibri"/>
                      <w:spacing w:val="1"/>
                      <w:sz w:val="24"/>
                    </w:rPr>
                    <w:t> </w:t>
                  </w:r>
                  <w:r>
                    <w:rPr>
                      <w:rFonts w:ascii="Calibri"/>
                      <w:spacing w:val="-1"/>
                      <w:w w:val="100"/>
                      <w:sz w:val="24"/>
                    </w:rPr>
                    <w:t>(</w:t>
                  </w:r>
                  <w:r>
                    <w:rPr>
                      <w:rFonts w:ascii="Calibri"/>
                      <w:w w:val="100"/>
                      <w:sz w:val="24"/>
                    </w:rPr>
                    <w:t>mm)</w:t>
                  </w:r>
                </w:p>
              </w:txbxContent>
            </v:textbox>
            <w10:wrap type="none"/>
          </v:shape>
        </w:pict>
      </w:r>
      <w:r>
        <w:rPr>
          <w:sz w:val="22"/>
        </w:rPr>
        <w:t>Fuente: Elaboración propia, 2014.</w:t>
      </w:r>
    </w:p>
    <w:p>
      <w:pPr>
        <w:pStyle w:val="Heading1"/>
        <w:spacing w:line="292" w:lineRule="exact" w:before="17"/>
        <w:ind w:left="386" w:right="1437" w:firstLine="13"/>
        <w:jc w:val="center"/>
      </w:pPr>
      <w:bookmarkStart w:name="_bookmark105" w:id="156"/>
      <w:bookmarkEnd w:id="156"/>
      <w:r>
        <w:rPr>
          <w:b w:val="0"/>
        </w:rPr>
      </w:r>
      <w:r>
        <w:rPr/>
        <w:t>Figura 30. Análisis de regresión para la producción </w:t>
      </w:r>
      <w:r>
        <w:rPr>
          <w:spacing w:val="-3"/>
        </w:rPr>
        <w:t>de </w:t>
      </w:r>
      <w:r>
        <w:rPr/>
        <w:t>escurrimientos medidos y simulados en la cuenca El Tejocote con el modelo SWAT en un período </w:t>
      </w:r>
      <w:r>
        <w:rPr>
          <w:spacing w:val="-3"/>
        </w:rPr>
        <w:t>de </w:t>
      </w:r>
      <w:r>
        <w:rPr/>
        <w:t>siete</w:t>
      </w:r>
      <w:r>
        <w:rPr>
          <w:spacing w:val="-24"/>
        </w:rPr>
        <w:t> </w:t>
      </w:r>
      <w:r>
        <w:rPr/>
        <w:t>años.</w:t>
      </w:r>
    </w:p>
    <w:p>
      <w:pPr>
        <w:pStyle w:val="BodyText"/>
        <w:rPr>
          <w:b/>
        </w:rPr>
      </w:pPr>
    </w:p>
    <w:p>
      <w:pPr>
        <w:pStyle w:val="BodyText"/>
        <w:spacing w:before="6"/>
        <w:rPr>
          <w:b/>
          <w:sz w:val="37"/>
        </w:rPr>
      </w:pPr>
    </w:p>
    <w:p>
      <w:pPr>
        <w:pStyle w:val="Heading1"/>
        <w:tabs>
          <w:tab w:pos="1096" w:val="left" w:leader="none"/>
        </w:tabs>
        <w:ind w:left="107"/>
      </w:pPr>
      <w:r>
        <w:rPr/>
        <w:t>5.</w:t>
      </w:r>
      <w:bookmarkStart w:name="_bookmark106" w:id="157"/>
      <w:bookmarkEnd w:id="157"/>
      <w:r>
        <w:rPr/>
        <w:t>2</w:t>
      </w:r>
      <w:r>
        <w:rPr/>
        <w:t>.1</w:t>
        <w:tab/>
        <w:t>Coeficiente </w:t>
      </w:r>
      <w:r>
        <w:rPr>
          <w:spacing w:val="-3"/>
        </w:rPr>
        <w:t>de</w:t>
      </w:r>
      <w:r>
        <w:rPr>
          <w:spacing w:val="-1"/>
        </w:rPr>
        <w:t> </w:t>
      </w:r>
      <w:r>
        <w:rPr/>
        <w:t>escurrimiento</w:t>
      </w:r>
    </w:p>
    <w:p>
      <w:pPr>
        <w:pStyle w:val="BodyText"/>
        <w:rPr>
          <w:b/>
        </w:rPr>
      </w:pPr>
    </w:p>
    <w:p>
      <w:pPr>
        <w:pStyle w:val="BodyText"/>
        <w:spacing w:before="7"/>
        <w:rPr>
          <w:b/>
          <w:sz w:val="25"/>
        </w:rPr>
      </w:pPr>
    </w:p>
    <w:p>
      <w:pPr>
        <w:pStyle w:val="BodyText"/>
        <w:spacing w:line="360" w:lineRule="auto"/>
        <w:ind w:left="376" w:right="1417"/>
        <w:jc w:val="both"/>
      </w:pPr>
      <w:r>
        <w:rPr/>
        <w:t>Con el fin de relacionar la lámina de agua precipitada sobre la cuenca y la lámina de agua que escurre superficialmente, se determinó el coeficiente de escurrimiento, donde se pudo observar que la cuenca tiene un coeficiente promedio de 1.00 sobre casi la totalidad del territorio, en menor medida es posible detectar un coeficiente de 2.00 en áreas ocupadas por agricultura de laderas y hasta 4.00 en áreas forestales; dichas cifras presentan una compatibilidad con los datos que reporta las SARH, (1988) (ver Figura 31).</w:t>
      </w:r>
    </w:p>
    <w:p>
      <w:pPr>
        <w:spacing w:after="0" w:line="360" w:lineRule="auto"/>
        <w:jc w:val="both"/>
        <w:sectPr>
          <w:footerReference w:type="default" r:id="rId134"/>
          <w:pgSz w:w="12240" w:h="15840"/>
          <w:pgMar w:footer="1473" w:header="0" w:top="1400" w:bottom="1660" w:left="1040" w:right="0"/>
        </w:sectPr>
      </w:pPr>
    </w:p>
    <w:p>
      <w:pPr>
        <w:pStyle w:val="BodyText"/>
        <w:spacing w:before="9"/>
        <w:rPr>
          <w:sz w:val="23"/>
        </w:rPr>
      </w:pPr>
    </w:p>
    <w:p>
      <w:pPr>
        <w:pStyle w:val="BodyText"/>
        <w:ind w:left="115"/>
        <w:rPr>
          <w:sz w:val="20"/>
        </w:rPr>
      </w:pPr>
      <w:r>
        <w:rPr>
          <w:sz w:val="20"/>
        </w:rPr>
        <w:drawing>
          <wp:inline distT="0" distB="0" distL="0" distR="0">
            <wp:extent cx="8721633" cy="5506974"/>
            <wp:effectExtent l="0" t="0" r="0" b="0"/>
            <wp:docPr id="27" name="image96.jpeg" descr=""/>
            <wp:cNvGraphicFramePr>
              <a:graphicFrameLocks noChangeAspect="1"/>
            </wp:cNvGraphicFramePr>
            <a:graphic>
              <a:graphicData uri="http://schemas.openxmlformats.org/drawingml/2006/picture">
                <pic:pic>
                  <pic:nvPicPr>
                    <pic:cNvPr id="28" name="image96.jpeg"/>
                    <pic:cNvPicPr/>
                  </pic:nvPicPr>
                  <pic:blipFill>
                    <a:blip r:embed="rId140" cstate="print"/>
                    <a:stretch>
                      <a:fillRect/>
                    </a:stretch>
                  </pic:blipFill>
                  <pic:spPr>
                    <a:xfrm>
                      <a:off x="0" y="0"/>
                      <a:ext cx="8721633" cy="5506974"/>
                    </a:xfrm>
                    <a:prstGeom prst="rect">
                      <a:avLst/>
                    </a:prstGeom>
                  </pic:spPr>
                </pic:pic>
              </a:graphicData>
            </a:graphic>
          </wp:inline>
        </w:drawing>
      </w:r>
      <w:r>
        <w:rPr>
          <w:sz w:val="20"/>
        </w:rPr>
      </w:r>
    </w:p>
    <w:p>
      <w:pPr>
        <w:spacing w:after="0"/>
        <w:rPr>
          <w:sz w:val="20"/>
        </w:rPr>
        <w:sectPr>
          <w:footerReference w:type="default" r:id="rId139"/>
          <w:pgSz w:w="15840" w:h="12240" w:orient="landscape"/>
          <w:pgMar w:footer="0" w:header="0" w:top="1140" w:bottom="280" w:left="1020" w:right="900"/>
        </w:sectPr>
      </w:pPr>
    </w:p>
    <w:p>
      <w:pPr>
        <w:pStyle w:val="Heading1"/>
        <w:spacing w:before="18"/>
        <w:ind w:left="4146" w:right="-15"/>
        <w:rPr>
          <w:i/>
        </w:rPr>
      </w:pPr>
      <w:bookmarkStart w:name="_bookmark107" w:id="158"/>
      <w:bookmarkEnd w:id="158"/>
      <w:r>
        <w:rPr>
          <w:b w:val="0"/>
        </w:rPr>
      </w:r>
      <w:r>
        <w:rPr/>
        <w:t>Figura 31. Mapa Coeficiente </w:t>
      </w:r>
      <w:r>
        <w:rPr>
          <w:spacing w:val="-3"/>
        </w:rPr>
        <w:t>de </w:t>
      </w:r>
      <w:r>
        <w:rPr/>
        <w:t>Escurrimiento</w:t>
      </w:r>
      <w:r>
        <w:rPr>
          <w:i/>
        </w:rPr>
        <w:t>.</w:t>
      </w:r>
    </w:p>
    <w:p>
      <w:pPr>
        <w:pStyle w:val="BodyText"/>
        <w:rPr>
          <w:b/>
          <w:i/>
          <w:sz w:val="22"/>
        </w:rPr>
      </w:pPr>
      <w:r>
        <w:rPr/>
        <w:br w:type="column"/>
      </w:r>
      <w:r>
        <w:rPr>
          <w:b/>
          <w:i/>
          <w:sz w:val="22"/>
        </w:rPr>
      </w:r>
    </w:p>
    <w:p>
      <w:pPr>
        <w:spacing w:before="182"/>
        <w:ind w:left="0" w:right="515" w:firstLine="0"/>
        <w:jc w:val="right"/>
        <w:rPr>
          <w:rFonts w:ascii="Calibri"/>
          <w:sz w:val="22"/>
        </w:rPr>
      </w:pPr>
      <w:r>
        <w:rPr>
          <w:rFonts w:ascii="Calibri"/>
          <w:sz w:val="22"/>
        </w:rPr>
        <w:t>132</w:t>
      </w:r>
    </w:p>
    <w:p>
      <w:pPr>
        <w:spacing w:after="0"/>
        <w:jc w:val="right"/>
        <w:rPr>
          <w:rFonts w:ascii="Calibri"/>
          <w:sz w:val="22"/>
        </w:rPr>
        <w:sectPr>
          <w:type w:val="continuous"/>
          <w:pgSz w:w="15840" w:h="12240" w:orient="landscape"/>
          <w:pgMar w:top="1500" w:bottom="280" w:left="1020" w:right="900"/>
          <w:cols w:num="2" w:equalWidth="0">
            <w:col w:w="9363" w:space="40"/>
            <w:col w:w="4517"/>
          </w:cols>
        </w:sectPr>
      </w:pPr>
    </w:p>
    <w:p>
      <w:pPr>
        <w:pStyle w:val="Heading1"/>
        <w:numPr>
          <w:ilvl w:val="2"/>
          <w:numId w:val="51"/>
        </w:numPr>
        <w:tabs>
          <w:tab w:pos="837" w:val="left" w:leader="none"/>
        </w:tabs>
        <w:spacing w:line="240" w:lineRule="auto" w:before="52" w:after="0"/>
        <w:ind w:left="837" w:right="0" w:hanging="721"/>
        <w:jc w:val="both"/>
      </w:pPr>
      <w:bookmarkStart w:name="_bookmark108" w:id="159"/>
      <w:bookmarkEnd w:id="159"/>
      <w:r>
        <w:rPr>
          <w:b w:val="0"/>
        </w:rPr>
      </w:r>
      <w:bookmarkStart w:name="_bookmark108" w:id="160"/>
      <w:bookmarkEnd w:id="160"/>
      <w:r>
        <w:rPr/>
        <w:t>G</w:t>
      </w:r>
      <w:r>
        <w:rPr/>
        <w:t>asto medio mensual por</w:t>
      </w:r>
      <w:r>
        <w:rPr>
          <w:spacing w:val="-17"/>
        </w:rPr>
        <w:t> </w:t>
      </w:r>
      <w:r>
        <w:rPr/>
        <w:t>subcuenca</w:t>
      </w:r>
    </w:p>
    <w:p>
      <w:pPr>
        <w:pStyle w:val="BodyText"/>
        <w:rPr>
          <w:b/>
        </w:rPr>
      </w:pPr>
    </w:p>
    <w:p>
      <w:pPr>
        <w:pStyle w:val="BodyText"/>
        <w:spacing w:before="10"/>
        <w:rPr>
          <w:b/>
          <w:sz w:val="21"/>
        </w:rPr>
      </w:pPr>
    </w:p>
    <w:p>
      <w:pPr>
        <w:pStyle w:val="BodyText"/>
        <w:spacing w:line="360" w:lineRule="auto"/>
        <w:ind w:left="116" w:right="170"/>
        <w:jc w:val="both"/>
      </w:pPr>
      <w:r>
        <w:rPr/>
        <w:pict>
          <v:group style="position:absolute;margin-left:70.320pt;margin-top:134.246719pt;width:473.8pt;height:234.5pt;mso-position-horizontal-relative:page;mso-position-vertical-relative:paragraph;z-index:-1037344" coordorigin="1406,2685" coordsize="9476,4690">
            <v:shape style="position:absolute;left:2839;top:5783;width:7810;height:2" coordorigin="2839,5783" coordsize="7810,0" path="m10296,5783l10649,5783m10027,5783l10190,5783m8952,5783l9922,5783m7603,5783l8842,5783m7334,5783l7498,5783m6528,5783l7229,5783m5990,5783l6418,5783m5453,5783l5880,5783m5179,5783l5342,5783m4642,5783l5074,5783m2839,5783l4536,5783e" filled="false" stroked="true" strokeweight=".72pt" strokecolor="#3a3838">
              <v:path arrowok="t"/>
            </v:shape>
            <v:shape style="position:absolute;left:4536;top:5301;width:1186;height:1052" coordorigin="4536,5301" coordsize="1186,1052" path="m4642,5709l4536,5709,4536,6352,4642,6352,4642,5709m4910,6160l4805,6160,4805,6352,4910,6352,4910,6160m5179,5522l5074,5522,5074,6352,5179,6352,5179,5522m5453,5301l5342,5301,5342,6352,5453,6352,5453,5301m5722,6093l5611,6093,5611,6352,5722,6352,5722,6093e" filled="true" fillcolor="#000000" stroked="false">
              <v:path arrowok="t"/>
              <v:fill type="solid"/>
            </v:shape>
            <v:shape style="position:absolute;left:2839;top:5212;width:3579;height:2" coordorigin="2839,5212" coordsize="3579,0" path="m5990,5212l6418,5212m2839,5212l5880,5212e" filled="false" stroked="true" strokeweight=".72pt" strokecolor="#3a3838">
              <v:path arrowok="t"/>
            </v:shape>
            <v:shape style="position:absolute;left:5880;top:4898;width:380;height:1455" coordorigin="5880,4898" coordsize="380,1455" path="m5990,4898l5880,4898,5880,6352,5990,6352,5990,4898m6259,6203l6149,6203,6149,6352,6259,6352,6259,6203e" filled="true" fillcolor="#000000" stroked="false">
              <v:path arrowok="t"/>
              <v:fill type="solid"/>
            </v:shape>
            <v:line style="position:absolute" from="6528,5212" to="7229,5212" stroked="true" strokeweight=".72pt" strokecolor="#3a3838"/>
            <v:rect style="position:absolute;left:6418;top:4754;width:110;height:1598" filled="true" fillcolor="#000000" stroked="false">
              <v:fill type="solid"/>
            </v:rect>
            <v:line style="position:absolute" from="6691,6321" to="6797,6321" stroked="true" strokeweight="3.12pt" strokecolor="#000000"/>
            <v:rect style="position:absolute;left:6960;top:6175;width:106;height:178" filled="true" fillcolor="#000000" stroked="false">
              <v:fill type="solid"/>
            </v:rect>
            <v:shape style="position:absolute;left:2839;top:4641;width:4659;height:572" coordorigin="2839,4641" coordsize="4659,572" path="m7334,5212l7498,5212m7334,4641l7498,4641m2839,4641l7229,4641e" filled="false" stroked="true" strokeweight=".72pt" strokecolor="#3a3838">
              <v:path arrowok="t"/>
            </v:shape>
            <v:rect style="position:absolute;left:7229;top:4581;width:106;height:1771" filled="true" fillcolor="#000000" stroked="false">
              <v:fill type="solid"/>
            </v:rect>
            <v:shape style="position:absolute;left:7603;top:4641;width:1239;height:572" coordorigin="7603,4641" coordsize="1239,572" path="m7603,5212l8842,5212m7603,4641l8842,4641e" filled="false" stroked="true" strokeweight=".72pt" strokecolor="#3a3838">
              <v:path arrowok="t"/>
            </v:shape>
            <v:rect style="position:absolute;left:7498;top:4528;width:106;height:1824" filled="true" fillcolor="#000000" stroked="false">
              <v:fill type="solid"/>
            </v:rect>
            <v:line style="position:absolute" from="7766,6321" to="7872,6321" stroked="true" strokeweight="3.12pt" strokecolor="#000000"/>
            <v:rect style="position:absolute;left:8035;top:6136;width:110;height:216" filled="true" fillcolor="#000000" stroked="false">
              <v:fill type="solid"/>
            </v:rect>
            <v:line style="position:absolute" from="8304,6321" to="8414,6321" stroked="true" strokeweight="3.12pt" strokecolor="#000000"/>
            <v:rect style="position:absolute;left:8573;top:6232;width:110;height:120" filled="true" fillcolor="#000000" stroked="false">
              <v:fill type="solid"/>
            </v:rect>
            <v:shape style="position:absolute;left:8952;top:4641;width:970;height:572" coordorigin="8952,4641" coordsize="970,572" path="m8952,5212l9922,5212m8952,4641l9922,4641e" filled="false" stroked="true" strokeweight=".72pt" strokecolor="#3a3838">
              <v:path arrowok="t"/>
            </v:shape>
            <v:shape style="position:absolute;left:8842;top:4307;width:917;height:2045" coordorigin="8842,4307" coordsize="917,2045" path="m8952,4307l8842,4307,8842,6352,8952,6352,8952,4307m9221,6055l9115,6055,9115,6352,9221,6352,9221,6055m9490,6256l9384,6256,9384,6352,9490,6352,9490,6256m9758,6151l9653,6151,9653,6352,9758,6352,9758,6151e" filled="true" fillcolor="#000000" stroked="false">
              <v:path arrowok="t"/>
              <v:fill type="solid"/>
            </v:shape>
            <v:shape style="position:absolute;left:2839;top:4075;width:7352;height:1138" coordorigin="2839,4075" coordsize="7352,1138" path="m10027,5212l10190,5212m10027,4641l10190,4641m10027,4075l10190,4075m2839,4075l9922,4075e" filled="false" stroked="true" strokeweight=".72pt" strokecolor="#3a3838">
              <v:path arrowok="t"/>
            </v:shape>
            <v:rect style="position:absolute;left:9922;top:3770;width:106;height:2582" filled="true" fillcolor="#000000" stroked="false">
              <v:fill type="solid"/>
            </v:rect>
            <v:shape style="position:absolute;left:2839;top:3503;width:7810;height:1709" coordorigin="2839,3503" coordsize="7810,1709" path="m10296,5212l10649,5212m10296,4641l10649,4641m10296,4075l10649,4075m10296,3503l10649,3503m2839,3503l10190,3503e" filled="false" stroked="true" strokeweight=".72pt" strokecolor="#3a3838">
              <v:path arrowok="t"/>
            </v:shape>
            <v:shape style="position:absolute;left:2918;top:3275;width:7652;height:3077" coordorigin="2918,3275" coordsize="7652,3077" path="m3029,6261l2918,6261,2918,6352,3029,6352,3029,6261m10296,3275l10190,3275,10190,6352,10296,6352,10296,3275m10570,6002l10459,6002,10459,6352,10570,6352,10570,6002e" filled="true" fillcolor="#000000" stroked="false">
              <v:path arrowok="t"/>
              <v:fill type="solid"/>
            </v:shape>
            <v:line style="position:absolute" from="3187,6319" to="3298,6319" stroked="true" strokeweight="3.36pt" strokecolor="#000000"/>
            <v:shape style="position:absolute;left:3456;top:5935;width:917;height:418" coordorigin="3456,5935" coordsize="917,418" path="m3566,6175l3456,6175,3456,6352,3566,6352,3566,6175m3835,6151l3725,6151,3725,6352,3835,6352,3835,6151m4104,5935l3998,5935,3998,6352,4104,6352,4104,5935m4373,6127l4267,6127,4267,6352,4373,6352,4373,6127e" filled="true" fillcolor="#000000" stroked="false">
              <v:path arrowok="t"/>
              <v:fill type="solid"/>
            </v:shape>
            <v:line style="position:absolute" from="2839,6355" to="10649,6355" stroked="true" strokeweight=".72pt" strokecolor="#d9d9d9"/>
            <v:line style="position:absolute" from="2839,2932" to="10649,2932" stroked="true" strokeweight=".72pt" strokecolor="#3a3838"/>
            <v:rect style="position:absolute;left:1418;top:2697;width:9451;height:4666" filled="false" stroked="true" strokeweight="1.2pt" strokecolor="#000000"/>
            <v:shape style="position:absolute;left:2022;top:2834;width:614;height:3642" type="#_x0000_t202" filled="false" stroked="false">
              <v:textbox inset="0,0,0,0">
                <w:txbxContent>
                  <w:p>
                    <w:pPr>
                      <w:spacing w:line="225" w:lineRule="exact" w:before="0"/>
                      <w:ind w:left="0" w:right="0" w:firstLine="0"/>
                      <w:jc w:val="center"/>
                      <w:rPr>
                        <w:rFonts w:ascii="Calibri"/>
                        <w:sz w:val="22"/>
                      </w:rPr>
                    </w:pPr>
                    <w:r>
                      <w:rPr>
                        <w:rFonts w:ascii="Calibri"/>
                        <w:sz w:val="22"/>
                      </w:rPr>
                      <w:t>120.00</w:t>
                    </w:r>
                  </w:p>
                  <w:p>
                    <w:pPr>
                      <w:spacing w:line="240" w:lineRule="auto" w:before="2"/>
                      <w:rPr>
                        <w:sz w:val="26"/>
                      </w:rPr>
                    </w:pPr>
                  </w:p>
                  <w:p>
                    <w:pPr>
                      <w:spacing w:before="0"/>
                      <w:ind w:left="0" w:right="0" w:firstLine="0"/>
                      <w:jc w:val="center"/>
                      <w:rPr>
                        <w:rFonts w:ascii="Calibri"/>
                        <w:sz w:val="22"/>
                      </w:rPr>
                    </w:pPr>
                    <w:r>
                      <w:rPr>
                        <w:rFonts w:ascii="Calibri"/>
                        <w:sz w:val="22"/>
                      </w:rPr>
                      <w:t>100.00</w:t>
                    </w:r>
                  </w:p>
                  <w:p>
                    <w:pPr>
                      <w:spacing w:line="240" w:lineRule="auto" w:before="2"/>
                      <w:rPr>
                        <w:sz w:val="26"/>
                      </w:rPr>
                    </w:pPr>
                  </w:p>
                  <w:p>
                    <w:pPr>
                      <w:spacing w:before="0"/>
                      <w:ind w:left="110" w:right="0" w:firstLine="0"/>
                      <w:jc w:val="center"/>
                      <w:rPr>
                        <w:rFonts w:ascii="Calibri"/>
                        <w:sz w:val="22"/>
                      </w:rPr>
                    </w:pPr>
                    <w:r>
                      <w:rPr>
                        <w:rFonts w:ascii="Calibri"/>
                        <w:sz w:val="22"/>
                      </w:rPr>
                      <w:t>80.00</w:t>
                    </w:r>
                  </w:p>
                  <w:p>
                    <w:pPr>
                      <w:spacing w:line="240" w:lineRule="auto" w:before="2"/>
                      <w:rPr>
                        <w:sz w:val="26"/>
                      </w:rPr>
                    </w:pPr>
                  </w:p>
                  <w:p>
                    <w:pPr>
                      <w:spacing w:before="0"/>
                      <w:ind w:left="110" w:right="0" w:firstLine="0"/>
                      <w:jc w:val="center"/>
                      <w:rPr>
                        <w:rFonts w:ascii="Calibri"/>
                        <w:sz w:val="22"/>
                      </w:rPr>
                    </w:pPr>
                    <w:r>
                      <w:rPr>
                        <w:rFonts w:ascii="Calibri"/>
                        <w:sz w:val="22"/>
                      </w:rPr>
                      <w:t>60.00</w:t>
                    </w:r>
                  </w:p>
                  <w:p>
                    <w:pPr>
                      <w:spacing w:line="240" w:lineRule="auto" w:before="2"/>
                      <w:rPr>
                        <w:sz w:val="26"/>
                      </w:rPr>
                    </w:pPr>
                  </w:p>
                  <w:p>
                    <w:pPr>
                      <w:spacing w:before="0"/>
                      <w:ind w:left="110" w:right="0" w:firstLine="0"/>
                      <w:jc w:val="center"/>
                      <w:rPr>
                        <w:rFonts w:ascii="Calibri"/>
                        <w:sz w:val="22"/>
                      </w:rPr>
                    </w:pPr>
                    <w:r>
                      <w:rPr>
                        <w:rFonts w:ascii="Calibri"/>
                        <w:sz w:val="22"/>
                      </w:rPr>
                      <w:t>40.00</w:t>
                    </w:r>
                  </w:p>
                  <w:p>
                    <w:pPr>
                      <w:spacing w:line="240" w:lineRule="auto" w:before="2"/>
                      <w:rPr>
                        <w:sz w:val="26"/>
                      </w:rPr>
                    </w:pPr>
                  </w:p>
                  <w:p>
                    <w:pPr>
                      <w:spacing w:before="0"/>
                      <w:ind w:left="110" w:right="0" w:firstLine="0"/>
                      <w:jc w:val="center"/>
                      <w:rPr>
                        <w:rFonts w:ascii="Calibri"/>
                        <w:sz w:val="22"/>
                      </w:rPr>
                    </w:pPr>
                    <w:r>
                      <w:rPr>
                        <w:rFonts w:ascii="Calibri"/>
                        <w:sz w:val="22"/>
                      </w:rPr>
                      <w:t>20.00</w:t>
                    </w:r>
                  </w:p>
                  <w:p>
                    <w:pPr>
                      <w:spacing w:line="240" w:lineRule="auto" w:before="2"/>
                      <w:rPr>
                        <w:sz w:val="26"/>
                      </w:rPr>
                    </w:pPr>
                  </w:p>
                  <w:p>
                    <w:pPr>
                      <w:spacing w:line="265" w:lineRule="exact" w:before="0"/>
                      <w:ind w:left="223" w:right="0" w:firstLine="0"/>
                      <w:jc w:val="center"/>
                      <w:rPr>
                        <w:rFonts w:ascii="Calibri"/>
                        <w:sz w:val="22"/>
                      </w:rPr>
                    </w:pPr>
                    <w:r>
                      <w:rPr>
                        <w:rFonts w:ascii="Calibri"/>
                        <w:sz w:val="22"/>
                      </w:rPr>
                      <w:t>0.00</w:t>
                    </w:r>
                  </w:p>
                </w:txbxContent>
              </v:textbox>
              <w10:wrap type="none"/>
            </v:shape>
            <v:shape style="position:absolute;left:2918;top:6540;width:7709;height:574" type="#_x0000_t202" filled="false" stroked="false">
              <v:textbox inset="0,0,0,0">
                <w:txbxContent>
                  <w:p>
                    <w:pPr>
                      <w:spacing w:line="225" w:lineRule="exact" w:before="0"/>
                      <w:ind w:left="-1" w:right="0" w:firstLine="0"/>
                      <w:jc w:val="center"/>
                      <w:rPr>
                        <w:rFonts w:ascii="Calibri"/>
                        <w:sz w:val="22"/>
                      </w:rPr>
                    </w:pPr>
                    <w:r>
                      <w:rPr>
                        <w:rFonts w:ascii="Calibri"/>
                        <w:sz w:val="22"/>
                      </w:rPr>
                      <w:t>1   2   3   4   5   6   7   8   9  10 11 12 13 14 15 16 17 18 19 20 21 22 23 24 25 26 27 28</w:t>
                    </w:r>
                    <w:r>
                      <w:rPr>
                        <w:rFonts w:ascii="Calibri"/>
                        <w:spacing w:val="-13"/>
                        <w:sz w:val="22"/>
                      </w:rPr>
                      <w:t> </w:t>
                    </w:r>
                    <w:r>
                      <w:rPr>
                        <w:rFonts w:ascii="Calibri"/>
                        <w:sz w:val="22"/>
                      </w:rPr>
                      <w:t>29</w:t>
                    </w:r>
                  </w:p>
                  <w:p>
                    <w:pPr>
                      <w:spacing w:line="289" w:lineRule="exact" w:before="60"/>
                      <w:ind w:left="3282" w:right="3334" w:firstLine="0"/>
                      <w:jc w:val="center"/>
                      <w:rPr>
                        <w:rFonts w:ascii="Calibri"/>
                        <w:sz w:val="24"/>
                      </w:rPr>
                    </w:pPr>
                    <w:r>
                      <w:rPr>
                        <w:rFonts w:ascii="Calibri"/>
                        <w:sz w:val="24"/>
                      </w:rPr>
                      <w:t>Subcuenca</w:t>
                    </w:r>
                  </w:p>
                </w:txbxContent>
              </v:textbox>
              <w10:wrap type="none"/>
            </v:shape>
            <w10:wrap type="none"/>
          </v:group>
        </w:pict>
      </w:r>
      <w:r>
        <w:rPr/>
        <w:pict>
          <v:shape style="position:absolute;margin-left:84.386002pt;margin-top:188.027481pt;width:14.6pt;height:89pt;mso-position-horizontal-relative:page;mso-position-vertical-relative:paragraph;z-index:5656" type="#_x0000_t202" filled="false" stroked="false">
            <v:textbox inset="0,0,0,0" style="layout-flow:vertical;mso-layout-flow-alt:bottom-to-top">
              <w:txbxContent>
                <w:p>
                  <w:pPr>
                    <w:spacing w:line="276" w:lineRule="exact" w:before="0"/>
                    <w:ind w:left="20" w:right="-364" w:firstLine="0"/>
                    <w:jc w:val="left"/>
                    <w:rPr>
                      <w:rFonts w:ascii="Calibri"/>
                      <w:sz w:val="24"/>
                    </w:rPr>
                  </w:pPr>
                  <w:r>
                    <w:rPr>
                      <w:rFonts w:ascii="Calibri"/>
                      <w:spacing w:val="1"/>
                      <w:w w:val="100"/>
                      <w:sz w:val="24"/>
                    </w:rPr>
                    <w:t>G</w:t>
                  </w:r>
                  <w:r>
                    <w:rPr>
                      <w:rFonts w:ascii="Calibri"/>
                      <w:w w:val="100"/>
                      <w:sz w:val="24"/>
                    </w:rPr>
                    <w:t>a</w:t>
                  </w:r>
                  <w:r>
                    <w:rPr>
                      <w:rFonts w:ascii="Calibri"/>
                      <w:spacing w:val="-3"/>
                      <w:w w:val="100"/>
                      <w:sz w:val="24"/>
                    </w:rPr>
                    <w:t>s</w:t>
                  </w:r>
                  <w:r>
                    <w:rPr>
                      <w:rFonts w:ascii="Calibri"/>
                      <w:w w:val="100"/>
                      <w:sz w:val="24"/>
                    </w:rPr>
                    <w:t>to</w:t>
                  </w:r>
                  <w:r>
                    <w:rPr>
                      <w:rFonts w:ascii="Calibri"/>
                      <w:spacing w:val="-9"/>
                      <w:sz w:val="24"/>
                    </w:rPr>
                    <w:t> </w:t>
                  </w:r>
                  <w:r>
                    <w:rPr>
                      <w:rFonts w:ascii="Calibri"/>
                      <w:w w:val="100"/>
                      <w:sz w:val="24"/>
                    </w:rPr>
                    <w:t>me</w:t>
                  </w:r>
                  <w:r>
                    <w:rPr>
                      <w:rFonts w:ascii="Calibri"/>
                      <w:spacing w:val="-2"/>
                      <w:w w:val="100"/>
                      <w:sz w:val="24"/>
                    </w:rPr>
                    <w:t>d</w:t>
                  </w:r>
                  <w:r>
                    <w:rPr>
                      <w:rFonts w:ascii="Calibri"/>
                      <w:spacing w:val="-3"/>
                      <w:w w:val="100"/>
                      <w:sz w:val="24"/>
                    </w:rPr>
                    <w:t>i</w:t>
                  </w:r>
                  <w:r>
                    <w:rPr>
                      <w:rFonts w:ascii="Calibri"/>
                      <w:w w:val="100"/>
                      <w:sz w:val="24"/>
                    </w:rPr>
                    <w:t>o</w:t>
                  </w:r>
                  <w:r>
                    <w:rPr>
                      <w:rFonts w:ascii="Calibri"/>
                      <w:spacing w:val="5"/>
                      <w:sz w:val="24"/>
                    </w:rPr>
                    <w:t> </w:t>
                  </w:r>
                  <w:r>
                    <w:rPr>
                      <w:rFonts w:ascii="Calibri"/>
                      <w:spacing w:val="1"/>
                      <w:w w:val="100"/>
                      <w:sz w:val="24"/>
                    </w:rPr>
                    <w:t>m</w:t>
                  </w:r>
                  <w:r>
                    <w:rPr>
                      <w:rFonts w:ascii="Calibri"/>
                      <w:spacing w:val="1"/>
                      <w:w w:val="99"/>
                      <w:position w:val="7"/>
                      <w:sz w:val="16"/>
                    </w:rPr>
                    <w:t>3</w:t>
                  </w:r>
                  <w:r>
                    <w:rPr>
                      <w:rFonts w:ascii="Calibri"/>
                      <w:spacing w:val="-7"/>
                      <w:w w:val="100"/>
                      <w:sz w:val="24"/>
                    </w:rPr>
                    <w:t>/s</w:t>
                  </w:r>
                </w:p>
              </w:txbxContent>
            </v:textbox>
            <w10:wrap type="none"/>
          </v:shape>
        </w:pict>
      </w:r>
      <w:r>
        <w:rPr/>
        <w:t>Para distinguir el área que produce mayor cantidad de escurrimientos y enfocar las alternativas</w:t>
      </w:r>
      <w:r>
        <w:rPr>
          <w:spacing w:val="-6"/>
        </w:rPr>
        <w:t> </w:t>
      </w:r>
      <w:r>
        <w:rPr/>
        <w:t>de</w:t>
      </w:r>
      <w:r>
        <w:rPr>
          <w:spacing w:val="-6"/>
        </w:rPr>
        <w:t> </w:t>
      </w:r>
      <w:r>
        <w:rPr/>
        <w:t>uso</w:t>
      </w:r>
      <w:r>
        <w:rPr>
          <w:spacing w:val="-6"/>
        </w:rPr>
        <w:t> </w:t>
      </w:r>
      <w:r>
        <w:rPr/>
        <w:t>de</w:t>
      </w:r>
      <w:r>
        <w:rPr>
          <w:spacing w:val="-6"/>
        </w:rPr>
        <w:t> </w:t>
      </w:r>
      <w:r>
        <w:rPr/>
        <w:t>suelo</w:t>
      </w:r>
      <w:r>
        <w:rPr>
          <w:spacing w:val="-6"/>
        </w:rPr>
        <w:t> </w:t>
      </w:r>
      <w:r>
        <w:rPr/>
        <w:t>a</w:t>
      </w:r>
      <w:r>
        <w:rPr>
          <w:spacing w:val="-11"/>
        </w:rPr>
        <w:t> </w:t>
      </w:r>
      <w:r>
        <w:rPr/>
        <w:t>dichas,</w:t>
      </w:r>
      <w:r>
        <w:rPr>
          <w:spacing w:val="-9"/>
        </w:rPr>
        <w:t> </w:t>
      </w:r>
      <w:r>
        <w:rPr/>
        <w:t>la</w:t>
      </w:r>
      <w:r>
        <w:rPr>
          <w:spacing w:val="-6"/>
        </w:rPr>
        <w:t> </w:t>
      </w:r>
      <w:r>
        <w:rPr/>
        <w:t>siguiente</w:t>
      </w:r>
      <w:r>
        <w:rPr>
          <w:spacing w:val="-6"/>
        </w:rPr>
        <w:t> </w:t>
      </w:r>
      <w:r>
        <w:rPr/>
        <w:t>Figura</w:t>
      </w:r>
      <w:r>
        <w:rPr>
          <w:spacing w:val="-3"/>
        </w:rPr>
        <w:t> </w:t>
      </w:r>
      <w:r>
        <w:rPr/>
        <w:t>32</w:t>
      </w:r>
      <w:r>
        <w:rPr>
          <w:spacing w:val="-6"/>
        </w:rPr>
        <w:t> </w:t>
      </w:r>
      <w:r>
        <w:rPr/>
        <w:t>reporta</w:t>
      </w:r>
      <w:r>
        <w:rPr>
          <w:spacing w:val="-6"/>
        </w:rPr>
        <w:t> </w:t>
      </w:r>
      <w:r>
        <w:rPr/>
        <w:t>los</w:t>
      </w:r>
      <w:r>
        <w:rPr>
          <w:spacing w:val="-6"/>
        </w:rPr>
        <w:t> </w:t>
      </w:r>
      <w:r>
        <w:rPr/>
        <w:t>resultados</w:t>
      </w:r>
      <w:r>
        <w:rPr>
          <w:spacing w:val="-6"/>
        </w:rPr>
        <w:t> </w:t>
      </w:r>
      <w:r>
        <w:rPr/>
        <w:t>arrojados durante los siete años de simulación, teniendo que únicamente los subcuenca 6, 8, 15, 16, 19, 20, 21, 22, 25 y 26 tienen un gasto por debajo de los 20 m</w:t>
      </w:r>
      <w:r>
        <w:rPr>
          <w:position w:val="9"/>
          <w:sz w:val="17"/>
        </w:rPr>
        <w:t>3</w:t>
      </w:r>
      <w:r>
        <w:rPr/>
        <w:t>/s, por tanto se afirma que casi la totalidad de la cuenca requiere de técnicas que controlen la producción de escurrimiento.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30"/>
        </w:rPr>
      </w:pPr>
    </w:p>
    <w:p>
      <w:pPr>
        <w:spacing w:before="1"/>
        <w:ind w:left="1955" w:right="2013" w:firstLine="0"/>
        <w:jc w:val="center"/>
        <w:rPr>
          <w:sz w:val="22"/>
        </w:rPr>
      </w:pPr>
      <w:r>
        <w:rPr>
          <w:sz w:val="22"/>
        </w:rPr>
        <w:t>Fuente: Elaboración propia, 2014.</w:t>
      </w:r>
    </w:p>
    <w:p>
      <w:pPr>
        <w:pStyle w:val="Heading1"/>
        <w:spacing w:before="2"/>
        <w:ind w:left="1955" w:right="2021"/>
        <w:jc w:val="center"/>
      </w:pPr>
      <w:bookmarkStart w:name="_bookmark109" w:id="161"/>
      <w:bookmarkEnd w:id="161"/>
      <w:r>
        <w:rPr>
          <w:b w:val="0"/>
        </w:rPr>
      </w:r>
      <w:r>
        <w:rPr/>
        <w:t>Figura 32. Escurrimiento promedio por subcuenca.</w:t>
      </w:r>
    </w:p>
    <w:p>
      <w:pPr>
        <w:pStyle w:val="BodyText"/>
        <w:rPr>
          <w:b/>
        </w:rPr>
      </w:pPr>
    </w:p>
    <w:p>
      <w:pPr>
        <w:pStyle w:val="BodyText"/>
        <w:rPr>
          <w:b/>
        </w:rPr>
      </w:pPr>
    </w:p>
    <w:p>
      <w:pPr>
        <w:pStyle w:val="BodyText"/>
        <w:spacing w:before="6"/>
        <w:rPr>
          <w:b/>
          <w:sz w:val="25"/>
        </w:rPr>
      </w:pPr>
    </w:p>
    <w:p>
      <w:pPr>
        <w:pStyle w:val="Heading1"/>
        <w:numPr>
          <w:ilvl w:val="2"/>
          <w:numId w:val="51"/>
        </w:numPr>
        <w:tabs>
          <w:tab w:pos="708" w:val="left" w:leader="none"/>
        </w:tabs>
        <w:spacing w:line="240" w:lineRule="auto" w:before="0" w:after="0"/>
        <w:ind w:left="707" w:right="0" w:hanging="591"/>
        <w:jc w:val="both"/>
      </w:pPr>
      <w:bookmarkStart w:name="_bookmark110" w:id="162"/>
      <w:bookmarkEnd w:id="162"/>
      <w:r>
        <w:rPr>
          <w:b w:val="0"/>
        </w:rPr>
      </w:r>
      <w:bookmarkStart w:name="_bookmark110" w:id="163"/>
      <w:bookmarkEnd w:id="163"/>
      <w:r>
        <w:rPr/>
        <w:t>C</w:t>
      </w:r>
      <w:r>
        <w:rPr/>
        <w:t>ondición hidrológica </w:t>
      </w:r>
      <w:r>
        <w:rPr>
          <w:spacing w:val="-3"/>
        </w:rPr>
        <w:t>de </w:t>
      </w:r>
      <w:r>
        <w:rPr/>
        <w:t>la</w:t>
      </w:r>
      <w:r>
        <w:rPr>
          <w:spacing w:val="-13"/>
        </w:rPr>
        <w:t> </w:t>
      </w:r>
      <w:r>
        <w:rPr/>
        <w:t>cuenca</w:t>
      </w:r>
    </w:p>
    <w:p>
      <w:pPr>
        <w:pStyle w:val="BodyText"/>
        <w:spacing w:before="10"/>
        <w:rPr>
          <w:b/>
          <w:sz w:val="34"/>
        </w:rPr>
      </w:pPr>
    </w:p>
    <w:p>
      <w:pPr>
        <w:pStyle w:val="BodyText"/>
        <w:spacing w:line="360" w:lineRule="auto" w:before="1"/>
        <w:ind w:left="116" w:right="175"/>
        <w:jc w:val="both"/>
      </w:pPr>
      <w:r>
        <w:rPr>
          <w:spacing w:val="-3"/>
        </w:rPr>
        <w:t>La </w:t>
      </w:r>
      <w:r>
        <w:rPr/>
        <w:t>forma en que se distribuye el agua en la cuenca desde que precipita de la atmósfera, es interceptada</w:t>
      </w:r>
      <w:r>
        <w:rPr>
          <w:spacing w:val="-9"/>
        </w:rPr>
        <w:t> </w:t>
      </w:r>
      <w:r>
        <w:rPr/>
        <w:t>por</w:t>
      </w:r>
      <w:r>
        <w:rPr>
          <w:spacing w:val="-9"/>
        </w:rPr>
        <w:t> </w:t>
      </w:r>
      <w:r>
        <w:rPr/>
        <w:t>las</w:t>
      </w:r>
      <w:r>
        <w:rPr>
          <w:spacing w:val="-9"/>
        </w:rPr>
        <w:t> </w:t>
      </w:r>
      <w:r>
        <w:rPr/>
        <w:t>plantas,</w:t>
      </w:r>
      <w:r>
        <w:rPr>
          <w:spacing w:val="-11"/>
        </w:rPr>
        <w:t> </w:t>
      </w:r>
      <w:r>
        <w:rPr/>
        <w:t>escurre</w:t>
      </w:r>
      <w:r>
        <w:rPr>
          <w:spacing w:val="-13"/>
        </w:rPr>
        <w:t> </w:t>
      </w:r>
      <w:r>
        <w:rPr/>
        <w:t>por</w:t>
      </w:r>
      <w:r>
        <w:rPr>
          <w:spacing w:val="-9"/>
        </w:rPr>
        <w:t> </w:t>
      </w:r>
      <w:r>
        <w:rPr/>
        <w:t>los</w:t>
      </w:r>
      <w:r>
        <w:rPr>
          <w:spacing w:val="-13"/>
        </w:rPr>
        <w:t> </w:t>
      </w:r>
      <w:r>
        <w:rPr/>
        <w:t>cauces</w:t>
      </w:r>
      <w:r>
        <w:rPr>
          <w:spacing w:val="-9"/>
        </w:rPr>
        <w:t> </w:t>
      </w:r>
      <w:r>
        <w:rPr/>
        <w:t>y</w:t>
      </w:r>
      <w:r>
        <w:rPr>
          <w:spacing w:val="-9"/>
        </w:rPr>
        <w:t> </w:t>
      </w:r>
      <w:r>
        <w:rPr/>
        <w:t>se</w:t>
      </w:r>
      <w:r>
        <w:rPr>
          <w:spacing w:val="-13"/>
        </w:rPr>
        <w:t> </w:t>
      </w:r>
      <w:r>
        <w:rPr/>
        <w:t>percola</w:t>
      </w:r>
      <w:r>
        <w:rPr>
          <w:spacing w:val="-8"/>
        </w:rPr>
        <w:t> </w:t>
      </w:r>
      <w:r>
        <w:rPr/>
        <w:t>hacia</w:t>
      </w:r>
      <w:r>
        <w:rPr>
          <w:spacing w:val="-13"/>
        </w:rPr>
        <w:t> </w:t>
      </w:r>
      <w:r>
        <w:rPr/>
        <w:t>los</w:t>
      </w:r>
      <w:r>
        <w:rPr>
          <w:spacing w:val="-9"/>
        </w:rPr>
        <w:t> </w:t>
      </w:r>
      <w:r>
        <w:rPr/>
        <w:t>acuíferos</w:t>
      </w:r>
      <w:r>
        <w:rPr>
          <w:spacing w:val="-10"/>
        </w:rPr>
        <w:t> </w:t>
      </w:r>
      <w:r>
        <w:rPr/>
        <w:t>someros y profundos o se almacena en los suelos es importante para analizar los fenómenos que están</w:t>
      </w:r>
      <w:r>
        <w:rPr>
          <w:spacing w:val="52"/>
        </w:rPr>
        <w:t> </w:t>
      </w:r>
      <w:r>
        <w:rPr/>
        <w:t>interviniendo</w:t>
      </w:r>
      <w:r>
        <w:rPr>
          <w:spacing w:val="52"/>
        </w:rPr>
        <w:t> </w:t>
      </w:r>
      <w:r>
        <w:rPr/>
        <w:t>o</w:t>
      </w:r>
      <w:r>
        <w:rPr>
          <w:spacing w:val="52"/>
        </w:rPr>
        <w:t> </w:t>
      </w:r>
      <w:r>
        <w:rPr/>
        <w:t>cambiando</w:t>
      </w:r>
      <w:r>
        <w:rPr>
          <w:spacing w:val="52"/>
        </w:rPr>
        <w:t> </w:t>
      </w:r>
      <w:r>
        <w:rPr/>
        <w:t>los</w:t>
      </w:r>
      <w:r>
        <w:rPr>
          <w:spacing w:val="52"/>
        </w:rPr>
        <w:t> </w:t>
      </w:r>
      <w:r>
        <w:rPr/>
        <w:t>patrones</w:t>
      </w:r>
      <w:r>
        <w:rPr>
          <w:spacing w:val="52"/>
        </w:rPr>
        <w:t> </w:t>
      </w:r>
      <w:r>
        <w:rPr/>
        <w:t>naturales.</w:t>
      </w:r>
      <w:r>
        <w:rPr>
          <w:spacing w:val="55"/>
        </w:rPr>
        <w:t> </w:t>
      </w:r>
      <w:r>
        <w:rPr/>
        <w:t>Para</w:t>
      </w:r>
      <w:r>
        <w:rPr>
          <w:spacing w:val="58"/>
        </w:rPr>
        <w:t> </w:t>
      </w:r>
      <w:r>
        <w:rPr/>
        <w:t>hacer</w:t>
      </w:r>
      <w:r>
        <w:rPr>
          <w:spacing w:val="53"/>
        </w:rPr>
        <w:t> </w:t>
      </w:r>
      <w:r>
        <w:rPr/>
        <w:t>más</w:t>
      </w:r>
      <w:r>
        <w:rPr>
          <w:spacing w:val="52"/>
        </w:rPr>
        <w:t> </w:t>
      </w:r>
      <w:r>
        <w:rPr/>
        <w:t>entendible</w:t>
      </w:r>
      <w:r>
        <w:rPr>
          <w:spacing w:val="52"/>
        </w:rPr>
        <w:t> </w:t>
      </w:r>
      <w:r>
        <w:rPr/>
        <w:t>el</w:t>
      </w:r>
    </w:p>
    <w:p>
      <w:pPr>
        <w:pStyle w:val="BodyText"/>
        <w:spacing w:before="3"/>
        <w:ind w:left="116"/>
        <w:jc w:val="both"/>
      </w:pPr>
      <w:r>
        <w:rPr/>
        <w:t>análisis se procede a elaborar la siguiente Figura 33 que muestran la distribución  mensual</w:t>
      </w:r>
    </w:p>
    <w:p>
      <w:pPr>
        <w:spacing w:after="0"/>
        <w:jc w:val="both"/>
        <w:sectPr>
          <w:footerReference w:type="default" r:id="rId141"/>
          <w:pgSz w:w="12240" w:h="15840"/>
          <w:pgMar w:footer="1473" w:header="0" w:top="1400" w:bottom="1660" w:left="1300" w:right="1240"/>
          <w:pgNumType w:start="133"/>
        </w:sectPr>
      </w:pPr>
    </w:p>
    <w:p>
      <w:pPr>
        <w:pStyle w:val="BodyText"/>
        <w:spacing w:line="360" w:lineRule="auto" w:before="49"/>
        <w:ind w:left="116" w:right="110"/>
        <w:jc w:val="both"/>
      </w:pPr>
      <w:r>
        <w:rPr/>
        <w:t>de la lluvia, el escurrimiento superficial, subsuperficial y la evapotranspiración. Es</w:t>
      </w:r>
      <w:r>
        <w:rPr>
          <w:spacing w:val="-13"/>
        </w:rPr>
        <w:t> </w:t>
      </w:r>
      <w:r>
        <w:rPr/>
        <w:t>posible apreciar</w:t>
      </w:r>
      <w:r>
        <w:rPr>
          <w:spacing w:val="-6"/>
        </w:rPr>
        <w:t> </w:t>
      </w:r>
      <w:r>
        <w:rPr/>
        <w:t>que</w:t>
      </w:r>
      <w:r>
        <w:rPr>
          <w:spacing w:val="-6"/>
        </w:rPr>
        <w:t> </w:t>
      </w:r>
      <w:r>
        <w:rPr/>
        <w:t>la</w:t>
      </w:r>
      <w:r>
        <w:rPr>
          <w:spacing w:val="-6"/>
        </w:rPr>
        <w:t> </w:t>
      </w:r>
      <w:r>
        <w:rPr/>
        <w:t>mayor</w:t>
      </w:r>
      <w:r>
        <w:rPr>
          <w:spacing w:val="-6"/>
        </w:rPr>
        <w:t> </w:t>
      </w:r>
      <w:r>
        <w:rPr/>
        <w:t>producción</w:t>
      </w:r>
      <w:r>
        <w:rPr>
          <w:spacing w:val="-6"/>
        </w:rPr>
        <w:t> </w:t>
      </w:r>
      <w:r>
        <w:rPr/>
        <w:t>de</w:t>
      </w:r>
      <w:r>
        <w:rPr>
          <w:spacing w:val="-6"/>
        </w:rPr>
        <w:t> </w:t>
      </w:r>
      <w:r>
        <w:rPr/>
        <w:t>escurrimiento</w:t>
      </w:r>
      <w:r>
        <w:rPr>
          <w:spacing w:val="-6"/>
        </w:rPr>
        <w:t> </w:t>
      </w:r>
      <w:r>
        <w:rPr/>
        <w:t>es</w:t>
      </w:r>
      <w:r>
        <w:rPr>
          <w:spacing w:val="-6"/>
        </w:rPr>
        <w:t> </w:t>
      </w:r>
      <w:r>
        <w:rPr/>
        <w:t>de</w:t>
      </w:r>
      <w:r>
        <w:rPr>
          <w:spacing w:val="-6"/>
        </w:rPr>
        <w:t> </w:t>
      </w:r>
      <w:r>
        <w:rPr/>
        <w:t>tipo</w:t>
      </w:r>
      <w:r>
        <w:rPr>
          <w:spacing w:val="-7"/>
        </w:rPr>
        <w:t> </w:t>
      </w:r>
      <w:r>
        <w:rPr/>
        <w:t>superficial</w:t>
      </w:r>
      <w:r>
        <w:rPr>
          <w:spacing w:val="-3"/>
        </w:rPr>
        <w:t> </w:t>
      </w:r>
      <w:r>
        <w:rPr/>
        <w:t>principalmente</w:t>
      </w:r>
      <w:r>
        <w:rPr>
          <w:spacing w:val="-6"/>
        </w:rPr>
        <w:t> </w:t>
      </w:r>
      <w:r>
        <w:rPr/>
        <w:t>de mayo a noviembre, ya que el escurrimiento lateral permanece constante a lo largo del</w:t>
      </w:r>
      <w:r>
        <w:rPr>
          <w:spacing w:val="-20"/>
        </w:rPr>
        <w:t> </w:t>
      </w:r>
      <w:r>
        <w:rPr/>
        <w:t>año.</w:t>
      </w:r>
    </w:p>
    <w:p>
      <w:pPr>
        <w:pStyle w:val="BodyText"/>
      </w:pPr>
    </w:p>
    <w:p>
      <w:pPr>
        <w:pStyle w:val="BodyText"/>
        <w:spacing w:line="360" w:lineRule="auto" w:before="155"/>
        <w:ind w:left="116" w:right="115"/>
        <w:jc w:val="both"/>
      </w:pPr>
      <w:r>
        <w:rPr/>
        <w:t>Respecto a la evapotranspiración es posible observar que ésta guarda una estrecha</w:t>
      </w:r>
      <w:r>
        <w:rPr>
          <w:spacing w:val="-27"/>
        </w:rPr>
        <w:t> </w:t>
      </w:r>
      <w:r>
        <w:rPr/>
        <w:t>relación con los meses de cultivo correspondiente al periodo mayo-octubre, por tanto en los meses de sequía (de enero a abril y noviembre y diciembre) la evapotranspiración supera la precipitación.</w:t>
      </w:r>
    </w:p>
    <w:p>
      <w:pPr>
        <w:pStyle w:val="BodyText"/>
      </w:pPr>
    </w:p>
    <w:p>
      <w:pPr>
        <w:pStyle w:val="BodyText"/>
        <w:spacing w:line="360" w:lineRule="auto" w:before="155"/>
        <w:ind w:left="116" w:right="115"/>
        <w:jc w:val="both"/>
      </w:pPr>
      <w:r>
        <w:rPr/>
        <w:pict>
          <v:group style="position:absolute;margin-left:70.320pt;margin-top:89.656715pt;width:471.4pt;height:287.8pt;mso-position-horizontal-relative:page;mso-position-vertical-relative:paragraph;z-index:6064" coordorigin="1406,1793" coordsize="9428,5756">
            <v:shape style="position:absolute;left:2561;top:2444;width:8045;height:2818" coordorigin="2561,2444" coordsize="8045,2818" path="m2561,5261l10606,5261m2561,4858l10606,4858m2561,4455l10606,4455m2561,4056l10606,4056m2561,3653l10606,3653m2561,3250l10606,3250m2561,2847l10606,2847m2561,2444l10606,2444e" filled="false" stroked="true" strokeweight=".72pt" strokecolor="#3a3838">
              <v:path arrowok="t"/>
            </v:shape>
            <v:shape style="position:absolute;left:2894;top:2249;width:7373;height:3322" coordorigin="2894,2249" coordsize="7373,3322" path="m2894,5441l3566,5571,4234,5436,4906,5148,5578,4505,6245,2532,6917,2249,7589,2672,8256,2916,8928,3886,9600,5254,10267,5508e" filled="false" stroked="true" strokeweight="2.4pt" strokecolor="#aeabab">
              <v:path arrowok="t"/>
            </v:shape>
            <v:shape style="position:absolute;left:2815;top:5359;width:158;height:158" type="#_x0000_t75" stroked="false">
              <v:imagedata r:id="rId142" o:title=""/>
            </v:shape>
            <v:shape style="position:absolute;left:2949;top:5664;width:1239;height:72" coordorigin="2949,5664" coordsize="1239,72" path="m3621,5664l4188,5664m3900,5664l3900,5736m2949,5664l3520,5664m3228,5664l3228,5736e" filled="false" stroked="true" strokeweight=".72pt" strokecolor="#dfe4eb">
              <v:path arrowok="t"/>
            </v:shape>
            <v:shape style="position:absolute;left:3487;top:5489;width:158;height:158" type="#_x0000_t75" stroked="false">
              <v:imagedata r:id="rId142" o:title=""/>
            </v:shape>
            <v:shape style="position:absolute;left:4154;top:5354;width:158;height:158" type="#_x0000_t75" stroked="false">
              <v:imagedata r:id="rId143" o:title=""/>
            </v:shape>
            <v:shape style="position:absolute;left:4826;top:5066;width:158;height:158" type="#_x0000_t75" stroked="false">
              <v:imagedata r:id="rId144" o:title=""/>
            </v:shape>
            <v:shape style="position:absolute;left:5498;top:4423;width:158;height:158" type="#_x0000_t75" stroked="false">
              <v:imagedata r:id="rId142" o:title=""/>
            </v:shape>
            <v:shape style="position:absolute;left:6165;top:2450;width:158;height:158" type="#_x0000_t75" stroked="false">
              <v:imagedata r:id="rId142" o:title=""/>
            </v:shape>
            <v:shape style="position:absolute;left:6837;top:2167;width:158;height:158" type="#_x0000_t75" stroked="false">
              <v:imagedata r:id="rId143" o:title=""/>
            </v:shape>
            <v:shape style="position:absolute;left:7509;top:2589;width:158;height:158" type="#_x0000_t75" stroked="false">
              <v:imagedata r:id="rId142" o:title=""/>
            </v:shape>
            <v:shape style="position:absolute;left:8176;top:2834;width:158;height:158" type="#_x0000_t75" stroked="false">
              <v:imagedata r:id="rId143" o:title=""/>
            </v:shape>
            <v:shape style="position:absolute;left:8848;top:3804;width:158;height:158" type="#_x0000_t75" stroked="false">
              <v:imagedata r:id="rId142" o:title=""/>
            </v:shape>
            <v:shape style="position:absolute;left:9520;top:5172;width:158;height:158" type="#_x0000_t75" stroked="false">
              <v:imagedata r:id="rId144" o:title=""/>
            </v:shape>
            <v:shape style="position:absolute;left:10188;top:5426;width:158;height:158" type="#_x0000_t75" stroked="false">
              <v:imagedata r:id="rId142" o:title=""/>
            </v:shape>
            <v:shape style="position:absolute;left:2561;top:5664;width:8045;height:72" coordorigin="2561,5664" coordsize="8045,72" path="m10322,5664l10606,5664m10606,5664l10606,5736m9655,5664l10221,5664m9934,5664l9934,5736m8983,5664l9554,5664m9262,5664l9262,5736m8311,5664l8882,5664m8594,5664l8594,5736m7644,5664l8210,5664m7922,5664l7922,5736m6972,5664l7543,5664m7250,5664l7250,5736m6300,5664l6871,5664m6583,5664l6583,5736m5632,5664l6199,5664m5911,5664l5911,5736m4960,5664l5532,5664m5239,5664l5239,5736m4288,5664l4860,5664m4572,5664l4572,5736m2561,5664l2848,5664m2561,5664l2561,5736e" filled="false" stroked="true" strokeweight=".72pt" strokecolor="#dfe4eb">
              <v:path arrowok="t"/>
            </v:shape>
            <v:shape style="position:absolute;left:2894;top:5110;width:7373;height:552" coordorigin="2894,5110" coordsize="7373,552" path="m2894,5662l3566,5662,4234,5662,4906,5652,5578,5600,6245,5110,6917,5129,7589,5196,8256,5177,8928,5292,9600,5643,10267,5662e" filled="false" stroked="true" strokeweight="2.4pt" strokecolor="#3a3838">
              <v:path arrowok="t"/>
            </v:shape>
            <v:shape style="position:absolute;left:2786;top:5551;width:221;height:221" type="#_x0000_t75" stroked="false">
              <v:imagedata r:id="rId145" o:title=""/>
            </v:shape>
            <v:shape style="position:absolute;left:3458;top:5551;width:221;height:221" type="#_x0000_t75" stroked="false">
              <v:imagedata r:id="rId145" o:title=""/>
            </v:shape>
            <v:shape style="position:absolute;left:4125;top:5551;width:221;height:221" type="#_x0000_t75" stroked="false">
              <v:imagedata r:id="rId146" o:title=""/>
            </v:shape>
            <v:shape style="position:absolute;left:4797;top:5541;width:221;height:221" type="#_x0000_t75" stroked="false">
              <v:imagedata r:id="rId147" o:title=""/>
            </v:shape>
            <v:shape style="position:absolute;left:5469;top:5489;width:221;height:221" type="#_x0000_t75" stroked="false">
              <v:imagedata r:id="rId148" o:title=""/>
            </v:shape>
            <v:shape style="position:absolute;left:6136;top:4999;width:221;height:221" type="#_x0000_t75" stroked="false">
              <v:imagedata r:id="rId148" o:title=""/>
            </v:shape>
            <v:shape style="position:absolute;left:6808;top:5018;width:221;height:221" type="#_x0000_t75" stroked="false">
              <v:imagedata r:id="rId146" o:title=""/>
            </v:shape>
            <v:shape style="position:absolute;left:7480;top:5085;width:221;height:221" type="#_x0000_t75" stroked="false">
              <v:imagedata r:id="rId145" o:title=""/>
            </v:shape>
            <v:shape style="position:absolute;left:8148;top:5066;width:221;height:221" type="#_x0000_t75" stroked="false">
              <v:imagedata r:id="rId145" o:title=""/>
            </v:shape>
            <v:shape style="position:absolute;left:8820;top:5181;width:221;height:221" type="#_x0000_t75" stroked="false">
              <v:imagedata r:id="rId147" o:title=""/>
            </v:shape>
            <v:shape style="position:absolute;left:9492;top:5532;width:221;height:221" type="#_x0000_t75" stroked="false">
              <v:imagedata r:id="rId147" o:title=""/>
            </v:shape>
            <v:shape style="position:absolute;left:10159;top:5551;width:221;height:221" type="#_x0000_t75" stroked="false">
              <v:imagedata r:id="rId146" o:title=""/>
            </v:shape>
            <v:shape style="position:absolute;left:2949;top:5648;width:7272;height:2" coordorigin="2949,5648" coordsize="7272,0" path="m9655,5648l10221,5648m8983,5648l9554,5648m8311,5648l8882,5648m7644,5648l8210,5648m6972,5648l7543,5648m6300,5648l6871,5648m5632,5648l6199,5648m4960,5648l5532,5648m4288,5648l4860,5648m3621,5648l4188,5648m2949,5648l3520,5648e" filled="false" stroked="true" strokeweight=".96pt" strokecolor="#000000">
              <v:path arrowok="t"/>
            </v:shape>
            <v:rect style="position:absolute;left:2848;top:5604;width:101;height:101" filled="true" fillcolor="#000000" stroked="false">
              <v:fill type="solid"/>
            </v:rect>
            <v:rect style="position:absolute;left:2848;top:5604;width:101;height:101" filled="false" stroked="true" strokeweight=".96pt" strokecolor="#7e7e7e"/>
            <v:rect style="position:absolute;left:3520;top:5609;width:101;height:101" filled="true" fillcolor="#000000" stroked="false">
              <v:fill type="solid"/>
            </v:rect>
            <v:rect style="position:absolute;left:3520;top:5609;width:101;height:101" filled="false" stroked="true" strokeweight=".96pt" strokecolor="#7e7e7e"/>
            <v:rect style="position:absolute;left:4188;top:5609;width:101;height:101" filled="true" fillcolor="#000000" stroked="false">
              <v:fill type="solid"/>
            </v:rect>
            <v:rect style="position:absolute;left:4188;top:5609;width:101;height:101" filled="false" stroked="true" strokeweight=".96pt" strokecolor="#7e7e7e"/>
            <v:rect style="position:absolute;left:4860;top:5609;width:101;height:101" filled="true" fillcolor="#000000" stroked="false">
              <v:fill type="solid"/>
            </v:rect>
            <v:rect style="position:absolute;left:4860;top:5609;width:101;height:101" filled="false" stroked="true" strokeweight=".96pt" strokecolor="#7e7e7e"/>
            <v:rect style="position:absolute;left:5532;top:5609;width:101;height:101" filled="true" fillcolor="#000000" stroked="false">
              <v:fill type="solid"/>
            </v:rect>
            <v:rect style="position:absolute;left:5532;top:5609;width:101;height:101" filled="false" stroked="true" strokeweight=".96pt" strokecolor="#7e7e7e"/>
            <v:rect style="position:absolute;left:6199;top:5604;width:101;height:101" filled="true" fillcolor="#000000" stroked="false">
              <v:fill type="solid"/>
            </v:rect>
            <v:rect style="position:absolute;left:6199;top:5604;width:101;height:101" filled="false" stroked="true" strokeweight=".96pt" strokecolor="#7e7e7e"/>
            <v:rect style="position:absolute;left:6871;top:5599;width:101;height:101" filled="true" fillcolor="#000000" stroked="false">
              <v:fill type="solid"/>
            </v:rect>
            <v:rect style="position:absolute;left:6871;top:5599;width:101;height:101" filled="false" stroked="true" strokeweight=".96pt" strokecolor="#7e7e7e"/>
            <v:rect style="position:absolute;left:7543;top:5594;width:101;height:101" filled="true" fillcolor="#000000" stroked="false">
              <v:fill type="solid"/>
            </v:rect>
            <v:rect style="position:absolute;left:7543;top:5594;width:101;height:101" filled="false" stroked="true" strokeweight=".96pt" strokecolor="#7e7e7e"/>
            <v:rect style="position:absolute;left:8210;top:5589;width:101;height:101" filled="true" fillcolor="#000000" stroked="false">
              <v:fill type="solid"/>
            </v:rect>
            <v:rect style="position:absolute;left:8210;top:5589;width:101;height:101" filled="false" stroked="true" strokeweight=".96pt" strokecolor="#7e7e7e"/>
            <v:rect style="position:absolute;left:8882;top:5589;width:101;height:101" filled="true" fillcolor="#000000" stroked="false">
              <v:fill type="solid"/>
            </v:rect>
            <v:rect style="position:absolute;left:8882;top:5589;width:101;height:101" filled="false" stroked="true" strokeweight=".96pt" strokecolor="#7e7e7e"/>
            <v:rect style="position:absolute;left:9554;top:5594;width:101;height:101" filled="true" fillcolor="#000000" stroked="false">
              <v:fill type="solid"/>
            </v:rect>
            <v:rect style="position:absolute;left:9554;top:5594;width:101;height:101" filled="false" stroked="true" strokeweight=".96pt" strokecolor="#7e7e7e"/>
            <v:rect style="position:absolute;left:10221;top:5599;width:101;height:101" filled="true" fillcolor="#000000" stroked="false">
              <v:fill type="solid"/>
            </v:rect>
            <v:rect style="position:absolute;left:10221;top:5599;width:101;height:101" filled="false" stroked="true" strokeweight=".96pt" strokecolor="#7e7e7e"/>
            <v:shape style="position:absolute;left:2894;top:3627;width:7373;height:1815" coordorigin="2894,3627" coordsize="7373,1815" path="m2894,5441l3566,5432,4234,5220,4906,5019,5578,4524,6245,4121,6917,3699,7589,3627,8256,4006,8928,4404,9600,5115,10267,5326e" filled="false" stroked="true" strokeweight="2.4pt" strokecolor="#7e7e7e">
              <v:path arrowok="t"/>
            </v:shape>
            <v:shape style="position:absolute;left:2786;top:5330;width:221;height:221" type="#_x0000_t75" stroked="false">
              <v:imagedata r:id="rId149" o:title=""/>
            </v:shape>
            <v:shape style="position:absolute;left:3458;top:5321;width:221;height:221" type="#_x0000_t75" stroked="false">
              <v:imagedata r:id="rId150" o:title=""/>
            </v:shape>
            <v:shape style="position:absolute;left:4125;top:5109;width:221;height:221" type="#_x0000_t75" stroked="false">
              <v:imagedata r:id="rId151" o:title=""/>
            </v:shape>
            <v:shape style="position:absolute;left:4797;top:4908;width:221;height:221" type="#_x0000_t75" stroked="false">
              <v:imagedata r:id="rId151" o:title=""/>
            </v:shape>
            <v:shape style="position:absolute;left:5469;top:4413;width:221;height:221" type="#_x0000_t75" stroked="false">
              <v:imagedata r:id="rId150" o:title=""/>
            </v:shape>
            <v:shape style="position:absolute;left:6136;top:4010;width:221;height:221" type="#_x0000_t75" stroked="false">
              <v:imagedata r:id="rId149" o:title=""/>
            </v:shape>
            <v:shape style="position:absolute;left:6808;top:3588;width:221;height:221" type="#_x0000_t75" stroked="false">
              <v:imagedata r:id="rId151" o:title=""/>
            </v:shape>
            <v:shape style="position:absolute;left:7480;top:3516;width:221;height:221" type="#_x0000_t75" stroked="false">
              <v:imagedata r:id="rId149" o:title=""/>
            </v:shape>
            <v:shape style="position:absolute;left:8148;top:3895;width:221;height:221" type="#_x0000_t75" stroked="false">
              <v:imagedata r:id="rId150" o:title=""/>
            </v:shape>
            <v:shape style="position:absolute;left:8820;top:4293;width:221;height:221" type="#_x0000_t75" stroked="false">
              <v:imagedata r:id="rId151" o:title=""/>
            </v:shape>
            <v:shape style="position:absolute;left:9492;top:5004;width:221;height:221" type="#_x0000_t75" stroked="false">
              <v:imagedata r:id="rId151" o:title=""/>
            </v:shape>
            <v:shape style="position:absolute;left:10159;top:5215;width:221;height:221" type="#_x0000_t75" stroked="false">
              <v:imagedata r:id="rId151" o:title=""/>
            </v:shape>
            <v:line style="position:absolute" from="2561,2040" to="10606,2040" stroked="true" strokeweight=".72pt" strokecolor="#3a3838"/>
            <v:shape style="position:absolute;left:3514;top:6795;width:432;height:139" type="#_x0000_t75" stroked="false">
              <v:imagedata r:id="rId152" o:title=""/>
            </v:shape>
            <v:shape style="position:absolute;left:6158;top:6800;width:432;height:134" type="#_x0000_t75" stroked="false">
              <v:imagedata r:id="rId153" o:title=""/>
            </v:shape>
            <v:shape style="position:absolute;left:3538;top:7256;width:384;height:2" coordorigin="3538,7256" coordsize="384,0" path="m3778,7256l3922,7256m3538,7256l3677,7256e" filled="false" stroked="true" strokeweight="2.4pt" strokecolor="#000000">
              <v:path arrowok="t"/>
            </v:shape>
            <v:rect style="position:absolute;left:3677;top:7203;width:101;height:101" filled="true" fillcolor="#000000" stroked="false">
              <v:fill type="solid"/>
            </v:rect>
            <v:rect style="position:absolute;left:3677;top:7203;width:101;height:101" filled="false" stroked="true" strokeweight=".96pt" strokecolor="#7e7e7e"/>
            <v:shape style="position:absolute;left:6158;top:7184;width:432;height:134" type="#_x0000_t75" stroked="false">
              <v:imagedata r:id="rId154" o:title=""/>
            </v:shape>
            <v:rect style="position:absolute;left:1418;top:1805;width:9403;height:5731" filled="false" stroked="true" strokeweight="1.2pt" strokecolor="#000000"/>
            <v:shape style="position:absolute;left:2022;top:1942;width:336;height:3846" type="#_x0000_t202" filled="false" stroked="false">
              <v:textbox inset="0,0,0,0">
                <w:txbxContent>
                  <w:p>
                    <w:pPr>
                      <w:spacing w:line="225" w:lineRule="exact" w:before="0"/>
                      <w:ind w:left="-1" w:right="2" w:firstLine="0"/>
                      <w:jc w:val="center"/>
                      <w:rPr>
                        <w:rFonts w:ascii="Calibri"/>
                        <w:sz w:val="22"/>
                      </w:rPr>
                    </w:pPr>
                    <w:r>
                      <w:rPr>
                        <w:rFonts w:ascii="Calibri"/>
                        <w:spacing w:val="-2"/>
                        <w:sz w:val="22"/>
                      </w:rPr>
                      <w:t>180</w:t>
                    </w:r>
                  </w:p>
                  <w:p>
                    <w:pPr>
                      <w:spacing w:before="134"/>
                      <w:ind w:left="-1" w:right="2" w:firstLine="0"/>
                      <w:jc w:val="center"/>
                      <w:rPr>
                        <w:rFonts w:ascii="Calibri"/>
                        <w:sz w:val="22"/>
                      </w:rPr>
                    </w:pPr>
                    <w:r>
                      <w:rPr>
                        <w:rFonts w:ascii="Calibri"/>
                        <w:spacing w:val="-2"/>
                        <w:sz w:val="22"/>
                      </w:rPr>
                      <w:t>160</w:t>
                    </w:r>
                  </w:p>
                  <w:p>
                    <w:pPr>
                      <w:spacing w:before="134"/>
                      <w:ind w:left="-1" w:right="2" w:firstLine="0"/>
                      <w:jc w:val="center"/>
                      <w:rPr>
                        <w:rFonts w:ascii="Calibri"/>
                        <w:sz w:val="22"/>
                      </w:rPr>
                    </w:pPr>
                    <w:r>
                      <w:rPr>
                        <w:rFonts w:ascii="Calibri"/>
                        <w:spacing w:val="-2"/>
                        <w:sz w:val="22"/>
                      </w:rPr>
                      <w:t>140</w:t>
                    </w:r>
                  </w:p>
                  <w:p>
                    <w:pPr>
                      <w:spacing w:before="134"/>
                      <w:ind w:left="-1" w:right="2" w:firstLine="0"/>
                      <w:jc w:val="center"/>
                      <w:rPr>
                        <w:rFonts w:ascii="Calibri"/>
                        <w:sz w:val="22"/>
                      </w:rPr>
                    </w:pPr>
                    <w:r>
                      <w:rPr>
                        <w:rFonts w:ascii="Calibri"/>
                        <w:spacing w:val="-2"/>
                        <w:sz w:val="22"/>
                      </w:rPr>
                      <w:t>120</w:t>
                    </w:r>
                  </w:p>
                  <w:p>
                    <w:pPr>
                      <w:spacing w:before="134"/>
                      <w:ind w:left="-1" w:right="2" w:firstLine="0"/>
                      <w:jc w:val="center"/>
                      <w:rPr>
                        <w:rFonts w:ascii="Calibri"/>
                        <w:sz w:val="22"/>
                      </w:rPr>
                    </w:pPr>
                    <w:r>
                      <w:rPr>
                        <w:rFonts w:ascii="Calibri"/>
                        <w:spacing w:val="-2"/>
                        <w:sz w:val="22"/>
                      </w:rPr>
                      <w:t>100</w:t>
                    </w:r>
                  </w:p>
                  <w:p>
                    <w:pPr>
                      <w:spacing w:before="134"/>
                      <w:ind w:left="108" w:right="0" w:firstLine="0"/>
                      <w:jc w:val="center"/>
                      <w:rPr>
                        <w:rFonts w:ascii="Calibri"/>
                        <w:sz w:val="22"/>
                      </w:rPr>
                    </w:pPr>
                    <w:r>
                      <w:rPr>
                        <w:rFonts w:ascii="Calibri"/>
                        <w:sz w:val="22"/>
                      </w:rPr>
                      <w:t>80</w:t>
                    </w:r>
                  </w:p>
                  <w:p>
                    <w:pPr>
                      <w:spacing w:before="134"/>
                      <w:ind w:left="108" w:right="0" w:firstLine="0"/>
                      <w:jc w:val="center"/>
                      <w:rPr>
                        <w:rFonts w:ascii="Calibri"/>
                        <w:sz w:val="22"/>
                      </w:rPr>
                    </w:pPr>
                    <w:r>
                      <w:rPr>
                        <w:rFonts w:ascii="Calibri"/>
                        <w:sz w:val="22"/>
                      </w:rPr>
                      <w:t>60</w:t>
                    </w:r>
                  </w:p>
                  <w:p>
                    <w:pPr>
                      <w:spacing w:before="134"/>
                      <w:ind w:left="108" w:right="0" w:firstLine="0"/>
                      <w:jc w:val="center"/>
                      <w:rPr>
                        <w:rFonts w:ascii="Calibri"/>
                        <w:sz w:val="22"/>
                      </w:rPr>
                    </w:pPr>
                    <w:r>
                      <w:rPr>
                        <w:rFonts w:ascii="Calibri"/>
                        <w:sz w:val="22"/>
                      </w:rPr>
                      <w:t>40</w:t>
                    </w:r>
                  </w:p>
                  <w:p>
                    <w:pPr>
                      <w:spacing w:before="134"/>
                      <w:ind w:left="108" w:right="0" w:firstLine="0"/>
                      <w:jc w:val="center"/>
                      <w:rPr>
                        <w:rFonts w:ascii="Calibri"/>
                        <w:sz w:val="22"/>
                      </w:rPr>
                    </w:pPr>
                    <w:r>
                      <w:rPr>
                        <w:rFonts w:ascii="Calibri"/>
                        <w:sz w:val="22"/>
                      </w:rPr>
                      <w:t>20</w:t>
                    </w:r>
                  </w:p>
                  <w:p>
                    <w:pPr>
                      <w:spacing w:line="265" w:lineRule="exact" w:before="134"/>
                      <w:ind w:left="223" w:right="0" w:firstLine="0"/>
                      <w:jc w:val="center"/>
                      <w:rPr>
                        <w:rFonts w:ascii="Calibri"/>
                        <w:sz w:val="22"/>
                      </w:rPr>
                    </w:pPr>
                    <w:r>
                      <w:rPr>
                        <w:rFonts w:ascii="Calibri"/>
                        <w:w w:val="100"/>
                        <w:sz w:val="22"/>
                      </w:rPr>
                      <w:t>0</w:t>
                    </w:r>
                  </w:p>
                </w:txbxContent>
              </v:textbox>
              <w10:wrap type="none"/>
            </v:shape>
            <v:shape style="position:absolute;left:2840;top:5854;width:112;height:221" type="#_x0000_t202" filled="false" stroked="false">
              <v:textbox inset="0,0,0,0">
                <w:txbxContent>
                  <w:p>
                    <w:pPr>
                      <w:spacing w:line="221" w:lineRule="exact" w:before="0"/>
                      <w:ind w:left="0" w:right="0" w:firstLine="0"/>
                      <w:jc w:val="left"/>
                      <w:rPr>
                        <w:rFonts w:ascii="Calibri"/>
                        <w:sz w:val="22"/>
                      </w:rPr>
                    </w:pPr>
                    <w:r>
                      <w:rPr>
                        <w:rFonts w:ascii="Calibri"/>
                        <w:w w:val="100"/>
                        <w:sz w:val="22"/>
                      </w:rPr>
                      <w:t>1</w:t>
                    </w:r>
                  </w:p>
                </w:txbxContent>
              </v:textbox>
              <w10:wrap type="none"/>
            </v:shape>
            <v:shape style="position:absolute;left:3511;top:5854;width:112;height:221" type="#_x0000_t202" filled="false" stroked="false">
              <v:textbox inset="0,0,0,0">
                <w:txbxContent>
                  <w:p>
                    <w:pPr>
                      <w:spacing w:line="221" w:lineRule="exact" w:before="0"/>
                      <w:ind w:left="0" w:right="0" w:firstLine="0"/>
                      <w:jc w:val="left"/>
                      <w:rPr>
                        <w:rFonts w:ascii="Calibri"/>
                        <w:sz w:val="22"/>
                      </w:rPr>
                    </w:pPr>
                    <w:r>
                      <w:rPr>
                        <w:rFonts w:ascii="Calibri"/>
                        <w:w w:val="100"/>
                        <w:sz w:val="22"/>
                      </w:rPr>
                      <w:t>2</w:t>
                    </w:r>
                  </w:p>
                </w:txbxContent>
              </v:textbox>
              <w10:wrap type="none"/>
            </v:shape>
            <v:shape style="position:absolute;left:4181;top:5854;width:112;height:221" type="#_x0000_t202" filled="false" stroked="false">
              <v:textbox inset="0,0,0,0">
                <w:txbxContent>
                  <w:p>
                    <w:pPr>
                      <w:spacing w:line="221" w:lineRule="exact" w:before="0"/>
                      <w:ind w:left="0" w:right="0" w:firstLine="0"/>
                      <w:jc w:val="left"/>
                      <w:rPr>
                        <w:rFonts w:ascii="Calibri"/>
                        <w:sz w:val="22"/>
                      </w:rPr>
                    </w:pPr>
                    <w:r>
                      <w:rPr>
                        <w:rFonts w:ascii="Calibri"/>
                        <w:w w:val="100"/>
                        <w:sz w:val="22"/>
                      </w:rPr>
                      <w:t>3</w:t>
                    </w:r>
                  </w:p>
                </w:txbxContent>
              </v:textbox>
              <w10:wrap type="none"/>
            </v:shape>
            <v:shape style="position:absolute;left:4852;top:5854;width:112;height:221" type="#_x0000_t202" filled="false" stroked="false">
              <v:textbox inset="0,0,0,0">
                <w:txbxContent>
                  <w:p>
                    <w:pPr>
                      <w:spacing w:line="221" w:lineRule="exact" w:before="0"/>
                      <w:ind w:left="0" w:right="0" w:firstLine="0"/>
                      <w:jc w:val="left"/>
                      <w:rPr>
                        <w:rFonts w:ascii="Calibri"/>
                        <w:sz w:val="22"/>
                      </w:rPr>
                    </w:pPr>
                    <w:r>
                      <w:rPr>
                        <w:rFonts w:ascii="Calibri"/>
                        <w:w w:val="100"/>
                        <w:sz w:val="22"/>
                      </w:rPr>
                      <w:t>4</w:t>
                    </w:r>
                  </w:p>
                </w:txbxContent>
              </v:textbox>
              <w10:wrap type="none"/>
            </v:shape>
            <v:shape style="position:absolute;left:5522;top:5854;width:112;height:221" type="#_x0000_t202" filled="false" stroked="false">
              <v:textbox inset="0,0,0,0">
                <w:txbxContent>
                  <w:p>
                    <w:pPr>
                      <w:spacing w:line="221" w:lineRule="exact" w:before="0"/>
                      <w:ind w:left="0" w:right="0" w:firstLine="0"/>
                      <w:jc w:val="left"/>
                      <w:rPr>
                        <w:rFonts w:ascii="Calibri"/>
                        <w:sz w:val="22"/>
                      </w:rPr>
                    </w:pPr>
                    <w:r>
                      <w:rPr>
                        <w:rFonts w:ascii="Calibri"/>
                        <w:w w:val="100"/>
                        <w:sz w:val="22"/>
                      </w:rPr>
                      <w:t>5</w:t>
                    </w:r>
                  </w:p>
                </w:txbxContent>
              </v:textbox>
              <w10:wrap type="none"/>
            </v:shape>
            <v:shape style="position:absolute;left:6193;top:5854;width:112;height:221" type="#_x0000_t202" filled="false" stroked="false">
              <v:textbox inset="0,0,0,0">
                <w:txbxContent>
                  <w:p>
                    <w:pPr>
                      <w:spacing w:line="221" w:lineRule="exact" w:before="0"/>
                      <w:ind w:left="0" w:right="0" w:firstLine="0"/>
                      <w:jc w:val="left"/>
                      <w:rPr>
                        <w:rFonts w:ascii="Calibri"/>
                        <w:sz w:val="22"/>
                      </w:rPr>
                    </w:pPr>
                    <w:r>
                      <w:rPr>
                        <w:rFonts w:ascii="Calibri"/>
                        <w:w w:val="100"/>
                        <w:sz w:val="22"/>
                      </w:rPr>
                      <w:t>6</w:t>
                    </w:r>
                  </w:p>
                </w:txbxContent>
              </v:textbox>
              <w10:wrap type="none"/>
            </v:shape>
            <v:shape style="position:absolute;left:6864;top:5854;width:112;height:221" type="#_x0000_t202" filled="false" stroked="false">
              <v:textbox inset="0,0,0,0">
                <w:txbxContent>
                  <w:p>
                    <w:pPr>
                      <w:spacing w:line="221" w:lineRule="exact" w:before="0"/>
                      <w:ind w:left="0" w:right="0" w:firstLine="0"/>
                      <w:jc w:val="left"/>
                      <w:rPr>
                        <w:rFonts w:ascii="Calibri"/>
                        <w:sz w:val="22"/>
                      </w:rPr>
                    </w:pPr>
                    <w:r>
                      <w:rPr>
                        <w:rFonts w:ascii="Calibri"/>
                        <w:w w:val="100"/>
                        <w:sz w:val="22"/>
                      </w:rPr>
                      <w:t>7</w:t>
                    </w:r>
                  </w:p>
                </w:txbxContent>
              </v:textbox>
              <w10:wrap type="none"/>
            </v:shape>
            <v:shape style="position:absolute;left:7535;top:5854;width:112;height:221" type="#_x0000_t202" filled="false" stroked="false">
              <v:textbox inset="0,0,0,0">
                <w:txbxContent>
                  <w:p>
                    <w:pPr>
                      <w:spacing w:line="221" w:lineRule="exact" w:before="0"/>
                      <w:ind w:left="0" w:right="0" w:firstLine="0"/>
                      <w:jc w:val="left"/>
                      <w:rPr>
                        <w:rFonts w:ascii="Calibri"/>
                        <w:sz w:val="22"/>
                      </w:rPr>
                    </w:pPr>
                    <w:r>
                      <w:rPr>
                        <w:rFonts w:ascii="Calibri"/>
                        <w:w w:val="100"/>
                        <w:sz w:val="22"/>
                      </w:rPr>
                      <w:t>8</w:t>
                    </w:r>
                  </w:p>
                </w:txbxContent>
              </v:textbox>
              <w10:wrap type="none"/>
            </v:shape>
            <v:shape style="position:absolute;left:8205;top:5854;width:112;height:221" type="#_x0000_t202" filled="false" stroked="false">
              <v:textbox inset="0,0,0,0">
                <w:txbxContent>
                  <w:p>
                    <w:pPr>
                      <w:spacing w:line="221" w:lineRule="exact" w:before="0"/>
                      <w:ind w:left="0" w:right="0" w:firstLine="0"/>
                      <w:jc w:val="left"/>
                      <w:rPr>
                        <w:rFonts w:ascii="Calibri"/>
                        <w:sz w:val="22"/>
                      </w:rPr>
                    </w:pPr>
                    <w:r>
                      <w:rPr>
                        <w:rFonts w:ascii="Calibri"/>
                        <w:w w:val="100"/>
                        <w:sz w:val="22"/>
                      </w:rPr>
                      <w:t>9</w:t>
                    </w:r>
                  </w:p>
                </w:txbxContent>
              </v:textbox>
              <w10:wrap type="none"/>
            </v:shape>
            <v:shape style="position:absolute;left:8820;top:5854;width:221;height:221" type="#_x0000_t202" filled="false" stroked="false">
              <v:textbox inset="0,0,0,0">
                <w:txbxContent>
                  <w:p>
                    <w:pPr>
                      <w:spacing w:line="221" w:lineRule="exact" w:before="0"/>
                      <w:ind w:left="0" w:right="-19" w:firstLine="0"/>
                      <w:jc w:val="left"/>
                      <w:rPr>
                        <w:rFonts w:ascii="Calibri"/>
                        <w:sz w:val="22"/>
                      </w:rPr>
                    </w:pPr>
                    <w:r>
                      <w:rPr>
                        <w:rFonts w:ascii="Calibri"/>
                        <w:spacing w:val="-2"/>
                        <w:sz w:val="22"/>
                      </w:rPr>
                      <w:t>10</w:t>
                    </w:r>
                  </w:p>
                </w:txbxContent>
              </v:textbox>
              <w10:wrap type="none"/>
            </v:shape>
            <v:shape style="position:absolute;left:9491;top:5854;width:221;height:221" type="#_x0000_t202" filled="false" stroked="false">
              <v:textbox inset="0,0,0,0">
                <w:txbxContent>
                  <w:p>
                    <w:pPr>
                      <w:spacing w:line="221" w:lineRule="exact" w:before="0"/>
                      <w:ind w:left="0" w:right="-19" w:firstLine="0"/>
                      <w:jc w:val="left"/>
                      <w:rPr>
                        <w:rFonts w:ascii="Calibri"/>
                        <w:sz w:val="22"/>
                      </w:rPr>
                    </w:pPr>
                    <w:r>
                      <w:rPr>
                        <w:rFonts w:ascii="Calibri"/>
                        <w:spacing w:val="-2"/>
                        <w:sz w:val="22"/>
                      </w:rPr>
                      <w:t>11</w:t>
                    </w:r>
                  </w:p>
                </w:txbxContent>
              </v:textbox>
              <w10:wrap type="none"/>
            </v:shape>
            <v:shape style="position:absolute;left:10161;top:5854;width:221;height:221" type="#_x0000_t202" filled="false" stroked="false">
              <v:textbox inset="0,0,0,0">
                <w:txbxContent>
                  <w:p>
                    <w:pPr>
                      <w:spacing w:line="221" w:lineRule="exact" w:before="0"/>
                      <w:ind w:left="0" w:right="-19" w:firstLine="0"/>
                      <w:jc w:val="left"/>
                      <w:rPr>
                        <w:rFonts w:ascii="Calibri"/>
                        <w:sz w:val="22"/>
                      </w:rPr>
                    </w:pPr>
                    <w:r>
                      <w:rPr>
                        <w:rFonts w:ascii="Calibri"/>
                        <w:spacing w:val="-2"/>
                        <w:sz w:val="22"/>
                      </w:rPr>
                      <w:t>12</w:t>
                    </w:r>
                  </w:p>
                </w:txbxContent>
              </v:textbox>
              <w10:wrap type="none"/>
            </v:shape>
            <v:shape style="position:absolute;left:5320;top:6186;width:2528;height:241" type="#_x0000_t202" filled="false" stroked="false">
              <v:textbox inset="0,0,0,0">
                <w:txbxContent>
                  <w:p>
                    <w:pPr>
                      <w:spacing w:line="240" w:lineRule="exact" w:before="0"/>
                      <w:ind w:left="0" w:right="-11" w:firstLine="0"/>
                      <w:jc w:val="left"/>
                      <w:rPr>
                        <w:rFonts w:ascii="Calibri" w:hAnsi="Calibri"/>
                        <w:b/>
                        <w:sz w:val="24"/>
                      </w:rPr>
                    </w:pPr>
                    <w:r>
                      <w:rPr>
                        <w:rFonts w:ascii="Calibri" w:hAnsi="Calibri"/>
                        <w:b/>
                        <w:sz w:val="24"/>
                      </w:rPr>
                      <w:t>Meses del año</w:t>
                    </w:r>
                    <w:r>
                      <w:rPr>
                        <w:rFonts w:ascii="Calibri" w:hAnsi="Calibri"/>
                        <w:b/>
                        <w:spacing w:val="-19"/>
                        <w:sz w:val="24"/>
                      </w:rPr>
                      <w:t> </w:t>
                    </w:r>
                    <w:r>
                      <w:rPr>
                        <w:rFonts w:ascii="Calibri" w:hAnsi="Calibri"/>
                        <w:b/>
                        <w:sz w:val="24"/>
                      </w:rPr>
                      <w:t>2000-2006</w:t>
                    </w:r>
                  </w:p>
                </w:txbxContent>
              </v:textbox>
              <w10:wrap type="none"/>
            </v:shape>
            <v:shape style="position:absolute;left:3963;top:6772;width:1869;height:607" type="#_x0000_t202" filled="false" stroked="false">
              <v:textbox inset="0,0,0,0">
                <w:txbxContent>
                  <w:p>
                    <w:pPr>
                      <w:spacing w:line="225" w:lineRule="exact" w:before="0"/>
                      <w:ind w:left="0" w:right="-20" w:firstLine="0"/>
                      <w:jc w:val="left"/>
                      <w:rPr>
                        <w:rFonts w:ascii="Calibri" w:hAnsi="Calibri"/>
                        <w:sz w:val="22"/>
                      </w:rPr>
                    </w:pPr>
                    <w:r>
                      <w:rPr>
                        <w:rFonts w:ascii="Calibri" w:hAnsi="Calibri"/>
                        <w:sz w:val="22"/>
                      </w:rPr>
                      <w:t>Precipitación</w:t>
                    </w:r>
                  </w:p>
                  <w:p>
                    <w:pPr>
                      <w:spacing w:line="265" w:lineRule="exact" w:before="117"/>
                      <w:ind w:left="0" w:right="-20" w:firstLine="0"/>
                      <w:jc w:val="left"/>
                      <w:rPr>
                        <w:rFonts w:ascii="Calibri"/>
                        <w:sz w:val="22"/>
                      </w:rPr>
                    </w:pPr>
                    <w:r>
                      <w:rPr>
                        <w:rFonts w:ascii="Calibri"/>
                        <w:sz w:val="22"/>
                      </w:rPr>
                      <w:t>Escurrimiento lateral</w:t>
                    </w:r>
                  </w:p>
                </w:txbxContent>
              </v:textbox>
              <w10:wrap type="none"/>
            </v:shape>
            <v:shape style="position:absolute;left:6611;top:6772;width:2167;height:607" type="#_x0000_t202" filled="false" stroked="false">
              <v:textbox inset="0,0,0,0">
                <w:txbxContent>
                  <w:p>
                    <w:pPr>
                      <w:spacing w:line="225" w:lineRule="exact" w:before="0"/>
                      <w:ind w:left="0" w:right="-20" w:firstLine="0"/>
                      <w:jc w:val="left"/>
                      <w:rPr>
                        <w:rFonts w:ascii="Calibri"/>
                        <w:sz w:val="22"/>
                      </w:rPr>
                    </w:pPr>
                    <w:r>
                      <w:rPr>
                        <w:rFonts w:ascii="Calibri"/>
                        <w:sz w:val="22"/>
                      </w:rPr>
                      <w:t>Escurrimiento superfcial</w:t>
                    </w:r>
                  </w:p>
                  <w:p>
                    <w:pPr>
                      <w:spacing w:line="265" w:lineRule="exact" w:before="117"/>
                      <w:ind w:left="0" w:right="-20" w:firstLine="0"/>
                      <w:jc w:val="left"/>
                      <w:rPr>
                        <w:rFonts w:ascii="Calibri" w:hAnsi="Calibri"/>
                        <w:sz w:val="22"/>
                      </w:rPr>
                    </w:pPr>
                    <w:r>
                      <w:rPr>
                        <w:rFonts w:ascii="Calibri" w:hAnsi="Calibri"/>
                        <w:sz w:val="22"/>
                      </w:rPr>
                      <w:t>Evapotranspiración</w:t>
                    </w:r>
                  </w:p>
                </w:txbxContent>
              </v:textbox>
              <w10:wrap type="none"/>
            </v:shape>
            <w10:wrap type="none"/>
          </v:group>
        </w:pict>
      </w:r>
      <w:r>
        <w:rPr/>
        <w:pict>
          <v:shape style="position:absolute;margin-left:84.925995pt;margin-top:138.017288pt;width:14.05pt;height:109.8pt;mso-position-horizontal-relative:page;mso-position-vertical-relative:paragraph;z-index:6088" type="#_x0000_t202" filled="false" stroked="false">
            <v:textbox inset="0,0,0,0" style="layout-flow:vertical;mso-layout-flow-alt:bottom-to-top">
              <w:txbxContent>
                <w:p>
                  <w:pPr>
                    <w:spacing w:line="265" w:lineRule="exact" w:before="0"/>
                    <w:ind w:left="20" w:right="-471" w:firstLine="0"/>
                    <w:jc w:val="left"/>
                    <w:rPr>
                      <w:rFonts w:ascii="Calibri" w:hAnsi="Calibri"/>
                      <w:b/>
                      <w:sz w:val="24"/>
                    </w:rPr>
                  </w:pPr>
                  <w:r>
                    <w:rPr>
                      <w:rFonts w:ascii="Calibri" w:hAnsi="Calibri"/>
                      <w:b/>
                      <w:spacing w:val="-1"/>
                      <w:w w:val="100"/>
                      <w:sz w:val="24"/>
                    </w:rPr>
                    <w:t>L</w:t>
                  </w:r>
                  <w:r>
                    <w:rPr>
                      <w:rFonts w:ascii="Calibri" w:hAnsi="Calibri"/>
                      <w:b/>
                      <w:spacing w:val="1"/>
                      <w:w w:val="100"/>
                      <w:sz w:val="24"/>
                    </w:rPr>
                    <w:t>á</w:t>
                  </w:r>
                  <w:r>
                    <w:rPr>
                      <w:rFonts w:ascii="Calibri" w:hAnsi="Calibri"/>
                      <w:b/>
                      <w:w w:val="100"/>
                      <w:sz w:val="24"/>
                    </w:rPr>
                    <w:t>m</w:t>
                  </w:r>
                  <w:r>
                    <w:rPr>
                      <w:rFonts w:ascii="Calibri" w:hAnsi="Calibri"/>
                      <w:b/>
                      <w:spacing w:val="-2"/>
                      <w:w w:val="100"/>
                      <w:sz w:val="24"/>
                    </w:rPr>
                    <w:t>i</w:t>
                  </w:r>
                  <w:r>
                    <w:rPr>
                      <w:rFonts w:ascii="Calibri" w:hAnsi="Calibri"/>
                      <w:b/>
                      <w:w w:val="100"/>
                      <w:sz w:val="24"/>
                    </w:rPr>
                    <w:t>na</w:t>
                  </w:r>
                  <w:r>
                    <w:rPr>
                      <w:rFonts w:ascii="Calibri" w:hAnsi="Calibri"/>
                      <w:b/>
                      <w:sz w:val="24"/>
                    </w:rPr>
                    <w:t> </w:t>
                  </w:r>
                  <w:r>
                    <w:rPr>
                      <w:rFonts w:ascii="Calibri" w:hAnsi="Calibri"/>
                      <w:b/>
                      <w:w w:val="100"/>
                      <w:sz w:val="24"/>
                    </w:rPr>
                    <w:t>de</w:t>
                  </w:r>
                  <w:r>
                    <w:rPr>
                      <w:rFonts w:ascii="Calibri" w:hAnsi="Calibri"/>
                      <w:b/>
                      <w:spacing w:val="-3"/>
                      <w:sz w:val="24"/>
                    </w:rPr>
                    <w:t> </w:t>
                  </w:r>
                  <w:r>
                    <w:rPr>
                      <w:rFonts w:ascii="Calibri" w:hAnsi="Calibri"/>
                      <w:b/>
                      <w:spacing w:val="1"/>
                      <w:w w:val="100"/>
                      <w:sz w:val="24"/>
                    </w:rPr>
                    <w:t>a</w:t>
                  </w:r>
                  <w:r>
                    <w:rPr>
                      <w:rFonts w:ascii="Calibri" w:hAnsi="Calibri"/>
                      <w:b/>
                      <w:w w:val="100"/>
                      <w:sz w:val="24"/>
                    </w:rPr>
                    <w:t>gua</w:t>
                  </w:r>
                  <w:r>
                    <w:rPr>
                      <w:rFonts w:ascii="Calibri" w:hAnsi="Calibri"/>
                      <w:b/>
                      <w:spacing w:val="-5"/>
                      <w:sz w:val="24"/>
                    </w:rPr>
                    <w:t> </w:t>
                  </w:r>
                  <w:r>
                    <w:rPr>
                      <w:rFonts w:ascii="Calibri" w:hAnsi="Calibri"/>
                      <w:b/>
                      <w:spacing w:val="1"/>
                      <w:w w:val="100"/>
                      <w:sz w:val="24"/>
                    </w:rPr>
                    <w:t>(</w:t>
                  </w:r>
                  <w:r>
                    <w:rPr>
                      <w:rFonts w:ascii="Calibri" w:hAnsi="Calibri"/>
                      <w:b/>
                      <w:w w:val="100"/>
                      <w:sz w:val="24"/>
                    </w:rPr>
                    <w:t>mm)</w:t>
                  </w:r>
                </w:p>
              </w:txbxContent>
            </v:textbox>
            <w10:wrap type="none"/>
          </v:shape>
        </w:pict>
      </w:r>
      <w:r>
        <w:rPr/>
        <w:t>Asimismo es posible aseverar que la cuenca tiene un importante potencial de almacenamiento de agua debido a que el escurrimiento superficial y la precipitación tiene una relación directa.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33"/>
        </w:rPr>
      </w:pPr>
    </w:p>
    <w:p>
      <w:pPr>
        <w:spacing w:before="0"/>
        <w:ind w:left="255" w:right="255" w:firstLine="0"/>
        <w:jc w:val="center"/>
        <w:rPr>
          <w:sz w:val="22"/>
        </w:rPr>
      </w:pPr>
      <w:r>
        <w:rPr>
          <w:sz w:val="22"/>
        </w:rPr>
        <w:t>Fuente: Elaboración propia, 2014.</w:t>
      </w:r>
    </w:p>
    <w:p>
      <w:pPr>
        <w:pStyle w:val="Heading1"/>
        <w:spacing w:line="292" w:lineRule="exact" w:before="16"/>
        <w:ind w:left="255" w:right="253"/>
        <w:jc w:val="center"/>
      </w:pPr>
      <w:bookmarkStart w:name="_bookmark111" w:id="164"/>
      <w:bookmarkEnd w:id="164"/>
      <w:r>
        <w:rPr>
          <w:b w:val="0"/>
        </w:rPr>
      </w:r>
      <w:r>
        <w:rPr/>
        <w:t>Figura 33. Distribución mensual de la precipitación, escurrimientos y evapotranspiración en la cuenca El Tejocote.</w:t>
      </w:r>
    </w:p>
    <w:p>
      <w:pPr>
        <w:spacing w:after="0" w:line="292" w:lineRule="exact"/>
        <w:jc w:val="center"/>
        <w:sectPr>
          <w:pgSz w:w="12240" w:h="15840"/>
          <w:pgMar w:header="0" w:footer="1473" w:top="1360" w:bottom="1660" w:left="1300" w:right="1300"/>
        </w:sectPr>
      </w:pPr>
    </w:p>
    <w:p>
      <w:pPr>
        <w:pStyle w:val="BodyText"/>
        <w:spacing w:line="360" w:lineRule="auto" w:before="49"/>
        <w:ind w:left="116" w:right="111"/>
        <w:jc w:val="both"/>
      </w:pPr>
      <w:r>
        <w:rPr/>
        <w:pict>
          <v:group style="position:absolute;margin-left:70.320pt;margin-top:159.286697pt;width:471.4pt;height:273.850pt;mso-position-horizontal-relative:page;mso-position-vertical-relative:paragraph;z-index:6544" coordorigin="1406,3186" coordsize="9428,5477">
            <v:shape style="position:absolute;left:2561;top:5747;width:8045;height:922" coordorigin="2561,5747" coordsize="8045,922" path="m2561,6668l10606,6668m2561,6207l10606,6207m2561,5747l10606,5747e" filled="false" stroked="true" strokeweight=".72pt" strokecolor="#7e7e7e">
              <v:path arrowok="t"/>
            </v:shape>
            <v:shape style="position:absolute;left:2561;top:7134;width:8045;height:2" coordorigin="2561,7134" coordsize="8045,0" path="m10320,7134l10606,7134m5625,7134l10224,7134m3614,7134l5529,7134m2947,7134l3518,7134m2561,7134l2851,7134e" filled="false" stroked="true" strokeweight=".72pt" strokecolor="#d9d9d9">
              <v:path arrowok="t"/>
            </v:shape>
            <v:shape style="position:absolute;left:2897;top:5564;width:7373;height:1527" coordorigin="2897,5564" coordsize="7373,1527" path="m2897,7028l3564,7091,4236,7028,4908,6894,5575,6601,6247,5694,6919,5564,7586,5756,8258,5871,8930,6318,9598,6942,10270,7062e" filled="false" stroked="true" strokeweight="2.16pt" strokecolor="#7e7e7e">
              <v:path arrowok="t"/>
            </v:shape>
            <v:shape style="position:absolute;left:2791;top:6922;width:216;height:216" type="#_x0000_t75" stroked="false">
              <v:imagedata r:id="rId155" o:title=""/>
            </v:shape>
            <v:shape style="position:absolute;left:3458;top:6985;width:216;height:216" type="#_x0000_t75" stroked="false">
              <v:imagedata r:id="rId156" o:title=""/>
            </v:shape>
            <v:shape style="position:absolute;left:4130;top:6922;width:216;height:216" type="#_x0000_t75" stroked="false">
              <v:imagedata r:id="rId157" o:title=""/>
            </v:shape>
            <v:shape style="position:absolute;left:4802;top:6788;width:216;height:216" type="#_x0000_t75" stroked="false">
              <v:imagedata r:id="rId155" o:title=""/>
            </v:shape>
            <v:shape style="position:absolute;left:5469;top:6495;width:216;height:216" type="#_x0000_t75" stroked="false">
              <v:imagedata r:id="rId155" o:title=""/>
            </v:shape>
            <v:shape style="position:absolute;left:6141;top:5588;width:216;height:216" type="#_x0000_t75" stroked="false">
              <v:imagedata r:id="rId155" o:title=""/>
            </v:shape>
            <v:shape style="position:absolute;left:6813;top:5458;width:216;height:216" type="#_x0000_t75" stroked="false">
              <v:imagedata r:id="rId155" o:title=""/>
            </v:shape>
            <v:shape style="position:absolute;left:7480;top:5650;width:216;height:216" type="#_x0000_t75" stroked="false">
              <v:imagedata r:id="rId156" o:title=""/>
            </v:shape>
            <v:shape style="position:absolute;left:8152;top:5765;width:216;height:216" type="#_x0000_t75" stroked="false">
              <v:imagedata r:id="rId155" o:title=""/>
            </v:shape>
            <v:shape style="position:absolute;left:8824;top:6212;width:216;height:216" type="#_x0000_t75" stroked="false">
              <v:imagedata r:id="rId158" o:title=""/>
            </v:shape>
            <v:shape style="position:absolute;left:9492;top:6836;width:216;height:216" type="#_x0000_t75" stroked="false">
              <v:imagedata r:id="rId157" o:title=""/>
            </v:shape>
            <v:shape style="position:absolute;left:10164;top:6956;width:216;height:216" type="#_x0000_t75" stroked="false">
              <v:imagedata r:id="rId155" o:title=""/>
            </v:shape>
            <v:shape style="position:absolute;left:2897;top:6927;width:7373;height:207" coordorigin="2897,6927" coordsize="7373,207" path="m2897,7134l3564,7129,4236,7023,4908,7086,5575,7110,6247,7043,6919,6990,7586,6990,8258,6927,8930,6966,9598,7081,10270,7129e" filled="false" stroked="true" strokeweight="2.16pt" strokecolor="#000000">
              <v:path arrowok="t"/>
            </v:shape>
            <v:line style="position:absolute" from="2899,7088" to="2899,7184" stroked="true" strokeweight="4.8pt" strokecolor="#0d0d0d"/>
            <v:rect style="position:absolute;left:2851;top:7088;width:96;height:96" filled="false" stroked="true" strokeweight=".72pt" strokecolor="#0d0d0d"/>
            <v:line style="position:absolute" from="3566,7083" to="3566,7179" stroked="true" strokeweight="4.8pt" strokecolor="#0d0d0d"/>
            <v:rect style="position:absolute;left:3518;top:7083;width:96;height:96" filled="false" stroked="true" strokeweight=".72pt" strokecolor="#0d0d0d"/>
            <v:line style="position:absolute" from="4238,6977" to="4238,7073" stroked="true" strokeweight="4.8pt" strokecolor="#0d0d0d"/>
            <v:rect style="position:absolute;left:4190;top:6977;width:96;height:96" filled="false" stroked="true" strokeweight=".72pt" strokecolor="#0d0d0d"/>
            <v:line style="position:absolute" from="4910,7040" to="4910,7136" stroked="true" strokeweight="4.8pt" strokecolor="#0d0d0d"/>
            <v:rect style="position:absolute;left:4862;top:7040;width:96;height:96" filled="false" stroked="true" strokeweight=".72pt" strokecolor="#0d0d0d"/>
            <v:line style="position:absolute" from="5577,7064" to="5577,7160" stroked="true" strokeweight="4.8pt" strokecolor="#0d0d0d"/>
            <v:rect style="position:absolute;left:5529;top:7064;width:96;height:96" filled="false" stroked="true" strokeweight=".72pt" strokecolor="#0d0d0d"/>
            <v:line style="position:absolute" from="6249,6997" to="6249,7093" stroked="true" strokeweight="4.8pt" strokecolor="#0d0d0d"/>
            <v:rect style="position:absolute;left:6201;top:6997;width:96;height:96" filled="false" stroked="true" strokeweight=".72pt" strokecolor="#0d0d0d"/>
            <v:line style="position:absolute" from="6921,6944" to="6921,7040" stroked="true" strokeweight="4.8pt" strokecolor="#0d0d0d"/>
            <v:rect style="position:absolute;left:6873;top:6944;width:96;height:96" filled="false" stroked="true" strokeweight=".72pt" strokecolor="#0d0d0d"/>
            <v:line style="position:absolute" from="7588,6944" to="7588,7040" stroked="true" strokeweight="4.8pt" strokecolor="#0d0d0d"/>
            <v:rect style="position:absolute;left:7540;top:6944;width:96;height:96" filled="false" stroked="true" strokeweight=".72pt" strokecolor="#0d0d0d"/>
            <v:line style="position:absolute" from="8260,6881" to="8260,6977" stroked="true" strokeweight="4.8pt" strokecolor="#0d0d0d"/>
            <v:rect style="position:absolute;left:8212;top:6881;width:96;height:96" filled="false" stroked="true" strokeweight=".72pt" strokecolor="#0d0d0d"/>
            <v:line style="position:absolute" from="8932,6920" to="8932,7016" stroked="true" strokeweight="4.8pt" strokecolor="#0d0d0d"/>
            <v:rect style="position:absolute;left:8884;top:6920;width:96;height:96" filled="false" stroked="true" strokeweight=".72pt" strokecolor="#0d0d0d"/>
            <v:line style="position:absolute" from="9600,7035" to="9600,7131" stroked="true" strokeweight="4.8pt" strokecolor="#0d0d0d"/>
            <v:rect style="position:absolute;left:9552;top:7035;width:96;height:96" filled="false" stroked="true" strokeweight=".72pt" strokecolor="#0d0d0d"/>
            <v:line style="position:absolute" from="10272,7083" to="10272,7179" stroked="true" strokeweight="4.8pt" strokecolor="#0d0d0d"/>
            <v:rect style="position:absolute;left:10224;top:7083;width:96;height:96" filled="false" stroked="true" strokeweight=".72pt" strokecolor="#0d0d0d"/>
            <v:shape style="position:absolute;left:2897;top:6817;width:7373;height:240" coordorigin="2897,6817" coordsize="7373,240" path="m2897,7043l3564,7057,4236,7057,4908,7057,5575,7033,6247,6817,6919,6817,7586,6836,8258,6822,8930,6860,9598,7019,10270,7023e" filled="false" stroked="true" strokeweight="2.16pt" strokecolor="#3a3838">
              <v:path arrowok="t"/>
            </v:shape>
            <v:shape style="position:absolute;left:2791;top:6937;width:216;height:216" type="#_x0000_t75" stroked="false">
              <v:imagedata r:id="rId159" o:title=""/>
            </v:shape>
            <v:shape style="position:absolute;left:3458;top:6951;width:216;height:216" type="#_x0000_t75" stroked="false">
              <v:imagedata r:id="rId159" o:title=""/>
            </v:shape>
            <v:shape style="position:absolute;left:4130;top:6951;width:216;height:216" type="#_x0000_t75" stroked="false">
              <v:imagedata r:id="rId160" o:title=""/>
            </v:shape>
            <v:shape style="position:absolute;left:4802;top:6951;width:216;height:216" type="#_x0000_t75" stroked="false">
              <v:imagedata r:id="rId159" o:title=""/>
            </v:shape>
            <v:shape style="position:absolute;left:5469;top:6927;width:216;height:216" type="#_x0000_t75" stroked="false">
              <v:imagedata r:id="rId159" o:title=""/>
            </v:shape>
            <v:shape style="position:absolute;left:6141;top:6711;width:216;height:216" type="#_x0000_t75" stroked="false">
              <v:imagedata r:id="rId159" o:title=""/>
            </v:shape>
            <v:shape style="position:absolute;left:6813;top:6711;width:216;height:216" type="#_x0000_t75" stroked="false">
              <v:imagedata r:id="rId159" o:title=""/>
            </v:shape>
            <v:shape style="position:absolute;left:7480;top:6730;width:216;height:216" type="#_x0000_t75" stroked="false">
              <v:imagedata r:id="rId161" o:title=""/>
            </v:shape>
            <v:shape style="position:absolute;left:8152;top:6716;width:216;height:216" type="#_x0000_t75" stroked="false">
              <v:imagedata r:id="rId159" o:title=""/>
            </v:shape>
            <v:shape style="position:absolute;left:8824;top:6754;width:216;height:216" type="#_x0000_t75" stroked="false">
              <v:imagedata r:id="rId160" o:title=""/>
            </v:shape>
            <v:shape style="position:absolute;left:9492;top:6913;width:216;height:216" type="#_x0000_t75" stroked="false">
              <v:imagedata r:id="rId160" o:title=""/>
            </v:shape>
            <v:shape style="position:absolute;left:10164;top:6917;width:216;height:216" type="#_x0000_t75" stroked="false">
              <v:imagedata r:id="rId161" o:title=""/>
            </v:shape>
            <v:shape style="position:absolute;left:2561;top:3894;width:8045;height:1388" coordorigin="2561,3894" coordsize="8045,1388" path="m2561,5281l10606,5281m2561,4820l10606,4820m2561,4355l10606,4355m2561,3894l10606,3894e" filled="false" stroked="true" strokeweight=".72pt" strokecolor="#7e7e7e">
              <v:path arrowok="t"/>
            </v:shape>
            <v:shape style="position:absolute;left:2894;top:3709;width:7373;height:711" coordorigin="2894,3709" coordsize="7373,711" path="m2894,4242l3566,4256,4234,4343,4906,4371,5578,4419,6245,4059,6917,3805,7589,3752,8256,3709,8928,3834,9600,3959,10267,4050e" filled="false" stroked="true" strokeweight="2.4pt" strokecolor="#bebebe">
              <v:path arrowok="t"/>
            </v:shape>
            <v:shape style="position:absolute;left:2820;top:4162;width:149;height:149" type="#_x0000_t75" stroked="false">
              <v:imagedata r:id="rId162" o:title=""/>
            </v:shape>
            <v:shape style="position:absolute;left:3487;top:4181;width:149;height:149" type="#_x0000_t75" stroked="false">
              <v:imagedata r:id="rId162" o:title=""/>
            </v:shape>
            <v:shape style="position:absolute;left:4159;top:4268;width:149;height:149" type="#_x0000_t75" stroked="false">
              <v:imagedata r:id="rId163" o:title=""/>
            </v:shape>
            <v:shape style="position:absolute;left:4831;top:4292;width:149;height:149" type="#_x0000_t75" stroked="false">
              <v:imagedata r:id="rId164" o:title=""/>
            </v:shape>
            <v:shape style="position:absolute;left:5498;top:4345;width:149;height:149" type="#_x0000_t75" stroked="false">
              <v:imagedata r:id="rId164" o:title=""/>
            </v:shape>
            <v:shape style="position:absolute;left:6170;top:3980;width:149;height:149" type="#_x0000_t75" stroked="false">
              <v:imagedata r:id="rId162" o:title=""/>
            </v:shape>
            <v:shape style="position:absolute;left:6842;top:3730;width:149;height:149" type="#_x0000_t75" stroked="false">
              <v:imagedata r:id="rId162" o:title=""/>
            </v:shape>
            <v:shape style="position:absolute;left:7509;top:3673;width:149;height:149" type="#_x0000_t75" stroked="false">
              <v:imagedata r:id="rId162" o:title=""/>
            </v:shape>
            <v:shape style="position:absolute;left:8181;top:3634;width:149;height:149" type="#_x0000_t75" stroked="false">
              <v:imagedata r:id="rId162" o:title=""/>
            </v:shape>
            <v:shape style="position:absolute;left:8853;top:3754;width:149;height:149" type="#_x0000_t75" stroked="false">
              <v:imagedata r:id="rId162" o:title=""/>
            </v:shape>
            <v:shape style="position:absolute;left:9520;top:3884;width:149;height:149" type="#_x0000_t75" stroked="false">
              <v:imagedata r:id="rId162" o:title=""/>
            </v:shape>
            <v:shape style="position:absolute;left:10192;top:3975;width:149;height:149" type="#_x0000_t75" stroked="false">
              <v:imagedata r:id="rId162" o:title=""/>
            </v:shape>
            <v:line style="position:absolute" from="2561,3433" to="10606,3433" stroked="true" strokeweight=".72pt" strokecolor="#7e7e7e"/>
            <v:shape style="position:absolute;left:2155;top:8274;width:427;height:130" type="#_x0000_t75" stroked="false">
              <v:imagedata r:id="rId165" o:title=""/>
            </v:shape>
            <v:shape style="position:absolute;left:4044;top:8339;width:384;height:2" coordorigin="4044,8339" coordsize="384,0" path="m4284,8339l4428,8339m4044,8339l4188,8339e" filled="false" stroked="true" strokeweight="2.16pt" strokecolor="#000000">
              <v:path arrowok="t"/>
            </v:shape>
            <v:line style="position:absolute" from="4236,8291" to="4236,8387" stroked="true" strokeweight="4.8pt" strokecolor="#0d0d0d"/>
            <v:rect style="position:absolute;left:4188;top:8291;width:96;height:96" filled="false" stroked="true" strokeweight=".72pt" strokecolor="#0d0d0d"/>
            <v:shape style="position:absolute;left:5760;top:8271;width:432;height:130" type="#_x0000_t75" stroked="false">
              <v:imagedata r:id="rId166" o:title=""/>
            </v:shape>
            <v:shape style="position:absolute;left:7930;top:8274;width:427;height:130" type="#_x0000_t75" stroked="false">
              <v:imagedata r:id="rId167" o:title=""/>
            </v:shape>
            <v:rect style="position:absolute;left:1418;top:3198;width:9403;height:5453" filled="false" stroked="true" strokeweight="1.2pt" strokecolor="#000000"/>
            <v:shape style="position:absolute;left:2022;top:3332;width:336;height:3923" type="#_x0000_t202" filled="false" stroked="false">
              <v:textbox inset="0,0,0,0">
                <w:txbxContent>
                  <w:p>
                    <w:pPr>
                      <w:spacing w:line="225" w:lineRule="exact" w:before="0"/>
                      <w:ind w:left="-1" w:right="1" w:firstLine="0"/>
                      <w:jc w:val="center"/>
                      <w:rPr>
                        <w:rFonts w:ascii="Calibri"/>
                        <w:sz w:val="22"/>
                      </w:rPr>
                    </w:pPr>
                    <w:r>
                      <w:rPr>
                        <w:rFonts w:ascii="Calibri"/>
                        <w:spacing w:val="-2"/>
                        <w:sz w:val="22"/>
                      </w:rPr>
                      <w:t>400</w:t>
                    </w:r>
                  </w:p>
                  <w:p>
                    <w:pPr>
                      <w:spacing w:before="194"/>
                      <w:ind w:left="-1" w:right="1" w:firstLine="0"/>
                      <w:jc w:val="center"/>
                      <w:rPr>
                        <w:rFonts w:ascii="Calibri"/>
                        <w:sz w:val="22"/>
                      </w:rPr>
                    </w:pPr>
                    <w:r>
                      <w:rPr>
                        <w:rFonts w:ascii="Calibri"/>
                        <w:spacing w:val="-2"/>
                        <w:sz w:val="22"/>
                      </w:rPr>
                      <w:t>350</w:t>
                    </w:r>
                  </w:p>
                  <w:p>
                    <w:pPr>
                      <w:spacing w:before="194"/>
                      <w:ind w:left="-1" w:right="1" w:firstLine="0"/>
                      <w:jc w:val="center"/>
                      <w:rPr>
                        <w:rFonts w:ascii="Calibri"/>
                        <w:sz w:val="22"/>
                      </w:rPr>
                    </w:pPr>
                    <w:r>
                      <w:rPr>
                        <w:rFonts w:ascii="Calibri"/>
                        <w:spacing w:val="-2"/>
                        <w:sz w:val="22"/>
                      </w:rPr>
                      <w:t>300</w:t>
                    </w:r>
                  </w:p>
                  <w:p>
                    <w:pPr>
                      <w:spacing w:before="194"/>
                      <w:ind w:left="-1" w:right="1" w:firstLine="0"/>
                      <w:jc w:val="center"/>
                      <w:rPr>
                        <w:rFonts w:ascii="Calibri"/>
                        <w:sz w:val="22"/>
                      </w:rPr>
                    </w:pPr>
                    <w:r>
                      <w:rPr>
                        <w:rFonts w:ascii="Calibri"/>
                        <w:spacing w:val="-2"/>
                        <w:sz w:val="22"/>
                      </w:rPr>
                      <w:t>250</w:t>
                    </w:r>
                  </w:p>
                  <w:p>
                    <w:pPr>
                      <w:spacing w:before="194"/>
                      <w:ind w:left="-1" w:right="1" w:firstLine="0"/>
                      <w:jc w:val="center"/>
                      <w:rPr>
                        <w:rFonts w:ascii="Calibri"/>
                        <w:sz w:val="22"/>
                      </w:rPr>
                    </w:pPr>
                    <w:r>
                      <w:rPr>
                        <w:rFonts w:ascii="Calibri"/>
                        <w:spacing w:val="-2"/>
                        <w:sz w:val="22"/>
                      </w:rPr>
                      <w:t>200</w:t>
                    </w:r>
                  </w:p>
                  <w:p>
                    <w:pPr>
                      <w:spacing w:before="194"/>
                      <w:ind w:left="-1" w:right="1" w:firstLine="0"/>
                      <w:jc w:val="center"/>
                      <w:rPr>
                        <w:rFonts w:ascii="Calibri"/>
                        <w:sz w:val="22"/>
                      </w:rPr>
                    </w:pPr>
                    <w:r>
                      <w:rPr>
                        <w:rFonts w:ascii="Calibri"/>
                        <w:spacing w:val="-2"/>
                        <w:sz w:val="22"/>
                      </w:rPr>
                      <w:t>150</w:t>
                    </w:r>
                  </w:p>
                  <w:p>
                    <w:pPr>
                      <w:spacing w:before="194"/>
                      <w:ind w:left="-1" w:right="1" w:firstLine="0"/>
                      <w:jc w:val="center"/>
                      <w:rPr>
                        <w:rFonts w:ascii="Calibri"/>
                        <w:sz w:val="22"/>
                      </w:rPr>
                    </w:pPr>
                    <w:r>
                      <w:rPr>
                        <w:rFonts w:ascii="Calibri"/>
                        <w:spacing w:val="-2"/>
                        <w:sz w:val="22"/>
                      </w:rPr>
                      <w:t>100</w:t>
                    </w:r>
                  </w:p>
                  <w:p>
                    <w:pPr>
                      <w:spacing w:before="194"/>
                      <w:ind w:left="108" w:right="0" w:firstLine="0"/>
                      <w:jc w:val="center"/>
                      <w:rPr>
                        <w:rFonts w:ascii="Calibri"/>
                        <w:sz w:val="22"/>
                      </w:rPr>
                    </w:pPr>
                    <w:r>
                      <w:rPr>
                        <w:rFonts w:ascii="Calibri"/>
                        <w:sz w:val="22"/>
                      </w:rPr>
                      <w:t>50</w:t>
                    </w:r>
                  </w:p>
                  <w:p>
                    <w:pPr>
                      <w:spacing w:line="265" w:lineRule="exact" w:before="194"/>
                      <w:ind w:left="223" w:right="0" w:firstLine="0"/>
                      <w:jc w:val="center"/>
                      <w:rPr>
                        <w:rFonts w:ascii="Calibri"/>
                        <w:sz w:val="22"/>
                      </w:rPr>
                    </w:pPr>
                    <w:r>
                      <w:rPr>
                        <w:rFonts w:ascii="Calibri"/>
                        <w:w w:val="100"/>
                        <w:sz w:val="22"/>
                      </w:rPr>
                      <w:t>0</w:t>
                    </w:r>
                  </w:p>
                </w:txbxContent>
              </v:textbox>
              <w10:wrap type="none"/>
            </v:shape>
            <v:shape style="position:absolute;left:2840;top:7320;width:112;height:221" type="#_x0000_t202" filled="false" stroked="false">
              <v:textbox inset="0,0,0,0">
                <w:txbxContent>
                  <w:p>
                    <w:pPr>
                      <w:spacing w:line="221" w:lineRule="exact" w:before="0"/>
                      <w:ind w:left="0" w:right="0" w:firstLine="0"/>
                      <w:jc w:val="left"/>
                      <w:rPr>
                        <w:rFonts w:ascii="Calibri"/>
                        <w:sz w:val="22"/>
                      </w:rPr>
                    </w:pPr>
                    <w:r>
                      <w:rPr>
                        <w:rFonts w:ascii="Calibri"/>
                        <w:w w:val="100"/>
                        <w:sz w:val="22"/>
                      </w:rPr>
                      <w:t>1</w:t>
                    </w:r>
                  </w:p>
                </w:txbxContent>
              </v:textbox>
              <w10:wrap type="none"/>
            </v:shape>
            <v:shape style="position:absolute;left:3511;top:7320;width:112;height:221" type="#_x0000_t202" filled="false" stroked="false">
              <v:textbox inset="0,0,0,0">
                <w:txbxContent>
                  <w:p>
                    <w:pPr>
                      <w:spacing w:line="221" w:lineRule="exact" w:before="0"/>
                      <w:ind w:left="0" w:right="0" w:firstLine="0"/>
                      <w:jc w:val="left"/>
                      <w:rPr>
                        <w:rFonts w:ascii="Calibri"/>
                        <w:sz w:val="22"/>
                      </w:rPr>
                    </w:pPr>
                    <w:r>
                      <w:rPr>
                        <w:rFonts w:ascii="Calibri"/>
                        <w:w w:val="100"/>
                        <w:sz w:val="22"/>
                      </w:rPr>
                      <w:t>2</w:t>
                    </w:r>
                  </w:p>
                </w:txbxContent>
              </v:textbox>
              <w10:wrap type="none"/>
            </v:shape>
            <v:shape style="position:absolute;left:4181;top:7320;width:112;height:221" type="#_x0000_t202" filled="false" stroked="false">
              <v:textbox inset="0,0,0,0">
                <w:txbxContent>
                  <w:p>
                    <w:pPr>
                      <w:spacing w:line="221" w:lineRule="exact" w:before="0"/>
                      <w:ind w:left="0" w:right="0" w:firstLine="0"/>
                      <w:jc w:val="left"/>
                      <w:rPr>
                        <w:rFonts w:ascii="Calibri"/>
                        <w:sz w:val="22"/>
                      </w:rPr>
                    </w:pPr>
                    <w:r>
                      <w:rPr>
                        <w:rFonts w:ascii="Calibri"/>
                        <w:w w:val="100"/>
                        <w:sz w:val="22"/>
                      </w:rPr>
                      <w:t>3</w:t>
                    </w:r>
                  </w:p>
                </w:txbxContent>
              </v:textbox>
              <w10:wrap type="none"/>
            </v:shape>
            <v:shape style="position:absolute;left:4852;top:7320;width:112;height:221" type="#_x0000_t202" filled="false" stroked="false">
              <v:textbox inset="0,0,0,0">
                <w:txbxContent>
                  <w:p>
                    <w:pPr>
                      <w:spacing w:line="221" w:lineRule="exact" w:before="0"/>
                      <w:ind w:left="0" w:right="0" w:firstLine="0"/>
                      <w:jc w:val="left"/>
                      <w:rPr>
                        <w:rFonts w:ascii="Calibri"/>
                        <w:sz w:val="22"/>
                      </w:rPr>
                    </w:pPr>
                    <w:r>
                      <w:rPr>
                        <w:rFonts w:ascii="Calibri"/>
                        <w:w w:val="100"/>
                        <w:sz w:val="22"/>
                      </w:rPr>
                      <w:t>4</w:t>
                    </w:r>
                  </w:p>
                </w:txbxContent>
              </v:textbox>
              <w10:wrap type="none"/>
            </v:shape>
            <v:shape style="position:absolute;left:5522;top:7320;width:112;height:221" type="#_x0000_t202" filled="false" stroked="false">
              <v:textbox inset="0,0,0,0">
                <w:txbxContent>
                  <w:p>
                    <w:pPr>
                      <w:spacing w:line="221" w:lineRule="exact" w:before="0"/>
                      <w:ind w:left="0" w:right="0" w:firstLine="0"/>
                      <w:jc w:val="left"/>
                      <w:rPr>
                        <w:rFonts w:ascii="Calibri"/>
                        <w:sz w:val="22"/>
                      </w:rPr>
                    </w:pPr>
                    <w:r>
                      <w:rPr>
                        <w:rFonts w:ascii="Calibri"/>
                        <w:w w:val="100"/>
                        <w:sz w:val="22"/>
                      </w:rPr>
                      <w:t>5</w:t>
                    </w:r>
                  </w:p>
                </w:txbxContent>
              </v:textbox>
              <w10:wrap type="none"/>
            </v:shape>
            <v:shape style="position:absolute;left:6193;top:7320;width:112;height:221" type="#_x0000_t202" filled="false" stroked="false">
              <v:textbox inset="0,0,0,0">
                <w:txbxContent>
                  <w:p>
                    <w:pPr>
                      <w:spacing w:line="221" w:lineRule="exact" w:before="0"/>
                      <w:ind w:left="0" w:right="0" w:firstLine="0"/>
                      <w:jc w:val="left"/>
                      <w:rPr>
                        <w:rFonts w:ascii="Calibri"/>
                        <w:sz w:val="22"/>
                      </w:rPr>
                    </w:pPr>
                    <w:r>
                      <w:rPr>
                        <w:rFonts w:ascii="Calibri"/>
                        <w:w w:val="100"/>
                        <w:sz w:val="22"/>
                      </w:rPr>
                      <w:t>6</w:t>
                    </w:r>
                  </w:p>
                </w:txbxContent>
              </v:textbox>
              <w10:wrap type="none"/>
            </v:shape>
            <v:shape style="position:absolute;left:6864;top:7320;width:112;height:221" type="#_x0000_t202" filled="false" stroked="false">
              <v:textbox inset="0,0,0,0">
                <w:txbxContent>
                  <w:p>
                    <w:pPr>
                      <w:spacing w:line="221" w:lineRule="exact" w:before="0"/>
                      <w:ind w:left="0" w:right="0" w:firstLine="0"/>
                      <w:jc w:val="left"/>
                      <w:rPr>
                        <w:rFonts w:ascii="Calibri"/>
                        <w:sz w:val="22"/>
                      </w:rPr>
                    </w:pPr>
                    <w:r>
                      <w:rPr>
                        <w:rFonts w:ascii="Calibri"/>
                        <w:w w:val="100"/>
                        <w:sz w:val="22"/>
                      </w:rPr>
                      <w:t>7</w:t>
                    </w:r>
                  </w:p>
                </w:txbxContent>
              </v:textbox>
              <w10:wrap type="none"/>
            </v:shape>
            <v:shape style="position:absolute;left:7535;top:7320;width:112;height:221" type="#_x0000_t202" filled="false" stroked="false">
              <v:textbox inset="0,0,0,0">
                <w:txbxContent>
                  <w:p>
                    <w:pPr>
                      <w:spacing w:line="221" w:lineRule="exact" w:before="0"/>
                      <w:ind w:left="0" w:right="0" w:firstLine="0"/>
                      <w:jc w:val="left"/>
                      <w:rPr>
                        <w:rFonts w:ascii="Calibri"/>
                        <w:sz w:val="22"/>
                      </w:rPr>
                    </w:pPr>
                    <w:r>
                      <w:rPr>
                        <w:rFonts w:ascii="Calibri"/>
                        <w:w w:val="100"/>
                        <w:sz w:val="22"/>
                      </w:rPr>
                      <w:t>8</w:t>
                    </w:r>
                  </w:p>
                </w:txbxContent>
              </v:textbox>
              <w10:wrap type="none"/>
            </v:shape>
            <v:shape style="position:absolute;left:8205;top:7320;width:112;height:221" type="#_x0000_t202" filled="false" stroked="false">
              <v:textbox inset="0,0,0,0">
                <w:txbxContent>
                  <w:p>
                    <w:pPr>
                      <w:spacing w:line="221" w:lineRule="exact" w:before="0"/>
                      <w:ind w:left="0" w:right="0" w:firstLine="0"/>
                      <w:jc w:val="left"/>
                      <w:rPr>
                        <w:rFonts w:ascii="Calibri"/>
                        <w:sz w:val="22"/>
                      </w:rPr>
                    </w:pPr>
                    <w:r>
                      <w:rPr>
                        <w:rFonts w:ascii="Calibri"/>
                        <w:w w:val="100"/>
                        <w:sz w:val="22"/>
                      </w:rPr>
                      <w:t>9</w:t>
                    </w:r>
                  </w:p>
                </w:txbxContent>
              </v:textbox>
              <w10:wrap type="none"/>
            </v:shape>
            <v:shape style="position:absolute;left:8820;top:7320;width:221;height:221" type="#_x0000_t202" filled="false" stroked="false">
              <v:textbox inset="0,0,0,0">
                <w:txbxContent>
                  <w:p>
                    <w:pPr>
                      <w:spacing w:line="221" w:lineRule="exact" w:before="0"/>
                      <w:ind w:left="0" w:right="-19" w:firstLine="0"/>
                      <w:jc w:val="left"/>
                      <w:rPr>
                        <w:rFonts w:ascii="Calibri"/>
                        <w:sz w:val="22"/>
                      </w:rPr>
                    </w:pPr>
                    <w:r>
                      <w:rPr>
                        <w:rFonts w:ascii="Calibri"/>
                        <w:spacing w:val="-2"/>
                        <w:sz w:val="22"/>
                      </w:rPr>
                      <w:t>10</w:t>
                    </w:r>
                  </w:p>
                </w:txbxContent>
              </v:textbox>
              <w10:wrap type="none"/>
            </v:shape>
            <v:shape style="position:absolute;left:9491;top:7320;width:221;height:221" type="#_x0000_t202" filled="false" stroked="false">
              <v:textbox inset="0,0,0,0">
                <w:txbxContent>
                  <w:p>
                    <w:pPr>
                      <w:spacing w:line="221" w:lineRule="exact" w:before="0"/>
                      <w:ind w:left="0" w:right="-19" w:firstLine="0"/>
                      <w:jc w:val="left"/>
                      <w:rPr>
                        <w:rFonts w:ascii="Calibri"/>
                        <w:sz w:val="22"/>
                      </w:rPr>
                    </w:pPr>
                    <w:r>
                      <w:rPr>
                        <w:rFonts w:ascii="Calibri"/>
                        <w:spacing w:val="-2"/>
                        <w:sz w:val="22"/>
                      </w:rPr>
                      <w:t>11</w:t>
                    </w:r>
                  </w:p>
                </w:txbxContent>
              </v:textbox>
              <w10:wrap type="none"/>
            </v:shape>
            <v:shape style="position:absolute;left:10161;top:7320;width:221;height:221" type="#_x0000_t202" filled="false" stroked="false">
              <v:textbox inset="0,0,0,0">
                <w:txbxContent>
                  <w:p>
                    <w:pPr>
                      <w:spacing w:line="221" w:lineRule="exact" w:before="0"/>
                      <w:ind w:left="0" w:right="-19" w:firstLine="0"/>
                      <w:jc w:val="left"/>
                      <w:rPr>
                        <w:rFonts w:ascii="Calibri"/>
                        <w:sz w:val="22"/>
                      </w:rPr>
                    </w:pPr>
                    <w:r>
                      <w:rPr>
                        <w:rFonts w:ascii="Calibri"/>
                        <w:spacing w:val="-2"/>
                        <w:sz w:val="22"/>
                      </w:rPr>
                      <w:t>12</w:t>
                    </w:r>
                  </w:p>
                </w:txbxContent>
              </v:textbox>
              <w10:wrap type="none"/>
            </v:shape>
            <v:shape style="position:absolute;left:5334;top:7654;width:2497;height:240" type="#_x0000_t202" filled="false" stroked="false">
              <v:textbox inset="0,0,0,0">
                <w:txbxContent>
                  <w:p>
                    <w:pPr>
                      <w:spacing w:line="240" w:lineRule="exact" w:before="0"/>
                      <w:ind w:left="0" w:right="-13" w:firstLine="0"/>
                      <w:jc w:val="left"/>
                      <w:rPr>
                        <w:rFonts w:ascii="Calibri" w:hAnsi="Calibri"/>
                        <w:sz w:val="24"/>
                      </w:rPr>
                    </w:pPr>
                    <w:r>
                      <w:rPr>
                        <w:rFonts w:ascii="Calibri" w:hAnsi="Calibri"/>
                        <w:sz w:val="24"/>
                      </w:rPr>
                      <w:t>Meses del año</w:t>
                    </w:r>
                    <w:r>
                      <w:rPr>
                        <w:rFonts w:ascii="Calibri" w:hAnsi="Calibri"/>
                        <w:spacing w:val="-20"/>
                        <w:sz w:val="24"/>
                      </w:rPr>
                      <w:t> </w:t>
                    </w:r>
                    <w:r>
                      <w:rPr>
                        <w:rFonts w:ascii="Calibri" w:hAnsi="Calibri"/>
                        <w:sz w:val="24"/>
                      </w:rPr>
                      <w:t>2000-2006</w:t>
                    </w:r>
                  </w:p>
                </w:txbxContent>
              </v:textbox>
              <w10:wrap type="none"/>
            </v:shape>
            <v:shape style="position:absolute;left:2600;top:8238;width:1162;height:221" type="#_x0000_t202" filled="false" stroked="false">
              <v:textbox inset="0,0,0,0">
                <w:txbxContent>
                  <w:p>
                    <w:pPr>
                      <w:spacing w:line="221" w:lineRule="exact" w:before="0"/>
                      <w:ind w:left="0" w:right="-9" w:firstLine="0"/>
                      <w:jc w:val="left"/>
                      <w:rPr>
                        <w:rFonts w:ascii="Calibri" w:hAnsi="Calibri"/>
                        <w:sz w:val="22"/>
                      </w:rPr>
                    </w:pPr>
                    <w:r>
                      <w:rPr>
                        <w:rFonts w:ascii="Calibri" w:hAnsi="Calibri"/>
                        <w:spacing w:val="-1"/>
                        <w:sz w:val="22"/>
                      </w:rPr>
                      <w:t>Precipitación</w:t>
                    </w:r>
                  </w:p>
                </w:txbxContent>
              </v:textbox>
              <w10:wrap type="none"/>
            </v:shape>
            <v:shape style="position:absolute;left:4468;top:8238;width:1042;height:221" type="#_x0000_t202" filled="false" stroked="false">
              <v:textbox inset="0,0,0,0">
                <w:txbxContent>
                  <w:p>
                    <w:pPr>
                      <w:spacing w:line="221" w:lineRule="exact" w:before="0"/>
                      <w:ind w:left="0" w:right="-18" w:firstLine="0"/>
                      <w:jc w:val="left"/>
                      <w:rPr>
                        <w:rFonts w:ascii="Calibri" w:hAnsi="Calibri"/>
                        <w:sz w:val="22"/>
                      </w:rPr>
                    </w:pPr>
                    <w:r>
                      <w:rPr>
                        <w:rFonts w:ascii="Calibri" w:hAnsi="Calibri"/>
                        <w:sz w:val="22"/>
                      </w:rPr>
                      <w:t>Percolación</w:t>
                    </w:r>
                  </w:p>
                </w:txbxContent>
              </v:textbox>
              <w10:wrap type="none"/>
            </v:shape>
            <v:shape style="position:absolute;left:6213;top:8238;width:1465;height:221" type="#_x0000_t202" filled="false" stroked="false">
              <v:textbox inset="0,0,0,0">
                <w:txbxContent>
                  <w:p>
                    <w:pPr>
                      <w:spacing w:line="221" w:lineRule="exact" w:before="0"/>
                      <w:ind w:left="0" w:right="-19" w:firstLine="0"/>
                      <w:jc w:val="left"/>
                      <w:rPr>
                        <w:rFonts w:ascii="Calibri"/>
                        <w:sz w:val="22"/>
                      </w:rPr>
                    </w:pPr>
                    <w:r>
                      <w:rPr>
                        <w:rFonts w:ascii="Calibri"/>
                        <w:sz w:val="22"/>
                      </w:rPr>
                      <w:t>Agua en el suelo</w:t>
                    </w:r>
                  </w:p>
                </w:txbxContent>
              </v:textbox>
              <w10:wrap type="none"/>
            </v:shape>
            <v:shape style="position:absolute;left:8380;top:8238;width:1770;height:221" type="#_x0000_t202" filled="false" stroked="false">
              <v:textbox inset="0,0,0,0">
                <w:txbxContent>
                  <w:p>
                    <w:pPr>
                      <w:spacing w:line="221" w:lineRule="exact" w:before="0"/>
                      <w:ind w:left="0" w:right="-11" w:firstLine="0"/>
                      <w:jc w:val="left"/>
                      <w:rPr>
                        <w:rFonts w:ascii="Calibri" w:hAnsi="Calibri"/>
                        <w:sz w:val="22"/>
                      </w:rPr>
                    </w:pPr>
                    <w:r>
                      <w:rPr>
                        <w:rFonts w:ascii="Calibri" w:hAnsi="Calibri"/>
                        <w:sz w:val="22"/>
                      </w:rPr>
                      <w:t>Producción de agua</w:t>
                    </w:r>
                  </w:p>
                </w:txbxContent>
              </v:textbox>
              <w10:wrap type="none"/>
            </v:shape>
            <w10:wrap type="none"/>
          </v:group>
        </w:pict>
      </w:r>
      <w:r>
        <w:rPr/>
        <w:pict>
          <v:shape style="position:absolute;margin-left:84.925995pt;margin-top:210.55957pt;width:14.05pt;height:107.45pt;mso-position-horizontal-relative:page;mso-position-vertical-relative:paragraph;z-index:6568" type="#_x0000_t202" filled="false" stroked="false">
            <v:textbox inset="0,0,0,0" style="layout-flow:vertical;mso-layout-flow-alt:bottom-to-top">
              <w:txbxContent>
                <w:p>
                  <w:pPr>
                    <w:spacing w:line="265" w:lineRule="exact" w:before="0"/>
                    <w:ind w:left="20" w:right="-452" w:firstLine="0"/>
                    <w:jc w:val="left"/>
                    <w:rPr>
                      <w:rFonts w:ascii="Calibri" w:hAnsi="Calibri"/>
                      <w:sz w:val="24"/>
                    </w:rPr>
                  </w:pPr>
                  <w:r>
                    <w:rPr>
                      <w:rFonts w:ascii="Calibri" w:hAnsi="Calibri"/>
                      <w:spacing w:val="-1"/>
                      <w:w w:val="100"/>
                      <w:sz w:val="24"/>
                    </w:rPr>
                    <w:t>Lám</w:t>
                  </w:r>
                  <w:r>
                    <w:rPr>
                      <w:rFonts w:ascii="Calibri" w:hAnsi="Calibri"/>
                      <w:spacing w:val="-3"/>
                      <w:w w:val="100"/>
                      <w:sz w:val="24"/>
                    </w:rPr>
                    <w:t>i</w:t>
                  </w:r>
                  <w:r>
                    <w:rPr>
                      <w:rFonts w:ascii="Calibri" w:hAnsi="Calibri"/>
                      <w:spacing w:val="-2"/>
                      <w:w w:val="100"/>
                      <w:sz w:val="24"/>
                    </w:rPr>
                    <w:t>n</w:t>
                  </w:r>
                  <w:r>
                    <w:rPr>
                      <w:rFonts w:ascii="Calibri" w:hAnsi="Calibri"/>
                      <w:w w:val="100"/>
                      <w:sz w:val="24"/>
                    </w:rPr>
                    <w:t>a</w:t>
                  </w:r>
                  <w:r>
                    <w:rPr>
                      <w:rFonts w:ascii="Calibri" w:hAnsi="Calibri"/>
                      <w:spacing w:val="3"/>
                      <w:sz w:val="24"/>
                    </w:rPr>
                    <w:t> </w:t>
                  </w:r>
                  <w:r>
                    <w:rPr>
                      <w:rFonts w:ascii="Calibri" w:hAnsi="Calibri"/>
                      <w:spacing w:val="-2"/>
                      <w:w w:val="100"/>
                      <w:sz w:val="24"/>
                    </w:rPr>
                    <w:t>d</w:t>
                  </w:r>
                  <w:r>
                    <w:rPr>
                      <w:rFonts w:ascii="Calibri" w:hAnsi="Calibri"/>
                      <w:w w:val="100"/>
                      <w:sz w:val="24"/>
                    </w:rPr>
                    <w:t>e</w:t>
                  </w:r>
                  <w:r>
                    <w:rPr>
                      <w:rFonts w:ascii="Calibri" w:hAnsi="Calibri"/>
                      <w:spacing w:val="-1"/>
                      <w:sz w:val="24"/>
                    </w:rPr>
                    <w:t> </w:t>
                  </w:r>
                  <w:r>
                    <w:rPr>
                      <w:rFonts w:ascii="Calibri" w:hAnsi="Calibri"/>
                      <w:w w:val="100"/>
                      <w:sz w:val="24"/>
                    </w:rPr>
                    <w:t>a</w:t>
                  </w:r>
                  <w:r>
                    <w:rPr>
                      <w:rFonts w:ascii="Calibri" w:hAnsi="Calibri"/>
                      <w:spacing w:val="1"/>
                      <w:w w:val="100"/>
                      <w:sz w:val="24"/>
                    </w:rPr>
                    <w:t>g</w:t>
                  </w:r>
                  <w:r>
                    <w:rPr>
                      <w:rFonts w:ascii="Calibri" w:hAnsi="Calibri"/>
                      <w:spacing w:val="-2"/>
                      <w:w w:val="100"/>
                      <w:sz w:val="24"/>
                    </w:rPr>
                    <w:t>u</w:t>
                  </w:r>
                  <w:r>
                    <w:rPr>
                      <w:rFonts w:ascii="Calibri" w:hAnsi="Calibri"/>
                      <w:w w:val="100"/>
                      <w:sz w:val="24"/>
                    </w:rPr>
                    <w:t>a</w:t>
                  </w:r>
                  <w:r>
                    <w:rPr>
                      <w:rFonts w:ascii="Calibri" w:hAnsi="Calibri"/>
                      <w:spacing w:val="-2"/>
                      <w:sz w:val="24"/>
                    </w:rPr>
                    <w:t> </w:t>
                  </w:r>
                  <w:r>
                    <w:rPr>
                      <w:rFonts w:ascii="Calibri" w:hAnsi="Calibri"/>
                      <w:spacing w:val="-1"/>
                      <w:w w:val="100"/>
                      <w:sz w:val="24"/>
                    </w:rPr>
                    <w:t>(</w:t>
                  </w:r>
                  <w:r>
                    <w:rPr>
                      <w:rFonts w:ascii="Calibri" w:hAnsi="Calibri"/>
                      <w:w w:val="100"/>
                      <w:sz w:val="24"/>
                    </w:rPr>
                    <w:t>mm)</w:t>
                  </w:r>
                </w:p>
              </w:txbxContent>
            </v:textbox>
            <w10:wrap type="none"/>
          </v:shape>
        </w:pict>
      </w:r>
      <w:r>
        <w:rPr/>
        <w:t>Posteriormente la Figura 34 muestra la precipitación, producción de agua, percolación y</w:t>
      </w:r>
      <w:r>
        <w:rPr>
          <w:spacing w:val="-18"/>
        </w:rPr>
        <w:t> </w:t>
      </w:r>
      <w:r>
        <w:rPr/>
        <w:t>el agua</w:t>
      </w:r>
      <w:r>
        <w:rPr>
          <w:spacing w:val="-6"/>
        </w:rPr>
        <w:t> </w:t>
      </w:r>
      <w:r>
        <w:rPr/>
        <w:t>almacenada</w:t>
      </w:r>
      <w:r>
        <w:rPr>
          <w:spacing w:val="-6"/>
        </w:rPr>
        <w:t> </w:t>
      </w:r>
      <w:r>
        <w:rPr/>
        <w:t>en</w:t>
      </w:r>
      <w:r>
        <w:rPr>
          <w:spacing w:val="-6"/>
        </w:rPr>
        <w:t> </w:t>
      </w:r>
      <w:r>
        <w:rPr/>
        <w:t>el</w:t>
      </w:r>
      <w:r>
        <w:rPr>
          <w:spacing w:val="-6"/>
        </w:rPr>
        <w:t> </w:t>
      </w:r>
      <w:r>
        <w:rPr/>
        <w:t>suelo,</w:t>
      </w:r>
      <w:r>
        <w:rPr>
          <w:spacing w:val="-4"/>
        </w:rPr>
        <w:t> </w:t>
      </w:r>
      <w:r>
        <w:rPr/>
        <w:t>permitiendo</w:t>
      </w:r>
      <w:r>
        <w:rPr>
          <w:spacing w:val="-6"/>
        </w:rPr>
        <w:t> </w:t>
      </w:r>
      <w:r>
        <w:rPr/>
        <w:t>observar</w:t>
      </w:r>
      <w:r>
        <w:rPr>
          <w:spacing w:val="-6"/>
        </w:rPr>
        <w:t> </w:t>
      </w:r>
      <w:r>
        <w:rPr/>
        <w:t>que</w:t>
      </w:r>
      <w:r>
        <w:rPr>
          <w:spacing w:val="-6"/>
        </w:rPr>
        <w:t> </w:t>
      </w:r>
      <w:r>
        <w:rPr/>
        <w:t>la</w:t>
      </w:r>
      <w:r>
        <w:rPr>
          <w:spacing w:val="-6"/>
        </w:rPr>
        <w:t> </w:t>
      </w:r>
      <w:r>
        <w:rPr/>
        <w:t>humedad</w:t>
      </w:r>
      <w:r>
        <w:rPr>
          <w:spacing w:val="-6"/>
        </w:rPr>
        <w:t> </w:t>
      </w:r>
      <w:r>
        <w:rPr/>
        <w:t>existente</w:t>
      </w:r>
      <w:r>
        <w:rPr>
          <w:spacing w:val="-6"/>
        </w:rPr>
        <w:t> </w:t>
      </w:r>
      <w:r>
        <w:rPr/>
        <w:t>en</w:t>
      </w:r>
      <w:r>
        <w:rPr>
          <w:spacing w:val="-6"/>
        </w:rPr>
        <w:t> </w:t>
      </w:r>
      <w:r>
        <w:rPr/>
        <w:t>el</w:t>
      </w:r>
      <w:r>
        <w:rPr>
          <w:spacing w:val="-6"/>
        </w:rPr>
        <w:t> </w:t>
      </w:r>
      <w:r>
        <w:rPr/>
        <w:t>suelo</w:t>
      </w:r>
      <w:r>
        <w:rPr>
          <w:spacing w:val="-6"/>
        </w:rPr>
        <w:t> </w:t>
      </w:r>
      <w:r>
        <w:rPr/>
        <w:t>se mantiene casi por arriba de los 300 mm y se comporta de forma directa con respecto al aumento de la precipitación durante los meses de abril a septiembre. </w:t>
      </w:r>
      <w:r>
        <w:rPr>
          <w:spacing w:val="-3"/>
        </w:rPr>
        <w:t>La </w:t>
      </w:r>
      <w:r>
        <w:rPr/>
        <w:t>percolación y la producción de agua se comportan bajo un mismo patrón de distribución a lo largo del año, aunque la producción de agua o escurrimientos sean mayores  a la</w:t>
      </w:r>
      <w:r>
        <w:rPr>
          <w:spacing w:val="-11"/>
        </w:rPr>
        <w:t> </w:t>
      </w:r>
      <w:r>
        <w:rPr/>
        <w:t>percolación.</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33"/>
        </w:rPr>
      </w:pPr>
    </w:p>
    <w:p>
      <w:pPr>
        <w:spacing w:before="1"/>
        <w:ind w:left="255" w:right="255" w:firstLine="0"/>
        <w:jc w:val="center"/>
        <w:rPr>
          <w:sz w:val="22"/>
        </w:rPr>
      </w:pPr>
      <w:r>
        <w:rPr>
          <w:sz w:val="22"/>
        </w:rPr>
        <w:t>Fuente: Elaboración propia, 2014.</w:t>
      </w:r>
    </w:p>
    <w:p>
      <w:pPr>
        <w:pStyle w:val="Heading1"/>
        <w:spacing w:line="294" w:lineRule="exact" w:before="15"/>
        <w:ind w:left="255" w:right="261"/>
        <w:jc w:val="center"/>
      </w:pPr>
      <w:bookmarkStart w:name="_bookmark112" w:id="165"/>
      <w:bookmarkEnd w:id="165"/>
      <w:r>
        <w:rPr>
          <w:b w:val="0"/>
        </w:rPr>
      </w:r>
      <w:r>
        <w:rPr/>
        <w:t>Figura 34. Distribución mensual de la precipitación, producción de agua, percolación y agua en el suelo en la cuenca El Tejocote.</w:t>
      </w:r>
    </w:p>
    <w:p>
      <w:pPr>
        <w:pStyle w:val="BodyText"/>
        <w:rPr>
          <w:b/>
        </w:rPr>
      </w:pPr>
    </w:p>
    <w:p>
      <w:pPr>
        <w:pStyle w:val="BodyText"/>
        <w:rPr>
          <w:b/>
        </w:rPr>
      </w:pPr>
    </w:p>
    <w:p>
      <w:pPr>
        <w:pStyle w:val="Heading1"/>
        <w:spacing w:before="185"/>
        <w:ind w:left="116"/>
        <w:jc w:val="both"/>
      </w:pPr>
      <w:bookmarkStart w:name="_bookmark113" w:id="166"/>
      <w:bookmarkEnd w:id="166"/>
      <w:r>
        <w:rPr>
          <w:b w:val="0"/>
        </w:rPr>
      </w:r>
      <w:r>
        <w:rPr/>
        <w:t>5.3 Producción de sedimentos</w:t>
      </w:r>
    </w:p>
    <w:p>
      <w:pPr>
        <w:pStyle w:val="BodyText"/>
        <w:rPr>
          <w:b/>
        </w:rPr>
      </w:pPr>
    </w:p>
    <w:p>
      <w:pPr>
        <w:pStyle w:val="BodyText"/>
        <w:spacing w:before="10"/>
        <w:rPr>
          <w:b/>
          <w:sz w:val="21"/>
        </w:rPr>
      </w:pPr>
    </w:p>
    <w:p>
      <w:pPr>
        <w:pStyle w:val="BodyText"/>
        <w:spacing w:line="360" w:lineRule="auto"/>
        <w:ind w:left="116" w:right="110"/>
        <w:jc w:val="both"/>
      </w:pPr>
      <w:r>
        <w:rPr/>
        <w:t>La comparación de los datos aforados y simulados respecto a sedimentos, se realizó con una línea de tendencia para los aforos de la estación hidrométrica debido a que en ésta se dejaron de medir las cantidades de sedimentos producidos desde el año 1991. De dicha</w:t>
      </w:r>
    </w:p>
    <w:p>
      <w:pPr>
        <w:spacing w:after="0" w:line="360" w:lineRule="auto"/>
        <w:jc w:val="both"/>
        <w:sectPr>
          <w:pgSz w:w="12240" w:h="15840"/>
          <w:pgMar w:header="0" w:footer="1473" w:top="1360" w:bottom="1660" w:left="1300" w:right="1300"/>
        </w:sectPr>
      </w:pPr>
    </w:p>
    <w:p>
      <w:pPr>
        <w:pStyle w:val="BodyText"/>
        <w:spacing w:line="360" w:lineRule="auto" w:before="49"/>
        <w:ind w:left="116" w:right="114"/>
        <w:jc w:val="both"/>
      </w:pPr>
      <w:r>
        <w:rPr/>
        <w:pict>
          <v:group style="position:absolute;margin-left:70.320pt;margin-top:129.286697pt;width:471.4pt;height:250.35pt;mso-position-horizontal-relative:page;mso-position-vertical-relative:paragraph;z-index:6688" coordorigin="1406,2586" coordsize="9428,5007">
            <v:shape style="position:absolute;left:3874;top:4686;width:6377;height:1436" coordorigin="3874,4686" coordsize="6377,1436" path="m9948,6121l10250,6121m9382,6121l9823,6121m8815,6121l9257,6121m8249,6121l8686,6121m7682,6121l8119,6121m7116,6121l7553,6121m6550,6121l6986,6121m6144,6121l6420,6121m6550,5646l6986,5646m6144,5646l6420,5646m6550,5166l6986,5166m5578,5166l6420,5166m6550,4686l6986,4686m3874,4686l6420,4686e" filled="false" stroked="true" strokeweight=".72pt" strokecolor="#7e7e7e">
              <v:path arrowok="t"/>
            </v:shape>
            <v:rect style="position:absolute;left:6420;top:4287;width:130;height:2314" filled="true" fillcolor="#a6a6a6" stroked="false">
              <v:fill type="solid"/>
            </v:rect>
            <v:shape style="position:absolute;left:3874;top:4206;width:3680;height:2396" coordorigin="3874,4206" coordsize="3680,2396" path="m6420,6601l6550,6601,6550,4287,6420,4287,6420,6601xm7116,5646l7553,5646m7116,5166l7553,5166m7116,4686l7553,4686m7116,4206l7553,4206m3874,4206l6986,4206e" filled="false" stroked="true" strokeweight=".72pt" strokecolor="#7e7e7e">
              <v:path arrowok="t"/>
            </v:shape>
            <v:rect style="position:absolute;left:6986;top:3995;width:130;height:2606" filled="true" fillcolor="#a6a6a6" stroked="false">
              <v:fill type="solid"/>
            </v:rect>
            <v:shape style="position:absolute;left:6986;top:3995;width:1133;height:2607" coordorigin="6986,3995" coordsize="1133,2607" path="m6986,6601l7116,6601,7116,3995,6986,3995,6986,6601xm7682,5646l8119,5646m7682,5166l8119,5166m7682,4686l8119,4686m7682,4206l8119,4206e" filled="false" stroked="true" strokeweight=".72pt" strokecolor="#7e7e7e">
              <v:path arrowok="t"/>
            </v:shape>
            <v:rect style="position:absolute;left:7553;top:3884;width:130;height:2717" filled="true" fillcolor="#a6a6a6" stroked="false">
              <v:fill type="solid"/>
            </v:rect>
            <v:shape style="position:absolute;left:3307;top:3726;width:6944;height:2876" coordorigin="3307,3726" coordsize="6944,2876" path="m7553,6601l7682,6601,7682,3884,7553,3884,7553,6601xm8249,5646l8686,5646m8249,5166l8686,5166m8249,4686l8686,4686m8249,4206l9823,4206m3307,3726l10250,3726e" filled="false" stroked="true" strokeweight=".72pt" strokecolor="#7e7e7e">
              <v:path arrowok="t"/>
            </v:shape>
            <v:rect style="position:absolute;left:8119;top:3783;width:130;height:2818" filled="true" fillcolor="#a6a6a6" stroked="false">
              <v:fill type="solid"/>
            </v:rect>
            <v:shape style="position:absolute;left:8119;top:3783;width:1704;height:2818" coordorigin="8119,3783" coordsize="1704,2818" path="m8119,6601l8249,6601,8249,3783,8119,3783,8119,6601xm8815,5646l9823,5646m8815,5166l9823,5166m8815,4686l9823,4686e" filled="false" stroked="true" strokeweight=".72pt" strokecolor="#7e7e7e">
              <v:path arrowok="t"/>
            </v:shape>
            <v:rect style="position:absolute;left:8686;top:4383;width:130;height:2218" filled="true" fillcolor="#a6a6a6" stroked="false">
              <v:fill type="solid"/>
            </v:rect>
            <v:rect style="position:absolute;left:8686;top:4383;width:130;height:2218" filled="false" stroked="true" strokeweight=".72pt" strokecolor="#7e7e7e"/>
            <v:rect style="position:absolute;left:9257;top:5641;width:125;height:960" filled="true" fillcolor="#a6a6a6" stroked="false">
              <v:fill type="solid"/>
            </v:rect>
            <v:shape style="position:absolute;left:9257;top:4206;width:994;height:2396" coordorigin="9257,4206" coordsize="994,2396" path="m9257,6601l9382,6601,9382,5641,9257,5641,9257,6601xm9948,5646l10250,5646m9948,5166l10250,5166m9948,4686l10250,4686m9948,4206l10250,4206e" filled="false" stroked="true" strokeweight=".72pt" strokecolor="#7e7e7e">
              <v:path arrowok="t"/>
            </v:shape>
            <v:rect style="position:absolute;left:9823;top:3932;width:125;height:2669" filled="true" fillcolor="#a6a6a6" stroked="false">
              <v:fill type="solid"/>
            </v:rect>
            <v:shape style="position:absolute;left:2316;top:3932;width:7632;height:2669" coordorigin="2316,3932" coordsize="7632,2669" path="m9823,6601l9948,6601,9948,3932,9823,3932,9823,6601xm3307,6121l3749,6121m2741,6121l3182,6121m2316,6121l2616,6121m2741,5646l3182,5646m2316,5646l2616,5646m2741,5166l3182,5166m2316,5166l2616,5166m2316,4686l3182,4686e" filled="false" stroked="true" strokeweight=".72pt" strokecolor="#7e7e7e">
              <v:path arrowok="t"/>
            </v:shape>
            <v:rect style="position:absolute;left:2616;top:4722;width:125;height:1882" filled="true" fillcolor="#252525" stroked="false">
              <v:fill type="solid"/>
            </v:rect>
            <v:shape style="position:absolute;left:2316;top:3726;width:1433;height:1920" coordorigin="2316,3726" coordsize="1433,1920" path="m3307,5646l3749,5646m3307,5166l3749,5166m3307,4686l3749,4686m3307,4206l3749,4206m2316,4206l3182,4206m2316,3726l3182,3726e" filled="false" stroked="true" strokeweight=".72pt" strokecolor="#7e7e7e">
              <v:path arrowok="t"/>
            </v:shape>
            <v:rect style="position:absolute;left:3182;top:3656;width:125;height:2947" filled="true" fillcolor="#252525" stroked="false">
              <v:fill type="solid"/>
            </v:rect>
            <v:shape style="position:absolute;left:3874;top:5166;width:442;height:956" coordorigin="3874,5166" coordsize="442,956" path="m3874,6121l4315,6121m3874,5646l4315,5646m3874,5166l4315,5166e" filled="false" stroked="true" strokeweight=".72pt" strokecolor="#7e7e7e">
              <v:path arrowok="t"/>
            </v:shape>
            <v:rect style="position:absolute;left:3749;top:4021;width:125;height:2582" filled="true" fillcolor="#252525" stroked="false">
              <v:fill type="solid"/>
            </v:rect>
            <v:shape style="position:absolute;left:4440;top:5166;width:1008;height:956" coordorigin="4440,5166" coordsize="1008,956" path="m4440,6121l4882,6121m4440,5646l4882,5646m4440,5166l5448,5166e" filled="false" stroked="true" strokeweight=".72pt" strokecolor="#7e7e7e">
              <v:path arrowok="t"/>
            </v:shape>
            <v:rect style="position:absolute;left:4315;top:4952;width:125;height:1651" filled="true" fillcolor="#252525" stroked="false">
              <v:fill type="solid"/>
            </v:rect>
            <v:shape style="position:absolute;left:5006;top:5646;width:442;height:476" coordorigin="5006,5646" coordsize="442,476" path="m5006,6121l5448,6121m5006,5646l5448,5646e" filled="false" stroked="true" strokeweight=".72pt" strokecolor="#7e7e7e">
              <v:path arrowok="t"/>
            </v:shape>
            <v:rect style="position:absolute;left:4882;top:5523;width:125;height:1080" filled="true" fillcolor="#252525" stroked="false">
              <v:fill type="solid"/>
            </v:rect>
            <v:shape style="position:absolute;left:5578;top:5646;width:437;height:476" coordorigin="5578,5646" coordsize="437,476" path="m5578,6121l6014,6121m5578,5646l6014,5646e" filled="false" stroked="true" strokeweight=".72pt" strokecolor="#7e7e7e">
              <v:path arrowok="t"/>
            </v:shape>
            <v:shape style="position:absolute;left:5448;top:4976;width:696;height:1628" coordorigin="5448,4976" coordsize="696,1628" path="m5578,4976l5448,4976,5448,6603,5578,6603,5578,4976m6144,5279l6014,5279,6014,6603,6144,6603,6144,5279e" filled="true" fillcolor="#252525" stroked="false">
              <v:path arrowok="t"/>
              <v:fill type="solid"/>
            </v:shape>
            <v:line style="position:absolute" from="2316,6601" to="10250,6601" stroked="true" strokeweight=".72pt" strokecolor="#d9d9d9"/>
            <v:shape style="position:absolute;left:2597;top:4040;width:7368;height:1412" coordorigin="2597,4040" coordsize="7368,1412" path="m2597,4040l2611,4059,2626,4079,2640,4098,2654,4112,2669,4131,2678,4146,2693,4160,2707,4175,2722,4194,2736,4208,2750,4218,2765,4232,2779,4247,2794,4261,2808,4275,2818,4285,2832,4299,2846,4309,2861,4323,2875,4333,2890,4343,2904,4357,2918,4367,2933,4376,2947,4386,2962,4395,2971,4405,2986,4415,3000,4424,3014,4434,3029,4443,3043,4453,3058,4463,3072,4472,3086,4482,3101,4487,3110,4496,3125,4506,3139,4511,3154,4520,3168,4530,3182,4535,3197,4544,3211,4549,3226,4559,3240,4563,3250,4573,3264,4578,3278,4587,3293,4592,3307,4597,3322,4607,3336,4611,3350,4616,3365,4626,3379,4631,3389,4635,3403,4645,3418,4650,3432,4655,3446,4659,3461,4669,3475,4674,3490,4679,3504,4683,3518,4688,3528,4693,3542,4698,3557,4703,3571,4712,3586,4717,3600,4722,3614,4727,3629,4731,3643,4736,3658,4741,3672,4746,3682,4751,3696,4755,3710,4760,3725,4765,3739,4770,3754,4775,3768,4775,3782,4779,3797,4784,3811,4789,3821,4794,3835,4799,3850,4803,3864,4808,3878,4813,3893,4813,3907,4818,3922,4823,3936,4827,3950,4832,3960,4837,3974,4837,3989,4842,4003,4847,4018,4851,4032,4851,4046,4856,4061,4861,4075,4866,4090,4866,4099,4871,4114,4875,4128,4880,4142,4880,4157,4885,4171,4890,4186,4890,4200,4895,4214,4899,4229,4904,4238,4904,4253,4909,4267,4914,4282,4914,4296,4919,4310,4923,4325,4923,4339,4928,4354,4928,4368,4933,4382,4938,4392,4938,4406,4943,4421,4947,4435,4947,4450,4952,4464,4952,4478,4957,4493,4962,4507,4962,4522,4967,4531,4967,4546,4971,4560,4971,4574,4976,4589,4981,4603,4981,4618,4986,4632,4986,4646,4991,4661,4991,4670,4995,4685,4995,4699,5000,4714,5000,4728,5005,4742,5005,4757,5010,4771,5010,4786,5015,4800,5015,4810,5019,4824,5019,4838,5024,4853,5024,4867,5029,4882,5029,4896,5034,4910,5034,4925,5039,4939,5039,4949,5043,4963,5043,4978,5048,4992,5048,5006,5053,5021,5053,5035,5058,5050,5058,5064,5058,5078,5063,5093,5063,5102,5067,5117,5067,5131,5072,5146,5072,5160,5077,5174,5077,5189,5077,5203,5082,5218,5082,5232,5087,5242,5087,5256,5087,5270,5091,5285,5091,5299,5096,5314,5096,5328,5096,5342,5101,5357,5101,5371,5106,5381,5106,5395,5106,5410,5111,5424,5111,5438,5115,5453,5115,5467,5115,5482,5120,5496,5120,5510,5125,5520,5125,5534,5125,5549,5130,5563,5130,5578,5130,5592,5135,5606,5135,5621,5135,5635,5139,5650,5139,5659,5139,5674,5144,5688,5144,5702,5149,5717,5149,5731,5149,5746,5154,5760,5154,5774,5154,5789,5159,5803,5159,5813,5159,5827,5163,5842,5163,5856,5163,5870,5168,5885,5168,5899,5168,5914,5173,5928,5173,5942,5173,5952,5178,5966,5178,5981,5178,5995,5178,6010,5183,6024,5183,6038,5183,6053,5187,6067,5187,6082,5187,6091,5192,6106,5192,6120,5192,6134,5197,6149,5197,6163,5197,6178,5197,6192,5202,6206,5202,6221,5202,6230,5207,6245,5207,6259,5207,6274,5211,6288,5211,6302,5211,6317,5211,6331,5216,6346,5216,6360,5216,6370,5216,6384,5221,6398,5221,6413,5221,6427,5226,6442,5226,6456,5226,6470,5226,6485,5231,6499,5231,6514,5231,6523,5235,6538,5235,6552,5235,6566,5235,6581,5240,6595,5240,6610,5240,6624,5240,6638,5245,6653,5245,6662,5245,6677,5245,6691,5250,6706,5250,6720,5250,6734,5250,6749,5255,6763,5255,6778,5255,6792,5255,6802,5259,6816,5259,6830,5259,6845,5259,6859,5264,6874,5264,6888,5264,6902,5264,6917,5269,6931,5269,6941,5269,6955,5269,6970,5274,6984,5274,6998,5274,7013,5274,7027,5274,7042,5279,7056,5279,7070,5279,7080,5279,7094,5283,7109,5283,7123,5283,7138,5283,7152,5288,7166,5288,7181,5288,7195,5288,7210,5288,7219,5293,7234,5293,7248,5293,7262,5293,7277,5298,7291,5298,7306,5298,7320,5298,7334,5298,7349,5303,7363,5303,7373,5303,7387,5303,7402,5303,7416,5307,7430,5307,7445,5307,7459,5307,7474,5312,7488,5312,7502,5312,7512,5312,7526,5312,7541,5317,7555,5317,7570,5317,7584,5317,7598,5317,7613,5322,7627,5322,7642,5322,7651,5322,7666,5322,7680,5327,7694,5327,7709,5327,7723,5327,7738,5327,7752,5331,7766,5331,7781,5331,7790,5331,7805,5331,7819,5336,7891,5336,7906,5341,7920,5341,7930,5341,7944,5341,7958,5341,7973,5346,7987,5346,8002,5346,8016,5346,8030,5346,8045,5351,8112,5351,8126,5355,8141,5355,8155,5355,8170,5355,8184,5355,8198,5360,8266,5360,8280,5365,8352,5365,8362,5370,8434,5370,8448,5375,8515,5375,8530,5379,8602,5379,8616,5384,8683,5384,8698,5389,8770,5389,8784,5394,8866,5394,8880,5399,8947,5399,8962,5403,9048,5403,9062,5408,9144,5408,9158,5413,9240,5413,9254,5418,9341,5418,9350,5423,9437,5423,9451,5427,9533,5427,9547,5432,9634,5432,9643,5437,9744,5437,9758,5442,9840,5442,9854,5447,9950,5447,9965,5451e" filled="false" stroked="true" strokeweight="1.92pt" strokecolor="#252525">
              <v:path arrowok="t"/>
              <v:stroke dashstyle="dash"/>
            </v:shape>
            <v:line style="position:absolute" from="2316,3246" to="10250,3246" stroked="true" strokeweight=".72pt" strokecolor="#7e7e7e"/>
            <v:rect style="position:absolute;left:3310;top:2895;width:504;height:120" filled="true" fillcolor="#a6a6a6" stroked="false">
              <v:fill type="solid"/>
            </v:rect>
            <v:rect style="position:absolute;left:3310;top:2895;width:504;height:120" filled="false" stroked="true" strokeweight=".72pt" strokecolor="#7e7e7e"/>
            <v:rect style="position:absolute;left:5093;top:2893;width:504;height:125" filled="true" fillcolor="#252525" stroked="false">
              <v:fill type="solid"/>
            </v:rect>
            <v:line style="position:absolute" from="6768,2955" to="7272,2955" stroked="true" strokeweight="1.92pt" strokecolor="#252525">
              <v:stroke dashstyle="dash"/>
            </v:line>
            <v:rect style="position:absolute;left:1418;top:2598;width:9403;height:4982" filled="false" stroked="true" strokeweight="1.2pt" strokecolor="#000000"/>
            <v:shape style="position:absolute;left:3869;top:2856;width:917;height:221" type="#_x0000_t202" filled="false" stroked="false">
              <v:textbox inset="0,0,0,0">
                <w:txbxContent>
                  <w:p>
                    <w:pPr>
                      <w:spacing w:line="221" w:lineRule="exact" w:before="0"/>
                      <w:ind w:left="0" w:right="-20" w:firstLine="0"/>
                      <w:jc w:val="left"/>
                      <w:rPr>
                        <w:rFonts w:ascii="Calibri"/>
                        <w:sz w:val="22"/>
                      </w:rPr>
                    </w:pPr>
                    <w:r>
                      <w:rPr>
                        <w:rFonts w:ascii="Calibri"/>
                        <w:sz w:val="22"/>
                      </w:rPr>
                      <w:t>Simulados</w:t>
                    </w:r>
                  </w:p>
                </w:txbxContent>
              </v:textbox>
              <w10:wrap type="none"/>
            </v:shape>
            <v:shape style="position:absolute;left:5652;top:2856;width:3501;height:221" type="#_x0000_t202" filled="false" stroked="false">
              <v:textbox inset="0,0,0,0">
                <w:txbxContent>
                  <w:p>
                    <w:pPr>
                      <w:tabs>
                        <w:tab w:pos="1115" w:val="left" w:leader="none"/>
                        <w:tab w:pos="1677" w:val="left" w:leader="none"/>
                      </w:tabs>
                      <w:spacing w:line="221" w:lineRule="exact" w:before="0"/>
                      <w:ind w:left="0" w:right="0" w:firstLine="0"/>
                      <w:jc w:val="left"/>
                      <w:rPr>
                        <w:rFonts w:ascii="Calibri"/>
                        <w:sz w:val="22"/>
                      </w:rPr>
                    </w:pPr>
                    <w:r>
                      <w:rPr>
                        <w:rFonts w:ascii="Calibri"/>
                        <w:sz w:val="22"/>
                      </w:rPr>
                      <w:t>Aforados</w:t>
                      <w:tab/>
                      <w:tab/>
                      <w:t>Potencial</w:t>
                    </w:r>
                    <w:r>
                      <w:rPr>
                        <w:rFonts w:ascii="Calibri"/>
                        <w:spacing w:val="-8"/>
                        <w:sz w:val="22"/>
                      </w:rPr>
                      <w:t> </w:t>
                    </w:r>
                    <w:r>
                      <w:rPr>
                        <w:rFonts w:ascii="Calibri"/>
                        <w:sz w:val="22"/>
                      </w:rPr>
                      <w:t>(Aforados)</w:t>
                    </w:r>
                  </w:p>
                </w:txbxContent>
              </v:textbox>
              <w10:wrap type="none"/>
            </v:shape>
            <v:shape style="position:absolute;left:1887;top:3148;width:224;height:3577" type="#_x0000_t202" filled="false" stroked="false">
              <v:textbox inset="0,0,0,0">
                <w:txbxContent>
                  <w:p>
                    <w:pPr>
                      <w:spacing w:line="225" w:lineRule="exact" w:before="0"/>
                      <w:ind w:left="0" w:right="0" w:firstLine="0"/>
                      <w:jc w:val="center"/>
                      <w:rPr>
                        <w:rFonts w:ascii="Calibri"/>
                        <w:sz w:val="22"/>
                      </w:rPr>
                    </w:pPr>
                    <w:r>
                      <w:rPr>
                        <w:rFonts w:ascii="Calibri"/>
                        <w:sz w:val="22"/>
                      </w:rPr>
                      <w:t>14</w:t>
                    </w:r>
                  </w:p>
                  <w:p>
                    <w:pPr>
                      <w:spacing w:line="240" w:lineRule="auto" w:before="4"/>
                      <w:rPr>
                        <w:sz w:val="18"/>
                      </w:rPr>
                    </w:pPr>
                  </w:p>
                  <w:p>
                    <w:pPr>
                      <w:spacing w:before="0"/>
                      <w:ind w:left="0" w:right="0" w:firstLine="0"/>
                      <w:jc w:val="center"/>
                      <w:rPr>
                        <w:rFonts w:ascii="Calibri"/>
                        <w:sz w:val="22"/>
                      </w:rPr>
                    </w:pPr>
                    <w:r>
                      <w:rPr>
                        <w:rFonts w:ascii="Calibri"/>
                        <w:sz w:val="22"/>
                      </w:rPr>
                      <w:t>12</w:t>
                    </w:r>
                  </w:p>
                  <w:p>
                    <w:pPr>
                      <w:spacing w:line="240" w:lineRule="auto" w:before="4"/>
                      <w:rPr>
                        <w:sz w:val="18"/>
                      </w:rPr>
                    </w:pPr>
                  </w:p>
                  <w:p>
                    <w:pPr>
                      <w:spacing w:before="0"/>
                      <w:ind w:left="0" w:right="0" w:firstLine="0"/>
                      <w:jc w:val="center"/>
                      <w:rPr>
                        <w:rFonts w:ascii="Calibri"/>
                        <w:sz w:val="22"/>
                      </w:rPr>
                    </w:pPr>
                    <w:r>
                      <w:rPr>
                        <w:rFonts w:ascii="Calibri"/>
                        <w:sz w:val="22"/>
                      </w:rPr>
                      <w:t>10</w:t>
                    </w:r>
                  </w:p>
                  <w:p>
                    <w:pPr>
                      <w:spacing w:line="240" w:lineRule="auto" w:before="3"/>
                      <w:rPr>
                        <w:sz w:val="18"/>
                      </w:rPr>
                    </w:pPr>
                  </w:p>
                  <w:p>
                    <w:pPr>
                      <w:spacing w:before="0"/>
                      <w:ind w:left="111" w:right="0" w:firstLine="0"/>
                      <w:jc w:val="center"/>
                      <w:rPr>
                        <w:rFonts w:ascii="Calibri"/>
                        <w:sz w:val="22"/>
                      </w:rPr>
                    </w:pPr>
                    <w:r>
                      <w:rPr>
                        <w:rFonts w:ascii="Calibri"/>
                        <w:w w:val="100"/>
                        <w:sz w:val="22"/>
                      </w:rPr>
                      <w:t>8</w:t>
                    </w:r>
                  </w:p>
                  <w:p>
                    <w:pPr>
                      <w:spacing w:line="240" w:lineRule="auto" w:before="3"/>
                      <w:rPr>
                        <w:sz w:val="18"/>
                      </w:rPr>
                    </w:pPr>
                  </w:p>
                  <w:p>
                    <w:pPr>
                      <w:spacing w:before="1"/>
                      <w:ind w:left="111" w:right="0" w:firstLine="0"/>
                      <w:jc w:val="center"/>
                      <w:rPr>
                        <w:rFonts w:ascii="Calibri"/>
                        <w:sz w:val="22"/>
                      </w:rPr>
                    </w:pPr>
                    <w:r>
                      <w:rPr>
                        <w:rFonts w:ascii="Calibri"/>
                        <w:w w:val="100"/>
                        <w:sz w:val="22"/>
                      </w:rPr>
                      <w:t>6</w:t>
                    </w:r>
                  </w:p>
                  <w:p>
                    <w:pPr>
                      <w:spacing w:line="240" w:lineRule="auto" w:before="4"/>
                      <w:rPr>
                        <w:sz w:val="18"/>
                      </w:rPr>
                    </w:pPr>
                  </w:p>
                  <w:p>
                    <w:pPr>
                      <w:spacing w:before="0"/>
                      <w:ind w:left="111" w:right="0" w:firstLine="0"/>
                      <w:jc w:val="center"/>
                      <w:rPr>
                        <w:rFonts w:ascii="Calibri"/>
                        <w:sz w:val="22"/>
                      </w:rPr>
                    </w:pPr>
                    <w:r>
                      <w:rPr>
                        <w:rFonts w:ascii="Calibri"/>
                        <w:w w:val="100"/>
                        <w:sz w:val="22"/>
                      </w:rPr>
                      <w:t>4</w:t>
                    </w:r>
                  </w:p>
                  <w:p>
                    <w:pPr>
                      <w:spacing w:line="240" w:lineRule="auto" w:before="4"/>
                      <w:rPr>
                        <w:sz w:val="18"/>
                      </w:rPr>
                    </w:pPr>
                  </w:p>
                  <w:p>
                    <w:pPr>
                      <w:spacing w:before="0"/>
                      <w:ind w:left="111" w:right="0" w:firstLine="0"/>
                      <w:jc w:val="center"/>
                      <w:rPr>
                        <w:rFonts w:ascii="Calibri"/>
                        <w:sz w:val="22"/>
                      </w:rPr>
                    </w:pPr>
                    <w:r>
                      <w:rPr>
                        <w:rFonts w:ascii="Calibri"/>
                        <w:w w:val="100"/>
                        <w:sz w:val="22"/>
                      </w:rPr>
                      <w:t>2</w:t>
                    </w:r>
                  </w:p>
                  <w:p>
                    <w:pPr>
                      <w:spacing w:line="240" w:lineRule="auto" w:before="3"/>
                      <w:rPr>
                        <w:sz w:val="18"/>
                      </w:rPr>
                    </w:pPr>
                  </w:p>
                  <w:p>
                    <w:pPr>
                      <w:spacing w:line="265" w:lineRule="exact" w:before="0"/>
                      <w:ind w:left="111" w:right="0" w:firstLine="0"/>
                      <w:jc w:val="center"/>
                      <w:rPr>
                        <w:rFonts w:ascii="Calibri"/>
                        <w:sz w:val="22"/>
                      </w:rPr>
                    </w:pPr>
                    <w:r>
                      <w:rPr>
                        <w:rFonts w:ascii="Calibri"/>
                        <w:w w:val="100"/>
                        <w:sz w:val="22"/>
                      </w:rPr>
                      <w:t>0</w:t>
                    </w:r>
                  </w:p>
                </w:txbxContent>
              </v:textbox>
              <w10:wrap type="none"/>
            </v:shape>
            <v:shape style="position:absolute;left:2395;top:6772;width:7775;height:554" type="#_x0000_t202" filled="false" stroked="false">
              <v:textbox inset="0,0,0,0">
                <w:txbxContent>
                  <w:p>
                    <w:pPr>
                      <w:spacing w:line="205" w:lineRule="exact" w:before="0"/>
                      <w:ind w:left="11" w:right="11" w:firstLine="0"/>
                      <w:jc w:val="center"/>
                      <w:rPr>
                        <w:rFonts w:ascii="Calibri"/>
                        <w:sz w:val="20"/>
                      </w:rPr>
                    </w:pPr>
                    <w:r>
                      <w:rPr>
                        <w:rFonts w:ascii="Calibri"/>
                        <w:sz w:val="20"/>
                      </w:rPr>
                      <w:t>1985   1986   1987   1988   1989   1990   1991   2000   2001   2002   2003   2004   2005         2006</w:t>
                    </w:r>
                  </w:p>
                  <w:p>
                    <w:pPr>
                      <w:spacing w:line="289" w:lineRule="exact" w:before="60"/>
                      <w:ind w:left="11" w:right="8" w:firstLine="0"/>
                      <w:jc w:val="center"/>
                      <w:rPr>
                        <w:rFonts w:ascii="Calibri" w:hAnsi="Calibri"/>
                        <w:sz w:val="24"/>
                      </w:rPr>
                    </w:pPr>
                    <w:r>
                      <w:rPr>
                        <w:rFonts w:ascii="Calibri" w:hAnsi="Calibri"/>
                        <w:sz w:val="24"/>
                      </w:rPr>
                      <w:t>Período de simulación (años)</w:t>
                    </w:r>
                  </w:p>
                </w:txbxContent>
              </v:textbox>
              <w10:wrap type="none"/>
            </v:shape>
            <w10:wrap type="none"/>
          </v:group>
        </w:pict>
      </w:r>
      <w:r>
        <w:rPr/>
        <w:pict>
          <v:shape style="position:absolute;margin-left:78.205994pt;margin-top:199.155106pt;width:14.05pt;height:94.7pt;mso-position-horizontal-relative:page;mso-position-vertical-relative:paragraph;z-index:6712" type="#_x0000_t202" filled="false" stroked="false">
            <v:textbox inset="0,0,0,0" style="layout-flow:vertical;mso-layout-flow-alt:bottom-to-top">
              <w:txbxContent>
                <w:p>
                  <w:pPr>
                    <w:spacing w:line="265" w:lineRule="exact" w:before="0"/>
                    <w:ind w:left="20" w:right="-808" w:firstLine="0"/>
                    <w:jc w:val="left"/>
                    <w:rPr>
                      <w:rFonts w:ascii="Calibri"/>
                      <w:sz w:val="24"/>
                    </w:rPr>
                  </w:pPr>
                  <w:r>
                    <w:rPr>
                      <w:rFonts w:ascii="Calibri"/>
                      <w:spacing w:val="-1"/>
                      <w:w w:val="100"/>
                      <w:sz w:val="24"/>
                    </w:rPr>
                    <w:t>Se</w:t>
                  </w:r>
                  <w:r>
                    <w:rPr>
                      <w:rFonts w:ascii="Calibri"/>
                      <w:spacing w:val="-2"/>
                      <w:w w:val="100"/>
                      <w:sz w:val="24"/>
                    </w:rPr>
                    <w:t>d</w:t>
                  </w:r>
                  <w:r>
                    <w:rPr>
                      <w:rFonts w:ascii="Calibri"/>
                      <w:spacing w:val="-3"/>
                      <w:w w:val="100"/>
                      <w:sz w:val="24"/>
                    </w:rPr>
                    <w:t>i</w:t>
                  </w:r>
                  <w:r>
                    <w:rPr>
                      <w:rFonts w:ascii="Calibri"/>
                      <w:w w:val="100"/>
                      <w:sz w:val="24"/>
                    </w:rPr>
                    <w:t>me</w:t>
                  </w:r>
                  <w:r>
                    <w:rPr>
                      <w:rFonts w:ascii="Calibri"/>
                      <w:spacing w:val="-2"/>
                      <w:w w:val="100"/>
                      <w:sz w:val="24"/>
                    </w:rPr>
                    <w:t>n</w:t>
                  </w:r>
                  <w:r>
                    <w:rPr>
                      <w:rFonts w:ascii="Calibri"/>
                      <w:w w:val="100"/>
                      <w:sz w:val="24"/>
                    </w:rPr>
                    <w:t>to</w:t>
                  </w:r>
                  <w:r>
                    <w:rPr>
                      <w:rFonts w:ascii="Calibri"/>
                      <w:spacing w:val="-4"/>
                      <w:sz w:val="24"/>
                    </w:rPr>
                    <w:t> </w:t>
                  </w:r>
                  <w:r>
                    <w:rPr>
                      <w:rFonts w:ascii="Calibri"/>
                      <w:spacing w:val="-22"/>
                      <w:w w:val="100"/>
                      <w:sz w:val="24"/>
                    </w:rPr>
                    <w:t>T</w:t>
                  </w:r>
                  <w:r>
                    <w:rPr>
                      <w:rFonts w:ascii="Calibri"/>
                      <w:spacing w:val="-2"/>
                      <w:w w:val="100"/>
                      <w:sz w:val="24"/>
                    </w:rPr>
                    <w:t>on/h</w:t>
                  </w:r>
                  <w:r>
                    <w:rPr>
                      <w:rFonts w:ascii="Calibri"/>
                      <w:w w:val="100"/>
                      <w:sz w:val="24"/>
                    </w:rPr>
                    <w:t>a)</w:t>
                  </w:r>
                </w:p>
              </w:txbxContent>
            </v:textbox>
            <w10:wrap type="none"/>
          </v:shape>
        </w:pict>
      </w:r>
      <w:r>
        <w:rPr/>
        <w:t>forma</w:t>
      </w:r>
      <w:r>
        <w:rPr>
          <w:spacing w:val="-8"/>
        </w:rPr>
        <w:t> </w:t>
      </w:r>
      <w:r>
        <w:rPr/>
        <w:t>se</w:t>
      </w:r>
      <w:r>
        <w:rPr>
          <w:spacing w:val="-8"/>
        </w:rPr>
        <w:t> </w:t>
      </w:r>
      <w:r>
        <w:rPr/>
        <w:t>logró</w:t>
      </w:r>
      <w:r>
        <w:rPr>
          <w:spacing w:val="-8"/>
        </w:rPr>
        <w:t> </w:t>
      </w:r>
      <w:r>
        <w:rPr/>
        <w:t>analizar</w:t>
      </w:r>
      <w:r>
        <w:rPr>
          <w:spacing w:val="-8"/>
        </w:rPr>
        <w:t> </w:t>
      </w:r>
      <w:r>
        <w:rPr/>
        <w:t>que</w:t>
      </w:r>
      <w:r>
        <w:rPr>
          <w:spacing w:val="-8"/>
        </w:rPr>
        <w:t> </w:t>
      </w:r>
      <w:r>
        <w:rPr/>
        <w:t>la</w:t>
      </w:r>
      <w:r>
        <w:rPr>
          <w:spacing w:val="-8"/>
        </w:rPr>
        <w:t> </w:t>
      </w:r>
      <w:r>
        <w:rPr/>
        <w:t>línea</w:t>
      </w:r>
      <w:r>
        <w:rPr>
          <w:spacing w:val="-8"/>
        </w:rPr>
        <w:t> </w:t>
      </w:r>
      <w:r>
        <w:rPr/>
        <w:t>de</w:t>
      </w:r>
      <w:r>
        <w:rPr>
          <w:spacing w:val="-8"/>
        </w:rPr>
        <w:t> </w:t>
      </w:r>
      <w:r>
        <w:rPr/>
        <w:t>tendencia</w:t>
      </w:r>
      <w:r>
        <w:rPr>
          <w:spacing w:val="-7"/>
        </w:rPr>
        <w:t> </w:t>
      </w:r>
      <w:r>
        <w:rPr/>
        <w:t>REGRESIÓN</w:t>
      </w:r>
      <w:r>
        <w:rPr>
          <w:spacing w:val="-3"/>
        </w:rPr>
        <w:t> </w:t>
      </w:r>
      <w:r>
        <w:rPr/>
        <w:t>SIMPLE</w:t>
      </w:r>
      <w:r>
        <w:rPr>
          <w:spacing w:val="-7"/>
        </w:rPr>
        <w:t> </w:t>
      </w:r>
      <w:r>
        <w:rPr/>
        <w:t>concuerda</w:t>
      </w:r>
      <w:r>
        <w:rPr>
          <w:spacing w:val="-8"/>
        </w:rPr>
        <w:t> </w:t>
      </w:r>
      <w:r>
        <w:rPr/>
        <w:t>con</w:t>
      </w:r>
      <w:r>
        <w:rPr>
          <w:spacing w:val="-8"/>
        </w:rPr>
        <w:t> </w:t>
      </w:r>
      <w:r>
        <w:rPr/>
        <w:t>las cantidades</w:t>
      </w:r>
      <w:r>
        <w:rPr>
          <w:spacing w:val="-8"/>
        </w:rPr>
        <w:t> </w:t>
      </w:r>
      <w:r>
        <w:rPr/>
        <w:t>de</w:t>
      </w:r>
      <w:r>
        <w:rPr>
          <w:spacing w:val="-7"/>
        </w:rPr>
        <w:t> </w:t>
      </w:r>
      <w:r>
        <w:rPr/>
        <w:t>sedimentos</w:t>
      </w:r>
      <w:r>
        <w:rPr>
          <w:spacing w:val="-8"/>
        </w:rPr>
        <w:t> </w:t>
      </w:r>
      <w:r>
        <w:rPr/>
        <w:t>simuladas</w:t>
      </w:r>
      <w:r>
        <w:rPr>
          <w:spacing w:val="-7"/>
        </w:rPr>
        <w:t> </w:t>
      </w:r>
      <w:r>
        <w:rPr/>
        <w:t>en</w:t>
      </w:r>
      <w:r>
        <w:rPr>
          <w:spacing w:val="-7"/>
        </w:rPr>
        <w:t> </w:t>
      </w:r>
      <w:r>
        <w:rPr/>
        <w:t>la</w:t>
      </w:r>
      <w:r>
        <w:rPr>
          <w:spacing w:val="-7"/>
        </w:rPr>
        <w:t> </w:t>
      </w:r>
      <w:r>
        <w:rPr/>
        <w:t>cuenca</w:t>
      </w:r>
      <w:r>
        <w:rPr>
          <w:spacing w:val="-7"/>
        </w:rPr>
        <w:t> </w:t>
      </w:r>
      <w:r>
        <w:rPr/>
        <w:t>durante</w:t>
      </w:r>
      <w:r>
        <w:rPr>
          <w:spacing w:val="-7"/>
        </w:rPr>
        <w:t> </w:t>
      </w:r>
      <w:r>
        <w:rPr/>
        <w:t>el</w:t>
      </w:r>
      <w:r>
        <w:rPr>
          <w:spacing w:val="-7"/>
        </w:rPr>
        <w:t> </w:t>
      </w:r>
      <w:r>
        <w:rPr/>
        <w:t>periodo</w:t>
      </w:r>
      <w:r>
        <w:rPr>
          <w:spacing w:val="-12"/>
        </w:rPr>
        <w:t> </w:t>
      </w:r>
      <w:r>
        <w:rPr/>
        <w:t>de</w:t>
      </w:r>
      <w:r>
        <w:rPr>
          <w:spacing w:val="-7"/>
        </w:rPr>
        <w:t> </w:t>
      </w:r>
      <w:r>
        <w:rPr/>
        <w:t>simulación</w:t>
      </w:r>
      <w:r>
        <w:rPr>
          <w:spacing w:val="-4"/>
        </w:rPr>
        <w:t> </w:t>
      </w:r>
      <w:r>
        <w:rPr/>
        <w:t>como</w:t>
      </w:r>
      <w:r>
        <w:rPr>
          <w:spacing w:val="-7"/>
        </w:rPr>
        <w:t> </w:t>
      </w:r>
      <w:r>
        <w:rPr/>
        <w:t>lo muestra la Figura 35. Los resultados simulados dieron un media de 5.50 Ton/Ha en un periodo</w:t>
      </w:r>
      <w:r>
        <w:rPr>
          <w:spacing w:val="-6"/>
        </w:rPr>
        <w:t> </w:t>
      </w:r>
      <w:r>
        <w:rPr/>
        <w:t>de</w:t>
      </w:r>
      <w:r>
        <w:rPr>
          <w:spacing w:val="-6"/>
        </w:rPr>
        <w:t> </w:t>
      </w:r>
      <w:r>
        <w:rPr/>
        <w:t>siete</w:t>
      </w:r>
      <w:r>
        <w:rPr>
          <w:spacing w:val="-6"/>
        </w:rPr>
        <w:t> </w:t>
      </w:r>
      <w:r>
        <w:rPr/>
        <w:t>años,</w:t>
      </w:r>
      <w:r>
        <w:rPr>
          <w:spacing w:val="-4"/>
        </w:rPr>
        <w:t> </w:t>
      </w:r>
      <w:r>
        <w:rPr/>
        <w:t>en</w:t>
      </w:r>
      <w:r>
        <w:rPr>
          <w:spacing w:val="-6"/>
        </w:rPr>
        <w:t> </w:t>
      </w:r>
      <w:r>
        <w:rPr/>
        <w:t>comparación</w:t>
      </w:r>
      <w:r>
        <w:rPr>
          <w:spacing w:val="-6"/>
        </w:rPr>
        <w:t> </w:t>
      </w:r>
      <w:r>
        <w:rPr/>
        <w:t>con</w:t>
      </w:r>
      <w:r>
        <w:rPr>
          <w:spacing w:val="-6"/>
        </w:rPr>
        <w:t> </w:t>
      </w:r>
      <w:r>
        <w:rPr/>
        <w:t>el</w:t>
      </w:r>
      <w:r>
        <w:rPr>
          <w:spacing w:val="-6"/>
        </w:rPr>
        <w:t> </w:t>
      </w:r>
      <w:r>
        <w:rPr/>
        <w:t>promedio</w:t>
      </w:r>
      <w:r>
        <w:rPr>
          <w:spacing w:val="-6"/>
        </w:rPr>
        <w:t> </w:t>
      </w:r>
      <w:r>
        <w:rPr/>
        <w:t>aforado</w:t>
      </w:r>
      <w:r>
        <w:rPr>
          <w:spacing w:val="-6"/>
        </w:rPr>
        <w:t> </w:t>
      </w:r>
      <w:r>
        <w:rPr/>
        <w:t>de</w:t>
      </w:r>
      <w:r>
        <w:rPr>
          <w:spacing w:val="-6"/>
        </w:rPr>
        <w:t> </w:t>
      </w:r>
      <w:r>
        <w:rPr/>
        <w:t>la</w:t>
      </w:r>
      <w:r>
        <w:rPr>
          <w:spacing w:val="-6"/>
        </w:rPr>
        <w:t> </w:t>
      </w:r>
      <w:r>
        <w:rPr/>
        <w:t>estación</w:t>
      </w:r>
      <w:r>
        <w:rPr>
          <w:spacing w:val="-6"/>
        </w:rPr>
        <w:t> </w:t>
      </w:r>
      <w:r>
        <w:rPr/>
        <w:t>hidrométrica de 7.80 Ton/Ha, mostrando un resultado favorable de</w:t>
      </w:r>
      <w:r>
        <w:rPr>
          <w:spacing w:val="-12"/>
        </w:rPr>
        <w:t> </w:t>
      </w:r>
      <w:r>
        <w:rPr/>
        <w:t>simulación.</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
        <w:rPr>
          <w:sz w:val="20"/>
        </w:rPr>
      </w:pPr>
    </w:p>
    <w:p>
      <w:pPr>
        <w:spacing w:before="0"/>
        <w:ind w:left="255" w:right="255" w:firstLine="0"/>
        <w:jc w:val="center"/>
        <w:rPr>
          <w:sz w:val="22"/>
        </w:rPr>
      </w:pPr>
      <w:r>
        <w:rPr>
          <w:sz w:val="22"/>
        </w:rPr>
        <w:t>Fuente: Elaboración propia, 2014.</w:t>
      </w:r>
    </w:p>
    <w:p>
      <w:pPr>
        <w:pStyle w:val="Heading1"/>
        <w:spacing w:before="2"/>
        <w:ind w:left="116" w:right="116" w:hanging="2"/>
        <w:jc w:val="center"/>
      </w:pPr>
      <w:bookmarkStart w:name="_bookmark114" w:id="167"/>
      <w:bookmarkEnd w:id="167"/>
      <w:r>
        <w:rPr>
          <w:b w:val="0"/>
        </w:rPr>
      </w:r>
      <w:r>
        <w:rPr/>
        <w:t>Figura 35. Dinámica y magnitud de la producción de sedimentos medidos y simulados en la cuenca El Tejocote con el modelo SWAT en un período de siete años.</w:t>
      </w:r>
    </w:p>
    <w:p>
      <w:pPr>
        <w:pStyle w:val="BodyText"/>
        <w:rPr>
          <w:b/>
        </w:rPr>
      </w:pPr>
    </w:p>
    <w:p>
      <w:pPr>
        <w:pStyle w:val="BodyText"/>
        <w:spacing w:before="6"/>
        <w:rPr>
          <w:b/>
          <w:sz w:val="38"/>
        </w:rPr>
      </w:pPr>
    </w:p>
    <w:p>
      <w:pPr>
        <w:pStyle w:val="BodyText"/>
        <w:spacing w:line="360" w:lineRule="auto"/>
        <w:ind w:left="116" w:right="112"/>
        <w:jc w:val="both"/>
      </w:pPr>
      <w:r>
        <w:rPr>
          <w:spacing w:val="-3"/>
        </w:rPr>
        <w:t>La </w:t>
      </w:r>
      <w:r>
        <w:rPr/>
        <w:t>Figura 36 permite observar la producción de sedimentos en la cuenca y su distribución por subcuencas, es posible aseverar que en promedio la producción de éstos alcanza casi 15</w:t>
      </w:r>
      <w:r>
        <w:rPr>
          <w:spacing w:val="-6"/>
        </w:rPr>
        <w:t> </w:t>
      </w:r>
      <w:r>
        <w:rPr/>
        <w:t>Ton/Ha;</w:t>
      </w:r>
      <w:r>
        <w:rPr>
          <w:spacing w:val="-6"/>
        </w:rPr>
        <w:t> </w:t>
      </w:r>
      <w:r>
        <w:rPr/>
        <w:t>sobre</w:t>
      </w:r>
      <w:r>
        <w:rPr>
          <w:spacing w:val="-11"/>
        </w:rPr>
        <w:t> </w:t>
      </w:r>
      <w:r>
        <w:rPr/>
        <w:t>aquellas</w:t>
      </w:r>
      <w:r>
        <w:rPr>
          <w:spacing w:val="-6"/>
        </w:rPr>
        <w:t> </w:t>
      </w:r>
      <w:r>
        <w:rPr/>
        <w:t>partes</w:t>
      </w:r>
      <w:r>
        <w:rPr>
          <w:spacing w:val="-11"/>
        </w:rPr>
        <w:t> </w:t>
      </w:r>
      <w:r>
        <w:rPr/>
        <w:t>ocupadas</w:t>
      </w:r>
      <w:r>
        <w:rPr>
          <w:spacing w:val="-6"/>
        </w:rPr>
        <w:t> </w:t>
      </w:r>
      <w:r>
        <w:rPr/>
        <w:t>por</w:t>
      </w:r>
      <w:r>
        <w:rPr>
          <w:spacing w:val="-15"/>
        </w:rPr>
        <w:t> </w:t>
      </w:r>
      <w:r>
        <w:rPr/>
        <w:t>bosques</w:t>
      </w:r>
      <w:r>
        <w:rPr>
          <w:spacing w:val="-6"/>
        </w:rPr>
        <w:t> </w:t>
      </w:r>
      <w:r>
        <w:rPr/>
        <w:t>la</w:t>
      </w:r>
      <w:r>
        <w:rPr>
          <w:spacing w:val="-6"/>
        </w:rPr>
        <w:t> </w:t>
      </w:r>
      <w:r>
        <w:rPr/>
        <w:t>producción</w:t>
      </w:r>
      <w:r>
        <w:rPr>
          <w:spacing w:val="-6"/>
        </w:rPr>
        <w:t> </w:t>
      </w:r>
      <w:r>
        <w:rPr/>
        <w:t>es</w:t>
      </w:r>
      <w:r>
        <w:rPr>
          <w:spacing w:val="-11"/>
        </w:rPr>
        <w:t> </w:t>
      </w:r>
      <w:r>
        <w:rPr/>
        <w:t>menor</w:t>
      </w:r>
      <w:r>
        <w:rPr>
          <w:spacing w:val="-6"/>
        </w:rPr>
        <w:t> </w:t>
      </w:r>
      <w:r>
        <w:rPr/>
        <w:t>a</w:t>
      </w:r>
      <w:r>
        <w:rPr>
          <w:spacing w:val="-11"/>
        </w:rPr>
        <w:t> </w:t>
      </w:r>
      <w:r>
        <w:rPr/>
        <w:t>1</w:t>
      </w:r>
      <w:r>
        <w:rPr>
          <w:spacing w:val="-6"/>
        </w:rPr>
        <w:t> </w:t>
      </w:r>
      <w:r>
        <w:rPr/>
        <w:t>Ton/Ha y, en la parte central de la cuenca donde se desarrolla la agricultura de riego se registran producciones de sedimentos hasta de 1 Ton/Ha, las partes donde se tienen registros más altos de 14 Ton/Ha son aquellas zonas donde se desarrolla la agricultura en laderas y en pastizales inducidos, del mismo modo dicha cifra es superada en pequeñas áreas bien localizadas en suelos desnudos de vegetación o pastizales inducidos también. Por tanto</w:t>
      </w:r>
      <w:r>
        <w:rPr>
          <w:spacing w:val="-19"/>
        </w:rPr>
        <w:t> </w:t>
      </w:r>
      <w:r>
        <w:rPr/>
        <w:t>las</w:t>
      </w:r>
    </w:p>
    <w:p>
      <w:pPr>
        <w:spacing w:after="0" w:line="360" w:lineRule="auto"/>
        <w:jc w:val="both"/>
        <w:sectPr>
          <w:pgSz w:w="12240" w:h="15840"/>
          <w:pgMar w:header="0" w:footer="1473" w:top="1360" w:bottom="1660" w:left="1300" w:right="1300"/>
        </w:sectPr>
      </w:pPr>
    </w:p>
    <w:p>
      <w:pPr>
        <w:pStyle w:val="BodyText"/>
        <w:spacing w:line="362" w:lineRule="auto" w:before="49"/>
        <w:ind w:left="116" w:right="118"/>
      </w:pPr>
      <w:r>
        <w:rPr/>
        <w:t>acciones de control de erosión y pérdida del suelo son necesarias en aquellos cultivos en pendientes pronunciadas donde no se cuentan con buenas técnicas agrícolas.</w:t>
      </w:r>
    </w:p>
    <w:p>
      <w:pPr>
        <w:spacing w:after="0" w:line="362" w:lineRule="auto"/>
        <w:sectPr>
          <w:pgSz w:w="12240" w:h="15840"/>
          <w:pgMar w:header="0" w:footer="1473" w:top="1360" w:bottom="1660" w:left="1300" w:right="1300"/>
        </w:sectPr>
      </w:pPr>
    </w:p>
    <w:p>
      <w:pPr>
        <w:pStyle w:val="BodyText"/>
        <w:spacing w:before="9"/>
        <w:rPr>
          <w:sz w:val="23"/>
        </w:rPr>
      </w:pPr>
    </w:p>
    <w:p>
      <w:pPr>
        <w:pStyle w:val="BodyText"/>
        <w:ind w:left="115" w:right="-19"/>
        <w:rPr>
          <w:sz w:val="20"/>
        </w:rPr>
      </w:pPr>
      <w:r>
        <w:rPr>
          <w:sz w:val="20"/>
        </w:rPr>
        <w:drawing>
          <wp:inline distT="0" distB="0" distL="0" distR="0">
            <wp:extent cx="8777756" cy="5506974"/>
            <wp:effectExtent l="0" t="0" r="0" b="0"/>
            <wp:docPr id="29" name="image123.jpeg" descr=""/>
            <wp:cNvGraphicFramePr>
              <a:graphicFrameLocks noChangeAspect="1"/>
            </wp:cNvGraphicFramePr>
            <a:graphic>
              <a:graphicData uri="http://schemas.openxmlformats.org/drawingml/2006/picture">
                <pic:pic>
                  <pic:nvPicPr>
                    <pic:cNvPr id="30" name="image123.jpeg"/>
                    <pic:cNvPicPr/>
                  </pic:nvPicPr>
                  <pic:blipFill>
                    <a:blip r:embed="rId169" cstate="print"/>
                    <a:stretch>
                      <a:fillRect/>
                    </a:stretch>
                  </pic:blipFill>
                  <pic:spPr>
                    <a:xfrm>
                      <a:off x="0" y="0"/>
                      <a:ext cx="8777756" cy="5506974"/>
                    </a:xfrm>
                    <a:prstGeom prst="rect">
                      <a:avLst/>
                    </a:prstGeom>
                  </pic:spPr>
                </pic:pic>
              </a:graphicData>
            </a:graphic>
          </wp:inline>
        </w:drawing>
      </w:r>
      <w:r>
        <w:rPr>
          <w:sz w:val="20"/>
        </w:rPr>
      </w:r>
    </w:p>
    <w:p>
      <w:pPr>
        <w:pStyle w:val="BodyText"/>
        <w:spacing w:before="1"/>
        <w:rPr>
          <w:sz w:val="6"/>
        </w:rPr>
      </w:pPr>
    </w:p>
    <w:p>
      <w:pPr>
        <w:spacing w:after="0"/>
        <w:rPr>
          <w:sz w:val="6"/>
        </w:rPr>
        <w:sectPr>
          <w:footerReference w:type="default" r:id="rId168"/>
          <w:pgSz w:w="15840" w:h="12240" w:orient="landscape"/>
          <w:pgMar w:footer="0" w:header="0" w:top="1140" w:bottom="280" w:left="1020" w:right="860"/>
        </w:sectPr>
      </w:pPr>
    </w:p>
    <w:p>
      <w:pPr>
        <w:pStyle w:val="Heading1"/>
        <w:spacing w:before="25"/>
        <w:ind w:left="4328" w:right="-14"/>
      </w:pPr>
      <w:bookmarkStart w:name="_bookmark115" w:id="168"/>
      <w:bookmarkEnd w:id="168"/>
      <w:r>
        <w:rPr>
          <w:b w:val="0"/>
        </w:rPr>
      </w:r>
      <w:r>
        <w:rPr/>
        <w:t>Figura 36. Mapa producción </w:t>
      </w:r>
      <w:r>
        <w:rPr>
          <w:spacing w:val="-3"/>
        </w:rPr>
        <w:t>de </w:t>
      </w:r>
      <w:r>
        <w:rPr/>
        <w:t>sedimentos.</w:t>
      </w:r>
    </w:p>
    <w:p>
      <w:pPr>
        <w:pStyle w:val="BodyText"/>
        <w:spacing w:before="9"/>
        <w:rPr>
          <w:b/>
          <w:sz w:val="31"/>
        </w:rPr>
      </w:pPr>
      <w:r>
        <w:rPr/>
        <w:br w:type="column"/>
      </w:r>
      <w:r>
        <w:rPr>
          <w:b/>
          <w:sz w:val="31"/>
        </w:rPr>
      </w:r>
    </w:p>
    <w:p>
      <w:pPr>
        <w:spacing w:before="0"/>
        <w:ind w:left="0" w:right="555" w:firstLine="0"/>
        <w:jc w:val="right"/>
        <w:rPr>
          <w:rFonts w:ascii="Calibri"/>
          <w:sz w:val="22"/>
        </w:rPr>
      </w:pPr>
      <w:r>
        <w:rPr>
          <w:rFonts w:ascii="Calibri"/>
          <w:sz w:val="22"/>
        </w:rPr>
        <w:t>138</w:t>
      </w:r>
    </w:p>
    <w:p>
      <w:pPr>
        <w:spacing w:after="0"/>
        <w:jc w:val="right"/>
        <w:rPr>
          <w:rFonts w:ascii="Calibri"/>
          <w:sz w:val="22"/>
        </w:rPr>
        <w:sectPr>
          <w:type w:val="continuous"/>
          <w:pgSz w:w="15840" w:h="12240" w:orient="landscape"/>
          <w:pgMar w:top="1500" w:bottom="280" w:left="1020" w:right="860"/>
          <w:cols w:num="2" w:equalWidth="0">
            <w:col w:w="9186" w:space="40"/>
            <w:col w:w="4734"/>
          </w:cols>
        </w:sectPr>
      </w:pPr>
    </w:p>
    <w:p>
      <w:pPr>
        <w:pStyle w:val="BodyText"/>
        <w:spacing w:line="360" w:lineRule="auto" w:before="49"/>
        <w:ind w:left="116" w:right="113"/>
        <w:jc w:val="both"/>
      </w:pPr>
      <w:r>
        <w:rPr/>
        <w:t>De manera puntual, aquellas áreas prioritarias situadas en zonas de agricultura de ladera y están demandando de pronta atención por problemas de erosión de suelo son las comunidades de Santa María Tixmadeje, San Antonio Dietiña, San Mateo El Viejo, Los Lanzados, San Juan de los Jarros y San Pedro de los Metates principalmente (ver Figura 37).</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p>
    <w:p>
      <w:pPr>
        <w:spacing w:before="56"/>
        <w:ind w:left="0" w:right="115" w:firstLine="0"/>
        <w:jc w:val="right"/>
        <w:rPr>
          <w:rFonts w:ascii="Calibri"/>
          <w:sz w:val="22"/>
        </w:rPr>
      </w:pPr>
      <w:r>
        <w:rPr>
          <w:rFonts w:ascii="Calibri"/>
          <w:sz w:val="22"/>
        </w:rPr>
        <w:t>139</w:t>
      </w:r>
    </w:p>
    <w:p>
      <w:pPr>
        <w:spacing w:after="0"/>
        <w:jc w:val="right"/>
        <w:rPr>
          <w:rFonts w:ascii="Calibri"/>
          <w:sz w:val="22"/>
        </w:rPr>
        <w:sectPr>
          <w:footerReference w:type="default" r:id="rId170"/>
          <w:pgSz w:w="12240" w:h="15840"/>
          <w:pgMar w:footer="0" w:header="0" w:top="1360" w:bottom="280" w:left="1300" w:right="1300"/>
        </w:sectPr>
      </w:pPr>
    </w:p>
    <w:p>
      <w:pPr>
        <w:pStyle w:val="BodyText"/>
        <w:spacing w:before="10"/>
        <w:rPr>
          <w:rFonts w:ascii="Calibri"/>
          <w:sz w:val="22"/>
        </w:rPr>
      </w:pPr>
    </w:p>
    <w:p>
      <w:pPr>
        <w:pStyle w:val="BodyText"/>
        <w:ind w:left="115"/>
        <w:rPr>
          <w:rFonts w:ascii="Calibri"/>
          <w:sz w:val="20"/>
        </w:rPr>
      </w:pPr>
      <w:r>
        <w:rPr>
          <w:rFonts w:ascii="Calibri"/>
          <w:sz w:val="20"/>
        </w:rPr>
        <w:drawing>
          <wp:inline distT="0" distB="0" distL="0" distR="0">
            <wp:extent cx="8614028" cy="5431535"/>
            <wp:effectExtent l="0" t="0" r="0" b="0"/>
            <wp:docPr id="31" name="image124.jpeg" descr=""/>
            <wp:cNvGraphicFramePr>
              <a:graphicFrameLocks noChangeAspect="1"/>
            </wp:cNvGraphicFramePr>
            <a:graphic>
              <a:graphicData uri="http://schemas.openxmlformats.org/drawingml/2006/picture">
                <pic:pic>
                  <pic:nvPicPr>
                    <pic:cNvPr id="32" name="image124.jpeg"/>
                    <pic:cNvPicPr/>
                  </pic:nvPicPr>
                  <pic:blipFill>
                    <a:blip r:embed="rId172" cstate="print"/>
                    <a:stretch>
                      <a:fillRect/>
                    </a:stretch>
                  </pic:blipFill>
                  <pic:spPr>
                    <a:xfrm>
                      <a:off x="0" y="0"/>
                      <a:ext cx="8614028" cy="5431535"/>
                    </a:xfrm>
                    <a:prstGeom prst="rect">
                      <a:avLst/>
                    </a:prstGeom>
                  </pic:spPr>
                </pic:pic>
              </a:graphicData>
            </a:graphic>
          </wp:inline>
        </w:drawing>
      </w:r>
      <w:r>
        <w:rPr>
          <w:rFonts w:ascii="Calibri"/>
          <w:sz w:val="20"/>
        </w:rPr>
      </w:r>
    </w:p>
    <w:p>
      <w:pPr>
        <w:pStyle w:val="Heading1"/>
        <w:spacing w:before="70"/>
        <w:ind w:left="3512"/>
      </w:pPr>
      <w:bookmarkStart w:name="_bookmark116" w:id="169"/>
      <w:bookmarkEnd w:id="169"/>
      <w:r>
        <w:rPr>
          <w:b w:val="0"/>
        </w:rPr>
      </w:r>
      <w:r>
        <w:rPr/>
        <w:t>Figura 37. Producción de sedimentos por núcleos agrarios.</w:t>
      </w:r>
    </w:p>
    <w:p>
      <w:pPr>
        <w:pStyle w:val="BodyText"/>
        <w:spacing w:before="9"/>
        <w:rPr>
          <w:b/>
          <w:sz w:val="10"/>
        </w:rPr>
      </w:pPr>
    </w:p>
    <w:p>
      <w:pPr>
        <w:spacing w:before="56"/>
        <w:ind w:left="0" w:right="495" w:firstLine="0"/>
        <w:jc w:val="right"/>
        <w:rPr>
          <w:rFonts w:ascii="Calibri"/>
          <w:sz w:val="22"/>
        </w:rPr>
      </w:pPr>
      <w:r>
        <w:rPr>
          <w:rFonts w:ascii="Calibri"/>
          <w:sz w:val="22"/>
        </w:rPr>
        <w:t>140</w:t>
      </w:r>
    </w:p>
    <w:p>
      <w:pPr>
        <w:spacing w:after="0"/>
        <w:jc w:val="right"/>
        <w:rPr>
          <w:rFonts w:ascii="Calibri"/>
          <w:sz w:val="22"/>
        </w:rPr>
        <w:sectPr>
          <w:footerReference w:type="default" r:id="rId171"/>
          <w:pgSz w:w="15840" w:h="12240" w:orient="landscape"/>
          <w:pgMar w:footer="0" w:header="0" w:top="1140" w:bottom="280" w:left="1020" w:right="920"/>
        </w:sectPr>
      </w:pPr>
    </w:p>
    <w:p>
      <w:pPr>
        <w:pStyle w:val="BodyText"/>
        <w:spacing w:line="360" w:lineRule="auto" w:before="49"/>
        <w:ind w:left="116" w:right="112"/>
        <w:jc w:val="both"/>
      </w:pPr>
      <w:r>
        <w:rPr/>
        <w:t>Posteriormente, con el objetivo de sustentar los errores de simulación tanto de escurrimientos como de sedimentos, se utilizó la desviación estándar, coeficiente de correlación</w:t>
      </w:r>
      <w:r>
        <w:rPr>
          <w:spacing w:val="-8"/>
        </w:rPr>
        <w:t> </w:t>
      </w:r>
      <w:r>
        <w:rPr/>
        <w:t>y</w:t>
      </w:r>
      <w:r>
        <w:rPr>
          <w:spacing w:val="-6"/>
        </w:rPr>
        <w:t> </w:t>
      </w:r>
      <w:r>
        <w:rPr/>
        <w:t>la</w:t>
      </w:r>
      <w:r>
        <w:rPr>
          <w:spacing w:val="-11"/>
        </w:rPr>
        <w:t> </w:t>
      </w:r>
      <w:r>
        <w:rPr/>
        <w:t>determinación</w:t>
      </w:r>
      <w:r>
        <w:rPr>
          <w:spacing w:val="-7"/>
        </w:rPr>
        <w:t> </w:t>
      </w:r>
      <w:r>
        <w:rPr/>
        <w:t>de</w:t>
      </w:r>
      <w:r>
        <w:rPr>
          <w:spacing w:val="-7"/>
        </w:rPr>
        <w:t> </w:t>
      </w:r>
      <w:r>
        <w:rPr/>
        <w:t>los</w:t>
      </w:r>
      <w:r>
        <w:rPr>
          <w:spacing w:val="-7"/>
        </w:rPr>
        <w:t> </w:t>
      </w:r>
      <w:r>
        <w:rPr/>
        <w:t>datos</w:t>
      </w:r>
      <w:r>
        <w:rPr>
          <w:spacing w:val="-7"/>
        </w:rPr>
        <w:t> </w:t>
      </w:r>
      <w:r>
        <w:rPr/>
        <w:t>simulados</w:t>
      </w:r>
      <w:r>
        <w:rPr>
          <w:spacing w:val="-7"/>
        </w:rPr>
        <w:t> </w:t>
      </w:r>
      <w:r>
        <w:rPr/>
        <w:t>y</w:t>
      </w:r>
      <w:r>
        <w:rPr>
          <w:spacing w:val="-7"/>
        </w:rPr>
        <w:t> </w:t>
      </w:r>
      <w:r>
        <w:rPr/>
        <w:t>aforados.</w:t>
      </w:r>
      <w:r>
        <w:rPr>
          <w:spacing w:val="-9"/>
        </w:rPr>
        <w:t> </w:t>
      </w:r>
      <w:r>
        <w:rPr/>
        <w:t>Como</w:t>
      </w:r>
      <w:r>
        <w:rPr>
          <w:spacing w:val="-7"/>
        </w:rPr>
        <w:t> </w:t>
      </w:r>
      <w:r>
        <w:rPr/>
        <w:t>resultado</w:t>
      </w:r>
      <w:r>
        <w:rPr>
          <w:spacing w:val="-7"/>
        </w:rPr>
        <w:t> </w:t>
      </w:r>
      <w:r>
        <w:rPr/>
        <w:t>se</w:t>
      </w:r>
      <w:r>
        <w:rPr>
          <w:spacing w:val="-7"/>
        </w:rPr>
        <w:t> </w:t>
      </w:r>
      <w:r>
        <w:rPr/>
        <w:t>puede observar que el coeficiente de correlación para la producción de escurrimientos fue mayor a la de los sedimentos, en la primera resultó un 0.46 y en la segunda 0.25, no obstante</w:t>
      </w:r>
      <w:r>
        <w:rPr>
          <w:spacing w:val="-34"/>
        </w:rPr>
        <w:t> </w:t>
      </w:r>
      <w:r>
        <w:rPr/>
        <w:t>para ambos resultados, la correlación es directa, esto se aprecia en el Cuadro</w:t>
      </w:r>
      <w:r>
        <w:rPr>
          <w:spacing w:val="-5"/>
        </w:rPr>
        <w:t> </w:t>
      </w:r>
      <w:r>
        <w:rPr/>
        <w:t>12.</w:t>
      </w:r>
    </w:p>
    <w:p>
      <w:pPr>
        <w:pStyle w:val="BodyText"/>
      </w:pPr>
    </w:p>
    <w:p>
      <w:pPr>
        <w:pStyle w:val="Heading1"/>
        <w:spacing w:before="156"/>
        <w:ind w:left="3444" w:right="110" w:hanging="3309"/>
      </w:pPr>
      <w:bookmarkStart w:name="_bookmark117" w:id="170"/>
      <w:bookmarkEnd w:id="170"/>
      <w:r>
        <w:rPr>
          <w:b w:val="0"/>
        </w:rPr>
      </w:r>
      <w:r>
        <w:rPr/>
        <w:t>Cuadro 12. Parámetros estadísticos anuales de las producciones de agua y sedimento en la cuenca El Tejocote.</w:t>
      </w:r>
    </w:p>
    <w:p>
      <w:pPr>
        <w:pStyle w:val="BodyText"/>
        <w:rPr>
          <w:b/>
          <w:sz w:val="18"/>
        </w:rPr>
      </w:pPr>
    </w:p>
    <w:tbl>
      <w:tblPr>
        <w:tblW w:w="0" w:type="auto"/>
        <w:jc w:val="left"/>
        <w:tblInd w:w="12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122"/>
        <w:gridCol w:w="1453"/>
        <w:gridCol w:w="1204"/>
        <w:gridCol w:w="1170"/>
        <w:gridCol w:w="1201"/>
      </w:tblGrid>
      <w:tr>
        <w:trPr>
          <w:trHeight w:val="572" w:hRule="exact"/>
        </w:trPr>
        <w:tc>
          <w:tcPr>
            <w:tcW w:w="2122" w:type="dxa"/>
            <w:tcBorders>
              <w:left w:val="nil"/>
              <w:right w:val="nil"/>
            </w:tcBorders>
          </w:tcPr>
          <w:p>
            <w:pPr/>
          </w:p>
        </w:tc>
        <w:tc>
          <w:tcPr>
            <w:tcW w:w="1453" w:type="dxa"/>
            <w:tcBorders>
              <w:left w:val="nil"/>
              <w:right w:val="nil"/>
            </w:tcBorders>
          </w:tcPr>
          <w:p>
            <w:pPr>
              <w:pStyle w:val="TableParagraph"/>
              <w:spacing w:line="273" w:lineRule="exact" w:before="0"/>
              <w:ind w:left="469" w:right="276"/>
              <w:jc w:val="center"/>
              <w:rPr>
                <w:b/>
                <w:sz w:val="24"/>
              </w:rPr>
            </w:pPr>
            <w:r>
              <w:rPr>
                <w:b/>
                <w:sz w:val="24"/>
              </w:rPr>
              <w:t>Media</w:t>
            </w:r>
          </w:p>
        </w:tc>
        <w:tc>
          <w:tcPr>
            <w:tcW w:w="1204" w:type="dxa"/>
            <w:tcBorders>
              <w:left w:val="nil"/>
              <w:right w:val="nil"/>
            </w:tcBorders>
          </w:tcPr>
          <w:p>
            <w:pPr>
              <w:pStyle w:val="TableParagraph"/>
              <w:spacing w:line="274" w:lineRule="exact" w:before="1"/>
              <w:ind w:left="372" w:hanging="77"/>
              <w:jc w:val="left"/>
              <w:rPr>
                <w:b/>
                <w:sz w:val="24"/>
              </w:rPr>
            </w:pPr>
            <w:r>
              <w:rPr>
                <w:b/>
                <w:sz w:val="24"/>
              </w:rPr>
              <w:t>Desv. Est.</w:t>
            </w:r>
          </w:p>
        </w:tc>
        <w:tc>
          <w:tcPr>
            <w:tcW w:w="1170" w:type="dxa"/>
            <w:tcBorders>
              <w:left w:val="nil"/>
              <w:right w:val="nil"/>
            </w:tcBorders>
          </w:tcPr>
          <w:p>
            <w:pPr>
              <w:pStyle w:val="TableParagraph"/>
              <w:spacing w:line="273" w:lineRule="exact" w:before="0"/>
              <w:ind w:right="37"/>
              <w:jc w:val="center"/>
              <w:rPr>
                <w:b/>
                <w:sz w:val="24"/>
              </w:rPr>
            </w:pPr>
            <w:r>
              <w:rPr>
                <w:b/>
                <w:w w:val="99"/>
                <w:sz w:val="24"/>
              </w:rPr>
              <w:t>R</w:t>
            </w:r>
          </w:p>
        </w:tc>
        <w:tc>
          <w:tcPr>
            <w:tcW w:w="1201" w:type="dxa"/>
            <w:tcBorders>
              <w:left w:val="nil"/>
              <w:bottom w:val="single" w:sz="4" w:space="0" w:color="000000"/>
              <w:right w:val="nil"/>
            </w:tcBorders>
          </w:tcPr>
          <w:p>
            <w:pPr>
              <w:pStyle w:val="TableParagraph"/>
              <w:spacing w:line="273" w:lineRule="exact" w:before="0"/>
              <w:ind w:left="363" w:right="370"/>
              <w:jc w:val="center"/>
              <w:rPr>
                <w:b/>
                <w:sz w:val="24"/>
              </w:rPr>
            </w:pPr>
            <w:r>
              <w:rPr>
                <w:b/>
                <w:sz w:val="24"/>
              </w:rPr>
              <w:t>CV</w:t>
            </w:r>
          </w:p>
        </w:tc>
      </w:tr>
      <w:tr>
        <w:trPr>
          <w:trHeight w:val="565" w:hRule="exact"/>
        </w:trPr>
        <w:tc>
          <w:tcPr>
            <w:tcW w:w="2122" w:type="dxa"/>
            <w:tcBorders>
              <w:left w:val="nil"/>
              <w:bottom w:val="nil"/>
              <w:right w:val="nil"/>
            </w:tcBorders>
          </w:tcPr>
          <w:p>
            <w:pPr>
              <w:pStyle w:val="TableParagraph"/>
              <w:spacing w:line="237" w:lineRule="auto" w:before="0"/>
              <w:ind w:left="167" w:right="-57" w:firstLine="312"/>
              <w:jc w:val="left"/>
              <w:rPr>
                <w:sz w:val="24"/>
              </w:rPr>
            </w:pPr>
            <w:r>
              <w:rPr>
                <w:sz w:val="24"/>
              </w:rPr>
              <w:t>Producción de escurrimientos</w:t>
            </w:r>
            <w:r>
              <w:rPr>
                <w:spacing w:val="-3"/>
                <w:sz w:val="24"/>
              </w:rPr>
              <w:t> (mm)</w:t>
            </w:r>
          </w:p>
        </w:tc>
        <w:tc>
          <w:tcPr>
            <w:tcW w:w="1453" w:type="dxa"/>
            <w:tcBorders>
              <w:left w:val="nil"/>
              <w:bottom w:val="nil"/>
              <w:right w:val="nil"/>
            </w:tcBorders>
          </w:tcPr>
          <w:p>
            <w:pPr/>
          </w:p>
        </w:tc>
        <w:tc>
          <w:tcPr>
            <w:tcW w:w="1204" w:type="dxa"/>
            <w:tcBorders>
              <w:left w:val="nil"/>
              <w:bottom w:val="nil"/>
              <w:right w:val="nil"/>
            </w:tcBorders>
          </w:tcPr>
          <w:p>
            <w:pPr/>
          </w:p>
        </w:tc>
        <w:tc>
          <w:tcPr>
            <w:tcW w:w="1170" w:type="dxa"/>
            <w:tcBorders>
              <w:left w:val="nil"/>
              <w:bottom w:val="nil"/>
              <w:right w:val="nil"/>
            </w:tcBorders>
          </w:tcPr>
          <w:p>
            <w:pPr/>
          </w:p>
        </w:tc>
        <w:tc>
          <w:tcPr>
            <w:tcW w:w="1201" w:type="dxa"/>
            <w:tcBorders>
              <w:top w:val="single" w:sz="4" w:space="0" w:color="000000"/>
              <w:left w:val="nil"/>
              <w:bottom w:val="nil"/>
              <w:right w:val="nil"/>
            </w:tcBorders>
          </w:tcPr>
          <w:p>
            <w:pPr/>
          </w:p>
        </w:tc>
      </w:tr>
      <w:tr>
        <w:trPr>
          <w:trHeight w:val="300" w:hRule="exact"/>
        </w:trPr>
        <w:tc>
          <w:tcPr>
            <w:tcW w:w="2122" w:type="dxa"/>
            <w:tcBorders>
              <w:top w:val="nil"/>
              <w:left w:val="nil"/>
              <w:bottom w:val="nil"/>
              <w:right w:val="nil"/>
            </w:tcBorders>
          </w:tcPr>
          <w:p>
            <w:pPr>
              <w:pStyle w:val="TableParagraph"/>
              <w:spacing w:line="264" w:lineRule="exact" w:before="0"/>
              <w:ind w:left="768" w:right="-57"/>
              <w:jc w:val="left"/>
              <w:rPr>
                <w:sz w:val="24"/>
              </w:rPr>
            </w:pPr>
            <w:r>
              <w:rPr>
                <w:sz w:val="24"/>
              </w:rPr>
              <w:t>Aforado</w:t>
            </w:r>
          </w:p>
        </w:tc>
        <w:tc>
          <w:tcPr>
            <w:tcW w:w="1453" w:type="dxa"/>
            <w:tcBorders>
              <w:top w:val="nil"/>
              <w:left w:val="nil"/>
              <w:bottom w:val="nil"/>
              <w:right w:val="nil"/>
            </w:tcBorders>
          </w:tcPr>
          <w:p>
            <w:pPr>
              <w:pStyle w:val="TableParagraph"/>
              <w:spacing w:line="264" w:lineRule="exact" w:before="0"/>
              <w:ind w:left="475" w:right="276"/>
              <w:jc w:val="center"/>
              <w:rPr>
                <w:sz w:val="24"/>
              </w:rPr>
            </w:pPr>
            <w:r>
              <w:rPr>
                <w:sz w:val="24"/>
              </w:rPr>
              <w:t>93.6</w:t>
            </w:r>
          </w:p>
        </w:tc>
        <w:tc>
          <w:tcPr>
            <w:tcW w:w="1204" w:type="dxa"/>
            <w:tcBorders>
              <w:top w:val="nil"/>
              <w:left w:val="nil"/>
              <w:bottom w:val="nil"/>
              <w:right w:val="nil"/>
            </w:tcBorders>
          </w:tcPr>
          <w:p>
            <w:pPr>
              <w:pStyle w:val="TableParagraph"/>
              <w:spacing w:line="264" w:lineRule="exact" w:before="0"/>
              <w:ind w:left="282" w:right="341"/>
              <w:jc w:val="center"/>
              <w:rPr>
                <w:sz w:val="24"/>
              </w:rPr>
            </w:pPr>
            <w:r>
              <w:rPr>
                <w:sz w:val="24"/>
              </w:rPr>
              <w:t>58.32</w:t>
            </w:r>
          </w:p>
        </w:tc>
        <w:tc>
          <w:tcPr>
            <w:tcW w:w="1170" w:type="dxa"/>
            <w:vMerge w:val="restart"/>
            <w:tcBorders>
              <w:top w:val="nil"/>
              <w:left w:val="nil"/>
              <w:right w:val="nil"/>
            </w:tcBorders>
          </w:tcPr>
          <w:p>
            <w:pPr>
              <w:pStyle w:val="TableParagraph"/>
              <w:spacing w:before="156"/>
              <w:ind w:left="358"/>
              <w:jc w:val="left"/>
              <w:rPr>
                <w:sz w:val="24"/>
              </w:rPr>
            </w:pPr>
            <w:r>
              <w:rPr>
                <w:sz w:val="24"/>
              </w:rPr>
              <w:t>0.46</w:t>
            </w:r>
          </w:p>
        </w:tc>
        <w:tc>
          <w:tcPr>
            <w:tcW w:w="1201" w:type="dxa"/>
            <w:tcBorders>
              <w:top w:val="nil"/>
              <w:left w:val="nil"/>
              <w:bottom w:val="nil"/>
              <w:right w:val="nil"/>
            </w:tcBorders>
          </w:tcPr>
          <w:p>
            <w:pPr>
              <w:pStyle w:val="TableParagraph"/>
              <w:spacing w:line="274" w:lineRule="exact" w:before="0"/>
              <w:ind w:left="370" w:right="370"/>
              <w:jc w:val="center"/>
              <w:rPr>
                <w:sz w:val="24"/>
              </w:rPr>
            </w:pPr>
            <w:r>
              <w:rPr>
                <w:sz w:val="24"/>
              </w:rPr>
              <w:t>0.62</w:t>
            </w:r>
          </w:p>
        </w:tc>
      </w:tr>
      <w:tr>
        <w:trPr>
          <w:trHeight w:val="300" w:hRule="exact"/>
        </w:trPr>
        <w:tc>
          <w:tcPr>
            <w:tcW w:w="2122" w:type="dxa"/>
            <w:tcBorders>
              <w:top w:val="nil"/>
              <w:left w:val="nil"/>
              <w:bottom w:val="nil"/>
              <w:right w:val="nil"/>
            </w:tcBorders>
          </w:tcPr>
          <w:p>
            <w:pPr>
              <w:pStyle w:val="TableParagraph"/>
              <w:spacing w:before="0"/>
              <w:ind w:left="710" w:right="-57"/>
              <w:jc w:val="left"/>
              <w:rPr>
                <w:sz w:val="24"/>
              </w:rPr>
            </w:pPr>
            <w:r>
              <w:rPr>
                <w:sz w:val="24"/>
              </w:rPr>
              <w:t>Simulado</w:t>
            </w:r>
          </w:p>
        </w:tc>
        <w:tc>
          <w:tcPr>
            <w:tcW w:w="1453" w:type="dxa"/>
            <w:tcBorders>
              <w:top w:val="nil"/>
              <w:left w:val="nil"/>
              <w:bottom w:val="nil"/>
              <w:right w:val="nil"/>
            </w:tcBorders>
          </w:tcPr>
          <w:p>
            <w:pPr>
              <w:pStyle w:val="TableParagraph"/>
              <w:spacing w:before="0"/>
              <w:ind w:left="475" w:right="276"/>
              <w:jc w:val="center"/>
              <w:rPr>
                <w:sz w:val="24"/>
              </w:rPr>
            </w:pPr>
            <w:r>
              <w:rPr>
                <w:sz w:val="24"/>
              </w:rPr>
              <w:t>101.85</w:t>
            </w:r>
          </w:p>
        </w:tc>
        <w:tc>
          <w:tcPr>
            <w:tcW w:w="1204" w:type="dxa"/>
            <w:tcBorders>
              <w:top w:val="nil"/>
              <w:left w:val="nil"/>
              <w:bottom w:val="nil"/>
              <w:right w:val="nil"/>
            </w:tcBorders>
          </w:tcPr>
          <w:p>
            <w:pPr>
              <w:pStyle w:val="TableParagraph"/>
              <w:spacing w:before="0"/>
              <w:ind w:left="282" w:right="341"/>
              <w:jc w:val="center"/>
              <w:rPr>
                <w:sz w:val="24"/>
              </w:rPr>
            </w:pPr>
            <w:r>
              <w:rPr>
                <w:sz w:val="24"/>
              </w:rPr>
              <w:t>35.88</w:t>
            </w:r>
          </w:p>
        </w:tc>
        <w:tc>
          <w:tcPr>
            <w:tcW w:w="1170" w:type="dxa"/>
            <w:vMerge/>
            <w:tcBorders>
              <w:left w:val="nil"/>
              <w:bottom w:val="nil"/>
              <w:right w:val="nil"/>
            </w:tcBorders>
          </w:tcPr>
          <w:p>
            <w:pPr/>
          </w:p>
        </w:tc>
        <w:tc>
          <w:tcPr>
            <w:tcW w:w="1201" w:type="dxa"/>
            <w:tcBorders>
              <w:top w:val="nil"/>
              <w:left w:val="nil"/>
              <w:bottom w:val="nil"/>
              <w:right w:val="nil"/>
            </w:tcBorders>
          </w:tcPr>
          <w:p>
            <w:pPr>
              <w:pStyle w:val="TableParagraph"/>
              <w:spacing w:before="0"/>
              <w:ind w:left="370" w:right="370"/>
              <w:jc w:val="center"/>
              <w:rPr>
                <w:sz w:val="24"/>
              </w:rPr>
            </w:pPr>
            <w:r>
              <w:rPr>
                <w:sz w:val="24"/>
              </w:rPr>
              <w:t>0.35</w:t>
            </w:r>
          </w:p>
        </w:tc>
      </w:tr>
      <w:tr>
        <w:trPr>
          <w:trHeight w:val="564" w:hRule="exact"/>
        </w:trPr>
        <w:tc>
          <w:tcPr>
            <w:tcW w:w="2122" w:type="dxa"/>
            <w:tcBorders>
              <w:top w:val="nil"/>
              <w:left w:val="nil"/>
              <w:bottom w:val="nil"/>
              <w:right w:val="nil"/>
            </w:tcBorders>
          </w:tcPr>
          <w:p>
            <w:pPr>
              <w:pStyle w:val="TableParagraph"/>
              <w:spacing w:line="242" w:lineRule="auto" w:before="0"/>
              <w:ind w:left="259" w:right="-57" w:firstLine="220"/>
              <w:jc w:val="left"/>
              <w:rPr>
                <w:sz w:val="24"/>
              </w:rPr>
            </w:pPr>
            <w:r>
              <w:rPr>
                <w:sz w:val="24"/>
              </w:rPr>
              <w:t>Producción de sedimentos Ton/ha</w:t>
            </w:r>
          </w:p>
        </w:tc>
        <w:tc>
          <w:tcPr>
            <w:tcW w:w="1453" w:type="dxa"/>
            <w:tcBorders>
              <w:top w:val="nil"/>
              <w:left w:val="nil"/>
              <w:bottom w:val="nil"/>
              <w:right w:val="nil"/>
            </w:tcBorders>
          </w:tcPr>
          <w:p>
            <w:pPr/>
          </w:p>
        </w:tc>
        <w:tc>
          <w:tcPr>
            <w:tcW w:w="1204" w:type="dxa"/>
            <w:tcBorders>
              <w:top w:val="nil"/>
              <w:left w:val="nil"/>
              <w:bottom w:val="nil"/>
              <w:right w:val="nil"/>
            </w:tcBorders>
          </w:tcPr>
          <w:p>
            <w:pPr/>
          </w:p>
        </w:tc>
        <w:tc>
          <w:tcPr>
            <w:tcW w:w="1170" w:type="dxa"/>
            <w:tcBorders>
              <w:top w:val="nil"/>
              <w:left w:val="nil"/>
              <w:bottom w:val="nil"/>
              <w:right w:val="nil"/>
            </w:tcBorders>
          </w:tcPr>
          <w:p>
            <w:pPr/>
          </w:p>
        </w:tc>
        <w:tc>
          <w:tcPr>
            <w:tcW w:w="1201" w:type="dxa"/>
            <w:tcBorders>
              <w:top w:val="nil"/>
              <w:left w:val="nil"/>
              <w:bottom w:val="nil"/>
              <w:right w:val="nil"/>
            </w:tcBorders>
          </w:tcPr>
          <w:p>
            <w:pPr/>
          </w:p>
        </w:tc>
      </w:tr>
      <w:tr>
        <w:trPr>
          <w:trHeight w:val="281" w:hRule="exact"/>
        </w:trPr>
        <w:tc>
          <w:tcPr>
            <w:tcW w:w="2122" w:type="dxa"/>
            <w:tcBorders>
              <w:top w:val="nil"/>
              <w:left w:val="nil"/>
              <w:bottom w:val="nil"/>
              <w:right w:val="nil"/>
            </w:tcBorders>
          </w:tcPr>
          <w:p>
            <w:pPr>
              <w:pStyle w:val="TableParagraph"/>
              <w:spacing w:line="262" w:lineRule="exact" w:before="0"/>
              <w:ind w:left="768" w:right="-57"/>
              <w:jc w:val="left"/>
              <w:rPr>
                <w:sz w:val="24"/>
              </w:rPr>
            </w:pPr>
            <w:r>
              <w:rPr>
                <w:sz w:val="24"/>
              </w:rPr>
              <w:t>Aforado</w:t>
            </w:r>
          </w:p>
        </w:tc>
        <w:tc>
          <w:tcPr>
            <w:tcW w:w="1453" w:type="dxa"/>
            <w:tcBorders>
              <w:top w:val="nil"/>
              <w:left w:val="nil"/>
              <w:bottom w:val="nil"/>
              <w:right w:val="nil"/>
            </w:tcBorders>
          </w:tcPr>
          <w:p>
            <w:pPr>
              <w:pStyle w:val="TableParagraph"/>
              <w:spacing w:line="262" w:lineRule="exact" w:before="0"/>
              <w:ind w:left="475" w:right="276"/>
              <w:jc w:val="center"/>
              <w:rPr>
                <w:sz w:val="24"/>
              </w:rPr>
            </w:pPr>
            <w:r>
              <w:rPr>
                <w:sz w:val="24"/>
              </w:rPr>
              <w:t>7.80</w:t>
            </w:r>
          </w:p>
        </w:tc>
        <w:tc>
          <w:tcPr>
            <w:tcW w:w="1204" w:type="dxa"/>
            <w:tcBorders>
              <w:top w:val="nil"/>
              <w:left w:val="nil"/>
              <w:bottom w:val="nil"/>
              <w:right w:val="nil"/>
            </w:tcBorders>
          </w:tcPr>
          <w:p>
            <w:pPr>
              <w:pStyle w:val="TableParagraph"/>
              <w:spacing w:line="262" w:lineRule="exact" w:before="0"/>
              <w:ind w:left="282" w:right="341"/>
              <w:jc w:val="center"/>
              <w:rPr>
                <w:sz w:val="24"/>
              </w:rPr>
            </w:pPr>
            <w:r>
              <w:rPr>
                <w:sz w:val="24"/>
              </w:rPr>
              <w:t>2.8</w:t>
            </w:r>
          </w:p>
        </w:tc>
        <w:tc>
          <w:tcPr>
            <w:tcW w:w="1170" w:type="dxa"/>
            <w:tcBorders>
              <w:top w:val="nil"/>
              <w:left w:val="nil"/>
              <w:bottom w:val="nil"/>
              <w:right w:val="nil"/>
            </w:tcBorders>
          </w:tcPr>
          <w:p>
            <w:pPr/>
          </w:p>
        </w:tc>
        <w:tc>
          <w:tcPr>
            <w:tcW w:w="1201" w:type="dxa"/>
            <w:tcBorders>
              <w:top w:val="nil"/>
              <w:left w:val="nil"/>
              <w:bottom w:val="nil"/>
              <w:right w:val="nil"/>
            </w:tcBorders>
          </w:tcPr>
          <w:p>
            <w:pPr>
              <w:pStyle w:val="TableParagraph"/>
              <w:spacing w:before="0"/>
              <w:ind w:left="370" w:right="370"/>
              <w:jc w:val="center"/>
              <w:rPr>
                <w:sz w:val="24"/>
              </w:rPr>
            </w:pPr>
            <w:r>
              <w:rPr>
                <w:sz w:val="24"/>
              </w:rPr>
              <w:t>0.36</w:t>
            </w:r>
          </w:p>
        </w:tc>
      </w:tr>
      <w:tr>
        <w:trPr>
          <w:trHeight w:val="553" w:hRule="exact"/>
        </w:trPr>
        <w:tc>
          <w:tcPr>
            <w:tcW w:w="2122" w:type="dxa"/>
            <w:tcBorders>
              <w:top w:val="nil"/>
              <w:left w:val="nil"/>
              <w:right w:val="nil"/>
            </w:tcBorders>
          </w:tcPr>
          <w:p>
            <w:pPr>
              <w:pStyle w:val="TableParagraph"/>
              <w:spacing w:before="17"/>
              <w:ind w:left="710" w:right="-57"/>
              <w:jc w:val="left"/>
              <w:rPr>
                <w:sz w:val="24"/>
              </w:rPr>
            </w:pPr>
            <w:r>
              <w:rPr>
                <w:sz w:val="24"/>
              </w:rPr>
              <w:t>Simulado</w:t>
            </w:r>
          </w:p>
        </w:tc>
        <w:tc>
          <w:tcPr>
            <w:tcW w:w="1453" w:type="dxa"/>
            <w:tcBorders>
              <w:top w:val="nil"/>
              <w:left w:val="nil"/>
              <w:right w:val="nil"/>
            </w:tcBorders>
          </w:tcPr>
          <w:p>
            <w:pPr>
              <w:pStyle w:val="TableParagraph"/>
              <w:spacing w:before="12"/>
              <w:ind w:left="475" w:right="276"/>
              <w:jc w:val="center"/>
              <w:rPr>
                <w:sz w:val="24"/>
              </w:rPr>
            </w:pPr>
            <w:r>
              <w:rPr>
                <w:sz w:val="24"/>
              </w:rPr>
              <w:t>5.50</w:t>
            </w:r>
          </w:p>
        </w:tc>
        <w:tc>
          <w:tcPr>
            <w:tcW w:w="1204" w:type="dxa"/>
            <w:tcBorders>
              <w:top w:val="nil"/>
              <w:left w:val="nil"/>
              <w:right w:val="nil"/>
            </w:tcBorders>
          </w:tcPr>
          <w:p>
            <w:pPr>
              <w:pStyle w:val="TableParagraph"/>
              <w:spacing w:before="12"/>
              <w:ind w:left="282" w:right="336"/>
              <w:jc w:val="center"/>
              <w:rPr>
                <w:sz w:val="24"/>
              </w:rPr>
            </w:pPr>
            <w:r>
              <w:rPr>
                <w:sz w:val="24"/>
              </w:rPr>
              <w:t>1.69</w:t>
            </w:r>
          </w:p>
        </w:tc>
        <w:tc>
          <w:tcPr>
            <w:tcW w:w="1170" w:type="dxa"/>
            <w:tcBorders>
              <w:top w:val="nil"/>
              <w:left w:val="nil"/>
              <w:right w:val="nil"/>
            </w:tcBorders>
          </w:tcPr>
          <w:p>
            <w:pPr>
              <w:pStyle w:val="TableParagraph"/>
              <w:spacing w:line="255" w:lineRule="exact" w:before="0"/>
              <w:ind w:left="341" w:right="369"/>
              <w:jc w:val="center"/>
              <w:rPr>
                <w:sz w:val="24"/>
              </w:rPr>
            </w:pPr>
            <w:r>
              <w:rPr>
                <w:sz w:val="24"/>
              </w:rPr>
              <w:t>0.25</w:t>
            </w:r>
          </w:p>
        </w:tc>
        <w:tc>
          <w:tcPr>
            <w:tcW w:w="1201" w:type="dxa"/>
            <w:tcBorders>
              <w:top w:val="nil"/>
              <w:left w:val="nil"/>
              <w:bottom w:val="single" w:sz="4" w:space="0" w:color="000000"/>
              <w:right w:val="nil"/>
            </w:tcBorders>
          </w:tcPr>
          <w:p>
            <w:pPr>
              <w:pStyle w:val="TableParagraph"/>
              <w:spacing w:before="12"/>
              <w:ind w:left="370" w:right="370"/>
              <w:jc w:val="center"/>
              <w:rPr>
                <w:sz w:val="24"/>
              </w:rPr>
            </w:pPr>
            <w:r>
              <w:rPr>
                <w:sz w:val="24"/>
              </w:rPr>
              <w:t>0.31</w:t>
            </w:r>
          </w:p>
        </w:tc>
      </w:tr>
    </w:tbl>
    <w:p>
      <w:pPr>
        <w:spacing w:line="244" w:lineRule="exact" w:before="0"/>
        <w:ind w:left="255" w:right="255" w:firstLine="0"/>
        <w:jc w:val="center"/>
        <w:rPr>
          <w:sz w:val="22"/>
        </w:rPr>
      </w:pPr>
      <w:r>
        <w:rPr>
          <w:sz w:val="22"/>
        </w:rPr>
        <w:t>Fuente: Elaboración propia, 2014.</w:t>
      </w:r>
    </w:p>
    <w:p>
      <w:pPr>
        <w:pStyle w:val="BodyText"/>
        <w:spacing w:before="4"/>
        <w:rPr>
          <w:sz w:val="15"/>
        </w:rPr>
      </w:pPr>
    </w:p>
    <w:p>
      <w:pPr>
        <w:pStyle w:val="Heading1"/>
        <w:numPr>
          <w:ilvl w:val="1"/>
          <w:numId w:val="52"/>
        </w:numPr>
        <w:tabs>
          <w:tab w:pos="511" w:val="left" w:leader="none"/>
        </w:tabs>
        <w:spacing w:line="240" w:lineRule="auto" w:before="66" w:after="0"/>
        <w:ind w:left="116" w:right="0" w:firstLine="0"/>
        <w:jc w:val="both"/>
      </w:pPr>
      <w:bookmarkStart w:name="_bookmark118" w:id="171"/>
      <w:bookmarkEnd w:id="171"/>
      <w:r>
        <w:rPr>
          <w:b w:val="0"/>
        </w:rPr>
      </w:r>
      <w:bookmarkStart w:name="_bookmark118" w:id="172"/>
      <w:bookmarkEnd w:id="172"/>
      <w:r>
        <w:rPr/>
        <w:t>Ren</w:t>
      </w:r>
      <w:r>
        <w:rPr/>
        <w:t>dimiento </w:t>
      </w:r>
      <w:r>
        <w:rPr>
          <w:spacing w:val="-3"/>
        </w:rPr>
        <w:t>de</w:t>
      </w:r>
      <w:r>
        <w:rPr>
          <w:spacing w:val="-10"/>
        </w:rPr>
        <w:t> </w:t>
      </w:r>
      <w:r>
        <w:rPr/>
        <w:t>cultivos</w:t>
      </w:r>
    </w:p>
    <w:p>
      <w:pPr>
        <w:pStyle w:val="BodyText"/>
        <w:rPr>
          <w:b/>
        </w:rPr>
      </w:pPr>
    </w:p>
    <w:p>
      <w:pPr>
        <w:pStyle w:val="BodyText"/>
        <w:spacing w:before="10"/>
        <w:rPr>
          <w:b/>
          <w:sz w:val="21"/>
        </w:rPr>
      </w:pPr>
    </w:p>
    <w:p>
      <w:pPr>
        <w:pStyle w:val="BodyText"/>
        <w:spacing w:line="360" w:lineRule="auto"/>
        <w:ind w:left="116" w:right="111"/>
        <w:jc w:val="both"/>
      </w:pPr>
      <w:r>
        <w:rPr/>
        <w:t>Respecto al análisis de los rendimientos agrícolas, el Cuadro 13 muestra los datos simulados de la cuenca con un promedio de 7.14 Ton/Ha sobre agricultura de temporal en laderas, 7.27 Ton/Ha para agricultura en valles planos y, 6.65 Ton/Ha para agricultura de riego.</w:t>
      </w:r>
      <w:r>
        <w:rPr>
          <w:spacing w:val="-4"/>
        </w:rPr>
        <w:t> </w:t>
      </w:r>
      <w:r>
        <w:rPr/>
        <w:t>En</w:t>
      </w:r>
      <w:r>
        <w:rPr>
          <w:spacing w:val="-5"/>
        </w:rPr>
        <w:t> </w:t>
      </w:r>
      <w:r>
        <w:rPr/>
        <w:t>comparación</w:t>
      </w:r>
      <w:r>
        <w:rPr>
          <w:spacing w:val="-5"/>
        </w:rPr>
        <w:t> </w:t>
      </w:r>
      <w:r>
        <w:rPr/>
        <w:t>con</w:t>
      </w:r>
      <w:r>
        <w:rPr>
          <w:spacing w:val="-5"/>
        </w:rPr>
        <w:t> </w:t>
      </w:r>
      <w:r>
        <w:rPr/>
        <w:t>lo</w:t>
      </w:r>
      <w:r>
        <w:rPr>
          <w:spacing w:val="-5"/>
        </w:rPr>
        <w:t> </w:t>
      </w:r>
      <w:r>
        <w:rPr/>
        <w:t>reportado</w:t>
      </w:r>
      <w:r>
        <w:rPr>
          <w:spacing w:val="-5"/>
        </w:rPr>
        <w:t> </w:t>
      </w:r>
      <w:r>
        <w:rPr/>
        <w:t>por</w:t>
      </w:r>
      <w:r>
        <w:rPr>
          <w:spacing w:val="-1"/>
        </w:rPr>
        <w:t> </w:t>
      </w:r>
      <w:r>
        <w:rPr/>
        <w:t>la</w:t>
      </w:r>
      <w:r>
        <w:rPr>
          <w:spacing w:val="-2"/>
        </w:rPr>
        <w:t> </w:t>
      </w:r>
      <w:r>
        <w:rPr/>
        <w:t>SIAP</w:t>
      </w:r>
      <w:r>
        <w:rPr>
          <w:spacing w:val="-5"/>
        </w:rPr>
        <w:t> </w:t>
      </w:r>
      <w:r>
        <w:rPr/>
        <w:t>(2014),</w:t>
      </w:r>
      <w:r>
        <w:rPr>
          <w:spacing w:val="-4"/>
        </w:rPr>
        <w:t> </w:t>
      </w:r>
      <w:r>
        <w:rPr/>
        <w:t>el</w:t>
      </w:r>
      <w:r>
        <w:rPr>
          <w:spacing w:val="-5"/>
        </w:rPr>
        <w:t> </w:t>
      </w:r>
      <w:r>
        <w:rPr/>
        <w:t>modelo</w:t>
      </w:r>
      <w:r>
        <w:rPr>
          <w:spacing w:val="-5"/>
        </w:rPr>
        <w:t> </w:t>
      </w:r>
      <w:r>
        <w:rPr/>
        <w:t>sobrestimo</w:t>
      </w:r>
      <w:r>
        <w:rPr>
          <w:spacing w:val="-5"/>
        </w:rPr>
        <w:t> </w:t>
      </w:r>
      <w:r>
        <w:rPr/>
        <w:t>al</w:t>
      </w:r>
      <w:r>
        <w:rPr>
          <w:spacing w:val="-2"/>
        </w:rPr>
        <w:t> </w:t>
      </w:r>
      <w:r>
        <w:rPr/>
        <w:t>doble las cifras, por tanto se requiere de un ajuste en los parámetros de entrada al modelo</w:t>
      </w:r>
      <w:r>
        <w:rPr>
          <w:spacing w:val="-42"/>
        </w:rPr>
        <w:t> </w:t>
      </w:r>
      <w:r>
        <w:rPr/>
        <w:t>SWAT respecto al manejo de prácticas agrícolas, con el objetivo de obtener las cifras lo mayormente parecidas a la situación real y validar al modelo como una herramienta confiable. Sin embargo, para el caso de los cálculos de biomasa, éstos son muy</w:t>
      </w:r>
      <w:r>
        <w:rPr>
          <w:spacing w:val="-32"/>
        </w:rPr>
        <w:t> </w:t>
      </w:r>
      <w:r>
        <w:rPr/>
        <w:t>semejantes</w:t>
      </w:r>
    </w:p>
    <w:p>
      <w:pPr>
        <w:spacing w:after="0" w:line="360" w:lineRule="auto"/>
        <w:jc w:val="both"/>
        <w:sectPr>
          <w:footerReference w:type="default" r:id="rId173"/>
          <w:pgSz w:w="12240" w:h="15840"/>
          <w:pgMar w:footer="1473" w:header="0" w:top="1360" w:bottom="1660" w:left="1300" w:right="1300"/>
          <w:pgNumType w:start="141"/>
        </w:sectPr>
      </w:pPr>
    </w:p>
    <w:p>
      <w:pPr>
        <w:pStyle w:val="BodyText"/>
        <w:spacing w:line="362" w:lineRule="auto" w:before="49"/>
        <w:ind w:left="116" w:right="118"/>
      </w:pPr>
      <w:r>
        <w:rPr/>
        <w:t>a los medido real, con un promedio de 19.30 Ton/Ha, 19.77 Ton/Ha y 18.11 Ton/Ha, para agricultura en laderas, valle y riego respectivamente.</w:t>
      </w:r>
    </w:p>
    <w:p>
      <w:pPr>
        <w:pStyle w:val="BodyText"/>
      </w:pPr>
    </w:p>
    <w:p>
      <w:pPr>
        <w:pStyle w:val="Heading1"/>
        <w:spacing w:line="292" w:lineRule="exact" w:before="167"/>
        <w:ind w:left="3742" w:right="118" w:hanging="3362"/>
      </w:pPr>
      <w:bookmarkStart w:name="_bookmark119" w:id="173"/>
      <w:bookmarkEnd w:id="173"/>
      <w:r>
        <w:rPr>
          <w:b w:val="0"/>
        </w:rPr>
      </w:r>
      <w:r>
        <w:rPr/>
        <w:t>Cuadro 13. Rendimientos agrícolas simulados y observados de agricultura en la cuenca El Tejocote.</w:t>
      </w:r>
    </w:p>
    <w:p>
      <w:pPr>
        <w:pStyle w:val="BodyText"/>
        <w:spacing w:before="10"/>
        <w:rPr>
          <w:b/>
          <w:sz w:val="17"/>
        </w:rPr>
      </w:pPr>
    </w:p>
    <w:tbl>
      <w:tblPr>
        <w:tblW w:w="0" w:type="auto"/>
        <w:jc w:val="left"/>
        <w:tblInd w:w="9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57"/>
        <w:gridCol w:w="1333"/>
        <w:gridCol w:w="1644"/>
        <w:gridCol w:w="1669"/>
        <w:gridCol w:w="1504"/>
      </w:tblGrid>
      <w:tr>
        <w:trPr>
          <w:trHeight w:val="840" w:hRule="exact"/>
        </w:trPr>
        <w:tc>
          <w:tcPr>
            <w:tcW w:w="1557" w:type="dxa"/>
            <w:tcBorders>
              <w:left w:val="nil"/>
              <w:right w:val="nil"/>
            </w:tcBorders>
          </w:tcPr>
          <w:p>
            <w:pPr>
              <w:pStyle w:val="TableParagraph"/>
              <w:spacing w:line="242" w:lineRule="auto" w:before="0"/>
              <w:ind w:left="192" w:right="173" w:firstLine="28"/>
              <w:jc w:val="left"/>
              <w:rPr>
                <w:b/>
                <w:sz w:val="24"/>
              </w:rPr>
            </w:pPr>
            <w:r>
              <w:rPr>
                <w:b/>
                <w:sz w:val="24"/>
              </w:rPr>
              <w:t>Condición de siembre</w:t>
            </w:r>
          </w:p>
        </w:tc>
        <w:tc>
          <w:tcPr>
            <w:tcW w:w="1333" w:type="dxa"/>
            <w:tcBorders>
              <w:left w:val="nil"/>
              <w:right w:val="nil"/>
            </w:tcBorders>
          </w:tcPr>
          <w:p>
            <w:pPr>
              <w:pStyle w:val="TableParagraph"/>
              <w:spacing w:line="242" w:lineRule="auto" w:before="0"/>
              <w:ind w:left="272" w:right="178" w:hanging="77"/>
              <w:jc w:val="left"/>
              <w:rPr>
                <w:b/>
                <w:sz w:val="24"/>
              </w:rPr>
            </w:pPr>
            <w:r>
              <w:rPr>
                <w:b/>
                <w:sz w:val="24"/>
              </w:rPr>
              <w:t>Índice de cosecha</w:t>
            </w:r>
          </w:p>
        </w:tc>
        <w:tc>
          <w:tcPr>
            <w:tcW w:w="1644" w:type="dxa"/>
            <w:tcBorders>
              <w:left w:val="nil"/>
              <w:right w:val="nil"/>
            </w:tcBorders>
          </w:tcPr>
          <w:p>
            <w:pPr>
              <w:pStyle w:val="TableParagraph"/>
              <w:spacing w:before="0"/>
              <w:ind w:left="384" w:right="108" w:hanging="188"/>
              <w:jc w:val="left"/>
              <w:rPr>
                <w:b/>
                <w:sz w:val="24"/>
              </w:rPr>
            </w:pPr>
            <w:r>
              <w:rPr>
                <w:b/>
                <w:sz w:val="24"/>
              </w:rPr>
              <w:t>Rendimiento aforados (Ton/Ha)</w:t>
            </w:r>
          </w:p>
        </w:tc>
        <w:tc>
          <w:tcPr>
            <w:tcW w:w="1669" w:type="dxa"/>
            <w:tcBorders>
              <w:left w:val="nil"/>
              <w:right w:val="nil"/>
            </w:tcBorders>
          </w:tcPr>
          <w:p>
            <w:pPr>
              <w:pStyle w:val="TableParagraph"/>
              <w:spacing w:before="0"/>
              <w:ind w:left="315" w:right="201" w:hanging="188"/>
              <w:jc w:val="left"/>
              <w:rPr>
                <w:b/>
                <w:sz w:val="24"/>
              </w:rPr>
            </w:pPr>
            <w:r>
              <w:rPr>
                <w:b/>
                <w:sz w:val="24"/>
              </w:rPr>
              <w:t>Rendimiento simulado (Ton/Ha)</w:t>
            </w:r>
          </w:p>
        </w:tc>
        <w:tc>
          <w:tcPr>
            <w:tcW w:w="1504" w:type="dxa"/>
            <w:tcBorders>
              <w:left w:val="nil"/>
              <w:right w:val="nil"/>
            </w:tcBorders>
          </w:tcPr>
          <w:p>
            <w:pPr>
              <w:pStyle w:val="TableParagraph"/>
              <w:spacing w:before="0"/>
              <w:ind w:left="221" w:right="331" w:firstLine="33"/>
              <w:jc w:val="both"/>
              <w:rPr>
                <w:b/>
                <w:sz w:val="24"/>
              </w:rPr>
            </w:pPr>
            <w:r>
              <w:rPr>
                <w:b/>
                <w:sz w:val="24"/>
              </w:rPr>
              <w:t>Biomasa simulada (Ton/Ha)</w:t>
            </w:r>
          </w:p>
        </w:tc>
      </w:tr>
      <w:tr>
        <w:trPr>
          <w:trHeight w:val="560" w:hRule="exact"/>
        </w:trPr>
        <w:tc>
          <w:tcPr>
            <w:tcW w:w="1557" w:type="dxa"/>
            <w:tcBorders>
              <w:left w:val="nil"/>
              <w:bottom w:val="nil"/>
              <w:right w:val="nil"/>
            </w:tcBorders>
          </w:tcPr>
          <w:p>
            <w:pPr>
              <w:pStyle w:val="TableParagraph"/>
              <w:spacing w:line="237" w:lineRule="auto" w:before="0"/>
              <w:ind w:left="408" w:right="173" w:hanging="264"/>
              <w:jc w:val="left"/>
              <w:rPr>
                <w:sz w:val="24"/>
              </w:rPr>
            </w:pPr>
            <w:r>
              <w:rPr>
                <w:sz w:val="24"/>
              </w:rPr>
              <w:t>Temporal en laderas</w:t>
            </w:r>
          </w:p>
        </w:tc>
        <w:tc>
          <w:tcPr>
            <w:tcW w:w="1333" w:type="dxa"/>
            <w:tcBorders>
              <w:left w:val="nil"/>
              <w:bottom w:val="nil"/>
              <w:right w:val="nil"/>
            </w:tcBorders>
          </w:tcPr>
          <w:p>
            <w:pPr>
              <w:pStyle w:val="TableParagraph"/>
              <w:spacing w:line="268" w:lineRule="exact" w:before="0"/>
              <w:ind w:left="436" w:right="436"/>
              <w:jc w:val="center"/>
              <w:rPr>
                <w:sz w:val="24"/>
              </w:rPr>
            </w:pPr>
            <w:r>
              <w:rPr>
                <w:sz w:val="24"/>
              </w:rPr>
              <w:t>0.25</w:t>
            </w:r>
          </w:p>
        </w:tc>
        <w:tc>
          <w:tcPr>
            <w:tcW w:w="1644" w:type="dxa"/>
            <w:tcBorders>
              <w:left w:val="nil"/>
              <w:bottom w:val="nil"/>
              <w:right w:val="nil"/>
            </w:tcBorders>
          </w:tcPr>
          <w:p>
            <w:pPr>
              <w:pStyle w:val="TableParagraph"/>
              <w:spacing w:line="268" w:lineRule="exact" w:before="0"/>
              <w:ind w:right="571"/>
              <w:rPr>
                <w:sz w:val="24"/>
              </w:rPr>
            </w:pPr>
            <w:r>
              <w:rPr>
                <w:sz w:val="24"/>
              </w:rPr>
              <w:t>2.83</w:t>
            </w:r>
          </w:p>
        </w:tc>
        <w:tc>
          <w:tcPr>
            <w:tcW w:w="1669" w:type="dxa"/>
            <w:tcBorders>
              <w:left w:val="nil"/>
              <w:bottom w:val="nil"/>
              <w:right w:val="nil"/>
            </w:tcBorders>
          </w:tcPr>
          <w:p>
            <w:pPr>
              <w:pStyle w:val="TableParagraph"/>
              <w:spacing w:line="268" w:lineRule="exact" w:before="0"/>
              <w:ind w:left="579" w:right="201"/>
              <w:jc w:val="left"/>
              <w:rPr>
                <w:sz w:val="24"/>
              </w:rPr>
            </w:pPr>
            <w:r>
              <w:rPr>
                <w:sz w:val="24"/>
              </w:rPr>
              <w:t>7.14</w:t>
            </w:r>
          </w:p>
        </w:tc>
        <w:tc>
          <w:tcPr>
            <w:tcW w:w="1504" w:type="dxa"/>
            <w:tcBorders>
              <w:left w:val="nil"/>
              <w:bottom w:val="nil"/>
              <w:right w:val="nil"/>
            </w:tcBorders>
          </w:tcPr>
          <w:p>
            <w:pPr>
              <w:pStyle w:val="TableParagraph"/>
              <w:spacing w:line="268" w:lineRule="exact" w:before="0"/>
              <w:ind w:left="423"/>
              <w:jc w:val="left"/>
              <w:rPr>
                <w:sz w:val="24"/>
              </w:rPr>
            </w:pPr>
            <w:r>
              <w:rPr>
                <w:sz w:val="24"/>
              </w:rPr>
              <w:t>19.30</w:t>
            </w:r>
          </w:p>
        </w:tc>
      </w:tr>
      <w:tr>
        <w:trPr>
          <w:trHeight w:val="552" w:hRule="exact"/>
        </w:trPr>
        <w:tc>
          <w:tcPr>
            <w:tcW w:w="1557" w:type="dxa"/>
            <w:tcBorders>
              <w:top w:val="nil"/>
              <w:left w:val="nil"/>
              <w:bottom w:val="nil"/>
              <w:right w:val="nil"/>
            </w:tcBorders>
          </w:tcPr>
          <w:p>
            <w:pPr>
              <w:pStyle w:val="TableParagraph"/>
              <w:spacing w:line="237" w:lineRule="auto" w:before="0"/>
              <w:ind w:left="518" w:right="174" w:hanging="375"/>
              <w:jc w:val="left"/>
              <w:rPr>
                <w:sz w:val="24"/>
              </w:rPr>
            </w:pPr>
            <w:r>
              <w:rPr>
                <w:sz w:val="24"/>
              </w:rPr>
              <w:t>Temporal en valle</w:t>
            </w:r>
          </w:p>
        </w:tc>
        <w:tc>
          <w:tcPr>
            <w:tcW w:w="1333" w:type="dxa"/>
            <w:tcBorders>
              <w:top w:val="nil"/>
              <w:left w:val="nil"/>
              <w:bottom w:val="nil"/>
              <w:right w:val="nil"/>
            </w:tcBorders>
          </w:tcPr>
          <w:p>
            <w:pPr>
              <w:pStyle w:val="TableParagraph"/>
              <w:spacing w:line="264" w:lineRule="exact" w:before="0"/>
              <w:ind w:left="436" w:right="436"/>
              <w:jc w:val="center"/>
              <w:rPr>
                <w:sz w:val="24"/>
              </w:rPr>
            </w:pPr>
            <w:r>
              <w:rPr>
                <w:sz w:val="24"/>
              </w:rPr>
              <w:t>0.27</w:t>
            </w:r>
          </w:p>
        </w:tc>
        <w:tc>
          <w:tcPr>
            <w:tcW w:w="1644" w:type="dxa"/>
            <w:tcBorders>
              <w:top w:val="nil"/>
              <w:left w:val="nil"/>
              <w:bottom w:val="nil"/>
              <w:right w:val="nil"/>
            </w:tcBorders>
          </w:tcPr>
          <w:p>
            <w:pPr>
              <w:pStyle w:val="TableParagraph"/>
              <w:spacing w:line="264" w:lineRule="exact" w:before="0"/>
              <w:ind w:right="571"/>
              <w:rPr>
                <w:sz w:val="24"/>
              </w:rPr>
            </w:pPr>
            <w:r>
              <w:rPr>
                <w:sz w:val="24"/>
              </w:rPr>
              <w:t>2.83</w:t>
            </w:r>
          </w:p>
        </w:tc>
        <w:tc>
          <w:tcPr>
            <w:tcW w:w="1669" w:type="dxa"/>
            <w:tcBorders>
              <w:top w:val="nil"/>
              <w:left w:val="nil"/>
              <w:bottom w:val="nil"/>
              <w:right w:val="nil"/>
            </w:tcBorders>
          </w:tcPr>
          <w:p>
            <w:pPr>
              <w:pStyle w:val="TableParagraph"/>
              <w:spacing w:line="264" w:lineRule="exact" w:before="0"/>
              <w:ind w:left="579" w:right="201"/>
              <w:jc w:val="left"/>
              <w:rPr>
                <w:sz w:val="24"/>
              </w:rPr>
            </w:pPr>
            <w:r>
              <w:rPr>
                <w:sz w:val="24"/>
              </w:rPr>
              <w:t>7.27</w:t>
            </w:r>
          </w:p>
        </w:tc>
        <w:tc>
          <w:tcPr>
            <w:tcW w:w="1504" w:type="dxa"/>
            <w:tcBorders>
              <w:top w:val="nil"/>
              <w:left w:val="nil"/>
              <w:bottom w:val="nil"/>
              <w:right w:val="nil"/>
            </w:tcBorders>
          </w:tcPr>
          <w:p>
            <w:pPr>
              <w:pStyle w:val="TableParagraph"/>
              <w:spacing w:line="264" w:lineRule="exact" w:before="0"/>
              <w:ind w:left="423"/>
              <w:jc w:val="left"/>
              <w:rPr>
                <w:sz w:val="24"/>
              </w:rPr>
            </w:pPr>
            <w:r>
              <w:rPr>
                <w:sz w:val="24"/>
              </w:rPr>
              <w:t>19.77</w:t>
            </w:r>
          </w:p>
        </w:tc>
      </w:tr>
      <w:tr>
        <w:trPr>
          <w:trHeight w:val="275" w:hRule="exact"/>
        </w:trPr>
        <w:tc>
          <w:tcPr>
            <w:tcW w:w="1557" w:type="dxa"/>
            <w:tcBorders>
              <w:top w:val="nil"/>
              <w:left w:val="nil"/>
              <w:right w:val="nil"/>
            </w:tcBorders>
          </w:tcPr>
          <w:p>
            <w:pPr>
              <w:pStyle w:val="TableParagraph"/>
              <w:spacing w:line="264" w:lineRule="exact" w:before="0"/>
              <w:ind w:left="465" w:right="173"/>
              <w:jc w:val="left"/>
              <w:rPr>
                <w:sz w:val="24"/>
              </w:rPr>
            </w:pPr>
            <w:r>
              <w:rPr>
                <w:sz w:val="24"/>
              </w:rPr>
              <w:t>Riego</w:t>
            </w:r>
          </w:p>
        </w:tc>
        <w:tc>
          <w:tcPr>
            <w:tcW w:w="1333" w:type="dxa"/>
            <w:tcBorders>
              <w:top w:val="nil"/>
              <w:left w:val="nil"/>
              <w:right w:val="nil"/>
            </w:tcBorders>
          </w:tcPr>
          <w:p>
            <w:pPr>
              <w:pStyle w:val="TableParagraph"/>
              <w:spacing w:line="264" w:lineRule="exact" w:before="0"/>
              <w:ind w:left="436" w:right="436"/>
              <w:jc w:val="center"/>
              <w:rPr>
                <w:sz w:val="24"/>
              </w:rPr>
            </w:pPr>
            <w:r>
              <w:rPr>
                <w:sz w:val="24"/>
              </w:rPr>
              <w:t>0.27</w:t>
            </w:r>
          </w:p>
        </w:tc>
        <w:tc>
          <w:tcPr>
            <w:tcW w:w="1644" w:type="dxa"/>
            <w:tcBorders>
              <w:top w:val="nil"/>
              <w:left w:val="nil"/>
              <w:right w:val="nil"/>
            </w:tcBorders>
          </w:tcPr>
          <w:p>
            <w:pPr>
              <w:pStyle w:val="TableParagraph"/>
              <w:spacing w:line="264" w:lineRule="exact" w:before="0"/>
              <w:ind w:right="571"/>
              <w:rPr>
                <w:sz w:val="24"/>
              </w:rPr>
            </w:pPr>
            <w:r>
              <w:rPr>
                <w:sz w:val="24"/>
              </w:rPr>
              <w:t>3.61</w:t>
            </w:r>
          </w:p>
        </w:tc>
        <w:tc>
          <w:tcPr>
            <w:tcW w:w="1669" w:type="dxa"/>
            <w:tcBorders>
              <w:top w:val="nil"/>
              <w:left w:val="nil"/>
              <w:right w:val="nil"/>
            </w:tcBorders>
          </w:tcPr>
          <w:p>
            <w:pPr>
              <w:pStyle w:val="TableParagraph"/>
              <w:spacing w:line="264" w:lineRule="exact" w:before="0"/>
              <w:ind w:left="579" w:right="201"/>
              <w:jc w:val="left"/>
              <w:rPr>
                <w:sz w:val="24"/>
              </w:rPr>
            </w:pPr>
            <w:r>
              <w:rPr>
                <w:sz w:val="24"/>
              </w:rPr>
              <w:t>6.57</w:t>
            </w:r>
          </w:p>
        </w:tc>
        <w:tc>
          <w:tcPr>
            <w:tcW w:w="1504" w:type="dxa"/>
            <w:tcBorders>
              <w:top w:val="nil"/>
              <w:left w:val="nil"/>
              <w:right w:val="nil"/>
            </w:tcBorders>
          </w:tcPr>
          <w:p>
            <w:pPr>
              <w:pStyle w:val="TableParagraph"/>
              <w:spacing w:line="264" w:lineRule="exact" w:before="0"/>
              <w:ind w:left="423"/>
              <w:jc w:val="left"/>
              <w:rPr>
                <w:sz w:val="24"/>
              </w:rPr>
            </w:pPr>
            <w:r>
              <w:rPr>
                <w:sz w:val="24"/>
              </w:rPr>
              <w:t>18.11</w:t>
            </w:r>
          </w:p>
        </w:tc>
      </w:tr>
    </w:tbl>
    <w:p>
      <w:pPr>
        <w:spacing w:line="245" w:lineRule="exact" w:before="0"/>
        <w:ind w:left="255" w:right="184" w:firstLine="0"/>
        <w:jc w:val="center"/>
        <w:rPr>
          <w:sz w:val="22"/>
        </w:rPr>
      </w:pPr>
      <w:r>
        <w:rPr>
          <w:sz w:val="22"/>
        </w:rPr>
        <w:t>Fuente: Elaboración propia, 2014.</w:t>
      </w:r>
    </w:p>
    <w:p>
      <w:pPr>
        <w:pStyle w:val="BodyText"/>
        <w:rPr>
          <w:sz w:val="20"/>
        </w:rPr>
      </w:pPr>
    </w:p>
    <w:p>
      <w:pPr>
        <w:pStyle w:val="BodyText"/>
        <w:rPr>
          <w:sz w:val="20"/>
        </w:rPr>
      </w:pPr>
    </w:p>
    <w:p>
      <w:pPr>
        <w:pStyle w:val="BodyText"/>
        <w:spacing w:before="6"/>
        <w:rPr>
          <w:sz w:val="27"/>
        </w:rPr>
      </w:pPr>
    </w:p>
    <w:p>
      <w:pPr>
        <w:pStyle w:val="Heading1"/>
        <w:numPr>
          <w:ilvl w:val="1"/>
          <w:numId w:val="52"/>
        </w:numPr>
        <w:tabs>
          <w:tab w:pos="511" w:val="left" w:leader="none"/>
        </w:tabs>
        <w:spacing w:line="240" w:lineRule="auto" w:before="66" w:after="0"/>
        <w:ind w:left="510" w:right="0" w:hanging="394"/>
        <w:jc w:val="both"/>
      </w:pPr>
      <w:bookmarkStart w:name="_bookmark120" w:id="174"/>
      <w:bookmarkEnd w:id="174"/>
      <w:r>
        <w:rPr>
          <w:b w:val="0"/>
        </w:rPr>
      </w:r>
      <w:bookmarkStart w:name="_bookmark120" w:id="175"/>
      <w:bookmarkEnd w:id="175"/>
      <w:r>
        <w:rPr/>
        <w:t>Prod</w:t>
      </w:r>
      <w:r>
        <w:rPr/>
        <w:t>ucción </w:t>
      </w:r>
      <w:r>
        <w:rPr>
          <w:spacing w:val="-3"/>
        </w:rPr>
        <w:t>de</w:t>
      </w:r>
      <w:r>
        <w:rPr>
          <w:spacing w:val="-6"/>
        </w:rPr>
        <w:t> </w:t>
      </w:r>
      <w:r>
        <w:rPr/>
        <w:t>Biomasa</w:t>
      </w:r>
    </w:p>
    <w:p>
      <w:pPr>
        <w:pStyle w:val="BodyText"/>
        <w:spacing w:before="9"/>
        <w:rPr>
          <w:b/>
          <w:sz w:val="30"/>
        </w:rPr>
      </w:pPr>
    </w:p>
    <w:p>
      <w:pPr>
        <w:pStyle w:val="BodyText"/>
        <w:spacing w:line="360" w:lineRule="auto"/>
        <w:ind w:left="116" w:right="111"/>
        <w:jc w:val="both"/>
      </w:pPr>
      <w:r>
        <w:rPr/>
        <w:t>Los datos obtenidos de la simulación de biomasa en la cuenca muestran una</w:t>
      </w:r>
      <w:r>
        <w:rPr>
          <w:spacing w:val="-24"/>
        </w:rPr>
        <w:t> </w:t>
      </w:r>
      <w:r>
        <w:rPr/>
        <w:t>concentración de producción sobre las áreas forestales, hacia los extremos de la cuenca, por tanto es posible aseverar que dichas cifras coinciden con los rangos de producción reportados en diversas</w:t>
      </w:r>
      <w:r>
        <w:rPr>
          <w:spacing w:val="-5"/>
        </w:rPr>
        <w:t> </w:t>
      </w:r>
      <w:r>
        <w:rPr/>
        <w:t>literaturas.</w:t>
      </w:r>
    </w:p>
    <w:p>
      <w:pPr>
        <w:pStyle w:val="BodyText"/>
        <w:spacing w:line="360" w:lineRule="auto" w:before="205"/>
        <w:ind w:left="116" w:right="111"/>
        <w:jc w:val="both"/>
      </w:pPr>
      <w:r>
        <w:rPr/>
        <w:t>En específico las para las zonas agrícolas se reportan promedios de entre 5 y 15 Ton/Ha y para las zonas forestales hasta 20 Ton/Ha (ver Figura 38), por tanto la simulación que realiza el modelo SWAT  es eficiente para ésta variable.</w:t>
      </w:r>
    </w:p>
    <w:p>
      <w:pPr>
        <w:spacing w:after="0" w:line="360" w:lineRule="auto"/>
        <w:jc w:val="both"/>
        <w:sectPr>
          <w:pgSz w:w="12240" w:h="15840"/>
          <w:pgMar w:header="0" w:footer="1473" w:top="1360" w:bottom="1660" w:left="1300" w:right="1300"/>
        </w:sectPr>
      </w:pPr>
    </w:p>
    <w:p>
      <w:pPr>
        <w:pStyle w:val="BodyText"/>
        <w:spacing w:before="9"/>
        <w:rPr>
          <w:sz w:val="23"/>
        </w:rPr>
      </w:pPr>
    </w:p>
    <w:p>
      <w:pPr>
        <w:pStyle w:val="BodyText"/>
        <w:ind w:left="115"/>
        <w:rPr>
          <w:sz w:val="20"/>
        </w:rPr>
      </w:pPr>
      <w:r>
        <w:rPr>
          <w:sz w:val="20"/>
        </w:rPr>
        <w:drawing>
          <wp:inline distT="0" distB="0" distL="0" distR="0">
            <wp:extent cx="8634489" cy="5205222"/>
            <wp:effectExtent l="0" t="0" r="0" b="0"/>
            <wp:docPr id="33" name="image125.jpeg" descr=""/>
            <wp:cNvGraphicFramePr>
              <a:graphicFrameLocks noChangeAspect="1"/>
            </wp:cNvGraphicFramePr>
            <a:graphic>
              <a:graphicData uri="http://schemas.openxmlformats.org/drawingml/2006/picture">
                <pic:pic>
                  <pic:nvPicPr>
                    <pic:cNvPr id="34" name="image125.jpeg"/>
                    <pic:cNvPicPr/>
                  </pic:nvPicPr>
                  <pic:blipFill>
                    <a:blip r:embed="rId175" cstate="print"/>
                    <a:stretch>
                      <a:fillRect/>
                    </a:stretch>
                  </pic:blipFill>
                  <pic:spPr>
                    <a:xfrm>
                      <a:off x="0" y="0"/>
                      <a:ext cx="8634489" cy="5205222"/>
                    </a:xfrm>
                    <a:prstGeom prst="rect">
                      <a:avLst/>
                    </a:prstGeom>
                  </pic:spPr>
                </pic:pic>
              </a:graphicData>
            </a:graphic>
          </wp:inline>
        </w:drawing>
      </w:r>
      <w:r>
        <w:rPr>
          <w:sz w:val="20"/>
        </w:rPr>
      </w:r>
    </w:p>
    <w:p>
      <w:pPr>
        <w:pStyle w:val="BodyText"/>
        <w:spacing w:before="8"/>
        <w:rPr>
          <w:sz w:val="11"/>
        </w:rPr>
      </w:pPr>
    </w:p>
    <w:p>
      <w:pPr>
        <w:pStyle w:val="Heading1"/>
        <w:spacing w:before="66"/>
        <w:ind w:left="4482"/>
      </w:pPr>
      <w:bookmarkStart w:name="_bookmark121" w:id="176"/>
      <w:bookmarkEnd w:id="176"/>
      <w:r>
        <w:rPr>
          <w:b w:val="0"/>
        </w:rPr>
      </w:r>
      <w:r>
        <w:rPr/>
        <w:t>Figura 38. Mapa producción de biomasa.</w:t>
      </w:r>
    </w:p>
    <w:p>
      <w:pPr>
        <w:pStyle w:val="BodyText"/>
        <w:rPr>
          <w:b/>
          <w:sz w:val="20"/>
        </w:rPr>
      </w:pPr>
    </w:p>
    <w:p>
      <w:pPr>
        <w:spacing w:before="181"/>
        <w:ind w:left="0" w:right="495" w:firstLine="0"/>
        <w:jc w:val="right"/>
        <w:rPr>
          <w:rFonts w:ascii="Calibri"/>
          <w:sz w:val="22"/>
        </w:rPr>
      </w:pPr>
      <w:r>
        <w:rPr>
          <w:rFonts w:ascii="Calibri"/>
          <w:sz w:val="22"/>
        </w:rPr>
        <w:t>143</w:t>
      </w:r>
    </w:p>
    <w:p>
      <w:pPr>
        <w:spacing w:after="0"/>
        <w:jc w:val="right"/>
        <w:rPr>
          <w:rFonts w:ascii="Calibri"/>
          <w:sz w:val="22"/>
        </w:rPr>
        <w:sectPr>
          <w:footerReference w:type="default" r:id="rId174"/>
          <w:pgSz w:w="15840" w:h="12240" w:orient="landscape"/>
          <w:pgMar w:footer="0" w:header="0" w:top="1140" w:bottom="280" w:left="1020" w:right="920"/>
        </w:sectPr>
      </w:pPr>
    </w:p>
    <w:p>
      <w:pPr>
        <w:pStyle w:val="Heading1"/>
        <w:numPr>
          <w:ilvl w:val="1"/>
          <w:numId w:val="52"/>
        </w:numPr>
        <w:tabs>
          <w:tab w:pos="511" w:val="left" w:leader="none"/>
        </w:tabs>
        <w:spacing w:line="278" w:lineRule="auto" w:before="52" w:after="0"/>
        <w:ind w:left="116" w:right="341" w:firstLine="0"/>
        <w:jc w:val="left"/>
      </w:pPr>
      <w:bookmarkStart w:name="_bookmark122" w:id="177"/>
      <w:bookmarkEnd w:id="177"/>
      <w:r>
        <w:rPr>
          <w:b w:val="0"/>
        </w:rPr>
      </w:r>
      <w:bookmarkStart w:name="_bookmark122" w:id="178"/>
      <w:bookmarkEnd w:id="178"/>
      <w:r>
        <w:rPr/>
        <w:t>Cálc</w:t>
      </w:r>
      <w:r>
        <w:rPr/>
        <w:t>ulo </w:t>
      </w:r>
      <w:r>
        <w:rPr>
          <w:spacing w:val="-3"/>
        </w:rPr>
        <w:t>de </w:t>
      </w:r>
      <w:r>
        <w:rPr/>
        <w:t>daños económicos por la producción </w:t>
      </w:r>
      <w:r>
        <w:rPr>
          <w:spacing w:val="-3"/>
        </w:rPr>
        <w:t>de </w:t>
      </w:r>
      <w:r>
        <w:rPr/>
        <w:t>sedimentos y escurrimientos superficiales</w:t>
      </w:r>
    </w:p>
    <w:p>
      <w:pPr>
        <w:pStyle w:val="BodyText"/>
        <w:rPr>
          <w:b/>
        </w:rPr>
      </w:pPr>
    </w:p>
    <w:p>
      <w:pPr>
        <w:pStyle w:val="BodyText"/>
        <w:spacing w:before="7"/>
        <w:rPr>
          <w:b/>
          <w:sz w:val="21"/>
        </w:rPr>
      </w:pPr>
    </w:p>
    <w:p>
      <w:pPr>
        <w:pStyle w:val="BodyText"/>
        <w:spacing w:line="276" w:lineRule="auto" w:before="1"/>
        <w:ind w:left="116" w:right="112"/>
        <w:jc w:val="both"/>
      </w:pPr>
      <w:r>
        <w:rPr/>
        <w:t>Es claro que los daños producidos por la erosión de suelos repercute directamente en la pérdida de la fertilidad del suelo y de manera más tangible en la reducción de los rendimientos</w:t>
      </w:r>
      <w:r>
        <w:rPr>
          <w:spacing w:val="-16"/>
        </w:rPr>
        <w:t> </w:t>
      </w:r>
      <w:r>
        <w:rPr/>
        <w:t>agrícolas;</w:t>
      </w:r>
      <w:r>
        <w:rPr>
          <w:spacing w:val="-16"/>
        </w:rPr>
        <w:t> </w:t>
      </w:r>
      <w:r>
        <w:rPr/>
        <w:t>no</w:t>
      </w:r>
      <w:r>
        <w:rPr>
          <w:spacing w:val="-16"/>
        </w:rPr>
        <w:t> </w:t>
      </w:r>
      <w:r>
        <w:rPr/>
        <w:t>obstante</w:t>
      </w:r>
      <w:r>
        <w:rPr>
          <w:spacing w:val="-16"/>
        </w:rPr>
        <w:t> </w:t>
      </w:r>
      <w:r>
        <w:rPr/>
        <w:t>el</w:t>
      </w:r>
      <w:r>
        <w:rPr>
          <w:spacing w:val="-16"/>
        </w:rPr>
        <w:t> </w:t>
      </w:r>
      <w:r>
        <w:rPr/>
        <w:t>costo</w:t>
      </w:r>
      <w:r>
        <w:rPr>
          <w:spacing w:val="-16"/>
        </w:rPr>
        <w:t> </w:t>
      </w:r>
      <w:r>
        <w:rPr/>
        <w:t>de</w:t>
      </w:r>
      <w:r>
        <w:rPr>
          <w:spacing w:val="-20"/>
        </w:rPr>
        <w:t> </w:t>
      </w:r>
      <w:r>
        <w:rPr/>
        <w:t>las</w:t>
      </w:r>
      <w:r>
        <w:rPr>
          <w:spacing w:val="-16"/>
        </w:rPr>
        <w:t> </w:t>
      </w:r>
      <w:r>
        <w:rPr/>
        <w:t>molestias</w:t>
      </w:r>
      <w:r>
        <w:rPr>
          <w:spacing w:val="-15"/>
        </w:rPr>
        <w:t> </w:t>
      </w:r>
      <w:r>
        <w:rPr/>
        <w:t>que</w:t>
      </w:r>
      <w:r>
        <w:rPr>
          <w:spacing w:val="-16"/>
        </w:rPr>
        <w:t> </w:t>
      </w:r>
      <w:r>
        <w:rPr/>
        <w:t>la</w:t>
      </w:r>
      <w:r>
        <w:rPr>
          <w:spacing w:val="-16"/>
        </w:rPr>
        <w:t> </w:t>
      </w:r>
      <w:r>
        <w:rPr/>
        <w:t>erosión</w:t>
      </w:r>
      <w:r>
        <w:rPr>
          <w:spacing w:val="-16"/>
        </w:rPr>
        <w:t> </w:t>
      </w:r>
      <w:r>
        <w:rPr/>
        <w:t>de</w:t>
      </w:r>
      <w:r>
        <w:rPr>
          <w:spacing w:val="-16"/>
        </w:rPr>
        <w:t> </w:t>
      </w:r>
      <w:r>
        <w:rPr/>
        <w:t>suelo</w:t>
      </w:r>
      <w:r>
        <w:rPr>
          <w:spacing w:val="-16"/>
        </w:rPr>
        <w:t> </w:t>
      </w:r>
      <w:r>
        <w:rPr/>
        <w:t>produce en</w:t>
      </w:r>
      <w:r>
        <w:rPr>
          <w:spacing w:val="-15"/>
        </w:rPr>
        <w:t> </w:t>
      </w:r>
      <w:r>
        <w:rPr/>
        <w:t>las</w:t>
      </w:r>
      <w:r>
        <w:rPr>
          <w:spacing w:val="-15"/>
        </w:rPr>
        <w:t> </w:t>
      </w:r>
      <w:r>
        <w:rPr/>
        <w:t>partes</w:t>
      </w:r>
      <w:r>
        <w:rPr>
          <w:spacing w:val="-14"/>
        </w:rPr>
        <w:t> </w:t>
      </w:r>
      <w:r>
        <w:rPr/>
        <w:t>bajas</w:t>
      </w:r>
      <w:r>
        <w:rPr>
          <w:spacing w:val="-14"/>
        </w:rPr>
        <w:t> </w:t>
      </w:r>
      <w:r>
        <w:rPr/>
        <w:t>de</w:t>
      </w:r>
      <w:r>
        <w:rPr>
          <w:spacing w:val="-15"/>
        </w:rPr>
        <w:t> </w:t>
      </w:r>
      <w:r>
        <w:rPr/>
        <w:t>la</w:t>
      </w:r>
      <w:r>
        <w:rPr>
          <w:spacing w:val="-14"/>
        </w:rPr>
        <w:t> </w:t>
      </w:r>
      <w:r>
        <w:rPr/>
        <w:t>cuenca</w:t>
      </w:r>
      <w:r>
        <w:rPr>
          <w:spacing w:val="-14"/>
        </w:rPr>
        <w:t> </w:t>
      </w:r>
      <w:r>
        <w:rPr/>
        <w:t>también</w:t>
      </w:r>
      <w:r>
        <w:rPr>
          <w:spacing w:val="-15"/>
        </w:rPr>
        <w:t> </w:t>
      </w:r>
      <w:r>
        <w:rPr/>
        <w:t>son</w:t>
      </w:r>
      <w:r>
        <w:rPr>
          <w:spacing w:val="-15"/>
        </w:rPr>
        <w:t> </w:t>
      </w:r>
      <w:r>
        <w:rPr/>
        <w:t>importantes,</w:t>
      </w:r>
      <w:r>
        <w:rPr>
          <w:spacing w:val="-12"/>
        </w:rPr>
        <w:t> </w:t>
      </w:r>
      <w:r>
        <w:rPr/>
        <w:t>algunos</w:t>
      </w:r>
      <w:r>
        <w:rPr>
          <w:spacing w:val="-15"/>
        </w:rPr>
        <w:t> </w:t>
      </w:r>
      <w:r>
        <w:rPr/>
        <w:t>de</w:t>
      </w:r>
      <w:r>
        <w:rPr>
          <w:spacing w:val="-15"/>
        </w:rPr>
        <w:t> </w:t>
      </w:r>
      <w:r>
        <w:rPr/>
        <w:t>éstos</w:t>
      </w:r>
      <w:r>
        <w:rPr>
          <w:spacing w:val="-15"/>
        </w:rPr>
        <w:t> </w:t>
      </w:r>
      <w:r>
        <w:rPr/>
        <w:t>daños</w:t>
      </w:r>
      <w:r>
        <w:rPr>
          <w:spacing w:val="-15"/>
        </w:rPr>
        <w:t> </w:t>
      </w:r>
      <w:r>
        <w:rPr/>
        <w:t>se</w:t>
      </w:r>
      <w:r>
        <w:rPr>
          <w:spacing w:val="-10"/>
        </w:rPr>
        <w:t> </w:t>
      </w:r>
      <w:r>
        <w:rPr/>
        <w:t>resumen en el Cuadro 14.</w:t>
      </w:r>
    </w:p>
    <w:p>
      <w:pPr>
        <w:pStyle w:val="Heading1"/>
        <w:spacing w:before="205"/>
        <w:ind w:left="2594" w:right="118"/>
      </w:pPr>
      <w:bookmarkStart w:name="_bookmark123" w:id="179"/>
      <w:bookmarkEnd w:id="179"/>
      <w:r>
        <w:rPr>
          <w:b w:val="0"/>
        </w:rPr>
      </w:r>
      <w:r>
        <w:rPr/>
        <w:t>Cuadro 14. Daños por erosión de suelos.</w:t>
      </w:r>
    </w:p>
    <w:p>
      <w:pPr>
        <w:pStyle w:val="BodyText"/>
        <w:rPr>
          <w:b/>
          <w:sz w:val="18"/>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815"/>
        <w:gridCol w:w="4376"/>
      </w:tblGrid>
      <w:tr>
        <w:trPr>
          <w:trHeight w:val="355" w:hRule="exact"/>
        </w:trPr>
        <w:tc>
          <w:tcPr>
            <w:tcW w:w="4815" w:type="dxa"/>
            <w:tcBorders>
              <w:left w:val="nil"/>
              <w:right w:val="nil"/>
            </w:tcBorders>
          </w:tcPr>
          <w:p>
            <w:pPr>
              <w:pStyle w:val="TableParagraph"/>
              <w:spacing w:line="291" w:lineRule="exact" w:before="0"/>
              <w:ind w:left="1908" w:right="1840"/>
              <w:jc w:val="center"/>
              <w:rPr>
                <w:sz w:val="26"/>
              </w:rPr>
            </w:pPr>
            <w:r>
              <w:rPr>
                <w:sz w:val="26"/>
              </w:rPr>
              <w:t>Actividad</w:t>
            </w:r>
          </w:p>
        </w:tc>
        <w:tc>
          <w:tcPr>
            <w:tcW w:w="4376" w:type="dxa"/>
            <w:tcBorders>
              <w:left w:val="nil"/>
              <w:right w:val="nil"/>
            </w:tcBorders>
          </w:tcPr>
          <w:p>
            <w:pPr>
              <w:pStyle w:val="TableParagraph"/>
              <w:spacing w:line="291" w:lineRule="exact" w:before="0"/>
              <w:ind w:left="144" w:right="91"/>
              <w:jc w:val="center"/>
              <w:rPr>
                <w:sz w:val="26"/>
              </w:rPr>
            </w:pPr>
            <w:r>
              <w:rPr>
                <w:sz w:val="26"/>
              </w:rPr>
              <w:t>Impacto</w:t>
            </w:r>
          </w:p>
        </w:tc>
      </w:tr>
      <w:tr>
        <w:trPr>
          <w:trHeight w:val="459" w:hRule="exact"/>
        </w:trPr>
        <w:tc>
          <w:tcPr>
            <w:tcW w:w="9191" w:type="dxa"/>
            <w:gridSpan w:val="2"/>
            <w:tcBorders>
              <w:left w:val="nil"/>
              <w:bottom w:val="nil"/>
              <w:right w:val="nil"/>
            </w:tcBorders>
          </w:tcPr>
          <w:p>
            <w:pPr>
              <w:pStyle w:val="TableParagraph"/>
              <w:spacing w:line="291" w:lineRule="exact" w:before="0"/>
              <w:ind w:left="2900"/>
              <w:jc w:val="left"/>
              <w:rPr>
                <w:sz w:val="26"/>
              </w:rPr>
            </w:pPr>
            <w:r>
              <w:rPr>
                <w:sz w:val="26"/>
              </w:rPr>
              <w:t>Pérdidas de terrenos para cultivo</w:t>
            </w:r>
          </w:p>
        </w:tc>
      </w:tr>
      <w:tr>
        <w:trPr>
          <w:trHeight w:val="447" w:hRule="exact"/>
        </w:trPr>
        <w:tc>
          <w:tcPr>
            <w:tcW w:w="4815" w:type="dxa"/>
            <w:tcBorders>
              <w:top w:val="nil"/>
              <w:left w:val="nil"/>
              <w:bottom w:val="nil"/>
              <w:right w:val="nil"/>
            </w:tcBorders>
          </w:tcPr>
          <w:p>
            <w:pPr>
              <w:pStyle w:val="TableParagraph"/>
              <w:spacing w:before="134"/>
              <w:ind w:left="124" w:right="143"/>
              <w:jc w:val="left"/>
              <w:rPr>
                <w:sz w:val="26"/>
              </w:rPr>
            </w:pPr>
            <w:r>
              <w:rPr>
                <w:sz w:val="26"/>
              </w:rPr>
              <w:t>Pérdida de agua, fertilizantes y pesticidas</w:t>
            </w:r>
          </w:p>
        </w:tc>
        <w:tc>
          <w:tcPr>
            <w:tcW w:w="4376" w:type="dxa"/>
            <w:tcBorders>
              <w:top w:val="nil"/>
              <w:left w:val="nil"/>
              <w:bottom w:val="nil"/>
              <w:right w:val="nil"/>
            </w:tcBorders>
          </w:tcPr>
          <w:p>
            <w:pPr/>
          </w:p>
        </w:tc>
      </w:tr>
      <w:tr>
        <w:trPr>
          <w:trHeight w:val="1198" w:hRule="exact"/>
        </w:trPr>
        <w:tc>
          <w:tcPr>
            <w:tcW w:w="4815" w:type="dxa"/>
            <w:tcBorders>
              <w:top w:val="nil"/>
              <w:left w:val="nil"/>
              <w:bottom w:val="nil"/>
              <w:right w:val="nil"/>
            </w:tcBorders>
          </w:tcPr>
          <w:p>
            <w:pPr>
              <w:pStyle w:val="TableParagraph"/>
              <w:spacing w:line="284" w:lineRule="exact" w:before="0"/>
              <w:ind w:left="124" w:right="143"/>
              <w:jc w:val="left"/>
              <w:rPr>
                <w:sz w:val="26"/>
              </w:rPr>
            </w:pPr>
            <w:r>
              <w:rPr>
                <w:sz w:val="26"/>
              </w:rPr>
              <w:t>Pérdida de producción inmediata</w:t>
            </w:r>
          </w:p>
        </w:tc>
        <w:tc>
          <w:tcPr>
            <w:tcW w:w="4376" w:type="dxa"/>
            <w:tcBorders>
              <w:top w:val="nil"/>
              <w:left w:val="nil"/>
              <w:bottom w:val="nil"/>
              <w:right w:val="nil"/>
            </w:tcBorders>
          </w:tcPr>
          <w:p>
            <w:pPr>
              <w:pStyle w:val="TableParagraph"/>
              <w:spacing w:line="242" w:lineRule="auto" w:before="0"/>
              <w:ind w:left="165" w:right="400"/>
              <w:jc w:val="left"/>
              <w:rPr>
                <w:sz w:val="26"/>
              </w:rPr>
            </w:pPr>
            <w:r>
              <w:rPr>
                <w:sz w:val="26"/>
              </w:rPr>
              <w:t>Regional: posible compensación por importaciones</w:t>
            </w:r>
          </w:p>
          <w:p>
            <w:pPr>
              <w:pStyle w:val="TableParagraph"/>
              <w:spacing w:line="298" w:lineRule="exact" w:before="0"/>
              <w:ind w:left="165" w:right="400"/>
              <w:jc w:val="left"/>
              <w:rPr>
                <w:sz w:val="26"/>
              </w:rPr>
            </w:pPr>
            <w:r>
              <w:rPr>
                <w:sz w:val="26"/>
              </w:rPr>
              <w:t>Local: desastre personal para cada agricultor</w:t>
            </w:r>
          </w:p>
        </w:tc>
      </w:tr>
      <w:tr>
        <w:trPr>
          <w:trHeight w:val="2093" w:hRule="exact"/>
        </w:trPr>
        <w:tc>
          <w:tcPr>
            <w:tcW w:w="4815" w:type="dxa"/>
            <w:tcBorders>
              <w:top w:val="nil"/>
              <w:left w:val="nil"/>
              <w:bottom w:val="nil"/>
              <w:right w:val="nil"/>
            </w:tcBorders>
          </w:tcPr>
          <w:p>
            <w:pPr>
              <w:pStyle w:val="TableParagraph"/>
              <w:spacing w:line="286" w:lineRule="exact" w:before="0"/>
              <w:ind w:left="124" w:right="143"/>
              <w:jc w:val="left"/>
              <w:rPr>
                <w:sz w:val="26"/>
              </w:rPr>
            </w:pPr>
            <w:r>
              <w:rPr>
                <w:sz w:val="26"/>
              </w:rPr>
              <w:t>Pérdida de la productividad a largo plazo</w:t>
            </w:r>
          </w:p>
        </w:tc>
        <w:tc>
          <w:tcPr>
            <w:tcW w:w="4376" w:type="dxa"/>
            <w:tcBorders>
              <w:top w:val="nil"/>
              <w:left w:val="nil"/>
              <w:bottom w:val="nil"/>
              <w:right w:val="nil"/>
            </w:tcBorders>
          </w:tcPr>
          <w:p>
            <w:pPr>
              <w:pStyle w:val="TableParagraph"/>
              <w:spacing w:before="0"/>
              <w:ind w:left="165" w:right="335"/>
              <w:jc w:val="left"/>
              <w:rPr>
                <w:sz w:val="26"/>
              </w:rPr>
            </w:pPr>
            <w:r>
              <w:rPr>
                <w:sz w:val="26"/>
              </w:rPr>
              <w:t>Disminución en el espesor de la capa superficial del suelo</w:t>
            </w:r>
          </w:p>
          <w:p>
            <w:pPr>
              <w:pStyle w:val="TableParagraph"/>
              <w:spacing w:before="0"/>
              <w:ind w:left="165" w:right="400"/>
              <w:jc w:val="left"/>
              <w:rPr>
                <w:sz w:val="26"/>
              </w:rPr>
            </w:pPr>
            <w:r>
              <w:rPr>
                <w:sz w:val="26"/>
              </w:rPr>
              <w:t>El almacenamiento de agua y la reducción de nutrientes</w:t>
            </w:r>
          </w:p>
          <w:p>
            <w:pPr>
              <w:pStyle w:val="TableParagraph"/>
              <w:spacing w:before="3"/>
              <w:ind w:left="165" w:right="63"/>
              <w:jc w:val="left"/>
              <w:rPr>
                <w:sz w:val="26"/>
              </w:rPr>
            </w:pPr>
            <w:r>
              <w:rPr>
                <w:sz w:val="26"/>
              </w:rPr>
              <w:t>Disminución de la eficacia de la lluvia Reducción de la rentabilidad = fatiga del suelo</w:t>
            </w:r>
          </w:p>
        </w:tc>
      </w:tr>
      <w:tr>
        <w:trPr>
          <w:trHeight w:val="598" w:hRule="exact"/>
        </w:trPr>
        <w:tc>
          <w:tcPr>
            <w:tcW w:w="4815" w:type="dxa"/>
            <w:tcBorders>
              <w:top w:val="nil"/>
              <w:left w:val="nil"/>
              <w:bottom w:val="nil"/>
              <w:right w:val="nil"/>
            </w:tcBorders>
          </w:tcPr>
          <w:p>
            <w:pPr>
              <w:pStyle w:val="TableParagraph"/>
              <w:spacing w:line="286" w:lineRule="exact" w:before="0"/>
              <w:ind w:left="124" w:right="143"/>
              <w:jc w:val="left"/>
              <w:rPr>
                <w:sz w:val="26"/>
              </w:rPr>
            </w:pPr>
            <w:r>
              <w:rPr>
                <w:sz w:val="26"/>
              </w:rPr>
              <w:t>Sedimentación de embalses</w:t>
            </w:r>
          </w:p>
        </w:tc>
        <w:tc>
          <w:tcPr>
            <w:tcW w:w="4376" w:type="dxa"/>
            <w:tcBorders>
              <w:top w:val="nil"/>
              <w:left w:val="nil"/>
              <w:bottom w:val="nil"/>
              <w:right w:val="nil"/>
            </w:tcBorders>
          </w:tcPr>
          <w:p>
            <w:pPr>
              <w:pStyle w:val="TableParagraph"/>
              <w:spacing w:before="0"/>
              <w:ind w:left="165" w:right="400"/>
              <w:jc w:val="left"/>
              <w:rPr>
                <w:sz w:val="26"/>
              </w:rPr>
            </w:pPr>
            <w:r>
              <w:rPr>
                <w:sz w:val="26"/>
              </w:rPr>
              <w:t>Disminución de la disponibilidad de agua para riego, azolvamiento</w:t>
            </w:r>
          </w:p>
        </w:tc>
      </w:tr>
      <w:tr>
        <w:trPr>
          <w:trHeight w:val="449" w:hRule="exact"/>
        </w:trPr>
        <w:tc>
          <w:tcPr>
            <w:tcW w:w="9191" w:type="dxa"/>
            <w:gridSpan w:val="2"/>
            <w:tcBorders>
              <w:top w:val="nil"/>
              <w:left w:val="nil"/>
              <w:bottom w:val="nil"/>
              <w:right w:val="nil"/>
            </w:tcBorders>
          </w:tcPr>
          <w:p>
            <w:pPr>
              <w:pStyle w:val="TableParagraph"/>
              <w:spacing w:line="284" w:lineRule="exact" w:before="0"/>
              <w:ind w:left="2228"/>
              <w:jc w:val="left"/>
              <w:rPr>
                <w:i/>
                <w:sz w:val="26"/>
              </w:rPr>
            </w:pPr>
            <w:r>
              <w:rPr>
                <w:i/>
                <w:sz w:val="26"/>
              </w:rPr>
              <w:t>Afectaciones para los habitantes de la ciudad</w:t>
            </w:r>
          </w:p>
        </w:tc>
      </w:tr>
      <w:tr>
        <w:trPr>
          <w:trHeight w:val="747" w:hRule="exact"/>
        </w:trPr>
        <w:tc>
          <w:tcPr>
            <w:tcW w:w="4815" w:type="dxa"/>
            <w:tcBorders>
              <w:top w:val="nil"/>
              <w:left w:val="nil"/>
              <w:bottom w:val="nil"/>
              <w:right w:val="nil"/>
            </w:tcBorders>
          </w:tcPr>
          <w:p>
            <w:pPr>
              <w:pStyle w:val="TableParagraph"/>
              <w:spacing w:before="136"/>
              <w:ind w:left="124" w:right="143"/>
              <w:jc w:val="left"/>
              <w:rPr>
                <w:sz w:val="26"/>
              </w:rPr>
            </w:pPr>
            <w:r>
              <w:rPr>
                <w:sz w:val="26"/>
              </w:rPr>
              <w:t>La degradación de la calidad del agua</w:t>
            </w:r>
          </w:p>
        </w:tc>
        <w:tc>
          <w:tcPr>
            <w:tcW w:w="4376" w:type="dxa"/>
            <w:tcBorders>
              <w:top w:val="nil"/>
              <w:left w:val="nil"/>
              <w:bottom w:val="nil"/>
              <w:right w:val="nil"/>
            </w:tcBorders>
          </w:tcPr>
          <w:p>
            <w:pPr>
              <w:pStyle w:val="TableParagraph"/>
              <w:spacing w:before="136"/>
              <w:ind w:left="165" w:right="63"/>
              <w:jc w:val="left"/>
              <w:rPr>
                <w:sz w:val="26"/>
              </w:rPr>
            </w:pPr>
            <w:r>
              <w:rPr>
                <w:sz w:val="26"/>
              </w:rPr>
              <w:t>Contaminación de los ríos, muerte de peces</w:t>
            </w:r>
          </w:p>
        </w:tc>
      </w:tr>
      <w:tr>
        <w:trPr>
          <w:trHeight w:val="300" w:hRule="exact"/>
        </w:trPr>
        <w:tc>
          <w:tcPr>
            <w:tcW w:w="4815" w:type="dxa"/>
            <w:tcBorders>
              <w:top w:val="nil"/>
              <w:left w:val="nil"/>
              <w:bottom w:val="nil"/>
              <w:right w:val="nil"/>
            </w:tcBorders>
          </w:tcPr>
          <w:p>
            <w:pPr>
              <w:pStyle w:val="TableParagraph"/>
              <w:spacing w:line="284" w:lineRule="exact" w:before="0"/>
              <w:ind w:left="124" w:right="143"/>
              <w:jc w:val="left"/>
              <w:rPr>
                <w:sz w:val="26"/>
              </w:rPr>
            </w:pPr>
            <w:r>
              <w:rPr>
                <w:sz w:val="26"/>
              </w:rPr>
              <w:t>El aumento de los sólidos en suspensión</w:t>
            </w:r>
          </w:p>
        </w:tc>
        <w:tc>
          <w:tcPr>
            <w:tcW w:w="4376" w:type="dxa"/>
            <w:tcBorders>
              <w:top w:val="nil"/>
              <w:left w:val="nil"/>
              <w:bottom w:val="nil"/>
              <w:right w:val="nil"/>
            </w:tcBorders>
          </w:tcPr>
          <w:p>
            <w:pPr>
              <w:pStyle w:val="TableParagraph"/>
              <w:spacing w:line="284" w:lineRule="exact" w:before="0"/>
              <w:ind w:left="144" w:right="177"/>
              <w:jc w:val="center"/>
              <w:rPr>
                <w:sz w:val="26"/>
              </w:rPr>
            </w:pPr>
            <w:r>
              <w:rPr>
                <w:sz w:val="26"/>
              </w:rPr>
              <w:t>Aumento en el precio del agua potable</w:t>
            </w:r>
          </w:p>
        </w:tc>
      </w:tr>
      <w:tr>
        <w:trPr>
          <w:trHeight w:val="896" w:hRule="exact"/>
        </w:trPr>
        <w:tc>
          <w:tcPr>
            <w:tcW w:w="4815" w:type="dxa"/>
            <w:tcBorders>
              <w:top w:val="nil"/>
              <w:left w:val="nil"/>
              <w:bottom w:val="nil"/>
              <w:right w:val="nil"/>
            </w:tcBorders>
          </w:tcPr>
          <w:p>
            <w:pPr>
              <w:pStyle w:val="TableParagraph"/>
              <w:spacing w:line="286" w:lineRule="exact" w:before="0"/>
              <w:ind w:left="124" w:right="143"/>
              <w:jc w:val="left"/>
              <w:rPr>
                <w:sz w:val="26"/>
              </w:rPr>
            </w:pPr>
            <w:r>
              <w:rPr>
                <w:sz w:val="26"/>
              </w:rPr>
              <w:t>La inundación de zonas habitadas</w:t>
            </w:r>
          </w:p>
        </w:tc>
        <w:tc>
          <w:tcPr>
            <w:tcW w:w="4376" w:type="dxa"/>
            <w:tcBorders>
              <w:top w:val="nil"/>
              <w:left w:val="nil"/>
              <w:bottom w:val="nil"/>
              <w:right w:val="nil"/>
            </w:tcBorders>
          </w:tcPr>
          <w:p>
            <w:pPr>
              <w:pStyle w:val="TableParagraph"/>
              <w:spacing w:before="0"/>
              <w:ind w:left="165" w:right="400"/>
              <w:jc w:val="left"/>
              <w:rPr>
                <w:sz w:val="26"/>
              </w:rPr>
            </w:pPr>
            <w:r>
              <w:rPr>
                <w:sz w:val="26"/>
              </w:rPr>
              <w:t>Flujos de lodo, zanjas cenagosas, sedimentos de carreteras y zonas urbanas, azolvamiento de drenajes</w:t>
            </w:r>
          </w:p>
        </w:tc>
      </w:tr>
      <w:tr>
        <w:trPr>
          <w:trHeight w:val="597" w:hRule="exact"/>
        </w:trPr>
        <w:tc>
          <w:tcPr>
            <w:tcW w:w="4815" w:type="dxa"/>
            <w:tcBorders>
              <w:top w:val="nil"/>
              <w:left w:val="nil"/>
              <w:right w:val="nil"/>
            </w:tcBorders>
          </w:tcPr>
          <w:p>
            <w:pPr>
              <w:pStyle w:val="TableParagraph"/>
              <w:spacing w:line="242" w:lineRule="auto" w:before="0"/>
              <w:ind w:left="124" w:right="143"/>
              <w:jc w:val="left"/>
              <w:rPr>
                <w:sz w:val="26"/>
              </w:rPr>
            </w:pPr>
            <w:r>
              <w:rPr>
                <w:sz w:val="26"/>
              </w:rPr>
              <w:t>El aumento de los caudales máximos de los ríos</w:t>
            </w:r>
          </w:p>
        </w:tc>
        <w:tc>
          <w:tcPr>
            <w:tcW w:w="4376" w:type="dxa"/>
            <w:tcBorders>
              <w:top w:val="nil"/>
              <w:left w:val="nil"/>
              <w:right w:val="nil"/>
            </w:tcBorders>
          </w:tcPr>
          <w:p>
            <w:pPr>
              <w:pStyle w:val="TableParagraph"/>
              <w:spacing w:line="242" w:lineRule="auto" w:before="0"/>
              <w:ind w:left="165" w:right="444"/>
              <w:jc w:val="left"/>
              <w:rPr>
                <w:sz w:val="26"/>
              </w:rPr>
            </w:pPr>
            <w:r>
              <w:rPr>
                <w:sz w:val="26"/>
              </w:rPr>
              <w:t>Destrucción de estructuras, puentes, etc.</w:t>
            </w:r>
          </w:p>
        </w:tc>
      </w:tr>
    </w:tbl>
    <w:p>
      <w:pPr>
        <w:spacing w:line="244" w:lineRule="exact" w:before="0"/>
        <w:ind w:left="255" w:right="255" w:firstLine="0"/>
        <w:jc w:val="center"/>
        <w:rPr>
          <w:sz w:val="22"/>
        </w:rPr>
      </w:pPr>
      <w:r>
        <w:rPr>
          <w:sz w:val="22"/>
        </w:rPr>
        <w:t>Fuente: Elaboración propia, 2014.</w:t>
      </w:r>
    </w:p>
    <w:p>
      <w:pPr>
        <w:spacing w:after="0" w:line="244" w:lineRule="exact"/>
        <w:jc w:val="center"/>
        <w:rPr>
          <w:sz w:val="22"/>
        </w:rPr>
        <w:sectPr>
          <w:footerReference w:type="default" r:id="rId176"/>
          <w:pgSz w:w="12240" w:h="15840"/>
          <w:pgMar w:footer="1473" w:header="0" w:top="1400" w:bottom="1660" w:left="1300" w:right="1300"/>
          <w:pgNumType w:start="144"/>
        </w:sectPr>
      </w:pPr>
    </w:p>
    <w:p>
      <w:pPr>
        <w:pStyle w:val="BodyText"/>
        <w:spacing w:line="360" w:lineRule="auto" w:before="49"/>
        <w:ind w:left="116" w:right="116"/>
        <w:jc w:val="both"/>
      </w:pPr>
      <w:r>
        <w:rPr/>
        <w:t>Cotler y otros, (2007) afirman que las metodologías económicas convencionales para evaluar los costos asociados a la pérdida de suelos por actividad agrícola presentan una amplia complejidad en su implementación, debido principalmente a tres elementos  clave:</w:t>
      </w:r>
    </w:p>
    <w:p>
      <w:pPr>
        <w:pStyle w:val="BodyText"/>
        <w:spacing w:line="360" w:lineRule="auto" w:before="8"/>
        <w:ind w:left="116" w:right="109"/>
        <w:jc w:val="both"/>
      </w:pPr>
      <w:r>
        <w:rPr/>
        <w:t>a) temporalidad: la tasa de erosión del suelo agrícola es un fenómeno temporal, que afecta negativamente</w:t>
      </w:r>
      <w:r>
        <w:rPr>
          <w:spacing w:val="-12"/>
        </w:rPr>
        <w:t> </w:t>
      </w:r>
      <w:r>
        <w:rPr/>
        <w:t>las</w:t>
      </w:r>
      <w:r>
        <w:rPr>
          <w:spacing w:val="-12"/>
        </w:rPr>
        <w:t> </w:t>
      </w:r>
      <w:r>
        <w:rPr/>
        <w:t>condiciones</w:t>
      </w:r>
      <w:r>
        <w:rPr>
          <w:spacing w:val="-12"/>
        </w:rPr>
        <w:t> </w:t>
      </w:r>
      <w:r>
        <w:rPr/>
        <w:t>futuras</w:t>
      </w:r>
      <w:r>
        <w:rPr>
          <w:spacing w:val="-12"/>
        </w:rPr>
        <w:t> </w:t>
      </w:r>
      <w:r>
        <w:rPr/>
        <w:t>de</w:t>
      </w:r>
      <w:r>
        <w:rPr>
          <w:spacing w:val="-16"/>
        </w:rPr>
        <w:t> </w:t>
      </w:r>
      <w:r>
        <w:rPr/>
        <w:t>producción;</w:t>
      </w:r>
      <w:r>
        <w:rPr>
          <w:spacing w:val="-12"/>
        </w:rPr>
        <w:t> </w:t>
      </w:r>
      <w:r>
        <w:rPr/>
        <w:t>b)</w:t>
      </w:r>
      <w:r>
        <w:rPr>
          <w:spacing w:val="-11"/>
        </w:rPr>
        <w:t> </w:t>
      </w:r>
      <w:r>
        <w:rPr/>
        <w:t>espacio:</w:t>
      </w:r>
      <w:r>
        <w:rPr>
          <w:spacing w:val="-16"/>
        </w:rPr>
        <w:t> </w:t>
      </w:r>
      <w:r>
        <w:rPr/>
        <w:t>los</w:t>
      </w:r>
      <w:r>
        <w:rPr>
          <w:spacing w:val="-12"/>
        </w:rPr>
        <w:t> </w:t>
      </w:r>
      <w:r>
        <w:rPr/>
        <w:t>impactos</w:t>
      </w:r>
      <w:r>
        <w:rPr>
          <w:spacing w:val="-12"/>
        </w:rPr>
        <w:t> </w:t>
      </w:r>
      <w:r>
        <w:rPr/>
        <w:t>de</w:t>
      </w:r>
      <w:r>
        <w:rPr>
          <w:spacing w:val="-12"/>
        </w:rPr>
        <w:t> </w:t>
      </w:r>
      <w:r>
        <w:rPr/>
        <w:t>la</w:t>
      </w:r>
      <w:r>
        <w:rPr>
          <w:spacing w:val="-16"/>
        </w:rPr>
        <w:t> </w:t>
      </w:r>
      <w:r>
        <w:rPr/>
        <w:t>erosión se manifiestan tanto in situ como off situ, y pueden ser difícilmente observables; c) institucional: aun suponiendo que es posible identificar y evaluar económicamente los costos de la erosión y de las medidas de conservación, la ausencia de esquemas institucionales que establezcan incentivos adecuados para balancearlos puede generar que la tasa de erosión óptima privada sea superior a la tasa óptima social. Esto puede ocurrir, por ejemplo, cuando los productores agrícolas toman en cuenta el total de los impactos in situ pero ignoran los impactos off</w:t>
      </w:r>
      <w:r>
        <w:rPr>
          <w:spacing w:val="-8"/>
        </w:rPr>
        <w:t> </w:t>
      </w:r>
      <w:r>
        <w:rPr/>
        <w:t>situ.</w:t>
      </w:r>
    </w:p>
    <w:p>
      <w:pPr>
        <w:pStyle w:val="BodyText"/>
        <w:spacing w:line="360" w:lineRule="auto" w:before="205"/>
        <w:ind w:left="116" w:right="110"/>
        <w:jc w:val="both"/>
      </w:pPr>
      <w:r>
        <w:rPr/>
        <w:t>Para el caso de México, los autores afirman que en relación con la superficie total de maíz blanco</w:t>
      </w:r>
      <w:r>
        <w:rPr>
          <w:spacing w:val="-6"/>
        </w:rPr>
        <w:t> </w:t>
      </w:r>
      <w:r>
        <w:rPr/>
        <w:t>de</w:t>
      </w:r>
      <w:r>
        <w:rPr>
          <w:spacing w:val="-6"/>
        </w:rPr>
        <w:t> </w:t>
      </w:r>
      <w:r>
        <w:rPr/>
        <w:t>temporal</w:t>
      </w:r>
      <w:r>
        <w:rPr>
          <w:spacing w:val="-6"/>
        </w:rPr>
        <w:t> </w:t>
      </w:r>
      <w:r>
        <w:rPr/>
        <w:t>a</w:t>
      </w:r>
      <w:r>
        <w:rPr>
          <w:spacing w:val="-6"/>
        </w:rPr>
        <w:t> </w:t>
      </w:r>
      <w:r>
        <w:rPr/>
        <w:t>nivel</w:t>
      </w:r>
      <w:r>
        <w:rPr>
          <w:spacing w:val="-5"/>
        </w:rPr>
        <w:t> </w:t>
      </w:r>
      <w:r>
        <w:rPr/>
        <w:t>nacional,</w:t>
      </w:r>
      <w:r>
        <w:rPr>
          <w:spacing w:val="-3"/>
        </w:rPr>
        <w:t> </w:t>
      </w:r>
      <w:r>
        <w:rPr/>
        <w:t>este</w:t>
      </w:r>
      <w:r>
        <w:rPr>
          <w:spacing w:val="-6"/>
        </w:rPr>
        <w:t> </w:t>
      </w:r>
      <w:r>
        <w:rPr/>
        <w:t>costo</w:t>
      </w:r>
      <w:r>
        <w:rPr>
          <w:spacing w:val="-6"/>
        </w:rPr>
        <w:t> </w:t>
      </w:r>
      <w:r>
        <w:rPr/>
        <w:t>sería</w:t>
      </w:r>
      <w:r>
        <w:rPr>
          <w:spacing w:val="-6"/>
        </w:rPr>
        <w:t> </w:t>
      </w:r>
      <w:r>
        <w:rPr/>
        <w:t>de</w:t>
      </w:r>
      <w:r>
        <w:rPr>
          <w:spacing w:val="-6"/>
        </w:rPr>
        <w:t> </w:t>
      </w:r>
      <w:r>
        <w:rPr/>
        <w:t>4.2</w:t>
      </w:r>
      <w:r>
        <w:rPr>
          <w:spacing w:val="-6"/>
        </w:rPr>
        <w:t> </w:t>
      </w:r>
      <w:r>
        <w:rPr/>
        <w:t>a</w:t>
      </w:r>
      <w:r>
        <w:rPr>
          <w:spacing w:val="-11"/>
        </w:rPr>
        <w:t> </w:t>
      </w:r>
      <w:r>
        <w:rPr/>
        <w:t>7.2%</w:t>
      </w:r>
      <w:r>
        <w:rPr>
          <w:spacing w:val="-11"/>
        </w:rPr>
        <w:t> </w:t>
      </w:r>
      <w:r>
        <w:rPr/>
        <w:t>del</w:t>
      </w:r>
      <w:r>
        <w:rPr>
          <w:spacing w:val="-6"/>
        </w:rPr>
        <w:t> </w:t>
      </w:r>
      <w:r>
        <w:rPr/>
        <w:t>valor</w:t>
      </w:r>
      <w:r>
        <w:rPr>
          <w:spacing w:val="-6"/>
        </w:rPr>
        <w:t> </w:t>
      </w:r>
      <w:r>
        <w:rPr/>
        <w:t>de</w:t>
      </w:r>
      <w:r>
        <w:rPr>
          <w:spacing w:val="-3"/>
        </w:rPr>
        <w:t> </w:t>
      </w:r>
      <w:r>
        <w:rPr/>
        <w:t>producción, lo cual representa del 48 al 51% del monto entregado por PROCAMPO. Este análisis no enfatiza el valor del servicio ambiental del suelo, sino que da una idea de su valor in situ, por lo que dichas cifras subrayan la gravedad de la erosión del suelo en México como </w:t>
      </w:r>
      <w:r>
        <w:rPr>
          <w:spacing w:val="4"/>
        </w:rPr>
        <w:t>un </w:t>
      </w:r>
      <w:r>
        <w:rPr/>
        <w:t>obstáculo para la sostenibilidad financiera de las familias</w:t>
      </w:r>
      <w:r>
        <w:rPr>
          <w:spacing w:val="-8"/>
        </w:rPr>
        <w:t> </w:t>
      </w:r>
      <w:r>
        <w:rPr/>
        <w:t>rurales.</w:t>
      </w:r>
    </w:p>
    <w:p>
      <w:pPr>
        <w:pStyle w:val="BodyText"/>
        <w:spacing w:line="360" w:lineRule="auto" w:before="205"/>
        <w:ind w:left="116" w:right="108"/>
        <w:jc w:val="both"/>
      </w:pPr>
      <w:r>
        <w:rPr/>
        <w:t>La cuenca El Tejocote que pertenece al Distrito Atlacomulco, Estado de México se ha caracterizado por ir incrementando su superficie sembrada a través de los años, desde el año 2011 hasta el 2013 la superficie sembrada incrementó en casi 4 Ha y la cosechada en más de 10 Ha, lo cual indica buenas condiciones agrícolas, no obstante se deja entrever el constante cambio de uso del suelo, esto se puede apreciar en el Cuadro 15</w:t>
      </w:r>
    </w:p>
    <w:p>
      <w:pPr>
        <w:spacing w:after="0" w:line="360" w:lineRule="auto"/>
        <w:jc w:val="both"/>
        <w:sectPr>
          <w:pgSz w:w="12240" w:h="15840"/>
          <w:pgMar w:header="0" w:footer="1473" w:top="1360" w:bottom="1660" w:left="1300" w:right="1300"/>
        </w:sectPr>
      </w:pPr>
    </w:p>
    <w:p>
      <w:pPr>
        <w:pStyle w:val="Heading1"/>
        <w:spacing w:before="49"/>
        <w:ind w:left="1321" w:right="118"/>
      </w:pPr>
      <w:bookmarkStart w:name="_bookmark124" w:id="180"/>
      <w:bookmarkEnd w:id="180"/>
      <w:r>
        <w:rPr>
          <w:b w:val="0"/>
        </w:rPr>
      </w:r>
      <w:r>
        <w:rPr/>
        <w:t>Cuadro 15. Cierre de producción municipal, 2013, 2012 y 2011.</w:t>
      </w:r>
    </w:p>
    <w:p>
      <w:pPr>
        <w:pStyle w:val="BodyText"/>
        <w:rPr>
          <w:b/>
          <w:sz w:val="18"/>
        </w:rPr>
      </w:pPr>
    </w:p>
    <w:tbl>
      <w:tblPr>
        <w:tblW w:w="0" w:type="auto"/>
        <w:jc w:val="left"/>
        <w:tblInd w:w="4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12"/>
        <w:gridCol w:w="1933"/>
        <w:gridCol w:w="1815"/>
        <w:gridCol w:w="1803"/>
        <w:gridCol w:w="1834"/>
      </w:tblGrid>
      <w:tr>
        <w:trPr>
          <w:trHeight w:val="793" w:hRule="exact"/>
        </w:trPr>
        <w:tc>
          <w:tcPr>
            <w:tcW w:w="1412" w:type="dxa"/>
            <w:tcBorders>
              <w:left w:val="nil"/>
              <w:right w:val="nil"/>
            </w:tcBorders>
          </w:tcPr>
          <w:p>
            <w:pPr>
              <w:pStyle w:val="TableParagraph"/>
              <w:spacing w:line="244" w:lineRule="exact" w:before="0"/>
              <w:ind w:right="387"/>
              <w:rPr>
                <w:sz w:val="22"/>
              </w:rPr>
            </w:pPr>
            <w:r>
              <w:rPr>
                <w:sz w:val="22"/>
              </w:rPr>
              <w:t>Año</w:t>
            </w:r>
          </w:p>
        </w:tc>
        <w:tc>
          <w:tcPr>
            <w:tcW w:w="1933" w:type="dxa"/>
            <w:tcBorders>
              <w:left w:val="nil"/>
              <w:right w:val="nil"/>
            </w:tcBorders>
          </w:tcPr>
          <w:p>
            <w:pPr>
              <w:pStyle w:val="TableParagraph"/>
              <w:spacing w:line="244" w:lineRule="exact" w:before="0"/>
              <w:ind w:right="332"/>
              <w:rPr>
                <w:sz w:val="22"/>
              </w:rPr>
            </w:pPr>
            <w:r>
              <w:rPr>
                <w:sz w:val="22"/>
              </w:rPr>
              <w:t>Municipio</w:t>
            </w:r>
          </w:p>
        </w:tc>
        <w:tc>
          <w:tcPr>
            <w:tcW w:w="1815" w:type="dxa"/>
            <w:tcBorders>
              <w:left w:val="nil"/>
              <w:right w:val="nil"/>
            </w:tcBorders>
          </w:tcPr>
          <w:p>
            <w:pPr>
              <w:pStyle w:val="TableParagraph"/>
              <w:spacing w:line="278" w:lineRule="auto" w:before="0"/>
              <w:ind w:left="780" w:right="148" w:hanging="466"/>
              <w:jc w:val="left"/>
              <w:rPr>
                <w:sz w:val="22"/>
              </w:rPr>
            </w:pPr>
            <w:r>
              <w:rPr>
                <w:sz w:val="22"/>
              </w:rPr>
              <w:t>Sup. Sembrada (Ha)</w:t>
            </w:r>
          </w:p>
        </w:tc>
        <w:tc>
          <w:tcPr>
            <w:tcW w:w="1803" w:type="dxa"/>
            <w:tcBorders>
              <w:left w:val="nil"/>
              <w:right w:val="nil"/>
            </w:tcBorders>
          </w:tcPr>
          <w:p>
            <w:pPr>
              <w:pStyle w:val="TableParagraph"/>
              <w:spacing w:line="278" w:lineRule="auto" w:before="0"/>
              <w:ind w:left="751" w:hanging="500"/>
              <w:jc w:val="left"/>
              <w:rPr>
                <w:sz w:val="22"/>
              </w:rPr>
            </w:pPr>
            <w:r>
              <w:rPr>
                <w:sz w:val="22"/>
              </w:rPr>
              <w:t>Sup. Cosechada (Ha)</w:t>
            </w:r>
          </w:p>
        </w:tc>
        <w:tc>
          <w:tcPr>
            <w:tcW w:w="1834" w:type="dxa"/>
            <w:tcBorders>
              <w:left w:val="nil"/>
              <w:right w:val="nil"/>
            </w:tcBorders>
          </w:tcPr>
          <w:p>
            <w:pPr>
              <w:pStyle w:val="TableParagraph"/>
              <w:spacing w:line="278" w:lineRule="auto" w:before="0"/>
              <w:ind w:left="225" w:right="101" w:hanging="58"/>
              <w:jc w:val="left"/>
              <w:rPr>
                <w:sz w:val="22"/>
              </w:rPr>
            </w:pPr>
            <w:r>
              <w:rPr>
                <w:sz w:val="22"/>
              </w:rPr>
              <w:t>Valor producción (miles de pesos)</w:t>
            </w:r>
          </w:p>
        </w:tc>
      </w:tr>
      <w:tr>
        <w:trPr>
          <w:trHeight w:val="600" w:hRule="exact"/>
        </w:trPr>
        <w:tc>
          <w:tcPr>
            <w:tcW w:w="1412" w:type="dxa"/>
            <w:tcBorders>
              <w:left w:val="nil"/>
              <w:bottom w:val="nil"/>
              <w:right w:val="nil"/>
            </w:tcBorders>
          </w:tcPr>
          <w:p>
            <w:pPr/>
          </w:p>
        </w:tc>
        <w:tc>
          <w:tcPr>
            <w:tcW w:w="1933" w:type="dxa"/>
            <w:tcBorders>
              <w:left w:val="nil"/>
              <w:bottom w:val="nil"/>
              <w:right w:val="nil"/>
            </w:tcBorders>
          </w:tcPr>
          <w:p>
            <w:pPr>
              <w:pStyle w:val="TableParagraph"/>
              <w:spacing w:line="278" w:lineRule="auto" w:before="0"/>
              <w:ind w:left="360" w:right="71"/>
              <w:jc w:val="left"/>
              <w:rPr>
                <w:sz w:val="22"/>
              </w:rPr>
            </w:pPr>
            <w:r>
              <w:rPr>
                <w:sz w:val="22"/>
              </w:rPr>
              <w:t>Acambay de Ruíz Castañeda</w:t>
            </w:r>
          </w:p>
        </w:tc>
        <w:tc>
          <w:tcPr>
            <w:tcW w:w="1815" w:type="dxa"/>
            <w:tcBorders>
              <w:left w:val="nil"/>
              <w:bottom w:val="nil"/>
              <w:right w:val="nil"/>
            </w:tcBorders>
          </w:tcPr>
          <w:p>
            <w:pPr>
              <w:pStyle w:val="TableParagraph"/>
              <w:spacing w:line="244" w:lineRule="exact" w:before="0"/>
              <w:ind w:left="203" w:right="148"/>
              <w:jc w:val="left"/>
              <w:rPr>
                <w:sz w:val="22"/>
              </w:rPr>
            </w:pPr>
            <w:r>
              <w:rPr>
                <w:sz w:val="22"/>
              </w:rPr>
              <w:t>21,080.00</w:t>
            </w:r>
          </w:p>
        </w:tc>
        <w:tc>
          <w:tcPr>
            <w:tcW w:w="1803" w:type="dxa"/>
            <w:tcBorders>
              <w:left w:val="nil"/>
              <w:bottom w:val="nil"/>
              <w:right w:val="nil"/>
            </w:tcBorders>
          </w:tcPr>
          <w:p>
            <w:pPr>
              <w:pStyle w:val="TableParagraph"/>
              <w:spacing w:line="244" w:lineRule="exact" w:before="0"/>
              <w:ind w:left="170"/>
              <w:jc w:val="left"/>
              <w:rPr>
                <w:sz w:val="22"/>
              </w:rPr>
            </w:pPr>
            <w:r>
              <w:rPr>
                <w:sz w:val="22"/>
              </w:rPr>
              <w:t>21,080.00</w:t>
            </w:r>
          </w:p>
        </w:tc>
        <w:tc>
          <w:tcPr>
            <w:tcW w:w="1834" w:type="dxa"/>
            <w:tcBorders>
              <w:left w:val="nil"/>
              <w:bottom w:val="nil"/>
              <w:right w:val="nil"/>
            </w:tcBorders>
          </w:tcPr>
          <w:p>
            <w:pPr>
              <w:pStyle w:val="TableParagraph"/>
              <w:spacing w:line="244" w:lineRule="exact" w:before="0"/>
              <w:ind w:left="153" w:right="101"/>
              <w:jc w:val="left"/>
              <w:rPr>
                <w:sz w:val="22"/>
              </w:rPr>
            </w:pPr>
            <w:r>
              <w:rPr>
                <w:sz w:val="22"/>
              </w:rPr>
              <w:t>259,907.88</w:t>
            </w:r>
          </w:p>
        </w:tc>
      </w:tr>
      <w:tr>
        <w:trPr>
          <w:trHeight w:val="564" w:hRule="exact"/>
        </w:trPr>
        <w:tc>
          <w:tcPr>
            <w:tcW w:w="1412" w:type="dxa"/>
            <w:tcBorders>
              <w:top w:val="nil"/>
              <w:left w:val="nil"/>
              <w:bottom w:val="nil"/>
              <w:right w:val="nil"/>
            </w:tcBorders>
          </w:tcPr>
          <w:p>
            <w:pPr>
              <w:pStyle w:val="TableParagraph"/>
              <w:spacing w:before="34"/>
              <w:ind w:right="358"/>
              <w:rPr>
                <w:sz w:val="22"/>
              </w:rPr>
            </w:pPr>
            <w:r>
              <w:rPr>
                <w:sz w:val="22"/>
              </w:rPr>
              <w:t>2013</w:t>
            </w:r>
          </w:p>
        </w:tc>
        <w:tc>
          <w:tcPr>
            <w:tcW w:w="1933" w:type="dxa"/>
            <w:tcBorders>
              <w:top w:val="nil"/>
              <w:left w:val="nil"/>
              <w:bottom w:val="nil"/>
              <w:right w:val="nil"/>
            </w:tcBorders>
          </w:tcPr>
          <w:p>
            <w:pPr>
              <w:pStyle w:val="TableParagraph"/>
              <w:spacing w:before="178"/>
              <w:ind w:left="360" w:right="71"/>
              <w:jc w:val="left"/>
              <w:rPr>
                <w:sz w:val="22"/>
              </w:rPr>
            </w:pPr>
            <w:r>
              <w:rPr>
                <w:sz w:val="22"/>
              </w:rPr>
              <w:t>Atlacomulco</w:t>
            </w:r>
          </w:p>
        </w:tc>
        <w:tc>
          <w:tcPr>
            <w:tcW w:w="1815" w:type="dxa"/>
            <w:tcBorders>
              <w:top w:val="nil"/>
              <w:left w:val="nil"/>
              <w:bottom w:val="nil"/>
              <w:right w:val="nil"/>
            </w:tcBorders>
          </w:tcPr>
          <w:p>
            <w:pPr>
              <w:pStyle w:val="TableParagraph"/>
              <w:spacing w:before="178"/>
              <w:ind w:left="203" w:right="148"/>
              <w:jc w:val="left"/>
              <w:rPr>
                <w:sz w:val="22"/>
              </w:rPr>
            </w:pPr>
            <w:r>
              <w:rPr>
                <w:sz w:val="22"/>
              </w:rPr>
              <w:t>14,129.90</w:t>
            </w:r>
          </w:p>
        </w:tc>
        <w:tc>
          <w:tcPr>
            <w:tcW w:w="1803" w:type="dxa"/>
            <w:tcBorders>
              <w:top w:val="nil"/>
              <w:left w:val="nil"/>
              <w:bottom w:val="nil"/>
              <w:right w:val="nil"/>
            </w:tcBorders>
          </w:tcPr>
          <w:p>
            <w:pPr>
              <w:pStyle w:val="TableParagraph"/>
              <w:spacing w:before="178"/>
              <w:ind w:left="170"/>
              <w:jc w:val="left"/>
              <w:rPr>
                <w:sz w:val="22"/>
              </w:rPr>
            </w:pPr>
            <w:r>
              <w:rPr>
                <w:sz w:val="22"/>
              </w:rPr>
              <w:t>13,901.40</w:t>
            </w:r>
          </w:p>
        </w:tc>
        <w:tc>
          <w:tcPr>
            <w:tcW w:w="1834" w:type="dxa"/>
            <w:tcBorders>
              <w:top w:val="nil"/>
              <w:left w:val="nil"/>
              <w:bottom w:val="nil"/>
              <w:right w:val="nil"/>
            </w:tcBorders>
          </w:tcPr>
          <w:p>
            <w:pPr>
              <w:pStyle w:val="TableParagraph"/>
              <w:spacing w:before="178"/>
              <w:ind w:left="153" w:right="101"/>
              <w:jc w:val="left"/>
              <w:rPr>
                <w:sz w:val="22"/>
              </w:rPr>
            </w:pPr>
            <w:r>
              <w:rPr>
                <w:sz w:val="22"/>
              </w:rPr>
              <w:t>576,751.06</w:t>
            </w:r>
          </w:p>
        </w:tc>
      </w:tr>
      <w:tr>
        <w:trPr>
          <w:trHeight w:val="492" w:hRule="exact"/>
        </w:trPr>
        <w:tc>
          <w:tcPr>
            <w:tcW w:w="1412" w:type="dxa"/>
            <w:tcBorders>
              <w:top w:val="nil"/>
              <w:left w:val="nil"/>
              <w:bottom w:val="nil"/>
              <w:right w:val="nil"/>
            </w:tcBorders>
          </w:tcPr>
          <w:p>
            <w:pPr/>
          </w:p>
        </w:tc>
        <w:tc>
          <w:tcPr>
            <w:tcW w:w="1933" w:type="dxa"/>
            <w:tcBorders>
              <w:top w:val="nil"/>
              <w:left w:val="nil"/>
              <w:bottom w:val="nil"/>
              <w:right w:val="nil"/>
            </w:tcBorders>
          </w:tcPr>
          <w:p>
            <w:pPr>
              <w:pStyle w:val="TableParagraph"/>
              <w:spacing w:before="109"/>
              <w:ind w:right="242"/>
              <w:rPr>
                <w:sz w:val="22"/>
              </w:rPr>
            </w:pPr>
            <w:r>
              <w:rPr>
                <w:sz w:val="22"/>
              </w:rPr>
              <w:t>Temascalcingo</w:t>
            </w:r>
          </w:p>
        </w:tc>
        <w:tc>
          <w:tcPr>
            <w:tcW w:w="1815" w:type="dxa"/>
            <w:tcBorders>
              <w:top w:val="nil"/>
              <w:left w:val="nil"/>
              <w:bottom w:val="nil"/>
              <w:right w:val="nil"/>
            </w:tcBorders>
          </w:tcPr>
          <w:p>
            <w:pPr>
              <w:pStyle w:val="TableParagraph"/>
              <w:spacing w:before="109"/>
              <w:ind w:left="203" w:right="148"/>
              <w:jc w:val="left"/>
              <w:rPr>
                <w:sz w:val="22"/>
              </w:rPr>
            </w:pPr>
            <w:r>
              <w:rPr>
                <w:sz w:val="22"/>
              </w:rPr>
              <w:t>15,588.00</w:t>
            </w:r>
          </w:p>
        </w:tc>
        <w:tc>
          <w:tcPr>
            <w:tcW w:w="1803" w:type="dxa"/>
            <w:tcBorders>
              <w:top w:val="nil"/>
              <w:left w:val="nil"/>
              <w:bottom w:val="nil"/>
              <w:right w:val="nil"/>
            </w:tcBorders>
          </w:tcPr>
          <w:p>
            <w:pPr>
              <w:pStyle w:val="TableParagraph"/>
              <w:spacing w:before="109"/>
              <w:ind w:left="170"/>
              <w:jc w:val="left"/>
              <w:rPr>
                <w:sz w:val="22"/>
              </w:rPr>
            </w:pPr>
            <w:r>
              <w:rPr>
                <w:sz w:val="22"/>
              </w:rPr>
              <w:t>15,588.00</w:t>
            </w:r>
          </w:p>
        </w:tc>
        <w:tc>
          <w:tcPr>
            <w:tcW w:w="1834" w:type="dxa"/>
            <w:tcBorders>
              <w:top w:val="nil"/>
              <w:left w:val="nil"/>
              <w:bottom w:val="nil"/>
              <w:right w:val="nil"/>
            </w:tcBorders>
          </w:tcPr>
          <w:p>
            <w:pPr>
              <w:pStyle w:val="TableParagraph"/>
              <w:spacing w:before="109"/>
              <w:ind w:left="153" w:right="101"/>
              <w:jc w:val="left"/>
              <w:rPr>
                <w:sz w:val="22"/>
              </w:rPr>
            </w:pPr>
            <w:r>
              <w:rPr>
                <w:sz w:val="22"/>
              </w:rPr>
              <w:t>192,667.81</w:t>
            </w:r>
          </w:p>
        </w:tc>
      </w:tr>
      <w:tr>
        <w:trPr>
          <w:trHeight w:val="706" w:hRule="exact"/>
        </w:trPr>
        <w:tc>
          <w:tcPr>
            <w:tcW w:w="1412" w:type="dxa"/>
            <w:tcBorders>
              <w:top w:val="nil"/>
              <w:left w:val="nil"/>
              <w:bottom w:val="nil"/>
              <w:right w:val="nil"/>
            </w:tcBorders>
          </w:tcPr>
          <w:p>
            <w:pPr/>
          </w:p>
        </w:tc>
        <w:tc>
          <w:tcPr>
            <w:tcW w:w="1933" w:type="dxa"/>
            <w:tcBorders>
              <w:top w:val="nil"/>
              <w:left w:val="nil"/>
              <w:bottom w:val="nil"/>
              <w:right w:val="nil"/>
            </w:tcBorders>
          </w:tcPr>
          <w:p>
            <w:pPr>
              <w:pStyle w:val="TableParagraph"/>
              <w:spacing w:line="273" w:lineRule="auto" w:before="106"/>
              <w:ind w:left="360" w:right="71"/>
              <w:jc w:val="left"/>
              <w:rPr>
                <w:sz w:val="22"/>
              </w:rPr>
            </w:pPr>
            <w:r>
              <w:rPr>
                <w:sz w:val="22"/>
              </w:rPr>
              <w:t>Acambay de Ruíz Castañeda</w:t>
            </w:r>
          </w:p>
        </w:tc>
        <w:tc>
          <w:tcPr>
            <w:tcW w:w="1815" w:type="dxa"/>
            <w:tcBorders>
              <w:top w:val="nil"/>
              <w:left w:val="nil"/>
              <w:bottom w:val="nil"/>
              <w:right w:val="nil"/>
            </w:tcBorders>
          </w:tcPr>
          <w:p>
            <w:pPr>
              <w:pStyle w:val="TableParagraph"/>
              <w:spacing w:before="106"/>
              <w:ind w:left="203" w:right="148"/>
              <w:jc w:val="left"/>
              <w:rPr>
                <w:sz w:val="22"/>
              </w:rPr>
            </w:pPr>
            <w:r>
              <w:rPr>
                <w:sz w:val="22"/>
              </w:rPr>
              <w:t>20,696.00</w:t>
            </w:r>
          </w:p>
        </w:tc>
        <w:tc>
          <w:tcPr>
            <w:tcW w:w="1803" w:type="dxa"/>
            <w:tcBorders>
              <w:top w:val="nil"/>
              <w:left w:val="nil"/>
              <w:bottom w:val="nil"/>
              <w:right w:val="nil"/>
            </w:tcBorders>
          </w:tcPr>
          <w:p>
            <w:pPr>
              <w:pStyle w:val="TableParagraph"/>
              <w:spacing w:before="106"/>
              <w:ind w:left="170"/>
              <w:jc w:val="left"/>
              <w:rPr>
                <w:sz w:val="22"/>
              </w:rPr>
            </w:pPr>
            <w:r>
              <w:rPr>
                <w:sz w:val="22"/>
              </w:rPr>
              <w:t>20,600.40</w:t>
            </w:r>
          </w:p>
        </w:tc>
        <w:tc>
          <w:tcPr>
            <w:tcW w:w="1834" w:type="dxa"/>
            <w:tcBorders>
              <w:top w:val="nil"/>
              <w:left w:val="nil"/>
              <w:bottom w:val="nil"/>
              <w:right w:val="nil"/>
            </w:tcBorders>
          </w:tcPr>
          <w:p>
            <w:pPr>
              <w:pStyle w:val="TableParagraph"/>
              <w:spacing w:before="106"/>
              <w:ind w:left="153" w:right="101"/>
              <w:jc w:val="left"/>
              <w:rPr>
                <w:sz w:val="22"/>
              </w:rPr>
            </w:pPr>
            <w:r>
              <w:rPr>
                <w:sz w:val="22"/>
              </w:rPr>
              <w:t>192,139.21</w:t>
            </w:r>
          </w:p>
        </w:tc>
      </w:tr>
      <w:tr>
        <w:trPr>
          <w:trHeight w:val="567" w:hRule="exact"/>
        </w:trPr>
        <w:tc>
          <w:tcPr>
            <w:tcW w:w="1412" w:type="dxa"/>
            <w:tcBorders>
              <w:top w:val="nil"/>
              <w:left w:val="nil"/>
              <w:bottom w:val="nil"/>
              <w:right w:val="nil"/>
            </w:tcBorders>
          </w:tcPr>
          <w:p>
            <w:pPr>
              <w:pStyle w:val="TableParagraph"/>
              <w:spacing w:before="34"/>
              <w:ind w:right="358"/>
              <w:rPr>
                <w:sz w:val="22"/>
              </w:rPr>
            </w:pPr>
            <w:r>
              <w:rPr>
                <w:sz w:val="22"/>
              </w:rPr>
              <w:t>2012</w:t>
            </w:r>
          </w:p>
        </w:tc>
        <w:tc>
          <w:tcPr>
            <w:tcW w:w="1933" w:type="dxa"/>
            <w:tcBorders>
              <w:top w:val="nil"/>
              <w:left w:val="nil"/>
              <w:bottom w:val="nil"/>
              <w:right w:val="nil"/>
            </w:tcBorders>
          </w:tcPr>
          <w:p>
            <w:pPr>
              <w:pStyle w:val="TableParagraph"/>
              <w:spacing w:before="183"/>
              <w:ind w:left="360" w:right="71"/>
              <w:jc w:val="left"/>
              <w:rPr>
                <w:sz w:val="22"/>
              </w:rPr>
            </w:pPr>
            <w:r>
              <w:rPr>
                <w:sz w:val="22"/>
              </w:rPr>
              <w:t>Atlacomulco</w:t>
            </w:r>
          </w:p>
        </w:tc>
        <w:tc>
          <w:tcPr>
            <w:tcW w:w="1815" w:type="dxa"/>
            <w:tcBorders>
              <w:top w:val="nil"/>
              <w:left w:val="nil"/>
              <w:bottom w:val="nil"/>
              <w:right w:val="nil"/>
            </w:tcBorders>
          </w:tcPr>
          <w:p>
            <w:pPr>
              <w:pStyle w:val="TableParagraph"/>
              <w:spacing w:before="183"/>
              <w:ind w:left="203" w:right="148"/>
              <w:jc w:val="left"/>
              <w:rPr>
                <w:sz w:val="22"/>
              </w:rPr>
            </w:pPr>
            <w:r>
              <w:rPr>
                <w:sz w:val="22"/>
              </w:rPr>
              <w:t>14,031.00</w:t>
            </w:r>
          </w:p>
        </w:tc>
        <w:tc>
          <w:tcPr>
            <w:tcW w:w="1803" w:type="dxa"/>
            <w:tcBorders>
              <w:top w:val="nil"/>
              <w:left w:val="nil"/>
              <w:bottom w:val="nil"/>
              <w:right w:val="nil"/>
            </w:tcBorders>
          </w:tcPr>
          <w:p>
            <w:pPr>
              <w:pStyle w:val="TableParagraph"/>
              <w:spacing w:before="183"/>
              <w:ind w:left="170"/>
              <w:jc w:val="left"/>
              <w:rPr>
                <w:sz w:val="22"/>
              </w:rPr>
            </w:pPr>
            <w:r>
              <w:rPr>
                <w:sz w:val="22"/>
              </w:rPr>
              <w:t>14,006.00</w:t>
            </w:r>
          </w:p>
        </w:tc>
        <w:tc>
          <w:tcPr>
            <w:tcW w:w="1834" w:type="dxa"/>
            <w:tcBorders>
              <w:top w:val="nil"/>
              <w:left w:val="nil"/>
              <w:bottom w:val="nil"/>
              <w:right w:val="nil"/>
            </w:tcBorders>
          </w:tcPr>
          <w:p>
            <w:pPr>
              <w:pStyle w:val="TableParagraph"/>
              <w:spacing w:before="183"/>
              <w:ind w:left="153" w:right="101"/>
              <w:jc w:val="left"/>
              <w:rPr>
                <w:sz w:val="22"/>
              </w:rPr>
            </w:pPr>
            <w:r>
              <w:rPr>
                <w:sz w:val="22"/>
              </w:rPr>
              <w:t>421,168.50</w:t>
            </w:r>
          </w:p>
        </w:tc>
      </w:tr>
      <w:tr>
        <w:trPr>
          <w:trHeight w:val="490" w:hRule="exact"/>
        </w:trPr>
        <w:tc>
          <w:tcPr>
            <w:tcW w:w="1412" w:type="dxa"/>
            <w:tcBorders>
              <w:top w:val="nil"/>
              <w:left w:val="nil"/>
              <w:bottom w:val="nil"/>
              <w:right w:val="nil"/>
            </w:tcBorders>
          </w:tcPr>
          <w:p>
            <w:pPr/>
          </w:p>
        </w:tc>
        <w:tc>
          <w:tcPr>
            <w:tcW w:w="1933" w:type="dxa"/>
            <w:tcBorders>
              <w:top w:val="nil"/>
              <w:left w:val="nil"/>
              <w:bottom w:val="nil"/>
              <w:right w:val="nil"/>
            </w:tcBorders>
          </w:tcPr>
          <w:p>
            <w:pPr>
              <w:pStyle w:val="TableParagraph"/>
              <w:spacing w:before="107"/>
              <w:ind w:right="242"/>
              <w:rPr>
                <w:sz w:val="22"/>
              </w:rPr>
            </w:pPr>
            <w:r>
              <w:rPr>
                <w:sz w:val="22"/>
              </w:rPr>
              <w:t>Temascalcingo</w:t>
            </w:r>
          </w:p>
        </w:tc>
        <w:tc>
          <w:tcPr>
            <w:tcW w:w="1815" w:type="dxa"/>
            <w:tcBorders>
              <w:top w:val="nil"/>
              <w:left w:val="nil"/>
              <w:bottom w:val="nil"/>
              <w:right w:val="nil"/>
            </w:tcBorders>
          </w:tcPr>
          <w:p>
            <w:pPr>
              <w:pStyle w:val="TableParagraph"/>
              <w:spacing w:before="107"/>
              <w:ind w:left="203" w:right="148"/>
              <w:jc w:val="left"/>
              <w:rPr>
                <w:sz w:val="22"/>
              </w:rPr>
            </w:pPr>
            <w:r>
              <w:rPr>
                <w:sz w:val="22"/>
              </w:rPr>
              <w:t>17,303.00</w:t>
            </w:r>
          </w:p>
        </w:tc>
        <w:tc>
          <w:tcPr>
            <w:tcW w:w="1803" w:type="dxa"/>
            <w:tcBorders>
              <w:top w:val="nil"/>
              <w:left w:val="nil"/>
              <w:bottom w:val="nil"/>
              <w:right w:val="nil"/>
            </w:tcBorders>
          </w:tcPr>
          <w:p>
            <w:pPr>
              <w:pStyle w:val="TableParagraph"/>
              <w:spacing w:before="107"/>
              <w:ind w:left="170"/>
              <w:jc w:val="left"/>
              <w:rPr>
                <w:sz w:val="22"/>
              </w:rPr>
            </w:pPr>
            <w:r>
              <w:rPr>
                <w:sz w:val="22"/>
              </w:rPr>
              <w:t>15,923.00</w:t>
            </w:r>
          </w:p>
        </w:tc>
        <w:tc>
          <w:tcPr>
            <w:tcW w:w="1834" w:type="dxa"/>
            <w:tcBorders>
              <w:top w:val="nil"/>
              <w:left w:val="nil"/>
              <w:bottom w:val="nil"/>
              <w:right w:val="nil"/>
            </w:tcBorders>
          </w:tcPr>
          <w:p>
            <w:pPr>
              <w:pStyle w:val="TableParagraph"/>
              <w:spacing w:before="107"/>
              <w:ind w:left="153" w:right="101"/>
              <w:jc w:val="left"/>
              <w:rPr>
                <w:sz w:val="22"/>
              </w:rPr>
            </w:pPr>
            <w:r>
              <w:rPr>
                <w:sz w:val="22"/>
              </w:rPr>
              <w:t>211,427.48</w:t>
            </w:r>
          </w:p>
        </w:tc>
      </w:tr>
      <w:tr>
        <w:trPr>
          <w:trHeight w:val="710" w:hRule="exact"/>
        </w:trPr>
        <w:tc>
          <w:tcPr>
            <w:tcW w:w="1412" w:type="dxa"/>
            <w:tcBorders>
              <w:top w:val="nil"/>
              <w:left w:val="nil"/>
              <w:bottom w:val="nil"/>
              <w:right w:val="nil"/>
            </w:tcBorders>
          </w:tcPr>
          <w:p>
            <w:pPr/>
          </w:p>
        </w:tc>
        <w:tc>
          <w:tcPr>
            <w:tcW w:w="1933" w:type="dxa"/>
            <w:tcBorders>
              <w:top w:val="nil"/>
              <w:left w:val="nil"/>
              <w:bottom w:val="nil"/>
              <w:right w:val="nil"/>
            </w:tcBorders>
          </w:tcPr>
          <w:p>
            <w:pPr>
              <w:pStyle w:val="TableParagraph"/>
              <w:spacing w:line="278" w:lineRule="auto" w:before="106"/>
              <w:ind w:left="360" w:right="71"/>
              <w:jc w:val="left"/>
              <w:rPr>
                <w:sz w:val="22"/>
              </w:rPr>
            </w:pPr>
            <w:r>
              <w:rPr>
                <w:sz w:val="22"/>
              </w:rPr>
              <w:t>Acambay de Ruíz Castañeda</w:t>
            </w:r>
          </w:p>
        </w:tc>
        <w:tc>
          <w:tcPr>
            <w:tcW w:w="1815" w:type="dxa"/>
            <w:tcBorders>
              <w:top w:val="nil"/>
              <w:left w:val="nil"/>
              <w:bottom w:val="nil"/>
              <w:right w:val="nil"/>
            </w:tcBorders>
          </w:tcPr>
          <w:p>
            <w:pPr>
              <w:pStyle w:val="TableParagraph"/>
              <w:spacing w:before="106"/>
              <w:ind w:left="203" w:right="148"/>
              <w:jc w:val="left"/>
              <w:rPr>
                <w:sz w:val="22"/>
              </w:rPr>
            </w:pPr>
            <w:r>
              <w:rPr>
                <w:sz w:val="22"/>
              </w:rPr>
              <w:t>17,905.00</w:t>
            </w:r>
          </w:p>
        </w:tc>
        <w:tc>
          <w:tcPr>
            <w:tcW w:w="1803" w:type="dxa"/>
            <w:tcBorders>
              <w:top w:val="nil"/>
              <w:left w:val="nil"/>
              <w:bottom w:val="nil"/>
              <w:right w:val="nil"/>
            </w:tcBorders>
          </w:tcPr>
          <w:p>
            <w:pPr>
              <w:pStyle w:val="TableParagraph"/>
              <w:spacing w:before="106"/>
              <w:ind w:left="170"/>
              <w:jc w:val="left"/>
              <w:rPr>
                <w:sz w:val="22"/>
              </w:rPr>
            </w:pPr>
            <w:r>
              <w:rPr>
                <w:sz w:val="22"/>
              </w:rPr>
              <w:t>11,573.00</w:t>
            </w:r>
          </w:p>
        </w:tc>
        <w:tc>
          <w:tcPr>
            <w:tcW w:w="1834" w:type="dxa"/>
            <w:tcBorders>
              <w:top w:val="nil"/>
              <w:left w:val="nil"/>
              <w:bottom w:val="nil"/>
              <w:right w:val="nil"/>
            </w:tcBorders>
          </w:tcPr>
          <w:p>
            <w:pPr>
              <w:pStyle w:val="TableParagraph"/>
              <w:spacing w:before="106"/>
              <w:ind w:left="153" w:right="101"/>
              <w:jc w:val="left"/>
              <w:rPr>
                <w:sz w:val="22"/>
              </w:rPr>
            </w:pPr>
            <w:r>
              <w:rPr>
                <w:sz w:val="22"/>
              </w:rPr>
              <w:t>54,772.08</w:t>
            </w:r>
          </w:p>
        </w:tc>
      </w:tr>
      <w:tr>
        <w:trPr>
          <w:trHeight w:val="562" w:hRule="exact"/>
        </w:trPr>
        <w:tc>
          <w:tcPr>
            <w:tcW w:w="1412" w:type="dxa"/>
            <w:tcBorders>
              <w:top w:val="nil"/>
              <w:left w:val="nil"/>
              <w:bottom w:val="nil"/>
              <w:right w:val="nil"/>
            </w:tcBorders>
          </w:tcPr>
          <w:p>
            <w:pPr>
              <w:pStyle w:val="TableParagraph"/>
              <w:spacing w:before="34"/>
              <w:ind w:right="358"/>
              <w:rPr>
                <w:sz w:val="22"/>
              </w:rPr>
            </w:pPr>
            <w:r>
              <w:rPr>
                <w:sz w:val="22"/>
              </w:rPr>
              <w:t>2011</w:t>
            </w:r>
          </w:p>
        </w:tc>
        <w:tc>
          <w:tcPr>
            <w:tcW w:w="1933" w:type="dxa"/>
            <w:tcBorders>
              <w:top w:val="nil"/>
              <w:left w:val="nil"/>
              <w:bottom w:val="nil"/>
              <w:right w:val="nil"/>
            </w:tcBorders>
          </w:tcPr>
          <w:p>
            <w:pPr>
              <w:pStyle w:val="TableParagraph"/>
              <w:spacing w:before="178"/>
              <w:ind w:left="360" w:right="71"/>
              <w:jc w:val="left"/>
              <w:rPr>
                <w:sz w:val="22"/>
              </w:rPr>
            </w:pPr>
            <w:r>
              <w:rPr>
                <w:sz w:val="22"/>
              </w:rPr>
              <w:t>Atlacomulco</w:t>
            </w:r>
          </w:p>
        </w:tc>
        <w:tc>
          <w:tcPr>
            <w:tcW w:w="1815" w:type="dxa"/>
            <w:tcBorders>
              <w:top w:val="nil"/>
              <w:left w:val="nil"/>
              <w:bottom w:val="nil"/>
              <w:right w:val="nil"/>
            </w:tcBorders>
          </w:tcPr>
          <w:p>
            <w:pPr>
              <w:pStyle w:val="TableParagraph"/>
              <w:spacing w:before="178"/>
              <w:ind w:left="203" w:right="148"/>
              <w:jc w:val="left"/>
              <w:rPr>
                <w:sz w:val="22"/>
              </w:rPr>
            </w:pPr>
            <w:r>
              <w:rPr>
                <w:sz w:val="22"/>
              </w:rPr>
              <w:t>13,873.90</w:t>
            </w:r>
          </w:p>
        </w:tc>
        <w:tc>
          <w:tcPr>
            <w:tcW w:w="1803" w:type="dxa"/>
            <w:tcBorders>
              <w:top w:val="nil"/>
              <w:left w:val="nil"/>
              <w:bottom w:val="nil"/>
              <w:right w:val="nil"/>
            </w:tcBorders>
          </w:tcPr>
          <w:p>
            <w:pPr>
              <w:pStyle w:val="TableParagraph"/>
              <w:spacing w:before="178"/>
              <w:ind w:left="170"/>
              <w:jc w:val="left"/>
              <w:rPr>
                <w:sz w:val="22"/>
              </w:rPr>
            </w:pPr>
            <w:r>
              <w:rPr>
                <w:sz w:val="22"/>
              </w:rPr>
              <w:t>11,551.40</w:t>
            </w:r>
          </w:p>
        </w:tc>
        <w:tc>
          <w:tcPr>
            <w:tcW w:w="1834" w:type="dxa"/>
            <w:tcBorders>
              <w:top w:val="nil"/>
              <w:left w:val="nil"/>
              <w:bottom w:val="nil"/>
              <w:right w:val="nil"/>
            </w:tcBorders>
          </w:tcPr>
          <w:p>
            <w:pPr>
              <w:pStyle w:val="TableParagraph"/>
              <w:spacing w:before="178"/>
              <w:ind w:left="153" w:right="101"/>
              <w:jc w:val="left"/>
              <w:rPr>
                <w:sz w:val="22"/>
              </w:rPr>
            </w:pPr>
            <w:r>
              <w:rPr>
                <w:sz w:val="22"/>
              </w:rPr>
              <w:t>331,114.13</w:t>
            </w:r>
          </w:p>
        </w:tc>
      </w:tr>
      <w:tr>
        <w:trPr>
          <w:trHeight w:val="615" w:hRule="exact"/>
        </w:trPr>
        <w:tc>
          <w:tcPr>
            <w:tcW w:w="1412" w:type="dxa"/>
            <w:tcBorders>
              <w:top w:val="nil"/>
              <w:left w:val="nil"/>
              <w:right w:val="nil"/>
            </w:tcBorders>
          </w:tcPr>
          <w:p>
            <w:pPr/>
          </w:p>
        </w:tc>
        <w:tc>
          <w:tcPr>
            <w:tcW w:w="1933" w:type="dxa"/>
            <w:tcBorders>
              <w:top w:val="nil"/>
              <w:left w:val="nil"/>
              <w:right w:val="nil"/>
            </w:tcBorders>
          </w:tcPr>
          <w:p>
            <w:pPr>
              <w:pStyle w:val="TableParagraph"/>
              <w:spacing w:before="107"/>
              <w:ind w:right="242"/>
              <w:rPr>
                <w:sz w:val="22"/>
              </w:rPr>
            </w:pPr>
            <w:r>
              <w:rPr>
                <w:sz w:val="22"/>
              </w:rPr>
              <w:t>Temascalcingo</w:t>
            </w:r>
          </w:p>
        </w:tc>
        <w:tc>
          <w:tcPr>
            <w:tcW w:w="1815" w:type="dxa"/>
            <w:tcBorders>
              <w:top w:val="nil"/>
              <w:left w:val="nil"/>
              <w:right w:val="nil"/>
            </w:tcBorders>
          </w:tcPr>
          <w:p>
            <w:pPr>
              <w:pStyle w:val="TableParagraph"/>
              <w:spacing w:before="107"/>
              <w:ind w:left="203" w:right="148"/>
              <w:jc w:val="left"/>
              <w:rPr>
                <w:sz w:val="22"/>
              </w:rPr>
            </w:pPr>
            <w:r>
              <w:rPr>
                <w:sz w:val="22"/>
              </w:rPr>
              <w:t>10,808.00</w:t>
            </w:r>
          </w:p>
        </w:tc>
        <w:tc>
          <w:tcPr>
            <w:tcW w:w="1803" w:type="dxa"/>
            <w:tcBorders>
              <w:top w:val="nil"/>
              <w:left w:val="nil"/>
              <w:right w:val="nil"/>
            </w:tcBorders>
          </w:tcPr>
          <w:p>
            <w:pPr>
              <w:pStyle w:val="TableParagraph"/>
              <w:spacing w:before="107"/>
              <w:ind w:left="170"/>
              <w:jc w:val="left"/>
              <w:rPr>
                <w:sz w:val="22"/>
              </w:rPr>
            </w:pPr>
            <w:r>
              <w:rPr>
                <w:sz w:val="22"/>
              </w:rPr>
              <w:t>6,608.00</w:t>
            </w:r>
          </w:p>
        </w:tc>
        <w:tc>
          <w:tcPr>
            <w:tcW w:w="1834" w:type="dxa"/>
            <w:tcBorders>
              <w:top w:val="nil"/>
              <w:left w:val="nil"/>
              <w:right w:val="nil"/>
            </w:tcBorders>
          </w:tcPr>
          <w:p>
            <w:pPr>
              <w:pStyle w:val="TableParagraph"/>
              <w:spacing w:before="107"/>
              <w:ind w:left="153" w:right="101"/>
              <w:jc w:val="left"/>
              <w:rPr>
                <w:sz w:val="22"/>
              </w:rPr>
            </w:pPr>
            <w:r>
              <w:rPr>
                <w:sz w:val="22"/>
              </w:rPr>
              <w:t>56,434.00</w:t>
            </w:r>
          </w:p>
        </w:tc>
      </w:tr>
    </w:tbl>
    <w:p>
      <w:pPr>
        <w:spacing w:line="244" w:lineRule="exact" w:before="0"/>
        <w:ind w:left="255" w:right="251" w:firstLine="0"/>
        <w:jc w:val="center"/>
        <w:rPr>
          <w:sz w:val="22"/>
        </w:rPr>
      </w:pPr>
      <w:r>
        <w:rPr>
          <w:sz w:val="22"/>
        </w:rPr>
        <w:t>Fuente: SIAP, 2014.</w:t>
      </w:r>
    </w:p>
    <w:p>
      <w:pPr>
        <w:pStyle w:val="BodyText"/>
        <w:rPr>
          <w:sz w:val="22"/>
        </w:rPr>
      </w:pPr>
    </w:p>
    <w:p>
      <w:pPr>
        <w:pStyle w:val="BodyText"/>
        <w:rPr>
          <w:sz w:val="22"/>
        </w:rPr>
      </w:pPr>
    </w:p>
    <w:p>
      <w:pPr>
        <w:pStyle w:val="BodyText"/>
        <w:rPr>
          <w:sz w:val="22"/>
        </w:rPr>
      </w:pPr>
    </w:p>
    <w:p>
      <w:pPr>
        <w:pStyle w:val="BodyText"/>
        <w:spacing w:line="357" w:lineRule="auto" w:before="127"/>
        <w:ind w:left="116" w:right="115"/>
        <w:jc w:val="both"/>
      </w:pPr>
      <w:r>
        <w:rPr/>
        <w:t>En</w:t>
      </w:r>
      <w:r>
        <w:rPr>
          <w:spacing w:val="-15"/>
        </w:rPr>
        <w:t> </w:t>
      </w:r>
      <w:r>
        <w:rPr/>
        <w:t>término</w:t>
      </w:r>
      <w:r>
        <w:rPr>
          <w:spacing w:val="-15"/>
        </w:rPr>
        <w:t> </w:t>
      </w:r>
      <w:r>
        <w:rPr/>
        <w:t>económicos,</w:t>
      </w:r>
      <w:r>
        <w:rPr>
          <w:spacing w:val="-13"/>
        </w:rPr>
        <w:t> </w:t>
      </w:r>
      <w:r>
        <w:rPr/>
        <w:t>de</w:t>
      </w:r>
      <w:r>
        <w:rPr>
          <w:spacing w:val="-15"/>
        </w:rPr>
        <w:t> </w:t>
      </w:r>
      <w:r>
        <w:rPr/>
        <w:t>acuerdo</w:t>
      </w:r>
      <w:r>
        <w:rPr>
          <w:spacing w:val="-14"/>
        </w:rPr>
        <w:t> </w:t>
      </w:r>
      <w:r>
        <w:rPr/>
        <w:t>con</w:t>
      </w:r>
      <w:r>
        <w:rPr>
          <w:spacing w:val="-10"/>
        </w:rPr>
        <w:t> </w:t>
      </w:r>
      <w:r>
        <w:rPr/>
        <w:t>los</w:t>
      </w:r>
      <w:r>
        <w:rPr>
          <w:spacing w:val="-15"/>
        </w:rPr>
        <w:t> </w:t>
      </w:r>
      <w:r>
        <w:rPr/>
        <w:t>resultados</w:t>
      </w:r>
      <w:r>
        <w:rPr>
          <w:spacing w:val="-14"/>
        </w:rPr>
        <w:t> </w:t>
      </w:r>
      <w:r>
        <w:rPr/>
        <w:t>obtenidos</w:t>
      </w:r>
      <w:r>
        <w:rPr>
          <w:spacing w:val="-14"/>
        </w:rPr>
        <w:t> </w:t>
      </w:r>
      <w:r>
        <w:rPr/>
        <w:t>de</w:t>
      </w:r>
      <w:r>
        <w:rPr>
          <w:spacing w:val="-15"/>
        </w:rPr>
        <w:t> </w:t>
      </w:r>
      <w:r>
        <w:rPr/>
        <w:t>un</w:t>
      </w:r>
      <w:r>
        <w:rPr>
          <w:spacing w:val="-15"/>
        </w:rPr>
        <w:t> </w:t>
      </w:r>
      <w:r>
        <w:rPr/>
        <w:t>promedio</w:t>
      </w:r>
      <w:r>
        <w:rPr>
          <w:spacing w:val="-15"/>
        </w:rPr>
        <w:t> </w:t>
      </w:r>
      <w:r>
        <w:rPr/>
        <w:t>producido de</w:t>
      </w:r>
      <w:r>
        <w:rPr>
          <w:spacing w:val="-5"/>
        </w:rPr>
        <w:t> </w:t>
      </w:r>
      <w:r>
        <w:rPr/>
        <w:t>sedimentos</w:t>
      </w:r>
      <w:r>
        <w:rPr>
          <w:spacing w:val="-5"/>
        </w:rPr>
        <w:t> </w:t>
      </w:r>
      <w:r>
        <w:rPr/>
        <w:t>de</w:t>
      </w:r>
      <w:r>
        <w:rPr>
          <w:spacing w:val="-5"/>
        </w:rPr>
        <w:t> </w:t>
      </w:r>
      <w:r>
        <w:rPr/>
        <w:t>5.50</w:t>
      </w:r>
      <w:r>
        <w:rPr>
          <w:spacing w:val="-5"/>
        </w:rPr>
        <w:t> </w:t>
      </w:r>
      <w:r>
        <w:rPr/>
        <w:t>Ton/Ha</w:t>
      </w:r>
      <w:r>
        <w:rPr>
          <w:spacing w:val="-5"/>
        </w:rPr>
        <w:t> </w:t>
      </w:r>
      <w:r>
        <w:rPr/>
        <w:t>y</w:t>
      </w:r>
      <w:r>
        <w:rPr>
          <w:spacing w:val="-5"/>
        </w:rPr>
        <w:t> </w:t>
      </w:r>
      <w:r>
        <w:rPr/>
        <w:t>el</w:t>
      </w:r>
      <w:r>
        <w:rPr>
          <w:spacing w:val="-3"/>
        </w:rPr>
        <w:t> </w:t>
      </w:r>
      <w:r>
        <w:rPr/>
        <w:t>costo</w:t>
      </w:r>
      <w:r>
        <w:rPr>
          <w:spacing w:val="-5"/>
        </w:rPr>
        <w:t> </w:t>
      </w:r>
      <w:r>
        <w:rPr/>
        <w:t>de mantenimiento</w:t>
      </w:r>
      <w:r>
        <w:rPr>
          <w:spacing w:val="-5"/>
        </w:rPr>
        <w:t> </w:t>
      </w:r>
      <w:r>
        <w:rPr/>
        <w:t>de</w:t>
      </w:r>
      <w:r>
        <w:rPr>
          <w:spacing w:val="-5"/>
        </w:rPr>
        <w:t> </w:t>
      </w:r>
      <w:r>
        <w:rPr/>
        <w:t>drenes</w:t>
      </w:r>
      <w:r>
        <w:rPr>
          <w:spacing w:val="-5"/>
        </w:rPr>
        <w:t> </w:t>
      </w:r>
      <w:r>
        <w:rPr/>
        <w:t>y</w:t>
      </w:r>
      <w:r>
        <w:rPr>
          <w:spacing w:val="-5"/>
        </w:rPr>
        <w:t> </w:t>
      </w:r>
      <w:r>
        <w:rPr/>
        <w:t>presas</w:t>
      </w:r>
      <w:r>
        <w:rPr>
          <w:spacing w:val="-5"/>
        </w:rPr>
        <w:t> </w:t>
      </w:r>
      <w:r>
        <w:rPr/>
        <w:t>de</w:t>
      </w:r>
      <w:r>
        <w:rPr>
          <w:spacing w:val="-5"/>
        </w:rPr>
        <w:t> </w:t>
      </w:r>
      <w:r>
        <w:rPr/>
        <w:t>$100/m</w:t>
      </w:r>
      <w:r>
        <w:rPr>
          <w:position w:val="9"/>
          <w:sz w:val="17"/>
        </w:rPr>
        <w:t>3</w:t>
      </w:r>
      <w:r>
        <w:rPr/>
        <w:t>, se tiene que anualmente se gastaría en promedio un total de $5,500,000 por Ha. </w:t>
      </w:r>
      <w:r>
        <w:rPr>
          <w:spacing w:val="-3"/>
        </w:rPr>
        <w:t>La </w:t>
      </w:r>
      <w:r>
        <w:rPr/>
        <w:t>producción de erosión de suelos se puede apreciar en la Figura</w:t>
      </w:r>
      <w:r>
        <w:rPr>
          <w:spacing w:val="-11"/>
        </w:rPr>
        <w:t> </w:t>
      </w:r>
      <w:r>
        <w:rPr/>
        <w:t>39.</w:t>
      </w:r>
    </w:p>
    <w:p>
      <w:pPr>
        <w:pStyle w:val="BodyText"/>
        <w:spacing w:before="213"/>
        <w:ind w:left="116"/>
        <w:jc w:val="both"/>
      </w:pPr>
      <w:r>
        <w:rPr/>
        <w:t>Para  el  caso  de  pérdida  de  producción  de  biomasa  se  estima  en    aproximadamente</w:t>
      </w:r>
    </w:p>
    <w:p>
      <w:pPr>
        <w:pStyle w:val="BodyText"/>
        <w:spacing w:line="357" w:lineRule="auto" w:before="147"/>
        <w:ind w:left="116" w:right="118"/>
        <w:jc w:val="both"/>
      </w:pPr>
      <w:r>
        <w:rPr/>
        <w:t>$1,000/Ha, considerando que en la cuenca se produce un máximo de 15 Ton/Ha, esto costaría alrededor de $15,000/Ha anuales.</w:t>
      </w:r>
    </w:p>
    <w:p>
      <w:pPr>
        <w:pStyle w:val="BodyText"/>
        <w:spacing w:line="357" w:lineRule="auto" w:before="213"/>
        <w:ind w:left="116" w:right="116"/>
        <w:jc w:val="both"/>
      </w:pPr>
      <w:r>
        <w:rPr/>
        <w:t>A</w:t>
      </w:r>
      <w:r>
        <w:rPr>
          <w:spacing w:val="-16"/>
        </w:rPr>
        <w:t> </w:t>
      </w:r>
      <w:r>
        <w:rPr/>
        <w:t>pesar</w:t>
      </w:r>
      <w:r>
        <w:rPr>
          <w:spacing w:val="-11"/>
        </w:rPr>
        <w:t> </w:t>
      </w:r>
      <w:r>
        <w:rPr/>
        <w:t>de</w:t>
      </w:r>
      <w:r>
        <w:rPr>
          <w:spacing w:val="-11"/>
        </w:rPr>
        <w:t> </w:t>
      </w:r>
      <w:r>
        <w:rPr/>
        <w:t>que</w:t>
      </w:r>
      <w:r>
        <w:rPr>
          <w:spacing w:val="-11"/>
        </w:rPr>
        <w:t> </w:t>
      </w:r>
      <w:r>
        <w:rPr/>
        <w:t>en</w:t>
      </w:r>
      <w:r>
        <w:rPr>
          <w:spacing w:val="-16"/>
        </w:rPr>
        <w:t> </w:t>
      </w:r>
      <w:r>
        <w:rPr/>
        <w:t>la</w:t>
      </w:r>
      <w:r>
        <w:rPr>
          <w:spacing w:val="-11"/>
        </w:rPr>
        <w:t> </w:t>
      </w:r>
      <w:r>
        <w:rPr/>
        <w:t>cuenca</w:t>
      </w:r>
      <w:r>
        <w:rPr>
          <w:spacing w:val="-15"/>
        </w:rPr>
        <w:t> </w:t>
      </w:r>
      <w:r>
        <w:rPr/>
        <w:t>la</w:t>
      </w:r>
      <w:r>
        <w:rPr>
          <w:spacing w:val="-11"/>
        </w:rPr>
        <w:t> </w:t>
      </w:r>
      <w:r>
        <w:rPr/>
        <w:t>probabilidad</w:t>
      </w:r>
      <w:r>
        <w:rPr>
          <w:spacing w:val="-10"/>
        </w:rPr>
        <w:t> </w:t>
      </w:r>
      <w:r>
        <w:rPr/>
        <w:t>de</w:t>
      </w:r>
      <w:r>
        <w:rPr>
          <w:spacing w:val="-16"/>
        </w:rPr>
        <w:t> </w:t>
      </w:r>
      <w:r>
        <w:rPr/>
        <w:t>inundaciones</w:t>
      </w:r>
      <w:r>
        <w:rPr>
          <w:spacing w:val="-11"/>
        </w:rPr>
        <w:t> </w:t>
      </w:r>
      <w:r>
        <w:rPr/>
        <w:t>en</w:t>
      </w:r>
      <w:r>
        <w:rPr>
          <w:spacing w:val="-11"/>
        </w:rPr>
        <w:t> </w:t>
      </w:r>
      <w:r>
        <w:rPr/>
        <w:t>terrenos</w:t>
      </w:r>
      <w:r>
        <w:rPr>
          <w:spacing w:val="-11"/>
        </w:rPr>
        <w:t> </w:t>
      </w:r>
      <w:r>
        <w:rPr/>
        <w:t>agrícolas</w:t>
      </w:r>
      <w:r>
        <w:rPr>
          <w:spacing w:val="-11"/>
        </w:rPr>
        <w:t> </w:t>
      </w:r>
      <w:r>
        <w:rPr/>
        <w:t>es</w:t>
      </w:r>
      <w:r>
        <w:rPr>
          <w:spacing w:val="-11"/>
        </w:rPr>
        <w:t> </w:t>
      </w:r>
      <w:r>
        <w:rPr/>
        <w:t>remota debido a que constantemente se mantienen los drenes a través de desazolves, en el caso de tener éste fenómeno se afectarían directamente la producción, por tanto se puede asumir</w:t>
      </w:r>
      <w:r>
        <w:rPr>
          <w:spacing w:val="48"/>
        </w:rPr>
        <w:t> </w:t>
      </w:r>
      <w:r>
        <w:rPr/>
        <w:t>a</w:t>
      </w:r>
    </w:p>
    <w:p>
      <w:pPr>
        <w:spacing w:after="0" w:line="357" w:lineRule="auto"/>
        <w:jc w:val="both"/>
        <w:sectPr>
          <w:pgSz w:w="12240" w:h="15840"/>
          <w:pgMar w:header="0" w:footer="1473" w:top="1360" w:bottom="1660" w:left="1300" w:right="1300"/>
        </w:sectPr>
      </w:pPr>
    </w:p>
    <w:p>
      <w:pPr>
        <w:pStyle w:val="BodyText"/>
        <w:spacing w:line="360" w:lineRule="auto" w:before="49"/>
        <w:ind w:left="116" w:right="114"/>
        <w:jc w:val="both"/>
      </w:pPr>
      <w:r>
        <w:rPr/>
        <w:t>manera de ejemplo que teniendo una superficie de 1,500 Ha inundadas, la pérdida de producción se estimaría en unos $15,000 por Ha, dando como resultado $22,5000,000 anuales.</w:t>
      </w:r>
    </w:p>
    <w:p>
      <w:pPr>
        <w:spacing w:after="0" w:line="360" w:lineRule="auto"/>
        <w:jc w:val="both"/>
        <w:sectPr>
          <w:pgSz w:w="12240" w:h="15840"/>
          <w:pgMar w:header="0" w:footer="1473" w:top="1360" w:bottom="1660" w:left="1300" w:right="1300"/>
        </w:sectPr>
      </w:pPr>
    </w:p>
    <w:p>
      <w:pPr>
        <w:pStyle w:val="BodyText"/>
        <w:spacing w:before="9"/>
        <w:rPr>
          <w:sz w:val="23"/>
        </w:rPr>
      </w:pPr>
    </w:p>
    <w:p>
      <w:pPr>
        <w:pStyle w:val="BodyText"/>
        <w:ind w:left="115" w:right="-3"/>
        <w:rPr>
          <w:sz w:val="20"/>
        </w:rPr>
      </w:pPr>
      <w:r>
        <w:rPr>
          <w:sz w:val="20"/>
        </w:rPr>
        <w:drawing>
          <wp:inline distT="0" distB="0" distL="0" distR="0">
            <wp:extent cx="8780280" cy="5280660"/>
            <wp:effectExtent l="0" t="0" r="0" b="0"/>
            <wp:docPr id="35" name="image126.jpeg" descr=""/>
            <wp:cNvGraphicFramePr>
              <a:graphicFrameLocks noChangeAspect="1"/>
            </wp:cNvGraphicFramePr>
            <a:graphic>
              <a:graphicData uri="http://schemas.openxmlformats.org/drawingml/2006/picture">
                <pic:pic>
                  <pic:nvPicPr>
                    <pic:cNvPr id="36" name="image126.jpeg"/>
                    <pic:cNvPicPr/>
                  </pic:nvPicPr>
                  <pic:blipFill>
                    <a:blip r:embed="rId178" cstate="print"/>
                    <a:stretch>
                      <a:fillRect/>
                    </a:stretch>
                  </pic:blipFill>
                  <pic:spPr>
                    <a:xfrm>
                      <a:off x="0" y="0"/>
                      <a:ext cx="8780280" cy="5280660"/>
                    </a:xfrm>
                    <a:prstGeom prst="rect">
                      <a:avLst/>
                    </a:prstGeom>
                  </pic:spPr>
                </pic:pic>
              </a:graphicData>
            </a:graphic>
          </wp:inline>
        </w:drawing>
      </w:r>
      <w:r>
        <w:rPr>
          <w:sz w:val="20"/>
        </w:rPr>
      </w:r>
    </w:p>
    <w:p>
      <w:pPr>
        <w:pStyle w:val="Heading1"/>
        <w:spacing w:before="102"/>
        <w:ind w:left="4811" w:right="5279"/>
        <w:jc w:val="center"/>
        <w:rPr>
          <w:b w:val="0"/>
          <w:i/>
        </w:rPr>
      </w:pPr>
      <w:bookmarkStart w:name="_bookmark125" w:id="181"/>
      <w:bookmarkEnd w:id="181"/>
      <w:r>
        <w:rPr>
          <w:b w:val="0"/>
        </w:rPr>
      </w:r>
      <w:r>
        <w:rPr/>
        <w:t>Figura 39. Mapa erosión de suelos</w:t>
      </w:r>
      <w:r>
        <w:rPr>
          <w:b w:val="0"/>
          <w:i/>
        </w:rPr>
        <w:t>.</w:t>
      </w:r>
    </w:p>
    <w:p>
      <w:pPr>
        <w:pStyle w:val="BodyText"/>
        <w:spacing w:before="2"/>
        <w:rPr>
          <w:i/>
          <w:sz w:val="29"/>
        </w:rPr>
      </w:pPr>
    </w:p>
    <w:p>
      <w:pPr>
        <w:spacing w:before="56"/>
        <w:ind w:left="0" w:right="575" w:firstLine="0"/>
        <w:jc w:val="right"/>
        <w:rPr>
          <w:rFonts w:ascii="Calibri"/>
          <w:sz w:val="22"/>
        </w:rPr>
      </w:pPr>
      <w:r>
        <w:rPr>
          <w:rFonts w:ascii="Calibri"/>
          <w:sz w:val="22"/>
        </w:rPr>
        <w:t>148</w:t>
      </w:r>
    </w:p>
    <w:p>
      <w:pPr>
        <w:spacing w:after="0"/>
        <w:jc w:val="right"/>
        <w:rPr>
          <w:rFonts w:ascii="Calibri"/>
          <w:sz w:val="22"/>
        </w:rPr>
        <w:sectPr>
          <w:footerReference w:type="default" r:id="rId177"/>
          <w:pgSz w:w="15840" w:h="12240" w:orient="landscape"/>
          <w:pgMar w:footer="0" w:header="0" w:top="1140" w:bottom="280" w:left="1020" w:right="840"/>
        </w:sectPr>
      </w:pPr>
    </w:p>
    <w:p>
      <w:pPr>
        <w:pStyle w:val="Heading1"/>
        <w:numPr>
          <w:ilvl w:val="1"/>
          <w:numId w:val="52"/>
        </w:numPr>
        <w:tabs>
          <w:tab w:pos="511" w:val="left" w:leader="none"/>
        </w:tabs>
        <w:spacing w:line="240" w:lineRule="auto" w:before="52" w:after="0"/>
        <w:ind w:left="510" w:right="0" w:hanging="394"/>
        <w:jc w:val="both"/>
      </w:pPr>
      <w:bookmarkStart w:name="_bookmark126" w:id="182"/>
      <w:bookmarkEnd w:id="182"/>
      <w:r>
        <w:rPr>
          <w:b w:val="0"/>
        </w:rPr>
      </w:r>
      <w:bookmarkStart w:name="_bookmark126" w:id="183"/>
      <w:bookmarkEnd w:id="183"/>
      <w:r>
        <w:rPr/>
        <w:t>Alter</w:t>
      </w:r>
      <w:r>
        <w:rPr/>
        <w:t>nativas </w:t>
      </w:r>
      <w:r>
        <w:rPr>
          <w:spacing w:val="-3"/>
        </w:rPr>
        <w:t>de </w:t>
      </w:r>
      <w:r>
        <w:rPr/>
        <w:t>uso </w:t>
      </w:r>
      <w:r>
        <w:rPr>
          <w:spacing w:val="-3"/>
        </w:rPr>
        <w:t>de </w:t>
      </w:r>
      <w:r>
        <w:rPr/>
        <w:t>suelo y manejo </w:t>
      </w:r>
      <w:r>
        <w:rPr>
          <w:spacing w:val="-3"/>
        </w:rPr>
        <w:t>de </w:t>
      </w:r>
      <w:r>
        <w:rPr/>
        <w:t>los recursos</w:t>
      </w:r>
      <w:r>
        <w:rPr>
          <w:spacing w:val="-4"/>
        </w:rPr>
        <w:t> </w:t>
      </w:r>
      <w:r>
        <w:rPr/>
        <w:t>naturales</w:t>
      </w:r>
    </w:p>
    <w:p>
      <w:pPr>
        <w:pStyle w:val="BodyText"/>
        <w:rPr>
          <w:b/>
        </w:rPr>
      </w:pPr>
    </w:p>
    <w:p>
      <w:pPr>
        <w:pStyle w:val="BodyText"/>
        <w:spacing w:before="7"/>
        <w:rPr>
          <w:b/>
          <w:sz w:val="25"/>
        </w:rPr>
      </w:pPr>
    </w:p>
    <w:p>
      <w:pPr>
        <w:pStyle w:val="BodyText"/>
        <w:spacing w:line="360" w:lineRule="auto" w:before="1"/>
        <w:ind w:left="116" w:right="110"/>
        <w:jc w:val="both"/>
      </w:pPr>
      <w:r>
        <w:rPr/>
        <w:t>De acuerdo a las características encontradas para la cuenca El Tejocote se pueden diferenciar diversas condiciones de degradación y conservación para las coberturas y usos existentes, es decir, en aquellas zonas que están ocupadas por bosques aún presentan un buen</w:t>
      </w:r>
      <w:r>
        <w:rPr>
          <w:spacing w:val="-11"/>
        </w:rPr>
        <w:t> </w:t>
      </w:r>
      <w:r>
        <w:rPr/>
        <w:t>estado</w:t>
      </w:r>
      <w:r>
        <w:rPr>
          <w:spacing w:val="-11"/>
        </w:rPr>
        <w:t> </w:t>
      </w:r>
      <w:r>
        <w:rPr/>
        <w:t>de</w:t>
      </w:r>
      <w:r>
        <w:rPr>
          <w:spacing w:val="-11"/>
        </w:rPr>
        <w:t> </w:t>
      </w:r>
      <w:r>
        <w:rPr/>
        <w:t>conservación</w:t>
      </w:r>
      <w:r>
        <w:rPr>
          <w:spacing w:val="-11"/>
        </w:rPr>
        <w:t> </w:t>
      </w:r>
      <w:r>
        <w:rPr/>
        <w:t>ya</w:t>
      </w:r>
      <w:r>
        <w:rPr>
          <w:spacing w:val="-11"/>
        </w:rPr>
        <w:t> </w:t>
      </w:r>
      <w:r>
        <w:rPr/>
        <w:t>que</w:t>
      </w:r>
      <w:r>
        <w:rPr>
          <w:spacing w:val="-11"/>
        </w:rPr>
        <w:t> </w:t>
      </w:r>
      <w:r>
        <w:rPr/>
        <w:t>la</w:t>
      </w:r>
      <w:r>
        <w:rPr>
          <w:spacing w:val="-11"/>
        </w:rPr>
        <w:t> </w:t>
      </w:r>
      <w:r>
        <w:rPr/>
        <w:t>simulación</w:t>
      </w:r>
      <w:r>
        <w:rPr>
          <w:spacing w:val="-11"/>
        </w:rPr>
        <w:t> </w:t>
      </w:r>
      <w:r>
        <w:rPr/>
        <w:t>realizada</w:t>
      </w:r>
      <w:r>
        <w:rPr>
          <w:spacing w:val="-10"/>
        </w:rPr>
        <w:t> </w:t>
      </w:r>
      <w:r>
        <w:rPr/>
        <w:t>por</w:t>
      </w:r>
      <w:r>
        <w:rPr>
          <w:spacing w:val="-11"/>
        </w:rPr>
        <w:t> </w:t>
      </w:r>
      <w:r>
        <w:rPr/>
        <w:t>el</w:t>
      </w:r>
      <w:r>
        <w:rPr>
          <w:spacing w:val="-11"/>
        </w:rPr>
        <w:t> </w:t>
      </w:r>
      <w:r>
        <w:rPr>
          <w:spacing w:val="-3"/>
        </w:rPr>
        <w:t>SWAT</w:t>
      </w:r>
      <w:r>
        <w:rPr>
          <w:spacing w:val="-11"/>
        </w:rPr>
        <w:t> </w:t>
      </w:r>
      <w:r>
        <w:rPr/>
        <w:t>no</w:t>
      </w:r>
      <w:r>
        <w:rPr>
          <w:spacing w:val="-11"/>
        </w:rPr>
        <w:t> </w:t>
      </w:r>
      <w:r>
        <w:rPr/>
        <w:t>arrojó</w:t>
      </w:r>
      <w:r>
        <w:rPr>
          <w:spacing w:val="-11"/>
        </w:rPr>
        <w:t> </w:t>
      </w:r>
      <w:r>
        <w:rPr/>
        <w:t>grandes cantidades de escurrimientos o sedimentos producidos en ellas, por tanto se recomiendan acciones de preservación y protección, a través de programas forestales y reforestaciones periódicas, también se pueden adaptar sistemas de plantación de frutales, actividades ecoturísticas y sobre todo el control de</w:t>
      </w:r>
      <w:r>
        <w:rPr>
          <w:spacing w:val="-16"/>
        </w:rPr>
        <w:t> </w:t>
      </w:r>
      <w:r>
        <w:rPr/>
        <w:t>sobrepastoreo.</w:t>
      </w:r>
    </w:p>
    <w:p>
      <w:pPr>
        <w:pStyle w:val="BodyText"/>
      </w:pPr>
    </w:p>
    <w:p>
      <w:pPr>
        <w:pStyle w:val="BodyText"/>
        <w:spacing w:line="360" w:lineRule="auto" w:before="156"/>
        <w:ind w:left="116" w:right="115"/>
        <w:jc w:val="both"/>
      </w:pPr>
      <w:r>
        <w:rPr/>
        <w:t>No obstantes, se observa que para el caso de las subcuencas 7, 9, 10, 12, 14, 17, 18, 23, 27 y 28, se reporta un mayor gasto de escurrimiento durante los siete años de simulación por arriba de los 20 m</w:t>
      </w:r>
      <w:r>
        <w:rPr>
          <w:position w:val="9"/>
          <w:sz w:val="16"/>
        </w:rPr>
        <w:t>3</w:t>
      </w:r>
      <w:r>
        <w:rPr/>
        <w:t>/ s; dichas zonas están ocupadas por agricultura de temporal en laderas y pastizales sobre suelos de tipo Feozem.</w:t>
      </w:r>
    </w:p>
    <w:p>
      <w:pPr>
        <w:pStyle w:val="BodyText"/>
      </w:pPr>
    </w:p>
    <w:p>
      <w:pPr>
        <w:pStyle w:val="BodyText"/>
        <w:spacing w:line="360" w:lineRule="auto" w:before="155"/>
        <w:ind w:left="116" w:right="112"/>
        <w:jc w:val="both"/>
      </w:pPr>
      <w:r>
        <w:rPr/>
        <w:t>El año 2002 fue el mayor productor de escurrimientos con 354.84 mm y, caso contrario el año</w:t>
      </w:r>
      <w:r>
        <w:rPr>
          <w:spacing w:val="-11"/>
        </w:rPr>
        <w:t> </w:t>
      </w:r>
      <w:r>
        <w:rPr/>
        <w:t>2005</w:t>
      </w:r>
      <w:r>
        <w:rPr>
          <w:spacing w:val="-11"/>
        </w:rPr>
        <w:t> </w:t>
      </w:r>
      <w:r>
        <w:rPr/>
        <w:t>tuvo</w:t>
      </w:r>
      <w:r>
        <w:rPr>
          <w:spacing w:val="-11"/>
        </w:rPr>
        <w:t> </w:t>
      </w:r>
      <w:r>
        <w:rPr/>
        <w:t>el</w:t>
      </w:r>
      <w:r>
        <w:rPr>
          <w:spacing w:val="-11"/>
        </w:rPr>
        <w:t> </w:t>
      </w:r>
      <w:r>
        <w:rPr/>
        <w:t>menor</w:t>
      </w:r>
      <w:r>
        <w:rPr>
          <w:spacing w:val="-11"/>
        </w:rPr>
        <w:t> </w:t>
      </w:r>
      <w:r>
        <w:rPr/>
        <w:t>resultado</w:t>
      </w:r>
      <w:r>
        <w:rPr>
          <w:spacing w:val="-11"/>
        </w:rPr>
        <w:t> </w:t>
      </w:r>
      <w:r>
        <w:rPr/>
        <w:t>con</w:t>
      </w:r>
      <w:r>
        <w:rPr>
          <w:spacing w:val="-11"/>
        </w:rPr>
        <w:t> </w:t>
      </w:r>
      <w:r>
        <w:rPr/>
        <w:t>149.89</w:t>
      </w:r>
      <w:r>
        <w:rPr>
          <w:spacing w:val="-10"/>
        </w:rPr>
        <w:t> </w:t>
      </w:r>
      <w:r>
        <w:rPr/>
        <w:t>mm.</w:t>
      </w:r>
      <w:r>
        <w:rPr>
          <w:spacing w:val="-8"/>
        </w:rPr>
        <w:t> </w:t>
      </w:r>
      <w:r>
        <w:rPr/>
        <w:t>Respecto</w:t>
      </w:r>
      <w:r>
        <w:rPr>
          <w:spacing w:val="-11"/>
        </w:rPr>
        <w:t> </w:t>
      </w:r>
      <w:r>
        <w:rPr/>
        <w:t>a</w:t>
      </w:r>
      <w:r>
        <w:rPr>
          <w:spacing w:val="-11"/>
        </w:rPr>
        <w:t> </w:t>
      </w:r>
      <w:r>
        <w:rPr/>
        <w:t>la</w:t>
      </w:r>
      <w:r>
        <w:rPr>
          <w:spacing w:val="-11"/>
        </w:rPr>
        <w:t> </w:t>
      </w:r>
      <w:r>
        <w:rPr/>
        <w:t>producción</w:t>
      </w:r>
      <w:r>
        <w:rPr>
          <w:spacing w:val="-11"/>
        </w:rPr>
        <w:t> </w:t>
      </w:r>
      <w:r>
        <w:rPr/>
        <w:t>de</w:t>
      </w:r>
      <w:r>
        <w:rPr>
          <w:spacing w:val="-11"/>
        </w:rPr>
        <w:t> </w:t>
      </w:r>
      <w:r>
        <w:rPr/>
        <w:t>sedimentos, el año que presentó la mayor cifra fue 2002 con 9.9 Ton/Ha, inversamente al 2005 que obtuvo la cifra menor de 3.73</w:t>
      </w:r>
      <w:r>
        <w:rPr>
          <w:spacing w:val="-2"/>
        </w:rPr>
        <w:t> </w:t>
      </w:r>
      <w:r>
        <w:rPr/>
        <w:t>Ton/Ha.</w:t>
      </w:r>
    </w:p>
    <w:p>
      <w:pPr>
        <w:pStyle w:val="BodyText"/>
      </w:pPr>
    </w:p>
    <w:p>
      <w:pPr>
        <w:pStyle w:val="BodyText"/>
        <w:spacing w:line="360" w:lineRule="auto" w:before="156"/>
        <w:ind w:left="116" w:right="116"/>
        <w:jc w:val="both"/>
      </w:pPr>
      <w:r>
        <w:rPr/>
        <w:t>La subcuenca que reflejó la mayor producción de sedimentos durante todo el periodo de simulación fue la 28 dedicada a la agricultura de temporal sobre laderas, y a ella se suman las subcuencas 1, 4, 8, 11 y 22 con más de 9 ton/ha producidas, todas asentadas sobre la misma pendiente, la subcuenca con menores datos fue la 9.</w:t>
      </w:r>
    </w:p>
    <w:p>
      <w:pPr>
        <w:pStyle w:val="BodyText"/>
      </w:pPr>
    </w:p>
    <w:p>
      <w:pPr>
        <w:pStyle w:val="BodyText"/>
        <w:spacing w:line="362" w:lineRule="auto" w:before="151"/>
        <w:ind w:left="116" w:right="114"/>
        <w:jc w:val="both"/>
      </w:pPr>
      <w:r>
        <w:rPr/>
        <w:t>Dichos</w:t>
      </w:r>
      <w:r>
        <w:rPr>
          <w:spacing w:val="-7"/>
        </w:rPr>
        <w:t> </w:t>
      </w:r>
      <w:r>
        <w:rPr/>
        <w:t>resultados</w:t>
      </w:r>
      <w:r>
        <w:rPr>
          <w:spacing w:val="-7"/>
        </w:rPr>
        <w:t> </w:t>
      </w:r>
      <w:r>
        <w:rPr/>
        <w:t>demandan</w:t>
      </w:r>
      <w:r>
        <w:rPr>
          <w:spacing w:val="-7"/>
        </w:rPr>
        <w:t> </w:t>
      </w:r>
      <w:r>
        <w:rPr/>
        <w:t>prontas</w:t>
      </w:r>
      <w:r>
        <w:rPr>
          <w:spacing w:val="-7"/>
        </w:rPr>
        <w:t> </w:t>
      </w:r>
      <w:r>
        <w:rPr/>
        <w:t>acciones</w:t>
      </w:r>
      <w:r>
        <w:rPr>
          <w:spacing w:val="-10"/>
        </w:rPr>
        <w:t> </w:t>
      </w:r>
      <w:r>
        <w:rPr/>
        <w:t>para</w:t>
      </w:r>
      <w:r>
        <w:rPr>
          <w:spacing w:val="-7"/>
        </w:rPr>
        <w:t> </w:t>
      </w:r>
      <w:r>
        <w:rPr/>
        <w:t>el</w:t>
      </w:r>
      <w:r>
        <w:rPr>
          <w:spacing w:val="-7"/>
        </w:rPr>
        <w:t> </w:t>
      </w:r>
      <w:r>
        <w:rPr/>
        <w:t>control</w:t>
      </w:r>
      <w:r>
        <w:rPr>
          <w:spacing w:val="-11"/>
        </w:rPr>
        <w:t> </w:t>
      </w:r>
      <w:r>
        <w:rPr/>
        <w:t>y</w:t>
      </w:r>
      <w:r>
        <w:rPr>
          <w:spacing w:val="-11"/>
        </w:rPr>
        <w:t> </w:t>
      </w:r>
      <w:r>
        <w:rPr/>
        <w:t>retención</w:t>
      </w:r>
      <w:r>
        <w:rPr>
          <w:spacing w:val="-7"/>
        </w:rPr>
        <w:t> </w:t>
      </w:r>
      <w:r>
        <w:rPr/>
        <w:t>de</w:t>
      </w:r>
      <w:r>
        <w:rPr>
          <w:spacing w:val="-11"/>
        </w:rPr>
        <w:t> </w:t>
      </w:r>
      <w:r>
        <w:rPr/>
        <w:t>escurrimientos y sedimentos, las subcuencas que coinciden en ambos resultados son la 28, 4, 8, 11 y  </w:t>
      </w:r>
      <w:r>
        <w:rPr>
          <w:spacing w:val="36"/>
        </w:rPr>
        <w:t> </w:t>
      </w:r>
      <w:r>
        <w:rPr/>
        <w:t>22;</w:t>
      </w:r>
    </w:p>
    <w:p>
      <w:pPr>
        <w:spacing w:after="0" w:line="362" w:lineRule="auto"/>
        <w:jc w:val="both"/>
        <w:sectPr>
          <w:footerReference w:type="default" r:id="rId179"/>
          <w:pgSz w:w="12240" w:h="15840"/>
          <w:pgMar w:footer="1473" w:header="0" w:top="1400" w:bottom="1660" w:left="1300" w:right="1300"/>
          <w:pgNumType w:start="14"/>
        </w:sectPr>
      </w:pPr>
    </w:p>
    <w:p>
      <w:pPr>
        <w:pStyle w:val="BodyText"/>
        <w:spacing w:line="360" w:lineRule="auto" w:before="49"/>
        <w:ind w:left="116" w:right="431"/>
        <w:jc w:val="both"/>
      </w:pPr>
      <w:r>
        <w:rPr/>
        <w:t>es por ello que se proponen las siguientes técnicas de conservación del suelo bajo las consideraciones</w:t>
      </w:r>
      <w:r>
        <w:rPr>
          <w:spacing w:val="-9"/>
        </w:rPr>
        <w:t> </w:t>
      </w:r>
      <w:r>
        <w:rPr/>
        <w:t>que</w:t>
      </w:r>
      <w:r>
        <w:rPr>
          <w:spacing w:val="-9"/>
        </w:rPr>
        <w:t> </w:t>
      </w:r>
      <w:r>
        <w:rPr/>
        <w:t>establece</w:t>
      </w:r>
      <w:r>
        <w:rPr>
          <w:spacing w:val="-8"/>
        </w:rPr>
        <w:t> </w:t>
      </w:r>
      <w:r>
        <w:rPr/>
        <w:t>el</w:t>
      </w:r>
      <w:r>
        <w:rPr>
          <w:spacing w:val="-8"/>
        </w:rPr>
        <w:t> </w:t>
      </w:r>
      <w:r>
        <w:rPr>
          <w:sz w:val="23"/>
        </w:rPr>
        <w:t>Organismo</w:t>
      </w:r>
      <w:r>
        <w:rPr>
          <w:spacing w:val="-11"/>
          <w:sz w:val="23"/>
        </w:rPr>
        <w:t> </w:t>
      </w:r>
      <w:r>
        <w:rPr>
          <w:sz w:val="23"/>
        </w:rPr>
        <w:t>para</w:t>
      </w:r>
      <w:r>
        <w:rPr>
          <w:spacing w:val="-3"/>
          <w:sz w:val="23"/>
        </w:rPr>
        <w:t> </w:t>
      </w:r>
      <w:r>
        <w:rPr>
          <w:spacing w:val="-4"/>
          <w:sz w:val="23"/>
        </w:rPr>
        <w:t>la</w:t>
      </w:r>
      <w:r>
        <w:rPr>
          <w:spacing w:val="-12"/>
          <w:sz w:val="23"/>
        </w:rPr>
        <w:t> </w:t>
      </w:r>
      <w:r>
        <w:rPr>
          <w:sz w:val="23"/>
        </w:rPr>
        <w:t>Protección</w:t>
      </w:r>
      <w:r>
        <w:rPr>
          <w:spacing w:val="-11"/>
          <w:sz w:val="23"/>
        </w:rPr>
        <w:t> </w:t>
      </w:r>
      <w:r>
        <w:rPr>
          <w:sz w:val="23"/>
        </w:rPr>
        <w:t>del</w:t>
      </w:r>
      <w:r>
        <w:rPr>
          <w:spacing w:val="-17"/>
          <w:sz w:val="23"/>
        </w:rPr>
        <w:t> </w:t>
      </w:r>
      <w:r>
        <w:rPr>
          <w:sz w:val="23"/>
        </w:rPr>
        <w:t>Medio</w:t>
      </w:r>
      <w:r>
        <w:rPr>
          <w:spacing w:val="-6"/>
          <w:sz w:val="23"/>
        </w:rPr>
        <w:t> </w:t>
      </w:r>
      <w:r>
        <w:rPr>
          <w:sz w:val="23"/>
        </w:rPr>
        <w:t>Ambiente</w:t>
      </w:r>
      <w:r>
        <w:rPr>
          <w:spacing w:val="-12"/>
          <w:sz w:val="23"/>
        </w:rPr>
        <w:t> </w:t>
      </w:r>
      <w:r>
        <w:rPr>
          <w:sz w:val="23"/>
        </w:rPr>
        <w:t>de</w:t>
      </w:r>
      <w:r>
        <w:rPr>
          <w:spacing w:val="-3"/>
          <w:sz w:val="23"/>
        </w:rPr>
        <w:t> los</w:t>
      </w:r>
      <w:r>
        <w:rPr>
          <w:spacing w:val="-10"/>
          <w:sz w:val="23"/>
        </w:rPr>
        <w:t> </w:t>
      </w:r>
      <w:r>
        <w:rPr>
          <w:sz w:val="23"/>
        </w:rPr>
        <w:t>Estados Unidos (US-EPA, 1993) </w:t>
      </w:r>
      <w:r>
        <w:rPr/>
        <w:t>sobre que no existen soluciones aisladas para combatir la erosión de suelos, las medidas dependen en gran parte de las situación económica del agricultor, de</w:t>
      </w:r>
      <w:r>
        <w:rPr>
          <w:spacing w:val="-26"/>
        </w:rPr>
        <w:t> </w:t>
      </w:r>
      <w:r>
        <w:rPr/>
        <w:t>la importancia que den las autoridades ambientales a la erosión de suelos y del nivel de desarrollo del</w:t>
      </w:r>
      <w:r>
        <w:rPr>
          <w:spacing w:val="-5"/>
        </w:rPr>
        <w:t> </w:t>
      </w:r>
      <w:r>
        <w:rPr/>
        <w:t>país:</w:t>
      </w:r>
    </w:p>
    <w:p>
      <w:pPr>
        <w:pStyle w:val="BodyText"/>
      </w:pPr>
    </w:p>
    <w:p>
      <w:pPr>
        <w:pStyle w:val="ListParagraph"/>
        <w:numPr>
          <w:ilvl w:val="2"/>
          <w:numId w:val="52"/>
        </w:numPr>
        <w:tabs>
          <w:tab w:pos="837" w:val="left" w:leader="none"/>
        </w:tabs>
        <w:spacing w:line="357" w:lineRule="auto" w:before="152" w:after="0"/>
        <w:ind w:left="837" w:right="433" w:hanging="361"/>
        <w:jc w:val="both"/>
        <w:rPr>
          <w:sz w:val="26"/>
        </w:rPr>
      </w:pPr>
      <w:r>
        <w:rPr>
          <w:b/>
          <w:sz w:val="26"/>
        </w:rPr>
        <w:t>Ordenación ecológica </w:t>
      </w:r>
      <w:r>
        <w:rPr>
          <w:b/>
          <w:spacing w:val="-3"/>
          <w:sz w:val="26"/>
        </w:rPr>
        <w:t>de </w:t>
      </w:r>
      <w:r>
        <w:rPr>
          <w:b/>
          <w:sz w:val="26"/>
        </w:rPr>
        <w:t>los cultivos. </w:t>
      </w:r>
      <w:r>
        <w:rPr>
          <w:sz w:val="26"/>
        </w:rPr>
        <w:t>Secuencia de cultivos destinada a aportar residuos</w:t>
      </w:r>
      <w:r>
        <w:rPr>
          <w:spacing w:val="-8"/>
          <w:sz w:val="26"/>
        </w:rPr>
        <w:t> </w:t>
      </w:r>
      <w:r>
        <w:rPr>
          <w:sz w:val="26"/>
        </w:rPr>
        <w:t>orgánicos</w:t>
      </w:r>
      <w:r>
        <w:rPr>
          <w:spacing w:val="-7"/>
          <w:sz w:val="26"/>
        </w:rPr>
        <w:t> </w:t>
      </w:r>
      <w:r>
        <w:rPr>
          <w:sz w:val="26"/>
        </w:rPr>
        <w:t>adecuados</w:t>
      </w:r>
      <w:r>
        <w:rPr>
          <w:spacing w:val="-8"/>
          <w:sz w:val="26"/>
        </w:rPr>
        <w:t> </w:t>
      </w:r>
      <w:r>
        <w:rPr>
          <w:sz w:val="26"/>
        </w:rPr>
        <w:t>para</w:t>
      </w:r>
      <w:r>
        <w:rPr>
          <w:spacing w:val="-7"/>
          <w:sz w:val="26"/>
        </w:rPr>
        <w:t> </w:t>
      </w:r>
      <w:r>
        <w:rPr>
          <w:sz w:val="26"/>
        </w:rPr>
        <w:t>el</w:t>
      </w:r>
      <w:r>
        <w:rPr>
          <w:spacing w:val="-7"/>
          <w:sz w:val="26"/>
        </w:rPr>
        <w:t> </w:t>
      </w:r>
      <w:r>
        <w:rPr>
          <w:sz w:val="26"/>
        </w:rPr>
        <w:t>mantenimiento</w:t>
      </w:r>
      <w:r>
        <w:rPr>
          <w:spacing w:val="-7"/>
          <w:sz w:val="26"/>
        </w:rPr>
        <w:t> </w:t>
      </w:r>
      <w:r>
        <w:rPr>
          <w:sz w:val="26"/>
        </w:rPr>
        <w:t>de</w:t>
      </w:r>
      <w:r>
        <w:rPr>
          <w:spacing w:val="-7"/>
          <w:sz w:val="26"/>
        </w:rPr>
        <w:t> </w:t>
      </w:r>
      <w:r>
        <w:rPr>
          <w:sz w:val="26"/>
        </w:rPr>
        <w:t>la</w:t>
      </w:r>
      <w:r>
        <w:rPr>
          <w:spacing w:val="-7"/>
          <w:sz w:val="26"/>
        </w:rPr>
        <w:t> </w:t>
      </w:r>
      <w:r>
        <w:rPr>
          <w:sz w:val="26"/>
        </w:rPr>
        <w:t>aptitud</w:t>
      </w:r>
      <w:r>
        <w:rPr>
          <w:spacing w:val="-8"/>
          <w:sz w:val="26"/>
        </w:rPr>
        <w:t> </w:t>
      </w:r>
      <w:r>
        <w:rPr>
          <w:sz w:val="26"/>
        </w:rPr>
        <w:t>de</w:t>
      </w:r>
      <w:r>
        <w:rPr>
          <w:spacing w:val="-11"/>
          <w:sz w:val="26"/>
        </w:rPr>
        <w:t> </w:t>
      </w:r>
      <w:r>
        <w:rPr>
          <w:sz w:val="26"/>
        </w:rPr>
        <w:t>la</w:t>
      </w:r>
      <w:r>
        <w:rPr>
          <w:spacing w:val="-11"/>
          <w:sz w:val="26"/>
        </w:rPr>
        <w:t> </w:t>
      </w:r>
      <w:r>
        <w:rPr>
          <w:sz w:val="26"/>
        </w:rPr>
        <w:t>tierra</w:t>
      </w:r>
      <w:r>
        <w:rPr>
          <w:spacing w:val="-7"/>
          <w:sz w:val="26"/>
        </w:rPr>
        <w:t> </w:t>
      </w:r>
      <w:r>
        <w:rPr>
          <w:sz w:val="26"/>
        </w:rPr>
        <w:t>para</w:t>
      </w:r>
      <w:r>
        <w:rPr>
          <w:spacing w:val="-11"/>
          <w:sz w:val="26"/>
        </w:rPr>
        <w:t> </w:t>
      </w:r>
      <w:r>
        <w:rPr>
          <w:sz w:val="26"/>
        </w:rPr>
        <w:t>la labranza. Esta práctica reduce la erosión aumentando la materia orgánica. Puede también obstaculizar los ciclos de reproducción de malas hierbas e insectos y la propagación</w:t>
      </w:r>
      <w:r>
        <w:rPr>
          <w:spacing w:val="-15"/>
          <w:sz w:val="26"/>
        </w:rPr>
        <w:t> </w:t>
      </w:r>
      <w:r>
        <w:rPr>
          <w:sz w:val="26"/>
        </w:rPr>
        <w:t>de</w:t>
      </w:r>
      <w:r>
        <w:rPr>
          <w:spacing w:val="-15"/>
          <w:sz w:val="26"/>
        </w:rPr>
        <w:t> </w:t>
      </w:r>
      <w:r>
        <w:rPr>
          <w:sz w:val="26"/>
        </w:rPr>
        <w:t>enfermedades,</w:t>
      </w:r>
      <w:r>
        <w:rPr>
          <w:spacing w:val="-13"/>
          <w:sz w:val="26"/>
        </w:rPr>
        <w:t> </w:t>
      </w:r>
      <w:r>
        <w:rPr>
          <w:sz w:val="26"/>
        </w:rPr>
        <w:t>reduciendo</w:t>
      </w:r>
      <w:r>
        <w:rPr>
          <w:spacing w:val="-14"/>
          <w:sz w:val="26"/>
        </w:rPr>
        <w:t> </w:t>
      </w:r>
      <w:r>
        <w:rPr>
          <w:sz w:val="26"/>
        </w:rPr>
        <w:t>de</w:t>
      </w:r>
      <w:r>
        <w:rPr>
          <w:spacing w:val="-15"/>
          <w:sz w:val="26"/>
        </w:rPr>
        <w:t> </w:t>
      </w:r>
      <w:r>
        <w:rPr>
          <w:sz w:val="26"/>
        </w:rPr>
        <w:t>esa</w:t>
      </w:r>
      <w:r>
        <w:rPr>
          <w:spacing w:val="-15"/>
          <w:sz w:val="26"/>
        </w:rPr>
        <w:t> </w:t>
      </w:r>
      <w:r>
        <w:rPr>
          <w:sz w:val="26"/>
        </w:rPr>
        <w:t>manea</w:t>
      </w:r>
      <w:r>
        <w:rPr>
          <w:spacing w:val="-10"/>
          <w:sz w:val="26"/>
        </w:rPr>
        <w:t> </w:t>
      </w:r>
      <w:r>
        <w:rPr>
          <w:sz w:val="26"/>
        </w:rPr>
        <w:t>la</w:t>
      </w:r>
      <w:r>
        <w:rPr>
          <w:spacing w:val="-15"/>
          <w:sz w:val="26"/>
        </w:rPr>
        <w:t> </w:t>
      </w:r>
      <w:r>
        <w:rPr>
          <w:sz w:val="26"/>
        </w:rPr>
        <w:t>necesidad</w:t>
      </w:r>
      <w:r>
        <w:rPr>
          <w:spacing w:val="-14"/>
          <w:sz w:val="26"/>
        </w:rPr>
        <w:t> </w:t>
      </w:r>
      <w:r>
        <w:rPr>
          <w:sz w:val="26"/>
        </w:rPr>
        <w:t>de</w:t>
      </w:r>
      <w:r>
        <w:rPr>
          <w:spacing w:val="-15"/>
          <w:sz w:val="26"/>
        </w:rPr>
        <w:t> </w:t>
      </w:r>
      <w:r>
        <w:rPr>
          <w:sz w:val="26"/>
        </w:rPr>
        <w:t>plaguicidas. Un ejemplo sería la rotación de gramíneas y</w:t>
      </w:r>
      <w:r>
        <w:rPr>
          <w:spacing w:val="-15"/>
          <w:sz w:val="26"/>
        </w:rPr>
        <w:t> </w:t>
      </w:r>
      <w:r>
        <w:rPr>
          <w:sz w:val="26"/>
        </w:rPr>
        <w:t>leguminosas.</w:t>
      </w:r>
    </w:p>
    <w:p>
      <w:pPr>
        <w:pStyle w:val="BodyText"/>
      </w:pPr>
    </w:p>
    <w:p>
      <w:pPr>
        <w:pStyle w:val="ListParagraph"/>
        <w:numPr>
          <w:ilvl w:val="2"/>
          <w:numId w:val="52"/>
        </w:numPr>
        <w:tabs>
          <w:tab w:pos="837" w:val="left" w:leader="none"/>
        </w:tabs>
        <w:spacing w:line="357" w:lineRule="auto" w:before="159" w:after="0"/>
        <w:ind w:left="837" w:right="432" w:hanging="361"/>
        <w:jc w:val="both"/>
        <w:rPr>
          <w:sz w:val="26"/>
        </w:rPr>
      </w:pPr>
      <w:r>
        <w:rPr>
          <w:b/>
          <w:sz w:val="26"/>
        </w:rPr>
        <w:t>Labranza conservacionista. </w:t>
      </w:r>
      <w:r>
        <w:rPr>
          <w:sz w:val="26"/>
        </w:rPr>
        <w:t>Este sistema de plantación, conocido también con el nombre de labranza reducida, mantiene al menos el 30% de la superficie del cielo cubierta con residuos después de la plantación. </w:t>
      </w:r>
      <w:r>
        <w:rPr>
          <w:spacing w:val="-3"/>
          <w:sz w:val="26"/>
        </w:rPr>
        <w:t>La </w:t>
      </w:r>
      <w:r>
        <w:rPr>
          <w:sz w:val="26"/>
        </w:rPr>
        <w:t>erosión se reduce gracias a la cubierta del suelo. Disminuye también la escorrentía y aumenta la infiltración</w:t>
      </w:r>
      <w:r>
        <w:rPr>
          <w:spacing w:val="-27"/>
          <w:sz w:val="26"/>
        </w:rPr>
        <w:t> </w:t>
      </w:r>
      <w:r>
        <w:rPr>
          <w:sz w:val="26"/>
        </w:rPr>
        <w:t>hacia las aguas</w:t>
      </w:r>
      <w:r>
        <w:rPr>
          <w:spacing w:val="-10"/>
          <w:sz w:val="26"/>
        </w:rPr>
        <w:t> </w:t>
      </w:r>
      <w:r>
        <w:rPr>
          <w:sz w:val="26"/>
        </w:rPr>
        <w:t>subterráneas.</w:t>
      </w:r>
    </w:p>
    <w:p>
      <w:pPr>
        <w:pStyle w:val="BodyText"/>
      </w:pPr>
    </w:p>
    <w:p>
      <w:pPr>
        <w:pStyle w:val="ListParagraph"/>
        <w:numPr>
          <w:ilvl w:val="2"/>
          <w:numId w:val="52"/>
        </w:numPr>
        <w:tabs>
          <w:tab w:pos="837" w:val="left" w:leader="none"/>
        </w:tabs>
        <w:spacing w:line="357" w:lineRule="auto" w:before="159" w:after="0"/>
        <w:ind w:left="837" w:right="3680" w:hanging="361"/>
        <w:jc w:val="both"/>
        <w:rPr>
          <w:sz w:val="26"/>
        </w:rPr>
      </w:pPr>
      <w:r>
        <w:rPr/>
        <w:drawing>
          <wp:anchor distT="0" distB="0" distL="0" distR="0" allowOverlap="1" layoutInCell="1" locked="0" behindDoc="0" simplePos="0" relativeHeight="6736">
            <wp:simplePos x="0" y="0"/>
            <wp:positionH relativeFrom="page">
              <wp:posOffset>4925567</wp:posOffset>
            </wp:positionH>
            <wp:positionV relativeFrom="paragraph">
              <wp:posOffset>51813</wp:posOffset>
            </wp:positionV>
            <wp:extent cx="2161032" cy="1712975"/>
            <wp:effectExtent l="0" t="0" r="0" b="0"/>
            <wp:wrapNone/>
            <wp:docPr id="37" name="image127.png" descr=""/>
            <wp:cNvGraphicFramePr>
              <a:graphicFrameLocks noChangeAspect="1"/>
            </wp:cNvGraphicFramePr>
            <a:graphic>
              <a:graphicData uri="http://schemas.openxmlformats.org/drawingml/2006/picture">
                <pic:pic>
                  <pic:nvPicPr>
                    <pic:cNvPr id="38" name="image127.png"/>
                    <pic:cNvPicPr/>
                  </pic:nvPicPr>
                  <pic:blipFill>
                    <a:blip r:embed="rId180" cstate="print"/>
                    <a:stretch>
                      <a:fillRect/>
                    </a:stretch>
                  </pic:blipFill>
                  <pic:spPr>
                    <a:xfrm>
                      <a:off x="0" y="0"/>
                      <a:ext cx="2161032" cy="1712975"/>
                    </a:xfrm>
                    <a:prstGeom prst="rect">
                      <a:avLst/>
                    </a:prstGeom>
                  </pic:spPr>
                </pic:pic>
              </a:graphicData>
            </a:graphic>
          </wp:anchor>
        </w:drawing>
      </w:r>
      <w:r>
        <w:rPr>
          <w:b/>
          <w:sz w:val="26"/>
        </w:rPr>
        <w:t>Cultivo en curvas </w:t>
      </w:r>
      <w:r>
        <w:rPr>
          <w:b/>
          <w:spacing w:val="-3"/>
          <w:sz w:val="26"/>
        </w:rPr>
        <w:t>de </w:t>
      </w:r>
      <w:r>
        <w:rPr>
          <w:b/>
          <w:sz w:val="26"/>
        </w:rPr>
        <w:t>nivel. </w:t>
      </w:r>
      <w:r>
        <w:rPr>
          <w:sz w:val="26"/>
        </w:rPr>
        <w:t>Las prácticas de aradura, plantación y algunas otras de ordenación se realizan siguiendo las curvas de nivel, con lo que se reduce la erosión y la escorrentía (Figura</w:t>
      </w:r>
      <w:r>
        <w:rPr>
          <w:spacing w:val="-6"/>
          <w:sz w:val="26"/>
        </w:rPr>
        <w:t> </w:t>
      </w:r>
      <w:r>
        <w:rPr>
          <w:sz w:val="26"/>
        </w:rPr>
        <w:t>40).</w:t>
      </w:r>
    </w:p>
    <w:p>
      <w:pPr>
        <w:pStyle w:val="BodyText"/>
      </w:pPr>
    </w:p>
    <w:p>
      <w:pPr>
        <w:pStyle w:val="BodyText"/>
      </w:pPr>
    </w:p>
    <w:p>
      <w:pPr>
        <w:pStyle w:val="BodyText"/>
        <w:spacing w:before="3"/>
        <w:rPr>
          <w:sz w:val="35"/>
        </w:rPr>
      </w:pPr>
    </w:p>
    <w:p>
      <w:pPr>
        <w:spacing w:before="0"/>
        <w:ind w:left="0" w:right="427" w:firstLine="0"/>
        <w:jc w:val="right"/>
        <w:rPr>
          <w:sz w:val="22"/>
        </w:rPr>
      </w:pPr>
      <w:r>
        <w:rPr>
          <w:sz w:val="22"/>
        </w:rPr>
        <w:t>Fuente: GEM, (2009).</w:t>
      </w:r>
    </w:p>
    <w:p>
      <w:pPr>
        <w:pStyle w:val="Heading1"/>
        <w:spacing w:before="122"/>
        <w:ind w:left="0" w:right="437"/>
        <w:jc w:val="right"/>
      </w:pPr>
      <w:bookmarkStart w:name="_bookmark127" w:id="184"/>
      <w:bookmarkEnd w:id="184"/>
      <w:r>
        <w:rPr>
          <w:b w:val="0"/>
        </w:rPr>
      </w:r>
      <w:r>
        <w:rPr/>
        <w:t>Figura 40. Surcado en contorno.</w:t>
      </w:r>
    </w:p>
    <w:p>
      <w:pPr>
        <w:spacing w:after="0"/>
        <w:jc w:val="right"/>
        <w:sectPr>
          <w:pgSz w:w="12240" w:h="15840"/>
          <w:pgMar w:header="0" w:footer="1473" w:top="1360" w:bottom="1660" w:left="1300" w:right="980"/>
        </w:sectPr>
      </w:pPr>
    </w:p>
    <w:p>
      <w:pPr>
        <w:pStyle w:val="ListParagraph"/>
        <w:numPr>
          <w:ilvl w:val="0"/>
          <w:numId w:val="16"/>
        </w:numPr>
        <w:tabs>
          <w:tab w:pos="477" w:val="left" w:leader="none"/>
        </w:tabs>
        <w:spacing w:line="357" w:lineRule="auto" w:before="29" w:after="0"/>
        <w:ind w:left="477" w:right="112" w:hanging="361"/>
        <w:jc w:val="both"/>
        <w:rPr>
          <w:sz w:val="26"/>
        </w:rPr>
      </w:pPr>
      <w:r>
        <w:rPr>
          <w:b/>
          <w:sz w:val="26"/>
        </w:rPr>
        <w:t>Cultivos para cubierta y abono verde. </w:t>
      </w:r>
      <w:r>
        <w:rPr>
          <w:sz w:val="26"/>
        </w:rPr>
        <w:t>Cultivo de gramíneas, leguminosas o cereales pequeños sembrados a escasa distancia con la finalidad principal de conseguir una protección estacional y mejorar los suelos, normalmente, durante un año, o</w:t>
      </w:r>
      <w:r>
        <w:rPr>
          <w:spacing w:val="-5"/>
          <w:sz w:val="26"/>
        </w:rPr>
        <w:t> </w:t>
      </w:r>
      <w:r>
        <w:rPr>
          <w:sz w:val="26"/>
        </w:rPr>
        <w:t>menos.</w:t>
      </w:r>
    </w:p>
    <w:p>
      <w:pPr>
        <w:pStyle w:val="BodyText"/>
      </w:pPr>
    </w:p>
    <w:p>
      <w:pPr>
        <w:pStyle w:val="BodyText"/>
        <w:spacing w:before="8"/>
        <w:rPr>
          <w:sz w:val="21"/>
        </w:rPr>
      </w:pPr>
    </w:p>
    <w:p>
      <w:pPr>
        <w:pStyle w:val="ListParagraph"/>
        <w:numPr>
          <w:ilvl w:val="0"/>
          <w:numId w:val="16"/>
        </w:numPr>
        <w:tabs>
          <w:tab w:pos="477" w:val="left" w:leader="none"/>
        </w:tabs>
        <w:spacing w:line="355" w:lineRule="auto" w:before="1" w:after="0"/>
        <w:ind w:left="477" w:right="112" w:hanging="361"/>
        <w:jc w:val="both"/>
        <w:rPr>
          <w:sz w:val="26"/>
        </w:rPr>
      </w:pPr>
      <w:r>
        <w:rPr>
          <w:b/>
          <w:sz w:val="26"/>
        </w:rPr>
        <w:t>Plantación en las zonas más expuestas. </w:t>
      </w:r>
      <w:r>
        <w:rPr>
          <w:sz w:val="26"/>
        </w:rPr>
        <w:t>Plantación de vegetación, como árboles, arbustos, parras, hierbas o leguminosas, en zonas sometidas a procesos de erosión</w:t>
      </w:r>
      <w:r>
        <w:rPr>
          <w:spacing w:val="-27"/>
          <w:sz w:val="26"/>
        </w:rPr>
        <w:t> </w:t>
      </w:r>
      <w:r>
        <w:rPr>
          <w:sz w:val="26"/>
        </w:rPr>
        <w:t>o muy</w:t>
      </w:r>
      <w:r>
        <w:rPr>
          <w:spacing w:val="-6"/>
          <w:sz w:val="26"/>
        </w:rPr>
        <w:t> </w:t>
      </w:r>
      <w:r>
        <w:rPr>
          <w:sz w:val="26"/>
        </w:rPr>
        <w:t>erosionables.</w:t>
      </w:r>
    </w:p>
    <w:p>
      <w:pPr>
        <w:pStyle w:val="BodyText"/>
      </w:pPr>
    </w:p>
    <w:p>
      <w:pPr>
        <w:pStyle w:val="BodyText"/>
        <w:spacing w:before="5"/>
        <w:rPr>
          <w:sz w:val="22"/>
        </w:rPr>
      </w:pPr>
    </w:p>
    <w:p>
      <w:pPr>
        <w:pStyle w:val="ListParagraph"/>
        <w:numPr>
          <w:ilvl w:val="0"/>
          <w:numId w:val="16"/>
        </w:numPr>
        <w:tabs>
          <w:tab w:pos="477" w:val="left" w:leader="none"/>
        </w:tabs>
        <w:spacing w:line="350" w:lineRule="auto" w:before="0" w:after="0"/>
        <w:ind w:left="477" w:right="111" w:hanging="361"/>
        <w:jc w:val="both"/>
        <w:rPr>
          <w:sz w:val="26"/>
        </w:rPr>
      </w:pPr>
      <w:r>
        <w:rPr>
          <w:b/>
          <w:sz w:val="26"/>
        </w:rPr>
        <w:t>Aprovechamiento de los residuos </w:t>
      </w:r>
      <w:r>
        <w:rPr>
          <w:b/>
          <w:spacing w:val="-3"/>
          <w:sz w:val="26"/>
        </w:rPr>
        <w:t>de </w:t>
      </w:r>
      <w:r>
        <w:rPr>
          <w:b/>
          <w:sz w:val="26"/>
        </w:rPr>
        <w:t>las cosechas. </w:t>
      </w:r>
      <w:r>
        <w:rPr>
          <w:sz w:val="26"/>
        </w:rPr>
        <w:t>Utilización de los residuos vegetales para proteger los terrenos cultivados durante períodos de fuerte</w:t>
      </w:r>
      <w:r>
        <w:rPr>
          <w:spacing w:val="-11"/>
          <w:sz w:val="26"/>
        </w:rPr>
        <w:t> </w:t>
      </w:r>
      <w:r>
        <w:rPr>
          <w:sz w:val="26"/>
        </w:rPr>
        <w:t>erosión.</w:t>
      </w:r>
    </w:p>
    <w:p>
      <w:pPr>
        <w:pStyle w:val="BodyText"/>
      </w:pPr>
    </w:p>
    <w:p>
      <w:pPr>
        <w:pStyle w:val="BodyText"/>
        <w:spacing w:before="10"/>
        <w:rPr>
          <w:sz w:val="22"/>
        </w:rPr>
      </w:pPr>
    </w:p>
    <w:p>
      <w:pPr>
        <w:pStyle w:val="ListParagraph"/>
        <w:numPr>
          <w:ilvl w:val="0"/>
          <w:numId w:val="16"/>
        </w:numPr>
        <w:tabs>
          <w:tab w:pos="477" w:val="left" w:leader="none"/>
        </w:tabs>
        <w:spacing w:line="357" w:lineRule="auto" w:before="0" w:after="0"/>
        <w:ind w:left="477" w:right="117" w:hanging="361"/>
        <w:jc w:val="both"/>
        <w:rPr>
          <w:sz w:val="26"/>
        </w:rPr>
      </w:pPr>
      <w:r>
        <w:rPr>
          <w:b/>
          <w:sz w:val="26"/>
        </w:rPr>
        <w:t>Retraso</w:t>
      </w:r>
      <w:r>
        <w:rPr>
          <w:b/>
          <w:spacing w:val="-9"/>
          <w:sz w:val="26"/>
        </w:rPr>
        <w:t> </w:t>
      </w:r>
      <w:r>
        <w:rPr>
          <w:b/>
          <w:sz w:val="26"/>
        </w:rPr>
        <w:t>en</w:t>
      </w:r>
      <w:r>
        <w:rPr>
          <w:b/>
          <w:spacing w:val="-15"/>
          <w:sz w:val="26"/>
        </w:rPr>
        <w:t> </w:t>
      </w:r>
      <w:r>
        <w:rPr>
          <w:b/>
          <w:sz w:val="26"/>
        </w:rPr>
        <w:t>la</w:t>
      </w:r>
      <w:r>
        <w:rPr>
          <w:b/>
          <w:spacing w:val="-5"/>
          <w:sz w:val="26"/>
        </w:rPr>
        <w:t> </w:t>
      </w:r>
      <w:r>
        <w:rPr>
          <w:b/>
          <w:sz w:val="26"/>
        </w:rPr>
        <w:t>preparación</w:t>
      </w:r>
      <w:r>
        <w:rPr>
          <w:b/>
          <w:spacing w:val="-3"/>
          <w:sz w:val="26"/>
        </w:rPr>
        <w:t> </w:t>
      </w:r>
      <w:r>
        <w:rPr>
          <w:b/>
          <w:sz w:val="26"/>
        </w:rPr>
        <w:t>del</w:t>
      </w:r>
      <w:r>
        <w:rPr>
          <w:b/>
          <w:spacing w:val="-10"/>
          <w:sz w:val="26"/>
        </w:rPr>
        <w:t> </w:t>
      </w:r>
      <w:r>
        <w:rPr>
          <w:b/>
          <w:sz w:val="26"/>
        </w:rPr>
        <w:t>suelo</w:t>
      </w:r>
      <w:r>
        <w:rPr>
          <w:b/>
          <w:spacing w:val="-10"/>
          <w:sz w:val="26"/>
        </w:rPr>
        <w:t> </w:t>
      </w:r>
      <w:r>
        <w:rPr>
          <w:b/>
          <w:spacing w:val="-3"/>
          <w:sz w:val="26"/>
        </w:rPr>
        <w:t>de</w:t>
      </w:r>
      <w:r>
        <w:rPr>
          <w:b/>
          <w:spacing w:val="-10"/>
          <w:sz w:val="26"/>
        </w:rPr>
        <w:t> </w:t>
      </w:r>
      <w:r>
        <w:rPr>
          <w:b/>
          <w:sz w:val="26"/>
        </w:rPr>
        <w:t>cultivo.</w:t>
      </w:r>
      <w:r>
        <w:rPr>
          <w:b/>
          <w:spacing w:val="-7"/>
          <w:sz w:val="26"/>
        </w:rPr>
        <w:t> </w:t>
      </w:r>
      <w:r>
        <w:rPr>
          <w:sz w:val="26"/>
        </w:rPr>
        <w:t>Todo</w:t>
      </w:r>
      <w:r>
        <w:rPr>
          <w:spacing w:val="-10"/>
          <w:sz w:val="26"/>
        </w:rPr>
        <w:t> </w:t>
      </w:r>
      <w:r>
        <w:rPr>
          <w:sz w:val="26"/>
        </w:rPr>
        <w:t>sistema</w:t>
      </w:r>
      <w:r>
        <w:rPr>
          <w:spacing w:val="-5"/>
          <w:sz w:val="26"/>
        </w:rPr>
        <w:t> </w:t>
      </w:r>
      <w:r>
        <w:rPr>
          <w:sz w:val="26"/>
        </w:rPr>
        <w:t>de</w:t>
      </w:r>
      <w:r>
        <w:rPr>
          <w:spacing w:val="-10"/>
          <w:sz w:val="26"/>
        </w:rPr>
        <w:t> </w:t>
      </w:r>
      <w:r>
        <w:rPr>
          <w:sz w:val="26"/>
        </w:rPr>
        <w:t>cultivo</w:t>
      </w:r>
      <w:r>
        <w:rPr>
          <w:spacing w:val="-10"/>
          <w:sz w:val="26"/>
        </w:rPr>
        <w:t> </w:t>
      </w:r>
      <w:r>
        <w:rPr>
          <w:sz w:val="26"/>
        </w:rPr>
        <w:t>en</w:t>
      </w:r>
      <w:r>
        <w:rPr>
          <w:spacing w:val="-10"/>
          <w:sz w:val="26"/>
        </w:rPr>
        <w:t> </w:t>
      </w:r>
      <w:r>
        <w:rPr>
          <w:sz w:val="26"/>
        </w:rPr>
        <w:t>que</w:t>
      </w:r>
      <w:r>
        <w:rPr>
          <w:spacing w:val="-10"/>
          <w:sz w:val="26"/>
        </w:rPr>
        <w:t> </w:t>
      </w:r>
      <w:r>
        <w:rPr>
          <w:sz w:val="26"/>
        </w:rPr>
        <w:t>los residuos vegetales se dejan en la superficie del suelo hasta poco antes de la plantación de la cosecha siguiente. Con ello </w:t>
      </w:r>
      <w:r>
        <w:rPr>
          <w:spacing w:val="-3"/>
          <w:sz w:val="26"/>
        </w:rPr>
        <w:t>se </w:t>
      </w:r>
      <w:r>
        <w:rPr>
          <w:sz w:val="26"/>
        </w:rPr>
        <w:t>reduce el período en que se puede producir la</w:t>
      </w:r>
      <w:r>
        <w:rPr>
          <w:spacing w:val="-3"/>
          <w:sz w:val="26"/>
        </w:rPr>
        <w:t> </w:t>
      </w:r>
      <w:r>
        <w:rPr>
          <w:sz w:val="26"/>
        </w:rPr>
        <w:t>erosión.</w:t>
      </w:r>
    </w:p>
    <w:p>
      <w:pPr>
        <w:pStyle w:val="BodyText"/>
      </w:pPr>
    </w:p>
    <w:p>
      <w:pPr>
        <w:pStyle w:val="BodyText"/>
        <w:spacing w:before="2"/>
        <w:rPr>
          <w:sz w:val="22"/>
        </w:rPr>
      </w:pPr>
    </w:p>
    <w:p>
      <w:pPr>
        <w:pStyle w:val="ListParagraph"/>
        <w:numPr>
          <w:ilvl w:val="0"/>
          <w:numId w:val="16"/>
        </w:numPr>
        <w:tabs>
          <w:tab w:pos="477" w:val="left" w:leader="none"/>
        </w:tabs>
        <w:spacing w:line="355" w:lineRule="auto" w:before="0" w:after="0"/>
        <w:ind w:left="477" w:right="114" w:hanging="361"/>
        <w:jc w:val="both"/>
        <w:rPr>
          <w:sz w:val="26"/>
        </w:rPr>
      </w:pPr>
      <w:r>
        <w:rPr>
          <w:b/>
          <w:sz w:val="26"/>
        </w:rPr>
        <w:t>Desviaciones. </w:t>
      </w:r>
      <w:r>
        <w:rPr>
          <w:sz w:val="26"/>
        </w:rPr>
        <w:t>Canales construidos en sentido transversal en una ladera con un pequeño lomo de apoyo en la parte inferior. Controlando la escorrentía de la pendiente,</w:t>
      </w:r>
      <w:r>
        <w:rPr>
          <w:spacing w:val="-14"/>
          <w:sz w:val="26"/>
        </w:rPr>
        <w:t> </w:t>
      </w:r>
      <w:r>
        <w:rPr>
          <w:sz w:val="26"/>
        </w:rPr>
        <w:t>se</w:t>
      </w:r>
      <w:r>
        <w:rPr>
          <w:spacing w:val="-17"/>
          <w:sz w:val="26"/>
        </w:rPr>
        <w:t> </w:t>
      </w:r>
      <w:r>
        <w:rPr>
          <w:sz w:val="26"/>
        </w:rPr>
        <w:t>reduce</w:t>
      </w:r>
      <w:r>
        <w:rPr>
          <w:spacing w:val="-16"/>
          <w:sz w:val="26"/>
        </w:rPr>
        <w:t> </w:t>
      </w:r>
      <w:r>
        <w:rPr>
          <w:sz w:val="26"/>
        </w:rPr>
        <w:t>la</w:t>
      </w:r>
      <w:r>
        <w:rPr>
          <w:spacing w:val="-21"/>
          <w:sz w:val="26"/>
        </w:rPr>
        <w:t> </w:t>
      </w:r>
      <w:r>
        <w:rPr>
          <w:sz w:val="26"/>
        </w:rPr>
        <w:t>erosión</w:t>
      </w:r>
      <w:r>
        <w:rPr>
          <w:spacing w:val="-17"/>
          <w:sz w:val="26"/>
        </w:rPr>
        <w:t> </w:t>
      </w:r>
      <w:r>
        <w:rPr>
          <w:sz w:val="26"/>
        </w:rPr>
        <w:t>y</w:t>
      </w:r>
      <w:r>
        <w:rPr>
          <w:spacing w:val="-17"/>
          <w:sz w:val="26"/>
        </w:rPr>
        <w:t> </w:t>
      </w:r>
      <w:r>
        <w:rPr>
          <w:sz w:val="26"/>
        </w:rPr>
        <w:t>aumenta</w:t>
      </w:r>
      <w:r>
        <w:rPr>
          <w:spacing w:val="-17"/>
          <w:sz w:val="26"/>
        </w:rPr>
        <w:t> </w:t>
      </w:r>
      <w:r>
        <w:rPr>
          <w:sz w:val="26"/>
        </w:rPr>
        <w:t>la</w:t>
      </w:r>
      <w:r>
        <w:rPr>
          <w:spacing w:val="-17"/>
          <w:sz w:val="26"/>
        </w:rPr>
        <w:t> </w:t>
      </w:r>
      <w:r>
        <w:rPr>
          <w:sz w:val="26"/>
        </w:rPr>
        <w:t>infiltración</w:t>
      </w:r>
      <w:r>
        <w:rPr>
          <w:spacing w:val="-17"/>
          <w:sz w:val="26"/>
        </w:rPr>
        <w:t> </w:t>
      </w:r>
      <w:r>
        <w:rPr>
          <w:sz w:val="26"/>
        </w:rPr>
        <w:t>hacia</w:t>
      </w:r>
      <w:r>
        <w:rPr>
          <w:spacing w:val="-16"/>
          <w:sz w:val="26"/>
        </w:rPr>
        <w:t> </w:t>
      </w:r>
      <w:r>
        <w:rPr>
          <w:sz w:val="26"/>
        </w:rPr>
        <w:t>las</w:t>
      </w:r>
      <w:r>
        <w:rPr>
          <w:spacing w:val="-17"/>
          <w:sz w:val="26"/>
        </w:rPr>
        <w:t> </w:t>
      </w:r>
      <w:r>
        <w:rPr>
          <w:sz w:val="26"/>
        </w:rPr>
        <w:t>aguas</w:t>
      </w:r>
      <w:r>
        <w:rPr>
          <w:spacing w:val="-17"/>
          <w:sz w:val="26"/>
        </w:rPr>
        <w:t> </w:t>
      </w:r>
      <w:r>
        <w:rPr>
          <w:sz w:val="26"/>
        </w:rPr>
        <w:t>subterráneas.</w:t>
      </w:r>
    </w:p>
    <w:p>
      <w:pPr>
        <w:pStyle w:val="BodyText"/>
      </w:pPr>
    </w:p>
    <w:p>
      <w:pPr>
        <w:pStyle w:val="BodyText"/>
        <w:spacing w:before="5"/>
        <w:rPr>
          <w:sz w:val="22"/>
        </w:rPr>
      </w:pPr>
    </w:p>
    <w:p>
      <w:pPr>
        <w:pStyle w:val="ListParagraph"/>
        <w:numPr>
          <w:ilvl w:val="0"/>
          <w:numId w:val="16"/>
        </w:numPr>
        <w:tabs>
          <w:tab w:pos="477" w:val="left" w:leader="none"/>
        </w:tabs>
        <w:spacing w:line="357" w:lineRule="auto" w:before="0" w:after="0"/>
        <w:ind w:left="477" w:right="114" w:hanging="361"/>
        <w:jc w:val="both"/>
        <w:rPr>
          <w:sz w:val="26"/>
        </w:rPr>
      </w:pPr>
      <w:r>
        <w:rPr>
          <w:b/>
          <w:sz w:val="26"/>
        </w:rPr>
        <w:t>Franjas </w:t>
      </w:r>
      <w:r>
        <w:rPr>
          <w:b/>
          <w:spacing w:val="-3"/>
          <w:sz w:val="26"/>
        </w:rPr>
        <w:t>de </w:t>
      </w:r>
      <w:r>
        <w:rPr>
          <w:b/>
          <w:sz w:val="26"/>
        </w:rPr>
        <w:t>filtro y delimitación </w:t>
      </w:r>
      <w:r>
        <w:rPr>
          <w:b/>
          <w:spacing w:val="-3"/>
          <w:sz w:val="26"/>
        </w:rPr>
        <w:t>de </w:t>
      </w:r>
      <w:r>
        <w:rPr>
          <w:b/>
          <w:sz w:val="26"/>
        </w:rPr>
        <w:t>las fincas. </w:t>
      </w:r>
      <w:r>
        <w:rPr>
          <w:sz w:val="26"/>
        </w:rPr>
        <w:t>Franjas de vegetación herbácea perenne en el linde de las fincas. Con ello se frena la escorrentía y se detienen los sedimentos más gruesos. Sin embargo, la eficacia es pequeña en el caso de los sedimentos finos y de los contaminantes a ellos</w:t>
      </w:r>
      <w:r>
        <w:rPr>
          <w:spacing w:val="-13"/>
          <w:sz w:val="26"/>
        </w:rPr>
        <w:t> </w:t>
      </w:r>
      <w:r>
        <w:rPr>
          <w:sz w:val="26"/>
        </w:rPr>
        <w:t>asociados.</w:t>
      </w:r>
    </w:p>
    <w:p>
      <w:pPr>
        <w:spacing w:after="0" w:line="357" w:lineRule="auto"/>
        <w:jc w:val="both"/>
        <w:rPr>
          <w:sz w:val="26"/>
        </w:rPr>
        <w:sectPr>
          <w:footerReference w:type="default" r:id="rId181"/>
          <w:pgSz w:w="12240" w:h="15840"/>
          <w:pgMar w:footer="1473" w:header="0" w:top="1380" w:bottom="1660" w:left="1660" w:right="1300"/>
          <w:pgNumType w:start="151"/>
        </w:sectPr>
      </w:pPr>
    </w:p>
    <w:p>
      <w:pPr>
        <w:pStyle w:val="ListParagraph"/>
        <w:numPr>
          <w:ilvl w:val="0"/>
          <w:numId w:val="16"/>
        </w:numPr>
        <w:tabs>
          <w:tab w:pos="477" w:val="left" w:leader="none"/>
        </w:tabs>
        <w:spacing w:line="357" w:lineRule="auto" w:before="29" w:after="0"/>
        <w:ind w:left="477" w:right="515" w:hanging="361"/>
        <w:jc w:val="both"/>
        <w:rPr>
          <w:sz w:val="26"/>
        </w:rPr>
      </w:pPr>
      <w:r>
        <w:rPr>
          <w:b/>
          <w:sz w:val="26"/>
        </w:rPr>
        <w:t>Cursos </w:t>
      </w:r>
      <w:r>
        <w:rPr>
          <w:b/>
          <w:spacing w:val="-3"/>
          <w:sz w:val="26"/>
        </w:rPr>
        <w:t>de </w:t>
      </w:r>
      <w:r>
        <w:rPr>
          <w:b/>
          <w:sz w:val="26"/>
        </w:rPr>
        <w:t>agua cubiertos </w:t>
      </w:r>
      <w:r>
        <w:rPr>
          <w:b/>
          <w:spacing w:val="-3"/>
          <w:sz w:val="26"/>
        </w:rPr>
        <w:t>de </w:t>
      </w:r>
      <w:r>
        <w:rPr>
          <w:b/>
          <w:sz w:val="26"/>
        </w:rPr>
        <w:t>hierba. </w:t>
      </w:r>
      <w:r>
        <w:rPr>
          <w:sz w:val="26"/>
        </w:rPr>
        <w:t>Cursos de agua natural o artificial cubiertos de vegetación y con una sección transversal apropiada para impedir la erosión del cauce. </w:t>
      </w:r>
      <w:r>
        <w:rPr>
          <w:spacing w:val="-3"/>
          <w:sz w:val="26"/>
        </w:rPr>
        <w:t>La </w:t>
      </w:r>
      <w:r>
        <w:rPr>
          <w:sz w:val="26"/>
        </w:rPr>
        <w:t>vegetación servirá también para detener los sedimentos que se filtran de las fincas</w:t>
      </w:r>
      <w:r>
        <w:rPr>
          <w:spacing w:val="-4"/>
          <w:sz w:val="26"/>
        </w:rPr>
        <w:t> </w:t>
      </w:r>
      <w:r>
        <w:rPr>
          <w:sz w:val="26"/>
        </w:rPr>
        <w:t>adyacentes.</w:t>
      </w:r>
    </w:p>
    <w:p>
      <w:pPr>
        <w:pStyle w:val="BodyText"/>
        <w:rPr>
          <w:sz w:val="20"/>
        </w:rPr>
      </w:pPr>
    </w:p>
    <w:p>
      <w:pPr>
        <w:pStyle w:val="BodyText"/>
        <w:spacing w:before="3"/>
        <w:rPr>
          <w:sz w:val="23"/>
        </w:rPr>
      </w:pPr>
    </w:p>
    <w:p>
      <w:pPr>
        <w:spacing w:after="0"/>
        <w:rPr>
          <w:sz w:val="23"/>
        </w:rPr>
        <w:sectPr>
          <w:pgSz w:w="12240" w:h="15840"/>
          <w:pgMar w:header="0" w:footer="1473" w:top="1380" w:bottom="1660" w:left="1660" w:right="900"/>
        </w:sectPr>
      </w:pPr>
    </w:p>
    <w:p>
      <w:pPr>
        <w:pStyle w:val="ListParagraph"/>
        <w:numPr>
          <w:ilvl w:val="0"/>
          <w:numId w:val="16"/>
        </w:numPr>
        <w:tabs>
          <w:tab w:pos="477" w:val="left" w:leader="none"/>
        </w:tabs>
        <w:spacing w:line="360" w:lineRule="auto" w:before="52" w:after="0"/>
        <w:ind w:left="477" w:right="0" w:hanging="361"/>
        <w:jc w:val="both"/>
        <w:rPr>
          <w:sz w:val="26"/>
        </w:rPr>
      </w:pPr>
      <w:r>
        <w:rPr>
          <w:b/>
          <w:sz w:val="26"/>
        </w:rPr>
        <w:t>Cultivo en franjas. </w:t>
      </w:r>
      <w:r>
        <w:rPr>
          <w:sz w:val="26"/>
        </w:rPr>
        <w:t>Distribución sistemática de los cultivos en franjas o bandas en sentido transversal al de la pendiente general (no siguiendo las curvas de nivel) para reducir la erosión del agua. Los cultivos se disponen de manera que se pueda alternar una franja de hierba o de cultivos sembrados muy próximos con una franja de barbecho o de un cultivo sin hierbas (Figura</w:t>
      </w:r>
      <w:r>
        <w:rPr>
          <w:spacing w:val="-10"/>
          <w:sz w:val="26"/>
        </w:rPr>
        <w:t> </w:t>
      </w:r>
      <w:r>
        <w:rPr>
          <w:sz w:val="26"/>
        </w:rPr>
        <w:t>41).</w:t>
      </w:r>
    </w:p>
    <w:p>
      <w:pPr>
        <w:pStyle w:val="BodyText"/>
        <w:spacing w:before="2"/>
        <w:rPr>
          <w:sz w:val="9"/>
        </w:rPr>
      </w:pPr>
      <w:r>
        <w:rPr/>
        <w:br w:type="column"/>
      </w:r>
      <w:r>
        <w:rPr>
          <w:sz w:val="9"/>
        </w:rPr>
      </w:r>
    </w:p>
    <w:p>
      <w:pPr>
        <w:pStyle w:val="BodyText"/>
        <w:ind w:left="116"/>
        <w:rPr>
          <w:sz w:val="20"/>
        </w:rPr>
      </w:pPr>
      <w:r>
        <w:rPr>
          <w:sz w:val="20"/>
        </w:rPr>
        <w:drawing>
          <wp:inline distT="0" distB="0" distL="0" distR="0">
            <wp:extent cx="2983001" cy="2790253"/>
            <wp:effectExtent l="0" t="0" r="0" b="0"/>
            <wp:docPr id="39" name="image128.png" descr=""/>
            <wp:cNvGraphicFramePr>
              <a:graphicFrameLocks noChangeAspect="1"/>
            </wp:cNvGraphicFramePr>
            <a:graphic>
              <a:graphicData uri="http://schemas.openxmlformats.org/drawingml/2006/picture">
                <pic:pic>
                  <pic:nvPicPr>
                    <pic:cNvPr id="40" name="image128.png"/>
                    <pic:cNvPicPr/>
                  </pic:nvPicPr>
                  <pic:blipFill>
                    <a:blip r:embed="rId182" cstate="print"/>
                    <a:stretch>
                      <a:fillRect/>
                    </a:stretch>
                  </pic:blipFill>
                  <pic:spPr>
                    <a:xfrm>
                      <a:off x="0" y="0"/>
                      <a:ext cx="2983001" cy="2790253"/>
                    </a:xfrm>
                    <a:prstGeom prst="rect">
                      <a:avLst/>
                    </a:prstGeom>
                  </pic:spPr>
                </pic:pic>
              </a:graphicData>
            </a:graphic>
          </wp:inline>
        </w:drawing>
      </w:r>
      <w:r>
        <w:rPr>
          <w:sz w:val="20"/>
        </w:rPr>
      </w:r>
    </w:p>
    <w:p>
      <w:pPr>
        <w:spacing w:line="252" w:lineRule="exact" w:before="58"/>
        <w:ind w:left="2447" w:right="0" w:firstLine="0"/>
        <w:jc w:val="left"/>
        <w:rPr>
          <w:sz w:val="22"/>
        </w:rPr>
      </w:pPr>
      <w:r>
        <w:rPr>
          <w:sz w:val="22"/>
        </w:rPr>
        <w:t>Fuente: GEM, (2009).</w:t>
      </w:r>
    </w:p>
    <w:p>
      <w:pPr>
        <w:pStyle w:val="Heading1"/>
        <w:spacing w:line="298" w:lineRule="exact"/>
        <w:ind w:left="622"/>
      </w:pPr>
      <w:bookmarkStart w:name="_bookmark128" w:id="185"/>
      <w:bookmarkEnd w:id="185"/>
      <w:r>
        <w:rPr>
          <w:b w:val="0"/>
        </w:rPr>
      </w:r>
      <w:r>
        <w:rPr/>
        <w:t>Figura 41. Surcos o melgas rectas.</w:t>
      </w:r>
    </w:p>
    <w:p>
      <w:pPr>
        <w:spacing w:after="0" w:line="298" w:lineRule="exact"/>
        <w:sectPr>
          <w:type w:val="continuous"/>
          <w:pgSz w:w="12240" w:h="15840"/>
          <w:pgMar w:top="1500" w:bottom="280" w:left="1660" w:right="900"/>
          <w:cols w:num="2" w:equalWidth="0">
            <w:col w:w="4701" w:space="65"/>
            <w:col w:w="4914"/>
          </w:cols>
        </w:sectPr>
      </w:pPr>
    </w:p>
    <w:p>
      <w:pPr>
        <w:pStyle w:val="BodyText"/>
        <w:rPr>
          <w:b/>
          <w:sz w:val="13"/>
        </w:rPr>
      </w:pPr>
    </w:p>
    <w:p>
      <w:pPr>
        <w:spacing w:after="0"/>
        <w:rPr>
          <w:sz w:val="13"/>
        </w:rPr>
        <w:sectPr>
          <w:type w:val="continuous"/>
          <w:pgSz w:w="12240" w:h="15840"/>
          <w:pgMar w:top="1500" w:bottom="280" w:left="1660" w:right="900"/>
        </w:sectPr>
      </w:pPr>
    </w:p>
    <w:p>
      <w:pPr>
        <w:pStyle w:val="ListParagraph"/>
        <w:numPr>
          <w:ilvl w:val="0"/>
          <w:numId w:val="16"/>
        </w:numPr>
        <w:tabs>
          <w:tab w:pos="477" w:val="left" w:leader="none"/>
        </w:tabs>
        <w:spacing w:line="360" w:lineRule="auto" w:before="51" w:after="0"/>
        <w:ind w:left="477" w:right="0" w:hanging="361"/>
        <w:jc w:val="both"/>
        <w:rPr>
          <w:sz w:val="26"/>
        </w:rPr>
      </w:pPr>
      <w:r>
        <w:rPr>
          <w:b/>
          <w:sz w:val="26"/>
        </w:rPr>
        <w:t>Construcción </w:t>
      </w:r>
      <w:r>
        <w:rPr>
          <w:b/>
          <w:spacing w:val="-3"/>
          <w:sz w:val="26"/>
        </w:rPr>
        <w:t>de </w:t>
      </w:r>
      <w:r>
        <w:rPr>
          <w:b/>
          <w:sz w:val="26"/>
        </w:rPr>
        <w:t>terrazas. </w:t>
      </w:r>
      <w:r>
        <w:rPr>
          <w:sz w:val="26"/>
        </w:rPr>
        <w:t>Las terrazas son terraplanes</w:t>
      </w:r>
      <w:r>
        <w:rPr>
          <w:spacing w:val="-7"/>
          <w:sz w:val="26"/>
        </w:rPr>
        <w:t> </w:t>
      </w:r>
      <w:r>
        <w:rPr>
          <w:sz w:val="26"/>
        </w:rPr>
        <w:t>construidos</w:t>
      </w:r>
      <w:r>
        <w:rPr>
          <w:spacing w:val="-7"/>
          <w:sz w:val="26"/>
        </w:rPr>
        <w:t> </w:t>
      </w:r>
      <w:r>
        <w:rPr>
          <w:sz w:val="26"/>
        </w:rPr>
        <w:t>de</w:t>
      </w:r>
      <w:r>
        <w:rPr>
          <w:spacing w:val="-7"/>
          <w:sz w:val="26"/>
        </w:rPr>
        <w:t> </w:t>
      </w:r>
      <w:r>
        <w:rPr>
          <w:sz w:val="26"/>
        </w:rPr>
        <w:t>tierra</w:t>
      </w:r>
      <w:r>
        <w:rPr>
          <w:spacing w:val="-7"/>
          <w:sz w:val="26"/>
        </w:rPr>
        <w:t> </w:t>
      </w:r>
      <w:r>
        <w:rPr>
          <w:sz w:val="26"/>
        </w:rPr>
        <w:t>(o</w:t>
      </w:r>
      <w:r>
        <w:rPr>
          <w:spacing w:val="-7"/>
          <w:sz w:val="26"/>
        </w:rPr>
        <w:t> </w:t>
      </w:r>
      <w:r>
        <w:rPr>
          <w:sz w:val="26"/>
        </w:rPr>
        <w:t>de</w:t>
      </w:r>
      <w:r>
        <w:rPr>
          <w:spacing w:val="-7"/>
          <w:sz w:val="26"/>
        </w:rPr>
        <w:t> </w:t>
      </w:r>
      <w:r>
        <w:rPr>
          <w:sz w:val="26"/>
        </w:rPr>
        <w:t>piedras</w:t>
      </w:r>
      <w:r>
        <w:rPr>
          <w:spacing w:val="-7"/>
          <w:sz w:val="26"/>
        </w:rPr>
        <w:t> </w:t>
      </w:r>
      <w:r>
        <w:rPr>
          <w:sz w:val="26"/>
        </w:rPr>
        <w:t>u</w:t>
      </w:r>
      <w:r>
        <w:rPr>
          <w:spacing w:val="-10"/>
          <w:sz w:val="26"/>
        </w:rPr>
        <w:t> </w:t>
      </w:r>
      <w:r>
        <w:rPr>
          <w:sz w:val="26"/>
        </w:rPr>
        <w:t>otros materiales) que retrasan la escorrentía y reducen la erosión fragmentando la ladera en numerosas superficies llanas separadas por pendientes protegidas con vegetación permanente. Las terrazas se construyen en tierras con inclinación muy pronunciada; en laderas de pendiente suave, las terrazas son muy anchas (Figura</w:t>
      </w:r>
      <w:r>
        <w:rPr>
          <w:spacing w:val="-16"/>
          <w:sz w:val="26"/>
        </w:rPr>
        <w:t> </w:t>
      </w:r>
      <w:r>
        <w:rPr>
          <w:sz w:val="26"/>
        </w:rPr>
        <w:t>42).</w:t>
      </w:r>
    </w:p>
    <w:p>
      <w:pPr>
        <w:pStyle w:val="BodyText"/>
        <w:spacing w:before="10"/>
        <w:rPr>
          <w:sz w:val="6"/>
        </w:rPr>
      </w:pPr>
      <w:r>
        <w:rPr/>
        <w:br w:type="column"/>
      </w:r>
      <w:r>
        <w:rPr>
          <w:sz w:val="6"/>
        </w:rPr>
      </w:r>
    </w:p>
    <w:p>
      <w:pPr>
        <w:pStyle w:val="BodyText"/>
        <w:ind w:left="116"/>
        <w:rPr>
          <w:sz w:val="20"/>
        </w:rPr>
      </w:pPr>
      <w:r>
        <w:rPr>
          <w:sz w:val="20"/>
        </w:rPr>
        <w:drawing>
          <wp:inline distT="0" distB="0" distL="0" distR="0">
            <wp:extent cx="1902412" cy="2347722"/>
            <wp:effectExtent l="0" t="0" r="0" b="0"/>
            <wp:docPr id="41" name="image129.png" descr=""/>
            <wp:cNvGraphicFramePr>
              <a:graphicFrameLocks noChangeAspect="1"/>
            </wp:cNvGraphicFramePr>
            <a:graphic>
              <a:graphicData uri="http://schemas.openxmlformats.org/drawingml/2006/picture">
                <pic:pic>
                  <pic:nvPicPr>
                    <pic:cNvPr id="42" name="image129.png"/>
                    <pic:cNvPicPr/>
                  </pic:nvPicPr>
                  <pic:blipFill>
                    <a:blip r:embed="rId183" cstate="print"/>
                    <a:stretch>
                      <a:fillRect/>
                    </a:stretch>
                  </pic:blipFill>
                  <pic:spPr>
                    <a:xfrm>
                      <a:off x="0" y="0"/>
                      <a:ext cx="1902412" cy="2347722"/>
                    </a:xfrm>
                    <a:prstGeom prst="rect">
                      <a:avLst/>
                    </a:prstGeom>
                  </pic:spPr>
                </pic:pic>
              </a:graphicData>
            </a:graphic>
          </wp:inline>
        </w:drawing>
      </w:r>
      <w:r>
        <w:rPr>
          <w:sz w:val="20"/>
        </w:rPr>
      </w:r>
    </w:p>
    <w:p>
      <w:pPr>
        <w:pStyle w:val="BodyText"/>
        <w:spacing w:before="8"/>
        <w:rPr>
          <w:sz w:val="28"/>
        </w:rPr>
      </w:pPr>
    </w:p>
    <w:p>
      <w:pPr>
        <w:spacing w:before="0"/>
        <w:ind w:left="1195" w:right="0" w:firstLine="0"/>
        <w:jc w:val="left"/>
        <w:rPr>
          <w:sz w:val="22"/>
        </w:rPr>
      </w:pPr>
      <w:r>
        <w:rPr>
          <w:sz w:val="22"/>
        </w:rPr>
        <w:t>Fuente: GEM, (2009).</w:t>
      </w:r>
    </w:p>
    <w:p>
      <w:pPr>
        <w:spacing w:after="0"/>
        <w:jc w:val="left"/>
        <w:rPr>
          <w:sz w:val="22"/>
        </w:rPr>
        <w:sectPr>
          <w:type w:val="continuous"/>
          <w:pgSz w:w="12240" w:h="15840"/>
          <w:pgMar w:top="1500" w:bottom="280" w:left="1660" w:right="900"/>
          <w:cols w:num="2" w:equalWidth="0">
            <w:col w:w="5956" w:space="63"/>
            <w:col w:w="3661"/>
          </w:cols>
        </w:sectPr>
      </w:pPr>
    </w:p>
    <w:p>
      <w:pPr>
        <w:pStyle w:val="Heading1"/>
        <w:spacing w:before="2"/>
        <w:ind w:left="4572"/>
      </w:pPr>
      <w:bookmarkStart w:name="_bookmark129" w:id="186"/>
      <w:bookmarkEnd w:id="186"/>
      <w:r>
        <w:rPr>
          <w:b w:val="0"/>
        </w:rPr>
      </w:r>
      <w:r>
        <w:rPr>
          <w:sz w:val="22"/>
        </w:rPr>
        <w:t>Figu</w:t>
      </w:r>
      <w:r>
        <w:rPr/>
        <w:t>ra 42. Terraza de formación sucesiva.</w:t>
      </w:r>
    </w:p>
    <w:p>
      <w:pPr>
        <w:spacing w:after="0"/>
        <w:sectPr>
          <w:type w:val="continuous"/>
          <w:pgSz w:w="12240" w:h="15840"/>
          <w:pgMar w:top="1500" w:bottom="280" w:left="1660" w:right="900"/>
        </w:sectPr>
      </w:pPr>
    </w:p>
    <w:p>
      <w:pPr>
        <w:pStyle w:val="BodyText"/>
        <w:spacing w:line="360" w:lineRule="auto" w:before="49"/>
        <w:ind w:left="116" w:right="115"/>
        <w:jc w:val="both"/>
      </w:pPr>
      <w:r>
        <w:rPr/>
        <w:t>Para la zona centro de la cuenca ocupada por agricultura de temporal en valle y riego, se aprecian fenómenos de azolvamiento provocada por el acarreo de material suelto de las laderas,</w:t>
      </w:r>
      <w:r>
        <w:rPr>
          <w:spacing w:val="-10"/>
        </w:rPr>
        <w:t> </w:t>
      </w:r>
      <w:r>
        <w:rPr/>
        <w:t>el</w:t>
      </w:r>
      <w:r>
        <w:rPr>
          <w:spacing w:val="-13"/>
        </w:rPr>
        <w:t> </w:t>
      </w:r>
      <w:r>
        <w:rPr/>
        <w:t>principal</w:t>
      </w:r>
      <w:r>
        <w:rPr>
          <w:spacing w:val="-12"/>
        </w:rPr>
        <w:t> </w:t>
      </w:r>
      <w:r>
        <w:rPr/>
        <w:t>problema</w:t>
      </w:r>
      <w:r>
        <w:rPr>
          <w:spacing w:val="-13"/>
        </w:rPr>
        <w:t> </w:t>
      </w:r>
      <w:r>
        <w:rPr/>
        <w:t>recae</w:t>
      </w:r>
      <w:r>
        <w:rPr>
          <w:spacing w:val="-12"/>
        </w:rPr>
        <w:t> </w:t>
      </w:r>
      <w:r>
        <w:rPr/>
        <w:t>en</w:t>
      </w:r>
      <w:r>
        <w:rPr>
          <w:spacing w:val="-13"/>
        </w:rPr>
        <w:t> </w:t>
      </w:r>
      <w:r>
        <w:rPr/>
        <w:t>que</w:t>
      </w:r>
      <w:r>
        <w:rPr>
          <w:spacing w:val="-12"/>
        </w:rPr>
        <w:t> </w:t>
      </w:r>
      <w:r>
        <w:rPr/>
        <w:t>en</w:t>
      </w:r>
      <w:r>
        <w:rPr>
          <w:spacing w:val="-13"/>
        </w:rPr>
        <w:t> </w:t>
      </w:r>
      <w:r>
        <w:rPr/>
        <w:t>dicha</w:t>
      </w:r>
      <w:r>
        <w:rPr>
          <w:spacing w:val="-12"/>
        </w:rPr>
        <w:t> </w:t>
      </w:r>
      <w:r>
        <w:rPr/>
        <w:t>zona</w:t>
      </w:r>
      <w:r>
        <w:rPr>
          <w:spacing w:val="-13"/>
        </w:rPr>
        <w:t> </w:t>
      </w:r>
      <w:r>
        <w:rPr/>
        <w:t>se</w:t>
      </w:r>
      <w:r>
        <w:rPr>
          <w:spacing w:val="-13"/>
        </w:rPr>
        <w:t> </w:t>
      </w:r>
      <w:r>
        <w:rPr/>
        <w:t>encuentran</w:t>
      </w:r>
      <w:r>
        <w:rPr>
          <w:spacing w:val="-13"/>
        </w:rPr>
        <w:t> </w:t>
      </w:r>
      <w:r>
        <w:rPr/>
        <w:t>los</w:t>
      </w:r>
      <w:r>
        <w:rPr>
          <w:spacing w:val="-13"/>
        </w:rPr>
        <w:t> </w:t>
      </w:r>
      <w:r>
        <w:rPr/>
        <w:t>cuerpos</w:t>
      </w:r>
      <w:r>
        <w:rPr>
          <w:spacing w:val="-13"/>
        </w:rPr>
        <w:t> </w:t>
      </w:r>
      <w:r>
        <w:rPr/>
        <w:t>de</w:t>
      </w:r>
      <w:r>
        <w:rPr>
          <w:spacing w:val="-13"/>
        </w:rPr>
        <w:t> </w:t>
      </w:r>
      <w:r>
        <w:rPr/>
        <w:t>agua más importantes de la cuenca de los que se abastece la actividad agrícola, por tanto las actividades antes propuestas son de urgente</w:t>
      </w:r>
      <w:r>
        <w:rPr>
          <w:spacing w:val="-8"/>
        </w:rPr>
        <w:t> </w:t>
      </w:r>
      <w:r>
        <w:rPr/>
        <w:t>prioridad.</w:t>
      </w:r>
    </w:p>
    <w:p>
      <w:pPr>
        <w:pStyle w:val="BodyText"/>
      </w:pPr>
    </w:p>
    <w:p>
      <w:pPr>
        <w:pStyle w:val="BodyText"/>
        <w:spacing w:before="156"/>
        <w:ind w:left="116"/>
        <w:jc w:val="both"/>
      </w:pPr>
      <w:r>
        <w:rPr/>
        <w:t>Una posible práctica para controlar los sedimentos deslavados son:</w:t>
      </w:r>
    </w:p>
    <w:p>
      <w:pPr>
        <w:pStyle w:val="ListParagraph"/>
        <w:numPr>
          <w:ilvl w:val="1"/>
          <w:numId w:val="16"/>
        </w:numPr>
        <w:tabs>
          <w:tab w:pos="837" w:val="left" w:leader="none"/>
        </w:tabs>
        <w:spacing w:line="357" w:lineRule="auto" w:before="148" w:after="0"/>
        <w:ind w:left="837" w:right="116" w:hanging="361"/>
        <w:jc w:val="both"/>
        <w:rPr>
          <w:rFonts w:ascii="Symbol" w:hAnsi="Symbol"/>
          <w:sz w:val="26"/>
        </w:rPr>
      </w:pPr>
      <w:r>
        <w:rPr>
          <w:b/>
          <w:sz w:val="26"/>
        </w:rPr>
        <w:t>Pozas </w:t>
      </w:r>
      <w:r>
        <w:rPr>
          <w:b/>
          <w:spacing w:val="-3"/>
          <w:sz w:val="26"/>
        </w:rPr>
        <w:t>de </w:t>
      </w:r>
      <w:r>
        <w:rPr>
          <w:b/>
          <w:sz w:val="26"/>
        </w:rPr>
        <w:t>sedimentación. </w:t>
      </w:r>
      <w:r>
        <w:rPr>
          <w:sz w:val="26"/>
        </w:rPr>
        <w:t>Pozas construidas para recoger y almacenar los sedimentos durante los episodios de escorrentía. </w:t>
      </w:r>
      <w:r>
        <w:rPr>
          <w:spacing w:val="-3"/>
          <w:sz w:val="26"/>
        </w:rPr>
        <w:t>Se </w:t>
      </w:r>
      <w:r>
        <w:rPr>
          <w:sz w:val="26"/>
        </w:rPr>
        <w:t>conocen también con el</w:t>
      </w:r>
      <w:r>
        <w:rPr>
          <w:spacing w:val="-43"/>
          <w:sz w:val="26"/>
        </w:rPr>
        <w:t> </w:t>
      </w:r>
      <w:r>
        <w:rPr>
          <w:sz w:val="26"/>
        </w:rPr>
        <w:t>nombre de estanques de retención. Los sedimentos se depositan por efecto de la escorrentía durante el represamiento en la poza de</w:t>
      </w:r>
      <w:r>
        <w:rPr>
          <w:spacing w:val="-8"/>
          <w:sz w:val="26"/>
        </w:rPr>
        <w:t> </w:t>
      </w:r>
      <w:r>
        <w:rPr>
          <w:sz w:val="26"/>
        </w:rPr>
        <w:t>sedimentación.</w:t>
      </w:r>
    </w:p>
    <w:p>
      <w:pPr>
        <w:pStyle w:val="BodyText"/>
      </w:pPr>
    </w:p>
    <w:p>
      <w:pPr>
        <w:pStyle w:val="BodyText"/>
        <w:spacing w:line="360" w:lineRule="auto" w:before="153"/>
        <w:ind w:left="116" w:right="109"/>
        <w:jc w:val="both"/>
      </w:pPr>
      <w:r>
        <w:rPr/>
        <w:t>A manera de conclusión el Cuadro 16, muestra algunas estimaciones sobre los costos que conllevan algunas prácticas de conservación de suelos, ello con la intención de retomar las posibilidades con las que cuentan los agricultores y elegir la opción más adecuada.</w:t>
      </w:r>
    </w:p>
    <w:p>
      <w:pPr>
        <w:pStyle w:val="BodyText"/>
      </w:pPr>
    </w:p>
    <w:p>
      <w:pPr>
        <w:pStyle w:val="Heading1"/>
        <w:spacing w:line="292" w:lineRule="exact" w:before="169"/>
        <w:ind w:left="2344" w:right="118" w:hanging="2161"/>
      </w:pPr>
      <w:bookmarkStart w:name="_bookmark130" w:id="187"/>
      <w:bookmarkEnd w:id="187"/>
      <w:r>
        <w:rPr>
          <w:b w:val="0"/>
        </w:rPr>
      </w:r>
      <w:r>
        <w:rPr/>
        <w:t>Cuadro 16. Estimaciones analizadas de los costos de algunas prácticas adoptadas en los Estados Unidos para combatir la erosión.</w:t>
      </w:r>
    </w:p>
    <w:p>
      <w:pPr>
        <w:pStyle w:val="BodyText"/>
        <w:spacing w:before="10"/>
        <w:rPr>
          <w:b/>
          <w:sz w:val="17"/>
        </w:rPr>
      </w:pPr>
    </w:p>
    <w:tbl>
      <w:tblPr>
        <w:tblW w:w="0" w:type="auto"/>
        <w:jc w:val="left"/>
        <w:tblInd w:w="9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66"/>
        <w:gridCol w:w="2531"/>
      </w:tblGrid>
      <w:tr>
        <w:trPr>
          <w:trHeight w:val="288" w:hRule="exact"/>
        </w:trPr>
        <w:tc>
          <w:tcPr>
            <w:tcW w:w="5166" w:type="dxa"/>
            <w:tcBorders>
              <w:left w:val="nil"/>
              <w:right w:val="nil"/>
            </w:tcBorders>
          </w:tcPr>
          <w:p>
            <w:pPr>
              <w:pStyle w:val="TableParagraph"/>
              <w:spacing w:before="1"/>
              <w:ind w:left="2101" w:right="2171"/>
              <w:jc w:val="center"/>
              <w:rPr>
                <w:b/>
                <w:sz w:val="24"/>
              </w:rPr>
            </w:pPr>
            <w:r>
              <w:rPr>
                <w:b/>
                <w:sz w:val="24"/>
              </w:rPr>
              <w:t>Práctica</w:t>
            </w:r>
          </w:p>
        </w:tc>
        <w:tc>
          <w:tcPr>
            <w:tcW w:w="2531" w:type="dxa"/>
            <w:tcBorders>
              <w:left w:val="nil"/>
              <w:right w:val="nil"/>
            </w:tcBorders>
          </w:tcPr>
          <w:p>
            <w:pPr>
              <w:pStyle w:val="TableParagraph"/>
              <w:spacing w:before="1"/>
              <w:ind w:left="339" w:right="410"/>
              <w:jc w:val="center"/>
              <w:rPr>
                <w:b/>
                <w:sz w:val="24"/>
              </w:rPr>
            </w:pPr>
            <w:r>
              <w:rPr>
                <w:b/>
                <w:sz w:val="24"/>
              </w:rPr>
              <w:t>Orden</w:t>
            </w:r>
          </w:p>
        </w:tc>
      </w:tr>
      <w:tr>
        <w:trPr>
          <w:trHeight w:val="287" w:hRule="exact"/>
        </w:trPr>
        <w:tc>
          <w:tcPr>
            <w:tcW w:w="5166" w:type="dxa"/>
            <w:tcBorders>
              <w:left w:val="nil"/>
              <w:bottom w:val="nil"/>
              <w:right w:val="nil"/>
            </w:tcBorders>
          </w:tcPr>
          <w:p>
            <w:pPr>
              <w:pStyle w:val="TableParagraph"/>
              <w:spacing w:line="268" w:lineRule="exact" w:before="0"/>
              <w:ind w:left="105" w:right="209"/>
              <w:jc w:val="left"/>
              <w:rPr>
                <w:sz w:val="24"/>
              </w:rPr>
            </w:pPr>
            <w:r>
              <w:rPr>
                <w:sz w:val="24"/>
              </w:rPr>
              <w:t>Franjas de protección cubiertas de hierba</w:t>
            </w:r>
          </w:p>
        </w:tc>
        <w:tc>
          <w:tcPr>
            <w:tcW w:w="2531" w:type="dxa"/>
            <w:tcBorders>
              <w:left w:val="nil"/>
              <w:bottom w:val="nil"/>
              <w:right w:val="nil"/>
            </w:tcBorders>
          </w:tcPr>
          <w:p>
            <w:pPr>
              <w:pStyle w:val="TableParagraph"/>
              <w:spacing w:line="268" w:lineRule="exact" w:before="0"/>
              <w:ind w:left="347" w:right="410"/>
              <w:jc w:val="center"/>
              <w:rPr>
                <w:sz w:val="24"/>
              </w:rPr>
            </w:pPr>
            <w:r>
              <w:rPr>
                <w:sz w:val="24"/>
              </w:rPr>
              <w:t>1 (menos costosa)</w:t>
            </w:r>
          </w:p>
        </w:tc>
      </w:tr>
      <w:tr>
        <w:trPr>
          <w:trHeight w:val="276" w:hRule="exact"/>
        </w:trPr>
        <w:tc>
          <w:tcPr>
            <w:tcW w:w="5166" w:type="dxa"/>
            <w:tcBorders>
              <w:top w:val="nil"/>
              <w:left w:val="nil"/>
              <w:bottom w:val="nil"/>
              <w:right w:val="nil"/>
            </w:tcBorders>
          </w:tcPr>
          <w:p>
            <w:pPr>
              <w:pStyle w:val="TableParagraph"/>
              <w:spacing w:line="264" w:lineRule="exact" w:before="0"/>
              <w:ind w:left="105" w:right="209"/>
              <w:jc w:val="left"/>
              <w:rPr>
                <w:sz w:val="24"/>
              </w:rPr>
            </w:pPr>
            <w:r>
              <w:rPr>
                <w:sz w:val="24"/>
              </w:rPr>
              <w:t>Cultivos protectores</w:t>
            </w:r>
          </w:p>
        </w:tc>
        <w:tc>
          <w:tcPr>
            <w:tcW w:w="2531" w:type="dxa"/>
            <w:tcBorders>
              <w:top w:val="nil"/>
              <w:left w:val="nil"/>
              <w:bottom w:val="nil"/>
              <w:right w:val="nil"/>
            </w:tcBorders>
          </w:tcPr>
          <w:p>
            <w:pPr>
              <w:pStyle w:val="TableParagraph"/>
              <w:spacing w:line="264" w:lineRule="exact" w:before="0"/>
              <w:ind w:right="64"/>
              <w:jc w:val="center"/>
              <w:rPr>
                <w:sz w:val="24"/>
              </w:rPr>
            </w:pPr>
            <w:r>
              <w:rPr>
                <w:sz w:val="24"/>
              </w:rPr>
              <w:t>2</w:t>
            </w:r>
          </w:p>
        </w:tc>
      </w:tr>
      <w:tr>
        <w:trPr>
          <w:trHeight w:val="276" w:hRule="exact"/>
        </w:trPr>
        <w:tc>
          <w:tcPr>
            <w:tcW w:w="5166" w:type="dxa"/>
            <w:tcBorders>
              <w:top w:val="nil"/>
              <w:left w:val="nil"/>
              <w:bottom w:val="nil"/>
              <w:right w:val="nil"/>
            </w:tcBorders>
          </w:tcPr>
          <w:p>
            <w:pPr>
              <w:pStyle w:val="TableParagraph"/>
              <w:spacing w:line="262" w:lineRule="exact" w:before="0"/>
              <w:ind w:left="105" w:right="209"/>
              <w:jc w:val="left"/>
              <w:rPr>
                <w:sz w:val="24"/>
              </w:rPr>
            </w:pPr>
            <w:r>
              <w:rPr>
                <w:sz w:val="24"/>
              </w:rPr>
              <w:t>Cultivos en franjas</w:t>
            </w:r>
          </w:p>
        </w:tc>
        <w:tc>
          <w:tcPr>
            <w:tcW w:w="2531" w:type="dxa"/>
            <w:tcBorders>
              <w:top w:val="nil"/>
              <w:left w:val="nil"/>
              <w:bottom w:val="nil"/>
              <w:right w:val="nil"/>
            </w:tcBorders>
          </w:tcPr>
          <w:p>
            <w:pPr>
              <w:pStyle w:val="TableParagraph"/>
              <w:spacing w:line="262" w:lineRule="exact" w:before="0"/>
              <w:ind w:right="64"/>
              <w:jc w:val="center"/>
              <w:rPr>
                <w:sz w:val="24"/>
              </w:rPr>
            </w:pPr>
            <w:r>
              <w:rPr>
                <w:sz w:val="24"/>
              </w:rPr>
              <w:t>3</w:t>
            </w:r>
          </w:p>
        </w:tc>
      </w:tr>
      <w:tr>
        <w:trPr>
          <w:trHeight w:val="276" w:hRule="exact"/>
        </w:trPr>
        <w:tc>
          <w:tcPr>
            <w:tcW w:w="5166" w:type="dxa"/>
            <w:tcBorders>
              <w:top w:val="nil"/>
              <w:left w:val="nil"/>
              <w:bottom w:val="nil"/>
              <w:right w:val="nil"/>
            </w:tcBorders>
          </w:tcPr>
          <w:p>
            <w:pPr>
              <w:pStyle w:val="TableParagraph"/>
              <w:spacing w:line="264" w:lineRule="exact" w:before="0"/>
              <w:ind w:left="105" w:right="209"/>
              <w:jc w:val="left"/>
              <w:rPr>
                <w:sz w:val="24"/>
              </w:rPr>
            </w:pPr>
            <w:r>
              <w:rPr>
                <w:sz w:val="24"/>
              </w:rPr>
              <w:t>Labranza conservacionista</w:t>
            </w:r>
          </w:p>
        </w:tc>
        <w:tc>
          <w:tcPr>
            <w:tcW w:w="2531" w:type="dxa"/>
            <w:tcBorders>
              <w:top w:val="nil"/>
              <w:left w:val="nil"/>
              <w:bottom w:val="nil"/>
              <w:right w:val="nil"/>
            </w:tcBorders>
          </w:tcPr>
          <w:p>
            <w:pPr>
              <w:pStyle w:val="TableParagraph"/>
              <w:spacing w:line="264" w:lineRule="exact" w:before="0"/>
              <w:ind w:right="64"/>
              <w:jc w:val="center"/>
              <w:rPr>
                <w:sz w:val="24"/>
              </w:rPr>
            </w:pPr>
            <w:r>
              <w:rPr>
                <w:sz w:val="24"/>
              </w:rPr>
              <w:t>4</w:t>
            </w:r>
          </w:p>
        </w:tc>
      </w:tr>
      <w:tr>
        <w:trPr>
          <w:trHeight w:val="276" w:hRule="exact"/>
        </w:trPr>
        <w:tc>
          <w:tcPr>
            <w:tcW w:w="5166" w:type="dxa"/>
            <w:tcBorders>
              <w:top w:val="nil"/>
              <w:left w:val="nil"/>
              <w:bottom w:val="nil"/>
              <w:right w:val="nil"/>
            </w:tcBorders>
          </w:tcPr>
          <w:p>
            <w:pPr>
              <w:pStyle w:val="TableParagraph"/>
              <w:spacing w:line="262" w:lineRule="exact" w:before="0"/>
              <w:ind w:left="105" w:right="209"/>
              <w:jc w:val="left"/>
              <w:rPr>
                <w:sz w:val="24"/>
              </w:rPr>
            </w:pPr>
            <w:r>
              <w:rPr>
                <w:sz w:val="24"/>
              </w:rPr>
              <w:t>Repoblación forestal de tierras de cultivo y pasto</w:t>
            </w:r>
          </w:p>
        </w:tc>
        <w:tc>
          <w:tcPr>
            <w:tcW w:w="2531" w:type="dxa"/>
            <w:tcBorders>
              <w:top w:val="nil"/>
              <w:left w:val="nil"/>
              <w:bottom w:val="nil"/>
              <w:right w:val="nil"/>
            </w:tcBorders>
          </w:tcPr>
          <w:p>
            <w:pPr>
              <w:pStyle w:val="TableParagraph"/>
              <w:spacing w:line="262" w:lineRule="exact" w:before="0"/>
              <w:ind w:right="64"/>
              <w:jc w:val="center"/>
              <w:rPr>
                <w:sz w:val="24"/>
              </w:rPr>
            </w:pPr>
            <w:r>
              <w:rPr>
                <w:sz w:val="24"/>
              </w:rPr>
              <w:t>5</w:t>
            </w:r>
          </w:p>
        </w:tc>
      </w:tr>
      <w:tr>
        <w:trPr>
          <w:trHeight w:val="276" w:hRule="exact"/>
        </w:trPr>
        <w:tc>
          <w:tcPr>
            <w:tcW w:w="5166" w:type="dxa"/>
            <w:tcBorders>
              <w:top w:val="nil"/>
              <w:left w:val="nil"/>
              <w:bottom w:val="nil"/>
              <w:right w:val="nil"/>
            </w:tcBorders>
          </w:tcPr>
          <w:p>
            <w:pPr>
              <w:pStyle w:val="TableParagraph"/>
              <w:spacing w:line="264" w:lineRule="exact" w:before="0"/>
              <w:ind w:left="105" w:right="209"/>
              <w:jc w:val="left"/>
              <w:rPr>
                <w:sz w:val="24"/>
              </w:rPr>
            </w:pPr>
            <w:r>
              <w:rPr>
                <w:sz w:val="24"/>
              </w:rPr>
              <w:t>Desviaciones</w:t>
            </w:r>
          </w:p>
        </w:tc>
        <w:tc>
          <w:tcPr>
            <w:tcW w:w="2531" w:type="dxa"/>
            <w:tcBorders>
              <w:top w:val="nil"/>
              <w:left w:val="nil"/>
              <w:bottom w:val="nil"/>
              <w:right w:val="nil"/>
            </w:tcBorders>
          </w:tcPr>
          <w:p>
            <w:pPr>
              <w:pStyle w:val="TableParagraph"/>
              <w:spacing w:line="264" w:lineRule="exact" w:before="0"/>
              <w:ind w:right="64"/>
              <w:jc w:val="center"/>
              <w:rPr>
                <w:sz w:val="24"/>
              </w:rPr>
            </w:pPr>
            <w:r>
              <w:rPr>
                <w:sz w:val="24"/>
              </w:rPr>
              <w:t>6</w:t>
            </w:r>
          </w:p>
        </w:tc>
      </w:tr>
      <w:tr>
        <w:trPr>
          <w:trHeight w:val="552" w:hRule="exact"/>
        </w:trPr>
        <w:tc>
          <w:tcPr>
            <w:tcW w:w="5166" w:type="dxa"/>
            <w:tcBorders>
              <w:top w:val="nil"/>
              <w:left w:val="nil"/>
              <w:bottom w:val="nil"/>
              <w:right w:val="nil"/>
            </w:tcBorders>
          </w:tcPr>
          <w:p>
            <w:pPr>
              <w:pStyle w:val="TableParagraph"/>
              <w:spacing w:line="242" w:lineRule="auto" w:before="0"/>
              <w:ind w:left="105" w:right="209"/>
              <w:jc w:val="left"/>
              <w:rPr>
                <w:sz w:val="24"/>
              </w:rPr>
            </w:pPr>
            <w:r>
              <w:rPr>
                <w:sz w:val="24"/>
              </w:rPr>
              <w:t>Vegetación permanente en las zonas más expuestas</w:t>
            </w:r>
          </w:p>
        </w:tc>
        <w:tc>
          <w:tcPr>
            <w:tcW w:w="2531" w:type="dxa"/>
            <w:tcBorders>
              <w:top w:val="nil"/>
              <w:left w:val="nil"/>
              <w:bottom w:val="nil"/>
              <w:right w:val="nil"/>
            </w:tcBorders>
          </w:tcPr>
          <w:p>
            <w:pPr>
              <w:pStyle w:val="TableParagraph"/>
              <w:spacing w:line="262" w:lineRule="exact" w:before="0"/>
              <w:ind w:right="64"/>
              <w:jc w:val="center"/>
              <w:rPr>
                <w:sz w:val="24"/>
              </w:rPr>
            </w:pPr>
            <w:r>
              <w:rPr>
                <w:sz w:val="24"/>
              </w:rPr>
              <w:t>7</w:t>
            </w:r>
          </w:p>
        </w:tc>
      </w:tr>
      <w:tr>
        <w:trPr>
          <w:trHeight w:val="276" w:hRule="exact"/>
        </w:trPr>
        <w:tc>
          <w:tcPr>
            <w:tcW w:w="5166" w:type="dxa"/>
            <w:tcBorders>
              <w:top w:val="nil"/>
              <w:left w:val="nil"/>
              <w:bottom w:val="nil"/>
              <w:right w:val="nil"/>
            </w:tcBorders>
          </w:tcPr>
          <w:p>
            <w:pPr>
              <w:pStyle w:val="TableParagraph"/>
              <w:spacing w:line="262" w:lineRule="exact" w:before="0"/>
              <w:ind w:left="105" w:right="209"/>
              <w:jc w:val="left"/>
              <w:rPr>
                <w:sz w:val="24"/>
              </w:rPr>
            </w:pPr>
            <w:r>
              <w:rPr>
                <w:sz w:val="24"/>
              </w:rPr>
              <w:t>Terrazas</w:t>
            </w:r>
          </w:p>
        </w:tc>
        <w:tc>
          <w:tcPr>
            <w:tcW w:w="2531" w:type="dxa"/>
            <w:tcBorders>
              <w:top w:val="nil"/>
              <w:left w:val="nil"/>
              <w:bottom w:val="nil"/>
              <w:right w:val="nil"/>
            </w:tcBorders>
          </w:tcPr>
          <w:p>
            <w:pPr>
              <w:pStyle w:val="TableParagraph"/>
              <w:spacing w:line="262" w:lineRule="exact" w:before="0"/>
              <w:ind w:right="64"/>
              <w:jc w:val="center"/>
              <w:rPr>
                <w:sz w:val="24"/>
              </w:rPr>
            </w:pPr>
            <w:r>
              <w:rPr>
                <w:sz w:val="24"/>
              </w:rPr>
              <w:t>8</w:t>
            </w:r>
          </w:p>
        </w:tc>
      </w:tr>
      <w:tr>
        <w:trPr>
          <w:trHeight w:val="275" w:hRule="exact"/>
        </w:trPr>
        <w:tc>
          <w:tcPr>
            <w:tcW w:w="5166" w:type="dxa"/>
            <w:tcBorders>
              <w:top w:val="nil"/>
              <w:left w:val="nil"/>
              <w:right w:val="nil"/>
            </w:tcBorders>
          </w:tcPr>
          <w:p>
            <w:pPr>
              <w:pStyle w:val="TableParagraph"/>
              <w:spacing w:line="264" w:lineRule="exact" w:before="0"/>
              <w:ind w:left="105" w:right="209"/>
              <w:jc w:val="left"/>
              <w:rPr>
                <w:sz w:val="24"/>
              </w:rPr>
            </w:pPr>
            <w:r>
              <w:rPr>
                <w:sz w:val="24"/>
              </w:rPr>
              <w:t>Estructuras y pozas de sedimentación</w:t>
            </w:r>
          </w:p>
        </w:tc>
        <w:tc>
          <w:tcPr>
            <w:tcW w:w="2531" w:type="dxa"/>
            <w:tcBorders>
              <w:top w:val="nil"/>
              <w:left w:val="nil"/>
              <w:right w:val="nil"/>
            </w:tcBorders>
          </w:tcPr>
          <w:p>
            <w:pPr>
              <w:pStyle w:val="TableParagraph"/>
              <w:spacing w:line="264" w:lineRule="exact" w:before="0"/>
              <w:ind w:left="347" w:right="410"/>
              <w:jc w:val="center"/>
              <w:rPr>
                <w:sz w:val="24"/>
              </w:rPr>
            </w:pPr>
            <w:r>
              <w:rPr>
                <w:sz w:val="24"/>
              </w:rPr>
              <w:t>9 (más costosa)</w:t>
            </w:r>
          </w:p>
        </w:tc>
      </w:tr>
    </w:tbl>
    <w:p>
      <w:pPr>
        <w:spacing w:line="245" w:lineRule="exact" w:before="0"/>
        <w:ind w:left="255" w:right="254" w:firstLine="0"/>
        <w:jc w:val="center"/>
        <w:rPr>
          <w:sz w:val="22"/>
        </w:rPr>
      </w:pPr>
      <w:r>
        <w:rPr>
          <w:sz w:val="22"/>
        </w:rPr>
        <w:t>Fuente: Roose, (1994).</w:t>
      </w:r>
    </w:p>
    <w:p>
      <w:pPr>
        <w:pStyle w:val="BodyText"/>
        <w:rPr>
          <w:sz w:val="22"/>
        </w:rPr>
      </w:pPr>
    </w:p>
    <w:p>
      <w:pPr>
        <w:pStyle w:val="BodyText"/>
        <w:spacing w:line="362" w:lineRule="auto" w:before="196"/>
        <w:ind w:left="116" w:right="120" w:hanging="4"/>
        <w:jc w:val="center"/>
      </w:pPr>
      <w:r>
        <w:rPr/>
        <w:t>Además se recomienda determinar la cantidad de agua aplicada a los cultivos y el método de</w:t>
      </w:r>
      <w:r>
        <w:rPr>
          <w:spacing w:val="-17"/>
        </w:rPr>
        <w:t> </w:t>
      </w:r>
      <w:r>
        <w:rPr/>
        <w:t>riego,</w:t>
      </w:r>
      <w:r>
        <w:rPr>
          <w:spacing w:val="-15"/>
        </w:rPr>
        <w:t> </w:t>
      </w:r>
      <w:r>
        <w:rPr/>
        <w:t>con</w:t>
      </w:r>
      <w:r>
        <w:rPr>
          <w:spacing w:val="-17"/>
        </w:rPr>
        <w:t> </w:t>
      </w:r>
      <w:r>
        <w:rPr/>
        <w:t>el</w:t>
      </w:r>
      <w:r>
        <w:rPr>
          <w:spacing w:val="-20"/>
        </w:rPr>
        <w:t> </w:t>
      </w:r>
      <w:r>
        <w:rPr/>
        <w:t>fin</w:t>
      </w:r>
      <w:r>
        <w:rPr>
          <w:spacing w:val="-20"/>
        </w:rPr>
        <w:t> </w:t>
      </w:r>
      <w:r>
        <w:rPr/>
        <w:t>de</w:t>
      </w:r>
      <w:r>
        <w:rPr>
          <w:spacing w:val="-17"/>
        </w:rPr>
        <w:t> </w:t>
      </w:r>
      <w:r>
        <w:rPr/>
        <w:t>mejorar</w:t>
      </w:r>
      <w:r>
        <w:rPr>
          <w:spacing w:val="-16"/>
        </w:rPr>
        <w:t> </w:t>
      </w:r>
      <w:r>
        <w:rPr/>
        <w:t>la</w:t>
      </w:r>
      <w:r>
        <w:rPr>
          <w:spacing w:val="-20"/>
        </w:rPr>
        <w:t> </w:t>
      </w:r>
      <w:r>
        <w:rPr/>
        <w:t>productividad</w:t>
      </w:r>
      <w:r>
        <w:rPr>
          <w:spacing w:val="-17"/>
        </w:rPr>
        <w:t> </w:t>
      </w:r>
      <w:r>
        <w:rPr/>
        <w:t>y</w:t>
      </w:r>
      <w:r>
        <w:rPr>
          <w:spacing w:val="-15"/>
        </w:rPr>
        <w:t> </w:t>
      </w:r>
      <w:r>
        <w:rPr/>
        <w:t>hacer</w:t>
      </w:r>
      <w:r>
        <w:rPr>
          <w:spacing w:val="-16"/>
        </w:rPr>
        <w:t> </w:t>
      </w:r>
      <w:r>
        <w:rPr/>
        <w:t>eficiente</w:t>
      </w:r>
      <w:r>
        <w:rPr>
          <w:spacing w:val="-20"/>
        </w:rPr>
        <w:t> </w:t>
      </w:r>
      <w:r>
        <w:rPr/>
        <w:t>el</w:t>
      </w:r>
      <w:r>
        <w:rPr>
          <w:spacing w:val="-20"/>
        </w:rPr>
        <w:t> </w:t>
      </w:r>
      <w:r>
        <w:rPr/>
        <w:t>uso</w:t>
      </w:r>
      <w:r>
        <w:rPr>
          <w:spacing w:val="-17"/>
        </w:rPr>
        <w:t> </w:t>
      </w:r>
      <w:r>
        <w:rPr/>
        <w:t>de</w:t>
      </w:r>
      <w:r>
        <w:rPr>
          <w:spacing w:val="-20"/>
        </w:rPr>
        <w:t> </w:t>
      </w:r>
      <w:r>
        <w:rPr/>
        <w:t>agua,</w:t>
      </w:r>
      <w:r>
        <w:rPr>
          <w:spacing w:val="-14"/>
        </w:rPr>
        <w:t> </w:t>
      </w:r>
      <w:r>
        <w:rPr/>
        <w:t>por</w:t>
      </w:r>
      <w:r>
        <w:rPr>
          <w:spacing w:val="-20"/>
        </w:rPr>
        <w:t> </w:t>
      </w:r>
      <w:r>
        <w:rPr/>
        <w:t>ejemplo:</w:t>
      </w:r>
    </w:p>
    <w:p>
      <w:pPr>
        <w:spacing w:after="0" w:line="362" w:lineRule="auto"/>
        <w:jc w:val="center"/>
        <w:sectPr>
          <w:pgSz w:w="12240" w:h="15840"/>
          <w:pgMar w:header="0" w:footer="1473" w:top="1360" w:bottom="1660" w:left="1300" w:right="1300"/>
        </w:sectPr>
      </w:pPr>
    </w:p>
    <w:p>
      <w:pPr>
        <w:pStyle w:val="ListParagraph"/>
        <w:numPr>
          <w:ilvl w:val="1"/>
          <w:numId w:val="16"/>
        </w:numPr>
        <w:tabs>
          <w:tab w:pos="833" w:val="left" w:leader="none"/>
        </w:tabs>
        <w:spacing w:line="360" w:lineRule="auto" w:before="49" w:after="0"/>
        <w:ind w:left="832" w:right="118" w:hanging="361"/>
        <w:jc w:val="both"/>
        <w:rPr>
          <w:rFonts w:ascii="Symbol" w:hAnsi="Symbol"/>
          <w:sz w:val="20"/>
        </w:rPr>
      </w:pPr>
      <w:r>
        <w:rPr>
          <w:b/>
          <w:sz w:val="26"/>
        </w:rPr>
        <w:t>Riego por aspersión. </w:t>
      </w:r>
      <w:r>
        <w:rPr>
          <w:sz w:val="26"/>
        </w:rPr>
        <w:t>Consiste en el riego en forma de lluvia a través de unos dispositivos</w:t>
      </w:r>
      <w:r>
        <w:rPr>
          <w:spacing w:val="-16"/>
          <w:sz w:val="26"/>
        </w:rPr>
        <w:t> </w:t>
      </w:r>
      <w:r>
        <w:rPr>
          <w:sz w:val="26"/>
        </w:rPr>
        <w:t>de</w:t>
      </w:r>
      <w:r>
        <w:rPr>
          <w:spacing w:val="-16"/>
          <w:sz w:val="26"/>
        </w:rPr>
        <w:t> </w:t>
      </w:r>
      <w:r>
        <w:rPr>
          <w:sz w:val="26"/>
        </w:rPr>
        <w:t>emisión</w:t>
      </w:r>
      <w:r>
        <w:rPr>
          <w:spacing w:val="-16"/>
          <w:sz w:val="26"/>
        </w:rPr>
        <w:t> </w:t>
      </w:r>
      <w:r>
        <w:rPr>
          <w:sz w:val="26"/>
        </w:rPr>
        <w:t>de</w:t>
      </w:r>
      <w:r>
        <w:rPr>
          <w:spacing w:val="-16"/>
          <w:sz w:val="26"/>
        </w:rPr>
        <w:t> </w:t>
      </w:r>
      <w:r>
        <w:rPr>
          <w:sz w:val="26"/>
        </w:rPr>
        <w:t>agua,</w:t>
      </w:r>
      <w:r>
        <w:rPr>
          <w:spacing w:val="-13"/>
          <w:sz w:val="26"/>
        </w:rPr>
        <w:t> </w:t>
      </w:r>
      <w:r>
        <w:rPr>
          <w:sz w:val="26"/>
        </w:rPr>
        <w:t>llamados</w:t>
      </w:r>
      <w:r>
        <w:rPr>
          <w:spacing w:val="-16"/>
          <w:sz w:val="26"/>
        </w:rPr>
        <w:t> </w:t>
      </w:r>
      <w:r>
        <w:rPr>
          <w:sz w:val="26"/>
        </w:rPr>
        <w:t>aspersores,</w:t>
      </w:r>
      <w:r>
        <w:rPr>
          <w:spacing w:val="-13"/>
          <w:sz w:val="26"/>
        </w:rPr>
        <w:t> </w:t>
      </w:r>
      <w:r>
        <w:rPr>
          <w:sz w:val="26"/>
        </w:rPr>
        <w:t>que</w:t>
      </w:r>
      <w:r>
        <w:rPr>
          <w:spacing w:val="-16"/>
          <w:sz w:val="26"/>
        </w:rPr>
        <w:t> </w:t>
      </w:r>
      <w:r>
        <w:rPr>
          <w:sz w:val="26"/>
        </w:rPr>
        <w:t>generan</w:t>
      </w:r>
      <w:r>
        <w:rPr>
          <w:spacing w:val="-15"/>
          <w:sz w:val="26"/>
        </w:rPr>
        <w:t> </w:t>
      </w:r>
      <w:r>
        <w:rPr>
          <w:sz w:val="26"/>
        </w:rPr>
        <w:t>un</w:t>
      </w:r>
      <w:r>
        <w:rPr>
          <w:spacing w:val="-16"/>
          <w:sz w:val="26"/>
        </w:rPr>
        <w:t> </w:t>
      </w:r>
      <w:r>
        <w:rPr>
          <w:sz w:val="26"/>
        </w:rPr>
        <w:t>chorro</w:t>
      </w:r>
      <w:r>
        <w:rPr>
          <w:spacing w:val="-16"/>
          <w:sz w:val="26"/>
        </w:rPr>
        <w:t> </w:t>
      </w:r>
      <w:r>
        <w:rPr>
          <w:sz w:val="26"/>
        </w:rPr>
        <w:t>de</w:t>
      </w:r>
      <w:r>
        <w:rPr>
          <w:spacing w:val="-16"/>
          <w:sz w:val="26"/>
        </w:rPr>
        <w:t> </w:t>
      </w:r>
      <w:r>
        <w:rPr>
          <w:sz w:val="26"/>
        </w:rPr>
        <w:t>agua pulverizada en gotas. El agua sale por los aspersores a presión, después de a través de una red de tuberías cuya longitud depende del tamaño de la zona de</w:t>
      </w:r>
      <w:r>
        <w:rPr>
          <w:spacing w:val="-10"/>
          <w:sz w:val="26"/>
        </w:rPr>
        <w:t> </w:t>
      </w:r>
      <w:r>
        <w:rPr>
          <w:sz w:val="26"/>
        </w:rPr>
        <w:t>cultivo.</w:t>
      </w:r>
    </w:p>
    <w:p>
      <w:pPr>
        <w:pStyle w:val="BodyText"/>
        <w:spacing w:before="5"/>
        <w:rPr>
          <w:sz w:val="24"/>
        </w:rPr>
      </w:pPr>
    </w:p>
    <w:p>
      <w:pPr>
        <w:pStyle w:val="BodyText"/>
        <w:spacing w:line="360" w:lineRule="auto" w:before="1"/>
        <w:ind w:left="832" w:right="112"/>
        <w:jc w:val="both"/>
      </w:pPr>
      <w:r>
        <w:rPr>
          <w:spacing w:val="-3"/>
        </w:rPr>
        <w:t>La </w:t>
      </w:r>
      <w:r>
        <w:rPr/>
        <w:t>técnica funciona a presión gracias a un sistema de bombeo, mientras que la disposición de los aspersores es para que humedezca toda la superficie del suelo,</w:t>
      </w:r>
      <w:r>
        <w:rPr>
          <w:spacing w:val="-21"/>
        </w:rPr>
        <w:t> </w:t>
      </w:r>
      <w:r>
        <w:rPr/>
        <w:t>de la forma más homogénea</w:t>
      </w:r>
      <w:r>
        <w:rPr>
          <w:spacing w:val="-12"/>
        </w:rPr>
        <w:t> </w:t>
      </w:r>
      <w:r>
        <w:rPr/>
        <w:t>posible.</w:t>
      </w:r>
    </w:p>
    <w:p>
      <w:pPr>
        <w:pStyle w:val="BodyText"/>
        <w:spacing w:before="10"/>
        <w:rPr>
          <w:sz w:val="24"/>
        </w:rPr>
      </w:pPr>
    </w:p>
    <w:p>
      <w:pPr>
        <w:pStyle w:val="BodyText"/>
        <w:spacing w:line="360" w:lineRule="auto"/>
        <w:ind w:left="116" w:right="120"/>
        <w:jc w:val="both"/>
      </w:pPr>
      <w:r>
        <w:rPr/>
        <w:t>Además de la disponibilidad de estas técnicas de riego, muchas organizaciones en pro del medio ambiente difunden la necesidad de medidas de reúso del agua, tratamientos para su limpieza, una mejor distribución y proyectos educativos y concientización para la población.</w:t>
      </w:r>
    </w:p>
    <w:p>
      <w:pPr>
        <w:pStyle w:val="BodyText"/>
        <w:spacing w:before="10"/>
        <w:rPr>
          <w:sz w:val="24"/>
        </w:rPr>
      </w:pPr>
    </w:p>
    <w:p>
      <w:pPr>
        <w:pStyle w:val="BodyText"/>
        <w:spacing w:line="360" w:lineRule="auto"/>
        <w:ind w:left="116" w:right="109"/>
        <w:jc w:val="both"/>
      </w:pPr>
      <w:r>
        <w:rPr/>
        <w:t>También es necesario el control de uso de fertilizantes y agroquímicos, ello debido a la afectación que provoca a los recursos naturales existentes y a la salud humana. Ello considera los siguientes puntos:</w:t>
      </w:r>
    </w:p>
    <w:p>
      <w:pPr>
        <w:pStyle w:val="BodyText"/>
        <w:spacing w:before="10"/>
        <w:rPr>
          <w:sz w:val="24"/>
        </w:rPr>
      </w:pPr>
    </w:p>
    <w:p>
      <w:pPr>
        <w:pStyle w:val="ListParagraph"/>
        <w:numPr>
          <w:ilvl w:val="2"/>
          <w:numId w:val="16"/>
        </w:numPr>
        <w:tabs>
          <w:tab w:pos="1197" w:val="left" w:leader="none"/>
        </w:tabs>
        <w:spacing w:line="240" w:lineRule="auto" w:before="0" w:after="0"/>
        <w:ind w:left="1197" w:right="0" w:hanging="360"/>
        <w:jc w:val="both"/>
        <w:rPr>
          <w:sz w:val="26"/>
        </w:rPr>
      </w:pPr>
      <w:r>
        <w:rPr>
          <w:sz w:val="26"/>
        </w:rPr>
        <w:t>Identificación del</w:t>
      </w:r>
      <w:r>
        <w:rPr>
          <w:spacing w:val="-12"/>
          <w:sz w:val="26"/>
        </w:rPr>
        <w:t> </w:t>
      </w:r>
      <w:r>
        <w:rPr>
          <w:sz w:val="26"/>
        </w:rPr>
        <w:t>problema.</w:t>
      </w:r>
    </w:p>
    <w:p>
      <w:pPr>
        <w:pStyle w:val="ListParagraph"/>
        <w:numPr>
          <w:ilvl w:val="2"/>
          <w:numId w:val="16"/>
        </w:numPr>
        <w:tabs>
          <w:tab w:pos="1197" w:val="left" w:leader="none"/>
        </w:tabs>
        <w:spacing w:line="240" w:lineRule="auto" w:before="148" w:after="0"/>
        <w:ind w:left="1197" w:right="0" w:hanging="360"/>
        <w:jc w:val="both"/>
        <w:rPr>
          <w:sz w:val="26"/>
        </w:rPr>
      </w:pPr>
      <w:r>
        <w:rPr>
          <w:sz w:val="26"/>
        </w:rPr>
        <w:t>Selección del plaguicida y dosis, específicos para controlar dicho</w:t>
      </w:r>
      <w:r>
        <w:rPr>
          <w:spacing w:val="-15"/>
          <w:sz w:val="26"/>
        </w:rPr>
        <w:t> </w:t>
      </w:r>
      <w:r>
        <w:rPr>
          <w:sz w:val="26"/>
        </w:rPr>
        <w:t>problema.</w:t>
      </w:r>
    </w:p>
    <w:p>
      <w:pPr>
        <w:pStyle w:val="ListParagraph"/>
        <w:numPr>
          <w:ilvl w:val="2"/>
          <w:numId w:val="16"/>
        </w:numPr>
        <w:tabs>
          <w:tab w:pos="1197" w:val="left" w:leader="none"/>
        </w:tabs>
        <w:spacing w:line="240" w:lineRule="auto" w:before="152" w:after="0"/>
        <w:ind w:left="1197" w:right="0" w:hanging="360"/>
        <w:jc w:val="both"/>
        <w:rPr>
          <w:sz w:val="26"/>
        </w:rPr>
      </w:pPr>
      <w:r>
        <w:rPr>
          <w:sz w:val="26"/>
        </w:rPr>
        <w:t>Momento oportuno de la</w:t>
      </w:r>
      <w:r>
        <w:rPr>
          <w:spacing w:val="-7"/>
          <w:sz w:val="26"/>
        </w:rPr>
        <w:t> </w:t>
      </w:r>
      <w:r>
        <w:rPr>
          <w:sz w:val="26"/>
        </w:rPr>
        <w:t>aplicación.</w:t>
      </w:r>
    </w:p>
    <w:p>
      <w:pPr>
        <w:pStyle w:val="ListParagraph"/>
        <w:numPr>
          <w:ilvl w:val="2"/>
          <w:numId w:val="16"/>
        </w:numPr>
        <w:tabs>
          <w:tab w:pos="1197" w:val="left" w:leader="none"/>
        </w:tabs>
        <w:spacing w:line="360" w:lineRule="auto" w:before="147" w:after="0"/>
        <w:ind w:left="1197" w:right="120" w:hanging="360"/>
        <w:jc w:val="left"/>
        <w:rPr>
          <w:sz w:val="26"/>
        </w:rPr>
      </w:pPr>
      <w:r>
        <w:rPr>
          <w:sz w:val="26"/>
        </w:rPr>
        <w:t>Calibración y uso correcto del equipo de aplicación, logrando una cobertura adecuada.</w:t>
      </w:r>
    </w:p>
    <w:p>
      <w:pPr>
        <w:pStyle w:val="ListParagraph"/>
        <w:numPr>
          <w:ilvl w:val="2"/>
          <w:numId w:val="16"/>
        </w:numPr>
        <w:tabs>
          <w:tab w:pos="1197" w:val="left" w:leader="none"/>
        </w:tabs>
        <w:spacing w:line="240" w:lineRule="auto" w:before="8" w:after="0"/>
        <w:ind w:left="1197" w:right="0" w:hanging="360"/>
        <w:jc w:val="both"/>
        <w:rPr>
          <w:sz w:val="26"/>
        </w:rPr>
      </w:pPr>
      <w:r>
        <w:rPr>
          <w:sz w:val="26"/>
        </w:rPr>
        <w:t>Manejo seguro del plaguicida, tanto del operador como para el medio</w:t>
      </w:r>
      <w:r>
        <w:rPr>
          <w:spacing w:val="-23"/>
          <w:sz w:val="26"/>
        </w:rPr>
        <w:t> </w:t>
      </w:r>
      <w:r>
        <w:rPr>
          <w:sz w:val="26"/>
        </w:rPr>
        <w:t>ambiente.</w:t>
      </w:r>
    </w:p>
    <w:p>
      <w:pPr>
        <w:pStyle w:val="BodyText"/>
        <w:spacing w:before="4"/>
        <w:rPr>
          <w:sz w:val="30"/>
        </w:rPr>
      </w:pPr>
    </w:p>
    <w:p>
      <w:pPr>
        <w:pStyle w:val="BodyText"/>
        <w:spacing w:line="360" w:lineRule="auto"/>
        <w:ind w:left="116" w:right="116"/>
        <w:jc w:val="both"/>
      </w:pPr>
      <w:r>
        <w:rPr>
          <w:spacing w:val="-3"/>
        </w:rPr>
        <w:t>La </w:t>
      </w:r>
      <w:r>
        <w:rPr/>
        <w:t>planeación del cambio de uso de suelo, es otro aspecto que debe considerar para conservación</w:t>
      </w:r>
      <w:r>
        <w:rPr>
          <w:spacing w:val="-10"/>
        </w:rPr>
        <w:t> </w:t>
      </w:r>
      <w:r>
        <w:rPr/>
        <w:t>el</w:t>
      </w:r>
      <w:r>
        <w:rPr>
          <w:spacing w:val="-10"/>
        </w:rPr>
        <w:t> </w:t>
      </w:r>
      <w:r>
        <w:rPr/>
        <w:t>suelo</w:t>
      </w:r>
      <w:r>
        <w:rPr>
          <w:spacing w:val="-10"/>
        </w:rPr>
        <w:t> </w:t>
      </w:r>
      <w:r>
        <w:rPr/>
        <w:t>de</w:t>
      </w:r>
      <w:r>
        <w:rPr>
          <w:spacing w:val="-10"/>
        </w:rPr>
        <w:t> </w:t>
      </w:r>
      <w:r>
        <w:rPr/>
        <w:t>la</w:t>
      </w:r>
      <w:r>
        <w:rPr>
          <w:spacing w:val="-10"/>
        </w:rPr>
        <w:t> </w:t>
      </w:r>
      <w:r>
        <w:rPr/>
        <w:t>cuenca,</w:t>
      </w:r>
      <w:r>
        <w:rPr>
          <w:spacing w:val="-8"/>
        </w:rPr>
        <w:t> </w:t>
      </w:r>
      <w:r>
        <w:rPr/>
        <w:t>ya</w:t>
      </w:r>
      <w:r>
        <w:rPr>
          <w:spacing w:val="-10"/>
        </w:rPr>
        <w:t> </w:t>
      </w:r>
      <w:r>
        <w:rPr/>
        <w:t>que</w:t>
      </w:r>
      <w:r>
        <w:rPr>
          <w:spacing w:val="-9"/>
        </w:rPr>
        <w:t> </w:t>
      </w:r>
      <w:r>
        <w:rPr/>
        <w:t>ello</w:t>
      </w:r>
      <w:r>
        <w:rPr>
          <w:spacing w:val="-15"/>
        </w:rPr>
        <w:t> </w:t>
      </w:r>
      <w:r>
        <w:rPr/>
        <w:t>repercute</w:t>
      </w:r>
      <w:r>
        <w:rPr>
          <w:spacing w:val="-10"/>
        </w:rPr>
        <w:t> </w:t>
      </w:r>
      <w:r>
        <w:rPr/>
        <w:t>en</w:t>
      </w:r>
      <w:r>
        <w:rPr>
          <w:spacing w:val="-10"/>
        </w:rPr>
        <w:t> </w:t>
      </w:r>
      <w:r>
        <w:rPr/>
        <w:t>la</w:t>
      </w:r>
      <w:r>
        <w:rPr>
          <w:spacing w:val="-10"/>
        </w:rPr>
        <w:t> </w:t>
      </w:r>
      <w:r>
        <w:rPr/>
        <w:t>calidad</w:t>
      </w:r>
      <w:r>
        <w:rPr>
          <w:spacing w:val="-10"/>
        </w:rPr>
        <w:t> </w:t>
      </w:r>
      <w:r>
        <w:rPr/>
        <w:t>ambiental</w:t>
      </w:r>
      <w:r>
        <w:rPr>
          <w:spacing w:val="-10"/>
        </w:rPr>
        <w:t> </w:t>
      </w:r>
      <w:r>
        <w:rPr/>
        <w:t>de</w:t>
      </w:r>
      <w:r>
        <w:rPr>
          <w:spacing w:val="-10"/>
        </w:rPr>
        <w:t> </w:t>
      </w:r>
      <w:r>
        <w:rPr/>
        <w:t>la</w:t>
      </w:r>
      <w:r>
        <w:rPr>
          <w:spacing w:val="-10"/>
        </w:rPr>
        <w:t> </w:t>
      </w:r>
      <w:r>
        <w:rPr/>
        <w:t>zona, la pérdida de superficies boscosas disminuye la filtración y recarga de agua a los acuíferos y</w:t>
      </w:r>
      <w:r>
        <w:rPr>
          <w:spacing w:val="-6"/>
        </w:rPr>
        <w:t> </w:t>
      </w:r>
      <w:r>
        <w:rPr/>
        <w:t>plantas,</w:t>
      </w:r>
      <w:r>
        <w:rPr>
          <w:spacing w:val="-4"/>
        </w:rPr>
        <w:t> </w:t>
      </w:r>
      <w:r>
        <w:rPr/>
        <w:t>producción</w:t>
      </w:r>
      <w:r>
        <w:rPr>
          <w:spacing w:val="-6"/>
        </w:rPr>
        <w:t> </w:t>
      </w:r>
      <w:r>
        <w:rPr/>
        <w:t>de</w:t>
      </w:r>
      <w:r>
        <w:rPr>
          <w:spacing w:val="-6"/>
        </w:rPr>
        <w:t> </w:t>
      </w:r>
      <w:r>
        <w:rPr/>
        <w:t>oxígeno</w:t>
      </w:r>
      <w:r>
        <w:rPr>
          <w:spacing w:val="-6"/>
        </w:rPr>
        <w:t> </w:t>
      </w:r>
      <w:r>
        <w:rPr/>
        <w:t>y</w:t>
      </w:r>
      <w:r>
        <w:rPr>
          <w:spacing w:val="-6"/>
        </w:rPr>
        <w:t> </w:t>
      </w:r>
      <w:r>
        <w:rPr/>
        <w:t>captura</w:t>
      </w:r>
      <w:r>
        <w:rPr>
          <w:spacing w:val="-6"/>
        </w:rPr>
        <w:t> </w:t>
      </w:r>
      <w:r>
        <w:rPr/>
        <w:t>de</w:t>
      </w:r>
      <w:r>
        <w:rPr>
          <w:spacing w:val="-11"/>
        </w:rPr>
        <w:t> </w:t>
      </w:r>
      <w:r>
        <w:rPr/>
        <w:t>carbono,</w:t>
      </w:r>
      <w:r>
        <w:rPr>
          <w:spacing w:val="-4"/>
        </w:rPr>
        <w:t> </w:t>
      </w:r>
      <w:r>
        <w:rPr/>
        <w:t>pérdidas</w:t>
      </w:r>
      <w:r>
        <w:rPr>
          <w:spacing w:val="-6"/>
        </w:rPr>
        <w:t> </w:t>
      </w:r>
      <w:r>
        <w:rPr/>
        <w:t>de</w:t>
      </w:r>
      <w:r>
        <w:rPr>
          <w:spacing w:val="-6"/>
        </w:rPr>
        <w:t> </w:t>
      </w:r>
      <w:r>
        <w:rPr/>
        <w:t>especies</w:t>
      </w:r>
      <w:r>
        <w:rPr>
          <w:spacing w:val="-6"/>
        </w:rPr>
        <w:t> </w:t>
      </w:r>
      <w:r>
        <w:rPr/>
        <w:t>vegetales</w:t>
      </w:r>
      <w:r>
        <w:rPr>
          <w:spacing w:val="-6"/>
        </w:rPr>
        <w:t> </w:t>
      </w:r>
      <w:r>
        <w:rPr/>
        <w:t>y</w:t>
      </w:r>
      <w:r>
        <w:rPr>
          <w:spacing w:val="-6"/>
        </w:rPr>
        <w:t> </w:t>
      </w:r>
      <w:r>
        <w:rPr/>
        <w:t>de</w:t>
      </w:r>
    </w:p>
    <w:p>
      <w:pPr>
        <w:spacing w:after="0" w:line="360" w:lineRule="auto"/>
        <w:jc w:val="both"/>
        <w:sectPr>
          <w:pgSz w:w="12240" w:h="15840"/>
          <w:pgMar w:header="0" w:footer="1473" w:top="1360" w:bottom="1660" w:left="1300" w:right="1300"/>
        </w:sectPr>
      </w:pPr>
    </w:p>
    <w:p>
      <w:pPr>
        <w:pStyle w:val="BodyText"/>
        <w:spacing w:line="362" w:lineRule="auto" w:before="49"/>
        <w:ind w:left="116" w:right="457"/>
        <w:jc w:val="both"/>
      </w:pPr>
      <w:r>
        <w:rPr/>
        <w:t>fauna endémicas. El aumento de superficies agrícolas, pastizales, suelos desnudos y áreas urbanas crean una mayor presión en el uso de agua y suelo.</w:t>
      </w:r>
    </w:p>
    <w:p>
      <w:pPr>
        <w:pStyle w:val="ListParagraph"/>
        <w:numPr>
          <w:ilvl w:val="1"/>
          <w:numId w:val="16"/>
        </w:numPr>
        <w:tabs>
          <w:tab w:pos="837" w:val="left" w:leader="none"/>
        </w:tabs>
        <w:spacing w:line="360" w:lineRule="auto" w:before="202" w:after="0"/>
        <w:ind w:left="837" w:right="451" w:hanging="361"/>
        <w:jc w:val="both"/>
        <w:rPr>
          <w:rFonts w:ascii="Symbol" w:hAnsi="Symbol"/>
          <w:sz w:val="20"/>
        </w:rPr>
      </w:pPr>
      <w:r>
        <w:rPr>
          <w:sz w:val="26"/>
        </w:rPr>
        <w:t>Para</w:t>
      </w:r>
      <w:r>
        <w:rPr>
          <w:spacing w:val="-11"/>
          <w:sz w:val="26"/>
        </w:rPr>
        <w:t> </w:t>
      </w:r>
      <w:r>
        <w:rPr>
          <w:sz w:val="26"/>
        </w:rPr>
        <w:t>ello</w:t>
      </w:r>
      <w:r>
        <w:rPr>
          <w:spacing w:val="-11"/>
          <w:sz w:val="26"/>
        </w:rPr>
        <w:t> </w:t>
      </w:r>
      <w:r>
        <w:rPr>
          <w:sz w:val="26"/>
        </w:rPr>
        <w:t>se</w:t>
      </w:r>
      <w:r>
        <w:rPr>
          <w:spacing w:val="-11"/>
          <w:sz w:val="26"/>
        </w:rPr>
        <w:t> </w:t>
      </w:r>
      <w:r>
        <w:rPr>
          <w:sz w:val="26"/>
        </w:rPr>
        <w:t>presenta</w:t>
      </w:r>
      <w:r>
        <w:rPr>
          <w:spacing w:val="-10"/>
          <w:sz w:val="26"/>
        </w:rPr>
        <w:t> </w:t>
      </w:r>
      <w:r>
        <w:rPr>
          <w:sz w:val="26"/>
        </w:rPr>
        <w:t>lo</w:t>
      </w:r>
      <w:r>
        <w:rPr>
          <w:spacing w:val="-14"/>
          <w:sz w:val="26"/>
        </w:rPr>
        <w:t> </w:t>
      </w:r>
      <w:r>
        <w:rPr>
          <w:sz w:val="26"/>
        </w:rPr>
        <w:t>establecido</w:t>
      </w:r>
      <w:r>
        <w:rPr>
          <w:spacing w:val="-11"/>
          <w:sz w:val="26"/>
        </w:rPr>
        <w:t> </w:t>
      </w:r>
      <w:r>
        <w:rPr>
          <w:sz w:val="26"/>
        </w:rPr>
        <w:t>en</w:t>
      </w:r>
      <w:r>
        <w:rPr>
          <w:spacing w:val="-11"/>
          <w:sz w:val="26"/>
        </w:rPr>
        <w:t> </w:t>
      </w:r>
      <w:r>
        <w:rPr>
          <w:sz w:val="26"/>
        </w:rPr>
        <w:t>la</w:t>
      </w:r>
      <w:r>
        <w:rPr>
          <w:spacing w:val="-14"/>
          <w:sz w:val="26"/>
        </w:rPr>
        <w:t> </w:t>
      </w:r>
      <w:r>
        <w:rPr>
          <w:i/>
          <w:sz w:val="26"/>
        </w:rPr>
        <w:t>Actualización</w:t>
      </w:r>
      <w:r>
        <w:rPr>
          <w:i/>
          <w:spacing w:val="-11"/>
          <w:sz w:val="26"/>
        </w:rPr>
        <w:t> </w:t>
      </w:r>
      <w:r>
        <w:rPr>
          <w:i/>
          <w:sz w:val="26"/>
        </w:rPr>
        <w:t>del</w:t>
      </w:r>
      <w:r>
        <w:rPr>
          <w:i/>
          <w:spacing w:val="-11"/>
          <w:sz w:val="26"/>
        </w:rPr>
        <w:t> </w:t>
      </w:r>
      <w:r>
        <w:rPr>
          <w:i/>
          <w:sz w:val="26"/>
        </w:rPr>
        <w:t>Modelo</w:t>
      </w:r>
      <w:r>
        <w:rPr>
          <w:i/>
          <w:spacing w:val="-11"/>
          <w:sz w:val="26"/>
        </w:rPr>
        <w:t> </w:t>
      </w:r>
      <w:r>
        <w:rPr>
          <w:i/>
          <w:sz w:val="26"/>
        </w:rPr>
        <w:t>de</w:t>
      </w:r>
      <w:r>
        <w:rPr>
          <w:i/>
          <w:spacing w:val="-11"/>
          <w:sz w:val="26"/>
        </w:rPr>
        <w:t> </w:t>
      </w:r>
      <w:r>
        <w:rPr>
          <w:i/>
          <w:sz w:val="26"/>
        </w:rPr>
        <w:t>Ordenamiento </w:t>
      </w:r>
      <w:r>
        <w:rPr>
          <w:i/>
          <w:sz w:val="26"/>
        </w:rPr>
        <w:t>Ecológico Estatal (POEMET) </w:t>
      </w:r>
      <w:r>
        <w:rPr>
          <w:sz w:val="26"/>
        </w:rPr>
        <w:t>donde cada unidad de gestión ecológica (UGA) refleja el uso predominante y la política a la cual está sometida. </w:t>
      </w:r>
      <w:r>
        <w:rPr>
          <w:spacing w:val="-3"/>
          <w:sz w:val="26"/>
        </w:rPr>
        <w:t>La </w:t>
      </w:r>
      <w:r>
        <w:rPr>
          <w:sz w:val="26"/>
        </w:rPr>
        <w:t>cuenca se encuentra asentada sobre las unidades que se describen el Cuadro</w:t>
      </w:r>
      <w:r>
        <w:rPr>
          <w:spacing w:val="-7"/>
          <w:sz w:val="26"/>
        </w:rPr>
        <w:t> </w:t>
      </w:r>
      <w:r>
        <w:rPr>
          <w:sz w:val="26"/>
        </w:rPr>
        <w:t>17.</w:t>
      </w:r>
    </w:p>
    <w:p>
      <w:pPr>
        <w:pStyle w:val="BodyText"/>
        <w:spacing w:line="360" w:lineRule="auto" w:before="205"/>
        <w:ind w:left="116" w:right="452"/>
        <w:jc w:val="both"/>
      </w:pPr>
      <w:r>
        <w:rPr/>
        <w:t>Bajo los criterios de regulación establecido por el POEMET se busca controlar las actividades permitidas en la cuenca a fin de conservar los recursos naturales y mantener la productividad de la zona considerando que es la principal actividad económica a la que se dedica la población.</w:t>
      </w:r>
    </w:p>
    <w:p>
      <w:pPr>
        <w:pStyle w:val="Heading1"/>
        <w:spacing w:before="205"/>
        <w:ind w:left="1115"/>
      </w:pPr>
      <w:bookmarkStart w:name="_bookmark131" w:id="188"/>
      <w:bookmarkEnd w:id="188"/>
      <w:r>
        <w:rPr>
          <w:b w:val="0"/>
        </w:rPr>
      </w:r>
      <w:r>
        <w:rPr/>
        <w:t>Cuadro 17. Unidades de gestión ecológica de la cuenca El Tejocote.</w:t>
      </w:r>
    </w:p>
    <w:p>
      <w:pPr>
        <w:pStyle w:val="BodyText"/>
        <w:rPr>
          <w:b/>
          <w:sz w:val="18"/>
        </w:rPr>
      </w:pP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37"/>
        <w:gridCol w:w="2304"/>
        <w:gridCol w:w="2529"/>
        <w:gridCol w:w="3383"/>
      </w:tblGrid>
      <w:tr>
        <w:trPr>
          <w:trHeight w:val="259" w:hRule="exact"/>
        </w:trPr>
        <w:tc>
          <w:tcPr>
            <w:tcW w:w="1537" w:type="dxa"/>
            <w:tcBorders>
              <w:left w:val="nil"/>
              <w:right w:val="nil"/>
            </w:tcBorders>
          </w:tcPr>
          <w:p>
            <w:pPr>
              <w:pStyle w:val="TableParagraph"/>
              <w:spacing w:line="249" w:lineRule="exact" w:before="0"/>
              <w:ind w:left="662"/>
              <w:jc w:val="left"/>
              <w:rPr>
                <w:b/>
                <w:sz w:val="22"/>
              </w:rPr>
            </w:pPr>
            <w:r>
              <w:rPr>
                <w:b/>
                <w:sz w:val="22"/>
              </w:rPr>
              <w:t>UGA</w:t>
            </w:r>
          </w:p>
        </w:tc>
        <w:tc>
          <w:tcPr>
            <w:tcW w:w="2304" w:type="dxa"/>
            <w:tcBorders>
              <w:left w:val="nil"/>
              <w:right w:val="nil"/>
            </w:tcBorders>
          </w:tcPr>
          <w:p>
            <w:pPr>
              <w:pStyle w:val="TableParagraph"/>
              <w:spacing w:line="249" w:lineRule="exact" w:before="0"/>
              <w:ind w:left="1055"/>
              <w:jc w:val="left"/>
              <w:rPr>
                <w:b/>
                <w:sz w:val="22"/>
              </w:rPr>
            </w:pPr>
            <w:r>
              <w:rPr>
                <w:b/>
                <w:sz w:val="22"/>
              </w:rPr>
              <w:t>Política</w:t>
            </w:r>
          </w:p>
        </w:tc>
        <w:tc>
          <w:tcPr>
            <w:tcW w:w="2529" w:type="dxa"/>
            <w:tcBorders>
              <w:left w:val="nil"/>
              <w:right w:val="nil"/>
            </w:tcBorders>
          </w:tcPr>
          <w:p>
            <w:pPr>
              <w:pStyle w:val="TableParagraph"/>
              <w:spacing w:line="249" w:lineRule="exact" w:before="0"/>
              <w:ind w:left="577"/>
              <w:jc w:val="left"/>
              <w:rPr>
                <w:b/>
                <w:sz w:val="22"/>
              </w:rPr>
            </w:pPr>
            <w:r>
              <w:rPr>
                <w:b/>
                <w:sz w:val="22"/>
              </w:rPr>
              <w:t>Uso predominante</w:t>
            </w:r>
          </w:p>
        </w:tc>
        <w:tc>
          <w:tcPr>
            <w:tcW w:w="3383" w:type="dxa"/>
            <w:tcBorders>
              <w:left w:val="nil"/>
              <w:right w:val="nil"/>
            </w:tcBorders>
          </w:tcPr>
          <w:p>
            <w:pPr>
              <w:pStyle w:val="TableParagraph"/>
              <w:spacing w:line="249" w:lineRule="exact" w:before="0"/>
              <w:ind w:left="665"/>
              <w:jc w:val="left"/>
              <w:rPr>
                <w:b/>
                <w:sz w:val="22"/>
              </w:rPr>
            </w:pPr>
            <w:r>
              <w:rPr>
                <w:b/>
                <w:sz w:val="22"/>
              </w:rPr>
              <w:t>Criterios de regulación</w:t>
            </w:r>
          </w:p>
        </w:tc>
      </w:tr>
      <w:tr>
        <w:trPr>
          <w:trHeight w:val="264" w:hRule="exact"/>
        </w:trPr>
        <w:tc>
          <w:tcPr>
            <w:tcW w:w="1537" w:type="dxa"/>
            <w:tcBorders>
              <w:left w:val="nil"/>
              <w:bottom w:val="nil"/>
              <w:right w:val="nil"/>
            </w:tcBorders>
          </w:tcPr>
          <w:p>
            <w:pPr>
              <w:pStyle w:val="TableParagraph"/>
              <w:spacing w:line="249" w:lineRule="exact" w:before="0"/>
              <w:ind w:left="110"/>
              <w:jc w:val="left"/>
              <w:rPr>
                <w:sz w:val="22"/>
              </w:rPr>
            </w:pPr>
            <w:r>
              <w:rPr>
                <w:sz w:val="22"/>
              </w:rPr>
              <w:t>Ag-4-36</w:t>
            </w:r>
          </w:p>
        </w:tc>
        <w:tc>
          <w:tcPr>
            <w:tcW w:w="2304" w:type="dxa"/>
            <w:tcBorders>
              <w:left w:val="nil"/>
              <w:bottom w:val="nil"/>
              <w:right w:val="nil"/>
            </w:tcBorders>
          </w:tcPr>
          <w:p>
            <w:pPr>
              <w:pStyle w:val="TableParagraph"/>
              <w:spacing w:line="249" w:lineRule="exact" w:before="0"/>
              <w:ind w:left="383"/>
              <w:jc w:val="left"/>
              <w:rPr>
                <w:sz w:val="22"/>
              </w:rPr>
            </w:pPr>
            <w:r>
              <w:rPr>
                <w:sz w:val="22"/>
              </w:rPr>
              <w:t>Conservación</w:t>
            </w:r>
          </w:p>
        </w:tc>
        <w:tc>
          <w:tcPr>
            <w:tcW w:w="2529" w:type="dxa"/>
            <w:tcBorders>
              <w:left w:val="nil"/>
              <w:bottom w:val="nil"/>
              <w:right w:val="nil"/>
            </w:tcBorders>
          </w:tcPr>
          <w:p>
            <w:pPr>
              <w:pStyle w:val="TableParagraph"/>
              <w:spacing w:line="249" w:lineRule="exact" w:before="0"/>
              <w:ind w:left="346"/>
              <w:jc w:val="left"/>
              <w:rPr>
                <w:sz w:val="22"/>
              </w:rPr>
            </w:pPr>
            <w:r>
              <w:rPr>
                <w:sz w:val="22"/>
              </w:rPr>
              <w:t>Forestal</w:t>
            </w:r>
          </w:p>
        </w:tc>
        <w:tc>
          <w:tcPr>
            <w:tcW w:w="3383" w:type="dxa"/>
            <w:tcBorders>
              <w:left w:val="nil"/>
              <w:bottom w:val="nil"/>
              <w:right w:val="nil"/>
            </w:tcBorders>
          </w:tcPr>
          <w:p>
            <w:pPr>
              <w:pStyle w:val="TableParagraph"/>
              <w:spacing w:line="249" w:lineRule="exact" w:before="0"/>
              <w:ind w:left="227"/>
              <w:jc w:val="left"/>
              <w:rPr>
                <w:sz w:val="22"/>
              </w:rPr>
            </w:pPr>
            <w:r>
              <w:rPr>
                <w:sz w:val="22"/>
              </w:rPr>
              <w:t>109-131,170-73,187,189,190,196</w:t>
            </w:r>
          </w:p>
        </w:tc>
      </w:tr>
      <w:tr>
        <w:trPr>
          <w:trHeight w:val="252" w:hRule="exact"/>
        </w:trPr>
        <w:tc>
          <w:tcPr>
            <w:tcW w:w="1537" w:type="dxa"/>
            <w:tcBorders>
              <w:top w:val="nil"/>
              <w:left w:val="nil"/>
              <w:bottom w:val="nil"/>
              <w:right w:val="nil"/>
            </w:tcBorders>
          </w:tcPr>
          <w:p>
            <w:pPr>
              <w:pStyle w:val="TableParagraph"/>
              <w:spacing w:line="240" w:lineRule="exact" w:before="0"/>
              <w:ind w:left="110"/>
              <w:jc w:val="left"/>
              <w:rPr>
                <w:sz w:val="22"/>
              </w:rPr>
            </w:pPr>
            <w:r>
              <w:rPr>
                <w:sz w:val="22"/>
              </w:rPr>
              <w:t>Ag-4-49</w:t>
            </w:r>
          </w:p>
        </w:tc>
        <w:tc>
          <w:tcPr>
            <w:tcW w:w="2304" w:type="dxa"/>
            <w:tcBorders>
              <w:top w:val="nil"/>
              <w:left w:val="nil"/>
              <w:bottom w:val="nil"/>
              <w:right w:val="nil"/>
            </w:tcBorders>
          </w:tcPr>
          <w:p>
            <w:pPr>
              <w:pStyle w:val="TableParagraph"/>
              <w:spacing w:line="240" w:lineRule="exact" w:before="0"/>
              <w:ind w:left="383"/>
              <w:jc w:val="left"/>
              <w:rPr>
                <w:sz w:val="22"/>
              </w:rPr>
            </w:pPr>
            <w:r>
              <w:rPr>
                <w:sz w:val="22"/>
              </w:rPr>
              <w:t>Conservación</w:t>
            </w:r>
          </w:p>
        </w:tc>
        <w:tc>
          <w:tcPr>
            <w:tcW w:w="2529" w:type="dxa"/>
            <w:tcBorders>
              <w:top w:val="nil"/>
              <w:left w:val="nil"/>
              <w:bottom w:val="nil"/>
              <w:right w:val="nil"/>
            </w:tcBorders>
          </w:tcPr>
          <w:p>
            <w:pPr>
              <w:pStyle w:val="TableParagraph"/>
              <w:spacing w:line="240" w:lineRule="exact" w:before="0"/>
              <w:ind w:left="346"/>
              <w:jc w:val="left"/>
              <w:rPr>
                <w:sz w:val="22"/>
              </w:rPr>
            </w:pPr>
            <w:r>
              <w:rPr>
                <w:sz w:val="22"/>
              </w:rPr>
              <w:t>Forestal</w:t>
            </w:r>
          </w:p>
        </w:tc>
        <w:tc>
          <w:tcPr>
            <w:tcW w:w="3383" w:type="dxa"/>
            <w:tcBorders>
              <w:top w:val="nil"/>
              <w:left w:val="nil"/>
              <w:bottom w:val="nil"/>
              <w:right w:val="nil"/>
            </w:tcBorders>
          </w:tcPr>
          <w:p>
            <w:pPr>
              <w:pStyle w:val="TableParagraph"/>
              <w:spacing w:line="240" w:lineRule="exact" w:before="0"/>
              <w:ind w:left="227"/>
              <w:jc w:val="left"/>
              <w:rPr>
                <w:sz w:val="22"/>
              </w:rPr>
            </w:pPr>
            <w:r>
              <w:rPr>
                <w:sz w:val="22"/>
              </w:rPr>
              <w:t>109-131,170-73,187,189,190,196</w:t>
            </w:r>
          </w:p>
        </w:tc>
      </w:tr>
      <w:tr>
        <w:trPr>
          <w:trHeight w:val="254" w:hRule="exact"/>
        </w:trPr>
        <w:tc>
          <w:tcPr>
            <w:tcW w:w="1537" w:type="dxa"/>
            <w:tcBorders>
              <w:top w:val="nil"/>
              <w:left w:val="nil"/>
              <w:bottom w:val="nil"/>
              <w:right w:val="nil"/>
            </w:tcBorders>
          </w:tcPr>
          <w:p>
            <w:pPr>
              <w:pStyle w:val="TableParagraph"/>
              <w:spacing w:line="242" w:lineRule="exact" w:before="0"/>
              <w:ind w:left="110"/>
              <w:jc w:val="left"/>
              <w:rPr>
                <w:sz w:val="22"/>
              </w:rPr>
            </w:pPr>
            <w:r>
              <w:rPr>
                <w:sz w:val="22"/>
              </w:rPr>
              <w:t>Ag-1-59</w:t>
            </w:r>
          </w:p>
        </w:tc>
        <w:tc>
          <w:tcPr>
            <w:tcW w:w="2304" w:type="dxa"/>
            <w:tcBorders>
              <w:top w:val="nil"/>
              <w:left w:val="nil"/>
              <w:bottom w:val="nil"/>
              <w:right w:val="nil"/>
            </w:tcBorders>
          </w:tcPr>
          <w:p>
            <w:pPr>
              <w:pStyle w:val="TableParagraph"/>
              <w:spacing w:line="242" w:lineRule="exact" w:before="0"/>
              <w:ind w:left="383"/>
              <w:jc w:val="left"/>
              <w:rPr>
                <w:sz w:val="22"/>
              </w:rPr>
            </w:pPr>
            <w:r>
              <w:rPr>
                <w:sz w:val="22"/>
              </w:rPr>
              <w:t>Aprovechamiento</w:t>
            </w:r>
          </w:p>
        </w:tc>
        <w:tc>
          <w:tcPr>
            <w:tcW w:w="2529" w:type="dxa"/>
            <w:tcBorders>
              <w:top w:val="nil"/>
              <w:left w:val="nil"/>
              <w:bottom w:val="nil"/>
              <w:right w:val="nil"/>
            </w:tcBorders>
          </w:tcPr>
          <w:p>
            <w:pPr>
              <w:pStyle w:val="TableParagraph"/>
              <w:spacing w:line="242" w:lineRule="exact" w:before="0"/>
              <w:ind w:left="346"/>
              <w:jc w:val="left"/>
              <w:rPr>
                <w:sz w:val="22"/>
              </w:rPr>
            </w:pPr>
            <w:r>
              <w:rPr>
                <w:sz w:val="22"/>
              </w:rPr>
              <w:t>Pastizal (Pecuario)</w:t>
            </w:r>
          </w:p>
        </w:tc>
        <w:tc>
          <w:tcPr>
            <w:tcW w:w="3383" w:type="dxa"/>
            <w:tcBorders>
              <w:top w:val="nil"/>
              <w:left w:val="nil"/>
              <w:bottom w:val="nil"/>
              <w:right w:val="nil"/>
            </w:tcBorders>
          </w:tcPr>
          <w:p>
            <w:pPr>
              <w:pStyle w:val="TableParagraph"/>
              <w:spacing w:line="242" w:lineRule="exact" w:before="0"/>
              <w:ind w:left="227"/>
              <w:jc w:val="left"/>
              <w:rPr>
                <w:sz w:val="22"/>
              </w:rPr>
            </w:pPr>
            <w:r>
              <w:rPr>
                <w:sz w:val="22"/>
              </w:rPr>
              <w:t>109-131,170-73,187,189,190,196</w:t>
            </w:r>
          </w:p>
        </w:tc>
      </w:tr>
      <w:tr>
        <w:trPr>
          <w:trHeight w:val="252" w:hRule="exact"/>
        </w:trPr>
        <w:tc>
          <w:tcPr>
            <w:tcW w:w="1537" w:type="dxa"/>
            <w:tcBorders>
              <w:top w:val="nil"/>
              <w:left w:val="nil"/>
              <w:bottom w:val="nil"/>
              <w:right w:val="nil"/>
            </w:tcBorders>
          </w:tcPr>
          <w:p>
            <w:pPr>
              <w:pStyle w:val="TableParagraph"/>
              <w:spacing w:line="242" w:lineRule="exact" w:before="0"/>
              <w:ind w:left="110"/>
              <w:jc w:val="left"/>
              <w:rPr>
                <w:sz w:val="22"/>
              </w:rPr>
            </w:pPr>
            <w:r>
              <w:rPr>
                <w:sz w:val="22"/>
              </w:rPr>
              <w:t>Ag-4-62</w:t>
            </w:r>
          </w:p>
        </w:tc>
        <w:tc>
          <w:tcPr>
            <w:tcW w:w="2304" w:type="dxa"/>
            <w:tcBorders>
              <w:top w:val="nil"/>
              <w:left w:val="nil"/>
              <w:bottom w:val="nil"/>
              <w:right w:val="nil"/>
            </w:tcBorders>
          </w:tcPr>
          <w:p>
            <w:pPr>
              <w:pStyle w:val="TableParagraph"/>
              <w:spacing w:line="242" w:lineRule="exact" w:before="0"/>
              <w:ind w:left="383"/>
              <w:jc w:val="left"/>
              <w:rPr>
                <w:sz w:val="22"/>
              </w:rPr>
            </w:pPr>
            <w:r>
              <w:rPr>
                <w:sz w:val="22"/>
              </w:rPr>
              <w:t>Conservación</w:t>
            </w:r>
          </w:p>
        </w:tc>
        <w:tc>
          <w:tcPr>
            <w:tcW w:w="2529" w:type="dxa"/>
            <w:tcBorders>
              <w:top w:val="nil"/>
              <w:left w:val="nil"/>
              <w:bottom w:val="nil"/>
              <w:right w:val="nil"/>
            </w:tcBorders>
          </w:tcPr>
          <w:p>
            <w:pPr>
              <w:pStyle w:val="TableParagraph"/>
              <w:spacing w:line="242" w:lineRule="exact" w:before="0"/>
              <w:ind w:left="346"/>
              <w:jc w:val="left"/>
              <w:rPr>
                <w:sz w:val="22"/>
              </w:rPr>
            </w:pPr>
            <w:r>
              <w:rPr>
                <w:sz w:val="22"/>
              </w:rPr>
              <w:t>Forestal</w:t>
            </w:r>
          </w:p>
        </w:tc>
        <w:tc>
          <w:tcPr>
            <w:tcW w:w="3383" w:type="dxa"/>
            <w:tcBorders>
              <w:top w:val="nil"/>
              <w:left w:val="nil"/>
              <w:bottom w:val="nil"/>
              <w:right w:val="nil"/>
            </w:tcBorders>
          </w:tcPr>
          <w:p>
            <w:pPr>
              <w:pStyle w:val="TableParagraph"/>
              <w:spacing w:line="242" w:lineRule="exact" w:before="0"/>
              <w:ind w:left="227"/>
              <w:jc w:val="left"/>
              <w:rPr>
                <w:sz w:val="22"/>
              </w:rPr>
            </w:pPr>
            <w:r>
              <w:rPr>
                <w:sz w:val="22"/>
              </w:rPr>
              <w:t>109-131,170-73,187,189,190,196</w:t>
            </w:r>
          </w:p>
        </w:tc>
      </w:tr>
      <w:tr>
        <w:trPr>
          <w:trHeight w:val="252" w:hRule="exact"/>
        </w:trPr>
        <w:tc>
          <w:tcPr>
            <w:tcW w:w="1537" w:type="dxa"/>
            <w:tcBorders>
              <w:top w:val="nil"/>
              <w:left w:val="nil"/>
              <w:bottom w:val="nil"/>
              <w:right w:val="nil"/>
            </w:tcBorders>
          </w:tcPr>
          <w:p>
            <w:pPr>
              <w:pStyle w:val="TableParagraph"/>
              <w:spacing w:line="240" w:lineRule="exact" w:before="0"/>
              <w:ind w:left="110"/>
              <w:jc w:val="left"/>
              <w:rPr>
                <w:sz w:val="22"/>
              </w:rPr>
            </w:pPr>
            <w:r>
              <w:rPr>
                <w:sz w:val="22"/>
              </w:rPr>
              <w:t>Ag-1-66</w:t>
            </w:r>
          </w:p>
        </w:tc>
        <w:tc>
          <w:tcPr>
            <w:tcW w:w="2304" w:type="dxa"/>
            <w:tcBorders>
              <w:top w:val="nil"/>
              <w:left w:val="nil"/>
              <w:bottom w:val="nil"/>
              <w:right w:val="nil"/>
            </w:tcBorders>
          </w:tcPr>
          <w:p>
            <w:pPr>
              <w:pStyle w:val="TableParagraph"/>
              <w:spacing w:line="240" w:lineRule="exact" w:before="0"/>
              <w:ind w:left="383"/>
              <w:jc w:val="left"/>
              <w:rPr>
                <w:sz w:val="22"/>
              </w:rPr>
            </w:pPr>
            <w:r>
              <w:rPr>
                <w:sz w:val="22"/>
              </w:rPr>
              <w:t>Aprovechamiento</w:t>
            </w:r>
          </w:p>
        </w:tc>
        <w:tc>
          <w:tcPr>
            <w:tcW w:w="2529" w:type="dxa"/>
            <w:tcBorders>
              <w:top w:val="nil"/>
              <w:left w:val="nil"/>
              <w:bottom w:val="nil"/>
              <w:right w:val="nil"/>
            </w:tcBorders>
          </w:tcPr>
          <w:p>
            <w:pPr>
              <w:pStyle w:val="TableParagraph"/>
              <w:spacing w:line="240" w:lineRule="exact" w:before="0"/>
              <w:ind w:left="346"/>
              <w:jc w:val="left"/>
              <w:rPr>
                <w:sz w:val="22"/>
              </w:rPr>
            </w:pPr>
            <w:r>
              <w:rPr>
                <w:sz w:val="22"/>
              </w:rPr>
              <w:t>Agrícola</w:t>
            </w:r>
          </w:p>
        </w:tc>
        <w:tc>
          <w:tcPr>
            <w:tcW w:w="3383" w:type="dxa"/>
            <w:tcBorders>
              <w:top w:val="nil"/>
              <w:left w:val="nil"/>
              <w:bottom w:val="nil"/>
              <w:right w:val="nil"/>
            </w:tcBorders>
          </w:tcPr>
          <w:p>
            <w:pPr>
              <w:pStyle w:val="TableParagraph"/>
              <w:spacing w:line="240" w:lineRule="exact" w:before="0"/>
              <w:ind w:left="227"/>
              <w:jc w:val="left"/>
              <w:rPr>
                <w:sz w:val="22"/>
              </w:rPr>
            </w:pPr>
            <w:r>
              <w:rPr>
                <w:sz w:val="22"/>
              </w:rPr>
              <w:t>109-131,170-73,187,189,190,196</w:t>
            </w:r>
          </w:p>
        </w:tc>
      </w:tr>
      <w:tr>
        <w:trPr>
          <w:trHeight w:val="254" w:hRule="exact"/>
        </w:trPr>
        <w:tc>
          <w:tcPr>
            <w:tcW w:w="1537" w:type="dxa"/>
            <w:tcBorders>
              <w:top w:val="nil"/>
              <w:left w:val="nil"/>
              <w:bottom w:val="nil"/>
              <w:right w:val="nil"/>
            </w:tcBorders>
          </w:tcPr>
          <w:p>
            <w:pPr>
              <w:pStyle w:val="TableParagraph"/>
              <w:spacing w:line="242" w:lineRule="exact" w:before="0"/>
              <w:ind w:left="110"/>
              <w:jc w:val="left"/>
              <w:rPr>
                <w:sz w:val="22"/>
              </w:rPr>
            </w:pPr>
            <w:r>
              <w:rPr>
                <w:sz w:val="22"/>
              </w:rPr>
              <w:t>Ag-4-75</w:t>
            </w:r>
          </w:p>
        </w:tc>
        <w:tc>
          <w:tcPr>
            <w:tcW w:w="2304" w:type="dxa"/>
            <w:tcBorders>
              <w:top w:val="nil"/>
              <w:left w:val="nil"/>
              <w:bottom w:val="nil"/>
              <w:right w:val="nil"/>
            </w:tcBorders>
          </w:tcPr>
          <w:p>
            <w:pPr>
              <w:pStyle w:val="TableParagraph"/>
              <w:spacing w:line="242" w:lineRule="exact" w:before="0"/>
              <w:ind w:left="383"/>
              <w:jc w:val="left"/>
              <w:rPr>
                <w:sz w:val="22"/>
              </w:rPr>
            </w:pPr>
            <w:r>
              <w:rPr>
                <w:sz w:val="22"/>
              </w:rPr>
              <w:t>Conservación</w:t>
            </w:r>
          </w:p>
        </w:tc>
        <w:tc>
          <w:tcPr>
            <w:tcW w:w="2529" w:type="dxa"/>
            <w:tcBorders>
              <w:top w:val="nil"/>
              <w:left w:val="nil"/>
              <w:bottom w:val="nil"/>
              <w:right w:val="nil"/>
            </w:tcBorders>
          </w:tcPr>
          <w:p>
            <w:pPr>
              <w:pStyle w:val="TableParagraph"/>
              <w:spacing w:line="242" w:lineRule="exact" w:before="0"/>
              <w:ind w:left="346"/>
              <w:jc w:val="left"/>
              <w:rPr>
                <w:sz w:val="22"/>
              </w:rPr>
            </w:pPr>
            <w:r>
              <w:rPr>
                <w:sz w:val="22"/>
              </w:rPr>
              <w:t>Forestal</w:t>
            </w:r>
          </w:p>
        </w:tc>
        <w:tc>
          <w:tcPr>
            <w:tcW w:w="3383" w:type="dxa"/>
            <w:tcBorders>
              <w:top w:val="nil"/>
              <w:left w:val="nil"/>
              <w:bottom w:val="nil"/>
              <w:right w:val="nil"/>
            </w:tcBorders>
          </w:tcPr>
          <w:p>
            <w:pPr>
              <w:pStyle w:val="TableParagraph"/>
              <w:spacing w:line="242" w:lineRule="exact" w:before="0"/>
              <w:ind w:left="227"/>
              <w:jc w:val="left"/>
              <w:rPr>
                <w:sz w:val="22"/>
              </w:rPr>
            </w:pPr>
            <w:r>
              <w:rPr>
                <w:sz w:val="22"/>
              </w:rPr>
              <w:t>109-131,170-73,187,189,190,196</w:t>
            </w:r>
          </w:p>
        </w:tc>
      </w:tr>
      <w:tr>
        <w:trPr>
          <w:trHeight w:val="252" w:hRule="exact"/>
        </w:trPr>
        <w:tc>
          <w:tcPr>
            <w:tcW w:w="1537" w:type="dxa"/>
            <w:tcBorders>
              <w:top w:val="nil"/>
              <w:left w:val="nil"/>
              <w:bottom w:val="nil"/>
              <w:right w:val="nil"/>
            </w:tcBorders>
          </w:tcPr>
          <w:p>
            <w:pPr>
              <w:pStyle w:val="TableParagraph"/>
              <w:spacing w:line="242" w:lineRule="exact" w:before="0"/>
              <w:ind w:left="110"/>
              <w:jc w:val="left"/>
              <w:rPr>
                <w:sz w:val="22"/>
              </w:rPr>
            </w:pPr>
            <w:r>
              <w:rPr>
                <w:sz w:val="22"/>
              </w:rPr>
              <w:t>Ag-4-29</w:t>
            </w:r>
          </w:p>
        </w:tc>
        <w:tc>
          <w:tcPr>
            <w:tcW w:w="2304" w:type="dxa"/>
            <w:tcBorders>
              <w:top w:val="nil"/>
              <w:left w:val="nil"/>
              <w:bottom w:val="nil"/>
              <w:right w:val="nil"/>
            </w:tcBorders>
          </w:tcPr>
          <w:p>
            <w:pPr>
              <w:pStyle w:val="TableParagraph"/>
              <w:spacing w:line="242" w:lineRule="exact" w:before="0"/>
              <w:ind w:left="383"/>
              <w:jc w:val="left"/>
              <w:rPr>
                <w:sz w:val="22"/>
              </w:rPr>
            </w:pPr>
            <w:r>
              <w:rPr>
                <w:sz w:val="22"/>
              </w:rPr>
              <w:t>Conservación</w:t>
            </w:r>
          </w:p>
        </w:tc>
        <w:tc>
          <w:tcPr>
            <w:tcW w:w="2529" w:type="dxa"/>
            <w:tcBorders>
              <w:top w:val="nil"/>
              <w:left w:val="nil"/>
              <w:bottom w:val="nil"/>
              <w:right w:val="nil"/>
            </w:tcBorders>
          </w:tcPr>
          <w:p>
            <w:pPr>
              <w:pStyle w:val="TableParagraph"/>
              <w:spacing w:line="242" w:lineRule="exact" w:before="0"/>
              <w:ind w:left="346"/>
              <w:jc w:val="left"/>
              <w:rPr>
                <w:sz w:val="22"/>
              </w:rPr>
            </w:pPr>
            <w:r>
              <w:rPr>
                <w:sz w:val="22"/>
              </w:rPr>
              <w:t>Forestal</w:t>
            </w:r>
          </w:p>
        </w:tc>
        <w:tc>
          <w:tcPr>
            <w:tcW w:w="3383" w:type="dxa"/>
            <w:tcBorders>
              <w:top w:val="nil"/>
              <w:left w:val="nil"/>
              <w:bottom w:val="nil"/>
              <w:right w:val="nil"/>
            </w:tcBorders>
          </w:tcPr>
          <w:p>
            <w:pPr>
              <w:pStyle w:val="TableParagraph"/>
              <w:spacing w:line="242" w:lineRule="exact" w:before="0"/>
              <w:ind w:left="227"/>
              <w:jc w:val="left"/>
              <w:rPr>
                <w:sz w:val="22"/>
              </w:rPr>
            </w:pPr>
            <w:r>
              <w:rPr>
                <w:sz w:val="22"/>
              </w:rPr>
              <w:t>109-131,170-73,187,189,190,196</w:t>
            </w:r>
          </w:p>
        </w:tc>
      </w:tr>
      <w:tr>
        <w:trPr>
          <w:trHeight w:val="252" w:hRule="exact"/>
        </w:trPr>
        <w:tc>
          <w:tcPr>
            <w:tcW w:w="1537" w:type="dxa"/>
            <w:tcBorders>
              <w:top w:val="nil"/>
              <w:left w:val="nil"/>
              <w:bottom w:val="nil"/>
              <w:right w:val="nil"/>
            </w:tcBorders>
          </w:tcPr>
          <w:p>
            <w:pPr>
              <w:pStyle w:val="TableParagraph"/>
              <w:spacing w:line="240" w:lineRule="exact" w:before="0"/>
              <w:ind w:left="110"/>
              <w:jc w:val="left"/>
              <w:rPr>
                <w:sz w:val="22"/>
              </w:rPr>
            </w:pPr>
            <w:r>
              <w:rPr>
                <w:sz w:val="22"/>
              </w:rPr>
              <w:t>An-5-661</w:t>
            </w:r>
          </w:p>
        </w:tc>
        <w:tc>
          <w:tcPr>
            <w:tcW w:w="2304" w:type="dxa"/>
            <w:tcBorders>
              <w:top w:val="nil"/>
              <w:left w:val="nil"/>
              <w:bottom w:val="nil"/>
              <w:right w:val="nil"/>
            </w:tcBorders>
          </w:tcPr>
          <w:p>
            <w:pPr>
              <w:pStyle w:val="TableParagraph"/>
              <w:spacing w:line="240" w:lineRule="exact" w:before="0"/>
              <w:ind w:left="383"/>
              <w:jc w:val="left"/>
              <w:rPr>
                <w:sz w:val="22"/>
              </w:rPr>
            </w:pPr>
            <w:r>
              <w:rPr>
                <w:sz w:val="22"/>
              </w:rPr>
              <w:t>Protección</w:t>
            </w:r>
          </w:p>
        </w:tc>
        <w:tc>
          <w:tcPr>
            <w:tcW w:w="2529" w:type="dxa"/>
            <w:tcBorders>
              <w:top w:val="nil"/>
              <w:left w:val="nil"/>
              <w:bottom w:val="nil"/>
              <w:right w:val="nil"/>
            </w:tcBorders>
          </w:tcPr>
          <w:p>
            <w:pPr>
              <w:pStyle w:val="TableParagraph"/>
              <w:spacing w:line="240" w:lineRule="exact" w:before="0"/>
              <w:ind w:left="346"/>
              <w:jc w:val="left"/>
              <w:rPr>
                <w:sz w:val="22"/>
              </w:rPr>
            </w:pPr>
            <w:r>
              <w:rPr>
                <w:sz w:val="22"/>
              </w:rPr>
              <w:t>Área Natural</w:t>
            </w:r>
          </w:p>
        </w:tc>
        <w:tc>
          <w:tcPr>
            <w:tcW w:w="3383" w:type="dxa"/>
            <w:tcBorders>
              <w:top w:val="nil"/>
              <w:left w:val="nil"/>
              <w:bottom w:val="nil"/>
              <w:right w:val="nil"/>
            </w:tcBorders>
          </w:tcPr>
          <w:p>
            <w:pPr>
              <w:pStyle w:val="TableParagraph"/>
              <w:spacing w:line="240" w:lineRule="exact" w:before="0"/>
              <w:ind w:left="227"/>
              <w:jc w:val="left"/>
              <w:rPr>
                <w:sz w:val="22"/>
              </w:rPr>
            </w:pPr>
            <w:r>
              <w:rPr>
                <w:sz w:val="22"/>
              </w:rPr>
              <w:t>82-108</w:t>
            </w:r>
          </w:p>
        </w:tc>
      </w:tr>
      <w:tr>
        <w:trPr>
          <w:trHeight w:val="254" w:hRule="exact"/>
        </w:trPr>
        <w:tc>
          <w:tcPr>
            <w:tcW w:w="1537" w:type="dxa"/>
            <w:tcBorders>
              <w:top w:val="nil"/>
              <w:left w:val="nil"/>
              <w:bottom w:val="nil"/>
              <w:right w:val="nil"/>
            </w:tcBorders>
          </w:tcPr>
          <w:p>
            <w:pPr>
              <w:pStyle w:val="TableParagraph"/>
              <w:spacing w:line="242" w:lineRule="exact" w:before="0"/>
              <w:ind w:left="110"/>
              <w:jc w:val="left"/>
              <w:rPr>
                <w:sz w:val="22"/>
              </w:rPr>
            </w:pPr>
            <w:r>
              <w:rPr>
                <w:sz w:val="22"/>
              </w:rPr>
              <w:t>Ag-4-42</w:t>
            </w:r>
          </w:p>
        </w:tc>
        <w:tc>
          <w:tcPr>
            <w:tcW w:w="2304" w:type="dxa"/>
            <w:tcBorders>
              <w:top w:val="nil"/>
              <w:left w:val="nil"/>
              <w:bottom w:val="nil"/>
              <w:right w:val="nil"/>
            </w:tcBorders>
          </w:tcPr>
          <w:p>
            <w:pPr>
              <w:pStyle w:val="TableParagraph"/>
              <w:spacing w:line="242" w:lineRule="exact" w:before="0"/>
              <w:ind w:left="383"/>
              <w:jc w:val="left"/>
              <w:rPr>
                <w:sz w:val="22"/>
              </w:rPr>
            </w:pPr>
            <w:r>
              <w:rPr>
                <w:sz w:val="22"/>
              </w:rPr>
              <w:t>Conservación</w:t>
            </w:r>
          </w:p>
        </w:tc>
        <w:tc>
          <w:tcPr>
            <w:tcW w:w="2529" w:type="dxa"/>
            <w:tcBorders>
              <w:top w:val="nil"/>
              <w:left w:val="nil"/>
              <w:bottom w:val="nil"/>
              <w:right w:val="nil"/>
            </w:tcBorders>
          </w:tcPr>
          <w:p>
            <w:pPr>
              <w:pStyle w:val="TableParagraph"/>
              <w:spacing w:line="242" w:lineRule="exact" w:before="0"/>
              <w:ind w:left="346"/>
              <w:jc w:val="left"/>
              <w:rPr>
                <w:sz w:val="22"/>
              </w:rPr>
            </w:pPr>
            <w:r>
              <w:rPr>
                <w:sz w:val="22"/>
              </w:rPr>
              <w:t>Agrícola</w:t>
            </w:r>
          </w:p>
        </w:tc>
        <w:tc>
          <w:tcPr>
            <w:tcW w:w="3383" w:type="dxa"/>
            <w:tcBorders>
              <w:top w:val="nil"/>
              <w:left w:val="nil"/>
              <w:bottom w:val="nil"/>
              <w:right w:val="nil"/>
            </w:tcBorders>
          </w:tcPr>
          <w:p>
            <w:pPr>
              <w:pStyle w:val="TableParagraph"/>
              <w:spacing w:line="242" w:lineRule="exact" w:before="0"/>
              <w:ind w:left="227"/>
              <w:jc w:val="left"/>
              <w:rPr>
                <w:sz w:val="22"/>
              </w:rPr>
            </w:pPr>
            <w:r>
              <w:rPr>
                <w:sz w:val="22"/>
              </w:rPr>
              <w:t>109-131,170-73,187,189,190,196</w:t>
            </w:r>
          </w:p>
        </w:tc>
      </w:tr>
      <w:tr>
        <w:trPr>
          <w:trHeight w:val="254" w:hRule="exact"/>
        </w:trPr>
        <w:tc>
          <w:tcPr>
            <w:tcW w:w="1537" w:type="dxa"/>
            <w:tcBorders>
              <w:top w:val="nil"/>
              <w:left w:val="nil"/>
              <w:bottom w:val="nil"/>
              <w:right w:val="nil"/>
            </w:tcBorders>
          </w:tcPr>
          <w:p>
            <w:pPr>
              <w:pStyle w:val="TableParagraph"/>
              <w:spacing w:line="242" w:lineRule="exact" w:before="0"/>
              <w:ind w:left="110"/>
              <w:jc w:val="left"/>
              <w:rPr>
                <w:sz w:val="22"/>
              </w:rPr>
            </w:pPr>
            <w:r>
              <w:rPr>
                <w:sz w:val="22"/>
              </w:rPr>
              <w:t>Ag-4-38</w:t>
            </w:r>
          </w:p>
        </w:tc>
        <w:tc>
          <w:tcPr>
            <w:tcW w:w="2304" w:type="dxa"/>
            <w:tcBorders>
              <w:top w:val="nil"/>
              <w:left w:val="nil"/>
              <w:bottom w:val="nil"/>
              <w:right w:val="nil"/>
            </w:tcBorders>
          </w:tcPr>
          <w:p>
            <w:pPr>
              <w:pStyle w:val="TableParagraph"/>
              <w:spacing w:line="242" w:lineRule="exact" w:before="0"/>
              <w:ind w:left="383"/>
              <w:jc w:val="left"/>
              <w:rPr>
                <w:sz w:val="22"/>
              </w:rPr>
            </w:pPr>
            <w:r>
              <w:rPr>
                <w:sz w:val="22"/>
              </w:rPr>
              <w:t>Conservación</w:t>
            </w:r>
          </w:p>
        </w:tc>
        <w:tc>
          <w:tcPr>
            <w:tcW w:w="2529" w:type="dxa"/>
            <w:tcBorders>
              <w:top w:val="nil"/>
              <w:left w:val="nil"/>
              <w:bottom w:val="nil"/>
              <w:right w:val="nil"/>
            </w:tcBorders>
          </w:tcPr>
          <w:p>
            <w:pPr>
              <w:pStyle w:val="TableParagraph"/>
              <w:spacing w:line="242" w:lineRule="exact" w:before="0"/>
              <w:ind w:left="346"/>
              <w:jc w:val="left"/>
              <w:rPr>
                <w:sz w:val="22"/>
              </w:rPr>
            </w:pPr>
            <w:r>
              <w:rPr>
                <w:sz w:val="22"/>
              </w:rPr>
              <w:t>Forestal</w:t>
            </w:r>
          </w:p>
        </w:tc>
        <w:tc>
          <w:tcPr>
            <w:tcW w:w="3383" w:type="dxa"/>
            <w:tcBorders>
              <w:top w:val="nil"/>
              <w:left w:val="nil"/>
              <w:bottom w:val="nil"/>
              <w:right w:val="nil"/>
            </w:tcBorders>
          </w:tcPr>
          <w:p>
            <w:pPr>
              <w:pStyle w:val="TableParagraph"/>
              <w:spacing w:line="242" w:lineRule="exact" w:before="0"/>
              <w:ind w:left="227"/>
              <w:jc w:val="left"/>
              <w:rPr>
                <w:sz w:val="22"/>
              </w:rPr>
            </w:pPr>
            <w:r>
              <w:rPr>
                <w:sz w:val="22"/>
              </w:rPr>
              <w:t>109-131,170-73,187,189,190,196</w:t>
            </w:r>
          </w:p>
        </w:tc>
      </w:tr>
      <w:tr>
        <w:trPr>
          <w:trHeight w:val="252" w:hRule="exact"/>
        </w:trPr>
        <w:tc>
          <w:tcPr>
            <w:tcW w:w="1537" w:type="dxa"/>
            <w:tcBorders>
              <w:top w:val="nil"/>
              <w:left w:val="nil"/>
              <w:right w:val="nil"/>
            </w:tcBorders>
          </w:tcPr>
          <w:p>
            <w:pPr>
              <w:pStyle w:val="TableParagraph"/>
              <w:spacing w:line="242" w:lineRule="exact" w:before="0"/>
              <w:ind w:left="110"/>
              <w:jc w:val="left"/>
              <w:rPr>
                <w:sz w:val="22"/>
              </w:rPr>
            </w:pPr>
            <w:r>
              <w:rPr>
                <w:sz w:val="22"/>
              </w:rPr>
              <w:t>An-5-672</w:t>
            </w:r>
          </w:p>
        </w:tc>
        <w:tc>
          <w:tcPr>
            <w:tcW w:w="2304" w:type="dxa"/>
            <w:tcBorders>
              <w:top w:val="nil"/>
              <w:left w:val="nil"/>
              <w:right w:val="nil"/>
            </w:tcBorders>
          </w:tcPr>
          <w:p>
            <w:pPr>
              <w:pStyle w:val="TableParagraph"/>
              <w:spacing w:line="242" w:lineRule="exact" w:before="0"/>
              <w:ind w:left="383"/>
              <w:jc w:val="left"/>
              <w:rPr>
                <w:sz w:val="22"/>
              </w:rPr>
            </w:pPr>
            <w:r>
              <w:rPr>
                <w:sz w:val="22"/>
              </w:rPr>
              <w:t>Protección</w:t>
            </w:r>
          </w:p>
        </w:tc>
        <w:tc>
          <w:tcPr>
            <w:tcW w:w="2529" w:type="dxa"/>
            <w:tcBorders>
              <w:top w:val="nil"/>
              <w:left w:val="nil"/>
              <w:right w:val="nil"/>
            </w:tcBorders>
          </w:tcPr>
          <w:p>
            <w:pPr>
              <w:pStyle w:val="TableParagraph"/>
              <w:spacing w:line="242" w:lineRule="exact" w:before="0"/>
              <w:ind w:left="346"/>
              <w:jc w:val="left"/>
              <w:rPr>
                <w:sz w:val="22"/>
              </w:rPr>
            </w:pPr>
            <w:r>
              <w:rPr>
                <w:sz w:val="22"/>
              </w:rPr>
              <w:t>Pastizal (Pecuario)</w:t>
            </w:r>
          </w:p>
        </w:tc>
        <w:tc>
          <w:tcPr>
            <w:tcW w:w="3383" w:type="dxa"/>
            <w:tcBorders>
              <w:top w:val="nil"/>
              <w:left w:val="nil"/>
              <w:right w:val="nil"/>
            </w:tcBorders>
          </w:tcPr>
          <w:p>
            <w:pPr>
              <w:pStyle w:val="TableParagraph"/>
              <w:spacing w:line="242" w:lineRule="exact" w:before="0"/>
              <w:ind w:left="227"/>
              <w:jc w:val="left"/>
              <w:rPr>
                <w:sz w:val="22"/>
              </w:rPr>
            </w:pPr>
            <w:r>
              <w:rPr>
                <w:sz w:val="22"/>
              </w:rPr>
              <w:t>82-108</w:t>
            </w:r>
          </w:p>
        </w:tc>
      </w:tr>
    </w:tbl>
    <w:p>
      <w:pPr>
        <w:spacing w:line="244" w:lineRule="exact" w:before="0"/>
        <w:ind w:left="2352" w:right="2684" w:firstLine="0"/>
        <w:jc w:val="center"/>
        <w:rPr>
          <w:sz w:val="22"/>
        </w:rPr>
      </w:pPr>
      <w:r>
        <w:rPr>
          <w:sz w:val="22"/>
        </w:rPr>
        <w:t>Fuente: GEM, (2006)</w:t>
      </w:r>
    </w:p>
    <w:p>
      <w:pPr>
        <w:pStyle w:val="BodyText"/>
        <w:rPr>
          <w:sz w:val="22"/>
        </w:rPr>
      </w:pPr>
    </w:p>
    <w:p>
      <w:pPr>
        <w:pStyle w:val="BodyText"/>
        <w:rPr>
          <w:sz w:val="22"/>
        </w:rPr>
      </w:pPr>
    </w:p>
    <w:p>
      <w:pPr>
        <w:pStyle w:val="BodyText"/>
        <w:spacing w:before="8"/>
        <w:rPr>
          <w:sz w:val="19"/>
        </w:rPr>
      </w:pPr>
    </w:p>
    <w:p>
      <w:pPr>
        <w:pStyle w:val="BodyText"/>
        <w:spacing w:line="360" w:lineRule="auto"/>
        <w:ind w:left="116" w:right="450"/>
        <w:jc w:val="both"/>
      </w:pPr>
      <w:r>
        <w:rPr/>
        <w:t>La Figura 43 permite visualizar la distribución de las UGA´s de la cuenca, es posible analizar que casi la totalidad de la misma se encuentra bajo políticas de conservación y aprovechamiento para el uso agrícola y pecuario, no obstante también se pueden encontrar importantes superficies ocupados por bosques que tienen una política de protección.</w:t>
      </w:r>
    </w:p>
    <w:p>
      <w:pPr>
        <w:spacing w:after="0" w:line="360" w:lineRule="auto"/>
        <w:jc w:val="both"/>
        <w:sectPr>
          <w:pgSz w:w="12240" w:h="15840"/>
          <w:pgMar w:header="0" w:footer="1473" w:top="1360" w:bottom="1660" w:left="1300" w:right="960"/>
        </w:sectPr>
      </w:pPr>
    </w:p>
    <w:p>
      <w:pPr>
        <w:pStyle w:val="BodyText"/>
        <w:rPr>
          <w:sz w:val="24"/>
        </w:rPr>
      </w:pPr>
    </w:p>
    <w:p>
      <w:pPr>
        <w:pStyle w:val="BodyText"/>
        <w:ind w:left="116"/>
        <w:rPr>
          <w:sz w:val="20"/>
        </w:rPr>
      </w:pPr>
      <w:r>
        <w:rPr>
          <w:sz w:val="20"/>
        </w:rPr>
        <w:drawing>
          <wp:inline distT="0" distB="0" distL="0" distR="0">
            <wp:extent cx="8236533" cy="5330952"/>
            <wp:effectExtent l="0" t="0" r="0" b="0"/>
            <wp:docPr id="43" name="image130.jpeg" descr=""/>
            <wp:cNvGraphicFramePr>
              <a:graphicFrameLocks noChangeAspect="1"/>
            </wp:cNvGraphicFramePr>
            <a:graphic>
              <a:graphicData uri="http://schemas.openxmlformats.org/drawingml/2006/picture">
                <pic:pic>
                  <pic:nvPicPr>
                    <pic:cNvPr id="44" name="image130.jpeg"/>
                    <pic:cNvPicPr/>
                  </pic:nvPicPr>
                  <pic:blipFill>
                    <a:blip r:embed="rId185" cstate="print"/>
                    <a:stretch>
                      <a:fillRect/>
                    </a:stretch>
                  </pic:blipFill>
                  <pic:spPr>
                    <a:xfrm>
                      <a:off x="0" y="0"/>
                      <a:ext cx="8236533" cy="5330952"/>
                    </a:xfrm>
                    <a:prstGeom prst="rect">
                      <a:avLst/>
                    </a:prstGeom>
                  </pic:spPr>
                </pic:pic>
              </a:graphicData>
            </a:graphic>
          </wp:inline>
        </w:drawing>
      </w:r>
      <w:r>
        <w:rPr>
          <w:sz w:val="20"/>
        </w:rPr>
      </w:r>
    </w:p>
    <w:p>
      <w:pPr>
        <w:spacing w:line="252" w:lineRule="exact" w:before="33"/>
        <w:ind w:left="2203" w:right="2199" w:firstLine="0"/>
        <w:jc w:val="center"/>
        <w:rPr>
          <w:sz w:val="22"/>
        </w:rPr>
      </w:pPr>
      <w:r>
        <w:rPr>
          <w:sz w:val="22"/>
        </w:rPr>
        <w:t>Fuente: GEM, (2006)</w:t>
      </w:r>
    </w:p>
    <w:p>
      <w:pPr>
        <w:pStyle w:val="Heading1"/>
        <w:spacing w:line="298" w:lineRule="exact"/>
        <w:ind w:left="2203" w:right="2201"/>
        <w:jc w:val="center"/>
      </w:pPr>
      <w:bookmarkStart w:name="_bookmark132" w:id="189"/>
      <w:bookmarkEnd w:id="189"/>
      <w:r>
        <w:rPr>
          <w:b w:val="0"/>
        </w:rPr>
      </w:r>
      <w:r>
        <w:rPr/>
        <w:t>Figura 43. Unidades de Gestión Ambiental de la cuenca El Tejocote.</w:t>
      </w:r>
    </w:p>
    <w:p>
      <w:pPr>
        <w:spacing w:before="128"/>
        <w:ind w:left="0" w:right="115" w:firstLine="0"/>
        <w:jc w:val="right"/>
        <w:rPr>
          <w:rFonts w:ascii="Calibri"/>
          <w:sz w:val="22"/>
        </w:rPr>
      </w:pPr>
      <w:r>
        <w:rPr>
          <w:rFonts w:ascii="Calibri"/>
          <w:sz w:val="22"/>
        </w:rPr>
        <w:t>156</w:t>
      </w:r>
    </w:p>
    <w:p>
      <w:pPr>
        <w:spacing w:after="0"/>
        <w:jc w:val="right"/>
        <w:rPr>
          <w:rFonts w:ascii="Calibri"/>
          <w:sz w:val="22"/>
        </w:rPr>
        <w:sectPr>
          <w:footerReference w:type="default" r:id="rId184"/>
          <w:pgSz w:w="15840" w:h="12240" w:orient="landscape"/>
          <w:pgMar w:footer="0" w:header="0" w:top="1140" w:bottom="280" w:left="1300" w:right="1300"/>
        </w:sectPr>
      </w:pPr>
    </w:p>
    <w:p>
      <w:pPr>
        <w:pStyle w:val="Heading1"/>
        <w:numPr>
          <w:ilvl w:val="1"/>
          <w:numId w:val="52"/>
        </w:numPr>
        <w:tabs>
          <w:tab w:pos="444" w:val="left" w:leader="none"/>
        </w:tabs>
        <w:spacing w:line="240" w:lineRule="auto" w:before="52" w:after="0"/>
        <w:ind w:left="443" w:right="0" w:hanging="327"/>
        <w:jc w:val="left"/>
      </w:pPr>
      <w:bookmarkStart w:name="_bookmark133" w:id="190"/>
      <w:bookmarkEnd w:id="190"/>
      <w:r>
        <w:rPr>
          <w:b w:val="0"/>
        </w:rPr>
      </w:r>
      <w:bookmarkStart w:name="_bookmark133" w:id="191"/>
      <w:bookmarkEnd w:id="191"/>
      <w:r>
        <w:rPr/>
        <w:t>Ac</w:t>
      </w:r>
      <w:r>
        <w:rPr/>
        <w:t>use </w:t>
      </w:r>
      <w:r>
        <w:rPr>
          <w:spacing w:val="-3"/>
        </w:rPr>
        <w:t>de </w:t>
      </w:r>
      <w:r>
        <w:rPr/>
        <w:t>recibo </w:t>
      </w:r>
      <w:r>
        <w:rPr>
          <w:spacing w:val="-3"/>
        </w:rPr>
        <w:t>de </w:t>
      </w:r>
      <w:r>
        <w:rPr/>
        <w:t>artículo en</w:t>
      </w:r>
      <w:r>
        <w:rPr>
          <w:spacing w:val="3"/>
        </w:rPr>
        <w:t> </w:t>
      </w:r>
      <w:r>
        <w:rPr/>
        <w:t>extenso</w:t>
      </w:r>
    </w:p>
    <w:p>
      <w:pPr>
        <w:pStyle w:val="BodyText"/>
        <w:spacing w:before="3"/>
        <w:rPr>
          <w:b/>
          <w:sz w:val="38"/>
        </w:rPr>
      </w:pPr>
    </w:p>
    <w:p>
      <w:pPr>
        <w:pStyle w:val="BodyText"/>
        <w:ind w:left="116" w:right="118"/>
      </w:pPr>
      <w:r>
        <w:rPr/>
        <w:t>karla mociño:</w:t>
      </w:r>
    </w:p>
    <w:p>
      <w:pPr>
        <w:pStyle w:val="BodyText"/>
        <w:spacing w:before="6"/>
        <w:rPr>
          <w:sz w:val="29"/>
        </w:rPr>
      </w:pPr>
    </w:p>
    <w:p>
      <w:pPr>
        <w:pStyle w:val="BodyText"/>
        <w:spacing w:line="256" w:lineRule="auto"/>
        <w:ind w:left="116" w:right="118"/>
      </w:pPr>
      <w:r>
        <w:rPr/>
        <w:t>Gracias por enviar el manuscrito "DETERMINACIÓN DE ESCURRIMIENTOS SUPERFICIALES Y SEDIMENTOS EN LA CUENCA El TEJOCOTE MEDIANTE EL MODELO SWAT"</w:t>
      </w:r>
    </w:p>
    <w:p>
      <w:pPr>
        <w:pStyle w:val="BodyText"/>
        <w:spacing w:line="254" w:lineRule="auto" w:before="2"/>
        <w:ind w:left="116" w:right="1191"/>
      </w:pPr>
      <w:r>
        <w:rPr/>
        <w:t>a Ecosistemas y Recursos Agropecuarios. Con nuestro sistema de gestión de revistas en línea, podrá iniciar sesión en el sitio web de la revista y</w:t>
      </w:r>
    </w:p>
    <w:p>
      <w:pPr>
        <w:pStyle w:val="BodyText"/>
        <w:spacing w:before="5"/>
        <w:ind w:left="116" w:right="118"/>
      </w:pPr>
      <w:r>
        <w:rPr/>
        <w:t>hacer un seguimiento de su progreso a través del proceso editorial.</w:t>
      </w:r>
    </w:p>
    <w:p>
      <w:pPr>
        <w:pStyle w:val="BodyText"/>
        <w:spacing w:before="1"/>
        <w:rPr>
          <w:sz w:val="29"/>
        </w:rPr>
      </w:pPr>
    </w:p>
    <w:p>
      <w:pPr>
        <w:pStyle w:val="BodyText"/>
        <w:spacing w:line="256" w:lineRule="auto"/>
        <w:ind w:left="116" w:right="2891"/>
      </w:pPr>
      <w:r>
        <w:rPr/>
        <w:t>URL del manuscrito: </w:t>
      </w:r>
      <w:hyperlink r:id="rId187">
        <w:r>
          <w:rPr>
            <w:w w:val="95"/>
            <w:u w:val="single"/>
          </w:rPr>
          <w:t>http://132.248.10.25/era/index.php/rera/author/submission/109</w:t>
        </w:r>
      </w:hyperlink>
      <w:r>
        <w:rPr>
          <w:w w:val="95"/>
          <w:u w:val="single"/>
        </w:rPr>
        <w:t> </w:t>
      </w:r>
      <w:r>
        <w:rPr/>
        <w:t>Nombre de usuario/a: karlavela</w:t>
      </w:r>
    </w:p>
    <w:p>
      <w:pPr>
        <w:pStyle w:val="BodyText"/>
        <w:spacing w:before="8"/>
        <w:rPr>
          <w:sz w:val="27"/>
        </w:rPr>
      </w:pPr>
    </w:p>
    <w:p>
      <w:pPr>
        <w:pStyle w:val="BodyText"/>
        <w:spacing w:line="259" w:lineRule="auto"/>
        <w:ind w:left="116" w:right="1191"/>
      </w:pPr>
      <w:r>
        <w:rPr/>
        <w:t>En caso de dudas, contacte conmigo. Gracias por elegir esta revista para publicar su trabajo.</w:t>
      </w:r>
    </w:p>
    <w:p>
      <w:pPr>
        <w:pStyle w:val="BodyText"/>
        <w:spacing w:before="6"/>
        <w:rPr>
          <w:sz w:val="27"/>
        </w:rPr>
      </w:pPr>
    </w:p>
    <w:p>
      <w:pPr>
        <w:pStyle w:val="BodyText"/>
        <w:spacing w:line="254" w:lineRule="auto"/>
        <w:ind w:left="116" w:right="4447"/>
      </w:pPr>
      <w:r>
        <w:rPr/>
        <w:t>Dr. Maximiano Antonio Estrada Botello Ecosistemas y Recursos Agropecuarios</w:t>
      </w:r>
    </w:p>
    <w:p>
      <w:pPr>
        <w:pStyle w:val="BodyText"/>
        <w:spacing w:before="1"/>
        <w:rPr>
          <w:sz w:val="22"/>
        </w:rPr>
      </w:pPr>
      <w:r>
        <w:rPr/>
        <w:pict>
          <v:group style="position:absolute;margin-left:70.549004pt;margin-top:14.669346pt;width:468.35pt;height:.550pt;mso-position-horizontal-relative:page;mso-position-vertical-relative:paragraph;z-index:6760;mso-wrap-distance-left:0;mso-wrap-distance-right:0" coordorigin="1411,293" coordsize="9367,11">
            <v:line style="position:absolute" from="1416,299" to="3749,299" stroked="true" strokeweight=".5184pt" strokecolor="#000000"/>
            <v:line style="position:absolute" from="3754,299" to="5440,299" stroked="true" strokeweight=".5184pt" strokecolor="#000000"/>
            <v:line style="position:absolute" from="5444,299" to="6222,299" stroked="true" strokeweight=".5184pt" strokecolor="#000000"/>
            <v:line style="position:absolute" from="6227,299" to="8560,299" stroked="true" strokeweight=".5184pt" strokecolor="#000000"/>
            <v:line style="position:absolute" from="8564,299" to="10249,299" stroked="true" strokeweight=".5184pt" strokecolor="#000000"/>
            <v:line style="position:absolute" from="10254,299" to="10772,299" stroked="true" strokeweight=".5184pt" strokecolor="#000000"/>
            <w10:wrap type="topAndBottom"/>
          </v:group>
        </w:pict>
      </w:r>
    </w:p>
    <w:p>
      <w:pPr>
        <w:pStyle w:val="BodyText"/>
        <w:spacing w:line="288" w:lineRule="exact"/>
        <w:ind w:left="116" w:right="118"/>
      </w:pPr>
      <w:r>
        <w:rPr/>
        <w:t>Ecosistemas y Recursos Agropecuarios </w:t>
      </w:r>
      <w:hyperlink r:id="rId188">
        <w:r>
          <w:rPr>
            <w:u w:val="single"/>
          </w:rPr>
          <w:t>http://132.248.10.25/era/index.php/era</w:t>
        </w:r>
      </w:hyperlink>
    </w:p>
    <w:p>
      <w:pPr>
        <w:spacing w:after="0" w:line="288" w:lineRule="exact"/>
        <w:sectPr>
          <w:footerReference w:type="default" r:id="rId186"/>
          <w:pgSz w:w="12240" w:h="15840"/>
          <w:pgMar w:footer="1473" w:header="0" w:top="1400" w:bottom="1660" w:left="1300" w:right="1300"/>
          <w:pgNumType w:start="157"/>
        </w:sectPr>
      </w:pPr>
    </w:p>
    <w:p>
      <w:pPr>
        <w:pStyle w:val="Heading1"/>
        <w:numPr>
          <w:ilvl w:val="0"/>
          <w:numId w:val="52"/>
        </w:numPr>
        <w:tabs>
          <w:tab w:pos="477" w:val="left" w:leader="none"/>
        </w:tabs>
        <w:spacing w:line="240" w:lineRule="auto" w:before="53" w:after="0"/>
        <w:ind w:left="476" w:right="0" w:hanging="360"/>
        <w:jc w:val="both"/>
      </w:pPr>
      <w:bookmarkStart w:name="_bookmark134" w:id="192"/>
      <w:bookmarkEnd w:id="192"/>
      <w:r>
        <w:rPr>
          <w:b w:val="0"/>
        </w:rPr>
      </w:r>
      <w:bookmarkStart w:name="_bookmark134" w:id="193"/>
      <w:bookmarkEnd w:id="193"/>
      <w:r>
        <w:rPr/>
        <w:t>DISCUSIÓN</w:t>
      </w:r>
      <w:r>
        <w:rPr>
          <w:spacing w:val="-8"/>
        </w:rPr>
        <w:t> </w:t>
      </w:r>
      <w:r>
        <w:rPr/>
        <w:t>GENERAL</w:t>
      </w:r>
    </w:p>
    <w:p>
      <w:pPr>
        <w:pStyle w:val="BodyText"/>
        <w:spacing w:before="8"/>
        <w:rPr>
          <w:b/>
          <w:sz w:val="25"/>
        </w:rPr>
      </w:pPr>
    </w:p>
    <w:p>
      <w:pPr>
        <w:pStyle w:val="BodyText"/>
        <w:spacing w:line="360" w:lineRule="auto"/>
        <w:ind w:left="116" w:right="118"/>
        <w:jc w:val="both"/>
      </w:pPr>
      <w:r>
        <w:rPr/>
        <w:t>Es posible concluir al término del estudio que el modelo SWAT tiene un mayor acercamiento a lo medido para la producción de escurrimientos superficiales que para sedimentos, sobre todo al realizar análisis anuales más que mensuales o diarios.</w:t>
      </w:r>
    </w:p>
    <w:p>
      <w:pPr>
        <w:pStyle w:val="BodyText"/>
      </w:pPr>
    </w:p>
    <w:p>
      <w:pPr>
        <w:pStyle w:val="BodyText"/>
        <w:spacing w:line="360" w:lineRule="auto" w:before="155"/>
        <w:ind w:left="116" w:right="114"/>
        <w:jc w:val="both"/>
      </w:pPr>
      <w:r>
        <w:rPr/>
        <w:t>Esta misma situación se presenta para los datos respecto a la producción de biomasa en la agricultura de laderas, valle y riego, que en los datos simulados a razón de rendimientos agrícolas. Cabe destacar que comparando los resultados con los autores Fernández (1996) y Torres (2000) en sus estudios sobre la misma zona de estudio, los resultados obtenidos indican una continuación en la tendencia de producción de sedimentos, y la cobertura que continúa siendo la de mayor incidencia en la producción de estos, es la agricultura sobre laderas, por tanto se recomiendan acciones de manejo de suelos y agua como construcción de terrazas, bordes, rotación de cultivos, control de canales, etc.</w:t>
      </w:r>
    </w:p>
    <w:p>
      <w:pPr>
        <w:pStyle w:val="BodyText"/>
      </w:pPr>
    </w:p>
    <w:p>
      <w:pPr>
        <w:pStyle w:val="BodyText"/>
        <w:spacing w:line="357" w:lineRule="auto" w:before="156"/>
        <w:ind w:left="116" w:right="117"/>
        <w:jc w:val="both"/>
      </w:pPr>
      <w:r>
        <w:rPr/>
        <w:t>Para el caso de los escurrimientos superficiales, las subcuencas que más los reflejaron son aquellas ocupadas por pastizales inducidos, suelos desnudos y agricultura sobre laderas también, esto debido a que no existe ninguna cobertura vegetal que los retenga.</w:t>
      </w:r>
    </w:p>
    <w:p>
      <w:pPr>
        <w:pStyle w:val="BodyText"/>
      </w:pPr>
    </w:p>
    <w:p>
      <w:pPr>
        <w:pStyle w:val="BodyText"/>
        <w:spacing w:line="360" w:lineRule="auto" w:before="159"/>
        <w:ind w:left="116" w:right="118"/>
        <w:jc w:val="both"/>
      </w:pPr>
      <w:r>
        <w:rPr/>
        <w:t>Debido a que las subcuencas que reportaron mayores producciones de escurrimientos y sedimentos están en las partes altas de la cuenca, se afirman procesos de sedimentación y azolvamiento de cuerpos de agua hacia la zona centro de la misma, por tanto se requieren alternativas</w:t>
      </w:r>
      <w:r>
        <w:rPr>
          <w:spacing w:val="-6"/>
        </w:rPr>
        <w:t> </w:t>
      </w:r>
      <w:r>
        <w:rPr/>
        <w:t>que</w:t>
      </w:r>
      <w:r>
        <w:rPr>
          <w:spacing w:val="-6"/>
        </w:rPr>
        <w:t> </w:t>
      </w:r>
      <w:r>
        <w:rPr/>
        <w:t>detengan</w:t>
      </w:r>
      <w:r>
        <w:rPr>
          <w:spacing w:val="-6"/>
        </w:rPr>
        <w:t> </w:t>
      </w:r>
      <w:r>
        <w:rPr/>
        <w:t>la</w:t>
      </w:r>
      <w:r>
        <w:rPr>
          <w:spacing w:val="-6"/>
        </w:rPr>
        <w:t> </w:t>
      </w:r>
      <w:r>
        <w:rPr/>
        <w:t>erosión</w:t>
      </w:r>
      <w:r>
        <w:rPr>
          <w:spacing w:val="-7"/>
        </w:rPr>
        <w:t> </w:t>
      </w:r>
      <w:r>
        <w:rPr/>
        <w:t>del</w:t>
      </w:r>
      <w:r>
        <w:rPr>
          <w:spacing w:val="-6"/>
        </w:rPr>
        <w:t> </w:t>
      </w:r>
      <w:r>
        <w:rPr/>
        <w:t>suelo</w:t>
      </w:r>
      <w:r>
        <w:rPr>
          <w:spacing w:val="-6"/>
        </w:rPr>
        <w:t> </w:t>
      </w:r>
      <w:r>
        <w:rPr/>
        <w:t>y</w:t>
      </w:r>
      <w:r>
        <w:rPr>
          <w:spacing w:val="-6"/>
        </w:rPr>
        <w:t> </w:t>
      </w:r>
      <w:r>
        <w:rPr/>
        <w:t>controlen</w:t>
      </w:r>
      <w:r>
        <w:rPr>
          <w:spacing w:val="-7"/>
        </w:rPr>
        <w:t> </w:t>
      </w:r>
      <w:r>
        <w:rPr/>
        <w:t>los</w:t>
      </w:r>
      <w:r>
        <w:rPr>
          <w:spacing w:val="-6"/>
        </w:rPr>
        <w:t> </w:t>
      </w:r>
      <w:r>
        <w:rPr/>
        <w:t>deslizamientos</w:t>
      </w:r>
      <w:r>
        <w:rPr>
          <w:spacing w:val="-7"/>
        </w:rPr>
        <w:t> </w:t>
      </w:r>
      <w:r>
        <w:rPr/>
        <w:t>y</w:t>
      </w:r>
      <w:r>
        <w:rPr>
          <w:spacing w:val="-6"/>
        </w:rPr>
        <w:t> </w:t>
      </w:r>
      <w:r>
        <w:rPr/>
        <w:t>pérdidas</w:t>
      </w:r>
      <w:r>
        <w:rPr>
          <w:spacing w:val="-6"/>
        </w:rPr>
        <w:t> </w:t>
      </w:r>
      <w:r>
        <w:rPr/>
        <w:t>del mismo.</w:t>
      </w:r>
    </w:p>
    <w:p>
      <w:pPr>
        <w:spacing w:after="0" w:line="360" w:lineRule="auto"/>
        <w:jc w:val="both"/>
        <w:sectPr>
          <w:pgSz w:w="12240" w:h="15840"/>
          <w:pgMar w:header="0" w:footer="1473" w:top="1360" w:bottom="1660" w:left="1300" w:right="1300"/>
        </w:sectPr>
      </w:pPr>
    </w:p>
    <w:p>
      <w:pPr>
        <w:pStyle w:val="Heading1"/>
        <w:spacing w:before="53"/>
        <w:ind w:left="116"/>
        <w:jc w:val="both"/>
      </w:pPr>
      <w:bookmarkStart w:name="_bookmark135" w:id="194"/>
      <w:bookmarkEnd w:id="194"/>
      <w:r>
        <w:rPr>
          <w:b w:val="0"/>
        </w:rPr>
      </w:r>
      <w:r>
        <w:rPr/>
        <w:t>CONCLUSIONES Y RECOMENDACIONES</w:t>
      </w:r>
    </w:p>
    <w:p>
      <w:pPr>
        <w:pStyle w:val="BodyText"/>
        <w:rPr>
          <w:b/>
        </w:rPr>
      </w:pPr>
    </w:p>
    <w:p>
      <w:pPr>
        <w:pStyle w:val="BodyText"/>
        <w:spacing w:before="7"/>
        <w:rPr>
          <w:b/>
          <w:sz w:val="25"/>
        </w:rPr>
      </w:pPr>
    </w:p>
    <w:p>
      <w:pPr>
        <w:pStyle w:val="BodyText"/>
        <w:spacing w:line="360" w:lineRule="auto" w:before="1"/>
        <w:ind w:left="116" w:right="117"/>
        <w:jc w:val="both"/>
      </w:pPr>
      <w:r>
        <w:rPr/>
        <w:t>Debido a que los resultados obtenidos con el modelo SWAT coinciden con la información de fuentes oficiales y a que el presente trabajo de investigación se suma a los reportes exitosos de su aplicación, se verifica que éste modelo es sin duda una herramienta valiosa en la determinación de información climatológica e hidrométrica de cualquier territorio, sobre todo en aquellos en los que no se dispone de ninguna estación de medición.</w:t>
      </w:r>
    </w:p>
    <w:p>
      <w:pPr>
        <w:pStyle w:val="BodyText"/>
      </w:pPr>
    </w:p>
    <w:p>
      <w:pPr>
        <w:pStyle w:val="BodyText"/>
        <w:spacing w:line="360" w:lineRule="auto" w:before="155"/>
        <w:ind w:left="116" w:right="112"/>
        <w:jc w:val="both"/>
      </w:pPr>
      <w:r>
        <w:rPr/>
        <w:t>Este aporte se considera de suma importante para la ciencia, ya que brinda a los usuarios un instrumento más para la obtención y análisis de información respecto al tema y que puede aplicarse sobre cualquier zona de estudio requerida.</w:t>
      </w:r>
    </w:p>
    <w:p>
      <w:pPr>
        <w:pStyle w:val="BodyText"/>
      </w:pPr>
    </w:p>
    <w:p>
      <w:pPr>
        <w:pStyle w:val="BodyText"/>
        <w:spacing w:line="357" w:lineRule="auto" w:before="155"/>
        <w:ind w:left="116" w:right="111"/>
        <w:jc w:val="both"/>
      </w:pPr>
      <w:r>
        <w:rPr/>
        <w:t>Una</w:t>
      </w:r>
      <w:r>
        <w:rPr>
          <w:spacing w:val="-7"/>
        </w:rPr>
        <w:t> </w:t>
      </w:r>
      <w:r>
        <w:rPr/>
        <w:t>ventaja</w:t>
      </w:r>
      <w:r>
        <w:rPr>
          <w:spacing w:val="-2"/>
        </w:rPr>
        <w:t> </w:t>
      </w:r>
      <w:r>
        <w:rPr/>
        <w:t>más</w:t>
      </w:r>
      <w:r>
        <w:rPr>
          <w:spacing w:val="-7"/>
        </w:rPr>
        <w:t> </w:t>
      </w:r>
      <w:r>
        <w:rPr/>
        <w:t>del</w:t>
      </w:r>
      <w:r>
        <w:rPr>
          <w:spacing w:val="-7"/>
        </w:rPr>
        <w:t> </w:t>
      </w:r>
      <w:r>
        <w:rPr/>
        <w:t>modelo</w:t>
      </w:r>
      <w:r>
        <w:rPr>
          <w:spacing w:val="-3"/>
        </w:rPr>
        <w:t> </w:t>
      </w:r>
      <w:r>
        <w:rPr/>
        <w:t>SWAT</w:t>
      </w:r>
      <w:r>
        <w:rPr>
          <w:spacing w:val="-7"/>
        </w:rPr>
        <w:t> </w:t>
      </w:r>
      <w:r>
        <w:rPr/>
        <w:t>es</w:t>
      </w:r>
      <w:r>
        <w:rPr>
          <w:spacing w:val="-7"/>
        </w:rPr>
        <w:t> </w:t>
      </w:r>
      <w:r>
        <w:rPr/>
        <w:t>el</w:t>
      </w:r>
      <w:r>
        <w:rPr>
          <w:spacing w:val="-7"/>
        </w:rPr>
        <w:t> </w:t>
      </w:r>
      <w:r>
        <w:rPr/>
        <w:t>trabajo</w:t>
      </w:r>
      <w:r>
        <w:rPr>
          <w:spacing w:val="-7"/>
        </w:rPr>
        <w:t> </w:t>
      </w:r>
      <w:r>
        <w:rPr/>
        <w:t>con</w:t>
      </w:r>
      <w:r>
        <w:rPr>
          <w:spacing w:val="-7"/>
        </w:rPr>
        <w:t> </w:t>
      </w:r>
      <w:r>
        <w:rPr/>
        <w:t>plataformas</w:t>
      </w:r>
      <w:r>
        <w:rPr>
          <w:spacing w:val="-7"/>
        </w:rPr>
        <w:t> </w:t>
      </w:r>
      <w:r>
        <w:rPr/>
        <w:t>de</w:t>
      </w:r>
      <w:r>
        <w:rPr>
          <w:spacing w:val="-7"/>
        </w:rPr>
        <w:t> </w:t>
      </w:r>
      <w:r>
        <w:rPr/>
        <w:t>SIG,</w:t>
      </w:r>
      <w:r>
        <w:rPr>
          <w:spacing w:val="-5"/>
        </w:rPr>
        <w:t> </w:t>
      </w:r>
      <w:r>
        <w:rPr/>
        <w:t>ya</w:t>
      </w:r>
      <w:r>
        <w:rPr>
          <w:spacing w:val="-7"/>
        </w:rPr>
        <w:t> </w:t>
      </w:r>
      <w:r>
        <w:rPr/>
        <w:t>que</w:t>
      </w:r>
      <w:r>
        <w:rPr>
          <w:spacing w:val="-7"/>
        </w:rPr>
        <w:t> </w:t>
      </w:r>
      <w:r>
        <w:rPr/>
        <w:t>se</w:t>
      </w:r>
      <w:r>
        <w:rPr>
          <w:spacing w:val="-11"/>
        </w:rPr>
        <w:t> </w:t>
      </w:r>
      <w:r>
        <w:rPr/>
        <w:t>facilita la</w:t>
      </w:r>
      <w:r>
        <w:rPr>
          <w:spacing w:val="-17"/>
        </w:rPr>
        <w:t> </w:t>
      </w:r>
      <w:r>
        <w:rPr/>
        <w:t>manipulación</w:t>
      </w:r>
      <w:r>
        <w:rPr>
          <w:spacing w:val="-17"/>
        </w:rPr>
        <w:t> </w:t>
      </w:r>
      <w:r>
        <w:rPr/>
        <w:t>de</w:t>
      </w:r>
      <w:r>
        <w:rPr>
          <w:spacing w:val="-17"/>
        </w:rPr>
        <w:t> </w:t>
      </w:r>
      <w:r>
        <w:rPr/>
        <w:t>grandes</w:t>
      </w:r>
      <w:r>
        <w:rPr>
          <w:spacing w:val="-16"/>
        </w:rPr>
        <w:t> </w:t>
      </w:r>
      <w:r>
        <w:rPr/>
        <w:t>cantidades</w:t>
      </w:r>
      <w:r>
        <w:rPr>
          <w:spacing w:val="-16"/>
        </w:rPr>
        <w:t> </w:t>
      </w:r>
      <w:r>
        <w:rPr/>
        <w:t>de</w:t>
      </w:r>
      <w:r>
        <w:rPr>
          <w:spacing w:val="-17"/>
        </w:rPr>
        <w:t> </w:t>
      </w:r>
      <w:r>
        <w:rPr/>
        <w:t>datos</w:t>
      </w:r>
      <w:r>
        <w:rPr>
          <w:spacing w:val="-21"/>
        </w:rPr>
        <w:t> </w:t>
      </w:r>
      <w:r>
        <w:rPr/>
        <w:t>requeridos,</w:t>
      </w:r>
      <w:r>
        <w:rPr>
          <w:spacing w:val="-14"/>
        </w:rPr>
        <w:t> </w:t>
      </w:r>
      <w:r>
        <w:rPr/>
        <w:t>por</w:t>
      </w:r>
      <w:r>
        <w:rPr>
          <w:spacing w:val="-17"/>
        </w:rPr>
        <w:t> </w:t>
      </w:r>
      <w:r>
        <w:rPr/>
        <w:t>periodos</w:t>
      </w:r>
      <w:r>
        <w:rPr>
          <w:spacing w:val="-17"/>
        </w:rPr>
        <w:t> </w:t>
      </w:r>
      <w:r>
        <w:rPr/>
        <w:t>extensos</w:t>
      </w:r>
      <w:r>
        <w:rPr>
          <w:spacing w:val="-21"/>
        </w:rPr>
        <w:t> </w:t>
      </w:r>
      <w:r>
        <w:rPr/>
        <w:t>de</w:t>
      </w:r>
      <w:r>
        <w:rPr>
          <w:spacing w:val="-17"/>
        </w:rPr>
        <w:t> </w:t>
      </w:r>
      <w:r>
        <w:rPr/>
        <w:t>tiempo y con el manejo de diversas</w:t>
      </w:r>
      <w:r>
        <w:rPr>
          <w:spacing w:val="-13"/>
        </w:rPr>
        <w:t> </w:t>
      </w:r>
      <w:r>
        <w:rPr/>
        <w:t>variables.</w:t>
      </w:r>
    </w:p>
    <w:p>
      <w:pPr>
        <w:pStyle w:val="BodyText"/>
      </w:pPr>
    </w:p>
    <w:p>
      <w:pPr>
        <w:pStyle w:val="BodyText"/>
        <w:spacing w:line="360" w:lineRule="auto" w:before="158"/>
        <w:ind w:left="116" w:right="116"/>
        <w:jc w:val="both"/>
      </w:pPr>
      <w:r>
        <w:rPr/>
        <w:t>De manera particular, cabe hacer la recomendación que la calibración del modelo requiere de un ajuste continuo de los parámetros de entrada al mismo, además para obtener una máxima confiabilidad de los resultados, es necesario disponer de la mayor cantidad de información disponible en cuanto al manejo de la cuenca y producciones agrícolas. Posteriormente, la comparación de los resultados obtenidos contra los medidos por estaciones de aforo, es indispensable para la validación del modelo.</w:t>
      </w:r>
    </w:p>
    <w:p>
      <w:pPr>
        <w:pStyle w:val="BodyText"/>
      </w:pPr>
    </w:p>
    <w:p>
      <w:pPr>
        <w:pStyle w:val="BodyText"/>
        <w:spacing w:line="360" w:lineRule="auto" w:before="155"/>
        <w:ind w:left="116" w:right="114"/>
        <w:jc w:val="both"/>
      </w:pPr>
      <w:r>
        <w:rPr/>
        <w:t>Como información agregada, debido a que el modelo SWAT arroja los resultados a nivel subcuenca, es más sencillo para el usuario o</w:t>
      </w:r>
      <w:r>
        <w:rPr>
          <w:spacing w:val="-46"/>
        </w:rPr>
        <w:t> </w:t>
      </w:r>
      <w:r>
        <w:rPr/>
        <w:t>investigador determinar la cobertura o uso del suelo</w:t>
      </w:r>
      <w:r>
        <w:rPr>
          <w:spacing w:val="-6"/>
        </w:rPr>
        <w:t> </w:t>
      </w:r>
      <w:r>
        <w:rPr/>
        <w:t>que</w:t>
      </w:r>
      <w:r>
        <w:rPr>
          <w:spacing w:val="-6"/>
        </w:rPr>
        <w:t> </w:t>
      </w:r>
      <w:r>
        <w:rPr/>
        <w:t>genera</w:t>
      </w:r>
      <w:r>
        <w:rPr>
          <w:spacing w:val="-6"/>
        </w:rPr>
        <w:t> </w:t>
      </w:r>
      <w:r>
        <w:rPr/>
        <w:t>más</w:t>
      </w:r>
      <w:r>
        <w:rPr>
          <w:spacing w:val="-6"/>
        </w:rPr>
        <w:t> </w:t>
      </w:r>
      <w:r>
        <w:rPr/>
        <w:t>escurrimiento</w:t>
      </w:r>
      <w:r>
        <w:rPr>
          <w:spacing w:val="-6"/>
        </w:rPr>
        <w:t> </w:t>
      </w:r>
      <w:r>
        <w:rPr/>
        <w:t>y</w:t>
      </w:r>
      <w:r>
        <w:rPr>
          <w:spacing w:val="-6"/>
        </w:rPr>
        <w:t> </w:t>
      </w:r>
      <w:r>
        <w:rPr/>
        <w:t>sedimento,</w:t>
      </w:r>
      <w:r>
        <w:rPr>
          <w:spacing w:val="-4"/>
        </w:rPr>
        <w:t> </w:t>
      </w:r>
      <w:r>
        <w:rPr/>
        <w:t>y</w:t>
      </w:r>
      <w:r>
        <w:rPr>
          <w:spacing w:val="-6"/>
        </w:rPr>
        <w:t> </w:t>
      </w:r>
      <w:r>
        <w:rPr/>
        <w:t>con</w:t>
      </w:r>
      <w:r>
        <w:rPr>
          <w:spacing w:val="-11"/>
        </w:rPr>
        <w:t> </w:t>
      </w:r>
      <w:r>
        <w:rPr/>
        <w:t>ello</w:t>
      </w:r>
      <w:r>
        <w:rPr>
          <w:spacing w:val="-6"/>
        </w:rPr>
        <w:t> </w:t>
      </w:r>
      <w:r>
        <w:rPr/>
        <w:t>aplicar</w:t>
      </w:r>
      <w:r>
        <w:rPr>
          <w:spacing w:val="-6"/>
        </w:rPr>
        <w:t> </w:t>
      </w:r>
      <w:r>
        <w:rPr/>
        <w:t>las</w:t>
      </w:r>
      <w:r>
        <w:rPr>
          <w:spacing w:val="-11"/>
        </w:rPr>
        <w:t> </w:t>
      </w:r>
      <w:r>
        <w:rPr/>
        <w:t>medidas</w:t>
      </w:r>
      <w:r>
        <w:rPr>
          <w:spacing w:val="-6"/>
        </w:rPr>
        <w:t> </w:t>
      </w:r>
      <w:r>
        <w:rPr/>
        <w:t>específicas en dichas</w:t>
      </w:r>
      <w:r>
        <w:rPr>
          <w:spacing w:val="-3"/>
        </w:rPr>
        <w:t> </w:t>
      </w:r>
      <w:r>
        <w:rPr/>
        <w:t>coberturas.</w:t>
      </w:r>
    </w:p>
    <w:p>
      <w:pPr>
        <w:spacing w:after="0" w:line="360" w:lineRule="auto"/>
        <w:jc w:val="both"/>
        <w:sectPr>
          <w:pgSz w:w="12240" w:h="15840"/>
          <w:pgMar w:header="0" w:footer="1473" w:top="1360" w:bottom="1660" w:left="1300" w:right="1300"/>
        </w:sectPr>
      </w:pPr>
    </w:p>
    <w:p>
      <w:pPr>
        <w:pStyle w:val="BodyText"/>
        <w:spacing w:line="360" w:lineRule="auto" w:before="49"/>
        <w:ind w:left="116" w:right="116"/>
        <w:jc w:val="both"/>
      </w:pPr>
      <w:r>
        <w:rPr/>
        <w:t>La cuenca El Tejocote es un territorio que a través de los años ha cambiado su ocupación del suelo, ello le traído consecuencias respecto a la disponibilidad del agua y degradación de suelos principalmente; lo que resalta la atención es la misma tendencia reportada desde los años 80´s hasta la actualidad; es por ello la preponderante necesidad de considerar este tipo de estudios de investigación para la futura toma de decisiones sobre las prácticas de manejo de recursos naturales, actividades económicas y planificación del cambio de uso del suelo.</w:t>
      </w:r>
    </w:p>
    <w:p>
      <w:pPr>
        <w:spacing w:after="0" w:line="360" w:lineRule="auto"/>
        <w:jc w:val="both"/>
        <w:sectPr>
          <w:footerReference w:type="default" r:id="rId189"/>
          <w:pgSz w:w="12240" w:h="15840"/>
          <w:pgMar w:footer="1473" w:header="0" w:top="1360" w:bottom="1660" w:left="1300" w:right="1300"/>
        </w:sectPr>
      </w:pPr>
    </w:p>
    <w:p>
      <w:pPr>
        <w:pStyle w:val="Heading1"/>
        <w:spacing w:before="53"/>
        <w:ind w:left="116"/>
        <w:jc w:val="both"/>
      </w:pPr>
      <w:bookmarkStart w:name="_bookmark136" w:id="195"/>
      <w:bookmarkEnd w:id="195"/>
      <w:r>
        <w:rPr>
          <w:b w:val="0"/>
        </w:rPr>
      </w:r>
      <w:r>
        <w:rPr/>
        <w:t>BIBLIOGRAFÍA</w:t>
      </w:r>
    </w:p>
    <w:p>
      <w:pPr>
        <w:pStyle w:val="BodyText"/>
        <w:spacing w:before="8"/>
        <w:rPr>
          <w:b/>
          <w:sz w:val="25"/>
        </w:rPr>
      </w:pPr>
    </w:p>
    <w:p>
      <w:pPr>
        <w:spacing w:line="240" w:lineRule="auto" w:before="0"/>
        <w:ind w:left="116" w:right="117" w:firstLine="0"/>
        <w:jc w:val="both"/>
        <w:rPr>
          <w:sz w:val="26"/>
        </w:rPr>
      </w:pPr>
      <w:r>
        <w:rPr>
          <w:sz w:val="26"/>
        </w:rPr>
        <w:t>Abbaspour,</w:t>
      </w:r>
      <w:r>
        <w:rPr>
          <w:spacing w:val="-15"/>
          <w:sz w:val="26"/>
        </w:rPr>
        <w:t> </w:t>
      </w:r>
      <w:r>
        <w:rPr>
          <w:sz w:val="26"/>
        </w:rPr>
        <w:t>K.C.,</w:t>
      </w:r>
      <w:r>
        <w:rPr>
          <w:spacing w:val="-15"/>
          <w:sz w:val="26"/>
        </w:rPr>
        <w:t> </w:t>
      </w:r>
      <w:r>
        <w:rPr>
          <w:spacing w:val="-3"/>
          <w:sz w:val="26"/>
        </w:rPr>
        <w:t>M.</w:t>
      </w:r>
      <w:r>
        <w:rPr>
          <w:spacing w:val="-15"/>
          <w:sz w:val="26"/>
        </w:rPr>
        <w:t> </w:t>
      </w:r>
      <w:r>
        <w:rPr>
          <w:sz w:val="26"/>
        </w:rPr>
        <w:t>Vejdani</w:t>
      </w:r>
      <w:r>
        <w:rPr>
          <w:spacing w:val="-16"/>
          <w:sz w:val="26"/>
        </w:rPr>
        <w:t> </w:t>
      </w:r>
      <w:r>
        <w:rPr>
          <w:sz w:val="26"/>
        </w:rPr>
        <w:t>y</w:t>
      </w:r>
      <w:r>
        <w:rPr>
          <w:spacing w:val="-22"/>
          <w:sz w:val="26"/>
        </w:rPr>
        <w:t> </w:t>
      </w:r>
      <w:r>
        <w:rPr>
          <w:spacing w:val="-3"/>
          <w:sz w:val="26"/>
        </w:rPr>
        <w:t>S.</w:t>
      </w:r>
      <w:r>
        <w:rPr>
          <w:spacing w:val="-15"/>
          <w:sz w:val="26"/>
        </w:rPr>
        <w:t> </w:t>
      </w:r>
      <w:r>
        <w:rPr>
          <w:sz w:val="26"/>
        </w:rPr>
        <w:t>Haghighat,</w:t>
      </w:r>
      <w:r>
        <w:rPr>
          <w:spacing w:val="-15"/>
          <w:sz w:val="26"/>
        </w:rPr>
        <w:t> </w:t>
      </w:r>
      <w:r>
        <w:rPr>
          <w:sz w:val="26"/>
        </w:rPr>
        <w:t>2007:</w:t>
      </w:r>
      <w:r>
        <w:rPr>
          <w:spacing w:val="-17"/>
          <w:sz w:val="26"/>
        </w:rPr>
        <w:t> </w:t>
      </w:r>
      <w:r>
        <w:rPr>
          <w:sz w:val="26"/>
        </w:rPr>
        <w:t>SWATCUP</w:t>
      </w:r>
      <w:r>
        <w:rPr>
          <w:spacing w:val="-17"/>
          <w:sz w:val="26"/>
        </w:rPr>
        <w:t> </w:t>
      </w:r>
      <w:r>
        <w:rPr>
          <w:sz w:val="26"/>
        </w:rPr>
        <w:t>calibration</w:t>
      </w:r>
      <w:r>
        <w:rPr>
          <w:spacing w:val="-17"/>
          <w:sz w:val="26"/>
        </w:rPr>
        <w:t> </w:t>
      </w:r>
      <w:r>
        <w:rPr>
          <w:sz w:val="26"/>
        </w:rPr>
        <w:t>and</w:t>
      </w:r>
      <w:r>
        <w:rPr>
          <w:spacing w:val="-17"/>
          <w:sz w:val="26"/>
        </w:rPr>
        <w:t> </w:t>
      </w:r>
      <w:r>
        <w:rPr>
          <w:sz w:val="26"/>
        </w:rPr>
        <w:t>uncertainty programs</w:t>
      </w:r>
      <w:r>
        <w:rPr>
          <w:spacing w:val="-6"/>
          <w:sz w:val="26"/>
        </w:rPr>
        <w:t> </w:t>
      </w:r>
      <w:r>
        <w:rPr>
          <w:sz w:val="26"/>
        </w:rPr>
        <w:t>for</w:t>
      </w:r>
      <w:r>
        <w:rPr>
          <w:spacing w:val="-6"/>
          <w:sz w:val="26"/>
        </w:rPr>
        <w:t> </w:t>
      </w:r>
      <w:r>
        <w:rPr>
          <w:sz w:val="26"/>
        </w:rPr>
        <w:t>SWAT. </w:t>
      </w:r>
      <w:r>
        <w:rPr>
          <w:spacing w:val="-3"/>
          <w:sz w:val="26"/>
        </w:rPr>
        <w:t>In</w:t>
      </w:r>
      <w:r>
        <w:rPr>
          <w:spacing w:val="-4"/>
          <w:sz w:val="26"/>
        </w:rPr>
        <w:t> </w:t>
      </w:r>
      <w:r>
        <w:rPr>
          <w:i/>
          <w:sz w:val="26"/>
        </w:rPr>
        <w:t>Proc.</w:t>
      </w:r>
      <w:r>
        <w:rPr>
          <w:i/>
          <w:spacing w:val="-4"/>
          <w:sz w:val="26"/>
        </w:rPr>
        <w:t> </w:t>
      </w:r>
      <w:r>
        <w:rPr>
          <w:i/>
          <w:sz w:val="26"/>
        </w:rPr>
        <w:t>Intl.</w:t>
      </w:r>
      <w:r>
        <w:rPr>
          <w:i/>
          <w:spacing w:val="-4"/>
          <w:sz w:val="26"/>
        </w:rPr>
        <w:t> </w:t>
      </w:r>
      <w:r>
        <w:rPr>
          <w:i/>
          <w:sz w:val="26"/>
        </w:rPr>
        <w:t>Congress</w:t>
      </w:r>
      <w:r>
        <w:rPr>
          <w:i/>
          <w:spacing w:val="-6"/>
          <w:sz w:val="26"/>
        </w:rPr>
        <w:t> </w:t>
      </w:r>
      <w:r>
        <w:rPr>
          <w:i/>
          <w:sz w:val="26"/>
        </w:rPr>
        <w:t>on</w:t>
      </w:r>
      <w:r>
        <w:rPr>
          <w:i/>
          <w:spacing w:val="-6"/>
          <w:sz w:val="26"/>
        </w:rPr>
        <w:t> </w:t>
      </w:r>
      <w:r>
        <w:rPr>
          <w:i/>
          <w:sz w:val="26"/>
        </w:rPr>
        <w:t>Modelling</w:t>
      </w:r>
      <w:r>
        <w:rPr>
          <w:i/>
          <w:spacing w:val="-6"/>
          <w:sz w:val="26"/>
        </w:rPr>
        <w:t> </w:t>
      </w:r>
      <w:r>
        <w:rPr>
          <w:i/>
          <w:sz w:val="26"/>
        </w:rPr>
        <w:t>and</w:t>
      </w:r>
      <w:r>
        <w:rPr>
          <w:i/>
          <w:spacing w:val="-6"/>
          <w:sz w:val="26"/>
        </w:rPr>
        <w:t> </w:t>
      </w:r>
      <w:r>
        <w:rPr>
          <w:i/>
          <w:sz w:val="26"/>
        </w:rPr>
        <w:t>Simulation</w:t>
      </w:r>
      <w:r>
        <w:rPr>
          <w:i/>
          <w:spacing w:val="-6"/>
          <w:sz w:val="26"/>
        </w:rPr>
        <w:t> </w:t>
      </w:r>
      <w:r>
        <w:rPr>
          <w:i/>
          <w:sz w:val="26"/>
        </w:rPr>
        <w:t>(MODSIM’07)</w:t>
      </w:r>
      <w:r>
        <w:rPr>
          <w:sz w:val="26"/>
        </w:rPr>
        <w:t>, 1603-1609.</w:t>
      </w:r>
      <w:r>
        <w:rPr>
          <w:spacing w:val="-14"/>
          <w:sz w:val="26"/>
        </w:rPr>
        <w:t> </w:t>
      </w:r>
      <w:r>
        <w:rPr>
          <w:spacing w:val="-3"/>
          <w:sz w:val="26"/>
        </w:rPr>
        <w:t>L.</w:t>
      </w:r>
      <w:r>
        <w:rPr>
          <w:spacing w:val="-14"/>
          <w:sz w:val="26"/>
        </w:rPr>
        <w:t> </w:t>
      </w:r>
      <w:r>
        <w:rPr>
          <w:sz w:val="26"/>
        </w:rPr>
        <w:t>Oxley</w:t>
      </w:r>
      <w:r>
        <w:rPr>
          <w:spacing w:val="-16"/>
          <w:sz w:val="26"/>
        </w:rPr>
        <w:t> </w:t>
      </w:r>
      <w:r>
        <w:rPr>
          <w:sz w:val="26"/>
        </w:rPr>
        <w:t>and</w:t>
      </w:r>
      <w:r>
        <w:rPr>
          <w:spacing w:val="-11"/>
          <w:sz w:val="26"/>
        </w:rPr>
        <w:t> </w:t>
      </w:r>
      <w:r>
        <w:rPr>
          <w:sz w:val="26"/>
        </w:rPr>
        <w:t>D.</w:t>
      </w:r>
      <w:r>
        <w:rPr>
          <w:spacing w:val="-14"/>
          <w:sz w:val="26"/>
        </w:rPr>
        <w:t> </w:t>
      </w:r>
      <w:r>
        <w:rPr>
          <w:sz w:val="26"/>
        </w:rPr>
        <w:t>Kulasiri,</w:t>
      </w:r>
      <w:r>
        <w:rPr>
          <w:spacing w:val="-13"/>
          <w:sz w:val="26"/>
        </w:rPr>
        <w:t> </w:t>
      </w:r>
      <w:r>
        <w:rPr>
          <w:sz w:val="26"/>
        </w:rPr>
        <w:t>eds.</w:t>
      </w:r>
      <w:r>
        <w:rPr>
          <w:spacing w:val="-13"/>
          <w:sz w:val="26"/>
        </w:rPr>
        <w:t> </w:t>
      </w:r>
      <w:r>
        <w:rPr>
          <w:sz w:val="26"/>
        </w:rPr>
        <w:t>Melbourne,</w:t>
      </w:r>
      <w:r>
        <w:rPr>
          <w:spacing w:val="-13"/>
          <w:sz w:val="26"/>
        </w:rPr>
        <w:t> </w:t>
      </w:r>
      <w:r>
        <w:rPr>
          <w:sz w:val="26"/>
        </w:rPr>
        <w:t>Australia:</w:t>
      </w:r>
      <w:r>
        <w:rPr>
          <w:spacing w:val="-11"/>
          <w:sz w:val="26"/>
        </w:rPr>
        <w:t> </w:t>
      </w:r>
      <w:r>
        <w:rPr>
          <w:sz w:val="26"/>
        </w:rPr>
        <w:t>Modelling</w:t>
      </w:r>
      <w:r>
        <w:rPr>
          <w:spacing w:val="-20"/>
          <w:sz w:val="26"/>
        </w:rPr>
        <w:t> </w:t>
      </w:r>
      <w:r>
        <w:rPr>
          <w:sz w:val="26"/>
        </w:rPr>
        <w:t>and</w:t>
      </w:r>
      <w:r>
        <w:rPr>
          <w:spacing w:val="-11"/>
          <w:sz w:val="26"/>
        </w:rPr>
        <w:t> </w:t>
      </w:r>
      <w:r>
        <w:rPr>
          <w:sz w:val="26"/>
        </w:rPr>
        <w:t>Simulation Society of Australia and New</w:t>
      </w:r>
      <w:r>
        <w:rPr>
          <w:spacing w:val="-7"/>
          <w:sz w:val="26"/>
        </w:rPr>
        <w:t> </w:t>
      </w:r>
      <w:r>
        <w:rPr>
          <w:sz w:val="26"/>
        </w:rPr>
        <w:t>Zealand.</w:t>
      </w:r>
    </w:p>
    <w:p>
      <w:pPr>
        <w:pStyle w:val="BodyText"/>
        <w:spacing w:before="8"/>
        <w:rPr>
          <w:sz w:val="25"/>
        </w:rPr>
      </w:pPr>
    </w:p>
    <w:p>
      <w:pPr>
        <w:spacing w:line="240" w:lineRule="auto" w:before="0"/>
        <w:ind w:left="116" w:right="115" w:firstLine="0"/>
        <w:jc w:val="both"/>
        <w:rPr>
          <w:sz w:val="26"/>
        </w:rPr>
      </w:pPr>
      <w:r>
        <w:rPr>
          <w:sz w:val="26"/>
        </w:rPr>
        <w:t>Amorim,</w:t>
      </w:r>
      <w:r>
        <w:rPr>
          <w:spacing w:val="-14"/>
          <w:sz w:val="26"/>
        </w:rPr>
        <w:t> </w:t>
      </w:r>
      <w:r>
        <w:rPr>
          <w:sz w:val="26"/>
        </w:rPr>
        <w:t>R.S.,</w:t>
      </w:r>
      <w:r>
        <w:rPr>
          <w:spacing w:val="-14"/>
          <w:sz w:val="26"/>
        </w:rPr>
        <w:t> </w:t>
      </w:r>
      <w:r>
        <w:rPr>
          <w:sz w:val="26"/>
        </w:rPr>
        <w:t>2004:</w:t>
      </w:r>
      <w:r>
        <w:rPr>
          <w:spacing w:val="-16"/>
          <w:sz w:val="26"/>
        </w:rPr>
        <w:t> </w:t>
      </w:r>
      <w:r>
        <w:rPr>
          <w:sz w:val="26"/>
        </w:rPr>
        <w:t>“Avaliação</w:t>
      </w:r>
      <w:r>
        <w:rPr>
          <w:spacing w:val="-15"/>
          <w:sz w:val="26"/>
        </w:rPr>
        <w:t> </w:t>
      </w:r>
      <w:r>
        <w:rPr>
          <w:sz w:val="26"/>
        </w:rPr>
        <w:t>dos</w:t>
      </w:r>
      <w:r>
        <w:rPr>
          <w:spacing w:val="-12"/>
          <w:sz w:val="26"/>
        </w:rPr>
        <w:t> </w:t>
      </w:r>
      <w:r>
        <w:rPr>
          <w:sz w:val="26"/>
        </w:rPr>
        <w:t>modelos</w:t>
      </w:r>
      <w:r>
        <w:rPr>
          <w:spacing w:val="-16"/>
          <w:sz w:val="26"/>
        </w:rPr>
        <w:t> </w:t>
      </w:r>
      <w:r>
        <w:rPr>
          <w:sz w:val="26"/>
        </w:rPr>
        <w:t>de</w:t>
      </w:r>
      <w:r>
        <w:rPr>
          <w:spacing w:val="-16"/>
          <w:sz w:val="26"/>
        </w:rPr>
        <w:t> </w:t>
      </w:r>
      <w:r>
        <w:rPr>
          <w:sz w:val="26"/>
        </w:rPr>
        <w:t>predição</w:t>
      </w:r>
      <w:r>
        <w:rPr>
          <w:spacing w:val="-15"/>
          <w:sz w:val="26"/>
        </w:rPr>
        <w:t> </w:t>
      </w:r>
      <w:r>
        <w:rPr>
          <w:sz w:val="26"/>
        </w:rPr>
        <w:t>da</w:t>
      </w:r>
      <w:r>
        <w:rPr>
          <w:spacing w:val="-16"/>
          <w:sz w:val="26"/>
        </w:rPr>
        <w:t> </w:t>
      </w:r>
      <w:r>
        <w:rPr>
          <w:sz w:val="26"/>
        </w:rPr>
        <w:t>erosão</w:t>
      </w:r>
      <w:r>
        <w:rPr>
          <w:spacing w:val="-15"/>
          <w:sz w:val="26"/>
        </w:rPr>
        <w:t> </w:t>
      </w:r>
      <w:r>
        <w:rPr>
          <w:sz w:val="26"/>
        </w:rPr>
        <w:t>hídrica</w:t>
      </w:r>
      <w:r>
        <w:rPr>
          <w:spacing w:val="-15"/>
          <w:sz w:val="26"/>
        </w:rPr>
        <w:t> </w:t>
      </w:r>
      <w:r>
        <w:rPr>
          <w:sz w:val="26"/>
        </w:rPr>
        <w:t>USLE,</w:t>
      </w:r>
      <w:r>
        <w:rPr>
          <w:spacing w:val="-14"/>
          <w:sz w:val="26"/>
        </w:rPr>
        <w:t> </w:t>
      </w:r>
      <w:r>
        <w:rPr>
          <w:sz w:val="26"/>
        </w:rPr>
        <w:t>RUSLE e WEPP para condições edafoclimáticas brasileiras” en </w:t>
      </w:r>
      <w:r>
        <w:rPr>
          <w:i/>
          <w:sz w:val="26"/>
        </w:rPr>
        <w:t>Revista Dissertação (Doutorado </w:t>
      </w:r>
      <w:r>
        <w:rPr>
          <w:i/>
          <w:sz w:val="26"/>
        </w:rPr>
        <w:t>em Engenharia Agrícola</w:t>
      </w:r>
      <w:r>
        <w:rPr>
          <w:sz w:val="26"/>
        </w:rPr>
        <w:t>) 120f.  Viçosa: Universidade Federal de</w:t>
      </w:r>
      <w:r>
        <w:rPr>
          <w:spacing w:val="-6"/>
          <w:sz w:val="26"/>
        </w:rPr>
        <w:t> </w:t>
      </w:r>
      <w:r>
        <w:rPr>
          <w:sz w:val="26"/>
        </w:rPr>
        <w:t>Viçosa.</w:t>
      </w:r>
    </w:p>
    <w:p>
      <w:pPr>
        <w:pStyle w:val="BodyText"/>
        <w:spacing w:before="2"/>
      </w:pPr>
    </w:p>
    <w:p>
      <w:pPr>
        <w:spacing w:before="0"/>
        <w:ind w:left="116" w:right="120" w:firstLine="0"/>
        <w:jc w:val="both"/>
        <w:rPr>
          <w:sz w:val="26"/>
        </w:rPr>
      </w:pPr>
      <w:r>
        <w:rPr>
          <w:sz w:val="26"/>
        </w:rPr>
        <w:t>Andreu, J., 1993: </w:t>
      </w:r>
      <w:r>
        <w:rPr>
          <w:i/>
          <w:sz w:val="26"/>
        </w:rPr>
        <w:t>Análisis de sistemas de modelación en Conceptos y métodos para la </w:t>
      </w:r>
      <w:r>
        <w:rPr>
          <w:i/>
          <w:sz w:val="26"/>
        </w:rPr>
        <w:t>planificación hidrológica</w:t>
      </w:r>
      <w:r>
        <w:rPr>
          <w:sz w:val="26"/>
        </w:rPr>
        <w:t>, Barcelona: Editorial Diputación de Alicante.</w:t>
      </w:r>
    </w:p>
    <w:p>
      <w:pPr>
        <w:pStyle w:val="BodyText"/>
        <w:spacing w:before="9"/>
        <w:rPr>
          <w:sz w:val="25"/>
        </w:rPr>
      </w:pPr>
    </w:p>
    <w:p>
      <w:pPr>
        <w:pStyle w:val="BodyText"/>
        <w:spacing w:line="242" w:lineRule="auto"/>
        <w:ind w:left="116" w:right="116"/>
        <w:jc w:val="both"/>
        <w:rPr>
          <w:i/>
        </w:rPr>
      </w:pPr>
      <w:r>
        <w:rPr/>
        <w:t>Aparecida, L.T. y M.L. Calijuri, 2010: “Modelagem hidrossedimentológica de bacia hidrográfica na regiâo sudeste do Brasil, utilizando o SWAT” en </w:t>
      </w:r>
      <w:r>
        <w:rPr>
          <w:i/>
        </w:rPr>
        <w:t>Revista Ambiente e Âgua</w:t>
      </w:r>
    </w:p>
    <w:p>
      <w:pPr>
        <w:spacing w:line="298" w:lineRule="exact" w:before="0"/>
        <w:ind w:left="116" w:right="115" w:firstLine="0"/>
        <w:jc w:val="both"/>
        <w:rPr>
          <w:sz w:val="26"/>
        </w:rPr>
      </w:pPr>
      <w:r>
        <w:rPr>
          <w:i/>
          <w:sz w:val="26"/>
        </w:rPr>
        <w:t>– An Interdisciplinary Journal of Applied </w:t>
      </w:r>
      <w:r>
        <w:rPr>
          <w:sz w:val="26"/>
        </w:rPr>
        <w:t>Science</w:t>
      </w:r>
      <w:r>
        <w:rPr>
          <w:i/>
          <w:sz w:val="26"/>
        </w:rPr>
        <w:t>, vol. 5, núm. 2</w:t>
      </w:r>
      <w:r>
        <w:rPr>
          <w:sz w:val="26"/>
        </w:rPr>
        <w:t>, Brasil: Universidad de Taubaté; Taubaté.</w:t>
      </w:r>
    </w:p>
    <w:p>
      <w:pPr>
        <w:pStyle w:val="BodyText"/>
        <w:spacing w:before="10"/>
        <w:rPr>
          <w:sz w:val="25"/>
        </w:rPr>
      </w:pPr>
    </w:p>
    <w:p>
      <w:pPr>
        <w:spacing w:before="0"/>
        <w:ind w:left="116" w:right="0" w:firstLine="0"/>
        <w:jc w:val="both"/>
        <w:rPr>
          <w:sz w:val="26"/>
        </w:rPr>
      </w:pPr>
      <w:r>
        <w:rPr>
          <w:sz w:val="26"/>
        </w:rPr>
        <w:t>Aparicio, F.J., 1989: </w:t>
      </w:r>
      <w:r>
        <w:rPr>
          <w:i/>
          <w:sz w:val="26"/>
        </w:rPr>
        <w:t>Fundamentos de Hidrología de Superficie</w:t>
      </w:r>
      <w:r>
        <w:rPr>
          <w:sz w:val="26"/>
        </w:rPr>
        <w:t>, México: Editorial Limusa.</w:t>
      </w:r>
    </w:p>
    <w:p>
      <w:pPr>
        <w:pStyle w:val="BodyText"/>
        <w:spacing w:before="9"/>
        <w:rPr>
          <w:sz w:val="25"/>
        </w:rPr>
      </w:pPr>
    </w:p>
    <w:p>
      <w:pPr>
        <w:spacing w:line="240" w:lineRule="auto" w:before="0"/>
        <w:ind w:left="116" w:right="116" w:firstLine="0"/>
        <w:jc w:val="both"/>
        <w:rPr>
          <w:sz w:val="26"/>
        </w:rPr>
      </w:pPr>
      <w:r>
        <w:rPr>
          <w:sz w:val="26"/>
        </w:rPr>
        <w:t>Arias, L.E. y M. Duque, 1992: </w:t>
      </w:r>
      <w:r>
        <w:rPr>
          <w:i/>
          <w:sz w:val="26"/>
        </w:rPr>
        <w:t>La cuenca hidrográfica como una unidad de análisis y </w:t>
      </w:r>
      <w:r>
        <w:rPr>
          <w:i/>
          <w:sz w:val="26"/>
        </w:rPr>
        <w:t>planificación territorial, </w:t>
      </w:r>
      <w:r>
        <w:rPr>
          <w:sz w:val="26"/>
        </w:rPr>
        <w:t>Medellín: Tesis Doctoral (Economista Agrícola) 250p.: Universidad Nacional de Colombia.</w:t>
      </w:r>
    </w:p>
    <w:p>
      <w:pPr>
        <w:pStyle w:val="BodyText"/>
        <w:spacing w:before="2"/>
      </w:pPr>
    </w:p>
    <w:p>
      <w:pPr>
        <w:pStyle w:val="BodyText"/>
        <w:ind w:left="116" w:right="115"/>
        <w:jc w:val="both"/>
      </w:pPr>
      <w:r>
        <w:rPr/>
        <w:t>Arnold, J.G., M.D. Bircket, J.R.Williams, W. F. Smith y H. N. McGill, 1987: “Modelling the effects of urbanization on basin water yield and reservoir sedimentation” en </w:t>
      </w:r>
      <w:r>
        <w:rPr>
          <w:i/>
        </w:rPr>
        <w:t>Water </w:t>
      </w:r>
      <w:r>
        <w:rPr>
          <w:i/>
        </w:rPr>
        <w:t>Resources Bulletin 23(6) 1101-1107</w:t>
      </w:r>
      <w:r>
        <w:rPr/>
        <w:t>, EUA.</w:t>
      </w:r>
    </w:p>
    <w:p>
      <w:pPr>
        <w:pStyle w:val="BodyText"/>
        <w:spacing w:before="2"/>
      </w:pPr>
    </w:p>
    <w:p>
      <w:pPr>
        <w:spacing w:before="0"/>
        <w:ind w:left="116" w:right="116" w:firstLine="0"/>
        <w:jc w:val="both"/>
        <w:rPr>
          <w:sz w:val="26"/>
        </w:rPr>
      </w:pPr>
      <w:r>
        <w:rPr>
          <w:sz w:val="26"/>
        </w:rPr>
        <w:t>Arnold, J.G., </w:t>
      </w:r>
      <w:r>
        <w:rPr>
          <w:spacing w:val="-3"/>
          <w:sz w:val="26"/>
        </w:rPr>
        <w:t>R. </w:t>
      </w:r>
      <w:r>
        <w:rPr>
          <w:sz w:val="26"/>
        </w:rPr>
        <w:t>Srinivasin, R.S. Muttiah y J.R. Williams, 1998: “Large area hydrologic modeling</w:t>
      </w:r>
      <w:r>
        <w:rPr>
          <w:spacing w:val="-11"/>
          <w:sz w:val="26"/>
        </w:rPr>
        <w:t> </w:t>
      </w:r>
      <w:r>
        <w:rPr>
          <w:sz w:val="26"/>
        </w:rPr>
        <w:t>and</w:t>
      </w:r>
      <w:r>
        <w:rPr>
          <w:spacing w:val="-6"/>
          <w:sz w:val="26"/>
        </w:rPr>
        <w:t> </w:t>
      </w:r>
      <w:r>
        <w:rPr>
          <w:sz w:val="26"/>
        </w:rPr>
        <w:t>assessment:</w:t>
      </w:r>
      <w:r>
        <w:rPr>
          <w:spacing w:val="-6"/>
          <w:sz w:val="26"/>
        </w:rPr>
        <w:t> </w:t>
      </w:r>
      <w:r>
        <w:rPr>
          <w:sz w:val="26"/>
        </w:rPr>
        <w:t>part</w:t>
      </w:r>
      <w:r>
        <w:rPr>
          <w:spacing w:val="-6"/>
          <w:sz w:val="26"/>
        </w:rPr>
        <w:t> </w:t>
      </w:r>
      <w:r>
        <w:rPr>
          <w:spacing w:val="-3"/>
          <w:sz w:val="26"/>
        </w:rPr>
        <w:t>I.</w:t>
      </w:r>
      <w:r>
        <w:rPr>
          <w:spacing w:val="-4"/>
          <w:sz w:val="26"/>
        </w:rPr>
        <w:t> </w:t>
      </w:r>
      <w:r>
        <w:rPr>
          <w:sz w:val="26"/>
        </w:rPr>
        <w:t>Model</w:t>
      </w:r>
      <w:r>
        <w:rPr>
          <w:spacing w:val="-6"/>
          <w:sz w:val="26"/>
        </w:rPr>
        <w:t> </w:t>
      </w:r>
      <w:r>
        <w:rPr>
          <w:sz w:val="26"/>
        </w:rPr>
        <w:t>development”,</w:t>
      </w:r>
      <w:r>
        <w:rPr>
          <w:spacing w:val="-4"/>
          <w:sz w:val="26"/>
        </w:rPr>
        <w:t> </w:t>
      </w:r>
      <w:r>
        <w:rPr>
          <w:sz w:val="26"/>
        </w:rPr>
        <w:t>en</w:t>
      </w:r>
      <w:r>
        <w:rPr>
          <w:spacing w:val="-2"/>
          <w:sz w:val="26"/>
        </w:rPr>
        <w:t> </w:t>
      </w:r>
      <w:r>
        <w:rPr>
          <w:i/>
          <w:sz w:val="26"/>
        </w:rPr>
        <w:t>Revista</w:t>
      </w:r>
      <w:r>
        <w:rPr>
          <w:i/>
          <w:spacing w:val="-6"/>
          <w:sz w:val="26"/>
        </w:rPr>
        <w:t> </w:t>
      </w:r>
      <w:r>
        <w:rPr>
          <w:i/>
          <w:sz w:val="26"/>
        </w:rPr>
        <w:t>Journal</w:t>
      </w:r>
      <w:r>
        <w:rPr>
          <w:i/>
          <w:spacing w:val="-6"/>
          <w:sz w:val="26"/>
        </w:rPr>
        <w:t> </w:t>
      </w:r>
      <w:r>
        <w:rPr>
          <w:i/>
          <w:sz w:val="26"/>
        </w:rPr>
        <w:t>of</w:t>
      </w:r>
      <w:r>
        <w:rPr>
          <w:i/>
          <w:spacing w:val="-6"/>
          <w:sz w:val="26"/>
        </w:rPr>
        <w:t> </w:t>
      </w:r>
      <w:r>
        <w:rPr>
          <w:i/>
          <w:sz w:val="26"/>
        </w:rPr>
        <w:t>the</w:t>
      </w:r>
      <w:r>
        <w:rPr>
          <w:i/>
          <w:spacing w:val="-11"/>
          <w:sz w:val="26"/>
        </w:rPr>
        <w:t> </w:t>
      </w:r>
      <w:r>
        <w:rPr>
          <w:i/>
          <w:sz w:val="26"/>
        </w:rPr>
        <w:t>American </w:t>
      </w:r>
      <w:r>
        <w:rPr>
          <w:i/>
          <w:sz w:val="26"/>
        </w:rPr>
        <w:t>Water Resources Association 34 (1), 73–89</w:t>
      </w:r>
      <w:r>
        <w:rPr>
          <w:sz w:val="26"/>
        </w:rPr>
        <w:t>,</w:t>
      </w:r>
      <w:r>
        <w:rPr>
          <w:spacing w:val="1"/>
          <w:sz w:val="26"/>
        </w:rPr>
        <w:t> </w:t>
      </w:r>
      <w:r>
        <w:rPr>
          <w:spacing w:val="-3"/>
          <w:sz w:val="26"/>
        </w:rPr>
        <w:t>EUA.</w:t>
      </w:r>
    </w:p>
    <w:p>
      <w:pPr>
        <w:pStyle w:val="BodyText"/>
        <w:spacing w:before="2"/>
      </w:pPr>
    </w:p>
    <w:p>
      <w:pPr>
        <w:pStyle w:val="BodyText"/>
        <w:ind w:left="116" w:right="116"/>
        <w:jc w:val="both"/>
        <w:rPr>
          <w:i/>
        </w:rPr>
      </w:pPr>
      <w:r>
        <w:rPr/>
        <w:t>Arnold J.G., D.N. Moriasi, P.W. Gassman, K.C. Abbaspour, M.J. White, R. Srinivasan,</w:t>
      </w:r>
      <w:r>
        <w:rPr>
          <w:spacing w:val="-28"/>
        </w:rPr>
        <w:t> </w:t>
      </w:r>
      <w:r>
        <w:rPr/>
        <w:t>C. Santhi, R.D. Harmel, </w:t>
      </w:r>
      <w:r>
        <w:rPr>
          <w:spacing w:val="-3"/>
        </w:rPr>
        <w:t>A. </w:t>
      </w:r>
      <w:r>
        <w:rPr/>
        <w:t>Van Griensven, M.W. Van Liew, N. Kannan y M.K. Jha, 2012: “SWAT: MODEL USE,  CALIBRATION,  AND  VALIDATION”  </w:t>
      </w:r>
      <w:r>
        <w:rPr>
          <w:i/>
        </w:rPr>
        <w:t>en Revista Soil   </w:t>
      </w:r>
      <w:r>
        <w:rPr>
          <w:i/>
          <w:spacing w:val="17"/>
        </w:rPr>
        <w:t> </w:t>
      </w:r>
      <w:r>
        <w:rPr>
          <w:i/>
        </w:rPr>
        <w:t>and</w:t>
      </w:r>
    </w:p>
    <w:p>
      <w:pPr>
        <w:spacing w:before="3"/>
        <w:ind w:left="116" w:right="0" w:firstLine="0"/>
        <w:jc w:val="both"/>
        <w:rPr>
          <w:sz w:val="26"/>
        </w:rPr>
      </w:pPr>
      <w:r>
        <w:rPr>
          <w:i/>
          <w:sz w:val="26"/>
        </w:rPr>
        <w:t>Water Division of ASABE</w:t>
      </w:r>
      <w:r>
        <w:rPr>
          <w:sz w:val="26"/>
        </w:rPr>
        <w:t>, Texas, USA.</w:t>
      </w:r>
    </w:p>
    <w:p>
      <w:pPr>
        <w:pStyle w:val="BodyText"/>
        <w:spacing w:before="9"/>
        <w:rPr>
          <w:sz w:val="25"/>
        </w:rPr>
      </w:pPr>
    </w:p>
    <w:p>
      <w:pPr>
        <w:spacing w:line="240" w:lineRule="auto" w:before="0"/>
        <w:ind w:left="116" w:right="110" w:firstLine="0"/>
        <w:jc w:val="both"/>
        <w:rPr>
          <w:sz w:val="26"/>
        </w:rPr>
      </w:pPr>
      <w:r>
        <w:rPr>
          <w:sz w:val="26"/>
        </w:rPr>
        <w:t>Balvanera,</w:t>
      </w:r>
      <w:r>
        <w:rPr>
          <w:spacing w:val="-10"/>
          <w:sz w:val="26"/>
        </w:rPr>
        <w:t> </w:t>
      </w:r>
      <w:r>
        <w:rPr>
          <w:sz w:val="26"/>
        </w:rPr>
        <w:t>P.</w:t>
      </w:r>
      <w:r>
        <w:rPr>
          <w:spacing w:val="-14"/>
          <w:sz w:val="26"/>
        </w:rPr>
        <w:t> </w:t>
      </w:r>
      <w:r>
        <w:rPr>
          <w:sz w:val="26"/>
        </w:rPr>
        <w:t>y</w:t>
      </w:r>
      <w:r>
        <w:rPr>
          <w:spacing w:val="-16"/>
          <w:sz w:val="26"/>
        </w:rPr>
        <w:t> </w:t>
      </w:r>
      <w:r>
        <w:rPr>
          <w:sz w:val="26"/>
        </w:rPr>
        <w:t>H.</w:t>
      </w:r>
      <w:r>
        <w:rPr>
          <w:spacing w:val="-13"/>
          <w:sz w:val="26"/>
        </w:rPr>
        <w:t> </w:t>
      </w:r>
      <w:r>
        <w:rPr>
          <w:sz w:val="26"/>
        </w:rPr>
        <w:t>Cotler,</w:t>
      </w:r>
      <w:r>
        <w:rPr>
          <w:spacing w:val="-13"/>
          <w:sz w:val="26"/>
        </w:rPr>
        <w:t> </w:t>
      </w:r>
      <w:r>
        <w:rPr>
          <w:sz w:val="26"/>
        </w:rPr>
        <w:t>2009:</w:t>
      </w:r>
      <w:r>
        <w:rPr>
          <w:spacing w:val="-13"/>
          <w:sz w:val="26"/>
        </w:rPr>
        <w:t> </w:t>
      </w:r>
      <w:r>
        <w:rPr>
          <w:i/>
          <w:sz w:val="26"/>
        </w:rPr>
        <w:t>Estado</w:t>
      </w:r>
      <w:r>
        <w:rPr>
          <w:i/>
          <w:spacing w:val="-11"/>
          <w:sz w:val="26"/>
        </w:rPr>
        <w:t> </w:t>
      </w:r>
      <w:r>
        <w:rPr>
          <w:i/>
          <w:sz w:val="26"/>
        </w:rPr>
        <w:t>y</w:t>
      </w:r>
      <w:r>
        <w:rPr>
          <w:i/>
          <w:spacing w:val="-16"/>
          <w:sz w:val="26"/>
        </w:rPr>
        <w:t> </w:t>
      </w:r>
      <w:r>
        <w:rPr>
          <w:i/>
          <w:sz w:val="26"/>
        </w:rPr>
        <w:t>tendencias</w:t>
      </w:r>
      <w:r>
        <w:rPr>
          <w:i/>
          <w:spacing w:val="-11"/>
          <w:sz w:val="26"/>
        </w:rPr>
        <w:t> </w:t>
      </w:r>
      <w:r>
        <w:rPr>
          <w:i/>
          <w:sz w:val="26"/>
        </w:rPr>
        <w:t>de</w:t>
      </w:r>
      <w:r>
        <w:rPr>
          <w:i/>
          <w:spacing w:val="-11"/>
          <w:sz w:val="26"/>
        </w:rPr>
        <w:t> </w:t>
      </w:r>
      <w:r>
        <w:rPr>
          <w:i/>
          <w:sz w:val="26"/>
        </w:rPr>
        <w:t>los</w:t>
      </w:r>
      <w:r>
        <w:rPr>
          <w:i/>
          <w:spacing w:val="-16"/>
          <w:sz w:val="26"/>
        </w:rPr>
        <w:t> </w:t>
      </w:r>
      <w:r>
        <w:rPr>
          <w:i/>
          <w:sz w:val="26"/>
        </w:rPr>
        <w:t>servicios</w:t>
      </w:r>
      <w:r>
        <w:rPr>
          <w:i/>
          <w:spacing w:val="-15"/>
          <w:sz w:val="26"/>
        </w:rPr>
        <w:t> </w:t>
      </w:r>
      <w:r>
        <w:rPr>
          <w:i/>
          <w:sz w:val="26"/>
        </w:rPr>
        <w:t>ecosistémicos</w:t>
      </w:r>
      <w:r>
        <w:rPr>
          <w:sz w:val="26"/>
        </w:rPr>
        <w:t>,</w:t>
      </w:r>
      <w:r>
        <w:rPr>
          <w:spacing w:val="-9"/>
          <w:sz w:val="26"/>
        </w:rPr>
        <w:t> </w:t>
      </w:r>
      <w:r>
        <w:rPr>
          <w:i/>
          <w:sz w:val="26"/>
        </w:rPr>
        <w:t>Capital </w:t>
      </w:r>
      <w:r>
        <w:rPr>
          <w:i/>
          <w:sz w:val="26"/>
        </w:rPr>
        <w:t>natural de México, voll. II: Estado de conservación y tendencias de cambio</w:t>
      </w:r>
      <w:r>
        <w:rPr>
          <w:sz w:val="26"/>
        </w:rPr>
        <w:t>. Ed.</w:t>
      </w:r>
      <w:r>
        <w:rPr>
          <w:spacing w:val="-28"/>
          <w:sz w:val="26"/>
        </w:rPr>
        <w:t> </w:t>
      </w:r>
      <w:r>
        <w:rPr>
          <w:sz w:val="26"/>
        </w:rPr>
        <w:t>Comisión Nacional para el Conocimiento y Uso de la Biodiversidad</w:t>
      </w:r>
      <w:r>
        <w:rPr>
          <w:spacing w:val="-16"/>
          <w:sz w:val="26"/>
        </w:rPr>
        <w:t> </w:t>
      </w:r>
      <w:r>
        <w:rPr>
          <w:sz w:val="26"/>
        </w:rPr>
        <w:t>(CONABIO).</w:t>
      </w:r>
    </w:p>
    <w:p>
      <w:pPr>
        <w:spacing w:after="0" w:line="240" w:lineRule="auto"/>
        <w:jc w:val="both"/>
        <w:rPr>
          <w:sz w:val="26"/>
        </w:rPr>
        <w:sectPr>
          <w:footerReference w:type="default" r:id="rId190"/>
          <w:pgSz w:w="12240" w:h="15840"/>
          <w:pgMar w:footer="1473" w:header="0" w:top="1360" w:bottom="1660" w:left="1300" w:right="1300"/>
          <w:pgNumType w:start="161"/>
        </w:sectPr>
      </w:pPr>
    </w:p>
    <w:p>
      <w:pPr>
        <w:spacing w:line="242" w:lineRule="auto" w:before="49"/>
        <w:ind w:left="116" w:right="116" w:firstLine="0"/>
        <w:jc w:val="both"/>
        <w:rPr>
          <w:sz w:val="26"/>
        </w:rPr>
      </w:pPr>
      <w:r>
        <w:rPr>
          <w:sz w:val="26"/>
        </w:rPr>
        <w:t>Barkin, R., 1986: </w:t>
      </w:r>
      <w:r>
        <w:rPr>
          <w:i/>
          <w:sz w:val="26"/>
        </w:rPr>
        <w:t>Embalses y su impacto ambiental, </w:t>
      </w:r>
      <w:r>
        <w:rPr>
          <w:sz w:val="26"/>
        </w:rPr>
        <w:t>España: Ed. Labor Scientific American.</w:t>
      </w:r>
    </w:p>
    <w:p>
      <w:pPr>
        <w:pStyle w:val="BodyText"/>
        <w:spacing w:before="6"/>
        <w:rPr>
          <w:sz w:val="25"/>
        </w:rPr>
      </w:pPr>
    </w:p>
    <w:p>
      <w:pPr>
        <w:pStyle w:val="BodyText"/>
        <w:spacing w:line="278" w:lineRule="auto"/>
        <w:ind w:left="116" w:right="123"/>
        <w:jc w:val="both"/>
      </w:pPr>
      <w:r>
        <w:rPr/>
        <w:t>Barrow, C., “River basin development planning and management; a critical review” en World Development 26(1), 1998, pp171-186.</w:t>
      </w:r>
    </w:p>
    <w:p>
      <w:pPr>
        <w:spacing w:line="240" w:lineRule="auto" w:before="197"/>
        <w:ind w:left="116" w:right="112" w:firstLine="0"/>
        <w:jc w:val="both"/>
        <w:rPr>
          <w:sz w:val="26"/>
        </w:rPr>
      </w:pPr>
      <w:r>
        <w:rPr>
          <w:sz w:val="26"/>
        </w:rPr>
        <w:t>Bonini, J., E. Guzmán y D. Matamoros, 2003: </w:t>
      </w:r>
      <w:r>
        <w:rPr>
          <w:i/>
          <w:sz w:val="26"/>
        </w:rPr>
        <w:t>Estimación de caudales y sedimentos en la </w:t>
      </w:r>
      <w:r>
        <w:rPr>
          <w:i/>
          <w:sz w:val="26"/>
        </w:rPr>
        <w:t>cuenca del río Chaguana, mediante el modelo matemático AVSWAT</w:t>
      </w:r>
      <w:r>
        <w:rPr>
          <w:sz w:val="26"/>
        </w:rPr>
        <w:t>, E.U.A.: Tesis Doctoral, Universidad de Nueva Orleans.</w:t>
      </w:r>
    </w:p>
    <w:p>
      <w:pPr>
        <w:pStyle w:val="BodyText"/>
        <w:spacing w:before="9"/>
        <w:rPr>
          <w:sz w:val="25"/>
        </w:rPr>
      </w:pPr>
    </w:p>
    <w:p>
      <w:pPr>
        <w:spacing w:line="242" w:lineRule="auto" w:before="0"/>
        <w:ind w:left="116" w:right="117" w:firstLine="0"/>
        <w:jc w:val="both"/>
        <w:rPr>
          <w:sz w:val="26"/>
        </w:rPr>
      </w:pPr>
      <w:r>
        <w:rPr>
          <w:sz w:val="26"/>
        </w:rPr>
        <w:t>Bonneau, M. y B. Souchier, 1987: </w:t>
      </w:r>
      <w:r>
        <w:rPr>
          <w:i/>
          <w:sz w:val="26"/>
        </w:rPr>
        <w:t>Edafología. Constituyentes y propiedades del </w:t>
      </w:r>
      <w:r>
        <w:rPr>
          <w:sz w:val="26"/>
        </w:rPr>
        <w:t>suelo, Barcelona: Editorial London (u.a.).</w:t>
      </w:r>
    </w:p>
    <w:p>
      <w:pPr>
        <w:pStyle w:val="BodyText"/>
        <w:spacing w:before="5"/>
        <w:rPr>
          <w:sz w:val="25"/>
        </w:rPr>
      </w:pPr>
    </w:p>
    <w:p>
      <w:pPr>
        <w:spacing w:before="1"/>
        <w:ind w:left="116" w:right="117" w:firstLine="0"/>
        <w:jc w:val="both"/>
        <w:rPr>
          <w:sz w:val="26"/>
        </w:rPr>
      </w:pPr>
      <w:r>
        <w:rPr>
          <w:sz w:val="26"/>
        </w:rPr>
        <w:t>Breña, A.F. y M.A. Jacobo, 2006: </w:t>
      </w:r>
      <w:r>
        <w:rPr>
          <w:i/>
          <w:sz w:val="26"/>
        </w:rPr>
        <w:t>Principios y Fundamentos de la Hidrología</w:t>
      </w:r>
      <w:r>
        <w:rPr>
          <w:i/>
          <w:spacing w:val="-12"/>
          <w:sz w:val="26"/>
        </w:rPr>
        <w:t> </w:t>
      </w:r>
      <w:r>
        <w:rPr>
          <w:i/>
          <w:sz w:val="26"/>
        </w:rPr>
        <w:t>Superficial</w:t>
      </w:r>
      <w:r>
        <w:rPr>
          <w:sz w:val="26"/>
        </w:rPr>
        <w:t>, México: Editorial Universidad Autónoma</w:t>
      </w:r>
      <w:r>
        <w:rPr>
          <w:spacing w:val="-39"/>
          <w:sz w:val="26"/>
        </w:rPr>
        <w:t> </w:t>
      </w:r>
      <w:r>
        <w:rPr>
          <w:sz w:val="26"/>
        </w:rPr>
        <w:t>Metropolitana.</w:t>
      </w:r>
    </w:p>
    <w:p>
      <w:pPr>
        <w:pStyle w:val="BodyText"/>
        <w:spacing w:before="2"/>
      </w:pPr>
    </w:p>
    <w:p>
      <w:pPr>
        <w:spacing w:line="240" w:lineRule="auto" w:before="0"/>
        <w:ind w:left="116" w:right="115" w:firstLine="0"/>
        <w:jc w:val="both"/>
        <w:rPr>
          <w:sz w:val="26"/>
        </w:rPr>
      </w:pPr>
      <w:r>
        <w:rPr>
          <w:sz w:val="26"/>
        </w:rPr>
        <w:t>Cabeda, M.S.V., 1983: “Degradação física e erosão” en </w:t>
      </w:r>
      <w:r>
        <w:rPr>
          <w:i/>
          <w:sz w:val="26"/>
        </w:rPr>
        <w:t>I Simpósio de manejo do solo e </w:t>
      </w:r>
      <w:r>
        <w:rPr>
          <w:i/>
          <w:sz w:val="26"/>
        </w:rPr>
        <w:t>plantio direito no sul do Brasil e III Simpósio de conservação de solos do planalto</w:t>
      </w:r>
      <w:r>
        <w:rPr>
          <w:sz w:val="26"/>
        </w:rPr>
        <w:t>, Passo Fundo, RS, Anais.</w:t>
      </w:r>
    </w:p>
    <w:p>
      <w:pPr>
        <w:pStyle w:val="BodyText"/>
        <w:spacing w:before="9"/>
        <w:rPr>
          <w:sz w:val="25"/>
        </w:rPr>
      </w:pPr>
    </w:p>
    <w:p>
      <w:pPr>
        <w:pStyle w:val="BodyText"/>
        <w:spacing w:line="276" w:lineRule="auto"/>
        <w:ind w:left="116" w:right="116"/>
        <w:jc w:val="both"/>
      </w:pPr>
      <w:r>
        <w:rPr/>
        <w:t>Caire,</w:t>
      </w:r>
      <w:r>
        <w:rPr>
          <w:spacing w:val="-11"/>
        </w:rPr>
        <w:t> </w:t>
      </w:r>
      <w:r>
        <w:rPr/>
        <w:t>G.,</w:t>
      </w:r>
      <w:r>
        <w:rPr>
          <w:spacing w:val="-14"/>
        </w:rPr>
        <w:t> </w:t>
      </w:r>
      <w:r>
        <w:rPr/>
        <w:t>2004:</w:t>
      </w:r>
      <w:r>
        <w:rPr>
          <w:spacing w:val="-13"/>
        </w:rPr>
        <w:t> </w:t>
      </w:r>
      <w:r>
        <w:rPr/>
        <w:t>“Implicaciones</w:t>
      </w:r>
      <w:r>
        <w:rPr>
          <w:spacing w:val="-13"/>
        </w:rPr>
        <w:t> </w:t>
      </w:r>
      <w:r>
        <w:rPr/>
        <w:t>del</w:t>
      </w:r>
      <w:r>
        <w:rPr>
          <w:spacing w:val="-13"/>
        </w:rPr>
        <w:t> </w:t>
      </w:r>
      <w:r>
        <w:rPr/>
        <w:t>marco</w:t>
      </w:r>
      <w:r>
        <w:rPr>
          <w:spacing w:val="-13"/>
        </w:rPr>
        <w:t> </w:t>
      </w:r>
      <w:r>
        <w:rPr/>
        <w:t>institucional</w:t>
      </w:r>
      <w:r>
        <w:rPr>
          <w:spacing w:val="-13"/>
        </w:rPr>
        <w:t> </w:t>
      </w:r>
      <w:r>
        <w:rPr/>
        <w:t>y</w:t>
      </w:r>
      <w:r>
        <w:rPr>
          <w:spacing w:val="-13"/>
        </w:rPr>
        <w:t> </w:t>
      </w:r>
      <w:r>
        <w:rPr/>
        <w:t>de</w:t>
      </w:r>
      <w:r>
        <w:rPr>
          <w:spacing w:val="-17"/>
        </w:rPr>
        <w:t> </w:t>
      </w:r>
      <w:r>
        <w:rPr/>
        <w:t>la</w:t>
      </w:r>
      <w:r>
        <w:rPr>
          <w:spacing w:val="-13"/>
        </w:rPr>
        <w:t> </w:t>
      </w:r>
      <w:r>
        <w:rPr/>
        <w:t>organización</w:t>
      </w:r>
      <w:r>
        <w:rPr>
          <w:spacing w:val="-12"/>
        </w:rPr>
        <w:t> </w:t>
      </w:r>
      <w:r>
        <w:rPr/>
        <w:t>gubernamental para la gestión ambiental por cuencas. El caso de la cuenca Lerma-Chapala” en Gaceta Ecológica 71, Instituto Nacional de Ecología, México: Editorial</w:t>
      </w:r>
      <w:r>
        <w:rPr>
          <w:spacing w:val="-15"/>
        </w:rPr>
        <w:t> </w:t>
      </w:r>
      <w:r>
        <w:rPr/>
        <w:t>INE.</w:t>
      </w:r>
    </w:p>
    <w:p>
      <w:pPr>
        <w:spacing w:before="205"/>
        <w:ind w:left="116" w:right="117" w:firstLine="0"/>
        <w:jc w:val="both"/>
        <w:rPr>
          <w:sz w:val="26"/>
        </w:rPr>
      </w:pPr>
      <w:r>
        <w:rPr>
          <w:sz w:val="26"/>
        </w:rPr>
        <w:t>Campos, D.F., 1992: </w:t>
      </w:r>
      <w:r>
        <w:rPr>
          <w:i/>
          <w:sz w:val="26"/>
        </w:rPr>
        <w:t>Procesos del Ciclo Hidrológico</w:t>
      </w:r>
      <w:r>
        <w:rPr>
          <w:sz w:val="26"/>
        </w:rPr>
        <w:t>, México: Editorial Universidad Autónoma de San Luis Potosí.</w:t>
      </w:r>
    </w:p>
    <w:p>
      <w:pPr>
        <w:pStyle w:val="BodyText"/>
        <w:spacing w:before="2"/>
      </w:pPr>
    </w:p>
    <w:p>
      <w:pPr>
        <w:spacing w:before="0"/>
        <w:ind w:left="116" w:right="112" w:firstLine="0"/>
        <w:jc w:val="both"/>
        <w:rPr>
          <w:sz w:val="26"/>
        </w:rPr>
      </w:pPr>
      <w:r>
        <w:rPr>
          <w:sz w:val="26"/>
        </w:rPr>
        <w:t>Carrasco,</w:t>
      </w:r>
      <w:r>
        <w:rPr>
          <w:spacing w:val="47"/>
          <w:sz w:val="26"/>
        </w:rPr>
        <w:t> </w:t>
      </w:r>
      <w:r>
        <w:rPr>
          <w:sz w:val="26"/>
        </w:rPr>
        <w:t>J.</w:t>
      </w:r>
      <w:r>
        <w:rPr>
          <w:spacing w:val="-12"/>
          <w:sz w:val="26"/>
        </w:rPr>
        <w:t> </w:t>
      </w:r>
      <w:r>
        <w:rPr>
          <w:sz w:val="26"/>
        </w:rPr>
        <w:t>y</w:t>
      </w:r>
      <w:r>
        <w:rPr>
          <w:spacing w:val="-11"/>
          <w:sz w:val="26"/>
        </w:rPr>
        <w:t> </w:t>
      </w:r>
      <w:r>
        <w:rPr>
          <w:sz w:val="26"/>
        </w:rPr>
        <w:t>J.</w:t>
      </w:r>
      <w:r>
        <w:rPr>
          <w:spacing w:val="-12"/>
          <w:sz w:val="26"/>
        </w:rPr>
        <w:t> </w:t>
      </w:r>
      <w:r>
        <w:rPr>
          <w:sz w:val="26"/>
        </w:rPr>
        <w:t>Riquelme,</w:t>
      </w:r>
      <w:r>
        <w:rPr>
          <w:spacing w:val="-9"/>
          <w:sz w:val="26"/>
        </w:rPr>
        <w:t> </w:t>
      </w:r>
      <w:r>
        <w:rPr>
          <w:sz w:val="26"/>
        </w:rPr>
        <w:t>2003:</w:t>
      </w:r>
      <w:r>
        <w:rPr>
          <w:spacing w:val="-9"/>
          <w:sz w:val="26"/>
        </w:rPr>
        <w:t> </w:t>
      </w:r>
      <w:r>
        <w:rPr>
          <w:i/>
          <w:sz w:val="26"/>
        </w:rPr>
        <w:t>Métodos</w:t>
      </w:r>
      <w:r>
        <w:rPr>
          <w:i/>
          <w:spacing w:val="-11"/>
          <w:sz w:val="26"/>
        </w:rPr>
        <w:t> </w:t>
      </w:r>
      <w:r>
        <w:rPr>
          <w:i/>
          <w:sz w:val="26"/>
        </w:rPr>
        <w:t>y</w:t>
      </w:r>
      <w:r>
        <w:rPr>
          <w:i/>
          <w:spacing w:val="-11"/>
          <w:sz w:val="26"/>
        </w:rPr>
        <w:t> </w:t>
      </w:r>
      <w:r>
        <w:rPr>
          <w:i/>
          <w:sz w:val="26"/>
        </w:rPr>
        <w:t>Prácticas</w:t>
      </w:r>
      <w:r>
        <w:rPr>
          <w:i/>
          <w:spacing w:val="-11"/>
          <w:sz w:val="26"/>
        </w:rPr>
        <w:t> </w:t>
      </w:r>
      <w:r>
        <w:rPr>
          <w:i/>
          <w:sz w:val="26"/>
        </w:rPr>
        <w:t>de</w:t>
      </w:r>
      <w:r>
        <w:rPr>
          <w:i/>
          <w:spacing w:val="-11"/>
          <w:sz w:val="26"/>
        </w:rPr>
        <w:t> </w:t>
      </w:r>
      <w:r>
        <w:rPr>
          <w:i/>
          <w:sz w:val="26"/>
        </w:rPr>
        <w:t>Conservación</w:t>
      </w:r>
      <w:r>
        <w:rPr>
          <w:i/>
          <w:spacing w:val="-11"/>
          <w:sz w:val="26"/>
        </w:rPr>
        <w:t> </w:t>
      </w:r>
      <w:r>
        <w:rPr>
          <w:i/>
          <w:sz w:val="26"/>
        </w:rPr>
        <w:t>de</w:t>
      </w:r>
      <w:r>
        <w:rPr>
          <w:i/>
          <w:spacing w:val="-11"/>
          <w:sz w:val="26"/>
        </w:rPr>
        <w:t> </w:t>
      </w:r>
      <w:r>
        <w:rPr>
          <w:i/>
          <w:sz w:val="26"/>
        </w:rPr>
        <w:t>Suelos</w:t>
      </w:r>
      <w:r>
        <w:rPr>
          <w:i/>
          <w:spacing w:val="-11"/>
          <w:sz w:val="26"/>
        </w:rPr>
        <w:t> </w:t>
      </w:r>
      <w:r>
        <w:rPr>
          <w:i/>
          <w:sz w:val="26"/>
        </w:rPr>
        <w:t>y</w:t>
      </w:r>
      <w:r>
        <w:rPr>
          <w:i/>
          <w:spacing w:val="-11"/>
          <w:sz w:val="26"/>
        </w:rPr>
        <w:t> </w:t>
      </w:r>
      <w:r>
        <w:rPr>
          <w:i/>
          <w:sz w:val="26"/>
        </w:rPr>
        <w:t>Aguas</w:t>
      </w:r>
      <w:r>
        <w:rPr>
          <w:sz w:val="26"/>
        </w:rPr>
        <w:t>, Rancagua, Chile: Editorial Instituto Nacional de Investigaciones Agropecuarias</w:t>
      </w:r>
      <w:r>
        <w:rPr>
          <w:spacing w:val="-16"/>
          <w:sz w:val="26"/>
        </w:rPr>
        <w:t> </w:t>
      </w:r>
      <w:r>
        <w:rPr>
          <w:sz w:val="26"/>
        </w:rPr>
        <w:t>(INIA).</w:t>
      </w:r>
    </w:p>
    <w:p>
      <w:pPr>
        <w:pStyle w:val="BodyText"/>
        <w:spacing w:before="8"/>
        <w:rPr>
          <w:sz w:val="25"/>
        </w:rPr>
      </w:pPr>
    </w:p>
    <w:p>
      <w:pPr>
        <w:spacing w:line="240" w:lineRule="auto" w:before="0"/>
        <w:ind w:left="116" w:right="114" w:firstLine="0"/>
        <w:jc w:val="both"/>
        <w:rPr>
          <w:sz w:val="26"/>
        </w:rPr>
      </w:pPr>
      <w:r>
        <w:rPr>
          <w:sz w:val="26"/>
        </w:rPr>
        <w:t>Casillas, J.A., 2007</w:t>
      </w:r>
      <w:r>
        <w:rPr>
          <w:i/>
          <w:sz w:val="26"/>
        </w:rPr>
        <w:t>: El Programa Nacional de microcuencas una estrategia de desarrollo </w:t>
      </w:r>
      <w:r>
        <w:rPr>
          <w:i/>
          <w:sz w:val="26"/>
        </w:rPr>
        <w:t>integral, El manejo integral de cuencas en México, 2da Edición</w:t>
      </w:r>
      <w:r>
        <w:rPr>
          <w:sz w:val="26"/>
        </w:rPr>
        <w:t>, México: Editorial H. Cotler (comp)- INE.</w:t>
      </w:r>
    </w:p>
    <w:p>
      <w:pPr>
        <w:pStyle w:val="BodyText"/>
        <w:spacing w:before="2"/>
      </w:pPr>
    </w:p>
    <w:p>
      <w:pPr>
        <w:spacing w:before="0"/>
        <w:ind w:left="116" w:right="117" w:firstLine="0"/>
        <w:jc w:val="both"/>
        <w:rPr>
          <w:sz w:val="26"/>
        </w:rPr>
      </w:pPr>
      <w:r>
        <w:rPr>
          <w:sz w:val="26"/>
        </w:rPr>
        <w:t>Christofoletti, A., 1999: </w:t>
      </w:r>
      <w:r>
        <w:rPr>
          <w:i/>
          <w:sz w:val="26"/>
        </w:rPr>
        <w:t>Modelagem de sistemas ambientais</w:t>
      </w:r>
      <w:r>
        <w:rPr>
          <w:sz w:val="26"/>
        </w:rPr>
        <w:t>, São Paulo: Editorial Edgard Blutcher.</w:t>
      </w:r>
    </w:p>
    <w:p>
      <w:pPr>
        <w:pStyle w:val="BodyText"/>
        <w:spacing w:before="9"/>
        <w:rPr>
          <w:sz w:val="25"/>
        </w:rPr>
      </w:pPr>
    </w:p>
    <w:p>
      <w:pPr>
        <w:spacing w:line="242" w:lineRule="auto" w:before="0"/>
        <w:ind w:left="116" w:right="110" w:firstLine="0"/>
        <w:jc w:val="both"/>
        <w:rPr>
          <w:sz w:val="26"/>
        </w:rPr>
      </w:pPr>
      <w:r>
        <w:rPr>
          <w:sz w:val="26"/>
        </w:rPr>
        <w:t>CIAT, Centro Internacional de Agricultura Tropical, 1999: </w:t>
      </w:r>
      <w:r>
        <w:rPr>
          <w:i/>
          <w:sz w:val="26"/>
        </w:rPr>
        <w:t>Nueve instrumentos para la </w:t>
      </w:r>
      <w:r>
        <w:rPr>
          <w:i/>
          <w:sz w:val="26"/>
        </w:rPr>
        <w:t>toma de decisiones en el manejo de los recursos naturales</w:t>
      </w:r>
      <w:r>
        <w:rPr>
          <w:sz w:val="26"/>
        </w:rPr>
        <w:t>, Colombia: Editorial CIAT.</w:t>
      </w:r>
    </w:p>
    <w:p>
      <w:pPr>
        <w:spacing w:after="0" w:line="242" w:lineRule="auto"/>
        <w:jc w:val="both"/>
        <w:rPr>
          <w:sz w:val="26"/>
        </w:rPr>
        <w:sectPr>
          <w:pgSz w:w="12240" w:h="15840"/>
          <w:pgMar w:header="0" w:footer="1473" w:top="1360" w:bottom="1660" w:left="1300" w:right="1300"/>
        </w:sectPr>
      </w:pPr>
    </w:p>
    <w:p>
      <w:pPr>
        <w:pStyle w:val="BodyText"/>
        <w:spacing w:before="49"/>
        <w:ind w:left="116" w:right="115"/>
        <w:jc w:val="both"/>
      </w:pPr>
      <w:r>
        <w:rPr/>
        <w:t>Coffey,</w:t>
      </w:r>
      <w:r>
        <w:rPr>
          <w:spacing w:val="-4"/>
        </w:rPr>
        <w:t> </w:t>
      </w:r>
      <w:r>
        <w:rPr/>
        <w:t>M.</w:t>
      </w:r>
      <w:r>
        <w:rPr>
          <w:spacing w:val="-4"/>
        </w:rPr>
        <w:t> </w:t>
      </w:r>
      <w:r>
        <w:rPr/>
        <w:t>E.,</w:t>
      </w:r>
      <w:r>
        <w:rPr>
          <w:spacing w:val="-8"/>
        </w:rPr>
        <w:t> </w:t>
      </w:r>
      <w:r>
        <w:rPr>
          <w:spacing w:val="-3"/>
        </w:rPr>
        <w:t>S.</w:t>
      </w:r>
      <w:r>
        <w:rPr>
          <w:spacing w:val="-4"/>
        </w:rPr>
        <w:t> </w:t>
      </w:r>
      <w:r>
        <w:rPr/>
        <w:t>R.</w:t>
      </w:r>
      <w:r>
        <w:rPr>
          <w:spacing w:val="-9"/>
        </w:rPr>
        <w:t> </w:t>
      </w:r>
      <w:r>
        <w:rPr/>
        <w:t>Workman,</w:t>
      </w:r>
      <w:r>
        <w:rPr>
          <w:spacing w:val="-4"/>
        </w:rPr>
        <w:t> </w:t>
      </w:r>
      <w:r>
        <w:rPr/>
        <w:t>J.</w:t>
      </w:r>
      <w:r>
        <w:rPr>
          <w:spacing w:val="-4"/>
        </w:rPr>
        <w:t> </w:t>
      </w:r>
      <w:r>
        <w:rPr>
          <w:spacing w:val="-3"/>
        </w:rPr>
        <w:t>L.</w:t>
      </w:r>
      <w:r>
        <w:rPr>
          <w:spacing w:val="-4"/>
        </w:rPr>
        <w:t> </w:t>
      </w:r>
      <w:r>
        <w:rPr/>
        <w:t>Taraba</w:t>
      </w:r>
      <w:r>
        <w:rPr>
          <w:spacing w:val="-6"/>
        </w:rPr>
        <w:t> </w:t>
      </w:r>
      <w:r>
        <w:rPr/>
        <w:t>y</w:t>
      </w:r>
      <w:r>
        <w:rPr>
          <w:spacing w:val="-11"/>
        </w:rPr>
        <w:t> </w:t>
      </w:r>
      <w:r>
        <w:rPr>
          <w:spacing w:val="-3"/>
        </w:rPr>
        <w:t>A.</w:t>
      </w:r>
      <w:r>
        <w:rPr>
          <w:spacing w:val="-4"/>
        </w:rPr>
        <w:t> </w:t>
      </w:r>
      <w:r>
        <w:rPr/>
        <w:t>W.</w:t>
      </w:r>
      <w:r>
        <w:rPr>
          <w:spacing w:val="-4"/>
        </w:rPr>
        <w:t> </w:t>
      </w:r>
      <w:r>
        <w:rPr/>
        <w:t>Fogle,</w:t>
      </w:r>
      <w:r>
        <w:rPr>
          <w:spacing w:val="-4"/>
        </w:rPr>
        <w:t> </w:t>
      </w:r>
      <w:r>
        <w:rPr/>
        <w:t>2004:</w:t>
      </w:r>
      <w:r>
        <w:rPr>
          <w:spacing w:val="-6"/>
        </w:rPr>
        <w:t> </w:t>
      </w:r>
      <w:r>
        <w:rPr/>
        <w:t>Statistical</w:t>
      </w:r>
      <w:r>
        <w:rPr>
          <w:spacing w:val="-6"/>
        </w:rPr>
        <w:t> </w:t>
      </w:r>
      <w:r>
        <w:rPr/>
        <w:t>procedures</w:t>
      </w:r>
      <w:r>
        <w:rPr>
          <w:spacing w:val="-5"/>
        </w:rPr>
        <w:t> </w:t>
      </w:r>
      <w:r>
        <w:rPr/>
        <w:t>for evaluating daily and monthly hydrologic model predictions, EUA: Editorial Trans. ASAE 47(1).</w:t>
      </w:r>
    </w:p>
    <w:p>
      <w:pPr>
        <w:pStyle w:val="BodyText"/>
        <w:spacing w:before="2"/>
      </w:pPr>
    </w:p>
    <w:p>
      <w:pPr>
        <w:pStyle w:val="BodyText"/>
        <w:ind w:left="116" w:right="114"/>
        <w:jc w:val="both"/>
      </w:pPr>
      <w:r>
        <w:rPr/>
        <w:t>Colegio de Postgraduados, 2005: “Empleo del Modelo SWAT para generar alternativas</w:t>
      </w:r>
      <w:r>
        <w:rPr>
          <w:spacing w:val="-28"/>
        </w:rPr>
        <w:t> </w:t>
      </w:r>
      <w:r>
        <w:rPr/>
        <w:t>de manejo en la cuenca del río Laja, Guanajuato, México” en </w:t>
      </w:r>
      <w:r>
        <w:rPr>
          <w:i/>
        </w:rPr>
        <w:t>Programa e Hidrociencas. </w:t>
      </w:r>
      <w:r>
        <w:rPr>
          <w:i/>
        </w:rPr>
        <w:t>IRENAT, </w:t>
      </w:r>
      <w:r>
        <w:rPr/>
        <w:t>Estado de México: Colegio de</w:t>
      </w:r>
      <w:r>
        <w:rPr>
          <w:spacing w:val="-10"/>
        </w:rPr>
        <w:t> </w:t>
      </w:r>
      <w:r>
        <w:rPr/>
        <w:t>Postgraduados.</w:t>
      </w:r>
    </w:p>
    <w:p>
      <w:pPr>
        <w:pStyle w:val="BodyText"/>
        <w:spacing w:before="2"/>
      </w:pPr>
    </w:p>
    <w:p>
      <w:pPr>
        <w:spacing w:before="0"/>
        <w:ind w:left="116" w:right="114" w:firstLine="0"/>
        <w:jc w:val="both"/>
        <w:rPr>
          <w:sz w:val="26"/>
        </w:rPr>
      </w:pPr>
      <w:r>
        <w:rPr>
          <w:sz w:val="26"/>
        </w:rPr>
        <w:t>Colegio de Postgraduados, 1977: </w:t>
      </w:r>
      <w:r>
        <w:rPr>
          <w:i/>
          <w:sz w:val="26"/>
        </w:rPr>
        <w:t>Manual de Conservación del Suelo y Agua, Instructivo </w:t>
      </w:r>
      <w:r>
        <w:rPr>
          <w:i/>
          <w:sz w:val="26"/>
        </w:rPr>
        <w:t>SARH-CP</w:t>
      </w:r>
      <w:r>
        <w:rPr>
          <w:sz w:val="26"/>
        </w:rPr>
        <w:t>, Estado de México: Editorial Colegio de Postgraduados.</w:t>
      </w:r>
    </w:p>
    <w:p>
      <w:pPr>
        <w:pStyle w:val="BodyText"/>
        <w:spacing w:before="2"/>
      </w:pPr>
    </w:p>
    <w:p>
      <w:pPr>
        <w:spacing w:before="0"/>
        <w:ind w:left="116" w:right="118" w:firstLine="0"/>
        <w:jc w:val="both"/>
        <w:rPr>
          <w:sz w:val="26"/>
        </w:rPr>
      </w:pPr>
      <w:r>
        <w:rPr>
          <w:sz w:val="26"/>
        </w:rPr>
        <w:t>CONAGUA, Comisión Nacional del Agua, 2012: </w:t>
      </w:r>
      <w:r>
        <w:rPr>
          <w:i/>
          <w:sz w:val="26"/>
        </w:rPr>
        <w:t>Base de datos estación hidrométrica El </w:t>
      </w:r>
      <w:r>
        <w:rPr>
          <w:i/>
          <w:sz w:val="26"/>
        </w:rPr>
        <w:t>Tejocote</w:t>
      </w:r>
      <w:r>
        <w:rPr>
          <w:sz w:val="26"/>
        </w:rPr>
        <w:t>, México, Editorial CONAGUA.</w:t>
      </w:r>
    </w:p>
    <w:p>
      <w:pPr>
        <w:pStyle w:val="BodyText"/>
        <w:spacing w:before="9"/>
        <w:rPr>
          <w:sz w:val="25"/>
        </w:rPr>
      </w:pPr>
    </w:p>
    <w:p>
      <w:pPr>
        <w:spacing w:line="278" w:lineRule="auto" w:before="0"/>
        <w:ind w:left="116" w:right="115" w:firstLine="0"/>
        <w:jc w:val="both"/>
        <w:rPr>
          <w:sz w:val="26"/>
        </w:rPr>
      </w:pPr>
      <w:r>
        <w:rPr>
          <w:sz w:val="26"/>
        </w:rPr>
        <w:t>CONAGUA, Comisión Nacional del Agua, 2006: </w:t>
      </w:r>
      <w:r>
        <w:rPr>
          <w:i/>
          <w:sz w:val="26"/>
        </w:rPr>
        <w:t>Documentos temáticos, Ejes Temáticos </w:t>
      </w:r>
      <w:r>
        <w:rPr>
          <w:i/>
          <w:sz w:val="26"/>
        </w:rPr>
        <w:t>y perspectivas transversales. IV Foro Mundial del agua</w:t>
      </w:r>
      <w:r>
        <w:rPr>
          <w:sz w:val="26"/>
        </w:rPr>
        <w:t>, México: Editorial CONAGUA,</w:t>
      </w:r>
    </w:p>
    <w:p>
      <w:pPr>
        <w:spacing w:line="240" w:lineRule="auto" w:before="197"/>
        <w:ind w:left="116" w:right="115" w:firstLine="0"/>
        <w:jc w:val="both"/>
        <w:rPr>
          <w:sz w:val="26"/>
        </w:rPr>
      </w:pPr>
      <w:r>
        <w:rPr>
          <w:sz w:val="26"/>
        </w:rPr>
        <w:t>CVC, Corporación Autónoma Regional del Valle del Cauca, 1995: </w:t>
      </w:r>
      <w:r>
        <w:rPr>
          <w:i/>
          <w:sz w:val="26"/>
        </w:rPr>
        <w:t>Procedimientos </w:t>
      </w:r>
      <w:r>
        <w:rPr>
          <w:i/>
          <w:sz w:val="26"/>
        </w:rPr>
        <w:t>Metodológicos de Planificación en Cuencas Hidrográficas</w:t>
      </w:r>
      <w:r>
        <w:rPr>
          <w:sz w:val="26"/>
        </w:rPr>
        <w:t>, Santiago de Cali: Editorial CVC.</w:t>
      </w:r>
    </w:p>
    <w:p>
      <w:pPr>
        <w:pStyle w:val="BodyText"/>
        <w:spacing w:before="9"/>
        <w:rPr>
          <w:sz w:val="25"/>
        </w:rPr>
      </w:pPr>
    </w:p>
    <w:p>
      <w:pPr>
        <w:spacing w:line="242" w:lineRule="auto" w:before="0"/>
        <w:ind w:left="116" w:right="115" w:firstLine="0"/>
        <w:jc w:val="both"/>
        <w:rPr>
          <w:sz w:val="26"/>
        </w:rPr>
      </w:pPr>
      <w:r>
        <w:rPr>
          <w:sz w:val="26"/>
        </w:rPr>
        <w:t>Daubenmire, R.F., 1982: </w:t>
      </w:r>
      <w:r>
        <w:rPr>
          <w:i/>
          <w:sz w:val="26"/>
        </w:rPr>
        <w:t>Ecología Vegetal, Tratado de Autoecología de Plantas, </w:t>
      </w:r>
      <w:r>
        <w:rPr>
          <w:sz w:val="26"/>
        </w:rPr>
        <w:t>EUA: Editorial Universidad Estatal de Washington.</w:t>
      </w:r>
    </w:p>
    <w:p>
      <w:pPr>
        <w:pStyle w:val="BodyText"/>
        <w:spacing w:before="5"/>
        <w:rPr>
          <w:sz w:val="25"/>
        </w:rPr>
      </w:pPr>
    </w:p>
    <w:p>
      <w:pPr>
        <w:spacing w:line="242" w:lineRule="auto" w:before="1"/>
        <w:ind w:left="116" w:right="115" w:firstLine="0"/>
        <w:jc w:val="both"/>
        <w:rPr>
          <w:sz w:val="26"/>
        </w:rPr>
      </w:pPr>
      <w:r>
        <w:rPr>
          <w:sz w:val="26"/>
        </w:rPr>
        <w:t>De Pablo, A., 1996: </w:t>
      </w:r>
      <w:r>
        <w:rPr>
          <w:i/>
          <w:sz w:val="26"/>
        </w:rPr>
        <w:t>Ingeniería Ambiental: Contaminación y Soluciones, </w:t>
      </w:r>
      <w:r>
        <w:rPr>
          <w:sz w:val="26"/>
        </w:rPr>
        <w:t>México,</w:t>
      </w:r>
      <w:r>
        <w:rPr>
          <w:spacing w:val="-43"/>
          <w:sz w:val="26"/>
        </w:rPr>
        <w:t> </w:t>
      </w:r>
      <w:r>
        <w:rPr>
          <w:sz w:val="26"/>
        </w:rPr>
        <w:t>Editorial Productica.</w:t>
      </w:r>
    </w:p>
    <w:p>
      <w:pPr>
        <w:pStyle w:val="BodyText"/>
        <w:spacing w:before="6"/>
        <w:rPr>
          <w:sz w:val="25"/>
        </w:rPr>
      </w:pPr>
    </w:p>
    <w:p>
      <w:pPr>
        <w:pStyle w:val="BodyText"/>
        <w:ind w:left="116" w:right="110"/>
        <w:jc w:val="both"/>
      </w:pPr>
      <w:r>
        <w:rPr/>
        <w:t>De Roo, A.P.J., C.G. Wesseling y C.J. Ritsema, 1996: “LISEM: a single event physically- based hydrologic and soil erosion model for drainage basins: I. Theory, input and output” en </w:t>
      </w:r>
      <w:r>
        <w:rPr>
          <w:i/>
        </w:rPr>
        <w:t>Revista Hydrological Processes 10, 1107–1117</w:t>
      </w:r>
      <w:r>
        <w:rPr/>
        <w:t>, EUA.</w:t>
      </w:r>
    </w:p>
    <w:p>
      <w:pPr>
        <w:pStyle w:val="BodyText"/>
        <w:spacing w:before="9"/>
        <w:rPr>
          <w:sz w:val="25"/>
        </w:rPr>
      </w:pPr>
    </w:p>
    <w:p>
      <w:pPr>
        <w:spacing w:line="242" w:lineRule="auto" w:before="0"/>
        <w:ind w:left="116" w:right="115" w:firstLine="0"/>
        <w:jc w:val="both"/>
        <w:rPr>
          <w:sz w:val="26"/>
        </w:rPr>
      </w:pPr>
      <w:r>
        <w:rPr>
          <w:sz w:val="26"/>
        </w:rPr>
        <w:t>Dourojeanni, A., 1994: “La gestión del agua y las cuencas en América Latina” en </w:t>
      </w:r>
      <w:r>
        <w:rPr>
          <w:i/>
          <w:sz w:val="26"/>
        </w:rPr>
        <w:t>Revista </w:t>
      </w:r>
      <w:r>
        <w:rPr>
          <w:i/>
          <w:sz w:val="26"/>
        </w:rPr>
        <w:t>de la CEPAL No. 53</w:t>
      </w:r>
      <w:r>
        <w:rPr>
          <w:sz w:val="26"/>
        </w:rPr>
        <w:t>, EUA.</w:t>
      </w:r>
    </w:p>
    <w:p>
      <w:pPr>
        <w:pStyle w:val="BodyText"/>
        <w:spacing w:before="5"/>
        <w:rPr>
          <w:sz w:val="25"/>
        </w:rPr>
      </w:pPr>
    </w:p>
    <w:p>
      <w:pPr>
        <w:spacing w:line="242" w:lineRule="auto" w:before="1"/>
        <w:ind w:left="116" w:right="115" w:firstLine="0"/>
        <w:jc w:val="both"/>
        <w:rPr>
          <w:sz w:val="26"/>
        </w:rPr>
      </w:pPr>
      <w:r>
        <w:rPr>
          <w:sz w:val="26"/>
        </w:rPr>
        <w:t>Dourojeanni,</w:t>
      </w:r>
      <w:r>
        <w:rPr>
          <w:spacing w:val="-3"/>
          <w:sz w:val="26"/>
        </w:rPr>
        <w:t> </w:t>
      </w:r>
      <w:r>
        <w:rPr>
          <w:sz w:val="26"/>
        </w:rPr>
        <w:t>A.,</w:t>
      </w:r>
      <w:r>
        <w:rPr>
          <w:spacing w:val="-3"/>
          <w:sz w:val="26"/>
        </w:rPr>
        <w:t> </w:t>
      </w:r>
      <w:r>
        <w:rPr>
          <w:sz w:val="26"/>
        </w:rPr>
        <w:t>1993:</w:t>
      </w:r>
      <w:r>
        <w:rPr>
          <w:spacing w:val="-4"/>
          <w:sz w:val="26"/>
        </w:rPr>
        <w:t> </w:t>
      </w:r>
      <w:r>
        <w:rPr>
          <w:i/>
          <w:sz w:val="26"/>
        </w:rPr>
        <w:t>Evolución</w:t>
      </w:r>
      <w:r>
        <w:rPr>
          <w:i/>
          <w:spacing w:val="-5"/>
          <w:sz w:val="26"/>
        </w:rPr>
        <w:t> </w:t>
      </w:r>
      <w:r>
        <w:rPr>
          <w:i/>
          <w:sz w:val="26"/>
        </w:rPr>
        <w:t>de</w:t>
      </w:r>
      <w:r>
        <w:rPr>
          <w:i/>
          <w:spacing w:val="-5"/>
          <w:sz w:val="26"/>
        </w:rPr>
        <w:t> </w:t>
      </w:r>
      <w:r>
        <w:rPr>
          <w:i/>
          <w:sz w:val="26"/>
        </w:rPr>
        <w:t>la</w:t>
      </w:r>
      <w:r>
        <w:rPr>
          <w:i/>
          <w:spacing w:val="-5"/>
          <w:sz w:val="26"/>
        </w:rPr>
        <w:t> </w:t>
      </w:r>
      <w:r>
        <w:rPr>
          <w:i/>
          <w:sz w:val="26"/>
        </w:rPr>
        <w:t>gestión integral</w:t>
      </w:r>
      <w:r>
        <w:rPr>
          <w:i/>
          <w:spacing w:val="-6"/>
          <w:sz w:val="26"/>
        </w:rPr>
        <w:t> </w:t>
      </w:r>
      <w:r>
        <w:rPr>
          <w:i/>
          <w:sz w:val="26"/>
        </w:rPr>
        <w:t>de</w:t>
      </w:r>
      <w:r>
        <w:rPr>
          <w:i/>
          <w:spacing w:val="-5"/>
          <w:sz w:val="26"/>
        </w:rPr>
        <w:t> </w:t>
      </w:r>
      <w:r>
        <w:rPr>
          <w:i/>
          <w:sz w:val="26"/>
        </w:rPr>
        <w:t>cuencas</w:t>
      </w:r>
      <w:r>
        <w:rPr>
          <w:i/>
          <w:spacing w:val="-5"/>
          <w:sz w:val="26"/>
        </w:rPr>
        <w:t> </w:t>
      </w:r>
      <w:r>
        <w:rPr>
          <w:i/>
          <w:sz w:val="26"/>
        </w:rPr>
        <w:t>en</w:t>
      </w:r>
      <w:r>
        <w:rPr>
          <w:i/>
          <w:spacing w:val="-5"/>
          <w:sz w:val="26"/>
        </w:rPr>
        <w:t> </w:t>
      </w:r>
      <w:r>
        <w:rPr>
          <w:i/>
          <w:sz w:val="26"/>
        </w:rPr>
        <w:t>América</w:t>
      </w:r>
      <w:r>
        <w:rPr>
          <w:i/>
          <w:spacing w:val="-5"/>
          <w:sz w:val="26"/>
        </w:rPr>
        <w:t> </w:t>
      </w:r>
      <w:r>
        <w:rPr>
          <w:i/>
          <w:sz w:val="26"/>
        </w:rPr>
        <w:t>Latina</w:t>
      </w:r>
      <w:r>
        <w:rPr>
          <w:i/>
          <w:spacing w:val="-3"/>
          <w:sz w:val="26"/>
        </w:rPr>
        <w:t> </w:t>
      </w:r>
      <w:r>
        <w:rPr>
          <w:i/>
          <w:sz w:val="26"/>
        </w:rPr>
        <w:t>y</w:t>
      </w:r>
      <w:r>
        <w:rPr>
          <w:i/>
          <w:spacing w:val="-5"/>
          <w:sz w:val="26"/>
        </w:rPr>
        <w:t> </w:t>
      </w:r>
      <w:r>
        <w:rPr>
          <w:i/>
          <w:sz w:val="26"/>
        </w:rPr>
        <w:t>el </w:t>
      </w:r>
      <w:r>
        <w:rPr>
          <w:i/>
          <w:sz w:val="26"/>
        </w:rPr>
        <w:t>Caribe</w:t>
      </w:r>
      <w:r>
        <w:rPr>
          <w:sz w:val="26"/>
        </w:rPr>
        <w:t>, Chile: Editorial</w:t>
      </w:r>
      <w:r>
        <w:rPr>
          <w:spacing w:val="-11"/>
          <w:sz w:val="26"/>
        </w:rPr>
        <w:t> </w:t>
      </w:r>
      <w:r>
        <w:rPr>
          <w:sz w:val="26"/>
        </w:rPr>
        <w:t>CEPAL-ECLAC.</w:t>
      </w:r>
    </w:p>
    <w:p>
      <w:pPr>
        <w:pStyle w:val="BodyText"/>
        <w:spacing w:before="6"/>
        <w:rPr>
          <w:sz w:val="25"/>
        </w:rPr>
      </w:pPr>
    </w:p>
    <w:p>
      <w:pPr>
        <w:spacing w:line="240" w:lineRule="auto" w:before="0"/>
        <w:ind w:left="116" w:right="113" w:firstLine="0"/>
        <w:jc w:val="both"/>
        <w:rPr>
          <w:sz w:val="26"/>
        </w:rPr>
      </w:pPr>
      <w:r>
        <w:rPr>
          <w:sz w:val="26"/>
        </w:rPr>
        <w:t>Dourojeanni, A., </w:t>
      </w:r>
      <w:r>
        <w:rPr>
          <w:spacing w:val="-3"/>
          <w:sz w:val="26"/>
        </w:rPr>
        <w:t>A. </w:t>
      </w:r>
      <w:r>
        <w:rPr>
          <w:sz w:val="26"/>
        </w:rPr>
        <w:t>Jouravlev y G. Chávez, 2002: “Gestión del </w:t>
      </w:r>
      <w:r>
        <w:rPr>
          <w:spacing w:val="-3"/>
          <w:sz w:val="26"/>
        </w:rPr>
        <w:t>Agua </w:t>
      </w:r>
      <w:r>
        <w:rPr>
          <w:sz w:val="26"/>
        </w:rPr>
        <w:t>a Nivel de Cuencas: Teoría</w:t>
      </w:r>
      <w:r>
        <w:rPr>
          <w:spacing w:val="-5"/>
          <w:sz w:val="26"/>
        </w:rPr>
        <w:t> </w:t>
      </w:r>
      <w:r>
        <w:rPr>
          <w:sz w:val="26"/>
        </w:rPr>
        <w:t>y</w:t>
      </w:r>
      <w:r>
        <w:rPr>
          <w:spacing w:val="-5"/>
          <w:sz w:val="26"/>
        </w:rPr>
        <w:t> </w:t>
      </w:r>
      <w:r>
        <w:rPr>
          <w:sz w:val="26"/>
        </w:rPr>
        <w:t>Práctica”</w:t>
      </w:r>
      <w:r>
        <w:rPr>
          <w:spacing w:val="-5"/>
          <w:sz w:val="26"/>
        </w:rPr>
        <w:t> </w:t>
      </w:r>
      <w:r>
        <w:rPr>
          <w:sz w:val="26"/>
        </w:rPr>
        <w:t>en</w:t>
      </w:r>
      <w:r>
        <w:rPr>
          <w:spacing w:val="-4"/>
          <w:sz w:val="26"/>
        </w:rPr>
        <w:t> </w:t>
      </w:r>
      <w:r>
        <w:rPr>
          <w:i/>
          <w:sz w:val="26"/>
        </w:rPr>
        <w:t>División</w:t>
      </w:r>
      <w:r>
        <w:rPr>
          <w:i/>
          <w:spacing w:val="-5"/>
          <w:sz w:val="26"/>
        </w:rPr>
        <w:t> </w:t>
      </w:r>
      <w:r>
        <w:rPr>
          <w:i/>
          <w:sz w:val="26"/>
        </w:rPr>
        <w:t>de</w:t>
      </w:r>
      <w:r>
        <w:rPr>
          <w:i/>
          <w:spacing w:val="-5"/>
          <w:sz w:val="26"/>
        </w:rPr>
        <w:t> </w:t>
      </w:r>
      <w:r>
        <w:rPr>
          <w:i/>
          <w:sz w:val="26"/>
        </w:rPr>
        <w:t>Recursos</w:t>
      </w:r>
      <w:r>
        <w:rPr>
          <w:i/>
          <w:spacing w:val="-6"/>
          <w:sz w:val="26"/>
        </w:rPr>
        <w:t> </w:t>
      </w:r>
      <w:r>
        <w:rPr>
          <w:i/>
          <w:sz w:val="26"/>
        </w:rPr>
        <w:t>Naturales</w:t>
      </w:r>
      <w:r>
        <w:rPr>
          <w:i/>
          <w:spacing w:val="-5"/>
          <w:sz w:val="26"/>
        </w:rPr>
        <w:t> </w:t>
      </w:r>
      <w:r>
        <w:rPr>
          <w:i/>
          <w:sz w:val="26"/>
        </w:rPr>
        <w:t>e</w:t>
      </w:r>
      <w:r>
        <w:rPr>
          <w:i/>
          <w:spacing w:val="-5"/>
          <w:sz w:val="26"/>
        </w:rPr>
        <w:t> </w:t>
      </w:r>
      <w:r>
        <w:rPr>
          <w:i/>
          <w:sz w:val="26"/>
        </w:rPr>
        <w:t>Infraestructura</w:t>
      </w:r>
      <w:r>
        <w:rPr>
          <w:sz w:val="26"/>
        </w:rPr>
        <w:t>, Santiago</w:t>
      </w:r>
      <w:r>
        <w:rPr>
          <w:spacing w:val="-5"/>
          <w:sz w:val="26"/>
        </w:rPr>
        <w:t> </w:t>
      </w:r>
      <w:r>
        <w:rPr>
          <w:sz w:val="26"/>
        </w:rPr>
        <w:t>de</w:t>
      </w:r>
      <w:r>
        <w:rPr>
          <w:spacing w:val="-5"/>
          <w:sz w:val="26"/>
        </w:rPr>
        <w:t> </w:t>
      </w:r>
      <w:r>
        <w:rPr>
          <w:sz w:val="26"/>
        </w:rPr>
        <w:t>Chile, Editorial</w:t>
      </w:r>
      <w:r>
        <w:rPr>
          <w:spacing w:val="-8"/>
          <w:sz w:val="26"/>
        </w:rPr>
        <w:t> </w:t>
      </w:r>
      <w:r>
        <w:rPr>
          <w:sz w:val="26"/>
        </w:rPr>
        <w:t>CEPAL-ECLAC.</w:t>
      </w:r>
    </w:p>
    <w:p>
      <w:pPr>
        <w:spacing w:after="0" w:line="240" w:lineRule="auto"/>
        <w:jc w:val="both"/>
        <w:rPr>
          <w:sz w:val="26"/>
        </w:rPr>
        <w:sectPr>
          <w:pgSz w:w="12240" w:h="15840"/>
          <w:pgMar w:header="0" w:footer="1473" w:top="1360" w:bottom="1660" w:left="1300" w:right="1300"/>
        </w:sectPr>
      </w:pPr>
    </w:p>
    <w:p>
      <w:pPr>
        <w:spacing w:line="242" w:lineRule="auto" w:before="49"/>
        <w:ind w:left="116" w:right="110" w:firstLine="0"/>
        <w:jc w:val="both"/>
        <w:rPr>
          <w:sz w:val="26"/>
        </w:rPr>
      </w:pPr>
      <w:r>
        <w:rPr>
          <w:sz w:val="26"/>
        </w:rPr>
        <w:t>Estrela, T., 1997: </w:t>
      </w:r>
      <w:r>
        <w:rPr>
          <w:i/>
          <w:sz w:val="26"/>
        </w:rPr>
        <w:t>Máster e Hidrología general y aplicada Tomo II</w:t>
      </w:r>
      <w:r>
        <w:rPr>
          <w:sz w:val="26"/>
        </w:rPr>
        <w:t>, Madrid: Editorial Centro de Estudios y Experimentación de Obras Públicas.</w:t>
      </w:r>
    </w:p>
    <w:p>
      <w:pPr>
        <w:pStyle w:val="BodyText"/>
        <w:spacing w:before="6"/>
        <w:rPr>
          <w:sz w:val="25"/>
        </w:rPr>
      </w:pPr>
    </w:p>
    <w:p>
      <w:pPr>
        <w:spacing w:line="240" w:lineRule="auto" w:before="0"/>
        <w:ind w:left="116" w:right="111" w:firstLine="0"/>
        <w:jc w:val="both"/>
        <w:rPr>
          <w:sz w:val="26"/>
        </w:rPr>
      </w:pPr>
      <w:r>
        <w:rPr>
          <w:sz w:val="26"/>
        </w:rPr>
        <w:t>Hernández, G.J., </w:t>
      </w:r>
      <w:r>
        <w:rPr>
          <w:spacing w:val="-3"/>
          <w:sz w:val="26"/>
        </w:rPr>
        <w:t>C. </w:t>
      </w:r>
      <w:r>
        <w:rPr>
          <w:sz w:val="26"/>
        </w:rPr>
        <w:t>Guariguata e </w:t>
      </w:r>
      <w:r>
        <w:rPr>
          <w:spacing w:val="-3"/>
          <w:sz w:val="26"/>
        </w:rPr>
        <w:t>I. </w:t>
      </w:r>
      <w:r>
        <w:rPr>
          <w:sz w:val="26"/>
        </w:rPr>
        <w:t>Padrón, 2009: </w:t>
      </w:r>
      <w:r>
        <w:rPr>
          <w:i/>
          <w:sz w:val="26"/>
        </w:rPr>
        <w:t>Conservación de cuencas hidrográficas </w:t>
      </w:r>
      <w:r>
        <w:rPr>
          <w:i/>
          <w:sz w:val="26"/>
        </w:rPr>
        <w:t>caso:</w:t>
      </w:r>
      <w:r>
        <w:rPr>
          <w:i/>
          <w:spacing w:val="-6"/>
          <w:sz w:val="26"/>
        </w:rPr>
        <w:t> </w:t>
      </w:r>
      <w:r>
        <w:rPr>
          <w:i/>
          <w:sz w:val="26"/>
        </w:rPr>
        <w:t>cuenca</w:t>
      </w:r>
      <w:r>
        <w:rPr>
          <w:i/>
          <w:spacing w:val="-6"/>
          <w:sz w:val="26"/>
        </w:rPr>
        <w:t> </w:t>
      </w:r>
      <w:r>
        <w:rPr>
          <w:i/>
          <w:sz w:val="26"/>
        </w:rPr>
        <w:t>del</w:t>
      </w:r>
      <w:r>
        <w:rPr>
          <w:i/>
          <w:spacing w:val="-11"/>
          <w:sz w:val="26"/>
        </w:rPr>
        <w:t> </w:t>
      </w:r>
      <w:r>
        <w:rPr>
          <w:i/>
          <w:sz w:val="26"/>
        </w:rPr>
        <w:t>río</w:t>
      </w:r>
      <w:r>
        <w:rPr>
          <w:i/>
          <w:spacing w:val="-11"/>
          <w:sz w:val="26"/>
        </w:rPr>
        <w:t> </w:t>
      </w:r>
      <w:r>
        <w:rPr>
          <w:i/>
          <w:sz w:val="26"/>
        </w:rPr>
        <w:t>Orituco.</w:t>
      </w:r>
      <w:r>
        <w:rPr>
          <w:i/>
          <w:spacing w:val="-2"/>
          <w:sz w:val="26"/>
        </w:rPr>
        <w:t> </w:t>
      </w:r>
      <w:r>
        <w:rPr>
          <w:i/>
          <w:sz w:val="26"/>
        </w:rPr>
        <w:t>Emblase</w:t>
      </w:r>
      <w:r>
        <w:rPr>
          <w:i/>
          <w:spacing w:val="-11"/>
          <w:sz w:val="26"/>
        </w:rPr>
        <w:t> </w:t>
      </w:r>
      <w:r>
        <w:rPr>
          <w:i/>
          <w:sz w:val="26"/>
        </w:rPr>
        <w:t>de</w:t>
      </w:r>
      <w:r>
        <w:rPr>
          <w:i/>
          <w:spacing w:val="-11"/>
          <w:sz w:val="26"/>
        </w:rPr>
        <w:t> </w:t>
      </w:r>
      <w:r>
        <w:rPr>
          <w:i/>
          <w:sz w:val="26"/>
        </w:rPr>
        <w:t>Guanapito</w:t>
      </w:r>
      <w:r>
        <w:rPr>
          <w:sz w:val="26"/>
        </w:rPr>
        <w:t>,</w:t>
      </w:r>
      <w:r>
        <w:rPr>
          <w:spacing w:val="-4"/>
          <w:sz w:val="26"/>
        </w:rPr>
        <w:t> </w:t>
      </w:r>
      <w:r>
        <w:rPr>
          <w:sz w:val="26"/>
        </w:rPr>
        <w:t>Chile:</w:t>
      </w:r>
      <w:r>
        <w:rPr>
          <w:spacing w:val="-6"/>
          <w:sz w:val="26"/>
        </w:rPr>
        <w:t> </w:t>
      </w:r>
      <w:r>
        <w:rPr>
          <w:sz w:val="26"/>
        </w:rPr>
        <w:t>Editorial</w:t>
      </w:r>
      <w:r>
        <w:rPr>
          <w:spacing w:val="-11"/>
          <w:sz w:val="26"/>
        </w:rPr>
        <w:t> </w:t>
      </w:r>
      <w:r>
        <w:rPr>
          <w:sz w:val="26"/>
        </w:rPr>
        <w:t>Instituto</w:t>
      </w:r>
      <w:r>
        <w:rPr>
          <w:spacing w:val="-6"/>
          <w:sz w:val="26"/>
        </w:rPr>
        <w:t> </w:t>
      </w:r>
      <w:r>
        <w:rPr>
          <w:sz w:val="26"/>
        </w:rPr>
        <w:t>Nacional</w:t>
      </w:r>
      <w:r>
        <w:rPr>
          <w:spacing w:val="-6"/>
          <w:sz w:val="26"/>
        </w:rPr>
        <w:t> </w:t>
      </w:r>
      <w:r>
        <w:rPr>
          <w:sz w:val="26"/>
        </w:rPr>
        <w:t>de Investigaciones Agropecuarias</w:t>
      </w:r>
      <w:r>
        <w:rPr>
          <w:spacing w:val="-13"/>
          <w:sz w:val="26"/>
        </w:rPr>
        <w:t> </w:t>
      </w:r>
      <w:r>
        <w:rPr>
          <w:sz w:val="26"/>
        </w:rPr>
        <w:t>(INIA).</w:t>
      </w:r>
    </w:p>
    <w:p>
      <w:pPr>
        <w:pStyle w:val="BodyText"/>
        <w:spacing w:before="8"/>
        <w:rPr>
          <w:sz w:val="25"/>
        </w:rPr>
      </w:pPr>
    </w:p>
    <w:p>
      <w:pPr>
        <w:spacing w:line="240" w:lineRule="auto" w:before="0"/>
        <w:ind w:left="116" w:right="115" w:firstLine="0"/>
        <w:jc w:val="both"/>
        <w:rPr>
          <w:sz w:val="26"/>
        </w:rPr>
      </w:pPr>
      <w:r>
        <w:rPr>
          <w:sz w:val="26"/>
        </w:rPr>
        <w:t>FAO, Organización de las Naciones Unidas para la Agricultura y la Alimentación e IITA, Instituto Internacional de Agricultura Tropical, 2000: </w:t>
      </w:r>
      <w:r>
        <w:rPr>
          <w:i/>
          <w:sz w:val="26"/>
        </w:rPr>
        <w:t>Manual de Prácticas integradas de </w:t>
      </w:r>
      <w:r>
        <w:rPr>
          <w:i/>
          <w:sz w:val="26"/>
        </w:rPr>
        <w:t>manejo y conservación de suelos</w:t>
      </w:r>
      <w:r>
        <w:rPr>
          <w:sz w:val="26"/>
        </w:rPr>
        <w:t>, Nigeria: Editorial FAO e IITA.</w:t>
      </w:r>
    </w:p>
    <w:p>
      <w:pPr>
        <w:pStyle w:val="BodyText"/>
        <w:spacing w:before="2"/>
      </w:pPr>
    </w:p>
    <w:p>
      <w:pPr>
        <w:spacing w:before="0"/>
        <w:ind w:left="116" w:right="110" w:firstLine="0"/>
        <w:jc w:val="both"/>
        <w:rPr>
          <w:sz w:val="26"/>
        </w:rPr>
      </w:pPr>
      <w:r>
        <w:rPr>
          <w:sz w:val="26"/>
        </w:rPr>
        <w:t>Fernández, 1996: “</w:t>
      </w:r>
      <w:r>
        <w:rPr>
          <w:i/>
          <w:sz w:val="26"/>
        </w:rPr>
        <w:t>Aplicación del modelo de simulación SWRRB para determinar el </w:t>
      </w:r>
      <w:r>
        <w:rPr>
          <w:i/>
          <w:sz w:val="26"/>
        </w:rPr>
        <w:t>balance</w:t>
      </w:r>
      <w:r>
        <w:rPr>
          <w:i/>
          <w:spacing w:val="-11"/>
          <w:sz w:val="26"/>
        </w:rPr>
        <w:t> </w:t>
      </w:r>
      <w:r>
        <w:rPr>
          <w:i/>
          <w:sz w:val="26"/>
        </w:rPr>
        <w:t>hidrológico</w:t>
      </w:r>
      <w:r>
        <w:rPr>
          <w:i/>
          <w:spacing w:val="-11"/>
          <w:sz w:val="26"/>
        </w:rPr>
        <w:t> </w:t>
      </w:r>
      <w:r>
        <w:rPr>
          <w:i/>
          <w:sz w:val="26"/>
        </w:rPr>
        <w:t>de</w:t>
      </w:r>
      <w:r>
        <w:rPr>
          <w:i/>
          <w:spacing w:val="-11"/>
          <w:sz w:val="26"/>
        </w:rPr>
        <w:t> </w:t>
      </w:r>
      <w:r>
        <w:rPr>
          <w:i/>
          <w:sz w:val="26"/>
        </w:rPr>
        <w:t>la</w:t>
      </w:r>
      <w:r>
        <w:rPr>
          <w:i/>
          <w:spacing w:val="-16"/>
          <w:sz w:val="26"/>
        </w:rPr>
        <w:t> </w:t>
      </w:r>
      <w:r>
        <w:rPr>
          <w:i/>
          <w:sz w:val="26"/>
        </w:rPr>
        <w:t>cuenca</w:t>
      </w:r>
      <w:r>
        <w:rPr>
          <w:i/>
          <w:spacing w:val="-15"/>
          <w:sz w:val="26"/>
        </w:rPr>
        <w:t> </w:t>
      </w:r>
      <w:r>
        <w:rPr>
          <w:i/>
          <w:sz w:val="26"/>
        </w:rPr>
        <w:t>"El</w:t>
      </w:r>
      <w:r>
        <w:rPr>
          <w:i/>
          <w:spacing w:val="-16"/>
          <w:sz w:val="26"/>
        </w:rPr>
        <w:t> </w:t>
      </w:r>
      <w:r>
        <w:rPr>
          <w:i/>
          <w:sz w:val="26"/>
        </w:rPr>
        <w:t>Tejocote",</w:t>
      </w:r>
      <w:r>
        <w:rPr>
          <w:i/>
          <w:spacing w:val="-9"/>
          <w:sz w:val="26"/>
        </w:rPr>
        <w:t> </w:t>
      </w:r>
      <w:r>
        <w:rPr>
          <w:i/>
          <w:sz w:val="26"/>
        </w:rPr>
        <w:t>Atlacomulco,</w:t>
      </w:r>
      <w:r>
        <w:rPr>
          <w:i/>
          <w:spacing w:val="-13"/>
          <w:sz w:val="26"/>
        </w:rPr>
        <w:t> </w:t>
      </w:r>
      <w:r>
        <w:rPr>
          <w:i/>
          <w:sz w:val="26"/>
        </w:rPr>
        <w:t>Estado</w:t>
      </w:r>
      <w:r>
        <w:rPr>
          <w:i/>
          <w:spacing w:val="-11"/>
          <w:sz w:val="26"/>
        </w:rPr>
        <w:t> </w:t>
      </w:r>
      <w:r>
        <w:rPr>
          <w:i/>
          <w:sz w:val="26"/>
        </w:rPr>
        <w:t>de</w:t>
      </w:r>
      <w:r>
        <w:rPr>
          <w:i/>
          <w:spacing w:val="-16"/>
          <w:sz w:val="26"/>
        </w:rPr>
        <w:t> </w:t>
      </w:r>
      <w:r>
        <w:rPr>
          <w:i/>
          <w:sz w:val="26"/>
        </w:rPr>
        <w:t>México”</w:t>
      </w:r>
      <w:r>
        <w:rPr>
          <w:sz w:val="26"/>
        </w:rPr>
        <w:t>,</w:t>
      </w:r>
      <w:r>
        <w:rPr>
          <w:spacing w:val="-13"/>
          <w:sz w:val="26"/>
        </w:rPr>
        <w:t> </w:t>
      </w:r>
      <w:r>
        <w:rPr>
          <w:sz w:val="26"/>
        </w:rPr>
        <w:t>México: Tesis Maestría, Colegio de</w:t>
      </w:r>
      <w:r>
        <w:rPr>
          <w:spacing w:val="-12"/>
          <w:sz w:val="26"/>
        </w:rPr>
        <w:t> </w:t>
      </w:r>
      <w:r>
        <w:rPr>
          <w:sz w:val="26"/>
        </w:rPr>
        <w:t>Postgraduados.</w:t>
      </w:r>
    </w:p>
    <w:p>
      <w:pPr>
        <w:pStyle w:val="BodyText"/>
        <w:spacing w:before="2"/>
      </w:pPr>
    </w:p>
    <w:p>
      <w:pPr>
        <w:spacing w:before="0"/>
        <w:ind w:left="116" w:right="112" w:firstLine="0"/>
        <w:jc w:val="both"/>
        <w:rPr>
          <w:sz w:val="26"/>
        </w:rPr>
      </w:pPr>
      <w:r>
        <w:rPr>
          <w:sz w:val="26"/>
        </w:rPr>
        <w:t>Fernández, M., </w:t>
      </w:r>
      <w:r>
        <w:rPr>
          <w:spacing w:val="-3"/>
          <w:sz w:val="26"/>
        </w:rPr>
        <w:t>A. </w:t>
      </w:r>
      <w:r>
        <w:rPr>
          <w:sz w:val="26"/>
        </w:rPr>
        <w:t>Vela y </w:t>
      </w:r>
      <w:r>
        <w:rPr>
          <w:spacing w:val="-3"/>
          <w:sz w:val="26"/>
        </w:rPr>
        <w:t>S. </w:t>
      </w:r>
      <w:r>
        <w:rPr>
          <w:sz w:val="26"/>
        </w:rPr>
        <w:t>Castaño, s/f: </w:t>
      </w:r>
      <w:r>
        <w:rPr>
          <w:i/>
          <w:sz w:val="26"/>
        </w:rPr>
        <w:t>La utilización de modelos en hidrología;</w:t>
      </w:r>
      <w:r>
        <w:rPr>
          <w:i/>
          <w:spacing w:val="-45"/>
          <w:sz w:val="26"/>
        </w:rPr>
        <w:t> </w:t>
      </w:r>
      <w:r>
        <w:rPr>
          <w:i/>
          <w:sz w:val="26"/>
        </w:rPr>
        <w:t>Sección </w:t>
      </w:r>
      <w:r>
        <w:rPr>
          <w:i/>
          <w:sz w:val="26"/>
        </w:rPr>
        <w:t>de Teledetección y Sistemas de Información Geográfica</w:t>
      </w:r>
      <w:r>
        <w:rPr>
          <w:sz w:val="26"/>
        </w:rPr>
        <w:t>, España: Editorial Instituto de Desarrollo Regional de la Universidad de Castilla </w:t>
      </w:r>
      <w:r>
        <w:rPr>
          <w:spacing w:val="-3"/>
          <w:sz w:val="26"/>
        </w:rPr>
        <w:t>La</w:t>
      </w:r>
      <w:r>
        <w:rPr>
          <w:spacing w:val="-4"/>
          <w:sz w:val="26"/>
        </w:rPr>
        <w:t> </w:t>
      </w:r>
      <w:r>
        <w:rPr>
          <w:sz w:val="26"/>
        </w:rPr>
        <w:t>Mancha.</w:t>
      </w:r>
    </w:p>
    <w:p>
      <w:pPr>
        <w:pStyle w:val="BodyText"/>
        <w:spacing w:before="2"/>
      </w:pPr>
    </w:p>
    <w:p>
      <w:pPr>
        <w:spacing w:line="240" w:lineRule="auto" w:before="0"/>
        <w:ind w:left="116" w:right="116" w:firstLine="0"/>
        <w:jc w:val="both"/>
        <w:rPr>
          <w:sz w:val="26"/>
        </w:rPr>
      </w:pPr>
      <w:r>
        <w:rPr>
          <w:sz w:val="26"/>
        </w:rPr>
        <w:t>Flanagan, D.C. y M.A. Nearing, 1995: “USDA-Water Erosion Prediction Project (WEPP) Hillslope</w:t>
      </w:r>
      <w:r>
        <w:rPr>
          <w:spacing w:val="-7"/>
          <w:sz w:val="26"/>
        </w:rPr>
        <w:t> </w:t>
      </w:r>
      <w:r>
        <w:rPr>
          <w:sz w:val="26"/>
        </w:rPr>
        <w:t>Profile</w:t>
      </w:r>
      <w:r>
        <w:rPr>
          <w:spacing w:val="-6"/>
          <w:sz w:val="26"/>
        </w:rPr>
        <w:t> </w:t>
      </w:r>
      <w:r>
        <w:rPr>
          <w:sz w:val="26"/>
        </w:rPr>
        <w:t>andWatershed</w:t>
      </w:r>
      <w:r>
        <w:rPr>
          <w:spacing w:val="-6"/>
          <w:sz w:val="26"/>
        </w:rPr>
        <w:t> </w:t>
      </w:r>
      <w:r>
        <w:rPr>
          <w:sz w:val="26"/>
        </w:rPr>
        <w:t>Model</w:t>
      </w:r>
      <w:r>
        <w:rPr>
          <w:spacing w:val="-6"/>
          <w:sz w:val="26"/>
        </w:rPr>
        <w:t> </w:t>
      </w:r>
      <w:r>
        <w:rPr>
          <w:sz w:val="26"/>
        </w:rPr>
        <w:t>Documentation”</w:t>
      </w:r>
      <w:r>
        <w:rPr>
          <w:spacing w:val="-6"/>
          <w:sz w:val="26"/>
        </w:rPr>
        <w:t> </w:t>
      </w:r>
      <w:r>
        <w:rPr>
          <w:sz w:val="26"/>
        </w:rPr>
        <w:t>en</w:t>
      </w:r>
      <w:r>
        <w:rPr>
          <w:spacing w:val="-4"/>
          <w:sz w:val="26"/>
        </w:rPr>
        <w:t> </w:t>
      </w:r>
      <w:r>
        <w:rPr>
          <w:i/>
          <w:sz w:val="26"/>
        </w:rPr>
        <w:t>NSERL</w:t>
      </w:r>
      <w:r>
        <w:rPr>
          <w:i/>
          <w:spacing w:val="-6"/>
          <w:sz w:val="26"/>
        </w:rPr>
        <w:t> </w:t>
      </w:r>
      <w:r>
        <w:rPr>
          <w:i/>
          <w:sz w:val="26"/>
        </w:rPr>
        <w:t>Report</w:t>
      </w:r>
      <w:r>
        <w:rPr>
          <w:i/>
          <w:spacing w:val="-6"/>
          <w:sz w:val="26"/>
        </w:rPr>
        <w:t> </w:t>
      </w:r>
      <w:r>
        <w:rPr>
          <w:i/>
          <w:sz w:val="26"/>
        </w:rPr>
        <w:t>No.10,</w:t>
      </w:r>
      <w:r>
        <w:rPr>
          <w:i/>
          <w:spacing w:val="-8"/>
          <w:sz w:val="26"/>
        </w:rPr>
        <w:t> </w:t>
      </w:r>
      <w:r>
        <w:rPr>
          <w:i/>
          <w:sz w:val="26"/>
        </w:rPr>
        <w:t>National </w:t>
      </w:r>
      <w:r>
        <w:rPr>
          <w:i/>
          <w:sz w:val="26"/>
        </w:rPr>
        <w:t>Soil Erosion Research Laboratory </w:t>
      </w:r>
      <w:r>
        <w:rPr>
          <w:sz w:val="26"/>
        </w:rPr>
        <w:t>298 </w:t>
      </w:r>
      <w:r>
        <w:rPr>
          <w:i/>
          <w:sz w:val="26"/>
        </w:rPr>
        <w:t>pp</w:t>
      </w:r>
      <w:r>
        <w:rPr>
          <w:sz w:val="26"/>
        </w:rPr>
        <w:t>, Indiana: USDA-Agricultural Research Service West</w:t>
      </w:r>
      <w:r>
        <w:rPr>
          <w:spacing w:val="-8"/>
          <w:sz w:val="26"/>
        </w:rPr>
        <w:t> </w:t>
      </w:r>
      <w:r>
        <w:rPr>
          <w:sz w:val="26"/>
        </w:rPr>
        <w:t>Lafayette.</w:t>
      </w:r>
    </w:p>
    <w:p>
      <w:pPr>
        <w:pStyle w:val="BodyText"/>
        <w:spacing w:before="8"/>
        <w:rPr>
          <w:sz w:val="25"/>
        </w:rPr>
      </w:pPr>
    </w:p>
    <w:p>
      <w:pPr>
        <w:pStyle w:val="BodyText"/>
        <w:ind w:left="116" w:right="115"/>
        <w:jc w:val="both"/>
      </w:pPr>
      <w:r>
        <w:rPr/>
        <w:t>Flanagan,</w:t>
      </w:r>
      <w:r>
        <w:rPr>
          <w:spacing w:val="-14"/>
        </w:rPr>
        <w:t> </w:t>
      </w:r>
      <w:r>
        <w:rPr/>
        <w:t>D.C.,</w:t>
      </w:r>
      <w:r>
        <w:rPr>
          <w:spacing w:val="-14"/>
        </w:rPr>
        <w:t> </w:t>
      </w:r>
      <w:r>
        <w:rPr/>
        <w:t>J.E.</w:t>
      </w:r>
      <w:r>
        <w:rPr>
          <w:spacing w:val="-14"/>
        </w:rPr>
        <w:t> </w:t>
      </w:r>
      <w:r>
        <w:rPr/>
        <w:t>Gilley</w:t>
      </w:r>
      <w:r>
        <w:rPr>
          <w:spacing w:val="-21"/>
        </w:rPr>
        <w:t> </w:t>
      </w:r>
      <w:r>
        <w:rPr/>
        <w:t>y</w:t>
      </w:r>
      <w:r>
        <w:rPr>
          <w:spacing w:val="-16"/>
        </w:rPr>
        <w:t> </w:t>
      </w:r>
      <w:r>
        <w:rPr/>
        <w:t>T.G.</w:t>
      </w:r>
      <w:r>
        <w:rPr>
          <w:spacing w:val="-14"/>
        </w:rPr>
        <w:t> </w:t>
      </w:r>
      <w:r>
        <w:rPr/>
        <w:t>Franti,</w:t>
      </w:r>
      <w:r>
        <w:rPr>
          <w:spacing w:val="-18"/>
        </w:rPr>
        <w:t> </w:t>
      </w:r>
      <w:r>
        <w:rPr/>
        <w:t>2007:</w:t>
      </w:r>
      <w:r>
        <w:rPr>
          <w:spacing w:val="-21"/>
        </w:rPr>
        <w:t> </w:t>
      </w:r>
      <w:r>
        <w:rPr/>
        <w:t>“Water</w:t>
      </w:r>
      <w:r>
        <w:rPr>
          <w:spacing w:val="-15"/>
        </w:rPr>
        <w:t> </w:t>
      </w:r>
      <w:r>
        <w:rPr/>
        <w:t>Erosion</w:t>
      </w:r>
      <w:r>
        <w:rPr>
          <w:spacing w:val="-16"/>
        </w:rPr>
        <w:t> </w:t>
      </w:r>
      <w:r>
        <w:rPr/>
        <w:t>Prediction</w:t>
      </w:r>
      <w:r>
        <w:rPr>
          <w:spacing w:val="-16"/>
        </w:rPr>
        <w:t> </w:t>
      </w:r>
      <w:r>
        <w:rPr/>
        <w:t>Project</w:t>
      </w:r>
      <w:r>
        <w:rPr>
          <w:spacing w:val="-16"/>
        </w:rPr>
        <w:t> </w:t>
      </w:r>
      <w:r>
        <w:rPr/>
        <w:t>(WEPP): development history, model capabilities, and future enhancements” en </w:t>
      </w:r>
      <w:r>
        <w:rPr>
          <w:i/>
        </w:rPr>
        <w:t>Revista </w:t>
      </w:r>
      <w:r>
        <w:rPr>
          <w:i/>
        </w:rPr>
        <w:t>Transactions of the ASABE </w:t>
      </w:r>
      <w:r>
        <w:rPr/>
        <w:t>50, </w:t>
      </w:r>
      <w:r>
        <w:rPr>
          <w:i/>
        </w:rPr>
        <w:t>1603–1612</w:t>
      </w:r>
      <w:r>
        <w:rPr/>
        <w:t>,</w:t>
      </w:r>
      <w:r>
        <w:rPr>
          <w:spacing w:val="-6"/>
        </w:rPr>
        <w:t> </w:t>
      </w:r>
      <w:r>
        <w:rPr/>
        <w:t>España.</w:t>
      </w:r>
    </w:p>
    <w:p>
      <w:pPr>
        <w:pStyle w:val="BodyText"/>
        <w:spacing w:before="8"/>
        <w:rPr>
          <w:sz w:val="25"/>
        </w:rPr>
      </w:pPr>
    </w:p>
    <w:p>
      <w:pPr>
        <w:spacing w:line="242" w:lineRule="auto" w:before="0"/>
        <w:ind w:left="116" w:right="114" w:firstLine="0"/>
        <w:jc w:val="both"/>
        <w:rPr>
          <w:sz w:val="26"/>
        </w:rPr>
      </w:pPr>
      <w:r>
        <w:rPr>
          <w:sz w:val="26"/>
        </w:rPr>
        <w:t>Fohrer,</w:t>
      </w:r>
      <w:r>
        <w:rPr>
          <w:spacing w:val="-5"/>
          <w:sz w:val="26"/>
        </w:rPr>
        <w:t> </w:t>
      </w:r>
      <w:r>
        <w:rPr>
          <w:sz w:val="26"/>
        </w:rPr>
        <w:t>N.,</w:t>
      </w:r>
      <w:r>
        <w:rPr>
          <w:spacing w:val="-9"/>
          <w:sz w:val="26"/>
        </w:rPr>
        <w:t> </w:t>
      </w:r>
      <w:r>
        <w:rPr>
          <w:spacing w:val="-3"/>
          <w:sz w:val="26"/>
        </w:rPr>
        <w:t>S.</w:t>
      </w:r>
      <w:r>
        <w:rPr>
          <w:spacing w:val="-5"/>
          <w:sz w:val="26"/>
        </w:rPr>
        <w:t> </w:t>
      </w:r>
      <w:r>
        <w:rPr>
          <w:sz w:val="26"/>
        </w:rPr>
        <w:t>Haverkamp,</w:t>
      </w:r>
      <w:r>
        <w:rPr>
          <w:spacing w:val="-5"/>
          <w:sz w:val="26"/>
        </w:rPr>
        <w:t> </w:t>
      </w:r>
      <w:r>
        <w:rPr>
          <w:sz w:val="26"/>
        </w:rPr>
        <w:t>K.</w:t>
      </w:r>
      <w:r>
        <w:rPr>
          <w:spacing w:val="-9"/>
          <w:sz w:val="26"/>
        </w:rPr>
        <w:t> </w:t>
      </w:r>
      <w:r>
        <w:rPr>
          <w:sz w:val="26"/>
        </w:rPr>
        <w:t>Eckhardt</w:t>
      </w:r>
      <w:r>
        <w:rPr>
          <w:spacing w:val="-7"/>
          <w:sz w:val="26"/>
        </w:rPr>
        <w:t> </w:t>
      </w:r>
      <w:r>
        <w:rPr>
          <w:sz w:val="26"/>
        </w:rPr>
        <w:t>y</w:t>
      </w:r>
      <w:r>
        <w:rPr>
          <w:spacing w:val="-7"/>
          <w:sz w:val="26"/>
        </w:rPr>
        <w:t> </w:t>
      </w:r>
      <w:r>
        <w:rPr>
          <w:sz w:val="26"/>
        </w:rPr>
        <w:t>G.</w:t>
      </w:r>
      <w:r>
        <w:rPr>
          <w:spacing w:val="-9"/>
          <w:sz w:val="26"/>
        </w:rPr>
        <w:t> </w:t>
      </w:r>
      <w:r>
        <w:rPr>
          <w:sz w:val="26"/>
        </w:rPr>
        <w:t>Frede,</w:t>
      </w:r>
      <w:r>
        <w:rPr>
          <w:spacing w:val="-5"/>
          <w:sz w:val="26"/>
        </w:rPr>
        <w:t> </w:t>
      </w:r>
      <w:r>
        <w:rPr>
          <w:sz w:val="26"/>
        </w:rPr>
        <w:t>2001:</w:t>
      </w:r>
      <w:r>
        <w:rPr>
          <w:spacing w:val="-12"/>
          <w:sz w:val="26"/>
        </w:rPr>
        <w:t> </w:t>
      </w:r>
      <w:r>
        <w:rPr>
          <w:sz w:val="26"/>
        </w:rPr>
        <w:t>“Hydrologic</w:t>
      </w:r>
      <w:r>
        <w:rPr>
          <w:spacing w:val="-7"/>
          <w:sz w:val="26"/>
        </w:rPr>
        <w:t> </w:t>
      </w:r>
      <w:r>
        <w:rPr>
          <w:sz w:val="26"/>
        </w:rPr>
        <w:t>response</w:t>
      </w:r>
      <w:r>
        <w:rPr>
          <w:spacing w:val="-7"/>
          <w:sz w:val="26"/>
        </w:rPr>
        <w:t> </w:t>
      </w:r>
      <w:r>
        <w:rPr>
          <w:sz w:val="26"/>
        </w:rPr>
        <w:t>to</w:t>
      </w:r>
      <w:r>
        <w:rPr>
          <w:spacing w:val="-7"/>
          <w:sz w:val="26"/>
        </w:rPr>
        <w:t> </w:t>
      </w:r>
      <w:r>
        <w:rPr>
          <w:sz w:val="26"/>
        </w:rPr>
        <w:t>land</w:t>
      </w:r>
      <w:r>
        <w:rPr>
          <w:spacing w:val="-12"/>
          <w:sz w:val="26"/>
        </w:rPr>
        <w:t> </w:t>
      </w:r>
      <w:r>
        <w:rPr>
          <w:sz w:val="26"/>
        </w:rPr>
        <w:t>use changes on the catchment scale” en </w:t>
      </w:r>
      <w:r>
        <w:rPr>
          <w:i/>
          <w:sz w:val="26"/>
        </w:rPr>
        <w:t>Revista Phys. Chem. Earth 26:577-682</w:t>
      </w:r>
      <w:r>
        <w:rPr>
          <w:sz w:val="26"/>
        </w:rPr>
        <w:t>,</w:t>
      </w:r>
      <w:r>
        <w:rPr>
          <w:spacing w:val="-13"/>
          <w:sz w:val="26"/>
        </w:rPr>
        <w:t> </w:t>
      </w:r>
      <w:r>
        <w:rPr>
          <w:sz w:val="26"/>
        </w:rPr>
        <w:t>EUA.</w:t>
      </w:r>
    </w:p>
    <w:p>
      <w:pPr>
        <w:pStyle w:val="BodyText"/>
        <w:spacing w:before="6"/>
        <w:rPr>
          <w:sz w:val="25"/>
        </w:rPr>
      </w:pPr>
    </w:p>
    <w:p>
      <w:pPr>
        <w:spacing w:line="242" w:lineRule="auto" w:before="0"/>
        <w:ind w:left="116" w:right="110" w:firstLine="0"/>
        <w:jc w:val="both"/>
        <w:rPr>
          <w:sz w:val="26"/>
        </w:rPr>
      </w:pPr>
      <w:r>
        <w:rPr>
          <w:sz w:val="26"/>
        </w:rPr>
        <w:t>García, E., 1973: </w:t>
      </w:r>
      <w:r>
        <w:rPr>
          <w:i/>
          <w:sz w:val="26"/>
        </w:rPr>
        <w:t>Modificación del sistema de clasificación de clima Köpen</w:t>
      </w:r>
      <w:r>
        <w:rPr>
          <w:sz w:val="26"/>
        </w:rPr>
        <w:t>, México: Editorial UNAM, Instituto de Geografía.</w:t>
      </w:r>
    </w:p>
    <w:p>
      <w:pPr>
        <w:pStyle w:val="BodyText"/>
        <w:spacing w:before="5"/>
        <w:rPr>
          <w:sz w:val="25"/>
        </w:rPr>
      </w:pPr>
    </w:p>
    <w:p>
      <w:pPr>
        <w:spacing w:line="240" w:lineRule="auto" w:before="1"/>
        <w:ind w:left="116" w:right="117" w:firstLine="0"/>
        <w:jc w:val="both"/>
        <w:rPr>
          <w:sz w:val="26"/>
        </w:rPr>
      </w:pPr>
      <w:r>
        <w:rPr>
          <w:sz w:val="26"/>
        </w:rPr>
        <w:t>Gassman, P.W., M.R. Reyes, C.H. Green y J.G. Arnold, 2007: “The soil and water assessment tool: historical development, applications, and future research directions” en </w:t>
      </w:r>
      <w:r>
        <w:rPr>
          <w:i/>
          <w:sz w:val="26"/>
        </w:rPr>
        <w:t>Revista Transactions of the ASABE 50, 1211–1250</w:t>
      </w:r>
      <w:r>
        <w:rPr>
          <w:sz w:val="26"/>
        </w:rPr>
        <w:t>, España.</w:t>
      </w:r>
    </w:p>
    <w:p>
      <w:pPr>
        <w:pStyle w:val="BodyText"/>
        <w:spacing w:before="9"/>
        <w:rPr>
          <w:sz w:val="25"/>
        </w:rPr>
      </w:pPr>
    </w:p>
    <w:p>
      <w:pPr>
        <w:spacing w:before="0"/>
        <w:ind w:left="116" w:right="0" w:firstLine="0"/>
        <w:jc w:val="both"/>
        <w:rPr>
          <w:i/>
          <w:sz w:val="26"/>
        </w:rPr>
      </w:pPr>
      <w:r>
        <w:rPr>
          <w:sz w:val="26"/>
        </w:rPr>
        <w:t>GEA,  SANZEKAN  SINEMI,  RAISES,  UDG,  UNISUR,  2008:  </w:t>
      </w:r>
      <w:r>
        <w:rPr>
          <w:i/>
          <w:sz w:val="26"/>
        </w:rPr>
        <w:t>Foro  comunitario del</w:t>
      </w:r>
    </w:p>
    <w:p>
      <w:pPr>
        <w:spacing w:before="46"/>
        <w:ind w:left="116" w:right="0" w:firstLine="0"/>
        <w:jc w:val="both"/>
        <w:rPr>
          <w:sz w:val="26"/>
        </w:rPr>
      </w:pPr>
      <w:r>
        <w:rPr>
          <w:i/>
          <w:sz w:val="26"/>
        </w:rPr>
        <w:t>manejo del agua en México Rural</w:t>
      </w:r>
      <w:r>
        <w:rPr>
          <w:sz w:val="26"/>
        </w:rPr>
        <w:t>, Chilpancingo, Guerrero: Editorial GEA-UDG.</w:t>
      </w:r>
    </w:p>
    <w:p>
      <w:pPr>
        <w:spacing w:after="0"/>
        <w:jc w:val="both"/>
        <w:rPr>
          <w:sz w:val="26"/>
        </w:rPr>
        <w:sectPr>
          <w:pgSz w:w="12240" w:h="15840"/>
          <w:pgMar w:header="0" w:footer="1473" w:top="1360" w:bottom="1660" w:left="1300" w:right="1300"/>
        </w:sectPr>
      </w:pPr>
    </w:p>
    <w:p>
      <w:pPr>
        <w:spacing w:line="278" w:lineRule="auto" w:before="49"/>
        <w:ind w:left="116" w:right="116" w:firstLine="0"/>
        <w:jc w:val="both"/>
        <w:rPr>
          <w:sz w:val="26"/>
        </w:rPr>
      </w:pPr>
      <w:r>
        <w:rPr>
          <w:sz w:val="26"/>
        </w:rPr>
        <w:t>GEM,</w:t>
      </w:r>
      <w:r>
        <w:rPr>
          <w:spacing w:val="-8"/>
          <w:sz w:val="26"/>
        </w:rPr>
        <w:t> </w:t>
      </w:r>
      <w:r>
        <w:rPr>
          <w:sz w:val="26"/>
        </w:rPr>
        <w:t>Gobierno</w:t>
      </w:r>
      <w:r>
        <w:rPr>
          <w:spacing w:val="-10"/>
          <w:sz w:val="26"/>
        </w:rPr>
        <w:t> </w:t>
      </w:r>
      <w:r>
        <w:rPr>
          <w:sz w:val="26"/>
        </w:rPr>
        <w:t>del</w:t>
      </w:r>
      <w:r>
        <w:rPr>
          <w:spacing w:val="-10"/>
          <w:sz w:val="26"/>
        </w:rPr>
        <w:t> </w:t>
      </w:r>
      <w:r>
        <w:rPr>
          <w:sz w:val="26"/>
        </w:rPr>
        <w:t>Estado</w:t>
      </w:r>
      <w:r>
        <w:rPr>
          <w:spacing w:val="-10"/>
          <w:sz w:val="26"/>
        </w:rPr>
        <w:t> </w:t>
      </w:r>
      <w:r>
        <w:rPr>
          <w:sz w:val="26"/>
        </w:rPr>
        <w:t>de</w:t>
      </w:r>
      <w:r>
        <w:rPr>
          <w:spacing w:val="-10"/>
          <w:sz w:val="26"/>
        </w:rPr>
        <w:t> </w:t>
      </w:r>
      <w:r>
        <w:rPr>
          <w:sz w:val="26"/>
        </w:rPr>
        <w:t>México,</w:t>
      </w:r>
      <w:r>
        <w:rPr>
          <w:spacing w:val="-7"/>
          <w:sz w:val="26"/>
        </w:rPr>
        <w:t> </w:t>
      </w:r>
      <w:r>
        <w:rPr>
          <w:sz w:val="26"/>
        </w:rPr>
        <w:t>2005:</w:t>
      </w:r>
      <w:r>
        <w:rPr>
          <w:spacing w:val="-2"/>
          <w:sz w:val="26"/>
        </w:rPr>
        <w:t> </w:t>
      </w:r>
      <w:r>
        <w:rPr>
          <w:i/>
          <w:sz w:val="26"/>
        </w:rPr>
        <w:t>Plan</w:t>
      </w:r>
      <w:r>
        <w:rPr>
          <w:i/>
          <w:spacing w:val="-10"/>
          <w:sz w:val="26"/>
        </w:rPr>
        <w:t> </w:t>
      </w:r>
      <w:r>
        <w:rPr>
          <w:i/>
          <w:sz w:val="26"/>
        </w:rPr>
        <w:t>de</w:t>
      </w:r>
      <w:r>
        <w:rPr>
          <w:i/>
          <w:spacing w:val="-10"/>
          <w:sz w:val="26"/>
        </w:rPr>
        <w:t> </w:t>
      </w:r>
      <w:r>
        <w:rPr>
          <w:i/>
          <w:sz w:val="26"/>
        </w:rPr>
        <w:t>Desarrollo</w:t>
      </w:r>
      <w:r>
        <w:rPr>
          <w:i/>
          <w:spacing w:val="-10"/>
          <w:sz w:val="26"/>
        </w:rPr>
        <w:t> </w:t>
      </w:r>
      <w:r>
        <w:rPr>
          <w:i/>
          <w:sz w:val="26"/>
        </w:rPr>
        <w:t>Urbano</w:t>
      </w:r>
      <w:r>
        <w:rPr>
          <w:i/>
          <w:spacing w:val="-10"/>
          <w:sz w:val="26"/>
        </w:rPr>
        <w:t> </w:t>
      </w:r>
      <w:r>
        <w:rPr>
          <w:i/>
          <w:sz w:val="26"/>
        </w:rPr>
        <w:t>del</w:t>
      </w:r>
      <w:r>
        <w:rPr>
          <w:i/>
          <w:spacing w:val="-10"/>
          <w:sz w:val="26"/>
        </w:rPr>
        <w:t> </w:t>
      </w:r>
      <w:r>
        <w:rPr>
          <w:i/>
          <w:sz w:val="26"/>
        </w:rPr>
        <w:t>Municipio</w:t>
      </w:r>
      <w:r>
        <w:rPr>
          <w:i/>
          <w:spacing w:val="-10"/>
          <w:sz w:val="26"/>
        </w:rPr>
        <w:t> </w:t>
      </w:r>
      <w:r>
        <w:rPr>
          <w:i/>
          <w:sz w:val="26"/>
        </w:rPr>
        <w:t>de </w:t>
      </w:r>
      <w:r>
        <w:rPr>
          <w:i/>
          <w:sz w:val="26"/>
        </w:rPr>
        <w:t>Acambay</w:t>
      </w:r>
      <w:r>
        <w:rPr>
          <w:sz w:val="26"/>
        </w:rPr>
        <w:t>, México. Editorial:</w:t>
      </w:r>
      <w:r>
        <w:rPr>
          <w:spacing w:val="-3"/>
          <w:sz w:val="26"/>
        </w:rPr>
        <w:t> </w:t>
      </w:r>
      <w:r>
        <w:rPr>
          <w:sz w:val="26"/>
        </w:rPr>
        <w:t>GEM.</w:t>
      </w:r>
    </w:p>
    <w:p>
      <w:pPr>
        <w:spacing w:line="278" w:lineRule="auto" w:before="198"/>
        <w:ind w:left="116" w:right="117" w:firstLine="0"/>
        <w:jc w:val="both"/>
        <w:rPr>
          <w:sz w:val="26"/>
        </w:rPr>
      </w:pPr>
      <w:r>
        <w:rPr>
          <w:sz w:val="26"/>
        </w:rPr>
        <w:t>GEM, Gobierno del Estado de México, 2006: </w:t>
      </w:r>
      <w:r>
        <w:rPr>
          <w:i/>
          <w:sz w:val="26"/>
        </w:rPr>
        <w:t>Actualización del modelo de ordenamiento </w:t>
      </w:r>
      <w:r>
        <w:rPr>
          <w:i/>
          <w:sz w:val="26"/>
        </w:rPr>
        <w:t>ecológico del Estado de México. </w:t>
      </w:r>
      <w:r>
        <w:rPr>
          <w:sz w:val="26"/>
        </w:rPr>
        <w:t>Editorial: GEM.</w:t>
      </w:r>
    </w:p>
    <w:p>
      <w:pPr>
        <w:spacing w:line="278" w:lineRule="auto" w:before="197"/>
        <w:ind w:left="116" w:right="117" w:firstLine="0"/>
        <w:jc w:val="both"/>
        <w:rPr>
          <w:sz w:val="26"/>
        </w:rPr>
      </w:pPr>
      <w:r>
        <w:rPr>
          <w:sz w:val="26"/>
        </w:rPr>
        <w:t>GEM, Gobierno del Estado de México, 2009: </w:t>
      </w:r>
      <w:r>
        <w:rPr>
          <w:i/>
          <w:sz w:val="26"/>
        </w:rPr>
        <w:t>Manual de conservación de suelo y agua</w:t>
      </w:r>
      <w:r>
        <w:rPr>
          <w:sz w:val="26"/>
        </w:rPr>
        <w:t>, México. Editorial: GEM.</w:t>
      </w:r>
    </w:p>
    <w:p>
      <w:pPr>
        <w:pStyle w:val="BodyText"/>
        <w:spacing w:before="197"/>
        <w:ind w:left="116"/>
        <w:jc w:val="both"/>
      </w:pPr>
      <w:r>
        <w:rPr/>
        <w:t>Gidahatari,  2014:  Los  10  mejores  softwares  libres  en  recursos  hídricos  en  línea   en</w:t>
      </w:r>
    </w:p>
    <w:p>
      <w:pPr>
        <w:spacing w:before="46"/>
        <w:ind w:left="116" w:right="0" w:firstLine="0"/>
        <w:jc w:val="both"/>
        <w:rPr>
          <w:i/>
          <w:sz w:val="26"/>
        </w:rPr>
      </w:pPr>
      <w:hyperlink r:id="rId191">
        <w:r>
          <w:rPr>
            <w:i/>
            <w:sz w:val="26"/>
          </w:rPr>
          <w:t>http://gidahatari.com/ih-es/los-10-mejores-softwares-libres-en-recursos-hidricos,</w:t>
        </w:r>
      </w:hyperlink>
      <w:r>
        <w:rPr>
          <w:i/>
          <w:sz w:val="26"/>
        </w:rPr>
        <w:t> </w:t>
      </w:r>
      <w:r>
        <w:rPr>
          <w:sz w:val="26"/>
        </w:rPr>
        <w:t>Chile</w:t>
      </w:r>
      <w:r>
        <w:rPr>
          <w:i/>
          <w:sz w:val="26"/>
        </w:rPr>
        <w:t>.</w:t>
      </w:r>
    </w:p>
    <w:p>
      <w:pPr>
        <w:pStyle w:val="BodyText"/>
        <w:spacing w:before="1"/>
        <w:rPr>
          <w:i/>
          <w:sz w:val="21"/>
        </w:rPr>
      </w:pPr>
    </w:p>
    <w:p>
      <w:pPr>
        <w:spacing w:before="1"/>
        <w:ind w:left="116" w:right="106" w:firstLine="0"/>
        <w:jc w:val="both"/>
        <w:rPr>
          <w:sz w:val="26"/>
        </w:rPr>
      </w:pPr>
      <w:r>
        <w:rPr>
          <w:sz w:val="26"/>
        </w:rPr>
        <w:t>Grigg, N.S., 1996: </w:t>
      </w:r>
      <w:r>
        <w:rPr>
          <w:i/>
          <w:sz w:val="26"/>
        </w:rPr>
        <w:t>Water resources management: principles, regulations, and cases</w:t>
      </w:r>
      <w:r>
        <w:rPr>
          <w:sz w:val="26"/>
        </w:rPr>
        <w:t>, New York: Editorial McGraw-Hill Book.</w:t>
      </w:r>
    </w:p>
    <w:p>
      <w:pPr>
        <w:pStyle w:val="BodyText"/>
        <w:spacing w:before="2"/>
      </w:pPr>
    </w:p>
    <w:p>
      <w:pPr>
        <w:spacing w:before="0"/>
        <w:ind w:left="116" w:right="110" w:firstLine="0"/>
        <w:jc w:val="both"/>
        <w:rPr>
          <w:sz w:val="26"/>
        </w:rPr>
      </w:pPr>
      <w:r>
        <w:rPr>
          <w:sz w:val="26"/>
        </w:rPr>
        <w:t>Helweg, J., 1992: </w:t>
      </w:r>
      <w:r>
        <w:rPr>
          <w:i/>
          <w:sz w:val="26"/>
        </w:rPr>
        <w:t>Recursos Hidráulicos: planeación y administración</w:t>
      </w:r>
      <w:r>
        <w:rPr>
          <w:sz w:val="26"/>
        </w:rPr>
        <w:t>, México: Editorial Limusa.</w:t>
      </w:r>
    </w:p>
    <w:p>
      <w:pPr>
        <w:pStyle w:val="BodyText"/>
        <w:spacing w:before="2"/>
      </w:pPr>
    </w:p>
    <w:p>
      <w:pPr>
        <w:spacing w:before="0"/>
        <w:ind w:left="116" w:right="110" w:firstLine="0"/>
        <w:jc w:val="both"/>
        <w:rPr>
          <w:sz w:val="26"/>
        </w:rPr>
      </w:pPr>
      <w:r>
        <w:rPr>
          <w:sz w:val="26"/>
        </w:rPr>
        <w:t>Herrero,</w:t>
      </w:r>
      <w:r>
        <w:rPr>
          <w:spacing w:val="-4"/>
          <w:sz w:val="26"/>
        </w:rPr>
        <w:t> </w:t>
      </w:r>
      <w:r>
        <w:rPr>
          <w:sz w:val="26"/>
        </w:rPr>
        <w:t>J.,</w:t>
      </w:r>
      <w:r>
        <w:rPr>
          <w:spacing w:val="-8"/>
          <w:sz w:val="26"/>
        </w:rPr>
        <w:t> </w:t>
      </w:r>
      <w:r>
        <w:rPr>
          <w:sz w:val="26"/>
        </w:rPr>
        <w:t>M.I.</w:t>
      </w:r>
      <w:r>
        <w:rPr>
          <w:spacing w:val="-5"/>
          <w:sz w:val="26"/>
        </w:rPr>
        <w:t> </w:t>
      </w:r>
      <w:r>
        <w:rPr>
          <w:sz w:val="26"/>
        </w:rPr>
        <w:t>Rodríguez</w:t>
      </w:r>
      <w:r>
        <w:rPr>
          <w:spacing w:val="-7"/>
          <w:sz w:val="26"/>
        </w:rPr>
        <w:t> </w:t>
      </w:r>
      <w:r>
        <w:rPr>
          <w:sz w:val="26"/>
        </w:rPr>
        <w:t>y</w:t>
      </w:r>
      <w:r>
        <w:rPr>
          <w:spacing w:val="-7"/>
          <w:sz w:val="26"/>
        </w:rPr>
        <w:t> </w:t>
      </w:r>
      <w:r>
        <w:rPr>
          <w:spacing w:val="-3"/>
          <w:sz w:val="26"/>
        </w:rPr>
        <w:t>A.</w:t>
      </w:r>
      <w:r>
        <w:rPr>
          <w:spacing w:val="-5"/>
          <w:sz w:val="26"/>
        </w:rPr>
        <w:t> </w:t>
      </w:r>
      <w:r>
        <w:rPr>
          <w:sz w:val="26"/>
        </w:rPr>
        <w:t>Avilés,</w:t>
      </w:r>
      <w:r>
        <w:rPr>
          <w:spacing w:val="-5"/>
          <w:sz w:val="26"/>
        </w:rPr>
        <w:t> </w:t>
      </w:r>
      <w:r>
        <w:rPr>
          <w:sz w:val="26"/>
        </w:rPr>
        <w:t>2010:</w:t>
      </w:r>
      <w:r>
        <w:rPr>
          <w:spacing w:val="-5"/>
          <w:sz w:val="26"/>
        </w:rPr>
        <w:t> </w:t>
      </w:r>
      <w:r>
        <w:rPr>
          <w:i/>
          <w:sz w:val="26"/>
        </w:rPr>
        <w:t>Modelo</w:t>
      </w:r>
      <w:r>
        <w:rPr>
          <w:i/>
          <w:spacing w:val="-7"/>
          <w:sz w:val="26"/>
        </w:rPr>
        <w:t> </w:t>
      </w:r>
      <w:r>
        <w:rPr>
          <w:i/>
          <w:sz w:val="26"/>
        </w:rPr>
        <w:t>integrales</w:t>
      </w:r>
      <w:r>
        <w:rPr>
          <w:i/>
          <w:spacing w:val="-7"/>
          <w:sz w:val="26"/>
        </w:rPr>
        <w:t> </w:t>
      </w:r>
      <w:r>
        <w:rPr>
          <w:i/>
          <w:sz w:val="26"/>
        </w:rPr>
        <w:t>de</w:t>
      </w:r>
      <w:r>
        <w:rPr>
          <w:i/>
          <w:spacing w:val="-7"/>
          <w:sz w:val="26"/>
        </w:rPr>
        <w:t> </w:t>
      </w:r>
      <w:r>
        <w:rPr>
          <w:i/>
          <w:sz w:val="26"/>
        </w:rPr>
        <w:t>cuencas</w:t>
      </w:r>
      <w:r>
        <w:rPr>
          <w:i/>
          <w:spacing w:val="-7"/>
          <w:sz w:val="26"/>
        </w:rPr>
        <w:t> </w:t>
      </w:r>
      <w:r>
        <w:rPr>
          <w:i/>
          <w:sz w:val="26"/>
        </w:rPr>
        <w:t>hidrográficas </w:t>
      </w:r>
      <w:r>
        <w:rPr>
          <w:i/>
          <w:sz w:val="26"/>
        </w:rPr>
        <w:t>y prognosis de escenarios de gestión. SWAT aplicado a la cuenca del Guadalfeo</w:t>
      </w:r>
      <w:r>
        <w:rPr>
          <w:sz w:val="26"/>
        </w:rPr>
        <w:t>, España: Editorial Universidad de Granada (Grupo de Ríos y Embalses,</w:t>
      </w:r>
      <w:r>
        <w:rPr>
          <w:spacing w:val="-16"/>
          <w:sz w:val="26"/>
        </w:rPr>
        <w:t> </w:t>
      </w:r>
      <w:r>
        <w:rPr>
          <w:sz w:val="26"/>
        </w:rPr>
        <w:t>CEAMA).</w:t>
      </w:r>
    </w:p>
    <w:p>
      <w:pPr>
        <w:pStyle w:val="BodyText"/>
        <w:spacing w:before="2"/>
      </w:pPr>
    </w:p>
    <w:p>
      <w:pPr>
        <w:spacing w:line="240" w:lineRule="auto" w:before="0"/>
        <w:ind w:left="116" w:right="111" w:firstLine="0"/>
        <w:jc w:val="both"/>
        <w:rPr>
          <w:sz w:val="26"/>
        </w:rPr>
      </w:pPr>
      <w:r>
        <w:rPr>
          <w:sz w:val="26"/>
        </w:rPr>
        <w:t>INEGI,</w:t>
      </w:r>
      <w:r>
        <w:rPr>
          <w:spacing w:val="-5"/>
          <w:sz w:val="26"/>
        </w:rPr>
        <w:t> </w:t>
      </w:r>
      <w:r>
        <w:rPr>
          <w:sz w:val="26"/>
        </w:rPr>
        <w:t>Instituto</w:t>
      </w:r>
      <w:r>
        <w:rPr>
          <w:spacing w:val="-6"/>
          <w:sz w:val="26"/>
        </w:rPr>
        <w:t> </w:t>
      </w:r>
      <w:r>
        <w:rPr>
          <w:sz w:val="26"/>
        </w:rPr>
        <w:t>Nacional</w:t>
      </w:r>
      <w:r>
        <w:rPr>
          <w:spacing w:val="-6"/>
          <w:sz w:val="26"/>
        </w:rPr>
        <w:t> </w:t>
      </w:r>
      <w:r>
        <w:rPr>
          <w:sz w:val="26"/>
        </w:rPr>
        <w:t>de</w:t>
      </w:r>
      <w:r>
        <w:rPr>
          <w:spacing w:val="-6"/>
          <w:sz w:val="26"/>
        </w:rPr>
        <w:t> </w:t>
      </w:r>
      <w:r>
        <w:rPr>
          <w:sz w:val="26"/>
        </w:rPr>
        <w:t>Estadística</w:t>
      </w:r>
      <w:r>
        <w:rPr>
          <w:spacing w:val="-11"/>
          <w:sz w:val="26"/>
        </w:rPr>
        <w:t> </w:t>
      </w:r>
      <w:r>
        <w:rPr>
          <w:sz w:val="26"/>
        </w:rPr>
        <w:t>y</w:t>
      </w:r>
      <w:r>
        <w:rPr>
          <w:spacing w:val="-11"/>
          <w:sz w:val="26"/>
        </w:rPr>
        <w:t> </w:t>
      </w:r>
      <w:r>
        <w:rPr>
          <w:sz w:val="26"/>
        </w:rPr>
        <w:t>Geografía,</w:t>
      </w:r>
      <w:r>
        <w:rPr>
          <w:spacing w:val="-4"/>
          <w:sz w:val="26"/>
        </w:rPr>
        <w:t> </w:t>
      </w:r>
      <w:r>
        <w:rPr>
          <w:sz w:val="26"/>
        </w:rPr>
        <w:t>2010:</w:t>
      </w:r>
      <w:r>
        <w:rPr>
          <w:spacing w:val="-4"/>
          <w:sz w:val="26"/>
        </w:rPr>
        <w:t> </w:t>
      </w:r>
      <w:r>
        <w:rPr>
          <w:i/>
          <w:sz w:val="26"/>
        </w:rPr>
        <w:t>Carta</w:t>
      </w:r>
      <w:r>
        <w:rPr>
          <w:i/>
          <w:spacing w:val="-6"/>
          <w:sz w:val="26"/>
        </w:rPr>
        <w:t> </w:t>
      </w:r>
      <w:r>
        <w:rPr>
          <w:i/>
          <w:sz w:val="26"/>
        </w:rPr>
        <w:t>edafológica</w:t>
      </w:r>
      <w:r>
        <w:rPr>
          <w:i/>
          <w:spacing w:val="-6"/>
          <w:sz w:val="26"/>
        </w:rPr>
        <w:t> </w:t>
      </w:r>
      <w:r>
        <w:rPr>
          <w:i/>
          <w:sz w:val="26"/>
        </w:rPr>
        <w:t>y</w:t>
      </w:r>
      <w:r>
        <w:rPr>
          <w:i/>
          <w:spacing w:val="-11"/>
          <w:sz w:val="26"/>
        </w:rPr>
        <w:t> </w:t>
      </w:r>
      <w:r>
        <w:rPr>
          <w:i/>
          <w:sz w:val="26"/>
        </w:rPr>
        <w:t>de</w:t>
      </w:r>
      <w:r>
        <w:rPr>
          <w:i/>
          <w:spacing w:val="-11"/>
          <w:sz w:val="26"/>
        </w:rPr>
        <w:t> </w:t>
      </w:r>
      <w:r>
        <w:rPr>
          <w:i/>
          <w:sz w:val="26"/>
        </w:rPr>
        <w:t>uso</w:t>
      </w:r>
      <w:r>
        <w:rPr>
          <w:i/>
          <w:spacing w:val="-11"/>
          <w:sz w:val="26"/>
        </w:rPr>
        <w:t> </w:t>
      </w:r>
      <w:r>
        <w:rPr>
          <w:i/>
          <w:sz w:val="26"/>
        </w:rPr>
        <w:t>del </w:t>
      </w:r>
      <w:r>
        <w:rPr>
          <w:i/>
          <w:sz w:val="26"/>
        </w:rPr>
        <w:t>suelo escala 1:250000, carta topográfica y geológica escala 1:50000</w:t>
      </w:r>
      <w:r>
        <w:rPr>
          <w:sz w:val="26"/>
        </w:rPr>
        <w:t>, México, Editorial INEGI.</w:t>
      </w:r>
    </w:p>
    <w:p>
      <w:pPr>
        <w:pStyle w:val="BodyText"/>
        <w:spacing w:before="9"/>
        <w:rPr>
          <w:sz w:val="25"/>
        </w:rPr>
      </w:pPr>
    </w:p>
    <w:p>
      <w:pPr>
        <w:spacing w:before="0"/>
        <w:ind w:left="116" w:right="116" w:firstLine="0"/>
        <w:jc w:val="both"/>
        <w:rPr>
          <w:sz w:val="26"/>
        </w:rPr>
      </w:pPr>
      <w:r>
        <w:rPr>
          <w:sz w:val="26"/>
        </w:rPr>
        <w:t>INEGI,</w:t>
      </w:r>
      <w:r>
        <w:rPr>
          <w:spacing w:val="-10"/>
          <w:sz w:val="26"/>
        </w:rPr>
        <w:t> </w:t>
      </w:r>
      <w:r>
        <w:rPr>
          <w:sz w:val="26"/>
        </w:rPr>
        <w:t>Instituto</w:t>
      </w:r>
      <w:r>
        <w:rPr>
          <w:spacing w:val="-16"/>
          <w:sz w:val="26"/>
        </w:rPr>
        <w:t> </w:t>
      </w:r>
      <w:r>
        <w:rPr>
          <w:sz w:val="26"/>
        </w:rPr>
        <w:t>Nacional</w:t>
      </w:r>
      <w:r>
        <w:rPr>
          <w:spacing w:val="-16"/>
          <w:sz w:val="26"/>
        </w:rPr>
        <w:t> </w:t>
      </w:r>
      <w:r>
        <w:rPr>
          <w:sz w:val="26"/>
        </w:rPr>
        <w:t>de</w:t>
      </w:r>
      <w:r>
        <w:rPr>
          <w:spacing w:val="-16"/>
          <w:sz w:val="26"/>
        </w:rPr>
        <w:t> </w:t>
      </w:r>
      <w:r>
        <w:rPr>
          <w:sz w:val="26"/>
        </w:rPr>
        <w:t>Estadística</w:t>
      </w:r>
      <w:r>
        <w:rPr>
          <w:spacing w:val="-16"/>
          <w:sz w:val="26"/>
        </w:rPr>
        <w:t> </w:t>
      </w:r>
      <w:r>
        <w:rPr>
          <w:sz w:val="26"/>
        </w:rPr>
        <w:t>y</w:t>
      </w:r>
      <w:r>
        <w:rPr>
          <w:spacing w:val="-16"/>
          <w:sz w:val="26"/>
        </w:rPr>
        <w:t> </w:t>
      </w:r>
      <w:r>
        <w:rPr>
          <w:sz w:val="26"/>
        </w:rPr>
        <w:t>Geografía,</w:t>
      </w:r>
      <w:r>
        <w:rPr>
          <w:spacing w:val="-14"/>
          <w:sz w:val="26"/>
        </w:rPr>
        <w:t> </w:t>
      </w:r>
      <w:r>
        <w:rPr>
          <w:sz w:val="26"/>
        </w:rPr>
        <w:t>2010:</w:t>
      </w:r>
      <w:r>
        <w:rPr>
          <w:spacing w:val="-13"/>
          <w:sz w:val="26"/>
        </w:rPr>
        <w:t> </w:t>
      </w:r>
      <w:r>
        <w:rPr>
          <w:i/>
          <w:sz w:val="26"/>
        </w:rPr>
        <w:t>Censo</w:t>
      </w:r>
      <w:r>
        <w:rPr>
          <w:i/>
          <w:spacing w:val="-16"/>
          <w:sz w:val="26"/>
        </w:rPr>
        <w:t> </w:t>
      </w:r>
      <w:r>
        <w:rPr>
          <w:i/>
          <w:sz w:val="26"/>
        </w:rPr>
        <w:t>de</w:t>
      </w:r>
      <w:r>
        <w:rPr>
          <w:i/>
          <w:spacing w:val="-12"/>
          <w:sz w:val="26"/>
        </w:rPr>
        <w:t> </w:t>
      </w:r>
      <w:r>
        <w:rPr>
          <w:i/>
          <w:sz w:val="26"/>
        </w:rPr>
        <w:t>Población</w:t>
      </w:r>
      <w:r>
        <w:rPr>
          <w:i/>
          <w:spacing w:val="-16"/>
          <w:sz w:val="26"/>
        </w:rPr>
        <w:t> </w:t>
      </w:r>
      <w:r>
        <w:rPr>
          <w:i/>
          <w:sz w:val="26"/>
        </w:rPr>
        <w:t>y</w:t>
      </w:r>
      <w:r>
        <w:rPr>
          <w:i/>
          <w:spacing w:val="-12"/>
          <w:sz w:val="26"/>
        </w:rPr>
        <w:t> </w:t>
      </w:r>
      <w:r>
        <w:rPr>
          <w:i/>
          <w:sz w:val="26"/>
        </w:rPr>
        <w:t>Vivienda </w:t>
      </w:r>
      <w:r>
        <w:rPr>
          <w:i/>
          <w:sz w:val="26"/>
        </w:rPr>
        <w:t>2010</w:t>
      </w:r>
      <w:r>
        <w:rPr>
          <w:sz w:val="26"/>
        </w:rPr>
        <w:t>, México, Editorial</w:t>
      </w:r>
      <w:r>
        <w:rPr>
          <w:spacing w:val="-12"/>
          <w:sz w:val="26"/>
        </w:rPr>
        <w:t> </w:t>
      </w:r>
      <w:r>
        <w:rPr>
          <w:sz w:val="26"/>
        </w:rPr>
        <w:t>INEGI.</w:t>
      </w:r>
    </w:p>
    <w:p>
      <w:pPr>
        <w:pStyle w:val="BodyText"/>
        <w:spacing w:before="2"/>
      </w:pPr>
    </w:p>
    <w:p>
      <w:pPr>
        <w:spacing w:before="0"/>
        <w:ind w:left="116" w:right="115" w:firstLine="0"/>
        <w:jc w:val="both"/>
        <w:rPr>
          <w:sz w:val="26"/>
        </w:rPr>
      </w:pPr>
      <w:r>
        <w:rPr>
          <w:sz w:val="26"/>
        </w:rPr>
        <w:t>Jetten, V., 2002: </w:t>
      </w:r>
      <w:r>
        <w:rPr>
          <w:i/>
          <w:sz w:val="26"/>
        </w:rPr>
        <w:t>User Manual of the Limburg Soil Erosion Model (LISEM), </w:t>
      </w:r>
      <w:r>
        <w:rPr>
          <w:sz w:val="26"/>
        </w:rPr>
        <w:t>The Netherlands: Editorial Utrecht University.</w:t>
      </w:r>
    </w:p>
    <w:p>
      <w:pPr>
        <w:pStyle w:val="BodyText"/>
        <w:spacing w:before="2"/>
      </w:pPr>
    </w:p>
    <w:p>
      <w:pPr>
        <w:spacing w:before="0"/>
        <w:ind w:left="116" w:right="117" w:firstLine="0"/>
        <w:jc w:val="both"/>
        <w:rPr>
          <w:sz w:val="26"/>
        </w:rPr>
      </w:pPr>
      <w:r>
        <w:rPr>
          <w:sz w:val="26"/>
        </w:rPr>
        <w:t>Jouravlev, A., 2001: “Administración del agua en América Latina y el Caribe en el</w:t>
      </w:r>
      <w:r>
        <w:rPr>
          <w:spacing w:val="-32"/>
          <w:sz w:val="26"/>
        </w:rPr>
        <w:t> </w:t>
      </w:r>
      <w:r>
        <w:rPr>
          <w:sz w:val="26"/>
        </w:rPr>
        <w:t>umbral del siglo XXI” en </w:t>
      </w:r>
      <w:r>
        <w:rPr>
          <w:i/>
          <w:sz w:val="26"/>
        </w:rPr>
        <w:t>Revista Naciones Unidas / CEPAL </w:t>
      </w:r>
      <w:r>
        <w:rPr>
          <w:sz w:val="26"/>
        </w:rPr>
        <w:t>77 </w:t>
      </w:r>
      <w:r>
        <w:rPr>
          <w:i/>
          <w:sz w:val="26"/>
        </w:rPr>
        <w:t>p. (Serie de Recursos Naturales e </w:t>
      </w:r>
      <w:r>
        <w:rPr>
          <w:i/>
          <w:sz w:val="26"/>
        </w:rPr>
        <w:t>Infraestructura 27)</w:t>
      </w:r>
      <w:r>
        <w:rPr>
          <w:sz w:val="26"/>
        </w:rPr>
        <w:t>, Santiago de Chile:</w:t>
      </w:r>
      <w:r>
        <w:rPr>
          <w:spacing w:val="-13"/>
          <w:sz w:val="26"/>
        </w:rPr>
        <w:t> </w:t>
      </w:r>
      <w:r>
        <w:rPr>
          <w:sz w:val="26"/>
        </w:rPr>
        <w:t>ONU-CEPAL.</w:t>
      </w:r>
    </w:p>
    <w:p>
      <w:pPr>
        <w:pStyle w:val="BodyText"/>
        <w:spacing w:before="2"/>
      </w:pPr>
    </w:p>
    <w:p>
      <w:pPr>
        <w:spacing w:line="240" w:lineRule="auto" w:before="0"/>
        <w:ind w:left="116" w:right="118" w:firstLine="0"/>
        <w:jc w:val="both"/>
        <w:rPr>
          <w:sz w:val="26"/>
        </w:rPr>
      </w:pPr>
      <w:r>
        <w:rPr>
          <w:sz w:val="26"/>
        </w:rPr>
        <w:t>Kühnle,</w:t>
      </w:r>
      <w:r>
        <w:rPr>
          <w:spacing w:val="-14"/>
          <w:sz w:val="26"/>
        </w:rPr>
        <w:t> </w:t>
      </w:r>
      <w:r>
        <w:rPr>
          <w:sz w:val="26"/>
        </w:rPr>
        <w:t>R.A.,</w:t>
      </w:r>
      <w:r>
        <w:rPr>
          <w:spacing w:val="-15"/>
          <w:sz w:val="26"/>
        </w:rPr>
        <w:t> </w:t>
      </w:r>
      <w:r>
        <w:rPr>
          <w:sz w:val="26"/>
        </w:rPr>
        <w:t>R.L.</w:t>
      </w:r>
      <w:r>
        <w:rPr>
          <w:spacing w:val="-15"/>
          <w:sz w:val="26"/>
        </w:rPr>
        <w:t> </w:t>
      </w:r>
      <w:r>
        <w:rPr>
          <w:sz w:val="26"/>
        </w:rPr>
        <w:t>Binger,</w:t>
      </w:r>
      <w:r>
        <w:rPr>
          <w:spacing w:val="-14"/>
          <w:sz w:val="26"/>
        </w:rPr>
        <w:t> </w:t>
      </w:r>
      <w:r>
        <w:rPr>
          <w:sz w:val="26"/>
        </w:rPr>
        <w:t>G.R.</w:t>
      </w:r>
      <w:r>
        <w:rPr>
          <w:spacing w:val="-19"/>
          <w:sz w:val="26"/>
        </w:rPr>
        <w:t> </w:t>
      </w:r>
      <w:r>
        <w:rPr>
          <w:sz w:val="26"/>
        </w:rPr>
        <w:t>Foster</w:t>
      </w:r>
      <w:r>
        <w:rPr>
          <w:spacing w:val="-17"/>
          <w:sz w:val="26"/>
        </w:rPr>
        <w:t> </w:t>
      </w:r>
      <w:r>
        <w:rPr>
          <w:sz w:val="26"/>
        </w:rPr>
        <w:t>y</w:t>
      </w:r>
      <w:r>
        <w:rPr>
          <w:spacing w:val="-17"/>
          <w:sz w:val="26"/>
        </w:rPr>
        <w:t> </w:t>
      </w:r>
      <w:r>
        <w:rPr>
          <w:sz w:val="26"/>
        </w:rPr>
        <w:t>E.H.</w:t>
      </w:r>
      <w:r>
        <w:rPr>
          <w:spacing w:val="-24"/>
          <w:sz w:val="26"/>
        </w:rPr>
        <w:t> </w:t>
      </w:r>
      <w:r>
        <w:rPr>
          <w:sz w:val="26"/>
        </w:rPr>
        <w:t>Grissinger,</w:t>
      </w:r>
      <w:r>
        <w:rPr>
          <w:spacing w:val="-14"/>
          <w:sz w:val="26"/>
        </w:rPr>
        <w:t> </w:t>
      </w:r>
      <w:r>
        <w:rPr>
          <w:sz w:val="26"/>
        </w:rPr>
        <w:t>1996:</w:t>
      </w:r>
      <w:r>
        <w:rPr>
          <w:spacing w:val="-17"/>
          <w:sz w:val="26"/>
        </w:rPr>
        <w:t> </w:t>
      </w:r>
      <w:r>
        <w:rPr>
          <w:sz w:val="26"/>
        </w:rPr>
        <w:t>“Effect</w:t>
      </w:r>
      <w:r>
        <w:rPr>
          <w:spacing w:val="-16"/>
          <w:sz w:val="26"/>
        </w:rPr>
        <w:t> </w:t>
      </w:r>
      <w:r>
        <w:rPr>
          <w:sz w:val="26"/>
        </w:rPr>
        <w:t>of</w:t>
      </w:r>
      <w:r>
        <w:rPr>
          <w:spacing w:val="-17"/>
          <w:sz w:val="26"/>
        </w:rPr>
        <w:t> </w:t>
      </w:r>
      <w:r>
        <w:rPr>
          <w:sz w:val="26"/>
        </w:rPr>
        <w:t>land</w:t>
      </w:r>
      <w:r>
        <w:rPr>
          <w:spacing w:val="-17"/>
          <w:sz w:val="26"/>
        </w:rPr>
        <w:t> </w:t>
      </w:r>
      <w:r>
        <w:rPr>
          <w:sz w:val="26"/>
        </w:rPr>
        <w:t>use</w:t>
      </w:r>
      <w:r>
        <w:rPr>
          <w:spacing w:val="-17"/>
          <w:sz w:val="26"/>
        </w:rPr>
        <w:t> </w:t>
      </w:r>
      <w:r>
        <w:rPr>
          <w:sz w:val="26"/>
        </w:rPr>
        <w:t>changes on sediment transport in Goodwin Creek” </w:t>
      </w:r>
      <w:r>
        <w:rPr>
          <w:i/>
          <w:sz w:val="26"/>
        </w:rPr>
        <w:t>en Revista Water Resources Research 32(10) </w:t>
      </w:r>
      <w:r>
        <w:rPr>
          <w:i/>
          <w:sz w:val="26"/>
        </w:rPr>
        <w:t>3189-3196</w:t>
      </w:r>
      <w:r>
        <w:rPr>
          <w:sz w:val="26"/>
        </w:rPr>
        <w:t>,</w:t>
      </w:r>
      <w:r>
        <w:rPr>
          <w:spacing w:val="-8"/>
          <w:sz w:val="26"/>
        </w:rPr>
        <w:t> </w:t>
      </w:r>
      <w:r>
        <w:rPr>
          <w:sz w:val="26"/>
        </w:rPr>
        <w:t>EUA.</w:t>
      </w:r>
    </w:p>
    <w:p>
      <w:pPr>
        <w:pStyle w:val="BodyText"/>
        <w:spacing w:before="8"/>
        <w:rPr>
          <w:sz w:val="25"/>
        </w:rPr>
      </w:pPr>
    </w:p>
    <w:p>
      <w:pPr>
        <w:spacing w:before="0"/>
        <w:ind w:left="116" w:right="111" w:firstLine="0"/>
        <w:jc w:val="both"/>
        <w:rPr>
          <w:sz w:val="26"/>
        </w:rPr>
      </w:pPr>
      <w:r>
        <w:rPr>
          <w:sz w:val="26"/>
        </w:rPr>
        <w:t>Lal, R. y B.A. Stewart, 1990: “Soil degradation. A global Threat” </w:t>
      </w:r>
      <w:r>
        <w:rPr>
          <w:i/>
          <w:sz w:val="26"/>
        </w:rPr>
        <w:t>en Revista Advance in </w:t>
      </w:r>
      <w:r>
        <w:rPr>
          <w:i/>
          <w:sz w:val="26"/>
        </w:rPr>
        <w:t>Soil Science, 11,3-17</w:t>
      </w:r>
      <w:r>
        <w:rPr>
          <w:sz w:val="26"/>
        </w:rPr>
        <w:t>, EUA.</w:t>
      </w:r>
    </w:p>
    <w:p>
      <w:pPr>
        <w:spacing w:after="0"/>
        <w:jc w:val="both"/>
        <w:rPr>
          <w:sz w:val="26"/>
        </w:rPr>
        <w:sectPr>
          <w:pgSz w:w="12240" w:h="15840"/>
          <w:pgMar w:header="0" w:footer="1473" w:top="1360" w:bottom="1660" w:left="1300" w:right="1300"/>
        </w:sectPr>
      </w:pPr>
    </w:p>
    <w:p>
      <w:pPr>
        <w:pStyle w:val="BodyText"/>
        <w:spacing w:before="7"/>
        <w:rPr>
          <w:sz w:val="12"/>
        </w:rPr>
      </w:pPr>
    </w:p>
    <w:p>
      <w:pPr>
        <w:pStyle w:val="BodyText"/>
        <w:spacing w:before="66"/>
        <w:ind w:left="116" w:right="117"/>
        <w:jc w:val="both"/>
      </w:pPr>
      <w:r>
        <w:rPr/>
        <w:t>Lane, L.J., 1983: “On the subject of a flood propagation method” in Hydraulics Research 7(2):205-230.</w:t>
      </w:r>
    </w:p>
    <w:p>
      <w:pPr>
        <w:pStyle w:val="BodyText"/>
        <w:spacing w:before="2"/>
      </w:pPr>
    </w:p>
    <w:p>
      <w:pPr>
        <w:spacing w:before="0"/>
        <w:ind w:left="116" w:right="115" w:firstLine="0"/>
        <w:jc w:val="both"/>
        <w:rPr>
          <w:sz w:val="26"/>
        </w:rPr>
      </w:pPr>
      <w:r>
        <w:rPr>
          <w:sz w:val="26"/>
        </w:rPr>
        <w:t>Linsley</w:t>
      </w:r>
      <w:r>
        <w:rPr>
          <w:spacing w:val="-11"/>
          <w:sz w:val="26"/>
        </w:rPr>
        <w:t> </w:t>
      </w:r>
      <w:r>
        <w:rPr>
          <w:sz w:val="26"/>
        </w:rPr>
        <w:t>K.,</w:t>
      </w:r>
      <w:r>
        <w:rPr>
          <w:spacing w:val="-10"/>
          <w:sz w:val="26"/>
        </w:rPr>
        <w:t> </w:t>
      </w:r>
      <w:r>
        <w:rPr>
          <w:spacing w:val="-3"/>
          <w:sz w:val="26"/>
        </w:rPr>
        <w:t>A.</w:t>
      </w:r>
      <w:r>
        <w:rPr>
          <w:spacing w:val="-10"/>
          <w:sz w:val="26"/>
        </w:rPr>
        <w:t> </w:t>
      </w:r>
      <w:r>
        <w:rPr>
          <w:sz w:val="26"/>
        </w:rPr>
        <w:t>Kohler</w:t>
      </w:r>
      <w:r>
        <w:rPr>
          <w:spacing w:val="-11"/>
          <w:sz w:val="26"/>
        </w:rPr>
        <w:t> </w:t>
      </w:r>
      <w:r>
        <w:rPr>
          <w:sz w:val="26"/>
        </w:rPr>
        <w:t>y</w:t>
      </w:r>
      <w:r>
        <w:rPr>
          <w:spacing w:val="-11"/>
          <w:sz w:val="26"/>
        </w:rPr>
        <w:t> </w:t>
      </w:r>
      <w:r>
        <w:rPr>
          <w:sz w:val="26"/>
        </w:rPr>
        <w:t>L.H.</w:t>
      </w:r>
      <w:r>
        <w:rPr>
          <w:spacing w:val="-10"/>
          <w:sz w:val="26"/>
        </w:rPr>
        <w:t> </w:t>
      </w:r>
      <w:r>
        <w:rPr>
          <w:sz w:val="26"/>
        </w:rPr>
        <w:t>Paulhus,</w:t>
      </w:r>
      <w:r>
        <w:rPr>
          <w:spacing w:val="-13"/>
          <w:sz w:val="26"/>
        </w:rPr>
        <w:t> </w:t>
      </w:r>
      <w:r>
        <w:rPr>
          <w:sz w:val="26"/>
        </w:rPr>
        <w:t>1990:</w:t>
      </w:r>
      <w:r>
        <w:rPr>
          <w:spacing w:val="-8"/>
          <w:sz w:val="26"/>
        </w:rPr>
        <w:t> </w:t>
      </w:r>
      <w:r>
        <w:rPr>
          <w:i/>
          <w:sz w:val="26"/>
        </w:rPr>
        <w:t>Hidrología</w:t>
      </w:r>
      <w:r>
        <w:rPr>
          <w:i/>
          <w:spacing w:val="-11"/>
          <w:sz w:val="26"/>
        </w:rPr>
        <w:t> </w:t>
      </w:r>
      <w:r>
        <w:rPr>
          <w:i/>
          <w:sz w:val="26"/>
        </w:rPr>
        <w:t>para</w:t>
      </w:r>
      <w:r>
        <w:rPr>
          <w:i/>
          <w:spacing w:val="-11"/>
          <w:sz w:val="26"/>
        </w:rPr>
        <w:t> </w:t>
      </w:r>
      <w:r>
        <w:rPr>
          <w:i/>
          <w:sz w:val="26"/>
        </w:rPr>
        <w:t>ingenieros</w:t>
      </w:r>
      <w:r>
        <w:rPr>
          <w:sz w:val="26"/>
        </w:rPr>
        <w:t>,</w:t>
      </w:r>
      <w:r>
        <w:rPr>
          <w:spacing w:val="-10"/>
          <w:sz w:val="26"/>
        </w:rPr>
        <w:t> </w:t>
      </w:r>
      <w:r>
        <w:rPr>
          <w:sz w:val="26"/>
        </w:rPr>
        <w:t>México:</w:t>
      </w:r>
      <w:r>
        <w:rPr>
          <w:spacing w:val="-11"/>
          <w:sz w:val="26"/>
        </w:rPr>
        <w:t> </w:t>
      </w:r>
      <w:r>
        <w:rPr>
          <w:sz w:val="26"/>
        </w:rPr>
        <w:t>Editorial McGraw-Hill.</w:t>
      </w:r>
    </w:p>
    <w:p>
      <w:pPr>
        <w:pStyle w:val="BodyText"/>
        <w:spacing w:before="8"/>
        <w:rPr>
          <w:sz w:val="25"/>
        </w:rPr>
      </w:pPr>
    </w:p>
    <w:p>
      <w:pPr>
        <w:spacing w:line="240" w:lineRule="auto" w:before="0"/>
        <w:ind w:left="116" w:right="111" w:firstLine="0"/>
        <w:jc w:val="both"/>
        <w:rPr>
          <w:sz w:val="26"/>
        </w:rPr>
      </w:pPr>
      <w:r>
        <w:rPr>
          <w:sz w:val="26"/>
        </w:rPr>
        <w:t>Loredo, O., S. Beltrán, F. Moreno y M. Casiano, 2007: </w:t>
      </w:r>
      <w:r>
        <w:rPr>
          <w:i/>
          <w:sz w:val="26"/>
        </w:rPr>
        <w:t>Riesgo a la erosión hídrica y </w:t>
      </w:r>
      <w:r>
        <w:rPr>
          <w:i/>
          <w:sz w:val="26"/>
        </w:rPr>
        <w:t>proyección de acciones de manejo y conservación del suelo en 32 microcuencas de San Luis Potosí</w:t>
      </w:r>
      <w:r>
        <w:rPr>
          <w:sz w:val="26"/>
        </w:rPr>
        <w:t>, México: Editorial SAGARPA, inifap, CONACYT y CONAFOR.</w:t>
      </w:r>
    </w:p>
    <w:p>
      <w:pPr>
        <w:pStyle w:val="BodyText"/>
        <w:spacing w:before="2"/>
      </w:pPr>
    </w:p>
    <w:p>
      <w:pPr>
        <w:spacing w:before="0"/>
        <w:ind w:left="116" w:right="109" w:firstLine="0"/>
        <w:jc w:val="both"/>
        <w:rPr>
          <w:sz w:val="26"/>
        </w:rPr>
      </w:pPr>
      <w:r>
        <w:rPr>
          <w:sz w:val="26"/>
        </w:rPr>
        <w:t>Ma, L., J.C. Ascough II, L.R. Ahuja, M.J. Shaffer, J.D. Hanson y K.W. Rojas, 2000: </w:t>
      </w:r>
      <w:r>
        <w:rPr>
          <w:i/>
          <w:sz w:val="26"/>
        </w:rPr>
        <w:t>Root </w:t>
      </w:r>
      <w:r>
        <w:rPr>
          <w:i/>
          <w:sz w:val="26"/>
        </w:rPr>
        <w:t>Zone Water Quality Model sensitivity analysis using Monte Carlo simulation</w:t>
      </w:r>
      <w:r>
        <w:rPr>
          <w:sz w:val="26"/>
        </w:rPr>
        <w:t>, EUA: Editorial Trans. ASAE 43(4).</w:t>
      </w:r>
    </w:p>
    <w:p>
      <w:pPr>
        <w:pStyle w:val="BodyText"/>
        <w:spacing w:before="2"/>
      </w:pPr>
    </w:p>
    <w:p>
      <w:pPr>
        <w:spacing w:before="0"/>
        <w:ind w:left="116" w:right="110" w:firstLine="0"/>
        <w:jc w:val="both"/>
        <w:rPr>
          <w:sz w:val="26"/>
        </w:rPr>
      </w:pPr>
      <w:r>
        <w:rPr>
          <w:sz w:val="26"/>
        </w:rPr>
        <w:t>Maas, M., 2005: </w:t>
      </w:r>
      <w:r>
        <w:rPr>
          <w:i/>
          <w:sz w:val="26"/>
        </w:rPr>
        <w:t>Principios Generales sobre Manejo de Ecosistemas</w:t>
      </w:r>
      <w:r>
        <w:rPr>
          <w:sz w:val="26"/>
        </w:rPr>
        <w:t>, México: Editorial Centro de Investigaciones en Ecosistemas, UNAM.</w:t>
      </w:r>
    </w:p>
    <w:p>
      <w:pPr>
        <w:pStyle w:val="BodyText"/>
        <w:spacing w:before="2"/>
      </w:pPr>
    </w:p>
    <w:p>
      <w:pPr>
        <w:spacing w:before="0"/>
        <w:ind w:left="116" w:right="116" w:firstLine="0"/>
        <w:jc w:val="both"/>
        <w:rPr>
          <w:sz w:val="26"/>
        </w:rPr>
      </w:pPr>
      <w:r>
        <w:rPr>
          <w:sz w:val="26"/>
        </w:rPr>
        <w:t>Machado, R.E., 2002: </w:t>
      </w:r>
      <w:r>
        <w:rPr>
          <w:i/>
          <w:sz w:val="26"/>
        </w:rPr>
        <w:t>Simulação de escoamento e de produção de sedimentos em uma </w:t>
      </w:r>
      <w:r>
        <w:rPr>
          <w:i/>
          <w:sz w:val="26"/>
        </w:rPr>
        <w:t>microbacia hidrográfica utilizando técnicas de modelagem e geoprocessamento</w:t>
      </w:r>
      <w:r>
        <w:rPr>
          <w:sz w:val="26"/>
        </w:rPr>
        <w:t>, Brasil: Tese (Doutorado em Irrigação e Drenagem), Escola Superior de Agricultura Luiz de Queiroz, Universidade de São Paulo.</w:t>
      </w:r>
    </w:p>
    <w:p>
      <w:pPr>
        <w:pStyle w:val="BodyText"/>
        <w:spacing w:before="2"/>
      </w:pPr>
    </w:p>
    <w:p>
      <w:pPr>
        <w:pStyle w:val="BodyText"/>
        <w:ind w:left="116" w:right="110"/>
        <w:jc w:val="both"/>
      </w:pPr>
      <w:r>
        <w:rPr/>
        <w:t>Machado, R.E., C.A. Vettorazzi y A.C. Xavier, 2003: “Simulacâo de cenários alternativos de uso da tierra em uma microbacia utilizando técnicas de modelagem e geoprocessamiento” en </w:t>
      </w:r>
      <w:r>
        <w:rPr>
          <w:i/>
        </w:rPr>
        <w:t>Revista Basilerira de Ciência do Solo </w:t>
      </w:r>
      <w:r>
        <w:rPr/>
        <w:t>vol. 27</w:t>
      </w:r>
      <w:r>
        <w:rPr>
          <w:i/>
        </w:rPr>
        <w:t>, núm, 4</w:t>
      </w:r>
      <w:r>
        <w:rPr/>
        <w:t>, Brasil: Sociedade Brasileira de Ciência do Solo.</w:t>
      </w:r>
    </w:p>
    <w:p>
      <w:pPr>
        <w:pStyle w:val="BodyText"/>
        <w:spacing w:before="8"/>
        <w:rPr>
          <w:sz w:val="25"/>
        </w:rPr>
      </w:pPr>
    </w:p>
    <w:p>
      <w:pPr>
        <w:spacing w:line="242" w:lineRule="auto" w:before="0"/>
        <w:ind w:left="116" w:right="115" w:firstLine="0"/>
        <w:jc w:val="both"/>
        <w:rPr>
          <w:sz w:val="26"/>
        </w:rPr>
      </w:pPr>
      <w:r>
        <w:rPr>
          <w:sz w:val="26"/>
        </w:rPr>
        <w:t>Maderey, L.E., 1977: </w:t>
      </w:r>
      <w:r>
        <w:rPr>
          <w:i/>
          <w:sz w:val="26"/>
        </w:rPr>
        <w:t>El agua de escurrimiento en la República Mexicana</w:t>
      </w:r>
      <w:r>
        <w:rPr>
          <w:sz w:val="26"/>
        </w:rPr>
        <w:t>, México: Universidad Nacional Autónoma de México.</w:t>
      </w:r>
    </w:p>
    <w:p>
      <w:pPr>
        <w:pStyle w:val="BodyText"/>
        <w:spacing w:before="6"/>
        <w:rPr>
          <w:sz w:val="25"/>
        </w:rPr>
      </w:pPr>
    </w:p>
    <w:p>
      <w:pPr>
        <w:spacing w:line="240" w:lineRule="auto" w:before="0"/>
        <w:ind w:left="116" w:right="111" w:firstLine="0"/>
        <w:jc w:val="both"/>
        <w:rPr>
          <w:sz w:val="26"/>
        </w:rPr>
      </w:pPr>
      <w:r>
        <w:rPr>
          <w:sz w:val="26"/>
        </w:rPr>
        <w:t>Mielniczuk,</w:t>
      </w:r>
      <w:r>
        <w:rPr>
          <w:spacing w:val="-13"/>
          <w:sz w:val="26"/>
        </w:rPr>
        <w:t> </w:t>
      </w:r>
      <w:r>
        <w:rPr>
          <w:sz w:val="26"/>
        </w:rPr>
        <w:t>J.</w:t>
      </w:r>
      <w:r>
        <w:rPr>
          <w:spacing w:val="-13"/>
          <w:sz w:val="26"/>
        </w:rPr>
        <w:t> </w:t>
      </w:r>
      <w:r>
        <w:rPr>
          <w:sz w:val="26"/>
        </w:rPr>
        <w:t>y</w:t>
      </w:r>
      <w:r>
        <w:rPr>
          <w:spacing w:val="-15"/>
          <w:sz w:val="26"/>
        </w:rPr>
        <w:t> </w:t>
      </w:r>
      <w:r>
        <w:rPr>
          <w:spacing w:val="-3"/>
          <w:sz w:val="26"/>
        </w:rPr>
        <w:t>P.</w:t>
      </w:r>
      <w:r>
        <w:rPr>
          <w:spacing w:val="-13"/>
          <w:sz w:val="26"/>
        </w:rPr>
        <w:t> </w:t>
      </w:r>
      <w:r>
        <w:rPr>
          <w:sz w:val="26"/>
        </w:rPr>
        <w:t>Schneider,</w:t>
      </w:r>
      <w:r>
        <w:rPr>
          <w:spacing w:val="-12"/>
          <w:sz w:val="26"/>
        </w:rPr>
        <w:t> </w:t>
      </w:r>
      <w:r>
        <w:rPr>
          <w:sz w:val="26"/>
        </w:rPr>
        <w:t>1984:</w:t>
      </w:r>
      <w:r>
        <w:rPr>
          <w:spacing w:val="-15"/>
          <w:sz w:val="26"/>
        </w:rPr>
        <w:t> </w:t>
      </w:r>
      <w:r>
        <w:rPr>
          <w:sz w:val="26"/>
        </w:rPr>
        <w:t>“Aspectos</w:t>
      </w:r>
      <w:r>
        <w:rPr>
          <w:spacing w:val="-11"/>
          <w:sz w:val="26"/>
        </w:rPr>
        <w:t> </w:t>
      </w:r>
      <w:r>
        <w:rPr>
          <w:sz w:val="26"/>
        </w:rPr>
        <w:t>sócioeconômicos</w:t>
      </w:r>
      <w:r>
        <w:rPr>
          <w:spacing w:val="-15"/>
          <w:sz w:val="26"/>
        </w:rPr>
        <w:t> </w:t>
      </w:r>
      <w:r>
        <w:rPr>
          <w:sz w:val="26"/>
        </w:rPr>
        <w:t>do</w:t>
      </w:r>
      <w:r>
        <w:rPr>
          <w:spacing w:val="-11"/>
          <w:sz w:val="26"/>
        </w:rPr>
        <w:t> </w:t>
      </w:r>
      <w:r>
        <w:rPr>
          <w:sz w:val="26"/>
        </w:rPr>
        <w:t>manejo</w:t>
      </w:r>
      <w:r>
        <w:rPr>
          <w:spacing w:val="-14"/>
          <w:sz w:val="26"/>
        </w:rPr>
        <w:t> </w:t>
      </w:r>
      <w:r>
        <w:rPr>
          <w:sz w:val="26"/>
        </w:rPr>
        <w:t>de</w:t>
      </w:r>
      <w:r>
        <w:rPr>
          <w:spacing w:val="-15"/>
          <w:sz w:val="26"/>
        </w:rPr>
        <w:t> </w:t>
      </w:r>
      <w:r>
        <w:rPr>
          <w:sz w:val="26"/>
        </w:rPr>
        <w:t>solos</w:t>
      </w:r>
      <w:r>
        <w:rPr>
          <w:spacing w:val="-15"/>
          <w:sz w:val="26"/>
        </w:rPr>
        <w:t> </w:t>
      </w:r>
      <w:r>
        <w:rPr>
          <w:sz w:val="26"/>
        </w:rPr>
        <w:t>no</w:t>
      </w:r>
      <w:r>
        <w:rPr>
          <w:spacing w:val="-15"/>
          <w:sz w:val="26"/>
        </w:rPr>
        <w:t> </w:t>
      </w:r>
      <w:r>
        <w:rPr>
          <w:sz w:val="26"/>
        </w:rPr>
        <w:t>sul do Brasil” en </w:t>
      </w:r>
      <w:r>
        <w:rPr>
          <w:i/>
          <w:sz w:val="26"/>
        </w:rPr>
        <w:t>I Simpósio de manejo do solo e plantio direto no sul </w:t>
      </w:r>
      <w:r>
        <w:rPr>
          <w:i/>
          <w:spacing w:val="2"/>
          <w:sz w:val="26"/>
        </w:rPr>
        <w:t>do </w:t>
      </w:r>
      <w:r>
        <w:rPr>
          <w:i/>
          <w:sz w:val="26"/>
        </w:rPr>
        <w:t>Brasil e III</w:t>
      </w:r>
      <w:r>
        <w:rPr>
          <w:i/>
          <w:spacing w:val="-23"/>
          <w:sz w:val="26"/>
        </w:rPr>
        <w:t> </w:t>
      </w:r>
      <w:r>
        <w:rPr>
          <w:i/>
          <w:sz w:val="26"/>
        </w:rPr>
        <w:t>Simpósio </w:t>
      </w:r>
      <w:r>
        <w:rPr>
          <w:i/>
          <w:sz w:val="26"/>
        </w:rPr>
        <w:t>de conservação de solos do planalto, Passo Fundo, RS</w:t>
      </w:r>
      <w:r>
        <w:rPr>
          <w:sz w:val="26"/>
        </w:rPr>
        <w:t>., Anais: Editorial Univeridad de Passo</w:t>
      </w:r>
      <w:r>
        <w:rPr>
          <w:spacing w:val="-4"/>
          <w:sz w:val="26"/>
        </w:rPr>
        <w:t> </w:t>
      </w:r>
      <w:r>
        <w:rPr>
          <w:sz w:val="26"/>
        </w:rPr>
        <w:t>Fundo.</w:t>
      </w:r>
    </w:p>
    <w:p>
      <w:pPr>
        <w:pStyle w:val="BodyText"/>
        <w:spacing w:before="2"/>
      </w:pPr>
    </w:p>
    <w:p>
      <w:pPr>
        <w:spacing w:line="240" w:lineRule="auto" w:before="0"/>
        <w:ind w:left="116" w:right="112" w:firstLine="0"/>
        <w:jc w:val="both"/>
        <w:rPr>
          <w:sz w:val="26"/>
        </w:rPr>
      </w:pPr>
      <w:r>
        <w:rPr>
          <w:sz w:val="26"/>
        </w:rPr>
        <w:t>Minoti,</w:t>
      </w:r>
      <w:r>
        <w:rPr>
          <w:spacing w:val="-3"/>
          <w:sz w:val="26"/>
        </w:rPr>
        <w:t> </w:t>
      </w:r>
      <w:r>
        <w:rPr>
          <w:sz w:val="26"/>
        </w:rPr>
        <w:t>R.T.,</w:t>
      </w:r>
      <w:r>
        <w:rPr>
          <w:spacing w:val="-7"/>
          <w:sz w:val="26"/>
        </w:rPr>
        <w:t> </w:t>
      </w:r>
      <w:r>
        <w:rPr>
          <w:sz w:val="26"/>
        </w:rPr>
        <w:t>2006:</w:t>
      </w:r>
      <w:r>
        <w:rPr>
          <w:spacing w:val="-3"/>
          <w:sz w:val="26"/>
        </w:rPr>
        <w:t> </w:t>
      </w:r>
      <w:r>
        <w:rPr>
          <w:i/>
          <w:sz w:val="26"/>
        </w:rPr>
        <w:t>Abordagens</w:t>
      </w:r>
      <w:r>
        <w:rPr>
          <w:i/>
          <w:spacing w:val="-6"/>
          <w:sz w:val="26"/>
        </w:rPr>
        <w:t> </w:t>
      </w:r>
      <w:r>
        <w:rPr>
          <w:i/>
          <w:sz w:val="26"/>
        </w:rPr>
        <w:t>qualitativa</w:t>
      </w:r>
      <w:r>
        <w:rPr>
          <w:i/>
          <w:spacing w:val="-5"/>
          <w:sz w:val="26"/>
        </w:rPr>
        <w:t> </w:t>
      </w:r>
      <w:r>
        <w:rPr>
          <w:i/>
          <w:sz w:val="26"/>
        </w:rPr>
        <w:t>e</w:t>
      </w:r>
      <w:r>
        <w:rPr>
          <w:i/>
          <w:spacing w:val="-5"/>
          <w:sz w:val="26"/>
        </w:rPr>
        <w:t> </w:t>
      </w:r>
      <w:r>
        <w:rPr>
          <w:i/>
          <w:sz w:val="26"/>
        </w:rPr>
        <w:t>quantitativa</w:t>
      </w:r>
      <w:r>
        <w:rPr>
          <w:i/>
          <w:spacing w:val="-5"/>
          <w:sz w:val="26"/>
        </w:rPr>
        <w:t> </w:t>
      </w:r>
      <w:r>
        <w:rPr>
          <w:i/>
          <w:sz w:val="26"/>
        </w:rPr>
        <w:t>de</w:t>
      </w:r>
      <w:r>
        <w:rPr>
          <w:i/>
          <w:spacing w:val="-5"/>
          <w:sz w:val="26"/>
        </w:rPr>
        <w:t> </w:t>
      </w:r>
      <w:r>
        <w:rPr>
          <w:i/>
          <w:sz w:val="26"/>
        </w:rPr>
        <w:t>micro-bacias</w:t>
      </w:r>
      <w:r>
        <w:rPr>
          <w:i/>
          <w:spacing w:val="-5"/>
          <w:sz w:val="26"/>
        </w:rPr>
        <w:t> </w:t>
      </w:r>
      <w:r>
        <w:rPr>
          <w:i/>
          <w:sz w:val="26"/>
        </w:rPr>
        <w:t>hidrográficas</w:t>
      </w:r>
      <w:r>
        <w:rPr>
          <w:i/>
          <w:spacing w:val="-5"/>
          <w:sz w:val="26"/>
        </w:rPr>
        <w:t> </w:t>
      </w:r>
      <w:r>
        <w:rPr>
          <w:i/>
          <w:sz w:val="26"/>
        </w:rPr>
        <w:t>e </w:t>
      </w:r>
      <w:r>
        <w:rPr>
          <w:i/>
          <w:sz w:val="26"/>
        </w:rPr>
        <w:t>áreas alagáveis de um compartimento do Médio Mogi-Superior/SP 231f</w:t>
      </w:r>
      <w:r>
        <w:rPr>
          <w:sz w:val="26"/>
        </w:rPr>
        <w:t>., Brasil: Tese (Doutorado em Ciências da Engenharia Ambiental), Escola de Engenharia de São Carlos, Universidade de São</w:t>
      </w:r>
      <w:r>
        <w:rPr>
          <w:spacing w:val="-9"/>
          <w:sz w:val="26"/>
        </w:rPr>
        <w:t> </w:t>
      </w:r>
      <w:r>
        <w:rPr>
          <w:sz w:val="26"/>
        </w:rPr>
        <w:t>Paulo.</w:t>
      </w:r>
    </w:p>
    <w:p>
      <w:pPr>
        <w:spacing w:after="0" w:line="240" w:lineRule="auto"/>
        <w:jc w:val="both"/>
        <w:rPr>
          <w:sz w:val="26"/>
        </w:rPr>
        <w:sectPr>
          <w:pgSz w:w="12240" w:h="15840"/>
          <w:pgMar w:header="0" w:footer="1473" w:top="1500" w:bottom="1660" w:left="1300" w:right="1300"/>
        </w:sectPr>
      </w:pPr>
    </w:p>
    <w:p>
      <w:pPr>
        <w:pStyle w:val="BodyText"/>
        <w:spacing w:line="278" w:lineRule="auto" w:before="49"/>
        <w:ind w:left="116" w:right="117"/>
        <w:jc w:val="both"/>
      </w:pPr>
      <w:r>
        <w:rPr/>
        <w:t>Mollard, E. y S. Vargas, 2005: Introducción, Problemas socio-ambientales y experiencias organizativas en las cuencas de México, México: Editorial IMTA-IRD.</w:t>
      </w:r>
    </w:p>
    <w:p>
      <w:pPr>
        <w:spacing w:line="242" w:lineRule="auto" w:before="198"/>
        <w:ind w:left="116" w:right="118" w:firstLine="0"/>
        <w:jc w:val="both"/>
        <w:rPr>
          <w:sz w:val="26"/>
        </w:rPr>
      </w:pPr>
      <w:r>
        <w:rPr>
          <w:sz w:val="26"/>
        </w:rPr>
        <w:t>Montenegro, H. y D. Malagon, 1990: </w:t>
      </w:r>
      <w:r>
        <w:rPr>
          <w:i/>
          <w:sz w:val="26"/>
        </w:rPr>
        <w:t>Propiedades físicas de los suelos</w:t>
      </w:r>
      <w:r>
        <w:rPr>
          <w:sz w:val="26"/>
        </w:rPr>
        <w:t>, Colombia; IGAC, Subdirección Agrológica, Instituto Geográfico.</w:t>
      </w:r>
    </w:p>
    <w:p>
      <w:pPr>
        <w:pStyle w:val="BodyText"/>
        <w:spacing w:before="5"/>
        <w:rPr>
          <w:sz w:val="25"/>
        </w:rPr>
      </w:pPr>
    </w:p>
    <w:p>
      <w:pPr>
        <w:spacing w:before="1"/>
        <w:ind w:left="116" w:right="115" w:firstLine="0"/>
        <w:jc w:val="both"/>
        <w:rPr>
          <w:sz w:val="26"/>
        </w:rPr>
      </w:pPr>
      <w:r>
        <w:rPr>
          <w:sz w:val="26"/>
        </w:rPr>
        <w:t>Nadal,</w:t>
      </w:r>
      <w:r>
        <w:rPr>
          <w:spacing w:val="-14"/>
          <w:sz w:val="26"/>
        </w:rPr>
        <w:t> </w:t>
      </w:r>
      <w:r>
        <w:rPr>
          <w:sz w:val="26"/>
        </w:rPr>
        <w:t>E.,</w:t>
      </w:r>
      <w:r>
        <w:rPr>
          <w:spacing w:val="-14"/>
          <w:sz w:val="26"/>
        </w:rPr>
        <w:t> </w:t>
      </w:r>
      <w:r>
        <w:rPr>
          <w:sz w:val="26"/>
        </w:rPr>
        <w:t>1993:</w:t>
      </w:r>
      <w:r>
        <w:rPr>
          <w:spacing w:val="-16"/>
          <w:sz w:val="26"/>
        </w:rPr>
        <w:t> </w:t>
      </w:r>
      <w:r>
        <w:rPr>
          <w:i/>
          <w:sz w:val="26"/>
        </w:rPr>
        <w:t>Introducción</w:t>
      </w:r>
      <w:r>
        <w:rPr>
          <w:i/>
          <w:spacing w:val="-16"/>
          <w:sz w:val="26"/>
        </w:rPr>
        <w:t> </w:t>
      </w:r>
      <w:r>
        <w:rPr>
          <w:i/>
          <w:sz w:val="26"/>
        </w:rPr>
        <w:t>al</w:t>
      </w:r>
      <w:r>
        <w:rPr>
          <w:i/>
          <w:spacing w:val="-16"/>
          <w:sz w:val="26"/>
        </w:rPr>
        <w:t> </w:t>
      </w:r>
      <w:r>
        <w:rPr>
          <w:i/>
          <w:sz w:val="26"/>
        </w:rPr>
        <w:t>análisis</w:t>
      </w:r>
      <w:r>
        <w:rPr>
          <w:i/>
          <w:spacing w:val="-16"/>
          <w:sz w:val="26"/>
        </w:rPr>
        <w:t> </w:t>
      </w:r>
      <w:r>
        <w:rPr>
          <w:i/>
          <w:sz w:val="26"/>
        </w:rPr>
        <w:t>de</w:t>
      </w:r>
      <w:r>
        <w:rPr>
          <w:i/>
          <w:spacing w:val="-21"/>
          <w:sz w:val="26"/>
        </w:rPr>
        <w:t> </w:t>
      </w:r>
      <w:r>
        <w:rPr>
          <w:i/>
          <w:sz w:val="26"/>
        </w:rPr>
        <w:t>la</w:t>
      </w:r>
      <w:r>
        <w:rPr>
          <w:i/>
          <w:spacing w:val="-21"/>
          <w:sz w:val="26"/>
        </w:rPr>
        <w:t> </w:t>
      </w:r>
      <w:r>
        <w:rPr>
          <w:i/>
          <w:sz w:val="26"/>
        </w:rPr>
        <w:t>Planificación</w:t>
      </w:r>
      <w:r>
        <w:rPr>
          <w:i/>
          <w:spacing w:val="-14"/>
          <w:sz w:val="26"/>
        </w:rPr>
        <w:t> </w:t>
      </w:r>
      <w:r>
        <w:rPr>
          <w:i/>
          <w:sz w:val="26"/>
        </w:rPr>
        <w:t>Hidrológica</w:t>
      </w:r>
      <w:r>
        <w:rPr>
          <w:sz w:val="26"/>
        </w:rPr>
        <w:t>,</w:t>
      </w:r>
      <w:r>
        <w:rPr>
          <w:spacing w:val="-14"/>
          <w:sz w:val="26"/>
        </w:rPr>
        <w:t> </w:t>
      </w:r>
      <w:r>
        <w:rPr>
          <w:sz w:val="26"/>
        </w:rPr>
        <w:t>Madrid:</w:t>
      </w:r>
      <w:r>
        <w:rPr>
          <w:spacing w:val="-15"/>
          <w:sz w:val="26"/>
        </w:rPr>
        <w:t> </w:t>
      </w:r>
      <w:r>
        <w:rPr>
          <w:sz w:val="26"/>
        </w:rPr>
        <w:t>Editorial MOPT.</w:t>
      </w:r>
    </w:p>
    <w:p>
      <w:pPr>
        <w:pStyle w:val="BodyText"/>
        <w:spacing w:before="2"/>
      </w:pPr>
    </w:p>
    <w:p>
      <w:pPr>
        <w:spacing w:line="298" w:lineRule="exact" w:before="0"/>
        <w:ind w:left="116" w:right="0" w:firstLine="0"/>
        <w:jc w:val="both"/>
        <w:rPr>
          <w:i/>
          <w:sz w:val="26"/>
        </w:rPr>
      </w:pPr>
      <w:r>
        <w:rPr>
          <w:sz w:val="26"/>
        </w:rPr>
        <w:t>Nash, J.E. y J.E. Sutcliffe, 1970: </w:t>
      </w:r>
      <w:r>
        <w:rPr>
          <w:i/>
          <w:sz w:val="26"/>
        </w:rPr>
        <w:t>River flow forecasting through conceptual models: Part</w:t>
      </w:r>
    </w:p>
    <w:p>
      <w:pPr>
        <w:pStyle w:val="ListParagraph"/>
        <w:numPr>
          <w:ilvl w:val="0"/>
          <w:numId w:val="53"/>
        </w:numPr>
        <w:tabs>
          <w:tab w:pos="337" w:val="left" w:leader="none"/>
        </w:tabs>
        <w:spacing w:line="298" w:lineRule="exact" w:before="0" w:after="0"/>
        <w:ind w:left="336" w:right="0" w:hanging="220"/>
        <w:jc w:val="both"/>
        <w:rPr>
          <w:sz w:val="26"/>
        </w:rPr>
      </w:pPr>
      <w:r>
        <w:rPr>
          <w:i/>
          <w:sz w:val="26"/>
        </w:rPr>
        <w:t>A discussion of principles, </w:t>
      </w:r>
      <w:r>
        <w:rPr>
          <w:sz w:val="26"/>
        </w:rPr>
        <w:t>EUA: Editorial </w:t>
      </w:r>
      <w:r>
        <w:rPr>
          <w:i/>
          <w:sz w:val="26"/>
        </w:rPr>
        <w:t>J. Hydrol.</w:t>
      </w:r>
      <w:r>
        <w:rPr>
          <w:i/>
          <w:spacing w:val="-4"/>
          <w:sz w:val="26"/>
        </w:rPr>
        <w:t> </w:t>
      </w:r>
      <w:r>
        <w:rPr>
          <w:sz w:val="26"/>
        </w:rPr>
        <w:t>10(3).</w:t>
      </w:r>
    </w:p>
    <w:p>
      <w:pPr>
        <w:pStyle w:val="BodyText"/>
        <w:spacing w:before="2"/>
      </w:pPr>
    </w:p>
    <w:p>
      <w:pPr>
        <w:pStyle w:val="BodyText"/>
        <w:ind w:left="116" w:right="115"/>
        <w:jc w:val="both"/>
      </w:pPr>
      <w:r>
        <w:rPr/>
        <w:t>Neitsch, S.L., J.G. Arnold, J.R. Kiniry y J.R. Williams, 2005: Herramienta de Evaluación de Suelo y Agua, Documentación Teórica, Versión 2005, Texas: Editorial Agricultural Research Service.</w:t>
      </w:r>
    </w:p>
    <w:p>
      <w:pPr>
        <w:pStyle w:val="BodyText"/>
        <w:spacing w:before="2"/>
      </w:pPr>
    </w:p>
    <w:p>
      <w:pPr>
        <w:pStyle w:val="BodyText"/>
        <w:ind w:left="116" w:right="115"/>
        <w:jc w:val="both"/>
      </w:pPr>
      <w:r>
        <w:rPr/>
        <w:t>Nicks, A.D., 1974: “Stochasctic generation of the occurrence, pattern and location of máximum</w:t>
      </w:r>
      <w:r>
        <w:rPr>
          <w:spacing w:val="-17"/>
        </w:rPr>
        <w:t> </w:t>
      </w:r>
      <w:r>
        <w:rPr/>
        <w:t>amount</w:t>
      </w:r>
      <w:r>
        <w:rPr>
          <w:spacing w:val="-12"/>
        </w:rPr>
        <w:t> </w:t>
      </w:r>
      <w:r>
        <w:rPr/>
        <w:t>of</w:t>
      </w:r>
      <w:r>
        <w:rPr>
          <w:spacing w:val="-12"/>
        </w:rPr>
        <w:t> </w:t>
      </w:r>
      <w:r>
        <w:rPr/>
        <w:t>daily</w:t>
      </w:r>
      <w:r>
        <w:rPr>
          <w:spacing w:val="-12"/>
        </w:rPr>
        <w:t> </w:t>
      </w:r>
      <w:r>
        <w:rPr/>
        <w:t>rainfall”</w:t>
      </w:r>
      <w:r>
        <w:rPr>
          <w:spacing w:val="-12"/>
        </w:rPr>
        <w:t> </w:t>
      </w:r>
      <w:r>
        <w:rPr/>
        <w:t>in</w:t>
      </w:r>
      <w:r>
        <w:rPr>
          <w:spacing w:val="-12"/>
        </w:rPr>
        <w:t> </w:t>
      </w:r>
      <w:r>
        <w:rPr/>
        <w:t>Proc.</w:t>
      </w:r>
      <w:r>
        <w:rPr>
          <w:spacing w:val="-11"/>
        </w:rPr>
        <w:t> </w:t>
      </w:r>
      <w:r>
        <w:rPr/>
        <w:t>Symp.</w:t>
      </w:r>
      <w:r>
        <w:rPr>
          <w:spacing w:val="-11"/>
        </w:rPr>
        <w:t> </w:t>
      </w:r>
      <w:r>
        <w:rPr/>
        <w:t>Statistical</w:t>
      </w:r>
      <w:r>
        <w:rPr>
          <w:spacing w:val="-12"/>
        </w:rPr>
        <w:t> </w:t>
      </w:r>
      <w:r>
        <w:rPr/>
        <w:t>Hydrology,</w:t>
      </w:r>
      <w:r>
        <w:rPr>
          <w:spacing w:val="-11"/>
        </w:rPr>
        <w:t> </w:t>
      </w:r>
      <w:r>
        <w:rPr/>
        <w:t>Tucson,</w:t>
      </w:r>
      <w:r>
        <w:rPr>
          <w:spacing w:val="-11"/>
        </w:rPr>
        <w:t> </w:t>
      </w:r>
      <w:r>
        <w:rPr/>
        <w:t>Arizona.</w:t>
      </w:r>
    </w:p>
    <w:p>
      <w:pPr>
        <w:pStyle w:val="BodyText"/>
        <w:spacing w:before="2"/>
      </w:pPr>
    </w:p>
    <w:p>
      <w:pPr>
        <w:spacing w:before="0"/>
        <w:ind w:left="116" w:right="116" w:firstLine="0"/>
        <w:jc w:val="both"/>
        <w:rPr>
          <w:sz w:val="26"/>
        </w:rPr>
      </w:pPr>
      <w:r>
        <w:rPr>
          <w:sz w:val="26"/>
        </w:rPr>
        <w:t>Nicklow, J.W. y M.K. Muleta, 2005: “Sensitivity and uncertainty analysis coupled with automatic calibration for a distributed watershed model” en </w:t>
      </w:r>
      <w:r>
        <w:rPr>
          <w:i/>
          <w:sz w:val="26"/>
        </w:rPr>
        <w:t>Revista Journal of Hydrology </w:t>
      </w:r>
      <w:r>
        <w:rPr>
          <w:i/>
          <w:sz w:val="26"/>
        </w:rPr>
        <w:t>v. 306, p. 127–145</w:t>
      </w:r>
      <w:r>
        <w:rPr>
          <w:sz w:val="26"/>
        </w:rPr>
        <w:t>, EUA.</w:t>
      </w:r>
    </w:p>
    <w:p>
      <w:pPr>
        <w:pStyle w:val="BodyText"/>
        <w:spacing w:before="2"/>
      </w:pPr>
    </w:p>
    <w:p>
      <w:pPr>
        <w:spacing w:before="0"/>
        <w:ind w:left="116" w:right="0" w:firstLine="0"/>
        <w:jc w:val="both"/>
        <w:rPr>
          <w:sz w:val="26"/>
        </w:rPr>
      </w:pPr>
      <w:r>
        <w:rPr>
          <w:sz w:val="26"/>
        </w:rPr>
        <w:t>Narro, E., 1994: </w:t>
      </w:r>
      <w:r>
        <w:rPr>
          <w:i/>
          <w:sz w:val="26"/>
        </w:rPr>
        <w:t>Física de los suelos, con enfoque agrícola</w:t>
      </w:r>
      <w:r>
        <w:rPr>
          <w:sz w:val="26"/>
        </w:rPr>
        <w:t>, México: Editorial Trillas.</w:t>
      </w:r>
    </w:p>
    <w:p>
      <w:pPr>
        <w:pStyle w:val="BodyText"/>
        <w:spacing w:before="2"/>
      </w:pPr>
    </w:p>
    <w:p>
      <w:pPr>
        <w:spacing w:before="0"/>
        <w:ind w:left="116" w:right="113" w:firstLine="0"/>
        <w:jc w:val="both"/>
        <w:rPr>
          <w:sz w:val="26"/>
        </w:rPr>
      </w:pPr>
      <w:r>
        <w:rPr>
          <w:sz w:val="26"/>
        </w:rPr>
        <w:t>OEA, Organización de las Naciones Unidas, 1978: </w:t>
      </w:r>
      <w:r>
        <w:rPr>
          <w:i/>
          <w:sz w:val="26"/>
        </w:rPr>
        <w:t>Calidad ambiental y desarrollo de </w:t>
      </w:r>
      <w:r>
        <w:rPr>
          <w:i/>
          <w:sz w:val="26"/>
        </w:rPr>
        <w:t>cuencas hidrográficas: un modelo para planificación y análisis integrados</w:t>
      </w:r>
      <w:r>
        <w:rPr>
          <w:sz w:val="26"/>
        </w:rPr>
        <w:t>, Washington: Editorial Secretaría General de la OEA.</w:t>
      </w:r>
    </w:p>
    <w:p>
      <w:pPr>
        <w:pStyle w:val="BodyText"/>
        <w:spacing w:before="2"/>
      </w:pPr>
    </w:p>
    <w:p>
      <w:pPr>
        <w:spacing w:before="0"/>
        <w:ind w:left="116" w:right="113" w:firstLine="0"/>
        <w:jc w:val="both"/>
        <w:rPr>
          <w:sz w:val="26"/>
        </w:rPr>
      </w:pPr>
      <w:r>
        <w:rPr>
          <w:sz w:val="26"/>
        </w:rPr>
        <w:t>Oestreicher, J., 2010: </w:t>
      </w:r>
      <w:r>
        <w:rPr>
          <w:i/>
          <w:sz w:val="26"/>
        </w:rPr>
        <w:t>Prospectivas y Aplicaciones del Modelo Hidrológico SWAT: </w:t>
      </w:r>
      <w:r>
        <w:rPr>
          <w:i/>
          <w:sz w:val="26"/>
        </w:rPr>
        <w:t>Adaptación del modelo para su uso en la Cuenca Hidrográfica del Canal de Panamá</w:t>
      </w:r>
      <w:r>
        <w:rPr>
          <w:sz w:val="26"/>
        </w:rPr>
        <w:t>, Canadá: Editorial Universidad de McGill Montreal.</w:t>
      </w:r>
    </w:p>
    <w:p>
      <w:pPr>
        <w:pStyle w:val="BodyText"/>
        <w:spacing w:before="2"/>
      </w:pPr>
    </w:p>
    <w:p>
      <w:pPr>
        <w:spacing w:line="240" w:lineRule="auto" w:before="0"/>
        <w:ind w:left="116" w:right="116" w:firstLine="0"/>
        <w:jc w:val="both"/>
        <w:rPr>
          <w:sz w:val="26"/>
        </w:rPr>
      </w:pPr>
      <w:r>
        <w:rPr>
          <w:sz w:val="26"/>
        </w:rPr>
        <w:t>Oñate, F. y G. Aguilar, 2003: “Aplicación del Modelo SWAT para la estimación de caudales y sedimentos en la cuenca alta del río Catamayo” en </w:t>
      </w:r>
      <w:r>
        <w:rPr>
          <w:i/>
          <w:sz w:val="26"/>
        </w:rPr>
        <w:t>Tercer Congreso </w:t>
      </w:r>
      <w:r>
        <w:rPr>
          <w:i/>
          <w:sz w:val="26"/>
        </w:rPr>
        <w:t>Latinoamericano de Manejo de Cuencas Hidrográficas 8-13 de junio</w:t>
      </w:r>
      <w:r>
        <w:rPr>
          <w:sz w:val="26"/>
        </w:rPr>
        <w:t>, Arequipa-Perú.</w:t>
      </w:r>
    </w:p>
    <w:p>
      <w:pPr>
        <w:pStyle w:val="BodyText"/>
        <w:spacing w:before="9"/>
        <w:rPr>
          <w:sz w:val="25"/>
        </w:rPr>
      </w:pPr>
    </w:p>
    <w:p>
      <w:pPr>
        <w:pStyle w:val="BodyText"/>
        <w:ind w:left="116" w:right="118"/>
        <w:jc w:val="both"/>
      </w:pPr>
      <w:r>
        <w:rPr/>
        <w:t>Ortiz, B. y C.A. Ortiz, 1987: </w:t>
      </w:r>
      <w:r>
        <w:rPr>
          <w:i/>
        </w:rPr>
        <w:t>Edafología, </w:t>
      </w:r>
      <w:r>
        <w:rPr/>
        <w:t>México: Editorial Universidad Autónoma de Chapingo (Departamento de Suelos).</w:t>
      </w:r>
    </w:p>
    <w:p>
      <w:pPr>
        <w:pStyle w:val="BodyText"/>
        <w:spacing w:before="2"/>
      </w:pPr>
    </w:p>
    <w:p>
      <w:pPr>
        <w:spacing w:before="0"/>
        <w:ind w:left="116" w:right="0" w:firstLine="0"/>
        <w:jc w:val="both"/>
        <w:rPr>
          <w:sz w:val="26"/>
        </w:rPr>
      </w:pPr>
      <w:r>
        <w:rPr>
          <w:sz w:val="26"/>
        </w:rPr>
        <w:t>Palacios, O.L., 1986: </w:t>
      </w:r>
      <w:r>
        <w:rPr>
          <w:i/>
          <w:sz w:val="26"/>
        </w:rPr>
        <w:t>El uso de modelos en irrigación y áreas a fines</w:t>
      </w:r>
      <w:r>
        <w:rPr>
          <w:sz w:val="26"/>
        </w:rPr>
        <w:t>: Editorial Terra.</w:t>
      </w:r>
    </w:p>
    <w:p>
      <w:pPr>
        <w:spacing w:after="0"/>
        <w:jc w:val="both"/>
        <w:rPr>
          <w:sz w:val="26"/>
        </w:rPr>
        <w:sectPr>
          <w:pgSz w:w="12240" w:h="15840"/>
          <w:pgMar w:header="0" w:footer="1473" w:top="1360" w:bottom="1660" w:left="1300" w:right="1300"/>
        </w:sectPr>
      </w:pPr>
    </w:p>
    <w:p>
      <w:pPr>
        <w:spacing w:line="242" w:lineRule="auto" w:before="49"/>
        <w:ind w:left="116" w:right="117" w:firstLine="0"/>
        <w:jc w:val="both"/>
        <w:rPr>
          <w:sz w:val="26"/>
        </w:rPr>
      </w:pPr>
      <w:r>
        <w:rPr>
          <w:sz w:val="26"/>
        </w:rPr>
        <w:t>Parra, O., 2009: </w:t>
      </w:r>
      <w:r>
        <w:rPr>
          <w:i/>
          <w:sz w:val="26"/>
        </w:rPr>
        <w:t>Gestión integrada de cuencas hidrográficas</w:t>
      </w:r>
      <w:r>
        <w:rPr>
          <w:sz w:val="26"/>
        </w:rPr>
        <w:t>, Chile: Editorial Centro de Ciencias Ambientales, EULA-Chile (Universidad de Concepción).</w:t>
      </w:r>
    </w:p>
    <w:p>
      <w:pPr>
        <w:pStyle w:val="BodyText"/>
        <w:spacing w:before="6"/>
        <w:rPr>
          <w:sz w:val="25"/>
        </w:rPr>
      </w:pPr>
    </w:p>
    <w:p>
      <w:pPr>
        <w:spacing w:line="240" w:lineRule="auto" w:before="0"/>
        <w:ind w:left="116" w:right="116" w:firstLine="0"/>
        <w:jc w:val="both"/>
        <w:rPr>
          <w:sz w:val="26"/>
        </w:rPr>
      </w:pPr>
      <w:r>
        <w:rPr>
          <w:sz w:val="26"/>
        </w:rPr>
        <w:t>Peralta, J.M., 1993: “Agentes erosivos y tipos de erosión” en </w:t>
      </w:r>
      <w:r>
        <w:rPr>
          <w:i/>
          <w:sz w:val="26"/>
        </w:rPr>
        <w:t>Programa de Capacitación</w:t>
      </w:r>
      <w:r>
        <w:rPr>
          <w:i/>
          <w:spacing w:val="-43"/>
          <w:sz w:val="26"/>
        </w:rPr>
        <w:t> </w:t>
      </w:r>
      <w:r>
        <w:rPr>
          <w:i/>
          <w:sz w:val="26"/>
        </w:rPr>
        <w:t>a </w:t>
      </w:r>
      <w:r>
        <w:rPr>
          <w:i/>
          <w:sz w:val="26"/>
        </w:rPr>
        <w:t>Agentes de Extensión-Tecnologías de Conservación de Suelos y Agua Serie Platina nº46</w:t>
      </w:r>
      <w:r>
        <w:rPr>
          <w:sz w:val="26"/>
        </w:rPr>
        <w:t>, Santiago de Chile:</w:t>
      </w:r>
      <w:r>
        <w:rPr>
          <w:spacing w:val="-5"/>
          <w:sz w:val="26"/>
        </w:rPr>
        <w:t> </w:t>
      </w:r>
      <w:r>
        <w:rPr>
          <w:sz w:val="26"/>
        </w:rPr>
        <w:t>INIA</w:t>
      </w:r>
    </w:p>
    <w:p>
      <w:pPr>
        <w:pStyle w:val="BodyText"/>
        <w:spacing w:before="8"/>
        <w:rPr>
          <w:sz w:val="25"/>
        </w:rPr>
      </w:pPr>
    </w:p>
    <w:p>
      <w:pPr>
        <w:spacing w:line="240" w:lineRule="auto" w:before="0"/>
        <w:ind w:left="116" w:right="116" w:firstLine="0"/>
        <w:jc w:val="both"/>
        <w:rPr>
          <w:sz w:val="26"/>
        </w:rPr>
      </w:pPr>
      <w:r>
        <w:rPr>
          <w:sz w:val="26"/>
        </w:rPr>
        <w:t>Pessoa, M.C.P.Y., A.J. Luchiari, E.N. Fernandes y M.A. Lima, 1997: </w:t>
      </w:r>
      <w:r>
        <w:rPr>
          <w:i/>
          <w:sz w:val="26"/>
        </w:rPr>
        <w:t>Principais modelos </w:t>
      </w:r>
      <w:r>
        <w:rPr>
          <w:i/>
          <w:sz w:val="26"/>
        </w:rPr>
        <w:t>matemáticos</w:t>
      </w:r>
      <w:r>
        <w:rPr>
          <w:i/>
          <w:spacing w:val="-7"/>
          <w:sz w:val="26"/>
        </w:rPr>
        <w:t> </w:t>
      </w:r>
      <w:r>
        <w:rPr>
          <w:i/>
          <w:sz w:val="26"/>
        </w:rPr>
        <w:t>e</w:t>
      </w:r>
      <w:r>
        <w:rPr>
          <w:i/>
          <w:spacing w:val="-7"/>
          <w:sz w:val="26"/>
        </w:rPr>
        <w:t> </w:t>
      </w:r>
      <w:r>
        <w:rPr>
          <w:i/>
          <w:sz w:val="26"/>
        </w:rPr>
        <w:t>simuladores</w:t>
      </w:r>
      <w:r>
        <w:rPr>
          <w:i/>
          <w:spacing w:val="-8"/>
          <w:sz w:val="26"/>
        </w:rPr>
        <w:t> </w:t>
      </w:r>
      <w:r>
        <w:rPr>
          <w:i/>
          <w:sz w:val="26"/>
        </w:rPr>
        <w:t>utilizados</w:t>
      </w:r>
      <w:r>
        <w:rPr>
          <w:i/>
          <w:spacing w:val="-8"/>
          <w:sz w:val="26"/>
        </w:rPr>
        <w:t> </w:t>
      </w:r>
      <w:r>
        <w:rPr>
          <w:i/>
          <w:sz w:val="26"/>
        </w:rPr>
        <w:t>para</w:t>
      </w:r>
      <w:r>
        <w:rPr>
          <w:i/>
          <w:spacing w:val="-12"/>
          <w:sz w:val="26"/>
        </w:rPr>
        <w:t> </w:t>
      </w:r>
      <w:r>
        <w:rPr>
          <w:i/>
          <w:sz w:val="26"/>
        </w:rPr>
        <w:t>análise</w:t>
      </w:r>
      <w:r>
        <w:rPr>
          <w:i/>
          <w:spacing w:val="-7"/>
          <w:sz w:val="26"/>
        </w:rPr>
        <w:t> </w:t>
      </w:r>
      <w:r>
        <w:rPr>
          <w:i/>
          <w:sz w:val="26"/>
        </w:rPr>
        <w:t>de</w:t>
      </w:r>
      <w:r>
        <w:rPr>
          <w:i/>
          <w:spacing w:val="-7"/>
          <w:sz w:val="26"/>
        </w:rPr>
        <w:t> </w:t>
      </w:r>
      <w:r>
        <w:rPr>
          <w:i/>
          <w:sz w:val="26"/>
        </w:rPr>
        <w:t>impactos</w:t>
      </w:r>
      <w:r>
        <w:rPr>
          <w:i/>
          <w:spacing w:val="-12"/>
          <w:sz w:val="26"/>
        </w:rPr>
        <w:t> </w:t>
      </w:r>
      <w:r>
        <w:rPr>
          <w:i/>
          <w:sz w:val="26"/>
        </w:rPr>
        <w:t>ambientais</w:t>
      </w:r>
      <w:r>
        <w:rPr>
          <w:i/>
          <w:spacing w:val="-8"/>
          <w:sz w:val="26"/>
        </w:rPr>
        <w:t> </w:t>
      </w:r>
      <w:r>
        <w:rPr>
          <w:i/>
          <w:sz w:val="26"/>
        </w:rPr>
        <w:t>das</w:t>
      </w:r>
      <w:r>
        <w:rPr>
          <w:i/>
          <w:spacing w:val="-12"/>
          <w:sz w:val="26"/>
        </w:rPr>
        <w:t> </w:t>
      </w:r>
      <w:r>
        <w:rPr>
          <w:i/>
          <w:sz w:val="26"/>
        </w:rPr>
        <w:t>actividades agrícolas</w:t>
      </w:r>
      <w:r>
        <w:rPr>
          <w:sz w:val="26"/>
        </w:rPr>
        <w:t>, Jaguariúna: Editorial EMBRAPA/CNPMA, (EMBRAPA. CNPMA. Documentos,</w:t>
      </w:r>
      <w:r>
        <w:rPr>
          <w:spacing w:val="-3"/>
          <w:sz w:val="26"/>
        </w:rPr>
        <w:t> </w:t>
      </w:r>
      <w:r>
        <w:rPr>
          <w:sz w:val="26"/>
        </w:rPr>
        <w:t>8).</w:t>
      </w:r>
    </w:p>
    <w:p>
      <w:pPr>
        <w:pStyle w:val="BodyText"/>
        <w:spacing w:before="2"/>
      </w:pPr>
    </w:p>
    <w:p>
      <w:pPr>
        <w:spacing w:line="240" w:lineRule="auto" w:before="0"/>
        <w:ind w:left="116" w:right="115" w:firstLine="0"/>
        <w:jc w:val="both"/>
        <w:rPr>
          <w:sz w:val="26"/>
        </w:rPr>
      </w:pPr>
      <w:r>
        <w:rPr>
          <w:sz w:val="26"/>
        </w:rPr>
        <w:t>Pérez, J., 1992: </w:t>
      </w:r>
      <w:r>
        <w:rPr>
          <w:i/>
          <w:sz w:val="26"/>
        </w:rPr>
        <w:t>Estudio de la estabilidad estructural del suelo en relación con el complejo </w:t>
      </w:r>
      <w:r>
        <w:rPr>
          <w:i/>
          <w:sz w:val="26"/>
        </w:rPr>
        <w:t>de cambio (comportamiento de algunos suelos característicos españoles), </w:t>
      </w:r>
      <w:r>
        <w:rPr>
          <w:sz w:val="26"/>
        </w:rPr>
        <w:t>Madrid: Tesis Doctoral, Escuela Técnica Superior de Ingenieros Agrónomos, Universidad Politécnica de Madrid.</w:t>
      </w:r>
    </w:p>
    <w:p>
      <w:pPr>
        <w:pStyle w:val="BodyText"/>
        <w:spacing w:before="8"/>
        <w:rPr>
          <w:sz w:val="25"/>
        </w:rPr>
      </w:pPr>
    </w:p>
    <w:p>
      <w:pPr>
        <w:spacing w:line="278" w:lineRule="auto" w:before="0"/>
        <w:ind w:left="116" w:right="115" w:firstLine="0"/>
        <w:jc w:val="both"/>
        <w:rPr>
          <w:sz w:val="26"/>
        </w:rPr>
      </w:pPr>
      <w:r>
        <w:rPr>
          <w:sz w:val="26"/>
        </w:rPr>
        <w:t>Pineda, R., 2007: </w:t>
      </w:r>
      <w:r>
        <w:rPr>
          <w:i/>
          <w:sz w:val="26"/>
        </w:rPr>
        <w:t>Hacia una gestión integral de cuencas en México, 2da Edición, </w:t>
      </w:r>
      <w:r>
        <w:rPr>
          <w:sz w:val="26"/>
        </w:rPr>
        <w:t>México: Editorial INE.</w:t>
      </w:r>
    </w:p>
    <w:p>
      <w:pPr>
        <w:spacing w:before="197"/>
        <w:ind w:left="116" w:right="113" w:firstLine="0"/>
        <w:jc w:val="both"/>
        <w:rPr>
          <w:sz w:val="26"/>
        </w:rPr>
      </w:pPr>
      <w:r>
        <w:rPr>
          <w:sz w:val="26"/>
        </w:rPr>
        <w:t>Porta, J., M. López-Acevedo y C. Roquero, 1994: </w:t>
      </w:r>
      <w:r>
        <w:rPr>
          <w:i/>
          <w:sz w:val="26"/>
        </w:rPr>
        <w:t>Edafología. Para la agricultura y el </w:t>
      </w:r>
      <w:r>
        <w:rPr>
          <w:i/>
          <w:sz w:val="26"/>
        </w:rPr>
        <w:t>medio ambiente</w:t>
      </w:r>
      <w:r>
        <w:rPr>
          <w:sz w:val="26"/>
        </w:rPr>
        <w:t>, México: Editorial Mundi-Prensa.</w:t>
      </w:r>
    </w:p>
    <w:p>
      <w:pPr>
        <w:pStyle w:val="BodyText"/>
        <w:spacing w:before="2"/>
      </w:pPr>
    </w:p>
    <w:p>
      <w:pPr>
        <w:spacing w:before="0"/>
        <w:ind w:left="116" w:right="118" w:firstLine="0"/>
        <w:jc w:val="both"/>
        <w:rPr>
          <w:sz w:val="26"/>
        </w:rPr>
      </w:pPr>
      <w:r>
        <w:rPr>
          <w:sz w:val="26"/>
        </w:rPr>
        <w:t>Priestley, C.H.B y R.J. Taylor, 1972: </w:t>
      </w:r>
      <w:r>
        <w:rPr>
          <w:i/>
          <w:sz w:val="26"/>
        </w:rPr>
        <w:t>On the assessment of Surface heat flux and </w:t>
      </w:r>
      <w:r>
        <w:rPr>
          <w:i/>
          <w:sz w:val="26"/>
        </w:rPr>
        <w:t>evaporation using large-scale parameter</w:t>
      </w:r>
      <w:r>
        <w:rPr>
          <w:sz w:val="26"/>
        </w:rPr>
        <w:t>s. Mon. Weather Rev. 100:81</w:t>
      </w:r>
    </w:p>
    <w:p>
      <w:pPr>
        <w:pStyle w:val="BodyText"/>
        <w:spacing w:before="2"/>
      </w:pPr>
    </w:p>
    <w:p>
      <w:pPr>
        <w:spacing w:line="240" w:lineRule="auto" w:before="0"/>
        <w:ind w:left="116" w:right="117" w:firstLine="0"/>
        <w:jc w:val="both"/>
        <w:rPr>
          <w:sz w:val="26"/>
        </w:rPr>
      </w:pPr>
      <w:r>
        <w:rPr>
          <w:sz w:val="26"/>
        </w:rPr>
        <w:t>Proaño, M., C. Gavilanes, P. Valenzuela y C. Cisneros, 2006: “Aplicación del Modelo SWAT en la subcuenca del río Ambato” en </w:t>
      </w:r>
      <w:r>
        <w:rPr>
          <w:i/>
          <w:sz w:val="26"/>
        </w:rPr>
        <w:t>Proyecto Cuencas Andinas-CODESAN-GTZ, </w:t>
      </w:r>
      <w:r>
        <w:rPr>
          <w:i/>
          <w:sz w:val="26"/>
        </w:rPr>
        <w:t>Challenge Program</w:t>
      </w:r>
      <w:r>
        <w:rPr>
          <w:sz w:val="26"/>
        </w:rPr>
        <w:t>, Argentina: Editorial Corporación randi.</w:t>
      </w:r>
    </w:p>
    <w:p>
      <w:pPr>
        <w:pStyle w:val="BodyText"/>
        <w:spacing w:before="8"/>
        <w:rPr>
          <w:sz w:val="25"/>
        </w:rPr>
      </w:pPr>
    </w:p>
    <w:p>
      <w:pPr>
        <w:pStyle w:val="BodyText"/>
        <w:ind w:left="116" w:right="118"/>
      </w:pPr>
      <w:r>
        <w:rPr/>
        <w:t>Refsgaard, J. C., 1997: Parameterisation, calibration, and validation of distributed hydrological models, EUA: Editorial </w:t>
      </w:r>
      <w:r>
        <w:rPr>
          <w:i/>
        </w:rPr>
        <w:t>J. Hydrol. </w:t>
      </w:r>
      <w:r>
        <w:rPr/>
        <w:t>198(1).</w:t>
      </w:r>
    </w:p>
    <w:p>
      <w:pPr>
        <w:pStyle w:val="BodyText"/>
        <w:spacing w:before="2"/>
      </w:pPr>
    </w:p>
    <w:p>
      <w:pPr>
        <w:spacing w:before="0"/>
        <w:ind w:left="116" w:right="113" w:firstLine="0"/>
        <w:jc w:val="both"/>
        <w:rPr>
          <w:sz w:val="26"/>
        </w:rPr>
      </w:pPr>
      <w:r>
        <w:rPr>
          <w:sz w:val="26"/>
        </w:rPr>
        <w:t>Renschler, C.S., 2003: “Designing geo-spatial interfaces to scale process models: the GeoWEPP approach” en </w:t>
      </w:r>
      <w:r>
        <w:rPr>
          <w:i/>
          <w:sz w:val="26"/>
        </w:rPr>
        <w:t>Revista Hydrological Processes 17, 1005–1017</w:t>
      </w:r>
      <w:r>
        <w:rPr>
          <w:sz w:val="26"/>
        </w:rPr>
        <w:t>, EUA.</w:t>
      </w:r>
    </w:p>
    <w:p>
      <w:pPr>
        <w:pStyle w:val="BodyText"/>
        <w:spacing w:before="2"/>
      </w:pPr>
    </w:p>
    <w:p>
      <w:pPr>
        <w:pStyle w:val="BodyText"/>
        <w:tabs>
          <w:tab w:pos="2041" w:val="left" w:leader="none"/>
          <w:tab w:pos="3635" w:val="left" w:leader="none"/>
          <w:tab w:pos="5273" w:val="left" w:leader="none"/>
          <w:tab w:pos="6435" w:val="left" w:leader="none"/>
          <w:tab w:pos="7813" w:val="left" w:leader="none"/>
          <w:tab w:pos="8931" w:val="left" w:leader="none"/>
        </w:tabs>
        <w:ind w:left="116" w:right="113"/>
        <w:jc w:val="both"/>
      </w:pPr>
      <w:r>
        <w:rPr/>
        <w:t>Renschler, C.S., 2008: GeoWEPP—the geo-spatial interface for the water erosion prediction</w:t>
        <w:tab/>
        <w:t>project</w:t>
        <w:tab/>
        <w:t>WEPP.</w:t>
        <w:tab/>
        <w:t>En</w:t>
        <w:tab/>
        <w:t>línea</w:t>
        <w:tab/>
        <w:t>en</w:t>
        <w:tab/>
        <w:t>URL: </w:t>
      </w:r>
      <w:hyperlink r:id="rId192">
        <w:r>
          <w:rPr/>
          <w:t>http://www.geog.buffalo.edu/~rensch/geowepp/.</w:t>
        </w:r>
      </w:hyperlink>
      <w:r>
        <w:rPr/>
        <w:t> Accessed November 19,</w:t>
      </w:r>
      <w:r>
        <w:rPr>
          <w:spacing w:val="-12"/>
        </w:rPr>
        <w:t> </w:t>
      </w:r>
      <w:r>
        <w:rPr/>
        <w:t>2008.</w:t>
      </w:r>
    </w:p>
    <w:p>
      <w:pPr>
        <w:pStyle w:val="BodyText"/>
        <w:spacing w:before="2"/>
      </w:pPr>
    </w:p>
    <w:p>
      <w:pPr>
        <w:spacing w:before="0"/>
        <w:ind w:left="116" w:right="117" w:firstLine="0"/>
        <w:jc w:val="both"/>
        <w:rPr>
          <w:sz w:val="26"/>
        </w:rPr>
      </w:pPr>
      <w:r>
        <w:rPr>
          <w:sz w:val="26"/>
        </w:rPr>
        <w:t>Richardson, C.W. y D.A. Wright, 1984: </w:t>
      </w:r>
      <w:r>
        <w:rPr>
          <w:i/>
          <w:sz w:val="26"/>
        </w:rPr>
        <w:t>WGEN: a model for generating daily weather </w:t>
      </w:r>
      <w:r>
        <w:rPr>
          <w:i/>
          <w:sz w:val="26"/>
        </w:rPr>
        <w:t>variables</w:t>
      </w:r>
      <w:r>
        <w:rPr>
          <w:sz w:val="26"/>
        </w:rPr>
        <w:t>, USA: Editorial Department of Agriculture, Agricultural Research Service.</w:t>
      </w:r>
    </w:p>
    <w:p>
      <w:pPr>
        <w:spacing w:after="0"/>
        <w:jc w:val="both"/>
        <w:rPr>
          <w:sz w:val="26"/>
        </w:rPr>
        <w:sectPr>
          <w:pgSz w:w="12240" w:h="15840"/>
          <w:pgMar w:header="0" w:footer="1473" w:top="1360" w:bottom="1660" w:left="1300" w:right="1300"/>
        </w:sectPr>
      </w:pPr>
    </w:p>
    <w:p>
      <w:pPr>
        <w:pStyle w:val="BodyText"/>
        <w:spacing w:before="7"/>
        <w:rPr>
          <w:sz w:val="12"/>
        </w:rPr>
      </w:pPr>
    </w:p>
    <w:p>
      <w:pPr>
        <w:spacing w:line="268" w:lineRule="exact" w:before="94"/>
        <w:ind w:left="116" w:right="123" w:firstLine="0"/>
        <w:jc w:val="both"/>
        <w:rPr>
          <w:sz w:val="23"/>
        </w:rPr>
      </w:pPr>
      <w:r>
        <w:rPr>
          <w:sz w:val="26"/>
        </w:rPr>
        <w:t>Roose, </w:t>
      </w:r>
      <w:r>
        <w:rPr>
          <w:sz w:val="23"/>
        </w:rPr>
        <w:t>E., 1994: </w:t>
      </w:r>
      <w:r>
        <w:rPr>
          <w:i/>
          <w:sz w:val="23"/>
        </w:rPr>
        <w:t>Introduction à la gestion conservatoire de l'eau, de la biomasse et de la fertilité des </w:t>
      </w:r>
      <w:r>
        <w:rPr>
          <w:i/>
          <w:sz w:val="23"/>
        </w:rPr>
        <w:t>sols </w:t>
      </w:r>
      <w:r>
        <w:rPr>
          <w:sz w:val="23"/>
        </w:rPr>
        <w:t>(</w:t>
      </w:r>
      <w:r>
        <w:rPr>
          <w:i/>
          <w:sz w:val="23"/>
        </w:rPr>
        <w:t>GCES</w:t>
      </w:r>
      <w:r>
        <w:rPr>
          <w:sz w:val="23"/>
        </w:rPr>
        <w:t>)</w:t>
      </w:r>
      <w:r>
        <w:rPr>
          <w:i/>
          <w:sz w:val="23"/>
        </w:rPr>
        <w:t>, </w:t>
      </w:r>
      <w:r>
        <w:rPr>
          <w:sz w:val="23"/>
        </w:rPr>
        <w:t>Roma: Editorial Bulletin Pédologique de la FAO No. 70.</w:t>
      </w:r>
    </w:p>
    <w:p>
      <w:pPr>
        <w:pStyle w:val="BodyText"/>
        <w:spacing w:before="7"/>
        <w:rPr>
          <w:sz w:val="25"/>
        </w:rPr>
      </w:pPr>
    </w:p>
    <w:p>
      <w:pPr>
        <w:pStyle w:val="BodyText"/>
        <w:spacing w:line="242" w:lineRule="auto"/>
        <w:ind w:left="116" w:right="116"/>
        <w:jc w:val="both"/>
      </w:pPr>
      <w:r>
        <w:rPr/>
        <w:t>Rostagno, C., H. del Valle y D. Buschiazzo, 2004: </w:t>
      </w:r>
      <w:r>
        <w:rPr>
          <w:i/>
        </w:rPr>
        <w:t>La erosión eólica</w:t>
      </w:r>
      <w:r>
        <w:rPr/>
        <w:t>, Buenos Aires: Editorial CONICET-CENPAT.</w:t>
      </w:r>
    </w:p>
    <w:p>
      <w:pPr>
        <w:pStyle w:val="BodyText"/>
        <w:spacing w:before="5"/>
        <w:rPr>
          <w:sz w:val="25"/>
        </w:rPr>
      </w:pPr>
    </w:p>
    <w:p>
      <w:pPr>
        <w:spacing w:line="240" w:lineRule="auto" w:before="1"/>
        <w:ind w:left="116" w:right="115" w:firstLine="0"/>
        <w:jc w:val="both"/>
        <w:rPr>
          <w:sz w:val="26"/>
        </w:rPr>
      </w:pPr>
      <w:r>
        <w:rPr>
          <w:sz w:val="26"/>
        </w:rPr>
        <w:t>SAGARPA,</w:t>
      </w:r>
      <w:r>
        <w:rPr>
          <w:spacing w:val="-11"/>
          <w:sz w:val="26"/>
        </w:rPr>
        <w:t> </w:t>
      </w:r>
      <w:r>
        <w:rPr>
          <w:sz w:val="26"/>
        </w:rPr>
        <w:t>Secretaria</w:t>
      </w:r>
      <w:r>
        <w:rPr>
          <w:spacing w:val="-12"/>
          <w:sz w:val="26"/>
        </w:rPr>
        <w:t> </w:t>
      </w:r>
      <w:r>
        <w:rPr>
          <w:sz w:val="26"/>
        </w:rPr>
        <w:t>de</w:t>
      </w:r>
      <w:r>
        <w:rPr>
          <w:spacing w:val="-8"/>
          <w:sz w:val="26"/>
        </w:rPr>
        <w:t> </w:t>
      </w:r>
      <w:r>
        <w:rPr>
          <w:sz w:val="26"/>
        </w:rPr>
        <w:t>Agricultura,</w:t>
      </w:r>
      <w:r>
        <w:rPr>
          <w:spacing w:val="-11"/>
          <w:sz w:val="26"/>
        </w:rPr>
        <w:t> </w:t>
      </w:r>
      <w:r>
        <w:rPr>
          <w:sz w:val="26"/>
        </w:rPr>
        <w:t>Ganadería,</w:t>
      </w:r>
      <w:r>
        <w:rPr>
          <w:spacing w:val="-10"/>
          <w:sz w:val="26"/>
        </w:rPr>
        <w:t> </w:t>
      </w:r>
      <w:r>
        <w:rPr>
          <w:sz w:val="26"/>
        </w:rPr>
        <w:t>Desarrollo</w:t>
      </w:r>
      <w:r>
        <w:rPr>
          <w:spacing w:val="-13"/>
          <w:sz w:val="26"/>
        </w:rPr>
        <w:t> </w:t>
      </w:r>
      <w:r>
        <w:rPr>
          <w:sz w:val="26"/>
        </w:rPr>
        <w:t>Rural,</w:t>
      </w:r>
      <w:r>
        <w:rPr>
          <w:spacing w:val="-11"/>
          <w:sz w:val="26"/>
        </w:rPr>
        <w:t> </w:t>
      </w:r>
      <w:r>
        <w:rPr>
          <w:sz w:val="26"/>
        </w:rPr>
        <w:t>Pesca</w:t>
      </w:r>
      <w:r>
        <w:rPr>
          <w:spacing w:val="-13"/>
          <w:sz w:val="26"/>
        </w:rPr>
        <w:t> </w:t>
      </w:r>
      <w:r>
        <w:rPr>
          <w:sz w:val="26"/>
        </w:rPr>
        <w:t>y</w:t>
      </w:r>
      <w:r>
        <w:rPr>
          <w:spacing w:val="-13"/>
          <w:sz w:val="26"/>
        </w:rPr>
        <w:t> </w:t>
      </w:r>
      <w:r>
        <w:rPr>
          <w:sz w:val="26"/>
        </w:rPr>
        <w:t>Alimentación, 2012: </w:t>
      </w:r>
      <w:r>
        <w:rPr>
          <w:i/>
          <w:sz w:val="26"/>
        </w:rPr>
        <w:t>Base de datos de rendimientos agrícolas, Distrito de Desarrollo Rural 05 </w:t>
      </w:r>
      <w:r>
        <w:rPr>
          <w:i/>
          <w:sz w:val="26"/>
        </w:rPr>
        <w:t>Atlacomulco</w:t>
      </w:r>
      <w:r>
        <w:rPr>
          <w:sz w:val="26"/>
        </w:rPr>
        <w:t>, México: Editorial</w:t>
      </w:r>
      <w:r>
        <w:rPr>
          <w:spacing w:val="-12"/>
          <w:sz w:val="26"/>
        </w:rPr>
        <w:t> </w:t>
      </w:r>
      <w:r>
        <w:rPr>
          <w:sz w:val="26"/>
        </w:rPr>
        <w:t>SAGARPA.</w:t>
      </w:r>
    </w:p>
    <w:p>
      <w:pPr>
        <w:pStyle w:val="BodyText"/>
        <w:spacing w:before="8"/>
        <w:rPr>
          <w:sz w:val="25"/>
        </w:rPr>
      </w:pPr>
    </w:p>
    <w:p>
      <w:pPr>
        <w:spacing w:line="242" w:lineRule="auto" w:before="0"/>
        <w:ind w:left="116" w:right="111" w:firstLine="0"/>
        <w:jc w:val="both"/>
        <w:rPr>
          <w:sz w:val="26"/>
        </w:rPr>
      </w:pPr>
      <w:r>
        <w:rPr>
          <w:sz w:val="26"/>
        </w:rPr>
        <w:t>SARH, Secretaría de Agricultura y Recursos Hidráulicos, 1988: </w:t>
      </w:r>
      <w:r>
        <w:rPr>
          <w:i/>
          <w:sz w:val="26"/>
        </w:rPr>
        <w:t>Diagnóstico para el </w:t>
      </w:r>
      <w:r>
        <w:rPr>
          <w:i/>
          <w:sz w:val="26"/>
        </w:rPr>
        <w:t>Manejo de Cuencas</w:t>
      </w:r>
      <w:r>
        <w:rPr>
          <w:sz w:val="26"/>
        </w:rPr>
        <w:t>, México: Editorial SARH.</w:t>
      </w:r>
    </w:p>
    <w:p>
      <w:pPr>
        <w:pStyle w:val="BodyText"/>
        <w:spacing w:before="5"/>
        <w:rPr>
          <w:sz w:val="25"/>
        </w:rPr>
      </w:pPr>
    </w:p>
    <w:p>
      <w:pPr>
        <w:spacing w:line="276" w:lineRule="auto" w:before="1"/>
        <w:ind w:left="116" w:right="115" w:firstLine="0"/>
        <w:jc w:val="both"/>
        <w:rPr>
          <w:sz w:val="26"/>
        </w:rPr>
      </w:pPr>
      <w:r>
        <w:rPr>
          <w:sz w:val="26"/>
        </w:rPr>
        <w:t>SEMARNAT, Secretaría de Medio Ambiente y Recursos Naturales, 2001: </w:t>
      </w:r>
      <w:r>
        <w:rPr>
          <w:i/>
          <w:sz w:val="26"/>
        </w:rPr>
        <w:t>Programa </w:t>
      </w:r>
      <w:r>
        <w:rPr>
          <w:i/>
          <w:sz w:val="26"/>
        </w:rPr>
        <w:t>Nacional de Medio Ambiente y Recursos Naturales 2001-2006</w:t>
      </w:r>
      <w:r>
        <w:rPr>
          <w:sz w:val="26"/>
        </w:rPr>
        <w:t>, México: Editorial SEMARNAT.</w:t>
      </w:r>
    </w:p>
    <w:p>
      <w:pPr>
        <w:spacing w:before="205"/>
        <w:ind w:left="116" w:right="111" w:firstLine="0"/>
        <w:jc w:val="both"/>
        <w:rPr>
          <w:sz w:val="26"/>
        </w:rPr>
      </w:pPr>
      <w:r>
        <w:rPr>
          <w:sz w:val="26"/>
        </w:rPr>
        <w:t>SIAP, Servicio e Información Agroalimentaria y Pesquera, 2014: </w:t>
      </w:r>
      <w:r>
        <w:rPr>
          <w:i/>
          <w:sz w:val="26"/>
        </w:rPr>
        <w:t>Cierres de producción </w:t>
      </w:r>
      <w:r>
        <w:rPr>
          <w:i/>
          <w:sz w:val="26"/>
        </w:rPr>
        <w:t>agrícola por Estado</w:t>
      </w:r>
      <w:r>
        <w:rPr>
          <w:sz w:val="26"/>
        </w:rPr>
        <w:t>, México, Editorial SIAP- SAGARPA.</w:t>
      </w:r>
    </w:p>
    <w:p>
      <w:pPr>
        <w:pStyle w:val="BodyText"/>
        <w:spacing w:before="2"/>
      </w:pPr>
    </w:p>
    <w:p>
      <w:pPr>
        <w:spacing w:before="0"/>
        <w:ind w:left="116" w:right="117" w:firstLine="0"/>
        <w:jc w:val="both"/>
        <w:rPr>
          <w:sz w:val="26"/>
        </w:rPr>
      </w:pPr>
      <w:r>
        <w:rPr>
          <w:sz w:val="26"/>
        </w:rPr>
        <w:t>SMN, Sistema Metereológico Nacional, 2012: </w:t>
      </w:r>
      <w:r>
        <w:rPr>
          <w:i/>
          <w:sz w:val="26"/>
        </w:rPr>
        <w:t>Base de datos estaciones climatológicas</w:t>
      </w:r>
      <w:r>
        <w:rPr>
          <w:sz w:val="26"/>
        </w:rPr>
        <w:t>, México: Editorial SMN.</w:t>
      </w:r>
    </w:p>
    <w:p>
      <w:pPr>
        <w:pStyle w:val="BodyText"/>
        <w:spacing w:before="2"/>
      </w:pPr>
    </w:p>
    <w:p>
      <w:pPr>
        <w:pStyle w:val="BodyText"/>
        <w:ind w:left="116" w:right="116"/>
        <w:jc w:val="both"/>
      </w:pPr>
      <w:r>
        <w:rPr/>
        <w:t>Sorooshian S., H.V. Gupta y L.A. Bastidas, 1998: “Calibration of hidrologic Model Using Multi-Objectives and Visualization Techniques” en </w:t>
      </w:r>
      <w:r>
        <w:rPr>
          <w:i/>
        </w:rPr>
        <w:t>Final Report on Project Proposal </w:t>
      </w:r>
      <w:r>
        <w:rPr>
          <w:i/>
        </w:rPr>
        <w:t>Number EAR-9418147</w:t>
      </w:r>
      <w:r>
        <w:rPr/>
        <w:t>, EUA: Department of Hydrology and Water Resources, University of Arizona.</w:t>
      </w:r>
    </w:p>
    <w:p>
      <w:pPr>
        <w:pStyle w:val="BodyText"/>
        <w:spacing w:before="2"/>
      </w:pPr>
    </w:p>
    <w:p>
      <w:pPr>
        <w:spacing w:before="0"/>
        <w:ind w:left="116" w:right="117" w:firstLine="0"/>
        <w:jc w:val="both"/>
        <w:rPr>
          <w:sz w:val="26"/>
        </w:rPr>
      </w:pPr>
      <w:r>
        <w:rPr>
          <w:sz w:val="26"/>
        </w:rPr>
        <w:t>SRH, Secretaría de Recursos Hídricos, 1974: </w:t>
      </w:r>
      <w:r>
        <w:rPr>
          <w:i/>
          <w:sz w:val="26"/>
        </w:rPr>
        <w:t>Elementos de Escurrimiento Superficial</w:t>
      </w:r>
      <w:r>
        <w:rPr>
          <w:sz w:val="26"/>
        </w:rPr>
        <w:t>, México: Editorial SRH.</w:t>
      </w:r>
    </w:p>
    <w:p>
      <w:pPr>
        <w:pStyle w:val="BodyText"/>
        <w:spacing w:before="2"/>
      </w:pPr>
    </w:p>
    <w:p>
      <w:pPr>
        <w:spacing w:before="0"/>
        <w:ind w:left="116" w:right="0" w:firstLine="0"/>
        <w:jc w:val="both"/>
        <w:rPr>
          <w:sz w:val="26"/>
        </w:rPr>
      </w:pPr>
      <w:r>
        <w:rPr>
          <w:sz w:val="26"/>
        </w:rPr>
        <w:t>Stallings, J.H., 1982</w:t>
      </w:r>
      <w:r>
        <w:rPr>
          <w:i/>
          <w:sz w:val="26"/>
        </w:rPr>
        <w:t>: El suelo: su uso y mejoramiento</w:t>
      </w:r>
      <w:r>
        <w:rPr>
          <w:sz w:val="26"/>
        </w:rPr>
        <w:t>, México: Editorial Continetal.</w:t>
      </w:r>
    </w:p>
    <w:p>
      <w:pPr>
        <w:pStyle w:val="BodyText"/>
        <w:spacing w:before="8"/>
        <w:rPr>
          <w:sz w:val="25"/>
        </w:rPr>
      </w:pPr>
    </w:p>
    <w:p>
      <w:pPr>
        <w:spacing w:line="240" w:lineRule="auto" w:before="0"/>
        <w:ind w:left="116" w:right="110" w:firstLine="0"/>
        <w:jc w:val="both"/>
        <w:rPr>
          <w:sz w:val="26"/>
        </w:rPr>
      </w:pPr>
      <w:r>
        <w:rPr>
          <w:sz w:val="26"/>
        </w:rPr>
        <w:t>Torres, B.E., 2000: </w:t>
      </w:r>
      <w:r>
        <w:rPr>
          <w:i/>
          <w:sz w:val="26"/>
        </w:rPr>
        <w:t>Comparación de los modelos de simulación hidrológica SWRRB y </w:t>
      </w:r>
      <w:r>
        <w:rPr>
          <w:i/>
          <w:sz w:val="26"/>
        </w:rPr>
        <w:t>SWAT en la cuenca “El Tejocote”, Atlacomulco, Estado de México</w:t>
      </w:r>
      <w:r>
        <w:rPr>
          <w:sz w:val="26"/>
        </w:rPr>
        <w:t>, México: Tesis Maestría, Colegio de Postgraduados.</w:t>
      </w:r>
    </w:p>
    <w:p>
      <w:pPr>
        <w:pStyle w:val="BodyText"/>
        <w:spacing w:before="2"/>
      </w:pPr>
    </w:p>
    <w:p>
      <w:pPr>
        <w:spacing w:before="0"/>
        <w:ind w:left="116" w:right="110" w:firstLine="0"/>
        <w:jc w:val="both"/>
        <w:rPr>
          <w:sz w:val="26"/>
        </w:rPr>
      </w:pPr>
      <w:r>
        <w:rPr>
          <w:sz w:val="26"/>
        </w:rPr>
        <w:t>Torres, E., D. Fernández, J.L. Oropeza y E. Mejía, 2004: “Calibración del modelo hidrológico SWAT en la cuenca El Tejocote, Atlacomulco, Estado de México” en </w:t>
      </w:r>
      <w:r>
        <w:rPr>
          <w:i/>
          <w:sz w:val="26"/>
        </w:rPr>
        <w:t>Revista </w:t>
      </w:r>
      <w:r>
        <w:rPr>
          <w:i/>
          <w:sz w:val="26"/>
        </w:rPr>
        <w:t>TERRA Latinoamericana vol. 22 núm, 4, octubre-diciembre, pp 437-444</w:t>
      </w:r>
      <w:r>
        <w:rPr>
          <w:sz w:val="26"/>
        </w:rPr>
        <w:t>, México: Universidad Autónoma Chapingo.</w:t>
      </w:r>
    </w:p>
    <w:p>
      <w:pPr>
        <w:spacing w:after="0"/>
        <w:jc w:val="both"/>
        <w:rPr>
          <w:sz w:val="26"/>
        </w:rPr>
        <w:sectPr>
          <w:pgSz w:w="12240" w:h="15840"/>
          <w:pgMar w:header="0" w:footer="1473" w:top="1500" w:bottom="1660" w:left="1300" w:right="1300"/>
        </w:sectPr>
      </w:pPr>
    </w:p>
    <w:p>
      <w:pPr>
        <w:pStyle w:val="BodyText"/>
        <w:spacing w:before="7"/>
        <w:rPr>
          <w:sz w:val="12"/>
        </w:rPr>
      </w:pPr>
    </w:p>
    <w:p>
      <w:pPr>
        <w:pStyle w:val="BodyText"/>
        <w:spacing w:before="66"/>
        <w:ind w:left="116" w:right="119"/>
        <w:jc w:val="both"/>
      </w:pPr>
      <w:r>
        <w:rPr/>
        <w:t>Tucci, C.E.M., 1998: </w:t>
      </w:r>
      <w:r>
        <w:rPr>
          <w:i/>
        </w:rPr>
        <w:t>Modelos hidrológicos</w:t>
      </w:r>
      <w:r>
        <w:rPr/>
        <w:t>, Brasil: Editorial Porto Alegre, UFRGS, Associação Brasileira de Recursos Hídricos.</w:t>
      </w:r>
    </w:p>
    <w:p>
      <w:pPr>
        <w:pStyle w:val="BodyText"/>
        <w:spacing w:before="2"/>
      </w:pPr>
    </w:p>
    <w:p>
      <w:pPr>
        <w:spacing w:before="0"/>
        <w:ind w:left="116" w:right="117" w:firstLine="0"/>
        <w:jc w:val="both"/>
        <w:rPr>
          <w:sz w:val="26"/>
        </w:rPr>
      </w:pPr>
      <w:r>
        <w:rPr>
          <w:sz w:val="26"/>
        </w:rPr>
        <w:t>Universidad de Chile, s/f: </w:t>
      </w:r>
      <w:r>
        <w:rPr>
          <w:i/>
          <w:sz w:val="26"/>
        </w:rPr>
        <w:t>Conservación de suelos</w:t>
      </w:r>
      <w:r>
        <w:rPr>
          <w:sz w:val="26"/>
        </w:rPr>
        <w:t>, Chile: Editorial Facultad de Ciencias Agronómicas.</w:t>
      </w:r>
    </w:p>
    <w:p>
      <w:pPr>
        <w:pStyle w:val="BodyText"/>
        <w:spacing w:before="8"/>
        <w:rPr>
          <w:sz w:val="25"/>
        </w:rPr>
      </w:pPr>
    </w:p>
    <w:p>
      <w:pPr>
        <w:spacing w:line="242" w:lineRule="auto" w:before="0"/>
        <w:ind w:left="116" w:right="117" w:firstLine="0"/>
        <w:jc w:val="both"/>
        <w:rPr>
          <w:sz w:val="26"/>
        </w:rPr>
      </w:pPr>
      <w:r>
        <w:rPr>
          <w:sz w:val="26"/>
        </w:rPr>
        <w:t>Uribe, N., 2010: </w:t>
      </w:r>
      <w:r>
        <w:rPr>
          <w:i/>
          <w:sz w:val="26"/>
        </w:rPr>
        <w:t>Conceptos básicos y guía rápida para el usuario, Versión SWAT 2005</w:t>
      </w:r>
      <w:r>
        <w:rPr>
          <w:sz w:val="26"/>
        </w:rPr>
        <w:t>, Colombia: Editorial Centro Internacional de Agricultura Tropical.</w:t>
      </w:r>
    </w:p>
    <w:p>
      <w:pPr>
        <w:pStyle w:val="BodyText"/>
        <w:spacing w:before="6"/>
        <w:rPr>
          <w:sz w:val="25"/>
        </w:rPr>
      </w:pPr>
    </w:p>
    <w:p>
      <w:pPr>
        <w:spacing w:line="240" w:lineRule="auto" w:before="0"/>
        <w:ind w:left="116" w:right="118" w:firstLine="0"/>
        <w:jc w:val="both"/>
        <w:rPr>
          <w:sz w:val="26"/>
        </w:rPr>
      </w:pPr>
      <w:r>
        <w:rPr>
          <w:sz w:val="26"/>
        </w:rPr>
        <w:t>Uribe, N. y M. Quintero, 2011: </w:t>
      </w:r>
      <w:r>
        <w:rPr>
          <w:i/>
          <w:sz w:val="26"/>
        </w:rPr>
        <w:t>Aplicación del Modelo Hidrológico SWAT (Soil Water </w:t>
      </w:r>
      <w:r>
        <w:rPr>
          <w:i/>
          <w:sz w:val="26"/>
        </w:rPr>
        <w:t>Assessment Tool) a la cuenca del río Cañete</w:t>
      </w:r>
      <w:r>
        <w:rPr>
          <w:sz w:val="26"/>
        </w:rPr>
        <w:t>, Colombia: Editorial Centro Internacional de Agricultura Tropical.</w:t>
      </w:r>
    </w:p>
    <w:p>
      <w:pPr>
        <w:pStyle w:val="BodyText"/>
        <w:spacing w:before="9"/>
        <w:rPr>
          <w:sz w:val="25"/>
        </w:rPr>
      </w:pPr>
    </w:p>
    <w:p>
      <w:pPr>
        <w:spacing w:line="242" w:lineRule="auto" w:before="0"/>
        <w:ind w:left="116" w:right="115" w:firstLine="0"/>
        <w:jc w:val="both"/>
        <w:rPr>
          <w:sz w:val="26"/>
        </w:rPr>
      </w:pPr>
      <w:r>
        <w:rPr>
          <w:sz w:val="26"/>
        </w:rPr>
        <w:t>USDA Soil Conservation Service, 1986: </w:t>
      </w:r>
      <w:r>
        <w:rPr>
          <w:i/>
          <w:sz w:val="26"/>
        </w:rPr>
        <w:t>National Engineering Handbook </w:t>
      </w:r>
      <w:r>
        <w:rPr>
          <w:sz w:val="26"/>
        </w:rPr>
        <w:t>Section 4 Hidrology, Chapter 19.</w:t>
      </w:r>
    </w:p>
    <w:p>
      <w:pPr>
        <w:pStyle w:val="BodyText"/>
        <w:spacing w:before="5"/>
        <w:rPr>
          <w:sz w:val="25"/>
        </w:rPr>
      </w:pPr>
    </w:p>
    <w:p>
      <w:pPr>
        <w:spacing w:line="242" w:lineRule="auto" w:before="1"/>
        <w:ind w:left="116" w:right="115" w:firstLine="0"/>
        <w:jc w:val="both"/>
        <w:rPr>
          <w:sz w:val="26"/>
        </w:rPr>
      </w:pPr>
      <w:r>
        <w:rPr>
          <w:sz w:val="26"/>
        </w:rPr>
        <w:t>USDA Soil Conservation Service, 1972. </w:t>
      </w:r>
      <w:r>
        <w:rPr>
          <w:i/>
          <w:sz w:val="26"/>
        </w:rPr>
        <w:t>National Engineering Handbook </w:t>
      </w:r>
      <w:r>
        <w:rPr>
          <w:sz w:val="26"/>
        </w:rPr>
        <w:t>Section 4 Hidrology, Chapter 4-10.</w:t>
      </w:r>
    </w:p>
    <w:p>
      <w:pPr>
        <w:pStyle w:val="BodyText"/>
        <w:spacing w:before="6"/>
        <w:rPr>
          <w:sz w:val="25"/>
        </w:rPr>
      </w:pPr>
    </w:p>
    <w:p>
      <w:pPr>
        <w:spacing w:before="0"/>
        <w:ind w:left="116" w:right="116" w:firstLine="0"/>
        <w:jc w:val="both"/>
        <w:rPr>
          <w:sz w:val="26"/>
        </w:rPr>
      </w:pPr>
      <w:r>
        <w:rPr>
          <w:sz w:val="26"/>
        </w:rPr>
        <w:t>van</w:t>
      </w:r>
      <w:r>
        <w:rPr>
          <w:spacing w:val="-12"/>
          <w:sz w:val="26"/>
        </w:rPr>
        <w:t> </w:t>
      </w:r>
      <w:r>
        <w:rPr>
          <w:sz w:val="26"/>
        </w:rPr>
        <w:t>Griensven,</w:t>
      </w:r>
      <w:r>
        <w:rPr>
          <w:spacing w:val="-10"/>
          <w:sz w:val="26"/>
        </w:rPr>
        <w:t> </w:t>
      </w:r>
      <w:r>
        <w:rPr>
          <w:spacing w:val="-3"/>
          <w:sz w:val="26"/>
        </w:rPr>
        <w:t>A.</w:t>
      </w:r>
      <w:r>
        <w:rPr>
          <w:spacing w:val="-10"/>
          <w:sz w:val="26"/>
        </w:rPr>
        <w:t> </w:t>
      </w:r>
      <w:r>
        <w:rPr>
          <w:sz w:val="26"/>
        </w:rPr>
        <w:t>y</w:t>
      </w:r>
      <w:r>
        <w:rPr>
          <w:spacing w:val="-12"/>
          <w:sz w:val="26"/>
        </w:rPr>
        <w:t> </w:t>
      </w:r>
      <w:r>
        <w:rPr>
          <w:sz w:val="26"/>
        </w:rPr>
        <w:t>W.</w:t>
      </w:r>
      <w:r>
        <w:rPr>
          <w:spacing w:val="-14"/>
          <w:sz w:val="26"/>
        </w:rPr>
        <w:t> </w:t>
      </w:r>
      <w:r>
        <w:rPr>
          <w:sz w:val="26"/>
        </w:rPr>
        <w:t>Bauwens,</w:t>
      </w:r>
      <w:r>
        <w:rPr>
          <w:spacing w:val="-14"/>
          <w:sz w:val="26"/>
        </w:rPr>
        <w:t> </w:t>
      </w:r>
      <w:r>
        <w:rPr>
          <w:sz w:val="26"/>
        </w:rPr>
        <w:t>2003:</w:t>
      </w:r>
      <w:r>
        <w:rPr>
          <w:spacing w:val="-12"/>
          <w:sz w:val="26"/>
        </w:rPr>
        <w:t> </w:t>
      </w:r>
      <w:r>
        <w:rPr>
          <w:sz w:val="26"/>
        </w:rPr>
        <w:t>Multiobjective</w:t>
      </w:r>
      <w:r>
        <w:rPr>
          <w:spacing w:val="-9"/>
          <w:sz w:val="26"/>
        </w:rPr>
        <w:t> </w:t>
      </w:r>
      <w:r>
        <w:rPr>
          <w:i/>
          <w:sz w:val="26"/>
        </w:rPr>
        <w:t>autocalibration</w:t>
      </w:r>
      <w:r>
        <w:rPr>
          <w:i/>
          <w:spacing w:val="-12"/>
          <w:sz w:val="26"/>
        </w:rPr>
        <w:t> </w:t>
      </w:r>
      <w:r>
        <w:rPr>
          <w:i/>
          <w:sz w:val="26"/>
        </w:rPr>
        <w:t>for</w:t>
      </w:r>
      <w:r>
        <w:rPr>
          <w:i/>
          <w:spacing w:val="-12"/>
          <w:sz w:val="26"/>
        </w:rPr>
        <w:t> </w:t>
      </w:r>
      <w:r>
        <w:rPr>
          <w:i/>
          <w:sz w:val="26"/>
        </w:rPr>
        <w:t>semidistributed </w:t>
      </w:r>
      <w:r>
        <w:rPr>
          <w:i/>
          <w:sz w:val="26"/>
        </w:rPr>
        <w:t>water quality models, </w:t>
      </w:r>
      <w:r>
        <w:rPr>
          <w:sz w:val="26"/>
        </w:rPr>
        <w:t>EUA: Editorial Water Resour. Res</w:t>
      </w:r>
      <w:r>
        <w:rPr>
          <w:i/>
          <w:sz w:val="26"/>
        </w:rPr>
        <w:t>.</w:t>
      </w:r>
      <w:r>
        <w:rPr>
          <w:i/>
          <w:spacing w:val="-3"/>
          <w:sz w:val="26"/>
        </w:rPr>
        <w:t> </w:t>
      </w:r>
      <w:r>
        <w:rPr>
          <w:sz w:val="26"/>
        </w:rPr>
        <w:t>39(12).</w:t>
      </w:r>
    </w:p>
    <w:p>
      <w:pPr>
        <w:pStyle w:val="BodyText"/>
        <w:spacing w:before="2"/>
      </w:pPr>
    </w:p>
    <w:p>
      <w:pPr>
        <w:spacing w:before="0"/>
        <w:ind w:left="116" w:right="111" w:firstLine="0"/>
        <w:jc w:val="both"/>
        <w:rPr>
          <w:sz w:val="26"/>
        </w:rPr>
      </w:pPr>
      <w:r>
        <w:rPr>
          <w:sz w:val="26"/>
        </w:rPr>
        <w:t>Van Liew, M.W., J.G. Arnold y D.D. Bosch, 2005: </w:t>
      </w:r>
      <w:r>
        <w:rPr>
          <w:i/>
          <w:sz w:val="26"/>
        </w:rPr>
        <w:t>Problems and potential of </w:t>
      </w:r>
      <w:r>
        <w:rPr>
          <w:i/>
          <w:sz w:val="26"/>
        </w:rPr>
        <w:t>autocalibrating a hydrologic model</w:t>
      </w:r>
      <w:r>
        <w:rPr>
          <w:sz w:val="26"/>
        </w:rPr>
        <w:t>, EUA: Editorial Trans. ASAE 48(3).</w:t>
      </w:r>
    </w:p>
    <w:p>
      <w:pPr>
        <w:pStyle w:val="BodyText"/>
        <w:spacing w:before="2"/>
      </w:pPr>
    </w:p>
    <w:p>
      <w:pPr>
        <w:spacing w:before="0"/>
        <w:ind w:left="116" w:right="118" w:firstLine="0"/>
        <w:jc w:val="both"/>
        <w:rPr>
          <w:sz w:val="26"/>
        </w:rPr>
      </w:pPr>
      <w:r>
        <w:rPr>
          <w:sz w:val="26"/>
        </w:rPr>
        <w:t>Varela, E., 1992: “Planificación–Acción en Cuencas Hidrográficas: un enfoque empírico desestructurado o estructurante” en </w:t>
      </w:r>
      <w:r>
        <w:rPr>
          <w:i/>
          <w:sz w:val="26"/>
        </w:rPr>
        <w:t>Seminario Manejo Integral de Cuencas Hidrográficas </w:t>
      </w:r>
      <w:r>
        <w:rPr>
          <w:sz w:val="26"/>
        </w:rPr>
        <w:t>Medellín 20-23, España: AINSA.</w:t>
      </w:r>
    </w:p>
    <w:p>
      <w:pPr>
        <w:pStyle w:val="BodyText"/>
        <w:spacing w:before="2"/>
      </w:pPr>
    </w:p>
    <w:p>
      <w:pPr>
        <w:spacing w:line="240" w:lineRule="auto" w:before="0"/>
        <w:ind w:left="116" w:right="115" w:firstLine="0"/>
        <w:jc w:val="both"/>
        <w:rPr>
          <w:sz w:val="26"/>
        </w:rPr>
      </w:pPr>
      <w:r>
        <w:rPr>
          <w:sz w:val="26"/>
        </w:rPr>
        <w:t>Vásquez, G., 1997: </w:t>
      </w:r>
      <w:r>
        <w:rPr>
          <w:i/>
          <w:sz w:val="26"/>
        </w:rPr>
        <w:t>Consideraciones ambientales para la planificación de cuencas </w:t>
      </w:r>
      <w:r>
        <w:rPr>
          <w:i/>
          <w:sz w:val="26"/>
        </w:rPr>
        <w:t>hidrográficas en áreas de influencia cafetera en Colombia</w:t>
      </w:r>
      <w:r>
        <w:rPr>
          <w:sz w:val="26"/>
        </w:rPr>
        <w:t>, Colombia: Editorial Crónica Forestal y del Medio Ambiente 12: 79–88.</w:t>
      </w:r>
    </w:p>
    <w:p>
      <w:pPr>
        <w:pStyle w:val="BodyText"/>
        <w:spacing w:before="8"/>
        <w:rPr>
          <w:sz w:val="25"/>
        </w:rPr>
      </w:pPr>
    </w:p>
    <w:p>
      <w:pPr>
        <w:spacing w:before="0"/>
        <w:ind w:left="116" w:right="112" w:firstLine="0"/>
        <w:jc w:val="both"/>
        <w:rPr>
          <w:sz w:val="26"/>
        </w:rPr>
      </w:pPr>
      <w:r>
        <w:rPr>
          <w:sz w:val="26"/>
        </w:rPr>
        <w:t>Vélez, A., 1992: </w:t>
      </w:r>
      <w:r>
        <w:rPr>
          <w:i/>
          <w:sz w:val="26"/>
        </w:rPr>
        <w:t>Degradación del Medio Ambiente</w:t>
      </w:r>
      <w:r>
        <w:rPr>
          <w:sz w:val="26"/>
        </w:rPr>
        <w:t>, España: Editorial Ministerio de Cultura.</w:t>
      </w:r>
    </w:p>
    <w:p>
      <w:pPr>
        <w:pStyle w:val="BodyText"/>
        <w:spacing w:before="2"/>
      </w:pPr>
    </w:p>
    <w:p>
      <w:pPr>
        <w:pStyle w:val="BodyText"/>
        <w:ind w:left="116" w:right="122"/>
        <w:jc w:val="both"/>
      </w:pPr>
      <w:r>
        <w:rPr/>
        <w:t>Wischmeier, W.H. y D.D. Smith, 1978: Predicting rainfall losses: A guide to conservation planning, Washington, D.C.: Editorial: USDA Agricultural Handbook N° 537.</w:t>
      </w:r>
    </w:p>
    <w:p>
      <w:pPr>
        <w:pStyle w:val="BodyText"/>
        <w:spacing w:before="2"/>
      </w:pPr>
    </w:p>
    <w:p>
      <w:pPr>
        <w:spacing w:before="0"/>
        <w:ind w:left="116" w:right="115" w:firstLine="0"/>
        <w:jc w:val="both"/>
        <w:rPr>
          <w:sz w:val="26"/>
        </w:rPr>
      </w:pPr>
      <w:r>
        <w:rPr>
          <w:sz w:val="26"/>
        </w:rPr>
        <w:t>White,</w:t>
      </w:r>
      <w:r>
        <w:rPr>
          <w:spacing w:val="-8"/>
          <w:sz w:val="26"/>
        </w:rPr>
        <w:t> </w:t>
      </w:r>
      <w:r>
        <w:rPr>
          <w:sz w:val="26"/>
        </w:rPr>
        <w:t>M.</w:t>
      </w:r>
      <w:r>
        <w:rPr>
          <w:spacing w:val="-8"/>
          <w:sz w:val="26"/>
        </w:rPr>
        <w:t> </w:t>
      </w:r>
      <w:r>
        <w:rPr>
          <w:sz w:val="26"/>
        </w:rPr>
        <w:t>J.,</w:t>
      </w:r>
      <w:r>
        <w:rPr>
          <w:spacing w:val="-12"/>
          <w:sz w:val="26"/>
        </w:rPr>
        <w:t> </w:t>
      </w:r>
      <w:r>
        <w:rPr>
          <w:sz w:val="26"/>
        </w:rPr>
        <w:t>R.</w:t>
      </w:r>
      <w:r>
        <w:rPr>
          <w:spacing w:val="-8"/>
          <w:sz w:val="26"/>
        </w:rPr>
        <w:t> </w:t>
      </w:r>
      <w:r>
        <w:rPr>
          <w:sz w:val="26"/>
        </w:rPr>
        <w:t>D.</w:t>
      </w:r>
      <w:r>
        <w:rPr>
          <w:spacing w:val="-8"/>
          <w:sz w:val="26"/>
        </w:rPr>
        <w:t> </w:t>
      </w:r>
      <w:r>
        <w:rPr>
          <w:sz w:val="26"/>
        </w:rPr>
        <w:t>Harmel,</w:t>
      </w:r>
      <w:r>
        <w:rPr>
          <w:spacing w:val="-8"/>
          <w:sz w:val="26"/>
        </w:rPr>
        <w:t> </w:t>
      </w:r>
      <w:r>
        <w:rPr>
          <w:sz w:val="26"/>
        </w:rPr>
        <w:t>J.</w:t>
      </w:r>
      <w:r>
        <w:rPr>
          <w:spacing w:val="-8"/>
          <w:sz w:val="26"/>
        </w:rPr>
        <w:t> </w:t>
      </w:r>
      <w:r>
        <w:rPr>
          <w:sz w:val="26"/>
        </w:rPr>
        <w:t>G.</w:t>
      </w:r>
      <w:r>
        <w:rPr>
          <w:spacing w:val="-12"/>
          <w:sz w:val="26"/>
        </w:rPr>
        <w:t> </w:t>
      </w:r>
      <w:r>
        <w:rPr>
          <w:sz w:val="26"/>
        </w:rPr>
        <w:t>Arnold</w:t>
      </w:r>
      <w:r>
        <w:rPr>
          <w:spacing w:val="-10"/>
          <w:sz w:val="26"/>
        </w:rPr>
        <w:t> </w:t>
      </w:r>
      <w:r>
        <w:rPr>
          <w:sz w:val="26"/>
        </w:rPr>
        <w:t>y</w:t>
      </w:r>
      <w:r>
        <w:rPr>
          <w:spacing w:val="-10"/>
          <w:sz w:val="26"/>
        </w:rPr>
        <w:t> </w:t>
      </w:r>
      <w:r>
        <w:rPr>
          <w:sz w:val="26"/>
        </w:rPr>
        <w:t>J.</w:t>
      </w:r>
      <w:r>
        <w:rPr>
          <w:spacing w:val="-8"/>
          <w:sz w:val="26"/>
        </w:rPr>
        <w:t> </w:t>
      </w:r>
      <w:r>
        <w:rPr>
          <w:sz w:val="26"/>
        </w:rPr>
        <w:t>R.</w:t>
      </w:r>
      <w:r>
        <w:rPr>
          <w:spacing w:val="-8"/>
          <w:sz w:val="26"/>
        </w:rPr>
        <w:t> </w:t>
      </w:r>
      <w:r>
        <w:rPr>
          <w:sz w:val="26"/>
        </w:rPr>
        <w:t>Williams,</w:t>
      </w:r>
      <w:r>
        <w:rPr>
          <w:spacing w:val="-8"/>
          <w:sz w:val="26"/>
        </w:rPr>
        <w:t> </w:t>
      </w:r>
      <w:r>
        <w:rPr>
          <w:sz w:val="26"/>
        </w:rPr>
        <w:t>2012</w:t>
      </w:r>
      <w:r>
        <w:rPr>
          <w:i/>
          <w:sz w:val="26"/>
        </w:rPr>
        <w:t>:</w:t>
      </w:r>
      <w:r>
        <w:rPr>
          <w:i/>
          <w:spacing w:val="-10"/>
          <w:sz w:val="26"/>
        </w:rPr>
        <w:t> </w:t>
      </w:r>
      <w:r>
        <w:rPr>
          <w:i/>
          <w:sz w:val="26"/>
        </w:rPr>
        <w:t>SWAT</w:t>
      </w:r>
      <w:r>
        <w:rPr>
          <w:i/>
          <w:spacing w:val="-10"/>
          <w:sz w:val="26"/>
        </w:rPr>
        <w:t> </w:t>
      </w:r>
      <w:r>
        <w:rPr>
          <w:i/>
          <w:sz w:val="26"/>
        </w:rPr>
        <w:t>Check:</w:t>
      </w:r>
      <w:r>
        <w:rPr>
          <w:i/>
          <w:spacing w:val="-9"/>
          <w:sz w:val="26"/>
        </w:rPr>
        <w:t> </w:t>
      </w:r>
      <w:r>
        <w:rPr>
          <w:i/>
          <w:sz w:val="26"/>
        </w:rPr>
        <w:t>A</w:t>
      </w:r>
      <w:r>
        <w:rPr>
          <w:i/>
          <w:spacing w:val="-10"/>
          <w:sz w:val="26"/>
        </w:rPr>
        <w:t> </w:t>
      </w:r>
      <w:r>
        <w:rPr>
          <w:i/>
          <w:sz w:val="26"/>
        </w:rPr>
        <w:t>screening </w:t>
      </w:r>
      <w:r>
        <w:rPr>
          <w:i/>
          <w:sz w:val="26"/>
        </w:rPr>
        <w:t>tool</w:t>
      </w:r>
      <w:r>
        <w:rPr>
          <w:i/>
          <w:spacing w:val="32"/>
          <w:sz w:val="26"/>
        </w:rPr>
        <w:t> </w:t>
      </w:r>
      <w:r>
        <w:rPr>
          <w:i/>
          <w:sz w:val="26"/>
        </w:rPr>
        <w:t>to</w:t>
      </w:r>
      <w:r>
        <w:rPr>
          <w:i/>
          <w:spacing w:val="32"/>
          <w:sz w:val="26"/>
        </w:rPr>
        <w:t> </w:t>
      </w:r>
      <w:r>
        <w:rPr>
          <w:i/>
          <w:sz w:val="26"/>
        </w:rPr>
        <w:t>assist</w:t>
      </w:r>
      <w:r>
        <w:rPr>
          <w:i/>
          <w:spacing w:val="32"/>
          <w:sz w:val="26"/>
        </w:rPr>
        <w:t> </w:t>
      </w:r>
      <w:r>
        <w:rPr>
          <w:i/>
          <w:sz w:val="26"/>
        </w:rPr>
        <w:t>users</w:t>
      </w:r>
      <w:r>
        <w:rPr>
          <w:i/>
          <w:spacing w:val="34"/>
          <w:sz w:val="26"/>
        </w:rPr>
        <w:t> </w:t>
      </w:r>
      <w:r>
        <w:rPr>
          <w:i/>
          <w:sz w:val="26"/>
        </w:rPr>
        <w:t>in</w:t>
      </w:r>
      <w:r>
        <w:rPr>
          <w:i/>
          <w:spacing w:val="32"/>
          <w:sz w:val="26"/>
        </w:rPr>
        <w:t> </w:t>
      </w:r>
      <w:r>
        <w:rPr>
          <w:i/>
          <w:sz w:val="26"/>
        </w:rPr>
        <w:t>the</w:t>
      </w:r>
      <w:r>
        <w:rPr>
          <w:i/>
          <w:spacing w:val="27"/>
          <w:sz w:val="26"/>
        </w:rPr>
        <w:t> </w:t>
      </w:r>
      <w:r>
        <w:rPr>
          <w:i/>
          <w:sz w:val="26"/>
        </w:rPr>
        <w:t>identification</w:t>
      </w:r>
      <w:r>
        <w:rPr>
          <w:i/>
          <w:spacing w:val="32"/>
          <w:sz w:val="26"/>
        </w:rPr>
        <w:t> </w:t>
      </w:r>
      <w:r>
        <w:rPr>
          <w:i/>
          <w:sz w:val="26"/>
        </w:rPr>
        <w:t>of</w:t>
      </w:r>
      <w:r>
        <w:rPr>
          <w:i/>
          <w:spacing w:val="32"/>
          <w:sz w:val="26"/>
        </w:rPr>
        <w:t> </w:t>
      </w:r>
      <w:r>
        <w:rPr>
          <w:i/>
          <w:sz w:val="26"/>
        </w:rPr>
        <w:t>potential</w:t>
      </w:r>
      <w:r>
        <w:rPr>
          <w:i/>
          <w:spacing w:val="32"/>
          <w:sz w:val="26"/>
        </w:rPr>
        <w:t> </w:t>
      </w:r>
      <w:r>
        <w:rPr>
          <w:i/>
          <w:sz w:val="26"/>
        </w:rPr>
        <w:t>model</w:t>
      </w:r>
      <w:r>
        <w:rPr>
          <w:i/>
          <w:spacing w:val="32"/>
          <w:sz w:val="26"/>
        </w:rPr>
        <w:t> </w:t>
      </w:r>
      <w:r>
        <w:rPr>
          <w:i/>
          <w:sz w:val="26"/>
        </w:rPr>
        <w:t>application</w:t>
      </w:r>
      <w:r>
        <w:rPr>
          <w:i/>
          <w:spacing w:val="32"/>
          <w:sz w:val="26"/>
        </w:rPr>
        <w:t> </w:t>
      </w:r>
      <w:r>
        <w:rPr>
          <w:i/>
          <w:sz w:val="26"/>
        </w:rPr>
        <w:t>problems</w:t>
      </w:r>
      <w:r>
        <w:rPr>
          <w:sz w:val="26"/>
        </w:rPr>
        <w:t>,</w:t>
      </w:r>
      <w:r>
        <w:rPr>
          <w:spacing w:val="34"/>
          <w:sz w:val="26"/>
        </w:rPr>
        <w:t> </w:t>
      </w:r>
      <w:r>
        <w:rPr>
          <w:sz w:val="26"/>
        </w:rPr>
        <w:t>EUA:</w:t>
      </w:r>
    </w:p>
    <w:p>
      <w:pPr>
        <w:spacing w:after="0"/>
        <w:jc w:val="both"/>
        <w:rPr>
          <w:sz w:val="26"/>
        </w:rPr>
        <w:sectPr>
          <w:footerReference w:type="default" r:id="rId193"/>
          <w:pgSz w:w="12240" w:h="15840"/>
          <w:pgMar w:footer="1473" w:header="0" w:top="1500" w:bottom="1660" w:left="1300" w:right="1300"/>
        </w:sectPr>
      </w:pPr>
    </w:p>
    <w:p>
      <w:pPr>
        <w:pStyle w:val="BodyText"/>
        <w:spacing w:line="242" w:lineRule="auto" w:before="49"/>
        <w:ind w:left="116" w:right="116"/>
        <w:jc w:val="both"/>
      </w:pPr>
      <w:r>
        <w:rPr/>
        <w:t>Editorial J. Environ. Quality (in press). Available at: </w:t>
      </w:r>
      <w:hyperlink r:id="rId195">
        <w:r>
          <w:rPr/>
          <w:t>http://swatmodel.tamu.edu/software/swat-check</w:t>
        </w:r>
      </w:hyperlink>
    </w:p>
    <w:p>
      <w:pPr>
        <w:pStyle w:val="BodyText"/>
        <w:spacing w:before="6"/>
        <w:rPr>
          <w:sz w:val="25"/>
        </w:rPr>
      </w:pPr>
    </w:p>
    <w:p>
      <w:pPr>
        <w:spacing w:line="240" w:lineRule="auto" w:before="0"/>
        <w:ind w:left="116" w:right="115" w:firstLine="0"/>
        <w:jc w:val="both"/>
        <w:rPr>
          <w:sz w:val="26"/>
        </w:rPr>
      </w:pPr>
      <w:r>
        <w:rPr>
          <w:sz w:val="26"/>
        </w:rPr>
        <w:t>Yarrow, M., s/f: </w:t>
      </w:r>
      <w:r>
        <w:rPr>
          <w:i/>
          <w:sz w:val="26"/>
        </w:rPr>
        <w:t>El Manejo Integrado de Cuencas Aplicaciones del Modelo SWAT; </w:t>
      </w:r>
      <w:r>
        <w:rPr>
          <w:i/>
          <w:sz w:val="26"/>
        </w:rPr>
        <w:t>ecomanage: Integrated Ecological Coast Zone Management System, </w:t>
      </w:r>
      <w:r>
        <w:rPr>
          <w:sz w:val="26"/>
        </w:rPr>
        <w:t>Chile: Editorial LME-U Chile.</w:t>
      </w:r>
    </w:p>
    <w:p>
      <w:pPr>
        <w:pStyle w:val="BodyText"/>
        <w:spacing w:before="8"/>
        <w:rPr>
          <w:sz w:val="25"/>
        </w:rPr>
      </w:pPr>
    </w:p>
    <w:p>
      <w:pPr>
        <w:pStyle w:val="BodyText"/>
        <w:ind w:left="116" w:right="114"/>
        <w:jc w:val="both"/>
      </w:pPr>
      <w:r>
        <w:rPr/>
        <w:t>Yüksel, A., A.E. Akay, R. Gundogan, M. Reis y M. Cetiner, 2008: “Application of GeoWEPP for determining sediment yield and runoff in the Orcan Creek Watershed in Kahramanmaras</w:t>
      </w:r>
      <w:r>
        <w:rPr>
          <w:i/>
        </w:rPr>
        <w:t>” </w:t>
      </w:r>
      <w:r>
        <w:rPr/>
        <w:t>en </w:t>
      </w:r>
      <w:r>
        <w:rPr>
          <w:i/>
        </w:rPr>
        <w:t>Revista Sensors 8, 1222–1236</w:t>
      </w:r>
      <w:r>
        <w:rPr/>
        <w:t>, Turkey: Kahramanmaras Sutcu Imam University.</w:t>
      </w:r>
    </w:p>
    <w:p>
      <w:pPr>
        <w:spacing w:after="0"/>
        <w:jc w:val="both"/>
        <w:sectPr>
          <w:footerReference w:type="default" r:id="rId194"/>
          <w:pgSz w:w="12240" w:h="15840"/>
          <w:pgMar w:footer="1473" w:header="0" w:top="1360" w:bottom="1660" w:left="1300" w:right="1300"/>
          <w:pgNumType w:start="171"/>
        </w:sectPr>
      </w:pPr>
    </w:p>
    <w:p>
      <w:pPr>
        <w:pStyle w:val="Heading1"/>
        <w:spacing w:before="53"/>
        <w:ind w:left="336"/>
      </w:pPr>
      <w:bookmarkStart w:name="_bookmark137" w:id="196"/>
      <w:bookmarkEnd w:id="196"/>
      <w:r>
        <w:rPr>
          <w:b w:val="0"/>
        </w:rPr>
      </w:r>
      <w:r>
        <w:rPr/>
        <w:t>ANEXOS</w:t>
      </w:r>
    </w:p>
    <w:p>
      <w:pPr>
        <w:pStyle w:val="BodyText"/>
        <w:rPr>
          <w:b/>
          <w:sz w:val="20"/>
        </w:rPr>
      </w:pPr>
    </w:p>
    <w:p>
      <w:pPr>
        <w:pStyle w:val="BodyText"/>
        <w:spacing w:before="9"/>
        <w:rPr>
          <w:b/>
          <w:sz w:val="21"/>
        </w:rPr>
      </w:pPr>
    </w:p>
    <w:p>
      <w:pPr>
        <w:pStyle w:val="ListParagraph"/>
        <w:numPr>
          <w:ilvl w:val="1"/>
          <w:numId w:val="53"/>
        </w:numPr>
        <w:tabs>
          <w:tab w:pos="2186" w:val="left" w:leader="none"/>
        </w:tabs>
        <w:spacing w:line="240" w:lineRule="auto" w:before="66" w:after="0"/>
        <w:ind w:left="2955" w:right="0" w:hanging="1130"/>
        <w:jc w:val="left"/>
        <w:rPr>
          <w:b/>
          <w:sz w:val="26"/>
        </w:rPr>
      </w:pPr>
      <w:r>
        <w:rPr>
          <w:b/>
          <w:sz w:val="26"/>
        </w:rPr>
        <w:t>BALANCE HÍDRICO DE LA CUENCA EL</w:t>
      </w:r>
      <w:r>
        <w:rPr>
          <w:b/>
          <w:spacing w:val="-17"/>
          <w:sz w:val="26"/>
        </w:rPr>
        <w:t> </w:t>
      </w:r>
      <w:r>
        <w:rPr>
          <w:b/>
          <w:sz w:val="26"/>
        </w:rPr>
        <w:t>TEJOCOTE</w:t>
      </w:r>
    </w:p>
    <w:p>
      <w:pPr>
        <w:pStyle w:val="BodyText"/>
        <w:spacing w:before="10"/>
        <w:rPr>
          <w:b/>
          <w:sz w:val="17"/>
        </w:rPr>
      </w:pPr>
      <w:r>
        <w:rPr/>
        <w:drawing>
          <wp:anchor distT="0" distB="0" distL="0" distR="0" allowOverlap="1" layoutInCell="1" locked="0" behindDoc="0" simplePos="0" relativeHeight="6784">
            <wp:simplePos x="0" y="0"/>
            <wp:positionH relativeFrom="page">
              <wp:posOffset>752855</wp:posOffset>
            </wp:positionH>
            <wp:positionV relativeFrom="paragraph">
              <wp:posOffset>155676</wp:posOffset>
            </wp:positionV>
            <wp:extent cx="5946441" cy="5430678"/>
            <wp:effectExtent l="0" t="0" r="0" b="0"/>
            <wp:wrapTopAndBottom/>
            <wp:docPr id="45" name="image131.jpeg" descr=""/>
            <wp:cNvGraphicFramePr>
              <a:graphicFrameLocks noChangeAspect="1"/>
            </wp:cNvGraphicFramePr>
            <a:graphic>
              <a:graphicData uri="http://schemas.openxmlformats.org/drawingml/2006/picture">
                <pic:pic>
                  <pic:nvPicPr>
                    <pic:cNvPr id="46" name="image131.jpeg"/>
                    <pic:cNvPicPr/>
                  </pic:nvPicPr>
                  <pic:blipFill>
                    <a:blip r:embed="rId196" cstate="print"/>
                    <a:stretch>
                      <a:fillRect/>
                    </a:stretch>
                  </pic:blipFill>
                  <pic:spPr>
                    <a:xfrm>
                      <a:off x="0" y="0"/>
                      <a:ext cx="5946441" cy="5430678"/>
                    </a:xfrm>
                    <a:prstGeom prst="rect">
                      <a:avLst/>
                    </a:prstGeom>
                  </pic:spPr>
                </pic:pic>
              </a:graphicData>
            </a:graphic>
          </wp:anchor>
        </w:drawing>
      </w:r>
    </w:p>
    <w:p>
      <w:pPr>
        <w:pStyle w:val="BodyText"/>
        <w:spacing w:before="9"/>
        <w:rPr>
          <w:b/>
          <w:sz w:val="21"/>
        </w:rPr>
      </w:pPr>
    </w:p>
    <w:p>
      <w:pPr>
        <w:pStyle w:val="BodyText"/>
        <w:spacing w:before="1"/>
        <w:ind w:left="2646"/>
      </w:pPr>
      <w:r>
        <w:rPr/>
        <w:t>Figura 1. Ciclo hidrológico de la Cuenca El Tejocote</w:t>
      </w:r>
    </w:p>
    <w:p>
      <w:pPr>
        <w:spacing w:after="0"/>
        <w:sectPr>
          <w:pgSz w:w="12240" w:h="15840"/>
          <w:pgMar w:header="0" w:footer="1473" w:top="1360" w:bottom="1660" w:left="1080" w:right="1300"/>
        </w:sectPr>
      </w:pPr>
    </w:p>
    <w:p>
      <w:pPr>
        <w:pStyle w:val="BodyText"/>
        <w:rPr>
          <w:sz w:val="20"/>
        </w:rPr>
      </w:pPr>
    </w:p>
    <w:p>
      <w:pPr>
        <w:pStyle w:val="BodyText"/>
        <w:spacing w:before="6"/>
        <w:rPr>
          <w:sz w:val="18"/>
        </w:rPr>
      </w:pPr>
    </w:p>
    <w:p>
      <w:pPr>
        <w:pStyle w:val="Heading1"/>
        <w:spacing w:before="66"/>
        <w:ind w:left="1374" w:right="118"/>
      </w:pPr>
      <w:bookmarkStart w:name="_bookmark138" w:id="197"/>
      <w:bookmarkEnd w:id="197"/>
      <w:r>
        <w:rPr>
          <w:b w:val="0"/>
        </w:rPr>
      </w:r>
      <w:r>
        <w:rPr/>
        <w:t>Tabla 1.  Resultados ciclo hidrológico de la cuenca El Tejocote</w:t>
      </w:r>
    </w:p>
    <w:p>
      <w:pPr>
        <w:pStyle w:val="BodyText"/>
        <w:rPr>
          <w:b/>
        </w:rPr>
      </w:pPr>
    </w:p>
    <w:p>
      <w:pPr>
        <w:pStyle w:val="BodyText"/>
        <w:spacing w:before="199"/>
        <w:ind w:left="116" w:right="118"/>
      </w:pPr>
      <w:r>
        <w:rPr/>
        <w:t>AVE ANNUAL BASIN VALUES</w:t>
      </w:r>
    </w:p>
    <w:p>
      <w:pPr>
        <w:pStyle w:val="BodyText"/>
        <w:spacing w:before="2"/>
      </w:pPr>
    </w:p>
    <w:p>
      <w:pPr>
        <w:pStyle w:val="BodyText"/>
        <w:tabs>
          <w:tab w:pos="2381" w:val="left" w:leader="none"/>
          <w:tab w:pos="2980" w:val="left" w:leader="none"/>
          <w:tab w:pos="3105" w:val="left" w:leader="none"/>
        </w:tabs>
        <w:ind w:left="1033" w:right="5554"/>
      </w:pPr>
      <w:r>
        <w:rPr/>
        <w:t>PRECIP</w:t>
      </w:r>
      <w:r>
        <w:rPr>
          <w:spacing w:val="-2"/>
        </w:rPr>
        <w:t> </w:t>
      </w:r>
      <w:r>
        <w:rPr/>
        <w:t>=</w:t>
        <w:tab/>
        <w:t>837.2</w:t>
      </w:r>
      <w:r>
        <w:rPr>
          <w:spacing w:val="-1"/>
        </w:rPr>
        <w:t> </w:t>
      </w:r>
      <w:r>
        <w:rPr/>
        <w:t>MM</w:t>
      </w:r>
      <w:r>
        <w:rPr>
          <w:w w:val="99"/>
        </w:rPr>
        <w:t> </w:t>
      </w:r>
      <w:r>
        <w:rPr/>
        <w:t>SNOW</w:t>
      </w:r>
      <w:r>
        <w:rPr>
          <w:spacing w:val="-1"/>
        </w:rPr>
        <w:t> </w:t>
      </w:r>
      <w:r>
        <w:rPr/>
        <w:t>FALL</w:t>
      </w:r>
      <w:r>
        <w:rPr>
          <w:spacing w:val="-6"/>
        </w:rPr>
        <w:t> </w:t>
      </w:r>
      <w:r>
        <w:rPr/>
        <w:t>=</w:t>
        <w:tab/>
        <w:t>0.00 MM</w:t>
      </w:r>
      <w:r>
        <w:rPr>
          <w:w w:val="99"/>
        </w:rPr>
        <w:t> </w:t>
      </w:r>
      <w:r>
        <w:rPr/>
        <w:t>SNOW</w:t>
      </w:r>
      <w:r>
        <w:rPr>
          <w:spacing w:val="-2"/>
        </w:rPr>
        <w:t> </w:t>
      </w:r>
      <w:r>
        <w:rPr/>
        <w:t>MELT</w:t>
      </w:r>
      <w:r>
        <w:rPr>
          <w:spacing w:val="-3"/>
        </w:rPr>
        <w:t> </w:t>
      </w:r>
      <w:r>
        <w:rPr/>
        <w:t>=</w:t>
        <w:tab/>
        <w:tab/>
        <w:t>0.00</w:t>
      </w:r>
      <w:r>
        <w:rPr>
          <w:spacing w:val="-5"/>
        </w:rPr>
        <w:t> </w:t>
      </w:r>
      <w:r>
        <w:rPr/>
        <w:t>MM</w:t>
      </w:r>
    </w:p>
    <w:p>
      <w:pPr>
        <w:pStyle w:val="BodyText"/>
        <w:tabs>
          <w:tab w:pos="3355" w:val="left" w:leader="none"/>
          <w:tab w:pos="3580" w:val="left" w:leader="none"/>
        </w:tabs>
        <w:spacing w:before="3"/>
        <w:ind w:left="1033" w:right="4447"/>
      </w:pPr>
      <w:r>
        <w:rPr/>
        <w:t>SUBLIMATION</w:t>
      </w:r>
      <w:r>
        <w:rPr>
          <w:spacing w:val="-3"/>
        </w:rPr>
        <w:t> </w:t>
      </w:r>
      <w:r>
        <w:rPr/>
        <w:t>=</w:t>
        <w:tab/>
        <w:t>0.00 MM</w:t>
      </w:r>
      <w:r>
        <w:rPr>
          <w:w w:val="99"/>
        </w:rPr>
        <w:t> </w:t>
      </w:r>
      <w:r>
        <w:rPr/>
        <w:t>SURFACE RUNOFF Q = 125.84 MM LATERAL SOIL</w:t>
      </w:r>
      <w:r>
        <w:rPr>
          <w:spacing w:val="-9"/>
        </w:rPr>
        <w:t> </w:t>
      </w:r>
      <w:r>
        <w:rPr/>
        <w:t>Q</w:t>
      </w:r>
      <w:r>
        <w:rPr>
          <w:spacing w:val="-3"/>
        </w:rPr>
        <w:t> </w:t>
      </w:r>
      <w:r>
        <w:rPr/>
        <w:t>=</w:t>
        <w:tab/>
        <w:tab/>
        <w:t>9.60</w:t>
      </w:r>
      <w:r>
        <w:rPr>
          <w:spacing w:val="-5"/>
        </w:rPr>
        <w:t> </w:t>
      </w:r>
      <w:r>
        <w:rPr/>
        <w:t>MM</w:t>
      </w:r>
    </w:p>
    <w:p>
      <w:pPr>
        <w:pStyle w:val="BodyText"/>
        <w:tabs>
          <w:tab w:pos="2380" w:val="left" w:leader="none"/>
        </w:tabs>
        <w:spacing w:line="298" w:lineRule="exact" w:before="3"/>
        <w:ind w:left="1033" w:right="118"/>
      </w:pPr>
      <w:r>
        <w:rPr>
          <w:spacing w:val="-3"/>
        </w:rPr>
        <w:t>TILE</w:t>
      </w:r>
      <w:r>
        <w:rPr/>
        <w:t> Q =</w:t>
        <w:tab/>
        <w:t>0.00 MM</w:t>
      </w:r>
    </w:p>
    <w:p>
      <w:pPr>
        <w:pStyle w:val="BodyText"/>
        <w:tabs>
          <w:tab w:pos="4055" w:val="left" w:leader="none"/>
          <w:tab w:pos="5116" w:val="left" w:leader="none"/>
          <w:tab w:pos="5211" w:val="left" w:leader="none"/>
          <w:tab w:pos="5763" w:val="left" w:leader="none"/>
        </w:tabs>
        <w:ind w:left="1033" w:right="2891"/>
      </w:pPr>
      <w:r>
        <w:rPr/>
        <w:t>GROUNDWATER (SHAL AQ)</w:t>
      </w:r>
      <w:r>
        <w:rPr>
          <w:spacing w:val="-6"/>
        </w:rPr>
        <w:t> </w:t>
      </w:r>
      <w:r>
        <w:rPr/>
        <w:t>Q</w:t>
      </w:r>
      <w:r>
        <w:rPr>
          <w:spacing w:val="-1"/>
        </w:rPr>
        <w:t> </w:t>
      </w:r>
      <w:r>
        <w:rPr/>
        <w:t>=</w:t>
        <w:tab/>
        <w:tab/>
        <w:t>0.00</w:t>
      </w:r>
      <w:r>
        <w:rPr>
          <w:spacing w:val="-4"/>
        </w:rPr>
        <w:t> </w:t>
      </w:r>
      <w:r>
        <w:rPr/>
        <w:t>MM</w:t>
      </w:r>
      <w:r>
        <w:rPr>
          <w:w w:val="99"/>
        </w:rPr>
        <w:t> </w:t>
      </w:r>
      <w:r>
        <w:rPr/>
        <w:t>GROUNDWATER (DEEP AQ)</w:t>
      </w:r>
      <w:r>
        <w:rPr>
          <w:spacing w:val="-5"/>
        </w:rPr>
        <w:t> </w:t>
      </w:r>
      <w:r>
        <w:rPr/>
        <w:t>Q</w:t>
      </w:r>
      <w:r>
        <w:rPr>
          <w:spacing w:val="-1"/>
        </w:rPr>
        <w:t> </w:t>
      </w:r>
      <w:r>
        <w:rPr/>
        <w:t>=</w:t>
        <w:tab/>
        <w:t>93.83</w:t>
      </w:r>
      <w:r>
        <w:rPr>
          <w:spacing w:val="-5"/>
        </w:rPr>
        <w:t> </w:t>
      </w:r>
      <w:r>
        <w:rPr/>
        <w:t>MM</w:t>
      </w:r>
      <w:r>
        <w:rPr>
          <w:w w:val="99"/>
        </w:rPr>
        <w:t> </w:t>
      </w:r>
      <w:r>
        <w:rPr/>
        <w:t>REVAP (SHAL </w:t>
      </w:r>
      <w:r>
        <w:rPr>
          <w:spacing w:val="-3"/>
        </w:rPr>
        <w:t>AQ </w:t>
      </w:r>
      <w:r>
        <w:rPr/>
        <w:t>=&gt;</w:t>
      </w:r>
      <w:r>
        <w:rPr>
          <w:spacing w:val="-4"/>
        </w:rPr>
        <w:t> </w:t>
      </w:r>
      <w:r>
        <w:rPr/>
        <w:t>SOIL/PLANTS)</w:t>
      </w:r>
      <w:r>
        <w:rPr>
          <w:spacing w:val="-2"/>
        </w:rPr>
        <w:t> </w:t>
      </w:r>
      <w:r>
        <w:rPr/>
        <w:t>=</w:t>
        <w:tab/>
        <w:t>0.00 MM</w:t>
      </w:r>
      <w:r>
        <w:rPr>
          <w:w w:val="99"/>
        </w:rPr>
        <w:t> </w:t>
      </w:r>
      <w:r>
        <w:rPr/>
        <w:t>DEEP </w:t>
      </w:r>
      <w:r>
        <w:rPr>
          <w:spacing w:val="-3"/>
        </w:rPr>
        <w:t>AQ</w:t>
      </w:r>
      <w:r>
        <w:rPr>
          <w:spacing w:val="-6"/>
        </w:rPr>
        <w:t> </w:t>
      </w:r>
      <w:r>
        <w:rPr/>
        <w:t>RECHARGE</w:t>
      </w:r>
      <w:r>
        <w:rPr>
          <w:spacing w:val="-1"/>
        </w:rPr>
        <w:t> </w:t>
      </w:r>
      <w:r>
        <w:rPr/>
        <w:t>=</w:t>
        <w:tab/>
        <w:t>98.33 </w:t>
      </w:r>
      <w:r>
        <w:rPr>
          <w:spacing w:val="-3"/>
        </w:rPr>
        <w:t>MM</w:t>
      </w:r>
    </w:p>
    <w:p>
      <w:pPr>
        <w:pStyle w:val="BodyText"/>
        <w:tabs>
          <w:tab w:pos="1819" w:val="left" w:leader="none"/>
        </w:tabs>
        <w:ind w:left="1033" w:right="3648"/>
      </w:pPr>
      <w:r>
        <w:rPr/>
        <w:t>TOTAL </w:t>
      </w:r>
      <w:r>
        <w:rPr>
          <w:spacing w:val="-3"/>
        </w:rPr>
        <w:t>AQ </w:t>
      </w:r>
      <w:r>
        <w:rPr/>
        <w:t>RECHARGE = 98.33 MM TOTAL WATER YLD = 231.91 </w:t>
      </w:r>
      <w:r>
        <w:rPr>
          <w:spacing w:val="-3"/>
        </w:rPr>
        <w:t>MM </w:t>
      </w:r>
      <w:r>
        <w:rPr/>
        <w:t>PERCOLATION OUT OF SOIL = 106.27</w:t>
      </w:r>
      <w:r>
        <w:rPr>
          <w:spacing w:val="-14"/>
        </w:rPr>
        <w:t> </w:t>
      </w:r>
      <w:r>
        <w:rPr/>
        <w:t>MM ET</w:t>
      </w:r>
      <w:r>
        <w:rPr>
          <w:spacing w:val="-4"/>
        </w:rPr>
        <w:t> </w:t>
      </w:r>
      <w:r>
        <w:rPr/>
        <w:t>=</w:t>
        <w:tab/>
        <w:t>598.9</w:t>
      </w:r>
      <w:r>
        <w:rPr>
          <w:spacing w:val="-6"/>
        </w:rPr>
        <w:t> </w:t>
      </w:r>
      <w:r>
        <w:rPr/>
        <w:t>MM</w:t>
      </w:r>
    </w:p>
    <w:p>
      <w:pPr>
        <w:pStyle w:val="BodyText"/>
        <w:spacing w:line="297" w:lineRule="exact"/>
        <w:ind w:left="1033" w:right="118"/>
      </w:pPr>
      <w:r>
        <w:rPr/>
        <w:t>PET = </w:t>
      </w:r>
      <w:r>
        <w:rPr>
          <w:spacing w:val="56"/>
        </w:rPr>
        <w:t> </w:t>
      </w:r>
      <w:r>
        <w:rPr/>
        <w:t>1194.1MM</w:t>
      </w:r>
    </w:p>
    <w:p>
      <w:pPr>
        <w:pStyle w:val="BodyText"/>
        <w:tabs>
          <w:tab w:pos="3637" w:val="left" w:leader="none"/>
          <w:tab w:pos="4491" w:val="left" w:leader="none"/>
        </w:tabs>
        <w:spacing w:line="242" w:lineRule="auto"/>
        <w:ind w:left="1033" w:right="4172"/>
      </w:pPr>
      <w:r>
        <w:rPr/>
        <w:t>TRANSMISSION</w:t>
      </w:r>
      <w:r>
        <w:rPr>
          <w:spacing w:val="-3"/>
        </w:rPr>
        <w:t> </w:t>
      </w:r>
      <w:r>
        <w:rPr/>
        <w:t>LOSSES</w:t>
      </w:r>
      <w:r>
        <w:rPr>
          <w:spacing w:val="-7"/>
        </w:rPr>
        <w:t> </w:t>
      </w:r>
      <w:r>
        <w:rPr/>
        <w:t>=</w:t>
        <w:tab/>
        <w:t>0.00</w:t>
      </w:r>
      <w:r>
        <w:rPr>
          <w:spacing w:val="-9"/>
        </w:rPr>
        <w:t> </w:t>
      </w:r>
      <w:r>
        <w:rPr/>
        <w:t>MM</w:t>
      </w:r>
      <w:r>
        <w:rPr>
          <w:w w:val="99"/>
        </w:rPr>
        <w:t> </w:t>
      </w:r>
      <w:r>
        <w:rPr/>
        <w:t>SEPTIC INFLOW</w:t>
      </w:r>
      <w:r>
        <w:rPr>
          <w:spacing w:val="-4"/>
        </w:rPr>
        <w:t> </w:t>
      </w:r>
      <w:r>
        <w:rPr/>
        <w:t>=</w:t>
        <w:tab/>
        <w:t>0.00</w:t>
      </w:r>
      <w:r>
        <w:rPr>
          <w:spacing w:val="-5"/>
        </w:rPr>
        <w:t> </w:t>
      </w:r>
      <w:r>
        <w:rPr/>
        <w:t>MM</w:t>
      </w:r>
    </w:p>
    <w:p>
      <w:pPr>
        <w:pStyle w:val="BodyText"/>
        <w:tabs>
          <w:tab w:pos="5044" w:val="left" w:leader="none"/>
          <w:tab w:pos="5543" w:val="left" w:leader="none"/>
        </w:tabs>
        <w:spacing w:line="298" w:lineRule="exact"/>
        <w:ind w:left="1033" w:right="2814"/>
      </w:pPr>
      <w:r>
        <w:rPr/>
        <w:t>TOTAL SEDIMENT</w:t>
      </w:r>
      <w:r>
        <w:rPr>
          <w:spacing w:val="-2"/>
        </w:rPr>
        <w:t> </w:t>
      </w:r>
      <w:r>
        <w:rPr/>
        <w:t>LOADING</w:t>
      </w:r>
      <w:r>
        <w:rPr>
          <w:spacing w:val="-4"/>
        </w:rPr>
        <w:t> </w:t>
      </w:r>
      <w:r>
        <w:rPr/>
        <w:t>=</w:t>
        <w:tab/>
        <w:t>7.344</w:t>
      </w:r>
      <w:r>
        <w:rPr>
          <w:spacing w:val="2"/>
        </w:rPr>
        <w:t> </w:t>
      </w:r>
      <w:r>
        <w:rPr/>
        <w:t>TON/HA</w:t>
      </w:r>
      <w:r>
        <w:rPr>
          <w:w w:val="99"/>
        </w:rPr>
        <w:t> </w:t>
      </w:r>
      <w:r>
        <w:rPr>
          <w:spacing w:val="-3"/>
        </w:rPr>
        <w:t>TILE </w:t>
      </w:r>
      <w:r>
        <w:rPr/>
        <w:t>FROM IMPOUNDED</w:t>
      </w:r>
      <w:r>
        <w:rPr>
          <w:spacing w:val="1"/>
        </w:rPr>
        <w:t> </w:t>
      </w:r>
      <w:r>
        <w:rPr/>
        <w:t>WATER</w:t>
      </w:r>
      <w:r>
        <w:rPr>
          <w:spacing w:val="4"/>
        </w:rPr>
        <w:t> </w:t>
      </w:r>
      <w:r>
        <w:rPr/>
        <w:t>=</w:t>
        <w:tab/>
        <w:t>0.000</w:t>
      </w:r>
      <w:r>
        <w:rPr>
          <w:spacing w:val="-6"/>
        </w:rPr>
        <w:t> </w:t>
      </w:r>
      <w:r>
        <w:rPr/>
        <w:t>(MM)</w:t>
      </w:r>
    </w:p>
    <w:p>
      <w:pPr>
        <w:pStyle w:val="BodyText"/>
        <w:tabs>
          <w:tab w:pos="6358" w:val="left" w:leader="none"/>
          <w:tab w:pos="6833" w:val="left" w:leader="none"/>
          <w:tab w:pos="7385" w:val="left" w:leader="none"/>
        </w:tabs>
        <w:ind w:left="1033" w:right="972"/>
      </w:pPr>
      <w:r>
        <w:rPr/>
        <w:t>EVAPORATION FROM IMPOUNDED</w:t>
      </w:r>
      <w:r>
        <w:rPr>
          <w:spacing w:val="-7"/>
        </w:rPr>
        <w:t> </w:t>
      </w:r>
      <w:r>
        <w:rPr/>
        <w:t>WATER</w:t>
      </w:r>
      <w:r>
        <w:rPr>
          <w:spacing w:val="-3"/>
        </w:rPr>
        <w:t> </w:t>
      </w:r>
      <w:r>
        <w:rPr/>
        <w:t>=</w:t>
        <w:tab/>
        <w:t>0.000</w:t>
      </w:r>
      <w:r>
        <w:rPr>
          <w:spacing w:val="-6"/>
        </w:rPr>
        <w:t> </w:t>
      </w:r>
      <w:r>
        <w:rPr/>
        <w:t>(MM)</w:t>
      </w:r>
      <w:r>
        <w:rPr>
          <w:w w:val="99"/>
        </w:rPr>
        <w:t> </w:t>
      </w:r>
      <w:r>
        <w:rPr/>
        <w:t>SEEPAGE INTO SOIL FROM IMPOUNDED</w:t>
      </w:r>
      <w:r>
        <w:rPr>
          <w:spacing w:val="-6"/>
        </w:rPr>
        <w:t> </w:t>
      </w:r>
      <w:r>
        <w:rPr/>
        <w:t>WATER</w:t>
      </w:r>
      <w:r>
        <w:rPr>
          <w:spacing w:val="-4"/>
        </w:rPr>
        <w:t> </w:t>
      </w:r>
      <w:r>
        <w:rPr/>
        <w:t>=</w:t>
        <w:tab/>
        <w:t>0.000</w:t>
      </w:r>
      <w:r>
        <w:rPr>
          <w:spacing w:val="-6"/>
        </w:rPr>
        <w:t> </w:t>
      </w:r>
      <w:r>
        <w:rPr/>
        <w:t>(MM)</w:t>
      </w:r>
      <w:r>
        <w:rPr>
          <w:w w:val="99"/>
        </w:rPr>
        <w:t> </w:t>
      </w:r>
      <w:r>
        <w:rPr/>
        <w:t>OVERFLOW FROM IMPOUNDED</w:t>
      </w:r>
      <w:r>
        <w:rPr>
          <w:spacing w:val="-6"/>
        </w:rPr>
        <w:t> </w:t>
      </w:r>
      <w:r>
        <w:rPr/>
        <w:t>WATER</w:t>
      </w:r>
      <w:r>
        <w:rPr>
          <w:spacing w:val="-3"/>
        </w:rPr>
        <w:t> </w:t>
      </w:r>
      <w:r>
        <w:rPr/>
        <w:t>=</w:t>
        <w:tab/>
        <w:t>0.000</w:t>
      </w:r>
      <w:r>
        <w:rPr>
          <w:spacing w:val="-6"/>
        </w:rPr>
        <w:t> </w:t>
      </w:r>
      <w:r>
        <w:rPr/>
        <w:t>(MM)</w:t>
      </w:r>
    </w:p>
    <w:p>
      <w:pPr>
        <w:spacing w:after="0"/>
        <w:sectPr>
          <w:pgSz w:w="12240" w:h="15840"/>
          <w:pgMar w:header="0" w:footer="1473" w:top="1500" w:bottom="1660" w:left="1300" w:right="1300"/>
        </w:sectPr>
      </w:pPr>
    </w:p>
    <w:p>
      <w:pPr>
        <w:pStyle w:val="BodyText"/>
        <w:rPr>
          <w:sz w:val="18"/>
        </w:rPr>
      </w:pPr>
    </w:p>
    <w:p>
      <w:pPr>
        <w:pStyle w:val="Heading1"/>
        <w:numPr>
          <w:ilvl w:val="1"/>
          <w:numId w:val="53"/>
        </w:numPr>
        <w:tabs>
          <w:tab w:pos="4431" w:val="left" w:leader="none"/>
        </w:tabs>
        <w:spacing w:line="240" w:lineRule="auto" w:before="66" w:after="0"/>
        <w:ind w:left="4431" w:right="0" w:hanging="360"/>
        <w:jc w:val="left"/>
      </w:pPr>
      <w:r>
        <w:rPr/>
        <w:t>HOJAS DE SALIDA DEL MODELO</w:t>
      </w:r>
      <w:r>
        <w:rPr>
          <w:spacing w:val="-10"/>
        </w:rPr>
        <w:t> </w:t>
      </w:r>
      <w:r>
        <w:rPr/>
        <w:t>SWAT</w:t>
      </w:r>
    </w:p>
    <w:p>
      <w:pPr>
        <w:pStyle w:val="BodyText"/>
        <w:spacing w:before="9"/>
        <w:rPr>
          <w:b/>
          <w:sz w:val="25"/>
        </w:rPr>
      </w:pPr>
    </w:p>
    <w:p>
      <w:pPr>
        <w:spacing w:before="0"/>
        <w:ind w:left="3951" w:right="0" w:firstLine="0"/>
        <w:jc w:val="left"/>
        <w:rPr>
          <w:b/>
          <w:sz w:val="26"/>
        </w:rPr>
      </w:pPr>
      <w:bookmarkStart w:name="_bookmark139" w:id="198"/>
      <w:bookmarkEnd w:id="198"/>
      <w:r>
        <w:rPr/>
      </w:r>
      <w:r>
        <w:rPr>
          <w:b/>
          <w:sz w:val="24"/>
        </w:rPr>
        <w:t>Tabla 2. </w:t>
      </w:r>
      <w:r>
        <w:rPr>
          <w:b/>
          <w:sz w:val="26"/>
        </w:rPr>
        <w:t>Resultados de salida del modelo SWAT</w:t>
      </w:r>
    </w:p>
    <w:p>
      <w:pPr>
        <w:pStyle w:val="BodyText"/>
        <w:rPr>
          <w:b/>
        </w:rPr>
      </w:pPr>
    </w:p>
    <w:p>
      <w:pPr>
        <w:tabs>
          <w:tab w:pos="5433" w:val="left" w:leader="none"/>
        </w:tabs>
        <w:spacing w:before="201"/>
        <w:ind w:left="148" w:right="0" w:firstLine="0"/>
        <w:jc w:val="left"/>
        <w:rPr>
          <w:sz w:val="16"/>
        </w:rPr>
      </w:pPr>
      <w:r>
        <w:rPr>
          <w:sz w:val="16"/>
        </w:rPr>
        <w:t>SWAT Mar 4 2014    VER</w:t>
      </w:r>
      <w:r>
        <w:rPr>
          <w:spacing w:val="-6"/>
          <w:sz w:val="16"/>
        </w:rPr>
        <w:t> </w:t>
      </w:r>
      <w:r>
        <w:rPr>
          <w:sz w:val="16"/>
        </w:rPr>
        <w:t>2012/Rev</w:t>
      </w:r>
      <w:r>
        <w:rPr>
          <w:spacing w:val="-2"/>
          <w:sz w:val="16"/>
        </w:rPr>
        <w:t> </w:t>
      </w:r>
      <w:r>
        <w:rPr>
          <w:sz w:val="16"/>
        </w:rPr>
        <w:t>622</w:t>
        <w:tab/>
        <w:t>0/</w:t>
      </w:r>
    </w:p>
    <w:p>
      <w:pPr>
        <w:tabs>
          <w:tab w:pos="708" w:val="left" w:leader="none"/>
        </w:tabs>
        <w:spacing w:before="3"/>
        <w:ind w:left="148" w:right="0" w:firstLine="0"/>
        <w:jc w:val="left"/>
        <w:rPr>
          <w:sz w:val="16"/>
        </w:rPr>
      </w:pPr>
      <w:r>
        <w:rPr>
          <w:sz w:val="16"/>
        </w:rPr>
        <w:t>0/ </w:t>
      </w:r>
      <w:r>
        <w:rPr>
          <w:spacing w:val="33"/>
          <w:sz w:val="16"/>
        </w:rPr>
        <w:t> </w:t>
      </w:r>
      <w:r>
        <w:rPr>
          <w:sz w:val="16"/>
        </w:rPr>
        <w:t>0</w:t>
        <w:tab/>
        <w:t>0: 0:</w:t>
      </w:r>
      <w:r>
        <w:rPr>
          <w:spacing w:val="-6"/>
          <w:sz w:val="16"/>
        </w:rPr>
        <w:t> </w:t>
      </w:r>
      <w:r>
        <w:rPr>
          <w:sz w:val="16"/>
        </w:rPr>
        <w:t>0</w:t>
      </w:r>
    </w:p>
    <w:p>
      <w:pPr>
        <w:pStyle w:val="BodyText"/>
        <w:rPr>
          <w:sz w:val="16"/>
        </w:rPr>
      </w:pPr>
    </w:p>
    <w:p>
      <w:pPr>
        <w:pStyle w:val="BodyText"/>
        <w:spacing w:before="2"/>
        <w:rPr>
          <w:sz w:val="20"/>
        </w:rPr>
      </w:pPr>
    </w:p>
    <w:p>
      <w:pPr>
        <w:spacing w:before="0"/>
        <w:ind w:left="302" w:right="0" w:firstLine="0"/>
        <w:jc w:val="left"/>
        <w:rPr>
          <w:sz w:val="16"/>
        </w:rPr>
      </w:pPr>
      <w:r>
        <w:rPr>
          <w:sz w:val="16"/>
        </w:rPr>
        <w:t>General Input/Output section (file.cio):</w:t>
      </w:r>
    </w:p>
    <w:p>
      <w:pPr>
        <w:spacing w:before="113"/>
        <w:ind w:left="302" w:right="0" w:firstLine="0"/>
        <w:jc w:val="left"/>
        <w:rPr>
          <w:sz w:val="16"/>
        </w:rPr>
      </w:pPr>
      <w:r>
        <w:rPr>
          <w:sz w:val="16"/>
        </w:rPr>
        <w:t>10/28/2014 12:00:00 AM ARCGIS-SWAT interface AV</w:t>
      </w:r>
    </w:p>
    <w:p>
      <w:pPr>
        <w:pStyle w:val="BodyText"/>
        <w:rPr>
          <w:sz w:val="16"/>
        </w:rPr>
      </w:pPr>
    </w:p>
    <w:p>
      <w:pPr>
        <w:spacing w:before="117"/>
        <w:ind w:left="148" w:right="11437" w:firstLine="355"/>
        <w:jc w:val="left"/>
        <w:rPr>
          <w:sz w:val="16"/>
        </w:rPr>
      </w:pPr>
      <w:r>
        <w:rPr>
          <w:sz w:val="16"/>
        </w:rPr>
        <w:t>Number of years in run:   8</w:t>
      </w:r>
    </w:p>
    <w:p>
      <w:pPr>
        <w:tabs>
          <w:tab w:pos="1960" w:val="left" w:leader="none"/>
        </w:tabs>
        <w:spacing w:before="3"/>
        <w:ind w:left="508" w:right="0" w:firstLine="0"/>
        <w:jc w:val="left"/>
        <w:rPr>
          <w:sz w:val="16"/>
        </w:rPr>
      </w:pPr>
      <w:r>
        <w:rPr>
          <w:sz w:val="16"/>
        </w:rPr>
        <w:t>Area of</w:t>
      </w:r>
      <w:r>
        <w:rPr>
          <w:spacing w:val="-5"/>
          <w:sz w:val="16"/>
        </w:rPr>
        <w:t> </w:t>
      </w:r>
      <w:r>
        <w:rPr>
          <w:sz w:val="16"/>
        </w:rPr>
        <w:t>watershed:</w:t>
        <w:tab/>
        <w:t>176.085</w:t>
      </w:r>
    </w:p>
    <w:p>
      <w:pPr>
        <w:spacing w:line="182" w:lineRule="exact" w:before="0"/>
        <w:ind w:left="148" w:right="0" w:firstLine="0"/>
        <w:jc w:val="left"/>
        <w:rPr>
          <w:sz w:val="16"/>
        </w:rPr>
      </w:pPr>
      <w:r>
        <w:rPr>
          <w:sz w:val="16"/>
        </w:rPr>
        <w:t>km2</w:t>
      </w:r>
    </w:p>
    <w:p>
      <w:pPr>
        <w:pStyle w:val="BodyText"/>
        <w:rPr>
          <w:sz w:val="16"/>
        </w:rPr>
      </w:pPr>
    </w:p>
    <w:p>
      <w:pPr>
        <w:pStyle w:val="BodyText"/>
        <w:spacing w:before="2"/>
        <w:rPr>
          <w:sz w:val="20"/>
        </w:rPr>
      </w:pPr>
    </w:p>
    <w:p>
      <w:pPr>
        <w:spacing w:before="0"/>
        <w:ind w:left="306" w:right="0" w:firstLine="0"/>
        <w:jc w:val="left"/>
        <w:rPr>
          <w:sz w:val="16"/>
        </w:rPr>
      </w:pPr>
      <w:r>
        <w:rPr>
          <w:sz w:val="16"/>
        </w:rPr>
        <w:t>SWAT Mar 4 2014    VER 2012/Rev 622</w:t>
      </w:r>
    </w:p>
    <w:p>
      <w:pPr>
        <w:pStyle w:val="BodyText"/>
        <w:rPr>
          <w:sz w:val="16"/>
        </w:rPr>
      </w:pPr>
    </w:p>
    <w:p>
      <w:pPr>
        <w:pStyle w:val="BodyText"/>
        <w:spacing w:before="2"/>
        <w:rPr>
          <w:sz w:val="20"/>
        </w:rPr>
      </w:pPr>
    </w:p>
    <w:p>
      <w:pPr>
        <w:spacing w:before="0"/>
        <w:ind w:left="302" w:right="0" w:firstLine="0"/>
        <w:jc w:val="left"/>
        <w:rPr>
          <w:sz w:val="16"/>
        </w:rPr>
      </w:pPr>
      <w:r>
        <w:rPr>
          <w:sz w:val="16"/>
        </w:rPr>
        <w:t>General Input/Output section (file.cio):</w:t>
      </w:r>
    </w:p>
    <w:p>
      <w:pPr>
        <w:spacing w:before="113"/>
        <w:ind w:left="302" w:right="0" w:firstLine="0"/>
        <w:jc w:val="left"/>
        <w:rPr>
          <w:sz w:val="16"/>
        </w:rPr>
      </w:pPr>
      <w:r>
        <w:rPr>
          <w:sz w:val="16"/>
        </w:rPr>
        <w:t>10/28/2014 12:00:00 AM ARCGIS-SWAT interface AV</w:t>
      </w:r>
    </w:p>
    <w:p>
      <w:pPr>
        <w:pStyle w:val="BodyText"/>
        <w:spacing w:before="4"/>
        <w:rPr>
          <w:sz w:val="19"/>
        </w:rPr>
      </w:pPr>
    </w:p>
    <w:tbl>
      <w:tblPr>
        <w:tblW w:w="0" w:type="auto"/>
        <w:jc w:val="left"/>
        <w:tblInd w:w="1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80"/>
        <w:gridCol w:w="483"/>
        <w:gridCol w:w="643"/>
        <w:gridCol w:w="524"/>
        <w:gridCol w:w="600"/>
        <w:gridCol w:w="665"/>
        <w:gridCol w:w="1279"/>
        <w:gridCol w:w="579"/>
        <w:gridCol w:w="626"/>
        <w:gridCol w:w="545"/>
        <w:gridCol w:w="583"/>
        <w:gridCol w:w="606"/>
        <w:gridCol w:w="828"/>
        <w:gridCol w:w="811"/>
        <w:gridCol w:w="825"/>
        <w:gridCol w:w="716"/>
      </w:tblGrid>
      <w:tr>
        <w:trPr>
          <w:trHeight w:val="458" w:hRule="exact"/>
        </w:trPr>
        <w:tc>
          <w:tcPr>
            <w:tcW w:w="2580" w:type="dxa"/>
          </w:tcPr>
          <w:p>
            <w:pPr>
              <w:pStyle w:val="TableParagraph"/>
              <w:spacing w:line="244" w:lineRule="auto" w:before="78"/>
              <w:ind w:left="35" w:right="-17"/>
              <w:jc w:val="left"/>
              <w:rPr>
                <w:sz w:val="16"/>
              </w:rPr>
            </w:pPr>
            <w:r>
              <w:rPr>
                <w:sz w:val="16"/>
              </w:rPr>
              <w:t>Annual Summary for Watershed in</w:t>
            </w:r>
            <w:r>
              <w:rPr>
                <w:spacing w:val="-23"/>
                <w:sz w:val="16"/>
              </w:rPr>
              <w:t> </w:t>
            </w:r>
            <w:r>
              <w:rPr>
                <w:sz w:val="16"/>
              </w:rPr>
              <w:t>year simulation</w:t>
            </w:r>
          </w:p>
        </w:tc>
        <w:tc>
          <w:tcPr>
            <w:tcW w:w="483" w:type="dxa"/>
          </w:tcPr>
          <w:p>
            <w:pPr>
              <w:pStyle w:val="TableParagraph"/>
              <w:spacing w:before="78"/>
              <w:ind w:right="52"/>
              <w:rPr>
                <w:sz w:val="16"/>
              </w:rPr>
            </w:pPr>
            <w:r>
              <w:rPr>
                <w:sz w:val="16"/>
              </w:rPr>
              <w:t>1 of</w:t>
            </w:r>
          </w:p>
        </w:tc>
        <w:tc>
          <w:tcPr>
            <w:tcW w:w="9830" w:type="dxa"/>
            <w:gridSpan w:val="14"/>
          </w:tcPr>
          <w:p>
            <w:pPr/>
          </w:p>
        </w:tc>
      </w:tr>
      <w:tr>
        <w:trPr>
          <w:trHeight w:val="367" w:hRule="exact"/>
        </w:trPr>
        <w:tc>
          <w:tcPr>
            <w:tcW w:w="2580" w:type="dxa"/>
          </w:tcPr>
          <w:p>
            <w:pPr>
              <w:pStyle w:val="TableParagraph"/>
              <w:spacing w:before="11"/>
              <w:jc w:val="left"/>
              <w:rPr>
                <w:sz w:val="14"/>
              </w:rPr>
            </w:pPr>
          </w:p>
          <w:p>
            <w:pPr>
              <w:pStyle w:val="TableParagraph"/>
              <w:spacing w:before="0"/>
              <w:ind w:left="35" w:right="-17"/>
              <w:jc w:val="left"/>
              <w:rPr>
                <w:sz w:val="16"/>
              </w:rPr>
            </w:pPr>
            <w:r>
              <w:rPr>
                <w:sz w:val="16"/>
              </w:rPr>
              <w:t>UNIT</w:t>
            </w:r>
          </w:p>
        </w:tc>
        <w:tc>
          <w:tcPr>
            <w:tcW w:w="483" w:type="dxa"/>
          </w:tcPr>
          <w:p>
            <w:pPr/>
          </w:p>
        </w:tc>
        <w:tc>
          <w:tcPr>
            <w:tcW w:w="643" w:type="dxa"/>
          </w:tcPr>
          <w:p>
            <w:pPr>
              <w:pStyle w:val="TableParagraph"/>
              <w:spacing w:before="11"/>
              <w:jc w:val="left"/>
              <w:rPr>
                <w:sz w:val="14"/>
              </w:rPr>
            </w:pPr>
          </w:p>
          <w:p>
            <w:pPr>
              <w:pStyle w:val="TableParagraph"/>
              <w:spacing w:before="0"/>
              <w:ind w:left="54"/>
              <w:jc w:val="left"/>
              <w:rPr>
                <w:sz w:val="16"/>
              </w:rPr>
            </w:pPr>
            <w:r>
              <w:rPr>
                <w:sz w:val="16"/>
              </w:rPr>
              <w:t>PERCO</w:t>
            </w:r>
          </w:p>
        </w:tc>
        <w:tc>
          <w:tcPr>
            <w:tcW w:w="524" w:type="dxa"/>
          </w:tcPr>
          <w:p>
            <w:pPr>
              <w:pStyle w:val="TableParagraph"/>
              <w:spacing w:before="11"/>
              <w:jc w:val="left"/>
              <w:rPr>
                <w:sz w:val="14"/>
              </w:rPr>
            </w:pPr>
          </w:p>
          <w:p>
            <w:pPr>
              <w:pStyle w:val="TableParagraph"/>
              <w:spacing w:before="0"/>
              <w:ind w:left="79"/>
              <w:jc w:val="left"/>
              <w:rPr>
                <w:sz w:val="16"/>
              </w:rPr>
            </w:pPr>
            <w:r>
              <w:rPr>
                <w:sz w:val="16"/>
              </w:rPr>
              <w:t>TILE</w:t>
            </w:r>
          </w:p>
        </w:tc>
        <w:tc>
          <w:tcPr>
            <w:tcW w:w="600" w:type="dxa"/>
          </w:tcPr>
          <w:p>
            <w:pPr/>
          </w:p>
        </w:tc>
        <w:tc>
          <w:tcPr>
            <w:tcW w:w="665" w:type="dxa"/>
          </w:tcPr>
          <w:p>
            <w:pPr/>
          </w:p>
        </w:tc>
        <w:tc>
          <w:tcPr>
            <w:tcW w:w="1279" w:type="dxa"/>
          </w:tcPr>
          <w:p>
            <w:pPr>
              <w:pStyle w:val="TableParagraph"/>
              <w:spacing w:line="237" w:lineRule="auto" w:before="0"/>
              <w:ind w:left="701" w:right="96"/>
              <w:jc w:val="left"/>
              <w:rPr>
                <w:sz w:val="16"/>
              </w:rPr>
            </w:pPr>
            <w:r>
              <w:rPr>
                <w:sz w:val="16"/>
              </w:rPr>
              <w:t>WATE R</w:t>
            </w:r>
          </w:p>
        </w:tc>
        <w:tc>
          <w:tcPr>
            <w:tcW w:w="579" w:type="dxa"/>
          </w:tcPr>
          <w:p>
            <w:pPr>
              <w:pStyle w:val="TableParagraph"/>
              <w:spacing w:before="11"/>
              <w:jc w:val="left"/>
              <w:rPr>
                <w:sz w:val="14"/>
              </w:rPr>
            </w:pPr>
          </w:p>
          <w:p>
            <w:pPr>
              <w:pStyle w:val="TableParagraph"/>
              <w:spacing w:before="0"/>
              <w:ind w:left="103"/>
              <w:jc w:val="left"/>
              <w:rPr>
                <w:sz w:val="16"/>
              </w:rPr>
            </w:pPr>
            <w:r>
              <w:rPr>
                <w:sz w:val="16"/>
              </w:rPr>
              <w:t>SED</w:t>
            </w:r>
          </w:p>
        </w:tc>
        <w:tc>
          <w:tcPr>
            <w:tcW w:w="626" w:type="dxa"/>
          </w:tcPr>
          <w:p>
            <w:pPr>
              <w:pStyle w:val="TableParagraph"/>
              <w:spacing w:before="11"/>
              <w:jc w:val="left"/>
              <w:rPr>
                <w:sz w:val="14"/>
              </w:rPr>
            </w:pPr>
          </w:p>
          <w:p>
            <w:pPr>
              <w:pStyle w:val="TableParagraph"/>
              <w:spacing w:before="0"/>
              <w:ind w:left="114"/>
              <w:jc w:val="left"/>
              <w:rPr>
                <w:sz w:val="16"/>
              </w:rPr>
            </w:pPr>
            <w:r>
              <w:rPr>
                <w:sz w:val="16"/>
              </w:rPr>
              <w:t>NO3</w:t>
            </w:r>
          </w:p>
        </w:tc>
        <w:tc>
          <w:tcPr>
            <w:tcW w:w="545" w:type="dxa"/>
          </w:tcPr>
          <w:p>
            <w:pPr>
              <w:pStyle w:val="TableParagraph"/>
              <w:spacing w:before="11"/>
              <w:jc w:val="left"/>
              <w:rPr>
                <w:sz w:val="14"/>
              </w:rPr>
            </w:pPr>
          </w:p>
          <w:p>
            <w:pPr>
              <w:pStyle w:val="TableParagraph"/>
              <w:spacing w:before="0"/>
              <w:ind w:left="89"/>
              <w:jc w:val="left"/>
              <w:rPr>
                <w:sz w:val="16"/>
              </w:rPr>
            </w:pPr>
            <w:r>
              <w:rPr>
                <w:sz w:val="16"/>
              </w:rPr>
              <w:t>NO3</w:t>
            </w:r>
          </w:p>
        </w:tc>
        <w:tc>
          <w:tcPr>
            <w:tcW w:w="583" w:type="dxa"/>
          </w:tcPr>
          <w:p>
            <w:pPr>
              <w:pStyle w:val="TableParagraph"/>
              <w:spacing w:before="11"/>
              <w:jc w:val="left"/>
              <w:rPr>
                <w:sz w:val="14"/>
              </w:rPr>
            </w:pPr>
          </w:p>
          <w:p>
            <w:pPr>
              <w:pStyle w:val="TableParagraph"/>
              <w:spacing w:before="0"/>
              <w:ind w:left="86"/>
              <w:jc w:val="left"/>
              <w:rPr>
                <w:sz w:val="16"/>
              </w:rPr>
            </w:pPr>
            <w:r>
              <w:rPr>
                <w:sz w:val="16"/>
              </w:rPr>
              <w:t>NO3</w:t>
            </w:r>
          </w:p>
        </w:tc>
        <w:tc>
          <w:tcPr>
            <w:tcW w:w="606" w:type="dxa"/>
          </w:tcPr>
          <w:p>
            <w:pPr>
              <w:pStyle w:val="TableParagraph"/>
              <w:spacing w:before="11"/>
              <w:jc w:val="left"/>
              <w:rPr>
                <w:sz w:val="14"/>
              </w:rPr>
            </w:pPr>
          </w:p>
          <w:p>
            <w:pPr>
              <w:pStyle w:val="TableParagraph"/>
              <w:spacing w:before="0"/>
              <w:ind w:left="103"/>
              <w:jc w:val="left"/>
              <w:rPr>
                <w:sz w:val="16"/>
              </w:rPr>
            </w:pPr>
            <w:r>
              <w:rPr>
                <w:sz w:val="16"/>
              </w:rPr>
              <w:t>NO3</w:t>
            </w:r>
          </w:p>
        </w:tc>
        <w:tc>
          <w:tcPr>
            <w:tcW w:w="828" w:type="dxa"/>
          </w:tcPr>
          <w:p>
            <w:pPr>
              <w:pStyle w:val="TableParagraph"/>
              <w:spacing w:before="11"/>
              <w:jc w:val="left"/>
              <w:rPr>
                <w:sz w:val="14"/>
              </w:rPr>
            </w:pPr>
          </w:p>
          <w:p>
            <w:pPr>
              <w:pStyle w:val="TableParagraph"/>
              <w:spacing w:before="0"/>
              <w:ind w:left="88"/>
              <w:jc w:val="left"/>
              <w:rPr>
                <w:sz w:val="16"/>
              </w:rPr>
            </w:pPr>
            <w:r>
              <w:rPr>
                <w:w w:val="98"/>
                <w:sz w:val="16"/>
              </w:rPr>
              <w:t>N</w:t>
            </w:r>
          </w:p>
        </w:tc>
        <w:tc>
          <w:tcPr>
            <w:tcW w:w="811" w:type="dxa"/>
          </w:tcPr>
          <w:p>
            <w:pPr>
              <w:pStyle w:val="TableParagraph"/>
              <w:spacing w:before="11"/>
              <w:jc w:val="left"/>
              <w:rPr>
                <w:sz w:val="14"/>
              </w:rPr>
            </w:pPr>
          </w:p>
          <w:p>
            <w:pPr>
              <w:pStyle w:val="TableParagraph"/>
              <w:spacing w:before="0"/>
              <w:ind w:left="91"/>
              <w:jc w:val="left"/>
              <w:rPr>
                <w:sz w:val="16"/>
              </w:rPr>
            </w:pPr>
            <w:r>
              <w:rPr>
                <w:w w:val="98"/>
                <w:sz w:val="16"/>
              </w:rPr>
              <w:t>P</w:t>
            </w:r>
          </w:p>
        </w:tc>
        <w:tc>
          <w:tcPr>
            <w:tcW w:w="825" w:type="dxa"/>
          </w:tcPr>
          <w:p>
            <w:pPr>
              <w:pStyle w:val="TableParagraph"/>
              <w:spacing w:before="11"/>
              <w:jc w:val="left"/>
              <w:rPr>
                <w:sz w:val="14"/>
              </w:rPr>
            </w:pPr>
          </w:p>
          <w:p>
            <w:pPr>
              <w:pStyle w:val="TableParagraph"/>
              <w:spacing w:before="0"/>
              <w:ind w:left="100"/>
              <w:jc w:val="left"/>
              <w:rPr>
                <w:sz w:val="16"/>
              </w:rPr>
            </w:pPr>
            <w:r>
              <w:rPr>
                <w:w w:val="98"/>
                <w:sz w:val="16"/>
              </w:rPr>
              <w:t>P</w:t>
            </w:r>
          </w:p>
        </w:tc>
        <w:tc>
          <w:tcPr>
            <w:tcW w:w="716" w:type="dxa"/>
          </w:tcPr>
          <w:p>
            <w:pPr/>
          </w:p>
        </w:tc>
      </w:tr>
      <w:tr>
        <w:trPr>
          <w:trHeight w:val="185" w:hRule="exact"/>
        </w:trPr>
        <w:tc>
          <w:tcPr>
            <w:tcW w:w="2580" w:type="dxa"/>
          </w:tcPr>
          <w:p>
            <w:pPr>
              <w:pStyle w:val="TableParagraph"/>
              <w:spacing w:line="176" w:lineRule="exact" w:before="0"/>
              <w:ind w:right="251"/>
              <w:rPr>
                <w:sz w:val="16"/>
              </w:rPr>
            </w:pPr>
            <w:r>
              <w:rPr>
                <w:w w:val="95"/>
                <w:sz w:val="16"/>
              </w:rPr>
              <w:t>LAT</w:t>
            </w:r>
          </w:p>
        </w:tc>
        <w:tc>
          <w:tcPr>
            <w:tcW w:w="483" w:type="dxa"/>
          </w:tcPr>
          <w:p>
            <w:pPr/>
          </w:p>
        </w:tc>
        <w:tc>
          <w:tcPr>
            <w:tcW w:w="643" w:type="dxa"/>
          </w:tcPr>
          <w:p>
            <w:pPr/>
          </w:p>
        </w:tc>
        <w:tc>
          <w:tcPr>
            <w:tcW w:w="524" w:type="dxa"/>
          </w:tcPr>
          <w:p>
            <w:pPr/>
          </w:p>
        </w:tc>
        <w:tc>
          <w:tcPr>
            <w:tcW w:w="600" w:type="dxa"/>
          </w:tcPr>
          <w:p>
            <w:pPr/>
          </w:p>
        </w:tc>
        <w:tc>
          <w:tcPr>
            <w:tcW w:w="665" w:type="dxa"/>
          </w:tcPr>
          <w:p>
            <w:pPr/>
          </w:p>
        </w:tc>
        <w:tc>
          <w:tcPr>
            <w:tcW w:w="1279" w:type="dxa"/>
          </w:tcPr>
          <w:p>
            <w:pPr/>
          </w:p>
        </w:tc>
        <w:tc>
          <w:tcPr>
            <w:tcW w:w="579" w:type="dxa"/>
          </w:tcPr>
          <w:p>
            <w:pPr>
              <w:pStyle w:val="TableParagraph"/>
              <w:spacing w:line="176" w:lineRule="exact" w:before="0"/>
              <w:ind w:left="103"/>
              <w:jc w:val="left"/>
              <w:rPr>
                <w:sz w:val="16"/>
              </w:rPr>
            </w:pPr>
            <w:r>
              <w:rPr>
                <w:sz w:val="16"/>
              </w:rPr>
              <w:t>YIEL</w:t>
            </w:r>
          </w:p>
        </w:tc>
        <w:tc>
          <w:tcPr>
            <w:tcW w:w="626" w:type="dxa"/>
          </w:tcPr>
          <w:p>
            <w:pPr/>
          </w:p>
        </w:tc>
        <w:tc>
          <w:tcPr>
            <w:tcW w:w="545" w:type="dxa"/>
          </w:tcPr>
          <w:p>
            <w:pPr>
              <w:pStyle w:val="TableParagraph"/>
              <w:spacing w:line="176" w:lineRule="exact" w:before="0"/>
              <w:ind w:left="89"/>
              <w:jc w:val="left"/>
              <w:rPr>
                <w:sz w:val="16"/>
              </w:rPr>
            </w:pPr>
            <w:r>
              <w:rPr>
                <w:sz w:val="16"/>
              </w:rPr>
              <w:t>LAT</w:t>
            </w:r>
          </w:p>
        </w:tc>
        <w:tc>
          <w:tcPr>
            <w:tcW w:w="583" w:type="dxa"/>
          </w:tcPr>
          <w:p>
            <w:pPr/>
          </w:p>
        </w:tc>
        <w:tc>
          <w:tcPr>
            <w:tcW w:w="606" w:type="dxa"/>
          </w:tcPr>
          <w:p>
            <w:pPr/>
          </w:p>
        </w:tc>
        <w:tc>
          <w:tcPr>
            <w:tcW w:w="828" w:type="dxa"/>
          </w:tcPr>
          <w:p>
            <w:pPr>
              <w:pStyle w:val="TableParagraph"/>
              <w:spacing w:line="176" w:lineRule="exact" w:before="0"/>
              <w:ind w:left="88"/>
              <w:jc w:val="left"/>
              <w:rPr>
                <w:sz w:val="16"/>
              </w:rPr>
            </w:pPr>
            <w:r>
              <w:rPr>
                <w:sz w:val="16"/>
              </w:rPr>
              <w:t>ORGANI</w:t>
            </w:r>
          </w:p>
        </w:tc>
        <w:tc>
          <w:tcPr>
            <w:tcW w:w="811" w:type="dxa"/>
          </w:tcPr>
          <w:p>
            <w:pPr>
              <w:pStyle w:val="TableParagraph"/>
              <w:spacing w:line="176" w:lineRule="exact" w:before="0"/>
              <w:ind w:left="91"/>
              <w:jc w:val="left"/>
              <w:rPr>
                <w:sz w:val="16"/>
              </w:rPr>
            </w:pPr>
            <w:r>
              <w:rPr>
                <w:sz w:val="16"/>
              </w:rPr>
              <w:t>SOLUBL</w:t>
            </w:r>
          </w:p>
        </w:tc>
        <w:tc>
          <w:tcPr>
            <w:tcW w:w="825" w:type="dxa"/>
          </w:tcPr>
          <w:p>
            <w:pPr>
              <w:pStyle w:val="TableParagraph"/>
              <w:spacing w:line="176" w:lineRule="exact" w:before="0"/>
              <w:ind w:left="100"/>
              <w:jc w:val="left"/>
              <w:rPr>
                <w:sz w:val="16"/>
              </w:rPr>
            </w:pPr>
            <w:r>
              <w:rPr>
                <w:sz w:val="16"/>
              </w:rPr>
              <w:t>ORGANI</w:t>
            </w:r>
          </w:p>
        </w:tc>
        <w:tc>
          <w:tcPr>
            <w:tcW w:w="716" w:type="dxa"/>
          </w:tcPr>
          <w:p>
            <w:pPr>
              <w:pStyle w:val="TableParagraph"/>
              <w:spacing w:line="176" w:lineRule="exact" w:before="0"/>
              <w:ind w:left="106"/>
              <w:jc w:val="left"/>
              <w:rPr>
                <w:sz w:val="16"/>
              </w:rPr>
            </w:pPr>
            <w:r>
              <w:rPr>
                <w:sz w:val="16"/>
              </w:rPr>
              <w:t>TILENO</w:t>
            </w:r>
          </w:p>
        </w:tc>
      </w:tr>
      <w:tr>
        <w:trPr>
          <w:trHeight w:val="367" w:hRule="exact"/>
        </w:trPr>
        <w:tc>
          <w:tcPr>
            <w:tcW w:w="2580" w:type="dxa"/>
          </w:tcPr>
          <w:p>
            <w:pPr>
              <w:pStyle w:val="TableParagraph"/>
              <w:tabs>
                <w:tab w:pos="1307" w:val="left" w:leader="none"/>
                <w:tab w:pos="2022" w:val="left" w:leader="none"/>
              </w:tabs>
              <w:spacing w:line="174" w:lineRule="exact" w:before="0"/>
              <w:ind w:left="35"/>
              <w:jc w:val="left"/>
              <w:rPr>
                <w:sz w:val="16"/>
              </w:rPr>
            </w:pPr>
            <w:r>
              <w:rPr>
                <w:sz w:val="16"/>
              </w:rPr>
              <w:t>TIME  </w:t>
            </w:r>
            <w:r>
              <w:rPr>
                <w:spacing w:val="35"/>
                <w:sz w:val="16"/>
              </w:rPr>
              <w:t> </w:t>
            </w:r>
            <w:r>
              <w:rPr>
                <w:sz w:val="16"/>
              </w:rPr>
              <w:t>PREC</w:t>
              <w:tab/>
              <w:t>SURQ</w:t>
              <w:tab/>
              <w:t>Q</w:t>
            </w:r>
          </w:p>
        </w:tc>
        <w:tc>
          <w:tcPr>
            <w:tcW w:w="483" w:type="dxa"/>
          </w:tcPr>
          <w:p>
            <w:pPr>
              <w:pStyle w:val="TableParagraph"/>
              <w:spacing w:line="174" w:lineRule="exact" w:before="0"/>
              <w:ind w:right="104"/>
              <w:rPr>
                <w:sz w:val="16"/>
              </w:rPr>
            </w:pPr>
            <w:r>
              <w:rPr>
                <w:w w:val="95"/>
                <w:sz w:val="16"/>
              </w:rPr>
              <w:t>GWQ</w:t>
            </w:r>
          </w:p>
        </w:tc>
        <w:tc>
          <w:tcPr>
            <w:tcW w:w="643" w:type="dxa"/>
          </w:tcPr>
          <w:p>
            <w:pPr>
              <w:pStyle w:val="TableParagraph"/>
              <w:spacing w:line="174" w:lineRule="exact" w:before="0"/>
              <w:ind w:left="54"/>
              <w:jc w:val="left"/>
              <w:rPr>
                <w:sz w:val="16"/>
              </w:rPr>
            </w:pPr>
            <w:r>
              <w:rPr>
                <w:sz w:val="16"/>
              </w:rPr>
              <w:t>LATE</w:t>
            </w:r>
          </w:p>
        </w:tc>
        <w:tc>
          <w:tcPr>
            <w:tcW w:w="524" w:type="dxa"/>
          </w:tcPr>
          <w:p>
            <w:pPr>
              <w:pStyle w:val="TableParagraph"/>
              <w:spacing w:line="174" w:lineRule="exact" w:before="0"/>
              <w:ind w:left="79"/>
              <w:jc w:val="left"/>
              <w:rPr>
                <w:sz w:val="16"/>
              </w:rPr>
            </w:pPr>
            <w:r>
              <w:rPr>
                <w:w w:val="98"/>
                <w:sz w:val="16"/>
              </w:rPr>
              <w:t>Q</w:t>
            </w:r>
          </w:p>
        </w:tc>
        <w:tc>
          <w:tcPr>
            <w:tcW w:w="600" w:type="dxa"/>
          </w:tcPr>
          <w:p>
            <w:pPr>
              <w:pStyle w:val="TableParagraph"/>
              <w:spacing w:line="174" w:lineRule="exact" w:before="0"/>
              <w:ind w:left="93"/>
              <w:jc w:val="left"/>
              <w:rPr>
                <w:sz w:val="16"/>
              </w:rPr>
            </w:pPr>
            <w:r>
              <w:rPr>
                <w:sz w:val="16"/>
              </w:rPr>
              <w:t>SW</w:t>
            </w:r>
          </w:p>
        </w:tc>
        <w:tc>
          <w:tcPr>
            <w:tcW w:w="665" w:type="dxa"/>
          </w:tcPr>
          <w:p>
            <w:pPr>
              <w:pStyle w:val="TableParagraph"/>
              <w:spacing w:line="174" w:lineRule="exact" w:before="0"/>
              <w:ind w:left="156"/>
              <w:jc w:val="left"/>
              <w:rPr>
                <w:sz w:val="16"/>
              </w:rPr>
            </w:pPr>
            <w:r>
              <w:rPr>
                <w:sz w:val="16"/>
              </w:rPr>
              <w:t>ET</w:t>
            </w:r>
          </w:p>
        </w:tc>
        <w:tc>
          <w:tcPr>
            <w:tcW w:w="1279" w:type="dxa"/>
          </w:tcPr>
          <w:p>
            <w:pPr>
              <w:pStyle w:val="TableParagraph"/>
              <w:tabs>
                <w:tab w:pos="701" w:val="left" w:leader="none"/>
              </w:tabs>
              <w:spacing w:line="174" w:lineRule="exact" w:before="0"/>
              <w:ind w:left="158"/>
              <w:jc w:val="left"/>
              <w:rPr>
                <w:sz w:val="16"/>
              </w:rPr>
            </w:pPr>
            <w:r>
              <w:rPr>
                <w:sz w:val="16"/>
              </w:rPr>
              <w:t>PET</w:t>
              <w:tab/>
              <w:t>YIELD</w:t>
            </w:r>
          </w:p>
        </w:tc>
        <w:tc>
          <w:tcPr>
            <w:tcW w:w="579" w:type="dxa"/>
          </w:tcPr>
          <w:p>
            <w:pPr>
              <w:pStyle w:val="TableParagraph"/>
              <w:spacing w:line="174" w:lineRule="exact" w:before="0"/>
              <w:ind w:left="103"/>
              <w:jc w:val="left"/>
              <w:rPr>
                <w:sz w:val="16"/>
              </w:rPr>
            </w:pPr>
            <w:r>
              <w:rPr>
                <w:w w:val="98"/>
                <w:sz w:val="16"/>
              </w:rPr>
              <w:t>D</w:t>
            </w:r>
          </w:p>
        </w:tc>
        <w:tc>
          <w:tcPr>
            <w:tcW w:w="626" w:type="dxa"/>
          </w:tcPr>
          <w:p>
            <w:pPr>
              <w:pStyle w:val="TableParagraph"/>
              <w:spacing w:line="174" w:lineRule="exact" w:before="0"/>
              <w:ind w:left="114"/>
              <w:jc w:val="left"/>
              <w:rPr>
                <w:sz w:val="16"/>
              </w:rPr>
            </w:pPr>
            <w:r>
              <w:rPr>
                <w:sz w:val="16"/>
              </w:rPr>
              <w:t>SURQ</w:t>
            </w:r>
          </w:p>
        </w:tc>
        <w:tc>
          <w:tcPr>
            <w:tcW w:w="545" w:type="dxa"/>
          </w:tcPr>
          <w:p>
            <w:pPr>
              <w:pStyle w:val="TableParagraph"/>
              <w:spacing w:line="174" w:lineRule="exact" w:before="0"/>
              <w:ind w:left="89"/>
              <w:jc w:val="left"/>
              <w:rPr>
                <w:sz w:val="16"/>
              </w:rPr>
            </w:pPr>
            <w:r>
              <w:rPr>
                <w:w w:val="98"/>
                <w:sz w:val="16"/>
              </w:rPr>
              <w:t>Q</w:t>
            </w:r>
          </w:p>
        </w:tc>
        <w:tc>
          <w:tcPr>
            <w:tcW w:w="583" w:type="dxa"/>
          </w:tcPr>
          <w:p>
            <w:pPr>
              <w:pStyle w:val="TableParagraph"/>
              <w:spacing w:line="173" w:lineRule="exact" w:before="0"/>
              <w:ind w:left="86"/>
              <w:jc w:val="left"/>
              <w:rPr>
                <w:sz w:val="16"/>
              </w:rPr>
            </w:pPr>
            <w:r>
              <w:rPr>
                <w:sz w:val="16"/>
              </w:rPr>
              <w:t>PERC</w:t>
            </w:r>
          </w:p>
          <w:p>
            <w:pPr>
              <w:pStyle w:val="TableParagraph"/>
              <w:spacing w:line="183" w:lineRule="exact" w:before="0"/>
              <w:ind w:left="86"/>
              <w:jc w:val="left"/>
              <w:rPr>
                <w:sz w:val="16"/>
              </w:rPr>
            </w:pPr>
            <w:r>
              <w:rPr>
                <w:sz w:val="16"/>
              </w:rPr>
              <w:t>-----</w:t>
            </w:r>
          </w:p>
        </w:tc>
        <w:tc>
          <w:tcPr>
            <w:tcW w:w="606" w:type="dxa"/>
          </w:tcPr>
          <w:p>
            <w:pPr>
              <w:pStyle w:val="TableParagraph"/>
              <w:spacing w:line="173" w:lineRule="exact" w:before="0"/>
              <w:ind w:left="103"/>
              <w:jc w:val="left"/>
              <w:rPr>
                <w:sz w:val="16"/>
              </w:rPr>
            </w:pPr>
            <w:r>
              <w:rPr>
                <w:sz w:val="16"/>
              </w:rPr>
              <w:t>CROP</w:t>
            </w:r>
          </w:p>
          <w:p>
            <w:pPr>
              <w:pStyle w:val="TableParagraph"/>
              <w:spacing w:line="183" w:lineRule="exact" w:before="0"/>
              <w:ind w:left="103"/>
              <w:jc w:val="left"/>
              <w:rPr>
                <w:sz w:val="16"/>
              </w:rPr>
            </w:pPr>
            <w:r>
              <w:rPr>
                <w:sz w:val="16"/>
              </w:rPr>
              <w:t>nutrie</w:t>
            </w:r>
          </w:p>
        </w:tc>
        <w:tc>
          <w:tcPr>
            <w:tcW w:w="828" w:type="dxa"/>
          </w:tcPr>
          <w:p>
            <w:pPr>
              <w:pStyle w:val="TableParagraph"/>
              <w:spacing w:line="173" w:lineRule="exact" w:before="0"/>
              <w:ind w:left="88"/>
              <w:jc w:val="left"/>
              <w:rPr>
                <w:sz w:val="16"/>
              </w:rPr>
            </w:pPr>
            <w:r>
              <w:rPr>
                <w:w w:val="98"/>
                <w:sz w:val="16"/>
              </w:rPr>
              <w:t>C</w:t>
            </w:r>
          </w:p>
          <w:p>
            <w:pPr>
              <w:pStyle w:val="TableParagraph"/>
              <w:spacing w:line="183" w:lineRule="exact" w:before="0"/>
              <w:ind w:left="88"/>
              <w:jc w:val="left"/>
              <w:rPr>
                <w:sz w:val="16"/>
              </w:rPr>
            </w:pPr>
            <w:r>
              <w:rPr>
                <w:sz w:val="16"/>
              </w:rPr>
              <w:t>Ton/Ha)--</w:t>
            </w:r>
          </w:p>
        </w:tc>
        <w:tc>
          <w:tcPr>
            <w:tcW w:w="811" w:type="dxa"/>
          </w:tcPr>
          <w:p>
            <w:pPr>
              <w:pStyle w:val="TableParagraph"/>
              <w:spacing w:line="174" w:lineRule="exact" w:before="0"/>
              <w:ind w:left="91"/>
              <w:jc w:val="left"/>
              <w:rPr>
                <w:sz w:val="16"/>
              </w:rPr>
            </w:pPr>
            <w:r>
              <w:rPr>
                <w:w w:val="98"/>
                <w:sz w:val="16"/>
              </w:rPr>
              <w:t>E</w:t>
            </w:r>
          </w:p>
        </w:tc>
        <w:tc>
          <w:tcPr>
            <w:tcW w:w="825" w:type="dxa"/>
          </w:tcPr>
          <w:p>
            <w:pPr>
              <w:pStyle w:val="TableParagraph"/>
              <w:spacing w:line="174" w:lineRule="exact" w:before="0"/>
              <w:ind w:left="100"/>
              <w:jc w:val="left"/>
              <w:rPr>
                <w:sz w:val="16"/>
              </w:rPr>
            </w:pPr>
            <w:r>
              <w:rPr>
                <w:w w:val="98"/>
                <w:sz w:val="16"/>
              </w:rPr>
              <w:t>C</w:t>
            </w:r>
          </w:p>
        </w:tc>
        <w:tc>
          <w:tcPr>
            <w:tcW w:w="716" w:type="dxa"/>
          </w:tcPr>
          <w:p>
            <w:pPr>
              <w:pStyle w:val="TableParagraph"/>
              <w:spacing w:line="174" w:lineRule="exact" w:before="0"/>
              <w:ind w:left="106"/>
              <w:jc w:val="left"/>
              <w:rPr>
                <w:sz w:val="16"/>
              </w:rPr>
            </w:pPr>
            <w:r>
              <w:rPr>
                <w:w w:val="98"/>
                <w:sz w:val="16"/>
              </w:rPr>
              <w:t>3</w:t>
            </w:r>
          </w:p>
        </w:tc>
      </w:tr>
      <w:tr>
        <w:trPr>
          <w:trHeight w:val="273" w:hRule="exact"/>
        </w:trPr>
        <w:tc>
          <w:tcPr>
            <w:tcW w:w="2580" w:type="dxa"/>
          </w:tcPr>
          <w:p>
            <w:pPr>
              <w:pStyle w:val="TableParagraph"/>
              <w:tabs>
                <w:tab w:pos="720" w:val="left" w:leader="none"/>
                <w:tab w:pos="1435" w:val="left" w:leader="none"/>
              </w:tabs>
              <w:spacing w:line="176" w:lineRule="exact" w:before="0"/>
              <w:ind w:right="204"/>
              <w:rPr>
                <w:sz w:val="16"/>
              </w:rPr>
            </w:pPr>
            <w:r>
              <w:rPr>
                <w:sz w:val="16"/>
              </w:rPr>
              <w:t>(mm)</w:t>
              <w:tab/>
              <w:t>(mm)</w:t>
              <w:tab/>
            </w:r>
            <w:r>
              <w:rPr>
                <w:spacing w:val="-1"/>
                <w:w w:val="95"/>
                <w:sz w:val="16"/>
              </w:rPr>
              <w:t>(mm)</w:t>
            </w:r>
          </w:p>
        </w:tc>
        <w:tc>
          <w:tcPr>
            <w:tcW w:w="483" w:type="dxa"/>
          </w:tcPr>
          <w:p>
            <w:pPr>
              <w:pStyle w:val="TableParagraph"/>
              <w:spacing w:line="176" w:lineRule="exact" w:before="0"/>
              <w:ind w:right="130"/>
              <w:rPr>
                <w:sz w:val="16"/>
              </w:rPr>
            </w:pPr>
            <w:r>
              <w:rPr>
                <w:w w:val="95"/>
                <w:sz w:val="16"/>
              </w:rPr>
              <w:t>(mm)</w:t>
            </w:r>
          </w:p>
        </w:tc>
        <w:tc>
          <w:tcPr>
            <w:tcW w:w="643" w:type="dxa"/>
          </w:tcPr>
          <w:p>
            <w:pPr>
              <w:pStyle w:val="TableParagraph"/>
              <w:spacing w:line="176" w:lineRule="exact" w:before="0"/>
              <w:ind w:left="54"/>
              <w:jc w:val="left"/>
              <w:rPr>
                <w:sz w:val="16"/>
              </w:rPr>
            </w:pPr>
            <w:r>
              <w:rPr>
                <w:sz w:val="16"/>
              </w:rPr>
              <w:t>(mm)</w:t>
            </w:r>
          </w:p>
        </w:tc>
        <w:tc>
          <w:tcPr>
            <w:tcW w:w="524" w:type="dxa"/>
          </w:tcPr>
          <w:p>
            <w:pPr>
              <w:pStyle w:val="TableParagraph"/>
              <w:spacing w:line="176" w:lineRule="exact" w:before="0"/>
              <w:ind w:left="79"/>
              <w:jc w:val="left"/>
              <w:rPr>
                <w:sz w:val="16"/>
              </w:rPr>
            </w:pPr>
            <w:r>
              <w:rPr>
                <w:sz w:val="16"/>
              </w:rPr>
              <w:t>(mm)</w:t>
            </w:r>
          </w:p>
        </w:tc>
        <w:tc>
          <w:tcPr>
            <w:tcW w:w="600" w:type="dxa"/>
          </w:tcPr>
          <w:p>
            <w:pPr>
              <w:pStyle w:val="TableParagraph"/>
              <w:spacing w:line="176" w:lineRule="exact" w:before="0"/>
              <w:ind w:left="93"/>
              <w:jc w:val="left"/>
              <w:rPr>
                <w:sz w:val="16"/>
              </w:rPr>
            </w:pPr>
            <w:r>
              <w:rPr>
                <w:sz w:val="16"/>
              </w:rPr>
              <w:t>(mm)</w:t>
            </w:r>
          </w:p>
        </w:tc>
        <w:tc>
          <w:tcPr>
            <w:tcW w:w="665" w:type="dxa"/>
          </w:tcPr>
          <w:p>
            <w:pPr>
              <w:pStyle w:val="TableParagraph"/>
              <w:spacing w:line="176" w:lineRule="exact" w:before="0"/>
              <w:ind w:left="156"/>
              <w:jc w:val="left"/>
              <w:rPr>
                <w:sz w:val="16"/>
              </w:rPr>
            </w:pPr>
            <w:r>
              <w:rPr>
                <w:sz w:val="16"/>
              </w:rPr>
              <w:t>(mm)</w:t>
            </w:r>
          </w:p>
        </w:tc>
        <w:tc>
          <w:tcPr>
            <w:tcW w:w="1279" w:type="dxa"/>
          </w:tcPr>
          <w:p>
            <w:pPr>
              <w:pStyle w:val="TableParagraph"/>
              <w:spacing w:line="176" w:lineRule="exact" w:before="0"/>
              <w:ind w:left="158" w:right="96"/>
              <w:jc w:val="left"/>
              <w:rPr>
                <w:sz w:val="16"/>
              </w:rPr>
            </w:pPr>
            <w:r>
              <w:rPr>
                <w:sz w:val="16"/>
              </w:rPr>
              <w:t>(mm)    (mm)</w:t>
            </w:r>
          </w:p>
        </w:tc>
        <w:tc>
          <w:tcPr>
            <w:tcW w:w="579" w:type="dxa"/>
          </w:tcPr>
          <w:p>
            <w:pPr>
              <w:pStyle w:val="TableParagraph"/>
              <w:spacing w:line="176" w:lineRule="exact" w:before="0"/>
              <w:ind w:left="103"/>
              <w:jc w:val="left"/>
              <w:rPr>
                <w:sz w:val="16"/>
              </w:rPr>
            </w:pPr>
            <w:r>
              <w:rPr>
                <w:sz w:val="16"/>
              </w:rPr>
              <w:t>(mm)</w:t>
            </w:r>
          </w:p>
        </w:tc>
        <w:tc>
          <w:tcPr>
            <w:tcW w:w="626" w:type="dxa"/>
          </w:tcPr>
          <w:p>
            <w:pPr>
              <w:pStyle w:val="TableParagraph"/>
              <w:spacing w:line="176" w:lineRule="exact" w:before="0"/>
              <w:ind w:left="114"/>
              <w:jc w:val="left"/>
              <w:rPr>
                <w:sz w:val="16"/>
              </w:rPr>
            </w:pPr>
            <w:r>
              <w:rPr>
                <w:sz w:val="16"/>
              </w:rPr>
              <w:t>------</w:t>
            </w:r>
          </w:p>
        </w:tc>
        <w:tc>
          <w:tcPr>
            <w:tcW w:w="545" w:type="dxa"/>
          </w:tcPr>
          <w:p>
            <w:pPr>
              <w:pStyle w:val="TableParagraph"/>
              <w:spacing w:line="176" w:lineRule="exact" w:before="0"/>
              <w:ind w:left="89"/>
              <w:jc w:val="left"/>
              <w:rPr>
                <w:sz w:val="16"/>
              </w:rPr>
            </w:pPr>
            <w:r>
              <w:rPr>
                <w:sz w:val="16"/>
              </w:rPr>
              <w:t>-------</w:t>
            </w:r>
          </w:p>
        </w:tc>
        <w:tc>
          <w:tcPr>
            <w:tcW w:w="583" w:type="dxa"/>
          </w:tcPr>
          <w:p>
            <w:pPr>
              <w:pStyle w:val="TableParagraph"/>
              <w:spacing w:line="176" w:lineRule="exact" w:before="0"/>
              <w:ind w:left="86"/>
              <w:jc w:val="left"/>
              <w:rPr>
                <w:sz w:val="16"/>
              </w:rPr>
            </w:pPr>
            <w:r>
              <w:rPr>
                <w:sz w:val="16"/>
              </w:rPr>
              <w:t>(kg</w:t>
            </w:r>
          </w:p>
        </w:tc>
        <w:tc>
          <w:tcPr>
            <w:tcW w:w="606" w:type="dxa"/>
          </w:tcPr>
          <w:p>
            <w:pPr>
              <w:pStyle w:val="TableParagraph"/>
              <w:spacing w:line="176" w:lineRule="exact" w:before="0"/>
              <w:ind w:left="103"/>
              <w:jc w:val="left"/>
              <w:rPr>
                <w:sz w:val="16"/>
              </w:rPr>
            </w:pPr>
            <w:r>
              <w:rPr>
                <w:w w:val="99"/>
                <w:sz w:val="16"/>
              </w:rPr>
              <w:t>n</w:t>
            </w:r>
          </w:p>
        </w:tc>
        <w:tc>
          <w:tcPr>
            <w:tcW w:w="828" w:type="dxa"/>
          </w:tcPr>
          <w:p>
            <w:pPr>
              <w:pStyle w:val="TableParagraph"/>
              <w:spacing w:line="176" w:lineRule="exact" w:before="0"/>
              <w:ind w:left="88"/>
              <w:jc w:val="left"/>
              <w:rPr>
                <w:sz w:val="16"/>
              </w:rPr>
            </w:pPr>
            <w:r>
              <w:rPr>
                <w:sz w:val="16"/>
              </w:rPr>
              <w:t>--</w:t>
            </w:r>
          </w:p>
        </w:tc>
        <w:tc>
          <w:tcPr>
            <w:tcW w:w="811" w:type="dxa"/>
          </w:tcPr>
          <w:p>
            <w:pPr>
              <w:pStyle w:val="TableParagraph"/>
              <w:spacing w:line="176" w:lineRule="exact" w:before="0"/>
              <w:ind w:left="91"/>
              <w:jc w:val="left"/>
              <w:rPr>
                <w:sz w:val="16"/>
              </w:rPr>
            </w:pPr>
            <w:r>
              <w:rPr>
                <w:sz w:val="16"/>
              </w:rPr>
              <w:t>--------</w:t>
            </w:r>
          </w:p>
        </w:tc>
        <w:tc>
          <w:tcPr>
            <w:tcW w:w="825" w:type="dxa"/>
          </w:tcPr>
          <w:p>
            <w:pPr>
              <w:pStyle w:val="TableParagraph"/>
              <w:spacing w:line="176" w:lineRule="exact" w:before="0"/>
              <w:ind w:left="100"/>
              <w:jc w:val="left"/>
              <w:rPr>
                <w:sz w:val="16"/>
              </w:rPr>
            </w:pPr>
            <w:r>
              <w:rPr>
                <w:sz w:val="16"/>
              </w:rPr>
              <w:t>--------</w:t>
            </w:r>
          </w:p>
        </w:tc>
        <w:tc>
          <w:tcPr>
            <w:tcW w:w="716" w:type="dxa"/>
          </w:tcPr>
          <w:p>
            <w:pPr>
              <w:pStyle w:val="TableParagraph"/>
              <w:spacing w:line="176" w:lineRule="exact" w:before="0"/>
              <w:ind w:left="106"/>
              <w:jc w:val="left"/>
              <w:rPr>
                <w:sz w:val="16"/>
              </w:rPr>
            </w:pPr>
            <w:r>
              <w:rPr>
                <w:sz w:val="16"/>
              </w:rPr>
              <w:t>(kg/ha)</w:t>
            </w:r>
          </w:p>
        </w:tc>
      </w:tr>
    </w:tbl>
    <w:p>
      <w:pPr>
        <w:spacing w:before="18"/>
        <w:ind w:left="148" w:right="0" w:firstLine="0"/>
        <w:jc w:val="left"/>
        <w:rPr>
          <w:sz w:val="16"/>
        </w:rPr>
      </w:pPr>
      <w:r>
        <w:rPr>
          <w:sz w:val="16"/>
        </w:rPr>
        <w:t>SWAT Mar 4 2014    VER 2012/Rev 622</w:t>
      </w:r>
    </w:p>
    <w:p>
      <w:pPr>
        <w:pStyle w:val="BodyText"/>
        <w:rPr>
          <w:sz w:val="16"/>
        </w:rPr>
      </w:pPr>
    </w:p>
    <w:p>
      <w:pPr>
        <w:pStyle w:val="BodyText"/>
        <w:spacing w:before="2"/>
        <w:rPr>
          <w:sz w:val="20"/>
        </w:rPr>
      </w:pPr>
    </w:p>
    <w:p>
      <w:pPr>
        <w:spacing w:before="0"/>
        <w:ind w:left="302" w:right="0" w:firstLine="0"/>
        <w:jc w:val="left"/>
        <w:rPr>
          <w:sz w:val="16"/>
        </w:rPr>
      </w:pPr>
      <w:r>
        <w:rPr>
          <w:sz w:val="16"/>
        </w:rPr>
        <w:t>General Input/Output section (file.cio):</w:t>
      </w:r>
    </w:p>
    <w:p>
      <w:pPr>
        <w:spacing w:before="118"/>
        <w:ind w:left="302" w:right="0" w:firstLine="0"/>
        <w:jc w:val="left"/>
        <w:rPr>
          <w:sz w:val="16"/>
        </w:rPr>
      </w:pPr>
      <w:r>
        <w:rPr>
          <w:sz w:val="16"/>
        </w:rPr>
        <w:t>10/28/2014 12:00:00 AM ARCGIS-SWAT interface AV</w:t>
      </w:r>
    </w:p>
    <w:p>
      <w:pPr>
        <w:pStyle w:val="BodyText"/>
        <w:rPr>
          <w:sz w:val="16"/>
        </w:rPr>
      </w:pPr>
    </w:p>
    <w:p>
      <w:pPr>
        <w:spacing w:line="244" w:lineRule="auto" w:before="112"/>
        <w:ind w:left="148" w:right="9539" w:firstLine="0"/>
        <w:jc w:val="left"/>
        <w:rPr>
          <w:sz w:val="16"/>
        </w:rPr>
      </w:pPr>
      <w:r>
        <w:rPr>
          <w:sz w:val="16"/>
        </w:rPr>
        <w:t>Annual Summary for Watershed in year 2 of simulation</w:t>
      </w:r>
    </w:p>
    <w:p>
      <w:pPr>
        <w:spacing w:after="0" w:line="244" w:lineRule="auto"/>
        <w:jc w:val="left"/>
        <w:rPr>
          <w:sz w:val="16"/>
        </w:rPr>
        <w:sectPr>
          <w:footerReference w:type="default" r:id="rId197"/>
          <w:pgSz w:w="15840" w:h="12240" w:orient="landscape"/>
          <w:pgMar w:footer="1414" w:header="0" w:top="1140" w:bottom="1600" w:left="1340" w:right="1300"/>
          <w:pgNumType w:start="174"/>
        </w:sectPr>
      </w:pPr>
    </w:p>
    <w:p>
      <w:pPr>
        <w:pStyle w:val="BodyText"/>
        <w:spacing w:before="5"/>
        <w:rPr>
          <w:sz w:val="25"/>
        </w:rPr>
      </w:pP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85"/>
        <w:gridCol w:w="716"/>
        <w:gridCol w:w="718"/>
        <w:gridCol w:w="554"/>
        <w:gridCol w:w="538"/>
        <w:gridCol w:w="669"/>
        <w:gridCol w:w="535"/>
        <w:gridCol w:w="667"/>
        <w:gridCol w:w="665"/>
        <w:gridCol w:w="544"/>
        <w:gridCol w:w="678"/>
        <w:gridCol w:w="595"/>
        <w:gridCol w:w="595"/>
        <w:gridCol w:w="545"/>
        <w:gridCol w:w="598"/>
        <w:gridCol w:w="593"/>
        <w:gridCol w:w="830"/>
        <w:gridCol w:w="821"/>
        <w:gridCol w:w="831"/>
        <w:gridCol w:w="891"/>
      </w:tblGrid>
      <w:tr>
        <w:trPr>
          <w:trHeight w:val="358" w:hRule="exact"/>
        </w:trPr>
        <w:tc>
          <w:tcPr>
            <w:tcW w:w="685" w:type="dxa"/>
          </w:tcPr>
          <w:p>
            <w:pPr>
              <w:pStyle w:val="TableParagraph"/>
              <w:spacing w:before="4"/>
              <w:jc w:val="left"/>
              <w:rPr>
                <w:sz w:val="14"/>
              </w:rPr>
            </w:pPr>
          </w:p>
          <w:p>
            <w:pPr>
              <w:pStyle w:val="TableParagraph"/>
              <w:spacing w:before="0"/>
              <w:ind w:right="107"/>
              <w:rPr>
                <w:sz w:val="16"/>
              </w:rPr>
            </w:pPr>
            <w:r>
              <w:rPr>
                <w:sz w:val="16"/>
              </w:rPr>
              <w:t>UNIT</w:t>
            </w:r>
          </w:p>
        </w:tc>
        <w:tc>
          <w:tcPr>
            <w:tcW w:w="716" w:type="dxa"/>
          </w:tcPr>
          <w:p>
            <w:pPr/>
          </w:p>
        </w:tc>
        <w:tc>
          <w:tcPr>
            <w:tcW w:w="718" w:type="dxa"/>
          </w:tcPr>
          <w:p>
            <w:pPr/>
          </w:p>
        </w:tc>
        <w:tc>
          <w:tcPr>
            <w:tcW w:w="554" w:type="dxa"/>
          </w:tcPr>
          <w:p>
            <w:pPr/>
          </w:p>
        </w:tc>
        <w:tc>
          <w:tcPr>
            <w:tcW w:w="538" w:type="dxa"/>
          </w:tcPr>
          <w:p>
            <w:pPr/>
          </w:p>
        </w:tc>
        <w:tc>
          <w:tcPr>
            <w:tcW w:w="669" w:type="dxa"/>
          </w:tcPr>
          <w:p>
            <w:pPr>
              <w:pStyle w:val="TableParagraph"/>
              <w:spacing w:before="4"/>
              <w:jc w:val="left"/>
              <w:rPr>
                <w:sz w:val="14"/>
              </w:rPr>
            </w:pPr>
          </w:p>
          <w:p>
            <w:pPr>
              <w:pStyle w:val="TableParagraph"/>
              <w:spacing w:before="0"/>
              <w:ind w:left="70"/>
              <w:jc w:val="left"/>
              <w:rPr>
                <w:sz w:val="16"/>
              </w:rPr>
            </w:pPr>
            <w:r>
              <w:rPr>
                <w:sz w:val="16"/>
              </w:rPr>
              <w:t>PERCO</w:t>
            </w:r>
          </w:p>
        </w:tc>
        <w:tc>
          <w:tcPr>
            <w:tcW w:w="535" w:type="dxa"/>
          </w:tcPr>
          <w:p>
            <w:pPr>
              <w:pStyle w:val="TableParagraph"/>
              <w:spacing w:before="4"/>
              <w:jc w:val="left"/>
              <w:rPr>
                <w:sz w:val="14"/>
              </w:rPr>
            </w:pPr>
          </w:p>
          <w:p>
            <w:pPr>
              <w:pStyle w:val="TableParagraph"/>
              <w:spacing w:before="0"/>
              <w:ind w:left="68"/>
              <w:jc w:val="left"/>
              <w:rPr>
                <w:sz w:val="16"/>
              </w:rPr>
            </w:pPr>
            <w:r>
              <w:rPr>
                <w:sz w:val="16"/>
              </w:rPr>
              <w:t>TILE</w:t>
            </w:r>
          </w:p>
        </w:tc>
        <w:tc>
          <w:tcPr>
            <w:tcW w:w="667" w:type="dxa"/>
          </w:tcPr>
          <w:p>
            <w:pPr/>
          </w:p>
        </w:tc>
        <w:tc>
          <w:tcPr>
            <w:tcW w:w="665" w:type="dxa"/>
          </w:tcPr>
          <w:p>
            <w:pPr/>
          </w:p>
        </w:tc>
        <w:tc>
          <w:tcPr>
            <w:tcW w:w="544" w:type="dxa"/>
          </w:tcPr>
          <w:p>
            <w:pPr/>
          </w:p>
        </w:tc>
        <w:tc>
          <w:tcPr>
            <w:tcW w:w="678" w:type="dxa"/>
          </w:tcPr>
          <w:p>
            <w:pPr>
              <w:pStyle w:val="TableParagraph"/>
              <w:spacing w:line="162" w:lineRule="exact" w:before="0"/>
              <w:ind w:left="67"/>
              <w:jc w:val="left"/>
              <w:rPr>
                <w:sz w:val="16"/>
              </w:rPr>
            </w:pPr>
            <w:r>
              <w:rPr>
                <w:sz w:val="16"/>
              </w:rPr>
              <w:t>WATE</w:t>
            </w:r>
          </w:p>
          <w:p>
            <w:pPr>
              <w:pStyle w:val="TableParagraph"/>
              <w:spacing w:before="3"/>
              <w:ind w:left="67"/>
              <w:jc w:val="left"/>
              <w:rPr>
                <w:sz w:val="16"/>
              </w:rPr>
            </w:pPr>
            <w:r>
              <w:rPr>
                <w:w w:val="99"/>
                <w:sz w:val="16"/>
              </w:rPr>
              <w:t>R</w:t>
            </w:r>
          </w:p>
        </w:tc>
        <w:tc>
          <w:tcPr>
            <w:tcW w:w="595" w:type="dxa"/>
          </w:tcPr>
          <w:p>
            <w:pPr>
              <w:pStyle w:val="TableParagraph"/>
              <w:spacing w:before="4"/>
              <w:jc w:val="left"/>
              <w:rPr>
                <w:sz w:val="14"/>
              </w:rPr>
            </w:pPr>
          </w:p>
          <w:p>
            <w:pPr>
              <w:pStyle w:val="TableParagraph"/>
              <w:spacing w:before="0"/>
              <w:ind w:left="71" w:right="158"/>
              <w:jc w:val="left"/>
              <w:rPr>
                <w:sz w:val="16"/>
              </w:rPr>
            </w:pPr>
            <w:r>
              <w:rPr>
                <w:sz w:val="16"/>
              </w:rPr>
              <w:t>SED</w:t>
            </w:r>
          </w:p>
        </w:tc>
        <w:tc>
          <w:tcPr>
            <w:tcW w:w="595" w:type="dxa"/>
          </w:tcPr>
          <w:p>
            <w:pPr>
              <w:pStyle w:val="TableParagraph"/>
              <w:spacing w:before="4"/>
              <w:jc w:val="left"/>
              <w:rPr>
                <w:sz w:val="14"/>
              </w:rPr>
            </w:pPr>
          </w:p>
          <w:p>
            <w:pPr>
              <w:pStyle w:val="TableParagraph"/>
              <w:spacing w:before="0"/>
              <w:ind w:left="66"/>
              <w:jc w:val="left"/>
              <w:rPr>
                <w:sz w:val="16"/>
              </w:rPr>
            </w:pPr>
            <w:r>
              <w:rPr>
                <w:sz w:val="16"/>
              </w:rPr>
              <w:t>NO3</w:t>
            </w:r>
          </w:p>
        </w:tc>
        <w:tc>
          <w:tcPr>
            <w:tcW w:w="545" w:type="dxa"/>
          </w:tcPr>
          <w:p>
            <w:pPr>
              <w:pStyle w:val="TableParagraph"/>
              <w:spacing w:before="4"/>
              <w:jc w:val="left"/>
              <w:rPr>
                <w:sz w:val="14"/>
              </w:rPr>
            </w:pPr>
          </w:p>
          <w:p>
            <w:pPr>
              <w:pStyle w:val="TableParagraph"/>
              <w:spacing w:before="0"/>
              <w:ind w:left="71"/>
              <w:jc w:val="left"/>
              <w:rPr>
                <w:sz w:val="16"/>
              </w:rPr>
            </w:pPr>
            <w:r>
              <w:rPr>
                <w:sz w:val="16"/>
              </w:rPr>
              <w:t>NO3</w:t>
            </w:r>
          </w:p>
        </w:tc>
        <w:tc>
          <w:tcPr>
            <w:tcW w:w="598" w:type="dxa"/>
          </w:tcPr>
          <w:p>
            <w:pPr>
              <w:pStyle w:val="TableParagraph"/>
              <w:spacing w:before="4"/>
              <w:jc w:val="left"/>
              <w:rPr>
                <w:sz w:val="14"/>
              </w:rPr>
            </w:pPr>
          </w:p>
          <w:p>
            <w:pPr>
              <w:pStyle w:val="TableParagraph"/>
              <w:spacing w:before="0"/>
              <w:ind w:left="68"/>
              <w:jc w:val="left"/>
              <w:rPr>
                <w:sz w:val="16"/>
              </w:rPr>
            </w:pPr>
            <w:r>
              <w:rPr>
                <w:sz w:val="16"/>
              </w:rPr>
              <w:t>NO3</w:t>
            </w:r>
          </w:p>
        </w:tc>
        <w:tc>
          <w:tcPr>
            <w:tcW w:w="593" w:type="dxa"/>
          </w:tcPr>
          <w:p>
            <w:pPr>
              <w:pStyle w:val="TableParagraph"/>
              <w:spacing w:before="4"/>
              <w:jc w:val="left"/>
              <w:rPr>
                <w:sz w:val="14"/>
              </w:rPr>
            </w:pPr>
          </w:p>
          <w:p>
            <w:pPr>
              <w:pStyle w:val="TableParagraph"/>
              <w:spacing w:before="0"/>
              <w:ind w:left="71"/>
              <w:jc w:val="left"/>
              <w:rPr>
                <w:sz w:val="16"/>
              </w:rPr>
            </w:pPr>
            <w:r>
              <w:rPr>
                <w:sz w:val="16"/>
              </w:rPr>
              <w:t>NO3</w:t>
            </w:r>
          </w:p>
        </w:tc>
        <w:tc>
          <w:tcPr>
            <w:tcW w:w="830" w:type="dxa"/>
          </w:tcPr>
          <w:p>
            <w:pPr>
              <w:pStyle w:val="TableParagraph"/>
              <w:spacing w:before="4"/>
              <w:jc w:val="left"/>
              <w:rPr>
                <w:sz w:val="14"/>
              </w:rPr>
            </w:pPr>
          </w:p>
          <w:p>
            <w:pPr>
              <w:pStyle w:val="TableParagraph"/>
              <w:spacing w:before="0"/>
              <w:ind w:left="68"/>
              <w:jc w:val="left"/>
              <w:rPr>
                <w:sz w:val="16"/>
              </w:rPr>
            </w:pPr>
            <w:r>
              <w:rPr>
                <w:w w:val="98"/>
                <w:sz w:val="16"/>
              </w:rPr>
              <w:t>N</w:t>
            </w:r>
          </w:p>
        </w:tc>
        <w:tc>
          <w:tcPr>
            <w:tcW w:w="821" w:type="dxa"/>
          </w:tcPr>
          <w:p>
            <w:pPr>
              <w:pStyle w:val="TableParagraph"/>
              <w:spacing w:before="4"/>
              <w:jc w:val="left"/>
              <w:rPr>
                <w:sz w:val="14"/>
              </w:rPr>
            </w:pPr>
          </w:p>
          <w:p>
            <w:pPr>
              <w:pStyle w:val="TableParagraph"/>
              <w:spacing w:before="0"/>
              <w:ind w:left="68"/>
              <w:jc w:val="left"/>
              <w:rPr>
                <w:sz w:val="16"/>
              </w:rPr>
            </w:pPr>
            <w:r>
              <w:rPr>
                <w:w w:val="98"/>
                <w:sz w:val="16"/>
              </w:rPr>
              <w:t>P</w:t>
            </w:r>
          </w:p>
        </w:tc>
        <w:tc>
          <w:tcPr>
            <w:tcW w:w="831" w:type="dxa"/>
          </w:tcPr>
          <w:p>
            <w:pPr>
              <w:pStyle w:val="TableParagraph"/>
              <w:spacing w:before="4"/>
              <w:jc w:val="left"/>
              <w:rPr>
                <w:sz w:val="14"/>
              </w:rPr>
            </w:pPr>
          </w:p>
          <w:p>
            <w:pPr>
              <w:pStyle w:val="TableParagraph"/>
              <w:spacing w:before="0"/>
              <w:ind w:left="68"/>
              <w:jc w:val="left"/>
              <w:rPr>
                <w:sz w:val="16"/>
              </w:rPr>
            </w:pPr>
            <w:r>
              <w:rPr>
                <w:w w:val="98"/>
                <w:sz w:val="16"/>
              </w:rPr>
              <w:t>P</w:t>
            </w:r>
          </w:p>
        </w:tc>
        <w:tc>
          <w:tcPr>
            <w:tcW w:w="891" w:type="dxa"/>
          </w:tcPr>
          <w:p>
            <w:pPr/>
          </w:p>
        </w:tc>
      </w:tr>
      <w:tr>
        <w:trPr>
          <w:trHeight w:val="368" w:hRule="exact"/>
        </w:trPr>
        <w:tc>
          <w:tcPr>
            <w:tcW w:w="685" w:type="dxa"/>
          </w:tcPr>
          <w:p>
            <w:pPr>
              <w:pStyle w:val="TableParagraph"/>
              <w:spacing w:before="0"/>
              <w:jc w:val="left"/>
              <w:rPr>
                <w:sz w:val="15"/>
              </w:rPr>
            </w:pPr>
          </w:p>
          <w:p>
            <w:pPr>
              <w:pStyle w:val="TableParagraph"/>
              <w:spacing w:before="0"/>
              <w:ind w:right="93"/>
              <w:rPr>
                <w:sz w:val="16"/>
              </w:rPr>
            </w:pPr>
            <w:r>
              <w:rPr>
                <w:w w:val="95"/>
                <w:sz w:val="16"/>
              </w:rPr>
              <w:t>TIME</w:t>
            </w:r>
          </w:p>
        </w:tc>
        <w:tc>
          <w:tcPr>
            <w:tcW w:w="716" w:type="dxa"/>
          </w:tcPr>
          <w:p>
            <w:pPr>
              <w:pStyle w:val="TableParagraph"/>
              <w:spacing w:before="0"/>
              <w:jc w:val="left"/>
              <w:rPr>
                <w:sz w:val="15"/>
              </w:rPr>
            </w:pPr>
          </w:p>
          <w:p>
            <w:pPr>
              <w:pStyle w:val="TableParagraph"/>
              <w:spacing w:before="0"/>
              <w:ind w:left="67"/>
              <w:jc w:val="left"/>
              <w:rPr>
                <w:sz w:val="16"/>
              </w:rPr>
            </w:pPr>
            <w:r>
              <w:rPr>
                <w:sz w:val="16"/>
              </w:rPr>
              <w:t>PREC</w:t>
            </w:r>
          </w:p>
        </w:tc>
        <w:tc>
          <w:tcPr>
            <w:tcW w:w="718" w:type="dxa"/>
          </w:tcPr>
          <w:p>
            <w:pPr>
              <w:pStyle w:val="TableParagraph"/>
              <w:spacing w:before="0"/>
              <w:jc w:val="left"/>
              <w:rPr>
                <w:sz w:val="15"/>
              </w:rPr>
            </w:pPr>
          </w:p>
          <w:p>
            <w:pPr>
              <w:pStyle w:val="TableParagraph"/>
              <w:spacing w:before="0"/>
              <w:ind w:left="71"/>
              <w:jc w:val="left"/>
              <w:rPr>
                <w:sz w:val="16"/>
              </w:rPr>
            </w:pPr>
            <w:r>
              <w:rPr>
                <w:sz w:val="16"/>
              </w:rPr>
              <w:t>SURQ</w:t>
            </w:r>
          </w:p>
        </w:tc>
        <w:tc>
          <w:tcPr>
            <w:tcW w:w="554" w:type="dxa"/>
          </w:tcPr>
          <w:p>
            <w:pPr>
              <w:pStyle w:val="TableParagraph"/>
              <w:spacing w:line="237" w:lineRule="auto" w:before="0"/>
              <w:ind w:left="68" w:right="170"/>
              <w:jc w:val="left"/>
              <w:rPr>
                <w:sz w:val="16"/>
              </w:rPr>
            </w:pPr>
            <w:r>
              <w:rPr>
                <w:w w:val="95"/>
                <w:sz w:val="16"/>
              </w:rPr>
              <w:t>LAT </w:t>
            </w:r>
            <w:r>
              <w:rPr>
                <w:sz w:val="16"/>
              </w:rPr>
              <w:t>Q</w:t>
            </w:r>
          </w:p>
        </w:tc>
        <w:tc>
          <w:tcPr>
            <w:tcW w:w="538" w:type="dxa"/>
          </w:tcPr>
          <w:p>
            <w:pPr>
              <w:pStyle w:val="TableParagraph"/>
              <w:spacing w:before="0"/>
              <w:jc w:val="left"/>
              <w:rPr>
                <w:sz w:val="15"/>
              </w:rPr>
            </w:pPr>
          </w:p>
          <w:p>
            <w:pPr>
              <w:pStyle w:val="TableParagraph"/>
              <w:spacing w:before="0"/>
              <w:ind w:right="87"/>
              <w:rPr>
                <w:sz w:val="16"/>
              </w:rPr>
            </w:pPr>
            <w:r>
              <w:rPr>
                <w:w w:val="95"/>
                <w:sz w:val="16"/>
              </w:rPr>
              <w:t>GWQ</w:t>
            </w:r>
          </w:p>
        </w:tc>
        <w:tc>
          <w:tcPr>
            <w:tcW w:w="669" w:type="dxa"/>
          </w:tcPr>
          <w:p>
            <w:pPr>
              <w:pStyle w:val="TableParagraph"/>
              <w:spacing w:before="0"/>
              <w:jc w:val="left"/>
              <w:rPr>
                <w:sz w:val="15"/>
              </w:rPr>
            </w:pPr>
          </w:p>
          <w:p>
            <w:pPr>
              <w:pStyle w:val="TableParagraph"/>
              <w:spacing w:before="0"/>
              <w:ind w:left="70"/>
              <w:jc w:val="left"/>
              <w:rPr>
                <w:sz w:val="16"/>
              </w:rPr>
            </w:pPr>
            <w:r>
              <w:rPr>
                <w:sz w:val="16"/>
              </w:rPr>
              <w:t>LATE</w:t>
            </w:r>
          </w:p>
        </w:tc>
        <w:tc>
          <w:tcPr>
            <w:tcW w:w="535" w:type="dxa"/>
          </w:tcPr>
          <w:p>
            <w:pPr>
              <w:pStyle w:val="TableParagraph"/>
              <w:spacing w:before="0"/>
              <w:jc w:val="left"/>
              <w:rPr>
                <w:sz w:val="15"/>
              </w:rPr>
            </w:pPr>
          </w:p>
          <w:p>
            <w:pPr>
              <w:pStyle w:val="TableParagraph"/>
              <w:spacing w:before="0"/>
              <w:ind w:left="68"/>
              <w:jc w:val="left"/>
              <w:rPr>
                <w:sz w:val="16"/>
              </w:rPr>
            </w:pPr>
            <w:r>
              <w:rPr>
                <w:w w:val="98"/>
                <w:sz w:val="16"/>
              </w:rPr>
              <w:t>Q</w:t>
            </w:r>
          </w:p>
        </w:tc>
        <w:tc>
          <w:tcPr>
            <w:tcW w:w="667" w:type="dxa"/>
          </w:tcPr>
          <w:p>
            <w:pPr>
              <w:pStyle w:val="TableParagraph"/>
              <w:spacing w:before="0"/>
              <w:jc w:val="left"/>
              <w:rPr>
                <w:sz w:val="15"/>
              </w:rPr>
            </w:pPr>
          </w:p>
          <w:p>
            <w:pPr>
              <w:pStyle w:val="TableParagraph"/>
              <w:spacing w:before="0"/>
              <w:ind w:left="70"/>
              <w:jc w:val="left"/>
              <w:rPr>
                <w:sz w:val="16"/>
              </w:rPr>
            </w:pPr>
            <w:r>
              <w:rPr>
                <w:sz w:val="16"/>
              </w:rPr>
              <w:t>SW</w:t>
            </w:r>
          </w:p>
        </w:tc>
        <w:tc>
          <w:tcPr>
            <w:tcW w:w="665" w:type="dxa"/>
          </w:tcPr>
          <w:p>
            <w:pPr>
              <w:pStyle w:val="TableParagraph"/>
              <w:spacing w:before="0"/>
              <w:jc w:val="left"/>
              <w:rPr>
                <w:sz w:val="15"/>
              </w:rPr>
            </w:pPr>
          </w:p>
          <w:p>
            <w:pPr>
              <w:pStyle w:val="TableParagraph"/>
              <w:spacing w:before="0"/>
              <w:ind w:left="66"/>
              <w:jc w:val="left"/>
              <w:rPr>
                <w:sz w:val="16"/>
              </w:rPr>
            </w:pPr>
            <w:r>
              <w:rPr>
                <w:sz w:val="16"/>
              </w:rPr>
              <w:t>ET</w:t>
            </w:r>
          </w:p>
        </w:tc>
        <w:tc>
          <w:tcPr>
            <w:tcW w:w="544" w:type="dxa"/>
          </w:tcPr>
          <w:p>
            <w:pPr>
              <w:pStyle w:val="TableParagraph"/>
              <w:spacing w:before="0"/>
              <w:jc w:val="left"/>
              <w:rPr>
                <w:sz w:val="15"/>
              </w:rPr>
            </w:pPr>
          </w:p>
          <w:p>
            <w:pPr>
              <w:pStyle w:val="TableParagraph"/>
              <w:spacing w:before="0"/>
              <w:ind w:left="68"/>
              <w:jc w:val="left"/>
              <w:rPr>
                <w:sz w:val="16"/>
              </w:rPr>
            </w:pPr>
            <w:r>
              <w:rPr>
                <w:sz w:val="16"/>
              </w:rPr>
              <w:t>PET</w:t>
            </w:r>
          </w:p>
        </w:tc>
        <w:tc>
          <w:tcPr>
            <w:tcW w:w="678" w:type="dxa"/>
          </w:tcPr>
          <w:p>
            <w:pPr>
              <w:pStyle w:val="TableParagraph"/>
              <w:spacing w:before="0"/>
              <w:jc w:val="left"/>
              <w:rPr>
                <w:sz w:val="15"/>
              </w:rPr>
            </w:pPr>
          </w:p>
          <w:p>
            <w:pPr>
              <w:pStyle w:val="TableParagraph"/>
              <w:spacing w:before="0"/>
              <w:ind w:left="67"/>
              <w:jc w:val="left"/>
              <w:rPr>
                <w:sz w:val="16"/>
              </w:rPr>
            </w:pPr>
            <w:r>
              <w:rPr>
                <w:sz w:val="16"/>
              </w:rPr>
              <w:t>YIELD</w:t>
            </w:r>
          </w:p>
        </w:tc>
        <w:tc>
          <w:tcPr>
            <w:tcW w:w="595" w:type="dxa"/>
          </w:tcPr>
          <w:p>
            <w:pPr>
              <w:pStyle w:val="TableParagraph"/>
              <w:spacing w:line="237" w:lineRule="auto" w:before="0"/>
              <w:ind w:left="71" w:right="158"/>
              <w:jc w:val="left"/>
              <w:rPr>
                <w:sz w:val="16"/>
              </w:rPr>
            </w:pPr>
            <w:r>
              <w:rPr>
                <w:w w:val="95"/>
                <w:sz w:val="16"/>
              </w:rPr>
              <w:t>YIEL </w:t>
            </w:r>
            <w:r>
              <w:rPr>
                <w:sz w:val="16"/>
              </w:rPr>
              <w:t>D</w:t>
            </w:r>
          </w:p>
        </w:tc>
        <w:tc>
          <w:tcPr>
            <w:tcW w:w="595" w:type="dxa"/>
          </w:tcPr>
          <w:p>
            <w:pPr>
              <w:pStyle w:val="TableParagraph"/>
              <w:spacing w:before="0"/>
              <w:jc w:val="left"/>
              <w:rPr>
                <w:sz w:val="15"/>
              </w:rPr>
            </w:pPr>
          </w:p>
          <w:p>
            <w:pPr>
              <w:pStyle w:val="TableParagraph"/>
              <w:spacing w:before="0"/>
              <w:ind w:left="66"/>
              <w:jc w:val="left"/>
              <w:rPr>
                <w:sz w:val="16"/>
              </w:rPr>
            </w:pPr>
            <w:r>
              <w:rPr>
                <w:sz w:val="16"/>
              </w:rPr>
              <w:t>SURQ</w:t>
            </w:r>
          </w:p>
        </w:tc>
        <w:tc>
          <w:tcPr>
            <w:tcW w:w="545" w:type="dxa"/>
          </w:tcPr>
          <w:p>
            <w:pPr>
              <w:pStyle w:val="TableParagraph"/>
              <w:spacing w:line="237" w:lineRule="auto" w:before="0"/>
              <w:ind w:left="71" w:right="158"/>
              <w:jc w:val="left"/>
              <w:rPr>
                <w:sz w:val="16"/>
              </w:rPr>
            </w:pPr>
            <w:r>
              <w:rPr>
                <w:w w:val="95"/>
                <w:sz w:val="16"/>
              </w:rPr>
              <w:t>LAT </w:t>
            </w:r>
            <w:r>
              <w:rPr>
                <w:sz w:val="16"/>
              </w:rPr>
              <w:t>Q</w:t>
            </w:r>
          </w:p>
        </w:tc>
        <w:tc>
          <w:tcPr>
            <w:tcW w:w="598" w:type="dxa"/>
          </w:tcPr>
          <w:p>
            <w:pPr>
              <w:pStyle w:val="TableParagraph"/>
              <w:spacing w:before="0"/>
              <w:jc w:val="left"/>
              <w:rPr>
                <w:sz w:val="15"/>
              </w:rPr>
            </w:pPr>
          </w:p>
          <w:p>
            <w:pPr>
              <w:pStyle w:val="TableParagraph"/>
              <w:spacing w:before="0"/>
              <w:ind w:left="68"/>
              <w:jc w:val="left"/>
              <w:rPr>
                <w:sz w:val="16"/>
              </w:rPr>
            </w:pPr>
            <w:r>
              <w:rPr>
                <w:sz w:val="16"/>
              </w:rPr>
              <w:t>PERC</w:t>
            </w:r>
          </w:p>
        </w:tc>
        <w:tc>
          <w:tcPr>
            <w:tcW w:w="593" w:type="dxa"/>
          </w:tcPr>
          <w:p>
            <w:pPr>
              <w:pStyle w:val="TableParagraph"/>
              <w:spacing w:before="0"/>
              <w:jc w:val="left"/>
              <w:rPr>
                <w:sz w:val="15"/>
              </w:rPr>
            </w:pPr>
          </w:p>
          <w:p>
            <w:pPr>
              <w:pStyle w:val="TableParagraph"/>
              <w:spacing w:before="0"/>
              <w:ind w:left="71"/>
              <w:jc w:val="left"/>
              <w:rPr>
                <w:sz w:val="16"/>
              </w:rPr>
            </w:pPr>
            <w:r>
              <w:rPr>
                <w:sz w:val="16"/>
              </w:rPr>
              <w:t>CROP</w:t>
            </w:r>
          </w:p>
        </w:tc>
        <w:tc>
          <w:tcPr>
            <w:tcW w:w="830" w:type="dxa"/>
          </w:tcPr>
          <w:p>
            <w:pPr>
              <w:pStyle w:val="TableParagraph"/>
              <w:spacing w:line="237" w:lineRule="auto" w:before="0"/>
              <w:ind w:left="68" w:right="84"/>
              <w:jc w:val="left"/>
              <w:rPr>
                <w:sz w:val="16"/>
              </w:rPr>
            </w:pPr>
            <w:r>
              <w:rPr>
                <w:w w:val="95"/>
                <w:sz w:val="16"/>
              </w:rPr>
              <w:t>ORGANI </w:t>
            </w:r>
            <w:r>
              <w:rPr>
                <w:sz w:val="16"/>
              </w:rPr>
              <w:t>C</w:t>
            </w:r>
          </w:p>
        </w:tc>
        <w:tc>
          <w:tcPr>
            <w:tcW w:w="821" w:type="dxa"/>
          </w:tcPr>
          <w:p>
            <w:pPr>
              <w:pStyle w:val="TableParagraph"/>
              <w:spacing w:line="237" w:lineRule="auto" w:before="0"/>
              <w:ind w:left="68" w:right="84"/>
              <w:jc w:val="left"/>
              <w:rPr>
                <w:sz w:val="16"/>
              </w:rPr>
            </w:pPr>
            <w:r>
              <w:rPr>
                <w:w w:val="95"/>
                <w:sz w:val="16"/>
              </w:rPr>
              <w:t>SOLUBL </w:t>
            </w:r>
            <w:r>
              <w:rPr>
                <w:sz w:val="16"/>
              </w:rPr>
              <w:t>E</w:t>
            </w:r>
          </w:p>
        </w:tc>
        <w:tc>
          <w:tcPr>
            <w:tcW w:w="831" w:type="dxa"/>
          </w:tcPr>
          <w:p>
            <w:pPr>
              <w:pStyle w:val="TableParagraph"/>
              <w:spacing w:line="237" w:lineRule="auto" w:before="0"/>
              <w:ind w:left="68" w:right="84"/>
              <w:jc w:val="left"/>
              <w:rPr>
                <w:sz w:val="16"/>
              </w:rPr>
            </w:pPr>
            <w:r>
              <w:rPr>
                <w:w w:val="95"/>
                <w:sz w:val="16"/>
              </w:rPr>
              <w:t>ORGANI </w:t>
            </w:r>
            <w:r>
              <w:rPr>
                <w:sz w:val="16"/>
              </w:rPr>
              <w:t>C</w:t>
            </w:r>
          </w:p>
        </w:tc>
        <w:tc>
          <w:tcPr>
            <w:tcW w:w="891" w:type="dxa"/>
          </w:tcPr>
          <w:p>
            <w:pPr>
              <w:pStyle w:val="TableParagraph"/>
              <w:spacing w:line="237" w:lineRule="auto" w:before="0"/>
              <w:ind w:left="68" w:right="214"/>
              <w:jc w:val="left"/>
              <w:rPr>
                <w:sz w:val="16"/>
              </w:rPr>
            </w:pPr>
            <w:r>
              <w:rPr>
                <w:w w:val="95"/>
                <w:sz w:val="16"/>
              </w:rPr>
              <w:t>TILENO </w:t>
            </w:r>
            <w:r>
              <w:rPr>
                <w:sz w:val="16"/>
              </w:rPr>
              <w:t>3</w:t>
            </w:r>
          </w:p>
        </w:tc>
      </w:tr>
      <w:tr>
        <w:trPr>
          <w:trHeight w:val="427" w:hRule="exact"/>
        </w:trPr>
        <w:tc>
          <w:tcPr>
            <w:tcW w:w="685" w:type="dxa"/>
          </w:tcPr>
          <w:p>
            <w:pPr/>
          </w:p>
        </w:tc>
        <w:tc>
          <w:tcPr>
            <w:tcW w:w="716" w:type="dxa"/>
          </w:tcPr>
          <w:p>
            <w:pPr>
              <w:pStyle w:val="TableParagraph"/>
              <w:spacing w:before="2"/>
              <w:jc w:val="left"/>
              <w:rPr>
                <w:sz w:val="15"/>
              </w:rPr>
            </w:pPr>
          </w:p>
          <w:p>
            <w:pPr>
              <w:pStyle w:val="TableParagraph"/>
              <w:spacing w:before="0"/>
              <w:ind w:left="67"/>
              <w:jc w:val="left"/>
              <w:rPr>
                <w:sz w:val="16"/>
              </w:rPr>
            </w:pPr>
            <w:r>
              <w:rPr>
                <w:sz w:val="16"/>
              </w:rPr>
              <w:t>(mm)</w:t>
            </w:r>
          </w:p>
        </w:tc>
        <w:tc>
          <w:tcPr>
            <w:tcW w:w="718" w:type="dxa"/>
          </w:tcPr>
          <w:p>
            <w:pPr>
              <w:pStyle w:val="TableParagraph"/>
              <w:spacing w:before="2"/>
              <w:jc w:val="left"/>
              <w:rPr>
                <w:sz w:val="15"/>
              </w:rPr>
            </w:pPr>
          </w:p>
          <w:p>
            <w:pPr>
              <w:pStyle w:val="TableParagraph"/>
              <w:spacing w:before="0"/>
              <w:ind w:left="71"/>
              <w:jc w:val="left"/>
              <w:rPr>
                <w:sz w:val="16"/>
              </w:rPr>
            </w:pPr>
            <w:r>
              <w:rPr>
                <w:sz w:val="16"/>
              </w:rPr>
              <w:t>(mm)</w:t>
            </w:r>
          </w:p>
        </w:tc>
        <w:tc>
          <w:tcPr>
            <w:tcW w:w="554" w:type="dxa"/>
          </w:tcPr>
          <w:p>
            <w:pPr>
              <w:pStyle w:val="TableParagraph"/>
              <w:spacing w:before="2"/>
              <w:jc w:val="left"/>
              <w:rPr>
                <w:sz w:val="15"/>
              </w:rPr>
            </w:pPr>
          </w:p>
          <w:p>
            <w:pPr>
              <w:pStyle w:val="TableParagraph"/>
              <w:spacing w:before="0"/>
              <w:ind w:left="68"/>
              <w:jc w:val="left"/>
              <w:rPr>
                <w:sz w:val="16"/>
              </w:rPr>
            </w:pPr>
            <w:r>
              <w:rPr>
                <w:sz w:val="16"/>
              </w:rPr>
              <w:t>(mm)</w:t>
            </w:r>
          </w:p>
        </w:tc>
        <w:tc>
          <w:tcPr>
            <w:tcW w:w="538" w:type="dxa"/>
          </w:tcPr>
          <w:p>
            <w:pPr>
              <w:pStyle w:val="TableParagraph"/>
              <w:spacing w:before="2"/>
              <w:jc w:val="left"/>
              <w:rPr>
                <w:sz w:val="15"/>
              </w:rPr>
            </w:pPr>
          </w:p>
          <w:p>
            <w:pPr>
              <w:pStyle w:val="TableParagraph"/>
              <w:spacing w:before="0"/>
              <w:ind w:right="114"/>
              <w:rPr>
                <w:sz w:val="16"/>
              </w:rPr>
            </w:pPr>
            <w:r>
              <w:rPr>
                <w:w w:val="95"/>
                <w:sz w:val="16"/>
              </w:rPr>
              <w:t>(mm)</w:t>
            </w:r>
          </w:p>
        </w:tc>
        <w:tc>
          <w:tcPr>
            <w:tcW w:w="669" w:type="dxa"/>
          </w:tcPr>
          <w:p>
            <w:pPr>
              <w:pStyle w:val="TableParagraph"/>
              <w:spacing w:before="2"/>
              <w:jc w:val="left"/>
              <w:rPr>
                <w:sz w:val="15"/>
              </w:rPr>
            </w:pPr>
          </w:p>
          <w:p>
            <w:pPr>
              <w:pStyle w:val="TableParagraph"/>
              <w:spacing w:before="0"/>
              <w:ind w:left="70"/>
              <w:jc w:val="left"/>
              <w:rPr>
                <w:sz w:val="16"/>
              </w:rPr>
            </w:pPr>
            <w:r>
              <w:rPr>
                <w:sz w:val="16"/>
              </w:rPr>
              <w:t>(mm)</w:t>
            </w:r>
          </w:p>
        </w:tc>
        <w:tc>
          <w:tcPr>
            <w:tcW w:w="535" w:type="dxa"/>
          </w:tcPr>
          <w:p>
            <w:pPr>
              <w:pStyle w:val="TableParagraph"/>
              <w:spacing w:before="2"/>
              <w:jc w:val="left"/>
              <w:rPr>
                <w:sz w:val="15"/>
              </w:rPr>
            </w:pPr>
          </w:p>
          <w:p>
            <w:pPr>
              <w:pStyle w:val="TableParagraph"/>
              <w:spacing w:before="0"/>
              <w:ind w:left="68"/>
              <w:jc w:val="left"/>
              <w:rPr>
                <w:sz w:val="16"/>
              </w:rPr>
            </w:pPr>
            <w:r>
              <w:rPr>
                <w:sz w:val="16"/>
              </w:rPr>
              <w:t>(mm)</w:t>
            </w:r>
          </w:p>
        </w:tc>
        <w:tc>
          <w:tcPr>
            <w:tcW w:w="667" w:type="dxa"/>
          </w:tcPr>
          <w:p>
            <w:pPr>
              <w:pStyle w:val="TableParagraph"/>
              <w:spacing w:before="2"/>
              <w:jc w:val="left"/>
              <w:rPr>
                <w:sz w:val="15"/>
              </w:rPr>
            </w:pPr>
          </w:p>
          <w:p>
            <w:pPr>
              <w:pStyle w:val="TableParagraph"/>
              <w:spacing w:before="0"/>
              <w:ind w:left="70"/>
              <w:jc w:val="left"/>
              <w:rPr>
                <w:sz w:val="16"/>
              </w:rPr>
            </w:pPr>
            <w:r>
              <w:rPr>
                <w:sz w:val="16"/>
              </w:rPr>
              <w:t>(mm)</w:t>
            </w:r>
          </w:p>
        </w:tc>
        <w:tc>
          <w:tcPr>
            <w:tcW w:w="665" w:type="dxa"/>
          </w:tcPr>
          <w:p>
            <w:pPr>
              <w:pStyle w:val="TableParagraph"/>
              <w:spacing w:before="2"/>
              <w:jc w:val="left"/>
              <w:rPr>
                <w:sz w:val="15"/>
              </w:rPr>
            </w:pPr>
          </w:p>
          <w:p>
            <w:pPr>
              <w:pStyle w:val="TableParagraph"/>
              <w:spacing w:before="0"/>
              <w:ind w:left="66"/>
              <w:jc w:val="left"/>
              <w:rPr>
                <w:sz w:val="16"/>
              </w:rPr>
            </w:pPr>
            <w:r>
              <w:rPr>
                <w:sz w:val="16"/>
              </w:rPr>
              <w:t>(mm)</w:t>
            </w:r>
          </w:p>
        </w:tc>
        <w:tc>
          <w:tcPr>
            <w:tcW w:w="544" w:type="dxa"/>
          </w:tcPr>
          <w:p>
            <w:pPr>
              <w:pStyle w:val="TableParagraph"/>
              <w:spacing w:before="2"/>
              <w:jc w:val="left"/>
              <w:rPr>
                <w:sz w:val="15"/>
              </w:rPr>
            </w:pPr>
          </w:p>
          <w:p>
            <w:pPr>
              <w:pStyle w:val="TableParagraph"/>
              <w:spacing w:before="0"/>
              <w:ind w:left="68"/>
              <w:jc w:val="left"/>
              <w:rPr>
                <w:sz w:val="16"/>
              </w:rPr>
            </w:pPr>
            <w:r>
              <w:rPr>
                <w:sz w:val="16"/>
              </w:rPr>
              <w:t>(mm)</w:t>
            </w:r>
          </w:p>
        </w:tc>
        <w:tc>
          <w:tcPr>
            <w:tcW w:w="678" w:type="dxa"/>
          </w:tcPr>
          <w:p>
            <w:pPr>
              <w:pStyle w:val="TableParagraph"/>
              <w:spacing w:before="2"/>
              <w:jc w:val="left"/>
              <w:rPr>
                <w:sz w:val="15"/>
              </w:rPr>
            </w:pPr>
          </w:p>
          <w:p>
            <w:pPr>
              <w:pStyle w:val="TableParagraph"/>
              <w:spacing w:before="0"/>
              <w:ind w:left="67"/>
              <w:jc w:val="left"/>
              <w:rPr>
                <w:sz w:val="16"/>
              </w:rPr>
            </w:pPr>
            <w:r>
              <w:rPr>
                <w:sz w:val="16"/>
              </w:rPr>
              <w:t>(mm)</w:t>
            </w:r>
          </w:p>
        </w:tc>
        <w:tc>
          <w:tcPr>
            <w:tcW w:w="595" w:type="dxa"/>
          </w:tcPr>
          <w:p>
            <w:pPr>
              <w:pStyle w:val="TableParagraph"/>
              <w:spacing w:before="2"/>
              <w:jc w:val="left"/>
              <w:rPr>
                <w:sz w:val="15"/>
              </w:rPr>
            </w:pPr>
          </w:p>
          <w:p>
            <w:pPr>
              <w:pStyle w:val="TableParagraph"/>
              <w:spacing w:before="0"/>
              <w:ind w:left="71"/>
              <w:jc w:val="left"/>
              <w:rPr>
                <w:sz w:val="16"/>
              </w:rPr>
            </w:pPr>
            <w:r>
              <w:rPr>
                <w:sz w:val="16"/>
              </w:rPr>
              <w:t>(mm)</w:t>
            </w:r>
          </w:p>
        </w:tc>
        <w:tc>
          <w:tcPr>
            <w:tcW w:w="595" w:type="dxa"/>
          </w:tcPr>
          <w:p>
            <w:pPr>
              <w:pStyle w:val="TableParagraph"/>
              <w:spacing w:before="2"/>
              <w:jc w:val="left"/>
              <w:rPr>
                <w:sz w:val="15"/>
              </w:rPr>
            </w:pPr>
          </w:p>
          <w:p>
            <w:pPr>
              <w:pStyle w:val="TableParagraph"/>
              <w:spacing w:before="0"/>
              <w:ind w:left="66"/>
              <w:jc w:val="left"/>
              <w:rPr>
                <w:sz w:val="16"/>
              </w:rPr>
            </w:pPr>
            <w:r>
              <w:rPr>
                <w:sz w:val="16"/>
              </w:rPr>
              <w:t>------</w:t>
            </w:r>
          </w:p>
        </w:tc>
        <w:tc>
          <w:tcPr>
            <w:tcW w:w="545" w:type="dxa"/>
          </w:tcPr>
          <w:p>
            <w:pPr>
              <w:pStyle w:val="TableParagraph"/>
              <w:spacing w:before="2"/>
              <w:jc w:val="left"/>
              <w:rPr>
                <w:sz w:val="15"/>
              </w:rPr>
            </w:pPr>
          </w:p>
          <w:p>
            <w:pPr>
              <w:pStyle w:val="TableParagraph"/>
              <w:spacing w:before="0"/>
              <w:ind w:left="71"/>
              <w:jc w:val="left"/>
              <w:rPr>
                <w:sz w:val="16"/>
              </w:rPr>
            </w:pPr>
            <w:r>
              <w:rPr>
                <w:sz w:val="16"/>
              </w:rPr>
              <w:t>-------</w:t>
            </w:r>
          </w:p>
        </w:tc>
        <w:tc>
          <w:tcPr>
            <w:tcW w:w="598" w:type="dxa"/>
          </w:tcPr>
          <w:p>
            <w:pPr>
              <w:pStyle w:val="TableParagraph"/>
              <w:spacing w:line="176" w:lineRule="exact" w:before="0"/>
              <w:ind w:left="68"/>
              <w:jc w:val="left"/>
              <w:rPr>
                <w:sz w:val="16"/>
              </w:rPr>
            </w:pPr>
            <w:r>
              <w:rPr>
                <w:sz w:val="16"/>
              </w:rPr>
              <w:t>-----</w:t>
            </w:r>
          </w:p>
          <w:p>
            <w:pPr>
              <w:pStyle w:val="TableParagraph"/>
              <w:spacing w:line="183" w:lineRule="exact" w:before="0"/>
              <w:ind w:left="68"/>
              <w:jc w:val="left"/>
              <w:rPr>
                <w:sz w:val="16"/>
              </w:rPr>
            </w:pPr>
            <w:r>
              <w:rPr>
                <w:sz w:val="16"/>
              </w:rPr>
              <w:t>(kg</w:t>
            </w:r>
          </w:p>
        </w:tc>
        <w:tc>
          <w:tcPr>
            <w:tcW w:w="593" w:type="dxa"/>
          </w:tcPr>
          <w:p>
            <w:pPr>
              <w:pStyle w:val="TableParagraph"/>
              <w:spacing w:line="237" w:lineRule="auto" w:before="0"/>
              <w:ind w:left="71" w:right="147"/>
              <w:jc w:val="left"/>
              <w:rPr>
                <w:sz w:val="16"/>
              </w:rPr>
            </w:pPr>
            <w:r>
              <w:rPr>
                <w:w w:val="95"/>
                <w:sz w:val="16"/>
              </w:rPr>
              <w:t>nutrie </w:t>
            </w:r>
            <w:r>
              <w:rPr>
                <w:sz w:val="16"/>
              </w:rPr>
              <w:t>n</w:t>
            </w:r>
          </w:p>
        </w:tc>
        <w:tc>
          <w:tcPr>
            <w:tcW w:w="830" w:type="dxa"/>
          </w:tcPr>
          <w:p>
            <w:pPr>
              <w:pStyle w:val="TableParagraph"/>
              <w:spacing w:line="176" w:lineRule="exact" w:before="0"/>
              <w:ind w:left="68"/>
              <w:jc w:val="left"/>
              <w:rPr>
                <w:sz w:val="16"/>
              </w:rPr>
            </w:pPr>
            <w:r>
              <w:rPr>
                <w:sz w:val="16"/>
              </w:rPr>
              <w:t>Ton/Ha)--</w:t>
            </w:r>
          </w:p>
          <w:p>
            <w:pPr>
              <w:pStyle w:val="TableParagraph"/>
              <w:spacing w:line="183" w:lineRule="exact" w:before="0"/>
              <w:ind w:left="68" w:right="84"/>
              <w:jc w:val="left"/>
              <w:rPr>
                <w:sz w:val="16"/>
              </w:rPr>
            </w:pPr>
            <w:r>
              <w:rPr>
                <w:sz w:val="16"/>
              </w:rPr>
              <w:t>--</w:t>
            </w:r>
          </w:p>
        </w:tc>
        <w:tc>
          <w:tcPr>
            <w:tcW w:w="821" w:type="dxa"/>
          </w:tcPr>
          <w:p>
            <w:pPr>
              <w:pStyle w:val="TableParagraph"/>
              <w:spacing w:before="2"/>
              <w:jc w:val="left"/>
              <w:rPr>
                <w:sz w:val="15"/>
              </w:rPr>
            </w:pPr>
          </w:p>
          <w:p>
            <w:pPr>
              <w:pStyle w:val="TableParagraph"/>
              <w:spacing w:before="0"/>
              <w:ind w:left="68" w:right="84"/>
              <w:jc w:val="left"/>
              <w:rPr>
                <w:sz w:val="16"/>
              </w:rPr>
            </w:pPr>
            <w:r>
              <w:rPr>
                <w:sz w:val="16"/>
              </w:rPr>
              <w:t>--------</w:t>
            </w:r>
          </w:p>
        </w:tc>
        <w:tc>
          <w:tcPr>
            <w:tcW w:w="831" w:type="dxa"/>
          </w:tcPr>
          <w:p>
            <w:pPr>
              <w:pStyle w:val="TableParagraph"/>
              <w:spacing w:before="2"/>
              <w:jc w:val="left"/>
              <w:rPr>
                <w:sz w:val="15"/>
              </w:rPr>
            </w:pPr>
          </w:p>
          <w:p>
            <w:pPr>
              <w:pStyle w:val="TableParagraph"/>
              <w:spacing w:before="0"/>
              <w:ind w:left="68" w:right="84"/>
              <w:jc w:val="left"/>
              <w:rPr>
                <w:sz w:val="16"/>
              </w:rPr>
            </w:pPr>
            <w:r>
              <w:rPr>
                <w:sz w:val="16"/>
              </w:rPr>
              <w:t>--------</w:t>
            </w:r>
          </w:p>
        </w:tc>
        <w:tc>
          <w:tcPr>
            <w:tcW w:w="891" w:type="dxa"/>
          </w:tcPr>
          <w:p>
            <w:pPr>
              <w:pStyle w:val="TableParagraph"/>
              <w:spacing w:before="2"/>
              <w:jc w:val="left"/>
              <w:rPr>
                <w:sz w:val="15"/>
              </w:rPr>
            </w:pPr>
          </w:p>
          <w:p>
            <w:pPr>
              <w:pStyle w:val="TableParagraph"/>
              <w:spacing w:before="0"/>
              <w:ind w:left="68" w:right="214"/>
              <w:jc w:val="left"/>
              <w:rPr>
                <w:sz w:val="16"/>
              </w:rPr>
            </w:pPr>
            <w:r>
              <w:rPr>
                <w:sz w:val="16"/>
              </w:rPr>
              <w:t>(kg/ha)</w:t>
            </w:r>
          </w:p>
        </w:tc>
      </w:tr>
      <w:tr>
        <w:trPr>
          <w:trHeight w:val="300" w:hRule="exact"/>
        </w:trPr>
        <w:tc>
          <w:tcPr>
            <w:tcW w:w="685" w:type="dxa"/>
          </w:tcPr>
          <w:p>
            <w:pPr>
              <w:pStyle w:val="TableParagraph"/>
              <w:spacing w:before="50"/>
              <w:ind w:right="72"/>
              <w:rPr>
                <w:sz w:val="16"/>
              </w:rPr>
            </w:pPr>
            <w:r>
              <w:rPr>
                <w:w w:val="99"/>
                <w:sz w:val="16"/>
              </w:rPr>
              <w:t>1</w:t>
            </w:r>
          </w:p>
        </w:tc>
        <w:tc>
          <w:tcPr>
            <w:tcW w:w="716" w:type="dxa"/>
          </w:tcPr>
          <w:p>
            <w:pPr>
              <w:pStyle w:val="TableParagraph"/>
              <w:spacing w:before="50"/>
              <w:ind w:right="69"/>
              <w:rPr>
                <w:sz w:val="16"/>
              </w:rPr>
            </w:pPr>
            <w:r>
              <w:rPr>
                <w:w w:val="95"/>
                <w:sz w:val="16"/>
              </w:rPr>
              <w:t>4.19</w:t>
            </w:r>
          </w:p>
        </w:tc>
        <w:tc>
          <w:tcPr>
            <w:tcW w:w="718" w:type="dxa"/>
          </w:tcPr>
          <w:p>
            <w:pPr>
              <w:pStyle w:val="TableParagraph"/>
              <w:spacing w:before="50"/>
              <w:ind w:right="72"/>
              <w:rPr>
                <w:sz w:val="16"/>
              </w:rPr>
            </w:pPr>
            <w:r>
              <w:rPr>
                <w:w w:val="99"/>
                <w:sz w:val="16"/>
              </w:rPr>
              <w:t>0</w:t>
            </w:r>
          </w:p>
        </w:tc>
        <w:tc>
          <w:tcPr>
            <w:tcW w:w="554" w:type="dxa"/>
          </w:tcPr>
          <w:p>
            <w:pPr>
              <w:pStyle w:val="TableParagraph"/>
              <w:spacing w:before="50"/>
              <w:ind w:right="69"/>
              <w:rPr>
                <w:sz w:val="16"/>
              </w:rPr>
            </w:pPr>
            <w:r>
              <w:rPr>
                <w:w w:val="95"/>
                <w:sz w:val="16"/>
              </w:rPr>
              <w:t>0.35</w:t>
            </w:r>
          </w:p>
        </w:tc>
        <w:tc>
          <w:tcPr>
            <w:tcW w:w="538" w:type="dxa"/>
          </w:tcPr>
          <w:p>
            <w:pPr>
              <w:pStyle w:val="TableParagraph"/>
              <w:spacing w:before="50"/>
              <w:ind w:right="68"/>
              <w:rPr>
                <w:sz w:val="16"/>
              </w:rPr>
            </w:pPr>
            <w:r>
              <w:rPr>
                <w:w w:val="99"/>
                <w:sz w:val="16"/>
              </w:rPr>
              <w:t>0</w:t>
            </w:r>
          </w:p>
        </w:tc>
        <w:tc>
          <w:tcPr>
            <w:tcW w:w="669" w:type="dxa"/>
          </w:tcPr>
          <w:p>
            <w:pPr>
              <w:pStyle w:val="TableParagraph"/>
              <w:spacing w:before="50"/>
              <w:ind w:right="72"/>
              <w:rPr>
                <w:sz w:val="16"/>
              </w:rPr>
            </w:pPr>
            <w:r>
              <w:rPr>
                <w:w w:val="99"/>
                <w:sz w:val="16"/>
              </w:rPr>
              <w:t>0</w:t>
            </w:r>
          </w:p>
        </w:tc>
        <w:tc>
          <w:tcPr>
            <w:tcW w:w="535" w:type="dxa"/>
          </w:tcPr>
          <w:p>
            <w:pPr>
              <w:pStyle w:val="TableParagraph"/>
              <w:spacing w:before="50"/>
              <w:ind w:right="68"/>
              <w:rPr>
                <w:sz w:val="16"/>
              </w:rPr>
            </w:pPr>
            <w:r>
              <w:rPr>
                <w:w w:val="99"/>
                <w:sz w:val="16"/>
              </w:rPr>
              <w:t>0</w:t>
            </w:r>
          </w:p>
        </w:tc>
        <w:tc>
          <w:tcPr>
            <w:tcW w:w="667" w:type="dxa"/>
          </w:tcPr>
          <w:p>
            <w:pPr>
              <w:pStyle w:val="TableParagraph"/>
              <w:spacing w:before="50"/>
              <w:ind w:right="64"/>
              <w:rPr>
                <w:sz w:val="16"/>
              </w:rPr>
            </w:pPr>
            <w:r>
              <w:rPr>
                <w:sz w:val="16"/>
              </w:rPr>
              <w:t>221.23</w:t>
            </w:r>
          </w:p>
        </w:tc>
        <w:tc>
          <w:tcPr>
            <w:tcW w:w="665" w:type="dxa"/>
          </w:tcPr>
          <w:p>
            <w:pPr>
              <w:pStyle w:val="TableParagraph"/>
              <w:spacing w:before="50"/>
              <w:ind w:right="66"/>
              <w:rPr>
                <w:sz w:val="16"/>
              </w:rPr>
            </w:pPr>
            <w:r>
              <w:rPr>
                <w:sz w:val="16"/>
              </w:rPr>
              <w:t>13.02</w:t>
            </w:r>
          </w:p>
        </w:tc>
        <w:tc>
          <w:tcPr>
            <w:tcW w:w="544" w:type="dxa"/>
          </w:tcPr>
          <w:p>
            <w:pPr>
              <w:pStyle w:val="TableParagraph"/>
              <w:spacing w:before="50"/>
              <w:ind w:left="111"/>
              <w:jc w:val="left"/>
              <w:rPr>
                <w:sz w:val="16"/>
              </w:rPr>
            </w:pPr>
            <w:r>
              <w:rPr>
                <w:sz w:val="16"/>
              </w:rPr>
              <w:t>68.58</w:t>
            </w:r>
          </w:p>
        </w:tc>
        <w:tc>
          <w:tcPr>
            <w:tcW w:w="678" w:type="dxa"/>
          </w:tcPr>
          <w:p>
            <w:pPr>
              <w:pStyle w:val="TableParagraph"/>
              <w:spacing w:before="50"/>
              <w:ind w:right="69"/>
              <w:rPr>
                <w:sz w:val="16"/>
              </w:rPr>
            </w:pPr>
            <w:r>
              <w:rPr>
                <w:w w:val="95"/>
                <w:sz w:val="16"/>
              </w:rPr>
              <w:t>0.88</w:t>
            </w:r>
          </w:p>
        </w:tc>
        <w:tc>
          <w:tcPr>
            <w:tcW w:w="595" w:type="dxa"/>
          </w:tcPr>
          <w:p>
            <w:pPr>
              <w:pStyle w:val="TableParagraph"/>
              <w:spacing w:before="50"/>
              <w:ind w:right="68"/>
              <w:rPr>
                <w:sz w:val="16"/>
              </w:rPr>
            </w:pPr>
            <w:r>
              <w:rPr>
                <w:w w:val="99"/>
                <w:sz w:val="16"/>
              </w:rPr>
              <w:t>0</w:t>
            </w:r>
          </w:p>
        </w:tc>
        <w:tc>
          <w:tcPr>
            <w:tcW w:w="595" w:type="dxa"/>
          </w:tcPr>
          <w:p>
            <w:pPr>
              <w:pStyle w:val="TableParagraph"/>
              <w:spacing w:before="50"/>
              <w:ind w:right="73"/>
              <w:rPr>
                <w:sz w:val="16"/>
              </w:rPr>
            </w:pPr>
            <w:r>
              <w:rPr>
                <w:w w:val="99"/>
                <w:sz w:val="16"/>
              </w:rPr>
              <w:t>0</w:t>
            </w:r>
          </w:p>
        </w:tc>
        <w:tc>
          <w:tcPr>
            <w:tcW w:w="545" w:type="dxa"/>
          </w:tcPr>
          <w:p>
            <w:pPr>
              <w:pStyle w:val="TableParagraph"/>
              <w:spacing w:before="50"/>
              <w:ind w:right="66"/>
              <w:rPr>
                <w:sz w:val="16"/>
              </w:rPr>
            </w:pPr>
            <w:r>
              <w:rPr>
                <w:w w:val="95"/>
                <w:sz w:val="16"/>
              </w:rPr>
              <w:t>0.01</w:t>
            </w:r>
          </w:p>
        </w:tc>
        <w:tc>
          <w:tcPr>
            <w:tcW w:w="598" w:type="dxa"/>
          </w:tcPr>
          <w:p>
            <w:pPr>
              <w:pStyle w:val="TableParagraph"/>
              <w:spacing w:before="50"/>
              <w:ind w:right="73"/>
              <w:rPr>
                <w:sz w:val="16"/>
              </w:rPr>
            </w:pPr>
            <w:r>
              <w:rPr>
                <w:w w:val="99"/>
                <w:sz w:val="16"/>
              </w:rPr>
              <w:t>0</w:t>
            </w:r>
          </w:p>
        </w:tc>
        <w:tc>
          <w:tcPr>
            <w:tcW w:w="593" w:type="dxa"/>
          </w:tcPr>
          <w:p>
            <w:pPr>
              <w:pStyle w:val="TableParagraph"/>
              <w:spacing w:before="50"/>
              <w:ind w:right="72"/>
              <w:rPr>
                <w:sz w:val="16"/>
              </w:rPr>
            </w:pPr>
            <w:r>
              <w:rPr>
                <w:w w:val="99"/>
                <w:sz w:val="16"/>
              </w:rPr>
              <w:t>0</w:t>
            </w:r>
          </w:p>
        </w:tc>
        <w:tc>
          <w:tcPr>
            <w:tcW w:w="830" w:type="dxa"/>
          </w:tcPr>
          <w:p>
            <w:pPr>
              <w:pStyle w:val="TableParagraph"/>
              <w:spacing w:before="50"/>
              <w:ind w:right="72"/>
              <w:rPr>
                <w:sz w:val="16"/>
              </w:rPr>
            </w:pPr>
            <w:r>
              <w:rPr>
                <w:w w:val="99"/>
                <w:sz w:val="16"/>
              </w:rPr>
              <w:t>0</w:t>
            </w:r>
          </w:p>
        </w:tc>
        <w:tc>
          <w:tcPr>
            <w:tcW w:w="821" w:type="dxa"/>
          </w:tcPr>
          <w:p>
            <w:pPr>
              <w:pStyle w:val="TableParagraph"/>
              <w:spacing w:before="50"/>
              <w:ind w:right="70"/>
              <w:rPr>
                <w:sz w:val="16"/>
              </w:rPr>
            </w:pPr>
            <w:r>
              <w:rPr>
                <w:w w:val="99"/>
                <w:sz w:val="16"/>
              </w:rPr>
              <w:t>0</w:t>
            </w:r>
          </w:p>
        </w:tc>
        <w:tc>
          <w:tcPr>
            <w:tcW w:w="831" w:type="dxa"/>
          </w:tcPr>
          <w:p>
            <w:pPr>
              <w:pStyle w:val="TableParagraph"/>
              <w:spacing w:before="50"/>
              <w:ind w:right="72"/>
              <w:rPr>
                <w:sz w:val="16"/>
              </w:rPr>
            </w:pPr>
            <w:r>
              <w:rPr>
                <w:w w:val="99"/>
                <w:sz w:val="16"/>
              </w:rPr>
              <w:t>0</w:t>
            </w:r>
          </w:p>
        </w:tc>
        <w:tc>
          <w:tcPr>
            <w:tcW w:w="891" w:type="dxa"/>
          </w:tcPr>
          <w:p>
            <w:pPr>
              <w:pStyle w:val="TableParagraph"/>
              <w:spacing w:before="50"/>
              <w:ind w:right="198"/>
              <w:rPr>
                <w:sz w:val="16"/>
              </w:rPr>
            </w:pPr>
            <w:r>
              <w:rPr>
                <w:w w:val="99"/>
                <w:sz w:val="16"/>
              </w:rPr>
              <w:t>0</w:t>
            </w:r>
          </w:p>
        </w:tc>
      </w:tr>
      <w:tr>
        <w:trPr>
          <w:trHeight w:val="300" w:hRule="exact"/>
        </w:trPr>
        <w:tc>
          <w:tcPr>
            <w:tcW w:w="685" w:type="dxa"/>
          </w:tcPr>
          <w:p>
            <w:pPr>
              <w:pStyle w:val="TableParagraph"/>
              <w:spacing w:before="47"/>
              <w:ind w:right="72"/>
              <w:rPr>
                <w:sz w:val="16"/>
              </w:rPr>
            </w:pPr>
            <w:r>
              <w:rPr>
                <w:w w:val="99"/>
                <w:sz w:val="16"/>
              </w:rPr>
              <w:t>2</w:t>
            </w:r>
          </w:p>
        </w:tc>
        <w:tc>
          <w:tcPr>
            <w:tcW w:w="716" w:type="dxa"/>
          </w:tcPr>
          <w:p>
            <w:pPr>
              <w:pStyle w:val="TableParagraph"/>
              <w:spacing w:before="47"/>
              <w:ind w:right="69"/>
              <w:rPr>
                <w:sz w:val="16"/>
              </w:rPr>
            </w:pPr>
            <w:r>
              <w:rPr>
                <w:w w:val="95"/>
                <w:sz w:val="16"/>
              </w:rPr>
              <w:t>5.31</w:t>
            </w:r>
          </w:p>
        </w:tc>
        <w:tc>
          <w:tcPr>
            <w:tcW w:w="718" w:type="dxa"/>
          </w:tcPr>
          <w:p>
            <w:pPr>
              <w:pStyle w:val="TableParagraph"/>
              <w:spacing w:before="47"/>
              <w:ind w:right="72"/>
              <w:rPr>
                <w:sz w:val="16"/>
              </w:rPr>
            </w:pPr>
            <w:r>
              <w:rPr>
                <w:w w:val="99"/>
                <w:sz w:val="16"/>
              </w:rPr>
              <w:t>0</w:t>
            </w:r>
          </w:p>
        </w:tc>
        <w:tc>
          <w:tcPr>
            <w:tcW w:w="554" w:type="dxa"/>
          </w:tcPr>
          <w:p>
            <w:pPr>
              <w:pStyle w:val="TableParagraph"/>
              <w:spacing w:before="47"/>
              <w:ind w:right="69"/>
              <w:rPr>
                <w:sz w:val="16"/>
              </w:rPr>
            </w:pPr>
            <w:r>
              <w:rPr>
                <w:w w:val="95"/>
                <w:sz w:val="16"/>
              </w:rPr>
              <w:t>0.25</w:t>
            </w:r>
          </w:p>
        </w:tc>
        <w:tc>
          <w:tcPr>
            <w:tcW w:w="538" w:type="dxa"/>
          </w:tcPr>
          <w:p>
            <w:pPr>
              <w:pStyle w:val="TableParagraph"/>
              <w:spacing w:before="47"/>
              <w:ind w:right="68"/>
              <w:rPr>
                <w:sz w:val="16"/>
              </w:rPr>
            </w:pPr>
            <w:r>
              <w:rPr>
                <w:w w:val="99"/>
                <w:sz w:val="16"/>
              </w:rPr>
              <w:t>0</w:t>
            </w:r>
          </w:p>
        </w:tc>
        <w:tc>
          <w:tcPr>
            <w:tcW w:w="669" w:type="dxa"/>
          </w:tcPr>
          <w:p>
            <w:pPr>
              <w:pStyle w:val="TableParagraph"/>
              <w:spacing w:before="47"/>
              <w:ind w:right="66"/>
              <w:rPr>
                <w:sz w:val="16"/>
              </w:rPr>
            </w:pPr>
            <w:r>
              <w:rPr>
                <w:w w:val="95"/>
                <w:sz w:val="16"/>
              </w:rPr>
              <w:t>0.54</w:t>
            </w:r>
          </w:p>
        </w:tc>
        <w:tc>
          <w:tcPr>
            <w:tcW w:w="535" w:type="dxa"/>
          </w:tcPr>
          <w:p>
            <w:pPr>
              <w:pStyle w:val="TableParagraph"/>
              <w:spacing w:before="47"/>
              <w:ind w:right="68"/>
              <w:rPr>
                <w:sz w:val="16"/>
              </w:rPr>
            </w:pPr>
            <w:r>
              <w:rPr>
                <w:w w:val="99"/>
                <w:sz w:val="16"/>
              </w:rPr>
              <w:t>0</w:t>
            </w:r>
          </w:p>
        </w:tc>
        <w:tc>
          <w:tcPr>
            <w:tcW w:w="667" w:type="dxa"/>
          </w:tcPr>
          <w:p>
            <w:pPr>
              <w:pStyle w:val="TableParagraph"/>
              <w:spacing w:before="47"/>
              <w:ind w:right="64"/>
              <w:rPr>
                <w:sz w:val="16"/>
              </w:rPr>
            </w:pPr>
            <w:r>
              <w:rPr>
                <w:sz w:val="16"/>
              </w:rPr>
              <w:t>230.63</w:t>
            </w:r>
          </w:p>
        </w:tc>
        <w:tc>
          <w:tcPr>
            <w:tcW w:w="665" w:type="dxa"/>
          </w:tcPr>
          <w:p>
            <w:pPr>
              <w:pStyle w:val="TableParagraph"/>
              <w:spacing w:before="47"/>
              <w:ind w:right="66"/>
              <w:rPr>
                <w:sz w:val="16"/>
              </w:rPr>
            </w:pPr>
            <w:r>
              <w:rPr>
                <w:sz w:val="16"/>
              </w:rPr>
              <w:t>14.56</w:t>
            </w:r>
          </w:p>
        </w:tc>
        <w:tc>
          <w:tcPr>
            <w:tcW w:w="544" w:type="dxa"/>
          </w:tcPr>
          <w:p>
            <w:pPr>
              <w:pStyle w:val="TableParagraph"/>
              <w:spacing w:before="47"/>
              <w:ind w:left="111"/>
              <w:jc w:val="left"/>
              <w:rPr>
                <w:sz w:val="16"/>
              </w:rPr>
            </w:pPr>
            <w:r>
              <w:rPr>
                <w:sz w:val="16"/>
              </w:rPr>
              <w:t>83.81</w:t>
            </w:r>
          </w:p>
        </w:tc>
        <w:tc>
          <w:tcPr>
            <w:tcW w:w="678" w:type="dxa"/>
          </w:tcPr>
          <w:p>
            <w:pPr>
              <w:pStyle w:val="TableParagraph"/>
              <w:spacing w:before="47"/>
              <w:ind w:right="69"/>
              <w:rPr>
                <w:sz w:val="16"/>
              </w:rPr>
            </w:pPr>
            <w:r>
              <w:rPr>
                <w:w w:val="95"/>
                <w:sz w:val="16"/>
              </w:rPr>
              <w:t>0.71</w:t>
            </w:r>
          </w:p>
        </w:tc>
        <w:tc>
          <w:tcPr>
            <w:tcW w:w="595" w:type="dxa"/>
          </w:tcPr>
          <w:p>
            <w:pPr>
              <w:pStyle w:val="TableParagraph"/>
              <w:spacing w:before="47"/>
              <w:ind w:right="68"/>
              <w:rPr>
                <w:sz w:val="16"/>
              </w:rPr>
            </w:pPr>
            <w:r>
              <w:rPr>
                <w:w w:val="99"/>
                <w:sz w:val="16"/>
              </w:rPr>
              <w:t>0</w:t>
            </w:r>
          </w:p>
        </w:tc>
        <w:tc>
          <w:tcPr>
            <w:tcW w:w="595" w:type="dxa"/>
          </w:tcPr>
          <w:p>
            <w:pPr>
              <w:pStyle w:val="TableParagraph"/>
              <w:spacing w:before="47"/>
              <w:ind w:right="73"/>
              <w:rPr>
                <w:sz w:val="16"/>
              </w:rPr>
            </w:pPr>
            <w:r>
              <w:rPr>
                <w:w w:val="99"/>
                <w:sz w:val="16"/>
              </w:rPr>
              <w:t>0</w:t>
            </w:r>
          </w:p>
        </w:tc>
        <w:tc>
          <w:tcPr>
            <w:tcW w:w="545" w:type="dxa"/>
          </w:tcPr>
          <w:p>
            <w:pPr>
              <w:pStyle w:val="TableParagraph"/>
              <w:spacing w:before="47"/>
              <w:ind w:right="66"/>
              <w:rPr>
                <w:sz w:val="16"/>
              </w:rPr>
            </w:pPr>
            <w:r>
              <w:rPr>
                <w:w w:val="95"/>
                <w:sz w:val="16"/>
              </w:rPr>
              <w:t>0.01</w:t>
            </w:r>
          </w:p>
        </w:tc>
        <w:tc>
          <w:tcPr>
            <w:tcW w:w="598" w:type="dxa"/>
          </w:tcPr>
          <w:p>
            <w:pPr>
              <w:pStyle w:val="TableParagraph"/>
              <w:spacing w:before="47"/>
              <w:ind w:right="69"/>
              <w:rPr>
                <w:sz w:val="16"/>
              </w:rPr>
            </w:pPr>
            <w:r>
              <w:rPr>
                <w:w w:val="95"/>
                <w:sz w:val="16"/>
              </w:rPr>
              <w:t>0.17</w:t>
            </w:r>
          </w:p>
        </w:tc>
        <w:tc>
          <w:tcPr>
            <w:tcW w:w="593" w:type="dxa"/>
          </w:tcPr>
          <w:p>
            <w:pPr>
              <w:pStyle w:val="TableParagraph"/>
              <w:spacing w:before="47"/>
              <w:ind w:right="72"/>
              <w:rPr>
                <w:sz w:val="16"/>
              </w:rPr>
            </w:pPr>
            <w:r>
              <w:rPr>
                <w:w w:val="99"/>
                <w:sz w:val="16"/>
              </w:rPr>
              <w:t>0</w:t>
            </w:r>
          </w:p>
        </w:tc>
        <w:tc>
          <w:tcPr>
            <w:tcW w:w="830" w:type="dxa"/>
          </w:tcPr>
          <w:p>
            <w:pPr>
              <w:pStyle w:val="TableParagraph"/>
              <w:spacing w:before="47"/>
              <w:ind w:right="72"/>
              <w:rPr>
                <w:sz w:val="16"/>
              </w:rPr>
            </w:pPr>
            <w:r>
              <w:rPr>
                <w:w w:val="99"/>
                <w:sz w:val="16"/>
              </w:rPr>
              <w:t>0</w:t>
            </w:r>
          </w:p>
        </w:tc>
        <w:tc>
          <w:tcPr>
            <w:tcW w:w="821" w:type="dxa"/>
          </w:tcPr>
          <w:p>
            <w:pPr>
              <w:pStyle w:val="TableParagraph"/>
              <w:spacing w:before="47"/>
              <w:ind w:right="70"/>
              <w:rPr>
                <w:sz w:val="16"/>
              </w:rPr>
            </w:pPr>
            <w:r>
              <w:rPr>
                <w:w w:val="99"/>
                <w:sz w:val="16"/>
              </w:rPr>
              <w:t>0</w:t>
            </w:r>
          </w:p>
        </w:tc>
        <w:tc>
          <w:tcPr>
            <w:tcW w:w="831" w:type="dxa"/>
          </w:tcPr>
          <w:p>
            <w:pPr>
              <w:pStyle w:val="TableParagraph"/>
              <w:spacing w:before="47"/>
              <w:ind w:right="72"/>
              <w:rPr>
                <w:sz w:val="16"/>
              </w:rPr>
            </w:pPr>
            <w:r>
              <w:rPr>
                <w:w w:val="99"/>
                <w:sz w:val="16"/>
              </w:rPr>
              <w:t>0</w:t>
            </w:r>
          </w:p>
        </w:tc>
        <w:tc>
          <w:tcPr>
            <w:tcW w:w="891" w:type="dxa"/>
          </w:tcPr>
          <w:p>
            <w:pPr>
              <w:pStyle w:val="TableParagraph"/>
              <w:spacing w:before="47"/>
              <w:ind w:right="198"/>
              <w:rPr>
                <w:sz w:val="16"/>
              </w:rPr>
            </w:pPr>
            <w:r>
              <w:rPr>
                <w:w w:val="99"/>
                <w:sz w:val="16"/>
              </w:rPr>
              <w:t>0</w:t>
            </w:r>
          </w:p>
        </w:tc>
      </w:tr>
      <w:tr>
        <w:trPr>
          <w:trHeight w:val="300" w:hRule="exact"/>
        </w:trPr>
        <w:tc>
          <w:tcPr>
            <w:tcW w:w="685" w:type="dxa"/>
          </w:tcPr>
          <w:p>
            <w:pPr>
              <w:pStyle w:val="TableParagraph"/>
              <w:spacing w:before="50"/>
              <w:ind w:right="72"/>
              <w:rPr>
                <w:sz w:val="16"/>
              </w:rPr>
            </w:pPr>
            <w:r>
              <w:rPr>
                <w:w w:val="98"/>
                <w:sz w:val="16"/>
              </w:rPr>
              <w:t>3</w:t>
            </w:r>
          </w:p>
        </w:tc>
        <w:tc>
          <w:tcPr>
            <w:tcW w:w="716" w:type="dxa"/>
          </w:tcPr>
          <w:p>
            <w:pPr>
              <w:pStyle w:val="TableParagraph"/>
              <w:spacing w:before="50"/>
              <w:ind w:right="69"/>
              <w:rPr>
                <w:sz w:val="16"/>
              </w:rPr>
            </w:pPr>
            <w:r>
              <w:rPr>
                <w:w w:val="95"/>
                <w:sz w:val="16"/>
              </w:rPr>
              <w:t>3.79</w:t>
            </w:r>
          </w:p>
        </w:tc>
        <w:tc>
          <w:tcPr>
            <w:tcW w:w="718" w:type="dxa"/>
          </w:tcPr>
          <w:p>
            <w:pPr>
              <w:pStyle w:val="TableParagraph"/>
              <w:spacing w:before="50"/>
              <w:ind w:right="66"/>
              <w:rPr>
                <w:sz w:val="16"/>
              </w:rPr>
            </w:pPr>
            <w:r>
              <w:rPr>
                <w:w w:val="95"/>
                <w:sz w:val="16"/>
              </w:rPr>
              <w:t>0.03</w:t>
            </w:r>
          </w:p>
        </w:tc>
        <w:tc>
          <w:tcPr>
            <w:tcW w:w="554" w:type="dxa"/>
          </w:tcPr>
          <w:p>
            <w:pPr>
              <w:pStyle w:val="TableParagraph"/>
              <w:spacing w:before="50"/>
              <w:ind w:right="69"/>
              <w:rPr>
                <w:sz w:val="16"/>
              </w:rPr>
            </w:pPr>
            <w:r>
              <w:rPr>
                <w:w w:val="95"/>
                <w:sz w:val="16"/>
              </w:rPr>
              <w:t>0.25</w:t>
            </w:r>
          </w:p>
        </w:tc>
        <w:tc>
          <w:tcPr>
            <w:tcW w:w="538" w:type="dxa"/>
          </w:tcPr>
          <w:p>
            <w:pPr>
              <w:pStyle w:val="TableParagraph"/>
              <w:spacing w:before="50"/>
              <w:ind w:right="68"/>
              <w:rPr>
                <w:sz w:val="16"/>
              </w:rPr>
            </w:pPr>
            <w:r>
              <w:rPr>
                <w:w w:val="98"/>
                <w:sz w:val="16"/>
              </w:rPr>
              <w:t>0</w:t>
            </w:r>
          </w:p>
        </w:tc>
        <w:tc>
          <w:tcPr>
            <w:tcW w:w="669" w:type="dxa"/>
          </w:tcPr>
          <w:p>
            <w:pPr>
              <w:pStyle w:val="TableParagraph"/>
              <w:spacing w:before="50"/>
              <w:ind w:right="66"/>
              <w:rPr>
                <w:sz w:val="16"/>
              </w:rPr>
            </w:pPr>
            <w:r>
              <w:rPr>
                <w:sz w:val="16"/>
              </w:rPr>
              <w:t>11.16</w:t>
            </w:r>
          </w:p>
        </w:tc>
        <w:tc>
          <w:tcPr>
            <w:tcW w:w="535" w:type="dxa"/>
          </w:tcPr>
          <w:p>
            <w:pPr>
              <w:pStyle w:val="TableParagraph"/>
              <w:spacing w:before="50"/>
              <w:ind w:right="68"/>
              <w:rPr>
                <w:sz w:val="16"/>
              </w:rPr>
            </w:pPr>
            <w:r>
              <w:rPr>
                <w:w w:val="98"/>
                <w:sz w:val="16"/>
              </w:rPr>
              <w:t>0</w:t>
            </w:r>
          </w:p>
        </w:tc>
        <w:tc>
          <w:tcPr>
            <w:tcW w:w="667" w:type="dxa"/>
          </w:tcPr>
          <w:p>
            <w:pPr>
              <w:pStyle w:val="TableParagraph"/>
              <w:spacing w:before="50"/>
              <w:ind w:right="64"/>
              <w:rPr>
                <w:sz w:val="16"/>
              </w:rPr>
            </w:pPr>
            <w:r>
              <w:rPr>
                <w:sz w:val="16"/>
              </w:rPr>
              <w:t>201.34</w:t>
            </w:r>
          </w:p>
        </w:tc>
        <w:tc>
          <w:tcPr>
            <w:tcW w:w="665" w:type="dxa"/>
          </w:tcPr>
          <w:p>
            <w:pPr>
              <w:pStyle w:val="TableParagraph"/>
              <w:spacing w:before="50"/>
              <w:ind w:right="66"/>
              <w:rPr>
                <w:sz w:val="16"/>
              </w:rPr>
            </w:pPr>
            <w:r>
              <w:rPr>
                <w:sz w:val="16"/>
              </w:rPr>
              <w:t>21.82</w:t>
            </w:r>
          </w:p>
        </w:tc>
        <w:tc>
          <w:tcPr>
            <w:tcW w:w="544" w:type="dxa"/>
          </w:tcPr>
          <w:p>
            <w:pPr>
              <w:pStyle w:val="TableParagraph"/>
              <w:spacing w:before="50"/>
              <w:ind w:left="111"/>
              <w:jc w:val="left"/>
              <w:rPr>
                <w:sz w:val="16"/>
              </w:rPr>
            </w:pPr>
            <w:r>
              <w:rPr>
                <w:sz w:val="16"/>
              </w:rPr>
              <w:t>115.9</w:t>
            </w:r>
          </w:p>
        </w:tc>
        <w:tc>
          <w:tcPr>
            <w:tcW w:w="678" w:type="dxa"/>
          </w:tcPr>
          <w:p>
            <w:pPr>
              <w:pStyle w:val="TableParagraph"/>
              <w:spacing w:before="50"/>
              <w:ind w:right="69"/>
              <w:rPr>
                <w:sz w:val="16"/>
              </w:rPr>
            </w:pPr>
            <w:r>
              <w:rPr>
                <w:w w:val="95"/>
                <w:sz w:val="16"/>
              </w:rPr>
              <w:t>0.93</w:t>
            </w:r>
          </w:p>
        </w:tc>
        <w:tc>
          <w:tcPr>
            <w:tcW w:w="595" w:type="dxa"/>
          </w:tcPr>
          <w:p>
            <w:pPr>
              <w:pStyle w:val="TableParagraph"/>
              <w:spacing w:before="50"/>
              <w:ind w:right="68"/>
              <w:rPr>
                <w:sz w:val="16"/>
              </w:rPr>
            </w:pPr>
            <w:r>
              <w:rPr>
                <w:w w:val="98"/>
                <w:sz w:val="16"/>
              </w:rPr>
              <w:t>0</w:t>
            </w:r>
          </w:p>
        </w:tc>
        <w:tc>
          <w:tcPr>
            <w:tcW w:w="595" w:type="dxa"/>
          </w:tcPr>
          <w:p>
            <w:pPr>
              <w:pStyle w:val="TableParagraph"/>
              <w:spacing w:before="50"/>
              <w:ind w:right="73"/>
              <w:rPr>
                <w:sz w:val="16"/>
              </w:rPr>
            </w:pPr>
            <w:r>
              <w:rPr>
                <w:w w:val="98"/>
                <w:sz w:val="16"/>
              </w:rPr>
              <w:t>0</w:t>
            </w:r>
          </w:p>
        </w:tc>
        <w:tc>
          <w:tcPr>
            <w:tcW w:w="545" w:type="dxa"/>
          </w:tcPr>
          <w:p>
            <w:pPr>
              <w:pStyle w:val="TableParagraph"/>
              <w:spacing w:before="50"/>
              <w:ind w:right="66"/>
              <w:rPr>
                <w:sz w:val="16"/>
              </w:rPr>
            </w:pPr>
            <w:r>
              <w:rPr>
                <w:w w:val="95"/>
                <w:sz w:val="16"/>
              </w:rPr>
              <w:t>0.01</w:t>
            </w:r>
          </w:p>
        </w:tc>
        <w:tc>
          <w:tcPr>
            <w:tcW w:w="598" w:type="dxa"/>
          </w:tcPr>
          <w:p>
            <w:pPr>
              <w:pStyle w:val="TableParagraph"/>
              <w:spacing w:before="50"/>
              <w:ind w:right="69"/>
              <w:rPr>
                <w:sz w:val="16"/>
              </w:rPr>
            </w:pPr>
            <w:r>
              <w:rPr>
                <w:w w:val="95"/>
                <w:sz w:val="16"/>
              </w:rPr>
              <w:t>1.03</w:t>
            </w:r>
          </w:p>
        </w:tc>
        <w:tc>
          <w:tcPr>
            <w:tcW w:w="593" w:type="dxa"/>
          </w:tcPr>
          <w:p>
            <w:pPr>
              <w:pStyle w:val="TableParagraph"/>
              <w:spacing w:before="50"/>
              <w:ind w:right="66"/>
              <w:rPr>
                <w:sz w:val="16"/>
              </w:rPr>
            </w:pPr>
            <w:r>
              <w:rPr>
                <w:w w:val="95"/>
                <w:sz w:val="16"/>
              </w:rPr>
              <w:t>7.31</w:t>
            </w:r>
          </w:p>
        </w:tc>
        <w:tc>
          <w:tcPr>
            <w:tcW w:w="830" w:type="dxa"/>
          </w:tcPr>
          <w:p>
            <w:pPr>
              <w:pStyle w:val="TableParagraph"/>
              <w:spacing w:before="50"/>
              <w:ind w:right="72"/>
              <w:rPr>
                <w:sz w:val="16"/>
              </w:rPr>
            </w:pPr>
            <w:r>
              <w:rPr>
                <w:w w:val="98"/>
                <w:sz w:val="16"/>
              </w:rPr>
              <w:t>0</w:t>
            </w:r>
          </w:p>
        </w:tc>
        <w:tc>
          <w:tcPr>
            <w:tcW w:w="821" w:type="dxa"/>
          </w:tcPr>
          <w:p>
            <w:pPr>
              <w:pStyle w:val="TableParagraph"/>
              <w:spacing w:before="50"/>
              <w:ind w:right="70"/>
              <w:rPr>
                <w:sz w:val="16"/>
              </w:rPr>
            </w:pPr>
            <w:r>
              <w:rPr>
                <w:w w:val="98"/>
                <w:sz w:val="16"/>
              </w:rPr>
              <w:t>0</w:t>
            </w:r>
          </w:p>
        </w:tc>
        <w:tc>
          <w:tcPr>
            <w:tcW w:w="831" w:type="dxa"/>
          </w:tcPr>
          <w:p>
            <w:pPr>
              <w:pStyle w:val="TableParagraph"/>
              <w:spacing w:before="50"/>
              <w:ind w:right="72"/>
              <w:rPr>
                <w:sz w:val="16"/>
              </w:rPr>
            </w:pPr>
            <w:r>
              <w:rPr>
                <w:w w:val="98"/>
                <w:sz w:val="16"/>
              </w:rPr>
              <w:t>0</w:t>
            </w:r>
          </w:p>
        </w:tc>
        <w:tc>
          <w:tcPr>
            <w:tcW w:w="891" w:type="dxa"/>
          </w:tcPr>
          <w:p>
            <w:pPr>
              <w:pStyle w:val="TableParagraph"/>
              <w:spacing w:before="50"/>
              <w:ind w:right="198"/>
              <w:rPr>
                <w:sz w:val="16"/>
              </w:rPr>
            </w:pPr>
            <w:r>
              <w:rPr>
                <w:w w:val="98"/>
                <w:sz w:val="16"/>
              </w:rPr>
              <w:t>0</w:t>
            </w:r>
          </w:p>
        </w:tc>
      </w:tr>
      <w:tr>
        <w:trPr>
          <w:trHeight w:val="300" w:hRule="exact"/>
        </w:trPr>
        <w:tc>
          <w:tcPr>
            <w:tcW w:w="685" w:type="dxa"/>
          </w:tcPr>
          <w:p>
            <w:pPr>
              <w:pStyle w:val="TableParagraph"/>
              <w:spacing w:before="47"/>
              <w:ind w:right="72"/>
              <w:rPr>
                <w:sz w:val="16"/>
              </w:rPr>
            </w:pPr>
            <w:r>
              <w:rPr>
                <w:w w:val="98"/>
                <w:sz w:val="16"/>
              </w:rPr>
              <w:t>4</w:t>
            </w:r>
          </w:p>
        </w:tc>
        <w:tc>
          <w:tcPr>
            <w:tcW w:w="716" w:type="dxa"/>
          </w:tcPr>
          <w:p>
            <w:pPr>
              <w:pStyle w:val="TableParagraph"/>
              <w:spacing w:before="47"/>
              <w:ind w:right="69"/>
              <w:rPr>
                <w:sz w:val="16"/>
              </w:rPr>
            </w:pPr>
            <w:r>
              <w:rPr>
                <w:w w:val="95"/>
                <w:sz w:val="16"/>
              </w:rPr>
              <w:t>4.41</w:t>
            </w:r>
          </w:p>
        </w:tc>
        <w:tc>
          <w:tcPr>
            <w:tcW w:w="718" w:type="dxa"/>
          </w:tcPr>
          <w:p>
            <w:pPr>
              <w:pStyle w:val="TableParagraph"/>
              <w:spacing w:before="47"/>
              <w:ind w:right="66"/>
              <w:rPr>
                <w:sz w:val="16"/>
              </w:rPr>
            </w:pPr>
            <w:r>
              <w:rPr>
                <w:w w:val="95"/>
                <w:sz w:val="16"/>
              </w:rPr>
              <w:t>0.01</w:t>
            </w:r>
          </w:p>
        </w:tc>
        <w:tc>
          <w:tcPr>
            <w:tcW w:w="554" w:type="dxa"/>
          </w:tcPr>
          <w:p>
            <w:pPr>
              <w:pStyle w:val="TableParagraph"/>
              <w:spacing w:before="47"/>
              <w:ind w:right="73"/>
              <w:rPr>
                <w:sz w:val="16"/>
              </w:rPr>
            </w:pPr>
            <w:r>
              <w:rPr>
                <w:w w:val="95"/>
                <w:sz w:val="16"/>
              </w:rPr>
              <w:t>0.2</w:t>
            </w:r>
          </w:p>
        </w:tc>
        <w:tc>
          <w:tcPr>
            <w:tcW w:w="538" w:type="dxa"/>
          </w:tcPr>
          <w:p>
            <w:pPr>
              <w:pStyle w:val="TableParagraph"/>
              <w:spacing w:before="47"/>
              <w:ind w:right="68"/>
              <w:rPr>
                <w:sz w:val="16"/>
              </w:rPr>
            </w:pPr>
            <w:r>
              <w:rPr>
                <w:w w:val="98"/>
                <w:sz w:val="16"/>
              </w:rPr>
              <w:t>0</w:t>
            </w:r>
          </w:p>
        </w:tc>
        <w:tc>
          <w:tcPr>
            <w:tcW w:w="669" w:type="dxa"/>
          </w:tcPr>
          <w:p>
            <w:pPr>
              <w:pStyle w:val="TableParagraph"/>
              <w:spacing w:before="47"/>
              <w:ind w:right="66"/>
              <w:rPr>
                <w:sz w:val="16"/>
              </w:rPr>
            </w:pPr>
            <w:r>
              <w:rPr>
                <w:w w:val="95"/>
                <w:sz w:val="16"/>
              </w:rPr>
              <w:t>4.17</w:t>
            </w:r>
          </w:p>
        </w:tc>
        <w:tc>
          <w:tcPr>
            <w:tcW w:w="535" w:type="dxa"/>
          </w:tcPr>
          <w:p>
            <w:pPr>
              <w:pStyle w:val="TableParagraph"/>
              <w:spacing w:before="47"/>
              <w:ind w:right="68"/>
              <w:rPr>
                <w:sz w:val="16"/>
              </w:rPr>
            </w:pPr>
            <w:r>
              <w:rPr>
                <w:w w:val="98"/>
                <w:sz w:val="16"/>
              </w:rPr>
              <w:t>0</w:t>
            </w:r>
          </w:p>
        </w:tc>
        <w:tc>
          <w:tcPr>
            <w:tcW w:w="667" w:type="dxa"/>
          </w:tcPr>
          <w:p>
            <w:pPr>
              <w:pStyle w:val="TableParagraph"/>
              <w:spacing w:before="47"/>
              <w:ind w:right="64"/>
              <w:rPr>
                <w:sz w:val="16"/>
              </w:rPr>
            </w:pPr>
            <w:r>
              <w:rPr>
                <w:sz w:val="16"/>
              </w:rPr>
              <w:t>182.17</w:t>
            </w:r>
          </w:p>
        </w:tc>
        <w:tc>
          <w:tcPr>
            <w:tcW w:w="665" w:type="dxa"/>
          </w:tcPr>
          <w:p>
            <w:pPr>
              <w:pStyle w:val="TableParagraph"/>
              <w:spacing w:before="47"/>
              <w:ind w:right="66"/>
              <w:rPr>
                <w:sz w:val="16"/>
              </w:rPr>
            </w:pPr>
            <w:r>
              <w:rPr>
                <w:sz w:val="16"/>
              </w:rPr>
              <w:t>28.95</w:t>
            </w:r>
          </w:p>
        </w:tc>
        <w:tc>
          <w:tcPr>
            <w:tcW w:w="544" w:type="dxa"/>
          </w:tcPr>
          <w:p>
            <w:pPr>
              <w:pStyle w:val="TableParagraph"/>
              <w:spacing w:before="47"/>
              <w:ind w:left="231"/>
              <w:jc w:val="left"/>
              <w:rPr>
                <w:sz w:val="16"/>
              </w:rPr>
            </w:pPr>
            <w:r>
              <w:rPr>
                <w:sz w:val="16"/>
              </w:rPr>
              <w:t>117</w:t>
            </w:r>
          </w:p>
        </w:tc>
        <w:tc>
          <w:tcPr>
            <w:tcW w:w="678" w:type="dxa"/>
          </w:tcPr>
          <w:p>
            <w:pPr>
              <w:pStyle w:val="TableParagraph"/>
              <w:spacing w:before="47"/>
              <w:ind w:right="69"/>
              <w:rPr>
                <w:sz w:val="16"/>
              </w:rPr>
            </w:pPr>
            <w:r>
              <w:rPr>
                <w:w w:val="95"/>
                <w:sz w:val="16"/>
              </w:rPr>
              <w:t>1.29</w:t>
            </w:r>
          </w:p>
        </w:tc>
        <w:tc>
          <w:tcPr>
            <w:tcW w:w="595" w:type="dxa"/>
          </w:tcPr>
          <w:p>
            <w:pPr>
              <w:pStyle w:val="TableParagraph"/>
              <w:spacing w:before="47"/>
              <w:ind w:right="68"/>
              <w:rPr>
                <w:sz w:val="16"/>
              </w:rPr>
            </w:pPr>
            <w:r>
              <w:rPr>
                <w:w w:val="98"/>
                <w:sz w:val="16"/>
              </w:rPr>
              <w:t>0</w:t>
            </w:r>
          </w:p>
        </w:tc>
        <w:tc>
          <w:tcPr>
            <w:tcW w:w="595" w:type="dxa"/>
          </w:tcPr>
          <w:p>
            <w:pPr>
              <w:pStyle w:val="TableParagraph"/>
              <w:spacing w:before="47"/>
              <w:ind w:right="73"/>
              <w:rPr>
                <w:sz w:val="16"/>
              </w:rPr>
            </w:pPr>
            <w:r>
              <w:rPr>
                <w:w w:val="98"/>
                <w:sz w:val="16"/>
              </w:rPr>
              <w:t>0</w:t>
            </w:r>
          </w:p>
        </w:tc>
        <w:tc>
          <w:tcPr>
            <w:tcW w:w="545" w:type="dxa"/>
          </w:tcPr>
          <w:p>
            <w:pPr>
              <w:pStyle w:val="TableParagraph"/>
              <w:spacing w:before="47"/>
              <w:ind w:right="66"/>
              <w:rPr>
                <w:sz w:val="16"/>
              </w:rPr>
            </w:pPr>
            <w:r>
              <w:rPr>
                <w:w w:val="95"/>
                <w:sz w:val="16"/>
              </w:rPr>
              <w:t>0.01</w:t>
            </w:r>
          </w:p>
        </w:tc>
        <w:tc>
          <w:tcPr>
            <w:tcW w:w="598" w:type="dxa"/>
          </w:tcPr>
          <w:p>
            <w:pPr>
              <w:pStyle w:val="TableParagraph"/>
              <w:spacing w:before="47"/>
              <w:ind w:right="69"/>
              <w:rPr>
                <w:sz w:val="16"/>
              </w:rPr>
            </w:pPr>
            <w:r>
              <w:rPr>
                <w:w w:val="95"/>
                <w:sz w:val="16"/>
              </w:rPr>
              <w:t>0.18</w:t>
            </w:r>
          </w:p>
        </w:tc>
        <w:tc>
          <w:tcPr>
            <w:tcW w:w="593" w:type="dxa"/>
          </w:tcPr>
          <w:p>
            <w:pPr>
              <w:pStyle w:val="TableParagraph"/>
              <w:spacing w:before="47"/>
              <w:ind w:right="66"/>
              <w:rPr>
                <w:sz w:val="16"/>
              </w:rPr>
            </w:pPr>
            <w:r>
              <w:rPr>
                <w:w w:val="95"/>
                <w:sz w:val="16"/>
              </w:rPr>
              <w:t>7.54</w:t>
            </w:r>
          </w:p>
        </w:tc>
        <w:tc>
          <w:tcPr>
            <w:tcW w:w="830" w:type="dxa"/>
          </w:tcPr>
          <w:p>
            <w:pPr>
              <w:pStyle w:val="TableParagraph"/>
              <w:spacing w:before="47"/>
              <w:ind w:right="72"/>
              <w:rPr>
                <w:sz w:val="16"/>
              </w:rPr>
            </w:pPr>
            <w:r>
              <w:rPr>
                <w:w w:val="98"/>
                <w:sz w:val="16"/>
              </w:rPr>
              <w:t>0</w:t>
            </w:r>
          </w:p>
        </w:tc>
        <w:tc>
          <w:tcPr>
            <w:tcW w:w="821" w:type="dxa"/>
          </w:tcPr>
          <w:p>
            <w:pPr>
              <w:pStyle w:val="TableParagraph"/>
              <w:spacing w:before="47"/>
              <w:ind w:right="70"/>
              <w:rPr>
                <w:sz w:val="16"/>
              </w:rPr>
            </w:pPr>
            <w:r>
              <w:rPr>
                <w:w w:val="98"/>
                <w:sz w:val="16"/>
              </w:rPr>
              <w:t>0</w:t>
            </w:r>
          </w:p>
        </w:tc>
        <w:tc>
          <w:tcPr>
            <w:tcW w:w="831" w:type="dxa"/>
          </w:tcPr>
          <w:p>
            <w:pPr>
              <w:pStyle w:val="TableParagraph"/>
              <w:spacing w:before="47"/>
              <w:ind w:right="72"/>
              <w:rPr>
                <w:sz w:val="16"/>
              </w:rPr>
            </w:pPr>
            <w:r>
              <w:rPr>
                <w:w w:val="98"/>
                <w:sz w:val="16"/>
              </w:rPr>
              <w:t>0</w:t>
            </w:r>
          </w:p>
        </w:tc>
        <w:tc>
          <w:tcPr>
            <w:tcW w:w="891" w:type="dxa"/>
          </w:tcPr>
          <w:p>
            <w:pPr>
              <w:pStyle w:val="TableParagraph"/>
              <w:spacing w:before="47"/>
              <w:ind w:right="198"/>
              <w:rPr>
                <w:sz w:val="16"/>
              </w:rPr>
            </w:pPr>
            <w:r>
              <w:rPr>
                <w:w w:val="98"/>
                <w:sz w:val="16"/>
              </w:rPr>
              <w:t>0</w:t>
            </w:r>
          </w:p>
        </w:tc>
      </w:tr>
      <w:tr>
        <w:trPr>
          <w:trHeight w:val="300" w:hRule="exact"/>
        </w:trPr>
        <w:tc>
          <w:tcPr>
            <w:tcW w:w="685" w:type="dxa"/>
          </w:tcPr>
          <w:p>
            <w:pPr>
              <w:pStyle w:val="TableParagraph"/>
              <w:spacing w:before="50"/>
              <w:ind w:right="72"/>
              <w:rPr>
                <w:sz w:val="16"/>
              </w:rPr>
            </w:pPr>
            <w:r>
              <w:rPr>
                <w:w w:val="98"/>
                <w:sz w:val="16"/>
              </w:rPr>
              <w:t>5</w:t>
            </w:r>
          </w:p>
        </w:tc>
        <w:tc>
          <w:tcPr>
            <w:tcW w:w="716" w:type="dxa"/>
          </w:tcPr>
          <w:p>
            <w:pPr>
              <w:pStyle w:val="TableParagraph"/>
              <w:spacing w:before="50"/>
              <w:ind w:right="69"/>
              <w:rPr>
                <w:sz w:val="16"/>
              </w:rPr>
            </w:pPr>
            <w:r>
              <w:rPr>
                <w:sz w:val="16"/>
              </w:rPr>
              <w:t>66.55</w:t>
            </w:r>
          </w:p>
        </w:tc>
        <w:tc>
          <w:tcPr>
            <w:tcW w:w="718" w:type="dxa"/>
          </w:tcPr>
          <w:p>
            <w:pPr>
              <w:pStyle w:val="TableParagraph"/>
              <w:spacing w:before="50"/>
              <w:ind w:right="66"/>
              <w:rPr>
                <w:sz w:val="16"/>
              </w:rPr>
            </w:pPr>
            <w:r>
              <w:rPr>
                <w:w w:val="95"/>
                <w:sz w:val="16"/>
              </w:rPr>
              <w:t>3.87</w:t>
            </w:r>
          </w:p>
        </w:tc>
        <w:tc>
          <w:tcPr>
            <w:tcW w:w="554" w:type="dxa"/>
          </w:tcPr>
          <w:p>
            <w:pPr>
              <w:pStyle w:val="TableParagraph"/>
              <w:spacing w:before="50"/>
              <w:ind w:right="69"/>
              <w:rPr>
                <w:sz w:val="16"/>
              </w:rPr>
            </w:pPr>
            <w:r>
              <w:rPr>
                <w:w w:val="95"/>
                <w:sz w:val="16"/>
              </w:rPr>
              <w:t>0.22</w:t>
            </w:r>
          </w:p>
        </w:tc>
        <w:tc>
          <w:tcPr>
            <w:tcW w:w="538" w:type="dxa"/>
          </w:tcPr>
          <w:p>
            <w:pPr>
              <w:pStyle w:val="TableParagraph"/>
              <w:spacing w:before="50"/>
              <w:ind w:right="68"/>
              <w:rPr>
                <w:sz w:val="16"/>
              </w:rPr>
            </w:pPr>
            <w:r>
              <w:rPr>
                <w:w w:val="98"/>
                <w:sz w:val="16"/>
              </w:rPr>
              <w:t>0</w:t>
            </w:r>
          </w:p>
        </w:tc>
        <w:tc>
          <w:tcPr>
            <w:tcW w:w="669" w:type="dxa"/>
          </w:tcPr>
          <w:p>
            <w:pPr>
              <w:pStyle w:val="TableParagraph"/>
              <w:spacing w:before="50"/>
              <w:ind w:right="66"/>
              <w:rPr>
                <w:sz w:val="16"/>
              </w:rPr>
            </w:pPr>
            <w:r>
              <w:rPr>
                <w:w w:val="95"/>
                <w:sz w:val="16"/>
              </w:rPr>
              <w:t>1.23</w:t>
            </w:r>
          </w:p>
        </w:tc>
        <w:tc>
          <w:tcPr>
            <w:tcW w:w="535" w:type="dxa"/>
          </w:tcPr>
          <w:p>
            <w:pPr>
              <w:pStyle w:val="TableParagraph"/>
              <w:spacing w:before="50"/>
              <w:ind w:right="68"/>
              <w:rPr>
                <w:sz w:val="16"/>
              </w:rPr>
            </w:pPr>
            <w:r>
              <w:rPr>
                <w:w w:val="98"/>
                <w:sz w:val="16"/>
              </w:rPr>
              <w:t>0</w:t>
            </w:r>
          </w:p>
        </w:tc>
        <w:tc>
          <w:tcPr>
            <w:tcW w:w="667" w:type="dxa"/>
          </w:tcPr>
          <w:p>
            <w:pPr>
              <w:pStyle w:val="TableParagraph"/>
              <w:spacing w:before="50"/>
              <w:ind w:right="64"/>
              <w:rPr>
                <w:sz w:val="16"/>
              </w:rPr>
            </w:pPr>
            <w:r>
              <w:rPr>
                <w:sz w:val="16"/>
              </w:rPr>
              <w:t>195.71</w:t>
            </w:r>
          </w:p>
        </w:tc>
        <w:tc>
          <w:tcPr>
            <w:tcW w:w="665" w:type="dxa"/>
          </w:tcPr>
          <w:p>
            <w:pPr>
              <w:pStyle w:val="TableParagraph"/>
              <w:spacing w:before="50"/>
              <w:ind w:right="66"/>
              <w:rPr>
                <w:sz w:val="16"/>
              </w:rPr>
            </w:pPr>
            <w:r>
              <w:rPr>
                <w:sz w:val="16"/>
              </w:rPr>
              <w:t>47.19</w:t>
            </w:r>
          </w:p>
        </w:tc>
        <w:tc>
          <w:tcPr>
            <w:tcW w:w="544" w:type="dxa"/>
          </w:tcPr>
          <w:p>
            <w:pPr>
              <w:pStyle w:val="TableParagraph"/>
              <w:spacing w:before="50"/>
              <w:ind w:left="111"/>
              <w:jc w:val="left"/>
              <w:rPr>
                <w:sz w:val="16"/>
              </w:rPr>
            </w:pPr>
            <w:r>
              <w:rPr>
                <w:sz w:val="16"/>
              </w:rPr>
              <w:t>115.2</w:t>
            </w:r>
          </w:p>
        </w:tc>
        <w:tc>
          <w:tcPr>
            <w:tcW w:w="678" w:type="dxa"/>
          </w:tcPr>
          <w:p>
            <w:pPr>
              <w:pStyle w:val="TableParagraph"/>
              <w:spacing w:before="50"/>
              <w:ind w:right="73"/>
              <w:rPr>
                <w:sz w:val="16"/>
              </w:rPr>
            </w:pPr>
            <w:r>
              <w:rPr>
                <w:w w:val="95"/>
                <w:sz w:val="16"/>
              </w:rPr>
              <w:t>5.6</w:t>
            </w:r>
          </w:p>
        </w:tc>
        <w:tc>
          <w:tcPr>
            <w:tcW w:w="595" w:type="dxa"/>
          </w:tcPr>
          <w:p>
            <w:pPr>
              <w:pStyle w:val="TableParagraph"/>
              <w:spacing w:before="50"/>
              <w:ind w:right="64"/>
              <w:rPr>
                <w:sz w:val="16"/>
              </w:rPr>
            </w:pPr>
            <w:r>
              <w:rPr>
                <w:w w:val="95"/>
                <w:sz w:val="16"/>
              </w:rPr>
              <w:t>0.38</w:t>
            </w:r>
          </w:p>
        </w:tc>
        <w:tc>
          <w:tcPr>
            <w:tcW w:w="595" w:type="dxa"/>
          </w:tcPr>
          <w:p>
            <w:pPr>
              <w:pStyle w:val="TableParagraph"/>
              <w:spacing w:before="50"/>
              <w:ind w:right="69"/>
              <w:rPr>
                <w:sz w:val="16"/>
              </w:rPr>
            </w:pPr>
            <w:r>
              <w:rPr>
                <w:w w:val="95"/>
                <w:sz w:val="16"/>
              </w:rPr>
              <w:t>0.15</w:t>
            </w:r>
          </w:p>
        </w:tc>
        <w:tc>
          <w:tcPr>
            <w:tcW w:w="545" w:type="dxa"/>
          </w:tcPr>
          <w:p>
            <w:pPr>
              <w:pStyle w:val="TableParagraph"/>
              <w:spacing w:before="50"/>
              <w:ind w:right="66"/>
              <w:rPr>
                <w:sz w:val="16"/>
              </w:rPr>
            </w:pPr>
            <w:r>
              <w:rPr>
                <w:w w:val="95"/>
                <w:sz w:val="16"/>
              </w:rPr>
              <w:t>0.01</w:t>
            </w:r>
          </w:p>
        </w:tc>
        <w:tc>
          <w:tcPr>
            <w:tcW w:w="598" w:type="dxa"/>
          </w:tcPr>
          <w:p>
            <w:pPr>
              <w:pStyle w:val="TableParagraph"/>
              <w:spacing w:before="50"/>
              <w:ind w:right="69"/>
              <w:rPr>
                <w:sz w:val="16"/>
              </w:rPr>
            </w:pPr>
            <w:r>
              <w:rPr>
                <w:w w:val="95"/>
                <w:sz w:val="16"/>
              </w:rPr>
              <w:t>0.04</w:t>
            </w:r>
          </w:p>
        </w:tc>
        <w:tc>
          <w:tcPr>
            <w:tcW w:w="593" w:type="dxa"/>
          </w:tcPr>
          <w:p>
            <w:pPr>
              <w:pStyle w:val="TableParagraph"/>
              <w:spacing w:before="50"/>
              <w:ind w:right="67"/>
              <w:rPr>
                <w:sz w:val="16"/>
              </w:rPr>
            </w:pPr>
            <w:r>
              <w:rPr>
                <w:sz w:val="16"/>
              </w:rPr>
              <w:t>25.11</w:t>
            </w:r>
          </w:p>
        </w:tc>
        <w:tc>
          <w:tcPr>
            <w:tcW w:w="830" w:type="dxa"/>
          </w:tcPr>
          <w:p>
            <w:pPr>
              <w:pStyle w:val="TableParagraph"/>
              <w:spacing w:before="50"/>
              <w:ind w:right="66"/>
              <w:rPr>
                <w:sz w:val="16"/>
              </w:rPr>
            </w:pPr>
            <w:r>
              <w:rPr>
                <w:w w:val="95"/>
                <w:sz w:val="16"/>
              </w:rPr>
              <w:t>0.07</w:t>
            </w:r>
          </w:p>
        </w:tc>
        <w:tc>
          <w:tcPr>
            <w:tcW w:w="821" w:type="dxa"/>
          </w:tcPr>
          <w:p>
            <w:pPr>
              <w:pStyle w:val="TableParagraph"/>
              <w:spacing w:before="50"/>
              <w:ind w:right="66"/>
              <w:rPr>
                <w:sz w:val="16"/>
              </w:rPr>
            </w:pPr>
            <w:r>
              <w:rPr>
                <w:w w:val="95"/>
                <w:sz w:val="16"/>
              </w:rPr>
              <w:t>0.04</w:t>
            </w:r>
          </w:p>
        </w:tc>
        <w:tc>
          <w:tcPr>
            <w:tcW w:w="831" w:type="dxa"/>
          </w:tcPr>
          <w:p>
            <w:pPr>
              <w:pStyle w:val="TableParagraph"/>
              <w:spacing w:before="50"/>
              <w:ind w:right="66"/>
              <w:rPr>
                <w:sz w:val="16"/>
              </w:rPr>
            </w:pPr>
            <w:r>
              <w:rPr>
                <w:w w:val="95"/>
                <w:sz w:val="16"/>
              </w:rPr>
              <w:t>0.02</w:t>
            </w:r>
          </w:p>
        </w:tc>
        <w:tc>
          <w:tcPr>
            <w:tcW w:w="891" w:type="dxa"/>
          </w:tcPr>
          <w:p>
            <w:pPr>
              <w:pStyle w:val="TableParagraph"/>
              <w:spacing w:before="50"/>
              <w:ind w:right="198"/>
              <w:rPr>
                <w:sz w:val="16"/>
              </w:rPr>
            </w:pPr>
            <w:r>
              <w:rPr>
                <w:w w:val="98"/>
                <w:sz w:val="16"/>
              </w:rPr>
              <w:t>0</w:t>
            </w:r>
          </w:p>
        </w:tc>
      </w:tr>
      <w:tr>
        <w:trPr>
          <w:trHeight w:val="300" w:hRule="exact"/>
        </w:trPr>
        <w:tc>
          <w:tcPr>
            <w:tcW w:w="685" w:type="dxa"/>
          </w:tcPr>
          <w:p>
            <w:pPr>
              <w:pStyle w:val="TableParagraph"/>
              <w:spacing w:before="47"/>
              <w:ind w:right="72"/>
              <w:rPr>
                <w:sz w:val="16"/>
              </w:rPr>
            </w:pPr>
            <w:r>
              <w:rPr>
                <w:w w:val="98"/>
                <w:sz w:val="16"/>
              </w:rPr>
              <w:t>6</w:t>
            </w:r>
          </w:p>
        </w:tc>
        <w:tc>
          <w:tcPr>
            <w:tcW w:w="716" w:type="dxa"/>
          </w:tcPr>
          <w:p>
            <w:pPr>
              <w:pStyle w:val="TableParagraph"/>
              <w:spacing w:before="47"/>
              <w:ind w:right="69"/>
              <w:rPr>
                <w:sz w:val="16"/>
              </w:rPr>
            </w:pPr>
            <w:r>
              <w:rPr>
                <w:sz w:val="16"/>
              </w:rPr>
              <w:t>213.11</w:t>
            </w:r>
          </w:p>
        </w:tc>
        <w:tc>
          <w:tcPr>
            <w:tcW w:w="718" w:type="dxa"/>
          </w:tcPr>
          <w:p>
            <w:pPr>
              <w:pStyle w:val="TableParagraph"/>
              <w:spacing w:before="47"/>
              <w:ind w:right="66"/>
              <w:rPr>
                <w:sz w:val="16"/>
              </w:rPr>
            </w:pPr>
            <w:r>
              <w:rPr>
                <w:sz w:val="16"/>
              </w:rPr>
              <w:t>26.46</w:t>
            </w:r>
          </w:p>
        </w:tc>
        <w:tc>
          <w:tcPr>
            <w:tcW w:w="554" w:type="dxa"/>
          </w:tcPr>
          <w:p>
            <w:pPr>
              <w:pStyle w:val="TableParagraph"/>
              <w:spacing w:before="47"/>
              <w:ind w:right="69"/>
              <w:rPr>
                <w:sz w:val="16"/>
              </w:rPr>
            </w:pPr>
            <w:r>
              <w:rPr>
                <w:w w:val="95"/>
                <w:sz w:val="16"/>
              </w:rPr>
              <w:t>0.47</w:t>
            </w:r>
          </w:p>
        </w:tc>
        <w:tc>
          <w:tcPr>
            <w:tcW w:w="538" w:type="dxa"/>
          </w:tcPr>
          <w:p>
            <w:pPr>
              <w:pStyle w:val="TableParagraph"/>
              <w:spacing w:before="47"/>
              <w:ind w:right="68"/>
              <w:rPr>
                <w:sz w:val="16"/>
              </w:rPr>
            </w:pPr>
            <w:r>
              <w:rPr>
                <w:w w:val="98"/>
                <w:sz w:val="16"/>
              </w:rPr>
              <w:t>0</w:t>
            </w:r>
          </w:p>
        </w:tc>
        <w:tc>
          <w:tcPr>
            <w:tcW w:w="669" w:type="dxa"/>
          </w:tcPr>
          <w:p>
            <w:pPr>
              <w:pStyle w:val="TableParagraph"/>
              <w:spacing w:before="47"/>
              <w:ind w:right="66"/>
              <w:rPr>
                <w:sz w:val="16"/>
              </w:rPr>
            </w:pPr>
            <w:r>
              <w:rPr>
                <w:w w:val="95"/>
                <w:sz w:val="16"/>
              </w:rPr>
              <w:t>2.86</w:t>
            </w:r>
          </w:p>
        </w:tc>
        <w:tc>
          <w:tcPr>
            <w:tcW w:w="535" w:type="dxa"/>
          </w:tcPr>
          <w:p>
            <w:pPr>
              <w:pStyle w:val="TableParagraph"/>
              <w:spacing w:before="47"/>
              <w:ind w:right="68"/>
              <w:rPr>
                <w:sz w:val="16"/>
              </w:rPr>
            </w:pPr>
            <w:r>
              <w:rPr>
                <w:w w:val="98"/>
                <w:sz w:val="16"/>
              </w:rPr>
              <w:t>0</w:t>
            </w:r>
          </w:p>
        </w:tc>
        <w:tc>
          <w:tcPr>
            <w:tcW w:w="667" w:type="dxa"/>
          </w:tcPr>
          <w:p>
            <w:pPr>
              <w:pStyle w:val="TableParagraph"/>
              <w:spacing w:before="47"/>
              <w:ind w:right="64"/>
              <w:rPr>
                <w:sz w:val="16"/>
              </w:rPr>
            </w:pPr>
            <w:r>
              <w:rPr>
                <w:sz w:val="16"/>
              </w:rPr>
              <w:t>295.03</w:t>
            </w:r>
          </w:p>
        </w:tc>
        <w:tc>
          <w:tcPr>
            <w:tcW w:w="665" w:type="dxa"/>
          </w:tcPr>
          <w:p>
            <w:pPr>
              <w:pStyle w:val="TableParagraph"/>
              <w:spacing w:before="47"/>
              <w:ind w:right="66"/>
              <w:rPr>
                <w:sz w:val="16"/>
              </w:rPr>
            </w:pPr>
            <w:r>
              <w:rPr>
                <w:sz w:val="16"/>
              </w:rPr>
              <w:t>81.34</w:t>
            </w:r>
          </w:p>
        </w:tc>
        <w:tc>
          <w:tcPr>
            <w:tcW w:w="544" w:type="dxa"/>
          </w:tcPr>
          <w:p>
            <w:pPr>
              <w:pStyle w:val="TableParagraph"/>
              <w:spacing w:before="47"/>
              <w:ind w:left="111"/>
              <w:jc w:val="left"/>
              <w:rPr>
                <w:sz w:val="16"/>
              </w:rPr>
            </w:pPr>
            <w:r>
              <w:rPr>
                <w:sz w:val="16"/>
              </w:rPr>
              <w:t>108.4</w:t>
            </w:r>
          </w:p>
        </w:tc>
        <w:tc>
          <w:tcPr>
            <w:tcW w:w="678" w:type="dxa"/>
          </w:tcPr>
          <w:p>
            <w:pPr>
              <w:pStyle w:val="TableParagraph"/>
              <w:spacing w:before="47"/>
              <w:ind w:right="69"/>
              <w:rPr>
                <w:sz w:val="16"/>
              </w:rPr>
            </w:pPr>
            <w:r>
              <w:rPr>
                <w:sz w:val="16"/>
              </w:rPr>
              <w:t>26.91</w:t>
            </w:r>
          </w:p>
        </w:tc>
        <w:tc>
          <w:tcPr>
            <w:tcW w:w="595" w:type="dxa"/>
          </w:tcPr>
          <w:p>
            <w:pPr>
              <w:pStyle w:val="TableParagraph"/>
              <w:spacing w:before="47"/>
              <w:ind w:right="64"/>
              <w:rPr>
                <w:sz w:val="16"/>
              </w:rPr>
            </w:pPr>
            <w:r>
              <w:rPr>
                <w:w w:val="95"/>
                <w:sz w:val="16"/>
              </w:rPr>
              <w:t>1.54</w:t>
            </w:r>
          </w:p>
        </w:tc>
        <w:tc>
          <w:tcPr>
            <w:tcW w:w="595" w:type="dxa"/>
          </w:tcPr>
          <w:p>
            <w:pPr>
              <w:pStyle w:val="TableParagraph"/>
              <w:spacing w:before="47"/>
              <w:ind w:right="69"/>
              <w:rPr>
                <w:sz w:val="16"/>
              </w:rPr>
            </w:pPr>
            <w:r>
              <w:rPr>
                <w:w w:val="95"/>
                <w:sz w:val="16"/>
              </w:rPr>
              <w:t>0.09</w:t>
            </w:r>
          </w:p>
        </w:tc>
        <w:tc>
          <w:tcPr>
            <w:tcW w:w="545" w:type="dxa"/>
          </w:tcPr>
          <w:p>
            <w:pPr>
              <w:pStyle w:val="TableParagraph"/>
              <w:spacing w:before="47"/>
              <w:ind w:right="66"/>
              <w:rPr>
                <w:sz w:val="16"/>
              </w:rPr>
            </w:pPr>
            <w:r>
              <w:rPr>
                <w:w w:val="95"/>
                <w:sz w:val="16"/>
              </w:rPr>
              <w:t>0.02</w:t>
            </w:r>
          </w:p>
        </w:tc>
        <w:tc>
          <w:tcPr>
            <w:tcW w:w="598" w:type="dxa"/>
          </w:tcPr>
          <w:p>
            <w:pPr>
              <w:pStyle w:val="TableParagraph"/>
              <w:spacing w:before="47"/>
              <w:ind w:right="69"/>
              <w:rPr>
                <w:sz w:val="16"/>
              </w:rPr>
            </w:pPr>
            <w:r>
              <w:rPr>
                <w:w w:val="95"/>
                <w:sz w:val="16"/>
              </w:rPr>
              <w:t>0.19</w:t>
            </w:r>
          </w:p>
        </w:tc>
        <w:tc>
          <w:tcPr>
            <w:tcW w:w="593" w:type="dxa"/>
          </w:tcPr>
          <w:p>
            <w:pPr>
              <w:pStyle w:val="TableParagraph"/>
              <w:spacing w:before="47"/>
              <w:ind w:right="67"/>
              <w:rPr>
                <w:sz w:val="16"/>
              </w:rPr>
            </w:pPr>
            <w:r>
              <w:rPr>
                <w:sz w:val="16"/>
              </w:rPr>
              <w:t>15.56</w:t>
            </w:r>
          </w:p>
        </w:tc>
        <w:tc>
          <w:tcPr>
            <w:tcW w:w="830" w:type="dxa"/>
          </w:tcPr>
          <w:p>
            <w:pPr>
              <w:pStyle w:val="TableParagraph"/>
              <w:spacing w:before="47"/>
              <w:ind w:right="66"/>
              <w:rPr>
                <w:sz w:val="16"/>
              </w:rPr>
            </w:pPr>
            <w:r>
              <w:rPr>
                <w:w w:val="95"/>
                <w:sz w:val="16"/>
              </w:rPr>
              <w:t>0.43</w:t>
            </w:r>
          </w:p>
        </w:tc>
        <w:tc>
          <w:tcPr>
            <w:tcW w:w="821" w:type="dxa"/>
          </w:tcPr>
          <w:p>
            <w:pPr>
              <w:pStyle w:val="TableParagraph"/>
              <w:spacing w:before="47"/>
              <w:ind w:right="66"/>
              <w:rPr>
                <w:sz w:val="16"/>
              </w:rPr>
            </w:pPr>
            <w:r>
              <w:rPr>
                <w:w w:val="95"/>
                <w:sz w:val="16"/>
              </w:rPr>
              <w:t>0.22</w:t>
            </w:r>
          </w:p>
        </w:tc>
        <w:tc>
          <w:tcPr>
            <w:tcW w:w="831" w:type="dxa"/>
          </w:tcPr>
          <w:p>
            <w:pPr>
              <w:pStyle w:val="TableParagraph"/>
              <w:spacing w:before="47"/>
              <w:ind w:right="71"/>
              <w:rPr>
                <w:sz w:val="16"/>
              </w:rPr>
            </w:pPr>
            <w:r>
              <w:rPr>
                <w:w w:val="95"/>
                <w:sz w:val="16"/>
              </w:rPr>
              <w:t>0.1</w:t>
            </w:r>
          </w:p>
        </w:tc>
        <w:tc>
          <w:tcPr>
            <w:tcW w:w="891" w:type="dxa"/>
          </w:tcPr>
          <w:p>
            <w:pPr>
              <w:pStyle w:val="TableParagraph"/>
              <w:spacing w:before="47"/>
              <w:ind w:right="198"/>
              <w:rPr>
                <w:sz w:val="16"/>
              </w:rPr>
            </w:pPr>
            <w:r>
              <w:rPr>
                <w:w w:val="98"/>
                <w:sz w:val="16"/>
              </w:rPr>
              <w:t>0</w:t>
            </w:r>
          </w:p>
        </w:tc>
      </w:tr>
      <w:tr>
        <w:trPr>
          <w:trHeight w:val="300" w:hRule="exact"/>
        </w:trPr>
        <w:tc>
          <w:tcPr>
            <w:tcW w:w="685" w:type="dxa"/>
          </w:tcPr>
          <w:p>
            <w:pPr>
              <w:pStyle w:val="TableParagraph"/>
              <w:spacing w:before="50"/>
              <w:ind w:right="72"/>
              <w:rPr>
                <w:sz w:val="16"/>
              </w:rPr>
            </w:pPr>
            <w:r>
              <w:rPr>
                <w:w w:val="98"/>
                <w:sz w:val="16"/>
              </w:rPr>
              <w:t>7</w:t>
            </w:r>
          </w:p>
        </w:tc>
        <w:tc>
          <w:tcPr>
            <w:tcW w:w="716" w:type="dxa"/>
          </w:tcPr>
          <w:p>
            <w:pPr>
              <w:pStyle w:val="TableParagraph"/>
              <w:spacing w:before="50"/>
              <w:ind w:right="69"/>
              <w:rPr>
                <w:sz w:val="16"/>
              </w:rPr>
            </w:pPr>
            <w:r>
              <w:rPr>
                <w:sz w:val="16"/>
              </w:rPr>
              <w:t>153.1</w:t>
            </w:r>
          </w:p>
        </w:tc>
        <w:tc>
          <w:tcPr>
            <w:tcW w:w="718" w:type="dxa"/>
          </w:tcPr>
          <w:p>
            <w:pPr>
              <w:pStyle w:val="TableParagraph"/>
              <w:spacing w:before="50"/>
              <w:ind w:right="66"/>
              <w:rPr>
                <w:sz w:val="16"/>
              </w:rPr>
            </w:pPr>
            <w:r>
              <w:rPr>
                <w:sz w:val="16"/>
              </w:rPr>
              <w:t>20.88</w:t>
            </w:r>
          </w:p>
        </w:tc>
        <w:tc>
          <w:tcPr>
            <w:tcW w:w="554" w:type="dxa"/>
          </w:tcPr>
          <w:p>
            <w:pPr>
              <w:pStyle w:val="TableParagraph"/>
              <w:spacing w:before="50"/>
              <w:ind w:right="69"/>
              <w:rPr>
                <w:sz w:val="16"/>
              </w:rPr>
            </w:pPr>
            <w:r>
              <w:rPr>
                <w:w w:val="95"/>
                <w:sz w:val="16"/>
              </w:rPr>
              <w:t>0.98</w:t>
            </w:r>
          </w:p>
        </w:tc>
        <w:tc>
          <w:tcPr>
            <w:tcW w:w="538" w:type="dxa"/>
          </w:tcPr>
          <w:p>
            <w:pPr>
              <w:pStyle w:val="TableParagraph"/>
              <w:spacing w:before="50"/>
              <w:ind w:right="68"/>
              <w:rPr>
                <w:sz w:val="16"/>
              </w:rPr>
            </w:pPr>
            <w:r>
              <w:rPr>
                <w:w w:val="98"/>
                <w:sz w:val="16"/>
              </w:rPr>
              <w:t>0</w:t>
            </w:r>
          </w:p>
        </w:tc>
        <w:tc>
          <w:tcPr>
            <w:tcW w:w="669" w:type="dxa"/>
          </w:tcPr>
          <w:p>
            <w:pPr>
              <w:pStyle w:val="TableParagraph"/>
              <w:spacing w:before="50"/>
              <w:ind w:right="66"/>
              <w:rPr>
                <w:sz w:val="16"/>
              </w:rPr>
            </w:pPr>
            <w:r>
              <w:rPr>
                <w:sz w:val="16"/>
              </w:rPr>
              <w:t>10.42</w:t>
            </w:r>
          </w:p>
        </w:tc>
        <w:tc>
          <w:tcPr>
            <w:tcW w:w="535" w:type="dxa"/>
          </w:tcPr>
          <w:p>
            <w:pPr>
              <w:pStyle w:val="TableParagraph"/>
              <w:spacing w:before="50"/>
              <w:ind w:right="68"/>
              <w:rPr>
                <w:sz w:val="16"/>
              </w:rPr>
            </w:pPr>
            <w:r>
              <w:rPr>
                <w:w w:val="98"/>
                <w:sz w:val="16"/>
              </w:rPr>
              <w:t>0</w:t>
            </w:r>
          </w:p>
        </w:tc>
        <w:tc>
          <w:tcPr>
            <w:tcW w:w="667" w:type="dxa"/>
          </w:tcPr>
          <w:p>
            <w:pPr>
              <w:pStyle w:val="TableParagraph"/>
              <w:spacing w:before="50"/>
              <w:ind w:right="64"/>
              <w:rPr>
                <w:sz w:val="16"/>
              </w:rPr>
            </w:pPr>
            <w:r>
              <w:rPr>
                <w:sz w:val="16"/>
              </w:rPr>
              <w:t>315.71</w:t>
            </w:r>
          </w:p>
        </w:tc>
        <w:tc>
          <w:tcPr>
            <w:tcW w:w="665" w:type="dxa"/>
          </w:tcPr>
          <w:p>
            <w:pPr>
              <w:pStyle w:val="TableParagraph"/>
              <w:spacing w:before="50"/>
              <w:ind w:right="66"/>
              <w:rPr>
                <w:sz w:val="16"/>
              </w:rPr>
            </w:pPr>
            <w:r>
              <w:rPr>
                <w:sz w:val="16"/>
              </w:rPr>
              <w:t>97.91</w:t>
            </w:r>
          </w:p>
        </w:tc>
        <w:tc>
          <w:tcPr>
            <w:tcW w:w="544" w:type="dxa"/>
          </w:tcPr>
          <w:p>
            <w:pPr>
              <w:pStyle w:val="TableParagraph"/>
              <w:spacing w:before="50"/>
              <w:ind w:left="111"/>
              <w:jc w:val="left"/>
              <w:rPr>
                <w:sz w:val="16"/>
              </w:rPr>
            </w:pPr>
            <w:r>
              <w:rPr>
                <w:sz w:val="16"/>
              </w:rPr>
              <w:t>125.8</w:t>
            </w:r>
          </w:p>
        </w:tc>
        <w:tc>
          <w:tcPr>
            <w:tcW w:w="678" w:type="dxa"/>
          </w:tcPr>
          <w:p>
            <w:pPr>
              <w:pStyle w:val="TableParagraph"/>
              <w:spacing w:before="50"/>
              <w:ind w:right="69"/>
              <w:rPr>
                <w:sz w:val="16"/>
              </w:rPr>
            </w:pPr>
            <w:r>
              <w:rPr>
                <w:sz w:val="16"/>
              </w:rPr>
              <w:t>24.72</w:t>
            </w:r>
          </w:p>
        </w:tc>
        <w:tc>
          <w:tcPr>
            <w:tcW w:w="595" w:type="dxa"/>
          </w:tcPr>
          <w:p>
            <w:pPr>
              <w:pStyle w:val="TableParagraph"/>
              <w:spacing w:before="50"/>
              <w:ind w:right="64"/>
              <w:rPr>
                <w:sz w:val="16"/>
              </w:rPr>
            </w:pPr>
            <w:r>
              <w:rPr>
                <w:w w:val="95"/>
                <w:sz w:val="16"/>
              </w:rPr>
              <w:t>0.83</w:t>
            </w:r>
          </w:p>
        </w:tc>
        <w:tc>
          <w:tcPr>
            <w:tcW w:w="595" w:type="dxa"/>
          </w:tcPr>
          <w:p>
            <w:pPr>
              <w:pStyle w:val="TableParagraph"/>
              <w:spacing w:before="50"/>
              <w:ind w:right="69"/>
              <w:rPr>
                <w:sz w:val="16"/>
              </w:rPr>
            </w:pPr>
            <w:r>
              <w:rPr>
                <w:w w:val="95"/>
                <w:sz w:val="16"/>
              </w:rPr>
              <w:t>0.24</w:t>
            </w:r>
          </w:p>
        </w:tc>
        <w:tc>
          <w:tcPr>
            <w:tcW w:w="545" w:type="dxa"/>
          </w:tcPr>
          <w:p>
            <w:pPr>
              <w:pStyle w:val="TableParagraph"/>
              <w:spacing w:before="50"/>
              <w:ind w:right="66"/>
              <w:rPr>
                <w:sz w:val="16"/>
              </w:rPr>
            </w:pPr>
            <w:r>
              <w:rPr>
                <w:w w:val="95"/>
                <w:sz w:val="16"/>
              </w:rPr>
              <w:t>0.04</w:t>
            </w:r>
          </w:p>
        </w:tc>
        <w:tc>
          <w:tcPr>
            <w:tcW w:w="598" w:type="dxa"/>
          </w:tcPr>
          <w:p>
            <w:pPr>
              <w:pStyle w:val="TableParagraph"/>
              <w:spacing w:before="50"/>
              <w:ind w:right="69"/>
              <w:rPr>
                <w:sz w:val="16"/>
              </w:rPr>
            </w:pPr>
            <w:r>
              <w:rPr>
                <w:w w:val="95"/>
                <w:sz w:val="16"/>
              </w:rPr>
              <w:t>0.26</w:t>
            </w:r>
          </w:p>
        </w:tc>
        <w:tc>
          <w:tcPr>
            <w:tcW w:w="593" w:type="dxa"/>
          </w:tcPr>
          <w:p>
            <w:pPr>
              <w:pStyle w:val="TableParagraph"/>
              <w:spacing w:before="50"/>
              <w:ind w:right="66"/>
              <w:rPr>
                <w:sz w:val="16"/>
              </w:rPr>
            </w:pPr>
            <w:r>
              <w:rPr>
                <w:w w:val="95"/>
                <w:sz w:val="16"/>
              </w:rPr>
              <w:t>27.6</w:t>
            </w:r>
          </w:p>
        </w:tc>
        <w:tc>
          <w:tcPr>
            <w:tcW w:w="830" w:type="dxa"/>
          </w:tcPr>
          <w:p>
            <w:pPr>
              <w:pStyle w:val="TableParagraph"/>
              <w:spacing w:before="50"/>
              <w:ind w:right="66"/>
              <w:rPr>
                <w:sz w:val="16"/>
              </w:rPr>
            </w:pPr>
            <w:r>
              <w:rPr>
                <w:w w:val="95"/>
                <w:sz w:val="16"/>
              </w:rPr>
              <w:t>0.25</w:t>
            </w:r>
          </w:p>
        </w:tc>
        <w:tc>
          <w:tcPr>
            <w:tcW w:w="821" w:type="dxa"/>
          </w:tcPr>
          <w:p>
            <w:pPr>
              <w:pStyle w:val="TableParagraph"/>
              <w:spacing w:before="50"/>
              <w:ind w:right="66"/>
              <w:rPr>
                <w:sz w:val="16"/>
              </w:rPr>
            </w:pPr>
            <w:r>
              <w:rPr>
                <w:w w:val="95"/>
                <w:sz w:val="16"/>
              </w:rPr>
              <w:t>0.18</w:t>
            </w:r>
          </w:p>
        </w:tc>
        <w:tc>
          <w:tcPr>
            <w:tcW w:w="831" w:type="dxa"/>
          </w:tcPr>
          <w:p>
            <w:pPr>
              <w:pStyle w:val="TableParagraph"/>
              <w:spacing w:before="50"/>
              <w:ind w:right="66"/>
              <w:rPr>
                <w:sz w:val="16"/>
              </w:rPr>
            </w:pPr>
            <w:r>
              <w:rPr>
                <w:w w:val="95"/>
                <w:sz w:val="16"/>
              </w:rPr>
              <w:t>0.05</w:t>
            </w:r>
          </w:p>
        </w:tc>
        <w:tc>
          <w:tcPr>
            <w:tcW w:w="891" w:type="dxa"/>
          </w:tcPr>
          <w:p>
            <w:pPr>
              <w:pStyle w:val="TableParagraph"/>
              <w:spacing w:before="50"/>
              <w:ind w:right="198"/>
              <w:rPr>
                <w:sz w:val="16"/>
              </w:rPr>
            </w:pPr>
            <w:r>
              <w:rPr>
                <w:w w:val="98"/>
                <w:sz w:val="16"/>
              </w:rPr>
              <w:t>0</w:t>
            </w:r>
          </w:p>
        </w:tc>
      </w:tr>
      <w:tr>
        <w:trPr>
          <w:trHeight w:val="300" w:hRule="exact"/>
        </w:trPr>
        <w:tc>
          <w:tcPr>
            <w:tcW w:w="685" w:type="dxa"/>
          </w:tcPr>
          <w:p>
            <w:pPr>
              <w:pStyle w:val="TableParagraph"/>
              <w:spacing w:before="47"/>
              <w:ind w:right="72"/>
              <w:rPr>
                <w:sz w:val="16"/>
              </w:rPr>
            </w:pPr>
            <w:r>
              <w:rPr>
                <w:w w:val="98"/>
                <w:sz w:val="16"/>
              </w:rPr>
              <w:t>8</w:t>
            </w:r>
          </w:p>
        </w:tc>
        <w:tc>
          <w:tcPr>
            <w:tcW w:w="716" w:type="dxa"/>
          </w:tcPr>
          <w:p>
            <w:pPr>
              <w:pStyle w:val="TableParagraph"/>
              <w:spacing w:before="47"/>
              <w:ind w:right="69"/>
              <w:rPr>
                <w:sz w:val="16"/>
              </w:rPr>
            </w:pPr>
            <w:r>
              <w:rPr>
                <w:sz w:val="16"/>
              </w:rPr>
              <w:t>137.04</w:t>
            </w:r>
          </w:p>
        </w:tc>
        <w:tc>
          <w:tcPr>
            <w:tcW w:w="718" w:type="dxa"/>
          </w:tcPr>
          <w:p>
            <w:pPr>
              <w:pStyle w:val="TableParagraph"/>
              <w:spacing w:before="47"/>
              <w:ind w:right="66"/>
              <w:rPr>
                <w:sz w:val="16"/>
              </w:rPr>
            </w:pPr>
            <w:r>
              <w:rPr>
                <w:sz w:val="16"/>
              </w:rPr>
              <w:t>15.58</w:t>
            </w:r>
          </w:p>
        </w:tc>
        <w:tc>
          <w:tcPr>
            <w:tcW w:w="554" w:type="dxa"/>
          </w:tcPr>
          <w:p>
            <w:pPr>
              <w:pStyle w:val="TableParagraph"/>
              <w:spacing w:before="47"/>
              <w:ind w:right="69"/>
              <w:rPr>
                <w:sz w:val="16"/>
              </w:rPr>
            </w:pPr>
            <w:r>
              <w:rPr>
                <w:w w:val="95"/>
                <w:sz w:val="16"/>
              </w:rPr>
              <w:t>1.05</w:t>
            </w:r>
          </w:p>
        </w:tc>
        <w:tc>
          <w:tcPr>
            <w:tcW w:w="538" w:type="dxa"/>
          </w:tcPr>
          <w:p>
            <w:pPr>
              <w:pStyle w:val="TableParagraph"/>
              <w:spacing w:before="47"/>
              <w:ind w:right="68"/>
              <w:rPr>
                <w:sz w:val="16"/>
              </w:rPr>
            </w:pPr>
            <w:r>
              <w:rPr>
                <w:w w:val="98"/>
                <w:sz w:val="16"/>
              </w:rPr>
              <w:t>0</w:t>
            </w:r>
          </w:p>
        </w:tc>
        <w:tc>
          <w:tcPr>
            <w:tcW w:w="669" w:type="dxa"/>
          </w:tcPr>
          <w:p>
            <w:pPr>
              <w:pStyle w:val="TableParagraph"/>
              <w:spacing w:before="47"/>
              <w:ind w:right="66"/>
              <w:rPr>
                <w:sz w:val="16"/>
              </w:rPr>
            </w:pPr>
            <w:r>
              <w:rPr>
                <w:w w:val="95"/>
                <w:sz w:val="16"/>
              </w:rPr>
              <w:t>2.85</w:t>
            </w:r>
          </w:p>
        </w:tc>
        <w:tc>
          <w:tcPr>
            <w:tcW w:w="535" w:type="dxa"/>
          </w:tcPr>
          <w:p>
            <w:pPr>
              <w:pStyle w:val="TableParagraph"/>
              <w:spacing w:before="47"/>
              <w:ind w:right="68"/>
              <w:rPr>
                <w:sz w:val="16"/>
              </w:rPr>
            </w:pPr>
            <w:r>
              <w:rPr>
                <w:w w:val="98"/>
                <w:sz w:val="16"/>
              </w:rPr>
              <w:t>0</w:t>
            </w:r>
          </w:p>
        </w:tc>
        <w:tc>
          <w:tcPr>
            <w:tcW w:w="667" w:type="dxa"/>
          </w:tcPr>
          <w:p>
            <w:pPr>
              <w:pStyle w:val="TableParagraph"/>
              <w:spacing w:before="47"/>
              <w:ind w:right="64"/>
              <w:rPr>
                <w:sz w:val="16"/>
              </w:rPr>
            </w:pPr>
            <w:r>
              <w:rPr>
                <w:sz w:val="16"/>
              </w:rPr>
              <w:t>334.78</w:t>
            </w:r>
          </w:p>
        </w:tc>
        <w:tc>
          <w:tcPr>
            <w:tcW w:w="665" w:type="dxa"/>
          </w:tcPr>
          <w:p>
            <w:pPr>
              <w:pStyle w:val="TableParagraph"/>
              <w:spacing w:before="47"/>
              <w:ind w:right="66"/>
              <w:rPr>
                <w:sz w:val="16"/>
              </w:rPr>
            </w:pPr>
            <w:r>
              <w:rPr>
                <w:sz w:val="16"/>
              </w:rPr>
              <w:t>97.63</w:t>
            </w:r>
          </w:p>
        </w:tc>
        <w:tc>
          <w:tcPr>
            <w:tcW w:w="544" w:type="dxa"/>
          </w:tcPr>
          <w:p>
            <w:pPr>
              <w:pStyle w:val="TableParagraph"/>
              <w:spacing w:before="47"/>
              <w:ind w:left="111"/>
              <w:jc w:val="left"/>
              <w:rPr>
                <w:sz w:val="16"/>
              </w:rPr>
            </w:pPr>
            <w:r>
              <w:rPr>
                <w:sz w:val="16"/>
              </w:rPr>
              <w:t>115.9</w:t>
            </w:r>
          </w:p>
        </w:tc>
        <w:tc>
          <w:tcPr>
            <w:tcW w:w="678" w:type="dxa"/>
          </w:tcPr>
          <w:p>
            <w:pPr>
              <w:pStyle w:val="TableParagraph"/>
              <w:spacing w:before="47"/>
              <w:ind w:right="69"/>
              <w:rPr>
                <w:sz w:val="16"/>
              </w:rPr>
            </w:pPr>
            <w:r>
              <w:rPr>
                <w:sz w:val="16"/>
              </w:rPr>
              <w:t>19.61</w:t>
            </w:r>
          </w:p>
        </w:tc>
        <w:tc>
          <w:tcPr>
            <w:tcW w:w="595" w:type="dxa"/>
          </w:tcPr>
          <w:p>
            <w:pPr>
              <w:pStyle w:val="TableParagraph"/>
              <w:spacing w:before="47"/>
              <w:ind w:right="68"/>
              <w:rPr>
                <w:sz w:val="16"/>
              </w:rPr>
            </w:pPr>
            <w:r>
              <w:rPr>
                <w:w w:val="95"/>
                <w:sz w:val="16"/>
              </w:rPr>
              <w:t>0.7</w:t>
            </w:r>
          </w:p>
        </w:tc>
        <w:tc>
          <w:tcPr>
            <w:tcW w:w="595" w:type="dxa"/>
          </w:tcPr>
          <w:p>
            <w:pPr>
              <w:pStyle w:val="TableParagraph"/>
              <w:spacing w:before="47"/>
              <w:ind w:right="69"/>
              <w:rPr>
                <w:sz w:val="16"/>
              </w:rPr>
            </w:pPr>
            <w:r>
              <w:rPr>
                <w:w w:val="95"/>
                <w:sz w:val="16"/>
              </w:rPr>
              <w:t>0.05</w:t>
            </w:r>
          </w:p>
        </w:tc>
        <w:tc>
          <w:tcPr>
            <w:tcW w:w="545" w:type="dxa"/>
          </w:tcPr>
          <w:p>
            <w:pPr>
              <w:pStyle w:val="TableParagraph"/>
              <w:spacing w:before="47"/>
              <w:ind w:right="66"/>
              <w:rPr>
                <w:sz w:val="16"/>
              </w:rPr>
            </w:pPr>
            <w:r>
              <w:rPr>
                <w:w w:val="95"/>
                <w:sz w:val="16"/>
              </w:rPr>
              <w:t>0.04</w:t>
            </w:r>
          </w:p>
        </w:tc>
        <w:tc>
          <w:tcPr>
            <w:tcW w:w="598" w:type="dxa"/>
          </w:tcPr>
          <w:p>
            <w:pPr>
              <w:pStyle w:val="TableParagraph"/>
              <w:spacing w:before="47"/>
              <w:ind w:right="69"/>
              <w:rPr>
                <w:sz w:val="16"/>
              </w:rPr>
            </w:pPr>
            <w:r>
              <w:rPr>
                <w:w w:val="95"/>
                <w:sz w:val="16"/>
              </w:rPr>
              <w:t>0.26</w:t>
            </w:r>
          </w:p>
        </w:tc>
        <w:tc>
          <w:tcPr>
            <w:tcW w:w="593" w:type="dxa"/>
          </w:tcPr>
          <w:p>
            <w:pPr>
              <w:pStyle w:val="TableParagraph"/>
              <w:spacing w:before="47"/>
              <w:ind w:right="66"/>
              <w:rPr>
                <w:sz w:val="16"/>
              </w:rPr>
            </w:pPr>
            <w:r>
              <w:rPr>
                <w:w w:val="95"/>
                <w:sz w:val="16"/>
              </w:rPr>
              <w:t>8.46</w:t>
            </w:r>
          </w:p>
        </w:tc>
        <w:tc>
          <w:tcPr>
            <w:tcW w:w="830" w:type="dxa"/>
          </w:tcPr>
          <w:p>
            <w:pPr>
              <w:pStyle w:val="TableParagraph"/>
              <w:spacing w:before="47"/>
              <w:ind w:right="66"/>
              <w:rPr>
                <w:sz w:val="16"/>
              </w:rPr>
            </w:pPr>
            <w:r>
              <w:rPr>
                <w:w w:val="95"/>
                <w:sz w:val="16"/>
              </w:rPr>
              <w:t>0.22</w:t>
            </w:r>
          </w:p>
        </w:tc>
        <w:tc>
          <w:tcPr>
            <w:tcW w:w="821" w:type="dxa"/>
          </w:tcPr>
          <w:p>
            <w:pPr>
              <w:pStyle w:val="TableParagraph"/>
              <w:spacing w:before="47"/>
              <w:ind w:right="66"/>
              <w:rPr>
                <w:sz w:val="16"/>
              </w:rPr>
            </w:pPr>
            <w:r>
              <w:rPr>
                <w:w w:val="95"/>
                <w:sz w:val="16"/>
              </w:rPr>
              <w:t>0.13</w:t>
            </w:r>
          </w:p>
        </w:tc>
        <w:tc>
          <w:tcPr>
            <w:tcW w:w="831" w:type="dxa"/>
          </w:tcPr>
          <w:p>
            <w:pPr>
              <w:pStyle w:val="TableParagraph"/>
              <w:spacing w:before="47"/>
              <w:ind w:right="66"/>
              <w:rPr>
                <w:sz w:val="16"/>
              </w:rPr>
            </w:pPr>
            <w:r>
              <w:rPr>
                <w:w w:val="95"/>
                <w:sz w:val="16"/>
              </w:rPr>
              <w:t>0.05</w:t>
            </w:r>
          </w:p>
        </w:tc>
        <w:tc>
          <w:tcPr>
            <w:tcW w:w="891" w:type="dxa"/>
          </w:tcPr>
          <w:p>
            <w:pPr>
              <w:pStyle w:val="TableParagraph"/>
              <w:spacing w:before="47"/>
              <w:ind w:right="198"/>
              <w:rPr>
                <w:sz w:val="16"/>
              </w:rPr>
            </w:pPr>
            <w:r>
              <w:rPr>
                <w:w w:val="98"/>
                <w:sz w:val="16"/>
              </w:rPr>
              <w:t>0</w:t>
            </w:r>
          </w:p>
        </w:tc>
      </w:tr>
      <w:tr>
        <w:trPr>
          <w:trHeight w:val="300" w:hRule="exact"/>
        </w:trPr>
        <w:tc>
          <w:tcPr>
            <w:tcW w:w="685" w:type="dxa"/>
          </w:tcPr>
          <w:p>
            <w:pPr>
              <w:pStyle w:val="TableParagraph"/>
              <w:spacing w:before="50"/>
              <w:ind w:right="72"/>
              <w:rPr>
                <w:sz w:val="16"/>
              </w:rPr>
            </w:pPr>
            <w:r>
              <w:rPr>
                <w:w w:val="98"/>
                <w:sz w:val="16"/>
              </w:rPr>
              <w:t>9</w:t>
            </w:r>
          </w:p>
        </w:tc>
        <w:tc>
          <w:tcPr>
            <w:tcW w:w="716" w:type="dxa"/>
          </w:tcPr>
          <w:p>
            <w:pPr>
              <w:pStyle w:val="TableParagraph"/>
              <w:spacing w:before="50"/>
              <w:ind w:right="69"/>
              <w:rPr>
                <w:sz w:val="16"/>
              </w:rPr>
            </w:pPr>
            <w:r>
              <w:rPr>
                <w:sz w:val="16"/>
              </w:rPr>
              <w:t>176.36</w:t>
            </w:r>
          </w:p>
        </w:tc>
        <w:tc>
          <w:tcPr>
            <w:tcW w:w="718" w:type="dxa"/>
          </w:tcPr>
          <w:p>
            <w:pPr>
              <w:pStyle w:val="TableParagraph"/>
              <w:spacing w:before="50"/>
              <w:ind w:right="66"/>
              <w:rPr>
                <w:sz w:val="16"/>
              </w:rPr>
            </w:pPr>
            <w:r>
              <w:rPr>
                <w:sz w:val="16"/>
              </w:rPr>
              <w:t>29.92</w:t>
            </w:r>
          </w:p>
        </w:tc>
        <w:tc>
          <w:tcPr>
            <w:tcW w:w="554" w:type="dxa"/>
          </w:tcPr>
          <w:p>
            <w:pPr>
              <w:pStyle w:val="TableParagraph"/>
              <w:spacing w:before="50"/>
              <w:ind w:right="69"/>
              <w:rPr>
                <w:sz w:val="16"/>
              </w:rPr>
            </w:pPr>
            <w:r>
              <w:rPr>
                <w:w w:val="95"/>
                <w:sz w:val="16"/>
              </w:rPr>
              <w:t>1.31</w:t>
            </w:r>
          </w:p>
        </w:tc>
        <w:tc>
          <w:tcPr>
            <w:tcW w:w="538" w:type="dxa"/>
          </w:tcPr>
          <w:p>
            <w:pPr>
              <w:pStyle w:val="TableParagraph"/>
              <w:spacing w:before="50"/>
              <w:ind w:right="68"/>
              <w:rPr>
                <w:sz w:val="16"/>
              </w:rPr>
            </w:pPr>
            <w:r>
              <w:rPr>
                <w:w w:val="98"/>
                <w:sz w:val="16"/>
              </w:rPr>
              <w:t>0</w:t>
            </w:r>
          </w:p>
        </w:tc>
        <w:tc>
          <w:tcPr>
            <w:tcW w:w="669" w:type="dxa"/>
          </w:tcPr>
          <w:p>
            <w:pPr>
              <w:pStyle w:val="TableParagraph"/>
              <w:spacing w:before="50"/>
              <w:ind w:right="66"/>
              <w:rPr>
                <w:sz w:val="16"/>
              </w:rPr>
            </w:pPr>
            <w:r>
              <w:rPr>
                <w:sz w:val="16"/>
              </w:rPr>
              <w:t>24.51</w:t>
            </w:r>
          </w:p>
        </w:tc>
        <w:tc>
          <w:tcPr>
            <w:tcW w:w="535" w:type="dxa"/>
          </w:tcPr>
          <w:p>
            <w:pPr>
              <w:pStyle w:val="TableParagraph"/>
              <w:spacing w:before="50"/>
              <w:ind w:right="68"/>
              <w:rPr>
                <w:sz w:val="16"/>
              </w:rPr>
            </w:pPr>
            <w:r>
              <w:rPr>
                <w:w w:val="98"/>
                <w:sz w:val="16"/>
              </w:rPr>
              <w:t>0</w:t>
            </w:r>
          </w:p>
        </w:tc>
        <w:tc>
          <w:tcPr>
            <w:tcW w:w="667" w:type="dxa"/>
          </w:tcPr>
          <w:p>
            <w:pPr>
              <w:pStyle w:val="TableParagraph"/>
              <w:spacing w:before="50"/>
              <w:ind w:right="64"/>
              <w:rPr>
                <w:sz w:val="16"/>
              </w:rPr>
            </w:pPr>
            <w:r>
              <w:rPr>
                <w:sz w:val="16"/>
              </w:rPr>
              <w:t>370.46</w:t>
            </w:r>
          </w:p>
        </w:tc>
        <w:tc>
          <w:tcPr>
            <w:tcW w:w="665" w:type="dxa"/>
          </w:tcPr>
          <w:p>
            <w:pPr>
              <w:pStyle w:val="TableParagraph"/>
              <w:spacing w:before="50"/>
              <w:ind w:right="66"/>
              <w:rPr>
                <w:sz w:val="16"/>
              </w:rPr>
            </w:pPr>
            <w:r>
              <w:rPr>
                <w:sz w:val="16"/>
              </w:rPr>
              <w:t>81.93</w:t>
            </w:r>
          </w:p>
        </w:tc>
        <w:tc>
          <w:tcPr>
            <w:tcW w:w="544" w:type="dxa"/>
          </w:tcPr>
          <w:p>
            <w:pPr>
              <w:pStyle w:val="TableParagraph"/>
              <w:spacing w:before="50"/>
              <w:ind w:left="111"/>
              <w:jc w:val="left"/>
              <w:rPr>
                <w:sz w:val="16"/>
              </w:rPr>
            </w:pPr>
            <w:r>
              <w:rPr>
                <w:sz w:val="16"/>
              </w:rPr>
              <w:t>94.31</w:t>
            </w:r>
          </w:p>
        </w:tc>
        <w:tc>
          <w:tcPr>
            <w:tcW w:w="678" w:type="dxa"/>
          </w:tcPr>
          <w:p>
            <w:pPr>
              <w:pStyle w:val="TableParagraph"/>
              <w:spacing w:before="50"/>
              <w:ind w:right="69"/>
              <w:rPr>
                <w:sz w:val="16"/>
              </w:rPr>
            </w:pPr>
            <w:r>
              <w:rPr>
                <w:sz w:val="16"/>
              </w:rPr>
              <w:t>33.81</w:t>
            </w:r>
          </w:p>
        </w:tc>
        <w:tc>
          <w:tcPr>
            <w:tcW w:w="595" w:type="dxa"/>
          </w:tcPr>
          <w:p>
            <w:pPr>
              <w:pStyle w:val="TableParagraph"/>
              <w:spacing w:before="50"/>
              <w:ind w:right="64"/>
              <w:rPr>
                <w:sz w:val="16"/>
              </w:rPr>
            </w:pPr>
            <w:r>
              <w:rPr>
                <w:w w:val="95"/>
                <w:sz w:val="16"/>
              </w:rPr>
              <w:t>2.11</w:t>
            </w:r>
          </w:p>
        </w:tc>
        <w:tc>
          <w:tcPr>
            <w:tcW w:w="595" w:type="dxa"/>
          </w:tcPr>
          <w:p>
            <w:pPr>
              <w:pStyle w:val="TableParagraph"/>
              <w:spacing w:before="50"/>
              <w:ind w:right="69"/>
              <w:rPr>
                <w:sz w:val="16"/>
              </w:rPr>
            </w:pPr>
            <w:r>
              <w:rPr>
                <w:w w:val="95"/>
                <w:sz w:val="16"/>
              </w:rPr>
              <w:t>0.09</w:t>
            </w:r>
          </w:p>
        </w:tc>
        <w:tc>
          <w:tcPr>
            <w:tcW w:w="545" w:type="dxa"/>
          </w:tcPr>
          <w:p>
            <w:pPr>
              <w:pStyle w:val="TableParagraph"/>
              <w:spacing w:before="50"/>
              <w:ind w:right="66"/>
              <w:rPr>
                <w:sz w:val="16"/>
              </w:rPr>
            </w:pPr>
            <w:r>
              <w:rPr>
                <w:w w:val="95"/>
                <w:sz w:val="16"/>
              </w:rPr>
              <w:t>0.05</w:t>
            </w:r>
          </w:p>
        </w:tc>
        <w:tc>
          <w:tcPr>
            <w:tcW w:w="598" w:type="dxa"/>
          </w:tcPr>
          <w:p>
            <w:pPr>
              <w:pStyle w:val="TableParagraph"/>
              <w:spacing w:before="50"/>
              <w:ind w:right="69"/>
              <w:rPr>
                <w:sz w:val="16"/>
              </w:rPr>
            </w:pPr>
            <w:r>
              <w:rPr>
                <w:w w:val="95"/>
                <w:sz w:val="16"/>
              </w:rPr>
              <w:t>6.41</w:t>
            </w:r>
          </w:p>
        </w:tc>
        <w:tc>
          <w:tcPr>
            <w:tcW w:w="593" w:type="dxa"/>
          </w:tcPr>
          <w:p>
            <w:pPr>
              <w:pStyle w:val="TableParagraph"/>
              <w:spacing w:before="50"/>
              <w:ind w:right="66"/>
              <w:rPr>
                <w:sz w:val="16"/>
              </w:rPr>
            </w:pPr>
            <w:r>
              <w:rPr>
                <w:w w:val="95"/>
                <w:sz w:val="16"/>
              </w:rPr>
              <w:t>3.22</w:t>
            </w:r>
          </w:p>
        </w:tc>
        <w:tc>
          <w:tcPr>
            <w:tcW w:w="830" w:type="dxa"/>
          </w:tcPr>
          <w:p>
            <w:pPr>
              <w:pStyle w:val="TableParagraph"/>
              <w:spacing w:before="50"/>
              <w:ind w:right="66"/>
              <w:rPr>
                <w:sz w:val="16"/>
              </w:rPr>
            </w:pPr>
            <w:r>
              <w:rPr>
                <w:w w:val="95"/>
                <w:sz w:val="16"/>
              </w:rPr>
              <w:t>0.31</w:t>
            </w:r>
          </w:p>
        </w:tc>
        <w:tc>
          <w:tcPr>
            <w:tcW w:w="821" w:type="dxa"/>
          </w:tcPr>
          <w:p>
            <w:pPr>
              <w:pStyle w:val="TableParagraph"/>
              <w:spacing w:before="50"/>
              <w:ind w:right="66"/>
              <w:rPr>
                <w:sz w:val="16"/>
              </w:rPr>
            </w:pPr>
            <w:r>
              <w:rPr>
                <w:w w:val="95"/>
                <w:sz w:val="16"/>
              </w:rPr>
              <w:t>0.17</w:t>
            </w:r>
          </w:p>
        </w:tc>
        <w:tc>
          <w:tcPr>
            <w:tcW w:w="831" w:type="dxa"/>
          </w:tcPr>
          <w:p>
            <w:pPr>
              <w:pStyle w:val="TableParagraph"/>
              <w:spacing w:before="50"/>
              <w:ind w:right="66"/>
              <w:rPr>
                <w:sz w:val="16"/>
              </w:rPr>
            </w:pPr>
            <w:r>
              <w:rPr>
                <w:w w:val="95"/>
                <w:sz w:val="16"/>
              </w:rPr>
              <w:t>0.07</w:t>
            </w:r>
          </w:p>
        </w:tc>
        <w:tc>
          <w:tcPr>
            <w:tcW w:w="891" w:type="dxa"/>
          </w:tcPr>
          <w:p>
            <w:pPr>
              <w:pStyle w:val="TableParagraph"/>
              <w:spacing w:before="50"/>
              <w:ind w:right="198"/>
              <w:rPr>
                <w:sz w:val="16"/>
              </w:rPr>
            </w:pPr>
            <w:r>
              <w:rPr>
                <w:w w:val="98"/>
                <w:sz w:val="16"/>
              </w:rPr>
              <w:t>0</w:t>
            </w:r>
          </w:p>
        </w:tc>
      </w:tr>
      <w:tr>
        <w:trPr>
          <w:trHeight w:val="300" w:hRule="exact"/>
        </w:trPr>
        <w:tc>
          <w:tcPr>
            <w:tcW w:w="685" w:type="dxa"/>
          </w:tcPr>
          <w:p>
            <w:pPr>
              <w:pStyle w:val="TableParagraph"/>
              <w:spacing w:before="47"/>
              <w:ind w:right="65"/>
              <w:rPr>
                <w:sz w:val="16"/>
              </w:rPr>
            </w:pPr>
            <w:r>
              <w:rPr>
                <w:sz w:val="16"/>
              </w:rPr>
              <w:t>10</w:t>
            </w:r>
          </w:p>
        </w:tc>
        <w:tc>
          <w:tcPr>
            <w:tcW w:w="716" w:type="dxa"/>
          </w:tcPr>
          <w:p>
            <w:pPr>
              <w:pStyle w:val="TableParagraph"/>
              <w:spacing w:before="47"/>
              <w:ind w:right="69"/>
              <w:rPr>
                <w:sz w:val="16"/>
              </w:rPr>
            </w:pPr>
            <w:r>
              <w:rPr>
                <w:sz w:val="16"/>
              </w:rPr>
              <w:t>92.89</w:t>
            </w:r>
          </w:p>
        </w:tc>
        <w:tc>
          <w:tcPr>
            <w:tcW w:w="718" w:type="dxa"/>
          </w:tcPr>
          <w:p>
            <w:pPr>
              <w:pStyle w:val="TableParagraph"/>
              <w:spacing w:before="47"/>
              <w:ind w:right="66"/>
              <w:rPr>
                <w:sz w:val="16"/>
              </w:rPr>
            </w:pPr>
            <w:r>
              <w:rPr>
                <w:sz w:val="16"/>
              </w:rPr>
              <w:t>18.09</w:t>
            </w:r>
          </w:p>
        </w:tc>
        <w:tc>
          <w:tcPr>
            <w:tcW w:w="554" w:type="dxa"/>
          </w:tcPr>
          <w:p>
            <w:pPr>
              <w:pStyle w:val="TableParagraph"/>
              <w:spacing w:before="47"/>
              <w:ind w:right="69"/>
              <w:rPr>
                <w:sz w:val="16"/>
              </w:rPr>
            </w:pPr>
            <w:r>
              <w:rPr>
                <w:w w:val="95"/>
                <w:sz w:val="16"/>
              </w:rPr>
              <w:t>1.34</w:t>
            </w:r>
          </w:p>
        </w:tc>
        <w:tc>
          <w:tcPr>
            <w:tcW w:w="538" w:type="dxa"/>
          </w:tcPr>
          <w:p>
            <w:pPr>
              <w:pStyle w:val="TableParagraph"/>
              <w:spacing w:before="47"/>
              <w:ind w:right="68"/>
              <w:rPr>
                <w:sz w:val="16"/>
              </w:rPr>
            </w:pPr>
            <w:r>
              <w:rPr>
                <w:w w:val="98"/>
                <w:sz w:val="16"/>
              </w:rPr>
              <w:t>0</w:t>
            </w:r>
          </w:p>
        </w:tc>
        <w:tc>
          <w:tcPr>
            <w:tcW w:w="669" w:type="dxa"/>
          </w:tcPr>
          <w:p>
            <w:pPr>
              <w:pStyle w:val="TableParagraph"/>
              <w:spacing w:before="47"/>
              <w:ind w:right="66"/>
              <w:rPr>
                <w:sz w:val="16"/>
              </w:rPr>
            </w:pPr>
            <w:r>
              <w:rPr>
                <w:sz w:val="16"/>
              </w:rPr>
              <w:t>12.87</w:t>
            </w:r>
          </w:p>
        </w:tc>
        <w:tc>
          <w:tcPr>
            <w:tcW w:w="535" w:type="dxa"/>
          </w:tcPr>
          <w:p>
            <w:pPr>
              <w:pStyle w:val="TableParagraph"/>
              <w:spacing w:before="47"/>
              <w:ind w:right="68"/>
              <w:rPr>
                <w:sz w:val="16"/>
              </w:rPr>
            </w:pPr>
            <w:r>
              <w:rPr>
                <w:w w:val="98"/>
                <w:sz w:val="16"/>
              </w:rPr>
              <w:t>0</w:t>
            </w:r>
          </w:p>
        </w:tc>
        <w:tc>
          <w:tcPr>
            <w:tcW w:w="667" w:type="dxa"/>
          </w:tcPr>
          <w:p>
            <w:pPr>
              <w:pStyle w:val="TableParagraph"/>
              <w:spacing w:before="47"/>
              <w:ind w:right="64"/>
              <w:rPr>
                <w:sz w:val="16"/>
              </w:rPr>
            </w:pPr>
            <w:r>
              <w:rPr>
                <w:sz w:val="16"/>
              </w:rPr>
              <w:t>362.48</w:t>
            </w:r>
          </w:p>
        </w:tc>
        <w:tc>
          <w:tcPr>
            <w:tcW w:w="665" w:type="dxa"/>
          </w:tcPr>
          <w:p>
            <w:pPr>
              <w:pStyle w:val="TableParagraph"/>
              <w:spacing w:before="47"/>
              <w:ind w:right="66"/>
              <w:rPr>
                <w:sz w:val="16"/>
              </w:rPr>
            </w:pPr>
            <w:r>
              <w:rPr>
                <w:sz w:val="16"/>
              </w:rPr>
              <w:t>68.37</w:t>
            </w:r>
          </w:p>
        </w:tc>
        <w:tc>
          <w:tcPr>
            <w:tcW w:w="544" w:type="dxa"/>
          </w:tcPr>
          <w:p>
            <w:pPr>
              <w:pStyle w:val="TableParagraph"/>
              <w:spacing w:before="47"/>
              <w:ind w:left="111"/>
              <w:jc w:val="left"/>
              <w:rPr>
                <w:sz w:val="16"/>
              </w:rPr>
            </w:pPr>
            <w:r>
              <w:rPr>
                <w:sz w:val="16"/>
              </w:rPr>
              <w:t>97.42</w:t>
            </w:r>
          </w:p>
        </w:tc>
        <w:tc>
          <w:tcPr>
            <w:tcW w:w="678" w:type="dxa"/>
          </w:tcPr>
          <w:p>
            <w:pPr>
              <w:pStyle w:val="TableParagraph"/>
              <w:spacing w:before="47"/>
              <w:ind w:right="69"/>
              <w:rPr>
                <w:sz w:val="16"/>
              </w:rPr>
            </w:pPr>
            <w:r>
              <w:rPr>
                <w:sz w:val="16"/>
              </w:rPr>
              <w:t>23.55</w:t>
            </w:r>
          </w:p>
        </w:tc>
        <w:tc>
          <w:tcPr>
            <w:tcW w:w="595" w:type="dxa"/>
          </w:tcPr>
          <w:p>
            <w:pPr>
              <w:pStyle w:val="TableParagraph"/>
              <w:spacing w:before="47"/>
              <w:ind w:right="68"/>
              <w:rPr>
                <w:sz w:val="16"/>
              </w:rPr>
            </w:pPr>
            <w:r>
              <w:rPr>
                <w:w w:val="95"/>
                <w:sz w:val="16"/>
              </w:rPr>
              <w:t>0.9</w:t>
            </w:r>
          </w:p>
        </w:tc>
        <w:tc>
          <w:tcPr>
            <w:tcW w:w="595" w:type="dxa"/>
          </w:tcPr>
          <w:p>
            <w:pPr>
              <w:pStyle w:val="TableParagraph"/>
              <w:spacing w:before="47"/>
              <w:ind w:right="69"/>
              <w:rPr>
                <w:sz w:val="16"/>
              </w:rPr>
            </w:pPr>
            <w:r>
              <w:rPr>
                <w:w w:val="95"/>
                <w:sz w:val="16"/>
              </w:rPr>
              <w:t>0.05</w:t>
            </w:r>
          </w:p>
        </w:tc>
        <w:tc>
          <w:tcPr>
            <w:tcW w:w="545" w:type="dxa"/>
          </w:tcPr>
          <w:p>
            <w:pPr>
              <w:pStyle w:val="TableParagraph"/>
              <w:spacing w:before="47"/>
              <w:ind w:right="66"/>
              <w:rPr>
                <w:sz w:val="16"/>
              </w:rPr>
            </w:pPr>
            <w:r>
              <w:rPr>
                <w:w w:val="95"/>
                <w:sz w:val="16"/>
              </w:rPr>
              <w:t>0.04</w:t>
            </w:r>
          </w:p>
        </w:tc>
        <w:tc>
          <w:tcPr>
            <w:tcW w:w="598" w:type="dxa"/>
          </w:tcPr>
          <w:p>
            <w:pPr>
              <w:pStyle w:val="TableParagraph"/>
              <w:spacing w:before="47"/>
              <w:ind w:right="69"/>
              <w:rPr>
                <w:sz w:val="16"/>
              </w:rPr>
            </w:pPr>
            <w:r>
              <w:rPr>
                <w:w w:val="95"/>
                <w:sz w:val="16"/>
              </w:rPr>
              <w:t>2.21</w:t>
            </w:r>
          </w:p>
        </w:tc>
        <w:tc>
          <w:tcPr>
            <w:tcW w:w="593" w:type="dxa"/>
          </w:tcPr>
          <w:p>
            <w:pPr>
              <w:pStyle w:val="TableParagraph"/>
              <w:spacing w:before="47"/>
              <w:ind w:right="66"/>
              <w:rPr>
                <w:sz w:val="16"/>
              </w:rPr>
            </w:pPr>
            <w:r>
              <w:rPr>
                <w:w w:val="95"/>
                <w:sz w:val="16"/>
              </w:rPr>
              <w:t>0.91</w:t>
            </w:r>
          </w:p>
        </w:tc>
        <w:tc>
          <w:tcPr>
            <w:tcW w:w="830" w:type="dxa"/>
          </w:tcPr>
          <w:p>
            <w:pPr>
              <w:pStyle w:val="TableParagraph"/>
              <w:spacing w:before="47"/>
              <w:ind w:right="66"/>
              <w:rPr>
                <w:sz w:val="16"/>
              </w:rPr>
            </w:pPr>
            <w:r>
              <w:rPr>
                <w:w w:val="95"/>
                <w:sz w:val="16"/>
              </w:rPr>
              <w:t>0.21</w:t>
            </w:r>
          </w:p>
        </w:tc>
        <w:tc>
          <w:tcPr>
            <w:tcW w:w="821" w:type="dxa"/>
          </w:tcPr>
          <w:p>
            <w:pPr>
              <w:pStyle w:val="TableParagraph"/>
              <w:spacing w:before="47"/>
              <w:ind w:right="71"/>
              <w:rPr>
                <w:sz w:val="16"/>
              </w:rPr>
            </w:pPr>
            <w:r>
              <w:rPr>
                <w:w w:val="95"/>
                <w:sz w:val="16"/>
              </w:rPr>
              <w:t>0.1</w:t>
            </w:r>
          </w:p>
        </w:tc>
        <w:tc>
          <w:tcPr>
            <w:tcW w:w="831" w:type="dxa"/>
          </w:tcPr>
          <w:p>
            <w:pPr>
              <w:pStyle w:val="TableParagraph"/>
              <w:spacing w:before="47"/>
              <w:ind w:right="66"/>
              <w:rPr>
                <w:sz w:val="16"/>
              </w:rPr>
            </w:pPr>
            <w:r>
              <w:rPr>
                <w:w w:val="95"/>
                <w:sz w:val="16"/>
              </w:rPr>
              <w:t>0.05</w:t>
            </w:r>
          </w:p>
        </w:tc>
        <w:tc>
          <w:tcPr>
            <w:tcW w:w="891" w:type="dxa"/>
          </w:tcPr>
          <w:p>
            <w:pPr>
              <w:pStyle w:val="TableParagraph"/>
              <w:spacing w:before="47"/>
              <w:ind w:right="198"/>
              <w:rPr>
                <w:sz w:val="16"/>
              </w:rPr>
            </w:pPr>
            <w:r>
              <w:rPr>
                <w:w w:val="98"/>
                <w:sz w:val="16"/>
              </w:rPr>
              <w:t>0</w:t>
            </w:r>
          </w:p>
        </w:tc>
      </w:tr>
      <w:tr>
        <w:trPr>
          <w:trHeight w:val="300" w:hRule="exact"/>
        </w:trPr>
        <w:tc>
          <w:tcPr>
            <w:tcW w:w="685" w:type="dxa"/>
          </w:tcPr>
          <w:p>
            <w:pPr>
              <w:pStyle w:val="TableParagraph"/>
              <w:spacing w:before="50"/>
              <w:ind w:right="65"/>
              <w:rPr>
                <w:sz w:val="16"/>
              </w:rPr>
            </w:pPr>
            <w:r>
              <w:rPr>
                <w:sz w:val="16"/>
              </w:rPr>
              <w:t>11</w:t>
            </w:r>
          </w:p>
        </w:tc>
        <w:tc>
          <w:tcPr>
            <w:tcW w:w="716" w:type="dxa"/>
          </w:tcPr>
          <w:p>
            <w:pPr>
              <w:pStyle w:val="TableParagraph"/>
              <w:spacing w:before="50"/>
              <w:ind w:right="69"/>
              <w:rPr>
                <w:sz w:val="16"/>
              </w:rPr>
            </w:pPr>
            <w:r>
              <w:rPr>
                <w:w w:val="95"/>
                <w:sz w:val="16"/>
              </w:rPr>
              <w:t>8.29</w:t>
            </w:r>
          </w:p>
        </w:tc>
        <w:tc>
          <w:tcPr>
            <w:tcW w:w="718" w:type="dxa"/>
          </w:tcPr>
          <w:p>
            <w:pPr>
              <w:pStyle w:val="TableParagraph"/>
              <w:spacing w:before="50"/>
              <w:ind w:right="66"/>
              <w:rPr>
                <w:sz w:val="16"/>
              </w:rPr>
            </w:pPr>
            <w:r>
              <w:rPr>
                <w:w w:val="95"/>
                <w:sz w:val="16"/>
              </w:rPr>
              <w:t>0.15</w:t>
            </w:r>
          </w:p>
        </w:tc>
        <w:tc>
          <w:tcPr>
            <w:tcW w:w="554" w:type="dxa"/>
          </w:tcPr>
          <w:p>
            <w:pPr>
              <w:pStyle w:val="TableParagraph"/>
              <w:spacing w:before="50"/>
              <w:ind w:right="69"/>
              <w:rPr>
                <w:sz w:val="16"/>
              </w:rPr>
            </w:pPr>
            <w:r>
              <w:rPr>
                <w:w w:val="95"/>
                <w:sz w:val="16"/>
              </w:rPr>
              <w:t>1.08</w:t>
            </w:r>
          </w:p>
        </w:tc>
        <w:tc>
          <w:tcPr>
            <w:tcW w:w="538" w:type="dxa"/>
          </w:tcPr>
          <w:p>
            <w:pPr>
              <w:pStyle w:val="TableParagraph"/>
              <w:spacing w:before="50"/>
              <w:ind w:right="68"/>
              <w:rPr>
                <w:sz w:val="16"/>
              </w:rPr>
            </w:pPr>
            <w:r>
              <w:rPr>
                <w:w w:val="98"/>
                <w:sz w:val="16"/>
              </w:rPr>
              <w:t>0</w:t>
            </w:r>
          </w:p>
        </w:tc>
        <w:tc>
          <w:tcPr>
            <w:tcW w:w="669" w:type="dxa"/>
          </w:tcPr>
          <w:p>
            <w:pPr>
              <w:pStyle w:val="TableParagraph"/>
              <w:spacing w:before="50"/>
              <w:ind w:right="71"/>
              <w:rPr>
                <w:sz w:val="16"/>
              </w:rPr>
            </w:pPr>
            <w:r>
              <w:rPr>
                <w:w w:val="95"/>
                <w:sz w:val="16"/>
              </w:rPr>
              <w:t>4.2</w:t>
            </w:r>
          </w:p>
        </w:tc>
        <w:tc>
          <w:tcPr>
            <w:tcW w:w="535" w:type="dxa"/>
          </w:tcPr>
          <w:p>
            <w:pPr>
              <w:pStyle w:val="TableParagraph"/>
              <w:spacing w:before="50"/>
              <w:ind w:right="68"/>
              <w:rPr>
                <w:sz w:val="16"/>
              </w:rPr>
            </w:pPr>
            <w:r>
              <w:rPr>
                <w:w w:val="98"/>
                <w:sz w:val="16"/>
              </w:rPr>
              <w:t>0</w:t>
            </w:r>
          </w:p>
        </w:tc>
        <w:tc>
          <w:tcPr>
            <w:tcW w:w="667" w:type="dxa"/>
          </w:tcPr>
          <w:p>
            <w:pPr>
              <w:pStyle w:val="TableParagraph"/>
              <w:spacing w:before="50"/>
              <w:ind w:right="64"/>
              <w:rPr>
                <w:sz w:val="16"/>
              </w:rPr>
            </w:pPr>
            <w:r>
              <w:rPr>
                <w:sz w:val="16"/>
              </w:rPr>
              <w:t>339.63</w:t>
            </w:r>
          </w:p>
        </w:tc>
        <w:tc>
          <w:tcPr>
            <w:tcW w:w="665" w:type="dxa"/>
          </w:tcPr>
          <w:p>
            <w:pPr>
              <w:pStyle w:val="TableParagraph"/>
              <w:spacing w:before="50"/>
              <w:ind w:right="66"/>
              <w:rPr>
                <w:sz w:val="16"/>
              </w:rPr>
            </w:pPr>
            <w:r>
              <w:rPr>
                <w:sz w:val="16"/>
              </w:rPr>
              <w:t>26.68</w:t>
            </w:r>
          </w:p>
        </w:tc>
        <w:tc>
          <w:tcPr>
            <w:tcW w:w="544" w:type="dxa"/>
          </w:tcPr>
          <w:p>
            <w:pPr>
              <w:pStyle w:val="TableParagraph"/>
              <w:spacing w:before="50"/>
              <w:ind w:left="111"/>
              <w:jc w:val="left"/>
              <w:rPr>
                <w:sz w:val="16"/>
              </w:rPr>
            </w:pPr>
            <w:r>
              <w:rPr>
                <w:sz w:val="16"/>
              </w:rPr>
              <w:t>78.39</w:t>
            </w:r>
          </w:p>
        </w:tc>
        <w:tc>
          <w:tcPr>
            <w:tcW w:w="678" w:type="dxa"/>
          </w:tcPr>
          <w:p>
            <w:pPr>
              <w:pStyle w:val="TableParagraph"/>
              <w:spacing w:before="50"/>
              <w:ind w:right="69"/>
              <w:rPr>
                <w:sz w:val="16"/>
              </w:rPr>
            </w:pPr>
            <w:r>
              <w:rPr>
                <w:w w:val="95"/>
                <w:sz w:val="16"/>
              </w:rPr>
              <w:t>6.85</w:t>
            </w:r>
          </w:p>
        </w:tc>
        <w:tc>
          <w:tcPr>
            <w:tcW w:w="595" w:type="dxa"/>
          </w:tcPr>
          <w:p>
            <w:pPr>
              <w:pStyle w:val="TableParagraph"/>
              <w:spacing w:before="50"/>
              <w:ind w:right="68"/>
              <w:rPr>
                <w:sz w:val="16"/>
              </w:rPr>
            </w:pPr>
            <w:r>
              <w:rPr>
                <w:w w:val="98"/>
                <w:sz w:val="16"/>
              </w:rPr>
              <w:t>0</w:t>
            </w:r>
          </w:p>
        </w:tc>
        <w:tc>
          <w:tcPr>
            <w:tcW w:w="595" w:type="dxa"/>
          </w:tcPr>
          <w:p>
            <w:pPr>
              <w:pStyle w:val="TableParagraph"/>
              <w:spacing w:before="50"/>
              <w:ind w:right="73"/>
              <w:rPr>
                <w:sz w:val="16"/>
              </w:rPr>
            </w:pPr>
            <w:r>
              <w:rPr>
                <w:w w:val="98"/>
                <w:sz w:val="16"/>
              </w:rPr>
              <w:t>0</w:t>
            </w:r>
          </w:p>
        </w:tc>
        <w:tc>
          <w:tcPr>
            <w:tcW w:w="545" w:type="dxa"/>
          </w:tcPr>
          <w:p>
            <w:pPr>
              <w:pStyle w:val="TableParagraph"/>
              <w:spacing w:before="50"/>
              <w:ind w:right="66"/>
              <w:rPr>
                <w:sz w:val="16"/>
              </w:rPr>
            </w:pPr>
            <w:r>
              <w:rPr>
                <w:w w:val="95"/>
                <w:sz w:val="16"/>
              </w:rPr>
              <w:t>0.03</w:t>
            </w:r>
          </w:p>
        </w:tc>
        <w:tc>
          <w:tcPr>
            <w:tcW w:w="598" w:type="dxa"/>
          </w:tcPr>
          <w:p>
            <w:pPr>
              <w:pStyle w:val="TableParagraph"/>
              <w:spacing w:before="50"/>
              <w:ind w:right="69"/>
              <w:rPr>
                <w:sz w:val="16"/>
              </w:rPr>
            </w:pPr>
            <w:r>
              <w:rPr>
                <w:w w:val="95"/>
                <w:sz w:val="16"/>
              </w:rPr>
              <w:t>0.07</w:t>
            </w:r>
          </w:p>
        </w:tc>
        <w:tc>
          <w:tcPr>
            <w:tcW w:w="593" w:type="dxa"/>
          </w:tcPr>
          <w:p>
            <w:pPr>
              <w:pStyle w:val="TableParagraph"/>
              <w:spacing w:before="50"/>
              <w:ind w:right="66"/>
              <w:rPr>
                <w:sz w:val="16"/>
              </w:rPr>
            </w:pPr>
            <w:r>
              <w:rPr>
                <w:w w:val="95"/>
                <w:sz w:val="16"/>
              </w:rPr>
              <w:t>0.15</w:t>
            </w:r>
          </w:p>
        </w:tc>
        <w:tc>
          <w:tcPr>
            <w:tcW w:w="830" w:type="dxa"/>
          </w:tcPr>
          <w:p>
            <w:pPr>
              <w:pStyle w:val="TableParagraph"/>
              <w:spacing w:before="50"/>
              <w:ind w:right="72"/>
              <w:rPr>
                <w:sz w:val="16"/>
              </w:rPr>
            </w:pPr>
            <w:r>
              <w:rPr>
                <w:w w:val="98"/>
                <w:sz w:val="16"/>
              </w:rPr>
              <w:t>0</w:t>
            </w:r>
          </w:p>
        </w:tc>
        <w:tc>
          <w:tcPr>
            <w:tcW w:w="821" w:type="dxa"/>
          </w:tcPr>
          <w:p>
            <w:pPr>
              <w:pStyle w:val="TableParagraph"/>
              <w:spacing w:before="50"/>
              <w:ind w:right="70"/>
              <w:rPr>
                <w:sz w:val="16"/>
              </w:rPr>
            </w:pPr>
            <w:r>
              <w:rPr>
                <w:w w:val="98"/>
                <w:sz w:val="16"/>
              </w:rPr>
              <w:t>0</w:t>
            </w:r>
          </w:p>
        </w:tc>
        <w:tc>
          <w:tcPr>
            <w:tcW w:w="831" w:type="dxa"/>
          </w:tcPr>
          <w:p>
            <w:pPr>
              <w:pStyle w:val="TableParagraph"/>
              <w:spacing w:before="50"/>
              <w:ind w:right="72"/>
              <w:rPr>
                <w:sz w:val="16"/>
              </w:rPr>
            </w:pPr>
            <w:r>
              <w:rPr>
                <w:w w:val="98"/>
                <w:sz w:val="16"/>
              </w:rPr>
              <w:t>0</w:t>
            </w:r>
          </w:p>
        </w:tc>
        <w:tc>
          <w:tcPr>
            <w:tcW w:w="891" w:type="dxa"/>
          </w:tcPr>
          <w:p>
            <w:pPr>
              <w:pStyle w:val="TableParagraph"/>
              <w:spacing w:before="50"/>
              <w:ind w:right="198"/>
              <w:rPr>
                <w:sz w:val="16"/>
              </w:rPr>
            </w:pPr>
            <w:r>
              <w:rPr>
                <w:w w:val="98"/>
                <w:sz w:val="16"/>
              </w:rPr>
              <w:t>0</w:t>
            </w:r>
          </w:p>
        </w:tc>
      </w:tr>
      <w:tr>
        <w:trPr>
          <w:trHeight w:val="449" w:hRule="exact"/>
        </w:trPr>
        <w:tc>
          <w:tcPr>
            <w:tcW w:w="685" w:type="dxa"/>
          </w:tcPr>
          <w:p>
            <w:pPr>
              <w:pStyle w:val="TableParagraph"/>
              <w:spacing w:before="48"/>
              <w:ind w:right="65"/>
              <w:rPr>
                <w:sz w:val="16"/>
              </w:rPr>
            </w:pPr>
            <w:r>
              <w:rPr>
                <w:sz w:val="16"/>
              </w:rPr>
              <w:t>12</w:t>
            </w:r>
          </w:p>
        </w:tc>
        <w:tc>
          <w:tcPr>
            <w:tcW w:w="716" w:type="dxa"/>
          </w:tcPr>
          <w:p>
            <w:pPr>
              <w:pStyle w:val="TableParagraph"/>
              <w:spacing w:before="48"/>
              <w:ind w:right="69"/>
              <w:rPr>
                <w:sz w:val="16"/>
              </w:rPr>
            </w:pPr>
            <w:r>
              <w:rPr>
                <w:w w:val="95"/>
                <w:sz w:val="16"/>
              </w:rPr>
              <w:t>13.8</w:t>
            </w:r>
          </w:p>
        </w:tc>
        <w:tc>
          <w:tcPr>
            <w:tcW w:w="718" w:type="dxa"/>
          </w:tcPr>
          <w:p>
            <w:pPr>
              <w:pStyle w:val="TableParagraph"/>
              <w:spacing w:before="48"/>
              <w:ind w:right="66"/>
              <w:rPr>
                <w:sz w:val="16"/>
              </w:rPr>
            </w:pPr>
            <w:r>
              <w:rPr>
                <w:w w:val="95"/>
                <w:sz w:val="16"/>
              </w:rPr>
              <w:t>0.11</w:t>
            </w:r>
          </w:p>
        </w:tc>
        <w:tc>
          <w:tcPr>
            <w:tcW w:w="554" w:type="dxa"/>
          </w:tcPr>
          <w:p>
            <w:pPr>
              <w:pStyle w:val="TableParagraph"/>
              <w:spacing w:before="48"/>
              <w:ind w:right="69"/>
              <w:rPr>
                <w:sz w:val="16"/>
              </w:rPr>
            </w:pPr>
            <w:r>
              <w:rPr>
                <w:w w:val="95"/>
                <w:sz w:val="16"/>
              </w:rPr>
              <w:t>0.82</w:t>
            </w:r>
          </w:p>
        </w:tc>
        <w:tc>
          <w:tcPr>
            <w:tcW w:w="538" w:type="dxa"/>
          </w:tcPr>
          <w:p>
            <w:pPr>
              <w:pStyle w:val="TableParagraph"/>
              <w:spacing w:before="48"/>
              <w:ind w:right="68"/>
              <w:rPr>
                <w:sz w:val="16"/>
              </w:rPr>
            </w:pPr>
            <w:r>
              <w:rPr>
                <w:w w:val="99"/>
                <w:sz w:val="16"/>
              </w:rPr>
              <w:t>0</w:t>
            </w:r>
          </w:p>
        </w:tc>
        <w:tc>
          <w:tcPr>
            <w:tcW w:w="669" w:type="dxa"/>
          </w:tcPr>
          <w:p>
            <w:pPr>
              <w:pStyle w:val="TableParagraph"/>
              <w:spacing w:before="48"/>
              <w:ind w:right="66"/>
              <w:rPr>
                <w:sz w:val="16"/>
              </w:rPr>
            </w:pPr>
            <w:r>
              <w:rPr>
                <w:w w:val="95"/>
                <w:sz w:val="16"/>
              </w:rPr>
              <w:t>0.16</w:t>
            </w:r>
          </w:p>
        </w:tc>
        <w:tc>
          <w:tcPr>
            <w:tcW w:w="535" w:type="dxa"/>
          </w:tcPr>
          <w:p>
            <w:pPr>
              <w:pStyle w:val="TableParagraph"/>
              <w:spacing w:before="48"/>
              <w:ind w:right="68"/>
              <w:rPr>
                <w:sz w:val="16"/>
              </w:rPr>
            </w:pPr>
            <w:r>
              <w:rPr>
                <w:w w:val="99"/>
                <w:sz w:val="16"/>
              </w:rPr>
              <w:t>0</w:t>
            </w:r>
          </w:p>
        </w:tc>
        <w:tc>
          <w:tcPr>
            <w:tcW w:w="667" w:type="dxa"/>
          </w:tcPr>
          <w:p>
            <w:pPr>
              <w:pStyle w:val="TableParagraph"/>
              <w:spacing w:before="48"/>
              <w:ind w:right="64"/>
              <w:rPr>
                <w:sz w:val="16"/>
              </w:rPr>
            </w:pPr>
            <w:r>
              <w:rPr>
                <w:sz w:val="16"/>
              </w:rPr>
              <w:t>334.87</w:t>
            </w:r>
          </w:p>
        </w:tc>
        <w:tc>
          <w:tcPr>
            <w:tcW w:w="665" w:type="dxa"/>
          </w:tcPr>
          <w:p>
            <w:pPr>
              <w:pStyle w:val="TableParagraph"/>
              <w:spacing w:before="48"/>
              <w:ind w:right="66"/>
              <w:rPr>
                <w:sz w:val="16"/>
              </w:rPr>
            </w:pPr>
            <w:r>
              <w:rPr>
                <w:sz w:val="16"/>
              </w:rPr>
              <w:t>18.19</w:t>
            </w:r>
          </w:p>
        </w:tc>
        <w:tc>
          <w:tcPr>
            <w:tcW w:w="544" w:type="dxa"/>
          </w:tcPr>
          <w:p>
            <w:pPr>
              <w:pStyle w:val="TableParagraph"/>
              <w:spacing w:before="48"/>
              <w:ind w:left="111"/>
              <w:jc w:val="left"/>
              <w:rPr>
                <w:sz w:val="16"/>
              </w:rPr>
            </w:pPr>
            <w:r>
              <w:rPr>
                <w:sz w:val="16"/>
              </w:rPr>
              <w:t>67.75</w:t>
            </w:r>
          </w:p>
        </w:tc>
        <w:tc>
          <w:tcPr>
            <w:tcW w:w="678" w:type="dxa"/>
          </w:tcPr>
          <w:p>
            <w:pPr>
              <w:pStyle w:val="TableParagraph"/>
              <w:spacing w:before="48"/>
              <w:ind w:right="73"/>
              <w:rPr>
                <w:sz w:val="16"/>
              </w:rPr>
            </w:pPr>
            <w:r>
              <w:rPr>
                <w:w w:val="95"/>
                <w:sz w:val="16"/>
              </w:rPr>
              <w:t>7.3</w:t>
            </w:r>
          </w:p>
        </w:tc>
        <w:tc>
          <w:tcPr>
            <w:tcW w:w="595" w:type="dxa"/>
          </w:tcPr>
          <w:p>
            <w:pPr>
              <w:pStyle w:val="TableParagraph"/>
              <w:spacing w:before="48"/>
              <w:ind w:right="68"/>
              <w:rPr>
                <w:sz w:val="16"/>
              </w:rPr>
            </w:pPr>
            <w:r>
              <w:rPr>
                <w:w w:val="99"/>
                <w:sz w:val="16"/>
              </w:rPr>
              <w:t>0</w:t>
            </w:r>
          </w:p>
        </w:tc>
        <w:tc>
          <w:tcPr>
            <w:tcW w:w="595" w:type="dxa"/>
          </w:tcPr>
          <w:p>
            <w:pPr>
              <w:pStyle w:val="TableParagraph"/>
              <w:spacing w:before="48"/>
              <w:ind w:right="73"/>
              <w:rPr>
                <w:sz w:val="16"/>
              </w:rPr>
            </w:pPr>
            <w:r>
              <w:rPr>
                <w:w w:val="99"/>
                <w:sz w:val="16"/>
              </w:rPr>
              <w:t>0</w:t>
            </w:r>
          </w:p>
        </w:tc>
        <w:tc>
          <w:tcPr>
            <w:tcW w:w="545" w:type="dxa"/>
          </w:tcPr>
          <w:p>
            <w:pPr>
              <w:pStyle w:val="TableParagraph"/>
              <w:spacing w:before="48"/>
              <w:ind w:right="66"/>
              <w:rPr>
                <w:sz w:val="16"/>
              </w:rPr>
            </w:pPr>
            <w:r>
              <w:rPr>
                <w:w w:val="95"/>
                <w:sz w:val="16"/>
              </w:rPr>
              <w:t>0.02</w:t>
            </w:r>
          </w:p>
        </w:tc>
        <w:tc>
          <w:tcPr>
            <w:tcW w:w="598" w:type="dxa"/>
          </w:tcPr>
          <w:p>
            <w:pPr>
              <w:pStyle w:val="TableParagraph"/>
              <w:spacing w:before="48"/>
              <w:ind w:right="73"/>
              <w:rPr>
                <w:sz w:val="16"/>
              </w:rPr>
            </w:pPr>
            <w:r>
              <w:rPr>
                <w:w w:val="99"/>
                <w:sz w:val="16"/>
              </w:rPr>
              <w:t>0</w:t>
            </w:r>
          </w:p>
        </w:tc>
        <w:tc>
          <w:tcPr>
            <w:tcW w:w="593" w:type="dxa"/>
          </w:tcPr>
          <w:p>
            <w:pPr>
              <w:pStyle w:val="TableParagraph"/>
              <w:spacing w:before="48"/>
              <w:ind w:right="66"/>
              <w:rPr>
                <w:sz w:val="16"/>
              </w:rPr>
            </w:pPr>
            <w:r>
              <w:rPr>
                <w:w w:val="95"/>
                <w:sz w:val="16"/>
              </w:rPr>
              <w:t>0.31</w:t>
            </w:r>
          </w:p>
        </w:tc>
        <w:tc>
          <w:tcPr>
            <w:tcW w:w="830" w:type="dxa"/>
          </w:tcPr>
          <w:p>
            <w:pPr>
              <w:pStyle w:val="TableParagraph"/>
              <w:spacing w:before="48"/>
              <w:ind w:right="72"/>
              <w:rPr>
                <w:sz w:val="16"/>
              </w:rPr>
            </w:pPr>
            <w:r>
              <w:rPr>
                <w:w w:val="99"/>
                <w:sz w:val="16"/>
              </w:rPr>
              <w:t>0</w:t>
            </w:r>
          </w:p>
        </w:tc>
        <w:tc>
          <w:tcPr>
            <w:tcW w:w="821" w:type="dxa"/>
          </w:tcPr>
          <w:p>
            <w:pPr>
              <w:pStyle w:val="TableParagraph"/>
              <w:spacing w:before="48"/>
              <w:ind w:right="70"/>
              <w:rPr>
                <w:sz w:val="16"/>
              </w:rPr>
            </w:pPr>
            <w:r>
              <w:rPr>
                <w:w w:val="99"/>
                <w:sz w:val="16"/>
              </w:rPr>
              <w:t>0</w:t>
            </w:r>
          </w:p>
        </w:tc>
        <w:tc>
          <w:tcPr>
            <w:tcW w:w="831" w:type="dxa"/>
          </w:tcPr>
          <w:p>
            <w:pPr>
              <w:pStyle w:val="TableParagraph"/>
              <w:spacing w:before="48"/>
              <w:ind w:right="72"/>
              <w:rPr>
                <w:sz w:val="16"/>
              </w:rPr>
            </w:pPr>
            <w:r>
              <w:rPr>
                <w:w w:val="99"/>
                <w:sz w:val="16"/>
              </w:rPr>
              <w:t>0</w:t>
            </w:r>
          </w:p>
        </w:tc>
        <w:tc>
          <w:tcPr>
            <w:tcW w:w="891" w:type="dxa"/>
          </w:tcPr>
          <w:p>
            <w:pPr>
              <w:pStyle w:val="TableParagraph"/>
              <w:spacing w:before="48"/>
              <w:ind w:right="198"/>
              <w:rPr>
                <w:sz w:val="16"/>
              </w:rPr>
            </w:pPr>
            <w:r>
              <w:rPr>
                <w:w w:val="99"/>
                <w:sz w:val="16"/>
              </w:rPr>
              <w:t>0</w:t>
            </w:r>
          </w:p>
        </w:tc>
      </w:tr>
      <w:tr>
        <w:trPr>
          <w:trHeight w:val="451" w:hRule="exact"/>
        </w:trPr>
        <w:tc>
          <w:tcPr>
            <w:tcW w:w="685" w:type="dxa"/>
          </w:tcPr>
          <w:p>
            <w:pPr>
              <w:pStyle w:val="TableParagraph"/>
              <w:spacing w:before="3"/>
              <w:jc w:val="left"/>
              <w:rPr>
                <w:sz w:val="17"/>
              </w:rPr>
            </w:pPr>
          </w:p>
          <w:p>
            <w:pPr>
              <w:pStyle w:val="TableParagraph"/>
              <w:spacing w:before="0"/>
              <w:ind w:right="65"/>
              <w:rPr>
                <w:sz w:val="16"/>
              </w:rPr>
            </w:pPr>
            <w:r>
              <w:rPr>
                <w:sz w:val="16"/>
              </w:rPr>
              <w:t>2000</w:t>
            </w:r>
          </w:p>
        </w:tc>
        <w:tc>
          <w:tcPr>
            <w:tcW w:w="716" w:type="dxa"/>
          </w:tcPr>
          <w:p>
            <w:pPr>
              <w:pStyle w:val="TableParagraph"/>
              <w:spacing w:before="3"/>
              <w:jc w:val="left"/>
              <w:rPr>
                <w:sz w:val="17"/>
              </w:rPr>
            </w:pPr>
          </w:p>
          <w:p>
            <w:pPr>
              <w:pStyle w:val="TableParagraph"/>
              <w:spacing w:before="0"/>
              <w:ind w:right="69"/>
              <w:rPr>
                <w:sz w:val="16"/>
              </w:rPr>
            </w:pPr>
            <w:r>
              <w:rPr>
                <w:sz w:val="16"/>
              </w:rPr>
              <w:t>878.84</w:t>
            </w:r>
          </w:p>
        </w:tc>
        <w:tc>
          <w:tcPr>
            <w:tcW w:w="718" w:type="dxa"/>
          </w:tcPr>
          <w:p>
            <w:pPr>
              <w:pStyle w:val="TableParagraph"/>
              <w:spacing w:before="3"/>
              <w:jc w:val="left"/>
              <w:rPr>
                <w:sz w:val="17"/>
              </w:rPr>
            </w:pPr>
          </w:p>
          <w:p>
            <w:pPr>
              <w:pStyle w:val="TableParagraph"/>
              <w:spacing w:before="0"/>
              <w:ind w:right="68"/>
              <w:rPr>
                <w:sz w:val="16"/>
              </w:rPr>
            </w:pPr>
            <w:r>
              <w:rPr>
                <w:sz w:val="16"/>
              </w:rPr>
              <w:t>115.11</w:t>
            </w:r>
          </w:p>
        </w:tc>
        <w:tc>
          <w:tcPr>
            <w:tcW w:w="554" w:type="dxa"/>
          </w:tcPr>
          <w:p>
            <w:pPr>
              <w:pStyle w:val="TableParagraph"/>
              <w:spacing w:before="3"/>
              <w:jc w:val="left"/>
              <w:rPr>
                <w:sz w:val="17"/>
              </w:rPr>
            </w:pPr>
          </w:p>
          <w:p>
            <w:pPr>
              <w:pStyle w:val="TableParagraph"/>
              <w:spacing w:before="0"/>
              <w:ind w:right="69"/>
              <w:rPr>
                <w:sz w:val="16"/>
              </w:rPr>
            </w:pPr>
            <w:r>
              <w:rPr>
                <w:w w:val="95"/>
                <w:sz w:val="16"/>
              </w:rPr>
              <w:t>8.31</w:t>
            </w:r>
          </w:p>
        </w:tc>
        <w:tc>
          <w:tcPr>
            <w:tcW w:w="538" w:type="dxa"/>
          </w:tcPr>
          <w:p>
            <w:pPr>
              <w:pStyle w:val="TableParagraph"/>
              <w:spacing w:before="3"/>
              <w:jc w:val="left"/>
              <w:rPr>
                <w:sz w:val="17"/>
              </w:rPr>
            </w:pPr>
          </w:p>
          <w:p>
            <w:pPr>
              <w:pStyle w:val="TableParagraph"/>
              <w:spacing w:before="0"/>
              <w:ind w:right="68"/>
              <w:rPr>
                <w:sz w:val="16"/>
              </w:rPr>
            </w:pPr>
            <w:r>
              <w:rPr>
                <w:w w:val="99"/>
                <w:sz w:val="16"/>
              </w:rPr>
              <w:t>0</w:t>
            </w:r>
          </w:p>
        </w:tc>
        <w:tc>
          <w:tcPr>
            <w:tcW w:w="669" w:type="dxa"/>
          </w:tcPr>
          <w:p>
            <w:pPr>
              <w:pStyle w:val="TableParagraph"/>
              <w:spacing w:before="3"/>
              <w:jc w:val="left"/>
              <w:rPr>
                <w:sz w:val="17"/>
              </w:rPr>
            </w:pPr>
          </w:p>
          <w:p>
            <w:pPr>
              <w:pStyle w:val="TableParagraph"/>
              <w:spacing w:before="0"/>
              <w:ind w:right="66"/>
              <w:rPr>
                <w:sz w:val="16"/>
              </w:rPr>
            </w:pPr>
            <w:r>
              <w:rPr>
                <w:sz w:val="16"/>
              </w:rPr>
              <w:t>74.96</w:t>
            </w:r>
          </w:p>
        </w:tc>
        <w:tc>
          <w:tcPr>
            <w:tcW w:w="535" w:type="dxa"/>
          </w:tcPr>
          <w:p>
            <w:pPr>
              <w:pStyle w:val="TableParagraph"/>
              <w:spacing w:before="3"/>
              <w:jc w:val="left"/>
              <w:rPr>
                <w:sz w:val="17"/>
              </w:rPr>
            </w:pPr>
          </w:p>
          <w:p>
            <w:pPr>
              <w:pStyle w:val="TableParagraph"/>
              <w:spacing w:before="0"/>
              <w:ind w:right="68"/>
              <w:rPr>
                <w:sz w:val="16"/>
              </w:rPr>
            </w:pPr>
            <w:r>
              <w:rPr>
                <w:w w:val="99"/>
                <w:sz w:val="16"/>
              </w:rPr>
              <w:t>0</w:t>
            </w:r>
          </w:p>
        </w:tc>
        <w:tc>
          <w:tcPr>
            <w:tcW w:w="667" w:type="dxa"/>
          </w:tcPr>
          <w:p>
            <w:pPr>
              <w:pStyle w:val="TableParagraph"/>
              <w:spacing w:before="3"/>
              <w:jc w:val="left"/>
              <w:rPr>
                <w:sz w:val="17"/>
              </w:rPr>
            </w:pPr>
          </w:p>
          <w:p>
            <w:pPr>
              <w:pStyle w:val="TableParagraph"/>
              <w:spacing w:before="0"/>
              <w:ind w:right="64"/>
              <w:rPr>
                <w:sz w:val="16"/>
              </w:rPr>
            </w:pPr>
            <w:r>
              <w:rPr>
                <w:sz w:val="16"/>
              </w:rPr>
              <w:t>334.87</w:t>
            </w:r>
          </w:p>
        </w:tc>
        <w:tc>
          <w:tcPr>
            <w:tcW w:w="665" w:type="dxa"/>
          </w:tcPr>
          <w:p>
            <w:pPr>
              <w:pStyle w:val="TableParagraph"/>
              <w:spacing w:before="3"/>
              <w:jc w:val="left"/>
              <w:rPr>
                <w:sz w:val="17"/>
              </w:rPr>
            </w:pPr>
          </w:p>
          <w:p>
            <w:pPr>
              <w:pStyle w:val="TableParagraph"/>
              <w:spacing w:before="0"/>
              <w:ind w:right="66"/>
              <w:rPr>
                <w:sz w:val="16"/>
              </w:rPr>
            </w:pPr>
            <w:r>
              <w:rPr>
                <w:sz w:val="16"/>
              </w:rPr>
              <w:t>597.59</w:t>
            </w:r>
          </w:p>
        </w:tc>
        <w:tc>
          <w:tcPr>
            <w:tcW w:w="544" w:type="dxa"/>
          </w:tcPr>
          <w:p>
            <w:pPr>
              <w:pStyle w:val="TableParagraph"/>
              <w:spacing w:before="3"/>
              <w:jc w:val="left"/>
              <w:rPr>
                <w:sz w:val="17"/>
              </w:rPr>
            </w:pPr>
          </w:p>
          <w:p>
            <w:pPr>
              <w:pStyle w:val="TableParagraph"/>
              <w:spacing w:before="0"/>
              <w:ind w:left="150"/>
              <w:jc w:val="left"/>
              <w:rPr>
                <w:sz w:val="16"/>
              </w:rPr>
            </w:pPr>
            <w:r>
              <w:rPr>
                <w:sz w:val="16"/>
              </w:rPr>
              <w:t>1188</w:t>
            </w:r>
          </w:p>
        </w:tc>
        <w:tc>
          <w:tcPr>
            <w:tcW w:w="678" w:type="dxa"/>
          </w:tcPr>
          <w:p>
            <w:pPr>
              <w:pStyle w:val="TableParagraph"/>
              <w:spacing w:before="3"/>
              <w:jc w:val="left"/>
              <w:rPr>
                <w:sz w:val="17"/>
              </w:rPr>
            </w:pPr>
          </w:p>
          <w:p>
            <w:pPr>
              <w:pStyle w:val="TableParagraph"/>
              <w:spacing w:before="0"/>
              <w:ind w:right="69"/>
              <w:rPr>
                <w:sz w:val="16"/>
              </w:rPr>
            </w:pPr>
            <w:r>
              <w:rPr>
                <w:sz w:val="16"/>
              </w:rPr>
              <w:t>152.18</w:t>
            </w:r>
          </w:p>
        </w:tc>
        <w:tc>
          <w:tcPr>
            <w:tcW w:w="595" w:type="dxa"/>
          </w:tcPr>
          <w:p>
            <w:pPr>
              <w:pStyle w:val="TableParagraph"/>
              <w:spacing w:before="3"/>
              <w:jc w:val="left"/>
              <w:rPr>
                <w:sz w:val="17"/>
              </w:rPr>
            </w:pPr>
          </w:p>
          <w:p>
            <w:pPr>
              <w:pStyle w:val="TableParagraph"/>
              <w:spacing w:before="0"/>
              <w:ind w:right="64"/>
              <w:rPr>
                <w:sz w:val="16"/>
              </w:rPr>
            </w:pPr>
            <w:r>
              <w:rPr>
                <w:w w:val="95"/>
                <w:sz w:val="16"/>
              </w:rPr>
              <w:t>6.47</w:t>
            </w:r>
          </w:p>
        </w:tc>
        <w:tc>
          <w:tcPr>
            <w:tcW w:w="595" w:type="dxa"/>
          </w:tcPr>
          <w:p>
            <w:pPr>
              <w:pStyle w:val="TableParagraph"/>
              <w:spacing w:before="3"/>
              <w:jc w:val="left"/>
              <w:rPr>
                <w:sz w:val="17"/>
              </w:rPr>
            </w:pPr>
          </w:p>
          <w:p>
            <w:pPr>
              <w:pStyle w:val="TableParagraph"/>
              <w:spacing w:before="0"/>
              <w:ind w:right="69"/>
              <w:rPr>
                <w:sz w:val="16"/>
              </w:rPr>
            </w:pPr>
            <w:r>
              <w:rPr>
                <w:w w:val="95"/>
                <w:sz w:val="16"/>
              </w:rPr>
              <w:t>0.68</w:t>
            </w:r>
          </w:p>
        </w:tc>
        <w:tc>
          <w:tcPr>
            <w:tcW w:w="545" w:type="dxa"/>
          </w:tcPr>
          <w:p>
            <w:pPr>
              <w:pStyle w:val="TableParagraph"/>
              <w:spacing w:before="3"/>
              <w:jc w:val="left"/>
              <w:rPr>
                <w:sz w:val="17"/>
              </w:rPr>
            </w:pPr>
          </w:p>
          <w:p>
            <w:pPr>
              <w:pStyle w:val="TableParagraph"/>
              <w:spacing w:before="0"/>
              <w:ind w:right="66"/>
              <w:rPr>
                <w:sz w:val="16"/>
              </w:rPr>
            </w:pPr>
            <w:r>
              <w:rPr>
                <w:w w:val="95"/>
                <w:sz w:val="16"/>
              </w:rPr>
              <w:t>0.26</w:t>
            </w:r>
          </w:p>
        </w:tc>
        <w:tc>
          <w:tcPr>
            <w:tcW w:w="598" w:type="dxa"/>
          </w:tcPr>
          <w:p>
            <w:pPr>
              <w:pStyle w:val="TableParagraph"/>
              <w:spacing w:before="3"/>
              <w:jc w:val="left"/>
              <w:rPr>
                <w:sz w:val="17"/>
              </w:rPr>
            </w:pPr>
          </w:p>
          <w:p>
            <w:pPr>
              <w:pStyle w:val="TableParagraph"/>
              <w:spacing w:before="0"/>
              <w:ind w:right="69"/>
              <w:rPr>
                <w:sz w:val="16"/>
              </w:rPr>
            </w:pPr>
            <w:r>
              <w:rPr>
                <w:sz w:val="16"/>
              </w:rPr>
              <w:t>10.84</w:t>
            </w:r>
          </w:p>
        </w:tc>
        <w:tc>
          <w:tcPr>
            <w:tcW w:w="593" w:type="dxa"/>
          </w:tcPr>
          <w:p>
            <w:pPr>
              <w:pStyle w:val="TableParagraph"/>
              <w:spacing w:before="3"/>
              <w:jc w:val="left"/>
              <w:rPr>
                <w:sz w:val="17"/>
              </w:rPr>
            </w:pPr>
          </w:p>
          <w:p>
            <w:pPr>
              <w:pStyle w:val="TableParagraph"/>
              <w:spacing w:before="0"/>
              <w:ind w:right="67"/>
              <w:rPr>
                <w:sz w:val="16"/>
              </w:rPr>
            </w:pPr>
            <w:r>
              <w:rPr>
                <w:sz w:val="16"/>
              </w:rPr>
              <w:t>96.17</w:t>
            </w:r>
          </w:p>
        </w:tc>
        <w:tc>
          <w:tcPr>
            <w:tcW w:w="830" w:type="dxa"/>
          </w:tcPr>
          <w:p>
            <w:pPr>
              <w:pStyle w:val="TableParagraph"/>
              <w:spacing w:before="3"/>
              <w:jc w:val="left"/>
              <w:rPr>
                <w:sz w:val="17"/>
              </w:rPr>
            </w:pPr>
          </w:p>
          <w:p>
            <w:pPr>
              <w:pStyle w:val="TableParagraph"/>
              <w:spacing w:before="0"/>
              <w:ind w:right="66"/>
              <w:rPr>
                <w:sz w:val="16"/>
              </w:rPr>
            </w:pPr>
            <w:r>
              <w:rPr>
                <w:w w:val="95"/>
                <w:sz w:val="16"/>
              </w:rPr>
              <w:t>1.49</w:t>
            </w:r>
          </w:p>
        </w:tc>
        <w:tc>
          <w:tcPr>
            <w:tcW w:w="821" w:type="dxa"/>
          </w:tcPr>
          <w:p>
            <w:pPr>
              <w:pStyle w:val="TableParagraph"/>
              <w:spacing w:before="3"/>
              <w:jc w:val="left"/>
              <w:rPr>
                <w:sz w:val="17"/>
              </w:rPr>
            </w:pPr>
          </w:p>
          <w:p>
            <w:pPr>
              <w:pStyle w:val="TableParagraph"/>
              <w:spacing w:before="0"/>
              <w:ind w:right="66"/>
              <w:rPr>
                <w:sz w:val="16"/>
              </w:rPr>
            </w:pPr>
            <w:r>
              <w:rPr>
                <w:w w:val="95"/>
                <w:sz w:val="16"/>
              </w:rPr>
              <w:t>0.84</w:t>
            </w:r>
          </w:p>
        </w:tc>
        <w:tc>
          <w:tcPr>
            <w:tcW w:w="831" w:type="dxa"/>
          </w:tcPr>
          <w:p>
            <w:pPr>
              <w:pStyle w:val="TableParagraph"/>
              <w:spacing w:before="3"/>
              <w:jc w:val="left"/>
              <w:rPr>
                <w:sz w:val="17"/>
              </w:rPr>
            </w:pPr>
          </w:p>
          <w:p>
            <w:pPr>
              <w:pStyle w:val="TableParagraph"/>
              <w:spacing w:before="0"/>
              <w:ind w:right="66"/>
              <w:rPr>
                <w:sz w:val="16"/>
              </w:rPr>
            </w:pPr>
            <w:r>
              <w:rPr>
                <w:w w:val="95"/>
                <w:sz w:val="16"/>
              </w:rPr>
              <w:t>0.33</w:t>
            </w:r>
          </w:p>
        </w:tc>
        <w:tc>
          <w:tcPr>
            <w:tcW w:w="891" w:type="dxa"/>
          </w:tcPr>
          <w:p>
            <w:pPr>
              <w:pStyle w:val="TableParagraph"/>
              <w:spacing w:before="3"/>
              <w:jc w:val="left"/>
              <w:rPr>
                <w:sz w:val="17"/>
              </w:rPr>
            </w:pPr>
          </w:p>
          <w:p>
            <w:pPr>
              <w:pStyle w:val="TableParagraph"/>
              <w:spacing w:before="0"/>
              <w:ind w:right="198"/>
              <w:rPr>
                <w:sz w:val="16"/>
              </w:rPr>
            </w:pPr>
            <w:r>
              <w:rPr>
                <w:w w:val="99"/>
                <w:sz w:val="16"/>
              </w:rPr>
              <w:t>0</w:t>
            </w:r>
          </w:p>
        </w:tc>
      </w:tr>
      <w:tr>
        <w:trPr>
          <w:trHeight w:val="451" w:hRule="exact"/>
        </w:trPr>
        <w:tc>
          <w:tcPr>
            <w:tcW w:w="13270" w:type="dxa"/>
            <w:gridSpan w:val="20"/>
          </w:tcPr>
          <w:p>
            <w:pPr>
              <w:pStyle w:val="TableParagraph"/>
              <w:spacing w:before="50"/>
              <w:ind w:left="200"/>
              <w:jc w:val="left"/>
              <w:rPr>
                <w:sz w:val="16"/>
              </w:rPr>
            </w:pPr>
            <w:r>
              <w:rPr>
                <w:sz w:val="16"/>
              </w:rPr>
              <w:t>SWAT Mar 4 2014    VER 2012/Rev 622</w:t>
            </w:r>
          </w:p>
        </w:tc>
      </w:tr>
      <w:tr>
        <w:trPr>
          <w:trHeight w:val="449" w:hRule="exact"/>
        </w:trPr>
        <w:tc>
          <w:tcPr>
            <w:tcW w:w="13270" w:type="dxa"/>
            <w:gridSpan w:val="20"/>
          </w:tcPr>
          <w:p>
            <w:pPr>
              <w:pStyle w:val="TableParagraph"/>
              <w:spacing w:before="3"/>
              <w:jc w:val="left"/>
              <w:rPr>
                <w:sz w:val="17"/>
              </w:rPr>
            </w:pPr>
          </w:p>
          <w:p>
            <w:pPr>
              <w:pStyle w:val="TableParagraph"/>
              <w:spacing w:before="0"/>
              <w:ind w:left="353"/>
              <w:jc w:val="left"/>
              <w:rPr>
                <w:sz w:val="16"/>
              </w:rPr>
            </w:pPr>
            <w:r>
              <w:rPr>
                <w:sz w:val="16"/>
              </w:rPr>
              <w:t>General Input/Output section (file.cio):</w:t>
            </w:r>
          </w:p>
        </w:tc>
      </w:tr>
      <w:tr>
        <w:trPr>
          <w:trHeight w:val="391" w:hRule="exact"/>
        </w:trPr>
        <w:tc>
          <w:tcPr>
            <w:tcW w:w="13270" w:type="dxa"/>
            <w:gridSpan w:val="20"/>
          </w:tcPr>
          <w:p>
            <w:pPr>
              <w:pStyle w:val="TableParagraph"/>
              <w:spacing w:before="47"/>
              <w:ind w:left="353"/>
              <w:jc w:val="left"/>
              <w:rPr>
                <w:sz w:val="16"/>
              </w:rPr>
            </w:pPr>
            <w:r>
              <w:rPr>
                <w:sz w:val="16"/>
              </w:rPr>
              <w:t>10/28/2014 12:00:00 AM ARCGIS-SWAT interface AV</w:t>
            </w:r>
          </w:p>
        </w:tc>
      </w:tr>
      <w:tr>
        <w:trPr>
          <w:trHeight w:val="519" w:hRule="exact"/>
        </w:trPr>
        <w:tc>
          <w:tcPr>
            <w:tcW w:w="13270" w:type="dxa"/>
            <w:gridSpan w:val="20"/>
          </w:tcPr>
          <w:p>
            <w:pPr>
              <w:pStyle w:val="TableParagraph"/>
              <w:spacing w:before="141"/>
              <w:ind w:left="200" w:right="9557"/>
              <w:jc w:val="left"/>
              <w:rPr>
                <w:sz w:val="16"/>
              </w:rPr>
            </w:pPr>
            <w:r>
              <w:rPr>
                <w:sz w:val="16"/>
              </w:rPr>
              <w:t>Annual Summary for Watershed in year 3 of simulation</w:t>
            </w:r>
          </w:p>
        </w:tc>
      </w:tr>
      <w:tr>
        <w:trPr>
          <w:trHeight w:val="367" w:hRule="exact"/>
        </w:trPr>
        <w:tc>
          <w:tcPr>
            <w:tcW w:w="685" w:type="dxa"/>
          </w:tcPr>
          <w:p>
            <w:pPr>
              <w:pStyle w:val="TableParagraph"/>
              <w:spacing w:before="2"/>
              <w:jc w:val="left"/>
              <w:rPr>
                <w:sz w:val="15"/>
              </w:rPr>
            </w:pPr>
          </w:p>
          <w:p>
            <w:pPr>
              <w:pStyle w:val="TableParagraph"/>
              <w:spacing w:before="0"/>
              <w:ind w:right="107"/>
              <w:rPr>
                <w:sz w:val="16"/>
              </w:rPr>
            </w:pPr>
            <w:r>
              <w:rPr>
                <w:sz w:val="16"/>
              </w:rPr>
              <w:t>UNIT</w:t>
            </w:r>
          </w:p>
        </w:tc>
        <w:tc>
          <w:tcPr>
            <w:tcW w:w="716" w:type="dxa"/>
          </w:tcPr>
          <w:p>
            <w:pPr/>
          </w:p>
        </w:tc>
        <w:tc>
          <w:tcPr>
            <w:tcW w:w="718" w:type="dxa"/>
          </w:tcPr>
          <w:p>
            <w:pPr/>
          </w:p>
        </w:tc>
        <w:tc>
          <w:tcPr>
            <w:tcW w:w="554" w:type="dxa"/>
          </w:tcPr>
          <w:p>
            <w:pPr/>
          </w:p>
        </w:tc>
        <w:tc>
          <w:tcPr>
            <w:tcW w:w="538" w:type="dxa"/>
          </w:tcPr>
          <w:p>
            <w:pPr/>
          </w:p>
        </w:tc>
        <w:tc>
          <w:tcPr>
            <w:tcW w:w="669" w:type="dxa"/>
          </w:tcPr>
          <w:p>
            <w:pPr>
              <w:pStyle w:val="TableParagraph"/>
              <w:spacing w:before="2"/>
              <w:jc w:val="left"/>
              <w:rPr>
                <w:sz w:val="15"/>
              </w:rPr>
            </w:pPr>
          </w:p>
          <w:p>
            <w:pPr>
              <w:pStyle w:val="TableParagraph"/>
              <w:spacing w:before="0"/>
              <w:ind w:left="70"/>
              <w:jc w:val="left"/>
              <w:rPr>
                <w:sz w:val="16"/>
              </w:rPr>
            </w:pPr>
            <w:r>
              <w:rPr>
                <w:sz w:val="16"/>
              </w:rPr>
              <w:t>PERCO</w:t>
            </w:r>
          </w:p>
        </w:tc>
        <w:tc>
          <w:tcPr>
            <w:tcW w:w="535" w:type="dxa"/>
          </w:tcPr>
          <w:p>
            <w:pPr>
              <w:pStyle w:val="TableParagraph"/>
              <w:spacing w:before="2"/>
              <w:jc w:val="left"/>
              <w:rPr>
                <w:sz w:val="15"/>
              </w:rPr>
            </w:pPr>
          </w:p>
          <w:p>
            <w:pPr>
              <w:pStyle w:val="TableParagraph"/>
              <w:spacing w:before="0"/>
              <w:ind w:left="68"/>
              <w:jc w:val="left"/>
              <w:rPr>
                <w:sz w:val="16"/>
              </w:rPr>
            </w:pPr>
            <w:r>
              <w:rPr>
                <w:sz w:val="16"/>
              </w:rPr>
              <w:t>TILE</w:t>
            </w:r>
          </w:p>
        </w:tc>
        <w:tc>
          <w:tcPr>
            <w:tcW w:w="667" w:type="dxa"/>
          </w:tcPr>
          <w:p>
            <w:pPr/>
          </w:p>
        </w:tc>
        <w:tc>
          <w:tcPr>
            <w:tcW w:w="665" w:type="dxa"/>
          </w:tcPr>
          <w:p>
            <w:pPr/>
          </w:p>
        </w:tc>
        <w:tc>
          <w:tcPr>
            <w:tcW w:w="544" w:type="dxa"/>
          </w:tcPr>
          <w:p>
            <w:pPr/>
          </w:p>
        </w:tc>
        <w:tc>
          <w:tcPr>
            <w:tcW w:w="678" w:type="dxa"/>
          </w:tcPr>
          <w:p>
            <w:pPr>
              <w:pStyle w:val="TableParagraph"/>
              <w:spacing w:line="237" w:lineRule="auto" w:before="0"/>
              <w:ind w:left="67" w:right="128"/>
              <w:jc w:val="left"/>
              <w:rPr>
                <w:sz w:val="16"/>
              </w:rPr>
            </w:pPr>
            <w:r>
              <w:rPr>
                <w:sz w:val="16"/>
              </w:rPr>
              <w:t>WATE</w:t>
            </w:r>
            <w:r>
              <w:rPr>
                <w:w w:val="99"/>
                <w:sz w:val="16"/>
              </w:rPr>
              <w:t> </w:t>
            </w:r>
            <w:r>
              <w:rPr>
                <w:sz w:val="16"/>
              </w:rPr>
              <w:t>R</w:t>
            </w:r>
          </w:p>
        </w:tc>
        <w:tc>
          <w:tcPr>
            <w:tcW w:w="595" w:type="dxa"/>
          </w:tcPr>
          <w:p>
            <w:pPr>
              <w:pStyle w:val="TableParagraph"/>
              <w:spacing w:before="2"/>
              <w:jc w:val="left"/>
              <w:rPr>
                <w:sz w:val="15"/>
              </w:rPr>
            </w:pPr>
          </w:p>
          <w:p>
            <w:pPr>
              <w:pStyle w:val="TableParagraph"/>
              <w:spacing w:before="0"/>
              <w:ind w:left="71" w:right="158"/>
              <w:jc w:val="left"/>
              <w:rPr>
                <w:sz w:val="16"/>
              </w:rPr>
            </w:pPr>
            <w:r>
              <w:rPr>
                <w:sz w:val="16"/>
              </w:rPr>
              <w:t>SED</w:t>
            </w:r>
          </w:p>
        </w:tc>
        <w:tc>
          <w:tcPr>
            <w:tcW w:w="595" w:type="dxa"/>
          </w:tcPr>
          <w:p>
            <w:pPr>
              <w:pStyle w:val="TableParagraph"/>
              <w:spacing w:before="2"/>
              <w:jc w:val="left"/>
              <w:rPr>
                <w:sz w:val="15"/>
              </w:rPr>
            </w:pPr>
          </w:p>
          <w:p>
            <w:pPr>
              <w:pStyle w:val="TableParagraph"/>
              <w:spacing w:before="0"/>
              <w:ind w:left="66"/>
              <w:jc w:val="left"/>
              <w:rPr>
                <w:sz w:val="16"/>
              </w:rPr>
            </w:pPr>
            <w:r>
              <w:rPr>
                <w:sz w:val="16"/>
              </w:rPr>
              <w:t>NO3</w:t>
            </w:r>
          </w:p>
        </w:tc>
        <w:tc>
          <w:tcPr>
            <w:tcW w:w="545" w:type="dxa"/>
          </w:tcPr>
          <w:p>
            <w:pPr>
              <w:pStyle w:val="TableParagraph"/>
              <w:spacing w:before="2"/>
              <w:jc w:val="left"/>
              <w:rPr>
                <w:sz w:val="15"/>
              </w:rPr>
            </w:pPr>
          </w:p>
          <w:p>
            <w:pPr>
              <w:pStyle w:val="TableParagraph"/>
              <w:spacing w:before="0"/>
              <w:ind w:left="71"/>
              <w:jc w:val="left"/>
              <w:rPr>
                <w:sz w:val="16"/>
              </w:rPr>
            </w:pPr>
            <w:r>
              <w:rPr>
                <w:sz w:val="16"/>
              </w:rPr>
              <w:t>NO3</w:t>
            </w:r>
          </w:p>
        </w:tc>
        <w:tc>
          <w:tcPr>
            <w:tcW w:w="598" w:type="dxa"/>
          </w:tcPr>
          <w:p>
            <w:pPr>
              <w:pStyle w:val="TableParagraph"/>
              <w:spacing w:before="2"/>
              <w:jc w:val="left"/>
              <w:rPr>
                <w:sz w:val="15"/>
              </w:rPr>
            </w:pPr>
          </w:p>
          <w:p>
            <w:pPr>
              <w:pStyle w:val="TableParagraph"/>
              <w:spacing w:before="0"/>
              <w:ind w:left="68"/>
              <w:jc w:val="left"/>
              <w:rPr>
                <w:sz w:val="16"/>
              </w:rPr>
            </w:pPr>
            <w:r>
              <w:rPr>
                <w:sz w:val="16"/>
              </w:rPr>
              <w:t>NO3</w:t>
            </w:r>
          </w:p>
        </w:tc>
        <w:tc>
          <w:tcPr>
            <w:tcW w:w="593" w:type="dxa"/>
          </w:tcPr>
          <w:p>
            <w:pPr>
              <w:pStyle w:val="TableParagraph"/>
              <w:spacing w:before="2"/>
              <w:jc w:val="left"/>
              <w:rPr>
                <w:sz w:val="15"/>
              </w:rPr>
            </w:pPr>
          </w:p>
          <w:p>
            <w:pPr>
              <w:pStyle w:val="TableParagraph"/>
              <w:spacing w:before="0"/>
              <w:ind w:left="71"/>
              <w:jc w:val="left"/>
              <w:rPr>
                <w:sz w:val="16"/>
              </w:rPr>
            </w:pPr>
            <w:r>
              <w:rPr>
                <w:sz w:val="16"/>
              </w:rPr>
              <w:t>NO3</w:t>
            </w:r>
          </w:p>
        </w:tc>
        <w:tc>
          <w:tcPr>
            <w:tcW w:w="830" w:type="dxa"/>
          </w:tcPr>
          <w:p>
            <w:pPr>
              <w:pStyle w:val="TableParagraph"/>
              <w:spacing w:before="2"/>
              <w:jc w:val="left"/>
              <w:rPr>
                <w:sz w:val="15"/>
              </w:rPr>
            </w:pPr>
          </w:p>
          <w:p>
            <w:pPr>
              <w:pStyle w:val="TableParagraph"/>
              <w:spacing w:before="0"/>
              <w:ind w:left="68"/>
              <w:jc w:val="left"/>
              <w:rPr>
                <w:sz w:val="16"/>
              </w:rPr>
            </w:pPr>
            <w:r>
              <w:rPr>
                <w:w w:val="98"/>
                <w:sz w:val="16"/>
              </w:rPr>
              <w:t>N</w:t>
            </w:r>
          </w:p>
        </w:tc>
        <w:tc>
          <w:tcPr>
            <w:tcW w:w="821" w:type="dxa"/>
          </w:tcPr>
          <w:p>
            <w:pPr>
              <w:pStyle w:val="TableParagraph"/>
              <w:spacing w:before="2"/>
              <w:jc w:val="left"/>
              <w:rPr>
                <w:sz w:val="15"/>
              </w:rPr>
            </w:pPr>
          </w:p>
          <w:p>
            <w:pPr>
              <w:pStyle w:val="TableParagraph"/>
              <w:spacing w:before="0"/>
              <w:ind w:left="68"/>
              <w:jc w:val="left"/>
              <w:rPr>
                <w:sz w:val="16"/>
              </w:rPr>
            </w:pPr>
            <w:r>
              <w:rPr>
                <w:w w:val="98"/>
                <w:sz w:val="16"/>
              </w:rPr>
              <w:t>P</w:t>
            </w:r>
          </w:p>
        </w:tc>
        <w:tc>
          <w:tcPr>
            <w:tcW w:w="831" w:type="dxa"/>
          </w:tcPr>
          <w:p>
            <w:pPr>
              <w:pStyle w:val="TableParagraph"/>
              <w:spacing w:before="2"/>
              <w:jc w:val="left"/>
              <w:rPr>
                <w:sz w:val="15"/>
              </w:rPr>
            </w:pPr>
          </w:p>
          <w:p>
            <w:pPr>
              <w:pStyle w:val="TableParagraph"/>
              <w:spacing w:before="0"/>
              <w:ind w:left="68"/>
              <w:jc w:val="left"/>
              <w:rPr>
                <w:sz w:val="16"/>
              </w:rPr>
            </w:pPr>
            <w:r>
              <w:rPr>
                <w:w w:val="98"/>
                <w:sz w:val="16"/>
              </w:rPr>
              <w:t>P</w:t>
            </w:r>
          </w:p>
        </w:tc>
        <w:tc>
          <w:tcPr>
            <w:tcW w:w="891" w:type="dxa"/>
          </w:tcPr>
          <w:p>
            <w:pPr/>
          </w:p>
        </w:tc>
      </w:tr>
      <w:tr>
        <w:trPr>
          <w:trHeight w:val="370" w:hRule="exact"/>
        </w:trPr>
        <w:tc>
          <w:tcPr>
            <w:tcW w:w="685" w:type="dxa"/>
          </w:tcPr>
          <w:p>
            <w:pPr>
              <w:pStyle w:val="TableParagraph"/>
              <w:spacing w:before="4"/>
              <w:jc w:val="left"/>
              <w:rPr>
                <w:sz w:val="15"/>
              </w:rPr>
            </w:pPr>
          </w:p>
          <w:p>
            <w:pPr>
              <w:pStyle w:val="TableParagraph"/>
              <w:spacing w:before="1"/>
              <w:ind w:right="93"/>
              <w:rPr>
                <w:sz w:val="16"/>
              </w:rPr>
            </w:pPr>
            <w:r>
              <w:rPr>
                <w:w w:val="95"/>
                <w:sz w:val="16"/>
              </w:rPr>
              <w:t>TIME</w:t>
            </w:r>
          </w:p>
        </w:tc>
        <w:tc>
          <w:tcPr>
            <w:tcW w:w="716" w:type="dxa"/>
          </w:tcPr>
          <w:p>
            <w:pPr>
              <w:pStyle w:val="TableParagraph"/>
              <w:spacing w:before="4"/>
              <w:jc w:val="left"/>
              <w:rPr>
                <w:sz w:val="15"/>
              </w:rPr>
            </w:pPr>
          </w:p>
          <w:p>
            <w:pPr>
              <w:pStyle w:val="TableParagraph"/>
              <w:spacing w:before="1"/>
              <w:ind w:left="67"/>
              <w:jc w:val="left"/>
              <w:rPr>
                <w:sz w:val="16"/>
              </w:rPr>
            </w:pPr>
            <w:r>
              <w:rPr>
                <w:sz w:val="16"/>
              </w:rPr>
              <w:t>PREC</w:t>
            </w:r>
          </w:p>
        </w:tc>
        <w:tc>
          <w:tcPr>
            <w:tcW w:w="718" w:type="dxa"/>
          </w:tcPr>
          <w:p>
            <w:pPr>
              <w:pStyle w:val="TableParagraph"/>
              <w:spacing w:before="4"/>
              <w:jc w:val="left"/>
              <w:rPr>
                <w:sz w:val="15"/>
              </w:rPr>
            </w:pPr>
          </w:p>
          <w:p>
            <w:pPr>
              <w:pStyle w:val="TableParagraph"/>
              <w:spacing w:before="1"/>
              <w:ind w:left="71"/>
              <w:jc w:val="left"/>
              <w:rPr>
                <w:sz w:val="16"/>
              </w:rPr>
            </w:pPr>
            <w:r>
              <w:rPr>
                <w:sz w:val="16"/>
              </w:rPr>
              <w:t>SURQ</w:t>
            </w:r>
          </w:p>
        </w:tc>
        <w:tc>
          <w:tcPr>
            <w:tcW w:w="554" w:type="dxa"/>
          </w:tcPr>
          <w:p>
            <w:pPr>
              <w:pStyle w:val="TableParagraph"/>
              <w:spacing w:line="174" w:lineRule="exact" w:before="0"/>
              <w:ind w:left="68"/>
              <w:jc w:val="left"/>
              <w:rPr>
                <w:sz w:val="16"/>
              </w:rPr>
            </w:pPr>
            <w:r>
              <w:rPr>
                <w:sz w:val="16"/>
              </w:rPr>
              <w:t>LAT</w:t>
            </w:r>
          </w:p>
          <w:p>
            <w:pPr>
              <w:pStyle w:val="TableParagraph"/>
              <w:spacing w:before="3"/>
              <w:ind w:left="68"/>
              <w:jc w:val="left"/>
              <w:rPr>
                <w:sz w:val="16"/>
              </w:rPr>
            </w:pPr>
            <w:r>
              <w:rPr>
                <w:w w:val="98"/>
                <w:sz w:val="16"/>
              </w:rPr>
              <w:t>Q</w:t>
            </w:r>
          </w:p>
        </w:tc>
        <w:tc>
          <w:tcPr>
            <w:tcW w:w="538" w:type="dxa"/>
          </w:tcPr>
          <w:p>
            <w:pPr>
              <w:pStyle w:val="TableParagraph"/>
              <w:spacing w:before="4"/>
              <w:jc w:val="left"/>
              <w:rPr>
                <w:sz w:val="15"/>
              </w:rPr>
            </w:pPr>
          </w:p>
          <w:p>
            <w:pPr>
              <w:pStyle w:val="TableParagraph"/>
              <w:spacing w:before="1"/>
              <w:ind w:right="87"/>
              <w:rPr>
                <w:sz w:val="16"/>
              </w:rPr>
            </w:pPr>
            <w:r>
              <w:rPr>
                <w:w w:val="95"/>
                <w:sz w:val="16"/>
              </w:rPr>
              <w:t>GWQ</w:t>
            </w:r>
          </w:p>
        </w:tc>
        <w:tc>
          <w:tcPr>
            <w:tcW w:w="669" w:type="dxa"/>
          </w:tcPr>
          <w:p>
            <w:pPr>
              <w:pStyle w:val="TableParagraph"/>
              <w:spacing w:before="4"/>
              <w:jc w:val="left"/>
              <w:rPr>
                <w:sz w:val="15"/>
              </w:rPr>
            </w:pPr>
          </w:p>
          <w:p>
            <w:pPr>
              <w:pStyle w:val="TableParagraph"/>
              <w:spacing w:before="1"/>
              <w:ind w:left="70"/>
              <w:jc w:val="left"/>
              <w:rPr>
                <w:sz w:val="16"/>
              </w:rPr>
            </w:pPr>
            <w:r>
              <w:rPr>
                <w:sz w:val="16"/>
              </w:rPr>
              <w:t>LATE</w:t>
            </w:r>
          </w:p>
        </w:tc>
        <w:tc>
          <w:tcPr>
            <w:tcW w:w="535" w:type="dxa"/>
          </w:tcPr>
          <w:p>
            <w:pPr>
              <w:pStyle w:val="TableParagraph"/>
              <w:spacing w:before="4"/>
              <w:jc w:val="left"/>
              <w:rPr>
                <w:sz w:val="15"/>
              </w:rPr>
            </w:pPr>
          </w:p>
          <w:p>
            <w:pPr>
              <w:pStyle w:val="TableParagraph"/>
              <w:spacing w:before="1"/>
              <w:ind w:left="68"/>
              <w:jc w:val="left"/>
              <w:rPr>
                <w:sz w:val="16"/>
              </w:rPr>
            </w:pPr>
            <w:r>
              <w:rPr>
                <w:w w:val="98"/>
                <w:sz w:val="16"/>
              </w:rPr>
              <w:t>Q</w:t>
            </w:r>
          </w:p>
        </w:tc>
        <w:tc>
          <w:tcPr>
            <w:tcW w:w="667" w:type="dxa"/>
          </w:tcPr>
          <w:p>
            <w:pPr>
              <w:pStyle w:val="TableParagraph"/>
              <w:spacing w:before="4"/>
              <w:jc w:val="left"/>
              <w:rPr>
                <w:sz w:val="15"/>
              </w:rPr>
            </w:pPr>
          </w:p>
          <w:p>
            <w:pPr>
              <w:pStyle w:val="TableParagraph"/>
              <w:spacing w:before="1"/>
              <w:ind w:left="70"/>
              <w:jc w:val="left"/>
              <w:rPr>
                <w:sz w:val="16"/>
              </w:rPr>
            </w:pPr>
            <w:r>
              <w:rPr>
                <w:sz w:val="16"/>
              </w:rPr>
              <w:t>SW</w:t>
            </w:r>
          </w:p>
        </w:tc>
        <w:tc>
          <w:tcPr>
            <w:tcW w:w="665" w:type="dxa"/>
          </w:tcPr>
          <w:p>
            <w:pPr>
              <w:pStyle w:val="TableParagraph"/>
              <w:spacing w:before="4"/>
              <w:jc w:val="left"/>
              <w:rPr>
                <w:sz w:val="15"/>
              </w:rPr>
            </w:pPr>
          </w:p>
          <w:p>
            <w:pPr>
              <w:pStyle w:val="TableParagraph"/>
              <w:spacing w:before="1"/>
              <w:ind w:left="66"/>
              <w:jc w:val="left"/>
              <w:rPr>
                <w:sz w:val="16"/>
              </w:rPr>
            </w:pPr>
            <w:r>
              <w:rPr>
                <w:sz w:val="16"/>
              </w:rPr>
              <w:t>ET</w:t>
            </w:r>
          </w:p>
        </w:tc>
        <w:tc>
          <w:tcPr>
            <w:tcW w:w="544" w:type="dxa"/>
          </w:tcPr>
          <w:p>
            <w:pPr>
              <w:pStyle w:val="TableParagraph"/>
              <w:spacing w:before="4"/>
              <w:jc w:val="left"/>
              <w:rPr>
                <w:sz w:val="15"/>
              </w:rPr>
            </w:pPr>
          </w:p>
          <w:p>
            <w:pPr>
              <w:pStyle w:val="TableParagraph"/>
              <w:spacing w:before="1"/>
              <w:ind w:left="68"/>
              <w:jc w:val="left"/>
              <w:rPr>
                <w:sz w:val="16"/>
              </w:rPr>
            </w:pPr>
            <w:r>
              <w:rPr>
                <w:sz w:val="16"/>
              </w:rPr>
              <w:t>PET</w:t>
            </w:r>
          </w:p>
        </w:tc>
        <w:tc>
          <w:tcPr>
            <w:tcW w:w="678" w:type="dxa"/>
          </w:tcPr>
          <w:p>
            <w:pPr>
              <w:pStyle w:val="TableParagraph"/>
              <w:spacing w:before="4"/>
              <w:jc w:val="left"/>
              <w:rPr>
                <w:sz w:val="15"/>
              </w:rPr>
            </w:pPr>
          </w:p>
          <w:p>
            <w:pPr>
              <w:pStyle w:val="TableParagraph"/>
              <w:spacing w:before="1"/>
              <w:ind w:left="67"/>
              <w:jc w:val="left"/>
              <w:rPr>
                <w:sz w:val="16"/>
              </w:rPr>
            </w:pPr>
            <w:r>
              <w:rPr>
                <w:sz w:val="16"/>
              </w:rPr>
              <w:t>YIELD</w:t>
            </w:r>
          </w:p>
        </w:tc>
        <w:tc>
          <w:tcPr>
            <w:tcW w:w="595" w:type="dxa"/>
          </w:tcPr>
          <w:p>
            <w:pPr>
              <w:pStyle w:val="TableParagraph"/>
              <w:spacing w:line="174" w:lineRule="exact" w:before="0"/>
              <w:ind w:left="71"/>
              <w:jc w:val="left"/>
              <w:rPr>
                <w:sz w:val="16"/>
              </w:rPr>
            </w:pPr>
            <w:r>
              <w:rPr>
                <w:sz w:val="16"/>
              </w:rPr>
              <w:t>YIEL</w:t>
            </w:r>
          </w:p>
          <w:p>
            <w:pPr>
              <w:pStyle w:val="TableParagraph"/>
              <w:spacing w:before="3"/>
              <w:ind w:left="71"/>
              <w:jc w:val="left"/>
              <w:rPr>
                <w:sz w:val="16"/>
              </w:rPr>
            </w:pPr>
            <w:r>
              <w:rPr>
                <w:w w:val="98"/>
                <w:sz w:val="16"/>
              </w:rPr>
              <w:t>D</w:t>
            </w:r>
          </w:p>
        </w:tc>
        <w:tc>
          <w:tcPr>
            <w:tcW w:w="595" w:type="dxa"/>
          </w:tcPr>
          <w:p>
            <w:pPr>
              <w:pStyle w:val="TableParagraph"/>
              <w:spacing w:before="4"/>
              <w:jc w:val="left"/>
              <w:rPr>
                <w:sz w:val="15"/>
              </w:rPr>
            </w:pPr>
          </w:p>
          <w:p>
            <w:pPr>
              <w:pStyle w:val="TableParagraph"/>
              <w:spacing w:before="1"/>
              <w:ind w:left="66"/>
              <w:jc w:val="left"/>
              <w:rPr>
                <w:sz w:val="16"/>
              </w:rPr>
            </w:pPr>
            <w:r>
              <w:rPr>
                <w:sz w:val="16"/>
              </w:rPr>
              <w:t>SURQ</w:t>
            </w:r>
          </w:p>
        </w:tc>
        <w:tc>
          <w:tcPr>
            <w:tcW w:w="545" w:type="dxa"/>
          </w:tcPr>
          <w:p>
            <w:pPr>
              <w:pStyle w:val="TableParagraph"/>
              <w:spacing w:line="174" w:lineRule="exact" w:before="0"/>
              <w:ind w:left="71"/>
              <w:jc w:val="left"/>
              <w:rPr>
                <w:sz w:val="16"/>
              </w:rPr>
            </w:pPr>
            <w:r>
              <w:rPr>
                <w:sz w:val="16"/>
              </w:rPr>
              <w:t>LAT</w:t>
            </w:r>
          </w:p>
          <w:p>
            <w:pPr>
              <w:pStyle w:val="TableParagraph"/>
              <w:spacing w:before="3"/>
              <w:ind w:left="71"/>
              <w:jc w:val="left"/>
              <w:rPr>
                <w:sz w:val="16"/>
              </w:rPr>
            </w:pPr>
            <w:r>
              <w:rPr>
                <w:w w:val="98"/>
                <w:sz w:val="16"/>
              </w:rPr>
              <w:t>Q</w:t>
            </w:r>
          </w:p>
        </w:tc>
        <w:tc>
          <w:tcPr>
            <w:tcW w:w="598" w:type="dxa"/>
          </w:tcPr>
          <w:p>
            <w:pPr>
              <w:pStyle w:val="TableParagraph"/>
              <w:spacing w:before="4"/>
              <w:jc w:val="left"/>
              <w:rPr>
                <w:sz w:val="15"/>
              </w:rPr>
            </w:pPr>
          </w:p>
          <w:p>
            <w:pPr>
              <w:pStyle w:val="TableParagraph"/>
              <w:spacing w:before="1"/>
              <w:ind w:left="68"/>
              <w:jc w:val="left"/>
              <w:rPr>
                <w:sz w:val="16"/>
              </w:rPr>
            </w:pPr>
            <w:r>
              <w:rPr>
                <w:sz w:val="16"/>
              </w:rPr>
              <w:t>PERC</w:t>
            </w:r>
          </w:p>
        </w:tc>
        <w:tc>
          <w:tcPr>
            <w:tcW w:w="593" w:type="dxa"/>
          </w:tcPr>
          <w:p>
            <w:pPr>
              <w:pStyle w:val="TableParagraph"/>
              <w:spacing w:before="4"/>
              <w:jc w:val="left"/>
              <w:rPr>
                <w:sz w:val="15"/>
              </w:rPr>
            </w:pPr>
          </w:p>
          <w:p>
            <w:pPr>
              <w:pStyle w:val="TableParagraph"/>
              <w:spacing w:before="1"/>
              <w:ind w:left="71"/>
              <w:jc w:val="left"/>
              <w:rPr>
                <w:sz w:val="16"/>
              </w:rPr>
            </w:pPr>
            <w:r>
              <w:rPr>
                <w:sz w:val="16"/>
              </w:rPr>
              <w:t>CROP</w:t>
            </w:r>
          </w:p>
        </w:tc>
        <w:tc>
          <w:tcPr>
            <w:tcW w:w="830" w:type="dxa"/>
          </w:tcPr>
          <w:p>
            <w:pPr>
              <w:pStyle w:val="TableParagraph"/>
              <w:spacing w:line="174" w:lineRule="exact" w:before="0"/>
              <w:ind w:left="68" w:right="84"/>
              <w:jc w:val="left"/>
              <w:rPr>
                <w:sz w:val="16"/>
              </w:rPr>
            </w:pPr>
            <w:r>
              <w:rPr>
                <w:sz w:val="16"/>
              </w:rPr>
              <w:t>ORGANI</w:t>
            </w:r>
          </w:p>
          <w:p>
            <w:pPr>
              <w:pStyle w:val="TableParagraph"/>
              <w:spacing w:before="3"/>
              <w:ind w:left="68"/>
              <w:jc w:val="left"/>
              <w:rPr>
                <w:sz w:val="16"/>
              </w:rPr>
            </w:pPr>
            <w:r>
              <w:rPr>
                <w:w w:val="99"/>
                <w:sz w:val="16"/>
              </w:rPr>
              <w:t>C</w:t>
            </w:r>
          </w:p>
        </w:tc>
        <w:tc>
          <w:tcPr>
            <w:tcW w:w="821" w:type="dxa"/>
          </w:tcPr>
          <w:p>
            <w:pPr>
              <w:pStyle w:val="TableParagraph"/>
              <w:spacing w:line="174" w:lineRule="exact" w:before="0"/>
              <w:ind w:left="68" w:right="84"/>
              <w:jc w:val="left"/>
              <w:rPr>
                <w:sz w:val="16"/>
              </w:rPr>
            </w:pPr>
            <w:r>
              <w:rPr>
                <w:sz w:val="16"/>
              </w:rPr>
              <w:t>SOLUBL</w:t>
            </w:r>
          </w:p>
          <w:p>
            <w:pPr>
              <w:pStyle w:val="TableParagraph"/>
              <w:spacing w:before="3"/>
              <w:ind w:left="68"/>
              <w:jc w:val="left"/>
              <w:rPr>
                <w:sz w:val="16"/>
              </w:rPr>
            </w:pPr>
            <w:r>
              <w:rPr>
                <w:w w:val="99"/>
                <w:sz w:val="16"/>
              </w:rPr>
              <w:t>E</w:t>
            </w:r>
          </w:p>
        </w:tc>
        <w:tc>
          <w:tcPr>
            <w:tcW w:w="831" w:type="dxa"/>
          </w:tcPr>
          <w:p>
            <w:pPr>
              <w:pStyle w:val="TableParagraph"/>
              <w:spacing w:line="174" w:lineRule="exact" w:before="0"/>
              <w:ind w:left="68" w:right="84"/>
              <w:jc w:val="left"/>
              <w:rPr>
                <w:sz w:val="16"/>
              </w:rPr>
            </w:pPr>
            <w:r>
              <w:rPr>
                <w:sz w:val="16"/>
              </w:rPr>
              <w:t>ORGANI</w:t>
            </w:r>
          </w:p>
          <w:p>
            <w:pPr>
              <w:pStyle w:val="TableParagraph"/>
              <w:spacing w:before="3"/>
              <w:ind w:left="68"/>
              <w:jc w:val="left"/>
              <w:rPr>
                <w:sz w:val="16"/>
              </w:rPr>
            </w:pPr>
            <w:r>
              <w:rPr>
                <w:w w:val="99"/>
                <w:sz w:val="16"/>
              </w:rPr>
              <w:t>C</w:t>
            </w:r>
          </w:p>
        </w:tc>
        <w:tc>
          <w:tcPr>
            <w:tcW w:w="891" w:type="dxa"/>
          </w:tcPr>
          <w:p>
            <w:pPr>
              <w:pStyle w:val="TableParagraph"/>
              <w:spacing w:line="174" w:lineRule="exact" w:before="0"/>
              <w:ind w:left="68"/>
              <w:jc w:val="left"/>
              <w:rPr>
                <w:sz w:val="16"/>
              </w:rPr>
            </w:pPr>
            <w:r>
              <w:rPr>
                <w:sz w:val="16"/>
              </w:rPr>
              <w:t>TILENO</w:t>
            </w:r>
          </w:p>
          <w:p>
            <w:pPr>
              <w:pStyle w:val="TableParagraph"/>
              <w:spacing w:before="3"/>
              <w:ind w:left="68"/>
              <w:jc w:val="left"/>
              <w:rPr>
                <w:sz w:val="16"/>
              </w:rPr>
            </w:pPr>
            <w:r>
              <w:rPr>
                <w:w w:val="99"/>
                <w:sz w:val="16"/>
              </w:rPr>
              <w:t>3</w:t>
            </w:r>
          </w:p>
        </w:tc>
      </w:tr>
      <w:tr>
        <w:trPr>
          <w:trHeight w:val="425" w:hRule="exact"/>
        </w:trPr>
        <w:tc>
          <w:tcPr>
            <w:tcW w:w="685" w:type="dxa"/>
          </w:tcPr>
          <w:p>
            <w:pPr/>
          </w:p>
        </w:tc>
        <w:tc>
          <w:tcPr>
            <w:tcW w:w="716" w:type="dxa"/>
          </w:tcPr>
          <w:p>
            <w:pPr>
              <w:pStyle w:val="TableParagraph"/>
              <w:spacing w:before="11"/>
              <w:jc w:val="left"/>
              <w:rPr>
                <w:sz w:val="14"/>
              </w:rPr>
            </w:pPr>
          </w:p>
          <w:p>
            <w:pPr>
              <w:pStyle w:val="TableParagraph"/>
              <w:spacing w:before="0"/>
              <w:ind w:left="67"/>
              <w:jc w:val="left"/>
              <w:rPr>
                <w:sz w:val="16"/>
              </w:rPr>
            </w:pPr>
            <w:r>
              <w:rPr>
                <w:sz w:val="16"/>
              </w:rPr>
              <w:t>(mm)</w:t>
            </w:r>
          </w:p>
        </w:tc>
        <w:tc>
          <w:tcPr>
            <w:tcW w:w="718" w:type="dxa"/>
          </w:tcPr>
          <w:p>
            <w:pPr>
              <w:pStyle w:val="TableParagraph"/>
              <w:spacing w:before="11"/>
              <w:jc w:val="left"/>
              <w:rPr>
                <w:sz w:val="14"/>
              </w:rPr>
            </w:pPr>
          </w:p>
          <w:p>
            <w:pPr>
              <w:pStyle w:val="TableParagraph"/>
              <w:spacing w:before="0"/>
              <w:ind w:left="71"/>
              <w:jc w:val="left"/>
              <w:rPr>
                <w:sz w:val="16"/>
              </w:rPr>
            </w:pPr>
            <w:r>
              <w:rPr>
                <w:sz w:val="16"/>
              </w:rPr>
              <w:t>(mm)</w:t>
            </w:r>
          </w:p>
        </w:tc>
        <w:tc>
          <w:tcPr>
            <w:tcW w:w="554" w:type="dxa"/>
          </w:tcPr>
          <w:p>
            <w:pPr>
              <w:pStyle w:val="TableParagraph"/>
              <w:spacing w:before="11"/>
              <w:jc w:val="left"/>
              <w:rPr>
                <w:sz w:val="14"/>
              </w:rPr>
            </w:pPr>
          </w:p>
          <w:p>
            <w:pPr>
              <w:pStyle w:val="TableParagraph"/>
              <w:spacing w:before="0"/>
              <w:ind w:left="68"/>
              <w:jc w:val="left"/>
              <w:rPr>
                <w:sz w:val="16"/>
              </w:rPr>
            </w:pPr>
            <w:r>
              <w:rPr>
                <w:sz w:val="16"/>
              </w:rPr>
              <w:t>(mm)</w:t>
            </w:r>
          </w:p>
        </w:tc>
        <w:tc>
          <w:tcPr>
            <w:tcW w:w="538" w:type="dxa"/>
          </w:tcPr>
          <w:p>
            <w:pPr>
              <w:pStyle w:val="TableParagraph"/>
              <w:spacing w:before="11"/>
              <w:jc w:val="left"/>
              <w:rPr>
                <w:sz w:val="14"/>
              </w:rPr>
            </w:pPr>
          </w:p>
          <w:p>
            <w:pPr>
              <w:pStyle w:val="TableParagraph"/>
              <w:spacing w:before="0"/>
              <w:ind w:right="114"/>
              <w:rPr>
                <w:sz w:val="16"/>
              </w:rPr>
            </w:pPr>
            <w:r>
              <w:rPr>
                <w:w w:val="95"/>
                <w:sz w:val="16"/>
              </w:rPr>
              <w:t>(mm)</w:t>
            </w:r>
          </w:p>
        </w:tc>
        <w:tc>
          <w:tcPr>
            <w:tcW w:w="669" w:type="dxa"/>
          </w:tcPr>
          <w:p>
            <w:pPr>
              <w:pStyle w:val="TableParagraph"/>
              <w:spacing w:before="11"/>
              <w:jc w:val="left"/>
              <w:rPr>
                <w:sz w:val="14"/>
              </w:rPr>
            </w:pPr>
          </w:p>
          <w:p>
            <w:pPr>
              <w:pStyle w:val="TableParagraph"/>
              <w:spacing w:before="0"/>
              <w:ind w:left="70"/>
              <w:jc w:val="left"/>
              <w:rPr>
                <w:sz w:val="16"/>
              </w:rPr>
            </w:pPr>
            <w:r>
              <w:rPr>
                <w:sz w:val="16"/>
              </w:rPr>
              <w:t>(mm)</w:t>
            </w:r>
          </w:p>
        </w:tc>
        <w:tc>
          <w:tcPr>
            <w:tcW w:w="535" w:type="dxa"/>
          </w:tcPr>
          <w:p>
            <w:pPr>
              <w:pStyle w:val="TableParagraph"/>
              <w:spacing w:before="11"/>
              <w:jc w:val="left"/>
              <w:rPr>
                <w:sz w:val="14"/>
              </w:rPr>
            </w:pPr>
          </w:p>
          <w:p>
            <w:pPr>
              <w:pStyle w:val="TableParagraph"/>
              <w:spacing w:before="0"/>
              <w:ind w:left="68"/>
              <w:jc w:val="left"/>
              <w:rPr>
                <w:sz w:val="16"/>
              </w:rPr>
            </w:pPr>
            <w:r>
              <w:rPr>
                <w:sz w:val="16"/>
              </w:rPr>
              <w:t>(mm)</w:t>
            </w:r>
          </w:p>
        </w:tc>
        <w:tc>
          <w:tcPr>
            <w:tcW w:w="667" w:type="dxa"/>
          </w:tcPr>
          <w:p>
            <w:pPr>
              <w:pStyle w:val="TableParagraph"/>
              <w:spacing w:before="11"/>
              <w:jc w:val="left"/>
              <w:rPr>
                <w:sz w:val="14"/>
              </w:rPr>
            </w:pPr>
          </w:p>
          <w:p>
            <w:pPr>
              <w:pStyle w:val="TableParagraph"/>
              <w:spacing w:before="0"/>
              <w:ind w:left="70"/>
              <w:jc w:val="left"/>
              <w:rPr>
                <w:sz w:val="16"/>
              </w:rPr>
            </w:pPr>
            <w:r>
              <w:rPr>
                <w:sz w:val="16"/>
              </w:rPr>
              <w:t>(mm)</w:t>
            </w:r>
          </w:p>
        </w:tc>
        <w:tc>
          <w:tcPr>
            <w:tcW w:w="665" w:type="dxa"/>
          </w:tcPr>
          <w:p>
            <w:pPr>
              <w:pStyle w:val="TableParagraph"/>
              <w:spacing w:before="11"/>
              <w:jc w:val="left"/>
              <w:rPr>
                <w:sz w:val="14"/>
              </w:rPr>
            </w:pPr>
          </w:p>
          <w:p>
            <w:pPr>
              <w:pStyle w:val="TableParagraph"/>
              <w:spacing w:before="0"/>
              <w:ind w:left="66"/>
              <w:jc w:val="left"/>
              <w:rPr>
                <w:sz w:val="16"/>
              </w:rPr>
            </w:pPr>
            <w:r>
              <w:rPr>
                <w:sz w:val="16"/>
              </w:rPr>
              <w:t>(mm)</w:t>
            </w:r>
          </w:p>
        </w:tc>
        <w:tc>
          <w:tcPr>
            <w:tcW w:w="544" w:type="dxa"/>
          </w:tcPr>
          <w:p>
            <w:pPr>
              <w:pStyle w:val="TableParagraph"/>
              <w:spacing w:before="11"/>
              <w:jc w:val="left"/>
              <w:rPr>
                <w:sz w:val="14"/>
              </w:rPr>
            </w:pPr>
          </w:p>
          <w:p>
            <w:pPr>
              <w:pStyle w:val="TableParagraph"/>
              <w:spacing w:before="0"/>
              <w:ind w:left="68"/>
              <w:jc w:val="left"/>
              <w:rPr>
                <w:sz w:val="16"/>
              </w:rPr>
            </w:pPr>
            <w:r>
              <w:rPr>
                <w:sz w:val="16"/>
              </w:rPr>
              <w:t>(mm)</w:t>
            </w:r>
          </w:p>
        </w:tc>
        <w:tc>
          <w:tcPr>
            <w:tcW w:w="678" w:type="dxa"/>
          </w:tcPr>
          <w:p>
            <w:pPr>
              <w:pStyle w:val="TableParagraph"/>
              <w:spacing w:before="11"/>
              <w:jc w:val="left"/>
              <w:rPr>
                <w:sz w:val="14"/>
              </w:rPr>
            </w:pPr>
          </w:p>
          <w:p>
            <w:pPr>
              <w:pStyle w:val="TableParagraph"/>
              <w:spacing w:before="0"/>
              <w:ind w:left="67"/>
              <w:jc w:val="left"/>
              <w:rPr>
                <w:sz w:val="16"/>
              </w:rPr>
            </w:pPr>
            <w:r>
              <w:rPr>
                <w:sz w:val="16"/>
              </w:rPr>
              <w:t>(mm)</w:t>
            </w:r>
          </w:p>
        </w:tc>
        <w:tc>
          <w:tcPr>
            <w:tcW w:w="595" w:type="dxa"/>
          </w:tcPr>
          <w:p>
            <w:pPr>
              <w:pStyle w:val="TableParagraph"/>
              <w:spacing w:before="11"/>
              <w:jc w:val="left"/>
              <w:rPr>
                <w:sz w:val="14"/>
              </w:rPr>
            </w:pPr>
          </w:p>
          <w:p>
            <w:pPr>
              <w:pStyle w:val="TableParagraph"/>
              <w:spacing w:before="0"/>
              <w:ind w:left="71"/>
              <w:jc w:val="left"/>
              <w:rPr>
                <w:sz w:val="16"/>
              </w:rPr>
            </w:pPr>
            <w:r>
              <w:rPr>
                <w:sz w:val="16"/>
              </w:rPr>
              <w:t>(mm)</w:t>
            </w:r>
          </w:p>
        </w:tc>
        <w:tc>
          <w:tcPr>
            <w:tcW w:w="595" w:type="dxa"/>
          </w:tcPr>
          <w:p>
            <w:pPr>
              <w:pStyle w:val="TableParagraph"/>
              <w:spacing w:before="11"/>
              <w:jc w:val="left"/>
              <w:rPr>
                <w:sz w:val="14"/>
              </w:rPr>
            </w:pPr>
          </w:p>
          <w:p>
            <w:pPr>
              <w:pStyle w:val="TableParagraph"/>
              <w:spacing w:before="0"/>
              <w:ind w:left="66"/>
              <w:jc w:val="left"/>
              <w:rPr>
                <w:sz w:val="16"/>
              </w:rPr>
            </w:pPr>
            <w:r>
              <w:rPr>
                <w:sz w:val="16"/>
              </w:rPr>
              <w:t>------</w:t>
            </w:r>
          </w:p>
        </w:tc>
        <w:tc>
          <w:tcPr>
            <w:tcW w:w="545" w:type="dxa"/>
          </w:tcPr>
          <w:p>
            <w:pPr>
              <w:pStyle w:val="TableParagraph"/>
              <w:spacing w:before="11"/>
              <w:jc w:val="left"/>
              <w:rPr>
                <w:sz w:val="14"/>
              </w:rPr>
            </w:pPr>
          </w:p>
          <w:p>
            <w:pPr>
              <w:pStyle w:val="TableParagraph"/>
              <w:spacing w:before="0"/>
              <w:ind w:left="71"/>
              <w:jc w:val="left"/>
              <w:rPr>
                <w:sz w:val="16"/>
              </w:rPr>
            </w:pPr>
            <w:r>
              <w:rPr>
                <w:sz w:val="16"/>
              </w:rPr>
              <w:t>-------</w:t>
            </w:r>
          </w:p>
        </w:tc>
        <w:tc>
          <w:tcPr>
            <w:tcW w:w="598" w:type="dxa"/>
          </w:tcPr>
          <w:p>
            <w:pPr>
              <w:pStyle w:val="TableParagraph"/>
              <w:spacing w:line="173" w:lineRule="exact" w:before="0"/>
              <w:ind w:left="68"/>
              <w:jc w:val="left"/>
              <w:rPr>
                <w:sz w:val="16"/>
              </w:rPr>
            </w:pPr>
            <w:r>
              <w:rPr>
                <w:sz w:val="16"/>
              </w:rPr>
              <w:t>-----</w:t>
            </w:r>
          </w:p>
          <w:p>
            <w:pPr>
              <w:pStyle w:val="TableParagraph"/>
              <w:spacing w:line="183" w:lineRule="exact" w:before="0"/>
              <w:ind w:left="68"/>
              <w:jc w:val="left"/>
              <w:rPr>
                <w:sz w:val="16"/>
              </w:rPr>
            </w:pPr>
            <w:r>
              <w:rPr>
                <w:sz w:val="16"/>
              </w:rPr>
              <w:t>(kg</w:t>
            </w:r>
          </w:p>
        </w:tc>
        <w:tc>
          <w:tcPr>
            <w:tcW w:w="593" w:type="dxa"/>
          </w:tcPr>
          <w:p>
            <w:pPr>
              <w:pStyle w:val="TableParagraph"/>
              <w:spacing w:line="237" w:lineRule="auto" w:before="0"/>
              <w:ind w:left="71" w:right="147"/>
              <w:jc w:val="left"/>
              <w:rPr>
                <w:sz w:val="16"/>
              </w:rPr>
            </w:pPr>
            <w:r>
              <w:rPr>
                <w:w w:val="95"/>
                <w:sz w:val="16"/>
              </w:rPr>
              <w:t>nutrie </w:t>
            </w:r>
            <w:r>
              <w:rPr>
                <w:sz w:val="16"/>
              </w:rPr>
              <w:t>n</w:t>
            </w:r>
          </w:p>
        </w:tc>
        <w:tc>
          <w:tcPr>
            <w:tcW w:w="830" w:type="dxa"/>
          </w:tcPr>
          <w:p>
            <w:pPr>
              <w:pStyle w:val="TableParagraph"/>
              <w:spacing w:line="173" w:lineRule="exact" w:before="0"/>
              <w:ind w:left="68"/>
              <w:jc w:val="left"/>
              <w:rPr>
                <w:sz w:val="16"/>
              </w:rPr>
            </w:pPr>
            <w:r>
              <w:rPr>
                <w:sz w:val="16"/>
              </w:rPr>
              <w:t>Ton/Ha)--</w:t>
            </w:r>
          </w:p>
          <w:p>
            <w:pPr>
              <w:pStyle w:val="TableParagraph"/>
              <w:spacing w:line="183" w:lineRule="exact" w:before="0"/>
              <w:ind w:left="68" w:right="84"/>
              <w:jc w:val="left"/>
              <w:rPr>
                <w:sz w:val="16"/>
              </w:rPr>
            </w:pPr>
            <w:r>
              <w:rPr>
                <w:sz w:val="16"/>
              </w:rPr>
              <w:t>--</w:t>
            </w:r>
          </w:p>
        </w:tc>
        <w:tc>
          <w:tcPr>
            <w:tcW w:w="821" w:type="dxa"/>
          </w:tcPr>
          <w:p>
            <w:pPr>
              <w:pStyle w:val="TableParagraph"/>
              <w:spacing w:before="11"/>
              <w:jc w:val="left"/>
              <w:rPr>
                <w:sz w:val="14"/>
              </w:rPr>
            </w:pPr>
          </w:p>
          <w:p>
            <w:pPr>
              <w:pStyle w:val="TableParagraph"/>
              <w:spacing w:before="0"/>
              <w:ind w:left="68" w:right="84"/>
              <w:jc w:val="left"/>
              <w:rPr>
                <w:sz w:val="16"/>
              </w:rPr>
            </w:pPr>
            <w:r>
              <w:rPr>
                <w:sz w:val="16"/>
              </w:rPr>
              <w:t>--------</w:t>
            </w:r>
          </w:p>
        </w:tc>
        <w:tc>
          <w:tcPr>
            <w:tcW w:w="831" w:type="dxa"/>
          </w:tcPr>
          <w:p>
            <w:pPr>
              <w:pStyle w:val="TableParagraph"/>
              <w:spacing w:before="11"/>
              <w:jc w:val="left"/>
              <w:rPr>
                <w:sz w:val="14"/>
              </w:rPr>
            </w:pPr>
          </w:p>
          <w:p>
            <w:pPr>
              <w:pStyle w:val="TableParagraph"/>
              <w:spacing w:before="0"/>
              <w:ind w:left="68" w:right="84"/>
              <w:jc w:val="left"/>
              <w:rPr>
                <w:sz w:val="16"/>
              </w:rPr>
            </w:pPr>
            <w:r>
              <w:rPr>
                <w:sz w:val="16"/>
              </w:rPr>
              <w:t>--------</w:t>
            </w:r>
          </w:p>
        </w:tc>
        <w:tc>
          <w:tcPr>
            <w:tcW w:w="891" w:type="dxa"/>
          </w:tcPr>
          <w:p>
            <w:pPr>
              <w:pStyle w:val="TableParagraph"/>
              <w:spacing w:before="11"/>
              <w:jc w:val="left"/>
              <w:rPr>
                <w:sz w:val="14"/>
              </w:rPr>
            </w:pPr>
          </w:p>
          <w:p>
            <w:pPr>
              <w:pStyle w:val="TableParagraph"/>
              <w:spacing w:before="0"/>
              <w:ind w:left="68" w:right="214"/>
              <w:jc w:val="left"/>
              <w:rPr>
                <w:sz w:val="16"/>
              </w:rPr>
            </w:pPr>
            <w:r>
              <w:rPr>
                <w:sz w:val="16"/>
              </w:rPr>
              <w:t>(kg/ha)</w:t>
            </w:r>
          </w:p>
        </w:tc>
      </w:tr>
      <w:tr>
        <w:trPr>
          <w:trHeight w:val="300" w:hRule="exact"/>
        </w:trPr>
        <w:tc>
          <w:tcPr>
            <w:tcW w:w="685" w:type="dxa"/>
          </w:tcPr>
          <w:p>
            <w:pPr>
              <w:pStyle w:val="TableParagraph"/>
              <w:spacing w:before="50"/>
              <w:ind w:right="72"/>
              <w:rPr>
                <w:sz w:val="16"/>
              </w:rPr>
            </w:pPr>
            <w:r>
              <w:rPr>
                <w:w w:val="98"/>
                <w:sz w:val="16"/>
              </w:rPr>
              <w:t>1</w:t>
            </w:r>
          </w:p>
        </w:tc>
        <w:tc>
          <w:tcPr>
            <w:tcW w:w="716" w:type="dxa"/>
          </w:tcPr>
          <w:p>
            <w:pPr>
              <w:pStyle w:val="TableParagraph"/>
              <w:spacing w:before="50"/>
              <w:ind w:right="69"/>
              <w:rPr>
                <w:sz w:val="16"/>
              </w:rPr>
            </w:pPr>
            <w:r>
              <w:rPr>
                <w:w w:val="95"/>
                <w:sz w:val="16"/>
              </w:rPr>
              <w:t>4.92</w:t>
            </w:r>
          </w:p>
        </w:tc>
        <w:tc>
          <w:tcPr>
            <w:tcW w:w="718" w:type="dxa"/>
          </w:tcPr>
          <w:p>
            <w:pPr>
              <w:pStyle w:val="TableParagraph"/>
              <w:spacing w:before="50"/>
              <w:ind w:right="66"/>
              <w:rPr>
                <w:sz w:val="16"/>
              </w:rPr>
            </w:pPr>
            <w:r>
              <w:rPr>
                <w:w w:val="95"/>
                <w:sz w:val="16"/>
              </w:rPr>
              <w:t>0.05</w:t>
            </w:r>
          </w:p>
        </w:tc>
        <w:tc>
          <w:tcPr>
            <w:tcW w:w="554" w:type="dxa"/>
          </w:tcPr>
          <w:p>
            <w:pPr>
              <w:pStyle w:val="TableParagraph"/>
              <w:spacing w:before="50"/>
              <w:ind w:right="69"/>
              <w:rPr>
                <w:sz w:val="16"/>
              </w:rPr>
            </w:pPr>
            <w:r>
              <w:rPr>
                <w:w w:val="95"/>
                <w:sz w:val="16"/>
              </w:rPr>
              <w:t>0.63</w:t>
            </w:r>
          </w:p>
        </w:tc>
        <w:tc>
          <w:tcPr>
            <w:tcW w:w="538" w:type="dxa"/>
          </w:tcPr>
          <w:p>
            <w:pPr>
              <w:pStyle w:val="TableParagraph"/>
              <w:spacing w:before="50"/>
              <w:ind w:right="68"/>
              <w:rPr>
                <w:sz w:val="16"/>
              </w:rPr>
            </w:pPr>
            <w:r>
              <w:rPr>
                <w:w w:val="98"/>
                <w:sz w:val="16"/>
              </w:rPr>
              <w:t>0</w:t>
            </w:r>
          </w:p>
        </w:tc>
        <w:tc>
          <w:tcPr>
            <w:tcW w:w="669" w:type="dxa"/>
          </w:tcPr>
          <w:p>
            <w:pPr>
              <w:pStyle w:val="TableParagraph"/>
              <w:spacing w:before="50"/>
              <w:ind w:right="66"/>
              <w:rPr>
                <w:sz w:val="16"/>
              </w:rPr>
            </w:pPr>
            <w:r>
              <w:rPr>
                <w:w w:val="95"/>
                <w:sz w:val="16"/>
              </w:rPr>
              <w:t>0.02</w:t>
            </w:r>
          </w:p>
        </w:tc>
        <w:tc>
          <w:tcPr>
            <w:tcW w:w="535" w:type="dxa"/>
          </w:tcPr>
          <w:p>
            <w:pPr>
              <w:pStyle w:val="TableParagraph"/>
              <w:spacing w:before="50"/>
              <w:ind w:right="68"/>
              <w:rPr>
                <w:sz w:val="16"/>
              </w:rPr>
            </w:pPr>
            <w:r>
              <w:rPr>
                <w:w w:val="98"/>
                <w:sz w:val="16"/>
              </w:rPr>
              <w:t>0</w:t>
            </w:r>
          </w:p>
        </w:tc>
        <w:tc>
          <w:tcPr>
            <w:tcW w:w="667" w:type="dxa"/>
          </w:tcPr>
          <w:p>
            <w:pPr>
              <w:pStyle w:val="TableParagraph"/>
              <w:spacing w:before="50"/>
              <w:ind w:right="64"/>
              <w:rPr>
                <w:sz w:val="16"/>
              </w:rPr>
            </w:pPr>
            <w:r>
              <w:rPr>
                <w:sz w:val="16"/>
              </w:rPr>
              <w:t>328.6</w:t>
            </w:r>
          </w:p>
        </w:tc>
        <w:tc>
          <w:tcPr>
            <w:tcW w:w="665" w:type="dxa"/>
          </w:tcPr>
          <w:p>
            <w:pPr>
              <w:pStyle w:val="TableParagraph"/>
              <w:spacing w:before="50"/>
              <w:ind w:right="66"/>
              <w:rPr>
                <w:sz w:val="16"/>
              </w:rPr>
            </w:pPr>
            <w:r>
              <w:rPr>
                <w:sz w:val="16"/>
              </w:rPr>
              <w:t>11.06</w:t>
            </w:r>
          </w:p>
        </w:tc>
        <w:tc>
          <w:tcPr>
            <w:tcW w:w="544" w:type="dxa"/>
          </w:tcPr>
          <w:p>
            <w:pPr>
              <w:pStyle w:val="TableParagraph"/>
              <w:spacing w:before="50"/>
              <w:ind w:left="111"/>
              <w:jc w:val="left"/>
              <w:rPr>
                <w:sz w:val="16"/>
              </w:rPr>
            </w:pPr>
            <w:r>
              <w:rPr>
                <w:sz w:val="16"/>
              </w:rPr>
              <w:t>78.57</w:t>
            </w:r>
          </w:p>
        </w:tc>
        <w:tc>
          <w:tcPr>
            <w:tcW w:w="678" w:type="dxa"/>
          </w:tcPr>
          <w:p>
            <w:pPr>
              <w:pStyle w:val="TableParagraph"/>
              <w:spacing w:before="50"/>
              <w:ind w:right="69"/>
              <w:rPr>
                <w:sz w:val="16"/>
              </w:rPr>
            </w:pPr>
            <w:r>
              <w:rPr>
                <w:w w:val="95"/>
                <w:sz w:val="16"/>
              </w:rPr>
              <w:t>7.08</w:t>
            </w:r>
          </w:p>
        </w:tc>
        <w:tc>
          <w:tcPr>
            <w:tcW w:w="595" w:type="dxa"/>
          </w:tcPr>
          <w:p>
            <w:pPr>
              <w:pStyle w:val="TableParagraph"/>
              <w:spacing w:before="50"/>
              <w:ind w:right="64"/>
              <w:rPr>
                <w:sz w:val="16"/>
              </w:rPr>
            </w:pPr>
            <w:r>
              <w:rPr>
                <w:w w:val="95"/>
                <w:sz w:val="16"/>
              </w:rPr>
              <w:t>0.01</w:t>
            </w:r>
          </w:p>
        </w:tc>
        <w:tc>
          <w:tcPr>
            <w:tcW w:w="595" w:type="dxa"/>
          </w:tcPr>
          <w:p>
            <w:pPr>
              <w:pStyle w:val="TableParagraph"/>
              <w:spacing w:before="50"/>
              <w:ind w:right="73"/>
              <w:rPr>
                <w:sz w:val="16"/>
              </w:rPr>
            </w:pPr>
            <w:r>
              <w:rPr>
                <w:w w:val="98"/>
                <w:sz w:val="16"/>
              </w:rPr>
              <w:t>0</w:t>
            </w:r>
          </w:p>
        </w:tc>
        <w:tc>
          <w:tcPr>
            <w:tcW w:w="545" w:type="dxa"/>
          </w:tcPr>
          <w:p>
            <w:pPr>
              <w:pStyle w:val="TableParagraph"/>
              <w:spacing w:before="50"/>
              <w:ind w:right="66"/>
              <w:rPr>
                <w:sz w:val="16"/>
              </w:rPr>
            </w:pPr>
            <w:r>
              <w:rPr>
                <w:w w:val="95"/>
                <w:sz w:val="16"/>
              </w:rPr>
              <w:t>0.02</w:t>
            </w:r>
          </w:p>
        </w:tc>
        <w:tc>
          <w:tcPr>
            <w:tcW w:w="598" w:type="dxa"/>
          </w:tcPr>
          <w:p>
            <w:pPr>
              <w:pStyle w:val="TableParagraph"/>
              <w:spacing w:before="50"/>
              <w:ind w:right="73"/>
              <w:rPr>
                <w:sz w:val="16"/>
              </w:rPr>
            </w:pPr>
            <w:r>
              <w:rPr>
                <w:w w:val="98"/>
                <w:sz w:val="16"/>
              </w:rPr>
              <w:t>0</w:t>
            </w:r>
          </w:p>
        </w:tc>
        <w:tc>
          <w:tcPr>
            <w:tcW w:w="593" w:type="dxa"/>
          </w:tcPr>
          <w:p>
            <w:pPr>
              <w:pStyle w:val="TableParagraph"/>
              <w:spacing w:before="50"/>
              <w:ind w:right="72"/>
              <w:rPr>
                <w:sz w:val="16"/>
              </w:rPr>
            </w:pPr>
            <w:r>
              <w:rPr>
                <w:w w:val="98"/>
                <w:sz w:val="16"/>
              </w:rPr>
              <w:t>0</w:t>
            </w:r>
          </w:p>
        </w:tc>
        <w:tc>
          <w:tcPr>
            <w:tcW w:w="830" w:type="dxa"/>
          </w:tcPr>
          <w:p>
            <w:pPr>
              <w:pStyle w:val="TableParagraph"/>
              <w:spacing w:before="50"/>
              <w:ind w:right="72"/>
              <w:rPr>
                <w:sz w:val="16"/>
              </w:rPr>
            </w:pPr>
            <w:r>
              <w:rPr>
                <w:w w:val="98"/>
                <w:sz w:val="16"/>
              </w:rPr>
              <w:t>0</w:t>
            </w:r>
          </w:p>
        </w:tc>
        <w:tc>
          <w:tcPr>
            <w:tcW w:w="821" w:type="dxa"/>
          </w:tcPr>
          <w:p>
            <w:pPr>
              <w:pStyle w:val="TableParagraph"/>
              <w:spacing w:before="50"/>
              <w:ind w:right="70"/>
              <w:rPr>
                <w:sz w:val="16"/>
              </w:rPr>
            </w:pPr>
            <w:r>
              <w:rPr>
                <w:w w:val="98"/>
                <w:sz w:val="16"/>
              </w:rPr>
              <w:t>0</w:t>
            </w:r>
          </w:p>
        </w:tc>
        <w:tc>
          <w:tcPr>
            <w:tcW w:w="831" w:type="dxa"/>
          </w:tcPr>
          <w:p>
            <w:pPr>
              <w:pStyle w:val="TableParagraph"/>
              <w:spacing w:before="50"/>
              <w:ind w:right="72"/>
              <w:rPr>
                <w:sz w:val="16"/>
              </w:rPr>
            </w:pPr>
            <w:r>
              <w:rPr>
                <w:w w:val="98"/>
                <w:sz w:val="16"/>
              </w:rPr>
              <w:t>0</w:t>
            </w:r>
          </w:p>
        </w:tc>
        <w:tc>
          <w:tcPr>
            <w:tcW w:w="891" w:type="dxa"/>
          </w:tcPr>
          <w:p>
            <w:pPr>
              <w:pStyle w:val="TableParagraph"/>
              <w:spacing w:before="50"/>
              <w:ind w:right="198"/>
              <w:rPr>
                <w:sz w:val="16"/>
              </w:rPr>
            </w:pPr>
            <w:r>
              <w:rPr>
                <w:w w:val="98"/>
                <w:sz w:val="16"/>
              </w:rPr>
              <w:t>0</w:t>
            </w:r>
          </w:p>
        </w:tc>
      </w:tr>
      <w:tr>
        <w:trPr>
          <w:trHeight w:val="228" w:hRule="exact"/>
        </w:trPr>
        <w:tc>
          <w:tcPr>
            <w:tcW w:w="685" w:type="dxa"/>
          </w:tcPr>
          <w:p>
            <w:pPr>
              <w:pStyle w:val="TableParagraph"/>
              <w:spacing w:before="47"/>
              <w:ind w:right="72"/>
              <w:rPr>
                <w:sz w:val="16"/>
              </w:rPr>
            </w:pPr>
            <w:r>
              <w:rPr>
                <w:w w:val="99"/>
                <w:sz w:val="16"/>
              </w:rPr>
              <w:t>2</w:t>
            </w:r>
          </w:p>
        </w:tc>
        <w:tc>
          <w:tcPr>
            <w:tcW w:w="716" w:type="dxa"/>
          </w:tcPr>
          <w:p>
            <w:pPr>
              <w:pStyle w:val="TableParagraph"/>
              <w:spacing w:before="47"/>
              <w:ind w:right="69"/>
              <w:rPr>
                <w:sz w:val="16"/>
              </w:rPr>
            </w:pPr>
            <w:r>
              <w:rPr>
                <w:w w:val="95"/>
                <w:sz w:val="16"/>
              </w:rPr>
              <w:t>6.58</w:t>
            </w:r>
          </w:p>
        </w:tc>
        <w:tc>
          <w:tcPr>
            <w:tcW w:w="718" w:type="dxa"/>
          </w:tcPr>
          <w:p>
            <w:pPr>
              <w:pStyle w:val="TableParagraph"/>
              <w:spacing w:before="47"/>
              <w:ind w:right="66"/>
              <w:rPr>
                <w:sz w:val="16"/>
              </w:rPr>
            </w:pPr>
            <w:r>
              <w:rPr>
                <w:w w:val="95"/>
                <w:sz w:val="16"/>
              </w:rPr>
              <w:t>0.02</w:t>
            </w:r>
          </w:p>
        </w:tc>
        <w:tc>
          <w:tcPr>
            <w:tcW w:w="554" w:type="dxa"/>
          </w:tcPr>
          <w:p>
            <w:pPr>
              <w:pStyle w:val="TableParagraph"/>
              <w:spacing w:before="47"/>
              <w:ind w:right="69"/>
              <w:rPr>
                <w:sz w:val="16"/>
              </w:rPr>
            </w:pPr>
            <w:r>
              <w:rPr>
                <w:w w:val="95"/>
                <w:sz w:val="16"/>
              </w:rPr>
              <w:t>0.45</w:t>
            </w:r>
          </w:p>
        </w:tc>
        <w:tc>
          <w:tcPr>
            <w:tcW w:w="538" w:type="dxa"/>
          </w:tcPr>
          <w:p>
            <w:pPr>
              <w:pStyle w:val="TableParagraph"/>
              <w:spacing w:before="47"/>
              <w:ind w:right="68"/>
              <w:rPr>
                <w:sz w:val="16"/>
              </w:rPr>
            </w:pPr>
            <w:r>
              <w:rPr>
                <w:w w:val="99"/>
                <w:sz w:val="16"/>
              </w:rPr>
              <w:t>0</w:t>
            </w:r>
          </w:p>
        </w:tc>
        <w:tc>
          <w:tcPr>
            <w:tcW w:w="669" w:type="dxa"/>
          </w:tcPr>
          <w:p>
            <w:pPr>
              <w:pStyle w:val="TableParagraph"/>
              <w:spacing w:before="47"/>
              <w:ind w:right="66"/>
              <w:rPr>
                <w:sz w:val="16"/>
              </w:rPr>
            </w:pPr>
            <w:r>
              <w:rPr>
                <w:w w:val="95"/>
                <w:sz w:val="16"/>
              </w:rPr>
              <w:t>0.01</w:t>
            </w:r>
          </w:p>
        </w:tc>
        <w:tc>
          <w:tcPr>
            <w:tcW w:w="535" w:type="dxa"/>
          </w:tcPr>
          <w:p>
            <w:pPr>
              <w:pStyle w:val="TableParagraph"/>
              <w:spacing w:before="47"/>
              <w:ind w:right="68"/>
              <w:rPr>
                <w:sz w:val="16"/>
              </w:rPr>
            </w:pPr>
            <w:r>
              <w:rPr>
                <w:w w:val="99"/>
                <w:sz w:val="16"/>
              </w:rPr>
              <w:t>0</w:t>
            </w:r>
          </w:p>
        </w:tc>
        <w:tc>
          <w:tcPr>
            <w:tcW w:w="667" w:type="dxa"/>
          </w:tcPr>
          <w:p>
            <w:pPr>
              <w:pStyle w:val="TableParagraph"/>
              <w:spacing w:before="47"/>
              <w:ind w:right="64"/>
              <w:rPr>
                <w:sz w:val="16"/>
              </w:rPr>
            </w:pPr>
            <w:r>
              <w:rPr>
                <w:sz w:val="16"/>
              </w:rPr>
              <w:t>323.49</w:t>
            </w:r>
          </w:p>
        </w:tc>
        <w:tc>
          <w:tcPr>
            <w:tcW w:w="665" w:type="dxa"/>
          </w:tcPr>
          <w:p>
            <w:pPr>
              <w:pStyle w:val="TableParagraph"/>
              <w:spacing w:before="47"/>
              <w:ind w:right="66"/>
              <w:rPr>
                <w:sz w:val="16"/>
              </w:rPr>
            </w:pPr>
            <w:r>
              <w:rPr>
                <w:w w:val="95"/>
                <w:sz w:val="16"/>
              </w:rPr>
              <w:t>11.6</w:t>
            </w:r>
          </w:p>
        </w:tc>
        <w:tc>
          <w:tcPr>
            <w:tcW w:w="544" w:type="dxa"/>
          </w:tcPr>
          <w:p>
            <w:pPr>
              <w:pStyle w:val="TableParagraph"/>
              <w:spacing w:before="47"/>
              <w:ind w:left="111"/>
              <w:jc w:val="left"/>
              <w:rPr>
                <w:sz w:val="16"/>
              </w:rPr>
            </w:pPr>
            <w:r>
              <w:rPr>
                <w:sz w:val="16"/>
              </w:rPr>
              <w:t>92.38</w:t>
            </w:r>
          </w:p>
        </w:tc>
        <w:tc>
          <w:tcPr>
            <w:tcW w:w="678" w:type="dxa"/>
          </w:tcPr>
          <w:p>
            <w:pPr>
              <w:pStyle w:val="TableParagraph"/>
              <w:spacing w:before="47"/>
              <w:ind w:right="69"/>
              <w:rPr>
                <w:sz w:val="16"/>
              </w:rPr>
            </w:pPr>
            <w:r>
              <w:rPr>
                <w:w w:val="95"/>
                <w:sz w:val="16"/>
              </w:rPr>
              <w:t>5.97</w:t>
            </w:r>
          </w:p>
        </w:tc>
        <w:tc>
          <w:tcPr>
            <w:tcW w:w="595" w:type="dxa"/>
          </w:tcPr>
          <w:p>
            <w:pPr>
              <w:pStyle w:val="TableParagraph"/>
              <w:spacing w:before="47"/>
              <w:ind w:right="68"/>
              <w:rPr>
                <w:sz w:val="16"/>
              </w:rPr>
            </w:pPr>
            <w:r>
              <w:rPr>
                <w:w w:val="99"/>
                <w:sz w:val="16"/>
              </w:rPr>
              <w:t>0</w:t>
            </w:r>
          </w:p>
        </w:tc>
        <w:tc>
          <w:tcPr>
            <w:tcW w:w="595" w:type="dxa"/>
          </w:tcPr>
          <w:p>
            <w:pPr>
              <w:pStyle w:val="TableParagraph"/>
              <w:spacing w:before="47"/>
              <w:ind w:right="73"/>
              <w:rPr>
                <w:sz w:val="16"/>
              </w:rPr>
            </w:pPr>
            <w:r>
              <w:rPr>
                <w:w w:val="99"/>
                <w:sz w:val="16"/>
              </w:rPr>
              <w:t>0</w:t>
            </w:r>
          </w:p>
        </w:tc>
        <w:tc>
          <w:tcPr>
            <w:tcW w:w="545" w:type="dxa"/>
          </w:tcPr>
          <w:p>
            <w:pPr>
              <w:pStyle w:val="TableParagraph"/>
              <w:spacing w:before="47"/>
              <w:ind w:right="66"/>
              <w:rPr>
                <w:sz w:val="16"/>
              </w:rPr>
            </w:pPr>
            <w:r>
              <w:rPr>
                <w:w w:val="95"/>
                <w:sz w:val="16"/>
              </w:rPr>
              <w:t>0.01</w:t>
            </w:r>
          </w:p>
        </w:tc>
        <w:tc>
          <w:tcPr>
            <w:tcW w:w="598" w:type="dxa"/>
          </w:tcPr>
          <w:p>
            <w:pPr>
              <w:pStyle w:val="TableParagraph"/>
              <w:spacing w:before="47"/>
              <w:ind w:right="73"/>
              <w:rPr>
                <w:sz w:val="16"/>
              </w:rPr>
            </w:pPr>
            <w:r>
              <w:rPr>
                <w:w w:val="99"/>
                <w:sz w:val="16"/>
              </w:rPr>
              <w:t>0</w:t>
            </w:r>
          </w:p>
        </w:tc>
        <w:tc>
          <w:tcPr>
            <w:tcW w:w="593" w:type="dxa"/>
          </w:tcPr>
          <w:p>
            <w:pPr>
              <w:pStyle w:val="TableParagraph"/>
              <w:spacing w:before="47"/>
              <w:ind w:right="72"/>
              <w:rPr>
                <w:sz w:val="16"/>
              </w:rPr>
            </w:pPr>
            <w:r>
              <w:rPr>
                <w:w w:val="99"/>
                <w:sz w:val="16"/>
              </w:rPr>
              <w:t>0</w:t>
            </w:r>
          </w:p>
        </w:tc>
        <w:tc>
          <w:tcPr>
            <w:tcW w:w="830" w:type="dxa"/>
          </w:tcPr>
          <w:p>
            <w:pPr>
              <w:pStyle w:val="TableParagraph"/>
              <w:spacing w:before="47"/>
              <w:ind w:right="72"/>
              <w:rPr>
                <w:sz w:val="16"/>
              </w:rPr>
            </w:pPr>
            <w:r>
              <w:rPr>
                <w:w w:val="99"/>
                <w:sz w:val="16"/>
              </w:rPr>
              <w:t>0</w:t>
            </w:r>
          </w:p>
        </w:tc>
        <w:tc>
          <w:tcPr>
            <w:tcW w:w="821" w:type="dxa"/>
          </w:tcPr>
          <w:p>
            <w:pPr>
              <w:pStyle w:val="TableParagraph"/>
              <w:spacing w:before="47"/>
              <w:ind w:right="70"/>
              <w:rPr>
                <w:sz w:val="16"/>
              </w:rPr>
            </w:pPr>
            <w:r>
              <w:rPr>
                <w:w w:val="99"/>
                <w:sz w:val="16"/>
              </w:rPr>
              <w:t>0</w:t>
            </w:r>
          </w:p>
        </w:tc>
        <w:tc>
          <w:tcPr>
            <w:tcW w:w="831" w:type="dxa"/>
          </w:tcPr>
          <w:p>
            <w:pPr>
              <w:pStyle w:val="TableParagraph"/>
              <w:spacing w:before="47"/>
              <w:ind w:right="72"/>
              <w:rPr>
                <w:sz w:val="16"/>
              </w:rPr>
            </w:pPr>
            <w:r>
              <w:rPr>
                <w:w w:val="99"/>
                <w:sz w:val="16"/>
              </w:rPr>
              <w:t>0</w:t>
            </w:r>
          </w:p>
        </w:tc>
        <w:tc>
          <w:tcPr>
            <w:tcW w:w="891" w:type="dxa"/>
          </w:tcPr>
          <w:p>
            <w:pPr>
              <w:pStyle w:val="TableParagraph"/>
              <w:spacing w:before="47"/>
              <w:ind w:right="198"/>
              <w:rPr>
                <w:sz w:val="16"/>
              </w:rPr>
            </w:pPr>
            <w:r>
              <w:rPr>
                <w:w w:val="99"/>
                <w:sz w:val="16"/>
              </w:rPr>
              <w:t>0</w:t>
            </w:r>
          </w:p>
        </w:tc>
      </w:tr>
    </w:tbl>
    <w:p>
      <w:pPr>
        <w:spacing w:after="0"/>
        <w:rPr>
          <w:sz w:val="16"/>
        </w:rPr>
        <w:sectPr>
          <w:pgSz w:w="15840" w:h="12240" w:orient="landscape"/>
          <w:pgMar w:header="0" w:footer="1414" w:top="1140" w:bottom="1600" w:left="1180" w:right="1180"/>
        </w:sectPr>
      </w:pPr>
    </w:p>
    <w:p>
      <w:pPr>
        <w:pStyle w:val="BodyText"/>
        <w:rPr>
          <w:sz w:val="20"/>
        </w:rPr>
      </w:pPr>
    </w:p>
    <w:p>
      <w:pPr>
        <w:pStyle w:val="BodyText"/>
        <w:spacing w:before="10"/>
        <w:rPr>
          <w:sz w:val="15"/>
        </w:rPr>
      </w:pP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85"/>
        <w:gridCol w:w="718"/>
        <w:gridCol w:w="716"/>
        <w:gridCol w:w="554"/>
        <w:gridCol w:w="538"/>
        <w:gridCol w:w="669"/>
        <w:gridCol w:w="535"/>
        <w:gridCol w:w="667"/>
        <w:gridCol w:w="666"/>
        <w:gridCol w:w="543"/>
        <w:gridCol w:w="678"/>
        <w:gridCol w:w="595"/>
        <w:gridCol w:w="595"/>
        <w:gridCol w:w="545"/>
        <w:gridCol w:w="598"/>
        <w:gridCol w:w="593"/>
        <w:gridCol w:w="830"/>
        <w:gridCol w:w="821"/>
        <w:gridCol w:w="831"/>
        <w:gridCol w:w="891"/>
      </w:tblGrid>
      <w:tr>
        <w:trPr>
          <w:trHeight w:val="228" w:hRule="exact"/>
        </w:trPr>
        <w:tc>
          <w:tcPr>
            <w:tcW w:w="685" w:type="dxa"/>
          </w:tcPr>
          <w:p>
            <w:pPr>
              <w:pStyle w:val="TableParagraph"/>
              <w:spacing w:line="162" w:lineRule="exact" w:before="0"/>
              <w:ind w:right="72"/>
              <w:rPr>
                <w:sz w:val="16"/>
              </w:rPr>
            </w:pPr>
            <w:r>
              <w:rPr>
                <w:w w:val="99"/>
                <w:sz w:val="16"/>
              </w:rPr>
              <w:t>3</w:t>
            </w:r>
          </w:p>
        </w:tc>
        <w:tc>
          <w:tcPr>
            <w:tcW w:w="718" w:type="dxa"/>
          </w:tcPr>
          <w:p>
            <w:pPr>
              <w:pStyle w:val="TableParagraph"/>
              <w:spacing w:line="162" w:lineRule="exact" w:before="0"/>
              <w:ind w:right="70"/>
              <w:rPr>
                <w:sz w:val="16"/>
              </w:rPr>
            </w:pPr>
            <w:r>
              <w:rPr>
                <w:w w:val="95"/>
                <w:sz w:val="16"/>
              </w:rPr>
              <w:t>8.13</w:t>
            </w:r>
          </w:p>
        </w:tc>
        <w:tc>
          <w:tcPr>
            <w:tcW w:w="716" w:type="dxa"/>
          </w:tcPr>
          <w:p>
            <w:pPr>
              <w:pStyle w:val="TableParagraph"/>
              <w:spacing w:line="162" w:lineRule="exact" w:before="0"/>
              <w:ind w:right="66"/>
              <w:rPr>
                <w:sz w:val="16"/>
              </w:rPr>
            </w:pPr>
            <w:r>
              <w:rPr>
                <w:w w:val="95"/>
                <w:sz w:val="16"/>
              </w:rPr>
              <w:t>0.13</w:t>
            </w:r>
          </w:p>
        </w:tc>
        <w:tc>
          <w:tcPr>
            <w:tcW w:w="554" w:type="dxa"/>
          </w:tcPr>
          <w:p>
            <w:pPr>
              <w:pStyle w:val="TableParagraph"/>
              <w:spacing w:line="162" w:lineRule="exact" w:before="0"/>
              <w:ind w:right="69"/>
              <w:rPr>
                <w:sz w:val="16"/>
              </w:rPr>
            </w:pPr>
            <w:r>
              <w:rPr>
                <w:w w:val="95"/>
                <w:sz w:val="16"/>
              </w:rPr>
              <w:t>0.47</w:t>
            </w:r>
          </w:p>
        </w:tc>
        <w:tc>
          <w:tcPr>
            <w:tcW w:w="538" w:type="dxa"/>
          </w:tcPr>
          <w:p>
            <w:pPr>
              <w:pStyle w:val="TableParagraph"/>
              <w:spacing w:line="162" w:lineRule="exact" w:before="0"/>
              <w:ind w:right="68"/>
              <w:rPr>
                <w:sz w:val="16"/>
              </w:rPr>
            </w:pPr>
            <w:r>
              <w:rPr>
                <w:w w:val="99"/>
                <w:sz w:val="16"/>
              </w:rPr>
              <w:t>0</w:t>
            </w:r>
          </w:p>
        </w:tc>
        <w:tc>
          <w:tcPr>
            <w:tcW w:w="669" w:type="dxa"/>
          </w:tcPr>
          <w:p>
            <w:pPr>
              <w:pStyle w:val="TableParagraph"/>
              <w:spacing w:line="162" w:lineRule="exact" w:before="0"/>
              <w:ind w:right="66"/>
              <w:rPr>
                <w:sz w:val="16"/>
              </w:rPr>
            </w:pPr>
            <w:r>
              <w:rPr>
                <w:sz w:val="16"/>
              </w:rPr>
              <w:t>13.62</w:t>
            </w:r>
          </w:p>
        </w:tc>
        <w:tc>
          <w:tcPr>
            <w:tcW w:w="535" w:type="dxa"/>
          </w:tcPr>
          <w:p>
            <w:pPr>
              <w:pStyle w:val="TableParagraph"/>
              <w:spacing w:line="162" w:lineRule="exact" w:before="0"/>
              <w:ind w:right="68"/>
              <w:rPr>
                <w:sz w:val="16"/>
              </w:rPr>
            </w:pPr>
            <w:r>
              <w:rPr>
                <w:w w:val="99"/>
                <w:sz w:val="16"/>
              </w:rPr>
              <w:t>0</w:t>
            </w:r>
          </w:p>
        </w:tc>
        <w:tc>
          <w:tcPr>
            <w:tcW w:w="667" w:type="dxa"/>
          </w:tcPr>
          <w:p>
            <w:pPr>
              <w:pStyle w:val="TableParagraph"/>
              <w:spacing w:line="162" w:lineRule="exact" w:before="0"/>
              <w:ind w:right="64"/>
              <w:rPr>
                <w:sz w:val="16"/>
              </w:rPr>
            </w:pPr>
            <w:r>
              <w:rPr>
                <w:sz w:val="16"/>
              </w:rPr>
              <w:t>313.44</w:t>
            </w:r>
          </w:p>
        </w:tc>
        <w:tc>
          <w:tcPr>
            <w:tcW w:w="666" w:type="dxa"/>
          </w:tcPr>
          <w:p>
            <w:pPr>
              <w:pStyle w:val="TableParagraph"/>
              <w:spacing w:line="162" w:lineRule="exact" w:before="0"/>
              <w:ind w:right="68"/>
              <w:rPr>
                <w:sz w:val="16"/>
              </w:rPr>
            </w:pPr>
            <w:r>
              <w:rPr>
                <w:sz w:val="16"/>
              </w:rPr>
              <w:t>23.36</w:t>
            </w:r>
          </w:p>
        </w:tc>
        <w:tc>
          <w:tcPr>
            <w:tcW w:w="543" w:type="dxa"/>
          </w:tcPr>
          <w:p>
            <w:pPr>
              <w:pStyle w:val="TableParagraph"/>
              <w:spacing w:line="162" w:lineRule="exact" w:before="0"/>
              <w:ind w:left="110"/>
              <w:jc w:val="left"/>
              <w:rPr>
                <w:sz w:val="16"/>
              </w:rPr>
            </w:pPr>
            <w:r>
              <w:rPr>
                <w:sz w:val="16"/>
              </w:rPr>
              <w:t>111.9</w:t>
            </w:r>
          </w:p>
        </w:tc>
        <w:tc>
          <w:tcPr>
            <w:tcW w:w="678" w:type="dxa"/>
          </w:tcPr>
          <w:p>
            <w:pPr>
              <w:pStyle w:val="TableParagraph"/>
              <w:spacing w:line="162" w:lineRule="exact" w:before="0"/>
              <w:ind w:right="69"/>
              <w:rPr>
                <w:sz w:val="16"/>
              </w:rPr>
            </w:pPr>
            <w:r>
              <w:rPr>
                <w:w w:val="95"/>
                <w:sz w:val="16"/>
              </w:rPr>
              <w:t>6.47</w:t>
            </w:r>
          </w:p>
        </w:tc>
        <w:tc>
          <w:tcPr>
            <w:tcW w:w="595" w:type="dxa"/>
          </w:tcPr>
          <w:p>
            <w:pPr>
              <w:pStyle w:val="TableParagraph"/>
              <w:spacing w:line="162" w:lineRule="exact" w:before="0"/>
              <w:ind w:right="68"/>
              <w:rPr>
                <w:sz w:val="16"/>
              </w:rPr>
            </w:pPr>
            <w:r>
              <w:rPr>
                <w:w w:val="99"/>
                <w:sz w:val="16"/>
              </w:rPr>
              <w:t>0</w:t>
            </w:r>
          </w:p>
        </w:tc>
        <w:tc>
          <w:tcPr>
            <w:tcW w:w="595" w:type="dxa"/>
          </w:tcPr>
          <w:p>
            <w:pPr>
              <w:pStyle w:val="TableParagraph"/>
              <w:spacing w:line="162" w:lineRule="exact" w:before="0"/>
              <w:ind w:right="73"/>
              <w:rPr>
                <w:sz w:val="16"/>
              </w:rPr>
            </w:pPr>
            <w:r>
              <w:rPr>
                <w:w w:val="99"/>
                <w:sz w:val="16"/>
              </w:rPr>
              <w:t>0</w:t>
            </w:r>
          </w:p>
        </w:tc>
        <w:tc>
          <w:tcPr>
            <w:tcW w:w="545" w:type="dxa"/>
          </w:tcPr>
          <w:p>
            <w:pPr>
              <w:pStyle w:val="TableParagraph"/>
              <w:spacing w:line="162" w:lineRule="exact" w:before="0"/>
              <w:ind w:right="66"/>
              <w:rPr>
                <w:sz w:val="16"/>
              </w:rPr>
            </w:pPr>
            <w:r>
              <w:rPr>
                <w:w w:val="95"/>
                <w:sz w:val="16"/>
              </w:rPr>
              <w:t>0.02</w:t>
            </w:r>
          </w:p>
        </w:tc>
        <w:tc>
          <w:tcPr>
            <w:tcW w:w="598" w:type="dxa"/>
          </w:tcPr>
          <w:p>
            <w:pPr>
              <w:pStyle w:val="TableParagraph"/>
              <w:spacing w:line="162" w:lineRule="exact" w:before="0"/>
              <w:ind w:right="73"/>
              <w:rPr>
                <w:sz w:val="16"/>
              </w:rPr>
            </w:pPr>
            <w:r>
              <w:rPr>
                <w:w w:val="95"/>
                <w:sz w:val="16"/>
              </w:rPr>
              <w:t>1.1</w:t>
            </w:r>
          </w:p>
        </w:tc>
        <w:tc>
          <w:tcPr>
            <w:tcW w:w="593" w:type="dxa"/>
          </w:tcPr>
          <w:p>
            <w:pPr>
              <w:pStyle w:val="TableParagraph"/>
              <w:spacing w:line="162" w:lineRule="exact" w:before="0"/>
              <w:ind w:right="66"/>
              <w:rPr>
                <w:sz w:val="16"/>
              </w:rPr>
            </w:pPr>
            <w:r>
              <w:rPr>
                <w:w w:val="95"/>
                <w:sz w:val="16"/>
              </w:rPr>
              <w:t>7.23</w:t>
            </w:r>
          </w:p>
        </w:tc>
        <w:tc>
          <w:tcPr>
            <w:tcW w:w="830" w:type="dxa"/>
          </w:tcPr>
          <w:p>
            <w:pPr>
              <w:pStyle w:val="TableParagraph"/>
              <w:spacing w:line="162" w:lineRule="exact" w:before="0"/>
              <w:ind w:right="72"/>
              <w:rPr>
                <w:sz w:val="16"/>
              </w:rPr>
            </w:pPr>
            <w:r>
              <w:rPr>
                <w:w w:val="99"/>
                <w:sz w:val="16"/>
              </w:rPr>
              <w:t>0</w:t>
            </w:r>
          </w:p>
        </w:tc>
        <w:tc>
          <w:tcPr>
            <w:tcW w:w="821" w:type="dxa"/>
          </w:tcPr>
          <w:p>
            <w:pPr>
              <w:pStyle w:val="TableParagraph"/>
              <w:spacing w:line="162" w:lineRule="exact" w:before="0"/>
              <w:ind w:right="70"/>
              <w:rPr>
                <w:sz w:val="16"/>
              </w:rPr>
            </w:pPr>
            <w:r>
              <w:rPr>
                <w:w w:val="99"/>
                <w:sz w:val="16"/>
              </w:rPr>
              <w:t>0</w:t>
            </w:r>
          </w:p>
        </w:tc>
        <w:tc>
          <w:tcPr>
            <w:tcW w:w="831" w:type="dxa"/>
          </w:tcPr>
          <w:p>
            <w:pPr>
              <w:pStyle w:val="TableParagraph"/>
              <w:spacing w:line="162" w:lineRule="exact" w:before="0"/>
              <w:ind w:right="72"/>
              <w:rPr>
                <w:sz w:val="16"/>
              </w:rPr>
            </w:pPr>
            <w:r>
              <w:rPr>
                <w:w w:val="99"/>
                <w:sz w:val="16"/>
              </w:rPr>
              <w:t>0</w:t>
            </w:r>
          </w:p>
        </w:tc>
        <w:tc>
          <w:tcPr>
            <w:tcW w:w="891" w:type="dxa"/>
          </w:tcPr>
          <w:p>
            <w:pPr>
              <w:pStyle w:val="TableParagraph"/>
              <w:spacing w:line="162" w:lineRule="exact" w:before="0"/>
              <w:ind w:right="198"/>
              <w:rPr>
                <w:sz w:val="16"/>
              </w:rPr>
            </w:pPr>
            <w:r>
              <w:rPr>
                <w:w w:val="99"/>
                <w:sz w:val="16"/>
              </w:rPr>
              <w:t>0</w:t>
            </w:r>
          </w:p>
        </w:tc>
      </w:tr>
      <w:tr>
        <w:trPr>
          <w:trHeight w:val="300" w:hRule="exact"/>
        </w:trPr>
        <w:tc>
          <w:tcPr>
            <w:tcW w:w="685" w:type="dxa"/>
          </w:tcPr>
          <w:p>
            <w:pPr>
              <w:pStyle w:val="TableParagraph"/>
              <w:spacing w:before="48"/>
              <w:ind w:right="72"/>
              <w:rPr>
                <w:sz w:val="16"/>
              </w:rPr>
            </w:pPr>
            <w:r>
              <w:rPr>
                <w:w w:val="98"/>
                <w:sz w:val="16"/>
              </w:rPr>
              <w:t>4</w:t>
            </w:r>
          </w:p>
        </w:tc>
        <w:tc>
          <w:tcPr>
            <w:tcW w:w="718" w:type="dxa"/>
          </w:tcPr>
          <w:p>
            <w:pPr>
              <w:pStyle w:val="TableParagraph"/>
              <w:spacing w:before="48"/>
              <w:ind w:right="70"/>
              <w:rPr>
                <w:sz w:val="16"/>
              </w:rPr>
            </w:pPr>
            <w:r>
              <w:rPr>
                <w:sz w:val="16"/>
              </w:rPr>
              <w:t>32.76</w:t>
            </w:r>
          </w:p>
        </w:tc>
        <w:tc>
          <w:tcPr>
            <w:tcW w:w="716" w:type="dxa"/>
          </w:tcPr>
          <w:p>
            <w:pPr>
              <w:pStyle w:val="TableParagraph"/>
              <w:spacing w:before="48"/>
              <w:ind w:right="66"/>
              <w:rPr>
                <w:sz w:val="16"/>
              </w:rPr>
            </w:pPr>
            <w:r>
              <w:rPr>
                <w:w w:val="95"/>
                <w:sz w:val="16"/>
              </w:rPr>
              <w:t>0.42</w:t>
            </w:r>
          </w:p>
        </w:tc>
        <w:tc>
          <w:tcPr>
            <w:tcW w:w="554" w:type="dxa"/>
          </w:tcPr>
          <w:p>
            <w:pPr>
              <w:pStyle w:val="TableParagraph"/>
              <w:spacing w:before="48"/>
              <w:ind w:right="73"/>
              <w:rPr>
                <w:sz w:val="16"/>
              </w:rPr>
            </w:pPr>
            <w:r>
              <w:rPr>
                <w:w w:val="95"/>
                <w:sz w:val="16"/>
              </w:rPr>
              <w:t>0.4</w:t>
            </w:r>
          </w:p>
        </w:tc>
        <w:tc>
          <w:tcPr>
            <w:tcW w:w="538" w:type="dxa"/>
          </w:tcPr>
          <w:p>
            <w:pPr>
              <w:pStyle w:val="TableParagraph"/>
              <w:spacing w:before="48"/>
              <w:ind w:right="68"/>
              <w:rPr>
                <w:sz w:val="16"/>
              </w:rPr>
            </w:pPr>
            <w:r>
              <w:rPr>
                <w:w w:val="98"/>
                <w:sz w:val="16"/>
              </w:rPr>
              <w:t>0</w:t>
            </w:r>
          </w:p>
        </w:tc>
        <w:tc>
          <w:tcPr>
            <w:tcW w:w="669" w:type="dxa"/>
          </w:tcPr>
          <w:p>
            <w:pPr>
              <w:pStyle w:val="TableParagraph"/>
              <w:spacing w:before="48"/>
              <w:ind w:right="66"/>
              <w:rPr>
                <w:sz w:val="16"/>
              </w:rPr>
            </w:pPr>
            <w:r>
              <w:rPr>
                <w:w w:val="95"/>
                <w:sz w:val="16"/>
              </w:rPr>
              <w:t>6.44</w:t>
            </w:r>
          </w:p>
        </w:tc>
        <w:tc>
          <w:tcPr>
            <w:tcW w:w="535" w:type="dxa"/>
          </w:tcPr>
          <w:p>
            <w:pPr>
              <w:pStyle w:val="TableParagraph"/>
              <w:spacing w:before="48"/>
              <w:ind w:right="68"/>
              <w:rPr>
                <w:sz w:val="16"/>
              </w:rPr>
            </w:pPr>
            <w:r>
              <w:rPr>
                <w:w w:val="98"/>
                <w:sz w:val="16"/>
              </w:rPr>
              <w:t>0</w:t>
            </w:r>
          </w:p>
        </w:tc>
        <w:tc>
          <w:tcPr>
            <w:tcW w:w="667" w:type="dxa"/>
          </w:tcPr>
          <w:p>
            <w:pPr>
              <w:pStyle w:val="TableParagraph"/>
              <w:spacing w:before="48"/>
              <w:ind w:right="64"/>
              <w:rPr>
                <w:sz w:val="16"/>
              </w:rPr>
            </w:pPr>
            <w:r>
              <w:rPr>
                <w:sz w:val="16"/>
              </w:rPr>
              <w:t>312.86</w:t>
            </w:r>
          </w:p>
        </w:tc>
        <w:tc>
          <w:tcPr>
            <w:tcW w:w="666" w:type="dxa"/>
          </w:tcPr>
          <w:p>
            <w:pPr>
              <w:pStyle w:val="TableParagraph"/>
              <w:spacing w:before="48"/>
              <w:ind w:right="68"/>
              <w:rPr>
                <w:sz w:val="16"/>
              </w:rPr>
            </w:pPr>
            <w:r>
              <w:rPr>
                <w:sz w:val="16"/>
              </w:rPr>
              <w:t>35.73</w:t>
            </w:r>
          </w:p>
        </w:tc>
        <w:tc>
          <w:tcPr>
            <w:tcW w:w="543" w:type="dxa"/>
          </w:tcPr>
          <w:p>
            <w:pPr>
              <w:pStyle w:val="TableParagraph"/>
              <w:spacing w:before="48"/>
              <w:ind w:left="110"/>
              <w:jc w:val="left"/>
              <w:rPr>
                <w:sz w:val="16"/>
              </w:rPr>
            </w:pPr>
            <w:r>
              <w:rPr>
                <w:sz w:val="16"/>
              </w:rPr>
              <w:t>105.2</w:t>
            </w:r>
          </w:p>
        </w:tc>
        <w:tc>
          <w:tcPr>
            <w:tcW w:w="678" w:type="dxa"/>
          </w:tcPr>
          <w:p>
            <w:pPr>
              <w:pStyle w:val="TableParagraph"/>
              <w:spacing w:before="48"/>
              <w:ind w:right="69"/>
              <w:rPr>
                <w:sz w:val="16"/>
              </w:rPr>
            </w:pPr>
            <w:r>
              <w:rPr>
                <w:w w:val="95"/>
                <w:sz w:val="16"/>
              </w:rPr>
              <w:t>6.54</w:t>
            </w:r>
          </w:p>
        </w:tc>
        <w:tc>
          <w:tcPr>
            <w:tcW w:w="595" w:type="dxa"/>
          </w:tcPr>
          <w:p>
            <w:pPr>
              <w:pStyle w:val="TableParagraph"/>
              <w:spacing w:before="48"/>
              <w:ind w:right="64"/>
              <w:rPr>
                <w:sz w:val="16"/>
              </w:rPr>
            </w:pPr>
            <w:r>
              <w:rPr>
                <w:w w:val="95"/>
                <w:sz w:val="16"/>
              </w:rPr>
              <w:t>0.01</w:t>
            </w:r>
          </w:p>
        </w:tc>
        <w:tc>
          <w:tcPr>
            <w:tcW w:w="595" w:type="dxa"/>
          </w:tcPr>
          <w:p>
            <w:pPr>
              <w:pStyle w:val="TableParagraph"/>
              <w:spacing w:before="48"/>
              <w:ind w:right="73"/>
              <w:rPr>
                <w:sz w:val="16"/>
              </w:rPr>
            </w:pPr>
            <w:r>
              <w:rPr>
                <w:w w:val="98"/>
                <w:sz w:val="16"/>
              </w:rPr>
              <w:t>0</w:t>
            </w:r>
          </w:p>
        </w:tc>
        <w:tc>
          <w:tcPr>
            <w:tcW w:w="545" w:type="dxa"/>
          </w:tcPr>
          <w:p>
            <w:pPr>
              <w:pStyle w:val="TableParagraph"/>
              <w:spacing w:before="48"/>
              <w:ind w:right="66"/>
              <w:rPr>
                <w:sz w:val="16"/>
              </w:rPr>
            </w:pPr>
            <w:r>
              <w:rPr>
                <w:w w:val="95"/>
                <w:sz w:val="16"/>
              </w:rPr>
              <w:t>0.01</w:t>
            </w:r>
          </w:p>
        </w:tc>
        <w:tc>
          <w:tcPr>
            <w:tcW w:w="598" w:type="dxa"/>
          </w:tcPr>
          <w:p>
            <w:pPr>
              <w:pStyle w:val="TableParagraph"/>
              <w:spacing w:before="48"/>
              <w:ind w:right="73"/>
              <w:rPr>
                <w:sz w:val="16"/>
              </w:rPr>
            </w:pPr>
            <w:r>
              <w:rPr>
                <w:w w:val="95"/>
                <w:sz w:val="16"/>
              </w:rPr>
              <w:t>0.2</w:t>
            </w:r>
          </w:p>
        </w:tc>
        <w:tc>
          <w:tcPr>
            <w:tcW w:w="593" w:type="dxa"/>
          </w:tcPr>
          <w:p>
            <w:pPr>
              <w:pStyle w:val="TableParagraph"/>
              <w:spacing w:before="48"/>
              <w:ind w:right="67"/>
              <w:rPr>
                <w:sz w:val="16"/>
              </w:rPr>
            </w:pPr>
            <w:r>
              <w:rPr>
                <w:sz w:val="16"/>
              </w:rPr>
              <w:t>16.67</w:t>
            </w:r>
          </w:p>
        </w:tc>
        <w:tc>
          <w:tcPr>
            <w:tcW w:w="830" w:type="dxa"/>
          </w:tcPr>
          <w:p>
            <w:pPr>
              <w:pStyle w:val="TableParagraph"/>
              <w:spacing w:before="48"/>
              <w:ind w:right="72"/>
              <w:rPr>
                <w:sz w:val="16"/>
              </w:rPr>
            </w:pPr>
            <w:r>
              <w:rPr>
                <w:w w:val="98"/>
                <w:sz w:val="16"/>
              </w:rPr>
              <w:t>0</w:t>
            </w:r>
          </w:p>
        </w:tc>
        <w:tc>
          <w:tcPr>
            <w:tcW w:w="821" w:type="dxa"/>
          </w:tcPr>
          <w:p>
            <w:pPr>
              <w:pStyle w:val="TableParagraph"/>
              <w:spacing w:before="48"/>
              <w:ind w:right="70"/>
              <w:rPr>
                <w:sz w:val="16"/>
              </w:rPr>
            </w:pPr>
            <w:r>
              <w:rPr>
                <w:w w:val="98"/>
                <w:sz w:val="16"/>
              </w:rPr>
              <w:t>0</w:t>
            </w:r>
          </w:p>
        </w:tc>
        <w:tc>
          <w:tcPr>
            <w:tcW w:w="831" w:type="dxa"/>
          </w:tcPr>
          <w:p>
            <w:pPr>
              <w:pStyle w:val="TableParagraph"/>
              <w:spacing w:before="48"/>
              <w:ind w:right="72"/>
              <w:rPr>
                <w:sz w:val="16"/>
              </w:rPr>
            </w:pPr>
            <w:r>
              <w:rPr>
                <w:w w:val="98"/>
                <w:sz w:val="16"/>
              </w:rPr>
              <w:t>0</w:t>
            </w:r>
          </w:p>
        </w:tc>
        <w:tc>
          <w:tcPr>
            <w:tcW w:w="891" w:type="dxa"/>
          </w:tcPr>
          <w:p>
            <w:pPr>
              <w:pStyle w:val="TableParagraph"/>
              <w:spacing w:before="48"/>
              <w:ind w:right="198"/>
              <w:rPr>
                <w:sz w:val="16"/>
              </w:rPr>
            </w:pPr>
            <w:r>
              <w:rPr>
                <w:w w:val="98"/>
                <w:sz w:val="16"/>
              </w:rPr>
              <w:t>0</w:t>
            </w:r>
          </w:p>
        </w:tc>
      </w:tr>
      <w:tr>
        <w:trPr>
          <w:trHeight w:val="300" w:hRule="exact"/>
        </w:trPr>
        <w:tc>
          <w:tcPr>
            <w:tcW w:w="685" w:type="dxa"/>
          </w:tcPr>
          <w:p>
            <w:pPr>
              <w:pStyle w:val="TableParagraph"/>
              <w:spacing w:before="50"/>
              <w:ind w:right="72"/>
              <w:rPr>
                <w:sz w:val="16"/>
              </w:rPr>
            </w:pPr>
            <w:r>
              <w:rPr>
                <w:w w:val="98"/>
                <w:sz w:val="16"/>
              </w:rPr>
              <w:t>5</w:t>
            </w:r>
          </w:p>
        </w:tc>
        <w:tc>
          <w:tcPr>
            <w:tcW w:w="718" w:type="dxa"/>
          </w:tcPr>
          <w:p>
            <w:pPr>
              <w:pStyle w:val="TableParagraph"/>
              <w:spacing w:before="50"/>
              <w:ind w:right="67"/>
              <w:rPr>
                <w:sz w:val="16"/>
              </w:rPr>
            </w:pPr>
            <w:r>
              <w:rPr>
                <w:sz w:val="16"/>
              </w:rPr>
              <w:t>76</w:t>
            </w:r>
          </w:p>
        </w:tc>
        <w:tc>
          <w:tcPr>
            <w:tcW w:w="716" w:type="dxa"/>
          </w:tcPr>
          <w:p>
            <w:pPr>
              <w:pStyle w:val="TableParagraph"/>
              <w:spacing w:before="50"/>
              <w:ind w:right="66"/>
              <w:rPr>
                <w:sz w:val="16"/>
              </w:rPr>
            </w:pPr>
            <w:r>
              <w:rPr>
                <w:w w:val="95"/>
                <w:sz w:val="16"/>
              </w:rPr>
              <w:t>3.56</w:t>
            </w:r>
          </w:p>
        </w:tc>
        <w:tc>
          <w:tcPr>
            <w:tcW w:w="554" w:type="dxa"/>
          </w:tcPr>
          <w:p>
            <w:pPr>
              <w:pStyle w:val="TableParagraph"/>
              <w:spacing w:before="50"/>
              <w:ind w:right="69"/>
              <w:rPr>
                <w:sz w:val="16"/>
              </w:rPr>
            </w:pPr>
            <w:r>
              <w:rPr>
                <w:w w:val="95"/>
                <w:sz w:val="16"/>
              </w:rPr>
              <w:t>0.43</w:t>
            </w:r>
          </w:p>
        </w:tc>
        <w:tc>
          <w:tcPr>
            <w:tcW w:w="538" w:type="dxa"/>
          </w:tcPr>
          <w:p>
            <w:pPr>
              <w:pStyle w:val="TableParagraph"/>
              <w:spacing w:before="50"/>
              <w:ind w:right="68"/>
              <w:rPr>
                <w:sz w:val="16"/>
              </w:rPr>
            </w:pPr>
            <w:r>
              <w:rPr>
                <w:w w:val="98"/>
                <w:sz w:val="16"/>
              </w:rPr>
              <w:t>0</w:t>
            </w:r>
          </w:p>
        </w:tc>
        <w:tc>
          <w:tcPr>
            <w:tcW w:w="669" w:type="dxa"/>
          </w:tcPr>
          <w:p>
            <w:pPr>
              <w:pStyle w:val="TableParagraph"/>
              <w:spacing w:before="50"/>
              <w:ind w:right="66"/>
              <w:rPr>
                <w:sz w:val="16"/>
              </w:rPr>
            </w:pPr>
            <w:r>
              <w:rPr>
                <w:w w:val="95"/>
                <w:sz w:val="16"/>
              </w:rPr>
              <w:t>2.82</w:t>
            </w:r>
          </w:p>
        </w:tc>
        <w:tc>
          <w:tcPr>
            <w:tcW w:w="535" w:type="dxa"/>
          </w:tcPr>
          <w:p>
            <w:pPr>
              <w:pStyle w:val="TableParagraph"/>
              <w:spacing w:before="50"/>
              <w:ind w:right="68"/>
              <w:rPr>
                <w:sz w:val="16"/>
              </w:rPr>
            </w:pPr>
            <w:r>
              <w:rPr>
                <w:w w:val="98"/>
                <w:sz w:val="16"/>
              </w:rPr>
              <w:t>0</w:t>
            </w:r>
          </w:p>
        </w:tc>
        <w:tc>
          <w:tcPr>
            <w:tcW w:w="667" w:type="dxa"/>
          </w:tcPr>
          <w:p>
            <w:pPr>
              <w:pStyle w:val="TableParagraph"/>
              <w:spacing w:before="50"/>
              <w:ind w:right="64"/>
              <w:rPr>
                <w:sz w:val="16"/>
              </w:rPr>
            </w:pPr>
            <w:r>
              <w:rPr>
                <w:sz w:val="16"/>
              </w:rPr>
              <w:t>317.59</w:t>
            </w:r>
          </w:p>
        </w:tc>
        <w:tc>
          <w:tcPr>
            <w:tcW w:w="666" w:type="dxa"/>
          </w:tcPr>
          <w:p>
            <w:pPr>
              <w:pStyle w:val="TableParagraph"/>
              <w:spacing w:before="50"/>
              <w:ind w:right="68"/>
              <w:rPr>
                <w:sz w:val="16"/>
              </w:rPr>
            </w:pPr>
            <w:r>
              <w:rPr>
                <w:sz w:val="16"/>
              </w:rPr>
              <w:t>64.17</w:t>
            </w:r>
          </w:p>
        </w:tc>
        <w:tc>
          <w:tcPr>
            <w:tcW w:w="543" w:type="dxa"/>
          </w:tcPr>
          <w:p>
            <w:pPr>
              <w:pStyle w:val="TableParagraph"/>
              <w:spacing w:before="50"/>
              <w:ind w:left="110"/>
              <w:jc w:val="left"/>
              <w:rPr>
                <w:sz w:val="16"/>
              </w:rPr>
            </w:pPr>
            <w:r>
              <w:rPr>
                <w:sz w:val="16"/>
              </w:rPr>
              <w:t>123.6</w:t>
            </w:r>
          </w:p>
        </w:tc>
        <w:tc>
          <w:tcPr>
            <w:tcW w:w="678" w:type="dxa"/>
          </w:tcPr>
          <w:p>
            <w:pPr>
              <w:pStyle w:val="TableParagraph"/>
              <w:spacing w:before="50"/>
              <w:ind w:right="69"/>
              <w:rPr>
                <w:sz w:val="16"/>
              </w:rPr>
            </w:pPr>
            <w:r>
              <w:rPr>
                <w:sz w:val="16"/>
              </w:rPr>
              <w:t>10.22</w:t>
            </w:r>
          </w:p>
        </w:tc>
        <w:tc>
          <w:tcPr>
            <w:tcW w:w="595" w:type="dxa"/>
          </w:tcPr>
          <w:p>
            <w:pPr>
              <w:pStyle w:val="TableParagraph"/>
              <w:spacing w:before="50"/>
              <w:ind w:right="64"/>
              <w:rPr>
                <w:sz w:val="16"/>
              </w:rPr>
            </w:pPr>
            <w:r>
              <w:rPr>
                <w:w w:val="95"/>
                <w:sz w:val="16"/>
              </w:rPr>
              <w:t>0.13</w:t>
            </w:r>
          </w:p>
        </w:tc>
        <w:tc>
          <w:tcPr>
            <w:tcW w:w="595" w:type="dxa"/>
          </w:tcPr>
          <w:p>
            <w:pPr>
              <w:pStyle w:val="TableParagraph"/>
              <w:spacing w:before="50"/>
              <w:ind w:right="69"/>
              <w:rPr>
                <w:sz w:val="16"/>
              </w:rPr>
            </w:pPr>
            <w:r>
              <w:rPr>
                <w:w w:val="95"/>
                <w:sz w:val="16"/>
              </w:rPr>
              <w:t>0.27</w:t>
            </w:r>
          </w:p>
        </w:tc>
        <w:tc>
          <w:tcPr>
            <w:tcW w:w="545" w:type="dxa"/>
          </w:tcPr>
          <w:p>
            <w:pPr>
              <w:pStyle w:val="TableParagraph"/>
              <w:spacing w:before="50"/>
              <w:ind w:right="66"/>
              <w:rPr>
                <w:sz w:val="16"/>
              </w:rPr>
            </w:pPr>
            <w:r>
              <w:rPr>
                <w:w w:val="95"/>
                <w:sz w:val="16"/>
              </w:rPr>
              <w:t>0.02</w:t>
            </w:r>
          </w:p>
        </w:tc>
        <w:tc>
          <w:tcPr>
            <w:tcW w:w="598" w:type="dxa"/>
          </w:tcPr>
          <w:p>
            <w:pPr>
              <w:pStyle w:val="TableParagraph"/>
              <w:spacing w:before="50"/>
              <w:ind w:right="69"/>
              <w:rPr>
                <w:sz w:val="16"/>
              </w:rPr>
            </w:pPr>
            <w:r>
              <w:rPr>
                <w:w w:val="95"/>
                <w:sz w:val="16"/>
              </w:rPr>
              <w:t>0.04</w:t>
            </w:r>
          </w:p>
        </w:tc>
        <w:tc>
          <w:tcPr>
            <w:tcW w:w="593" w:type="dxa"/>
          </w:tcPr>
          <w:p>
            <w:pPr>
              <w:pStyle w:val="TableParagraph"/>
              <w:spacing w:before="50"/>
              <w:ind w:right="67"/>
              <w:rPr>
                <w:sz w:val="16"/>
              </w:rPr>
            </w:pPr>
            <w:r>
              <w:rPr>
                <w:sz w:val="16"/>
              </w:rPr>
              <w:t>28.47</w:t>
            </w:r>
          </w:p>
        </w:tc>
        <w:tc>
          <w:tcPr>
            <w:tcW w:w="830" w:type="dxa"/>
          </w:tcPr>
          <w:p>
            <w:pPr>
              <w:pStyle w:val="TableParagraph"/>
              <w:spacing w:before="50"/>
              <w:ind w:right="66"/>
              <w:rPr>
                <w:sz w:val="16"/>
              </w:rPr>
            </w:pPr>
            <w:r>
              <w:rPr>
                <w:w w:val="95"/>
                <w:sz w:val="16"/>
              </w:rPr>
              <w:t>0.09</w:t>
            </w:r>
          </w:p>
        </w:tc>
        <w:tc>
          <w:tcPr>
            <w:tcW w:w="821" w:type="dxa"/>
          </w:tcPr>
          <w:p>
            <w:pPr>
              <w:pStyle w:val="TableParagraph"/>
              <w:spacing w:before="50"/>
              <w:ind w:right="66"/>
              <w:rPr>
                <w:sz w:val="16"/>
              </w:rPr>
            </w:pPr>
            <w:r>
              <w:rPr>
                <w:w w:val="95"/>
                <w:sz w:val="16"/>
              </w:rPr>
              <w:t>0.04</w:t>
            </w:r>
          </w:p>
        </w:tc>
        <w:tc>
          <w:tcPr>
            <w:tcW w:w="831" w:type="dxa"/>
          </w:tcPr>
          <w:p>
            <w:pPr>
              <w:pStyle w:val="TableParagraph"/>
              <w:spacing w:before="50"/>
              <w:ind w:right="66"/>
              <w:rPr>
                <w:sz w:val="16"/>
              </w:rPr>
            </w:pPr>
            <w:r>
              <w:rPr>
                <w:w w:val="95"/>
                <w:sz w:val="16"/>
              </w:rPr>
              <w:t>0.02</w:t>
            </w:r>
          </w:p>
        </w:tc>
        <w:tc>
          <w:tcPr>
            <w:tcW w:w="891" w:type="dxa"/>
          </w:tcPr>
          <w:p>
            <w:pPr>
              <w:pStyle w:val="TableParagraph"/>
              <w:spacing w:before="50"/>
              <w:ind w:right="198"/>
              <w:rPr>
                <w:sz w:val="16"/>
              </w:rPr>
            </w:pPr>
            <w:r>
              <w:rPr>
                <w:w w:val="98"/>
                <w:sz w:val="16"/>
              </w:rPr>
              <w:t>0</w:t>
            </w:r>
          </w:p>
        </w:tc>
      </w:tr>
      <w:tr>
        <w:trPr>
          <w:trHeight w:val="300" w:hRule="exact"/>
        </w:trPr>
        <w:tc>
          <w:tcPr>
            <w:tcW w:w="685" w:type="dxa"/>
          </w:tcPr>
          <w:p>
            <w:pPr>
              <w:pStyle w:val="TableParagraph"/>
              <w:spacing w:before="47"/>
              <w:ind w:right="72"/>
              <w:rPr>
                <w:sz w:val="16"/>
              </w:rPr>
            </w:pPr>
            <w:r>
              <w:rPr>
                <w:w w:val="98"/>
                <w:sz w:val="16"/>
              </w:rPr>
              <w:t>6</w:t>
            </w:r>
          </w:p>
        </w:tc>
        <w:tc>
          <w:tcPr>
            <w:tcW w:w="718" w:type="dxa"/>
          </w:tcPr>
          <w:p>
            <w:pPr>
              <w:pStyle w:val="TableParagraph"/>
              <w:spacing w:before="47"/>
              <w:ind w:right="71"/>
              <w:rPr>
                <w:sz w:val="16"/>
              </w:rPr>
            </w:pPr>
            <w:r>
              <w:rPr>
                <w:sz w:val="16"/>
              </w:rPr>
              <w:t>201.75</w:t>
            </w:r>
          </w:p>
        </w:tc>
        <w:tc>
          <w:tcPr>
            <w:tcW w:w="716" w:type="dxa"/>
          </w:tcPr>
          <w:p>
            <w:pPr>
              <w:pStyle w:val="TableParagraph"/>
              <w:spacing w:before="47"/>
              <w:ind w:right="66"/>
              <w:rPr>
                <w:sz w:val="16"/>
              </w:rPr>
            </w:pPr>
            <w:r>
              <w:rPr>
                <w:sz w:val="16"/>
              </w:rPr>
              <w:t>34.84</w:t>
            </w:r>
          </w:p>
        </w:tc>
        <w:tc>
          <w:tcPr>
            <w:tcW w:w="554" w:type="dxa"/>
          </w:tcPr>
          <w:p>
            <w:pPr>
              <w:pStyle w:val="TableParagraph"/>
              <w:spacing w:before="47"/>
              <w:ind w:right="69"/>
              <w:rPr>
                <w:sz w:val="16"/>
              </w:rPr>
            </w:pPr>
            <w:r>
              <w:rPr>
                <w:w w:val="95"/>
                <w:sz w:val="16"/>
              </w:rPr>
              <w:t>0.55</w:t>
            </w:r>
          </w:p>
        </w:tc>
        <w:tc>
          <w:tcPr>
            <w:tcW w:w="538" w:type="dxa"/>
          </w:tcPr>
          <w:p>
            <w:pPr>
              <w:pStyle w:val="TableParagraph"/>
              <w:spacing w:before="47"/>
              <w:ind w:right="68"/>
              <w:rPr>
                <w:sz w:val="16"/>
              </w:rPr>
            </w:pPr>
            <w:r>
              <w:rPr>
                <w:w w:val="98"/>
                <w:sz w:val="16"/>
              </w:rPr>
              <w:t>0</w:t>
            </w:r>
          </w:p>
        </w:tc>
        <w:tc>
          <w:tcPr>
            <w:tcW w:w="669" w:type="dxa"/>
          </w:tcPr>
          <w:p>
            <w:pPr>
              <w:pStyle w:val="TableParagraph"/>
              <w:spacing w:before="47"/>
              <w:ind w:right="66"/>
              <w:rPr>
                <w:sz w:val="16"/>
              </w:rPr>
            </w:pPr>
            <w:r>
              <w:rPr>
                <w:sz w:val="16"/>
              </w:rPr>
              <w:t>13.66</w:t>
            </w:r>
          </w:p>
        </w:tc>
        <w:tc>
          <w:tcPr>
            <w:tcW w:w="535" w:type="dxa"/>
          </w:tcPr>
          <w:p>
            <w:pPr>
              <w:pStyle w:val="TableParagraph"/>
              <w:spacing w:before="47"/>
              <w:ind w:right="68"/>
              <w:rPr>
                <w:sz w:val="16"/>
              </w:rPr>
            </w:pPr>
            <w:r>
              <w:rPr>
                <w:w w:val="98"/>
                <w:sz w:val="16"/>
              </w:rPr>
              <w:t>0</w:t>
            </w:r>
          </w:p>
        </w:tc>
        <w:tc>
          <w:tcPr>
            <w:tcW w:w="667" w:type="dxa"/>
          </w:tcPr>
          <w:p>
            <w:pPr>
              <w:pStyle w:val="TableParagraph"/>
              <w:spacing w:before="47"/>
              <w:ind w:right="64"/>
              <w:rPr>
                <w:sz w:val="16"/>
              </w:rPr>
            </w:pPr>
            <w:r>
              <w:rPr>
                <w:sz w:val="16"/>
              </w:rPr>
              <w:t>393.02</w:t>
            </w:r>
          </w:p>
        </w:tc>
        <w:tc>
          <w:tcPr>
            <w:tcW w:w="666" w:type="dxa"/>
          </w:tcPr>
          <w:p>
            <w:pPr>
              <w:pStyle w:val="TableParagraph"/>
              <w:spacing w:before="47"/>
              <w:ind w:right="68"/>
              <w:rPr>
                <w:sz w:val="16"/>
              </w:rPr>
            </w:pPr>
            <w:r>
              <w:rPr>
                <w:sz w:val="16"/>
              </w:rPr>
              <w:t>74.81</w:t>
            </w:r>
          </w:p>
        </w:tc>
        <w:tc>
          <w:tcPr>
            <w:tcW w:w="543" w:type="dxa"/>
          </w:tcPr>
          <w:p>
            <w:pPr>
              <w:pStyle w:val="TableParagraph"/>
              <w:spacing w:before="47"/>
              <w:ind w:left="110"/>
              <w:jc w:val="left"/>
              <w:rPr>
                <w:sz w:val="16"/>
              </w:rPr>
            </w:pPr>
            <w:r>
              <w:rPr>
                <w:sz w:val="16"/>
              </w:rPr>
              <w:t>99.33</w:t>
            </w:r>
          </w:p>
        </w:tc>
        <w:tc>
          <w:tcPr>
            <w:tcW w:w="678" w:type="dxa"/>
          </w:tcPr>
          <w:p>
            <w:pPr>
              <w:pStyle w:val="TableParagraph"/>
              <w:spacing w:before="47"/>
              <w:ind w:right="69"/>
              <w:rPr>
                <w:sz w:val="16"/>
              </w:rPr>
            </w:pPr>
            <w:r>
              <w:rPr>
                <w:sz w:val="16"/>
              </w:rPr>
              <w:t>39.62</w:t>
            </w:r>
          </w:p>
        </w:tc>
        <w:tc>
          <w:tcPr>
            <w:tcW w:w="595" w:type="dxa"/>
          </w:tcPr>
          <w:p>
            <w:pPr>
              <w:pStyle w:val="TableParagraph"/>
              <w:spacing w:before="47"/>
              <w:ind w:right="64"/>
              <w:rPr>
                <w:sz w:val="16"/>
              </w:rPr>
            </w:pPr>
            <w:r>
              <w:rPr>
                <w:w w:val="95"/>
                <w:sz w:val="16"/>
              </w:rPr>
              <w:t>2.36</w:t>
            </w:r>
          </w:p>
        </w:tc>
        <w:tc>
          <w:tcPr>
            <w:tcW w:w="595" w:type="dxa"/>
          </w:tcPr>
          <w:p>
            <w:pPr>
              <w:pStyle w:val="TableParagraph"/>
              <w:spacing w:before="47"/>
              <w:ind w:right="69"/>
              <w:rPr>
                <w:sz w:val="16"/>
              </w:rPr>
            </w:pPr>
            <w:r>
              <w:rPr>
                <w:w w:val="95"/>
                <w:sz w:val="16"/>
              </w:rPr>
              <w:t>0.16</w:t>
            </w:r>
          </w:p>
        </w:tc>
        <w:tc>
          <w:tcPr>
            <w:tcW w:w="545" w:type="dxa"/>
          </w:tcPr>
          <w:p>
            <w:pPr>
              <w:pStyle w:val="TableParagraph"/>
              <w:spacing w:before="47"/>
              <w:ind w:right="66"/>
              <w:rPr>
                <w:sz w:val="16"/>
              </w:rPr>
            </w:pPr>
            <w:r>
              <w:rPr>
                <w:w w:val="95"/>
                <w:sz w:val="16"/>
              </w:rPr>
              <w:t>0.03</w:t>
            </w:r>
          </w:p>
        </w:tc>
        <w:tc>
          <w:tcPr>
            <w:tcW w:w="598" w:type="dxa"/>
          </w:tcPr>
          <w:p>
            <w:pPr>
              <w:pStyle w:val="TableParagraph"/>
              <w:spacing w:before="47"/>
              <w:ind w:right="69"/>
              <w:rPr>
                <w:sz w:val="16"/>
              </w:rPr>
            </w:pPr>
            <w:r>
              <w:rPr>
                <w:w w:val="95"/>
                <w:sz w:val="16"/>
              </w:rPr>
              <w:t>1.33</w:t>
            </w:r>
          </w:p>
        </w:tc>
        <w:tc>
          <w:tcPr>
            <w:tcW w:w="593" w:type="dxa"/>
          </w:tcPr>
          <w:p>
            <w:pPr>
              <w:pStyle w:val="TableParagraph"/>
              <w:spacing w:before="47"/>
              <w:ind w:right="67"/>
              <w:rPr>
                <w:sz w:val="16"/>
              </w:rPr>
            </w:pPr>
            <w:r>
              <w:rPr>
                <w:sz w:val="16"/>
              </w:rPr>
              <w:t>14.43</w:t>
            </w:r>
          </w:p>
        </w:tc>
        <w:tc>
          <w:tcPr>
            <w:tcW w:w="830" w:type="dxa"/>
          </w:tcPr>
          <w:p>
            <w:pPr>
              <w:pStyle w:val="TableParagraph"/>
              <w:spacing w:before="47"/>
              <w:ind w:right="66"/>
              <w:rPr>
                <w:sz w:val="16"/>
              </w:rPr>
            </w:pPr>
            <w:r>
              <w:rPr>
                <w:w w:val="95"/>
                <w:sz w:val="16"/>
              </w:rPr>
              <w:t>1.04</w:t>
            </w:r>
          </w:p>
        </w:tc>
        <w:tc>
          <w:tcPr>
            <w:tcW w:w="821" w:type="dxa"/>
          </w:tcPr>
          <w:p>
            <w:pPr>
              <w:pStyle w:val="TableParagraph"/>
              <w:spacing w:before="47"/>
              <w:ind w:right="66"/>
              <w:rPr>
                <w:sz w:val="16"/>
              </w:rPr>
            </w:pPr>
            <w:r>
              <w:rPr>
                <w:w w:val="95"/>
                <w:sz w:val="16"/>
              </w:rPr>
              <w:t>0.39</w:t>
            </w:r>
          </w:p>
        </w:tc>
        <w:tc>
          <w:tcPr>
            <w:tcW w:w="831" w:type="dxa"/>
          </w:tcPr>
          <w:p>
            <w:pPr>
              <w:pStyle w:val="TableParagraph"/>
              <w:spacing w:before="47"/>
              <w:ind w:right="66"/>
              <w:rPr>
                <w:sz w:val="16"/>
              </w:rPr>
            </w:pPr>
            <w:r>
              <w:rPr>
                <w:w w:val="95"/>
                <w:sz w:val="16"/>
              </w:rPr>
              <w:t>0.21</w:t>
            </w:r>
          </w:p>
        </w:tc>
        <w:tc>
          <w:tcPr>
            <w:tcW w:w="891" w:type="dxa"/>
          </w:tcPr>
          <w:p>
            <w:pPr>
              <w:pStyle w:val="TableParagraph"/>
              <w:spacing w:before="47"/>
              <w:ind w:right="198"/>
              <w:rPr>
                <w:sz w:val="16"/>
              </w:rPr>
            </w:pPr>
            <w:r>
              <w:rPr>
                <w:w w:val="98"/>
                <w:sz w:val="16"/>
              </w:rPr>
              <w:t>0</w:t>
            </w:r>
          </w:p>
        </w:tc>
      </w:tr>
      <w:tr>
        <w:trPr>
          <w:trHeight w:val="300" w:hRule="exact"/>
        </w:trPr>
        <w:tc>
          <w:tcPr>
            <w:tcW w:w="685" w:type="dxa"/>
          </w:tcPr>
          <w:p>
            <w:pPr>
              <w:pStyle w:val="TableParagraph"/>
              <w:spacing w:before="50"/>
              <w:ind w:right="72"/>
              <w:rPr>
                <w:sz w:val="16"/>
              </w:rPr>
            </w:pPr>
            <w:r>
              <w:rPr>
                <w:w w:val="98"/>
                <w:sz w:val="16"/>
              </w:rPr>
              <w:t>7</w:t>
            </w:r>
          </w:p>
        </w:tc>
        <w:tc>
          <w:tcPr>
            <w:tcW w:w="718" w:type="dxa"/>
          </w:tcPr>
          <w:p>
            <w:pPr>
              <w:pStyle w:val="TableParagraph"/>
              <w:spacing w:before="50"/>
              <w:ind w:right="70"/>
              <w:rPr>
                <w:sz w:val="16"/>
              </w:rPr>
            </w:pPr>
            <w:r>
              <w:rPr>
                <w:sz w:val="16"/>
              </w:rPr>
              <w:t>213.4</w:t>
            </w:r>
          </w:p>
        </w:tc>
        <w:tc>
          <w:tcPr>
            <w:tcW w:w="716" w:type="dxa"/>
          </w:tcPr>
          <w:p>
            <w:pPr>
              <w:pStyle w:val="TableParagraph"/>
              <w:spacing w:before="50"/>
              <w:ind w:right="66"/>
              <w:rPr>
                <w:sz w:val="16"/>
              </w:rPr>
            </w:pPr>
            <w:r>
              <w:rPr>
                <w:sz w:val="16"/>
              </w:rPr>
              <w:t>38.29</w:t>
            </w:r>
          </w:p>
        </w:tc>
        <w:tc>
          <w:tcPr>
            <w:tcW w:w="554" w:type="dxa"/>
          </w:tcPr>
          <w:p>
            <w:pPr>
              <w:pStyle w:val="TableParagraph"/>
              <w:spacing w:before="50"/>
              <w:ind w:right="69"/>
              <w:rPr>
                <w:sz w:val="16"/>
              </w:rPr>
            </w:pPr>
            <w:r>
              <w:rPr>
                <w:w w:val="95"/>
                <w:sz w:val="16"/>
              </w:rPr>
              <w:t>1.22</w:t>
            </w:r>
          </w:p>
        </w:tc>
        <w:tc>
          <w:tcPr>
            <w:tcW w:w="538" w:type="dxa"/>
          </w:tcPr>
          <w:p>
            <w:pPr>
              <w:pStyle w:val="TableParagraph"/>
              <w:spacing w:before="50"/>
              <w:ind w:right="68"/>
              <w:rPr>
                <w:sz w:val="16"/>
              </w:rPr>
            </w:pPr>
            <w:r>
              <w:rPr>
                <w:w w:val="98"/>
                <w:sz w:val="16"/>
              </w:rPr>
              <w:t>0</w:t>
            </w:r>
          </w:p>
        </w:tc>
        <w:tc>
          <w:tcPr>
            <w:tcW w:w="669" w:type="dxa"/>
          </w:tcPr>
          <w:p>
            <w:pPr>
              <w:pStyle w:val="TableParagraph"/>
              <w:spacing w:before="50"/>
              <w:ind w:right="66"/>
              <w:rPr>
                <w:sz w:val="16"/>
              </w:rPr>
            </w:pPr>
            <w:r>
              <w:rPr>
                <w:w w:val="95"/>
                <w:sz w:val="16"/>
              </w:rPr>
              <w:t>53.3</w:t>
            </w:r>
          </w:p>
        </w:tc>
        <w:tc>
          <w:tcPr>
            <w:tcW w:w="535" w:type="dxa"/>
          </w:tcPr>
          <w:p>
            <w:pPr>
              <w:pStyle w:val="TableParagraph"/>
              <w:spacing w:before="50"/>
              <w:ind w:right="68"/>
              <w:rPr>
                <w:sz w:val="16"/>
              </w:rPr>
            </w:pPr>
            <w:r>
              <w:rPr>
                <w:w w:val="98"/>
                <w:sz w:val="16"/>
              </w:rPr>
              <w:t>0</w:t>
            </w:r>
          </w:p>
        </w:tc>
        <w:tc>
          <w:tcPr>
            <w:tcW w:w="667" w:type="dxa"/>
          </w:tcPr>
          <w:p>
            <w:pPr>
              <w:pStyle w:val="TableParagraph"/>
              <w:spacing w:before="50"/>
              <w:ind w:right="64"/>
              <w:rPr>
                <w:sz w:val="16"/>
              </w:rPr>
            </w:pPr>
            <w:r>
              <w:rPr>
                <w:sz w:val="16"/>
              </w:rPr>
              <w:t>412.32</w:t>
            </w:r>
          </w:p>
        </w:tc>
        <w:tc>
          <w:tcPr>
            <w:tcW w:w="666" w:type="dxa"/>
          </w:tcPr>
          <w:p>
            <w:pPr>
              <w:pStyle w:val="TableParagraph"/>
              <w:spacing w:before="50"/>
              <w:ind w:right="68"/>
              <w:rPr>
                <w:sz w:val="16"/>
              </w:rPr>
            </w:pPr>
            <w:r>
              <w:rPr>
                <w:sz w:val="16"/>
              </w:rPr>
              <w:t>97.17</w:t>
            </w:r>
          </w:p>
        </w:tc>
        <w:tc>
          <w:tcPr>
            <w:tcW w:w="543" w:type="dxa"/>
          </w:tcPr>
          <w:p>
            <w:pPr>
              <w:pStyle w:val="TableParagraph"/>
              <w:spacing w:before="50"/>
              <w:ind w:left="110"/>
              <w:jc w:val="left"/>
              <w:rPr>
                <w:sz w:val="16"/>
              </w:rPr>
            </w:pPr>
            <w:r>
              <w:rPr>
                <w:sz w:val="16"/>
              </w:rPr>
              <w:t>112.2</w:t>
            </w:r>
          </w:p>
        </w:tc>
        <w:tc>
          <w:tcPr>
            <w:tcW w:w="678" w:type="dxa"/>
          </w:tcPr>
          <w:p>
            <w:pPr>
              <w:pStyle w:val="TableParagraph"/>
              <w:spacing w:before="50"/>
              <w:ind w:right="69"/>
              <w:rPr>
                <w:sz w:val="16"/>
              </w:rPr>
            </w:pPr>
            <w:r>
              <w:rPr>
                <w:sz w:val="16"/>
              </w:rPr>
              <w:t>46.29</w:t>
            </w:r>
          </w:p>
        </w:tc>
        <w:tc>
          <w:tcPr>
            <w:tcW w:w="595" w:type="dxa"/>
          </w:tcPr>
          <w:p>
            <w:pPr>
              <w:pStyle w:val="TableParagraph"/>
              <w:spacing w:before="50"/>
              <w:ind w:right="64"/>
              <w:rPr>
                <w:sz w:val="16"/>
              </w:rPr>
            </w:pPr>
            <w:r>
              <w:rPr>
                <w:w w:val="95"/>
                <w:sz w:val="16"/>
              </w:rPr>
              <w:t>1.49</w:t>
            </w:r>
          </w:p>
        </w:tc>
        <w:tc>
          <w:tcPr>
            <w:tcW w:w="595" w:type="dxa"/>
          </w:tcPr>
          <w:p>
            <w:pPr>
              <w:pStyle w:val="TableParagraph"/>
              <w:spacing w:before="50"/>
              <w:ind w:right="69"/>
              <w:rPr>
                <w:sz w:val="16"/>
              </w:rPr>
            </w:pPr>
            <w:r>
              <w:rPr>
                <w:w w:val="95"/>
                <w:sz w:val="16"/>
              </w:rPr>
              <w:t>1.43</w:t>
            </w:r>
          </w:p>
        </w:tc>
        <w:tc>
          <w:tcPr>
            <w:tcW w:w="545" w:type="dxa"/>
          </w:tcPr>
          <w:p>
            <w:pPr>
              <w:pStyle w:val="TableParagraph"/>
              <w:spacing w:before="50"/>
              <w:ind w:right="66"/>
              <w:rPr>
                <w:sz w:val="16"/>
              </w:rPr>
            </w:pPr>
            <w:r>
              <w:rPr>
                <w:w w:val="95"/>
                <w:sz w:val="16"/>
              </w:rPr>
              <w:t>0.04</w:t>
            </w:r>
          </w:p>
        </w:tc>
        <w:tc>
          <w:tcPr>
            <w:tcW w:w="598" w:type="dxa"/>
          </w:tcPr>
          <w:p>
            <w:pPr>
              <w:pStyle w:val="TableParagraph"/>
              <w:spacing w:before="50"/>
              <w:ind w:right="69"/>
              <w:rPr>
                <w:sz w:val="16"/>
              </w:rPr>
            </w:pPr>
            <w:r>
              <w:rPr>
                <w:w w:val="95"/>
                <w:sz w:val="16"/>
              </w:rPr>
              <w:t>3.35</w:t>
            </w:r>
          </w:p>
        </w:tc>
        <w:tc>
          <w:tcPr>
            <w:tcW w:w="593" w:type="dxa"/>
          </w:tcPr>
          <w:p>
            <w:pPr>
              <w:pStyle w:val="TableParagraph"/>
              <w:spacing w:before="50"/>
              <w:ind w:right="67"/>
              <w:rPr>
                <w:sz w:val="16"/>
              </w:rPr>
            </w:pPr>
            <w:r>
              <w:rPr>
                <w:sz w:val="16"/>
              </w:rPr>
              <w:t>26.78</w:t>
            </w:r>
          </w:p>
        </w:tc>
        <w:tc>
          <w:tcPr>
            <w:tcW w:w="830" w:type="dxa"/>
          </w:tcPr>
          <w:p>
            <w:pPr>
              <w:pStyle w:val="TableParagraph"/>
              <w:spacing w:before="50"/>
              <w:ind w:right="66"/>
              <w:rPr>
                <w:sz w:val="16"/>
              </w:rPr>
            </w:pPr>
            <w:r>
              <w:rPr>
                <w:w w:val="95"/>
                <w:sz w:val="16"/>
              </w:rPr>
              <w:t>0.72</w:t>
            </w:r>
          </w:p>
        </w:tc>
        <w:tc>
          <w:tcPr>
            <w:tcW w:w="821" w:type="dxa"/>
          </w:tcPr>
          <w:p>
            <w:pPr>
              <w:pStyle w:val="TableParagraph"/>
              <w:spacing w:before="50"/>
              <w:ind w:right="66"/>
              <w:rPr>
                <w:sz w:val="16"/>
              </w:rPr>
            </w:pPr>
            <w:r>
              <w:rPr>
                <w:w w:val="95"/>
                <w:sz w:val="16"/>
              </w:rPr>
              <w:t>0.37</w:t>
            </w:r>
          </w:p>
        </w:tc>
        <w:tc>
          <w:tcPr>
            <w:tcW w:w="831" w:type="dxa"/>
          </w:tcPr>
          <w:p>
            <w:pPr>
              <w:pStyle w:val="TableParagraph"/>
              <w:spacing w:before="50"/>
              <w:ind w:right="66"/>
              <w:rPr>
                <w:sz w:val="16"/>
              </w:rPr>
            </w:pPr>
            <w:r>
              <w:rPr>
                <w:w w:val="95"/>
                <w:sz w:val="16"/>
              </w:rPr>
              <w:t>0.15</w:t>
            </w:r>
          </w:p>
        </w:tc>
        <w:tc>
          <w:tcPr>
            <w:tcW w:w="891" w:type="dxa"/>
          </w:tcPr>
          <w:p>
            <w:pPr>
              <w:pStyle w:val="TableParagraph"/>
              <w:spacing w:before="50"/>
              <w:ind w:right="198"/>
              <w:rPr>
                <w:sz w:val="16"/>
              </w:rPr>
            </w:pPr>
            <w:r>
              <w:rPr>
                <w:w w:val="98"/>
                <w:sz w:val="16"/>
              </w:rPr>
              <w:t>0</w:t>
            </w:r>
          </w:p>
        </w:tc>
      </w:tr>
      <w:tr>
        <w:trPr>
          <w:trHeight w:val="300" w:hRule="exact"/>
        </w:trPr>
        <w:tc>
          <w:tcPr>
            <w:tcW w:w="685" w:type="dxa"/>
          </w:tcPr>
          <w:p>
            <w:pPr>
              <w:pStyle w:val="TableParagraph"/>
              <w:spacing w:before="47"/>
              <w:ind w:right="72"/>
              <w:rPr>
                <w:sz w:val="16"/>
              </w:rPr>
            </w:pPr>
            <w:r>
              <w:rPr>
                <w:w w:val="98"/>
                <w:sz w:val="16"/>
              </w:rPr>
              <w:t>8</w:t>
            </w:r>
          </w:p>
        </w:tc>
        <w:tc>
          <w:tcPr>
            <w:tcW w:w="718" w:type="dxa"/>
          </w:tcPr>
          <w:p>
            <w:pPr>
              <w:pStyle w:val="TableParagraph"/>
              <w:spacing w:before="47"/>
              <w:ind w:right="71"/>
              <w:rPr>
                <w:sz w:val="16"/>
              </w:rPr>
            </w:pPr>
            <w:r>
              <w:rPr>
                <w:sz w:val="16"/>
              </w:rPr>
              <w:t>180.97</w:t>
            </w:r>
          </w:p>
        </w:tc>
        <w:tc>
          <w:tcPr>
            <w:tcW w:w="716" w:type="dxa"/>
          </w:tcPr>
          <w:p>
            <w:pPr>
              <w:pStyle w:val="TableParagraph"/>
              <w:spacing w:before="47"/>
              <w:ind w:right="66"/>
              <w:rPr>
                <w:sz w:val="16"/>
              </w:rPr>
            </w:pPr>
            <w:r>
              <w:rPr>
                <w:sz w:val="16"/>
              </w:rPr>
              <w:t>41.43</w:t>
            </w:r>
          </w:p>
        </w:tc>
        <w:tc>
          <w:tcPr>
            <w:tcW w:w="554" w:type="dxa"/>
          </w:tcPr>
          <w:p>
            <w:pPr>
              <w:pStyle w:val="TableParagraph"/>
              <w:spacing w:before="47"/>
              <w:ind w:right="69"/>
              <w:rPr>
                <w:sz w:val="16"/>
              </w:rPr>
            </w:pPr>
            <w:r>
              <w:rPr>
                <w:w w:val="95"/>
                <w:sz w:val="16"/>
              </w:rPr>
              <w:t>1.72</w:t>
            </w:r>
          </w:p>
        </w:tc>
        <w:tc>
          <w:tcPr>
            <w:tcW w:w="538" w:type="dxa"/>
          </w:tcPr>
          <w:p>
            <w:pPr>
              <w:pStyle w:val="TableParagraph"/>
              <w:spacing w:before="47"/>
              <w:ind w:right="68"/>
              <w:rPr>
                <w:sz w:val="16"/>
              </w:rPr>
            </w:pPr>
            <w:r>
              <w:rPr>
                <w:w w:val="98"/>
                <w:sz w:val="16"/>
              </w:rPr>
              <w:t>0</w:t>
            </w:r>
          </w:p>
        </w:tc>
        <w:tc>
          <w:tcPr>
            <w:tcW w:w="669" w:type="dxa"/>
          </w:tcPr>
          <w:p>
            <w:pPr>
              <w:pStyle w:val="TableParagraph"/>
              <w:spacing w:before="47"/>
              <w:ind w:right="66"/>
              <w:rPr>
                <w:sz w:val="16"/>
              </w:rPr>
            </w:pPr>
            <w:r>
              <w:rPr>
                <w:w w:val="95"/>
                <w:sz w:val="16"/>
              </w:rPr>
              <w:t>45.3</w:t>
            </w:r>
          </w:p>
        </w:tc>
        <w:tc>
          <w:tcPr>
            <w:tcW w:w="535" w:type="dxa"/>
          </w:tcPr>
          <w:p>
            <w:pPr>
              <w:pStyle w:val="TableParagraph"/>
              <w:spacing w:before="47"/>
              <w:ind w:right="68"/>
              <w:rPr>
                <w:sz w:val="16"/>
              </w:rPr>
            </w:pPr>
            <w:r>
              <w:rPr>
                <w:w w:val="98"/>
                <w:sz w:val="16"/>
              </w:rPr>
              <w:t>0</w:t>
            </w:r>
          </w:p>
        </w:tc>
        <w:tc>
          <w:tcPr>
            <w:tcW w:w="667" w:type="dxa"/>
          </w:tcPr>
          <w:p>
            <w:pPr>
              <w:pStyle w:val="TableParagraph"/>
              <w:spacing w:before="47"/>
              <w:ind w:right="64"/>
              <w:rPr>
                <w:sz w:val="16"/>
              </w:rPr>
            </w:pPr>
            <w:r>
              <w:rPr>
                <w:sz w:val="16"/>
              </w:rPr>
              <w:t>389.52</w:t>
            </w:r>
          </w:p>
        </w:tc>
        <w:tc>
          <w:tcPr>
            <w:tcW w:w="666" w:type="dxa"/>
          </w:tcPr>
          <w:p>
            <w:pPr>
              <w:pStyle w:val="TableParagraph"/>
              <w:spacing w:before="47"/>
              <w:ind w:right="68"/>
              <w:rPr>
                <w:sz w:val="16"/>
              </w:rPr>
            </w:pPr>
            <w:r>
              <w:rPr>
                <w:sz w:val="16"/>
              </w:rPr>
              <w:t>112.96</w:t>
            </w:r>
          </w:p>
        </w:tc>
        <w:tc>
          <w:tcPr>
            <w:tcW w:w="543" w:type="dxa"/>
          </w:tcPr>
          <w:p>
            <w:pPr>
              <w:pStyle w:val="TableParagraph"/>
              <w:spacing w:before="47"/>
              <w:ind w:left="110"/>
              <w:jc w:val="left"/>
              <w:rPr>
                <w:sz w:val="16"/>
              </w:rPr>
            </w:pPr>
            <w:r>
              <w:rPr>
                <w:sz w:val="16"/>
              </w:rPr>
              <w:t>132.3</w:t>
            </w:r>
          </w:p>
        </w:tc>
        <w:tc>
          <w:tcPr>
            <w:tcW w:w="678" w:type="dxa"/>
          </w:tcPr>
          <w:p>
            <w:pPr>
              <w:pStyle w:val="TableParagraph"/>
              <w:spacing w:before="47"/>
              <w:ind w:right="69"/>
              <w:rPr>
                <w:sz w:val="16"/>
              </w:rPr>
            </w:pPr>
            <w:r>
              <w:rPr>
                <w:sz w:val="16"/>
              </w:rPr>
              <w:t>52.48</w:t>
            </w:r>
          </w:p>
        </w:tc>
        <w:tc>
          <w:tcPr>
            <w:tcW w:w="595" w:type="dxa"/>
          </w:tcPr>
          <w:p>
            <w:pPr>
              <w:pStyle w:val="TableParagraph"/>
              <w:spacing w:before="47"/>
              <w:ind w:right="64"/>
              <w:rPr>
                <w:sz w:val="16"/>
              </w:rPr>
            </w:pPr>
            <w:r>
              <w:rPr>
                <w:w w:val="95"/>
                <w:sz w:val="16"/>
              </w:rPr>
              <w:t>2.84</w:t>
            </w:r>
          </w:p>
        </w:tc>
        <w:tc>
          <w:tcPr>
            <w:tcW w:w="595" w:type="dxa"/>
          </w:tcPr>
          <w:p>
            <w:pPr>
              <w:pStyle w:val="TableParagraph"/>
              <w:spacing w:before="47"/>
              <w:ind w:right="69"/>
              <w:rPr>
                <w:sz w:val="16"/>
              </w:rPr>
            </w:pPr>
            <w:r>
              <w:rPr>
                <w:w w:val="95"/>
                <w:sz w:val="16"/>
              </w:rPr>
              <w:t>0.21</w:t>
            </w:r>
          </w:p>
        </w:tc>
        <w:tc>
          <w:tcPr>
            <w:tcW w:w="545" w:type="dxa"/>
          </w:tcPr>
          <w:p>
            <w:pPr>
              <w:pStyle w:val="TableParagraph"/>
              <w:spacing w:before="47"/>
              <w:ind w:right="66"/>
              <w:rPr>
                <w:sz w:val="16"/>
              </w:rPr>
            </w:pPr>
            <w:r>
              <w:rPr>
                <w:w w:val="95"/>
                <w:sz w:val="16"/>
              </w:rPr>
              <w:t>0.04</w:t>
            </w:r>
          </w:p>
        </w:tc>
        <w:tc>
          <w:tcPr>
            <w:tcW w:w="598" w:type="dxa"/>
          </w:tcPr>
          <w:p>
            <w:pPr>
              <w:pStyle w:val="TableParagraph"/>
              <w:spacing w:before="47"/>
              <w:ind w:right="69"/>
              <w:rPr>
                <w:sz w:val="16"/>
              </w:rPr>
            </w:pPr>
            <w:r>
              <w:rPr>
                <w:w w:val="95"/>
                <w:sz w:val="16"/>
              </w:rPr>
              <w:t>1.62</w:t>
            </w:r>
          </w:p>
        </w:tc>
        <w:tc>
          <w:tcPr>
            <w:tcW w:w="593" w:type="dxa"/>
          </w:tcPr>
          <w:p>
            <w:pPr>
              <w:pStyle w:val="TableParagraph"/>
              <w:spacing w:before="47"/>
              <w:ind w:right="67"/>
              <w:rPr>
                <w:sz w:val="16"/>
              </w:rPr>
            </w:pPr>
            <w:r>
              <w:rPr>
                <w:sz w:val="16"/>
              </w:rPr>
              <w:t>14.94</w:t>
            </w:r>
          </w:p>
        </w:tc>
        <w:tc>
          <w:tcPr>
            <w:tcW w:w="830" w:type="dxa"/>
          </w:tcPr>
          <w:p>
            <w:pPr>
              <w:pStyle w:val="TableParagraph"/>
              <w:spacing w:before="47"/>
              <w:ind w:right="71"/>
              <w:rPr>
                <w:sz w:val="16"/>
              </w:rPr>
            </w:pPr>
            <w:r>
              <w:rPr>
                <w:w w:val="95"/>
                <w:sz w:val="16"/>
              </w:rPr>
              <w:t>0.6</w:t>
            </w:r>
          </w:p>
        </w:tc>
        <w:tc>
          <w:tcPr>
            <w:tcW w:w="821" w:type="dxa"/>
          </w:tcPr>
          <w:p>
            <w:pPr>
              <w:pStyle w:val="TableParagraph"/>
              <w:spacing w:before="47"/>
              <w:ind w:right="66"/>
              <w:rPr>
                <w:sz w:val="16"/>
              </w:rPr>
            </w:pPr>
            <w:r>
              <w:rPr>
                <w:w w:val="95"/>
                <w:sz w:val="16"/>
              </w:rPr>
              <w:t>0.28</w:t>
            </w:r>
          </w:p>
        </w:tc>
        <w:tc>
          <w:tcPr>
            <w:tcW w:w="831" w:type="dxa"/>
          </w:tcPr>
          <w:p>
            <w:pPr>
              <w:pStyle w:val="TableParagraph"/>
              <w:spacing w:before="47"/>
              <w:ind w:right="66"/>
              <w:rPr>
                <w:sz w:val="16"/>
              </w:rPr>
            </w:pPr>
            <w:r>
              <w:rPr>
                <w:w w:val="95"/>
                <w:sz w:val="16"/>
              </w:rPr>
              <w:t>0.13</w:t>
            </w:r>
          </w:p>
        </w:tc>
        <w:tc>
          <w:tcPr>
            <w:tcW w:w="891" w:type="dxa"/>
          </w:tcPr>
          <w:p>
            <w:pPr>
              <w:pStyle w:val="TableParagraph"/>
              <w:spacing w:before="47"/>
              <w:ind w:right="198"/>
              <w:rPr>
                <w:sz w:val="16"/>
              </w:rPr>
            </w:pPr>
            <w:r>
              <w:rPr>
                <w:w w:val="98"/>
                <w:sz w:val="16"/>
              </w:rPr>
              <w:t>0</w:t>
            </w:r>
          </w:p>
        </w:tc>
      </w:tr>
      <w:tr>
        <w:trPr>
          <w:trHeight w:val="300" w:hRule="exact"/>
        </w:trPr>
        <w:tc>
          <w:tcPr>
            <w:tcW w:w="685" w:type="dxa"/>
          </w:tcPr>
          <w:p>
            <w:pPr>
              <w:pStyle w:val="TableParagraph"/>
              <w:spacing w:before="50"/>
              <w:ind w:right="72"/>
              <w:rPr>
                <w:sz w:val="16"/>
              </w:rPr>
            </w:pPr>
            <w:r>
              <w:rPr>
                <w:w w:val="99"/>
                <w:sz w:val="16"/>
              </w:rPr>
              <w:t>9</w:t>
            </w:r>
          </w:p>
        </w:tc>
        <w:tc>
          <w:tcPr>
            <w:tcW w:w="718" w:type="dxa"/>
          </w:tcPr>
          <w:p>
            <w:pPr>
              <w:pStyle w:val="TableParagraph"/>
              <w:spacing w:before="50"/>
              <w:ind w:right="70"/>
              <w:rPr>
                <w:sz w:val="16"/>
              </w:rPr>
            </w:pPr>
            <w:r>
              <w:rPr>
                <w:sz w:val="16"/>
              </w:rPr>
              <w:t>108.7</w:t>
            </w:r>
          </w:p>
        </w:tc>
        <w:tc>
          <w:tcPr>
            <w:tcW w:w="716" w:type="dxa"/>
          </w:tcPr>
          <w:p>
            <w:pPr>
              <w:pStyle w:val="TableParagraph"/>
              <w:spacing w:before="50"/>
              <w:ind w:right="66"/>
              <w:rPr>
                <w:sz w:val="16"/>
              </w:rPr>
            </w:pPr>
            <w:r>
              <w:rPr>
                <w:w w:val="95"/>
                <w:sz w:val="16"/>
              </w:rPr>
              <w:t>16.6</w:t>
            </w:r>
          </w:p>
        </w:tc>
        <w:tc>
          <w:tcPr>
            <w:tcW w:w="554" w:type="dxa"/>
          </w:tcPr>
          <w:p>
            <w:pPr>
              <w:pStyle w:val="TableParagraph"/>
              <w:spacing w:before="50"/>
              <w:ind w:right="69"/>
              <w:rPr>
                <w:sz w:val="16"/>
              </w:rPr>
            </w:pPr>
            <w:r>
              <w:rPr>
                <w:w w:val="95"/>
                <w:sz w:val="16"/>
              </w:rPr>
              <w:t>1.76</w:t>
            </w:r>
          </w:p>
        </w:tc>
        <w:tc>
          <w:tcPr>
            <w:tcW w:w="538" w:type="dxa"/>
          </w:tcPr>
          <w:p>
            <w:pPr>
              <w:pStyle w:val="TableParagraph"/>
              <w:spacing w:before="50"/>
              <w:ind w:right="68"/>
              <w:rPr>
                <w:sz w:val="16"/>
              </w:rPr>
            </w:pPr>
            <w:r>
              <w:rPr>
                <w:w w:val="99"/>
                <w:sz w:val="16"/>
              </w:rPr>
              <w:t>0</w:t>
            </w:r>
          </w:p>
        </w:tc>
        <w:tc>
          <w:tcPr>
            <w:tcW w:w="669" w:type="dxa"/>
          </w:tcPr>
          <w:p>
            <w:pPr>
              <w:pStyle w:val="TableParagraph"/>
              <w:spacing w:before="50"/>
              <w:ind w:right="66"/>
              <w:rPr>
                <w:sz w:val="16"/>
              </w:rPr>
            </w:pPr>
            <w:r>
              <w:rPr>
                <w:sz w:val="16"/>
              </w:rPr>
              <w:t>16.64</w:t>
            </w:r>
          </w:p>
        </w:tc>
        <w:tc>
          <w:tcPr>
            <w:tcW w:w="535" w:type="dxa"/>
          </w:tcPr>
          <w:p>
            <w:pPr>
              <w:pStyle w:val="TableParagraph"/>
              <w:spacing w:before="50"/>
              <w:ind w:right="68"/>
              <w:rPr>
                <w:sz w:val="16"/>
              </w:rPr>
            </w:pPr>
            <w:r>
              <w:rPr>
                <w:w w:val="99"/>
                <w:sz w:val="16"/>
              </w:rPr>
              <w:t>0</w:t>
            </w:r>
          </w:p>
        </w:tc>
        <w:tc>
          <w:tcPr>
            <w:tcW w:w="667" w:type="dxa"/>
          </w:tcPr>
          <w:p>
            <w:pPr>
              <w:pStyle w:val="TableParagraph"/>
              <w:spacing w:before="50"/>
              <w:ind w:right="64"/>
              <w:rPr>
                <w:sz w:val="16"/>
              </w:rPr>
            </w:pPr>
            <w:r>
              <w:rPr>
                <w:sz w:val="16"/>
              </w:rPr>
              <w:t>385.06</w:t>
            </w:r>
          </w:p>
        </w:tc>
        <w:tc>
          <w:tcPr>
            <w:tcW w:w="666" w:type="dxa"/>
          </w:tcPr>
          <w:p>
            <w:pPr>
              <w:pStyle w:val="TableParagraph"/>
              <w:spacing w:before="50"/>
              <w:ind w:right="68"/>
              <w:rPr>
                <w:sz w:val="16"/>
              </w:rPr>
            </w:pPr>
            <w:r>
              <w:rPr>
                <w:sz w:val="16"/>
              </w:rPr>
              <w:t>77.48</w:t>
            </w:r>
          </w:p>
        </w:tc>
        <w:tc>
          <w:tcPr>
            <w:tcW w:w="543" w:type="dxa"/>
          </w:tcPr>
          <w:p>
            <w:pPr>
              <w:pStyle w:val="TableParagraph"/>
              <w:spacing w:before="50"/>
              <w:ind w:left="110"/>
              <w:jc w:val="left"/>
              <w:rPr>
                <w:sz w:val="16"/>
              </w:rPr>
            </w:pPr>
            <w:r>
              <w:rPr>
                <w:sz w:val="16"/>
              </w:rPr>
              <w:t>92.42</w:t>
            </w:r>
          </w:p>
        </w:tc>
        <w:tc>
          <w:tcPr>
            <w:tcW w:w="678" w:type="dxa"/>
          </w:tcPr>
          <w:p>
            <w:pPr>
              <w:pStyle w:val="TableParagraph"/>
              <w:spacing w:before="50"/>
              <w:ind w:right="69"/>
              <w:rPr>
                <w:sz w:val="16"/>
              </w:rPr>
            </w:pPr>
            <w:r>
              <w:rPr>
                <w:sz w:val="16"/>
              </w:rPr>
              <w:t>31.48</w:t>
            </w:r>
          </w:p>
        </w:tc>
        <w:tc>
          <w:tcPr>
            <w:tcW w:w="595" w:type="dxa"/>
          </w:tcPr>
          <w:p>
            <w:pPr>
              <w:pStyle w:val="TableParagraph"/>
              <w:spacing w:before="50"/>
              <w:ind w:right="64"/>
              <w:rPr>
                <w:sz w:val="16"/>
              </w:rPr>
            </w:pPr>
            <w:r>
              <w:rPr>
                <w:w w:val="95"/>
                <w:sz w:val="16"/>
              </w:rPr>
              <w:t>0.81</w:t>
            </w:r>
          </w:p>
        </w:tc>
        <w:tc>
          <w:tcPr>
            <w:tcW w:w="595" w:type="dxa"/>
          </w:tcPr>
          <w:p>
            <w:pPr>
              <w:pStyle w:val="TableParagraph"/>
              <w:spacing w:before="50"/>
              <w:ind w:right="69"/>
              <w:rPr>
                <w:sz w:val="16"/>
              </w:rPr>
            </w:pPr>
            <w:r>
              <w:rPr>
                <w:w w:val="95"/>
                <w:sz w:val="16"/>
              </w:rPr>
              <w:t>0.07</w:t>
            </w:r>
          </w:p>
        </w:tc>
        <w:tc>
          <w:tcPr>
            <w:tcW w:w="545" w:type="dxa"/>
          </w:tcPr>
          <w:p>
            <w:pPr>
              <w:pStyle w:val="TableParagraph"/>
              <w:spacing w:before="50"/>
              <w:ind w:right="66"/>
              <w:rPr>
                <w:sz w:val="16"/>
              </w:rPr>
            </w:pPr>
            <w:r>
              <w:rPr>
                <w:w w:val="95"/>
                <w:sz w:val="16"/>
              </w:rPr>
              <w:t>0.03</w:t>
            </w:r>
          </w:p>
        </w:tc>
        <w:tc>
          <w:tcPr>
            <w:tcW w:w="598" w:type="dxa"/>
          </w:tcPr>
          <w:p>
            <w:pPr>
              <w:pStyle w:val="TableParagraph"/>
              <w:spacing w:before="50"/>
              <w:ind w:right="69"/>
              <w:rPr>
                <w:sz w:val="16"/>
              </w:rPr>
            </w:pPr>
            <w:r>
              <w:rPr>
                <w:w w:val="95"/>
                <w:sz w:val="16"/>
              </w:rPr>
              <w:t>0.69</w:t>
            </w:r>
          </w:p>
        </w:tc>
        <w:tc>
          <w:tcPr>
            <w:tcW w:w="593" w:type="dxa"/>
          </w:tcPr>
          <w:p>
            <w:pPr>
              <w:pStyle w:val="TableParagraph"/>
              <w:spacing w:before="50"/>
              <w:ind w:right="66"/>
              <w:rPr>
                <w:sz w:val="16"/>
              </w:rPr>
            </w:pPr>
            <w:r>
              <w:rPr>
                <w:w w:val="95"/>
                <w:sz w:val="16"/>
              </w:rPr>
              <w:t>1.78</w:t>
            </w:r>
          </w:p>
        </w:tc>
        <w:tc>
          <w:tcPr>
            <w:tcW w:w="830" w:type="dxa"/>
          </w:tcPr>
          <w:p>
            <w:pPr>
              <w:pStyle w:val="TableParagraph"/>
              <w:spacing w:before="50"/>
              <w:ind w:right="66"/>
              <w:rPr>
                <w:sz w:val="16"/>
              </w:rPr>
            </w:pPr>
            <w:r>
              <w:rPr>
                <w:w w:val="95"/>
                <w:sz w:val="16"/>
              </w:rPr>
              <w:t>0.21</w:t>
            </w:r>
          </w:p>
        </w:tc>
        <w:tc>
          <w:tcPr>
            <w:tcW w:w="821" w:type="dxa"/>
          </w:tcPr>
          <w:p>
            <w:pPr>
              <w:pStyle w:val="TableParagraph"/>
              <w:spacing w:before="50"/>
              <w:ind w:right="66"/>
              <w:rPr>
                <w:sz w:val="16"/>
              </w:rPr>
            </w:pPr>
            <w:r>
              <w:rPr>
                <w:w w:val="95"/>
                <w:sz w:val="16"/>
              </w:rPr>
              <w:t>0.11</w:t>
            </w:r>
          </w:p>
        </w:tc>
        <w:tc>
          <w:tcPr>
            <w:tcW w:w="831" w:type="dxa"/>
          </w:tcPr>
          <w:p>
            <w:pPr>
              <w:pStyle w:val="TableParagraph"/>
              <w:spacing w:before="50"/>
              <w:ind w:right="66"/>
              <w:rPr>
                <w:sz w:val="16"/>
              </w:rPr>
            </w:pPr>
            <w:r>
              <w:rPr>
                <w:w w:val="95"/>
                <w:sz w:val="16"/>
              </w:rPr>
              <w:t>0.04</w:t>
            </w:r>
          </w:p>
        </w:tc>
        <w:tc>
          <w:tcPr>
            <w:tcW w:w="891" w:type="dxa"/>
          </w:tcPr>
          <w:p>
            <w:pPr>
              <w:pStyle w:val="TableParagraph"/>
              <w:spacing w:before="50"/>
              <w:ind w:right="198"/>
              <w:rPr>
                <w:sz w:val="16"/>
              </w:rPr>
            </w:pPr>
            <w:r>
              <w:rPr>
                <w:w w:val="99"/>
                <w:sz w:val="16"/>
              </w:rPr>
              <w:t>0</w:t>
            </w:r>
          </w:p>
        </w:tc>
      </w:tr>
      <w:tr>
        <w:trPr>
          <w:trHeight w:val="300" w:hRule="exact"/>
        </w:trPr>
        <w:tc>
          <w:tcPr>
            <w:tcW w:w="685" w:type="dxa"/>
          </w:tcPr>
          <w:p>
            <w:pPr>
              <w:pStyle w:val="TableParagraph"/>
              <w:spacing w:before="47"/>
              <w:ind w:right="65"/>
              <w:rPr>
                <w:sz w:val="16"/>
              </w:rPr>
            </w:pPr>
            <w:r>
              <w:rPr>
                <w:sz w:val="16"/>
              </w:rPr>
              <w:t>10</w:t>
            </w:r>
          </w:p>
        </w:tc>
        <w:tc>
          <w:tcPr>
            <w:tcW w:w="718" w:type="dxa"/>
          </w:tcPr>
          <w:p>
            <w:pPr>
              <w:pStyle w:val="TableParagraph"/>
              <w:spacing w:before="47"/>
              <w:ind w:right="70"/>
              <w:rPr>
                <w:sz w:val="16"/>
              </w:rPr>
            </w:pPr>
            <w:r>
              <w:rPr>
                <w:sz w:val="16"/>
              </w:rPr>
              <w:t>19.33</w:t>
            </w:r>
          </w:p>
        </w:tc>
        <w:tc>
          <w:tcPr>
            <w:tcW w:w="716" w:type="dxa"/>
          </w:tcPr>
          <w:p>
            <w:pPr>
              <w:pStyle w:val="TableParagraph"/>
              <w:spacing w:before="47"/>
              <w:ind w:right="71"/>
              <w:rPr>
                <w:sz w:val="16"/>
              </w:rPr>
            </w:pPr>
            <w:r>
              <w:rPr>
                <w:w w:val="95"/>
                <w:sz w:val="16"/>
              </w:rPr>
              <w:t>1.2</w:t>
            </w:r>
          </w:p>
        </w:tc>
        <w:tc>
          <w:tcPr>
            <w:tcW w:w="554" w:type="dxa"/>
          </w:tcPr>
          <w:p>
            <w:pPr>
              <w:pStyle w:val="TableParagraph"/>
              <w:spacing w:before="47"/>
              <w:ind w:right="69"/>
              <w:rPr>
                <w:sz w:val="16"/>
              </w:rPr>
            </w:pPr>
            <w:r>
              <w:rPr>
                <w:w w:val="95"/>
                <w:sz w:val="16"/>
              </w:rPr>
              <w:t>1.46</w:t>
            </w:r>
          </w:p>
        </w:tc>
        <w:tc>
          <w:tcPr>
            <w:tcW w:w="538" w:type="dxa"/>
          </w:tcPr>
          <w:p>
            <w:pPr>
              <w:pStyle w:val="TableParagraph"/>
              <w:spacing w:before="47"/>
              <w:ind w:right="68"/>
              <w:rPr>
                <w:sz w:val="16"/>
              </w:rPr>
            </w:pPr>
            <w:r>
              <w:rPr>
                <w:w w:val="99"/>
                <w:sz w:val="16"/>
              </w:rPr>
              <w:t>0</w:t>
            </w:r>
          </w:p>
        </w:tc>
        <w:tc>
          <w:tcPr>
            <w:tcW w:w="669" w:type="dxa"/>
          </w:tcPr>
          <w:p>
            <w:pPr>
              <w:pStyle w:val="TableParagraph"/>
              <w:spacing w:before="47"/>
              <w:ind w:right="66"/>
              <w:rPr>
                <w:sz w:val="16"/>
              </w:rPr>
            </w:pPr>
            <w:r>
              <w:rPr>
                <w:w w:val="95"/>
                <w:sz w:val="16"/>
              </w:rPr>
              <w:t>1.82</w:t>
            </w:r>
          </w:p>
        </w:tc>
        <w:tc>
          <w:tcPr>
            <w:tcW w:w="535" w:type="dxa"/>
          </w:tcPr>
          <w:p>
            <w:pPr>
              <w:pStyle w:val="TableParagraph"/>
              <w:spacing w:before="47"/>
              <w:ind w:right="68"/>
              <w:rPr>
                <w:sz w:val="16"/>
              </w:rPr>
            </w:pPr>
            <w:r>
              <w:rPr>
                <w:w w:val="99"/>
                <w:sz w:val="16"/>
              </w:rPr>
              <w:t>0</w:t>
            </w:r>
          </w:p>
        </w:tc>
        <w:tc>
          <w:tcPr>
            <w:tcW w:w="667" w:type="dxa"/>
          </w:tcPr>
          <w:p>
            <w:pPr>
              <w:pStyle w:val="TableParagraph"/>
              <w:spacing w:before="47"/>
              <w:ind w:right="64"/>
              <w:rPr>
                <w:sz w:val="16"/>
              </w:rPr>
            </w:pPr>
            <w:r>
              <w:rPr>
                <w:sz w:val="16"/>
              </w:rPr>
              <w:t>338.55</w:t>
            </w:r>
          </w:p>
        </w:tc>
        <w:tc>
          <w:tcPr>
            <w:tcW w:w="666" w:type="dxa"/>
          </w:tcPr>
          <w:p>
            <w:pPr>
              <w:pStyle w:val="TableParagraph"/>
              <w:spacing w:before="47"/>
              <w:ind w:right="68"/>
              <w:rPr>
                <w:sz w:val="16"/>
              </w:rPr>
            </w:pPr>
            <w:r>
              <w:rPr>
                <w:sz w:val="16"/>
              </w:rPr>
              <w:t>62.59</w:t>
            </w:r>
          </w:p>
        </w:tc>
        <w:tc>
          <w:tcPr>
            <w:tcW w:w="543" w:type="dxa"/>
          </w:tcPr>
          <w:p>
            <w:pPr>
              <w:pStyle w:val="TableParagraph"/>
              <w:spacing w:before="47"/>
              <w:ind w:left="110"/>
              <w:jc w:val="left"/>
              <w:rPr>
                <w:sz w:val="16"/>
              </w:rPr>
            </w:pPr>
            <w:r>
              <w:rPr>
                <w:sz w:val="16"/>
              </w:rPr>
              <w:t>96.43</w:t>
            </w:r>
          </w:p>
        </w:tc>
        <w:tc>
          <w:tcPr>
            <w:tcW w:w="678" w:type="dxa"/>
          </w:tcPr>
          <w:p>
            <w:pPr>
              <w:pStyle w:val="TableParagraph"/>
              <w:spacing w:before="47"/>
              <w:ind w:right="69"/>
              <w:rPr>
                <w:sz w:val="16"/>
              </w:rPr>
            </w:pPr>
            <w:r>
              <w:rPr>
                <w:sz w:val="16"/>
              </w:rPr>
              <w:t>18.28</w:t>
            </w:r>
          </w:p>
        </w:tc>
        <w:tc>
          <w:tcPr>
            <w:tcW w:w="595" w:type="dxa"/>
          </w:tcPr>
          <w:p>
            <w:pPr>
              <w:pStyle w:val="TableParagraph"/>
              <w:spacing w:before="47"/>
              <w:ind w:right="64"/>
              <w:rPr>
                <w:sz w:val="16"/>
              </w:rPr>
            </w:pPr>
            <w:r>
              <w:rPr>
                <w:w w:val="95"/>
                <w:sz w:val="16"/>
              </w:rPr>
              <w:t>0.06</w:t>
            </w:r>
          </w:p>
        </w:tc>
        <w:tc>
          <w:tcPr>
            <w:tcW w:w="595" w:type="dxa"/>
          </w:tcPr>
          <w:p>
            <w:pPr>
              <w:pStyle w:val="TableParagraph"/>
              <w:spacing w:before="47"/>
              <w:ind w:right="69"/>
              <w:rPr>
                <w:sz w:val="16"/>
              </w:rPr>
            </w:pPr>
            <w:r>
              <w:rPr>
                <w:w w:val="95"/>
                <w:sz w:val="16"/>
              </w:rPr>
              <w:t>0.01</w:t>
            </w:r>
          </w:p>
        </w:tc>
        <w:tc>
          <w:tcPr>
            <w:tcW w:w="545" w:type="dxa"/>
          </w:tcPr>
          <w:p>
            <w:pPr>
              <w:pStyle w:val="TableParagraph"/>
              <w:spacing w:before="47"/>
              <w:ind w:right="66"/>
              <w:rPr>
                <w:sz w:val="16"/>
              </w:rPr>
            </w:pPr>
            <w:r>
              <w:rPr>
                <w:w w:val="95"/>
                <w:sz w:val="16"/>
              </w:rPr>
              <w:t>0.02</w:t>
            </w:r>
          </w:p>
        </w:tc>
        <w:tc>
          <w:tcPr>
            <w:tcW w:w="598" w:type="dxa"/>
          </w:tcPr>
          <w:p>
            <w:pPr>
              <w:pStyle w:val="TableParagraph"/>
              <w:spacing w:before="47"/>
              <w:ind w:right="69"/>
              <w:rPr>
                <w:sz w:val="16"/>
              </w:rPr>
            </w:pPr>
            <w:r>
              <w:rPr>
                <w:w w:val="95"/>
                <w:sz w:val="16"/>
              </w:rPr>
              <w:t>0.02</w:t>
            </w:r>
          </w:p>
        </w:tc>
        <w:tc>
          <w:tcPr>
            <w:tcW w:w="593" w:type="dxa"/>
          </w:tcPr>
          <w:p>
            <w:pPr>
              <w:pStyle w:val="TableParagraph"/>
              <w:spacing w:before="47"/>
              <w:ind w:right="66"/>
              <w:rPr>
                <w:sz w:val="16"/>
              </w:rPr>
            </w:pPr>
            <w:r>
              <w:rPr>
                <w:w w:val="95"/>
                <w:sz w:val="16"/>
              </w:rPr>
              <w:t>0.61</w:t>
            </w:r>
          </w:p>
        </w:tc>
        <w:tc>
          <w:tcPr>
            <w:tcW w:w="830" w:type="dxa"/>
          </w:tcPr>
          <w:p>
            <w:pPr>
              <w:pStyle w:val="TableParagraph"/>
              <w:spacing w:before="47"/>
              <w:ind w:right="66"/>
              <w:rPr>
                <w:sz w:val="16"/>
              </w:rPr>
            </w:pPr>
            <w:r>
              <w:rPr>
                <w:w w:val="95"/>
                <w:sz w:val="16"/>
              </w:rPr>
              <w:t>0.02</w:t>
            </w:r>
          </w:p>
        </w:tc>
        <w:tc>
          <w:tcPr>
            <w:tcW w:w="821" w:type="dxa"/>
          </w:tcPr>
          <w:p>
            <w:pPr>
              <w:pStyle w:val="TableParagraph"/>
              <w:spacing w:before="47"/>
              <w:ind w:right="66"/>
              <w:rPr>
                <w:sz w:val="16"/>
              </w:rPr>
            </w:pPr>
            <w:r>
              <w:rPr>
                <w:w w:val="95"/>
                <w:sz w:val="16"/>
              </w:rPr>
              <w:t>0.01</w:t>
            </w:r>
          </w:p>
        </w:tc>
        <w:tc>
          <w:tcPr>
            <w:tcW w:w="831" w:type="dxa"/>
          </w:tcPr>
          <w:p>
            <w:pPr>
              <w:pStyle w:val="TableParagraph"/>
              <w:spacing w:before="47"/>
              <w:ind w:right="72"/>
              <w:rPr>
                <w:sz w:val="16"/>
              </w:rPr>
            </w:pPr>
            <w:r>
              <w:rPr>
                <w:w w:val="99"/>
                <w:sz w:val="16"/>
              </w:rPr>
              <w:t>0</w:t>
            </w:r>
          </w:p>
        </w:tc>
        <w:tc>
          <w:tcPr>
            <w:tcW w:w="891" w:type="dxa"/>
          </w:tcPr>
          <w:p>
            <w:pPr>
              <w:pStyle w:val="TableParagraph"/>
              <w:spacing w:before="47"/>
              <w:ind w:right="198"/>
              <w:rPr>
                <w:sz w:val="16"/>
              </w:rPr>
            </w:pPr>
            <w:r>
              <w:rPr>
                <w:w w:val="99"/>
                <w:sz w:val="16"/>
              </w:rPr>
              <w:t>0</w:t>
            </w:r>
          </w:p>
        </w:tc>
      </w:tr>
      <w:tr>
        <w:trPr>
          <w:trHeight w:val="300" w:hRule="exact"/>
        </w:trPr>
        <w:tc>
          <w:tcPr>
            <w:tcW w:w="685" w:type="dxa"/>
          </w:tcPr>
          <w:p>
            <w:pPr>
              <w:pStyle w:val="TableParagraph"/>
              <w:spacing w:before="50"/>
              <w:ind w:right="65"/>
              <w:rPr>
                <w:sz w:val="16"/>
              </w:rPr>
            </w:pPr>
            <w:r>
              <w:rPr>
                <w:sz w:val="16"/>
              </w:rPr>
              <w:t>11</w:t>
            </w:r>
          </w:p>
        </w:tc>
        <w:tc>
          <w:tcPr>
            <w:tcW w:w="718" w:type="dxa"/>
          </w:tcPr>
          <w:p>
            <w:pPr>
              <w:pStyle w:val="TableParagraph"/>
              <w:spacing w:before="50"/>
              <w:ind w:right="75"/>
              <w:rPr>
                <w:sz w:val="16"/>
              </w:rPr>
            </w:pPr>
            <w:r>
              <w:rPr>
                <w:w w:val="95"/>
                <w:sz w:val="16"/>
              </w:rPr>
              <w:t>9.7</w:t>
            </w:r>
          </w:p>
        </w:tc>
        <w:tc>
          <w:tcPr>
            <w:tcW w:w="716" w:type="dxa"/>
          </w:tcPr>
          <w:p>
            <w:pPr>
              <w:pStyle w:val="TableParagraph"/>
              <w:spacing w:before="50"/>
              <w:ind w:right="66"/>
              <w:rPr>
                <w:sz w:val="16"/>
              </w:rPr>
            </w:pPr>
            <w:r>
              <w:rPr>
                <w:w w:val="95"/>
                <w:sz w:val="16"/>
              </w:rPr>
              <w:t>0.09</w:t>
            </w:r>
          </w:p>
        </w:tc>
        <w:tc>
          <w:tcPr>
            <w:tcW w:w="554" w:type="dxa"/>
          </w:tcPr>
          <w:p>
            <w:pPr>
              <w:pStyle w:val="TableParagraph"/>
              <w:spacing w:before="50"/>
              <w:ind w:right="69"/>
              <w:rPr>
                <w:sz w:val="16"/>
              </w:rPr>
            </w:pPr>
            <w:r>
              <w:rPr>
                <w:w w:val="95"/>
                <w:sz w:val="16"/>
              </w:rPr>
              <w:t>1.03</w:t>
            </w:r>
          </w:p>
        </w:tc>
        <w:tc>
          <w:tcPr>
            <w:tcW w:w="538" w:type="dxa"/>
          </w:tcPr>
          <w:p>
            <w:pPr>
              <w:pStyle w:val="TableParagraph"/>
              <w:spacing w:before="50"/>
              <w:ind w:right="68"/>
              <w:rPr>
                <w:sz w:val="16"/>
              </w:rPr>
            </w:pPr>
            <w:r>
              <w:rPr>
                <w:w w:val="99"/>
                <w:sz w:val="16"/>
              </w:rPr>
              <w:t>0</w:t>
            </w:r>
          </w:p>
        </w:tc>
        <w:tc>
          <w:tcPr>
            <w:tcW w:w="669" w:type="dxa"/>
          </w:tcPr>
          <w:p>
            <w:pPr>
              <w:pStyle w:val="TableParagraph"/>
              <w:spacing w:before="50"/>
              <w:ind w:right="66"/>
              <w:rPr>
                <w:sz w:val="16"/>
              </w:rPr>
            </w:pPr>
            <w:r>
              <w:rPr>
                <w:w w:val="95"/>
                <w:sz w:val="16"/>
              </w:rPr>
              <w:t>0.13</w:t>
            </w:r>
          </w:p>
        </w:tc>
        <w:tc>
          <w:tcPr>
            <w:tcW w:w="535" w:type="dxa"/>
          </w:tcPr>
          <w:p>
            <w:pPr>
              <w:pStyle w:val="TableParagraph"/>
              <w:spacing w:before="50"/>
              <w:ind w:right="68"/>
              <w:rPr>
                <w:sz w:val="16"/>
              </w:rPr>
            </w:pPr>
            <w:r>
              <w:rPr>
                <w:w w:val="99"/>
                <w:sz w:val="16"/>
              </w:rPr>
              <w:t>0</w:t>
            </w:r>
          </w:p>
        </w:tc>
        <w:tc>
          <w:tcPr>
            <w:tcW w:w="667" w:type="dxa"/>
          </w:tcPr>
          <w:p>
            <w:pPr>
              <w:pStyle w:val="TableParagraph"/>
              <w:spacing w:before="50"/>
              <w:ind w:right="64"/>
              <w:rPr>
                <w:sz w:val="16"/>
              </w:rPr>
            </w:pPr>
            <w:r>
              <w:rPr>
                <w:sz w:val="16"/>
              </w:rPr>
              <w:t>325.69</w:t>
            </w:r>
          </w:p>
        </w:tc>
        <w:tc>
          <w:tcPr>
            <w:tcW w:w="666" w:type="dxa"/>
          </w:tcPr>
          <w:p>
            <w:pPr>
              <w:pStyle w:val="TableParagraph"/>
              <w:spacing w:before="50"/>
              <w:ind w:right="68"/>
              <w:rPr>
                <w:sz w:val="16"/>
              </w:rPr>
            </w:pPr>
            <w:r>
              <w:rPr>
                <w:sz w:val="16"/>
              </w:rPr>
              <w:t>22.26</w:t>
            </w:r>
          </w:p>
        </w:tc>
        <w:tc>
          <w:tcPr>
            <w:tcW w:w="543" w:type="dxa"/>
          </w:tcPr>
          <w:p>
            <w:pPr>
              <w:pStyle w:val="TableParagraph"/>
              <w:spacing w:before="50"/>
              <w:ind w:left="110"/>
              <w:jc w:val="left"/>
              <w:rPr>
                <w:sz w:val="16"/>
              </w:rPr>
            </w:pPr>
            <w:r>
              <w:rPr>
                <w:sz w:val="16"/>
              </w:rPr>
              <w:t>79.95</w:t>
            </w:r>
          </w:p>
        </w:tc>
        <w:tc>
          <w:tcPr>
            <w:tcW w:w="678" w:type="dxa"/>
          </w:tcPr>
          <w:p>
            <w:pPr>
              <w:pStyle w:val="TableParagraph"/>
              <w:spacing w:before="50"/>
              <w:ind w:right="69"/>
              <w:rPr>
                <w:sz w:val="16"/>
              </w:rPr>
            </w:pPr>
            <w:r>
              <w:rPr>
                <w:sz w:val="16"/>
              </w:rPr>
              <w:t>16.32</w:t>
            </w:r>
          </w:p>
        </w:tc>
        <w:tc>
          <w:tcPr>
            <w:tcW w:w="595" w:type="dxa"/>
          </w:tcPr>
          <w:p>
            <w:pPr>
              <w:pStyle w:val="TableParagraph"/>
              <w:spacing w:before="50"/>
              <w:ind w:right="68"/>
              <w:rPr>
                <w:sz w:val="16"/>
              </w:rPr>
            </w:pPr>
            <w:r>
              <w:rPr>
                <w:w w:val="99"/>
                <w:sz w:val="16"/>
              </w:rPr>
              <w:t>0</w:t>
            </w:r>
          </w:p>
        </w:tc>
        <w:tc>
          <w:tcPr>
            <w:tcW w:w="595" w:type="dxa"/>
          </w:tcPr>
          <w:p>
            <w:pPr>
              <w:pStyle w:val="TableParagraph"/>
              <w:spacing w:before="50"/>
              <w:ind w:right="73"/>
              <w:rPr>
                <w:sz w:val="16"/>
              </w:rPr>
            </w:pPr>
            <w:r>
              <w:rPr>
                <w:w w:val="99"/>
                <w:sz w:val="16"/>
              </w:rPr>
              <w:t>0</w:t>
            </w:r>
          </w:p>
        </w:tc>
        <w:tc>
          <w:tcPr>
            <w:tcW w:w="545" w:type="dxa"/>
          </w:tcPr>
          <w:p>
            <w:pPr>
              <w:pStyle w:val="TableParagraph"/>
              <w:spacing w:before="50"/>
              <w:ind w:right="66"/>
              <w:rPr>
                <w:sz w:val="16"/>
              </w:rPr>
            </w:pPr>
            <w:r>
              <w:rPr>
                <w:w w:val="95"/>
                <w:sz w:val="16"/>
              </w:rPr>
              <w:t>0.02</w:t>
            </w:r>
          </w:p>
        </w:tc>
        <w:tc>
          <w:tcPr>
            <w:tcW w:w="598" w:type="dxa"/>
          </w:tcPr>
          <w:p>
            <w:pPr>
              <w:pStyle w:val="TableParagraph"/>
              <w:spacing w:before="50"/>
              <w:ind w:right="73"/>
              <w:rPr>
                <w:sz w:val="16"/>
              </w:rPr>
            </w:pPr>
            <w:r>
              <w:rPr>
                <w:w w:val="99"/>
                <w:sz w:val="16"/>
              </w:rPr>
              <w:t>0</w:t>
            </w:r>
          </w:p>
        </w:tc>
        <w:tc>
          <w:tcPr>
            <w:tcW w:w="593" w:type="dxa"/>
          </w:tcPr>
          <w:p>
            <w:pPr>
              <w:pStyle w:val="TableParagraph"/>
              <w:spacing w:before="50"/>
              <w:ind w:right="66"/>
              <w:rPr>
                <w:sz w:val="16"/>
              </w:rPr>
            </w:pPr>
            <w:r>
              <w:rPr>
                <w:w w:val="95"/>
                <w:sz w:val="16"/>
              </w:rPr>
              <w:t>0.11</w:t>
            </w:r>
          </w:p>
        </w:tc>
        <w:tc>
          <w:tcPr>
            <w:tcW w:w="830" w:type="dxa"/>
          </w:tcPr>
          <w:p>
            <w:pPr>
              <w:pStyle w:val="TableParagraph"/>
              <w:spacing w:before="50"/>
              <w:ind w:right="72"/>
              <w:rPr>
                <w:sz w:val="16"/>
              </w:rPr>
            </w:pPr>
            <w:r>
              <w:rPr>
                <w:w w:val="99"/>
                <w:sz w:val="16"/>
              </w:rPr>
              <w:t>0</w:t>
            </w:r>
          </w:p>
        </w:tc>
        <w:tc>
          <w:tcPr>
            <w:tcW w:w="821" w:type="dxa"/>
          </w:tcPr>
          <w:p>
            <w:pPr>
              <w:pStyle w:val="TableParagraph"/>
              <w:spacing w:before="50"/>
              <w:ind w:right="70"/>
              <w:rPr>
                <w:sz w:val="16"/>
              </w:rPr>
            </w:pPr>
            <w:r>
              <w:rPr>
                <w:w w:val="99"/>
                <w:sz w:val="16"/>
              </w:rPr>
              <w:t>0</w:t>
            </w:r>
          </w:p>
        </w:tc>
        <w:tc>
          <w:tcPr>
            <w:tcW w:w="831" w:type="dxa"/>
          </w:tcPr>
          <w:p>
            <w:pPr>
              <w:pStyle w:val="TableParagraph"/>
              <w:spacing w:before="50"/>
              <w:ind w:right="72"/>
              <w:rPr>
                <w:sz w:val="16"/>
              </w:rPr>
            </w:pPr>
            <w:r>
              <w:rPr>
                <w:w w:val="99"/>
                <w:sz w:val="16"/>
              </w:rPr>
              <w:t>0</w:t>
            </w:r>
          </w:p>
        </w:tc>
        <w:tc>
          <w:tcPr>
            <w:tcW w:w="891" w:type="dxa"/>
          </w:tcPr>
          <w:p>
            <w:pPr>
              <w:pStyle w:val="TableParagraph"/>
              <w:spacing w:before="50"/>
              <w:ind w:right="198"/>
              <w:rPr>
                <w:sz w:val="16"/>
              </w:rPr>
            </w:pPr>
            <w:r>
              <w:rPr>
                <w:w w:val="99"/>
                <w:sz w:val="16"/>
              </w:rPr>
              <w:t>0</w:t>
            </w:r>
          </w:p>
        </w:tc>
      </w:tr>
      <w:tr>
        <w:trPr>
          <w:trHeight w:val="449" w:hRule="exact"/>
        </w:trPr>
        <w:tc>
          <w:tcPr>
            <w:tcW w:w="685" w:type="dxa"/>
          </w:tcPr>
          <w:p>
            <w:pPr>
              <w:pStyle w:val="TableParagraph"/>
              <w:spacing w:before="47"/>
              <w:ind w:right="65"/>
              <w:rPr>
                <w:sz w:val="16"/>
              </w:rPr>
            </w:pPr>
            <w:r>
              <w:rPr>
                <w:sz w:val="16"/>
              </w:rPr>
              <w:t>12</w:t>
            </w:r>
          </w:p>
        </w:tc>
        <w:tc>
          <w:tcPr>
            <w:tcW w:w="718" w:type="dxa"/>
          </w:tcPr>
          <w:p>
            <w:pPr>
              <w:pStyle w:val="TableParagraph"/>
              <w:spacing w:before="47"/>
              <w:ind w:right="70"/>
              <w:rPr>
                <w:sz w:val="16"/>
              </w:rPr>
            </w:pPr>
            <w:r>
              <w:rPr>
                <w:w w:val="95"/>
                <w:sz w:val="16"/>
              </w:rPr>
              <w:t>2.75</w:t>
            </w:r>
          </w:p>
        </w:tc>
        <w:tc>
          <w:tcPr>
            <w:tcW w:w="716" w:type="dxa"/>
          </w:tcPr>
          <w:p>
            <w:pPr>
              <w:pStyle w:val="TableParagraph"/>
              <w:spacing w:before="47"/>
              <w:ind w:right="72"/>
              <w:rPr>
                <w:sz w:val="16"/>
              </w:rPr>
            </w:pPr>
            <w:r>
              <w:rPr>
                <w:w w:val="99"/>
                <w:sz w:val="16"/>
              </w:rPr>
              <w:t>0</w:t>
            </w:r>
          </w:p>
        </w:tc>
        <w:tc>
          <w:tcPr>
            <w:tcW w:w="554" w:type="dxa"/>
          </w:tcPr>
          <w:p>
            <w:pPr>
              <w:pStyle w:val="TableParagraph"/>
              <w:spacing w:before="47"/>
              <w:ind w:right="69"/>
              <w:rPr>
                <w:sz w:val="16"/>
              </w:rPr>
            </w:pPr>
            <w:r>
              <w:rPr>
                <w:w w:val="95"/>
                <w:sz w:val="16"/>
              </w:rPr>
              <w:t>0.81</w:t>
            </w:r>
          </w:p>
        </w:tc>
        <w:tc>
          <w:tcPr>
            <w:tcW w:w="538" w:type="dxa"/>
          </w:tcPr>
          <w:p>
            <w:pPr>
              <w:pStyle w:val="TableParagraph"/>
              <w:spacing w:before="47"/>
              <w:ind w:right="68"/>
              <w:rPr>
                <w:sz w:val="16"/>
              </w:rPr>
            </w:pPr>
            <w:r>
              <w:rPr>
                <w:w w:val="99"/>
                <w:sz w:val="16"/>
              </w:rPr>
              <w:t>0</w:t>
            </w:r>
          </w:p>
        </w:tc>
        <w:tc>
          <w:tcPr>
            <w:tcW w:w="669" w:type="dxa"/>
          </w:tcPr>
          <w:p>
            <w:pPr>
              <w:pStyle w:val="TableParagraph"/>
              <w:spacing w:before="47"/>
              <w:ind w:right="66"/>
              <w:rPr>
                <w:sz w:val="16"/>
              </w:rPr>
            </w:pPr>
            <w:r>
              <w:rPr>
                <w:w w:val="95"/>
                <w:sz w:val="16"/>
              </w:rPr>
              <w:t>0.05</w:t>
            </w:r>
          </w:p>
        </w:tc>
        <w:tc>
          <w:tcPr>
            <w:tcW w:w="535" w:type="dxa"/>
          </w:tcPr>
          <w:p>
            <w:pPr>
              <w:pStyle w:val="TableParagraph"/>
              <w:spacing w:before="47"/>
              <w:ind w:right="68"/>
              <w:rPr>
                <w:sz w:val="16"/>
              </w:rPr>
            </w:pPr>
            <w:r>
              <w:rPr>
                <w:w w:val="99"/>
                <w:sz w:val="16"/>
              </w:rPr>
              <w:t>0</w:t>
            </w:r>
          </w:p>
        </w:tc>
        <w:tc>
          <w:tcPr>
            <w:tcW w:w="667" w:type="dxa"/>
          </w:tcPr>
          <w:p>
            <w:pPr>
              <w:pStyle w:val="TableParagraph"/>
              <w:spacing w:before="47"/>
              <w:ind w:right="64"/>
              <w:rPr>
                <w:sz w:val="16"/>
              </w:rPr>
            </w:pPr>
            <w:r>
              <w:rPr>
                <w:sz w:val="16"/>
              </w:rPr>
              <w:t>315.02</w:t>
            </w:r>
          </w:p>
        </w:tc>
        <w:tc>
          <w:tcPr>
            <w:tcW w:w="666" w:type="dxa"/>
          </w:tcPr>
          <w:p>
            <w:pPr>
              <w:pStyle w:val="TableParagraph"/>
              <w:spacing w:before="47"/>
              <w:ind w:right="68"/>
              <w:rPr>
                <w:sz w:val="16"/>
              </w:rPr>
            </w:pPr>
            <w:r>
              <w:rPr>
                <w:sz w:val="16"/>
              </w:rPr>
              <w:t>13.35</w:t>
            </w:r>
          </w:p>
        </w:tc>
        <w:tc>
          <w:tcPr>
            <w:tcW w:w="543" w:type="dxa"/>
          </w:tcPr>
          <w:p>
            <w:pPr>
              <w:pStyle w:val="TableParagraph"/>
              <w:spacing w:before="47"/>
              <w:ind w:left="110"/>
              <w:jc w:val="left"/>
              <w:rPr>
                <w:sz w:val="16"/>
              </w:rPr>
            </w:pPr>
            <w:r>
              <w:rPr>
                <w:sz w:val="16"/>
              </w:rPr>
              <w:t>67.33</w:t>
            </w:r>
          </w:p>
        </w:tc>
        <w:tc>
          <w:tcPr>
            <w:tcW w:w="678" w:type="dxa"/>
          </w:tcPr>
          <w:p>
            <w:pPr>
              <w:pStyle w:val="TableParagraph"/>
              <w:spacing w:before="47"/>
              <w:ind w:right="69"/>
              <w:rPr>
                <w:sz w:val="16"/>
              </w:rPr>
            </w:pPr>
            <w:r>
              <w:rPr>
                <w:sz w:val="16"/>
              </w:rPr>
              <w:t>16.02</w:t>
            </w:r>
          </w:p>
        </w:tc>
        <w:tc>
          <w:tcPr>
            <w:tcW w:w="595" w:type="dxa"/>
          </w:tcPr>
          <w:p>
            <w:pPr>
              <w:pStyle w:val="TableParagraph"/>
              <w:spacing w:before="47"/>
              <w:ind w:right="68"/>
              <w:rPr>
                <w:sz w:val="16"/>
              </w:rPr>
            </w:pPr>
            <w:r>
              <w:rPr>
                <w:w w:val="99"/>
                <w:sz w:val="16"/>
              </w:rPr>
              <w:t>0</w:t>
            </w:r>
          </w:p>
        </w:tc>
        <w:tc>
          <w:tcPr>
            <w:tcW w:w="595" w:type="dxa"/>
          </w:tcPr>
          <w:p>
            <w:pPr>
              <w:pStyle w:val="TableParagraph"/>
              <w:spacing w:before="47"/>
              <w:ind w:right="73"/>
              <w:rPr>
                <w:sz w:val="16"/>
              </w:rPr>
            </w:pPr>
            <w:r>
              <w:rPr>
                <w:w w:val="99"/>
                <w:sz w:val="16"/>
              </w:rPr>
              <w:t>0</w:t>
            </w:r>
          </w:p>
        </w:tc>
        <w:tc>
          <w:tcPr>
            <w:tcW w:w="545" w:type="dxa"/>
          </w:tcPr>
          <w:p>
            <w:pPr>
              <w:pStyle w:val="TableParagraph"/>
              <w:spacing w:before="47"/>
              <w:ind w:right="66"/>
              <w:rPr>
                <w:sz w:val="16"/>
              </w:rPr>
            </w:pPr>
            <w:r>
              <w:rPr>
                <w:w w:val="95"/>
                <w:sz w:val="16"/>
              </w:rPr>
              <w:t>0.01</w:t>
            </w:r>
          </w:p>
        </w:tc>
        <w:tc>
          <w:tcPr>
            <w:tcW w:w="598" w:type="dxa"/>
          </w:tcPr>
          <w:p>
            <w:pPr>
              <w:pStyle w:val="TableParagraph"/>
              <w:spacing w:before="47"/>
              <w:ind w:right="73"/>
              <w:rPr>
                <w:sz w:val="16"/>
              </w:rPr>
            </w:pPr>
            <w:r>
              <w:rPr>
                <w:w w:val="99"/>
                <w:sz w:val="16"/>
              </w:rPr>
              <w:t>0</w:t>
            </w:r>
          </w:p>
        </w:tc>
        <w:tc>
          <w:tcPr>
            <w:tcW w:w="593" w:type="dxa"/>
          </w:tcPr>
          <w:p>
            <w:pPr>
              <w:pStyle w:val="TableParagraph"/>
              <w:spacing w:before="47"/>
              <w:ind w:right="66"/>
              <w:rPr>
                <w:sz w:val="16"/>
              </w:rPr>
            </w:pPr>
            <w:r>
              <w:rPr>
                <w:w w:val="95"/>
                <w:sz w:val="16"/>
              </w:rPr>
              <w:t>0.15</w:t>
            </w:r>
          </w:p>
        </w:tc>
        <w:tc>
          <w:tcPr>
            <w:tcW w:w="830" w:type="dxa"/>
          </w:tcPr>
          <w:p>
            <w:pPr>
              <w:pStyle w:val="TableParagraph"/>
              <w:spacing w:before="47"/>
              <w:ind w:right="72"/>
              <w:rPr>
                <w:sz w:val="16"/>
              </w:rPr>
            </w:pPr>
            <w:r>
              <w:rPr>
                <w:w w:val="99"/>
                <w:sz w:val="16"/>
              </w:rPr>
              <w:t>0</w:t>
            </w:r>
          </w:p>
        </w:tc>
        <w:tc>
          <w:tcPr>
            <w:tcW w:w="821" w:type="dxa"/>
          </w:tcPr>
          <w:p>
            <w:pPr>
              <w:pStyle w:val="TableParagraph"/>
              <w:spacing w:before="47"/>
              <w:ind w:right="70"/>
              <w:rPr>
                <w:sz w:val="16"/>
              </w:rPr>
            </w:pPr>
            <w:r>
              <w:rPr>
                <w:w w:val="99"/>
                <w:sz w:val="16"/>
              </w:rPr>
              <w:t>0</w:t>
            </w:r>
          </w:p>
        </w:tc>
        <w:tc>
          <w:tcPr>
            <w:tcW w:w="831" w:type="dxa"/>
          </w:tcPr>
          <w:p>
            <w:pPr>
              <w:pStyle w:val="TableParagraph"/>
              <w:spacing w:before="47"/>
              <w:ind w:right="72"/>
              <w:rPr>
                <w:sz w:val="16"/>
              </w:rPr>
            </w:pPr>
            <w:r>
              <w:rPr>
                <w:w w:val="99"/>
                <w:sz w:val="16"/>
              </w:rPr>
              <w:t>0</w:t>
            </w:r>
          </w:p>
        </w:tc>
        <w:tc>
          <w:tcPr>
            <w:tcW w:w="891" w:type="dxa"/>
          </w:tcPr>
          <w:p>
            <w:pPr>
              <w:pStyle w:val="TableParagraph"/>
              <w:spacing w:before="47"/>
              <w:ind w:right="198"/>
              <w:rPr>
                <w:sz w:val="16"/>
              </w:rPr>
            </w:pPr>
            <w:r>
              <w:rPr>
                <w:w w:val="99"/>
                <w:sz w:val="16"/>
              </w:rPr>
              <w:t>0</w:t>
            </w:r>
          </w:p>
        </w:tc>
      </w:tr>
      <w:tr>
        <w:trPr>
          <w:trHeight w:val="451" w:hRule="exact"/>
        </w:trPr>
        <w:tc>
          <w:tcPr>
            <w:tcW w:w="685" w:type="dxa"/>
          </w:tcPr>
          <w:p>
            <w:pPr>
              <w:pStyle w:val="TableParagraph"/>
              <w:spacing w:before="3"/>
              <w:jc w:val="left"/>
              <w:rPr>
                <w:sz w:val="17"/>
              </w:rPr>
            </w:pPr>
          </w:p>
          <w:p>
            <w:pPr>
              <w:pStyle w:val="TableParagraph"/>
              <w:spacing w:before="0"/>
              <w:ind w:right="65"/>
              <w:rPr>
                <w:sz w:val="16"/>
              </w:rPr>
            </w:pPr>
            <w:r>
              <w:rPr>
                <w:sz w:val="16"/>
              </w:rPr>
              <w:t>2001</w:t>
            </w:r>
          </w:p>
        </w:tc>
        <w:tc>
          <w:tcPr>
            <w:tcW w:w="718" w:type="dxa"/>
          </w:tcPr>
          <w:p>
            <w:pPr>
              <w:pStyle w:val="TableParagraph"/>
              <w:spacing w:before="3"/>
              <w:jc w:val="left"/>
              <w:rPr>
                <w:sz w:val="17"/>
              </w:rPr>
            </w:pPr>
          </w:p>
          <w:p>
            <w:pPr>
              <w:pStyle w:val="TableParagraph"/>
              <w:spacing w:before="0"/>
              <w:ind w:right="71"/>
              <w:rPr>
                <w:sz w:val="16"/>
              </w:rPr>
            </w:pPr>
            <w:r>
              <w:rPr>
                <w:sz w:val="16"/>
              </w:rPr>
              <w:t>864.98</w:t>
            </w:r>
          </w:p>
        </w:tc>
        <w:tc>
          <w:tcPr>
            <w:tcW w:w="716" w:type="dxa"/>
          </w:tcPr>
          <w:p>
            <w:pPr>
              <w:pStyle w:val="TableParagraph"/>
              <w:spacing w:before="3"/>
              <w:jc w:val="left"/>
              <w:rPr>
                <w:sz w:val="17"/>
              </w:rPr>
            </w:pPr>
          </w:p>
          <w:p>
            <w:pPr>
              <w:pStyle w:val="TableParagraph"/>
              <w:spacing w:before="0"/>
              <w:ind w:right="68"/>
              <w:rPr>
                <w:sz w:val="16"/>
              </w:rPr>
            </w:pPr>
            <w:r>
              <w:rPr>
                <w:sz w:val="16"/>
              </w:rPr>
              <w:t>136.64</w:t>
            </w:r>
          </w:p>
        </w:tc>
        <w:tc>
          <w:tcPr>
            <w:tcW w:w="554" w:type="dxa"/>
          </w:tcPr>
          <w:p>
            <w:pPr>
              <w:pStyle w:val="TableParagraph"/>
              <w:spacing w:before="3"/>
              <w:jc w:val="left"/>
              <w:rPr>
                <w:sz w:val="17"/>
              </w:rPr>
            </w:pPr>
          </w:p>
          <w:p>
            <w:pPr>
              <w:pStyle w:val="TableParagraph"/>
              <w:spacing w:before="0"/>
              <w:ind w:right="69"/>
              <w:rPr>
                <w:sz w:val="16"/>
              </w:rPr>
            </w:pPr>
            <w:r>
              <w:rPr>
                <w:sz w:val="16"/>
              </w:rPr>
              <w:t>10.94</w:t>
            </w:r>
          </w:p>
        </w:tc>
        <w:tc>
          <w:tcPr>
            <w:tcW w:w="538" w:type="dxa"/>
          </w:tcPr>
          <w:p>
            <w:pPr>
              <w:pStyle w:val="TableParagraph"/>
              <w:spacing w:before="3"/>
              <w:jc w:val="left"/>
              <w:rPr>
                <w:sz w:val="17"/>
              </w:rPr>
            </w:pPr>
          </w:p>
          <w:p>
            <w:pPr>
              <w:pStyle w:val="TableParagraph"/>
              <w:spacing w:before="0"/>
              <w:ind w:right="68"/>
              <w:rPr>
                <w:sz w:val="16"/>
              </w:rPr>
            </w:pPr>
            <w:r>
              <w:rPr>
                <w:w w:val="99"/>
                <w:sz w:val="16"/>
              </w:rPr>
              <w:t>0</w:t>
            </w:r>
          </w:p>
        </w:tc>
        <w:tc>
          <w:tcPr>
            <w:tcW w:w="669" w:type="dxa"/>
          </w:tcPr>
          <w:p>
            <w:pPr>
              <w:pStyle w:val="TableParagraph"/>
              <w:spacing w:before="3"/>
              <w:jc w:val="left"/>
              <w:rPr>
                <w:sz w:val="17"/>
              </w:rPr>
            </w:pPr>
          </w:p>
          <w:p>
            <w:pPr>
              <w:pStyle w:val="TableParagraph"/>
              <w:spacing w:before="0"/>
              <w:ind w:right="68"/>
              <w:rPr>
                <w:sz w:val="16"/>
              </w:rPr>
            </w:pPr>
            <w:r>
              <w:rPr>
                <w:sz w:val="16"/>
              </w:rPr>
              <w:t>153.81</w:t>
            </w:r>
          </w:p>
        </w:tc>
        <w:tc>
          <w:tcPr>
            <w:tcW w:w="535" w:type="dxa"/>
          </w:tcPr>
          <w:p>
            <w:pPr>
              <w:pStyle w:val="TableParagraph"/>
              <w:spacing w:before="3"/>
              <w:jc w:val="left"/>
              <w:rPr>
                <w:sz w:val="17"/>
              </w:rPr>
            </w:pPr>
          </w:p>
          <w:p>
            <w:pPr>
              <w:pStyle w:val="TableParagraph"/>
              <w:spacing w:before="0"/>
              <w:ind w:right="68"/>
              <w:rPr>
                <w:sz w:val="16"/>
              </w:rPr>
            </w:pPr>
            <w:r>
              <w:rPr>
                <w:w w:val="99"/>
                <w:sz w:val="16"/>
              </w:rPr>
              <w:t>0</w:t>
            </w:r>
          </w:p>
        </w:tc>
        <w:tc>
          <w:tcPr>
            <w:tcW w:w="667" w:type="dxa"/>
          </w:tcPr>
          <w:p>
            <w:pPr>
              <w:pStyle w:val="TableParagraph"/>
              <w:spacing w:before="3"/>
              <w:jc w:val="left"/>
              <w:rPr>
                <w:sz w:val="17"/>
              </w:rPr>
            </w:pPr>
          </w:p>
          <w:p>
            <w:pPr>
              <w:pStyle w:val="TableParagraph"/>
              <w:spacing w:before="0"/>
              <w:ind w:right="64"/>
              <w:rPr>
                <w:sz w:val="16"/>
              </w:rPr>
            </w:pPr>
            <w:r>
              <w:rPr>
                <w:sz w:val="16"/>
              </w:rPr>
              <w:t>315.02</w:t>
            </w:r>
          </w:p>
        </w:tc>
        <w:tc>
          <w:tcPr>
            <w:tcW w:w="666" w:type="dxa"/>
          </w:tcPr>
          <w:p>
            <w:pPr>
              <w:pStyle w:val="TableParagraph"/>
              <w:spacing w:before="3"/>
              <w:jc w:val="left"/>
              <w:rPr>
                <w:sz w:val="17"/>
              </w:rPr>
            </w:pPr>
          </w:p>
          <w:p>
            <w:pPr>
              <w:pStyle w:val="TableParagraph"/>
              <w:spacing w:before="0"/>
              <w:ind w:right="68"/>
              <w:rPr>
                <w:sz w:val="16"/>
              </w:rPr>
            </w:pPr>
            <w:r>
              <w:rPr>
                <w:sz w:val="16"/>
              </w:rPr>
              <w:t>606.54</w:t>
            </w:r>
          </w:p>
        </w:tc>
        <w:tc>
          <w:tcPr>
            <w:tcW w:w="543" w:type="dxa"/>
          </w:tcPr>
          <w:p>
            <w:pPr>
              <w:pStyle w:val="TableParagraph"/>
              <w:spacing w:before="3"/>
              <w:jc w:val="left"/>
              <w:rPr>
                <w:sz w:val="17"/>
              </w:rPr>
            </w:pPr>
          </w:p>
          <w:p>
            <w:pPr>
              <w:pStyle w:val="TableParagraph"/>
              <w:spacing w:before="0"/>
              <w:ind w:left="148"/>
              <w:jc w:val="left"/>
              <w:rPr>
                <w:sz w:val="16"/>
              </w:rPr>
            </w:pPr>
            <w:r>
              <w:rPr>
                <w:sz w:val="16"/>
              </w:rPr>
              <w:t>1192</w:t>
            </w:r>
          </w:p>
        </w:tc>
        <w:tc>
          <w:tcPr>
            <w:tcW w:w="678" w:type="dxa"/>
          </w:tcPr>
          <w:p>
            <w:pPr>
              <w:pStyle w:val="TableParagraph"/>
              <w:spacing w:before="3"/>
              <w:jc w:val="left"/>
              <w:rPr>
                <w:sz w:val="17"/>
              </w:rPr>
            </w:pPr>
          </w:p>
          <w:p>
            <w:pPr>
              <w:pStyle w:val="TableParagraph"/>
              <w:spacing w:before="0"/>
              <w:ind w:right="69"/>
              <w:rPr>
                <w:sz w:val="16"/>
              </w:rPr>
            </w:pPr>
            <w:r>
              <w:rPr>
                <w:sz w:val="16"/>
              </w:rPr>
              <w:t>256.77</w:t>
            </w:r>
          </w:p>
        </w:tc>
        <w:tc>
          <w:tcPr>
            <w:tcW w:w="595" w:type="dxa"/>
          </w:tcPr>
          <w:p>
            <w:pPr>
              <w:pStyle w:val="TableParagraph"/>
              <w:spacing w:before="3"/>
              <w:jc w:val="left"/>
              <w:rPr>
                <w:sz w:val="17"/>
              </w:rPr>
            </w:pPr>
          </w:p>
          <w:p>
            <w:pPr>
              <w:pStyle w:val="TableParagraph"/>
              <w:spacing w:before="0"/>
              <w:ind w:right="64"/>
              <w:rPr>
                <w:sz w:val="16"/>
              </w:rPr>
            </w:pPr>
            <w:r>
              <w:rPr>
                <w:w w:val="95"/>
                <w:sz w:val="16"/>
              </w:rPr>
              <w:t>7.71</w:t>
            </w:r>
          </w:p>
        </w:tc>
        <w:tc>
          <w:tcPr>
            <w:tcW w:w="595" w:type="dxa"/>
          </w:tcPr>
          <w:p>
            <w:pPr>
              <w:pStyle w:val="TableParagraph"/>
              <w:spacing w:before="3"/>
              <w:jc w:val="left"/>
              <w:rPr>
                <w:sz w:val="17"/>
              </w:rPr>
            </w:pPr>
          </w:p>
          <w:p>
            <w:pPr>
              <w:pStyle w:val="TableParagraph"/>
              <w:spacing w:before="0"/>
              <w:ind w:right="69"/>
              <w:rPr>
                <w:sz w:val="16"/>
              </w:rPr>
            </w:pPr>
            <w:r>
              <w:rPr>
                <w:w w:val="95"/>
                <w:sz w:val="16"/>
              </w:rPr>
              <w:t>2.16</w:t>
            </w:r>
          </w:p>
        </w:tc>
        <w:tc>
          <w:tcPr>
            <w:tcW w:w="545" w:type="dxa"/>
          </w:tcPr>
          <w:p>
            <w:pPr>
              <w:pStyle w:val="TableParagraph"/>
              <w:spacing w:before="3"/>
              <w:jc w:val="left"/>
              <w:rPr>
                <w:sz w:val="17"/>
              </w:rPr>
            </w:pPr>
          </w:p>
          <w:p>
            <w:pPr>
              <w:pStyle w:val="TableParagraph"/>
              <w:spacing w:before="0"/>
              <w:ind w:right="66"/>
              <w:rPr>
                <w:sz w:val="16"/>
              </w:rPr>
            </w:pPr>
            <w:r>
              <w:rPr>
                <w:w w:val="95"/>
                <w:sz w:val="16"/>
              </w:rPr>
              <w:t>0.28</w:t>
            </w:r>
          </w:p>
        </w:tc>
        <w:tc>
          <w:tcPr>
            <w:tcW w:w="598" w:type="dxa"/>
          </w:tcPr>
          <w:p>
            <w:pPr>
              <w:pStyle w:val="TableParagraph"/>
              <w:spacing w:before="3"/>
              <w:jc w:val="left"/>
              <w:rPr>
                <w:sz w:val="17"/>
              </w:rPr>
            </w:pPr>
          </w:p>
          <w:p>
            <w:pPr>
              <w:pStyle w:val="TableParagraph"/>
              <w:spacing w:before="0"/>
              <w:ind w:right="69"/>
              <w:rPr>
                <w:sz w:val="16"/>
              </w:rPr>
            </w:pPr>
            <w:r>
              <w:rPr>
                <w:w w:val="95"/>
                <w:sz w:val="16"/>
              </w:rPr>
              <w:t>8.36</w:t>
            </w:r>
          </w:p>
        </w:tc>
        <w:tc>
          <w:tcPr>
            <w:tcW w:w="593" w:type="dxa"/>
          </w:tcPr>
          <w:p>
            <w:pPr>
              <w:pStyle w:val="TableParagraph"/>
              <w:spacing w:before="3"/>
              <w:jc w:val="left"/>
              <w:rPr>
                <w:sz w:val="17"/>
              </w:rPr>
            </w:pPr>
          </w:p>
          <w:p>
            <w:pPr>
              <w:pStyle w:val="TableParagraph"/>
              <w:spacing w:before="0"/>
              <w:ind w:right="67"/>
              <w:rPr>
                <w:sz w:val="16"/>
              </w:rPr>
            </w:pPr>
            <w:r>
              <w:rPr>
                <w:sz w:val="16"/>
              </w:rPr>
              <w:t>111.2</w:t>
            </w:r>
          </w:p>
        </w:tc>
        <w:tc>
          <w:tcPr>
            <w:tcW w:w="830" w:type="dxa"/>
          </w:tcPr>
          <w:p>
            <w:pPr>
              <w:pStyle w:val="TableParagraph"/>
              <w:spacing w:before="3"/>
              <w:jc w:val="left"/>
              <w:rPr>
                <w:sz w:val="17"/>
              </w:rPr>
            </w:pPr>
          </w:p>
          <w:p>
            <w:pPr>
              <w:pStyle w:val="TableParagraph"/>
              <w:spacing w:before="0"/>
              <w:ind w:right="66"/>
              <w:rPr>
                <w:sz w:val="16"/>
              </w:rPr>
            </w:pPr>
            <w:r>
              <w:rPr>
                <w:w w:val="95"/>
                <w:sz w:val="16"/>
              </w:rPr>
              <w:t>2.69</w:t>
            </w:r>
          </w:p>
        </w:tc>
        <w:tc>
          <w:tcPr>
            <w:tcW w:w="821" w:type="dxa"/>
          </w:tcPr>
          <w:p>
            <w:pPr>
              <w:pStyle w:val="TableParagraph"/>
              <w:spacing w:before="3"/>
              <w:jc w:val="left"/>
              <w:rPr>
                <w:sz w:val="17"/>
              </w:rPr>
            </w:pPr>
          </w:p>
          <w:p>
            <w:pPr>
              <w:pStyle w:val="TableParagraph"/>
              <w:spacing w:before="0"/>
              <w:ind w:right="66"/>
              <w:rPr>
                <w:sz w:val="16"/>
              </w:rPr>
            </w:pPr>
            <w:r>
              <w:rPr>
                <w:w w:val="95"/>
                <w:sz w:val="16"/>
              </w:rPr>
              <w:t>1.21</w:t>
            </w:r>
          </w:p>
        </w:tc>
        <w:tc>
          <w:tcPr>
            <w:tcW w:w="831" w:type="dxa"/>
          </w:tcPr>
          <w:p>
            <w:pPr>
              <w:pStyle w:val="TableParagraph"/>
              <w:spacing w:before="3"/>
              <w:jc w:val="left"/>
              <w:rPr>
                <w:sz w:val="17"/>
              </w:rPr>
            </w:pPr>
          </w:p>
          <w:p>
            <w:pPr>
              <w:pStyle w:val="TableParagraph"/>
              <w:spacing w:before="0"/>
              <w:ind w:right="66"/>
              <w:rPr>
                <w:sz w:val="16"/>
              </w:rPr>
            </w:pPr>
            <w:r>
              <w:rPr>
                <w:w w:val="95"/>
                <w:sz w:val="16"/>
              </w:rPr>
              <w:t>0.55</w:t>
            </w:r>
          </w:p>
        </w:tc>
        <w:tc>
          <w:tcPr>
            <w:tcW w:w="891" w:type="dxa"/>
          </w:tcPr>
          <w:p>
            <w:pPr>
              <w:pStyle w:val="TableParagraph"/>
              <w:spacing w:before="3"/>
              <w:jc w:val="left"/>
              <w:rPr>
                <w:sz w:val="17"/>
              </w:rPr>
            </w:pPr>
          </w:p>
          <w:p>
            <w:pPr>
              <w:pStyle w:val="TableParagraph"/>
              <w:spacing w:before="0"/>
              <w:ind w:right="198"/>
              <w:rPr>
                <w:sz w:val="16"/>
              </w:rPr>
            </w:pPr>
            <w:r>
              <w:rPr>
                <w:w w:val="99"/>
                <w:sz w:val="16"/>
              </w:rPr>
              <w:t>0</w:t>
            </w:r>
          </w:p>
        </w:tc>
      </w:tr>
      <w:tr>
        <w:trPr>
          <w:trHeight w:val="451" w:hRule="exact"/>
        </w:trPr>
        <w:tc>
          <w:tcPr>
            <w:tcW w:w="13270" w:type="dxa"/>
            <w:gridSpan w:val="20"/>
          </w:tcPr>
          <w:p>
            <w:pPr>
              <w:pStyle w:val="TableParagraph"/>
              <w:spacing w:before="50"/>
              <w:ind w:left="200"/>
              <w:jc w:val="left"/>
              <w:rPr>
                <w:sz w:val="16"/>
              </w:rPr>
            </w:pPr>
            <w:r>
              <w:rPr>
                <w:sz w:val="16"/>
              </w:rPr>
              <w:t>SWAT Mar 4 2014    VER 2012/Rev 622</w:t>
            </w:r>
          </w:p>
        </w:tc>
      </w:tr>
      <w:tr>
        <w:trPr>
          <w:trHeight w:val="449" w:hRule="exact"/>
        </w:trPr>
        <w:tc>
          <w:tcPr>
            <w:tcW w:w="13270" w:type="dxa"/>
            <w:gridSpan w:val="20"/>
          </w:tcPr>
          <w:p>
            <w:pPr>
              <w:pStyle w:val="TableParagraph"/>
              <w:spacing w:before="3"/>
              <w:jc w:val="left"/>
              <w:rPr>
                <w:sz w:val="17"/>
              </w:rPr>
            </w:pPr>
          </w:p>
          <w:p>
            <w:pPr>
              <w:pStyle w:val="TableParagraph"/>
              <w:spacing w:before="0"/>
              <w:ind w:left="353"/>
              <w:jc w:val="left"/>
              <w:rPr>
                <w:sz w:val="16"/>
              </w:rPr>
            </w:pPr>
            <w:r>
              <w:rPr>
                <w:sz w:val="16"/>
              </w:rPr>
              <w:t>General Input/Output section (file.cio):</w:t>
            </w:r>
          </w:p>
        </w:tc>
      </w:tr>
      <w:tr>
        <w:trPr>
          <w:trHeight w:val="391" w:hRule="exact"/>
        </w:trPr>
        <w:tc>
          <w:tcPr>
            <w:tcW w:w="13270" w:type="dxa"/>
            <w:gridSpan w:val="20"/>
          </w:tcPr>
          <w:p>
            <w:pPr>
              <w:pStyle w:val="TableParagraph"/>
              <w:spacing w:before="47"/>
              <w:ind w:left="353"/>
              <w:jc w:val="left"/>
              <w:rPr>
                <w:sz w:val="16"/>
              </w:rPr>
            </w:pPr>
            <w:r>
              <w:rPr>
                <w:sz w:val="16"/>
              </w:rPr>
              <w:t>10/28/2014 12:00:00 AM ARCGIS-SWAT interface AV</w:t>
            </w:r>
          </w:p>
        </w:tc>
      </w:tr>
      <w:tr>
        <w:trPr>
          <w:trHeight w:val="518" w:hRule="exact"/>
        </w:trPr>
        <w:tc>
          <w:tcPr>
            <w:tcW w:w="13270" w:type="dxa"/>
            <w:gridSpan w:val="20"/>
          </w:tcPr>
          <w:p>
            <w:pPr>
              <w:pStyle w:val="TableParagraph"/>
              <w:spacing w:before="141"/>
              <w:ind w:left="200" w:right="9557"/>
              <w:jc w:val="left"/>
              <w:rPr>
                <w:sz w:val="16"/>
              </w:rPr>
            </w:pPr>
            <w:r>
              <w:rPr>
                <w:sz w:val="16"/>
              </w:rPr>
              <w:t>Annual Summary for Watershed in year 4 of simulation</w:t>
            </w:r>
          </w:p>
        </w:tc>
      </w:tr>
      <w:tr>
        <w:trPr>
          <w:trHeight w:val="368" w:hRule="exact"/>
        </w:trPr>
        <w:tc>
          <w:tcPr>
            <w:tcW w:w="685" w:type="dxa"/>
          </w:tcPr>
          <w:p>
            <w:pPr>
              <w:pStyle w:val="TableParagraph"/>
              <w:spacing w:before="2"/>
              <w:jc w:val="left"/>
              <w:rPr>
                <w:sz w:val="15"/>
              </w:rPr>
            </w:pPr>
          </w:p>
          <w:p>
            <w:pPr>
              <w:pStyle w:val="TableParagraph"/>
              <w:spacing w:before="0"/>
              <w:ind w:right="107"/>
              <w:rPr>
                <w:sz w:val="16"/>
              </w:rPr>
            </w:pPr>
            <w:r>
              <w:rPr>
                <w:sz w:val="16"/>
              </w:rPr>
              <w:t>UNIT</w:t>
            </w:r>
          </w:p>
        </w:tc>
        <w:tc>
          <w:tcPr>
            <w:tcW w:w="718" w:type="dxa"/>
          </w:tcPr>
          <w:p>
            <w:pPr/>
          </w:p>
        </w:tc>
        <w:tc>
          <w:tcPr>
            <w:tcW w:w="716" w:type="dxa"/>
          </w:tcPr>
          <w:p>
            <w:pPr/>
          </w:p>
        </w:tc>
        <w:tc>
          <w:tcPr>
            <w:tcW w:w="554" w:type="dxa"/>
          </w:tcPr>
          <w:p>
            <w:pPr/>
          </w:p>
        </w:tc>
        <w:tc>
          <w:tcPr>
            <w:tcW w:w="538" w:type="dxa"/>
          </w:tcPr>
          <w:p>
            <w:pPr/>
          </w:p>
        </w:tc>
        <w:tc>
          <w:tcPr>
            <w:tcW w:w="669" w:type="dxa"/>
          </w:tcPr>
          <w:p>
            <w:pPr>
              <w:pStyle w:val="TableParagraph"/>
              <w:spacing w:before="2"/>
              <w:jc w:val="left"/>
              <w:rPr>
                <w:sz w:val="15"/>
              </w:rPr>
            </w:pPr>
          </w:p>
          <w:p>
            <w:pPr>
              <w:pStyle w:val="TableParagraph"/>
              <w:spacing w:before="0"/>
              <w:ind w:left="70"/>
              <w:jc w:val="left"/>
              <w:rPr>
                <w:sz w:val="16"/>
              </w:rPr>
            </w:pPr>
            <w:r>
              <w:rPr>
                <w:sz w:val="16"/>
              </w:rPr>
              <w:t>PERCO</w:t>
            </w:r>
          </w:p>
        </w:tc>
        <w:tc>
          <w:tcPr>
            <w:tcW w:w="535" w:type="dxa"/>
          </w:tcPr>
          <w:p>
            <w:pPr>
              <w:pStyle w:val="TableParagraph"/>
              <w:spacing w:before="2"/>
              <w:jc w:val="left"/>
              <w:rPr>
                <w:sz w:val="15"/>
              </w:rPr>
            </w:pPr>
          </w:p>
          <w:p>
            <w:pPr>
              <w:pStyle w:val="TableParagraph"/>
              <w:spacing w:before="0"/>
              <w:ind w:left="68"/>
              <w:jc w:val="left"/>
              <w:rPr>
                <w:sz w:val="16"/>
              </w:rPr>
            </w:pPr>
            <w:r>
              <w:rPr>
                <w:sz w:val="16"/>
              </w:rPr>
              <w:t>TILE</w:t>
            </w:r>
          </w:p>
        </w:tc>
        <w:tc>
          <w:tcPr>
            <w:tcW w:w="667" w:type="dxa"/>
          </w:tcPr>
          <w:p>
            <w:pPr/>
          </w:p>
        </w:tc>
        <w:tc>
          <w:tcPr>
            <w:tcW w:w="666" w:type="dxa"/>
          </w:tcPr>
          <w:p>
            <w:pPr/>
          </w:p>
        </w:tc>
        <w:tc>
          <w:tcPr>
            <w:tcW w:w="543" w:type="dxa"/>
          </w:tcPr>
          <w:p>
            <w:pPr/>
          </w:p>
        </w:tc>
        <w:tc>
          <w:tcPr>
            <w:tcW w:w="678" w:type="dxa"/>
          </w:tcPr>
          <w:p>
            <w:pPr>
              <w:pStyle w:val="TableParagraph"/>
              <w:spacing w:line="237" w:lineRule="auto" w:before="0"/>
              <w:ind w:left="67" w:right="128"/>
              <w:jc w:val="left"/>
              <w:rPr>
                <w:sz w:val="16"/>
              </w:rPr>
            </w:pPr>
            <w:r>
              <w:rPr>
                <w:sz w:val="16"/>
              </w:rPr>
              <w:t>WATE</w:t>
            </w:r>
            <w:r>
              <w:rPr>
                <w:w w:val="99"/>
                <w:sz w:val="16"/>
              </w:rPr>
              <w:t> </w:t>
            </w:r>
            <w:r>
              <w:rPr>
                <w:sz w:val="16"/>
              </w:rPr>
              <w:t>R</w:t>
            </w:r>
          </w:p>
        </w:tc>
        <w:tc>
          <w:tcPr>
            <w:tcW w:w="595" w:type="dxa"/>
          </w:tcPr>
          <w:p>
            <w:pPr>
              <w:pStyle w:val="TableParagraph"/>
              <w:spacing w:before="2"/>
              <w:jc w:val="left"/>
              <w:rPr>
                <w:sz w:val="15"/>
              </w:rPr>
            </w:pPr>
          </w:p>
          <w:p>
            <w:pPr>
              <w:pStyle w:val="TableParagraph"/>
              <w:spacing w:before="0"/>
              <w:ind w:left="71" w:right="158"/>
              <w:jc w:val="left"/>
              <w:rPr>
                <w:sz w:val="16"/>
              </w:rPr>
            </w:pPr>
            <w:r>
              <w:rPr>
                <w:sz w:val="16"/>
              </w:rPr>
              <w:t>SED</w:t>
            </w:r>
          </w:p>
        </w:tc>
        <w:tc>
          <w:tcPr>
            <w:tcW w:w="595" w:type="dxa"/>
          </w:tcPr>
          <w:p>
            <w:pPr>
              <w:pStyle w:val="TableParagraph"/>
              <w:spacing w:before="2"/>
              <w:jc w:val="left"/>
              <w:rPr>
                <w:sz w:val="15"/>
              </w:rPr>
            </w:pPr>
          </w:p>
          <w:p>
            <w:pPr>
              <w:pStyle w:val="TableParagraph"/>
              <w:spacing w:before="0"/>
              <w:ind w:left="66"/>
              <w:jc w:val="left"/>
              <w:rPr>
                <w:sz w:val="16"/>
              </w:rPr>
            </w:pPr>
            <w:r>
              <w:rPr>
                <w:sz w:val="16"/>
              </w:rPr>
              <w:t>NO3</w:t>
            </w:r>
          </w:p>
        </w:tc>
        <w:tc>
          <w:tcPr>
            <w:tcW w:w="545" w:type="dxa"/>
          </w:tcPr>
          <w:p>
            <w:pPr>
              <w:pStyle w:val="TableParagraph"/>
              <w:spacing w:before="2"/>
              <w:jc w:val="left"/>
              <w:rPr>
                <w:sz w:val="15"/>
              </w:rPr>
            </w:pPr>
          </w:p>
          <w:p>
            <w:pPr>
              <w:pStyle w:val="TableParagraph"/>
              <w:spacing w:before="0"/>
              <w:ind w:left="71"/>
              <w:jc w:val="left"/>
              <w:rPr>
                <w:sz w:val="16"/>
              </w:rPr>
            </w:pPr>
            <w:r>
              <w:rPr>
                <w:sz w:val="16"/>
              </w:rPr>
              <w:t>NO3</w:t>
            </w:r>
          </w:p>
        </w:tc>
        <w:tc>
          <w:tcPr>
            <w:tcW w:w="598" w:type="dxa"/>
          </w:tcPr>
          <w:p>
            <w:pPr>
              <w:pStyle w:val="TableParagraph"/>
              <w:spacing w:before="2"/>
              <w:jc w:val="left"/>
              <w:rPr>
                <w:sz w:val="15"/>
              </w:rPr>
            </w:pPr>
          </w:p>
          <w:p>
            <w:pPr>
              <w:pStyle w:val="TableParagraph"/>
              <w:spacing w:before="0"/>
              <w:ind w:left="68"/>
              <w:jc w:val="left"/>
              <w:rPr>
                <w:sz w:val="16"/>
              </w:rPr>
            </w:pPr>
            <w:r>
              <w:rPr>
                <w:sz w:val="16"/>
              </w:rPr>
              <w:t>NO3</w:t>
            </w:r>
          </w:p>
        </w:tc>
        <w:tc>
          <w:tcPr>
            <w:tcW w:w="593" w:type="dxa"/>
          </w:tcPr>
          <w:p>
            <w:pPr>
              <w:pStyle w:val="TableParagraph"/>
              <w:spacing w:before="2"/>
              <w:jc w:val="left"/>
              <w:rPr>
                <w:sz w:val="15"/>
              </w:rPr>
            </w:pPr>
          </w:p>
          <w:p>
            <w:pPr>
              <w:pStyle w:val="TableParagraph"/>
              <w:spacing w:before="0"/>
              <w:ind w:left="71"/>
              <w:jc w:val="left"/>
              <w:rPr>
                <w:sz w:val="16"/>
              </w:rPr>
            </w:pPr>
            <w:r>
              <w:rPr>
                <w:sz w:val="16"/>
              </w:rPr>
              <w:t>NO3</w:t>
            </w:r>
          </w:p>
        </w:tc>
        <w:tc>
          <w:tcPr>
            <w:tcW w:w="830" w:type="dxa"/>
          </w:tcPr>
          <w:p>
            <w:pPr>
              <w:pStyle w:val="TableParagraph"/>
              <w:spacing w:before="2"/>
              <w:jc w:val="left"/>
              <w:rPr>
                <w:sz w:val="15"/>
              </w:rPr>
            </w:pPr>
          </w:p>
          <w:p>
            <w:pPr>
              <w:pStyle w:val="TableParagraph"/>
              <w:spacing w:before="0"/>
              <w:ind w:left="68"/>
              <w:jc w:val="left"/>
              <w:rPr>
                <w:sz w:val="16"/>
              </w:rPr>
            </w:pPr>
            <w:r>
              <w:rPr>
                <w:w w:val="98"/>
                <w:sz w:val="16"/>
              </w:rPr>
              <w:t>N</w:t>
            </w:r>
          </w:p>
        </w:tc>
        <w:tc>
          <w:tcPr>
            <w:tcW w:w="821" w:type="dxa"/>
          </w:tcPr>
          <w:p>
            <w:pPr>
              <w:pStyle w:val="TableParagraph"/>
              <w:spacing w:before="2"/>
              <w:jc w:val="left"/>
              <w:rPr>
                <w:sz w:val="15"/>
              </w:rPr>
            </w:pPr>
          </w:p>
          <w:p>
            <w:pPr>
              <w:pStyle w:val="TableParagraph"/>
              <w:spacing w:before="0"/>
              <w:ind w:left="68"/>
              <w:jc w:val="left"/>
              <w:rPr>
                <w:sz w:val="16"/>
              </w:rPr>
            </w:pPr>
            <w:r>
              <w:rPr>
                <w:w w:val="98"/>
                <w:sz w:val="16"/>
              </w:rPr>
              <w:t>P</w:t>
            </w:r>
          </w:p>
        </w:tc>
        <w:tc>
          <w:tcPr>
            <w:tcW w:w="831" w:type="dxa"/>
          </w:tcPr>
          <w:p>
            <w:pPr>
              <w:pStyle w:val="TableParagraph"/>
              <w:spacing w:before="2"/>
              <w:jc w:val="left"/>
              <w:rPr>
                <w:sz w:val="15"/>
              </w:rPr>
            </w:pPr>
          </w:p>
          <w:p>
            <w:pPr>
              <w:pStyle w:val="TableParagraph"/>
              <w:spacing w:before="0"/>
              <w:ind w:left="68"/>
              <w:jc w:val="left"/>
              <w:rPr>
                <w:sz w:val="16"/>
              </w:rPr>
            </w:pPr>
            <w:r>
              <w:rPr>
                <w:w w:val="98"/>
                <w:sz w:val="16"/>
              </w:rPr>
              <w:t>P</w:t>
            </w:r>
          </w:p>
        </w:tc>
        <w:tc>
          <w:tcPr>
            <w:tcW w:w="891" w:type="dxa"/>
          </w:tcPr>
          <w:p>
            <w:pPr/>
          </w:p>
        </w:tc>
      </w:tr>
      <w:tr>
        <w:trPr>
          <w:trHeight w:val="370" w:hRule="exact"/>
        </w:trPr>
        <w:tc>
          <w:tcPr>
            <w:tcW w:w="685" w:type="dxa"/>
          </w:tcPr>
          <w:p>
            <w:pPr>
              <w:pStyle w:val="TableParagraph"/>
              <w:spacing w:before="4"/>
              <w:jc w:val="left"/>
              <w:rPr>
                <w:sz w:val="15"/>
              </w:rPr>
            </w:pPr>
          </w:p>
          <w:p>
            <w:pPr>
              <w:pStyle w:val="TableParagraph"/>
              <w:spacing w:before="0"/>
              <w:ind w:right="93"/>
              <w:rPr>
                <w:sz w:val="16"/>
              </w:rPr>
            </w:pPr>
            <w:r>
              <w:rPr>
                <w:w w:val="95"/>
                <w:sz w:val="16"/>
              </w:rPr>
              <w:t>TIME</w:t>
            </w:r>
          </w:p>
        </w:tc>
        <w:tc>
          <w:tcPr>
            <w:tcW w:w="718" w:type="dxa"/>
          </w:tcPr>
          <w:p>
            <w:pPr>
              <w:pStyle w:val="TableParagraph"/>
              <w:spacing w:before="4"/>
              <w:jc w:val="left"/>
              <w:rPr>
                <w:sz w:val="15"/>
              </w:rPr>
            </w:pPr>
          </w:p>
          <w:p>
            <w:pPr>
              <w:pStyle w:val="TableParagraph"/>
              <w:spacing w:before="0"/>
              <w:ind w:left="67"/>
              <w:jc w:val="left"/>
              <w:rPr>
                <w:sz w:val="16"/>
              </w:rPr>
            </w:pPr>
            <w:r>
              <w:rPr>
                <w:sz w:val="16"/>
              </w:rPr>
              <w:t>PREC</w:t>
            </w:r>
          </w:p>
        </w:tc>
        <w:tc>
          <w:tcPr>
            <w:tcW w:w="716" w:type="dxa"/>
          </w:tcPr>
          <w:p>
            <w:pPr>
              <w:pStyle w:val="TableParagraph"/>
              <w:spacing w:before="4"/>
              <w:jc w:val="left"/>
              <w:rPr>
                <w:sz w:val="15"/>
              </w:rPr>
            </w:pPr>
          </w:p>
          <w:p>
            <w:pPr>
              <w:pStyle w:val="TableParagraph"/>
              <w:spacing w:before="0"/>
              <w:ind w:left="69"/>
              <w:jc w:val="left"/>
              <w:rPr>
                <w:sz w:val="16"/>
              </w:rPr>
            </w:pPr>
            <w:r>
              <w:rPr>
                <w:sz w:val="16"/>
              </w:rPr>
              <w:t>SURQ</w:t>
            </w:r>
          </w:p>
        </w:tc>
        <w:tc>
          <w:tcPr>
            <w:tcW w:w="554" w:type="dxa"/>
          </w:tcPr>
          <w:p>
            <w:pPr>
              <w:pStyle w:val="TableParagraph"/>
              <w:spacing w:line="174" w:lineRule="exact" w:before="0"/>
              <w:ind w:left="68"/>
              <w:jc w:val="left"/>
              <w:rPr>
                <w:sz w:val="16"/>
              </w:rPr>
            </w:pPr>
            <w:r>
              <w:rPr>
                <w:sz w:val="16"/>
              </w:rPr>
              <w:t>LAT</w:t>
            </w:r>
          </w:p>
          <w:p>
            <w:pPr>
              <w:pStyle w:val="TableParagraph"/>
              <w:spacing w:before="3"/>
              <w:ind w:left="68"/>
              <w:jc w:val="left"/>
              <w:rPr>
                <w:sz w:val="16"/>
              </w:rPr>
            </w:pPr>
            <w:r>
              <w:rPr>
                <w:w w:val="98"/>
                <w:sz w:val="16"/>
              </w:rPr>
              <w:t>Q</w:t>
            </w:r>
          </w:p>
        </w:tc>
        <w:tc>
          <w:tcPr>
            <w:tcW w:w="538" w:type="dxa"/>
          </w:tcPr>
          <w:p>
            <w:pPr>
              <w:pStyle w:val="TableParagraph"/>
              <w:spacing w:before="4"/>
              <w:jc w:val="left"/>
              <w:rPr>
                <w:sz w:val="15"/>
              </w:rPr>
            </w:pPr>
          </w:p>
          <w:p>
            <w:pPr>
              <w:pStyle w:val="TableParagraph"/>
              <w:spacing w:before="0"/>
              <w:ind w:right="87"/>
              <w:rPr>
                <w:sz w:val="16"/>
              </w:rPr>
            </w:pPr>
            <w:r>
              <w:rPr>
                <w:w w:val="95"/>
                <w:sz w:val="16"/>
              </w:rPr>
              <w:t>GWQ</w:t>
            </w:r>
          </w:p>
        </w:tc>
        <w:tc>
          <w:tcPr>
            <w:tcW w:w="669" w:type="dxa"/>
          </w:tcPr>
          <w:p>
            <w:pPr>
              <w:pStyle w:val="TableParagraph"/>
              <w:spacing w:before="4"/>
              <w:jc w:val="left"/>
              <w:rPr>
                <w:sz w:val="15"/>
              </w:rPr>
            </w:pPr>
          </w:p>
          <w:p>
            <w:pPr>
              <w:pStyle w:val="TableParagraph"/>
              <w:spacing w:before="0"/>
              <w:ind w:left="70"/>
              <w:jc w:val="left"/>
              <w:rPr>
                <w:sz w:val="16"/>
              </w:rPr>
            </w:pPr>
            <w:r>
              <w:rPr>
                <w:sz w:val="16"/>
              </w:rPr>
              <w:t>LATE</w:t>
            </w:r>
          </w:p>
        </w:tc>
        <w:tc>
          <w:tcPr>
            <w:tcW w:w="535" w:type="dxa"/>
          </w:tcPr>
          <w:p>
            <w:pPr>
              <w:pStyle w:val="TableParagraph"/>
              <w:spacing w:before="4"/>
              <w:jc w:val="left"/>
              <w:rPr>
                <w:sz w:val="15"/>
              </w:rPr>
            </w:pPr>
          </w:p>
          <w:p>
            <w:pPr>
              <w:pStyle w:val="TableParagraph"/>
              <w:spacing w:before="0"/>
              <w:ind w:left="68"/>
              <w:jc w:val="left"/>
              <w:rPr>
                <w:sz w:val="16"/>
              </w:rPr>
            </w:pPr>
            <w:r>
              <w:rPr>
                <w:w w:val="98"/>
                <w:sz w:val="16"/>
              </w:rPr>
              <w:t>Q</w:t>
            </w:r>
          </w:p>
        </w:tc>
        <w:tc>
          <w:tcPr>
            <w:tcW w:w="667" w:type="dxa"/>
          </w:tcPr>
          <w:p>
            <w:pPr>
              <w:pStyle w:val="TableParagraph"/>
              <w:spacing w:before="4"/>
              <w:jc w:val="left"/>
              <w:rPr>
                <w:sz w:val="15"/>
              </w:rPr>
            </w:pPr>
          </w:p>
          <w:p>
            <w:pPr>
              <w:pStyle w:val="TableParagraph"/>
              <w:spacing w:before="0"/>
              <w:ind w:left="70"/>
              <w:jc w:val="left"/>
              <w:rPr>
                <w:sz w:val="16"/>
              </w:rPr>
            </w:pPr>
            <w:r>
              <w:rPr>
                <w:sz w:val="16"/>
              </w:rPr>
              <w:t>SW</w:t>
            </w:r>
          </w:p>
        </w:tc>
        <w:tc>
          <w:tcPr>
            <w:tcW w:w="666" w:type="dxa"/>
          </w:tcPr>
          <w:p>
            <w:pPr>
              <w:pStyle w:val="TableParagraph"/>
              <w:spacing w:before="4"/>
              <w:jc w:val="left"/>
              <w:rPr>
                <w:sz w:val="15"/>
              </w:rPr>
            </w:pPr>
          </w:p>
          <w:p>
            <w:pPr>
              <w:pStyle w:val="TableParagraph"/>
              <w:spacing w:before="0"/>
              <w:ind w:left="66"/>
              <w:jc w:val="left"/>
              <w:rPr>
                <w:sz w:val="16"/>
              </w:rPr>
            </w:pPr>
            <w:r>
              <w:rPr>
                <w:sz w:val="16"/>
              </w:rPr>
              <w:t>ET</w:t>
            </w:r>
          </w:p>
        </w:tc>
        <w:tc>
          <w:tcPr>
            <w:tcW w:w="543" w:type="dxa"/>
          </w:tcPr>
          <w:p>
            <w:pPr>
              <w:pStyle w:val="TableParagraph"/>
              <w:spacing w:before="4"/>
              <w:jc w:val="left"/>
              <w:rPr>
                <w:sz w:val="15"/>
              </w:rPr>
            </w:pPr>
          </w:p>
          <w:p>
            <w:pPr>
              <w:pStyle w:val="TableParagraph"/>
              <w:spacing w:before="0"/>
              <w:ind w:left="67"/>
              <w:jc w:val="left"/>
              <w:rPr>
                <w:sz w:val="16"/>
              </w:rPr>
            </w:pPr>
            <w:r>
              <w:rPr>
                <w:sz w:val="16"/>
              </w:rPr>
              <w:t>PET</w:t>
            </w:r>
          </w:p>
        </w:tc>
        <w:tc>
          <w:tcPr>
            <w:tcW w:w="678" w:type="dxa"/>
          </w:tcPr>
          <w:p>
            <w:pPr>
              <w:pStyle w:val="TableParagraph"/>
              <w:spacing w:before="4"/>
              <w:jc w:val="left"/>
              <w:rPr>
                <w:sz w:val="15"/>
              </w:rPr>
            </w:pPr>
          </w:p>
          <w:p>
            <w:pPr>
              <w:pStyle w:val="TableParagraph"/>
              <w:spacing w:before="0"/>
              <w:ind w:left="67"/>
              <w:jc w:val="left"/>
              <w:rPr>
                <w:sz w:val="16"/>
              </w:rPr>
            </w:pPr>
            <w:r>
              <w:rPr>
                <w:sz w:val="16"/>
              </w:rPr>
              <w:t>YIELD</w:t>
            </w:r>
          </w:p>
        </w:tc>
        <w:tc>
          <w:tcPr>
            <w:tcW w:w="595" w:type="dxa"/>
          </w:tcPr>
          <w:p>
            <w:pPr>
              <w:pStyle w:val="TableParagraph"/>
              <w:spacing w:line="174" w:lineRule="exact" w:before="0"/>
              <w:ind w:left="71"/>
              <w:jc w:val="left"/>
              <w:rPr>
                <w:sz w:val="16"/>
              </w:rPr>
            </w:pPr>
            <w:r>
              <w:rPr>
                <w:sz w:val="16"/>
              </w:rPr>
              <w:t>YIEL</w:t>
            </w:r>
          </w:p>
          <w:p>
            <w:pPr>
              <w:pStyle w:val="TableParagraph"/>
              <w:spacing w:before="3"/>
              <w:ind w:left="71"/>
              <w:jc w:val="left"/>
              <w:rPr>
                <w:sz w:val="16"/>
              </w:rPr>
            </w:pPr>
            <w:r>
              <w:rPr>
                <w:w w:val="98"/>
                <w:sz w:val="16"/>
              </w:rPr>
              <w:t>D</w:t>
            </w:r>
          </w:p>
        </w:tc>
        <w:tc>
          <w:tcPr>
            <w:tcW w:w="595" w:type="dxa"/>
          </w:tcPr>
          <w:p>
            <w:pPr>
              <w:pStyle w:val="TableParagraph"/>
              <w:spacing w:before="4"/>
              <w:jc w:val="left"/>
              <w:rPr>
                <w:sz w:val="15"/>
              </w:rPr>
            </w:pPr>
          </w:p>
          <w:p>
            <w:pPr>
              <w:pStyle w:val="TableParagraph"/>
              <w:spacing w:before="0"/>
              <w:ind w:left="66"/>
              <w:jc w:val="left"/>
              <w:rPr>
                <w:sz w:val="16"/>
              </w:rPr>
            </w:pPr>
            <w:r>
              <w:rPr>
                <w:sz w:val="16"/>
              </w:rPr>
              <w:t>SURQ</w:t>
            </w:r>
          </w:p>
        </w:tc>
        <w:tc>
          <w:tcPr>
            <w:tcW w:w="545" w:type="dxa"/>
          </w:tcPr>
          <w:p>
            <w:pPr>
              <w:pStyle w:val="TableParagraph"/>
              <w:spacing w:line="174" w:lineRule="exact" w:before="0"/>
              <w:ind w:left="71"/>
              <w:jc w:val="left"/>
              <w:rPr>
                <w:sz w:val="16"/>
              </w:rPr>
            </w:pPr>
            <w:r>
              <w:rPr>
                <w:sz w:val="16"/>
              </w:rPr>
              <w:t>LAT</w:t>
            </w:r>
          </w:p>
          <w:p>
            <w:pPr>
              <w:pStyle w:val="TableParagraph"/>
              <w:spacing w:before="3"/>
              <w:ind w:left="71"/>
              <w:jc w:val="left"/>
              <w:rPr>
                <w:sz w:val="16"/>
              </w:rPr>
            </w:pPr>
            <w:r>
              <w:rPr>
                <w:w w:val="98"/>
                <w:sz w:val="16"/>
              </w:rPr>
              <w:t>Q</w:t>
            </w:r>
          </w:p>
        </w:tc>
        <w:tc>
          <w:tcPr>
            <w:tcW w:w="598" w:type="dxa"/>
          </w:tcPr>
          <w:p>
            <w:pPr>
              <w:pStyle w:val="TableParagraph"/>
              <w:spacing w:before="4"/>
              <w:jc w:val="left"/>
              <w:rPr>
                <w:sz w:val="15"/>
              </w:rPr>
            </w:pPr>
          </w:p>
          <w:p>
            <w:pPr>
              <w:pStyle w:val="TableParagraph"/>
              <w:spacing w:before="0"/>
              <w:ind w:left="68"/>
              <w:jc w:val="left"/>
              <w:rPr>
                <w:sz w:val="16"/>
              </w:rPr>
            </w:pPr>
            <w:r>
              <w:rPr>
                <w:sz w:val="16"/>
              </w:rPr>
              <w:t>PERC</w:t>
            </w:r>
          </w:p>
        </w:tc>
        <w:tc>
          <w:tcPr>
            <w:tcW w:w="593" w:type="dxa"/>
          </w:tcPr>
          <w:p>
            <w:pPr>
              <w:pStyle w:val="TableParagraph"/>
              <w:spacing w:before="4"/>
              <w:jc w:val="left"/>
              <w:rPr>
                <w:sz w:val="15"/>
              </w:rPr>
            </w:pPr>
          </w:p>
          <w:p>
            <w:pPr>
              <w:pStyle w:val="TableParagraph"/>
              <w:spacing w:before="0"/>
              <w:ind w:left="71"/>
              <w:jc w:val="left"/>
              <w:rPr>
                <w:sz w:val="16"/>
              </w:rPr>
            </w:pPr>
            <w:r>
              <w:rPr>
                <w:sz w:val="16"/>
              </w:rPr>
              <w:t>CROP</w:t>
            </w:r>
          </w:p>
        </w:tc>
        <w:tc>
          <w:tcPr>
            <w:tcW w:w="830" w:type="dxa"/>
          </w:tcPr>
          <w:p>
            <w:pPr>
              <w:pStyle w:val="TableParagraph"/>
              <w:spacing w:line="174" w:lineRule="exact" w:before="0"/>
              <w:ind w:left="68" w:right="84"/>
              <w:jc w:val="left"/>
              <w:rPr>
                <w:sz w:val="16"/>
              </w:rPr>
            </w:pPr>
            <w:r>
              <w:rPr>
                <w:sz w:val="16"/>
              </w:rPr>
              <w:t>ORGANI</w:t>
            </w:r>
          </w:p>
          <w:p>
            <w:pPr>
              <w:pStyle w:val="TableParagraph"/>
              <w:spacing w:before="3"/>
              <w:ind w:left="68"/>
              <w:jc w:val="left"/>
              <w:rPr>
                <w:sz w:val="16"/>
              </w:rPr>
            </w:pPr>
            <w:r>
              <w:rPr>
                <w:w w:val="98"/>
                <w:sz w:val="16"/>
              </w:rPr>
              <w:t>C</w:t>
            </w:r>
          </w:p>
        </w:tc>
        <w:tc>
          <w:tcPr>
            <w:tcW w:w="821" w:type="dxa"/>
          </w:tcPr>
          <w:p>
            <w:pPr>
              <w:pStyle w:val="TableParagraph"/>
              <w:spacing w:line="174" w:lineRule="exact" w:before="0"/>
              <w:ind w:left="68" w:right="84"/>
              <w:jc w:val="left"/>
              <w:rPr>
                <w:sz w:val="16"/>
              </w:rPr>
            </w:pPr>
            <w:r>
              <w:rPr>
                <w:sz w:val="16"/>
              </w:rPr>
              <w:t>SOLUBL</w:t>
            </w:r>
          </w:p>
          <w:p>
            <w:pPr>
              <w:pStyle w:val="TableParagraph"/>
              <w:spacing w:before="3"/>
              <w:ind w:left="68"/>
              <w:jc w:val="left"/>
              <w:rPr>
                <w:sz w:val="16"/>
              </w:rPr>
            </w:pPr>
            <w:r>
              <w:rPr>
                <w:w w:val="98"/>
                <w:sz w:val="16"/>
              </w:rPr>
              <w:t>E</w:t>
            </w:r>
          </w:p>
        </w:tc>
        <w:tc>
          <w:tcPr>
            <w:tcW w:w="831" w:type="dxa"/>
          </w:tcPr>
          <w:p>
            <w:pPr>
              <w:pStyle w:val="TableParagraph"/>
              <w:spacing w:line="174" w:lineRule="exact" w:before="0"/>
              <w:ind w:left="68" w:right="84"/>
              <w:jc w:val="left"/>
              <w:rPr>
                <w:sz w:val="16"/>
              </w:rPr>
            </w:pPr>
            <w:r>
              <w:rPr>
                <w:sz w:val="16"/>
              </w:rPr>
              <w:t>ORGANI</w:t>
            </w:r>
          </w:p>
          <w:p>
            <w:pPr>
              <w:pStyle w:val="TableParagraph"/>
              <w:spacing w:before="3"/>
              <w:ind w:left="68"/>
              <w:jc w:val="left"/>
              <w:rPr>
                <w:sz w:val="16"/>
              </w:rPr>
            </w:pPr>
            <w:r>
              <w:rPr>
                <w:w w:val="98"/>
                <w:sz w:val="16"/>
              </w:rPr>
              <w:t>C</w:t>
            </w:r>
          </w:p>
        </w:tc>
        <w:tc>
          <w:tcPr>
            <w:tcW w:w="891" w:type="dxa"/>
          </w:tcPr>
          <w:p>
            <w:pPr>
              <w:pStyle w:val="TableParagraph"/>
              <w:spacing w:line="174" w:lineRule="exact" w:before="0"/>
              <w:ind w:left="68"/>
              <w:jc w:val="left"/>
              <w:rPr>
                <w:sz w:val="16"/>
              </w:rPr>
            </w:pPr>
            <w:r>
              <w:rPr>
                <w:sz w:val="16"/>
              </w:rPr>
              <w:t>TILENO</w:t>
            </w:r>
          </w:p>
          <w:p>
            <w:pPr>
              <w:pStyle w:val="TableParagraph"/>
              <w:spacing w:before="3"/>
              <w:ind w:left="68"/>
              <w:jc w:val="left"/>
              <w:rPr>
                <w:sz w:val="16"/>
              </w:rPr>
            </w:pPr>
            <w:r>
              <w:rPr>
                <w:w w:val="98"/>
                <w:sz w:val="16"/>
              </w:rPr>
              <w:t>3</w:t>
            </w:r>
          </w:p>
        </w:tc>
      </w:tr>
      <w:tr>
        <w:trPr>
          <w:trHeight w:val="425" w:hRule="exact"/>
        </w:trPr>
        <w:tc>
          <w:tcPr>
            <w:tcW w:w="685" w:type="dxa"/>
          </w:tcPr>
          <w:p>
            <w:pPr/>
          </w:p>
        </w:tc>
        <w:tc>
          <w:tcPr>
            <w:tcW w:w="718" w:type="dxa"/>
          </w:tcPr>
          <w:p>
            <w:pPr>
              <w:pStyle w:val="TableParagraph"/>
              <w:spacing w:before="0"/>
              <w:jc w:val="left"/>
              <w:rPr>
                <w:sz w:val="15"/>
              </w:rPr>
            </w:pPr>
          </w:p>
          <w:p>
            <w:pPr>
              <w:pStyle w:val="TableParagraph"/>
              <w:spacing w:before="0"/>
              <w:ind w:left="67"/>
              <w:jc w:val="left"/>
              <w:rPr>
                <w:sz w:val="16"/>
              </w:rPr>
            </w:pPr>
            <w:r>
              <w:rPr>
                <w:sz w:val="16"/>
              </w:rPr>
              <w:t>(mm)</w:t>
            </w:r>
          </w:p>
        </w:tc>
        <w:tc>
          <w:tcPr>
            <w:tcW w:w="716" w:type="dxa"/>
          </w:tcPr>
          <w:p>
            <w:pPr>
              <w:pStyle w:val="TableParagraph"/>
              <w:spacing w:before="0"/>
              <w:jc w:val="left"/>
              <w:rPr>
                <w:sz w:val="15"/>
              </w:rPr>
            </w:pPr>
          </w:p>
          <w:p>
            <w:pPr>
              <w:pStyle w:val="TableParagraph"/>
              <w:spacing w:before="0"/>
              <w:ind w:left="69"/>
              <w:jc w:val="left"/>
              <w:rPr>
                <w:sz w:val="16"/>
              </w:rPr>
            </w:pPr>
            <w:r>
              <w:rPr>
                <w:sz w:val="16"/>
              </w:rPr>
              <w:t>(mm)</w:t>
            </w:r>
          </w:p>
        </w:tc>
        <w:tc>
          <w:tcPr>
            <w:tcW w:w="554" w:type="dxa"/>
          </w:tcPr>
          <w:p>
            <w:pPr>
              <w:pStyle w:val="TableParagraph"/>
              <w:spacing w:before="0"/>
              <w:jc w:val="left"/>
              <w:rPr>
                <w:sz w:val="15"/>
              </w:rPr>
            </w:pPr>
          </w:p>
          <w:p>
            <w:pPr>
              <w:pStyle w:val="TableParagraph"/>
              <w:spacing w:before="0"/>
              <w:ind w:left="68"/>
              <w:jc w:val="left"/>
              <w:rPr>
                <w:sz w:val="16"/>
              </w:rPr>
            </w:pPr>
            <w:r>
              <w:rPr>
                <w:sz w:val="16"/>
              </w:rPr>
              <w:t>(mm)</w:t>
            </w:r>
          </w:p>
        </w:tc>
        <w:tc>
          <w:tcPr>
            <w:tcW w:w="538" w:type="dxa"/>
          </w:tcPr>
          <w:p>
            <w:pPr>
              <w:pStyle w:val="TableParagraph"/>
              <w:spacing w:before="0"/>
              <w:jc w:val="left"/>
              <w:rPr>
                <w:sz w:val="15"/>
              </w:rPr>
            </w:pPr>
          </w:p>
          <w:p>
            <w:pPr>
              <w:pStyle w:val="TableParagraph"/>
              <w:spacing w:before="0"/>
              <w:ind w:right="114"/>
              <w:rPr>
                <w:sz w:val="16"/>
              </w:rPr>
            </w:pPr>
            <w:r>
              <w:rPr>
                <w:w w:val="95"/>
                <w:sz w:val="16"/>
              </w:rPr>
              <w:t>(mm)</w:t>
            </w:r>
          </w:p>
        </w:tc>
        <w:tc>
          <w:tcPr>
            <w:tcW w:w="669" w:type="dxa"/>
          </w:tcPr>
          <w:p>
            <w:pPr>
              <w:pStyle w:val="TableParagraph"/>
              <w:spacing w:before="0"/>
              <w:jc w:val="left"/>
              <w:rPr>
                <w:sz w:val="15"/>
              </w:rPr>
            </w:pPr>
          </w:p>
          <w:p>
            <w:pPr>
              <w:pStyle w:val="TableParagraph"/>
              <w:spacing w:before="0"/>
              <w:ind w:left="70"/>
              <w:jc w:val="left"/>
              <w:rPr>
                <w:sz w:val="16"/>
              </w:rPr>
            </w:pPr>
            <w:r>
              <w:rPr>
                <w:sz w:val="16"/>
              </w:rPr>
              <w:t>(mm)</w:t>
            </w:r>
          </w:p>
        </w:tc>
        <w:tc>
          <w:tcPr>
            <w:tcW w:w="535" w:type="dxa"/>
          </w:tcPr>
          <w:p>
            <w:pPr>
              <w:pStyle w:val="TableParagraph"/>
              <w:spacing w:before="0"/>
              <w:jc w:val="left"/>
              <w:rPr>
                <w:sz w:val="15"/>
              </w:rPr>
            </w:pPr>
          </w:p>
          <w:p>
            <w:pPr>
              <w:pStyle w:val="TableParagraph"/>
              <w:spacing w:before="0"/>
              <w:ind w:left="68"/>
              <w:jc w:val="left"/>
              <w:rPr>
                <w:sz w:val="16"/>
              </w:rPr>
            </w:pPr>
            <w:r>
              <w:rPr>
                <w:sz w:val="16"/>
              </w:rPr>
              <w:t>(mm)</w:t>
            </w:r>
          </w:p>
        </w:tc>
        <w:tc>
          <w:tcPr>
            <w:tcW w:w="667" w:type="dxa"/>
          </w:tcPr>
          <w:p>
            <w:pPr>
              <w:pStyle w:val="TableParagraph"/>
              <w:spacing w:before="0"/>
              <w:jc w:val="left"/>
              <w:rPr>
                <w:sz w:val="15"/>
              </w:rPr>
            </w:pPr>
          </w:p>
          <w:p>
            <w:pPr>
              <w:pStyle w:val="TableParagraph"/>
              <w:spacing w:before="0"/>
              <w:ind w:left="70"/>
              <w:jc w:val="left"/>
              <w:rPr>
                <w:sz w:val="16"/>
              </w:rPr>
            </w:pPr>
            <w:r>
              <w:rPr>
                <w:sz w:val="16"/>
              </w:rPr>
              <w:t>(mm)</w:t>
            </w:r>
          </w:p>
        </w:tc>
        <w:tc>
          <w:tcPr>
            <w:tcW w:w="666" w:type="dxa"/>
          </w:tcPr>
          <w:p>
            <w:pPr>
              <w:pStyle w:val="TableParagraph"/>
              <w:spacing w:before="0"/>
              <w:jc w:val="left"/>
              <w:rPr>
                <w:sz w:val="15"/>
              </w:rPr>
            </w:pPr>
          </w:p>
          <w:p>
            <w:pPr>
              <w:pStyle w:val="TableParagraph"/>
              <w:spacing w:before="0"/>
              <w:ind w:left="66"/>
              <w:jc w:val="left"/>
              <w:rPr>
                <w:sz w:val="16"/>
              </w:rPr>
            </w:pPr>
            <w:r>
              <w:rPr>
                <w:sz w:val="16"/>
              </w:rPr>
              <w:t>(mm)</w:t>
            </w:r>
          </w:p>
        </w:tc>
        <w:tc>
          <w:tcPr>
            <w:tcW w:w="543" w:type="dxa"/>
          </w:tcPr>
          <w:p>
            <w:pPr>
              <w:pStyle w:val="TableParagraph"/>
              <w:spacing w:before="0"/>
              <w:jc w:val="left"/>
              <w:rPr>
                <w:sz w:val="15"/>
              </w:rPr>
            </w:pPr>
          </w:p>
          <w:p>
            <w:pPr>
              <w:pStyle w:val="TableParagraph"/>
              <w:spacing w:before="0"/>
              <w:ind w:left="67"/>
              <w:jc w:val="left"/>
              <w:rPr>
                <w:sz w:val="16"/>
              </w:rPr>
            </w:pPr>
            <w:r>
              <w:rPr>
                <w:sz w:val="16"/>
              </w:rPr>
              <w:t>(mm)</w:t>
            </w:r>
          </w:p>
        </w:tc>
        <w:tc>
          <w:tcPr>
            <w:tcW w:w="678" w:type="dxa"/>
          </w:tcPr>
          <w:p>
            <w:pPr>
              <w:pStyle w:val="TableParagraph"/>
              <w:spacing w:before="0"/>
              <w:jc w:val="left"/>
              <w:rPr>
                <w:sz w:val="15"/>
              </w:rPr>
            </w:pPr>
          </w:p>
          <w:p>
            <w:pPr>
              <w:pStyle w:val="TableParagraph"/>
              <w:spacing w:before="0"/>
              <w:ind w:left="67"/>
              <w:jc w:val="left"/>
              <w:rPr>
                <w:sz w:val="16"/>
              </w:rPr>
            </w:pPr>
            <w:r>
              <w:rPr>
                <w:sz w:val="16"/>
              </w:rPr>
              <w:t>(mm)</w:t>
            </w:r>
          </w:p>
        </w:tc>
        <w:tc>
          <w:tcPr>
            <w:tcW w:w="595" w:type="dxa"/>
          </w:tcPr>
          <w:p>
            <w:pPr>
              <w:pStyle w:val="TableParagraph"/>
              <w:spacing w:before="0"/>
              <w:jc w:val="left"/>
              <w:rPr>
                <w:sz w:val="15"/>
              </w:rPr>
            </w:pPr>
          </w:p>
          <w:p>
            <w:pPr>
              <w:pStyle w:val="TableParagraph"/>
              <w:spacing w:before="0"/>
              <w:ind w:left="71"/>
              <w:jc w:val="left"/>
              <w:rPr>
                <w:sz w:val="16"/>
              </w:rPr>
            </w:pPr>
            <w:r>
              <w:rPr>
                <w:sz w:val="16"/>
              </w:rPr>
              <w:t>(mm)</w:t>
            </w:r>
          </w:p>
        </w:tc>
        <w:tc>
          <w:tcPr>
            <w:tcW w:w="595" w:type="dxa"/>
          </w:tcPr>
          <w:p>
            <w:pPr>
              <w:pStyle w:val="TableParagraph"/>
              <w:spacing w:before="0"/>
              <w:jc w:val="left"/>
              <w:rPr>
                <w:sz w:val="15"/>
              </w:rPr>
            </w:pPr>
          </w:p>
          <w:p>
            <w:pPr>
              <w:pStyle w:val="TableParagraph"/>
              <w:spacing w:before="0"/>
              <w:ind w:left="66"/>
              <w:jc w:val="left"/>
              <w:rPr>
                <w:sz w:val="16"/>
              </w:rPr>
            </w:pPr>
            <w:r>
              <w:rPr>
                <w:sz w:val="16"/>
              </w:rPr>
              <w:t>------</w:t>
            </w:r>
          </w:p>
        </w:tc>
        <w:tc>
          <w:tcPr>
            <w:tcW w:w="545" w:type="dxa"/>
          </w:tcPr>
          <w:p>
            <w:pPr>
              <w:pStyle w:val="TableParagraph"/>
              <w:spacing w:before="0"/>
              <w:jc w:val="left"/>
              <w:rPr>
                <w:sz w:val="15"/>
              </w:rPr>
            </w:pPr>
          </w:p>
          <w:p>
            <w:pPr>
              <w:pStyle w:val="TableParagraph"/>
              <w:spacing w:before="0"/>
              <w:ind w:left="71"/>
              <w:jc w:val="left"/>
              <w:rPr>
                <w:sz w:val="16"/>
              </w:rPr>
            </w:pPr>
            <w:r>
              <w:rPr>
                <w:sz w:val="16"/>
              </w:rPr>
              <w:t>-------</w:t>
            </w:r>
          </w:p>
        </w:tc>
        <w:tc>
          <w:tcPr>
            <w:tcW w:w="598" w:type="dxa"/>
          </w:tcPr>
          <w:p>
            <w:pPr>
              <w:pStyle w:val="TableParagraph"/>
              <w:spacing w:line="173" w:lineRule="exact" w:before="0"/>
              <w:ind w:left="68"/>
              <w:jc w:val="left"/>
              <w:rPr>
                <w:sz w:val="16"/>
              </w:rPr>
            </w:pPr>
            <w:r>
              <w:rPr>
                <w:sz w:val="16"/>
              </w:rPr>
              <w:t>-----</w:t>
            </w:r>
          </w:p>
          <w:p>
            <w:pPr>
              <w:pStyle w:val="TableParagraph"/>
              <w:spacing w:line="183" w:lineRule="exact" w:before="0"/>
              <w:ind w:left="68"/>
              <w:jc w:val="left"/>
              <w:rPr>
                <w:sz w:val="16"/>
              </w:rPr>
            </w:pPr>
            <w:r>
              <w:rPr>
                <w:sz w:val="16"/>
              </w:rPr>
              <w:t>(kg</w:t>
            </w:r>
          </w:p>
        </w:tc>
        <w:tc>
          <w:tcPr>
            <w:tcW w:w="593" w:type="dxa"/>
          </w:tcPr>
          <w:p>
            <w:pPr>
              <w:pStyle w:val="TableParagraph"/>
              <w:spacing w:line="237" w:lineRule="auto" w:before="0"/>
              <w:ind w:left="71" w:right="147"/>
              <w:jc w:val="left"/>
              <w:rPr>
                <w:sz w:val="16"/>
              </w:rPr>
            </w:pPr>
            <w:r>
              <w:rPr>
                <w:w w:val="95"/>
                <w:sz w:val="16"/>
              </w:rPr>
              <w:t>nutrie </w:t>
            </w:r>
            <w:r>
              <w:rPr>
                <w:sz w:val="16"/>
              </w:rPr>
              <w:t>n</w:t>
            </w:r>
          </w:p>
        </w:tc>
        <w:tc>
          <w:tcPr>
            <w:tcW w:w="830" w:type="dxa"/>
          </w:tcPr>
          <w:p>
            <w:pPr>
              <w:pStyle w:val="TableParagraph"/>
              <w:spacing w:line="173" w:lineRule="exact" w:before="0"/>
              <w:ind w:left="68"/>
              <w:jc w:val="left"/>
              <w:rPr>
                <w:sz w:val="16"/>
              </w:rPr>
            </w:pPr>
            <w:r>
              <w:rPr>
                <w:sz w:val="16"/>
              </w:rPr>
              <w:t>Ton/Ha)--</w:t>
            </w:r>
          </w:p>
          <w:p>
            <w:pPr>
              <w:pStyle w:val="TableParagraph"/>
              <w:spacing w:line="183" w:lineRule="exact" w:before="0"/>
              <w:ind w:left="68" w:right="84"/>
              <w:jc w:val="left"/>
              <w:rPr>
                <w:sz w:val="16"/>
              </w:rPr>
            </w:pPr>
            <w:r>
              <w:rPr>
                <w:sz w:val="16"/>
              </w:rPr>
              <w:t>--</w:t>
            </w:r>
          </w:p>
        </w:tc>
        <w:tc>
          <w:tcPr>
            <w:tcW w:w="821" w:type="dxa"/>
          </w:tcPr>
          <w:p>
            <w:pPr>
              <w:pStyle w:val="TableParagraph"/>
              <w:spacing w:before="0"/>
              <w:jc w:val="left"/>
              <w:rPr>
                <w:sz w:val="15"/>
              </w:rPr>
            </w:pPr>
          </w:p>
          <w:p>
            <w:pPr>
              <w:pStyle w:val="TableParagraph"/>
              <w:spacing w:before="0"/>
              <w:ind w:left="68" w:right="84"/>
              <w:jc w:val="left"/>
              <w:rPr>
                <w:sz w:val="16"/>
              </w:rPr>
            </w:pPr>
            <w:r>
              <w:rPr>
                <w:sz w:val="16"/>
              </w:rPr>
              <w:t>--------</w:t>
            </w:r>
          </w:p>
        </w:tc>
        <w:tc>
          <w:tcPr>
            <w:tcW w:w="831" w:type="dxa"/>
          </w:tcPr>
          <w:p>
            <w:pPr>
              <w:pStyle w:val="TableParagraph"/>
              <w:spacing w:before="0"/>
              <w:jc w:val="left"/>
              <w:rPr>
                <w:sz w:val="15"/>
              </w:rPr>
            </w:pPr>
          </w:p>
          <w:p>
            <w:pPr>
              <w:pStyle w:val="TableParagraph"/>
              <w:spacing w:before="0"/>
              <w:ind w:left="68" w:right="84"/>
              <w:jc w:val="left"/>
              <w:rPr>
                <w:sz w:val="16"/>
              </w:rPr>
            </w:pPr>
            <w:r>
              <w:rPr>
                <w:sz w:val="16"/>
              </w:rPr>
              <w:t>--------</w:t>
            </w:r>
          </w:p>
        </w:tc>
        <w:tc>
          <w:tcPr>
            <w:tcW w:w="891" w:type="dxa"/>
          </w:tcPr>
          <w:p>
            <w:pPr>
              <w:pStyle w:val="TableParagraph"/>
              <w:spacing w:before="0"/>
              <w:jc w:val="left"/>
              <w:rPr>
                <w:sz w:val="15"/>
              </w:rPr>
            </w:pPr>
          </w:p>
          <w:p>
            <w:pPr>
              <w:pStyle w:val="TableParagraph"/>
              <w:spacing w:before="0"/>
              <w:ind w:left="68" w:right="214"/>
              <w:jc w:val="left"/>
              <w:rPr>
                <w:sz w:val="16"/>
              </w:rPr>
            </w:pPr>
            <w:r>
              <w:rPr>
                <w:sz w:val="16"/>
              </w:rPr>
              <w:t>(kg/ha)</w:t>
            </w:r>
          </w:p>
        </w:tc>
      </w:tr>
      <w:tr>
        <w:trPr>
          <w:trHeight w:val="300" w:hRule="exact"/>
        </w:trPr>
        <w:tc>
          <w:tcPr>
            <w:tcW w:w="685" w:type="dxa"/>
          </w:tcPr>
          <w:p>
            <w:pPr>
              <w:pStyle w:val="TableParagraph"/>
              <w:spacing w:before="50"/>
              <w:ind w:right="72"/>
              <w:rPr>
                <w:sz w:val="16"/>
              </w:rPr>
            </w:pPr>
            <w:r>
              <w:rPr>
                <w:w w:val="98"/>
                <w:sz w:val="16"/>
              </w:rPr>
              <w:t>1</w:t>
            </w:r>
          </w:p>
        </w:tc>
        <w:tc>
          <w:tcPr>
            <w:tcW w:w="718" w:type="dxa"/>
          </w:tcPr>
          <w:p>
            <w:pPr>
              <w:pStyle w:val="TableParagraph"/>
              <w:spacing w:before="50"/>
              <w:ind w:right="70"/>
              <w:rPr>
                <w:sz w:val="16"/>
              </w:rPr>
            </w:pPr>
            <w:r>
              <w:rPr>
                <w:sz w:val="16"/>
              </w:rPr>
              <w:t>10.71</w:t>
            </w:r>
          </w:p>
        </w:tc>
        <w:tc>
          <w:tcPr>
            <w:tcW w:w="716" w:type="dxa"/>
          </w:tcPr>
          <w:p>
            <w:pPr>
              <w:pStyle w:val="TableParagraph"/>
              <w:spacing w:before="50"/>
              <w:ind w:right="66"/>
              <w:rPr>
                <w:sz w:val="16"/>
              </w:rPr>
            </w:pPr>
            <w:r>
              <w:rPr>
                <w:w w:val="95"/>
                <w:sz w:val="16"/>
              </w:rPr>
              <w:t>0.24</w:t>
            </w:r>
          </w:p>
        </w:tc>
        <w:tc>
          <w:tcPr>
            <w:tcW w:w="554" w:type="dxa"/>
          </w:tcPr>
          <w:p>
            <w:pPr>
              <w:pStyle w:val="TableParagraph"/>
              <w:spacing w:before="50"/>
              <w:ind w:right="69"/>
              <w:rPr>
                <w:sz w:val="16"/>
              </w:rPr>
            </w:pPr>
            <w:r>
              <w:rPr>
                <w:w w:val="95"/>
                <w:sz w:val="16"/>
              </w:rPr>
              <w:t>0.64</w:t>
            </w:r>
          </w:p>
        </w:tc>
        <w:tc>
          <w:tcPr>
            <w:tcW w:w="538" w:type="dxa"/>
          </w:tcPr>
          <w:p>
            <w:pPr>
              <w:pStyle w:val="TableParagraph"/>
              <w:spacing w:before="50"/>
              <w:ind w:right="68"/>
              <w:rPr>
                <w:sz w:val="16"/>
              </w:rPr>
            </w:pPr>
            <w:r>
              <w:rPr>
                <w:w w:val="98"/>
                <w:sz w:val="16"/>
              </w:rPr>
              <w:t>0</w:t>
            </w:r>
          </w:p>
        </w:tc>
        <w:tc>
          <w:tcPr>
            <w:tcW w:w="669" w:type="dxa"/>
          </w:tcPr>
          <w:p>
            <w:pPr>
              <w:pStyle w:val="TableParagraph"/>
              <w:spacing w:before="50"/>
              <w:ind w:right="66"/>
              <w:rPr>
                <w:sz w:val="16"/>
              </w:rPr>
            </w:pPr>
            <w:r>
              <w:rPr>
                <w:w w:val="95"/>
                <w:sz w:val="16"/>
              </w:rPr>
              <w:t>0.02</w:t>
            </w:r>
          </w:p>
        </w:tc>
        <w:tc>
          <w:tcPr>
            <w:tcW w:w="535" w:type="dxa"/>
          </w:tcPr>
          <w:p>
            <w:pPr>
              <w:pStyle w:val="TableParagraph"/>
              <w:spacing w:before="50"/>
              <w:ind w:right="68"/>
              <w:rPr>
                <w:sz w:val="16"/>
              </w:rPr>
            </w:pPr>
            <w:r>
              <w:rPr>
                <w:w w:val="98"/>
                <w:sz w:val="16"/>
              </w:rPr>
              <w:t>0</w:t>
            </w:r>
          </w:p>
        </w:tc>
        <w:tc>
          <w:tcPr>
            <w:tcW w:w="667" w:type="dxa"/>
          </w:tcPr>
          <w:p>
            <w:pPr>
              <w:pStyle w:val="TableParagraph"/>
              <w:spacing w:before="50"/>
              <w:ind w:right="64"/>
              <w:rPr>
                <w:sz w:val="16"/>
              </w:rPr>
            </w:pPr>
            <w:r>
              <w:rPr>
                <w:sz w:val="16"/>
              </w:rPr>
              <w:t>318.66</w:t>
            </w:r>
          </w:p>
        </w:tc>
        <w:tc>
          <w:tcPr>
            <w:tcW w:w="666" w:type="dxa"/>
          </w:tcPr>
          <w:p>
            <w:pPr>
              <w:pStyle w:val="TableParagraph"/>
              <w:spacing w:before="50"/>
              <w:ind w:right="68"/>
              <w:rPr>
                <w:sz w:val="16"/>
              </w:rPr>
            </w:pPr>
            <w:r>
              <w:rPr>
                <w:w w:val="95"/>
                <w:sz w:val="16"/>
              </w:rPr>
              <w:t>6.68</w:t>
            </w:r>
          </w:p>
        </w:tc>
        <w:tc>
          <w:tcPr>
            <w:tcW w:w="543" w:type="dxa"/>
          </w:tcPr>
          <w:p>
            <w:pPr>
              <w:pStyle w:val="TableParagraph"/>
              <w:spacing w:before="50"/>
              <w:ind w:left="110"/>
              <w:jc w:val="left"/>
              <w:rPr>
                <w:sz w:val="16"/>
              </w:rPr>
            </w:pPr>
            <w:r>
              <w:rPr>
                <w:sz w:val="16"/>
              </w:rPr>
              <w:t>79.04</w:t>
            </w:r>
          </w:p>
        </w:tc>
        <w:tc>
          <w:tcPr>
            <w:tcW w:w="678" w:type="dxa"/>
          </w:tcPr>
          <w:p>
            <w:pPr>
              <w:pStyle w:val="TableParagraph"/>
              <w:spacing w:before="50"/>
              <w:ind w:right="69"/>
              <w:rPr>
                <w:sz w:val="16"/>
              </w:rPr>
            </w:pPr>
            <w:r>
              <w:rPr>
                <w:sz w:val="16"/>
              </w:rPr>
              <w:t>14.98</w:t>
            </w:r>
          </w:p>
        </w:tc>
        <w:tc>
          <w:tcPr>
            <w:tcW w:w="595" w:type="dxa"/>
          </w:tcPr>
          <w:p>
            <w:pPr>
              <w:pStyle w:val="TableParagraph"/>
              <w:spacing w:before="50"/>
              <w:ind w:right="64"/>
              <w:rPr>
                <w:sz w:val="16"/>
              </w:rPr>
            </w:pPr>
            <w:r>
              <w:rPr>
                <w:w w:val="95"/>
                <w:sz w:val="16"/>
              </w:rPr>
              <w:t>0.01</w:t>
            </w:r>
          </w:p>
        </w:tc>
        <w:tc>
          <w:tcPr>
            <w:tcW w:w="595" w:type="dxa"/>
          </w:tcPr>
          <w:p>
            <w:pPr>
              <w:pStyle w:val="TableParagraph"/>
              <w:spacing w:before="50"/>
              <w:ind w:right="73"/>
              <w:rPr>
                <w:sz w:val="16"/>
              </w:rPr>
            </w:pPr>
            <w:r>
              <w:rPr>
                <w:w w:val="98"/>
                <w:sz w:val="16"/>
              </w:rPr>
              <w:t>0</w:t>
            </w:r>
          </w:p>
        </w:tc>
        <w:tc>
          <w:tcPr>
            <w:tcW w:w="545" w:type="dxa"/>
          </w:tcPr>
          <w:p>
            <w:pPr>
              <w:pStyle w:val="TableParagraph"/>
              <w:spacing w:before="50"/>
              <w:ind w:right="66"/>
              <w:rPr>
                <w:sz w:val="16"/>
              </w:rPr>
            </w:pPr>
            <w:r>
              <w:rPr>
                <w:w w:val="95"/>
                <w:sz w:val="16"/>
              </w:rPr>
              <w:t>0.01</w:t>
            </w:r>
          </w:p>
        </w:tc>
        <w:tc>
          <w:tcPr>
            <w:tcW w:w="598" w:type="dxa"/>
          </w:tcPr>
          <w:p>
            <w:pPr>
              <w:pStyle w:val="TableParagraph"/>
              <w:spacing w:before="50"/>
              <w:ind w:right="73"/>
              <w:rPr>
                <w:sz w:val="16"/>
              </w:rPr>
            </w:pPr>
            <w:r>
              <w:rPr>
                <w:w w:val="98"/>
                <w:sz w:val="16"/>
              </w:rPr>
              <w:t>0</w:t>
            </w:r>
          </w:p>
        </w:tc>
        <w:tc>
          <w:tcPr>
            <w:tcW w:w="593" w:type="dxa"/>
          </w:tcPr>
          <w:p>
            <w:pPr>
              <w:pStyle w:val="TableParagraph"/>
              <w:spacing w:before="50"/>
              <w:ind w:right="72"/>
              <w:rPr>
                <w:sz w:val="16"/>
              </w:rPr>
            </w:pPr>
            <w:r>
              <w:rPr>
                <w:w w:val="98"/>
                <w:sz w:val="16"/>
              </w:rPr>
              <w:t>0</w:t>
            </w:r>
          </w:p>
        </w:tc>
        <w:tc>
          <w:tcPr>
            <w:tcW w:w="830" w:type="dxa"/>
          </w:tcPr>
          <w:p>
            <w:pPr>
              <w:pStyle w:val="TableParagraph"/>
              <w:spacing w:before="50"/>
              <w:ind w:right="72"/>
              <w:rPr>
                <w:sz w:val="16"/>
              </w:rPr>
            </w:pPr>
            <w:r>
              <w:rPr>
                <w:w w:val="98"/>
                <w:sz w:val="16"/>
              </w:rPr>
              <w:t>0</w:t>
            </w:r>
          </w:p>
        </w:tc>
        <w:tc>
          <w:tcPr>
            <w:tcW w:w="821" w:type="dxa"/>
          </w:tcPr>
          <w:p>
            <w:pPr>
              <w:pStyle w:val="TableParagraph"/>
              <w:spacing w:before="50"/>
              <w:ind w:right="70"/>
              <w:rPr>
                <w:sz w:val="16"/>
              </w:rPr>
            </w:pPr>
            <w:r>
              <w:rPr>
                <w:w w:val="98"/>
                <w:sz w:val="16"/>
              </w:rPr>
              <w:t>0</w:t>
            </w:r>
          </w:p>
        </w:tc>
        <w:tc>
          <w:tcPr>
            <w:tcW w:w="831" w:type="dxa"/>
          </w:tcPr>
          <w:p>
            <w:pPr>
              <w:pStyle w:val="TableParagraph"/>
              <w:spacing w:before="50"/>
              <w:ind w:right="72"/>
              <w:rPr>
                <w:sz w:val="16"/>
              </w:rPr>
            </w:pPr>
            <w:r>
              <w:rPr>
                <w:w w:val="98"/>
                <w:sz w:val="16"/>
              </w:rPr>
              <w:t>0</w:t>
            </w:r>
          </w:p>
        </w:tc>
        <w:tc>
          <w:tcPr>
            <w:tcW w:w="891" w:type="dxa"/>
          </w:tcPr>
          <w:p>
            <w:pPr>
              <w:pStyle w:val="TableParagraph"/>
              <w:spacing w:before="50"/>
              <w:ind w:right="198"/>
              <w:rPr>
                <w:sz w:val="16"/>
              </w:rPr>
            </w:pPr>
            <w:r>
              <w:rPr>
                <w:w w:val="98"/>
                <w:sz w:val="16"/>
              </w:rPr>
              <w:t>0</w:t>
            </w:r>
          </w:p>
        </w:tc>
      </w:tr>
      <w:tr>
        <w:trPr>
          <w:trHeight w:val="300" w:hRule="exact"/>
        </w:trPr>
        <w:tc>
          <w:tcPr>
            <w:tcW w:w="685" w:type="dxa"/>
          </w:tcPr>
          <w:p>
            <w:pPr>
              <w:pStyle w:val="TableParagraph"/>
              <w:spacing w:before="48"/>
              <w:ind w:right="72"/>
              <w:rPr>
                <w:sz w:val="16"/>
              </w:rPr>
            </w:pPr>
            <w:r>
              <w:rPr>
                <w:w w:val="99"/>
                <w:sz w:val="16"/>
              </w:rPr>
              <w:t>2</w:t>
            </w:r>
          </w:p>
        </w:tc>
        <w:tc>
          <w:tcPr>
            <w:tcW w:w="718" w:type="dxa"/>
          </w:tcPr>
          <w:p>
            <w:pPr>
              <w:pStyle w:val="TableParagraph"/>
              <w:spacing w:before="48"/>
              <w:ind w:right="70"/>
              <w:rPr>
                <w:sz w:val="16"/>
              </w:rPr>
            </w:pPr>
            <w:r>
              <w:rPr>
                <w:w w:val="95"/>
                <w:sz w:val="16"/>
              </w:rPr>
              <w:t>9.69</w:t>
            </w:r>
          </w:p>
        </w:tc>
        <w:tc>
          <w:tcPr>
            <w:tcW w:w="716" w:type="dxa"/>
          </w:tcPr>
          <w:p>
            <w:pPr>
              <w:pStyle w:val="TableParagraph"/>
              <w:spacing w:before="48"/>
              <w:ind w:right="66"/>
              <w:rPr>
                <w:sz w:val="16"/>
              </w:rPr>
            </w:pPr>
            <w:r>
              <w:rPr>
                <w:w w:val="95"/>
                <w:sz w:val="16"/>
              </w:rPr>
              <w:t>0.04</w:t>
            </w:r>
          </w:p>
        </w:tc>
        <w:tc>
          <w:tcPr>
            <w:tcW w:w="554" w:type="dxa"/>
          </w:tcPr>
          <w:p>
            <w:pPr>
              <w:pStyle w:val="TableParagraph"/>
              <w:spacing w:before="48"/>
              <w:ind w:right="69"/>
              <w:rPr>
                <w:sz w:val="16"/>
              </w:rPr>
            </w:pPr>
            <w:r>
              <w:rPr>
                <w:w w:val="95"/>
                <w:sz w:val="16"/>
              </w:rPr>
              <w:t>0.47</w:t>
            </w:r>
          </w:p>
        </w:tc>
        <w:tc>
          <w:tcPr>
            <w:tcW w:w="538" w:type="dxa"/>
          </w:tcPr>
          <w:p>
            <w:pPr>
              <w:pStyle w:val="TableParagraph"/>
              <w:spacing w:before="48"/>
              <w:ind w:right="68"/>
              <w:rPr>
                <w:sz w:val="16"/>
              </w:rPr>
            </w:pPr>
            <w:r>
              <w:rPr>
                <w:w w:val="99"/>
                <w:sz w:val="16"/>
              </w:rPr>
              <w:t>0</w:t>
            </w:r>
          </w:p>
        </w:tc>
        <w:tc>
          <w:tcPr>
            <w:tcW w:w="669" w:type="dxa"/>
          </w:tcPr>
          <w:p>
            <w:pPr>
              <w:pStyle w:val="TableParagraph"/>
              <w:spacing w:before="48"/>
              <w:ind w:right="66"/>
              <w:rPr>
                <w:sz w:val="16"/>
              </w:rPr>
            </w:pPr>
            <w:r>
              <w:rPr>
                <w:w w:val="95"/>
                <w:sz w:val="16"/>
              </w:rPr>
              <w:t>0.01</w:t>
            </w:r>
          </w:p>
        </w:tc>
        <w:tc>
          <w:tcPr>
            <w:tcW w:w="535" w:type="dxa"/>
          </w:tcPr>
          <w:p>
            <w:pPr>
              <w:pStyle w:val="TableParagraph"/>
              <w:spacing w:before="48"/>
              <w:ind w:right="68"/>
              <w:rPr>
                <w:sz w:val="16"/>
              </w:rPr>
            </w:pPr>
            <w:r>
              <w:rPr>
                <w:w w:val="99"/>
                <w:sz w:val="16"/>
              </w:rPr>
              <w:t>0</w:t>
            </w:r>
          </w:p>
        </w:tc>
        <w:tc>
          <w:tcPr>
            <w:tcW w:w="667" w:type="dxa"/>
          </w:tcPr>
          <w:p>
            <w:pPr>
              <w:pStyle w:val="TableParagraph"/>
              <w:spacing w:before="48"/>
              <w:ind w:right="64"/>
              <w:rPr>
                <w:sz w:val="16"/>
              </w:rPr>
            </w:pPr>
            <w:r>
              <w:rPr>
                <w:sz w:val="16"/>
              </w:rPr>
              <w:t>319.54</w:t>
            </w:r>
          </w:p>
        </w:tc>
        <w:tc>
          <w:tcPr>
            <w:tcW w:w="666" w:type="dxa"/>
          </w:tcPr>
          <w:p>
            <w:pPr>
              <w:pStyle w:val="TableParagraph"/>
              <w:spacing w:before="48"/>
              <w:ind w:right="68"/>
              <w:rPr>
                <w:sz w:val="16"/>
              </w:rPr>
            </w:pPr>
            <w:r>
              <w:rPr>
                <w:w w:val="95"/>
                <w:sz w:val="16"/>
              </w:rPr>
              <w:t>8.65</w:t>
            </w:r>
          </w:p>
        </w:tc>
        <w:tc>
          <w:tcPr>
            <w:tcW w:w="543" w:type="dxa"/>
          </w:tcPr>
          <w:p>
            <w:pPr>
              <w:pStyle w:val="TableParagraph"/>
              <w:spacing w:before="48"/>
              <w:ind w:left="110"/>
              <w:jc w:val="left"/>
              <w:rPr>
                <w:sz w:val="16"/>
              </w:rPr>
            </w:pPr>
            <w:r>
              <w:rPr>
                <w:sz w:val="16"/>
              </w:rPr>
              <w:t>89.38</w:t>
            </w:r>
          </w:p>
        </w:tc>
        <w:tc>
          <w:tcPr>
            <w:tcW w:w="678" w:type="dxa"/>
          </w:tcPr>
          <w:p>
            <w:pPr>
              <w:pStyle w:val="TableParagraph"/>
              <w:spacing w:before="48"/>
              <w:ind w:right="69"/>
              <w:rPr>
                <w:sz w:val="16"/>
              </w:rPr>
            </w:pPr>
            <w:r>
              <w:rPr>
                <w:sz w:val="16"/>
              </w:rPr>
              <w:t>12.06</w:t>
            </w:r>
          </w:p>
        </w:tc>
        <w:tc>
          <w:tcPr>
            <w:tcW w:w="595" w:type="dxa"/>
          </w:tcPr>
          <w:p>
            <w:pPr>
              <w:pStyle w:val="TableParagraph"/>
              <w:spacing w:before="48"/>
              <w:ind w:right="68"/>
              <w:rPr>
                <w:sz w:val="16"/>
              </w:rPr>
            </w:pPr>
            <w:r>
              <w:rPr>
                <w:w w:val="99"/>
                <w:sz w:val="16"/>
              </w:rPr>
              <w:t>0</w:t>
            </w:r>
          </w:p>
        </w:tc>
        <w:tc>
          <w:tcPr>
            <w:tcW w:w="595" w:type="dxa"/>
          </w:tcPr>
          <w:p>
            <w:pPr>
              <w:pStyle w:val="TableParagraph"/>
              <w:spacing w:before="48"/>
              <w:ind w:right="73"/>
              <w:rPr>
                <w:sz w:val="16"/>
              </w:rPr>
            </w:pPr>
            <w:r>
              <w:rPr>
                <w:w w:val="99"/>
                <w:sz w:val="16"/>
              </w:rPr>
              <w:t>0</w:t>
            </w:r>
          </w:p>
        </w:tc>
        <w:tc>
          <w:tcPr>
            <w:tcW w:w="545" w:type="dxa"/>
          </w:tcPr>
          <w:p>
            <w:pPr>
              <w:pStyle w:val="TableParagraph"/>
              <w:spacing w:before="48"/>
              <w:ind w:right="66"/>
              <w:rPr>
                <w:sz w:val="16"/>
              </w:rPr>
            </w:pPr>
            <w:r>
              <w:rPr>
                <w:w w:val="95"/>
                <w:sz w:val="16"/>
              </w:rPr>
              <w:t>0.01</w:t>
            </w:r>
          </w:p>
        </w:tc>
        <w:tc>
          <w:tcPr>
            <w:tcW w:w="598" w:type="dxa"/>
          </w:tcPr>
          <w:p>
            <w:pPr>
              <w:pStyle w:val="TableParagraph"/>
              <w:spacing w:before="48"/>
              <w:ind w:right="73"/>
              <w:rPr>
                <w:sz w:val="16"/>
              </w:rPr>
            </w:pPr>
            <w:r>
              <w:rPr>
                <w:w w:val="99"/>
                <w:sz w:val="16"/>
              </w:rPr>
              <w:t>0</w:t>
            </w:r>
          </w:p>
        </w:tc>
        <w:tc>
          <w:tcPr>
            <w:tcW w:w="593" w:type="dxa"/>
          </w:tcPr>
          <w:p>
            <w:pPr>
              <w:pStyle w:val="TableParagraph"/>
              <w:spacing w:before="48"/>
              <w:ind w:right="72"/>
              <w:rPr>
                <w:sz w:val="16"/>
              </w:rPr>
            </w:pPr>
            <w:r>
              <w:rPr>
                <w:w w:val="99"/>
                <w:sz w:val="16"/>
              </w:rPr>
              <w:t>0</w:t>
            </w:r>
          </w:p>
        </w:tc>
        <w:tc>
          <w:tcPr>
            <w:tcW w:w="830" w:type="dxa"/>
          </w:tcPr>
          <w:p>
            <w:pPr>
              <w:pStyle w:val="TableParagraph"/>
              <w:spacing w:before="48"/>
              <w:ind w:right="72"/>
              <w:rPr>
                <w:sz w:val="16"/>
              </w:rPr>
            </w:pPr>
            <w:r>
              <w:rPr>
                <w:w w:val="99"/>
                <w:sz w:val="16"/>
              </w:rPr>
              <w:t>0</w:t>
            </w:r>
          </w:p>
        </w:tc>
        <w:tc>
          <w:tcPr>
            <w:tcW w:w="821" w:type="dxa"/>
          </w:tcPr>
          <w:p>
            <w:pPr>
              <w:pStyle w:val="TableParagraph"/>
              <w:spacing w:before="48"/>
              <w:ind w:right="70"/>
              <w:rPr>
                <w:sz w:val="16"/>
              </w:rPr>
            </w:pPr>
            <w:r>
              <w:rPr>
                <w:w w:val="99"/>
                <w:sz w:val="16"/>
              </w:rPr>
              <w:t>0</w:t>
            </w:r>
          </w:p>
        </w:tc>
        <w:tc>
          <w:tcPr>
            <w:tcW w:w="831" w:type="dxa"/>
          </w:tcPr>
          <w:p>
            <w:pPr>
              <w:pStyle w:val="TableParagraph"/>
              <w:spacing w:before="48"/>
              <w:ind w:right="72"/>
              <w:rPr>
                <w:sz w:val="16"/>
              </w:rPr>
            </w:pPr>
            <w:r>
              <w:rPr>
                <w:w w:val="99"/>
                <w:sz w:val="16"/>
              </w:rPr>
              <w:t>0</w:t>
            </w:r>
          </w:p>
        </w:tc>
        <w:tc>
          <w:tcPr>
            <w:tcW w:w="891" w:type="dxa"/>
          </w:tcPr>
          <w:p>
            <w:pPr>
              <w:pStyle w:val="TableParagraph"/>
              <w:spacing w:before="48"/>
              <w:ind w:right="198"/>
              <w:rPr>
                <w:sz w:val="16"/>
              </w:rPr>
            </w:pPr>
            <w:r>
              <w:rPr>
                <w:w w:val="99"/>
                <w:sz w:val="16"/>
              </w:rPr>
              <w:t>0</w:t>
            </w:r>
          </w:p>
        </w:tc>
      </w:tr>
      <w:tr>
        <w:trPr>
          <w:trHeight w:val="300" w:hRule="exact"/>
        </w:trPr>
        <w:tc>
          <w:tcPr>
            <w:tcW w:w="685" w:type="dxa"/>
          </w:tcPr>
          <w:p>
            <w:pPr>
              <w:pStyle w:val="TableParagraph"/>
              <w:spacing w:before="50"/>
              <w:ind w:right="72"/>
              <w:rPr>
                <w:sz w:val="16"/>
              </w:rPr>
            </w:pPr>
            <w:r>
              <w:rPr>
                <w:w w:val="98"/>
                <w:sz w:val="16"/>
              </w:rPr>
              <w:t>3</w:t>
            </w:r>
          </w:p>
        </w:tc>
        <w:tc>
          <w:tcPr>
            <w:tcW w:w="718" w:type="dxa"/>
          </w:tcPr>
          <w:p>
            <w:pPr>
              <w:pStyle w:val="TableParagraph"/>
              <w:spacing w:before="50"/>
              <w:ind w:right="70"/>
              <w:rPr>
                <w:sz w:val="16"/>
              </w:rPr>
            </w:pPr>
            <w:r>
              <w:rPr>
                <w:w w:val="95"/>
                <w:sz w:val="16"/>
              </w:rPr>
              <w:t>0.48</w:t>
            </w:r>
          </w:p>
        </w:tc>
        <w:tc>
          <w:tcPr>
            <w:tcW w:w="716" w:type="dxa"/>
          </w:tcPr>
          <w:p>
            <w:pPr>
              <w:pStyle w:val="TableParagraph"/>
              <w:spacing w:before="50"/>
              <w:ind w:right="72"/>
              <w:rPr>
                <w:sz w:val="16"/>
              </w:rPr>
            </w:pPr>
            <w:r>
              <w:rPr>
                <w:w w:val="98"/>
                <w:sz w:val="16"/>
              </w:rPr>
              <w:t>0</w:t>
            </w:r>
          </w:p>
        </w:tc>
        <w:tc>
          <w:tcPr>
            <w:tcW w:w="554" w:type="dxa"/>
          </w:tcPr>
          <w:p>
            <w:pPr>
              <w:pStyle w:val="TableParagraph"/>
              <w:spacing w:before="50"/>
              <w:ind w:right="69"/>
              <w:rPr>
                <w:sz w:val="16"/>
              </w:rPr>
            </w:pPr>
            <w:r>
              <w:rPr>
                <w:w w:val="95"/>
                <w:sz w:val="16"/>
              </w:rPr>
              <w:t>0.49</w:t>
            </w:r>
          </w:p>
        </w:tc>
        <w:tc>
          <w:tcPr>
            <w:tcW w:w="538" w:type="dxa"/>
          </w:tcPr>
          <w:p>
            <w:pPr>
              <w:pStyle w:val="TableParagraph"/>
              <w:spacing w:before="50"/>
              <w:ind w:right="68"/>
              <w:rPr>
                <w:sz w:val="16"/>
              </w:rPr>
            </w:pPr>
            <w:r>
              <w:rPr>
                <w:w w:val="98"/>
                <w:sz w:val="16"/>
              </w:rPr>
              <w:t>0</w:t>
            </w:r>
          </w:p>
        </w:tc>
        <w:tc>
          <w:tcPr>
            <w:tcW w:w="669" w:type="dxa"/>
          </w:tcPr>
          <w:p>
            <w:pPr>
              <w:pStyle w:val="TableParagraph"/>
              <w:spacing w:before="50"/>
              <w:ind w:right="66"/>
              <w:rPr>
                <w:sz w:val="16"/>
              </w:rPr>
            </w:pPr>
            <w:r>
              <w:rPr>
                <w:sz w:val="16"/>
              </w:rPr>
              <w:t>11.85</w:t>
            </w:r>
          </w:p>
        </w:tc>
        <w:tc>
          <w:tcPr>
            <w:tcW w:w="535" w:type="dxa"/>
          </w:tcPr>
          <w:p>
            <w:pPr>
              <w:pStyle w:val="TableParagraph"/>
              <w:spacing w:before="50"/>
              <w:ind w:right="68"/>
              <w:rPr>
                <w:sz w:val="16"/>
              </w:rPr>
            </w:pPr>
            <w:r>
              <w:rPr>
                <w:w w:val="98"/>
                <w:sz w:val="16"/>
              </w:rPr>
              <w:t>0</w:t>
            </w:r>
          </w:p>
        </w:tc>
        <w:tc>
          <w:tcPr>
            <w:tcW w:w="667" w:type="dxa"/>
          </w:tcPr>
          <w:p>
            <w:pPr>
              <w:pStyle w:val="TableParagraph"/>
              <w:spacing w:before="50"/>
              <w:ind w:right="64"/>
              <w:rPr>
                <w:sz w:val="16"/>
              </w:rPr>
            </w:pPr>
            <w:r>
              <w:rPr>
                <w:sz w:val="16"/>
              </w:rPr>
              <w:t>309.58</w:t>
            </w:r>
          </w:p>
        </w:tc>
        <w:tc>
          <w:tcPr>
            <w:tcW w:w="666" w:type="dxa"/>
          </w:tcPr>
          <w:p>
            <w:pPr>
              <w:pStyle w:val="TableParagraph"/>
              <w:spacing w:before="50"/>
              <w:ind w:right="68"/>
              <w:rPr>
                <w:sz w:val="16"/>
              </w:rPr>
            </w:pPr>
            <w:r>
              <w:rPr>
                <w:sz w:val="16"/>
              </w:rPr>
              <w:t>17.59</w:t>
            </w:r>
          </w:p>
        </w:tc>
        <w:tc>
          <w:tcPr>
            <w:tcW w:w="543" w:type="dxa"/>
          </w:tcPr>
          <w:p>
            <w:pPr>
              <w:pStyle w:val="TableParagraph"/>
              <w:spacing w:before="50"/>
              <w:ind w:left="110"/>
              <w:jc w:val="left"/>
              <w:rPr>
                <w:sz w:val="16"/>
              </w:rPr>
            </w:pPr>
            <w:r>
              <w:rPr>
                <w:sz w:val="16"/>
              </w:rPr>
              <w:t>113.6</w:t>
            </w:r>
          </w:p>
        </w:tc>
        <w:tc>
          <w:tcPr>
            <w:tcW w:w="678" w:type="dxa"/>
          </w:tcPr>
          <w:p>
            <w:pPr>
              <w:pStyle w:val="TableParagraph"/>
              <w:spacing w:before="50"/>
              <w:ind w:right="69"/>
              <w:rPr>
                <w:sz w:val="16"/>
              </w:rPr>
            </w:pPr>
            <w:r>
              <w:rPr>
                <w:sz w:val="16"/>
              </w:rPr>
              <w:t>12.09</w:t>
            </w:r>
          </w:p>
        </w:tc>
        <w:tc>
          <w:tcPr>
            <w:tcW w:w="595" w:type="dxa"/>
          </w:tcPr>
          <w:p>
            <w:pPr>
              <w:pStyle w:val="TableParagraph"/>
              <w:spacing w:before="50"/>
              <w:ind w:right="68"/>
              <w:rPr>
                <w:sz w:val="16"/>
              </w:rPr>
            </w:pPr>
            <w:r>
              <w:rPr>
                <w:w w:val="98"/>
                <w:sz w:val="16"/>
              </w:rPr>
              <w:t>0</w:t>
            </w:r>
          </w:p>
        </w:tc>
        <w:tc>
          <w:tcPr>
            <w:tcW w:w="595" w:type="dxa"/>
          </w:tcPr>
          <w:p>
            <w:pPr>
              <w:pStyle w:val="TableParagraph"/>
              <w:spacing w:before="50"/>
              <w:ind w:right="73"/>
              <w:rPr>
                <w:sz w:val="16"/>
              </w:rPr>
            </w:pPr>
            <w:r>
              <w:rPr>
                <w:w w:val="98"/>
                <w:sz w:val="16"/>
              </w:rPr>
              <w:t>0</w:t>
            </w:r>
          </w:p>
        </w:tc>
        <w:tc>
          <w:tcPr>
            <w:tcW w:w="545" w:type="dxa"/>
          </w:tcPr>
          <w:p>
            <w:pPr>
              <w:pStyle w:val="TableParagraph"/>
              <w:spacing w:before="50"/>
              <w:ind w:right="66"/>
              <w:rPr>
                <w:sz w:val="16"/>
              </w:rPr>
            </w:pPr>
            <w:r>
              <w:rPr>
                <w:w w:val="95"/>
                <w:sz w:val="16"/>
              </w:rPr>
              <w:t>0.01</w:t>
            </w:r>
          </w:p>
        </w:tc>
        <w:tc>
          <w:tcPr>
            <w:tcW w:w="598" w:type="dxa"/>
          </w:tcPr>
          <w:p>
            <w:pPr>
              <w:pStyle w:val="TableParagraph"/>
              <w:spacing w:before="50"/>
              <w:ind w:right="69"/>
              <w:rPr>
                <w:sz w:val="16"/>
              </w:rPr>
            </w:pPr>
            <w:r>
              <w:rPr>
                <w:w w:val="95"/>
                <w:sz w:val="16"/>
              </w:rPr>
              <w:t>0.82</w:t>
            </w:r>
          </w:p>
        </w:tc>
        <w:tc>
          <w:tcPr>
            <w:tcW w:w="593" w:type="dxa"/>
          </w:tcPr>
          <w:p>
            <w:pPr>
              <w:pStyle w:val="TableParagraph"/>
              <w:spacing w:before="50"/>
              <w:ind w:right="66"/>
              <w:rPr>
                <w:sz w:val="16"/>
              </w:rPr>
            </w:pPr>
            <w:r>
              <w:rPr>
                <w:w w:val="95"/>
                <w:sz w:val="16"/>
              </w:rPr>
              <w:t>5.45</w:t>
            </w:r>
          </w:p>
        </w:tc>
        <w:tc>
          <w:tcPr>
            <w:tcW w:w="830" w:type="dxa"/>
          </w:tcPr>
          <w:p>
            <w:pPr>
              <w:pStyle w:val="TableParagraph"/>
              <w:spacing w:before="50"/>
              <w:ind w:right="72"/>
              <w:rPr>
                <w:sz w:val="16"/>
              </w:rPr>
            </w:pPr>
            <w:r>
              <w:rPr>
                <w:w w:val="98"/>
                <w:sz w:val="16"/>
              </w:rPr>
              <w:t>0</w:t>
            </w:r>
          </w:p>
        </w:tc>
        <w:tc>
          <w:tcPr>
            <w:tcW w:w="821" w:type="dxa"/>
          </w:tcPr>
          <w:p>
            <w:pPr>
              <w:pStyle w:val="TableParagraph"/>
              <w:spacing w:before="50"/>
              <w:ind w:right="70"/>
              <w:rPr>
                <w:sz w:val="16"/>
              </w:rPr>
            </w:pPr>
            <w:r>
              <w:rPr>
                <w:w w:val="98"/>
                <w:sz w:val="16"/>
              </w:rPr>
              <w:t>0</w:t>
            </w:r>
          </w:p>
        </w:tc>
        <w:tc>
          <w:tcPr>
            <w:tcW w:w="831" w:type="dxa"/>
          </w:tcPr>
          <w:p>
            <w:pPr>
              <w:pStyle w:val="TableParagraph"/>
              <w:spacing w:before="50"/>
              <w:ind w:right="72"/>
              <w:rPr>
                <w:sz w:val="16"/>
              </w:rPr>
            </w:pPr>
            <w:r>
              <w:rPr>
                <w:w w:val="98"/>
                <w:sz w:val="16"/>
              </w:rPr>
              <w:t>0</w:t>
            </w:r>
          </w:p>
        </w:tc>
        <w:tc>
          <w:tcPr>
            <w:tcW w:w="891" w:type="dxa"/>
          </w:tcPr>
          <w:p>
            <w:pPr>
              <w:pStyle w:val="TableParagraph"/>
              <w:spacing w:before="50"/>
              <w:ind w:right="198"/>
              <w:rPr>
                <w:sz w:val="16"/>
              </w:rPr>
            </w:pPr>
            <w:r>
              <w:rPr>
                <w:w w:val="98"/>
                <w:sz w:val="16"/>
              </w:rPr>
              <w:t>0</w:t>
            </w:r>
          </w:p>
        </w:tc>
      </w:tr>
      <w:tr>
        <w:trPr>
          <w:trHeight w:val="300" w:hRule="exact"/>
        </w:trPr>
        <w:tc>
          <w:tcPr>
            <w:tcW w:w="685" w:type="dxa"/>
          </w:tcPr>
          <w:p>
            <w:pPr>
              <w:pStyle w:val="TableParagraph"/>
              <w:spacing w:before="47"/>
              <w:ind w:right="72"/>
              <w:rPr>
                <w:sz w:val="16"/>
              </w:rPr>
            </w:pPr>
            <w:r>
              <w:rPr>
                <w:w w:val="99"/>
                <w:sz w:val="16"/>
              </w:rPr>
              <w:t>4</w:t>
            </w:r>
          </w:p>
        </w:tc>
        <w:tc>
          <w:tcPr>
            <w:tcW w:w="718" w:type="dxa"/>
          </w:tcPr>
          <w:p>
            <w:pPr>
              <w:pStyle w:val="TableParagraph"/>
              <w:spacing w:before="47"/>
              <w:ind w:right="70"/>
              <w:rPr>
                <w:sz w:val="16"/>
              </w:rPr>
            </w:pPr>
            <w:r>
              <w:rPr>
                <w:sz w:val="16"/>
              </w:rPr>
              <w:t>40.44</w:t>
            </w:r>
          </w:p>
        </w:tc>
        <w:tc>
          <w:tcPr>
            <w:tcW w:w="716" w:type="dxa"/>
          </w:tcPr>
          <w:p>
            <w:pPr>
              <w:pStyle w:val="TableParagraph"/>
              <w:spacing w:before="47"/>
              <w:ind w:right="66"/>
              <w:rPr>
                <w:sz w:val="16"/>
              </w:rPr>
            </w:pPr>
            <w:r>
              <w:rPr>
                <w:w w:val="95"/>
                <w:sz w:val="16"/>
              </w:rPr>
              <w:t>1.14</w:t>
            </w:r>
          </w:p>
        </w:tc>
        <w:tc>
          <w:tcPr>
            <w:tcW w:w="554" w:type="dxa"/>
          </w:tcPr>
          <w:p>
            <w:pPr>
              <w:pStyle w:val="TableParagraph"/>
              <w:spacing w:before="47"/>
              <w:ind w:right="69"/>
              <w:rPr>
                <w:sz w:val="16"/>
              </w:rPr>
            </w:pPr>
            <w:r>
              <w:rPr>
                <w:w w:val="95"/>
                <w:sz w:val="16"/>
              </w:rPr>
              <w:t>0.41</w:t>
            </w:r>
          </w:p>
        </w:tc>
        <w:tc>
          <w:tcPr>
            <w:tcW w:w="538" w:type="dxa"/>
          </w:tcPr>
          <w:p>
            <w:pPr>
              <w:pStyle w:val="TableParagraph"/>
              <w:spacing w:before="47"/>
              <w:ind w:right="68"/>
              <w:rPr>
                <w:sz w:val="16"/>
              </w:rPr>
            </w:pPr>
            <w:r>
              <w:rPr>
                <w:w w:val="99"/>
                <w:sz w:val="16"/>
              </w:rPr>
              <w:t>0</w:t>
            </w:r>
          </w:p>
        </w:tc>
        <w:tc>
          <w:tcPr>
            <w:tcW w:w="669" w:type="dxa"/>
          </w:tcPr>
          <w:p>
            <w:pPr>
              <w:pStyle w:val="TableParagraph"/>
              <w:spacing w:before="47"/>
              <w:ind w:right="66"/>
              <w:rPr>
                <w:sz w:val="16"/>
              </w:rPr>
            </w:pPr>
            <w:r>
              <w:rPr>
                <w:w w:val="95"/>
                <w:sz w:val="16"/>
              </w:rPr>
              <w:t>4.78</w:t>
            </w:r>
          </w:p>
        </w:tc>
        <w:tc>
          <w:tcPr>
            <w:tcW w:w="535" w:type="dxa"/>
          </w:tcPr>
          <w:p>
            <w:pPr>
              <w:pStyle w:val="TableParagraph"/>
              <w:spacing w:before="47"/>
              <w:ind w:right="68"/>
              <w:rPr>
                <w:sz w:val="16"/>
              </w:rPr>
            </w:pPr>
            <w:r>
              <w:rPr>
                <w:w w:val="99"/>
                <w:sz w:val="16"/>
              </w:rPr>
              <w:t>0</w:t>
            </w:r>
          </w:p>
        </w:tc>
        <w:tc>
          <w:tcPr>
            <w:tcW w:w="667" w:type="dxa"/>
          </w:tcPr>
          <w:p>
            <w:pPr>
              <w:pStyle w:val="TableParagraph"/>
              <w:spacing w:before="47"/>
              <w:ind w:right="64"/>
              <w:rPr>
                <w:sz w:val="16"/>
              </w:rPr>
            </w:pPr>
            <w:r>
              <w:rPr>
                <w:sz w:val="16"/>
              </w:rPr>
              <w:t>323.26</w:t>
            </w:r>
          </w:p>
        </w:tc>
        <w:tc>
          <w:tcPr>
            <w:tcW w:w="666" w:type="dxa"/>
          </w:tcPr>
          <w:p>
            <w:pPr>
              <w:pStyle w:val="TableParagraph"/>
              <w:spacing w:before="47"/>
              <w:ind w:right="65"/>
              <w:rPr>
                <w:sz w:val="16"/>
              </w:rPr>
            </w:pPr>
            <w:r>
              <w:rPr>
                <w:sz w:val="16"/>
              </w:rPr>
              <w:t>30</w:t>
            </w:r>
          </w:p>
        </w:tc>
        <w:tc>
          <w:tcPr>
            <w:tcW w:w="543" w:type="dxa"/>
          </w:tcPr>
          <w:p>
            <w:pPr>
              <w:pStyle w:val="TableParagraph"/>
              <w:spacing w:before="47"/>
              <w:ind w:left="110"/>
              <w:jc w:val="left"/>
              <w:rPr>
                <w:sz w:val="16"/>
              </w:rPr>
            </w:pPr>
            <w:r>
              <w:rPr>
                <w:sz w:val="16"/>
              </w:rPr>
              <w:t>99.96</w:t>
            </w:r>
          </w:p>
        </w:tc>
        <w:tc>
          <w:tcPr>
            <w:tcW w:w="678" w:type="dxa"/>
          </w:tcPr>
          <w:p>
            <w:pPr>
              <w:pStyle w:val="TableParagraph"/>
              <w:spacing w:before="47"/>
              <w:ind w:right="69"/>
              <w:rPr>
                <w:sz w:val="16"/>
              </w:rPr>
            </w:pPr>
            <w:r>
              <w:rPr>
                <w:sz w:val="16"/>
              </w:rPr>
              <w:t>11.78</w:t>
            </w:r>
          </w:p>
        </w:tc>
        <w:tc>
          <w:tcPr>
            <w:tcW w:w="595" w:type="dxa"/>
          </w:tcPr>
          <w:p>
            <w:pPr>
              <w:pStyle w:val="TableParagraph"/>
              <w:spacing w:before="47"/>
              <w:ind w:right="64"/>
              <w:rPr>
                <w:sz w:val="16"/>
              </w:rPr>
            </w:pPr>
            <w:r>
              <w:rPr>
                <w:w w:val="95"/>
                <w:sz w:val="16"/>
              </w:rPr>
              <w:t>0.05</w:t>
            </w:r>
          </w:p>
        </w:tc>
        <w:tc>
          <w:tcPr>
            <w:tcW w:w="595" w:type="dxa"/>
          </w:tcPr>
          <w:p>
            <w:pPr>
              <w:pStyle w:val="TableParagraph"/>
              <w:spacing w:before="47"/>
              <w:ind w:right="69"/>
              <w:rPr>
                <w:sz w:val="16"/>
              </w:rPr>
            </w:pPr>
            <w:r>
              <w:rPr>
                <w:w w:val="95"/>
                <w:sz w:val="16"/>
              </w:rPr>
              <w:t>0.01</w:t>
            </w:r>
          </w:p>
        </w:tc>
        <w:tc>
          <w:tcPr>
            <w:tcW w:w="545" w:type="dxa"/>
          </w:tcPr>
          <w:p>
            <w:pPr>
              <w:pStyle w:val="TableParagraph"/>
              <w:spacing w:before="47"/>
              <w:ind w:right="66"/>
              <w:rPr>
                <w:sz w:val="16"/>
              </w:rPr>
            </w:pPr>
            <w:r>
              <w:rPr>
                <w:w w:val="95"/>
                <w:sz w:val="16"/>
              </w:rPr>
              <w:t>0.01</w:t>
            </w:r>
          </w:p>
        </w:tc>
        <w:tc>
          <w:tcPr>
            <w:tcW w:w="598" w:type="dxa"/>
          </w:tcPr>
          <w:p>
            <w:pPr>
              <w:pStyle w:val="TableParagraph"/>
              <w:spacing w:before="47"/>
              <w:ind w:right="69"/>
              <w:rPr>
                <w:sz w:val="16"/>
              </w:rPr>
            </w:pPr>
            <w:r>
              <w:rPr>
                <w:w w:val="95"/>
                <w:sz w:val="16"/>
              </w:rPr>
              <w:t>0.18</w:t>
            </w:r>
          </w:p>
        </w:tc>
        <w:tc>
          <w:tcPr>
            <w:tcW w:w="593" w:type="dxa"/>
          </w:tcPr>
          <w:p>
            <w:pPr>
              <w:pStyle w:val="TableParagraph"/>
              <w:spacing w:before="47"/>
              <w:ind w:right="67"/>
              <w:rPr>
                <w:sz w:val="16"/>
              </w:rPr>
            </w:pPr>
            <w:r>
              <w:rPr>
                <w:sz w:val="16"/>
              </w:rPr>
              <w:t>15.21</w:t>
            </w:r>
          </w:p>
        </w:tc>
        <w:tc>
          <w:tcPr>
            <w:tcW w:w="830" w:type="dxa"/>
          </w:tcPr>
          <w:p>
            <w:pPr>
              <w:pStyle w:val="TableParagraph"/>
              <w:spacing w:before="47"/>
              <w:ind w:right="66"/>
              <w:rPr>
                <w:sz w:val="16"/>
              </w:rPr>
            </w:pPr>
            <w:r>
              <w:rPr>
                <w:w w:val="95"/>
                <w:sz w:val="16"/>
              </w:rPr>
              <w:t>0.01</w:t>
            </w:r>
          </w:p>
        </w:tc>
        <w:tc>
          <w:tcPr>
            <w:tcW w:w="821" w:type="dxa"/>
          </w:tcPr>
          <w:p>
            <w:pPr>
              <w:pStyle w:val="TableParagraph"/>
              <w:spacing w:before="47"/>
              <w:ind w:right="70"/>
              <w:rPr>
                <w:sz w:val="16"/>
              </w:rPr>
            </w:pPr>
            <w:r>
              <w:rPr>
                <w:w w:val="99"/>
                <w:sz w:val="16"/>
              </w:rPr>
              <w:t>0</w:t>
            </w:r>
          </w:p>
        </w:tc>
        <w:tc>
          <w:tcPr>
            <w:tcW w:w="831" w:type="dxa"/>
          </w:tcPr>
          <w:p>
            <w:pPr>
              <w:pStyle w:val="TableParagraph"/>
              <w:spacing w:before="47"/>
              <w:ind w:right="72"/>
              <w:rPr>
                <w:sz w:val="16"/>
              </w:rPr>
            </w:pPr>
            <w:r>
              <w:rPr>
                <w:w w:val="99"/>
                <w:sz w:val="16"/>
              </w:rPr>
              <w:t>0</w:t>
            </w:r>
          </w:p>
        </w:tc>
        <w:tc>
          <w:tcPr>
            <w:tcW w:w="891" w:type="dxa"/>
          </w:tcPr>
          <w:p>
            <w:pPr>
              <w:pStyle w:val="TableParagraph"/>
              <w:spacing w:before="47"/>
              <w:ind w:right="198"/>
              <w:rPr>
                <w:sz w:val="16"/>
              </w:rPr>
            </w:pPr>
            <w:r>
              <w:rPr>
                <w:w w:val="99"/>
                <w:sz w:val="16"/>
              </w:rPr>
              <w:t>0</w:t>
            </w:r>
          </w:p>
        </w:tc>
      </w:tr>
      <w:tr>
        <w:trPr>
          <w:trHeight w:val="300" w:hRule="exact"/>
        </w:trPr>
        <w:tc>
          <w:tcPr>
            <w:tcW w:w="685" w:type="dxa"/>
          </w:tcPr>
          <w:p>
            <w:pPr>
              <w:pStyle w:val="TableParagraph"/>
              <w:spacing w:before="50"/>
              <w:ind w:right="72"/>
              <w:rPr>
                <w:sz w:val="16"/>
              </w:rPr>
            </w:pPr>
            <w:r>
              <w:rPr>
                <w:w w:val="98"/>
                <w:sz w:val="16"/>
              </w:rPr>
              <w:t>5</w:t>
            </w:r>
          </w:p>
        </w:tc>
        <w:tc>
          <w:tcPr>
            <w:tcW w:w="718" w:type="dxa"/>
          </w:tcPr>
          <w:p>
            <w:pPr>
              <w:pStyle w:val="TableParagraph"/>
              <w:spacing w:before="50"/>
              <w:ind w:right="70"/>
              <w:rPr>
                <w:sz w:val="16"/>
              </w:rPr>
            </w:pPr>
            <w:r>
              <w:rPr>
                <w:sz w:val="16"/>
              </w:rPr>
              <w:t>62.23</w:t>
            </w:r>
          </w:p>
        </w:tc>
        <w:tc>
          <w:tcPr>
            <w:tcW w:w="716" w:type="dxa"/>
          </w:tcPr>
          <w:p>
            <w:pPr>
              <w:pStyle w:val="TableParagraph"/>
              <w:spacing w:before="50"/>
              <w:ind w:right="71"/>
              <w:rPr>
                <w:sz w:val="16"/>
              </w:rPr>
            </w:pPr>
            <w:r>
              <w:rPr>
                <w:w w:val="95"/>
                <w:sz w:val="16"/>
              </w:rPr>
              <w:t>5.8</w:t>
            </w:r>
          </w:p>
        </w:tc>
        <w:tc>
          <w:tcPr>
            <w:tcW w:w="554" w:type="dxa"/>
          </w:tcPr>
          <w:p>
            <w:pPr>
              <w:pStyle w:val="TableParagraph"/>
              <w:spacing w:before="50"/>
              <w:ind w:right="69"/>
              <w:rPr>
                <w:sz w:val="16"/>
              </w:rPr>
            </w:pPr>
            <w:r>
              <w:rPr>
                <w:w w:val="95"/>
                <w:sz w:val="16"/>
              </w:rPr>
              <w:t>0.44</w:t>
            </w:r>
          </w:p>
        </w:tc>
        <w:tc>
          <w:tcPr>
            <w:tcW w:w="538" w:type="dxa"/>
          </w:tcPr>
          <w:p>
            <w:pPr>
              <w:pStyle w:val="TableParagraph"/>
              <w:spacing w:before="50"/>
              <w:ind w:right="68"/>
              <w:rPr>
                <w:sz w:val="16"/>
              </w:rPr>
            </w:pPr>
            <w:r>
              <w:rPr>
                <w:w w:val="98"/>
                <w:sz w:val="16"/>
              </w:rPr>
              <w:t>0</w:t>
            </w:r>
          </w:p>
        </w:tc>
        <w:tc>
          <w:tcPr>
            <w:tcW w:w="669" w:type="dxa"/>
          </w:tcPr>
          <w:p>
            <w:pPr>
              <w:pStyle w:val="TableParagraph"/>
              <w:spacing w:before="50"/>
              <w:ind w:right="66"/>
              <w:rPr>
                <w:sz w:val="16"/>
              </w:rPr>
            </w:pPr>
            <w:r>
              <w:rPr>
                <w:w w:val="95"/>
                <w:sz w:val="16"/>
              </w:rPr>
              <w:t>2.69</w:t>
            </w:r>
          </w:p>
        </w:tc>
        <w:tc>
          <w:tcPr>
            <w:tcW w:w="535" w:type="dxa"/>
          </w:tcPr>
          <w:p>
            <w:pPr>
              <w:pStyle w:val="TableParagraph"/>
              <w:spacing w:before="50"/>
              <w:ind w:right="68"/>
              <w:rPr>
                <w:sz w:val="16"/>
              </w:rPr>
            </w:pPr>
            <w:r>
              <w:rPr>
                <w:w w:val="98"/>
                <w:sz w:val="16"/>
              </w:rPr>
              <w:t>0</w:t>
            </w:r>
          </w:p>
        </w:tc>
        <w:tc>
          <w:tcPr>
            <w:tcW w:w="667" w:type="dxa"/>
          </w:tcPr>
          <w:p>
            <w:pPr>
              <w:pStyle w:val="TableParagraph"/>
              <w:spacing w:before="50"/>
              <w:ind w:right="64"/>
              <w:rPr>
                <w:sz w:val="16"/>
              </w:rPr>
            </w:pPr>
            <w:r>
              <w:rPr>
                <w:sz w:val="16"/>
              </w:rPr>
              <w:t>323.21</w:t>
            </w:r>
          </w:p>
        </w:tc>
        <w:tc>
          <w:tcPr>
            <w:tcW w:w="666" w:type="dxa"/>
          </w:tcPr>
          <w:p>
            <w:pPr>
              <w:pStyle w:val="TableParagraph"/>
              <w:spacing w:before="50"/>
              <w:ind w:right="68"/>
              <w:rPr>
                <w:sz w:val="16"/>
              </w:rPr>
            </w:pPr>
            <w:r>
              <w:rPr>
                <w:sz w:val="16"/>
              </w:rPr>
              <w:t>53.26</w:t>
            </w:r>
          </w:p>
        </w:tc>
        <w:tc>
          <w:tcPr>
            <w:tcW w:w="543" w:type="dxa"/>
          </w:tcPr>
          <w:p>
            <w:pPr>
              <w:pStyle w:val="TableParagraph"/>
              <w:spacing w:before="50"/>
              <w:ind w:left="110"/>
              <w:jc w:val="left"/>
              <w:rPr>
                <w:sz w:val="16"/>
              </w:rPr>
            </w:pPr>
            <w:r>
              <w:rPr>
                <w:sz w:val="16"/>
              </w:rPr>
              <w:t>115.7</w:t>
            </w:r>
          </w:p>
        </w:tc>
        <w:tc>
          <w:tcPr>
            <w:tcW w:w="678" w:type="dxa"/>
          </w:tcPr>
          <w:p>
            <w:pPr>
              <w:pStyle w:val="TableParagraph"/>
              <w:spacing w:before="50"/>
              <w:ind w:right="69"/>
              <w:rPr>
                <w:sz w:val="16"/>
              </w:rPr>
            </w:pPr>
            <w:r>
              <w:rPr>
                <w:sz w:val="16"/>
              </w:rPr>
              <w:t>16.02</w:t>
            </w:r>
          </w:p>
        </w:tc>
        <w:tc>
          <w:tcPr>
            <w:tcW w:w="595" w:type="dxa"/>
          </w:tcPr>
          <w:p>
            <w:pPr>
              <w:pStyle w:val="TableParagraph"/>
              <w:spacing w:before="50"/>
              <w:ind w:right="64"/>
              <w:rPr>
                <w:sz w:val="16"/>
              </w:rPr>
            </w:pPr>
            <w:r>
              <w:rPr>
                <w:w w:val="95"/>
                <w:sz w:val="16"/>
              </w:rPr>
              <w:t>0.41</w:t>
            </w:r>
          </w:p>
        </w:tc>
        <w:tc>
          <w:tcPr>
            <w:tcW w:w="595" w:type="dxa"/>
          </w:tcPr>
          <w:p>
            <w:pPr>
              <w:pStyle w:val="TableParagraph"/>
              <w:spacing w:before="50"/>
              <w:ind w:right="69"/>
              <w:rPr>
                <w:sz w:val="16"/>
              </w:rPr>
            </w:pPr>
            <w:r>
              <w:rPr>
                <w:w w:val="95"/>
                <w:sz w:val="16"/>
              </w:rPr>
              <w:t>0.25</w:t>
            </w:r>
          </w:p>
        </w:tc>
        <w:tc>
          <w:tcPr>
            <w:tcW w:w="545" w:type="dxa"/>
          </w:tcPr>
          <w:p>
            <w:pPr>
              <w:pStyle w:val="TableParagraph"/>
              <w:spacing w:before="50"/>
              <w:ind w:right="66"/>
              <w:rPr>
                <w:sz w:val="16"/>
              </w:rPr>
            </w:pPr>
            <w:r>
              <w:rPr>
                <w:w w:val="95"/>
                <w:sz w:val="16"/>
              </w:rPr>
              <w:t>0.02</w:t>
            </w:r>
          </w:p>
        </w:tc>
        <w:tc>
          <w:tcPr>
            <w:tcW w:w="598" w:type="dxa"/>
          </w:tcPr>
          <w:p>
            <w:pPr>
              <w:pStyle w:val="TableParagraph"/>
              <w:spacing w:before="50"/>
              <w:ind w:right="69"/>
              <w:rPr>
                <w:sz w:val="16"/>
              </w:rPr>
            </w:pPr>
            <w:r>
              <w:rPr>
                <w:w w:val="95"/>
                <w:sz w:val="16"/>
              </w:rPr>
              <w:t>0.06</w:t>
            </w:r>
          </w:p>
        </w:tc>
        <w:tc>
          <w:tcPr>
            <w:tcW w:w="593" w:type="dxa"/>
          </w:tcPr>
          <w:p>
            <w:pPr>
              <w:pStyle w:val="TableParagraph"/>
              <w:spacing w:before="50"/>
              <w:ind w:right="67"/>
              <w:rPr>
                <w:sz w:val="16"/>
              </w:rPr>
            </w:pPr>
            <w:r>
              <w:rPr>
                <w:sz w:val="16"/>
              </w:rPr>
              <w:t>38.28</w:t>
            </w:r>
          </w:p>
        </w:tc>
        <w:tc>
          <w:tcPr>
            <w:tcW w:w="830" w:type="dxa"/>
          </w:tcPr>
          <w:p>
            <w:pPr>
              <w:pStyle w:val="TableParagraph"/>
              <w:spacing w:before="50"/>
              <w:ind w:right="66"/>
              <w:rPr>
                <w:sz w:val="16"/>
              </w:rPr>
            </w:pPr>
            <w:r>
              <w:rPr>
                <w:w w:val="95"/>
                <w:sz w:val="16"/>
              </w:rPr>
              <w:t>0.26</w:t>
            </w:r>
          </w:p>
        </w:tc>
        <w:tc>
          <w:tcPr>
            <w:tcW w:w="821" w:type="dxa"/>
          </w:tcPr>
          <w:p>
            <w:pPr>
              <w:pStyle w:val="TableParagraph"/>
              <w:spacing w:before="50"/>
              <w:ind w:right="66"/>
              <w:rPr>
                <w:sz w:val="16"/>
              </w:rPr>
            </w:pPr>
            <w:r>
              <w:rPr>
                <w:w w:val="95"/>
                <w:sz w:val="16"/>
              </w:rPr>
              <w:t>0.07</w:t>
            </w:r>
          </w:p>
        </w:tc>
        <w:tc>
          <w:tcPr>
            <w:tcW w:w="831" w:type="dxa"/>
          </w:tcPr>
          <w:p>
            <w:pPr>
              <w:pStyle w:val="TableParagraph"/>
              <w:spacing w:before="50"/>
              <w:ind w:right="66"/>
              <w:rPr>
                <w:sz w:val="16"/>
              </w:rPr>
            </w:pPr>
            <w:r>
              <w:rPr>
                <w:w w:val="95"/>
                <w:sz w:val="16"/>
              </w:rPr>
              <w:t>0.05</w:t>
            </w:r>
          </w:p>
        </w:tc>
        <w:tc>
          <w:tcPr>
            <w:tcW w:w="891" w:type="dxa"/>
          </w:tcPr>
          <w:p>
            <w:pPr>
              <w:pStyle w:val="TableParagraph"/>
              <w:spacing w:before="50"/>
              <w:ind w:right="198"/>
              <w:rPr>
                <w:sz w:val="16"/>
              </w:rPr>
            </w:pPr>
            <w:r>
              <w:rPr>
                <w:w w:val="98"/>
                <w:sz w:val="16"/>
              </w:rPr>
              <w:t>0</w:t>
            </w:r>
          </w:p>
        </w:tc>
      </w:tr>
      <w:tr>
        <w:trPr>
          <w:trHeight w:val="300" w:hRule="exact"/>
        </w:trPr>
        <w:tc>
          <w:tcPr>
            <w:tcW w:w="685" w:type="dxa"/>
          </w:tcPr>
          <w:p>
            <w:pPr>
              <w:pStyle w:val="TableParagraph"/>
              <w:spacing w:before="48"/>
              <w:ind w:right="72"/>
              <w:rPr>
                <w:sz w:val="16"/>
              </w:rPr>
            </w:pPr>
            <w:r>
              <w:rPr>
                <w:w w:val="98"/>
                <w:sz w:val="16"/>
              </w:rPr>
              <w:t>6</w:t>
            </w:r>
          </w:p>
        </w:tc>
        <w:tc>
          <w:tcPr>
            <w:tcW w:w="718" w:type="dxa"/>
          </w:tcPr>
          <w:p>
            <w:pPr>
              <w:pStyle w:val="TableParagraph"/>
              <w:spacing w:before="48"/>
              <w:ind w:right="71"/>
              <w:rPr>
                <w:sz w:val="16"/>
              </w:rPr>
            </w:pPr>
            <w:r>
              <w:rPr>
                <w:sz w:val="16"/>
              </w:rPr>
              <w:t>255.22</w:t>
            </w:r>
          </w:p>
        </w:tc>
        <w:tc>
          <w:tcPr>
            <w:tcW w:w="716" w:type="dxa"/>
          </w:tcPr>
          <w:p>
            <w:pPr>
              <w:pStyle w:val="TableParagraph"/>
              <w:spacing w:before="48"/>
              <w:ind w:right="66"/>
              <w:rPr>
                <w:sz w:val="16"/>
              </w:rPr>
            </w:pPr>
            <w:r>
              <w:rPr>
                <w:sz w:val="16"/>
              </w:rPr>
              <w:t>75.72</w:t>
            </w:r>
          </w:p>
        </w:tc>
        <w:tc>
          <w:tcPr>
            <w:tcW w:w="554" w:type="dxa"/>
          </w:tcPr>
          <w:p>
            <w:pPr>
              <w:pStyle w:val="TableParagraph"/>
              <w:spacing w:before="48"/>
              <w:ind w:right="69"/>
              <w:rPr>
                <w:sz w:val="16"/>
              </w:rPr>
            </w:pPr>
            <w:r>
              <w:rPr>
                <w:w w:val="95"/>
                <w:sz w:val="16"/>
              </w:rPr>
              <w:t>0.84</w:t>
            </w:r>
          </w:p>
        </w:tc>
        <w:tc>
          <w:tcPr>
            <w:tcW w:w="538" w:type="dxa"/>
          </w:tcPr>
          <w:p>
            <w:pPr>
              <w:pStyle w:val="TableParagraph"/>
              <w:spacing w:before="48"/>
              <w:ind w:right="68"/>
              <w:rPr>
                <w:sz w:val="16"/>
              </w:rPr>
            </w:pPr>
            <w:r>
              <w:rPr>
                <w:w w:val="98"/>
                <w:sz w:val="16"/>
              </w:rPr>
              <w:t>0</w:t>
            </w:r>
          </w:p>
        </w:tc>
        <w:tc>
          <w:tcPr>
            <w:tcW w:w="669" w:type="dxa"/>
          </w:tcPr>
          <w:p>
            <w:pPr>
              <w:pStyle w:val="TableParagraph"/>
              <w:spacing w:before="48"/>
              <w:ind w:right="66"/>
              <w:rPr>
                <w:sz w:val="16"/>
              </w:rPr>
            </w:pPr>
            <w:r>
              <w:rPr>
                <w:sz w:val="16"/>
              </w:rPr>
              <w:t>37.98</w:t>
            </w:r>
          </w:p>
        </w:tc>
        <w:tc>
          <w:tcPr>
            <w:tcW w:w="535" w:type="dxa"/>
          </w:tcPr>
          <w:p>
            <w:pPr>
              <w:pStyle w:val="TableParagraph"/>
              <w:spacing w:before="48"/>
              <w:ind w:right="68"/>
              <w:rPr>
                <w:sz w:val="16"/>
              </w:rPr>
            </w:pPr>
            <w:r>
              <w:rPr>
                <w:w w:val="98"/>
                <w:sz w:val="16"/>
              </w:rPr>
              <w:t>0</w:t>
            </w:r>
          </w:p>
        </w:tc>
        <w:tc>
          <w:tcPr>
            <w:tcW w:w="667" w:type="dxa"/>
          </w:tcPr>
          <w:p>
            <w:pPr>
              <w:pStyle w:val="TableParagraph"/>
              <w:spacing w:before="48"/>
              <w:ind w:right="64"/>
              <w:rPr>
                <w:sz w:val="16"/>
              </w:rPr>
            </w:pPr>
            <w:r>
              <w:rPr>
                <w:sz w:val="16"/>
              </w:rPr>
              <w:t>379.86</w:t>
            </w:r>
          </w:p>
        </w:tc>
        <w:tc>
          <w:tcPr>
            <w:tcW w:w="666" w:type="dxa"/>
          </w:tcPr>
          <w:p>
            <w:pPr>
              <w:pStyle w:val="TableParagraph"/>
              <w:spacing w:before="48"/>
              <w:ind w:right="68"/>
              <w:rPr>
                <w:sz w:val="16"/>
              </w:rPr>
            </w:pPr>
            <w:r>
              <w:rPr>
                <w:sz w:val="16"/>
              </w:rPr>
              <w:t>80.24</w:t>
            </w:r>
          </w:p>
        </w:tc>
        <w:tc>
          <w:tcPr>
            <w:tcW w:w="543" w:type="dxa"/>
          </w:tcPr>
          <w:p>
            <w:pPr>
              <w:pStyle w:val="TableParagraph"/>
              <w:spacing w:before="48"/>
              <w:ind w:left="110"/>
              <w:jc w:val="left"/>
              <w:rPr>
                <w:sz w:val="16"/>
              </w:rPr>
            </w:pPr>
            <w:r>
              <w:rPr>
                <w:sz w:val="16"/>
              </w:rPr>
              <w:t>105.2</w:t>
            </w:r>
          </w:p>
        </w:tc>
        <w:tc>
          <w:tcPr>
            <w:tcW w:w="678" w:type="dxa"/>
          </w:tcPr>
          <w:p>
            <w:pPr>
              <w:pStyle w:val="TableParagraph"/>
              <w:spacing w:before="48"/>
              <w:ind w:right="69"/>
              <w:rPr>
                <w:sz w:val="16"/>
              </w:rPr>
            </w:pPr>
            <w:r>
              <w:rPr>
                <w:sz w:val="16"/>
              </w:rPr>
              <w:t>84.28</w:t>
            </w:r>
          </w:p>
        </w:tc>
        <w:tc>
          <w:tcPr>
            <w:tcW w:w="595" w:type="dxa"/>
          </w:tcPr>
          <w:p>
            <w:pPr>
              <w:pStyle w:val="TableParagraph"/>
              <w:spacing w:before="48"/>
              <w:ind w:right="64"/>
              <w:rPr>
                <w:sz w:val="16"/>
              </w:rPr>
            </w:pPr>
            <w:r>
              <w:rPr>
                <w:w w:val="95"/>
                <w:sz w:val="16"/>
              </w:rPr>
              <w:t>3.68</w:t>
            </w:r>
          </w:p>
        </w:tc>
        <w:tc>
          <w:tcPr>
            <w:tcW w:w="595" w:type="dxa"/>
          </w:tcPr>
          <w:p>
            <w:pPr>
              <w:pStyle w:val="TableParagraph"/>
              <w:spacing w:before="48"/>
              <w:ind w:right="69"/>
              <w:rPr>
                <w:sz w:val="16"/>
              </w:rPr>
            </w:pPr>
            <w:r>
              <w:rPr>
                <w:w w:val="95"/>
                <w:sz w:val="16"/>
              </w:rPr>
              <w:t>0.33</w:t>
            </w:r>
          </w:p>
        </w:tc>
        <w:tc>
          <w:tcPr>
            <w:tcW w:w="545" w:type="dxa"/>
          </w:tcPr>
          <w:p>
            <w:pPr>
              <w:pStyle w:val="TableParagraph"/>
              <w:spacing w:before="48"/>
              <w:ind w:right="66"/>
              <w:rPr>
                <w:sz w:val="16"/>
              </w:rPr>
            </w:pPr>
            <w:r>
              <w:rPr>
                <w:w w:val="95"/>
                <w:sz w:val="16"/>
              </w:rPr>
              <w:t>0.04</w:t>
            </w:r>
          </w:p>
        </w:tc>
        <w:tc>
          <w:tcPr>
            <w:tcW w:w="598" w:type="dxa"/>
          </w:tcPr>
          <w:p>
            <w:pPr>
              <w:pStyle w:val="TableParagraph"/>
              <w:spacing w:before="48"/>
              <w:ind w:right="69"/>
              <w:rPr>
                <w:sz w:val="16"/>
              </w:rPr>
            </w:pPr>
            <w:r>
              <w:rPr>
                <w:w w:val="95"/>
                <w:sz w:val="16"/>
              </w:rPr>
              <w:t>0.63</w:t>
            </w:r>
          </w:p>
        </w:tc>
        <w:tc>
          <w:tcPr>
            <w:tcW w:w="593" w:type="dxa"/>
          </w:tcPr>
          <w:p>
            <w:pPr>
              <w:pStyle w:val="TableParagraph"/>
              <w:spacing w:before="48"/>
              <w:ind w:right="67"/>
              <w:rPr>
                <w:sz w:val="16"/>
              </w:rPr>
            </w:pPr>
            <w:r>
              <w:rPr>
                <w:sz w:val="16"/>
              </w:rPr>
              <w:t>17.18</w:t>
            </w:r>
          </w:p>
        </w:tc>
        <w:tc>
          <w:tcPr>
            <w:tcW w:w="830" w:type="dxa"/>
          </w:tcPr>
          <w:p>
            <w:pPr>
              <w:pStyle w:val="TableParagraph"/>
              <w:spacing w:before="48"/>
              <w:ind w:right="71"/>
              <w:rPr>
                <w:sz w:val="16"/>
              </w:rPr>
            </w:pPr>
            <w:r>
              <w:rPr>
                <w:w w:val="95"/>
                <w:sz w:val="16"/>
              </w:rPr>
              <w:t>2.1</w:t>
            </w:r>
          </w:p>
        </w:tc>
        <w:tc>
          <w:tcPr>
            <w:tcW w:w="821" w:type="dxa"/>
          </w:tcPr>
          <w:p>
            <w:pPr>
              <w:pStyle w:val="TableParagraph"/>
              <w:spacing w:before="48"/>
              <w:ind w:right="66"/>
              <w:rPr>
                <w:sz w:val="16"/>
              </w:rPr>
            </w:pPr>
            <w:r>
              <w:rPr>
                <w:w w:val="95"/>
                <w:sz w:val="16"/>
              </w:rPr>
              <w:t>0.85</w:t>
            </w:r>
          </w:p>
        </w:tc>
        <w:tc>
          <w:tcPr>
            <w:tcW w:w="831" w:type="dxa"/>
          </w:tcPr>
          <w:p>
            <w:pPr>
              <w:pStyle w:val="TableParagraph"/>
              <w:spacing w:before="48"/>
              <w:ind w:right="66"/>
              <w:rPr>
                <w:sz w:val="16"/>
              </w:rPr>
            </w:pPr>
            <w:r>
              <w:rPr>
                <w:w w:val="95"/>
                <w:sz w:val="16"/>
              </w:rPr>
              <w:t>0.43</w:t>
            </w:r>
          </w:p>
        </w:tc>
        <w:tc>
          <w:tcPr>
            <w:tcW w:w="891" w:type="dxa"/>
          </w:tcPr>
          <w:p>
            <w:pPr>
              <w:pStyle w:val="TableParagraph"/>
              <w:spacing w:before="48"/>
              <w:ind w:right="198"/>
              <w:rPr>
                <w:sz w:val="16"/>
              </w:rPr>
            </w:pPr>
            <w:r>
              <w:rPr>
                <w:w w:val="98"/>
                <w:sz w:val="16"/>
              </w:rPr>
              <w:t>0</w:t>
            </w:r>
          </w:p>
        </w:tc>
      </w:tr>
      <w:tr>
        <w:trPr>
          <w:trHeight w:val="300" w:hRule="exact"/>
        </w:trPr>
        <w:tc>
          <w:tcPr>
            <w:tcW w:w="685" w:type="dxa"/>
          </w:tcPr>
          <w:p>
            <w:pPr>
              <w:pStyle w:val="TableParagraph"/>
              <w:spacing w:before="50"/>
              <w:ind w:right="72"/>
              <w:rPr>
                <w:sz w:val="16"/>
              </w:rPr>
            </w:pPr>
            <w:r>
              <w:rPr>
                <w:w w:val="99"/>
                <w:sz w:val="16"/>
              </w:rPr>
              <w:t>7</w:t>
            </w:r>
          </w:p>
        </w:tc>
        <w:tc>
          <w:tcPr>
            <w:tcW w:w="718" w:type="dxa"/>
          </w:tcPr>
          <w:p>
            <w:pPr>
              <w:pStyle w:val="TableParagraph"/>
              <w:spacing w:before="50"/>
              <w:ind w:right="71"/>
              <w:rPr>
                <w:sz w:val="16"/>
              </w:rPr>
            </w:pPr>
            <w:r>
              <w:rPr>
                <w:sz w:val="16"/>
              </w:rPr>
              <w:t>179.11</w:t>
            </w:r>
          </w:p>
        </w:tc>
        <w:tc>
          <w:tcPr>
            <w:tcW w:w="716" w:type="dxa"/>
          </w:tcPr>
          <w:p>
            <w:pPr>
              <w:pStyle w:val="TableParagraph"/>
              <w:spacing w:before="50"/>
              <w:ind w:right="66"/>
              <w:rPr>
                <w:sz w:val="16"/>
              </w:rPr>
            </w:pPr>
            <w:r>
              <w:rPr>
                <w:sz w:val="16"/>
              </w:rPr>
              <w:t>32.37</w:t>
            </w:r>
          </w:p>
        </w:tc>
        <w:tc>
          <w:tcPr>
            <w:tcW w:w="554" w:type="dxa"/>
          </w:tcPr>
          <w:p>
            <w:pPr>
              <w:pStyle w:val="TableParagraph"/>
              <w:spacing w:before="50"/>
              <w:ind w:right="73"/>
              <w:rPr>
                <w:sz w:val="16"/>
              </w:rPr>
            </w:pPr>
            <w:r>
              <w:rPr>
                <w:w w:val="95"/>
                <w:sz w:val="16"/>
              </w:rPr>
              <w:t>1.2</w:t>
            </w:r>
          </w:p>
        </w:tc>
        <w:tc>
          <w:tcPr>
            <w:tcW w:w="538" w:type="dxa"/>
          </w:tcPr>
          <w:p>
            <w:pPr>
              <w:pStyle w:val="TableParagraph"/>
              <w:spacing w:before="50"/>
              <w:ind w:right="68"/>
              <w:rPr>
                <w:sz w:val="16"/>
              </w:rPr>
            </w:pPr>
            <w:r>
              <w:rPr>
                <w:w w:val="99"/>
                <w:sz w:val="16"/>
              </w:rPr>
              <w:t>0</w:t>
            </w:r>
          </w:p>
        </w:tc>
        <w:tc>
          <w:tcPr>
            <w:tcW w:w="669" w:type="dxa"/>
          </w:tcPr>
          <w:p>
            <w:pPr>
              <w:pStyle w:val="TableParagraph"/>
              <w:spacing w:before="50"/>
              <w:ind w:right="66"/>
              <w:rPr>
                <w:sz w:val="16"/>
              </w:rPr>
            </w:pPr>
            <w:r>
              <w:rPr>
                <w:sz w:val="16"/>
              </w:rPr>
              <w:t>18.13</w:t>
            </w:r>
          </w:p>
        </w:tc>
        <w:tc>
          <w:tcPr>
            <w:tcW w:w="535" w:type="dxa"/>
          </w:tcPr>
          <w:p>
            <w:pPr>
              <w:pStyle w:val="TableParagraph"/>
              <w:spacing w:before="50"/>
              <w:ind w:right="68"/>
              <w:rPr>
                <w:sz w:val="16"/>
              </w:rPr>
            </w:pPr>
            <w:r>
              <w:rPr>
                <w:w w:val="99"/>
                <w:sz w:val="16"/>
              </w:rPr>
              <w:t>0</w:t>
            </w:r>
          </w:p>
        </w:tc>
        <w:tc>
          <w:tcPr>
            <w:tcW w:w="667" w:type="dxa"/>
          </w:tcPr>
          <w:p>
            <w:pPr>
              <w:pStyle w:val="TableParagraph"/>
              <w:spacing w:before="50"/>
              <w:ind w:right="64"/>
              <w:rPr>
                <w:sz w:val="16"/>
              </w:rPr>
            </w:pPr>
            <w:r>
              <w:rPr>
                <w:sz w:val="16"/>
              </w:rPr>
              <w:t>404.93</w:t>
            </w:r>
          </w:p>
        </w:tc>
        <w:tc>
          <w:tcPr>
            <w:tcW w:w="666" w:type="dxa"/>
          </w:tcPr>
          <w:p>
            <w:pPr>
              <w:pStyle w:val="TableParagraph"/>
              <w:spacing w:before="50"/>
              <w:ind w:right="68"/>
              <w:rPr>
                <w:sz w:val="16"/>
              </w:rPr>
            </w:pPr>
            <w:r>
              <w:rPr>
                <w:sz w:val="16"/>
              </w:rPr>
              <w:t>100.5</w:t>
            </w:r>
          </w:p>
        </w:tc>
        <w:tc>
          <w:tcPr>
            <w:tcW w:w="543" w:type="dxa"/>
          </w:tcPr>
          <w:p>
            <w:pPr>
              <w:pStyle w:val="TableParagraph"/>
              <w:spacing w:before="50"/>
              <w:ind w:left="110"/>
              <w:jc w:val="left"/>
              <w:rPr>
                <w:sz w:val="16"/>
              </w:rPr>
            </w:pPr>
            <w:r>
              <w:rPr>
                <w:sz w:val="16"/>
              </w:rPr>
              <w:t>125.4</w:t>
            </w:r>
          </w:p>
        </w:tc>
        <w:tc>
          <w:tcPr>
            <w:tcW w:w="678" w:type="dxa"/>
          </w:tcPr>
          <w:p>
            <w:pPr>
              <w:pStyle w:val="TableParagraph"/>
              <w:spacing w:before="50"/>
              <w:ind w:right="69"/>
              <w:rPr>
                <w:sz w:val="16"/>
              </w:rPr>
            </w:pPr>
            <w:r>
              <w:rPr>
                <w:sz w:val="16"/>
              </w:rPr>
              <w:t>44.07</w:t>
            </w:r>
          </w:p>
        </w:tc>
        <w:tc>
          <w:tcPr>
            <w:tcW w:w="595" w:type="dxa"/>
          </w:tcPr>
          <w:p>
            <w:pPr>
              <w:pStyle w:val="TableParagraph"/>
              <w:spacing w:before="50"/>
              <w:ind w:right="68"/>
              <w:rPr>
                <w:sz w:val="16"/>
              </w:rPr>
            </w:pPr>
            <w:r>
              <w:rPr>
                <w:w w:val="99"/>
                <w:sz w:val="16"/>
              </w:rPr>
              <w:t>2</w:t>
            </w:r>
          </w:p>
        </w:tc>
        <w:tc>
          <w:tcPr>
            <w:tcW w:w="595" w:type="dxa"/>
          </w:tcPr>
          <w:p>
            <w:pPr>
              <w:pStyle w:val="TableParagraph"/>
              <w:spacing w:before="50"/>
              <w:ind w:right="69"/>
              <w:rPr>
                <w:sz w:val="16"/>
              </w:rPr>
            </w:pPr>
            <w:r>
              <w:rPr>
                <w:w w:val="95"/>
                <w:sz w:val="16"/>
              </w:rPr>
              <w:t>1.74</w:t>
            </w:r>
          </w:p>
        </w:tc>
        <w:tc>
          <w:tcPr>
            <w:tcW w:w="545" w:type="dxa"/>
          </w:tcPr>
          <w:p>
            <w:pPr>
              <w:pStyle w:val="TableParagraph"/>
              <w:spacing w:before="50"/>
              <w:ind w:right="66"/>
              <w:rPr>
                <w:sz w:val="16"/>
              </w:rPr>
            </w:pPr>
            <w:r>
              <w:rPr>
                <w:w w:val="95"/>
                <w:sz w:val="16"/>
              </w:rPr>
              <w:t>0.03</w:t>
            </w:r>
          </w:p>
        </w:tc>
        <w:tc>
          <w:tcPr>
            <w:tcW w:w="598" w:type="dxa"/>
          </w:tcPr>
          <w:p>
            <w:pPr>
              <w:pStyle w:val="TableParagraph"/>
              <w:spacing w:before="50"/>
              <w:ind w:right="69"/>
              <w:rPr>
                <w:sz w:val="16"/>
              </w:rPr>
            </w:pPr>
            <w:r>
              <w:rPr>
                <w:w w:val="95"/>
                <w:sz w:val="16"/>
              </w:rPr>
              <w:t>0.34</w:t>
            </w:r>
          </w:p>
        </w:tc>
        <w:tc>
          <w:tcPr>
            <w:tcW w:w="593" w:type="dxa"/>
          </w:tcPr>
          <w:p>
            <w:pPr>
              <w:pStyle w:val="TableParagraph"/>
              <w:spacing w:before="50"/>
              <w:ind w:right="67"/>
              <w:rPr>
                <w:sz w:val="16"/>
              </w:rPr>
            </w:pPr>
            <w:r>
              <w:rPr>
                <w:sz w:val="16"/>
              </w:rPr>
              <w:t>29.69</w:t>
            </w:r>
          </w:p>
        </w:tc>
        <w:tc>
          <w:tcPr>
            <w:tcW w:w="830" w:type="dxa"/>
          </w:tcPr>
          <w:p>
            <w:pPr>
              <w:pStyle w:val="TableParagraph"/>
              <w:spacing w:before="50"/>
              <w:ind w:right="66"/>
              <w:rPr>
                <w:sz w:val="16"/>
              </w:rPr>
            </w:pPr>
            <w:r>
              <w:rPr>
                <w:w w:val="95"/>
                <w:sz w:val="16"/>
              </w:rPr>
              <w:t>0.64</w:t>
            </w:r>
          </w:p>
        </w:tc>
        <w:tc>
          <w:tcPr>
            <w:tcW w:w="821" w:type="dxa"/>
          </w:tcPr>
          <w:p>
            <w:pPr>
              <w:pStyle w:val="TableParagraph"/>
              <w:spacing w:before="50"/>
              <w:ind w:right="66"/>
              <w:rPr>
                <w:sz w:val="16"/>
              </w:rPr>
            </w:pPr>
            <w:r>
              <w:rPr>
                <w:w w:val="95"/>
                <w:sz w:val="16"/>
              </w:rPr>
              <w:t>0.32</w:t>
            </w:r>
          </w:p>
        </w:tc>
        <w:tc>
          <w:tcPr>
            <w:tcW w:w="831" w:type="dxa"/>
          </w:tcPr>
          <w:p>
            <w:pPr>
              <w:pStyle w:val="TableParagraph"/>
              <w:spacing w:before="50"/>
              <w:ind w:right="66"/>
              <w:rPr>
                <w:sz w:val="16"/>
              </w:rPr>
            </w:pPr>
            <w:r>
              <w:rPr>
                <w:w w:val="95"/>
                <w:sz w:val="16"/>
              </w:rPr>
              <w:t>0.13</w:t>
            </w:r>
          </w:p>
        </w:tc>
        <w:tc>
          <w:tcPr>
            <w:tcW w:w="891" w:type="dxa"/>
          </w:tcPr>
          <w:p>
            <w:pPr>
              <w:pStyle w:val="TableParagraph"/>
              <w:spacing w:before="50"/>
              <w:ind w:right="198"/>
              <w:rPr>
                <w:sz w:val="16"/>
              </w:rPr>
            </w:pPr>
            <w:r>
              <w:rPr>
                <w:w w:val="99"/>
                <w:sz w:val="16"/>
              </w:rPr>
              <w:t>0</w:t>
            </w:r>
          </w:p>
        </w:tc>
      </w:tr>
      <w:tr>
        <w:trPr>
          <w:trHeight w:val="228" w:hRule="exact"/>
        </w:trPr>
        <w:tc>
          <w:tcPr>
            <w:tcW w:w="685" w:type="dxa"/>
          </w:tcPr>
          <w:p>
            <w:pPr>
              <w:pStyle w:val="TableParagraph"/>
              <w:spacing w:before="47"/>
              <w:ind w:right="72"/>
              <w:rPr>
                <w:sz w:val="16"/>
              </w:rPr>
            </w:pPr>
            <w:r>
              <w:rPr>
                <w:w w:val="99"/>
                <w:sz w:val="16"/>
              </w:rPr>
              <w:t>8</w:t>
            </w:r>
          </w:p>
        </w:tc>
        <w:tc>
          <w:tcPr>
            <w:tcW w:w="718" w:type="dxa"/>
          </w:tcPr>
          <w:p>
            <w:pPr>
              <w:pStyle w:val="TableParagraph"/>
              <w:spacing w:before="47"/>
              <w:ind w:right="71"/>
              <w:rPr>
                <w:sz w:val="16"/>
              </w:rPr>
            </w:pPr>
            <w:r>
              <w:rPr>
                <w:sz w:val="16"/>
              </w:rPr>
              <w:t>104.33</w:t>
            </w:r>
          </w:p>
        </w:tc>
        <w:tc>
          <w:tcPr>
            <w:tcW w:w="716" w:type="dxa"/>
          </w:tcPr>
          <w:p>
            <w:pPr>
              <w:pStyle w:val="TableParagraph"/>
              <w:spacing w:before="47"/>
              <w:ind w:right="66"/>
              <w:rPr>
                <w:sz w:val="16"/>
              </w:rPr>
            </w:pPr>
            <w:r>
              <w:rPr>
                <w:sz w:val="16"/>
              </w:rPr>
              <w:t>14.82</w:t>
            </w:r>
          </w:p>
        </w:tc>
        <w:tc>
          <w:tcPr>
            <w:tcW w:w="554" w:type="dxa"/>
          </w:tcPr>
          <w:p>
            <w:pPr>
              <w:pStyle w:val="TableParagraph"/>
              <w:spacing w:before="47"/>
              <w:ind w:right="69"/>
              <w:rPr>
                <w:sz w:val="16"/>
              </w:rPr>
            </w:pPr>
            <w:r>
              <w:rPr>
                <w:w w:val="95"/>
                <w:sz w:val="16"/>
              </w:rPr>
              <w:t>1.24</w:t>
            </w:r>
          </w:p>
        </w:tc>
        <w:tc>
          <w:tcPr>
            <w:tcW w:w="538" w:type="dxa"/>
          </w:tcPr>
          <w:p>
            <w:pPr>
              <w:pStyle w:val="TableParagraph"/>
              <w:spacing w:before="47"/>
              <w:ind w:right="68"/>
              <w:rPr>
                <w:sz w:val="16"/>
              </w:rPr>
            </w:pPr>
            <w:r>
              <w:rPr>
                <w:w w:val="99"/>
                <w:sz w:val="16"/>
              </w:rPr>
              <w:t>0</w:t>
            </w:r>
          </w:p>
        </w:tc>
        <w:tc>
          <w:tcPr>
            <w:tcW w:w="669" w:type="dxa"/>
          </w:tcPr>
          <w:p>
            <w:pPr>
              <w:pStyle w:val="TableParagraph"/>
              <w:spacing w:before="47"/>
              <w:ind w:right="66"/>
              <w:rPr>
                <w:sz w:val="16"/>
              </w:rPr>
            </w:pPr>
            <w:r>
              <w:rPr>
                <w:w w:val="95"/>
                <w:sz w:val="16"/>
              </w:rPr>
              <w:t>7.26</w:t>
            </w:r>
          </w:p>
        </w:tc>
        <w:tc>
          <w:tcPr>
            <w:tcW w:w="535" w:type="dxa"/>
          </w:tcPr>
          <w:p>
            <w:pPr>
              <w:pStyle w:val="TableParagraph"/>
              <w:spacing w:before="47"/>
              <w:ind w:right="68"/>
              <w:rPr>
                <w:sz w:val="16"/>
              </w:rPr>
            </w:pPr>
            <w:r>
              <w:rPr>
                <w:w w:val="99"/>
                <w:sz w:val="16"/>
              </w:rPr>
              <w:t>0</w:t>
            </w:r>
          </w:p>
        </w:tc>
        <w:tc>
          <w:tcPr>
            <w:tcW w:w="667" w:type="dxa"/>
          </w:tcPr>
          <w:p>
            <w:pPr>
              <w:pStyle w:val="TableParagraph"/>
              <w:spacing w:before="47"/>
              <w:ind w:right="64"/>
              <w:rPr>
                <w:sz w:val="16"/>
              </w:rPr>
            </w:pPr>
            <w:r>
              <w:rPr>
                <w:sz w:val="16"/>
              </w:rPr>
              <w:t>385.12</w:t>
            </w:r>
          </w:p>
        </w:tc>
        <w:tc>
          <w:tcPr>
            <w:tcW w:w="666" w:type="dxa"/>
          </w:tcPr>
          <w:p>
            <w:pPr>
              <w:pStyle w:val="TableParagraph"/>
              <w:spacing w:before="47"/>
              <w:ind w:right="68"/>
              <w:rPr>
                <w:sz w:val="16"/>
              </w:rPr>
            </w:pPr>
            <w:r>
              <w:rPr>
                <w:sz w:val="16"/>
              </w:rPr>
              <w:t>100.6</w:t>
            </w:r>
          </w:p>
        </w:tc>
        <w:tc>
          <w:tcPr>
            <w:tcW w:w="543" w:type="dxa"/>
          </w:tcPr>
          <w:p>
            <w:pPr>
              <w:pStyle w:val="TableParagraph"/>
              <w:spacing w:before="47"/>
              <w:ind w:left="110"/>
              <w:jc w:val="left"/>
              <w:rPr>
                <w:sz w:val="16"/>
              </w:rPr>
            </w:pPr>
            <w:r>
              <w:rPr>
                <w:sz w:val="16"/>
              </w:rPr>
              <w:t>119.4</w:t>
            </w:r>
          </w:p>
        </w:tc>
        <w:tc>
          <w:tcPr>
            <w:tcW w:w="678" w:type="dxa"/>
          </w:tcPr>
          <w:p>
            <w:pPr>
              <w:pStyle w:val="TableParagraph"/>
              <w:spacing w:before="47"/>
              <w:ind w:right="69"/>
              <w:rPr>
                <w:sz w:val="16"/>
              </w:rPr>
            </w:pPr>
            <w:r>
              <w:rPr>
                <w:sz w:val="16"/>
              </w:rPr>
              <w:t>27.58</w:t>
            </w:r>
          </w:p>
        </w:tc>
        <w:tc>
          <w:tcPr>
            <w:tcW w:w="595" w:type="dxa"/>
          </w:tcPr>
          <w:p>
            <w:pPr>
              <w:pStyle w:val="TableParagraph"/>
              <w:spacing w:before="47"/>
              <w:ind w:right="64"/>
              <w:rPr>
                <w:sz w:val="16"/>
              </w:rPr>
            </w:pPr>
            <w:r>
              <w:rPr>
                <w:w w:val="95"/>
                <w:sz w:val="16"/>
              </w:rPr>
              <w:t>1.05</w:t>
            </w:r>
          </w:p>
        </w:tc>
        <w:tc>
          <w:tcPr>
            <w:tcW w:w="595" w:type="dxa"/>
          </w:tcPr>
          <w:p>
            <w:pPr>
              <w:pStyle w:val="TableParagraph"/>
              <w:spacing w:before="47"/>
              <w:ind w:right="73"/>
              <w:rPr>
                <w:sz w:val="16"/>
              </w:rPr>
            </w:pPr>
            <w:r>
              <w:rPr>
                <w:w w:val="95"/>
                <w:sz w:val="16"/>
              </w:rPr>
              <w:t>0.1</w:t>
            </w:r>
          </w:p>
        </w:tc>
        <w:tc>
          <w:tcPr>
            <w:tcW w:w="545" w:type="dxa"/>
          </w:tcPr>
          <w:p>
            <w:pPr>
              <w:pStyle w:val="TableParagraph"/>
              <w:spacing w:before="47"/>
              <w:ind w:right="66"/>
              <w:rPr>
                <w:sz w:val="16"/>
              </w:rPr>
            </w:pPr>
            <w:r>
              <w:rPr>
                <w:w w:val="95"/>
                <w:sz w:val="16"/>
              </w:rPr>
              <w:t>0.02</w:t>
            </w:r>
          </w:p>
        </w:tc>
        <w:tc>
          <w:tcPr>
            <w:tcW w:w="598" w:type="dxa"/>
          </w:tcPr>
          <w:p>
            <w:pPr>
              <w:pStyle w:val="TableParagraph"/>
              <w:spacing w:before="47"/>
              <w:ind w:right="69"/>
              <w:rPr>
                <w:sz w:val="16"/>
              </w:rPr>
            </w:pPr>
            <w:r>
              <w:rPr>
                <w:w w:val="95"/>
                <w:sz w:val="16"/>
              </w:rPr>
              <w:t>0.16</w:t>
            </w:r>
          </w:p>
        </w:tc>
        <w:tc>
          <w:tcPr>
            <w:tcW w:w="593" w:type="dxa"/>
          </w:tcPr>
          <w:p>
            <w:pPr>
              <w:pStyle w:val="TableParagraph"/>
              <w:spacing w:before="47"/>
              <w:ind w:right="67"/>
              <w:rPr>
                <w:sz w:val="16"/>
              </w:rPr>
            </w:pPr>
            <w:r>
              <w:rPr>
                <w:sz w:val="16"/>
              </w:rPr>
              <w:t>14.83</w:t>
            </w:r>
          </w:p>
        </w:tc>
        <w:tc>
          <w:tcPr>
            <w:tcW w:w="830" w:type="dxa"/>
          </w:tcPr>
          <w:p>
            <w:pPr>
              <w:pStyle w:val="TableParagraph"/>
              <w:spacing w:before="47"/>
              <w:ind w:right="66"/>
              <w:rPr>
                <w:sz w:val="16"/>
              </w:rPr>
            </w:pPr>
            <w:r>
              <w:rPr>
                <w:w w:val="95"/>
                <w:sz w:val="16"/>
              </w:rPr>
              <w:t>0.25</w:t>
            </w:r>
          </w:p>
        </w:tc>
        <w:tc>
          <w:tcPr>
            <w:tcW w:w="821" w:type="dxa"/>
          </w:tcPr>
          <w:p>
            <w:pPr>
              <w:pStyle w:val="TableParagraph"/>
              <w:spacing w:before="47"/>
              <w:ind w:right="66"/>
              <w:rPr>
                <w:sz w:val="16"/>
              </w:rPr>
            </w:pPr>
            <w:r>
              <w:rPr>
                <w:w w:val="95"/>
                <w:sz w:val="16"/>
              </w:rPr>
              <w:t>0.12</w:t>
            </w:r>
          </w:p>
        </w:tc>
        <w:tc>
          <w:tcPr>
            <w:tcW w:w="831" w:type="dxa"/>
          </w:tcPr>
          <w:p>
            <w:pPr>
              <w:pStyle w:val="TableParagraph"/>
              <w:spacing w:before="47"/>
              <w:ind w:right="66"/>
              <w:rPr>
                <w:sz w:val="16"/>
              </w:rPr>
            </w:pPr>
            <w:r>
              <w:rPr>
                <w:w w:val="95"/>
                <w:sz w:val="16"/>
              </w:rPr>
              <w:t>0.05</w:t>
            </w:r>
          </w:p>
        </w:tc>
        <w:tc>
          <w:tcPr>
            <w:tcW w:w="891" w:type="dxa"/>
          </w:tcPr>
          <w:p>
            <w:pPr>
              <w:pStyle w:val="TableParagraph"/>
              <w:spacing w:before="47"/>
              <w:ind w:right="198"/>
              <w:rPr>
                <w:sz w:val="16"/>
              </w:rPr>
            </w:pPr>
            <w:r>
              <w:rPr>
                <w:w w:val="99"/>
                <w:sz w:val="16"/>
              </w:rPr>
              <w:t>0</w:t>
            </w:r>
          </w:p>
        </w:tc>
      </w:tr>
    </w:tbl>
    <w:p>
      <w:pPr>
        <w:spacing w:after="0"/>
        <w:rPr>
          <w:sz w:val="16"/>
        </w:rPr>
        <w:sectPr>
          <w:pgSz w:w="15840" w:h="12240" w:orient="landscape"/>
          <w:pgMar w:header="0" w:footer="1414" w:top="1140" w:bottom="1600" w:left="1180" w:right="1180"/>
        </w:sectPr>
      </w:pPr>
    </w:p>
    <w:p>
      <w:pPr>
        <w:pStyle w:val="BodyText"/>
        <w:rPr>
          <w:sz w:val="20"/>
        </w:rPr>
      </w:pPr>
    </w:p>
    <w:p>
      <w:pPr>
        <w:pStyle w:val="BodyText"/>
        <w:spacing w:before="10"/>
        <w:rPr>
          <w:sz w:val="15"/>
        </w:rPr>
      </w:pP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85"/>
        <w:gridCol w:w="716"/>
        <w:gridCol w:w="718"/>
        <w:gridCol w:w="554"/>
        <w:gridCol w:w="538"/>
        <w:gridCol w:w="669"/>
        <w:gridCol w:w="535"/>
        <w:gridCol w:w="667"/>
        <w:gridCol w:w="666"/>
        <w:gridCol w:w="543"/>
        <w:gridCol w:w="679"/>
        <w:gridCol w:w="594"/>
        <w:gridCol w:w="595"/>
        <w:gridCol w:w="545"/>
        <w:gridCol w:w="598"/>
        <w:gridCol w:w="593"/>
        <w:gridCol w:w="830"/>
        <w:gridCol w:w="821"/>
        <w:gridCol w:w="831"/>
        <w:gridCol w:w="891"/>
      </w:tblGrid>
      <w:tr>
        <w:trPr>
          <w:trHeight w:val="228" w:hRule="exact"/>
        </w:trPr>
        <w:tc>
          <w:tcPr>
            <w:tcW w:w="685" w:type="dxa"/>
          </w:tcPr>
          <w:p>
            <w:pPr>
              <w:pStyle w:val="TableParagraph"/>
              <w:spacing w:line="162" w:lineRule="exact" w:before="0"/>
              <w:ind w:right="72"/>
              <w:rPr>
                <w:sz w:val="16"/>
              </w:rPr>
            </w:pPr>
            <w:r>
              <w:rPr>
                <w:w w:val="99"/>
                <w:sz w:val="16"/>
              </w:rPr>
              <w:t>9</w:t>
            </w:r>
          </w:p>
        </w:tc>
        <w:tc>
          <w:tcPr>
            <w:tcW w:w="716" w:type="dxa"/>
          </w:tcPr>
          <w:p>
            <w:pPr>
              <w:pStyle w:val="TableParagraph"/>
              <w:spacing w:line="162" w:lineRule="exact" w:before="0"/>
              <w:ind w:right="69"/>
              <w:rPr>
                <w:sz w:val="16"/>
              </w:rPr>
            </w:pPr>
            <w:r>
              <w:rPr>
                <w:sz w:val="16"/>
              </w:rPr>
              <w:t>141.17</w:t>
            </w:r>
          </w:p>
        </w:tc>
        <w:tc>
          <w:tcPr>
            <w:tcW w:w="718" w:type="dxa"/>
          </w:tcPr>
          <w:p>
            <w:pPr>
              <w:pStyle w:val="TableParagraph"/>
              <w:spacing w:line="162" w:lineRule="exact" w:before="0"/>
              <w:ind w:right="66"/>
              <w:rPr>
                <w:sz w:val="16"/>
              </w:rPr>
            </w:pPr>
            <w:r>
              <w:rPr>
                <w:sz w:val="16"/>
              </w:rPr>
              <w:t>25.89</w:t>
            </w:r>
          </w:p>
        </w:tc>
        <w:tc>
          <w:tcPr>
            <w:tcW w:w="554" w:type="dxa"/>
          </w:tcPr>
          <w:p>
            <w:pPr>
              <w:pStyle w:val="TableParagraph"/>
              <w:spacing w:line="162" w:lineRule="exact" w:before="0"/>
              <w:ind w:right="69"/>
              <w:rPr>
                <w:sz w:val="16"/>
              </w:rPr>
            </w:pPr>
            <w:r>
              <w:rPr>
                <w:w w:val="95"/>
                <w:sz w:val="16"/>
              </w:rPr>
              <w:t>1.45</w:t>
            </w:r>
          </w:p>
        </w:tc>
        <w:tc>
          <w:tcPr>
            <w:tcW w:w="538" w:type="dxa"/>
          </w:tcPr>
          <w:p>
            <w:pPr>
              <w:pStyle w:val="TableParagraph"/>
              <w:spacing w:line="162" w:lineRule="exact" w:before="0"/>
              <w:ind w:right="68"/>
              <w:rPr>
                <w:sz w:val="16"/>
              </w:rPr>
            </w:pPr>
            <w:r>
              <w:rPr>
                <w:w w:val="99"/>
                <w:sz w:val="16"/>
              </w:rPr>
              <w:t>0</w:t>
            </w:r>
          </w:p>
        </w:tc>
        <w:tc>
          <w:tcPr>
            <w:tcW w:w="669" w:type="dxa"/>
          </w:tcPr>
          <w:p>
            <w:pPr>
              <w:pStyle w:val="TableParagraph"/>
              <w:spacing w:line="162" w:lineRule="exact" w:before="0"/>
              <w:ind w:right="66"/>
              <w:rPr>
                <w:sz w:val="16"/>
              </w:rPr>
            </w:pPr>
            <w:r>
              <w:rPr>
                <w:sz w:val="16"/>
              </w:rPr>
              <w:t>29.12</w:t>
            </w:r>
          </w:p>
        </w:tc>
        <w:tc>
          <w:tcPr>
            <w:tcW w:w="535" w:type="dxa"/>
          </w:tcPr>
          <w:p>
            <w:pPr>
              <w:pStyle w:val="TableParagraph"/>
              <w:spacing w:line="162" w:lineRule="exact" w:before="0"/>
              <w:ind w:right="68"/>
              <w:rPr>
                <w:sz w:val="16"/>
              </w:rPr>
            </w:pPr>
            <w:r>
              <w:rPr>
                <w:w w:val="99"/>
                <w:sz w:val="16"/>
              </w:rPr>
              <w:t>0</w:t>
            </w:r>
          </w:p>
        </w:tc>
        <w:tc>
          <w:tcPr>
            <w:tcW w:w="667" w:type="dxa"/>
          </w:tcPr>
          <w:p>
            <w:pPr>
              <w:pStyle w:val="TableParagraph"/>
              <w:spacing w:line="162" w:lineRule="exact" w:before="0"/>
              <w:ind w:right="64"/>
              <w:rPr>
                <w:sz w:val="16"/>
              </w:rPr>
            </w:pPr>
            <w:r>
              <w:rPr>
                <w:sz w:val="16"/>
              </w:rPr>
              <w:t>386.07</w:t>
            </w:r>
          </w:p>
        </w:tc>
        <w:tc>
          <w:tcPr>
            <w:tcW w:w="666" w:type="dxa"/>
          </w:tcPr>
          <w:p>
            <w:pPr>
              <w:pStyle w:val="TableParagraph"/>
              <w:spacing w:line="162" w:lineRule="exact" w:before="0"/>
              <w:ind w:right="68"/>
              <w:rPr>
                <w:sz w:val="16"/>
              </w:rPr>
            </w:pPr>
            <w:r>
              <w:rPr>
                <w:sz w:val="16"/>
              </w:rPr>
              <w:t>81.08</w:t>
            </w:r>
          </w:p>
        </w:tc>
        <w:tc>
          <w:tcPr>
            <w:tcW w:w="543" w:type="dxa"/>
          </w:tcPr>
          <w:p>
            <w:pPr>
              <w:pStyle w:val="TableParagraph"/>
              <w:spacing w:line="162" w:lineRule="exact" w:before="0"/>
              <w:ind w:left="110"/>
              <w:jc w:val="left"/>
              <w:rPr>
                <w:sz w:val="16"/>
              </w:rPr>
            </w:pPr>
            <w:r>
              <w:rPr>
                <w:sz w:val="16"/>
              </w:rPr>
              <w:t>97.07</w:t>
            </w:r>
          </w:p>
        </w:tc>
        <w:tc>
          <w:tcPr>
            <w:tcW w:w="679" w:type="dxa"/>
          </w:tcPr>
          <w:p>
            <w:pPr>
              <w:pStyle w:val="TableParagraph"/>
              <w:spacing w:line="162" w:lineRule="exact" w:before="0"/>
              <w:ind w:right="70"/>
              <w:rPr>
                <w:sz w:val="16"/>
              </w:rPr>
            </w:pPr>
            <w:r>
              <w:rPr>
                <w:sz w:val="16"/>
              </w:rPr>
              <w:t>39.95</w:t>
            </w:r>
          </w:p>
        </w:tc>
        <w:tc>
          <w:tcPr>
            <w:tcW w:w="594" w:type="dxa"/>
          </w:tcPr>
          <w:p>
            <w:pPr>
              <w:pStyle w:val="TableParagraph"/>
              <w:spacing w:line="162" w:lineRule="exact" w:before="0"/>
              <w:ind w:right="64"/>
              <w:rPr>
                <w:sz w:val="16"/>
              </w:rPr>
            </w:pPr>
            <w:r>
              <w:rPr>
                <w:w w:val="95"/>
                <w:sz w:val="16"/>
              </w:rPr>
              <w:t>1.21</w:t>
            </w:r>
          </w:p>
        </w:tc>
        <w:tc>
          <w:tcPr>
            <w:tcW w:w="595" w:type="dxa"/>
          </w:tcPr>
          <w:p>
            <w:pPr>
              <w:pStyle w:val="TableParagraph"/>
              <w:spacing w:line="162" w:lineRule="exact" w:before="0"/>
              <w:ind w:right="69"/>
              <w:rPr>
                <w:sz w:val="16"/>
              </w:rPr>
            </w:pPr>
            <w:r>
              <w:rPr>
                <w:w w:val="95"/>
                <w:sz w:val="16"/>
              </w:rPr>
              <w:t>0.11</w:t>
            </w:r>
          </w:p>
        </w:tc>
        <w:tc>
          <w:tcPr>
            <w:tcW w:w="545" w:type="dxa"/>
          </w:tcPr>
          <w:p>
            <w:pPr>
              <w:pStyle w:val="TableParagraph"/>
              <w:spacing w:line="162" w:lineRule="exact" w:before="0"/>
              <w:ind w:right="66"/>
              <w:rPr>
                <w:sz w:val="16"/>
              </w:rPr>
            </w:pPr>
            <w:r>
              <w:rPr>
                <w:w w:val="95"/>
                <w:sz w:val="16"/>
              </w:rPr>
              <w:t>0.02</w:t>
            </w:r>
          </w:p>
        </w:tc>
        <w:tc>
          <w:tcPr>
            <w:tcW w:w="598" w:type="dxa"/>
          </w:tcPr>
          <w:p>
            <w:pPr>
              <w:pStyle w:val="TableParagraph"/>
              <w:spacing w:line="162" w:lineRule="exact" w:before="0"/>
              <w:ind w:right="69"/>
              <w:rPr>
                <w:sz w:val="16"/>
              </w:rPr>
            </w:pPr>
            <w:r>
              <w:rPr>
                <w:w w:val="95"/>
                <w:sz w:val="16"/>
              </w:rPr>
              <w:t>0.42</w:t>
            </w:r>
          </w:p>
        </w:tc>
        <w:tc>
          <w:tcPr>
            <w:tcW w:w="593" w:type="dxa"/>
          </w:tcPr>
          <w:p>
            <w:pPr>
              <w:pStyle w:val="TableParagraph"/>
              <w:spacing w:line="162" w:lineRule="exact" w:before="0"/>
              <w:ind w:right="66"/>
              <w:rPr>
                <w:sz w:val="16"/>
              </w:rPr>
            </w:pPr>
            <w:r>
              <w:rPr>
                <w:w w:val="95"/>
                <w:sz w:val="16"/>
              </w:rPr>
              <w:t>1.63</w:t>
            </w:r>
          </w:p>
        </w:tc>
        <w:tc>
          <w:tcPr>
            <w:tcW w:w="830" w:type="dxa"/>
          </w:tcPr>
          <w:p>
            <w:pPr>
              <w:pStyle w:val="TableParagraph"/>
              <w:spacing w:line="162" w:lineRule="exact" w:before="0"/>
              <w:ind w:right="66"/>
              <w:rPr>
                <w:sz w:val="16"/>
              </w:rPr>
            </w:pPr>
            <w:r>
              <w:rPr>
                <w:w w:val="95"/>
                <w:sz w:val="16"/>
              </w:rPr>
              <w:t>0.35</w:t>
            </w:r>
          </w:p>
        </w:tc>
        <w:tc>
          <w:tcPr>
            <w:tcW w:w="821" w:type="dxa"/>
          </w:tcPr>
          <w:p>
            <w:pPr>
              <w:pStyle w:val="TableParagraph"/>
              <w:spacing w:line="162" w:lineRule="exact" w:before="0"/>
              <w:ind w:right="66"/>
              <w:rPr>
                <w:sz w:val="16"/>
              </w:rPr>
            </w:pPr>
            <w:r>
              <w:rPr>
                <w:w w:val="95"/>
                <w:sz w:val="16"/>
              </w:rPr>
              <w:t>0.17</w:t>
            </w:r>
          </w:p>
        </w:tc>
        <w:tc>
          <w:tcPr>
            <w:tcW w:w="831" w:type="dxa"/>
          </w:tcPr>
          <w:p>
            <w:pPr>
              <w:pStyle w:val="TableParagraph"/>
              <w:spacing w:line="162" w:lineRule="exact" w:before="0"/>
              <w:ind w:right="66"/>
              <w:rPr>
                <w:sz w:val="16"/>
              </w:rPr>
            </w:pPr>
            <w:r>
              <w:rPr>
                <w:w w:val="95"/>
                <w:sz w:val="16"/>
              </w:rPr>
              <w:t>0.07</w:t>
            </w:r>
          </w:p>
        </w:tc>
        <w:tc>
          <w:tcPr>
            <w:tcW w:w="891" w:type="dxa"/>
          </w:tcPr>
          <w:p>
            <w:pPr>
              <w:pStyle w:val="TableParagraph"/>
              <w:spacing w:line="162" w:lineRule="exact" w:before="0"/>
              <w:ind w:right="198"/>
              <w:rPr>
                <w:sz w:val="16"/>
              </w:rPr>
            </w:pPr>
            <w:r>
              <w:rPr>
                <w:w w:val="99"/>
                <w:sz w:val="16"/>
              </w:rPr>
              <w:t>0</w:t>
            </w:r>
          </w:p>
        </w:tc>
      </w:tr>
      <w:tr>
        <w:trPr>
          <w:trHeight w:val="300" w:hRule="exact"/>
        </w:trPr>
        <w:tc>
          <w:tcPr>
            <w:tcW w:w="685" w:type="dxa"/>
          </w:tcPr>
          <w:p>
            <w:pPr>
              <w:pStyle w:val="TableParagraph"/>
              <w:spacing w:before="48"/>
              <w:ind w:right="65"/>
              <w:rPr>
                <w:sz w:val="16"/>
              </w:rPr>
            </w:pPr>
            <w:r>
              <w:rPr>
                <w:sz w:val="16"/>
              </w:rPr>
              <w:t>10</w:t>
            </w:r>
          </w:p>
        </w:tc>
        <w:tc>
          <w:tcPr>
            <w:tcW w:w="716" w:type="dxa"/>
          </w:tcPr>
          <w:p>
            <w:pPr>
              <w:pStyle w:val="TableParagraph"/>
              <w:spacing w:before="48"/>
              <w:ind w:right="69"/>
              <w:rPr>
                <w:sz w:val="16"/>
              </w:rPr>
            </w:pPr>
            <w:r>
              <w:rPr>
                <w:sz w:val="16"/>
              </w:rPr>
              <w:t>144.32</w:t>
            </w:r>
          </w:p>
        </w:tc>
        <w:tc>
          <w:tcPr>
            <w:tcW w:w="718" w:type="dxa"/>
          </w:tcPr>
          <w:p>
            <w:pPr>
              <w:pStyle w:val="TableParagraph"/>
              <w:spacing w:before="48"/>
              <w:ind w:right="66"/>
              <w:rPr>
                <w:sz w:val="16"/>
              </w:rPr>
            </w:pPr>
            <w:r>
              <w:rPr>
                <w:sz w:val="16"/>
              </w:rPr>
              <w:t>38.25</w:t>
            </w:r>
          </w:p>
        </w:tc>
        <w:tc>
          <w:tcPr>
            <w:tcW w:w="554" w:type="dxa"/>
          </w:tcPr>
          <w:p>
            <w:pPr>
              <w:pStyle w:val="TableParagraph"/>
              <w:spacing w:before="48"/>
              <w:ind w:right="69"/>
              <w:rPr>
                <w:sz w:val="16"/>
              </w:rPr>
            </w:pPr>
            <w:r>
              <w:rPr>
                <w:w w:val="95"/>
                <w:sz w:val="16"/>
              </w:rPr>
              <w:t>1.83</w:t>
            </w:r>
          </w:p>
        </w:tc>
        <w:tc>
          <w:tcPr>
            <w:tcW w:w="538" w:type="dxa"/>
          </w:tcPr>
          <w:p>
            <w:pPr>
              <w:pStyle w:val="TableParagraph"/>
              <w:spacing w:before="48"/>
              <w:ind w:right="68"/>
              <w:rPr>
                <w:sz w:val="16"/>
              </w:rPr>
            </w:pPr>
            <w:r>
              <w:rPr>
                <w:w w:val="98"/>
                <w:sz w:val="16"/>
              </w:rPr>
              <w:t>0</w:t>
            </w:r>
          </w:p>
        </w:tc>
        <w:tc>
          <w:tcPr>
            <w:tcW w:w="669" w:type="dxa"/>
          </w:tcPr>
          <w:p>
            <w:pPr>
              <w:pStyle w:val="TableParagraph"/>
              <w:spacing w:before="48"/>
              <w:ind w:right="66"/>
              <w:rPr>
                <w:sz w:val="16"/>
              </w:rPr>
            </w:pPr>
            <w:r>
              <w:rPr>
                <w:sz w:val="16"/>
              </w:rPr>
              <w:t>43.92</w:t>
            </w:r>
          </w:p>
        </w:tc>
        <w:tc>
          <w:tcPr>
            <w:tcW w:w="535" w:type="dxa"/>
          </w:tcPr>
          <w:p>
            <w:pPr>
              <w:pStyle w:val="TableParagraph"/>
              <w:spacing w:before="48"/>
              <w:ind w:right="68"/>
              <w:rPr>
                <w:sz w:val="16"/>
              </w:rPr>
            </w:pPr>
            <w:r>
              <w:rPr>
                <w:w w:val="98"/>
                <w:sz w:val="16"/>
              </w:rPr>
              <w:t>0</w:t>
            </w:r>
          </w:p>
        </w:tc>
        <w:tc>
          <w:tcPr>
            <w:tcW w:w="667" w:type="dxa"/>
          </w:tcPr>
          <w:p>
            <w:pPr>
              <w:pStyle w:val="TableParagraph"/>
              <w:spacing w:before="48"/>
              <w:ind w:right="64"/>
              <w:rPr>
                <w:sz w:val="16"/>
              </w:rPr>
            </w:pPr>
            <w:r>
              <w:rPr>
                <w:sz w:val="16"/>
              </w:rPr>
              <w:t>387.68</w:t>
            </w:r>
          </w:p>
        </w:tc>
        <w:tc>
          <w:tcPr>
            <w:tcW w:w="666" w:type="dxa"/>
          </w:tcPr>
          <w:p>
            <w:pPr>
              <w:pStyle w:val="TableParagraph"/>
              <w:spacing w:before="48"/>
              <w:ind w:right="68"/>
              <w:rPr>
                <w:sz w:val="16"/>
              </w:rPr>
            </w:pPr>
            <w:r>
              <w:rPr>
                <w:sz w:val="16"/>
              </w:rPr>
              <w:t>56.85</w:t>
            </w:r>
          </w:p>
        </w:tc>
        <w:tc>
          <w:tcPr>
            <w:tcW w:w="543" w:type="dxa"/>
          </w:tcPr>
          <w:p>
            <w:pPr>
              <w:pStyle w:val="TableParagraph"/>
              <w:spacing w:before="48"/>
              <w:ind w:left="110"/>
              <w:jc w:val="left"/>
              <w:rPr>
                <w:sz w:val="16"/>
              </w:rPr>
            </w:pPr>
            <w:r>
              <w:rPr>
                <w:sz w:val="16"/>
              </w:rPr>
              <w:t>81.58</w:t>
            </w:r>
          </w:p>
        </w:tc>
        <w:tc>
          <w:tcPr>
            <w:tcW w:w="679" w:type="dxa"/>
          </w:tcPr>
          <w:p>
            <w:pPr>
              <w:pStyle w:val="TableParagraph"/>
              <w:spacing w:before="48"/>
              <w:ind w:right="70"/>
              <w:rPr>
                <w:sz w:val="16"/>
              </w:rPr>
            </w:pPr>
            <w:r>
              <w:rPr>
                <w:sz w:val="16"/>
              </w:rPr>
              <w:t>54.07</w:t>
            </w:r>
          </w:p>
        </w:tc>
        <w:tc>
          <w:tcPr>
            <w:tcW w:w="594" w:type="dxa"/>
          </w:tcPr>
          <w:p>
            <w:pPr>
              <w:pStyle w:val="TableParagraph"/>
              <w:spacing w:before="48"/>
              <w:ind w:right="64"/>
              <w:rPr>
                <w:sz w:val="16"/>
              </w:rPr>
            </w:pPr>
            <w:r>
              <w:rPr>
                <w:w w:val="95"/>
                <w:sz w:val="16"/>
              </w:rPr>
              <w:t>1.29</w:t>
            </w:r>
          </w:p>
        </w:tc>
        <w:tc>
          <w:tcPr>
            <w:tcW w:w="595" w:type="dxa"/>
          </w:tcPr>
          <w:p>
            <w:pPr>
              <w:pStyle w:val="TableParagraph"/>
              <w:spacing w:before="48"/>
              <w:ind w:right="69"/>
              <w:rPr>
                <w:sz w:val="16"/>
              </w:rPr>
            </w:pPr>
            <w:r>
              <w:rPr>
                <w:w w:val="95"/>
                <w:sz w:val="16"/>
              </w:rPr>
              <w:t>0.15</w:t>
            </w:r>
          </w:p>
        </w:tc>
        <w:tc>
          <w:tcPr>
            <w:tcW w:w="545" w:type="dxa"/>
          </w:tcPr>
          <w:p>
            <w:pPr>
              <w:pStyle w:val="TableParagraph"/>
              <w:spacing w:before="48"/>
              <w:ind w:right="66"/>
              <w:rPr>
                <w:sz w:val="16"/>
              </w:rPr>
            </w:pPr>
            <w:r>
              <w:rPr>
                <w:w w:val="95"/>
                <w:sz w:val="16"/>
              </w:rPr>
              <w:t>0.03</w:t>
            </w:r>
          </w:p>
        </w:tc>
        <w:tc>
          <w:tcPr>
            <w:tcW w:w="598" w:type="dxa"/>
          </w:tcPr>
          <w:p>
            <w:pPr>
              <w:pStyle w:val="TableParagraph"/>
              <w:spacing w:before="48"/>
              <w:ind w:right="69"/>
              <w:rPr>
                <w:sz w:val="16"/>
              </w:rPr>
            </w:pPr>
            <w:r>
              <w:rPr>
                <w:w w:val="95"/>
                <w:sz w:val="16"/>
              </w:rPr>
              <w:t>0.81</w:t>
            </w:r>
          </w:p>
        </w:tc>
        <w:tc>
          <w:tcPr>
            <w:tcW w:w="593" w:type="dxa"/>
          </w:tcPr>
          <w:p>
            <w:pPr>
              <w:pStyle w:val="TableParagraph"/>
              <w:spacing w:before="48"/>
              <w:ind w:right="66"/>
              <w:rPr>
                <w:sz w:val="16"/>
              </w:rPr>
            </w:pPr>
            <w:r>
              <w:rPr>
                <w:w w:val="95"/>
                <w:sz w:val="16"/>
              </w:rPr>
              <w:t>1.81</w:t>
            </w:r>
          </w:p>
        </w:tc>
        <w:tc>
          <w:tcPr>
            <w:tcW w:w="830" w:type="dxa"/>
          </w:tcPr>
          <w:p>
            <w:pPr>
              <w:pStyle w:val="TableParagraph"/>
              <w:spacing w:before="48"/>
              <w:ind w:right="66"/>
              <w:rPr>
                <w:sz w:val="16"/>
              </w:rPr>
            </w:pPr>
            <w:r>
              <w:rPr>
                <w:w w:val="95"/>
                <w:sz w:val="16"/>
              </w:rPr>
              <w:t>0.51</w:t>
            </w:r>
          </w:p>
        </w:tc>
        <w:tc>
          <w:tcPr>
            <w:tcW w:w="821" w:type="dxa"/>
          </w:tcPr>
          <w:p>
            <w:pPr>
              <w:pStyle w:val="TableParagraph"/>
              <w:spacing w:before="48"/>
              <w:ind w:right="66"/>
              <w:rPr>
                <w:sz w:val="16"/>
              </w:rPr>
            </w:pPr>
            <w:r>
              <w:rPr>
                <w:w w:val="95"/>
                <w:sz w:val="16"/>
              </w:rPr>
              <w:t>0.24</w:t>
            </w:r>
          </w:p>
        </w:tc>
        <w:tc>
          <w:tcPr>
            <w:tcW w:w="831" w:type="dxa"/>
          </w:tcPr>
          <w:p>
            <w:pPr>
              <w:pStyle w:val="TableParagraph"/>
              <w:spacing w:before="48"/>
              <w:ind w:right="66"/>
              <w:rPr>
                <w:sz w:val="16"/>
              </w:rPr>
            </w:pPr>
            <w:r>
              <w:rPr>
                <w:w w:val="95"/>
                <w:sz w:val="16"/>
              </w:rPr>
              <w:t>0.11</w:t>
            </w:r>
          </w:p>
        </w:tc>
        <w:tc>
          <w:tcPr>
            <w:tcW w:w="891" w:type="dxa"/>
          </w:tcPr>
          <w:p>
            <w:pPr>
              <w:pStyle w:val="TableParagraph"/>
              <w:spacing w:before="48"/>
              <w:ind w:right="198"/>
              <w:rPr>
                <w:sz w:val="16"/>
              </w:rPr>
            </w:pPr>
            <w:r>
              <w:rPr>
                <w:w w:val="98"/>
                <w:sz w:val="16"/>
              </w:rPr>
              <w:t>0</w:t>
            </w:r>
          </w:p>
        </w:tc>
      </w:tr>
      <w:tr>
        <w:trPr>
          <w:trHeight w:val="300" w:hRule="exact"/>
        </w:trPr>
        <w:tc>
          <w:tcPr>
            <w:tcW w:w="685" w:type="dxa"/>
          </w:tcPr>
          <w:p>
            <w:pPr>
              <w:pStyle w:val="TableParagraph"/>
              <w:spacing w:before="50"/>
              <w:ind w:right="65"/>
              <w:rPr>
                <w:sz w:val="16"/>
              </w:rPr>
            </w:pPr>
            <w:r>
              <w:rPr>
                <w:sz w:val="16"/>
              </w:rPr>
              <w:t>11</w:t>
            </w:r>
          </w:p>
        </w:tc>
        <w:tc>
          <w:tcPr>
            <w:tcW w:w="716" w:type="dxa"/>
          </w:tcPr>
          <w:p>
            <w:pPr>
              <w:pStyle w:val="TableParagraph"/>
              <w:spacing w:before="50"/>
              <w:ind w:right="69"/>
              <w:rPr>
                <w:sz w:val="16"/>
              </w:rPr>
            </w:pPr>
            <w:r>
              <w:rPr>
                <w:sz w:val="16"/>
              </w:rPr>
              <w:t>35.63</w:t>
            </w:r>
          </w:p>
        </w:tc>
        <w:tc>
          <w:tcPr>
            <w:tcW w:w="718" w:type="dxa"/>
          </w:tcPr>
          <w:p>
            <w:pPr>
              <w:pStyle w:val="TableParagraph"/>
              <w:spacing w:before="50"/>
              <w:ind w:right="66"/>
              <w:rPr>
                <w:sz w:val="16"/>
              </w:rPr>
            </w:pPr>
            <w:r>
              <w:rPr>
                <w:w w:val="95"/>
                <w:sz w:val="16"/>
              </w:rPr>
              <w:t>2.97</w:t>
            </w:r>
          </w:p>
        </w:tc>
        <w:tc>
          <w:tcPr>
            <w:tcW w:w="554" w:type="dxa"/>
          </w:tcPr>
          <w:p>
            <w:pPr>
              <w:pStyle w:val="TableParagraph"/>
              <w:spacing w:before="50"/>
              <w:ind w:right="69"/>
              <w:rPr>
                <w:sz w:val="16"/>
              </w:rPr>
            </w:pPr>
            <w:r>
              <w:rPr>
                <w:w w:val="95"/>
                <w:sz w:val="16"/>
              </w:rPr>
              <w:t>1.57</w:t>
            </w:r>
          </w:p>
        </w:tc>
        <w:tc>
          <w:tcPr>
            <w:tcW w:w="538" w:type="dxa"/>
          </w:tcPr>
          <w:p>
            <w:pPr>
              <w:pStyle w:val="TableParagraph"/>
              <w:spacing w:before="50"/>
              <w:ind w:right="68"/>
              <w:rPr>
                <w:sz w:val="16"/>
              </w:rPr>
            </w:pPr>
            <w:r>
              <w:rPr>
                <w:w w:val="98"/>
                <w:sz w:val="16"/>
              </w:rPr>
              <w:t>0</w:t>
            </w:r>
          </w:p>
        </w:tc>
        <w:tc>
          <w:tcPr>
            <w:tcW w:w="669" w:type="dxa"/>
          </w:tcPr>
          <w:p>
            <w:pPr>
              <w:pStyle w:val="TableParagraph"/>
              <w:spacing w:before="50"/>
              <w:ind w:right="66"/>
              <w:rPr>
                <w:sz w:val="16"/>
              </w:rPr>
            </w:pPr>
            <w:r>
              <w:rPr>
                <w:sz w:val="16"/>
              </w:rPr>
              <w:t>11.61</w:t>
            </w:r>
          </w:p>
        </w:tc>
        <w:tc>
          <w:tcPr>
            <w:tcW w:w="535" w:type="dxa"/>
          </w:tcPr>
          <w:p>
            <w:pPr>
              <w:pStyle w:val="TableParagraph"/>
              <w:spacing w:before="50"/>
              <w:ind w:right="68"/>
              <w:rPr>
                <w:sz w:val="16"/>
              </w:rPr>
            </w:pPr>
            <w:r>
              <w:rPr>
                <w:w w:val="98"/>
                <w:sz w:val="16"/>
              </w:rPr>
              <w:t>0</w:t>
            </w:r>
          </w:p>
        </w:tc>
        <w:tc>
          <w:tcPr>
            <w:tcW w:w="667" w:type="dxa"/>
          </w:tcPr>
          <w:p>
            <w:pPr>
              <w:pStyle w:val="TableParagraph"/>
              <w:spacing w:before="50"/>
              <w:ind w:right="64"/>
              <w:rPr>
                <w:sz w:val="16"/>
              </w:rPr>
            </w:pPr>
            <w:r>
              <w:rPr>
                <w:sz w:val="16"/>
              </w:rPr>
              <w:t>378.34</w:t>
            </w:r>
          </w:p>
        </w:tc>
        <w:tc>
          <w:tcPr>
            <w:tcW w:w="666" w:type="dxa"/>
          </w:tcPr>
          <w:p>
            <w:pPr>
              <w:pStyle w:val="TableParagraph"/>
              <w:spacing w:before="50"/>
              <w:ind w:right="68"/>
              <w:rPr>
                <w:sz w:val="16"/>
              </w:rPr>
            </w:pPr>
            <w:r>
              <w:rPr>
                <w:sz w:val="16"/>
              </w:rPr>
              <w:t>29.32</w:t>
            </w:r>
          </w:p>
        </w:tc>
        <w:tc>
          <w:tcPr>
            <w:tcW w:w="543" w:type="dxa"/>
          </w:tcPr>
          <w:p>
            <w:pPr>
              <w:pStyle w:val="TableParagraph"/>
              <w:spacing w:before="50"/>
              <w:ind w:left="110"/>
              <w:jc w:val="left"/>
              <w:rPr>
                <w:sz w:val="16"/>
              </w:rPr>
            </w:pPr>
            <w:r>
              <w:rPr>
                <w:sz w:val="16"/>
              </w:rPr>
              <w:t>73.01</w:t>
            </w:r>
          </w:p>
        </w:tc>
        <w:tc>
          <w:tcPr>
            <w:tcW w:w="679" w:type="dxa"/>
          </w:tcPr>
          <w:p>
            <w:pPr>
              <w:pStyle w:val="TableParagraph"/>
              <w:spacing w:before="50"/>
              <w:ind w:right="67"/>
              <w:rPr>
                <w:sz w:val="16"/>
              </w:rPr>
            </w:pPr>
            <w:r>
              <w:rPr>
                <w:sz w:val="16"/>
              </w:rPr>
              <w:t>20</w:t>
            </w:r>
          </w:p>
        </w:tc>
        <w:tc>
          <w:tcPr>
            <w:tcW w:w="594" w:type="dxa"/>
          </w:tcPr>
          <w:p>
            <w:pPr>
              <w:pStyle w:val="TableParagraph"/>
              <w:spacing w:before="50"/>
              <w:ind w:right="64"/>
              <w:rPr>
                <w:sz w:val="16"/>
              </w:rPr>
            </w:pPr>
            <w:r>
              <w:rPr>
                <w:w w:val="95"/>
                <w:sz w:val="16"/>
              </w:rPr>
              <w:t>0.18</w:t>
            </w:r>
          </w:p>
        </w:tc>
        <w:tc>
          <w:tcPr>
            <w:tcW w:w="595" w:type="dxa"/>
          </w:tcPr>
          <w:p>
            <w:pPr>
              <w:pStyle w:val="TableParagraph"/>
              <w:spacing w:before="50"/>
              <w:ind w:right="69"/>
              <w:rPr>
                <w:sz w:val="16"/>
              </w:rPr>
            </w:pPr>
            <w:r>
              <w:rPr>
                <w:w w:val="95"/>
                <w:sz w:val="16"/>
              </w:rPr>
              <w:t>0.02</w:t>
            </w:r>
          </w:p>
        </w:tc>
        <w:tc>
          <w:tcPr>
            <w:tcW w:w="545" w:type="dxa"/>
          </w:tcPr>
          <w:p>
            <w:pPr>
              <w:pStyle w:val="TableParagraph"/>
              <w:spacing w:before="50"/>
              <w:ind w:right="66"/>
              <w:rPr>
                <w:sz w:val="16"/>
              </w:rPr>
            </w:pPr>
            <w:r>
              <w:rPr>
                <w:w w:val="95"/>
                <w:sz w:val="16"/>
              </w:rPr>
              <w:t>0.02</w:t>
            </w:r>
          </w:p>
        </w:tc>
        <w:tc>
          <w:tcPr>
            <w:tcW w:w="598" w:type="dxa"/>
          </w:tcPr>
          <w:p>
            <w:pPr>
              <w:pStyle w:val="TableParagraph"/>
              <w:spacing w:before="50"/>
              <w:ind w:right="69"/>
              <w:rPr>
                <w:sz w:val="16"/>
              </w:rPr>
            </w:pPr>
            <w:r>
              <w:rPr>
                <w:w w:val="95"/>
                <w:sz w:val="16"/>
              </w:rPr>
              <w:t>0.11</w:t>
            </w:r>
          </w:p>
        </w:tc>
        <w:tc>
          <w:tcPr>
            <w:tcW w:w="593" w:type="dxa"/>
          </w:tcPr>
          <w:p>
            <w:pPr>
              <w:pStyle w:val="TableParagraph"/>
              <w:spacing w:before="50"/>
              <w:ind w:right="66"/>
              <w:rPr>
                <w:sz w:val="16"/>
              </w:rPr>
            </w:pPr>
            <w:r>
              <w:rPr>
                <w:w w:val="95"/>
                <w:sz w:val="16"/>
              </w:rPr>
              <w:t>0.37</w:t>
            </w:r>
          </w:p>
        </w:tc>
        <w:tc>
          <w:tcPr>
            <w:tcW w:w="830" w:type="dxa"/>
          </w:tcPr>
          <w:p>
            <w:pPr>
              <w:pStyle w:val="TableParagraph"/>
              <w:spacing w:before="50"/>
              <w:ind w:right="71"/>
              <w:rPr>
                <w:sz w:val="16"/>
              </w:rPr>
            </w:pPr>
            <w:r>
              <w:rPr>
                <w:w w:val="95"/>
                <w:sz w:val="16"/>
              </w:rPr>
              <w:t>0.1</w:t>
            </w:r>
          </w:p>
        </w:tc>
        <w:tc>
          <w:tcPr>
            <w:tcW w:w="821" w:type="dxa"/>
          </w:tcPr>
          <w:p>
            <w:pPr>
              <w:pStyle w:val="TableParagraph"/>
              <w:spacing w:before="50"/>
              <w:ind w:right="66"/>
              <w:rPr>
                <w:sz w:val="16"/>
              </w:rPr>
            </w:pPr>
            <w:r>
              <w:rPr>
                <w:w w:val="95"/>
                <w:sz w:val="16"/>
              </w:rPr>
              <w:t>0.01</w:t>
            </w:r>
          </w:p>
        </w:tc>
        <w:tc>
          <w:tcPr>
            <w:tcW w:w="831" w:type="dxa"/>
          </w:tcPr>
          <w:p>
            <w:pPr>
              <w:pStyle w:val="TableParagraph"/>
              <w:spacing w:before="50"/>
              <w:ind w:right="66"/>
              <w:rPr>
                <w:sz w:val="16"/>
              </w:rPr>
            </w:pPr>
            <w:r>
              <w:rPr>
                <w:w w:val="95"/>
                <w:sz w:val="16"/>
              </w:rPr>
              <w:t>0.03</w:t>
            </w:r>
          </w:p>
        </w:tc>
        <w:tc>
          <w:tcPr>
            <w:tcW w:w="891" w:type="dxa"/>
          </w:tcPr>
          <w:p>
            <w:pPr>
              <w:pStyle w:val="TableParagraph"/>
              <w:spacing w:before="50"/>
              <w:ind w:right="198"/>
              <w:rPr>
                <w:sz w:val="16"/>
              </w:rPr>
            </w:pPr>
            <w:r>
              <w:rPr>
                <w:w w:val="98"/>
                <w:sz w:val="16"/>
              </w:rPr>
              <w:t>0</w:t>
            </w:r>
          </w:p>
        </w:tc>
      </w:tr>
      <w:tr>
        <w:trPr>
          <w:trHeight w:val="449" w:hRule="exact"/>
        </w:trPr>
        <w:tc>
          <w:tcPr>
            <w:tcW w:w="685" w:type="dxa"/>
          </w:tcPr>
          <w:p>
            <w:pPr>
              <w:pStyle w:val="TableParagraph"/>
              <w:spacing w:before="47"/>
              <w:ind w:right="65"/>
              <w:rPr>
                <w:sz w:val="16"/>
              </w:rPr>
            </w:pPr>
            <w:r>
              <w:rPr>
                <w:sz w:val="16"/>
              </w:rPr>
              <w:t>12</w:t>
            </w:r>
          </w:p>
        </w:tc>
        <w:tc>
          <w:tcPr>
            <w:tcW w:w="716" w:type="dxa"/>
          </w:tcPr>
          <w:p>
            <w:pPr>
              <w:pStyle w:val="TableParagraph"/>
              <w:spacing w:before="47"/>
              <w:ind w:right="69"/>
              <w:rPr>
                <w:sz w:val="16"/>
              </w:rPr>
            </w:pPr>
            <w:r>
              <w:rPr>
                <w:w w:val="95"/>
                <w:sz w:val="16"/>
              </w:rPr>
              <w:t>1.98</w:t>
            </w:r>
          </w:p>
        </w:tc>
        <w:tc>
          <w:tcPr>
            <w:tcW w:w="718" w:type="dxa"/>
          </w:tcPr>
          <w:p>
            <w:pPr>
              <w:pStyle w:val="TableParagraph"/>
              <w:spacing w:before="47"/>
              <w:ind w:right="72"/>
              <w:rPr>
                <w:sz w:val="16"/>
              </w:rPr>
            </w:pPr>
            <w:r>
              <w:rPr>
                <w:w w:val="98"/>
                <w:sz w:val="16"/>
              </w:rPr>
              <w:t>0</w:t>
            </w:r>
          </w:p>
        </w:tc>
        <w:tc>
          <w:tcPr>
            <w:tcW w:w="554" w:type="dxa"/>
          </w:tcPr>
          <w:p>
            <w:pPr>
              <w:pStyle w:val="TableParagraph"/>
              <w:spacing w:before="47"/>
              <w:ind w:right="69"/>
              <w:rPr>
                <w:sz w:val="16"/>
              </w:rPr>
            </w:pPr>
            <w:r>
              <w:rPr>
                <w:w w:val="95"/>
                <w:sz w:val="16"/>
              </w:rPr>
              <w:t>1.21</w:t>
            </w:r>
          </w:p>
        </w:tc>
        <w:tc>
          <w:tcPr>
            <w:tcW w:w="538" w:type="dxa"/>
          </w:tcPr>
          <w:p>
            <w:pPr>
              <w:pStyle w:val="TableParagraph"/>
              <w:spacing w:before="47"/>
              <w:ind w:right="68"/>
              <w:rPr>
                <w:sz w:val="16"/>
              </w:rPr>
            </w:pPr>
            <w:r>
              <w:rPr>
                <w:w w:val="98"/>
                <w:sz w:val="16"/>
              </w:rPr>
              <w:t>0</w:t>
            </w:r>
          </w:p>
        </w:tc>
        <w:tc>
          <w:tcPr>
            <w:tcW w:w="669" w:type="dxa"/>
          </w:tcPr>
          <w:p>
            <w:pPr>
              <w:pStyle w:val="TableParagraph"/>
              <w:spacing w:before="47"/>
              <w:ind w:right="66"/>
              <w:rPr>
                <w:sz w:val="16"/>
              </w:rPr>
            </w:pPr>
            <w:r>
              <w:rPr>
                <w:w w:val="95"/>
                <w:sz w:val="16"/>
              </w:rPr>
              <w:t>0.73</w:t>
            </w:r>
          </w:p>
        </w:tc>
        <w:tc>
          <w:tcPr>
            <w:tcW w:w="535" w:type="dxa"/>
          </w:tcPr>
          <w:p>
            <w:pPr>
              <w:pStyle w:val="TableParagraph"/>
              <w:spacing w:before="47"/>
              <w:ind w:right="68"/>
              <w:rPr>
                <w:sz w:val="16"/>
              </w:rPr>
            </w:pPr>
            <w:r>
              <w:rPr>
                <w:w w:val="98"/>
                <w:sz w:val="16"/>
              </w:rPr>
              <w:t>0</w:t>
            </w:r>
          </w:p>
        </w:tc>
        <w:tc>
          <w:tcPr>
            <w:tcW w:w="667" w:type="dxa"/>
          </w:tcPr>
          <w:p>
            <w:pPr>
              <w:pStyle w:val="TableParagraph"/>
              <w:spacing w:before="47"/>
              <w:ind w:right="64"/>
              <w:rPr>
                <w:sz w:val="16"/>
              </w:rPr>
            </w:pPr>
            <w:r>
              <w:rPr>
                <w:sz w:val="16"/>
              </w:rPr>
              <w:t>361.36</w:t>
            </w:r>
          </w:p>
        </w:tc>
        <w:tc>
          <w:tcPr>
            <w:tcW w:w="666" w:type="dxa"/>
          </w:tcPr>
          <w:p>
            <w:pPr>
              <w:pStyle w:val="TableParagraph"/>
              <w:spacing w:before="47"/>
              <w:ind w:right="68"/>
              <w:rPr>
                <w:sz w:val="16"/>
              </w:rPr>
            </w:pPr>
            <w:r>
              <w:rPr>
                <w:sz w:val="16"/>
              </w:rPr>
              <w:t>18.22</w:t>
            </w:r>
          </w:p>
        </w:tc>
        <w:tc>
          <w:tcPr>
            <w:tcW w:w="543" w:type="dxa"/>
          </w:tcPr>
          <w:p>
            <w:pPr>
              <w:pStyle w:val="TableParagraph"/>
              <w:spacing w:before="47"/>
              <w:ind w:left="110"/>
              <w:jc w:val="left"/>
              <w:rPr>
                <w:sz w:val="16"/>
              </w:rPr>
            </w:pPr>
            <w:r>
              <w:rPr>
                <w:sz w:val="16"/>
              </w:rPr>
              <w:t>69.64</w:t>
            </w:r>
          </w:p>
        </w:tc>
        <w:tc>
          <w:tcPr>
            <w:tcW w:w="679" w:type="dxa"/>
          </w:tcPr>
          <w:p>
            <w:pPr>
              <w:pStyle w:val="TableParagraph"/>
              <w:spacing w:before="47"/>
              <w:ind w:right="70"/>
              <w:rPr>
                <w:sz w:val="16"/>
              </w:rPr>
            </w:pPr>
            <w:r>
              <w:rPr>
                <w:sz w:val="16"/>
              </w:rPr>
              <w:t>17.97</w:t>
            </w:r>
          </w:p>
        </w:tc>
        <w:tc>
          <w:tcPr>
            <w:tcW w:w="594" w:type="dxa"/>
          </w:tcPr>
          <w:p>
            <w:pPr>
              <w:pStyle w:val="TableParagraph"/>
              <w:spacing w:before="47"/>
              <w:ind w:right="68"/>
              <w:rPr>
                <w:sz w:val="16"/>
              </w:rPr>
            </w:pPr>
            <w:r>
              <w:rPr>
                <w:w w:val="98"/>
                <w:sz w:val="16"/>
              </w:rPr>
              <w:t>0</w:t>
            </w:r>
          </w:p>
        </w:tc>
        <w:tc>
          <w:tcPr>
            <w:tcW w:w="595" w:type="dxa"/>
          </w:tcPr>
          <w:p>
            <w:pPr>
              <w:pStyle w:val="TableParagraph"/>
              <w:spacing w:before="47"/>
              <w:ind w:right="73"/>
              <w:rPr>
                <w:sz w:val="16"/>
              </w:rPr>
            </w:pPr>
            <w:r>
              <w:rPr>
                <w:w w:val="98"/>
                <w:sz w:val="16"/>
              </w:rPr>
              <w:t>0</w:t>
            </w:r>
          </w:p>
        </w:tc>
        <w:tc>
          <w:tcPr>
            <w:tcW w:w="545" w:type="dxa"/>
          </w:tcPr>
          <w:p>
            <w:pPr>
              <w:pStyle w:val="TableParagraph"/>
              <w:spacing w:before="47"/>
              <w:ind w:right="66"/>
              <w:rPr>
                <w:sz w:val="16"/>
              </w:rPr>
            </w:pPr>
            <w:r>
              <w:rPr>
                <w:w w:val="95"/>
                <w:sz w:val="16"/>
              </w:rPr>
              <w:t>0.01</w:t>
            </w:r>
          </w:p>
        </w:tc>
        <w:tc>
          <w:tcPr>
            <w:tcW w:w="598" w:type="dxa"/>
          </w:tcPr>
          <w:p>
            <w:pPr>
              <w:pStyle w:val="TableParagraph"/>
              <w:spacing w:before="47"/>
              <w:ind w:right="69"/>
              <w:rPr>
                <w:sz w:val="16"/>
              </w:rPr>
            </w:pPr>
            <w:r>
              <w:rPr>
                <w:w w:val="95"/>
                <w:sz w:val="16"/>
              </w:rPr>
              <w:t>0.01</w:t>
            </w:r>
          </w:p>
        </w:tc>
        <w:tc>
          <w:tcPr>
            <w:tcW w:w="593" w:type="dxa"/>
          </w:tcPr>
          <w:p>
            <w:pPr>
              <w:pStyle w:val="TableParagraph"/>
              <w:spacing w:before="47"/>
              <w:ind w:right="66"/>
              <w:rPr>
                <w:sz w:val="16"/>
              </w:rPr>
            </w:pPr>
            <w:r>
              <w:rPr>
                <w:w w:val="95"/>
                <w:sz w:val="16"/>
              </w:rPr>
              <w:t>0.22</w:t>
            </w:r>
          </w:p>
        </w:tc>
        <w:tc>
          <w:tcPr>
            <w:tcW w:w="830" w:type="dxa"/>
          </w:tcPr>
          <w:p>
            <w:pPr>
              <w:pStyle w:val="TableParagraph"/>
              <w:spacing w:before="47"/>
              <w:ind w:right="72"/>
              <w:rPr>
                <w:sz w:val="16"/>
              </w:rPr>
            </w:pPr>
            <w:r>
              <w:rPr>
                <w:w w:val="98"/>
                <w:sz w:val="16"/>
              </w:rPr>
              <w:t>0</w:t>
            </w:r>
          </w:p>
        </w:tc>
        <w:tc>
          <w:tcPr>
            <w:tcW w:w="821" w:type="dxa"/>
          </w:tcPr>
          <w:p>
            <w:pPr>
              <w:pStyle w:val="TableParagraph"/>
              <w:spacing w:before="47"/>
              <w:ind w:right="70"/>
              <w:rPr>
                <w:sz w:val="16"/>
              </w:rPr>
            </w:pPr>
            <w:r>
              <w:rPr>
                <w:w w:val="98"/>
                <w:sz w:val="16"/>
              </w:rPr>
              <w:t>0</w:t>
            </w:r>
          </w:p>
        </w:tc>
        <w:tc>
          <w:tcPr>
            <w:tcW w:w="831" w:type="dxa"/>
          </w:tcPr>
          <w:p>
            <w:pPr>
              <w:pStyle w:val="TableParagraph"/>
              <w:spacing w:before="47"/>
              <w:ind w:right="72"/>
              <w:rPr>
                <w:sz w:val="16"/>
              </w:rPr>
            </w:pPr>
            <w:r>
              <w:rPr>
                <w:w w:val="98"/>
                <w:sz w:val="16"/>
              </w:rPr>
              <w:t>0</w:t>
            </w:r>
          </w:p>
        </w:tc>
        <w:tc>
          <w:tcPr>
            <w:tcW w:w="891" w:type="dxa"/>
          </w:tcPr>
          <w:p>
            <w:pPr>
              <w:pStyle w:val="TableParagraph"/>
              <w:spacing w:before="47"/>
              <w:ind w:right="198"/>
              <w:rPr>
                <w:sz w:val="16"/>
              </w:rPr>
            </w:pPr>
            <w:r>
              <w:rPr>
                <w:w w:val="98"/>
                <w:sz w:val="16"/>
              </w:rPr>
              <w:t>0</w:t>
            </w:r>
          </w:p>
        </w:tc>
      </w:tr>
      <w:tr>
        <w:trPr>
          <w:trHeight w:val="451" w:hRule="exact"/>
        </w:trPr>
        <w:tc>
          <w:tcPr>
            <w:tcW w:w="685" w:type="dxa"/>
          </w:tcPr>
          <w:p>
            <w:pPr>
              <w:pStyle w:val="TableParagraph"/>
              <w:spacing w:before="3"/>
              <w:jc w:val="left"/>
              <w:rPr>
                <w:sz w:val="17"/>
              </w:rPr>
            </w:pPr>
          </w:p>
          <w:p>
            <w:pPr>
              <w:pStyle w:val="TableParagraph"/>
              <w:spacing w:before="0"/>
              <w:ind w:right="65"/>
              <w:rPr>
                <w:sz w:val="16"/>
              </w:rPr>
            </w:pPr>
            <w:r>
              <w:rPr>
                <w:sz w:val="16"/>
              </w:rPr>
              <w:t>2002</w:t>
            </w:r>
          </w:p>
        </w:tc>
        <w:tc>
          <w:tcPr>
            <w:tcW w:w="716" w:type="dxa"/>
          </w:tcPr>
          <w:p>
            <w:pPr>
              <w:pStyle w:val="TableParagraph"/>
              <w:spacing w:before="3"/>
              <w:jc w:val="left"/>
              <w:rPr>
                <w:sz w:val="17"/>
              </w:rPr>
            </w:pPr>
          </w:p>
          <w:p>
            <w:pPr>
              <w:pStyle w:val="TableParagraph"/>
              <w:spacing w:before="0"/>
              <w:ind w:right="69"/>
              <w:rPr>
                <w:sz w:val="16"/>
              </w:rPr>
            </w:pPr>
            <w:r>
              <w:rPr>
                <w:sz w:val="16"/>
              </w:rPr>
              <w:t>985.32</w:t>
            </w:r>
          </w:p>
        </w:tc>
        <w:tc>
          <w:tcPr>
            <w:tcW w:w="718" w:type="dxa"/>
          </w:tcPr>
          <w:p>
            <w:pPr>
              <w:pStyle w:val="TableParagraph"/>
              <w:spacing w:before="3"/>
              <w:jc w:val="left"/>
              <w:rPr>
                <w:sz w:val="17"/>
              </w:rPr>
            </w:pPr>
          </w:p>
          <w:p>
            <w:pPr>
              <w:pStyle w:val="TableParagraph"/>
              <w:spacing w:before="0"/>
              <w:ind w:right="68"/>
              <w:rPr>
                <w:sz w:val="16"/>
              </w:rPr>
            </w:pPr>
            <w:r>
              <w:rPr>
                <w:sz w:val="16"/>
              </w:rPr>
              <w:t>197.23</w:t>
            </w:r>
          </w:p>
        </w:tc>
        <w:tc>
          <w:tcPr>
            <w:tcW w:w="554" w:type="dxa"/>
          </w:tcPr>
          <w:p>
            <w:pPr>
              <w:pStyle w:val="TableParagraph"/>
              <w:spacing w:before="3"/>
              <w:jc w:val="left"/>
              <w:rPr>
                <w:sz w:val="17"/>
              </w:rPr>
            </w:pPr>
          </w:p>
          <w:p>
            <w:pPr>
              <w:pStyle w:val="TableParagraph"/>
              <w:spacing w:before="0"/>
              <w:ind w:right="69"/>
              <w:rPr>
                <w:sz w:val="16"/>
              </w:rPr>
            </w:pPr>
            <w:r>
              <w:rPr>
                <w:sz w:val="16"/>
              </w:rPr>
              <w:t>11.79</w:t>
            </w:r>
          </w:p>
        </w:tc>
        <w:tc>
          <w:tcPr>
            <w:tcW w:w="538" w:type="dxa"/>
          </w:tcPr>
          <w:p>
            <w:pPr>
              <w:pStyle w:val="TableParagraph"/>
              <w:spacing w:before="3"/>
              <w:jc w:val="left"/>
              <w:rPr>
                <w:sz w:val="17"/>
              </w:rPr>
            </w:pPr>
          </w:p>
          <w:p>
            <w:pPr>
              <w:pStyle w:val="TableParagraph"/>
              <w:spacing w:before="0"/>
              <w:ind w:right="68"/>
              <w:rPr>
                <w:sz w:val="16"/>
              </w:rPr>
            </w:pPr>
            <w:r>
              <w:rPr>
                <w:w w:val="98"/>
                <w:sz w:val="16"/>
              </w:rPr>
              <w:t>0</w:t>
            </w:r>
          </w:p>
        </w:tc>
        <w:tc>
          <w:tcPr>
            <w:tcW w:w="669" w:type="dxa"/>
          </w:tcPr>
          <w:p>
            <w:pPr>
              <w:pStyle w:val="TableParagraph"/>
              <w:spacing w:before="3"/>
              <w:jc w:val="left"/>
              <w:rPr>
                <w:sz w:val="17"/>
              </w:rPr>
            </w:pPr>
          </w:p>
          <w:p>
            <w:pPr>
              <w:pStyle w:val="TableParagraph"/>
              <w:spacing w:before="0"/>
              <w:ind w:right="68"/>
              <w:rPr>
                <w:sz w:val="16"/>
              </w:rPr>
            </w:pPr>
            <w:r>
              <w:rPr>
                <w:sz w:val="16"/>
              </w:rPr>
              <w:t>168.09</w:t>
            </w:r>
          </w:p>
        </w:tc>
        <w:tc>
          <w:tcPr>
            <w:tcW w:w="535" w:type="dxa"/>
          </w:tcPr>
          <w:p>
            <w:pPr>
              <w:pStyle w:val="TableParagraph"/>
              <w:spacing w:before="3"/>
              <w:jc w:val="left"/>
              <w:rPr>
                <w:sz w:val="17"/>
              </w:rPr>
            </w:pPr>
          </w:p>
          <w:p>
            <w:pPr>
              <w:pStyle w:val="TableParagraph"/>
              <w:spacing w:before="0"/>
              <w:ind w:right="68"/>
              <w:rPr>
                <w:sz w:val="16"/>
              </w:rPr>
            </w:pPr>
            <w:r>
              <w:rPr>
                <w:w w:val="98"/>
                <w:sz w:val="16"/>
              </w:rPr>
              <w:t>0</w:t>
            </w:r>
          </w:p>
        </w:tc>
        <w:tc>
          <w:tcPr>
            <w:tcW w:w="667" w:type="dxa"/>
          </w:tcPr>
          <w:p>
            <w:pPr>
              <w:pStyle w:val="TableParagraph"/>
              <w:spacing w:before="3"/>
              <w:jc w:val="left"/>
              <w:rPr>
                <w:sz w:val="17"/>
              </w:rPr>
            </w:pPr>
          </w:p>
          <w:p>
            <w:pPr>
              <w:pStyle w:val="TableParagraph"/>
              <w:spacing w:before="0"/>
              <w:ind w:right="64"/>
              <w:rPr>
                <w:sz w:val="16"/>
              </w:rPr>
            </w:pPr>
            <w:r>
              <w:rPr>
                <w:sz w:val="16"/>
              </w:rPr>
              <w:t>361.36</w:t>
            </w:r>
          </w:p>
        </w:tc>
        <w:tc>
          <w:tcPr>
            <w:tcW w:w="666" w:type="dxa"/>
          </w:tcPr>
          <w:p>
            <w:pPr>
              <w:pStyle w:val="TableParagraph"/>
              <w:spacing w:before="3"/>
              <w:jc w:val="left"/>
              <w:rPr>
                <w:sz w:val="17"/>
              </w:rPr>
            </w:pPr>
          </w:p>
          <w:p>
            <w:pPr>
              <w:pStyle w:val="TableParagraph"/>
              <w:spacing w:before="0"/>
              <w:ind w:right="65"/>
              <w:rPr>
                <w:sz w:val="16"/>
              </w:rPr>
            </w:pPr>
            <w:r>
              <w:rPr>
                <w:sz w:val="16"/>
              </w:rPr>
              <w:t>583</w:t>
            </w:r>
          </w:p>
        </w:tc>
        <w:tc>
          <w:tcPr>
            <w:tcW w:w="543" w:type="dxa"/>
          </w:tcPr>
          <w:p>
            <w:pPr>
              <w:pStyle w:val="TableParagraph"/>
              <w:spacing w:before="3"/>
              <w:jc w:val="left"/>
              <w:rPr>
                <w:sz w:val="17"/>
              </w:rPr>
            </w:pPr>
          </w:p>
          <w:p>
            <w:pPr>
              <w:pStyle w:val="TableParagraph"/>
              <w:spacing w:before="0"/>
              <w:ind w:left="148"/>
              <w:jc w:val="left"/>
              <w:rPr>
                <w:sz w:val="16"/>
              </w:rPr>
            </w:pPr>
            <w:r>
              <w:rPr>
                <w:sz w:val="16"/>
              </w:rPr>
              <w:t>1169</w:t>
            </w:r>
          </w:p>
        </w:tc>
        <w:tc>
          <w:tcPr>
            <w:tcW w:w="679" w:type="dxa"/>
          </w:tcPr>
          <w:p>
            <w:pPr>
              <w:pStyle w:val="TableParagraph"/>
              <w:spacing w:before="3"/>
              <w:jc w:val="left"/>
              <w:rPr>
                <w:sz w:val="17"/>
              </w:rPr>
            </w:pPr>
          </w:p>
          <w:p>
            <w:pPr>
              <w:pStyle w:val="TableParagraph"/>
              <w:spacing w:before="0"/>
              <w:ind w:right="70"/>
              <w:rPr>
                <w:sz w:val="16"/>
              </w:rPr>
            </w:pPr>
            <w:r>
              <w:rPr>
                <w:sz w:val="16"/>
              </w:rPr>
              <w:t>354.84</w:t>
            </w:r>
          </w:p>
        </w:tc>
        <w:tc>
          <w:tcPr>
            <w:tcW w:w="594" w:type="dxa"/>
          </w:tcPr>
          <w:p>
            <w:pPr>
              <w:pStyle w:val="TableParagraph"/>
              <w:spacing w:before="3"/>
              <w:jc w:val="left"/>
              <w:rPr>
                <w:sz w:val="17"/>
              </w:rPr>
            </w:pPr>
          </w:p>
          <w:p>
            <w:pPr>
              <w:pStyle w:val="TableParagraph"/>
              <w:spacing w:before="0"/>
              <w:ind w:right="68"/>
              <w:rPr>
                <w:sz w:val="16"/>
              </w:rPr>
            </w:pPr>
            <w:r>
              <w:rPr>
                <w:w w:val="95"/>
                <w:sz w:val="16"/>
              </w:rPr>
              <w:t>9.9</w:t>
            </w:r>
          </w:p>
        </w:tc>
        <w:tc>
          <w:tcPr>
            <w:tcW w:w="595" w:type="dxa"/>
          </w:tcPr>
          <w:p>
            <w:pPr>
              <w:pStyle w:val="TableParagraph"/>
              <w:spacing w:before="3"/>
              <w:jc w:val="left"/>
              <w:rPr>
                <w:sz w:val="17"/>
              </w:rPr>
            </w:pPr>
          </w:p>
          <w:p>
            <w:pPr>
              <w:pStyle w:val="TableParagraph"/>
              <w:spacing w:before="0"/>
              <w:ind w:right="73"/>
              <w:rPr>
                <w:sz w:val="16"/>
              </w:rPr>
            </w:pPr>
            <w:r>
              <w:rPr>
                <w:w w:val="95"/>
                <w:sz w:val="16"/>
              </w:rPr>
              <w:t>2.7</w:t>
            </w:r>
          </w:p>
        </w:tc>
        <w:tc>
          <w:tcPr>
            <w:tcW w:w="545" w:type="dxa"/>
          </w:tcPr>
          <w:p>
            <w:pPr>
              <w:pStyle w:val="TableParagraph"/>
              <w:spacing w:before="3"/>
              <w:jc w:val="left"/>
              <w:rPr>
                <w:sz w:val="17"/>
              </w:rPr>
            </w:pPr>
          </w:p>
          <w:p>
            <w:pPr>
              <w:pStyle w:val="TableParagraph"/>
              <w:spacing w:before="0"/>
              <w:ind w:right="66"/>
              <w:rPr>
                <w:sz w:val="16"/>
              </w:rPr>
            </w:pPr>
            <w:r>
              <w:rPr>
                <w:w w:val="95"/>
                <w:sz w:val="16"/>
              </w:rPr>
              <w:t>0.24</w:t>
            </w:r>
          </w:p>
        </w:tc>
        <w:tc>
          <w:tcPr>
            <w:tcW w:w="598" w:type="dxa"/>
          </w:tcPr>
          <w:p>
            <w:pPr>
              <w:pStyle w:val="TableParagraph"/>
              <w:spacing w:before="3"/>
              <w:jc w:val="left"/>
              <w:rPr>
                <w:sz w:val="17"/>
              </w:rPr>
            </w:pPr>
          </w:p>
          <w:p>
            <w:pPr>
              <w:pStyle w:val="TableParagraph"/>
              <w:spacing w:before="0"/>
              <w:ind w:right="69"/>
              <w:rPr>
                <w:sz w:val="16"/>
              </w:rPr>
            </w:pPr>
            <w:r>
              <w:rPr>
                <w:w w:val="95"/>
                <w:sz w:val="16"/>
              </w:rPr>
              <w:t>3.55</w:t>
            </w:r>
          </w:p>
        </w:tc>
        <w:tc>
          <w:tcPr>
            <w:tcW w:w="593" w:type="dxa"/>
          </w:tcPr>
          <w:p>
            <w:pPr>
              <w:pStyle w:val="TableParagraph"/>
              <w:spacing w:before="3"/>
              <w:jc w:val="left"/>
              <w:rPr>
                <w:sz w:val="17"/>
              </w:rPr>
            </w:pPr>
          </w:p>
          <w:p>
            <w:pPr>
              <w:pStyle w:val="TableParagraph"/>
              <w:spacing w:before="0"/>
              <w:ind w:right="67"/>
              <w:rPr>
                <w:sz w:val="16"/>
              </w:rPr>
            </w:pPr>
            <w:r>
              <w:rPr>
                <w:sz w:val="16"/>
              </w:rPr>
              <w:t>124.7</w:t>
            </w:r>
          </w:p>
        </w:tc>
        <w:tc>
          <w:tcPr>
            <w:tcW w:w="830" w:type="dxa"/>
          </w:tcPr>
          <w:p>
            <w:pPr>
              <w:pStyle w:val="TableParagraph"/>
              <w:spacing w:before="3"/>
              <w:jc w:val="left"/>
              <w:rPr>
                <w:sz w:val="17"/>
              </w:rPr>
            </w:pPr>
          </w:p>
          <w:p>
            <w:pPr>
              <w:pStyle w:val="TableParagraph"/>
              <w:spacing w:before="0"/>
              <w:ind w:right="66"/>
              <w:rPr>
                <w:sz w:val="16"/>
              </w:rPr>
            </w:pPr>
            <w:r>
              <w:rPr>
                <w:w w:val="95"/>
                <w:sz w:val="16"/>
              </w:rPr>
              <w:t>4.23</w:t>
            </w:r>
          </w:p>
        </w:tc>
        <w:tc>
          <w:tcPr>
            <w:tcW w:w="821" w:type="dxa"/>
          </w:tcPr>
          <w:p>
            <w:pPr>
              <w:pStyle w:val="TableParagraph"/>
              <w:spacing w:before="3"/>
              <w:jc w:val="left"/>
              <w:rPr>
                <w:sz w:val="17"/>
              </w:rPr>
            </w:pPr>
          </w:p>
          <w:p>
            <w:pPr>
              <w:pStyle w:val="TableParagraph"/>
              <w:spacing w:before="0"/>
              <w:ind w:right="66"/>
              <w:rPr>
                <w:sz w:val="16"/>
              </w:rPr>
            </w:pPr>
            <w:r>
              <w:rPr>
                <w:w w:val="95"/>
                <w:sz w:val="16"/>
              </w:rPr>
              <w:t>1.78</w:t>
            </w:r>
          </w:p>
        </w:tc>
        <w:tc>
          <w:tcPr>
            <w:tcW w:w="831" w:type="dxa"/>
          </w:tcPr>
          <w:p>
            <w:pPr>
              <w:pStyle w:val="TableParagraph"/>
              <w:spacing w:before="3"/>
              <w:jc w:val="left"/>
              <w:rPr>
                <w:sz w:val="17"/>
              </w:rPr>
            </w:pPr>
          </w:p>
          <w:p>
            <w:pPr>
              <w:pStyle w:val="TableParagraph"/>
              <w:spacing w:before="0"/>
              <w:ind w:right="66"/>
              <w:rPr>
                <w:sz w:val="16"/>
              </w:rPr>
            </w:pPr>
            <w:r>
              <w:rPr>
                <w:w w:val="95"/>
                <w:sz w:val="16"/>
              </w:rPr>
              <w:t>0.87</w:t>
            </w:r>
          </w:p>
        </w:tc>
        <w:tc>
          <w:tcPr>
            <w:tcW w:w="891" w:type="dxa"/>
          </w:tcPr>
          <w:p>
            <w:pPr>
              <w:pStyle w:val="TableParagraph"/>
              <w:spacing w:before="3"/>
              <w:jc w:val="left"/>
              <w:rPr>
                <w:sz w:val="17"/>
              </w:rPr>
            </w:pPr>
          </w:p>
          <w:p>
            <w:pPr>
              <w:pStyle w:val="TableParagraph"/>
              <w:spacing w:before="0"/>
              <w:ind w:right="198"/>
              <w:rPr>
                <w:sz w:val="16"/>
              </w:rPr>
            </w:pPr>
            <w:r>
              <w:rPr>
                <w:w w:val="98"/>
                <w:sz w:val="16"/>
              </w:rPr>
              <w:t>0</w:t>
            </w:r>
          </w:p>
        </w:tc>
      </w:tr>
      <w:tr>
        <w:trPr>
          <w:trHeight w:val="451" w:hRule="exact"/>
        </w:trPr>
        <w:tc>
          <w:tcPr>
            <w:tcW w:w="13270" w:type="dxa"/>
            <w:gridSpan w:val="20"/>
          </w:tcPr>
          <w:p>
            <w:pPr>
              <w:pStyle w:val="TableParagraph"/>
              <w:spacing w:before="50"/>
              <w:ind w:left="200"/>
              <w:jc w:val="left"/>
              <w:rPr>
                <w:sz w:val="16"/>
              </w:rPr>
            </w:pPr>
            <w:r>
              <w:rPr>
                <w:sz w:val="16"/>
              </w:rPr>
              <w:t>SWAT Mar 4 2014    VER 2012/Rev 622</w:t>
            </w:r>
          </w:p>
        </w:tc>
      </w:tr>
      <w:tr>
        <w:trPr>
          <w:trHeight w:val="449" w:hRule="exact"/>
        </w:trPr>
        <w:tc>
          <w:tcPr>
            <w:tcW w:w="13270" w:type="dxa"/>
            <w:gridSpan w:val="20"/>
          </w:tcPr>
          <w:p>
            <w:pPr>
              <w:pStyle w:val="TableParagraph"/>
              <w:spacing w:before="3"/>
              <w:jc w:val="left"/>
              <w:rPr>
                <w:sz w:val="17"/>
              </w:rPr>
            </w:pPr>
          </w:p>
          <w:p>
            <w:pPr>
              <w:pStyle w:val="TableParagraph"/>
              <w:spacing w:before="0"/>
              <w:ind w:left="353"/>
              <w:jc w:val="left"/>
              <w:rPr>
                <w:sz w:val="16"/>
              </w:rPr>
            </w:pPr>
            <w:r>
              <w:rPr>
                <w:sz w:val="16"/>
              </w:rPr>
              <w:t>General Input/Output section (file.cio):</w:t>
            </w:r>
          </w:p>
        </w:tc>
      </w:tr>
      <w:tr>
        <w:trPr>
          <w:trHeight w:val="392" w:hRule="exact"/>
        </w:trPr>
        <w:tc>
          <w:tcPr>
            <w:tcW w:w="13270" w:type="dxa"/>
            <w:gridSpan w:val="20"/>
          </w:tcPr>
          <w:p>
            <w:pPr>
              <w:pStyle w:val="TableParagraph"/>
              <w:spacing w:before="47"/>
              <w:ind w:left="353"/>
              <w:jc w:val="left"/>
              <w:rPr>
                <w:sz w:val="16"/>
              </w:rPr>
            </w:pPr>
            <w:r>
              <w:rPr>
                <w:sz w:val="16"/>
              </w:rPr>
              <w:t>10/28/2014 12:00:00 AM ARCGIS-SWAT interface AV</w:t>
            </w:r>
          </w:p>
        </w:tc>
      </w:tr>
      <w:tr>
        <w:trPr>
          <w:trHeight w:val="519" w:hRule="exact"/>
        </w:trPr>
        <w:tc>
          <w:tcPr>
            <w:tcW w:w="13270" w:type="dxa"/>
            <w:gridSpan w:val="20"/>
          </w:tcPr>
          <w:p>
            <w:pPr>
              <w:pStyle w:val="TableParagraph"/>
              <w:spacing w:before="141"/>
              <w:ind w:left="200" w:right="9557"/>
              <w:jc w:val="left"/>
              <w:rPr>
                <w:sz w:val="16"/>
              </w:rPr>
            </w:pPr>
            <w:r>
              <w:rPr>
                <w:sz w:val="16"/>
              </w:rPr>
              <w:t>Annual Summary for Watershed in year 5 of simulation</w:t>
            </w:r>
          </w:p>
        </w:tc>
      </w:tr>
      <w:tr>
        <w:trPr>
          <w:trHeight w:val="367" w:hRule="exact"/>
        </w:trPr>
        <w:tc>
          <w:tcPr>
            <w:tcW w:w="685" w:type="dxa"/>
          </w:tcPr>
          <w:p>
            <w:pPr>
              <w:pStyle w:val="TableParagraph"/>
              <w:spacing w:before="2"/>
              <w:jc w:val="left"/>
              <w:rPr>
                <w:sz w:val="15"/>
              </w:rPr>
            </w:pPr>
          </w:p>
          <w:p>
            <w:pPr>
              <w:pStyle w:val="TableParagraph"/>
              <w:spacing w:before="0"/>
              <w:ind w:right="107"/>
              <w:rPr>
                <w:sz w:val="16"/>
              </w:rPr>
            </w:pPr>
            <w:r>
              <w:rPr>
                <w:sz w:val="16"/>
              </w:rPr>
              <w:t>UNIT</w:t>
            </w:r>
          </w:p>
        </w:tc>
        <w:tc>
          <w:tcPr>
            <w:tcW w:w="716" w:type="dxa"/>
          </w:tcPr>
          <w:p>
            <w:pPr/>
          </w:p>
        </w:tc>
        <w:tc>
          <w:tcPr>
            <w:tcW w:w="718" w:type="dxa"/>
          </w:tcPr>
          <w:p>
            <w:pPr/>
          </w:p>
        </w:tc>
        <w:tc>
          <w:tcPr>
            <w:tcW w:w="554" w:type="dxa"/>
          </w:tcPr>
          <w:p>
            <w:pPr/>
          </w:p>
        </w:tc>
        <w:tc>
          <w:tcPr>
            <w:tcW w:w="538" w:type="dxa"/>
          </w:tcPr>
          <w:p>
            <w:pPr/>
          </w:p>
        </w:tc>
        <w:tc>
          <w:tcPr>
            <w:tcW w:w="669" w:type="dxa"/>
          </w:tcPr>
          <w:p>
            <w:pPr>
              <w:pStyle w:val="TableParagraph"/>
              <w:spacing w:before="2"/>
              <w:jc w:val="left"/>
              <w:rPr>
                <w:sz w:val="15"/>
              </w:rPr>
            </w:pPr>
          </w:p>
          <w:p>
            <w:pPr>
              <w:pStyle w:val="TableParagraph"/>
              <w:spacing w:before="0"/>
              <w:ind w:left="70"/>
              <w:jc w:val="left"/>
              <w:rPr>
                <w:sz w:val="16"/>
              </w:rPr>
            </w:pPr>
            <w:r>
              <w:rPr>
                <w:sz w:val="16"/>
              </w:rPr>
              <w:t>PERCO</w:t>
            </w:r>
          </w:p>
        </w:tc>
        <w:tc>
          <w:tcPr>
            <w:tcW w:w="535" w:type="dxa"/>
          </w:tcPr>
          <w:p>
            <w:pPr>
              <w:pStyle w:val="TableParagraph"/>
              <w:spacing w:before="2"/>
              <w:jc w:val="left"/>
              <w:rPr>
                <w:sz w:val="15"/>
              </w:rPr>
            </w:pPr>
          </w:p>
          <w:p>
            <w:pPr>
              <w:pStyle w:val="TableParagraph"/>
              <w:spacing w:before="0"/>
              <w:ind w:left="68"/>
              <w:jc w:val="left"/>
              <w:rPr>
                <w:sz w:val="16"/>
              </w:rPr>
            </w:pPr>
            <w:r>
              <w:rPr>
                <w:sz w:val="16"/>
              </w:rPr>
              <w:t>TILE</w:t>
            </w:r>
          </w:p>
        </w:tc>
        <w:tc>
          <w:tcPr>
            <w:tcW w:w="667" w:type="dxa"/>
          </w:tcPr>
          <w:p>
            <w:pPr/>
          </w:p>
        </w:tc>
        <w:tc>
          <w:tcPr>
            <w:tcW w:w="666" w:type="dxa"/>
          </w:tcPr>
          <w:p>
            <w:pPr/>
          </w:p>
        </w:tc>
        <w:tc>
          <w:tcPr>
            <w:tcW w:w="543" w:type="dxa"/>
          </w:tcPr>
          <w:p>
            <w:pPr/>
          </w:p>
        </w:tc>
        <w:tc>
          <w:tcPr>
            <w:tcW w:w="679" w:type="dxa"/>
          </w:tcPr>
          <w:p>
            <w:pPr>
              <w:pStyle w:val="TableParagraph"/>
              <w:spacing w:line="237" w:lineRule="auto" w:before="0"/>
              <w:ind w:left="67" w:right="130"/>
              <w:jc w:val="left"/>
              <w:rPr>
                <w:sz w:val="16"/>
              </w:rPr>
            </w:pPr>
            <w:r>
              <w:rPr>
                <w:sz w:val="16"/>
              </w:rPr>
              <w:t>WATE R</w:t>
            </w:r>
          </w:p>
        </w:tc>
        <w:tc>
          <w:tcPr>
            <w:tcW w:w="594" w:type="dxa"/>
          </w:tcPr>
          <w:p>
            <w:pPr>
              <w:pStyle w:val="TableParagraph"/>
              <w:spacing w:before="2"/>
              <w:jc w:val="left"/>
              <w:rPr>
                <w:sz w:val="15"/>
              </w:rPr>
            </w:pPr>
          </w:p>
          <w:p>
            <w:pPr>
              <w:pStyle w:val="TableParagraph"/>
              <w:spacing w:before="0"/>
              <w:ind w:left="69"/>
              <w:jc w:val="left"/>
              <w:rPr>
                <w:sz w:val="16"/>
              </w:rPr>
            </w:pPr>
            <w:r>
              <w:rPr>
                <w:sz w:val="16"/>
              </w:rPr>
              <w:t>SED</w:t>
            </w:r>
          </w:p>
        </w:tc>
        <w:tc>
          <w:tcPr>
            <w:tcW w:w="595" w:type="dxa"/>
          </w:tcPr>
          <w:p>
            <w:pPr>
              <w:pStyle w:val="TableParagraph"/>
              <w:spacing w:before="2"/>
              <w:jc w:val="left"/>
              <w:rPr>
                <w:sz w:val="15"/>
              </w:rPr>
            </w:pPr>
          </w:p>
          <w:p>
            <w:pPr>
              <w:pStyle w:val="TableParagraph"/>
              <w:spacing w:before="0"/>
              <w:ind w:left="66"/>
              <w:jc w:val="left"/>
              <w:rPr>
                <w:sz w:val="16"/>
              </w:rPr>
            </w:pPr>
            <w:r>
              <w:rPr>
                <w:sz w:val="16"/>
              </w:rPr>
              <w:t>NO3</w:t>
            </w:r>
          </w:p>
        </w:tc>
        <w:tc>
          <w:tcPr>
            <w:tcW w:w="545" w:type="dxa"/>
          </w:tcPr>
          <w:p>
            <w:pPr>
              <w:pStyle w:val="TableParagraph"/>
              <w:spacing w:before="2"/>
              <w:jc w:val="left"/>
              <w:rPr>
                <w:sz w:val="15"/>
              </w:rPr>
            </w:pPr>
          </w:p>
          <w:p>
            <w:pPr>
              <w:pStyle w:val="TableParagraph"/>
              <w:spacing w:before="0"/>
              <w:ind w:left="71"/>
              <w:jc w:val="left"/>
              <w:rPr>
                <w:sz w:val="16"/>
              </w:rPr>
            </w:pPr>
            <w:r>
              <w:rPr>
                <w:sz w:val="16"/>
              </w:rPr>
              <w:t>NO3</w:t>
            </w:r>
          </w:p>
        </w:tc>
        <w:tc>
          <w:tcPr>
            <w:tcW w:w="598" w:type="dxa"/>
          </w:tcPr>
          <w:p>
            <w:pPr>
              <w:pStyle w:val="TableParagraph"/>
              <w:spacing w:before="2"/>
              <w:jc w:val="left"/>
              <w:rPr>
                <w:sz w:val="15"/>
              </w:rPr>
            </w:pPr>
          </w:p>
          <w:p>
            <w:pPr>
              <w:pStyle w:val="TableParagraph"/>
              <w:spacing w:before="0"/>
              <w:ind w:left="68"/>
              <w:jc w:val="left"/>
              <w:rPr>
                <w:sz w:val="16"/>
              </w:rPr>
            </w:pPr>
            <w:r>
              <w:rPr>
                <w:sz w:val="16"/>
              </w:rPr>
              <w:t>NO3</w:t>
            </w:r>
          </w:p>
        </w:tc>
        <w:tc>
          <w:tcPr>
            <w:tcW w:w="593" w:type="dxa"/>
          </w:tcPr>
          <w:p>
            <w:pPr>
              <w:pStyle w:val="TableParagraph"/>
              <w:spacing w:before="2"/>
              <w:jc w:val="left"/>
              <w:rPr>
                <w:sz w:val="15"/>
              </w:rPr>
            </w:pPr>
          </w:p>
          <w:p>
            <w:pPr>
              <w:pStyle w:val="TableParagraph"/>
              <w:spacing w:before="0"/>
              <w:ind w:left="71"/>
              <w:jc w:val="left"/>
              <w:rPr>
                <w:sz w:val="16"/>
              </w:rPr>
            </w:pPr>
            <w:r>
              <w:rPr>
                <w:sz w:val="16"/>
              </w:rPr>
              <w:t>NO3</w:t>
            </w:r>
          </w:p>
        </w:tc>
        <w:tc>
          <w:tcPr>
            <w:tcW w:w="830" w:type="dxa"/>
          </w:tcPr>
          <w:p>
            <w:pPr>
              <w:pStyle w:val="TableParagraph"/>
              <w:spacing w:before="2"/>
              <w:jc w:val="left"/>
              <w:rPr>
                <w:sz w:val="15"/>
              </w:rPr>
            </w:pPr>
          </w:p>
          <w:p>
            <w:pPr>
              <w:pStyle w:val="TableParagraph"/>
              <w:spacing w:before="0"/>
              <w:ind w:left="68"/>
              <w:jc w:val="left"/>
              <w:rPr>
                <w:sz w:val="16"/>
              </w:rPr>
            </w:pPr>
            <w:r>
              <w:rPr>
                <w:w w:val="98"/>
                <w:sz w:val="16"/>
              </w:rPr>
              <w:t>N</w:t>
            </w:r>
          </w:p>
        </w:tc>
        <w:tc>
          <w:tcPr>
            <w:tcW w:w="821" w:type="dxa"/>
          </w:tcPr>
          <w:p>
            <w:pPr>
              <w:pStyle w:val="TableParagraph"/>
              <w:spacing w:before="2"/>
              <w:jc w:val="left"/>
              <w:rPr>
                <w:sz w:val="15"/>
              </w:rPr>
            </w:pPr>
          </w:p>
          <w:p>
            <w:pPr>
              <w:pStyle w:val="TableParagraph"/>
              <w:spacing w:before="0"/>
              <w:ind w:left="68"/>
              <w:jc w:val="left"/>
              <w:rPr>
                <w:sz w:val="16"/>
              </w:rPr>
            </w:pPr>
            <w:r>
              <w:rPr>
                <w:w w:val="98"/>
                <w:sz w:val="16"/>
              </w:rPr>
              <w:t>P</w:t>
            </w:r>
          </w:p>
        </w:tc>
        <w:tc>
          <w:tcPr>
            <w:tcW w:w="831" w:type="dxa"/>
          </w:tcPr>
          <w:p>
            <w:pPr>
              <w:pStyle w:val="TableParagraph"/>
              <w:spacing w:before="2"/>
              <w:jc w:val="left"/>
              <w:rPr>
                <w:sz w:val="15"/>
              </w:rPr>
            </w:pPr>
          </w:p>
          <w:p>
            <w:pPr>
              <w:pStyle w:val="TableParagraph"/>
              <w:spacing w:before="0"/>
              <w:ind w:left="68"/>
              <w:jc w:val="left"/>
              <w:rPr>
                <w:sz w:val="16"/>
              </w:rPr>
            </w:pPr>
            <w:r>
              <w:rPr>
                <w:w w:val="98"/>
                <w:sz w:val="16"/>
              </w:rPr>
              <w:t>P</w:t>
            </w:r>
          </w:p>
        </w:tc>
        <w:tc>
          <w:tcPr>
            <w:tcW w:w="891" w:type="dxa"/>
          </w:tcPr>
          <w:p>
            <w:pPr/>
          </w:p>
        </w:tc>
      </w:tr>
      <w:tr>
        <w:trPr>
          <w:trHeight w:val="370" w:hRule="exact"/>
        </w:trPr>
        <w:tc>
          <w:tcPr>
            <w:tcW w:w="685" w:type="dxa"/>
          </w:tcPr>
          <w:p>
            <w:pPr>
              <w:pStyle w:val="TableParagraph"/>
              <w:spacing w:before="4"/>
              <w:jc w:val="left"/>
              <w:rPr>
                <w:sz w:val="15"/>
              </w:rPr>
            </w:pPr>
          </w:p>
          <w:p>
            <w:pPr>
              <w:pStyle w:val="TableParagraph"/>
              <w:spacing w:before="0"/>
              <w:ind w:right="93"/>
              <w:rPr>
                <w:sz w:val="16"/>
              </w:rPr>
            </w:pPr>
            <w:r>
              <w:rPr>
                <w:w w:val="95"/>
                <w:sz w:val="16"/>
              </w:rPr>
              <w:t>TIME</w:t>
            </w:r>
          </w:p>
        </w:tc>
        <w:tc>
          <w:tcPr>
            <w:tcW w:w="716" w:type="dxa"/>
          </w:tcPr>
          <w:p>
            <w:pPr>
              <w:pStyle w:val="TableParagraph"/>
              <w:spacing w:before="4"/>
              <w:jc w:val="left"/>
              <w:rPr>
                <w:sz w:val="15"/>
              </w:rPr>
            </w:pPr>
          </w:p>
          <w:p>
            <w:pPr>
              <w:pStyle w:val="TableParagraph"/>
              <w:spacing w:before="0"/>
              <w:ind w:left="67"/>
              <w:jc w:val="left"/>
              <w:rPr>
                <w:sz w:val="16"/>
              </w:rPr>
            </w:pPr>
            <w:r>
              <w:rPr>
                <w:sz w:val="16"/>
              </w:rPr>
              <w:t>PREC</w:t>
            </w:r>
          </w:p>
        </w:tc>
        <w:tc>
          <w:tcPr>
            <w:tcW w:w="718" w:type="dxa"/>
          </w:tcPr>
          <w:p>
            <w:pPr>
              <w:pStyle w:val="TableParagraph"/>
              <w:spacing w:before="4"/>
              <w:jc w:val="left"/>
              <w:rPr>
                <w:sz w:val="15"/>
              </w:rPr>
            </w:pPr>
          </w:p>
          <w:p>
            <w:pPr>
              <w:pStyle w:val="TableParagraph"/>
              <w:spacing w:before="0"/>
              <w:ind w:left="71"/>
              <w:jc w:val="left"/>
              <w:rPr>
                <w:sz w:val="16"/>
              </w:rPr>
            </w:pPr>
            <w:r>
              <w:rPr>
                <w:sz w:val="16"/>
              </w:rPr>
              <w:t>SURQ</w:t>
            </w:r>
          </w:p>
        </w:tc>
        <w:tc>
          <w:tcPr>
            <w:tcW w:w="554" w:type="dxa"/>
          </w:tcPr>
          <w:p>
            <w:pPr>
              <w:pStyle w:val="TableParagraph"/>
              <w:spacing w:line="174" w:lineRule="exact" w:before="0"/>
              <w:ind w:left="68"/>
              <w:jc w:val="left"/>
              <w:rPr>
                <w:sz w:val="16"/>
              </w:rPr>
            </w:pPr>
            <w:r>
              <w:rPr>
                <w:sz w:val="16"/>
              </w:rPr>
              <w:t>LAT</w:t>
            </w:r>
          </w:p>
          <w:p>
            <w:pPr>
              <w:pStyle w:val="TableParagraph"/>
              <w:spacing w:before="3"/>
              <w:ind w:left="68"/>
              <w:jc w:val="left"/>
              <w:rPr>
                <w:sz w:val="16"/>
              </w:rPr>
            </w:pPr>
            <w:r>
              <w:rPr>
                <w:w w:val="98"/>
                <w:sz w:val="16"/>
              </w:rPr>
              <w:t>Q</w:t>
            </w:r>
          </w:p>
        </w:tc>
        <w:tc>
          <w:tcPr>
            <w:tcW w:w="538" w:type="dxa"/>
          </w:tcPr>
          <w:p>
            <w:pPr>
              <w:pStyle w:val="TableParagraph"/>
              <w:spacing w:before="4"/>
              <w:jc w:val="left"/>
              <w:rPr>
                <w:sz w:val="15"/>
              </w:rPr>
            </w:pPr>
          </w:p>
          <w:p>
            <w:pPr>
              <w:pStyle w:val="TableParagraph"/>
              <w:spacing w:before="0"/>
              <w:ind w:right="87"/>
              <w:rPr>
                <w:sz w:val="16"/>
              </w:rPr>
            </w:pPr>
            <w:r>
              <w:rPr>
                <w:w w:val="95"/>
                <w:sz w:val="16"/>
              </w:rPr>
              <w:t>GWQ</w:t>
            </w:r>
          </w:p>
        </w:tc>
        <w:tc>
          <w:tcPr>
            <w:tcW w:w="669" w:type="dxa"/>
          </w:tcPr>
          <w:p>
            <w:pPr>
              <w:pStyle w:val="TableParagraph"/>
              <w:spacing w:before="4"/>
              <w:jc w:val="left"/>
              <w:rPr>
                <w:sz w:val="15"/>
              </w:rPr>
            </w:pPr>
          </w:p>
          <w:p>
            <w:pPr>
              <w:pStyle w:val="TableParagraph"/>
              <w:spacing w:before="0"/>
              <w:ind w:left="70"/>
              <w:jc w:val="left"/>
              <w:rPr>
                <w:sz w:val="16"/>
              </w:rPr>
            </w:pPr>
            <w:r>
              <w:rPr>
                <w:sz w:val="16"/>
              </w:rPr>
              <w:t>LATE</w:t>
            </w:r>
          </w:p>
        </w:tc>
        <w:tc>
          <w:tcPr>
            <w:tcW w:w="535" w:type="dxa"/>
          </w:tcPr>
          <w:p>
            <w:pPr>
              <w:pStyle w:val="TableParagraph"/>
              <w:spacing w:before="4"/>
              <w:jc w:val="left"/>
              <w:rPr>
                <w:sz w:val="15"/>
              </w:rPr>
            </w:pPr>
          </w:p>
          <w:p>
            <w:pPr>
              <w:pStyle w:val="TableParagraph"/>
              <w:spacing w:before="0"/>
              <w:ind w:left="68"/>
              <w:jc w:val="left"/>
              <w:rPr>
                <w:sz w:val="16"/>
              </w:rPr>
            </w:pPr>
            <w:r>
              <w:rPr>
                <w:w w:val="98"/>
                <w:sz w:val="16"/>
              </w:rPr>
              <w:t>Q</w:t>
            </w:r>
          </w:p>
        </w:tc>
        <w:tc>
          <w:tcPr>
            <w:tcW w:w="667" w:type="dxa"/>
          </w:tcPr>
          <w:p>
            <w:pPr>
              <w:pStyle w:val="TableParagraph"/>
              <w:spacing w:before="4"/>
              <w:jc w:val="left"/>
              <w:rPr>
                <w:sz w:val="15"/>
              </w:rPr>
            </w:pPr>
          </w:p>
          <w:p>
            <w:pPr>
              <w:pStyle w:val="TableParagraph"/>
              <w:spacing w:before="0"/>
              <w:ind w:left="70"/>
              <w:jc w:val="left"/>
              <w:rPr>
                <w:sz w:val="16"/>
              </w:rPr>
            </w:pPr>
            <w:r>
              <w:rPr>
                <w:sz w:val="16"/>
              </w:rPr>
              <w:t>SW</w:t>
            </w:r>
          </w:p>
        </w:tc>
        <w:tc>
          <w:tcPr>
            <w:tcW w:w="666" w:type="dxa"/>
          </w:tcPr>
          <w:p>
            <w:pPr>
              <w:pStyle w:val="TableParagraph"/>
              <w:spacing w:before="4"/>
              <w:jc w:val="left"/>
              <w:rPr>
                <w:sz w:val="15"/>
              </w:rPr>
            </w:pPr>
          </w:p>
          <w:p>
            <w:pPr>
              <w:pStyle w:val="TableParagraph"/>
              <w:spacing w:before="0"/>
              <w:ind w:left="66"/>
              <w:jc w:val="left"/>
              <w:rPr>
                <w:sz w:val="16"/>
              </w:rPr>
            </w:pPr>
            <w:r>
              <w:rPr>
                <w:sz w:val="16"/>
              </w:rPr>
              <w:t>ET</w:t>
            </w:r>
          </w:p>
        </w:tc>
        <w:tc>
          <w:tcPr>
            <w:tcW w:w="543" w:type="dxa"/>
          </w:tcPr>
          <w:p>
            <w:pPr>
              <w:pStyle w:val="TableParagraph"/>
              <w:spacing w:before="4"/>
              <w:jc w:val="left"/>
              <w:rPr>
                <w:sz w:val="15"/>
              </w:rPr>
            </w:pPr>
          </w:p>
          <w:p>
            <w:pPr>
              <w:pStyle w:val="TableParagraph"/>
              <w:spacing w:before="0"/>
              <w:ind w:left="67"/>
              <w:jc w:val="left"/>
              <w:rPr>
                <w:sz w:val="16"/>
              </w:rPr>
            </w:pPr>
            <w:r>
              <w:rPr>
                <w:sz w:val="16"/>
              </w:rPr>
              <w:t>PET</w:t>
            </w:r>
          </w:p>
        </w:tc>
        <w:tc>
          <w:tcPr>
            <w:tcW w:w="679" w:type="dxa"/>
          </w:tcPr>
          <w:p>
            <w:pPr>
              <w:pStyle w:val="TableParagraph"/>
              <w:spacing w:before="4"/>
              <w:jc w:val="left"/>
              <w:rPr>
                <w:sz w:val="15"/>
              </w:rPr>
            </w:pPr>
          </w:p>
          <w:p>
            <w:pPr>
              <w:pStyle w:val="TableParagraph"/>
              <w:spacing w:before="0"/>
              <w:ind w:left="67"/>
              <w:jc w:val="left"/>
              <w:rPr>
                <w:sz w:val="16"/>
              </w:rPr>
            </w:pPr>
            <w:r>
              <w:rPr>
                <w:sz w:val="16"/>
              </w:rPr>
              <w:t>YIELD</w:t>
            </w:r>
          </w:p>
        </w:tc>
        <w:tc>
          <w:tcPr>
            <w:tcW w:w="594" w:type="dxa"/>
          </w:tcPr>
          <w:p>
            <w:pPr>
              <w:pStyle w:val="TableParagraph"/>
              <w:spacing w:line="174" w:lineRule="exact" w:before="0"/>
              <w:ind w:left="69"/>
              <w:jc w:val="left"/>
              <w:rPr>
                <w:sz w:val="16"/>
              </w:rPr>
            </w:pPr>
            <w:r>
              <w:rPr>
                <w:sz w:val="16"/>
              </w:rPr>
              <w:t>YIEL</w:t>
            </w:r>
          </w:p>
          <w:p>
            <w:pPr>
              <w:pStyle w:val="TableParagraph"/>
              <w:spacing w:before="3"/>
              <w:ind w:left="69"/>
              <w:jc w:val="left"/>
              <w:rPr>
                <w:sz w:val="16"/>
              </w:rPr>
            </w:pPr>
            <w:r>
              <w:rPr>
                <w:w w:val="98"/>
                <w:sz w:val="16"/>
              </w:rPr>
              <w:t>D</w:t>
            </w:r>
          </w:p>
        </w:tc>
        <w:tc>
          <w:tcPr>
            <w:tcW w:w="595" w:type="dxa"/>
          </w:tcPr>
          <w:p>
            <w:pPr>
              <w:pStyle w:val="TableParagraph"/>
              <w:spacing w:before="4"/>
              <w:jc w:val="left"/>
              <w:rPr>
                <w:sz w:val="15"/>
              </w:rPr>
            </w:pPr>
          </w:p>
          <w:p>
            <w:pPr>
              <w:pStyle w:val="TableParagraph"/>
              <w:spacing w:before="0"/>
              <w:ind w:left="66"/>
              <w:jc w:val="left"/>
              <w:rPr>
                <w:sz w:val="16"/>
              </w:rPr>
            </w:pPr>
            <w:r>
              <w:rPr>
                <w:sz w:val="16"/>
              </w:rPr>
              <w:t>SURQ</w:t>
            </w:r>
          </w:p>
        </w:tc>
        <w:tc>
          <w:tcPr>
            <w:tcW w:w="545" w:type="dxa"/>
          </w:tcPr>
          <w:p>
            <w:pPr>
              <w:pStyle w:val="TableParagraph"/>
              <w:spacing w:line="174" w:lineRule="exact" w:before="0"/>
              <w:ind w:left="71"/>
              <w:jc w:val="left"/>
              <w:rPr>
                <w:sz w:val="16"/>
              </w:rPr>
            </w:pPr>
            <w:r>
              <w:rPr>
                <w:sz w:val="16"/>
              </w:rPr>
              <w:t>LAT</w:t>
            </w:r>
          </w:p>
          <w:p>
            <w:pPr>
              <w:pStyle w:val="TableParagraph"/>
              <w:spacing w:before="3"/>
              <w:ind w:left="71"/>
              <w:jc w:val="left"/>
              <w:rPr>
                <w:sz w:val="16"/>
              </w:rPr>
            </w:pPr>
            <w:r>
              <w:rPr>
                <w:w w:val="98"/>
                <w:sz w:val="16"/>
              </w:rPr>
              <w:t>Q</w:t>
            </w:r>
          </w:p>
        </w:tc>
        <w:tc>
          <w:tcPr>
            <w:tcW w:w="598" w:type="dxa"/>
          </w:tcPr>
          <w:p>
            <w:pPr>
              <w:pStyle w:val="TableParagraph"/>
              <w:spacing w:before="4"/>
              <w:jc w:val="left"/>
              <w:rPr>
                <w:sz w:val="15"/>
              </w:rPr>
            </w:pPr>
          </w:p>
          <w:p>
            <w:pPr>
              <w:pStyle w:val="TableParagraph"/>
              <w:spacing w:before="0"/>
              <w:ind w:left="68"/>
              <w:jc w:val="left"/>
              <w:rPr>
                <w:sz w:val="16"/>
              </w:rPr>
            </w:pPr>
            <w:r>
              <w:rPr>
                <w:sz w:val="16"/>
              </w:rPr>
              <w:t>PERC</w:t>
            </w:r>
          </w:p>
        </w:tc>
        <w:tc>
          <w:tcPr>
            <w:tcW w:w="593" w:type="dxa"/>
          </w:tcPr>
          <w:p>
            <w:pPr>
              <w:pStyle w:val="TableParagraph"/>
              <w:spacing w:before="4"/>
              <w:jc w:val="left"/>
              <w:rPr>
                <w:sz w:val="15"/>
              </w:rPr>
            </w:pPr>
          </w:p>
          <w:p>
            <w:pPr>
              <w:pStyle w:val="TableParagraph"/>
              <w:spacing w:before="0"/>
              <w:ind w:left="71"/>
              <w:jc w:val="left"/>
              <w:rPr>
                <w:sz w:val="16"/>
              </w:rPr>
            </w:pPr>
            <w:r>
              <w:rPr>
                <w:sz w:val="16"/>
              </w:rPr>
              <w:t>CROP</w:t>
            </w:r>
          </w:p>
        </w:tc>
        <w:tc>
          <w:tcPr>
            <w:tcW w:w="830" w:type="dxa"/>
          </w:tcPr>
          <w:p>
            <w:pPr>
              <w:pStyle w:val="TableParagraph"/>
              <w:spacing w:line="174" w:lineRule="exact" w:before="0"/>
              <w:ind w:left="68" w:right="84"/>
              <w:jc w:val="left"/>
              <w:rPr>
                <w:sz w:val="16"/>
              </w:rPr>
            </w:pPr>
            <w:r>
              <w:rPr>
                <w:sz w:val="16"/>
              </w:rPr>
              <w:t>ORGANI</w:t>
            </w:r>
          </w:p>
          <w:p>
            <w:pPr>
              <w:pStyle w:val="TableParagraph"/>
              <w:spacing w:before="3"/>
              <w:ind w:left="68"/>
              <w:jc w:val="left"/>
              <w:rPr>
                <w:sz w:val="16"/>
              </w:rPr>
            </w:pPr>
            <w:r>
              <w:rPr>
                <w:w w:val="98"/>
                <w:sz w:val="16"/>
              </w:rPr>
              <w:t>C</w:t>
            </w:r>
          </w:p>
        </w:tc>
        <w:tc>
          <w:tcPr>
            <w:tcW w:w="821" w:type="dxa"/>
          </w:tcPr>
          <w:p>
            <w:pPr>
              <w:pStyle w:val="TableParagraph"/>
              <w:spacing w:line="174" w:lineRule="exact" w:before="0"/>
              <w:ind w:left="68" w:right="84"/>
              <w:jc w:val="left"/>
              <w:rPr>
                <w:sz w:val="16"/>
              </w:rPr>
            </w:pPr>
            <w:r>
              <w:rPr>
                <w:sz w:val="16"/>
              </w:rPr>
              <w:t>SOLUBL</w:t>
            </w:r>
          </w:p>
          <w:p>
            <w:pPr>
              <w:pStyle w:val="TableParagraph"/>
              <w:spacing w:before="3"/>
              <w:ind w:left="68"/>
              <w:jc w:val="left"/>
              <w:rPr>
                <w:sz w:val="16"/>
              </w:rPr>
            </w:pPr>
            <w:r>
              <w:rPr>
                <w:w w:val="98"/>
                <w:sz w:val="16"/>
              </w:rPr>
              <w:t>E</w:t>
            </w:r>
          </w:p>
        </w:tc>
        <w:tc>
          <w:tcPr>
            <w:tcW w:w="831" w:type="dxa"/>
          </w:tcPr>
          <w:p>
            <w:pPr>
              <w:pStyle w:val="TableParagraph"/>
              <w:spacing w:line="174" w:lineRule="exact" w:before="0"/>
              <w:ind w:left="68" w:right="84"/>
              <w:jc w:val="left"/>
              <w:rPr>
                <w:sz w:val="16"/>
              </w:rPr>
            </w:pPr>
            <w:r>
              <w:rPr>
                <w:sz w:val="16"/>
              </w:rPr>
              <w:t>ORGANI</w:t>
            </w:r>
          </w:p>
          <w:p>
            <w:pPr>
              <w:pStyle w:val="TableParagraph"/>
              <w:spacing w:before="3"/>
              <w:ind w:left="68"/>
              <w:jc w:val="left"/>
              <w:rPr>
                <w:sz w:val="16"/>
              </w:rPr>
            </w:pPr>
            <w:r>
              <w:rPr>
                <w:w w:val="98"/>
                <w:sz w:val="16"/>
              </w:rPr>
              <w:t>C</w:t>
            </w:r>
          </w:p>
        </w:tc>
        <w:tc>
          <w:tcPr>
            <w:tcW w:w="891" w:type="dxa"/>
          </w:tcPr>
          <w:p>
            <w:pPr>
              <w:pStyle w:val="TableParagraph"/>
              <w:spacing w:line="174" w:lineRule="exact" w:before="0"/>
              <w:ind w:left="68"/>
              <w:jc w:val="left"/>
              <w:rPr>
                <w:sz w:val="16"/>
              </w:rPr>
            </w:pPr>
            <w:r>
              <w:rPr>
                <w:sz w:val="16"/>
              </w:rPr>
              <w:t>TILENO</w:t>
            </w:r>
          </w:p>
          <w:p>
            <w:pPr>
              <w:pStyle w:val="TableParagraph"/>
              <w:spacing w:before="3"/>
              <w:ind w:left="68"/>
              <w:jc w:val="left"/>
              <w:rPr>
                <w:sz w:val="16"/>
              </w:rPr>
            </w:pPr>
            <w:r>
              <w:rPr>
                <w:w w:val="98"/>
                <w:sz w:val="16"/>
              </w:rPr>
              <w:t>3</w:t>
            </w:r>
          </w:p>
        </w:tc>
      </w:tr>
      <w:tr>
        <w:trPr>
          <w:trHeight w:val="425" w:hRule="exact"/>
        </w:trPr>
        <w:tc>
          <w:tcPr>
            <w:tcW w:w="685" w:type="dxa"/>
          </w:tcPr>
          <w:p>
            <w:pPr/>
          </w:p>
        </w:tc>
        <w:tc>
          <w:tcPr>
            <w:tcW w:w="716" w:type="dxa"/>
          </w:tcPr>
          <w:p>
            <w:pPr>
              <w:pStyle w:val="TableParagraph"/>
              <w:spacing w:before="0"/>
              <w:jc w:val="left"/>
              <w:rPr>
                <w:sz w:val="15"/>
              </w:rPr>
            </w:pPr>
          </w:p>
          <w:p>
            <w:pPr>
              <w:pStyle w:val="TableParagraph"/>
              <w:spacing w:before="0"/>
              <w:ind w:left="67"/>
              <w:jc w:val="left"/>
              <w:rPr>
                <w:sz w:val="16"/>
              </w:rPr>
            </w:pPr>
            <w:r>
              <w:rPr>
                <w:sz w:val="16"/>
              </w:rPr>
              <w:t>(mm)</w:t>
            </w:r>
          </w:p>
        </w:tc>
        <w:tc>
          <w:tcPr>
            <w:tcW w:w="718" w:type="dxa"/>
          </w:tcPr>
          <w:p>
            <w:pPr>
              <w:pStyle w:val="TableParagraph"/>
              <w:spacing w:before="0"/>
              <w:jc w:val="left"/>
              <w:rPr>
                <w:sz w:val="15"/>
              </w:rPr>
            </w:pPr>
          </w:p>
          <w:p>
            <w:pPr>
              <w:pStyle w:val="TableParagraph"/>
              <w:spacing w:before="0"/>
              <w:ind w:left="71"/>
              <w:jc w:val="left"/>
              <w:rPr>
                <w:sz w:val="16"/>
              </w:rPr>
            </w:pPr>
            <w:r>
              <w:rPr>
                <w:sz w:val="16"/>
              </w:rPr>
              <w:t>(mm)</w:t>
            </w:r>
          </w:p>
        </w:tc>
        <w:tc>
          <w:tcPr>
            <w:tcW w:w="554" w:type="dxa"/>
          </w:tcPr>
          <w:p>
            <w:pPr>
              <w:pStyle w:val="TableParagraph"/>
              <w:spacing w:before="0"/>
              <w:jc w:val="left"/>
              <w:rPr>
                <w:sz w:val="15"/>
              </w:rPr>
            </w:pPr>
          </w:p>
          <w:p>
            <w:pPr>
              <w:pStyle w:val="TableParagraph"/>
              <w:spacing w:before="0"/>
              <w:ind w:left="68"/>
              <w:jc w:val="left"/>
              <w:rPr>
                <w:sz w:val="16"/>
              </w:rPr>
            </w:pPr>
            <w:r>
              <w:rPr>
                <w:sz w:val="16"/>
              </w:rPr>
              <w:t>(mm)</w:t>
            </w:r>
          </w:p>
        </w:tc>
        <w:tc>
          <w:tcPr>
            <w:tcW w:w="538" w:type="dxa"/>
          </w:tcPr>
          <w:p>
            <w:pPr>
              <w:pStyle w:val="TableParagraph"/>
              <w:spacing w:before="0"/>
              <w:jc w:val="left"/>
              <w:rPr>
                <w:sz w:val="15"/>
              </w:rPr>
            </w:pPr>
          </w:p>
          <w:p>
            <w:pPr>
              <w:pStyle w:val="TableParagraph"/>
              <w:spacing w:before="0"/>
              <w:ind w:right="114"/>
              <w:rPr>
                <w:sz w:val="16"/>
              </w:rPr>
            </w:pPr>
            <w:r>
              <w:rPr>
                <w:w w:val="95"/>
                <w:sz w:val="16"/>
              </w:rPr>
              <w:t>(mm)</w:t>
            </w:r>
          </w:p>
        </w:tc>
        <w:tc>
          <w:tcPr>
            <w:tcW w:w="669" w:type="dxa"/>
          </w:tcPr>
          <w:p>
            <w:pPr>
              <w:pStyle w:val="TableParagraph"/>
              <w:spacing w:before="0"/>
              <w:jc w:val="left"/>
              <w:rPr>
                <w:sz w:val="15"/>
              </w:rPr>
            </w:pPr>
          </w:p>
          <w:p>
            <w:pPr>
              <w:pStyle w:val="TableParagraph"/>
              <w:spacing w:before="0"/>
              <w:ind w:left="70"/>
              <w:jc w:val="left"/>
              <w:rPr>
                <w:sz w:val="16"/>
              </w:rPr>
            </w:pPr>
            <w:r>
              <w:rPr>
                <w:sz w:val="16"/>
              </w:rPr>
              <w:t>(mm)</w:t>
            </w:r>
          </w:p>
        </w:tc>
        <w:tc>
          <w:tcPr>
            <w:tcW w:w="535" w:type="dxa"/>
          </w:tcPr>
          <w:p>
            <w:pPr>
              <w:pStyle w:val="TableParagraph"/>
              <w:spacing w:before="0"/>
              <w:jc w:val="left"/>
              <w:rPr>
                <w:sz w:val="15"/>
              </w:rPr>
            </w:pPr>
          </w:p>
          <w:p>
            <w:pPr>
              <w:pStyle w:val="TableParagraph"/>
              <w:spacing w:before="0"/>
              <w:ind w:left="68"/>
              <w:jc w:val="left"/>
              <w:rPr>
                <w:sz w:val="16"/>
              </w:rPr>
            </w:pPr>
            <w:r>
              <w:rPr>
                <w:sz w:val="16"/>
              </w:rPr>
              <w:t>(mm)</w:t>
            </w:r>
          </w:p>
        </w:tc>
        <w:tc>
          <w:tcPr>
            <w:tcW w:w="667" w:type="dxa"/>
          </w:tcPr>
          <w:p>
            <w:pPr>
              <w:pStyle w:val="TableParagraph"/>
              <w:spacing w:before="0"/>
              <w:jc w:val="left"/>
              <w:rPr>
                <w:sz w:val="15"/>
              </w:rPr>
            </w:pPr>
          </w:p>
          <w:p>
            <w:pPr>
              <w:pStyle w:val="TableParagraph"/>
              <w:spacing w:before="0"/>
              <w:ind w:left="70"/>
              <w:jc w:val="left"/>
              <w:rPr>
                <w:sz w:val="16"/>
              </w:rPr>
            </w:pPr>
            <w:r>
              <w:rPr>
                <w:sz w:val="16"/>
              </w:rPr>
              <w:t>(mm)</w:t>
            </w:r>
          </w:p>
        </w:tc>
        <w:tc>
          <w:tcPr>
            <w:tcW w:w="666" w:type="dxa"/>
          </w:tcPr>
          <w:p>
            <w:pPr>
              <w:pStyle w:val="TableParagraph"/>
              <w:spacing w:before="0"/>
              <w:jc w:val="left"/>
              <w:rPr>
                <w:sz w:val="15"/>
              </w:rPr>
            </w:pPr>
          </w:p>
          <w:p>
            <w:pPr>
              <w:pStyle w:val="TableParagraph"/>
              <w:spacing w:before="0"/>
              <w:ind w:left="66"/>
              <w:jc w:val="left"/>
              <w:rPr>
                <w:sz w:val="16"/>
              </w:rPr>
            </w:pPr>
            <w:r>
              <w:rPr>
                <w:sz w:val="16"/>
              </w:rPr>
              <w:t>(mm)</w:t>
            </w:r>
          </w:p>
        </w:tc>
        <w:tc>
          <w:tcPr>
            <w:tcW w:w="543" w:type="dxa"/>
          </w:tcPr>
          <w:p>
            <w:pPr>
              <w:pStyle w:val="TableParagraph"/>
              <w:spacing w:before="0"/>
              <w:jc w:val="left"/>
              <w:rPr>
                <w:sz w:val="15"/>
              </w:rPr>
            </w:pPr>
          </w:p>
          <w:p>
            <w:pPr>
              <w:pStyle w:val="TableParagraph"/>
              <w:spacing w:before="0"/>
              <w:ind w:left="67"/>
              <w:jc w:val="left"/>
              <w:rPr>
                <w:sz w:val="16"/>
              </w:rPr>
            </w:pPr>
            <w:r>
              <w:rPr>
                <w:sz w:val="16"/>
              </w:rPr>
              <w:t>(mm)</w:t>
            </w:r>
          </w:p>
        </w:tc>
        <w:tc>
          <w:tcPr>
            <w:tcW w:w="679" w:type="dxa"/>
          </w:tcPr>
          <w:p>
            <w:pPr>
              <w:pStyle w:val="TableParagraph"/>
              <w:spacing w:before="0"/>
              <w:jc w:val="left"/>
              <w:rPr>
                <w:sz w:val="15"/>
              </w:rPr>
            </w:pPr>
          </w:p>
          <w:p>
            <w:pPr>
              <w:pStyle w:val="TableParagraph"/>
              <w:spacing w:before="0"/>
              <w:ind w:left="67" w:right="130"/>
              <w:jc w:val="left"/>
              <w:rPr>
                <w:sz w:val="16"/>
              </w:rPr>
            </w:pPr>
            <w:r>
              <w:rPr>
                <w:sz w:val="16"/>
              </w:rPr>
              <w:t>(mm)</w:t>
            </w:r>
          </w:p>
        </w:tc>
        <w:tc>
          <w:tcPr>
            <w:tcW w:w="594" w:type="dxa"/>
          </w:tcPr>
          <w:p>
            <w:pPr>
              <w:pStyle w:val="TableParagraph"/>
              <w:spacing w:before="0"/>
              <w:jc w:val="left"/>
              <w:rPr>
                <w:sz w:val="15"/>
              </w:rPr>
            </w:pPr>
          </w:p>
          <w:p>
            <w:pPr>
              <w:pStyle w:val="TableParagraph"/>
              <w:spacing w:before="0"/>
              <w:ind w:left="69"/>
              <w:jc w:val="left"/>
              <w:rPr>
                <w:sz w:val="16"/>
              </w:rPr>
            </w:pPr>
            <w:r>
              <w:rPr>
                <w:sz w:val="16"/>
              </w:rPr>
              <w:t>(mm)</w:t>
            </w:r>
          </w:p>
        </w:tc>
        <w:tc>
          <w:tcPr>
            <w:tcW w:w="595" w:type="dxa"/>
          </w:tcPr>
          <w:p>
            <w:pPr>
              <w:pStyle w:val="TableParagraph"/>
              <w:spacing w:before="0"/>
              <w:jc w:val="left"/>
              <w:rPr>
                <w:sz w:val="15"/>
              </w:rPr>
            </w:pPr>
          </w:p>
          <w:p>
            <w:pPr>
              <w:pStyle w:val="TableParagraph"/>
              <w:spacing w:before="0"/>
              <w:ind w:left="66"/>
              <w:jc w:val="left"/>
              <w:rPr>
                <w:sz w:val="16"/>
              </w:rPr>
            </w:pPr>
            <w:r>
              <w:rPr>
                <w:sz w:val="16"/>
              </w:rPr>
              <w:t>------</w:t>
            </w:r>
          </w:p>
        </w:tc>
        <w:tc>
          <w:tcPr>
            <w:tcW w:w="545" w:type="dxa"/>
          </w:tcPr>
          <w:p>
            <w:pPr>
              <w:pStyle w:val="TableParagraph"/>
              <w:spacing w:before="0"/>
              <w:jc w:val="left"/>
              <w:rPr>
                <w:sz w:val="15"/>
              </w:rPr>
            </w:pPr>
          </w:p>
          <w:p>
            <w:pPr>
              <w:pStyle w:val="TableParagraph"/>
              <w:spacing w:before="0"/>
              <w:ind w:left="71"/>
              <w:jc w:val="left"/>
              <w:rPr>
                <w:sz w:val="16"/>
              </w:rPr>
            </w:pPr>
            <w:r>
              <w:rPr>
                <w:sz w:val="16"/>
              </w:rPr>
              <w:t>-------</w:t>
            </w:r>
          </w:p>
        </w:tc>
        <w:tc>
          <w:tcPr>
            <w:tcW w:w="598" w:type="dxa"/>
          </w:tcPr>
          <w:p>
            <w:pPr>
              <w:pStyle w:val="TableParagraph"/>
              <w:spacing w:line="173" w:lineRule="exact" w:before="0"/>
              <w:ind w:left="68"/>
              <w:jc w:val="left"/>
              <w:rPr>
                <w:sz w:val="16"/>
              </w:rPr>
            </w:pPr>
            <w:r>
              <w:rPr>
                <w:sz w:val="16"/>
              </w:rPr>
              <w:t>-----</w:t>
            </w:r>
          </w:p>
          <w:p>
            <w:pPr>
              <w:pStyle w:val="TableParagraph"/>
              <w:spacing w:line="183" w:lineRule="exact" w:before="0"/>
              <w:ind w:left="68"/>
              <w:jc w:val="left"/>
              <w:rPr>
                <w:sz w:val="16"/>
              </w:rPr>
            </w:pPr>
            <w:r>
              <w:rPr>
                <w:sz w:val="16"/>
              </w:rPr>
              <w:t>(kg</w:t>
            </w:r>
          </w:p>
        </w:tc>
        <w:tc>
          <w:tcPr>
            <w:tcW w:w="593" w:type="dxa"/>
          </w:tcPr>
          <w:p>
            <w:pPr>
              <w:pStyle w:val="TableParagraph"/>
              <w:spacing w:line="237" w:lineRule="auto" w:before="0"/>
              <w:ind w:left="71" w:right="147"/>
              <w:jc w:val="left"/>
              <w:rPr>
                <w:sz w:val="16"/>
              </w:rPr>
            </w:pPr>
            <w:r>
              <w:rPr>
                <w:w w:val="95"/>
                <w:sz w:val="16"/>
              </w:rPr>
              <w:t>nutrie </w:t>
            </w:r>
            <w:r>
              <w:rPr>
                <w:sz w:val="16"/>
              </w:rPr>
              <w:t>n</w:t>
            </w:r>
          </w:p>
        </w:tc>
        <w:tc>
          <w:tcPr>
            <w:tcW w:w="830" w:type="dxa"/>
          </w:tcPr>
          <w:p>
            <w:pPr>
              <w:pStyle w:val="TableParagraph"/>
              <w:spacing w:line="173" w:lineRule="exact" w:before="0"/>
              <w:ind w:left="68"/>
              <w:jc w:val="left"/>
              <w:rPr>
                <w:sz w:val="16"/>
              </w:rPr>
            </w:pPr>
            <w:r>
              <w:rPr>
                <w:sz w:val="16"/>
              </w:rPr>
              <w:t>Ton/Ha)--</w:t>
            </w:r>
          </w:p>
          <w:p>
            <w:pPr>
              <w:pStyle w:val="TableParagraph"/>
              <w:spacing w:line="183" w:lineRule="exact" w:before="0"/>
              <w:ind w:left="68" w:right="84"/>
              <w:jc w:val="left"/>
              <w:rPr>
                <w:sz w:val="16"/>
              </w:rPr>
            </w:pPr>
            <w:r>
              <w:rPr>
                <w:sz w:val="16"/>
              </w:rPr>
              <w:t>--</w:t>
            </w:r>
          </w:p>
        </w:tc>
        <w:tc>
          <w:tcPr>
            <w:tcW w:w="821" w:type="dxa"/>
          </w:tcPr>
          <w:p>
            <w:pPr>
              <w:pStyle w:val="TableParagraph"/>
              <w:spacing w:before="0"/>
              <w:jc w:val="left"/>
              <w:rPr>
                <w:sz w:val="15"/>
              </w:rPr>
            </w:pPr>
          </w:p>
          <w:p>
            <w:pPr>
              <w:pStyle w:val="TableParagraph"/>
              <w:spacing w:before="0"/>
              <w:ind w:left="68" w:right="84"/>
              <w:jc w:val="left"/>
              <w:rPr>
                <w:sz w:val="16"/>
              </w:rPr>
            </w:pPr>
            <w:r>
              <w:rPr>
                <w:sz w:val="16"/>
              </w:rPr>
              <w:t>--------</w:t>
            </w:r>
          </w:p>
        </w:tc>
        <w:tc>
          <w:tcPr>
            <w:tcW w:w="831" w:type="dxa"/>
          </w:tcPr>
          <w:p>
            <w:pPr>
              <w:pStyle w:val="TableParagraph"/>
              <w:spacing w:before="0"/>
              <w:jc w:val="left"/>
              <w:rPr>
                <w:sz w:val="15"/>
              </w:rPr>
            </w:pPr>
          </w:p>
          <w:p>
            <w:pPr>
              <w:pStyle w:val="TableParagraph"/>
              <w:spacing w:before="0"/>
              <w:ind w:left="68" w:right="84"/>
              <w:jc w:val="left"/>
              <w:rPr>
                <w:sz w:val="16"/>
              </w:rPr>
            </w:pPr>
            <w:r>
              <w:rPr>
                <w:sz w:val="16"/>
              </w:rPr>
              <w:t>--------</w:t>
            </w:r>
          </w:p>
        </w:tc>
        <w:tc>
          <w:tcPr>
            <w:tcW w:w="891" w:type="dxa"/>
          </w:tcPr>
          <w:p>
            <w:pPr>
              <w:pStyle w:val="TableParagraph"/>
              <w:spacing w:before="0"/>
              <w:jc w:val="left"/>
              <w:rPr>
                <w:sz w:val="15"/>
              </w:rPr>
            </w:pPr>
          </w:p>
          <w:p>
            <w:pPr>
              <w:pStyle w:val="TableParagraph"/>
              <w:spacing w:before="0"/>
              <w:ind w:left="68" w:right="214"/>
              <w:jc w:val="left"/>
              <w:rPr>
                <w:sz w:val="16"/>
              </w:rPr>
            </w:pPr>
            <w:r>
              <w:rPr>
                <w:sz w:val="16"/>
              </w:rPr>
              <w:t>(kg/ha)</w:t>
            </w:r>
          </w:p>
        </w:tc>
      </w:tr>
      <w:tr>
        <w:trPr>
          <w:trHeight w:val="300" w:hRule="exact"/>
        </w:trPr>
        <w:tc>
          <w:tcPr>
            <w:tcW w:w="685" w:type="dxa"/>
          </w:tcPr>
          <w:p>
            <w:pPr>
              <w:pStyle w:val="TableParagraph"/>
              <w:spacing w:before="50"/>
              <w:ind w:right="72"/>
              <w:rPr>
                <w:sz w:val="16"/>
              </w:rPr>
            </w:pPr>
            <w:r>
              <w:rPr>
                <w:w w:val="98"/>
                <w:sz w:val="16"/>
              </w:rPr>
              <w:t>1</w:t>
            </w:r>
          </w:p>
        </w:tc>
        <w:tc>
          <w:tcPr>
            <w:tcW w:w="716" w:type="dxa"/>
          </w:tcPr>
          <w:p>
            <w:pPr>
              <w:pStyle w:val="TableParagraph"/>
              <w:spacing w:before="50"/>
              <w:ind w:right="69"/>
              <w:rPr>
                <w:sz w:val="16"/>
              </w:rPr>
            </w:pPr>
            <w:r>
              <w:rPr>
                <w:w w:val="95"/>
                <w:sz w:val="16"/>
              </w:rPr>
              <w:t>4.12</w:t>
            </w:r>
          </w:p>
        </w:tc>
        <w:tc>
          <w:tcPr>
            <w:tcW w:w="718" w:type="dxa"/>
          </w:tcPr>
          <w:p>
            <w:pPr>
              <w:pStyle w:val="TableParagraph"/>
              <w:spacing w:before="50"/>
              <w:ind w:right="66"/>
              <w:rPr>
                <w:sz w:val="16"/>
              </w:rPr>
            </w:pPr>
            <w:r>
              <w:rPr>
                <w:w w:val="95"/>
                <w:sz w:val="16"/>
              </w:rPr>
              <w:t>0.01</w:t>
            </w:r>
          </w:p>
        </w:tc>
        <w:tc>
          <w:tcPr>
            <w:tcW w:w="554" w:type="dxa"/>
          </w:tcPr>
          <w:p>
            <w:pPr>
              <w:pStyle w:val="TableParagraph"/>
              <w:spacing w:before="50"/>
              <w:ind w:right="73"/>
              <w:rPr>
                <w:sz w:val="16"/>
              </w:rPr>
            </w:pPr>
            <w:r>
              <w:rPr>
                <w:w w:val="95"/>
                <w:sz w:val="16"/>
              </w:rPr>
              <w:t>0.9</w:t>
            </w:r>
          </w:p>
        </w:tc>
        <w:tc>
          <w:tcPr>
            <w:tcW w:w="538" w:type="dxa"/>
          </w:tcPr>
          <w:p>
            <w:pPr>
              <w:pStyle w:val="TableParagraph"/>
              <w:spacing w:before="50"/>
              <w:ind w:right="68"/>
              <w:rPr>
                <w:sz w:val="16"/>
              </w:rPr>
            </w:pPr>
            <w:r>
              <w:rPr>
                <w:w w:val="98"/>
                <w:sz w:val="16"/>
              </w:rPr>
              <w:t>0</w:t>
            </w:r>
          </w:p>
        </w:tc>
        <w:tc>
          <w:tcPr>
            <w:tcW w:w="669" w:type="dxa"/>
          </w:tcPr>
          <w:p>
            <w:pPr>
              <w:pStyle w:val="TableParagraph"/>
              <w:spacing w:before="50"/>
              <w:ind w:right="66"/>
              <w:rPr>
                <w:sz w:val="16"/>
              </w:rPr>
            </w:pPr>
            <w:r>
              <w:rPr>
                <w:w w:val="95"/>
                <w:sz w:val="16"/>
              </w:rPr>
              <w:t>0.11</w:t>
            </w:r>
          </w:p>
        </w:tc>
        <w:tc>
          <w:tcPr>
            <w:tcW w:w="535" w:type="dxa"/>
          </w:tcPr>
          <w:p>
            <w:pPr>
              <w:pStyle w:val="TableParagraph"/>
              <w:spacing w:before="50"/>
              <w:ind w:right="68"/>
              <w:rPr>
                <w:sz w:val="16"/>
              </w:rPr>
            </w:pPr>
            <w:r>
              <w:rPr>
                <w:w w:val="98"/>
                <w:sz w:val="16"/>
              </w:rPr>
              <w:t>0</w:t>
            </w:r>
          </w:p>
        </w:tc>
        <w:tc>
          <w:tcPr>
            <w:tcW w:w="667" w:type="dxa"/>
          </w:tcPr>
          <w:p>
            <w:pPr>
              <w:pStyle w:val="TableParagraph"/>
              <w:spacing w:before="50"/>
              <w:ind w:right="64"/>
              <w:rPr>
                <w:sz w:val="16"/>
              </w:rPr>
            </w:pPr>
            <w:r>
              <w:rPr>
                <w:sz w:val="16"/>
              </w:rPr>
              <w:t>355.58</w:t>
            </w:r>
          </w:p>
        </w:tc>
        <w:tc>
          <w:tcPr>
            <w:tcW w:w="666" w:type="dxa"/>
          </w:tcPr>
          <w:p>
            <w:pPr>
              <w:pStyle w:val="TableParagraph"/>
              <w:spacing w:before="50"/>
              <w:ind w:right="68"/>
              <w:rPr>
                <w:sz w:val="16"/>
              </w:rPr>
            </w:pPr>
            <w:r>
              <w:rPr>
                <w:w w:val="95"/>
                <w:sz w:val="16"/>
              </w:rPr>
              <w:t>9.76</w:t>
            </w:r>
          </w:p>
        </w:tc>
        <w:tc>
          <w:tcPr>
            <w:tcW w:w="543" w:type="dxa"/>
          </w:tcPr>
          <w:p>
            <w:pPr>
              <w:pStyle w:val="TableParagraph"/>
              <w:spacing w:before="50"/>
              <w:ind w:left="110"/>
              <w:jc w:val="left"/>
              <w:rPr>
                <w:sz w:val="16"/>
              </w:rPr>
            </w:pPr>
            <w:r>
              <w:rPr>
                <w:sz w:val="16"/>
              </w:rPr>
              <w:t>78.49</w:t>
            </w:r>
          </w:p>
        </w:tc>
        <w:tc>
          <w:tcPr>
            <w:tcW w:w="679" w:type="dxa"/>
          </w:tcPr>
          <w:p>
            <w:pPr>
              <w:pStyle w:val="TableParagraph"/>
              <w:spacing w:before="50"/>
              <w:ind w:right="70"/>
              <w:rPr>
                <w:sz w:val="16"/>
              </w:rPr>
            </w:pPr>
            <w:r>
              <w:rPr>
                <w:w w:val="95"/>
                <w:sz w:val="16"/>
              </w:rPr>
              <w:t>17.3</w:t>
            </w:r>
          </w:p>
        </w:tc>
        <w:tc>
          <w:tcPr>
            <w:tcW w:w="594" w:type="dxa"/>
          </w:tcPr>
          <w:p>
            <w:pPr>
              <w:pStyle w:val="TableParagraph"/>
              <w:spacing w:before="50"/>
              <w:ind w:right="68"/>
              <w:rPr>
                <w:sz w:val="16"/>
              </w:rPr>
            </w:pPr>
            <w:r>
              <w:rPr>
                <w:w w:val="98"/>
                <w:sz w:val="16"/>
              </w:rPr>
              <w:t>0</w:t>
            </w:r>
          </w:p>
        </w:tc>
        <w:tc>
          <w:tcPr>
            <w:tcW w:w="595" w:type="dxa"/>
          </w:tcPr>
          <w:p>
            <w:pPr>
              <w:pStyle w:val="TableParagraph"/>
              <w:spacing w:before="50"/>
              <w:ind w:right="73"/>
              <w:rPr>
                <w:sz w:val="16"/>
              </w:rPr>
            </w:pPr>
            <w:r>
              <w:rPr>
                <w:w w:val="98"/>
                <w:sz w:val="16"/>
              </w:rPr>
              <w:t>0</w:t>
            </w:r>
          </w:p>
        </w:tc>
        <w:tc>
          <w:tcPr>
            <w:tcW w:w="545" w:type="dxa"/>
          </w:tcPr>
          <w:p>
            <w:pPr>
              <w:pStyle w:val="TableParagraph"/>
              <w:spacing w:before="50"/>
              <w:ind w:right="66"/>
              <w:rPr>
                <w:sz w:val="16"/>
              </w:rPr>
            </w:pPr>
            <w:r>
              <w:rPr>
                <w:w w:val="95"/>
                <w:sz w:val="16"/>
              </w:rPr>
              <w:t>0.01</w:t>
            </w:r>
          </w:p>
        </w:tc>
        <w:tc>
          <w:tcPr>
            <w:tcW w:w="598" w:type="dxa"/>
          </w:tcPr>
          <w:p>
            <w:pPr>
              <w:pStyle w:val="TableParagraph"/>
              <w:spacing w:before="50"/>
              <w:ind w:right="73"/>
              <w:rPr>
                <w:sz w:val="16"/>
              </w:rPr>
            </w:pPr>
            <w:r>
              <w:rPr>
                <w:w w:val="98"/>
                <w:sz w:val="16"/>
              </w:rPr>
              <w:t>0</w:t>
            </w:r>
          </w:p>
        </w:tc>
        <w:tc>
          <w:tcPr>
            <w:tcW w:w="593" w:type="dxa"/>
          </w:tcPr>
          <w:p>
            <w:pPr>
              <w:pStyle w:val="TableParagraph"/>
              <w:spacing w:before="50"/>
              <w:ind w:right="72"/>
              <w:rPr>
                <w:sz w:val="16"/>
              </w:rPr>
            </w:pPr>
            <w:r>
              <w:rPr>
                <w:w w:val="98"/>
                <w:sz w:val="16"/>
              </w:rPr>
              <w:t>0</w:t>
            </w:r>
          </w:p>
        </w:tc>
        <w:tc>
          <w:tcPr>
            <w:tcW w:w="830" w:type="dxa"/>
          </w:tcPr>
          <w:p>
            <w:pPr>
              <w:pStyle w:val="TableParagraph"/>
              <w:spacing w:before="50"/>
              <w:ind w:right="72"/>
              <w:rPr>
                <w:sz w:val="16"/>
              </w:rPr>
            </w:pPr>
            <w:r>
              <w:rPr>
                <w:w w:val="98"/>
                <w:sz w:val="16"/>
              </w:rPr>
              <w:t>0</w:t>
            </w:r>
          </w:p>
        </w:tc>
        <w:tc>
          <w:tcPr>
            <w:tcW w:w="821" w:type="dxa"/>
          </w:tcPr>
          <w:p>
            <w:pPr>
              <w:pStyle w:val="TableParagraph"/>
              <w:spacing w:before="50"/>
              <w:ind w:right="70"/>
              <w:rPr>
                <w:sz w:val="16"/>
              </w:rPr>
            </w:pPr>
            <w:r>
              <w:rPr>
                <w:w w:val="98"/>
                <w:sz w:val="16"/>
              </w:rPr>
              <w:t>0</w:t>
            </w:r>
          </w:p>
        </w:tc>
        <w:tc>
          <w:tcPr>
            <w:tcW w:w="831" w:type="dxa"/>
          </w:tcPr>
          <w:p>
            <w:pPr>
              <w:pStyle w:val="TableParagraph"/>
              <w:spacing w:before="50"/>
              <w:ind w:right="72"/>
              <w:rPr>
                <w:sz w:val="16"/>
              </w:rPr>
            </w:pPr>
            <w:r>
              <w:rPr>
                <w:w w:val="98"/>
                <w:sz w:val="16"/>
              </w:rPr>
              <w:t>0</w:t>
            </w:r>
          </w:p>
        </w:tc>
        <w:tc>
          <w:tcPr>
            <w:tcW w:w="891" w:type="dxa"/>
          </w:tcPr>
          <w:p>
            <w:pPr>
              <w:pStyle w:val="TableParagraph"/>
              <w:spacing w:before="50"/>
              <w:ind w:right="198"/>
              <w:rPr>
                <w:sz w:val="16"/>
              </w:rPr>
            </w:pPr>
            <w:r>
              <w:rPr>
                <w:w w:val="98"/>
                <w:sz w:val="16"/>
              </w:rPr>
              <w:t>0</w:t>
            </w:r>
          </w:p>
        </w:tc>
      </w:tr>
      <w:tr>
        <w:trPr>
          <w:trHeight w:val="300" w:hRule="exact"/>
        </w:trPr>
        <w:tc>
          <w:tcPr>
            <w:tcW w:w="685" w:type="dxa"/>
          </w:tcPr>
          <w:p>
            <w:pPr>
              <w:pStyle w:val="TableParagraph"/>
              <w:spacing w:before="47"/>
              <w:ind w:right="72"/>
              <w:rPr>
                <w:sz w:val="16"/>
              </w:rPr>
            </w:pPr>
            <w:r>
              <w:rPr>
                <w:w w:val="98"/>
                <w:sz w:val="16"/>
              </w:rPr>
              <w:t>2</w:t>
            </w:r>
          </w:p>
        </w:tc>
        <w:tc>
          <w:tcPr>
            <w:tcW w:w="716" w:type="dxa"/>
          </w:tcPr>
          <w:p>
            <w:pPr>
              <w:pStyle w:val="TableParagraph"/>
              <w:spacing w:before="47"/>
              <w:ind w:right="69"/>
              <w:rPr>
                <w:sz w:val="16"/>
              </w:rPr>
            </w:pPr>
            <w:r>
              <w:rPr>
                <w:w w:val="95"/>
                <w:sz w:val="16"/>
              </w:rPr>
              <w:t>4.85</w:t>
            </w:r>
          </w:p>
        </w:tc>
        <w:tc>
          <w:tcPr>
            <w:tcW w:w="718" w:type="dxa"/>
          </w:tcPr>
          <w:p>
            <w:pPr>
              <w:pStyle w:val="TableParagraph"/>
              <w:spacing w:before="47"/>
              <w:ind w:right="66"/>
              <w:rPr>
                <w:sz w:val="16"/>
              </w:rPr>
            </w:pPr>
            <w:r>
              <w:rPr>
                <w:w w:val="95"/>
                <w:sz w:val="16"/>
              </w:rPr>
              <w:t>0.04</w:t>
            </w:r>
          </w:p>
        </w:tc>
        <w:tc>
          <w:tcPr>
            <w:tcW w:w="554" w:type="dxa"/>
          </w:tcPr>
          <w:p>
            <w:pPr>
              <w:pStyle w:val="TableParagraph"/>
              <w:spacing w:before="47"/>
              <w:ind w:right="69"/>
              <w:rPr>
                <w:sz w:val="16"/>
              </w:rPr>
            </w:pPr>
            <w:r>
              <w:rPr>
                <w:w w:val="95"/>
                <w:sz w:val="16"/>
              </w:rPr>
              <w:t>0.64</w:t>
            </w:r>
          </w:p>
        </w:tc>
        <w:tc>
          <w:tcPr>
            <w:tcW w:w="538" w:type="dxa"/>
          </w:tcPr>
          <w:p>
            <w:pPr>
              <w:pStyle w:val="TableParagraph"/>
              <w:spacing w:before="47"/>
              <w:ind w:right="68"/>
              <w:rPr>
                <w:sz w:val="16"/>
              </w:rPr>
            </w:pPr>
            <w:r>
              <w:rPr>
                <w:w w:val="98"/>
                <w:sz w:val="16"/>
              </w:rPr>
              <w:t>0</w:t>
            </w:r>
          </w:p>
        </w:tc>
        <w:tc>
          <w:tcPr>
            <w:tcW w:w="669" w:type="dxa"/>
          </w:tcPr>
          <w:p>
            <w:pPr>
              <w:pStyle w:val="TableParagraph"/>
              <w:spacing w:before="47"/>
              <w:ind w:right="66"/>
              <w:rPr>
                <w:sz w:val="16"/>
              </w:rPr>
            </w:pPr>
            <w:r>
              <w:rPr>
                <w:w w:val="95"/>
                <w:sz w:val="16"/>
              </w:rPr>
              <w:t>0.04</w:t>
            </w:r>
          </w:p>
        </w:tc>
        <w:tc>
          <w:tcPr>
            <w:tcW w:w="535" w:type="dxa"/>
          </w:tcPr>
          <w:p>
            <w:pPr>
              <w:pStyle w:val="TableParagraph"/>
              <w:spacing w:before="47"/>
              <w:ind w:right="68"/>
              <w:rPr>
                <w:sz w:val="16"/>
              </w:rPr>
            </w:pPr>
            <w:r>
              <w:rPr>
                <w:w w:val="98"/>
                <w:sz w:val="16"/>
              </w:rPr>
              <w:t>0</w:t>
            </w:r>
          </w:p>
        </w:tc>
        <w:tc>
          <w:tcPr>
            <w:tcW w:w="667" w:type="dxa"/>
          </w:tcPr>
          <w:p>
            <w:pPr>
              <w:pStyle w:val="TableParagraph"/>
              <w:spacing w:before="47"/>
              <w:ind w:right="64"/>
              <w:rPr>
                <w:sz w:val="16"/>
              </w:rPr>
            </w:pPr>
            <w:r>
              <w:rPr>
                <w:sz w:val="16"/>
              </w:rPr>
              <w:t>349.33</w:t>
            </w:r>
          </w:p>
        </w:tc>
        <w:tc>
          <w:tcPr>
            <w:tcW w:w="666" w:type="dxa"/>
          </w:tcPr>
          <w:p>
            <w:pPr>
              <w:pStyle w:val="TableParagraph"/>
              <w:spacing w:before="47"/>
              <w:ind w:right="68"/>
              <w:rPr>
                <w:sz w:val="16"/>
              </w:rPr>
            </w:pPr>
            <w:r>
              <w:rPr>
                <w:sz w:val="16"/>
              </w:rPr>
              <w:t>10.98</w:t>
            </w:r>
          </w:p>
        </w:tc>
        <w:tc>
          <w:tcPr>
            <w:tcW w:w="543" w:type="dxa"/>
          </w:tcPr>
          <w:p>
            <w:pPr>
              <w:pStyle w:val="TableParagraph"/>
              <w:spacing w:before="47"/>
              <w:ind w:left="110"/>
              <w:jc w:val="left"/>
              <w:rPr>
                <w:sz w:val="16"/>
              </w:rPr>
            </w:pPr>
            <w:r>
              <w:rPr>
                <w:sz w:val="16"/>
              </w:rPr>
              <w:t>92.56</w:t>
            </w:r>
          </w:p>
        </w:tc>
        <w:tc>
          <w:tcPr>
            <w:tcW w:w="679" w:type="dxa"/>
          </w:tcPr>
          <w:p>
            <w:pPr>
              <w:pStyle w:val="TableParagraph"/>
              <w:spacing w:before="47"/>
              <w:ind w:right="70"/>
              <w:rPr>
                <w:sz w:val="16"/>
              </w:rPr>
            </w:pPr>
            <w:r>
              <w:rPr>
                <w:sz w:val="16"/>
              </w:rPr>
              <w:t>14.56</w:t>
            </w:r>
          </w:p>
        </w:tc>
        <w:tc>
          <w:tcPr>
            <w:tcW w:w="594" w:type="dxa"/>
          </w:tcPr>
          <w:p>
            <w:pPr>
              <w:pStyle w:val="TableParagraph"/>
              <w:spacing w:before="47"/>
              <w:ind w:right="68"/>
              <w:rPr>
                <w:sz w:val="16"/>
              </w:rPr>
            </w:pPr>
            <w:r>
              <w:rPr>
                <w:w w:val="98"/>
                <w:sz w:val="16"/>
              </w:rPr>
              <w:t>0</w:t>
            </w:r>
          </w:p>
        </w:tc>
        <w:tc>
          <w:tcPr>
            <w:tcW w:w="595" w:type="dxa"/>
          </w:tcPr>
          <w:p>
            <w:pPr>
              <w:pStyle w:val="TableParagraph"/>
              <w:spacing w:before="47"/>
              <w:ind w:right="73"/>
              <w:rPr>
                <w:sz w:val="16"/>
              </w:rPr>
            </w:pPr>
            <w:r>
              <w:rPr>
                <w:w w:val="98"/>
                <w:sz w:val="16"/>
              </w:rPr>
              <w:t>0</w:t>
            </w:r>
          </w:p>
        </w:tc>
        <w:tc>
          <w:tcPr>
            <w:tcW w:w="545" w:type="dxa"/>
          </w:tcPr>
          <w:p>
            <w:pPr>
              <w:pStyle w:val="TableParagraph"/>
              <w:spacing w:before="47"/>
              <w:ind w:right="66"/>
              <w:rPr>
                <w:sz w:val="16"/>
              </w:rPr>
            </w:pPr>
            <w:r>
              <w:rPr>
                <w:w w:val="95"/>
                <w:sz w:val="16"/>
              </w:rPr>
              <w:t>0.01</w:t>
            </w:r>
          </w:p>
        </w:tc>
        <w:tc>
          <w:tcPr>
            <w:tcW w:w="598" w:type="dxa"/>
          </w:tcPr>
          <w:p>
            <w:pPr>
              <w:pStyle w:val="TableParagraph"/>
              <w:spacing w:before="47"/>
              <w:ind w:right="73"/>
              <w:rPr>
                <w:sz w:val="16"/>
              </w:rPr>
            </w:pPr>
            <w:r>
              <w:rPr>
                <w:w w:val="98"/>
                <w:sz w:val="16"/>
              </w:rPr>
              <w:t>0</w:t>
            </w:r>
          </w:p>
        </w:tc>
        <w:tc>
          <w:tcPr>
            <w:tcW w:w="593" w:type="dxa"/>
          </w:tcPr>
          <w:p>
            <w:pPr>
              <w:pStyle w:val="TableParagraph"/>
              <w:spacing w:before="47"/>
              <w:ind w:right="72"/>
              <w:rPr>
                <w:sz w:val="16"/>
              </w:rPr>
            </w:pPr>
            <w:r>
              <w:rPr>
                <w:w w:val="98"/>
                <w:sz w:val="16"/>
              </w:rPr>
              <w:t>0</w:t>
            </w:r>
          </w:p>
        </w:tc>
        <w:tc>
          <w:tcPr>
            <w:tcW w:w="830" w:type="dxa"/>
          </w:tcPr>
          <w:p>
            <w:pPr>
              <w:pStyle w:val="TableParagraph"/>
              <w:spacing w:before="47"/>
              <w:ind w:right="72"/>
              <w:rPr>
                <w:sz w:val="16"/>
              </w:rPr>
            </w:pPr>
            <w:r>
              <w:rPr>
                <w:w w:val="98"/>
                <w:sz w:val="16"/>
              </w:rPr>
              <w:t>0</w:t>
            </w:r>
          </w:p>
        </w:tc>
        <w:tc>
          <w:tcPr>
            <w:tcW w:w="821" w:type="dxa"/>
          </w:tcPr>
          <w:p>
            <w:pPr>
              <w:pStyle w:val="TableParagraph"/>
              <w:spacing w:before="47"/>
              <w:ind w:right="70"/>
              <w:rPr>
                <w:sz w:val="16"/>
              </w:rPr>
            </w:pPr>
            <w:r>
              <w:rPr>
                <w:w w:val="98"/>
                <w:sz w:val="16"/>
              </w:rPr>
              <w:t>0</w:t>
            </w:r>
          </w:p>
        </w:tc>
        <w:tc>
          <w:tcPr>
            <w:tcW w:w="831" w:type="dxa"/>
          </w:tcPr>
          <w:p>
            <w:pPr>
              <w:pStyle w:val="TableParagraph"/>
              <w:spacing w:before="47"/>
              <w:ind w:right="72"/>
              <w:rPr>
                <w:sz w:val="16"/>
              </w:rPr>
            </w:pPr>
            <w:r>
              <w:rPr>
                <w:w w:val="98"/>
                <w:sz w:val="16"/>
              </w:rPr>
              <w:t>0</w:t>
            </w:r>
          </w:p>
        </w:tc>
        <w:tc>
          <w:tcPr>
            <w:tcW w:w="891" w:type="dxa"/>
          </w:tcPr>
          <w:p>
            <w:pPr>
              <w:pStyle w:val="TableParagraph"/>
              <w:spacing w:before="47"/>
              <w:ind w:right="198"/>
              <w:rPr>
                <w:sz w:val="16"/>
              </w:rPr>
            </w:pPr>
            <w:r>
              <w:rPr>
                <w:w w:val="98"/>
                <w:sz w:val="16"/>
              </w:rPr>
              <w:t>0</w:t>
            </w:r>
          </w:p>
        </w:tc>
      </w:tr>
      <w:tr>
        <w:trPr>
          <w:trHeight w:val="300" w:hRule="exact"/>
        </w:trPr>
        <w:tc>
          <w:tcPr>
            <w:tcW w:w="685" w:type="dxa"/>
          </w:tcPr>
          <w:p>
            <w:pPr>
              <w:pStyle w:val="TableParagraph"/>
              <w:spacing w:before="50"/>
              <w:ind w:right="72"/>
              <w:rPr>
                <w:sz w:val="16"/>
              </w:rPr>
            </w:pPr>
            <w:r>
              <w:rPr>
                <w:w w:val="98"/>
                <w:sz w:val="16"/>
              </w:rPr>
              <w:t>3</w:t>
            </w:r>
          </w:p>
        </w:tc>
        <w:tc>
          <w:tcPr>
            <w:tcW w:w="716" w:type="dxa"/>
          </w:tcPr>
          <w:p>
            <w:pPr>
              <w:pStyle w:val="TableParagraph"/>
              <w:spacing w:before="50"/>
              <w:ind w:right="69"/>
              <w:rPr>
                <w:sz w:val="16"/>
              </w:rPr>
            </w:pPr>
            <w:r>
              <w:rPr>
                <w:w w:val="95"/>
                <w:sz w:val="16"/>
              </w:rPr>
              <w:t>3.98</w:t>
            </w:r>
          </w:p>
        </w:tc>
        <w:tc>
          <w:tcPr>
            <w:tcW w:w="718" w:type="dxa"/>
          </w:tcPr>
          <w:p>
            <w:pPr>
              <w:pStyle w:val="TableParagraph"/>
              <w:spacing w:before="50"/>
              <w:ind w:right="66"/>
              <w:rPr>
                <w:sz w:val="16"/>
              </w:rPr>
            </w:pPr>
            <w:r>
              <w:rPr>
                <w:w w:val="95"/>
                <w:sz w:val="16"/>
              </w:rPr>
              <w:t>0.02</w:t>
            </w:r>
          </w:p>
        </w:tc>
        <w:tc>
          <w:tcPr>
            <w:tcW w:w="554" w:type="dxa"/>
          </w:tcPr>
          <w:p>
            <w:pPr>
              <w:pStyle w:val="TableParagraph"/>
              <w:spacing w:before="50"/>
              <w:ind w:right="69"/>
              <w:rPr>
                <w:sz w:val="16"/>
              </w:rPr>
            </w:pPr>
            <w:r>
              <w:rPr>
                <w:w w:val="95"/>
                <w:sz w:val="16"/>
              </w:rPr>
              <w:t>0.62</w:t>
            </w:r>
          </w:p>
        </w:tc>
        <w:tc>
          <w:tcPr>
            <w:tcW w:w="538" w:type="dxa"/>
          </w:tcPr>
          <w:p>
            <w:pPr>
              <w:pStyle w:val="TableParagraph"/>
              <w:spacing w:before="50"/>
              <w:ind w:right="68"/>
              <w:rPr>
                <w:sz w:val="16"/>
              </w:rPr>
            </w:pPr>
            <w:r>
              <w:rPr>
                <w:w w:val="98"/>
                <w:sz w:val="16"/>
              </w:rPr>
              <w:t>0</w:t>
            </w:r>
          </w:p>
        </w:tc>
        <w:tc>
          <w:tcPr>
            <w:tcW w:w="669" w:type="dxa"/>
          </w:tcPr>
          <w:p>
            <w:pPr>
              <w:pStyle w:val="TableParagraph"/>
              <w:spacing w:before="50"/>
              <w:ind w:right="66"/>
              <w:rPr>
                <w:sz w:val="16"/>
              </w:rPr>
            </w:pPr>
            <w:r>
              <w:rPr>
                <w:w w:val="95"/>
                <w:sz w:val="16"/>
              </w:rPr>
              <w:t>13.1</w:t>
            </w:r>
          </w:p>
        </w:tc>
        <w:tc>
          <w:tcPr>
            <w:tcW w:w="535" w:type="dxa"/>
          </w:tcPr>
          <w:p>
            <w:pPr>
              <w:pStyle w:val="TableParagraph"/>
              <w:spacing w:before="50"/>
              <w:ind w:right="68"/>
              <w:rPr>
                <w:sz w:val="16"/>
              </w:rPr>
            </w:pPr>
            <w:r>
              <w:rPr>
                <w:w w:val="98"/>
                <w:sz w:val="16"/>
              </w:rPr>
              <w:t>0</w:t>
            </w:r>
          </w:p>
        </w:tc>
        <w:tc>
          <w:tcPr>
            <w:tcW w:w="667" w:type="dxa"/>
          </w:tcPr>
          <w:p>
            <w:pPr>
              <w:pStyle w:val="TableParagraph"/>
              <w:spacing w:before="50"/>
              <w:ind w:right="64"/>
              <w:rPr>
                <w:sz w:val="16"/>
              </w:rPr>
            </w:pPr>
            <w:r>
              <w:rPr>
                <w:sz w:val="16"/>
              </w:rPr>
              <w:t>338.75</w:t>
            </w:r>
          </w:p>
        </w:tc>
        <w:tc>
          <w:tcPr>
            <w:tcW w:w="666" w:type="dxa"/>
          </w:tcPr>
          <w:p>
            <w:pPr>
              <w:pStyle w:val="TableParagraph"/>
              <w:spacing w:before="50"/>
              <w:ind w:right="68"/>
              <w:rPr>
                <w:sz w:val="16"/>
              </w:rPr>
            </w:pPr>
            <w:r>
              <w:rPr>
                <w:sz w:val="16"/>
              </w:rPr>
              <w:t>20.44</w:t>
            </w:r>
          </w:p>
        </w:tc>
        <w:tc>
          <w:tcPr>
            <w:tcW w:w="543" w:type="dxa"/>
          </w:tcPr>
          <w:p>
            <w:pPr>
              <w:pStyle w:val="TableParagraph"/>
              <w:spacing w:before="50"/>
              <w:ind w:right="65"/>
              <w:rPr>
                <w:sz w:val="16"/>
              </w:rPr>
            </w:pPr>
            <w:r>
              <w:rPr>
                <w:sz w:val="16"/>
              </w:rPr>
              <w:t>109</w:t>
            </w:r>
          </w:p>
        </w:tc>
        <w:tc>
          <w:tcPr>
            <w:tcW w:w="679" w:type="dxa"/>
          </w:tcPr>
          <w:p>
            <w:pPr>
              <w:pStyle w:val="TableParagraph"/>
              <w:spacing w:before="50"/>
              <w:ind w:right="70"/>
              <w:rPr>
                <w:sz w:val="16"/>
              </w:rPr>
            </w:pPr>
            <w:r>
              <w:rPr>
                <w:sz w:val="16"/>
              </w:rPr>
              <w:t>14.91</w:t>
            </w:r>
          </w:p>
        </w:tc>
        <w:tc>
          <w:tcPr>
            <w:tcW w:w="594" w:type="dxa"/>
          </w:tcPr>
          <w:p>
            <w:pPr>
              <w:pStyle w:val="TableParagraph"/>
              <w:spacing w:before="50"/>
              <w:ind w:right="68"/>
              <w:rPr>
                <w:sz w:val="16"/>
              </w:rPr>
            </w:pPr>
            <w:r>
              <w:rPr>
                <w:w w:val="98"/>
                <w:sz w:val="16"/>
              </w:rPr>
              <w:t>0</w:t>
            </w:r>
          </w:p>
        </w:tc>
        <w:tc>
          <w:tcPr>
            <w:tcW w:w="595" w:type="dxa"/>
          </w:tcPr>
          <w:p>
            <w:pPr>
              <w:pStyle w:val="TableParagraph"/>
              <w:spacing w:before="50"/>
              <w:ind w:right="73"/>
              <w:rPr>
                <w:sz w:val="16"/>
              </w:rPr>
            </w:pPr>
            <w:r>
              <w:rPr>
                <w:w w:val="98"/>
                <w:sz w:val="16"/>
              </w:rPr>
              <w:t>0</w:t>
            </w:r>
          </w:p>
        </w:tc>
        <w:tc>
          <w:tcPr>
            <w:tcW w:w="545" w:type="dxa"/>
          </w:tcPr>
          <w:p>
            <w:pPr>
              <w:pStyle w:val="TableParagraph"/>
              <w:spacing w:before="50"/>
              <w:ind w:right="66"/>
              <w:rPr>
                <w:sz w:val="16"/>
              </w:rPr>
            </w:pPr>
            <w:r>
              <w:rPr>
                <w:w w:val="95"/>
                <w:sz w:val="16"/>
              </w:rPr>
              <w:t>0.01</w:t>
            </w:r>
          </w:p>
        </w:tc>
        <w:tc>
          <w:tcPr>
            <w:tcW w:w="598" w:type="dxa"/>
          </w:tcPr>
          <w:p>
            <w:pPr>
              <w:pStyle w:val="TableParagraph"/>
              <w:spacing w:before="50"/>
              <w:ind w:right="69"/>
              <w:rPr>
                <w:sz w:val="16"/>
              </w:rPr>
            </w:pPr>
            <w:r>
              <w:rPr>
                <w:w w:val="95"/>
                <w:sz w:val="16"/>
              </w:rPr>
              <w:t>0.93</w:t>
            </w:r>
          </w:p>
        </w:tc>
        <w:tc>
          <w:tcPr>
            <w:tcW w:w="593" w:type="dxa"/>
          </w:tcPr>
          <w:p>
            <w:pPr>
              <w:pStyle w:val="TableParagraph"/>
              <w:spacing w:before="50"/>
              <w:ind w:right="66"/>
              <w:rPr>
                <w:sz w:val="16"/>
              </w:rPr>
            </w:pPr>
            <w:r>
              <w:rPr>
                <w:w w:val="95"/>
                <w:sz w:val="16"/>
              </w:rPr>
              <w:t>6.57</w:t>
            </w:r>
          </w:p>
        </w:tc>
        <w:tc>
          <w:tcPr>
            <w:tcW w:w="830" w:type="dxa"/>
          </w:tcPr>
          <w:p>
            <w:pPr>
              <w:pStyle w:val="TableParagraph"/>
              <w:spacing w:before="50"/>
              <w:ind w:right="72"/>
              <w:rPr>
                <w:sz w:val="16"/>
              </w:rPr>
            </w:pPr>
            <w:r>
              <w:rPr>
                <w:w w:val="98"/>
                <w:sz w:val="16"/>
              </w:rPr>
              <w:t>0</w:t>
            </w:r>
          </w:p>
        </w:tc>
        <w:tc>
          <w:tcPr>
            <w:tcW w:w="821" w:type="dxa"/>
          </w:tcPr>
          <w:p>
            <w:pPr>
              <w:pStyle w:val="TableParagraph"/>
              <w:spacing w:before="50"/>
              <w:ind w:right="70"/>
              <w:rPr>
                <w:sz w:val="16"/>
              </w:rPr>
            </w:pPr>
            <w:r>
              <w:rPr>
                <w:w w:val="98"/>
                <w:sz w:val="16"/>
              </w:rPr>
              <w:t>0</w:t>
            </w:r>
          </w:p>
        </w:tc>
        <w:tc>
          <w:tcPr>
            <w:tcW w:w="831" w:type="dxa"/>
          </w:tcPr>
          <w:p>
            <w:pPr>
              <w:pStyle w:val="TableParagraph"/>
              <w:spacing w:before="50"/>
              <w:ind w:right="72"/>
              <w:rPr>
                <w:sz w:val="16"/>
              </w:rPr>
            </w:pPr>
            <w:r>
              <w:rPr>
                <w:w w:val="98"/>
                <w:sz w:val="16"/>
              </w:rPr>
              <w:t>0</w:t>
            </w:r>
          </w:p>
        </w:tc>
        <w:tc>
          <w:tcPr>
            <w:tcW w:w="891" w:type="dxa"/>
          </w:tcPr>
          <w:p>
            <w:pPr>
              <w:pStyle w:val="TableParagraph"/>
              <w:spacing w:before="50"/>
              <w:ind w:right="198"/>
              <w:rPr>
                <w:sz w:val="16"/>
              </w:rPr>
            </w:pPr>
            <w:r>
              <w:rPr>
                <w:w w:val="98"/>
                <w:sz w:val="16"/>
              </w:rPr>
              <w:t>0</w:t>
            </w:r>
          </w:p>
        </w:tc>
      </w:tr>
      <w:tr>
        <w:trPr>
          <w:trHeight w:val="300" w:hRule="exact"/>
        </w:trPr>
        <w:tc>
          <w:tcPr>
            <w:tcW w:w="685" w:type="dxa"/>
          </w:tcPr>
          <w:p>
            <w:pPr>
              <w:pStyle w:val="TableParagraph"/>
              <w:spacing w:before="48"/>
              <w:ind w:right="72"/>
              <w:rPr>
                <w:sz w:val="16"/>
              </w:rPr>
            </w:pPr>
            <w:r>
              <w:rPr>
                <w:w w:val="99"/>
                <w:sz w:val="16"/>
              </w:rPr>
              <w:t>4</w:t>
            </w:r>
          </w:p>
        </w:tc>
        <w:tc>
          <w:tcPr>
            <w:tcW w:w="716" w:type="dxa"/>
          </w:tcPr>
          <w:p>
            <w:pPr>
              <w:pStyle w:val="TableParagraph"/>
              <w:spacing w:before="48"/>
              <w:ind w:right="69"/>
              <w:rPr>
                <w:sz w:val="16"/>
              </w:rPr>
            </w:pPr>
            <w:r>
              <w:rPr>
                <w:sz w:val="16"/>
              </w:rPr>
              <w:t>36.27</w:t>
            </w:r>
          </w:p>
        </w:tc>
        <w:tc>
          <w:tcPr>
            <w:tcW w:w="718" w:type="dxa"/>
          </w:tcPr>
          <w:p>
            <w:pPr>
              <w:pStyle w:val="TableParagraph"/>
              <w:spacing w:before="48"/>
              <w:ind w:right="66"/>
              <w:rPr>
                <w:sz w:val="16"/>
              </w:rPr>
            </w:pPr>
            <w:r>
              <w:rPr>
                <w:w w:val="95"/>
                <w:sz w:val="16"/>
              </w:rPr>
              <w:t>1.36</w:t>
            </w:r>
          </w:p>
        </w:tc>
        <w:tc>
          <w:tcPr>
            <w:tcW w:w="554" w:type="dxa"/>
          </w:tcPr>
          <w:p>
            <w:pPr>
              <w:pStyle w:val="TableParagraph"/>
              <w:spacing w:before="48"/>
              <w:ind w:right="69"/>
              <w:rPr>
                <w:sz w:val="16"/>
              </w:rPr>
            </w:pPr>
            <w:r>
              <w:rPr>
                <w:w w:val="95"/>
                <w:sz w:val="16"/>
              </w:rPr>
              <w:t>0.51</w:t>
            </w:r>
          </w:p>
        </w:tc>
        <w:tc>
          <w:tcPr>
            <w:tcW w:w="538" w:type="dxa"/>
          </w:tcPr>
          <w:p>
            <w:pPr>
              <w:pStyle w:val="TableParagraph"/>
              <w:spacing w:before="48"/>
              <w:ind w:right="68"/>
              <w:rPr>
                <w:sz w:val="16"/>
              </w:rPr>
            </w:pPr>
            <w:r>
              <w:rPr>
                <w:w w:val="99"/>
                <w:sz w:val="16"/>
              </w:rPr>
              <w:t>0</w:t>
            </w:r>
          </w:p>
        </w:tc>
        <w:tc>
          <w:tcPr>
            <w:tcW w:w="669" w:type="dxa"/>
          </w:tcPr>
          <w:p>
            <w:pPr>
              <w:pStyle w:val="TableParagraph"/>
              <w:spacing w:before="48"/>
              <w:ind w:right="66"/>
              <w:rPr>
                <w:sz w:val="16"/>
              </w:rPr>
            </w:pPr>
            <w:r>
              <w:rPr>
                <w:w w:val="95"/>
                <w:sz w:val="16"/>
              </w:rPr>
              <w:t>5.05</w:t>
            </w:r>
          </w:p>
        </w:tc>
        <w:tc>
          <w:tcPr>
            <w:tcW w:w="535" w:type="dxa"/>
          </w:tcPr>
          <w:p>
            <w:pPr>
              <w:pStyle w:val="TableParagraph"/>
              <w:spacing w:before="48"/>
              <w:ind w:right="68"/>
              <w:rPr>
                <w:sz w:val="16"/>
              </w:rPr>
            </w:pPr>
            <w:r>
              <w:rPr>
                <w:w w:val="99"/>
                <w:sz w:val="16"/>
              </w:rPr>
              <w:t>0</w:t>
            </w:r>
          </w:p>
        </w:tc>
        <w:tc>
          <w:tcPr>
            <w:tcW w:w="667" w:type="dxa"/>
          </w:tcPr>
          <w:p>
            <w:pPr>
              <w:pStyle w:val="TableParagraph"/>
              <w:spacing w:before="48"/>
              <w:ind w:right="64"/>
              <w:rPr>
                <w:sz w:val="16"/>
              </w:rPr>
            </w:pPr>
            <w:r>
              <w:rPr>
                <w:sz w:val="16"/>
              </w:rPr>
              <w:t>345.13</w:t>
            </w:r>
          </w:p>
        </w:tc>
        <w:tc>
          <w:tcPr>
            <w:tcW w:w="666" w:type="dxa"/>
          </w:tcPr>
          <w:p>
            <w:pPr>
              <w:pStyle w:val="TableParagraph"/>
              <w:spacing w:before="48"/>
              <w:ind w:right="68"/>
              <w:rPr>
                <w:sz w:val="16"/>
              </w:rPr>
            </w:pPr>
            <w:r>
              <w:rPr>
                <w:sz w:val="16"/>
              </w:rPr>
              <w:t>32.74</w:t>
            </w:r>
          </w:p>
        </w:tc>
        <w:tc>
          <w:tcPr>
            <w:tcW w:w="543" w:type="dxa"/>
          </w:tcPr>
          <w:p>
            <w:pPr>
              <w:pStyle w:val="TableParagraph"/>
              <w:spacing w:before="48"/>
              <w:ind w:left="110"/>
              <w:jc w:val="left"/>
              <w:rPr>
                <w:sz w:val="16"/>
              </w:rPr>
            </w:pPr>
            <w:r>
              <w:rPr>
                <w:sz w:val="16"/>
              </w:rPr>
              <w:t>111.5</w:t>
            </w:r>
          </w:p>
        </w:tc>
        <w:tc>
          <w:tcPr>
            <w:tcW w:w="679" w:type="dxa"/>
          </w:tcPr>
          <w:p>
            <w:pPr>
              <w:pStyle w:val="TableParagraph"/>
              <w:spacing w:before="48"/>
              <w:ind w:right="70"/>
              <w:rPr>
                <w:sz w:val="16"/>
              </w:rPr>
            </w:pPr>
            <w:r>
              <w:rPr>
                <w:sz w:val="16"/>
              </w:rPr>
              <w:t>14.57</w:t>
            </w:r>
          </w:p>
        </w:tc>
        <w:tc>
          <w:tcPr>
            <w:tcW w:w="594" w:type="dxa"/>
          </w:tcPr>
          <w:p>
            <w:pPr>
              <w:pStyle w:val="TableParagraph"/>
              <w:spacing w:before="48"/>
              <w:ind w:right="64"/>
              <w:rPr>
                <w:sz w:val="16"/>
              </w:rPr>
            </w:pPr>
            <w:r>
              <w:rPr>
                <w:w w:val="95"/>
                <w:sz w:val="16"/>
              </w:rPr>
              <w:t>0.05</w:t>
            </w:r>
          </w:p>
        </w:tc>
        <w:tc>
          <w:tcPr>
            <w:tcW w:w="595" w:type="dxa"/>
          </w:tcPr>
          <w:p>
            <w:pPr>
              <w:pStyle w:val="TableParagraph"/>
              <w:spacing w:before="48"/>
              <w:ind w:right="69"/>
              <w:rPr>
                <w:sz w:val="16"/>
              </w:rPr>
            </w:pPr>
            <w:r>
              <w:rPr>
                <w:w w:val="95"/>
                <w:sz w:val="16"/>
              </w:rPr>
              <w:t>0.01</w:t>
            </w:r>
          </w:p>
        </w:tc>
        <w:tc>
          <w:tcPr>
            <w:tcW w:w="545" w:type="dxa"/>
          </w:tcPr>
          <w:p>
            <w:pPr>
              <w:pStyle w:val="TableParagraph"/>
              <w:spacing w:before="48"/>
              <w:ind w:right="66"/>
              <w:rPr>
                <w:sz w:val="16"/>
              </w:rPr>
            </w:pPr>
            <w:r>
              <w:rPr>
                <w:w w:val="95"/>
                <w:sz w:val="16"/>
              </w:rPr>
              <w:t>0.01</w:t>
            </w:r>
          </w:p>
        </w:tc>
        <w:tc>
          <w:tcPr>
            <w:tcW w:w="598" w:type="dxa"/>
          </w:tcPr>
          <w:p>
            <w:pPr>
              <w:pStyle w:val="TableParagraph"/>
              <w:spacing w:before="48"/>
              <w:ind w:right="69"/>
              <w:rPr>
                <w:sz w:val="16"/>
              </w:rPr>
            </w:pPr>
            <w:r>
              <w:rPr>
                <w:w w:val="95"/>
                <w:sz w:val="16"/>
              </w:rPr>
              <w:t>0.15</w:t>
            </w:r>
          </w:p>
        </w:tc>
        <w:tc>
          <w:tcPr>
            <w:tcW w:w="593" w:type="dxa"/>
          </w:tcPr>
          <w:p>
            <w:pPr>
              <w:pStyle w:val="TableParagraph"/>
              <w:spacing w:before="48"/>
              <w:ind w:right="67"/>
              <w:rPr>
                <w:sz w:val="16"/>
              </w:rPr>
            </w:pPr>
            <w:r>
              <w:rPr>
                <w:sz w:val="16"/>
              </w:rPr>
              <w:t>17.72</w:t>
            </w:r>
          </w:p>
        </w:tc>
        <w:tc>
          <w:tcPr>
            <w:tcW w:w="830" w:type="dxa"/>
          </w:tcPr>
          <w:p>
            <w:pPr>
              <w:pStyle w:val="TableParagraph"/>
              <w:spacing w:before="48"/>
              <w:ind w:right="66"/>
              <w:rPr>
                <w:sz w:val="16"/>
              </w:rPr>
            </w:pPr>
            <w:r>
              <w:rPr>
                <w:w w:val="95"/>
                <w:sz w:val="16"/>
              </w:rPr>
              <w:t>0.03</w:t>
            </w:r>
          </w:p>
        </w:tc>
        <w:tc>
          <w:tcPr>
            <w:tcW w:w="821" w:type="dxa"/>
          </w:tcPr>
          <w:p>
            <w:pPr>
              <w:pStyle w:val="TableParagraph"/>
              <w:spacing w:before="48"/>
              <w:ind w:right="70"/>
              <w:rPr>
                <w:sz w:val="16"/>
              </w:rPr>
            </w:pPr>
            <w:r>
              <w:rPr>
                <w:w w:val="99"/>
                <w:sz w:val="16"/>
              </w:rPr>
              <w:t>0</w:t>
            </w:r>
          </w:p>
        </w:tc>
        <w:tc>
          <w:tcPr>
            <w:tcW w:w="831" w:type="dxa"/>
          </w:tcPr>
          <w:p>
            <w:pPr>
              <w:pStyle w:val="TableParagraph"/>
              <w:spacing w:before="48"/>
              <w:ind w:right="66"/>
              <w:rPr>
                <w:sz w:val="16"/>
              </w:rPr>
            </w:pPr>
            <w:r>
              <w:rPr>
                <w:w w:val="95"/>
                <w:sz w:val="16"/>
              </w:rPr>
              <w:t>0.01</w:t>
            </w:r>
          </w:p>
        </w:tc>
        <w:tc>
          <w:tcPr>
            <w:tcW w:w="891" w:type="dxa"/>
          </w:tcPr>
          <w:p>
            <w:pPr>
              <w:pStyle w:val="TableParagraph"/>
              <w:spacing w:before="48"/>
              <w:ind w:right="198"/>
              <w:rPr>
                <w:sz w:val="16"/>
              </w:rPr>
            </w:pPr>
            <w:r>
              <w:rPr>
                <w:w w:val="99"/>
                <w:sz w:val="16"/>
              </w:rPr>
              <w:t>0</w:t>
            </w:r>
          </w:p>
        </w:tc>
      </w:tr>
      <w:tr>
        <w:trPr>
          <w:trHeight w:val="300" w:hRule="exact"/>
        </w:trPr>
        <w:tc>
          <w:tcPr>
            <w:tcW w:w="685" w:type="dxa"/>
          </w:tcPr>
          <w:p>
            <w:pPr>
              <w:pStyle w:val="TableParagraph"/>
              <w:spacing w:before="50"/>
              <w:ind w:right="72"/>
              <w:rPr>
                <w:sz w:val="16"/>
              </w:rPr>
            </w:pPr>
            <w:r>
              <w:rPr>
                <w:w w:val="98"/>
                <w:sz w:val="16"/>
              </w:rPr>
              <w:t>5</w:t>
            </w:r>
          </w:p>
        </w:tc>
        <w:tc>
          <w:tcPr>
            <w:tcW w:w="716" w:type="dxa"/>
          </w:tcPr>
          <w:p>
            <w:pPr>
              <w:pStyle w:val="TableParagraph"/>
              <w:spacing w:before="50"/>
              <w:ind w:right="69"/>
              <w:rPr>
                <w:sz w:val="16"/>
              </w:rPr>
            </w:pPr>
            <w:r>
              <w:rPr>
                <w:sz w:val="16"/>
              </w:rPr>
              <w:t>45.14</w:t>
            </w:r>
          </w:p>
        </w:tc>
        <w:tc>
          <w:tcPr>
            <w:tcW w:w="718" w:type="dxa"/>
          </w:tcPr>
          <w:p>
            <w:pPr>
              <w:pStyle w:val="TableParagraph"/>
              <w:spacing w:before="50"/>
              <w:ind w:right="66"/>
              <w:rPr>
                <w:sz w:val="16"/>
              </w:rPr>
            </w:pPr>
            <w:r>
              <w:rPr>
                <w:w w:val="95"/>
                <w:sz w:val="16"/>
              </w:rPr>
              <w:t>2.82</w:t>
            </w:r>
          </w:p>
        </w:tc>
        <w:tc>
          <w:tcPr>
            <w:tcW w:w="554" w:type="dxa"/>
          </w:tcPr>
          <w:p>
            <w:pPr>
              <w:pStyle w:val="TableParagraph"/>
              <w:spacing w:before="50"/>
              <w:ind w:right="69"/>
              <w:rPr>
                <w:sz w:val="16"/>
              </w:rPr>
            </w:pPr>
            <w:r>
              <w:rPr>
                <w:w w:val="95"/>
                <w:sz w:val="16"/>
              </w:rPr>
              <w:t>0.49</w:t>
            </w:r>
          </w:p>
        </w:tc>
        <w:tc>
          <w:tcPr>
            <w:tcW w:w="538" w:type="dxa"/>
          </w:tcPr>
          <w:p>
            <w:pPr>
              <w:pStyle w:val="TableParagraph"/>
              <w:spacing w:before="50"/>
              <w:ind w:right="68"/>
              <w:rPr>
                <w:sz w:val="16"/>
              </w:rPr>
            </w:pPr>
            <w:r>
              <w:rPr>
                <w:w w:val="98"/>
                <w:sz w:val="16"/>
              </w:rPr>
              <w:t>0</w:t>
            </w:r>
          </w:p>
        </w:tc>
        <w:tc>
          <w:tcPr>
            <w:tcW w:w="669" w:type="dxa"/>
          </w:tcPr>
          <w:p>
            <w:pPr>
              <w:pStyle w:val="TableParagraph"/>
              <w:spacing w:before="50"/>
              <w:ind w:right="66"/>
              <w:rPr>
                <w:sz w:val="16"/>
              </w:rPr>
            </w:pPr>
            <w:r>
              <w:rPr>
                <w:w w:val="95"/>
                <w:sz w:val="16"/>
              </w:rPr>
              <w:t>2.41</w:t>
            </w:r>
          </w:p>
        </w:tc>
        <w:tc>
          <w:tcPr>
            <w:tcW w:w="535" w:type="dxa"/>
          </w:tcPr>
          <w:p>
            <w:pPr>
              <w:pStyle w:val="TableParagraph"/>
              <w:spacing w:before="50"/>
              <w:ind w:right="68"/>
              <w:rPr>
                <w:sz w:val="16"/>
              </w:rPr>
            </w:pPr>
            <w:r>
              <w:rPr>
                <w:w w:val="98"/>
                <w:sz w:val="16"/>
              </w:rPr>
              <w:t>0</w:t>
            </w:r>
          </w:p>
        </w:tc>
        <w:tc>
          <w:tcPr>
            <w:tcW w:w="667" w:type="dxa"/>
          </w:tcPr>
          <w:p>
            <w:pPr>
              <w:pStyle w:val="TableParagraph"/>
              <w:spacing w:before="50"/>
              <w:ind w:right="64"/>
              <w:rPr>
                <w:sz w:val="16"/>
              </w:rPr>
            </w:pPr>
            <w:r>
              <w:rPr>
                <w:sz w:val="16"/>
              </w:rPr>
              <w:t>324.48</w:t>
            </w:r>
          </w:p>
        </w:tc>
        <w:tc>
          <w:tcPr>
            <w:tcW w:w="666" w:type="dxa"/>
          </w:tcPr>
          <w:p>
            <w:pPr>
              <w:pStyle w:val="TableParagraph"/>
              <w:spacing w:before="50"/>
              <w:ind w:right="68"/>
              <w:rPr>
                <w:sz w:val="16"/>
              </w:rPr>
            </w:pPr>
            <w:r>
              <w:rPr>
                <w:sz w:val="16"/>
              </w:rPr>
              <w:t>60.21</w:t>
            </w:r>
          </w:p>
        </w:tc>
        <w:tc>
          <w:tcPr>
            <w:tcW w:w="543" w:type="dxa"/>
          </w:tcPr>
          <w:p>
            <w:pPr>
              <w:pStyle w:val="TableParagraph"/>
              <w:spacing w:before="50"/>
              <w:ind w:right="65"/>
              <w:rPr>
                <w:sz w:val="16"/>
              </w:rPr>
            </w:pPr>
            <w:r>
              <w:rPr>
                <w:sz w:val="16"/>
              </w:rPr>
              <w:t>131</w:t>
            </w:r>
          </w:p>
        </w:tc>
        <w:tc>
          <w:tcPr>
            <w:tcW w:w="679" w:type="dxa"/>
          </w:tcPr>
          <w:p>
            <w:pPr>
              <w:pStyle w:val="TableParagraph"/>
              <w:spacing w:before="50"/>
              <w:ind w:right="70"/>
              <w:rPr>
                <w:sz w:val="16"/>
              </w:rPr>
            </w:pPr>
            <w:r>
              <w:rPr>
                <w:sz w:val="16"/>
              </w:rPr>
              <w:t>16.02</w:t>
            </w:r>
          </w:p>
        </w:tc>
        <w:tc>
          <w:tcPr>
            <w:tcW w:w="594" w:type="dxa"/>
          </w:tcPr>
          <w:p>
            <w:pPr>
              <w:pStyle w:val="TableParagraph"/>
              <w:spacing w:before="50"/>
              <w:ind w:right="64"/>
              <w:rPr>
                <w:sz w:val="16"/>
              </w:rPr>
            </w:pPr>
            <w:r>
              <w:rPr>
                <w:w w:val="95"/>
                <w:sz w:val="16"/>
              </w:rPr>
              <w:t>0.17</w:t>
            </w:r>
          </w:p>
        </w:tc>
        <w:tc>
          <w:tcPr>
            <w:tcW w:w="595" w:type="dxa"/>
          </w:tcPr>
          <w:p>
            <w:pPr>
              <w:pStyle w:val="TableParagraph"/>
              <w:spacing w:before="50"/>
              <w:ind w:right="69"/>
              <w:rPr>
                <w:sz w:val="16"/>
              </w:rPr>
            </w:pPr>
            <w:r>
              <w:rPr>
                <w:w w:val="95"/>
                <w:sz w:val="16"/>
              </w:rPr>
              <w:t>0.22</w:t>
            </w:r>
          </w:p>
        </w:tc>
        <w:tc>
          <w:tcPr>
            <w:tcW w:w="545" w:type="dxa"/>
          </w:tcPr>
          <w:p>
            <w:pPr>
              <w:pStyle w:val="TableParagraph"/>
              <w:spacing w:before="50"/>
              <w:ind w:right="66"/>
              <w:rPr>
                <w:sz w:val="16"/>
              </w:rPr>
            </w:pPr>
            <w:r>
              <w:rPr>
                <w:w w:val="95"/>
                <w:sz w:val="16"/>
              </w:rPr>
              <w:t>0.01</w:t>
            </w:r>
          </w:p>
        </w:tc>
        <w:tc>
          <w:tcPr>
            <w:tcW w:w="598" w:type="dxa"/>
          </w:tcPr>
          <w:p>
            <w:pPr>
              <w:pStyle w:val="TableParagraph"/>
              <w:spacing w:before="50"/>
              <w:ind w:right="69"/>
              <w:rPr>
                <w:sz w:val="16"/>
              </w:rPr>
            </w:pPr>
            <w:r>
              <w:rPr>
                <w:w w:val="95"/>
                <w:sz w:val="16"/>
              </w:rPr>
              <w:t>0.05</w:t>
            </w:r>
          </w:p>
        </w:tc>
        <w:tc>
          <w:tcPr>
            <w:tcW w:w="593" w:type="dxa"/>
          </w:tcPr>
          <w:p>
            <w:pPr>
              <w:pStyle w:val="TableParagraph"/>
              <w:spacing w:before="50"/>
              <w:ind w:right="66"/>
              <w:rPr>
                <w:sz w:val="16"/>
              </w:rPr>
            </w:pPr>
            <w:r>
              <w:rPr>
                <w:w w:val="95"/>
                <w:sz w:val="16"/>
              </w:rPr>
              <w:t>37.9</w:t>
            </w:r>
          </w:p>
        </w:tc>
        <w:tc>
          <w:tcPr>
            <w:tcW w:w="830" w:type="dxa"/>
          </w:tcPr>
          <w:p>
            <w:pPr>
              <w:pStyle w:val="TableParagraph"/>
              <w:spacing w:before="50"/>
              <w:ind w:right="66"/>
              <w:rPr>
                <w:sz w:val="16"/>
              </w:rPr>
            </w:pPr>
            <w:r>
              <w:rPr>
                <w:w w:val="95"/>
                <w:sz w:val="16"/>
              </w:rPr>
              <w:t>0.14</w:t>
            </w:r>
          </w:p>
        </w:tc>
        <w:tc>
          <w:tcPr>
            <w:tcW w:w="821" w:type="dxa"/>
          </w:tcPr>
          <w:p>
            <w:pPr>
              <w:pStyle w:val="TableParagraph"/>
              <w:spacing w:before="50"/>
              <w:ind w:right="66"/>
              <w:rPr>
                <w:sz w:val="16"/>
              </w:rPr>
            </w:pPr>
            <w:r>
              <w:rPr>
                <w:w w:val="95"/>
                <w:sz w:val="16"/>
              </w:rPr>
              <w:t>0.04</w:t>
            </w:r>
          </w:p>
        </w:tc>
        <w:tc>
          <w:tcPr>
            <w:tcW w:w="831" w:type="dxa"/>
          </w:tcPr>
          <w:p>
            <w:pPr>
              <w:pStyle w:val="TableParagraph"/>
              <w:spacing w:before="50"/>
              <w:ind w:right="66"/>
              <w:rPr>
                <w:sz w:val="16"/>
              </w:rPr>
            </w:pPr>
            <w:r>
              <w:rPr>
                <w:w w:val="95"/>
                <w:sz w:val="16"/>
              </w:rPr>
              <w:t>0.02</w:t>
            </w:r>
          </w:p>
        </w:tc>
        <w:tc>
          <w:tcPr>
            <w:tcW w:w="891" w:type="dxa"/>
          </w:tcPr>
          <w:p>
            <w:pPr>
              <w:pStyle w:val="TableParagraph"/>
              <w:spacing w:before="50"/>
              <w:ind w:right="198"/>
              <w:rPr>
                <w:sz w:val="16"/>
              </w:rPr>
            </w:pPr>
            <w:r>
              <w:rPr>
                <w:w w:val="98"/>
                <w:sz w:val="16"/>
              </w:rPr>
              <w:t>0</w:t>
            </w:r>
          </w:p>
        </w:tc>
      </w:tr>
      <w:tr>
        <w:trPr>
          <w:trHeight w:val="300" w:hRule="exact"/>
        </w:trPr>
        <w:tc>
          <w:tcPr>
            <w:tcW w:w="685" w:type="dxa"/>
          </w:tcPr>
          <w:p>
            <w:pPr>
              <w:pStyle w:val="TableParagraph"/>
              <w:spacing w:before="47"/>
              <w:ind w:right="72"/>
              <w:rPr>
                <w:sz w:val="16"/>
              </w:rPr>
            </w:pPr>
            <w:r>
              <w:rPr>
                <w:w w:val="99"/>
                <w:sz w:val="16"/>
              </w:rPr>
              <w:t>6</w:t>
            </w:r>
          </w:p>
        </w:tc>
        <w:tc>
          <w:tcPr>
            <w:tcW w:w="716" w:type="dxa"/>
          </w:tcPr>
          <w:p>
            <w:pPr>
              <w:pStyle w:val="TableParagraph"/>
              <w:spacing w:before="47"/>
              <w:ind w:right="69"/>
              <w:rPr>
                <w:sz w:val="16"/>
              </w:rPr>
            </w:pPr>
            <w:r>
              <w:rPr>
                <w:sz w:val="16"/>
              </w:rPr>
              <w:t>132.22</w:t>
            </w:r>
          </w:p>
        </w:tc>
        <w:tc>
          <w:tcPr>
            <w:tcW w:w="718" w:type="dxa"/>
          </w:tcPr>
          <w:p>
            <w:pPr>
              <w:pStyle w:val="TableParagraph"/>
              <w:spacing w:before="47"/>
              <w:ind w:right="66"/>
              <w:rPr>
                <w:sz w:val="16"/>
              </w:rPr>
            </w:pPr>
            <w:r>
              <w:rPr>
                <w:sz w:val="16"/>
              </w:rPr>
              <w:t>18.17</w:t>
            </w:r>
          </w:p>
        </w:tc>
        <w:tc>
          <w:tcPr>
            <w:tcW w:w="554" w:type="dxa"/>
          </w:tcPr>
          <w:p>
            <w:pPr>
              <w:pStyle w:val="TableParagraph"/>
              <w:spacing w:before="47"/>
              <w:ind w:right="69"/>
              <w:rPr>
                <w:sz w:val="16"/>
              </w:rPr>
            </w:pPr>
            <w:r>
              <w:rPr>
                <w:w w:val="95"/>
                <w:sz w:val="16"/>
              </w:rPr>
              <w:t>0.57</w:t>
            </w:r>
          </w:p>
        </w:tc>
        <w:tc>
          <w:tcPr>
            <w:tcW w:w="538" w:type="dxa"/>
          </w:tcPr>
          <w:p>
            <w:pPr>
              <w:pStyle w:val="TableParagraph"/>
              <w:spacing w:before="47"/>
              <w:ind w:right="68"/>
              <w:rPr>
                <w:sz w:val="16"/>
              </w:rPr>
            </w:pPr>
            <w:r>
              <w:rPr>
                <w:w w:val="99"/>
                <w:sz w:val="16"/>
              </w:rPr>
              <w:t>0</w:t>
            </w:r>
          </w:p>
        </w:tc>
        <w:tc>
          <w:tcPr>
            <w:tcW w:w="669" w:type="dxa"/>
          </w:tcPr>
          <w:p>
            <w:pPr>
              <w:pStyle w:val="TableParagraph"/>
              <w:spacing w:before="47"/>
              <w:ind w:right="66"/>
              <w:rPr>
                <w:sz w:val="16"/>
              </w:rPr>
            </w:pPr>
            <w:r>
              <w:rPr>
                <w:w w:val="95"/>
                <w:sz w:val="16"/>
              </w:rPr>
              <w:t>3.22</w:t>
            </w:r>
          </w:p>
        </w:tc>
        <w:tc>
          <w:tcPr>
            <w:tcW w:w="535" w:type="dxa"/>
          </w:tcPr>
          <w:p>
            <w:pPr>
              <w:pStyle w:val="TableParagraph"/>
              <w:spacing w:before="47"/>
              <w:ind w:right="68"/>
              <w:rPr>
                <w:sz w:val="16"/>
              </w:rPr>
            </w:pPr>
            <w:r>
              <w:rPr>
                <w:w w:val="99"/>
                <w:sz w:val="16"/>
              </w:rPr>
              <w:t>0</w:t>
            </w:r>
          </w:p>
        </w:tc>
        <w:tc>
          <w:tcPr>
            <w:tcW w:w="667" w:type="dxa"/>
          </w:tcPr>
          <w:p>
            <w:pPr>
              <w:pStyle w:val="TableParagraph"/>
              <w:spacing w:before="47"/>
              <w:ind w:right="64"/>
              <w:rPr>
                <w:sz w:val="16"/>
              </w:rPr>
            </w:pPr>
            <w:r>
              <w:rPr>
                <w:sz w:val="16"/>
              </w:rPr>
              <w:t>354.26</w:t>
            </w:r>
          </w:p>
        </w:tc>
        <w:tc>
          <w:tcPr>
            <w:tcW w:w="666" w:type="dxa"/>
          </w:tcPr>
          <w:p>
            <w:pPr>
              <w:pStyle w:val="TableParagraph"/>
              <w:spacing w:before="47"/>
              <w:ind w:right="68"/>
              <w:rPr>
                <w:sz w:val="16"/>
              </w:rPr>
            </w:pPr>
            <w:r>
              <w:rPr>
                <w:w w:val="95"/>
                <w:sz w:val="16"/>
              </w:rPr>
              <w:t>79.5</w:t>
            </w:r>
          </w:p>
        </w:tc>
        <w:tc>
          <w:tcPr>
            <w:tcW w:w="543" w:type="dxa"/>
          </w:tcPr>
          <w:p>
            <w:pPr>
              <w:pStyle w:val="TableParagraph"/>
              <w:spacing w:before="47"/>
              <w:ind w:left="110"/>
              <w:jc w:val="left"/>
              <w:rPr>
                <w:sz w:val="16"/>
              </w:rPr>
            </w:pPr>
            <w:r>
              <w:rPr>
                <w:sz w:val="16"/>
              </w:rPr>
              <w:t>113.9</w:t>
            </w:r>
          </w:p>
        </w:tc>
        <w:tc>
          <w:tcPr>
            <w:tcW w:w="679" w:type="dxa"/>
          </w:tcPr>
          <w:p>
            <w:pPr>
              <w:pStyle w:val="TableParagraph"/>
              <w:spacing w:before="47"/>
              <w:ind w:right="70"/>
              <w:rPr>
                <w:sz w:val="16"/>
              </w:rPr>
            </w:pPr>
            <w:r>
              <w:rPr>
                <w:sz w:val="16"/>
              </w:rPr>
              <w:t>29.73</w:t>
            </w:r>
          </w:p>
        </w:tc>
        <w:tc>
          <w:tcPr>
            <w:tcW w:w="594" w:type="dxa"/>
          </w:tcPr>
          <w:p>
            <w:pPr>
              <w:pStyle w:val="TableParagraph"/>
              <w:spacing w:before="47"/>
              <w:ind w:right="64"/>
              <w:rPr>
                <w:sz w:val="16"/>
              </w:rPr>
            </w:pPr>
            <w:r>
              <w:rPr>
                <w:w w:val="95"/>
                <w:sz w:val="16"/>
              </w:rPr>
              <w:t>1.37</w:t>
            </w:r>
          </w:p>
        </w:tc>
        <w:tc>
          <w:tcPr>
            <w:tcW w:w="595" w:type="dxa"/>
          </w:tcPr>
          <w:p>
            <w:pPr>
              <w:pStyle w:val="TableParagraph"/>
              <w:spacing w:before="47"/>
              <w:ind w:right="69"/>
              <w:rPr>
                <w:sz w:val="16"/>
              </w:rPr>
            </w:pPr>
            <w:r>
              <w:rPr>
                <w:w w:val="95"/>
                <w:sz w:val="16"/>
              </w:rPr>
              <w:t>0.32</w:t>
            </w:r>
          </w:p>
        </w:tc>
        <w:tc>
          <w:tcPr>
            <w:tcW w:w="545" w:type="dxa"/>
          </w:tcPr>
          <w:p>
            <w:pPr>
              <w:pStyle w:val="TableParagraph"/>
              <w:spacing w:before="47"/>
              <w:ind w:right="66"/>
              <w:rPr>
                <w:sz w:val="16"/>
              </w:rPr>
            </w:pPr>
            <w:r>
              <w:rPr>
                <w:w w:val="95"/>
                <w:sz w:val="16"/>
              </w:rPr>
              <w:t>0.02</w:t>
            </w:r>
          </w:p>
        </w:tc>
        <w:tc>
          <w:tcPr>
            <w:tcW w:w="598" w:type="dxa"/>
          </w:tcPr>
          <w:p>
            <w:pPr>
              <w:pStyle w:val="TableParagraph"/>
              <w:spacing w:before="47"/>
              <w:ind w:right="69"/>
              <w:rPr>
                <w:sz w:val="16"/>
              </w:rPr>
            </w:pPr>
            <w:r>
              <w:rPr>
                <w:w w:val="95"/>
                <w:sz w:val="16"/>
              </w:rPr>
              <w:t>0.07</w:t>
            </w:r>
          </w:p>
        </w:tc>
        <w:tc>
          <w:tcPr>
            <w:tcW w:w="593" w:type="dxa"/>
          </w:tcPr>
          <w:p>
            <w:pPr>
              <w:pStyle w:val="TableParagraph"/>
              <w:spacing w:before="47"/>
              <w:ind w:right="67"/>
              <w:rPr>
                <w:sz w:val="16"/>
              </w:rPr>
            </w:pPr>
            <w:r>
              <w:rPr>
                <w:sz w:val="16"/>
              </w:rPr>
              <w:t>25.48</w:t>
            </w:r>
          </w:p>
        </w:tc>
        <w:tc>
          <w:tcPr>
            <w:tcW w:w="830" w:type="dxa"/>
          </w:tcPr>
          <w:p>
            <w:pPr>
              <w:pStyle w:val="TableParagraph"/>
              <w:spacing w:before="47"/>
              <w:ind w:right="66"/>
              <w:rPr>
                <w:sz w:val="16"/>
              </w:rPr>
            </w:pPr>
            <w:r>
              <w:rPr>
                <w:w w:val="95"/>
                <w:sz w:val="16"/>
              </w:rPr>
              <w:t>0.69</w:t>
            </w:r>
          </w:p>
        </w:tc>
        <w:tc>
          <w:tcPr>
            <w:tcW w:w="821" w:type="dxa"/>
          </w:tcPr>
          <w:p>
            <w:pPr>
              <w:pStyle w:val="TableParagraph"/>
              <w:spacing w:before="47"/>
              <w:ind w:right="66"/>
              <w:rPr>
                <w:sz w:val="16"/>
              </w:rPr>
            </w:pPr>
            <w:r>
              <w:rPr>
                <w:w w:val="95"/>
                <w:sz w:val="16"/>
              </w:rPr>
              <w:t>0.24</w:t>
            </w:r>
          </w:p>
        </w:tc>
        <w:tc>
          <w:tcPr>
            <w:tcW w:w="831" w:type="dxa"/>
          </w:tcPr>
          <w:p>
            <w:pPr>
              <w:pStyle w:val="TableParagraph"/>
              <w:spacing w:before="47"/>
              <w:ind w:right="66"/>
              <w:rPr>
                <w:sz w:val="16"/>
              </w:rPr>
            </w:pPr>
            <w:r>
              <w:rPr>
                <w:w w:val="95"/>
                <w:sz w:val="16"/>
              </w:rPr>
              <w:t>0.13</w:t>
            </w:r>
          </w:p>
        </w:tc>
        <w:tc>
          <w:tcPr>
            <w:tcW w:w="891" w:type="dxa"/>
          </w:tcPr>
          <w:p>
            <w:pPr>
              <w:pStyle w:val="TableParagraph"/>
              <w:spacing w:before="47"/>
              <w:ind w:right="198"/>
              <w:rPr>
                <w:sz w:val="16"/>
              </w:rPr>
            </w:pPr>
            <w:r>
              <w:rPr>
                <w:w w:val="99"/>
                <w:sz w:val="16"/>
              </w:rPr>
              <w:t>0</w:t>
            </w:r>
          </w:p>
        </w:tc>
      </w:tr>
      <w:tr>
        <w:trPr>
          <w:trHeight w:val="300" w:hRule="exact"/>
        </w:trPr>
        <w:tc>
          <w:tcPr>
            <w:tcW w:w="685" w:type="dxa"/>
          </w:tcPr>
          <w:p>
            <w:pPr>
              <w:pStyle w:val="TableParagraph"/>
              <w:spacing w:before="50"/>
              <w:ind w:right="72"/>
              <w:rPr>
                <w:sz w:val="16"/>
              </w:rPr>
            </w:pPr>
            <w:r>
              <w:rPr>
                <w:w w:val="98"/>
                <w:sz w:val="16"/>
              </w:rPr>
              <w:t>7</w:t>
            </w:r>
          </w:p>
        </w:tc>
        <w:tc>
          <w:tcPr>
            <w:tcW w:w="716" w:type="dxa"/>
          </w:tcPr>
          <w:p>
            <w:pPr>
              <w:pStyle w:val="TableParagraph"/>
              <w:spacing w:before="50"/>
              <w:ind w:right="69"/>
              <w:rPr>
                <w:sz w:val="16"/>
              </w:rPr>
            </w:pPr>
            <w:r>
              <w:rPr>
                <w:sz w:val="16"/>
              </w:rPr>
              <w:t>178.39</w:t>
            </w:r>
          </w:p>
        </w:tc>
        <w:tc>
          <w:tcPr>
            <w:tcW w:w="718" w:type="dxa"/>
          </w:tcPr>
          <w:p>
            <w:pPr>
              <w:pStyle w:val="TableParagraph"/>
              <w:spacing w:before="50"/>
              <w:ind w:right="66"/>
              <w:rPr>
                <w:sz w:val="16"/>
              </w:rPr>
            </w:pPr>
            <w:r>
              <w:rPr>
                <w:w w:val="95"/>
                <w:sz w:val="16"/>
              </w:rPr>
              <w:t>27.2</w:t>
            </w:r>
          </w:p>
        </w:tc>
        <w:tc>
          <w:tcPr>
            <w:tcW w:w="554" w:type="dxa"/>
          </w:tcPr>
          <w:p>
            <w:pPr>
              <w:pStyle w:val="TableParagraph"/>
              <w:spacing w:before="50"/>
              <w:ind w:right="69"/>
              <w:rPr>
                <w:sz w:val="16"/>
              </w:rPr>
            </w:pPr>
            <w:r>
              <w:rPr>
                <w:w w:val="95"/>
                <w:sz w:val="16"/>
              </w:rPr>
              <w:t>0.82</w:t>
            </w:r>
          </w:p>
        </w:tc>
        <w:tc>
          <w:tcPr>
            <w:tcW w:w="538" w:type="dxa"/>
          </w:tcPr>
          <w:p>
            <w:pPr>
              <w:pStyle w:val="TableParagraph"/>
              <w:spacing w:before="50"/>
              <w:ind w:right="68"/>
              <w:rPr>
                <w:sz w:val="16"/>
              </w:rPr>
            </w:pPr>
            <w:r>
              <w:rPr>
                <w:w w:val="98"/>
                <w:sz w:val="16"/>
              </w:rPr>
              <w:t>0</w:t>
            </w:r>
          </w:p>
        </w:tc>
        <w:tc>
          <w:tcPr>
            <w:tcW w:w="669" w:type="dxa"/>
          </w:tcPr>
          <w:p>
            <w:pPr>
              <w:pStyle w:val="TableParagraph"/>
              <w:spacing w:before="50"/>
              <w:ind w:right="66"/>
              <w:rPr>
                <w:sz w:val="16"/>
              </w:rPr>
            </w:pPr>
            <w:r>
              <w:rPr>
                <w:w w:val="95"/>
                <w:sz w:val="16"/>
              </w:rPr>
              <w:t>7.25</w:t>
            </w:r>
          </w:p>
        </w:tc>
        <w:tc>
          <w:tcPr>
            <w:tcW w:w="535" w:type="dxa"/>
          </w:tcPr>
          <w:p>
            <w:pPr>
              <w:pStyle w:val="TableParagraph"/>
              <w:spacing w:before="50"/>
              <w:ind w:right="68"/>
              <w:rPr>
                <w:sz w:val="16"/>
              </w:rPr>
            </w:pPr>
            <w:r>
              <w:rPr>
                <w:w w:val="98"/>
                <w:sz w:val="16"/>
              </w:rPr>
              <w:t>0</w:t>
            </w:r>
          </w:p>
        </w:tc>
        <w:tc>
          <w:tcPr>
            <w:tcW w:w="667" w:type="dxa"/>
          </w:tcPr>
          <w:p>
            <w:pPr>
              <w:pStyle w:val="TableParagraph"/>
              <w:spacing w:before="50"/>
              <w:ind w:right="64"/>
              <w:rPr>
                <w:sz w:val="16"/>
              </w:rPr>
            </w:pPr>
            <w:r>
              <w:rPr>
                <w:sz w:val="16"/>
              </w:rPr>
              <w:t>399.87</w:t>
            </w:r>
          </w:p>
        </w:tc>
        <w:tc>
          <w:tcPr>
            <w:tcW w:w="666" w:type="dxa"/>
          </w:tcPr>
          <w:p>
            <w:pPr>
              <w:pStyle w:val="TableParagraph"/>
              <w:spacing w:before="50"/>
              <w:ind w:right="68"/>
              <w:rPr>
                <w:sz w:val="16"/>
              </w:rPr>
            </w:pPr>
            <w:r>
              <w:rPr>
                <w:sz w:val="16"/>
              </w:rPr>
              <w:t>95.69</w:t>
            </w:r>
          </w:p>
        </w:tc>
        <w:tc>
          <w:tcPr>
            <w:tcW w:w="543" w:type="dxa"/>
          </w:tcPr>
          <w:p>
            <w:pPr>
              <w:pStyle w:val="TableParagraph"/>
              <w:spacing w:before="50"/>
              <w:ind w:left="110"/>
              <w:jc w:val="left"/>
              <w:rPr>
                <w:sz w:val="16"/>
              </w:rPr>
            </w:pPr>
            <w:r>
              <w:rPr>
                <w:sz w:val="16"/>
              </w:rPr>
              <w:t>113.9</w:t>
            </w:r>
          </w:p>
        </w:tc>
        <w:tc>
          <w:tcPr>
            <w:tcW w:w="679" w:type="dxa"/>
          </w:tcPr>
          <w:p>
            <w:pPr>
              <w:pStyle w:val="TableParagraph"/>
              <w:spacing w:before="50"/>
              <w:ind w:right="70"/>
              <w:rPr>
                <w:sz w:val="16"/>
              </w:rPr>
            </w:pPr>
            <w:r>
              <w:rPr>
                <w:sz w:val="16"/>
              </w:rPr>
              <w:t>38.51</w:t>
            </w:r>
          </w:p>
        </w:tc>
        <w:tc>
          <w:tcPr>
            <w:tcW w:w="594" w:type="dxa"/>
          </w:tcPr>
          <w:p>
            <w:pPr>
              <w:pStyle w:val="TableParagraph"/>
              <w:spacing w:before="50"/>
              <w:ind w:right="64"/>
              <w:rPr>
                <w:sz w:val="16"/>
              </w:rPr>
            </w:pPr>
            <w:r>
              <w:rPr>
                <w:w w:val="95"/>
                <w:sz w:val="16"/>
              </w:rPr>
              <w:t>1.74</w:t>
            </w:r>
          </w:p>
        </w:tc>
        <w:tc>
          <w:tcPr>
            <w:tcW w:w="595" w:type="dxa"/>
          </w:tcPr>
          <w:p>
            <w:pPr>
              <w:pStyle w:val="TableParagraph"/>
              <w:spacing w:before="50"/>
              <w:ind w:right="69"/>
              <w:rPr>
                <w:sz w:val="16"/>
              </w:rPr>
            </w:pPr>
            <w:r>
              <w:rPr>
                <w:w w:val="95"/>
                <w:sz w:val="16"/>
              </w:rPr>
              <w:t>1.37</w:t>
            </w:r>
          </w:p>
        </w:tc>
        <w:tc>
          <w:tcPr>
            <w:tcW w:w="545" w:type="dxa"/>
          </w:tcPr>
          <w:p>
            <w:pPr>
              <w:pStyle w:val="TableParagraph"/>
              <w:spacing w:before="50"/>
              <w:ind w:right="66"/>
              <w:rPr>
                <w:sz w:val="16"/>
              </w:rPr>
            </w:pPr>
            <w:r>
              <w:rPr>
                <w:w w:val="95"/>
                <w:sz w:val="16"/>
              </w:rPr>
              <w:t>0.02</w:t>
            </w:r>
          </w:p>
        </w:tc>
        <w:tc>
          <w:tcPr>
            <w:tcW w:w="598" w:type="dxa"/>
          </w:tcPr>
          <w:p>
            <w:pPr>
              <w:pStyle w:val="TableParagraph"/>
              <w:spacing w:before="50"/>
              <w:ind w:right="73"/>
              <w:rPr>
                <w:sz w:val="16"/>
              </w:rPr>
            </w:pPr>
            <w:r>
              <w:rPr>
                <w:w w:val="95"/>
                <w:sz w:val="16"/>
              </w:rPr>
              <w:t>0.2</w:t>
            </w:r>
          </w:p>
        </w:tc>
        <w:tc>
          <w:tcPr>
            <w:tcW w:w="593" w:type="dxa"/>
          </w:tcPr>
          <w:p>
            <w:pPr>
              <w:pStyle w:val="TableParagraph"/>
              <w:spacing w:before="50"/>
              <w:ind w:right="66"/>
              <w:rPr>
                <w:sz w:val="16"/>
              </w:rPr>
            </w:pPr>
            <w:r>
              <w:rPr>
                <w:w w:val="95"/>
                <w:sz w:val="16"/>
              </w:rPr>
              <w:t>28.8</w:t>
            </w:r>
          </w:p>
        </w:tc>
        <w:tc>
          <w:tcPr>
            <w:tcW w:w="830" w:type="dxa"/>
          </w:tcPr>
          <w:p>
            <w:pPr>
              <w:pStyle w:val="TableParagraph"/>
              <w:spacing w:before="50"/>
              <w:ind w:right="66"/>
              <w:rPr>
                <w:sz w:val="16"/>
              </w:rPr>
            </w:pPr>
            <w:r>
              <w:rPr>
                <w:w w:val="95"/>
                <w:sz w:val="16"/>
              </w:rPr>
              <w:t>0.77</w:t>
            </w:r>
          </w:p>
        </w:tc>
        <w:tc>
          <w:tcPr>
            <w:tcW w:w="821" w:type="dxa"/>
          </w:tcPr>
          <w:p>
            <w:pPr>
              <w:pStyle w:val="TableParagraph"/>
              <w:spacing w:before="50"/>
              <w:ind w:right="71"/>
              <w:rPr>
                <w:sz w:val="16"/>
              </w:rPr>
            </w:pPr>
            <w:r>
              <w:rPr>
                <w:w w:val="95"/>
                <w:sz w:val="16"/>
              </w:rPr>
              <w:t>0.3</w:t>
            </w:r>
          </w:p>
        </w:tc>
        <w:tc>
          <w:tcPr>
            <w:tcW w:w="831" w:type="dxa"/>
          </w:tcPr>
          <w:p>
            <w:pPr>
              <w:pStyle w:val="TableParagraph"/>
              <w:spacing w:before="50"/>
              <w:ind w:right="66"/>
              <w:rPr>
                <w:sz w:val="16"/>
              </w:rPr>
            </w:pPr>
            <w:r>
              <w:rPr>
                <w:w w:val="95"/>
                <w:sz w:val="16"/>
              </w:rPr>
              <w:t>0.14</w:t>
            </w:r>
          </w:p>
        </w:tc>
        <w:tc>
          <w:tcPr>
            <w:tcW w:w="891" w:type="dxa"/>
          </w:tcPr>
          <w:p>
            <w:pPr>
              <w:pStyle w:val="TableParagraph"/>
              <w:spacing w:before="50"/>
              <w:ind w:right="198"/>
              <w:rPr>
                <w:sz w:val="16"/>
              </w:rPr>
            </w:pPr>
            <w:r>
              <w:rPr>
                <w:w w:val="98"/>
                <w:sz w:val="16"/>
              </w:rPr>
              <w:t>0</w:t>
            </w:r>
          </w:p>
        </w:tc>
      </w:tr>
      <w:tr>
        <w:trPr>
          <w:trHeight w:val="300" w:hRule="exact"/>
        </w:trPr>
        <w:tc>
          <w:tcPr>
            <w:tcW w:w="685" w:type="dxa"/>
          </w:tcPr>
          <w:p>
            <w:pPr>
              <w:pStyle w:val="TableParagraph"/>
              <w:spacing w:before="48"/>
              <w:ind w:right="72"/>
              <w:rPr>
                <w:sz w:val="16"/>
              </w:rPr>
            </w:pPr>
            <w:r>
              <w:rPr>
                <w:w w:val="99"/>
                <w:sz w:val="16"/>
              </w:rPr>
              <w:t>8</w:t>
            </w:r>
          </w:p>
        </w:tc>
        <w:tc>
          <w:tcPr>
            <w:tcW w:w="716" w:type="dxa"/>
          </w:tcPr>
          <w:p>
            <w:pPr>
              <w:pStyle w:val="TableParagraph"/>
              <w:spacing w:before="48"/>
              <w:ind w:right="69"/>
              <w:rPr>
                <w:sz w:val="16"/>
              </w:rPr>
            </w:pPr>
            <w:r>
              <w:rPr>
                <w:sz w:val="16"/>
              </w:rPr>
              <w:t>110.05</w:t>
            </w:r>
          </w:p>
        </w:tc>
        <w:tc>
          <w:tcPr>
            <w:tcW w:w="718" w:type="dxa"/>
          </w:tcPr>
          <w:p>
            <w:pPr>
              <w:pStyle w:val="TableParagraph"/>
              <w:spacing w:before="48"/>
              <w:ind w:right="66"/>
              <w:rPr>
                <w:sz w:val="16"/>
              </w:rPr>
            </w:pPr>
            <w:r>
              <w:rPr>
                <w:sz w:val="16"/>
              </w:rPr>
              <w:t>18.44</w:t>
            </w:r>
          </w:p>
        </w:tc>
        <w:tc>
          <w:tcPr>
            <w:tcW w:w="554" w:type="dxa"/>
          </w:tcPr>
          <w:p>
            <w:pPr>
              <w:pStyle w:val="TableParagraph"/>
              <w:spacing w:before="48"/>
              <w:ind w:right="69"/>
              <w:rPr>
                <w:sz w:val="16"/>
              </w:rPr>
            </w:pPr>
            <w:r>
              <w:rPr>
                <w:w w:val="95"/>
                <w:sz w:val="16"/>
              </w:rPr>
              <w:t>0.91</w:t>
            </w:r>
          </w:p>
        </w:tc>
        <w:tc>
          <w:tcPr>
            <w:tcW w:w="538" w:type="dxa"/>
          </w:tcPr>
          <w:p>
            <w:pPr>
              <w:pStyle w:val="TableParagraph"/>
              <w:spacing w:before="48"/>
              <w:ind w:right="68"/>
              <w:rPr>
                <w:sz w:val="16"/>
              </w:rPr>
            </w:pPr>
            <w:r>
              <w:rPr>
                <w:w w:val="99"/>
                <w:sz w:val="16"/>
              </w:rPr>
              <w:t>0</w:t>
            </w:r>
          </w:p>
        </w:tc>
        <w:tc>
          <w:tcPr>
            <w:tcW w:w="669" w:type="dxa"/>
          </w:tcPr>
          <w:p>
            <w:pPr>
              <w:pStyle w:val="TableParagraph"/>
              <w:spacing w:before="48"/>
              <w:ind w:right="66"/>
              <w:rPr>
                <w:sz w:val="16"/>
              </w:rPr>
            </w:pPr>
            <w:r>
              <w:rPr>
                <w:w w:val="95"/>
                <w:sz w:val="16"/>
              </w:rPr>
              <w:t>7.29</w:t>
            </w:r>
          </w:p>
        </w:tc>
        <w:tc>
          <w:tcPr>
            <w:tcW w:w="535" w:type="dxa"/>
          </w:tcPr>
          <w:p>
            <w:pPr>
              <w:pStyle w:val="TableParagraph"/>
              <w:spacing w:before="48"/>
              <w:ind w:right="68"/>
              <w:rPr>
                <w:sz w:val="16"/>
              </w:rPr>
            </w:pPr>
            <w:r>
              <w:rPr>
                <w:w w:val="99"/>
                <w:sz w:val="16"/>
              </w:rPr>
              <w:t>0</w:t>
            </w:r>
          </w:p>
        </w:tc>
        <w:tc>
          <w:tcPr>
            <w:tcW w:w="667" w:type="dxa"/>
          </w:tcPr>
          <w:p>
            <w:pPr>
              <w:pStyle w:val="TableParagraph"/>
              <w:spacing w:before="48"/>
              <w:ind w:right="64"/>
              <w:rPr>
                <w:sz w:val="16"/>
              </w:rPr>
            </w:pPr>
            <w:r>
              <w:rPr>
                <w:sz w:val="16"/>
              </w:rPr>
              <w:t>378.98</w:t>
            </w:r>
          </w:p>
        </w:tc>
        <w:tc>
          <w:tcPr>
            <w:tcW w:w="666" w:type="dxa"/>
          </w:tcPr>
          <w:p>
            <w:pPr>
              <w:pStyle w:val="TableParagraph"/>
              <w:spacing w:before="48"/>
              <w:ind w:right="68"/>
              <w:rPr>
                <w:sz w:val="16"/>
              </w:rPr>
            </w:pPr>
            <w:r>
              <w:rPr>
                <w:sz w:val="16"/>
              </w:rPr>
              <w:t>103.66</w:t>
            </w:r>
          </w:p>
        </w:tc>
        <w:tc>
          <w:tcPr>
            <w:tcW w:w="543" w:type="dxa"/>
          </w:tcPr>
          <w:p>
            <w:pPr>
              <w:pStyle w:val="TableParagraph"/>
              <w:spacing w:before="48"/>
              <w:ind w:left="110"/>
              <w:jc w:val="left"/>
              <w:rPr>
                <w:sz w:val="16"/>
              </w:rPr>
            </w:pPr>
            <w:r>
              <w:rPr>
                <w:sz w:val="16"/>
              </w:rPr>
              <w:t>130.2</w:t>
            </w:r>
          </w:p>
        </w:tc>
        <w:tc>
          <w:tcPr>
            <w:tcW w:w="679" w:type="dxa"/>
          </w:tcPr>
          <w:p>
            <w:pPr>
              <w:pStyle w:val="TableParagraph"/>
              <w:spacing w:before="48"/>
              <w:ind w:right="70"/>
              <w:rPr>
                <w:sz w:val="16"/>
              </w:rPr>
            </w:pPr>
            <w:r>
              <w:rPr>
                <w:sz w:val="16"/>
              </w:rPr>
              <w:t>29.29</w:t>
            </w:r>
          </w:p>
        </w:tc>
        <w:tc>
          <w:tcPr>
            <w:tcW w:w="594" w:type="dxa"/>
          </w:tcPr>
          <w:p>
            <w:pPr>
              <w:pStyle w:val="TableParagraph"/>
              <w:spacing w:before="48"/>
              <w:ind w:right="64"/>
              <w:rPr>
                <w:sz w:val="16"/>
              </w:rPr>
            </w:pPr>
            <w:r>
              <w:rPr>
                <w:w w:val="95"/>
                <w:sz w:val="16"/>
              </w:rPr>
              <w:t>1.19</w:t>
            </w:r>
          </w:p>
        </w:tc>
        <w:tc>
          <w:tcPr>
            <w:tcW w:w="595" w:type="dxa"/>
          </w:tcPr>
          <w:p>
            <w:pPr>
              <w:pStyle w:val="TableParagraph"/>
              <w:spacing w:before="48"/>
              <w:ind w:right="69"/>
              <w:rPr>
                <w:sz w:val="16"/>
              </w:rPr>
            </w:pPr>
            <w:r>
              <w:rPr>
                <w:w w:val="95"/>
                <w:sz w:val="16"/>
              </w:rPr>
              <w:t>0.13</w:t>
            </w:r>
          </w:p>
        </w:tc>
        <w:tc>
          <w:tcPr>
            <w:tcW w:w="545" w:type="dxa"/>
          </w:tcPr>
          <w:p>
            <w:pPr>
              <w:pStyle w:val="TableParagraph"/>
              <w:spacing w:before="48"/>
              <w:ind w:right="66"/>
              <w:rPr>
                <w:sz w:val="16"/>
              </w:rPr>
            </w:pPr>
            <w:r>
              <w:rPr>
                <w:w w:val="95"/>
                <w:sz w:val="16"/>
              </w:rPr>
              <w:t>0.02</w:t>
            </w:r>
          </w:p>
        </w:tc>
        <w:tc>
          <w:tcPr>
            <w:tcW w:w="598" w:type="dxa"/>
          </w:tcPr>
          <w:p>
            <w:pPr>
              <w:pStyle w:val="TableParagraph"/>
              <w:spacing w:before="48"/>
              <w:ind w:right="69"/>
              <w:rPr>
                <w:sz w:val="16"/>
              </w:rPr>
            </w:pPr>
            <w:r>
              <w:rPr>
                <w:w w:val="95"/>
                <w:sz w:val="16"/>
              </w:rPr>
              <w:t>0.18</w:t>
            </w:r>
          </w:p>
        </w:tc>
        <w:tc>
          <w:tcPr>
            <w:tcW w:w="593" w:type="dxa"/>
          </w:tcPr>
          <w:p>
            <w:pPr>
              <w:pStyle w:val="TableParagraph"/>
              <w:spacing w:before="48"/>
              <w:ind w:right="67"/>
              <w:rPr>
                <w:sz w:val="16"/>
              </w:rPr>
            </w:pPr>
            <w:r>
              <w:rPr>
                <w:sz w:val="16"/>
              </w:rPr>
              <w:t>16.35</w:t>
            </w:r>
          </w:p>
        </w:tc>
        <w:tc>
          <w:tcPr>
            <w:tcW w:w="830" w:type="dxa"/>
          </w:tcPr>
          <w:p>
            <w:pPr>
              <w:pStyle w:val="TableParagraph"/>
              <w:spacing w:before="48"/>
              <w:ind w:right="66"/>
              <w:rPr>
                <w:sz w:val="16"/>
              </w:rPr>
            </w:pPr>
            <w:r>
              <w:rPr>
                <w:w w:val="95"/>
                <w:sz w:val="16"/>
              </w:rPr>
              <w:t>0.55</w:t>
            </w:r>
          </w:p>
        </w:tc>
        <w:tc>
          <w:tcPr>
            <w:tcW w:w="821" w:type="dxa"/>
          </w:tcPr>
          <w:p>
            <w:pPr>
              <w:pStyle w:val="TableParagraph"/>
              <w:spacing w:before="48"/>
              <w:ind w:right="66"/>
              <w:rPr>
                <w:sz w:val="16"/>
              </w:rPr>
            </w:pPr>
            <w:r>
              <w:rPr>
                <w:w w:val="95"/>
                <w:sz w:val="16"/>
              </w:rPr>
              <w:t>0.18</w:t>
            </w:r>
          </w:p>
        </w:tc>
        <w:tc>
          <w:tcPr>
            <w:tcW w:w="831" w:type="dxa"/>
          </w:tcPr>
          <w:p>
            <w:pPr>
              <w:pStyle w:val="TableParagraph"/>
              <w:spacing w:before="48"/>
              <w:ind w:right="71"/>
              <w:rPr>
                <w:sz w:val="16"/>
              </w:rPr>
            </w:pPr>
            <w:r>
              <w:rPr>
                <w:w w:val="95"/>
                <w:sz w:val="16"/>
              </w:rPr>
              <w:t>0.1</w:t>
            </w:r>
          </w:p>
        </w:tc>
        <w:tc>
          <w:tcPr>
            <w:tcW w:w="891" w:type="dxa"/>
          </w:tcPr>
          <w:p>
            <w:pPr>
              <w:pStyle w:val="TableParagraph"/>
              <w:spacing w:before="48"/>
              <w:ind w:right="198"/>
              <w:rPr>
                <w:sz w:val="16"/>
              </w:rPr>
            </w:pPr>
            <w:r>
              <w:rPr>
                <w:w w:val="99"/>
                <w:sz w:val="16"/>
              </w:rPr>
              <w:t>0</w:t>
            </w:r>
          </w:p>
        </w:tc>
      </w:tr>
      <w:tr>
        <w:trPr>
          <w:trHeight w:val="300" w:hRule="exact"/>
        </w:trPr>
        <w:tc>
          <w:tcPr>
            <w:tcW w:w="685" w:type="dxa"/>
          </w:tcPr>
          <w:p>
            <w:pPr>
              <w:pStyle w:val="TableParagraph"/>
              <w:spacing w:before="50"/>
              <w:ind w:right="72"/>
              <w:rPr>
                <w:sz w:val="16"/>
              </w:rPr>
            </w:pPr>
            <w:r>
              <w:rPr>
                <w:w w:val="98"/>
                <w:sz w:val="16"/>
              </w:rPr>
              <w:t>9</w:t>
            </w:r>
          </w:p>
        </w:tc>
        <w:tc>
          <w:tcPr>
            <w:tcW w:w="716" w:type="dxa"/>
          </w:tcPr>
          <w:p>
            <w:pPr>
              <w:pStyle w:val="TableParagraph"/>
              <w:spacing w:before="50"/>
              <w:ind w:right="69"/>
              <w:rPr>
                <w:sz w:val="16"/>
              </w:rPr>
            </w:pPr>
            <w:r>
              <w:rPr>
                <w:sz w:val="16"/>
              </w:rPr>
              <w:t>166.25</w:t>
            </w:r>
          </w:p>
        </w:tc>
        <w:tc>
          <w:tcPr>
            <w:tcW w:w="718" w:type="dxa"/>
          </w:tcPr>
          <w:p>
            <w:pPr>
              <w:pStyle w:val="TableParagraph"/>
              <w:spacing w:before="50"/>
              <w:ind w:right="66"/>
              <w:rPr>
                <w:sz w:val="16"/>
              </w:rPr>
            </w:pPr>
            <w:r>
              <w:rPr>
                <w:sz w:val="16"/>
              </w:rPr>
              <w:t>37.52</w:t>
            </w:r>
          </w:p>
        </w:tc>
        <w:tc>
          <w:tcPr>
            <w:tcW w:w="554" w:type="dxa"/>
          </w:tcPr>
          <w:p>
            <w:pPr>
              <w:pStyle w:val="TableParagraph"/>
              <w:spacing w:before="50"/>
              <w:ind w:right="69"/>
              <w:rPr>
                <w:sz w:val="16"/>
              </w:rPr>
            </w:pPr>
            <w:r>
              <w:rPr>
                <w:w w:val="95"/>
                <w:sz w:val="16"/>
              </w:rPr>
              <w:t>1.37</w:t>
            </w:r>
          </w:p>
        </w:tc>
        <w:tc>
          <w:tcPr>
            <w:tcW w:w="538" w:type="dxa"/>
          </w:tcPr>
          <w:p>
            <w:pPr>
              <w:pStyle w:val="TableParagraph"/>
              <w:spacing w:before="50"/>
              <w:ind w:right="68"/>
              <w:rPr>
                <w:sz w:val="16"/>
              </w:rPr>
            </w:pPr>
            <w:r>
              <w:rPr>
                <w:w w:val="98"/>
                <w:sz w:val="16"/>
              </w:rPr>
              <w:t>0</w:t>
            </w:r>
          </w:p>
        </w:tc>
        <w:tc>
          <w:tcPr>
            <w:tcW w:w="669" w:type="dxa"/>
          </w:tcPr>
          <w:p>
            <w:pPr>
              <w:pStyle w:val="TableParagraph"/>
              <w:spacing w:before="50"/>
              <w:ind w:right="66"/>
              <w:rPr>
                <w:sz w:val="16"/>
              </w:rPr>
            </w:pPr>
            <w:r>
              <w:rPr>
                <w:sz w:val="16"/>
              </w:rPr>
              <w:t>35.57</w:t>
            </w:r>
          </w:p>
        </w:tc>
        <w:tc>
          <w:tcPr>
            <w:tcW w:w="535" w:type="dxa"/>
          </w:tcPr>
          <w:p>
            <w:pPr>
              <w:pStyle w:val="TableParagraph"/>
              <w:spacing w:before="50"/>
              <w:ind w:right="68"/>
              <w:rPr>
                <w:sz w:val="16"/>
              </w:rPr>
            </w:pPr>
            <w:r>
              <w:rPr>
                <w:w w:val="98"/>
                <w:sz w:val="16"/>
              </w:rPr>
              <w:t>0</w:t>
            </w:r>
          </w:p>
        </w:tc>
        <w:tc>
          <w:tcPr>
            <w:tcW w:w="667" w:type="dxa"/>
          </w:tcPr>
          <w:p>
            <w:pPr>
              <w:pStyle w:val="TableParagraph"/>
              <w:spacing w:before="50"/>
              <w:ind w:right="64"/>
              <w:rPr>
                <w:sz w:val="16"/>
              </w:rPr>
            </w:pPr>
            <w:r>
              <w:rPr>
                <w:sz w:val="16"/>
              </w:rPr>
              <w:t>388.95</w:t>
            </w:r>
          </w:p>
        </w:tc>
        <w:tc>
          <w:tcPr>
            <w:tcW w:w="666" w:type="dxa"/>
          </w:tcPr>
          <w:p>
            <w:pPr>
              <w:pStyle w:val="TableParagraph"/>
              <w:spacing w:before="50"/>
              <w:ind w:right="68"/>
              <w:rPr>
                <w:sz w:val="16"/>
              </w:rPr>
            </w:pPr>
            <w:r>
              <w:rPr>
                <w:w w:val="95"/>
                <w:sz w:val="16"/>
              </w:rPr>
              <w:t>78.1</w:t>
            </w:r>
          </w:p>
        </w:tc>
        <w:tc>
          <w:tcPr>
            <w:tcW w:w="543" w:type="dxa"/>
          </w:tcPr>
          <w:p>
            <w:pPr>
              <w:pStyle w:val="TableParagraph"/>
              <w:spacing w:before="50"/>
              <w:ind w:left="110"/>
              <w:jc w:val="left"/>
              <w:rPr>
                <w:sz w:val="16"/>
              </w:rPr>
            </w:pPr>
            <w:r>
              <w:rPr>
                <w:sz w:val="16"/>
              </w:rPr>
              <w:t>95.37</w:t>
            </w:r>
          </w:p>
        </w:tc>
        <w:tc>
          <w:tcPr>
            <w:tcW w:w="679" w:type="dxa"/>
          </w:tcPr>
          <w:p>
            <w:pPr>
              <w:pStyle w:val="TableParagraph"/>
              <w:spacing w:before="50"/>
              <w:ind w:right="70"/>
              <w:rPr>
                <w:sz w:val="16"/>
              </w:rPr>
            </w:pPr>
            <w:r>
              <w:rPr>
                <w:sz w:val="16"/>
              </w:rPr>
              <w:t>48.54</w:t>
            </w:r>
          </w:p>
        </w:tc>
        <w:tc>
          <w:tcPr>
            <w:tcW w:w="594" w:type="dxa"/>
          </w:tcPr>
          <w:p>
            <w:pPr>
              <w:pStyle w:val="TableParagraph"/>
              <w:spacing w:before="50"/>
              <w:ind w:right="64"/>
              <w:rPr>
                <w:sz w:val="16"/>
              </w:rPr>
            </w:pPr>
            <w:r>
              <w:rPr>
                <w:w w:val="95"/>
                <w:sz w:val="16"/>
              </w:rPr>
              <w:t>2.46</w:t>
            </w:r>
          </w:p>
        </w:tc>
        <w:tc>
          <w:tcPr>
            <w:tcW w:w="595" w:type="dxa"/>
          </w:tcPr>
          <w:p>
            <w:pPr>
              <w:pStyle w:val="TableParagraph"/>
              <w:spacing w:before="50"/>
              <w:ind w:right="69"/>
              <w:rPr>
                <w:sz w:val="16"/>
              </w:rPr>
            </w:pPr>
            <w:r>
              <w:rPr>
                <w:w w:val="95"/>
                <w:sz w:val="16"/>
              </w:rPr>
              <w:t>0.16</w:t>
            </w:r>
          </w:p>
        </w:tc>
        <w:tc>
          <w:tcPr>
            <w:tcW w:w="545" w:type="dxa"/>
          </w:tcPr>
          <w:p>
            <w:pPr>
              <w:pStyle w:val="TableParagraph"/>
              <w:spacing w:before="50"/>
              <w:ind w:right="66"/>
              <w:rPr>
                <w:sz w:val="16"/>
              </w:rPr>
            </w:pPr>
            <w:r>
              <w:rPr>
                <w:w w:val="95"/>
                <w:sz w:val="16"/>
              </w:rPr>
              <w:t>0.02</w:t>
            </w:r>
          </w:p>
        </w:tc>
        <w:tc>
          <w:tcPr>
            <w:tcW w:w="598" w:type="dxa"/>
          </w:tcPr>
          <w:p>
            <w:pPr>
              <w:pStyle w:val="TableParagraph"/>
              <w:spacing w:before="50"/>
              <w:ind w:right="69"/>
              <w:rPr>
                <w:sz w:val="16"/>
              </w:rPr>
            </w:pPr>
            <w:r>
              <w:rPr>
                <w:w w:val="95"/>
                <w:sz w:val="16"/>
              </w:rPr>
              <w:t>0.73</w:t>
            </w:r>
          </w:p>
        </w:tc>
        <w:tc>
          <w:tcPr>
            <w:tcW w:w="593" w:type="dxa"/>
          </w:tcPr>
          <w:p>
            <w:pPr>
              <w:pStyle w:val="TableParagraph"/>
              <w:spacing w:before="50"/>
              <w:ind w:right="66"/>
              <w:rPr>
                <w:sz w:val="16"/>
              </w:rPr>
            </w:pPr>
            <w:r>
              <w:rPr>
                <w:w w:val="95"/>
                <w:sz w:val="16"/>
              </w:rPr>
              <w:t>2.25</w:t>
            </w:r>
          </w:p>
        </w:tc>
        <w:tc>
          <w:tcPr>
            <w:tcW w:w="830" w:type="dxa"/>
          </w:tcPr>
          <w:p>
            <w:pPr>
              <w:pStyle w:val="TableParagraph"/>
              <w:spacing w:before="50"/>
              <w:ind w:right="66"/>
              <w:rPr>
                <w:sz w:val="16"/>
              </w:rPr>
            </w:pPr>
            <w:r>
              <w:rPr>
                <w:w w:val="95"/>
                <w:sz w:val="16"/>
              </w:rPr>
              <w:t>0.57</w:t>
            </w:r>
          </w:p>
        </w:tc>
        <w:tc>
          <w:tcPr>
            <w:tcW w:w="821" w:type="dxa"/>
          </w:tcPr>
          <w:p>
            <w:pPr>
              <w:pStyle w:val="TableParagraph"/>
              <w:spacing w:before="50"/>
              <w:ind w:right="66"/>
              <w:rPr>
                <w:sz w:val="16"/>
              </w:rPr>
            </w:pPr>
            <w:r>
              <w:rPr>
                <w:w w:val="95"/>
                <w:sz w:val="16"/>
              </w:rPr>
              <w:t>0.23</w:t>
            </w:r>
          </w:p>
        </w:tc>
        <w:tc>
          <w:tcPr>
            <w:tcW w:w="831" w:type="dxa"/>
          </w:tcPr>
          <w:p>
            <w:pPr>
              <w:pStyle w:val="TableParagraph"/>
              <w:spacing w:before="50"/>
              <w:ind w:right="66"/>
              <w:rPr>
                <w:sz w:val="16"/>
              </w:rPr>
            </w:pPr>
            <w:r>
              <w:rPr>
                <w:w w:val="95"/>
                <w:sz w:val="16"/>
              </w:rPr>
              <w:t>0.12</w:t>
            </w:r>
          </w:p>
        </w:tc>
        <w:tc>
          <w:tcPr>
            <w:tcW w:w="891" w:type="dxa"/>
          </w:tcPr>
          <w:p>
            <w:pPr>
              <w:pStyle w:val="TableParagraph"/>
              <w:spacing w:before="50"/>
              <w:ind w:right="198"/>
              <w:rPr>
                <w:sz w:val="16"/>
              </w:rPr>
            </w:pPr>
            <w:r>
              <w:rPr>
                <w:w w:val="98"/>
                <w:sz w:val="16"/>
              </w:rPr>
              <w:t>0</w:t>
            </w:r>
          </w:p>
        </w:tc>
      </w:tr>
      <w:tr>
        <w:trPr>
          <w:trHeight w:val="300" w:hRule="exact"/>
        </w:trPr>
        <w:tc>
          <w:tcPr>
            <w:tcW w:w="685" w:type="dxa"/>
          </w:tcPr>
          <w:p>
            <w:pPr>
              <w:pStyle w:val="TableParagraph"/>
              <w:spacing w:before="47"/>
              <w:ind w:right="65"/>
              <w:rPr>
                <w:sz w:val="16"/>
              </w:rPr>
            </w:pPr>
            <w:r>
              <w:rPr>
                <w:sz w:val="16"/>
              </w:rPr>
              <w:t>10</w:t>
            </w:r>
          </w:p>
        </w:tc>
        <w:tc>
          <w:tcPr>
            <w:tcW w:w="716" w:type="dxa"/>
          </w:tcPr>
          <w:p>
            <w:pPr>
              <w:pStyle w:val="TableParagraph"/>
              <w:spacing w:before="47"/>
              <w:ind w:right="69"/>
              <w:rPr>
                <w:sz w:val="16"/>
              </w:rPr>
            </w:pPr>
            <w:r>
              <w:rPr>
                <w:sz w:val="16"/>
              </w:rPr>
              <w:t>51.19</w:t>
            </w:r>
          </w:p>
        </w:tc>
        <w:tc>
          <w:tcPr>
            <w:tcW w:w="718" w:type="dxa"/>
          </w:tcPr>
          <w:p>
            <w:pPr>
              <w:pStyle w:val="TableParagraph"/>
              <w:spacing w:before="47"/>
              <w:ind w:right="66"/>
              <w:rPr>
                <w:sz w:val="16"/>
              </w:rPr>
            </w:pPr>
            <w:r>
              <w:rPr>
                <w:sz w:val="16"/>
              </w:rPr>
              <w:t>10.33</w:t>
            </w:r>
          </w:p>
        </w:tc>
        <w:tc>
          <w:tcPr>
            <w:tcW w:w="554" w:type="dxa"/>
          </w:tcPr>
          <w:p>
            <w:pPr>
              <w:pStyle w:val="TableParagraph"/>
              <w:spacing w:before="47"/>
              <w:ind w:right="73"/>
              <w:rPr>
                <w:sz w:val="16"/>
              </w:rPr>
            </w:pPr>
            <w:r>
              <w:rPr>
                <w:w w:val="95"/>
                <w:sz w:val="16"/>
              </w:rPr>
              <w:t>1.5</w:t>
            </w:r>
          </w:p>
        </w:tc>
        <w:tc>
          <w:tcPr>
            <w:tcW w:w="538" w:type="dxa"/>
          </w:tcPr>
          <w:p>
            <w:pPr>
              <w:pStyle w:val="TableParagraph"/>
              <w:spacing w:before="47"/>
              <w:ind w:right="68"/>
              <w:rPr>
                <w:sz w:val="16"/>
              </w:rPr>
            </w:pPr>
            <w:r>
              <w:rPr>
                <w:w w:val="99"/>
                <w:sz w:val="16"/>
              </w:rPr>
              <w:t>0</w:t>
            </w:r>
          </w:p>
        </w:tc>
        <w:tc>
          <w:tcPr>
            <w:tcW w:w="669" w:type="dxa"/>
          </w:tcPr>
          <w:p>
            <w:pPr>
              <w:pStyle w:val="TableParagraph"/>
              <w:spacing w:before="47"/>
              <w:ind w:right="66"/>
              <w:rPr>
                <w:sz w:val="16"/>
              </w:rPr>
            </w:pPr>
            <w:r>
              <w:rPr>
                <w:w w:val="95"/>
                <w:sz w:val="16"/>
              </w:rPr>
              <w:t>15.7</w:t>
            </w:r>
          </w:p>
        </w:tc>
        <w:tc>
          <w:tcPr>
            <w:tcW w:w="535" w:type="dxa"/>
          </w:tcPr>
          <w:p>
            <w:pPr>
              <w:pStyle w:val="TableParagraph"/>
              <w:spacing w:before="47"/>
              <w:ind w:right="68"/>
              <w:rPr>
                <w:sz w:val="16"/>
              </w:rPr>
            </w:pPr>
            <w:r>
              <w:rPr>
                <w:w w:val="99"/>
                <w:sz w:val="16"/>
              </w:rPr>
              <w:t>0</w:t>
            </w:r>
          </w:p>
        </w:tc>
        <w:tc>
          <w:tcPr>
            <w:tcW w:w="667" w:type="dxa"/>
          </w:tcPr>
          <w:p>
            <w:pPr>
              <w:pStyle w:val="TableParagraph"/>
              <w:spacing w:before="47"/>
              <w:ind w:right="64"/>
              <w:rPr>
                <w:sz w:val="16"/>
              </w:rPr>
            </w:pPr>
            <w:r>
              <w:rPr>
                <w:sz w:val="16"/>
              </w:rPr>
              <w:t>350.43</w:t>
            </w:r>
          </w:p>
        </w:tc>
        <w:tc>
          <w:tcPr>
            <w:tcW w:w="666" w:type="dxa"/>
          </w:tcPr>
          <w:p>
            <w:pPr>
              <w:pStyle w:val="TableParagraph"/>
              <w:spacing w:before="47"/>
              <w:ind w:right="68"/>
              <w:rPr>
                <w:sz w:val="16"/>
              </w:rPr>
            </w:pPr>
            <w:r>
              <w:rPr>
                <w:sz w:val="16"/>
              </w:rPr>
              <w:t>61.89</w:t>
            </w:r>
          </w:p>
        </w:tc>
        <w:tc>
          <w:tcPr>
            <w:tcW w:w="543" w:type="dxa"/>
          </w:tcPr>
          <w:p>
            <w:pPr>
              <w:pStyle w:val="TableParagraph"/>
              <w:spacing w:before="47"/>
              <w:ind w:left="110"/>
              <w:jc w:val="left"/>
              <w:rPr>
                <w:sz w:val="16"/>
              </w:rPr>
            </w:pPr>
            <w:r>
              <w:rPr>
                <w:sz w:val="16"/>
              </w:rPr>
              <w:t>93.36</w:t>
            </w:r>
          </w:p>
        </w:tc>
        <w:tc>
          <w:tcPr>
            <w:tcW w:w="679" w:type="dxa"/>
          </w:tcPr>
          <w:p>
            <w:pPr>
              <w:pStyle w:val="TableParagraph"/>
              <w:spacing w:before="47"/>
              <w:ind w:right="70"/>
              <w:rPr>
                <w:sz w:val="16"/>
              </w:rPr>
            </w:pPr>
            <w:r>
              <w:rPr>
                <w:w w:val="95"/>
                <w:sz w:val="16"/>
              </w:rPr>
              <w:t>22.8</w:t>
            </w:r>
          </w:p>
        </w:tc>
        <w:tc>
          <w:tcPr>
            <w:tcW w:w="594" w:type="dxa"/>
          </w:tcPr>
          <w:p>
            <w:pPr>
              <w:pStyle w:val="TableParagraph"/>
              <w:spacing w:before="47"/>
              <w:ind w:right="64"/>
              <w:rPr>
                <w:sz w:val="16"/>
              </w:rPr>
            </w:pPr>
            <w:r>
              <w:rPr>
                <w:w w:val="95"/>
                <w:sz w:val="16"/>
              </w:rPr>
              <w:t>0.44</w:t>
            </w:r>
          </w:p>
        </w:tc>
        <w:tc>
          <w:tcPr>
            <w:tcW w:w="595" w:type="dxa"/>
          </w:tcPr>
          <w:p>
            <w:pPr>
              <w:pStyle w:val="TableParagraph"/>
              <w:spacing w:before="47"/>
              <w:ind w:right="69"/>
              <w:rPr>
                <w:sz w:val="16"/>
              </w:rPr>
            </w:pPr>
            <w:r>
              <w:rPr>
                <w:w w:val="95"/>
                <w:sz w:val="16"/>
              </w:rPr>
              <w:t>0.03</w:t>
            </w:r>
          </w:p>
        </w:tc>
        <w:tc>
          <w:tcPr>
            <w:tcW w:w="545" w:type="dxa"/>
          </w:tcPr>
          <w:p>
            <w:pPr>
              <w:pStyle w:val="TableParagraph"/>
              <w:spacing w:before="47"/>
              <w:ind w:right="66"/>
              <w:rPr>
                <w:sz w:val="16"/>
              </w:rPr>
            </w:pPr>
            <w:r>
              <w:rPr>
                <w:w w:val="95"/>
                <w:sz w:val="16"/>
              </w:rPr>
              <w:t>0.02</w:t>
            </w:r>
          </w:p>
        </w:tc>
        <w:tc>
          <w:tcPr>
            <w:tcW w:w="598" w:type="dxa"/>
          </w:tcPr>
          <w:p>
            <w:pPr>
              <w:pStyle w:val="TableParagraph"/>
              <w:spacing w:before="47"/>
              <w:ind w:right="69"/>
              <w:rPr>
                <w:sz w:val="16"/>
              </w:rPr>
            </w:pPr>
            <w:r>
              <w:rPr>
                <w:w w:val="95"/>
                <w:sz w:val="16"/>
              </w:rPr>
              <w:t>0.16</w:t>
            </w:r>
          </w:p>
        </w:tc>
        <w:tc>
          <w:tcPr>
            <w:tcW w:w="593" w:type="dxa"/>
          </w:tcPr>
          <w:p>
            <w:pPr>
              <w:pStyle w:val="TableParagraph"/>
              <w:spacing w:before="47"/>
              <w:ind w:right="66"/>
              <w:rPr>
                <w:sz w:val="16"/>
              </w:rPr>
            </w:pPr>
            <w:r>
              <w:rPr>
                <w:w w:val="95"/>
                <w:sz w:val="16"/>
              </w:rPr>
              <w:t>0.58</w:t>
            </w:r>
          </w:p>
        </w:tc>
        <w:tc>
          <w:tcPr>
            <w:tcW w:w="830" w:type="dxa"/>
          </w:tcPr>
          <w:p>
            <w:pPr>
              <w:pStyle w:val="TableParagraph"/>
              <w:spacing w:before="47"/>
              <w:ind w:right="66"/>
              <w:rPr>
                <w:sz w:val="16"/>
              </w:rPr>
            </w:pPr>
            <w:r>
              <w:rPr>
                <w:w w:val="95"/>
                <w:sz w:val="16"/>
              </w:rPr>
              <w:t>0.11</w:t>
            </w:r>
          </w:p>
        </w:tc>
        <w:tc>
          <w:tcPr>
            <w:tcW w:w="821" w:type="dxa"/>
          </w:tcPr>
          <w:p>
            <w:pPr>
              <w:pStyle w:val="TableParagraph"/>
              <w:spacing w:before="47"/>
              <w:ind w:right="66"/>
              <w:rPr>
                <w:sz w:val="16"/>
              </w:rPr>
            </w:pPr>
            <w:r>
              <w:rPr>
                <w:w w:val="95"/>
                <w:sz w:val="16"/>
              </w:rPr>
              <w:t>0.06</w:t>
            </w:r>
          </w:p>
        </w:tc>
        <w:tc>
          <w:tcPr>
            <w:tcW w:w="831" w:type="dxa"/>
          </w:tcPr>
          <w:p>
            <w:pPr>
              <w:pStyle w:val="TableParagraph"/>
              <w:spacing w:before="47"/>
              <w:ind w:right="66"/>
              <w:rPr>
                <w:sz w:val="16"/>
              </w:rPr>
            </w:pPr>
            <w:r>
              <w:rPr>
                <w:w w:val="95"/>
                <w:sz w:val="16"/>
              </w:rPr>
              <w:t>0.02</w:t>
            </w:r>
          </w:p>
        </w:tc>
        <w:tc>
          <w:tcPr>
            <w:tcW w:w="891" w:type="dxa"/>
          </w:tcPr>
          <w:p>
            <w:pPr>
              <w:pStyle w:val="TableParagraph"/>
              <w:spacing w:before="47"/>
              <w:ind w:right="198"/>
              <w:rPr>
                <w:sz w:val="16"/>
              </w:rPr>
            </w:pPr>
            <w:r>
              <w:rPr>
                <w:w w:val="99"/>
                <w:sz w:val="16"/>
              </w:rPr>
              <w:t>0</w:t>
            </w:r>
          </w:p>
        </w:tc>
      </w:tr>
      <w:tr>
        <w:trPr>
          <w:trHeight w:val="300" w:hRule="exact"/>
        </w:trPr>
        <w:tc>
          <w:tcPr>
            <w:tcW w:w="685" w:type="dxa"/>
          </w:tcPr>
          <w:p>
            <w:pPr>
              <w:pStyle w:val="TableParagraph"/>
              <w:spacing w:before="50"/>
              <w:ind w:right="65"/>
              <w:rPr>
                <w:sz w:val="16"/>
              </w:rPr>
            </w:pPr>
            <w:r>
              <w:rPr>
                <w:sz w:val="16"/>
              </w:rPr>
              <w:t>11</w:t>
            </w:r>
          </w:p>
        </w:tc>
        <w:tc>
          <w:tcPr>
            <w:tcW w:w="716" w:type="dxa"/>
          </w:tcPr>
          <w:p>
            <w:pPr>
              <w:pStyle w:val="TableParagraph"/>
              <w:spacing w:before="50"/>
              <w:ind w:right="69"/>
              <w:rPr>
                <w:sz w:val="16"/>
              </w:rPr>
            </w:pPr>
            <w:r>
              <w:rPr>
                <w:w w:val="95"/>
                <w:sz w:val="16"/>
              </w:rPr>
              <w:t>3.68</w:t>
            </w:r>
          </w:p>
        </w:tc>
        <w:tc>
          <w:tcPr>
            <w:tcW w:w="718" w:type="dxa"/>
          </w:tcPr>
          <w:p>
            <w:pPr>
              <w:pStyle w:val="TableParagraph"/>
              <w:spacing w:before="50"/>
              <w:ind w:right="66"/>
              <w:rPr>
                <w:sz w:val="16"/>
              </w:rPr>
            </w:pPr>
            <w:r>
              <w:rPr>
                <w:w w:val="95"/>
                <w:sz w:val="16"/>
              </w:rPr>
              <w:t>0.19</w:t>
            </w:r>
          </w:p>
        </w:tc>
        <w:tc>
          <w:tcPr>
            <w:tcW w:w="554" w:type="dxa"/>
          </w:tcPr>
          <w:p>
            <w:pPr>
              <w:pStyle w:val="TableParagraph"/>
              <w:spacing w:before="50"/>
              <w:ind w:right="69"/>
              <w:rPr>
                <w:sz w:val="16"/>
              </w:rPr>
            </w:pPr>
            <w:r>
              <w:rPr>
                <w:w w:val="95"/>
                <w:sz w:val="16"/>
              </w:rPr>
              <w:t>1.17</w:t>
            </w:r>
          </w:p>
        </w:tc>
        <w:tc>
          <w:tcPr>
            <w:tcW w:w="538" w:type="dxa"/>
          </w:tcPr>
          <w:p>
            <w:pPr>
              <w:pStyle w:val="TableParagraph"/>
              <w:spacing w:before="50"/>
              <w:ind w:right="68"/>
              <w:rPr>
                <w:sz w:val="16"/>
              </w:rPr>
            </w:pPr>
            <w:r>
              <w:rPr>
                <w:w w:val="98"/>
                <w:sz w:val="16"/>
              </w:rPr>
              <w:t>0</w:t>
            </w:r>
          </w:p>
        </w:tc>
        <w:tc>
          <w:tcPr>
            <w:tcW w:w="669" w:type="dxa"/>
          </w:tcPr>
          <w:p>
            <w:pPr>
              <w:pStyle w:val="TableParagraph"/>
              <w:spacing w:before="50"/>
              <w:ind w:right="71"/>
              <w:rPr>
                <w:sz w:val="16"/>
              </w:rPr>
            </w:pPr>
            <w:r>
              <w:rPr>
                <w:w w:val="95"/>
                <w:sz w:val="16"/>
              </w:rPr>
              <w:t>2.8</w:t>
            </w:r>
          </w:p>
        </w:tc>
        <w:tc>
          <w:tcPr>
            <w:tcW w:w="535" w:type="dxa"/>
          </w:tcPr>
          <w:p>
            <w:pPr>
              <w:pStyle w:val="TableParagraph"/>
              <w:spacing w:before="50"/>
              <w:ind w:right="68"/>
              <w:rPr>
                <w:sz w:val="16"/>
              </w:rPr>
            </w:pPr>
            <w:r>
              <w:rPr>
                <w:w w:val="98"/>
                <w:sz w:val="16"/>
              </w:rPr>
              <w:t>0</w:t>
            </w:r>
          </w:p>
        </w:tc>
        <w:tc>
          <w:tcPr>
            <w:tcW w:w="667" w:type="dxa"/>
          </w:tcPr>
          <w:p>
            <w:pPr>
              <w:pStyle w:val="TableParagraph"/>
              <w:spacing w:before="50"/>
              <w:ind w:right="64"/>
              <w:rPr>
                <w:sz w:val="16"/>
              </w:rPr>
            </w:pPr>
            <w:r>
              <w:rPr>
                <w:sz w:val="16"/>
              </w:rPr>
              <w:t>326.87</w:t>
            </w:r>
          </w:p>
        </w:tc>
        <w:tc>
          <w:tcPr>
            <w:tcW w:w="666" w:type="dxa"/>
          </w:tcPr>
          <w:p>
            <w:pPr>
              <w:pStyle w:val="TableParagraph"/>
              <w:spacing w:before="50"/>
              <w:ind w:right="68"/>
              <w:rPr>
                <w:sz w:val="16"/>
              </w:rPr>
            </w:pPr>
            <w:r>
              <w:rPr>
                <w:sz w:val="16"/>
              </w:rPr>
              <w:t>24.15</w:t>
            </w:r>
          </w:p>
        </w:tc>
        <w:tc>
          <w:tcPr>
            <w:tcW w:w="543" w:type="dxa"/>
          </w:tcPr>
          <w:p>
            <w:pPr>
              <w:pStyle w:val="TableParagraph"/>
              <w:spacing w:before="50"/>
              <w:ind w:left="110"/>
              <w:jc w:val="left"/>
              <w:rPr>
                <w:sz w:val="16"/>
              </w:rPr>
            </w:pPr>
            <w:r>
              <w:rPr>
                <w:sz w:val="16"/>
              </w:rPr>
              <w:t>82.18</w:t>
            </w:r>
          </w:p>
        </w:tc>
        <w:tc>
          <w:tcPr>
            <w:tcW w:w="679" w:type="dxa"/>
          </w:tcPr>
          <w:p>
            <w:pPr>
              <w:pStyle w:val="TableParagraph"/>
              <w:spacing w:before="50"/>
              <w:ind w:right="70"/>
              <w:rPr>
                <w:sz w:val="16"/>
              </w:rPr>
            </w:pPr>
            <w:r>
              <w:rPr>
                <w:sz w:val="16"/>
              </w:rPr>
              <w:t>12.66</w:t>
            </w:r>
          </w:p>
        </w:tc>
        <w:tc>
          <w:tcPr>
            <w:tcW w:w="594" w:type="dxa"/>
          </w:tcPr>
          <w:p>
            <w:pPr>
              <w:pStyle w:val="TableParagraph"/>
              <w:spacing w:before="50"/>
              <w:ind w:right="68"/>
              <w:rPr>
                <w:sz w:val="16"/>
              </w:rPr>
            </w:pPr>
            <w:r>
              <w:rPr>
                <w:w w:val="98"/>
                <w:sz w:val="16"/>
              </w:rPr>
              <w:t>0</w:t>
            </w:r>
          </w:p>
        </w:tc>
        <w:tc>
          <w:tcPr>
            <w:tcW w:w="595" w:type="dxa"/>
          </w:tcPr>
          <w:p>
            <w:pPr>
              <w:pStyle w:val="TableParagraph"/>
              <w:spacing w:before="50"/>
              <w:ind w:right="73"/>
              <w:rPr>
                <w:sz w:val="16"/>
              </w:rPr>
            </w:pPr>
            <w:r>
              <w:rPr>
                <w:w w:val="98"/>
                <w:sz w:val="16"/>
              </w:rPr>
              <w:t>0</w:t>
            </w:r>
          </w:p>
        </w:tc>
        <w:tc>
          <w:tcPr>
            <w:tcW w:w="545" w:type="dxa"/>
          </w:tcPr>
          <w:p>
            <w:pPr>
              <w:pStyle w:val="TableParagraph"/>
              <w:spacing w:before="50"/>
              <w:ind w:right="66"/>
              <w:rPr>
                <w:sz w:val="16"/>
              </w:rPr>
            </w:pPr>
            <w:r>
              <w:rPr>
                <w:w w:val="95"/>
                <w:sz w:val="16"/>
              </w:rPr>
              <w:t>0.01</w:t>
            </w:r>
          </w:p>
        </w:tc>
        <w:tc>
          <w:tcPr>
            <w:tcW w:w="598" w:type="dxa"/>
          </w:tcPr>
          <w:p>
            <w:pPr>
              <w:pStyle w:val="TableParagraph"/>
              <w:spacing w:before="50"/>
              <w:ind w:right="69"/>
              <w:rPr>
                <w:sz w:val="16"/>
              </w:rPr>
            </w:pPr>
            <w:r>
              <w:rPr>
                <w:w w:val="95"/>
                <w:sz w:val="16"/>
              </w:rPr>
              <w:t>0.01</w:t>
            </w:r>
          </w:p>
        </w:tc>
        <w:tc>
          <w:tcPr>
            <w:tcW w:w="593" w:type="dxa"/>
          </w:tcPr>
          <w:p>
            <w:pPr>
              <w:pStyle w:val="TableParagraph"/>
              <w:spacing w:before="50"/>
              <w:ind w:right="66"/>
              <w:rPr>
                <w:sz w:val="16"/>
              </w:rPr>
            </w:pPr>
            <w:r>
              <w:rPr>
                <w:w w:val="95"/>
                <w:sz w:val="16"/>
              </w:rPr>
              <w:t>0.16</w:t>
            </w:r>
          </w:p>
        </w:tc>
        <w:tc>
          <w:tcPr>
            <w:tcW w:w="830" w:type="dxa"/>
          </w:tcPr>
          <w:p>
            <w:pPr>
              <w:pStyle w:val="TableParagraph"/>
              <w:spacing w:before="50"/>
              <w:ind w:right="66"/>
              <w:rPr>
                <w:sz w:val="16"/>
              </w:rPr>
            </w:pPr>
            <w:r>
              <w:rPr>
                <w:w w:val="95"/>
                <w:sz w:val="16"/>
              </w:rPr>
              <w:t>0.01</w:t>
            </w:r>
          </w:p>
        </w:tc>
        <w:tc>
          <w:tcPr>
            <w:tcW w:w="821" w:type="dxa"/>
          </w:tcPr>
          <w:p>
            <w:pPr>
              <w:pStyle w:val="TableParagraph"/>
              <w:spacing w:before="50"/>
              <w:ind w:right="70"/>
              <w:rPr>
                <w:sz w:val="16"/>
              </w:rPr>
            </w:pPr>
            <w:r>
              <w:rPr>
                <w:w w:val="98"/>
                <w:sz w:val="16"/>
              </w:rPr>
              <w:t>0</w:t>
            </w:r>
          </w:p>
        </w:tc>
        <w:tc>
          <w:tcPr>
            <w:tcW w:w="831" w:type="dxa"/>
          </w:tcPr>
          <w:p>
            <w:pPr>
              <w:pStyle w:val="TableParagraph"/>
              <w:spacing w:before="50"/>
              <w:ind w:right="72"/>
              <w:rPr>
                <w:sz w:val="16"/>
              </w:rPr>
            </w:pPr>
            <w:r>
              <w:rPr>
                <w:w w:val="98"/>
                <w:sz w:val="16"/>
              </w:rPr>
              <w:t>0</w:t>
            </w:r>
          </w:p>
        </w:tc>
        <w:tc>
          <w:tcPr>
            <w:tcW w:w="891" w:type="dxa"/>
          </w:tcPr>
          <w:p>
            <w:pPr>
              <w:pStyle w:val="TableParagraph"/>
              <w:spacing w:before="50"/>
              <w:ind w:right="198"/>
              <w:rPr>
                <w:sz w:val="16"/>
              </w:rPr>
            </w:pPr>
            <w:r>
              <w:rPr>
                <w:w w:val="98"/>
                <w:sz w:val="16"/>
              </w:rPr>
              <w:t>0</w:t>
            </w:r>
          </w:p>
        </w:tc>
      </w:tr>
      <w:tr>
        <w:trPr>
          <w:trHeight w:val="449" w:hRule="exact"/>
        </w:trPr>
        <w:tc>
          <w:tcPr>
            <w:tcW w:w="685" w:type="dxa"/>
          </w:tcPr>
          <w:p>
            <w:pPr>
              <w:pStyle w:val="TableParagraph"/>
              <w:spacing w:before="48"/>
              <w:ind w:right="65"/>
              <w:rPr>
                <w:sz w:val="16"/>
              </w:rPr>
            </w:pPr>
            <w:r>
              <w:rPr>
                <w:sz w:val="16"/>
              </w:rPr>
              <w:t>12</w:t>
            </w:r>
          </w:p>
        </w:tc>
        <w:tc>
          <w:tcPr>
            <w:tcW w:w="716" w:type="dxa"/>
          </w:tcPr>
          <w:p>
            <w:pPr>
              <w:pStyle w:val="TableParagraph"/>
              <w:spacing w:before="48"/>
              <w:ind w:right="69"/>
              <w:rPr>
                <w:sz w:val="16"/>
              </w:rPr>
            </w:pPr>
            <w:r>
              <w:rPr>
                <w:sz w:val="16"/>
              </w:rPr>
              <w:t>13.11</w:t>
            </w:r>
          </w:p>
        </w:tc>
        <w:tc>
          <w:tcPr>
            <w:tcW w:w="718" w:type="dxa"/>
          </w:tcPr>
          <w:p>
            <w:pPr>
              <w:pStyle w:val="TableParagraph"/>
              <w:spacing w:before="48"/>
              <w:ind w:right="66"/>
              <w:rPr>
                <w:sz w:val="16"/>
              </w:rPr>
            </w:pPr>
            <w:r>
              <w:rPr>
                <w:w w:val="95"/>
                <w:sz w:val="16"/>
              </w:rPr>
              <w:t>0.26</w:t>
            </w:r>
          </w:p>
        </w:tc>
        <w:tc>
          <w:tcPr>
            <w:tcW w:w="554" w:type="dxa"/>
          </w:tcPr>
          <w:p>
            <w:pPr>
              <w:pStyle w:val="TableParagraph"/>
              <w:spacing w:before="48"/>
              <w:ind w:right="69"/>
              <w:rPr>
                <w:sz w:val="16"/>
              </w:rPr>
            </w:pPr>
            <w:r>
              <w:rPr>
                <w:w w:val="95"/>
                <w:sz w:val="16"/>
              </w:rPr>
              <w:t>0.91</w:t>
            </w:r>
          </w:p>
        </w:tc>
        <w:tc>
          <w:tcPr>
            <w:tcW w:w="538" w:type="dxa"/>
          </w:tcPr>
          <w:p>
            <w:pPr>
              <w:pStyle w:val="TableParagraph"/>
              <w:spacing w:before="48"/>
              <w:ind w:right="68"/>
              <w:rPr>
                <w:sz w:val="16"/>
              </w:rPr>
            </w:pPr>
            <w:r>
              <w:rPr>
                <w:w w:val="98"/>
                <w:sz w:val="16"/>
              </w:rPr>
              <w:t>0</w:t>
            </w:r>
          </w:p>
        </w:tc>
        <w:tc>
          <w:tcPr>
            <w:tcW w:w="669" w:type="dxa"/>
          </w:tcPr>
          <w:p>
            <w:pPr>
              <w:pStyle w:val="TableParagraph"/>
              <w:spacing w:before="48"/>
              <w:ind w:right="66"/>
              <w:rPr>
                <w:sz w:val="16"/>
              </w:rPr>
            </w:pPr>
            <w:r>
              <w:rPr>
                <w:w w:val="95"/>
                <w:sz w:val="16"/>
              </w:rPr>
              <w:t>0.22</w:t>
            </w:r>
          </w:p>
        </w:tc>
        <w:tc>
          <w:tcPr>
            <w:tcW w:w="535" w:type="dxa"/>
          </w:tcPr>
          <w:p>
            <w:pPr>
              <w:pStyle w:val="TableParagraph"/>
              <w:spacing w:before="48"/>
              <w:ind w:right="68"/>
              <w:rPr>
                <w:sz w:val="16"/>
              </w:rPr>
            </w:pPr>
            <w:r>
              <w:rPr>
                <w:w w:val="98"/>
                <w:sz w:val="16"/>
              </w:rPr>
              <w:t>0</w:t>
            </w:r>
          </w:p>
        </w:tc>
        <w:tc>
          <w:tcPr>
            <w:tcW w:w="667" w:type="dxa"/>
          </w:tcPr>
          <w:p>
            <w:pPr>
              <w:pStyle w:val="TableParagraph"/>
              <w:spacing w:before="48"/>
              <w:ind w:right="64"/>
              <w:rPr>
                <w:sz w:val="16"/>
              </w:rPr>
            </w:pPr>
            <w:r>
              <w:rPr>
                <w:sz w:val="16"/>
              </w:rPr>
              <w:t>324.99</w:t>
            </w:r>
          </w:p>
        </w:tc>
        <w:tc>
          <w:tcPr>
            <w:tcW w:w="666" w:type="dxa"/>
          </w:tcPr>
          <w:p>
            <w:pPr>
              <w:pStyle w:val="TableParagraph"/>
              <w:spacing w:before="48"/>
              <w:ind w:right="68"/>
              <w:rPr>
                <w:sz w:val="16"/>
              </w:rPr>
            </w:pPr>
            <w:r>
              <w:rPr>
                <w:sz w:val="16"/>
              </w:rPr>
              <w:t>14.39</w:t>
            </w:r>
          </w:p>
        </w:tc>
        <w:tc>
          <w:tcPr>
            <w:tcW w:w="543" w:type="dxa"/>
          </w:tcPr>
          <w:p>
            <w:pPr>
              <w:pStyle w:val="TableParagraph"/>
              <w:spacing w:before="48"/>
              <w:ind w:left="110"/>
              <w:jc w:val="left"/>
              <w:rPr>
                <w:sz w:val="16"/>
              </w:rPr>
            </w:pPr>
            <w:r>
              <w:rPr>
                <w:sz w:val="16"/>
              </w:rPr>
              <w:t>67.95</w:t>
            </w:r>
          </w:p>
        </w:tc>
        <w:tc>
          <w:tcPr>
            <w:tcW w:w="679" w:type="dxa"/>
          </w:tcPr>
          <w:p>
            <w:pPr>
              <w:pStyle w:val="TableParagraph"/>
              <w:spacing w:before="48"/>
              <w:ind w:right="70"/>
              <w:rPr>
                <w:sz w:val="16"/>
              </w:rPr>
            </w:pPr>
            <w:r>
              <w:rPr>
                <w:w w:val="95"/>
                <w:sz w:val="16"/>
              </w:rPr>
              <w:t>12.5</w:t>
            </w:r>
          </w:p>
        </w:tc>
        <w:tc>
          <w:tcPr>
            <w:tcW w:w="594" w:type="dxa"/>
          </w:tcPr>
          <w:p>
            <w:pPr>
              <w:pStyle w:val="TableParagraph"/>
              <w:spacing w:before="48"/>
              <w:ind w:right="64"/>
              <w:rPr>
                <w:sz w:val="16"/>
              </w:rPr>
            </w:pPr>
            <w:r>
              <w:rPr>
                <w:w w:val="95"/>
                <w:sz w:val="16"/>
              </w:rPr>
              <w:t>0.01</w:t>
            </w:r>
          </w:p>
        </w:tc>
        <w:tc>
          <w:tcPr>
            <w:tcW w:w="595" w:type="dxa"/>
          </w:tcPr>
          <w:p>
            <w:pPr>
              <w:pStyle w:val="TableParagraph"/>
              <w:spacing w:before="48"/>
              <w:ind w:right="73"/>
              <w:rPr>
                <w:sz w:val="16"/>
              </w:rPr>
            </w:pPr>
            <w:r>
              <w:rPr>
                <w:w w:val="98"/>
                <w:sz w:val="16"/>
              </w:rPr>
              <w:t>0</w:t>
            </w:r>
          </w:p>
        </w:tc>
        <w:tc>
          <w:tcPr>
            <w:tcW w:w="545" w:type="dxa"/>
          </w:tcPr>
          <w:p>
            <w:pPr>
              <w:pStyle w:val="TableParagraph"/>
              <w:spacing w:before="48"/>
              <w:ind w:right="66"/>
              <w:rPr>
                <w:sz w:val="16"/>
              </w:rPr>
            </w:pPr>
            <w:r>
              <w:rPr>
                <w:w w:val="95"/>
                <w:sz w:val="16"/>
              </w:rPr>
              <w:t>0.01</w:t>
            </w:r>
          </w:p>
        </w:tc>
        <w:tc>
          <w:tcPr>
            <w:tcW w:w="598" w:type="dxa"/>
          </w:tcPr>
          <w:p>
            <w:pPr>
              <w:pStyle w:val="TableParagraph"/>
              <w:spacing w:before="48"/>
              <w:ind w:right="73"/>
              <w:rPr>
                <w:sz w:val="16"/>
              </w:rPr>
            </w:pPr>
            <w:r>
              <w:rPr>
                <w:w w:val="98"/>
                <w:sz w:val="16"/>
              </w:rPr>
              <w:t>0</w:t>
            </w:r>
          </w:p>
        </w:tc>
        <w:tc>
          <w:tcPr>
            <w:tcW w:w="593" w:type="dxa"/>
          </w:tcPr>
          <w:p>
            <w:pPr>
              <w:pStyle w:val="TableParagraph"/>
              <w:spacing w:before="48"/>
              <w:ind w:right="71"/>
              <w:rPr>
                <w:sz w:val="16"/>
              </w:rPr>
            </w:pPr>
            <w:r>
              <w:rPr>
                <w:w w:val="95"/>
                <w:sz w:val="16"/>
              </w:rPr>
              <w:t>0.3</w:t>
            </w:r>
          </w:p>
        </w:tc>
        <w:tc>
          <w:tcPr>
            <w:tcW w:w="830" w:type="dxa"/>
          </w:tcPr>
          <w:p>
            <w:pPr>
              <w:pStyle w:val="TableParagraph"/>
              <w:spacing w:before="48"/>
              <w:ind w:right="72"/>
              <w:rPr>
                <w:sz w:val="16"/>
              </w:rPr>
            </w:pPr>
            <w:r>
              <w:rPr>
                <w:w w:val="98"/>
                <w:sz w:val="16"/>
              </w:rPr>
              <w:t>0</w:t>
            </w:r>
          </w:p>
        </w:tc>
        <w:tc>
          <w:tcPr>
            <w:tcW w:w="821" w:type="dxa"/>
          </w:tcPr>
          <w:p>
            <w:pPr>
              <w:pStyle w:val="TableParagraph"/>
              <w:spacing w:before="48"/>
              <w:ind w:right="70"/>
              <w:rPr>
                <w:sz w:val="16"/>
              </w:rPr>
            </w:pPr>
            <w:r>
              <w:rPr>
                <w:w w:val="98"/>
                <w:sz w:val="16"/>
              </w:rPr>
              <w:t>0</w:t>
            </w:r>
          </w:p>
        </w:tc>
        <w:tc>
          <w:tcPr>
            <w:tcW w:w="831" w:type="dxa"/>
          </w:tcPr>
          <w:p>
            <w:pPr>
              <w:pStyle w:val="TableParagraph"/>
              <w:spacing w:before="48"/>
              <w:ind w:right="72"/>
              <w:rPr>
                <w:sz w:val="16"/>
              </w:rPr>
            </w:pPr>
            <w:r>
              <w:rPr>
                <w:w w:val="98"/>
                <w:sz w:val="16"/>
              </w:rPr>
              <w:t>0</w:t>
            </w:r>
          </w:p>
        </w:tc>
        <w:tc>
          <w:tcPr>
            <w:tcW w:w="891" w:type="dxa"/>
          </w:tcPr>
          <w:p>
            <w:pPr>
              <w:pStyle w:val="TableParagraph"/>
              <w:spacing w:before="48"/>
              <w:ind w:right="198"/>
              <w:rPr>
                <w:sz w:val="16"/>
              </w:rPr>
            </w:pPr>
            <w:r>
              <w:rPr>
                <w:w w:val="98"/>
                <w:sz w:val="16"/>
              </w:rPr>
              <w:t>0</w:t>
            </w:r>
          </w:p>
        </w:tc>
      </w:tr>
      <w:tr>
        <w:trPr>
          <w:trHeight w:val="379" w:hRule="exact"/>
        </w:trPr>
        <w:tc>
          <w:tcPr>
            <w:tcW w:w="685" w:type="dxa"/>
          </w:tcPr>
          <w:p>
            <w:pPr>
              <w:pStyle w:val="TableParagraph"/>
              <w:spacing w:before="3"/>
              <w:jc w:val="left"/>
              <w:rPr>
                <w:sz w:val="17"/>
              </w:rPr>
            </w:pPr>
          </w:p>
          <w:p>
            <w:pPr>
              <w:pStyle w:val="TableParagraph"/>
              <w:spacing w:before="0"/>
              <w:ind w:right="65"/>
              <w:rPr>
                <w:sz w:val="16"/>
              </w:rPr>
            </w:pPr>
            <w:r>
              <w:rPr>
                <w:sz w:val="16"/>
              </w:rPr>
              <w:t>2003</w:t>
            </w:r>
          </w:p>
        </w:tc>
        <w:tc>
          <w:tcPr>
            <w:tcW w:w="716" w:type="dxa"/>
          </w:tcPr>
          <w:p>
            <w:pPr>
              <w:pStyle w:val="TableParagraph"/>
              <w:spacing w:before="3"/>
              <w:jc w:val="left"/>
              <w:rPr>
                <w:sz w:val="17"/>
              </w:rPr>
            </w:pPr>
          </w:p>
          <w:p>
            <w:pPr>
              <w:pStyle w:val="TableParagraph"/>
              <w:spacing w:before="0"/>
              <w:ind w:right="69"/>
              <w:rPr>
                <w:sz w:val="16"/>
              </w:rPr>
            </w:pPr>
            <w:r>
              <w:rPr>
                <w:sz w:val="16"/>
              </w:rPr>
              <w:t>749.24</w:t>
            </w:r>
          </w:p>
        </w:tc>
        <w:tc>
          <w:tcPr>
            <w:tcW w:w="718" w:type="dxa"/>
          </w:tcPr>
          <w:p>
            <w:pPr>
              <w:pStyle w:val="TableParagraph"/>
              <w:spacing w:before="3"/>
              <w:jc w:val="left"/>
              <w:rPr>
                <w:sz w:val="17"/>
              </w:rPr>
            </w:pPr>
          </w:p>
          <w:p>
            <w:pPr>
              <w:pStyle w:val="TableParagraph"/>
              <w:spacing w:before="0"/>
              <w:ind w:right="68"/>
              <w:rPr>
                <w:sz w:val="16"/>
              </w:rPr>
            </w:pPr>
            <w:r>
              <w:rPr>
                <w:sz w:val="16"/>
              </w:rPr>
              <w:t>116.35</w:t>
            </w:r>
          </w:p>
        </w:tc>
        <w:tc>
          <w:tcPr>
            <w:tcW w:w="554" w:type="dxa"/>
          </w:tcPr>
          <w:p>
            <w:pPr>
              <w:pStyle w:val="TableParagraph"/>
              <w:spacing w:before="3"/>
              <w:jc w:val="left"/>
              <w:rPr>
                <w:sz w:val="17"/>
              </w:rPr>
            </w:pPr>
          </w:p>
          <w:p>
            <w:pPr>
              <w:pStyle w:val="TableParagraph"/>
              <w:spacing w:before="0"/>
              <w:ind w:right="69"/>
              <w:rPr>
                <w:sz w:val="16"/>
              </w:rPr>
            </w:pPr>
            <w:r>
              <w:rPr>
                <w:w w:val="95"/>
                <w:sz w:val="16"/>
              </w:rPr>
              <w:t>10.4</w:t>
            </w:r>
          </w:p>
        </w:tc>
        <w:tc>
          <w:tcPr>
            <w:tcW w:w="538" w:type="dxa"/>
          </w:tcPr>
          <w:p>
            <w:pPr>
              <w:pStyle w:val="TableParagraph"/>
              <w:spacing w:before="3"/>
              <w:jc w:val="left"/>
              <w:rPr>
                <w:sz w:val="17"/>
              </w:rPr>
            </w:pPr>
          </w:p>
          <w:p>
            <w:pPr>
              <w:pStyle w:val="TableParagraph"/>
              <w:spacing w:before="0"/>
              <w:ind w:right="68"/>
              <w:rPr>
                <w:sz w:val="16"/>
              </w:rPr>
            </w:pPr>
            <w:r>
              <w:rPr>
                <w:w w:val="99"/>
                <w:sz w:val="16"/>
              </w:rPr>
              <w:t>0</w:t>
            </w:r>
          </w:p>
        </w:tc>
        <w:tc>
          <w:tcPr>
            <w:tcW w:w="669" w:type="dxa"/>
          </w:tcPr>
          <w:p>
            <w:pPr>
              <w:pStyle w:val="TableParagraph"/>
              <w:spacing w:before="3"/>
              <w:jc w:val="left"/>
              <w:rPr>
                <w:sz w:val="17"/>
              </w:rPr>
            </w:pPr>
          </w:p>
          <w:p>
            <w:pPr>
              <w:pStyle w:val="TableParagraph"/>
              <w:spacing w:before="0"/>
              <w:ind w:right="66"/>
              <w:rPr>
                <w:sz w:val="16"/>
              </w:rPr>
            </w:pPr>
            <w:r>
              <w:rPr>
                <w:sz w:val="16"/>
              </w:rPr>
              <w:t>92.75</w:t>
            </w:r>
          </w:p>
        </w:tc>
        <w:tc>
          <w:tcPr>
            <w:tcW w:w="535" w:type="dxa"/>
          </w:tcPr>
          <w:p>
            <w:pPr>
              <w:pStyle w:val="TableParagraph"/>
              <w:spacing w:before="3"/>
              <w:jc w:val="left"/>
              <w:rPr>
                <w:sz w:val="17"/>
              </w:rPr>
            </w:pPr>
          </w:p>
          <w:p>
            <w:pPr>
              <w:pStyle w:val="TableParagraph"/>
              <w:spacing w:before="0"/>
              <w:ind w:right="68"/>
              <w:rPr>
                <w:sz w:val="16"/>
              </w:rPr>
            </w:pPr>
            <w:r>
              <w:rPr>
                <w:w w:val="99"/>
                <w:sz w:val="16"/>
              </w:rPr>
              <w:t>0</w:t>
            </w:r>
          </w:p>
        </w:tc>
        <w:tc>
          <w:tcPr>
            <w:tcW w:w="667" w:type="dxa"/>
          </w:tcPr>
          <w:p>
            <w:pPr>
              <w:pStyle w:val="TableParagraph"/>
              <w:spacing w:before="3"/>
              <w:jc w:val="left"/>
              <w:rPr>
                <w:sz w:val="17"/>
              </w:rPr>
            </w:pPr>
          </w:p>
          <w:p>
            <w:pPr>
              <w:pStyle w:val="TableParagraph"/>
              <w:spacing w:before="0"/>
              <w:ind w:right="64"/>
              <w:rPr>
                <w:sz w:val="16"/>
              </w:rPr>
            </w:pPr>
            <w:r>
              <w:rPr>
                <w:sz w:val="16"/>
              </w:rPr>
              <w:t>324.99</w:t>
            </w:r>
          </w:p>
        </w:tc>
        <w:tc>
          <w:tcPr>
            <w:tcW w:w="666" w:type="dxa"/>
          </w:tcPr>
          <w:p>
            <w:pPr>
              <w:pStyle w:val="TableParagraph"/>
              <w:spacing w:before="3"/>
              <w:jc w:val="left"/>
              <w:rPr>
                <w:sz w:val="17"/>
              </w:rPr>
            </w:pPr>
          </w:p>
          <w:p>
            <w:pPr>
              <w:pStyle w:val="TableParagraph"/>
              <w:spacing w:before="0"/>
              <w:ind w:right="68"/>
              <w:rPr>
                <w:sz w:val="16"/>
              </w:rPr>
            </w:pPr>
            <w:r>
              <w:rPr>
                <w:sz w:val="16"/>
              </w:rPr>
              <w:t>591.51</w:t>
            </w:r>
          </w:p>
        </w:tc>
        <w:tc>
          <w:tcPr>
            <w:tcW w:w="543" w:type="dxa"/>
          </w:tcPr>
          <w:p>
            <w:pPr>
              <w:pStyle w:val="TableParagraph"/>
              <w:spacing w:before="3"/>
              <w:jc w:val="left"/>
              <w:rPr>
                <w:sz w:val="17"/>
              </w:rPr>
            </w:pPr>
          </w:p>
          <w:p>
            <w:pPr>
              <w:pStyle w:val="TableParagraph"/>
              <w:spacing w:before="0"/>
              <w:ind w:left="148"/>
              <w:jc w:val="left"/>
              <w:rPr>
                <w:sz w:val="16"/>
              </w:rPr>
            </w:pPr>
            <w:r>
              <w:rPr>
                <w:sz w:val="16"/>
              </w:rPr>
              <w:t>1219</w:t>
            </w:r>
          </w:p>
        </w:tc>
        <w:tc>
          <w:tcPr>
            <w:tcW w:w="679" w:type="dxa"/>
          </w:tcPr>
          <w:p>
            <w:pPr>
              <w:pStyle w:val="TableParagraph"/>
              <w:spacing w:before="3"/>
              <w:jc w:val="left"/>
              <w:rPr>
                <w:sz w:val="17"/>
              </w:rPr>
            </w:pPr>
          </w:p>
          <w:p>
            <w:pPr>
              <w:pStyle w:val="TableParagraph"/>
              <w:spacing w:before="0"/>
              <w:ind w:right="70"/>
              <w:rPr>
                <w:sz w:val="16"/>
              </w:rPr>
            </w:pPr>
            <w:r>
              <w:rPr>
                <w:sz w:val="16"/>
              </w:rPr>
              <w:t>271.38</w:t>
            </w:r>
          </w:p>
        </w:tc>
        <w:tc>
          <w:tcPr>
            <w:tcW w:w="594" w:type="dxa"/>
          </w:tcPr>
          <w:p>
            <w:pPr>
              <w:pStyle w:val="TableParagraph"/>
              <w:spacing w:before="3"/>
              <w:jc w:val="left"/>
              <w:rPr>
                <w:sz w:val="17"/>
              </w:rPr>
            </w:pPr>
          </w:p>
          <w:p>
            <w:pPr>
              <w:pStyle w:val="TableParagraph"/>
              <w:spacing w:before="0"/>
              <w:ind w:right="64"/>
              <w:rPr>
                <w:sz w:val="16"/>
              </w:rPr>
            </w:pPr>
            <w:r>
              <w:rPr>
                <w:w w:val="95"/>
                <w:sz w:val="16"/>
              </w:rPr>
              <w:t>7.43</w:t>
            </w:r>
          </w:p>
        </w:tc>
        <w:tc>
          <w:tcPr>
            <w:tcW w:w="595" w:type="dxa"/>
          </w:tcPr>
          <w:p>
            <w:pPr>
              <w:pStyle w:val="TableParagraph"/>
              <w:spacing w:before="3"/>
              <w:jc w:val="left"/>
              <w:rPr>
                <w:sz w:val="17"/>
              </w:rPr>
            </w:pPr>
          </w:p>
          <w:p>
            <w:pPr>
              <w:pStyle w:val="TableParagraph"/>
              <w:spacing w:before="0"/>
              <w:ind w:right="69"/>
              <w:rPr>
                <w:sz w:val="16"/>
              </w:rPr>
            </w:pPr>
            <w:r>
              <w:rPr>
                <w:w w:val="95"/>
                <w:sz w:val="16"/>
              </w:rPr>
              <w:t>2.25</w:t>
            </w:r>
          </w:p>
        </w:tc>
        <w:tc>
          <w:tcPr>
            <w:tcW w:w="545" w:type="dxa"/>
          </w:tcPr>
          <w:p>
            <w:pPr>
              <w:pStyle w:val="TableParagraph"/>
              <w:spacing w:before="3"/>
              <w:jc w:val="left"/>
              <w:rPr>
                <w:sz w:val="17"/>
              </w:rPr>
            </w:pPr>
          </w:p>
          <w:p>
            <w:pPr>
              <w:pStyle w:val="TableParagraph"/>
              <w:spacing w:before="0"/>
              <w:ind w:right="66"/>
              <w:rPr>
                <w:sz w:val="16"/>
              </w:rPr>
            </w:pPr>
            <w:r>
              <w:rPr>
                <w:w w:val="95"/>
                <w:sz w:val="16"/>
              </w:rPr>
              <w:t>0.18</w:t>
            </w:r>
          </w:p>
        </w:tc>
        <w:tc>
          <w:tcPr>
            <w:tcW w:w="598" w:type="dxa"/>
          </w:tcPr>
          <w:p>
            <w:pPr>
              <w:pStyle w:val="TableParagraph"/>
              <w:spacing w:before="3"/>
              <w:jc w:val="left"/>
              <w:rPr>
                <w:sz w:val="17"/>
              </w:rPr>
            </w:pPr>
          </w:p>
          <w:p>
            <w:pPr>
              <w:pStyle w:val="TableParagraph"/>
              <w:spacing w:before="0"/>
              <w:ind w:right="69"/>
              <w:rPr>
                <w:sz w:val="16"/>
              </w:rPr>
            </w:pPr>
            <w:r>
              <w:rPr>
                <w:w w:val="95"/>
                <w:sz w:val="16"/>
              </w:rPr>
              <w:t>2.47</w:t>
            </w:r>
          </w:p>
        </w:tc>
        <w:tc>
          <w:tcPr>
            <w:tcW w:w="593" w:type="dxa"/>
          </w:tcPr>
          <w:p>
            <w:pPr>
              <w:pStyle w:val="TableParagraph"/>
              <w:spacing w:before="3"/>
              <w:jc w:val="left"/>
              <w:rPr>
                <w:sz w:val="17"/>
              </w:rPr>
            </w:pPr>
          </w:p>
          <w:p>
            <w:pPr>
              <w:pStyle w:val="TableParagraph"/>
              <w:spacing w:before="0"/>
              <w:ind w:right="67"/>
              <w:rPr>
                <w:sz w:val="16"/>
              </w:rPr>
            </w:pPr>
            <w:r>
              <w:rPr>
                <w:sz w:val="16"/>
              </w:rPr>
              <w:t>136.1</w:t>
            </w:r>
          </w:p>
        </w:tc>
        <w:tc>
          <w:tcPr>
            <w:tcW w:w="830" w:type="dxa"/>
          </w:tcPr>
          <w:p>
            <w:pPr>
              <w:pStyle w:val="TableParagraph"/>
              <w:spacing w:before="3"/>
              <w:jc w:val="left"/>
              <w:rPr>
                <w:sz w:val="17"/>
              </w:rPr>
            </w:pPr>
          </w:p>
          <w:p>
            <w:pPr>
              <w:pStyle w:val="TableParagraph"/>
              <w:spacing w:before="0"/>
              <w:ind w:right="66"/>
              <w:rPr>
                <w:sz w:val="16"/>
              </w:rPr>
            </w:pPr>
            <w:r>
              <w:rPr>
                <w:w w:val="95"/>
                <w:sz w:val="16"/>
              </w:rPr>
              <w:t>2.86</w:t>
            </w:r>
          </w:p>
        </w:tc>
        <w:tc>
          <w:tcPr>
            <w:tcW w:w="821" w:type="dxa"/>
          </w:tcPr>
          <w:p>
            <w:pPr>
              <w:pStyle w:val="TableParagraph"/>
              <w:spacing w:before="3"/>
              <w:jc w:val="left"/>
              <w:rPr>
                <w:sz w:val="17"/>
              </w:rPr>
            </w:pPr>
          </w:p>
          <w:p>
            <w:pPr>
              <w:pStyle w:val="TableParagraph"/>
              <w:spacing w:before="0"/>
              <w:ind w:right="66"/>
              <w:rPr>
                <w:sz w:val="16"/>
              </w:rPr>
            </w:pPr>
            <w:r>
              <w:rPr>
                <w:w w:val="95"/>
                <w:sz w:val="16"/>
              </w:rPr>
              <w:t>1.05</w:t>
            </w:r>
          </w:p>
        </w:tc>
        <w:tc>
          <w:tcPr>
            <w:tcW w:w="831" w:type="dxa"/>
          </w:tcPr>
          <w:p>
            <w:pPr>
              <w:pStyle w:val="TableParagraph"/>
              <w:spacing w:before="3"/>
              <w:jc w:val="left"/>
              <w:rPr>
                <w:sz w:val="17"/>
              </w:rPr>
            </w:pPr>
          </w:p>
          <w:p>
            <w:pPr>
              <w:pStyle w:val="TableParagraph"/>
              <w:spacing w:before="0"/>
              <w:ind w:right="66"/>
              <w:rPr>
                <w:sz w:val="16"/>
              </w:rPr>
            </w:pPr>
            <w:r>
              <w:rPr>
                <w:w w:val="95"/>
                <w:sz w:val="16"/>
              </w:rPr>
              <w:t>0.54</w:t>
            </w:r>
          </w:p>
        </w:tc>
        <w:tc>
          <w:tcPr>
            <w:tcW w:w="891" w:type="dxa"/>
          </w:tcPr>
          <w:p>
            <w:pPr>
              <w:pStyle w:val="TableParagraph"/>
              <w:spacing w:before="3"/>
              <w:jc w:val="left"/>
              <w:rPr>
                <w:sz w:val="17"/>
              </w:rPr>
            </w:pPr>
          </w:p>
          <w:p>
            <w:pPr>
              <w:pStyle w:val="TableParagraph"/>
              <w:spacing w:before="0"/>
              <w:ind w:right="198"/>
              <w:rPr>
                <w:sz w:val="16"/>
              </w:rPr>
            </w:pPr>
            <w:r>
              <w:rPr>
                <w:w w:val="99"/>
                <w:sz w:val="16"/>
              </w:rPr>
              <w:t>0</w:t>
            </w:r>
          </w:p>
        </w:tc>
      </w:tr>
    </w:tbl>
    <w:p>
      <w:pPr>
        <w:spacing w:after="0"/>
        <w:rPr>
          <w:sz w:val="16"/>
        </w:rPr>
        <w:sectPr>
          <w:pgSz w:w="15840" w:h="12240" w:orient="landscape"/>
          <w:pgMar w:header="0" w:footer="1414" w:top="1140" w:bottom="1600" w:left="1180" w:right="1180"/>
        </w:sectPr>
      </w:pPr>
    </w:p>
    <w:p>
      <w:pPr>
        <w:pStyle w:val="BodyText"/>
        <w:spacing w:before="2"/>
        <w:rPr>
          <w:sz w:val="27"/>
        </w:rPr>
      </w:pPr>
    </w:p>
    <w:p>
      <w:pPr>
        <w:spacing w:before="78"/>
        <w:ind w:left="148" w:right="0" w:firstLine="0"/>
        <w:jc w:val="left"/>
        <w:rPr>
          <w:sz w:val="16"/>
        </w:rPr>
      </w:pPr>
      <w:r>
        <w:rPr>
          <w:sz w:val="16"/>
        </w:rPr>
        <w:t>SWAT Mar 4 2014    VER 2012/Rev 622</w:t>
      </w:r>
    </w:p>
    <w:p>
      <w:pPr>
        <w:pStyle w:val="BodyText"/>
        <w:rPr>
          <w:sz w:val="16"/>
        </w:rPr>
      </w:pPr>
    </w:p>
    <w:p>
      <w:pPr>
        <w:pStyle w:val="BodyText"/>
        <w:spacing w:before="2"/>
        <w:rPr>
          <w:sz w:val="20"/>
        </w:rPr>
      </w:pPr>
    </w:p>
    <w:p>
      <w:pPr>
        <w:spacing w:before="0"/>
        <w:ind w:left="302" w:right="0" w:firstLine="0"/>
        <w:jc w:val="left"/>
        <w:rPr>
          <w:sz w:val="16"/>
        </w:rPr>
      </w:pPr>
      <w:r>
        <w:rPr>
          <w:sz w:val="16"/>
        </w:rPr>
        <w:t>General Input/Output section (file.cio):</w:t>
      </w:r>
    </w:p>
    <w:p>
      <w:pPr>
        <w:spacing w:before="113"/>
        <w:ind w:left="302" w:right="0" w:firstLine="0"/>
        <w:jc w:val="left"/>
        <w:rPr>
          <w:sz w:val="16"/>
        </w:rPr>
      </w:pPr>
      <w:r>
        <w:rPr>
          <w:sz w:val="16"/>
        </w:rPr>
        <w:t>10/28/2014 12:00:00 AM ARCGIS-SWAT interface AV</w:t>
      </w:r>
    </w:p>
    <w:p>
      <w:pPr>
        <w:pStyle w:val="BodyText"/>
        <w:rPr>
          <w:sz w:val="16"/>
        </w:rPr>
      </w:pPr>
    </w:p>
    <w:p>
      <w:pPr>
        <w:spacing w:before="117" w:after="25"/>
        <w:ind w:left="148" w:right="9539" w:firstLine="0"/>
        <w:jc w:val="left"/>
        <w:rPr>
          <w:sz w:val="16"/>
        </w:rPr>
      </w:pPr>
      <w:r>
        <w:rPr>
          <w:sz w:val="16"/>
        </w:rPr>
        <w:t>Annual Summary for Watershed in year 6 of simulation</w:t>
      </w:r>
    </w:p>
    <w:tbl>
      <w:tblPr>
        <w:tblW w:w="0" w:type="auto"/>
        <w:jc w:val="left"/>
        <w:tblInd w:w="1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20"/>
        <w:gridCol w:w="716"/>
        <w:gridCol w:w="718"/>
        <w:gridCol w:w="554"/>
        <w:gridCol w:w="538"/>
        <w:gridCol w:w="669"/>
        <w:gridCol w:w="535"/>
        <w:gridCol w:w="667"/>
        <w:gridCol w:w="665"/>
        <w:gridCol w:w="544"/>
        <w:gridCol w:w="678"/>
        <w:gridCol w:w="595"/>
        <w:gridCol w:w="595"/>
        <w:gridCol w:w="545"/>
        <w:gridCol w:w="598"/>
        <w:gridCol w:w="593"/>
        <w:gridCol w:w="830"/>
        <w:gridCol w:w="821"/>
        <w:gridCol w:w="831"/>
        <w:gridCol w:w="726"/>
      </w:tblGrid>
      <w:tr>
        <w:trPr>
          <w:trHeight w:val="538" w:hRule="exact"/>
        </w:trPr>
        <w:tc>
          <w:tcPr>
            <w:tcW w:w="520" w:type="dxa"/>
          </w:tcPr>
          <w:p>
            <w:pPr>
              <w:pStyle w:val="TableParagraph"/>
              <w:spacing w:before="11"/>
              <w:jc w:val="left"/>
              <w:rPr>
                <w:sz w:val="13"/>
              </w:rPr>
            </w:pPr>
          </w:p>
          <w:p>
            <w:pPr>
              <w:pStyle w:val="TableParagraph"/>
              <w:spacing w:before="0"/>
              <w:ind w:right="107"/>
              <w:rPr>
                <w:sz w:val="16"/>
              </w:rPr>
            </w:pPr>
            <w:r>
              <w:rPr>
                <w:sz w:val="16"/>
              </w:rPr>
              <w:t>UNIT</w:t>
            </w:r>
          </w:p>
        </w:tc>
        <w:tc>
          <w:tcPr>
            <w:tcW w:w="716" w:type="dxa"/>
          </w:tcPr>
          <w:p>
            <w:pPr/>
          </w:p>
        </w:tc>
        <w:tc>
          <w:tcPr>
            <w:tcW w:w="718" w:type="dxa"/>
          </w:tcPr>
          <w:p>
            <w:pPr/>
          </w:p>
        </w:tc>
        <w:tc>
          <w:tcPr>
            <w:tcW w:w="554" w:type="dxa"/>
          </w:tcPr>
          <w:p>
            <w:pPr>
              <w:pStyle w:val="TableParagraph"/>
              <w:spacing w:before="0"/>
              <w:jc w:val="left"/>
              <w:rPr>
                <w:sz w:val="16"/>
              </w:rPr>
            </w:pPr>
          </w:p>
          <w:p>
            <w:pPr>
              <w:pStyle w:val="TableParagraph"/>
              <w:spacing w:before="9"/>
              <w:jc w:val="left"/>
              <w:rPr>
                <w:sz w:val="13"/>
              </w:rPr>
            </w:pPr>
          </w:p>
          <w:p>
            <w:pPr>
              <w:pStyle w:val="TableParagraph"/>
              <w:spacing w:before="0"/>
              <w:ind w:left="68"/>
              <w:jc w:val="left"/>
              <w:rPr>
                <w:sz w:val="16"/>
              </w:rPr>
            </w:pPr>
            <w:r>
              <w:rPr>
                <w:sz w:val="16"/>
              </w:rPr>
              <w:t>LAT</w:t>
            </w:r>
          </w:p>
        </w:tc>
        <w:tc>
          <w:tcPr>
            <w:tcW w:w="538" w:type="dxa"/>
          </w:tcPr>
          <w:p>
            <w:pPr/>
          </w:p>
        </w:tc>
        <w:tc>
          <w:tcPr>
            <w:tcW w:w="669" w:type="dxa"/>
          </w:tcPr>
          <w:p>
            <w:pPr>
              <w:pStyle w:val="TableParagraph"/>
              <w:spacing w:before="11"/>
              <w:jc w:val="left"/>
              <w:rPr>
                <w:sz w:val="13"/>
              </w:rPr>
            </w:pPr>
          </w:p>
          <w:p>
            <w:pPr>
              <w:pStyle w:val="TableParagraph"/>
              <w:spacing w:before="0"/>
              <w:ind w:right="88"/>
              <w:rPr>
                <w:sz w:val="16"/>
              </w:rPr>
            </w:pPr>
            <w:r>
              <w:rPr>
                <w:w w:val="95"/>
                <w:sz w:val="16"/>
              </w:rPr>
              <w:t>PERCO</w:t>
            </w:r>
          </w:p>
        </w:tc>
        <w:tc>
          <w:tcPr>
            <w:tcW w:w="535" w:type="dxa"/>
          </w:tcPr>
          <w:p>
            <w:pPr>
              <w:pStyle w:val="TableParagraph"/>
              <w:spacing w:before="11"/>
              <w:jc w:val="left"/>
              <w:rPr>
                <w:sz w:val="13"/>
              </w:rPr>
            </w:pPr>
          </w:p>
          <w:p>
            <w:pPr>
              <w:pStyle w:val="TableParagraph"/>
              <w:spacing w:before="0"/>
              <w:ind w:right="118"/>
              <w:rPr>
                <w:sz w:val="16"/>
              </w:rPr>
            </w:pPr>
            <w:r>
              <w:rPr>
                <w:w w:val="95"/>
                <w:sz w:val="16"/>
              </w:rPr>
              <w:t>TILE</w:t>
            </w:r>
          </w:p>
        </w:tc>
        <w:tc>
          <w:tcPr>
            <w:tcW w:w="667" w:type="dxa"/>
          </w:tcPr>
          <w:p>
            <w:pPr/>
          </w:p>
        </w:tc>
        <w:tc>
          <w:tcPr>
            <w:tcW w:w="665" w:type="dxa"/>
          </w:tcPr>
          <w:p>
            <w:pPr/>
          </w:p>
        </w:tc>
        <w:tc>
          <w:tcPr>
            <w:tcW w:w="544" w:type="dxa"/>
          </w:tcPr>
          <w:p>
            <w:pPr/>
          </w:p>
        </w:tc>
        <w:tc>
          <w:tcPr>
            <w:tcW w:w="678" w:type="dxa"/>
          </w:tcPr>
          <w:p>
            <w:pPr>
              <w:pStyle w:val="TableParagraph"/>
              <w:spacing w:line="161" w:lineRule="exact" w:before="0"/>
              <w:ind w:left="67"/>
              <w:jc w:val="left"/>
              <w:rPr>
                <w:sz w:val="16"/>
              </w:rPr>
            </w:pPr>
            <w:r>
              <w:rPr>
                <w:sz w:val="16"/>
              </w:rPr>
              <w:t>WATE</w:t>
            </w:r>
          </w:p>
          <w:p>
            <w:pPr>
              <w:pStyle w:val="TableParagraph"/>
              <w:spacing w:line="183" w:lineRule="exact" w:before="0"/>
              <w:ind w:left="67"/>
              <w:jc w:val="left"/>
              <w:rPr>
                <w:sz w:val="16"/>
              </w:rPr>
            </w:pPr>
            <w:r>
              <w:rPr>
                <w:w w:val="99"/>
                <w:sz w:val="16"/>
              </w:rPr>
              <w:t>R</w:t>
            </w:r>
          </w:p>
        </w:tc>
        <w:tc>
          <w:tcPr>
            <w:tcW w:w="595" w:type="dxa"/>
          </w:tcPr>
          <w:p>
            <w:pPr>
              <w:pStyle w:val="TableParagraph"/>
              <w:spacing w:before="11"/>
              <w:jc w:val="left"/>
              <w:rPr>
                <w:sz w:val="13"/>
              </w:rPr>
            </w:pPr>
          </w:p>
          <w:p>
            <w:pPr>
              <w:pStyle w:val="TableParagraph"/>
              <w:spacing w:before="0"/>
              <w:ind w:left="71" w:right="158"/>
              <w:jc w:val="left"/>
              <w:rPr>
                <w:sz w:val="16"/>
              </w:rPr>
            </w:pPr>
            <w:r>
              <w:rPr>
                <w:sz w:val="16"/>
              </w:rPr>
              <w:t>SED </w:t>
            </w:r>
            <w:r>
              <w:rPr>
                <w:w w:val="95"/>
                <w:sz w:val="16"/>
              </w:rPr>
              <w:t>YIEL</w:t>
            </w:r>
          </w:p>
        </w:tc>
        <w:tc>
          <w:tcPr>
            <w:tcW w:w="595" w:type="dxa"/>
          </w:tcPr>
          <w:p>
            <w:pPr>
              <w:pStyle w:val="TableParagraph"/>
              <w:spacing w:before="11"/>
              <w:jc w:val="left"/>
              <w:rPr>
                <w:sz w:val="13"/>
              </w:rPr>
            </w:pPr>
          </w:p>
          <w:p>
            <w:pPr>
              <w:pStyle w:val="TableParagraph"/>
              <w:spacing w:before="0"/>
              <w:ind w:left="66"/>
              <w:jc w:val="left"/>
              <w:rPr>
                <w:sz w:val="16"/>
              </w:rPr>
            </w:pPr>
            <w:r>
              <w:rPr>
                <w:sz w:val="16"/>
              </w:rPr>
              <w:t>NO3</w:t>
            </w:r>
          </w:p>
        </w:tc>
        <w:tc>
          <w:tcPr>
            <w:tcW w:w="545" w:type="dxa"/>
          </w:tcPr>
          <w:p>
            <w:pPr>
              <w:pStyle w:val="TableParagraph"/>
              <w:spacing w:before="11"/>
              <w:jc w:val="left"/>
              <w:rPr>
                <w:sz w:val="13"/>
              </w:rPr>
            </w:pPr>
          </w:p>
          <w:p>
            <w:pPr>
              <w:pStyle w:val="TableParagraph"/>
              <w:spacing w:before="0"/>
              <w:ind w:left="71" w:right="142"/>
              <w:jc w:val="left"/>
              <w:rPr>
                <w:sz w:val="16"/>
              </w:rPr>
            </w:pPr>
            <w:r>
              <w:rPr>
                <w:sz w:val="16"/>
              </w:rPr>
              <w:t>NO3</w:t>
            </w:r>
            <w:r>
              <w:rPr>
                <w:w w:val="98"/>
                <w:sz w:val="16"/>
              </w:rPr>
              <w:t> </w:t>
            </w:r>
            <w:r>
              <w:rPr>
                <w:w w:val="95"/>
                <w:sz w:val="16"/>
              </w:rPr>
              <w:t>LAT</w:t>
            </w:r>
          </w:p>
        </w:tc>
        <w:tc>
          <w:tcPr>
            <w:tcW w:w="598" w:type="dxa"/>
          </w:tcPr>
          <w:p>
            <w:pPr>
              <w:pStyle w:val="TableParagraph"/>
              <w:spacing w:before="11"/>
              <w:jc w:val="left"/>
              <w:rPr>
                <w:sz w:val="13"/>
              </w:rPr>
            </w:pPr>
          </w:p>
          <w:p>
            <w:pPr>
              <w:pStyle w:val="TableParagraph"/>
              <w:spacing w:before="0"/>
              <w:ind w:left="68"/>
              <w:jc w:val="left"/>
              <w:rPr>
                <w:sz w:val="16"/>
              </w:rPr>
            </w:pPr>
            <w:r>
              <w:rPr>
                <w:sz w:val="16"/>
              </w:rPr>
              <w:t>NO3</w:t>
            </w:r>
          </w:p>
        </w:tc>
        <w:tc>
          <w:tcPr>
            <w:tcW w:w="593" w:type="dxa"/>
          </w:tcPr>
          <w:p>
            <w:pPr>
              <w:pStyle w:val="TableParagraph"/>
              <w:spacing w:before="11"/>
              <w:jc w:val="left"/>
              <w:rPr>
                <w:sz w:val="13"/>
              </w:rPr>
            </w:pPr>
          </w:p>
          <w:p>
            <w:pPr>
              <w:pStyle w:val="TableParagraph"/>
              <w:spacing w:before="0"/>
              <w:ind w:left="71"/>
              <w:jc w:val="left"/>
              <w:rPr>
                <w:sz w:val="16"/>
              </w:rPr>
            </w:pPr>
            <w:r>
              <w:rPr>
                <w:sz w:val="16"/>
              </w:rPr>
              <w:t>NO3</w:t>
            </w:r>
          </w:p>
        </w:tc>
        <w:tc>
          <w:tcPr>
            <w:tcW w:w="830" w:type="dxa"/>
          </w:tcPr>
          <w:p>
            <w:pPr>
              <w:pStyle w:val="TableParagraph"/>
              <w:spacing w:before="11"/>
              <w:jc w:val="left"/>
              <w:rPr>
                <w:sz w:val="13"/>
              </w:rPr>
            </w:pPr>
          </w:p>
          <w:p>
            <w:pPr>
              <w:pStyle w:val="TableParagraph"/>
              <w:spacing w:before="0"/>
              <w:ind w:left="68" w:right="84"/>
              <w:jc w:val="left"/>
              <w:rPr>
                <w:sz w:val="16"/>
              </w:rPr>
            </w:pPr>
            <w:r>
              <w:rPr>
                <w:sz w:val="16"/>
              </w:rPr>
              <w:t>N </w:t>
            </w:r>
            <w:r>
              <w:rPr>
                <w:w w:val="95"/>
                <w:sz w:val="16"/>
              </w:rPr>
              <w:t>ORGANI</w:t>
            </w:r>
          </w:p>
        </w:tc>
        <w:tc>
          <w:tcPr>
            <w:tcW w:w="821" w:type="dxa"/>
          </w:tcPr>
          <w:p>
            <w:pPr>
              <w:pStyle w:val="TableParagraph"/>
              <w:spacing w:before="11"/>
              <w:jc w:val="left"/>
              <w:rPr>
                <w:sz w:val="13"/>
              </w:rPr>
            </w:pPr>
          </w:p>
          <w:p>
            <w:pPr>
              <w:pStyle w:val="TableParagraph"/>
              <w:spacing w:before="0"/>
              <w:ind w:left="68" w:right="92"/>
              <w:jc w:val="left"/>
              <w:rPr>
                <w:sz w:val="16"/>
              </w:rPr>
            </w:pPr>
            <w:r>
              <w:rPr>
                <w:sz w:val="16"/>
              </w:rPr>
              <w:t>P </w:t>
            </w:r>
            <w:r>
              <w:rPr>
                <w:w w:val="95"/>
                <w:sz w:val="16"/>
              </w:rPr>
              <w:t>SOLUBL</w:t>
            </w:r>
          </w:p>
        </w:tc>
        <w:tc>
          <w:tcPr>
            <w:tcW w:w="831" w:type="dxa"/>
          </w:tcPr>
          <w:p>
            <w:pPr>
              <w:pStyle w:val="TableParagraph"/>
              <w:spacing w:before="11"/>
              <w:jc w:val="left"/>
              <w:rPr>
                <w:sz w:val="13"/>
              </w:rPr>
            </w:pPr>
          </w:p>
          <w:p>
            <w:pPr>
              <w:pStyle w:val="TableParagraph"/>
              <w:spacing w:before="0"/>
              <w:ind w:left="68" w:right="102"/>
              <w:jc w:val="left"/>
              <w:rPr>
                <w:sz w:val="16"/>
              </w:rPr>
            </w:pPr>
            <w:r>
              <w:rPr>
                <w:sz w:val="16"/>
              </w:rPr>
              <w:t>P </w:t>
            </w:r>
            <w:r>
              <w:rPr>
                <w:w w:val="95"/>
                <w:sz w:val="16"/>
              </w:rPr>
              <w:t>ORGANI</w:t>
            </w:r>
          </w:p>
        </w:tc>
        <w:tc>
          <w:tcPr>
            <w:tcW w:w="726" w:type="dxa"/>
          </w:tcPr>
          <w:p>
            <w:pPr>
              <w:pStyle w:val="TableParagraph"/>
              <w:spacing w:before="0"/>
              <w:jc w:val="left"/>
              <w:rPr>
                <w:sz w:val="16"/>
              </w:rPr>
            </w:pPr>
          </w:p>
          <w:p>
            <w:pPr>
              <w:pStyle w:val="TableParagraph"/>
              <w:spacing w:before="9"/>
              <w:jc w:val="left"/>
              <w:rPr>
                <w:sz w:val="13"/>
              </w:rPr>
            </w:pPr>
          </w:p>
          <w:p>
            <w:pPr>
              <w:pStyle w:val="TableParagraph"/>
              <w:spacing w:before="0"/>
              <w:ind w:right="80"/>
              <w:rPr>
                <w:sz w:val="16"/>
              </w:rPr>
            </w:pPr>
            <w:r>
              <w:rPr>
                <w:w w:val="95"/>
                <w:sz w:val="16"/>
              </w:rPr>
              <w:t>TILENO</w:t>
            </w:r>
          </w:p>
        </w:tc>
      </w:tr>
      <w:tr>
        <w:trPr>
          <w:trHeight w:val="610" w:hRule="exact"/>
        </w:trPr>
        <w:tc>
          <w:tcPr>
            <w:tcW w:w="520" w:type="dxa"/>
          </w:tcPr>
          <w:p>
            <w:pPr>
              <w:pStyle w:val="TableParagraph"/>
              <w:spacing w:line="176" w:lineRule="exact" w:before="0"/>
              <w:ind w:right="93"/>
              <w:rPr>
                <w:sz w:val="16"/>
              </w:rPr>
            </w:pPr>
            <w:r>
              <w:rPr>
                <w:w w:val="95"/>
                <w:sz w:val="16"/>
              </w:rPr>
              <w:t>TIME</w:t>
            </w:r>
          </w:p>
        </w:tc>
        <w:tc>
          <w:tcPr>
            <w:tcW w:w="716" w:type="dxa"/>
          </w:tcPr>
          <w:p>
            <w:pPr>
              <w:pStyle w:val="TableParagraph"/>
              <w:spacing w:line="176" w:lineRule="exact" w:before="0"/>
              <w:ind w:left="67"/>
              <w:jc w:val="left"/>
              <w:rPr>
                <w:sz w:val="16"/>
              </w:rPr>
            </w:pPr>
            <w:r>
              <w:rPr>
                <w:sz w:val="16"/>
              </w:rPr>
              <w:t>PREC</w:t>
            </w:r>
          </w:p>
          <w:p>
            <w:pPr>
              <w:pStyle w:val="TableParagraph"/>
              <w:spacing w:before="8"/>
              <w:jc w:val="left"/>
              <w:rPr>
                <w:sz w:val="15"/>
              </w:rPr>
            </w:pPr>
          </w:p>
          <w:p>
            <w:pPr>
              <w:pStyle w:val="TableParagraph"/>
              <w:spacing w:before="0"/>
              <w:ind w:left="67"/>
              <w:jc w:val="left"/>
              <w:rPr>
                <w:sz w:val="16"/>
              </w:rPr>
            </w:pPr>
            <w:r>
              <w:rPr>
                <w:sz w:val="16"/>
              </w:rPr>
              <w:t>(mm)</w:t>
            </w:r>
          </w:p>
        </w:tc>
        <w:tc>
          <w:tcPr>
            <w:tcW w:w="718" w:type="dxa"/>
          </w:tcPr>
          <w:p>
            <w:pPr>
              <w:pStyle w:val="TableParagraph"/>
              <w:spacing w:line="176" w:lineRule="exact" w:before="0"/>
              <w:ind w:left="71"/>
              <w:jc w:val="left"/>
              <w:rPr>
                <w:sz w:val="16"/>
              </w:rPr>
            </w:pPr>
            <w:r>
              <w:rPr>
                <w:sz w:val="16"/>
              </w:rPr>
              <w:t>SURQ</w:t>
            </w:r>
          </w:p>
          <w:p>
            <w:pPr>
              <w:pStyle w:val="TableParagraph"/>
              <w:spacing w:before="8"/>
              <w:jc w:val="left"/>
              <w:rPr>
                <w:sz w:val="15"/>
              </w:rPr>
            </w:pPr>
          </w:p>
          <w:p>
            <w:pPr>
              <w:pStyle w:val="TableParagraph"/>
              <w:spacing w:before="0"/>
              <w:ind w:left="71"/>
              <w:jc w:val="left"/>
              <w:rPr>
                <w:sz w:val="16"/>
              </w:rPr>
            </w:pPr>
            <w:r>
              <w:rPr>
                <w:sz w:val="16"/>
              </w:rPr>
              <w:t>(mm)</w:t>
            </w:r>
          </w:p>
        </w:tc>
        <w:tc>
          <w:tcPr>
            <w:tcW w:w="554" w:type="dxa"/>
          </w:tcPr>
          <w:p>
            <w:pPr>
              <w:pStyle w:val="TableParagraph"/>
              <w:spacing w:line="176" w:lineRule="exact" w:before="0"/>
              <w:ind w:left="68"/>
              <w:jc w:val="left"/>
              <w:rPr>
                <w:sz w:val="16"/>
              </w:rPr>
            </w:pPr>
            <w:r>
              <w:rPr>
                <w:w w:val="98"/>
                <w:sz w:val="16"/>
              </w:rPr>
              <w:t>Q</w:t>
            </w:r>
          </w:p>
          <w:p>
            <w:pPr>
              <w:pStyle w:val="TableParagraph"/>
              <w:spacing w:before="8"/>
              <w:jc w:val="left"/>
              <w:rPr>
                <w:sz w:val="15"/>
              </w:rPr>
            </w:pPr>
          </w:p>
          <w:p>
            <w:pPr>
              <w:pStyle w:val="TableParagraph"/>
              <w:spacing w:before="0"/>
              <w:ind w:left="68"/>
              <w:jc w:val="left"/>
              <w:rPr>
                <w:sz w:val="16"/>
              </w:rPr>
            </w:pPr>
            <w:r>
              <w:rPr>
                <w:sz w:val="16"/>
              </w:rPr>
              <w:t>(mm)</w:t>
            </w:r>
          </w:p>
        </w:tc>
        <w:tc>
          <w:tcPr>
            <w:tcW w:w="538" w:type="dxa"/>
          </w:tcPr>
          <w:p>
            <w:pPr>
              <w:pStyle w:val="TableParagraph"/>
              <w:spacing w:line="176" w:lineRule="exact" w:before="0"/>
              <w:ind w:left="71"/>
              <w:jc w:val="left"/>
              <w:rPr>
                <w:sz w:val="16"/>
              </w:rPr>
            </w:pPr>
            <w:r>
              <w:rPr>
                <w:sz w:val="16"/>
              </w:rPr>
              <w:t>GWQ</w:t>
            </w:r>
          </w:p>
          <w:p>
            <w:pPr>
              <w:pStyle w:val="TableParagraph"/>
              <w:spacing w:before="8"/>
              <w:jc w:val="left"/>
              <w:rPr>
                <w:sz w:val="15"/>
              </w:rPr>
            </w:pPr>
          </w:p>
          <w:p>
            <w:pPr>
              <w:pStyle w:val="TableParagraph"/>
              <w:spacing w:before="0"/>
              <w:ind w:left="71"/>
              <w:jc w:val="left"/>
              <w:rPr>
                <w:sz w:val="16"/>
              </w:rPr>
            </w:pPr>
            <w:r>
              <w:rPr>
                <w:sz w:val="16"/>
              </w:rPr>
              <w:t>(mm)</w:t>
            </w:r>
          </w:p>
        </w:tc>
        <w:tc>
          <w:tcPr>
            <w:tcW w:w="669" w:type="dxa"/>
          </w:tcPr>
          <w:p>
            <w:pPr>
              <w:pStyle w:val="TableParagraph"/>
              <w:spacing w:line="176" w:lineRule="exact" w:before="0"/>
              <w:ind w:left="70"/>
              <w:jc w:val="left"/>
              <w:rPr>
                <w:sz w:val="16"/>
              </w:rPr>
            </w:pPr>
            <w:r>
              <w:rPr>
                <w:sz w:val="16"/>
              </w:rPr>
              <w:t>LATE</w:t>
            </w:r>
          </w:p>
          <w:p>
            <w:pPr>
              <w:pStyle w:val="TableParagraph"/>
              <w:spacing w:before="8"/>
              <w:jc w:val="left"/>
              <w:rPr>
                <w:sz w:val="15"/>
              </w:rPr>
            </w:pPr>
          </w:p>
          <w:p>
            <w:pPr>
              <w:pStyle w:val="TableParagraph"/>
              <w:spacing w:before="0"/>
              <w:ind w:left="70"/>
              <w:jc w:val="left"/>
              <w:rPr>
                <w:sz w:val="16"/>
              </w:rPr>
            </w:pPr>
            <w:r>
              <w:rPr>
                <w:sz w:val="16"/>
              </w:rPr>
              <w:t>(mm)</w:t>
            </w:r>
          </w:p>
        </w:tc>
        <w:tc>
          <w:tcPr>
            <w:tcW w:w="535" w:type="dxa"/>
          </w:tcPr>
          <w:p>
            <w:pPr>
              <w:pStyle w:val="TableParagraph"/>
              <w:spacing w:line="176" w:lineRule="exact" w:before="0"/>
              <w:ind w:left="68"/>
              <w:jc w:val="left"/>
              <w:rPr>
                <w:sz w:val="16"/>
              </w:rPr>
            </w:pPr>
            <w:r>
              <w:rPr>
                <w:w w:val="98"/>
                <w:sz w:val="16"/>
              </w:rPr>
              <w:t>Q</w:t>
            </w:r>
          </w:p>
          <w:p>
            <w:pPr>
              <w:pStyle w:val="TableParagraph"/>
              <w:spacing w:before="8"/>
              <w:jc w:val="left"/>
              <w:rPr>
                <w:sz w:val="15"/>
              </w:rPr>
            </w:pPr>
          </w:p>
          <w:p>
            <w:pPr>
              <w:pStyle w:val="TableParagraph"/>
              <w:spacing w:before="0"/>
              <w:ind w:left="68"/>
              <w:jc w:val="left"/>
              <w:rPr>
                <w:sz w:val="16"/>
              </w:rPr>
            </w:pPr>
            <w:r>
              <w:rPr>
                <w:sz w:val="16"/>
              </w:rPr>
              <w:t>(mm)</w:t>
            </w:r>
          </w:p>
        </w:tc>
        <w:tc>
          <w:tcPr>
            <w:tcW w:w="667" w:type="dxa"/>
          </w:tcPr>
          <w:p>
            <w:pPr>
              <w:pStyle w:val="TableParagraph"/>
              <w:spacing w:line="176" w:lineRule="exact" w:before="0"/>
              <w:ind w:left="70"/>
              <w:jc w:val="left"/>
              <w:rPr>
                <w:sz w:val="16"/>
              </w:rPr>
            </w:pPr>
            <w:r>
              <w:rPr>
                <w:sz w:val="16"/>
              </w:rPr>
              <w:t>SW</w:t>
            </w:r>
          </w:p>
          <w:p>
            <w:pPr>
              <w:pStyle w:val="TableParagraph"/>
              <w:spacing w:before="8"/>
              <w:jc w:val="left"/>
              <w:rPr>
                <w:sz w:val="15"/>
              </w:rPr>
            </w:pPr>
          </w:p>
          <w:p>
            <w:pPr>
              <w:pStyle w:val="TableParagraph"/>
              <w:spacing w:before="0"/>
              <w:ind w:left="70"/>
              <w:jc w:val="left"/>
              <w:rPr>
                <w:sz w:val="16"/>
              </w:rPr>
            </w:pPr>
            <w:r>
              <w:rPr>
                <w:sz w:val="16"/>
              </w:rPr>
              <w:t>(mm)</w:t>
            </w:r>
          </w:p>
        </w:tc>
        <w:tc>
          <w:tcPr>
            <w:tcW w:w="665" w:type="dxa"/>
          </w:tcPr>
          <w:p>
            <w:pPr>
              <w:pStyle w:val="TableParagraph"/>
              <w:spacing w:line="176" w:lineRule="exact" w:before="0"/>
              <w:ind w:left="66"/>
              <w:jc w:val="left"/>
              <w:rPr>
                <w:sz w:val="16"/>
              </w:rPr>
            </w:pPr>
            <w:r>
              <w:rPr>
                <w:sz w:val="16"/>
              </w:rPr>
              <w:t>ET</w:t>
            </w:r>
          </w:p>
          <w:p>
            <w:pPr>
              <w:pStyle w:val="TableParagraph"/>
              <w:spacing w:before="8"/>
              <w:jc w:val="left"/>
              <w:rPr>
                <w:sz w:val="15"/>
              </w:rPr>
            </w:pPr>
          </w:p>
          <w:p>
            <w:pPr>
              <w:pStyle w:val="TableParagraph"/>
              <w:spacing w:before="0"/>
              <w:ind w:left="66"/>
              <w:jc w:val="left"/>
              <w:rPr>
                <w:sz w:val="16"/>
              </w:rPr>
            </w:pPr>
            <w:r>
              <w:rPr>
                <w:sz w:val="16"/>
              </w:rPr>
              <w:t>(mm)</w:t>
            </w:r>
          </w:p>
        </w:tc>
        <w:tc>
          <w:tcPr>
            <w:tcW w:w="544" w:type="dxa"/>
          </w:tcPr>
          <w:p>
            <w:pPr>
              <w:pStyle w:val="TableParagraph"/>
              <w:spacing w:line="176" w:lineRule="exact" w:before="0"/>
              <w:ind w:left="68"/>
              <w:jc w:val="left"/>
              <w:rPr>
                <w:sz w:val="16"/>
              </w:rPr>
            </w:pPr>
            <w:r>
              <w:rPr>
                <w:sz w:val="16"/>
              </w:rPr>
              <w:t>PET</w:t>
            </w:r>
          </w:p>
          <w:p>
            <w:pPr>
              <w:pStyle w:val="TableParagraph"/>
              <w:spacing w:before="8"/>
              <w:jc w:val="left"/>
              <w:rPr>
                <w:sz w:val="15"/>
              </w:rPr>
            </w:pPr>
          </w:p>
          <w:p>
            <w:pPr>
              <w:pStyle w:val="TableParagraph"/>
              <w:spacing w:before="0"/>
              <w:ind w:left="68"/>
              <w:jc w:val="left"/>
              <w:rPr>
                <w:sz w:val="16"/>
              </w:rPr>
            </w:pPr>
            <w:r>
              <w:rPr>
                <w:sz w:val="16"/>
              </w:rPr>
              <w:t>(mm)</w:t>
            </w:r>
          </w:p>
        </w:tc>
        <w:tc>
          <w:tcPr>
            <w:tcW w:w="678" w:type="dxa"/>
          </w:tcPr>
          <w:p>
            <w:pPr>
              <w:pStyle w:val="TableParagraph"/>
              <w:spacing w:line="176" w:lineRule="exact" w:before="0"/>
              <w:ind w:left="67"/>
              <w:jc w:val="left"/>
              <w:rPr>
                <w:sz w:val="16"/>
              </w:rPr>
            </w:pPr>
            <w:r>
              <w:rPr>
                <w:sz w:val="16"/>
              </w:rPr>
              <w:t>YIELD</w:t>
            </w:r>
          </w:p>
          <w:p>
            <w:pPr>
              <w:pStyle w:val="TableParagraph"/>
              <w:spacing w:before="8"/>
              <w:jc w:val="left"/>
              <w:rPr>
                <w:sz w:val="15"/>
              </w:rPr>
            </w:pPr>
          </w:p>
          <w:p>
            <w:pPr>
              <w:pStyle w:val="TableParagraph"/>
              <w:spacing w:before="0"/>
              <w:ind w:left="67"/>
              <w:jc w:val="left"/>
              <w:rPr>
                <w:sz w:val="16"/>
              </w:rPr>
            </w:pPr>
            <w:r>
              <w:rPr>
                <w:sz w:val="16"/>
              </w:rPr>
              <w:t>(mm)</w:t>
            </w:r>
          </w:p>
        </w:tc>
        <w:tc>
          <w:tcPr>
            <w:tcW w:w="595" w:type="dxa"/>
          </w:tcPr>
          <w:p>
            <w:pPr>
              <w:pStyle w:val="TableParagraph"/>
              <w:spacing w:line="176" w:lineRule="exact" w:before="0"/>
              <w:ind w:left="71"/>
              <w:jc w:val="left"/>
              <w:rPr>
                <w:sz w:val="16"/>
              </w:rPr>
            </w:pPr>
            <w:r>
              <w:rPr>
                <w:w w:val="98"/>
                <w:sz w:val="16"/>
              </w:rPr>
              <w:t>D</w:t>
            </w:r>
          </w:p>
          <w:p>
            <w:pPr>
              <w:pStyle w:val="TableParagraph"/>
              <w:spacing w:before="8"/>
              <w:jc w:val="left"/>
              <w:rPr>
                <w:sz w:val="15"/>
              </w:rPr>
            </w:pPr>
          </w:p>
          <w:p>
            <w:pPr>
              <w:pStyle w:val="TableParagraph"/>
              <w:spacing w:before="0"/>
              <w:ind w:left="71"/>
              <w:jc w:val="left"/>
              <w:rPr>
                <w:sz w:val="16"/>
              </w:rPr>
            </w:pPr>
            <w:r>
              <w:rPr>
                <w:sz w:val="16"/>
              </w:rPr>
              <w:t>(mm)</w:t>
            </w:r>
          </w:p>
        </w:tc>
        <w:tc>
          <w:tcPr>
            <w:tcW w:w="595" w:type="dxa"/>
          </w:tcPr>
          <w:p>
            <w:pPr>
              <w:pStyle w:val="TableParagraph"/>
              <w:spacing w:line="176" w:lineRule="exact" w:before="0"/>
              <w:ind w:left="66"/>
              <w:jc w:val="left"/>
              <w:rPr>
                <w:sz w:val="16"/>
              </w:rPr>
            </w:pPr>
            <w:r>
              <w:rPr>
                <w:sz w:val="16"/>
              </w:rPr>
              <w:t>SURQ</w:t>
            </w:r>
          </w:p>
          <w:p>
            <w:pPr>
              <w:pStyle w:val="TableParagraph"/>
              <w:spacing w:before="8"/>
              <w:jc w:val="left"/>
              <w:rPr>
                <w:sz w:val="15"/>
              </w:rPr>
            </w:pPr>
          </w:p>
          <w:p>
            <w:pPr>
              <w:pStyle w:val="TableParagraph"/>
              <w:spacing w:before="0"/>
              <w:ind w:left="66"/>
              <w:jc w:val="left"/>
              <w:rPr>
                <w:sz w:val="16"/>
              </w:rPr>
            </w:pPr>
            <w:r>
              <w:rPr>
                <w:sz w:val="16"/>
              </w:rPr>
              <w:t>------</w:t>
            </w:r>
          </w:p>
        </w:tc>
        <w:tc>
          <w:tcPr>
            <w:tcW w:w="545" w:type="dxa"/>
          </w:tcPr>
          <w:p>
            <w:pPr>
              <w:pStyle w:val="TableParagraph"/>
              <w:spacing w:line="176" w:lineRule="exact" w:before="0"/>
              <w:ind w:left="71"/>
              <w:jc w:val="left"/>
              <w:rPr>
                <w:sz w:val="16"/>
              </w:rPr>
            </w:pPr>
            <w:r>
              <w:rPr>
                <w:w w:val="98"/>
                <w:sz w:val="16"/>
              </w:rPr>
              <w:t>Q</w:t>
            </w:r>
          </w:p>
          <w:p>
            <w:pPr>
              <w:pStyle w:val="TableParagraph"/>
              <w:spacing w:before="8"/>
              <w:jc w:val="left"/>
              <w:rPr>
                <w:sz w:val="15"/>
              </w:rPr>
            </w:pPr>
          </w:p>
          <w:p>
            <w:pPr>
              <w:pStyle w:val="TableParagraph"/>
              <w:spacing w:before="0"/>
              <w:ind w:left="71"/>
              <w:jc w:val="left"/>
              <w:rPr>
                <w:sz w:val="16"/>
              </w:rPr>
            </w:pPr>
            <w:r>
              <w:rPr>
                <w:sz w:val="16"/>
              </w:rPr>
              <w:t>-------</w:t>
            </w:r>
          </w:p>
        </w:tc>
        <w:tc>
          <w:tcPr>
            <w:tcW w:w="598" w:type="dxa"/>
          </w:tcPr>
          <w:p>
            <w:pPr>
              <w:pStyle w:val="TableParagraph"/>
              <w:spacing w:line="176" w:lineRule="exact" w:before="0"/>
              <w:ind w:left="68"/>
              <w:jc w:val="left"/>
              <w:rPr>
                <w:sz w:val="16"/>
              </w:rPr>
            </w:pPr>
            <w:r>
              <w:rPr>
                <w:sz w:val="16"/>
              </w:rPr>
              <w:t>PERC</w:t>
            </w:r>
          </w:p>
          <w:p>
            <w:pPr>
              <w:pStyle w:val="TableParagraph"/>
              <w:spacing w:line="182" w:lineRule="exact" w:before="0"/>
              <w:ind w:left="68"/>
              <w:jc w:val="left"/>
              <w:rPr>
                <w:sz w:val="16"/>
              </w:rPr>
            </w:pPr>
            <w:r>
              <w:rPr>
                <w:sz w:val="16"/>
              </w:rPr>
              <w:t>-----</w:t>
            </w:r>
          </w:p>
          <w:p>
            <w:pPr>
              <w:pStyle w:val="TableParagraph"/>
              <w:spacing w:line="183" w:lineRule="exact" w:before="0"/>
              <w:ind w:left="68"/>
              <w:jc w:val="left"/>
              <w:rPr>
                <w:sz w:val="16"/>
              </w:rPr>
            </w:pPr>
            <w:r>
              <w:rPr>
                <w:sz w:val="16"/>
              </w:rPr>
              <w:t>(kg</w:t>
            </w:r>
          </w:p>
        </w:tc>
        <w:tc>
          <w:tcPr>
            <w:tcW w:w="593" w:type="dxa"/>
          </w:tcPr>
          <w:p>
            <w:pPr>
              <w:pStyle w:val="TableParagraph"/>
              <w:spacing w:line="176" w:lineRule="exact" w:before="0"/>
              <w:ind w:left="71"/>
              <w:jc w:val="left"/>
              <w:rPr>
                <w:sz w:val="16"/>
              </w:rPr>
            </w:pPr>
            <w:r>
              <w:rPr>
                <w:sz w:val="16"/>
              </w:rPr>
              <w:t>CROP</w:t>
            </w:r>
          </w:p>
          <w:p>
            <w:pPr>
              <w:pStyle w:val="TableParagraph"/>
              <w:spacing w:before="0"/>
              <w:ind w:left="71" w:right="147"/>
              <w:jc w:val="left"/>
              <w:rPr>
                <w:sz w:val="16"/>
              </w:rPr>
            </w:pPr>
            <w:r>
              <w:rPr>
                <w:w w:val="95"/>
                <w:sz w:val="16"/>
              </w:rPr>
              <w:t>nutrie </w:t>
            </w:r>
            <w:r>
              <w:rPr>
                <w:sz w:val="16"/>
              </w:rPr>
              <w:t>n</w:t>
            </w:r>
          </w:p>
        </w:tc>
        <w:tc>
          <w:tcPr>
            <w:tcW w:w="830" w:type="dxa"/>
          </w:tcPr>
          <w:p>
            <w:pPr>
              <w:pStyle w:val="TableParagraph"/>
              <w:spacing w:line="176" w:lineRule="exact" w:before="0"/>
              <w:ind w:left="68"/>
              <w:jc w:val="left"/>
              <w:rPr>
                <w:sz w:val="16"/>
              </w:rPr>
            </w:pPr>
            <w:r>
              <w:rPr>
                <w:w w:val="98"/>
                <w:sz w:val="16"/>
              </w:rPr>
              <w:t>C</w:t>
            </w:r>
          </w:p>
          <w:p>
            <w:pPr>
              <w:pStyle w:val="TableParagraph"/>
              <w:spacing w:line="182" w:lineRule="exact" w:before="0"/>
              <w:ind w:left="68"/>
              <w:jc w:val="left"/>
              <w:rPr>
                <w:sz w:val="16"/>
              </w:rPr>
            </w:pPr>
            <w:r>
              <w:rPr>
                <w:sz w:val="16"/>
              </w:rPr>
              <w:t>Ton/Ha)--</w:t>
            </w:r>
          </w:p>
          <w:p>
            <w:pPr>
              <w:pStyle w:val="TableParagraph"/>
              <w:spacing w:line="183" w:lineRule="exact" w:before="0"/>
              <w:ind w:left="68" w:right="84"/>
              <w:jc w:val="left"/>
              <w:rPr>
                <w:sz w:val="16"/>
              </w:rPr>
            </w:pPr>
            <w:r>
              <w:rPr>
                <w:sz w:val="16"/>
              </w:rPr>
              <w:t>--</w:t>
            </w:r>
          </w:p>
        </w:tc>
        <w:tc>
          <w:tcPr>
            <w:tcW w:w="821" w:type="dxa"/>
          </w:tcPr>
          <w:p>
            <w:pPr>
              <w:pStyle w:val="TableParagraph"/>
              <w:spacing w:line="176" w:lineRule="exact" w:before="0"/>
              <w:ind w:left="68"/>
              <w:jc w:val="left"/>
              <w:rPr>
                <w:sz w:val="16"/>
              </w:rPr>
            </w:pPr>
            <w:r>
              <w:rPr>
                <w:w w:val="98"/>
                <w:sz w:val="16"/>
              </w:rPr>
              <w:t>E</w:t>
            </w:r>
          </w:p>
          <w:p>
            <w:pPr>
              <w:pStyle w:val="TableParagraph"/>
              <w:spacing w:before="8"/>
              <w:jc w:val="left"/>
              <w:rPr>
                <w:sz w:val="15"/>
              </w:rPr>
            </w:pPr>
          </w:p>
          <w:p>
            <w:pPr>
              <w:pStyle w:val="TableParagraph"/>
              <w:spacing w:before="0"/>
              <w:ind w:left="68" w:right="84"/>
              <w:jc w:val="left"/>
              <w:rPr>
                <w:sz w:val="16"/>
              </w:rPr>
            </w:pPr>
            <w:r>
              <w:rPr>
                <w:sz w:val="16"/>
              </w:rPr>
              <w:t>--------</w:t>
            </w:r>
          </w:p>
        </w:tc>
        <w:tc>
          <w:tcPr>
            <w:tcW w:w="831" w:type="dxa"/>
          </w:tcPr>
          <w:p>
            <w:pPr>
              <w:pStyle w:val="TableParagraph"/>
              <w:spacing w:line="176" w:lineRule="exact" w:before="0"/>
              <w:ind w:left="68"/>
              <w:jc w:val="left"/>
              <w:rPr>
                <w:sz w:val="16"/>
              </w:rPr>
            </w:pPr>
            <w:r>
              <w:rPr>
                <w:w w:val="98"/>
                <w:sz w:val="16"/>
              </w:rPr>
              <w:t>C</w:t>
            </w:r>
          </w:p>
          <w:p>
            <w:pPr>
              <w:pStyle w:val="TableParagraph"/>
              <w:spacing w:before="8"/>
              <w:jc w:val="left"/>
              <w:rPr>
                <w:sz w:val="15"/>
              </w:rPr>
            </w:pPr>
          </w:p>
          <w:p>
            <w:pPr>
              <w:pStyle w:val="TableParagraph"/>
              <w:spacing w:before="0"/>
              <w:ind w:left="68" w:right="84"/>
              <w:jc w:val="left"/>
              <w:rPr>
                <w:sz w:val="16"/>
              </w:rPr>
            </w:pPr>
            <w:r>
              <w:rPr>
                <w:sz w:val="16"/>
              </w:rPr>
              <w:t>--------</w:t>
            </w:r>
          </w:p>
        </w:tc>
        <w:tc>
          <w:tcPr>
            <w:tcW w:w="726" w:type="dxa"/>
          </w:tcPr>
          <w:p>
            <w:pPr>
              <w:pStyle w:val="TableParagraph"/>
              <w:spacing w:line="176" w:lineRule="exact" w:before="0"/>
              <w:ind w:left="68"/>
              <w:jc w:val="left"/>
              <w:rPr>
                <w:sz w:val="16"/>
              </w:rPr>
            </w:pPr>
            <w:r>
              <w:rPr>
                <w:w w:val="98"/>
                <w:sz w:val="16"/>
              </w:rPr>
              <w:t>3</w:t>
            </w:r>
          </w:p>
          <w:p>
            <w:pPr>
              <w:pStyle w:val="TableParagraph"/>
              <w:spacing w:before="8"/>
              <w:jc w:val="left"/>
              <w:rPr>
                <w:sz w:val="15"/>
              </w:rPr>
            </w:pPr>
          </w:p>
          <w:p>
            <w:pPr>
              <w:pStyle w:val="TableParagraph"/>
              <w:spacing w:before="0"/>
              <w:ind w:left="68"/>
              <w:jc w:val="left"/>
              <w:rPr>
                <w:sz w:val="16"/>
              </w:rPr>
            </w:pPr>
            <w:r>
              <w:rPr>
                <w:sz w:val="16"/>
              </w:rPr>
              <w:t>(kg/ha)</w:t>
            </w:r>
          </w:p>
        </w:tc>
      </w:tr>
      <w:tr>
        <w:trPr>
          <w:trHeight w:val="300" w:hRule="exact"/>
        </w:trPr>
        <w:tc>
          <w:tcPr>
            <w:tcW w:w="520" w:type="dxa"/>
          </w:tcPr>
          <w:p>
            <w:pPr>
              <w:pStyle w:val="TableParagraph"/>
              <w:spacing w:before="50"/>
              <w:ind w:right="72"/>
              <w:rPr>
                <w:sz w:val="16"/>
              </w:rPr>
            </w:pPr>
            <w:r>
              <w:rPr>
                <w:w w:val="99"/>
                <w:sz w:val="16"/>
              </w:rPr>
              <w:t>1</w:t>
            </w:r>
          </w:p>
        </w:tc>
        <w:tc>
          <w:tcPr>
            <w:tcW w:w="716" w:type="dxa"/>
          </w:tcPr>
          <w:p>
            <w:pPr>
              <w:pStyle w:val="TableParagraph"/>
              <w:spacing w:before="50"/>
              <w:ind w:right="69"/>
              <w:rPr>
                <w:sz w:val="16"/>
              </w:rPr>
            </w:pPr>
            <w:r>
              <w:rPr>
                <w:sz w:val="16"/>
              </w:rPr>
              <w:t>27.24</w:t>
            </w:r>
          </w:p>
        </w:tc>
        <w:tc>
          <w:tcPr>
            <w:tcW w:w="718" w:type="dxa"/>
          </w:tcPr>
          <w:p>
            <w:pPr>
              <w:pStyle w:val="TableParagraph"/>
              <w:spacing w:before="50"/>
              <w:ind w:right="66"/>
              <w:rPr>
                <w:sz w:val="16"/>
              </w:rPr>
            </w:pPr>
            <w:r>
              <w:rPr>
                <w:w w:val="95"/>
                <w:sz w:val="16"/>
              </w:rPr>
              <w:t>0.33</w:t>
            </w:r>
          </w:p>
        </w:tc>
        <w:tc>
          <w:tcPr>
            <w:tcW w:w="554" w:type="dxa"/>
          </w:tcPr>
          <w:p>
            <w:pPr>
              <w:pStyle w:val="TableParagraph"/>
              <w:spacing w:before="50"/>
              <w:ind w:right="69"/>
              <w:rPr>
                <w:sz w:val="16"/>
              </w:rPr>
            </w:pPr>
            <w:r>
              <w:rPr>
                <w:w w:val="95"/>
                <w:sz w:val="16"/>
              </w:rPr>
              <w:t>0.72</w:t>
            </w:r>
          </w:p>
        </w:tc>
        <w:tc>
          <w:tcPr>
            <w:tcW w:w="538" w:type="dxa"/>
          </w:tcPr>
          <w:p>
            <w:pPr>
              <w:pStyle w:val="TableParagraph"/>
              <w:spacing w:before="50"/>
              <w:ind w:right="68"/>
              <w:rPr>
                <w:sz w:val="16"/>
              </w:rPr>
            </w:pPr>
            <w:r>
              <w:rPr>
                <w:w w:val="99"/>
                <w:sz w:val="16"/>
              </w:rPr>
              <w:t>0</w:t>
            </w:r>
          </w:p>
        </w:tc>
        <w:tc>
          <w:tcPr>
            <w:tcW w:w="669" w:type="dxa"/>
          </w:tcPr>
          <w:p>
            <w:pPr>
              <w:pStyle w:val="TableParagraph"/>
              <w:spacing w:before="50"/>
              <w:ind w:right="66"/>
              <w:rPr>
                <w:sz w:val="16"/>
              </w:rPr>
            </w:pPr>
            <w:r>
              <w:rPr>
                <w:w w:val="95"/>
                <w:sz w:val="16"/>
              </w:rPr>
              <w:t>0.07</w:t>
            </w:r>
          </w:p>
        </w:tc>
        <w:tc>
          <w:tcPr>
            <w:tcW w:w="535" w:type="dxa"/>
          </w:tcPr>
          <w:p>
            <w:pPr>
              <w:pStyle w:val="TableParagraph"/>
              <w:spacing w:before="50"/>
              <w:ind w:right="68"/>
              <w:rPr>
                <w:sz w:val="16"/>
              </w:rPr>
            </w:pPr>
            <w:r>
              <w:rPr>
                <w:w w:val="99"/>
                <w:sz w:val="16"/>
              </w:rPr>
              <w:t>0</w:t>
            </w:r>
          </w:p>
        </w:tc>
        <w:tc>
          <w:tcPr>
            <w:tcW w:w="667" w:type="dxa"/>
          </w:tcPr>
          <w:p>
            <w:pPr>
              <w:pStyle w:val="TableParagraph"/>
              <w:spacing w:before="50"/>
              <w:ind w:right="64"/>
              <w:rPr>
                <w:sz w:val="16"/>
              </w:rPr>
            </w:pPr>
            <w:r>
              <w:rPr>
                <w:sz w:val="16"/>
              </w:rPr>
              <w:t>337.65</w:t>
            </w:r>
          </w:p>
        </w:tc>
        <w:tc>
          <w:tcPr>
            <w:tcW w:w="665" w:type="dxa"/>
          </w:tcPr>
          <w:p>
            <w:pPr>
              <w:pStyle w:val="TableParagraph"/>
              <w:spacing w:before="50"/>
              <w:ind w:right="66"/>
              <w:rPr>
                <w:sz w:val="16"/>
              </w:rPr>
            </w:pPr>
            <w:r>
              <w:rPr>
                <w:sz w:val="16"/>
              </w:rPr>
              <w:t>13.94</w:t>
            </w:r>
          </w:p>
        </w:tc>
        <w:tc>
          <w:tcPr>
            <w:tcW w:w="544" w:type="dxa"/>
          </w:tcPr>
          <w:p>
            <w:pPr>
              <w:pStyle w:val="TableParagraph"/>
              <w:spacing w:before="50"/>
              <w:ind w:left="91" w:right="50"/>
              <w:jc w:val="center"/>
              <w:rPr>
                <w:sz w:val="16"/>
              </w:rPr>
            </w:pPr>
            <w:r>
              <w:rPr>
                <w:sz w:val="16"/>
              </w:rPr>
              <w:t>64.45</w:t>
            </w:r>
          </w:p>
        </w:tc>
        <w:tc>
          <w:tcPr>
            <w:tcW w:w="678" w:type="dxa"/>
          </w:tcPr>
          <w:p>
            <w:pPr>
              <w:pStyle w:val="TableParagraph"/>
              <w:spacing w:before="50"/>
              <w:ind w:right="69"/>
              <w:rPr>
                <w:sz w:val="16"/>
              </w:rPr>
            </w:pPr>
            <w:r>
              <w:rPr>
                <w:w w:val="95"/>
                <w:sz w:val="16"/>
              </w:rPr>
              <w:t>11.8</w:t>
            </w:r>
          </w:p>
        </w:tc>
        <w:tc>
          <w:tcPr>
            <w:tcW w:w="595" w:type="dxa"/>
          </w:tcPr>
          <w:p>
            <w:pPr>
              <w:pStyle w:val="TableParagraph"/>
              <w:spacing w:before="50"/>
              <w:ind w:right="64"/>
              <w:rPr>
                <w:sz w:val="16"/>
              </w:rPr>
            </w:pPr>
            <w:r>
              <w:rPr>
                <w:w w:val="95"/>
                <w:sz w:val="16"/>
              </w:rPr>
              <w:t>0.01</w:t>
            </w:r>
          </w:p>
        </w:tc>
        <w:tc>
          <w:tcPr>
            <w:tcW w:w="595" w:type="dxa"/>
          </w:tcPr>
          <w:p>
            <w:pPr>
              <w:pStyle w:val="TableParagraph"/>
              <w:spacing w:before="50"/>
              <w:ind w:right="69"/>
              <w:rPr>
                <w:sz w:val="16"/>
              </w:rPr>
            </w:pPr>
            <w:r>
              <w:rPr>
                <w:w w:val="95"/>
                <w:sz w:val="16"/>
              </w:rPr>
              <w:t>0.01</w:t>
            </w:r>
          </w:p>
        </w:tc>
        <w:tc>
          <w:tcPr>
            <w:tcW w:w="545" w:type="dxa"/>
          </w:tcPr>
          <w:p>
            <w:pPr>
              <w:pStyle w:val="TableParagraph"/>
              <w:spacing w:before="50"/>
              <w:ind w:right="66"/>
              <w:rPr>
                <w:sz w:val="16"/>
              </w:rPr>
            </w:pPr>
            <w:r>
              <w:rPr>
                <w:w w:val="95"/>
                <w:sz w:val="16"/>
              </w:rPr>
              <w:t>0.01</w:t>
            </w:r>
          </w:p>
        </w:tc>
        <w:tc>
          <w:tcPr>
            <w:tcW w:w="598" w:type="dxa"/>
          </w:tcPr>
          <w:p>
            <w:pPr>
              <w:pStyle w:val="TableParagraph"/>
              <w:spacing w:before="50"/>
              <w:ind w:right="73"/>
              <w:rPr>
                <w:sz w:val="16"/>
              </w:rPr>
            </w:pPr>
            <w:r>
              <w:rPr>
                <w:w w:val="99"/>
                <w:sz w:val="16"/>
              </w:rPr>
              <w:t>0</w:t>
            </w:r>
          </w:p>
        </w:tc>
        <w:tc>
          <w:tcPr>
            <w:tcW w:w="593" w:type="dxa"/>
          </w:tcPr>
          <w:p>
            <w:pPr>
              <w:pStyle w:val="TableParagraph"/>
              <w:spacing w:before="50"/>
              <w:ind w:right="72"/>
              <w:rPr>
                <w:sz w:val="16"/>
              </w:rPr>
            </w:pPr>
            <w:r>
              <w:rPr>
                <w:w w:val="99"/>
                <w:sz w:val="16"/>
              </w:rPr>
              <w:t>0</w:t>
            </w:r>
          </w:p>
        </w:tc>
        <w:tc>
          <w:tcPr>
            <w:tcW w:w="830" w:type="dxa"/>
          </w:tcPr>
          <w:p>
            <w:pPr>
              <w:pStyle w:val="TableParagraph"/>
              <w:spacing w:before="50"/>
              <w:ind w:right="72"/>
              <w:rPr>
                <w:sz w:val="16"/>
              </w:rPr>
            </w:pPr>
            <w:r>
              <w:rPr>
                <w:w w:val="99"/>
                <w:sz w:val="16"/>
              </w:rPr>
              <w:t>0</w:t>
            </w:r>
          </w:p>
        </w:tc>
        <w:tc>
          <w:tcPr>
            <w:tcW w:w="821" w:type="dxa"/>
          </w:tcPr>
          <w:p>
            <w:pPr>
              <w:pStyle w:val="TableParagraph"/>
              <w:spacing w:before="50"/>
              <w:ind w:right="70"/>
              <w:rPr>
                <w:sz w:val="16"/>
              </w:rPr>
            </w:pPr>
            <w:r>
              <w:rPr>
                <w:w w:val="99"/>
                <w:sz w:val="16"/>
              </w:rPr>
              <w:t>0</w:t>
            </w:r>
          </w:p>
        </w:tc>
        <w:tc>
          <w:tcPr>
            <w:tcW w:w="831" w:type="dxa"/>
          </w:tcPr>
          <w:p>
            <w:pPr>
              <w:pStyle w:val="TableParagraph"/>
              <w:spacing w:before="50"/>
              <w:ind w:right="72"/>
              <w:rPr>
                <w:sz w:val="16"/>
              </w:rPr>
            </w:pPr>
            <w:r>
              <w:rPr>
                <w:w w:val="99"/>
                <w:sz w:val="16"/>
              </w:rPr>
              <w:t>0</w:t>
            </w:r>
          </w:p>
        </w:tc>
        <w:tc>
          <w:tcPr>
            <w:tcW w:w="726" w:type="dxa"/>
          </w:tcPr>
          <w:p>
            <w:pPr>
              <w:pStyle w:val="TableParagraph"/>
              <w:spacing w:before="50"/>
              <w:ind w:right="33"/>
              <w:rPr>
                <w:sz w:val="16"/>
              </w:rPr>
            </w:pPr>
            <w:r>
              <w:rPr>
                <w:w w:val="99"/>
                <w:sz w:val="16"/>
              </w:rPr>
              <w:t>0</w:t>
            </w:r>
          </w:p>
        </w:tc>
      </w:tr>
      <w:tr>
        <w:trPr>
          <w:trHeight w:val="300" w:hRule="exact"/>
        </w:trPr>
        <w:tc>
          <w:tcPr>
            <w:tcW w:w="520" w:type="dxa"/>
          </w:tcPr>
          <w:p>
            <w:pPr>
              <w:pStyle w:val="TableParagraph"/>
              <w:spacing w:before="47"/>
              <w:ind w:right="72"/>
              <w:rPr>
                <w:sz w:val="16"/>
              </w:rPr>
            </w:pPr>
            <w:r>
              <w:rPr>
                <w:w w:val="99"/>
                <w:sz w:val="16"/>
              </w:rPr>
              <w:t>2</w:t>
            </w:r>
          </w:p>
        </w:tc>
        <w:tc>
          <w:tcPr>
            <w:tcW w:w="716" w:type="dxa"/>
          </w:tcPr>
          <w:p>
            <w:pPr>
              <w:pStyle w:val="TableParagraph"/>
              <w:spacing w:before="47"/>
              <w:ind w:right="73"/>
              <w:rPr>
                <w:sz w:val="16"/>
              </w:rPr>
            </w:pPr>
            <w:r>
              <w:rPr>
                <w:w w:val="99"/>
                <w:sz w:val="16"/>
              </w:rPr>
              <w:t>0</w:t>
            </w:r>
          </w:p>
        </w:tc>
        <w:tc>
          <w:tcPr>
            <w:tcW w:w="718" w:type="dxa"/>
          </w:tcPr>
          <w:p>
            <w:pPr>
              <w:pStyle w:val="TableParagraph"/>
              <w:spacing w:before="47"/>
              <w:ind w:right="72"/>
              <w:rPr>
                <w:sz w:val="16"/>
              </w:rPr>
            </w:pPr>
            <w:r>
              <w:rPr>
                <w:w w:val="99"/>
                <w:sz w:val="16"/>
              </w:rPr>
              <w:t>0</w:t>
            </w:r>
          </w:p>
        </w:tc>
        <w:tc>
          <w:tcPr>
            <w:tcW w:w="554" w:type="dxa"/>
          </w:tcPr>
          <w:p>
            <w:pPr>
              <w:pStyle w:val="TableParagraph"/>
              <w:spacing w:before="47"/>
              <w:ind w:right="69"/>
              <w:rPr>
                <w:sz w:val="16"/>
              </w:rPr>
            </w:pPr>
            <w:r>
              <w:rPr>
                <w:w w:val="95"/>
                <w:sz w:val="16"/>
              </w:rPr>
              <w:t>0.54</w:t>
            </w:r>
          </w:p>
        </w:tc>
        <w:tc>
          <w:tcPr>
            <w:tcW w:w="538" w:type="dxa"/>
          </w:tcPr>
          <w:p>
            <w:pPr>
              <w:pStyle w:val="TableParagraph"/>
              <w:spacing w:before="47"/>
              <w:ind w:right="68"/>
              <w:rPr>
                <w:sz w:val="16"/>
              </w:rPr>
            </w:pPr>
            <w:r>
              <w:rPr>
                <w:w w:val="99"/>
                <w:sz w:val="16"/>
              </w:rPr>
              <w:t>0</w:t>
            </w:r>
          </w:p>
        </w:tc>
        <w:tc>
          <w:tcPr>
            <w:tcW w:w="669" w:type="dxa"/>
          </w:tcPr>
          <w:p>
            <w:pPr>
              <w:pStyle w:val="TableParagraph"/>
              <w:spacing w:before="47"/>
              <w:ind w:right="66"/>
              <w:rPr>
                <w:sz w:val="16"/>
              </w:rPr>
            </w:pPr>
            <w:r>
              <w:rPr>
                <w:w w:val="95"/>
                <w:sz w:val="16"/>
              </w:rPr>
              <w:t>0.86</w:t>
            </w:r>
          </w:p>
        </w:tc>
        <w:tc>
          <w:tcPr>
            <w:tcW w:w="535" w:type="dxa"/>
          </w:tcPr>
          <w:p>
            <w:pPr>
              <w:pStyle w:val="TableParagraph"/>
              <w:spacing w:before="47"/>
              <w:ind w:right="68"/>
              <w:rPr>
                <w:sz w:val="16"/>
              </w:rPr>
            </w:pPr>
            <w:r>
              <w:rPr>
                <w:w w:val="99"/>
                <w:sz w:val="16"/>
              </w:rPr>
              <w:t>0</w:t>
            </w:r>
          </w:p>
        </w:tc>
        <w:tc>
          <w:tcPr>
            <w:tcW w:w="667" w:type="dxa"/>
          </w:tcPr>
          <w:p>
            <w:pPr>
              <w:pStyle w:val="TableParagraph"/>
              <w:spacing w:before="47"/>
              <w:ind w:right="64"/>
              <w:rPr>
                <w:sz w:val="16"/>
              </w:rPr>
            </w:pPr>
            <w:r>
              <w:rPr>
                <w:sz w:val="16"/>
              </w:rPr>
              <w:t>343.27</w:t>
            </w:r>
          </w:p>
        </w:tc>
        <w:tc>
          <w:tcPr>
            <w:tcW w:w="665" w:type="dxa"/>
          </w:tcPr>
          <w:p>
            <w:pPr>
              <w:pStyle w:val="TableParagraph"/>
              <w:spacing w:before="47"/>
              <w:ind w:right="66"/>
              <w:rPr>
                <w:sz w:val="16"/>
              </w:rPr>
            </w:pPr>
            <w:r>
              <w:rPr>
                <w:sz w:val="16"/>
              </w:rPr>
              <w:t>12.68</w:t>
            </w:r>
          </w:p>
        </w:tc>
        <w:tc>
          <w:tcPr>
            <w:tcW w:w="544" w:type="dxa"/>
          </w:tcPr>
          <w:p>
            <w:pPr>
              <w:pStyle w:val="TableParagraph"/>
              <w:spacing w:before="47"/>
              <w:ind w:left="173" w:right="50"/>
              <w:jc w:val="center"/>
              <w:rPr>
                <w:sz w:val="16"/>
              </w:rPr>
            </w:pPr>
            <w:r>
              <w:rPr>
                <w:sz w:val="16"/>
              </w:rPr>
              <w:t>98.1</w:t>
            </w:r>
          </w:p>
        </w:tc>
        <w:tc>
          <w:tcPr>
            <w:tcW w:w="678" w:type="dxa"/>
          </w:tcPr>
          <w:p>
            <w:pPr>
              <w:pStyle w:val="TableParagraph"/>
              <w:spacing w:before="47"/>
              <w:ind w:right="69"/>
              <w:rPr>
                <w:sz w:val="16"/>
              </w:rPr>
            </w:pPr>
            <w:r>
              <w:rPr>
                <w:w w:val="95"/>
                <w:sz w:val="16"/>
              </w:rPr>
              <w:t>9.72</w:t>
            </w:r>
          </w:p>
        </w:tc>
        <w:tc>
          <w:tcPr>
            <w:tcW w:w="595" w:type="dxa"/>
          </w:tcPr>
          <w:p>
            <w:pPr>
              <w:pStyle w:val="TableParagraph"/>
              <w:spacing w:before="47"/>
              <w:ind w:right="68"/>
              <w:rPr>
                <w:sz w:val="16"/>
              </w:rPr>
            </w:pPr>
            <w:r>
              <w:rPr>
                <w:w w:val="99"/>
                <w:sz w:val="16"/>
              </w:rPr>
              <w:t>0</w:t>
            </w:r>
          </w:p>
        </w:tc>
        <w:tc>
          <w:tcPr>
            <w:tcW w:w="595" w:type="dxa"/>
          </w:tcPr>
          <w:p>
            <w:pPr>
              <w:pStyle w:val="TableParagraph"/>
              <w:spacing w:before="47"/>
              <w:ind w:right="73"/>
              <w:rPr>
                <w:sz w:val="16"/>
              </w:rPr>
            </w:pPr>
            <w:r>
              <w:rPr>
                <w:w w:val="99"/>
                <w:sz w:val="16"/>
              </w:rPr>
              <w:t>0</w:t>
            </w:r>
          </w:p>
        </w:tc>
        <w:tc>
          <w:tcPr>
            <w:tcW w:w="545" w:type="dxa"/>
          </w:tcPr>
          <w:p>
            <w:pPr>
              <w:pStyle w:val="TableParagraph"/>
              <w:spacing w:before="47"/>
              <w:ind w:right="66"/>
              <w:rPr>
                <w:sz w:val="16"/>
              </w:rPr>
            </w:pPr>
            <w:r>
              <w:rPr>
                <w:w w:val="95"/>
                <w:sz w:val="16"/>
              </w:rPr>
              <w:t>0.01</w:t>
            </w:r>
          </w:p>
        </w:tc>
        <w:tc>
          <w:tcPr>
            <w:tcW w:w="598" w:type="dxa"/>
          </w:tcPr>
          <w:p>
            <w:pPr>
              <w:pStyle w:val="TableParagraph"/>
              <w:spacing w:before="47"/>
              <w:ind w:right="69"/>
              <w:rPr>
                <w:sz w:val="16"/>
              </w:rPr>
            </w:pPr>
            <w:r>
              <w:rPr>
                <w:w w:val="95"/>
                <w:sz w:val="16"/>
              </w:rPr>
              <w:t>0.15</w:t>
            </w:r>
          </w:p>
        </w:tc>
        <w:tc>
          <w:tcPr>
            <w:tcW w:w="593" w:type="dxa"/>
          </w:tcPr>
          <w:p>
            <w:pPr>
              <w:pStyle w:val="TableParagraph"/>
              <w:spacing w:before="47"/>
              <w:ind w:right="72"/>
              <w:rPr>
                <w:sz w:val="16"/>
              </w:rPr>
            </w:pPr>
            <w:r>
              <w:rPr>
                <w:w w:val="99"/>
                <w:sz w:val="16"/>
              </w:rPr>
              <w:t>0</w:t>
            </w:r>
          </w:p>
        </w:tc>
        <w:tc>
          <w:tcPr>
            <w:tcW w:w="830" w:type="dxa"/>
          </w:tcPr>
          <w:p>
            <w:pPr>
              <w:pStyle w:val="TableParagraph"/>
              <w:spacing w:before="47"/>
              <w:ind w:right="72"/>
              <w:rPr>
                <w:sz w:val="16"/>
              </w:rPr>
            </w:pPr>
            <w:r>
              <w:rPr>
                <w:w w:val="99"/>
                <w:sz w:val="16"/>
              </w:rPr>
              <w:t>0</w:t>
            </w:r>
          </w:p>
        </w:tc>
        <w:tc>
          <w:tcPr>
            <w:tcW w:w="821" w:type="dxa"/>
          </w:tcPr>
          <w:p>
            <w:pPr>
              <w:pStyle w:val="TableParagraph"/>
              <w:spacing w:before="47"/>
              <w:ind w:right="70"/>
              <w:rPr>
                <w:sz w:val="16"/>
              </w:rPr>
            </w:pPr>
            <w:r>
              <w:rPr>
                <w:w w:val="99"/>
                <w:sz w:val="16"/>
              </w:rPr>
              <w:t>0</w:t>
            </w:r>
          </w:p>
        </w:tc>
        <w:tc>
          <w:tcPr>
            <w:tcW w:w="831" w:type="dxa"/>
          </w:tcPr>
          <w:p>
            <w:pPr>
              <w:pStyle w:val="TableParagraph"/>
              <w:spacing w:before="47"/>
              <w:ind w:right="72"/>
              <w:rPr>
                <w:sz w:val="16"/>
              </w:rPr>
            </w:pPr>
            <w:r>
              <w:rPr>
                <w:w w:val="99"/>
                <w:sz w:val="16"/>
              </w:rPr>
              <w:t>0</w:t>
            </w:r>
          </w:p>
        </w:tc>
        <w:tc>
          <w:tcPr>
            <w:tcW w:w="726" w:type="dxa"/>
          </w:tcPr>
          <w:p>
            <w:pPr>
              <w:pStyle w:val="TableParagraph"/>
              <w:spacing w:before="47"/>
              <w:ind w:right="33"/>
              <w:rPr>
                <w:sz w:val="16"/>
              </w:rPr>
            </w:pPr>
            <w:r>
              <w:rPr>
                <w:w w:val="99"/>
                <w:sz w:val="16"/>
              </w:rPr>
              <w:t>0</w:t>
            </w:r>
          </w:p>
        </w:tc>
      </w:tr>
      <w:tr>
        <w:trPr>
          <w:trHeight w:val="300" w:hRule="exact"/>
        </w:trPr>
        <w:tc>
          <w:tcPr>
            <w:tcW w:w="520" w:type="dxa"/>
          </w:tcPr>
          <w:p>
            <w:pPr>
              <w:pStyle w:val="TableParagraph"/>
              <w:spacing w:before="50"/>
              <w:ind w:right="72"/>
              <w:rPr>
                <w:sz w:val="16"/>
              </w:rPr>
            </w:pPr>
            <w:r>
              <w:rPr>
                <w:w w:val="99"/>
                <w:sz w:val="16"/>
              </w:rPr>
              <w:t>3</w:t>
            </w:r>
          </w:p>
        </w:tc>
        <w:tc>
          <w:tcPr>
            <w:tcW w:w="716" w:type="dxa"/>
          </w:tcPr>
          <w:p>
            <w:pPr>
              <w:pStyle w:val="TableParagraph"/>
              <w:spacing w:before="50"/>
              <w:ind w:right="69"/>
              <w:rPr>
                <w:sz w:val="16"/>
              </w:rPr>
            </w:pPr>
            <w:r>
              <w:rPr>
                <w:sz w:val="16"/>
              </w:rPr>
              <w:t>25.65</w:t>
            </w:r>
          </w:p>
        </w:tc>
        <w:tc>
          <w:tcPr>
            <w:tcW w:w="718" w:type="dxa"/>
          </w:tcPr>
          <w:p>
            <w:pPr>
              <w:pStyle w:val="TableParagraph"/>
              <w:spacing w:before="50"/>
              <w:ind w:right="66"/>
              <w:rPr>
                <w:sz w:val="16"/>
              </w:rPr>
            </w:pPr>
            <w:r>
              <w:rPr>
                <w:w w:val="95"/>
                <w:sz w:val="16"/>
              </w:rPr>
              <w:t>0.34</w:t>
            </w:r>
          </w:p>
        </w:tc>
        <w:tc>
          <w:tcPr>
            <w:tcW w:w="554" w:type="dxa"/>
          </w:tcPr>
          <w:p>
            <w:pPr>
              <w:pStyle w:val="TableParagraph"/>
              <w:spacing w:before="50"/>
              <w:ind w:right="69"/>
              <w:rPr>
                <w:sz w:val="16"/>
              </w:rPr>
            </w:pPr>
            <w:r>
              <w:rPr>
                <w:w w:val="95"/>
                <w:sz w:val="16"/>
              </w:rPr>
              <w:t>0.51</w:t>
            </w:r>
          </w:p>
        </w:tc>
        <w:tc>
          <w:tcPr>
            <w:tcW w:w="538" w:type="dxa"/>
          </w:tcPr>
          <w:p>
            <w:pPr>
              <w:pStyle w:val="TableParagraph"/>
              <w:spacing w:before="50"/>
              <w:ind w:right="68"/>
              <w:rPr>
                <w:sz w:val="16"/>
              </w:rPr>
            </w:pPr>
            <w:r>
              <w:rPr>
                <w:w w:val="99"/>
                <w:sz w:val="16"/>
              </w:rPr>
              <w:t>0</w:t>
            </w:r>
          </w:p>
        </w:tc>
        <w:tc>
          <w:tcPr>
            <w:tcW w:w="669" w:type="dxa"/>
          </w:tcPr>
          <w:p>
            <w:pPr>
              <w:pStyle w:val="TableParagraph"/>
              <w:spacing w:before="50"/>
              <w:ind w:right="66"/>
              <w:rPr>
                <w:sz w:val="16"/>
              </w:rPr>
            </w:pPr>
            <w:r>
              <w:rPr>
                <w:sz w:val="16"/>
              </w:rPr>
              <w:t>11.44</w:t>
            </w:r>
          </w:p>
        </w:tc>
        <w:tc>
          <w:tcPr>
            <w:tcW w:w="535" w:type="dxa"/>
          </w:tcPr>
          <w:p>
            <w:pPr>
              <w:pStyle w:val="TableParagraph"/>
              <w:spacing w:before="50"/>
              <w:ind w:right="68"/>
              <w:rPr>
                <w:sz w:val="16"/>
              </w:rPr>
            </w:pPr>
            <w:r>
              <w:rPr>
                <w:w w:val="99"/>
                <w:sz w:val="16"/>
              </w:rPr>
              <w:t>0</w:t>
            </w:r>
          </w:p>
        </w:tc>
        <w:tc>
          <w:tcPr>
            <w:tcW w:w="667" w:type="dxa"/>
          </w:tcPr>
          <w:p>
            <w:pPr>
              <w:pStyle w:val="TableParagraph"/>
              <w:spacing w:before="50"/>
              <w:ind w:right="64"/>
              <w:rPr>
                <w:sz w:val="16"/>
              </w:rPr>
            </w:pPr>
            <w:r>
              <w:rPr>
                <w:sz w:val="16"/>
              </w:rPr>
              <w:t>332.19</w:t>
            </w:r>
          </w:p>
        </w:tc>
        <w:tc>
          <w:tcPr>
            <w:tcW w:w="665" w:type="dxa"/>
          </w:tcPr>
          <w:p>
            <w:pPr>
              <w:pStyle w:val="TableParagraph"/>
              <w:spacing w:before="50"/>
              <w:ind w:right="66"/>
              <w:rPr>
                <w:sz w:val="16"/>
              </w:rPr>
            </w:pPr>
            <w:r>
              <w:rPr>
                <w:sz w:val="16"/>
              </w:rPr>
              <w:t>24.63</w:t>
            </w:r>
          </w:p>
        </w:tc>
        <w:tc>
          <w:tcPr>
            <w:tcW w:w="544" w:type="dxa"/>
          </w:tcPr>
          <w:p>
            <w:pPr>
              <w:pStyle w:val="TableParagraph"/>
              <w:spacing w:before="50"/>
              <w:ind w:left="91" w:right="50"/>
              <w:jc w:val="center"/>
              <w:rPr>
                <w:sz w:val="16"/>
              </w:rPr>
            </w:pPr>
            <w:r>
              <w:rPr>
                <w:sz w:val="16"/>
              </w:rPr>
              <w:t>109.9</w:t>
            </w:r>
          </w:p>
        </w:tc>
        <w:tc>
          <w:tcPr>
            <w:tcW w:w="678" w:type="dxa"/>
          </w:tcPr>
          <w:p>
            <w:pPr>
              <w:pStyle w:val="TableParagraph"/>
              <w:spacing w:before="50"/>
              <w:ind w:right="69"/>
              <w:rPr>
                <w:sz w:val="16"/>
              </w:rPr>
            </w:pPr>
            <w:r>
              <w:rPr>
                <w:w w:val="95"/>
                <w:sz w:val="16"/>
              </w:rPr>
              <w:t>9.89</w:t>
            </w:r>
          </w:p>
        </w:tc>
        <w:tc>
          <w:tcPr>
            <w:tcW w:w="595" w:type="dxa"/>
          </w:tcPr>
          <w:p>
            <w:pPr>
              <w:pStyle w:val="TableParagraph"/>
              <w:spacing w:before="50"/>
              <w:ind w:right="64"/>
              <w:rPr>
                <w:sz w:val="16"/>
              </w:rPr>
            </w:pPr>
            <w:r>
              <w:rPr>
                <w:w w:val="95"/>
                <w:sz w:val="16"/>
              </w:rPr>
              <w:t>0.01</w:t>
            </w:r>
          </w:p>
        </w:tc>
        <w:tc>
          <w:tcPr>
            <w:tcW w:w="595" w:type="dxa"/>
          </w:tcPr>
          <w:p>
            <w:pPr>
              <w:pStyle w:val="TableParagraph"/>
              <w:spacing w:before="50"/>
              <w:ind w:right="73"/>
              <w:rPr>
                <w:sz w:val="16"/>
              </w:rPr>
            </w:pPr>
            <w:r>
              <w:rPr>
                <w:w w:val="99"/>
                <w:sz w:val="16"/>
              </w:rPr>
              <w:t>0</w:t>
            </w:r>
          </w:p>
        </w:tc>
        <w:tc>
          <w:tcPr>
            <w:tcW w:w="545" w:type="dxa"/>
          </w:tcPr>
          <w:p>
            <w:pPr>
              <w:pStyle w:val="TableParagraph"/>
              <w:spacing w:before="50"/>
              <w:ind w:right="66"/>
              <w:rPr>
                <w:sz w:val="16"/>
              </w:rPr>
            </w:pPr>
            <w:r>
              <w:rPr>
                <w:w w:val="95"/>
                <w:sz w:val="16"/>
              </w:rPr>
              <w:t>0.01</w:t>
            </w:r>
          </w:p>
        </w:tc>
        <w:tc>
          <w:tcPr>
            <w:tcW w:w="598" w:type="dxa"/>
          </w:tcPr>
          <w:p>
            <w:pPr>
              <w:pStyle w:val="TableParagraph"/>
              <w:spacing w:before="50"/>
              <w:ind w:right="69"/>
              <w:rPr>
                <w:sz w:val="16"/>
              </w:rPr>
            </w:pPr>
            <w:r>
              <w:rPr>
                <w:w w:val="95"/>
                <w:sz w:val="16"/>
              </w:rPr>
              <w:t>0.81</w:t>
            </w:r>
          </w:p>
        </w:tc>
        <w:tc>
          <w:tcPr>
            <w:tcW w:w="593" w:type="dxa"/>
          </w:tcPr>
          <w:p>
            <w:pPr>
              <w:pStyle w:val="TableParagraph"/>
              <w:spacing w:before="50"/>
              <w:ind w:right="71"/>
              <w:rPr>
                <w:sz w:val="16"/>
              </w:rPr>
            </w:pPr>
            <w:r>
              <w:rPr>
                <w:w w:val="95"/>
                <w:sz w:val="16"/>
              </w:rPr>
              <w:t>5.9</w:t>
            </w:r>
          </w:p>
        </w:tc>
        <w:tc>
          <w:tcPr>
            <w:tcW w:w="830" w:type="dxa"/>
          </w:tcPr>
          <w:p>
            <w:pPr>
              <w:pStyle w:val="TableParagraph"/>
              <w:spacing w:before="50"/>
              <w:ind w:right="72"/>
              <w:rPr>
                <w:sz w:val="16"/>
              </w:rPr>
            </w:pPr>
            <w:r>
              <w:rPr>
                <w:w w:val="99"/>
                <w:sz w:val="16"/>
              </w:rPr>
              <w:t>0</w:t>
            </w:r>
          </w:p>
        </w:tc>
        <w:tc>
          <w:tcPr>
            <w:tcW w:w="821" w:type="dxa"/>
          </w:tcPr>
          <w:p>
            <w:pPr>
              <w:pStyle w:val="TableParagraph"/>
              <w:spacing w:before="50"/>
              <w:ind w:right="70"/>
              <w:rPr>
                <w:sz w:val="16"/>
              </w:rPr>
            </w:pPr>
            <w:r>
              <w:rPr>
                <w:w w:val="99"/>
                <w:sz w:val="16"/>
              </w:rPr>
              <w:t>0</w:t>
            </w:r>
          </w:p>
        </w:tc>
        <w:tc>
          <w:tcPr>
            <w:tcW w:w="831" w:type="dxa"/>
          </w:tcPr>
          <w:p>
            <w:pPr>
              <w:pStyle w:val="TableParagraph"/>
              <w:spacing w:before="50"/>
              <w:ind w:right="72"/>
              <w:rPr>
                <w:sz w:val="16"/>
              </w:rPr>
            </w:pPr>
            <w:r>
              <w:rPr>
                <w:w w:val="99"/>
                <w:sz w:val="16"/>
              </w:rPr>
              <w:t>0</w:t>
            </w:r>
          </w:p>
        </w:tc>
        <w:tc>
          <w:tcPr>
            <w:tcW w:w="726" w:type="dxa"/>
          </w:tcPr>
          <w:p>
            <w:pPr>
              <w:pStyle w:val="TableParagraph"/>
              <w:spacing w:before="50"/>
              <w:ind w:right="33"/>
              <w:rPr>
                <w:sz w:val="16"/>
              </w:rPr>
            </w:pPr>
            <w:r>
              <w:rPr>
                <w:w w:val="99"/>
                <w:sz w:val="16"/>
              </w:rPr>
              <w:t>0</w:t>
            </w:r>
          </w:p>
        </w:tc>
      </w:tr>
      <w:tr>
        <w:trPr>
          <w:trHeight w:val="300" w:hRule="exact"/>
        </w:trPr>
        <w:tc>
          <w:tcPr>
            <w:tcW w:w="520" w:type="dxa"/>
          </w:tcPr>
          <w:p>
            <w:pPr>
              <w:pStyle w:val="TableParagraph"/>
              <w:spacing w:before="47"/>
              <w:ind w:right="72"/>
              <w:rPr>
                <w:sz w:val="16"/>
              </w:rPr>
            </w:pPr>
            <w:r>
              <w:rPr>
                <w:w w:val="99"/>
                <w:sz w:val="16"/>
              </w:rPr>
              <w:t>4</w:t>
            </w:r>
          </w:p>
        </w:tc>
        <w:tc>
          <w:tcPr>
            <w:tcW w:w="716" w:type="dxa"/>
          </w:tcPr>
          <w:p>
            <w:pPr>
              <w:pStyle w:val="TableParagraph"/>
              <w:spacing w:before="47"/>
              <w:ind w:right="69"/>
              <w:rPr>
                <w:sz w:val="16"/>
              </w:rPr>
            </w:pPr>
            <w:r>
              <w:rPr>
                <w:w w:val="95"/>
                <w:sz w:val="16"/>
              </w:rPr>
              <w:t>19.6</w:t>
            </w:r>
          </w:p>
        </w:tc>
        <w:tc>
          <w:tcPr>
            <w:tcW w:w="718" w:type="dxa"/>
          </w:tcPr>
          <w:p>
            <w:pPr>
              <w:pStyle w:val="TableParagraph"/>
              <w:spacing w:before="47"/>
              <w:ind w:right="66"/>
              <w:rPr>
                <w:sz w:val="16"/>
              </w:rPr>
            </w:pPr>
            <w:r>
              <w:rPr>
                <w:w w:val="95"/>
                <w:sz w:val="16"/>
              </w:rPr>
              <w:t>1.03</w:t>
            </w:r>
          </w:p>
        </w:tc>
        <w:tc>
          <w:tcPr>
            <w:tcW w:w="554" w:type="dxa"/>
          </w:tcPr>
          <w:p>
            <w:pPr>
              <w:pStyle w:val="TableParagraph"/>
              <w:spacing w:before="47"/>
              <w:ind w:right="69"/>
              <w:rPr>
                <w:sz w:val="16"/>
              </w:rPr>
            </w:pPr>
            <w:r>
              <w:rPr>
                <w:w w:val="95"/>
                <w:sz w:val="16"/>
              </w:rPr>
              <w:t>0.43</w:t>
            </w:r>
          </w:p>
        </w:tc>
        <w:tc>
          <w:tcPr>
            <w:tcW w:w="538" w:type="dxa"/>
          </w:tcPr>
          <w:p>
            <w:pPr>
              <w:pStyle w:val="TableParagraph"/>
              <w:spacing w:before="47"/>
              <w:ind w:right="68"/>
              <w:rPr>
                <w:sz w:val="16"/>
              </w:rPr>
            </w:pPr>
            <w:r>
              <w:rPr>
                <w:w w:val="99"/>
                <w:sz w:val="16"/>
              </w:rPr>
              <w:t>0</w:t>
            </w:r>
          </w:p>
        </w:tc>
        <w:tc>
          <w:tcPr>
            <w:tcW w:w="669" w:type="dxa"/>
          </w:tcPr>
          <w:p>
            <w:pPr>
              <w:pStyle w:val="TableParagraph"/>
              <w:spacing w:before="47"/>
              <w:ind w:right="66"/>
              <w:rPr>
                <w:sz w:val="16"/>
              </w:rPr>
            </w:pPr>
            <w:r>
              <w:rPr>
                <w:w w:val="95"/>
                <w:sz w:val="16"/>
              </w:rPr>
              <w:t>5.38</w:t>
            </w:r>
          </w:p>
        </w:tc>
        <w:tc>
          <w:tcPr>
            <w:tcW w:w="535" w:type="dxa"/>
          </w:tcPr>
          <w:p>
            <w:pPr>
              <w:pStyle w:val="TableParagraph"/>
              <w:spacing w:before="47"/>
              <w:ind w:right="68"/>
              <w:rPr>
                <w:sz w:val="16"/>
              </w:rPr>
            </w:pPr>
            <w:r>
              <w:rPr>
                <w:w w:val="99"/>
                <w:sz w:val="16"/>
              </w:rPr>
              <w:t>0</w:t>
            </w:r>
          </w:p>
        </w:tc>
        <w:tc>
          <w:tcPr>
            <w:tcW w:w="667" w:type="dxa"/>
          </w:tcPr>
          <w:p>
            <w:pPr>
              <w:pStyle w:val="TableParagraph"/>
              <w:spacing w:before="47"/>
              <w:ind w:right="64"/>
              <w:rPr>
                <w:sz w:val="16"/>
              </w:rPr>
            </w:pPr>
            <w:r>
              <w:rPr>
                <w:sz w:val="16"/>
              </w:rPr>
              <w:t>322.91</w:t>
            </w:r>
          </w:p>
        </w:tc>
        <w:tc>
          <w:tcPr>
            <w:tcW w:w="665" w:type="dxa"/>
          </w:tcPr>
          <w:p>
            <w:pPr>
              <w:pStyle w:val="TableParagraph"/>
              <w:spacing w:before="47"/>
              <w:ind w:right="66"/>
              <w:rPr>
                <w:sz w:val="16"/>
              </w:rPr>
            </w:pPr>
            <w:r>
              <w:rPr>
                <w:sz w:val="16"/>
              </w:rPr>
              <w:t>31.84</w:t>
            </w:r>
          </w:p>
        </w:tc>
        <w:tc>
          <w:tcPr>
            <w:tcW w:w="544" w:type="dxa"/>
          </w:tcPr>
          <w:p>
            <w:pPr>
              <w:pStyle w:val="TableParagraph"/>
              <w:spacing w:before="47"/>
              <w:ind w:left="91" w:right="50"/>
              <w:jc w:val="center"/>
              <w:rPr>
                <w:sz w:val="16"/>
              </w:rPr>
            </w:pPr>
            <w:r>
              <w:rPr>
                <w:sz w:val="16"/>
              </w:rPr>
              <w:t>114.9</w:t>
            </w:r>
          </w:p>
        </w:tc>
        <w:tc>
          <w:tcPr>
            <w:tcW w:w="678" w:type="dxa"/>
          </w:tcPr>
          <w:p>
            <w:pPr>
              <w:pStyle w:val="TableParagraph"/>
              <w:spacing w:before="47"/>
              <w:ind w:right="69"/>
              <w:rPr>
                <w:sz w:val="16"/>
              </w:rPr>
            </w:pPr>
            <w:r>
              <w:rPr>
                <w:w w:val="95"/>
                <w:sz w:val="16"/>
              </w:rPr>
              <w:t>9.57</w:t>
            </w:r>
          </w:p>
        </w:tc>
        <w:tc>
          <w:tcPr>
            <w:tcW w:w="595" w:type="dxa"/>
          </w:tcPr>
          <w:p>
            <w:pPr>
              <w:pStyle w:val="TableParagraph"/>
              <w:spacing w:before="47"/>
              <w:ind w:right="64"/>
              <w:rPr>
                <w:sz w:val="16"/>
              </w:rPr>
            </w:pPr>
            <w:r>
              <w:rPr>
                <w:w w:val="95"/>
                <w:sz w:val="16"/>
              </w:rPr>
              <w:t>0.01</w:t>
            </w:r>
          </w:p>
        </w:tc>
        <w:tc>
          <w:tcPr>
            <w:tcW w:w="595" w:type="dxa"/>
          </w:tcPr>
          <w:p>
            <w:pPr>
              <w:pStyle w:val="TableParagraph"/>
              <w:spacing w:before="47"/>
              <w:ind w:right="69"/>
              <w:rPr>
                <w:sz w:val="16"/>
              </w:rPr>
            </w:pPr>
            <w:r>
              <w:rPr>
                <w:w w:val="95"/>
                <w:sz w:val="16"/>
              </w:rPr>
              <w:t>0.03</w:t>
            </w:r>
          </w:p>
        </w:tc>
        <w:tc>
          <w:tcPr>
            <w:tcW w:w="545" w:type="dxa"/>
          </w:tcPr>
          <w:p>
            <w:pPr>
              <w:pStyle w:val="TableParagraph"/>
              <w:spacing w:before="47"/>
              <w:ind w:right="66"/>
              <w:rPr>
                <w:sz w:val="16"/>
              </w:rPr>
            </w:pPr>
            <w:r>
              <w:rPr>
                <w:w w:val="95"/>
                <w:sz w:val="16"/>
              </w:rPr>
              <w:t>0.01</w:t>
            </w:r>
          </w:p>
        </w:tc>
        <w:tc>
          <w:tcPr>
            <w:tcW w:w="598" w:type="dxa"/>
          </w:tcPr>
          <w:p>
            <w:pPr>
              <w:pStyle w:val="TableParagraph"/>
              <w:spacing w:before="47"/>
              <w:ind w:right="69"/>
              <w:rPr>
                <w:sz w:val="16"/>
              </w:rPr>
            </w:pPr>
            <w:r>
              <w:rPr>
                <w:w w:val="95"/>
                <w:sz w:val="16"/>
              </w:rPr>
              <w:t>0.21</w:t>
            </w:r>
          </w:p>
        </w:tc>
        <w:tc>
          <w:tcPr>
            <w:tcW w:w="593" w:type="dxa"/>
          </w:tcPr>
          <w:p>
            <w:pPr>
              <w:pStyle w:val="TableParagraph"/>
              <w:spacing w:before="47"/>
              <w:ind w:right="67"/>
              <w:rPr>
                <w:sz w:val="16"/>
              </w:rPr>
            </w:pPr>
            <w:r>
              <w:rPr>
                <w:sz w:val="16"/>
              </w:rPr>
              <w:t>20.04</w:t>
            </w:r>
          </w:p>
        </w:tc>
        <w:tc>
          <w:tcPr>
            <w:tcW w:w="830" w:type="dxa"/>
          </w:tcPr>
          <w:p>
            <w:pPr>
              <w:pStyle w:val="TableParagraph"/>
              <w:spacing w:before="47"/>
              <w:ind w:right="66"/>
              <w:rPr>
                <w:sz w:val="16"/>
              </w:rPr>
            </w:pPr>
            <w:r>
              <w:rPr>
                <w:w w:val="95"/>
                <w:sz w:val="16"/>
              </w:rPr>
              <w:t>0.01</w:t>
            </w:r>
          </w:p>
        </w:tc>
        <w:tc>
          <w:tcPr>
            <w:tcW w:w="821" w:type="dxa"/>
          </w:tcPr>
          <w:p>
            <w:pPr>
              <w:pStyle w:val="TableParagraph"/>
              <w:spacing w:before="47"/>
              <w:ind w:right="70"/>
              <w:rPr>
                <w:sz w:val="16"/>
              </w:rPr>
            </w:pPr>
            <w:r>
              <w:rPr>
                <w:w w:val="99"/>
                <w:sz w:val="16"/>
              </w:rPr>
              <w:t>0</w:t>
            </w:r>
          </w:p>
        </w:tc>
        <w:tc>
          <w:tcPr>
            <w:tcW w:w="831" w:type="dxa"/>
          </w:tcPr>
          <w:p>
            <w:pPr>
              <w:pStyle w:val="TableParagraph"/>
              <w:spacing w:before="47"/>
              <w:ind w:right="72"/>
              <w:rPr>
                <w:sz w:val="16"/>
              </w:rPr>
            </w:pPr>
            <w:r>
              <w:rPr>
                <w:w w:val="99"/>
                <w:sz w:val="16"/>
              </w:rPr>
              <w:t>0</w:t>
            </w:r>
          </w:p>
        </w:tc>
        <w:tc>
          <w:tcPr>
            <w:tcW w:w="726" w:type="dxa"/>
          </w:tcPr>
          <w:p>
            <w:pPr>
              <w:pStyle w:val="TableParagraph"/>
              <w:spacing w:before="47"/>
              <w:ind w:right="33"/>
              <w:rPr>
                <w:sz w:val="16"/>
              </w:rPr>
            </w:pPr>
            <w:r>
              <w:rPr>
                <w:w w:val="99"/>
                <w:sz w:val="16"/>
              </w:rPr>
              <w:t>0</w:t>
            </w:r>
          </w:p>
        </w:tc>
      </w:tr>
      <w:tr>
        <w:trPr>
          <w:trHeight w:val="300" w:hRule="exact"/>
        </w:trPr>
        <w:tc>
          <w:tcPr>
            <w:tcW w:w="520" w:type="dxa"/>
          </w:tcPr>
          <w:p>
            <w:pPr>
              <w:pStyle w:val="TableParagraph"/>
              <w:spacing w:before="50"/>
              <w:ind w:right="72"/>
              <w:rPr>
                <w:sz w:val="16"/>
              </w:rPr>
            </w:pPr>
            <w:r>
              <w:rPr>
                <w:w w:val="98"/>
                <w:sz w:val="16"/>
              </w:rPr>
              <w:t>5</w:t>
            </w:r>
          </w:p>
        </w:tc>
        <w:tc>
          <w:tcPr>
            <w:tcW w:w="716" w:type="dxa"/>
          </w:tcPr>
          <w:p>
            <w:pPr>
              <w:pStyle w:val="TableParagraph"/>
              <w:spacing w:before="50"/>
              <w:ind w:right="69"/>
              <w:rPr>
                <w:sz w:val="16"/>
              </w:rPr>
            </w:pPr>
            <w:r>
              <w:rPr>
                <w:sz w:val="16"/>
              </w:rPr>
              <w:t>64.65</w:t>
            </w:r>
          </w:p>
        </w:tc>
        <w:tc>
          <w:tcPr>
            <w:tcW w:w="718" w:type="dxa"/>
          </w:tcPr>
          <w:p>
            <w:pPr>
              <w:pStyle w:val="TableParagraph"/>
              <w:spacing w:before="50"/>
              <w:ind w:right="66"/>
              <w:rPr>
                <w:sz w:val="16"/>
              </w:rPr>
            </w:pPr>
            <w:r>
              <w:rPr>
                <w:w w:val="95"/>
                <w:sz w:val="16"/>
              </w:rPr>
              <w:t>3.16</w:t>
            </w:r>
          </w:p>
        </w:tc>
        <w:tc>
          <w:tcPr>
            <w:tcW w:w="554" w:type="dxa"/>
          </w:tcPr>
          <w:p>
            <w:pPr>
              <w:pStyle w:val="TableParagraph"/>
              <w:spacing w:before="50"/>
              <w:ind w:right="69"/>
              <w:rPr>
                <w:sz w:val="16"/>
              </w:rPr>
            </w:pPr>
            <w:r>
              <w:rPr>
                <w:w w:val="95"/>
                <w:sz w:val="16"/>
              </w:rPr>
              <w:t>0.45</w:t>
            </w:r>
          </w:p>
        </w:tc>
        <w:tc>
          <w:tcPr>
            <w:tcW w:w="538" w:type="dxa"/>
          </w:tcPr>
          <w:p>
            <w:pPr>
              <w:pStyle w:val="TableParagraph"/>
              <w:spacing w:before="50"/>
              <w:ind w:right="68"/>
              <w:rPr>
                <w:sz w:val="16"/>
              </w:rPr>
            </w:pPr>
            <w:r>
              <w:rPr>
                <w:w w:val="98"/>
                <w:sz w:val="16"/>
              </w:rPr>
              <w:t>0</w:t>
            </w:r>
          </w:p>
        </w:tc>
        <w:tc>
          <w:tcPr>
            <w:tcW w:w="669" w:type="dxa"/>
          </w:tcPr>
          <w:p>
            <w:pPr>
              <w:pStyle w:val="TableParagraph"/>
              <w:spacing w:before="50"/>
              <w:ind w:right="66"/>
              <w:rPr>
                <w:sz w:val="16"/>
              </w:rPr>
            </w:pPr>
            <w:r>
              <w:rPr>
                <w:w w:val="95"/>
                <w:sz w:val="16"/>
              </w:rPr>
              <w:t>2.62</w:t>
            </w:r>
          </w:p>
        </w:tc>
        <w:tc>
          <w:tcPr>
            <w:tcW w:w="535" w:type="dxa"/>
          </w:tcPr>
          <w:p>
            <w:pPr>
              <w:pStyle w:val="TableParagraph"/>
              <w:spacing w:before="50"/>
              <w:ind w:right="68"/>
              <w:rPr>
                <w:sz w:val="16"/>
              </w:rPr>
            </w:pPr>
            <w:r>
              <w:rPr>
                <w:w w:val="98"/>
                <w:sz w:val="16"/>
              </w:rPr>
              <w:t>0</w:t>
            </w:r>
          </w:p>
        </w:tc>
        <w:tc>
          <w:tcPr>
            <w:tcW w:w="667" w:type="dxa"/>
          </w:tcPr>
          <w:p>
            <w:pPr>
              <w:pStyle w:val="TableParagraph"/>
              <w:spacing w:before="50"/>
              <w:ind w:right="64"/>
              <w:rPr>
                <w:sz w:val="16"/>
              </w:rPr>
            </w:pPr>
            <w:r>
              <w:rPr>
                <w:sz w:val="16"/>
              </w:rPr>
              <w:t>324.35</w:t>
            </w:r>
          </w:p>
        </w:tc>
        <w:tc>
          <w:tcPr>
            <w:tcW w:w="665" w:type="dxa"/>
          </w:tcPr>
          <w:p>
            <w:pPr>
              <w:pStyle w:val="TableParagraph"/>
              <w:spacing w:before="50"/>
              <w:ind w:right="66"/>
              <w:rPr>
                <w:sz w:val="16"/>
              </w:rPr>
            </w:pPr>
            <w:r>
              <w:rPr>
                <w:sz w:val="16"/>
              </w:rPr>
              <w:t>56.75</w:t>
            </w:r>
          </w:p>
        </w:tc>
        <w:tc>
          <w:tcPr>
            <w:tcW w:w="544" w:type="dxa"/>
          </w:tcPr>
          <w:p>
            <w:pPr>
              <w:pStyle w:val="TableParagraph"/>
              <w:spacing w:before="50"/>
              <w:ind w:left="173" w:right="9"/>
              <w:jc w:val="center"/>
              <w:rPr>
                <w:sz w:val="16"/>
              </w:rPr>
            </w:pPr>
            <w:r>
              <w:rPr>
                <w:sz w:val="16"/>
              </w:rPr>
              <w:t>112</w:t>
            </w:r>
          </w:p>
        </w:tc>
        <w:tc>
          <w:tcPr>
            <w:tcW w:w="678" w:type="dxa"/>
          </w:tcPr>
          <w:p>
            <w:pPr>
              <w:pStyle w:val="TableParagraph"/>
              <w:spacing w:before="50"/>
              <w:ind w:right="69"/>
              <w:rPr>
                <w:sz w:val="16"/>
              </w:rPr>
            </w:pPr>
            <w:r>
              <w:rPr>
                <w:sz w:val="16"/>
              </w:rPr>
              <w:t>11.87</w:t>
            </w:r>
          </w:p>
        </w:tc>
        <w:tc>
          <w:tcPr>
            <w:tcW w:w="595" w:type="dxa"/>
          </w:tcPr>
          <w:p>
            <w:pPr>
              <w:pStyle w:val="TableParagraph"/>
              <w:spacing w:before="50"/>
              <w:ind w:right="64"/>
              <w:rPr>
                <w:sz w:val="16"/>
              </w:rPr>
            </w:pPr>
            <w:r>
              <w:rPr>
                <w:w w:val="95"/>
                <w:sz w:val="16"/>
              </w:rPr>
              <w:t>0.16</w:t>
            </w:r>
          </w:p>
        </w:tc>
        <w:tc>
          <w:tcPr>
            <w:tcW w:w="595" w:type="dxa"/>
          </w:tcPr>
          <w:p>
            <w:pPr>
              <w:pStyle w:val="TableParagraph"/>
              <w:spacing w:before="50"/>
              <w:ind w:right="69"/>
              <w:rPr>
                <w:sz w:val="16"/>
              </w:rPr>
            </w:pPr>
            <w:r>
              <w:rPr>
                <w:w w:val="95"/>
                <w:sz w:val="16"/>
              </w:rPr>
              <w:t>0.21</w:t>
            </w:r>
          </w:p>
        </w:tc>
        <w:tc>
          <w:tcPr>
            <w:tcW w:w="545" w:type="dxa"/>
          </w:tcPr>
          <w:p>
            <w:pPr>
              <w:pStyle w:val="TableParagraph"/>
              <w:spacing w:before="50"/>
              <w:ind w:right="66"/>
              <w:rPr>
                <w:sz w:val="16"/>
              </w:rPr>
            </w:pPr>
            <w:r>
              <w:rPr>
                <w:w w:val="95"/>
                <w:sz w:val="16"/>
              </w:rPr>
              <w:t>0.01</w:t>
            </w:r>
          </w:p>
        </w:tc>
        <w:tc>
          <w:tcPr>
            <w:tcW w:w="598" w:type="dxa"/>
          </w:tcPr>
          <w:p>
            <w:pPr>
              <w:pStyle w:val="TableParagraph"/>
              <w:spacing w:before="50"/>
              <w:ind w:right="69"/>
              <w:rPr>
                <w:sz w:val="16"/>
              </w:rPr>
            </w:pPr>
            <w:r>
              <w:rPr>
                <w:w w:val="95"/>
                <w:sz w:val="16"/>
              </w:rPr>
              <w:t>0.07</w:t>
            </w:r>
          </w:p>
        </w:tc>
        <w:tc>
          <w:tcPr>
            <w:tcW w:w="593" w:type="dxa"/>
          </w:tcPr>
          <w:p>
            <w:pPr>
              <w:pStyle w:val="TableParagraph"/>
              <w:spacing w:before="50"/>
              <w:ind w:right="67"/>
              <w:rPr>
                <w:sz w:val="16"/>
              </w:rPr>
            </w:pPr>
            <w:r>
              <w:rPr>
                <w:sz w:val="16"/>
              </w:rPr>
              <w:t>40.02</w:t>
            </w:r>
          </w:p>
        </w:tc>
        <w:tc>
          <w:tcPr>
            <w:tcW w:w="830" w:type="dxa"/>
          </w:tcPr>
          <w:p>
            <w:pPr>
              <w:pStyle w:val="TableParagraph"/>
              <w:spacing w:before="50"/>
              <w:ind w:right="66"/>
              <w:rPr>
                <w:sz w:val="16"/>
              </w:rPr>
            </w:pPr>
            <w:r>
              <w:rPr>
                <w:w w:val="95"/>
                <w:sz w:val="16"/>
              </w:rPr>
              <w:t>0.11</w:t>
            </w:r>
          </w:p>
        </w:tc>
        <w:tc>
          <w:tcPr>
            <w:tcW w:w="821" w:type="dxa"/>
          </w:tcPr>
          <w:p>
            <w:pPr>
              <w:pStyle w:val="TableParagraph"/>
              <w:spacing w:before="50"/>
              <w:ind w:right="66"/>
              <w:rPr>
                <w:sz w:val="16"/>
              </w:rPr>
            </w:pPr>
            <w:r>
              <w:rPr>
                <w:w w:val="95"/>
                <w:sz w:val="16"/>
              </w:rPr>
              <w:t>0.04</w:t>
            </w:r>
          </w:p>
        </w:tc>
        <w:tc>
          <w:tcPr>
            <w:tcW w:w="831" w:type="dxa"/>
          </w:tcPr>
          <w:p>
            <w:pPr>
              <w:pStyle w:val="TableParagraph"/>
              <w:spacing w:before="50"/>
              <w:ind w:right="66"/>
              <w:rPr>
                <w:sz w:val="16"/>
              </w:rPr>
            </w:pPr>
            <w:r>
              <w:rPr>
                <w:w w:val="95"/>
                <w:sz w:val="16"/>
              </w:rPr>
              <w:t>0.02</w:t>
            </w:r>
          </w:p>
        </w:tc>
        <w:tc>
          <w:tcPr>
            <w:tcW w:w="726" w:type="dxa"/>
          </w:tcPr>
          <w:p>
            <w:pPr>
              <w:pStyle w:val="TableParagraph"/>
              <w:spacing w:before="50"/>
              <w:ind w:right="33"/>
              <w:rPr>
                <w:sz w:val="16"/>
              </w:rPr>
            </w:pPr>
            <w:r>
              <w:rPr>
                <w:w w:val="98"/>
                <w:sz w:val="16"/>
              </w:rPr>
              <w:t>0</w:t>
            </w:r>
          </w:p>
        </w:tc>
      </w:tr>
      <w:tr>
        <w:trPr>
          <w:trHeight w:val="300" w:hRule="exact"/>
        </w:trPr>
        <w:tc>
          <w:tcPr>
            <w:tcW w:w="520" w:type="dxa"/>
          </w:tcPr>
          <w:p>
            <w:pPr>
              <w:pStyle w:val="TableParagraph"/>
              <w:spacing w:before="47"/>
              <w:ind w:right="72"/>
              <w:rPr>
                <w:sz w:val="16"/>
              </w:rPr>
            </w:pPr>
            <w:r>
              <w:rPr>
                <w:w w:val="98"/>
                <w:sz w:val="16"/>
              </w:rPr>
              <w:t>6</w:t>
            </w:r>
          </w:p>
        </w:tc>
        <w:tc>
          <w:tcPr>
            <w:tcW w:w="716" w:type="dxa"/>
          </w:tcPr>
          <w:p>
            <w:pPr>
              <w:pStyle w:val="TableParagraph"/>
              <w:spacing w:before="47"/>
              <w:ind w:right="69"/>
              <w:rPr>
                <w:sz w:val="16"/>
              </w:rPr>
            </w:pPr>
            <w:r>
              <w:rPr>
                <w:sz w:val="16"/>
              </w:rPr>
              <w:t>199.42</w:t>
            </w:r>
          </w:p>
        </w:tc>
        <w:tc>
          <w:tcPr>
            <w:tcW w:w="718" w:type="dxa"/>
          </w:tcPr>
          <w:p>
            <w:pPr>
              <w:pStyle w:val="TableParagraph"/>
              <w:spacing w:before="47"/>
              <w:ind w:right="66"/>
              <w:rPr>
                <w:sz w:val="16"/>
              </w:rPr>
            </w:pPr>
            <w:r>
              <w:rPr>
                <w:sz w:val="16"/>
              </w:rPr>
              <w:t>28.21</w:t>
            </w:r>
          </w:p>
        </w:tc>
        <w:tc>
          <w:tcPr>
            <w:tcW w:w="554" w:type="dxa"/>
          </w:tcPr>
          <w:p>
            <w:pPr>
              <w:pStyle w:val="TableParagraph"/>
              <w:spacing w:before="47"/>
              <w:ind w:right="73"/>
              <w:rPr>
                <w:sz w:val="16"/>
              </w:rPr>
            </w:pPr>
            <w:r>
              <w:rPr>
                <w:w w:val="95"/>
                <w:sz w:val="16"/>
              </w:rPr>
              <w:t>0.6</w:t>
            </w:r>
          </w:p>
        </w:tc>
        <w:tc>
          <w:tcPr>
            <w:tcW w:w="538" w:type="dxa"/>
          </w:tcPr>
          <w:p>
            <w:pPr>
              <w:pStyle w:val="TableParagraph"/>
              <w:spacing w:before="47"/>
              <w:ind w:right="68"/>
              <w:rPr>
                <w:sz w:val="16"/>
              </w:rPr>
            </w:pPr>
            <w:r>
              <w:rPr>
                <w:w w:val="98"/>
                <w:sz w:val="16"/>
              </w:rPr>
              <w:t>0</w:t>
            </w:r>
          </w:p>
        </w:tc>
        <w:tc>
          <w:tcPr>
            <w:tcW w:w="669" w:type="dxa"/>
          </w:tcPr>
          <w:p>
            <w:pPr>
              <w:pStyle w:val="TableParagraph"/>
              <w:spacing w:before="47"/>
              <w:ind w:right="66"/>
              <w:rPr>
                <w:sz w:val="16"/>
              </w:rPr>
            </w:pPr>
            <w:r>
              <w:rPr>
                <w:sz w:val="16"/>
              </w:rPr>
              <w:t>10.54</w:t>
            </w:r>
          </w:p>
        </w:tc>
        <w:tc>
          <w:tcPr>
            <w:tcW w:w="535" w:type="dxa"/>
          </w:tcPr>
          <w:p>
            <w:pPr>
              <w:pStyle w:val="TableParagraph"/>
              <w:spacing w:before="47"/>
              <w:ind w:right="68"/>
              <w:rPr>
                <w:sz w:val="16"/>
              </w:rPr>
            </w:pPr>
            <w:r>
              <w:rPr>
                <w:w w:val="98"/>
                <w:sz w:val="16"/>
              </w:rPr>
              <w:t>0</w:t>
            </w:r>
          </w:p>
        </w:tc>
        <w:tc>
          <w:tcPr>
            <w:tcW w:w="667" w:type="dxa"/>
          </w:tcPr>
          <w:p>
            <w:pPr>
              <w:pStyle w:val="TableParagraph"/>
              <w:spacing w:before="47"/>
              <w:ind w:right="64"/>
              <w:rPr>
                <w:sz w:val="16"/>
              </w:rPr>
            </w:pPr>
            <w:r>
              <w:rPr>
                <w:sz w:val="16"/>
              </w:rPr>
              <w:t>398.44</w:t>
            </w:r>
          </w:p>
        </w:tc>
        <w:tc>
          <w:tcPr>
            <w:tcW w:w="665" w:type="dxa"/>
          </w:tcPr>
          <w:p>
            <w:pPr>
              <w:pStyle w:val="TableParagraph"/>
              <w:spacing w:before="47"/>
              <w:ind w:right="66"/>
              <w:rPr>
                <w:sz w:val="16"/>
              </w:rPr>
            </w:pPr>
            <w:r>
              <w:rPr>
                <w:sz w:val="16"/>
              </w:rPr>
              <w:t>83.78</w:t>
            </w:r>
          </w:p>
        </w:tc>
        <w:tc>
          <w:tcPr>
            <w:tcW w:w="544" w:type="dxa"/>
          </w:tcPr>
          <w:p>
            <w:pPr>
              <w:pStyle w:val="TableParagraph"/>
              <w:spacing w:before="47"/>
              <w:ind w:left="91" w:right="50"/>
              <w:jc w:val="center"/>
              <w:rPr>
                <w:sz w:val="16"/>
              </w:rPr>
            </w:pPr>
            <w:r>
              <w:rPr>
                <w:sz w:val="16"/>
              </w:rPr>
              <w:t>103.6</w:t>
            </w:r>
          </w:p>
        </w:tc>
        <w:tc>
          <w:tcPr>
            <w:tcW w:w="678" w:type="dxa"/>
          </w:tcPr>
          <w:p>
            <w:pPr>
              <w:pStyle w:val="TableParagraph"/>
              <w:spacing w:before="47"/>
              <w:ind w:right="69"/>
              <w:rPr>
                <w:sz w:val="16"/>
              </w:rPr>
            </w:pPr>
            <w:r>
              <w:rPr>
                <w:sz w:val="16"/>
              </w:rPr>
              <w:t>35.83</w:t>
            </w:r>
          </w:p>
        </w:tc>
        <w:tc>
          <w:tcPr>
            <w:tcW w:w="595" w:type="dxa"/>
          </w:tcPr>
          <w:p>
            <w:pPr>
              <w:pStyle w:val="TableParagraph"/>
              <w:spacing w:before="47"/>
              <w:ind w:right="64"/>
              <w:rPr>
                <w:sz w:val="16"/>
              </w:rPr>
            </w:pPr>
            <w:r>
              <w:rPr>
                <w:w w:val="95"/>
                <w:sz w:val="16"/>
              </w:rPr>
              <w:t>1.59</w:t>
            </w:r>
          </w:p>
        </w:tc>
        <w:tc>
          <w:tcPr>
            <w:tcW w:w="595" w:type="dxa"/>
          </w:tcPr>
          <w:p>
            <w:pPr>
              <w:pStyle w:val="TableParagraph"/>
              <w:spacing w:before="47"/>
              <w:ind w:right="69"/>
              <w:rPr>
                <w:sz w:val="16"/>
              </w:rPr>
            </w:pPr>
            <w:r>
              <w:rPr>
                <w:w w:val="95"/>
                <w:sz w:val="16"/>
              </w:rPr>
              <w:t>0.19</w:t>
            </w:r>
          </w:p>
        </w:tc>
        <w:tc>
          <w:tcPr>
            <w:tcW w:w="545" w:type="dxa"/>
          </w:tcPr>
          <w:p>
            <w:pPr>
              <w:pStyle w:val="TableParagraph"/>
              <w:spacing w:before="47"/>
              <w:ind w:right="66"/>
              <w:rPr>
                <w:sz w:val="16"/>
              </w:rPr>
            </w:pPr>
            <w:r>
              <w:rPr>
                <w:w w:val="95"/>
                <w:sz w:val="16"/>
              </w:rPr>
              <w:t>0.02</w:t>
            </w:r>
          </w:p>
        </w:tc>
        <w:tc>
          <w:tcPr>
            <w:tcW w:w="598" w:type="dxa"/>
          </w:tcPr>
          <w:p>
            <w:pPr>
              <w:pStyle w:val="TableParagraph"/>
              <w:spacing w:before="47"/>
              <w:ind w:right="69"/>
              <w:rPr>
                <w:sz w:val="16"/>
              </w:rPr>
            </w:pPr>
            <w:r>
              <w:rPr>
                <w:w w:val="95"/>
                <w:sz w:val="16"/>
              </w:rPr>
              <w:t>0.22</w:t>
            </w:r>
          </w:p>
        </w:tc>
        <w:tc>
          <w:tcPr>
            <w:tcW w:w="593" w:type="dxa"/>
          </w:tcPr>
          <w:p>
            <w:pPr>
              <w:pStyle w:val="TableParagraph"/>
              <w:spacing w:before="47"/>
              <w:ind w:right="67"/>
              <w:rPr>
                <w:sz w:val="16"/>
              </w:rPr>
            </w:pPr>
            <w:r>
              <w:rPr>
                <w:sz w:val="16"/>
              </w:rPr>
              <w:t>21.67</w:t>
            </w:r>
          </w:p>
        </w:tc>
        <w:tc>
          <w:tcPr>
            <w:tcW w:w="830" w:type="dxa"/>
          </w:tcPr>
          <w:p>
            <w:pPr>
              <w:pStyle w:val="TableParagraph"/>
              <w:spacing w:before="47"/>
              <w:ind w:right="66"/>
              <w:rPr>
                <w:sz w:val="16"/>
              </w:rPr>
            </w:pPr>
            <w:r>
              <w:rPr>
                <w:w w:val="95"/>
                <w:sz w:val="16"/>
              </w:rPr>
              <w:t>1.11</w:t>
            </w:r>
          </w:p>
        </w:tc>
        <w:tc>
          <w:tcPr>
            <w:tcW w:w="821" w:type="dxa"/>
          </w:tcPr>
          <w:p>
            <w:pPr>
              <w:pStyle w:val="TableParagraph"/>
              <w:spacing w:before="47"/>
              <w:ind w:right="66"/>
              <w:rPr>
                <w:sz w:val="16"/>
              </w:rPr>
            </w:pPr>
            <w:r>
              <w:rPr>
                <w:w w:val="95"/>
                <w:sz w:val="16"/>
              </w:rPr>
              <w:t>0.36</w:t>
            </w:r>
          </w:p>
        </w:tc>
        <w:tc>
          <w:tcPr>
            <w:tcW w:w="831" w:type="dxa"/>
          </w:tcPr>
          <w:p>
            <w:pPr>
              <w:pStyle w:val="TableParagraph"/>
              <w:spacing w:before="47"/>
              <w:ind w:right="66"/>
              <w:rPr>
                <w:sz w:val="16"/>
              </w:rPr>
            </w:pPr>
            <w:r>
              <w:rPr>
                <w:w w:val="95"/>
                <w:sz w:val="16"/>
              </w:rPr>
              <w:t>0.19</w:t>
            </w:r>
          </w:p>
        </w:tc>
        <w:tc>
          <w:tcPr>
            <w:tcW w:w="726" w:type="dxa"/>
          </w:tcPr>
          <w:p>
            <w:pPr>
              <w:pStyle w:val="TableParagraph"/>
              <w:spacing w:before="47"/>
              <w:ind w:right="33"/>
              <w:rPr>
                <w:sz w:val="16"/>
              </w:rPr>
            </w:pPr>
            <w:r>
              <w:rPr>
                <w:w w:val="98"/>
                <w:sz w:val="16"/>
              </w:rPr>
              <w:t>0</w:t>
            </w:r>
          </w:p>
        </w:tc>
      </w:tr>
      <w:tr>
        <w:trPr>
          <w:trHeight w:val="300" w:hRule="exact"/>
        </w:trPr>
        <w:tc>
          <w:tcPr>
            <w:tcW w:w="520" w:type="dxa"/>
          </w:tcPr>
          <w:p>
            <w:pPr>
              <w:pStyle w:val="TableParagraph"/>
              <w:spacing w:before="50"/>
              <w:ind w:right="72"/>
              <w:rPr>
                <w:sz w:val="16"/>
              </w:rPr>
            </w:pPr>
            <w:r>
              <w:rPr>
                <w:w w:val="98"/>
                <w:sz w:val="16"/>
              </w:rPr>
              <w:t>7</w:t>
            </w:r>
          </w:p>
        </w:tc>
        <w:tc>
          <w:tcPr>
            <w:tcW w:w="716" w:type="dxa"/>
          </w:tcPr>
          <w:p>
            <w:pPr>
              <w:pStyle w:val="TableParagraph"/>
              <w:spacing w:before="50"/>
              <w:ind w:right="69"/>
              <w:rPr>
                <w:sz w:val="16"/>
              </w:rPr>
            </w:pPr>
            <w:r>
              <w:rPr>
                <w:sz w:val="16"/>
              </w:rPr>
              <w:t>139.35</w:t>
            </w:r>
          </w:p>
        </w:tc>
        <w:tc>
          <w:tcPr>
            <w:tcW w:w="718" w:type="dxa"/>
          </w:tcPr>
          <w:p>
            <w:pPr>
              <w:pStyle w:val="TableParagraph"/>
              <w:spacing w:before="50"/>
              <w:ind w:right="66"/>
              <w:rPr>
                <w:sz w:val="16"/>
              </w:rPr>
            </w:pPr>
            <w:r>
              <w:rPr>
                <w:sz w:val="16"/>
              </w:rPr>
              <w:t>22.33</w:t>
            </w:r>
          </w:p>
        </w:tc>
        <w:tc>
          <w:tcPr>
            <w:tcW w:w="554" w:type="dxa"/>
          </w:tcPr>
          <w:p>
            <w:pPr>
              <w:pStyle w:val="TableParagraph"/>
              <w:spacing w:before="50"/>
              <w:ind w:right="69"/>
              <w:rPr>
                <w:sz w:val="16"/>
              </w:rPr>
            </w:pPr>
            <w:r>
              <w:rPr>
                <w:w w:val="95"/>
                <w:sz w:val="16"/>
              </w:rPr>
              <w:t>0.92</w:t>
            </w:r>
          </w:p>
        </w:tc>
        <w:tc>
          <w:tcPr>
            <w:tcW w:w="538" w:type="dxa"/>
          </w:tcPr>
          <w:p>
            <w:pPr>
              <w:pStyle w:val="TableParagraph"/>
              <w:spacing w:before="50"/>
              <w:ind w:right="68"/>
              <w:rPr>
                <w:sz w:val="16"/>
              </w:rPr>
            </w:pPr>
            <w:r>
              <w:rPr>
                <w:w w:val="98"/>
                <w:sz w:val="16"/>
              </w:rPr>
              <w:t>0</w:t>
            </w:r>
          </w:p>
        </w:tc>
        <w:tc>
          <w:tcPr>
            <w:tcW w:w="669" w:type="dxa"/>
          </w:tcPr>
          <w:p>
            <w:pPr>
              <w:pStyle w:val="TableParagraph"/>
              <w:spacing w:before="50"/>
              <w:ind w:right="66"/>
              <w:rPr>
                <w:sz w:val="16"/>
              </w:rPr>
            </w:pPr>
            <w:r>
              <w:rPr>
                <w:sz w:val="16"/>
              </w:rPr>
              <w:t>16.63</w:t>
            </w:r>
          </w:p>
        </w:tc>
        <w:tc>
          <w:tcPr>
            <w:tcW w:w="535" w:type="dxa"/>
          </w:tcPr>
          <w:p>
            <w:pPr>
              <w:pStyle w:val="TableParagraph"/>
              <w:spacing w:before="50"/>
              <w:ind w:right="68"/>
              <w:rPr>
                <w:sz w:val="16"/>
              </w:rPr>
            </w:pPr>
            <w:r>
              <w:rPr>
                <w:w w:val="98"/>
                <w:sz w:val="16"/>
              </w:rPr>
              <w:t>0</w:t>
            </w:r>
          </w:p>
        </w:tc>
        <w:tc>
          <w:tcPr>
            <w:tcW w:w="667" w:type="dxa"/>
          </w:tcPr>
          <w:p>
            <w:pPr>
              <w:pStyle w:val="TableParagraph"/>
              <w:spacing w:before="50"/>
              <w:ind w:right="64"/>
              <w:rPr>
                <w:sz w:val="16"/>
              </w:rPr>
            </w:pPr>
            <w:r>
              <w:rPr>
                <w:sz w:val="16"/>
              </w:rPr>
              <w:t>390.67</w:t>
            </w:r>
          </w:p>
        </w:tc>
        <w:tc>
          <w:tcPr>
            <w:tcW w:w="665" w:type="dxa"/>
          </w:tcPr>
          <w:p>
            <w:pPr>
              <w:pStyle w:val="TableParagraph"/>
              <w:spacing w:before="50"/>
              <w:ind w:right="68"/>
              <w:rPr>
                <w:sz w:val="16"/>
              </w:rPr>
            </w:pPr>
            <w:r>
              <w:rPr>
                <w:sz w:val="16"/>
              </w:rPr>
              <w:t>106.09</w:t>
            </w:r>
          </w:p>
        </w:tc>
        <w:tc>
          <w:tcPr>
            <w:tcW w:w="544" w:type="dxa"/>
          </w:tcPr>
          <w:p>
            <w:pPr>
              <w:pStyle w:val="TableParagraph"/>
              <w:spacing w:before="50"/>
              <w:ind w:left="91" w:right="50"/>
              <w:jc w:val="center"/>
              <w:rPr>
                <w:sz w:val="16"/>
              </w:rPr>
            </w:pPr>
            <w:r>
              <w:rPr>
                <w:sz w:val="16"/>
              </w:rPr>
              <w:t>127.7</w:t>
            </w:r>
          </w:p>
        </w:tc>
        <w:tc>
          <w:tcPr>
            <w:tcW w:w="678" w:type="dxa"/>
          </w:tcPr>
          <w:p>
            <w:pPr>
              <w:pStyle w:val="TableParagraph"/>
              <w:spacing w:before="50"/>
              <w:ind w:right="69"/>
              <w:rPr>
                <w:sz w:val="16"/>
              </w:rPr>
            </w:pPr>
            <w:r>
              <w:rPr>
                <w:sz w:val="16"/>
              </w:rPr>
              <w:t>30.63</w:t>
            </w:r>
          </w:p>
        </w:tc>
        <w:tc>
          <w:tcPr>
            <w:tcW w:w="595" w:type="dxa"/>
          </w:tcPr>
          <w:p>
            <w:pPr>
              <w:pStyle w:val="TableParagraph"/>
              <w:spacing w:before="50"/>
              <w:ind w:right="64"/>
              <w:rPr>
                <w:sz w:val="16"/>
              </w:rPr>
            </w:pPr>
            <w:r>
              <w:rPr>
                <w:w w:val="95"/>
                <w:sz w:val="16"/>
              </w:rPr>
              <w:t>1.61</w:t>
            </w:r>
          </w:p>
        </w:tc>
        <w:tc>
          <w:tcPr>
            <w:tcW w:w="595" w:type="dxa"/>
          </w:tcPr>
          <w:p>
            <w:pPr>
              <w:pStyle w:val="TableParagraph"/>
              <w:spacing w:before="50"/>
              <w:ind w:right="73"/>
              <w:rPr>
                <w:sz w:val="16"/>
              </w:rPr>
            </w:pPr>
            <w:r>
              <w:rPr>
                <w:w w:val="95"/>
                <w:sz w:val="16"/>
              </w:rPr>
              <w:t>1.7</w:t>
            </w:r>
          </w:p>
        </w:tc>
        <w:tc>
          <w:tcPr>
            <w:tcW w:w="545" w:type="dxa"/>
          </w:tcPr>
          <w:p>
            <w:pPr>
              <w:pStyle w:val="TableParagraph"/>
              <w:spacing w:before="50"/>
              <w:ind w:right="66"/>
              <w:rPr>
                <w:sz w:val="16"/>
              </w:rPr>
            </w:pPr>
            <w:r>
              <w:rPr>
                <w:w w:val="95"/>
                <w:sz w:val="16"/>
              </w:rPr>
              <w:t>0.02</w:t>
            </w:r>
          </w:p>
        </w:tc>
        <w:tc>
          <w:tcPr>
            <w:tcW w:w="598" w:type="dxa"/>
          </w:tcPr>
          <w:p>
            <w:pPr>
              <w:pStyle w:val="TableParagraph"/>
              <w:spacing w:before="50"/>
              <w:ind w:right="69"/>
              <w:rPr>
                <w:sz w:val="16"/>
              </w:rPr>
            </w:pPr>
            <w:r>
              <w:rPr>
                <w:w w:val="95"/>
                <w:sz w:val="16"/>
              </w:rPr>
              <w:t>0.23</w:t>
            </w:r>
          </w:p>
        </w:tc>
        <w:tc>
          <w:tcPr>
            <w:tcW w:w="593" w:type="dxa"/>
          </w:tcPr>
          <w:p>
            <w:pPr>
              <w:pStyle w:val="TableParagraph"/>
              <w:spacing w:before="50"/>
              <w:ind w:right="67"/>
              <w:rPr>
                <w:sz w:val="16"/>
              </w:rPr>
            </w:pPr>
            <w:r>
              <w:rPr>
                <w:sz w:val="16"/>
              </w:rPr>
              <w:t>33.73</w:t>
            </w:r>
          </w:p>
        </w:tc>
        <w:tc>
          <w:tcPr>
            <w:tcW w:w="830" w:type="dxa"/>
          </w:tcPr>
          <w:p>
            <w:pPr>
              <w:pStyle w:val="TableParagraph"/>
              <w:spacing w:before="50"/>
              <w:ind w:right="66"/>
              <w:rPr>
                <w:sz w:val="16"/>
              </w:rPr>
            </w:pPr>
            <w:r>
              <w:rPr>
                <w:w w:val="95"/>
                <w:sz w:val="16"/>
              </w:rPr>
              <w:t>0.62</w:t>
            </w:r>
          </w:p>
        </w:tc>
        <w:tc>
          <w:tcPr>
            <w:tcW w:w="821" w:type="dxa"/>
          </w:tcPr>
          <w:p>
            <w:pPr>
              <w:pStyle w:val="TableParagraph"/>
              <w:spacing w:before="50"/>
              <w:ind w:right="66"/>
              <w:rPr>
                <w:sz w:val="16"/>
              </w:rPr>
            </w:pPr>
            <w:r>
              <w:rPr>
                <w:w w:val="95"/>
                <w:sz w:val="16"/>
              </w:rPr>
              <w:t>0.23</w:t>
            </w:r>
          </w:p>
        </w:tc>
        <w:tc>
          <w:tcPr>
            <w:tcW w:w="831" w:type="dxa"/>
          </w:tcPr>
          <w:p>
            <w:pPr>
              <w:pStyle w:val="TableParagraph"/>
              <w:spacing w:before="50"/>
              <w:ind w:right="66"/>
              <w:rPr>
                <w:sz w:val="16"/>
              </w:rPr>
            </w:pPr>
            <w:r>
              <w:rPr>
                <w:w w:val="95"/>
                <w:sz w:val="16"/>
              </w:rPr>
              <w:t>0.12</w:t>
            </w:r>
          </w:p>
        </w:tc>
        <w:tc>
          <w:tcPr>
            <w:tcW w:w="726" w:type="dxa"/>
          </w:tcPr>
          <w:p>
            <w:pPr>
              <w:pStyle w:val="TableParagraph"/>
              <w:spacing w:before="50"/>
              <w:ind w:right="33"/>
              <w:rPr>
                <w:sz w:val="16"/>
              </w:rPr>
            </w:pPr>
            <w:r>
              <w:rPr>
                <w:w w:val="98"/>
                <w:sz w:val="16"/>
              </w:rPr>
              <w:t>0</w:t>
            </w:r>
          </w:p>
        </w:tc>
      </w:tr>
      <w:tr>
        <w:trPr>
          <w:trHeight w:val="300" w:hRule="exact"/>
        </w:trPr>
        <w:tc>
          <w:tcPr>
            <w:tcW w:w="520" w:type="dxa"/>
          </w:tcPr>
          <w:p>
            <w:pPr>
              <w:pStyle w:val="TableParagraph"/>
              <w:spacing w:before="47"/>
              <w:ind w:right="72"/>
              <w:rPr>
                <w:sz w:val="16"/>
              </w:rPr>
            </w:pPr>
            <w:r>
              <w:rPr>
                <w:w w:val="98"/>
                <w:sz w:val="16"/>
              </w:rPr>
              <w:t>8</w:t>
            </w:r>
          </w:p>
        </w:tc>
        <w:tc>
          <w:tcPr>
            <w:tcW w:w="716" w:type="dxa"/>
          </w:tcPr>
          <w:p>
            <w:pPr>
              <w:pStyle w:val="TableParagraph"/>
              <w:spacing w:before="47"/>
              <w:ind w:right="69"/>
              <w:rPr>
                <w:sz w:val="16"/>
              </w:rPr>
            </w:pPr>
            <w:r>
              <w:rPr>
                <w:sz w:val="16"/>
              </w:rPr>
              <w:t>161.61</w:t>
            </w:r>
          </w:p>
        </w:tc>
        <w:tc>
          <w:tcPr>
            <w:tcW w:w="718" w:type="dxa"/>
          </w:tcPr>
          <w:p>
            <w:pPr>
              <w:pStyle w:val="TableParagraph"/>
              <w:spacing w:before="47"/>
              <w:ind w:right="66"/>
              <w:rPr>
                <w:sz w:val="16"/>
              </w:rPr>
            </w:pPr>
            <w:r>
              <w:rPr>
                <w:sz w:val="16"/>
              </w:rPr>
              <w:t>26.67</w:t>
            </w:r>
          </w:p>
        </w:tc>
        <w:tc>
          <w:tcPr>
            <w:tcW w:w="554" w:type="dxa"/>
          </w:tcPr>
          <w:p>
            <w:pPr>
              <w:pStyle w:val="TableParagraph"/>
              <w:spacing w:before="47"/>
              <w:ind w:right="69"/>
              <w:rPr>
                <w:sz w:val="16"/>
              </w:rPr>
            </w:pPr>
            <w:r>
              <w:rPr>
                <w:w w:val="95"/>
                <w:sz w:val="16"/>
              </w:rPr>
              <w:t>1.17</w:t>
            </w:r>
          </w:p>
        </w:tc>
        <w:tc>
          <w:tcPr>
            <w:tcW w:w="538" w:type="dxa"/>
          </w:tcPr>
          <w:p>
            <w:pPr>
              <w:pStyle w:val="TableParagraph"/>
              <w:spacing w:before="47"/>
              <w:ind w:right="68"/>
              <w:rPr>
                <w:sz w:val="16"/>
              </w:rPr>
            </w:pPr>
            <w:r>
              <w:rPr>
                <w:w w:val="98"/>
                <w:sz w:val="16"/>
              </w:rPr>
              <w:t>0</w:t>
            </w:r>
          </w:p>
        </w:tc>
        <w:tc>
          <w:tcPr>
            <w:tcW w:w="669" w:type="dxa"/>
          </w:tcPr>
          <w:p>
            <w:pPr>
              <w:pStyle w:val="TableParagraph"/>
              <w:spacing w:before="47"/>
              <w:ind w:right="66"/>
              <w:rPr>
                <w:sz w:val="16"/>
              </w:rPr>
            </w:pPr>
            <w:r>
              <w:rPr>
                <w:sz w:val="16"/>
              </w:rPr>
              <w:t>22.03</w:t>
            </w:r>
          </w:p>
        </w:tc>
        <w:tc>
          <w:tcPr>
            <w:tcW w:w="535" w:type="dxa"/>
          </w:tcPr>
          <w:p>
            <w:pPr>
              <w:pStyle w:val="TableParagraph"/>
              <w:spacing w:before="47"/>
              <w:ind w:right="68"/>
              <w:rPr>
                <w:sz w:val="16"/>
              </w:rPr>
            </w:pPr>
            <w:r>
              <w:rPr>
                <w:w w:val="98"/>
                <w:sz w:val="16"/>
              </w:rPr>
              <w:t>0</w:t>
            </w:r>
          </w:p>
        </w:tc>
        <w:tc>
          <w:tcPr>
            <w:tcW w:w="667" w:type="dxa"/>
          </w:tcPr>
          <w:p>
            <w:pPr>
              <w:pStyle w:val="TableParagraph"/>
              <w:spacing w:before="47"/>
              <w:ind w:right="64"/>
              <w:rPr>
                <w:sz w:val="16"/>
              </w:rPr>
            </w:pPr>
            <w:r>
              <w:rPr>
                <w:sz w:val="16"/>
              </w:rPr>
              <w:t>389.63</w:t>
            </w:r>
          </w:p>
        </w:tc>
        <w:tc>
          <w:tcPr>
            <w:tcW w:w="665" w:type="dxa"/>
          </w:tcPr>
          <w:p>
            <w:pPr>
              <w:pStyle w:val="TableParagraph"/>
              <w:spacing w:before="47"/>
              <w:ind w:right="68"/>
              <w:rPr>
                <w:sz w:val="16"/>
              </w:rPr>
            </w:pPr>
            <w:r>
              <w:rPr>
                <w:sz w:val="16"/>
              </w:rPr>
              <w:t>110.69</w:t>
            </w:r>
          </w:p>
        </w:tc>
        <w:tc>
          <w:tcPr>
            <w:tcW w:w="544" w:type="dxa"/>
          </w:tcPr>
          <w:p>
            <w:pPr>
              <w:pStyle w:val="TableParagraph"/>
              <w:spacing w:before="47"/>
              <w:ind w:left="91" w:right="50"/>
              <w:jc w:val="center"/>
              <w:rPr>
                <w:sz w:val="16"/>
              </w:rPr>
            </w:pPr>
            <w:r>
              <w:rPr>
                <w:sz w:val="16"/>
              </w:rPr>
              <w:t>129.5</w:t>
            </w:r>
          </w:p>
        </w:tc>
        <w:tc>
          <w:tcPr>
            <w:tcW w:w="678" w:type="dxa"/>
          </w:tcPr>
          <w:p>
            <w:pPr>
              <w:pStyle w:val="TableParagraph"/>
              <w:spacing w:before="47"/>
              <w:ind w:right="69"/>
              <w:rPr>
                <w:sz w:val="16"/>
              </w:rPr>
            </w:pPr>
            <w:r>
              <w:rPr>
                <w:sz w:val="16"/>
              </w:rPr>
              <w:t>36.71</w:t>
            </w:r>
          </w:p>
        </w:tc>
        <w:tc>
          <w:tcPr>
            <w:tcW w:w="595" w:type="dxa"/>
          </w:tcPr>
          <w:p>
            <w:pPr>
              <w:pStyle w:val="TableParagraph"/>
              <w:spacing w:before="47"/>
              <w:ind w:right="64"/>
              <w:rPr>
                <w:sz w:val="16"/>
              </w:rPr>
            </w:pPr>
            <w:r>
              <w:rPr>
                <w:w w:val="95"/>
                <w:sz w:val="16"/>
              </w:rPr>
              <w:t>2.03</w:t>
            </w:r>
          </w:p>
        </w:tc>
        <w:tc>
          <w:tcPr>
            <w:tcW w:w="595" w:type="dxa"/>
          </w:tcPr>
          <w:p>
            <w:pPr>
              <w:pStyle w:val="TableParagraph"/>
              <w:spacing w:before="47"/>
              <w:ind w:right="73"/>
              <w:rPr>
                <w:sz w:val="16"/>
              </w:rPr>
            </w:pPr>
            <w:r>
              <w:rPr>
                <w:w w:val="95"/>
                <w:sz w:val="16"/>
              </w:rPr>
              <w:t>0.2</w:t>
            </w:r>
          </w:p>
        </w:tc>
        <w:tc>
          <w:tcPr>
            <w:tcW w:w="545" w:type="dxa"/>
          </w:tcPr>
          <w:p>
            <w:pPr>
              <w:pStyle w:val="TableParagraph"/>
              <w:spacing w:before="47"/>
              <w:ind w:right="66"/>
              <w:rPr>
                <w:sz w:val="16"/>
              </w:rPr>
            </w:pPr>
            <w:r>
              <w:rPr>
                <w:w w:val="95"/>
                <w:sz w:val="16"/>
              </w:rPr>
              <w:t>0.02</w:t>
            </w:r>
          </w:p>
        </w:tc>
        <w:tc>
          <w:tcPr>
            <w:tcW w:w="598" w:type="dxa"/>
          </w:tcPr>
          <w:p>
            <w:pPr>
              <w:pStyle w:val="TableParagraph"/>
              <w:spacing w:before="47"/>
              <w:ind w:right="69"/>
              <w:rPr>
                <w:sz w:val="16"/>
              </w:rPr>
            </w:pPr>
            <w:r>
              <w:rPr>
                <w:w w:val="95"/>
                <w:sz w:val="16"/>
              </w:rPr>
              <w:t>0.36</w:t>
            </w:r>
          </w:p>
        </w:tc>
        <w:tc>
          <w:tcPr>
            <w:tcW w:w="593" w:type="dxa"/>
          </w:tcPr>
          <w:p>
            <w:pPr>
              <w:pStyle w:val="TableParagraph"/>
              <w:spacing w:before="47"/>
              <w:ind w:right="67"/>
              <w:rPr>
                <w:sz w:val="16"/>
              </w:rPr>
            </w:pPr>
            <w:r>
              <w:rPr>
                <w:sz w:val="16"/>
              </w:rPr>
              <w:t>14.63</w:t>
            </w:r>
          </w:p>
        </w:tc>
        <w:tc>
          <w:tcPr>
            <w:tcW w:w="830" w:type="dxa"/>
          </w:tcPr>
          <w:p>
            <w:pPr>
              <w:pStyle w:val="TableParagraph"/>
              <w:spacing w:before="47"/>
              <w:ind w:right="66"/>
              <w:rPr>
                <w:sz w:val="16"/>
              </w:rPr>
            </w:pPr>
            <w:r>
              <w:rPr>
                <w:w w:val="95"/>
                <w:sz w:val="16"/>
              </w:rPr>
              <w:t>0.62</w:t>
            </w:r>
          </w:p>
        </w:tc>
        <w:tc>
          <w:tcPr>
            <w:tcW w:w="821" w:type="dxa"/>
          </w:tcPr>
          <w:p>
            <w:pPr>
              <w:pStyle w:val="TableParagraph"/>
              <w:spacing w:before="47"/>
              <w:ind w:right="66"/>
              <w:rPr>
                <w:sz w:val="16"/>
              </w:rPr>
            </w:pPr>
            <w:r>
              <w:rPr>
                <w:w w:val="95"/>
                <w:sz w:val="16"/>
              </w:rPr>
              <w:t>0.22</w:t>
            </w:r>
          </w:p>
        </w:tc>
        <w:tc>
          <w:tcPr>
            <w:tcW w:w="831" w:type="dxa"/>
          </w:tcPr>
          <w:p>
            <w:pPr>
              <w:pStyle w:val="TableParagraph"/>
              <w:spacing w:before="47"/>
              <w:ind w:right="66"/>
              <w:rPr>
                <w:sz w:val="16"/>
              </w:rPr>
            </w:pPr>
            <w:r>
              <w:rPr>
                <w:w w:val="95"/>
                <w:sz w:val="16"/>
              </w:rPr>
              <w:t>0.12</w:t>
            </w:r>
          </w:p>
        </w:tc>
        <w:tc>
          <w:tcPr>
            <w:tcW w:w="726" w:type="dxa"/>
          </w:tcPr>
          <w:p>
            <w:pPr>
              <w:pStyle w:val="TableParagraph"/>
              <w:spacing w:before="47"/>
              <w:ind w:right="33"/>
              <w:rPr>
                <w:sz w:val="16"/>
              </w:rPr>
            </w:pPr>
            <w:r>
              <w:rPr>
                <w:w w:val="98"/>
                <w:sz w:val="16"/>
              </w:rPr>
              <w:t>0</w:t>
            </w:r>
          </w:p>
        </w:tc>
      </w:tr>
      <w:tr>
        <w:trPr>
          <w:trHeight w:val="300" w:hRule="exact"/>
        </w:trPr>
        <w:tc>
          <w:tcPr>
            <w:tcW w:w="520" w:type="dxa"/>
          </w:tcPr>
          <w:p>
            <w:pPr>
              <w:pStyle w:val="TableParagraph"/>
              <w:spacing w:before="50"/>
              <w:ind w:right="72"/>
              <w:rPr>
                <w:sz w:val="16"/>
              </w:rPr>
            </w:pPr>
            <w:r>
              <w:rPr>
                <w:w w:val="98"/>
                <w:sz w:val="16"/>
              </w:rPr>
              <w:t>9</w:t>
            </w:r>
          </w:p>
        </w:tc>
        <w:tc>
          <w:tcPr>
            <w:tcW w:w="716" w:type="dxa"/>
          </w:tcPr>
          <w:p>
            <w:pPr>
              <w:pStyle w:val="TableParagraph"/>
              <w:spacing w:before="50"/>
              <w:ind w:right="69"/>
              <w:rPr>
                <w:sz w:val="16"/>
              </w:rPr>
            </w:pPr>
            <w:r>
              <w:rPr>
                <w:sz w:val="16"/>
              </w:rPr>
              <w:t>141.1</w:t>
            </w:r>
          </w:p>
        </w:tc>
        <w:tc>
          <w:tcPr>
            <w:tcW w:w="718" w:type="dxa"/>
          </w:tcPr>
          <w:p>
            <w:pPr>
              <w:pStyle w:val="TableParagraph"/>
              <w:spacing w:before="50"/>
              <w:ind w:right="66"/>
              <w:rPr>
                <w:sz w:val="16"/>
              </w:rPr>
            </w:pPr>
            <w:r>
              <w:rPr>
                <w:sz w:val="16"/>
              </w:rPr>
              <w:t>23.85</w:t>
            </w:r>
          </w:p>
        </w:tc>
        <w:tc>
          <w:tcPr>
            <w:tcW w:w="554" w:type="dxa"/>
          </w:tcPr>
          <w:p>
            <w:pPr>
              <w:pStyle w:val="TableParagraph"/>
              <w:spacing w:before="50"/>
              <w:ind w:right="73"/>
              <w:rPr>
                <w:sz w:val="16"/>
              </w:rPr>
            </w:pPr>
            <w:r>
              <w:rPr>
                <w:w w:val="95"/>
                <w:sz w:val="16"/>
              </w:rPr>
              <w:t>1.4</w:t>
            </w:r>
          </w:p>
        </w:tc>
        <w:tc>
          <w:tcPr>
            <w:tcW w:w="538" w:type="dxa"/>
          </w:tcPr>
          <w:p>
            <w:pPr>
              <w:pStyle w:val="TableParagraph"/>
              <w:spacing w:before="50"/>
              <w:ind w:right="68"/>
              <w:rPr>
                <w:sz w:val="16"/>
              </w:rPr>
            </w:pPr>
            <w:r>
              <w:rPr>
                <w:w w:val="98"/>
                <w:sz w:val="16"/>
              </w:rPr>
              <w:t>0</w:t>
            </w:r>
          </w:p>
        </w:tc>
        <w:tc>
          <w:tcPr>
            <w:tcW w:w="669" w:type="dxa"/>
          </w:tcPr>
          <w:p>
            <w:pPr>
              <w:pStyle w:val="TableParagraph"/>
              <w:spacing w:before="50"/>
              <w:ind w:right="66"/>
              <w:rPr>
                <w:sz w:val="16"/>
              </w:rPr>
            </w:pPr>
            <w:r>
              <w:rPr>
                <w:sz w:val="16"/>
              </w:rPr>
              <w:t>26.47</w:t>
            </w:r>
          </w:p>
        </w:tc>
        <w:tc>
          <w:tcPr>
            <w:tcW w:w="535" w:type="dxa"/>
          </w:tcPr>
          <w:p>
            <w:pPr>
              <w:pStyle w:val="TableParagraph"/>
              <w:spacing w:before="50"/>
              <w:ind w:right="68"/>
              <w:rPr>
                <w:sz w:val="16"/>
              </w:rPr>
            </w:pPr>
            <w:r>
              <w:rPr>
                <w:w w:val="98"/>
                <w:sz w:val="16"/>
              </w:rPr>
              <w:t>0</w:t>
            </w:r>
          </w:p>
        </w:tc>
        <w:tc>
          <w:tcPr>
            <w:tcW w:w="667" w:type="dxa"/>
          </w:tcPr>
          <w:p>
            <w:pPr>
              <w:pStyle w:val="TableParagraph"/>
              <w:spacing w:before="50"/>
              <w:ind w:right="64"/>
              <w:rPr>
                <w:sz w:val="16"/>
              </w:rPr>
            </w:pPr>
            <w:r>
              <w:rPr>
                <w:sz w:val="16"/>
              </w:rPr>
              <w:t>388.7</w:t>
            </w:r>
          </w:p>
        </w:tc>
        <w:tc>
          <w:tcPr>
            <w:tcW w:w="665" w:type="dxa"/>
          </w:tcPr>
          <w:p>
            <w:pPr>
              <w:pStyle w:val="TableParagraph"/>
              <w:spacing w:before="50"/>
              <w:ind w:right="66"/>
              <w:rPr>
                <w:sz w:val="16"/>
              </w:rPr>
            </w:pPr>
            <w:r>
              <w:rPr>
                <w:sz w:val="16"/>
              </w:rPr>
              <w:t>88.09</w:t>
            </w:r>
          </w:p>
        </w:tc>
        <w:tc>
          <w:tcPr>
            <w:tcW w:w="544" w:type="dxa"/>
          </w:tcPr>
          <w:p>
            <w:pPr>
              <w:pStyle w:val="TableParagraph"/>
              <w:spacing w:before="50"/>
              <w:ind w:left="91" w:right="50"/>
              <w:jc w:val="center"/>
              <w:rPr>
                <w:sz w:val="16"/>
              </w:rPr>
            </w:pPr>
            <w:r>
              <w:rPr>
                <w:sz w:val="16"/>
              </w:rPr>
              <w:t>101.2</w:t>
            </w:r>
          </w:p>
        </w:tc>
        <w:tc>
          <w:tcPr>
            <w:tcW w:w="678" w:type="dxa"/>
          </w:tcPr>
          <w:p>
            <w:pPr>
              <w:pStyle w:val="TableParagraph"/>
              <w:spacing w:before="50"/>
              <w:ind w:right="69"/>
              <w:rPr>
                <w:sz w:val="16"/>
              </w:rPr>
            </w:pPr>
            <w:r>
              <w:rPr>
                <w:sz w:val="16"/>
              </w:rPr>
              <w:t>34.58</w:t>
            </w:r>
          </w:p>
        </w:tc>
        <w:tc>
          <w:tcPr>
            <w:tcW w:w="595" w:type="dxa"/>
          </w:tcPr>
          <w:p>
            <w:pPr>
              <w:pStyle w:val="TableParagraph"/>
              <w:spacing w:before="50"/>
              <w:ind w:right="68"/>
              <w:rPr>
                <w:sz w:val="16"/>
              </w:rPr>
            </w:pPr>
            <w:r>
              <w:rPr>
                <w:w w:val="95"/>
                <w:sz w:val="16"/>
              </w:rPr>
              <w:t>1.8</w:t>
            </w:r>
          </w:p>
        </w:tc>
        <w:tc>
          <w:tcPr>
            <w:tcW w:w="595" w:type="dxa"/>
          </w:tcPr>
          <w:p>
            <w:pPr>
              <w:pStyle w:val="TableParagraph"/>
              <w:spacing w:before="50"/>
              <w:ind w:right="69"/>
              <w:rPr>
                <w:sz w:val="16"/>
              </w:rPr>
            </w:pPr>
            <w:r>
              <w:rPr>
                <w:w w:val="95"/>
                <w:sz w:val="16"/>
              </w:rPr>
              <w:t>0.13</w:t>
            </w:r>
          </w:p>
        </w:tc>
        <w:tc>
          <w:tcPr>
            <w:tcW w:w="545" w:type="dxa"/>
          </w:tcPr>
          <w:p>
            <w:pPr>
              <w:pStyle w:val="TableParagraph"/>
              <w:spacing w:before="50"/>
              <w:ind w:right="66"/>
              <w:rPr>
                <w:sz w:val="16"/>
              </w:rPr>
            </w:pPr>
            <w:r>
              <w:rPr>
                <w:w w:val="95"/>
                <w:sz w:val="16"/>
              </w:rPr>
              <w:t>0.02</w:t>
            </w:r>
          </w:p>
        </w:tc>
        <w:tc>
          <w:tcPr>
            <w:tcW w:w="598" w:type="dxa"/>
          </w:tcPr>
          <w:p>
            <w:pPr>
              <w:pStyle w:val="TableParagraph"/>
              <w:spacing w:before="50"/>
              <w:ind w:right="69"/>
              <w:rPr>
                <w:sz w:val="16"/>
              </w:rPr>
            </w:pPr>
            <w:r>
              <w:rPr>
                <w:w w:val="95"/>
                <w:sz w:val="16"/>
              </w:rPr>
              <w:t>0.58</w:t>
            </w:r>
          </w:p>
        </w:tc>
        <w:tc>
          <w:tcPr>
            <w:tcW w:w="593" w:type="dxa"/>
          </w:tcPr>
          <w:p>
            <w:pPr>
              <w:pStyle w:val="TableParagraph"/>
              <w:spacing w:before="50"/>
              <w:ind w:right="66"/>
              <w:rPr>
                <w:sz w:val="16"/>
              </w:rPr>
            </w:pPr>
            <w:r>
              <w:rPr>
                <w:w w:val="95"/>
                <w:sz w:val="16"/>
              </w:rPr>
              <w:t>2.42</w:t>
            </w:r>
          </w:p>
        </w:tc>
        <w:tc>
          <w:tcPr>
            <w:tcW w:w="830" w:type="dxa"/>
          </w:tcPr>
          <w:p>
            <w:pPr>
              <w:pStyle w:val="TableParagraph"/>
              <w:spacing w:before="50"/>
              <w:ind w:right="66"/>
              <w:rPr>
                <w:sz w:val="16"/>
              </w:rPr>
            </w:pPr>
            <w:r>
              <w:rPr>
                <w:w w:val="95"/>
                <w:sz w:val="16"/>
              </w:rPr>
              <w:t>0.58</w:t>
            </w:r>
          </w:p>
        </w:tc>
        <w:tc>
          <w:tcPr>
            <w:tcW w:w="821" w:type="dxa"/>
          </w:tcPr>
          <w:p>
            <w:pPr>
              <w:pStyle w:val="TableParagraph"/>
              <w:spacing w:before="50"/>
              <w:ind w:right="66"/>
              <w:rPr>
                <w:sz w:val="16"/>
              </w:rPr>
            </w:pPr>
            <w:r>
              <w:rPr>
                <w:w w:val="95"/>
                <w:sz w:val="16"/>
              </w:rPr>
              <w:t>0.19</w:t>
            </w:r>
          </w:p>
        </w:tc>
        <w:tc>
          <w:tcPr>
            <w:tcW w:w="831" w:type="dxa"/>
          </w:tcPr>
          <w:p>
            <w:pPr>
              <w:pStyle w:val="TableParagraph"/>
              <w:spacing w:before="50"/>
              <w:ind w:right="71"/>
              <w:rPr>
                <w:sz w:val="16"/>
              </w:rPr>
            </w:pPr>
            <w:r>
              <w:rPr>
                <w:w w:val="95"/>
                <w:sz w:val="16"/>
              </w:rPr>
              <w:t>0.1</w:t>
            </w:r>
          </w:p>
        </w:tc>
        <w:tc>
          <w:tcPr>
            <w:tcW w:w="726" w:type="dxa"/>
          </w:tcPr>
          <w:p>
            <w:pPr>
              <w:pStyle w:val="TableParagraph"/>
              <w:spacing w:before="50"/>
              <w:ind w:right="33"/>
              <w:rPr>
                <w:sz w:val="16"/>
              </w:rPr>
            </w:pPr>
            <w:r>
              <w:rPr>
                <w:w w:val="98"/>
                <w:sz w:val="16"/>
              </w:rPr>
              <w:t>0</w:t>
            </w:r>
          </w:p>
        </w:tc>
      </w:tr>
      <w:tr>
        <w:trPr>
          <w:trHeight w:val="300" w:hRule="exact"/>
        </w:trPr>
        <w:tc>
          <w:tcPr>
            <w:tcW w:w="520" w:type="dxa"/>
          </w:tcPr>
          <w:p>
            <w:pPr>
              <w:pStyle w:val="TableParagraph"/>
              <w:spacing w:before="48"/>
              <w:ind w:right="65"/>
              <w:rPr>
                <w:sz w:val="16"/>
              </w:rPr>
            </w:pPr>
            <w:r>
              <w:rPr>
                <w:sz w:val="16"/>
              </w:rPr>
              <w:t>10</w:t>
            </w:r>
          </w:p>
        </w:tc>
        <w:tc>
          <w:tcPr>
            <w:tcW w:w="716" w:type="dxa"/>
          </w:tcPr>
          <w:p>
            <w:pPr>
              <w:pStyle w:val="TableParagraph"/>
              <w:spacing w:before="48"/>
              <w:ind w:right="69"/>
              <w:rPr>
                <w:sz w:val="16"/>
              </w:rPr>
            </w:pPr>
            <w:r>
              <w:rPr>
                <w:sz w:val="16"/>
              </w:rPr>
              <w:t>59.11</w:t>
            </w:r>
          </w:p>
        </w:tc>
        <w:tc>
          <w:tcPr>
            <w:tcW w:w="718" w:type="dxa"/>
          </w:tcPr>
          <w:p>
            <w:pPr>
              <w:pStyle w:val="TableParagraph"/>
              <w:spacing w:before="48"/>
              <w:ind w:right="66"/>
              <w:rPr>
                <w:sz w:val="16"/>
              </w:rPr>
            </w:pPr>
            <w:r>
              <w:rPr>
                <w:w w:val="95"/>
                <w:sz w:val="16"/>
              </w:rPr>
              <w:t>6.88</w:t>
            </w:r>
          </w:p>
        </w:tc>
        <w:tc>
          <w:tcPr>
            <w:tcW w:w="554" w:type="dxa"/>
          </w:tcPr>
          <w:p>
            <w:pPr>
              <w:pStyle w:val="TableParagraph"/>
              <w:spacing w:before="48"/>
              <w:ind w:right="69"/>
              <w:rPr>
                <w:sz w:val="16"/>
              </w:rPr>
            </w:pPr>
            <w:r>
              <w:rPr>
                <w:w w:val="95"/>
                <w:sz w:val="16"/>
              </w:rPr>
              <w:t>1.42</w:t>
            </w:r>
          </w:p>
        </w:tc>
        <w:tc>
          <w:tcPr>
            <w:tcW w:w="538" w:type="dxa"/>
          </w:tcPr>
          <w:p>
            <w:pPr>
              <w:pStyle w:val="TableParagraph"/>
              <w:spacing w:before="48"/>
              <w:ind w:right="68"/>
              <w:rPr>
                <w:sz w:val="16"/>
              </w:rPr>
            </w:pPr>
            <w:r>
              <w:rPr>
                <w:w w:val="99"/>
                <w:sz w:val="16"/>
              </w:rPr>
              <w:t>0</w:t>
            </w:r>
          </w:p>
        </w:tc>
        <w:tc>
          <w:tcPr>
            <w:tcW w:w="669" w:type="dxa"/>
          </w:tcPr>
          <w:p>
            <w:pPr>
              <w:pStyle w:val="TableParagraph"/>
              <w:spacing w:before="48"/>
              <w:ind w:right="66"/>
              <w:rPr>
                <w:sz w:val="16"/>
              </w:rPr>
            </w:pPr>
            <w:r>
              <w:rPr>
                <w:w w:val="95"/>
                <w:sz w:val="16"/>
              </w:rPr>
              <w:t>9.49</w:t>
            </w:r>
          </w:p>
        </w:tc>
        <w:tc>
          <w:tcPr>
            <w:tcW w:w="535" w:type="dxa"/>
          </w:tcPr>
          <w:p>
            <w:pPr>
              <w:pStyle w:val="TableParagraph"/>
              <w:spacing w:before="48"/>
              <w:ind w:right="68"/>
              <w:rPr>
                <w:sz w:val="16"/>
              </w:rPr>
            </w:pPr>
            <w:r>
              <w:rPr>
                <w:w w:val="99"/>
                <w:sz w:val="16"/>
              </w:rPr>
              <w:t>0</w:t>
            </w:r>
          </w:p>
        </w:tc>
        <w:tc>
          <w:tcPr>
            <w:tcW w:w="667" w:type="dxa"/>
          </w:tcPr>
          <w:p>
            <w:pPr>
              <w:pStyle w:val="TableParagraph"/>
              <w:spacing w:before="48"/>
              <w:ind w:right="64"/>
              <w:rPr>
                <w:sz w:val="16"/>
              </w:rPr>
            </w:pPr>
            <w:r>
              <w:rPr>
                <w:sz w:val="16"/>
              </w:rPr>
              <w:t>364.17</w:t>
            </w:r>
          </w:p>
        </w:tc>
        <w:tc>
          <w:tcPr>
            <w:tcW w:w="665" w:type="dxa"/>
          </w:tcPr>
          <w:p>
            <w:pPr>
              <w:pStyle w:val="TableParagraph"/>
              <w:spacing w:before="48"/>
              <w:ind w:right="66"/>
              <w:rPr>
                <w:sz w:val="16"/>
              </w:rPr>
            </w:pPr>
            <w:r>
              <w:rPr>
                <w:w w:val="95"/>
                <w:sz w:val="16"/>
              </w:rPr>
              <w:t>66.2</w:t>
            </w:r>
          </w:p>
        </w:tc>
        <w:tc>
          <w:tcPr>
            <w:tcW w:w="544" w:type="dxa"/>
          </w:tcPr>
          <w:p>
            <w:pPr>
              <w:pStyle w:val="TableParagraph"/>
              <w:spacing w:before="48"/>
              <w:ind w:left="91" w:right="50"/>
              <w:jc w:val="center"/>
              <w:rPr>
                <w:sz w:val="16"/>
              </w:rPr>
            </w:pPr>
            <w:r>
              <w:rPr>
                <w:sz w:val="16"/>
              </w:rPr>
              <w:t>91.47</w:t>
            </w:r>
          </w:p>
        </w:tc>
        <w:tc>
          <w:tcPr>
            <w:tcW w:w="678" w:type="dxa"/>
          </w:tcPr>
          <w:p>
            <w:pPr>
              <w:pStyle w:val="TableParagraph"/>
              <w:spacing w:before="48"/>
              <w:ind w:right="69"/>
              <w:rPr>
                <w:sz w:val="16"/>
              </w:rPr>
            </w:pPr>
            <w:r>
              <w:rPr>
                <w:sz w:val="16"/>
              </w:rPr>
              <w:t>19.53</w:t>
            </w:r>
          </w:p>
        </w:tc>
        <w:tc>
          <w:tcPr>
            <w:tcW w:w="595" w:type="dxa"/>
          </w:tcPr>
          <w:p>
            <w:pPr>
              <w:pStyle w:val="TableParagraph"/>
              <w:spacing w:before="48"/>
              <w:ind w:right="64"/>
              <w:rPr>
                <w:sz w:val="16"/>
              </w:rPr>
            </w:pPr>
            <w:r>
              <w:rPr>
                <w:w w:val="95"/>
                <w:sz w:val="16"/>
              </w:rPr>
              <w:t>0.25</w:t>
            </w:r>
          </w:p>
        </w:tc>
        <w:tc>
          <w:tcPr>
            <w:tcW w:w="595" w:type="dxa"/>
          </w:tcPr>
          <w:p>
            <w:pPr>
              <w:pStyle w:val="TableParagraph"/>
              <w:spacing w:before="48"/>
              <w:ind w:right="69"/>
              <w:rPr>
                <w:sz w:val="16"/>
              </w:rPr>
            </w:pPr>
            <w:r>
              <w:rPr>
                <w:w w:val="95"/>
                <w:sz w:val="16"/>
              </w:rPr>
              <w:t>0.04</w:t>
            </w:r>
          </w:p>
        </w:tc>
        <w:tc>
          <w:tcPr>
            <w:tcW w:w="545" w:type="dxa"/>
          </w:tcPr>
          <w:p>
            <w:pPr>
              <w:pStyle w:val="TableParagraph"/>
              <w:spacing w:before="48"/>
              <w:ind w:right="66"/>
              <w:rPr>
                <w:sz w:val="16"/>
              </w:rPr>
            </w:pPr>
            <w:r>
              <w:rPr>
                <w:w w:val="95"/>
                <w:sz w:val="16"/>
              </w:rPr>
              <w:t>0.02</w:t>
            </w:r>
          </w:p>
        </w:tc>
        <w:tc>
          <w:tcPr>
            <w:tcW w:w="598" w:type="dxa"/>
          </w:tcPr>
          <w:p>
            <w:pPr>
              <w:pStyle w:val="TableParagraph"/>
              <w:spacing w:before="48"/>
              <w:ind w:right="69"/>
              <w:rPr>
                <w:sz w:val="16"/>
              </w:rPr>
            </w:pPr>
            <w:r>
              <w:rPr>
                <w:w w:val="95"/>
                <w:sz w:val="16"/>
              </w:rPr>
              <w:t>0.12</w:t>
            </w:r>
          </w:p>
        </w:tc>
        <w:tc>
          <w:tcPr>
            <w:tcW w:w="593" w:type="dxa"/>
          </w:tcPr>
          <w:p>
            <w:pPr>
              <w:pStyle w:val="TableParagraph"/>
              <w:spacing w:before="48"/>
              <w:ind w:right="66"/>
              <w:rPr>
                <w:sz w:val="16"/>
              </w:rPr>
            </w:pPr>
            <w:r>
              <w:rPr>
                <w:w w:val="95"/>
                <w:sz w:val="16"/>
              </w:rPr>
              <w:t>2.22</w:t>
            </w:r>
          </w:p>
        </w:tc>
        <w:tc>
          <w:tcPr>
            <w:tcW w:w="830" w:type="dxa"/>
          </w:tcPr>
          <w:p>
            <w:pPr>
              <w:pStyle w:val="TableParagraph"/>
              <w:spacing w:before="48"/>
              <w:ind w:right="66"/>
              <w:rPr>
                <w:sz w:val="16"/>
              </w:rPr>
            </w:pPr>
            <w:r>
              <w:rPr>
                <w:w w:val="95"/>
                <w:sz w:val="16"/>
              </w:rPr>
              <w:t>0.17</w:t>
            </w:r>
          </w:p>
        </w:tc>
        <w:tc>
          <w:tcPr>
            <w:tcW w:w="821" w:type="dxa"/>
          </w:tcPr>
          <w:p>
            <w:pPr>
              <w:pStyle w:val="TableParagraph"/>
              <w:spacing w:before="48"/>
              <w:ind w:right="66"/>
              <w:rPr>
                <w:sz w:val="16"/>
              </w:rPr>
            </w:pPr>
            <w:r>
              <w:rPr>
                <w:w w:val="95"/>
                <w:sz w:val="16"/>
              </w:rPr>
              <w:t>0.06</w:t>
            </w:r>
          </w:p>
        </w:tc>
        <w:tc>
          <w:tcPr>
            <w:tcW w:w="831" w:type="dxa"/>
          </w:tcPr>
          <w:p>
            <w:pPr>
              <w:pStyle w:val="TableParagraph"/>
              <w:spacing w:before="48"/>
              <w:ind w:right="66"/>
              <w:rPr>
                <w:sz w:val="16"/>
              </w:rPr>
            </w:pPr>
            <w:r>
              <w:rPr>
                <w:w w:val="95"/>
                <w:sz w:val="16"/>
              </w:rPr>
              <w:t>0.03</w:t>
            </w:r>
          </w:p>
        </w:tc>
        <w:tc>
          <w:tcPr>
            <w:tcW w:w="726" w:type="dxa"/>
          </w:tcPr>
          <w:p>
            <w:pPr>
              <w:pStyle w:val="TableParagraph"/>
              <w:spacing w:before="48"/>
              <w:ind w:right="33"/>
              <w:rPr>
                <w:sz w:val="16"/>
              </w:rPr>
            </w:pPr>
            <w:r>
              <w:rPr>
                <w:w w:val="99"/>
                <w:sz w:val="16"/>
              </w:rPr>
              <w:t>0</w:t>
            </w:r>
          </w:p>
        </w:tc>
      </w:tr>
      <w:tr>
        <w:trPr>
          <w:trHeight w:val="300" w:hRule="exact"/>
        </w:trPr>
        <w:tc>
          <w:tcPr>
            <w:tcW w:w="520" w:type="dxa"/>
          </w:tcPr>
          <w:p>
            <w:pPr>
              <w:pStyle w:val="TableParagraph"/>
              <w:spacing w:before="50"/>
              <w:ind w:right="65"/>
              <w:rPr>
                <w:sz w:val="16"/>
              </w:rPr>
            </w:pPr>
            <w:r>
              <w:rPr>
                <w:sz w:val="16"/>
              </w:rPr>
              <w:t>11</w:t>
            </w:r>
          </w:p>
        </w:tc>
        <w:tc>
          <w:tcPr>
            <w:tcW w:w="716" w:type="dxa"/>
          </w:tcPr>
          <w:p>
            <w:pPr>
              <w:pStyle w:val="TableParagraph"/>
              <w:spacing w:before="50"/>
              <w:ind w:right="69"/>
              <w:rPr>
                <w:sz w:val="16"/>
              </w:rPr>
            </w:pPr>
            <w:r>
              <w:rPr>
                <w:sz w:val="16"/>
              </w:rPr>
              <w:t>17.69</w:t>
            </w:r>
          </w:p>
        </w:tc>
        <w:tc>
          <w:tcPr>
            <w:tcW w:w="718" w:type="dxa"/>
          </w:tcPr>
          <w:p>
            <w:pPr>
              <w:pStyle w:val="TableParagraph"/>
              <w:spacing w:before="50"/>
              <w:ind w:right="71"/>
              <w:rPr>
                <w:sz w:val="16"/>
              </w:rPr>
            </w:pPr>
            <w:r>
              <w:rPr>
                <w:w w:val="95"/>
                <w:sz w:val="16"/>
              </w:rPr>
              <w:t>0.7</w:t>
            </w:r>
          </w:p>
        </w:tc>
        <w:tc>
          <w:tcPr>
            <w:tcW w:w="554" w:type="dxa"/>
          </w:tcPr>
          <w:p>
            <w:pPr>
              <w:pStyle w:val="TableParagraph"/>
              <w:spacing w:before="50"/>
              <w:ind w:right="69"/>
              <w:rPr>
                <w:sz w:val="16"/>
              </w:rPr>
            </w:pPr>
            <w:r>
              <w:rPr>
                <w:w w:val="95"/>
                <w:sz w:val="16"/>
              </w:rPr>
              <w:t>1.07</w:t>
            </w:r>
          </w:p>
        </w:tc>
        <w:tc>
          <w:tcPr>
            <w:tcW w:w="538" w:type="dxa"/>
          </w:tcPr>
          <w:p>
            <w:pPr>
              <w:pStyle w:val="TableParagraph"/>
              <w:spacing w:before="50"/>
              <w:ind w:right="68"/>
              <w:rPr>
                <w:sz w:val="16"/>
              </w:rPr>
            </w:pPr>
            <w:r>
              <w:rPr>
                <w:w w:val="98"/>
                <w:sz w:val="16"/>
              </w:rPr>
              <w:t>0</w:t>
            </w:r>
          </w:p>
        </w:tc>
        <w:tc>
          <w:tcPr>
            <w:tcW w:w="669" w:type="dxa"/>
          </w:tcPr>
          <w:p>
            <w:pPr>
              <w:pStyle w:val="TableParagraph"/>
              <w:spacing w:before="50"/>
              <w:ind w:right="66"/>
              <w:rPr>
                <w:sz w:val="16"/>
              </w:rPr>
            </w:pPr>
            <w:r>
              <w:rPr>
                <w:w w:val="95"/>
                <w:sz w:val="16"/>
              </w:rPr>
              <w:t>1.02</w:t>
            </w:r>
          </w:p>
        </w:tc>
        <w:tc>
          <w:tcPr>
            <w:tcW w:w="535" w:type="dxa"/>
          </w:tcPr>
          <w:p>
            <w:pPr>
              <w:pStyle w:val="TableParagraph"/>
              <w:spacing w:before="50"/>
              <w:ind w:right="68"/>
              <w:rPr>
                <w:sz w:val="16"/>
              </w:rPr>
            </w:pPr>
            <w:r>
              <w:rPr>
                <w:w w:val="98"/>
                <w:sz w:val="16"/>
              </w:rPr>
              <w:t>0</w:t>
            </w:r>
          </w:p>
        </w:tc>
        <w:tc>
          <w:tcPr>
            <w:tcW w:w="667" w:type="dxa"/>
          </w:tcPr>
          <w:p>
            <w:pPr>
              <w:pStyle w:val="TableParagraph"/>
              <w:spacing w:before="50"/>
              <w:ind w:right="64"/>
              <w:rPr>
                <w:sz w:val="16"/>
              </w:rPr>
            </w:pPr>
            <w:r>
              <w:rPr>
                <w:sz w:val="16"/>
              </w:rPr>
              <w:t>352.9</w:t>
            </w:r>
          </w:p>
        </w:tc>
        <w:tc>
          <w:tcPr>
            <w:tcW w:w="665" w:type="dxa"/>
          </w:tcPr>
          <w:p>
            <w:pPr>
              <w:pStyle w:val="TableParagraph"/>
              <w:spacing w:before="50"/>
              <w:ind w:right="66"/>
              <w:rPr>
                <w:sz w:val="16"/>
              </w:rPr>
            </w:pPr>
            <w:r>
              <w:rPr>
                <w:sz w:val="16"/>
              </w:rPr>
              <w:t>27.06</w:t>
            </w:r>
          </w:p>
        </w:tc>
        <w:tc>
          <w:tcPr>
            <w:tcW w:w="544" w:type="dxa"/>
          </w:tcPr>
          <w:p>
            <w:pPr>
              <w:pStyle w:val="TableParagraph"/>
              <w:spacing w:before="50"/>
              <w:ind w:left="91" w:right="50"/>
              <w:jc w:val="center"/>
              <w:rPr>
                <w:sz w:val="16"/>
              </w:rPr>
            </w:pPr>
            <w:r>
              <w:rPr>
                <w:sz w:val="16"/>
              </w:rPr>
              <w:t>73.71</w:t>
            </w:r>
          </w:p>
        </w:tc>
        <w:tc>
          <w:tcPr>
            <w:tcW w:w="678" w:type="dxa"/>
          </w:tcPr>
          <w:p>
            <w:pPr>
              <w:pStyle w:val="TableParagraph"/>
              <w:spacing w:before="50"/>
              <w:ind w:right="69"/>
              <w:rPr>
                <w:sz w:val="16"/>
              </w:rPr>
            </w:pPr>
            <w:r>
              <w:rPr>
                <w:sz w:val="16"/>
              </w:rPr>
              <w:t>12.87</w:t>
            </w:r>
          </w:p>
        </w:tc>
        <w:tc>
          <w:tcPr>
            <w:tcW w:w="595" w:type="dxa"/>
          </w:tcPr>
          <w:p>
            <w:pPr>
              <w:pStyle w:val="TableParagraph"/>
              <w:spacing w:before="50"/>
              <w:ind w:right="64"/>
              <w:rPr>
                <w:sz w:val="16"/>
              </w:rPr>
            </w:pPr>
            <w:r>
              <w:rPr>
                <w:w w:val="95"/>
                <w:sz w:val="16"/>
              </w:rPr>
              <w:t>0.04</w:t>
            </w:r>
          </w:p>
        </w:tc>
        <w:tc>
          <w:tcPr>
            <w:tcW w:w="595" w:type="dxa"/>
          </w:tcPr>
          <w:p>
            <w:pPr>
              <w:pStyle w:val="TableParagraph"/>
              <w:spacing w:before="50"/>
              <w:ind w:right="69"/>
              <w:rPr>
                <w:sz w:val="16"/>
              </w:rPr>
            </w:pPr>
            <w:r>
              <w:rPr>
                <w:w w:val="95"/>
                <w:sz w:val="16"/>
              </w:rPr>
              <w:t>0.02</w:t>
            </w:r>
          </w:p>
        </w:tc>
        <w:tc>
          <w:tcPr>
            <w:tcW w:w="545" w:type="dxa"/>
          </w:tcPr>
          <w:p>
            <w:pPr>
              <w:pStyle w:val="TableParagraph"/>
              <w:spacing w:before="50"/>
              <w:ind w:right="66"/>
              <w:rPr>
                <w:sz w:val="16"/>
              </w:rPr>
            </w:pPr>
            <w:r>
              <w:rPr>
                <w:w w:val="95"/>
                <w:sz w:val="16"/>
              </w:rPr>
              <w:t>0.01</w:t>
            </w:r>
          </w:p>
        </w:tc>
        <w:tc>
          <w:tcPr>
            <w:tcW w:w="598" w:type="dxa"/>
          </w:tcPr>
          <w:p>
            <w:pPr>
              <w:pStyle w:val="TableParagraph"/>
              <w:spacing w:before="50"/>
              <w:ind w:right="73"/>
              <w:rPr>
                <w:sz w:val="16"/>
              </w:rPr>
            </w:pPr>
            <w:r>
              <w:rPr>
                <w:w w:val="98"/>
                <w:sz w:val="16"/>
              </w:rPr>
              <w:t>0</w:t>
            </w:r>
          </w:p>
        </w:tc>
        <w:tc>
          <w:tcPr>
            <w:tcW w:w="593" w:type="dxa"/>
          </w:tcPr>
          <w:p>
            <w:pPr>
              <w:pStyle w:val="TableParagraph"/>
              <w:spacing w:before="50"/>
              <w:ind w:right="66"/>
              <w:rPr>
                <w:sz w:val="16"/>
              </w:rPr>
            </w:pPr>
            <w:r>
              <w:rPr>
                <w:w w:val="95"/>
                <w:sz w:val="16"/>
              </w:rPr>
              <w:t>0.63</w:t>
            </w:r>
          </w:p>
        </w:tc>
        <w:tc>
          <w:tcPr>
            <w:tcW w:w="830" w:type="dxa"/>
          </w:tcPr>
          <w:p>
            <w:pPr>
              <w:pStyle w:val="TableParagraph"/>
              <w:spacing w:before="50"/>
              <w:ind w:right="66"/>
              <w:rPr>
                <w:sz w:val="16"/>
              </w:rPr>
            </w:pPr>
            <w:r>
              <w:rPr>
                <w:w w:val="95"/>
                <w:sz w:val="16"/>
              </w:rPr>
              <w:t>0.02</w:t>
            </w:r>
          </w:p>
        </w:tc>
        <w:tc>
          <w:tcPr>
            <w:tcW w:w="821" w:type="dxa"/>
          </w:tcPr>
          <w:p>
            <w:pPr>
              <w:pStyle w:val="TableParagraph"/>
              <w:spacing w:before="50"/>
              <w:ind w:right="70"/>
              <w:rPr>
                <w:sz w:val="16"/>
              </w:rPr>
            </w:pPr>
            <w:r>
              <w:rPr>
                <w:w w:val="98"/>
                <w:sz w:val="16"/>
              </w:rPr>
              <w:t>0</w:t>
            </w:r>
          </w:p>
        </w:tc>
        <w:tc>
          <w:tcPr>
            <w:tcW w:w="831" w:type="dxa"/>
          </w:tcPr>
          <w:p>
            <w:pPr>
              <w:pStyle w:val="TableParagraph"/>
              <w:spacing w:before="50"/>
              <w:ind w:right="72"/>
              <w:rPr>
                <w:sz w:val="16"/>
              </w:rPr>
            </w:pPr>
            <w:r>
              <w:rPr>
                <w:w w:val="98"/>
                <w:sz w:val="16"/>
              </w:rPr>
              <w:t>0</w:t>
            </w:r>
          </w:p>
        </w:tc>
        <w:tc>
          <w:tcPr>
            <w:tcW w:w="726" w:type="dxa"/>
          </w:tcPr>
          <w:p>
            <w:pPr>
              <w:pStyle w:val="TableParagraph"/>
              <w:spacing w:before="50"/>
              <w:ind w:right="33"/>
              <w:rPr>
                <w:sz w:val="16"/>
              </w:rPr>
            </w:pPr>
            <w:r>
              <w:rPr>
                <w:w w:val="98"/>
                <w:sz w:val="16"/>
              </w:rPr>
              <w:t>0</w:t>
            </w:r>
          </w:p>
        </w:tc>
      </w:tr>
      <w:tr>
        <w:trPr>
          <w:trHeight w:val="449" w:hRule="exact"/>
        </w:trPr>
        <w:tc>
          <w:tcPr>
            <w:tcW w:w="520" w:type="dxa"/>
          </w:tcPr>
          <w:p>
            <w:pPr>
              <w:pStyle w:val="TableParagraph"/>
              <w:spacing w:before="47"/>
              <w:ind w:right="65"/>
              <w:rPr>
                <w:sz w:val="16"/>
              </w:rPr>
            </w:pPr>
            <w:r>
              <w:rPr>
                <w:sz w:val="16"/>
              </w:rPr>
              <w:t>12</w:t>
            </w:r>
          </w:p>
        </w:tc>
        <w:tc>
          <w:tcPr>
            <w:tcW w:w="716" w:type="dxa"/>
          </w:tcPr>
          <w:p>
            <w:pPr>
              <w:pStyle w:val="TableParagraph"/>
              <w:spacing w:before="47"/>
              <w:ind w:right="69"/>
              <w:rPr>
                <w:sz w:val="16"/>
              </w:rPr>
            </w:pPr>
            <w:r>
              <w:rPr>
                <w:sz w:val="16"/>
              </w:rPr>
              <w:t>12.48</w:t>
            </w:r>
          </w:p>
        </w:tc>
        <w:tc>
          <w:tcPr>
            <w:tcW w:w="718" w:type="dxa"/>
          </w:tcPr>
          <w:p>
            <w:pPr>
              <w:pStyle w:val="TableParagraph"/>
              <w:spacing w:before="47"/>
              <w:ind w:right="66"/>
              <w:rPr>
                <w:sz w:val="16"/>
              </w:rPr>
            </w:pPr>
            <w:r>
              <w:rPr>
                <w:w w:val="95"/>
                <w:sz w:val="16"/>
              </w:rPr>
              <w:t>0.48</w:t>
            </w:r>
          </w:p>
        </w:tc>
        <w:tc>
          <w:tcPr>
            <w:tcW w:w="554" w:type="dxa"/>
          </w:tcPr>
          <w:p>
            <w:pPr>
              <w:pStyle w:val="TableParagraph"/>
              <w:spacing w:before="47"/>
              <w:ind w:right="69"/>
              <w:rPr>
                <w:sz w:val="16"/>
              </w:rPr>
            </w:pPr>
            <w:r>
              <w:rPr>
                <w:w w:val="95"/>
                <w:sz w:val="16"/>
              </w:rPr>
              <w:t>0.84</w:t>
            </w:r>
          </w:p>
        </w:tc>
        <w:tc>
          <w:tcPr>
            <w:tcW w:w="538" w:type="dxa"/>
          </w:tcPr>
          <w:p>
            <w:pPr>
              <w:pStyle w:val="TableParagraph"/>
              <w:spacing w:before="47"/>
              <w:ind w:right="68"/>
              <w:rPr>
                <w:sz w:val="16"/>
              </w:rPr>
            </w:pPr>
            <w:r>
              <w:rPr>
                <w:w w:val="99"/>
                <w:sz w:val="16"/>
              </w:rPr>
              <w:t>0</w:t>
            </w:r>
          </w:p>
        </w:tc>
        <w:tc>
          <w:tcPr>
            <w:tcW w:w="669" w:type="dxa"/>
          </w:tcPr>
          <w:p>
            <w:pPr>
              <w:pStyle w:val="TableParagraph"/>
              <w:spacing w:before="47"/>
              <w:ind w:right="66"/>
              <w:rPr>
                <w:sz w:val="16"/>
              </w:rPr>
            </w:pPr>
            <w:r>
              <w:rPr>
                <w:w w:val="95"/>
                <w:sz w:val="16"/>
              </w:rPr>
              <w:t>0.12</w:t>
            </w:r>
          </w:p>
        </w:tc>
        <w:tc>
          <w:tcPr>
            <w:tcW w:w="535" w:type="dxa"/>
          </w:tcPr>
          <w:p>
            <w:pPr>
              <w:pStyle w:val="TableParagraph"/>
              <w:spacing w:before="47"/>
              <w:ind w:right="68"/>
              <w:rPr>
                <w:sz w:val="16"/>
              </w:rPr>
            </w:pPr>
            <w:r>
              <w:rPr>
                <w:w w:val="99"/>
                <w:sz w:val="16"/>
              </w:rPr>
              <w:t>0</w:t>
            </w:r>
          </w:p>
        </w:tc>
        <w:tc>
          <w:tcPr>
            <w:tcW w:w="667" w:type="dxa"/>
          </w:tcPr>
          <w:p>
            <w:pPr>
              <w:pStyle w:val="TableParagraph"/>
              <w:spacing w:before="47"/>
              <w:ind w:right="64"/>
              <w:rPr>
                <w:sz w:val="16"/>
              </w:rPr>
            </w:pPr>
            <w:r>
              <w:rPr>
                <w:sz w:val="16"/>
              </w:rPr>
              <w:t>346.71</w:t>
            </w:r>
          </w:p>
        </w:tc>
        <w:tc>
          <w:tcPr>
            <w:tcW w:w="665" w:type="dxa"/>
          </w:tcPr>
          <w:p>
            <w:pPr>
              <w:pStyle w:val="TableParagraph"/>
              <w:spacing w:before="47"/>
              <w:ind w:right="66"/>
              <w:rPr>
                <w:sz w:val="16"/>
              </w:rPr>
            </w:pPr>
            <w:r>
              <w:rPr>
                <w:sz w:val="16"/>
              </w:rPr>
              <w:t>17.97</w:t>
            </w:r>
          </w:p>
        </w:tc>
        <w:tc>
          <w:tcPr>
            <w:tcW w:w="544" w:type="dxa"/>
          </w:tcPr>
          <w:p>
            <w:pPr>
              <w:pStyle w:val="TableParagraph"/>
              <w:spacing w:before="47"/>
              <w:ind w:left="173" w:right="50"/>
              <w:jc w:val="center"/>
              <w:rPr>
                <w:sz w:val="16"/>
              </w:rPr>
            </w:pPr>
            <w:r>
              <w:rPr>
                <w:sz w:val="16"/>
              </w:rPr>
              <w:t>66.8</w:t>
            </w:r>
          </w:p>
        </w:tc>
        <w:tc>
          <w:tcPr>
            <w:tcW w:w="678" w:type="dxa"/>
          </w:tcPr>
          <w:p>
            <w:pPr>
              <w:pStyle w:val="TableParagraph"/>
              <w:spacing w:before="47"/>
              <w:ind w:right="69"/>
              <w:rPr>
                <w:sz w:val="16"/>
              </w:rPr>
            </w:pPr>
            <w:r>
              <w:rPr>
                <w:sz w:val="16"/>
              </w:rPr>
              <w:t>12.68</w:t>
            </w:r>
          </w:p>
        </w:tc>
        <w:tc>
          <w:tcPr>
            <w:tcW w:w="595" w:type="dxa"/>
          </w:tcPr>
          <w:p>
            <w:pPr>
              <w:pStyle w:val="TableParagraph"/>
              <w:spacing w:before="47"/>
              <w:ind w:right="64"/>
              <w:rPr>
                <w:sz w:val="16"/>
              </w:rPr>
            </w:pPr>
            <w:r>
              <w:rPr>
                <w:w w:val="95"/>
                <w:sz w:val="16"/>
              </w:rPr>
              <w:t>0.04</w:t>
            </w:r>
          </w:p>
        </w:tc>
        <w:tc>
          <w:tcPr>
            <w:tcW w:w="595" w:type="dxa"/>
          </w:tcPr>
          <w:p>
            <w:pPr>
              <w:pStyle w:val="TableParagraph"/>
              <w:spacing w:before="47"/>
              <w:ind w:right="69"/>
              <w:rPr>
                <w:sz w:val="16"/>
              </w:rPr>
            </w:pPr>
            <w:r>
              <w:rPr>
                <w:w w:val="95"/>
                <w:sz w:val="16"/>
              </w:rPr>
              <w:t>0.02</w:t>
            </w:r>
          </w:p>
        </w:tc>
        <w:tc>
          <w:tcPr>
            <w:tcW w:w="545" w:type="dxa"/>
          </w:tcPr>
          <w:p>
            <w:pPr>
              <w:pStyle w:val="TableParagraph"/>
              <w:spacing w:before="47"/>
              <w:ind w:right="66"/>
              <w:rPr>
                <w:sz w:val="16"/>
              </w:rPr>
            </w:pPr>
            <w:r>
              <w:rPr>
                <w:w w:val="95"/>
                <w:sz w:val="16"/>
              </w:rPr>
              <w:t>0.01</w:t>
            </w:r>
          </w:p>
        </w:tc>
        <w:tc>
          <w:tcPr>
            <w:tcW w:w="598" w:type="dxa"/>
          </w:tcPr>
          <w:p>
            <w:pPr>
              <w:pStyle w:val="TableParagraph"/>
              <w:spacing w:before="47"/>
              <w:ind w:right="73"/>
              <w:rPr>
                <w:sz w:val="16"/>
              </w:rPr>
            </w:pPr>
            <w:r>
              <w:rPr>
                <w:w w:val="99"/>
                <w:sz w:val="16"/>
              </w:rPr>
              <w:t>0</w:t>
            </w:r>
          </w:p>
        </w:tc>
        <w:tc>
          <w:tcPr>
            <w:tcW w:w="593" w:type="dxa"/>
          </w:tcPr>
          <w:p>
            <w:pPr>
              <w:pStyle w:val="TableParagraph"/>
              <w:spacing w:before="47"/>
              <w:ind w:right="71"/>
              <w:rPr>
                <w:sz w:val="16"/>
              </w:rPr>
            </w:pPr>
            <w:r>
              <w:rPr>
                <w:w w:val="95"/>
                <w:sz w:val="16"/>
              </w:rPr>
              <w:t>0.2</w:t>
            </w:r>
          </w:p>
        </w:tc>
        <w:tc>
          <w:tcPr>
            <w:tcW w:w="830" w:type="dxa"/>
          </w:tcPr>
          <w:p>
            <w:pPr>
              <w:pStyle w:val="TableParagraph"/>
              <w:spacing w:before="47"/>
              <w:ind w:right="66"/>
              <w:rPr>
                <w:sz w:val="16"/>
              </w:rPr>
            </w:pPr>
            <w:r>
              <w:rPr>
                <w:w w:val="95"/>
                <w:sz w:val="16"/>
              </w:rPr>
              <w:t>0.01</w:t>
            </w:r>
          </w:p>
        </w:tc>
        <w:tc>
          <w:tcPr>
            <w:tcW w:w="821" w:type="dxa"/>
          </w:tcPr>
          <w:p>
            <w:pPr>
              <w:pStyle w:val="TableParagraph"/>
              <w:spacing w:before="47"/>
              <w:ind w:right="70"/>
              <w:rPr>
                <w:sz w:val="16"/>
              </w:rPr>
            </w:pPr>
            <w:r>
              <w:rPr>
                <w:w w:val="99"/>
                <w:sz w:val="16"/>
              </w:rPr>
              <w:t>0</w:t>
            </w:r>
          </w:p>
        </w:tc>
        <w:tc>
          <w:tcPr>
            <w:tcW w:w="831" w:type="dxa"/>
          </w:tcPr>
          <w:p>
            <w:pPr>
              <w:pStyle w:val="TableParagraph"/>
              <w:spacing w:before="47"/>
              <w:ind w:right="72"/>
              <w:rPr>
                <w:sz w:val="16"/>
              </w:rPr>
            </w:pPr>
            <w:r>
              <w:rPr>
                <w:w w:val="99"/>
                <w:sz w:val="16"/>
              </w:rPr>
              <w:t>0</w:t>
            </w:r>
          </w:p>
        </w:tc>
        <w:tc>
          <w:tcPr>
            <w:tcW w:w="726" w:type="dxa"/>
          </w:tcPr>
          <w:p>
            <w:pPr>
              <w:pStyle w:val="TableParagraph"/>
              <w:spacing w:before="47"/>
              <w:ind w:right="33"/>
              <w:rPr>
                <w:sz w:val="16"/>
              </w:rPr>
            </w:pPr>
            <w:r>
              <w:rPr>
                <w:w w:val="99"/>
                <w:sz w:val="16"/>
              </w:rPr>
              <w:t>0</w:t>
            </w:r>
          </w:p>
        </w:tc>
      </w:tr>
      <w:tr>
        <w:trPr>
          <w:trHeight w:val="479" w:hRule="exact"/>
        </w:trPr>
        <w:tc>
          <w:tcPr>
            <w:tcW w:w="520" w:type="dxa"/>
          </w:tcPr>
          <w:p>
            <w:pPr>
              <w:pStyle w:val="TableParagraph"/>
              <w:spacing w:before="3"/>
              <w:jc w:val="left"/>
              <w:rPr>
                <w:sz w:val="17"/>
              </w:rPr>
            </w:pPr>
          </w:p>
          <w:p>
            <w:pPr>
              <w:pStyle w:val="TableParagraph"/>
              <w:spacing w:before="0"/>
              <w:ind w:right="65"/>
              <w:rPr>
                <w:sz w:val="16"/>
              </w:rPr>
            </w:pPr>
            <w:r>
              <w:rPr>
                <w:sz w:val="16"/>
              </w:rPr>
              <w:t>2004</w:t>
            </w:r>
          </w:p>
        </w:tc>
        <w:tc>
          <w:tcPr>
            <w:tcW w:w="716" w:type="dxa"/>
          </w:tcPr>
          <w:p>
            <w:pPr>
              <w:pStyle w:val="TableParagraph"/>
              <w:spacing w:before="3"/>
              <w:jc w:val="left"/>
              <w:rPr>
                <w:sz w:val="17"/>
              </w:rPr>
            </w:pPr>
          </w:p>
          <w:p>
            <w:pPr>
              <w:pStyle w:val="TableParagraph"/>
              <w:spacing w:before="0"/>
              <w:ind w:right="69"/>
              <w:rPr>
                <w:sz w:val="16"/>
              </w:rPr>
            </w:pPr>
            <w:r>
              <w:rPr>
                <w:sz w:val="16"/>
              </w:rPr>
              <w:t>867.91</w:t>
            </w:r>
          </w:p>
        </w:tc>
        <w:tc>
          <w:tcPr>
            <w:tcW w:w="718" w:type="dxa"/>
          </w:tcPr>
          <w:p>
            <w:pPr>
              <w:pStyle w:val="TableParagraph"/>
              <w:spacing w:before="3"/>
              <w:jc w:val="left"/>
              <w:rPr>
                <w:sz w:val="17"/>
              </w:rPr>
            </w:pPr>
          </w:p>
          <w:p>
            <w:pPr>
              <w:pStyle w:val="TableParagraph"/>
              <w:spacing w:before="0"/>
              <w:ind w:right="68"/>
              <w:rPr>
                <w:sz w:val="16"/>
              </w:rPr>
            </w:pPr>
            <w:r>
              <w:rPr>
                <w:sz w:val="16"/>
              </w:rPr>
              <w:t>113.98</w:t>
            </w:r>
          </w:p>
        </w:tc>
        <w:tc>
          <w:tcPr>
            <w:tcW w:w="554" w:type="dxa"/>
          </w:tcPr>
          <w:p>
            <w:pPr>
              <w:pStyle w:val="TableParagraph"/>
              <w:spacing w:before="3"/>
              <w:jc w:val="left"/>
              <w:rPr>
                <w:sz w:val="17"/>
              </w:rPr>
            </w:pPr>
          </w:p>
          <w:p>
            <w:pPr>
              <w:pStyle w:val="TableParagraph"/>
              <w:spacing w:before="0"/>
              <w:ind w:right="69"/>
              <w:rPr>
                <w:sz w:val="16"/>
              </w:rPr>
            </w:pPr>
            <w:r>
              <w:rPr>
                <w:sz w:val="16"/>
              </w:rPr>
              <w:t>10.07</w:t>
            </w:r>
          </w:p>
        </w:tc>
        <w:tc>
          <w:tcPr>
            <w:tcW w:w="538" w:type="dxa"/>
          </w:tcPr>
          <w:p>
            <w:pPr>
              <w:pStyle w:val="TableParagraph"/>
              <w:spacing w:before="3"/>
              <w:jc w:val="left"/>
              <w:rPr>
                <w:sz w:val="17"/>
              </w:rPr>
            </w:pPr>
          </w:p>
          <w:p>
            <w:pPr>
              <w:pStyle w:val="TableParagraph"/>
              <w:spacing w:before="0"/>
              <w:ind w:right="68"/>
              <w:rPr>
                <w:sz w:val="16"/>
              </w:rPr>
            </w:pPr>
            <w:r>
              <w:rPr>
                <w:w w:val="99"/>
                <w:sz w:val="16"/>
              </w:rPr>
              <w:t>0</w:t>
            </w:r>
          </w:p>
        </w:tc>
        <w:tc>
          <w:tcPr>
            <w:tcW w:w="669" w:type="dxa"/>
          </w:tcPr>
          <w:p>
            <w:pPr>
              <w:pStyle w:val="TableParagraph"/>
              <w:spacing w:before="3"/>
              <w:jc w:val="left"/>
              <w:rPr>
                <w:sz w:val="17"/>
              </w:rPr>
            </w:pPr>
          </w:p>
          <w:p>
            <w:pPr>
              <w:pStyle w:val="TableParagraph"/>
              <w:spacing w:before="0"/>
              <w:ind w:right="68"/>
              <w:rPr>
                <w:sz w:val="16"/>
              </w:rPr>
            </w:pPr>
            <w:r>
              <w:rPr>
                <w:sz w:val="16"/>
              </w:rPr>
              <w:t>106.67</w:t>
            </w:r>
          </w:p>
        </w:tc>
        <w:tc>
          <w:tcPr>
            <w:tcW w:w="535" w:type="dxa"/>
          </w:tcPr>
          <w:p>
            <w:pPr>
              <w:pStyle w:val="TableParagraph"/>
              <w:spacing w:before="3"/>
              <w:jc w:val="left"/>
              <w:rPr>
                <w:sz w:val="17"/>
              </w:rPr>
            </w:pPr>
          </w:p>
          <w:p>
            <w:pPr>
              <w:pStyle w:val="TableParagraph"/>
              <w:spacing w:before="0"/>
              <w:ind w:right="68"/>
              <w:rPr>
                <w:sz w:val="16"/>
              </w:rPr>
            </w:pPr>
            <w:r>
              <w:rPr>
                <w:w w:val="99"/>
                <w:sz w:val="16"/>
              </w:rPr>
              <w:t>0</w:t>
            </w:r>
          </w:p>
        </w:tc>
        <w:tc>
          <w:tcPr>
            <w:tcW w:w="667" w:type="dxa"/>
          </w:tcPr>
          <w:p>
            <w:pPr>
              <w:pStyle w:val="TableParagraph"/>
              <w:spacing w:before="3"/>
              <w:jc w:val="left"/>
              <w:rPr>
                <w:sz w:val="17"/>
              </w:rPr>
            </w:pPr>
          </w:p>
          <w:p>
            <w:pPr>
              <w:pStyle w:val="TableParagraph"/>
              <w:spacing w:before="0"/>
              <w:ind w:right="64"/>
              <w:rPr>
                <w:sz w:val="16"/>
              </w:rPr>
            </w:pPr>
            <w:r>
              <w:rPr>
                <w:sz w:val="16"/>
              </w:rPr>
              <w:t>346.71</w:t>
            </w:r>
          </w:p>
        </w:tc>
        <w:tc>
          <w:tcPr>
            <w:tcW w:w="665" w:type="dxa"/>
          </w:tcPr>
          <w:p>
            <w:pPr>
              <w:pStyle w:val="TableParagraph"/>
              <w:spacing w:before="3"/>
              <w:jc w:val="left"/>
              <w:rPr>
                <w:sz w:val="17"/>
              </w:rPr>
            </w:pPr>
          </w:p>
          <w:p>
            <w:pPr>
              <w:pStyle w:val="TableParagraph"/>
              <w:spacing w:before="0"/>
              <w:ind w:right="68"/>
              <w:rPr>
                <w:sz w:val="16"/>
              </w:rPr>
            </w:pPr>
            <w:r>
              <w:rPr>
                <w:sz w:val="16"/>
              </w:rPr>
              <w:t>639.71</w:t>
            </w:r>
          </w:p>
        </w:tc>
        <w:tc>
          <w:tcPr>
            <w:tcW w:w="544" w:type="dxa"/>
          </w:tcPr>
          <w:p>
            <w:pPr>
              <w:pStyle w:val="TableParagraph"/>
              <w:spacing w:before="3"/>
              <w:jc w:val="left"/>
              <w:rPr>
                <w:sz w:val="17"/>
              </w:rPr>
            </w:pPr>
          </w:p>
          <w:p>
            <w:pPr>
              <w:pStyle w:val="TableParagraph"/>
              <w:spacing w:before="0"/>
              <w:ind w:left="92" w:right="10"/>
              <w:jc w:val="center"/>
              <w:rPr>
                <w:sz w:val="16"/>
              </w:rPr>
            </w:pPr>
            <w:r>
              <w:rPr>
                <w:sz w:val="16"/>
              </w:rPr>
              <w:t>1193</w:t>
            </w:r>
          </w:p>
        </w:tc>
        <w:tc>
          <w:tcPr>
            <w:tcW w:w="678" w:type="dxa"/>
          </w:tcPr>
          <w:p>
            <w:pPr>
              <w:pStyle w:val="TableParagraph"/>
              <w:spacing w:before="3"/>
              <w:jc w:val="left"/>
              <w:rPr>
                <w:sz w:val="17"/>
              </w:rPr>
            </w:pPr>
          </w:p>
          <w:p>
            <w:pPr>
              <w:pStyle w:val="TableParagraph"/>
              <w:spacing w:before="0"/>
              <w:ind w:right="69"/>
              <w:rPr>
                <w:sz w:val="16"/>
              </w:rPr>
            </w:pPr>
            <w:r>
              <w:rPr>
                <w:sz w:val="16"/>
              </w:rPr>
              <w:t>235.66</w:t>
            </w:r>
          </w:p>
        </w:tc>
        <w:tc>
          <w:tcPr>
            <w:tcW w:w="595" w:type="dxa"/>
          </w:tcPr>
          <w:p>
            <w:pPr>
              <w:pStyle w:val="TableParagraph"/>
              <w:spacing w:before="3"/>
              <w:jc w:val="left"/>
              <w:rPr>
                <w:sz w:val="17"/>
              </w:rPr>
            </w:pPr>
          </w:p>
          <w:p>
            <w:pPr>
              <w:pStyle w:val="TableParagraph"/>
              <w:spacing w:before="0"/>
              <w:ind w:right="64"/>
              <w:rPr>
                <w:sz w:val="16"/>
              </w:rPr>
            </w:pPr>
            <w:r>
              <w:rPr>
                <w:w w:val="95"/>
                <w:sz w:val="16"/>
              </w:rPr>
              <w:t>7.55</w:t>
            </w:r>
          </w:p>
        </w:tc>
        <w:tc>
          <w:tcPr>
            <w:tcW w:w="595" w:type="dxa"/>
          </w:tcPr>
          <w:p>
            <w:pPr>
              <w:pStyle w:val="TableParagraph"/>
              <w:spacing w:before="3"/>
              <w:jc w:val="left"/>
              <w:rPr>
                <w:sz w:val="17"/>
              </w:rPr>
            </w:pPr>
          </w:p>
          <w:p>
            <w:pPr>
              <w:pStyle w:val="TableParagraph"/>
              <w:spacing w:before="0"/>
              <w:ind w:right="69"/>
              <w:rPr>
                <w:sz w:val="16"/>
              </w:rPr>
            </w:pPr>
            <w:r>
              <w:rPr>
                <w:w w:val="95"/>
                <w:sz w:val="16"/>
              </w:rPr>
              <w:t>2.54</w:t>
            </w:r>
          </w:p>
        </w:tc>
        <w:tc>
          <w:tcPr>
            <w:tcW w:w="545" w:type="dxa"/>
          </w:tcPr>
          <w:p>
            <w:pPr>
              <w:pStyle w:val="TableParagraph"/>
              <w:spacing w:before="3"/>
              <w:jc w:val="left"/>
              <w:rPr>
                <w:sz w:val="17"/>
              </w:rPr>
            </w:pPr>
          </w:p>
          <w:p>
            <w:pPr>
              <w:pStyle w:val="TableParagraph"/>
              <w:spacing w:before="0"/>
              <w:ind w:right="66"/>
              <w:rPr>
                <w:sz w:val="16"/>
              </w:rPr>
            </w:pPr>
            <w:r>
              <w:rPr>
                <w:w w:val="95"/>
                <w:sz w:val="16"/>
              </w:rPr>
              <w:t>0.19</w:t>
            </w:r>
          </w:p>
        </w:tc>
        <w:tc>
          <w:tcPr>
            <w:tcW w:w="598" w:type="dxa"/>
          </w:tcPr>
          <w:p>
            <w:pPr>
              <w:pStyle w:val="TableParagraph"/>
              <w:spacing w:before="3"/>
              <w:jc w:val="left"/>
              <w:rPr>
                <w:sz w:val="17"/>
              </w:rPr>
            </w:pPr>
          </w:p>
          <w:p>
            <w:pPr>
              <w:pStyle w:val="TableParagraph"/>
              <w:spacing w:before="0"/>
              <w:ind w:right="69"/>
              <w:rPr>
                <w:sz w:val="16"/>
              </w:rPr>
            </w:pPr>
            <w:r>
              <w:rPr>
                <w:w w:val="95"/>
                <w:sz w:val="16"/>
              </w:rPr>
              <w:t>2.77</w:t>
            </w:r>
          </w:p>
        </w:tc>
        <w:tc>
          <w:tcPr>
            <w:tcW w:w="593" w:type="dxa"/>
          </w:tcPr>
          <w:p>
            <w:pPr>
              <w:pStyle w:val="TableParagraph"/>
              <w:spacing w:before="3"/>
              <w:jc w:val="left"/>
              <w:rPr>
                <w:sz w:val="17"/>
              </w:rPr>
            </w:pPr>
          </w:p>
          <w:p>
            <w:pPr>
              <w:pStyle w:val="TableParagraph"/>
              <w:spacing w:before="0"/>
              <w:ind w:right="67"/>
              <w:rPr>
                <w:sz w:val="16"/>
              </w:rPr>
            </w:pPr>
            <w:r>
              <w:rPr>
                <w:sz w:val="16"/>
              </w:rPr>
              <w:t>141.5</w:t>
            </w:r>
          </w:p>
        </w:tc>
        <w:tc>
          <w:tcPr>
            <w:tcW w:w="830" w:type="dxa"/>
          </w:tcPr>
          <w:p>
            <w:pPr>
              <w:pStyle w:val="TableParagraph"/>
              <w:spacing w:before="3"/>
              <w:jc w:val="left"/>
              <w:rPr>
                <w:sz w:val="17"/>
              </w:rPr>
            </w:pPr>
          </w:p>
          <w:p>
            <w:pPr>
              <w:pStyle w:val="TableParagraph"/>
              <w:spacing w:before="0"/>
              <w:ind w:right="66"/>
              <w:rPr>
                <w:sz w:val="16"/>
              </w:rPr>
            </w:pPr>
            <w:r>
              <w:rPr>
                <w:w w:val="95"/>
                <w:sz w:val="16"/>
              </w:rPr>
              <w:t>3.24</w:t>
            </w:r>
          </w:p>
        </w:tc>
        <w:tc>
          <w:tcPr>
            <w:tcW w:w="821" w:type="dxa"/>
          </w:tcPr>
          <w:p>
            <w:pPr>
              <w:pStyle w:val="TableParagraph"/>
              <w:spacing w:before="3"/>
              <w:jc w:val="left"/>
              <w:rPr>
                <w:sz w:val="17"/>
              </w:rPr>
            </w:pPr>
          </w:p>
          <w:p>
            <w:pPr>
              <w:pStyle w:val="TableParagraph"/>
              <w:spacing w:before="0"/>
              <w:ind w:right="71"/>
              <w:rPr>
                <w:sz w:val="16"/>
              </w:rPr>
            </w:pPr>
            <w:r>
              <w:rPr>
                <w:w w:val="95"/>
                <w:sz w:val="16"/>
              </w:rPr>
              <w:t>1.1</w:t>
            </w:r>
          </w:p>
        </w:tc>
        <w:tc>
          <w:tcPr>
            <w:tcW w:w="831" w:type="dxa"/>
          </w:tcPr>
          <w:p>
            <w:pPr>
              <w:pStyle w:val="TableParagraph"/>
              <w:spacing w:before="3"/>
              <w:jc w:val="left"/>
              <w:rPr>
                <w:sz w:val="17"/>
              </w:rPr>
            </w:pPr>
          </w:p>
          <w:p>
            <w:pPr>
              <w:pStyle w:val="TableParagraph"/>
              <w:spacing w:before="0"/>
              <w:ind w:right="66"/>
              <w:rPr>
                <w:sz w:val="16"/>
              </w:rPr>
            </w:pPr>
            <w:r>
              <w:rPr>
                <w:w w:val="95"/>
                <w:sz w:val="16"/>
              </w:rPr>
              <w:t>0.58</w:t>
            </w:r>
          </w:p>
        </w:tc>
        <w:tc>
          <w:tcPr>
            <w:tcW w:w="726" w:type="dxa"/>
          </w:tcPr>
          <w:p>
            <w:pPr>
              <w:pStyle w:val="TableParagraph"/>
              <w:spacing w:before="3"/>
              <w:jc w:val="left"/>
              <w:rPr>
                <w:sz w:val="17"/>
              </w:rPr>
            </w:pPr>
          </w:p>
          <w:p>
            <w:pPr>
              <w:pStyle w:val="TableParagraph"/>
              <w:spacing w:before="0"/>
              <w:ind w:right="33"/>
              <w:rPr>
                <w:sz w:val="16"/>
              </w:rPr>
            </w:pPr>
            <w:r>
              <w:rPr>
                <w:w w:val="99"/>
                <w:sz w:val="16"/>
              </w:rPr>
              <w:t>0</w:t>
            </w:r>
          </w:p>
        </w:tc>
      </w:tr>
    </w:tbl>
    <w:p>
      <w:pPr>
        <w:spacing w:before="22"/>
        <w:ind w:left="148" w:right="0" w:firstLine="0"/>
        <w:jc w:val="left"/>
        <w:rPr>
          <w:sz w:val="16"/>
        </w:rPr>
      </w:pPr>
      <w:r>
        <w:rPr>
          <w:sz w:val="16"/>
        </w:rPr>
        <w:t>SWAT Mar 4 2014    VER 2012/Rev 622</w:t>
      </w:r>
    </w:p>
    <w:p>
      <w:pPr>
        <w:pStyle w:val="BodyText"/>
        <w:rPr>
          <w:sz w:val="16"/>
        </w:rPr>
      </w:pPr>
    </w:p>
    <w:p>
      <w:pPr>
        <w:pStyle w:val="BodyText"/>
        <w:spacing w:before="2"/>
        <w:rPr>
          <w:sz w:val="20"/>
        </w:rPr>
      </w:pPr>
    </w:p>
    <w:p>
      <w:pPr>
        <w:spacing w:before="0"/>
        <w:ind w:left="302" w:right="0" w:firstLine="0"/>
        <w:jc w:val="left"/>
        <w:rPr>
          <w:sz w:val="16"/>
        </w:rPr>
      </w:pPr>
      <w:r>
        <w:rPr>
          <w:sz w:val="16"/>
        </w:rPr>
        <w:t>General Input/Output section (file.cio):</w:t>
      </w:r>
    </w:p>
    <w:p>
      <w:pPr>
        <w:spacing w:before="114"/>
        <w:ind w:left="302" w:right="0" w:firstLine="0"/>
        <w:jc w:val="left"/>
        <w:rPr>
          <w:sz w:val="16"/>
        </w:rPr>
      </w:pPr>
      <w:r>
        <w:rPr>
          <w:sz w:val="16"/>
        </w:rPr>
        <w:t>10/28/2014 12:00:00 AM ARCGIS-SWAT interface AV</w:t>
      </w:r>
    </w:p>
    <w:p>
      <w:pPr>
        <w:pStyle w:val="BodyText"/>
        <w:rPr>
          <w:sz w:val="16"/>
        </w:rPr>
      </w:pPr>
    </w:p>
    <w:p>
      <w:pPr>
        <w:spacing w:before="117"/>
        <w:ind w:left="148" w:right="9539" w:firstLine="0"/>
        <w:jc w:val="left"/>
        <w:rPr>
          <w:sz w:val="16"/>
        </w:rPr>
      </w:pPr>
      <w:r>
        <w:rPr>
          <w:sz w:val="16"/>
        </w:rPr>
        <w:t>Annual Summary for Watershed in year 7 of simulation</w:t>
      </w:r>
    </w:p>
    <w:p>
      <w:pPr>
        <w:spacing w:after="0"/>
        <w:jc w:val="left"/>
        <w:rPr>
          <w:sz w:val="16"/>
        </w:rPr>
        <w:sectPr>
          <w:pgSz w:w="15840" w:h="12240" w:orient="landscape"/>
          <w:pgMar w:header="0" w:footer="1414" w:top="1140" w:bottom="1600" w:left="1340" w:right="1300"/>
        </w:sectPr>
      </w:pPr>
    </w:p>
    <w:p>
      <w:pPr>
        <w:pStyle w:val="BodyText"/>
        <w:spacing w:before="5"/>
        <w:rPr>
          <w:sz w:val="25"/>
        </w:rPr>
      </w:pP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85"/>
        <w:gridCol w:w="716"/>
        <w:gridCol w:w="718"/>
        <w:gridCol w:w="554"/>
        <w:gridCol w:w="538"/>
        <w:gridCol w:w="669"/>
        <w:gridCol w:w="535"/>
        <w:gridCol w:w="667"/>
        <w:gridCol w:w="665"/>
        <w:gridCol w:w="544"/>
        <w:gridCol w:w="679"/>
        <w:gridCol w:w="594"/>
        <w:gridCol w:w="595"/>
        <w:gridCol w:w="545"/>
        <w:gridCol w:w="598"/>
        <w:gridCol w:w="593"/>
        <w:gridCol w:w="830"/>
        <w:gridCol w:w="821"/>
        <w:gridCol w:w="831"/>
        <w:gridCol w:w="891"/>
      </w:tblGrid>
      <w:tr>
        <w:trPr>
          <w:trHeight w:val="358" w:hRule="exact"/>
        </w:trPr>
        <w:tc>
          <w:tcPr>
            <w:tcW w:w="685" w:type="dxa"/>
          </w:tcPr>
          <w:p>
            <w:pPr>
              <w:pStyle w:val="TableParagraph"/>
              <w:spacing w:before="4"/>
              <w:jc w:val="left"/>
              <w:rPr>
                <w:sz w:val="14"/>
              </w:rPr>
            </w:pPr>
          </w:p>
          <w:p>
            <w:pPr>
              <w:pStyle w:val="TableParagraph"/>
              <w:spacing w:before="0"/>
              <w:ind w:right="107"/>
              <w:rPr>
                <w:sz w:val="16"/>
              </w:rPr>
            </w:pPr>
            <w:r>
              <w:rPr>
                <w:sz w:val="16"/>
              </w:rPr>
              <w:t>UNIT</w:t>
            </w:r>
          </w:p>
        </w:tc>
        <w:tc>
          <w:tcPr>
            <w:tcW w:w="716" w:type="dxa"/>
          </w:tcPr>
          <w:p>
            <w:pPr/>
          </w:p>
        </w:tc>
        <w:tc>
          <w:tcPr>
            <w:tcW w:w="718" w:type="dxa"/>
          </w:tcPr>
          <w:p>
            <w:pPr/>
          </w:p>
        </w:tc>
        <w:tc>
          <w:tcPr>
            <w:tcW w:w="554" w:type="dxa"/>
          </w:tcPr>
          <w:p>
            <w:pPr/>
          </w:p>
        </w:tc>
        <w:tc>
          <w:tcPr>
            <w:tcW w:w="538" w:type="dxa"/>
          </w:tcPr>
          <w:p>
            <w:pPr/>
          </w:p>
        </w:tc>
        <w:tc>
          <w:tcPr>
            <w:tcW w:w="669" w:type="dxa"/>
          </w:tcPr>
          <w:p>
            <w:pPr>
              <w:pStyle w:val="TableParagraph"/>
              <w:spacing w:before="4"/>
              <w:jc w:val="left"/>
              <w:rPr>
                <w:sz w:val="14"/>
              </w:rPr>
            </w:pPr>
          </w:p>
          <w:p>
            <w:pPr>
              <w:pStyle w:val="TableParagraph"/>
              <w:spacing w:before="0"/>
              <w:ind w:left="70"/>
              <w:jc w:val="left"/>
              <w:rPr>
                <w:sz w:val="16"/>
              </w:rPr>
            </w:pPr>
            <w:r>
              <w:rPr>
                <w:sz w:val="16"/>
              </w:rPr>
              <w:t>PERCO</w:t>
            </w:r>
          </w:p>
        </w:tc>
        <w:tc>
          <w:tcPr>
            <w:tcW w:w="535" w:type="dxa"/>
          </w:tcPr>
          <w:p>
            <w:pPr>
              <w:pStyle w:val="TableParagraph"/>
              <w:spacing w:before="4"/>
              <w:jc w:val="left"/>
              <w:rPr>
                <w:sz w:val="14"/>
              </w:rPr>
            </w:pPr>
          </w:p>
          <w:p>
            <w:pPr>
              <w:pStyle w:val="TableParagraph"/>
              <w:spacing w:before="0"/>
              <w:ind w:left="68"/>
              <w:jc w:val="left"/>
              <w:rPr>
                <w:sz w:val="16"/>
              </w:rPr>
            </w:pPr>
            <w:r>
              <w:rPr>
                <w:sz w:val="16"/>
              </w:rPr>
              <w:t>TILE</w:t>
            </w:r>
          </w:p>
        </w:tc>
        <w:tc>
          <w:tcPr>
            <w:tcW w:w="667" w:type="dxa"/>
          </w:tcPr>
          <w:p>
            <w:pPr/>
          </w:p>
        </w:tc>
        <w:tc>
          <w:tcPr>
            <w:tcW w:w="665" w:type="dxa"/>
          </w:tcPr>
          <w:p>
            <w:pPr/>
          </w:p>
        </w:tc>
        <w:tc>
          <w:tcPr>
            <w:tcW w:w="544" w:type="dxa"/>
          </w:tcPr>
          <w:p>
            <w:pPr/>
          </w:p>
        </w:tc>
        <w:tc>
          <w:tcPr>
            <w:tcW w:w="679" w:type="dxa"/>
          </w:tcPr>
          <w:p>
            <w:pPr>
              <w:pStyle w:val="TableParagraph"/>
              <w:spacing w:line="162" w:lineRule="exact" w:before="0"/>
              <w:ind w:left="67"/>
              <w:jc w:val="left"/>
              <w:rPr>
                <w:sz w:val="16"/>
              </w:rPr>
            </w:pPr>
            <w:r>
              <w:rPr>
                <w:sz w:val="16"/>
              </w:rPr>
              <w:t>WATE</w:t>
            </w:r>
          </w:p>
          <w:p>
            <w:pPr>
              <w:pStyle w:val="TableParagraph"/>
              <w:spacing w:before="3"/>
              <w:ind w:left="67"/>
              <w:jc w:val="left"/>
              <w:rPr>
                <w:sz w:val="16"/>
              </w:rPr>
            </w:pPr>
            <w:r>
              <w:rPr>
                <w:w w:val="99"/>
                <w:sz w:val="16"/>
              </w:rPr>
              <w:t>R</w:t>
            </w:r>
          </w:p>
        </w:tc>
        <w:tc>
          <w:tcPr>
            <w:tcW w:w="594" w:type="dxa"/>
          </w:tcPr>
          <w:p>
            <w:pPr>
              <w:pStyle w:val="TableParagraph"/>
              <w:spacing w:before="4"/>
              <w:jc w:val="left"/>
              <w:rPr>
                <w:sz w:val="14"/>
              </w:rPr>
            </w:pPr>
          </w:p>
          <w:p>
            <w:pPr>
              <w:pStyle w:val="TableParagraph"/>
              <w:spacing w:before="0"/>
              <w:ind w:left="69"/>
              <w:jc w:val="left"/>
              <w:rPr>
                <w:sz w:val="16"/>
              </w:rPr>
            </w:pPr>
            <w:r>
              <w:rPr>
                <w:sz w:val="16"/>
              </w:rPr>
              <w:t>SED</w:t>
            </w:r>
          </w:p>
        </w:tc>
        <w:tc>
          <w:tcPr>
            <w:tcW w:w="595" w:type="dxa"/>
          </w:tcPr>
          <w:p>
            <w:pPr>
              <w:pStyle w:val="TableParagraph"/>
              <w:spacing w:before="4"/>
              <w:jc w:val="left"/>
              <w:rPr>
                <w:sz w:val="14"/>
              </w:rPr>
            </w:pPr>
          </w:p>
          <w:p>
            <w:pPr>
              <w:pStyle w:val="TableParagraph"/>
              <w:spacing w:before="0"/>
              <w:ind w:left="66"/>
              <w:jc w:val="left"/>
              <w:rPr>
                <w:sz w:val="16"/>
              </w:rPr>
            </w:pPr>
            <w:r>
              <w:rPr>
                <w:sz w:val="16"/>
              </w:rPr>
              <w:t>NO3</w:t>
            </w:r>
          </w:p>
        </w:tc>
        <w:tc>
          <w:tcPr>
            <w:tcW w:w="545" w:type="dxa"/>
          </w:tcPr>
          <w:p>
            <w:pPr>
              <w:pStyle w:val="TableParagraph"/>
              <w:spacing w:before="4"/>
              <w:jc w:val="left"/>
              <w:rPr>
                <w:sz w:val="14"/>
              </w:rPr>
            </w:pPr>
          </w:p>
          <w:p>
            <w:pPr>
              <w:pStyle w:val="TableParagraph"/>
              <w:spacing w:before="0"/>
              <w:ind w:left="71"/>
              <w:jc w:val="left"/>
              <w:rPr>
                <w:sz w:val="16"/>
              </w:rPr>
            </w:pPr>
            <w:r>
              <w:rPr>
                <w:sz w:val="16"/>
              </w:rPr>
              <w:t>NO3</w:t>
            </w:r>
          </w:p>
        </w:tc>
        <w:tc>
          <w:tcPr>
            <w:tcW w:w="598" w:type="dxa"/>
          </w:tcPr>
          <w:p>
            <w:pPr>
              <w:pStyle w:val="TableParagraph"/>
              <w:spacing w:before="4"/>
              <w:jc w:val="left"/>
              <w:rPr>
                <w:sz w:val="14"/>
              </w:rPr>
            </w:pPr>
          </w:p>
          <w:p>
            <w:pPr>
              <w:pStyle w:val="TableParagraph"/>
              <w:spacing w:before="0"/>
              <w:ind w:left="68"/>
              <w:jc w:val="left"/>
              <w:rPr>
                <w:sz w:val="16"/>
              </w:rPr>
            </w:pPr>
            <w:r>
              <w:rPr>
                <w:sz w:val="16"/>
              </w:rPr>
              <w:t>NO3</w:t>
            </w:r>
          </w:p>
        </w:tc>
        <w:tc>
          <w:tcPr>
            <w:tcW w:w="593" w:type="dxa"/>
          </w:tcPr>
          <w:p>
            <w:pPr>
              <w:pStyle w:val="TableParagraph"/>
              <w:spacing w:before="4"/>
              <w:jc w:val="left"/>
              <w:rPr>
                <w:sz w:val="14"/>
              </w:rPr>
            </w:pPr>
          </w:p>
          <w:p>
            <w:pPr>
              <w:pStyle w:val="TableParagraph"/>
              <w:spacing w:before="0"/>
              <w:ind w:left="71"/>
              <w:jc w:val="left"/>
              <w:rPr>
                <w:sz w:val="16"/>
              </w:rPr>
            </w:pPr>
            <w:r>
              <w:rPr>
                <w:sz w:val="16"/>
              </w:rPr>
              <w:t>NO3</w:t>
            </w:r>
          </w:p>
        </w:tc>
        <w:tc>
          <w:tcPr>
            <w:tcW w:w="830" w:type="dxa"/>
          </w:tcPr>
          <w:p>
            <w:pPr>
              <w:pStyle w:val="TableParagraph"/>
              <w:spacing w:before="4"/>
              <w:jc w:val="left"/>
              <w:rPr>
                <w:sz w:val="14"/>
              </w:rPr>
            </w:pPr>
          </w:p>
          <w:p>
            <w:pPr>
              <w:pStyle w:val="TableParagraph"/>
              <w:spacing w:before="0"/>
              <w:ind w:left="68"/>
              <w:jc w:val="left"/>
              <w:rPr>
                <w:sz w:val="16"/>
              </w:rPr>
            </w:pPr>
            <w:r>
              <w:rPr>
                <w:w w:val="98"/>
                <w:sz w:val="16"/>
              </w:rPr>
              <w:t>N</w:t>
            </w:r>
          </w:p>
        </w:tc>
        <w:tc>
          <w:tcPr>
            <w:tcW w:w="821" w:type="dxa"/>
          </w:tcPr>
          <w:p>
            <w:pPr>
              <w:pStyle w:val="TableParagraph"/>
              <w:spacing w:before="4"/>
              <w:jc w:val="left"/>
              <w:rPr>
                <w:sz w:val="14"/>
              </w:rPr>
            </w:pPr>
          </w:p>
          <w:p>
            <w:pPr>
              <w:pStyle w:val="TableParagraph"/>
              <w:spacing w:before="0"/>
              <w:ind w:left="68"/>
              <w:jc w:val="left"/>
              <w:rPr>
                <w:sz w:val="16"/>
              </w:rPr>
            </w:pPr>
            <w:r>
              <w:rPr>
                <w:w w:val="98"/>
                <w:sz w:val="16"/>
              </w:rPr>
              <w:t>P</w:t>
            </w:r>
          </w:p>
        </w:tc>
        <w:tc>
          <w:tcPr>
            <w:tcW w:w="831" w:type="dxa"/>
          </w:tcPr>
          <w:p>
            <w:pPr>
              <w:pStyle w:val="TableParagraph"/>
              <w:spacing w:before="4"/>
              <w:jc w:val="left"/>
              <w:rPr>
                <w:sz w:val="14"/>
              </w:rPr>
            </w:pPr>
          </w:p>
          <w:p>
            <w:pPr>
              <w:pStyle w:val="TableParagraph"/>
              <w:spacing w:before="0"/>
              <w:ind w:left="68"/>
              <w:jc w:val="left"/>
              <w:rPr>
                <w:sz w:val="16"/>
              </w:rPr>
            </w:pPr>
            <w:r>
              <w:rPr>
                <w:w w:val="98"/>
                <w:sz w:val="16"/>
              </w:rPr>
              <w:t>P</w:t>
            </w:r>
          </w:p>
        </w:tc>
        <w:tc>
          <w:tcPr>
            <w:tcW w:w="891" w:type="dxa"/>
          </w:tcPr>
          <w:p>
            <w:pPr/>
          </w:p>
        </w:tc>
      </w:tr>
      <w:tr>
        <w:trPr>
          <w:trHeight w:val="368" w:hRule="exact"/>
        </w:trPr>
        <w:tc>
          <w:tcPr>
            <w:tcW w:w="685" w:type="dxa"/>
          </w:tcPr>
          <w:p>
            <w:pPr>
              <w:pStyle w:val="TableParagraph"/>
              <w:spacing w:before="0"/>
              <w:jc w:val="left"/>
              <w:rPr>
                <w:sz w:val="15"/>
              </w:rPr>
            </w:pPr>
          </w:p>
          <w:p>
            <w:pPr>
              <w:pStyle w:val="TableParagraph"/>
              <w:spacing w:before="0"/>
              <w:ind w:right="93"/>
              <w:rPr>
                <w:sz w:val="16"/>
              </w:rPr>
            </w:pPr>
            <w:r>
              <w:rPr>
                <w:w w:val="95"/>
                <w:sz w:val="16"/>
              </w:rPr>
              <w:t>TIME</w:t>
            </w:r>
          </w:p>
        </w:tc>
        <w:tc>
          <w:tcPr>
            <w:tcW w:w="716" w:type="dxa"/>
          </w:tcPr>
          <w:p>
            <w:pPr>
              <w:pStyle w:val="TableParagraph"/>
              <w:spacing w:before="0"/>
              <w:jc w:val="left"/>
              <w:rPr>
                <w:sz w:val="15"/>
              </w:rPr>
            </w:pPr>
          </w:p>
          <w:p>
            <w:pPr>
              <w:pStyle w:val="TableParagraph"/>
              <w:spacing w:before="0"/>
              <w:ind w:left="67"/>
              <w:jc w:val="left"/>
              <w:rPr>
                <w:sz w:val="16"/>
              </w:rPr>
            </w:pPr>
            <w:r>
              <w:rPr>
                <w:sz w:val="16"/>
              </w:rPr>
              <w:t>PREC</w:t>
            </w:r>
          </w:p>
        </w:tc>
        <w:tc>
          <w:tcPr>
            <w:tcW w:w="718" w:type="dxa"/>
          </w:tcPr>
          <w:p>
            <w:pPr>
              <w:pStyle w:val="TableParagraph"/>
              <w:spacing w:before="0"/>
              <w:jc w:val="left"/>
              <w:rPr>
                <w:sz w:val="15"/>
              </w:rPr>
            </w:pPr>
          </w:p>
          <w:p>
            <w:pPr>
              <w:pStyle w:val="TableParagraph"/>
              <w:spacing w:before="0"/>
              <w:ind w:left="71"/>
              <w:jc w:val="left"/>
              <w:rPr>
                <w:sz w:val="16"/>
              </w:rPr>
            </w:pPr>
            <w:r>
              <w:rPr>
                <w:sz w:val="16"/>
              </w:rPr>
              <w:t>SURQ</w:t>
            </w:r>
          </w:p>
        </w:tc>
        <w:tc>
          <w:tcPr>
            <w:tcW w:w="554" w:type="dxa"/>
          </w:tcPr>
          <w:p>
            <w:pPr>
              <w:pStyle w:val="TableParagraph"/>
              <w:spacing w:line="237" w:lineRule="auto" w:before="0"/>
              <w:ind w:left="68" w:right="170"/>
              <w:jc w:val="left"/>
              <w:rPr>
                <w:sz w:val="16"/>
              </w:rPr>
            </w:pPr>
            <w:r>
              <w:rPr>
                <w:w w:val="95"/>
                <w:sz w:val="16"/>
              </w:rPr>
              <w:t>LAT </w:t>
            </w:r>
            <w:r>
              <w:rPr>
                <w:sz w:val="16"/>
              </w:rPr>
              <w:t>Q</w:t>
            </w:r>
          </w:p>
        </w:tc>
        <w:tc>
          <w:tcPr>
            <w:tcW w:w="538" w:type="dxa"/>
          </w:tcPr>
          <w:p>
            <w:pPr>
              <w:pStyle w:val="TableParagraph"/>
              <w:spacing w:before="0"/>
              <w:jc w:val="left"/>
              <w:rPr>
                <w:sz w:val="15"/>
              </w:rPr>
            </w:pPr>
          </w:p>
          <w:p>
            <w:pPr>
              <w:pStyle w:val="TableParagraph"/>
              <w:spacing w:before="0"/>
              <w:ind w:right="87"/>
              <w:rPr>
                <w:sz w:val="16"/>
              </w:rPr>
            </w:pPr>
            <w:r>
              <w:rPr>
                <w:w w:val="95"/>
                <w:sz w:val="16"/>
              </w:rPr>
              <w:t>GWQ</w:t>
            </w:r>
          </w:p>
        </w:tc>
        <w:tc>
          <w:tcPr>
            <w:tcW w:w="669" w:type="dxa"/>
          </w:tcPr>
          <w:p>
            <w:pPr>
              <w:pStyle w:val="TableParagraph"/>
              <w:spacing w:before="0"/>
              <w:jc w:val="left"/>
              <w:rPr>
                <w:sz w:val="15"/>
              </w:rPr>
            </w:pPr>
          </w:p>
          <w:p>
            <w:pPr>
              <w:pStyle w:val="TableParagraph"/>
              <w:spacing w:before="0"/>
              <w:ind w:left="70"/>
              <w:jc w:val="left"/>
              <w:rPr>
                <w:sz w:val="16"/>
              </w:rPr>
            </w:pPr>
            <w:r>
              <w:rPr>
                <w:sz w:val="16"/>
              </w:rPr>
              <w:t>LATE</w:t>
            </w:r>
          </w:p>
        </w:tc>
        <w:tc>
          <w:tcPr>
            <w:tcW w:w="535" w:type="dxa"/>
          </w:tcPr>
          <w:p>
            <w:pPr>
              <w:pStyle w:val="TableParagraph"/>
              <w:spacing w:before="0"/>
              <w:jc w:val="left"/>
              <w:rPr>
                <w:sz w:val="15"/>
              </w:rPr>
            </w:pPr>
          </w:p>
          <w:p>
            <w:pPr>
              <w:pStyle w:val="TableParagraph"/>
              <w:spacing w:before="0"/>
              <w:ind w:left="68"/>
              <w:jc w:val="left"/>
              <w:rPr>
                <w:sz w:val="16"/>
              </w:rPr>
            </w:pPr>
            <w:r>
              <w:rPr>
                <w:w w:val="98"/>
                <w:sz w:val="16"/>
              </w:rPr>
              <w:t>Q</w:t>
            </w:r>
          </w:p>
        </w:tc>
        <w:tc>
          <w:tcPr>
            <w:tcW w:w="667" w:type="dxa"/>
          </w:tcPr>
          <w:p>
            <w:pPr>
              <w:pStyle w:val="TableParagraph"/>
              <w:spacing w:before="0"/>
              <w:jc w:val="left"/>
              <w:rPr>
                <w:sz w:val="15"/>
              </w:rPr>
            </w:pPr>
          </w:p>
          <w:p>
            <w:pPr>
              <w:pStyle w:val="TableParagraph"/>
              <w:spacing w:before="0"/>
              <w:ind w:left="70"/>
              <w:jc w:val="left"/>
              <w:rPr>
                <w:sz w:val="16"/>
              </w:rPr>
            </w:pPr>
            <w:r>
              <w:rPr>
                <w:sz w:val="16"/>
              </w:rPr>
              <w:t>SW</w:t>
            </w:r>
          </w:p>
        </w:tc>
        <w:tc>
          <w:tcPr>
            <w:tcW w:w="665" w:type="dxa"/>
          </w:tcPr>
          <w:p>
            <w:pPr>
              <w:pStyle w:val="TableParagraph"/>
              <w:spacing w:before="0"/>
              <w:jc w:val="left"/>
              <w:rPr>
                <w:sz w:val="15"/>
              </w:rPr>
            </w:pPr>
          </w:p>
          <w:p>
            <w:pPr>
              <w:pStyle w:val="TableParagraph"/>
              <w:spacing w:before="0"/>
              <w:ind w:left="66"/>
              <w:jc w:val="left"/>
              <w:rPr>
                <w:sz w:val="16"/>
              </w:rPr>
            </w:pPr>
            <w:r>
              <w:rPr>
                <w:sz w:val="16"/>
              </w:rPr>
              <w:t>ET</w:t>
            </w:r>
          </w:p>
        </w:tc>
        <w:tc>
          <w:tcPr>
            <w:tcW w:w="544" w:type="dxa"/>
          </w:tcPr>
          <w:p>
            <w:pPr>
              <w:pStyle w:val="TableParagraph"/>
              <w:spacing w:before="0"/>
              <w:jc w:val="left"/>
              <w:rPr>
                <w:sz w:val="15"/>
              </w:rPr>
            </w:pPr>
          </w:p>
          <w:p>
            <w:pPr>
              <w:pStyle w:val="TableParagraph"/>
              <w:spacing w:before="0"/>
              <w:ind w:left="68"/>
              <w:jc w:val="left"/>
              <w:rPr>
                <w:sz w:val="16"/>
              </w:rPr>
            </w:pPr>
            <w:r>
              <w:rPr>
                <w:sz w:val="16"/>
              </w:rPr>
              <w:t>PET</w:t>
            </w:r>
          </w:p>
        </w:tc>
        <w:tc>
          <w:tcPr>
            <w:tcW w:w="679" w:type="dxa"/>
          </w:tcPr>
          <w:p>
            <w:pPr>
              <w:pStyle w:val="TableParagraph"/>
              <w:spacing w:before="0"/>
              <w:jc w:val="left"/>
              <w:rPr>
                <w:sz w:val="15"/>
              </w:rPr>
            </w:pPr>
          </w:p>
          <w:p>
            <w:pPr>
              <w:pStyle w:val="TableParagraph"/>
              <w:spacing w:before="0"/>
              <w:ind w:left="67"/>
              <w:jc w:val="left"/>
              <w:rPr>
                <w:sz w:val="16"/>
              </w:rPr>
            </w:pPr>
            <w:r>
              <w:rPr>
                <w:sz w:val="16"/>
              </w:rPr>
              <w:t>YIELD</w:t>
            </w:r>
          </w:p>
        </w:tc>
        <w:tc>
          <w:tcPr>
            <w:tcW w:w="594" w:type="dxa"/>
          </w:tcPr>
          <w:p>
            <w:pPr>
              <w:pStyle w:val="TableParagraph"/>
              <w:spacing w:line="237" w:lineRule="auto" w:before="0"/>
              <w:ind w:left="69" w:right="158"/>
              <w:jc w:val="left"/>
              <w:rPr>
                <w:sz w:val="16"/>
              </w:rPr>
            </w:pPr>
            <w:r>
              <w:rPr>
                <w:w w:val="95"/>
                <w:sz w:val="16"/>
              </w:rPr>
              <w:t>YIEL </w:t>
            </w:r>
            <w:r>
              <w:rPr>
                <w:sz w:val="16"/>
              </w:rPr>
              <w:t>D</w:t>
            </w:r>
          </w:p>
        </w:tc>
        <w:tc>
          <w:tcPr>
            <w:tcW w:w="595" w:type="dxa"/>
          </w:tcPr>
          <w:p>
            <w:pPr>
              <w:pStyle w:val="TableParagraph"/>
              <w:spacing w:before="0"/>
              <w:jc w:val="left"/>
              <w:rPr>
                <w:sz w:val="15"/>
              </w:rPr>
            </w:pPr>
          </w:p>
          <w:p>
            <w:pPr>
              <w:pStyle w:val="TableParagraph"/>
              <w:spacing w:before="0"/>
              <w:ind w:left="66"/>
              <w:jc w:val="left"/>
              <w:rPr>
                <w:sz w:val="16"/>
              </w:rPr>
            </w:pPr>
            <w:r>
              <w:rPr>
                <w:sz w:val="16"/>
              </w:rPr>
              <w:t>SURQ</w:t>
            </w:r>
          </w:p>
        </w:tc>
        <w:tc>
          <w:tcPr>
            <w:tcW w:w="545" w:type="dxa"/>
          </w:tcPr>
          <w:p>
            <w:pPr>
              <w:pStyle w:val="TableParagraph"/>
              <w:spacing w:line="237" w:lineRule="auto" w:before="0"/>
              <w:ind w:left="71" w:right="158"/>
              <w:jc w:val="left"/>
              <w:rPr>
                <w:sz w:val="16"/>
              </w:rPr>
            </w:pPr>
            <w:r>
              <w:rPr>
                <w:w w:val="95"/>
                <w:sz w:val="16"/>
              </w:rPr>
              <w:t>LAT </w:t>
            </w:r>
            <w:r>
              <w:rPr>
                <w:sz w:val="16"/>
              </w:rPr>
              <w:t>Q</w:t>
            </w:r>
          </w:p>
        </w:tc>
        <w:tc>
          <w:tcPr>
            <w:tcW w:w="598" w:type="dxa"/>
          </w:tcPr>
          <w:p>
            <w:pPr>
              <w:pStyle w:val="TableParagraph"/>
              <w:spacing w:before="0"/>
              <w:jc w:val="left"/>
              <w:rPr>
                <w:sz w:val="15"/>
              </w:rPr>
            </w:pPr>
          </w:p>
          <w:p>
            <w:pPr>
              <w:pStyle w:val="TableParagraph"/>
              <w:spacing w:before="0"/>
              <w:ind w:left="68"/>
              <w:jc w:val="left"/>
              <w:rPr>
                <w:sz w:val="16"/>
              </w:rPr>
            </w:pPr>
            <w:r>
              <w:rPr>
                <w:sz w:val="16"/>
              </w:rPr>
              <w:t>PERC</w:t>
            </w:r>
          </w:p>
        </w:tc>
        <w:tc>
          <w:tcPr>
            <w:tcW w:w="593" w:type="dxa"/>
          </w:tcPr>
          <w:p>
            <w:pPr>
              <w:pStyle w:val="TableParagraph"/>
              <w:spacing w:before="0"/>
              <w:jc w:val="left"/>
              <w:rPr>
                <w:sz w:val="15"/>
              </w:rPr>
            </w:pPr>
          </w:p>
          <w:p>
            <w:pPr>
              <w:pStyle w:val="TableParagraph"/>
              <w:spacing w:before="0"/>
              <w:ind w:left="71"/>
              <w:jc w:val="left"/>
              <w:rPr>
                <w:sz w:val="16"/>
              </w:rPr>
            </w:pPr>
            <w:r>
              <w:rPr>
                <w:sz w:val="16"/>
              </w:rPr>
              <w:t>CROP</w:t>
            </w:r>
          </w:p>
        </w:tc>
        <w:tc>
          <w:tcPr>
            <w:tcW w:w="830" w:type="dxa"/>
          </w:tcPr>
          <w:p>
            <w:pPr>
              <w:pStyle w:val="TableParagraph"/>
              <w:spacing w:line="237" w:lineRule="auto" w:before="0"/>
              <w:ind w:left="68" w:right="84"/>
              <w:jc w:val="left"/>
              <w:rPr>
                <w:sz w:val="16"/>
              </w:rPr>
            </w:pPr>
            <w:r>
              <w:rPr>
                <w:w w:val="95"/>
                <w:sz w:val="16"/>
              </w:rPr>
              <w:t>ORGANI </w:t>
            </w:r>
            <w:r>
              <w:rPr>
                <w:sz w:val="16"/>
              </w:rPr>
              <w:t>C</w:t>
            </w:r>
          </w:p>
        </w:tc>
        <w:tc>
          <w:tcPr>
            <w:tcW w:w="821" w:type="dxa"/>
          </w:tcPr>
          <w:p>
            <w:pPr>
              <w:pStyle w:val="TableParagraph"/>
              <w:spacing w:line="237" w:lineRule="auto" w:before="0"/>
              <w:ind w:left="68" w:right="84"/>
              <w:jc w:val="left"/>
              <w:rPr>
                <w:sz w:val="16"/>
              </w:rPr>
            </w:pPr>
            <w:r>
              <w:rPr>
                <w:w w:val="95"/>
                <w:sz w:val="16"/>
              </w:rPr>
              <w:t>SOLUBL </w:t>
            </w:r>
            <w:r>
              <w:rPr>
                <w:sz w:val="16"/>
              </w:rPr>
              <w:t>E</w:t>
            </w:r>
          </w:p>
        </w:tc>
        <w:tc>
          <w:tcPr>
            <w:tcW w:w="831" w:type="dxa"/>
          </w:tcPr>
          <w:p>
            <w:pPr>
              <w:pStyle w:val="TableParagraph"/>
              <w:spacing w:line="237" w:lineRule="auto" w:before="0"/>
              <w:ind w:left="68" w:right="84"/>
              <w:jc w:val="left"/>
              <w:rPr>
                <w:sz w:val="16"/>
              </w:rPr>
            </w:pPr>
            <w:r>
              <w:rPr>
                <w:w w:val="95"/>
                <w:sz w:val="16"/>
              </w:rPr>
              <w:t>ORGANI </w:t>
            </w:r>
            <w:r>
              <w:rPr>
                <w:sz w:val="16"/>
              </w:rPr>
              <w:t>C</w:t>
            </w:r>
          </w:p>
        </w:tc>
        <w:tc>
          <w:tcPr>
            <w:tcW w:w="891" w:type="dxa"/>
          </w:tcPr>
          <w:p>
            <w:pPr>
              <w:pStyle w:val="TableParagraph"/>
              <w:spacing w:line="237" w:lineRule="auto" w:before="0"/>
              <w:ind w:left="68" w:right="214"/>
              <w:jc w:val="left"/>
              <w:rPr>
                <w:sz w:val="16"/>
              </w:rPr>
            </w:pPr>
            <w:r>
              <w:rPr>
                <w:w w:val="95"/>
                <w:sz w:val="16"/>
              </w:rPr>
              <w:t>TILENO </w:t>
            </w:r>
            <w:r>
              <w:rPr>
                <w:sz w:val="16"/>
              </w:rPr>
              <w:t>3</w:t>
            </w:r>
          </w:p>
        </w:tc>
      </w:tr>
      <w:tr>
        <w:trPr>
          <w:trHeight w:val="427" w:hRule="exact"/>
        </w:trPr>
        <w:tc>
          <w:tcPr>
            <w:tcW w:w="685" w:type="dxa"/>
          </w:tcPr>
          <w:p>
            <w:pPr/>
          </w:p>
        </w:tc>
        <w:tc>
          <w:tcPr>
            <w:tcW w:w="716" w:type="dxa"/>
          </w:tcPr>
          <w:p>
            <w:pPr>
              <w:pStyle w:val="TableParagraph"/>
              <w:spacing w:before="2"/>
              <w:jc w:val="left"/>
              <w:rPr>
                <w:sz w:val="15"/>
              </w:rPr>
            </w:pPr>
          </w:p>
          <w:p>
            <w:pPr>
              <w:pStyle w:val="TableParagraph"/>
              <w:spacing w:before="0"/>
              <w:ind w:left="67"/>
              <w:jc w:val="left"/>
              <w:rPr>
                <w:sz w:val="16"/>
              </w:rPr>
            </w:pPr>
            <w:r>
              <w:rPr>
                <w:sz w:val="16"/>
              </w:rPr>
              <w:t>(mm)</w:t>
            </w:r>
          </w:p>
        </w:tc>
        <w:tc>
          <w:tcPr>
            <w:tcW w:w="718" w:type="dxa"/>
          </w:tcPr>
          <w:p>
            <w:pPr>
              <w:pStyle w:val="TableParagraph"/>
              <w:spacing w:before="2"/>
              <w:jc w:val="left"/>
              <w:rPr>
                <w:sz w:val="15"/>
              </w:rPr>
            </w:pPr>
          </w:p>
          <w:p>
            <w:pPr>
              <w:pStyle w:val="TableParagraph"/>
              <w:spacing w:before="0"/>
              <w:ind w:left="71"/>
              <w:jc w:val="left"/>
              <w:rPr>
                <w:sz w:val="16"/>
              </w:rPr>
            </w:pPr>
            <w:r>
              <w:rPr>
                <w:sz w:val="16"/>
              </w:rPr>
              <w:t>(mm)</w:t>
            </w:r>
          </w:p>
        </w:tc>
        <w:tc>
          <w:tcPr>
            <w:tcW w:w="554" w:type="dxa"/>
          </w:tcPr>
          <w:p>
            <w:pPr>
              <w:pStyle w:val="TableParagraph"/>
              <w:spacing w:before="2"/>
              <w:jc w:val="left"/>
              <w:rPr>
                <w:sz w:val="15"/>
              </w:rPr>
            </w:pPr>
          </w:p>
          <w:p>
            <w:pPr>
              <w:pStyle w:val="TableParagraph"/>
              <w:spacing w:before="0"/>
              <w:ind w:left="68"/>
              <w:jc w:val="left"/>
              <w:rPr>
                <w:sz w:val="16"/>
              </w:rPr>
            </w:pPr>
            <w:r>
              <w:rPr>
                <w:sz w:val="16"/>
              </w:rPr>
              <w:t>(mm)</w:t>
            </w:r>
          </w:p>
        </w:tc>
        <w:tc>
          <w:tcPr>
            <w:tcW w:w="538" w:type="dxa"/>
          </w:tcPr>
          <w:p>
            <w:pPr>
              <w:pStyle w:val="TableParagraph"/>
              <w:spacing w:before="2"/>
              <w:jc w:val="left"/>
              <w:rPr>
                <w:sz w:val="15"/>
              </w:rPr>
            </w:pPr>
          </w:p>
          <w:p>
            <w:pPr>
              <w:pStyle w:val="TableParagraph"/>
              <w:spacing w:before="0"/>
              <w:ind w:right="114"/>
              <w:rPr>
                <w:sz w:val="16"/>
              </w:rPr>
            </w:pPr>
            <w:r>
              <w:rPr>
                <w:w w:val="95"/>
                <w:sz w:val="16"/>
              </w:rPr>
              <w:t>(mm)</w:t>
            </w:r>
          </w:p>
        </w:tc>
        <w:tc>
          <w:tcPr>
            <w:tcW w:w="669" w:type="dxa"/>
          </w:tcPr>
          <w:p>
            <w:pPr>
              <w:pStyle w:val="TableParagraph"/>
              <w:spacing w:before="2"/>
              <w:jc w:val="left"/>
              <w:rPr>
                <w:sz w:val="15"/>
              </w:rPr>
            </w:pPr>
          </w:p>
          <w:p>
            <w:pPr>
              <w:pStyle w:val="TableParagraph"/>
              <w:spacing w:before="0"/>
              <w:ind w:left="70"/>
              <w:jc w:val="left"/>
              <w:rPr>
                <w:sz w:val="16"/>
              </w:rPr>
            </w:pPr>
            <w:r>
              <w:rPr>
                <w:sz w:val="16"/>
              </w:rPr>
              <w:t>(mm)</w:t>
            </w:r>
          </w:p>
        </w:tc>
        <w:tc>
          <w:tcPr>
            <w:tcW w:w="535" w:type="dxa"/>
          </w:tcPr>
          <w:p>
            <w:pPr>
              <w:pStyle w:val="TableParagraph"/>
              <w:spacing w:before="2"/>
              <w:jc w:val="left"/>
              <w:rPr>
                <w:sz w:val="15"/>
              </w:rPr>
            </w:pPr>
          </w:p>
          <w:p>
            <w:pPr>
              <w:pStyle w:val="TableParagraph"/>
              <w:spacing w:before="0"/>
              <w:ind w:left="68"/>
              <w:jc w:val="left"/>
              <w:rPr>
                <w:sz w:val="16"/>
              </w:rPr>
            </w:pPr>
            <w:r>
              <w:rPr>
                <w:sz w:val="16"/>
              </w:rPr>
              <w:t>(mm)</w:t>
            </w:r>
          </w:p>
        </w:tc>
        <w:tc>
          <w:tcPr>
            <w:tcW w:w="667" w:type="dxa"/>
          </w:tcPr>
          <w:p>
            <w:pPr>
              <w:pStyle w:val="TableParagraph"/>
              <w:spacing w:before="2"/>
              <w:jc w:val="left"/>
              <w:rPr>
                <w:sz w:val="15"/>
              </w:rPr>
            </w:pPr>
          </w:p>
          <w:p>
            <w:pPr>
              <w:pStyle w:val="TableParagraph"/>
              <w:spacing w:before="0"/>
              <w:ind w:left="70"/>
              <w:jc w:val="left"/>
              <w:rPr>
                <w:sz w:val="16"/>
              </w:rPr>
            </w:pPr>
            <w:r>
              <w:rPr>
                <w:sz w:val="16"/>
              </w:rPr>
              <w:t>(mm)</w:t>
            </w:r>
          </w:p>
        </w:tc>
        <w:tc>
          <w:tcPr>
            <w:tcW w:w="665" w:type="dxa"/>
          </w:tcPr>
          <w:p>
            <w:pPr>
              <w:pStyle w:val="TableParagraph"/>
              <w:spacing w:before="2"/>
              <w:jc w:val="left"/>
              <w:rPr>
                <w:sz w:val="15"/>
              </w:rPr>
            </w:pPr>
          </w:p>
          <w:p>
            <w:pPr>
              <w:pStyle w:val="TableParagraph"/>
              <w:spacing w:before="0"/>
              <w:ind w:left="66"/>
              <w:jc w:val="left"/>
              <w:rPr>
                <w:sz w:val="16"/>
              </w:rPr>
            </w:pPr>
            <w:r>
              <w:rPr>
                <w:sz w:val="16"/>
              </w:rPr>
              <w:t>(mm)</w:t>
            </w:r>
          </w:p>
        </w:tc>
        <w:tc>
          <w:tcPr>
            <w:tcW w:w="544" w:type="dxa"/>
          </w:tcPr>
          <w:p>
            <w:pPr>
              <w:pStyle w:val="TableParagraph"/>
              <w:spacing w:before="2"/>
              <w:jc w:val="left"/>
              <w:rPr>
                <w:sz w:val="15"/>
              </w:rPr>
            </w:pPr>
          </w:p>
          <w:p>
            <w:pPr>
              <w:pStyle w:val="TableParagraph"/>
              <w:spacing w:before="0"/>
              <w:ind w:left="68"/>
              <w:jc w:val="left"/>
              <w:rPr>
                <w:sz w:val="16"/>
              </w:rPr>
            </w:pPr>
            <w:r>
              <w:rPr>
                <w:sz w:val="16"/>
              </w:rPr>
              <w:t>(mm)</w:t>
            </w:r>
          </w:p>
        </w:tc>
        <w:tc>
          <w:tcPr>
            <w:tcW w:w="679" w:type="dxa"/>
          </w:tcPr>
          <w:p>
            <w:pPr>
              <w:pStyle w:val="TableParagraph"/>
              <w:spacing w:before="2"/>
              <w:jc w:val="left"/>
              <w:rPr>
                <w:sz w:val="15"/>
              </w:rPr>
            </w:pPr>
          </w:p>
          <w:p>
            <w:pPr>
              <w:pStyle w:val="TableParagraph"/>
              <w:spacing w:before="0"/>
              <w:ind w:left="67" w:right="130"/>
              <w:jc w:val="left"/>
              <w:rPr>
                <w:sz w:val="16"/>
              </w:rPr>
            </w:pPr>
            <w:r>
              <w:rPr>
                <w:sz w:val="16"/>
              </w:rPr>
              <w:t>(mm)</w:t>
            </w:r>
          </w:p>
        </w:tc>
        <w:tc>
          <w:tcPr>
            <w:tcW w:w="594" w:type="dxa"/>
          </w:tcPr>
          <w:p>
            <w:pPr>
              <w:pStyle w:val="TableParagraph"/>
              <w:spacing w:before="2"/>
              <w:jc w:val="left"/>
              <w:rPr>
                <w:sz w:val="15"/>
              </w:rPr>
            </w:pPr>
          </w:p>
          <w:p>
            <w:pPr>
              <w:pStyle w:val="TableParagraph"/>
              <w:spacing w:before="0"/>
              <w:ind w:left="69"/>
              <w:jc w:val="left"/>
              <w:rPr>
                <w:sz w:val="16"/>
              </w:rPr>
            </w:pPr>
            <w:r>
              <w:rPr>
                <w:sz w:val="16"/>
              </w:rPr>
              <w:t>(mm)</w:t>
            </w:r>
          </w:p>
        </w:tc>
        <w:tc>
          <w:tcPr>
            <w:tcW w:w="595" w:type="dxa"/>
          </w:tcPr>
          <w:p>
            <w:pPr>
              <w:pStyle w:val="TableParagraph"/>
              <w:spacing w:before="2"/>
              <w:jc w:val="left"/>
              <w:rPr>
                <w:sz w:val="15"/>
              </w:rPr>
            </w:pPr>
          </w:p>
          <w:p>
            <w:pPr>
              <w:pStyle w:val="TableParagraph"/>
              <w:spacing w:before="0"/>
              <w:ind w:left="66"/>
              <w:jc w:val="left"/>
              <w:rPr>
                <w:sz w:val="16"/>
              </w:rPr>
            </w:pPr>
            <w:r>
              <w:rPr>
                <w:sz w:val="16"/>
              </w:rPr>
              <w:t>------</w:t>
            </w:r>
          </w:p>
        </w:tc>
        <w:tc>
          <w:tcPr>
            <w:tcW w:w="545" w:type="dxa"/>
          </w:tcPr>
          <w:p>
            <w:pPr>
              <w:pStyle w:val="TableParagraph"/>
              <w:spacing w:before="2"/>
              <w:jc w:val="left"/>
              <w:rPr>
                <w:sz w:val="15"/>
              </w:rPr>
            </w:pPr>
          </w:p>
          <w:p>
            <w:pPr>
              <w:pStyle w:val="TableParagraph"/>
              <w:spacing w:before="0"/>
              <w:ind w:left="71"/>
              <w:jc w:val="left"/>
              <w:rPr>
                <w:sz w:val="16"/>
              </w:rPr>
            </w:pPr>
            <w:r>
              <w:rPr>
                <w:sz w:val="16"/>
              </w:rPr>
              <w:t>-------</w:t>
            </w:r>
          </w:p>
        </w:tc>
        <w:tc>
          <w:tcPr>
            <w:tcW w:w="598" w:type="dxa"/>
          </w:tcPr>
          <w:p>
            <w:pPr>
              <w:pStyle w:val="TableParagraph"/>
              <w:spacing w:line="176" w:lineRule="exact" w:before="0"/>
              <w:ind w:left="68"/>
              <w:jc w:val="left"/>
              <w:rPr>
                <w:sz w:val="16"/>
              </w:rPr>
            </w:pPr>
            <w:r>
              <w:rPr>
                <w:sz w:val="16"/>
              </w:rPr>
              <w:t>-----</w:t>
            </w:r>
          </w:p>
          <w:p>
            <w:pPr>
              <w:pStyle w:val="TableParagraph"/>
              <w:spacing w:line="183" w:lineRule="exact" w:before="0"/>
              <w:ind w:left="68"/>
              <w:jc w:val="left"/>
              <w:rPr>
                <w:sz w:val="16"/>
              </w:rPr>
            </w:pPr>
            <w:r>
              <w:rPr>
                <w:sz w:val="16"/>
              </w:rPr>
              <w:t>(kg</w:t>
            </w:r>
          </w:p>
        </w:tc>
        <w:tc>
          <w:tcPr>
            <w:tcW w:w="593" w:type="dxa"/>
          </w:tcPr>
          <w:p>
            <w:pPr>
              <w:pStyle w:val="TableParagraph"/>
              <w:spacing w:line="237" w:lineRule="auto" w:before="0"/>
              <w:ind w:left="71" w:right="147"/>
              <w:jc w:val="left"/>
              <w:rPr>
                <w:sz w:val="16"/>
              </w:rPr>
            </w:pPr>
            <w:r>
              <w:rPr>
                <w:w w:val="95"/>
                <w:sz w:val="16"/>
              </w:rPr>
              <w:t>nutrie </w:t>
            </w:r>
            <w:r>
              <w:rPr>
                <w:sz w:val="16"/>
              </w:rPr>
              <w:t>n</w:t>
            </w:r>
          </w:p>
        </w:tc>
        <w:tc>
          <w:tcPr>
            <w:tcW w:w="830" w:type="dxa"/>
          </w:tcPr>
          <w:p>
            <w:pPr>
              <w:pStyle w:val="TableParagraph"/>
              <w:spacing w:line="176" w:lineRule="exact" w:before="0"/>
              <w:ind w:left="68"/>
              <w:jc w:val="left"/>
              <w:rPr>
                <w:sz w:val="16"/>
              </w:rPr>
            </w:pPr>
            <w:r>
              <w:rPr>
                <w:sz w:val="16"/>
              </w:rPr>
              <w:t>Ton/Ha)--</w:t>
            </w:r>
          </w:p>
          <w:p>
            <w:pPr>
              <w:pStyle w:val="TableParagraph"/>
              <w:spacing w:line="183" w:lineRule="exact" w:before="0"/>
              <w:ind w:left="68" w:right="84"/>
              <w:jc w:val="left"/>
              <w:rPr>
                <w:sz w:val="16"/>
              </w:rPr>
            </w:pPr>
            <w:r>
              <w:rPr>
                <w:sz w:val="16"/>
              </w:rPr>
              <w:t>--</w:t>
            </w:r>
          </w:p>
        </w:tc>
        <w:tc>
          <w:tcPr>
            <w:tcW w:w="821" w:type="dxa"/>
          </w:tcPr>
          <w:p>
            <w:pPr>
              <w:pStyle w:val="TableParagraph"/>
              <w:spacing w:before="2"/>
              <w:jc w:val="left"/>
              <w:rPr>
                <w:sz w:val="15"/>
              </w:rPr>
            </w:pPr>
          </w:p>
          <w:p>
            <w:pPr>
              <w:pStyle w:val="TableParagraph"/>
              <w:spacing w:before="0"/>
              <w:ind w:left="68" w:right="84"/>
              <w:jc w:val="left"/>
              <w:rPr>
                <w:sz w:val="16"/>
              </w:rPr>
            </w:pPr>
            <w:r>
              <w:rPr>
                <w:sz w:val="16"/>
              </w:rPr>
              <w:t>--------</w:t>
            </w:r>
          </w:p>
        </w:tc>
        <w:tc>
          <w:tcPr>
            <w:tcW w:w="831" w:type="dxa"/>
          </w:tcPr>
          <w:p>
            <w:pPr>
              <w:pStyle w:val="TableParagraph"/>
              <w:spacing w:before="2"/>
              <w:jc w:val="left"/>
              <w:rPr>
                <w:sz w:val="15"/>
              </w:rPr>
            </w:pPr>
          </w:p>
          <w:p>
            <w:pPr>
              <w:pStyle w:val="TableParagraph"/>
              <w:spacing w:before="0"/>
              <w:ind w:left="68" w:right="84"/>
              <w:jc w:val="left"/>
              <w:rPr>
                <w:sz w:val="16"/>
              </w:rPr>
            </w:pPr>
            <w:r>
              <w:rPr>
                <w:sz w:val="16"/>
              </w:rPr>
              <w:t>--------</w:t>
            </w:r>
          </w:p>
        </w:tc>
        <w:tc>
          <w:tcPr>
            <w:tcW w:w="891" w:type="dxa"/>
          </w:tcPr>
          <w:p>
            <w:pPr>
              <w:pStyle w:val="TableParagraph"/>
              <w:spacing w:before="2"/>
              <w:jc w:val="left"/>
              <w:rPr>
                <w:sz w:val="15"/>
              </w:rPr>
            </w:pPr>
          </w:p>
          <w:p>
            <w:pPr>
              <w:pStyle w:val="TableParagraph"/>
              <w:spacing w:before="0"/>
              <w:ind w:left="68" w:right="214"/>
              <w:jc w:val="left"/>
              <w:rPr>
                <w:sz w:val="16"/>
              </w:rPr>
            </w:pPr>
            <w:r>
              <w:rPr>
                <w:sz w:val="16"/>
              </w:rPr>
              <w:t>(kg/ha)</w:t>
            </w:r>
          </w:p>
        </w:tc>
      </w:tr>
      <w:tr>
        <w:trPr>
          <w:trHeight w:val="300" w:hRule="exact"/>
        </w:trPr>
        <w:tc>
          <w:tcPr>
            <w:tcW w:w="685" w:type="dxa"/>
          </w:tcPr>
          <w:p>
            <w:pPr>
              <w:pStyle w:val="TableParagraph"/>
              <w:spacing w:before="50"/>
              <w:ind w:right="72"/>
              <w:rPr>
                <w:sz w:val="16"/>
              </w:rPr>
            </w:pPr>
            <w:r>
              <w:rPr>
                <w:w w:val="99"/>
                <w:sz w:val="16"/>
              </w:rPr>
              <w:t>1</w:t>
            </w:r>
          </w:p>
        </w:tc>
        <w:tc>
          <w:tcPr>
            <w:tcW w:w="716" w:type="dxa"/>
          </w:tcPr>
          <w:p>
            <w:pPr>
              <w:pStyle w:val="TableParagraph"/>
              <w:spacing w:before="50"/>
              <w:ind w:right="69"/>
              <w:rPr>
                <w:sz w:val="16"/>
              </w:rPr>
            </w:pPr>
            <w:r>
              <w:rPr>
                <w:sz w:val="16"/>
              </w:rPr>
              <w:t>14.58</w:t>
            </w:r>
          </w:p>
        </w:tc>
        <w:tc>
          <w:tcPr>
            <w:tcW w:w="718" w:type="dxa"/>
          </w:tcPr>
          <w:p>
            <w:pPr>
              <w:pStyle w:val="TableParagraph"/>
              <w:spacing w:before="50"/>
              <w:ind w:right="66"/>
              <w:rPr>
                <w:sz w:val="16"/>
              </w:rPr>
            </w:pPr>
            <w:r>
              <w:rPr>
                <w:w w:val="95"/>
                <w:sz w:val="16"/>
              </w:rPr>
              <w:t>0.27</w:t>
            </w:r>
          </w:p>
        </w:tc>
        <w:tc>
          <w:tcPr>
            <w:tcW w:w="554" w:type="dxa"/>
          </w:tcPr>
          <w:p>
            <w:pPr>
              <w:pStyle w:val="TableParagraph"/>
              <w:spacing w:before="50"/>
              <w:ind w:right="69"/>
              <w:rPr>
                <w:sz w:val="16"/>
              </w:rPr>
            </w:pPr>
            <w:r>
              <w:rPr>
                <w:w w:val="95"/>
                <w:sz w:val="16"/>
              </w:rPr>
              <w:t>0.65</w:t>
            </w:r>
          </w:p>
        </w:tc>
        <w:tc>
          <w:tcPr>
            <w:tcW w:w="538" w:type="dxa"/>
          </w:tcPr>
          <w:p>
            <w:pPr>
              <w:pStyle w:val="TableParagraph"/>
              <w:spacing w:before="50"/>
              <w:ind w:right="68"/>
              <w:rPr>
                <w:sz w:val="16"/>
              </w:rPr>
            </w:pPr>
            <w:r>
              <w:rPr>
                <w:w w:val="99"/>
                <w:sz w:val="16"/>
              </w:rPr>
              <w:t>0</w:t>
            </w:r>
          </w:p>
        </w:tc>
        <w:tc>
          <w:tcPr>
            <w:tcW w:w="669" w:type="dxa"/>
          </w:tcPr>
          <w:p>
            <w:pPr>
              <w:pStyle w:val="TableParagraph"/>
              <w:spacing w:before="50"/>
              <w:ind w:right="66"/>
              <w:rPr>
                <w:sz w:val="16"/>
              </w:rPr>
            </w:pPr>
            <w:r>
              <w:rPr>
                <w:w w:val="95"/>
                <w:sz w:val="16"/>
              </w:rPr>
              <w:t>0.03</w:t>
            </w:r>
          </w:p>
        </w:tc>
        <w:tc>
          <w:tcPr>
            <w:tcW w:w="535" w:type="dxa"/>
          </w:tcPr>
          <w:p>
            <w:pPr>
              <w:pStyle w:val="TableParagraph"/>
              <w:spacing w:before="50"/>
              <w:ind w:right="68"/>
              <w:rPr>
                <w:sz w:val="16"/>
              </w:rPr>
            </w:pPr>
            <w:r>
              <w:rPr>
                <w:w w:val="99"/>
                <w:sz w:val="16"/>
              </w:rPr>
              <w:t>0</w:t>
            </w:r>
          </w:p>
        </w:tc>
        <w:tc>
          <w:tcPr>
            <w:tcW w:w="667" w:type="dxa"/>
          </w:tcPr>
          <w:p>
            <w:pPr>
              <w:pStyle w:val="TableParagraph"/>
              <w:spacing w:before="50"/>
              <w:ind w:right="64"/>
              <w:rPr>
                <w:sz w:val="16"/>
              </w:rPr>
            </w:pPr>
            <w:r>
              <w:rPr>
                <w:sz w:val="16"/>
              </w:rPr>
              <w:t>348.07</w:t>
            </w:r>
          </w:p>
        </w:tc>
        <w:tc>
          <w:tcPr>
            <w:tcW w:w="665" w:type="dxa"/>
          </w:tcPr>
          <w:p>
            <w:pPr>
              <w:pStyle w:val="TableParagraph"/>
              <w:spacing w:before="50"/>
              <w:ind w:right="66"/>
              <w:rPr>
                <w:sz w:val="16"/>
              </w:rPr>
            </w:pPr>
            <w:r>
              <w:rPr>
                <w:sz w:val="16"/>
              </w:rPr>
              <w:t>12.79</w:t>
            </w:r>
          </w:p>
        </w:tc>
        <w:tc>
          <w:tcPr>
            <w:tcW w:w="544" w:type="dxa"/>
          </w:tcPr>
          <w:p>
            <w:pPr>
              <w:pStyle w:val="TableParagraph"/>
              <w:spacing w:before="50"/>
              <w:ind w:left="111"/>
              <w:jc w:val="left"/>
              <w:rPr>
                <w:sz w:val="16"/>
              </w:rPr>
            </w:pPr>
            <w:r>
              <w:rPr>
                <w:sz w:val="16"/>
              </w:rPr>
              <w:t>77.98</w:t>
            </w:r>
          </w:p>
        </w:tc>
        <w:tc>
          <w:tcPr>
            <w:tcW w:w="679" w:type="dxa"/>
          </w:tcPr>
          <w:p>
            <w:pPr>
              <w:pStyle w:val="TableParagraph"/>
              <w:spacing w:before="50"/>
              <w:ind w:right="70"/>
              <w:rPr>
                <w:sz w:val="16"/>
              </w:rPr>
            </w:pPr>
            <w:r>
              <w:rPr>
                <w:sz w:val="16"/>
              </w:rPr>
              <w:t>11.58</w:t>
            </w:r>
          </w:p>
        </w:tc>
        <w:tc>
          <w:tcPr>
            <w:tcW w:w="594" w:type="dxa"/>
          </w:tcPr>
          <w:p>
            <w:pPr>
              <w:pStyle w:val="TableParagraph"/>
              <w:spacing w:before="50"/>
              <w:ind w:right="64"/>
              <w:rPr>
                <w:sz w:val="16"/>
              </w:rPr>
            </w:pPr>
            <w:r>
              <w:rPr>
                <w:w w:val="95"/>
                <w:sz w:val="16"/>
              </w:rPr>
              <w:t>0.01</w:t>
            </w:r>
          </w:p>
        </w:tc>
        <w:tc>
          <w:tcPr>
            <w:tcW w:w="595" w:type="dxa"/>
          </w:tcPr>
          <w:p>
            <w:pPr>
              <w:pStyle w:val="TableParagraph"/>
              <w:spacing w:before="50"/>
              <w:ind w:right="69"/>
              <w:rPr>
                <w:sz w:val="16"/>
              </w:rPr>
            </w:pPr>
            <w:r>
              <w:rPr>
                <w:w w:val="95"/>
                <w:sz w:val="16"/>
              </w:rPr>
              <w:t>0.02</w:t>
            </w:r>
          </w:p>
        </w:tc>
        <w:tc>
          <w:tcPr>
            <w:tcW w:w="545" w:type="dxa"/>
          </w:tcPr>
          <w:p>
            <w:pPr>
              <w:pStyle w:val="TableParagraph"/>
              <w:spacing w:before="50"/>
              <w:ind w:right="66"/>
              <w:rPr>
                <w:sz w:val="16"/>
              </w:rPr>
            </w:pPr>
            <w:r>
              <w:rPr>
                <w:w w:val="95"/>
                <w:sz w:val="16"/>
              </w:rPr>
              <w:t>0.01</w:t>
            </w:r>
          </w:p>
        </w:tc>
        <w:tc>
          <w:tcPr>
            <w:tcW w:w="598" w:type="dxa"/>
          </w:tcPr>
          <w:p>
            <w:pPr>
              <w:pStyle w:val="TableParagraph"/>
              <w:spacing w:before="50"/>
              <w:ind w:right="73"/>
              <w:rPr>
                <w:sz w:val="16"/>
              </w:rPr>
            </w:pPr>
            <w:r>
              <w:rPr>
                <w:w w:val="99"/>
                <w:sz w:val="16"/>
              </w:rPr>
              <w:t>0</w:t>
            </w:r>
          </w:p>
        </w:tc>
        <w:tc>
          <w:tcPr>
            <w:tcW w:w="593" w:type="dxa"/>
          </w:tcPr>
          <w:p>
            <w:pPr>
              <w:pStyle w:val="TableParagraph"/>
              <w:spacing w:before="50"/>
              <w:ind w:right="72"/>
              <w:rPr>
                <w:sz w:val="16"/>
              </w:rPr>
            </w:pPr>
            <w:r>
              <w:rPr>
                <w:w w:val="99"/>
                <w:sz w:val="16"/>
              </w:rPr>
              <w:t>0</w:t>
            </w:r>
          </w:p>
        </w:tc>
        <w:tc>
          <w:tcPr>
            <w:tcW w:w="830" w:type="dxa"/>
          </w:tcPr>
          <w:p>
            <w:pPr>
              <w:pStyle w:val="TableParagraph"/>
              <w:spacing w:before="50"/>
              <w:ind w:right="72"/>
              <w:rPr>
                <w:sz w:val="16"/>
              </w:rPr>
            </w:pPr>
            <w:r>
              <w:rPr>
                <w:w w:val="99"/>
                <w:sz w:val="16"/>
              </w:rPr>
              <w:t>0</w:t>
            </w:r>
          </w:p>
        </w:tc>
        <w:tc>
          <w:tcPr>
            <w:tcW w:w="821" w:type="dxa"/>
          </w:tcPr>
          <w:p>
            <w:pPr>
              <w:pStyle w:val="TableParagraph"/>
              <w:spacing w:before="50"/>
              <w:ind w:right="70"/>
              <w:rPr>
                <w:sz w:val="16"/>
              </w:rPr>
            </w:pPr>
            <w:r>
              <w:rPr>
                <w:w w:val="99"/>
                <w:sz w:val="16"/>
              </w:rPr>
              <w:t>0</w:t>
            </w:r>
          </w:p>
        </w:tc>
        <w:tc>
          <w:tcPr>
            <w:tcW w:w="831" w:type="dxa"/>
          </w:tcPr>
          <w:p>
            <w:pPr>
              <w:pStyle w:val="TableParagraph"/>
              <w:spacing w:before="50"/>
              <w:ind w:right="72"/>
              <w:rPr>
                <w:sz w:val="16"/>
              </w:rPr>
            </w:pPr>
            <w:r>
              <w:rPr>
                <w:w w:val="99"/>
                <w:sz w:val="16"/>
              </w:rPr>
              <w:t>0</w:t>
            </w:r>
          </w:p>
        </w:tc>
        <w:tc>
          <w:tcPr>
            <w:tcW w:w="891" w:type="dxa"/>
          </w:tcPr>
          <w:p>
            <w:pPr>
              <w:pStyle w:val="TableParagraph"/>
              <w:spacing w:before="50"/>
              <w:ind w:right="198"/>
              <w:rPr>
                <w:sz w:val="16"/>
              </w:rPr>
            </w:pPr>
            <w:r>
              <w:rPr>
                <w:w w:val="99"/>
                <w:sz w:val="16"/>
              </w:rPr>
              <w:t>0</w:t>
            </w:r>
          </w:p>
        </w:tc>
      </w:tr>
      <w:tr>
        <w:trPr>
          <w:trHeight w:val="300" w:hRule="exact"/>
        </w:trPr>
        <w:tc>
          <w:tcPr>
            <w:tcW w:w="685" w:type="dxa"/>
          </w:tcPr>
          <w:p>
            <w:pPr>
              <w:pStyle w:val="TableParagraph"/>
              <w:spacing w:before="47"/>
              <w:ind w:right="72"/>
              <w:rPr>
                <w:sz w:val="16"/>
              </w:rPr>
            </w:pPr>
            <w:r>
              <w:rPr>
                <w:w w:val="99"/>
                <w:sz w:val="16"/>
              </w:rPr>
              <w:t>2</w:t>
            </w:r>
          </w:p>
        </w:tc>
        <w:tc>
          <w:tcPr>
            <w:tcW w:w="716" w:type="dxa"/>
          </w:tcPr>
          <w:p>
            <w:pPr>
              <w:pStyle w:val="TableParagraph"/>
              <w:spacing w:before="47"/>
              <w:ind w:right="69"/>
              <w:rPr>
                <w:sz w:val="16"/>
              </w:rPr>
            </w:pPr>
            <w:r>
              <w:rPr>
                <w:w w:val="95"/>
                <w:sz w:val="16"/>
              </w:rPr>
              <w:t>6.22</w:t>
            </w:r>
          </w:p>
        </w:tc>
        <w:tc>
          <w:tcPr>
            <w:tcW w:w="718" w:type="dxa"/>
          </w:tcPr>
          <w:p>
            <w:pPr>
              <w:pStyle w:val="TableParagraph"/>
              <w:spacing w:before="47"/>
              <w:ind w:right="66"/>
              <w:rPr>
                <w:sz w:val="16"/>
              </w:rPr>
            </w:pPr>
            <w:r>
              <w:rPr>
                <w:w w:val="95"/>
                <w:sz w:val="16"/>
              </w:rPr>
              <w:t>0.47</w:t>
            </w:r>
          </w:p>
        </w:tc>
        <w:tc>
          <w:tcPr>
            <w:tcW w:w="554" w:type="dxa"/>
          </w:tcPr>
          <w:p>
            <w:pPr>
              <w:pStyle w:val="TableParagraph"/>
              <w:spacing w:before="47"/>
              <w:ind w:right="69"/>
              <w:rPr>
                <w:sz w:val="16"/>
              </w:rPr>
            </w:pPr>
            <w:r>
              <w:rPr>
                <w:w w:val="95"/>
                <w:sz w:val="16"/>
              </w:rPr>
              <w:t>0.48</w:t>
            </w:r>
          </w:p>
        </w:tc>
        <w:tc>
          <w:tcPr>
            <w:tcW w:w="538" w:type="dxa"/>
          </w:tcPr>
          <w:p>
            <w:pPr>
              <w:pStyle w:val="TableParagraph"/>
              <w:spacing w:before="47"/>
              <w:ind w:right="68"/>
              <w:rPr>
                <w:sz w:val="16"/>
              </w:rPr>
            </w:pPr>
            <w:r>
              <w:rPr>
                <w:w w:val="99"/>
                <w:sz w:val="16"/>
              </w:rPr>
              <w:t>0</w:t>
            </w:r>
          </w:p>
        </w:tc>
        <w:tc>
          <w:tcPr>
            <w:tcW w:w="669" w:type="dxa"/>
          </w:tcPr>
          <w:p>
            <w:pPr>
              <w:pStyle w:val="TableParagraph"/>
              <w:spacing w:before="47"/>
              <w:ind w:right="66"/>
              <w:rPr>
                <w:sz w:val="16"/>
              </w:rPr>
            </w:pPr>
            <w:r>
              <w:rPr>
                <w:w w:val="95"/>
                <w:sz w:val="16"/>
              </w:rPr>
              <w:t>0.06</w:t>
            </w:r>
          </w:p>
        </w:tc>
        <w:tc>
          <w:tcPr>
            <w:tcW w:w="535" w:type="dxa"/>
          </w:tcPr>
          <w:p>
            <w:pPr>
              <w:pStyle w:val="TableParagraph"/>
              <w:spacing w:before="47"/>
              <w:ind w:right="68"/>
              <w:rPr>
                <w:sz w:val="16"/>
              </w:rPr>
            </w:pPr>
            <w:r>
              <w:rPr>
                <w:w w:val="99"/>
                <w:sz w:val="16"/>
              </w:rPr>
              <w:t>0</w:t>
            </w:r>
          </w:p>
        </w:tc>
        <w:tc>
          <w:tcPr>
            <w:tcW w:w="667" w:type="dxa"/>
          </w:tcPr>
          <w:p>
            <w:pPr>
              <w:pStyle w:val="TableParagraph"/>
              <w:spacing w:before="47"/>
              <w:ind w:right="64"/>
              <w:rPr>
                <w:sz w:val="16"/>
              </w:rPr>
            </w:pPr>
            <w:r>
              <w:rPr>
                <w:sz w:val="16"/>
              </w:rPr>
              <w:t>340.52</w:t>
            </w:r>
          </w:p>
        </w:tc>
        <w:tc>
          <w:tcPr>
            <w:tcW w:w="665" w:type="dxa"/>
          </w:tcPr>
          <w:p>
            <w:pPr>
              <w:pStyle w:val="TableParagraph"/>
              <w:spacing w:before="47"/>
              <w:ind w:right="66"/>
              <w:rPr>
                <w:sz w:val="16"/>
              </w:rPr>
            </w:pPr>
            <w:r>
              <w:rPr>
                <w:sz w:val="16"/>
              </w:rPr>
              <w:t>13.18</w:t>
            </w:r>
          </w:p>
        </w:tc>
        <w:tc>
          <w:tcPr>
            <w:tcW w:w="544" w:type="dxa"/>
          </w:tcPr>
          <w:p>
            <w:pPr>
              <w:pStyle w:val="TableParagraph"/>
              <w:spacing w:before="47"/>
              <w:ind w:left="111"/>
              <w:jc w:val="left"/>
              <w:rPr>
                <w:sz w:val="16"/>
              </w:rPr>
            </w:pPr>
            <w:r>
              <w:rPr>
                <w:sz w:val="16"/>
              </w:rPr>
              <w:t>88.58</w:t>
            </w:r>
          </w:p>
        </w:tc>
        <w:tc>
          <w:tcPr>
            <w:tcW w:w="679" w:type="dxa"/>
          </w:tcPr>
          <w:p>
            <w:pPr>
              <w:pStyle w:val="TableParagraph"/>
              <w:spacing w:before="47"/>
              <w:ind w:right="70"/>
              <w:rPr>
                <w:sz w:val="16"/>
              </w:rPr>
            </w:pPr>
            <w:r>
              <w:rPr>
                <w:w w:val="95"/>
                <w:sz w:val="16"/>
              </w:rPr>
              <w:t>9.74</w:t>
            </w:r>
          </w:p>
        </w:tc>
        <w:tc>
          <w:tcPr>
            <w:tcW w:w="594" w:type="dxa"/>
          </w:tcPr>
          <w:p>
            <w:pPr>
              <w:pStyle w:val="TableParagraph"/>
              <w:spacing w:before="47"/>
              <w:ind w:right="64"/>
              <w:rPr>
                <w:sz w:val="16"/>
              </w:rPr>
            </w:pPr>
            <w:r>
              <w:rPr>
                <w:w w:val="95"/>
                <w:sz w:val="16"/>
              </w:rPr>
              <w:t>0.01</w:t>
            </w:r>
          </w:p>
        </w:tc>
        <w:tc>
          <w:tcPr>
            <w:tcW w:w="595" w:type="dxa"/>
          </w:tcPr>
          <w:p>
            <w:pPr>
              <w:pStyle w:val="TableParagraph"/>
              <w:spacing w:before="47"/>
              <w:ind w:right="69"/>
              <w:rPr>
                <w:sz w:val="16"/>
              </w:rPr>
            </w:pPr>
            <w:r>
              <w:rPr>
                <w:w w:val="95"/>
                <w:sz w:val="16"/>
              </w:rPr>
              <w:t>0.02</w:t>
            </w:r>
          </w:p>
        </w:tc>
        <w:tc>
          <w:tcPr>
            <w:tcW w:w="545" w:type="dxa"/>
          </w:tcPr>
          <w:p>
            <w:pPr>
              <w:pStyle w:val="TableParagraph"/>
              <w:spacing w:before="47"/>
              <w:ind w:right="66"/>
              <w:rPr>
                <w:sz w:val="16"/>
              </w:rPr>
            </w:pPr>
            <w:r>
              <w:rPr>
                <w:w w:val="95"/>
                <w:sz w:val="16"/>
              </w:rPr>
              <w:t>0.01</w:t>
            </w:r>
          </w:p>
        </w:tc>
        <w:tc>
          <w:tcPr>
            <w:tcW w:w="598" w:type="dxa"/>
          </w:tcPr>
          <w:p>
            <w:pPr>
              <w:pStyle w:val="TableParagraph"/>
              <w:spacing w:before="47"/>
              <w:ind w:right="73"/>
              <w:rPr>
                <w:sz w:val="16"/>
              </w:rPr>
            </w:pPr>
            <w:r>
              <w:rPr>
                <w:w w:val="99"/>
                <w:sz w:val="16"/>
              </w:rPr>
              <w:t>0</w:t>
            </w:r>
          </w:p>
        </w:tc>
        <w:tc>
          <w:tcPr>
            <w:tcW w:w="593" w:type="dxa"/>
          </w:tcPr>
          <w:p>
            <w:pPr>
              <w:pStyle w:val="TableParagraph"/>
              <w:spacing w:before="47"/>
              <w:ind w:right="72"/>
              <w:rPr>
                <w:sz w:val="16"/>
              </w:rPr>
            </w:pPr>
            <w:r>
              <w:rPr>
                <w:w w:val="99"/>
                <w:sz w:val="16"/>
              </w:rPr>
              <w:t>0</w:t>
            </w:r>
          </w:p>
        </w:tc>
        <w:tc>
          <w:tcPr>
            <w:tcW w:w="830" w:type="dxa"/>
          </w:tcPr>
          <w:p>
            <w:pPr>
              <w:pStyle w:val="TableParagraph"/>
              <w:spacing w:before="47"/>
              <w:ind w:right="66"/>
              <w:rPr>
                <w:sz w:val="16"/>
              </w:rPr>
            </w:pPr>
            <w:r>
              <w:rPr>
                <w:w w:val="95"/>
                <w:sz w:val="16"/>
              </w:rPr>
              <w:t>0.03</w:t>
            </w:r>
          </w:p>
        </w:tc>
        <w:tc>
          <w:tcPr>
            <w:tcW w:w="821" w:type="dxa"/>
          </w:tcPr>
          <w:p>
            <w:pPr>
              <w:pStyle w:val="TableParagraph"/>
              <w:spacing w:before="47"/>
              <w:ind w:right="70"/>
              <w:rPr>
                <w:sz w:val="16"/>
              </w:rPr>
            </w:pPr>
            <w:r>
              <w:rPr>
                <w:w w:val="99"/>
                <w:sz w:val="16"/>
              </w:rPr>
              <w:t>0</w:t>
            </w:r>
          </w:p>
        </w:tc>
        <w:tc>
          <w:tcPr>
            <w:tcW w:w="831" w:type="dxa"/>
          </w:tcPr>
          <w:p>
            <w:pPr>
              <w:pStyle w:val="TableParagraph"/>
              <w:spacing w:before="47"/>
              <w:ind w:right="72"/>
              <w:rPr>
                <w:sz w:val="16"/>
              </w:rPr>
            </w:pPr>
            <w:r>
              <w:rPr>
                <w:w w:val="99"/>
                <w:sz w:val="16"/>
              </w:rPr>
              <w:t>0</w:t>
            </w:r>
          </w:p>
        </w:tc>
        <w:tc>
          <w:tcPr>
            <w:tcW w:w="891" w:type="dxa"/>
          </w:tcPr>
          <w:p>
            <w:pPr>
              <w:pStyle w:val="TableParagraph"/>
              <w:spacing w:before="47"/>
              <w:ind w:right="198"/>
              <w:rPr>
                <w:sz w:val="16"/>
              </w:rPr>
            </w:pPr>
            <w:r>
              <w:rPr>
                <w:w w:val="99"/>
                <w:sz w:val="16"/>
              </w:rPr>
              <w:t>0</w:t>
            </w:r>
          </w:p>
        </w:tc>
      </w:tr>
      <w:tr>
        <w:trPr>
          <w:trHeight w:val="300" w:hRule="exact"/>
        </w:trPr>
        <w:tc>
          <w:tcPr>
            <w:tcW w:w="685" w:type="dxa"/>
          </w:tcPr>
          <w:p>
            <w:pPr>
              <w:pStyle w:val="TableParagraph"/>
              <w:spacing w:before="50"/>
              <w:ind w:right="72"/>
              <w:rPr>
                <w:sz w:val="16"/>
              </w:rPr>
            </w:pPr>
            <w:r>
              <w:rPr>
                <w:w w:val="98"/>
                <w:sz w:val="16"/>
              </w:rPr>
              <w:t>3</w:t>
            </w:r>
          </w:p>
        </w:tc>
        <w:tc>
          <w:tcPr>
            <w:tcW w:w="716" w:type="dxa"/>
          </w:tcPr>
          <w:p>
            <w:pPr>
              <w:pStyle w:val="TableParagraph"/>
              <w:spacing w:before="50"/>
              <w:ind w:right="69"/>
              <w:rPr>
                <w:sz w:val="16"/>
              </w:rPr>
            </w:pPr>
            <w:r>
              <w:rPr>
                <w:sz w:val="16"/>
              </w:rPr>
              <w:t>21.54</w:t>
            </w:r>
          </w:p>
        </w:tc>
        <w:tc>
          <w:tcPr>
            <w:tcW w:w="718" w:type="dxa"/>
          </w:tcPr>
          <w:p>
            <w:pPr>
              <w:pStyle w:val="TableParagraph"/>
              <w:spacing w:before="50"/>
              <w:ind w:right="66"/>
              <w:rPr>
                <w:sz w:val="16"/>
              </w:rPr>
            </w:pPr>
            <w:r>
              <w:rPr>
                <w:w w:val="95"/>
                <w:sz w:val="16"/>
              </w:rPr>
              <w:t>0.47</w:t>
            </w:r>
          </w:p>
        </w:tc>
        <w:tc>
          <w:tcPr>
            <w:tcW w:w="554" w:type="dxa"/>
          </w:tcPr>
          <w:p>
            <w:pPr>
              <w:pStyle w:val="TableParagraph"/>
              <w:spacing w:before="50"/>
              <w:ind w:right="69"/>
              <w:rPr>
                <w:sz w:val="16"/>
              </w:rPr>
            </w:pPr>
            <w:r>
              <w:rPr>
                <w:w w:val="95"/>
                <w:sz w:val="16"/>
              </w:rPr>
              <w:t>0.51</w:t>
            </w:r>
          </w:p>
        </w:tc>
        <w:tc>
          <w:tcPr>
            <w:tcW w:w="538" w:type="dxa"/>
          </w:tcPr>
          <w:p>
            <w:pPr>
              <w:pStyle w:val="TableParagraph"/>
              <w:spacing w:before="50"/>
              <w:ind w:right="68"/>
              <w:rPr>
                <w:sz w:val="16"/>
              </w:rPr>
            </w:pPr>
            <w:r>
              <w:rPr>
                <w:w w:val="98"/>
                <w:sz w:val="16"/>
              </w:rPr>
              <w:t>0</w:t>
            </w:r>
          </w:p>
        </w:tc>
        <w:tc>
          <w:tcPr>
            <w:tcW w:w="669" w:type="dxa"/>
          </w:tcPr>
          <w:p>
            <w:pPr>
              <w:pStyle w:val="TableParagraph"/>
              <w:spacing w:before="50"/>
              <w:ind w:right="66"/>
              <w:rPr>
                <w:sz w:val="16"/>
              </w:rPr>
            </w:pPr>
            <w:r>
              <w:rPr>
                <w:sz w:val="16"/>
              </w:rPr>
              <w:t>14.88</w:t>
            </w:r>
          </w:p>
        </w:tc>
        <w:tc>
          <w:tcPr>
            <w:tcW w:w="535" w:type="dxa"/>
          </w:tcPr>
          <w:p>
            <w:pPr>
              <w:pStyle w:val="TableParagraph"/>
              <w:spacing w:before="50"/>
              <w:ind w:right="68"/>
              <w:rPr>
                <w:sz w:val="16"/>
              </w:rPr>
            </w:pPr>
            <w:r>
              <w:rPr>
                <w:w w:val="98"/>
                <w:sz w:val="16"/>
              </w:rPr>
              <w:t>0</w:t>
            </w:r>
          </w:p>
        </w:tc>
        <w:tc>
          <w:tcPr>
            <w:tcW w:w="667" w:type="dxa"/>
          </w:tcPr>
          <w:p>
            <w:pPr>
              <w:pStyle w:val="TableParagraph"/>
              <w:spacing w:before="50"/>
              <w:ind w:right="64"/>
              <w:rPr>
                <w:sz w:val="16"/>
              </w:rPr>
            </w:pPr>
            <w:r>
              <w:rPr>
                <w:sz w:val="16"/>
              </w:rPr>
              <w:t>339.34</w:t>
            </w:r>
          </w:p>
        </w:tc>
        <w:tc>
          <w:tcPr>
            <w:tcW w:w="665" w:type="dxa"/>
          </w:tcPr>
          <w:p>
            <w:pPr>
              <w:pStyle w:val="TableParagraph"/>
              <w:spacing w:before="50"/>
              <w:ind w:right="66"/>
              <w:rPr>
                <w:sz w:val="16"/>
              </w:rPr>
            </w:pPr>
            <w:r>
              <w:rPr>
                <w:sz w:val="16"/>
              </w:rPr>
              <w:t>26.02</w:t>
            </w:r>
          </w:p>
        </w:tc>
        <w:tc>
          <w:tcPr>
            <w:tcW w:w="544" w:type="dxa"/>
          </w:tcPr>
          <w:p>
            <w:pPr>
              <w:pStyle w:val="TableParagraph"/>
              <w:spacing w:before="50"/>
              <w:ind w:left="111"/>
              <w:jc w:val="left"/>
              <w:rPr>
                <w:sz w:val="16"/>
              </w:rPr>
            </w:pPr>
            <w:r>
              <w:rPr>
                <w:sz w:val="16"/>
              </w:rPr>
              <w:t>105.8</w:t>
            </w:r>
          </w:p>
        </w:tc>
        <w:tc>
          <w:tcPr>
            <w:tcW w:w="679" w:type="dxa"/>
          </w:tcPr>
          <w:p>
            <w:pPr>
              <w:pStyle w:val="TableParagraph"/>
              <w:spacing w:before="50"/>
              <w:ind w:right="67"/>
              <w:rPr>
                <w:sz w:val="16"/>
              </w:rPr>
            </w:pPr>
            <w:r>
              <w:rPr>
                <w:sz w:val="16"/>
              </w:rPr>
              <w:t>10</w:t>
            </w:r>
          </w:p>
        </w:tc>
        <w:tc>
          <w:tcPr>
            <w:tcW w:w="594" w:type="dxa"/>
          </w:tcPr>
          <w:p>
            <w:pPr>
              <w:pStyle w:val="TableParagraph"/>
              <w:spacing w:before="50"/>
              <w:ind w:right="64"/>
              <w:rPr>
                <w:sz w:val="16"/>
              </w:rPr>
            </w:pPr>
            <w:r>
              <w:rPr>
                <w:w w:val="95"/>
                <w:sz w:val="16"/>
              </w:rPr>
              <w:t>0.01</w:t>
            </w:r>
          </w:p>
        </w:tc>
        <w:tc>
          <w:tcPr>
            <w:tcW w:w="595" w:type="dxa"/>
          </w:tcPr>
          <w:p>
            <w:pPr>
              <w:pStyle w:val="TableParagraph"/>
              <w:spacing w:before="50"/>
              <w:ind w:right="69"/>
              <w:rPr>
                <w:sz w:val="16"/>
              </w:rPr>
            </w:pPr>
            <w:r>
              <w:rPr>
                <w:w w:val="95"/>
                <w:sz w:val="16"/>
              </w:rPr>
              <w:t>0.01</w:t>
            </w:r>
          </w:p>
        </w:tc>
        <w:tc>
          <w:tcPr>
            <w:tcW w:w="545" w:type="dxa"/>
          </w:tcPr>
          <w:p>
            <w:pPr>
              <w:pStyle w:val="TableParagraph"/>
              <w:spacing w:before="50"/>
              <w:ind w:right="66"/>
              <w:rPr>
                <w:sz w:val="16"/>
              </w:rPr>
            </w:pPr>
            <w:r>
              <w:rPr>
                <w:w w:val="95"/>
                <w:sz w:val="16"/>
              </w:rPr>
              <w:t>0.01</w:t>
            </w:r>
          </w:p>
        </w:tc>
        <w:tc>
          <w:tcPr>
            <w:tcW w:w="598" w:type="dxa"/>
          </w:tcPr>
          <w:p>
            <w:pPr>
              <w:pStyle w:val="TableParagraph"/>
              <w:spacing w:before="50"/>
              <w:ind w:right="69"/>
              <w:rPr>
                <w:sz w:val="16"/>
              </w:rPr>
            </w:pPr>
            <w:r>
              <w:rPr>
                <w:w w:val="95"/>
                <w:sz w:val="16"/>
              </w:rPr>
              <w:t>1.16</w:t>
            </w:r>
          </w:p>
        </w:tc>
        <w:tc>
          <w:tcPr>
            <w:tcW w:w="593" w:type="dxa"/>
          </w:tcPr>
          <w:p>
            <w:pPr>
              <w:pStyle w:val="TableParagraph"/>
              <w:spacing w:before="50"/>
              <w:ind w:right="66"/>
              <w:rPr>
                <w:sz w:val="16"/>
              </w:rPr>
            </w:pPr>
            <w:r>
              <w:rPr>
                <w:w w:val="95"/>
                <w:sz w:val="16"/>
              </w:rPr>
              <w:t>6.05</w:t>
            </w:r>
          </w:p>
        </w:tc>
        <w:tc>
          <w:tcPr>
            <w:tcW w:w="830" w:type="dxa"/>
          </w:tcPr>
          <w:p>
            <w:pPr>
              <w:pStyle w:val="TableParagraph"/>
              <w:spacing w:before="50"/>
              <w:ind w:right="66"/>
              <w:rPr>
                <w:sz w:val="16"/>
              </w:rPr>
            </w:pPr>
            <w:r>
              <w:rPr>
                <w:w w:val="95"/>
                <w:sz w:val="16"/>
              </w:rPr>
              <w:t>0.02</w:t>
            </w:r>
          </w:p>
        </w:tc>
        <w:tc>
          <w:tcPr>
            <w:tcW w:w="821" w:type="dxa"/>
          </w:tcPr>
          <w:p>
            <w:pPr>
              <w:pStyle w:val="TableParagraph"/>
              <w:spacing w:before="50"/>
              <w:ind w:right="70"/>
              <w:rPr>
                <w:sz w:val="16"/>
              </w:rPr>
            </w:pPr>
            <w:r>
              <w:rPr>
                <w:w w:val="98"/>
                <w:sz w:val="16"/>
              </w:rPr>
              <w:t>0</w:t>
            </w:r>
          </w:p>
        </w:tc>
        <w:tc>
          <w:tcPr>
            <w:tcW w:w="831" w:type="dxa"/>
          </w:tcPr>
          <w:p>
            <w:pPr>
              <w:pStyle w:val="TableParagraph"/>
              <w:spacing w:before="50"/>
              <w:ind w:right="72"/>
              <w:rPr>
                <w:sz w:val="16"/>
              </w:rPr>
            </w:pPr>
            <w:r>
              <w:rPr>
                <w:w w:val="98"/>
                <w:sz w:val="16"/>
              </w:rPr>
              <w:t>0</w:t>
            </w:r>
          </w:p>
        </w:tc>
        <w:tc>
          <w:tcPr>
            <w:tcW w:w="891" w:type="dxa"/>
          </w:tcPr>
          <w:p>
            <w:pPr>
              <w:pStyle w:val="TableParagraph"/>
              <w:spacing w:before="50"/>
              <w:ind w:right="198"/>
              <w:rPr>
                <w:sz w:val="16"/>
              </w:rPr>
            </w:pPr>
            <w:r>
              <w:rPr>
                <w:w w:val="98"/>
                <w:sz w:val="16"/>
              </w:rPr>
              <w:t>0</w:t>
            </w:r>
          </w:p>
        </w:tc>
      </w:tr>
      <w:tr>
        <w:trPr>
          <w:trHeight w:val="300" w:hRule="exact"/>
        </w:trPr>
        <w:tc>
          <w:tcPr>
            <w:tcW w:w="685" w:type="dxa"/>
          </w:tcPr>
          <w:p>
            <w:pPr>
              <w:pStyle w:val="TableParagraph"/>
              <w:spacing w:before="47"/>
              <w:ind w:right="72"/>
              <w:rPr>
                <w:sz w:val="16"/>
              </w:rPr>
            </w:pPr>
            <w:r>
              <w:rPr>
                <w:w w:val="98"/>
                <w:sz w:val="16"/>
              </w:rPr>
              <w:t>4</w:t>
            </w:r>
          </w:p>
        </w:tc>
        <w:tc>
          <w:tcPr>
            <w:tcW w:w="716" w:type="dxa"/>
          </w:tcPr>
          <w:p>
            <w:pPr>
              <w:pStyle w:val="TableParagraph"/>
              <w:spacing w:before="47"/>
              <w:ind w:right="69"/>
              <w:rPr>
                <w:sz w:val="16"/>
              </w:rPr>
            </w:pPr>
            <w:r>
              <w:rPr>
                <w:w w:val="95"/>
                <w:sz w:val="16"/>
              </w:rPr>
              <w:t>4.78</w:t>
            </w:r>
          </w:p>
        </w:tc>
        <w:tc>
          <w:tcPr>
            <w:tcW w:w="718" w:type="dxa"/>
          </w:tcPr>
          <w:p>
            <w:pPr>
              <w:pStyle w:val="TableParagraph"/>
              <w:spacing w:before="47"/>
              <w:ind w:right="66"/>
              <w:rPr>
                <w:sz w:val="16"/>
              </w:rPr>
            </w:pPr>
            <w:r>
              <w:rPr>
                <w:w w:val="95"/>
                <w:sz w:val="16"/>
              </w:rPr>
              <w:t>0.01</w:t>
            </w:r>
          </w:p>
        </w:tc>
        <w:tc>
          <w:tcPr>
            <w:tcW w:w="554" w:type="dxa"/>
          </w:tcPr>
          <w:p>
            <w:pPr>
              <w:pStyle w:val="TableParagraph"/>
              <w:spacing w:before="47"/>
              <w:ind w:right="69"/>
              <w:rPr>
                <w:sz w:val="16"/>
              </w:rPr>
            </w:pPr>
            <w:r>
              <w:rPr>
                <w:w w:val="95"/>
                <w:sz w:val="16"/>
              </w:rPr>
              <w:t>0.43</w:t>
            </w:r>
          </w:p>
        </w:tc>
        <w:tc>
          <w:tcPr>
            <w:tcW w:w="538" w:type="dxa"/>
          </w:tcPr>
          <w:p>
            <w:pPr>
              <w:pStyle w:val="TableParagraph"/>
              <w:spacing w:before="47"/>
              <w:ind w:right="68"/>
              <w:rPr>
                <w:sz w:val="16"/>
              </w:rPr>
            </w:pPr>
            <w:r>
              <w:rPr>
                <w:w w:val="98"/>
                <w:sz w:val="16"/>
              </w:rPr>
              <w:t>0</w:t>
            </w:r>
          </w:p>
        </w:tc>
        <w:tc>
          <w:tcPr>
            <w:tcW w:w="669" w:type="dxa"/>
          </w:tcPr>
          <w:p>
            <w:pPr>
              <w:pStyle w:val="TableParagraph"/>
              <w:spacing w:before="47"/>
              <w:ind w:right="66"/>
              <w:rPr>
                <w:sz w:val="16"/>
              </w:rPr>
            </w:pPr>
            <w:r>
              <w:rPr>
                <w:w w:val="95"/>
                <w:sz w:val="16"/>
              </w:rPr>
              <w:t>4.77</w:t>
            </w:r>
          </w:p>
        </w:tc>
        <w:tc>
          <w:tcPr>
            <w:tcW w:w="535" w:type="dxa"/>
          </w:tcPr>
          <w:p>
            <w:pPr>
              <w:pStyle w:val="TableParagraph"/>
              <w:spacing w:before="47"/>
              <w:ind w:right="68"/>
              <w:rPr>
                <w:sz w:val="16"/>
              </w:rPr>
            </w:pPr>
            <w:r>
              <w:rPr>
                <w:w w:val="98"/>
                <w:sz w:val="16"/>
              </w:rPr>
              <w:t>0</w:t>
            </w:r>
          </w:p>
        </w:tc>
        <w:tc>
          <w:tcPr>
            <w:tcW w:w="667" w:type="dxa"/>
          </w:tcPr>
          <w:p>
            <w:pPr>
              <w:pStyle w:val="TableParagraph"/>
              <w:spacing w:before="47"/>
              <w:ind w:right="64"/>
              <w:rPr>
                <w:sz w:val="16"/>
              </w:rPr>
            </w:pPr>
            <w:r>
              <w:rPr>
                <w:sz w:val="16"/>
              </w:rPr>
              <w:t>315.03</w:t>
            </w:r>
          </w:p>
        </w:tc>
        <w:tc>
          <w:tcPr>
            <w:tcW w:w="665" w:type="dxa"/>
          </w:tcPr>
          <w:p>
            <w:pPr>
              <w:pStyle w:val="TableParagraph"/>
              <w:spacing w:before="47"/>
              <w:ind w:right="66"/>
              <w:rPr>
                <w:sz w:val="16"/>
              </w:rPr>
            </w:pPr>
            <w:r>
              <w:rPr>
                <w:sz w:val="16"/>
              </w:rPr>
              <w:t>33.84</w:t>
            </w:r>
          </w:p>
        </w:tc>
        <w:tc>
          <w:tcPr>
            <w:tcW w:w="544" w:type="dxa"/>
          </w:tcPr>
          <w:p>
            <w:pPr>
              <w:pStyle w:val="TableParagraph"/>
              <w:spacing w:before="47"/>
              <w:ind w:left="111"/>
              <w:jc w:val="left"/>
              <w:rPr>
                <w:sz w:val="16"/>
              </w:rPr>
            </w:pPr>
            <w:r>
              <w:rPr>
                <w:sz w:val="16"/>
              </w:rPr>
              <w:t>120.8</w:t>
            </w:r>
          </w:p>
        </w:tc>
        <w:tc>
          <w:tcPr>
            <w:tcW w:w="679" w:type="dxa"/>
          </w:tcPr>
          <w:p>
            <w:pPr>
              <w:pStyle w:val="TableParagraph"/>
              <w:spacing w:before="47"/>
              <w:ind w:right="70"/>
              <w:rPr>
                <w:sz w:val="16"/>
              </w:rPr>
            </w:pPr>
            <w:r>
              <w:rPr>
                <w:w w:val="95"/>
                <w:sz w:val="16"/>
              </w:rPr>
              <w:t>8.75</w:t>
            </w:r>
          </w:p>
        </w:tc>
        <w:tc>
          <w:tcPr>
            <w:tcW w:w="594" w:type="dxa"/>
          </w:tcPr>
          <w:p>
            <w:pPr>
              <w:pStyle w:val="TableParagraph"/>
              <w:spacing w:before="47"/>
              <w:ind w:right="68"/>
              <w:rPr>
                <w:sz w:val="16"/>
              </w:rPr>
            </w:pPr>
            <w:r>
              <w:rPr>
                <w:w w:val="98"/>
                <w:sz w:val="16"/>
              </w:rPr>
              <w:t>0</w:t>
            </w:r>
          </w:p>
        </w:tc>
        <w:tc>
          <w:tcPr>
            <w:tcW w:w="595" w:type="dxa"/>
          </w:tcPr>
          <w:p>
            <w:pPr>
              <w:pStyle w:val="TableParagraph"/>
              <w:spacing w:before="47"/>
              <w:ind w:right="73"/>
              <w:rPr>
                <w:sz w:val="16"/>
              </w:rPr>
            </w:pPr>
            <w:r>
              <w:rPr>
                <w:w w:val="98"/>
                <w:sz w:val="16"/>
              </w:rPr>
              <w:t>0</w:t>
            </w:r>
          </w:p>
        </w:tc>
        <w:tc>
          <w:tcPr>
            <w:tcW w:w="545" w:type="dxa"/>
          </w:tcPr>
          <w:p>
            <w:pPr>
              <w:pStyle w:val="TableParagraph"/>
              <w:spacing w:before="47"/>
              <w:ind w:right="66"/>
              <w:rPr>
                <w:sz w:val="16"/>
              </w:rPr>
            </w:pPr>
            <w:r>
              <w:rPr>
                <w:w w:val="95"/>
                <w:sz w:val="16"/>
              </w:rPr>
              <w:t>0.01</w:t>
            </w:r>
          </w:p>
        </w:tc>
        <w:tc>
          <w:tcPr>
            <w:tcW w:w="598" w:type="dxa"/>
          </w:tcPr>
          <w:p>
            <w:pPr>
              <w:pStyle w:val="TableParagraph"/>
              <w:spacing w:before="47"/>
              <w:ind w:right="69"/>
              <w:rPr>
                <w:sz w:val="16"/>
              </w:rPr>
            </w:pPr>
            <w:r>
              <w:rPr>
                <w:w w:val="95"/>
                <w:sz w:val="16"/>
              </w:rPr>
              <w:t>0.16</w:t>
            </w:r>
          </w:p>
        </w:tc>
        <w:tc>
          <w:tcPr>
            <w:tcW w:w="593" w:type="dxa"/>
          </w:tcPr>
          <w:p>
            <w:pPr>
              <w:pStyle w:val="TableParagraph"/>
              <w:spacing w:before="47"/>
              <w:ind w:right="67"/>
              <w:rPr>
                <w:sz w:val="16"/>
              </w:rPr>
            </w:pPr>
            <w:r>
              <w:rPr>
                <w:sz w:val="16"/>
              </w:rPr>
              <w:t>23.68</w:t>
            </w:r>
          </w:p>
        </w:tc>
        <w:tc>
          <w:tcPr>
            <w:tcW w:w="830" w:type="dxa"/>
          </w:tcPr>
          <w:p>
            <w:pPr>
              <w:pStyle w:val="TableParagraph"/>
              <w:spacing w:before="47"/>
              <w:ind w:right="72"/>
              <w:rPr>
                <w:sz w:val="16"/>
              </w:rPr>
            </w:pPr>
            <w:r>
              <w:rPr>
                <w:w w:val="98"/>
                <w:sz w:val="16"/>
              </w:rPr>
              <w:t>0</w:t>
            </w:r>
          </w:p>
        </w:tc>
        <w:tc>
          <w:tcPr>
            <w:tcW w:w="821" w:type="dxa"/>
          </w:tcPr>
          <w:p>
            <w:pPr>
              <w:pStyle w:val="TableParagraph"/>
              <w:spacing w:before="47"/>
              <w:ind w:right="70"/>
              <w:rPr>
                <w:sz w:val="16"/>
              </w:rPr>
            </w:pPr>
            <w:r>
              <w:rPr>
                <w:w w:val="98"/>
                <w:sz w:val="16"/>
              </w:rPr>
              <w:t>0</w:t>
            </w:r>
          </w:p>
        </w:tc>
        <w:tc>
          <w:tcPr>
            <w:tcW w:w="831" w:type="dxa"/>
          </w:tcPr>
          <w:p>
            <w:pPr>
              <w:pStyle w:val="TableParagraph"/>
              <w:spacing w:before="47"/>
              <w:ind w:right="72"/>
              <w:rPr>
                <w:sz w:val="16"/>
              </w:rPr>
            </w:pPr>
            <w:r>
              <w:rPr>
                <w:w w:val="98"/>
                <w:sz w:val="16"/>
              </w:rPr>
              <w:t>0</w:t>
            </w:r>
          </w:p>
        </w:tc>
        <w:tc>
          <w:tcPr>
            <w:tcW w:w="891" w:type="dxa"/>
          </w:tcPr>
          <w:p>
            <w:pPr>
              <w:pStyle w:val="TableParagraph"/>
              <w:spacing w:before="47"/>
              <w:ind w:right="198"/>
              <w:rPr>
                <w:sz w:val="16"/>
              </w:rPr>
            </w:pPr>
            <w:r>
              <w:rPr>
                <w:w w:val="98"/>
                <w:sz w:val="16"/>
              </w:rPr>
              <w:t>0</w:t>
            </w:r>
          </w:p>
        </w:tc>
      </w:tr>
      <w:tr>
        <w:trPr>
          <w:trHeight w:val="300" w:hRule="exact"/>
        </w:trPr>
        <w:tc>
          <w:tcPr>
            <w:tcW w:w="685" w:type="dxa"/>
          </w:tcPr>
          <w:p>
            <w:pPr>
              <w:pStyle w:val="TableParagraph"/>
              <w:spacing w:before="50"/>
              <w:ind w:right="72"/>
              <w:rPr>
                <w:sz w:val="16"/>
              </w:rPr>
            </w:pPr>
            <w:r>
              <w:rPr>
                <w:w w:val="98"/>
                <w:sz w:val="16"/>
              </w:rPr>
              <w:t>5</w:t>
            </w:r>
          </w:p>
        </w:tc>
        <w:tc>
          <w:tcPr>
            <w:tcW w:w="716" w:type="dxa"/>
          </w:tcPr>
          <w:p>
            <w:pPr>
              <w:pStyle w:val="TableParagraph"/>
              <w:spacing w:before="50"/>
              <w:ind w:right="69"/>
              <w:rPr>
                <w:sz w:val="16"/>
              </w:rPr>
            </w:pPr>
            <w:r>
              <w:rPr>
                <w:sz w:val="16"/>
              </w:rPr>
              <w:t>10.91</w:t>
            </w:r>
          </w:p>
        </w:tc>
        <w:tc>
          <w:tcPr>
            <w:tcW w:w="718" w:type="dxa"/>
          </w:tcPr>
          <w:p>
            <w:pPr>
              <w:pStyle w:val="TableParagraph"/>
              <w:spacing w:before="50"/>
              <w:ind w:right="71"/>
              <w:rPr>
                <w:sz w:val="16"/>
              </w:rPr>
            </w:pPr>
            <w:r>
              <w:rPr>
                <w:w w:val="95"/>
                <w:sz w:val="16"/>
              </w:rPr>
              <w:t>0.4</w:t>
            </w:r>
          </w:p>
        </w:tc>
        <w:tc>
          <w:tcPr>
            <w:tcW w:w="554" w:type="dxa"/>
          </w:tcPr>
          <w:p>
            <w:pPr>
              <w:pStyle w:val="TableParagraph"/>
              <w:spacing w:before="50"/>
              <w:ind w:right="69"/>
              <w:rPr>
                <w:sz w:val="16"/>
              </w:rPr>
            </w:pPr>
            <w:r>
              <w:rPr>
                <w:w w:val="95"/>
                <w:sz w:val="16"/>
              </w:rPr>
              <w:t>0.38</w:t>
            </w:r>
          </w:p>
        </w:tc>
        <w:tc>
          <w:tcPr>
            <w:tcW w:w="538" w:type="dxa"/>
          </w:tcPr>
          <w:p>
            <w:pPr>
              <w:pStyle w:val="TableParagraph"/>
              <w:spacing w:before="50"/>
              <w:ind w:right="68"/>
              <w:rPr>
                <w:sz w:val="16"/>
              </w:rPr>
            </w:pPr>
            <w:r>
              <w:rPr>
                <w:w w:val="98"/>
                <w:sz w:val="16"/>
              </w:rPr>
              <w:t>0</w:t>
            </w:r>
          </w:p>
        </w:tc>
        <w:tc>
          <w:tcPr>
            <w:tcW w:w="669" w:type="dxa"/>
          </w:tcPr>
          <w:p>
            <w:pPr>
              <w:pStyle w:val="TableParagraph"/>
              <w:spacing w:before="50"/>
              <w:ind w:right="66"/>
              <w:rPr>
                <w:sz w:val="16"/>
              </w:rPr>
            </w:pPr>
            <w:r>
              <w:rPr>
                <w:w w:val="95"/>
                <w:sz w:val="16"/>
              </w:rPr>
              <w:t>1.35</w:t>
            </w:r>
          </w:p>
        </w:tc>
        <w:tc>
          <w:tcPr>
            <w:tcW w:w="535" w:type="dxa"/>
          </w:tcPr>
          <w:p>
            <w:pPr>
              <w:pStyle w:val="TableParagraph"/>
              <w:spacing w:before="50"/>
              <w:ind w:right="68"/>
              <w:rPr>
                <w:sz w:val="16"/>
              </w:rPr>
            </w:pPr>
            <w:r>
              <w:rPr>
                <w:w w:val="98"/>
                <w:sz w:val="16"/>
              </w:rPr>
              <w:t>0</w:t>
            </w:r>
          </w:p>
        </w:tc>
        <w:tc>
          <w:tcPr>
            <w:tcW w:w="667" w:type="dxa"/>
          </w:tcPr>
          <w:p>
            <w:pPr>
              <w:pStyle w:val="TableParagraph"/>
              <w:spacing w:before="50"/>
              <w:ind w:right="64"/>
              <w:rPr>
                <w:sz w:val="16"/>
              </w:rPr>
            </w:pPr>
            <w:r>
              <w:rPr>
                <w:sz w:val="16"/>
              </w:rPr>
              <w:t>274.07</w:t>
            </w:r>
          </w:p>
        </w:tc>
        <w:tc>
          <w:tcPr>
            <w:tcW w:w="665" w:type="dxa"/>
          </w:tcPr>
          <w:p>
            <w:pPr>
              <w:pStyle w:val="TableParagraph"/>
              <w:spacing w:before="50"/>
              <w:ind w:right="66"/>
              <w:rPr>
                <w:sz w:val="16"/>
              </w:rPr>
            </w:pPr>
            <w:r>
              <w:rPr>
                <w:sz w:val="16"/>
              </w:rPr>
              <w:t>50.01</w:t>
            </w:r>
          </w:p>
        </w:tc>
        <w:tc>
          <w:tcPr>
            <w:tcW w:w="544" w:type="dxa"/>
          </w:tcPr>
          <w:p>
            <w:pPr>
              <w:pStyle w:val="TableParagraph"/>
              <w:spacing w:before="50"/>
              <w:ind w:left="111"/>
              <w:jc w:val="left"/>
              <w:rPr>
                <w:sz w:val="16"/>
              </w:rPr>
            </w:pPr>
            <w:r>
              <w:rPr>
                <w:sz w:val="16"/>
              </w:rPr>
              <w:t>138.7</w:t>
            </w:r>
          </w:p>
        </w:tc>
        <w:tc>
          <w:tcPr>
            <w:tcW w:w="679" w:type="dxa"/>
          </w:tcPr>
          <w:p>
            <w:pPr>
              <w:pStyle w:val="TableParagraph"/>
              <w:spacing w:before="50"/>
              <w:ind w:right="75"/>
              <w:rPr>
                <w:sz w:val="16"/>
              </w:rPr>
            </w:pPr>
            <w:r>
              <w:rPr>
                <w:w w:val="95"/>
                <w:sz w:val="16"/>
              </w:rPr>
              <w:t>9.3</w:t>
            </w:r>
          </w:p>
        </w:tc>
        <w:tc>
          <w:tcPr>
            <w:tcW w:w="594" w:type="dxa"/>
          </w:tcPr>
          <w:p>
            <w:pPr>
              <w:pStyle w:val="TableParagraph"/>
              <w:spacing w:before="50"/>
              <w:ind w:right="64"/>
              <w:rPr>
                <w:sz w:val="16"/>
              </w:rPr>
            </w:pPr>
            <w:r>
              <w:rPr>
                <w:w w:val="95"/>
                <w:sz w:val="16"/>
              </w:rPr>
              <w:t>0.02</w:t>
            </w:r>
          </w:p>
        </w:tc>
        <w:tc>
          <w:tcPr>
            <w:tcW w:w="595" w:type="dxa"/>
          </w:tcPr>
          <w:p>
            <w:pPr>
              <w:pStyle w:val="TableParagraph"/>
              <w:spacing w:before="50"/>
              <w:ind w:right="69"/>
              <w:rPr>
                <w:sz w:val="16"/>
              </w:rPr>
            </w:pPr>
            <w:r>
              <w:rPr>
                <w:w w:val="95"/>
                <w:sz w:val="16"/>
              </w:rPr>
              <w:t>0.17</w:t>
            </w:r>
          </w:p>
        </w:tc>
        <w:tc>
          <w:tcPr>
            <w:tcW w:w="545" w:type="dxa"/>
          </w:tcPr>
          <w:p>
            <w:pPr>
              <w:pStyle w:val="TableParagraph"/>
              <w:spacing w:before="50"/>
              <w:ind w:right="66"/>
              <w:rPr>
                <w:sz w:val="16"/>
              </w:rPr>
            </w:pPr>
            <w:r>
              <w:rPr>
                <w:w w:val="95"/>
                <w:sz w:val="16"/>
              </w:rPr>
              <w:t>0.01</w:t>
            </w:r>
          </w:p>
        </w:tc>
        <w:tc>
          <w:tcPr>
            <w:tcW w:w="598" w:type="dxa"/>
          </w:tcPr>
          <w:p>
            <w:pPr>
              <w:pStyle w:val="TableParagraph"/>
              <w:spacing w:before="50"/>
              <w:ind w:right="69"/>
              <w:rPr>
                <w:sz w:val="16"/>
              </w:rPr>
            </w:pPr>
            <w:r>
              <w:rPr>
                <w:w w:val="95"/>
                <w:sz w:val="16"/>
              </w:rPr>
              <w:t>0.02</w:t>
            </w:r>
          </w:p>
        </w:tc>
        <w:tc>
          <w:tcPr>
            <w:tcW w:w="593" w:type="dxa"/>
          </w:tcPr>
          <w:p>
            <w:pPr>
              <w:pStyle w:val="TableParagraph"/>
              <w:spacing w:before="50"/>
              <w:ind w:right="66"/>
              <w:rPr>
                <w:sz w:val="16"/>
              </w:rPr>
            </w:pPr>
            <w:r>
              <w:rPr>
                <w:w w:val="95"/>
                <w:sz w:val="16"/>
              </w:rPr>
              <w:t>39.2</w:t>
            </w:r>
          </w:p>
        </w:tc>
        <w:tc>
          <w:tcPr>
            <w:tcW w:w="830" w:type="dxa"/>
          </w:tcPr>
          <w:p>
            <w:pPr>
              <w:pStyle w:val="TableParagraph"/>
              <w:spacing w:before="50"/>
              <w:ind w:right="66"/>
              <w:rPr>
                <w:sz w:val="16"/>
              </w:rPr>
            </w:pPr>
            <w:r>
              <w:rPr>
                <w:w w:val="95"/>
                <w:sz w:val="16"/>
              </w:rPr>
              <w:t>0.02</w:t>
            </w:r>
          </w:p>
        </w:tc>
        <w:tc>
          <w:tcPr>
            <w:tcW w:w="821" w:type="dxa"/>
          </w:tcPr>
          <w:p>
            <w:pPr>
              <w:pStyle w:val="TableParagraph"/>
              <w:spacing w:before="50"/>
              <w:ind w:right="66"/>
              <w:rPr>
                <w:sz w:val="16"/>
              </w:rPr>
            </w:pPr>
            <w:r>
              <w:rPr>
                <w:w w:val="95"/>
                <w:sz w:val="16"/>
              </w:rPr>
              <w:t>0.01</w:t>
            </w:r>
          </w:p>
        </w:tc>
        <w:tc>
          <w:tcPr>
            <w:tcW w:w="831" w:type="dxa"/>
          </w:tcPr>
          <w:p>
            <w:pPr>
              <w:pStyle w:val="TableParagraph"/>
              <w:spacing w:before="50"/>
              <w:ind w:right="72"/>
              <w:rPr>
                <w:sz w:val="16"/>
              </w:rPr>
            </w:pPr>
            <w:r>
              <w:rPr>
                <w:w w:val="98"/>
                <w:sz w:val="16"/>
              </w:rPr>
              <w:t>0</w:t>
            </w:r>
          </w:p>
        </w:tc>
        <w:tc>
          <w:tcPr>
            <w:tcW w:w="891" w:type="dxa"/>
          </w:tcPr>
          <w:p>
            <w:pPr>
              <w:pStyle w:val="TableParagraph"/>
              <w:spacing w:before="50"/>
              <w:ind w:right="198"/>
              <w:rPr>
                <w:sz w:val="16"/>
              </w:rPr>
            </w:pPr>
            <w:r>
              <w:rPr>
                <w:w w:val="98"/>
                <w:sz w:val="16"/>
              </w:rPr>
              <w:t>0</w:t>
            </w:r>
          </w:p>
        </w:tc>
      </w:tr>
      <w:tr>
        <w:trPr>
          <w:trHeight w:val="300" w:hRule="exact"/>
        </w:trPr>
        <w:tc>
          <w:tcPr>
            <w:tcW w:w="685" w:type="dxa"/>
          </w:tcPr>
          <w:p>
            <w:pPr>
              <w:pStyle w:val="TableParagraph"/>
              <w:spacing w:before="47"/>
              <w:ind w:right="72"/>
              <w:rPr>
                <w:sz w:val="16"/>
              </w:rPr>
            </w:pPr>
            <w:r>
              <w:rPr>
                <w:w w:val="98"/>
                <w:sz w:val="16"/>
              </w:rPr>
              <w:t>6</w:t>
            </w:r>
          </w:p>
        </w:tc>
        <w:tc>
          <w:tcPr>
            <w:tcW w:w="716" w:type="dxa"/>
          </w:tcPr>
          <w:p>
            <w:pPr>
              <w:pStyle w:val="TableParagraph"/>
              <w:spacing w:before="47"/>
              <w:ind w:right="69"/>
              <w:rPr>
                <w:sz w:val="16"/>
              </w:rPr>
            </w:pPr>
            <w:r>
              <w:rPr>
                <w:sz w:val="16"/>
              </w:rPr>
              <w:t>15.48</w:t>
            </w:r>
          </w:p>
        </w:tc>
        <w:tc>
          <w:tcPr>
            <w:tcW w:w="718" w:type="dxa"/>
          </w:tcPr>
          <w:p>
            <w:pPr>
              <w:pStyle w:val="TableParagraph"/>
              <w:spacing w:before="47"/>
              <w:ind w:right="66"/>
              <w:rPr>
                <w:sz w:val="16"/>
              </w:rPr>
            </w:pPr>
            <w:r>
              <w:rPr>
                <w:w w:val="95"/>
                <w:sz w:val="16"/>
              </w:rPr>
              <w:t>0.49</w:t>
            </w:r>
          </w:p>
        </w:tc>
        <w:tc>
          <w:tcPr>
            <w:tcW w:w="554" w:type="dxa"/>
          </w:tcPr>
          <w:p>
            <w:pPr>
              <w:pStyle w:val="TableParagraph"/>
              <w:spacing w:before="47"/>
              <w:ind w:right="69"/>
              <w:rPr>
                <w:sz w:val="16"/>
              </w:rPr>
            </w:pPr>
            <w:r>
              <w:rPr>
                <w:w w:val="95"/>
                <w:sz w:val="16"/>
              </w:rPr>
              <w:t>0.31</w:t>
            </w:r>
          </w:p>
        </w:tc>
        <w:tc>
          <w:tcPr>
            <w:tcW w:w="538" w:type="dxa"/>
          </w:tcPr>
          <w:p>
            <w:pPr>
              <w:pStyle w:val="TableParagraph"/>
              <w:spacing w:before="47"/>
              <w:ind w:right="68"/>
              <w:rPr>
                <w:sz w:val="16"/>
              </w:rPr>
            </w:pPr>
            <w:r>
              <w:rPr>
                <w:w w:val="98"/>
                <w:sz w:val="16"/>
              </w:rPr>
              <w:t>0</w:t>
            </w:r>
          </w:p>
        </w:tc>
        <w:tc>
          <w:tcPr>
            <w:tcW w:w="669" w:type="dxa"/>
          </w:tcPr>
          <w:p>
            <w:pPr>
              <w:pStyle w:val="TableParagraph"/>
              <w:spacing w:before="47"/>
              <w:ind w:right="66"/>
              <w:rPr>
                <w:sz w:val="16"/>
              </w:rPr>
            </w:pPr>
            <w:r>
              <w:rPr>
                <w:w w:val="95"/>
                <w:sz w:val="16"/>
              </w:rPr>
              <w:t>0.04</w:t>
            </w:r>
          </w:p>
        </w:tc>
        <w:tc>
          <w:tcPr>
            <w:tcW w:w="535" w:type="dxa"/>
          </w:tcPr>
          <w:p>
            <w:pPr>
              <w:pStyle w:val="TableParagraph"/>
              <w:spacing w:before="47"/>
              <w:ind w:right="68"/>
              <w:rPr>
                <w:sz w:val="16"/>
              </w:rPr>
            </w:pPr>
            <w:r>
              <w:rPr>
                <w:w w:val="98"/>
                <w:sz w:val="16"/>
              </w:rPr>
              <w:t>0</w:t>
            </w:r>
          </w:p>
        </w:tc>
        <w:tc>
          <w:tcPr>
            <w:tcW w:w="667" w:type="dxa"/>
          </w:tcPr>
          <w:p>
            <w:pPr>
              <w:pStyle w:val="TableParagraph"/>
              <w:spacing w:before="47"/>
              <w:ind w:right="64"/>
              <w:rPr>
                <w:sz w:val="16"/>
              </w:rPr>
            </w:pPr>
            <w:r>
              <w:rPr>
                <w:sz w:val="16"/>
              </w:rPr>
              <w:t>224.98</w:t>
            </w:r>
          </w:p>
        </w:tc>
        <w:tc>
          <w:tcPr>
            <w:tcW w:w="665" w:type="dxa"/>
          </w:tcPr>
          <w:p>
            <w:pPr>
              <w:pStyle w:val="TableParagraph"/>
              <w:spacing w:before="47"/>
              <w:ind w:right="66"/>
              <w:rPr>
                <w:sz w:val="16"/>
              </w:rPr>
            </w:pPr>
            <w:r>
              <w:rPr>
                <w:sz w:val="16"/>
              </w:rPr>
              <w:t>63.91</w:t>
            </w:r>
          </w:p>
        </w:tc>
        <w:tc>
          <w:tcPr>
            <w:tcW w:w="544" w:type="dxa"/>
          </w:tcPr>
          <w:p>
            <w:pPr>
              <w:pStyle w:val="TableParagraph"/>
              <w:spacing w:before="47"/>
              <w:ind w:left="111"/>
              <w:jc w:val="left"/>
              <w:rPr>
                <w:sz w:val="16"/>
              </w:rPr>
            </w:pPr>
            <w:r>
              <w:rPr>
                <w:sz w:val="16"/>
              </w:rPr>
              <w:t>136.8</w:t>
            </w:r>
          </w:p>
        </w:tc>
        <w:tc>
          <w:tcPr>
            <w:tcW w:w="679" w:type="dxa"/>
          </w:tcPr>
          <w:p>
            <w:pPr>
              <w:pStyle w:val="TableParagraph"/>
              <w:spacing w:before="47"/>
              <w:ind w:right="70"/>
              <w:rPr>
                <w:sz w:val="16"/>
              </w:rPr>
            </w:pPr>
            <w:r>
              <w:rPr>
                <w:w w:val="95"/>
                <w:sz w:val="16"/>
              </w:rPr>
              <w:t>8.27</w:t>
            </w:r>
          </w:p>
        </w:tc>
        <w:tc>
          <w:tcPr>
            <w:tcW w:w="594" w:type="dxa"/>
          </w:tcPr>
          <w:p>
            <w:pPr>
              <w:pStyle w:val="TableParagraph"/>
              <w:spacing w:before="47"/>
              <w:ind w:right="64"/>
              <w:rPr>
                <w:sz w:val="16"/>
              </w:rPr>
            </w:pPr>
            <w:r>
              <w:rPr>
                <w:w w:val="95"/>
                <w:sz w:val="16"/>
              </w:rPr>
              <w:t>0.02</w:t>
            </w:r>
          </w:p>
        </w:tc>
        <w:tc>
          <w:tcPr>
            <w:tcW w:w="595" w:type="dxa"/>
          </w:tcPr>
          <w:p>
            <w:pPr>
              <w:pStyle w:val="TableParagraph"/>
              <w:spacing w:before="47"/>
              <w:ind w:right="69"/>
              <w:rPr>
                <w:sz w:val="16"/>
              </w:rPr>
            </w:pPr>
            <w:r>
              <w:rPr>
                <w:w w:val="95"/>
                <w:sz w:val="16"/>
              </w:rPr>
              <w:t>0.02</w:t>
            </w:r>
          </w:p>
        </w:tc>
        <w:tc>
          <w:tcPr>
            <w:tcW w:w="545" w:type="dxa"/>
          </w:tcPr>
          <w:p>
            <w:pPr>
              <w:pStyle w:val="TableParagraph"/>
              <w:spacing w:before="47"/>
              <w:ind w:right="66"/>
              <w:rPr>
                <w:sz w:val="16"/>
              </w:rPr>
            </w:pPr>
            <w:r>
              <w:rPr>
                <w:w w:val="95"/>
                <w:sz w:val="16"/>
              </w:rPr>
              <w:t>0.01</w:t>
            </w:r>
          </w:p>
        </w:tc>
        <w:tc>
          <w:tcPr>
            <w:tcW w:w="598" w:type="dxa"/>
          </w:tcPr>
          <w:p>
            <w:pPr>
              <w:pStyle w:val="TableParagraph"/>
              <w:spacing w:before="47"/>
              <w:ind w:right="73"/>
              <w:rPr>
                <w:sz w:val="16"/>
              </w:rPr>
            </w:pPr>
            <w:r>
              <w:rPr>
                <w:w w:val="98"/>
                <w:sz w:val="16"/>
              </w:rPr>
              <w:t>0</w:t>
            </w:r>
          </w:p>
        </w:tc>
        <w:tc>
          <w:tcPr>
            <w:tcW w:w="593" w:type="dxa"/>
          </w:tcPr>
          <w:p>
            <w:pPr>
              <w:pStyle w:val="TableParagraph"/>
              <w:spacing w:before="47"/>
              <w:ind w:right="67"/>
              <w:rPr>
                <w:sz w:val="16"/>
              </w:rPr>
            </w:pPr>
            <w:r>
              <w:rPr>
                <w:sz w:val="16"/>
              </w:rPr>
              <w:t>25.44</w:t>
            </w:r>
          </w:p>
        </w:tc>
        <w:tc>
          <w:tcPr>
            <w:tcW w:w="830" w:type="dxa"/>
          </w:tcPr>
          <w:p>
            <w:pPr>
              <w:pStyle w:val="TableParagraph"/>
              <w:spacing w:before="47"/>
              <w:ind w:right="66"/>
              <w:rPr>
                <w:sz w:val="16"/>
              </w:rPr>
            </w:pPr>
            <w:r>
              <w:rPr>
                <w:w w:val="95"/>
                <w:sz w:val="16"/>
              </w:rPr>
              <w:t>0.02</w:t>
            </w:r>
          </w:p>
        </w:tc>
        <w:tc>
          <w:tcPr>
            <w:tcW w:w="821" w:type="dxa"/>
          </w:tcPr>
          <w:p>
            <w:pPr>
              <w:pStyle w:val="TableParagraph"/>
              <w:spacing w:before="47"/>
              <w:ind w:right="66"/>
              <w:rPr>
                <w:sz w:val="16"/>
              </w:rPr>
            </w:pPr>
            <w:r>
              <w:rPr>
                <w:w w:val="95"/>
                <w:sz w:val="16"/>
              </w:rPr>
              <w:t>0.01</w:t>
            </w:r>
          </w:p>
        </w:tc>
        <w:tc>
          <w:tcPr>
            <w:tcW w:w="831" w:type="dxa"/>
          </w:tcPr>
          <w:p>
            <w:pPr>
              <w:pStyle w:val="TableParagraph"/>
              <w:spacing w:before="47"/>
              <w:ind w:right="72"/>
              <w:rPr>
                <w:sz w:val="16"/>
              </w:rPr>
            </w:pPr>
            <w:r>
              <w:rPr>
                <w:w w:val="98"/>
                <w:sz w:val="16"/>
              </w:rPr>
              <w:t>0</w:t>
            </w:r>
          </w:p>
        </w:tc>
        <w:tc>
          <w:tcPr>
            <w:tcW w:w="891" w:type="dxa"/>
          </w:tcPr>
          <w:p>
            <w:pPr>
              <w:pStyle w:val="TableParagraph"/>
              <w:spacing w:before="47"/>
              <w:ind w:right="198"/>
              <w:rPr>
                <w:sz w:val="16"/>
              </w:rPr>
            </w:pPr>
            <w:r>
              <w:rPr>
                <w:w w:val="98"/>
                <w:sz w:val="16"/>
              </w:rPr>
              <w:t>0</w:t>
            </w:r>
          </w:p>
        </w:tc>
      </w:tr>
      <w:tr>
        <w:trPr>
          <w:trHeight w:val="300" w:hRule="exact"/>
        </w:trPr>
        <w:tc>
          <w:tcPr>
            <w:tcW w:w="685" w:type="dxa"/>
          </w:tcPr>
          <w:p>
            <w:pPr>
              <w:pStyle w:val="TableParagraph"/>
              <w:spacing w:before="50"/>
              <w:ind w:right="72"/>
              <w:rPr>
                <w:sz w:val="16"/>
              </w:rPr>
            </w:pPr>
            <w:r>
              <w:rPr>
                <w:w w:val="98"/>
                <w:sz w:val="16"/>
              </w:rPr>
              <w:t>7</w:t>
            </w:r>
          </w:p>
        </w:tc>
        <w:tc>
          <w:tcPr>
            <w:tcW w:w="716" w:type="dxa"/>
          </w:tcPr>
          <w:p>
            <w:pPr>
              <w:pStyle w:val="TableParagraph"/>
              <w:spacing w:before="50"/>
              <w:ind w:right="69"/>
              <w:rPr>
                <w:sz w:val="16"/>
              </w:rPr>
            </w:pPr>
            <w:r>
              <w:rPr>
                <w:sz w:val="16"/>
              </w:rPr>
              <w:t>166.99</w:t>
            </w:r>
          </w:p>
        </w:tc>
        <w:tc>
          <w:tcPr>
            <w:tcW w:w="718" w:type="dxa"/>
          </w:tcPr>
          <w:p>
            <w:pPr>
              <w:pStyle w:val="TableParagraph"/>
              <w:spacing w:before="50"/>
              <w:ind w:right="66"/>
              <w:rPr>
                <w:sz w:val="16"/>
              </w:rPr>
            </w:pPr>
            <w:r>
              <w:rPr>
                <w:sz w:val="16"/>
              </w:rPr>
              <w:t>23.64</w:t>
            </w:r>
          </w:p>
        </w:tc>
        <w:tc>
          <w:tcPr>
            <w:tcW w:w="554" w:type="dxa"/>
          </w:tcPr>
          <w:p>
            <w:pPr>
              <w:pStyle w:val="TableParagraph"/>
              <w:spacing w:before="50"/>
              <w:ind w:right="69"/>
              <w:rPr>
                <w:sz w:val="16"/>
              </w:rPr>
            </w:pPr>
            <w:r>
              <w:rPr>
                <w:w w:val="95"/>
                <w:sz w:val="16"/>
              </w:rPr>
              <w:t>0.47</w:t>
            </w:r>
          </w:p>
        </w:tc>
        <w:tc>
          <w:tcPr>
            <w:tcW w:w="538" w:type="dxa"/>
          </w:tcPr>
          <w:p>
            <w:pPr>
              <w:pStyle w:val="TableParagraph"/>
              <w:spacing w:before="50"/>
              <w:ind w:right="68"/>
              <w:rPr>
                <w:sz w:val="16"/>
              </w:rPr>
            </w:pPr>
            <w:r>
              <w:rPr>
                <w:w w:val="98"/>
                <w:sz w:val="16"/>
              </w:rPr>
              <w:t>0</w:t>
            </w:r>
          </w:p>
        </w:tc>
        <w:tc>
          <w:tcPr>
            <w:tcW w:w="669" w:type="dxa"/>
          </w:tcPr>
          <w:p>
            <w:pPr>
              <w:pStyle w:val="TableParagraph"/>
              <w:spacing w:before="50"/>
              <w:ind w:right="66"/>
              <w:rPr>
                <w:sz w:val="16"/>
              </w:rPr>
            </w:pPr>
            <w:r>
              <w:rPr>
                <w:w w:val="95"/>
                <w:sz w:val="16"/>
              </w:rPr>
              <w:t>0.39</w:t>
            </w:r>
          </w:p>
        </w:tc>
        <w:tc>
          <w:tcPr>
            <w:tcW w:w="535" w:type="dxa"/>
          </w:tcPr>
          <w:p>
            <w:pPr>
              <w:pStyle w:val="TableParagraph"/>
              <w:spacing w:before="50"/>
              <w:ind w:right="68"/>
              <w:rPr>
                <w:sz w:val="16"/>
              </w:rPr>
            </w:pPr>
            <w:r>
              <w:rPr>
                <w:w w:val="98"/>
                <w:sz w:val="16"/>
              </w:rPr>
              <w:t>0</w:t>
            </w:r>
          </w:p>
        </w:tc>
        <w:tc>
          <w:tcPr>
            <w:tcW w:w="667" w:type="dxa"/>
          </w:tcPr>
          <w:p>
            <w:pPr>
              <w:pStyle w:val="TableParagraph"/>
              <w:spacing w:before="50"/>
              <w:ind w:right="64"/>
              <w:rPr>
                <w:sz w:val="16"/>
              </w:rPr>
            </w:pPr>
            <w:r>
              <w:rPr>
                <w:sz w:val="16"/>
              </w:rPr>
              <w:t>269.73</w:t>
            </w:r>
          </w:p>
        </w:tc>
        <w:tc>
          <w:tcPr>
            <w:tcW w:w="665" w:type="dxa"/>
          </w:tcPr>
          <w:p>
            <w:pPr>
              <w:pStyle w:val="TableParagraph"/>
              <w:spacing w:before="50"/>
              <w:ind w:right="66"/>
              <w:rPr>
                <w:sz w:val="16"/>
              </w:rPr>
            </w:pPr>
            <w:r>
              <w:rPr>
                <w:w w:val="95"/>
                <w:sz w:val="16"/>
              </w:rPr>
              <w:t>96.4</w:t>
            </w:r>
          </w:p>
        </w:tc>
        <w:tc>
          <w:tcPr>
            <w:tcW w:w="544" w:type="dxa"/>
          </w:tcPr>
          <w:p>
            <w:pPr>
              <w:pStyle w:val="TableParagraph"/>
              <w:spacing w:before="50"/>
              <w:ind w:left="111"/>
              <w:jc w:val="left"/>
              <w:rPr>
                <w:sz w:val="16"/>
              </w:rPr>
            </w:pPr>
            <w:r>
              <w:rPr>
                <w:sz w:val="16"/>
              </w:rPr>
              <w:t>133.6</w:t>
            </w:r>
          </w:p>
        </w:tc>
        <w:tc>
          <w:tcPr>
            <w:tcW w:w="679" w:type="dxa"/>
          </w:tcPr>
          <w:p>
            <w:pPr>
              <w:pStyle w:val="TableParagraph"/>
              <w:spacing w:before="50"/>
              <w:ind w:right="70"/>
              <w:rPr>
                <w:sz w:val="16"/>
              </w:rPr>
            </w:pPr>
            <w:r>
              <w:rPr>
                <w:sz w:val="16"/>
              </w:rPr>
              <w:t>30.55</w:t>
            </w:r>
          </w:p>
        </w:tc>
        <w:tc>
          <w:tcPr>
            <w:tcW w:w="594" w:type="dxa"/>
          </w:tcPr>
          <w:p>
            <w:pPr>
              <w:pStyle w:val="TableParagraph"/>
              <w:spacing w:before="50"/>
              <w:ind w:right="64"/>
              <w:rPr>
                <w:sz w:val="16"/>
              </w:rPr>
            </w:pPr>
            <w:r>
              <w:rPr>
                <w:w w:val="95"/>
                <w:sz w:val="16"/>
              </w:rPr>
              <w:t>1.61</w:t>
            </w:r>
          </w:p>
        </w:tc>
        <w:tc>
          <w:tcPr>
            <w:tcW w:w="595" w:type="dxa"/>
          </w:tcPr>
          <w:p>
            <w:pPr>
              <w:pStyle w:val="TableParagraph"/>
              <w:spacing w:before="50"/>
              <w:ind w:right="69"/>
              <w:rPr>
                <w:sz w:val="16"/>
              </w:rPr>
            </w:pPr>
            <w:r>
              <w:rPr>
                <w:w w:val="95"/>
                <w:sz w:val="16"/>
              </w:rPr>
              <w:t>0.58</w:t>
            </w:r>
          </w:p>
        </w:tc>
        <w:tc>
          <w:tcPr>
            <w:tcW w:w="545" w:type="dxa"/>
          </w:tcPr>
          <w:p>
            <w:pPr>
              <w:pStyle w:val="TableParagraph"/>
              <w:spacing w:before="50"/>
              <w:ind w:right="66"/>
              <w:rPr>
                <w:sz w:val="16"/>
              </w:rPr>
            </w:pPr>
            <w:r>
              <w:rPr>
                <w:w w:val="95"/>
                <w:sz w:val="16"/>
              </w:rPr>
              <w:t>0.02</w:t>
            </w:r>
          </w:p>
        </w:tc>
        <w:tc>
          <w:tcPr>
            <w:tcW w:w="598" w:type="dxa"/>
          </w:tcPr>
          <w:p>
            <w:pPr>
              <w:pStyle w:val="TableParagraph"/>
              <w:spacing w:before="50"/>
              <w:ind w:right="69"/>
              <w:rPr>
                <w:sz w:val="16"/>
              </w:rPr>
            </w:pPr>
            <w:r>
              <w:rPr>
                <w:w w:val="95"/>
                <w:sz w:val="16"/>
              </w:rPr>
              <w:t>0.03</w:t>
            </w:r>
          </w:p>
        </w:tc>
        <w:tc>
          <w:tcPr>
            <w:tcW w:w="593" w:type="dxa"/>
          </w:tcPr>
          <w:p>
            <w:pPr>
              <w:pStyle w:val="TableParagraph"/>
              <w:spacing w:before="50"/>
              <w:ind w:right="67"/>
              <w:rPr>
                <w:sz w:val="16"/>
              </w:rPr>
            </w:pPr>
            <w:r>
              <w:rPr>
                <w:sz w:val="16"/>
              </w:rPr>
              <w:t>36.04</w:t>
            </w:r>
          </w:p>
        </w:tc>
        <w:tc>
          <w:tcPr>
            <w:tcW w:w="830" w:type="dxa"/>
          </w:tcPr>
          <w:p>
            <w:pPr>
              <w:pStyle w:val="TableParagraph"/>
              <w:spacing w:before="50"/>
              <w:ind w:right="66"/>
              <w:rPr>
                <w:sz w:val="16"/>
              </w:rPr>
            </w:pPr>
            <w:r>
              <w:rPr>
                <w:w w:val="95"/>
                <w:sz w:val="16"/>
              </w:rPr>
              <w:t>0.75</w:t>
            </w:r>
          </w:p>
        </w:tc>
        <w:tc>
          <w:tcPr>
            <w:tcW w:w="821" w:type="dxa"/>
          </w:tcPr>
          <w:p>
            <w:pPr>
              <w:pStyle w:val="TableParagraph"/>
              <w:spacing w:before="50"/>
              <w:ind w:right="66"/>
              <w:rPr>
                <w:sz w:val="16"/>
              </w:rPr>
            </w:pPr>
            <w:r>
              <w:rPr>
                <w:w w:val="95"/>
                <w:sz w:val="16"/>
              </w:rPr>
              <w:t>0.25</w:t>
            </w:r>
          </w:p>
        </w:tc>
        <w:tc>
          <w:tcPr>
            <w:tcW w:w="831" w:type="dxa"/>
          </w:tcPr>
          <w:p>
            <w:pPr>
              <w:pStyle w:val="TableParagraph"/>
              <w:spacing w:before="50"/>
              <w:ind w:right="66"/>
              <w:rPr>
                <w:sz w:val="16"/>
              </w:rPr>
            </w:pPr>
            <w:r>
              <w:rPr>
                <w:w w:val="95"/>
                <w:sz w:val="16"/>
              </w:rPr>
              <w:t>0.14</w:t>
            </w:r>
          </w:p>
        </w:tc>
        <w:tc>
          <w:tcPr>
            <w:tcW w:w="891" w:type="dxa"/>
          </w:tcPr>
          <w:p>
            <w:pPr>
              <w:pStyle w:val="TableParagraph"/>
              <w:spacing w:before="50"/>
              <w:ind w:right="198"/>
              <w:rPr>
                <w:sz w:val="16"/>
              </w:rPr>
            </w:pPr>
            <w:r>
              <w:rPr>
                <w:w w:val="98"/>
                <w:sz w:val="16"/>
              </w:rPr>
              <w:t>0</w:t>
            </w:r>
          </w:p>
        </w:tc>
      </w:tr>
      <w:tr>
        <w:trPr>
          <w:trHeight w:val="300" w:hRule="exact"/>
        </w:trPr>
        <w:tc>
          <w:tcPr>
            <w:tcW w:w="685" w:type="dxa"/>
          </w:tcPr>
          <w:p>
            <w:pPr>
              <w:pStyle w:val="TableParagraph"/>
              <w:spacing w:before="47"/>
              <w:ind w:right="72"/>
              <w:rPr>
                <w:sz w:val="16"/>
              </w:rPr>
            </w:pPr>
            <w:r>
              <w:rPr>
                <w:w w:val="98"/>
                <w:sz w:val="16"/>
              </w:rPr>
              <w:t>8</w:t>
            </w:r>
          </w:p>
        </w:tc>
        <w:tc>
          <w:tcPr>
            <w:tcW w:w="716" w:type="dxa"/>
          </w:tcPr>
          <w:p>
            <w:pPr>
              <w:pStyle w:val="TableParagraph"/>
              <w:spacing w:before="47"/>
              <w:ind w:right="69"/>
              <w:rPr>
                <w:sz w:val="16"/>
              </w:rPr>
            </w:pPr>
            <w:r>
              <w:rPr>
                <w:sz w:val="16"/>
              </w:rPr>
              <w:t>155.89</w:t>
            </w:r>
          </w:p>
        </w:tc>
        <w:tc>
          <w:tcPr>
            <w:tcW w:w="718" w:type="dxa"/>
          </w:tcPr>
          <w:p>
            <w:pPr>
              <w:pStyle w:val="TableParagraph"/>
              <w:spacing w:before="47"/>
              <w:ind w:right="66"/>
              <w:rPr>
                <w:sz w:val="16"/>
              </w:rPr>
            </w:pPr>
            <w:r>
              <w:rPr>
                <w:sz w:val="16"/>
              </w:rPr>
              <w:t>15.51</w:t>
            </w:r>
          </w:p>
        </w:tc>
        <w:tc>
          <w:tcPr>
            <w:tcW w:w="554" w:type="dxa"/>
          </w:tcPr>
          <w:p>
            <w:pPr>
              <w:pStyle w:val="TableParagraph"/>
              <w:spacing w:before="47"/>
              <w:ind w:right="69"/>
              <w:rPr>
                <w:sz w:val="16"/>
              </w:rPr>
            </w:pPr>
            <w:r>
              <w:rPr>
                <w:w w:val="95"/>
                <w:sz w:val="16"/>
              </w:rPr>
              <w:t>0.68</w:t>
            </w:r>
          </w:p>
        </w:tc>
        <w:tc>
          <w:tcPr>
            <w:tcW w:w="538" w:type="dxa"/>
          </w:tcPr>
          <w:p>
            <w:pPr>
              <w:pStyle w:val="TableParagraph"/>
              <w:spacing w:before="47"/>
              <w:ind w:right="68"/>
              <w:rPr>
                <w:sz w:val="16"/>
              </w:rPr>
            </w:pPr>
            <w:r>
              <w:rPr>
                <w:w w:val="98"/>
                <w:sz w:val="16"/>
              </w:rPr>
              <w:t>0</w:t>
            </w:r>
          </w:p>
        </w:tc>
        <w:tc>
          <w:tcPr>
            <w:tcW w:w="669" w:type="dxa"/>
          </w:tcPr>
          <w:p>
            <w:pPr>
              <w:pStyle w:val="TableParagraph"/>
              <w:spacing w:before="47"/>
              <w:ind w:right="66"/>
              <w:rPr>
                <w:sz w:val="16"/>
              </w:rPr>
            </w:pPr>
            <w:r>
              <w:rPr>
                <w:w w:val="95"/>
                <w:sz w:val="16"/>
              </w:rPr>
              <w:t>1.87</w:t>
            </w:r>
          </w:p>
        </w:tc>
        <w:tc>
          <w:tcPr>
            <w:tcW w:w="535" w:type="dxa"/>
          </w:tcPr>
          <w:p>
            <w:pPr>
              <w:pStyle w:val="TableParagraph"/>
              <w:spacing w:before="47"/>
              <w:ind w:right="68"/>
              <w:rPr>
                <w:sz w:val="16"/>
              </w:rPr>
            </w:pPr>
            <w:r>
              <w:rPr>
                <w:w w:val="98"/>
                <w:sz w:val="16"/>
              </w:rPr>
              <w:t>0</w:t>
            </w:r>
          </w:p>
        </w:tc>
        <w:tc>
          <w:tcPr>
            <w:tcW w:w="667" w:type="dxa"/>
          </w:tcPr>
          <w:p>
            <w:pPr>
              <w:pStyle w:val="TableParagraph"/>
              <w:spacing w:before="47"/>
              <w:ind w:right="64"/>
              <w:rPr>
                <w:sz w:val="16"/>
              </w:rPr>
            </w:pPr>
            <w:r>
              <w:rPr>
                <w:sz w:val="16"/>
              </w:rPr>
              <w:t>319.95</w:t>
            </w:r>
          </w:p>
        </w:tc>
        <w:tc>
          <w:tcPr>
            <w:tcW w:w="665" w:type="dxa"/>
          </w:tcPr>
          <w:p>
            <w:pPr>
              <w:pStyle w:val="TableParagraph"/>
              <w:spacing w:before="47"/>
              <w:ind w:right="66"/>
              <w:rPr>
                <w:sz w:val="16"/>
              </w:rPr>
            </w:pPr>
            <w:r>
              <w:rPr>
                <w:sz w:val="16"/>
              </w:rPr>
              <w:t>86.08</w:t>
            </w:r>
          </w:p>
        </w:tc>
        <w:tc>
          <w:tcPr>
            <w:tcW w:w="544" w:type="dxa"/>
          </w:tcPr>
          <w:p>
            <w:pPr>
              <w:pStyle w:val="TableParagraph"/>
              <w:spacing w:before="47"/>
              <w:ind w:left="111"/>
              <w:jc w:val="left"/>
              <w:rPr>
                <w:sz w:val="16"/>
              </w:rPr>
            </w:pPr>
            <w:r>
              <w:rPr>
                <w:sz w:val="16"/>
              </w:rPr>
              <w:t>98.68</w:t>
            </w:r>
          </w:p>
        </w:tc>
        <w:tc>
          <w:tcPr>
            <w:tcW w:w="679" w:type="dxa"/>
          </w:tcPr>
          <w:p>
            <w:pPr>
              <w:pStyle w:val="TableParagraph"/>
              <w:spacing w:before="47"/>
              <w:ind w:right="70"/>
              <w:rPr>
                <w:sz w:val="16"/>
              </w:rPr>
            </w:pPr>
            <w:r>
              <w:rPr>
                <w:w w:val="95"/>
                <w:sz w:val="16"/>
              </w:rPr>
              <w:t>22.3</w:t>
            </w:r>
          </w:p>
        </w:tc>
        <w:tc>
          <w:tcPr>
            <w:tcW w:w="594" w:type="dxa"/>
          </w:tcPr>
          <w:p>
            <w:pPr>
              <w:pStyle w:val="TableParagraph"/>
              <w:spacing w:before="47"/>
              <w:ind w:right="64"/>
              <w:rPr>
                <w:sz w:val="16"/>
              </w:rPr>
            </w:pPr>
            <w:r>
              <w:rPr>
                <w:w w:val="95"/>
                <w:sz w:val="16"/>
              </w:rPr>
              <w:t>1.22</w:t>
            </w:r>
          </w:p>
        </w:tc>
        <w:tc>
          <w:tcPr>
            <w:tcW w:w="595" w:type="dxa"/>
          </w:tcPr>
          <w:p>
            <w:pPr>
              <w:pStyle w:val="TableParagraph"/>
              <w:spacing w:before="47"/>
              <w:ind w:right="69"/>
              <w:rPr>
                <w:sz w:val="16"/>
              </w:rPr>
            </w:pPr>
            <w:r>
              <w:rPr>
                <w:w w:val="95"/>
                <w:sz w:val="16"/>
              </w:rPr>
              <w:t>0.08</w:t>
            </w:r>
          </w:p>
        </w:tc>
        <w:tc>
          <w:tcPr>
            <w:tcW w:w="545" w:type="dxa"/>
          </w:tcPr>
          <w:p>
            <w:pPr>
              <w:pStyle w:val="TableParagraph"/>
              <w:spacing w:before="47"/>
              <w:ind w:right="66"/>
              <w:rPr>
                <w:sz w:val="16"/>
              </w:rPr>
            </w:pPr>
            <w:r>
              <w:rPr>
                <w:w w:val="95"/>
                <w:sz w:val="16"/>
              </w:rPr>
              <w:t>0.02</w:t>
            </w:r>
          </w:p>
        </w:tc>
        <w:tc>
          <w:tcPr>
            <w:tcW w:w="598" w:type="dxa"/>
          </w:tcPr>
          <w:p>
            <w:pPr>
              <w:pStyle w:val="TableParagraph"/>
              <w:spacing w:before="47"/>
              <w:ind w:right="69"/>
              <w:rPr>
                <w:sz w:val="16"/>
              </w:rPr>
            </w:pPr>
            <w:r>
              <w:rPr>
                <w:w w:val="95"/>
                <w:sz w:val="16"/>
              </w:rPr>
              <w:t>0.08</w:t>
            </w:r>
          </w:p>
        </w:tc>
        <w:tc>
          <w:tcPr>
            <w:tcW w:w="593" w:type="dxa"/>
          </w:tcPr>
          <w:p>
            <w:pPr>
              <w:pStyle w:val="TableParagraph"/>
              <w:spacing w:before="47"/>
              <w:ind w:right="66"/>
              <w:rPr>
                <w:sz w:val="16"/>
              </w:rPr>
            </w:pPr>
            <w:r>
              <w:rPr>
                <w:w w:val="95"/>
                <w:sz w:val="16"/>
              </w:rPr>
              <w:t>4.81</w:t>
            </w:r>
          </w:p>
        </w:tc>
        <w:tc>
          <w:tcPr>
            <w:tcW w:w="830" w:type="dxa"/>
          </w:tcPr>
          <w:p>
            <w:pPr>
              <w:pStyle w:val="TableParagraph"/>
              <w:spacing w:before="47"/>
              <w:ind w:right="66"/>
              <w:rPr>
                <w:sz w:val="16"/>
              </w:rPr>
            </w:pPr>
            <w:r>
              <w:rPr>
                <w:w w:val="95"/>
                <w:sz w:val="16"/>
              </w:rPr>
              <w:t>0.43</w:t>
            </w:r>
          </w:p>
        </w:tc>
        <w:tc>
          <w:tcPr>
            <w:tcW w:w="821" w:type="dxa"/>
          </w:tcPr>
          <w:p>
            <w:pPr>
              <w:pStyle w:val="TableParagraph"/>
              <w:spacing w:before="47"/>
              <w:ind w:right="66"/>
              <w:rPr>
                <w:sz w:val="16"/>
              </w:rPr>
            </w:pPr>
            <w:r>
              <w:rPr>
                <w:w w:val="95"/>
                <w:sz w:val="16"/>
              </w:rPr>
              <w:t>0.14</w:t>
            </w:r>
          </w:p>
        </w:tc>
        <w:tc>
          <w:tcPr>
            <w:tcW w:w="831" w:type="dxa"/>
          </w:tcPr>
          <w:p>
            <w:pPr>
              <w:pStyle w:val="TableParagraph"/>
              <w:spacing w:before="47"/>
              <w:ind w:right="66"/>
              <w:rPr>
                <w:sz w:val="16"/>
              </w:rPr>
            </w:pPr>
            <w:r>
              <w:rPr>
                <w:w w:val="95"/>
                <w:sz w:val="16"/>
              </w:rPr>
              <w:t>0.08</w:t>
            </w:r>
          </w:p>
        </w:tc>
        <w:tc>
          <w:tcPr>
            <w:tcW w:w="891" w:type="dxa"/>
          </w:tcPr>
          <w:p>
            <w:pPr>
              <w:pStyle w:val="TableParagraph"/>
              <w:spacing w:before="47"/>
              <w:ind w:right="198"/>
              <w:rPr>
                <w:sz w:val="16"/>
              </w:rPr>
            </w:pPr>
            <w:r>
              <w:rPr>
                <w:w w:val="98"/>
                <w:sz w:val="16"/>
              </w:rPr>
              <w:t>0</w:t>
            </w:r>
          </w:p>
        </w:tc>
      </w:tr>
      <w:tr>
        <w:trPr>
          <w:trHeight w:val="300" w:hRule="exact"/>
        </w:trPr>
        <w:tc>
          <w:tcPr>
            <w:tcW w:w="685" w:type="dxa"/>
          </w:tcPr>
          <w:p>
            <w:pPr>
              <w:pStyle w:val="TableParagraph"/>
              <w:spacing w:before="50"/>
              <w:ind w:right="72"/>
              <w:rPr>
                <w:sz w:val="16"/>
              </w:rPr>
            </w:pPr>
            <w:r>
              <w:rPr>
                <w:w w:val="98"/>
                <w:sz w:val="16"/>
              </w:rPr>
              <w:t>9</w:t>
            </w:r>
          </w:p>
        </w:tc>
        <w:tc>
          <w:tcPr>
            <w:tcW w:w="716" w:type="dxa"/>
          </w:tcPr>
          <w:p>
            <w:pPr>
              <w:pStyle w:val="TableParagraph"/>
              <w:spacing w:before="50"/>
              <w:ind w:right="69"/>
              <w:rPr>
                <w:sz w:val="16"/>
              </w:rPr>
            </w:pPr>
            <w:r>
              <w:rPr>
                <w:sz w:val="16"/>
              </w:rPr>
              <w:t>73.04</w:t>
            </w:r>
          </w:p>
        </w:tc>
        <w:tc>
          <w:tcPr>
            <w:tcW w:w="718" w:type="dxa"/>
          </w:tcPr>
          <w:p>
            <w:pPr>
              <w:pStyle w:val="TableParagraph"/>
              <w:spacing w:before="50"/>
              <w:ind w:right="66"/>
              <w:rPr>
                <w:sz w:val="16"/>
              </w:rPr>
            </w:pPr>
            <w:r>
              <w:rPr>
                <w:sz w:val="16"/>
              </w:rPr>
              <w:t>11.21</w:t>
            </w:r>
          </w:p>
        </w:tc>
        <w:tc>
          <w:tcPr>
            <w:tcW w:w="554" w:type="dxa"/>
          </w:tcPr>
          <w:p>
            <w:pPr>
              <w:pStyle w:val="TableParagraph"/>
              <w:spacing w:before="50"/>
              <w:ind w:right="69"/>
              <w:rPr>
                <w:sz w:val="16"/>
              </w:rPr>
            </w:pPr>
            <w:r>
              <w:rPr>
                <w:w w:val="95"/>
                <w:sz w:val="16"/>
              </w:rPr>
              <w:t>0.82</w:t>
            </w:r>
          </w:p>
        </w:tc>
        <w:tc>
          <w:tcPr>
            <w:tcW w:w="538" w:type="dxa"/>
          </w:tcPr>
          <w:p>
            <w:pPr>
              <w:pStyle w:val="TableParagraph"/>
              <w:spacing w:before="50"/>
              <w:ind w:right="68"/>
              <w:rPr>
                <w:sz w:val="16"/>
              </w:rPr>
            </w:pPr>
            <w:r>
              <w:rPr>
                <w:w w:val="98"/>
                <w:sz w:val="16"/>
              </w:rPr>
              <w:t>0</w:t>
            </w:r>
          </w:p>
        </w:tc>
        <w:tc>
          <w:tcPr>
            <w:tcW w:w="669" w:type="dxa"/>
          </w:tcPr>
          <w:p>
            <w:pPr>
              <w:pStyle w:val="TableParagraph"/>
              <w:spacing w:before="50"/>
              <w:ind w:right="66"/>
              <w:rPr>
                <w:sz w:val="16"/>
              </w:rPr>
            </w:pPr>
            <w:r>
              <w:rPr>
                <w:w w:val="95"/>
                <w:sz w:val="16"/>
              </w:rPr>
              <w:t>3.59</w:t>
            </w:r>
          </w:p>
        </w:tc>
        <w:tc>
          <w:tcPr>
            <w:tcW w:w="535" w:type="dxa"/>
          </w:tcPr>
          <w:p>
            <w:pPr>
              <w:pStyle w:val="TableParagraph"/>
              <w:spacing w:before="50"/>
              <w:ind w:right="68"/>
              <w:rPr>
                <w:sz w:val="16"/>
              </w:rPr>
            </w:pPr>
            <w:r>
              <w:rPr>
                <w:w w:val="98"/>
                <w:sz w:val="16"/>
              </w:rPr>
              <w:t>0</w:t>
            </w:r>
          </w:p>
        </w:tc>
        <w:tc>
          <w:tcPr>
            <w:tcW w:w="667" w:type="dxa"/>
          </w:tcPr>
          <w:p>
            <w:pPr>
              <w:pStyle w:val="TableParagraph"/>
              <w:spacing w:before="50"/>
              <w:ind w:right="64"/>
              <w:rPr>
                <w:sz w:val="16"/>
              </w:rPr>
            </w:pPr>
            <w:r>
              <w:rPr>
                <w:sz w:val="16"/>
              </w:rPr>
              <w:t>289.44</w:t>
            </w:r>
          </w:p>
        </w:tc>
        <w:tc>
          <w:tcPr>
            <w:tcW w:w="665" w:type="dxa"/>
          </w:tcPr>
          <w:p>
            <w:pPr>
              <w:pStyle w:val="TableParagraph"/>
              <w:spacing w:before="50"/>
              <w:ind w:right="66"/>
              <w:rPr>
                <w:sz w:val="16"/>
              </w:rPr>
            </w:pPr>
            <w:r>
              <w:rPr>
                <w:w w:val="95"/>
                <w:sz w:val="16"/>
              </w:rPr>
              <w:t>87.4</w:t>
            </w:r>
          </w:p>
        </w:tc>
        <w:tc>
          <w:tcPr>
            <w:tcW w:w="544" w:type="dxa"/>
          </w:tcPr>
          <w:p>
            <w:pPr>
              <w:pStyle w:val="TableParagraph"/>
              <w:spacing w:before="50"/>
              <w:ind w:left="111"/>
              <w:jc w:val="left"/>
              <w:rPr>
                <w:sz w:val="16"/>
              </w:rPr>
            </w:pPr>
            <w:r>
              <w:rPr>
                <w:sz w:val="16"/>
              </w:rPr>
              <w:t>110.1</w:t>
            </w:r>
          </w:p>
        </w:tc>
        <w:tc>
          <w:tcPr>
            <w:tcW w:w="679" w:type="dxa"/>
          </w:tcPr>
          <w:p>
            <w:pPr>
              <w:pStyle w:val="TableParagraph"/>
              <w:spacing w:before="50"/>
              <w:ind w:right="70"/>
              <w:rPr>
                <w:sz w:val="16"/>
              </w:rPr>
            </w:pPr>
            <w:r>
              <w:rPr>
                <w:sz w:val="16"/>
              </w:rPr>
              <w:t>17.84</w:t>
            </w:r>
          </w:p>
        </w:tc>
        <w:tc>
          <w:tcPr>
            <w:tcW w:w="594" w:type="dxa"/>
          </w:tcPr>
          <w:p>
            <w:pPr>
              <w:pStyle w:val="TableParagraph"/>
              <w:spacing w:before="50"/>
              <w:ind w:right="64"/>
              <w:rPr>
                <w:sz w:val="16"/>
              </w:rPr>
            </w:pPr>
            <w:r>
              <w:rPr>
                <w:w w:val="95"/>
                <w:sz w:val="16"/>
              </w:rPr>
              <w:t>0.52</w:t>
            </w:r>
          </w:p>
        </w:tc>
        <w:tc>
          <w:tcPr>
            <w:tcW w:w="595" w:type="dxa"/>
          </w:tcPr>
          <w:p>
            <w:pPr>
              <w:pStyle w:val="TableParagraph"/>
              <w:spacing w:before="50"/>
              <w:ind w:right="69"/>
              <w:rPr>
                <w:sz w:val="16"/>
              </w:rPr>
            </w:pPr>
            <w:r>
              <w:rPr>
                <w:w w:val="95"/>
                <w:sz w:val="16"/>
              </w:rPr>
              <w:t>0.05</w:t>
            </w:r>
          </w:p>
        </w:tc>
        <w:tc>
          <w:tcPr>
            <w:tcW w:w="545" w:type="dxa"/>
          </w:tcPr>
          <w:p>
            <w:pPr>
              <w:pStyle w:val="TableParagraph"/>
              <w:spacing w:before="50"/>
              <w:ind w:right="66"/>
              <w:rPr>
                <w:sz w:val="16"/>
              </w:rPr>
            </w:pPr>
            <w:r>
              <w:rPr>
                <w:w w:val="95"/>
                <w:sz w:val="16"/>
              </w:rPr>
              <w:t>0.02</w:t>
            </w:r>
          </w:p>
        </w:tc>
        <w:tc>
          <w:tcPr>
            <w:tcW w:w="598" w:type="dxa"/>
          </w:tcPr>
          <w:p>
            <w:pPr>
              <w:pStyle w:val="TableParagraph"/>
              <w:spacing w:before="50"/>
              <w:ind w:right="69"/>
              <w:rPr>
                <w:sz w:val="16"/>
              </w:rPr>
            </w:pPr>
            <w:r>
              <w:rPr>
                <w:w w:val="95"/>
                <w:sz w:val="16"/>
              </w:rPr>
              <w:t>0.08</w:t>
            </w:r>
          </w:p>
        </w:tc>
        <w:tc>
          <w:tcPr>
            <w:tcW w:w="593" w:type="dxa"/>
          </w:tcPr>
          <w:p>
            <w:pPr>
              <w:pStyle w:val="TableParagraph"/>
              <w:spacing w:before="50"/>
              <w:ind w:right="66"/>
              <w:rPr>
                <w:sz w:val="16"/>
              </w:rPr>
            </w:pPr>
            <w:r>
              <w:rPr>
                <w:w w:val="95"/>
                <w:sz w:val="16"/>
              </w:rPr>
              <w:t>1.97</w:t>
            </w:r>
          </w:p>
        </w:tc>
        <w:tc>
          <w:tcPr>
            <w:tcW w:w="830" w:type="dxa"/>
          </w:tcPr>
          <w:p>
            <w:pPr>
              <w:pStyle w:val="TableParagraph"/>
              <w:spacing w:before="50"/>
              <w:ind w:right="71"/>
              <w:rPr>
                <w:sz w:val="16"/>
              </w:rPr>
            </w:pPr>
            <w:r>
              <w:rPr>
                <w:w w:val="95"/>
                <w:sz w:val="16"/>
              </w:rPr>
              <w:t>0.4</w:t>
            </w:r>
          </w:p>
        </w:tc>
        <w:tc>
          <w:tcPr>
            <w:tcW w:w="821" w:type="dxa"/>
          </w:tcPr>
          <w:p>
            <w:pPr>
              <w:pStyle w:val="TableParagraph"/>
              <w:spacing w:before="50"/>
              <w:ind w:right="66"/>
              <w:rPr>
                <w:sz w:val="16"/>
              </w:rPr>
            </w:pPr>
            <w:r>
              <w:rPr>
                <w:w w:val="95"/>
                <w:sz w:val="16"/>
              </w:rPr>
              <w:t>0.12</w:t>
            </w:r>
          </w:p>
        </w:tc>
        <w:tc>
          <w:tcPr>
            <w:tcW w:w="831" w:type="dxa"/>
          </w:tcPr>
          <w:p>
            <w:pPr>
              <w:pStyle w:val="TableParagraph"/>
              <w:spacing w:before="50"/>
              <w:ind w:right="66"/>
              <w:rPr>
                <w:sz w:val="16"/>
              </w:rPr>
            </w:pPr>
            <w:r>
              <w:rPr>
                <w:w w:val="95"/>
                <w:sz w:val="16"/>
              </w:rPr>
              <w:t>0.07</w:t>
            </w:r>
          </w:p>
        </w:tc>
        <w:tc>
          <w:tcPr>
            <w:tcW w:w="891" w:type="dxa"/>
          </w:tcPr>
          <w:p>
            <w:pPr>
              <w:pStyle w:val="TableParagraph"/>
              <w:spacing w:before="50"/>
              <w:ind w:right="198"/>
              <w:rPr>
                <w:sz w:val="16"/>
              </w:rPr>
            </w:pPr>
            <w:r>
              <w:rPr>
                <w:w w:val="98"/>
                <w:sz w:val="16"/>
              </w:rPr>
              <w:t>0</w:t>
            </w:r>
          </w:p>
        </w:tc>
      </w:tr>
      <w:tr>
        <w:trPr>
          <w:trHeight w:val="300" w:hRule="exact"/>
        </w:trPr>
        <w:tc>
          <w:tcPr>
            <w:tcW w:w="685" w:type="dxa"/>
          </w:tcPr>
          <w:p>
            <w:pPr>
              <w:pStyle w:val="TableParagraph"/>
              <w:spacing w:before="47"/>
              <w:ind w:right="65"/>
              <w:rPr>
                <w:sz w:val="16"/>
              </w:rPr>
            </w:pPr>
            <w:r>
              <w:rPr>
                <w:sz w:val="16"/>
              </w:rPr>
              <w:t>10</w:t>
            </w:r>
          </w:p>
        </w:tc>
        <w:tc>
          <w:tcPr>
            <w:tcW w:w="716" w:type="dxa"/>
          </w:tcPr>
          <w:p>
            <w:pPr>
              <w:pStyle w:val="TableParagraph"/>
              <w:spacing w:before="47"/>
              <w:ind w:right="69"/>
              <w:rPr>
                <w:sz w:val="16"/>
              </w:rPr>
            </w:pPr>
            <w:r>
              <w:rPr>
                <w:sz w:val="16"/>
              </w:rPr>
              <w:t>61.66</w:t>
            </w:r>
          </w:p>
        </w:tc>
        <w:tc>
          <w:tcPr>
            <w:tcW w:w="718" w:type="dxa"/>
          </w:tcPr>
          <w:p>
            <w:pPr>
              <w:pStyle w:val="TableParagraph"/>
              <w:spacing w:before="47"/>
              <w:ind w:right="66"/>
              <w:rPr>
                <w:sz w:val="16"/>
              </w:rPr>
            </w:pPr>
            <w:r>
              <w:rPr>
                <w:w w:val="95"/>
                <w:sz w:val="16"/>
              </w:rPr>
              <w:t>5.44</w:t>
            </w:r>
          </w:p>
        </w:tc>
        <w:tc>
          <w:tcPr>
            <w:tcW w:w="554" w:type="dxa"/>
          </w:tcPr>
          <w:p>
            <w:pPr>
              <w:pStyle w:val="TableParagraph"/>
              <w:spacing w:before="47"/>
              <w:ind w:right="69"/>
              <w:rPr>
                <w:sz w:val="16"/>
              </w:rPr>
            </w:pPr>
            <w:r>
              <w:rPr>
                <w:w w:val="95"/>
                <w:sz w:val="16"/>
              </w:rPr>
              <w:t>0.78</w:t>
            </w:r>
          </w:p>
        </w:tc>
        <w:tc>
          <w:tcPr>
            <w:tcW w:w="538" w:type="dxa"/>
          </w:tcPr>
          <w:p>
            <w:pPr>
              <w:pStyle w:val="TableParagraph"/>
              <w:spacing w:before="47"/>
              <w:ind w:right="68"/>
              <w:rPr>
                <w:sz w:val="16"/>
              </w:rPr>
            </w:pPr>
            <w:r>
              <w:rPr>
                <w:w w:val="98"/>
                <w:sz w:val="16"/>
              </w:rPr>
              <w:t>0</w:t>
            </w:r>
          </w:p>
        </w:tc>
        <w:tc>
          <w:tcPr>
            <w:tcW w:w="669" w:type="dxa"/>
          </w:tcPr>
          <w:p>
            <w:pPr>
              <w:pStyle w:val="TableParagraph"/>
              <w:spacing w:before="47"/>
              <w:ind w:right="71"/>
              <w:rPr>
                <w:sz w:val="16"/>
              </w:rPr>
            </w:pPr>
            <w:r>
              <w:rPr>
                <w:w w:val="95"/>
                <w:sz w:val="16"/>
              </w:rPr>
              <w:t>2.4</w:t>
            </w:r>
          </w:p>
        </w:tc>
        <w:tc>
          <w:tcPr>
            <w:tcW w:w="535" w:type="dxa"/>
          </w:tcPr>
          <w:p>
            <w:pPr>
              <w:pStyle w:val="TableParagraph"/>
              <w:spacing w:before="47"/>
              <w:ind w:right="68"/>
              <w:rPr>
                <w:sz w:val="16"/>
              </w:rPr>
            </w:pPr>
            <w:r>
              <w:rPr>
                <w:w w:val="98"/>
                <w:sz w:val="16"/>
              </w:rPr>
              <w:t>0</w:t>
            </w:r>
          </w:p>
        </w:tc>
        <w:tc>
          <w:tcPr>
            <w:tcW w:w="667" w:type="dxa"/>
          </w:tcPr>
          <w:p>
            <w:pPr>
              <w:pStyle w:val="TableParagraph"/>
              <w:spacing w:before="47"/>
              <w:ind w:right="64"/>
              <w:rPr>
                <w:sz w:val="16"/>
              </w:rPr>
            </w:pPr>
            <w:r>
              <w:rPr>
                <w:sz w:val="16"/>
              </w:rPr>
              <w:t>285.35</w:t>
            </w:r>
          </w:p>
        </w:tc>
        <w:tc>
          <w:tcPr>
            <w:tcW w:w="665" w:type="dxa"/>
          </w:tcPr>
          <w:p>
            <w:pPr>
              <w:pStyle w:val="TableParagraph"/>
              <w:spacing w:before="47"/>
              <w:ind w:right="66"/>
              <w:rPr>
                <w:sz w:val="16"/>
              </w:rPr>
            </w:pPr>
            <w:r>
              <w:rPr>
                <w:sz w:val="16"/>
              </w:rPr>
              <w:t>57.06</w:t>
            </w:r>
          </w:p>
        </w:tc>
        <w:tc>
          <w:tcPr>
            <w:tcW w:w="544" w:type="dxa"/>
          </w:tcPr>
          <w:p>
            <w:pPr>
              <w:pStyle w:val="TableParagraph"/>
              <w:spacing w:before="47"/>
              <w:ind w:left="111"/>
              <w:jc w:val="left"/>
              <w:rPr>
                <w:sz w:val="16"/>
              </w:rPr>
            </w:pPr>
            <w:r>
              <w:rPr>
                <w:sz w:val="16"/>
              </w:rPr>
              <w:t>90.32</w:t>
            </w:r>
          </w:p>
        </w:tc>
        <w:tc>
          <w:tcPr>
            <w:tcW w:w="679" w:type="dxa"/>
          </w:tcPr>
          <w:p>
            <w:pPr>
              <w:pStyle w:val="TableParagraph"/>
              <w:spacing w:before="47"/>
              <w:ind w:right="70"/>
              <w:rPr>
                <w:sz w:val="16"/>
              </w:rPr>
            </w:pPr>
            <w:r>
              <w:rPr>
                <w:sz w:val="16"/>
              </w:rPr>
              <w:t>11.55</w:t>
            </w:r>
          </w:p>
        </w:tc>
        <w:tc>
          <w:tcPr>
            <w:tcW w:w="594" w:type="dxa"/>
          </w:tcPr>
          <w:p>
            <w:pPr>
              <w:pStyle w:val="TableParagraph"/>
              <w:spacing w:before="47"/>
              <w:ind w:right="64"/>
              <w:rPr>
                <w:sz w:val="16"/>
              </w:rPr>
            </w:pPr>
            <w:r>
              <w:rPr>
                <w:w w:val="95"/>
                <w:sz w:val="16"/>
              </w:rPr>
              <w:t>0.31</w:t>
            </w:r>
          </w:p>
        </w:tc>
        <w:tc>
          <w:tcPr>
            <w:tcW w:w="595" w:type="dxa"/>
          </w:tcPr>
          <w:p>
            <w:pPr>
              <w:pStyle w:val="TableParagraph"/>
              <w:spacing w:before="47"/>
              <w:ind w:right="69"/>
              <w:rPr>
                <w:sz w:val="16"/>
              </w:rPr>
            </w:pPr>
            <w:r>
              <w:rPr>
                <w:w w:val="95"/>
                <w:sz w:val="16"/>
              </w:rPr>
              <w:t>0.02</w:t>
            </w:r>
          </w:p>
        </w:tc>
        <w:tc>
          <w:tcPr>
            <w:tcW w:w="545" w:type="dxa"/>
          </w:tcPr>
          <w:p>
            <w:pPr>
              <w:pStyle w:val="TableParagraph"/>
              <w:spacing w:before="47"/>
              <w:ind w:right="66"/>
              <w:rPr>
                <w:sz w:val="16"/>
              </w:rPr>
            </w:pPr>
            <w:r>
              <w:rPr>
                <w:w w:val="95"/>
                <w:sz w:val="16"/>
              </w:rPr>
              <w:t>0.01</w:t>
            </w:r>
          </w:p>
        </w:tc>
        <w:tc>
          <w:tcPr>
            <w:tcW w:w="598" w:type="dxa"/>
          </w:tcPr>
          <w:p>
            <w:pPr>
              <w:pStyle w:val="TableParagraph"/>
              <w:spacing w:before="47"/>
              <w:ind w:right="69"/>
              <w:rPr>
                <w:sz w:val="16"/>
              </w:rPr>
            </w:pPr>
            <w:r>
              <w:rPr>
                <w:w w:val="95"/>
                <w:sz w:val="16"/>
              </w:rPr>
              <w:t>0.11</w:t>
            </w:r>
          </w:p>
        </w:tc>
        <w:tc>
          <w:tcPr>
            <w:tcW w:w="593" w:type="dxa"/>
          </w:tcPr>
          <w:p>
            <w:pPr>
              <w:pStyle w:val="TableParagraph"/>
              <w:spacing w:before="47"/>
              <w:ind w:right="66"/>
              <w:rPr>
                <w:sz w:val="16"/>
              </w:rPr>
            </w:pPr>
            <w:r>
              <w:rPr>
                <w:w w:val="95"/>
                <w:sz w:val="16"/>
              </w:rPr>
              <w:t>1.12</w:t>
            </w:r>
          </w:p>
        </w:tc>
        <w:tc>
          <w:tcPr>
            <w:tcW w:w="830" w:type="dxa"/>
          </w:tcPr>
          <w:p>
            <w:pPr>
              <w:pStyle w:val="TableParagraph"/>
              <w:spacing w:before="47"/>
              <w:ind w:right="66"/>
              <w:rPr>
                <w:sz w:val="16"/>
              </w:rPr>
            </w:pPr>
            <w:r>
              <w:rPr>
                <w:w w:val="95"/>
                <w:sz w:val="16"/>
              </w:rPr>
              <w:t>0.13</w:t>
            </w:r>
          </w:p>
        </w:tc>
        <w:tc>
          <w:tcPr>
            <w:tcW w:w="821" w:type="dxa"/>
          </w:tcPr>
          <w:p>
            <w:pPr>
              <w:pStyle w:val="TableParagraph"/>
              <w:spacing w:before="47"/>
              <w:ind w:right="66"/>
              <w:rPr>
                <w:sz w:val="16"/>
              </w:rPr>
            </w:pPr>
            <w:r>
              <w:rPr>
                <w:w w:val="95"/>
                <w:sz w:val="16"/>
              </w:rPr>
              <w:t>0.05</w:t>
            </w:r>
          </w:p>
        </w:tc>
        <w:tc>
          <w:tcPr>
            <w:tcW w:w="831" w:type="dxa"/>
          </w:tcPr>
          <w:p>
            <w:pPr>
              <w:pStyle w:val="TableParagraph"/>
              <w:spacing w:before="47"/>
              <w:ind w:right="66"/>
              <w:rPr>
                <w:sz w:val="16"/>
              </w:rPr>
            </w:pPr>
            <w:r>
              <w:rPr>
                <w:w w:val="95"/>
                <w:sz w:val="16"/>
              </w:rPr>
              <w:t>0.02</w:t>
            </w:r>
          </w:p>
        </w:tc>
        <w:tc>
          <w:tcPr>
            <w:tcW w:w="891" w:type="dxa"/>
          </w:tcPr>
          <w:p>
            <w:pPr>
              <w:pStyle w:val="TableParagraph"/>
              <w:spacing w:before="47"/>
              <w:ind w:right="198"/>
              <w:rPr>
                <w:sz w:val="16"/>
              </w:rPr>
            </w:pPr>
            <w:r>
              <w:rPr>
                <w:w w:val="98"/>
                <w:sz w:val="16"/>
              </w:rPr>
              <w:t>0</w:t>
            </w:r>
          </w:p>
        </w:tc>
      </w:tr>
      <w:tr>
        <w:trPr>
          <w:trHeight w:val="300" w:hRule="exact"/>
        </w:trPr>
        <w:tc>
          <w:tcPr>
            <w:tcW w:w="685" w:type="dxa"/>
          </w:tcPr>
          <w:p>
            <w:pPr>
              <w:pStyle w:val="TableParagraph"/>
              <w:spacing w:before="50"/>
              <w:ind w:right="65"/>
              <w:rPr>
                <w:sz w:val="16"/>
              </w:rPr>
            </w:pPr>
            <w:r>
              <w:rPr>
                <w:sz w:val="16"/>
              </w:rPr>
              <w:t>11</w:t>
            </w:r>
          </w:p>
        </w:tc>
        <w:tc>
          <w:tcPr>
            <w:tcW w:w="716" w:type="dxa"/>
          </w:tcPr>
          <w:p>
            <w:pPr>
              <w:pStyle w:val="TableParagraph"/>
              <w:spacing w:before="50"/>
              <w:ind w:right="69"/>
              <w:rPr>
                <w:sz w:val="16"/>
              </w:rPr>
            </w:pPr>
            <w:r>
              <w:rPr>
                <w:sz w:val="16"/>
              </w:rPr>
              <w:t>23.77</w:t>
            </w:r>
          </w:p>
        </w:tc>
        <w:tc>
          <w:tcPr>
            <w:tcW w:w="718" w:type="dxa"/>
          </w:tcPr>
          <w:p>
            <w:pPr>
              <w:pStyle w:val="TableParagraph"/>
              <w:spacing w:before="50"/>
              <w:ind w:right="66"/>
              <w:rPr>
                <w:sz w:val="16"/>
              </w:rPr>
            </w:pPr>
            <w:r>
              <w:rPr>
                <w:w w:val="95"/>
                <w:sz w:val="16"/>
              </w:rPr>
              <w:t>0.29</w:t>
            </w:r>
          </w:p>
        </w:tc>
        <w:tc>
          <w:tcPr>
            <w:tcW w:w="554" w:type="dxa"/>
          </w:tcPr>
          <w:p>
            <w:pPr>
              <w:pStyle w:val="TableParagraph"/>
              <w:spacing w:before="50"/>
              <w:ind w:right="73"/>
              <w:rPr>
                <w:sz w:val="16"/>
              </w:rPr>
            </w:pPr>
            <w:r>
              <w:rPr>
                <w:w w:val="95"/>
                <w:sz w:val="16"/>
              </w:rPr>
              <w:t>0.6</w:t>
            </w:r>
          </w:p>
        </w:tc>
        <w:tc>
          <w:tcPr>
            <w:tcW w:w="538" w:type="dxa"/>
          </w:tcPr>
          <w:p>
            <w:pPr>
              <w:pStyle w:val="TableParagraph"/>
              <w:spacing w:before="50"/>
              <w:ind w:right="68"/>
              <w:rPr>
                <w:sz w:val="16"/>
              </w:rPr>
            </w:pPr>
            <w:r>
              <w:rPr>
                <w:w w:val="98"/>
                <w:sz w:val="16"/>
              </w:rPr>
              <w:t>0</w:t>
            </w:r>
          </w:p>
        </w:tc>
        <w:tc>
          <w:tcPr>
            <w:tcW w:w="669" w:type="dxa"/>
          </w:tcPr>
          <w:p>
            <w:pPr>
              <w:pStyle w:val="TableParagraph"/>
              <w:spacing w:before="50"/>
              <w:ind w:right="66"/>
              <w:rPr>
                <w:sz w:val="16"/>
              </w:rPr>
            </w:pPr>
            <w:r>
              <w:rPr>
                <w:w w:val="95"/>
                <w:sz w:val="16"/>
              </w:rPr>
              <w:t>0.08</w:t>
            </w:r>
          </w:p>
        </w:tc>
        <w:tc>
          <w:tcPr>
            <w:tcW w:w="535" w:type="dxa"/>
          </w:tcPr>
          <w:p>
            <w:pPr>
              <w:pStyle w:val="TableParagraph"/>
              <w:spacing w:before="50"/>
              <w:ind w:right="68"/>
              <w:rPr>
                <w:sz w:val="16"/>
              </w:rPr>
            </w:pPr>
            <w:r>
              <w:rPr>
                <w:w w:val="98"/>
                <w:sz w:val="16"/>
              </w:rPr>
              <w:t>0</w:t>
            </w:r>
          </w:p>
        </w:tc>
        <w:tc>
          <w:tcPr>
            <w:tcW w:w="667" w:type="dxa"/>
          </w:tcPr>
          <w:p>
            <w:pPr>
              <w:pStyle w:val="TableParagraph"/>
              <w:spacing w:before="50"/>
              <w:ind w:right="64"/>
              <w:rPr>
                <w:sz w:val="16"/>
              </w:rPr>
            </w:pPr>
            <w:r>
              <w:rPr>
                <w:sz w:val="16"/>
              </w:rPr>
              <w:t>284.31</w:t>
            </w:r>
          </w:p>
        </w:tc>
        <w:tc>
          <w:tcPr>
            <w:tcW w:w="665" w:type="dxa"/>
          </w:tcPr>
          <w:p>
            <w:pPr>
              <w:pStyle w:val="TableParagraph"/>
              <w:spacing w:before="50"/>
              <w:ind w:right="66"/>
              <w:rPr>
                <w:sz w:val="16"/>
              </w:rPr>
            </w:pPr>
            <w:r>
              <w:rPr>
                <w:sz w:val="16"/>
              </w:rPr>
              <w:t>24.24</w:t>
            </w:r>
          </w:p>
        </w:tc>
        <w:tc>
          <w:tcPr>
            <w:tcW w:w="544" w:type="dxa"/>
          </w:tcPr>
          <w:p>
            <w:pPr>
              <w:pStyle w:val="TableParagraph"/>
              <w:spacing w:before="50"/>
              <w:ind w:left="111"/>
              <w:jc w:val="left"/>
              <w:rPr>
                <w:sz w:val="16"/>
              </w:rPr>
            </w:pPr>
            <w:r>
              <w:rPr>
                <w:sz w:val="16"/>
              </w:rPr>
              <w:t>72.94</w:t>
            </w:r>
          </w:p>
        </w:tc>
        <w:tc>
          <w:tcPr>
            <w:tcW w:w="679" w:type="dxa"/>
          </w:tcPr>
          <w:p>
            <w:pPr>
              <w:pStyle w:val="TableParagraph"/>
              <w:spacing w:before="50"/>
              <w:ind w:right="70"/>
              <w:rPr>
                <w:sz w:val="16"/>
              </w:rPr>
            </w:pPr>
            <w:r>
              <w:rPr>
                <w:w w:val="95"/>
                <w:sz w:val="16"/>
              </w:rPr>
              <w:t>5.36</w:t>
            </w:r>
          </w:p>
        </w:tc>
        <w:tc>
          <w:tcPr>
            <w:tcW w:w="594" w:type="dxa"/>
          </w:tcPr>
          <w:p>
            <w:pPr>
              <w:pStyle w:val="TableParagraph"/>
              <w:spacing w:before="50"/>
              <w:ind w:right="64"/>
              <w:rPr>
                <w:sz w:val="16"/>
              </w:rPr>
            </w:pPr>
            <w:r>
              <w:rPr>
                <w:w w:val="95"/>
                <w:sz w:val="16"/>
              </w:rPr>
              <w:t>0.01</w:t>
            </w:r>
          </w:p>
        </w:tc>
        <w:tc>
          <w:tcPr>
            <w:tcW w:w="595" w:type="dxa"/>
          </w:tcPr>
          <w:p>
            <w:pPr>
              <w:pStyle w:val="TableParagraph"/>
              <w:spacing w:before="50"/>
              <w:ind w:right="73"/>
              <w:rPr>
                <w:sz w:val="16"/>
              </w:rPr>
            </w:pPr>
            <w:r>
              <w:rPr>
                <w:w w:val="98"/>
                <w:sz w:val="16"/>
              </w:rPr>
              <w:t>0</w:t>
            </w:r>
          </w:p>
        </w:tc>
        <w:tc>
          <w:tcPr>
            <w:tcW w:w="545" w:type="dxa"/>
          </w:tcPr>
          <w:p>
            <w:pPr>
              <w:pStyle w:val="TableParagraph"/>
              <w:spacing w:before="50"/>
              <w:ind w:right="66"/>
              <w:rPr>
                <w:sz w:val="16"/>
              </w:rPr>
            </w:pPr>
            <w:r>
              <w:rPr>
                <w:w w:val="95"/>
                <w:sz w:val="16"/>
              </w:rPr>
              <w:t>0.01</w:t>
            </w:r>
          </w:p>
        </w:tc>
        <w:tc>
          <w:tcPr>
            <w:tcW w:w="598" w:type="dxa"/>
          </w:tcPr>
          <w:p>
            <w:pPr>
              <w:pStyle w:val="TableParagraph"/>
              <w:spacing w:before="50"/>
              <w:ind w:right="73"/>
              <w:rPr>
                <w:sz w:val="16"/>
              </w:rPr>
            </w:pPr>
            <w:r>
              <w:rPr>
                <w:w w:val="98"/>
                <w:sz w:val="16"/>
              </w:rPr>
              <w:t>0</w:t>
            </w:r>
          </w:p>
        </w:tc>
        <w:tc>
          <w:tcPr>
            <w:tcW w:w="593" w:type="dxa"/>
          </w:tcPr>
          <w:p>
            <w:pPr>
              <w:pStyle w:val="TableParagraph"/>
              <w:spacing w:before="50"/>
              <w:ind w:right="66"/>
              <w:rPr>
                <w:sz w:val="16"/>
              </w:rPr>
            </w:pPr>
            <w:r>
              <w:rPr>
                <w:w w:val="95"/>
                <w:sz w:val="16"/>
              </w:rPr>
              <w:t>0.37</w:t>
            </w:r>
          </w:p>
        </w:tc>
        <w:tc>
          <w:tcPr>
            <w:tcW w:w="830" w:type="dxa"/>
          </w:tcPr>
          <w:p>
            <w:pPr>
              <w:pStyle w:val="TableParagraph"/>
              <w:spacing w:before="50"/>
              <w:ind w:right="72"/>
              <w:rPr>
                <w:sz w:val="16"/>
              </w:rPr>
            </w:pPr>
            <w:r>
              <w:rPr>
                <w:w w:val="98"/>
                <w:sz w:val="16"/>
              </w:rPr>
              <w:t>0</w:t>
            </w:r>
          </w:p>
        </w:tc>
        <w:tc>
          <w:tcPr>
            <w:tcW w:w="821" w:type="dxa"/>
          </w:tcPr>
          <w:p>
            <w:pPr>
              <w:pStyle w:val="TableParagraph"/>
              <w:spacing w:before="50"/>
              <w:ind w:right="70"/>
              <w:rPr>
                <w:sz w:val="16"/>
              </w:rPr>
            </w:pPr>
            <w:r>
              <w:rPr>
                <w:w w:val="98"/>
                <w:sz w:val="16"/>
              </w:rPr>
              <w:t>0</w:t>
            </w:r>
          </w:p>
        </w:tc>
        <w:tc>
          <w:tcPr>
            <w:tcW w:w="831" w:type="dxa"/>
          </w:tcPr>
          <w:p>
            <w:pPr>
              <w:pStyle w:val="TableParagraph"/>
              <w:spacing w:before="50"/>
              <w:ind w:right="72"/>
              <w:rPr>
                <w:sz w:val="16"/>
              </w:rPr>
            </w:pPr>
            <w:r>
              <w:rPr>
                <w:w w:val="98"/>
                <w:sz w:val="16"/>
              </w:rPr>
              <w:t>0</w:t>
            </w:r>
          </w:p>
        </w:tc>
        <w:tc>
          <w:tcPr>
            <w:tcW w:w="891" w:type="dxa"/>
          </w:tcPr>
          <w:p>
            <w:pPr>
              <w:pStyle w:val="TableParagraph"/>
              <w:spacing w:before="50"/>
              <w:ind w:right="198"/>
              <w:rPr>
                <w:sz w:val="16"/>
              </w:rPr>
            </w:pPr>
            <w:r>
              <w:rPr>
                <w:w w:val="98"/>
                <w:sz w:val="16"/>
              </w:rPr>
              <w:t>0</w:t>
            </w:r>
          </w:p>
        </w:tc>
      </w:tr>
      <w:tr>
        <w:trPr>
          <w:trHeight w:val="449" w:hRule="exact"/>
        </w:trPr>
        <w:tc>
          <w:tcPr>
            <w:tcW w:w="685" w:type="dxa"/>
          </w:tcPr>
          <w:p>
            <w:pPr>
              <w:pStyle w:val="TableParagraph"/>
              <w:spacing w:before="48"/>
              <w:ind w:right="65"/>
              <w:rPr>
                <w:sz w:val="16"/>
              </w:rPr>
            </w:pPr>
            <w:r>
              <w:rPr>
                <w:sz w:val="16"/>
              </w:rPr>
              <w:t>12</w:t>
            </w:r>
          </w:p>
        </w:tc>
        <w:tc>
          <w:tcPr>
            <w:tcW w:w="716" w:type="dxa"/>
          </w:tcPr>
          <w:p>
            <w:pPr>
              <w:pStyle w:val="TableParagraph"/>
              <w:spacing w:before="48"/>
              <w:ind w:right="69"/>
              <w:rPr>
                <w:sz w:val="16"/>
              </w:rPr>
            </w:pPr>
            <w:r>
              <w:rPr>
                <w:w w:val="95"/>
                <w:sz w:val="16"/>
              </w:rPr>
              <w:t>8.52</w:t>
            </w:r>
          </w:p>
        </w:tc>
        <w:tc>
          <w:tcPr>
            <w:tcW w:w="718" w:type="dxa"/>
          </w:tcPr>
          <w:p>
            <w:pPr>
              <w:pStyle w:val="TableParagraph"/>
              <w:spacing w:before="48"/>
              <w:ind w:right="66"/>
              <w:rPr>
                <w:sz w:val="16"/>
              </w:rPr>
            </w:pPr>
            <w:r>
              <w:rPr>
                <w:w w:val="95"/>
                <w:sz w:val="16"/>
              </w:rPr>
              <w:t>0.07</w:t>
            </w:r>
          </w:p>
        </w:tc>
        <w:tc>
          <w:tcPr>
            <w:tcW w:w="554" w:type="dxa"/>
          </w:tcPr>
          <w:p>
            <w:pPr>
              <w:pStyle w:val="TableParagraph"/>
              <w:spacing w:before="48"/>
              <w:ind w:right="69"/>
              <w:rPr>
                <w:sz w:val="16"/>
              </w:rPr>
            </w:pPr>
            <w:r>
              <w:rPr>
                <w:w w:val="95"/>
                <w:sz w:val="16"/>
              </w:rPr>
              <w:t>0.48</w:t>
            </w:r>
          </w:p>
        </w:tc>
        <w:tc>
          <w:tcPr>
            <w:tcW w:w="538" w:type="dxa"/>
          </w:tcPr>
          <w:p>
            <w:pPr>
              <w:pStyle w:val="TableParagraph"/>
              <w:spacing w:before="48"/>
              <w:ind w:right="68"/>
              <w:rPr>
                <w:sz w:val="16"/>
              </w:rPr>
            </w:pPr>
            <w:r>
              <w:rPr>
                <w:w w:val="99"/>
                <w:sz w:val="16"/>
              </w:rPr>
              <w:t>0</w:t>
            </w:r>
          </w:p>
        </w:tc>
        <w:tc>
          <w:tcPr>
            <w:tcW w:w="669" w:type="dxa"/>
          </w:tcPr>
          <w:p>
            <w:pPr>
              <w:pStyle w:val="TableParagraph"/>
              <w:spacing w:before="48"/>
              <w:ind w:right="66"/>
              <w:rPr>
                <w:sz w:val="16"/>
              </w:rPr>
            </w:pPr>
            <w:r>
              <w:rPr>
                <w:w w:val="95"/>
                <w:sz w:val="16"/>
              </w:rPr>
              <w:t>0.02</w:t>
            </w:r>
          </w:p>
        </w:tc>
        <w:tc>
          <w:tcPr>
            <w:tcW w:w="535" w:type="dxa"/>
          </w:tcPr>
          <w:p>
            <w:pPr>
              <w:pStyle w:val="TableParagraph"/>
              <w:spacing w:before="48"/>
              <w:ind w:right="68"/>
              <w:rPr>
                <w:sz w:val="16"/>
              </w:rPr>
            </w:pPr>
            <w:r>
              <w:rPr>
                <w:w w:val="99"/>
                <w:sz w:val="16"/>
              </w:rPr>
              <w:t>0</w:t>
            </w:r>
          </w:p>
        </w:tc>
        <w:tc>
          <w:tcPr>
            <w:tcW w:w="667" w:type="dxa"/>
          </w:tcPr>
          <w:p>
            <w:pPr>
              <w:pStyle w:val="TableParagraph"/>
              <w:spacing w:before="48"/>
              <w:ind w:right="64"/>
              <w:rPr>
                <w:sz w:val="16"/>
              </w:rPr>
            </w:pPr>
            <w:r>
              <w:rPr>
                <w:sz w:val="16"/>
              </w:rPr>
              <w:t>277.23</w:t>
            </w:r>
          </w:p>
        </w:tc>
        <w:tc>
          <w:tcPr>
            <w:tcW w:w="665" w:type="dxa"/>
          </w:tcPr>
          <w:p>
            <w:pPr>
              <w:pStyle w:val="TableParagraph"/>
              <w:spacing w:before="48"/>
              <w:ind w:right="66"/>
              <w:rPr>
                <w:sz w:val="16"/>
              </w:rPr>
            </w:pPr>
            <w:r>
              <w:rPr>
                <w:sz w:val="16"/>
              </w:rPr>
              <w:t>15.44</w:t>
            </w:r>
          </w:p>
        </w:tc>
        <w:tc>
          <w:tcPr>
            <w:tcW w:w="544" w:type="dxa"/>
          </w:tcPr>
          <w:p>
            <w:pPr>
              <w:pStyle w:val="TableParagraph"/>
              <w:spacing w:before="48"/>
              <w:ind w:left="111"/>
              <w:jc w:val="left"/>
              <w:rPr>
                <w:sz w:val="16"/>
              </w:rPr>
            </w:pPr>
            <w:r>
              <w:rPr>
                <w:sz w:val="16"/>
              </w:rPr>
              <w:t>67.13</w:t>
            </w:r>
          </w:p>
        </w:tc>
        <w:tc>
          <w:tcPr>
            <w:tcW w:w="679" w:type="dxa"/>
          </w:tcPr>
          <w:p>
            <w:pPr>
              <w:pStyle w:val="TableParagraph"/>
              <w:spacing w:before="48"/>
              <w:ind w:right="70"/>
              <w:rPr>
                <w:sz w:val="16"/>
              </w:rPr>
            </w:pPr>
            <w:r>
              <w:rPr>
                <w:w w:val="95"/>
                <w:sz w:val="16"/>
              </w:rPr>
              <w:t>4.66</w:t>
            </w:r>
          </w:p>
        </w:tc>
        <w:tc>
          <w:tcPr>
            <w:tcW w:w="594" w:type="dxa"/>
          </w:tcPr>
          <w:p>
            <w:pPr>
              <w:pStyle w:val="TableParagraph"/>
              <w:spacing w:before="48"/>
              <w:ind w:right="68"/>
              <w:rPr>
                <w:sz w:val="16"/>
              </w:rPr>
            </w:pPr>
            <w:r>
              <w:rPr>
                <w:w w:val="99"/>
                <w:sz w:val="16"/>
              </w:rPr>
              <w:t>0</w:t>
            </w:r>
          </w:p>
        </w:tc>
        <w:tc>
          <w:tcPr>
            <w:tcW w:w="595" w:type="dxa"/>
          </w:tcPr>
          <w:p>
            <w:pPr>
              <w:pStyle w:val="TableParagraph"/>
              <w:spacing w:before="48"/>
              <w:ind w:right="73"/>
              <w:rPr>
                <w:sz w:val="16"/>
              </w:rPr>
            </w:pPr>
            <w:r>
              <w:rPr>
                <w:w w:val="99"/>
                <w:sz w:val="16"/>
              </w:rPr>
              <w:t>0</w:t>
            </w:r>
          </w:p>
        </w:tc>
        <w:tc>
          <w:tcPr>
            <w:tcW w:w="545" w:type="dxa"/>
          </w:tcPr>
          <w:p>
            <w:pPr>
              <w:pStyle w:val="TableParagraph"/>
              <w:spacing w:before="48"/>
              <w:ind w:right="66"/>
              <w:rPr>
                <w:sz w:val="16"/>
              </w:rPr>
            </w:pPr>
            <w:r>
              <w:rPr>
                <w:w w:val="95"/>
                <w:sz w:val="16"/>
              </w:rPr>
              <w:t>0.01</w:t>
            </w:r>
          </w:p>
        </w:tc>
        <w:tc>
          <w:tcPr>
            <w:tcW w:w="598" w:type="dxa"/>
          </w:tcPr>
          <w:p>
            <w:pPr>
              <w:pStyle w:val="TableParagraph"/>
              <w:spacing w:before="48"/>
              <w:ind w:right="73"/>
              <w:rPr>
                <w:sz w:val="16"/>
              </w:rPr>
            </w:pPr>
            <w:r>
              <w:rPr>
                <w:w w:val="99"/>
                <w:sz w:val="16"/>
              </w:rPr>
              <w:t>0</w:t>
            </w:r>
          </w:p>
        </w:tc>
        <w:tc>
          <w:tcPr>
            <w:tcW w:w="593" w:type="dxa"/>
          </w:tcPr>
          <w:p>
            <w:pPr>
              <w:pStyle w:val="TableParagraph"/>
              <w:spacing w:before="48"/>
              <w:ind w:right="66"/>
              <w:rPr>
                <w:sz w:val="16"/>
              </w:rPr>
            </w:pPr>
            <w:r>
              <w:rPr>
                <w:w w:val="95"/>
                <w:sz w:val="16"/>
              </w:rPr>
              <w:t>0.15</w:t>
            </w:r>
          </w:p>
        </w:tc>
        <w:tc>
          <w:tcPr>
            <w:tcW w:w="830" w:type="dxa"/>
          </w:tcPr>
          <w:p>
            <w:pPr>
              <w:pStyle w:val="TableParagraph"/>
              <w:spacing w:before="48"/>
              <w:ind w:right="72"/>
              <w:rPr>
                <w:sz w:val="16"/>
              </w:rPr>
            </w:pPr>
            <w:r>
              <w:rPr>
                <w:w w:val="99"/>
                <w:sz w:val="16"/>
              </w:rPr>
              <w:t>0</w:t>
            </w:r>
          </w:p>
        </w:tc>
        <w:tc>
          <w:tcPr>
            <w:tcW w:w="821" w:type="dxa"/>
          </w:tcPr>
          <w:p>
            <w:pPr>
              <w:pStyle w:val="TableParagraph"/>
              <w:spacing w:before="48"/>
              <w:ind w:right="70"/>
              <w:rPr>
                <w:sz w:val="16"/>
              </w:rPr>
            </w:pPr>
            <w:r>
              <w:rPr>
                <w:w w:val="99"/>
                <w:sz w:val="16"/>
              </w:rPr>
              <w:t>0</w:t>
            </w:r>
          </w:p>
        </w:tc>
        <w:tc>
          <w:tcPr>
            <w:tcW w:w="831" w:type="dxa"/>
          </w:tcPr>
          <w:p>
            <w:pPr>
              <w:pStyle w:val="TableParagraph"/>
              <w:spacing w:before="48"/>
              <w:ind w:right="72"/>
              <w:rPr>
                <w:sz w:val="16"/>
              </w:rPr>
            </w:pPr>
            <w:r>
              <w:rPr>
                <w:w w:val="99"/>
                <w:sz w:val="16"/>
              </w:rPr>
              <w:t>0</w:t>
            </w:r>
          </w:p>
        </w:tc>
        <w:tc>
          <w:tcPr>
            <w:tcW w:w="891" w:type="dxa"/>
          </w:tcPr>
          <w:p>
            <w:pPr>
              <w:pStyle w:val="TableParagraph"/>
              <w:spacing w:before="48"/>
              <w:ind w:right="198"/>
              <w:rPr>
                <w:sz w:val="16"/>
              </w:rPr>
            </w:pPr>
            <w:r>
              <w:rPr>
                <w:w w:val="99"/>
                <w:sz w:val="16"/>
              </w:rPr>
              <w:t>0</w:t>
            </w:r>
          </w:p>
        </w:tc>
      </w:tr>
      <w:tr>
        <w:trPr>
          <w:trHeight w:val="451" w:hRule="exact"/>
        </w:trPr>
        <w:tc>
          <w:tcPr>
            <w:tcW w:w="685" w:type="dxa"/>
          </w:tcPr>
          <w:p>
            <w:pPr>
              <w:pStyle w:val="TableParagraph"/>
              <w:spacing w:before="3"/>
              <w:jc w:val="left"/>
              <w:rPr>
                <w:sz w:val="17"/>
              </w:rPr>
            </w:pPr>
          </w:p>
          <w:p>
            <w:pPr>
              <w:pStyle w:val="TableParagraph"/>
              <w:spacing w:before="0"/>
              <w:ind w:right="65"/>
              <w:rPr>
                <w:sz w:val="16"/>
              </w:rPr>
            </w:pPr>
            <w:r>
              <w:rPr>
                <w:sz w:val="16"/>
              </w:rPr>
              <w:t>2005</w:t>
            </w:r>
          </w:p>
        </w:tc>
        <w:tc>
          <w:tcPr>
            <w:tcW w:w="716" w:type="dxa"/>
          </w:tcPr>
          <w:p>
            <w:pPr>
              <w:pStyle w:val="TableParagraph"/>
              <w:spacing w:before="3"/>
              <w:jc w:val="left"/>
              <w:rPr>
                <w:sz w:val="17"/>
              </w:rPr>
            </w:pPr>
          </w:p>
          <w:p>
            <w:pPr>
              <w:pStyle w:val="TableParagraph"/>
              <w:spacing w:before="0"/>
              <w:ind w:right="69"/>
              <w:rPr>
                <w:sz w:val="16"/>
              </w:rPr>
            </w:pPr>
            <w:r>
              <w:rPr>
                <w:sz w:val="16"/>
              </w:rPr>
              <w:t>563.38</w:t>
            </w:r>
          </w:p>
        </w:tc>
        <w:tc>
          <w:tcPr>
            <w:tcW w:w="718" w:type="dxa"/>
          </w:tcPr>
          <w:p>
            <w:pPr>
              <w:pStyle w:val="TableParagraph"/>
              <w:spacing w:before="3"/>
              <w:jc w:val="left"/>
              <w:rPr>
                <w:sz w:val="17"/>
              </w:rPr>
            </w:pPr>
          </w:p>
          <w:p>
            <w:pPr>
              <w:pStyle w:val="TableParagraph"/>
              <w:spacing w:before="0"/>
              <w:ind w:right="66"/>
              <w:rPr>
                <w:sz w:val="16"/>
              </w:rPr>
            </w:pPr>
            <w:r>
              <w:rPr>
                <w:sz w:val="16"/>
              </w:rPr>
              <w:t>58.28</w:t>
            </w:r>
          </w:p>
        </w:tc>
        <w:tc>
          <w:tcPr>
            <w:tcW w:w="554" w:type="dxa"/>
          </w:tcPr>
          <w:p>
            <w:pPr>
              <w:pStyle w:val="TableParagraph"/>
              <w:spacing w:before="3"/>
              <w:jc w:val="left"/>
              <w:rPr>
                <w:sz w:val="17"/>
              </w:rPr>
            </w:pPr>
          </w:p>
          <w:p>
            <w:pPr>
              <w:pStyle w:val="TableParagraph"/>
              <w:spacing w:before="0"/>
              <w:ind w:right="73"/>
              <w:rPr>
                <w:sz w:val="16"/>
              </w:rPr>
            </w:pPr>
            <w:r>
              <w:rPr>
                <w:w w:val="95"/>
                <w:sz w:val="16"/>
              </w:rPr>
              <w:t>6.6</w:t>
            </w:r>
          </w:p>
        </w:tc>
        <w:tc>
          <w:tcPr>
            <w:tcW w:w="538" w:type="dxa"/>
          </w:tcPr>
          <w:p>
            <w:pPr>
              <w:pStyle w:val="TableParagraph"/>
              <w:spacing w:before="3"/>
              <w:jc w:val="left"/>
              <w:rPr>
                <w:sz w:val="17"/>
              </w:rPr>
            </w:pPr>
          </w:p>
          <w:p>
            <w:pPr>
              <w:pStyle w:val="TableParagraph"/>
              <w:spacing w:before="0"/>
              <w:ind w:right="68"/>
              <w:rPr>
                <w:sz w:val="16"/>
              </w:rPr>
            </w:pPr>
            <w:r>
              <w:rPr>
                <w:w w:val="99"/>
                <w:sz w:val="16"/>
              </w:rPr>
              <w:t>0</w:t>
            </w:r>
          </w:p>
        </w:tc>
        <w:tc>
          <w:tcPr>
            <w:tcW w:w="669" w:type="dxa"/>
          </w:tcPr>
          <w:p>
            <w:pPr>
              <w:pStyle w:val="TableParagraph"/>
              <w:spacing w:before="3"/>
              <w:jc w:val="left"/>
              <w:rPr>
                <w:sz w:val="17"/>
              </w:rPr>
            </w:pPr>
          </w:p>
          <w:p>
            <w:pPr>
              <w:pStyle w:val="TableParagraph"/>
              <w:spacing w:before="0"/>
              <w:ind w:right="66"/>
              <w:rPr>
                <w:sz w:val="16"/>
              </w:rPr>
            </w:pPr>
            <w:r>
              <w:rPr>
                <w:sz w:val="16"/>
              </w:rPr>
              <w:t>29.48</w:t>
            </w:r>
          </w:p>
        </w:tc>
        <w:tc>
          <w:tcPr>
            <w:tcW w:w="535" w:type="dxa"/>
          </w:tcPr>
          <w:p>
            <w:pPr>
              <w:pStyle w:val="TableParagraph"/>
              <w:spacing w:before="3"/>
              <w:jc w:val="left"/>
              <w:rPr>
                <w:sz w:val="17"/>
              </w:rPr>
            </w:pPr>
          </w:p>
          <w:p>
            <w:pPr>
              <w:pStyle w:val="TableParagraph"/>
              <w:spacing w:before="0"/>
              <w:ind w:right="68"/>
              <w:rPr>
                <w:sz w:val="16"/>
              </w:rPr>
            </w:pPr>
            <w:r>
              <w:rPr>
                <w:w w:val="99"/>
                <w:sz w:val="16"/>
              </w:rPr>
              <w:t>0</w:t>
            </w:r>
          </w:p>
        </w:tc>
        <w:tc>
          <w:tcPr>
            <w:tcW w:w="667" w:type="dxa"/>
          </w:tcPr>
          <w:p>
            <w:pPr>
              <w:pStyle w:val="TableParagraph"/>
              <w:spacing w:before="3"/>
              <w:jc w:val="left"/>
              <w:rPr>
                <w:sz w:val="17"/>
              </w:rPr>
            </w:pPr>
          </w:p>
          <w:p>
            <w:pPr>
              <w:pStyle w:val="TableParagraph"/>
              <w:spacing w:before="0"/>
              <w:ind w:right="64"/>
              <w:rPr>
                <w:sz w:val="16"/>
              </w:rPr>
            </w:pPr>
            <w:r>
              <w:rPr>
                <w:sz w:val="16"/>
              </w:rPr>
              <w:t>277.23</w:t>
            </w:r>
          </w:p>
        </w:tc>
        <w:tc>
          <w:tcPr>
            <w:tcW w:w="665" w:type="dxa"/>
          </w:tcPr>
          <w:p>
            <w:pPr>
              <w:pStyle w:val="TableParagraph"/>
              <w:spacing w:before="3"/>
              <w:jc w:val="left"/>
              <w:rPr>
                <w:sz w:val="17"/>
              </w:rPr>
            </w:pPr>
          </w:p>
          <w:p>
            <w:pPr>
              <w:pStyle w:val="TableParagraph"/>
              <w:spacing w:before="0"/>
              <w:ind w:right="66"/>
              <w:rPr>
                <w:sz w:val="16"/>
              </w:rPr>
            </w:pPr>
            <w:r>
              <w:rPr>
                <w:sz w:val="16"/>
              </w:rPr>
              <w:t>566.37</w:t>
            </w:r>
          </w:p>
        </w:tc>
        <w:tc>
          <w:tcPr>
            <w:tcW w:w="544" w:type="dxa"/>
          </w:tcPr>
          <w:p>
            <w:pPr>
              <w:pStyle w:val="TableParagraph"/>
              <w:spacing w:before="3"/>
              <w:jc w:val="left"/>
              <w:rPr>
                <w:sz w:val="17"/>
              </w:rPr>
            </w:pPr>
          </w:p>
          <w:p>
            <w:pPr>
              <w:pStyle w:val="TableParagraph"/>
              <w:spacing w:before="0"/>
              <w:ind w:left="150"/>
              <w:jc w:val="left"/>
              <w:rPr>
                <w:sz w:val="16"/>
              </w:rPr>
            </w:pPr>
            <w:r>
              <w:rPr>
                <w:sz w:val="16"/>
              </w:rPr>
              <w:t>1241</w:t>
            </w:r>
          </w:p>
        </w:tc>
        <w:tc>
          <w:tcPr>
            <w:tcW w:w="679" w:type="dxa"/>
          </w:tcPr>
          <w:p>
            <w:pPr>
              <w:pStyle w:val="TableParagraph"/>
              <w:spacing w:before="3"/>
              <w:jc w:val="left"/>
              <w:rPr>
                <w:sz w:val="17"/>
              </w:rPr>
            </w:pPr>
          </w:p>
          <w:p>
            <w:pPr>
              <w:pStyle w:val="TableParagraph"/>
              <w:spacing w:before="0"/>
              <w:ind w:right="70"/>
              <w:rPr>
                <w:sz w:val="16"/>
              </w:rPr>
            </w:pPr>
            <w:r>
              <w:rPr>
                <w:sz w:val="16"/>
              </w:rPr>
              <w:t>149.89</w:t>
            </w:r>
          </w:p>
        </w:tc>
        <w:tc>
          <w:tcPr>
            <w:tcW w:w="594" w:type="dxa"/>
          </w:tcPr>
          <w:p>
            <w:pPr>
              <w:pStyle w:val="TableParagraph"/>
              <w:spacing w:before="3"/>
              <w:jc w:val="left"/>
              <w:rPr>
                <w:sz w:val="17"/>
              </w:rPr>
            </w:pPr>
          </w:p>
          <w:p>
            <w:pPr>
              <w:pStyle w:val="TableParagraph"/>
              <w:spacing w:before="0"/>
              <w:ind w:right="64"/>
              <w:rPr>
                <w:sz w:val="16"/>
              </w:rPr>
            </w:pPr>
            <w:r>
              <w:rPr>
                <w:w w:val="95"/>
                <w:sz w:val="16"/>
              </w:rPr>
              <w:t>3.73</w:t>
            </w:r>
          </w:p>
        </w:tc>
        <w:tc>
          <w:tcPr>
            <w:tcW w:w="595" w:type="dxa"/>
          </w:tcPr>
          <w:p>
            <w:pPr>
              <w:pStyle w:val="TableParagraph"/>
              <w:spacing w:before="3"/>
              <w:jc w:val="left"/>
              <w:rPr>
                <w:sz w:val="17"/>
              </w:rPr>
            </w:pPr>
          </w:p>
          <w:p>
            <w:pPr>
              <w:pStyle w:val="TableParagraph"/>
              <w:spacing w:before="0"/>
              <w:ind w:right="69"/>
              <w:rPr>
                <w:sz w:val="16"/>
              </w:rPr>
            </w:pPr>
            <w:r>
              <w:rPr>
                <w:w w:val="95"/>
                <w:sz w:val="16"/>
              </w:rPr>
              <w:t>0.99</w:t>
            </w:r>
          </w:p>
        </w:tc>
        <w:tc>
          <w:tcPr>
            <w:tcW w:w="545" w:type="dxa"/>
          </w:tcPr>
          <w:p>
            <w:pPr>
              <w:pStyle w:val="TableParagraph"/>
              <w:spacing w:before="3"/>
              <w:jc w:val="left"/>
              <w:rPr>
                <w:sz w:val="17"/>
              </w:rPr>
            </w:pPr>
          </w:p>
          <w:p>
            <w:pPr>
              <w:pStyle w:val="TableParagraph"/>
              <w:spacing w:before="0"/>
              <w:ind w:right="66"/>
              <w:rPr>
                <w:sz w:val="16"/>
              </w:rPr>
            </w:pPr>
            <w:r>
              <w:rPr>
                <w:w w:val="95"/>
                <w:sz w:val="16"/>
              </w:rPr>
              <w:t>0.16</w:t>
            </w:r>
          </w:p>
        </w:tc>
        <w:tc>
          <w:tcPr>
            <w:tcW w:w="598" w:type="dxa"/>
          </w:tcPr>
          <w:p>
            <w:pPr>
              <w:pStyle w:val="TableParagraph"/>
              <w:spacing w:before="3"/>
              <w:jc w:val="left"/>
              <w:rPr>
                <w:sz w:val="17"/>
              </w:rPr>
            </w:pPr>
          </w:p>
          <w:p>
            <w:pPr>
              <w:pStyle w:val="TableParagraph"/>
              <w:spacing w:before="0"/>
              <w:ind w:right="69"/>
              <w:rPr>
                <w:sz w:val="16"/>
              </w:rPr>
            </w:pPr>
            <w:r>
              <w:rPr>
                <w:w w:val="95"/>
                <w:sz w:val="16"/>
              </w:rPr>
              <w:t>1.66</w:t>
            </w:r>
          </w:p>
        </w:tc>
        <w:tc>
          <w:tcPr>
            <w:tcW w:w="593" w:type="dxa"/>
          </w:tcPr>
          <w:p>
            <w:pPr>
              <w:pStyle w:val="TableParagraph"/>
              <w:spacing w:before="3"/>
              <w:jc w:val="left"/>
              <w:rPr>
                <w:sz w:val="17"/>
              </w:rPr>
            </w:pPr>
          </w:p>
          <w:p>
            <w:pPr>
              <w:pStyle w:val="TableParagraph"/>
              <w:spacing w:before="0"/>
              <w:ind w:right="67"/>
              <w:rPr>
                <w:sz w:val="16"/>
              </w:rPr>
            </w:pPr>
            <w:r>
              <w:rPr>
                <w:sz w:val="16"/>
              </w:rPr>
              <w:t>138.8</w:t>
            </w:r>
          </w:p>
        </w:tc>
        <w:tc>
          <w:tcPr>
            <w:tcW w:w="830" w:type="dxa"/>
          </w:tcPr>
          <w:p>
            <w:pPr>
              <w:pStyle w:val="TableParagraph"/>
              <w:spacing w:before="3"/>
              <w:jc w:val="left"/>
              <w:rPr>
                <w:sz w:val="17"/>
              </w:rPr>
            </w:pPr>
          </w:p>
          <w:p>
            <w:pPr>
              <w:pStyle w:val="TableParagraph"/>
              <w:spacing w:before="0"/>
              <w:ind w:right="71"/>
              <w:rPr>
                <w:sz w:val="16"/>
              </w:rPr>
            </w:pPr>
            <w:r>
              <w:rPr>
                <w:w w:val="95"/>
                <w:sz w:val="16"/>
              </w:rPr>
              <w:t>1.8</w:t>
            </w:r>
          </w:p>
        </w:tc>
        <w:tc>
          <w:tcPr>
            <w:tcW w:w="821" w:type="dxa"/>
          </w:tcPr>
          <w:p>
            <w:pPr>
              <w:pStyle w:val="TableParagraph"/>
              <w:spacing w:before="3"/>
              <w:jc w:val="left"/>
              <w:rPr>
                <w:sz w:val="17"/>
              </w:rPr>
            </w:pPr>
          </w:p>
          <w:p>
            <w:pPr>
              <w:pStyle w:val="TableParagraph"/>
              <w:spacing w:before="0"/>
              <w:ind w:right="66"/>
              <w:rPr>
                <w:sz w:val="16"/>
              </w:rPr>
            </w:pPr>
            <w:r>
              <w:rPr>
                <w:w w:val="95"/>
                <w:sz w:val="16"/>
              </w:rPr>
              <w:t>0.58</w:t>
            </w:r>
          </w:p>
        </w:tc>
        <w:tc>
          <w:tcPr>
            <w:tcW w:w="831" w:type="dxa"/>
          </w:tcPr>
          <w:p>
            <w:pPr>
              <w:pStyle w:val="TableParagraph"/>
              <w:spacing w:before="3"/>
              <w:jc w:val="left"/>
              <w:rPr>
                <w:sz w:val="17"/>
              </w:rPr>
            </w:pPr>
          </w:p>
          <w:p>
            <w:pPr>
              <w:pStyle w:val="TableParagraph"/>
              <w:spacing w:before="0"/>
              <w:ind w:right="66"/>
              <w:rPr>
                <w:sz w:val="16"/>
              </w:rPr>
            </w:pPr>
            <w:r>
              <w:rPr>
                <w:w w:val="95"/>
                <w:sz w:val="16"/>
              </w:rPr>
              <w:t>0.32</w:t>
            </w:r>
          </w:p>
        </w:tc>
        <w:tc>
          <w:tcPr>
            <w:tcW w:w="891" w:type="dxa"/>
          </w:tcPr>
          <w:p>
            <w:pPr>
              <w:pStyle w:val="TableParagraph"/>
              <w:spacing w:before="3"/>
              <w:jc w:val="left"/>
              <w:rPr>
                <w:sz w:val="17"/>
              </w:rPr>
            </w:pPr>
          </w:p>
          <w:p>
            <w:pPr>
              <w:pStyle w:val="TableParagraph"/>
              <w:spacing w:before="0"/>
              <w:ind w:right="198"/>
              <w:rPr>
                <w:sz w:val="16"/>
              </w:rPr>
            </w:pPr>
            <w:r>
              <w:rPr>
                <w:w w:val="99"/>
                <w:sz w:val="16"/>
              </w:rPr>
              <w:t>0</w:t>
            </w:r>
          </w:p>
        </w:tc>
      </w:tr>
      <w:tr>
        <w:trPr>
          <w:trHeight w:val="451" w:hRule="exact"/>
        </w:trPr>
        <w:tc>
          <w:tcPr>
            <w:tcW w:w="13270" w:type="dxa"/>
            <w:gridSpan w:val="20"/>
          </w:tcPr>
          <w:p>
            <w:pPr>
              <w:pStyle w:val="TableParagraph"/>
              <w:spacing w:before="50"/>
              <w:ind w:left="200"/>
              <w:jc w:val="left"/>
              <w:rPr>
                <w:sz w:val="16"/>
              </w:rPr>
            </w:pPr>
            <w:r>
              <w:rPr>
                <w:sz w:val="16"/>
              </w:rPr>
              <w:t>SWAT Mar 4 2014    VER 2012/Rev 622</w:t>
            </w:r>
          </w:p>
        </w:tc>
      </w:tr>
      <w:tr>
        <w:trPr>
          <w:trHeight w:val="449" w:hRule="exact"/>
        </w:trPr>
        <w:tc>
          <w:tcPr>
            <w:tcW w:w="13270" w:type="dxa"/>
            <w:gridSpan w:val="20"/>
          </w:tcPr>
          <w:p>
            <w:pPr>
              <w:pStyle w:val="TableParagraph"/>
              <w:spacing w:before="3"/>
              <w:jc w:val="left"/>
              <w:rPr>
                <w:sz w:val="17"/>
              </w:rPr>
            </w:pPr>
          </w:p>
          <w:p>
            <w:pPr>
              <w:pStyle w:val="TableParagraph"/>
              <w:spacing w:before="0"/>
              <w:ind w:left="353"/>
              <w:jc w:val="left"/>
              <w:rPr>
                <w:sz w:val="16"/>
              </w:rPr>
            </w:pPr>
            <w:r>
              <w:rPr>
                <w:sz w:val="16"/>
              </w:rPr>
              <w:t>General Input/Output section (file.cio):</w:t>
            </w:r>
          </w:p>
        </w:tc>
      </w:tr>
      <w:tr>
        <w:trPr>
          <w:trHeight w:val="391" w:hRule="exact"/>
        </w:trPr>
        <w:tc>
          <w:tcPr>
            <w:tcW w:w="13270" w:type="dxa"/>
            <w:gridSpan w:val="20"/>
          </w:tcPr>
          <w:p>
            <w:pPr>
              <w:pStyle w:val="TableParagraph"/>
              <w:spacing w:before="47"/>
              <w:ind w:left="353"/>
              <w:jc w:val="left"/>
              <w:rPr>
                <w:sz w:val="16"/>
              </w:rPr>
            </w:pPr>
            <w:r>
              <w:rPr>
                <w:sz w:val="16"/>
              </w:rPr>
              <w:t>10/28/2014 12:00:00 AM ARCGIS-SWAT interface AV</w:t>
            </w:r>
          </w:p>
        </w:tc>
      </w:tr>
      <w:tr>
        <w:trPr>
          <w:trHeight w:val="519" w:hRule="exact"/>
        </w:trPr>
        <w:tc>
          <w:tcPr>
            <w:tcW w:w="13270" w:type="dxa"/>
            <w:gridSpan w:val="20"/>
          </w:tcPr>
          <w:p>
            <w:pPr>
              <w:pStyle w:val="TableParagraph"/>
              <w:spacing w:before="141"/>
              <w:ind w:left="200" w:right="9557"/>
              <w:jc w:val="left"/>
              <w:rPr>
                <w:sz w:val="16"/>
              </w:rPr>
            </w:pPr>
            <w:r>
              <w:rPr>
                <w:sz w:val="16"/>
              </w:rPr>
              <w:t>Annual Summary for Watershed in year 8 of simulation</w:t>
            </w:r>
          </w:p>
        </w:tc>
      </w:tr>
      <w:tr>
        <w:trPr>
          <w:trHeight w:val="367" w:hRule="exact"/>
        </w:trPr>
        <w:tc>
          <w:tcPr>
            <w:tcW w:w="685" w:type="dxa"/>
          </w:tcPr>
          <w:p>
            <w:pPr>
              <w:pStyle w:val="TableParagraph"/>
              <w:spacing w:before="2"/>
              <w:jc w:val="left"/>
              <w:rPr>
                <w:sz w:val="15"/>
              </w:rPr>
            </w:pPr>
          </w:p>
          <w:p>
            <w:pPr>
              <w:pStyle w:val="TableParagraph"/>
              <w:spacing w:before="0"/>
              <w:ind w:right="107"/>
              <w:rPr>
                <w:sz w:val="16"/>
              </w:rPr>
            </w:pPr>
            <w:r>
              <w:rPr>
                <w:sz w:val="16"/>
              </w:rPr>
              <w:t>UNIT</w:t>
            </w:r>
          </w:p>
        </w:tc>
        <w:tc>
          <w:tcPr>
            <w:tcW w:w="716" w:type="dxa"/>
          </w:tcPr>
          <w:p>
            <w:pPr/>
          </w:p>
        </w:tc>
        <w:tc>
          <w:tcPr>
            <w:tcW w:w="718" w:type="dxa"/>
          </w:tcPr>
          <w:p>
            <w:pPr/>
          </w:p>
        </w:tc>
        <w:tc>
          <w:tcPr>
            <w:tcW w:w="554" w:type="dxa"/>
          </w:tcPr>
          <w:p>
            <w:pPr/>
          </w:p>
        </w:tc>
        <w:tc>
          <w:tcPr>
            <w:tcW w:w="538" w:type="dxa"/>
          </w:tcPr>
          <w:p>
            <w:pPr/>
          </w:p>
        </w:tc>
        <w:tc>
          <w:tcPr>
            <w:tcW w:w="669" w:type="dxa"/>
          </w:tcPr>
          <w:p>
            <w:pPr>
              <w:pStyle w:val="TableParagraph"/>
              <w:spacing w:before="2"/>
              <w:jc w:val="left"/>
              <w:rPr>
                <w:sz w:val="15"/>
              </w:rPr>
            </w:pPr>
          </w:p>
          <w:p>
            <w:pPr>
              <w:pStyle w:val="TableParagraph"/>
              <w:spacing w:before="0"/>
              <w:ind w:left="70"/>
              <w:jc w:val="left"/>
              <w:rPr>
                <w:sz w:val="16"/>
              </w:rPr>
            </w:pPr>
            <w:r>
              <w:rPr>
                <w:sz w:val="16"/>
              </w:rPr>
              <w:t>PERCO</w:t>
            </w:r>
          </w:p>
        </w:tc>
        <w:tc>
          <w:tcPr>
            <w:tcW w:w="535" w:type="dxa"/>
          </w:tcPr>
          <w:p>
            <w:pPr>
              <w:pStyle w:val="TableParagraph"/>
              <w:spacing w:before="2"/>
              <w:jc w:val="left"/>
              <w:rPr>
                <w:sz w:val="15"/>
              </w:rPr>
            </w:pPr>
          </w:p>
          <w:p>
            <w:pPr>
              <w:pStyle w:val="TableParagraph"/>
              <w:spacing w:before="0"/>
              <w:ind w:left="68"/>
              <w:jc w:val="left"/>
              <w:rPr>
                <w:sz w:val="16"/>
              </w:rPr>
            </w:pPr>
            <w:r>
              <w:rPr>
                <w:sz w:val="16"/>
              </w:rPr>
              <w:t>TILE</w:t>
            </w:r>
          </w:p>
        </w:tc>
        <w:tc>
          <w:tcPr>
            <w:tcW w:w="667" w:type="dxa"/>
          </w:tcPr>
          <w:p>
            <w:pPr/>
          </w:p>
        </w:tc>
        <w:tc>
          <w:tcPr>
            <w:tcW w:w="665" w:type="dxa"/>
          </w:tcPr>
          <w:p>
            <w:pPr/>
          </w:p>
        </w:tc>
        <w:tc>
          <w:tcPr>
            <w:tcW w:w="544" w:type="dxa"/>
          </w:tcPr>
          <w:p>
            <w:pPr/>
          </w:p>
        </w:tc>
        <w:tc>
          <w:tcPr>
            <w:tcW w:w="679" w:type="dxa"/>
          </w:tcPr>
          <w:p>
            <w:pPr>
              <w:pStyle w:val="TableParagraph"/>
              <w:spacing w:line="237" w:lineRule="auto" w:before="0"/>
              <w:ind w:left="67" w:right="130"/>
              <w:jc w:val="left"/>
              <w:rPr>
                <w:sz w:val="16"/>
              </w:rPr>
            </w:pPr>
            <w:r>
              <w:rPr>
                <w:sz w:val="16"/>
              </w:rPr>
              <w:t>WATE R</w:t>
            </w:r>
          </w:p>
        </w:tc>
        <w:tc>
          <w:tcPr>
            <w:tcW w:w="594" w:type="dxa"/>
          </w:tcPr>
          <w:p>
            <w:pPr>
              <w:pStyle w:val="TableParagraph"/>
              <w:spacing w:before="2"/>
              <w:jc w:val="left"/>
              <w:rPr>
                <w:sz w:val="15"/>
              </w:rPr>
            </w:pPr>
          </w:p>
          <w:p>
            <w:pPr>
              <w:pStyle w:val="TableParagraph"/>
              <w:spacing w:before="0"/>
              <w:ind w:left="69"/>
              <w:jc w:val="left"/>
              <w:rPr>
                <w:sz w:val="16"/>
              </w:rPr>
            </w:pPr>
            <w:r>
              <w:rPr>
                <w:sz w:val="16"/>
              </w:rPr>
              <w:t>SED</w:t>
            </w:r>
          </w:p>
        </w:tc>
        <w:tc>
          <w:tcPr>
            <w:tcW w:w="595" w:type="dxa"/>
          </w:tcPr>
          <w:p>
            <w:pPr>
              <w:pStyle w:val="TableParagraph"/>
              <w:spacing w:before="2"/>
              <w:jc w:val="left"/>
              <w:rPr>
                <w:sz w:val="15"/>
              </w:rPr>
            </w:pPr>
          </w:p>
          <w:p>
            <w:pPr>
              <w:pStyle w:val="TableParagraph"/>
              <w:spacing w:before="0"/>
              <w:ind w:left="66"/>
              <w:jc w:val="left"/>
              <w:rPr>
                <w:sz w:val="16"/>
              </w:rPr>
            </w:pPr>
            <w:r>
              <w:rPr>
                <w:sz w:val="16"/>
              </w:rPr>
              <w:t>NO3</w:t>
            </w:r>
          </w:p>
        </w:tc>
        <w:tc>
          <w:tcPr>
            <w:tcW w:w="545" w:type="dxa"/>
          </w:tcPr>
          <w:p>
            <w:pPr>
              <w:pStyle w:val="TableParagraph"/>
              <w:spacing w:before="2"/>
              <w:jc w:val="left"/>
              <w:rPr>
                <w:sz w:val="15"/>
              </w:rPr>
            </w:pPr>
          </w:p>
          <w:p>
            <w:pPr>
              <w:pStyle w:val="TableParagraph"/>
              <w:spacing w:before="0"/>
              <w:ind w:left="71"/>
              <w:jc w:val="left"/>
              <w:rPr>
                <w:sz w:val="16"/>
              </w:rPr>
            </w:pPr>
            <w:r>
              <w:rPr>
                <w:sz w:val="16"/>
              </w:rPr>
              <w:t>NO3</w:t>
            </w:r>
          </w:p>
        </w:tc>
        <w:tc>
          <w:tcPr>
            <w:tcW w:w="598" w:type="dxa"/>
          </w:tcPr>
          <w:p>
            <w:pPr>
              <w:pStyle w:val="TableParagraph"/>
              <w:spacing w:before="2"/>
              <w:jc w:val="left"/>
              <w:rPr>
                <w:sz w:val="15"/>
              </w:rPr>
            </w:pPr>
          </w:p>
          <w:p>
            <w:pPr>
              <w:pStyle w:val="TableParagraph"/>
              <w:spacing w:before="0"/>
              <w:ind w:left="68"/>
              <w:jc w:val="left"/>
              <w:rPr>
                <w:sz w:val="16"/>
              </w:rPr>
            </w:pPr>
            <w:r>
              <w:rPr>
                <w:sz w:val="16"/>
              </w:rPr>
              <w:t>NO3</w:t>
            </w:r>
          </w:p>
        </w:tc>
        <w:tc>
          <w:tcPr>
            <w:tcW w:w="593" w:type="dxa"/>
          </w:tcPr>
          <w:p>
            <w:pPr>
              <w:pStyle w:val="TableParagraph"/>
              <w:spacing w:before="2"/>
              <w:jc w:val="left"/>
              <w:rPr>
                <w:sz w:val="15"/>
              </w:rPr>
            </w:pPr>
          </w:p>
          <w:p>
            <w:pPr>
              <w:pStyle w:val="TableParagraph"/>
              <w:spacing w:before="0"/>
              <w:ind w:left="71"/>
              <w:jc w:val="left"/>
              <w:rPr>
                <w:sz w:val="16"/>
              </w:rPr>
            </w:pPr>
            <w:r>
              <w:rPr>
                <w:sz w:val="16"/>
              </w:rPr>
              <w:t>NO3</w:t>
            </w:r>
          </w:p>
        </w:tc>
        <w:tc>
          <w:tcPr>
            <w:tcW w:w="830" w:type="dxa"/>
          </w:tcPr>
          <w:p>
            <w:pPr>
              <w:pStyle w:val="TableParagraph"/>
              <w:spacing w:before="2"/>
              <w:jc w:val="left"/>
              <w:rPr>
                <w:sz w:val="15"/>
              </w:rPr>
            </w:pPr>
          </w:p>
          <w:p>
            <w:pPr>
              <w:pStyle w:val="TableParagraph"/>
              <w:spacing w:before="0"/>
              <w:ind w:left="68"/>
              <w:jc w:val="left"/>
              <w:rPr>
                <w:sz w:val="16"/>
              </w:rPr>
            </w:pPr>
            <w:r>
              <w:rPr>
                <w:w w:val="98"/>
                <w:sz w:val="16"/>
              </w:rPr>
              <w:t>N</w:t>
            </w:r>
          </w:p>
        </w:tc>
        <w:tc>
          <w:tcPr>
            <w:tcW w:w="821" w:type="dxa"/>
          </w:tcPr>
          <w:p>
            <w:pPr>
              <w:pStyle w:val="TableParagraph"/>
              <w:spacing w:before="2"/>
              <w:jc w:val="left"/>
              <w:rPr>
                <w:sz w:val="15"/>
              </w:rPr>
            </w:pPr>
          </w:p>
          <w:p>
            <w:pPr>
              <w:pStyle w:val="TableParagraph"/>
              <w:spacing w:before="0"/>
              <w:ind w:left="68"/>
              <w:jc w:val="left"/>
              <w:rPr>
                <w:sz w:val="16"/>
              </w:rPr>
            </w:pPr>
            <w:r>
              <w:rPr>
                <w:w w:val="98"/>
                <w:sz w:val="16"/>
              </w:rPr>
              <w:t>P</w:t>
            </w:r>
          </w:p>
        </w:tc>
        <w:tc>
          <w:tcPr>
            <w:tcW w:w="831" w:type="dxa"/>
          </w:tcPr>
          <w:p>
            <w:pPr>
              <w:pStyle w:val="TableParagraph"/>
              <w:spacing w:before="2"/>
              <w:jc w:val="left"/>
              <w:rPr>
                <w:sz w:val="15"/>
              </w:rPr>
            </w:pPr>
          </w:p>
          <w:p>
            <w:pPr>
              <w:pStyle w:val="TableParagraph"/>
              <w:spacing w:before="0"/>
              <w:ind w:left="68"/>
              <w:jc w:val="left"/>
              <w:rPr>
                <w:sz w:val="16"/>
              </w:rPr>
            </w:pPr>
            <w:r>
              <w:rPr>
                <w:w w:val="98"/>
                <w:sz w:val="16"/>
              </w:rPr>
              <w:t>P</w:t>
            </w:r>
          </w:p>
        </w:tc>
        <w:tc>
          <w:tcPr>
            <w:tcW w:w="891" w:type="dxa"/>
          </w:tcPr>
          <w:p>
            <w:pPr/>
          </w:p>
        </w:tc>
      </w:tr>
      <w:tr>
        <w:trPr>
          <w:trHeight w:val="370" w:hRule="exact"/>
        </w:trPr>
        <w:tc>
          <w:tcPr>
            <w:tcW w:w="685" w:type="dxa"/>
          </w:tcPr>
          <w:p>
            <w:pPr>
              <w:pStyle w:val="TableParagraph"/>
              <w:spacing w:before="4"/>
              <w:jc w:val="left"/>
              <w:rPr>
                <w:sz w:val="15"/>
              </w:rPr>
            </w:pPr>
          </w:p>
          <w:p>
            <w:pPr>
              <w:pStyle w:val="TableParagraph"/>
              <w:spacing w:before="1"/>
              <w:ind w:right="93"/>
              <w:rPr>
                <w:sz w:val="16"/>
              </w:rPr>
            </w:pPr>
            <w:r>
              <w:rPr>
                <w:w w:val="95"/>
                <w:sz w:val="16"/>
              </w:rPr>
              <w:t>TIME</w:t>
            </w:r>
          </w:p>
        </w:tc>
        <w:tc>
          <w:tcPr>
            <w:tcW w:w="716" w:type="dxa"/>
          </w:tcPr>
          <w:p>
            <w:pPr>
              <w:pStyle w:val="TableParagraph"/>
              <w:spacing w:before="4"/>
              <w:jc w:val="left"/>
              <w:rPr>
                <w:sz w:val="15"/>
              </w:rPr>
            </w:pPr>
          </w:p>
          <w:p>
            <w:pPr>
              <w:pStyle w:val="TableParagraph"/>
              <w:spacing w:before="1"/>
              <w:ind w:left="67"/>
              <w:jc w:val="left"/>
              <w:rPr>
                <w:sz w:val="16"/>
              </w:rPr>
            </w:pPr>
            <w:r>
              <w:rPr>
                <w:sz w:val="16"/>
              </w:rPr>
              <w:t>PREC</w:t>
            </w:r>
          </w:p>
        </w:tc>
        <w:tc>
          <w:tcPr>
            <w:tcW w:w="718" w:type="dxa"/>
          </w:tcPr>
          <w:p>
            <w:pPr>
              <w:pStyle w:val="TableParagraph"/>
              <w:spacing w:before="4"/>
              <w:jc w:val="left"/>
              <w:rPr>
                <w:sz w:val="15"/>
              </w:rPr>
            </w:pPr>
          </w:p>
          <w:p>
            <w:pPr>
              <w:pStyle w:val="TableParagraph"/>
              <w:spacing w:before="1"/>
              <w:ind w:left="71"/>
              <w:jc w:val="left"/>
              <w:rPr>
                <w:sz w:val="16"/>
              </w:rPr>
            </w:pPr>
            <w:r>
              <w:rPr>
                <w:sz w:val="16"/>
              </w:rPr>
              <w:t>SURQ</w:t>
            </w:r>
          </w:p>
        </w:tc>
        <w:tc>
          <w:tcPr>
            <w:tcW w:w="554" w:type="dxa"/>
          </w:tcPr>
          <w:p>
            <w:pPr>
              <w:pStyle w:val="TableParagraph"/>
              <w:spacing w:line="174" w:lineRule="exact" w:before="0"/>
              <w:ind w:left="68"/>
              <w:jc w:val="left"/>
              <w:rPr>
                <w:sz w:val="16"/>
              </w:rPr>
            </w:pPr>
            <w:r>
              <w:rPr>
                <w:sz w:val="16"/>
              </w:rPr>
              <w:t>LAT</w:t>
            </w:r>
          </w:p>
          <w:p>
            <w:pPr>
              <w:pStyle w:val="TableParagraph"/>
              <w:spacing w:before="3"/>
              <w:ind w:left="68"/>
              <w:jc w:val="left"/>
              <w:rPr>
                <w:sz w:val="16"/>
              </w:rPr>
            </w:pPr>
            <w:r>
              <w:rPr>
                <w:w w:val="98"/>
                <w:sz w:val="16"/>
              </w:rPr>
              <w:t>Q</w:t>
            </w:r>
          </w:p>
        </w:tc>
        <w:tc>
          <w:tcPr>
            <w:tcW w:w="538" w:type="dxa"/>
          </w:tcPr>
          <w:p>
            <w:pPr>
              <w:pStyle w:val="TableParagraph"/>
              <w:spacing w:before="4"/>
              <w:jc w:val="left"/>
              <w:rPr>
                <w:sz w:val="15"/>
              </w:rPr>
            </w:pPr>
          </w:p>
          <w:p>
            <w:pPr>
              <w:pStyle w:val="TableParagraph"/>
              <w:spacing w:before="1"/>
              <w:ind w:right="87"/>
              <w:rPr>
                <w:sz w:val="16"/>
              </w:rPr>
            </w:pPr>
            <w:r>
              <w:rPr>
                <w:w w:val="95"/>
                <w:sz w:val="16"/>
              </w:rPr>
              <w:t>GWQ</w:t>
            </w:r>
          </w:p>
        </w:tc>
        <w:tc>
          <w:tcPr>
            <w:tcW w:w="669" w:type="dxa"/>
          </w:tcPr>
          <w:p>
            <w:pPr>
              <w:pStyle w:val="TableParagraph"/>
              <w:spacing w:before="4"/>
              <w:jc w:val="left"/>
              <w:rPr>
                <w:sz w:val="15"/>
              </w:rPr>
            </w:pPr>
          </w:p>
          <w:p>
            <w:pPr>
              <w:pStyle w:val="TableParagraph"/>
              <w:spacing w:before="1"/>
              <w:ind w:left="70"/>
              <w:jc w:val="left"/>
              <w:rPr>
                <w:sz w:val="16"/>
              </w:rPr>
            </w:pPr>
            <w:r>
              <w:rPr>
                <w:sz w:val="16"/>
              </w:rPr>
              <w:t>LATE</w:t>
            </w:r>
          </w:p>
        </w:tc>
        <w:tc>
          <w:tcPr>
            <w:tcW w:w="535" w:type="dxa"/>
          </w:tcPr>
          <w:p>
            <w:pPr>
              <w:pStyle w:val="TableParagraph"/>
              <w:spacing w:before="4"/>
              <w:jc w:val="left"/>
              <w:rPr>
                <w:sz w:val="15"/>
              </w:rPr>
            </w:pPr>
          </w:p>
          <w:p>
            <w:pPr>
              <w:pStyle w:val="TableParagraph"/>
              <w:spacing w:before="1"/>
              <w:ind w:left="68"/>
              <w:jc w:val="left"/>
              <w:rPr>
                <w:sz w:val="16"/>
              </w:rPr>
            </w:pPr>
            <w:r>
              <w:rPr>
                <w:w w:val="98"/>
                <w:sz w:val="16"/>
              </w:rPr>
              <w:t>Q</w:t>
            </w:r>
          </w:p>
        </w:tc>
        <w:tc>
          <w:tcPr>
            <w:tcW w:w="667" w:type="dxa"/>
          </w:tcPr>
          <w:p>
            <w:pPr>
              <w:pStyle w:val="TableParagraph"/>
              <w:spacing w:before="4"/>
              <w:jc w:val="left"/>
              <w:rPr>
                <w:sz w:val="15"/>
              </w:rPr>
            </w:pPr>
          </w:p>
          <w:p>
            <w:pPr>
              <w:pStyle w:val="TableParagraph"/>
              <w:spacing w:before="1"/>
              <w:ind w:left="70"/>
              <w:jc w:val="left"/>
              <w:rPr>
                <w:sz w:val="16"/>
              </w:rPr>
            </w:pPr>
            <w:r>
              <w:rPr>
                <w:sz w:val="16"/>
              </w:rPr>
              <w:t>SW</w:t>
            </w:r>
          </w:p>
        </w:tc>
        <w:tc>
          <w:tcPr>
            <w:tcW w:w="665" w:type="dxa"/>
          </w:tcPr>
          <w:p>
            <w:pPr>
              <w:pStyle w:val="TableParagraph"/>
              <w:spacing w:before="4"/>
              <w:jc w:val="left"/>
              <w:rPr>
                <w:sz w:val="15"/>
              </w:rPr>
            </w:pPr>
          </w:p>
          <w:p>
            <w:pPr>
              <w:pStyle w:val="TableParagraph"/>
              <w:spacing w:before="1"/>
              <w:ind w:left="66"/>
              <w:jc w:val="left"/>
              <w:rPr>
                <w:sz w:val="16"/>
              </w:rPr>
            </w:pPr>
            <w:r>
              <w:rPr>
                <w:sz w:val="16"/>
              </w:rPr>
              <w:t>ET</w:t>
            </w:r>
          </w:p>
        </w:tc>
        <w:tc>
          <w:tcPr>
            <w:tcW w:w="544" w:type="dxa"/>
          </w:tcPr>
          <w:p>
            <w:pPr>
              <w:pStyle w:val="TableParagraph"/>
              <w:spacing w:before="4"/>
              <w:jc w:val="left"/>
              <w:rPr>
                <w:sz w:val="15"/>
              </w:rPr>
            </w:pPr>
          </w:p>
          <w:p>
            <w:pPr>
              <w:pStyle w:val="TableParagraph"/>
              <w:spacing w:before="1"/>
              <w:ind w:left="68"/>
              <w:jc w:val="left"/>
              <w:rPr>
                <w:sz w:val="16"/>
              </w:rPr>
            </w:pPr>
            <w:r>
              <w:rPr>
                <w:sz w:val="16"/>
              </w:rPr>
              <w:t>PET</w:t>
            </w:r>
          </w:p>
        </w:tc>
        <w:tc>
          <w:tcPr>
            <w:tcW w:w="679" w:type="dxa"/>
          </w:tcPr>
          <w:p>
            <w:pPr>
              <w:pStyle w:val="TableParagraph"/>
              <w:spacing w:before="4"/>
              <w:jc w:val="left"/>
              <w:rPr>
                <w:sz w:val="15"/>
              </w:rPr>
            </w:pPr>
          </w:p>
          <w:p>
            <w:pPr>
              <w:pStyle w:val="TableParagraph"/>
              <w:spacing w:before="1"/>
              <w:ind w:left="67"/>
              <w:jc w:val="left"/>
              <w:rPr>
                <w:sz w:val="16"/>
              </w:rPr>
            </w:pPr>
            <w:r>
              <w:rPr>
                <w:sz w:val="16"/>
              </w:rPr>
              <w:t>YIELD</w:t>
            </w:r>
          </w:p>
        </w:tc>
        <w:tc>
          <w:tcPr>
            <w:tcW w:w="594" w:type="dxa"/>
          </w:tcPr>
          <w:p>
            <w:pPr>
              <w:pStyle w:val="TableParagraph"/>
              <w:spacing w:line="174" w:lineRule="exact" w:before="0"/>
              <w:ind w:left="69"/>
              <w:jc w:val="left"/>
              <w:rPr>
                <w:sz w:val="16"/>
              </w:rPr>
            </w:pPr>
            <w:r>
              <w:rPr>
                <w:sz w:val="16"/>
              </w:rPr>
              <w:t>YIEL</w:t>
            </w:r>
          </w:p>
          <w:p>
            <w:pPr>
              <w:pStyle w:val="TableParagraph"/>
              <w:spacing w:before="3"/>
              <w:ind w:left="69"/>
              <w:jc w:val="left"/>
              <w:rPr>
                <w:sz w:val="16"/>
              </w:rPr>
            </w:pPr>
            <w:r>
              <w:rPr>
                <w:w w:val="98"/>
                <w:sz w:val="16"/>
              </w:rPr>
              <w:t>D</w:t>
            </w:r>
          </w:p>
        </w:tc>
        <w:tc>
          <w:tcPr>
            <w:tcW w:w="595" w:type="dxa"/>
          </w:tcPr>
          <w:p>
            <w:pPr>
              <w:pStyle w:val="TableParagraph"/>
              <w:spacing w:before="4"/>
              <w:jc w:val="left"/>
              <w:rPr>
                <w:sz w:val="15"/>
              </w:rPr>
            </w:pPr>
          </w:p>
          <w:p>
            <w:pPr>
              <w:pStyle w:val="TableParagraph"/>
              <w:spacing w:before="1"/>
              <w:ind w:left="66"/>
              <w:jc w:val="left"/>
              <w:rPr>
                <w:sz w:val="16"/>
              </w:rPr>
            </w:pPr>
            <w:r>
              <w:rPr>
                <w:sz w:val="16"/>
              </w:rPr>
              <w:t>SURQ</w:t>
            </w:r>
          </w:p>
        </w:tc>
        <w:tc>
          <w:tcPr>
            <w:tcW w:w="545" w:type="dxa"/>
          </w:tcPr>
          <w:p>
            <w:pPr>
              <w:pStyle w:val="TableParagraph"/>
              <w:spacing w:line="174" w:lineRule="exact" w:before="0"/>
              <w:ind w:left="71"/>
              <w:jc w:val="left"/>
              <w:rPr>
                <w:sz w:val="16"/>
              </w:rPr>
            </w:pPr>
            <w:r>
              <w:rPr>
                <w:sz w:val="16"/>
              </w:rPr>
              <w:t>LAT</w:t>
            </w:r>
          </w:p>
          <w:p>
            <w:pPr>
              <w:pStyle w:val="TableParagraph"/>
              <w:spacing w:before="3"/>
              <w:ind w:left="71"/>
              <w:jc w:val="left"/>
              <w:rPr>
                <w:sz w:val="16"/>
              </w:rPr>
            </w:pPr>
            <w:r>
              <w:rPr>
                <w:w w:val="98"/>
                <w:sz w:val="16"/>
              </w:rPr>
              <w:t>Q</w:t>
            </w:r>
          </w:p>
        </w:tc>
        <w:tc>
          <w:tcPr>
            <w:tcW w:w="598" w:type="dxa"/>
          </w:tcPr>
          <w:p>
            <w:pPr>
              <w:pStyle w:val="TableParagraph"/>
              <w:spacing w:before="4"/>
              <w:jc w:val="left"/>
              <w:rPr>
                <w:sz w:val="15"/>
              </w:rPr>
            </w:pPr>
          </w:p>
          <w:p>
            <w:pPr>
              <w:pStyle w:val="TableParagraph"/>
              <w:spacing w:before="1"/>
              <w:ind w:left="68"/>
              <w:jc w:val="left"/>
              <w:rPr>
                <w:sz w:val="16"/>
              </w:rPr>
            </w:pPr>
            <w:r>
              <w:rPr>
                <w:sz w:val="16"/>
              </w:rPr>
              <w:t>PERC</w:t>
            </w:r>
          </w:p>
        </w:tc>
        <w:tc>
          <w:tcPr>
            <w:tcW w:w="593" w:type="dxa"/>
          </w:tcPr>
          <w:p>
            <w:pPr>
              <w:pStyle w:val="TableParagraph"/>
              <w:spacing w:before="4"/>
              <w:jc w:val="left"/>
              <w:rPr>
                <w:sz w:val="15"/>
              </w:rPr>
            </w:pPr>
          </w:p>
          <w:p>
            <w:pPr>
              <w:pStyle w:val="TableParagraph"/>
              <w:spacing w:before="1"/>
              <w:ind w:left="71"/>
              <w:jc w:val="left"/>
              <w:rPr>
                <w:sz w:val="16"/>
              </w:rPr>
            </w:pPr>
            <w:r>
              <w:rPr>
                <w:sz w:val="16"/>
              </w:rPr>
              <w:t>CROP</w:t>
            </w:r>
          </w:p>
        </w:tc>
        <w:tc>
          <w:tcPr>
            <w:tcW w:w="830" w:type="dxa"/>
          </w:tcPr>
          <w:p>
            <w:pPr>
              <w:pStyle w:val="TableParagraph"/>
              <w:spacing w:line="174" w:lineRule="exact" w:before="0"/>
              <w:ind w:left="68" w:right="84"/>
              <w:jc w:val="left"/>
              <w:rPr>
                <w:sz w:val="16"/>
              </w:rPr>
            </w:pPr>
            <w:r>
              <w:rPr>
                <w:sz w:val="16"/>
              </w:rPr>
              <w:t>ORGANI</w:t>
            </w:r>
          </w:p>
          <w:p>
            <w:pPr>
              <w:pStyle w:val="TableParagraph"/>
              <w:spacing w:before="3"/>
              <w:ind w:left="68"/>
              <w:jc w:val="left"/>
              <w:rPr>
                <w:sz w:val="16"/>
              </w:rPr>
            </w:pPr>
            <w:r>
              <w:rPr>
                <w:w w:val="99"/>
                <w:sz w:val="16"/>
              </w:rPr>
              <w:t>C</w:t>
            </w:r>
          </w:p>
        </w:tc>
        <w:tc>
          <w:tcPr>
            <w:tcW w:w="821" w:type="dxa"/>
          </w:tcPr>
          <w:p>
            <w:pPr>
              <w:pStyle w:val="TableParagraph"/>
              <w:spacing w:line="174" w:lineRule="exact" w:before="0"/>
              <w:ind w:left="68" w:right="84"/>
              <w:jc w:val="left"/>
              <w:rPr>
                <w:sz w:val="16"/>
              </w:rPr>
            </w:pPr>
            <w:r>
              <w:rPr>
                <w:sz w:val="16"/>
              </w:rPr>
              <w:t>SOLUBL</w:t>
            </w:r>
          </w:p>
          <w:p>
            <w:pPr>
              <w:pStyle w:val="TableParagraph"/>
              <w:spacing w:before="3"/>
              <w:ind w:left="68"/>
              <w:jc w:val="left"/>
              <w:rPr>
                <w:sz w:val="16"/>
              </w:rPr>
            </w:pPr>
            <w:r>
              <w:rPr>
                <w:w w:val="99"/>
                <w:sz w:val="16"/>
              </w:rPr>
              <w:t>E</w:t>
            </w:r>
          </w:p>
        </w:tc>
        <w:tc>
          <w:tcPr>
            <w:tcW w:w="831" w:type="dxa"/>
          </w:tcPr>
          <w:p>
            <w:pPr>
              <w:pStyle w:val="TableParagraph"/>
              <w:spacing w:line="174" w:lineRule="exact" w:before="0"/>
              <w:ind w:left="68" w:right="84"/>
              <w:jc w:val="left"/>
              <w:rPr>
                <w:sz w:val="16"/>
              </w:rPr>
            </w:pPr>
            <w:r>
              <w:rPr>
                <w:sz w:val="16"/>
              </w:rPr>
              <w:t>ORGANI</w:t>
            </w:r>
          </w:p>
          <w:p>
            <w:pPr>
              <w:pStyle w:val="TableParagraph"/>
              <w:spacing w:before="3"/>
              <w:ind w:left="68"/>
              <w:jc w:val="left"/>
              <w:rPr>
                <w:sz w:val="16"/>
              </w:rPr>
            </w:pPr>
            <w:r>
              <w:rPr>
                <w:w w:val="99"/>
                <w:sz w:val="16"/>
              </w:rPr>
              <w:t>C</w:t>
            </w:r>
          </w:p>
        </w:tc>
        <w:tc>
          <w:tcPr>
            <w:tcW w:w="891" w:type="dxa"/>
          </w:tcPr>
          <w:p>
            <w:pPr>
              <w:pStyle w:val="TableParagraph"/>
              <w:spacing w:line="174" w:lineRule="exact" w:before="0"/>
              <w:ind w:left="68"/>
              <w:jc w:val="left"/>
              <w:rPr>
                <w:sz w:val="16"/>
              </w:rPr>
            </w:pPr>
            <w:r>
              <w:rPr>
                <w:sz w:val="16"/>
              </w:rPr>
              <w:t>TILENO</w:t>
            </w:r>
          </w:p>
          <w:p>
            <w:pPr>
              <w:pStyle w:val="TableParagraph"/>
              <w:spacing w:before="3"/>
              <w:ind w:left="68"/>
              <w:jc w:val="left"/>
              <w:rPr>
                <w:sz w:val="16"/>
              </w:rPr>
            </w:pPr>
            <w:r>
              <w:rPr>
                <w:w w:val="99"/>
                <w:sz w:val="16"/>
              </w:rPr>
              <w:t>3</w:t>
            </w:r>
          </w:p>
        </w:tc>
      </w:tr>
      <w:tr>
        <w:trPr>
          <w:trHeight w:val="425" w:hRule="exact"/>
        </w:trPr>
        <w:tc>
          <w:tcPr>
            <w:tcW w:w="685" w:type="dxa"/>
          </w:tcPr>
          <w:p>
            <w:pPr/>
          </w:p>
        </w:tc>
        <w:tc>
          <w:tcPr>
            <w:tcW w:w="716" w:type="dxa"/>
          </w:tcPr>
          <w:p>
            <w:pPr>
              <w:pStyle w:val="TableParagraph"/>
              <w:spacing w:before="11"/>
              <w:jc w:val="left"/>
              <w:rPr>
                <w:sz w:val="14"/>
              </w:rPr>
            </w:pPr>
          </w:p>
          <w:p>
            <w:pPr>
              <w:pStyle w:val="TableParagraph"/>
              <w:spacing w:before="0"/>
              <w:ind w:left="67"/>
              <w:jc w:val="left"/>
              <w:rPr>
                <w:sz w:val="16"/>
              </w:rPr>
            </w:pPr>
            <w:r>
              <w:rPr>
                <w:sz w:val="16"/>
              </w:rPr>
              <w:t>(mm)</w:t>
            </w:r>
          </w:p>
        </w:tc>
        <w:tc>
          <w:tcPr>
            <w:tcW w:w="718" w:type="dxa"/>
          </w:tcPr>
          <w:p>
            <w:pPr>
              <w:pStyle w:val="TableParagraph"/>
              <w:spacing w:before="11"/>
              <w:jc w:val="left"/>
              <w:rPr>
                <w:sz w:val="14"/>
              </w:rPr>
            </w:pPr>
          </w:p>
          <w:p>
            <w:pPr>
              <w:pStyle w:val="TableParagraph"/>
              <w:spacing w:before="0"/>
              <w:ind w:left="71"/>
              <w:jc w:val="left"/>
              <w:rPr>
                <w:sz w:val="16"/>
              </w:rPr>
            </w:pPr>
            <w:r>
              <w:rPr>
                <w:sz w:val="16"/>
              </w:rPr>
              <w:t>(mm)</w:t>
            </w:r>
          </w:p>
        </w:tc>
        <w:tc>
          <w:tcPr>
            <w:tcW w:w="554" w:type="dxa"/>
          </w:tcPr>
          <w:p>
            <w:pPr>
              <w:pStyle w:val="TableParagraph"/>
              <w:spacing w:before="11"/>
              <w:jc w:val="left"/>
              <w:rPr>
                <w:sz w:val="14"/>
              </w:rPr>
            </w:pPr>
          </w:p>
          <w:p>
            <w:pPr>
              <w:pStyle w:val="TableParagraph"/>
              <w:spacing w:before="0"/>
              <w:ind w:left="68"/>
              <w:jc w:val="left"/>
              <w:rPr>
                <w:sz w:val="16"/>
              </w:rPr>
            </w:pPr>
            <w:r>
              <w:rPr>
                <w:sz w:val="16"/>
              </w:rPr>
              <w:t>(mm)</w:t>
            </w:r>
          </w:p>
        </w:tc>
        <w:tc>
          <w:tcPr>
            <w:tcW w:w="538" w:type="dxa"/>
          </w:tcPr>
          <w:p>
            <w:pPr>
              <w:pStyle w:val="TableParagraph"/>
              <w:spacing w:before="11"/>
              <w:jc w:val="left"/>
              <w:rPr>
                <w:sz w:val="14"/>
              </w:rPr>
            </w:pPr>
          </w:p>
          <w:p>
            <w:pPr>
              <w:pStyle w:val="TableParagraph"/>
              <w:spacing w:before="0"/>
              <w:ind w:right="114"/>
              <w:rPr>
                <w:sz w:val="16"/>
              </w:rPr>
            </w:pPr>
            <w:r>
              <w:rPr>
                <w:w w:val="95"/>
                <w:sz w:val="16"/>
              </w:rPr>
              <w:t>(mm)</w:t>
            </w:r>
          </w:p>
        </w:tc>
        <w:tc>
          <w:tcPr>
            <w:tcW w:w="669" w:type="dxa"/>
          </w:tcPr>
          <w:p>
            <w:pPr>
              <w:pStyle w:val="TableParagraph"/>
              <w:spacing w:before="11"/>
              <w:jc w:val="left"/>
              <w:rPr>
                <w:sz w:val="14"/>
              </w:rPr>
            </w:pPr>
          </w:p>
          <w:p>
            <w:pPr>
              <w:pStyle w:val="TableParagraph"/>
              <w:spacing w:before="0"/>
              <w:ind w:left="70"/>
              <w:jc w:val="left"/>
              <w:rPr>
                <w:sz w:val="16"/>
              </w:rPr>
            </w:pPr>
            <w:r>
              <w:rPr>
                <w:sz w:val="16"/>
              </w:rPr>
              <w:t>(mm)</w:t>
            </w:r>
          </w:p>
        </w:tc>
        <w:tc>
          <w:tcPr>
            <w:tcW w:w="535" w:type="dxa"/>
          </w:tcPr>
          <w:p>
            <w:pPr>
              <w:pStyle w:val="TableParagraph"/>
              <w:spacing w:before="11"/>
              <w:jc w:val="left"/>
              <w:rPr>
                <w:sz w:val="14"/>
              </w:rPr>
            </w:pPr>
          </w:p>
          <w:p>
            <w:pPr>
              <w:pStyle w:val="TableParagraph"/>
              <w:spacing w:before="0"/>
              <w:ind w:left="68"/>
              <w:jc w:val="left"/>
              <w:rPr>
                <w:sz w:val="16"/>
              </w:rPr>
            </w:pPr>
            <w:r>
              <w:rPr>
                <w:sz w:val="16"/>
              </w:rPr>
              <w:t>(mm)</w:t>
            </w:r>
          </w:p>
        </w:tc>
        <w:tc>
          <w:tcPr>
            <w:tcW w:w="667" w:type="dxa"/>
          </w:tcPr>
          <w:p>
            <w:pPr>
              <w:pStyle w:val="TableParagraph"/>
              <w:spacing w:before="11"/>
              <w:jc w:val="left"/>
              <w:rPr>
                <w:sz w:val="14"/>
              </w:rPr>
            </w:pPr>
          </w:p>
          <w:p>
            <w:pPr>
              <w:pStyle w:val="TableParagraph"/>
              <w:spacing w:before="0"/>
              <w:ind w:left="70"/>
              <w:jc w:val="left"/>
              <w:rPr>
                <w:sz w:val="16"/>
              </w:rPr>
            </w:pPr>
            <w:r>
              <w:rPr>
                <w:sz w:val="16"/>
              </w:rPr>
              <w:t>(mm)</w:t>
            </w:r>
          </w:p>
        </w:tc>
        <w:tc>
          <w:tcPr>
            <w:tcW w:w="665" w:type="dxa"/>
          </w:tcPr>
          <w:p>
            <w:pPr>
              <w:pStyle w:val="TableParagraph"/>
              <w:spacing w:before="11"/>
              <w:jc w:val="left"/>
              <w:rPr>
                <w:sz w:val="14"/>
              </w:rPr>
            </w:pPr>
          </w:p>
          <w:p>
            <w:pPr>
              <w:pStyle w:val="TableParagraph"/>
              <w:spacing w:before="0"/>
              <w:ind w:left="66"/>
              <w:jc w:val="left"/>
              <w:rPr>
                <w:sz w:val="16"/>
              </w:rPr>
            </w:pPr>
            <w:r>
              <w:rPr>
                <w:sz w:val="16"/>
              </w:rPr>
              <w:t>(mm)</w:t>
            </w:r>
          </w:p>
        </w:tc>
        <w:tc>
          <w:tcPr>
            <w:tcW w:w="544" w:type="dxa"/>
          </w:tcPr>
          <w:p>
            <w:pPr>
              <w:pStyle w:val="TableParagraph"/>
              <w:spacing w:before="11"/>
              <w:jc w:val="left"/>
              <w:rPr>
                <w:sz w:val="14"/>
              </w:rPr>
            </w:pPr>
          </w:p>
          <w:p>
            <w:pPr>
              <w:pStyle w:val="TableParagraph"/>
              <w:spacing w:before="0"/>
              <w:ind w:left="68"/>
              <w:jc w:val="left"/>
              <w:rPr>
                <w:sz w:val="16"/>
              </w:rPr>
            </w:pPr>
            <w:r>
              <w:rPr>
                <w:sz w:val="16"/>
              </w:rPr>
              <w:t>(mm)</w:t>
            </w:r>
          </w:p>
        </w:tc>
        <w:tc>
          <w:tcPr>
            <w:tcW w:w="679" w:type="dxa"/>
          </w:tcPr>
          <w:p>
            <w:pPr>
              <w:pStyle w:val="TableParagraph"/>
              <w:spacing w:before="11"/>
              <w:jc w:val="left"/>
              <w:rPr>
                <w:sz w:val="14"/>
              </w:rPr>
            </w:pPr>
          </w:p>
          <w:p>
            <w:pPr>
              <w:pStyle w:val="TableParagraph"/>
              <w:spacing w:before="0"/>
              <w:ind w:left="67" w:right="130"/>
              <w:jc w:val="left"/>
              <w:rPr>
                <w:sz w:val="16"/>
              </w:rPr>
            </w:pPr>
            <w:r>
              <w:rPr>
                <w:sz w:val="16"/>
              </w:rPr>
              <w:t>(mm)</w:t>
            </w:r>
          </w:p>
        </w:tc>
        <w:tc>
          <w:tcPr>
            <w:tcW w:w="594" w:type="dxa"/>
          </w:tcPr>
          <w:p>
            <w:pPr>
              <w:pStyle w:val="TableParagraph"/>
              <w:spacing w:before="11"/>
              <w:jc w:val="left"/>
              <w:rPr>
                <w:sz w:val="14"/>
              </w:rPr>
            </w:pPr>
          </w:p>
          <w:p>
            <w:pPr>
              <w:pStyle w:val="TableParagraph"/>
              <w:spacing w:before="0"/>
              <w:ind w:left="69"/>
              <w:jc w:val="left"/>
              <w:rPr>
                <w:sz w:val="16"/>
              </w:rPr>
            </w:pPr>
            <w:r>
              <w:rPr>
                <w:sz w:val="16"/>
              </w:rPr>
              <w:t>(mm)</w:t>
            </w:r>
          </w:p>
        </w:tc>
        <w:tc>
          <w:tcPr>
            <w:tcW w:w="595" w:type="dxa"/>
          </w:tcPr>
          <w:p>
            <w:pPr>
              <w:pStyle w:val="TableParagraph"/>
              <w:spacing w:before="11"/>
              <w:jc w:val="left"/>
              <w:rPr>
                <w:sz w:val="14"/>
              </w:rPr>
            </w:pPr>
          </w:p>
          <w:p>
            <w:pPr>
              <w:pStyle w:val="TableParagraph"/>
              <w:spacing w:before="0"/>
              <w:ind w:left="66"/>
              <w:jc w:val="left"/>
              <w:rPr>
                <w:sz w:val="16"/>
              </w:rPr>
            </w:pPr>
            <w:r>
              <w:rPr>
                <w:sz w:val="16"/>
              </w:rPr>
              <w:t>------</w:t>
            </w:r>
          </w:p>
        </w:tc>
        <w:tc>
          <w:tcPr>
            <w:tcW w:w="545" w:type="dxa"/>
          </w:tcPr>
          <w:p>
            <w:pPr>
              <w:pStyle w:val="TableParagraph"/>
              <w:spacing w:before="11"/>
              <w:jc w:val="left"/>
              <w:rPr>
                <w:sz w:val="14"/>
              </w:rPr>
            </w:pPr>
          </w:p>
          <w:p>
            <w:pPr>
              <w:pStyle w:val="TableParagraph"/>
              <w:spacing w:before="0"/>
              <w:ind w:left="71"/>
              <w:jc w:val="left"/>
              <w:rPr>
                <w:sz w:val="16"/>
              </w:rPr>
            </w:pPr>
            <w:r>
              <w:rPr>
                <w:sz w:val="16"/>
              </w:rPr>
              <w:t>-------</w:t>
            </w:r>
          </w:p>
        </w:tc>
        <w:tc>
          <w:tcPr>
            <w:tcW w:w="598" w:type="dxa"/>
          </w:tcPr>
          <w:p>
            <w:pPr>
              <w:pStyle w:val="TableParagraph"/>
              <w:spacing w:line="173" w:lineRule="exact" w:before="0"/>
              <w:ind w:left="68"/>
              <w:jc w:val="left"/>
              <w:rPr>
                <w:sz w:val="16"/>
              </w:rPr>
            </w:pPr>
            <w:r>
              <w:rPr>
                <w:sz w:val="16"/>
              </w:rPr>
              <w:t>-----</w:t>
            </w:r>
          </w:p>
          <w:p>
            <w:pPr>
              <w:pStyle w:val="TableParagraph"/>
              <w:spacing w:line="183" w:lineRule="exact" w:before="0"/>
              <w:ind w:left="68"/>
              <w:jc w:val="left"/>
              <w:rPr>
                <w:sz w:val="16"/>
              </w:rPr>
            </w:pPr>
            <w:r>
              <w:rPr>
                <w:sz w:val="16"/>
              </w:rPr>
              <w:t>(kg</w:t>
            </w:r>
          </w:p>
        </w:tc>
        <w:tc>
          <w:tcPr>
            <w:tcW w:w="593" w:type="dxa"/>
          </w:tcPr>
          <w:p>
            <w:pPr>
              <w:pStyle w:val="TableParagraph"/>
              <w:spacing w:line="237" w:lineRule="auto" w:before="0"/>
              <w:ind w:left="71" w:right="147"/>
              <w:jc w:val="left"/>
              <w:rPr>
                <w:sz w:val="16"/>
              </w:rPr>
            </w:pPr>
            <w:r>
              <w:rPr>
                <w:w w:val="95"/>
                <w:sz w:val="16"/>
              </w:rPr>
              <w:t>nutrie </w:t>
            </w:r>
            <w:r>
              <w:rPr>
                <w:sz w:val="16"/>
              </w:rPr>
              <w:t>n</w:t>
            </w:r>
          </w:p>
        </w:tc>
        <w:tc>
          <w:tcPr>
            <w:tcW w:w="830" w:type="dxa"/>
          </w:tcPr>
          <w:p>
            <w:pPr>
              <w:pStyle w:val="TableParagraph"/>
              <w:spacing w:line="173" w:lineRule="exact" w:before="0"/>
              <w:ind w:left="68"/>
              <w:jc w:val="left"/>
              <w:rPr>
                <w:sz w:val="16"/>
              </w:rPr>
            </w:pPr>
            <w:r>
              <w:rPr>
                <w:sz w:val="16"/>
              </w:rPr>
              <w:t>Ton/Ha)--</w:t>
            </w:r>
          </w:p>
          <w:p>
            <w:pPr>
              <w:pStyle w:val="TableParagraph"/>
              <w:spacing w:line="183" w:lineRule="exact" w:before="0"/>
              <w:ind w:left="68" w:right="84"/>
              <w:jc w:val="left"/>
              <w:rPr>
                <w:sz w:val="16"/>
              </w:rPr>
            </w:pPr>
            <w:r>
              <w:rPr>
                <w:sz w:val="16"/>
              </w:rPr>
              <w:t>--</w:t>
            </w:r>
          </w:p>
        </w:tc>
        <w:tc>
          <w:tcPr>
            <w:tcW w:w="821" w:type="dxa"/>
          </w:tcPr>
          <w:p>
            <w:pPr>
              <w:pStyle w:val="TableParagraph"/>
              <w:spacing w:before="11"/>
              <w:jc w:val="left"/>
              <w:rPr>
                <w:sz w:val="14"/>
              </w:rPr>
            </w:pPr>
          </w:p>
          <w:p>
            <w:pPr>
              <w:pStyle w:val="TableParagraph"/>
              <w:spacing w:before="0"/>
              <w:ind w:left="68" w:right="84"/>
              <w:jc w:val="left"/>
              <w:rPr>
                <w:sz w:val="16"/>
              </w:rPr>
            </w:pPr>
            <w:r>
              <w:rPr>
                <w:sz w:val="16"/>
              </w:rPr>
              <w:t>--------</w:t>
            </w:r>
          </w:p>
        </w:tc>
        <w:tc>
          <w:tcPr>
            <w:tcW w:w="831" w:type="dxa"/>
          </w:tcPr>
          <w:p>
            <w:pPr>
              <w:pStyle w:val="TableParagraph"/>
              <w:spacing w:before="11"/>
              <w:jc w:val="left"/>
              <w:rPr>
                <w:sz w:val="14"/>
              </w:rPr>
            </w:pPr>
          </w:p>
          <w:p>
            <w:pPr>
              <w:pStyle w:val="TableParagraph"/>
              <w:spacing w:before="0"/>
              <w:ind w:left="68" w:right="84"/>
              <w:jc w:val="left"/>
              <w:rPr>
                <w:sz w:val="16"/>
              </w:rPr>
            </w:pPr>
            <w:r>
              <w:rPr>
                <w:sz w:val="16"/>
              </w:rPr>
              <w:t>--------</w:t>
            </w:r>
          </w:p>
        </w:tc>
        <w:tc>
          <w:tcPr>
            <w:tcW w:w="891" w:type="dxa"/>
          </w:tcPr>
          <w:p>
            <w:pPr>
              <w:pStyle w:val="TableParagraph"/>
              <w:spacing w:before="11"/>
              <w:jc w:val="left"/>
              <w:rPr>
                <w:sz w:val="14"/>
              </w:rPr>
            </w:pPr>
          </w:p>
          <w:p>
            <w:pPr>
              <w:pStyle w:val="TableParagraph"/>
              <w:spacing w:before="0"/>
              <w:ind w:left="68" w:right="214"/>
              <w:jc w:val="left"/>
              <w:rPr>
                <w:sz w:val="16"/>
              </w:rPr>
            </w:pPr>
            <w:r>
              <w:rPr>
                <w:sz w:val="16"/>
              </w:rPr>
              <w:t>(kg/ha)</w:t>
            </w:r>
          </w:p>
        </w:tc>
      </w:tr>
      <w:tr>
        <w:trPr>
          <w:trHeight w:val="300" w:hRule="exact"/>
        </w:trPr>
        <w:tc>
          <w:tcPr>
            <w:tcW w:w="685" w:type="dxa"/>
          </w:tcPr>
          <w:p>
            <w:pPr>
              <w:pStyle w:val="TableParagraph"/>
              <w:spacing w:before="50"/>
              <w:ind w:right="72"/>
              <w:rPr>
                <w:sz w:val="16"/>
              </w:rPr>
            </w:pPr>
            <w:r>
              <w:rPr>
                <w:w w:val="98"/>
                <w:sz w:val="16"/>
              </w:rPr>
              <w:t>1</w:t>
            </w:r>
          </w:p>
        </w:tc>
        <w:tc>
          <w:tcPr>
            <w:tcW w:w="716" w:type="dxa"/>
          </w:tcPr>
          <w:p>
            <w:pPr>
              <w:pStyle w:val="TableParagraph"/>
              <w:spacing w:before="50"/>
              <w:ind w:right="69"/>
              <w:rPr>
                <w:sz w:val="16"/>
              </w:rPr>
            </w:pPr>
            <w:r>
              <w:rPr>
                <w:sz w:val="16"/>
              </w:rPr>
              <w:t>12.25</w:t>
            </w:r>
          </w:p>
        </w:tc>
        <w:tc>
          <w:tcPr>
            <w:tcW w:w="718" w:type="dxa"/>
          </w:tcPr>
          <w:p>
            <w:pPr>
              <w:pStyle w:val="TableParagraph"/>
              <w:spacing w:before="50"/>
              <w:ind w:right="66"/>
              <w:rPr>
                <w:sz w:val="16"/>
              </w:rPr>
            </w:pPr>
            <w:r>
              <w:rPr>
                <w:w w:val="95"/>
                <w:sz w:val="16"/>
              </w:rPr>
              <w:t>0.08</w:t>
            </w:r>
          </w:p>
        </w:tc>
        <w:tc>
          <w:tcPr>
            <w:tcW w:w="554" w:type="dxa"/>
          </w:tcPr>
          <w:p>
            <w:pPr>
              <w:pStyle w:val="TableParagraph"/>
              <w:spacing w:before="50"/>
              <w:ind w:right="69"/>
              <w:rPr>
                <w:sz w:val="16"/>
              </w:rPr>
            </w:pPr>
            <w:r>
              <w:rPr>
                <w:w w:val="95"/>
                <w:sz w:val="16"/>
              </w:rPr>
              <w:t>0.39</w:t>
            </w:r>
          </w:p>
        </w:tc>
        <w:tc>
          <w:tcPr>
            <w:tcW w:w="538" w:type="dxa"/>
          </w:tcPr>
          <w:p>
            <w:pPr>
              <w:pStyle w:val="TableParagraph"/>
              <w:spacing w:before="50"/>
              <w:ind w:right="68"/>
              <w:rPr>
                <w:sz w:val="16"/>
              </w:rPr>
            </w:pPr>
            <w:r>
              <w:rPr>
                <w:w w:val="98"/>
                <w:sz w:val="16"/>
              </w:rPr>
              <w:t>0</w:t>
            </w:r>
          </w:p>
        </w:tc>
        <w:tc>
          <w:tcPr>
            <w:tcW w:w="669" w:type="dxa"/>
          </w:tcPr>
          <w:p>
            <w:pPr>
              <w:pStyle w:val="TableParagraph"/>
              <w:spacing w:before="50"/>
              <w:ind w:right="66"/>
              <w:rPr>
                <w:sz w:val="16"/>
              </w:rPr>
            </w:pPr>
            <w:r>
              <w:rPr>
                <w:w w:val="95"/>
                <w:sz w:val="16"/>
              </w:rPr>
              <w:t>0.01</w:t>
            </w:r>
          </w:p>
        </w:tc>
        <w:tc>
          <w:tcPr>
            <w:tcW w:w="535" w:type="dxa"/>
          </w:tcPr>
          <w:p>
            <w:pPr>
              <w:pStyle w:val="TableParagraph"/>
              <w:spacing w:before="50"/>
              <w:ind w:right="68"/>
              <w:rPr>
                <w:sz w:val="16"/>
              </w:rPr>
            </w:pPr>
            <w:r>
              <w:rPr>
                <w:w w:val="98"/>
                <w:sz w:val="16"/>
              </w:rPr>
              <w:t>0</w:t>
            </w:r>
          </w:p>
        </w:tc>
        <w:tc>
          <w:tcPr>
            <w:tcW w:w="667" w:type="dxa"/>
          </w:tcPr>
          <w:p>
            <w:pPr>
              <w:pStyle w:val="TableParagraph"/>
              <w:spacing w:before="50"/>
              <w:ind w:right="64"/>
              <w:rPr>
                <w:sz w:val="16"/>
              </w:rPr>
            </w:pPr>
            <w:r>
              <w:rPr>
                <w:sz w:val="16"/>
              </w:rPr>
              <w:t>278.32</w:t>
            </w:r>
          </w:p>
        </w:tc>
        <w:tc>
          <w:tcPr>
            <w:tcW w:w="665" w:type="dxa"/>
          </w:tcPr>
          <w:p>
            <w:pPr>
              <w:pStyle w:val="TableParagraph"/>
              <w:spacing w:before="50"/>
              <w:ind w:right="66"/>
              <w:rPr>
                <w:sz w:val="16"/>
              </w:rPr>
            </w:pPr>
            <w:r>
              <w:rPr>
                <w:sz w:val="16"/>
              </w:rPr>
              <w:t>10.96</w:t>
            </w:r>
          </w:p>
        </w:tc>
        <w:tc>
          <w:tcPr>
            <w:tcW w:w="544" w:type="dxa"/>
          </w:tcPr>
          <w:p>
            <w:pPr>
              <w:pStyle w:val="TableParagraph"/>
              <w:spacing w:before="50"/>
              <w:ind w:left="111"/>
              <w:jc w:val="left"/>
              <w:rPr>
                <w:sz w:val="16"/>
              </w:rPr>
            </w:pPr>
            <w:r>
              <w:rPr>
                <w:sz w:val="16"/>
              </w:rPr>
              <w:t>77.89</w:t>
            </w:r>
          </w:p>
        </w:tc>
        <w:tc>
          <w:tcPr>
            <w:tcW w:w="679" w:type="dxa"/>
          </w:tcPr>
          <w:p>
            <w:pPr>
              <w:pStyle w:val="TableParagraph"/>
              <w:spacing w:before="50"/>
              <w:ind w:right="70"/>
              <w:rPr>
                <w:sz w:val="16"/>
              </w:rPr>
            </w:pPr>
            <w:r>
              <w:rPr>
                <w:w w:val="95"/>
                <w:sz w:val="16"/>
              </w:rPr>
              <w:t>4.04</w:t>
            </w:r>
          </w:p>
        </w:tc>
        <w:tc>
          <w:tcPr>
            <w:tcW w:w="594" w:type="dxa"/>
          </w:tcPr>
          <w:p>
            <w:pPr>
              <w:pStyle w:val="TableParagraph"/>
              <w:spacing w:before="50"/>
              <w:ind w:right="68"/>
              <w:rPr>
                <w:sz w:val="16"/>
              </w:rPr>
            </w:pPr>
            <w:r>
              <w:rPr>
                <w:w w:val="98"/>
                <w:sz w:val="16"/>
              </w:rPr>
              <w:t>0</w:t>
            </w:r>
          </w:p>
        </w:tc>
        <w:tc>
          <w:tcPr>
            <w:tcW w:w="595" w:type="dxa"/>
          </w:tcPr>
          <w:p>
            <w:pPr>
              <w:pStyle w:val="TableParagraph"/>
              <w:spacing w:before="50"/>
              <w:ind w:right="73"/>
              <w:rPr>
                <w:sz w:val="16"/>
              </w:rPr>
            </w:pPr>
            <w:r>
              <w:rPr>
                <w:w w:val="98"/>
                <w:sz w:val="16"/>
              </w:rPr>
              <w:t>0</w:t>
            </w:r>
          </w:p>
        </w:tc>
        <w:tc>
          <w:tcPr>
            <w:tcW w:w="545" w:type="dxa"/>
          </w:tcPr>
          <w:p>
            <w:pPr>
              <w:pStyle w:val="TableParagraph"/>
              <w:spacing w:before="50"/>
              <w:ind w:right="66"/>
              <w:rPr>
                <w:sz w:val="16"/>
              </w:rPr>
            </w:pPr>
            <w:r>
              <w:rPr>
                <w:w w:val="95"/>
                <w:sz w:val="16"/>
              </w:rPr>
              <w:t>0.01</w:t>
            </w:r>
          </w:p>
        </w:tc>
        <w:tc>
          <w:tcPr>
            <w:tcW w:w="598" w:type="dxa"/>
          </w:tcPr>
          <w:p>
            <w:pPr>
              <w:pStyle w:val="TableParagraph"/>
              <w:spacing w:before="50"/>
              <w:ind w:right="73"/>
              <w:rPr>
                <w:sz w:val="16"/>
              </w:rPr>
            </w:pPr>
            <w:r>
              <w:rPr>
                <w:w w:val="98"/>
                <w:sz w:val="16"/>
              </w:rPr>
              <w:t>0</w:t>
            </w:r>
          </w:p>
        </w:tc>
        <w:tc>
          <w:tcPr>
            <w:tcW w:w="593" w:type="dxa"/>
          </w:tcPr>
          <w:p>
            <w:pPr>
              <w:pStyle w:val="TableParagraph"/>
              <w:spacing w:before="50"/>
              <w:ind w:right="72"/>
              <w:rPr>
                <w:sz w:val="16"/>
              </w:rPr>
            </w:pPr>
            <w:r>
              <w:rPr>
                <w:w w:val="98"/>
                <w:sz w:val="16"/>
              </w:rPr>
              <w:t>0</w:t>
            </w:r>
          </w:p>
        </w:tc>
        <w:tc>
          <w:tcPr>
            <w:tcW w:w="830" w:type="dxa"/>
          </w:tcPr>
          <w:p>
            <w:pPr>
              <w:pStyle w:val="TableParagraph"/>
              <w:spacing w:before="50"/>
              <w:ind w:right="72"/>
              <w:rPr>
                <w:sz w:val="16"/>
              </w:rPr>
            </w:pPr>
            <w:r>
              <w:rPr>
                <w:w w:val="98"/>
                <w:sz w:val="16"/>
              </w:rPr>
              <w:t>0</w:t>
            </w:r>
          </w:p>
        </w:tc>
        <w:tc>
          <w:tcPr>
            <w:tcW w:w="821" w:type="dxa"/>
          </w:tcPr>
          <w:p>
            <w:pPr>
              <w:pStyle w:val="TableParagraph"/>
              <w:spacing w:before="50"/>
              <w:ind w:right="70"/>
              <w:rPr>
                <w:sz w:val="16"/>
              </w:rPr>
            </w:pPr>
            <w:r>
              <w:rPr>
                <w:w w:val="98"/>
                <w:sz w:val="16"/>
              </w:rPr>
              <w:t>0</w:t>
            </w:r>
          </w:p>
        </w:tc>
        <w:tc>
          <w:tcPr>
            <w:tcW w:w="831" w:type="dxa"/>
          </w:tcPr>
          <w:p>
            <w:pPr>
              <w:pStyle w:val="TableParagraph"/>
              <w:spacing w:before="50"/>
              <w:ind w:right="72"/>
              <w:rPr>
                <w:sz w:val="16"/>
              </w:rPr>
            </w:pPr>
            <w:r>
              <w:rPr>
                <w:w w:val="98"/>
                <w:sz w:val="16"/>
              </w:rPr>
              <w:t>0</w:t>
            </w:r>
          </w:p>
        </w:tc>
        <w:tc>
          <w:tcPr>
            <w:tcW w:w="891" w:type="dxa"/>
          </w:tcPr>
          <w:p>
            <w:pPr>
              <w:pStyle w:val="TableParagraph"/>
              <w:spacing w:before="50"/>
              <w:ind w:right="198"/>
              <w:rPr>
                <w:sz w:val="16"/>
              </w:rPr>
            </w:pPr>
            <w:r>
              <w:rPr>
                <w:w w:val="98"/>
                <w:sz w:val="16"/>
              </w:rPr>
              <w:t>0</w:t>
            </w:r>
          </w:p>
        </w:tc>
      </w:tr>
      <w:tr>
        <w:trPr>
          <w:trHeight w:val="228" w:hRule="exact"/>
        </w:trPr>
        <w:tc>
          <w:tcPr>
            <w:tcW w:w="685" w:type="dxa"/>
          </w:tcPr>
          <w:p>
            <w:pPr>
              <w:pStyle w:val="TableParagraph"/>
              <w:spacing w:before="47"/>
              <w:ind w:right="72"/>
              <w:rPr>
                <w:sz w:val="16"/>
              </w:rPr>
            </w:pPr>
            <w:r>
              <w:rPr>
                <w:w w:val="99"/>
                <w:sz w:val="16"/>
              </w:rPr>
              <w:t>2</w:t>
            </w:r>
          </w:p>
        </w:tc>
        <w:tc>
          <w:tcPr>
            <w:tcW w:w="716" w:type="dxa"/>
          </w:tcPr>
          <w:p>
            <w:pPr>
              <w:pStyle w:val="TableParagraph"/>
              <w:spacing w:before="47"/>
              <w:ind w:right="69"/>
              <w:rPr>
                <w:sz w:val="16"/>
              </w:rPr>
            </w:pPr>
            <w:r>
              <w:rPr>
                <w:w w:val="95"/>
                <w:sz w:val="16"/>
              </w:rPr>
              <w:t>0.22</w:t>
            </w:r>
          </w:p>
        </w:tc>
        <w:tc>
          <w:tcPr>
            <w:tcW w:w="718" w:type="dxa"/>
          </w:tcPr>
          <w:p>
            <w:pPr>
              <w:pStyle w:val="TableParagraph"/>
              <w:spacing w:before="47"/>
              <w:ind w:right="72"/>
              <w:rPr>
                <w:sz w:val="16"/>
              </w:rPr>
            </w:pPr>
            <w:r>
              <w:rPr>
                <w:w w:val="99"/>
                <w:sz w:val="16"/>
              </w:rPr>
              <w:t>0</w:t>
            </w:r>
          </w:p>
        </w:tc>
        <w:tc>
          <w:tcPr>
            <w:tcW w:w="554" w:type="dxa"/>
          </w:tcPr>
          <w:p>
            <w:pPr>
              <w:pStyle w:val="TableParagraph"/>
              <w:spacing w:before="47"/>
              <w:ind w:right="69"/>
              <w:rPr>
                <w:sz w:val="16"/>
              </w:rPr>
            </w:pPr>
            <w:r>
              <w:rPr>
                <w:w w:val="95"/>
                <w:sz w:val="16"/>
              </w:rPr>
              <w:t>0.29</w:t>
            </w:r>
          </w:p>
        </w:tc>
        <w:tc>
          <w:tcPr>
            <w:tcW w:w="538" w:type="dxa"/>
          </w:tcPr>
          <w:p>
            <w:pPr>
              <w:pStyle w:val="TableParagraph"/>
              <w:spacing w:before="47"/>
              <w:ind w:right="68"/>
              <w:rPr>
                <w:sz w:val="16"/>
              </w:rPr>
            </w:pPr>
            <w:r>
              <w:rPr>
                <w:w w:val="99"/>
                <w:sz w:val="16"/>
              </w:rPr>
              <w:t>0</w:t>
            </w:r>
          </w:p>
        </w:tc>
        <w:tc>
          <w:tcPr>
            <w:tcW w:w="669" w:type="dxa"/>
          </w:tcPr>
          <w:p>
            <w:pPr>
              <w:pStyle w:val="TableParagraph"/>
              <w:spacing w:before="47"/>
              <w:ind w:right="66"/>
              <w:rPr>
                <w:sz w:val="16"/>
              </w:rPr>
            </w:pPr>
            <w:r>
              <w:rPr>
                <w:w w:val="95"/>
                <w:sz w:val="16"/>
              </w:rPr>
              <w:t>0.01</w:t>
            </w:r>
          </w:p>
        </w:tc>
        <w:tc>
          <w:tcPr>
            <w:tcW w:w="535" w:type="dxa"/>
          </w:tcPr>
          <w:p>
            <w:pPr>
              <w:pStyle w:val="TableParagraph"/>
              <w:spacing w:before="47"/>
              <w:ind w:right="68"/>
              <w:rPr>
                <w:sz w:val="16"/>
              </w:rPr>
            </w:pPr>
            <w:r>
              <w:rPr>
                <w:w w:val="99"/>
                <w:sz w:val="16"/>
              </w:rPr>
              <w:t>0</w:t>
            </w:r>
          </w:p>
        </w:tc>
        <w:tc>
          <w:tcPr>
            <w:tcW w:w="667" w:type="dxa"/>
          </w:tcPr>
          <w:p>
            <w:pPr>
              <w:pStyle w:val="TableParagraph"/>
              <w:spacing w:before="47"/>
              <w:ind w:right="64"/>
              <w:rPr>
                <w:sz w:val="16"/>
              </w:rPr>
            </w:pPr>
            <w:r>
              <w:rPr>
                <w:sz w:val="16"/>
              </w:rPr>
              <w:t>268.47</w:t>
            </w:r>
          </w:p>
        </w:tc>
        <w:tc>
          <w:tcPr>
            <w:tcW w:w="665" w:type="dxa"/>
          </w:tcPr>
          <w:p>
            <w:pPr>
              <w:pStyle w:val="TableParagraph"/>
              <w:spacing w:before="47"/>
              <w:ind w:right="66"/>
              <w:rPr>
                <w:sz w:val="16"/>
              </w:rPr>
            </w:pPr>
            <w:r>
              <w:rPr>
                <w:sz w:val="16"/>
              </w:rPr>
              <w:t>10.06</w:t>
            </w:r>
          </w:p>
        </w:tc>
        <w:tc>
          <w:tcPr>
            <w:tcW w:w="544" w:type="dxa"/>
          </w:tcPr>
          <w:p>
            <w:pPr>
              <w:pStyle w:val="TableParagraph"/>
              <w:spacing w:before="47"/>
              <w:ind w:left="111"/>
              <w:jc w:val="left"/>
              <w:rPr>
                <w:sz w:val="16"/>
              </w:rPr>
            </w:pPr>
            <w:r>
              <w:rPr>
                <w:sz w:val="16"/>
              </w:rPr>
              <w:t>93.11</w:t>
            </w:r>
          </w:p>
        </w:tc>
        <w:tc>
          <w:tcPr>
            <w:tcW w:w="679" w:type="dxa"/>
          </w:tcPr>
          <w:p>
            <w:pPr>
              <w:pStyle w:val="TableParagraph"/>
              <w:spacing w:before="47"/>
              <w:ind w:right="70"/>
              <w:rPr>
                <w:sz w:val="16"/>
              </w:rPr>
            </w:pPr>
            <w:r>
              <w:rPr>
                <w:w w:val="95"/>
                <w:sz w:val="16"/>
              </w:rPr>
              <w:t>3.09</w:t>
            </w:r>
          </w:p>
        </w:tc>
        <w:tc>
          <w:tcPr>
            <w:tcW w:w="594" w:type="dxa"/>
          </w:tcPr>
          <w:p>
            <w:pPr>
              <w:pStyle w:val="TableParagraph"/>
              <w:spacing w:before="47"/>
              <w:ind w:right="68"/>
              <w:rPr>
                <w:sz w:val="16"/>
              </w:rPr>
            </w:pPr>
            <w:r>
              <w:rPr>
                <w:w w:val="99"/>
                <w:sz w:val="16"/>
              </w:rPr>
              <w:t>0</w:t>
            </w:r>
          </w:p>
        </w:tc>
        <w:tc>
          <w:tcPr>
            <w:tcW w:w="595" w:type="dxa"/>
          </w:tcPr>
          <w:p>
            <w:pPr>
              <w:pStyle w:val="TableParagraph"/>
              <w:spacing w:before="47"/>
              <w:ind w:right="73"/>
              <w:rPr>
                <w:sz w:val="16"/>
              </w:rPr>
            </w:pPr>
            <w:r>
              <w:rPr>
                <w:w w:val="99"/>
                <w:sz w:val="16"/>
              </w:rPr>
              <w:t>0</w:t>
            </w:r>
          </w:p>
        </w:tc>
        <w:tc>
          <w:tcPr>
            <w:tcW w:w="545" w:type="dxa"/>
          </w:tcPr>
          <w:p>
            <w:pPr>
              <w:pStyle w:val="TableParagraph"/>
              <w:spacing w:before="47"/>
              <w:ind w:right="66"/>
              <w:rPr>
                <w:sz w:val="16"/>
              </w:rPr>
            </w:pPr>
            <w:r>
              <w:rPr>
                <w:w w:val="95"/>
                <w:sz w:val="16"/>
              </w:rPr>
              <w:t>0.01</w:t>
            </w:r>
          </w:p>
        </w:tc>
        <w:tc>
          <w:tcPr>
            <w:tcW w:w="598" w:type="dxa"/>
          </w:tcPr>
          <w:p>
            <w:pPr>
              <w:pStyle w:val="TableParagraph"/>
              <w:spacing w:before="47"/>
              <w:ind w:right="73"/>
              <w:rPr>
                <w:sz w:val="16"/>
              </w:rPr>
            </w:pPr>
            <w:r>
              <w:rPr>
                <w:w w:val="99"/>
                <w:sz w:val="16"/>
              </w:rPr>
              <w:t>0</w:t>
            </w:r>
          </w:p>
        </w:tc>
        <w:tc>
          <w:tcPr>
            <w:tcW w:w="593" w:type="dxa"/>
          </w:tcPr>
          <w:p>
            <w:pPr>
              <w:pStyle w:val="TableParagraph"/>
              <w:spacing w:before="47"/>
              <w:ind w:right="72"/>
              <w:rPr>
                <w:sz w:val="16"/>
              </w:rPr>
            </w:pPr>
            <w:r>
              <w:rPr>
                <w:w w:val="99"/>
                <w:sz w:val="16"/>
              </w:rPr>
              <w:t>0</w:t>
            </w:r>
          </w:p>
        </w:tc>
        <w:tc>
          <w:tcPr>
            <w:tcW w:w="830" w:type="dxa"/>
          </w:tcPr>
          <w:p>
            <w:pPr>
              <w:pStyle w:val="TableParagraph"/>
              <w:spacing w:before="47"/>
              <w:ind w:right="72"/>
              <w:rPr>
                <w:sz w:val="16"/>
              </w:rPr>
            </w:pPr>
            <w:r>
              <w:rPr>
                <w:w w:val="99"/>
                <w:sz w:val="16"/>
              </w:rPr>
              <w:t>0</w:t>
            </w:r>
          </w:p>
        </w:tc>
        <w:tc>
          <w:tcPr>
            <w:tcW w:w="821" w:type="dxa"/>
          </w:tcPr>
          <w:p>
            <w:pPr>
              <w:pStyle w:val="TableParagraph"/>
              <w:spacing w:before="47"/>
              <w:ind w:right="70"/>
              <w:rPr>
                <w:sz w:val="16"/>
              </w:rPr>
            </w:pPr>
            <w:r>
              <w:rPr>
                <w:w w:val="99"/>
                <w:sz w:val="16"/>
              </w:rPr>
              <w:t>0</w:t>
            </w:r>
          </w:p>
        </w:tc>
        <w:tc>
          <w:tcPr>
            <w:tcW w:w="831" w:type="dxa"/>
          </w:tcPr>
          <w:p>
            <w:pPr>
              <w:pStyle w:val="TableParagraph"/>
              <w:spacing w:before="47"/>
              <w:ind w:right="72"/>
              <w:rPr>
                <w:sz w:val="16"/>
              </w:rPr>
            </w:pPr>
            <w:r>
              <w:rPr>
                <w:w w:val="99"/>
                <w:sz w:val="16"/>
              </w:rPr>
              <w:t>0</w:t>
            </w:r>
          </w:p>
        </w:tc>
        <w:tc>
          <w:tcPr>
            <w:tcW w:w="891" w:type="dxa"/>
          </w:tcPr>
          <w:p>
            <w:pPr>
              <w:pStyle w:val="TableParagraph"/>
              <w:spacing w:before="47"/>
              <w:ind w:right="198"/>
              <w:rPr>
                <w:sz w:val="16"/>
              </w:rPr>
            </w:pPr>
            <w:r>
              <w:rPr>
                <w:w w:val="99"/>
                <w:sz w:val="16"/>
              </w:rPr>
              <w:t>0</w:t>
            </w:r>
          </w:p>
        </w:tc>
      </w:tr>
    </w:tbl>
    <w:p>
      <w:pPr>
        <w:spacing w:after="0"/>
        <w:rPr>
          <w:sz w:val="16"/>
        </w:rPr>
        <w:sectPr>
          <w:pgSz w:w="15840" w:h="12240" w:orient="landscape"/>
          <w:pgMar w:header="0" w:footer="1414" w:top="1140" w:bottom="1600" w:left="1180" w:right="1180"/>
        </w:sectPr>
      </w:pPr>
    </w:p>
    <w:p>
      <w:pPr>
        <w:pStyle w:val="BodyText"/>
        <w:rPr>
          <w:sz w:val="20"/>
        </w:rPr>
      </w:pPr>
    </w:p>
    <w:p>
      <w:pPr>
        <w:pStyle w:val="BodyText"/>
        <w:spacing w:before="10"/>
        <w:rPr>
          <w:sz w:val="15"/>
        </w:rPr>
      </w:pPr>
    </w:p>
    <w:tbl>
      <w:tblPr>
        <w:tblW w:w="0" w:type="auto"/>
        <w:jc w:val="left"/>
        <w:tblInd w:w="11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61"/>
        <w:gridCol w:w="716"/>
        <w:gridCol w:w="718"/>
        <w:gridCol w:w="646"/>
        <w:gridCol w:w="423"/>
        <w:gridCol w:w="784"/>
        <w:gridCol w:w="421"/>
        <w:gridCol w:w="667"/>
        <w:gridCol w:w="643"/>
        <w:gridCol w:w="571"/>
        <w:gridCol w:w="719"/>
        <w:gridCol w:w="595"/>
        <w:gridCol w:w="569"/>
        <w:gridCol w:w="571"/>
        <w:gridCol w:w="554"/>
        <w:gridCol w:w="754"/>
        <w:gridCol w:w="826"/>
        <w:gridCol w:w="826"/>
        <w:gridCol w:w="896"/>
        <w:gridCol w:w="619"/>
      </w:tblGrid>
      <w:tr>
        <w:trPr>
          <w:trHeight w:val="228" w:hRule="exact"/>
        </w:trPr>
        <w:tc>
          <w:tcPr>
            <w:tcW w:w="661" w:type="dxa"/>
          </w:tcPr>
          <w:p>
            <w:pPr>
              <w:pStyle w:val="TableParagraph"/>
              <w:spacing w:line="162" w:lineRule="exact" w:before="0"/>
              <w:ind w:right="139"/>
              <w:rPr>
                <w:sz w:val="16"/>
              </w:rPr>
            </w:pPr>
            <w:r>
              <w:rPr>
                <w:w w:val="99"/>
                <w:sz w:val="16"/>
              </w:rPr>
              <w:t>3</w:t>
            </w:r>
          </w:p>
        </w:tc>
        <w:tc>
          <w:tcPr>
            <w:tcW w:w="716" w:type="dxa"/>
          </w:tcPr>
          <w:p>
            <w:pPr>
              <w:pStyle w:val="TableParagraph"/>
              <w:spacing w:line="162" w:lineRule="exact" w:before="0"/>
              <w:ind w:left="117" w:right="40"/>
              <w:jc w:val="center"/>
              <w:rPr>
                <w:sz w:val="16"/>
              </w:rPr>
            </w:pPr>
            <w:r>
              <w:rPr>
                <w:sz w:val="16"/>
              </w:rPr>
              <w:t>15.94</w:t>
            </w:r>
          </w:p>
        </w:tc>
        <w:tc>
          <w:tcPr>
            <w:tcW w:w="718" w:type="dxa"/>
          </w:tcPr>
          <w:p>
            <w:pPr>
              <w:pStyle w:val="TableParagraph"/>
              <w:spacing w:line="162" w:lineRule="exact" w:before="0"/>
              <w:ind w:right="133"/>
              <w:rPr>
                <w:sz w:val="16"/>
              </w:rPr>
            </w:pPr>
            <w:r>
              <w:rPr>
                <w:w w:val="95"/>
                <w:sz w:val="16"/>
              </w:rPr>
              <w:t>0.21</w:t>
            </w:r>
          </w:p>
        </w:tc>
        <w:tc>
          <w:tcPr>
            <w:tcW w:w="646" w:type="dxa"/>
          </w:tcPr>
          <w:p>
            <w:pPr>
              <w:pStyle w:val="TableParagraph"/>
              <w:spacing w:line="162" w:lineRule="exact" w:before="0"/>
              <w:ind w:right="227"/>
              <w:rPr>
                <w:sz w:val="16"/>
              </w:rPr>
            </w:pPr>
            <w:r>
              <w:rPr>
                <w:w w:val="95"/>
                <w:sz w:val="16"/>
              </w:rPr>
              <w:t>0.31</w:t>
            </w:r>
          </w:p>
        </w:tc>
        <w:tc>
          <w:tcPr>
            <w:tcW w:w="423" w:type="dxa"/>
          </w:tcPr>
          <w:p>
            <w:pPr>
              <w:pStyle w:val="TableParagraph"/>
              <w:spacing w:line="162" w:lineRule="exact" w:before="0"/>
              <w:ind w:left="115"/>
              <w:jc w:val="center"/>
              <w:rPr>
                <w:sz w:val="16"/>
              </w:rPr>
            </w:pPr>
            <w:r>
              <w:rPr>
                <w:w w:val="99"/>
                <w:sz w:val="16"/>
              </w:rPr>
              <w:t>0</w:t>
            </w:r>
          </w:p>
        </w:tc>
        <w:tc>
          <w:tcPr>
            <w:tcW w:w="784" w:type="dxa"/>
          </w:tcPr>
          <w:p>
            <w:pPr>
              <w:pStyle w:val="TableParagraph"/>
              <w:spacing w:line="162" w:lineRule="exact" w:before="0"/>
              <w:ind w:right="224"/>
              <w:rPr>
                <w:sz w:val="16"/>
              </w:rPr>
            </w:pPr>
            <w:r>
              <w:rPr>
                <w:w w:val="95"/>
                <w:sz w:val="16"/>
              </w:rPr>
              <w:t>6.95</w:t>
            </w:r>
          </w:p>
        </w:tc>
        <w:tc>
          <w:tcPr>
            <w:tcW w:w="421" w:type="dxa"/>
          </w:tcPr>
          <w:p>
            <w:pPr>
              <w:pStyle w:val="TableParagraph"/>
              <w:spacing w:line="162" w:lineRule="exact" w:before="0"/>
              <w:ind w:left="112"/>
              <w:jc w:val="center"/>
              <w:rPr>
                <w:sz w:val="16"/>
              </w:rPr>
            </w:pPr>
            <w:r>
              <w:rPr>
                <w:w w:val="99"/>
                <w:sz w:val="16"/>
              </w:rPr>
              <w:t>0</w:t>
            </w:r>
          </w:p>
        </w:tc>
        <w:tc>
          <w:tcPr>
            <w:tcW w:w="667" w:type="dxa"/>
          </w:tcPr>
          <w:p>
            <w:pPr>
              <w:pStyle w:val="TableParagraph"/>
              <w:spacing w:line="162" w:lineRule="exact" w:before="0"/>
              <w:ind w:left="94" w:right="90"/>
              <w:jc w:val="center"/>
              <w:rPr>
                <w:sz w:val="16"/>
              </w:rPr>
            </w:pPr>
            <w:r>
              <w:rPr>
                <w:sz w:val="16"/>
              </w:rPr>
              <w:t>275.22</w:t>
            </w:r>
          </w:p>
        </w:tc>
        <w:tc>
          <w:tcPr>
            <w:tcW w:w="643" w:type="dxa"/>
          </w:tcPr>
          <w:p>
            <w:pPr>
              <w:pStyle w:val="TableParagraph"/>
              <w:spacing w:line="162" w:lineRule="exact" w:before="0"/>
              <w:ind w:right="88"/>
              <w:rPr>
                <w:sz w:val="16"/>
              </w:rPr>
            </w:pPr>
            <w:r>
              <w:rPr>
                <w:sz w:val="16"/>
              </w:rPr>
              <w:t>20.98</w:t>
            </w:r>
          </w:p>
        </w:tc>
        <w:tc>
          <w:tcPr>
            <w:tcW w:w="571" w:type="dxa"/>
          </w:tcPr>
          <w:p>
            <w:pPr>
              <w:pStyle w:val="TableParagraph"/>
              <w:spacing w:line="162" w:lineRule="exact" w:before="0"/>
              <w:ind w:left="72" w:right="98"/>
              <w:jc w:val="center"/>
              <w:rPr>
                <w:sz w:val="16"/>
              </w:rPr>
            </w:pPr>
            <w:r>
              <w:rPr>
                <w:sz w:val="16"/>
              </w:rPr>
              <w:t>108.2</w:t>
            </w:r>
          </w:p>
        </w:tc>
        <w:tc>
          <w:tcPr>
            <w:tcW w:w="719" w:type="dxa"/>
          </w:tcPr>
          <w:p>
            <w:pPr>
              <w:pStyle w:val="TableParagraph"/>
              <w:spacing w:line="162" w:lineRule="exact" w:before="0"/>
              <w:ind w:right="157"/>
              <w:rPr>
                <w:sz w:val="16"/>
              </w:rPr>
            </w:pPr>
            <w:r>
              <w:rPr>
                <w:w w:val="95"/>
                <w:sz w:val="16"/>
              </w:rPr>
              <w:t>3.33</w:t>
            </w:r>
          </w:p>
        </w:tc>
        <w:tc>
          <w:tcPr>
            <w:tcW w:w="595" w:type="dxa"/>
          </w:tcPr>
          <w:p>
            <w:pPr>
              <w:pStyle w:val="TableParagraph"/>
              <w:spacing w:line="162" w:lineRule="exact" w:before="0"/>
              <w:ind w:right="153"/>
              <w:rPr>
                <w:sz w:val="16"/>
              </w:rPr>
            </w:pPr>
            <w:r>
              <w:rPr>
                <w:w w:val="95"/>
                <w:sz w:val="16"/>
              </w:rPr>
              <w:t>0.01</w:t>
            </w:r>
          </w:p>
        </w:tc>
        <w:tc>
          <w:tcPr>
            <w:tcW w:w="569" w:type="dxa"/>
          </w:tcPr>
          <w:p>
            <w:pPr>
              <w:pStyle w:val="TableParagraph"/>
              <w:spacing w:line="162" w:lineRule="exact" w:before="0"/>
              <w:ind w:right="135"/>
              <w:rPr>
                <w:sz w:val="16"/>
              </w:rPr>
            </w:pPr>
            <w:r>
              <w:rPr>
                <w:w w:val="99"/>
                <w:sz w:val="16"/>
              </w:rPr>
              <w:t>0</w:t>
            </w:r>
          </w:p>
        </w:tc>
        <w:tc>
          <w:tcPr>
            <w:tcW w:w="571" w:type="dxa"/>
          </w:tcPr>
          <w:p>
            <w:pPr>
              <w:pStyle w:val="TableParagraph"/>
              <w:spacing w:line="162" w:lineRule="exact" w:before="0"/>
              <w:ind w:left="115" w:right="136"/>
              <w:jc w:val="center"/>
              <w:rPr>
                <w:sz w:val="16"/>
              </w:rPr>
            </w:pPr>
            <w:r>
              <w:rPr>
                <w:sz w:val="16"/>
              </w:rPr>
              <w:t>0.01</w:t>
            </w:r>
          </w:p>
        </w:tc>
        <w:tc>
          <w:tcPr>
            <w:tcW w:w="554" w:type="dxa"/>
          </w:tcPr>
          <w:p>
            <w:pPr>
              <w:pStyle w:val="TableParagraph"/>
              <w:spacing w:line="162" w:lineRule="exact" w:before="0"/>
              <w:ind w:right="114"/>
              <w:rPr>
                <w:sz w:val="16"/>
              </w:rPr>
            </w:pPr>
            <w:r>
              <w:rPr>
                <w:w w:val="95"/>
                <w:sz w:val="16"/>
              </w:rPr>
              <w:t>0.45</w:t>
            </w:r>
          </w:p>
        </w:tc>
        <w:tc>
          <w:tcPr>
            <w:tcW w:w="754" w:type="dxa"/>
          </w:tcPr>
          <w:p>
            <w:pPr>
              <w:pStyle w:val="TableParagraph"/>
              <w:spacing w:line="162" w:lineRule="exact" w:before="0"/>
              <w:ind w:right="273"/>
              <w:rPr>
                <w:sz w:val="16"/>
              </w:rPr>
            </w:pPr>
            <w:r>
              <w:rPr>
                <w:w w:val="95"/>
                <w:sz w:val="16"/>
              </w:rPr>
              <w:t>5.25</w:t>
            </w:r>
          </w:p>
        </w:tc>
        <w:tc>
          <w:tcPr>
            <w:tcW w:w="826" w:type="dxa"/>
          </w:tcPr>
          <w:p>
            <w:pPr>
              <w:pStyle w:val="TableParagraph"/>
              <w:spacing w:line="162" w:lineRule="exact" w:before="0"/>
              <w:ind w:left="197"/>
              <w:jc w:val="center"/>
              <w:rPr>
                <w:sz w:val="16"/>
              </w:rPr>
            </w:pPr>
            <w:r>
              <w:rPr>
                <w:w w:val="99"/>
                <w:sz w:val="16"/>
              </w:rPr>
              <w:t>0</w:t>
            </w:r>
          </w:p>
        </w:tc>
        <w:tc>
          <w:tcPr>
            <w:tcW w:w="826" w:type="dxa"/>
          </w:tcPr>
          <w:p>
            <w:pPr>
              <w:pStyle w:val="TableParagraph"/>
              <w:spacing w:line="162" w:lineRule="exact" w:before="0"/>
              <w:ind w:right="277"/>
              <w:rPr>
                <w:sz w:val="16"/>
              </w:rPr>
            </w:pPr>
            <w:r>
              <w:rPr>
                <w:w w:val="99"/>
                <w:sz w:val="16"/>
              </w:rPr>
              <w:t>0</w:t>
            </w:r>
          </w:p>
        </w:tc>
        <w:tc>
          <w:tcPr>
            <w:tcW w:w="896" w:type="dxa"/>
          </w:tcPr>
          <w:p>
            <w:pPr>
              <w:pStyle w:val="TableParagraph"/>
              <w:spacing w:line="162" w:lineRule="exact" w:before="0"/>
              <w:ind w:right="342"/>
              <w:rPr>
                <w:sz w:val="16"/>
              </w:rPr>
            </w:pPr>
            <w:r>
              <w:rPr>
                <w:w w:val="99"/>
                <w:sz w:val="16"/>
              </w:rPr>
              <w:t>0</w:t>
            </w:r>
          </w:p>
        </w:tc>
        <w:tc>
          <w:tcPr>
            <w:tcW w:w="619" w:type="dxa"/>
          </w:tcPr>
          <w:p>
            <w:pPr>
              <w:pStyle w:val="TableParagraph"/>
              <w:spacing w:line="162" w:lineRule="exact" w:before="0"/>
              <w:ind w:right="198"/>
              <w:rPr>
                <w:sz w:val="16"/>
              </w:rPr>
            </w:pPr>
            <w:r>
              <w:rPr>
                <w:w w:val="99"/>
                <w:sz w:val="16"/>
              </w:rPr>
              <w:t>0</w:t>
            </w:r>
          </w:p>
        </w:tc>
      </w:tr>
      <w:tr>
        <w:trPr>
          <w:trHeight w:val="300" w:hRule="exact"/>
        </w:trPr>
        <w:tc>
          <w:tcPr>
            <w:tcW w:w="661" w:type="dxa"/>
          </w:tcPr>
          <w:p>
            <w:pPr>
              <w:pStyle w:val="TableParagraph"/>
              <w:spacing w:before="48"/>
              <w:ind w:right="139"/>
              <w:rPr>
                <w:sz w:val="16"/>
              </w:rPr>
            </w:pPr>
            <w:r>
              <w:rPr>
                <w:w w:val="98"/>
                <w:sz w:val="16"/>
              </w:rPr>
              <w:t>4</w:t>
            </w:r>
          </w:p>
        </w:tc>
        <w:tc>
          <w:tcPr>
            <w:tcW w:w="716" w:type="dxa"/>
          </w:tcPr>
          <w:p>
            <w:pPr>
              <w:pStyle w:val="TableParagraph"/>
              <w:spacing w:before="48"/>
              <w:ind w:left="117" w:right="40"/>
              <w:jc w:val="center"/>
              <w:rPr>
                <w:sz w:val="16"/>
              </w:rPr>
            </w:pPr>
            <w:r>
              <w:rPr>
                <w:sz w:val="16"/>
              </w:rPr>
              <w:t>40.94</w:t>
            </w:r>
          </w:p>
        </w:tc>
        <w:tc>
          <w:tcPr>
            <w:tcW w:w="718" w:type="dxa"/>
          </w:tcPr>
          <w:p>
            <w:pPr>
              <w:pStyle w:val="TableParagraph"/>
              <w:spacing w:before="48"/>
              <w:ind w:right="133"/>
              <w:rPr>
                <w:sz w:val="16"/>
              </w:rPr>
            </w:pPr>
            <w:r>
              <w:rPr>
                <w:w w:val="95"/>
                <w:sz w:val="16"/>
              </w:rPr>
              <w:t>1.01</w:t>
            </w:r>
          </w:p>
        </w:tc>
        <w:tc>
          <w:tcPr>
            <w:tcW w:w="646" w:type="dxa"/>
          </w:tcPr>
          <w:p>
            <w:pPr>
              <w:pStyle w:val="TableParagraph"/>
              <w:spacing w:before="48"/>
              <w:ind w:right="227"/>
              <w:rPr>
                <w:sz w:val="16"/>
              </w:rPr>
            </w:pPr>
            <w:r>
              <w:rPr>
                <w:w w:val="95"/>
                <w:sz w:val="16"/>
              </w:rPr>
              <w:t>0.28</w:t>
            </w:r>
          </w:p>
        </w:tc>
        <w:tc>
          <w:tcPr>
            <w:tcW w:w="423" w:type="dxa"/>
          </w:tcPr>
          <w:p>
            <w:pPr>
              <w:pStyle w:val="TableParagraph"/>
              <w:spacing w:before="48"/>
              <w:ind w:left="115"/>
              <w:jc w:val="center"/>
              <w:rPr>
                <w:sz w:val="16"/>
              </w:rPr>
            </w:pPr>
            <w:r>
              <w:rPr>
                <w:w w:val="98"/>
                <w:sz w:val="16"/>
              </w:rPr>
              <w:t>0</w:t>
            </w:r>
          </w:p>
        </w:tc>
        <w:tc>
          <w:tcPr>
            <w:tcW w:w="784" w:type="dxa"/>
          </w:tcPr>
          <w:p>
            <w:pPr>
              <w:pStyle w:val="TableParagraph"/>
              <w:spacing w:before="48"/>
              <w:ind w:right="224"/>
              <w:rPr>
                <w:sz w:val="16"/>
              </w:rPr>
            </w:pPr>
            <w:r>
              <w:rPr>
                <w:w w:val="95"/>
                <w:sz w:val="16"/>
              </w:rPr>
              <w:t>5.02</w:t>
            </w:r>
          </w:p>
        </w:tc>
        <w:tc>
          <w:tcPr>
            <w:tcW w:w="421" w:type="dxa"/>
          </w:tcPr>
          <w:p>
            <w:pPr>
              <w:pStyle w:val="TableParagraph"/>
              <w:spacing w:before="48"/>
              <w:ind w:left="112"/>
              <w:jc w:val="center"/>
              <w:rPr>
                <w:sz w:val="16"/>
              </w:rPr>
            </w:pPr>
            <w:r>
              <w:rPr>
                <w:w w:val="98"/>
                <w:sz w:val="16"/>
              </w:rPr>
              <w:t>0</w:t>
            </w:r>
          </w:p>
        </w:tc>
        <w:tc>
          <w:tcPr>
            <w:tcW w:w="667" w:type="dxa"/>
          </w:tcPr>
          <w:p>
            <w:pPr>
              <w:pStyle w:val="TableParagraph"/>
              <w:spacing w:before="48"/>
              <w:ind w:left="94" w:right="90"/>
              <w:jc w:val="center"/>
              <w:rPr>
                <w:sz w:val="16"/>
              </w:rPr>
            </w:pPr>
            <w:r>
              <w:rPr>
                <w:sz w:val="16"/>
              </w:rPr>
              <w:t>287.67</w:t>
            </w:r>
          </w:p>
        </w:tc>
        <w:tc>
          <w:tcPr>
            <w:tcW w:w="643" w:type="dxa"/>
          </w:tcPr>
          <w:p>
            <w:pPr>
              <w:pStyle w:val="TableParagraph"/>
              <w:spacing w:before="48"/>
              <w:ind w:right="88"/>
              <w:rPr>
                <w:sz w:val="16"/>
              </w:rPr>
            </w:pPr>
            <w:r>
              <w:rPr>
                <w:sz w:val="16"/>
              </w:rPr>
              <w:t>31.66</w:t>
            </w:r>
          </w:p>
        </w:tc>
        <w:tc>
          <w:tcPr>
            <w:tcW w:w="571" w:type="dxa"/>
          </w:tcPr>
          <w:p>
            <w:pPr>
              <w:pStyle w:val="TableParagraph"/>
              <w:spacing w:before="48"/>
              <w:ind w:left="72" w:right="98"/>
              <w:jc w:val="center"/>
              <w:rPr>
                <w:sz w:val="16"/>
              </w:rPr>
            </w:pPr>
            <w:r>
              <w:rPr>
                <w:sz w:val="16"/>
              </w:rPr>
              <w:t>96.15</w:t>
            </w:r>
          </w:p>
        </w:tc>
        <w:tc>
          <w:tcPr>
            <w:tcW w:w="719" w:type="dxa"/>
          </w:tcPr>
          <w:p>
            <w:pPr>
              <w:pStyle w:val="TableParagraph"/>
              <w:spacing w:before="48"/>
              <w:ind w:right="157"/>
              <w:rPr>
                <w:sz w:val="16"/>
              </w:rPr>
            </w:pPr>
            <w:r>
              <w:rPr>
                <w:w w:val="95"/>
                <w:sz w:val="16"/>
              </w:rPr>
              <w:t>3.83</w:t>
            </w:r>
          </w:p>
        </w:tc>
        <w:tc>
          <w:tcPr>
            <w:tcW w:w="595" w:type="dxa"/>
          </w:tcPr>
          <w:p>
            <w:pPr>
              <w:pStyle w:val="TableParagraph"/>
              <w:spacing w:before="48"/>
              <w:ind w:right="153"/>
              <w:rPr>
                <w:sz w:val="16"/>
              </w:rPr>
            </w:pPr>
            <w:r>
              <w:rPr>
                <w:w w:val="95"/>
                <w:sz w:val="16"/>
              </w:rPr>
              <w:t>0.04</w:t>
            </w:r>
          </w:p>
        </w:tc>
        <w:tc>
          <w:tcPr>
            <w:tcW w:w="569" w:type="dxa"/>
          </w:tcPr>
          <w:p>
            <w:pPr>
              <w:pStyle w:val="TableParagraph"/>
              <w:spacing w:before="48"/>
              <w:ind w:right="135"/>
              <w:rPr>
                <w:sz w:val="16"/>
              </w:rPr>
            </w:pPr>
            <w:r>
              <w:rPr>
                <w:w w:val="98"/>
                <w:sz w:val="16"/>
              </w:rPr>
              <w:t>0</w:t>
            </w:r>
          </w:p>
        </w:tc>
        <w:tc>
          <w:tcPr>
            <w:tcW w:w="571" w:type="dxa"/>
          </w:tcPr>
          <w:p>
            <w:pPr>
              <w:pStyle w:val="TableParagraph"/>
              <w:spacing w:before="48"/>
              <w:ind w:left="115" w:right="136"/>
              <w:jc w:val="center"/>
              <w:rPr>
                <w:sz w:val="16"/>
              </w:rPr>
            </w:pPr>
            <w:r>
              <w:rPr>
                <w:sz w:val="16"/>
              </w:rPr>
              <w:t>0.01</w:t>
            </w:r>
          </w:p>
        </w:tc>
        <w:tc>
          <w:tcPr>
            <w:tcW w:w="554" w:type="dxa"/>
          </w:tcPr>
          <w:p>
            <w:pPr>
              <w:pStyle w:val="TableParagraph"/>
              <w:spacing w:before="48"/>
              <w:ind w:right="114"/>
              <w:rPr>
                <w:sz w:val="16"/>
              </w:rPr>
            </w:pPr>
            <w:r>
              <w:rPr>
                <w:w w:val="95"/>
                <w:sz w:val="16"/>
              </w:rPr>
              <w:t>0.24</w:t>
            </w:r>
          </w:p>
        </w:tc>
        <w:tc>
          <w:tcPr>
            <w:tcW w:w="754" w:type="dxa"/>
          </w:tcPr>
          <w:p>
            <w:pPr>
              <w:pStyle w:val="TableParagraph"/>
              <w:spacing w:before="48"/>
              <w:ind w:right="273"/>
              <w:rPr>
                <w:sz w:val="16"/>
              </w:rPr>
            </w:pPr>
            <w:r>
              <w:rPr>
                <w:sz w:val="16"/>
              </w:rPr>
              <w:t>17.43</w:t>
            </w:r>
          </w:p>
        </w:tc>
        <w:tc>
          <w:tcPr>
            <w:tcW w:w="826" w:type="dxa"/>
          </w:tcPr>
          <w:p>
            <w:pPr>
              <w:pStyle w:val="TableParagraph"/>
              <w:spacing w:before="48"/>
              <w:ind w:left="254" w:right="250"/>
              <w:jc w:val="center"/>
              <w:rPr>
                <w:sz w:val="16"/>
              </w:rPr>
            </w:pPr>
            <w:r>
              <w:rPr>
                <w:sz w:val="16"/>
              </w:rPr>
              <w:t>0.01</w:t>
            </w:r>
          </w:p>
        </w:tc>
        <w:tc>
          <w:tcPr>
            <w:tcW w:w="826" w:type="dxa"/>
          </w:tcPr>
          <w:p>
            <w:pPr>
              <w:pStyle w:val="TableParagraph"/>
              <w:spacing w:before="48"/>
              <w:ind w:right="277"/>
              <w:rPr>
                <w:sz w:val="16"/>
              </w:rPr>
            </w:pPr>
            <w:r>
              <w:rPr>
                <w:w w:val="98"/>
                <w:sz w:val="16"/>
              </w:rPr>
              <w:t>0</w:t>
            </w:r>
          </w:p>
        </w:tc>
        <w:tc>
          <w:tcPr>
            <w:tcW w:w="896" w:type="dxa"/>
          </w:tcPr>
          <w:p>
            <w:pPr>
              <w:pStyle w:val="TableParagraph"/>
              <w:spacing w:before="48"/>
              <w:ind w:right="342"/>
              <w:rPr>
                <w:sz w:val="16"/>
              </w:rPr>
            </w:pPr>
            <w:r>
              <w:rPr>
                <w:w w:val="98"/>
                <w:sz w:val="16"/>
              </w:rPr>
              <w:t>0</w:t>
            </w:r>
          </w:p>
        </w:tc>
        <w:tc>
          <w:tcPr>
            <w:tcW w:w="619" w:type="dxa"/>
          </w:tcPr>
          <w:p>
            <w:pPr>
              <w:pStyle w:val="TableParagraph"/>
              <w:spacing w:before="48"/>
              <w:ind w:right="198"/>
              <w:rPr>
                <w:sz w:val="16"/>
              </w:rPr>
            </w:pPr>
            <w:r>
              <w:rPr>
                <w:w w:val="98"/>
                <w:sz w:val="16"/>
              </w:rPr>
              <w:t>0</w:t>
            </w:r>
          </w:p>
        </w:tc>
      </w:tr>
      <w:tr>
        <w:trPr>
          <w:trHeight w:val="300" w:hRule="exact"/>
        </w:trPr>
        <w:tc>
          <w:tcPr>
            <w:tcW w:w="661" w:type="dxa"/>
          </w:tcPr>
          <w:p>
            <w:pPr>
              <w:pStyle w:val="TableParagraph"/>
              <w:spacing w:before="50"/>
              <w:ind w:right="139"/>
              <w:rPr>
                <w:sz w:val="16"/>
              </w:rPr>
            </w:pPr>
            <w:r>
              <w:rPr>
                <w:w w:val="98"/>
                <w:sz w:val="16"/>
              </w:rPr>
              <w:t>5</w:t>
            </w:r>
          </w:p>
        </w:tc>
        <w:tc>
          <w:tcPr>
            <w:tcW w:w="716" w:type="dxa"/>
          </w:tcPr>
          <w:p>
            <w:pPr>
              <w:pStyle w:val="TableParagraph"/>
              <w:spacing w:before="50"/>
              <w:ind w:left="117" w:right="40"/>
              <w:jc w:val="center"/>
              <w:rPr>
                <w:sz w:val="16"/>
              </w:rPr>
            </w:pPr>
            <w:r>
              <w:rPr>
                <w:sz w:val="16"/>
              </w:rPr>
              <w:t>78.28</w:t>
            </w:r>
          </w:p>
        </w:tc>
        <w:tc>
          <w:tcPr>
            <w:tcW w:w="718" w:type="dxa"/>
          </w:tcPr>
          <w:p>
            <w:pPr>
              <w:pStyle w:val="TableParagraph"/>
              <w:spacing w:before="50"/>
              <w:ind w:right="133"/>
              <w:rPr>
                <w:sz w:val="16"/>
              </w:rPr>
            </w:pPr>
            <w:r>
              <w:rPr>
                <w:w w:val="95"/>
                <w:sz w:val="16"/>
              </w:rPr>
              <w:t>2.57</w:t>
            </w:r>
          </w:p>
        </w:tc>
        <w:tc>
          <w:tcPr>
            <w:tcW w:w="646" w:type="dxa"/>
          </w:tcPr>
          <w:p>
            <w:pPr>
              <w:pStyle w:val="TableParagraph"/>
              <w:spacing w:before="50"/>
              <w:ind w:right="227"/>
              <w:rPr>
                <w:sz w:val="16"/>
              </w:rPr>
            </w:pPr>
            <w:r>
              <w:rPr>
                <w:w w:val="95"/>
                <w:sz w:val="16"/>
              </w:rPr>
              <w:t>0.38</w:t>
            </w:r>
          </w:p>
        </w:tc>
        <w:tc>
          <w:tcPr>
            <w:tcW w:w="423" w:type="dxa"/>
          </w:tcPr>
          <w:p>
            <w:pPr>
              <w:pStyle w:val="TableParagraph"/>
              <w:spacing w:before="50"/>
              <w:ind w:left="115"/>
              <w:jc w:val="center"/>
              <w:rPr>
                <w:sz w:val="16"/>
              </w:rPr>
            </w:pPr>
            <w:r>
              <w:rPr>
                <w:w w:val="98"/>
                <w:sz w:val="16"/>
              </w:rPr>
              <w:t>0</w:t>
            </w:r>
          </w:p>
        </w:tc>
        <w:tc>
          <w:tcPr>
            <w:tcW w:w="784" w:type="dxa"/>
          </w:tcPr>
          <w:p>
            <w:pPr>
              <w:pStyle w:val="TableParagraph"/>
              <w:spacing w:before="50"/>
              <w:ind w:right="224"/>
              <w:rPr>
                <w:sz w:val="16"/>
              </w:rPr>
            </w:pPr>
            <w:r>
              <w:rPr>
                <w:w w:val="95"/>
                <w:sz w:val="16"/>
              </w:rPr>
              <w:t>4.01</w:t>
            </w:r>
          </w:p>
        </w:tc>
        <w:tc>
          <w:tcPr>
            <w:tcW w:w="421" w:type="dxa"/>
          </w:tcPr>
          <w:p>
            <w:pPr>
              <w:pStyle w:val="TableParagraph"/>
              <w:spacing w:before="50"/>
              <w:ind w:left="112"/>
              <w:jc w:val="center"/>
              <w:rPr>
                <w:sz w:val="16"/>
              </w:rPr>
            </w:pPr>
            <w:r>
              <w:rPr>
                <w:w w:val="98"/>
                <w:sz w:val="16"/>
              </w:rPr>
              <w:t>0</w:t>
            </w:r>
          </w:p>
        </w:tc>
        <w:tc>
          <w:tcPr>
            <w:tcW w:w="667" w:type="dxa"/>
          </w:tcPr>
          <w:p>
            <w:pPr>
              <w:pStyle w:val="TableParagraph"/>
              <w:spacing w:before="50"/>
              <w:ind w:left="95" w:right="9"/>
              <w:jc w:val="center"/>
              <w:rPr>
                <w:sz w:val="16"/>
              </w:rPr>
            </w:pPr>
            <w:r>
              <w:rPr>
                <w:sz w:val="16"/>
              </w:rPr>
              <w:t>293.2</w:t>
            </w:r>
          </w:p>
        </w:tc>
        <w:tc>
          <w:tcPr>
            <w:tcW w:w="643" w:type="dxa"/>
          </w:tcPr>
          <w:p>
            <w:pPr>
              <w:pStyle w:val="TableParagraph"/>
              <w:spacing w:before="50"/>
              <w:ind w:right="88"/>
              <w:rPr>
                <w:sz w:val="16"/>
              </w:rPr>
            </w:pPr>
            <w:r>
              <w:rPr>
                <w:sz w:val="16"/>
              </w:rPr>
              <w:t>65.45</w:t>
            </w:r>
          </w:p>
        </w:tc>
        <w:tc>
          <w:tcPr>
            <w:tcW w:w="571" w:type="dxa"/>
          </w:tcPr>
          <w:p>
            <w:pPr>
              <w:pStyle w:val="TableParagraph"/>
              <w:spacing w:before="50"/>
              <w:ind w:left="72" w:right="98"/>
              <w:jc w:val="center"/>
              <w:rPr>
                <w:sz w:val="16"/>
              </w:rPr>
            </w:pPr>
            <w:r>
              <w:rPr>
                <w:sz w:val="16"/>
              </w:rPr>
              <w:t>106.6</w:t>
            </w:r>
          </w:p>
        </w:tc>
        <w:tc>
          <w:tcPr>
            <w:tcW w:w="719" w:type="dxa"/>
          </w:tcPr>
          <w:p>
            <w:pPr>
              <w:pStyle w:val="TableParagraph"/>
              <w:spacing w:before="50"/>
              <w:ind w:right="162"/>
              <w:rPr>
                <w:sz w:val="16"/>
              </w:rPr>
            </w:pPr>
            <w:r>
              <w:rPr>
                <w:w w:val="95"/>
                <w:sz w:val="16"/>
              </w:rPr>
              <w:t>5.9</w:t>
            </w:r>
          </w:p>
        </w:tc>
        <w:tc>
          <w:tcPr>
            <w:tcW w:w="595" w:type="dxa"/>
          </w:tcPr>
          <w:p>
            <w:pPr>
              <w:pStyle w:val="TableParagraph"/>
              <w:spacing w:before="50"/>
              <w:ind w:right="153"/>
              <w:rPr>
                <w:sz w:val="16"/>
              </w:rPr>
            </w:pPr>
            <w:r>
              <w:rPr>
                <w:w w:val="95"/>
                <w:sz w:val="16"/>
              </w:rPr>
              <w:t>0.12</w:t>
            </w:r>
          </w:p>
        </w:tc>
        <w:tc>
          <w:tcPr>
            <w:tcW w:w="569" w:type="dxa"/>
          </w:tcPr>
          <w:p>
            <w:pPr>
              <w:pStyle w:val="TableParagraph"/>
              <w:spacing w:before="50"/>
              <w:ind w:right="131"/>
              <w:rPr>
                <w:sz w:val="16"/>
              </w:rPr>
            </w:pPr>
            <w:r>
              <w:rPr>
                <w:w w:val="95"/>
                <w:sz w:val="16"/>
              </w:rPr>
              <w:t>0.23</w:t>
            </w:r>
          </w:p>
        </w:tc>
        <w:tc>
          <w:tcPr>
            <w:tcW w:w="571" w:type="dxa"/>
          </w:tcPr>
          <w:p>
            <w:pPr>
              <w:pStyle w:val="TableParagraph"/>
              <w:spacing w:before="50"/>
              <w:ind w:left="115" w:right="136"/>
              <w:jc w:val="center"/>
              <w:rPr>
                <w:sz w:val="16"/>
              </w:rPr>
            </w:pPr>
            <w:r>
              <w:rPr>
                <w:sz w:val="16"/>
              </w:rPr>
              <w:t>0.01</w:t>
            </w:r>
          </w:p>
        </w:tc>
        <w:tc>
          <w:tcPr>
            <w:tcW w:w="554" w:type="dxa"/>
          </w:tcPr>
          <w:p>
            <w:pPr>
              <w:pStyle w:val="TableParagraph"/>
              <w:spacing w:before="50"/>
              <w:ind w:right="114"/>
              <w:rPr>
                <w:sz w:val="16"/>
              </w:rPr>
            </w:pPr>
            <w:r>
              <w:rPr>
                <w:w w:val="95"/>
                <w:sz w:val="16"/>
              </w:rPr>
              <w:t>0.09</w:t>
            </w:r>
          </w:p>
        </w:tc>
        <w:tc>
          <w:tcPr>
            <w:tcW w:w="754" w:type="dxa"/>
          </w:tcPr>
          <w:p>
            <w:pPr>
              <w:pStyle w:val="TableParagraph"/>
              <w:spacing w:before="50"/>
              <w:ind w:right="273"/>
              <w:rPr>
                <w:sz w:val="16"/>
              </w:rPr>
            </w:pPr>
            <w:r>
              <w:rPr>
                <w:sz w:val="16"/>
              </w:rPr>
              <w:t>40.96</w:t>
            </w:r>
          </w:p>
        </w:tc>
        <w:tc>
          <w:tcPr>
            <w:tcW w:w="826" w:type="dxa"/>
          </w:tcPr>
          <w:p>
            <w:pPr>
              <w:pStyle w:val="TableParagraph"/>
              <w:spacing w:before="50"/>
              <w:ind w:left="254" w:right="250"/>
              <w:jc w:val="center"/>
              <w:rPr>
                <w:sz w:val="16"/>
              </w:rPr>
            </w:pPr>
            <w:r>
              <w:rPr>
                <w:sz w:val="16"/>
              </w:rPr>
              <w:t>0.06</w:t>
            </w:r>
          </w:p>
        </w:tc>
        <w:tc>
          <w:tcPr>
            <w:tcW w:w="826" w:type="dxa"/>
          </w:tcPr>
          <w:p>
            <w:pPr>
              <w:pStyle w:val="TableParagraph"/>
              <w:spacing w:before="50"/>
              <w:ind w:right="273"/>
              <w:rPr>
                <w:sz w:val="16"/>
              </w:rPr>
            </w:pPr>
            <w:r>
              <w:rPr>
                <w:w w:val="95"/>
                <w:sz w:val="16"/>
              </w:rPr>
              <w:t>0.02</w:t>
            </w:r>
          </w:p>
        </w:tc>
        <w:tc>
          <w:tcPr>
            <w:tcW w:w="896" w:type="dxa"/>
          </w:tcPr>
          <w:p>
            <w:pPr>
              <w:pStyle w:val="TableParagraph"/>
              <w:spacing w:before="50"/>
              <w:ind w:right="338"/>
              <w:rPr>
                <w:sz w:val="16"/>
              </w:rPr>
            </w:pPr>
            <w:r>
              <w:rPr>
                <w:w w:val="95"/>
                <w:sz w:val="16"/>
              </w:rPr>
              <w:t>0.01</w:t>
            </w:r>
          </w:p>
        </w:tc>
        <w:tc>
          <w:tcPr>
            <w:tcW w:w="619" w:type="dxa"/>
          </w:tcPr>
          <w:p>
            <w:pPr>
              <w:pStyle w:val="TableParagraph"/>
              <w:spacing w:before="50"/>
              <w:ind w:right="198"/>
              <w:rPr>
                <w:sz w:val="16"/>
              </w:rPr>
            </w:pPr>
            <w:r>
              <w:rPr>
                <w:w w:val="98"/>
                <w:sz w:val="16"/>
              </w:rPr>
              <w:t>0</w:t>
            </w:r>
          </w:p>
        </w:tc>
      </w:tr>
      <w:tr>
        <w:trPr>
          <w:trHeight w:val="300" w:hRule="exact"/>
        </w:trPr>
        <w:tc>
          <w:tcPr>
            <w:tcW w:w="661" w:type="dxa"/>
          </w:tcPr>
          <w:p>
            <w:pPr>
              <w:pStyle w:val="TableParagraph"/>
              <w:spacing w:before="47"/>
              <w:ind w:right="139"/>
              <w:rPr>
                <w:sz w:val="16"/>
              </w:rPr>
            </w:pPr>
            <w:r>
              <w:rPr>
                <w:w w:val="98"/>
                <w:sz w:val="16"/>
              </w:rPr>
              <w:t>6</w:t>
            </w:r>
          </w:p>
        </w:tc>
        <w:tc>
          <w:tcPr>
            <w:tcW w:w="716" w:type="dxa"/>
          </w:tcPr>
          <w:p>
            <w:pPr>
              <w:pStyle w:val="TableParagraph"/>
              <w:spacing w:before="47"/>
              <w:ind w:left="117" w:right="40"/>
              <w:jc w:val="center"/>
              <w:rPr>
                <w:sz w:val="16"/>
              </w:rPr>
            </w:pPr>
            <w:r>
              <w:rPr>
                <w:sz w:val="16"/>
              </w:rPr>
              <w:t>71.81</w:t>
            </w:r>
          </w:p>
        </w:tc>
        <w:tc>
          <w:tcPr>
            <w:tcW w:w="718" w:type="dxa"/>
          </w:tcPr>
          <w:p>
            <w:pPr>
              <w:pStyle w:val="TableParagraph"/>
              <w:spacing w:before="47"/>
              <w:ind w:right="133"/>
              <w:rPr>
                <w:sz w:val="16"/>
              </w:rPr>
            </w:pPr>
            <w:r>
              <w:rPr>
                <w:w w:val="95"/>
                <w:sz w:val="16"/>
              </w:rPr>
              <w:t>9.02</w:t>
            </w:r>
          </w:p>
        </w:tc>
        <w:tc>
          <w:tcPr>
            <w:tcW w:w="646" w:type="dxa"/>
          </w:tcPr>
          <w:p>
            <w:pPr>
              <w:pStyle w:val="TableParagraph"/>
              <w:spacing w:before="47"/>
              <w:ind w:right="232"/>
              <w:rPr>
                <w:sz w:val="16"/>
              </w:rPr>
            </w:pPr>
            <w:r>
              <w:rPr>
                <w:w w:val="95"/>
                <w:sz w:val="16"/>
              </w:rPr>
              <w:t>0.4</w:t>
            </w:r>
          </w:p>
        </w:tc>
        <w:tc>
          <w:tcPr>
            <w:tcW w:w="423" w:type="dxa"/>
          </w:tcPr>
          <w:p>
            <w:pPr>
              <w:pStyle w:val="TableParagraph"/>
              <w:spacing w:before="47"/>
              <w:ind w:left="115"/>
              <w:jc w:val="center"/>
              <w:rPr>
                <w:sz w:val="16"/>
              </w:rPr>
            </w:pPr>
            <w:r>
              <w:rPr>
                <w:w w:val="98"/>
                <w:sz w:val="16"/>
              </w:rPr>
              <w:t>0</w:t>
            </w:r>
          </w:p>
        </w:tc>
        <w:tc>
          <w:tcPr>
            <w:tcW w:w="784" w:type="dxa"/>
          </w:tcPr>
          <w:p>
            <w:pPr>
              <w:pStyle w:val="TableParagraph"/>
              <w:spacing w:before="47"/>
              <w:ind w:right="224"/>
              <w:rPr>
                <w:sz w:val="16"/>
              </w:rPr>
            </w:pPr>
            <w:r>
              <w:rPr>
                <w:w w:val="95"/>
                <w:sz w:val="16"/>
              </w:rPr>
              <w:t>0.72</w:t>
            </w:r>
          </w:p>
        </w:tc>
        <w:tc>
          <w:tcPr>
            <w:tcW w:w="421" w:type="dxa"/>
          </w:tcPr>
          <w:p>
            <w:pPr>
              <w:pStyle w:val="TableParagraph"/>
              <w:spacing w:before="47"/>
              <w:ind w:left="112"/>
              <w:jc w:val="center"/>
              <w:rPr>
                <w:sz w:val="16"/>
              </w:rPr>
            </w:pPr>
            <w:r>
              <w:rPr>
                <w:w w:val="98"/>
                <w:sz w:val="16"/>
              </w:rPr>
              <w:t>0</w:t>
            </w:r>
          </w:p>
        </w:tc>
        <w:tc>
          <w:tcPr>
            <w:tcW w:w="667" w:type="dxa"/>
          </w:tcPr>
          <w:p>
            <w:pPr>
              <w:pStyle w:val="TableParagraph"/>
              <w:spacing w:before="47"/>
              <w:ind w:left="94" w:right="90"/>
              <w:jc w:val="center"/>
              <w:rPr>
                <w:sz w:val="16"/>
              </w:rPr>
            </w:pPr>
            <w:r>
              <w:rPr>
                <w:sz w:val="16"/>
              </w:rPr>
              <w:t>280.76</w:t>
            </w:r>
          </w:p>
        </w:tc>
        <w:tc>
          <w:tcPr>
            <w:tcW w:w="643" w:type="dxa"/>
          </w:tcPr>
          <w:p>
            <w:pPr>
              <w:pStyle w:val="TableParagraph"/>
              <w:spacing w:before="47"/>
              <w:ind w:right="88"/>
              <w:rPr>
                <w:sz w:val="16"/>
              </w:rPr>
            </w:pPr>
            <w:r>
              <w:rPr>
                <w:sz w:val="16"/>
              </w:rPr>
              <w:t>73.83</w:t>
            </w:r>
          </w:p>
        </w:tc>
        <w:tc>
          <w:tcPr>
            <w:tcW w:w="571" w:type="dxa"/>
          </w:tcPr>
          <w:p>
            <w:pPr>
              <w:pStyle w:val="TableParagraph"/>
              <w:spacing w:before="47"/>
              <w:ind w:left="72" w:right="98"/>
              <w:jc w:val="center"/>
              <w:rPr>
                <w:sz w:val="16"/>
              </w:rPr>
            </w:pPr>
            <w:r>
              <w:rPr>
                <w:sz w:val="16"/>
              </w:rPr>
              <w:t>124.8</w:t>
            </w:r>
          </w:p>
        </w:tc>
        <w:tc>
          <w:tcPr>
            <w:tcW w:w="719" w:type="dxa"/>
          </w:tcPr>
          <w:p>
            <w:pPr>
              <w:pStyle w:val="TableParagraph"/>
              <w:spacing w:before="47"/>
              <w:ind w:right="157"/>
              <w:rPr>
                <w:sz w:val="16"/>
              </w:rPr>
            </w:pPr>
            <w:r>
              <w:rPr>
                <w:w w:val="95"/>
                <w:sz w:val="16"/>
              </w:rPr>
              <w:t>12.1</w:t>
            </w:r>
          </w:p>
        </w:tc>
        <w:tc>
          <w:tcPr>
            <w:tcW w:w="595" w:type="dxa"/>
          </w:tcPr>
          <w:p>
            <w:pPr>
              <w:pStyle w:val="TableParagraph"/>
              <w:spacing w:before="47"/>
              <w:ind w:right="157"/>
              <w:rPr>
                <w:sz w:val="16"/>
              </w:rPr>
            </w:pPr>
            <w:r>
              <w:rPr>
                <w:w w:val="95"/>
                <w:sz w:val="16"/>
              </w:rPr>
              <w:t>0.8</w:t>
            </w:r>
          </w:p>
        </w:tc>
        <w:tc>
          <w:tcPr>
            <w:tcW w:w="569" w:type="dxa"/>
          </w:tcPr>
          <w:p>
            <w:pPr>
              <w:pStyle w:val="TableParagraph"/>
              <w:spacing w:before="47"/>
              <w:ind w:right="131"/>
              <w:rPr>
                <w:sz w:val="16"/>
              </w:rPr>
            </w:pPr>
            <w:r>
              <w:rPr>
                <w:w w:val="95"/>
                <w:sz w:val="16"/>
              </w:rPr>
              <w:t>0.07</w:t>
            </w:r>
          </w:p>
        </w:tc>
        <w:tc>
          <w:tcPr>
            <w:tcW w:w="571" w:type="dxa"/>
          </w:tcPr>
          <w:p>
            <w:pPr>
              <w:pStyle w:val="TableParagraph"/>
              <w:spacing w:before="47"/>
              <w:ind w:left="115" w:right="136"/>
              <w:jc w:val="center"/>
              <w:rPr>
                <w:sz w:val="16"/>
              </w:rPr>
            </w:pPr>
            <w:r>
              <w:rPr>
                <w:sz w:val="16"/>
              </w:rPr>
              <w:t>0.01</w:t>
            </w:r>
          </w:p>
        </w:tc>
        <w:tc>
          <w:tcPr>
            <w:tcW w:w="554" w:type="dxa"/>
          </w:tcPr>
          <w:p>
            <w:pPr>
              <w:pStyle w:val="TableParagraph"/>
              <w:spacing w:before="47"/>
              <w:ind w:right="114"/>
              <w:rPr>
                <w:sz w:val="16"/>
              </w:rPr>
            </w:pPr>
            <w:r>
              <w:rPr>
                <w:w w:val="95"/>
                <w:sz w:val="16"/>
              </w:rPr>
              <w:t>0.01</w:t>
            </w:r>
          </w:p>
        </w:tc>
        <w:tc>
          <w:tcPr>
            <w:tcW w:w="754" w:type="dxa"/>
          </w:tcPr>
          <w:p>
            <w:pPr>
              <w:pStyle w:val="TableParagraph"/>
              <w:spacing w:before="47"/>
              <w:ind w:right="273"/>
              <w:rPr>
                <w:sz w:val="16"/>
              </w:rPr>
            </w:pPr>
            <w:r>
              <w:rPr>
                <w:sz w:val="16"/>
              </w:rPr>
              <w:t>20.16</w:t>
            </w:r>
          </w:p>
        </w:tc>
        <w:tc>
          <w:tcPr>
            <w:tcW w:w="826" w:type="dxa"/>
          </w:tcPr>
          <w:p>
            <w:pPr>
              <w:pStyle w:val="TableParagraph"/>
              <w:spacing w:before="47"/>
              <w:ind w:left="254" w:right="250"/>
              <w:jc w:val="center"/>
              <w:rPr>
                <w:sz w:val="16"/>
              </w:rPr>
            </w:pPr>
            <w:r>
              <w:rPr>
                <w:sz w:val="16"/>
              </w:rPr>
              <w:t>0.34</w:t>
            </w:r>
          </w:p>
        </w:tc>
        <w:tc>
          <w:tcPr>
            <w:tcW w:w="826" w:type="dxa"/>
          </w:tcPr>
          <w:p>
            <w:pPr>
              <w:pStyle w:val="TableParagraph"/>
              <w:spacing w:before="47"/>
              <w:ind w:right="273"/>
              <w:rPr>
                <w:sz w:val="16"/>
              </w:rPr>
            </w:pPr>
            <w:r>
              <w:rPr>
                <w:w w:val="95"/>
                <w:sz w:val="16"/>
              </w:rPr>
              <w:t>0.11</w:t>
            </w:r>
          </w:p>
        </w:tc>
        <w:tc>
          <w:tcPr>
            <w:tcW w:w="896" w:type="dxa"/>
          </w:tcPr>
          <w:p>
            <w:pPr>
              <w:pStyle w:val="TableParagraph"/>
              <w:spacing w:before="47"/>
              <w:ind w:right="338"/>
              <w:rPr>
                <w:sz w:val="16"/>
              </w:rPr>
            </w:pPr>
            <w:r>
              <w:rPr>
                <w:w w:val="95"/>
                <w:sz w:val="16"/>
              </w:rPr>
              <w:t>0.07</w:t>
            </w:r>
          </w:p>
        </w:tc>
        <w:tc>
          <w:tcPr>
            <w:tcW w:w="619" w:type="dxa"/>
          </w:tcPr>
          <w:p>
            <w:pPr>
              <w:pStyle w:val="TableParagraph"/>
              <w:spacing w:before="47"/>
              <w:ind w:right="198"/>
              <w:rPr>
                <w:sz w:val="16"/>
              </w:rPr>
            </w:pPr>
            <w:r>
              <w:rPr>
                <w:w w:val="98"/>
                <w:sz w:val="16"/>
              </w:rPr>
              <w:t>0</w:t>
            </w:r>
          </w:p>
        </w:tc>
      </w:tr>
      <w:tr>
        <w:trPr>
          <w:trHeight w:val="300" w:hRule="exact"/>
        </w:trPr>
        <w:tc>
          <w:tcPr>
            <w:tcW w:w="661" w:type="dxa"/>
          </w:tcPr>
          <w:p>
            <w:pPr>
              <w:pStyle w:val="TableParagraph"/>
              <w:spacing w:before="50"/>
              <w:ind w:right="139"/>
              <w:rPr>
                <w:sz w:val="16"/>
              </w:rPr>
            </w:pPr>
            <w:r>
              <w:rPr>
                <w:w w:val="98"/>
                <w:sz w:val="16"/>
              </w:rPr>
              <w:t>7</w:t>
            </w:r>
          </w:p>
        </w:tc>
        <w:tc>
          <w:tcPr>
            <w:tcW w:w="716" w:type="dxa"/>
          </w:tcPr>
          <w:p>
            <w:pPr>
              <w:pStyle w:val="TableParagraph"/>
              <w:spacing w:before="50"/>
              <w:ind w:left="117" w:right="40"/>
              <w:jc w:val="center"/>
              <w:rPr>
                <w:sz w:val="16"/>
              </w:rPr>
            </w:pPr>
            <w:r>
              <w:rPr>
                <w:sz w:val="16"/>
              </w:rPr>
              <w:t>157.2</w:t>
            </w:r>
          </w:p>
        </w:tc>
        <w:tc>
          <w:tcPr>
            <w:tcW w:w="718" w:type="dxa"/>
          </w:tcPr>
          <w:p>
            <w:pPr>
              <w:pStyle w:val="TableParagraph"/>
              <w:spacing w:before="50"/>
              <w:ind w:right="135"/>
              <w:rPr>
                <w:sz w:val="16"/>
              </w:rPr>
            </w:pPr>
            <w:r>
              <w:rPr>
                <w:sz w:val="16"/>
              </w:rPr>
              <w:t>21.69</w:t>
            </w:r>
          </w:p>
        </w:tc>
        <w:tc>
          <w:tcPr>
            <w:tcW w:w="646" w:type="dxa"/>
          </w:tcPr>
          <w:p>
            <w:pPr>
              <w:pStyle w:val="TableParagraph"/>
              <w:spacing w:before="50"/>
              <w:ind w:right="227"/>
              <w:rPr>
                <w:sz w:val="16"/>
              </w:rPr>
            </w:pPr>
            <w:r>
              <w:rPr>
                <w:w w:val="95"/>
                <w:sz w:val="16"/>
              </w:rPr>
              <w:t>0.48</w:t>
            </w:r>
          </w:p>
        </w:tc>
        <w:tc>
          <w:tcPr>
            <w:tcW w:w="423" w:type="dxa"/>
          </w:tcPr>
          <w:p>
            <w:pPr>
              <w:pStyle w:val="TableParagraph"/>
              <w:spacing w:before="50"/>
              <w:ind w:left="115"/>
              <w:jc w:val="center"/>
              <w:rPr>
                <w:sz w:val="16"/>
              </w:rPr>
            </w:pPr>
            <w:r>
              <w:rPr>
                <w:w w:val="98"/>
                <w:sz w:val="16"/>
              </w:rPr>
              <w:t>0</w:t>
            </w:r>
          </w:p>
        </w:tc>
        <w:tc>
          <w:tcPr>
            <w:tcW w:w="784" w:type="dxa"/>
          </w:tcPr>
          <w:p>
            <w:pPr>
              <w:pStyle w:val="TableParagraph"/>
              <w:spacing w:before="50"/>
              <w:ind w:right="224"/>
              <w:rPr>
                <w:sz w:val="16"/>
              </w:rPr>
            </w:pPr>
            <w:r>
              <w:rPr>
                <w:w w:val="95"/>
                <w:sz w:val="16"/>
              </w:rPr>
              <w:t>1.32</w:t>
            </w:r>
          </w:p>
        </w:tc>
        <w:tc>
          <w:tcPr>
            <w:tcW w:w="421" w:type="dxa"/>
          </w:tcPr>
          <w:p>
            <w:pPr>
              <w:pStyle w:val="TableParagraph"/>
              <w:spacing w:before="50"/>
              <w:ind w:left="112"/>
              <w:jc w:val="center"/>
              <w:rPr>
                <w:sz w:val="16"/>
              </w:rPr>
            </w:pPr>
            <w:r>
              <w:rPr>
                <w:w w:val="98"/>
                <w:sz w:val="16"/>
              </w:rPr>
              <w:t>0</w:t>
            </w:r>
          </w:p>
        </w:tc>
        <w:tc>
          <w:tcPr>
            <w:tcW w:w="667" w:type="dxa"/>
          </w:tcPr>
          <w:p>
            <w:pPr>
              <w:pStyle w:val="TableParagraph"/>
              <w:spacing w:before="50"/>
              <w:ind w:left="94" w:right="90"/>
              <w:jc w:val="center"/>
              <w:rPr>
                <w:sz w:val="16"/>
              </w:rPr>
            </w:pPr>
            <w:r>
              <w:rPr>
                <w:sz w:val="16"/>
              </w:rPr>
              <w:t>323.01</w:t>
            </w:r>
          </w:p>
        </w:tc>
        <w:tc>
          <w:tcPr>
            <w:tcW w:w="643" w:type="dxa"/>
          </w:tcPr>
          <w:p>
            <w:pPr>
              <w:pStyle w:val="TableParagraph"/>
              <w:spacing w:before="50"/>
              <w:ind w:right="88"/>
              <w:rPr>
                <w:sz w:val="16"/>
              </w:rPr>
            </w:pPr>
            <w:r>
              <w:rPr>
                <w:sz w:val="16"/>
              </w:rPr>
              <w:t>90.21</w:t>
            </w:r>
          </w:p>
        </w:tc>
        <w:tc>
          <w:tcPr>
            <w:tcW w:w="571" w:type="dxa"/>
          </w:tcPr>
          <w:p>
            <w:pPr>
              <w:pStyle w:val="TableParagraph"/>
              <w:spacing w:before="50"/>
              <w:ind w:left="72" w:right="98"/>
              <w:jc w:val="center"/>
              <w:rPr>
                <w:sz w:val="16"/>
              </w:rPr>
            </w:pPr>
            <w:r>
              <w:rPr>
                <w:sz w:val="16"/>
              </w:rPr>
              <w:t>119.2</w:t>
            </w:r>
          </w:p>
        </w:tc>
        <w:tc>
          <w:tcPr>
            <w:tcW w:w="719" w:type="dxa"/>
          </w:tcPr>
          <w:p>
            <w:pPr>
              <w:pStyle w:val="TableParagraph"/>
              <w:spacing w:before="50"/>
              <w:ind w:right="159"/>
              <w:rPr>
                <w:sz w:val="16"/>
              </w:rPr>
            </w:pPr>
            <w:r>
              <w:rPr>
                <w:sz w:val="16"/>
              </w:rPr>
              <w:t>25.04</w:t>
            </w:r>
          </w:p>
        </w:tc>
        <w:tc>
          <w:tcPr>
            <w:tcW w:w="595" w:type="dxa"/>
          </w:tcPr>
          <w:p>
            <w:pPr>
              <w:pStyle w:val="TableParagraph"/>
              <w:spacing w:before="50"/>
              <w:ind w:right="153"/>
              <w:rPr>
                <w:sz w:val="16"/>
              </w:rPr>
            </w:pPr>
            <w:r>
              <w:rPr>
                <w:w w:val="95"/>
                <w:sz w:val="16"/>
              </w:rPr>
              <w:t>1.14</w:t>
            </w:r>
          </w:p>
        </w:tc>
        <w:tc>
          <w:tcPr>
            <w:tcW w:w="569" w:type="dxa"/>
          </w:tcPr>
          <w:p>
            <w:pPr>
              <w:pStyle w:val="TableParagraph"/>
              <w:spacing w:before="50"/>
              <w:ind w:right="131"/>
              <w:rPr>
                <w:sz w:val="16"/>
              </w:rPr>
            </w:pPr>
            <w:r>
              <w:rPr>
                <w:w w:val="95"/>
                <w:sz w:val="16"/>
              </w:rPr>
              <w:t>0.99</w:t>
            </w:r>
          </w:p>
        </w:tc>
        <w:tc>
          <w:tcPr>
            <w:tcW w:w="571" w:type="dxa"/>
          </w:tcPr>
          <w:p>
            <w:pPr>
              <w:pStyle w:val="TableParagraph"/>
              <w:spacing w:before="50"/>
              <w:ind w:left="115" w:right="136"/>
              <w:jc w:val="center"/>
              <w:rPr>
                <w:sz w:val="16"/>
              </w:rPr>
            </w:pPr>
            <w:r>
              <w:rPr>
                <w:sz w:val="16"/>
              </w:rPr>
              <w:t>0.02</w:t>
            </w:r>
          </w:p>
        </w:tc>
        <w:tc>
          <w:tcPr>
            <w:tcW w:w="554" w:type="dxa"/>
          </w:tcPr>
          <w:p>
            <w:pPr>
              <w:pStyle w:val="TableParagraph"/>
              <w:spacing w:before="50"/>
              <w:ind w:right="114"/>
              <w:rPr>
                <w:sz w:val="16"/>
              </w:rPr>
            </w:pPr>
            <w:r>
              <w:rPr>
                <w:w w:val="95"/>
                <w:sz w:val="16"/>
              </w:rPr>
              <w:t>0.02</w:t>
            </w:r>
          </w:p>
        </w:tc>
        <w:tc>
          <w:tcPr>
            <w:tcW w:w="754" w:type="dxa"/>
          </w:tcPr>
          <w:p>
            <w:pPr>
              <w:pStyle w:val="TableParagraph"/>
              <w:spacing w:before="50"/>
              <w:ind w:right="273"/>
              <w:rPr>
                <w:sz w:val="16"/>
              </w:rPr>
            </w:pPr>
            <w:r>
              <w:rPr>
                <w:sz w:val="16"/>
              </w:rPr>
              <w:t>30.07</w:t>
            </w:r>
          </w:p>
        </w:tc>
        <w:tc>
          <w:tcPr>
            <w:tcW w:w="826" w:type="dxa"/>
          </w:tcPr>
          <w:p>
            <w:pPr>
              <w:pStyle w:val="TableParagraph"/>
              <w:spacing w:before="50"/>
              <w:ind w:left="254" w:right="250"/>
              <w:jc w:val="center"/>
              <w:rPr>
                <w:sz w:val="16"/>
              </w:rPr>
            </w:pPr>
            <w:r>
              <w:rPr>
                <w:sz w:val="16"/>
              </w:rPr>
              <w:t>0.83</w:t>
            </w:r>
          </w:p>
        </w:tc>
        <w:tc>
          <w:tcPr>
            <w:tcW w:w="826" w:type="dxa"/>
          </w:tcPr>
          <w:p>
            <w:pPr>
              <w:pStyle w:val="TableParagraph"/>
              <w:spacing w:before="50"/>
              <w:ind w:right="273"/>
              <w:rPr>
                <w:sz w:val="16"/>
              </w:rPr>
            </w:pPr>
            <w:r>
              <w:rPr>
                <w:w w:val="95"/>
                <w:sz w:val="16"/>
              </w:rPr>
              <w:t>0.26</w:t>
            </w:r>
          </w:p>
        </w:tc>
        <w:tc>
          <w:tcPr>
            <w:tcW w:w="896" w:type="dxa"/>
          </w:tcPr>
          <w:p>
            <w:pPr>
              <w:pStyle w:val="TableParagraph"/>
              <w:spacing w:before="50"/>
              <w:ind w:right="338"/>
              <w:rPr>
                <w:sz w:val="16"/>
              </w:rPr>
            </w:pPr>
            <w:r>
              <w:rPr>
                <w:w w:val="95"/>
                <w:sz w:val="16"/>
              </w:rPr>
              <w:t>0.15</w:t>
            </w:r>
          </w:p>
        </w:tc>
        <w:tc>
          <w:tcPr>
            <w:tcW w:w="619" w:type="dxa"/>
          </w:tcPr>
          <w:p>
            <w:pPr>
              <w:pStyle w:val="TableParagraph"/>
              <w:spacing w:before="50"/>
              <w:ind w:right="198"/>
              <w:rPr>
                <w:sz w:val="16"/>
              </w:rPr>
            </w:pPr>
            <w:r>
              <w:rPr>
                <w:w w:val="98"/>
                <w:sz w:val="16"/>
              </w:rPr>
              <w:t>0</w:t>
            </w:r>
          </w:p>
        </w:tc>
      </w:tr>
      <w:tr>
        <w:trPr>
          <w:trHeight w:val="300" w:hRule="exact"/>
        </w:trPr>
        <w:tc>
          <w:tcPr>
            <w:tcW w:w="661" w:type="dxa"/>
          </w:tcPr>
          <w:p>
            <w:pPr>
              <w:pStyle w:val="TableParagraph"/>
              <w:spacing w:before="47"/>
              <w:ind w:right="139"/>
              <w:rPr>
                <w:sz w:val="16"/>
              </w:rPr>
            </w:pPr>
            <w:r>
              <w:rPr>
                <w:w w:val="98"/>
                <w:sz w:val="16"/>
              </w:rPr>
              <w:t>8</w:t>
            </w:r>
          </w:p>
        </w:tc>
        <w:tc>
          <w:tcPr>
            <w:tcW w:w="716" w:type="dxa"/>
          </w:tcPr>
          <w:p>
            <w:pPr>
              <w:pStyle w:val="TableParagraph"/>
              <w:spacing w:before="47"/>
              <w:ind w:left="116" w:right="118"/>
              <w:jc w:val="center"/>
              <w:rPr>
                <w:sz w:val="16"/>
              </w:rPr>
            </w:pPr>
            <w:r>
              <w:rPr>
                <w:sz w:val="16"/>
              </w:rPr>
              <w:t>190.28</w:t>
            </w:r>
          </w:p>
        </w:tc>
        <w:tc>
          <w:tcPr>
            <w:tcW w:w="718" w:type="dxa"/>
          </w:tcPr>
          <w:p>
            <w:pPr>
              <w:pStyle w:val="TableParagraph"/>
              <w:spacing w:before="47"/>
              <w:ind w:right="135"/>
              <w:rPr>
                <w:sz w:val="16"/>
              </w:rPr>
            </w:pPr>
            <w:r>
              <w:rPr>
                <w:sz w:val="16"/>
              </w:rPr>
              <w:t>30.27</w:t>
            </w:r>
          </w:p>
        </w:tc>
        <w:tc>
          <w:tcPr>
            <w:tcW w:w="646" w:type="dxa"/>
          </w:tcPr>
          <w:p>
            <w:pPr>
              <w:pStyle w:val="TableParagraph"/>
              <w:spacing w:before="47"/>
              <w:ind w:right="227"/>
              <w:rPr>
                <w:sz w:val="16"/>
              </w:rPr>
            </w:pPr>
            <w:r>
              <w:rPr>
                <w:w w:val="95"/>
                <w:sz w:val="16"/>
              </w:rPr>
              <w:t>0.96</w:t>
            </w:r>
          </w:p>
        </w:tc>
        <w:tc>
          <w:tcPr>
            <w:tcW w:w="423" w:type="dxa"/>
          </w:tcPr>
          <w:p>
            <w:pPr>
              <w:pStyle w:val="TableParagraph"/>
              <w:spacing w:before="47"/>
              <w:ind w:left="115"/>
              <w:jc w:val="center"/>
              <w:rPr>
                <w:sz w:val="16"/>
              </w:rPr>
            </w:pPr>
            <w:r>
              <w:rPr>
                <w:w w:val="98"/>
                <w:sz w:val="16"/>
              </w:rPr>
              <w:t>0</w:t>
            </w:r>
          </w:p>
        </w:tc>
        <w:tc>
          <w:tcPr>
            <w:tcW w:w="784" w:type="dxa"/>
          </w:tcPr>
          <w:p>
            <w:pPr>
              <w:pStyle w:val="TableParagraph"/>
              <w:spacing w:before="47"/>
              <w:ind w:right="225"/>
              <w:rPr>
                <w:sz w:val="16"/>
              </w:rPr>
            </w:pPr>
            <w:r>
              <w:rPr>
                <w:sz w:val="16"/>
              </w:rPr>
              <w:t>21.28</w:t>
            </w:r>
          </w:p>
        </w:tc>
        <w:tc>
          <w:tcPr>
            <w:tcW w:w="421" w:type="dxa"/>
          </w:tcPr>
          <w:p>
            <w:pPr>
              <w:pStyle w:val="TableParagraph"/>
              <w:spacing w:before="47"/>
              <w:ind w:left="112"/>
              <w:jc w:val="center"/>
              <w:rPr>
                <w:sz w:val="16"/>
              </w:rPr>
            </w:pPr>
            <w:r>
              <w:rPr>
                <w:w w:val="98"/>
                <w:sz w:val="16"/>
              </w:rPr>
              <w:t>0</w:t>
            </w:r>
          </w:p>
        </w:tc>
        <w:tc>
          <w:tcPr>
            <w:tcW w:w="667" w:type="dxa"/>
          </w:tcPr>
          <w:p>
            <w:pPr>
              <w:pStyle w:val="TableParagraph"/>
              <w:spacing w:before="47"/>
              <w:ind w:left="94" w:right="90"/>
              <w:jc w:val="center"/>
              <w:rPr>
                <w:sz w:val="16"/>
              </w:rPr>
            </w:pPr>
            <w:r>
              <w:rPr>
                <w:sz w:val="16"/>
              </w:rPr>
              <w:t>361.28</w:t>
            </w:r>
          </w:p>
        </w:tc>
        <w:tc>
          <w:tcPr>
            <w:tcW w:w="643" w:type="dxa"/>
          </w:tcPr>
          <w:p>
            <w:pPr>
              <w:pStyle w:val="TableParagraph"/>
              <w:spacing w:before="47"/>
              <w:ind w:right="88"/>
              <w:rPr>
                <w:sz w:val="16"/>
              </w:rPr>
            </w:pPr>
            <w:r>
              <w:rPr>
                <w:sz w:val="16"/>
              </w:rPr>
              <w:t>96.39</w:t>
            </w:r>
          </w:p>
        </w:tc>
        <w:tc>
          <w:tcPr>
            <w:tcW w:w="571" w:type="dxa"/>
          </w:tcPr>
          <w:p>
            <w:pPr>
              <w:pStyle w:val="TableParagraph"/>
              <w:spacing w:before="47"/>
              <w:ind w:left="72" w:right="98"/>
              <w:jc w:val="center"/>
              <w:rPr>
                <w:sz w:val="16"/>
              </w:rPr>
            </w:pPr>
            <w:r>
              <w:rPr>
                <w:sz w:val="16"/>
              </w:rPr>
              <w:t>105.2</w:t>
            </w:r>
          </w:p>
        </w:tc>
        <w:tc>
          <w:tcPr>
            <w:tcW w:w="719" w:type="dxa"/>
          </w:tcPr>
          <w:p>
            <w:pPr>
              <w:pStyle w:val="TableParagraph"/>
              <w:spacing w:before="47"/>
              <w:ind w:right="159"/>
              <w:rPr>
                <w:sz w:val="16"/>
              </w:rPr>
            </w:pPr>
            <w:r>
              <w:rPr>
                <w:sz w:val="16"/>
              </w:rPr>
              <w:t>34.31</w:t>
            </w:r>
          </w:p>
        </w:tc>
        <w:tc>
          <w:tcPr>
            <w:tcW w:w="595" w:type="dxa"/>
          </w:tcPr>
          <w:p>
            <w:pPr>
              <w:pStyle w:val="TableParagraph"/>
              <w:spacing w:before="47"/>
              <w:ind w:right="157"/>
              <w:rPr>
                <w:sz w:val="16"/>
              </w:rPr>
            </w:pPr>
            <w:r>
              <w:rPr>
                <w:w w:val="95"/>
                <w:sz w:val="16"/>
              </w:rPr>
              <w:t>1.6</w:t>
            </w:r>
          </w:p>
        </w:tc>
        <w:tc>
          <w:tcPr>
            <w:tcW w:w="569" w:type="dxa"/>
          </w:tcPr>
          <w:p>
            <w:pPr>
              <w:pStyle w:val="TableParagraph"/>
              <w:spacing w:before="47"/>
              <w:ind w:right="131"/>
              <w:rPr>
                <w:sz w:val="16"/>
              </w:rPr>
            </w:pPr>
            <w:r>
              <w:rPr>
                <w:w w:val="95"/>
                <w:sz w:val="16"/>
              </w:rPr>
              <w:t>0.19</w:t>
            </w:r>
          </w:p>
        </w:tc>
        <w:tc>
          <w:tcPr>
            <w:tcW w:w="571" w:type="dxa"/>
          </w:tcPr>
          <w:p>
            <w:pPr>
              <w:pStyle w:val="TableParagraph"/>
              <w:spacing w:before="47"/>
              <w:ind w:left="115" w:right="136"/>
              <w:jc w:val="center"/>
              <w:rPr>
                <w:sz w:val="16"/>
              </w:rPr>
            </w:pPr>
            <w:r>
              <w:rPr>
                <w:sz w:val="16"/>
              </w:rPr>
              <w:t>0.03</w:t>
            </w:r>
          </w:p>
        </w:tc>
        <w:tc>
          <w:tcPr>
            <w:tcW w:w="554" w:type="dxa"/>
          </w:tcPr>
          <w:p>
            <w:pPr>
              <w:pStyle w:val="TableParagraph"/>
              <w:spacing w:before="47"/>
              <w:ind w:right="114"/>
              <w:rPr>
                <w:sz w:val="16"/>
              </w:rPr>
            </w:pPr>
            <w:r>
              <w:rPr>
                <w:w w:val="95"/>
                <w:sz w:val="16"/>
              </w:rPr>
              <w:t>0.43</w:t>
            </w:r>
          </w:p>
        </w:tc>
        <w:tc>
          <w:tcPr>
            <w:tcW w:w="754" w:type="dxa"/>
          </w:tcPr>
          <w:p>
            <w:pPr>
              <w:pStyle w:val="TableParagraph"/>
              <w:spacing w:before="47"/>
              <w:ind w:right="273"/>
              <w:rPr>
                <w:sz w:val="16"/>
              </w:rPr>
            </w:pPr>
            <w:r>
              <w:rPr>
                <w:sz w:val="16"/>
              </w:rPr>
              <w:t>19.54</w:t>
            </w:r>
          </w:p>
        </w:tc>
        <w:tc>
          <w:tcPr>
            <w:tcW w:w="826" w:type="dxa"/>
          </w:tcPr>
          <w:p>
            <w:pPr>
              <w:pStyle w:val="TableParagraph"/>
              <w:spacing w:before="47"/>
              <w:ind w:left="254" w:right="178"/>
              <w:jc w:val="center"/>
              <w:rPr>
                <w:sz w:val="16"/>
              </w:rPr>
            </w:pPr>
            <w:r>
              <w:rPr>
                <w:sz w:val="16"/>
              </w:rPr>
              <w:t>1.2</w:t>
            </w:r>
          </w:p>
        </w:tc>
        <w:tc>
          <w:tcPr>
            <w:tcW w:w="826" w:type="dxa"/>
          </w:tcPr>
          <w:p>
            <w:pPr>
              <w:pStyle w:val="TableParagraph"/>
              <w:spacing w:before="47"/>
              <w:ind w:right="273"/>
              <w:rPr>
                <w:sz w:val="16"/>
              </w:rPr>
            </w:pPr>
            <w:r>
              <w:rPr>
                <w:w w:val="95"/>
                <w:sz w:val="16"/>
              </w:rPr>
              <w:t>0.36</w:t>
            </w:r>
          </w:p>
        </w:tc>
        <w:tc>
          <w:tcPr>
            <w:tcW w:w="896" w:type="dxa"/>
          </w:tcPr>
          <w:p>
            <w:pPr>
              <w:pStyle w:val="TableParagraph"/>
              <w:spacing w:before="47"/>
              <w:ind w:right="338"/>
              <w:rPr>
                <w:sz w:val="16"/>
              </w:rPr>
            </w:pPr>
            <w:r>
              <w:rPr>
                <w:w w:val="95"/>
                <w:sz w:val="16"/>
              </w:rPr>
              <w:t>0.21</w:t>
            </w:r>
          </w:p>
        </w:tc>
        <w:tc>
          <w:tcPr>
            <w:tcW w:w="619" w:type="dxa"/>
          </w:tcPr>
          <w:p>
            <w:pPr>
              <w:pStyle w:val="TableParagraph"/>
              <w:spacing w:before="47"/>
              <w:ind w:right="198"/>
              <w:rPr>
                <w:sz w:val="16"/>
              </w:rPr>
            </w:pPr>
            <w:r>
              <w:rPr>
                <w:w w:val="98"/>
                <w:sz w:val="16"/>
              </w:rPr>
              <w:t>0</w:t>
            </w:r>
          </w:p>
        </w:tc>
      </w:tr>
      <w:tr>
        <w:trPr>
          <w:trHeight w:val="300" w:hRule="exact"/>
        </w:trPr>
        <w:tc>
          <w:tcPr>
            <w:tcW w:w="661" w:type="dxa"/>
          </w:tcPr>
          <w:p>
            <w:pPr>
              <w:pStyle w:val="TableParagraph"/>
              <w:spacing w:before="50"/>
              <w:ind w:right="139"/>
              <w:rPr>
                <w:sz w:val="16"/>
              </w:rPr>
            </w:pPr>
            <w:r>
              <w:rPr>
                <w:w w:val="99"/>
                <w:sz w:val="16"/>
              </w:rPr>
              <w:t>9</w:t>
            </w:r>
          </w:p>
        </w:tc>
        <w:tc>
          <w:tcPr>
            <w:tcW w:w="716" w:type="dxa"/>
          </w:tcPr>
          <w:p>
            <w:pPr>
              <w:pStyle w:val="TableParagraph"/>
              <w:spacing w:before="50"/>
              <w:ind w:left="116" w:right="118"/>
              <w:jc w:val="center"/>
              <w:rPr>
                <w:sz w:val="16"/>
              </w:rPr>
            </w:pPr>
            <w:r>
              <w:rPr>
                <w:sz w:val="16"/>
              </w:rPr>
              <w:t>148.81</w:t>
            </w:r>
          </w:p>
        </w:tc>
        <w:tc>
          <w:tcPr>
            <w:tcW w:w="718" w:type="dxa"/>
          </w:tcPr>
          <w:p>
            <w:pPr>
              <w:pStyle w:val="TableParagraph"/>
              <w:spacing w:before="50"/>
              <w:ind w:right="135"/>
              <w:rPr>
                <w:sz w:val="16"/>
              </w:rPr>
            </w:pPr>
            <w:r>
              <w:rPr>
                <w:sz w:val="16"/>
              </w:rPr>
              <w:t>24.92</w:t>
            </w:r>
          </w:p>
        </w:tc>
        <w:tc>
          <w:tcPr>
            <w:tcW w:w="646" w:type="dxa"/>
          </w:tcPr>
          <w:p>
            <w:pPr>
              <w:pStyle w:val="TableParagraph"/>
              <w:spacing w:before="50"/>
              <w:ind w:right="232"/>
              <w:rPr>
                <w:sz w:val="16"/>
              </w:rPr>
            </w:pPr>
            <w:r>
              <w:rPr>
                <w:w w:val="95"/>
                <w:sz w:val="16"/>
              </w:rPr>
              <w:t>1.2</w:t>
            </w:r>
          </w:p>
        </w:tc>
        <w:tc>
          <w:tcPr>
            <w:tcW w:w="423" w:type="dxa"/>
          </w:tcPr>
          <w:p>
            <w:pPr>
              <w:pStyle w:val="TableParagraph"/>
              <w:spacing w:before="50"/>
              <w:ind w:left="115"/>
              <w:jc w:val="center"/>
              <w:rPr>
                <w:sz w:val="16"/>
              </w:rPr>
            </w:pPr>
            <w:r>
              <w:rPr>
                <w:w w:val="99"/>
                <w:sz w:val="16"/>
              </w:rPr>
              <w:t>0</w:t>
            </w:r>
          </w:p>
        </w:tc>
        <w:tc>
          <w:tcPr>
            <w:tcW w:w="784" w:type="dxa"/>
          </w:tcPr>
          <w:p>
            <w:pPr>
              <w:pStyle w:val="TableParagraph"/>
              <w:spacing w:before="50"/>
              <w:ind w:right="225"/>
              <w:rPr>
                <w:sz w:val="16"/>
              </w:rPr>
            </w:pPr>
            <w:r>
              <w:rPr>
                <w:sz w:val="16"/>
              </w:rPr>
              <w:t>18.73</w:t>
            </w:r>
          </w:p>
        </w:tc>
        <w:tc>
          <w:tcPr>
            <w:tcW w:w="421" w:type="dxa"/>
          </w:tcPr>
          <w:p>
            <w:pPr>
              <w:pStyle w:val="TableParagraph"/>
              <w:spacing w:before="50"/>
              <w:ind w:left="112"/>
              <w:jc w:val="center"/>
              <w:rPr>
                <w:sz w:val="16"/>
              </w:rPr>
            </w:pPr>
            <w:r>
              <w:rPr>
                <w:w w:val="99"/>
                <w:sz w:val="16"/>
              </w:rPr>
              <w:t>0</w:t>
            </w:r>
          </w:p>
        </w:tc>
        <w:tc>
          <w:tcPr>
            <w:tcW w:w="667" w:type="dxa"/>
          </w:tcPr>
          <w:p>
            <w:pPr>
              <w:pStyle w:val="TableParagraph"/>
              <w:spacing w:before="50"/>
              <w:ind w:left="94" w:right="90"/>
              <w:jc w:val="center"/>
              <w:rPr>
                <w:sz w:val="16"/>
              </w:rPr>
            </w:pPr>
            <w:r>
              <w:rPr>
                <w:sz w:val="16"/>
              </w:rPr>
              <w:t>379.79</w:t>
            </w:r>
          </w:p>
        </w:tc>
        <w:tc>
          <w:tcPr>
            <w:tcW w:w="643" w:type="dxa"/>
          </w:tcPr>
          <w:p>
            <w:pPr>
              <w:pStyle w:val="TableParagraph"/>
              <w:spacing w:before="50"/>
              <w:ind w:right="88"/>
              <w:rPr>
                <w:sz w:val="16"/>
              </w:rPr>
            </w:pPr>
            <w:r>
              <w:rPr>
                <w:sz w:val="16"/>
              </w:rPr>
              <w:t>83.53</w:t>
            </w:r>
          </w:p>
        </w:tc>
        <w:tc>
          <w:tcPr>
            <w:tcW w:w="571" w:type="dxa"/>
          </w:tcPr>
          <w:p>
            <w:pPr>
              <w:pStyle w:val="TableParagraph"/>
              <w:spacing w:before="50"/>
              <w:ind w:left="72" w:right="98"/>
              <w:jc w:val="center"/>
              <w:rPr>
                <w:sz w:val="16"/>
              </w:rPr>
            </w:pPr>
            <w:r>
              <w:rPr>
                <w:sz w:val="16"/>
              </w:rPr>
              <w:t>96.58</w:t>
            </w:r>
          </w:p>
        </w:tc>
        <w:tc>
          <w:tcPr>
            <w:tcW w:w="719" w:type="dxa"/>
          </w:tcPr>
          <w:p>
            <w:pPr>
              <w:pStyle w:val="TableParagraph"/>
              <w:spacing w:before="50"/>
              <w:ind w:right="159"/>
              <w:rPr>
                <w:sz w:val="16"/>
              </w:rPr>
            </w:pPr>
            <w:r>
              <w:rPr>
                <w:sz w:val="16"/>
              </w:rPr>
              <w:t>30.18</w:t>
            </w:r>
          </w:p>
        </w:tc>
        <w:tc>
          <w:tcPr>
            <w:tcW w:w="595" w:type="dxa"/>
          </w:tcPr>
          <w:p>
            <w:pPr>
              <w:pStyle w:val="TableParagraph"/>
              <w:spacing w:before="50"/>
              <w:ind w:right="153"/>
              <w:rPr>
                <w:sz w:val="16"/>
              </w:rPr>
            </w:pPr>
            <w:r>
              <w:rPr>
                <w:w w:val="95"/>
                <w:sz w:val="16"/>
              </w:rPr>
              <w:t>2.14</w:t>
            </w:r>
          </w:p>
        </w:tc>
        <w:tc>
          <w:tcPr>
            <w:tcW w:w="569" w:type="dxa"/>
          </w:tcPr>
          <w:p>
            <w:pPr>
              <w:pStyle w:val="TableParagraph"/>
              <w:spacing w:before="50"/>
              <w:ind w:right="135"/>
              <w:rPr>
                <w:sz w:val="16"/>
              </w:rPr>
            </w:pPr>
            <w:r>
              <w:rPr>
                <w:w w:val="95"/>
                <w:sz w:val="16"/>
              </w:rPr>
              <w:t>0.1</w:t>
            </w:r>
          </w:p>
        </w:tc>
        <w:tc>
          <w:tcPr>
            <w:tcW w:w="571" w:type="dxa"/>
          </w:tcPr>
          <w:p>
            <w:pPr>
              <w:pStyle w:val="TableParagraph"/>
              <w:spacing w:before="50"/>
              <w:ind w:left="115" w:right="136"/>
              <w:jc w:val="center"/>
              <w:rPr>
                <w:sz w:val="16"/>
              </w:rPr>
            </w:pPr>
            <w:r>
              <w:rPr>
                <w:sz w:val="16"/>
              </w:rPr>
              <w:t>0.02</w:t>
            </w:r>
          </w:p>
        </w:tc>
        <w:tc>
          <w:tcPr>
            <w:tcW w:w="554" w:type="dxa"/>
          </w:tcPr>
          <w:p>
            <w:pPr>
              <w:pStyle w:val="TableParagraph"/>
              <w:spacing w:before="50"/>
              <w:ind w:right="114"/>
              <w:rPr>
                <w:sz w:val="16"/>
              </w:rPr>
            </w:pPr>
            <w:r>
              <w:rPr>
                <w:w w:val="95"/>
                <w:sz w:val="16"/>
              </w:rPr>
              <w:t>0.32</w:t>
            </w:r>
          </w:p>
        </w:tc>
        <w:tc>
          <w:tcPr>
            <w:tcW w:w="754" w:type="dxa"/>
          </w:tcPr>
          <w:p>
            <w:pPr>
              <w:pStyle w:val="TableParagraph"/>
              <w:spacing w:before="50"/>
              <w:ind w:right="273"/>
              <w:rPr>
                <w:sz w:val="16"/>
              </w:rPr>
            </w:pPr>
            <w:r>
              <w:rPr>
                <w:w w:val="95"/>
                <w:sz w:val="16"/>
              </w:rPr>
              <w:t>3.12</w:t>
            </w:r>
          </w:p>
        </w:tc>
        <w:tc>
          <w:tcPr>
            <w:tcW w:w="826" w:type="dxa"/>
          </w:tcPr>
          <w:p>
            <w:pPr>
              <w:pStyle w:val="TableParagraph"/>
              <w:spacing w:before="50"/>
              <w:ind w:left="254" w:right="250"/>
              <w:jc w:val="center"/>
              <w:rPr>
                <w:sz w:val="16"/>
              </w:rPr>
            </w:pPr>
            <w:r>
              <w:rPr>
                <w:sz w:val="16"/>
              </w:rPr>
              <w:t>0.77</w:t>
            </w:r>
          </w:p>
        </w:tc>
        <w:tc>
          <w:tcPr>
            <w:tcW w:w="826" w:type="dxa"/>
          </w:tcPr>
          <w:p>
            <w:pPr>
              <w:pStyle w:val="TableParagraph"/>
              <w:spacing w:before="50"/>
              <w:ind w:right="273"/>
              <w:rPr>
                <w:sz w:val="16"/>
              </w:rPr>
            </w:pPr>
            <w:r>
              <w:rPr>
                <w:w w:val="95"/>
                <w:sz w:val="16"/>
              </w:rPr>
              <w:t>0.24</w:t>
            </w:r>
          </w:p>
        </w:tc>
        <w:tc>
          <w:tcPr>
            <w:tcW w:w="896" w:type="dxa"/>
          </w:tcPr>
          <w:p>
            <w:pPr>
              <w:pStyle w:val="TableParagraph"/>
              <w:spacing w:before="50"/>
              <w:ind w:right="338"/>
              <w:rPr>
                <w:sz w:val="16"/>
              </w:rPr>
            </w:pPr>
            <w:r>
              <w:rPr>
                <w:w w:val="95"/>
                <w:sz w:val="16"/>
              </w:rPr>
              <w:t>0.15</w:t>
            </w:r>
          </w:p>
        </w:tc>
        <w:tc>
          <w:tcPr>
            <w:tcW w:w="619" w:type="dxa"/>
          </w:tcPr>
          <w:p>
            <w:pPr>
              <w:pStyle w:val="TableParagraph"/>
              <w:spacing w:before="50"/>
              <w:ind w:right="198"/>
              <w:rPr>
                <w:sz w:val="16"/>
              </w:rPr>
            </w:pPr>
            <w:r>
              <w:rPr>
                <w:w w:val="99"/>
                <w:sz w:val="16"/>
              </w:rPr>
              <w:t>0</w:t>
            </w:r>
          </w:p>
        </w:tc>
      </w:tr>
      <w:tr>
        <w:trPr>
          <w:trHeight w:val="300" w:hRule="exact"/>
        </w:trPr>
        <w:tc>
          <w:tcPr>
            <w:tcW w:w="661" w:type="dxa"/>
          </w:tcPr>
          <w:p>
            <w:pPr>
              <w:pStyle w:val="TableParagraph"/>
              <w:spacing w:before="47"/>
              <w:ind w:right="132"/>
              <w:rPr>
                <w:sz w:val="16"/>
              </w:rPr>
            </w:pPr>
            <w:r>
              <w:rPr>
                <w:sz w:val="16"/>
              </w:rPr>
              <w:t>10</w:t>
            </w:r>
          </w:p>
        </w:tc>
        <w:tc>
          <w:tcPr>
            <w:tcW w:w="716" w:type="dxa"/>
          </w:tcPr>
          <w:p>
            <w:pPr>
              <w:pStyle w:val="TableParagraph"/>
              <w:spacing w:before="47"/>
              <w:ind w:left="116" w:right="118"/>
              <w:jc w:val="center"/>
              <w:rPr>
                <w:sz w:val="16"/>
              </w:rPr>
            </w:pPr>
            <w:r>
              <w:rPr>
                <w:sz w:val="16"/>
              </w:rPr>
              <w:t>189.26</w:t>
            </w:r>
          </w:p>
        </w:tc>
        <w:tc>
          <w:tcPr>
            <w:tcW w:w="718" w:type="dxa"/>
          </w:tcPr>
          <w:p>
            <w:pPr>
              <w:pStyle w:val="TableParagraph"/>
              <w:spacing w:before="47"/>
              <w:ind w:right="135"/>
              <w:rPr>
                <w:sz w:val="16"/>
              </w:rPr>
            </w:pPr>
            <w:r>
              <w:rPr>
                <w:sz w:val="16"/>
              </w:rPr>
              <w:t>49.51</w:t>
            </w:r>
          </w:p>
        </w:tc>
        <w:tc>
          <w:tcPr>
            <w:tcW w:w="646" w:type="dxa"/>
          </w:tcPr>
          <w:p>
            <w:pPr>
              <w:pStyle w:val="TableParagraph"/>
              <w:spacing w:before="47"/>
              <w:ind w:right="227"/>
              <w:rPr>
                <w:sz w:val="16"/>
              </w:rPr>
            </w:pPr>
            <w:r>
              <w:rPr>
                <w:w w:val="95"/>
                <w:sz w:val="16"/>
              </w:rPr>
              <w:t>1.59</w:t>
            </w:r>
          </w:p>
        </w:tc>
        <w:tc>
          <w:tcPr>
            <w:tcW w:w="423" w:type="dxa"/>
          </w:tcPr>
          <w:p>
            <w:pPr>
              <w:pStyle w:val="TableParagraph"/>
              <w:spacing w:before="47"/>
              <w:ind w:left="115"/>
              <w:jc w:val="center"/>
              <w:rPr>
                <w:sz w:val="16"/>
              </w:rPr>
            </w:pPr>
            <w:r>
              <w:rPr>
                <w:w w:val="99"/>
                <w:sz w:val="16"/>
              </w:rPr>
              <w:t>0</w:t>
            </w:r>
          </w:p>
        </w:tc>
        <w:tc>
          <w:tcPr>
            <w:tcW w:w="784" w:type="dxa"/>
          </w:tcPr>
          <w:p>
            <w:pPr>
              <w:pStyle w:val="TableParagraph"/>
              <w:spacing w:before="47"/>
              <w:ind w:right="224"/>
              <w:rPr>
                <w:sz w:val="16"/>
              </w:rPr>
            </w:pPr>
            <w:r>
              <w:rPr>
                <w:w w:val="95"/>
                <w:sz w:val="16"/>
              </w:rPr>
              <w:t>41.2</w:t>
            </w:r>
          </w:p>
        </w:tc>
        <w:tc>
          <w:tcPr>
            <w:tcW w:w="421" w:type="dxa"/>
          </w:tcPr>
          <w:p>
            <w:pPr>
              <w:pStyle w:val="TableParagraph"/>
              <w:spacing w:before="47"/>
              <w:ind w:left="112"/>
              <w:jc w:val="center"/>
              <w:rPr>
                <w:sz w:val="16"/>
              </w:rPr>
            </w:pPr>
            <w:r>
              <w:rPr>
                <w:w w:val="99"/>
                <w:sz w:val="16"/>
              </w:rPr>
              <w:t>0</w:t>
            </w:r>
          </w:p>
        </w:tc>
        <w:tc>
          <w:tcPr>
            <w:tcW w:w="667" w:type="dxa"/>
          </w:tcPr>
          <w:p>
            <w:pPr>
              <w:pStyle w:val="TableParagraph"/>
              <w:spacing w:before="47"/>
              <w:ind w:left="94" w:right="90"/>
              <w:jc w:val="center"/>
              <w:rPr>
                <w:sz w:val="16"/>
              </w:rPr>
            </w:pPr>
            <w:r>
              <w:rPr>
                <w:sz w:val="16"/>
              </w:rPr>
              <w:t>407.21</w:t>
            </w:r>
          </w:p>
        </w:tc>
        <w:tc>
          <w:tcPr>
            <w:tcW w:w="643" w:type="dxa"/>
          </w:tcPr>
          <w:p>
            <w:pPr>
              <w:pStyle w:val="TableParagraph"/>
              <w:spacing w:before="47"/>
              <w:ind w:right="88"/>
              <w:rPr>
                <w:sz w:val="16"/>
              </w:rPr>
            </w:pPr>
            <w:r>
              <w:rPr>
                <w:sz w:val="16"/>
              </w:rPr>
              <w:t>66.12</w:t>
            </w:r>
          </w:p>
        </w:tc>
        <w:tc>
          <w:tcPr>
            <w:tcW w:w="571" w:type="dxa"/>
          </w:tcPr>
          <w:p>
            <w:pPr>
              <w:pStyle w:val="TableParagraph"/>
              <w:spacing w:before="47"/>
              <w:ind w:left="72" w:right="98"/>
              <w:jc w:val="center"/>
              <w:rPr>
                <w:sz w:val="16"/>
              </w:rPr>
            </w:pPr>
            <w:r>
              <w:rPr>
                <w:sz w:val="16"/>
              </w:rPr>
              <w:t>83.92</w:t>
            </w:r>
          </w:p>
        </w:tc>
        <w:tc>
          <w:tcPr>
            <w:tcW w:w="719" w:type="dxa"/>
          </w:tcPr>
          <w:p>
            <w:pPr>
              <w:pStyle w:val="TableParagraph"/>
              <w:spacing w:before="47"/>
              <w:ind w:right="159"/>
              <w:rPr>
                <w:sz w:val="16"/>
              </w:rPr>
            </w:pPr>
            <w:r>
              <w:rPr>
                <w:sz w:val="16"/>
              </w:rPr>
              <w:t>55.66</w:t>
            </w:r>
          </w:p>
        </w:tc>
        <w:tc>
          <w:tcPr>
            <w:tcW w:w="595" w:type="dxa"/>
          </w:tcPr>
          <w:p>
            <w:pPr>
              <w:pStyle w:val="TableParagraph"/>
              <w:spacing w:before="47"/>
              <w:ind w:right="153"/>
              <w:rPr>
                <w:sz w:val="16"/>
              </w:rPr>
            </w:pPr>
            <w:r>
              <w:rPr>
                <w:w w:val="95"/>
                <w:sz w:val="16"/>
              </w:rPr>
              <w:t>2.58</w:t>
            </w:r>
          </w:p>
        </w:tc>
        <w:tc>
          <w:tcPr>
            <w:tcW w:w="569" w:type="dxa"/>
          </w:tcPr>
          <w:p>
            <w:pPr>
              <w:pStyle w:val="TableParagraph"/>
              <w:spacing w:before="47"/>
              <w:ind w:right="131"/>
              <w:rPr>
                <w:sz w:val="16"/>
              </w:rPr>
            </w:pPr>
            <w:r>
              <w:rPr>
                <w:w w:val="95"/>
                <w:sz w:val="16"/>
              </w:rPr>
              <w:t>0.17</w:t>
            </w:r>
          </w:p>
        </w:tc>
        <w:tc>
          <w:tcPr>
            <w:tcW w:w="571" w:type="dxa"/>
          </w:tcPr>
          <w:p>
            <w:pPr>
              <w:pStyle w:val="TableParagraph"/>
              <w:spacing w:before="47"/>
              <w:ind w:left="115" w:right="136"/>
              <w:jc w:val="center"/>
              <w:rPr>
                <w:sz w:val="16"/>
              </w:rPr>
            </w:pPr>
            <w:r>
              <w:rPr>
                <w:sz w:val="16"/>
              </w:rPr>
              <w:t>0.04</w:t>
            </w:r>
          </w:p>
        </w:tc>
        <w:tc>
          <w:tcPr>
            <w:tcW w:w="554" w:type="dxa"/>
          </w:tcPr>
          <w:p>
            <w:pPr>
              <w:pStyle w:val="TableParagraph"/>
              <w:spacing w:before="47"/>
              <w:ind w:right="114"/>
              <w:rPr>
                <w:sz w:val="16"/>
              </w:rPr>
            </w:pPr>
            <w:r>
              <w:rPr>
                <w:w w:val="95"/>
                <w:sz w:val="16"/>
              </w:rPr>
              <w:t>1.18</w:t>
            </w:r>
          </w:p>
        </w:tc>
        <w:tc>
          <w:tcPr>
            <w:tcW w:w="754" w:type="dxa"/>
          </w:tcPr>
          <w:p>
            <w:pPr>
              <w:pStyle w:val="TableParagraph"/>
              <w:spacing w:before="47"/>
              <w:ind w:right="273"/>
              <w:rPr>
                <w:sz w:val="16"/>
              </w:rPr>
            </w:pPr>
            <w:r>
              <w:rPr>
                <w:w w:val="95"/>
                <w:sz w:val="16"/>
              </w:rPr>
              <w:t>1.56</w:t>
            </w:r>
          </w:p>
        </w:tc>
        <w:tc>
          <w:tcPr>
            <w:tcW w:w="826" w:type="dxa"/>
          </w:tcPr>
          <w:p>
            <w:pPr>
              <w:pStyle w:val="TableParagraph"/>
              <w:spacing w:before="47"/>
              <w:ind w:left="254" w:right="250"/>
              <w:jc w:val="center"/>
              <w:rPr>
                <w:sz w:val="16"/>
              </w:rPr>
            </w:pPr>
            <w:r>
              <w:rPr>
                <w:sz w:val="16"/>
              </w:rPr>
              <w:t>1.62</w:t>
            </w:r>
          </w:p>
        </w:tc>
        <w:tc>
          <w:tcPr>
            <w:tcW w:w="826" w:type="dxa"/>
          </w:tcPr>
          <w:p>
            <w:pPr>
              <w:pStyle w:val="TableParagraph"/>
              <w:spacing w:before="47"/>
              <w:ind w:right="273"/>
              <w:rPr>
                <w:sz w:val="16"/>
              </w:rPr>
            </w:pPr>
            <w:r>
              <w:rPr>
                <w:w w:val="95"/>
                <w:sz w:val="16"/>
              </w:rPr>
              <w:t>0.46</w:t>
            </w:r>
          </w:p>
        </w:tc>
        <w:tc>
          <w:tcPr>
            <w:tcW w:w="896" w:type="dxa"/>
          </w:tcPr>
          <w:p>
            <w:pPr>
              <w:pStyle w:val="TableParagraph"/>
              <w:spacing w:before="47"/>
              <w:ind w:right="338"/>
              <w:rPr>
                <w:sz w:val="16"/>
              </w:rPr>
            </w:pPr>
            <w:r>
              <w:rPr>
                <w:w w:val="95"/>
                <w:sz w:val="16"/>
              </w:rPr>
              <w:t>0.32</w:t>
            </w:r>
          </w:p>
        </w:tc>
        <w:tc>
          <w:tcPr>
            <w:tcW w:w="619" w:type="dxa"/>
          </w:tcPr>
          <w:p>
            <w:pPr>
              <w:pStyle w:val="TableParagraph"/>
              <w:spacing w:before="47"/>
              <w:ind w:right="198"/>
              <w:rPr>
                <w:sz w:val="16"/>
              </w:rPr>
            </w:pPr>
            <w:r>
              <w:rPr>
                <w:w w:val="99"/>
                <w:sz w:val="16"/>
              </w:rPr>
              <w:t>0</w:t>
            </w:r>
          </w:p>
        </w:tc>
      </w:tr>
      <w:tr>
        <w:trPr>
          <w:trHeight w:val="300" w:hRule="exact"/>
        </w:trPr>
        <w:tc>
          <w:tcPr>
            <w:tcW w:w="661" w:type="dxa"/>
          </w:tcPr>
          <w:p>
            <w:pPr>
              <w:pStyle w:val="TableParagraph"/>
              <w:spacing w:before="50"/>
              <w:ind w:right="132"/>
              <w:rPr>
                <w:sz w:val="16"/>
              </w:rPr>
            </w:pPr>
            <w:r>
              <w:rPr>
                <w:sz w:val="16"/>
              </w:rPr>
              <w:t>11</w:t>
            </w:r>
          </w:p>
        </w:tc>
        <w:tc>
          <w:tcPr>
            <w:tcW w:w="716" w:type="dxa"/>
          </w:tcPr>
          <w:p>
            <w:pPr>
              <w:pStyle w:val="TableParagraph"/>
              <w:spacing w:before="50"/>
              <w:ind w:left="117" w:right="40"/>
              <w:jc w:val="center"/>
              <w:rPr>
                <w:sz w:val="16"/>
              </w:rPr>
            </w:pPr>
            <w:r>
              <w:rPr>
                <w:sz w:val="16"/>
              </w:rPr>
              <w:t>44.48</w:t>
            </w:r>
          </w:p>
        </w:tc>
        <w:tc>
          <w:tcPr>
            <w:tcW w:w="718" w:type="dxa"/>
          </w:tcPr>
          <w:p>
            <w:pPr>
              <w:pStyle w:val="TableParagraph"/>
              <w:spacing w:before="50"/>
              <w:ind w:right="133"/>
              <w:rPr>
                <w:sz w:val="16"/>
              </w:rPr>
            </w:pPr>
            <w:r>
              <w:rPr>
                <w:w w:val="95"/>
                <w:sz w:val="16"/>
              </w:rPr>
              <w:t>3.99</w:t>
            </w:r>
          </w:p>
        </w:tc>
        <w:tc>
          <w:tcPr>
            <w:tcW w:w="646" w:type="dxa"/>
          </w:tcPr>
          <w:p>
            <w:pPr>
              <w:pStyle w:val="TableParagraph"/>
              <w:spacing w:before="50"/>
              <w:ind w:right="227"/>
              <w:rPr>
                <w:sz w:val="16"/>
              </w:rPr>
            </w:pPr>
            <w:r>
              <w:rPr>
                <w:w w:val="95"/>
                <w:sz w:val="16"/>
              </w:rPr>
              <w:t>1.59</w:t>
            </w:r>
          </w:p>
        </w:tc>
        <w:tc>
          <w:tcPr>
            <w:tcW w:w="423" w:type="dxa"/>
          </w:tcPr>
          <w:p>
            <w:pPr>
              <w:pStyle w:val="TableParagraph"/>
              <w:spacing w:before="50"/>
              <w:ind w:left="115"/>
              <w:jc w:val="center"/>
              <w:rPr>
                <w:sz w:val="16"/>
              </w:rPr>
            </w:pPr>
            <w:r>
              <w:rPr>
                <w:w w:val="99"/>
                <w:sz w:val="16"/>
              </w:rPr>
              <w:t>0</w:t>
            </w:r>
          </w:p>
        </w:tc>
        <w:tc>
          <w:tcPr>
            <w:tcW w:w="784" w:type="dxa"/>
          </w:tcPr>
          <w:p>
            <w:pPr>
              <w:pStyle w:val="TableParagraph"/>
              <w:spacing w:before="50"/>
              <w:ind w:right="225"/>
              <w:rPr>
                <w:sz w:val="16"/>
              </w:rPr>
            </w:pPr>
            <w:r>
              <w:rPr>
                <w:sz w:val="16"/>
              </w:rPr>
              <w:t>17.48</w:t>
            </w:r>
          </w:p>
        </w:tc>
        <w:tc>
          <w:tcPr>
            <w:tcW w:w="421" w:type="dxa"/>
          </w:tcPr>
          <w:p>
            <w:pPr>
              <w:pStyle w:val="TableParagraph"/>
              <w:spacing w:before="50"/>
              <w:ind w:left="112"/>
              <w:jc w:val="center"/>
              <w:rPr>
                <w:sz w:val="16"/>
              </w:rPr>
            </w:pPr>
            <w:r>
              <w:rPr>
                <w:w w:val="99"/>
                <w:sz w:val="16"/>
              </w:rPr>
              <w:t>0</w:t>
            </w:r>
          </w:p>
        </w:tc>
        <w:tc>
          <w:tcPr>
            <w:tcW w:w="667" w:type="dxa"/>
          </w:tcPr>
          <w:p>
            <w:pPr>
              <w:pStyle w:val="TableParagraph"/>
              <w:spacing w:before="50"/>
              <w:ind w:left="94" w:right="90"/>
              <w:jc w:val="center"/>
              <w:rPr>
                <w:sz w:val="16"/>
              </w:rPr>
            </w:pPr>
            <w:r>
              <w:rPr>
                <w:sz w:val="16"/>
              </w:rPr>
              <w:t>392.29</w:t>
            </w:r>
          </w:p>
        </w:tc>
        <w:tc>
          <w:tcPr>
            <w:tcW w:w="643" w:type="dxa"/>
          </w:tcPr>
          <w:p>
            <w:pPr>
              <w:pStyle w:val="TableParagraph"/>
              <w:spacing w:before="50"/>
              <w:ind w:right="88"/>
              <w:rPr>
                <w:sz w:val="16"/>
              </w:rPr>
            </w:pPr>
            <w:r>
              <w:rPr>
                <w:sz w:val="16"/>
              </w:rPr>
              <w:t>37.03</w:t>
            </w:r>
          </w:p>
        </w:tc>
        <w:tc>
          <w:tcPr>
            <w:tcW w:w="571" w:type="dxa"/>
          </w:tcPr>
          <w:p>
            <w:pPr>
              <w:pStyle w:val="TableParagraph"/>
              <w:spacing w:before="50"/>
              <w:ind w:left="72" w:right="98"/>
              <w:jc w:val="center"/>
              <w:rPr>
                <w:sz w:val="16"/>
              </w:rPr>
            </w:pPr>
            <w:r>
              <w:rPr>
                <w:sz w:val="16"/>
              </w:rPr>
              <w:t>74.58</w:t>
            </w:r>
          </w:p>
        </w:tc>
        <w:tc>
          <w:tcPr>
            <w:tcW w:w="719" w:type="dxa"/>
          </w:tcPr>
          <w:p>
            <w:pPr>
              <w:pStyle w:val="TableParagraph"/>
              <w:spacing w:before="50"/>
              <w:ind w:right="159"/>
              <w:rPr>
                <w:sz w:val="16"/>
              </w:rPr>
            </w:pPr>
            <w:r>
              <w:rPr>
                <w:sz w:val="16"/>
              </w:rPr>
              <w:t>13.72</w:t>
            </w:r>
          </w:p>
        </w:tc>
        <w:tc>
          <w:tcPr>
            <w:tcW w:w="595" w:type="dxa"/>
          </w:tcPr>
          <w:p>
            <w:pPr>
              <w:pStyle w:val="TableParagraph"/>
              <w:spacing w:before="50"/>
              <w:ind w:right="153"/>
              <w:rPr>
                <w:sz w:val="16"/>
              </w:rPr>
            </w:pPr>
            <w:r>
              <w:rPr>
                <w:w w:val="95"/>
                <w:sz w:val="16"/>
              </w:rPr>
              <w:t>0.18</w:t>
            </w:r>
          </w:p>
        </w:tc>
        <w:tc>
          <w:tcPr>
            <w:tcW w:w="569" w:type="dxa"/>
          </w:tcPr>
          <w:p>
            <w:pPr>
              <w:pStyle w:val="TableParagraph"/>
              <w:spacing w:before="50"/>
              <w:ind w:right="131"/>
              <w:rPr>
                <w:sz w:val="16"/>
              </w:rPr>
            </w:pPr>
            <w:r>
              <w:rPr>
                <w:w w:val="95"/>
                <w:sz w:val="16"/>
              </w:rPr>
              <w:t>0.03</w:t>
            </w:r>
          </w:p>
        </w:tc>
        <w:tc>
          <w:tcPr>
            <w:tcW w:w="571" w:type="dxa"/>
          </w:tcPr>
          <w:p>
            <w:pPr>
              <w:pStyle w:val="TableParagraph"/>
              <w:spacing w:before="50"/>
              <w:ind w:left="115" w:right="136"/>
              <w:jc w:val="center"/>
              <w:rPr>
                <w:sz w:val="16"/>
              </w:rPr>
            </w:pPr>
            <w:r>
              <w:rPr>
                <w:sz w:val="16"/>
              </w:rPr>
              <w:t>0.02</w:t>
            </w:r>
          </w:p>
        </w:tc>
        <w:tc>
          <w:tcPr>
            <w:tcW w:w="554" w:type="dxa"/>
          </w:tcPr>
          <w:p>
            <w:pPr>
              <w:pStyle w:val="TableParagraph"/>
              <w:spacing w:before="50"/>
              <w:ind w:right="114"/>
              <w:rPr>
                <w:sz w:val="16"/>
              </w:rPr>
            </w:pPr>
            <w:r>
              <w:rPr>
                <w:w w:val="95"/>
                <w:sz w:val="16"/>
              </w:rPr>
              <w:t>0.12</w:t>
            </w:r>
          </w:p>
        </w:tc>
        <w:tc>
          <w:tcPr>
            <w:tcW w:w="754" w:type="dxa"/>
          </w:tcPr>
          <w:p>
            <w:pPr>
              <w:pStyle w:val="TableParagraph"/>
              <w:spacing w:before="50"/>
              <w:ind w:right="273"/>
              <w:rPr>
                <w:sz w:val="16"/>
              </w:rPr>
            </w:pPr>
            <w:r>
              <w:rPr>
                <w:w w:val="95"/>
                <w:sz w:val="16"/>
              </w:rPr>
              <w:t>0.19</w:t>
            </w:r>
          </w:p>
        </w:tc>
        <w:tc>
          <w:tcPr>
            <w:tcW w:w="826" w:type="dxa"/>
          </w:tcPr>
          <w:p>
            <w:pPr>
              <w:pStyle w:val="TableParagraph"/>
              <w:spacing w:before="50"/>
              <w:ind w:left="254" w:right="178"/>
              <w:jc w:val="center"/>
              <w:rPr>
                <w:sz w:val="16"/>
              </w:rPr>
            </w:pPr>
            <w:r>
              <w:rPr>
                <w:sz w:val="16"/>
              </w:rPr>
              <w:t>0.1</w:t>
            </w:r>
          </w:p>
        </w:tc>
        <w:tc>
          <w:tcPr>
            <w:tcW w:w="826" w:type="dxa"/>
          </w:tcPr>
          <w:p>
            <w:pPr>
              <w:pStyle w:val="TableParagraph"/>
              <w:spacing w:before="50"/>
              <w:ind w:right="273"/>
              <w:rPr>
                <w:sz w:val="16"/>
              </w:rPr>
            </w:pPr>
            <w:r>
              <w:rPr>
                <w:w w:val="95"/>
                <w:sz w:val="16"/>
              </w:rPr>
              <w:t>0.02</w:t>
            </w:r>
          </w:p>
        </w:tc>
        <w:tc>
          <w:tcPr>
            <w:tcW w:w="896" w:type="dxa"/>
          </w:tcPr>
          <w:p>
            <w:pPr>
              <w:pStyle w:val="TableParagraph"/>
              <w:spacing w:before="50"/>
              <w:ind w:right="338"/>
              <w:rPr>
                <w:sz w:val="16"/>
              </w:rPr>
            </w:pPr>
            <w:r>
              <w:rPr>
                <w:w w:val="95"/>
                <w:sz w:val="16"/>
              </w:rPr>
              <w:t>0.03</w:t>
            </w:r>
          </w:p>
        </w:tc>
        <w:tc>
          <w:tcPr>
            <w:tcW w:w="619" w:type="dxa"/>
          </w:tcPr>
          <w:p>
            <w:pPr>
              <w:pStyle w:val="TableParagraph"/>
              <w:spacing w:before="50"/>
              <w:ind w:right="198"/>
              <w:rPr>
                <w:sz w:val="16"/>
              </w:rPr>
            </w:pPr>
            <w:r>
              <w:rPr>
                <w:w w:val="99"/>
                <w:sz w:val="16"/>
              </w:rPr>
              <w:t>0</w:t>
            </w:r>
          </w:p>
        </w:tc>
      </w:tr>
      <w:tr>
        <w:trPr>
          <w:trHeight w:val="449" w:hRule="exact"/>
        </w:trPr>
        <w:tc>
          <w:tcPr>
            <w:tcW w:w="661" w:type="dxa"/>
          </w:tcPr>
          <w:p>
            <w:pPr>
              <w:pStyle w:val="TableParagraph"/>
              <w:spacing w:before="47"/>
              <w:ind w:right="132"/>
              <w:rPr>
                <w:sz w:val="16"/>
              </w:rPr>
            </w:pPr>
            <w:r>
              <w:rPr>
                <w:sz w:val="16"/>
              </w:rPr>
              <w:t>12</w:t>
            </w:r>
          </w:p>
        </w:tc>
        <w:tc>
          <w:tcPr>
            <w:tcW w:w="716" w:type="dxa"/>
          </w:tcPr>
          <w:p>
            <w:pPr>
              <w:pStyle w:val="TableParagraph"/>
              <w:spacing w:before="47"/>
              <w:ind w:left="277" w:right="118"/>
              <w:jc w:val="center"/>
              <w:rPr>
                <w:sz w:val="16"/>
              </w:rPr>
            </w:pPr>
            <w:r>
              <w:rPr>
                <w:sz w:val="16"/>
              </w:rPr>
              <w:t>1.49</w:t>
            </w:r>
          </w:p>
        </w:tc>
        <w:tc>
          <w:tcPr>
            <w:tcW w:w="718" w:type="dxa"/>
          </w:tcPr>
          <w:p>
            <w:pPr>
              <w:pStyle w:val="TableParagraph"/>
              <w:spacing w:before="47"/>
              <w:ind w:right="138"/>
              <w:rPr>
                <w:sz w:val="16"/>
              </w:rPr>
            </w:pPr>
            <w:r>
              <w:rPr>
                <w:w w:val="99"/>
                <w:sz w:val="16"/>
              </w:rPr>
              <w:t>0</w:t>
            </w:r>
          </w:p>
        </w:tc>
        <w:tc>
          <w:tcPr>
            <w:tcW w:w="646" w:type="dxa"/>
          </w:tcPr>
          <w:p>
            <w:pPr>
              <w:pStyle w:val="TableParagraph"/>
              <w:spacing w:before="47"/>
              <w:ind w:right="227"/>
              <w:rPr>
                <w:sz w:val="16"/>
              </w:rPr>
            </w:pPr>
            <w:r>
              <w:rPr>
                <w:w w:val="95"/>
                <w:sz w:val="16"/>
              </w:rPr>
              <w:t>1.22</w:t>
            </w:r>
          </w:p>
        </w:tc>
        <w:tc>
          <w:tcPr>
            <w:tcW w:w="423" w:type="dxa"/>
          </w:tcPr>
          <w:p>
            <w:pPr>
              <w:pStyle w:val="TableParagraph"/>
              <w:spacing w:before="47"/>
              <w:ind w:left="115"/>
              <w:jc w:val="center"/>
              <w:rPr>
                <w:sz w:val="16"/>
              </w:rPr>
            </w:pPr>
            <w:r>
              <w:rPr>
                <w:w w:val="99"/>
                <w:sz w:val="16"/>
              </w:rPr>
              <w:t>0</w:t>
            </w:r>
          </w:p>
        </w:tc>
        <w:tc>
          <w:tcPr>
            <w:tcW w:w="784" w:type="dxa"/>
          </w:tcPr>
          <w:p>
            <w:pPr>
              <w:pStyle w:val="TableParagraph"/>
              <w:spacing w:before="47"/>
              <w:ind w:right="224"/>
              <w:rPr>
                <w:sz w:val="16"/>
              </w:rPr>
            </w:pPr>
            <w:r>
              <w:rPr>
                <w:w w:val="95"/>
                <w:sz w:val="16"/>
              </w:rPr>
              <w:t>1.43</w:t>
            </w:r>
          </w:p>
        </w:tc>
        <w:tc>
          <w:tcPr>
            <w:tcW w:w="421" w:type="dxa"/>
          </w:tcPr>
          <w:p>
            <w:pPr>
              <w:pStyle w:val="TableParagraph"/>
              <w:spacing w:before="47"/>
              <w:ind w:left="112"/>
              <w:jc w:val="center"/>
              <w:rPr>
                <w:sz w:val="16"/>
              </w:rPr>
            </w:pPr>
            <w:r>
              <w:rPr>
                <w:w w:val="99"/>
                <w:sz w:val="16"/>
              </w:rPr>
              <w:t>0</w:t>
            </w:r>
          </w:p>
        </w:tc>
        <w:tc>
          <w:tcPr>
            <w:tcW w:w="667" w:type="dxa"/>
          </w:tcPr>
          <w:p>
            <w:pPr>
              <w:pStyle w:val="TableParagraph"/>
              <w:spacing w:before="47"/>
              <w:ind w:left="94" w:right="90"/>
              <w:jc w:val="center"/>
              <w:rPr>
                <w:sz w:val="16"/>
              </w:rPr>
            </w:pPr>
            <w:r>
              <w:rPr>
                <w:sz w:val="16"/>
              </w:rPr>
              <w:t>371.29</w:t>
            </w:r>
          </w:p>
        </w:tc>
        <w:tc>
          <w:tcPr>
            <w:tcW w:w="643" w:type="dxa"/>
          </w:tcPr>
          <w:p>
            <w:pPr>
              <w:pStyle w:val="TableParagraph"/>
              <w:spacing w:before="47"/>
              <w:ind w:right="88"/>
              <w:rPr>
                <w:sz w:val="16"/>
              </w:rPr>
            </w:pPr>
            <w:r>
              <w:rPr>
                <w:sz w:val="16"/>
              </w:rPr>
              <w:t>21.05</w:t>
            </w:r>
          </w:p>
        </w:tc>
        <w:tc>
          <w:tcPr>
            <w:tcW w:w="571" w:type="dxa"/>
          </w:tcPr>
          <w:p>
            <w:pPr>
              <w:pStyle w:val="TableParagraph"/>
              <w:spacing w:before="47"/>
              <w:ind w:left="72" w:right="98"/>
              <w:jc w:val="center"/>
              <w:rPr>
                <w:sz w:val="16"/>
              </w:rPr>
            </w:pPr>
            <w:r>
              <w:rPr>
                <w:sz w:val="16"/>
              </w:rPr>
              <w:t>68.98</w:t>
            </w:r>
          </w:p>
        </w:tc>
        <w:tc>
          <w:tcPr>
            <w:tcW w:w="719" w:type="dxa"/>
          </w:tcPr>
          <w:p>
            <w:pPr>
              <w:pStyle w:val="TableParagraph"/>
              <w:spacing w:before="47"/>
              <w:ind w:right="159"/>
              <w:rPr>
                <w:sz w:val="16"/>
              </w:rPr>
            </w:pPr>
            <w:r>
              <w:rPr>
                <w:sz w:val="16"/>
              </w:rPr>
              <w:t>11.44</w:t>
            </w:r>
          </w:p>
        </w:tc>
        <w:tc>
          <w:tcPr>
            <w:tcW w:w="595" w:type="dxa"/>
          </w:tcPr>
          <w:p>
            <w:pPr>
              <w:pStyle w:val="TableParagraph"/>
              <w:spacing w:before="47"/>
              <w:ind w:right="157"/>
              <w:rPr>
                <w:sz w:val="16"/>
              </w:rPr>
            </w:pPr>
            <w:r>
              <w:rPr>
                <w:w w:val="99"/>
                <w:sz w:val="16"/>
              </w:rPr>
              <w:t>0</w:t>
            </w:r>
          </w:p>
        </w:tc>
        <w:tc>
          <w:tcPr>
            <w:tcW w:w="569" w:type="dxa"/>
          </w:tcPr>
          <w:p>
            <w:pPr>
              <w:pStyle w:val="TableParagraph"/>
              <w:spacing w:before="47"/>
              <w:ind w:right="135"/>
              <w:rPr>
                <w:sz w:val="16"/>
              </w:rPr>
            </w:pPr>
            <w:r>
              <w:rPr>
                <w:w w:val="99"/>
                <w:sz w:val="16"/>
              </w:rPr>
              <w:t>0</w:t>
            </w:r>
          </w:p>
        </w:tc>
        <w:tc>
          <w:tcPr>
            <w:tcW w:w="571" w:type="dxa"/>
          </w:tcPr>
          <w:p>
            <w:pPr>
              <w:pStyle w:val="TableParagraph"/>
              <w:spacing w:before="47"/>
              <w:ind w:left="115" w:right="136"/>
              <w:jc w:val="center"/>
              <w:rPr>
                <w:sz w:val="16"/>
              </w:rPr>
            </w:pPr>
            <w:r>
              <w:rPr>
                <w:sz w:val="16"/>
              </w:rPr>
              <w:t>0.02</w:t>
            </w:r>
          </w:p>
        </w:tc>
        <w:tc>
          <w:tcPr>
            <w:tcW w:w="554" w:type="dxa"/>
          </w:tcPr>
          <w:p>
            <w:pPr>
              <w:pStyle w:val="TableParagraph"/>
              <w:spacing w:before="47"/>
              <w:ind w:right="120"/>
              <w:rPr>
                <w:sz w:val="16"/>
              </w:rPr>
            </w:pPr>
            <w:r>
              <w:rPr>
                <w:w w:val="99"/>
                <w:sz w:val="16"/>
              </w:rPr>
              <w:t>0</w:t>
            </w:r>
          </w:p>
        </w:tc>
        <w:tc>
          <w:tcPr>
            <w:tcW w:w="754" w:type="dxa"/>
          </w:tcPr>
          <w:p>
            <w:pPr>
              <w:pStyle w:val="TableParagraph"/>
              <w:spacing w:before="47"/>
              <w:ind w:right="273"/>
              <w:rPr>
                <w:sz w:val="16"/>
              </w:rPr>
            </w:pPr>
            <w:r>
              <w:rPr>
                <w:w w:val="95"/>
                <w:sz w:val="16"/>
              </w:rPr>
              <w:t>0.28</w:t>
            </w:r>
          </w:p>
        </w:tc>
        <w:tc>
          <w:tcPr>
            <w:tcW w:w="826" w:type="dxa"/>
          </w:tcPr>
          <w:p>
            <w:pPr>
              <w:pStyle w:val="TableParagraph"/>
              <w:spacing w:before="47"/>
              <w:ind w:left="197"/>
              <w:jc w:val="center"/>
              <w:rPr>
                <w:sz w:val="16"/>
              </w:rPr>
            </w:pPr>
            <w:r>
              <w:rPr>
                <w:w w:val="99"/>
                <w:sz w:val="16"/>
              </w:rPr>
              <w:t>0</w:t>
            </w:r>
          </w:p>
        </w:tc>
        <w:tc>
          <w:tcPr>
            <w:tcW w:w="826" w:type="dxa"/>
          </w:tcPr>
          <w:p>
            <w:pPr>
              <w:pStyle w:val="TableParagraph"/>
              <w:spacing w:before="47"/>
              <w:ind w:right="277"/>
              <w:rPr>
                <w:sz w:val="16"/>
              </w:rPr>
            </w:pPr>
            <w:r>
              <w:rPr>
                <w:w w:val="99"/>
                <w:sz w:val="16"/>
              </w:rPr>
              <w:t>0</w:t>
            </w:r>
          </w:p>
        </w:tc>
        <w:tc>
          <w:tcPr>
            <w:tcW w:w="896" w:type="dxa"/>
          </w:tcPr>
          <w:p>
            <w:pPr>
              <w:pStyle w:val="TableParagraph"/>
              <w:spacing w:before="47"/>
              <w:ind w:right="342"/>
              <w:rPr>
                <w:sz w:val="16"/>
              </w:rPr>
            </w:pPr>
            <w:r>
              <w:rPr>
                <w:w w:val="99"/>
                <w:sz w:val="16"/>
              </w:rPr>
              <w:t>0</w:t>
            </w:r>
          </w:p>
        </w:tc>
        <w:tc>
          <w:tcPr>
            <w:tcW w:w="619" w:type="dxa"/>
          </w:tcPr>
          <w:p>
            <w:pPr>
              <w:pStyle w:val="TableParagraph"/>
              <w:spacing w:before="47"/>
              <w:ind w:right="198"/>
              <w:rPr>
                <w:sz w:val="16"/>
              </w:rPr>
            </w:pPr>
            <w:r>
              <w:rPr>
                <w:w w:val="99"/>
                <w:sz w:val="16"/>
              </w:rPr>
              <w:t>0</w:t>
            </w:r>
          </w:p>
        </w:tc>
      </w:tr>
      <w:tr>
        <w:trPr>
          <w:trHeight w:val="379" w:hRule="exact"/>
        </w:trPr>
        <w:tc>
          <w:tcPr>
            <w:tcW w:w="661" w:type="dxa"/>
          </w:tcPr>
          <w:p>
            <w:pPr>
              <w:pStyle w:val="TableParagraph"/>
              <w:spacing w:before="3"/>
              <w:jc w:val="left"/>
              <w:rPr>
                <w:sz w:val="17"/>
              </w:rPr>
            </w:pPr>
          </w:p>
          <w:p>
            <w:pPr>
              <w:pStyle w:val="TableParagraph"/>
              <w:spacing w:before="0"/>
              <w:ind w:right="132"/>
              <w:rPr>
                <w:sz w:val="16"/>
              </w:rPr>
            </w:pPr>
            <w:r>
              <w:rPr>
                <w:sz w:val="16"/>
              </w:rPr>
              <w:t>2006</w:t>
            </w:r>
          </w:p>
        </w:tc>
        <w:tc>
          <w:tcPr>
            <w:tcW w:w="716" w:type="dxa"/>
          </w:tcPr>
          <w:p>
            <w:pPr>
              <w:pStyle w:val="TableParagraph"/>
              <w:spacing w:before="3"/>
              <w:jc w:val="left"/>
              <w:rPr>
                <w:sz w:val="17"/>
              </w:rPr>
            </w:pPr>
          </w:p>
          <w:p>
            <w:pPr>
              <w:pStyle w:val="TableParagraph"/>
              <w:spacing w:before="0"/>
              <w:ind w:left="116" w:right="118"/>
              <w:jc w:val="center"/>
              <w:rPr>
                <w:sz w:val="16"/>
              </w:rPr>
            </w:pPr>
            <w:r>
              <w:rPr>
                <w:sz w:val="16"/>
              </w:rPr>
              <w:t>950.96</w:t>
            </w:r>
          </w:p>
        </w:tc>
        <w:tc>
          <w:tcPr>
            <w:tcW w:w="718" w:type="dxa"/>
          </w:tcPr>
          <w:p>
            <w:pPr>
              <w:pStyle w:val="TableParagraph"/>
              <w:spacing w:before="3"/>
              <w:jc w:val="left"/>
              <w:rPr>
                <w:sz w:val="17"/>
              </w:rPr>
            </w:pPr>
          </w:p>
          <w:p>
            <w:pPr>
              <w:pStyle w:val="TableParagraph"/>
              <w:spacing w:before="0"/>
              <w:ind w:right="134"/>
              <w:rPr>
                <w:sz w:val="16"/>
              </w:rPr>
            </w:pPr>
            <w:r>
              <w:rPr>
                <w:sz w:val="16"/>
              </w:rPr>
              <w:t>143.27</w:t>
            </w:r>
          </w:p>
        </w:tc>
        <w:tc>
          <w:tcPr>
            <w:tcW w:w="646" w:type="dxa"/>
          </w:tcPr>
          <w:p>
            <w:pPr>
              <w:pStyle w:val="TableParagraph"/>
              <w:spacing w:before="3"/>
              <w:jc w:val="left"/>
              <w:rPr>
                <w:sz w:val="17"/>
              </w:rPr>
            </w:pPr>
          </w:p>
          <w:p>
            <w:pPr>
              <w:pStyle w:val="TableParagraph"/>
              <w:spacing w:before="0"/>
              <w:ind w:right="227"/>
              <w:rPr>
                <w:sz w:val="16"/>
              </w:rPr>
            </w:pPr>
            <w:r>
              <w:rPr>
                <w:w w:val="95"/>
                <w:sz w:val="16"/>
              </w:rPr>
              <w:t>9.11</w:t>
            </w:r>
          </w:p>
        </w:tc>
        <w:tc>
          <w:tcPr>
            <w:tcW w:w="423" w:type="dxa"/>
          </w:tcPr>
          <w:p>
            <w:pPr>
              <w:pStyle w:val="TableParagraph"/>
              <w:spacing w:before="3"/>
              <w:jc w:val="left"/>
              <w:rPr>
                <w:sz w:val="17"/>
              </w:rPr>
            </w:pPr>
          </w:p>
          <w:p>
            <w:pPr>
              <w:pStyle w:val="TableParagraph"/>
              <w:spacing w:before="0"/>
              <w:ind w:left="115"/>
              <w:jc w:val="center"/>
              <w:rPr>
                <w:sz w:val="16"/>
              </w:rPr>
            </w:pPr>
            <w:r>
              <w:rPr>
                <w:w w:val="99"/>
                <w:sz w:val="16"/>
              </w:rPr>
              <w:t>0</w:t>
            </w:r>
          </w:p>
        </w:tc>
        <w:tc>
          <w:tcPr>
            <w:tcW w:w="784" w:type="dxa"/>
          </w:tcPr>
          <w:p>
            <w:pPr>
              <w:pStyle w:val="TableParagraph"/>
              <w:spacing w:before="3"/>
              <w:jc w:val="left"/>
              <w:rPr>
                <w:sz w:val="17"/>
              </w:rPr>
            </w:pPr>
          </w:p>
          <w:p>
            <w:pPr>
              <w:pStyle w:val="TableParagraph"/>
              <w:spacing w:before="0"/>
              <w:ind w:right="225"/>
              <w:rPr>
                <w:sz w:val="16"/>
              </w:rPr>
            </w:pPr>
            <w:r>
              <w:rPr>
                <w:sz w:val="16"/>
              </w:rPr>
              <w:t>118.16</w:t>
            </w:r>
          </w:p>
        </w:tc>
        <w:tc>
          <w:tcPr>
            <w:tcW w:w="421" w:type="dxa"/>
          </w:tcPr>
          <w:p>
            <w:pPr>
              <w:pStyle w:val="TableParagraph"/>
              <w:spacing w:before="3"/>
              <w:jc w:val="left"/>
              <w:rPr>
                <w:sz w:val="17"/>
              </w:rPr>
            </w:pPr>
          </w:p>
          <w:p>
            <w:pPr>
              <w:pStyle w:val="TableParagraph"/>
              <w:spacing w:before="0"/>
              <w:ind w:left="112"/>
              <w:jc w:val="center"/>
              <w:rPr>
                <w:sz w:val="16"/>
              </w:rPr>
            </w:pPr>
            <w:r>
              <w:rPr>
                <w:w w:val="99"/>
                <w:sz w:val="16"/>
              </w:rPr>
              <w:t>0</w:t>
            </w:r>
          </w:p>
        </w:tc>
        <w:tc>
          <w:tcPr>
            <w:tcW w:w="667" w:type="dxa"/>
          </w:tcPr>
          <w:p>
            <w:pPr>
              <w:pStyle w:val="TableParagraph"/>
              <w:spacing w:before="3"/>
              <w:jc w:val="left"/>
              <w:rPr>
                <w:sz w:val="17"/>
              </w:rPr>
            </w:pPr>
          </w:p>
          <w:p>
            <w:pPr>
              <w:pStyle w:val="TableParagraph"/>
              <w:spacing w:before="0"/>
              <w:ind w:left="94" w:right="90"/>
              <w:jc w:val="center"/>
              <w:rPr>
                <w:sz w:val="16"/>
              </w:rPr>
            </w:pPr>
            <w:r>
              <w:rPr>
                <w:sz w:val="16"/>
              </w:rPr>
              <w:t>371.29</w:t>
            </w:r>
          </w:p>
        </w:tc>
        <w:tc>
          <w:tcPr>
            <w:tcW w:w="643" w:type="dxa"/>
          </w:tcPr>
          <w:p>
            <w:pPr>
              <w:pStyle w:val="TableParagraph"/>
              <w:spacing w:before="3"/>
              <w:jc w:val="left"/>
              <w:rPr>
                <w:sz w:val="17"/>
              </w:rPr>
            </w:pPr>
          </w:p>
          <w:p>
            <w:pPr>
              <w:pStyle w:val="TableParagraph"/>
              <w:spacing w:before="0"/>
              <w:ind w:right="88"/>
              <w:rPr>
                <w:sz w:val="16"/>
              </w:rPr>
            </w:pPr>
            <w:r>
              <w:rPr>
                <w:sz w:val="16"/>
              </w:rPr>
              <w:t>607.27</w:t>
            </w:r>
          </w:p>
        </w:tc>
        <w:tc>
          <w:tcPr>
            <w:tcW w:w="571" w:type="dxa"/>
          </w:tcPr>
          <w:p>
            <w:pPr>
              <w:pStyle w:val="TableParagraph"/>
              <w:spacing w:before="3"/>
              <w:jc w:val="left"/>
              <w:rPr>
                <w:sz w:val="17"/>
              </w:rPr>
            </w:pPr>
          </w:p>
          <w:p>
            <w:pPr>
              <w:pStyle w:val="TableParagraph"/>
              <w:spacing w:before="0"/>
              <w:ind w:left="72" w:right="59"/>
              <w:jc w:val="center"/>
              <w:rPr>
                <w:sz w:val="16"/>
              </w:rPr>
            </w:pPr>
            <w:r>
              <w:rPr>
                <w:sz w:val="16"/>
              </w:rPr>
              <w:t>1155</w:t>
            </w:r>
          </w:p>
        </w:tc>
        <w:tc>
          <w:tcPr>
            <w:tcW w:w="719" w:type="dxa"/>
          </w:tcPr>
          <w:p>
            <w:pPr>
              <w:pStyle w:val="TableParagraph"/>
              <w:spacing w:before="3"/>
              <w:jc w:val="left"/>
              <w:rPr>
                <w:sz w:val="17"/>
              </w:rPr>
            </w:pPr>
          </w:p>
          <w:p>
            <w:pPr>
              <w:pStyle w:val="TableParagraph"/>
              <w:spacing w:before="0"/>
              <w:ind w:right="158"/>
              <w:rPr>
                <w:sz w:val="16"/>
              </w:rPr>
            </w:pPr>
            <w:r>
              <w:rPr>
                <w:sz w:val="16"/>
              </w:rPr>
              <w:t>202.67</w:t>
            </w:r>
          </w:p>
        </w:tc>
        <w:tc>
          <w:tcPr>
            <w:tcW w:w="595" w:type="dxa"/>
          </w:tcPr>
          <w:p>
            <w:pPr>
              <w:pStyle w:val="TableParagraph"/>
              <w:spacing w:before="3"/>
              <w:jc w:val="left"/>
              <w:rPr>
                <w:sz w:val="17"/>
              </w:rPr>
            </w:pPr>
          </w:p>
          <w:p>
            <w:pPr>
              <w:pStyle w:val="TableParagraph"/>
              <w:spacing w:before="0"/>
              <w:ind w:right="153"/>
              <w:rPr>
                <w:sz w:val="16"/>
              </w:rPr>
            </w:pPr>
            <w:r>
              <w:rPr>
                <w:w w:val="95"/>
                <w:sz w:val="16"/>
              </w:rPr>
              <w:t>8.62</w:t>
            </w:r>
          </w:p>
        </w:tc>
        <w:tc>
          <w:tcPr>
            <w:tcW w:w="569" w:type="dxa"/>
          </w:tcPr>
          <w:p>
            <w:pPr>
              <w:pStyle w:val="TableParagraph"/>
              <w:spacing w:before="3"/>
              <w:jc w:val="left"/>
              <w:rPr>
                <w:sz w:val="17"/>
              </w:rPr>
            </w:pPr>
          </w:p>
          <w:p>
            <w:pPr>
              <w:pStyle w:val="TableParagraph"/>
              <w:spacing w:before="0"/>
              <w:ind w:right="131"/>
              <w:rPr>
                <w:sz w:val="16"/>
              </w:rPr>
            </w:pPr>
            <w:r>
              <w:rPr>
                <w:w w:val="95"/>
                <w:sz w:val="16"/>
              </w:rPr>
              <w:t>1.79</w:t>
            </w:r>
          </w:p>
        </w:tc>
        <w:tc>
          <w:tcPr>
            <w:tcW w:w="571" w:type="dxa"/>
          </w:tcPr>
          <w:p>
            <w:pPr>
              <w:pStyle w:val="TableParagraph"/>
              <w:spacing w:before="3"/>
              <w:jc w:val="left"/>
              <w:rPr>
                <w:sz w:val="17"/>
              </w:rPr>
            </w:pPr>
          </w:p>
          <w:p>
            <w:pPr>
              <w:pStyle w:val="TableParagraph"/>
              <w:spacing w:before="0"/>
              <w:ind w:left="115" w:right="67"/>
              <w:jc w:val="center"/>
              <w:rPr>
                <w:sz w:val="16"/>
              </w:rPr>
            </w:pPr>
            <w:r>
              <w:rPr>
                <w:sz w:val="16"/>
              </w:rPr>
              <w:t>0.2</w:t>
            </w:r>
          </w:p>
        </w:tc>
        <w:tc>
          <w:tcPr>
            <w:tcW w:w="554" w:type="dxa"/>
          </w:tcPr>
          <w:p>
            <w:pPr>
              <w:pStyle w:val="TableParagraph"/>
              <w:spacing w:before="3"/>
              <w:jc w:val="left"/>
              <w:rPr>
                <w:sz w:val="17"/>
              </w:rPr>
            </w:pPr>
          </w:p>
          <w:p>
            <w:pPr>
              <w:pStyle w:val="TableParagraph"/>
              <w:spacing w:before="0"/>
              <w:ind w:right="114"/>
              <w:rPr>
                <w:sz w:val="16"/>
              </w:rPr>
            </w:pPr>
            <w:r>
              <w:rPr>
                <w:w w:val="95"/>
                <w:sz w:val="16"/>
              </w:rPr>
              <w:t>2.87</w:t>
            </w:r>
          </w:p>
        </w:tc>
        <w:tc>
          <w:tcPr>
            <w:tcW w:w="754" w:type="dxa"/>
          </w:tcPr>
          <w:p>
            <w:pPr>
              <w:pStyle w:val="TableParagraph"/>
              <w:spacing w:before="3"/>
              <w:jc w:val="left"/>
              <w:rPr>
                <w:sz w:val="17"/>
              </w:rPr>
            </w:pPr>
          </w:p>
          <w:p>
            <w:pPr>
              <w:pStyle w:val="TableParagraph"/>
              <w:spacing w:before="0"/>
              <w:ind w:right="273"/>
              <w:rPr>
                <w:sz w:val="16"/>
              </w:rPr>
            </w:pPr>
            <w:r>
              <w:rPr>
                <w:sz w:val="16"/>
              </w:rPr>
              <w:t>138.6</w:t>
            </w:r>
          </w:p>
        </w:tc>
        <w:tc>
          <w:tcPr>
            <w:tcW w:w="826" w:type="dxa"/>
          </w:tcPr>
          <w:p>
            <w:pPr>
              <w:pStyle w:val="TableParagraph"/>
              <w:spacing w:before="3"/>
              <w:jc w:val="left"/>
              <w:rPr>
                <w:sz w:val="17"/>
              </w:rPr>
            </w:pPr>
          </w:p>
          <w:p>
            <w:pPr>
              <w:pStyle w:val="TableParagraph"/>
              <w:spacing w:before="0"/>
              <w:ind w:left="254" w:right="250"/>
              <w:jc w:val="center"/>
              <w:rPr>
                <w:sz w:val="16"/>
              </w:rPr>
            </w:pPr>
            <w:r>
              <w:rPr>
                <w:sz w:val="16"/>
              </w:rPr>
              <w:t>4.92</w:t>
            </w:r>
          </w:p>
        </w:tc>
        <w:tc>
          <w:tcPr>
            <w:tcW w:w="826" w:type="dxa"/>
          </w:tcPr>
          <w:p>
            <w:pPr>
              <w:pStyle w:val="TableParagraph"/>
              <w:spacing w:before="3"/>
              <w:jc w:val="left"/>
              <w:rPr>
                <w:sz w:val="17"/>
              </w:rPr>
            </w:pPr>
          </w:p>
          <w:p>
            <w:pPr>
              <w:pStyle w:val="TableParagraph"/>
              <w:spacing w:before="0"/>
              <w:ind w:right="273"/>
              <w:rPr>
                <w:sz w:val="16"/>
              </w:rPr>
            </w:pPr>
            <w:r>
              <w:rPr>
                <w:w w:val="95"/>
                <w:sz w:val="16"/>
              </w:rPr>
              <w:t>1.47</w:t>
            </w:r>
          </w:p>
        </w:tc>
        <w:tc>
          <w:tcPr>
            <w:tcW w:w="896" w:type="dxa"/>
          </w:tcPr>
          <w:p>
            <w:pPr>
              <w:pStyle w:val="TableParagraph"/>
              <w:spacing w:before="3"/>
              <w:jc w:val="left"/>
              <w:rPr>
                <w:sz w:val="17"/>
              </w:rPr>
            </w:pPr>
          </w:p>
          <w:p>
            <w:pPr>
              <w:pStyle w:val="TableParagraph"/>
              <w:spacing w:before="0"/>
              <w:ind w:right="338"/>
              <w:rPr>
                <w:sz w:val="16"/>
              </w:rPr>
            </w:pPr>
            <w:r>
              <w:rPr>
                <w:w w:val="95"/>
                <w:sz w:val="16"/>
              </w:rPr>
              <w:t>0.94</w:t>
            </w:r>
          </w:p>
        </w:tc>
        <w:tc>
          <w:tcPr>
            <w:tcW w:w="619" w:type="dxa"/>
          </w:tcPr>
          <w:p>
            <w:pPr>
              <w:pStyle w:val="TableParagraph"/>
              <w:spacing w:before="3"/>
              <w:jc w:val="left"/>
              <w:rPr>
                <w:sz w:val="17"/>
              </w:rPr>
            </w:pPr>
          </w:p>
          <w:p>
            <w:pPr>
              <w:pStyle w:val="TableParagraph"/>
              <w:spacing w:before="0"/>
              <w:ind w:right="198"/>
              <w:rPr>
                <w:sz w:val="16"/>
              </w:rPr>
            </w:pPr>
            <w:r>
              <w:rPr>
                <w:w w:val="99"/>
                <w:sz w:val="16"/>
              </w:rPr>
              <w:t>0</w:t>
            </w:r>
          </w:p>
        </w:tc>
      </w:tr>
    </w:tbl>
    <w:p>
      <w:pPr>
        <w:spacing w:after="0"/>
        <w:rPr>
          <w:sz w:val="16"/>
        </w:rPr>
        <w:sectPr>
          <w:footerReference w:type="default" r:id="rId198"/>
          <w:pgSz w:w="15840" w:h="12240" w:orient="landscape"/>
          <w:pgMar w:footer="1414" w:header="0" w:top="1140" w:bottom="1600" w:left="1260" w:right="1180"/>
        </w:sectPr>
      </w:pPr>
    </w:p>
    <w:p>
      <w:pPr>
        <w:pStyle w:val="Heading1"/>
        <w:spacing w:before="49"/>
        <w:ind w:left="1517"/>
      </w:pPr>
      <w:bookmarkStart w:name="_bookmark140" w:id="199"/>
      <w:bookmarkEnd w:id="199"/>
      <w:r>
        <w:rPr>
          <w:b w:val="0"/>
        </w:rPr>
      </w:r>
      <w:r>
        <w:rPr>
          <w:sz w:val="24"/>
        </w:rPr>
        <w:t>Tabla 3. </w:t>
      </w:r>
      <w:r>
        <w:rPr/>
        <w:t>Producción de escurrimientos superficiales por subcuenca (mm)</w:t>
      </w:r>
    </w:p>
    <w:p>
      <w:pPr>
        <w:pStyle w:val="BodyText"/>
        <w:rPr>
          <w:b/>
          <w:sz w:val="18"/>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73"/>
        <w:gridCol w:w="1203"/>
        <w:gridCol w:w="1201"/>
        <w:gridCol w:w="1200"/>
        <w:gridCol w:w="1200"/>
        <w:gridCol w:w="1200"/>
        <w:gridCol w:w="1201"/>
        <w:gridCol w:w="1140"/>
        <w:gridCol w:w="1090"/>
      </w:tblGrid>
      <w:tr>
        <w:trPr>
          <w:trHeight w:val="470" w:hRule="exact"/>
        </w:trPr>
        <w:tc>
          <w:tcPr>
            <w:tcW w:w="1373" w:type="dxa"/>
            <w:tcBorders>
              <w:left w:val="nil"/>
              <w:right w:val="nil"/>
            </w:tcBorders>
          </w:tcPr>
          <w:p>
            <w:pPr>
              <w:pStyle w:val="TableParagraph"/>
              <w:spacing w:before="7"/>
              <w:jc w:val="left"/>
              <w:rPr>
                <w:b/>
                <w:sz w:val="19"/>
              </w:rPr>
            </w:pPr>
          </w:p>
          <w:p>
            <w:pPr>
              <w:pStyle w:val="TableParagraph"/>
              <w:spacing w:before="0"/>
              <w:ind w:left="143"/>
              <w:jc w:val="left"/>
              <w:rPr>
                <w:b/>
                <w:sz w:val="20"/>
              </w:rPr>
            </w:pPr>
            <w:r>
              <w:rPr>
                <w:b/>
                <w:sz w:val="20"/>
              </w:rPr>
              <w:t>Subcuenca</w:t>
            </w:r>
          </w:p>
        </w:tc>
        <w:tc>
          <w:tcPr>
            <w:tcW w:w="1203" w:type="dxa"/>
            <w:tcBorders>
              <w:left w:val="nil"/>
              <w:right w:val="nil"/>
            </w:tcBorders>
          </w:tcPr>
          <w:p>
            <w:pPr>
              <w:pStyle w:val="TableParagraph"/>
              <w:spacing w:before="7"/>
              <w:jc w:val="left"/>
              <w:rPr>
                <w:b/>
                <w:sz w:val="19"/>
              </w:rPr>
            </w:pPr>
          </w:p>
          <w:p>
            <w:pPr>
              <w:pStyle w:val="TableParagraph"/>
              <w:spacing w:before="0"/>
              <w:ind w:left="235"/>
              <w:jc w:val="left"/>
              <w:rPr>
                <w:b/>
                <w:sz w:val="20"/>
              </w:rPr>
            </w:pPr>
            <w:r>
              <w:rPr>
                <w:b/>
                <w:sz w:val="20"/>
              </w:rPr>
              <w:t>2000</w:t>
            </w:r>
          </w:p>
        </w:tc>
        <w:tc>
          <w:tcPr>
            <w:tcW w:w="1201" w:type="dxa"/>
            <w:tcBorders>
              <w:left w:val="nil"/>
              <w:right w:val="nil"/>
            </w:tcBorders>
          </w:tcPr>
          <w:p>
            <w:pPr>
              <w:pStyle w:val="TableParagraph"/>
              <w:spacing w:before="7"/>
              <w:jc w:val="left"/>
              <w:rPr>
                <w:b/>
                <w:sz w:val="19"/>
              </w:rPr>
            </w:pPr>
          </w:p>
          <w:p>
            <w:pPr>
              <w:pStyle w:val="TableParagraph"/>
              <w:spacing w:before="0"/>
              <w:ind w:left="233"/>
              <w:jc w:val="left"/>
              <w:rPr>
                <w:b/>
                <w:sz w:val="20"/>
              </w:rPr>
            </w:pPr>
            <w:r>
              <w:rPr>
                <w:b/>
                <w:sz w:val="20"/>
              </w:rPr>
              <w:t>2001</w:t>
            </w:r>
          </w:p>
        </w:tc>
        <w:tc>
          <w:tcPr>
            <w:tcW w:w="1200" w:type="dxa"/>
            <w:tcBorders>
              <w:left w:val="nil"/>
              <w:right w:val="nil"/>
            </w:tcBorders>
          </w:tcPr>
          <w:p>
            <w:pPr>
              <w:pStyle w:val="TableParagraph"/>
              <w:spacing w:before="7"/>
              <w:jc w:val="left"/>
              <w:rPr>
                <w:b/>
                <w:sz w:val="19"/>
              </w:rPr>
            </w:pPr>
          </w:p>
          <w:p>
            <w:pPr>
              <w:pStyle w:val="TableParagraph"/>
              <w:spacing w:before="0"/>
              <w:ind w:left="233"/>
              <w:jc w:val="left"/>
              <w:rPr>
                <w:b/>
                <w:sz w:val="20"/>
              </w:rPr>
            </w:pPr>
            <w:r>
              <w:rPr>
                <w:b/>
                <w:sz w:val="20"/>
              </w:rPr>
              <w:t>2002</w:t>
            </w:r>
          </w:p>
        </w:tc>
        <w:tc>
          <w:tcPr>
            <w:tcW w:w="1200" w:type="dxa"/>
            <w:tcBorders>
              <w:left w:val="nil"/>
              <w:right w:val="nil"/>
            </w:tcBorders>
          </w:tcPr>
          <w:p>
            <w:pPr>
              <w:pStyle w:val="TableParagraph"/>
              <w:spacing w:before="7"/>
              <w:jc w:val="left"/>
              <w:rPr>
                <w:b/>
                <w:sz w:val="19"/>
              </w:rPr>
            </w:pPr>
          </w:p>
          <w:p>
            <w:pPr>
              <w:pStyle w:val="TableParagraph"/>
              <w:spacing w:before="0"/>
              <w:ind w:left="233"/>
              <w:jc w:val="left"/>
              <w:rPr>
                <w:b/>
                <w:sz w:val="20"/>
              </w:rPr>
            </w:pPr>
            <w:r>
              <w:rPr>
                <w:b/>
                <w:sz w:val="20"/>
              </w:rPr>
              <w:t>2003</w:t>
            </w:r>
          </w:p>
        </w:tc>
        <w:tc>
          <w:tcPr>
            <w:tcW w:w="1200" w:type="dxa"/>
            <w:tcBorders>
              <w:left w:val="nil"/>
              <w:right w:val="nil"/>
            </w:tcBorders>
          </w:tcPr>
          <w:p>
            <w:pPr>
              <w:pStyle w:val="TableParagraph"/>
              <w:spacing w:before="7"/>
              <w:jc w:val="left"/>
              <w:rPr>
                <w:b/>
                <w:sz w:val="19"/>
              </w:rPr>
            </w:pPr>
          </w:p>
          <w:p>
            <w:pPr>
              <w:pStyle w:val="TableParagraph"/>
              <w:spacing w:before="0"/>
              <w:ind w:left="233"/>
              <w:jc w:val="left"/>
              <w:rPr>
                <w:b/>
                <w:sz w:val="20"/>
              </w:rPr>
            </w:pPr>
            <w:r>
              <w:rPr>
                <w:b/>
                <w:sz w:val="20"/>
              </w:rPr>
              <w:t>2004</w:t>
            </w:r>
          </w:p>
        </w:tc>
        <w:tc>
          <w:tcPr>
            <w:tcW w:w="1201" w:type="dxa"/>
            <w:tcBorders>
              <w:left w:val="nil"/>
              <w:right w:val="nil"/>
            </w:tcBorders>
          </w:tcPr>
          <w:p>
            <w:pPr>
              <w:pStyle w:val="TableParagraph"/>
              <w:spacing w:before="7"/>
              <w:jc w:val="left"/>
              <w:rPr>
                <w:b/>
                <w:sz w:val="19"/>
              </w:rPr>
            </w:pPr>
          </w:p>
          <w:p>
            <w:pPr>
              <w:pStyle w:val="TableParagraph"/>
              <w:spacing w:before="0"/>
              <w:ind w:left="232"/>
              <w:jc w:val="left"/>
              <w:rPr>
                <w:b/>
                <w:sz w:val="20"/>
              </w:rPr>
            </w:pPr>
            <w:r>
              <w:rPr>
                <w:b/>
                <w:sz w:val="20"/>
              </w:rPr>
              <w:t>2005</w:t>
            </w:r>
          </w:p>
        </w:tc>
        <w:tc>
          <w:tcPr>
            <w:tcW w:w="1140" w:type="dxa"/>
            <w:tcBorders>
              <w:left w:val="nil"/>
              <w:right w:val="nil"/>
            </w:tcBorders>
          </w:tcPr>
          <w:p>
            <w:pPr>
              <w:pStyle w:val="TableParagraph"/>
              <w:spacing w:before="7"/>
              <w:jc w:val="left"/>
              <w:rPr>
                <w:b/>
                <w:sz w:val="19"/>
              </w:rPr>
            </w:pPr>
          </w:p>
          <w:p>
            <w:pPr>
              <w:pStyle w:val="TableParagraph"/>
              <w:spacing w:before="0"/>
              <w:ind w:left="232"/>
              <w:jc w:val="left"/>
              <w:rPr>
                <w:b/>
                <w:sz w:val="20"/>
              </w:rPr>
            </w:pPr>
            <w:r>
              <w:rPr>
                <w:b/>
                <w:sz w:val="20"/>
              </w:rPr>
              <w:t>2006</w:t>
            </w:r>
          </w:p>
        </w:tc>
        <w:tc>
          <w:tcPr>
            <w:tcW w:w="1090" w:type="dxa"/>
            <w:tcBorders>
              <w:left w:val="nil"/>
              <w:right w:val="nil"/>
            </w:tcBorders>
          </w:tcPr>
          <w:p>
            <w:pPr>
              <w:pStyle w:val="TableParagraph"/>
              <w:spacing w:before="0"/>
              <w:ind w:left="172" w:right="265" w:firstLine="91"/>
              <w:jc w:val="left"/>
              <w:rPr>
                <w:b/>
                <w:sz w:val="20"/>
              </w:rPr>
            </w:pPr>
            <w:r>
              <w:rPr>
                <w:b/>
                <w:sz w:val="20"/>
              </w:rPr>
              <w:t>Total general</w:t>
            </w:r>
          </w:p>
        </w:tc>
      </w:tr>
      <w:tr>
        <w:trPr>
          <w:trHeight w:val="342" w:hRule="exact"/>
        </w:trPr>
        <w:tc>
          <w:tcPr>
            <w:tcW w:w="1373" w:type="dxa"/>
            <w:tcBorders>
              <w:left w:val="nil"/>
              <w:bottom w:val="nil"/>
              <w:right w:val="nil"/>
            </w:tcBorders>
          </w:tcPr>
          <w:p>
            <w:pPr>
              <w:pStyle w:val="TableParagraph"/>
              <w:spacing w:before="63"/>
              <w:ind w:right="233"/>
              <w:rPr>
                <w:sz w:val="20"/>
              </w:rPr>
            </w:pPr>
            <w:r>
              <w:rPr>
                <w:w w:val="100"/>
                <w:sz w:val="20"/>
              </w:rPr>
              <w:t>1</w:t>
            </w:r>
          </w:p>
        </w:tc>
        <w:tc>
          <w:tcPr>
            <w:tcW w:w="1203" w:type="dxa"/>
            <w:tcBorders>
              <w:left w:val="nil"/>
              <w:bottom w:val="nil"/>
              <w:right w:val="nil"/>
            </w:tcBorders>
          </w:tcPr>
          <w:p>
            <w:pPr>
              <w:pStyle w:val="TableParagraph"/>
              <w:spacing w:before="63"/>
              <w:ind w:right="231"/>
              <w:rPr>
                <w:sz w:val="20"/>
              </w:rPr>
            </w:pPr>
            <w:r>
              <w:rPr>
                <w:sz w:val="20"/>
              </w:rPr>
              <w:t>0.50</w:t>
            </w:r>
          </w:p>
        </w:tc>
        <w:tc>
          <w:tcPr>
            <w:tcW w:w="1201" w:type="dxa"/>
            <w:tcBorders>
              <w:left w:val="nil"/>
              <w:bottom w:val="nil"/>
              <w:right w:val="nil"/>
            </w:tcBorders>
          </w:tcPr>
          <w:p>
            <w:pPr>
              <w:pStyle w:val="TableParagraph"/>
              <w:spacing w:before="63"/>
              <w:ind w:right="231"/>
              <w:rPr>
                <w:sz w:val="20"/>
              </w:rPr>
            </w:pPr>
            <w:r>
              <w:rPr>
                <w:sz w:val="20"/>
              </w:rPr>
              <w:t>0.61</w:t>
            </w:r>
          </w:p>
        </w:tc>
        <w:tc>
          <w:tcPr>
            <w:tcW w:w="1200" w:type="dxa"/>
            <w:tcBorders>
              <w:left w:val="nil"/>
              <w:bottom w:val="nil"/>
              <w:right w:val="nil"/>
            </w:tcBorders>
          </w:tcPr>
          <w:p>
            <w:pPr>
              <w:pStyle w:val="TableParagraph"/>
              <w:spacing w:before="63"/>
              <w:ind w:right="231"/>
              <w:rPr>
                <w:sz w:val="20"/>
              </w:rPr>
            </w:pPr>
            <w:r>
              <w:rPr>
                <w:sz w:val="20"/>
              </w:rPr>
              <w:t>0.78</w:t>
            </w:r>
          </w:p>
        </w:tc>
        <w:tc>
          <w:tcPr>
            <w:tcW w:w="1200" w:type="dxa"/>
            <w:tcBorders>
              <w:left w:val="nil"/>
              <w:bottom w:val="nil"/>
              <w:right w:val="nil"/>
            </w:tcBorders>
          </w:tcPr>
          <w:p>
            <w:pPr>
              <w:pStyle w:val="TableParagraph"/>
              <w:spacing w:before="63"/>
              <w:ind w:right="231"/>
              <w:rPr>
                <w:sz w:val="20"/>
              </w:rPr>
            </w:pPr>
            <w:r>
              <w:rPr>
                <w:sz w:val="20"/>
              </w:rPr>
              <w:t>0.33</w:t>
            </w:r>
          </w:p>
        </w:tc>
        <w:tc>
          <w:tcPr>
            <w:tcW w:w="1200" w:type="dxa"/>
            <w:tcBorders>
              <w:left w:val="nil"/>
              <w:bottom w:val="nil"/>
              <w:right w:val="nil"/>
            </w:tcBorders>
          </w:tcPr>
          <w:p>
            <w:pPr>
              <w:pStyle w:val="TableParagraph"/>
              <w:spacing w:before="63"/>
              <w:ind w:right="230"/>
              <w:rPr>
                <w:sz w:val="20"/>
              </w:rPr>
            </w:pPr>
            <w:r>
              <w:rPr>
                <w:sz w:val="20"/>
              </w:rPr>
              <w:t>0.33</w:t>
            </w:r>
          </w:p>
        </w:tc>
        <w:tc>
          <w:tcPr>
            <w:tcW w:w="1201" w:type="dxa"/>
            <w:tcBorders>
              <w:left w:val="nil"/>
              <w:bottom w:val="nil"/>
              <w:right w:val="nil"/>
            </w:tcBorders>
          </w:tcPr>
          <w:p>
            <w:pPr>
              <w:pStyle w:val="TableParagraph"/>
              <w:spacing w:before="63"/>
              <w:ind w:right="230"/>
              <w:rPr>
                <w:sz w:val="20"/>
              </w:rPr>
            </w:pPr>
            <w:r>
              <w:rPr>
                <w:sz w:val="20"/>
              </w:rPr>
              <w:t>0.16</w:t>
            </w:r>
          </w:p>
        </w:tc>
        <w:tc>
          <w:tcPr>
            <w:tcW w:w="1140" w:type="dxa"/>
            <w:tcBorders>
              <w:left w:val="nil"/>
              <w:bottom w:val="nil"/>
              <w:right w:val="nil"/>
            </w:tcBorders>
          </w:tcPr>
          <w:p>
            <w:pPr>
              <w:pStyle w:val="TableParagraph"/>
              <w:spacing w:before="63"/>
              <w:ind w:right="170"/>
              <w:rPr>
                <w:sz w:val="20"/>
              </w:rPr>
            </w:pPr>
            <w:r>
              <w:rPr>
                <w:sz w:val="20"/>
              </w:rPr>
              <w:t>0.46</w:t>
            </w:r>
          </w:p>
        </w:tc>
        <w:tc>
          <w:tcPr>
            <w:tcW w:w="1090" w:type="dxa"/>
            <w:tcBorders>
              <w:left w:val="nil"/>
              <w:bottom w:val="nil"/>
              <w:right w:val="nil"/>
            </w:tcBorders>
          </w:tcPr>
          <w:p>
            <w:pPr>
              <w:pStyle w:val="TableParagraph"/>
              <w:spacing w:before="63"/>
              <w:ind w:right="60"/>
              <w:rPr>
                <w:sz w:val="20"/>
              </w:rPr>
            </w:pPr>
            <w:r>
              <w:rPr>
                <w:sz w:val="20"/>
              </w:rPr>
              <w:t>3.19</w:t>
            </w:r>
          </w:p>
        </w:tc>
      </w:tr>
      <w:tr>
        <w:trPr>
          <w:trHeight w:val="300" w:hRule="exact"/>
        </w:trPr>
        <w:tc>
          <w:tcPr>
            <w:tcW w:w="1373" w:type="dxa"/>
            <w:tcBorders>
              <w:top w:val="nil"/>
              <w:left w:val="nil"/>
              <w:bottom w:val="nil"/>
              <w:right w:val="nil"/>
            </w:tcBorders>
          </w:tcPr>
          <w:p>
            <w:pPr>
              <w:pStyle w:val="TableParagraph"/>
              <w:ind w:right="233"/>
              <w:rPr>
                <w:sz w:val="20"/>
              </w:rPr>
            </w:pPr>
            <w:r>
              <w:rPr>
                <w:w w:val="100"/>
                <w:sz w:val="20"/>
              </w:rPr>
              <w:t>2</w:t>
            </w:r>
          </w:p>
        </w:tc>
        <w:tc>
          <w:tcPr>
            <w:tcW w:w="1203" w:type="dxa"/>
            <w:tcBorders>
              <w:top w:val="nil"/>
              <w:left w:val="nil"/>
              <w:bottom w:val="nil"/>
              <w:right w:val="nil"/>
            </w:tcBorders>
          </w:tcPr>
          <w:p>
            <w:pPr>
              <w:pStyle w:val="TableParagraph"/>
              <w:ind w:right="231"/>
              <w:rPr>
                <w:sz w:val="20"/>
              </w:rPr>
            </w:pPr>
            <w:r>
              <w:rPr>
                <w:sz w:val="20"/>
              </w:rPr>
              <w:t>0.32</w:t>
            </w:r>
          </w:p>
        </w:tc>
        <w:tc>
          <w:tcPr>
            <w:tcW w:w="1201" w:type="dxa"/>
            <w:tcBorders>
              <w:top w:val="nil"/>
              <w:left w:val="nil"/>
              <w:bottom w:val="nil"/>
              <w:right w:val="nil"/>
            </w:tcBorders>
          </w:tcPr>
          <w:p>
            <w:pPr>
              <w:pStyle w:val="TableParagraph"/>
              <w:ind w:right="231"/>
              <w:rPr>
                <w:sz w:val="20"/>
              </w:rPr>
            </w:pPr>
            <w:r>
              <w:rPr>
                <w:sz w:val="20"/>
              </w:rPr>
              <w:t>0.50</w:t>
            </w:r>
          </w:p>
        </w:tc>
        <w:tc>
          <w:tcPr>
            <w:tcW w:w="1200" w:type="dxa"/>
            <w:tcBorders>
              <w:top w:val="nil"/>
              <w:left w:val="nil"/>
              <w:bottom w:val="nil"/>
              <w:right w:val="nil"/>
            </w:tcBorders>
          </w:tcPr>
          <w:p>
            <w:pPr>
              <w:pStyle w:val="TableParagraph"/>
              <w:ind w:right="231"/>
              <w:rPr>
                <w:sz w:val="20"/>
              </w:rPr>
            </w:pPr>
            <w:r>
              <w:rPr>
                <w:sz w:val="20"/>
              </w:rPr>
              <w:t>0.64</w:t>
            </w:r>
          </w:p>
        </w:tc>
        <w:tc>
          <w:tcPr>
            <w:tcW w:w="1200" w:type="dxa"/>
            <w:tcBorders>
              <w:top w:val="nil"/>
              <w:left w:val="nil"/>
              <w:bottom w:val="nil"/>
              <w:right w:val="nil"/>
            </w:tcBorders>
          </w:tcPr>
          <w:p>
            <w:pPr>
              <w:pStyle w:val="TableParagraph"/>
              <w:ind w:right="231"/>
              <w:rPr>
                <w:sz w:val="20"/>
              </w:rPr>
            </w:pPr>
            <w:r>
              <w:rPr>
                <w:sz w:val="20"/>
              </w:rPr>
              <w:t>0.30</w:t>
            </w:r>
          </w:p>
        </w:tc>
        <w:tc>
          <w:tcPr>
            <w:tcW w:w="1200" w:type="dxa"/>
            <w:tcBorders>
              <w:top w:val="nil"/>
              <w:left w:val="nil"/>
              <w:bottom w:val="nil"/>
              <w:right w:val="nil"/>
            </w:tcBorders>
          </w:tcPr>
          <w:p>
            <w:pPr>
              <w:pStyle w:val="TableParagraph"/>
              <w:ind w:right="230"/>
              <w:rPr>
                <w:sz w:val="20"/>
              </w:rPr>
            </w:pPr>
            <w:r>
              <w:rPr>
                <w:sz w:val="20"/>
              </w:rPr>
              <w:t>0.23</w:t>
            </w:r>
          </w:p>
        </w:tc>
        <w:tc>
          <w:tcPr>
            <w:tcW w:w="1201" w:type="dxa"/>
            <w:tcBorders>
              <w:top w:val="nil"/>
              <w:left w:val="nil"/>
              <w:bottom w:val="nil"/>
              <w:right w:val="nil"/>
            </w:tcBorders>
          </w:tcPr>
          <w:p>
            <w:pPr>
              <w:pStyle w:val="TableParagraph"/>
              <w:ind w:right="230"/>
              <w:rPr>
                <w:sz w:val="20"/>
              </w:rPr>
            </w:pPr>
            <w:r>
              <w:rPr>
                <w:sz w:val="20"/>
              </w:rPr>
              <w:t>0.13</w:t>
            </w:r>
          </w:p>
        </w:tc>
        <w:tc>
          <w:tcPr>
            <w:tcW w:w="1140" w:type="dxa"/>
            <w:tcBorders>
              <w:top w:val="nil"/>
              <w:left w:val="nil"/>
              <w:bottom w:val="nil"/>
              <w:right w:val="nil"/>
            </w:tcBorders>
          </w:tcPr>
          <w:p>
            <w:pPr>
              <w:pStyle w:val="TableParagraph"/>
              <w:ind w:right="170"/>
              <w:rPr>
                <w:sz w:val="20"/>
              </w:rPr>
            </w:pPr>
            <w:r>
              <w:rPr>
                <w:sz w:val="20"/>
              </w:rPr>
              <w:t>0.29</w:t>
            </w:r>
          </w:p>
        </w:tc>
        <w:tc>
          <w:tcPr>
            <w:tcW w:w="1090" w:type="dxa"/>
            <w:tcBorders>
              <w:top w:val="nil"/>
              <w:left w:val="nil"/>
              <w:bottom w:val="nil"/>
              <w:right w:val="nil"/>
            </w:tcBorders>
          </w:tcPr>
          <w:p>
            <w:pPr>
              <w:pStyle w:val="TableParagraph"/>
              <w:ind w:right="60"/>
              <w:rPr>
                <w:sz w:val="20"/>
              </w:rPr>
            </w:pPr>
            <w:r>
              <w:rPr>
                <w:sz w:val="20"/>
              </w:rPr>
              <w:t>2.42</w:t>
            </w:r>
          </w:p>
        </w:tc>
      </w:tr>
      <w:tr>
        <w:trPr>
          <w:trHeight w:val="300" w:hRule="exact"/>
        </w:trPr>
        <w:tc>
          <w:tcPr>
            <w:tcW w:w="1373" w:type="dxa"/>
            <w:tcBorders>
              <w:top w:val="nil"/>
              <w:left w:val="nil"/>
              <w:bottom w:val="nil"/>
              <w:right w:val="nil"/>
            </w:tcBorders>
          </w:tcPr>
          <w:p>
            <w:pPr>
              <w:pStyle w:val="TableParagraph"/>
              <w:spacing w:before="26"/>
              <w:ind w:right="233"/>
              <w:rPr>
                <w:sz w:val="20"/>
              </w:rPr>
            </w:pPr>
            <w:r>
              <w:rPr>
                <w:w w:val="100"/>
                <w:sz w:val="20"/>
              </w:rPr>
              <w:t>3</w:t>
            </w:r>
          </w:p>
        </w:tc>
        <w:tc>
          <w:tcPr>
            <w:tcW w:w="1203" w:type="dxa"/>
            <w:tcBorders>
              <w:top w:val="nil"/>
              <w:left w:val="nil"/>
              <w:bottom w:val="nil"/>
              <w:right w:val="nil"/>
            </w:tcBorders>
          </w:tcPr>
          <w:p>
            <w:pPr>
              <w:pStyle w:val="TableParagraph"/>
              <w:spacing w:before="26"/>
              <w:ind w:right="231"/>
              <w:rPr>
                <w:sz w:val="20"/>
              </w:rPr>
            </w:pPr>
            <w:r>
              <w:rPr>
                <w:sz w:val="20"/>
              </w:rPr>
              <w:t>0.29</w:t>
            </w:r>
          </w:p>
        </w:tc>
        <w:tc>
          <w:tcPr>
            <w:tcW w:w="1201" w:type="dxa"/>
            <w:tcBorders>
              <w:top w:val="nil"/>
              <w:left w:val="nil"/>
              <w:bottom w:val="nil"/>
              <w:right w:val="nil"/>
            </w:tcBorders>
          </w:tcPr>
          <w:p>
            <w:pPr>
              <w:pStyle w:val="TableParagraph"/>
              <w:spacing w:before="26"/>
              <w:ind w:right="231"/>
              <w:rPr>
                <w:sz w:val="20"/>
              </w:rPr>
            </w:pPr>
            <w:r>
              <w:rPr>
                <w:sz w:val="20"/>
              </w:rPr>
              <w:t>0.58</w:t>
            </w:r>
          </w:p>
        </w:tc>
        <w:tc>
          <w:tcPr>
            <w:tcW w:w="1200" w:type="dxa"/>
            <w:tcBorders>
              <w:top w:val="nil"/>
              <w:left w:val="nil"/>
              <w:bottom w:val="nil"/>
              <w:right w:val="nil"/>
            </w:tcBorders>
          </w:tcPr>
          <w:p>
            <w:pPr>
              <w:pStyle w:val="TableParagraph"/>
              <w:spacing w:before="26"/>
              <w:ind w:right="231"/>
              <w:rPr>
                <w:sz w:val="20"/>
              </w:rPr>
            </w:pPr>
            <w:r>
              <w:rPr>
                <w:sz w:val="20"/>
              </w:rPr>
              <w:t>1.38</w:t>
            </w:r>
          </w:p>
        </w:tc>
        <w:tc>
          <w:tcPr>
            <w:tcW w:w="1200" w:type="dxa"/>
            <w:tcBorders>
              <w:top w:val="nil"/>
              <w:left w:val="nil"/>
              <w:bottom w:val="nil"/>
              <w:right w:val="nil"/>
            </w:tcBorders>
          </w:tcPr>
          <w:p>
            <w:pPr>
              <w:pStyle w:val="TableParagraph"/>
              <w:spacing w:before="26"/>
              <w:ind w:right="231"/>
              <w:rPr>
                <w:sz w:val="20"/>
              </w:rPr>
            </w:pPr>
            <w:r>
              <w:rPr>
                <w:sz w:val="20"/>
              </w:rPr>
              <w:t>1.41</w:t>
            </w:r>
          </w:p>
        </w:tc>
        <w:tc>
          <w:tcPr>
            <w:tcW w:w="1200" w:type="dxa"/>
            <w:tcBorders>
              <w:top w:val="nil"/>
              <w:left w:val="nil"/>
              <w:bottom w:val="nil"/>
              <w:right w:val="nil"/>
            </w:tcBorders>
          </w:tcPr>
          <w:p>
            <w:pPr>
              <w:pStyle w:val="TableParagraph"/>
              <w:spacing w:before="26"/>
              <w:ind w:right="230"/>
              <w:rPr>
                <w:sz w:val="20"/>
              </w:rPr>
            </w:pPr>
            <w:r>
              <w:rPr>
                <w:sz w:val="20"/>
              </w:rPr>
              <w:t>1.11</w:t>
            </w:r>
          </w:p>
        </w:tc>
        <w:tc>
          <w:tcPr>
            <w:tcW w:w="1201" w:type="dxa"/>
            <w:tcBorders>
              <w:top w:val="nil"/>
              <w:left w:val="nil"/>
              <w:bottom w:val="nil"/>
              <w:right w:val="nil"/>
            </w:tcBorders>
          </w:tcPr>
          <w:p>
            <w:pPr>
              <w:pStyle w:val="TableParagraph"/>
              <w:spacing w:before="26"/>
              <w:ind w:right="230"/>
              <w:rPr>
                <w:sz w:val="20"/>
              </w:rPr>
            </w:pPr>
            <w:r>
              <w:rPr>
                <w:sz w:val="20"/>
              </w:rPr>
              <w:t>0.82</w:t>
            </w:r>
          </w:p>
        </w:tc>
        <w:tc>
          <w:tcPr>
            <w:tcW w:w="1140" w:type="dxa"/>
            <w:tcBorders>
              <w:top w:val="nil"/>
              <w:left w:val="nil"/>
              <w:bottom w:val="nil"/>
              <w:right w:val="nil"/>
            </w:tcBorders>
          </w:tcPr>
          <w:p>
            <w:pPr>
              <w:pStyle w:val="TableParagraph"/>
              <w:spacing w:before="26"/>
              <w:ind w:right="170"/>
              <w:rPr>
                <w:sz w:val="20"/>
              </w:rPr>
            </w:pPr>
            <w:r>
              <w:rPr>
                <w:sz w:val="20"/>
              </w:rPr>
              <w:t>0.69</w:t>
            </w:r>
          </w:p>
        </w:tc>
        <w:tc>
          <w:tcPr>
            <w:tcW w:w="1090" w:type="dxa"/>
            <w:tcBorders>
              <w:top w:val="nil"/>
              <w:left w:val="nil"/>
              <w:bottom w:val="nil"/>
              <w:right w:val="nil"/>
            </w:tcBorders>
          </w:tcPr>
          <w:p>
            <w:pPr>
              <w:pStyle w:val="TableParagraph"/>
              <w:spacing w:before="26"/>
              <w:ind w:right="60"/>
              <w:rPr>
                <w:sz w:val="20"/>
              </w:rPr>
            </w:pPr>
            <w:r>
              <w:rPr>
                <w:sz w:val="20"/>
              </w:rPr>
              <w:t>6.27</w:t>
            </w:r>
          </w:p>
        </w:tc>
      </w:tr>
      <w:tr>
        <w:trPr>
          <w:trHeight w:val="300" w:hRule="exact"/>
        </w:trPr>
        <w:tc>
          <w:tcPr>
            <w:tcW w:w="1373" w:type="dxa"/>
            <w:tcBorders>
              <w:top w:val="nil"/>
              <w:left w:val="nil"/>
              <w:bottom w:val="nil"/>
              <w:right w:val="nil"/>
            </w:tcBorders>
          </w:tcPr>
          <w:p>
            <w:pPr>
              <w:pStyle w:val="TableParagraph"/>
              <w:ind w:right="233"/>
              <w:rPr>
                <w:sz w:val="20"/>
              </w:rPr>
            </w:pPr>
            <w:r>
              <w:rPr>
                <w:w w:val="100"/>
                <w:sz w:val="20"/>
              </w:rPr>
              <w:t>4</w:t>
            </w:r>
          </w:p>
        </w:tc>
        <w:tc>
          <w:tcPr>
            <w:tcW w:w="1203" w:type="dxa"/>
            <w:tcBorders>
              <w:top w:val="nil"/>
              <w:left w:val="nil"/>
              <w:bottom w:val="nil"/>
              <w:right w:val="nil"/>
            </w:tcBorders>
          </w:tcPr>
          <w:p>
            <w:pPr>
              <w:pStyle w:val="TableParagraph"/>
              <w:ind w:right="231"/>
              <w:rPr>
                <w:sz w:val="20"/>
              </w:rPr>
            </w:pPr>
            <w:r>
              <w:rPr>
                <w:sz w:val="20"/>
              </w:rPr>
              <w:t>1.10</w:t>
            </w:r>
          </w:p>
        </w:tc>
        <w:tc>
          <w:tcPr>
            <w:tcW w:w="1201" w:type="dxa"/>
            <w:tcBorders>
              <w:top w:val="nil"/>
              <w:left w:val="nil"/>
              <w:bottom w:val="nil"/>
              <w:right w:val="nil"/>
            </w:tcBorders>
          </w:tcPr>
          <w:p>
            <w:pPr>
              <w:pStyle w:val="TableParagraph"/>
              <w:ind w:right="231"/>
              <w:rPr>
                <w:sz w:val="20"/>
              </w:rPr>
            </w:pPr>
            <w:r>
              <w:rPr>
                <w:sz w:val="20"/>
              </w:rPr>
              <w:t>1.34</w:t>
            </w:r>
          </w:p>
        </w:tc>
        <w:tc>
          <w:tcPr>
            <w:tcW w:w="1200" w:type="dxa"/>
            <w:tcBorders>
              <w:top w:val="nil"/>
              <w:left w:val="nil"/>
              <w:bottom w:val="nil"/>
              <w:right w:val="nil"/>
            </w:tcBorders>
          </w:tcPr>
          <w:p>
            <w:pPr>
              <w:pStyle w:val="TableParagraph"/>
              <w:ind w:right="231"/>
              <w:rPr>
                <w:sz w:val="20"/>
              </w:rPr>
            </w:pPr>
            <w:r>
              <w:rPr>
                <w:sz w:val="20"/>
              </w:rPr>
              <w:t>1.80</w:t>
            </w:r>
          </w:p>
        </w:tc>
        <w:tc>
          <w:tcPr>
            <w:tcW w:w="1200" w:type="dxa"/>
            <w:tcBorders>
              <w:top w:val="nil"/>
              <w:left w:val="nil"/>
              <w:bottom w:val="nil"/>
              <w:right w:val="nil"/>
            </w:tcBorders>
          </w:tcPr>
          <w:p>
            <w:pPr>
              <w:pStyle w:val="TableParagraph"/>
              <w:ind w:right="231"/>
              <w:rPr>
                <w:sz w:val="20"/>
              </w:rPr>
            </w:pPr>
            <w:r>
              <w:rPr>
                <w:sz w:val="20"/>
              </w:rPr>
              <w:t>0.73</w:t>
            </w:r>
          </w:p>
        </w:tc>
        <w:tc>
          <w:tcPr>
            <w:tcW w:w="1200" w:type="dxa"/>
            <w:tcBorders>
              <w:top w:val="nil"/>
              <w:left w:val="nil"/>
              <w:bottom w:val="nil"/>
              <w:right w:val="nil"/>
            </w:tcBorders>
          </w:tcPr>
          <w:p>
            <w:pPr>
              <w:pStyle w:val="TableParagraph"/>
              <w:ind w:right="230"/>
              <w:rPr>
                <w:sz w:val="20"/>
              </w:rPr>
            </w:pPr>
            <w:r>
              <w:rPr>
                <w:sz w:val="20"/>
              </w:rPr>
              <w:t>0.73</w:t>
            </w:r>
          </w:p>
        </w:tc>
        <w:tc>
          <w:tcPr>
            <w:tcW w:w="1201" w:type="dxa"/>
            <w:tcBorders>
              <w:top w:val="nil"/>
              <w:left w:val="nil"/>
              <w:bottom w:val="nil"/>
              <w:right w:val="nil"/>
            </w:tcBorders>
          </w:tcPr>
          <w:p>
            <w:pPr>
              <w:pStyle w:val="TableParagraph"/>
              <w:ind w:right="230"/>
              <w:rPr>
                <w:sz w:val="20"/>
              </w:rPr>
            </w:pPr>
            <w:r>
              <w:rPr>
                <w:sz w:val="20"/>
              </w:rPr>
              <w:t>0.32</w:t>
            </w:r>
          </w:p>
        </w:tc>
        <w:tc>
          <w:tcPr>
            <w:tcW w:w="1140" w:type="dxa"/>
            <w:tcBorders>
              <w:top w:val="nil"/>
              <w:left w:val="nil"/>
              <w:bottom w:val="nil"/>
              <w:right w:val="nil"/>
            </w:tcBorders>
          </w:tcPr>
          <w:p>
            <w:pPr>
              <w:pStyle w:val="TableParagraph"/>
              <w:ind w:right="170"/>
              <w:rPr>
                <w:sz w:val="20"/>
              </w:rPr>
            </w:pPr>
            <w:r>
              <w:rPr>
                <w:sz w:val="20"/>
              </w:rPr>
              <w:t>1.04</w:t>
            </w:r>
          </w:p>
        </w:tc>
        <w:tc>
          <w:tcPr>
            <w:tcW w:w="1090" w:type="dxa"/>
            <w:tcBorders>
              <w:top w:val="nil"/>
              <w:left w:val="nil"/>
              <w:bottom w:val="nil"/>
              <w:right w:val="nil"/>
            </w:tcBorders>
          </w:tcPr>
          <w:p>
            <w:pPr>
              <w:pStyle w:val="TableParagraph"/>
              <w:ind w:right="60"/>
              <w:rPr>
                <w:sz w:val="20"/>
              </w:rPr>
            </w:pPr>
            <w:r>
              <w:rPr>
                <w:sz w:val="20"/>
              </w:rPr>
              <w:t>7.06</w:t>
            </w:r>
          </w:p>
        </w:tc>
      </w:tr>
      <w:tr>
        <w:trPr>
          <w:trHeight w:val="300" w:hRule="exact"/>
        </w:trPr>
        <w:tc>
          <w:tcPr>
            <w:tcW w:w="1373" w:type="dxa"/>
            <w:tcBorders>
              <w:top w:val="nil"/>
              <w:left w:val="nil"/>
              <w:bottom w:val="nil"/>
              <w:right w:val="nil"/>
            </w:tcBorders>
          </w:tcPr>
          <w:p>
            <w:pPr>
              <w:pStyle w:val="TableParagraph"/>
              <w:spacing w:before="26"/>
              <w:ind w:right="233"/>
              <w:rPr>
                <w:sz w:val="20"/>
              </w:rPr>
            </w:pPr>
            <w:r>
              <w:rPr>
                <w:w w:val="100"/>
                <w:sz w:val="20"/>
              </w:rPr>
              <w:t>5</w:t>
            </w:r>
          </w:p>
        </w:tc>
        <w:tc>
          <w:tcPr>
            <w:tcW w:w="1203" w:type="dxa"/>
            <w:tcBorders>
              <w:top w:val="nil"/>
              <w:left w:val="nil"/>
              <w:bottom w:val="nil"/>
              <w:right w:val="nil"/>
            </w:tcBorders>
          </w:tcPr>
          <w:p>
            <w:pPr>
              <w:pStyle w:val="TableParagraph"/>
              <w:spacing w:before="26"/>
              <w:ind w:right="231"/>
              <w:rPr>
                <w:sz w:val="20"/>
              </w:rPr>
            </w:pPr>
            <w:r>
              <w:rPr>
                <w:sz w:val="20"/>
              </w:rPr>
              <w:t>1.53</w:t>
            </w:r>
          </w:p>
        </w:tc>
        <w:tc>
          <w:tcPr>
            <w:tcW w:w="1201" w:type="dxa"/>
            <w:tcBorders>
              <w:top w:val="nil"/>
              <w:left w:val="nil"/>
              <w:bottom w:val="nil"/>
              <w:right w:val="nil"/>
            </w:tcBorders>
          </w:tcPr>
          <w:p>
            <w:pPr>
              <w:pStyle w:val="TableParagraph"/>
              <w:spacing w:before="26"/>
              <w:ind w:right="231"/>
              <w:rPr>
                <w:sz w:val="20"/>
              </w:rPr>
            </w:pPr>
            <w:r>
              <w:rPr>
                <w:sz w:val="20"/>
              </w:rPr>
              <w:t>2.20</w:t>
            </w:r>
          </w:p>
        </w:tc>
        <w:tc>
          <w:tcPr>
            <w:tcW w:w="1200" w:type="dxa"/>
            <w:tcBorders>
              <w:top w:val="nil"/>
              <w:left w:val="nil"/>
              <w:bottom w:val="nil"/>
              <w:right w:val="nil"/>
            </w:tcBorders>
          </w:tcPr>
          <w:p>
            <w:pPr>
              <w:pStyle w:val="TableParagraph"/>
              <w:spacing w:before="26"/>
              <w:ind w:right="231"/>
              <w:rPr>
                <w:sz w:val="20"/>
              </w:rPr>
            </w:pPr>
            <w:r>
              <w:rPr>
                <w:sz w:val="20"/>
              </w:rPr>
              <w:t>3.57</w:t>
            </w:r>
          </w:p>
        </w:tc>
        <w:tc>
          <w:tcPr>
            <w:tcW w:w="1200" w:type="dxa"/>
            <w:tcBorders>
              <w:top w:val="nil"/>
              <w:left w:val="nil"/>
              <w:bottom w:val="nil"/>
              <w:right w:val="nil"/>
            </w:tcBorders>
          </w:tcPr>
          <w:p>
            <w:pPr>
              <w:pStyle w:val="TableParagraph"/>
              <w:spacing w:before="26"/>
              <w:ind w:right="231"/>
              <w:rPr>
                <w:sz w:val="20"/>
              </w:rPr>
            </w:pPr>
            <w:r>
              <w:rPr>
                <w:sz w:val="20"/>
              </w:rPr>
              <w:t>2.34</w:t>
            </w:r>
          </w:p>
        </w:tc>
        <w:tc>
          <w:tcPr>
            <w:tcW w:w="1200" w:type="dxa"/>
            <w:tcBorders>
              <w:top w:val="nil"/>
              <w:left w:val="nil"/>
              <w:bottom w:val="nil"/>
              <w:right w:val="nil"/>
            </w:tcBorders>
          </w:tcPr>
          <w:p>
            <w:pPr>
              <w:pStyle w:val="TableParagraph"/>
              <w:spacing w:before="26"/>
              <w:ind w:right="230"/>
              <w:rPr>
                <w:sz w:val="20"/>
              </w:rPr>
            </w:pPr>
            <w:r>
              <w:rPr>
                <w:sz w:val="20"/>
              </w:rPr>
              <w:t>1.99</w:t>
            </w:r>
          </w:p>
        </w:tc>
        <w:tc>
          <w:tcPr>
            <w:tcW w:w="1201" w:type="dxa"/>
            <w:tcBorders>
              <w:top w:val="nil"/>
              <w:left w:val="nil"/>
              <w:bottom w:val="nil"/>
              <w:right w:val="nil"/>
            </w:tcBorders>
          </w:tcPr>
          <w:p>
            <w:pPr>
              <w:pStyle w:val="TableParagraph"/>
              <w:spacing w:before="26"/>
              <w:ind w:right="230"/>
              <w:rPr>
                <w:sz w:val="20"/>
              </w:rPr>
            </w:pPr>
            <w:r>
              <w:rPr>
                <w:sz w:val="20"/>
              </w:rPr>
              <w:t>1.24</w:t>
            </w:r>
          </w:p>
        </w:tc>
        <w:tc>
          <w:tcPr>
            <w:tcW w:w="1140" w:type="dxa"/>
            <w:tcBorders>
              <w:top w:val="nil"/>
              <w:left w:val="nil"/>
              <w:bottom w:val="nil"/>
              <w:right w:val="nil"/>
            </w:tcBorders>
          </w:tcPr>
          <w:p>
            <w:pPr>
              <w:pStyle w:val="TableParagraph"/>
              <w:spacing w:before="26"/>
              <w:ind w:right="170"/>
              <w:rPr>
                <w:sz w:val="20"/>
              </w:rPr>
            </w:pPr>
            <w:r>
              <w:rPr>
                <w:sz w:val="20"/>
              </w:rPr>
              <w:t>1.87</w:t>
            </w:r>
          </w:p>
        </w:tc>
        <w:tc>
          <w:tcPr>
            <w:tcW w:w="1090" w:type="dxa"/>
            <w:tcBorders>
              <w:top w:val="nil"/>
              <w:left w:val="nil"/>
              <w:bottom w:val="nil"/>
              <w:right w:val="nil"/>
            </w:tcBorders>
          </w:tcPr>
          <w:p>
            <w:pPr>
              <w:pStyle w:val="TableParagraph"/>
              <w:spacing w:before="26"/>
              <w:ind w:right="60"/>
              <w:rPr>
                <w:sz w:val="20"/>
              </w:rPr>
            </w:pPr>
            <w:r>
              <w:rPr>
                <w:sz w:val="20"/>
              </w:rPr>
              <w:t>14.75</w:t>
            </w:r>
          </w:p>
        </w:tc>
      </w:tr>
      <w:tr>
        <w:trPr>
          <w:trHeight w:val="300" w:hRule="exact"/>
        </w:trPr>
        <w:tc>
          <w:tcPr>
            <w:tcW w:w="1373" w:type="dxa"/>
            <w:tcBorders>
              <w:top w:val="nil"/>
              <w:left w:val="nil"/>
              <w:bottom w:val="nil"/>
              <w:right w:val="nil"/>
            </w:tcBorders>
          </w:tcPr>
          <w:p>
            <w:pPr>
              <w:pStyle w:val="TableParagraph"/>
              <w:ind w:right="233"/>
              <w:rPr>
                <w:sz w:val="20"/>
              </w:rPr>
            </w:pPr>
            <w:r>
              <w:rPr>
                <w:w w:val="100"/>
                <w:sz w:val="20"/>
              </w:rPr>
              <w:t>6</w:t>
            </w:r>
          </w:p>
        </w:tc>
        <w:tc>
          <w:tcPr>
            <w:tcW w:w="1203" w:type="dxa"/>
            <w:tcBorders>
              <w:top w:val="nil"/>
              <w:left w:val="nil"/>
              <w:bottom w:val="nil"/>
              <w:right w:val="nil"/>
            </w:tcBorders>
          </w:tcPr>
          <w:p>
            <w:pPr>
              <w:pStyle w:val="TableParagraph"/>
              <w:ind w:right="231"/>
              <w:rPr>
                <w:sz w:val="20"/>
              </w:rPr>
            </w:pPr>
            <w:r>
              <w:rPr>
                <w:sz w:val="20"/>
              </w:rPr>
              <w:t>1.09</w:t>
            </w:r>
          </w:p>
        </w:tc>
        <w:tc>
          <w:tcPr>
            <w:tcW w:w="1201" w:type="dxa"/>
            <w:tcBorders>
              <w:top w:val="nil"/>
              <w:left w:val="nil"/>
              <w:bottom w:val="nil"/>
              <w:right w:val="nil"/>
            </w:tcBorders>
          </w:tcPr>
          <w:p>
            <w:pPr>
              <w:pStyle w:val="TableParagraph"/>
              <w:ind w:right="231"/>
              <w:rPr>
                <w:sz w:val="20"/>
              </w:rPr>
            </w:pPr>
            <w:r>
              <w:rPr>
                <w:sz w:val="20"/>
              </w:rPr>
              <w:t>1.58</w:t>
            </w:r>
          </w:p>
        </w:tc>
        <w:tc>
          <w:tcPr>
            <w:tcW w:w="1200" w:type="dxa"/>
            <w:tcBorders>
              <w:top w:val="nil"/>
              <w:left w:val="nil"/>
              <w:bottom w:val="nil"/>
              <w:right w:val="nil"/>
            </w:tcBorders>
          </w:tcPr>
          <w:p>
            <w:pPr>
              <w:pStyle w:val="TableParagraph"/>
              <w:ind w:right="231"/>
              <w:rPr>
                <w:sz w:val="20"/>
              </w:rPr>
            </w:pPr>
            <w:r>
              <w:rPr>
                <w:sz w:val="20"/>
              </w:rPr>
              <w:t>1.93</w:t>
            </w:r>
          </w:p>
        </w:tc>
        <w:tc>
          <w:tcPr>
            <w:tcW w:w="1200" w:type="dxa"/>
            <w:tcBorders>
              <w:top w:val="nil"/>
              <w:left w:val="nil"/>
              <w:bottom w:val="nil"/>
              <w:right w:val="nil"/>
            </w:tcBorders>
          </w:tcPr>
          <w:p>
            <w:pPr>
              <w:pStyle w:val="TableParagraph"/>
              <w:ind w:right="231"/>
              <w:rPr>
                <w:sz w:val="20"/>
              </w:rPr>
            </w:pPr>
            <w:r>
              <w:rPr>
                <w:sz w:val="20"/>
              </w:rPr>
              <w:t>0.97</w:t>
            </w:r>
          </w:p>
        </w:tc>
        <w:tc>
          <w:tcPr>
            <w:tcW w:w="1200" w:type="dxa"/>
            <w:tcBorders>
              <w:top w:val="nil"/>
              <w:left w:val="nil"/>
              <w:bottom w:val="nil"/>
              <w:right w:val="nil"/>
            </w:tcBorders>
          </w:tcPr>
          <w:p>
            <w:pPr>
              <w:pStyle w:val="TableParagraph"/>
              <w:ind w:right="230"/>
              <w:rPr>
                <w:sz w:val="20"/>
              </w:rPr>
            </w:pPr>
            <w:r>
              <w:rPr>
                <w:sz w:val="20"/>
              </w:rPr>
              <w:t>0.84</w:t>
            </w:r>
          </w:p>
        </w:tc>
        <w:tc>
          <w:tcPr>
            <w:tcW w:w="1201" w:type="dxa"/>
            <w:tcBorders>
              <w:top w:val="nil"/>
              <w:left w:val="nil"/>
              <w:bottom w:val="nil"/>
              <w:right w:val="nil"/>
            </w:tcBorders>
          </w:tcPr>
          <w:p>
            <w:pPr>
              <w:pStyle w:val="TableParagraph"/>
              <w:ind w:right="230"/>
              <w:rPr>
                <w:sz w:val="20"/>
              </w:rPr>
            </w:pPr>
            <w:r>
              <w:rPr>
                <w:sz w:val="20"/>
              </w:rPr>
              <w:t>0.54</w:t>
            </w:r>
          </w:p>
        </w:tc>
        <w:tc>
          <w:tcPr>
            <w:tcW w:w="1140" w:type="dxa"/>
            <w:tcBorders>
              <w:top w:val="nil"/>
              <w:left w:val="nil"/>
              <w:bottom w:val="nil"/>
              <w:right w:val="nil"/>
            </w:tcBorders>
          </w:tcPr>
          <w:p>
            <w:pPr>
              <w:pStyle w:val="TableParagraph"/>
              <w:ind w:right="170"/>
              <w:rPr>
                <w:sz w:val="20"/>
              </w:rPr>
            </w:pPr>
            <w:r>
              <w:rPr>
                <w:sz w:val="20"/>
              </w:rPr>
              <w:t>0.98</w:t>
            </w:r>
          </w:p>
        </w:tc>
        <w:tc>
          <w:tcPr>
            <w:tcW w:w="1090" w:type="dxa"/>
            <w:tcBorders>
              <w:top w:val="nil"/>
              <w:left w:val="nil"/>
              <w:bottom w:val="nil"/>
              <w:right w:val="nil"/>
            </w:tcBorders>
          </w:tcPr>
          <w:p>
            <w:pPr>
              <w:pStyle w:val="TableParagraph"/>
              <w:ind w:right="60"/>
              <w:rPr>
                <w:sz w:val="20"/>
              </w:rPr>
            </w:pPr>
            <w:r>
              <w:rPr>
                <w:sz w:val="20"/>
              </w:rPr>
              <w:t>7.93</w:t>
            </w:r>
          </w:p>
        </w:tc>
      </w:tr>
      <w:tr>
        <w:trPr>
          <w:trHeight w:val="300" w:hRule="exact"/>
        </w:trPr>
        <w:tc>
          <w:tcPr>
            <w:tcW w:w="1373" w:type="dxa"/>
            <w:tcBorders>
              <w:top w:val="nil"/>
              <w:left w:val="nil"/>
              <w:bottom w:val="nil"/>
              <w:right w:val="nil"/>
            </w:tcBorders>
          </w:tcPr>
          <w:p>
            <w:pPr>
              <w:pStyle w:val="TableParagraph"/>
              <w:spacing w:before="26"/>
              <w:ind w:right="233"/>
              <w:rPr>
                <w:sz w:val="20"/>
              </w:rPr>
            </w:pPr>
            <w:r>
              <w:rPr>
                <w:w w:val="100"/>
                <w:sz w:val="20"/>
              </w:rPr>
              <w:t>7</w:t>
            </w:r>
          </w:p>
        </w:tc>
        <w:tc>
          <w:tcPr>
            <w:tcW w:w="1203" w:type="dxa"/>
            <w:tcBorders>
              <w:top w:val="nil"/>
              <w:left w:val="nil"/>
              <w:bottom w:val="nil"/>
              <w:right w:val="nil"/>
            </w:tcBorders>
          </w:tcPr>
          <w:p>
            <w:pPr>
              <w:pStyle w:val="TableParagraph"/>
              <w:spacing w:before="26"/>
              <w:ind w:right="231"/>
              <w:rPr>
                <w:sz w:val="20"/>
              </w:rPr>
            </w:pPr>
            <w:r>
              <w:rPr>
                <w:sz w:val="20"/>
              </w:rPr>
              <w:t>2.61</w:t>
            </w:r>
          </w:p>
        </w:tc>
        <w:tc>
          <w:tcPr>
            <w:tcW w:w="1201" w:type="dxa"/>
            <w:tcBorders>
              <w:top w:val="nil"/>
              <w:left w:val="nil"/>
              <w:bottom w:val="nil"/>
              <w:right w:val="nil"/>
            </w:tcBorders>
          </w:tcPr>
          <w:p>
            <w:pPr>
              <w:pStyle w:val="TableParagraph"/>
              <w:spacing w:before="26"/>
              <w:ind w:right="231"/>
              <w:rPr>
                <w:sz w:val="20"/>
              </w:rPr>
            </w:pPr>
            <w:r>
              <w:rPr>
                <w:sz w:val="20"/>
              </w:rPr>
              <w:t>3.77</w:t>
            </w:r>
          </w:p>
        </w:tc>
        <w:tc>
          <w:tcPr>
            <w:tcW w:w="1200" w:type="dxa"/>
            <w:tcBorders>
              <w:top w:val="nil"/>
              <w:left w:val="nil"/>
              <w:bottom w:val="nil"/>
              <w:right w:val="nil"/>
            </w:tcBorders>
          </w:tcPr>
          <w:p>
            <w:pPr>
              <w:pStyle w:val="TableParagraph"/>
              <w:spacing w:before="26"/>
              <w:ind w:right="231"/>
              <w:rPr>
                <w:sz w:val="20"/>
              </w:rPr>
            </w:pPr>
            <w:r>
              <w:rPr>
                <w:sz w:val="20"/>
              </w:rPr>
              <w:t>5.49</w:t>
            </w:r>
          </w:p>
        </w:tc>
        <w:tc>
          <w:tcPr>
            <w:tcW w:w="1200" w:type="dxa"/>
            <w:tcBorders>
              <w:top w:val="nil"/>
              <w:left w:val="nil"/>
              <w:bottom w:val="nil"/>
              <w:right w:val="nil"/>
            </w:tcBorders>
          </w:tcPr>
          <w:p>
            <w:pPr>
              <w:pStyle w:val="TableParagraph"/>
              <w:spacing w:before="26"/>
              <w:ind w:right="231"/>
              <w:rPr>
                <w:sz w:val="20"/>
              </w:rPr>
            </w:pPr>
            <w:r>
              <w:rPr>
                <w:sz w:val="20"/>
              </w:rPr>
              <w:t>3.29</w:t>
            </w:r>
          </w:p>
        </w:tc>
        <w:tc>
          <w:tcPr>
            <w:tcW w:w="1200" w:type="dxa"/>
            <w:tcBorders>
              <w:top w:val="nil"/>
              <w:left w:val="nil"/>
              <w:bottom w:val="nil"/>
              <w:right w:val="nil"/>
            </w:tcBorders>
          </w:tcPr>
          <w:p>
            <w:pPr>
              <w:pStyle w:val="TableParagraph"/>
              <w:spacing w:before="26"/>
              <w:ind w:right="230"/>
              <w:rPr>
                <w:sz w:val="20"/>
              </w:rPr>
            </w:pPr>
            <w:r>
              <w:rPr>
                <w:sz w:val="20"/>
              </w:rPr>
              <w:t>2.81</w:t>
            </w:r>
          </w:p>
        </w:tc>
        <w:tc>
          <w:tcPr>
            <w:tcW w:w="1201" w:type="dxa"/>
            <w:tcBorders>
              <w:top w:val="nil"/>
              <w:left w:val="nil"/>
              <w:bottom w:val="nil"/>
              <w:right w:val="nil"/>
            </w:tcBorders>
          </w:tcPr>
          <w:p>
            <w:pPr>
              <w:pStyle w:val="TableParagraph"/>
              <w:spacing w:before="26"/>
              <w:ind w:right="230"/>
              <w:rPr>
                <w:sz w:val="20"/>
              </w:rPr>
            </w:pPr>
            <w:r>
              <w:rPr>
                <w:sz w:val="20"/>
              </w:rPr>
              <w:t>1.76</w:t>
            </w:r>
          </w:p>
        </w:tc>
        <w:tc>
          <w:tcPr>
            <w:tcW w:w="1140" w:type="dxa"/>
            <w:tcBorders>
              <w:top w:val="nil"/>
              <w:left w:val="nil"/>
              <w:bottom w:val="nil"/>
              <w:right w:val="nil"/>
            </w:tcBorders>
          </w:tcPr>
          <w:p>
            <w:pPr>
              <w:pStyle w:val="TableParagraph"/>
              <w:spacing w:before="26"/>
              <w:ind w:right="170"/>
              <w:rPr>
                <w:sz w:val="20"/>
              </w:rPr>
            </w:pPr>
            <w:r>
              <w:rPr>
                <w:sz w:val="20"/>
              </w:rPr>
              <w:t>2.84</w:t>
            </w:r>
          </w:p>
        </w:tc>
        <w:tc>
          <w:tcPr>
            <w:tcW w:w="1090" w:type="dxa"/>
            <w:tcBorders>
              <w:top w:val="nil"/>
              <w:left w:val="nil"/>
              <w:bottom w:val="nil"/>
              <w:right w:val="nil"/>
            </w:tcBorders>
          </w:tcPr>
          <w:p>
            <w:pPr>
              <w:pStyle w:val="TableParagraph"/>
              <w:spacing w:before="26"/>
              <w:ind w:right="60"/>
              <w:rPr>
                <w:sz w:val="20"/>
              </w:rPr>
            </w:pPr>
            <w:r>
              <w:rPr>
                <w:sz w:val="20"/>
              </w:rPr>
              <w:t>22.58</w:t>
            </w:r>
          </w:p>
        </w:tc>
      </w:tr>
      <w:tr>
        <w:trPr>
          <w:trHeight w:val="300" w:hRule="exact"/>
        </w:trPr>
        <w:tc>
          <w:tcPr>
            <w:tcW w:w="1373" w:type="dxa"/>
            <w:tcBorders>
              <w:top w:val="nil"/>
              <w:left w:val="nil"/>
              <w:bottom w:val="nil"/>
              <w:right w:val="nil"/>
            </w:tcBorders>
          </w:tcPr>
          <w:p>
            <w:pPr>
              <w:pStyle w:val="TableParagraph"/>
              <w:ind w:right="233"/>
              <w:rPr>
                <w:sz w:val="20"/>
              </w:rPr>
            </w:pPr>
            <w:r>
              <w:rPr>
                <w:w w:val="100"/>
                <w:sz w:val="20"/>
              </w:rPr>
              <w:t>8</w:t>
            </w:r>
          </w:p>
        </w:tc>
        <w:tc>
          <w:tcPr>
            <w:tcW w:w="1203" w:type="dxa"/>
            <w:tcBorders>
              <w:top w:val="nil"/>
              <w:left w:val="nil"/>
              <w:bottom w:val="nil"/>
              <w:right w:val="nil"/>
            </w:tcBorders>
          </w:tcPr>
          <w:p>
            <w:pPr>
              <w:pStyle w:val="TableParagraph"/>
              <w:ind w:right="231"/>
              <w:rPr>
                <w:sz w:val="20"/>
              </w:rPr>
            </w:pPr>
            <w:r>
              <w:rPr>
                <w:sz w:val="20"/>
              </w:rPr>
              <w:t>0.92</w:t>
            </w:r>
          </w:p>
        </w:tc>
        <w:tc>
          <w:tcPr>
            <w:tcW w:w="1201" w:type="dxa"/>
            <w:tcBorders>
              <w:top w:val="nil"/>
              <w:left w:val="nil"/>
              <w:bottom w:val="nil"/>
              <w:right w:val="nil"/>
            </w:tcBorders>
          </w:tcPr>
          <w:p>
            <w:pPr>
              <w:pStyle w:val="TableParagraph"/>
              <w:ind w:right="231"/>
              <w:rPr>
                <w:sz w:val="20"/>
              </w:rPr>
            </w:pPr>
            <w:r>
              <w:rPr>
                <w:sz w:val="20"/>
              </w:rPr>
              <w:t>1.31</w:t>
            </w:r>
          </w:p>
        </w:tc>
        <w:tc>
          <w:tcPr>
            <w:tcW w:w="1200" w:type="dxa"/>
            <w:tcBorders>
              <w:top w:val="nil"/>
              <w:left w:val="nil"/>
              <w:bottom w:val="nil"/>
              <w:right w:val="nil"/>
            </w:tcBorders>
          </w:tcPr>
          <w:p>
            <w:pPr>
              <w:pStyle w:val="TableParagraph"/>
              <w:ind w:right="231"/>
              <w:rPr>
                <w:sz w:val="20"/>
              </w:rPr>
            </w:pPr>
            <w:r>
              <w:rPr>
                <w:sz w:val="20"/>
              </w:rPr>
              <w:t>1.74</w:t>
            </w:r>
          </w:p>
        </w:tc>
        <w:tc>
          <w:tcPr>
            <w:tcW w:w="1200" w:type="dxa"/>
            <w:tcBorders>
              <w:top w:val="nil"/>
              <w:left w:val="nil"/>
              <w:bottom w:val="nil"/>
              <w:right w:val="nil"/>
            </w:tcBorders>
          </w:tcPr>
          <w:p>
            <w:pPr>
              <w:pStyle w:val="TableParagraph"/>
              <w:ind w:right="231"/>
              <w:rPr>
                <w:sz w:val="20"/>
              </w:rPr>
            </w:pPr>
            <w:r>
              <w:rPr>
                <w:sz w:val="20"/>
              </w:rPr>
              <w:t>0.82</w:t>
            </w:r>
          </w:p>
        </w:tc>
        <w:tc>
          <w:tcPr>
            <w:tcW w:w="1200" w:type="dxa"/>
            <w:tcBorders>
              <w:top w:val="nil"/>
              <w:left w:val="nil"/>
              <w:bottom w:val="nil"/>
              <w:right w:val="nil"/>
            </w:tcBorders>
          </w:tcPr>
          <w:p>
            <w:pPr>
              <w:pStyle w:val="TableParagraph"/>
              <w:ind w:right="230"/>
              <w:rPr>
                <w:sz w:val="20"/>
              </w:rPr>
            </w:pPr>
            <w:r>
              <w:rPr>
                <w:sz w:val="20"/>
              </w:rPr>
              <w:t>0.71</w:t>
            </w:r>
          </w:p>
        </w:tc>
        <w:tc>
          <w:tcPr>
            <w:tcW w:w="1201" w:type="dxa"/>
            <w:tcBorders>
              <w:top w:val="nil"/>
              <w:left w:val="nil"/>
              <w:bottom w:val="nil"/>
              <w:right w:val="nil"/>
            </w:tcBorders>
          </w:tcPr>
          <w:p>
            <w:pPr>
              <w:pStyle w:val="TableParagraph"/>
              <w:ind w:right="230"/>
              <w:rPr>
                <w:sz w:val="20"/>
              </w:rPr>
            </w:pPr>
            <w:r>
              <w:rPr>
                <w:sz w:val="20"/>
              </w:rPr>
              <w:t>0.40</w:t>
            </w:r>
          </w:p>
        </w:tc>
        <w:tc>
          <w:tcPr>
            <w:tcW w:w="1140" w:type="dxa"/>
            <w:tcBorders>
              <w:top w:val="nil"/>
              <w:left w:val="nil"/>
              <w:bottom w:val="nil"/>
              <w:right w:val="nil"/>
            </w:tcBorders>
          </w:tcPr>
          <w:p>
            <w:pPr>
              <w:pStyle w:val="TableParagraph"/>
              <w:ind w:right="170"/>
              <w:rPr>
                <w:sz w:val="20"/>
              </w:rPr>
            </w:pPr>
            <w:r>
              <w:rPr>
                <w:sz w:val="20"/>
              </w:rPr>
              <w:t>0.86</w:t>
            </w:r>
          </w:p>
        </w:tc>
        <w:tc>
          <w:tcPr>
            <w:tcW w:w="1090" w:type="dxa"/>
            <w:tcBorders>
              <w:top w:val="nil"/>
              <w:left w:val="nil"/>
              <w:bottom w:val="nil"/>
              <w:right w:val="nil"/>
            </w:tcBorders>
          </w:tcPr>
          <w:p>
            <w:pPr>
              <w:pStyle w:val="TableParagraph"/>
              <w:ind w:right="60"/>
              <w:rPr>
                <w:sz w:val="20"/>
              </w:rPr>
            </w:pPr>
            <w:r>
              <w:rPr>
                <w:sz w:val="20"/>
              </w:rPr>
              <w:t>6.75</w:t>
            </w:r>
          </w:p>
        </w:tc>
      </w:tr>
      <w:tr>
        <w:trPr>
          <w:trHeight w:val="300" w:hRule="exact"/>
        </w:trPr>
        <w:tc>
          <w:tcPr>
            <w:tcW w:w="1373" w:type="dxa"/>
            <w:tcBorders>
              <w:top w:val="nil"/>
              <w:left w:val="nil"/>
              <w:bottom w:val="nil"/>
              <w:right w:val="nil"/>
            </w:tcBorders>
          </w:tcPr>
          <w:p>
            <w:pPr>
              <w:pStyle w:val="TableParagraph"/>
              <w:spacing w:before="26"/>
              <w:ind w:right="233"/>
              <w:rPr>
                <w:sz w:val="20"/>
              </w:rPr>
            </w:pPr>
            <w:r>
              <w:rPr>
                <w:w w:val="100"/>
                <w:sz w:val="20"/>
              </w:rPr>
              <w:t>9</w:t>
            </w:r>
          </w:p>
        </w:tc>
        <w:tc>
          <w:tcPr>
            <w:tcW w:w="1203" w:type="dxa"/>
            <w:tcBorders>
              <w:top w:val="nil"/>
              <w:left w:val="nil"/>
              <w:bottom w:val="nil"/>
              <w:right w:val="nil"/>
            </w:tcBorders>
          </w:tcPr>
          <w:p>
            <w:pPr>
              <w:pStyle w:val="TableParagraph"/>
              <w:spacing w:before="26"/>
              <w:ind w:right="231"/>
              <w:rPr>
                <w:sz w:val="20"/>
              </w:rPr>
            </w:pPr>
            <w:r>
              <w:rPr>
                <w:sz w:val="20"/>
              </w:rPr>
              <w:t>3.51</w:t>
            </w:r>
          </w:p>
        </w:tc>
        <w:tc>
          <w:tcPr>
            <w:tcW w:w="1201" w:type="dxa"/>
            <w:tcBorders>
              <w:top w:val="nil"/>
              <w:left w:val="nil"/>
              <w:bottom w:val="nil"/>
              <w:right w:val="nil"/>
            </w:tcBorders>
          </w:tcPr>
          <w:p>
            <w:pPr>
              <w:pStyle w:val="TableParagraph"/>
              <w:spacing w:before="26"/>
              <w:ind w:right="231"/>
              <w:rPr>
                <w:sz w:val="20"/>
              </w:rPr>
            </w:pPr>
            <w:r>
              <w:rPr>
                <w:sz w:val="20"/>
              </w:rPr>
              <w:t>5.07</w:t>
            </w:r>
          </w:p>
        </w:tc>
        <w:tc>
          <w:tcPr>
            <w:tcW w:w="1200" w:type="dxa"/>
            <w:tcBorders>
              <w:top w:val="nil"/>
              <w:left w:val="nil"/>
              <w:bottom w:val="nil"/>
              <w:right w:val="nil"/>
            </w:tcBorders>
          </w:tcPr>
          <w:p>
            <w:pPr>
              <w:pStyle w:val="TableParagraph"/>
              <w:spacing w:before="26"/>
              <w:ind w:right="231"/>
              <w:rPr>
                <w:sz w:val="20"/>
              </w:rPr>
            </w:pPr>
            <w:r>
              <w:rPr>
                <w:sz w:val="20"/>
              </w:rPr>
              <w:t>7.22</w:t>
            </w:r>
          </w:p>
        </w:tc>
        <w:tc>
          <w:tcPr>
            <w:tcW w:w="1200" w:type="dxa"/>
            <w:tcBorders>
              <w:top w:val="nil"/>
              <w:left w:val="nil"/>
              <w:bottom w:val="nil"/>
              <w:right w:val="nil"/>
            </w:tcBorders>
          </w:tcPr>
          <w:p>
            <w:pPr>
              <w:pStyle w:val="TableParagraph"/>
              <w:spacing w:before="26"/>
              <w:ind w:right="231"/>
              <w:rPr>
                <w:sz w:val="20"/>
              </w:rPr>
            </w:pPr>
            <w:r>
              <w:rPr>
                <w:sz w:val="20"/>
              </w:rPr>
              <w:t>4.09</w:t>
            </w:r>
          </w:p>
        </w:tc>
        <w:tc>
          <w:tcPr>
            <w:tcW w:w="1200" w:type="dxa"/>
            <w:tcBorders>
              <w:top w:val="nil"/>
              <w:left w:val="nil"/>
              <w:bottom w:val="nil"/>
              <w:right w:val="nil"/>
            </w:tcBorders>
          </w:tcPr>
          <w:p>
            <w:pPr>
              <w:pStyle w:val="TableParagraph"/>
              <w:spacing w:before="26"/>
              <w:ind w:right="230"/>
              <w:rPr>
                <w:sz w:val="20"/>
              </w:rPr>
            </w:pPr>
            <w:r>
              <w:rPr>
                <w:sz w:val="20"/>
              </w:rPr>
              <w:t>3.50</w:t>
            </w:r>
          </w:p>
        </w:tc>
        <w:tc>
          <w:tcPr>
            <w:tcW w:w="1201" w:type="dxa"/>
            <w:tcBorders>
              <w:top w:val="nil"/>
              <w:left w:val="nil"/>
              <w:bottom w:val="nil"/>
              <w:right w:val="nil"/>
            </w:tcBorders>
          </w:tcPr>
          <w:p>
            <w:pPr>
              <w:pStyle w:val="TableParagraph"/>
              <w:spacing w:before="26"/>
              <w:ind w:right="230"/>
              <w:rPr>
                <w:sz w:val="20"/>
              </w:rPr>
            </w:pPr>
            <w:r>
              <w:rPr>
                <w:sz w:val="20"/>
              </w:rPr>
              <w:t>2.15</w:t>
            </w:r>
          </w:p>
        </w:tc>
        <w:tc>
          <w:tcPr>
            <w:tcW w:w="1140" w:type="dxa"/>
            <w:tcBorders>
              <w:top w:val="nil"/>
              <w:left w:val="nil"/>
              <w:bottom w:val="nil"/>
              <w:right w:val="nil"/>
            </w:tcBorders>
          </w:tcPr>
          <w:p>
            <w:pPr>
              <w:pStyle w:val="TableParagraph"/>
              <w:spacing w:before="26"/>
              <w:ind w:right="170"/>
              <w:rPr>
                <w:sz w:val="20"/>
              </w:rPr>
            </w:pPr>
            <w:r>
              <w:rPr>
                <w:sz w:val="20"/>
              </w:rPr>
              <w:t>3.69</w:t>
            </w:r>
          </w:p>
        </w:tc>
        <w:tc>
          <w:tcPr>
            <w:tcW w:w="1090" w:type="dxa"/>
            <w:tcBorders>
              <w:top w:val="nil"/>
              <w:left w:val="nil"/>
              <w:bottom w:val="nil"/>
              <w:right w:val="nil"/>
            </w:tcBorders>
          </w:tcPr>
          <w:p>
            <w:pPr>
              <w:pStyle w:val="TableParagraph"/>
              <w:spacing w:before="26"/>
              <w:ind w:right="60"/>
              <w:rPr>
                <w:sz w:val="20"/>
              </w:rPr>
            </w:pPr>
            <w:r>
              <w:rPr>
                <w:sz w:val="20"/>
              </w:rPr>
              <w:t>29.24</w:t>
            </w:r>
          </w:p>
        </w:tc>
      </w:tr>
      <w:tr>
        <w:trPr>
          <w:trHeight w:val="300" w:hRule="exact"/>
        </w:trPr>
        <w:tc>
          <w:tcPr>
            <w:tcW w:w="1373" w:type="dxa"/>
            <w:tcBorders>
              <w:top w:val="nil"/>
              <w:left w:val="nil"/>
              <w:bottom w:val="nil"/>
              <w:right w:val="nil"/>
            </w:tcBorders>
          </w:tcPr>
          <w:p>
            <w:pPr>
              <w:pStyle w:val="TableParagraph"/>
              <w:ind w:right="233"/>
              <w:rPr>
                <w:sz w:val="20"/>
              </w:rPr>
            </w:pPr>
            <w:r>
              <w:rPr>
                <w:sz w:val="20"/>
              </w:rPr>
              <w:t>10</w:t>
            </w:r>
          </w:p>
        </w:tc>
        <w:tc>
          <w:tcPr>
            <w:tcW w:w="1203" w:type="dxa"/>
            <w:tcBorders>
              <w:top w:val="nil"/>
              <w:left w:val="nil"/>
              <w:bottom w:val="nil"/>
              <w:right w:val="nil"/>
            </w:tcBorders>
          </w:tcPr>
          <w:p>
            <w:pPr>
              <w:pStyle w:val="TableParagraph"/>
              <w:ind w:right="231"/>
              <w:rPr>
                <w:sz w:val="20"/>
              </w:rPr>
            </w:pPr>
            <w:r>
              <w:rPr>
                <w:sz w:val="20"/>
              </w:rPr>
              <w:t>4.04</w:t>
            </w:r>
          </w:p>
        </w:tc>
        <w:tc>
          <w:tcPr>
            <w:tcW w:w="1201" w:type="dxa"/>
            <w:tcBorders>
              <w:top w:val="nil"/>
              <w:left w:val="nil"/>
              <w:bottom w:val="nil"/>
              <w:right w:val="nil"/>
            </w:tcBorders>
          </w:tcPr>
          <w:p>
            <w:pPr>
              <w:pStyle w:val="TableParagraph"/>
              <w:ind w:right="231"/>
              <w:rPr>
                <w:sz w:val="20"/>
              </w:rPr>
            </w:pPr>
            <w:r>
              <w:rPr>
                <w:sz w:val="20"/>
              </w:rPr>
              <w:t>5.95</w:t>
            </w:r>
          </w:p>
        </w:tc>
        <w:tc>
          <w:tcPr>
            <w:tcW w:w="1200" w:type="dxa"/>
            <w:tcBorders>
              <w:top w:val="nil"/>
              <w:left w:val="nil"/>
              <w:bottom w:val="nil"/>
              <w:right w:val="nil"/>
            </w:tcBorders>
          </w:tcPr>
          <w:p>
            <w:pPr>
              <w:pStyle w:val="TableParagraph"/>
              <w:ind w:right="231"/>
              <w:rPr>
                <w:sz w:val="20"/>
              </w:rPr>
            </w:pPr>
            <w:r>
              <w:rPr>
                <w:sz w:val="20"/>
              </w:rPr>
              <w:t>8.45</w:t>
            </w:r>
          </w:p>
        </w:tc>
        <w:tc>
          <w:tcPr>
            <w:tcW w:w="1200" w:type="dxa"/>
            <w:tcBorders>
              <w:top w:val="nil"/>
              <w:left w:val="nil"/>
              <w:bottom w:val="nil"/>
              <w:right w:val="nil"/>
            </w:tcBorders>
          </w:tcPr>
          <w:p>
            <w:pPr>
              <w:pStyle w:val="TableParagraph"/>
              <w:ind w:right="231"/>
              <w:rPr>
                <w:sz w:val="20"/>
              </w:rPr>
            </w:pPr>
            <w:r>
              <w:rPr>
                <w:sz w:val="20"/>
              </w:rPr>
              <w:t>5.68</w:t>
            </w:r>
          </w:p>
        </w:tc>
        <w:tc>
          <w:tcPr>
            <w:tcW w:w="1200" w:type="dxa"/>
            <w:tcBorders>
              <w:top w:val="nil"/>
              <w:left w:val="nil"/>
              <w:bottom w:val="nil"/>
              <w:right w:val="nil"/>
            </w:tcBorders>
          </w:tcPr>
          <w:p>
            <w:pPr>
              <w:pStyle w:val="TableParagraph"/>
              <w:ind w:right="230"/>
              <w:rPr>
                <w:sz w:val="20"/>
              </w:rPr>
            </w:pPr>
            <w:r>
              <w:rPr>
                <w:sz w:val="20"/>
              </w:rPr>
              <w:t>4.98</w:t>
            </w:r>
          </w:p>
        </w:tc>
        <w:tc>
          <w:tcPr>
            <w:tcW w:w="1201" w:type="dxa"/>
            <w:tcBorders>
              <w:top w:val="nil"/>
              <w:left w:val="nil"/>
              <w:bottom w:val="nil"/>
              <w:right w:val="nil"/>
            </w:tcBorders>
          </w:tcPr>
          <w:p>
            <w:pPr>
              <w:pStyle w:val="TableParagraph"/>
              <w:ind w:right="230"/>
              <w:rPr>
                <w:sz w:val="20"/>
              </w:rPr>
            </w:pPr>
            <w:r>
              <w:rPr>
                <w:sz w:val="20"/>
              </w:rPr>
              <w:t>3.03</w:t>
            </w:r>
          </w:p>
        </w:tc>
        <w:tc>
          <w:tcPr>
            <w:tcW w:w="1140" w:type="dxa"/>
            <w:tcBorders>
              <w:top w:val="nil"/>
              <w:left w:val="nil"/>
              <w:bottom w:val="nil"/>
              <w:right w:val="nil"/>
            </w:tcBorders>
          </w:tcPr>
          <w:p>
            <w:pPr>
              <w:pStyle w:val="TableParagraph"/>
              <w:ind w:right="170"/>
              <w:rPr>
                <w:sz w:val="20"/>
              </w:rPr>
            </w:pPr>
            <w:r>
              <w:rPr>
                <w:sz w:val="20"/>
              </w:rPr>
              <w:t>4.69</w:t>
            </w:r>
          </w:p>
        </w:tc>
        <w:tc>
          <w:tcPr>
            <w:tcW w:w="1090" w:type="dxa"/>
            <w:tcBorders>
              <w:top w:val="nil"/>
              <w:left w:val="nil"/>
              <w:bottom w:val="nil"/>
              <w:right w:val="nil"/>
            </w:tcBorders>
          </w:tcPr>
          <w:p>
            <w:pPr>
              <w:pStyle w:val="TableParagraph"/>
              <w:ind w:right="60"/>
              <w:rPr>
                <w:sz w:val="20"/>
              </w:rPr>
            </w:pPr>
            <w:r>
              <w:rPr>
                <w:sz w:val="20"/>
              </w:rPr>
              <w:t>36.82</w:t>
            </w:r>
          </w:p>
        </w:tc>
      </w:tr>
      <w:tr>
        <w:trPr>
          <w:trHeight w:val="300" w:hRule="exact"/>
        </w:trPr>
        <w:tc>
          <w:tcPr>
            <w:tcW w:w="1373" w:type="dxa"/>
            <w:tcBorders>
              <w:top w:val="nil"/>
              <w:left w:val="nil"/>
              <w:bottom w:val="nil"/>
              <w:right w:val="nil"/>
            </w:tcBorders>
          </w:tcPr>
          <w:p>
            <w:pPr>
              <w:pStyle w:val="TableParagraph"/>
              <w:spacing w:before="26"/>
              <w:ind w:right="233"/>
              <w:rPr>
                <w:sz w:val="20"/>
              </w:rPr>
            </w:pPr>
            <w:r>
              <w:rPr>
                <w:sz w:val="20"/>
              </w:rPr>
              <w:t>11</w:t>
            </w:r>
          </w:p>
        </w:tc>
        <w:tc>
          <w:tcPr>
            <w:tcW w:w="1203" w:type="dxa"/>
            <w:tcBorders>
              <w:top w:val="nil"/>
              <w:left w:val="nil"/>
              <w:bottom w:val="nil"/>
              <w:right w:val="nil"/>
            </w:tcBorders>
          </w:tcPr>
          <w:p>
            <w:pPr>
              <w:pStyle w:val="TableParagraph"/>
              <w:spacing w:before="26"/>
              <w:ind w:right="231"/>
              <w:rPr>
                <w:sz w:val="20"/>
              </w:rPr>
            </w:pPr>
            <w:r>
              <w:rPr>
                <w:sz w:val="20"/>
              </w:rPr>
              <w:t>1.14</w:t>
            </w:r>
          </w:p>
        </w:tc>
        <w:tc>
          <w:tcPr>
            <w:tcW w:w="1201" w:type="dxa"/>
            <w:tcBorders>
              <w:top w:val="nil"/>
              <w:left w:val="nil"/>
              <w:bottom w:val="nil"/>
              <w:right w:val="nil"/>
            </w:tcBorders>
          </w:tcPr>
          <w:p>
            <w:pPr>
              <w:pStyle w:val="TableParagraph"/>
              <w:spacing w:before="26"/>
              <w:ind w:right="231"/>
              <w:rPr>
                <w:sz w:val="20"/>
              </w:rPr>
            </w:pPr>
            <w:r>
              <w:rPr>
                <w:sz w:val="20"/>
              </w:rPr>
              <w:t>1.77</w:t>
            </w:r>
          </w:p>
        </w:tc>
        <w:tc>
          <w:tcPr>
            <w:tcW w:w="1200" w:type="dxa"/>
            <w:tcBorders>
              <w:top w:val="nil"/>
              <w:left w:val="nil"/>
              <w:bottom w:val="nil"/>
              <w:right w:val="nil"/>
            </w:tcBorders>
          </w:tcPr>
          <w:p>
            <w:pPr>
              <w:pStyle w:val="TableParagraph"/>
              <w:spacing w:before="26"/>
              <w:ind w:right="231"/>
              <w:rPr>
                <w:sz w:val="20"/>
              </w:rPr>
            </w:pPr>
            <w:r>
              <w:rPr>
                <w:sz w:val="20"/>
              </w:rPr>
              <w:t>2.21</w:t>
            </w:r>
          </w:p>
        </w:tc>
        <w:tc>
          <w:tcPr>
            <w:tcW w:w="1200" w:type="dxa"/>
            <w:tcBorders>
              <w:top w:val="nil"/>
              <w:left w:val="nil"/>
              <w:bottom w:val="nil"/>
              <w:right w:val="nil"/>
            </w:tcBorders>
          </w:tcPr>
          <w:p>
            <w:pPr>
              <w:pStyle w:val="TableParagraph"/>
              <w:spacing w:before="26"/>
              <w:ind w:right="231"/>
              <w:rPr>
                <w:sz w:val="20"/>
              </w:rPr>
            </w:pPr>
            <w:r>
              <w:rPr>
                <w:sz w:val="20"/>
              </w:rPr>
              <w:t>1.18</w:t>
            </w:r>
          </w:p>
        </w:tc>
        <w:tc>
          <w:tcPr>
            <w:tcW w:w="1200" w:type="dxa"/>
            <w:tcBorders>
              <w:top w:val="nil"/>
              <w:left w:val="nil"/>
              <w:bottom w:val="nil"/>
              <w:right w:val="nil"/>
            </w:tcBorders>
          </w:tcPr>
          <w:p>
            <w:pPr>
              <w:pStyle w:val="TableParagraph"/>
              <w:spacing w:before="26"/>
              <w:ind w:right="230"/>
              <w:rPr>
                <w:sz w:val="20"/>
              </w:rPr>
            </w:pPr>
            <w:r>
              <w:rPr>
                <w:sz w:val="20"/>
              </w:rPr>
              <w:t>0.97</w:t>
            </w:r>
          </w:p>
        </w:tc>
        <w:tc>
          <w:tcPr>
            <w:tcW w:w="1201" w:type="dxa"/>
            <w:tcBorders>
              <w:top w:val="nil"/>
              <w:left w:val="nil"/>
              <w:bottom w:val="nil"/>
              <w:right w:val="nil"/>
            </w:tcBorders>
          </w:tcPr>
          <w:p>
            <w:pPr>
              <w:pStyle w:val="TableParagraph"/>
              <w:spacing w:before="26"/>
              <w:ind w:right="230"/>
              <w:rPr>
                <w:sz w:val="20"/>
              </w:rPr>
            </w:pPr>
            <w:r>
              <w:rPr>
                <w:sz w:val="20"/>
              </w:rPr>
              <w:t>0.67</w:t>
            </w:r>
          </w:p>
        </w:tc>
        <w:tc>
          <w:tcPr>
            <w:tcW w:w="1140" w:type="dxa"/>
            <w:tcBorders>
              <w:top w:val="nil"/>
              <w:left w:val="nil"/>
              <w:bottom w:val="nil"/>
              <w:right w:val="nil"/>
            </w:tcBorders>
          </w:tcPr>
          <w:p>
            <w:pPr>
              <w:pStyle w:val="TableParagraph"/>
              <w:spacing w:before="26"/>
              <w:ind w:right="170"/>
              <w:rPr>
                <w:sz w:val="20"/>
              </w:rPr>
            </w:pPr>
            <w:r>
              <w:rPr>
                <w:sz w:val="20"/>
              </w:rPr>
              <w:t>1.09</w:t>
            </w:r>
          </w:p>
        </w:tc>
        <w:tc>
          <w:tcPr>
            <w:tcW w:w="1090" w:type="dxa"/>
            <w:tcBorders>
              <w:top w:val="nil"/>
              <w:left w:val="nil"/>
              <w:bottom w:val="nil"/>
              <w:right w:val="nil"/>
            </w:tcBorders>
          </w:tcPr>
          <w:p>
            <w:pPr>
              <w:pStyle w:val="TableParagraph"/>
              <w:spacing w:before="26"/>
              <w:ind w:right="60"/>
              <w:rPr>
                <w:sz w:val="20"/>
              </w:rPr>
            </w:pPr>
            <w:r>
              <w:rPr>
                <w:sz w:val="20"/>
              </w:rPr>
              <w:t>9.03</w:t>
            </w:r>
          </w:p>
        </w:tc>
      </w:tr>
      <w:tr>
        <w:trPr>
          <w:trHeight w:val="300" w:hRule="exact"/>
        </w:trPr>
        <w:tc>
          <w:tcPr>
            <w:tcW w:w="1373" w:type="dxa"/>
            <w:tcBorders>
              <w:top w:val="nil"/>
              <w:left w:val="nil"/>
              <w:bottom w:val="nil"/>
              <w:right w:val="nil"/>
            </w:tcBorders>
          </w:tcPr>
          <w:p>
            <w:pPr>
              <w:pStyle w:val="TableParagraph"/>
              <w:spacing w:before="24"/>
              <w:ind w:right="233"/>
              <w:rPr>
                <w:sz w:val="20"/>
              </w:rPr>
            </w:pPr>
            <w:r>
              <w:rPr>
                <w:sz w:val="20"/>
              </w:rPr>
              <w:t>12</w:t>
            </w:r>
          </w:p>
        </w:tc>
        <w:tc>
          <w:tcPr>
            <w:tcW w:w="1203" w:type="dxa"/>
            <w:tcBorders>
              <w:top w:val="nil"/>
              <w:left w:val="nil"/>
              <w:bottom w:val="nil"/>
              <w:right w:val="nil"/>
            </w:tcBorders>
          </w:tcPr>
          <w:p>
            <w:pPr>
              <w:pStyle w:val="TableParagraph"/>
              <w:spacing w:before="24"/>
              <w:ind w:right="231"/>
              <w:rPr>
                <w:sz w:val="20"/>
              </w:rPr>
            </w:pPr>
            <w:r>
              <w:rPr>
                <w:sz w:val="20"/>
              </w:rPr>
              <w:t>5.80</w:t>
            </w:r>
          </w:p>
        </w:tc>
        <w:tc>
          <w:tcPr>
            <w:tcW w:w="1201" w:type="dxa"/>
            <w:tcBorders>
              <w:top w:val="nil"/>
              <w:left w:val="nil"/>
              <w:bottom w:val="nil"/>
              <w:right w:val="nil"/>
            </w:tcBorders>
          </w:tcPr>
          <w:p>
            <w:pPr>
              <w:pStyle w:val="TableParagraph"/>
              <w:spacing w:before="24"/>
              <w:ind w:right="231"/>
              <w:rPr>
                <w:sz w:val="20"/>
              </w:rPr>
            </w:pPr>
            <w:r>
              <w:rPr>
                <w:sz w:val="20"/>
              </w:rPr>
              <w:t>8.73</w:t>
            </w:r>
          </w:p>
        </w:tc>
        <w:tc>
          <w:tcPr>
            <w:tcW w:w="1200" w:type="dxa"/>
            <w:tcBorders>
              <w:top w:val="nil"/>
              <w:left w:val="nil"/>
              <w:bottom w:val="nil"/>
              <w:right w:val="nil"/>
            </w:tcBorders>
          </w:tcPr>
          <w:p>
            <w:pPr>
              <w:pStyle w:val="TableParagraph"/>
              <w:spacing w:before="24"/>
              <w:ind w:right="231"/>
              <w:rPr>
                <w:sz w:val="20"/>
              </w:rPr>
            </w:pPr>
            <w:r>
              <w:rPr>
                <w:sz w:val="20"/>
              </w:rPr>
              <w:t>11.87</w:t>
            </w:r>
          </w:p>
        </w:tc>
        <w:tc>
          <w:tcPr>
            <w:tcW w:w="1200" w:type="dxa"/>
            <w:tcBorders>
              <w:top w:val="nil"/>
              <w:left w:val="nil"/>
              <w:bottom w:val="nil"/>
              <w:right w:val="nil"/>
            </w:tcBorders>
          </w:tcPr>
          <w:p>
            <w:pPr>
              <w:pStyle w:val="TableParagraph"/>
              <w:spacing w:before="24"/>
              <w:ind w:right="231"/>
              <w:rPr>
                <w:sz w:val="20"/>
              </w:rPr>
            </w:pPr>
            <w:r>
              <w:rPr>
                <w:sz w:val="20"/>
              </w:rPr>
              <w:t>7.57</w:t>
            </w:r>
          </w:p>
        </w:tc>
        <w:tc>
          <w:tcPr>
            <w:tcW w:w="1200" w:type="dxa"/>
            <w:tcBorders>
              <w:top w:val="nil"/>
              <w:left w:val="nil"/>
              <w:bottom w:val="nil"/>
              <w:right w:val="nil"/>
            </w:tcBorders>
          </w:tcPr>
          <w:p>
            <w:pPr>
              <w:pStyle w:val="TableParagraph"/>
              <w:spacing w:before="24"/>
              <w:ind w:right="230"/>
              <w:rPr>
                <w:sz w:val="20"/>
              </w:rPr>
            </w:pPr>
            <w:r>
              <w:rPr>
                <w:sz w:val="20"/>
              </w:rPr>
              <w:t>6.54</w:t>
            </w:r>
          </w:p>
        </w:tc>
        <w:tc>
          <w:tcPr>
            <w:tcW w:w="1201" w:type="dxa"/>
            <w:tcBorders>
              <w:top w:val="nil"/>
              <w:left w:val="nil"/>
              <w:bottom w:val="nil"/>
              <w:right w:val="nil"/>
            </w:tcBorders>
          </w:tcPr>
          <w:p>
            <w:pPr>
              <w:pStyle w:val="TableParagraph"/>
              <w:spacing w:before="24"/>
              <w:ind w:right="230"/>
              <w:rPr>
                <w:sz w:val="20"/>
              </w:rPr>
            </w:pPr>
            <w:r>
              <w:rPr>
                <w:sz w:val="20"/>
              </w:rPr>
              <w:t>4.15</w:t>
            </w:r>
          </w:p>
        </w:tc>
        <w:tc>
          <w:tcPr>
            <w:tcW w:w="1140" w:type="dxa"/>
            <w:tcBorders>
              <w:top w:val="nil"/>
              <w:left w:val="nil"/>
              <w:bottom w:val="nil"/>
              <w:right w:val="nil"/>
            </w:tcBorders>
          </w:tcPr>
          <w:p>
            <w:pPr>
              <w:pStyle w:val="TableParagraph"/>
              <w:spacing w:before="24"/>
              <w:ind w:right="170"/>
              <w:rPr>
                <w:sz w:val="20"/>
              </w:rPr>
            </w:pPr>
            <w:r>
              <w:rPr>
                <w:sz w:val="20"/>
              </w:rPr>
              <w:t>6.36</w:t>
            </w:r>
          </w:p>
        </w:tc>
        <w:tc>
          <w:tcPr>
            <w:tcW w:w="1090" w:type="dxa"/>
            <w:tcBorders>
              <w:top w:val="nil"/>
              <w:left w:val="nil"/>
              <w:bottom w:val="nil"/>
              <w:right w:val="nil"/>
            </w:tcBorders>
          </w:tcPr>
          <w:p>
            <w:pPr>
              <w:pStyle w:val="TableParagraph"/>
              <w:spacing w:before="24"/>
              <w:ind w:right="60"/>
              <w:rPr>
                <w:sz w:val="20"/>
              </w:rPr>
            </w:pPr>
            <w:r>
              <w:rPr>
                <w:sz w:val="20"/>
              </w:rPr>
              <w:t>51.02</w:t>
            </w:r>
          </w:p>
        </w:tc>
      </w:tr>
      <w:tr>
        <w:trPr>
          <w:trHeight w:val="300" w:hRule="exact"/>
        </w:trPr>
        <w:tc>
          <w:tcPr>
            <w:tcW w:w="1373" w:type="dxa"/>
            <w:tcBorders>
              <w:top w:val="nil"/>
              <w:left w:val="nil"/>
              <w:bottom w:val="nil"/>
              <w:right w:val="nil"/>
            </w:tcBorders>
          </w:tcPr>
          <w:p>
            <w:pPr>
              <w:pStyle w:val="TableParagraph"/>
              <w:spacing w:before="26"/>
              <w:ind w:right="233"/>
              <w:rPr>
                <w:sz w:val="20"/>
              </w:rPr>
            </w:pPr>
            <w:r>
              <w:rPr>
                <w:sz w:val="20"/>
              </w:rPr>
              <w:t>13</w:t>
            </w:r>
          </w:p>
        </w:tc>
        <w:tc>
          <w:tcPr>
            <w:tcW w:w="1203" w:type="dxa"/>
            <w:tcBorders>
              <w:top w:val="nil"/>
              <w:left w:val="nil"/>
              <w:bottom w:val="nil"/>
              <w:right w:val="nil"/>
            </w:tcBorders>
          </w:tcPr>
          <w:p>
            <w:pPr>
              <w:pStyle w:val="TableParagraph"/>
              <w:spacing w:before="26"/>
              <w:ind w:right="231"/>
              <w:rPr>
                <w:sz w:val="20"/>
              </w:rPr>
            </w:pPr>
            <w:r>
              <w:rPr>
                <w:sz w:val="20"/>
              </w:rPr>
              <w:t>0.60</w:t>
            </w:r>
          </w:p>
        </w:tc>
        <w:tc>
          <w:tcPr>
            <w:tcW w:w="1201" w:type="dxa"/>
            <w:tcBorders>
              <w:top w:val="nil"/>
              <w:left w:val="nil"/>
              <w:bottom w:val="nil"/>
              <w:right w:val="nil"/>
            </w:tcBorders>
          </w:tcPr>
          <w:p>
            <w:pPr>
              <w:pStyle w:val="TableParagraph"/>
              <w:spacing w:before="26"/>
              <w:ind w:right="231"/>
              <w:rPr>
                <w:sz w:val="20"/>
              </w:rPr>
            </w:pPr>
            <w:r>
              <w:rPr>
                <w:sz w:val="20"/>
              </w:rPr>
              <w:t>1.02</w:t>
            </w:r>
          </w:p>
        </w:tc>
        <w:tc>
          <w:tcPr>
            <w:tcW w:w="1200" w:type="dxa"/>
            <w:tcBorders>
              <w:top w:val="nil"/>
              <w:left w:val="nil"/>
              <w:bottom w:val="nil"/>
              <w:right w:val="nil"/>
            </w:tcBorders>
          </w:tcPr>
          <w:p>
            <w:pPr>
              <w:pStyle w:val="TableParagraph"/>
              <w:spacing w:before="26"/>
              <w:ind w:right="231"/>
              <w:rPr>
                <w:sz w:val="20"/>
              </w:rPr>
            </w:pPr>
            <w:r>
              <w:rPr>
                <w:sz w:val="20"/>
              </w:rPr>
              <w:t>1.46</w:t>
            </w:r>
          </w:p>
        </w:tc>
        <w:tc>
          <w:tcPr>
            <w:tcW w:w="1200" w:type="dxa"/>
            <w:tcBorders>
              <w:top w:val="nil"/>
              <w:left w:val="nil"/>
              <w:bottom w:val="nil"/>
              <w:right w:val="nil"/>
            </w:tcBorders>
          </w:tcPr>
          <w:p>
            <w:pPr>
              <w:pStyle w:val="TableParagraph"/>
              <w:spacing w:before="26"/>
              <w:ind w:right="231"/>
              <w:rPr>
                <w:sz w:val="20"/>
              </w:rPr>
            </w:pPr>
            <w:r>
              <w:rPr>
                <w:sz w:val="20"/>
              </w:rPr>
              <w:t>0.69</w:t>
            </w:r>
          </w:p>
        </w:tc>
        <w:tc>
          <w:tcPr>
            <w:tcW w:w="1200" w:type="dxa"/>
            <w:tcBorders>
              <w:top w:val="nil"/>
              <w:left w:val="nil"/>
              <w:bottom w:val="nil"/>
              <w:right w:val="nil"/>
            </w:tcBorders>
          </w:tcPr>
          <w:p>
            <w:pPr>
              <w:pStyle w:val="TableParagraph"/>
              <w:spacing w:before="26"/>
              <w:ind w:right="230"/>
              <w:rPr>
                <w:sz w:val="20"/>
              </w:rPr>
            </w:pPr>
            <w:r>
              <w:rPr>
                <w:sz w:val="20"/>
              </w:rPr>
              <w:t>0.50</w:t>
            </w:r>
          </w:p>
        </w:tc>
        <w:tc>
          <w:tcPr>
            <w:tcW w:w="1201" w:type="dxa"/>
            <w:tcBorders>
              <w:top w:val="nil"/>
              <w:left w:val="nil"/>
              <w:bottom w:val="nil"/>
              <w:right w:val="nil"/>
            </w:tcBorders>
          </w:tcPr>
          <w:p>
            <w:pPr>
              <w:pStyle w:val="TableParagraph"/>
              <w:spacing w:before="26"/>
              <w:ind w:right="230"/>
              <w:rPr>
                <w:sz w:val="20"/>
              </w:rPr>
            </w:pPr>
            <w:r>
              <w:rPr>
                <w:sz w:val="20"/>
              </w:rPr>
              <w:t>0.30</w:t>
            </w:r>
          </w:p>
        </w:tc>
        <w:tc>
          <w:tcPr>
            <w:tcW w:w="1140" w:type="dxa"/>
            <w:tcBorders>
              <w:top w:val="nil"/>
              <w:left w:val="nil"/>
              <w:bottom w:val="nil"/>
              <w:right w:val="nil"/>
            </w:tcBorders>
          </w:tcPr>
          <w:p>
            <w:pPr>
              <w:pStyle w:val="TableParagraph"/>
              <w:spacing w:before="26"/>
              <w:ind w:right="170"/>
              <w:rPr>
                <w:sz w:val="20"/>
              </w:rPr>
            </w:pPr>
            <w:r>
              <w:rPr>
                <w:sz w:val="20"/>
              </w:rPr>
              <w:t>0.63</w:t>
            </w:r>
          </w:p>
        </w:tc>
        <w:tc>
          <w:tcPr>
            <w:tcW w:w="1090" w:type="dxa"/>
            <w:tcBorders>
              <w:top w:val="nil"/>
              <w:left w:val="nil"/>
              <w:bottom w:val="nil"/>
              <w:right w:val="nil"/>
            </w:tcBorders>
          </w:tcPr>
          <w:p>
            <w:pPr>
              <w:pStyle w:val="TableParagraph"/>
              <w:spacing w:before="26"/>
              <w:ind w:right="60"/>
              <w:rPr>
                <w:sz w:val="20"/>
              </w:rPr>
            </w:pPr>
            <w:r>
              <w:rPr>
                <w:sz w:val="20"/>
              </w:rPr>
              <w:t>5.20</w:t>
            </w:r>
          </w:p>
        </w:tc>
      </w:tr>
      <w:tr>
        <w:trPr>
          <w:trHeight w:val="300" w:hRule="exact"/>
        </w:trPr>
        <w:tc>
          <w:tcPr>
            <w:tcW w:w="1373" w:type="dxa"/>
            <w:tcBorders>
              <w:top w:val="nil"/>
              <w:left w:val="nil"/>
              <w:bottom w:val="nil"/>
              <w:right w:val="nil"/>
            </w:tcBorders>
          </w:tcPr>
          <w:p>
            <w:pPr>
              <w:pStyle w:val="TableParagraph"/>
              <w:ind w:right="233"/>
              <w:rPr>
                <w:sz w:val="20"/>
              </w:rPr>
            </w:pPr>
            <w:r>
              <w:rPr>
                <w:sz w:val="20"/>
              </w:rPr>
              <w:t>14</w:t>
            </w:r>
          </w:p>
        </w:tc>
        <w:tc>
          <w:tcPr>
            <w:tcW w:w="1203" w:type="dxa"/>
            <w:tcBorders>
              <w:top w:val="nil"/>
              <w:left w:val="nil"/>
              <w:bottom w:val="nil"/>
              <w:right w:val="nil"/>
            </w:tcBorders>
          </w:tcPr>
          <w:p>
            <w:pPr>
              <w:pStyle w:val="TableParagraph"/>
              <w:ind w:right="231"/>
              <w:rPr>
                <w:sz w:val="20"/>
              </w:rPr>
            </w:pPr>
            <w:r>
              <w:rPr>
                <w:sz w:val="20"/>
              </w:rPr>
              <w:t>6.36</w:t>
            </w:r>
          </w:p>
        </w:tc>
        <w:tc>
          <w:tcPr>
            <w:tcW w:w="1201" w:type="dxa"/>
            <w:tcBorders>
              <w:top w:val="nil"/>
              <w:left w:val="nil"/>
              <w:bottom w:val="nil"/>
              <w:right w:val="nil"/>
            </w:tcBorders>
          </w:tcPr>
          <w:p>
            <w:pPr>
              <w:pStyle w:val="TableParagraph"/>
              <w:ind w:right="231"/>
              <w:rPr>
                <w:sz w:val="20"/>
              </w:rPr>
            </w:pPr>
            <w:r>
              <w:rPr>
                <w:sz w:val="20"/>
              </w:rPr>
              <w:t>9.74</w:t>
            </w:r>
          </w:p>
        </w:tc>
        <w:tc>
          <w:tcPr>
            <w:tcW w:w="1200" w:type="dxa"/>
            <w:tcBorders>
              <w:top w:val="nil"/>
              <w:left w:val="nil"/>
              <w:bottom w:val="nil"/>
              <w:right w:val="nil"/>
            </w:tcBorders>
          </w:tcPr>
          <w:p>
            <w:pPr>
              <w:pStyle w:val="TableParagraph"/>
              <w:ind w:right="231"/>
              <w:rPr>
                <w:sz w:val="20"/>
              </w:rPr>
            </w:pPr>
            <w:r>
              <w:rPr>
                <w:sz w:val="20"/>
              </w:rPr>
              <w:t>13.33</w:t>
            </w:r>
          </w:p>
        </w:tc>
        <w:tc>
          <w:tcPr>
            <w:tcW w:w="1200" w:type="dxa"/>
            <w:tcBorders>
              <w:top w:val="nil"/>
              <w:left w:val="nil"/>
              <w:bottom w:val="nil"/>
              <w:right w:val="nil"/>
            </w:tcBorders>
          </w:tcPr>
          <w:p>
            <w:pPr>
              <w:pStyle w:val="TableParagraph"/>
              <w:ind w:right="231"/>
              <w:rPr>
                <w:sz w:val="20"/>
              </w:rPr>
            </w:pPr>
            <w:r>
              <w:rPr>
                <w:sz w:val="20"/>
              </w:rPr>
              <w:t>8.23</w:t>
            </w:r>
          </w:p>
        </w:tc>
        <w:tc>
          <w:tcPr>
            <w:tcW w:w="1200" w:type="dxa"/>
            <w:tcBorders>
              <w:top w:val="nil"/>
              <w:left w:val="nil"/>
              <w:bottom w:val="nil"/>
              <w:right w:val="nil"/>
            </w:tcBorders>
          </w:tcPr>
          <w:p>
            <w:pPr>
              <w:pStyle w:val="TableParagraph"/>
              <w:ind w:right="230"/>
              <w:rPr>
                <w:sz w:val="20"/>
              </w:rPr>
            </w:pPr>
            <w:r>
              <w:rPr>
                <w:sz w:val="20"/>
              </w:rPr>
              <w:t>7.01</w:t>
            </w:r>
          </w:p>
        </w:tc>
        <w:tc>
          <w:tcPr>
            <w:tcW w:w="1201" w:type="dxa"/>
            <w:tcBorders>
              <w:top w:val="nil"/>
              <w:left w:val="nil"/>
              <w:bottom w:val="nil"/>
              <w:right w:val="nil"/>
            </w:tcBorders>
          </w:tcPr>
          <w:p>
            <w:pPr>
              <w:pStyle w:val="TableParagraph"/>
              <w:ind w:right="230"/>
              <w:rPr>
                <w:sz w:val="20"/>
              </w:rPr>
            </w:pPr>
            <w:r>
              <w:rPr>
                <w:sz w:val="20"/>
              </w:rPr>
              <w:t>4.42</w:t>
            </w:r>
          </w:p>
        </w:tc>
        <w:tc>
          <w:tcPr>
            <w:tcW w:w="1140" w:type="dxa"/>
            <w:tcBorders>
              <w:top w:val="nil"/>
              <w:left w:val="nil"/>
              <w:bottom w:val="nil"/>
              <w:right w:val="nil"/>
            </w:tcBorders>
          </w:tcPr>
          <w:p>
            <w:pPr>
              <w:pStyle w:val="TableParagraph"/>
              <w:ind w:right="170"/>
              <w:rPr>
                <w:sz w:val="20"/>
              </w:rPr>
            </w:pPr>
            <w:r>
              <w:rPr>
                <w:sz w:val="20"/>
              </w:rPr>
              <w:t>6.95</w:t>
            </w:r>
          </w:p>
        </w:tc>
        <w:tc>
          <w:tcPr>
            <w:tcW w:w="1090" w:type="dxa"/>
            <w:tcBorders>
              <w:top w:val="nil"/>
              <w:left w:val="nil"/>
              <w:bottom w:val="nil"/>
              <w:right w:val="nil"/>
            </w:tcBorders>
          </w:tcPr>
          <w:p>
            <w:pPr>
              <w:pStyle w:val="TableParagraph"/>
              <w:ind w:right="60"/>
              <w:rPr>
                <w:sz w:val="20"/>
              </w:rPr>
            </w:pPr>
            <w:r>
              <w:rPr>
                <w:sz w:val="20"/>
              </w:rPr>
              <w:t>56.05</w:t>
            </w:r>
          </w:p>
        </w:tc>
      </w:tr>
      <w:tr>
        <w:trPr>
          <w:trHeight w:val="300" w:hRule="exact"/>
        </w:trPr>
        <w:tc>
          <w:tcPr>
            <w:tcW w:w="1373" w:type="dxa"/>
            <w:tcBorders>
              <w:top w:val="nil"/>
              <w:left w:val="nil"/>
              <w:bottom w:val="nil"/>
              <w:right w:val="nil"/>
            </w:tcBorders>
          </w:tcPr>
          <w:p>
            <w:pPr>
              <w:pStyle w:val="TableParagraph"/>
              <w:spacing w:before="26"/>
              <w:ind w:right="233"/>
              <w:rPr>
                <w:sz w:val="20"/>
              </w:rPr>
            </w:pPr>
            <w:r>
              <w:rPr>
                <w:sz w:val="20"/>
              </w:rPr>
              <w:t>15</w:t>
            </w:r>
          </w:p>
        </w:tc>
        <w:tc>
          <w:tcPr>
            <w:tcW w:w="1203" w:type="dxa"/>
            <w:tcBorders>
              <w:top w:val="nil"/>
              <w:left w:val="nil"/>
              <w:bottom w:val="nil"/>
              <w:right w:val="nil"/>
            </w:tcBorders>
          </w:tcPr>
          <w:p>
            <w:pPr>
              <w:pStyle w:val="TableParagraph"/>
              <w:spacing w:before="26"/>
              <w:ind w:right="231"/>
              <w:rPr>
                <w:sz w:val="20"/>
              </w:rPr>
            </w:pPr>
            <w:r>
              <w:rPr>
                <w:sz w:val="20"/>
              </w:rPr>
              <w:t>0.22</w:t>
            </w:r>
          </w:p>
        </w:tc>
        <w:tc>
          <w:tcPr>
            <w:tcW w:w="1201" w:type="dxa"/>
            <w:tcBorders>
              <w:top w:val="nil"/>
              <w:left w:val="nil"/>
              <w:bottom w:val="nil"/>
              <w:right w:val="nil"/>
            </w:tcBorders>
          </w:tcPr>
          <w:p>
            <w:pPr>
              <w:pStyle w:val="TableParagraph"/>
              <w:spacing w:before="26"/>
              <w:ind w:right="231"/>
              <w:rPr>
                <w:sz w:val="20"/>
              </w:rPr>
            </w:pPr>
            <w:r>
              <w:rPr>
                <w:sz w:val="20"/>
              </w:rPr>
              <w:t>0.47</w:t>
            </w:r>
          </w:p>
        </w:tc>
        <w:tc>
          <w:tcPr>
            <w:tcW w:w="1200" w:type="dxa"/>
            <w:tcBorders>
              <w:top w:val="nil"/>
              <w:left w:val="nil"/>
              <w:bottom w:val="nil"/>
              <w:right w:val="nil"/>
            </w:tcBorders>
          </w:tcPr>
          <w:p>
            <w:pPr>
              <w:pStyle w:val="TableParagraph"/>
              <w:spacing w:before="26"/>
              <w:ind w:right="231"/>
              <w:rPr>
                <w:sz w:val="20"/>
              </w:rPr>
            </w:pPr>
            <w:r>
              <w:rPr>
                <w:sz w:val="20"/>
              </w:rPr>
              <w:t>0.63</w:t>
            </w:r>
          </w:p>
        </w:tc>
        <w:tc>
          <w:tcPr>
            <w:tcW w:w="1200" w:type="dxa"/>
            <w:tcBorders>
              <w:top w:val="nil"/>
              <w:left w:val="nil"/>
              <w:bottom w:val="nil"/>
              <w:right w:val="nil"/>
            </w:tcBorders>
          </w:tcPr>
          <w:p>
            <w:pPr>
              <w:pStyle w:val="TableParagraph"/>
              <w:spacing w:before="26"/>
              <w:ind w:right="231"/>
              <w:rPr>
                <w:sz w:val="20"/>
              </w:rPr>
            </w:pPr>
            <w:r>
              <w:rPr>
                <w:sz w:val="20"/>
              </w:rPr>
              <w:t>0.36</w:t>
            </w:r>
          </w:p>
        </w:tc>
        <w:tc>
          <w:tcPr>
            <w:tcW w:w="1200" w:type="dxa"/>
            <w:tcBorders>
              <w:top w:val="nil"/>
              <w:left w:val="nil"/>
              <w:bottom w:val="nil"/>
              <w:right w:val="nil"/>
            </w:tcBorders>
          </w:tcPr>
          <w:p>
            <w:pPr>
              <w:pStyle w:val="TableParagraph"/>
              <w:spacing w:before="26"/>
              <w:ind w:right="230"/>
              <w:rPr>
                <w:sz w:val="20"/>
              </w:rPr>
            </w:pPr>
            <w:r>
              <w:rPr>
                <w:sz w:val="20"/>
              </w:rPr>
              <w:t>0.21</w:t>
            </w:r>
          </w:p>
        </w:tc>
        <w:tc>
          <w:tcPr>
            <w:tcW w:w="1201" w:type="dxa"/>
            <w:tcBorders>
              <w:top w:val="nil"/>
              <w:left w:val="nil"/>
              <w:bottom w:val="nil"/>
              <w:right w:val="nil"/>
            </w:tcBorders>
          </w:tcPr>
          <w:p>
            <w:pPr>
              <w:pStyle w:val="TableParagraph"/>
              <w:spacing w:before="26"/>
              <w:ind w:right="230"/>
              <w:rPr>
                <w:sz w:val="20"/>
              </w:rPr>
            </w:pPr>
            <w:r>
              <w:rPr>
                <w:sz w:val="20"/>
              </w:rPr>
              <w:t>0.17</w:t>
            </w:r>
          </w:p>
        </w:tc>
        <w:tc>
          <w:tcPr>
            <w:tcW w:w="1140" w:type="dxa"/>
            <w:tcBorders>
              <w:top w:val="nil"/>
              <w:left w:val="nil"/>
              <w:bottom w:val="nil"/>
              <w:right w:val="nil"/>
            </w:tcBorders>
          </w:tcPr>
          <w:p>
            <w:pPr>
              <w:pStyle w:val="TableParagraph"/>
              <w:spacing w:before="26"/>
              <w:ind w:right="170"/>
              <w:rPr>
                <w:sz w:val="20"/>
              </w:rPr>
            </w:pPr>
            <w:r>
              <w:rPr>
                <w:sz w:val="20"/>
              </w:rPr>
              <w:t>0.23</w:t>
            </w:r>
          </w:p>
        </w:tc>
        <w:tc>
          <w:tcPr>
            <w:tcW w:w="1090" w:type="dxa"/>
            <w:tcBorders>
              <w:top w:val="nil"/>
              <w:left w:val="nil"/>
              <w:bottom w:val="nil"/>
              <w:right w:val="nil"/>
            </w:tcBorders>
          </w:tcPr>
          <w:p>
            <w:pPr>
              <w:pStyle w:val="TableParagraph"/>
              <w:spacing w:before="26"/>
              <w:ind w:right="60"/>
              <w:rPr>
                <w:sz w:val="20"/>
              </w:rPr>
            </w:pPr>
            <w:r>
              <w:rPr>
                <w:sz w:val="20"/>
              </w:rPr>
              <w:t>2.28</w:t>
            </w:r>
          </w:p>
        </w:tc>
      </w:tr>
      <w:tr>
        <w:trPr>
          <w:trHeight w:val="300" w:hRule="exact"/>
        </w:trPr>
        <w:tc>
          <w:tcPr>
            <w:tcW w:w="1373" w:type="dxa"/>
            <w:tcBorders>
              <w:top w:val="nil"/>
              <w:left w:val="nil"/>
              <w:bottom w:val="nil"/>
              <w:right w:val="nil"/>
            </w:tcBorders>
          </w:tcPr>
          <w:p>
            <w:pPr>
              <w:pStyle w:val="TableParagraph"/>
              <w:ind w:right="233"/>
              <w:rPr>
                <w:sz w:val="20"/>
              </w:rPr>
            </w:pPr>
            <w:r>
              <w:rPr>
                <w:sz w:val="20"/>
              </w:rPr>
              <w:t>16</w:t>
            </w:r>
          </w:p>
        </w:tc>
        <w:tc>
          <w:tcPr>
            <w:tcW w:w="1203" w:type="dxa"/>
            <w:tcBorders>
              <w:top w:val="nil"/>
              <w:left w:val="nil"/>
              <w:bottom w:val="nil"/>
              <w:right w:val="nil"/>
            </w:tcBorders>
          </w:tcPr>
          <w:p>
            <w:pPr>
              <w:pStyle w:val="TableParagraph"/>
              <w:ind w:right="231"/>
              <w:rPr>
                <w:sz w:val="20"/>
              </w:rPr>
            </w:pPr>
            <w:r>
              <w:rPr>
                <w:sz w:val="20"/>
              </w:rPr>
              <w:t>0.48</w:t>
            </w:r>
          </w:p>
        </w:tc>
        <w:tc>
          <w:tcPr>
            <w:tcW w:w="1201" w:type="dxa"/>
            <w:tcBorders>
              <w:top w:val="nil"/>
              <w:left w:val="nil"/>
              <w:bottom w:val="nil"/>
              <w:right w:val="nil"/>
            </w:tcBorders>
          </w:tcPr>
          <w:p>
            <w:pPr>
              <w:pStyle w:val="TableParagraph"/>
              <w:ind w:right="231"/>
              <w:rPr>
                <w:sz w:val="20"/>
              </w:rPr>
            </w:pPr>
            <w:r>
              <w:rPr>
                <w:sz w:val="20"/>
              </w:rPr>
              <w:t>1.30</w:t>
            </w:r>
          </w:p>
        </w:tc>
        <w:tc>
          <w:tcPr>
            <w:tcW w:w="1200" w:type="dxa"/>
            <w:tcBorders>
              <w:top w:val="nil"/>
              <w:left w:val="nil"/>
              <w:bottom w:val="nil"/>
              <w:right w:val="nil"/>
            </w:tcBorders>
          </w:tcPr>
          <w:p>
            <w:pPr>
              <w:pStyle w:val="TableParagraph"/>
              <w:ind w:right="231"/>
              <w:rPr>
                <w:sz w:val="20"/>
              </w:rPr>
            </w:pPr>
            <w:r>
              <w:rPr>
                <w:sz w:val="20"/>
              </w:rPr>
              <w:t>1.92</w:t>
            </w:r>
          </w:p>
        </w:tc>
        <w:tc>
          <w:tcPr>
            <w:tcW w:w="1200" w:type="dxa"/>
            <w:tcBorders>
              <w:top w:val="nil"/>
              <w:left w:val="nil"/>
              <w:bottom w:val="nil"/>
              <w:right w:val="nil"/>
            </w:tcBorders>
          </w:tcPr>
          <w:p>
            <w:pPr>
              <w:pStyle w:val="TableParagraph"/>
              <w:ind w:right="231"/>
              <w:rPr>
                <w:sz w:val="20"/>
              </w:rPr>
            </w:pPr>
            <w:r>
              <w:rPr>
                <w:sz w:val="20"/>
              </w:rPr>
              <w:t>1.07</w:t>
            </w:r>
          </w:p>
        </w:tc>
        <w:tc>
          <w:tcPr>
            <w:tcW w:w="1200" w:type="dxa"/>
            <w:tcBorders>
              <w:top w:val="nil"/>
              <w:left w:val="nil"/>
              <w:bottom w:val="nil"/>
              <w:right w:val="nil"/>
            </w:tcBorders>
          </w:tcPr>
          <w:p>
            <w:pPr>
              <w:pStyle w:val="TableParagraph"/>
              <w:ind w:right="230"/>
              <w:rPr>
                <w:sz w:val="20"/>
              </w:rPr>
            </w:pPr>
            <w:r>
              <w:rPr>
                <w:sz w:val="20"/>
              </w:rPr>
              <w:t>0.54</w:t>
            </w:r>
          </w:p>
        </w:tc>
        <w:tc>
          <w:tcPr>
            <w:tcW w:w="1201" w:type="dxa"/>
            <w:tcBorders>
              <w:top w:val="nil"/>
              <w:left w:val="nil"/>
              <w:bottom w:val="nil"/>
              <w:right w:val="nil"/>
            </w:tcBorders>
          </w:tcPr>
          <w:p>
            <w:pPr>
              <w:pStyle w:val="TableParagraph"/>
              <w:ind w:right="230"/>
              <w:rPr>
                <w:sz w:val="20"/>
              </w:rPr>
            </w:pPr>
            <w:r>
              <w:rPr>
                <w:sz w:val="20"/>
              </w:rPr>
              <w:t>0.45</w:t>
            </w:r>
          </w:p>
        </w:tc>
        <w:tc>
          <w:tcPr>
            <w:tcW w:w="1140" w:type="dxa"/>
            <w:tcBorders>
              <w:top w:val="nil"/>
              <w:left w:val="nil"/>
              <w:bottom w:val="nil"/>
              <w:right w:val="nil"/>
            </w:tcBorders>
          </w:tcPr>
          <w:p>
            <w:pPr>
              <w:pStyle w:val="TableParagraph"/>
              <w:ind w:right="170"/>
              <w:rPr>
                <w:sz w:val="20"/>
              </w:rPr>
            </w:pPr>
            <w:r>
              <w:rPr>
                <w:sz w:val="20"/>
              </w:rPr>
              <w:t>0.54</w:t>
            </w:r>
          </w:p>
        </w:tc>
        <w:tc>
          <w:tcPr>
            <w:tcW w:w="1090" w:type="dxa"/>
            <w:tcBorders>
              <w:top w:val="nil"/>
              <w:left w:val="nil"/>
              <w:bottom w:val="nil"/>
              <w:right w:val="nil"/>
            </w:tcBorders>
          </w:tcPr>
          <w:p>
            <w:pPr>
              <w:pStyle w:val="TableParagraph"/>
              <w:ind w:right="60"/>
              <w:rPr>
                <w:sz w:val="20"/>
              </w:rPr>
            </w:pPr>
            <w:r>
              <w:rPr>
                <w:sz w:val="20"/>
              </w:rPr>
              <w:t>6.29</w:t>
            </w:r>
          </w:p>
        </w:tc>
      </w:tr>
      <w:tr>
        <w:trPr>
          <w:trHeight w:val="300" w:hRule="exact"/>
        </w:trPr>
        <w:tc>
          <w:tcPr>
            <w:tcW w:w="1373" w:type="dxa"/>
            <w:tcBorders>
              <w:top w:val="nil"/>
              <w:left w:val="nil"/>
              <w:bottom w:val="nil"/>
              <w:right w:val="nil"/>
            </w:tcBorders>
          </w:tcPr>
          <w:p>
            <w:pPr>
              <w:pStyle w:val="TableParagraph"/>
              <w:spacing w:before="26"/>
              <w:ind w:right="233"/>
              <w:rPr>
                <w:sz w:val="20"/>
              </w:rPr>
            </w:pPr>
            <w:r>
              <w:rPr>
                <w:sz w:val="20"/>
              </w:rPr>
              <w:t>17</w:t>
            </w:r>
          </w:p>
        </w:tc>
        <w:tc>
          <w:tcPr>
            <w:tcW w:w="1203" w:type="dxa"/>
            <w:tcBorders>
              <w:top w:val="nil"/>
              <w:left w:val="nil"/>
              <w:bottom w:val="nil"/>
              <w:right w:val="nil"/>
            </w:tcBorders>
          </w:tcPr>
          <w:p>
            <w:pPr>
              <w:pStyle w:val="TableParagraph"/>
              <w:spacing w:before="26"/>
              <w:ind w:right="231"/>
              <w:rPr>
                <w:sz w:val="20"/>
              </w:rPr>
            </w:pPr>
            <w:r>
              <w:rPr>
                <w:sz w:val="20"/>
              </w:rPr>
              <w:t>6.80</w:t>
            </w:r>
          </w:p>
        </w:tc>
        <w:tc>
          <w:tcPr>
            <w:tcW w:w="1201" w:type="dxa"/>
            <w:tcBorders>
              <w:top w:val="nil"/>
              <w:left w:val="nil"/>
              <w:bottom w:val="nil"/>
              <w:right w:val="nil"/>
            </w:tcBorders>
          </w:tcPr>
          <w:p>
            <w:pPr>
              <w:pStyle w:val="TableParagraph"/>
              <w:spacing w:before="26"/>
              <w:ind w:right="231"/>
              <w:rPr>
                <w:sz w:val="20"/>
              </w:rPr>
            </w:pPr>
            <w:r>
              <w:rPr>
                <w:sz w:val="20"/>
              </w:rPr>
              <w:t>11.00</w:t>
            </w:r>
          </w:p>
        </w:tc>
        <w:tc>
          <w:tcPr>
            <w:tcW w:w="1200" w:type="dxa"/>
            <w:tcBorders>
              <w:top w:val="nil"/>
              <w:left w:val="nil"/>
              <w:bottom w:val="nil"/>
              <w:right w:val="nil"/>
            </w:tcBorders>
          </w:tcPr>
          <w:p>
            <w:pPr>
              <w:pStyle w:val="TableParagraph"/>
              <w:spacing w:before="26"/>
              <w:ind w:right="231"/>
              <w:rPr>
                <w:sz w:val="20"/>
              </w:rPr>
            </w:pPr>
            <w:r>
              <w:rPr>
                <w:sz w:val="20"/>
              </w:rPr>
              <w:t>15.22</w:t>
            </w:r>
          </w:p>
        </w:tc>
        <w:tc>
          <w:tcPr>
            <w:tcW w:w="1200" w:type="dxa"/>
            <w:tcBorders>
              <w:top w:val="nil"/>
              <w:left w:val="nil"/>
              <w:bottom w:val="nil"/>
              <w:right w:val="nil"/>
            </w:tcBorders>
          </w:tcPr>
          <w:p>
            <w:pPr>
              <w:pStyle w:val="TableParagraph"/>
              <w:spacing w:before="26"/>
              <w:ind w:right="231"/>
              <w:rPr>
                <w:sz w:val="20"/>
              </w:rPr>
            </w:pPr>
            <w:r>
              <w:rPr>
                <w:sz w:val="20"/>
              </w:rPr>
              <w:t>9.27</w:t>
            </w:r>
          </w:p>
        </w:tc>
        <w:tc>
          <w:tcPr>
            <w:tcW w:w="1200" w:type="dxa"/>
            <w:tcBorders>
              <w:top w:val="nil"/>
              <w:left w:val="nil"/>
              <w:bottom w:val="nil"/>
              <w:right w:val="nil"/>
            </w:tcBorders>
          </w:tcPr>
          <w:p>
            <w:pPr>
              <w:pStyle w:val="TableParagraph"/>
              <w:spacing w:before="26"/>
              <w:ind w:right="230"/>
              <w:rPr>
                <w:sz w:val="20"/>
              </w:rPr>
            </w:pPr>
            <w:r>
              <w:rPr>
                <w:sz w:val="20"/>
              </w:rPr>
              <w:t>7.52</w:t>
            </w:r>
          </w:p>
        </w:tc>
        <w:tc>
          <w:tcPr>
            <w:tcW w:w="1201" w:type="dxa"/>
            <w:tcBorders>
              <w:top w:val="nil"/>
              <w:left w:val="nil"/>
              <w:bottom w:val="nil"/>
              <w:right w:val="nil"/>
            </w:tcBorders>
          </w:tcPr>
          <w:p>
            <w:pPr>
              <w:pStyle w:val="TableParagraph"/>
              <w:spacing w:before="26"/>
              <w:ind w:right="230"/>
              <w:rPr>
                <w:sz w:val="20"/>
              </w:rPr>
            </w:pPr>
            <w:r>
              <w:rPr>
                <w:sz w:val="20"/>
              </w:rPr>
              <w:t>4.83</w:t>
            </w:r>
          </w:p>
        </w:tc>
        <w:tc>
          <w:tcPr>
            <w:tcW w:w="1140" w:type="dxa"/>
            <w:tcBorders>
              <w:top w:val="nil"/>
              <w:left w:val="nil"/>
              <w:bottom w:val="nil"/>
              <w:right w:val="nil"/>
            </w:tcBorders>
          </w:tcPr>
          <w:p>
            <w:pPr>
              <w:pStyle w:val="TableParagraph"/>
              <w:spacing w:before="26"/>
              <w:ind w:right="170"/>
              <w:rPr>
                <w:sz w:val="20"/>
              </w:rPr>
            </w:pPr>
            <w:r>
              <w:rPr>
                <w:sz w:val="20"/>
              </w:rPr>
              <w:t>7.46</w:t>
            </w:r>
          </w:p>
        </w:tc>
        <w:tc>
          <w:tcPr>
            <w:tcW w:w="1090" w:type="dxa"/>
            <w:tcBorders>
              <w:top w:val="nil"/>
              <w:left w:val="nil"/>
              <w:bottom w:val="nil"/>
              <w:right w:val="nil"/>
            </w:tcBorders>
          </w:tcPr>
          <w:p>
            <w:pPr>
              <w:pStyle w:val="TableParagraph"/>
              <w:spacing w:before="26"/>
              <w:ind w:right="60"/>
              <w:rPr>
                <w:sz w:val="20"/>
              </w:rPr>
            </w:pPr>
            <w:r>
              <w:rPr>
                <w:sz w:val="20"/>
              </w:rPr>
              <w:t>62.10</w:t>
            </w:r>
          </w:p>
        </w:tc>
      </w:tr>
      <w:tr>
        <w:trPr>
          <w:trHeight w:val="300" w:hRule="exact"/>
        </w:trPr>
        <w:tc>
          <w:tcPr>
            <w:tcW w:w="1373" w:type="dxa"/>
            <w:tcBorders>
              <w:top w:val="nil"/>
              <w:left w:val="nil"/>
              <w:bottom w:val="nil"/>
              <w:right w:val="nil"/>
            </w:tcBorders>
          </w:tcPr>
          <w:p>
            <w:pPr>
              <w:pStyle w:val="TableParagraph"/>
              <w:ind w:right="233"/>
              <w:rPr>
                <w:sz w:val="20"/>
              </w:rPr>
            </w:pPr>
            <w:r>
              <w:rPr>
                <w:sz w:val="20"/>
              </w:rPr>
              <w:t>18</w:t>
            </w:r>
          </w:p>
        </w:tc>
        <w:tc>
          <w:tcPr>
            <w:tcW w:w="1203" w:type="dxa"/>
            <w:tcBorders>
              <w:top w:val="nil"/>
              <w:left w:val="nil"/>
              <w:bottom w:val="nil"/>
              <w:right w:val="nil"/>
            </w:tcBorders>
          </w:tcPr>
          <w:p>
            <w:pPr>
              <w:pStyle w:val="TableParagraph"/>
              <w:ind w:right="231"/>
              <w:rPr>
                <w:sz w:val="20"/>
              </w:rPr>
            </w:pPr>
            <w:r>
              <w:rPr>
                <w:sz w:val="20"/>
              </w:rPr>
              <w:t>6.90</w:t>
            </w:r>
          </w:p>
        </w:tc>
        <w:tc>
          <w:tcPr>
            <w:tcW w:w="1201" w:type="dxa"/>
            <w:tcBorders>
              <w:top w:val="nil"/>
              <w:left w:val="nil"/>
              <w:bottom w:val="nil"/>
              <w:right w:val="nil"/>
            </w:tcBorders>
          </w:tcPr>
          <w:p>
            <w:pPr>
              <w:pStyle w:val="TableParagraph"/>
              <w:ind w:right="231"/>
              <w:rPr>
                <w:sz w:val="20"/>
              </w:rPr>
            </w:pPr>
            <w:r>
              <w:rPr>
                <w:sz w:val="20"/>
              </w:rPr>
              <w:t>11.43</w:t>
            </w:r>
          </w:p>
        </w:tc>
        <w:tc>
          <w:tcPr>
            <w:tcW w:w="1200" w:type="dxa"/>
            <w:tcBorders>
              <w:top w:val="nil"/>
              <w:left w:val="nil"/>
              <w:bottom w:val="nil"/>
              <w:right w:val="nil"/>
            </w:tcBorders>
          </w:tcPr>
          <w:p>
            <w:pPr>
              <w:pStyle w:val="TableParagraph"/>
              <w:ind w:right="231"/>
              <w:rPr>
                <w:sz w:val="20"/>
              </w:rPr>
            </w:pPr>
            <w:r>
              <w:rPr>
                <w:sz w:val="20"/>
              </w:rPr>
              <w:t>15.92</w:t>
            </w:r>
          </w:p>
        </w:tc>
        <w:tc>
          <w:tcPr>
            <w:tcW w:w="1200" w:type="dxa"/>
            <w:tcBorders>
              <w:top w:val="nil"/>
              <w:left w:val="nil"/>
              <w:bottom w:val="nil"/>
              <w:right w:val="nil"/>
            </w:tcBorders>
          </w:tcPr>
          <w:p>
            <w:pPr>
              <w:pStyle w:val="TableParagraph"/>
              <w:ind w:right="231"/>
              <w:rPr>
                <w:sz w:val="20"/>
              </w:rPr>
            </w:pPr>
            <w:r>
              <w:rPr>
                <w:sz w:val="20"/>
              </w:rPr>
              <w:t>9.61</w:t>
            </w:r>
          </w:p>
        </w:tc>
        <w:tc>
          <w:tcPr>
            <w:tcW w:w="1200" w:type="dxa"/>
            <w:tcBorders>
              <w:top w:val="nil"/>
              <w:left w:val="nil"/>
              <w:bottom w:val="nil"/>
              <w:right w:val="nil"/>
            </w:tcBorders>
          </w:tcPr>
          <w:p>
            <w:pPr>
              <w:pStyle w:val="TableParagraph"/>
              <w:ind w:right="230"/>
              <w:rPr>
                <w:sz w:val="20"/>
              </w:rPr>
            </w:pPr>
            <w:r>
              <w:rPr>
                <w:sz w:val="20"/>
              </w:rPr>
              <w:t>7.69</w:t>
            </w:r>
          </w:p>
        </w:tc>
        <w:tc>
          <w:tcPr>
            <w:tcW w:w="1201" w:type="dxa"/>
            <w:tcBorders>
              <w:top w:val="nil"/>
              <w:left w:val="nil"/>
              <w:bottom w:val="nil"/>
              <w:right w:val="nil"/>
            </w:tcBorders>
          </w:tcPr>
          <w:p>
            <w:pPr>
              <w:pStyle w:val="TableParagraph"/>
              <w:ind w:right="230"/>
              <w:rPr>
                <w:sz w:val="20"/>
              </w:rPr>
            </w:pPr>
            <w:r>
              <w:rPr>
                <w:sz w:val="20"/>
              </w:rPr>
              <w:t>4.94</w:t>
            </w:r>
          </w:p>
        </w:tc>
        <w:tc>
          <w:tcPr>
            <w:tcW w:w="1140" w:type="dxa"/>
            <w:tcBorders>
              <w:top w:val="nil"/>
              <w:left w:val="nil"/>
              <w:bottom w:val="nil"/>
              <w:right w:val="nil"/>
            </w:tcBorders>
          </w:tcPr>
          <w:p>
            <w:pPr>
              <w:pStyle w:val="TableParagraph"/>
              <w:ind w:right="170"/>
              <w:rPr>
                <w:sz w:val="20"/>
              </w:rPr>
            </w:pPr>
            <w:r>
              <w:rPr>
                <w:sz w:val="20"/>
              </w:rPr>
              <w:t>7.59</w:t>
            </w:r>
          </w:p>
        </w:tc>
        <w:tc>
          <w:tcPr>
            <w:tcW w:w="1090" w:type="dxa"/>
            <w:tcBorders>
              <w:top w:val="nil"/>
              <w:left w:val="nil"/>
              <w:bottom w:val="nil"/>
              <w:right w:val="nil"/>
            </w:tcBorders>
          </w:tcPr>
          <w:p>
            <w:pPr>
              <w:pStyle w:val="TableParagraph"/>
              <w:ind w:right="60"/>
              <w:rPr>
                <w:sz w:val="20"/>
              </w:rPr>
            </w:pPr>
            <w:r>
              <w:rPr>
                <w:sz w:val="20"/>
              </w:rPr>
              <w:t>64.09</w:t>
            </w:r>
          </w:p>
        </w:tc>
      </w:tr>
      <w:tr>
        <w:trPr>
          <w:trHeight w:val="300" w:hRule="exact"/>
        </w:trPr>
        <w:tc>
          <w:tcPr>
            <w:tcW w:w="1373" w:type="dxa"/>
            <w:tcBorders>
              <w:top w:val="nil"/>
              <w:left w:val="nil"/>
              <w:bottom w:val="nil"/>
              <w:right w:val="nil"/>
            </w:tcBorders>
          </w:tcPr>
          <w:p>
            <w:pPr>
              <w:pStyle w:val="TableParagraph"/>
              <w:spacing w:before="26"/>
              <w:ind w:right="233"/>
              <w:rPr>
                <w:sz w:val="20"/>
              </w:rPr>
            </w:pPr>
            <w:r>
              <w:rPr>
                <w:sz w:val="20"/>
              </w:rPr>
              <w:t>19</w:t>
            </w:r>
          </w:p>
        </w:tc>
        <w:tc>
          <w:tcPr>
            <w:tcW w:w="1203" w:type="dxa"/>
            <w:tcBorders>
              <w:top w:val="nil"/>
              <w:left w:val="nil"/>
              <w:bottom w:val="nil"/>
              <w:right w:val="nil"/>
            </w:tcBorders>
          </w:tcPr>
          <w:p>
            <w:pPr>
              <w:pStyle w:val="TableParagraph"/>
              <w:spacing w:before="26"/>
              <w:ind w:right="231"/>
              <w:rPr>
                <w:sz w:val="20"/>
              </w:rPr>
            </w:pPr>
            <w:r>
              <w:rPr>
                <w:sz w:val="20"/>
              </w:rPr>
              <w:t>0.14</w:t>
            </w:r>
          </w:p>
        </w:tc>
        <w:tc>
          <w:tcPr>
            <w:tcW w:w="1201" w:type="dxa"/>
            <w:tcBorders>
              <w:top w:val="nil"/>
              <w:left w:val="nil"/>
              <w:bottom w:val="nil"/>
              <w:right w:val="nil"/>
            </w:tcBorders>
          </w:tcPr>
          <w:p>
            <w:pPr>
              <w:pStyle w:val="TableParagraph"/>
              <w:spacing w:before="26"/>
              <w:ind w:right="231"/>
              <w:rPr>
                <w:sz w:val="20"/>
              </w:rPr>
            </w:pPr>
            <w:r>
              <w:rPr>
                <w:sz w:val="20"/>
              </w:rPr>
              <w:t>0.46</w:t>
            </w:r>
          </w:p>
        </w:tc>
        <w:tc>
          <w:tcPr>
            <w:tcW w:w="1200" w:type="dxa"/>
            <w:tcBorders>
              <w:top w:val="nil"/>
              <w:left w:val="nil"/>
              <w:bottom w:val="nil"/>
              <w:right w:val="nil"/>
            </w:tcBorders>
          </w:tcPr>
          <w:p>
            <w:pPr>
              <w:pStyle w:val="TableParagraph"/>
              <w:spacing w:before="26"/>
              <w:ind w:right="231"/>
              <w:rPr>
                <w:sz w:val="20"/>
              </w:rPr>
            </w:pPr>
            <w:r>
              <w:rPr>
                <w:sz w:val="20"/>
              </w:rPr>
              <w:t>0.74</w:t>
            </w:r>
          </w:p>
        </w:tc>
        <w:tc>
          <w:tcPr>
            <w:tcW w:w="1200" w:type="dxa"/>
            <w:tcBorders>
              <w:top w:val="nil"/>
              <w:left w:val="nil"/>
              <w:bottom w:val="nil"/>
              <w:right w:val="nil"/>
            </w:tcBorders>
          </w:tcPr>
          <w:p>
            <w:pPr>
              <w:pStyle w:val="TableParagraph"/>
              <w:spacing w:before="26"/>
              <w:ind w:right="231"/>
              <w:rPr>
                <w:sz w:val="20"/>
              </w:rPr>
            </w:pPr>
            <w:r>
              <w:rPr>
                <w:sz w:val="20"/>
              </w:rPr>
              <w:t>0.38</w:t>
            </w:r>
          </w:p>
        </w:tc>
        <w:tc>
          <w:tcPr>
            <w:tcW w:w="1200" w:type="dxa"/>
            <w:tcBorders>
              <w:top w:val="nil"/>
              <w:left w:val="nil"/>
              <w:bottom w:val="nil"/>
              <w:right w:val="nil"/>
            </w:tcBorders>
          </w:tcPr>
          <w:p>
            <w:pPr>
              <w:pStyle w:val="TableParagraph"/>
              <w:spacing w:before="26"/>
              <w:ind w:right="230"/>
              <w:rPr>
                <w:sz w:val="20"/>
              </w:rPr>
            </w:pPr>
            <w:r>
              <w:rPr>
                <w:sz w:val="20"/>
              </w:rPr>
              <w:t>0.21</w:t>
            </w:r>
          </w:p>
        </w:tc>
        <w:tc>
          <w:tcPr>
            <w:tcW w:w="1201" w:type="dxa"/>
            <w:tcBorders>
              <w:top w:val="nil"/>
              <w:left w:val="nil"/>
              <w:bottom w:val="nil"/>
              <w:right w:val="nil"/>
            </w:tcBorders>
          </w:tcPr>
          <w:p>
            <w:pPr>
              <w:pStyle w:val="TableParagraph"/>
              <w:spacing w:before="26"/>
              <w:ind w:right="230"/>
              <w:rPr>
                <w:sz w:val="20"/>
              </w:rPr>
            </w:pPr>
            <w:r>
              <w:rPr>
                <w:sz w:val="20"/>
              </w:rPr>
              <w:t>0.15</w:t>
            </w:r>
          </w:p>
        </w:tc>
        <w:tc>
          <w:tcPr>
            <w:tcW w:w="1140" w:type="dxa"/>
            <w:tcBorders>
              <w:top w:val="nil"/>
              <w:left w:val="nil"/>
              <w:bottom w:val="nil"/>
              <w:right w:val="nil"/>
            </w:tcBorders>
          </w:tcPr>
          <w:p>
            <w:pPr>
              <w:pStyle w:val="TableParagraph"/>
              <w:spacing w:before="26"/>
              <w:ind w:right="170"/>
              <w:rPr>
                <w:sz w:val="20"/>
              </w:rPr>
            </w:pPr>
            <w:r>
              <w:rPr>
                <w:sz w:val="20"/>
              </w:rPr>
              <w:t>0.17</w:t>
            </w:r>
          </w:p>
        </w:tc>
        <w:tc>
          <w:tcPr>
            <w:tcW w:w="1090" w:type="dxa"/>
            <w:tcBorders>
              <w:top w:val="nil"/>
              <w:left w:val="nil"/>
              <w:bottom w:val="nil"/>
              <w:right w:val="nil"/>
            </w:tcBorders>
          </w:tcPr>
          <w:p>
            <w:pPr>
              <w:pStyle w:val="TableParagraph"/>
              <w:spacing w:before="26"/>
              <w:ind w:right="60"/>
              <w:rPr>
                <w:sz w:val="20"/>
              </w:rPr>
            </w:pPr>
            <w:r>
              <w:rPr>
                <w:sz w:val="20"/>
              </w:rPr>
              <w:t>2.25</w:t>
            </w:r>
          </w:p>
        </w:tc>
      </w:tr>
      <w:tr>
        <w:trPr>
          <w:trHeight w:val="300" w:hRule="exact"/>
        </w:trPr>
        <w:tc>
          <w:tcPr>
            <w:tcW w:w="1373" w:type="dxa"/>
            <w:tcBorders>
              <w:top w:val="nil"/>
              <w:left w:val="nil"/>
              <w:bottom w:val="nil"/>
              <w:right w:val="nil"/>
            </w:tcBorders>
          </w:tcPr>
          <w:p>
            <w:pPr>
              <w:pStyle w:val="TableParagraph"/>
              <w:ind w:right="233"/>
              <w:rPr>
                <w:sz w:val="20"/>
              </w:rPr>
            </w:pPr>
            <w:r>
              <w:rPr>
                <w:sz w:val="20"/>
              </w:rPr>
              <w:t>20</w:t>
            </w:r>
          </w:p>
        </w:tc>
        <w:tc>
          <w:tcPr>
            <w:tcW w:w="1203" w:type="dxa"/>
            <w:tcBorders>
              <w:top w:val="nil"/>
              <w:left w:val="nil"/>
              <w:bottom w:val="nil"/>
              <w:right w:val="nil"/>
            </w:tcBorders>
          </w:tcPr>
          <w:p>
            <w:pPr>
              <w:pStyle w:val="TableParagraph"/>
              <w:ind w:right="231"/>
              <w:rPr>
                <w:sz w:val="20"/>
              </w:rPr>
            </w:pPr>
            <w:r>
              <w:rPr>
                <w:sz w:val="20"/>
              </w:rPr>
              <w:t>0.54</w:t>
            </w:r>
          </w:p>
        </w:tc>
        <w:tc>
          <w:tcPr>
            <w:tcW w:w="1201" w:type="dxa"/>
            <w:tcBorders>
              <w:top w:val="nil"/>
              <w:left w:val="nil"/>
              <w:bottom w:val="nil"/>
              <w:right w:val="nil"/>
            </w:tcBorders>
          </w:tcPr>
          <w:p>
            <w:pPr>
              <w:pStyle w:val="TableParagraph"/>
              <w:ind w:right="231"/>
              <w:rPr>
                <w:sz w:val="20"/>
              </w:rPr>
            </w:pPr>
            <w:r>
              <w:rPr>
                <w:sz w:val="20"/>
              </w:rPr>
              <w:t>0.89</w:t>
            </w:r>
          </w:p>
        </w:tc>
        <w:tc>
          <w:tcPr>
            <w:tcW w:w="1200" w:type="dxa"/>
            <w:tcBorders>
              <w:top w:val="nil"/>
              <w:left w:val="nil"/>
              <w:bottom w:val="nil"/>
              <w:right w:val="nil"/>
            </w:tcBorders>
          </w:tcPr>
          <w:p>
            <w:pPr>
              <w:pStyle w:val="TableParagraph"/>
              <w:ind w:right="231"/>
              <w:rPr>
                <w:sz w:val="20"/>
              </w:rPr>
            </w:pPr>
            <w:r>
              <w:rPr>
                <w:sz w:val="20"/>
              </w:rPr>
              <w:t>1.24</w:t>
            </w:r>
          </w:p>
        </w:tc>
        <w:tc>
          <w:tcPr>
            <w:tcW w:w="1200" w:type="dxa"/>
            <w:tcBorders>
              <w:top w:val="nil"/>
              <w:left w:val="nil"/>
              <w:bottom w:val="nil"/>
              <w:right w:val="nil"/>
            </w:tcBorders>
          </w:tcPr>
          <w:p>
            <w:pPr>
              <w:pStyle w:val="TableParagraph"/>
              <w:ind w:right="231"/>
              <w:rPr>
                <w:sz w:val="20"/>
              </w:rPr>
            </w:pPr>
            <w:r>
              <w:rPr>
                <w:sz w:val="20"/>
              </w:rPr>
              <w:t>1.59</w:t>
            </w:r>
          </w:p>
        </w:tc>
        <w:tc>
          <w:tcPr>
            <w:tcW w:w="1200" w:type="dxa"/>
            <w:tcBorders>
              <w:top w:val="nil"/>
              <w:left w:val="nil"/>
              <w:bottom w:val="nil"/>
              <w:right w:val="nil"/>
            </w:tcBorders>
          </w:tcPr>
          <w:p>
            <w:pPr>
              <w:pStyle w:val="TableParagraph"/>
              <w:ind w:right="230"/>
              <w:rPr>
                <w:sz w:val="20"/>
              </w:rPr>
            </w:pPr>
            <w:r>
              <w:rPr>
                <w:sz w:val="20"/>
              </w:rPr>
              <w:t>1.49</w:t>
            </w:r>
          </w:p>
        </w:tc>
        <w:tc>
          <w:tcPr>
            <w:tcW w:w="1201" w:type="dxa"/>
            <w:tcBorders>
              <w:top w:val="nil"/>
              <w:left w:val="nil"/>
              <w:bottom w:val="nil"/>
              <w:right w:val="nil"/>
            </w:tcBorders>
          </w:tcPr>
          <w:p>
            <w:pPr>
              <w:pStyle w:val="TableParagraph"/>
              <w:ind w:right="230"/>
              <w:rPr>
                <w:sz w:val="20"/>
              </w:rPr>
            </w:pPr>
            <w:r>
              <w:rPr>
                <w:sz w:val="20"/>
              </w:rPr>
              <w:t>0.90</w:t>
            </w:r>
          </w:p>
        </w:tc>
        <w:tc>
          <w:tcPr>
            <w:tcW w:w="1140" w:type="dxa"/>
            <w:tcBorders>
              <w:top w:val="nil"/>
              <w:left w:val="nil"/>
              <w:bottom w:val="nil"/>
              <w:right w:val="nil"/>
            </w:tcBorders>
          </w:tcPr>
          <w:p>
            <w:pPr>
              <w:pStyle w:val="TableParagraph"/>
              <w:ind w:right="170"/>
              <w:rPr>
                <w:sz w:val="20"/>
              </w:rPr>
            </w:pPr>
            <w:r>
              <w:rPr>
                <w:sz w:val="20"/>
              </w:rPr>
              <w:t>1.01</w:t>
            </w:r>
          </w:p>
        </w:tc>
        <w:tc>
          <w:tcPr>
            <w:tcW w:w="1090" w:type="dxa"/>
            <w:tcBorders>
              <w:top w:val="nil"/>
              <w:left w:val="nil"/>
              <w:bottom w:val="nil"/>
              <w:right w:val="nil"/>
            </w:tcBorders>
          </w:tcPr>
          <w:p>
            <w:pPr>
              <w:pStyle w:val="TableParagraph"/>
              <w:ind w:right="60"/>
              <w:rPr>
                <w:sz w:val="20"/>
              </w:rPr>
            </w:pPr>
            <w:r>
              <w:rPr>
                <w:sz w:val="20"/>
              </w:rPr>
              <w:t>7.65</w:t>
            </w:r>
          </w:p>
        </w:tc>
      </w:tr>
      <w:tr>
        <w:trPr>
          <w:trHeight w:val="300" w:hRule="exact"/>
        </w:trPr>
        <w:tc>
          <w:tcPr>
            <w:tcW w:w="1373" w:type="dxa"/>
            <w:tcBorders>
              <w:top w:val="nil"/>
              <w:left w:val="nil"/>
              <w:bottom w:val="nil"/>
              <w:right w:val="nil"/>
            </w:tcBorders>
          </w:tcPr>
          <w:p>
            <w:pPr>
              <w:pStyle w:val="TableParagraph"/>
              <w:spacing w:before="26"/>
              <w:ind w:right="233"/>
              <w:rPr>
                <w:sz w:val="20"/>
              </w:rPr>
            </w:pPr>
            <w:r>
              <w:rPr>
                <w:sz w:val="20"/>
              </w:rPr>
              <w:t>21</w:t>
            </w:r>
          </w:p>
        </w:tc>
        <w:tc>
          <w:tcPr>
            <w:tcW w:w="1203" w:type="dxa"/>
            <w:tcBorders>
              <w:top w:val="nil"/>
              <w:left w:val="nil"/>
              <w:bottom w:val="nil"/>
              <w:right w:val="nil"/>
            </w:tcBorders>
          </w:tcPr>
          <w:p>
            <w:pPr>
              <w:pStyle w:val="TableParagraph"/>
              <w:spacing w:before="26"/>
              <w:ind w:right="231"/>
              <w:rPr>
                <w:sz w:val="20"/>
              </w:rPr>
            </w:pPr>
            <w:r>
              <w:rPr>
                <w:sz w:val="20"/>
              </w:rPr>
              <w:t>0.12</w:t>
            </w:r>
          </w:p>
        </w:tc>
        <w:tc>
          <w:tcPr>
            <w:tcW w:w="1201" w:type="dxa"/>
            <w:tcBorders>
              <w:top w:val="nil"/>
              <w:left w:val="nil"/>
              <w:bottom w:val="nil"/>
              <w:right w:val="nil"/>
            </w:tcBorders>
          </w:tcPr>
          <w:p>
            <w:pPr>
              <w:pStyle w:val="TableParagraph"/>
              <w:spacing w:before="26"/>
              <w:ind w:right="231"/>
              <w:rPr>
                <w:sz w:val="20"/>
              </w:rPr>
            </w:pPr>
            <w:r>
              <w:rPr>
                <w:sz w:val="20"/>
              </w:rPr>
              <w:t>0.46</w:t>
            </w:r>
          </w:p>
        </w:tc>
        <w:tc>
          <w:tcPr>
            <w:tcW w:w="1200" w:type="dxa"/>
            <w:tcBorders>
              <w:top w:val="nil"/>
              <w:left w:val="nil"/>
              <w:bottom w:val="nil"/>
              <w:right w:val="nil"/>
            </w:tcBorders>
          </w:tcPr>
          <w:p>
            <w:pPr>
              <w:pStyle w:val="TableParagraph"/>
              <w:spacing w:before="26"/>
              <w:ind w:right="231"/>
              <w:rPr>
                <w:sz w:val="20"/>
              </w:rPr>
            </w:pPr>
            <w:r>
              <w:rPr>
                <w:sz w:val="20"/>
              </w:rPr>
              <w:t>0.69</w:t>
            </w:r>
          </w:p>
        </w:tc>
        <w:tc>
          <w:tcPr>
            <w:tcW w:w="1200" w:type="dxa"/>
            <w:tcBorders>
              <w:top w:val="nil"/>
              <w:left w:val="nil"/>
              <w:bottom w:val="nil"/>
              <w:right w:val="nil"/>
            </w:tcBorders>
          </w:tcPr>
          <w:p>
            <w:pPr>
              <w:pStyle w:val="TableParagraph"/>
              <w:spacing w:before="26"/>
              <w:ind w:right="231"/>
              <w:rPr>
                <w:sz w:val="20"/>
              </w:rPr>
            </w:pPr>
            <w:r>
              <w:rPr>
                <w:sz w:val="20"/>
              </w:rPr>
              <w:t>0.45</w:t>
            </w:r>
          </w:p>
        </w:tc>
        <w:tc>
          <w:tcPr>
            <w:tcW w:w="1200" w:type="dxa"/>
            <w:tcBorders>
              <w:top w:val="nil"/>
              <w:left w:val="nil"/>
              <w:bottom w:val="nil"/>
              <w:right w:val="nil"/>
            </w:tcBorders>
          </w:tcPr>
          <w:p>
            <w:pPr>
              <w:pStyle w:val="TableParagraph"/>
              <w:spacing w:before="26"/>
              <w:ind w:right="230"/>
              <w:rPr>
                <w:sz w:val="20"/>
              </w:rPr>
            </w:pPr>
            <w:r>
              <w:rPr>
                <w:sz w:val="20"/>
              </w:rPr>
              <w:t>0.16</w:t>
            </w:r>
          </w:p>
        </w:tc>
        <w:tc>
          <w:tcPr>
            <w:tcW w:w="1201" w:type="dxa"/>
            <w:tcBorders>
              <w:top w:val="nil"/>
              <w:left w:val="nil"/>
              <w:bottom w:val="nil"/>
              <w:right w:val="nil"/>
            </w:tcBorders>
          </w:tcPr>
          <w:p>
            <w:pPr>
              <w:pStyle w:val="TableParagraph"/>
              <w:spacing w:before="26"/>
              <w:ind w:right="230"/>
              <w:rPr>
                <w:sz w:val="20"/>
              </w:rPr>
            </w:pPr>
            <w:r>
              <w:rPr>
                <w:sz w:val="20"/>
              </w:rPr>
              <w:t>0.18</w:t>
            </w:r>
          </w:p>
        </w:tc>
        <w:tc>
          <w:tcPr>
            <w:tcW w:w="1140" w:type="dxa"/>
            <w:tcBorders>
              <w:top w:val="nil"/>
              <w:left w:val="nil"/>
              <w:bottom w:val="nil"/>
              <w:right w:val="nil"/>
            </w:tcBorders>
          </w:tcPr>
          <w:p>
            <w:pPr>
              <w:pStyle w:val="TableParagraph"/>
              <w:spacing w:before="26"/>
              <w:ind w:right="170"/>
              <w:rPr>
                <w:sz w:val="20"/>
              </w:rPr>
            </w:pPr>
            <w:r>
              <w:rPr>
                <w:sz w:val="20"/>
              </w:rPr>
              <w:t>0.15</w:t>
            </w:r>
          </w:p>
        </w:tc>
        <w:tc>
          <w:tcPr>
            <w:tcW w:w="1090" w:type="dxa"/>
            <w:tcBorders>
              <w:top w:val="nil"/>
              <w:left w:val="nil"/>
              <w:bottom w:val="nil"/>
              <w:right w:val="nil"/>
            </w:tcBorders>
          </w:tcPr>
          <w:p>
            <w:pPr>
              <w:pStyle w:val="TableParagraph"/>
              <w:spacing w:before="26"/>
              <w:ind w:right="60"/>
              <w:rPr>
                <w:sz w:val="20"/>
              </w:rPr>
            </w:pPr>
            <w:r>
              <w:rPr>
                <w:sz w:val="20"/>
              </w:rPr>
              <w:t>2.20</w:t>
            </w:r>
          </w:p>
        </w:tc>
      </w:tr>
      <w:tr>
        <w:trPr>
          <w:trHeight w:val="300" w:hRule="exact"/>
        </w:trPr>
        <w:tc>
          <w:tcPr>
            <w:tcW w:w="1373" w:type="dxa"/>
            <w:tcBorders>
              <w:top w:val="nil"/>
              <w:left w:val="nil"/>
              <w:bottom w:val="nil"/>
              <w:right w:val="nil"/>
            </w:tcBorders>
          </w:tcPr>
          <w:p>
            <w:pPr>
              <w:pStyle w:val="TableParagraph"/>
              <w:ind w:right="233"/>
              <w:rPr>
                <w:sz w:val="20"/>
              </w:rPr>
            </w:pPr>
            <w:r>
              <w:rPr>
                <w:sz w:val="20"/>
              </w:rPr>
              <w:t>22</w:t>
            </w:r>
          </w:p>
        </w:tc>
        <w:tc>
          <w:tcPr>
            <w:tcW w:w="1203" w:type="dxa"/>
            <w:tcBorders>
              <w:top w:val="nil"/>
              <w:left w:val="nil"/>
              <w:bottom w:val="nil"/>
              <w:right w:val="nil"/>
            </w:tcBorders>
          </w:tcPr>
          <w:p>
            <w:pPr>
              <w:pStyle w:val="TableParagraph"/>
              <w:ind w:right="231"/>
              <w:rPr>
                <w:sz w:val="20"/>
              </w:rPr>
            </w:pPr>
            <w:r>
              <w:rPr>
                <w:sz w:val="20"/>
              </w:rPr>
              <w:t>0.39</w:t>
            </w:r>
          </w:p>
        </w:tc>
        <w:tc>
          <w:tcPr>
            <w:tcW w:w="1201" w:type="dxa"/>
            <w:tcBorders>
              <w:top w:val="nil"/>
              <w:left w:val="nil"/>
              <w:bottom w:val="nil"/>
              <w:right w:val="nil"/>
            </w:tcBorders>
          </w:tcPr>
          <w:p>
            <w:pPr>
              <w:pStyle w:val="TableParagraph"/>
              <w:ind w:right="231"/>
              <w:rPr>
                <w:sz w:val="20"/>
              </w:rPr>
            </w:pPr>
            <w:r>
              <w:rPr>
                <w:sz w:val="20"/>
              </w:rPr>
              <w:t>0.53</w:t>
            </w:r>
          </w:p>
        </w:tc>
        <w:tc>
          <w:tcPr>
            <w:tcW w:w="1200" w:type="dxa"/>
            <w:tcBorders>
              <w:top w:val="nil"/>
              <w:left w:val="nil"/>
              <w:bottom w:val="nil"/>
              <w:right w:val="nil"/>
            </w:tcBorders>
          </w:tcPr>
          <w:p>
            <w:pPr>
              <w:pStyle w:val="TableParagraph"/>
              <w:ind w:right="231"/>
              <w:rPr>
                <w:sz w:val="20"/>
              </w:rPr>
            </w:pPr>
            <w:r>
              <w:rPr>
                <w:sz w:val="20"/>
              </w:rPr>
              <w:t>0.67</w:t>
            </w:r>
          </w:p>
        </w:tc>
        <w:tc>
          <w:tcPr>
            <w:tcW w:w="1200" w:type="dxa"/>
            <w:tcBorders>
              <w:top w:val="nil"/>
              <w:left w:val="nil"/>
              <w:bottom w:val="nil"/>
              <w:right w:val="nil"/>
            </w:tcBorders>
          </w:tcPr>
          <w:p>
            <w:pPr>
              <w:pStyle w:val="TableParagraph"/>
              <w:ind w:right="231"/>
              <w:rPr>
                <w:sz w:val="20"/>
              </w:rPr>
            </w:pPr>
            <w:r>
              <w:rPr>
                <w:sz w:val="20"/>
              </w:rPr>
              <w:t>0.82</w:t>
            </w:r>
          </w:p>
        </w:tc>
        <w:tc>
          <w:tcPr>
            <w:tcW w:w="1200" w:type="dxa"/>
            <w:tcBorders>
              <w:top w:val="nil"/>
              <w:left w:val="nil"/>
              <w:bottom w:val="nil"/>
              <w:right w:val="nil"/>
            </w:tcBorders>
          </w:tcPr>
          <w:p>
            <w:pPr>
              <w:pStyle w:val="TableParagraph"/>
              <w:ind w:right="230"/>
              <w:rPr>
                <w:sz w:val="20"/>
              </w:rPr>
            </w:pPr>
            <w:r>
              <w:rPr>
                <w:sz w:val="20"/>
              </w:rPr>
              <w:t>0.74</w:t>
            </w:r>
          </w:p>
        </w:tc>
        <w:tc>
          <w:tcPr>
            <w:tcW w:w="1201" w:type="dxa"/>
            <w:tcBorders>
              <w:top w:val="nil"/>
              <w:left w:val="nil"/>
              <w:bottom w:val="nil"/>
              <w:right w:val="nil"/>
            </w:tcBorders>
          </w:tcPr>
          <w:p>
            <w:pPr>
              <w:pStyle w:val="TableParagraph"/>
              <w:ind w:right="230"/>
              <w:rPr>
                <w:sz w:val="20"/>
              </w:rPr>
            </w:pPr>
            <w:r>
              <w:rPr>
                <w:sz w:val="20"/>
              </w:rPr>
              <w:t>0.41</w:t>
            </w:r>
          </w:p>
        </w:tc>
        <w:tc>
          <w:tcPr>
            <w:tcW w:w="1140" w:type="dxa"/>
            <w:tcBorders>
              <w:top w:val="nil"/>
              <w:left w:val="nil"/>
              <w:bottom w:val="nil"/>
              <w:right w:val="nil"/>
            </w:tcBorders>
          </w:tcPr>
          <w:p>
            <w:pPr>
              <w:pStyle w:val="TableParagraph"/>
              <w:ind w:right="170"/>
              <w:rPr>
                <w:sz w:val="20"/>
              </w:rPr>
            </w:pPr>
            <w:r>
              <w:rPr>
                <w:sz w:val="20"/>
              </w:rPr>
              <w:t>0.64</w:t>
            </w:r>
          </w:p>
        </w:tc>
        <w:tc>
          <w:tcPr>
            <w:tcW w:w="1090" w:type="dxa"/>
            <w:tcBorders>
              <w:top w:val="nil"/>
              <w:left w:val="nil"/>
              <w:bottom w:val="nil"/>
              <w:right w:val="nil"/>
            </w:tcBorders>
          </w:tcPr>
          <w:p>
            <w:pPr>
              <w:pStyle w:val="TableParagraph"/>
              <w:ind w:right="60"/>
              <w:rPr>
                <w:sz w:val="20"/>
              </w:rPr>
            </w:pPr>
            <w:r>
              <w:rPr>
                <w:sz w:val="20"/>
              </w:rPr>
              <w:t>4.20</w:t>
            </w:r>
          </w:p>
        </w:tc>
      </w:tr>
      <w:tr>
        <w:trPr>
          <w:trHeight w:val="300" w:hRule="exact"/>
        </w:trPr>
        <w:tc>
          <w:tcPr>
            <w:tcW w:w="1373" w:type="dxa"/>
            <w:tcBorders>
              <w:top w:val="nil"/>
              <w:left w:val="nil"/>
              <w:bottom w:val="nil"/>
              <w:right w:val="nil"/>
            </w:tcBorders>
          </w:tcPr>
          <w:p>
            <w:pPr>
              <w:pStyle w:val="TableParagraph"/>
              <w:spacing w:before="26"/>
              <w:ind w:right="233"/>
              <w:rPr>
                <w:sz w:val="20"/>
              </w:rPr>
            </w:pPr>
            <w:r>
              <w:rPr>
                <w:sz w:val="20"/>
              </w:rPr>
              <w:t>23</w:t>
            </w:r>
          </w:p>
        </w:tc>
        <w:tc>
          <w:tcPr>
            <w:tcW w:w="1203" w:type="dxa"/>
            <w:tcBorders>
              <w:top w:val="nil"/>
              <w:left w:val="nil"/>
              <w:bottom w:val="nil"/>
              <w:right w:val="nil"/>
            </w:tcBorders>
          </w:tcPr>
          <w:p>
            <w:pPr>
              <w:pStyle w:val="TableParagraph"/>
              <w:spacing w:before="26"/>
              <w:ind w:right="231"/>
              <w:rPr>
                <w:sz w:val="20"/>
              </w:rPr>
            </w:pPr>
            <w:r>
              <w:rPr>
                <w:sz w:val="20"/>
              </w:rPr>
              <w:t>7.53</w:t>
            </w:r>
          </w:p>
        </w:tc>
        <w:tc>
          <w:tcPr>
            <w:tcW w:w="1201" w:type="dxa"/>
            <w:tcBorders>
              <w:top w:val="nil"/>
              <w:left w:val="nil"/>
              <w:bottom w:val="nil"/>
              <w:right w:val="nil"/>
            </w:tcBorders>
          </w:tcPr>
          <w:p>
            <w:pPr>
              <w:pStyle w:val="TableParagraph"/>
              <w:spacing w:before="26"/>
              <w:ind w:right="231"/>
              <w:rPr>
                <w:sz w:val="20"/>
              </w:rPr>
            </w:pPr>
            <w:r>
              <w:rPr>
                <w:sz w:val="20"/>
              </w:rPr>
              <w:t>13.00</w:t>
            </w:r>
          </w:p>
        </w:tc>
        <w:tc>
          <w:tcPr>
            <w:tcW w:w="1200" w:type="dxa"/>
            <w:tcBorders>
              <w:top w:val="nil"/>
              <w:left w:val="nil"/>
              <w:bottom w:val="nil"/>
              <w:right w:val="nil"/>
            </w:tcBorders>
          </w:tcPr>
          <w:p>
            <w:pPr>
              <w:pStyle w:val="TableParagraph"/>
              <w:spacing w:before="26"/>
              <w:ind w:right="231"/>
              <w:rPr>
                <w:sz w:val="20"/>
              </w:rPr>
            </w:pPr>
            <w:r>
              <w:rPr>
                <w:sz w:val="20"/>
              </w:rPr>
              <w:t>18.28</w:t>
            </w:r>
          </w:p>
        </w:tc>
        <w:tc>
          <w:tcPr>
            <w:tcW w:w="1200" w:type="dxa"/>
            <w:tcBorders>
              <w:top w:val="nil"/>
              <w:left w:val="nil"/>
              <w:bottom w:val="nil"/>
              <w:right w:val="nil"/>
            </w:tcBorders>
          </w:tcPr>
          <w:p>
            <w:pPr>
              <w:pStyle w:val="TableParagraph"/>
              <w:spacing w:before="26"/>
              <w:ind w:right="231"/>
              <w:rPr>
                <w:sz w:val="20"/>
              </w:rPr>
            </w:pPr>
            <w:r>
              <w:rPr>
                <w:sz w:val="20"/>
              </w:rPr>
              <w:t>10.82</w:t>
            </w:r>
          </w:p>
        </w:tc>
        <w:tc>
          <w:tcPr>
            <w:tcW w:w="1200" w:type="dxa"/>
            <w:tcBorders>
              <w:top w:val="nil"/>
              <w:left w:val="nil"/>
              <w:bottom w:val="nil"/>
              <w:right w:val="nil"/>
            </w:tcBorders>
          </w:tcPr>
          <w:p>
            <w:pPr>
              <w:pStyle w:val="TableParagraph"/>
              <w:spacing w:before="26"/>
              <w:ind w:right="230"/>
              <w:rPr>
                <w:sz w:val="20"/>
              </w:rPr>
            </w:pPr>
            <w:r>
              <w:rPr>
                <w:sz w:val="20"/>
              </w:rPr>
              <w:t>8.37</w:t>
            </w:r>
          </w:p>
        </w:tc>
        <w:tc>
          <w:tcPr>
            <w:tcW w:w="1201" w:type="dxa"/>
            <w:tcBorders>
              <w:top w:val="nil"/>
              <w:left w:val="nil"/>
              <w:bottom w:val="nil"/>
              <w:right w:val="nil"/>
            </w:tcBorders>
          </w:tcPr>
          <w:p>
            <w:pPr>
              <w:pStyle w:val="TableParagraph"/>
              <w:spacing w:before="26"/>
              <w:ind w:right="230"/>
              <w:rPr>
                <w:sz w:val="20"/>
              </w:rPr>
            </w:pPr>
            <w:r>
              <w:rPr>
                <w:sz w:val="20"/>
              </w:rPr>
              <w:t>5.42</w:t>
            </w:r>
          </w:p>
        </w:tc>
        <w:tc>
          <w:tcPr>
            <w:tcW w:w="1140" w:type="dxa"/>
            <w:tcBorders>
              <w:top w:val="nil"/>
              <w:left w:val="nil"/>
              <w:bottom w:val="nil"/>
              <w:right w:val="nil"/>
            </w:tcBorders>
          </w:tcPr>
          <w:p>
            <w:pPr>
              <w:pStyle w:val="TableParagraph"/>
              <w:spacing w:before="26"/>
              <w:ind w:right="170"/>
              <w:rPr>
                <w:sz w:val="20"/>
              </w:rPr>
            </w:pPr>
            <w:r>
              <w:rPr>
                <w:sz w:val="20"/>
              </w:rPr>
              <w:t>8.30</w:t>
            </w:r>
          </w:p>
        </w:tc>
        <w:tc>
          <w:tcPr>
            <w:tcW w:w="1090" w:type="dxa"/>
            <w:tcBorders>
              <w:top w:val="nil"/>
              <w:left w:val="nil"/>
              <w:bottom w:val="nil"/>
              <w:right w:val="nil"/>
            </w:tcBorders>
          </w:tcPr>
          <w:p>
            <w:pPr>
              <w:pStyle w:val="TableParagraph"/>
              <w:spacing w:before="26"/>
              <w:ind w:right="60"/>
              <w:rPr>
                <w:sz w:val="20"/>
              </w:rPr>
            </w:pPr>
            <w:r>
              <w:rPr>
                <w:sz w:val="20"/>
              </w:rPr>
              <w:t>71.72</w:t>
            </w:r>
          </w:p>
        </w:tc>
      </w:tr>
      <w:tr>
        <w:trPr>
          <w:trHeight w:val="300" w:hRule="exact"/>
        </w:trPr>
        <w:tc>
          <w:tcPr>
            <w:tcW w:w="1373" w:type="dxa"/>
            <w:tcBorders>
              <w:top w:val="nil"/>
              <w:left w:val="nil"/>
              <w:bottom w:val="nil"/>
              <w:right w:val="nil"/>
            </w:tcBorders>
          </w:tcPr>
          <w:p>
            <w:pPr>
              <w:pStyle w:val="TableParagraph"/>
              <w:ind w:right="233"/>
              <w:rPr>
                <w:sz w:val="20"/>
              </w:rPr>
            </w:pPr>
            <w:r>
              <w:rPr>
                <w:sz w:val="20"/>
              </w:rPr>
              <w:t>24</w:t>
            </w:r>
          </w:p>
        </w:tc>
        <w:tc>
          <w:tcPr>
            <w:tcW w:w="1203" w:type="dxa"/>
            <w:tcBorders>
              <w:top w:val="nil"/>
              <w:left w:val="nil"/>
              <w:bottom w:val="nil"/>
              <w:right w:val="nil"/>
            </w:tcBorders>
          </w:tcPr>
          <w:p>
            <w:pPr>
              <w:pStyle w:val="TableParagraph"/>
              <w:ind w:right="231"/>
              <w:rPr>
                <w:sz w:val="20"/>
              </w:rPr>
            </w:pPr>
            <w:r>
              <w:rPr>
                <w:sz w:val="20"/>
              </w:rPr>
              <w:t>0.88</w:t>
            </w:r>
          </w:p>
        </w:tc>
        <w:tc>
          <w:tcPr>
            <w:tcW w:w="1201" w:type="dxa"/>
            <w:tcBorders>
              <w:top w:val="nil"/>
              <w:left w:val="nil"/>
              <w:bottom w:val="nil"/>
              <w:right w:val="nil"/>
            </w:tcBorders>
          </w:tcPr>
          <w:p>
            <w:pPr>
              <w:pStyle w:val="TableParagraph"/>
              <w:ind w:right="231"/>
              <w:rPr>
                <w:sz w:val="20"/>
              </w:rPr>
            </w:pPr>
            <w:r>
              <w:rPr>
                <w:sz w:val="20"/>
              </w:rPr>
              <w:t>1.29</w:t>
            </w:r>
          </w:p>
        </w:tc>
        <w:tc>
          <w:tcPr>
            <w:tcW w:w="1200" w:type="dxa"/>
            <w:tcBorders>
              <w:top w:val="nil"/>
              <w:left w:val="nil"/>
              <w:bottom w:val="nil"/>
              <w:right w:val="nil"/>
            </w:tcBorders>
          </w:tcPr>
          <w:p>
            <w:pPr>
              <w:pStyle w:val="TableParagraph"/>
              <w:ind w:right="231"/>
              <w:rPr>
                <w:sz w:val="20"/>
              </w:rPr>
            </w:pPr>
            <w:r>
              <w:rPr>
                <w:sz w:val="20"/>
              </w:rPr>
              <w:t>1.69</w:t>
            </w:r>
          </w:p>
        </w:tc>
        <w:tc>
          <w:tcPr>
            <w:tcW w:w="1200" w:type="dxa"/>
            <w:tcBorders>
              <w:top w:val="nil"/>
              <w:left w:val="nil"/>
              <w:bottom w:val="nil"/>
              <w:right w:val="nil"/>
            </w:tcBorders>
          </w:tcPr>
          <w:p>
            <w:pPr>
              <w:pStyle w:val="TableParagraph"/>
              <w:ind w:right="231"/>
              <w:rPr>
                <w:sz w:val="20"/>
              </w:rPr>
            </w:pPr>
            <w:r>
              <w:rPr>
                <w:sz w:val="20"/>
              </w:rPr>
              <w:t>2.08</w:t>
            </w:r>
          </w:p>
        </w:tc>
        <w:tc>
          <w:tcPr>
            <w:tcW w:w="1200" w:type="dxa"/>
            <w:tcBorders>
              <w:top w:val="nil"/>
              <w:left w:val="nil"/>
              <w:bottom w:val="nil"/>
              <w:right w:val="nil"/>
            </w:tcBorders>
          </w:tcPr>
          <w:p>
            <w:pPr>
              <w:pStyle w:val="TableParagraph"/>
              <w:ind w:right="230"/>
              <w:rPr>
                <w:sz w:val="20"/>
              </w:rPr>
            </w:pPr>
            <w:r>
              <w:rPr>
                <w:sz w:val="20"/>
              </w:rPr>
              <w:t>1.91</w:t>
            </w:r>
          </w:p>
        </w:tc>
        <w:tc>
          <w:tcPr>
            <w:tcW w:w="1201" w:type="dxa"/>
            <w:tcBorders>
              <w:top w:val="nil"/>
              <w:left w:val="nil"/>
              <w:bottom w:val="nil"/>
              <w:right w:val="nil"/>
            </w:tcBorders>
          </w:tcPr>
          <w:p>
            <w:pPr>
              <w:pStyle w:val="TableParagraph"/>
              <w:ind w:right="230"/>
              <w:rPr>
                <w:sz w:val="20"/>
              </w:rPr>
            </w:pPr>
            <w:r>
              <w:rPr>
                <w:sz w:val="20"/>
              </w:rPr>
              <w:t>1.12</w:t>
            </w:r>
          </w:p>
        </w:tc>
        <w:tc>
          <w:tcPr>
            <w:tcW w:w="1140" w:type="dxa"/>
            <w:tcBorders>
              <w:top w:val="nil"/>
              <w:left w:val="nil"/>
              <w:bottom w:val="nil"/>
              <w:right w:val="nil"/>
            </w:tcBorders>
          </w:tcPr>
          <w:p>
            <w:pPr>
              <w:pStyle w:val="TableParagraph"/>
              <w:ind w:right="170"/>
              <w:rPr>
                <w:sz w:val="20"/>
              </w:rPr>
            </w:pPr>
            <w:r>
              <w:rPr>
                <w:sz w:val="20"/>
              </w:rPr>
              <w:t>1.48</w:t>
            </w:r>
          </w:p>
        </w:tc>
        <w:tc>
          <w:tcPr>
            <w:tcW w:w="1090" w:type="dxa"/>
            <w:tcBorders>
              <w:top w:val="nil"/>
              <w:left w:val="nil"/>
              <w:bottom w:val="nil"/>
              <w:right w:val="nil"/>
            </w:tcBorders>
          </w:tcPr>
          <w:p>
            <w:pPr>
              <w:pStyle w:val="TableParagraph"/>
              <w:ind w:right="60"/>
              <w:rPr>
                <w:sz w:val="20"/>
              </w:rPr>
            </w:pPr>
            <w:r>
              <w:rPr>
                <w:sz w:val="20"/>
              </w:rPr>
              <w:t>10.44</w:t>
            </w:r>
          </w:p>
        </w:tc>
      </w:tr>
      <w:tr>
        <w:trPr>
          <w:trHeight w:val="300" w:hRule="exact"/>
        </w:trPr>
        <w:tc>
          <w:tcPr>
            <w:tcW w:w="1373" w:type="dxa"/>
            <w:tcBorders>
              <w:top w:val="nil"/>
              <w:left w:val="nil"/>
              <w:bottom w:val="nil"/>
              <w:right w:val="nil"/>
            </w:tcBorders>
          </w:tcPr>
          <w:p>
            <w:pPr>
              <w:pStyle w:val="TableParagraph"/>
              <w:spacing w:before="26"/>
              <w:ind w:right="233"/>
              <w:rPr>
                <w:sz w:val="20"/>
              </w:rPr>
            </w:pPr>
            <w:r>
              <w:rPr>
                <w:sz w:val="20"/>
              </w:rPr>
              <w:t>25</w:t>
            </w:r>
          </w:p>
        </w:tc>
        <w:tc>
          <w:tcPr>
            <w:tcW w:w="1203" w:type="dxa"/>
            <w:tcBorders>
              <w:top w:val="nil"/>
              <w:left w:val="nil"/>
              <w:bottom w:val="nil"/>
              <w:right w:val="nil"/>
            </w:tcBorders>
          </w:tcPr>
          <w:p>
            <w:pPr>
              <w:pStyle w:val="TableParagraph"/>
              <w:spacing w:before="26"/>
              <w:ind w:right="231"/>
              <w:rPr>
                <w:sz w:val="20"/>
              </w:rPr>
            </w:pPr>
            <w:r>
              <w:rPr>
                <w:sz w:val="20"/>
              </w:rPr>
              <w:t>0.24</w:t>
            </w:r>
          </w:p>
        </w:tc>
        <w:tc>
          <w:tcPr>
            <w:tcW w:w="1201" w:type="dxa"/>
            <w:tcBorders>
              <w:top w:val="nil"/>
              <w:left w:val="nil"/>
              <w:bottom w:val="nil"/>
              <w:right w:val="nil"/>
            </w:tcBorders>
          </w:tcPr>
          <w:p>
            <w:pPr>
              <w:pStyle w:val="TableParagraph"/>
              <w:spacing w:before="26"/>
              <w:ind w:right="231"/>
              <w:rPr>
                <w:sz w:val="20"/>
              </w:rPr>
            </w:pPr>
            <w:r>
              <w:rPr>
                <w:sz w:val="20"/>
              </w:rPr>
              <w:t>0.39</w:t>
            </w:r>
          </w:p>
        </w:tc>
        <w:tc>
          <w:tcPr>
            <w:tcW w:w="1200" w:type="dxa"/>
            <w:tcBorders>
              <w:top w:val="nil"/>
              <w:left w:val="nil"/>
              <w:bottom w:val="nil"/>
              <w:right w:val="nil"/>
            </w:tcBorders>
          </w:tcPr>
          <w:p>
            <w:pPr>
              <w:pStyle w:val="TableParagraph"/>
              <w:spacing w:before="26"/>
              <w:ind w:right="231"/>
              <w:rPr>
                <w:sz w:val="20"/>
              </w:rPr>
            </w:pPr>
            <w:r>
              <w:rPr>
                <w:sz w:val="20"/>
              </w:rPr>
              <w:t>0.57</w:t>
            </w:r>
          </w:p>
        </w:tc>
        <w:tc>
          <w:tcPr>
            <w:tcW w:w="1200" w:type="dxa"/>
            <w:tcBorders>
              <w:top w:val="nil"/>
              <w:left w:val="nil"/>
              <w:bottom w:val="nil"/>
              <w:right w:val="nil"/>
            </w:tcBorders>
          </w:tcPr>
          <w:p>
            <w:pPr>
              <w:pStyle w:val="TableParagraph"/>
              <w:spacing w:before="26"/>
              <w:ind w:right="231"/>
              <w:rPr>
                <w:sz w:val="20"/>
              </w:rPr>
            </w:pPr>
            <w:r>
              <w:rPr>
                <w:sz w:val="20"/>
              </w:rPr>
              <w:t>0.73</w:t>
            </w:r>
          </w:p>
        </w:tc>
        <w:tc>
          <w:tcPr>
            <w:tcW w:w="1200" w:type="dxa"/>
            <w:tcBorders>
              <w:top w:val="nil"/>
              <w:left w:val="nil"/>
              <w:bottom w:val="nil"/>
              <w:right w:val="nil"/>
            </w:tcBorders>
          </w:tcPr>
          <w:p>
            <w:pPr>
              <w:pStyle w:val="TableParagraph"/>
              <w:spacing w:before="26"/>
              <w:ind w:right="230"/>
              <w:rPr>
                <w:sz w:val="20"/>
              </w:rPr>
            </w:pPr>
            <w:r>
              <w:rPr>
                <w:sz w:val="20"/>
              </w:rPr>
              <w:t>0.66</w:t>
            </w:r>
          </w:p>
        </w:tc>
        <w:tc>
          <w:tcPr>
            <w:tcW w:w="1201" w:type="dxa"/>
            <w:tcBorders>
              <w:top w:val="nil"/>
              <w:left w:val="nil"/>
              <w:bottom w:val="nil"/>
              <w:right w:val="nil"/>
            </w:tcBorders>
          </w:tcPr>
          <w:p>
            <w:pPr>
              <w:pStyle w:val="TableParagraph"/>
              <w:spacing w:before="26"/>
              <w:ind w:right="230"/>
              <w:rPr>
                <w:sz w:val="20"/>
              </w:rPr>
            </w:pPr>
            <w:r>
              <w:rPr>
                <w:sz w:val="20"/>
              </w:rPr>
              <w:t>0.40</w:t>
            </w:r>
          </w:p>
        </w:tc>
        <w:tc>
          <w:tcPr>
            <w:tcW w:w="1140" w:type="dxa"/>
            <w:tcBorders>
              <w:top w:val="nil"/>
              <w:left w:val="nil"/>
              <w:bottom w:val="nil"/>
              <w:right w:val="nil"/>
            </w:tcBorders>
          </w:tcPr>
          <w:p>
            <w:pPr>
              <w:pStyle w:val="TableParagraph"/>
              <w:spacing w:before="26"/>
              <w:ind w:right="170"/>
              <w:rPr>
                <w:sz w:val="20"/>
              </w:rPr>
            </w:pPr>
            <w:r>
              <w:rPr>
                <w:sz w:val="20"/>
              </w:rPr>
              <w:t>0.43</w:t>
            </w:r>
          </w:p>
        </w:tc>
        <w:tc>
          <w:tcPr>
            <w:tcW w:w="1090" w:type="dxa"/>
            <w:tcBorders>
              <w:top w:val="nil"/>
              <w:left w:val="nil"/>
              <w:bottom w:val="nil"/>
              <w:right w:val="nil"/>
            </w:tcBorders>
          </w:tcPr>
          <w:p>
            <w:pPr>
              <w:pStyle w:val="TableParagraph"/>
              <w:spacing w:before="26"/>
              <w:ind w:right="60"/>
              <w:rPr>
                <w:sz w:val="20"/>
              </w:rPr>
            </w:pPr>
            <w:r>
              <w:rPr>
                <w:sz w:val="20"/>
              </w:rPr>
              <w:t>3.42</w:t>
            </w:r>
          </w:p>
        </w:tc>
      </w:tr>
      <w:tr>
        <w:trPr>
          <w:trHeight w:val="300" w:hRule="exact"/>
        </w:trPr>
        <w:tc>
          <w:tcPr>
            <w:tcW w:w="1373" w:type="dxa"/>
            <w:tcBorders>
              <w:top w:val="nil"/>
              <w:left w:val="nil"/>
              <w:bottom w:val="nil"/>
              <w:right w:val="nil"/>
            </w:tcBorders>
          </w:tcPr>
          <w:p>
            <w:pPr>
              <w:pStyle w:val="TableParagraph"/>
              <w:ind w:right="233"/>
              <w:rPr>
                <w:sz w:val="20"/>
              </w:rPr>
            </w:pPr>
            <w:r>
              <w:rPr>
                <w:sz w:val="20"/>
              </w:rPr>
              <w:t>26</w:t>
            </w:r>
          </w:p>
        </w:tc>
        <w:tc>
          <w:tcPr>
            <w:tcW w:w="1203" w:type="dxa"/>
            <w:tcBorders>
              <w:top w:val="nil"/>
              <w:left w:val="nil"/>
              <w:bottom w:val="nil"/>
              <w:right w:val="nil"/>
            </w:tcBorders>
          </w:tcPr>
          <w:p>
            <w:pPr>
              <w:pStyle w:val="TableParagraph"/>
              <w:ind w:right="231"/>
              <w:rPr>
                <w:sz w:val="20"/>
              </w:rPr>
            </w:pPr>
            <w:r>
              <w:rPr>
                <w:sz w:val="20"/>
              </w:rPr>
              <w:t>0.61</w:t>
            </w:r>
          </w:p>
        </w:tc>
        <w:tc>
          <w:tcPr>
            <w:tcW w:w="1201" w:type="dxa"/>
            <w:tcBorders>
              <w:top w:val="nil"/>
              <w:left w:val="nil"/>
              <w:bottom w:val="nil"/>
              <w:right w:val="nil"/>
            </w:tcBorders>
          </w:tcPr>
          <w:p>
            <w:pPr>
              <w:pStyle w:val="TableParagraph"/>
              <w:ind w:right="231"/>
              <w:rPr>
                <w:sz w:val="20"/>
              </w:rPr>
            </w:pPr>
            <w:r>
              <w:rPr>
                <w:sz w:val="20"/>
              </w:rPr>
              <w:t>1.43</w:t>
            </w:r>
          </w:p>
        </w:tc>
        <w:tc>
          <w:tcPr>
            <w:tcW w:w="1200" w:type="dxa"/>
            <w:tcBorders>
              <w:top w:val="nil"/>
              <w:left w:val="nil"/>
              <w:bottom w:val="nil"/>
              <w:right w:val="nil"/>
            </w:tcBorders>
          </w:tcPr>
          <w:p>
            <w:pPr>
              <w:pStyle w:val="TableParagraph"/>
              <w:ind w:right="231"/>
              <w:rPr>
                <w:sz w:val="20"/>
              </w:rPr>
            </w:pPr>
            <w:r>
              <w:rPr>
                <w:sz w:val="20"/>
              </w:rPr>
              <w:t>2.13</w:t>
            </w:r>
          </w:p>
        </w:tc>
        <w:tc>
          <w:tcPr>
            <w:tcW w:w="1200" w:type="dxa"/>
            <w:tcBorders>
              <w:top w:val="nil"/>
              <w:left w:val="nil"/>
              <w:bottom w:val="nil"/>
              <w:right w:val="nil"/>
            </w:tcBorders>
          </w:tcPr>
          <w:p>
            <w:pPr>
              <w:pStyle w:val="TableParagraph"/>
              <w:ind w:right="231"/>
              <w:rPr>
                <w:sz w:val="20"/>
              </w:rPr>
            </w:pPr>
            <w:r>
              <w:rPr>
                <w:sz w:val="20"/>
              </w:rPr>
              <w:t>1.11</w:t>
            </w:r>
          </w:p>
        </w:tc>
        <w:tc>
          <w:tcPr>
            <w:tcW w:w="1200" w:type="dxa"/>
            <w:tcBorders>
              <w:top w:val="nil"/>
              <w:left w:val="nil"/>
              <w:bottom w:val="nil"/>
              <w:right w:val="nil"/>
            </w:tcBorders>
          </w:tcPr>
          <w:p>
            <w:pPr>
              <w:pStyle w:val="TableParagraph"/>
              <w:ind w:right="230"/>
              <w:rPr>
                <w:sz w:val="20"/>
              </w:rPr>
            </w:pPr>
            <w:r>
              <w:rPr>
                <w:sz w:val="20"/>
              </w:rPr>
              <w:t>0.64</w:t>
            </w:r>
          </w:p>
        </w:tc>
        <w:tc>
          <w:tcPr>
            <w:tcW w:w="1201" w:type="dxa"/>
            <w:tcBorders>
              <w:top w:val="nil"/>
              <w:left w:val="nil"/>
              <w:bottom w:val="nil"/>
              <w:right w:val="nil"/>
            </w:tcBorders>
          </w:tcPr>
          <w:p>
            <w:pPr>
              <w:pStyle w:val="TableParagraph"/>
              <w:ind w:right="230"/>
              <w:rPr>
                <w:sz w:val="20"/>
              </w:rPr>
            </w:pPr>
            <w:r>
              <w:rPr>
                <w:sz w:val="20"/>
              </w:rPr>
              <w:t>0.45</w:t>
            </w:r>
          </w:p>
        </w:tc>
        <w:tc>
          <w:tcPr>
            <w:tcW w:w="1140" w:type="dxa"/>
            <w:tcBorders>
              <w:top w:val="nil"/>
              <w:left w:val="nil"/>
              <w:bottom w:val="nil"/>
              <w:right w:val="nil"/>
            </w:tcBorders>
          </w:tcPr>
          <w:p>
            <w:pPr>
              <w:pStyle w:val="TableParagraph"/>
              <w:ind w:right="170"/>
              <w:rPr>
                <w:sz w:val="20"/>
              </w:rPr>
            </w:pPr>
            <w:r>
              <w:rPr>
                <w:sz w:val="20"/>
              </w:rPr>
              <w:t>0.68</w:t>
            </w:r>
          </w:p>
        </w:tc>
        <w:tc>
          <w:tcPr>
            <w:tcW w:w="1090" w:type="dxa"/>
            <w:tcBorders>
              <w:top w:val="nil"/>
              <w:left w:val="nil"/>
              <w:bottom w:val="nil"/>
              <w:right w:val="nil"/>
            </w:tcBorders>
          </w:tcPr>
          <w:p>
            <w:pPr>
              <w:pStyle w:val="TableParagraph"/>
              <w:ind w:right="60"/>
              <w:rPr>
                <w:sz w:val="20"/>
              </w:rPr>
            </w:pPr>
            <w:r>
              <w:rPr>
                <w:sz w:val="20"/>
              </w:rPr>
              <w:t>7.04</w:t>
            </w:r>
          </w:p>
        </w:tc>
      </w:tr>
      <w:tr>
        <w:trPr>
          <w:trHeight w:val="300" w:hRule="exact"/>
        </w:trPr>
        <w:tc>
          <w:tcPr>
            <w:tcW w:w="1373" w:type="dxa"/>
            <w:tcBorders>
              <w:top w:val="nil"/>
              <w:left w:val="nil"/>
              <w:bottom w:val="nil"/>
              <w:right w:val="nil"/>
            </w:tcBorders>
          </w:tcPr>
          <w:p>
            <w:pPr>
              <w:pStyle w:val="TableParagraph"/>
              <w:spacing w:before="26"/>
              <w:ind w:right="233"/>
              <w:rPr>
                <w:sz w:val="20"/>
              </w:rPr>
            </w:pPr>
            <w:r>
              <w:rPr>
                <w:sz w:val="20"/>
              </w:rPr>
              <w:t>27</w:t>
            </w:r>
          </w:p>
        </w:tc>
        <w:tc>
          <w:tcPr>
            <w:tcW w:w="1203" w:type="dxa"/>
            <w:tcBorders>
              <w:top w:val="nil"/>
              <w:left w:val="nil"/>
              <w:bottom w:val="nil"/>
              <w:right w:val="nil"/>
            </w:tcBorders>
          </w:tcPr>
          <w:p>
            <w:pPr>
              <w:pStyle w:val="TableParagraph"/>
              <w:spacing w:before="26"/>
              <w:ind w:right="231"/>
              <w:rPr>
                <w:sz w:val="20"/>
              </w:rPr>
            </w:pPr>
            <w:r>
              <w:rPr>
                <w:sz w:val="20"/>
              </w:rPr>
              <w:t>8.87</w:t>
            </w:r>
          </w:p>
        </w:tc>
        <w:tc>
          <w:tcPr>
            <w:tcW w:w="1201" w:type="dxa"/>
            <w:tcBorders>
              <w:top w:val="nil"/>
              <w:left w:val="nil"/>
              <w:bottom w:val="nil"/>
              <w:right w:val="nil"/>
            </w:tcBorders>
          </w:tcPr>
          <w:p>
            <w:pPr>
              <w:pStyle w:val="TableParagraph"/>
              <w:spacing w:before="26"/>
              <w:ind w:right="231"/>
              <w:rPr>
                <w:sz w:val="20"/>
              </w:rPr>
            </w:pPr>
            <w:r>
              <w:rPr>
                <w:sz w:val="20"/>
              </w:rPr>
              <w:t>15.28</w:t>
            </w:r>
          </w:p>
        </w:tc>
        <w:tc>
          <w:tcPr>
            <w:tcW w:w="1200" w:type="dxa"/>
            <w:tcBorders>
              <w:top w:val="nil"/>
              <w:left w:val="nil"/>
              <w:bottom w:val="nil"/>
              <w:right w:val="nil"/>
            </w:tcBorders>
          </w:tcPr>
          <w:p>
            <w:pPr>
              <w:pStyle w:val="TableParagraph"/>
              <w:spacing w:before="26"/>
              <w:ind w:right="231"/>
              <w:rPr>
                <w:sz w:val="20"/>
              </w:rPr>
            </w:pPr>
            <w:r>
              <w:rPr>
                <w:sz w:val="20"/>
              </w:rPr>
              <w:t>21.39</w:t>
            </w:r>
          </w:p>
        </w:tc>
        <w:tc>
          <w:tcPr>
            <w:tcW w:w="1200" w:type="dxa"/>
            <w:tcBorders>
              <w:top w:val="nil"/>
              <w:left w:val="nil"/>
              <w:bottom w:val="nil"/>
              <w:right w:val="nil"/>
            </w:tcBorders>
          </w:tcPr>
          <w:p>
            <w:pPr>
              <w:pStyle w:val="TableParagraph"/>
              <w:spacing w:before="26"/>
              <w:ind w:right="231"/>
              <w:rPr>
                <w:sz w:val="20"/>
              </w:rPr>
            </w:pPr>
            <w:r>
              <w:rPr>
                <w:sz w:val="20"/>
              </w:rPr>
              <w:t>14.73</w:t>
            </w:r>
          </w:p>
        </w:tc>
        <w:tc>
          <w:tcPr>
            <w:tcW w:w="1200" w:type="dxa"/>
            <w:tcBorders>
              <w:top w:val="nil"/>
              <w:left w:val="nil"/>
              <w:bottom w:val="nil"/>
              <w:right w:val="nil"/>
            </w:tcBorders>
          </w:tcPr>
          <w:p>
            <w:pPr>
              <w:pStyle w:val="TableParagraph"/>
              <w:spacing w:before="26"/>
              <w:ind w:right="230"/>
              <w:rPr>
                <w:sz w:val="20"/>
              </w:rPr>
            </w:pPr>
            <w:r>
              <w:rPr>
                <w:sz w:val="20"/>
              </w:rPr>
              <w:t>12.00</w:t>
            </w:r>
          </w:p>
        </w:tc>
        <w:tc>
          <w:tcPr>
            <w:tcW w:w="1201" w:type="dxa"/>
            <w:tcBorders>
              <w:top w:val="nil"/>
              <w:left w:val="nil"/>
              <w:bottom w:val="nil"/>
              <w:right w:val="nil"/>
            </w:tcBorders>
          </w:tcPr>
          <w:p>
            <w:pPr>
              <w:pStyle w:val="TableParagraph"/>
              <w:spacing w:before="26"/>
              <w:ind w:right="230"/>
              <w:rPr>
                <w:sz w:val="20"/>
              </w:rPr>
            </w:pPr>
            <w:r>
              <w:rPr>
                <w:sz w:val="20"/>
              </w:rPr>
              <w:t>7.48</w:t>
            </w:r>
          </w:p>
        </w:tc>
        <w:tc>
          <w:tcPr>
            <w:tcW w:w="1140" w:type="dxa"/>
            <w:tcBorders>
              <w:top w:val="nil"/>
              <w:left w:val="nil"/>
              <w:bottom w:val="nil"/>
              <w:right w:val="nil"/>
            </w:tcBorders>
          </w:tcPr>
          <w:p>
            <w:pPr>
              <w:pStyle w:val="TableParagraph"/>
              <w:spacing w:before="26"/>
              <w:ind w:right="170"/>
              <w:rPr>
                <w:sz w:val="20"/>
              </w:rPr>
            </w:pPr>
            <w:r>
              <w:rPr>
                <w:sz w:val="20"/>
              </w:rPr>
              <w:t>10.89</w:t>
            </w:r>
          </w:p>
        </w:tc>
        <w:tc>
          <w:tcPr>
            <w:tcW w:w="1090" w:type="dxa"/>
            <w:tcBorders>
              <w:top w:val="nil"/>
              <w:left w:val="nil"/>
              <w:bottom w:val="nil"/>
              <w:right w:val="nil"/>
            </w:tcBorders>
          </w:tcPr>
          <w:p>
            <w:pPr>
              <w:pStyle w:val="TableParagraph"/>
              <w:spacing w:before="26"/>
              <w:ind w:right="60"/>
              <w:rPr>
                <w:sz w:val="20"/>
              </w:rPr>
            </w:pPr>
            <w:r>
              <w:rPr>
                <w:sz w:val="20"/>
              </w:rPr>
              <w:t>90.64</w:t>
            </w:r>
          </w:p>
        </w:tc>
      </w:tr>
      <w:tr>
        <w:trPr>
          <w:trHeight w:val="300" w:hRule="exact"/>
        </w:trPr>
        <w:tc>
          <w:tcPr>
            <w:tcW w:w="1373" w:type="dxa"/>
            <w:tcBorders>
              <w:top w:val="nil"/>
              <w:left w:val="nil"/>
              <w:bottom w:val="nil"/>
              <w:right w:val="nil"/>
            </w:tcBorders>
          </w:tcPr>
          <w:p>
            <w:pPr>
              <w:pStyle w:val="TableParagraph"/>
              <w:ind w:right="233"/>
              <w:rPr>
                <w:sz w:val="20"/>
              </w:rPr>
            </w:pPr>
            <w:r>
              <w:rPr>
                <w:sz w:val="20"/>
              </w:rPr>
              <w:t>28</w:t>
            </w:r>
          </w:p>
        </w:tc>
        <w:tc>
          <w:tcPr>
            <w:tcW w:w="1203" w:type="dxa"/>
            <w:tcBorders>
              <w:top w:val="nil"/>
              <w:left w:val="nil"/>
              <w:bottom w:val="nil"/>
              <w:right w:val="nil"/>
            </w:tcBorders>
          </w:tcPr>
          <w:p>
            <w:pPr>
              <w:pStyle w:val="TableParagraph"/>
              <w:ind w:right="231"/>
              <w:rPr>
                <w:sz w:val="20"/>
              </w:rPr>
            </w:pPr>
            <w:r>
              <w:rPr>
                <w:sz w:val="20"/>
              </w:rPr>
              <w:t>9.99</w:t>
            </w:r>
          </w:p>
        </w:tc>
        <w:tc>
          <w:tcPr>
            <w:tcW w:w="1201" w:type="dxa"/>
            <w:tcBorders>
              <w:top w:val="nil"/>
              <w:left w:val="nil"/>
              <w:bottom w:val="nil"/>
              <w:right w:val="nil"/>
            </w:tcBorders>
          </w:tcPr>
          <w:p>
            <w:pPr>
              <w:pStyle w:val="TableParagraph"/>
              <w:ind w:right="231"/>
              <w:rPr>
                <w:sz w:val="20"/>
              </w:rPr>
            </w:pPr>
            <w:r>
              <w:rPr>
                <w:sz w:val="20"/>
              </w:rPr>
              <w:t>17.04</w:t>
            </w:r>
          </w:p>
        </w:tc>
        <w:tc>
          <w:tcPr>
            <w:tcW w:w="1200" w:type="dxa"/>
            <w:tcBorders>
              <w:top w:val="nil"/>
              <w:left w:val="nil"/>
              <w:bottom w:val="nil"/>
              <w:right w:val="nil"/>
            </w:tcBorders>
          </w:tcPr>
          <w:p>
            <w:pPr>
              <w:pStyle w:val="TableParagraph"/>
              <w:ind w:right="231"/>
              <w:rPr>
                <w:sz w:val="20"/>
              </w:rPr>
            </w:pPr>
            <w:r>
              <w:rPr>
                <w:sz w:val="20"/>
              </w:rPr>
              <w:t>23.80</w:t>
            </w:r>
          </w:p>
        </w:tc>
        <w:tc>
          <w:tcPr>
            <w:tcW w:w="1200" w:type="dxa"/>
            <w:tcBorders>
              <w:top w:val="nil"/>
              <w:left w:val="nil"/>
              <w:bottom w:val="nil"/>
              <w:right w:val="nil"/>
            </w:tcBorders>
          </w:tcPr>
          <w:p>
            <w:pPr>
              <w:pStyle w:val="TableParagraph"/>
              <w:ind w:right="231"/>
              <w:rPr>
                <w:sz w:val="20"/>
              </w:rPr>
            </w:pPr>
            <w:r>
              <w:rPr>
                <w:sz w:val="20"/>
              </w:rPr>
              <w:t>18.20</w:t>
            </w:r>
          </w:p>
        </w:tc>
        <w:tc>
          <w:tcPr>
            <w:tcW w:w="1200" w:type="dxa"/>
            <w:tcBorders>
              <w:top w:val="nil"/>
              <w:left w:val="nil"/>
              <w:bottom w:val="nil"/>
              <w:right w:val="nil"/>
            </w:tcBorders>
          </w:tcPr>
          <w:p>
            <w:pPr>
              <w:pStyle w:val="TableParagraph"/>
              <w:ind w:right="230"/>
              <w:rPr>
                <w:sz w:val="20"/>
              </w:rPr>
            </w:pPr>
            <w:r>
              <w:rPr>
                <w:sz w:val="20"/>
              </w:rPr>
              <w:t>15.68</w:t>
            </w:r>
          </w:p>
        </w:tc>
        <w:tc>
          <w:tcPr>
            <w:tcW w:w="1201" w:type="dxa"/>
            <w:tcBorders>
              <w:top w:val="nil"/>
              <w:left w:val="nil"/>
              <w:bottom w:val="nil"/>
              <w:right w:val="nil"/>
            </w:tcBorders>
          </w:tcPr>
          <w:p>
            <w:pPr>
              <w:pStyle w:val="TableParagraph"/>
              <w:ind w:right="230"/>
              <w:rPr>
                <w:sz w:val="20"/>
              </w:rPr>
            </w:pPr>
            <w:r>
              <w:rPr>
                <w:sz w:val="20"/>
              </w:rPr>
              <w:t>9.98</w:t>
            </w:r>
          </w:p>
        </w:tc>
        <w:tc>
          <w:tcPr>
            <w:tcW w:w="1140" w:type="dxa"/>
            <w:tcBorders>
              <w:top w:val="nil"/>
              <w:left w:val="nil"/>
              <w:bottom w:val="nil"/>
              <w:right w:val="nil"/>
            </w:tcBorders>
          </w:tcPr>
          <w:p>
            <w:pPr>
              <w:pStyle w:val="TableParagraph"/>
              <w:ind w:right="170"/>
              <w:rPr>
                <w:sz w:val="20"/>
              </w:rPr>
            </w:pPr>
            <w:r>
              <w:rPr>
                <w:sz w:val="20"/>
              </w:rPr>
              <w:t>13.35</w:t>
            </w:r>
          </w:p>
        </w:tc>
        <w:tc>
          <w:tcPr>
            <w:tcW w:w="1090" w:type="dxa"/>
            <w:tcBorders>
              <w:top w:val="nil"/>
              <w:left w:val="nil"/>
              <w:bottom w:val="nil"/>
              <w:right w:val="nil"/>
            </w:tcBorders>
          </w:tcPr>
          <w:p>
            <w:pPr>
              <w:pStyle w:val="TableParagraph"/>
              <w:ind w:right="61"/>
              <w:rPr>
                <w:sz w:val="20"/>
              </w:rPr>
            </w:pPr>
            <w:r>
              <w:rPr>
                <w:sz w:val="20"/>
              </w:rPr>
              <w:t>108.06</w:t>
            </w:r>
          </w:p>
        </w:tc>
      </w:tr>
      <w:tr>
        <w:trPr>
          <w:trHeight w:val="300" w:hRule="exact"/>
        </w:trPr>
        <w:tc>
          <w:tcPr>
            <w:tcW w:w="1373" w:type="dxa"/>
            <w:tcBorders>
              <w:top w:val="nil"/>
              <w:left w:val="nil"/>
              <w:bottom w:val="nil"/>
              <w:right w:val="nil"/>
            </w:tcBorders>
          </w:tcPr>
          <w:p>
            <w:pPr>
              <w:pStyle w:val="TableParagraph"/>
              <w:spacing w:before="26"/>
              <w:ind w:right="233"/>
              <w:rPr>
                <w:sz w:val="20"/>
              </w:rPr>
            </w:pPr>
            <w:r>
              <w:rPr>
                <w:sz w:val="20"/>
              </w:rPr>
              <w:t>29</w:t>
            </w:r>
          </w:p>
        </w:tc>
        <w:tc>
          <w:tcPr>
            <w:tcW w:w="1203" w:type="dxa"/>
            <w:tcBorders>
              <w:top w:val="nil"/>
              <w:left w:val="nil"/>
              <w:bottom w:val="nil"/>
              <w:right w:val="nil"/>
            </w:tcBorders>
          </w:tcPr>
          <w:p>
            <w:pPr>
              <w:pStyle w:val="TableParagraph"/>
              <w:spacing w:before="26"/>
              <w:ind w:right="231"/>
              <w:rPr>
                <w:sz w:val="20"/>
              </w:rPr>
            </w:pPr>
            <w:r>
              <w:rPr>
                <w:sz w:val="20"/>
              </w:rPr>
              <w:t>0.59</w:t>
            </w:r>
          </w:p>
        </w:tc>
        <w:tc>
          <w:tcPr>
            <w:tcW w:w="1201" w:type="dxa"/>
            <w:tcBorders>
              <w:top w:val="nil"/>
              <w:left w:val="nil"/>
              <w:bottom w:val="nil"/>
              <w:right w:val="nil"/>
            </w:tcBorders>
          </w:tcPr>
          <w:p>
            <w:pPr>
              <w:pStyle w:val="TableParagraph"/>
              <w:spacing w:before="26"/>
              <w:ind w:right="231"/>
              <w:rPr>
                <w:sz w:val="20"/>
              </w:rPr>
            </w:pPr>
            <w:r>
              <w:rPr>
                <w:sz w:val="20"/>
              </w:rPr>
              <w:t>1.10</w:t>
            </w:r>
          </w:p>
        </w:tc>
        <w:tc>
          <w:tcPr>
            <w:tcW w:w="1200" w:type="dxa"/>
            <w:tcBorders>
              <w:top w:val="nil"/>
              <w:left w:val="nil"/>
              <w:bottom w:val="nil"/>
              <w:right w:val="nil"/>
            </w:tcBorders>
          </w:tcPr>
          <w:p>
            <w:pPr>
              <w:pStyle w:val="TableParagraph"/>
              <w:spacing w:before="26"/>
              <w:ind w:right="231"/>
              <w:rPr>
                <w:sz w:val="20"/>
              </w:rPr>
            </w:pPr>
            <w:r>
              <w:rPr>
                <w:sz w:val="20"/>
              </w:rPr>
              <w:t>1.63</w:t>
            </w:r>
          </w:p>
        </w:tc>
        <w:tc>
          <w:tcPr>
            <w:tcW w:w="1200" w:type="dxa"/>
            <w:tcBorders>
              <w:top w:val="nil"/>
              <w:left w:val="nil"/>
              <w:bottom w:val="nil"/>
              <w:right w:val="nil"/>
            </w:tcBorders>
          </w:tcPr>
          <w:p>
            <w:pPr>
              <w:pStyle w:val="TableParagraph"/>
              <w:spacing w:before="26"/>
              <w:ind w:right="231"/>
              <w:rPr>
                <w:sz w:val="20"/>
              </w:rPr>
            </w:pPr>
            <w:r>
              <w:rPr>
                <w:sz w:val="20"/>
              </w:rPr>
              <w:t>2.51</w:t>
            </w:r>
          </w:p>
        </w:tc>
        <w:tc>
          <w:tcPr>
            <w:tcW w:w="1200" w:type="dxa"/>
            <w:tcBorders>
              <w:top w:val="nil"/>
              <w:left w:val="nil"/>
              <w:bottom w:val="nil"/>
              <w:right w:val="nil"/>
            </w:tcBorders>
          </w:tcPr>
          <w:p>
            <w:pPr>
              <w:pStyle w:val="TableParagraph"/>
              <w:spacing w:before="26"/>
              <w:ind w:right="230"/>
              <w:rPr>
                <w:sz w:val="20"/>
              </w:rPr>
            </w:pPr>
            <w:r>
              <w:rPr>
                <w:sz w:val="20"/>
              </w:rPr>
              <w:t>2.81</w:t>
            </w:r>
          </w:p>
        </w:tc>
        <w:tc>
          <w:tcPr>
            <w:tcW w:w="1201" w:type="dxa"/>
            <w:tcBorders>
              <w:top w:val="nil"/>
              <w:left w:val="nil"/>
              <w:bottom w:val="nil"/>
              <w:right w:val="nil"/>
            </w:tcBorders>
          </w:tcPr>
          <w:p>
            <w:pPr>
              <w:pStyle w:val="TableParagraph"/>
              <w:spacing w:before="26"/>
              <w:ind w:right="230"/>
              <w:rPr>
                <w:sz w:val="20"/>
              </w:rPr>
            </w:pPr>
            <w:r>
              <w:rPr>
                <w:sz w:val="20"/>
              </w:rPr>
              <w:t>2.02</w:t>
            </w:r>
          </w:p>
        </w:tc>
        <w:tc>
          <w:tcPr>
            <w:tcW w:w="1140" w:type="dxa"/>
            <w:tcBorders>
              <w:top w:val="nil"/>
              <w:left w:val="nil"/>
              <w:bottom w:val="nil"/>
              <w:right w:val="nil"/>
            </w:tcBorders>
          </w:tcPr>
          <w:p>
            <w:pPr>
              <w:pStyle w:val="TableParagraph"/>
              <w:spacing w:before="26"/>
              <w:ind w:right="170"/>
              <w:rPr>
                <w:sz w:val="20"/>
              </w:rPr>
            </w:pPr>
            <w:r>
              <w:rPr>
                <w:sz w:val="20"/>
              </w:rPr>
              <w:t>1.67</w:t>
            </w:r>
          </w:p>
        </w:tc>
        <w:tc>
          <w:tcPr>
            <w:tcW w:w="1090" w:type="dxa"/>
            <w:tcBorders>
              <w:top w:val="nil"/>
              <w:left w:val="nil"/>
              <w:bottom w:val="nil"/>
              <w:right w:val="nil"/>
            </w:tcBorders>
          </w:tcPr>
          <w:p>
            <w:pPr>
              <w:pStyle w:val="TableParagraph"/>
              <w:spacing w:before="26"/>
              <w:ind w:right="60"/>
              <w:rPr>
                <w:sz w:val="20"/>
              </w:rPr>
            </w:pPr>
            <w:r>
              <w:rPr>
                <w:sz w:val="20"/>
              </w:rPr>
              <w:t>12.33</w:t>
            </w:r>
          </w:p>
        </w:tc>
      </w:tr>
      <w:tr>
        <w:trPr>
          <w:trHeight w:val="268" w:hRule="exact"/>
        </w:trPr>
        <w:tc>
          <w:tcPr>
            <w:tcW w:w="1373" w:type="dxa"/>
            <w:tcBorders>
              <w:top w:val="nil"/>
              <w:left w:val="nil"/>
              <w:right w:val="nil"/>
            </w:tcBorders>
          </w:tcPr>
          <w:p>
            <w:pPr>
              <w:pStyle w:val="TableParagraph"/>
              <w:ind w:right="236"/>
              <w:rPr>
                <w:sz w:val="20"/>
              </w:rPr>
            </w:pPr>
            <w:r>
              <w:rPr>
                <w:sz w:val="20"/>
              </w:rPr>
              <w:t>Total general</w:t>
            </w:r>
          </w:p>
        </w:tc>
        <w:tc>
          <w:tcPr>
            <w:tcW w:w="1203" w:type="dxa"/>
            <w:tcBorders>
              <w:top w:val="nil"/>
              <w:left w:val="nil"/>
              <w:right w:val="nil"/>
            </w:tcBorders>
          </w:tcPr>
          <w:p>
            <w:pPr>
              <w:pStyle w:val="TableParagraph"/>
              <w:ind w:right="231"/>
              <w:rPr>
                <w:sz w:val="20"/>
              </w:rPr>
            </w:pPr>
            <w:r>
              <w:rPr>
                <w:sz w:val="20"/>
              </w:rPr>
              <w:t>74.08</w:t>
            </w:r>
          </w:p>
        </w:tc>
        <w:tc>
          <w:tcPr>
            <w:tcW w:w="1201" w:type="dxa"/>
            <w:tcBorders>
              <w:top w:val="nil"/>
              <w:left w:val="nil"/>
              <w:right w:val="nil"/>
            </w:tcBorders>
          </w:tcPr>
          <w:p>
            <w:pPr>
              <w:pStyle w:val="TableParagraph"/>
              <w:ind w:right="231"/>
              <w:rPr>
                <w:sz w:val="20"/>
              </w:rPr>
            </w:pPr>
            <w:r>
              <w:rPr>
                <w:sz w:val="20"/>
              </w:rPr>
              <w:t>120.28</w:t>
            </w:r>
          </w:p>
        </w:tc>
        <w:tc>
          <w:tcPr>
            <w:tcW w:w="1200" w:type="dxa"/>
            <w:tcBorders>
              <w:top w:val="nil"/>
              <w:left w:val="nil"/>
              <w:right w:val="nil"/>
            </w:tcBorders>
          </w:tcPr>
          <w:p>
            <w:pPr>
              <w:pStyle w:val="TableParagraph"/>
              <w:ind w:right="231"/>
              <w:rPr>
                <w:sz w:val="20"/>
              </w:rPr>
            </w:pPr>
            <w:r>
              <w:rPr>
                <w:sz w:val="20"/>
              </w:rPr>
              <w:t>168.39</w:t>
            </w:r>
          </w:p>
        </w:tc>
        <w:tc>
          <w:tcPr>
            <w:tcW w:w="1200" w:type="dxa"/>
            <w:tcBorders>
              <w:top w:val="nil"/>
              <w:left w:val="nil"/>
              <w:right w:val="nil"/>
            </w:tcBorders>
          </w:tcPr>
          <w:p>
            <w:pPr>
              <w:pStyle w:val="TableParagraph"/>
              <w:ind w:right="231"/>
              <w:rPr>
                <w:sz w:val="20"/>
              </w:rPr>
            </w:pPr>
            <w:r>
              <w:rPr>
                <w:sz w:val="20"/>
              </w:rPr>
              <w:t>111.35</w:t>
            </w:r>
          </w:p>
        </w:tc>
        <w:tc>
          <w:tcPr>
            <w:tcW w:w="1200" w:type="dxa"/>
            <w:tcBorders>
              <w:top w:val="nil"/>
              <w:left w:val="nil"/>
              <w:right w:val="nil"/>
            </w:tcBorders>
          </w:tcPr>
          <w:p>
            <w:pPr>
              <w:pStyle w:val="TableParagraph"/>
              <w:ind w:right="230"/>
              <w:rPr>
                <w:sz w:val="20"/>
              </w:rPr>
            </w:pPr>
            <w:r>
              <w:rPr>
                <w:sz w:val="20"/>
              </w:rPr>
              <w:t>92.87</w:t>
            </w:r>
          </w:p>
        </w:tc>
        <w:tc>
          <w:tcPr>
            <w:tcW w:w="1201" w:type="dxa"/>
            <w:tcBorders>
              <w:top w:val="nil"/>
              <w:left w:val="nil"/>
              <w:right w:val="nil"/>
            </w:tcBorders>
          </w:tcPr>
          <w:p>
            <w:pPr>
              <w:pStyle w:val="TableParagraph"/>
              <w:ind w:right="230"/>
              <w:rPr>
                <w:sz w:val="20"/>
              </w:rPr>
            </w:pPr>
            <w:r>
              <w:rPr>
                <w:sz w:val="20"/>
              </w:rPr>
              <w:t>58.99</w:t>
            </w:r>
          </w:p>
        </w:tc>
        <w:tc>
          <w:tcPr>
            <w:tcW w:w="1140" w:type="dxa"/>
            <w:tcBorders>
              <w:top w:val="nil"/>
              <w:left w:val="nil"/>
              <w:right w:val="nil"/>
            </w:tcBorders>
          </w:tcPr>
          <w:p>
            <w:pPr>
              <w:pStyle w:val="TableParagraph"/>
              <w:ind w:right="170"/>
              <w:rPr>
                <w:sz w:val="20"/>
              </w:rPr>
            </w:pPr>
            <w:r>
              <w:rPr>
                <w:sz w:val="20"/>
              </w:rPr>
              <w:t>87.02</w:t>
            </w:r>
          </w:p>
        </w:tc>
        <w:tc>
          <w:tcPr>
            <w:tcW w:w="1090" w:type="dxa"/>
            <w:tcBorders>
              <w:top w:val="nil"/>
              <w:left w:val="nil"/>
              <w:right w:val="nil"/>
            </w:tcBorders>
          </w:tcPr>
          <w:p>
            <w:pPr>
              <w:pStyle w:val="TableParagraph"/>
              <w:ind w:right="61"/>
              <w:rPr>
                <w:sz w:val="20"/>
              </w:rPr>
            </w:pPr>
            <w:r>
              <w:rPr>
                <w:sz w:val="20"/>
              </w:rPr>
              <w:t>712.98</w:t>
            </w: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before="185"/>
        <w:ind w:left="0" w:right="795" w:firstLine="0"/>
        <w:jc w:val="right"/>
        <w:rPr>
          <w:rFonts w:ascii="Calibri"/>
          <w:sz w:val="22"/>
        </w:rPr>
      </w:pPr>
      <w:r>
        <w:rPr>
          <w:rFonts w:ascii="Calibri"/>
          <w:sz w:val="22"/>
        </w:rPr>
        <w:t>181</w:t>
      </w:r>
    </w:p>
    <w:p>
      <w:pPr>
        <w:spacing w:after="0"/>
        <w:jc w:val="right"/>
        <w:rPr>
          <w:rFonts w:ascii="Calibri"/>
          <w:sz w:val="22"/>
        </w:rPr>
        <w:sectPr>
          <w:footerReference w:type="default" r:id="rId199"/>
          <w:pgSz w:w="12240" w:h="15840"/>
          <w:pgMar w:footer="0" w:header="0" w:top="1360" w:bottom="280" w:left="600" w:right="620"/>
        </w:sectPr>
      </w:pPr>
    </w:p>
    <w:p>
      <w:pPr>
        <w:pStyle w:val="BodyText"/>
        <w:rPr>
          <w:rFonts w:ascii="Calibri"/>
          <w:sz w:val="17"/>
        </w:rPr>
      </w:pPr>
    </w:p>
    <w:p>
      <w:pPr>
        <w:pStyle w:val="Heading1"/>
        <w:numPr>
          <w:ilvl w:val="1"/>
          <w:numId w:val="53"/>
        </w:numPr>
        <w:tabs>
          <w:tab w:pos="4532" w:val="left" w:leader="none"/>
        </w:tabs>
        <w:spacing w:line="240" w:lineRule="auto" w:before="66" w:after="0"/>
        <w:ind w:left="4531" w:right="0" w:hanging="360"/>
        <w:jc w:val="left"/>
      </w:pPr>
      <w:r>
        <w:rPr/>
        <w:t>ANEXO GENERADORES</w:t>
      </w:r>
      <w:r>
        <w:rPr>
          <w:spacing w:val="-10"/>
        </w:rPr>
        <w:t> </w:t>
      </w:r>
      <w:r>
        <w:rPr/>
        <w:t>CLIMÁTICOS</w:t>
      </w:r>
    </w:p>
    <w:p>
      <w:pPr>
        <w:pStyle w:val="BodyText"/>
        <w:spacing w:before="9"/>
        <w:rPr>
          <w:b/>
          <w:sz w:val="25"/>
        </w:rPr>
      </w:pPr>
    </w:p>
    <w:p>
      <w:pPr>
        <w:spacing w:before="0"/>
        <w:ind w:left="2913" w:right="0" w:firstLine="0"/>
        <w:jc w:val="left"/>
        <w:rPr>
          <w:b/>
          <w:sz w:val="26"/>
        </w:rPr>
      </w:pPr>
      <w:bookmarkStart w:name="_bookmark141" w:id="200"/>
      <w:bookmarkEnd w:id="200"/>
      <w:r>
        <w:rPr/>
      </w:r>
      <w:r>
        <w:rPr>
          <w:b/>
          <w:sz w:val="24"/>
        </w:rPr>
        <w:t>Tabla 4.  </w:t>
      </w:r>
      <w:r>
        <w:rPr>
          <w:b/>
          <w:sz w:val="26"/>
        </w:rPr>
        <w:t>Estadísticas climatológicas de la estación 15001 Acambay</w:t>
      </w:r>
    </w:p>
    <w:p>
      <w:pPr>
        <w:pStyle w:val="BodyText"/>
        <w:rPr>
          <w:b/>
          <w:sz w:val="20"/>
        </w:rPr>
      </w:pPr>
    </w:p>
    <w:p>
      <w:pPr>
        <w:pStyle w:val="BodyText"/>
        <w:rPr>
          <w:b/>
          <w:sz w:val="20"/>
        </w:rPr>
      </w:pPr>
    </w:p>
    <w:p>
      <w:pPr>
        <w:pStyle w:val="BodyText"/>
        <w:rPr>
          <w:b/>
          <w:sz w:val="20"/>
        </w:rPr>
      </w:pPr>
    </w:p>
    <w:p>
      <w:pPr>
        <w:pStyle w:val="BodyText"/>
        <w:spacing w:before="2" w:after="1"/>
        <w:rPr>
          <w:b/>
          <w:sz w:val="10"/>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71"/>
        <w:gridCol w:w="1316"/>
        <w:gridCol w:w="1512"/>
        <w:gridCol w:w="1150"/>
        <w:gridCol w:w="948"/>
        <w:gridCol w:w="895"/>
        <w:gridCol w:w="946"/>
        <w:gridCol w:w="946"/>
        <w:gridCol w:w="946"/>
        <w:gridCol w:w="996"/>
        <w:gridCol w:w="946"/>
        <w:gridCol w:w="946"/>
        <w:gridCol w:w="713"/>
      </w:tblGrid>
      <w:tr>
        <w:trPr>
          <w:trHeight w:val="337" w:hRule="exact"/>
        </w:trPr>
        <w:tc>
          <w:tcPr>
            <w:tcW w:w="1371" w:type="dxa"/>
            <w:tcBorders>
              <w:left w:val="nil"/>
              <w:bottom w:val="nil"/>
              <w:right w:val="nil"/>
            </w:tcBorders>
          </w:tcPr>
          <w:p>
            <w:pPr>
              <w:pStyle w:val="TableParagraph"/>
              <w:spacing w:before="58"/>
              <w:ind w:left="264"/>
              <w:jc w:val="left"/>
              <w:rPr>
                <w:sz w:val="20"/>
              </w:rPr>
            </w:pPr>
            <w:r>
              <w:rPr>
                <w:sz w:val="20"/>
              </w:rPr>
              <w:t>STATION</w:t>
            </w:r>
          </w:p>
        </w:tc>
        <w:tc>
          <w:tcPr>
            <w:tcW w:w="1316" w:type="dxa"/>
            <w:tcBorders>
              <w:left w:val="nil"/>
              <w:bottom w:val="nil"/>
              <w:right w:val="nil"/>
            </w:tcBorders>
          </w:tcPr>
          <w:p>
            <w:pPr>
              <w:pStyle w:val="TableParagraph"/>
              <w:spacing w:before="58"/>
              <w:ind w:right="74"/>
              <w:rPr>
                <w:sz w:val="20"/>
              </w:rPr>
            </w:pPr>
            <w:r>
              <w:rPr>
                <w:sz w:val="20"/>
              </w:rPr>
              <w:t>WLATITUDE</w:t>
            </w:r>
          </w:p>
        </w:tc>
        <w:tc>
          <w:tcPr>
            <w:tcW w:w="1512" w:type="dxa"/>
            <w:tcBorders>
              <w:left w:val="nil"/>
              <w:bottom w:val="nil"/>
              <w:right w:val="nil"/>
            </w:tcBorders>
          </w:tcPr>
          <w:p>
            <w:pPr>
              <w:pStyle w:val="TableParagraph"/>
              <w:spacing w:before="58"/>
              <w:ind w:right="98"/>
              <w:rPr>
                <w:sz w:val="20"/>
              </w:rPr>
            </w:pPr>
            <w:r>
              <w:rPr>
                <w:sz w:val="20"/>
              </w:rPr>
              <w:t>WLONGITUDE</w:t>
            </w:r>
          </w:p>
        </w:tc>
        <w:tc>
          <w:tcPr>
            <w:tcW w:w="1150" w:type="dxa"/>
            <w:tcBorders>
              <w:left w:val="nil"/>
              <w:bottom w:val="nil"/>
              <w:right w:val="nil"/>
            </w:tcBorders>
          </w:tcPr>
          <w:p>
            <w:pPr>
              <w:pStyle w:val="TableParagraph"/>
              <w:spacing w:before="58"/>
              <w:ind w:left="93"/>
              <w:jc w:val="left"/>
              <w:rPr>
                <w:sz w:val="20"/>
              </w:rPr>
            </w:pPr>
            <w:r>
              <w:rPr>
                <w:sz w:val="20"/>
              </w:rPr>
              <w:t>WELEV</w:t>
            </w:r>
          </w:p>
        </w:tc>
        <w:tc>
          <w:tcPr>
            <w:tcW w:w="948" w:type="dxa"/>
            <w:tcBorders>
              <w:left w:val="nil"/>
              <w:bottom w:val="nil"/>
              <w:right w:val="nil"/>
            </w:tcBorders>
          </w:tcPr>
          <w:p>
            <w:pPr/>
          </w:p>
        </w:tc>
        <w:tc>
          <w:tcPr>
            <w:tcW w:w="895" w:type="dxa"/>
            <w:tcBorders>
              <w:left w:val="nil"/>
              <w:bottom w:val="nil"/>
              <w:right w:val="nil"/>
            </w:tcBorders>
          </w:tcPr>
          <w:p>
            <w:pPr/>
          </w:p>
        </w:tc>
        <w:tc>
          <w:tcPr>
            <w:tcW w:w="946" w:type="dxa"/>
            <w:tcBorders>
              <w:left w:val="nil"/>
              <w:bottom w:val="nil"/>
              <w:right w:val="nil"/>
            </w:tcBorders>
          </w:tcPr>
          <w:p>
            <w:pPr/>
          </w:p>
        </w:tc>
        <w:tc>
          <w:tcPr>
            <w:tcW w:w="946" w:type="dxa"/>
            <w:tcBorders>
              <w:left w:val="nil"/>
              <w:bottom w:val="nil"/>
              <w:right w:val="nil"/>
            </w:tcBorders>
          </w:tcPr>
          <w:p>
            <w:pPr/>
          </w:p>
        </w:tc>
        <w:tc>
          <w:tcPr>
            <w:tcW w:w="946" w:type="dxa"/>
            <w:tcBorders>
              <w:left w:val="nil"/>
              <w:bottom w:val="nil"/>
              <w:right w:val="nil"/>
            </w:tcBorders>
          </w:tcPr>
          <w:p>
            <w:pPr/>
          </w:p>
        </w:tc>
        <w:tc>
          <w:tcPr>
            <w:tcW w:w="996" w:type="dxa"/>
            <w:tcBorders>
              <w:left w:val="nil"/>
              <w:bottom w:val="nil"/>
              <w:right w:val="nil"/>
            </w:tcBorders>
          </w:tcPr>
          <w:p>
            <w:pPr/>
          </w:p>
        </w:tc>
        <w:tc>
          <w:tcPr>
            <w:tcW w:w="946" w:type="dxa"/>
            <w:tcBorders>
              <w:left w:val="nil"/>
              <w:bottom w:val="nil"/>
              <w:right w:val="nil"/>
            </w:tcBorders>
          </w:tcPr>
          <w:p>
            <w:pPr/>
          </w:p>
        </w:tc>
        <w:tc>
          <w:tcPr>
            <w:tcW w:w="946" w:type="dxa"/>
            <w:tcBorders>
              <w:left w:val="nil"/>
              <w:bottom w:val="nil"/>
              <w:right w:val="nil"/>
            </w:tcBorders>
          </w:tcPr>
          <w:p>
            <w:pPr/>
          </w:p>
        </w:tc>
        <w:tc>
          <w:tcPr>
            <w:tcW w:w="713" w:type="dxa"/>
            <w:tcBorders>
              <w:left w:val="nil"/>
              <w:bottom w:val="nil"/>
              <w:right w:val="nil"/>
            </w:tcBorders>
          </w:tcPr>
          <w:p>
            <w:pPr/>
          </w:p>
        </w:tc>
      </w:tr>
      <w:tr>
        <w:trPr>
          <w:trHeight w:val="298" w:hRule="exact"/>
        </w:trPr>
        <w:tc>
          <w:tcPr>
            <w:tcW w:w="1371" w:type="dxa"/>
            <w:tcBorders>
              <w:top w:val="nil"/>
              <w:left w:val="nil"/>
              <w:bottom w:val="nil"/>
              <w:right w:val="nil"/>
            </w:tcBorders>
          </w:tcPr>
          <w:p>
            <w:pPr>
              <w:pStyle w:val="TableParagraph"/>
              <w:ind w:right="63"/>
              <w:rPr>
                <w:sz w:val="20"/>
              </w:rPr>
            </w:pPr>
            <w:r>
              <w:rPr>
                <w:sz w:val="20"/>
              </w:rPr>
              <w:t>15001</w:t>
            </w:r>
          </w:p>
        </w:tc>
        <w:tc>
          <w:tcPr>
            <w:tcW w:w="1316" w:type="dxa"/>
            <w:tcBorders>
              <w:top w:val="nil"/>
              <w:left w:val="nil"/>
              <w:bottom w:val="nil"/>
              <w:right w:val="nil"/>
            </w:tcBorders>
          </w:tcPr>
          <w:p>
            <w:pPr>
              <w:pStyle w:val="TableParagraph"/>
              <w:ind w:right="67"/>
              <w:rPr>
                <w:sz w:val="20"/>
              </w:rPr>
            </w:pPr>
            <w:r>
              <w:rPr>
                <w:sz w:val="20"/>
              </w:rPr>
              <w:t>19.57</w:t>
            </w:r>
          </w:p>
        </w:tc>
        <w:tc>
          <w:tcPr>
            <w:tcW w:w="1512" w:type="dxa"/>
            <w:tcBorders>
              <w:top w:val="nil"/>
              <w:left w:val="nil"/>
              <w:bottom w:val="nil"/>
              <w:right w:val="nil"/>
            </w:tcBorders>
          </w:tcPr>
          <w:p>
            <w:pPr>
              <w:pStyle w:val="TableParagraph"/>
              <w:ind w:right="91"/>
              <w:rPr>
                <w:sz w:val="20"/>
              </w:rPr>
            </w:pPr>
            <w:r>
              <w:rPr>
                <w:sz w:val="20"/>
              </w:rPr>
              <w:t>-99.5</w:t>
            </w:r>
          </w:p>
        </w:tc>
        <w:tc>
          <w:tcPr>
            <w:tcW w:w="1150" w:type="dxa"/>
            <w:tcBorders>
              <w:top w:val="nil"/>
              <w:left w:val="nil"/>
              <w:bottom w:val="nil"/>
              <w:right w:val="nil"/>
            </w:tcBorders>
          </w:tcPr>
          <w:p>
            <w:pPr>
              <w:pStyle w:val="TableParagraph"/>
              <w:ind w:left="243"/>
              <w:jc w:val="left"/>
              <w:rPr>
                <w:sz w:val="20"/>
              </w:rPr>
            </w:pPr>
            <w:r>
              <w:rPr>
                <w:sz w:val="20"/>
              </w:rPr>
              <w:t>2388</w:t>
            </w:r>
          </w:p>
        </w:tc>
        <w:tc>
          <w:tcPr>
            <w:tcW w:w="948" w:type="dxa"/>
            <w:tcBorders>
              <w:top w:val="nil"/>
              <w:left w:val="nil"/>
              <w:bottom w:val="nil"/>
              <w:right w:val="nil"/>
            </w:tcBorders>
          </w:tcPr>
          <w:p>
            <w:pPr/>
          </w:p>
        </w:tc>
        <w:tc>
          <w:tcPr>
            <w:tcW w:w="895" w:type="dxa"/>
            <w:tcBorders>
              <w:top w:val="nil"/>
              <w:left w:val="nil"/>
              <w:bottom w:val="nil"/>
              <w:right w:val="nil"/>
            </w:tcBorders>
          </w:tcPr>
          <w:p>
            <w:pPr/>
          </w:p>
        </w:tc>
        <w:tc>
          <w:tcPr>
            <w:tcW w:w="946" w:type="dxa"/>
            <w:tcBorders>
              <w:top w:val="nil"/>
              <w:left w:val="nil"/>
              <w:bottom w:val="nil"/>
              <w:right w:val="nil"/>
            </w:tcBorders>
          </w:tcPr>
          <w:p>
            <w:pPr/>
          </w:p>
        </w:tc>
        <w:tc>
          <w:tcPr>
            <w:tcW w:w="946" w:type="dxa"/>
            <w:tcBorders>
              <w:top w:val="nil"/>
              <w:left w:val="nil"/>
              <w:bottom w:val="nil"/>
              <w:right w:val="nil"/>
            </w:tcBorders>
          </w:tcPr>
          <w:p>
            <w:pPr/>
          </w:p>
        </w:tc>
        <w:tc>
          <w:tcPr>
            <w:tcW w:w="946" w:type="dxa"/>
            <w:tcBorders>
              <w:top w:val="nil"/>
              <w:left w:val="nil"/>
              <w:bottom w:val="nil"/>
              <w:right w:val="nil"/>
            </w:tcBorders>
          </w:tcPr>
          <w:p>
            <w:pPr/>
          </w:p>
        </w:tc>
        <w:tc>
          <w:tcPr>
            <w:tcW w:w="996" w:type="dxa"/>
            <w:tcBorders>
              <w:top w:val="nil"/>
              <w:left w:val="nil"/>
              <w:bottom w:val="nil"/>
              <w:right w:val="nil"/>
            </w:tcBorders>
          </w:tcPr>
          <w:p>
            <w:pPr/>
          </w:p>
        </w:tc>
        <w:tc>
          <w:tcPr>
            <w:tcW w:w="946" w:type="dxa"/>
            <w:tcBorders>
              <w:top w:val="nil"/>
              <w:left w:val="nil"/>
              <w:bottom w:val="nil"/>
              <w:right w:val="nil"/>
            </w:tcBorders>
          </w:tcPr>
          <w:p>
            <w:pPr/>
          </w:p>
        </w:tc>
        <w:tc>
          <w:tcPr>
            <w:tcW w:w="946" w:type="dxa"/>
            <w:tcBorders>
              <w:top w:val="nil"/>
              <w:left w:val="nil"/>
              <w:bottom w:val="nil"/>
              <w:right w:val="nil"/>
            </w:tcBorders>
          </w:tcPr>
          <w:p>
            <w:pPr/>
          </w:p>
        </w:tc>
        <w:tc>
          <w:tcPr>
            <w:tcW w:w="713" w:type="dxa"/>
            <w:tcBorders>
              <w:top w:val="nil"/>
              <w:left w:val="nil"/>
              <w:bottom w:val="nil"/>
              <w:right w:val="nil"/>
            </w:tcBorders>
          </w:tcPr>
          <w:p>
            <w:pPr/>
          </w:p>
        </w:tc>
      </w:tr>
      <w:tr>
        <w:trPr>
          <w:trHeight w:val="298" w:hRule="exact"/>
        </w:trPr>
        <w:tc>
          <w:tcPr>
            <w:tcW w:w="1371" w:type="dxa"/>
            <w:tcBorders>
              <w:top w:val="nil"/>
              <w:left w:val="nil"/>
              <w:bottom w:val="nil"/>
              <w:right w:val="nil"/>
            </w:tcBorders>
          </w:tcPr>
          <w:p>
            <w:pPr/>
          </w:p>
        </w:tc>
        <w:tc>
          <w:tcPr>
            <w:tcW w:w="1316" w:type="dxa"/>
            <w:tcBorders>
              <w:top w:val="nil"/>
              <w:left w:val="nil"/>
              <w:bottom w:val="nil"/>
              <w:right w:val="nil"/>
            </w:tcBorders>
          </w:tcPr>
          <w:p>
            <w:pPr/>
          </w:p>
        </w:tc>
        <w:tc>
          <w:tcPr>
            <w:tcW w:w="1512" w:type="dxa"/>
            <w:tcBorders>
              <w:top w:val="nil"/>
              <w:left w:val="nil"/>
              <w:bottom w:val="nil"/>
              <w:right w:val="nil"/>
            </w:tcBorders>
          </w:tcPr>
          <w:p>
            <w:pPr/>
          </w:p>
        </w:tc>
        <w:tc>
          <w:tcPr>
            <w:tcW w:w="1150" w:type="dxa"/>
            <w:tcBorders>
              <w:top w:val="nil"/>
              <w:left w:val="nil"/>
              <w:bottom w:val="nil"/>
              <w:right w:val="nil"/>
            </w:tcBorders>
          </w:tcPr>
          <w:p>
            <w:pPr/>
          </w:p>
        </w:tc>
        <w:tc>
          <w:tcPr>
            <w:tcW w:w="948" w:type="dxa"/>
            <w:tcBorders>
              <w:top w:val="nil"/>
              <w:left w:val="nil"/>
              <w:bottom w:val="nil"/>
              <w:right w:val="nil"/>
            </w:tcBorders>
          </w:tcPr>
          <w:p>
            <w:pPr/>
          </w:p>
        </w:tc>
        <w:tc>
          <w:tcPr>
            <w:tcW w:w="895" w:type="dxa"/>
            <w:tcBorders>
              <w:top w:val="nil"/>
              <w:left w:val="nil"/>
              <w:bottom w:val="nil"/>
              <w:right w:val="nil"/>
            </w:tcBorders>
          </w:tcPr>
          <w:p>
            <w:pPr/>
          </w:p>
        </w:tc>
        <w:tc>
          <w:tcPr>
            <w:tcW w:w="946" w:type="dxa"/>
            <w:tcBorders>
              <w:top w:val="nil"/>
              <w:left w:val="nil"/>
              <w:bottom w:val="nil"/>
              <w:right w:val="nil"/>
            </w:tcBorders>
          </w:tcPr>
          <w:p>
            <w:pPr>
              <w:pStyle w:val="TableParagraph"/>
              <w:ind w:left="-15"/>
              <w:jc w:val="left"/>
              <w:rPr>
                <w:sz w:val="20"/>
              </w:rPr>
            </w:pPr>
            <w:r>
              <w:rPr>
                <w:sz w:val="20"/>
              </w:rPr>
              <w:t>MESES</w:t>
            </w:r>
          </w:p>
        </w:tc>
        <w:tc>
          <w:tcPr>
            <w:tcW w:w="946" w:type="dxa"/>
            <w:tcBorders>
              <w:top w:val="nil"/>
              <w:left w:val="nil"/>
              <w:bottom w:val="nil"/>
              <w:right w:val="nil"/>
            </w:tcBorders>
          </w:tcPr>
          <w:p>
            <w:pPr/>
          </w:p>
        </w:tc>
        <w:tc>
          <w:tcPr>
            <w:tcW w:w="946" w:type="dxa"/>
            <w:tcBorders>
              <w:top w:val="nil"/>
              <w:left w:val="nil"/>
              <w:bottom w:val="nil"/>
              <w:right w:val="nil"/>
            </w:tcBorders>
          </w:tcPr>
          <w:p>
            <w:pPr/>
          </w:p>
        </w:tc>
        <w:tc>
          <w:tcPr>
            <w:tcW w:w="996" w:type="dxa"/>
            <w:tcBorders>
              <w:top w:val="nil"/>
              <w:left w:val="nil"/>
              <w:bottom w:val="nil"/>
              <w:right w:val="nil"/>
            </w:tcBorders>
          </w:tcPr>
          <w:p>
            <w:pPr/>
          </w:p>
        </w:tc>
        <w:tc>
          <w:tcPr>
            <w:tcW w:w="946" w:type="dxa"/>
            <w:tcBorders>
              <w:top w:val="nil"/>
              <w:left w:val="nil"/>
              <w:bottom w:val="nil"/>
              <w:right w:val="nil"/>
            </w:tcBorders>
          </w:tcPr>
          <w:p>
            <w:pPr/>
          </w:p>
        </w:tc>
        <w:tc>
          <w:tcPr>
            <w:tcW w:w="946" w:type="dxa"/>
            <w:tcBorders>
              <w:top w:val="nil"/>
              <w:left w:val="nil"/>
              <w:bottom w:val="nil"/>
              <w:right w:val="nil"/>
            </w:tcBorders>
          </w:tcPr>
          <w:p>
            <w:pPr/>
          </w:p>
        </w:tc>
        <w:tc>
          <w:tcPr>
            <w:tcW w:w="713" w:type="dxa"/>
            <w:tcBorders>
              <w:top w:val="nil"/>
              <w:left w:val="nil"/>
              <w:bottom w:val="nil"/>
              <w:right w:val="nil"/>
            </w:tcBorders>
          </w:tcPr>
          <w:p>
            <w:pPr/>
          </w:p>
        </w:tc>
      </w:tr>
      <w:tr>
        <w:trPr>
          <w:trHeight w:val="268" w:hRule="exact"/>
        </w:trPr>
        <w:tc>
          <w:tcPr>
            <w:tcW w:w="1371" w:type="dxa"/>
            <w:tcBorders>
              <w:top w:val="nil"/>
              <w:left w:val="nil"/>
              <w:right w:val="nil"/>
            </w:tcBorders>
          </w:tcPr>
          <w:p>
            <w:pPr/>
          </w:p>
        </w:tc>
        <w:tc>
          <w:tcPr>
            <w:tcW w:w="1316" w:type="dxa"/>
            <w:tcBorders>
              <w:top w:val="nil"/>
              <w:left w:val="nil"/>
              <w:right w:val="nil"/>
            </w:tcBorders>
          </w:tcPr>
          <w:p>
            <w:pPr>
              <w:pStyle w:val="TableParagraph"/>
              <w:ind w:right="72"/>
              <w:rPr>
                <w:sz w:val="20"/>
              </w:rPr>
            </w:pPr>
            <w:r>
              <w:rPr>
                <w:w w:val="100"/>
                <w:sz w:val="20"/>
              </w:rPr>
              <w:t>1</w:t>
            </w:r>
          </w:p>
        </w:tc>
        <w:tc>
          <w:tcPr>
            <w:tcW w:w="1512" w:type="dxa"/>
            <w:tcBorders>
              <w:top w:val="nil"/>
              <w:left w:val="nil"/>
              <w:right w:val="nil"/>
            </w:tcBorders>
          </w:tcPr>
          <w:p>
            <w:pPr>
              <w:pStyle w:val="TableParagraph"/>
              <w:ind w:right="96"/>
              <w:rPr>
                <w:sz w:val="20"/>
              </w:rPr>
            </w:pPr>
            <w:r>
              <w:rPr>
                <w:w w:val="100"/>
                <w:sz w:val="20"/>
              </w:rPr>
              <w:t>2</w:t>
            </w:r>
          </w:p>
        </w:tc>
        <w:tc>
          <w:tcPr>
            <w:tcW w:w="1150" w:type="dxa"/>
            <w:tcBorders>
              <w:top w:val="nil"/>
              <w:left w:val="nil"/>
              <w:right w:val="nil"/>
            </w:tcBorders>
          </w:tcPr>
          <w:p>
            <w:pPr>
              <w:pStyle w:val="TableParagraph"/>
              <w:ind w:right="300"/>
              <w:rPr>
                <w:sz w:val="20"/>
              </w:rPr>
            </w:pPr>
            <w:r>
              <w:rPr>
                <w:w w:val="100"/>
                <w:sz w:val="20"/>
              </w:rPr>
              <w:t>3</w:t>
            </w:r>
          </w:p>
        </w:tc>
        <w:tc>
          <w:tcPr>
            <w:tcW w:w="948" w:type="dxa"/>
            <w:tcBorders>
              <w:top w:val="nil"/>
              <w:left w:val="nil"/>
              <w:right w:val="nil"/>
            </w:tcBorders>
          </w:tcPr>
          <w:p>
            <w:pPr>
              <w:pStyle w:val="TableParagraph"/>
              <w:ind w:right="298"/>
              <w:rPr>
                <w:sz w:val="20"/>
              </w:rPr>
            </w:pPr>
            <w:r>
              <w:rPr>
                <w:w w:val="100"/>
                <w:sz w:val="20"/>
              </w:rPr>
              <w:t>4</w:t>
            </w:r>
          </w:p>
        </w:tc>
        <w:tc>
          <w:tcPr>
            <w:tcW w:w="895" w:type="dxa"/>
            <w:tcBorders>
              <w:top w:val="nil"/>
              <w:left w:val="nil"/>
              <w:right w:val="nil"/>
            </w:tcBorders>
          </w:tcPr>
          <w:p>
            <w:pPr>
              <w:pStyle w:val="TableParagraph"/>
              <w:ind w:right="247"/>
              <w:rPr>
                <w:sz w:val="20"/>
              </w:rPr>
            </w:pPr>
            <w:r>
              <w:rPr>
                <w:w w:val="100"/>
                <w:sz w:val="20"/>
              </w:rPr>
              <w:t>5</w:t>
            </w:r>
          </w:p>
        </w:tc>
        <w:tc>
          <w:tcPr>
            <w:tcW w:w="946" w:type="dxa"/>
            <w:tcBorders>
              <w:top w:val="nil"/>
              <w:left w:val="nil"/>
              <w:right w:val="nil"/>
            </w:tcBorders>
          </w:tcPr>
          <w:p>
            <w:pPr>
              <w:pStyle w:val="TableParagraph"/>
              <w:ind w:right="247"/>
              <w:rPr>
                <w:sz w:val="20"/>
              </w:rPr>
            </w:pPr>
            <w:r>
              <w:rPr>
                <w:w w:val="100"/>
                <w:sz w:val="20"/>
              </w:rPr>
              <w:t>6</w:t>
            </w:r>
          </w:p>
        </w:tc>
        <w:tc>
          <w:tcPr>
            <w:tcW w:w="946" w:type="dxa"/>
            <w:tcBorders>
              <w:top w:val="nil"/>
              <w:left w:val="nil"/>
              <w:right w:val="nil"/>
            </w:tcBorders>
          </w:tcPr>
          <w:p>
            <w:pPr>
              <w:pStyle w:val="TableParagraph"/>
              <w:ind w:right="247"/>
              <w:rPr>
                <w:sz w:val="20"/>
              </w:rPr>
            </w:pPr>
            <w:r>
              <w:rPr>
                <w:w w:val="100"/>
                <w:sz w:val="20"/>
              </w:rPr>
              <w:t>7</w:t>
            </w:r>
          </w:p>
        </w:tc>
        <w:tc>
          <w:tcPr>
            <w:tcW w:w="946" w:type="dxa"/>
            <w:tcBorders>
              <w:top w:val="nil"/>
              <w:left w:val="nil"/>
              <w:right w:val="nil"/>
            </w:tcBorders>
          </w:tcPr>
          <w:p>
            <w:pPr>
              <w:pStyle w:val="TableParagraph"/>
              <w:ind w:right="247"/>
              <w:rPr>
                <w:sz w:val="20"/>
              </w:rPr>
            </w:pPr>
            <w:r>
              <w:rPr>
                <w:w w:val="100"/>
                <w:sz w:val="20"/>
              </w:rPr>
              <w:t>8</w:t>
            </w:r>
          </w:p>
        </w:tc>
        <w:tc>
          <w:tcPr>
            <w:tcW w:w="996" w:type="dxa"/>
            <w:tcBorders>
              <w:top w:val="nil"/>
              <w:left w:val="nil"/>
              <w:right w:val="nil"/>
            </w:tcBorders>
          </w:tcPr>
          <w:p>
            <w:pPr>
              <w:pStyle w:val="TableParagraph"/>
              <w:ind w:right="298"/>
              <w:rPr>
                <w:sz w:val="20"/>
              </w:rPr>
            </w:pPr>
            <w:r>
              <w:rPr>
                <w:w w:val="100"/>
                <w:sz w:val="20"/>
              </w:rPr>
              <w:t>9</w:t>
            </w:r>
          </w:p>
        </w:tc>
        <w:tc>
          <w:tcPr>
            <w:tcW w:w="946" w:type="dxa"/>
            <w:tcBorders>
              <w:top w:val="nil"/>
              <w:left w:val="nil"/>
              <w:right w:val="nil"/>
            </w:tcBorders>
          </w:tcPr>
          <w:p>
            <w:pPr>
              <w:pStyle w:val="TableParagraph"/>
              <w:ind w:right="297"/>
              <w:rPr>
                <w:sz w:val="20"/>
              </w:rPr>
            </w:pPr>
            <w:r>
              <w:rPr>
                <w:sz w:val="20"/>
              </w:rPr>
              <w:t>10</w:t>
            </w:r>
          </w:p>
        </w:tc>
        <w:tc>
          <w:tcPr>
            <w:tcW w:w="946" w:type="dxa"/>
            <w:tcBorders>
              <w:top w:val="nil"/>
              <w:left w:val="nil"/>
              <w:right w:val="nil"/>
            </w:tcBorders>
          </w:tcPr>
          <w:p>
            <w:pPr>
              <w:pStyle w:val="TableParagraph"/>
              <w:ind w:right="298"/>
              <w:rPr>
                <w:sz w:val="20"/>
              </w:rPr>
            </w:pPr>
            <w:r>
              <w:rPr>
                <w:sz w:val="20"/>
              </w:rPr>
              <w:t>11</w:t>
            </w:r>
          </w:p>
        </w:tc>
        <w:tc>
          <w:tcPr>
            <w:tcW w:w="713" w:type="dxa"/>
            <w:tcBorders>
              <w:top w:val="nil"/>
              <w:left w:val="nil"/>
              <w:right w:val="nil"/>
            </w:tcBorders>
          </w:tcPr>
          <w:p>
            <w:pPr>
              <w:pStyle w:val="TableParagraph"/>
              <w:ind w:right="65"/>
              <w:rPr>
                <w:sz w:val="20"/>
              </w:rPr>
            </w:pPr>
            <w:r>
              <w:rPr>
                <w:sz w:val="20"/>
              </w:rPr>
              <w:t>12</w:t>
            </w:r>
          </w:p>
        </w:tc>
      </w:tr>
      <w:tr>
        <w:trPr>
          <w:trHeight w:val="338" w:hRule="exact"/>
        </w:trPr>
        <w:tc>
          <w:tcPr>
            <w:tcW w:w="1371" w:type="dxa"/>
            <w:tcBorders>
              <w:left w:val="nil"/>
              <w:bottom w:val="nil"/>
              <w:right w:val="nil"/>
            </w:tcBorders>
          </w:tcPr>
          <w:p>
            <w:pPr>
              <w:pStyle w:val="TableParagraph"/>
              <w:spacing w:before="58"/>
              <w:ind w:left="273"/>
              <w:jc w:val="left"/>
              <w:rPr>
                <w:sz w:val="20"/>
              </w:rPr>
            </w:pPr>
            <w:r>
              <w:rPr>
                <w:sz w:val="20"/>
              </w:rPr>
              <w:t>TMPMX1</w:t>
            </w:r>
          </w:p>
        </w:tc>
        <w:tc>
          <w:tcPr>
            <w:tcW w:w="1316" w:type="dxa"/>
            <w:tcBorders>
              <w:left w:val="nil"/>
              <w:bottom w:val="nil"/>
              <w:right w:val="nil"/>
            </w:tcBorders>
          </w:tcPr>
          <w:p>
            <w:pPr>
              <w:pStyle w:val="TableParagraph"/>
              <w:spacing w:before="58"/>
              <w:ind w:right="67"/>
              <w:rPr>
                <w:sz w:val="20"/>
              </w:rPr>
            </w:pPr>
            <w:r>
              <w:rPr>
                <w:sz w:val="20"/>
              </w:rPr>
              <w:t>20.3</w:t>
            </w:r>
          </w:p>
        </w:tc>
        <w:tc>
          <w:tcPr>
            <w:tcW w:w="1512" w:type="dxa"/>
            <w:tcBorders>
              <w:left w:val="nil"/>
              <w:bottom w:val="nil"/>
              <w:right w:val="nil"/>
            </w:tcBorders>
          </w:tcPr>
          <w:p>
            <w:pPr>
              <w:pStyle w:val="TableParagraph"/>
              <w:spacing w:before="58"/>
              <w:ind w:right="91"/>
              <w:rPr>
                <w:sz w:val="20"/>
              </w:rPr>
            </w:pPr>
            <w:r>
              <w:rPr>
                <w:sz w:val="20"/>
              </w:rPr>
              <w:t>22.0</w:t>
            </w:r>
          </w:p>
        </w:tc>
        <w:tc>
          <w:tcPr>
            <w:tcW w:w="1150" w:type="dxa"/>
            <w:tcBorders>
              <w:left w:val="nil"/>
              <w:bottom w:val="nil"/>
              <w:right w:val="nil"/>
            </w:tcBorders>
          </w:tcPr>
          <w:p>
            <w:pPr>
              <w:pStyle w:val="TableParagraph"/>
              <w:spacing w:before="58"/>
              <w:ind w:right="295"/>
              <w:rPr>
                <w:sz w:val="20"/>
              </w:rPr>
            </w:pPr>
            <w:r>
              <w:rPr>
                <w:sz w:val="20"/>
              </w:rPr>
              <w:t>24.1</w:t>
            </w:r>
          </w:p>
        </w:tc>
        <w:tc>
          <w:tcPr>
            <w:tcW w:w="948" w:type="dxa"/>
            <w:tcBorders>
              <w:left w:val="nil"/>
              <w:bottom w:val="nil"/>
              <w:right w:val="nil"/>
            </w:tcBorders>
          </w:tcPr>
          <w:p>
            <w:pPr>
              <w:pStyle w:val="TableParagraph"/>
              <w:spacing w:before="58"/>
              <w:ind w:right="293"/>
              <w:rPr>
                <w:sz w:val="20"/>
              </w:rPr>
            </w:pPr>
            <w:r>
              <w:rPr>
                <w:sz w:val="20"/>
              </w:rPr>
              <w:t>25.7</w:t>
            </w:r>
          </w:p>
        </w:tc>
        <w:tc>
          <w:tcPr>
            <w:tcW w:w="895" w:type="dxa"/>
            <w:tcBorders>
              <w:left w:val="nil"/>
              <w:bottom w:val="nil"/>
              <w:right w:val="nil"/>
            </w:tcBorders>
          </w:tcPr>
          <w:p>
            <w:pPr>
              <w:pStyle w:val="TableParagraph"/>
              <w:spacing w:before="58"/>
              <w:ind w:right="242"/>
              <w:rPr>
                <w:sz w:val="20"/>
              </w:rPr>
            </w:pPr>
            <w:r>
              <w:rPr>
                <w:sz w:val="20"/>
              </w:rPr>
              <w:t>25.2</w:t>
            </w:r>
          </w:p>
        </w:tc>
        <w:tc>
          <w:tcPr>
            <w:tcW w:w="946" w:type="dxa"/>
            <w:tcBorders>
              <w:left w:val="nil"/>
              <w:bottom w:val="nil"/>
              <w:right w:val="nil"/>
            </w:tcBorders>
          </w:tcPr>
          <w:p>
            <w:pPr>
              <w:pStyle w:val="TableParagraph"/>
              <w:spacing w:before="58"/>
              <w:ind w:right="243"/>
              <w:rPr>
                <w:sz w:val="20"/>
              </w:rPr>
            </w:pPr>
            <w:r>
              <w:rPr>
                <w:sz w:val="20"/>
              </w:rPr>
              <w:t>23.2</w:t>
            </w:r>
          </w:p>
        </w:tc>
        <w:tc>
          <w:tcPr>
            <w:tcW w:w="946" w:type="dxa"/>
            <w:tcBorders>
              <w:left w:val="nil"/>
              <w:bottom w:val="nil"/>
              <w:right w:val="nil"/>
            </w:tcBorders>
          </w:tcPr>
          <w:p>
            <w:pPr>
              <w:pStyle w:val="TableParagraph"/>
              <w:spacing w:before="58"/>
              <w:ind w:right="242"/>
              <w:rPr>
                <w:sz w:val="20"/>
              </w:rPr>
            </w:pPr>
            <w:r>
              <w:rPr>
                <w:sz w:val="20"/>
              </w:rPr>
              <w:t>21.7</w:t>
            </w:r>
          </w:p>
        </w:tc>
        <w:tc>
          <w:tcPr>
            <w:tcW w:w="946" w:type="dxa"/>
            <w:tcBorders>
              <w:left w:val="nil"/>
              <w:bottom w:val="nil"/>
              <w:right w:val="nil"/>
            </w:tcBorders>
          </w:tcPr>
          <w:p>
            <w:pPr>
              <w:pStyle w:val="TableParagraph"/>
              <w:spacing w:before="58"/>
              <w:ind w:right="242"/>
              <w:rPr>
                <w:sz w:val="20"/>
              </w:rPr>
            </w:pPr>
            <w:r>
              <w:rPr>
                <w:sz w:val="20"/>
              </w:rPr>
              <w:t>21.9</w:t>
            </w:r>
          </w:p>
        </w:tc>
        <w:tc>
          <w:tcPr>
            <w:tcW w:w="996" w:type="dxa"/>
            <w:tcBorders>
              <w:left w:val="nil"/>
              <w:bottom w:val="nil"/>
              <w:right w:val="nil"/>
            </w:tcBorders>
          </w:tcPr>
          <w:p>
            <w:pPr>
              <w:pStyle w:val="TableParagraph"/>
              <w:spacing w:before="58"/>
              <w:ind w:right="293"/>
              <w:rPr>
                <w:sz w:val="20"/>
              </w:rPr>
            </w:pPr>
            <w:r>
              <w:rPr>
                <w:sz w:val="20"/>
              </w:rPr>
              <w:t>21.5</w:t>
            </w:r>
          </w:p>
        </w:tc>
        <w:tc>
          <w:tcPr>
            <w:tcW w:w="946" w:type="dxa"/>
            <w:tcBorders>
              <w:left w:val="nil"/>
              <w:bottom w:val="nil"/>
              <w:right w:val="nil"/>
            </w:tcBorders>
          </w:tcPr>
          <w:p>
            <w:pPr>
              <w:pStyle w:val="TableParagraph"/>
              <w:spacing w:before="58"/>
              <w:ind w:right="293"/>
              <w:rPr>
                <w:sz w:val="20"/>
              </w:rPr>
            </w:pPr>
            <w:r>
              <w:rPr>
                <w:sz w:val="20"/>
              </w:rPr>
              <w:t>21.1</w:t>
            </w:r>
          </w:p>
        </w:tc>
        <w:tc>
          <w:tcPr>
            <w:tcW w:w="946" w:type="dxa"/>
            <w:tcBorders>
              <w:left w:val="nil"/>
              <w:bottom w:val="nil"/>
              <w:right w:val="nil"/>
            </w:tcBorders>
          </w:tcPr>
          <w:p>
            <w:pPr>
              <w:pStyle w:val="TableParagraph"/>
              <w:spacing w:before="58"/>
              <w:ind w:right="293"/>
              <w:rPr>
                <w:sz w:val="20"/>
              </w:rPr>
            </w:pPr>
            <w:r>
              <w:rPr>
                <w:sz w:val="20"/>
              </w:rPr>
              <w:t>21.1</w:t>
            </w:r>
          </w:p>
        </w:tc>
        <w:tc>
          <w:tcPr>
            <w:tcW w:w="713" w:type="dxa"/>
            <w:tcBorders>
              <w:left w:val="nil"/>
              <w:bottom w:val="nil"/>
              <w:right w:val="nil"/>
            </w:tcBorders>
          </w:tcPr>
          <w:p>
            <w:pPr>
              <w:pStyle w:val="TableParagraph"/>
              <w:spacing w:before="58"/>
              <w:ind w:right="60"/>
              <w:rPr>
                <w:sz w:val="20"/>
              </w:rPr>
            </w:pPr>
            <w:r>
              <w:rPr>
                <w:sz w:val="20"/>
              </w:rPr>
              <w:t>20.3</w:t>
            </w:r>
          </w:p>
        </w:tc>
      </w:tr>
      <w:tr>
        <w:trPr>
          <w:trHeight w:val="298" w:hRule="exact"/>
        </w:trPr>
        <w:tc>
          <w:tcPr>
            <w:tcW w:w="1371" w:type="dxa"/>
            <w:tcBorders>
              <w:top w:val="nil"/>
              <w:left w:val="nil"/>
              <w:bottom w:val="nil"/>
              <w:right w:val="nil"/>
            </w:tcBorders>
          </w:tcPr>
          <w:p>
            <w:pPr>
              <w:pStyle w:val="TableParagraph"/>
              <w:ind w:left="273"/>
              <w:jc w:val="left"/>
              <w:rPr>
                <w:sz w:val="20"/>
              </w:rPr>
            </w:pPr>
            <w:r>
              <w:rPr>
                <w:sz w:val="20"/>
              </w:rPr>
              <w:t>TMPMN1</w:t>
            </w:r>
          </w:p>
        </w:tc>
        <w:tc>
          <w:tcPr>
            <w:tcW w:w="1316" w:type="dxa"/>
            <w:tcBorders>
              <w:top w:val="nil"/>
              <w:left w:val="nil"/>
              <w:bottom w:val="nil"/>
              <w:right w:val="nil"/>
            </w:tcBorders>
          </w:tcPr>
          <w:p>
            <w:pPr>
              <w:pStyle w:val="TableParagraph"/>
              <w:ind w:right="67"/>
              <w:rPr>
                <w:sz w:val="20"/>
              </w:rPr>
            </w:pPr>
            <w:r>
              <w:rPr>
                <w:sz w:val="20"/>
              </w:rPr>
              <w:t>2.1</w:t>
            </w:r>
          </w:p>
        </w:tc>
        <w:tc>
          <w:tcPr>
            <w:tcW w:w="1512" w:type="dxa"/>
            <w:tcBorders>
              <w:top w:val="nil"/>
              <w:left w:val="nil"/>
              <w:bottom w:val="nil"/>
              <w:right w:val="nil"/>
            </w:tcBorders>
          </w:tcPr>
          <w:p>
            <w:pPr>
              <w:pStyle w:val="TableParagraph"/>
              <w:ind w:right="91"/>
              <w:rPr>
                <w:sz w:val="20"/>
              </w:rPr>
            </w:pPr>
            <w:r>
              <w:rPr>
                <w:sz w:val="20"/>
              </w:rPr>
              <w:t>2.9</w:t>
            </w:r>
          </w:p>
        </w:tc>
        <w:tc>
          <w:tcPr>
            <w:tcW w:w="1150" w:type="dxa"/>
            <w:tcBorders>
              <w:top w:val="nil"/>
              <w:left w:val="nil"/>
              <w:bottom w:val="nil"/>
              <w:right w:val="nil"/>
            </w:tcBorders>
          </w:tcPr>
          <w:p>
            <w:pPr>
              <w:pStyle w:val="TableParagraph"/>
              <w:ind w:right="295"/>
              <w:rPr>
                <w:sz w:val="20"/>
              </w:rPr>
            </w:pPr>
            <w:r>
              <w:rPr>
                <w:sz w:val="20"/>
              </w:rPr>
              <w:t>5.1</w:t>
            </w:r>
          </w:p>
        </w:tc>
        <w:tc>
          <w:tcPr>
            <w:tcW w:w="948" w:type="dxa"/>
            <w:tcBorders>
              <w:top w:val="nil"/>
              <w:left w:val="nil"/>
              <w:bottom w:val="nil"/>
              <w:right w:val="nil"/>
            </w:tcBorders>
          </w:tcPr>
          <w:p>
            <w:pPr>
              <w:pStyle w:val="TableParagraph"/>
              <w:ind w:right="293"/>
              <w:rPr>
                <w:sz w:val="20"/>
              </w:rPr>
            </w:pPr>
            <w:r>
              <w:rPr>
                <w:sz w:val="20"/>
              </w:rPr>
              <w:t>6.6</w:t>
            </w:r>
          </w:p>
        </w:tc>
        <w:tc>
          <w:tcPr>
            <w:tcW w:w="895" w:type="dxa"/>
            <w:tcBorders>
              <w:top w:val="nil"/>
              <w:left w:val="nil"/>
              <w:bottom w:val="nil"/>
              <w:right w:val="nil"/>
            </w:tcBorders>
          </w:tcPr>
          <w:p>
            <w:pPr>
              <w:pStyle w:val="TableParagraph"/>
              <w:ind w:right="242"/>
              <w:rPr>
                <w:sz w:val="20"/>
              </w:rPr>
            </w:pPr>
            <w:r>
              <w:rPr>
                <w:sz w:val="20"/>
              </w:rPr>
              <w:t>7.7</w:t>
            </w:r>
          </w:p>
        </w:tc>
        <w:tc>
          <w:tcPr>
            <w:tcW w:w="946" w:type="dxa"/>
            <w:tcBorders>
              <w:top w:val="nil"/>
              <w:left w:val="nil"/>
              <w:bottom w:val="nil"/>
              <w:right w:val="nil"/>
            </w:tcBorders>
          </w:tcPr>
          <w:p>
            <w:pPr>
              <w:pStyle w:val="TableParagraph"/>
              <w:ind w:right="243"/>
              <w:rPr>
                <w:sz w:val="20"/>
              </w:rPr>
            </w:pPr>
            <w:r>
              <w:rPr>
                <w:sz w:val="20"/>
              </w:rPr>
              <w:t>8.7</w:t>
            </w:r>
          </w:p>
        </w:tc>
        <w:tc>
          <w:tcPr>
            <w:tcW w:w="946" w:type="dxa"/>
            <w:tcBorders>
              <w:top w:val="nil"/>
              <w:left w:val="nil"/>
              <w:bottom w:val="nil"/>
              <w:right w:val="nil"/>
            </w:tcBorders>
          </w:tcPr>
          <w:p>
            <w:pPr>
              <w:pStyle w:val="TableParagraph"/>
              <w:ind w:right="242"/>
              <w:rPr>
                <w:sz w:val="20"/>
              </w:rPr>
            </w:pPr>
            <w:r>
              <w:rPr>
                <w:sz w:val="20"/>
              </w:rPr>
              <w:t>8.4</w:t>
            </w:r>
          </w:p>
        </w:tc>
        <w:tc>
          <w:tcPr>
            <w:tcW w:w="946" w:type="dxa"/>
            <w:tcBorders>
              <w:top w:val="nil"/>
              <w:left w:val="nil"/>
              <w:bottom w:val="nil"/>
              <w:right w:val="nil"/>
            </w:tcBorders>
          </w:tcPr>
          <w:p>
            <w:pPr>
              <w:pStyle w:val="TableParagraph"/>
              <w:ind w:right="242"/>
              <w:rPr>
                <w:sz w:val="20"/>
              </w:rPr>
            </w:pPr>
            <w:r>
              <w:rPr>
                <w:sz w:val="20"/>
              </w:rPr>
              <w:t>8.4</w:t>
            </w:r>
          </w:p>
        </w:tc>
        <w:tc>
          <w:tcPr>
            <w:tcW w:w="996" w:type="dxa"/>
            <w:tcBorders>
              <w:top w:val="nil"/>
              <w:left w:val="nil"/>
              <w:bottom w:val="nil"/>
              <w:right w:val="nil"/>
            </w:tcBorders>
          </w:tcPr>
          <w:p>
            <w:pPr>
              <w:pStyle w:val="TableParagraph"/>
              <w:ind w:right="293"/>
              <w:rPr>
                <w:sz w:val="20"/>
              </w:rPr>
            </w:pPr>
            <w:r>
              <w:rPr>
                <w:sz w:val="20"/>
              </w:rPr>
              <w:t>8.1</w:t>
            </w:r>
          </w:p>
        </w:tc>
        <w:tc>
          <w:tcPr>
            <w:tcW w:w="946" w:type="dxa"/>
            <w:tcBorders>
              <w:top w:val="nil"/>
              <w:left w:val="nil"/>
              <w:bottom w:val="nil"/>
              <w:right w:val="nil"/>
            </w:tcBorders>
          </w:tcPr>
          <w:p>
            <w:pPr>
              <w:pStyle w:val="TableParagraph"/>
              <w:ind w:right="293"/>
              <w:rPr>
                <w:sz w:val="20"/>
              </w:rPr>
            </w:pPr>
            <w:r>
              <w:rPr>
                <w:sz w:val="20"/>
              </w:rPr>
              <w:t>6.4</w:t>
            </w:r>
          </w:p>
        </w:tc>
        <w:tc>
          <w:tcPr>
            <w:tcW w:w="946" w:type="dxa"/>
            <w:tcBorders>
              <w:top w:val="nil"/>
              <w:left w:val="nil"/>
              <w:bottom w:val="nil"/>
              <w:right w:val="nil"/>
            </w:tcBorders>
          </w:tcPr>
          <w:p>
            <w:pPr>
              <w:pStyle w:val="TableParagraph"/>
              <w:ind w:right="293"/>
              <w:rPr>
                <w:sz w:val="20"/>
              </w:rPr>
            </w:pPr>
            <w:r>
              <w:rPr>
                <w:sz w:val="20"/>
              </w:rPr>
              <w:t>4.0</w:t>
            </w:r>
          </w:p>
        </w:tc>
        <w:tc>
          <w:tcPr>
            <w:tcW w:w="713" w:type="dxa"/>
            <w:tcBorders>
              <w:top w:val="nil"/>
              <w:left w:val="nil"/>
              <w:bottom w:val="nil"/>
              <w:right w:val="nil"/>
            </w:tcBorders>
          </w:tcPr>
          <w:p>
            <w:pPr>
              <w:pStyle w:val="TableParagraph"/>
              <w:ind w:right="60"/>
              <w:rPr>
                <w:sz w:val="20"/>
              </w:rPr>
            </w:pPr>
            <w:r>
              <w:rPr>
                <w:sz w:val="20"/>
              </w:rPr>
              <w:t>2.8</w:t>
            </w:r>
          </w:p>
        </w:tc>
      </w:tr>
      <w:tr>
        <w:trPr>
          <w:trHeight w:val="298" w:hRule="exact"/>
        </w:trPr>
        <w:tc>
          <w:tcPr>
            <w:tcW w:w="1371" w:type="dxa"/>
            <w:tcBorders>
              <w:top w:val="nil"/>
              <w:left w:val="nil"/>
              <w:bottom w:val="nil"/>
              <w:right w:val="nil"/>
            </w:tcBorders>
          </w:tcPr>
          <w:p>
            <w:pPr>
              <w:pStyle w:val="TableParagraph"/>
              <w:ind w:right="68"/>
              <w:rPr>
                <w:sz w:val="20"/>
              </w:rPr>
            </w:pPr>
            <w:r>
              <w:rPr>
                <w:sz w:val="20"/>
              </w:rPr>
              <w:t>TMPSTDMX1</w:t>
            </w:r>
          </w:p>
        </w:tc>
        <w:tc>
          <w:tcPr>
            <w:tcW w:w="1316" w:type="dxa"/>
            <w:tcBorders>
              <w:top w:val="nil"/>
              <w:left w:val="nil"/>
              <w:bottom w:val="nil"/>
              <w:right w:val="nil"/>
            </w:tcBorders>
          </w:tcPr>
          <w:p>
            <w:pPr>
              <w:pStyle w:val="TableParagraph"/>
              <w:ind w:right="67"/>
              <w:rPr>
                <w:sz w:val="20"/>
              </w:rPr>
            </w:pPr>
            <w:r>
              <w:rPr>
                <w:sz w:val="20"/>
              </w:rPr>
              <w:t>3.1</w:t>
            </w:r>
          </w:p>
        </w:tc>
        <w:tc>
          <w:tcPr>
            <w:tcW w:w="1512" w:type="dxa"/>
            <w:tcBorders>
              <w:top w:val="nil"/>
              <w:left w:val="nil"/>
              <w:bottom w:val="nil"/>
              <w:right w:val="nil"/>
            </w:tcBorders>
          </w:tcPr>
          <w:p>
            <w:pPr>
              <w:pStyle w:val="TableParagraph"/>
              <w:ind w:right="91"/>
              <w:rPr>
                <w:sz w:val="20"/>
              </w:rPr>
            </w:pPr>
            <w:r>
              <w:rPr>
                <w:sz w:val="20"/>
              </w:rPr>
              <w:t>2.6</w:t>
            </w:r>
          </w:p>
        </w:tc>
        <w:tc>
          <w:tcPr>
            <w:tcW w:w="1150" w:type="dxa"/>
            <w:tcBorders>
              <w:top w:val="nil"/>
              <w:left w:val="nil"/>
              <w:bottom w:val="nil"/>
              <w:right w:val="nil"/>
            </w:tcBorders>
          </w:tcPr>
          <w:p>
            <w:pPr>
              <w:pStyle w:val="TableParagraph"/>
              <w:ind w:right="295"/>
              <w:rPr>
                <w:sz w:val="20"/>
              </w:rPr>
            </w:pPr>
            <w:r>
              <w:rPr>
                <w:sz w:val="20"/>
              </w:rPr>
              <w:t>3.2</w:t>
            </w:r>
          </w:p>
        </w:tc>
        <w:tc>
          <w:tcPr>
            <w:tcW w:w="948" w:type="dxa"/>
            <w:tcBorders>
              <w:top w:val="nil"/>
              <w:left w:val="nil"/>
              <w:bottom w:val="nil"/>
              <w:right w:val="nil"/>
            </w:tcBorders>
          </w:tcPr>
          <w:p>
            <w:pPr>
              <w:pStyle w:val="TableParagraph"/>
              <w:ind w:right="293"/>
              <w:rPr>
                <w:sz w:val="20"/>
              </w:rPr>
            </w:pPr>
            <w:r>
              <w:rPr>
                <w:sz w:val="20"/>
              </w:rPr>
              <w:t>3.2</w:t>
            </w:r>
          </w:p>
        </w:tc>
        <w:tc>
          <w:tcPr>
            <w:tcW w:w="895" w:type="dxa"/>
            <w:tcBorders>
              <w:top w:val="nil"/>
              <w:left w:val="nil"/>
              <w:bottom w:val="nil"/>
              <w:right w:val="nil"/>
            </w:tcBorders>
          </w:tcPr>
          <w:p>
            <w:pPr>
              <w:pStyle w:val="TableParagraph"/>
              <w:ind w:right="242"/>
              <w:rPr>
                <w:sz w:val="20"/>
              </w:rPr>
            </w:pPr>
            <w:r>
              <w:rPr>
                <w:sz w:val="20"/>
              </w:rPr>
              <w:t>3.2</w:t>
            </w:r>
          </w:p>
        </w:tc>
        <w:tc>
          <w:tcPr>
            <w:tcW w:w="946" w:type="dxa"/>
            <w:tcBorders>
              <w:top w:val="nil"/>
              <w:left w:val="nil"/>
              <w:bottom w:val="nil"/>
              <w:right w:val="nil"/>
            </w:tcBorders>
          </w:tcPr>
          <w:p>
            <w:pPr>
              <w:pStyle w:val="TableParagraph"/>
              <w:ind w:right="243"/>
              <w:rPr>
                <w:sz w:val="20"/>
              </w:rPr>
            </w:pPr>
            <w:r>
              <w:rPr>
                <w:sz w:val="20"/>
              </w:rPr>
              <w:t>3.2</w:t>
            </w:r>
          </w:p>
        </w:tc>
        <w:tc>
          <w:tcPr>
            <w:tcW w:w="946" w:type="dxa"/>
            <w:tcBorders>
              <w:top w:val="nil"/>
              <w:left w:val="nil"/>
              <w:bottom w:val="nil"/>
              <w:right w:val="nil"/>
            </w:tcBorders>
          </w:tcPr>
          <w:p>
            <w:pPr>
              <w:pStyle w:val="TableParagraph"/>
              <w:ind w:right="242"/>
              <w:rPr>
                <w:sz w:val="20"/>
              </w:rPr>
            </w:pPr>
            <w:r>
              <w:rPr>
                <w:sz w:val="20"/>
              </w:rPr>
              <w:t>2.2</w:t>
            </w:r>
          </w:p>
        </w:tc>
        <w:tc>
          <w:tcPr>
            <w:tcW w:w="946" w:type="dxa"/>
            <w:tcBorders>
              <w:top w:val="nil"/>
              <w:left w:val="nil"/>
              <w:bottom w:val="nil"/>
              <w:right w:val="nil"/>
            </w:tcBorders>
          </w:tcPr>
          <w:p>
            <w:pPr>
              <w:pStyle w:val="TableParagraph"/>
              <w:ind w:right="242"/>
              <w:rPr>
                <w:sz w:val="20"/>
              </w:rPr>
            </w:pPr>
            <w:r>
              <w:rPr>
                <w:sz w:val="20"/>
              </w:rPr>
              <w:t>2.3</w:t>
            </w:r>
          </w:p>
        </w:tc>
        <w:tc>
          <w:tcPr>
            <w:tcW w:w="996" w:type="dxa"/>
            <w:tcBorders>
              <w:top w:val="nil"/>
              <w:left w:val="nil"/>
              <w:bottom w:val="nil"/>
              <w:right w:val="nil"/>
            </w:tcBorders>
          </w:tcPr>
          <w:p>
            <w:pPr>
              <w:pStyle w:val="TableParagraph"/>
              <w:ind w:right="293"/>
              <w:rPr>
                <w:sz w:val="20"/>
              </w:rPr>
            </w:pPr>
            <w:r>
              <w:rPr>
                <w:sz w:val="20"/>
              </w:rPr>
              <w:t>2.4</w:t>
            </w:r>
          </w:p>
        </w:tc>
        <w:tc>
          <w:tcPr>
            <w:tcW w:w="946" w:type="dxa"/>
            <w:tcBorders>
              <w:top w:val="nil"/>
              <w:left w:val="nil"/>
              <w:bottom w:val="nil"/>
              <w:right w:val="nil"/>
            </w:tcBorders>
          </w:tcPr>
          <w:p>
            <w:pPr>
              <w:pStyle w:val="TableParagraph"/>
              <w:ind w:right="293"/>
              <w:rPr>
                <w:sz w:val="20"/>
              </w:rPr>
            </w:pPr>
            <w:r>
              <w:rPr>
                <w:sz w:val="20"/>
              </w:rPr>
              <w:t>2.8</w:t>
            </w:r>
          </w:p>
        </w:tc>
        <w:tc>
          <w:tcPr>
            <w:tcW w:w="946" w:type="dxa"/>
            <w:tcBorders>
              <w:top w:val="nil"/>
              <w:left w:val="nil"/>
              <w:bottom w:val="nil"/>
              <w:right w:val="nil"/>
            </w:tcBorders>
          </w:tcPr>
          <w:p>
            <w:pPr>
              <w:pStyle w:val="TableParagraph"/>
              <w:ind w:right="293"/>
              <w:rPr>
                <w:sz w:val="20"/>
              </w:rPr>
            </w:pPr>
            <w:r>
              <w:rPr>
                <w:sz w:val="20"/>
              </w:rPr>
              <w:t>3.4</w:t>
            </w:r>
          </w:p>
        </w:tc>
        <w:tc>
          <w:tcPr>
            <w:tcW w:w="713" w:type="dxa"/>
            <w:tcBorders>
              <w:top w:val="nil"/>
              <w:left w:val="nil"/>
              <w:bottom w:val="nil"/>
              <w:right w:val="nil"/>
            </w:tcBorders>
          </w:tcPr>
          <w:p>
            <w:pPr>
              <w:pStyle w:val="TableParagraph"/>
              <w:ind w:right="60"/>
              <w:rPr>
                <w:sz w:val="20"/>
              </w:rPr>
            </w:pPr>
            <w:r>
              <w:rPr>
                <w:sz w:val="20"/>
              </w:rPr>
              <w:t>3.5</w:t>
            </w:r>
          </w:p>
        </w:tc>
      </w:tr>
      <w:tr>
        <w:trPr>
          <w:trHeight w:val="300" w:hRule="exact"/>
        </w:trPr>
        <w:tc>
          <w:tcPr>
            <w:tcW w:w="1371" w:type="dxa"/>
            <w:tcBorders>
              <w:top w:val="nil"/>
              <w:left w:val="nil"/>
              <w:bottom w:val="nil"/>
              <w:right w:val="nil"/>
            </w:tcBorders>
          </w:tcPr>
          <w:p>
            <w:pPr>
              <w:pStyle w:val="TableParagraph"/>
              <w:ind w:right="68"/>
              <w:rPr>
                <w:sz w:val="20"/>
              </w:rPr>
            </w:pPr>
            <w:r>
              <w:rPr>
                <w:sz w:val="20"/>
              </w:rPr>
              <w:t>TMPSTDMN1</w:t>
            </w:r>
          </w:p>
        </w:tc>
        <w:tc>
          <w:tcPr>
            <w:tcW w:w="1316" w:type="dxa"/>
            <w:tcBorders>
              <w:top w:val="nil"/>
              <w:left w:val="nil"/>
              <w:bottom w:val="nil"/>
              <w:right w:val="nil"/>
            </w:tcBorders>
          </w:tcPr>
          <w:p>
            <w:pPr>
              <w:pStyle w:val="TableParagraph"/>
              <w:ind w:right="67"/>
              <w:rPr>
                <w:sz w:val="20"/>
              </w:rPr>
            </w:pPr>
            <w:r>
              <w:rPr>
                <w:sz w:val="20"/>
              </w:rPr>
              <w:t>2.5</w:t>
            </w:r>
          </w:p>
        </w:tc>
        <w:tc>
          <w:tcPr>
            <w:tcW w:w="1512" w:type="dxa"/>
            <w:tcBorders>
              <w:top w:val="nil"/>
              <w:left w:val="nil"/>
              <w:bottom w:val="nil"/>
              <w:right w:val="nil"/>
            </w:tcBorders>
          </w:tcPr>
          <w:p>
            <w:pPr>
              <w:pStyle w:val="TableParagraph"/>
              <w:ind w:right="91"/>
              <w:rPr>
                <w:sz w:val="20"/>
              </w:rPr>
            </w:pPr>
            <w:r>
              <w:rPr>
                <w:sz w:val="20"/>
              </w:rPr>
              <w:t>2.1</w:t>
            </w:r>
          </w:p>
        </w:tc>
        <w:tc>
          <w:tcPr>
            <w:tcW w:w="1150" w:type="dxa"/>
            <w:tcBorders>
              <w:top w:val="nil"/>
              <w:left w:val="nil"/>
              <w:bottom w:val="nil"/>
              <w:right w:val="nil"/>
            </w:tcBorders>
          </w:tcPr>
          <w:p>
            <w:pPr>
              <w:pStyle w:val="TableParagraph"/>
              <w:ind w:right="295"/>
              <w:rPr>
                <w:sz w:val="20"/>
              </w:rPr>
            </w:pPr>
            <w:r>
              <w:rPr>
                <w:sz w:val="20"/>
              </w:rPr>
              <w:t>2.1</w:t>
            </w:r>
          </w:p>
        </w:tc>
        <w:tc>
          <w:tcPr>
            <w:tcW w:w="948" w:type="dxa"/>
            <w:tcBorders>
              <w:top w:val="nil"/>
              <w:left w:val="nil"/>
              <w:bottom w:val="nil"/>
              <w:right w:val="nil"/>
            </w:tcBorders>
          </w:tcPr>
          <w:p>
            <w:pPr>
              <w:pStyle w:val="TableParagraph"/>
              <w:ind w:right="293"/>
              <w:rPr>
                <w:sz w:val="20"/>
              </w:rPr>
            </w:pPr>
            <w:r>
              <w:rPr>
                <w:sz w:val="20"/>
              </w:rPr>
              <w:t>2.0</w:t>
            </w:r>
          </w:p>
        </w:tc>
        <w:tc>
          <w:tcPr>
            <w:tcW w:w="895" w:type="dxa"/>
            <w:tcBorders>
              <w:top w:val="nil"/>
              <w:left w:val="nil"/>
              <w:bottom w:val="nil"/>
              <w:right w:val="nil"/>
            </w:tcBorders>
          </w:tcPr>
          <w:p>
            <w:pPr>
              <w:pStyle w:val="TableParagraph"/>
              <w:ind w:right="242"/>
              <w:rPr>
                <w:sz w:val="20"/>
              </w:rPr>
            </w:pPr>
            <w:r>
              <w:rPr>
                <w:sz w:val="20"/>
              </w:rPr>
              <w:t>1.8</w:t>
            </w:r>
          </w:p>
        </w:tc>
        <w:tc>
          <w:tcPr>
            <w:tcW w:w="946" w:type="dxa"/>
            <w:tcBorders>
              <w:top w:val="nil"/>
              <w:left w:val="nil"/>
              <w:bottom w:val="nil"/>
              <w:right w:val="nil"/>
            </w:tcBorders>
          </w:tcPr>
          <w:p>
            <w:pPr>
              <w:pStyle w:val="TableParagraph"/>
              <w:ind w:right="243"/>
              <w:rPr>
                <w:sz w:val="20"/>
              </w:rPr>
            </w:pPr>
            <w:r>
              <w:rPr>
                <w:sz w:val="20"/>
              </w:rPr>
              <w:t>2.1</w:t>
            </w:r>
          </w:p>
        </w:tc>
        <w:tc>
          <w:tcPr>
            <w:tcW w:w="946" w:type="dxa"/>
            <w:tcBorders>
              <w:top w:val="nil"/>
              <w:left w:val="nil"/>
              <w:bottom w:val="nil"/>
              <w:right w:val="nil"/>
            </w:tcBorders>
          </w:tcPr>
          <w:p>
            <w:pPr>
              <w:pStyle w:val="TableParagraph"/>
              <w:ind w:right="242"/>
              <w:rPr>
                <w:sz w:val="20"/>
              </w:rPr>
            </w:pPr>
            <w:r>
              <w:rPr>
                <w:sz w:val="20"/>
              </w:rPr>
              <w:t>1.9</w:t>
            </w:r>
          </w:p>
        </w:tc>
        <w:tc>
          <w:tcPr>
            <w:tcW w:w="946" w:type="dxa"/>
            <w:tcBorders>
              <w:top w:val="nil"/>
              <w:left w:val="nil"/>
              <w:bottom w:val="nil"/>
              <w:right w:val="nil"/>
            </w:tcBorders>
          </w:tcPr>
          <w:p>
            <w:pPr>
              <w:pStyle w:val="TableParagraph"/>
              <w:ind w:right="242"/>
              <w:rPr>
                <w:sz w:val="20"/>
              </w:rPr>
            </w:pPr>
            <w:r>
              <w:rPr>
                <w:sz w:val="20"/>
              </w:rPr>
              <w:t>1.9</w:t>
            </w:r>
          </w:p>
        </w:tc>
        <w:tc>
          <w:tcPr>
            <w:tcW w:w="996" w:type="dxa"/>
            <w:tcBorders>
              <w:top w:val="nil"/>
              <w:left w:val="nil"/>
              <w:bottom w:val="nil"/>
              <w:right w:val="nil"/>
            </w:tcBorders>
          </w:tcPr>
          <w:p>
            <w:pPr>
              <w:pStyle w:val="TableParagraph"/>
              <w:ind w:right="293"/>
              <w:rPr>
                <w:sz w:val="20"/>
              </w:rPr>
            </w:pPr>
            <w:r>
              <w:rPr>
                <w:sz w:val="20"/>
              </w:rPr>
              <w:t>2.4</w:t>
            </w:r>
          </w:p>
        </w:tc>
        <w:tc>
          <w:tcPr>
            <w:tcW w:w="946" w:type="dxa"/>
            <w:tcBorders>
              <w:top w:val="nil"/>
              <w:left w:val="nil"/>
              <w:bottom w:val="nil"/>
              <w:right w:val="nil"/>
            </w:tcBorders>
          </w:tcPr>
          <w:p>
            <w:pPr>
              <w:pStyle w:val="TableParagraph"/>
              <w:ind w:right="293"/>
              <w:rPr>
                <w:sz w:val="20"/>
              </w:rPr>
            </w:pPr>
            <w:r>
              <w:rPr>
                <w:sz w:val="20"/>
              </w:rPr>
              <w:t>2.8</w:t>
            </w:r>
          </w:p>
        </w:tc>
        <w:tc>
          <w:tcPr>
            <w:tcW w:w="946" w:type="dxa"/>
            <w:tcBorders>
              <w:top w:val="nil"/>
              <w:left w:val="nil"/>
              <w:bottom w:val="nil"/>
              <w:right w:val="nil"/>
            </w:tcBorders>
          </w:tcPr>
          <w:p>
            <w:pPr>
              <w:pStyle w:val="TableParagraph"/>
              <w:ind w:right="293"/>
              <w:rPr>
                <w:sz w:val="20"/>
              </w:rPr>
            </w:pPr>
            <w:r>
              <w:rPr>
                <w:sz w:val="20"/>
              </w:rPr>
              <w:t>2.8</w:t>
            </w:r>
          </w:p>
        </w:tc>
        <w:tc>
          <w:tcPr>
            <w:tcW w:w="713" w:type="dxa"/>
            <w:tcBorders>
              <w:top w:val="nil"/>
              <w:left w:val="nil"/>
              <w:bottom w:val="nil"/>
              <w:right w:val="nil"/>
            </w:tcBorders>
          </w:tcPr>
          <w:p>
            <w:pPr>
              <w:pStyle w:val="TableParagraph"/>
              <w:ind w:right="60"/>
              <w:rPr>
                <w:sz w:val="20"/>
              </w:rPr>
            </w:pPr>
            <w:r>
              <w:rPr>
                <w:sz w:val="20"/>
              </w:rPr>
              <w:t>2.4</w:t>
            </w:r>
          </w:p>
        </w:tc>
      </w:tr>
      <w:tr>
        <w:trPr>
          <w:trHeight w:val="300" w:hRule="exact"/>
        </w:trPr>
        <w:tc>
          <w:tcPr>
            <w:tcW w:w="1371" w:type="dxa"/>
            <w:tcBorders>
              <w:top w:val="nil"/>
              <w:left w:val="nil"/>
              <w:bottom w:val="nil"/>
              <w:right w:val="nil"/>
            </w:tcBorders>
          </w:tcPr>
          <w:p>
            <w:pPr>
              <w:pStyle w:val="TableParagraph"/>
              <w:spacing w:before="26"/>
              <w:ind w:left="288"/>
              <w:jc w:val="left"/>
              <w:rPr>
                <w:sz w:val="20"/>
              </w:rPr>
            </w:pPr>
            <w:r>
              <w:rPr>
                <w:sz w:val="20"/>
              </w:rPr>
              <w:t>PCPMM1</w:t>
            </w:r>
          </w:p>
        </w:tc>
        <w:tc>
          <w:tcPr>
            <w:tcW w:w="1316" w:type="dxa"/>
            <w:tcBorders>
              <w:top w:val="nil"/>
              <w:left w:val="nil"/>
              <w:bottom w:val="nil"/>
              <w:right w:val="nil"/>
            </w:tcBorders>
          </w:tcPr>
          <w:p>
            <w:pPr>
              <w:pStyle w:val="TableParagraph"/>
              <w:spacing w:before="26"/>
              <w:ind w:right="67"/>
              <w:rPr>
                <w:sz w:val="20"/>
              </w:rPr>
            </w:pPr>
            <w:r>
              <w:rPr>
                <w:sz w:val="20"/>
              </w:rPr>
              <w:t>14.9</w:t>
            </w:r>
          </w:p>
        </w:tc>
        <w:tc>
          <w:tcPr>
            <w:tcW w:w="1512" w:type="dxa"/>
            <w:tcBorders>
              <w:top w:val="nil"/>
              <w:left w:val="nil"/>
              <w:bottom w:val="nil"/>
              <w:right w:val="nil"/>
            </w:tcBorders>
          </w:tcPr>
          <w:p>
            <w:pPr>
              <w:pStyle w:val="TableParagraph"/>
              <w:spacing w:before="26"/>
              <w:ind w:right="91"/>
              <w:rPr>
                <w:sz w:val="20"/>
              </w:rPr>
            </w:pPr>
            <w:r>
              <w:rPr>
                <w:sz w:val="20"/>
              </w:rPr>
              <w:t>8.1</w:t>
            </w:r>
          </w:p>
        </w:tc>
        <w:tc>
          <w:tcPr>
            <w:tcW w:w="1150" w:type="dxa"/>
            <w:tcBorders>
              <w:top w:val="nil"/>
              <w:left w:val="nil"/>
              <w:bottom w:val="nil"/>
              <w:right w:val="nil"/>
            </w:tcBorders>
          </w:tcPr>
          <w:p>
            <w:pPr>
              <w:pStyle w:val="TableParagraph"/>
              <w:spacing w:before="26"/>
              <w:ind w:right="295"/>
              <w:rPr>
                <w:sz w:val="20"/>
              </w:rPr>
            </w:pPr>
            <w:r>
              <w:rPr>
                <w:sz w:val="20"/>
              </w:rPr>
              <w:t>12.8</w:t>
            </w:r>
          </w:p>
        </w:tc>
        <w:tc>
          <w:tcPr>
            <w:tcW w:w="948" w:type="dxa"/>
            <w:tcBorders>
              <w:top w:val="nil"/>
              <w:left w:val="nil"/>
              <w:bottom w:val="nil"/>
              <w:right w:val="nil"/>
            </w:tcBorders>
          </w:tcPr>
          <w:p>
            <w:pPr>
              <w:pStyle w:val="TableParagraph"/>
              <w:spacing w:before="26"/>
              <w:ind w:right="293"/>
              <w:rPr>
                <w:sz w:val="20"/>
              </w:rPr>
            </w:pPr>
            <w:r>
              <w:rPr>
                <w:sz w:val="20"/>
              </w:rPr>
              <w:t>38.6</w:t>
            </w:r>
          </w:p>
        </w:tc>
        <w:tc>
          <w:tcPr>
            <w:tcW w:w="895" w:type="dxa"/>
            <w:tcBorders>
              <w:top w:val="nil"/>
              <w:left w:val="nil"/>
              <w:bottom w:val="nil"/>
              <w:right w:val="nil"/>
            </w:tcBorders>
          </w:tcPr>
          <w:p>
            <w:pPr>
              <w:pStyle w:val="TableParagraph"/>
              <w:spacing w:before="26"/>
              <w:ind w:right="242"/>
              <w:rPr>
                <w:sz w:val="20"/>
              </w:rPr>
            </w:pPr>
            <w:r>
              <w:rPr>
                <w:sz w:val="20"/>
              </w:rPr>
              <w:t>83.2</w:t>
            </w:r>
          </w:p>
        </w:tc>
        <w:tc>
          <w:tcPr>
            <w:tcW w:w="946" w:type="dxa"/>
            <w:tcBorders>
              <w:top w:val="nil"/>
              <w:left w:val="nil"/>
              <w:bottom w:val="nil"/>
              <w:right w:val="nil"/>
            </w:tcBorders>
          </w:tcPr>
          <w:p>
            <w:pPr>
              <w:pStyle w:val="TableParagraph"/>
              <w:spacing w:before="26"/>
              <w:ind w:right="243"/>
              <w:rPr>
                <w:sz w:val="20"/>
              </w:rPr>
            </w:pPr>
            <w:r>
              <w:rPr>
                <w:sz w:val="20"/>
              </w:rPr>
              <w:t>165.5</w:t>
            </w:r>
          </w:p>
        </w:tc>
        <w:tc>
          <w:tcPr>
            <w:tcW w:w="946" w:type="dxa"/>
            <w:tcBorders>
              <w:top w:val="nil"/>
              <w:left w:val="nil"/>
              <w:bottom w:val="nil"/>
              <w:right w:val="nil"/>
            </w:tcBorders>
          </w:tcPr>
          <w:p>
            <w:pPr>
              <w:pStyle w:val="TableParagraph"/>
              <w:spacing w:before="26"/>
              <w:ind w:right="242"/>
              <w:rPr>
                <w:sz w:val="20"/>
              </w:rPr>
            </w:pPr>
            <w:r>
              <w:rPr>
                <w:sz w:val="20"/>
              </w:rPr>
              <w:t>170.6</w:t>
            </w:r>
          </w:p>
        </w:tc>
        <w:tc>
          <w:tcPr>
            <w:tcW w:w="946" w:type="dxa"/>
            <w:tcBorders>
              <w:top w:val="nil"/>
              <w:left w:val="nil"/>
              <w:bottom w:val="nil"/>
              <w:right w:val="nil"/>
            </w:tcBorders>
          </w:tcPr>
          <w:p>
            <w:pPr>
              <w:pStyle w:val="TableParagraph"/>
              <w:spacing w:before="26"/>
              <w:ind w:right="243"/>
              <w:rPr>
                <w:sz w:val="20"/>
              </w:rPr>
            </w:pPr>
            <w:r>
              <w:rPr>
                <w:sz w:val="20"/>
              </w:rPr>
              <w:t>156.2</w:t>
            </w:r>
          </w:p>
        </w:tc>
        <w:tc>
          <w:tcPr>
            <w:tcW w:w="996" w:type="dxa"/>
            <w:tcBorders>
              <w:top w:val="nil"/>
              <w:left w:val="nil"/>
              <w:bottom w:val="nil"/>
              <w:right w:val="nil"/>
            </w:tcBorders>
          </w:tcPr>
          <w:p>
            <w:pPr>
              <w:pStyle w:val="TableParagraph"/>
              <w:spacing w:before="26"/>
              <w:ind w:right="293"/>
              <w:rPr>
                <w:sz w:val="20"/>
              </w:rPr>
            </w:pPr>
            <w:r>
              <w:rPr>
                <w:sz w:val="20"/>
              </w:rPr>
              <w:t>130.9</w:t>
            </w:r>
          </w:p>
        </w:tc>
        <w:tc>
          <w:tcPr>
            <w:tcW w:w="946" w:type="dxa"/>
            <w:tcBorders>
              <w:top w:val="nil"/>
              <w:left w:val="nil"/>
              <w:bottom w:val="nil"/>
              <w:right w:val="nil"/>
            </w:tcBorders>
          </w:tcPr>
          <w:p>
            <w:pPr>
              <w:pStyle w:val="TableParagraph"/>
              <w:spacing w:before="26"/>
              <w:ind w:right="293"/>
              <w:rPr>
                <w:sz w:val="20"/>
              </w:rPr>
            </w:pPr>
            <w:r>
              <w:rPr>
                <w:sz w:val="20"/>
              </w:rPr>
              <w:t>65.7</w:t>
            </w:r>
          </w:p>
        </w:tc>
        <w:tc>
          <w:tcPr>
            <w:tcW w:w="946" w:type="dxa"/>
            <w:tcBorders>
              <w:top w:val="nil"/>
              <w:left w:val="nil"/>
              <w:bottom w:val="nil"/>
              <w:right w:val="nil"/>
            </w:tcBorders>
          </w:tcPr>
          <w:p>
            <w:pPr>
              <w:pStyle w:val="TableParagraph"/>
              <w:spacing w:before="26"/>
              <w:ind w:right="293"/>
              <w:rPr>
                <w:sz w:val="20"/>
              </w:rPr>
            </w:pPr>
            <w:r>
              <w:rPr>
                <w:sz w:val="20"/>
              </w:rPr>
              <w:t>15.2</w:t>
            </w:r>
          </w:p>
        </w:tc>
        <w:tc>
          <w:tcPr>
            <w:tcW w:w="713" w:type="dxa"/>
            <w:tcBorders>
              <w:top w:val="nil"/>
              <w:left w:val="nil"/>
              <w:bottom w:val="nil"/>
              <w:right w:val="nil"/>
            </w:tcBorders>
          </w:tcPr>
          <w:p>
            <w:pPr>
              <w:pStyle w:val="TableParagraph"/>
              <w:spacing w:before="26"/>
              <w:ind w:right="60"/>
              <w:rPr>
                <w:sz w:val="20"/>
              </w:rPr>
            </w:pPr>
            <w:r>
              <w:rPr>
                <w:sz w:val="20"/>
              </w:rPr>
              <w:t>13.3</w:t>
            </w:r>
          </w:p>
        </w:tc>
      </w:tr>
      <w:tr>
        <w:trPr>
          <w:trHeight w:val="298" w:hRule="exact"/>
        </w:trPr>
        <w:tc>
          <w:tcPr>
            <w:tcW w:w="1371" w:type="dxa"/>
            <w:tcBorders>
              <w:top w:val="nil"/>
              <w:left w:val="nil"/>
              <w:bottom w:val="nil"/>
              <w:right w:val="nil"/>
            </w:tcBorders>
          </w:tcPr>
          <w:p>
            <w:pPr>
              <w:pStyle w:val="TableParagraph"/>
              <w:ind w:left="273"/>
              <w:jc w:val="left"/>
              <w:rPr>
                <w:sz w:val="20"/>
              </w:rPr>
            </w:pPr>
            <w:r>
              <w:rPr>
                <w:sz w:val="20"/>
              </w:rPr>
              <w:t>PCPSTD1</w:t>
            </w:r>
          </w:p>
        </w:tc>
        <w:tc>
          <w:tcPr>
            <w:tcW w:w="1316" w:type="dxa"/>
            <w:tcBorders>
              <w:top w:val="nil"/>
              <w:left w:val="nil"/>
              <w:bottom w:val="nil"/>
              <w:right w:val="nil"/>
            </w:tcBorders>
          </w:tcPr>
          <w:p>
            <w:pPr>
              <w:pStyle w:val="TableParagraph"/>
              <w:ind w:right="67"/>
              <w:rPr>
                <w:sz w:val="20"/>
              </w:rPr>
            </w:pPr>
            <w:r>
              <w:rPr>
                <w:sz w:val="20"/>
              </w:rPr>
              <w:t>2.3</w:t>
            </w:r>
          </w:p>
        </w:tc>
        <w:tc>
          <w:tcPr>
            <w:tcW w:w="1512" w:type="dxa"/>
            <w:tcBorders>
              <w:top w:val="nil"/>
              <w:left w:val="nil"/>
              <w:bottom w:val="nil"/>
              <w:right w:val="nil"/>
            </w:tcBorders>
          </w:tcPr>
          <w:p>
            <w:pPr>
              <w:pStyle w:val="TableParagraph"/>
              <w:ind w:right="91"/>
              <w:rPr>
                <w:sz w:val="20"/>
              </w:rPr>
            </w:pPr>
            <w:r>
              <w:rPr>
                <w:sz w:val="20"/>
              </w:rPr>
              <w:t>2.4</w:t>
            </w:r>
          </w:p>
        </w:tc>
        <w:tc>
          <w:tcPr>
            <w:tcW w:w="1150" w:type="dxa"/>
            <w:tcBorders>
              <w:top w:val="nil"/>
              <w:left w:val="nil"/>
              <w:bottom w:val="nil"/>
              <w:right w:val="nil"/>
            </w:tcBorders>
          </w:tcPr>
          <w:p>
            <w:pPr>
              <w:pStyle w:val="TableParagraph"/>
              <w:ind w:right="295"/>
              <w:rPr>
                <w:sz w:val="20"/>
              </w:rPr>
            </w:pPr>
            <w:r>
              <w:rPr>
                <w:sz w:val="20"/>
              </w:rPr>
              <w:t>2.0</w:t>
            </w:r>
          </w:p>
        </w:tc>
        <w:tc>
          <w:tcPr>
            <w:tcW w:w="948" w:type="dxa"/>
            <w:tcBorders>
              <w:top w:val="nil"/>
              <w:left w:val="nil"/>
              <w:bottom w:val="nil"/>
              <w:right w:val="nil"/>
            </w:tcBorders>
          </w:tcPr>
          <w:p>
            <w:pPr>
              <w:pStyle w:val="TableParagraph"/>
              <w:ind w:right="293"/>
              <w:rPr>
                <w:sz w:val="20"/>
              </w:rPr>
            </w:pPr>
            <w:r>
              <w:rPr>
                <w:sz w:val="20"/>
              </w:rPr>
              <w:t>4.0</w:t>
            </w:r>
          </w:p>
        </w:tc>
        <w:tc>
          <w:tcPr>
            <w:tcW w:w="895" w:type="dxa"/>
            <w:tcBorders>
              <w:top w:val="nil"/>
              <w:left w:val="nil"/>
              <w:bottom w:val="nil"/>
              <w:right w:val="nil"/>
            </w:tcBorders>
          </w:tcPr>
          <w:p>
            <w:pPr>
              <w:pStyle w:val="TableParagraph"/>
              <w:ind w:right="242"/>
              <w:rPr>
                <w:sz w:val="20"/>
              </w:rPr>
            </w:pPr>
            <w:r>
              <w:rPr>
                <w:sz w:val="20"/>
              </w:rPr>
              <w:t>6.6</w:t>
            </w:r>
          </w:p>
        </w:tc>
        <w:tc>
          <w:tcPr>
            <w:tcW w:w="946" w:type="dxa"/>
            <w:tcBorders>
              <w:top w:val="nil"/>
              <w:left w:val="nil"/>
              <w:bottom w:val="nil"/>
              <w:right w:val="nil"/>
            </w:tcBorders>
          </w:tcPr>
          <w:p>
            <w:pPr>
              <w:pStyle w:val="TableParagraph"/>
              <w:ind w:right="243"/>
              <w:rPr>
                <w:sz w:val="20"/>
              </w:rPr>
            </w:pPr>
            <w:r>
              <w:rPr>
                <w:sz w:val="20"/>
              </w:rPr>
              <w:t>9.2</w:t>
            </w:r>
          </w:p>
        </w:tc>
        <w:tc>
          <w:tcPr>
            <w:tcW w:w="946" w:type="dxa"/>
            <w:tcBorders>
              <w:top w:val="nil"/>
              <w:left w:val="nil"/>
              <w:bottom w:val="nil"/>
              <w:right w:val="nil"/>
            </w:tcBorders>
          </w:tcPr>
          <w:p>
            <w:pPr>
              <w:pStyle w:val="TableParagraph"/>
              <w:ind w:right="242"/>
              <w:rPr>
                <w:sz w:val="20"/>
              </w:rPr>
            </w:pPr>
            <w:r>
              <w:rPr>
                <w:sz w:val="20"/>
              </w:rPr>
              <w:t>8.5</w:t>
            </w:r>
          </w:p>
        </w:tc>
        <w:tc>
          <w:tcPr>
            <w:tcW w:w="946" w:type="dxa"/>
            <w:tcBorders>
              <w:top w:val="nil"/>
              <w:left w:val="nil"/>
              <w:bottom w:val="nil"/>
              <w:right w:val="nil"/>
            </w:tcBorders>
          </w:tcPr>
          <w:p>
            <w:pPr>
              <w:pStyle w:val="TableParagraph"/>
              <w:ind w:right="242"/>
              <w:rPr>
                <w:sz w:val="20"/>
              </w:rPr>
            </w:pPr>
            <w:r>
              <w:rPr>
                <w:sz w:val="20"/>
              </w:rPr>
              <w:t>8.4</w:t>
            </w:r>
          </w:p>
        </w:tc>
        <w:tc>
          <w:tcPr>
            <w:tcW w:w="996" w:type="dxa"/>
            <w:tcBorders>
              <w:top w:val="nil"/>
              <w:left w:val="nil"/>
              <w:bottom w:val="nil"/>
              <w:right w:val="nil"/>
            </w:tcBorders>
          </w:tcPr>
          <w:p>
            <w:pPr>
              <w:pStyle w:val="TableParagraph"/>
              <w:ind w:right="293"/>
              <w:rPr>
                <w:sz w:val="20"/>
              </w:rPr>
            </w:pPr>
            <w:r>
              <w:rPr>
                <w:sz w:val="20"/>
              </w:rPr>
              <w:t>8.8</w:t>
            </w:r>
          </w:p>
        </w:tc>
        <w:tc>
          <w:tcPr>
            <w:tcW w:w="946" w:type="dxa"/>
            <w:tcBorders>
              <w:top w:val="nil"/>
              <w:left w:val="nil"/>
              <w:bottom w:val="nil"/>
              <w:right w:val="nil"/>
            </w:tcBorders>
          </w:tcPr>
          <w:p>
            <w:pPr>
              <w:pStyle w:val="TableParagraph"/>
              <w:ind w:right="293"/>
              <w:rPr>
                <w:sz w:val="20"/>
              </w:rPr>
            </w:pPr>
            <w:r>
              <w:rPr>
                <w:sz w:val="20"/>
              </w:rPr>
              <w:t>6.2</w:t>
            </w:r>
          </w:p>
        </w:tc>
        <w:tc>
          <w:tcPr>
            <w:tcW w:w="946" w:type="dxa"/>
            <w:tcBorders>
              <w:top w:val="nil"/>
              <w:left w:val="nil"/>
              <w:bottom w:val="nil"/>
              <w:right w:val="nil"/>
            </w:tcBorders>
          </w:tcPr>
          <w:p>
            <w:pPr>
              <w:pStyle w:val="TableParagraph"/>
              <w:ind w:right="293"/>
              <w:rPr>
                <w:sz w:val="20"/>
              </w:rPr>
            </w:pPr>
            <w:r>
              <w:rPr>
                <w:sz w:val="20"/>
              </w:rPr>
              <w:t>2.3</w:t>
            </w:r>
          </w:p>
        </w:tc>
        <w:tc>
          <w:tcPr>
            <w:tcW w:w="713" w:type="dxa"/>
            <w:tcBorders>
              <w:top w:val="nil"/>
              <w:left w:val="nil"/>
              <w:bottom w:val="nil"/>
              <w:right w:val="nil"/>
            </w:tcBorders>
          </w:tcPr>
          <w:p>
            <w:pPr>
              <w:pStyle w:val="TableParagraph"/>
              <w:ind w:right="60"/>
              <w:rPr>
                <w:sz w:val="20"/>
              </w:rPr>
            </w:pPr>
            <w:r>
              <w:rPr>
                <w:sz w:val="20"/>
              </w:rPr>
              <w:t>2.0</w:t>
            </w:r>
          </w:p>
        </w:tc>
      </w:tr>
      <w:tr>
        <w:trPr>
          <w:trHeight w:val="298" w:hRule="exact"/>
        </w:trPr>
        <w:tc>
          <w:tcPr>
            <w:tcW w:w="1371" w:type="dxa"/>
            <w:tcBorders>
              <w:top w:val="nil"/>
              <w:left w:val="nil"/>
              <w:bottom w:val="nil"/>
              <w:right w:val="nil"/>
            </w:tcBorders>
          </w:tcPr>
          <w:p>
            <w:pPr>
              <w:pStyle w:val="TableParagraph"/>
              <w:ind w:left="240"/>
              <w:jc w:val="left"/>
              <w:rPr>
                <w:sz w:val="20"/>
              </w:rPr>
            </w:pPr>
            <w:r>
              <w:rPr>
                <w:sz w:val="20"/>
              </w:rPr>
              <w:t>PCPSKW1</w:t>
            </w:r>
          </w:p>
        </w:tc>
        <w:tc>
          <w:tcPr>
            <w:tcW w:w="1316" w:type="dxa"/>
            <w:tcBorders>
              <w:top w:val="nil"/>
              <w:left w:val="nil"/>
              <w:bottom w:val="nil"/>
              <w:right w:val="nil"/>
            </w:tcBorders>
          </w:tcPr>
          <w:p>
            <w:pPr>
              <w:pStyle w:val="TableParagraph"/>
              <w:ind w:right="67"/>
              <w:rPr>
                <w:sz w:val="20"/>
              </w:rPr>
            </w:pPr>
            <w:r>
              <w:rPr>
                <w:sz w:val="20"/>
              </w:rPr>
              <w:t>7.8</w:t>
            </w:r>
          </w:p>
        </w:tc>
        <w:tc>
          <w:tcPr>
            <w:tcW w:w="1512" w:type="dxa"/>
            <w:tcBorders>
              <w:top w:val="nil"/>
              <w:left w:val="nil"/>
              <w:bottom w:val="nil"/>
              <w:right w:val="nil"/>
            </w:tcBorders>
          </w:tcPr>
          <w:p>
            <w:pPr>
              <w:pStyle w:val="TableParagraph"/>
              <w:ind w:right="91"/>
              <w:rPr>
                <w:sz w:val="20"/>
              </w:rPr>
            </w:pPr>
            <w:r>
              <w:rPr>
                <w:sz w:val="20"/>
              </w:rPr>
              <w:t>6.6</w:t>
            </w:r>
          </w:p>
        </w:tc>
        <w:tc>
          <w:tcPr>
            <w:tcW w:w="1150" w:type="dxa"/>
            <w:tcBorders>
              <w:top w:val="nil"/>
              <w:left w:val="nil"/>
              <w:bottom w:val="nil"/>
              <w:right w:val="nil"/>
            </w:tcBorders>
          </w:tcPr>
          <w:p>
            <w:pPr>
              <w:pStyle w:val="TableParagraph"/>
              <w:ind w:right="295"/>
              <w:rPr>
                <w:sz w:val="20"/>
              </w:rPr>
            </w:pPr>
            <w:r>
              <w:rPr>
                <w:sz w:val="20"/>
              </w:rPr>
              <w:t>7.4</w:t>
            </w:r>
          </w:p>
        </w:tc>
        <w:tc>
          <w:tcPr>
            <w:tcW w:w="948" w:type="dxa"/>
            <w:tcBorders>
              <w:top w:val="nil"/>
              <w:left w:val="nil"/>
              <w:bottom w:val="nil"/>
              <w:right w:val="nil"/>
            </w:tcBorders>
          </w:tcPr>
          <w:p>
            <w:pPr>
              <w:pStyle w:val="TableParagraph"/>
              <w:ind w:right="293"/>
              <w:rPr>
                <w:sz w:val="20"/>
              </w:rPr>
            </w:pPr>
            <w:r>
              <w:rPr>
                <w:sz w:val="20"/>
              </w:rPr>
              <w:t>4.6</w:t>
            </w:r>
          </w:p>
        </w:tc>
        <w:tc>
          <w:tcPr>
            <w:tcW w:w="895" w:type="dxa"/>
            <w:tcBorders>
              <w:top w:val="nil"/>
              <w:left w:val="nil"/>
              <w:bottom w:val="nil"/>
              <w:right w:val="nil"/>
            </w:tcBorders>
          </w:tcPr>
          <w:p>
            <w:pPr>
              <w:pStyle w:val="TableParagraph"/>
              <w:ind w:right="242"/>
              <w:rPr>
                <w:sz w:val="20"/>
              </w:rPr>
            </w:pPr>
            <w:r>
              <w:rPr>
                <w:sz w:val="20"/>
              </w:rPr>
              <w:t>5.8</w:t>
            </w:r>
          </w:p>
        </w:tc>
        <w:tc>
          <w:tcPr>
            <w:tcW w:w="946" w:type="dxa"/>
            <w:tcBorders>
              <w:top w:val="nil"/>
              <w:left w:val="nil"/>
              <w:bottom w:val="nil"/>
              <w:right w:val="nil"/>
            </w:tcBorders>
          </w:tcPr>
          <w:p>
            <w:pPr>
              <w:pStyle w:val="TableParagraph"/>
              <w:ind w:right="243"/>
              <w:rPr>
                <w:sz w:val="20"/>
              </w:rPr>
            </w:pPr>
            <w:r>
              <w:rPr>
                <w:sz w:val="20"/>
              </w:rPr>
              <w:t>2.5</w:t>
            </w:r>
          </w:p>
        </w:tc>
        <w:tc>
          <w:tcPr>
            <w:tcW w:w="946" w:type="dxa"/>
            <w:tcBorders>
              <w:top w:val="nil"/>
              <w:left w:val="nil"/>
              <w:bottom w:val="nil"/>
              <w:right w:val="nil"/>
            </w:tcBorders>
          </w:tcPr>
          <w:p>
            <w:pPr>
              <w:pStyle w:val="TableParagraph"/>
              <w:ind w:right="242"/>
              <w:rPr>
                <w:sz w:val="20"/>
              </w:rPr>
            </w:pPr>
            <w:r>
              <w:rPr>
                <w:sz w:val="20"/>
              </w:rPr>
              <w:t>2.6</w:t>
            </w:r>
          </w:p>
        </w:tc>
        <w:tc>
          <w:tcPr>
            <w:tcW w:w="946" w:type="dxa"/>
            <w:tcBorders>
              <w:top w:val="nil"/>
              <w:left w:val="nil"/>
              <w:bottom w:val="nil"/>
              <w:right w:val="nil"/>
            </w:tcBorders>
          </w:tcPr>
          <w:p>
            <w:pPr>
              <w:pStyle w:val="TableParagraph"/>
              <w:ind w:right="242"/>
              <w:rPr>
                <w:sz w:val="20"/>
              </w:rPr>
            </w:pPr>
            <w:r>
              <w:rPr>
                <w:sz w:val="20"/>
              </w:rPr>
              <w:t>2.4</w:t>
            </w:r>
          </w:p>
        </w:tc>
        <w:tc>
          <w:tcPr>
            <w:tcW w:w="996" w:type="dxa"/>
            <w:tcBorders>
              <w:top w:val="nil"/>
              <w:left w:val="nil"/>
              <w:bottom w:val="nil"/>
              <w:right w:val="nil"/>
            </w:tcBorders>
          </w:tcPr>
          <w:p>
            <w:pPr>
              <w:pStyle w:val="TableParagraph"/>
              <w:ind w:right="293"/>
              <w:rPr>
                <w:sz w:val="20"/>
              </w:rPr>
            </w:pPr>
            <w:r>
              <w:rPr>
                <w:sz w:val="20"/>
              </w:rPr>
              <w:t>3.3</w:t>
            </w:r>
          </w:p>
        </w:tc>
        <w:tc>
          <w:tcPr>
            <w:tcW w:w="946" w:type="dxa"/>
            <w:tcBorders>
              <w:top w:val="nil"/>
              <w:left w:val="nil"/>
              <w:bottom w:val="nil"/>
              <w:right w:val="nil"/>
            </w:tcBorders>
          </w:tcPr>
          <w:p>
            <w:pPr>
              <w:pStyle w:val="TableParagraph"/>
              <w:ind w:right="293"/>
              <w:rPr>
                <w:sz w:val="20"/>
              </w:rPr>
            </w:pPr>
            <w:r>
              <w:rPr>
                <w:sz w:val="20"/>
              </w:rPr>
              <w:t>4.3</w:t>
            </w:r>
          </w:p>
        </w:tc>
        <w:tc>
          <w:tcPr>
            <w:tcW w:w="946" w:type="dxa"/>
            <w:tcBorders>
              <w:top w:val="nil"/>
              <w:left w:val="nil"/>
              <w:bottom w:val="nil"/>
              <w:right w:val="nil"/>
            </w:tcBorders>
          </w:tcPr>
          <w:p>
            <w:pPr>
              <w:pStyle w:val="TableParagraph"/>
              <w:ind w:right="293"/>
              <w:rPr>
                <w:sz w:val="20"/>
              </w:rPr>
            </w:pPr>
            <w:r>
              <w:rPr>
                <w:sz w:val="20"/>
              </w:rPr>
              <w:t>7.0</w:t>
            </w:r>
          </w:p>
        </w:tc>
        <w:tc>
          <w:tcPr>
            <w:tcW w:w="713" w:type="dxa"/>
            <w:tcBorders>
              <w:top w:val="nil"/>
              <w:left w:val="nil"/>
              <w:bottom w:val="nil"/>
              <w:right w:val="nil"/>
            </w:tcBorders>
          </w:tcPr>
          <w:p>
            <w:pPr>
              <w:pStyle w:val="TableParagraph"/>
              <w:ind w:right="60"/>
              <w:rPr>
                <w:sz w:val="20"/>
              </w:rPr>
            </w:pPr>
            <w:r>
              <w:rPr>
                <w:sz w:val="20"/>
              </w:rPr>
              <w:t>8.0</w:t>
            </w:r>
          </w:p>
        </w:tc>
      </w:tr>
      <w:tr>
        <w:trPr>
          <w:trHeight w:val="298" w:hRule="exact"/>
        </w:trPr>
        <w:tc>
          <w:tcPr>
            <w:tcW w:w="1371" w:type="dxa"/>
            <w:tcBorders>
              <w:top w:val="nil"/>
              <w:left w:val="nil"/>
              <w:bottom w:val="nil"/>
              <w:right w:val="nil"/>
            </w:tcBorders>
          </w:tcPr>
          <w:p>
            <w:pPr>
              <w:pStyle w:val="TableParagraph"/>
              <w:ind w:left="273"/>
              <w:jc w:val="left"/>
              <w:rPr>
                <w:sz w:val="20"/>
              </w:rPr>
            </w:pPr>
            <w:r>
              <w:rPr>
                <w:sz w:val="20"/>
              </w:rPr>
              <w:t>PR_W1_1</w:t>
            </w:r>
          </w:p>
        </w:tc>
        <w:tc>
          <w:tcPr>
            <w:tcW w:w="1316" w:type="dxa"/>
            <w:tcBorders>
              <w:top w:val="nil"/>
              <w:left w:val="nil"/>
              <w:bottom w:val="nil"/>
              <w:right w:val="nil"/>
            </w:tcBorders>
          </w:tcPr>
          <w:p>
            <w:pPr>
              <w:pStyle w:val="TableParagraph"/>
              <w:ind w:right="67"/>
              <w:rPr>
                <w:sz w:val="20"/>
              </w:rPr>
            </w:pPr>
            <w:r>
              <w:rPr>
                <w:sz w:val="20"/>
              </w:rPr>
              <w:t>0.0</w:t>
            </w:r>
          </w:p>
        </w:tc>
        <w:tc>
          <w:tcPr>
            <w:tcW w:w="1512" w:type="dxa"/>
            <w:tcBorders>
              <w:top w:val="nil"/>
              <w:left w:val="nil"/>
              <w:bottom w:val="nil"/>
              <w:right w:val="nil"/>
            </w:tcBorders>
          </w:tcPr>
          <w:p>
            <w:pPr>
              <w:pStyle w:val="TableParagraph"/>
              <w:ind w:right="91"/>
              <w:rPr>
                <w:sz w:val="20"/>
              </w:rPr>
            </w:pPr>
            <w:r>
              <w:rPr>
                <w:sz w:val="20"/>
              </w:rPr>
              <w:t>0.0</w:t>
            </w:r>
          </w:p>
        </w:tc>
        <w:tc>
          <w:tcPr>
            <w:tcW w:w="1150" w:type="dxa"/>
            <w:tcBorders>
              <w:top w:val="nil"/>
              <w:left w:val="nil"/>
              <w:bottom w:val="nil"/>
              <w:right w:val="nil"/>
            </w:tcBorders>
          </w:tcPr>
          <w:p>
            <w:pPr>
              <w:pStyle w:val="TableParagraph"/>
              <w:ind w:right="295"/>
              <w:rPr>
                <w:sz w:val="20"/>
              </w:rPr>
            </w:pPr>
            <w:r>
              <w:rPr>
                <w:sz w:val="20"/>
              </w:rPr>
              <w:t>0.0</w:t>
            </w:r>
          </w:p>
        </w:tc>
        <w:tc>
          <w:tcPr>
            <w:tcW w:w="948" w:type="dxa"/>
            <w:tcBorders>
              <w:top w:val="nil"/>
              <w:left w:val="nil"/>
              <w:bottom w:val="nil"/>
              <w:right w:val="nil"/>
            </w:tcBorders>
          </w:tcPr>
          <w:p>
            <w:pPr>
              <w:pStyle w:val="TableParagraph"/>
              <w:ind w:right="293"/>
              <w:rPr>
                <w:sz w:val="20"/>
              </w:rPr>
            </w:pPr>
            <w:r>
              <w:rPr>
                <w:sz w:val="20"/>
              </w:rPr>
              <w:t>0.1</w:t>
            </w:r>
          </w:p>
        </w:tc>
        <w:tc>
          <w:tcPr>
            <w:tcW w:w="895" w:type="dxa"/>
            <w:tcBorders>
              <w:top w:val="nil"/>
              <w:left w:val="nil"/>
              <w:bottom w:val="nil"/>
              <w:right w:val="nil"/>
            </w:tcBorders>
          </w:tcPr>
          <w:p>
            <w:pPr>
              <w:pStyle w:val="TableParagraph"/>
              <w:ind w:right="242"/>
              <w:rPr>
                <w:sz w:val="20"/>
              </w:rPr>
            </w:pPr>
            <w:r>
              <w:rPr>
                <w:sz w:val="20"/>
              </w:rPr>
              <w:t>0.2</w:t>
            </w:r>
          </w:p>
        </w:tc>
        <w:tc>
          <w:tcPr>
            <w:tcW w:w="946" w:type="dxa"/>
            <w:tcBorders>
              <w:top w:val="nil"/>
              <w:left w:val="nil"/>
              <w:bottom w:val="nil"/>
              <w:right w:val="nil"/>
            </w:tcBorders>
          </w:tcPr>
          <w:p>
            <w:pPr>
              <w:pStyle w:val="TableParagraph"/>
              <w:ind w:right="243"/>
              <w:rPr>
                <w:sz w:val="20"/>
              </w:rPr>
            </w:pPr>
            <w:r>
              <w:rPr>
                <w:sz w:val="20"/>
              </w:rPr>
              <w:t>0.3</w:t>
            </w:r>
          </w:p>
        </w:tc>
        <w:tc>
          <w:tcPr>
            <w:tcW w:w="946" w:type="dxa"/>
            <w:tcBorders>
              <w:top w:val="nil"/>
              <w:left w:val="nil"/>
              <w:bottom w:val="nil"/>
              <w:right w:val="nil"/>
            </w:tcBorders>
          </w:tcPr>
          <w:p>
            <w:pPr>
              <w:pStyle w:val="TableParagraph"/>
              <w:ind w:right="242"/>
              <w:rPr>
                <w:sz w:val="20"/>
              </w:rPr>
            </w:pPr>
            <w:r>
              <w:rPr>
                <w:sz w:val="20"/>
              </w:rPr>
              <w:t>0.4</w:t>
            </w:r>
          </w:p>
        </w:tc>
        <w:tc>
          <w:tcPr>
            <w:tcW w:w="946" w:type="dxa"/>
            <w:tcBorders>
              <w:top w:val="nil"/>
              <w:left w:val="nil"/>
              <w:bottom w:val="nil"/>
              <w:right w:val="nil"/>
            </w:tcBorders>
          </w:tcPr>
          <w:p>
            <w:pPr>
              <w:pStyle w:val="TableParagraph"/>
              <w:ind w:right="242"/>
              <w:rPr>
                <w:sz w:val="20"/>
              </w:rPr>
            </w:pPr>
            <w:r>
              <w:rPr>
                <w:sz w:val="20"/>
              </w:rPr>
              <w:t>0.3</w:t>
            </w:r>
          </w:p>
        </w:tc>
        <w:tc>
          <w:tcPr>
            <w:tcW w:w="996" w:type="dxa"/>
            <w:tcBorders>
              <w:top w:val="nil"/>
              <w:left w:val="nil"/>
              <w:bottom w:val="nil"/>
              <w:right w:val="nil"/>
            </w:tcBorders>
          </w:tcPr>
          <w:p>
            <w:pPr>
              <w:pStyle w:val="TableParagraph"/>
              <w:ind w:right="293"/>
              <w:rPr>
                <w:sz w:val="20"/>
              </w:rPr>
            </w:pPr>
            <w:r>
              <w:rPr>
                <w:sz w:val="20"/>
              </w:rPr>
              <w:t>0.2</w:t>
            </w:r>
          </w:p>
        </w:tc>
        <w:tc>
          <w:tcPr>
            <w:tcW w:w="946" w:type="dxa"/>
            <w:tcBorders>
              <w:top w:val="nil"/>
              <w:left w:val="nil"/>
              <w:bottom w:val="nil"/>
              <w:right w:val="nil"/>
            </w:tcBorders>
          </w:tcPr>
          <w:p>
            <w:pPr>
              <w:pStyle w:val="TableParagraph"/>
              <w:ind w:right="293"/>
              <w:rPr>
                <w:sz w:val="20"/>
              </w:rPr>
            </w:pPr>
            <w:r>
              <w:rPr>
                <w:sz w:val="20"/>
              </w:rPr>
              <w:t>0.1</w:t>
            </w:r>
          </w:p>
        </w:tc>
        <w:tc>
          <w:tcPr>
            <w:tcW w:w="946" w:type="dxa"/>
            <w:tcBorders>
              <w:top w:val="nil"/>
              <w:left w:val="nil"/>
              <w:bottom w:val="nil"/>
              <w:right w:val="nil"/>
            </w:tcBorders>
          </w:tcPr>
          <w:p>
            <w:pPr>
              <w:pStyle w:val="TableParagraph"/>
              <w:ind w:right="293"/>
              <w:rPr>
                <w:sz w:val="20"/>
              </w:rPr>
            </w:pPr>
            <w:r>
              <w:rPr>
                <w:sz w:val="20"/>
              </w:rPr>
              <w:t>0.1</w:t>
            </w:r>
          </w:p>
        </w:tc>
        <w:tc>
          <w:tcPr>
            <w:tcW w:w="713" w:type="dxa"/>
            <w:tcBorders>
              <w:top w:val="nil"/>
              <w:left w:val="nil"/>
              <w:bottom w:val="nil"/>
              <w:right w:val="nil"/>
            </w:tcBorders>
          </w:tcPr>
          <w:p>
            <w:pPr>
              <w:pStyle w:val="TableParagraph"/>
              <w:ind w:right="60"/>
              <w:rPr>
                <w:sz w:val="20"/>
              </w:rPr>
            </w:pPr>
            <w:r>
              <w:rPr>
                <w:sz w:val="20"/>
              </w:rPr>
              <w:t>0.0</w:t>
            </w:r>
          </w:p>
        </w:tc>
      </w:tr>
      <w:tr>
        <w:trPr>
          <w:trHeight w:val="298" w:hRule="exact"/>
        </w:trPr>
        <w:tc>
          <w:tcPr>
            <w:tcW w:w="1371" w:type="dxa"/>
            <w:tcBorders>
              <w:top w:val="nil"/>
              <w:left w:val="nil"/>
              <w:bottom w:val="nil"/>
              <w:right w:val="nil"/>
            </w:tcBorders>
          </w:tcPr>
          <w:p>
            <w:pPr>
              <w:pStyle w:val="TableParagraph"/>
              <w:ind w:left="273"/>
              <w:jc w:val="left"/>
              <w:rPr>
                <w:sz w:val="20"/>
              </w:rPr>
            </w:pPr>
            <w:r>
              <w:rPr>
                <w:sz w:val="20"/>
              </w:rPr>
              <w:t>PR_W2_1</w:t>
            </w:r>
          </w:p>
        </w:tc>
        <w:tc>
          <w:tcPr>
            <w:tcW w:w="1316" w:type="dxa"/>
            <w:tcBorders>
              <w:top w:val="nil"/>
              <w:left w:val="nil"/>
              <w:bottom w:val="nil"/>
              <w:right w:val="nil"/>
            </w:tcBorders>
          </w:tcPr>
          <w:p>
            <w:pPr>
              <w:pStyle w:val="TableParagraph"/>
              <w:ind w:right="67"/>
              <w:rPr>
                <w:sz w:val="20"/>
              </w:rPr>
            </w:pPr>
            <w:r>
              <w:rPr>
                <w:sz w:val="20"/>
              </w:rPr>
              <w:t>0.5</w:t>
            </w:r>
          </w:p>
        </w:tc>
        <w:tc>
          <w:tcPr>
            <w:tcW w:w="1512" w:type="dxa"/>
            <w:tcBorders>
              <w:top w:val="nil"/>
              <w:left w:val="nil"/>
              <w:bottom w:val="nil"/>
              <w:right w:val="nil"/>
            </w:tcBorders>
          </w:tcPr>
          <w:p>
            <w:pPr>
              <w:pStyle w:val="TableParagraph"/>
              <w:ind w:right="91"/>
              <w:rPr>
                <w:sz w:val="20"/>
              </w:rPr>
            </w:pPr>
            <w:r>
              <w:rPr>
                <w:sz w:val="20"/>
              </w:rPr>
              <w:t>0.3</w:t>
            </w:r>
          </w:p>
        </w:tc>
        <w:tc>
          <w:tcPr>
            <w:tcW w:w="1150" w:type="dxa"/>
            <w:tcBorders>
              <w:top w:val="nil"/>
              <w:left w:val="nil"/>
              <w:bottom w:val="nil"/>
              <w:right w:val="nil"/>
            </w:tcBorders>
          </w:tcPr>
          <w:p>
            <w:pPr>
              <w:pStyle w:val="TableParagraph"/>
              <w:ind w:right="295"/>
              <w:rPr>
                <w:sz w:val="20"/>
              </w:rPr>
            </w:pPr>
            <w:r>
              <w:rPr>
                <w:sz w:val="20"/>
              </w:rPr>
              <w:t>0.4</w:t>
            </w:r>
          </w:p>
        </w:tc>
        <w:tc>
          <w:tcPr>
            <w:tcW w:w="948" w:type="dxa"/>
            <w:tcBorders>
              <w:top w:val="nil"/>
              <w:left w:val="nil"/>
              <w:bottom w:val="nil"/>
              <w:right w:val="nil"/>
            </w:tcBorders>
          </w:tcPr>
          <w:p>
            <w:pPr>
              <w:pStyle w:val="TableParagraph"/>
              <w:ind w:right="293"/>
              <w:rPr>
                <w:sz w:val="20"/>
              </w:rPr>
            </w:pPr>
            <w:r>
              <w:rPr>
                <w:sz w:val="20"/>
              </w:rPr>
              <w:t>0.4</w:t>
            </w:r>
          </w:p>
        </w:tc>
        <w:tc>
          <w:tcPr>
            <w:tcW w:w="895" w:type="dxa"/>
            <w:tcBorders>
              <w:top w:val="nil"/>
              <w:left w:val="nil"/>
              <w:bottom w:val="nil"/>
              <w:right w:val="nil"/>
            </w:tcBorders>
          </w:tcPr>
          <w:p>
            <w:pPr>
              <w:pStyle w:val="TableParagraph"/>
              <w:ind w:right="242"/>
              <w:rPr>
                <w:sz w:val="20"/>
              </w:rPr>
            </w:pPr>
            <w:r>
              <w:rPr>
                <w:sz w:val="20"/>
              </w:rPr>
              <w:t>0.5</w:t>
            </w:r>
          </w:p>
        </w:tc>
        <w:tc>
          <w:tcPr>
            <w:tcW w:w="946" w:type="dxa"/>
            <w:tcBorders>
              <w:top w:val="nil"/>
              <w:left w:val="nil"/>
              <w:bottom w:val="nil"/>
              <w:right w:val="nil"/>
            </w:tcBorders>
          </w:tcPr>
          <w:p>
            <w:pPr>
              <w:pStyle w:val="TableParagraph"/>
              <w:ind w:right="243"/>
              <w:rPr>
                <w:sz w:val="20"/>
              </w:rPr>
            </w:pPr>
            <w:r>
              <w:rPr>
                <w:sz w:val="20"/>
              </w:rPr>
              <w:t>0.7</w:t>
            </w:r>
          </w:p>
        </w:tc>
        <w:tc>
          <w:tcPr>
            <w:tcW w:w="946" w:type="dxa"/>
            <w:tcBorders>
              <w:top w:val="nil"/>
              <w:left w:val="nil"/>
              <w:bottom w:val="nil"/>
              <w:right w:val="nil"/>
            </w:tcBorders>
          </w:tcPr>
          <w:p>
            <w:pPr>
              <w:pStyle w:val="TableParagraph"/>
              <w:ind w:right="242"/>
              <w:rPr>
                <w:sz w:val="20"/>
              </w:rPr>
            </w:pPr>
            <w:r>
              <w:rPr>
                <w:sz w:val="20"/>
              </w:rPr>
              <w:t>0.6</w:t>
            </w:r>
          </w:p>
        </w:tc>
        <w:tc>
          <w:tcPr>
            <w:tcW w:w="946" w:type="dxa"/>
            <w:tcBorders>
              <w:top w:val="nil"/>
              <w:left w:val="nil"/>
              <w:bottom w:val="nil"/>
              <w:right w:val="nil"/>
            </w:tcBorders>
          </w:tcPr>
          <w:p>
            <w:pPr>
              <w:pStyle w:val="TableParagraph"/>
              <w:ind w:right="242"/>
              <w:rPr>
                <w:sz w:val="20"/>
              </w:rPr>
            </w:pPr>
            <w:r>
              <w:rPr>
                <w:sz w:val="20"/>
              </w:rPr>
              <w:t>0.6</w:t>
            </w:r>
          </w:p>
        </w:tc>
        <w:tc>
          <w:tcPr>
            <w:tcW w:w="996" w:type="dxa"/>
            <w:tcBorders>
              <w:top w:val="nil"/>
              <w:left w:val="nil"/>
              <w:bottom w:val="nil"/>
              <w:right w:val="nil"/>
            </w:tcBorders>
          </w:tcPr>
          <w:p>
            <w:pPr>
              <w:pStyle w:val="TableParagraph"/>
              <w:ind w:right="293"/>
              <w:rPr>
                <w:sz w:val="20"/>
              </w:rPr>
            </w:pPr>
            <w:r>
              <w:rPr>
                <w:sz w:val="20"/>
              </w:rPr>
              <w:t>0.6</w:t>
            </w:r>
          </w:p>
        </w:tc>
        <w:tc>
          <w:tcPr>
            <w:tcW w:w="946" w:type="dxa"/>
            <w:tcBorders>
              <w:top w:val="nil"/>
              <w:left w:val="nil"/>
              <w:bottom w:val="nil"/>
              <w:right w:val="nil"/>
            </w:tcBorders>
          </w:tcPr>
          <w:p>
            <w:pPr>
              <w:pStyle w:val="TableParagraph"/>
              <w:ind w:right="293"/>
              <w:rPr>
                <w:sz w:val="20"/>
              </w:rPr>
            </w:pPr>
            <w:r>
              <w:rPr>
                <w:sz w:val="20"/>
              </w:rPr>
              <w:t>0.6</w:t>
            </w:r>
          </w:p>
        </w:tc>
        <w:tc>
          <w:tcPr>
            <w:tcW w:w="946" w:type="dxa"/>
            <w:tcBorders>
              <w:top w:val="nil"/>
              <w:left w:val="nil"/>
              <w:bottom w:val="nil"/>
              <w:right w:val="nil"/>
            </w:tcBorders>
          </w:tcPr>
          <w:p>
            <w:pPr>
              <w:pStyle w:val="TableParagraph"/>
              <w:ind w:right="293"/>
              <w:rPr>
                <w:sz w:val="20"/>
              </w:rPr>
            </w:pPr>
            <w:r>
              <w:rPr>
                <w:sz w:val="20"/>
              </w:rPr>
              <w:t>0.3</w:t>
            </w:r>
          </w:p>
        </w:tc>
        <w:tc>
          <w:tcPr>
            <w:tcW w:w="713" w:type="dxa"/>
            <w:tcBorders>
              <w:top w:val="nil"/>
              <w:left w:val="nil"/>
              <w:bottom w:val="nil"/>
              <w:right w:val="nil"/>
            </w:tcBorders>
          </w:tcPr>
          <w:p>
            <w:pPr>
              <w:pStyle w:val="TableParagraph"/>
              <w:ind w:right="60"/>
              <w:rPr>
                <w:sz w:val="20"/>
              </w:rPr>
            </w:pPr>
            <w:r>
              <w:rPr>
                <w:sz w:val="20"/>
              </w:rPr>
              <w:t>0.5</w:t>
            </w:r>
          </w:p>
        </w:tc>
      </w:tr>
      <w:tr>
        <w:trPr>
          <w:trHeight w:val="298" w:hRule="exact"/>
        </w:trPr>
        <w:tc>
          <w:tcPr>
            <w:tcW w:w="1371" w:type="dxa"/>
            <w:tcBorders>
              <w:top w:val="nil"/>
              <w:left w:val="nil"/>
              <w:bottom w:val="nil"/>
              <w:right w:val="nil"/>
            </w:tcBorders>
          </w:tcPr>
          <w:p>
            <w:pPr>
              <w:pStyle w:val="TableParagraph"/>
              <w:ind w:left="393"/>
              <w:jc w:val="left"/>
              <w:rPr>
                <w:sz w:val="20"/>
              </w:rPr>
            </w:pPr>
            <w:r>
              <w:rPr>
                <w:sz w:val="20"/>
              </w:rPr>
              <w:t>PCPD1</w:t>
            </w:r>
          </w:p>
        </w:tc>
        <w:tc>
          <w:tcPr>
            <w:tcW w:w="1316" w:type="dxa"/>
            <w:tcBorders>
              <w:top w:val="nil"/>
              <w:left w:val="nil"/>
              <w:bottom w:val="nil"/>
              <w:right w:val="nil"/>
            </w:tcBorders>
          </w:tcPr>
          <w:p>
            <w:pPr>
              <w:pStyle w:val="TableParagraph"/>
              <w:ind w:right="67"/>
              <w:rPr>
                <w:sz w:val="20"/>
              </w:rPr>
            </w:pPr>
            <w:r>
              <w:rPr>
                <w:sz w:val="20"/>
              </w:rPr>
              <w:t>2.9</w:t>
            </w:r>
          </w:p>
        </w:tc>
        <w:tc>
          <w:tcPr>
            <w:tcW w:w="1512" w:type="dxa"/>
            <w:tcBorders>
              <w:top w:val="nil"/>
              <w:left w:val="nil"/>
              <w:bottom w:val="nil"/>
              <w:right w:val="nil"/>
            </w:tcBorders>
          </w:tcPr>
          <w:p>
            <w:pPr>
              <w:pStyle w:val="TableParagraph"/>
              <w:ind w:right="91"/>
              <w:rPr>
                <w:sz w:val="20"/>
              </w:rPr>
            </w:pPr>
            <w:r>
              <w:rPr>
                <w:sz w:val="20"/>
              </w:rPr>
              <w:t>1.7</w:t>
            </w:r>
          </w:p>
        </w:tc>
        <w:tc>
          <w:tcPr>
            <w:tcW w:w="1150" w:type="dxa"/>
            <w:tcBorders>
              <w:top w:val="nil"/>
              <w:left w:val="nil"/>
              <w:bottom w:val="nil"/>
              <w:right w:val="nil"/>
            </w:tcBorders>
          </w:tcPr>
          <w:p>
            <w:pPr>
              <w:pStyle w:val="TableParagraph"/>
              <w:ind w:right="295"/>
              <w:rPr>
                <w:sz w:val="20"/>
              </w:rPr>
            </w:pPr>
            <w:r>
              <w:rPr>
                <w:sz w:val="20"/>
              </w:rPr>
              <w:t>2.5</w:t>
            </w:r>
          </w:p>
        </w:tc>
        <w:tc>
          <w:tcPr>
            <w:tcW w:w="948" w:type="dxa"/>
            <w:tcBorders>
              <w:top w:val="nil"/>
              <w:left w:val="nil"/>
              <w:bottom w:val="nil"/>
              <w:right w:val="nil"/>
            </w:tcBorders>
          </w:tcPr>
          <w:p>
            <w:pPr>
              <w:pStyle w:val="TableParagraph"/>
              <w:ind w:right="293"/>
              <w:rPr>
                <w:sz w:val="20"/>
              </w:rPr>
            </w:pPr>
            <w:r>
              <w:rPr>
                <w:sz w:val="20"/>
              </w:rPr>
              <w:t>5.6</w:t>
            </w:r>
          </w:p>
        </w:tc>
        <w:tc>
          <w:tcPr>
            <w:tcW w:w="895" w:type="dxa"/>
            <w:tcBorders>
              <w:top w:val="nil"/>
              <w:left w:val="nil"/>
              <w:bottom w:val="nil"/>
              <w:right w:val="nil"/>
            </w:tcBorders>
          </w:tcPr>
          <w:p>
            <w:pPr>
              <w:pStyle w:val="TableParagraph"/>
              <w:ind w:right="242"/>
              <w:rPr>
                <w:sz w:val="20"/>
              </w:rPr>
            </w:pPr>
            <w:r>
              <w:rPr>
                <w:sz w:val="20"/>
              </w:rPr>
              <w:t>9.8</w:t>
            </w:r>
          </w:p>
        </w:tc>
        <w:tc>
          <w:tcPr>
            <w:tcW w:w="946" w:type="dxa"/>
            <w:tcBorders>
              <w:top w:val="nil"/>
              <w:left w:val="nil"/>
              <w:bottom w:val="nil"/>
              <w:right w:val="nil"/>
            </w:tcBorders>
          </w:tcPr>
          <w:p>
            <w:pPr>
              <w:pStyle w:val="TableParagraph"/>
              <w:ind w:right="243"/>
              <w:rPr>
                <w:sz w:val="20"/>
              </w:rPr>
            </w:pPr>
            <w:r>
              <w:rPr>
                <w:sz w:val="20"/>
              </w:rPr>
              <w:t>14.5</w:t>
            </w:r>
          </w:p>
        </w:tc>
        <w:tc>
          <w:tcPr>
            <w:tcW w:w="946" w:type="dxa"/>
            <w:tcBorders>
              <w:top w:val="nil"/>
              <w:left w:val="nil"/>
              <w:bottom w:val="nil"/>
              <w:right w:val="nil"/>
            </w:tcBorders>
          </w:tcPr>
          <w:p>
            <w:pPr>
              <w:pStyle w:val="TableParagraph"/>
              <w:ind w:right="242"/>
              <w:rPr>
                <w:sz w:val="20"/>
              </w:rPr>
            </w:pPr>
            <w:r>
              <w:rPr>
                <w:sz w:val="20"/>
              </w:rPr>
              <w:t>16.6</w:t>
            </w:r>
          </w:p>
        </w:tc>
        <w:tc>
          <w:tcPr>
            <w:tcW w:w="946" w:type="dxa"/>
            <w:tcBorders>
              <w:top w:val="nil"/>
              <w:left w:val="nil"/>
              <w:bottom w:val="nil"/>
              <w:right w:val="nil"/>
            </w:tcBorders>
          </w:tcPr>
          <w:p>
            <w:pPr>
              <w:pStyle w:val="TableParagraph"/>
              <w:ind w:right="242"/>
              <w:rPr>
                <w:sz w:val="20"/>
              </w:rPr>
            </w:pPr>
            <w:r>
              <w:rPr>
                <w:sz w:val="20"/>
              </w:rPr>
              <w:t>15.0</w:t>
            </w:r>
          </w:p>
        </w:tc>
        <w:tc>
          <w:tcPr>
            <w:tcW w:w="996" w:type="dxa"/>
            <w:tcBorders>
              <w:top w:val="nil"/>
              <w:left w:val="nil"/>
              <w:bottom w:val="nil"/>
              <w:right w:val="nil"/>
            </w:tcBorders>
          </w:tcPr>
          <w:p>
            <w:pPr>
              <w:pStyle w:val="TableParagraph"/>
              <w:ind w:right="293"/>
              <w:rPr>
                <w:sz w:val="20"/>
              </w:rPr>
            </w:pPr>
            <w:r>
              <w:rPr>
                <w:sz w:val="20"/>
              </w:rPr>
              <w:t>12.4</w:t>
            </w:r>
          </w:p>
        </w:tc>
        <w:tc>
          <w:tcPr>
            <w:tcW w:w="946" w:type="dxa"/>
            <w:tcBorders>
              <w:top w:val="nil"/>
              <w:left w:val="nil"/>
              <w:bottom w:val="nil"/>
              <w:right w:val="nil"/>
            </w:tcBorders>
          </w:tcPr>
          <w:p>
            <w:pPr>
              <w:pStyle w:val="TableParagraph"/>
              <w:ind w:right="293"/>
              <w:rPr>
                <w:sz w:val="20"/>
              </w:rPr>
            </w:pPr>
            <w:r>
              <w:rPr>
                <w:sz w:val="20"/>
              </w:rPr>
              <w:t>7.2</w:t>
            </w:r>
          </w:p>
        </w:tc>
        <w:tc>
          <w:tcPr>
            <w:tcW w:w="946" w:type="dxa"/>
            <w:tcBorders>
              <w:top w:val="nil"/>
              <w:left w:val="nil"/>
              <w:bottom w:val="nil"/>
              <w:right w:val="nil"/>
            </w:tcBorders>
          </w:tcPr>
          <w:p>
            <w:pPr>
              <w:pStyle w:val="TableParagraph"/>
              <w:ind w:right="293"/>
              <w:rPr>
                <w:sz w:val="20"/>
              </w:rPr>
            </w:pPr>
            <w:r>
              <w:rPr>
                <w:sz w:val="20"/>
              </w:rPr>
              <w:t>2.7</w:t>
            </w:r>
          </w:p>
        </w:tc>
        <w:tc>
          <w:tcPr>
            <w:tcW w:w="713" w:type="dxa"/>
            <w:tcBorders>
              <w:top w:val="nil"/>
              <w:left w:val="nil"/>
              <w:bottom w:val="nil"/>
              <w:right w:val="nil"/>
            </w:tcBorders>
          </w:tcPr>
          <w:p>
            <w:pPr>
              <w:pStyle w:val="TableParagraph"/>
              <w:ind w:right="60"/>
              <w:rPr>
                <w:sz w:val="20"/>
              </w:rPr>
            </w:pPr>
            <w:r>
              <w:rPr>
                <w:sz w:val="20"/>
              </w:rPr>
              <w:t>2.9</w:t>
            </w:r>
          </w:p>
        </w:tc>
      </w:tr>
      <w:tr>
        <w:trPr>
          <w:trHeight w:val="298" w:hRule="exact"/>
        </w:trPr>
        <w:tc>
          <w:tcPr>
            <w:tcW w:w="1371" w:type="dxa"/>
            <w:tcBorders>
              <w:top w:val="nil"/>
              <w:left w:val="nil"/>
              <w:bottom w:val="nil"/>
              <w:right w:val="nil"/>
            </w:tcBorders>
          </w:tcPr>
          <w:p>
            <w:pPr>
              <w:pStyle w:val="TableParagraph"/>
              <w:ind w:right="82"/>
              <w:rPr>
                <w:sz w:val="20"/>
              </w:rPr>
            </w:pPr>
            <w:r>
              <w:rPr>
                <w:sz w:val="20"/>
              </w:rPr>
              <w:t>RAINHHMX1</w:t>
            </w:r>
          </w:p>
        </w:tc>
        <w:tc>
          <w:tcPr>
            <w:tcW w:w="1316" w:type="dxa"/>
            <w:tcBorders>
              <w:top w:val="nil"/>
              <w:left w:val="nil"/>
              <w:bottom w:val="nil"/>
              <w:right w:val="nil"/>
            </w:tcBorders>
          </w:tcPr>
          <w:p>
            <w:pPr>
              <w:pStyle w:val="TableParagraph"/>
              <w:ind w:right="67"/>
              <w:rPr>
                <w:sz w:val="20"/>
              </w:rPr>
            </w:pPr>
            <w:r>
              <w:rPr>
                <w:sz w:val="20"/>
              </w:rPr>
              <w:t>2.4</w:t>
            </w:r>
          </w:p>
        </w:tc>
        <w:tc>
          <w:tcPr>
            <w:tcW w:w="1512" w:type="dxa"/>
            <w:tcBorders>
              <w:top w:val="nil"/>
              <w:left w:val="nil"/>
              <w:bottom w:val="nil"/>
              <w:right w:val="nil"/>
            </w:tcBorders>
          </w:tcPr>
          <w:p>
            <w:pPr>
              <w:pStyle w:val="TableParagraph"/>
              <w:ind w:right="91"/>
              <w:rPr>
                <w:sz w:val="20"/>
              </w:rPr>
            </w:pPr>
            <w:r>
              <w:rPr>
                <w:sz w:val="20"/>
              </w:rPr>
              <w:t>2.4</w:t>
            </w:r>
          </w:p>
        </w:tc>
        <w:tc>
          <w:tcPr>
            <w:tcW w:w="1150" w:type="dxa"/>
            <w:tcBorders>
              <w:top w:val="nil"/>
              <w:left w:val="nil"/>
              <w:bottom w:val="nil"/>
              <w:right w:val="nil"/>
            </w:tcBorders>
          </w:tcPr>
          <w:p>
            <w:pPr>
              <w:pStyle w:val="TableParagraph"/>
              <w:ind w:right="295"/>
              <w:rPr>
                <w:sz w:val="20"/>
              </w:rPr>
            </w:pPr>
            <w:r>
              <w:rPr>
                <w:sz w:val="20"/>
              </w:rPr>
              <w:t>4.0</w:t>
            </w:r>
          </w:p>
        </w:tc>
        <w:tc>
          <w:tcPr>
            <w:tcW w:w="948" w:type="dxa"/>
            <w:tcBorders>
              <w:top w:val="nil"/>
              <w:left w:val="nil"/>
              <w:bottom w:val="nil"/>
              <w:right w:val="nil"/>
            </w:tcBorders>
          </w:tcPr>
          <w:p>
            <w:pPr>
              <w:pStyle w:val="TableParagraph"/>
              <w:ind w:right="293"/>
              <w:rPr>
                <w:sz w:val="20"/>
              </w:rPr>
            </w:pPr>
            <w:r>
              <w:rPr>
                <w:sz w:val="20"/>
              </w:rPr>
              <w:t>2.4</w:t>
            </w:r>
          </w:p>
        </w:tc>
        <w:tc>
          <w:tcPr>
            <w:tcW w:w="895" w:type="dxa"/>
            <w:tcBorders>
              <w:top w:val="nil"/>
              <w:left w:val="nil"/>
              <w:bottom w:val="nil"/>
              <w:right w:val="nil"/>
            </w:tcBorders>
          </w:tcPr>
          <w:p>
            <w:pPr>
              <w:pStyle w:val="TableParagraph"/>
              <w:ind w:right="242"/>
              <w:rPr>
                <w:sz w:val="20"/>
              </w:rPr>
            </w:pPr>
            <w:r>
              <w:rPr>
                <w:sz w:val="20"/>
              </w:rPr>
              <w:t>2.4</w:t>
            </w:r>
          </w:p>
        </w:tc>
        <w:tc>
          <w:tcPr>
            <w:tcW w:w="946" w:type="dxa"/>
            <w:tcBorders>
              <w:top w:val="nil"/>
              <w:left w:val="nil"/>
              <w:bottom w:val="nil"/>
              <w:right w:val="nil"/>
            </w:tcBorders>
          </w:tcPr>
          <w:p>
            <w:pPr>
              <w:pStyle w:val="TableParagraph"/>
              <w:ind w:right="243"/>
              <w:rPr>
                <w:sz w:val="20"/>
              </w:rPr>
            </w:pPr>
            <w:r>
              <w:rPr>
                <w:sz w:val="20"/>
              </w:rPr>
              <w:t>2.4</w:t>
            </w:r>
          </w:p>
        </w:tc>
        <w:tc>
          <w:tcPr>
            <w:tcW w:w="946" w:type="dxa"/>
            <w:tcBorders>
              <w:top w:val="nil"/>
              <w:left w:val="nil"/>
              <w:bottom w:val="nil"/>
              <w:right w:val="nil"/>
            </w:tcBorders>
          </w:tcPr>
          <w:p>
            <w:pPr>
              <w:pStyle w:val="TableParagraph"/>
              <w:ind w:right="242"/>
              <w:rPr>
                <w:sz w:val="20"/>
              </w:rPr>
            </w:pPr>
            <w:r>
              <w:rPr>
                <w:sz w:val="20"/>
              </w:rPr>
              <w:t>2.4</w:t>
            </w:r>
          </w:p>
        </w:tc>
        <w:tc>
          <w:tcPr>
            <w:tcW w:w="946" w:type="dxa"/>
            <w:tcBorders>
              <w:top w:val="nil"/>
              <w:left w:val="nil"/>
              <w:bottom w:val="nil"/>
              <w:right w:val="nil"/>
            </w:tcBorders>
          </w:tcPr>
          <w:p>
            <w:pPr>
              <w:pStyle w:val="TableParagraph"/>
              <w:ind w:right="242"/>
              <w:rPr>
                <w:sz w:val="20"/>
              </w:rPr>
            </w:pPr>
            <w:r>
              <w:rPr>
                <w:sz w:val="20"/>
              </w:rPr>
              <w:t>2.4</w:t>
            </w:r>
          </w:p>
        </w:tc>
        <w:tc>
          <w:tcPr>
            <w:tcW w:w="996" w:type="dxa"/>
            <w:tcBorders>
              <w:top w:val="nil"/>
              <w:left w:val="nil"/>
              <w:bottom w:val="nil"/>
              <w:right w:val="nil"/>
            </w:tcBorders>
          </w:tcPr>
          <w:p>
            <w:pPr>
              <w:pStyle w:val="TableParagraph"/>
              <w:ind w:right="293"/>
              <w:rPr>
                <w:sz w:val="20"/>
              </w:rPr>
            </w:pPr>
            <w:r>
              <w:rPr>
                <w:sz w:val="20"/>
              </w:rPr>
              <w:t>2.4</w:t>
            </w:r>
          </w:p>
        </w:tc>
        <w:tc>
          <w:tcPr>
            <w:tcW w:w="946" w:type="dxa"/>
            <w:tcBorders>
              <w:top w:val="nil"/>
              <w:left w:val="nil"/>
              <w:bottom w:val="nil"/>
              <w:right w:val="nil"/>
            </w:tcBorders>
          </w:tcPr>
          <w:p>
            <w:pPr>
              <w:pStyle w:val="TableParagraph"/>
              <w:ind w:right="293"/>
              <w:rPr>
                <w:sz w:val="20"/>
              </w:rPr>
            </w:pPr>
            <w:r>
              <w:rPr>
                <w:sz w:val="20"/>
              </w:rPr>
              <w:t>2.4</w:t>
            </w:r>
          </w:p>
        </w:tc>
        <w:tc>
          <w:tcPr>
            <w:tcW w:w="946" w:type="dxa"/>
            <w:tcBorders>
              <w:top w:val="nil"/>
              <w:left w:val="nil"/>
              <w:bottom w:val="nil"/>
              <w:right w:val="nil"/>
            </w:tcBorders>
          </w:tcPr>
          <w:p>
            <w:pPr>
              <w:pStyle w:val="TableParagraph"/>
              <w:ind w:right="293"/>
              <w:rPr>
                <w:sz w:val="20"/>
              </w:rPr>
            </w:pPr>
            <w:r>
              <w:rPr>
                <w:sz w:val="20"/>
              </w:rPr>
              <w:t>2.4</w:t>
            </w:r>
          </w:p>
        </w:tc>
        <w:tc>
          <w:tcPr>
            <w:tcW w:w="713" w:type="dxa"/>
            <w:tcBorders>
              <w:top w:val="nil"/>
              <w:left w:val="nil"/>
              <w:bottom w:val="nil"/>
              <w:right w:val="nil"/>
            </w:tcBorders>
          </w:tcPr>
          <w:p>
            <w:pPr>
              <w:pStyle w:val="TableParagraph"/>
              <w:ind w:right="60"/>
              <w:rPr>
                <w:sz w:val="20"/>
              </w:rPr>
            </w:pPr>
            <w:r>
              <w:rPr>
                <w:sz w:val="20"/>
              </w:rPr>
              <w:t>2.4</w:t>
            </w:r>
          </w:p>
        </w:tc>
      </w:tr>
      <w:tr>
        <w:trPr>
          <w:trHeight w:val="298" w:hRule="exact"/>
        </w:trPr>
        <w:tc>
          <w:tcPr>
            <w:tcW w:w="1371" w:type="dxa"/>
            <w:tcBorders>
              <w:top w:val="nil"/>
              <w:left w:val="nil"/>
              <w:bottom w:val="nil"/>
              <w:right w:val="nil"/>
            </w:tcBorders>
          </w:tcPr>
          <w:p>
            <w:pPr>
              <w:pStyle w:val="TableParagraph"/>
              <w:ind w:right="159"/>
              <w:rPr>
                <w:sz w:val="20"/>
              </w:rPr>
            </w:pPr>
            <w:r>
              <w:rPr>
                <w:sz w:val="20"/>
              </w:rPr>
              <w:t>SOLARAV1</w:t>
            </w:r>
          </w:p>
        </w:tc>
        <w:tc>
          <w:tcPr>
            <w:tcW w:w="1316" w:type="dxa"/>
            <w:tcBorders>
              <w:top w:val="nil"/>
              <w:left w:val="nil"/>
              <w:bottom w:val="nil"/>
              <w:right w:val="nil"/>
            </w:tcBorders>
          </w:tcPr>
          <w:p>
            <w:pPr>
              <w:pStyle w:val="TableParagraph"/>
              <w:ind w:right="67"/>
              <w:rPr>
                <w:sz w:val="20"/>
              </w:rPr>
            </w:pPr>
            <w:r>
              <w:rPr>
                <w:sz w:val="20"/>
              </w:rPr>
              <w:t>16.0</w:t>
            </w:r>
          </w:p>
        </w:tc>
        <w:tc>
          <w:tcPr>
            <w:tcW w:w="1512" w:type="dxa"/>
            <w:tcBorders>
              <w:top w:val="nil"/>
              <w:left w:val="nil"/>
              <w:bottom w:val="nil"/>
              <w:right w:val="nil"/>
            </w:tcBorders>
          </w:tcPr>
          <w:p>
            <w:pPr>
              <w:pStyle w:val="TableParagraph"/>
              <w:ind w:right="91"/>
              <w:rPr>
                <w:sz w:val="20"/>
              </w:rPr>
            </w:pPr>
            <w:r>
              <w:rPr>
                <w:sz w:val="20"/>
              </w:rPr>
              <w:t>19.0</w:t>
            </w:r>
          </w:p>
        </w:tc>
        <w:tc>
          <w:tcPr>
            <w:tcW w:w="1150" w:type="dxa"/>
            <w:tcBorders>
              <w:top w:val="nil"/>
              <w:left w:val="nil"/>
              <w:bottom w:val="nil"/>
              <w:right w:val="nil"/>
            </w:tcBorders>
          </w:tcPr>
          <w:p>
            <w:pPr>
              <w:pStyle w:val="TableParagraph"/>
              <w:ind w:right="295"/>
              <w:rPr>
                <w:sz w:val="20"/>
              </w:rPr>
            </w:pPr>
            <w:r>
              <w:rPr>
                <w:sz w:val="20"/>
              </w:rPr>
              <w:t>20.0</w:t>
            </w:r>
          </w:p>
        </w:tc>
        <w:tc>
          <w:tcPr>
            <w:tcW w:w="948" w:type="dxa"/>
            <w:tcBorders>
              <w:top w:val="nil"/>
              <w:left w:val="nil"/>
              <w:bottom w:val="nil"/>
              <w:right w:val="nil"/>
            </w:tcBorders>
          </w:tcPr>
          <w:p>
            <w:pPr>
              <w:pStyle w:val="TableParagraph"/>
              <w:ind w:right="293"/>
              <w:rPr>
                <w:sz w:val="20"/>
              </w:rPr>
            </w:pPr>
            <w:r>
              <w:rPr>
                <w:sz w:val="20"/>
              </w:rPr>
              <w:t>19.0</w:t>
            </w:r>
          </w:p>
        </w:tc>
        <w:tc>
          <w:tcPr>
            <w:tcW w:w="895" w:type="dxa"/>
            <w:tcBorders>
              <w:top w:val="nil"/>
              <w:left w:val="nil"/>
              <w:bottom w:val="nil"/>
              <w:right w:val="nil"/>
            </w:tcBorders>
          </w:tcPr>
          <w:p>
            <w:pPr>
              <w:pStyle w:val="TableParagraph"/>
              <w:ind w:right="242"/>
              <w:rPr>
                <w:sz w:val="20"/>
              </w:rPr>
            </w:pPr>
            <w:r>
              <w:rPr>
                <w:sz w:val="20"/>
              </w:rPr>
              <w:t>20.0</w:t>
            </w:r>
          </w:p>
        </w:tc>
        <w:tc>
          <w:tcPr>
            <w:tcW w:w="946" w:type="dxa"/>
            <w:tcBorders>
              <w:top w:val="nil"/>
              <w:left w:val="nil"/>
              <w:bottom w:val="nil"/>
              <w:right w:val="nil"/>
            </w:tcBorders>
          </w:tcPr>
          <w:p>
            <w:pPr>
              <w:pStyle w:val="TableParagraph"/>
              <w:ind w:right="243"/>
              <w:rPr>
                <w:sz w:val="20"/>
              </w:rPr>
            </w:pPr>
            <w:r>
              <w:rPr>
                <w:sz w:val="20"/>
              </w:rPr>
              <w:t>19.0</w:t>
            </w:r>
          </w:p>
        </w:tc>
        <w:tc>
          <w:tcPr>
            <w:tcW w:w="946" w:type="dxa"/>
            <w:tcBorders>
              <w:top w:val="nil"/>
              <w:left w:val="nil"/>
              <w:bottom w:val="nil"/>
              <w:right w:val="nil"/>
            </w:tcBorders>
          </w:tcPr>
          <w:p>
            <w:pPr>
              <w:pStyle w:val="TableParagraph"/>
              <w:ind w:right="242"/>
              <w:rPr>
                <w:sz w:val="20"/>
              </w:rPr>
            </w:pPr>
            <w:r>
              <w:rPr>
                <w:sz w:val="20"/>
              </w:rPr>
              <w:t>19.0</w:t>
            </w:r>
          </w:p>
        </w:tc>
        <w:tc>
          <w:tcPr>
            <w:tcW w:w="946" w:type="dxa"/>
            <w:tcBorders>
              <w:top w:val="nil"/>
              <w:left w:val="nil"/>
              <w:bottom w:val="nil"/>
              <w:right w:val="nil"/>
            </w:tcBorders>
          </w:tcPr>
          <w:p>
            <w:pPr>
              <w:pStyle w:val="TableParagraph"/>
              <w:ind w:right="242"/>
              <w:rPr>
                <w:sz w:val="20"/>
              </w:rPr>
            </w:pPr>
            <w:r>
              <w:rPr>
                <w:sz w:val="20"/>
              </w:rPr>
              <w:t>19.0</w:t>
            </w:r>
          </w:p>
        </w:tc>
        <w:tc>
          <w:tcPr>
            <w:tcW w:w="996" w:type="dxa"/>
            <w:tcBorders>
              <w:top w:val="nil"/>
              <w:left w:val="nil"/>
              <w:bottom w:val="nil"/>
              <w:right w:val="nil"/>
            </w:tcBorders>
          </w:tcPr>
          <w:p>
            <w:pPr>
              <w:pStyle w:val="TableParagraph"/>
              <w:ind w:right="293"/>
              <w:rPr>
                <w:sz w:val="20"/>
              </w:rPr>
            </w:pPr>
            <w:r>
              <w:rPr>
                <w:sz w:val="20"/>
              </w:rPr>
              <w:t>17.0</w:t>
            </w:r>
          </w:p>
        </w:tc>
        <w:tc>
          <w:tcPr>
            <w:tcW w:w="946" w:type="dxa"/>
            <w:tcBorders>
              <w:top w:val="nil"/>
              <w:left w:val="nil"/>
              <w:bottom w:val="nil"/>
              <w:right w:val="nil"/>
            </w:tcBorders>
          </w:tcPr>
          <w:p>
            <w:pPr>
              <w:pStyle w:val="TableParagraph"/>
              <w:ind w:right="293"/>
              <w:rPr>
                <w:sz w:val="20"/>
              </w:rPr>
            </w:pPr>
            <w:r>
              <w:rPr>
                <w:sz w:val="20"/>
              </w:rPr>
              <w:t>17.0</w:t>
            </w:r>
          </w:p>
        </w:tc>
        <w:tc>
          <w:tcPr>
            <w:tcW w:w="946" w:type="dxa"/>
            <w:tcBorders>
              <w:top w:val="nil"/>
              <w:left w:val="nil"/>
              <w:bottom w:val="nil"/>
              <w:right w:val="nil"/>
            </w:tcBorders>
          </w:tcPr>
          <w:p>
            <w:pPr>
              <w:pStyle w:val="TableParagraph"/>
              <w:ind w:right="293"/>
              <w:rPr>
                <w:sz w:val="20"/>
              </w:rPr>
            </w:pPr>
            <w:r>
              <w:rPr>
                <w:sz w:val="20"/>
              </w:rPr>
              <w:t>16.0</w:t>
            </w:r>
          </w:p>
        </w:tc>
        <w:tc>
          <w:tcPr>
            <w:tcW w:w="713" w:type="dxa"/>
            <w:tcBorders>
              <w:top w:val="nil"/>
              <w:left w:val="nil"/>
              <w:bottom w:val="nil"/>
              <w:right w:val="nil"/>
            </w:tcBorders>
          </w:tcPr>
          <w:p>
            <w:pPr>
              <w:pStyle w:val="TableParagraph"/>
              <w:ind w:right="60"/>
              <w:rPr>
                <w:sz w:val="20"/>
              </w:rPr>
            </w:pPr>
            <w:r>
              <w:rPr>
                <w:sz w:val="20"/>
              </w:rPr>
              <w:t>15.0</w:t>
            </w:r>
          </w:p>
        </w:tc>
      </w:tr>
      <w:tr>
        <w:trPr>
          <w:trHeight w:val="268" w:hRule="exact"/>
        </w:trPr>
        <w:tc>
          <w:tcPr>
            <w:tcW w:w="1371" w:type="dxa"/>
            <w:tcBorders>
              <w:top w:val="nil"/>
              <w:left w:val="nil"/>
              <w:right w:val="nil"/>
            </w:tcBorders>
          </w:tcPr>
          <w:p>
            <w:pPr>
              <w:pStyle w:val="TableParagraph"/>
              <w:ind w:left="259"/>
              <w:jc w:val="left"/>
              <w:rPr>
                <w:sz w:val="20"/>
              </w:rPr>
            </w:pPr>
            <w:r>
              <w:rPr>
                <w:sz w:val="20"/>
              </w:rPr>
              <w:t>WNDAV1</w:t>
            </w:r>
          </w:p>
        </w:tc>
        <w:tc>
          <w:tcPr>
            <w:tcW w:w="1316" w:type="dxa"/>
            <w:tcBorders>
              <w:top w:val="nil"/>
              <w:left w:val="nil"/>
              <w:right w:val="nil"/>
            </w:tcBorders>
          </w:tcPr>
          <w:p>
            <w:pPr>
              <w:pStyle w:val="TableParagraph"/>
              <w:ind w:right="67"/>
              <w:rPr>
                <w:sz w:val="20"/>
              </w:rPr>
            </w:pPr>
            <w:r>
              <w:rPr>
                <w:sz w:val="20"/>
              </w:rPr>
              <w:t>0.0</w:t>
            </w:r>
          </w:p>
        </w:tc>
        <w:tc>
          <w:tcPr>
            <w:tcW w:w="1512" w:type="dxa"/>
            <w:tcBorders>
              <w:top w:val="nil"/>
              <w:left w:val="nil"/>
              <w:right w:val="nil"/>
            </w:tcBorders>
          </w:tcPr>
          <w:p>
            <w:pPr>
              <w:pStyle w:val="TableParagraph"/>
              <w:ind w:right="91"/>
              <w:rPr>
                <w:sz w:val="20"/>
              </w:rPr>
            </w:pPr>
            <w:r>
              <w:rPr>
                <w:sz w:val="20"/>
              </w:rPr>
              <w:t>0.0</w:t>
            </w:r>
          </w:p>
        </w:tc>
        <w:tc>
          <w:tcPr>
            <w:tcW w:w="1150" w:type="dxa"/>
            <w:tcBorders>
              <w:top w:val="nil"/>
              <w:left w:val="nil"/>
              <w:right w:val="nil"/>
            </w:tcBorders>
          </w:tcPr>
          <w:p>
            <w:pPr>
              <w:pStyle w:val="TableParagraph"/>
              <w:ind w:right="295"/>
              <w:rPr>
                <w:sz w:val="20"/>
              </w:rPr>
            </w:pPr>
            <w:r>
              <w:rPr>
                <w:sz w:val="20"/>
              </w:rPr>
              <w:t>0.0</w:t>
            </w:r>
          </w:p>
        </w:tc>
        <w:tc>
          <w:tcPr>
            <w:tcW w:w="948" w:type="dxa"/>
            <w:tcBorders>
              <w:top w:val="nil"/>
              <w:left w:val="nil"/>
              <w:right w:val="nil"/>
            </w:tcBorders>
          </w:tcPr>
          <w:p>
            <w:pPr>
              <w:pStyle w:val="TableParagraph"/>
              <w:ind w:right="293"/>
              <w:rPr>
                <w:sz w:val="20"/>
              </w:rPr>
            </w:pPr>
            <w:r>
              <w:rPr>
                <w:sz w:val="20"/>
              </w:rPr>
              <w:t>0.0</w:t>
            </w:r>
          </w:p>
        </w:tc>
        <w:tc>
          <w:tcPr>
            <w:tcW w:w="895" w:type="dxa"/>
            <w:tcBorders>
              <w:top w:val="nil"/>
              <w:left w:val="nil"/>
              <w:right w:val="nil"/>
            </w:tcBorders>
          </w:tcPr>
          <w:p>
            <w:pPr>
              <w:pStyle w:val="TableParagraph"/>
              <w:ind w:right="242"/>
              <w:rPr>
                <w:sz w:val="20"/>
              </w:rPr>
            </w:pPr>
            <w:r>
              <w:rPr>
                <w:sz w:val="20"/>
              </w:rPr>
              <w:t>0.0</w:t>
            </w:r>
          </w:p>
        </w:tc>
        <w:tc>
          <w:tcPr>
            <w:tcW w:w="946" w:type="dxa"/>
            <w:tcBorders>
              <w:top w:val="nil"/>
              <w:left w:val="nil"/>
              <w:right w:val="nil"/>
            </w:tcBorders>
          </w:tcPr>
          <w:p>
            <w:pPr>
              <w:pStyle w:val="TableParagraph"/>
              <w:ind w:right="243"/>
              <w:rPr>
                <w:sz w:val="20"/>
              </w:rPr>
            </w:pPr>
            <w:r>
              <w:rPr>
                <w:sz w:val="20"/>
              </w:rPr>
              <w:t>0.0</w:t>
            </w:r>
          </w:p>
        </w:tc>
        <w:tc>
          <w:tcPr>
            <w:tcW w:w="946" w:type="dxa"/>
            <w:tcBorders>
              <w:top w:val="nil"/>
              <w:left w:val="nil"/>
              <w:right w:val="nil"/>
            </w:tcBorders>
          </w:tcPr>
          <w:p>
            <w:pPr>
              <w:pStyle w:val="TableParagraph"/>
              <w:ind w:right="242"/>
              <w:rPr>
                <w:sz w:val="20"/>
              </w:rPr>
            </w:pPr>
            <w:r>
              <w:rPr>
                <w:sz w:val="20"/>
              </w:rPr>
              <w:t>0.0</w:t>
            </w:r>
          </w:p>
        </w:tc>
        <w:tc>
          <w:tcPr>
            <w:tcW w:w="946" w:type="dxa"/>
            <w:tcBorders>
              <w:top w:val="nil"/>
              <w:left w:val="nil"/>
              <w:right w:val="nil"/>
            </w:tcBorders>
          </w:tcPr>
          <w:p>
            <w:pPr>
              <w:pStyle w:val="TableParagraph"/>
              <w:ind w:right="242"/>
              <w:rPr>
                <w:sz w:val="20"/>
              </w:rPr>
            </w:pPr>
            <w:r>
              <w:rPr>
                <w:sz w:val="20"/>
              </w:rPr>
              <w:t>0.0</w:t>
            </w:r>
          </w:p>
        </w:tc>
        <w:tc>
          <w:tcPr>
            <w:tcW w:w="996" w:type="dxa"/>
            <w:tcBorders>
              <w:top w:val="nil"/>
              <w:left w:val="nil"/>
              <w:right w:val="nil"/>
            </w:tcBorders>
          </w:tcPr>
          <w:p>
            <w:pPr>
              <w:pStyle w:val="TableParagraph"/>
              <w:ind w:right="293"/>
              <w:rPr>
                <w:sz w:val="20"/>
              </w:rPr>
            </w:pPr>
            <w:r>
              <w:rPr>
                <w:sz w:val="20"/>
              </w:rPr>
              <w:t>0.0</w:t>
            </w:r>
          </w:p>
        </w:tc>
        <w:tc>
          <w:tcPr>
            <w:tcW w:w="946" w:type="dxa"/>
            <w:tcBorders>
              <w:top w:val="nil"/>
              <w:left w:val="nil"/>
              <w:right w:val="nil"/>
            </w:tcBorders>
          </w:tcPr>
          <w:p>
            <w:pPr>
              <w:pStyle w:val="TableParagraph"/>
              <w:ind w:right="293"/>
              <w:rPr>
                <w:sz w:val="20"/>
              </w:rPr>
            </w:pPr>
            <w:r>
              <w:rPr>
                <w:sz w:val="20"/>
              </w:rPr>
              <w:t>0.0</w:t>
            </w:r>
          </w:p>
        </w:tc>
        <w:tc>
          <w:tcPr>
            <w:tcW w:w="946" w:type="dxa"/>
            <w:tcBorders>
              <w:top w:val="nil"/>
              <w:left w:val="nil"/>
              <w:right w:val="nil"/>
            </w:tcBorders>
          </w:tcPr>
          <w:p>
            <w:pPr>
              <w:pStyle w:val="TableParagraph"/>
              <w:ind w:right="293"/>
              <w:rPr>
                <w:sz w:val="20"/>
              </w:rPr>
            </w:pPr>
            <w:r>
              <w:rPr>
                <w:sz w:val="20"/>
              </w:rPr>
              <w:t>0.0</w:t>
            </w:r>
          </w:p>
        </w:tc>
        <w:tc>
          <w:tcPr>
            <w:tcW w:w="713" w:type="dxa"/>
            <w:tcBorders>
              <w:top w:val="nil"/>
              <w:left w:val="nil"/>
              <w:right w:val="nil"/>
            </w:tcBorders>
          </w:tcPr>
          <w:p>
            <w:pPr>
              <w:pStyle w:val="TableParagraph"/>
              <w:ind w:right="60"/>
              <w:rPr>
                <w:sz w:val="20"/>
              </w:rPr>
            </w:pPr>
            <w:r>
              <w:rPr>
                <w:sz w:val="20"/>
              </w:rPr>
              <w:t>0.0</w:t>
            </w:r>
          </w:p>
        </w:tc>
      </w:tr>
    </w:tbl>
    <w:p>
      <w:pPr>
        <w:spacing w:after="0"/>
        <w:rPr>
          <w:sz w:val="20"/>
        </w:rPr>
        <w:sectPr>
          <w:footerReference w:type="default" r:id="rId200"/>
          <w:pgSz w:w="15840" w:h="12240" w:orient="landscape"/>
          <w:pgMar w:footer="1474" w:header="0" w:top="1140" w:bottom="1660" w:left="1360" w:right="620"/>
          <w:pgNumType w:start="182"/>
        </w:sectPr>
      </w:pPr>
    </w:p>
    <w:p>
      <w:pPr>
        <w:pStyle w:val="BodyText"/>
        <w:spacing w:before="7"/>
        <w:rPr>
          <w:b/>
          <w:sz w:val="17"/>
        </w:rPr>
      </w:pPr>
    </w:p>
    <w:p>
      <w:pPr>
        <w:spacing w:before="66"/>
        <w:ind w:left="2730" w:right="0" w:firstLine="0"/>
        <w:jc w:val="left"/>
        <w:rPr>
          <w:b/>
          <w:sz w:val="26"/>
        </w:rPr>
      </w:pPr>
      <w:bookmarkStart w:name="_bookmark142" w:id="201"/>
      <w:bookmarkEnd w:id="201"/>
      <w:r>
        <w:rPr/>
      </w:r>
      <w:r>
        <w:rPr>
          <w:b/>
          <w:sz w:val="26"/>
        </w:rPr>
        <w:t>Tabla 5. Estadísticas climatológicas de la estación 15029 Atlacomulco</w:t>
      </w:r>
    </w:p>
    <w:p>
      <w:pPr>
        <w:pStyle w:val="BodyText"/>
        <w:rPr>
          <w:b/>
          <w:sz w:val="20"/>
        </w:rPr>
      </w:pPr>
    </w:p>
    <w:p>
      <w:pPr>
        <w:pStyle w:val="BodyText"/>
        <w:rPr>
          <w:b/>
          <w:sz w:val="20"/>
        </w:rPr>
      </w:pPr>
    </w:p>
    <w:p>
      <w:pPr>
        <w:pStyle w:val="BodyText"/>
        <w:rPr>
          <w:b/>
          <w:sz w:val="20"/>
        </w:rPr>
      </w:pPr>
    </w:p>
    <w:p>
      <w:pPr>
        <w:pStyle w:val="BodyText"/>
        <w:spacing w:before="3"/>
        <w:rPr>
          <w:b/>
          <w:sz w:val="10"/>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71"/>
        <w:gridCol w:w="1316"/>
        <w:gridCol w:w="1512"/>
        <w:gridCol w:w="1150"/>
        <w:gridCol w:w="948"/>
        <w:gridCol w:w="895"/>
        <w:gridCol w:w="946"/>
        <w:gridCol w:w="946"/>
        <w:gridCol w:w="949"/>
        <w:gridCol w:w="999"/>
        <w:gridCol w:w="946"/>
        <w:gridCol w:w="948"/>
        <w:gridCol w:w="716"/>
      </w:tblGrid>
      <w:tr>
        <w:trPr>
          <w:trHeight w:val="344" w:hRule="exact"/>
        </w:trPr>
        <w:tc>
          <w:tcPr>
            <w:tcW w:w="1371" w:type="dxa"/>
            <w:tcBorders>
              <w:left w:val="nil"/>
              <w:bottom w:val="nil"/>
              <w:right w:val="nil"/>
            </w:tcBorders>
          </w:tcPr>
          <w:p>
            <w:pPr>
              <w:pStyle w:val="TableParagraph"/>
              <w:spacing w:before="63"/>
              <w:ind w:left="264"/>
              <w:jc w:val="left"/>
              <w:rPr>
                <w:sz w:val="20"/>
              </w:rPr>
            </w:pPr>
            <w:r>
              <w:rPr>
                <w:sz w:val="20"/>
              </w:rPr>
              <w:t>STATION</w:t>
            </w:r>
          </w:p>
        </w:tc>
        <w:tc>
          <w:tcPr>
            <w:tcW w:w="1316" w:type="dxa"/>
            <w:tcBorders>
              <w:left w:val="nil"/>
              <w:bottom w:val="nil"/>
              <w:right w:val="nil"/>
            </w:tcBorders>
          </w:tcPr>
          <w:p>
            <w:pPr>
              <w:pStyle w:val="TableParagraph"/>
              <w:spacing w:before="63"/>
              <w:ind w:right="74"/>
              <w:rPr>
                <w:sz w:val="20"/>
              </w:rPr>
            </w:pPr>
            <w:r>
              <w:rPr>
                <w:sz w:val="20"/>
              </w:rPr>
              <w:t>WLATITUDE</w:t>
            </w:r>
          </w:p>
        </w:tc>
        <w:tc>
          <w:tcPr>
            <w:tcW w:w="1512" w:type="dxa"/>
            <w:tcBorders>
              <w:left w:val="nil"/>
              <w:bottom w:val="nil"/>
              <w:right w:val="nil"/>
            </w:tcBorders>
          </w:tcPr>
          <w:p>
            <w:pPr>
              <w:pStyle w:val="TableParagraph"/>
              <w:spacing w:before="63"/>
              <w:ind w:right="98"/>
              <w:rPr>
                <w:sz w:val="20"/>
              </w:rPr>
            </w:pPr>
            <w:r>
              <w:rPr>
                <w:sz w:val="20"/>
              </w:rPr>
              <w:t>WLONGITUDE</w:t>
            </w:r>
          </w:p>
        </w:tc>
        <w:tc>
          <w:tcPr>
            <w:tcW w:w="1150" w:type="dxa"/>
            <w:tcBorders>
              <w:left w:val="nil"/>
              <w:bottom w:val="nil"/>
              <w:right w:val="nil"/>
            </w:tcBorders>
          </w:tcPr>
          <w:p>
            <w:pPr>
              <w:pStyle w:val="TableParagraph"/>
              <w:spacing w:before="63"/>
              <w:ind w:left="93"/>
              <w:jc w:val="left"/>
              <w:rPr>
                <w:sz w:val="20"/>
              </w:rPr>
            </w:pPr>
            <w:r>
              <w:rPr>
                <w:sz w:val="20"/>
              </w:rPr>
              <w:t>WELEV</w:t>
            </w:r>
          </w:p>
        </w:tc>
        <w:tc>
          <w:tcPr>
            <w:tcW w:w="948" w:type="dxa"/>
            <w:tcBorders>
              <w:left w:val="nil"/>
              <w:bottom w:val="nil"/>
              <w:right w:val="nil"/>
            </w:tcBorders>
          </w:tcPr>
          <w:p>
            <w:pPr/>
          </w:p>
        </w:tc>
        <w:tc>
          <w:tcPr>
            <w:tcW w:w="895" w:type="dxa"/>
            <w:tcBorders>
              <w:left w:val="nil"/>
              <w:bottom w:val="nil"/>
              <w:right w:val="nil"/>
            </w:tcBorders>
          </w:tcPr>
          <w:p>
            <w:pPr/>
          </w:p>
        </w:tc>
        <w:tc>
          <w:tcPr>
            <w:tcW w:w="946" w:type="dxa"/>
            <w:tcBorders>
              <w:left w:val="nil"/>
              <w:bottom w:val="nil"/>
              <w:right w:val="nil"/>
            </w:tcBorders>
          </w:tcPr>
          <w:p>
            <w:pPr/>
          </w:p>
        </w:tc>
        <w:tc>
          <w:tcPr>
            <w:tcW w:w="946" w:type="dxa"/>
            <w:tcBorders>
              <w:left w:val="nil"/>
              <w:bottom w:val="nil"/>
              <w:right w:val="nil"/>
            </w:tcBorders>
          </w:tcPr>
          <w:p>
            <w:pPr/>
          </w:p>
        </w:tc>
        <w:tc>
          <w:tcPr>
            <w:tcW w:w="949" w:type="dxa"/>
            <w:tcBorders>
              <w:left w:val="nil"/>
              <w:bottom w:val="nil"/>
              <w:right w:val="nil"/>
            </w:tcBorders>
          </w:tcPr>
          <w:p>
            <w:pPr/>
          </w:p>
        </w:tc>
        <w:tc>
          <w:tcPr>
            <w:tcW w:w="999" w:type="dxa"/>
            <w:tcBorders>
              <w:left w:val="nil"/>
              <w:bottom w:val="nil"/>
              <w:right w:val="nil"/>
            </w:tcBorders>
          </w:tcPr>
          <w:p>
            <w:pPr/>
          </w:p>
        </w:tc>
        <w:tc>
          <w:tcPr>
            <w:tcW w:w="946" w:type="dxa"/>
            <w:tcBorders>
              <w:left w:val="nil"/>
              <w:bottom w:val="nil"/>
              <w:right w:val="nil"/>
            </w:tcBorders>
          </w:tcPr>
          <w:p>
            <w:pPr/>
          </w:p>
        </w:tc>
        <w:tc>
          <w:tcPr>
            <w:tcW w:w="948" w:type="dxa"/>
            <w:tcBorders>
              <w:left w:val="nil"/>
              <w:bottom w:val="nil"/>
              <w:right w:val="nil"/>
            </w:tcBorders>
          </w:tcPr>
          <w:p>
            <w:pPr/>
          </w:p>
        </w:tc>
        <w:tc>
          <w:tcPr>
            <w:tcW w:w="716" w:type="dxa"/>
            <w:tcBorders>
              <w:left w:val="nil"/>
              <w:bottom w:val="nil"/>
              <w:right w:val="nil"/>
            </w:tcBorders>
          </w:tcPr>
          <w:p>
            <w:pPr/>
          </w:p>
        </w:tc>
      </w:tr>
      <w:tr>
        <w:trPr>
          <w:trHeight w:val="300" w:hRule="exact"/>
        </w:trPr>
        <w:tc>
          <w:tcPr>
            <w:tcW w:w="1371" w:type="dxa"/>
            <w:tcBorders>
              <w:top w:val="nil"/>
              <w:left w:val="nil"/>
              <w:bottom w:val="nil"/>
              <w:right w:val="nil"/>
            </w:tcBorders>
          </w:tcPr>
          <w:p>
            <w:pPr>
              <w:pStyle w:val="TableParagraph"/>
              <w:spacing w:before="26"/>
              <w:ind w:right="63"/>
              <w:rPr>
                <w:sz w:val="20"/>
              </w:rPr>
            </w:pPr>
            <w:r>
              <w:rPr>
                <w:sz w:val="20"/>
              </w:rPr>
              <w:t>15029</w:t>
            </w:r>
          </w:p>
        </w:tc>
        <w:tc>
          <w:tcPr>
            <w:tcW w:w="1316" w:type="dxa"/>
            <w:tcBorders>
              <w:top w:val="nil"/>
              <w:left w:val="nil"/>
              <w:bottom w:val="nil"/>
              <w:right w:val="nil"/>
            </w:tcBorders>
          </w:tcPr>
          <w:p>
            <w:pPr>
              <w:pStyle w:val="TableParagraph"/>
              <w:spacing w:before="26"/>
              <w:ind w:right="67"/>
              <w:rPr>
                <w:sz w:val="20"/>
              </w:rPr>
            </w:pPr>
            <w:r>
              <w:rPr>
                <w:sz w:val="20"/>
              </w:rPr>
              <w:t>19.51</w:t>
            </w:r>
          </w:p>
        </w:tc>
        <w:tc>
          <w:tcPr>
            <w:tcW w:w="1512" w:type="dxa"/>
            <w:tcBorders>
              <w:top w:val="nil"/>
              <w:left w:val="nil"/>
              <w:bottom w:val="nil"/>
              <w:right w:val="nil"/>
            </w:tcBorders>
          </w:tcPr>
          <w:p>
            <w:pPr>
              <w:pStyle w:val="TableParagraph"/>
              <w:spacing w:before="26"/>
              <w:ind w:right="91"/>
              <w:rPr>
                <w:sz w:val="20"/>
              </w:rPr>
            </w:pPr>
            <w:r>
              <w:rPr>
                <w:sz w:val="20"/>
              </w:rPr>
              <w:t>-99.55</w:t>
            </w:r>
          </w:p>
        </w:tc>
        <w:tc>
          <w:tcPr>
            <w:tcW w:w="1150" w:type="dxa"/>
            <w:tcBorders>
              <w:top w:val="nil"/>
              <w:left w:val="nil"/>
              <w:bottom w:val="nil"/>
              <w:right w:val="nil"/>
            </w:tcBorders>
          </w:tcPr>
          <w:p>
            <w:pPr>
              <w:pStyle w:val="TableParagraph"/>
              <w:spacing w:before="26"/>
              <w:ind w:left="243"/>
              <w:jc w:val="left"/>
              <w:rPr>
                <w:sz w:val="20"/>
              </w:rPr>
            </w:pPr>
            <w:r>
              <w:rPr>
                <w:sz w:val="20"/>
              </w:rPr>
              <w:t>2487</w:t>
            </w:r>
          </w:p>
        </w:tc>
        <w:tc>
          <w:tcPr>
            <w:tcW w:w="948" w:type="dxa"/>
            <w:tcBorders>
              <w:top w:val="nil"/>
              <w:left w:val="nil"/>
              <w:bottom w:val="nil"/>
              <w:right w:val="nil"/>
            </w:tcBorders>
          </w:tcPr>
          <w:p>
            <w:pPr/>
          </w:p>
        </w:tc>
        <w:tc>
          <w:tcPr>
            <w:tcW w:w="895" w:type="dxa"/>
            <w:tcBorders>
              <w:top w:val="nil"/>
              <w:left w:val="nil"/>
              <w:bottom w:val="nil"/>
              <w:right w:val="nil"/>
            </w:tcBorders>
          </w:tcPr>
          <w:p>
            <w:pPr/>
          </w:p>
        </w:tc>
        <w:tc>
          <w:tcPr>
            <w:tcW w:w="946" w:type="dxa"/>
            <w:tcBorders>
              <w:top w:val="nil"/>
              <w:left w:val="nil"/>
              <w:bottom w:val="nil"/>
              <w:right w:val="nil"/>
            </w:tcBorders>
          </w:tcPr>
          <w:p>
            <w:pPr/>
          </w:p>
        </w:tc>
        <w:tc>
          <w:tcPr>
            <w:tcW w:w="946" w:type="dxa"/>
            <w:tcBorders>
              <w:top w:val="nil"/>
              <w:left w:val="nil"/>
              <w:bottom w:val="nil"/>
              <w:right w:val="nil"/>
            </w:tcBorders>
          </w:tcPr>
          <w:p>
            <w:pPr/>
          </w:p>
        </w:tc>
        <w:tc>
          <w:tcPr>
            <w:tcW w:w="949" w:type="dxa"/>
            <w:tcBorders>
              <w:top w:val="nil"/>
              <w:left w:val="nil"/>
              <w:bottom w:val="nil"/>
              <w:right w:val="nil"/>
            </w:tcBorders>
          </w:tcPr>
          <w:p>
            <w:pPr/>
          </w:p>
        </w:tc>
        <w:tc>
          <w:tcPr>
            <w:tcW w:w="999" w:type="dxa"/>
            <w:tcBorders>
              <w:top w:val="nil"/>
              <w:left w:val="nil"/>
              <w:bottom w:val="nil"/>
              <w:right w:val="nil"/>
            </w:tcBorders>
          </w:tcPr>
          <w:p>
            <w:pPr/>
          </w:p>
        </w:tc>
        <w:tc>
          <w:tcPr>
            <w:tcW w:w="946" w:type="dxa"/>
            <w:tcBorders>
              <w:top w:val="nil"/>
              <w:left w:val="nil"/>
              <w:bottom w:val="nil"/>
              <w:right w:val="nil"/>
            </w:tcBorders>
          </w:tcPr>
          <w:p>
            <w:pPr/>
          </w:p>
        </w:tc>
        <w:tc>
          <w:tcPr>
            <w:tcW w:w="948" w:type="dxa"/>
            <w:tcBorders>
              <w:top w:val="nil"/>
              <w:left w:val="nil"/>
              <w:bottom w:val="nil"/>
              <w:right w:val="nil"/>
            </w:tcBorders>
          </w:tcPr>
          <w:p>
            <w:pPr/>
          </w:p>
        </w:tc>
        <w:tc>
          <w:tcPr>
            <w:tcW w:w="716" w:type="dxa"/>
            <w:tcBorders>
              <w:top w:val="nil"/>
              <w:left w:val="nil"/>
              <w:bottom w:val="nil"/>
              <w:right w:val="nil"/>
            </w:tcBorders>
          </w:tcPr>
          <w:p>
            <w:pPr/>
          </w:p>
        </w:tc>
      </w:tr>
      <w:tr>
        <w:trPr>
          <w:trHeight w:val="300" w:hRule="exact"/>
        </w:trPr>
        <w:tc>
          <w:tcPr>
            <w:tcW w:w="1371" w:type="dxa"/>
            <w:tcBorders>
              <w:top w:val="nil"/>
              <w:left w:val="nil"/>
              <w:bottom w:val="nil"/>
              <w:right w:val="nil"/>
            </w:tcBorders>
          </w:tcPr>
          <w:p>
            <w:pPr/>
          </w:p>
        </w:tc>
        <w:tc>
          <w:tcPr>
            <w:tcW w:w="1316" w:type="dxa"/>
            <w:tcBorders>
              <w:top w:val="nil"/>
              <w:left w:val="nil"/>
              <w:bottom w:val="nil"/>
              <w:right w:val="nil"/>
            </w:tcBorders>
          </w:tcPr>
          <w:p>
            <w:pPr/>
          </w:p>
        </w:tc>
        <w:tc>
          <w:tcPr>
            <w:tcW w:w="1512" w:type="dxa"/>
            <w:tcBorders>
              <w:top w:val="nil"/>
              <w:left w:val="nil"/>
              <w:bottom w:val="nil"/>
              <w:right w:val="nil"/>
            </w:tcBorders>
          </w:tcPr>
          <w:p>
            <w:pPr/>
          </w:p>
        </w:tc>
        <w:tc>
          <w:tcPr>
            <w:tcW w:w="1150" w:type="dxa"/>
            <w:tcBorders>
              <w:top w:val="nil"/>
              <w:left w:val="nil"/>
              <w:bottom w:val="nil"/>
              <w:right w:val="nil"/>
            </w:tcBorders>
          </w:tcPr>
          <w:p>
            <w:pPr/>
          </w:p>
        </w:tc>
        <w:tc>
          <w:tcPr>
            <w:tcW w:w="948" w:type="dxa"/>
            <w:tcBorders>
              <w:top w:val="nil"/>
              <w:left w:val="nil"/>
              <w:bottom w:val="nil"/>
              <w:right w:val="nil"/>
            </w:tcBorders>
          </w:tcPr>
          <w:p>
            <w:pPr/>
          </w:p>
        </w:tc>
        <w:tc>
          <w:tcPr>
            <w:tcW w:w="895" w:type="dxa"/>
            <w:tcBorders>
              <w:top w:val="nil"/>
              <w:left w:val="nil"/>
              <w:bottom w:val="nil"/>
              <w:right w:val="nil"/>
            </w:tcBorders>
          </w:tcPr>
          <w:p>
            <w:pPr/>
          </w:p>
        </w:tc>
        <w:tc>
          <w:tcPr>
            <w:tcW w:w="946" w:type="dxa"/>
            <w:tcBorders>
              <w:top w:val="nil"/>
              <w:left w:val="nil"/>
              <w:bottom w:val="nil"/>
              <w:right w:val="nil"/>
            </w:tcBorders>
          </w:tcPr>
          <w:p>
            <w:pPr>
              <w:pStyle w:val="TableParagraph"/>
              <w:ind w:left="-10"/>
              <w:jc w:val="left"/>
              <w:rPr>
                <w:sz w:val="20"/>
              </w:rPr>
            </w:pPr>
            <w:r>
              <w:rPr>
                <w:sz w:val="20"/>
              </w:rPr>
              <w:t>MESES</w:t>
            </w:r>
          </w:p>
        </w:tc>
        <w:tc>
          <w:tcPr>
            <w:tcW w:w="946" w:type="dxa"/>
            <w:tcBorders>
              <w:top w:val="nil"/>
              <w:left w:val="nil"/>
              <w:bottom w:val="nil"/>
              <w:right w:val="nil"/>
            </w:tcBorders>
          </w:tcPr>
          <w:p>
            <w:pPr/>
          </w:p>
        </w:tc>
        <w:tc>
          <w:tcPr>
            <w:tcW w:w="949" w:type="dxa"/>
            <w:tcBorders>
              <w:top w:val="nil"/>
              <w:left w:val="nil"/>
              <w:bottom w:val="nil"/>
              <w:right w:val="nil"/>
            </w:tcBorders>
          </w:tcPr>
          <w:p>
            <w:pPr/>
          </w:p>
        </w:tc>
        <w:tc>
          <w:tcPr>
            <w:tcW w:w="999" w:type="dxa"/>
            <w:tcBorders>
              <w:top w:val="nil"/>
              <w:left w:val="nil"/>
              <w:bottom w:val="nil"/>
              <w:right w:val="nil"/>
            </w:tcBorders>
          </w:tcPr>
          <w:p>
            <w:pPr/>
          </w:p>
        </w:tc>
        <w:tc>
          <w:tcPr>
            <w:tcW w:w="946" w:type="dxa"/>
            <w:tcBorders>
              <w:top w:val="nil"/>
              <w:left w:val="nil"/>
              <w:bottom w:val="nil"/>
              <w:right w:val="nil"/>
            </w:tcBorders>
          </w:tcPr>
          <w:p>
            <w:pPr/>
          </w:p>
        </w:tc>
        <w:tc>
          <w:tcPr>
            <w:tcW w:w="948" w:type="dxa"/>
            <w:tcBorders>
              <w:top w:val="nil"/>
              <w:left w:val="nil"/>
              <w:bottom w:val="nil"/>
              <w:right w:val="nil"/>
            </w:tcBorders>
          </w:tcPr>
          <w:p>
            <w:pPr/>
          </w:p>
        </w:tc>
        <w:tc>
          <w:tcPr>
            <w:tcW w:w="716" w:type="dxa"/>
            <w:tcBorders>
              <w:top w:val="nil"/>
              <w:left w:val="nil"/>
              <w:bottom w:val="nil"/>
              <w:right w:val="nil"/>
            </w:tcBorders>
          </w:tcPr>
          <w:p>
            <w:pPr/>
          </w:p>
        </w:tc>
      </w:tr>
      <w:tr>
        <w:trPr>
          <w:trHeight w:val="270" w:hRule="exact"/>
        </w:trPr>
        <w:tc>
          <w:tcPr>
            <w:tcW w:w="1371" w:type="dxa"/>
            <w:tcBorders>
              <w:top w:val="nil"/>
              <w:left w:val="nil"/>
              <w:right w:val="nil"/>
            </w:tcBorders>
          </w:tcPr>
          <w:p>
            <w:pPr/>
          </w:p>
        </w:tc>
        <w:tc>
          <w:tcPr>
            <w:tcW w:w="1316" w:type="dxa"/>
            <w:tcBorders>
              <w:top w:val="nil"/>
              <w:left w:val="nil"/>
              <w:right w:val="nil"/>
            </w:tcBorders>
          </w:tcPr>
          <w:p>
            <w:pPr>
              <w:pStyle w:val="TableParagraph"/>
              <w:spacing w:before="26"/>
              <w:ind w:right="72"/>
              <w:rPr>
                <w:sz w:val="20"/>
              </w:rPr>
            </w:pPr>
            <w:r>
              <w:rPr>
                <w:w w:val="100"/>
                <w:sz w:val="20"/>
              </w:rPr>
              <w:t>1</w:t>
            </w:r>
          </w:p>
        </w:tc>
        <w:tc>
          <w:tcPr>
            <w:tcW w:w="1512" w:type="dxa"/>
            <w:tcBorders>
              <w:top w:val="nil"/>
              <w:left w:val="nil"/>
              <w:right w:val="nil"/>
            </w:tcBorders>
          </w:tcPr>
          <w:p>
            <w:pPr>
              <w:pStyle w:val="TableParagraph"/>
              <w:spacing w:before="26"/>
              <w:ind w:right="96"/>
              <w:rPr>
                <w:sz w:val="20"/>
              </w:rPr>
            </w:pPr>
            <w:r>
              <w:rPr>
                <w:w w:val="100"/>
                <w:sz w:val="20"/>
              </w:rPr>
              <w:t>2</w:t>
            </w:r>
          </w:p>
        </w:tc>
        <w:tc>
          <w:tcPr>
            <w:tcW w:w="1150" w:type="dxa"/>
            <w:tcBorders>
              <w:top w:val="nil"/>
              <w:left w:val="nil"/>
              <w:right w:val="nil"/>
            </w:tcBorders>
          </w:tcPr>
          <w:p>
            <w:pPr>
              <w:pStyle w:val="TableParagraph"/>
              <w:spacing w:before="26"/>
              <w:ind w:right="300"/>
              <w:rPr>
                <w:sz w:val="20"/>
              </w:rPr>
            </w:pPr>
            <w:r>
              <w:rPr>
                <w:w w:val="100"/>
                <w:sz w:val="20"/>
              </w:rPr>
              <w:t>3</w:t>
            </w:r>
          </w:p>
        </w:tc>
        <w:tc>
          <w:tcPr>
            <w:tcW w:w="948" w:type="dxa"/>
            <w:tcBorders>
              <w:top w:val="nil"/>
              <w:left w:val="nil"/>
              <w:right w:val="nil"/>
            </w:tcBorders>
          </w:tcPr>
          <w:p>
            <w:pPr>
              <w:pStyle w:val="TableParagraph"/>
              <w:spacing w:before="26"/>
              <w:ind w:right="298"/>
              <w:rPr>
                <w:sz w:val="20"/>
              </w:rPr>
            </w:pPr>
            <w:r>
              <w:rPr>
                <w:w w:val="100"/>
                <w:sz w:val="20"/>
              </w:rPr>
              <w:t>4</w:t>
            </w:r>
          </w:p>
        </w:tc>
        <w:tc>
          <w:tcPr>
            <w:tcW w:w="895" w:type="dxa"/>
            <w:tcBorders>
              <w:top w:val="nil"/>
              <w:left w:val="nil"/>
              <w:right w:val="nil"/>
            </w:tcBorders>
          </w:tcPr>
          <w:p>
            <w:pPr>
              <w:pStyle w:val="TableParagraph"/>
              <w:spacing w:before="26"/>
              <w:ind w:right="247"/>
              <w:rPr>
                <w:sz w:val="20"/>
              </w:rPr>
            </w:pPr>
            <w:r>
              <w:rPr>
                <w:w w:val="100"/>
                <w:sz w:val="20"/>
              </w:rPr>
              <w:t>5</w:t>
            </w:r>
          </w:p>
        </w:tc>
        <w:tc>
          <w:tcPr>
            <w:tcW w:w="946" w:type="dxa"/>
            <w:tcBorders>
              <w:top w:val="nil"/>
              <w:left w:val="nil"/>
              <w:right w:val="nil"/>
            </w:tcBorders>
          </w:tcPr>
          <w:p>
            <w:pPr>
              <w:pStyle w:val="TableParagraph"/>
              <w:spacing w:before="26"/>
              <w:ind w:right="247"/>
              <w:rPr>
                <w:sz w:val="20"/>
              </w:rPr>
            </w:pPr>
            <w:r>
              <w:rPr>
                <w:w w:val="100"/>
                <w:sz w:val="20"/>
              </w:rPr>
              <w:t>6</w:t>
            </w:r>
          </w:p>
        </w:tc>
        <w:tc>
          <w:tcPr>
            <w:tcW w:w="946" w:type="dxa"/>
            <w:tcBorders>
              <w:top w:val="nil"/>
              <w:left w:val="nil"/>
              <w:right w:val="nil"/>
            </w:tcBorders>
          </w:tcPr>
          <w:p>
            <w:pPr>
              <w:pStyle w:val="TableParagraph"/>
              <w:spacing w:before="26"/>
              <w:ind w:right="247"/>
              <w:rPr>
                <w:sz w:val="20"/>
              </w:rPr>
            </w:pPr>
            <w:r>
              <w:rPr>
                <w:w w:val="100"/>
                <w:sz w:val="20"/>
              </w:rPr>
              <w:t>7</w:t>
            </w:r>
          </w:p>
        </w:tc>
        <w:tc>
          <w:tcPr>
            <w:tcW w:w="949" w:type="dxa"/>
            <w:tcBorders>
              <w:top w:val="nil"/>
              <w:left w:val="nil"/>
              <w:right w:val="nil"/>
            </w:tcBorders>
          </w:tcPr>
          <w:p>
            <w:pPr>
              <w:pStyle w:val="TableParagraph"/>
              <w:spacing w:before="26"/>
              <w:ind w:right="249"/>
              <w:rPr>
                <w:sz w:val="20"/>
              </w:rPr>
            </w:pPr>
            <w:r>
              <w:rPr>
                <w:w w:val="100"/>
                <w:sz w:val="20"/>
              </w:rPr>
              <w:t>8</w:t>
            </w:r>
          </w:p>
        </w:tc>
        <w:tc>
          <w:tcPr>
            <w:tcW w:w="999" w:type="dxa"/>
            <w:tcBorders>
              <w:top w:val="nil"/>
              <w:left w:val="nil"/>
              <w:right w:val="nil"/>
            </w:tcBorders>
          </w:tcPr>
          <w:p>
            <w:pPr>
              <w:pStyle w:val="TableParagraph"/>
              <w:spacing w:before="26"/>
              <w:ind w:right="298"/>
              <w:rPr>
                <w:sz w:val="20"/>
              </w:rPr>
            </w:pPr>
            <w:r>
              <w:rPr>
                <w:w w:val="100"/>
                <w:sz w:val="20"/>
              </w:rPr>
              <w:t>9</w:t>
            </w:r>
          </w:p>
        </w:tc>
        <w:tc>
          <w:tcPr>
            <w:tcW w:w="946" w:type="dxa"/>
            <w:tcBorders>
              <w:top w:val="nil"/>
              <w:left w:val="nil"/>
              <w:right w:val="nil"/>
            </w:tcBorders>
          </w:tcPr>
          <w:p>
            <w:pPr>
              <w:pStyle w:val="TableParagraph"/>
              <w:spacing w:before="26"/>
              <w:ind w:right="297"/>
              <w:rPr>
                <w:sz w:val="20"/>
              </w:rPr>
            </w:pPr>
            <w:r>
              <w:rPr>
                <w:sz w:val="20"/>
              </w:rPr>
              <w:t>10</w:t>
            </w:r>
          </w:p>
        </w:tc>
        <w:tc>
          <w:tcPr>
            <w:tcW w:w="948" w:type="dxa"/>
            <w:tcBorders>
              <w:top w:val="nil"/>
              <w:left w:val="nil"/>
              <w:right w:val="nil"/>
            </w:tcBorders>
          </w:tcPr>
          <w:p>
            <w:pPr>
              <w:pStyle w:val="TableParagraph"/>
              <w:spacing w:before="26"/>
              <w:ind w:left="279" w:right="138"/>
              <w:jc w:val="center"/>
              <w:rPr>
                <w:sz w:val="20"/>
              </w:rPr>
            </w:pPr>
            <w:r>
              <w:rPr>
                <w:sz w:val="20"/>
              </w:rPr>
              <w:t>11</w:t>
            </w:r>
          </w:p>
        </w:tc>
        <w:tc>
          <w:tcPr>
            <w:tcW w:w="716" w:type="dxa"/>
            <w:tcBorders>
              <w:top w:val="nil"/>
              <w:left w:val="nil"/>
              <w:right w:val="nil"/>
            </w:tcBorders>
          </w:tcPr>
          <w:p>
            <w:pPr>
              <w:pStyle w:val="TableParagraph"/>
              <w:spacing w:before="26"/>
              <w:ind w:right="65"/>
              <w:rPr>
                <w:sz w:val="20"/>
              </w:rPr>
            </w:pPr>
            <w:r>
              <w:rPr>
                <w:sz w:val="20"/>
              </w:rPr>
              <w:t>12</w:t>
            </w:r>
          </w:p>
        </w:tc>
      </w:tr>
      <w:tr>
        <w:trPr>
          <w:trHeight w:val="342" w:hRule="exact"/>
        </w:trPr>
        <w:tc>
          <w:tcPr>
            <w:tcW w:w="1371" w:type="dxa"/>
            <w:tcBorders>
              <w:left w:val="nil"/>
              <w:bottom w:val="nil"/>
              <w:right w:val="nil"/>
            </w:tcBorders>
          </w:tcPr>
          <w:p>
            <w:pPr>
              <w:pStyle w:val="TableParagraph"/>
              <w:spacing w:before="63"/>
              <w:ind w:left="273"/>
              <w:jc w:val="left"/>
              <w:rPr>
                <w:sz w:val="20"/>
              </w:rPr>
            </w:pPr>
            <w:r>
              <w:rPr>
                <w:sz w:val="20"/>
              </w:rPr>
              <w:t>TMPMX1</w:t>
            </w:r>
          </w:p>
        </w:tc>
        <w:tc>
          <w:tcPr>
            <w:tcW w:w="1316" w:type="dxa"/>
            <w:tcBorders>
              <w:left w:val="nil"/>
              <w:bottom w:val="nil"/>
              <w:right w:val="nil"/>
            </w:tcBorders>
          </w:tcPr>
          <w:p>
            <w:pPr>
              <w:pStyle w:val="TableParagraph"/>
              <w:spacing w:before="63"/>
              <w:ind w:right="67"/>
              <w:rPr>
                <w:sz w:val="20"/>
              </w:rPr>
            </w:pPr>
            <w:r>
              <w:rPr>
                <w:sz w:val="20"/>
              </w:rPr>
              <w:t>20.6</w:t>
            </w:r>
          </w:p>
        </w:tc>
        <w:tc>
          <w:tcPr>
            <w:tcW w:w="1512" w:type="dxa"/>
            <w:tcBorders>
              <w:left w:val="nil"/>
              <w:bottom w:val="nil"/>
              <w:right w:val="nil"/>
            </w:tcBorders>
          </w:tcPr>
          <w:p>
            <w:pPr>
              <w:pStyle w:val="TableParagraph"/>
              <w:spacing w:before="63"/>
              <w:ind w:right="91"/>
              <w:rPr>
                <w:sz w:val="20"/>
              </w:rPr>
            </w:pPr>
            <w:r>
              <w:rPr>
                <w:sz w:val="20"/>
              </w:rPr>
              <w:t>21.9</w:t>
            </w:r>
          </w:p>
        </w:tc>
        <w:tc>
          <w:tcPr>
            <w:tcW w:w="1150" w:type="dxa"/>
            <w:tcBorders>
              <w:left w:val="nil"/>
              <w:bottom w:val="nil"/>
              <w:right w:val="nil"/>
            </w:tcBorders>
          </w:tcPr>
          <w:p>
            <w:pPr>
              <w:pStyle w:val="TableParagraph"/>
              <w:spacing w:before="63"/>
              <w:ind w:right="295"/>
              <w:rPr>
                <w:sz w:val="20"/>
              </w:rPr>
            </w:pPr>
            <w:r>
              <w:rPr>
                <w:sz w:val="20"/>
              </w:rPr>
              <w:t>23.4</w:t>
            </w:r>
          </w:p>
        </w:tc>
        <w:tc>
          <w:tcPr>
            <w:tcW w:w="948" w:type="dxa"/>
            <w:tcBorders>
              <w:left w:val="nil"/>
              <w:bottom w:val="nil"/>
              <w:right w:val="nil"/>
            </w:tcBorders>
          </w:tcPr>
          <w:p>
            <w:pPr>
              <w:pStyle w:val="TableParagraph"/>
              <w:spacing w:before="63"/>
              <w:ind w:right="293"/>
              <w:rPr>
                <w:sz w:val="20"/>
              </w:rPr>
            </w:pPr>
            <w:r>
              <w:rPr>
                <w:sz w:val="20"/>
              </w:rPr>
              <w:t>25.2</w:t>
            </w:r>
          </w:p>
        </w:tc>
        <w:tc>
          <w:tcPr>
            <w:tcW w:w="895" w:type="dxa"/>
            <w:tcBorders>
              <w:left w:val="nil"/>
              <w:bottom w:val="nil"/>
              <w:right w:val="nil"/>
            </w:tcBorders>
          </w:tcPr>
          <w:p>
            <w:pPr>
              <w:pStyle w:val="TableParagraph"/>
              <w:spacing w:before="63"/>
              <w:ind w:right="242"/>
              <w:rPr>
                <w:sz w:val="20"/>
              </w:rPr>
            </w:pPr>
            <w:r>
              <w:rPr>
                <w:sz w:val="20"/>
              </w:rPr>
              <w:t>25.2</w:t>
            </w:r>
          </w:p>
        </w:tc>
        <w:tc>
          <w:tcPr>
            <w:tcW w:w="946" w:type="dxa"/>
            <w:tcBorders>
              <w:left w:val="nil"/>
              <w:bottom w:val="nil"/>
              <w:right w:val="nil"/>
            </w:tcBorders>
          </w:tcPr>
          <w:p>
            <w:pPr>
              <w:pStyle w:val="TableParagraph"/>
              <w:spacing w:before="63"/>
              <w:ind w:right="243"/>
              <w:rPr>
                <w:sz w:val="20"/>
              </w:rPr>
            </w:pPr>
            <w:r>
              <w:rPr>
                <w:sz w:val="20"/>
              </w:rPr>
              <w:t>22.8</w:t>
            </w:r>
          </w:p>
        </w:tc>
        <w:tc>
          <w:tcPr>
            <w:tcW w:w="946" w:type="dxa"/>
            <w:tcBorders>
              <w:left w:val="nil"/>
              <w:bottom w:val="nil"/>
              <w:right w:val="nil"/>
            </w:tcBorders>
          </w:tcPr>
          <w:p>
            <w:pPr>
              <w:pStyle w:val="TableParagraph"/>
              <w:spacing w:before="63"/>
              <w:ind w:right="242"/>
              <w:rPr>
                <w:sz w:val="20"/>
              </w:rPr>
            </w:pPr>
            <w:r>
              <w:rPr>
                <w:sz w:val="20"/>
              </w:rPr>
              <w:t>21.2</w:t>
            </w:r>
          </w:p>
        </w:tc>
        <w:tc>
          <w:tcPr>
            <w:tcW w:w="949" w:type="dxa"/>
            <w:tcBorders>
              <w:left w:val="nil"/>
              <w:bottom w:val="nil"/>
              <w:right w:val="nil"/>
            </w:tcBorders>
          </w:tcPr>
          <w:p>
            <w:pPr>
              <w:pStyle w:val="TableParagraph"/>
              <w:spacing w:before="63"/>
              <w:ind w:right="245"/>
              <w:rPr>
                <w:sz w:val="20"/>
              </w:rPr>
            </w:pPr>
            <w:r>
              <w:rPr>
                <w:sz w:val="20"/>
              </w:rPr>
              <w:t>21.1</w:t>
            </w:r>
          </w:p>
        </w:tc>
        <w:tc>
          <w:tcPr>
            <w:tcW w:w="999" w:type="dxa"/>
            <w:tcBorders>
              <w:left w:val="nil"/>
              <w:bottom w:val="nil"/>
              <w:right w:val="nil"/>
            </w:tcBorders>
          </w:tcPr>
          <w:p>
            <w:pPr>
              <w:pStyle w:val="TableParagraph"/>
              <w:spacing w:before="63"/>
              <w:ind w:right="293"/>
              <w:rPr>
                <w:sz w:val="20"/>
              </w:rPr>
            </w:pPr>
            <w:r>
              <w:rPr>
                <w:sz w:val="20"/>
              </w:rPr>
              <w:t>21.1</w:t>
            </w:r>
          </w:p>
        </w:tc>
        <w:tc>
          <w:tcPr>
            <w:tcW w:w="946" w:type="dxa"/>
            <w:tcBorders>
              <w:left w:val="nil"/>
              <w:bottom w:val="nil"/>
              <w:right w:val="nil"/>
            </w:tcBorders>
          </w:tcPr>
          <w:p>
            <w:pPr>
              <w:pStyle w:val="TableParagraph"/>
              <w:spacing w:before="63"/>
              <w:ind w:right="293"/>
              <w:rPr>
                <w:sz w:val="20"/>
              </w:rPr>
            </w:pPr>
            <w:r>
              <w:rPr>
                <w:sz w:val="20"/>
              </w:rPr>
              <w:t>21.3</w:t>
            </w:r>
          </w:p>
        </w:tc>
        <w:tc>
          <w:tcPr>
            <w:tcW w:w="948" w:type="dxa"/>
            <w:tcBorders>
              <w:left w:val="nil"/>
              <w:bottom w:val="nil"/>
              <w:right w:val="nil"/>
            </w:tcBorders>
          </w:tcPr>
          <w:p>
            <w:pPr>
              <w:pStyle w:val="TableParagraph"/>
              <w:spacing w:before="63"/>
              <w:ind w:left="279" w:right="279"/>
              <w:jc w:val="center"/>
              <w:rPr>
                <w:sz w:val="20"/>
              </w:rPr>
            </w:pPr>
            <w:r>
              <w:rPr>
                <w:sz w:val="20"/>
              </w:rPr>
              <w:t>21.1</w:t>
            </w:r>
          </w:p>
        </w:tc>
        <w:tc>
          <w:tcPr>
            <w:tcW w:w="716" w:type="dxa"/>
            <w:tcBorders>
              <w:left w:val="nil"/>
              <w:bottom w:val="nil"/>
              <w:right w:val="nil"/>
            </w:tcBorders>
          </w:tcPr>
          <w:p>
            <w:pPr>
              <w:pStyle w:val="TableParagraph"/>
              <w:spacing w:before="63"/>
              <w:ind w:right="60"/>
              <w:rPr>
                <w:sz w:val="20"/>
              </w:rPr>
            </w:pPr>
            <w:r>
              <w:rPr>
                <w:sz w:val="20"/>
              </w:rPr>
              <w:t>20.5</w:t>
            </w:r>
          </w:p>
        </w:tc>
      </w:tr>
      <w:tr>
        <w:trPr>
          <w:trHeight w:val="300" w:hRule="exact"/>
        </w:trPr>
        <w:tc>
          <w:tcPr>
            <w:tcW w:w="1371" w:type="dxa"/>
            <w:tcBorders>
              <w:top w:val="nil"/>
              <w:left w:val="nil"/>
              <w:bottom w:val="nil"/>
              <w:right w:val="nil"/>
            </w:tcBorders>
          </w:tcPr>
          <w:p>
            <w:pPr>
              <w:pStyle w:val="TableParagraph"/>
              <w:ind w:left="273"/>
              <w:jc w:val="left"/>
              <w:rPr>
                <w:sz w:val="20"/>
              </w:rPr>
            </w:pPr>
            <w:r>
              <w:rPr>
                <w:sz w:val="20"/>
              </w:rPr>
              <w:t>TMPMN1</w:t>
            </w:r>
          </w:p>
        </w:tc>
        <w:tc>
          <w:tcPr>
            <w:tcW w:w="1316" w:type="dxa"/>
            <w:tcBorders>
              <w:top w:val="nil"/>
              <w:left w:val="nil"/>
              <w:bottom w:val="nil"/>
              <w:right w:val="nil"/>
            </w:tcBorders>
          </w:tcPr>
          <w:p>
            <w:pPr>
              <w:pStyle w:val="TableParagraph"/>
              <w:ind w:right="67"/>
              <w:rPr>
                <w:sz w:val="20"/>
              </w:rPr>
            </w:pPr>
            <w:r>
              <w:rPr>
                <w:sz w:val="20"/>
              </w:rPr>
              <w:t>-0.4</w:t>
            </w:r>
          </w:p>
        </w:tc>
        <w:tc>
          <w:tcPr>
            <w:tcW w:w="1512" w:type="dxa"/>
            <w:tcBorders>
              <w:top w:val="nil"/>
              <w:left w:val="nil"/>
              <w:bottom w:val="nil"/>
              <w:right w:val="nil"/>
            </w:tcBorders>
          </w:tcPr>
          <w:p>
            <w:pPr>
              <w:pStyle w:val="TableParagraph"/>
              <w:ind w:right="91"/>
              <w:rPr>
                <w:sz w:val="20"/>
              </w:rPr>
            </w:pPr>
            <w:r>
              <w:rPr>
                <w:sz w:val="20"/>
              </w:rPr>
              <w:t>0.7</w:t>
            </w:r>
          </w:p>
        </w:tc>
        <w:tc>
          <w:tcPr>
            <w:tcW w:w="1150" w:type="dxa"/>
            <w:tcBorders>
              <w:top w:val="nil"/>
              <w:left w:val="nil"/>
              <w:bottom w:val="nil"/>
              <w:right w:val="nil"/>
            </w:tcBorders>
          </w:tcPr>
          <w:p>
            <w:pPr>
              <w:pStyle w:val="TableParagraph"/>
              <w:ind w:right="295"/>
              <w:rPr>
                <w:sz w:val="20"/>
              </w:rPr>
            </w:pPr>
            <w:r>
              <w:rPr>
                <w:sz w:val="20"/>
              </w:rPr>
              <w:t>2.8</w:t>
            </w:r>
          </w:p>
        </w:tc>
        <w:tc>
          <w:tcPr>
            <w:tcW w:w="948" w:type="dxa"/>
            <w:tcBorders>
              <w:top w:val="nil"/>
              <w:left w:val="nil"/>
              <w:bottom w:val="nil"/>
              <w:right w:val="nil"/>
            </w:tcBorders>
          </w:tcPr>
          <w:p>
            <w:pPr>
              <w:pStyle w:val="TableParagraph"/>
              <w:ind w:right="293"/>
              <w:rPr>
                <w:sz w:val="20"/>
              </w:rPr>
            </w:pPr>
            <w:r>
              <w:rPr>
                <w:sz w:val="20"/>
              </w:rPr>
              <w:t>5.1</w:t>
            </w:r>
          </w:p>
        </w:tc>
        <w:tc>
          <w:tcPr>
            <w:tcW w:w="895" w:type="dxa"/>
            <w:tcBorders>
              <w:top w:val="nil"/>
              <w:left w:val="nil"/>
              <w:bottom w:val="nil"/>
              <w:right w:val="nil"/>
            </w:tcBorders>
          </w:tcPr>
          <w:p>
            <w:pPr>
              <w:pStyle w:val="TableParagraph"/>
              <w:ind w:right="242"/>
              <w:rPr>
                <w:sz w:val="20"/>
              </w:rPr>
            </w:pPr>
            <w:r>
              <w:rPr>
                <w:sz w:val="20"/>
              </w:rPr>
              <w:t>7.3</w:t>
            </w:r>
          </w:p>
        </w:tc>
        <w:tc>
          <w:tcPr>
            <w:tcW w:w="946" w:type="dxa"/>
            <w:tcBorders>
              <w:top w:val="nil"/>
              <w:left w:val="nil"/>
              <w:bottom w:val="nil"/>
              <w:right w:val="nil"/>
            </w:tcBorders>
          </w:tcPr>
          <w:p>
            <w:pPr>
              <w:pStyle w:val="TableParagraph"/>
              <w:ind w:right="243"/>
              <w:rPr>
                <w:sz w:val="20"/>
              </w:rPr>
            </w:pPr>
            <w:r>
              <w:rPr>
                <w:sz w:val="20"/>
              </w:rPr>
              <w:t>9.3</w:t>
            </w:r>
          </w:p>
        </w:tc>
        <w:tc>
          <w:tcPr>
            <w:tcW w:w="946" w:type="dxa"/>
            <w:tcBorders>
              <w:top w:val="nil"/>
              <w:left w:val="nil"/>
              <w:bottom w:val="nil"/>
              <w:right w:val="nil"/>
            </w:tcBorders>
          </w:tcPr>
          <w:p>
            <w:pPr>
              <w:pStyle w:val="TableParagraph"/>
              <w:ind w:right="242"/>
              <w:rPr>
                <w:sz w:val="20"/>
              </w:rPr>
            </w:pPr>
            <w:r>
              <w:rPr>
                <w:sz w:val="20"/>
              </w:rPr>
              <w:t>9.3</w:t>
            </w:r>
          </w:p>
        </w:tc>
        <w:tc>
          <w:tcPr>
            <w:tcW w:w="949" w:type="dxa"/>
            <w:tcBorders>
              <w:top w:val="nil"/>
              <w:left w:val="nil"/>
              <w:bottom w:val="nil"/>
              <w:right w:val="nil"/>
            </w:tcBorders>
          </w:tcPr>
          <w:p>
            <w:pPr>
              <w:pStyle w:val="TableParagraph"/>
              <w:ind w:right="245"/>
              <w:rPr>
                <w:sz w:val="20"/>
              </w:rPr>
            </w:pPr>
            <w:r>
              <w:rPr>
                <w:sz w:val="20"/>
              </w:rPr>
              <w:t>9.2</w:t>
            </w:r>
          </w:p>
        </w:tc>
        <w:tc>
          <w:tcPr>
            <w:tcW w:w="999" w:type="dxa"/>
            <w:tcBorders>
              <w:top w:val="nil"/>
              <w:left w:val="nil"/>
              <w:bottom w:val="nil"/>
              <w:right w:val="nil"/>
            </w:tcBorders>
          </w:tcPr>
          <w:p>
            <w:pPr>
              <w:pStyle w:val="TableParagraph"/>
              <w:ind w:right="293"/>
              <w:rPr>
                <w:sz w:val="20"/>
              </w:rPr>
            </w:pPr>
            <w:r>
              <w:rPr>
                <w:sz w:val="20"/>
              </w:rPr>
              <w:t>8.9</w:t>
            </w:r>
          </w:p>
        </w:tc>
        <w:tc>
          <w:tcPr>
            <w:tcW w:w="946" w:type="dxa"/>
            <w:tcBorders>
              <w:top w:val="nil"/>
              <w:left w:val="nil"/>
              <w:bottom w:val="nil"/>
              <w:right w:val="nil"/>
            </w:tcBorders>
          </w:tcPr>
          <w:p>
            <w:pPr>
              <w:pStyle w:val="TableParagraph"/>
              <w:ind w:right="293"/>
              <w:rPr>
                <w:sz w:val="20"/>
              </w:rPr>
            </w:pPr>
            <w:r>
              <w:rPr>
                <w:sz w:val="20"/>
              </w:rPr>
              <w:t>5.9</w:t>
            </w:r>
          </w:p>
        </w:tc>
        <w:tc>
          <w:tcPr>
            <w:tcW w:w="948" w:type="dxa"/>
            <w:tcBorders>
              <w:top w:val="nil"/>
              <w:left w:val="nil"/>
              <w:bottom w:val="nil"/>
              <w:right w:val="nil"/>
            </w:tcBorders>
          </w:tcPr>
          <w:p>
            <w:pPr>
              <w:pStyle w:val="TableParagraph"/>
              <w:ind w:left="279" w:right="181"/>
              <w:jc w:val="center"/>
              <w:rPr>
                <w:sz w:val="20"/>
              </w:rPr>
            </w:pPr>
            <w:r>
              <w:rPr>
                <w:sz w:val="20"/>
              </w:rPr>
              <w:t>2.4</w:t>
            </w:r>
          </w:p>
        </w:tc>
        <w:tc>
          <w:tcPr>
            <w:tcW w:w="716" w:type="dxa"/>
            <w:tcBorders>
              <w:top w:val="nil"/>
              <w:left w:val="nil"/>
              <w:bottom w:val="nil"/>
              <w:right w:val="nil"/>
            </w:tcBorders>
          </w:tcPr>
          <w:p>
            <w:pPr>
              <w:pStyle w:val="TableParagraph"/>
              <w:ind w:right="60"/>
              <w:rPr>
                <w:sz w:val="20"/>
              </w:rPr>
            </w:pPr>
            <w:r>
              <w:rPr>
                <w:sz w:val="20"/>
              </w:rPr>
              <w:t>0.5</w:t>
            </w:r>
          </w:p>
        </w:tc>
      </w:tr>
      <w:tr>
        <w:trPr>
          <w:trHeight w:val="303" w:hRule="exact"/>
        </w:trPr>
        <w:tc>
          <w:tcPr>
            <w:tcW w:w="1371" w:type="dxa"/>
            <w:tcBorders>
              <w:top w:val="nil"/>
              <w:left w:val="nil"/>
              <w:bottom w:val="nil"/>
              <w:right w:val="nil"/>
            </w:tcBorders>
          </w:tcPr>
          <w:p>
            <w:pPr>
              <w:pStyle w:val="TableParagraph"/>
              <w:spacing w:before="26"/>
              <w:ind w:right="68"/>
              <w:rPr>
                <w:sz w:val="20"/>
              </w:rPr>
            </w:pPr>
            <w:r>
              <w:rPr>
                <w:sz w:val="20"/>
              </w:rPr>
              <w:t>TMPSTDMX1</w:t>
            </w:r>
          </w:p>
        </w:tc>
        <w:tc>
          <w:tcPr>
            <w:tcW w:w="1316" w:type="dxa"/>
            <w:tcBorders>
              <w:top w:val="nil"/>
              <w:left w:val="nil"/>
              <w:bottom w:val="nil"/>
              <w:right w:val="nil"/>
            </w:tcBorders>
          </w:tcPr>
          <w:p>
            <w:pPr>
              <w:pStyle w:val="TableParagraph"/>
              <w:spacing w:before="26"/>
              <w:ind w:right="67"/>
              <w:rPr>
                <w:sz w:val="20"/>
              </w:rPr>
            </w:pPr>
            <w:r>
              <w:rPr>
                <w:sz w:val="20"/>
              </w:rPr>
              <w:t>3.0</w:t>
            </w:r>
          </w:p>
        </w:tc>
        <w:tc>
          <w:tcPr>
            <w:tcW w:w="1512" w:type="dxa"/>
            <w:tcBorders>
              <w:top w:val="nil"/>
              <w:left w:val="nil"/>
              <w:bottom w:val="nil"/>
              <w:right w:val="nil"/>
            </w:tcBorders>
          </w:tcPr>
          <w:p>
            <w:pPr>
              <w:pStyle w:val="TableParagraph"/>
              <w:spacing w:before="26"/>
              <w:ind w:right="91"/>
              <w:rPr>
                <w:sz w:val="20"/>
              </w:rPr>
            </w:pPr>
            <w:r>
              <w:rPr>
                <w:sz w:val="20"/>
              </w:rPr>
              <w:t>3.2</w:t>
            </w:r>
          </w:p>
        </w:tc>
        <w:tc>
          <w:tcPr>
            <w:tcW w:w="1150" w:type="dxa"/>
            <w:tcBorders>
              <w:top w:val="nil"/>
              <w:left w:val="nil"/>
              <w:bottom w:val="nil"/>
              <w:right w:val="nil"/>
            </w:tcBorders>
          </w:tcPr>
          <w:p>
            <w:pPr>
              <w:pStyle w:val="TableParagraph"/>
              <w:spacing w:before="26"/>
              <w:ind w:right="295"/>
              <w:rPr>
                <w:sz w:val="20"/>
              </w:rPr>
            </w:pPr>
            <w:r>
              <w:rPr>
                <w:sz w:val="20"/>
              </w:rPr>
              <w:t>3.1</w:t>
            </w:r>
          </w:p>
        </w:tc>
        <w:tc>
          <w:tcPr>
            <w:tcW w:w="948" w:type="dxa"/>
            <w:tcBorders>
              <w:top w:val="nil"/>
              <w:left w:val="nil"/>
              <w:bottom w:val="nil"/>
              <w:right w:val="nil"/>
            </w:tcBorders>
          </w:tcPr>
          <w:p>
            <w:pPr>
              <w:pStyle w:val="TableParagraph"/>
              <w:spacing w:before="26"/>
              <w:ind w:right="293"/>
              <w:rPr>
                <w:sz w:val="20"/>
              </w:rPr>
            </w:pPr>
            <w:r>
              <w:rPr>
                <w:sz w:val="20"/>
              </w:rPr>
              <w:t>3.4</w:t>
            </w:r>
          </w:p>
        </w:tc>
        <w:tc>
          <w:tcPr>
            <w:tcW w:w="895" w:type="dxa"/>
            <w:tcBorders>
              <w:top w:val="nil"/>
              <w:left w:val="nil"/>
              <w:bottom w:val="nil"/>
              <w:right w:val="nil"/>
            </w:tcBorders>
          </w:tcPr>
          <w:p>
            <w:pPr>
              <w:pStyle w:val="TableParagraph"/>
              <w:spacing w:before="26"/>
              <w:ind w:right="242"/>
              <w:rPr>
                <w:sz w:val="20"/>
              </w:rPr>
            </w:pPr>
            <w:r>
              <w:rPr>
                <w:sz w:val="20"/>
              </w:rPr>
              <w:t>3.2</w:t>
            </w:r>
          </w:p>
        </w:tc>
        <w:tc>
          <w:tcPr>
            <w:tcW w:w="946" w:type="dxa"/>
            <w:tcBorders>
              <w:top w:val="nil"/>
              <w:left w:val="nil"/>
              <w:bottom w:val="nil"/>
              <w:right w:val="nil"/>
            </w:tcBorders>
          </w:tcPr>
          <w:p>
            <w:pPr>
              <w:pStyle w:val="TableParagraph"/>
              <w:spacing w:before="26"/>
              <w:ind w:right="243"/>
              <w:rPr>
                <w:sz w:val="20"/>
              </w:rPr>
            </w:pPr>
            <w:r>
              <w:rPr>
                <w:sz w:val="20"/>
              </w:rPr>
              <w:t>3.2</w:t>
            </w:r>
          </w:p>
        </w:tc>
        <w:tc>
          <w:tcPr>
            <w:tcW w:w="946" w:type="dxa"/>
            <w:tcBorders>
              <w:top w:val="nil"/>
              <w:left w:val="nil"/>
              <w:bottom w:val="nil"/>
              <w:right w:val="nil"/>
            </w:tcBorders>
          </w:tcPr>
          <w:p>
            <w:pPr>
              <w:pStyle w:val="TableParagraph"/>
              <w:spacing w:before="26"/>
              <w:ind w:right="242"/>
              <w:rPr>
                <w:sz w:val="20"/>
              </w:rPr>
            </w:pPr>
            <w:r>
              <w:rPr>
                <w:sz w:val="20"/>
              </w:rPr>
              <w:t>2.3</w:t>
            </w:r>
          </w:p>
        </w:tc>
        <w:tc>
          <w:tcPr>
            <w:tcW w:w="949" w:type="dxa"/>
            <w:tcBorders>
              <w:top w:val="nil"/>
              <w:left w:val="nil"/>
              <w:bottom w:val="nil"/>
              <w:right w:val="nil"/>
            </w:tcBorders>
          </w:tcPr>
          <w:p>
            <w:pPr>
              <w:pStyle w:val="TableParagraph"/>
              <w:spacing w:before="26"/>
              <w:ind w:right="245"/>
              <w:rPr>
                <w:sz w:val="20"/>
              </w:rPr>
            </w:pPr>
            <w:r>
              <w:rPr>
                <w:sz w:val="20"/>
              </w:rPr>
              <w:t>2.0</w:t>
            </w:r>
          </w:p>
        </w:tc>
        <w:tc>
          <w:tcPr>
            <w:tcW w:w="999" w:type="dxa"/>
            <w:tcBorders>
              <w:top w:val="nil"/>
              <w:left w:val="nil"/>
              <w:bottom w:val="nil"/>
              <w:right w:val="nil"/>
            </w:tcBorders>
          </w:tcPr>
          <w:p>
            <w:pPr>
              <w:pStyle w:val="TableParagraph"/>
              <w:spacing w:before="26"/>
              <w:ind w:right="293"/>
              <w:rPr>
                <w:sz w:val="20"/>
              </w:rPr>
            </w:pPr>
            <w:r>
              <w:rPr>
                <w:sz w:val="20"/>
              </w:rPr>
              <w:t>2.3</w:t>
            </w:r>
          </w:p>
        </w:tc>
        <w:tc>
          <w:tcPr>
            <w:tcW w:w="946" w:type="dxa"/>
            <w:tcBorders>
              <w:top w:val="nil"/>
              <w:left w:val="nil"/>
              <w:bottom w:val="nil"/>
              <w:right w:val="nil"/>
            </w:tcBorders>
          </w:tcPr>
          <w:p>
            <w:pPr>
              <w:pStyle w:val="TableParagraph"/>
              <w:spacing w:before="26"/>
              <w:ind w:right="293"/>
              <w:rPr>
                <w:sz w:val="20"/>
              </w:rPr>
            </w:pPr>
            <w:r>
              <w:rPr>
                <w:sz w:val="20"/>
              </w:rPr>
              <w:t>2.6</w:t>
            </w:r>
          </w:p>
        </w:tc>
        <w:tc>
          <w:tcPr>
            <w:tcW w:w="948" w:type="dxa"/>
            <w:tcBorders>
              <w:top w:val="nil"/>
              <w:left w:val="nil"/>
              <w:bottom w:val="nil"/>
              <w:right w:val="nil"/>
            </w:tcBorders>
          </w:tcPr>
          <w:p>
            <w:pPr>
              <w:pStyle w:val="TableParagraph"/>
              <w:spacing w:before="26"/>
              <w:ind w:left="279" w:right="181"/>
              <w:jc w:val="center"/>
              <w:rPr>
                <w:sz w:val="20"/>
              </w:rPr>
            </w:pPr>
            <w:r>
              <w:rPr>
                <w:sz w:val="20"/>
              </w:rPr>
              <w:t>2.5</w:t>
            </w:r>
          </w:p>
        </w:tc>
        <w:tc>
          <w:tcPr>
            <w:tcW w:w="716" w:type="dxa"/>
            <w:tcBorders>
              <w:top w:val="nil"/>
              <w:left w:val="nil"/>
              <w:bottom w:val="nil"/>
              <w:right w:val="nil"/>
            </w:tcBorders>
          </w:tcPr>
          <w:p>
            <w:pPr>
              <w:pStyle w:val="TableParagraph"/>
              <w:spacing w:before="26"/>
              <w:ind w:right="60"/>
              <w:rPr>
                <w:sz w:val="20"/>
              </w:rPr>
            </w:pPr>
            <w:r>
              <w:rPr>
                <w:sz w:val="20"/>
              </w:rPr>
              <w:t>2.6</w:t>
            </w:r>
          </w:p>
        </w:tc>
      </w:tr>
      <w:tr>
        <w:trPr>
          <w:trHeight w:val="302" w:hRule="exact"/>
        </w:trPr>
        <w:tc>
          <w:tcPr>
            <w:tcW w:w="1371" w:type="dxa"/>
            <w:tcBorders>
              <w:top w:val="nil"/>
              <w:left w:val="nil"/>
              <w:bottom w:val="nil"/>
              <w:right w:val="nil"/>
            </w:tcBorders>
          </w:tcPr>
          <w:p>
            <w:pPr>
              <w:pStyle w:val="TableParagraph"/>
              <w:spacing w:before="26"/>
              <w:ind w:right="68"/>
              <w:rPr>
                <w:sz w:val="20"/>
              </w:rPr>
            </w:pPr>
            <w:r>
              <w:rPr>
                <w:sz w:val="20"/>
              </w:rPr>
              <w:t>TMPSTDMN1</w:t>
            </w:r>
          </w:p>
        </w:tc>
        <w:tc>
          <w:tcPr>
            <w:tcW w:w="1316" w:type="dxa"/>
            <w:tcBorders>
              <w:top w:val="nil"/>
              <w:left w:val="nil"/>
              <w:bottom w:val="nil"/>
              <w:right w:val="nil"/>
            </w:tcBorders>
          </w:tcPr>
          <w:p>
            <w:pPr>
              <w:pStyle w:val="TableParagraph"/>
              <w:spacing w:before="26"/>
              <w:ind w:right="67"/>
              <w:rPr>
                <w:sz w:val="20"/>
              </w:rPr>
            </w:pPr>
            <w:r>
              <w:rPr>
                <w:sz w:val="20"/>
              </w:rPr>
              <w:t>2.8</w:t>
            </w:r>
          </w:p>
        </w:tc>
        <w:tc>
          <w:tcPr>
            <w:tcW w:w="1512" w:type="dxa"/>
            <w:tcBorders>
              <w:top w:val="nil"/>
              <w:left w:val="nil"/>
              <w:bottom w:val="nil"/>
              <w:right w:val="nil"/>
            </w:tcBorders>
          </w:tcPr>
          <w:p>
            <w:pPr>
              <w:pStyle w:val="TableParagraph"/>
              <w:spacing w:before="26"/>
              <w:ind w:right="91"/>
              <w:rPr>
                <w:sz w:val="20"/>
              </w:rPr>
            </w:pPr>
            <w:r>
              <w:rPr>
                <w:sz w:val="20"/>
              </w:rPr>
              <w:t>2.7</w:t>
            </w:r>
          </w:p>
        </w:tc>
        <w:tc>
          <w:tcPr>
            <w:tcW w:w="1150" w:type="dxa"/>
            <w:tcBorders>
              <w:top w:val="nil"/>
              <w:left w:val="nil"/>
              <w:bottom w:val="nil"/>
              <w:right w:val="nil"/>
            </w:tcBorders>
          </w:tcPr>
          <w:p>
            <w:pPr>
              <w:pStyle w:val="TableParagraph"/>
              <w:spacing w:before="26"/>
              <w:ind w:right="295"/>
              <w:rPr>
                <w:sz w:val="20"/>
              </w:rPr>
            </w:pPr>
            <w:r>
              <w:rPr>
                <w:sz w:val="20"/>
              </w:rPr>
              <w:t>2.5</w:t>
            </w:r>
          </w:p>
        </w:tc>
        <w:tc>
          <w:tcPr>
            <w:tcW w:w="948" w:type="dxa"/>
            <w:tcBorders>
              <w:top w:val="nil"/>
              <w:left w:val="nil"/>
              <w:bottom w:val="nil"/>
              <w:right w:val="nil"/>
            </w:tcBorders>
          </w:tcPr>
          <w:p>
            <w:pPr>
              <w:pStyle w:val="TableParagraph"/>
              <w:spacing w:before="26"/>
              <w:ind w:right="293"/>
              <w:rPr>
                <w:sz w:val="20"/>
              </w:rPr>
            </w:pPr>
            <w:r>
              <w:rPr>
                <w:sz w:val="20"/>
              </w:rPr>
              <w:t>2.3</w:t>
            </w:r>
          </w:p>
        </w:tc>
        <w:tc>
          <w:tcPr>
            <w:tcW w:w="895" w:type="dxa"/>
            <w:tcBorders>
              <w:top w:val="nil"/>
              <w:left w:val="nil"/>
              <w:bottom w:val="nil"/>
              <w:right w:val="nil"/>
            </w:tcBorders>
          </w:tcPr>
          <w:p>
            <w:pPr>
              <w:pStyle w:val="TableParagraph"/>
              <w:spacing w:before="26"/>
              <w:ind w:right="242"/>
              <w:rPr>
                <w:sz w:val="20"/>
              </w:rPr>
            </w:pPr>
            <w:r>
              <w:rPr>
                <w:sz w:val="20"/>
              </w:rPr>
              <w:t>2.1</w:t>
            </w:r>
          </w:p>
        </w:tc>
        <w:tc>
          <w:tcPr>
            <w:tcW w:w="946" w:type="dxa"/>
            <w:tcBorders>
              <w:top w:val="nil"/>
              <w:left w:val="nil"/>
              <w:bottom w:val="nil"/>
              <w:right w:val="nil"/>
            </w:tcBorders>
          </w:tcPr>
          <w:p>
            <w:pPr>
              <w:pStyle w:val="TableParagraph"/>
              <w:spacing w:before="26"/>
              <w:ind w:right="243"/>
              <w:rPr>
                <w:sz w:val="20"/>
              </w:rPr>
            </w:pPr>
            <w:r>
              <w:rPr>
                <w:sz w:val="20"/>
              </w:rPr>
              <w:t>2.1</w:t>
            </w:r>
          </w:p>
        </w:tc>
        <w:tc>
          <w:tcPr>
            <w:tcW w:w="946" w:type="dxa"/>
            <w:tcBorders>
              <w:top w:val="nil"/>
              <w:left w:val="nil"/>
              <w:bottom w:val="nil"/>
              <w:right w:val="nil"/>
            </w:tcBorders>
          </w:tcPr>
          <w:p>
            <w:pPr>
              <w:pStyle w:val="TableParagraph"/>
              <w:spacing w:before="26"/>
              <w:ind w:right="242"/>
              <w:rPr>
                <w:sz w:val="20"/>
              </w:rPr>
            </w:pPr>
            <w:r>
              <w:rPr>
                <w:sz w:val="20"/>
              </w:rPr>
              <w:t>1.7</w:t>
            </w:r>
          </w:p>
        </w:tc>
        <w:tc>
          <w:tcPr>
            <w:tcW w:w="949" w:type="dxa"/>
            <w:tcBorders>
              <w:top w:val="nil"/>
              <w:left w:val="nil"/>
              <w:bottom w:val="nil"/>
              <w:right w:val="nil"/>
            </w:tcBorders>
          </w:tcPr>
          <w:p>
            <w:pPr>
              <w:pStyle w:val="TableParagraph"/>
              <w:spacing w:before="26"/>
              <w:ind w:right="245"/>
              <w:rPr>
                <w:sz w:val="20"/>
              </w:rPr>
            </w:pPr>
            <w:r>
              <w:rPr>
                <w:sz w:val="20"/>
              </w:rPr>
              <w:t>1.8</w:t>
            </w:r>
          </w:p>
        </w:tc>
        <w:tc>
          <w:tcPr>
            <w:tcW w:w="999" w:type="dxa"/>
            <w:tcBorders>
              <w:top w:val="nil"/>
              <w:left w:val="nil"/>
              <w:bottom w:val="nil"/>
              <w:right w:val="nil"/>
            </w:tcBorders>
          </w:tcPr>
          <w:p>
            <w:pPr>
              <w:pStyle w:val="TableParagraph"/>
              <w:spacing w:before="26"/>
              <w:ind w:right="293"/>
              <w:rPr>
                <w:sz w:val="20"/>
              </w:rPr>
            </w:pPr>
            <w:r>
              <w:rPr>
                <w:sz w:val="20"/>
              </w:rPr>
              <w:t>2.4</w:t>
            </w:r>
          </w:p>
        </w:tc>
        <w:tc>
          <w:tcPr>
            <w:tcW w:w="946" w:type="dxa"/>
            <w:tcBorders>
              <w:top w:val="nil"/>
              <w:left w:val="nil"/>
              <w:bottom w:val="nil"/>
              <w:right w:val="nil"/>
            </w:tcBorders>
          </w:tcPr>
          <w:p>
            <w:pPr>
              <w:pStyle w:val="TableParagraph"/>
              <w:spacing w:before="26"/>
              <w:ind w:right="293"/>
              <w:rPr>
                <w:sz w:val="20"/>
              </w:rPr>
            </w:pPr>
            <w:r>
              <w:rPr>
                <w:sz w:val="20"/>
              </w:rPr>
              <w:t>3.3</w:t>
            </w:r>
          </w:p>
        </w:tc>
        <w:tc>
          <w:tcPr>
            <w:tcW w:w="948" w:type="dxa"/>
            <w:tcBorders>
              <w:top w:val="nil"/>
              <w:left w:val="nil"/>
              <w:bottom w:val="nil"/>
              <w:right w:val="nil"/>
            </w:tcBorders>
          </w:tcPr>
          <w:p>
            <w:pPr>
              <w:pStyle w:val="TableParagraph"/>
              <w:spacing w:before="26"/>
              <w:ind w:left="279" w:right="181"/>
              <w:jc w:val="center"/>
              <w:rPr>
                <w:sz w:val="20"/>
              </w:rPr>
            </w:pPr>
            <w:r>
              <w:rPr>
                <w:sz w:val="20"/>
              </w:rPr>
              <w:t>3.3</w:t>
            </w:r>
          </w:p>
        </w:tc>
        <w:tc>
          <w:tcPr>
            <w:tcW w:w="716" w:type="dxa"/>
            <w:tcBorders>
              <w:top w:val="nil"/>
              <w:left w:val="nil"/>
              <w:bottom w:val="nil"/>
              <w:right w:val="nil"/>
            </w:tcBorders>
          </w:tcPr>
          <w:p>
            <w:pPr>
              <w:pStyle w:val="TableParagraph"/>
              <w:spacing w:before="26"/>
              <w:ind w:right="60"/>
              <w:rPr>
                <w:sz w:val="20"/>
              </w:rPr>
            </w:pPr>
            <w:r>
              <w:rPr>
                <w:sz w:val="20"/>
              </w:rPr>
              <w:t>2.8</w:t>
            </w:r>
          </w:p>
        </w:tc>
      </w:tr>
      <w:tr>
        <w:trPr>
          <w:trHeight w:val="300" w:hRule="exact"/>
        </w:trPr>
        <w:tc>
          <w:tcPr>
            <w:tcW w:w="1371" w:type="dxa"/>
            <w:tcBorders>
              <w:top w:val="nil"/>
              <w:left w:val="nil"/>
              <w:bottom w:val="nil"/>
              <w:right w:val="nil"/>
            </w:tcBorders>
          </w:tcPr>
          <w:p>
            <w:pPr>
              <w:pStyle w:val="TableParagraph"/>
              <w:spacing w:before="26"/>
              <w:ind w:left="288"/>
              <w:jc w:val="left"/>
              <w:rPr>
                <w:sz w:val="20"/>
              </w:rPr>
            </w:pPr>
            <w:r>
              <w:rPr>
                <w:sz w:val="20"/>
              </w:rPr>
              <w:t>PCPMM1</w:t>
            </w:r>
          </w:p>
        </w:tc>
        <w:tc>
          <w:tcPr>
            <w:tcW w:w="1316" w:type="dxa"/>
            <w:tcBorders>
              <w:top w:val="nil"/>
              <w:left w:val="nil"/>
              <w:bottom w:val="nil"/>
              <w:right w:val="nil"/>
            </w:tcBorders>
          </w:tcPr>
          <w:p>
            <w:pPr>
              <w:pStyle w:val="TableParagraph"/>
              <w:spacing w:before="26"/>
              <w:ind w:right="67"/>
              <w:rPr>
                <w:sz w:val="20"/>
              </w:rPr>
            </w:pPr>
            <w:r>
              <w:rPr>
                <w:sz w:val="20"/>
              </w:rPr>
              <w:t>10.5</w:t>
            </w:r>
          </w:p>
        </w:tc>
        <w:tc>
          <w:tcPr>
            <w:tcW w:w="1512" w:type="dxa"/>
            <w:tcBorders>
              <w:top w:val="nil"/>
              <w:left w:val="nil"/>
              <w:bottom w:val="nil"/>
              <w:right w:val="nil"/>
            </w:tcBorders>
          </w:tcPr>
          <w:p>
            <w:pPr>
              <w:pStyle w:val="TableParagraph"/>
              <w:spacing w:before="26"/>
              <w:ind w:right="91"/>
              <w:rPr>
                <w:sz w:val="20"/>
              </w:rPr>
            </w:pPr>
            <w:r>
              <w:rPr>
                <w:sz w:val="20"/>
              </w:rPr>
              <w:t>8.4</w:t>
            </w:r>
          </w:p>
        </w:tc>
        <w:tc>
          <w:tcPr>
            <w:tcW w:w="1150" w:type="dxa"/>
            <w:tcBorders>
              <w:top w:val="nil"/>
              <w:left w:val="nil"/>
              <w:bottom w:val="nil"/>
              <w:right w:val="nil"/>
            </w:tcBorders>
          </w:tcPr>
          <w:p>
            <w:pPr>
              <w:pStyle w:val="TableParagraph"/>
              <w:spacing w:before="26"/>
              <w:ind w:right="295"/>
              <w:rPr>
                <w:sz w:val="20"/>
              </w:rPr>
            </w:pPr>
            <w:r>
              <w:rPr>
                <w:sz w:val="20"/>
              </w:rPr>
              <w:t>10.0</w:t>
            </w:r>
          </w:p>
        </w:tc>
        <w:tc>
          <w:tcPr>
            <w:tcW w:w="948" w:type="dxa"/>
            <w:tcBorders>
              <w:top w:val="nil"/>
              <w:left w:val="nil"/>
              <w:bottom w:val="nil"/>
              <w:right w:val="nil"/>
            </w:tcBorders>
          </w:tcPr>
          <w:p>
            <w:pPr>
              <w:pStyle w:val="TableParagraph"/>
              <w:spacing w:before="26"/>
              <w:ind w:right="293"/>
              <w:rPr>
                <w:sz w:val="20"/>
              </w:rPr>
            </w:pPr>
            <w:r>
              <w:rPr>
                <w:sz w:val="20"/>
              </w:rPr>
              <w:t>22.8</w:t>
            </w:r>
          </w:p>
        </w:tc>
        <w:tc>
          <w:tcPr>
            <w:tcW w:w="895" w:type="dxa"/>
            <w:tcBorders>
              <w:top w:val="nil"/>
              <w:left w:val="nil"/>
              <w:bottom w:val="nil"/>
              <w:right w:val="nil"/>
            </w:tcBorders>
          </w:tcPr>
          <w:p>
            <w:pPr>
              <w:pStyle w:val="TableParagraph"/>
              <w:spacing w:before="26"/>
              <w:ind w:right="242"/>
              <w:rPr>
                <w:sz w:val="20"/>
              </w:rPr>
            </w:pPr>
            <w:r>
              <w:rPr>
                <w:sz w:val="20"/>
              </w:rPr>
              <w:t>55.2</w:t>
            </w:r>
          </w:p>
        </w:tc>
        <w:tc>
          <w:tcPr>
            <w:tcW w:w="946" w:type="dxa"/>
            <w:tcBorders>
              <w:top w:val="nil"/>
              <w:left w:val="nil"/>
              <w:bottom w:val="nil"/>
              <w:right w:val="nil"/>
            </w:tcBorders>
          </w:tcPr>
          <w:p>
            <w:pPr>
              <w:pStyle w:val="TableParagraph"/>
              <w:spacing w:before="26"/>
              <w:ind w:right="243"/>
              <w:rPr>
                <w:sz w:val="20"/>
              </w:rPr>
            </w:pPr>
            <w:r>
              <w:rPr>
                <w:sz w:val="20"/>
              </w:rPr>
              <w:t>140.6</w:t>
            </w:r>
          </w:p>
        </w:tc>
        <w:tc>
          <w:tcPr>
            <w:tcW w:w="946" w:type="dxa"/>
            <w:tcBorders>
              <w:top w:val="nil"/>
              <w:left w:val="nil"/>
              <w:bottom w:val="nil"/>
              <w:right w:val="nil"/>
            </w:tcBorders>
          </w:tcPr>
          <w:p>
            <w:pPr>
              <w:pStyle w:val="TableParagraph"/>
              <w:spacing w:before="26"/>
              <w:ind w:right="242"/>
              <w:rPr>
                <w:sz w:val="20"/>
              </w:rPr>
            </w:pPr>
            <w:r>
              <w:rPr>
                <w:sz w:val="20"/>
              </w:rPr>
              <w:t>189.1</w:t>
            </w:r>
          </w:p>
        </w:tc>
        <w:tc>
          <w:tcPr>
            <w:tcW w:w="949" w:type="dxa"/>
            <w:tcBorders>
              <w:top w:val="nil"/>
              <w:left w:val="nil"/>
              <w:bottom w:val="nil"/>
              <w:right w:val="nil"/>
            </w:tcBorders>
          </w:tcPr>
          <w:p>
            <w:pPr>
              <w:pStyle w:val="TableParagraph"/>
              <w:spacing w:before="26"/>
              <w:ind w:right="245"/>
              <w:rPr>
                <w:sz w:val="20"/>
              </w:rPr>
            </w:pPr>
            <w:r>
              <w:rPr>
                <w:sz w:val="20"/>
              </w:rPr>
              <w:t>165.5</w:t>
            </w:r>
          </w:p>
        </w:tc>
        <w:tc>
          <w:tcPr>
            <w:tcW w:w="999" w:type="dxa"/>
            <w:tcBorders>
              <w:top w:val="nil"/>
              <w:left w:val="nil"/>
              <w:bottom w:val="nil"/>
              <w:right w:val="nil"/>
            </w:tcBorders>
          </w:tcPr>
          <w:p>
            <w:pPr>
              <w:pStyle w:val="TableParagraph"/>
              <w:spacing w:before="26"/>
              <w:ind w:right="293"/>
              <w:rPr>
                <w:sz w:val="20"/>
              </w:rPr>
            </w:pPr>
            <w:r>
              <w:rPr>
                <w:sz w:val="20"/>
              </w:rPr>
              <w:t>130.8</w:t>
            </w:r>
          </w:p>
        </w:tc>
        <w:tc>
          <w:tcPr>
            <w:tcW w:w="946" w:type="dxa"/>
            <w:tcBorders>
              <w:top w:val="nil"/>
              <w:left w:val="nil"/>
              <w:bottom w:val="nil"/>
              <w:right w:val="nil"/>
            </w:tcBorders>
          </w:tcPr>
          <w:p>
            <w:pPr>
              <w:pStyle w:val="TableParagraph"/>
              <w:spacing w:before="26"/>
              <w:ind w:right="293"/>
              <w:rPr>
                <w:sz w:val="20"/>
              </w:rPr>
            </w:pPr>
            <w:r>
              <w:rPr>
                <w:sz w:val="20"/>
              </w:rPr>
              <w:t>59.2</w:t>
            </w:r>
          </w:p>
        </w:tc>
        <w:tc>
          <w:tcPr>
            <w:tcW w:w="948" w:type="dxa"/>
            <w:tcBorders>
              <w:top w:val="nil"/>
              <w:left w:val="nil"/>
              <w:bottom w:val="nil"/>
              <w:right w:val="nil"/>
            </w:tcBorders>
          </w:tcPr>
          <w:p>
            <w:pPr>
              <w:pStyle w:val="TableParagraph"/>
              <w:spacing w:before="26"/>
              <w:ind w:left="279" w:right="279"/>
              <w:jc w:val="center"/>
              <w:rPr>
                <w:sz w:val="20"/>
              </w:rPr>
            </w:pPr>
            <w:r>
              <w:rPr>
                <w:sz w:val="20"/>
              </w:rPr>
              <w:t>16.8</w:t>
            </w:r>
          </w:p>
        </w:tc>
        <w:tc>
          <w:tcPr>
            <w:tcW w:w="716" w:type="dxa"/>
            <w:tcBorders>
              <w:top w:val="nil"/>
              <w:left w:val="nil"/>
              <w:bottom w:val="nil"/>
              <w:right w:val="nil"/>
            </w:tcBorders>
          </w:tcPr>
          <w:p>
            <w:pPr>
              <w:pStyle w:val="TableParagraph"/>
              <w:spacing w:before="26"/>
              <w:ind w:right="60"/>
              <w:rPr>
                <w:sz w:val="20"/>
              </w:rPr>
            </w:pPr>
            <w:r>
              <w:rPr>
                <w:sz w:val="20"/>
              </w:rPr>
              <w:t>9.4</w:t>
            </w:r>
          </w:p>
        </w:tc>
      </w:tr>
      <w:tr>
        <w:trPr>
          <w:trHeight w:val="300" w:hRule="exact"/>
        </w:trPr>
        <w:tc>
          <w:tcPr>
            <w:tcW w:w="1371" w:type="dxa"/>
            <w:tcBorders>
              <w:top w:val="nil"/>
              <w:left w:val="nil"/>
              <w:bottom w:val="nil"/>
              <w:right w:val="nil"/>
            </w:tcBorders>
          </w:tcPr>
          <w:p>
            <w:pPr>
              <w:pStyle w:val="TableParagraph"/>
              <w:ind w:left="273"/>
              <w:jc w:val="left"/>
              <w:rPr>
                <w:sz w:val="20"/>
              </w:rPr>
            </w:pPr>
            <w:r>
              <w:rPr>
                <w:sz w:val="20"/>
              </w:rPr>
              <w:t>PCPSTD1</w:t>
            </w:r>
          </w:p>
        </w:tc>
        <w:tc>
          <w:tcPr>
            <w:tcW w:w="1316" w:type="dxa"/>
            <w:tcBorders>
              <w:top w:val="nil"/>
              <w:left w:val="nil"/>
              <w:bottom w:val="nil"/>
              <w:right w:val="nil"/>
            </w:tcBorders>
          </w:tcPr>
          <w:p>
            <w:pPr>
              <w:pStyle w:val="TableParagraph"/>
              <w:ind w:right="67"/>
              <w:rPr>
                <w:sz w:val="20"/>
              </w:rPr>
            </w:pPr>
            <w:r>
              <w:rPr>
                <w:sz w:val="20"/>
              </w:rPr>
              <w:t>2.3</w:t>
            </w:r>
          </w:p>
        </w:tc>
        <w:tc>
          <w:tcPr>
            <w:tcW w:w="1512" w:type="dxa"/>
            <w:tcBorders>
              <w:top w:val="nil"/>
              <w:left w:val="nil"/>
              <w:bottom w:val="nil"/>
              <w:right w:val="nil"/>
            </w:tcBorders>
          </w:tcPr>
          <w:p>
            <w:pPr>
              <w:pStyle w:val="TableParagraph"/>
              <w:ind w:right="91"/>
              <w:rPr>
                <w:sz w:val="20"/>
              </w:rPr>
            </w:pPr>
            <w:r>
              <w:rPr>
                <w:sz w:val="20"/>
              </w:rPr>
              <w:t>1.7</w:t>
            </w:r>
          </w:p>
        </w:tc>
        <w:tc>
          <w:tcPr>
            <w:tcW w:w="1150" w:type="dxa"/>
            <w:tcBorders>
              <w:top w:val="nil"/>
              <w:left w:val="nil"/>
              <w:bottom w:val="nil"/>
              <w:right w:val="nil"/>
            </w:tcBorders>
          </w:tcPr>
          <w:p>
            <w:pPr>
              <w:pStyle w:val="TableParagraph"/>
              <w:ind w:right="295"/>
              <w:rPr>
                <w:sz w:val="20"/>
              </w:rPr>
            </w:pPr>
            <w:r>
              <w:rPr>
                <w:sz w:val="20"/>
              </w:rPr>
              <w:t>1.7</w:t>
            </w:r>
          </w:p>
        </w:tc>
        <w:tc>
          <w:tcPr>
            <w:tcW w:w="948" w:type="dxa"/>
            <w:tcBorders>
              <w:top w:val="nil"/>
              <w:left w:val="nil"/>
              <w:bottom w:val="nil"/>
              <w:right w:val="nil"/>
            </w:tcBorders>
          </w:tcPr>
          <w:p>
            <w:pPr>
              <w:pStyle w:val="TableParagraph"/>
              <w:ind w:right="293"/>
              <w:rPr>
                <w:sz w:val="20"/>
              </w:rPr>
            </w:pPr>
            <w:r>
              <w:rPr>
                <w:sz w:val="20"/>
              </w:rPr>
              <w:t>3.0</w:t>
            </w:r>
          </w:p>
        </w:tc>
        <w:tc>
          <w:tcPr>
            <w:tcW w:w="895" w:type="dxa"/>
            <w:tcBorders>
              <w:top w:val="nil"/>
              <w:left w:val="nil"/>
              <w:bottom w:val="nil"/>
              <w:right w:val="nil"/>
            </w:tcBorders>
          </w:tcPr>
          <w:p>
            <w:pPr>
              <w:pStyle w:val="TableParagraph"/>
              <w:ind w:right="242"/>
              <w:rPr>
                <w:sz w:val="20"/>
              </w:rPr>
            </w:pPr>
            <w:r>
              <w:rPr>
                <w:sz w:val="20"/>
              </w:rPr>
              <w:t>5.7</w:t>
            </w:r>
          </w:p>
        </w:tc>
        <w:tc>
          <w:tcPr>
            <w:tcW w:w="946" w:type="dxa"/>
            <w:tcBorders>
              <w:top w:val="nil"/>
              <w:left w:val="nil"/>
              <w:bottom w:val="nil"/>
              <w:right w:val="nil"/>
            </w:tcBorders>
          </w:tcPr>
          <w:p>
            <w:pPr>
              <w:pStyle w:val="TableParagraph"/>
              <w:ind w:right="243"/>
              <w:rPr>
                <w:sz w:val="20"/>
              </w:rPr>
            </w:pPr>
            <w:r>
              <w:rPr>
                <w:sz w:val="20"/>
              </w:rPr>
              <w:t>9.2</w:t>
            </w:r>
          </w:p>
        </w:tc>
        <w:tc>
          <w:tcPr>
            <w:tcW w:w="946" w:type="dxa"/>
            <w:tcBorders>
              <w:top w:val="nil"/>
              <w:left w:val="nil"/>
              <w:bottom w:val="nil"/>
              <w:right w:val="nil"/>
            </w:tcBorders>
          </w:tcPr>
          <w:p>
            <w:pPr>
              <w:pStyle w:val="TableParagraph"/>
              <w:ind w:right="242"/>
              <w:rPr>
                <w:sz w:val="20"/>
              </w:rPr>
            </w:pPr>
            <w:r>
              <w:rPr>
                <w:sz w:val="20"/>
              </w:rPr>
              <w:t>10.5</w:t>
            </w:r>
          </w:p>
        </w:tc>
        <w:tc>
          <w:tcPr>
            <w:tcW w:w="949" w:type="dxa"/>
            <w:tcBorders>
              <w:top w:val="nil"/>
              <w:left w:val="nil"/>
              <w:bottom w:val="nil"/>
              <w:right w:val="nil"/>
            </w:tcBorders>
          </w:tcPr>
          <w:p>
            <w:pPr>
              <w:pStyle w:val="TableParagraph"/>
              <w:ind w:right="245"/>
              <w:rPr>
                <w:sz w:val="20"/>
              </w:rPr>
            </w:pPr>
            <w:r>
              <w:rPr>
                <w:sz w:val="20"/>
              </w:rPr>
              <w:t>9.6</w:t>
            </w:r>
          </w:p>
        </w:tc>
        <w:tc>
          <w:tcPr>
            <w:tcW w:w="999" w:type="dxa"/>
            <w:tcBorders>
              <w:top w:val="nil"/>
              <w:left w:val="nil"/>
              <w:bottom w:val="nil"/>
              <w:right w:val="nil"/>
            </w:tcBorders>
          </w:tcPr>
          <w:p>
            <w:pPr>
              <w:pStyle w:val="TableParagraph"/>
              <w:ind w:right="293"/>
              <w:rPr>
                <w:sz w:val="20"/>
              </w:rPr>
            </w:pPr>
            <w:r>
              <w:rPr>
                <w:sz w:val="20"/>
              </w:rPr>
              <w:t>8.5</w:t>
            </w:r>
          </w:p>
        </w:tc>
        <w:tc>
          <w:tcPr>
            <w:tcW w:w="946" w:type="dxa"/>
            <w:tcBorders>
              <w:top w:val="nil"/>
              <w:left w:val="nil"/>
              <w:bottom w:val="nil"/>
              <w:right w:val="nil"/>
            </w:tcBorders>
          </w:tcPr>
          <w:p>
            <w:pPr>
              <w:pStyle w:val="TableParagraph"/>
              <w:ind w:right="293"/>
              <w:rPr>
                <w:sz w:val="20"/>
              </w:rPr>
            </w:pPr>
            <w:r>
              <w:rPr>
                <w:sz w:val="20"/>
              </w:rPr>
              <w:t>5.3</w:t>
            </w:r>
          </w:p>
        </w:tc>
        <w:tc>
          <w:tcPr>
            <w:tcW w:w="948" w:type="dxa"/>
            <w:tcBorders>
              <w:top w:val="nil"/>
              <w:left w:val="nil"/>
              <w:bottom w:val="nil"/>
              <w:right w:val="nil"/>
            </w:tcBorders>
          </w:tcPr>
          <w:p>
            <w:pPr>
              <w:pStyle w:val="TableParagraph"/>
              <w:ind w:left="279" w:right="181"/>
              <w:jc w:val="center"/>
              <w:rPr>
                <w:sz w:val="20"/>
              </w:rPr>
            </w:pPr>
            <w:r>
              <w:rPr>
                <w:sz w:val="20"/>
              </w:rPr>
              <w:t>2.8</w:t>
            </w:r>
          </w:p>
        </w:tc>
        <w:tc>
          <w:tcPr>
            <w:tcW w:w="716" w:type="dxa"/>
            <w:tcBorders>
              <w:top w:val="nil"/>
              <w:left w:val="nil"/>
              <w:bottom w:val="nil"/>
              <w:right w:val="nil"/>
            </w:tcBorders>
          </w:tcPr>
          <w:p>
            <w:pPr>
              <w:pStyle w:val="TableParagraph"/>
              <w:ind w:right="60"/>
              <w:rPr>
                <w:sz w:val="20"/>
              </w:rPr>
            </w:pPr>
            <w:r>
              <w:rPr>
                <w:sz w:val="20"/>
              </w:rPr>
              <w:t>1.4</w:t>
            </w:r>
          </w:p>
        </w:tc>
      </w:tr>
      <w:tr>
        <w:trPr>
          <w:trHeight w:val="303" w:hRule="exact"/>
        </w:trPr>
        <w:tc>
          <w:tcPr>
            <w:tcW w:w="1371" w:type="dxa"/>
            <w:tcBorders>
              <w:top w:val="nil"/>
              <w:left w:val="nil"/>
              <w:bottom w:val="nil"/>
              <w:right w:val="nil"/>
            </w:tcBorders>
          </w:tcPr>
          <w:p>
            <w:pPr>
              <w:pStyle w:val="TableParagraph"/>
              <w:spacing w:before="26"/>
              <w:ind w:left="240"/>
              <w:jc w:val="left"/>
              <w:rPr>
                <w:sz w:val="20"/>
              </w:rPr>
            </w:pPr>
            <w:r>
              <w:rPr>
                <w:sz w:val="20"/>
              </w:rPr>
              <w:t>PCPSKW1</w:t>
            </w:r>
          </w:p>
        </w:tc>
        <w:tc>
          <w:tcPr>
            <w:tcW w:w="1316" w:type="dxa"/>
            <w:tcBorders>
              <w:top w:val="nil"/>
              <w:left w:val="nil"/>
              <w:bottom w:val="nil"/>
              <w:right w:val="nil"/>
            </w:tcBorders>
          </w:tcPr>
          <w:p>
            <w:pPr>
              <w:pStyle w:val="TableParagraph"/>
              <w:spacing w:before="26"/>
              <w:ind w:right="67"/>
              <w:rPr>
                <w:sz w:val="20"/>
              </w:rPr>
            </w:pPr>
            <w:r>
              <w:rPr>
                <w:sz w:val="20"/>
              </w:rPr>
              <w:t>9.9</w:t>
            </w:r>
          </w:p>
        </w:tc>
        <w:tc>
          <w:tcPr>
            <w:tcW w:w="1512" w:type="dxa"/>
            <w:tcBorders>
              <w:top w:val="nil"/>
              <w:left w:val="nil"/>
              <w:bottom w:val="nil"/>
              <w:right w:val="nil"/>
            </w:tcBorders>
          </w:tcPr>
          <w:p>
            <w:pPr>
              <w:pStyle w:val="TableParagraph"/>
              <w:spacing w:before="26"/>
              <w:ind w:right="91"/>
              <w:rPr>
                <w:sz w:val="20"/>
              </w:rPr>
            </w:pPr>
            <w:r>
              <w:rPr>
                <w:sz w:val="20"/>
              </w:rPr>
              <w:t>10.3</w:t>
            </w:r>
          </w:p>
        </w:tc>
        <w:tc>
          <w:tcPr>
            <w:tcW w:w="1150" w:type="dxa"/>
            <w:tcBorders>
              <w:top w:val="nil"/>
              <w:left w:val="nil"/>
              <w:bottom w:val="nil"/>
              <w:right w:val="nil"/>
            </w:tcBorders>
          </w:tcPr>
          <w:p>
            <w:pPr>
              <w:pStyle w:val="TableParagraph"/>
              <w:spacing w:before="26"/>
              <w:ind w:right="295"/>
              <w:rPr>
                <w:sz w:val="20"/>
              </w:rPr>
            </w:pPr>
            <w:r>
              <w:rPr>
                <w:sz w:val="20"/>
              </w:rPr>
              <w:t>8.7</w:t>
            </w:r>
          </w:p>
        </w:tc>
        <w:tc>
          <w:tcPr>
            <w:tcW w:w="948" w:type="dxa"/>
            <w:tcBorders>
              <w:top w:val="nil"/>
              <w:left w:val="nil"/>
              <w:bottom w:val="nil"/>
              <w:right w:val="nil"/>
            </w:tcBorders>
          </w:tcPr>
          <w:p>
            <w:pPr>
              <w:pStyle w:val="TableParagraph"/>
              <w:spacing w:before="26"/>
              <w:ind w:right="293"/>
              <w:rPr>
                <w:sz w:val="20"/>
              </w:rPr>
            </w:pPr>
            <w:r>
              <w:rPr>
                <w:sz w:val="20"/>
              </w:rPr>
              <w:t>6.0</w:t>
            </w:r>
          </w:p>
        </w:tc>
        <w:tc>
          <w:tcPr>
            <w:tcW w:w="895" w:type="dxa"/>
            <w:tcBorders>
              <w:top w:val="nil"/>
              <w:left w:val="nil"/>
              <w:bottom w:val="nil"/>
              <w:right w:val="nil"/>
            </w:tcBorders>
          </w:tcPr>
          <w:p>
            <w:pPr>
              <w:pStyle w:val="TableParagraph"/>
              <w:spacing w:before="26"/>
              <w:ind w:right="242"/>
              <w:rPr>
                <w:sz w:val="20"/>
              </w:rPr>
            </w:pPr>
            <w:r>
              <w:rPr>
                <w:sz w:val="20"/>
              </w:rPr>
              <w:t>7.7</w:t>
            </w:r>
          </w:p>
        </w:tc>
        <w:tc>
          <w:tcPr>
            <w:tcW w:w="946" w:type="dxa"/>
            <w:tcBorders>
              <w:top w:val="nil"/>
              <w:left w:val="nil"/>
              <w:bottom w:val="nil"/>
              <w:right w:val="nil"/>
            </w:tcBorders>
          </w:tcPr>
          <w:p>
            <w:pPr>
              <w:pStyle w:val="TableParagraph"/>
              <w:spacing w:before="26"/>
              <w:ind w:right="243"/>
              <w:rPr>
                <w:sz w:val="20"/>
              </w:rPr>
            </w:pPr>
            <w:r>
              <w:rPr>
                <w:sz w:val="20"/>
              </w:rPr>
              <w:t>3.1</w:t>
            </w:r>
          </w:p>
        </w:tc>
        <w:tc>
          <w:tcPr>
            <w:tcW w:w="946" w:type="dxa"/>
            <w:tcBorders>
              <w:top w:val="nil"/>
              <w:left w:val="nil"/>
              <w:bottom w:val="nil"/>
              <w:right w:val="nil"/>
            </w:tcBorders>
          </w:tcPr>
          <w:p>
            <w:pPr>
              <w:pStyle w:val="TableParagraph"/>
              <w:spacing w:before="26"/>
              <w:ind w:right="242"/>
              <w:rPr>
                <w:sz w:val="20"/>
              </w:rPr>
            </w:pPr>
            <w:r>
              <w:rPr>
                <w:sz w:val="20"/>
              </w:rPr>
              <w:t>3.3</w:t>
            </w:r>
          </w:p>
        </w:tc>
        <w:tc>
          <w:tcPr>
            <w:tcW w:w="949" w:type="dxa"/>
            <w:tcBorders>
              <w:top w:val="nil"/>
              <w:left w:val="nil"/>
              <w:bottom w:val="nil"/>
              <w:right w:val="nil"/>
            </w:tcBorders>
          </w:tcPr>
          <w:p>
            <w:pPr>
              <w:pStyle w:val="TableParagraph"/>
              <w:spacing w:before="26"/>
              <w:ind w:right="245"/>
              <w:rPr>
                <w:sz w:val="20"/>
              </w:rPr>
            </w:pPr>
            <w:r>
              <w:rPr>
                <w:sz w:val="20"/>
              </w:rPr>
              <w:t>3.0</w:t>
            </w:r>
          </w:p>
        </w:tc>
        <w:tc>
          <w:tcPr>
            <w:tcW w:w="999" w:type="dxa"/>
            <w:tcBorders>
              <w:top w:val="nil"/>
              <w:left w:val="nil"/>
              <w:bottom w:val="nil"/>
              <w:right w:val="nil"/>
            </w:tcBorders>
          </w:tcPr>
          <w:p>
            <w:pPr>
              <w:pStyle w:val="TableParagraph"/>
              <w:spacing w:before="26"/>
              <w:ind w:right="293"/>
              <w:rPr>
                <w:sz w:val="20"/>
              </w:rPr>
            </w:pPr>
            <w:r>
              <w:rPr>
                <w:sz w:val="20"/>
              </w:rPr>
              <w:t>2.9</w:t>
            </w:r>
          </w:p>
        </w:tc>
        <w:tc>
          <w:tcPr>
            <w:tcW w:w="946" w:type="dxa"/>
            <w:tcBorders>
              <w:top w:val="nil"/>
              <w:left w:val="nil"/>
              <w:bottom w:val="nil"/>
              <w:right w:val="nil"/>
            </w:tcBorders>
          </w:tcPr>
          <w:p>
            <w:pPr>
              <w:pStyle w:val="TableParagraph"/>
              <w:spacing w:before="26"/>
              <w:ind w:right="293"/>
              <w:rPr>
                <w:sz w:val="20"/>
              </w:rPr>
            </w:pPr>
            <w:r>
              <w:rPr>
                <w:sz w:val="20"/>
              </w:rPr>
              <w:t>3.8</w:t>
            </w:r>
          </w:p>
        </w:tc>
        <w:tc>
          <w:tcPr>
            <w:tcW w:w="948" w:type="dxa"/>
            <w:tcBorders>
              <w:top w:val="nil"/>
              <w:left w:val="nil"/>
              <w:bottom w:val="nil"/>
              <w:right w:val="nil"/>
            </w:tcBorders>
          </w:tcPr>
          <w:p>
            <w:pPr>
              <w:pStyle w:val="TableParagraph"/>
              <w:spacing w:before="26"/>
              <w:ind w:left="279" w:right="181"/>
              <w:jc w:val="center"/>
              <w:rPr>
                <w:sz w:val="20"/>
              </w:rPr>
            </w:pPr>
            <w:r>
              <w:rPr>
                <w:sz w:val="20"/>
              </w:rPr>
              <w:t>8.3</w:t>
            </w:r>
          </w:p>
        </w:tc>
        <w:tc>
          <w:tcPr>
            <w:tcW w:w="716" w:type="dxa"/>
            <w:tcBorders>
              <w:top w:val="nil"/>
              <w:left w:val="nil"/>
              <w:bottom w:val="nil"/>
              <w:right w:val="nil"/>
            </w:tcBorders>
          </w:tcPr>
          <w:p>
            <w:pPr>
              <w:pStyle w:val="TableParagraph"/>
              <w:spacing w:before="26"/>
              <w:ind w:right="60"/>
              <w:rPr>
                <w:sz w:val="20"/>
              </w:rPr>
            </w:pPr>
            <w:r>
              <w:rPr>
                <w:sz w:val="20"/>
              </w:rPr>
              <w:t>7.0</w:t>
            </w:r>
          </w:p>
        </w:tc>
      </w:tr>
      <w:tr>
        <w:trPr>
          <w:trHeight w:val="300" w:hRule="exact"/>
        </w:trPr>
        <w:tc>
          <w:tcPr>
            <w:tcW w:w="1371" w:type="dxa"/>
            <w:tcBorders>
              <w:top w:val="nil"/>
              <w:left w:val="nil"/>
              <w:bottom w:val="nil"/>
              <w:right w:val="nil"/>
            </w:tcBorders>
          </w:tcPr>
          <w:p>
            <w:pPr>
              <w:pStyle w:val="TableParagraph"/>
              <w:spacing w:before="26"/>
              <w:ind w:left="273"/>
              <w:jc w:val="left"/>
              <w:rPr>
                <w:sz w:val="20"/>
              </w:rPr>
            </w:pPr>
            <w:r>
              <w:rPr>
                <w:sz w:val="20"/>
              </w:rPr>
              <w:t>PR_W1_1</w:t>
            </w:r>
          </w:p>
        </w:tc>
        <w:tc>
          <w:tcPr>
            <w:tcW w:w="1316" w:type="dxa"/>
            <w:tcBorders>
              <w:top w:val="nil"/>
              <w:left w:val="nil"/>
              <w:bottom w:val="nil"/>
              <w:right w:val="nil"/>
            </w:tcBorders>
          </w:tcPr>
          <w:p>
            <w:pPr>
              <w:pStyle w:val="TableParagraph"/>
              <w:spacing w:before="26"/>
              <w:ind w:right="67"/>
              <w:rPr>
                <w:sz w:val="20"/>
              </w:rPr>
            </w:pPr>
            <w:r>
              <w:rPr>
                <w:sz w:val="20"/>
              </w:rPr>
              <w:t>0.0</w:t>
            </w:r>
          </w:p>
        </w:tc>
        <w:tc>
          <w:tcPr>
            <w:tcW w:w="1512" w:type="dxa"/>
            <w:tcBorders>
              <w:top w:val="nil"/>
              <w:left w:val="nil"/>
              <w:bottom w:val="nil"/>
              <w:right w:val="nil"/>
            </w:tcBorders>
          </w:tcPr>
          <w:p>
            <w:pPr>
              <w:pStyle w:val="TableParagraph"/>
              <w:spacing w:before="26"/>
              <w:ind w:right="91"/>
              <w:rPr>
                <w:sz w:val="20"/>
              </w:rPr>
            </w:pPr>
            <w:r>
              <w:rPr>
                <w:sz w:val="20"/>
              </w:rPr>
              <w:t>0.1</w:t>
            </w:r>
          </w:p>
        </w:tc>
        <w:tc>
          <w:tcPr>
            <w:tcW w:w="1150" w:type="dxa"/>
            <w:tcBorders>
              <w:top w:val="nil"/>
              <w:left w:val="nil"/>
              <w:bottom w:val="nil"/>
              <w:right w:val="nil"/>
            </w:tcBorders>
          </w:tcPr>
          <w:p>
            <w:pPr>
              <w:pStyle w:val="TableParagraph"/>
              <w:spacing w:before="26"/>
              <w:ind w:right="295"/>
              <w:rPr>
                <w:sz w:val="20"/>
              </w:rPr>
            </w:pPr>
            <w:r>
              <w:rPr>
                <w:sz w:val="20"/>
              </w:rPr>
              <w:t>0.1</w:t>
            </w:r>
          </w:p>
        </w:tc>
        <w:tc>
          <w:tcPr>
            <w:tcW w:w="948" w:type="dxa"/>
            <w:tcBorders>
              <w:top w:val="nil"/>
              <w:left w:val="nil"/>
              <w:bottom w:val="nil"/>
              <w:right w:val="nil"/>
            </w:tcBorders>
          </w:tcPr>
          <w:p>
            <w:pPr>
              <w:pStyle w:val="TableParagraph"/>
              <w:spacing w:before="26"/>
              <w:ind w:right="293"/>
              <w:rPr>
                <w:sz w:val="20"/>
              </w:rPr>
            </w:pPr>
            <w:r>
              <w:rPr>
                <w:sz w:val="20"/>
              </w:rPr>
              <w:t>0.1</w:t>
            </w:r>
          </w:p>
        </w:tc>
        <w:tc>
          <w:tcPr>
            <w:tcW w:w="895" w:type="dxa"/>
            <w:tcBorders>
              <w:top w:val="nil"/>
              <w:left w:val="nil"/>
              <w:bottom w:val="nil"/>
              <w:right w:val="nil"/>
            </w:tcBorders>
          </w:tcPr>
          <w:p>
            <w:pPr>
              <w:pStyle w:val="TableParagraph"/>
              <w:spacing w:before="26"/>
              <w:ind w:right="242"/>
              <w:rPr>
                <w:sz w:val="20"/>
              </w:rPr>
            </w:pPr>
            <w:r>
              <w:rPr>
                <w:sz w:val="20"/>
              </w:rPr>
              <w:t>0.2</w:t>
            </w:r>
          </w:p>
        </w:tc>
        <w:tc>
          <w:tcPr>
            <w:tcW w:w="946" w:type="dxa"/>
            <w:tcBorders>
              <w:top w:val="nil"/>
              <w:left w:val="nil"/>
              <w:bottom w:val="nil"/>
              <w:right w:val="nil"/>
            </w:tcBorders>
          </w:tcPr>
          <w:p>
            <w:pPr>
              <w:pStyle w:val="TableParagraph"/>
              <w:spacing w:before="26"/>
              <w:ind w:right="243"/>
              <w:rPr>
                <w:sz w:val="20"/>
              </w:rPr>
            </w:pPr>
            <w:r>
              <w:rPr>
                <w:sz w:val="20"/>
              </w:rPr>
              <w:t>0.3</w:t>
            </w:r>
          </w:p>
        </w:tc>
        <w:tc>
          <w:tcPr>
            <w:tcW w:w="946" w:type="dxa"/>
            <w:tcBorders>
              <w:top w:val="nil"/>
              <w:left w:val="nil"/>
              <w:bottom w:val="nil"/>
              <w:right w:val="nil"/>
            </w:tcBorders>
          </w:tcPr>
          <w:p>
            <w:pPr>
              <w:pStyle w:val="TableParagraph"/>
              <w:spacing w:before="26"/>
              <w:ind w:right="242"/>
              <w:rPr>
                <w:sz w:val="20"/>
              </w:rPr>
            </w:pPr>
            <w:r>
              <w:rPr>
                <w:sz w:val="20"/>
              </w:rPr>
              <w:t>0.4</w:t>
            </w:r>
          </w:p>
        </w:tc>
        <w:tc>
          <w:tcPr>
            <w:tcW w:w="949" w:type="dxa"/>
            <w:tcBorders>
              <w:top w:val="nil"/>
              <w:left w:val="nil"/>
              <w:bottom w:val="nil"/>
              <w:right w:val="nil"/>
            </w:tcBorders>
          </w:tcPr>
          <w:p>
            <w:pPr>
              <w:pStyle w:val="TableParagraph"/>
              <w:spacing w:before="26"/>
              <w:ind w:right="245"/>
              <w:rPr>
                <w:sz w:val="20"/>
              </w:rPr>
            </w:pPr>
            <w:r>
              <w:rPr>
                <w:sz w:val="20"/>
              </w:rPr>
              <w:t>0.4</w:t>
            </w:r>
          </w:p>
        </w:tc>
        <w:tc>
          <w:tcPr>
            <w:tcW w:w="999" w:type="dxa"/>
            <w:tcBorders>
              <w:top w:val="nil"/>
              <w:left w:val="nil"/>
              <w:bottom w:val="nil"/>
              <w:right w:val="nil"/>
            </w:tcBorders>
          </w:tcPr>
          <w:p>
            <w:pPr>
              <w:pStyle w:val="TableParagraph"/>
              <w:spacing w:before="26"/>
              <w:ind w:right="293"/>
              <w:rPr>
                <w:sz w:val="20"/>
              </w:rPr>
            </w:pPr>
            <w:r>
              <w:rPr>
                <w:sz w:val="20"/>
              </w:rPr>
              <w:t>0.3</w:t>
            </w:r>
          </w:p>
        </w:tc>
        <w:tc>
          <w:tcPr>
            <w:tcW w:w="946" w:type="dxa"/>
            <w:tcBorders>
              <w:top w:val="nil"/>
              <w:left w:val="nil"/>
              <w:bottom w:val="nil"/>
              <w:right w:val="nil"/>
            </w:tcBorders>
          </w:tcPr>
          <w:p>
            <w:pPr>
              <w:pStyle w:val="TableParagraph"/>
              <w:spacing w:before="26"/>
              <w:ind w:right="293"/>
              <w:rPr>
                <w:sz w:val="20"/>
              </w:rPr>
            </w:pPr>
            <w:r>
              <w:rPr>
                <w:sz w:val="20"/>
              </w:rPr>
              <w:t>0.1</w:t>
            </w:r>
          </w:p>
        </w:tc>
        <w:tc>
          <w:tcPr>
            <w:tcW w:w="948" w:type="dxa"/>
            <w:tcBorders>
              <w:top w:val="nil"/>
              <w:left w:val="nil"/>
              <w:bottom w:val="nil"/>
              <w:right w:val="nil"/>
            </w:tcBorders>
          </w:tcPr>
          <w:p>
            <w:pPr>
              <w:pStyle w:val="TableParagraph"/>
              <w:spacing w:before="26"/>
              <w:ind w:left="279" w:right="181"/>
              <w:jc w:val="center"/>
              <w:rPr>
                <w:sz w:val="20"/>
              </w:rPr>
            </w:pPr>
            <w:r>
              <w:rPr>
                <w:sz w:val="20"/>
              </w:rPr>
              <w:t>0.1</w:t>
            </w:r>
          </w:p>
        </w:tc>
        <w:tc>
          <w:tcPr>
            <w:tcW w:w="716" w:type="dxa"/>
            <w:tcBorders>
              <w:top w:val="nil"/>
              <w:left w:val="nil"/>
              <w:bottom w:val="nil"/>
              <w:right w:val="nil"/>
            </w:tcBorders>
          </w:tcPr>
          <w:p>
            <w:pPr>
              <w:pStyle w:val="TableParagraph"/>
              <w:spacing w:before="26"/>
              <w:ind w:right="60"/>
              <w:rPr>
                <w:sz w:val="20"/>
              </w:rPr>
            </w:pPr>
            <w:r>
              <w:rPr>
                <w:sz w:val="20"/>
              </w:rPr>
              <w:t>0.0</w:t>
            </w:r>
          </w:p>
        </w:tc>
      </w:tr>
      <w:tr>
        <w:trPr>
          <w:trHeight w:val="300" w:hRule="exact"/>
        </w:trPr>
        <w:tc>
          <w:tcPr>
            <w:tcW w:w="1371" w:type="dxa"/>
            <w:tcBorders>
              <w:top w:val="nil"/>
              <w:left w:val="nil"/>
              <w:bottom w:val="nil"/>
              <w:right w:val="nil"/>
            </w:tcBorders>
          </w:tcPr>
          <w:p>
            <w:pPr>
              <w:pStyle w:val="TableParagraph"/>
              <w:ind w:left="273"/>
              <w:jc w:val="left"/>
              <w:rPr>
                <w:sz w:val="20"/>
              </w:rPr>
            </w:pPr>
            <w:r>
              <w:rPr>
                <w:sz w:val="20"/>
              </w:rPr>
              <w:t>PR_W2_1</w:t>
            </w:r>
          </w:p>
        </w:tc>
        <w:tc>
          <w:tcPr>
            <w:tcW w:w="1316" w:type="dxa"/>
            <w:tcBorders>
              <w:top w:val="nil"/>
              <w:left w:val="nil"/>
              <w:bottom w:val="nil"/>
              <w:right w:val="nil"/>
            </w:tcBorders>
          </w:tcPr>
          <w:p>
            <w:pPr>
              <w:pStyle w:val="TableParagraph"/>
              <w:ind w:right="67"/>
              <w:rPr>
                <w:sz w:val="20"/>
              </w:rPr>
            </w:pPr>
            <w:r>
              <w:rPr>
                <w:sz w:val="20"/>
              </w:rPr>
              <w:t>0.4</w:t>
            </w:r>
          </w:p>
        </w:tc>
        <w:tc>
          <w:tcPr>
            <w:tcW w:w="1512" w:type="dxa"/>
            <w:tcBorders>
              <w:top w:val="nil"/>
              <w:left w:val="nil"/>
              <w:bottom w:val="nil"/>
              <w:right w:val="nil"/>
            </w:tcBorders>
          </w:tcPr>
          <w:p>
            <w:pPr>
              <w:pStyle w:val="TableParagraph"/>
              <w:ind w:right="91"/>
              <w:rPr>
                <w:sz w:val="20"/>
              </w:rPr>
            </w:pPr>
            <w:r>
              <w:rPr>
                <w:sz w:val="20"/>
              </w:rPr>
              <w:t>0.3</w:t>
            </w:r>
          </w:p>
        </w:tc>
        <w:tc>
          <w:tcPr>
            <w:tcW w:w="1150" w:type="dxa"/>
            <w:tcBorders>
              <w:top w:val="nil"/>
              <w:left w:val="nil"/>
              <w:bottom w:val="nil"/>
              <w:right w:val="nil"/>
            </w:tcBorders>
          </w:tcPr>
          <w:p>
            <w:pPr>
              <w:pStyle w:val="TableParagraph"/>
              <w:ind w:right="295"/>
              <w:rPr>
                <w:sz w:val="20"/>
              </w:rPr>
            </w:pPr>
            <w:r>
              <w:rPr>
                <w:sz w:val="20"/>
              </w:rPr>
              <w:t>0.3</w:t>
            </w:r>
          </w:p>
        </w:tc>
        <w:tc>
          <w:tcPr>
            <w:tcW w:w="948" w:type="dxa"/>
            <w:tcBorders>
              <w:top w:val="nil"/>
              <w:left w:val="nil"/>
              <w:bottom w:val="nil"/>
              <w:right w:val="nil"/>
            </w:tcBorders>
          </w:tcPr>
          <w:p>
            <w:pPr>
              <w:pStyle w:val="TableParagraph"/>
              <w:ind w:right="293"/>
              <w:rPr>
                <w:sz w:val="20"/>
              </w:rPr>
            </w:pPr>
            <w:r>
              <w:rPr>
                <w:sz w:val="20"/>
              </w:rPr>
              <w:t>0.4</w:t>
            </w:r>
          </w:p>
        </w:tc>
        <w:tc>
          <w:tcPr>
            <w:tcW w:w="895" w:type="dxa"/>
            <w:tcBorders>
              <w:top w:val="nil"/>
              <w:left w:val="nil"/>
              <w:bottom w:val="nil"/>
              <w:right w:val="nil"/>
            </w:tcBorders>
          </w:tcPr>
          <w:p>
            <w:pPr>
              <w:pStyle w:val="TableParagraph"/>
              <w:ind w:right="242"/>
              <w:rPr>
                <w:sz w:val="20"/>
              </w:rPr>
            </w:pPr>
            <w:r>
              <w:rPr>
                <w:sz w:val="20"/>
              </w:rPr>
              <w:t>0.5</w:t>
            </w:r>
          </w:p>
        </w:tc>
        <w:tc>
          <w:tcPr>
            <w:tcW w:w="946" w:type="dxa"/>
            <w:tcBorders>
              <w:top w:val="nil"/>
              <w:left w:val="nil"/>
              <w:bottom w:val="nil"/>
              <w:right w:val="nil"/>
            </w:tcBorders>
          </w:tcPr>
          <w:p>
            <w:pPr>
              <w:pStyle w:val="TableParagraph"/>
              <w:ind w:right="243"/>
              <w:rPr>
                <w:sz w:val="20"/>
              </w:rPr>
            </w:pPr>
            <w:r>
              <w:rPr>
                <w:sz w:val="20"/>
              </w:rPr>
              <w:t>0.7</w:t>
            </w:r>
          </w:p>
        </w:tc>
        <w:tc>
          <w:tcPr>
            <w:tcW w:w="946" w:type="dxa"/>
            <w:tcBorders>
              <w:top w:val="nil"/>
              <w:left w:val="nil"/>
              <w:bottom w:val="nil"/>
              <w:right w:val="nil"/>
            </w:tcBorders>
          </w:tcPr>
          <w:p>
            <w:pPr>
              <w:pStyle w:val="TableParagraph"/>
              <w:ind w:right="242"/>
              <w:rPr>
                <w:sz w:val="20"/>
              </w:rPr>
            </w:pPr>
            <w:r>
              <w:rPr>
                <w:sz w:val="20"/>
              </w:rPr>
              <w:t>0.8</w:t>
            </w:r>
          </w:p>
        </w:tc>
        <w:tc>
          <w:tcPr>
            <w:tcW w:w="949" w:type="dxa"/>
            <w:tcBorders>
              <w:top w:val="nil"/>
              <w:left w:val="nil"/>
              <w:bottom w:val="nil"/>
              <w:right w:val="nil"/>
            </w:tcBorders>
          </w:tcPr>
          <w:p>
            <w:pPr>
              <w:pStyle w:val="TableParagraph"/>
              <w:ind w:right="245"/>
              <w:rPr>
                <w:sz w:val="20"/>
              </w:rPr>
            </w:pPr>
            <w:r>
              <w:rPr>
                <w:sz w:val="20"/>
              </w:rPr>
              <w:t>0.7</w:t>
            </w:r>
          </w:p>
        </w:tc>
        <w:tc>
          <w:tcPr>
            <w:tcW w:w="999" w:type="dxa"/>
            <w:tcBorders>
              <w:top w:val="nil"/>
              <w:left w:val="nil"/>
              <w:bottom w:val="nil"/>
              <w:right w:val="nil"/>
            </w:tcBorders>
          </w:tcPr>
          <w:p>
            <w:pPr>
              <w:pStyle w:val="TableParagraph"/>
              <w:ind w:right="293"/>
              <w:rPr>
                <w:sz w:val="20"/>
              </w:rPr>
            </w:pPr>
            <w:r>
              <w:rPr>
                <w:sz w:val="20"/>
              </w:rPr>
              <w:t>0.6</w:t>
            </w:r>
          </w:p>
        </w:tc>
        <w:tc>
          <w:tcPr>
            <w:tcW w:w="946" w:type="dxa"/>
            <w:tcBorders>
              <w:top w:val="nil"/>
              <w:left w:val="nil"/>
              <w:bottom w:val="nil"/>
              <w:right w:val="nil"/>
            </w:tcBorders>
          </w:tcPr>
          <w:p>
            <w:pPr>
              <w:pStyle w:val="TableParagraph"/>
              <w:ind w:right="293"/>
              <w:rPr>
                <w:sz w:val="20"/>
              </w:rPr>
            </w:pPr>
            <w:r>
              <w:rPr>
                <w:sz w:val="20"/>
              </w:rPr>
              <w:t>0.5</w:t>
            </w:r>
          </w:p>
        </w:tc>
        <w:tc>
          <w:tcPr>
            <w:tcW w:w="948" w:type="dxa"/>
            <w:tcBorders>
              <w:top w:val="nil"/>
              <w:left w:val="nil"/>
              <w:bottom w:val="nil"/>
              <w:right w:val="nil"/>
            </w:tcBorders>
          </w:tcPr>
          <w:p>
            <w:pPr>
              <w:pStyle w:val="TableParagraph"/>
              <w:ind w:left="279" w:right="181"/>
              <w:jc w:val="center"/>
              <w:rPr>
                <w:sz w:val="20"/>
              </w:rPr>
            </w:pPr>
            <w:r>
              <w:rPr>
                <w:sz w:val="20"/>
              </w:rPr>
              <w:t>0.4</w:t>
            </w:r>
          </w:p>
        </w:tc>
        <w:tc>
          <w:tcPr>
            <w:tcW w:w="716" w:type="dxa"/>
            <w:tcBorders>
              <w:top w:val="nil"/>
              <w:left w:val="nil"/>
              <w:bottom w:val="nil"/>
              <w:right w:val="nil"/>
            </w:tcBorders>
          </w:tcPr>
          <w:p>
            <w:pPr>
              <w:pStyle w:val="TableParagraph"/>
              <w:ind w:right="60"/>
              <w:rPr>
                <w:sz w:val="20"/>
              </w:rPr>
            </w:pPr>
            <w:r>
              <w:rPr>
                <w:sz w:val="20"/>
              </w:rPr>
              <w:t>0.4</w:t>
            </w:r>
          </w:p>
        </w:tc>
      </w:tr>
      <w:tr>
        <w:trPr>
          <w:trHeight w:val="302" w:hRule="exact"/>
        </w:trPr>
        <w:tc>
          <w:tcPr>
            <w:tcW w:w="1371" w:type="dxa"/>
            <w:tcBorders>
              <w:top w:val="nil"/>
              <w:left w:val="nil"/>
              <w:bottom w:val="nil"/>
              <w:right w:val="nil"/>
            </w:tcBorders>
          </w:tcPr>
          <w:p>
            <w:pPr>
              <w:pStyle w:val="TableParagraph"/>
              <w:spacing w:before="26"/>
              <w:ind w:left="393"/>
              <w:jc w:val="left"/>
              <w:rPr>
                <w:sz w:val="20"/>
              </w:rPr>
            </w:pPr>
            <w:r>
              <w:rPr>
                <w:sz w:val="20"/>
              </w:rPr>
              <w:t>PCPD1</w:t>
            </w:r>
          </w:p>
        </w:tc>
        <w:tc>
          <w:tcPr>
            <w:tcW w:w="1316" w:type="dxa"/>
            <w:tcBorders>
              <w:top w:val="nil"/>
              <w:left w:val="nil"/>
              <w:bottom w:val="nil"/>
              <w:right w:val="nil"/>
            </w:tcBorders>
          </w:tcPr>
          <w:p>
            <w:pPr>
              <w:pStyle w:val="TableParagraph"/>
              <w:spacing w:before="26"/>
              <w:ind w:right="67"/>
              <w:rPr>
                <w:sz w:val="20"/>
              </w:rPr>
            </w:pPr>
            <w:r>
              <w:rPr>
                <w:sz w:val="20"/>
              </w:rPr>
              <w:t>1.8</w:t>
            </w:r>
          </w:p>
        </w:tc>
        <w:tc>
          <w:tcPr>
            <w:tcW w:w="1512" w:type="dxa"/>
            <w:tcBorders>
              <w:top w:val="nil"/>
              <w:left w:val="nil"/>
              <w:bottom w:val="nil"/>
              <w:right w:val="nil"/>
            </w:tcBorders>
          </w:tcPr>
          <w:p>
            <w:pPr>
              <w:pStyle w:val="TableParagraph"/>
              <w:spacing w:before="26"/>
              <w:ind w:right="91"/>
              <w:rPr>
                <w:sz w:val="20"/>
              </w:rPr>
            </w:pPr>
            <w:r>
              <w:rPr>
                <w:sz w:val="20"/>
              </w:rPr>
              <w:t>2.3</w:t>
            </w:r>
          </w:p>
        </w:tc>
        <w:tc>
          <w:tcPr>
            <w:tcW w:w="1150" w:type="dxa"/>
            <w:tcBorders>
              <w:top w:val="nil"/>
              <w:left w:val="nil"/>
              <w:bottom w:val="nil"/>
              <w:right w:val="nil"/>
            </w:tcBorders>
          </w:tcPr>
          <w:p>
            <w:pPr>
              <w:pStyle w:val="TableParagraph"/>
              <w:spacing w:before="26"/>
              <w:ind w:right="295"/>
              <w:rPr>
                <w:sz w:val="20"/>
              </w:rPr>
            </w:pPr>
            <w:r>
              <w:rPr>
                <w:sz w:val="20"/>
              </w:rPr>
              <w:t>2.6</w:t>
            </w:r>
          </w:p>
        </w:tc>
        <w:tc>
          <w:tcPr>
            <w:tcW w:w="948" w:type="dxa"/>
            <w:tcBorders>
              <w:top w:val="nil"/>
              <w:left w:val="nil"/>
              <w:bottom w:val="nil"/>
              <w:right w:val="nil"/>
            </w:tcBorders>
          </w:tcPr>
          <w:p>
            <w:pPr>
              <w:pStyle w:val="TableParagraph"/>
              <w:spacing w:before="26"/>
              <w:ind w:right="293"/>
              <w:rPr>
                <w:sz w:val="20"/>
              </w:rPr>
            </w:pPr>
            <w:r>
              <w:rPr>
                <w:sz w:val="20"/>
              </w:rPr>
              <w:t>4.6</w:t>
            </w:r>
          </w:p>
        </w:tc>
        <w:tc>
          <w:tcPr>
            <w:tcW w:w="895" w:type="dxa"/>
            <w:tcBorders>
              <w:top w:val="nil"/>
              <w:left w:val="nil"/>
              <w:bottom w:val="nil"/>
              <w:right w:val="nil"/>
            </w:tcBorders>
          </w:tcPr>
          <w:p>
            <w:pPr>
              <w:pStyle w:val="TableParagraph"/>
              <w:spacing w:before="26"/>
              <w:ind w:right="242"/>
              <w:rPr>
                <w:sz w:val="20"/>
              </w:rPr>
            </w:pPr>
            <w:r>
              <w:rPr>
                <w:sz w:val="20"/>
              </w:rPr>
              <w:t>9.5</w:t>
            </w:r>
          </w:p>
        </w:tc>
        <w:tc>
          <w:tcPr>
            <w:tcW w:w="946" w:type="dxa"/>
            <w:tcBorders>
              <w:top w:val="nil"/>
              <w:left w:val="nil"/>
              <w:bottom w:val="nil"/>
              <w:right w:val="nil"/>
            </w:tcBorders>
          </w:tcPr>
          <w:p>
            <w:pPr>
              <w:pStyle w:val="TableParagraph"/>
              <w:spacing w:before="26"/>
              <w:ind w:right="243"/>
              <w:rPr>
                <w:sz w:val="20"/>
              </w:rPr>
            </w:pPr>
            <w:r>
              <w:rPr>
                <w:sz w:val="20"/>
              </w:rPr>
              <w:t>14.6</w:t>
            </w:r>
          </w:p>
        </w:tc>
        <w:tc>
          <w:tcPr>
            <w:tcW w:w="946" w:type="dxa"/>
            <w:tcBorders>
              <w:top w:val="nil"/>
              <w:left w:val="nil"/>
              <w:bottom w:val="nil"/>
              <w:right w:val="nil"/>
            </w:tcBorders>
          </w:tcPr>
          <w:p>
            <w:pPr>
              <w:pStyle w:val="TableParagraph"/>
              <w:spacing w:before="26"/>
              <w:ind w:right="242"/>
              <w:rPr>
                <w:sz w:val="20"/>
              </w:rPr>
            </w:pPr>
            <w:r>
              <w:rPr>
                <w:sz w:val="20"/>
              </w:rPr>
              <w:t>18.0</w:t>
            </w:r>
          </w:p>
        </w:tc>
        <w:tc>
          <w:tcPr>
            <w:tcW w:w="949" w:type="dxa"/>
            <w:tcBorders>
              <w:top w:val="nil"/>
              <w:left w:val="nil"/>
              <w:bottom w:val="nil"/>
              <w:right w:val="nil"/>
            </w:tcBorders>
          </w:tcPr>
          <w:p>
            <w:pPr>
              <w:pStyle w:val="TableParagraph"/>
              <w:spacing w:before="26"/>
              <w:ind w:right="245"/>
              <w:rPr>
                <w:sz w:val="20"/>
              </w:rPr>
            </w:pPr>
            <w:r>
              <w:rPr>
                <w:sz w:val="20"/>
              </w:rPr>
              <w:t>16.8</w:t>
            </w:r>
          </w:p>
        </w:tc>
        <w:tc>
          <w:tcPr>
            <w:tcW w:w="999" w:type="dxa"/>
            <w:tcBorders>
              <w:top w:val="nil"/>
              <w:left w:val="nil"/>
              <w:bottom w:val="nil"/>
              <w:right w:val="nil"/>
            </w:tcBorders>
          </w:tcPr>
          <w:p>
            <w:pPr>
              <w:pStyle w:val="TableParagraph"/>
              <w:spacing w:before="26"/>
              <w:ind w:right="293"/>
              <w:rPr>
                <w:sz w:val="20"/>
              </w:rPr>
            </w:pPr>
            <w:r>
              <w:rPr>
                <w:sz w:val="20"/>
              </w:rPr>
              <w:t>13.9</w:t>
            </w:r>
          </w:p>
        </w:tc>
        <w:tc>
          <w:tcPr>
            <w:tcW w:w="946" w:type="dxa"/>
            <w:tcBorders>
              <w:top w:val="nil"/>
              <w:left w:val="nil"/>
              <w:bottom w:val="nil"/>
              <w:right w:val="nil"/>
            </w:tcBorders>
          </w:tcPr>
          <w:p>
            <w:pPr>
              <w:pStyle w:val="TableParagraph"/>
              <w:spacing w:before="26"/>
              <w:ind w:right="293"/>
              <w:rPr>
                <w:sz w:val="20"/>
              </w:rPr>
            </w:pPr>
            <w:r>
              <w:rPr>
                <w:sz w:val="20"/>
              </w:rPr>
              <w:t>7.9</w:t>
            </w:r>
          </w:p>
        </w:tc>
        <w:tc>
          <w:tcPr>
            <w:tcW w:w="948" w:type="dxa"/>
            <w:tcBorders>
              <w:top w:val="nil"/>
              <w:left w:val="nil"/>
              <w:bottom w:val="nil"/>
              <w:right w:val="nil"/>
            </w:tcBorders>
          </w:tcPr>
          <w:p>
            <w:pPr>
              <w:pStyle w:val="TableParagraph"/>
              <w:spacing w:before="26"/>
              <w:ind w:left="279" w:right="181"/>
              <w:jc w:val="center"/>
              <w:rPr>
                <w:sz w:val="20"/>
              </w:rPr>
            </w:pPr>
            <w:r>
              <w:rPr>
                <w:sz w:val="20"/>
              </w:rPr>
              <w:t>3.3</w:t>
            </w:r>
          </w:p>
        </w:tc>
        <w:tc>
          <w:tcPr>
            <w:tcW w:w="716" w:type="dxa"/>
            <w:tcBorders>
              <w:top w:val="nil"/>
              <w:left w:val="nil"/>
              <w:bottom w:val="nil"/>
              <w:right w:val="nil"/>
            </w:tcBorders>
          </w:tcPr>
          <w:p>
            <w:pPr>
              <w:pStyle w:val="TableParagraph"/>
              <w:spacing w:before="26"/>
              <w:ind w:right="60"/>
              <w:rPr>
                <w:sz w:val="20"/>
              </w:rPr>
            </w:pPr>
            <w:r>
              <w:rPr>
                <w:sz w:val="20"/>
              </w:rPr>
              <w:t>2.8</w:t>
            </w:r>
          </w:p>
        </w:tc>
      </w:tr>
      <w:tr>
        <w:trPr>
          <w:trHeight w:val="303" w:hRule="exact"/>
        </w:trPr>
        <w:tc>
          <w:tcPr>
            <w:tcW w:w="1371" w:type="dxa"/>
            <w:tcBorders>
              <w:top w:val="nil"/>
              <w:left w:val="nil"/>
              <w:bottom w:val="nil"/>
              <w:right w:val="nil"/>
            </w:tcBorders>
          </w:tcPr>
          <w:p>
            <w:pPr>
              <w:pStyle w:val="TableParagraph"/>
              <w:spacing w:before="26"/>
              <w:ind w:right="82"/>
              <w:rPr>
                <w:sz w:val="20"/>
              </w:rPr>
            </w:pPr>
            <w:r>
              <w:rPr>
                <w:sz w:val="20"/>
              </w:rPr>
              <w:t>RAINHHMX1</w:t>
            </w:r>
          </w:p>
        </w:tc>
        <w:tc>
          <w:tcPr>
            <w:tcW w:w="1316" w:type="dxa"/>
            <w:tcBorders>
              <w:top w:val="nil"/>
              <w:left w:val="nil"/>
              <w:bottom w:val="nil"/>
              <w:right w:val="nil"/>
            </w:tcBorders>
          </w:tcPr>
          <w:p>
            <w:pPr>
              <w:pStyle w:val="TableParagraph"/>
              <w:spacing w:before="26"/>
              <w:ind w:right="67"/>
              <w:rPr>
                <w:sz w:val="20"/>
              </w:rPr>
            </w:pPr>
            <w:r>
              <w:rPr>
                <w:sz w:val="20"/>
              </w:rPr>
              <w:t>2.3</w:t>
            </w:r>
          </w:p>
        </w:tc>
        <w:tc>
          <w:tcPr>
            <w:tcW w:w="1512" w:type="dxa"/>
            <w:tcBorders>
              <w:top w:val="nil"/>
              <w:left w:val="nil"/>
              <w:bottom w:val="nil"/>
              <w:right w:val="nil"/>
            </w:tcBorders>
          </w:tcPr>
          <w:p>
            <w:pPr>
              <w:pStyle w:val="TableParagraph"/>
              <w:spacing w:before="26"/>
              <w:ind w:right="91"/>
              <w:rPr>
                <w:sz w:val="20"/>
              </w:rPr>
            </w:pPr>
            <w:r>
              <w:rPr>
                <w:sz w:val="20"/>
              </w:rPr>
              <w:t>2.3</w:t>
            </w:r>
          </w:p>
        </w:tc>
        <w:tc>
          <w:tcPr>
            <w:tcW w:w="1150" w:type="dxa"/>
            <w:tcBorders>
              <w:top w:val="nil"/>
              <w:left w:val="nil"/>
              <w:bottom w:val="nil"/>
              <w:right w:val="nil"/>
            </w:tcBorders>
          </w:tcPr>
          <w:p>
            <w:pPr>
              <w:pStyle w:val="TableParagraph"/>
              <w:spacing w:before="26"/>
              <w:ind w:right="295"/>
              <w:rPr>
                <w:sz w:val="20"/>
              </w:rPr>
            </w:pPr>
            <w:r>
              <w:rPr>
                <w:sz w:val="20"/>
              </w:rPr>
              <w:t>3.9</w:t>
            </w:r>
          </w:p>
        </w:tc>
        <w:tc>
          <w:tcPr>
            <w:tcW w:w="948" w:type="dxa"/>
            <w:tcBorders>
              <w:top w:val="nil"/>
              <w:left w:val="nil"/>
              <w:bottom w:val="nil"/>
              <w:right w:val="nil"/>
            </w:tcBorders>
          </w:tcPr>
          <w:p>
            <w:pPr>
              <w:pStyle w:val="TableParagraph"/>
              <w:spacing w:before="26"/>
              <w:ind w:right="293"/>
              <w:rPr>
                <w:sz w:val="20"/>
              </w:rPr>
            </w:pPr>
            <w:r>
              <w:rPr>
                <w:sz w:val="20"/>
              </w:rPr>
              <w:t>2.3</w:t>
            </w:r>
          </w:p>
        </w:tc>
        <w:tc>
          <w:tcPr>
            <w:tcW w:w="895" w:type="dxa"/>
            <w:tcBorders>
              <w:top w:val="nil"/>
              <w:left w:val="nil"/>
              <w:bottom w:val="nil"/>
              <w:right w:val="nil"/>
            </w:tcBorders>
          </w:tcPr>
          <w:p>
            <w:pPr>
              <w:pStyle w:val="TableParagraph"/>
              <w:spacing w:before="26"/>
              <w:ind w:right="242"/>
              <w:rPr>
                <w:sz w:val="20"/>
              </w:rPr>
            </w:pPr>
            <w:r>
              <w:rPr>
                <w:sz w:val="20"/>
              </w:rPr>
              <w:t>2.3</w:t>
            </w:r>
          </w:p>
        </w:tc>
        <w:tc>
          <w:tcPr>
            <w:tcW w:w="946" w:type="dxa"/>
            <w:tcBorders>
              <w:top w:val="nil"/>
              <w:left w:val="nil"/>
              <w:bottom w:val="nil"/>
              <w:right w:val="nil"/>
            </w:tcBorders>
          </w:tcPr>
          <w:p>
            <w:pPr>
              <w:pStyle w:val="TableParagraph"/>
              <w:spacing w:before="26"/>
              <w:ind w:right="243"/>
              <w:rPr>
                <w:sz w:val="20"/>
              </w:rPr>
            </w:pPr>
            <w:r>
              <w:rPr>
                <w:sz w:val="20"/>
              </w:rPr>
              <w:t>2.3</w:t>
            </w:r>
          </w:p>
        </w:tc>
        <w:tc>
          <w:tcPr>
            <w:tcW w:w="946" w:type="dxa"/>
            <w:tcBorders>
              <w:top w:val="nil"/>
              <w:left w:val="nil"/>
              <w:bottom w:val="nil"/>
              <w:right w:val="nil"/>
            </w:tcBorders>
          </w:tcPr>
          <w:p>
            <w:pPr>
              <w:pStyle w:val="TableParagraph"/>
              <w:spacing w:before="26"/>
              <w:ind w:right="242"/>
              <w:rPr>
                <w:sz w:val="20"/>
              </w:rPr>
            </w:pPr>
            <w:r>
              <w:rPr>
                <w:sz w:val="20"/>
              </w:rPr>
              <w:t>2.3</w:t>
            </w:r>
          </w:p>
        </w:tc>
        <w:tc>
          <w:tcPr>
            <w:tcW w:w="949" w:type="dxa"/>
            <w:tcBorders>
              <w:top w:val="nil"/>
              <w:left w:val="nil"/>
              <w:bottom w:val="nil"/>
              <w:right w:val="nil"/>
            </w:tcBorders>
          </w:tcPr>
          <w:p>
            <w:pPr>
              <w:pStyle w:val="TableParagraph"/>
              <w:spacing w:before="26"/>
              <w:ind w:right="245"/>
              <w:rPr>
                <w:sz w:val="20"/>
              </w:rPr>
            </w:pPr>
            <w:r>
              <w:rPr>
                <w:sz w:val="20"/>
              </w:rPr>
              <w:t>2.3</w:t>
            </w:r>
          </w:p>
        </w:tc>
        <w:tc>
          <w:tcPr>
            <w:tcW w:w="999" w:type="dxa"/>
            <w:tcBorders>
              <w:top w:val="nil"/>
              <w:left w:val="nil"/>
              <w:bottom w:val="nil"/>
              <w:right w:val="nil"/>
            </w:tcBorders>
          </w:tcPr>
          <w:p>
            <w:pPr>
              <w:pStyle w:val="TableParagraph"/>
              <w:spacing w:before="26"/>
              <w:ind w:right="293"/>
              <w:rPr>
                <w:sz w:val="20"/>
              </w:rPr>
            </w:pPr>
            <w:r>
              <w:rPr>
                <w:sz w:val="20"/>
              </w:rPr>
              <w:t>2.3</w:t>
            </w:r>
          </w:p>
        </w:tc>
        <w:tc>
          <w:tcPr>
            <w:tcW w:w="946" w:type="dxa"/>
            <w:tcBorders>
              <w:top w:val="nil"/>
              <w:left w:val="nil"/>
              <w:bottom w:val="nil"/>
              <w:right w:val="nil"/>
            </w:tcBorders>
          </w:tcPr>
          <w:p>
            <w:pPr>
              <w:pStyle w:val="TableParagraph"/>
              <w:spacing w:before="26"/>
              <w:ind w:right="293"/>
              <w:rPr>
                <w:sz w:val="20"/>
              </w:rPr>
            </w:pPr>
            <w:r>
              <w:rPr>
                <w:sz w:val="20"/>
              </w:rPr>
              <w:t>2.3</w:t>
            </w:r>
          </w:p>
        </w:tc>
        <w:tc>
          <w:tcPr>
            <w:tcW w:w="948" w:type="dxa"/>
            <w:tcBorders>
              <w:top w:val="nil"/>
              <w:left w:val="nil"/>
              <w:bottom w:val="nil"/>
              <w:right w:val="nil"/>
            </w:tcBorders>
          </w:tcPr>
          <w:p>
            <w:pPr>
              <w:pStyle w:val="TableParagraph"/>
              <w:spacing w:before="26"/>
              <w:ind w:left="279" w:right="181"/>
              <w:jc w:val="center"/>
              <w:rPr>
                <w:sz w:val="20"/>
              </w:rPr>
            </w:pPr>
            <w:r>
              <w:rPr>
                <w:sz w:val="20"/>
              </w:rPr>
              <w:t>2.3</w:t>
            </w:r>
          </w:p>
        </w:tc>
        <w:tc>
          <w:tcPr>
            <w:tcW w:w="716" w:type="dxa"/>
            <w:tcBorders>
              <w:top w:val="nil"/>
              <w:left w:val="nil"/>
              <w:bottom w:val="nil"/>
              <w:right w:val="nil"/>
            </w:tcBorders>
          </w:tcPr>
          <w:p>
            <w:pPr>
              <w:pStyle w:val="TableParagraph"/>
              <w:spacing w:before="26"/>
              <w:ind w:right="60"/>
              <w:rPr>
                <w:sz w:val="20"/>
              </w:rPr>
            </w:pPr>
            <w:r>
              <w:rPr>
                <w:sz w:val="20"/>
              </w:rPr>
              <w:t>2.3</w:t>
            </w:r>
          </w:p>
        </w:tc>
      </w:tr>
      <w:tr>
        <w:trPr>
          <w:trHeight w:val="300" w:hRule="exact"/>
        </w:trPr>
        <w:tc>
          <w:tcPr>
            <w:tcW w:w="1371" w:type="dxa"/>
            <w:tcBorders>
              <w:top w:val="nil"/>
              <w:left w:val="nil"/>
              <w:bottom w:val="nil"/>
              <w:right w:val="nil"/>
            </w:tcBorders>
          </w:tcPr>
          <w:p>
            <w:pPr>
              <w:pStyle w:val="TableParagraph"/>
              <w:spacing w:before="26"/>
              <w:ind w:right="159"/>
              <w:rPr>
                <w:sz w:val="20"/>
              </w:rPr>
            </w:pPr>
            <w:r>
              <w:rPr>
                <w:sz w:val="20"/>
              </w:rPr>
              <w:t>SOLARAV1</w:t>
            </w:r>
          </w:p>
        </w:tc>
        <w:tc>
          <w:tcPr>
            <w:tcW w:w="1316" w:type="dxa"/>
            <w:tcBorders>
              <w:top w:val="nil"/>
              <w:left w:val="nil"/>
              <w:bottom w:val="nil"/>
              <w:right w:val="nil"/>
            </w:tcBorders>
          </w:tcPr>
          <w:p>
            <w:pPr>
              <w:pStyle w:val="TableParagraph"/>
              <w:spacing w:before="26"/>
              <w:ind w:right="67"/>
              <w:rPr>
                <w:sz w:val="20"/>
              </w:rPr>
            </w:pPr>
            <w:r>
              <w:rPr>
                <w:sz w:val="20"/>
              </w:rPr>
              <w:t>16.0</w:t>
            </w:r>
          </w:p>
        </w:tc>
        <w:tc>
          <w:tcPr>
            <w:tcW w:w="1512" w:type="dxa"/>
            <w:tcBorders>
              <w:top w:val="nil"/>
              <w:left w:val="nil"/>
              <w:bottom w:val="nil"/>
              <w:right w:val="nil"/>
            </w:tcBorders>
          </w:tcPr>
          <w:p>
            <w:pPr>
              <w:pStyle w:val="TableParagraph"/>
              <w:spacing w:before="26"/>
              <w:ind w:right="91"/>
              <w:rPr>
                <w:sz w:val="20"/>
              </w:rPr>
            </w:pPr>
            <w:r>
              <w:rPr>
                <w:sz w:val="20"/>
              </w:rPr>
              <w:t>19.0</w:t>
            </w:r>
          </w:p>
        </w:tc>
        <w:tc>
          <w:tcPr>
            <w:tcW w:w="1150" w:type="dxa"/>
            <w:tcBorders>
              <w:top w:val="nil"/>
              <w:left w:val="nil"/>
              <w:bottom w:val="nil"/>
              <w:right w:val="nil"/>
            </w:tcBorders>
          </w:tcPr>
          <w:p>
            <w:pPr>
              <w:pStyle w:val="TableParagraph"/>
              <w:spacing w:before="26"/>
              <w:ind w:right="295"/>
              <w:rPr>
                <w:sz w:val="20"/>
              </w:rPr>
            </w:pPr>
            <w:r>
              <w:rPr>
                <w:sz w:val="20"/>
              </w:rPr>
              <w:t>20.0</w:t>
            </w:r>
          </w:p>
        </w:tc>
        <w:tc>
          <w:tcPr>
            <w:tcW w:w="948" w:type="dxa"/>
            <w:tcBorders>
              <w:top w:val="nil"/>
              <w:left w:val="nil"/>
              <w:bottom w:val="nil"/>
              <w:right w:val="nil"/>
            </w:tcBorders>
          </w:tcPr>
          <w:p>
            <w:pPr>
              <w:pStyle w:val="TableParagraph"/>
              <w:spacing w:before="26"/>
              <w:ind w:right="293"/>
              <w:rPr>
                <w:sz w:val="20"/>
              </w:rPr>
            </w:pPr>
            <w:r>
              <w:rPr>
                <w:sz w:val="20"/>
              </w:rPr>
              <w:t>20.0</w:t>
            </w:r>
          </w:p>
        </w:tc>
        <w:tc>
          <w:tcPr>
            <w:tcW w:w="895" w:type="dxa"/>
            <w:tcBorders>
              <w:top w:val="nil"/>
              <w:left w:val="nil"/>
              <w:bottom w:val="nil"/>
              <w:right w:val="nil"/>
            </w:tcBorders>
          </w:tcPr>
          <w:p>
            <w:pPr>
              <w:pStyle w:val="TableParagraph"/>
              <w:spacing w:before="26"/>
              <w:ind w:right="242"/>
              <w:rPr>
                <w:sz w:val="20"/>
              </w:rPr>
            </w:pPr>
            <w:r>
              <w:rPr>
                <w:sz w:val="20"/>
              </w:rPr>
              <w:t>20.0</w:t>
            </w:r>
          </w:p>
        </w:tc>
        <w:tc>
          <w:tcPr>
            <w:tcW w:w="946" w:type="dxa"/>
            <w:tcBorders>
              <w:top w:val="nil"/>
              <w:left w:val="nil"/>
              <w:bottom w:val="nil"/>
              <w:right w:val="nil"/>
            </w:tcBorders>
          </w:tcPr>
          <w:p>
            <w:pPr>
              <w:pStyle w:val="TableParagraph"/>
              <w:spacing w:before="26"/>
              <w:ind w:right="243"/>
              <w:rPr>
                <w:sz w:val="20"/>
              </w:rPr>
            </w:pPr>
            <w:r>
              <w:rPr>
                <w:sz w:val="20"/>
              </w:rPr>
              <w:t>19.0</w:t>
            </w:r>
          </w:p>
        </w:tc>
        <w:tc>
          <w:tcPr>
            <w:tcW w:w="946" w:type="dxa"/>
            <w:tcBorders>
              <w:top w:val="nil"/>
              <w:left w:val="nil"/>
              <w:bottom w:val="nil"/>
              <w:right w:val="nil"/>
            </w:tcBorders>
          </w:tcPr>
          <w:p>
            <w:pPr>
              <w:pStyle w:val="TableParagraph"/>
              <w:spacing w:before="26"/>
              <w:ind w:right="242"/>
              <w:rPr>
                <w:sz w:val="20"/>
              </w:rPr>
            </w:pPr>
            <w:r>
              <w:rPr>
                <w:sz w:val="20"/>
              </w:rPr>
              <w:t>19.0</w:t>
            </w:r>
          </w:p>
        </w:tc>
        <w:tc>
          <w:tcPr>
            <w:tcW w:w="949" w:type="dxa"/>
            <w:tcBorders>
              <w:top w:val="nil"/>
              <w:left w:val="nil"/>
              <w:bottom w:val="nil"/>
              <w:right w:val="nil"/>
            </w:tcBorders>
          </w:tcPr>
          <w:p>
            <w:pPr>
              <w:pStyle w:val="TableParagraph"/>
              <w:spacing w:before="26"/>
              <w:ind w:right="245"/>
              <w:rPr>
                <w:sz w:val="20"/>
              </w:rPr>
            </w:pPr>
            <w:r>
              <w:rPr>
                <w:sz w:val="20"/>
              </w:rPr>
              <w:t>19.0</w:t>
            </w:r>
          </w:p>
        </w:tc>
        <w:tc>
          <w:tcPr>
            <w:tcW w:w="999" w:type="dxa"/>
            <w:tcBorders>
              <w:top w:val="nil"/>
              <w:left w:val="nil"/>
              <w:bottom w:val="nil"/>
              <w:right w:val="nil"/>
            </w:tcBorders>
          </w:tcPr>
          <w:p>
            <w:pPr>
              <w:pStyle w:val="TableParagraph"/>
              <w:spacing w:before="26"/>
              <w:ind w:right="293"/>
              <w:rPr>
                <w:sz w:val="20"/>
              </w:rPr>
            </w:pPr>
            <w:r>
              <w:rPr>
                <w:sz w:val="20"/>
              </w:rPr>
              <w:t>17.0</w:t>
            </w:r>
          </w:p>
        </w:tc>
        <w:tc>
          <w:tcPr>
            <w:tcW w:w="946" w:type="dxa"/>
            <w:tcBorders>
              <w:top w:val="nil"/>
              <w:left w:val="nil"/>
              <w:bottom w:val="nil"/>
              <w:right w:val="nil"/>
            </w:tcBorders>
          </w:tcPr>
          <w:p>
            <w:pPr>
              <w:pStyle w:val="TableParagraph"/>
              <w:spacing w:before="26"/>
              <w:ind w:right="293"/>
              <w:rPr>
                <w:sz w:val="20"/>
              </w:rPr>
            </w:pPr>
            <w:r>
              <w:rPr>
                <w:sz w:val="20"/>
              </w:rPr>
              <w:t>18.0</w:t>
            </w:r>
          </w:p>
        </w:tc>
        <w:tc>
          <w:tcPr>
            <w:tcW w:w="948" w:type="dxa"/>
            <w:tcBorders>
              <w:top w:val="nil"/>
              <w:left w:val="nil"/>
              <w:bottom w:val="nil"/>
              <w:right w:val="nil"/>
            </w:tcBorders>
          </w:tcPr>
          <w:p>
            <w:pPr>
              <w:pStyle w:val="TableParagraph"/>
              <w:spacing w:before="26"/>
              <w:ind w:left="279" w:right="279"/>
              <w:jc w:val="center"/>
              <w:rPr>
                <w:sz w:val="20"/>
              </w:rPr>
            </w:pPr>
            <w:r>
              <w:rPr>
                <w:sz w:val="20"/>
              </w:rPr>
              <w:t>16.0</w:t>
            </w:r>
          </w:p>
        </w:tc>
        <w:tc>
          <w:tcPr>
            <w:tcW w:w="716" w:type="dxa"/>
            <w:tcBorders>
              <w:top w:val="nil"/>
              <w:left w:val="nil"/>
              <w:bottom w:val="nil"/>
              <w:right w:val="nil"/>
            </w:tcBorders>
          </w:tcPr>
          <w:p>
            <w:pPr>
              <w:pStyle w:val="TableParagraph"/>
              <w:spacing w:before="26"/>
              <w:ind w:right="60"/>
              <w:rPr>
                <w:sz w:val="20"/>
              </w:rPr>
            </w:pPr>
            <w:r>
              <w:rPr>
                <w:sz w:val="20"/>
              </w:rPr>
              <w:t>15.0</w:t>
            </w:r>
          </w:p>
        </w:tc>
      </w:tr>
      <w:tr>
        <w:trPr>
          <w:trHeight w:val="268" w:hRule="exact"/>
        </w:trPr>
        <w:tc>
          <w:tcPr>
            <w:tcW w:w="1371" w:type="dxa"/>
            <w:tcBorders>
              <w:top w:val="nil"/>
              <w:left w:val="nil"/>
              <w:right w:val="nil"/>
            </w:tcBorders>
          </w:tcPr>
          <w:p>
            <w:pPr>
              <w:pStyle w:val="TableParagraph"/>
              <w:ind w:left="259"/>
              <w:jc w:val="left"/>
              <w:rPr>
                <w:sz w:val="20"/>
              </w:rPr>
            </w:pPr>
            <w:r>
              <w:rPr>
                <w:sz w:val="20"/>
              </w:rPr>
              <w:t>WNDAV1</w:t>
            </w:r>
          </w:p>
        </w:tc>
        <w:tc>
          <w:tcPr>
            <w:tcW w:w="1316" w:type="dxa"/>
            <w:tcBorders>
              <w:top w:val="nil"/>
              <w:left w:val="nil"/>
              <w:right w:val="nil"/>
            </w:tcBorders>
          </w:tcPr>
          <w:p>
            <w:pPr>
              <w:pStyle w:val="TableParagraph"/>
              <w:ind w:right="67"/>
              <w:rPr>
                <w:sz w:val="20"/>
              </w:rPr>
            </w:pPr>
            <w:r>
              <w:rPr>
                <w:sz w:val="20"/>
              </w:rPr>
              <w:t>0.0</w:t>
            </w:r>
          </w:p>
        </w:tc>
        <w:tc>
          <w:tcPr>
            <w:tcW w:w="1512" w:type="dxa"/>
            <w:tcBorders>
              <w:top w:val="nil"/>
              <w:left w:val="nil"/>
              <w:right w:val="nil"/>
            </w:tcBorders>
          </w:tcPr>
          <w:p>
            <w:pPr>
              <w:pStyle w:val="TableParagraph"/>
              <w:ind w:right="91"/>
              <w:rPr>
                <w:sz w:val="20"/>
              </w:rPr>
            </w:pPr>
            <w:r>
              <w:rPr>
                <w:sz w:val="20"/>
              </w:rPr>
              <w:t>0.0</w:t>
            </w:r>
          </w:p>
        </w:tc>
        <w:tc>
          <w:tcPr>
            <w:tcW w:w="1150" w:type="dxa"/>
            <w:tcBorders>
              <w:top w:val="nil"/>
              <w:left w:val="nil"/>
              <w:right w:val="nil"/>
            </w:tcBorders>
          </w:tcPr>
          <w:p>
            <w:pPr>
              <w:pStyle w:val="TableParagraph"/>
              <w:ind w:right="295"/>
              <w:rPr>
                <w:sz w:val="20"/>
              </w:rPr>
            </w:pPr>
            <w:r>
              <w:rPr>
                <w:sz w:val="20"/>
              </w:rPr>
              <w:t>0.0</w:t>
            </w:r>
          </w:p>
        </w:tc>
        <w:tc>
          <w:tcPr>
            <w:tcW w:w="948" w:type="dxa"/>
            <w:tcBorders>
              <w:top w:val="nil"/>
              <w:left w:val="nil"/>
              <w:right w:val="nil"/>
            </w:tcBorders>
          </w:tcPr>
          <w:p>
            <w:pPr>
              <w:pStyle w:val="TableParagraph"/>
              <w:ind w:right="293"/>
              <w:rPr>
                <w:sz w:val="20"/>
              </w:rPr>
            </w:pPr>
            <w:r>
              <w:rPr>
                <w:sz w:val="20"/>
              </w:rPr>
              <w:t>0.0</w:t>
            </w:r>
          </w:p>
        </w:tc>
        <w:tc>
          <w:tcPr>
            <w:tcW w:w="895" w:type="dxa"/>
            <w:tcBorders>
              <w:top w:val="nil"/>
              <w:left w:val="nil"/>
              <w:right w:val="nil"/>
            </w:tcBorders>
          </w:tcPr>
          <w:p>
            <w:pPr>
              <w:pStyle w:val="TableParagraph"/>
              <w:ind w:right="242"/>
              <w:rPr>
                <w:sz w:val="20"/>
              </w:rPr>
            </w:pPr>
            <w:r>
              <w:rPr>
                <w:sz w:val="20"/>
              </w:rPr>
              <w:t>0.0</w:t>
            </w:r>
          </w:p>
        </w:tc>
        <w:tc>
          <w:tcPr>
            <w:tcW w:w="946" w:type="dxa"/>
            <w:tcBorders>
              <w:top w:val="nil"/>
              <w:left w:val="nil"/>
              <w:right w:val="nil"/>
            </w:tcBorders>
          </w:tcPr>
          <w:p>
            <w:pPr>
              <w:pStyle w:val="TableParagraph"/>
              <w:ind w:right="243"/>
              <w:rPr>
                <w:sz w:val="20"/>
              </w:rPr>
            </w:pPr>
            <w:r>
              <w:rPr>
                <w:sz w:val="20"/>
              </w:rPr>
              <w:t>0.0</w:t>
            </w:r>
          </w:p>
        </w:tc>
        <w:tc>
          <w:tcPr>
            <w:tcW w:w="946" w:type="dxa"/>
            <w:tcBorders>
              <w:top w:val="nil"/>
              <w:left w:val="nil"/>
              <w:right w:val="nil"/>
            </w:tcBorders>
          </w:tcPr>
          <w:p>
            <w:pPr>
              <w:pStyle w:val="TableParagraph"/>
              <w:ind w:right="242"/>
              <w:rPr>
                <w:sz w:val="20"/>
              </w:rPr>
            </w:pPr>
            <w:r>
              <w:rPr>
                <w:sz w:val="20"/>
              </w:rPr>
              <w:t>0.0</w:t>
            </w:r>
          </w:p>
        </w:tc>
        <w:tc>
          <w:tcPr>
            <w:tcW w:w="949" w:type="dxa"/>
            <w:tcBorders>
              <w:top w:val="nil"/>
              <w:left w:val="nil"/>
              <w:right w:val="nil"/>
            </w:tcBorders>
          </w:tcPr>
          <w:p>
            <w:pPr>
              <w:pStyle w:val="TableParagraph"/>
              <w:ind w:right="245"/>
              <w:rPr>
                <w:sz w:val="20"/>
              </w:rPr>
            </w:pPr>
            <w:r>
              <w:rPr>
                <w:sz w:val="20"/>
              </w:rPr>
              <w:t>0.0</w:t>
            </w:r>
          </w:p>
        </w:tc>
        <w:tc>
          <w:tcPr>
            <w:tcW w:w="999" w:type="dxa"/>
            <w:tcBorders>
              <w:top w:val="nil"/>
              <w:left w:val="nil"/>
              <w:right w:val="nil"/>
            </w:tcBorders>
          </w:tcPr>
          <w:p>
            <w:pPr>
              <w:pStyle w:val="TableParagraph"/>
              <w:ind w:right="293"/>
              <w:rPr>
                <w:sz w:val="20"/>
              </w:rPr>
            </w:pPr>
            <w:r>
              <w:rPr>
                <w:sz w:val="20"/>
              </w:rPr>
              <w:t>0.0</w:t>
            </w:r>
          </w:p>
        </w:tc>
        <w:tc>
          <w:tcPr>
            <w:tcW w:w="946" w:type="dxa"/>
            <w:tcBorders>
              <w:top w:val="nil"/>
              <w:left w:val="nil"/>
              <w:right w:val="nil"/>
            </w:tcBorders>
          </w:tcPr>
          <w:p>
            <w:pPr>
              <w:pStyle w:val="TableParagraph"/>
              <w:ind w:right="293"/>
              <w:rPr>
                <w:sz w:val="20"/>
              </w:rPr>
            </w:pPr>
            <w:r>
              <w:rPr>
                <w:sz w:val="20"/>
              </w:rPr>
              <w:t>0.0</w:t>
            </w:r>
          </w:p>
        </w:tc>
        <w:tc>
          <w:tcPr>
            <w:tcW w:w="948" w:type="dxa"/>
            <w:tcBorders>
              <w:top w:val="nil"/>
              <w:left w:val="nil"/>
              <w:right w:val="nil"/>
            </w:tcBorders>
          </w:tcPr>
          <w:p>
            <w:pPr>
              <w:pStyle w:val="TableParagraph"/>
              <w:ind w:left="279" w:right="181"/>
              <w:jc w:val="center"/>
              <w:rPr>
                <w:sz w:val="20"/>
              </w:rPr>
            </w:pPr>
            <w:r>
              <w:rPr>
                <w:sz w:val="20"/>
              </w:rPr>
              <w:t>0.0</w:t>
            </w:r>
          </w:p>
        </w:tc>
        <w:tc>
          <w:tcPr>
            <w:tcW w:w="716" w:type="dxa"/>
            <w:tcBorders>
              <w:top w:val="nil"/>
              <w:left w:val="nil"/>
              <w:right w:val="nil"/>
            </w:tcBorders>
          </w:tcPr>
          <w:p>
            <w:pPr>
              <w:pStyle w:val="TableParagraph"/>
              <w:ind w:right="60"/>
              <w:rPr>
                <w:sz w:val="20"/>
              </w:rPr>
            </w:pPr>
            <w:r>
              <w:rPr>
                <w:sz w:val="20"/>
              </w:rPr>
              <w:t>0.0</w:t>
            </w:r>
          </w:p>
        </w:tc>
      </w:tr>
    </w:tbl>
    <w:p>
      <w:pPr>
        <w:spacing w:after="0"/>
        <w:rPr>
          <w:sz w:val="20"/>
        </w:rPr>
        <w:sectPr>
          <w:pgSz w:w="15840" w:h="12240" w:orient="landscape"/>
          <w:pgMar w:header="0" w:footer="1474" w:top="1140" w:bottom="1660" w:left="1360" w:right="620"/>
        </w:sectPr>
      </w:pPr>
    </w:p>
    <w:p>
      <w:pPr>
        <w:pStyle w:val="BodyText"/>
        <w:spacing w:before="7"/>
        <w:rPr>
          <w:b/>
          <w:sz w:val="17"/>
        </w:rPr>
      </w:pPr>
    </w:p>
    <w:p>
      <w:pPr>
        <w:spacing w:before="66"/>
        <w:ind w:left="2279" w:right="0" w:firstLine="0"/>
        <w:jc w:val="left"/>
        <w:rPr>
          <w:b/>
          <w:sz w:val="26"/>
        </w:rPr>
      </w:pPr>
      <w:bookmarkStart w:name="_bookmark143" w:id="202"/>
      <w:bookmarkEnd w:id="202"/>
      <w:r>
        <w:rPr/>
      </w:r>
      <w:r>
        <w:rPr>
          <w:b/>
          <w:sz w:val="26"/>
        </w:rPr>
        <w:t>Tabla 6. Estadísticas climatológicas de la estación 15251 Atlacomulco (Prepa)</w:t>
      </w:r>
    </w:p>
    <w:p>
      <w:pPr>
        <w:pStyle w:val="BodyText"/>
        <w:rPr>
          <w:b/>
          <w:sz w:val="20"/>
        </w:rPr>
      </w:pPr>
    </w:p>
    <w:p>
      <w:pPr>
        <w:pStyle w:val="BodyText"/>
        <w:rPr>
          <w:b/>
          <w:sz w:val="20"/>
        </w:rPr>
      </w:pPr>
    </w:p>
    <w:p>
      <w:pPr>
        <w:pStyle w:val="BodyText"/>
        <w:rPr>
          <w:b/>
          <w:sz w:val="20"/>
        </w:rPr>
      </w:pPr>
    </w:p>
    <w:p>
      <w:pPr>
        <w:pStyle w:val="BodyText"/>
        <w:spacing w:before="3"/>
        <w:rPr>
          <w:b/>
          <w:sz w:val="10"/>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71"/>
        <w:gridCol w:w="1316"/>
        <w:gridCol w:w="1507"/>
        <w:gridCol w:w="1133"/>
        <w:gridCol w:w="934"/>
        <w:gridCol w:w="881"/>
        <w:gridCol w:w="934"/>
        <w:gridCol w:w="934"/>
        <w:gridCol w:w="932"/>
        <w:gridCol w:w="984"/>
        <w:gridCol w:w="934"/>
        <w:gridCol w:w="934"/>
        <w:gridCol w:w="708"/>
      </w:tblGrid>
      <w:tr>
        <w:trPr>
          <w:trHeight w:val="344" w:hRule="exact"/>
        </w:trPr>
        <w:tc>
          <w:tcPr>
            <w:tcW w:w="1371" w:type="dxa"/>
            <w:tcBorders>
              <w:left w:val="nil"/>
              <w:bottom w:val="nil"/>
              <w:right w:val="nil"/>
            </w:tcBorders>
          </w:tcPr>
          <w:p>
            <w:pPr>
              <w:pStyle w:val="TableParagraph"/>
              <w:spacing w:before="63"/>
              <w:ind w:left="264"/>
              <w:jc w:val="left"/>
              <w:rPr>
                <w:sz w:val="20"/>
              </w:rPr>
            </w:pPr>
            <w:r>
              <w:rPr>
                <w:sz w:val="20"/>
              </w:rPr>
              <w:t>STATION</w:t>
            </w:r>
          </w:p>
        </w:tc>
        <w:tc>
          <w:tcPr>
            <w:tcW w:w="1316" w:type="dxa"/>
            <w:tcBorders>
              <w:left w:val="nil"/>
              <w:bottom w:val="nil"/>
              <w:right w:val="nil"/>
            </w:tcBorders>
          </w:tcPr>
          <w:p>
            <w:pPr>
              <w:pStyle w:val="TableParagraph"/>
              <w:spacing w:before="63"/>
              <w:ind w:right="74"/>
              <w:rPr>
                <w:sz w:val="20"/>
              </w:rPr>
            </w:pPr>
            <w:r>
              <w:rPr>
                <w:sz w:val="20"/>
              </w:rPr>
              <w:t>WLATITUDE</w:t>
            </w:r>
          </w:p>
        </w:tc>
        <w:tc>
          <w:tcPr>
            <w:tcW w:w="1507" w:type="dxa"/>
            <w:tcBorders>
              <w:left w:val="nil"/>
              <w:bottom w:val="nil"/>
              <w:right w:val="nil"/>
            </w:tcBorders>
          </w:tcPr>
          <w:p>
            <w:pPr>
              <w:pStyle w:val="TableParagraph"/>
              <w:spacing w:before="63"/>
              <w:ind w:right="93"/>
              <w:rPr>
                <w:sz w:val="20"/>
              </w:rPr>
            </w:pPr>
            <w:r>
              <w:rPr>
                <w:sz w:val="20"/>
              </w:rPr>
              <w:t>WLONGITUDE</w:t>
            </w:r>
          </w:p>
        </w:tc>
        <w:tc>
          <w:tcPr>
            <w:tcW w:w="1133" w:type="dxa"/>
            <w:tcBorders>
              <w:left w:val="nil"/>
              <w:bottom w:val="nil"/>
              <w:right w:val="nil"/>
            </w:tcBorders>
          </w:tcPr>
          <w:p>
            <w:pPr>
              <w:pStyle w:val="TableParagraph"/>
              <w:spacing w:before="63"/>
              <w:ind w:right="340"/>
              <w:rPr>
                <w:sz w:val="20"/>
              </w:rPr>
            </w:pPr>
            <w:r>
              <w:rPr>
                <w:sz w:val="20"/>
              </w:rPr>
              <w:t>WELEV</w:t>
            </w:r>
          </w:p>
        </w:tc>
        <w:tc>
          <w:tcPr>
            <w:tcW w:w="934" w:type="dxa"/>
            <w:tcBorders>
              <w:left w:val="nil"/>
              <w:bottom w:val="nil"/>
              <w:right w:val="nil"/>
            </w:tcBorders>
          </w:tcPr>
          <w:p>
            <w:pPr/>
          </w:p>
        </w:tc>
        <w:tc>
          <w:tcPr>
            <w:tcW w:w="881" w:type="dxa"/>
            <w:tcBorders>
              <w:left w:val="nil"/>
              <w:bottom w:val="nil"/>
              <w:right w:val="nil"/>
            </w:tcBorders>
          </w:tcPr>
          <w:p>
            <w:pPr/>
          </w:p>
        </w:tc>
        <w:tc>
          <w:tcPr>
            <w:tcW w:w="934" w:type="dxa"/>
            <w:tcBorders>
              <w:left w:val="nil"/>
              <w:bottom w:val="nil"/>
              <w:right w:val="nil"/>
            </w:tcBorders>
          </w:tcPr>
          <w:p>
            <w:pPr/>
          </w:p>
        </w:tc>
        <w:tc>
          <w:tcPr>
            <w:tcW w:w="934" w:type="dxa"/>
            <w:tcBorders>
              <w:left w:val="nil"/>
              <w:bottom w:val="nil"/>
              <w:right w:val="nil"/>
            </w:tcBorders>
          </w:tcPr>
          <w:p>
            <w:pPr/>
          </w:p>
        </w:tc>
        <w:tc>
          <w:tcPr>
            <w:tcW w:w="932" w:type="dxa"/>
            <w:tcBorders>
              <w:left w:val="nil"/>
              <w:bottom w:val="nil"/>
              <w:right w:val="nil"/>
            </w:tcBorders>
          </w:tcPr>
          <w:p>
            <w:pPr/>
          </w:p>
        </w:tc>
        <w:tc>
          <w:tcPr>
            <w:tcW w:w="984" w:type="dxa"/>
            <w:tcBorders>
              <w:left w:val="nil"/>
              <w:bottom w:val="nil"/>
              <w:right w:val="nil"/>
            </w:tcBorders>
          </w:tcPr>
          <w:p>
            <w:pPr/>
          </w:p>
        </w:tc>
        <w:tc>
          <w:tcPr>
            <w:tcW w:w="934" w:type="dxa"/>
            <w:tcBorders>
              <w:left w:val="nil"/>
              <w:bottom w:val="nil"/>
              <w:right w:val="nil"/>
            </w:tcBorders>
          </w:tcPr>
          <w:p>
            <w:pPr/>
          </w:p>
        </w:tc>
        <w:tc>
          <w:tcPr>
            <w:tcW w:w="934" w:type="dxa"/>
            <w:tcBorders>
              <w:left w:val="nil"/>
              <w:bottom w:val="nil"/>
              <w:right w:val="nil"/>
            </w:tcBorders>
          </w:tcPr>
          <w:p>
            <w:pPr/>
          </w:p>
        </w:tc>
        <w:tc>
          <w:tcPr>
            <w:tcW w:w="708" w:type="dxa"/>
            <w:tcBorders>
              <w:left w:val="nil"/>
              <w:bottom w:val="nil"/>
              <w:right w:val="nil"/>
            </w:tcBorders>
          </w:tcPr>
          <w:p>
            <w:pPr/>
          </w:p>
        </w:tc>
      </w:tr>
      <w:tr>
        <w:trPr>
          <w:trHeight w:val="303" w:hRule="exact"/>
        </w:trPr>
        <w:tc>
          <w:tcPr>
            <w:tcW w:w="1371" w:type="dxa"/>
            <w:tcBorders>
              <w:top w:val="nil"/>
              <w:left w:val="nil"/>
              <w:bottom w:val="nil"/>
              <w:right w:val="nil"/>
            </w:tcBorders>
          </w:tcPr>
          <w:p>
            <w:pPr>
              <w:pStyle w:val="TableParagraph"/>
              <w:spacing w:before="26"/>
              <w:ind w:right="63"/>
              <w:rPr>
                <w:sz w:val="20"/>
              </w:rPr>
            </w:pPr>
            <w:r>
              <w:rPr>
                <w:sz w:val="20"/>
              </w:rPr>
              <w:t>15251</w:t>
            </w:r>
          </w:p>
        </w:tc>
        <w:tc>
          <w:tcPr>
            <w:tcW w:w="1316" w:type="dxa"/>
            <w:tcBorders>
              <w:top w:val="nil"/>
              <w:left w:val="nil"/>
              <w:bottom w:val="nil"/>
              <w:right w:val="nil"/>
            </w:tcBorders>
          </w:tcPr>
          <w:p>
            <w:pPr>
              <w:pStyle w:val="TableParagraph"/>
              <w:spacing w:before="26"/>
              <w:ind w:right="67"/>
              <w:rPr>
                <w:sz w:val="20"/>
              </w:rPr>
            </w:pPr>
            <w:r>
              <w:rPr>
                <w:sz w:val="20"/>
              </w:rPr>
              <w:t>19.47</w:t>
            </w:r>
          </w:p>
        </w:tc>
        <w:tc>
          <w:tcPr>
            <w:tcW w:w="1507" w:type="dxa"/>
            <w:tcBorders>
              <w:top w:val="nil"/>
              <w:left w:val="nil"/>
              <w:bottom w:val="nil"/>
              <w:right w:val="nil"/>
            </w:tcBorders>
          </w:tcPr>
          <w:p>
            <w:pPr>
              <w:pStyle w:val="TableParagraph"/>
              <w:spacing w:before="26"/>
              <w:ind w:right="86"/>
              <w:rPr>
                <w:sz w:val="20"/>
              </w:rPr>
            </w:pPr>
            <w:r>
              <w:rPr>
                <w:sz w:val="20"/>
              </w:rPr>
              <w:t>-99.52</w:t>
            </w:r>
          </w:p>
        </w:tc>
        <w:tc>
          <w:tcPr>
            <w:tcW w:w="1133" w:type="dxa"/>
            <w:tcBorders>
              <w:top w:val="nil"/>
              <w:left w:val="nil"/>
              <w:bottom w:val="nil"/>
              <w:right w:val="nil"/>
            </w:tcBorders>
          </w:tcPr>
          <w:p>
            <w:pPr>
              <w:pStyle w:val="TableParagraph"/>
              <w:spacing w:before="26"/>
              <w:ind w:left="243"/>
              <w:jc w:val="left"/>
              <w:rPr>
                <w:sz w:val="20"/>
              </w:rPr>
            </w:pPr>
            <w:r>
              <w:rPr>
                <w:sz w:val="20"/>
              </w:rPr>
              <w:t>2579</w:t>
            </w:r>
          </w:p>
        </w:tc>
        <w:tc>
          <w:tcPr>
            <w:tcW w:w="934" w:type="dxa"/>
            <w:tcBorders>
              <w:top w:val="nil"/>
              <w:left w:val="nil"/>
              <w:bottom w:val="nil"/>
              <w:right w:val="nil"/>
            </w:tcBorders>
          </w:tcPr>
          <w:p>
            <w:pPr/>
          </w:p>
        </w:tc>
        <w:tc>
          <w:tcPr>
            <w:tcW w:w="881" w:type="dxa"/>
            <w:tcBorders>
              <w:top w:val="nil"/>
              <w:left w:val="nil"/>
              <w:bottom w:val="nil"/>
              <w:right w:val="nil"/>
            </w:tcBorders>
          </w:tcPr>
          <w:p>
            <w:pPr/>
          </w:p>
        </w:tc>
        <w:tc>
          <w:tcPr>
            <w:tcW w:w="934" w:type="dxa"/>
            <w:tcBorders>
              <w:top w:val="nil"/>
              <w:left w:val="nil"/>
              <w:bottom w:val="nil"/>
              <w:right w:val="nil"/>
            </w:tcBorders>
          </w:tcPr>
          <w:p>
            <w:pPr/>
          </w:p>
        </w:tc>
        <w:tc>
          <w:tcPr>
            <w:tcW w:w="934" w:type="dxa"/>
            <w:tcBorders>
              <w:top w:val="nil"/>
              <w:left w:val="nil"/>
              <w:bottom w:val="nil"/>
              <w:right w:val="nil"/>
            </w:tcBorders>
          </w:tcPr>
          <w:p>
            <w:pPr/>
          </w:p>
        </w:tc>
        <w:tc>
          <w:tcPr>
            <w:tcW w:w="932" w:type="dxa"/>
            <w:tcBorders>
              <w:top w:val="nil"/>
              <w:left w:val="nil"/>
              <w:bottom w:val="nil"/>
              <w:right w:val="nil"/>
            </w:tcBorders>
          </w:tcPr>
          <w:p>
            <w:pPr/>
          </w:p>
        </w:tc>
        <w:tc>
          <w:tcPr>
            <w:tcW w:w="984" w:type="dxa"/>
            <w:tcBorders>
              <w:top w:val="nil"/>
              <w:left w:val="nil"/>
              <w:bottom w:val="nil"/>
              <w:right w:val="nil"/>
            </w:tcBorders>
          </w:tcPr>
          <w:p>
            <w:pPr/>
          </w:p>
        </w:tc>
        <w:tc>
          <w:tcPr>
            <w:tcW w:w="934" w:type="dxa"/>
            <w:tcBorders>
              <w:top w:val="nil"/>
              <w:left w:val="nil"/>
              <w:bottom w:val="nil"/>
              <w:right w:val="nil"/>
            </w:tcBorders>
          </w:tcPr>
          <w:p>
            <w:pPr/>
          </w:p>
        </w:tc>
        <w:tc>
          <w:tcPr>
            <w:tcW w:w="934" w:type="dxa"/>
            <w:tcBorders>
              <w:top w:val="nil"/>
              <w:left w:val="nil"/>
              <w:bottom w:val="nil"/>
              <w:right w:val="nil"/>
            </w:tcBorders>
          </w:tcPr>
          <w:p>
            <w:pPr/>
          </w:p>
        </w:tc>
        <w:tc>
          <w:tcPr>
            <w:tcW w:w="708" w:type="dxa"/>
            <w:tcBorders>
              <w:top w:val="nil"/>
              <w:left w:val="nil"/>
              <w:bottom w:val="nil"/>
              <w:right w:val="nil"/>
            </w:tcBorders>
          </w:tcPr>
          <w:p>
            <w:pPr/>
          </w:p>
        </w:tc>
      </w:tr>
      <w:tr>
        <w:trPr>
          <w:trHeight w:val="303" w:hRule="exact"/>
        </w:trPr>
        <w:tc>
          <w:tcPr>
            <w:tcW w:w="1371" w:type="dxa"/>
            <w:tcBorders>
              <w:top w:val="nil"/>
              <w:left w:val="nil"/>
              <w:bottom w:val="nil"/>
              <w:right w:val="nil"/>
            </w:tcBorders>
          </w:tcPr>
          <w:p>
            <w:pPr/>
          </w:p>
        </w:tc>
        <w:tc>
          <w:tcPr>
            <w:tcW w:w="1316" w:type="dxa"/>
            <w:tcBorders>
              <w:top w:val="nil"/>
              <w:left w:val="nil"/>
              <w:bottom w:val="nil"/>
              <w:right w:val="nil"/>
            </w:tcBorders>
          </w:tcPr>
          <w:p>
            <w:pPr/>
          </w:p>
        </w:tc>
        <w:tc>
          <w:tcPr>
            <w:tcW w:w="1507" w:type="dxa"/>
            <w:tcBorders>
              <w:top w:val="nil"/>
              <w:left w:val="nil"/>
              <w:bottom w:val="nil"/>
              <w:right w:val="nil"/>
            </w:tcBorders>
          </w:tcPr>
          <w:p>
            <w:pPr/>
          </w:p>
        </w:tc>
        <w:tc>
          <w:tcPr>
            <w:tcW w:w="1133" w:type="dxa"/>
            <w:tcBorders>
              <w:top w:val="nil"/>
              <w:left w:val="nil"/>
              <w:bottom w:val="nil"/>
              <w:right w:val="nil"/>
            </w:tcBorders>
          </w:tcPr>
          <w:p>
            <w:pPr/>
          </w:p>
        </w:tc>
        <w:tc>
          <w:tcPr>
            <w:tcW w:w="934" w:type="dxa"/>
            <w:tcBorders>
              <w:top w:val="nil"/>
              <w:left w:val="nil"/>
              <w:bottom w:val="nil"/>
              <w:right w:val="nil"/>
            </w:tcBorders>
          </w:tcPr>
          <w:p>
            <w:pPr/>
          </w:p>
        </w:tc>
        <w:tc>
          <w:tcPr>
            <w:tcW w:w="881" w:type="dxa"/>
            <w:tcBorders>
              <w:top w:val="nil"/>
              <w:left w:val="nil"/>
              <w:bottom w:val="nil"/>
              <w:right w:val="nil"/>
            </w:tcBorders>
          </w:tcPr>
          <w:p>
            <w:pPr/>
          </w:p>
        </w:tc>
        <w:tc>
          <w:tcPr>
            <w:tcW w:w="934" w:type="dxa"/>
            <w:tcBorders>
              <w:top w:val="nil"/>
              <w:left w:val="nil"/>
              <w:bottom w:val="nil"/>
              <w:right w:val="nil"/>
            </w:tcBorders>
          </w:tcPr>
          <w:p>
            <w:pPr>
              <w:pStyle w:val="TableParagraph"/>
              <w:spacing w:before="26"/>
              <w:ind w:left="-32"/>
              <w:jc w:val="left"/>
              <w:rPr>
                <w:sz w:val="20"/>
              </w:rPr>
            </w:pPr>
            <w:r>
              <w:rPr>
                <w:sz w:val="20"/>
              </w:rPr>
              <w:t>MESES</w:t>
            </w:r>
          </w:p>
        </w:tc>
        <w:tc>
          <w:tcPr>
            <w:tcW w:w="934" w:type="dxa"/>
            <w:tcBorders>
              <w:top w:val="nil"/>
              <w:left w:val="nil"/>
              <w:bottom w:val="nil"/>
              <w:right w:val="nil"/>
            </w:tcBorders>
          </w:tcPr>
          <w:p>
            <w:pPr/>
          </w:p>
        </w:tc>
        <w:tc>
          <w:tcPr>
            <w:tcW w:w="932" w:type="dxa"/>
            <w:tcBorders>
              <w:top w:val="nil"/>
              <w:left w:val="nil"/>
              <w:bottom w:val="nil"/>
              <w:right w:val="nil"/>
            </w:tcBorders>
          </w:tcPr>
          <w:p>
            <w:pPr/>
          </w:p>
        </w:tc>
        <w:tc>
          <w:tcPr>
            <w:tcW w:w="984" w:type="dxa"/>
            <w:tcBorders>
              <w:top w:val="nil"/>
              <w:left w:val="nil"/>
              <w:bottom w:val="nil"/>
              <w:right w:val="nil"/>
            </w:tcBorders>
          </w:tcPr>
          <w:p>
            <w:pPr/>
          </w:p>
        </w:tc>
        <w:tc>
          <w:tcPr>
            <w:tcW w:w="934" w:type="dxa"/>
            <w:tcBorders>
              <w:top w:val="nil"/>
              <w:left w:val="nil"/>
              <w:bottom w:val="nil"/>
              <w:right w:val="nil"/>
            </w:tcBorders>
          </w:tcPr>
          <w:p>
            <w:pPr/>
          </w:p>
        </w:tc>
        <w:tc>
          <w:tcPr>
            <w:tcW w:w="934" w:type="dxa"/>
            <w:tcBorders>
              <w:top w:val="nil"/>
              <w:left w:val="nil"/>
              <w:bottom w:val="nil"/>
              <w:right w:val="nil"/>
            </w:tcBorders>
          </w:tcPr>
          <w:p>
            <w:pPr/>
          </w:p>
        </w:tc>
        <w:tc>
          <w:tcPr>
            <w:tcW w:w="708" w:type="dxa"/>
            <w:tcBorders>
              <w:top w:val="nil"/>
              <w:left w:val="nil"/>
              <w:bottom w:val="nil"/>
              <w:right w:val="nil"/>
            </w:tcBorders>
          </w:tcPr>
          <w:p>
            <w:pPr/>
          </w:p>
        </w:tc>
      </w:tr>
      <w:tr>
        <w:trPr>
          <w:trHeight w:val="270" w:hRule="exact"/>
        </w:trPr>
        <w:tc>
          <w:tcPr>
            <w:tcW w:w="1371" w:type="dxa"/>
            <w:tcBorders>
              <w:top w:val="nil"/>
              <w:left w:val="nil"/>
              <w:right w:val="nil"/>
            </w:tcBorders>
          </w:tcPr>
          <w:p>
            <w:pPr/>
          </w:p>
        </w:tc>
        <w:tc>
          <w:tcPr>
            <w:tcW w:w="1316" w:type="dxa"/>
            <w:tcBorders>
              <w:top w:val="nil"/>
              <w:left w:val="nil"/>
              <w:right w:val="nil"/>
            </w:tcBorders>
          </w:tcPr>
          <w:p>
            <w:pPr>
              <w:pStyle w:val="TableParagraph"/>
              <w:spacing w:before="26"/>
              <w:ind w:right="72"/>
              <w:rPr>
                <w:sz w:val="20"/>
              </w:rPr>
            </w:pPr>
            <w:r>
              <w:rPr>
                <w:w w:val="100"/>
                <w:sz w:val="20"/>
              </w:rPr>
              <w:t>1</w:t>
            </w:r>
          </w:p>
        </w:tc>
        <w:tc>
          <w:tcPr>
            <w:tcW w:w="1507" w:type="dxa"/>
            <w:tcBorders>
              <w:top w:val="nil"/>
              <w:left w:val="nil"/>
              <w:right w:val="nil"/>
            </w:tcBorders>
          </w:tcPr>
          <w:p>
            <w:pPr>
              <w:pStyle w:val="TableParagraph"/>
              <w:spacing w:before="26"/>
              <w:ind w:right="91"/>
              <w:rPr>
                <w:sz w:val="20"/>
              </w:rPr>
            </w:pPr>
            <w:r>
              <w:rPr>
                <w:w w:val="100"/>
                <w:sz w:val="20"/>
              </w:rPr>
              <w:t>2</w:t>
            </w:r>
          </w:p>
        </w:tc>
        <w:tc>
          <w:tcPr>
            <w:tcW w:w="1133" w:type="dxa"/>
            <w:tcBorders>
              <w:top w:val="nil"/>
              <w:left w:val="nil"/>
              <w:right w:val="nil"/>
            </w:tcBorders>
          </w:tcPr>
          <w:p>
            <w:pPr>
              <w:pStyle w:val="TableParagraph"/>
              <w:spacing w:before="26"/>
              <w:ind w:right="293"/>
              <w:rPr>
                <w:sz w:val="20"/>
              </w:rPr>
            </w:pPr>
            <w:r>
              <w:rPr>
                <w:w w:val="100"/>
                <w:sz w:val="20"/>
              </w:rPr>
              <w:t>3</w:t>
            </w:r>
          </w:p>
        </w:tc>
        <w:tc>
          <w:tcPr>
            <w:tcW w:w="934" w:type="dxa"/>
            <w:tcBorders>
              <w:top w:val="nil"/>
              <w:left w:val="nil"/>
              <w:right w:val="nil"/>
            </w:tcBorders>
          </w:tcPr>
          <w:p>
            <w:pPr>
              <w:pStyle w:val="TableParagraph"/>
              <w:spacing w:before="26"/>
              <w:ind w:right="290"/>
              <w:rPr>
                <w:sz w:val="20"/>
              </w:rPr>
            </w:pPr>
            <w:r>
              <w:rPr>
                <w:w w:val="100"/>
                <w:sz w:val="20"/>
              </w:rPr>
              <w:t>4</w:t>
            </w:r>
          </w:p>
        </w:tc>
        <w:tc>
          <w:tcPr>
            <w:tcW w:w="881" w:type="dxa"/>
            <w:tcBorders>
              <w:top w:val="nil"/>
              <w:left w:val="nil"/>
              <w:right w:val="nil"/>
            </w:tcBorders>
          </w:tcPr>
          <w:p>
            <w:pPr>
              <w:pStyle w:val="TableParagraph"/>
              <w:spacing w:before="26"/>
              <w:ind w:right="240"/>
              <w:rPr>
                <w:sz w:val="20"/>
              </w:rPr>
            </w:pPr>
            <w:r>
              <w:rPr>
                <w:w w:val="100"/>
                <w:sz w:val="20"/>
              </w:rPr>
              <w:t>5</w:t>
            </w:r>
          </w:p>
        </w:tc>
        <w:tc>
          <w:tcPr>
            <w:tcW w:w="934" w:type="dxa"/>
            <w:tcBorders>
              <w:top w:val="nil"/>
              <w:left w:val="nil"/>
              <w:right w:val="nil"/>
            </w:tcBorders>
          </w:tcPr>
          <w:p>
            <w:pPr>
              <w:pStyle w:val="TableParagraph"/>
              <w:spacing w:before="26"/>
              <w:ind w:right="242"/>
              <w:rPr>
                <w:sz w:val="20"/>
              </w:rPr>
            </w:pPr>
            <w:r>
              <w:rPr>
                <w:w w:val="100"/>
                <w:sz w:val="20"/>
              </w:rPr>
              <w:t>6</w:t>
            </w:r>
          </w:p>
        </w:tc>
        <w:tc>
          <w:tcPr>
            <w:tcW w:w="934" w:type="dxa"/>
            <w:tcBorders>
              <w:top w:val="nil"/>
              <w:left w:val="nil"/>
              <w:right w:val="nil"/>
            </w:tcBorders>
          </w:tcPr>
          <w:p>
            <w:pPr>
              <w:pStyle w:val="TableParagraph"/>
              <w:spacing w:before="26"/>
              <w:ind w:right="240"/>
              <w:rPr>
                <w:sz w:val="20"/>
              </w:rPr>
            </w:pPr>
            <w:r>
              <w:rPr>
                <w:w w:val="100"/>
                <w:sz w:val="20"/>
              </w:rPr>
              <w:t>7</w:t>
            </w:r>
          </w:p>
        </w:tc>
        <w:tc>
          <w:tcPr>
            <w:tcW w:w="932" w:type="dxa"/>
            <w:tcBorders>
              <w:top w:val="nil"/>
              <w:left w:val="nil"/>
              <w:right w:val="nil"/>
            </w:tcBorders>
          </w:tcPr>
          <w:p>
            <w:pPr>
              <w:pStyle w:val="TableParagraph"/>
              <w:spacing w:before="26"/>
              <w:ind w:right="240"/>
              <w:rPr>
                <w:sz w:val="20"/>
              </w:rPr>
            </w:pPr>
            <w:r>
              <w:rPr>
                <w:w w:val="100"/>
                <w:sz w:val="20"/>
              </w:rPr>
              <w:t>8</w:t>
            </w:r>
          </w:p>
        </w:tc>
        <w:tc>
          <w:tcPr>
            <w:tcW w:w="984" w:type="dxa"/>
            <w:tcBorders>
              <w:top w:val="nil"/>
              <w:left w:val="nil"/>
              <w:right w:val="nil"/>
            </w:tcBorders>
          </w:tcPr>
          <w:p>
            <w:pPr>
              <w:pStyle w:val="TableParagraph"/>
              <w:spacing w:before="26"/>
              <w:ind w:right="293"/>
              <w:rPr>
                <w:sz w:val="20"/>
              </w:rPr>
            </w:pPr>
            <w:r>
              <w:rPr>
                <w:w w:val="100"/>
                <w:sz w:val="20"/>
              </w:rPr>
              <w:t>9</w:t>
            </w:r>
          </w:p>
        </w:tc>
        <w:tc>
          <w:tcPr>
            <w:tcW w:w="934" w:type="dxa"/>
            <w:tcBorders>
              <w:top w:val="nil"/>
              <w:left w:val="nil"/>
              <w:right w:val="nil"/>
            </w:tcBorders>
          </w:tcPr>
          <w:p>
            <w:pPr>
              <w:pStyle w:val="TableParagraph"/>
              <w:spacing w:before="26"/>
              <w:ind w:left="272" w:right="126"/>
              <w:jc w:val="center"/>
              <w:rPr>
                <w:sz w:val="20"/>
              </w:rPr>
            </w:pPr>
            <w:r>
              <w:rPr>
                <w:sz w:val="20"/>
              </w:rPr>
              <w:t>10</w:t>
            </w:r>
          </w:p>
        </w:tc>
        <w:tc>
          <w:tcPr>
            <w:tcW w:w="934" w:type="dxa"/>
            <w:tcBorders>
              <w:top w:val="nil"/>
              <w:left w:val="nil"/>
              <w:right w:val="nil"/>
            </w:tcBorders>
          </w:tcPr>
          <w:p>
            <w:pPr>
              <w:pStyle w:val="TableParagraph"/>
              <w:spacing w:before="26"/>
              <w:ind w:right="293"/>
              <w:rPr>
                <w:sz w:val="20"/>
              </w:rPr>
            </w:pPr>
            <w:r>
              <w:rPr>
                <w:sz w:val="20"/>
              </w:rPr>
              <w:t>11</w:t>
            </w:r>
          </w:p>
        </w:tc>
        <w:tc>
          <w:tcPr>
            <w:tcW w:w="708" w:type="dxa"/>
            <w:tcBorders>
              <w:top w:val="nil"/>
              <w:left w:val="nil"/>
              <w:right w:val="nil"/>
            </w:tcBorders>
          </w:tcPr>
          <w:p>
            <w:pPr>
              <w:pStyle w:val="TableParagraph"/>
              <w:spacing w:before="26"/>
              <w:ind w:right="65"/>
              <w:rPr>
                <w:sz w:val="20"/>
              </w:rPr>
            </w:pPr>
            <w:r>
              <w:rPr>
                <w:sz w:val="20"/>
              </w:rPr>
              <w:t>12</w:t>
            </w:r>
          </w:p>
        </w:tc>
      </w:tr>
      <w:tr>
        <w:trPr>
          <w:trHeight w:val="344" w:hRule="exact"/>
        </w:trPr>
        <w:tc>
          <w:tcPr>
            <w:tcW w:w="1371" w:type="dxa"/>
            <w:tcBorders>
              <w:left w:val="nil"/>
              <w:bottom w:val="nil"/>
              <w:right w:val="nil"/>
            </w:tcBorders>
          </w:tcPr>
          <w:p>
            <w:pPr>
              <w:pStyle w:val="TableParagraph"/>
              <w:spacing w:before="63"/>
              <w:ind w:left="273"/>
              <w:jc w:val="left"/>
              <w:rPr>
                <w:sz w:val="20"/>
              </w:rPr>
            </w:pPr>
            <w:r>
              <w:rPr>
                <w:sz w:val="20"/>
              </w:rPr>
              <w:t>TMPMX1</w:t>
            </w:r>
          </w:p>
        </w:tc>
        <w:tc>
          <w:tcPr>
            <w:tcW w:w="1316" w:type="dxa"/>
            <w:tcBorders>
              <w:left w:val="nil"/>
              <w:bottom w:val="nil"/>
              <w:right w:val="nil"/>
            </w:tcBorders>
          </w:tcPr>
          <w:p>
            <w:pPr>
              <w:pStyle w:val="TableParagraph"/>
              <w:spacing w:before="63"/>
              <w:ind w:right="67"/>
              <w:rPr>
                <w:sz w:val="20"/>
              </w:rPr>
            </w:pPr>
            <w:r>
              <w:rPr>
                <w:sz w:val="20"/>
              </w:rPr>
              <w:t>20.0</w:t>
            </w:r>
          </w:p>
        </w:tc>
        <w:tc>
          <w:tcPr>
            <w:tcW w:w="1507" w:type="dxa"/>
            <w:tcBorders>
              <w:left w:val="nil"/>
              <w:bottom w:val="nil"/>
              <w:right w:val="nil"/>
            </w:tcBorders>
          </w:tcPr>
          <w:p>
            <w:pPr>
              <w:pStyle w:val="TableParagraph"/>
              <w:spacing w:before="63"/>
              <w:ind w:right="86"/>
              <w:rPr>
                <w:sz w:val="20"/>
              </w:rPr>
            </w:pPr>
            <w:r>
              <w:rPr>
                <w:sz w:val="20"/>
              </w:rPr>
              <w:t>21.4</w:t>
            </w:r>
          </w:p>
        </w:tc>
        <w:tc>
          <w:tcPr>
            <w:tcW w:w="1133" w:type="dxa"/>
            <w:tcBorders>
              <w:left w:val="nil"/>
              <w:bottom w:val="nil"/>
              <w:right w:val="nil"/>
            </w:tcBorders>
          </w:tcPr>
          <w:p>
            <w:pPr>
              <w:pStyle w:val="TableParagraph"/>
              <w:spacing w:before="63"/>
              <w:ind w:right="288"/>
              <w:rPr>
                <w:sz w:val="20"/>
              </w:rPr>
            </w:pPr>
            <w:r>
              <w:rPr>
                <w:sz w:val="20"/>
              </w:rPr>
              <w:t>23.6</w:t>
            </w:r>
          </w:p>
        </w:tc>
        <w:tc>
          <w:tcPr>
            <w:tcW w:w="934" w:type="dxa"/>
            <w:tcBorders>
              <w:left w:val="nil"/>
              <w:bottom w:val="nil"/>
              <w:right w:val="nil"/>
            </w:tcBorders>
          </w:tcPr>
          <w:p>
            <w:pPr>
              <w:pStyle w:val="TableParagraph"/>
              <w:spacing w:before="63"/>
              <w:ind w:right="286"/>
              <w:rPr>
                <w:sz w:val="20"/>
              </w:rPr>
            </w:pPr>
            <w:r>
              <w:rPr>
                <w:sz w:val="20"/>
              </w:rPr>
              <w:t>25.4</w:t>
            </w:r>
          </w:p>
        </w:tc>
        <w:tc>
          <w:tcPr>
            <w:tcW w:w="881" w:type="dxa"/>
            <w:tcBorders>
              <w:left w:val="nil"/>
              <w:bottom w:val="nil"/>
              <w:right w:val="nil"/>
            </w:tcBorders>
          </w:tcPr>
          <w:p>
            <w:pPr>
              <w:pStyle w:val="TableParagraph"/>
              <w:spacing w:before="63"/>
              <w:ind w:right="235"/>
              <w:rPr>
                <w:sz w:val="20"/>
              </w:rPr>
            </w:pPr>
            <w:r>
              <w:rPr>
                <w:sz w:val="20"/>
              </w:rPr>
              <w:t>25.2</w:t>
            </w:r>
          </w:p>
        </w:tc>
        <w:tc>
          <w:tcPr>
            <w:tcW w:w="934" w:type="dxa"/>
            <w:tcBorders>
              <w:left w:val="nil"/>
              <w:bottom w:val="nil"/>
              <w:right w:val="nil"/>
            </w:tcBorders>
          </w:tcPr>
          <w:p>
            <w:pPr>
              <w:pStyle w:val="TableParagraph"/>
              <w:spacing w:before="63"/>
              <w:ind w:right="238"/>
              <w:rPr>
                <w:sz w:val="20"/>
              </w:rPr>
            </w:pPr>
            <w:r>
              <w:rPr>
                <w:sz w:val="20"/>
              </w:rPr>
              <w:t>22.9</w:t>
            </w:r>
          </w:p>
        </w:tc>
        <w:tc>
          <w:tcPr>
            <w:tcW w:w="934" w:type="dxa"/>
            <w:tcBorders>
              <w:left w:val="nil"/>
              <w:bottom w:val="nil"/>
              <w:right w:val="nil"/>
            </w:tcBorders>
          </w:tcPr>
          <w:p>
            <w:pPr>
              <w:pStyle w:val="TableParagraph"/>
              <w:spacing w:before="63"/>
              <w:ind w:right="235"/>
              <w:rPr>
                <w:sz w:val="20"/>
              </w:rPr>
            </w:pPr>
            <w:r>
              <w:rPr>
                <w:sz w:val="20"/>
              </w:rPr>
              <w:t>21.0</w:t>
            </w:r>
          </w:p>
        </w:tc>
        <w:tc>
          <w:tcPr>
            <w:tcW w:w="932" w:type="dxa"/>
            <w:tcBorders>
              <w:left w:val="nil"/>
              <w:bottom w:val="nil"/>
              <w:right w:val="nil"/>
            </w:tcBorders>
          </w:tcPr>
          <w:p>
            <w:pPr>
              <w:pStyle w:val="TableParagraph"/>
              <w:spacing w:before="63"/>
              <w:ind w:right="236"/>
              <w:rPr>
                <w:sz w:val="20"/>
              </w:rPr>
            </w:pPr>
            <w:r>
              <w:rPr>
                <w:sz w:val="20"/>
              </w:rPr>
              <w:t>20.9</w:t>
            </w:r>
          </w:p>
        </w:tc>
        <w:tc>
          <w:tcPr>
            <w:tcW w:w="984" w:type="dxa"/>
            <w:tcBorders>
              <w:left w:val="nil"/>
              <w:bottom w:val="nil"/>
              <w:right w:val="nil"/>
            </w:tcBorders>
          </w:tcPr>
          <w:p>
            <w:pPr>
              <w:pStyle w:val="TableParagraph"/>
              <w:spacing w:before="63"/>
              <w:ind w:right="288"/>
              <w:rPr>
                <w:sz w:val="20"/>
              </w:rPr>
            </w:pPr>
            <w:r>
              <w:rPr>
                <w:sz w:val="20"/>
              </w:rPr>
              <w:t>20.8</w:t>
            </w:r>
          </w:p>
        </w:tc>
        <w:tc>
          <w:tcPr>
            <w:tcW w:w="934" w:type="dxa"/>
            <w:tcBorders>
              <w:left w:val="nil"/>
              <w:bottom w:val="nil"/>
              <w:right w:val="nil"/>
            </w:tcBorders>
          </w:tcPr>
          <w:p>
            <w:pPr>
              <w:pStyle w:val="TableParagraph"/>
              <w:spacing w:before="63"/>
              <w:ind w:left="272" w:right="270"/>
              <w:jc w:val="center"/>
              <w:rPr>
                <w:sz w:val="20"/>
              </w:rPr>
            </w:pPr>
            <w:r>
              <w:rPr>
                <w:sz w:val="20"/>
              </w:rPr>
              <w:t>21.1</w:t>
            </w:r>
          </w:p>
        </w:tc>
        <w:tc>
          <w:tcPr>
            <w:tcW w:w="934" w:type="dxa"/>
            <w:tcBorders>
              <w:left w:val="nil"/>
              <w:bottom w:val="nil"/>
              <w:right w:val="nil"/>
            </w:tcBorders>
          </w:tcPr>
          <w:p>
            <w:pPr>
              <w:pStyle w:val="TableParagraph"/>
              <w:spacing w:before="63"/>
              <w:ind w:right="288"/>
              <w:rPr>
                <w:sz w:val="20"/>
              </w:rPr>
            </w:pPr>
            <w:r>
              <w:rPr>
                <w:sz w:val="20"/>
              </w:rPr>
              <w:t>20.8</w:t>
            </w:r>
          </w:p>
        </w:tc>
        <w:tc>
          <w:tcPr>
            <w:tcW w:w="708" w:type="dxa"/>
            <w:tcBorders>
              <w:left w:val="nil"/>
              <w:bottom w:val="nil"/>
              <w:right w:val="nil"/>
            </w:tcBorders>
          </w:tcPr>
          <w:p>
            <w:pPr>
              <w:pStyle w:val="TableParagraph"/>
              <w:spacing w:before="63"/>
              <w:ind w:right="60"/>
              <w:rPr>
                <w:sz w:val="20"/>
              </w:rPr>
            </w:pPr>
            <w:r>
              <w:rPr>
                <w:sz w:val="20"/>
              </w:rPr>
              <w:t>20.2</w:t>
            </w:r>
          </w:p>
        </w:tc>
      </w:tr>
      <w:tr>
        <w:trPr>
          <w:trHeight w:val="303" w:hRule="exact"/>
        </w:trPr>
        <w:tc>
          <w:tcPr>
            <w:tcW w:w="1371" w:type="dxa"/>
            <w:tcBorders>
              <w:top w:val="nil"/>
              <w:left w:val="nil"/>
              <w:bottom w:val="nil"/>
              <w:right w:val="nil"/>
            </w:tcBorders>
          </w:tcPr>
          <w:p>
            <w:pPr>
              <w:pStyle w:val="TableParagraph"/>
              <w:spacing w:before="26"/>
              <w:ind w:left="273"/>
              <w:jc w:val="left"/>
              <w:rPr>
                <w:sz w:val="20"/>
              </w:rPr>
            </w:pPr>
            <w:r>
              <w:rPr>
                <w:sz w:val="20"/>
              </w:rPr>
              <w:t>TMPMN1</w:t>
            </w:r>
          </w:p>
        </w:tc>
        <w:tc>
          <w:tcPr>
            <w:tcW w:w="1316" w:type="dxa"/>
            <w:tcBorders>
              <w:top w:val="nil"/>
              <w:left w:val="nil"/>
              <w:bottom w:val="nil"/>
              <w:right w:val="nil"/>
            </w:tcBorders>
          </w:tcPr>
          <w:p>
            <w:pPr>
              <w:pStyle w:val="TableParagraph"/>
              <w:spacing w:before="26"/>
              <w:ind w:right="67"/>
              <w:rPr>
                <w:sz w:val="20"/>
              </w:rPr>
            </w:pPr>
            <w:r>
              <w:rPr>
                <w:sz w:val="20"/>
              </w:rPr>
              <w:t>-2.2</w:t>
            </w:r>
          </w:p>
        </w:tc>
        <w:tc>
          <w:tcPr>
            <w:tcW w:w="1507" w:type="dxa"/>
            <w:tcBorders>
              <w:top w:val="nil"/>
              <w:left w:val="nil"/>
              <w:bottom w:val="nil"/>
              <w:right w:val="nil"/>
            </w:tcBorders>
          </w:tcPr>
          <w:p>
            <w:pPr>
              <w:pStyle w:val="TableParagraph"/>
              <w:spacing w:before="26"/>
              <w:ind w:right="86"/>
              <w:rPr>
                <w:sz w:val="20"/>
              </w:rPr>
            </w:pPr>
            <w:r>
              <w:rPr>
                <w:sz w:val="20"/>
              </w:rPr>
              <w:t>-0.6</w:t>
            </w:r>
          </w:p>
        </w:tc>
        <w:tc>
          <w:tcPr>
            <w:tcW w:w="1133" w:type="dxa"/>
            <w:tcBorders>
              <w:top w:val="nil"/>
              <w:left w:val="nil"/>
              <w:bottom w:val="nil"/>
              <w:right w:val="nil"/>
            </w:tcBorders>
          </w:tcPr>
          <w:p>
            <w:pPr>
              <w:pStyle w:val="TableParagraph"/>
              <w:spacing w:before="26"/>
              <w:ind w:right="288"/>
              <w:rPr>
                <w:sz w:val="20"/>
              </w:rPr>
            </w:pPr>
            <w:r>
              <w:rPr>
                <w:sz w:val="20"/>
              </w:rPr>
              <w:t>1.4</w:t>
            </w:r>
          </w:p>
        </w:tc>
        <w:tc>
          <w:tcPr>
            <w:tcW w:w="934" w:type="dxa"/>
            <w:tcBorders>
              <w:top w:val="nil"/>
              <w:left w:val="nil"/>
              <w:bottom w:val="nil"/>
              <w:right w:val="nil"/>
            </w:tcBorders>
          </w:tcPr>
          <w:p>
            <w:pPr>
              <w:pStyle w:val="TableParagraph"/>
              <w:spacing w:before="26"/>
              <w:ind w:right="286"/>
              <w:rPr>
                <w:sz w:val="20"/>
              </w:rPr>
            </w:pPr>
            <w:r>
              <w:rPr>
                <w:sz w:val="20"/>
              </w:rPr>
              <w:t>3.8</w:t>
            </w:r>
          </w:p>
        </w:tc>
        <w:tc>
          <w:tcPr>
            <w:tcW w:w="881" w:type="dxa"/>
            <w:tcBorders>
              <w:top w:val="nil"/>
              <w:left w:val="nil"/>
              <w:bottom w:val="nil"/>
              <w:right w:val="nil"/>
            </w:tcBorders>
          </w:tcPr>
          <w:p>
            <w:pPr>
              <w:pStyle w:val="TableParagraph"/>
              <w:spacing w:before="26"/>
              <w:ind w:right="235"/>
              <w:rPr>
                <w:sz w:val="20"/>
              </w:rPr>
            </w:pPr>
            <w:r>
              <w:rPr>
                <w:sz w:val="20"/>
              </w:rPr>
              <w:t>6.3</w:t>
            </w:r>
          </w:p>
        </w:tc>
        <w:tc>
          <w:tcPr>
            <w:tcW w:w="934" w:type="dxa"/>
            <w:tcBorders>
              <w:top w:val="nil"/>
              <w:left w:val="nil"/>
              <w:bottom w:val="nil"/>
              <w:right w:val="nil"/>
            </w:tcBorders>
          </w:tcPr>
          <w:p>
            <w:pPr>
              <w:pStyle w:val="TableParagraph"/>
              <w:spacing w:before="26"/>
              <w:ind w:right="238"/>
              <w:rPr>
                <w:sz w:val="20"/>
              </w:rPr>
            </w:pPr>
            <w:r>
              <w:rPr>
                <w:sz w:val="20"/>
              </w:rPr>
              <w:t>7.8</w:t>
            </w:r>
          </w:p>
        </w:tc>
        <w:tc>
          <w:tcPr>
            <w:tcW w:w="934" w:type="dxa"/>
            <w:tcBorders>
              <w:top w:val="nil"/>
              <w:left w:val="nil"/>
              <w:bottom w:val="nil"/>
              <w:right w:val="nil"/>
            </w:tcBorders>
          </w:tcPr>
          <w:p>
            <w:pPr>
              <w:pStyle w:val="TableParagraph"/>
              <w:spacing w:before="26"/>
              <w:ind w:right="235"/>
              <w:rPr>
                <w:sz w:val="20"/>
              </w:rPr>
            </w:pPr>
            <w:r>
              <w:rPr>
                <w:sz w:val="20"/>
              </w:rPr>
              <w:t>7.7</w:t>
            </w:r>
          </w:p>
        </w:tc>
        <w:tc>
          <w:tcPr>
            <w:tcW w:w="932" w:type="dxa"/>
            <w:tcBorders>
              <w:top w:val="nil"/>
              <w:left w:val="nil"/>
              <w:bottom w:val="nil"/>
              <w:right w:val="nil"/>
            </w:tcBorders>
          </w:tcPr>
          <w:p>
            <w:pPr>
              <w:pStyle w:val="TableParagraph"/>
              <w:spacing w:before="26"/>
              <w:ind w:right="235"/>
              <w:rPr>
                <w:sz w:val="20"/>
              </w:rPr>
            </w:pPr>
            <w:r>
              <w:rPr>
                <w:sz w:val="20"/>
              </w:rPr>
              <w:t>7.5</w:t>
            </w:r>
          </w:p>
        </w:tc>
        <w:tc>
          <w:tcPr>
            <w:tcW w:w="984" w:type="dxa"/>
            <w:tcBorders>
              <w:top w:val="nil"/>
              <w:left w:val="nil"/>
              <w:bottom w:val="nil"/>
              <w:right w:val="nil"/>
            </w:tcBorders>
          </w:tcPr>
          <w:p>
            <w:pPr>
              <w:pStyle w:val="TableParagraph"/>
              <w:spacing w:before="26"/>
              <w:ind w:right="288"/>
              <w:rPr>
                <w:sz w:val="20"/>
              </w:rPr>
            </w:pPr>
            <w:r>
              <w:rPr>
                <w:sz w:val="20"/>
              </w:rPr>
              <w:t>7.2</w:t>
            </w:r>
          </w:p>
        </w:tc>
        <w:tc>
          <w:tcPr>
            <w:tcW w:w="934" w:type="dxa"/>
            <w:tcBorders>
              <w:top w:val="nil"/>
              <w:left w:val="nil"/>
              <w:bottom w:val="nil"/>
              <w:right w:val="nil"/>
            </w:tcBorders>
          </w:tcPr>
          <w:p>
            <w:pPr>
              <w:pStyle w:val="TableParagraph"/>
              <w:spacing w:before="26"/>
              <w:ind w:left="272" w:right="169"/>
              <w:jc w:val="center"/>
              <w:rPr>
                <w:sz w:val="20"/>
              </w:rPr>
            </w:pPr>
            <w:r>
              <w:rPr>
                <w:sz w:val="20"/>
              </w:rPr>
              <w:t>4.4</w:t>
            </w:r>
          </w:p>
        </w:tc>
        <w:tc>
          <w:tcPr>
            <w:tcW w:w="934" w:type="dxa"/>
            <w:tcBorders>
              <w:top w:val="nil"/>
              <w:left w:val="nil"/>
              <w:bottom w:val="nil"/>
              <w:right w:val="nil"/>
            </w:tcBorders>
          </w:tcPr>
          <w:p>
            <w:pPr>
              <w:pStyle w:val="TableParagraph"/>
              <w:spacing w:before="26"/>
              <w:ind w:right="288"/>
              <w:rPr>
                <w:sz w:val="20"/>
              </w:rPr>
            </w:pPr>
            <w:r>
              <w:rPr>
                <w:sz w:val="20"/>
              </w:rPr>
              <w:t>0.3</w:t>
            </w:r>
          </w:p>
        </w:tc>
        <w:tc>
          <w:tcPr>
            <w:tcW w:w="708" w:type="dxa"/>
            <w:tcBorders>
              <w:top w:val="nil"/>
              <w:left w:val="nil"/>
              <w:bottom w:val="nil"/>
              <w:right w:val="nil"/>
            </w:tcBorders>
          </w:tcPr>
          <w:p>
            <w:pPr>
              <w:pStyle w:val="TableParagraph"/>
              <w:spacing w:before="26"/>
              <w:ind w:right="60"/>
              <w:rPr>
                <w:sz w:val="20"/>
              </w:rPr>
            </w:pPr>
            <w:r>
              <w:rPr>
                <w:sz w:val="20"/>
              </w:rPr>
              <w:t>-1.0</w:t>
            </w:r>
          </w:p>
        </w:tc>
      </w:tr>
      <w:tr>
        <w:trPr>
          <w:trHeight w:val="303" w:hRule="exact"/>
        </w:trPr>
        <w:tc>
          <w:tcPr>
            <w:tcW w:w="1371" w:type="dxa"/>
            <w:tcBorders>
              <w:top w:val="nil"/>
              <w:left w:val="nil"/>
              <w:bottom w:val="nil"/>
              <w:right w:val="nil"/>
            </w:tcBorders>
          </w:tcPr>
          <w:p>
            <w:pPr>
              <w:pStyle w:val="TableParagraph"/>
              <w:spacing w:before="26"/>
              <w:ind w:right="68"/>
              <w:rPr>
                <w:sz w:val="20"/>
              </w:rPr>
            </w:pPr>
            <w:r>
              <w:rPr>
                <w:sz w:val="20"/>
              </w:rPr>
              <w:t>TMPSTDMX1</w:t>
            </w:r>
          </w:p>
        </w:tc>
        <w:tc>
          <w:tcPr>
            <w:tcW w:w="1316" w:type="dxa"/>
            <w:tcBorders>
              <w:top w:val="nil"/>
              <w:left w:val="nil"/>
              <w:bottom w:val="nil"/>
              <w:right w:val="nil"/>
            </w:tcBorders>
          </w:tcPr>
          <w:p>
            <w:pPr>
              <w:pStyle w:val="TableParagraph"/>
              <w:spacing w:before="26"/>
              <w:ind w:right="67"/>
              <w:rPr>
                <w:sz w:val="20"/>
              </w:rPr>
            </w:pPr>
            <w:r>
              <w:rPr>
                <w:sz w:val="20"/>
              </w:rPr>
              <w:t>2.2</w:t>
            </w:r>
          </w:p>
        </w:tc>
        <w:tc>
          <w:tcPr>
            <w:tcW w:w="1507" w:type="dxa"/>
            <w:tcBorders>
              <w:top w:val="nil"/>
              <w:left w:val="nil"/>
              <w:bottom w:val="nil"/>
              <w:right w:val="nil"/>
            </w:tcBorders>
          </w:tcPr>
          <w:p>
            <w:pPr>
              <w:pStyle w:val="TableParagraph"/>
              <w:spacing w:before="26"/>
              <w:ind w:right="86"/>
              <w:rPr>
                <w:sz w:val="20"/>
              </w:rPr>
            </w:pPr>
            <w:r>
              <w:rPr>
                <w:sz w:val="20"/>
              </w:rPr>
              <w:t>2.3</w:t>
            </w:r>
          </w:p>
        </w:tc>
        <w:tc>
          <w:tcPr>
            <w:tcW w:w="1133" w:type="dxa"/>
            <w:tcBorders>
              <w:top w:val="nil"/>
              <w:left w:val="nil"/>
              <w:bottom w:val="nil"/>
              <w:right w:val="nil"/>
            </w:tcBorders>
          </w:tcPr>
          <w:p>
            <w:pPr>
              <w:pStyle w:val="TableParagraph"/>
              <w:spacing w:before="26"/>
              <w:ind w:right="288"/>
              <w:rPr>
                <w:sz w:val="20"/>
              </w:rPr>
            </w:pPr>
            <w:r>
              <w:rPr>
                <w:sz w:val="20"/>
              </w:rPr>
              <w:t>2.7</w:t>
            </w:r>
          </w:p>
        </w:tc>
        <w:tc>
          <w:tcPr>
            <w:tcW w:w="934" w:type="dxa"/>
            <w:tcBorders>
              <w:top w:val="nil"/>
              <w:left w:val="nil"/>
              <w:bottom w:val="nil"/>
              <w:right w:val="nil"/>
            </w:tcBorders>
          </w:tcPr>
          <w:p>
            <w:pPr>
              <w:pStyle w:val="TableParagraph"/>
              <w:spacing w:before="26"/>
              <w:ind w:right="286"/>
              <w:rPr>
                <w:sz w:val="20"/>
              </w:rPr>
            </w:pPr>
            <w:r>
              <w:rPr>
                <w:sz w:val="20"/>
              </w:rPr>
              <w:t>2.9</w:t>
            </w:r>
          </w:p>
        </w:tc>
        <w:tc>
          <w:tcPr>
            <w:tcW w:w="881" w:type="dxa"/>
            <w:tcBorders>
              <w:top w:val="nil"/>
              <w:left w:val="nil"/>
              <w:bottom w:val="nil"/>
              <w:right w:val="nil"/>
            </w:tcBorders>
          </w:tcPr>
          <w:p>
            <w:pPr>
              <w:pStyle w:val="TableParagraph"/>
              <w:spacing w:before="26"/>
              <w:ind w:right="235"/>
              <w:rPr>
                <w:sz w:val="20"/>
              </w:rPr>
            </w:pPr>
            <w:r>
              <w:rPr>
                <w:sz w:val="20"/>
              </w:rPr>
              <w:t>2.9</w:t>
            </w:r>
          </w:p>
        </w:tc>
        <w:tc>
          <w:tcPr>
            <w:tcW w:w="934" w:type="dxa"/>
            <w:tcBorders>
              <w:top w:val="nil"/>
              <w:left w:val="nil"/>
              <w:bottom w:val="nil"/>
              <w:right w:val="nil"/>
            </w:tcBorders>
          </w:tcPr>
          <w:p>
            <w:pPr>
              <w:pStyle w:val="TableParagraph"/>
              <w:spacing w:before="26"/>
              <w:ind w:right="238"/>
              <w:rPr>
                <w:sz w:val="20"/>
              </w:rPr>
            </w:pPr>
            <w:r>
              <w:rPr>
                <w:sz w:val="20"/>
              </w:rPr>
              <w:t>2.6</w:t>
            </w:r>
          </w:p>
        </w:tc>
        <w:tc>
          <w:tcPr>
            <w:tcW w:w="934" w:type="dxa"/>
            <w:tcBorders>
              <w:top w:val="nil"/>
              <w:left w:val="nil"/>
              <w:bottom w:val="nil"/>
              <w:right w:val="nil"/>
            </w:tcBorders>
          </w:tcPr>
          <w:p>
            <w:pPr>
              <w:pStyle w:val="TableParagraph"/>
              <w:spacing w:before="26"/>
              <w:ind w:right="235"/>
              <w:rPr>
                <w:sz w:val="20"/>
              </w:rPr>
            </w:pPr>
            <w:r>
              <w:rPr>
                <w:sz w:val="20"/>
              </w:rPr>
              <w:t>1.7</w:t>
            </w:r>
          </w:p>
        </w:tc>
        <w:tc>
          <w:tcPr>
            <w:tcW w:w="932" w:type="dxa"/>
            <w:tcBorders>
              <w:top w:val="nil"/>
              <w:left w:val="nil"/>
              <w:bottom w:val="nil"/>
              <w:right w:val="nil"/>
            </w:tcBorders>
          </w:tcPr>
          <w:p>
            <w:pPr>
              <w:pStyle w:val="TableParagraph"/>
              <w:spacing w:before="26"/>
              <w:ind w:right="235"/>
              <w:rPr>
                <w:sz w:val="20"/>
              </w:rPr>
            </w:pPr>
            <w:r>
              <w:rPr>
                <w:sz w:val="20"/>
              </w:rPr>
              <w:t>1.4</w:t>
            </w:r>
          </w:p>
        </w:tc>
        <w:tc>
          <w:tcPr>
            <w:tcW w:w="984" w:type="dxa"/>
            <w:tcBorders>
              <w:top w:val="nil"/>
              <w:left w:val="nil"/>
              <w:bottom w:val="nil"/>
              <w:right w:val="nil"/>
            </w:tcBorders>
          </w:tcPr>
          <w:p>
            <w:pPr>
              <w:pStyle w:val="TableParagraph"/>
              <w:spacing w:before="26"/>
              <w:ind w:right="288"/>
              <w:rPr>
                <w:sz w:val="20"/>
              </w:rPr>
            </w:pPr>
            <w:r>
              <w:rPr>
                <w:sz w:val="20"/>
              </w:rPr>
              <w:t>1.8</w:t>
            </w:r>
          </w:p>
        </w:tc>
        <w:tc>
          <w:tcPr>
            <w:tcW w:w="934" w:type="dxa"/>
            <w:tcBorders>
              <w:top w:val="nil"/>
              <w:left w:val="nil"/>
              <w:bottom w:val="nil"/>
              <w:right w:val="nil"/>
            </w:tcBorders>
          </w:tcPr>
          <w:p>
            <w:pPr>
              <w:pStyle w:val="TableParagraph"/>
              <w:spacing w:before="26"/>
              <w:ind w:left="272" w:right="169"/>
              <w:jc w:val="center"/>
              <w:rPr>
                <w:sz w:val="20"/>
              </w:rPr>
            </w:pPr>
            <w:r>
              <w:rPr>
                <w:sz w:val="20"/>
              </w:rPr>
              <w:t>1.9</w:t>
            </w:r>
          </w:p>
        </w:tc>
        <w:tc>
          <w:tcPr>
            <w:tcW w:w="934" w:type="dxa"/>
            <w:tcBorders>
              <w:top w:val="nil"/>
              <w:left w:val="nil"/>
              <w:bottom w:val="nil"/>
              <w:right w:val="nil"/>
            </w:tcBorders>
          </w:tcPr>
          <w:p>
            <w:pPr>
              <w:pStyle w:val="TableParagraph"/>
              <w:spacing w:before="26"/>
              <w:ind w:right="288"/>
              <w:rPr>
                <w:sz w:val="20"/>
              </w:rPr>
            </w:pPr>
            <w:r>
              <w:rPr>
                <w:sz w:val="20"/>
              </w:rPr>
              <w:t>2.0</w:t>
            </w:r>
          </w:p>
        </w:tc>
        <w:tc>
          <w:tcPr>
            <w:tcW w:w="708" w:type="dxa"/>
            <w:tcBorders>
              <w:top w:val="nil"/>
              <w:left w:val="nil"/>
              <w:bottom w:val="nil"/>
              <w:right w:val="nil"/>
            </w:tcBorders>
          </w:tcPr>
          <w:p>
            <w:pPr>
              <w:pStyle w:val="TableParagraph"/>
              <w:spacing w:before="26"/>
              <w:ind w:right="60"/>
              <w:rPr>
                <w:sz w:val="20"/>
              </w:rPr>
            </w:pPr>
            <w:r>
              <w:rPr>
                <w:sz w:val="20"/>
              </w:rPr>
              <w:t>2.0</w:t>
            </w:r>
          </w:p>
        </w:tc>
      </w:tr>
      <w:tr>
        <w:trPr>
          <w:trHeight w:val="300" w:hRule="exact"/>
        </w:trPr>
        <w:tc>
          <w:tcPr>
            <w:tcW w:w="1371" w:type="dxa"/>
            <w:tcBorders>
              <w:top w:val="nil"/>
              <w:left w:val="nil"/>
              <w:bottom w:val="nil"/>
              <w:right w:val="nil"/>
            </w:tcBorders>
          </w:tcPr>
          <w:p>
            <w:pPr>
              <w:pStyle w:val="TableParagraph"/>
              <w:spacing w:before="26"/>
              <w:ind w:right="68"/>
              <w:rPr>
                <w:sz w:val="20"/>
              </w:rPr>
            </w:pPr>
            <w:r>
              <w:rPr>
                <w:sz w:val="20"/>
              </w:rPr>
              <w:t>TMPSTDMN1</w:t>
            </w:r>
          </w:p>
        </w:tc>
        <w:tc>
          <w:tcPr>
            <w:tcW w:w="1316" w:type="dxa"/>
            <w:tcBorders>
              <w:top w:val="nil"/>
              <w:left w:val="nil"/>
              <w:bottom w:val="nil"/>
              <w:right w:val="nil"/>
            </w:tcBorders>
          </w:tcPr>
          <w:p>
            <w:pPr>
              <w:pStyle w:val="TableParagraph"/>
              <w:spacing w:before="26"/>
              <w:ind w:right="67"/>
              <w:rPr>
                <w:sz w:val="20"/>
              </w:rPr>
            </w:pPr>
            <w:r>
              <w:rPr>
                <w:sz w:val="20"/>
              </w:rPr>
              <w:t>2.7</w:t>
            </w:r>
          </w:p>
        </w:tc>
        <w:tc>
          <w:tcPr>
            <w:tcW w:w="1507" w:type="dxa"/>
            <w:tcBorders>
              <w:top w:val="nil"/>
              <w:left w:val="nil"/>
              <w:bottom w:val="nil"/>
              <w:right w:val="nil"/>
            </w:tcBorders>
          </w:tcPr>
          <w:p>
            <w:pPr>
              <w:pStyle w:val="TableParagraph"/>
              <w:spacing w:before="26"/>
              <w:ind w:right="86"/>
              <w:rPr>
                <w:sz w:val="20"/>
              </w:rPr>
            </w:pPr>
            <w:r>
              <w:rPr>
                <w:sz w:val="20"/>
              </w:rPr>
              <w:t>2.6</w:t>
            </w:r>
          </w:p>
        </w:tc>
        <w:tc>
          <w:tcPr>
            <w:tcW w:w="1133" w:type="dxa"/>
            <w:tcBorders>
              <w:top w:val="nil"/>
              <w:left w:val="nil"/>
              <w:bottom w:val="nil"/>
              <w:right w:val="nil"/>
            </w:tcBorders>
          </w:tcPr>
          <w:p>
            <w:pPr>
              <w:pStyle w:val="TableParagraph"/>
              <w:spacing w:before="26"/>
              <w:ind w:right="288"/>
              <w:rPr>
                <w:sz w:val="20"/>
              </w:rPr>
            </w:pPr>
            <w:r>
              <w:rPr>
                <w:sz w:val="20"/>
              </w:rPr>
              <w:t>2.5</w:t>
            </w:r>
          </w:p>
        </w:tc>
        <w:tc>
          <w:tcPr>
            <w:tcW w:w="934" w:type="dxa"/>
            <w:tcBorders>
              <w:top w:val="nil"/>
              <w:left w:val="nil"/>
              <w:bottom w:val="nil"/>
              <w:right w:val="nil"/>
            </w:tcBorders>
          </w:tcPr>
          <w:p>
            <w:pPr>
              <w:pStyle w:val="TableParagraph"/>
              <w:spacing w:before="26"/>
              <w:ind w:right="286"/>
              <w:rPr>
                <w:sz w:val="20"/>
              </w:rPr>
            </w:pPr>
            <w:r>
              <w:rPr>
                <w:sz w:val="20"/>
              </w:rPr>
              <w:t>2.0</w:t>
            </w:r>
          </w:p>
        </w:tc>
        <w:tc>
          <w:tcPr>
            <w:tcW w:w="881" w:type="dxa"/>
            <w:tcBorders>
              <w:top w:val="nil"/>
              <w:left w:val="nil"/>
              <w:bottom w:val="nil"/>
              <w:right w:val="nil"/>
            </w:tcBorders>
          </w:tcPr>
          <w:p>
            <w:pPr>
              <w:pStyle w:val="TableParagraph"/>
              <w:spacing w:before="26"/>
              <w:ind w:right="235"/>
              <w:rPr>
                <w:sz w:val="20"/>
              </w:rPr>
            </w:pPr>
            <w:r>
              <w:rPr>
                <w:sz w:val="20"/>
              </w:rPr>
              <w:t>2.1</w:t>
            </w:r>
          </w:p>
        </w:tc>
        <w:tc>
          <w:tcPr>
            <w:tcW w:w="934" w:type="dxa"/>
            <w:tcBorders>
              <w:top w:val="nil"/>
              <w:left w:val="nil"/>
              <w:bottom w:val="nil"/>
              <w:right w:val="nil"/>
            </w:tcBorders>
          </w:tcPr>
          <w:p>
            <w:pPr>
              <w:pStyle w:val="TableParagraph"/>
              <w:spacing w:before="26"/>
              <w:ind w:right="238"/>
              <w:rPr>
                <w:sz w:val="20"/>
              </w:rPr>
            </w:pPr>
            <w:r>
              <w:rPr>
                <w:sz w:val="20"/>
              </w:rPr>
              <w:t>2.5</w:t>
            </w:r>
          </w:p>
        </w:tc>
        <w:tc>
          <w:tcPr>
            <w:tcW w:w="934" w:type="dxa"/>
            <w:tcBorders>
              <w:top w:val="nil"/>
              <w:left w:val="nil"/>
              <w:bottom w:val="nil"/>
              <w:right w:val="nil"/>
            </w:tcBorders>
          </w:tcPr>
          <w:p>
            <w:pPr>
              <w:pStyle w:val="TableParagraph"/>
              <w:spacing w:before="26"/>
              <w:ind w:right="235"/>
              <w:rPr>
                <w:sz w:val="20"/>
              </w:rPr>
            </w:pPr>
            <w:r>
              <w:rPr>
                <w:sz w:val="20"/>
              </w:rPr>
              <w:t>2.2</w:t>
            </w:r>
          </w:p>
        </w:tc>
        <w:tc>
          <w:tcPr>
            <w:tcW w:w="932" w:type="dxa"/>
            <w:tcBorders>
              <w:top w:val="nil"/>
              <w:left w:val="nil"/>
              <w:bottom w:val="nil"/>
              <w:right w:val="nil"/>
            </w:tcBorders>
          </w:tcPr>
          <w:p>
            <w:pPr>
              <w:pStyle w:val="TableParagraph"/>
              <w:spacing w:before="26"/>
              <w:ind w:right="235"/>
              <w:rPr>
                <w:sz w:val="20"/>
              </w:rPr>
            </w:pPr>
            <w:r>
              <w:rPr>
                <w:sz w:val="20"/>
              </w:rPr>
              <w:t>2.2</w:t>
            </w:r>
          </w:p>
        </w:tc>
        <w:tc>
          <w:tcPr>
            <w:tcW w:w="984" w:type="dxa"/>
            <w:tcBorders>
              <w:top w:val="nil"/>
              <w:left w:val="nil"/>
              <w:bottom w:val="nil"/>
              <w:right w:val="nil"/>
            </w:tcBorders>
          </w:tcPr>
          <w:p>
            <w:pPr>
              <w:pStyle w:val="TableParagraph"/>
              <w:spacing w:before="26"/>
              <w:ind w:right="288"/>
              <w:rPr>
                <w:sz w:val="20"/>
              </w:rPr>
            </w:pPr>
            <w:r>
              <w:rPr>
                <w:sz w:val="20"/>
              </w:rPr>
              <w:t>2.7</w:t>
            </w:r>
          </w:p>
        </w:tc>
        <w:tc>
          <w:tcPr>
            <w:tcW w:w="934" w:type="dxa"/>
            <w:tcBorders>
              <w:top w:val="nil"/>
              <w:left w:val="nil"/>
              <w:bottom w:val="nil"/>
              <w:right w:val="nil"/>
            </w:tcBorders>
          </w:tcPr>
          <w:p>
            <w:pPr>
              <w:pStyle w:val="TableParagraph"/>
              <w:spacing w:before="26"/>
              <w:ind w:left="272" w:right="169"/>
              <w:jc w:val="center"/>
              <w:rPr>
                <w:sz w:val="20"/>
              </w:rPr>
            </w:pPr>
            <w:r>
              <w:rPr>
                <w:sz w:val="20"/>
              </w:rPr>
              <w:t>3.4</w:t>
            </w:r>
          </w:p>
        </w:tc>
        <w:tc>
          <w:tcPr>
            <w:tcW w:w="934" w:type="dxa"/>
            <w:tcBorders>
              <w:top w:val="nil"/>
              <w:left w:val="nil"/>
              <w:bottom w:val="nil"/>
              <w:right w:val="nil"/>
            </w:tcBorders>
          </w:tcPr>
          <w:p>
            <w:pPr>
              <w:pStyle w:val="TableParagraph"/>
              <w:spacing w:before="26"/>
              <w:ind w:right="288"/>
              <w:rPr>
                <w:sz w:val="20"/>
              </w:rPr>
            </w:pPr>
            <w:r>
              <w:rPr>
                <w:sz w:val="20"/>
              </w:rPr>
              <w:t>3.2</w:t>
            </w:r>
          </w:p>
        </w:tc>
        <w:tc>
          <w:tcPr>
            <w:tcW w:w="708" w:type="dxa"/>
            <w:tcBorders>
              <w:top w:val="nil"/>
              <w:left w:val="nil"/>
              <w:bottom w:val="nil"/>
              <w:right w:val="nil"/>
            </w:tcBorders>
          </w:tcPr>
          <w:p>
            <w:pPr>
              <w:pStyle w:val="TableParagraph"/>
              <w:spacing w:before="26"/>
              <w:ind w:right="60"/>
              <w:rPr>
                <w:sz w:val="20"/>
              </w:rPr>
            </w:pPr>
            <w:r>
              <w:rPr>
                <w:sz w:val="20"/>
              </w:rPr>
              <w:t>3.1</w:t>
            </w:r>
          </w:p>
        </w:tc>
      </w:tr>
      <w:tr>
        <w:trPr>
          <w:trHeight w:val="300" w:hRule="exact"/>
        </w:trPr>
        <w:tc>
          <w:tcPr>
            <w:tcW w:w="1371" w:type="dxa"/>
            <w:tcBorders>
              <w:top w:val="nil"/>
              <w:left w:val="nil"/>
              <w:bottom w:val="nil"/>
              <w:right w:val="nil"/>
            </w:tcBorders>
          </w:tcPr>
          <w:p>
            <w:pPr>
              <w:pStyle w:val="TableParagraph"/>
              <w:ind w:left="288"/>
              <w:jc w:val="left"/>
              <w:rPr>
                <w:sz w:val="20"/>
              </w:rPr>
            </w:pPr>
            <w:r>
              <w:rPr>
                <w:sz w:val="20"/>
              </w:rPr>
              <w:t>PCPMM1</w:t>
            </w:r>
          </w:p>
        </w:tc>
        <w:tc>
          <w:tcPr>
            <w:tcW w:w="1316" w:type="dxa"/>
            <w:tcBorders>
              <w:top w:val="nil"/>
              <w:left w:val="nil"/>
              <w:bottom w:val="nil"/>
              <w:right w:val="nil"/>
            </w:tcBorders>
          </w:tcPr>
          <w:p>
            <w:pPr>
              <w:pStyle w:val="TableParagraph"/>
              <w:ind w:right="67"/>
              <w:rPr>
                <w:sz w:val="20"/>
              </w:rPr>
            </w:pPr>
            <w:r>
              <w:rPr>
                <w:sz w:val="20"/>
              </w:rPr>
              <w:t>13.1</w:t>
            </w:r>
          </w:p>
        </w:tc>
        <w:tc>
          <w:tcPr>
            <w:tcW w:w="1507" w:type="dxa"/>
            <w:tcBorders>
              <w:top w:val="nil"/>
              <w:left w:val="nil"/>
              <w:bottom w:val="nil"/>
              <w:right w:val="nil"/>
            </w:tcBorders>
          </w:tcPr>
          <w:p>
            <w:pPr>
              <w:pStyle w:val="TableParagraph"/>
              <w:ind w:right="86"/>
              <w:rPr>
                <w:sz w:val="20"/>
              </w:rPr>
            </w:pPr>
            <w:r>
              <w:rPr>
                <w:sz w:val="20"/>
              </w:rPr>
              <w:t>8.1</w:t>
            </w:r>
          </w:p>
        </w:tc>
        <w:tc>
          <w:tcPr>
            <w:tcW w:w="1133" w:type="dxa"/>
            <w:tcBorders>
              <w:top w:val="nil"/>
              <w:left w:val="nil"/>
              <w:bottom w:val="nil"/>
              <w:right w:val="nil"/>
            </w:tcBorders>
          </w:tcPr>
          <w:p>
            <w:pPr>
              <w:pStyle w:val="TableParagraph"/>
              <w:ind w:right="288"/>
              <w:rPr>
                <w:sz w:val="20"/>
              </w:rPr>
            </w:pPr>
            <w:r>
              <w:rPr>
                <w:sz w:val="20"/>
              </w:rPr>
              <w:t>11.6</w:t>
            </w:r>
          </w:p>
        </w:tc>
        <w:tc>
          <w:tcPr>
            <w:tcW w:w="934" w:type="dxa"/>
            <w:tcBorders>
              <w:top w:val="nil"/>
              <w:left w:val="nil"/>
              <w:bottom w:val="nil"/>
              <w:right w:val="nil"/>
            </w:tcBorders>
          </w:tcPr>
          <w:p>
            <w:pPr>
              <w:pStyle w:val="TableParagraph"/>
              <w:ind w:right="286"/>
              <w:rPr>
                <w:sz w:val="20"/>
              </w:rPr>
            </w:pPr>
            <w:r>
              <w:rPr>
                <w:sz w:val="20"/>
              </w:rPr>
              <w:t>17.0</w:t>
            </w:r>
          </w:p>
        </w:tc>
        <w:tc>
          <w:tcPr>
            <w:tcW w:w="881" w:type="dxa"/>
            <w:tcBorders>
              <w:top w:val="nil"/>
              <w:left w:val="nil"/>
              <w:bottom w:val="nil"/>
              <w:right w:val="nil"/>
            </w:tcBorders>
          </w:tcPr>
          <w:p>
            <w:pPr>
              <w:pStyle w:val="TableParagraph"/>
              <w:ind w:right="235"/>
              <w:rPr>
                <w:sz w:val="20"/>
              </w:rPr>
            </w:pPr>
            <w:r>
              <w:rPr>
                <w:sz w:val="20"/>
              </w:rPr>
              <w:t>50.0</w:t>
            </w:r>
          </w:p>
        </w:tc>
        <w:tc>
          <w:tcPr>
            <w:tcW w:w="934" w:type="dxa"/>
            <w:tcBorders>
              <w:top w:val="nil"/>
              <w:left w:val="nil"/>
              <w:bottom w:val="nil"/>
              <w:right w:val="nil"/>
            </w:tcBorders>
          </w:tcPr>
          <w:p>
            <w:pPr>
              <w:pStyle w:val="TableParagraph"/>
              <w:ind w:right="238"/>
              <w:rPr>
                <w:sz w:val="20"/>
              </w:rPr>
            </w:pPr>
            <w:r>
              <w:rPr>
                <w:sz w:val="20"/>
              </w:rPr>
              <w:t>126.2</w:t>
            </w:r>
          </w:p>
        </w:tc>
        <w:tc>
          <w:tcPr>
            <w:tcW w:w="934" w:type="dxa"/>
            <w:tcBorders>
              <w:top w:val="nil"/>
              <w:left w:val="nil"/>
              <w:bottom w:val="nil"/>
              <w:right w:val="nil"/>
            </w:tcBorders>
          </w:tcPr>
          <w:p>
            <w:pPr>
              <w:pStyle w:val="TableParagraph"/>
              <w:ind w:right="235"/>
              <w:rPr>
                <w:sz w:val="20"/>
              </w:rPr>
            </w:pPr>
            <w:r>
              <w:rPr>
                <w:sz w:val="20"/>
              </w:rPr>
              <w:t>153.8</w:t>
            </w:r>
          </w:p>
        </w:tc>
        <w:tc>
          <w:tcPr>
            <w:tcW w:w="932" w:type="dxa"/>
            <w:tcBorders>
              <w:top w:val="nil"/>
              <w:left w:val="nil"/>
              <w:bottom w:val="nil"/>
              <w:right w:val="nil"/>
            </w:tcBorders>
          </w:tcPr>
          <w:p>
            <w:pPr>
              <w:pStyle w:val="TableParagraph"/>
              <w:ind w:right="236"/>
              <w:rPr>
                <w:sz w:val="20"/>
              </w:rPr>
            </w:pPr>
            <w:r>
              <w:rPr>
                <w:sz w:val="20"/>
              </w:rPr>
              <w:t>140.8</w:t>
            </w:r>
          </w:p>
        </w:tc>
        <w:tc>
          <w:tcPr>
            <w:tcW w:w="984" w:type="dxa"/>
            <w:tcBorders>
              <w:top w:val="nil"/>
              <w:left w:val="nil"/>
              <w:bottom w:val="nil"/>
              <w:right w:val="nil"/>
            </w:tcBorders>
          </w:tcPr>
          <w:p>
            <w:pPr>
              <w:pStyle w:val="TableParagraph"/>
              <w:ind w:right="288"/>
              <w:rPr>
                <w:sz w:val="20"/>
              </w:rPr>
            </w:pPr>
            <w:r>
              <w:rPr>
                <w:sz w:val="20"/>
              </w:rPr>
              <w:t>121.0</w:t>
            </w:r>
          </w:p>
        </w:tc>
        <w:tc>
          <w:tcPr>
            <w:tcW w:w="934" w:type="dxa"/>
            <w:tcBorders>
              <w:top w:val="nil"/>
              <w:left w:val="nil"/>
              <w:bottom w:val="nil"/>
              <w:right w:val="nil"/>
            </w:tcBorders>
          </w:tcPr>
          <w:p>
            <w:pPr>
              <w:pStyle w:val="TableParagraph"/>
              <w:ind w:left="272" w:right="270"/>
              <w:jc w:val="center"/>
              <w:rPr>
                <w:sz w:val="20"/>
              </w:rPr>
            </w:pPr>
            <w:r>
              <w:rPr>
                <w:sz w:val="20"/>
              </w:rPr>
              <w:t>64.3</w:t>
            </w:r>
          </w:p>
        </w:tc>
        <w:tc>
          <w:tcPr>
            <w:tcW w:w="934" w:type="dxa"/>
            <w:tcBorders>
              <w:top w:val="nil"/>
              <w:left w:val="nil"/>
              <w:bottom w:val="nil"/>
              <w:right w:val="nil"/>
            </w:tcBorders>
          </w:tcPr>
          <w:p>
            <w:pPr>
              <w:pStyle w:val="TableParagraph"/>
              <w:ind w:right="288"/>
              <w:rPr>
                <w:sz w:val="20"/>
              </w:rPr>
            </w:pPr>
            <w:r>
              <w:rPr>
                <w:sz w:val="20"/>
              </w:rPr>
              <w:t>19.1</w:t>
            </w:r>
          </w:p>
        </w:tc>
        <w:tc>
          <w:tcPr>
            <w:tcW w:w="708" w:type="dxa"/>
            <w:tcBorders>
              <w:top w:val="nil"/>
              <w:left w:val="nil"/>
              <w:bottom w:val="nil"/>
              <w:right w:val="nil"/>
            </w:tcBorders>
          </w:tcPr>
          <w:p>
            <w:pPr>
              <w:pStyle w:val="TableParagraph"/>
              <w:ind w:right="60"/>
              <w:rPr>
                <w:sz w:val="20"/>
              </w:rPr>
            </w:pPr>
            <w:r>
              <w:rPr>
                <w:sz w:val="20"/>
              </w:rPr>
              <w:t>11.5</w:t>
            </w:r>
          </w:p>
        </w:tc>
      </w:tr>
      <w:tr>
        <w:trPr>
          <w:trHeight w:val="303" w:hRule="exact"/>
        </w:trPr>
        <w:tc>
          <w:tcPr>
            <w:tcW w:w="1371" w:type="dxa"/>
            <w:tcBorders>
              <w:top w:val="nil"/>
              <w:left w:val="nil"/>
              <w:bottom w:val="nil"/>
              <w:right w:val="nil"/>
            </w:tcBorders>
          </w:tcPr>
          <w:p>
            <w:pPr>
              <w:pStyle w:val="TableParagraph"/>
              <w:spacing w:before="26"/>
              <w:ind w:left="273"/>
              <w:jc w:val="left"/>
              <w:rPr>
                <w:sz w:val="20"/>
              </w:rPr>
            </w:pPr>
            <w:r>
              <w:rPr>
                <w:sz w:val="20"/>
              </w:rPr>
              <w:t>PCPSTD1</w:t>
            </w:r>
          </w:p>
        </w:tc>
        <w:tc>
          <w:tcPr>
            <w:tcW w:w="1316" w:type="dxa"/>
            <w:tcBorders>
              <w:top w:val="nil"/>
              <w:left w:val="nil"/>
              <w:bottom w:val="nil"/>
              <w:right w:val="nil"/>
            </w:tcBorders>
          </w:tcPr>
          <w:p>
            <w:pPr>
              <w:pStyle w:val="TableParagraph"/>
              <w:spacing w:before="26"/>
              <w:ind w:right="67"/>
              <w:rPr>
                <w:sz w:val="20"/>
              </w:rPr>
            </w:pPr>
            <w:r>
              <w:rPr>
                <w:sz w:val="20"/>
              </w:rPr>
              <w:t>2.4</w:t>
            </w:r>
          </w:p>
        </w:tc>
        <w:tc>
          <w:tcPr>
            <w:tcW w:w="1507" w:type="dxa"/>
            <w:tcBorders>
              <w:top w:val="nil"/>
              <w:left w:val="nil"/>
              <w:bottom w:val="nil"/>
              <w:right w:val="nil"/>
            </w:tcBorders>
          </w:tcPr>
          <w:p>
            <w:pPr>
              <w:pStyle w:val="TableParagraph"/>
              <w:spacing w:before="26"/>
              <w:ind w:right="86"/>
              <w:rPr>
                <w:sz w:val="20"/>
              </w:rPr>
            </w:pPr>
            <w:r>
              <w:rPr>
                <w:sz w:val="20"/>
              </w:rPr>
              <w:t>1.4</w:t>
            </w:r>
          </w:p>
        </w:tc>
        <w:tc>
          <w:tcPr>
            <w:tcW w:w="1133" w:type="dxa"/>
            <w:tcBorders>
              <w:top w:val="nil"/>
              <w:left w:val="nil"/>
              <w:bottom w:val="nil"/>
              <w:right w:val="nil"/>
            </w:tcBorders>
          </w:tcPr>
          <w:p>
            <w:pPr>
              <w:pStyle w:val="TableParagraph"/>
              <w:spacing w:before="26"/>
              <w:ind w:right="288"/>
              <w:rPr>
                <w:sz w:val="20"/>
              </w:rPr>
            </w:pPr>
            <w:r>
              <w:rPr>
                <w:sz w:val="20"/>
              </w:rPr>
              <w:t>2.3</w:t>
            </w:r>
          </w:p>
        </w:tc>
        <w:tc>
          <w:tcPr>
            <w:tcW w:w="934" w:type="dxa"/>
            <w:tcBorders>
              <w:top w:val="nil"/>
              <w:left w:val="nil"/>
              <w:bottom w:val="nil"/>
              <w:right w:val="nil"/>
            </w:tcBorders>
          </w:tcPr>
          <w:p>
            <w:pPr>
              <w:pStyle w:val="TableParagraph"/>
              <w:spacing w:before="26"/>
              <w:ind w:right="286"/>
              <w:rPr>
                <w:sz w:val="20"/>
              </w:rPr>
            </w:pPr>
            <w:r>
              <w:rPr>
                <w:sz w:val="20"/>
              </w:rPr>
              <w:t>2.4</w:t>
            </w:r>
          </w:p>
        </w:tc>
        <w:tc>
          <w:tcPr>
            <w:tcW w:w="881" w:type="dxa"/>
            <w:tcBorders>
              <w:top w:val="nil"/>
              <w:left w:val="nil"/>
              <w:bottom w:val="nil"/>
              <w:right w:val="nil"/>
            </w:tcBorders>
          </w:tcPr>
          <w:p>
            <w:pPr>
              <w:pStyle w:val="TableParagraph"/>
              <w:spacing w:before="26"/>
              <w:ind w:right="235"/>
              <w:rPr>
                <w:sz w:val="20"/>
              </w:rPr>
            </w:pPr>
            <w:r>
              <w:rPr>
                <w:sz w:val="20"/>
              </w:rPr>
              <w:t>4.3</w:t>
            </w:r>
          </w:p>
        </w:tc>
        <w:tc>
          <w:tcPr>
            <w:tcW w:w="934" w:type="dxa"/>
            <w:tcBorders>
              <w:top w:val="nil"/>
              <w:left w:val="nil"/>
              <w:bottom w:val="nil"/>
              <w:right w:val="nil"/>
            </w:tcBorders>
          </w:tcPr>
          <w:p>
            <w:pPr>
              <w:pStyle w:val="TableParagraph"/>
              <w:spacing w:before="26"/>
              <w:ind w:right="238"/>
              <w:rPr>
                <w:sz w:val="20"/>
              </w:rPr>
            </w:pPr>
            <w:r>
              <w:rPr>
                <w:sz w:val="20"/>
              </w:rPr>
              <w:t>7.7</w:t>
            </w:r>
          </w:p>
        </w:tc>
        <w:tc>
          <w:tcPr>
            <w:tcW w:w="934" w:type="dxa"/>
            <w:tcBorders>
              <w:top w:val="nil"/>
              <w:left w:val="nil"/>
              <w:bottom w:val="nil"/>
              <w:right w:val="nil"/>
            </w:tcBorders>
          </w:tcPr>
          <w:p>
            <w:pPr>
              <w:pStyle w:val="TableParagraph"/>
              <w:spacing w:before="26"/>
              <w:ind w:right="235"/>
              <w:rPr>
                <w:sz w:val="20"/>
              </w:rPr>
            </w:pPr>
            <w:r>
              <w:rPr>
                <w:sz w:val="20"/>
              </w:rPr>
              <w:t>7.8</w:t>
            </w:r>
          </w:p>
        </w:tc>
        <w:tc>
          <w:tcPr>
            <w:tcW w:w="932" w:type="dxa"/>
            <w:tcBorders>
              <w:top w:val="nil"/>
              <w:left w:val="nil"/>
              <w:bottom w:val="nil"/>
              <w:right w:val="nil"/>
            </w:tcBorders>
          </w:tcPr>
          <w:p>
            <w:pPr>
              <w:pStyle w:val="TableParagraph"/>
              <w:spacing w:before="26"/>
              <w:ind w:right="235"/>
              <w:rPr>
                <w:sz w:val="20"/>
              </w:rPr>
            </w:pPr>
            <w:r>
              <w:rPr>
                <w:sz w:val="20"/>
              </w:rPr>
              <w:t>7.5</w:t>
            </w:r>
          </w:p>
        </w:tc>
        <w:tc>
          <w:tcPr>
            <w:tcW w:w="984" w:type="dxa"/>
            <w:tcBorders>
              <w:top w:val="nil"/>
              <w:left w:val="nil"/>
              <w:bottom w:val="nil"/>
              <w:right w:val="nil"/>
            </w:tcBorders>
          </w:tcPr>
          <w:p>
            <w:pPr>
              <w:pStyle w:val="TableParagraph"/>
              <w:spacing w:before="26"/>
              <w:ind w:right="288"/>
              <w:rPr>
                <w:sz w:val="20"/>
              </w:rPr>
            </w:pPr>
            <w:r>
              <w:rPr>
                <w:sz w:val="20"/>
              </w:rPr>
              <w:t>7.5</w:t>
            </w:r>
          </w:p>
        </w:tc>
        <w:tc>
          <w:tcPr>
            <w:tcW w:w="934" w:type="dxa"/>
            <w:tcBorders>
              <w:top w:val="nil"/>
              <w:left w:val="nil"/>
              <w:bottom w:val="nil"/>
              <w:right w:val="nil"/>
            </w:tcBorders>
          </w:tcPr>
          <w:p>
            <w:pPr>
              <w:pStyle w:val="TableParagraph"/>
              <w:spacing w:before="26"/>
              <w:ind w:left="272" w:right="169"/>
              <w:jc w:val="center"/>
              <w:rPr>
                <w:sz w:val="20"/>
              </w:rPr>
            </w:pPr>
            <w:r>
              <w:rPr>
                <w:sz w:val="20"/>
              </w:rPr>
              <w:t>6.1</w:t>
            </w:r>
          </w:p>
        </w:tc>
        <w:tc>
          <w:tcPr>
            <w:tcW w:w="934" w:type="dxa"/>
            <w:tcBorders>
              <w:top w:val="nil"/>
              <w:left w:val="nil"/>
              <w:bottom w:val="nil"/>
              <w:right w:val="nil"/>
            </w:tcBorders>
          </w:tcPr>
          <w:p>
            <w:pPr>
              <w:pStyle w:val="TableParagraph"/>
              <w:spacing w:before="26"/>
              <w:ind w:right="288"/>
              <w:rPr>
                <w:sz w:val="20"/>
              </w:rPr>
            </w:pPr>
            <w:r>
              <w:rPr>
                <w:sz w:val="20"/>
              </w:rPr>
              <w:t>2.6</w:t>
            </w:r>
          </w:p>
        </w:tc>
        <w:tc>
          <w:tcPr>
            <w:tcW w:w="708" w:type="dxa"/>
            <w:tcBorders>
              <w:top w:val="nil"/>
              <w:left w:val="nil"/>
              <w:bottom w:val="nil"/>
              <w:right w:val="nil"/>
            </w:tcBorders>
          </w:tcPr>
          <w:p>
            <w:pPr>
              <w:pStyle w:val="TableParagraph"/>
              <w:spacing w:before="26"/>
              <w:ind w:right="60"/>
              <w:rPr>
                <w:sz w:val="20"/>
              </w:rPr>
            </w:pPr>
            <w:r>
              <w:rPr>
                <w:sz w:val="20"/>
              </w:rPr>
              <w:t>2.0</w:t>
            </w:r>
          </w:p>
        </w:tc>
      </w:tr>
      <w:tr>
        <w:trPr>
          <w:trHeight w:val="303" w:hRule="exact"/>
        </w:trPr>
        <w:tc>
          <w:tcPr>
            <w:tcW w:w="1371" w:type="dxa"/>
            <w:tcBorders>
              <w:top w:val="nil"/>
              <w:left w:val="nil"/>
              <w:bottom w:val="nil"/>
              <w:right w:val="nil"/>
            </w:tcBorders>
          </w:tcPr>
          <w:p>
            <w:pPr>
              <w:pStyle w:val="TableParagraph"/>
              <w:spacing w:before="26"/>
              <w:ind w:left="240"/>
              <w:jc w:val="left"/>
              <w:rPr>
                <w:sz w:val="20"/>
              </w:rPr>
            </w:pPr>
            <w:r>
              <w:rPr>
                <w:sz w:val="20"/>
              </w:rPr>
              <w:t>PCPSKW1</w:t>
            </w:r>
          </w:p>
        </w:tc>
        <w:tc>
          <w:tcPr>
            <w:tcW w:w="1316" w:type="dxa"/>
            <w:tcBorders>
              <w:top w:val="nil"/>
              <w:left w:val="nil"/>
              <w:bottom w:val="nil"/>
              <w:right w:val="nil"/>
            </w:tcBorders>
          </w:tcPr>
          <w:p>
            <w:pPr>
              <w:pStyle w:val="TableParagraph"/>
              <w:spacing w:before="26"/>
              <w:ind w:right="67"/>
              <w:rPr>
                <w:sz w:val="20"/>
              </w:rPr>
            </w:pPr>
            <w:r>
              <w:rPr>
                <w:sz w:val="20"/>
              </w:rPr>
              <w:t>7.7</w:t>
            </w:r>
          </w:p>
        </w:tc>
        <w:tc>
          <w:tcPr>
            <w:tcW w:w="1507" w:type="dxa"/>
            <w:tcBorders>
              <w:top w:val="nil"/>
              <w:left w:val="nil"/>
              <w:bottom w:val="nil"/>
              <w:right w:val="nil"/>
            </w:tcBorders>
          </w:tcPr>
          <w:p>
            <w:pPr>
              <w:pStyle w:val="TableParagraph"/>
              <w:spacing w:before="26"/>
              <w:ind w:right="86"/>
              <w:rPr>
                <w:sz w:val="20"/>
              </w:rPr>
            </w:pPr>
            <w:r>
              <w:rPr>
                <w:sz w:val="20"/>
              </w:rPr>
              <w:t>6.7</w:t>
            </w:r>
          </w:p>
        </w:tc>
        <w:tc>
          <w:tcPr>
            <w:tcW w:w="1133" w:type="dxa"/>
            <w:tcBorders>
              <w:top w:val="nil"/>
              <w:left w:val="nil"/>
              <w:bottom w:val="nil"/>
              <w:right w:val="nil"/>
            </w:tcBorders>
          </w:tcPr>
          <w:p>
            <w:pPr>
              <w:pStyle w:val="TableParagraph"/>
              <w:spacing w:before="26"/>
              <w:ind w:right="288"/>
              <w:rPr>
                <w:sz w:val="20"/>
              </w:rPr>
            </w:pPr>
            <w:r>
              <w:rPr>
                <w:sz w:val="20"/>
              </w:rPr>
              <w:t>9.9</w:t>
            </w:r>
          </w:p>
        </w:tc>
        <w:tc>
          <w:tcPr>
            <w:tcW w:w="934" w:type="dxa"/>
            <w:tcBorders>
              <w:top w:val="nil"/>
              <w:left w:val="nil"/>
              <w:bottom w:val="nil"/>
              <w:right w:val="nil"/>
            </w:tcBorders>
          </w:tcPr>
          <w:p>
            <w:pPr>
              <w:pStyle w:val="TableParagraph"/>
              <w:spacing w:before="26"/>
              <w:ind w:right="286"/>
              <w:rPr>
                <w:sz w:val="20"/>
              </w:rPr>
            </w:pPr>
            <w:r>
              <w:rPr>
                <w:sz w:val="20"/>
              </w:rPr>
              <w:t>6.4</w:t>
            </w:r>
          </w:p>
        </w:tc>
        <w:tc>
          <w:tcPr>
            <w:tcW w:w="881" w:type="dxa"/>
            <w:tcBorders>
              <w:top w:val="nil"/>
              <w:left w:val="nil"/>
              <w:bottom w:val="nil"/>
              <w:right w:val="nil"/>
            </w:tcBorders>
          </w:tcPr>
          <w:p>
            <w:pPr>
              <w:pStyle w:val="TableParagraph"/>
              <w:spacing w:before="26"/>
              <w:ind w:right="235"/>
              <w:rPr>
                <w:sz w:val="20"/>
              </w:rPr>
            </w:pPr>
            <w:r>
              <w:rPr>
                <w:sz w:val="20"/>
              </w:rPr>
              <w:t>4.5</w:t>
            </w:r>
          </w:p>
        </w:tc>
        <w:tc>
          <w:tcPr>
            <w:tcW w:w="934" w:type="dxa"/>
            <w:tcBorders>
              <w:top w:val="nil"/>
              <w:left w:val="nil"/>
              <w:bottom w:val="nil"/>
              <w:right w:val="nil"/>
            </w:tcBorders>
          </w:tcPr>
          <w:p>
            <w:pPr>
              <w:pStyle w:val="TableParagraph"/>
              <w:spacing w:before="26"/>
              <w:ind w:right="238"/>
              <w:rPr>
                <w:sz w:val="20"/>
              </w:rPr>
            </w:pPr>
            <w:r>
              <w:rPr>
                <w:sz w:val="20"/>
              </w:rPr>
              <w:t>2.9</w:t>
            </w:r>
          </w:p>
        </w:tc>
        <w:tc>
          <w:tcPr>
            <w:tcW w:w="934" w:type="dxa"/>
            <w:tcBorders>
              <w:top w:val="nil"/>
              <w:left w:val="nil"/>
              <w:bottom w:val="nil"/>
              <w:right w:val="nil"/>
            </w:tcBorders>
          </w:tcPr>
          <w:p>
            <w:pPr>
              <w:pStyle w:val="TableParagraph"/>
              <w:spacing w:before="26"/>
              <w:ind w:right="235"/>
              <w:rPr>
                <w:sz w:val="20"/>
              </w:rPr>
            </w:pPr>
            <w:r>
              <w:rPr>
                <w:sz w:val="20"/>
              </w:rPr>
              <w:t>2.3</w:t>
            </w:r>
          </w:p>
        </w:tc>
        <w:tc>
          <w:tcPr>
            <w:tcW w:w="932" w:type="dxa"/>
            <w:tcBorders>
              <w:top w:val="nil"/>
              <w:left w:val="nil"/>
              <w:bottom w:val="nil"/>
              <w:right w:val="nil"/>
            </w:tcBorders>
          </w:tcPr>
          <w:p>
            <w:pPr>
              <w:pStyle w:val="TableParagraph"/>
              <w:spacing w:before="26"/>
              <w:ind w:right="235"/>
              <w:rPr>
                <w:sz w:val="20"/>
              </w:rPr>
            </w:pPr>
            <w:r>
              <w:rPr>
                <w:sz w:val="20"/>
              </w:rPr>
              <w:t>2.6</w:t>
            </w:r>
          </w:p>
        </w:tc>
        <w:tc>
          <w:tcPr>
            <w:tcW w:w="984" w:type="dxa"/>
            <w:tcBorders>
              <w:top w:val="nil"/>
              <w:left w:val="nil"/>
              <w:bottom w:val="nil"/>
              <w:right w:val="nil"/>
            </w:tcBorders>
          </w:tcPr>
          <w:p>
            <w:pPr>
              <w:pStyle w:val="TableParagraph"/>
              <w:spacing w:before="26"/>
              <w:ind w:right="288"/>
              <w:rPr>
                <w:sz w:val="20"/>
              </w:rPr>
            </w:pPr>
            <w:r>
              <w:rPr>
                <w:sz w:val="20"/>
              </w:rPr>
              <w:t>2.7</w:t>
            </w:r>
          </w:p>
        </w:tc>
        <w:tc>
          <w:tcPr>
            <w:tcW w:w="934" w:type="dxa"/>
            <w:tcBorders>
              <w:top w:val="nil"/>
              <w:left w:val="nil"/>
              <w:bottom w:val="nil"/>
              <w:right w:val="nil"/>
            </w:tcBorders>
          </w:tcPr>
          <w:p>
            <w:pPr>
              <w:pStyle w:val="TableParagraph"/>
              <w:spacing w:before="26"/>
              <w:ind w:left="272" w:right="169"/>
              <w:jc w:val="center"/>
              <w:rPr>
                <w:sz w:val="20"/>
              </w:rPr>
            </w:pPr>
            <w:r>
              <w:rPr>
                <w:sz w:val="20"/>
              </w:rPr>
              <w:t>2.8</w:t>
            </w:r>
          </w:p>
        </w:tc>
        <w:tc>
          <w:tcPr>
            <w:tcW w:w="934" w:type="dxa"/>
            <w:tcBorders>
              <w:top w:val="nil"/>
              <w:left w:val="nil"/>
              <w:bottom w:val="nil"/>
              <w:right w:val="nil"/>
            </w:tcBorders>
          </w:tcPr>
          <w:p>
            <w:pPr>
              <w:pStyle w:val="TableParagraph"/>
              <w:spacing w:before="26"/>
              <w:ind w:right="288"/>
              <w:rPr>
                <w:sz w:val="20"/>
              </w:rPr>
            </w:pPr>
            <w:r>
              <w:rPr>
                <w:sz w:val="20"/>
              </w:rPr>
              <w:t>5.8</w:t>
            </w:r>
          </w:p>
        </w:tc>
        <w:tc>
          <w:tcPr>
            <w:tcW w:w="708" w:type="dxa"/>
            <w:tcBorders>
              <w:top w:val="nil"/>
              <w:left w:val="nil"/>
              <w:bottom w:val="nil"/>
              <w:right w:val="nil"/>
            </w:tcBorders>
          </w:tcPr>
          <w:p>
            <w:pPr>
              <w:pStyle w:val="TableParagraph"/>
              <w:spacing w:before="26"/>
              <w:ind w:right="60"/>
              <w:rPr>
                <w:sz w:val="20"/>
              </w:rPr>
            </w:pPr>
            <w:r>
              <w:rPr>
                <w:sz w:val="20"/>
              </w:rPr>
              <w:t>8.8</w:t>
            </w:r>
          </w:p>
        </w:tc>
      </w:tr>
      <w:tr>
        <w:trPr>
          <w:trHeight w:val="302" w:hRule="exact"/>
        </w:trPr>
        <w:tc>
          <w:tcPr>
            <w:tcW w:w="1371" w:type="dxa"/>
            <w:tcBorders>
              <w:top w:val="nil"/>
              <w:left w:val="nil"/>
              <w:bottom w:val="nil"/>
              <w:right w:val="nil"/>
            </w:tcBorders>
          </w:tcPr>
          <w:p>
            <w:pPr>
              <w:pStyle w:val="TableParagraph"/>
              <w:spacing w:before="26"/>
              <w:ind w:left="273"/>
              <w:jc w:val="left"/>
              <w:rPr>
                <w:sz w:val="20"/>
              </w:rPr>
            </w:pPr>
            <w:r>
              <w:rPr>
                <w:sz w:val="20"/>
              </w:rPr>
              <w:t>PR_W1_1</w:t>
            </w:r>
          </w:p>
        </w:tc>
        <w:tc>
          <w:tcPr>
            <w:tcW w:w="1316" w:type="dxa"/>
            <w:tcBorders>
              <w:top w:val="nil"/>
              <w:left w:val="nil"/>
              <w:bottom w:val="nil"/>
              <w:right w:val="nil"/>
            </w:tcBorders>
          </w:tcPr>
          <w:p>
            <w:pPr>
              <w:pStyle w:val="TableParagraph"/>
              <w:spacing w:before="26"/>
              <w:ind w:right="67"/>
              <w:rPr>
                <w:sz w:val="20"/>
              </w:rPr>
            </w:pPr>
            <w:r>
              <w:rPr>
                <w:sz w:val="20"/>
              </w:rPr>
              <w:t>0.0</w:t>
            </w:r>
          </w:p>
        </w:tc>
        <w:tc>
          <w:tcPr>
            <w:tcW w:w="1507" w:type="dxa"/>
            <w:tcBorders>
              <w:top w:val="nil"/>
              <w:left w:val="nil"/>
              <w:bottom w:val="nil"/>
              <w:right w:val="nil"/>
            </w:tcBorders>
          </w:tcPr>
          <w:p>
            <w:pPr>
              <w:pStyle w:val="TableParagraph"/>
              <w:spacing w:before="26"/>
              <w:ind w:right="86"/>
              <w:rPr>
                <w:sz w:val="20"/>
              </w:rPr>
            </w:pPr>
            <w:r>
              <w:rPr>
                <w:sz w:val="20"/>
              </w:rPr>
              <w:t>0.1</w:t>
            </w:r>
          </w:p>
        </w:tc>
        <w:tc>
          <w:tcPr>
            <w:tcW w:w="1133" w:type="dxa"/>
            <w:tcBorders>
              <w:top w:val="nil"/>
              <w:left w:val="nil"/>
              <w:bottom w:val="nil"/>
              <w:right w:val="nil"/>
            </w:tcBorders>
          </w:tcPr>
          <w:p>
            <w:pPr>
              <w:pStyle w:val="TableParagraph"/>
              <w:spacing w:before="26"/>
              <w:ind w:right="288"/>
              <w:rPr>
                <w:sz w:val="20"/>
              </w:rPr>
            </w:pPr>
            <w:r>
              <w:rPr>
                <w:sz w:val="20"/>
              </w:rPr>
              <w:t>0.1</w:t>
            </w:r>
          </w:p>
        </w:tc>
        <w:tc>
          <w:tcPr>
            <w:tcW w:w="934" w:type="dxa"/>
            <w:tcBorders>
              <w:top w:val="nil"/>
              <w:left w:val="nil"/>
              <w:bottom w:val="nil"/>
              <w:right w:val="nil"/>
            </w:tcBorders>
          </w:tcPr>
          <w:p>
            <w:pPr>
              <w:pStyle w:val="TableParagraph"/>
              <w:spacing w:before="26"/>
              <w:ind w:right="286"/>
              <w:rPr>
                <w:sz w:val="20"/>
              </w:rPr>
            </w:pPr>
            <w:r>
              <w:rPr>
                <w:sz w:val="20"/>
              </w:rPr>
              <w:t>0.1</w:t>
            </w:r>
          </w:p>
        </w:tc>
        <w:tc>
          <w:tcPr>
            <w:tcW w:w="881" w:type="dxa"/>
            <w:tcBorders>
              <w:top w:val="nil"/>
              <w:left w:val="nil"/>
              <w:bottom w:val="nil"/>
              <w:right w:val="nil"/>
            </w:tcBorders>
          </w:tcPr>
          <w:p>
            <w:pPr>
              <w:pStyle w:val="TableParagraph"/>
              <w:spacing w:before="26"/>
              <w:ind w:right="235"/>
              <w:rPr>
                <w:sz w:val="20"/>
              </w:rPr>
            </w:pPr>
            <w:r>
              <w:rPr>
                <w:sz w:val="20"/>
              </w:rPr>
              <w:t>0.2</w:t>
            </w:r>
          </w:p>
        </w:tc>
        <w:tc>
          <w:tcPr>
            <w:tcW w:w="934" w:type="dxa"/>
            <w:tcBorders>
              <w:top w:val="nil"/>
              <w:left w:val="nil"/>
              <w:bottom w:val="nil"/>
              <w:right w:val="nil"/>
            </w:tcBorders>
          </w:tcPr>
          <w:p>
            <w:pPr>
              <w:pStyle w:val="TableParagraph"/>
              <w:spacing w:before="26"/>
              <w:ind w:right="238"/>
              <w:rPr>
                <w:sz w:val="20"/>
              </w:rPr>
            </w:pPr>
            <w:r>
              <w:rPr>
                <w:sz w:val="20"/>
              </w:rPr>
              <w:t>0.3</w:t>
            </w:r>
          </w:p>
        </w:tc>
        <w:tc>
          <w:tcPr>
            <w:tcW w:w="934" w:type="dxa"/>
            <w:tcBorders>
              <w:top w:val="nil"/>
              <w:left w:val="nil"/>
              <w:bottom w:val="nil"/>
              <w:right w:val="nil"/>
            </w:tcBorders>
          </w:tcPr>
          <w:p>
            <w:pPr>
              <w:pStyle w:val="TableParagraph"/>
              <w:spacing w:before="26"/>
              <w:ind w:right="235"/>
              <w:rPr>
                <w:sz w:val="20"/>
              </w:rPr>
            </w:pPr>
            <w:r>
              <w:rPr>
                <w:sz w:val="20"/>
              </w:rPr>
              <w:t>0.4</w:t>
            </w:r>
          </w:p>
        </w:tc>
        <w:tc>
          <w:tcPr>
            <w:tcW w:w="932" w:type="dxa"/>
            <w:tcBorders>
              <w:top w:val="nil"/>
              <w:left w:val="nil"/>
              <w:bottom w:val="nil"/>
              <w:right w:val="nil"/>
            </w:tcBorders>
          </w:tcPr>
          <w:p>
            <w:pPr>
              <w:pStyle w:val="TableParagraph"/>
              <w:spacing w:before="26"/>
              <w:ind w:right="235"/>
              <w:rPr>
                <w:sz w:val="20"/>
              </w:rPr>
            </w:pPr>
            <w:r>
              <w:rPr>
                <w:sz w:val="20"/>
              </w:rPr>
              <w:t>0.4</w:t>
            </w:r>
          </w:p>
        </w:tc>
        <w:tc>
          <w:tcPr>
            <w:tcW w:w="984" w:type="dxa"/>
            <w:tcBorders>
              <w:top w:val="nil"/>
              <w:left w:val="nil"/>
              <w:bottom w:val="nil"/>
              <w:right w:val="nil"/>
            </w:tcBorders>
          </w:tcPr>
          <w:p>
            <w:pPr>
              <w:pStyle w:val="TableParagraph"/>
              <w:spacing w:before="26"/>
              <w:ind w:right="288"/>
              <w:rPr>
                <w:sz w:val="20"/>
              </w:rPr>
            </w:pPr>
            <w:r>
              <w:rPr>
                <w:sz w:val="20"/>
              </w:rPr>
              <w:t>0.3</w:t>
            </w:r>
          </w:p>
        </w:tc>
        <w:tc>
          <w:tcPr>
            <w:tcW w:w="934" w:type="dxa"/>
            <w:tcBorders>
              <w:top w:val="nil"/>
              <w:left w:val="nil"/>
              <w:bottom w:val="nil"/>
              <w:right w:val="nil"/>
            </w:tcBorders>
          </w:tcPr>
          <w:p>
            <w:pPr>
              <w:pStyle w:val="TableParagraph"/>
              <w:spacing w:before="26"/>
              <w:ind w:left="272" w:right="169"/>
              <w:jc w:val="center"/>
              <w:rPr>
                <w:sz w:val="20"/>
              </w:rPr>
            </w:pPr>
            <w:r>
              <w:rPr>
                <w:sz w:val="20"/>
              </w:rPr>
              <w:t>0.1</w:t>
            </w:r>
          </w:p>
        </w:tc>
        <w:tc>
          <w:tcPr>
            <w:tcW w:w="934" w:type="dxa"/>
            <w:tcBorders>
              <w:top w:val="nil"/>
              <w:left w:val="nil"/>
              <w:bottom w:val="nil"/>
              <w:right w:val="nil"/>
            </w:tcBorders>
          </w:tcPr>
          <w:p>
            <w:pPr>
              <w:pStyle w:val="TableParagraph"/>
              <w:spacing w:before="26"/>
              <w:ind w:right="288"/>
              <w:rPr>
                <w:sz w:val="20"/>
              </w:rPr>
            </w:pPr>
            <w:r>
              <w:rPr>
                <w:sz w:val="20"/>
              </w:rPr>
              <w:t>0.1</w:t>
            </w:r>
          </w:p>
        </w:tc>
        <w:tc>
          <w:tcPr>
            <w:tcW w:w="708" w:type="dxa"/>
            <w:tcBorders>
              <w:top w:val="nil"/>
              <w:left w:val="nil"/>
              <w:bottom w:val="nil"/>
              <w:right w:val="nil"/>
            </w:tcBorders>
          </w:tcPr>
          <w:p>
            <w:pPr>
              <w:pStyle w:val="TableParagraph"/>
              <w:spacing w:before="26"/>
              <w:ind w:right="60"/>
              <w:rPr>
                <w:sz w:val="20"/>
              </w:rPr>
            </w:pPr>
            <w:r>
              <w:rPr>
                <w:sz w:val="20"/>
              </w:rPr>
              <w:t>0.1</w:t>
            </w:r>
          </w:p>
        </w:tc>
      </w:tr>
      <w:tr>
        <w:trPr>
          <w:trHeight w:val="302" w:hRule="exact"/>
        </w:trPr>
        <w:tc>
          <w:tcPr>
            <w:tcW w:w="1371" w:type="dxa"/>
            <w:tcBorders>
              <w:top w:val="nil"/>
              <w:left w:val="nil"/>
              <w:bottom w:val="nil"/>
              <w:right w:val="nil"/>
            </w:tcBorders>
          </w:tcPr>
          <w:p>
            <w:pPr>
              <w:pStyle w:val="TableParagraph"/>
              <w:spacing w:before="26"/>
              <w:ind w:left="273"/>
              <w:jc w:val="left"/>
              <w:rPr>
                <w:sz w:val="20"/>
              </w:rPr>
            </w:pPr>
            <w:r>
              <w:rPr>
                <w:sz w:val="20"/>
              </w:rPr>
              <w:t>PR_W2_1</w:t>
            </w:r>
          </w:p>
        </w:tc>
        <w:tc>
          <w:tcPr>
            <w:tcW w:w="1316" w:type="dxa"/>
            <w:tcBorders>
              <w:top w:val="nil"/>
              <w:left w:val="nil"/>
              <w:bottom w:val="nil"/>
              <w:right w:val="nil"/>
            </w:tcBorders>
          </w:tcPr>
          <w:p>
            <w:pPr>
              <w:pStyle w:val="TableParagraph"/>
              <w:spacing w:before="26"/>
              <w:ind w:right="67"/>
              <w:rPr>
                <w:sz w:val="20"/>
              </w:rPr>
            </w:pPr>
            <w:r>
              <w:rPr>
                <w:sz w:val="20"/>
              </w:rPr>
              <w:t>0.4</w:t>
            </w:r>
          </w:p>
        </w:tc>
        <w:tc>
          <w:tcPr>
            <w:tcW w:w="1507" w:type="dxa"/>
            <w:tcBorders>
              <w:top w:val="nil"/>
              <w:left w:val="nil"/>
              <w:bottom w:val="nil"/>
              <w:right w:val="nil"/>
            </w:tcBorders>
          </w:tcPr>
          <w:p>
            <w:pPr>
              <w:pStyle w:val="TableParagraph"/>
              <w:spacing w:before="26"/>
              <w:ind w:right="86"/>
              <w:rPr>
                <w:sz w:val="20"/>
              </w:rPr>
            </w:pPr>
            <w:r>
              <w:rPr>
                <w:sz w:val="20"/>
              </w:rPr>
              <w:t>0.3</w:t>
            </w:r>
          </w:p>
        </w:tc>
        <w:tc>
          <w:tcPr>
            <w:tcW w:w="1133" w:type="dxa"/>
            <w:tcBorders>
              <w:top w:val="nil"/>
              <w:left w:val="nil"/>
              <w:bottom w:val="nil"/>
              <w:right w:val="nil"/>
            </w:tcBorders>
          </w:tcPr>
          <w:p>
            <w:pPr>
              <w:pStyle w:val="TableParagraph"/>
              <w:spacing w:before="26"/>
              <w:ind w:right="288"/>
              <w:rPr>
                <w:sz w:val="20"/>
              </w:rPr>
            </w:pPr>
            <w:r>
              <w:rPr>
                <w:sz w:val="20"/>
              </w:rPr>
              <w:t>0.2</w:t>
            </w:r>
          </w:p>
        </w:tc>
        <w:tc>
          <w:tcPr>
            <w:tcW w:w="934" w:type="dxa"/>
            <w:tcBorders>
              <w:top w:val="nil"/>
              <w:left w:val="nil"/>
              <w:bottom w:val="nil"/>
              <w:right w:val="nil"/>
            </w:tcBorders>
          </w:tcPr>
          <w:p>
            <w:pPr>
              <w:pStyle w:val="TableParagraph"/>
              <w:spacing w:before="26"/>
              <w:ind w:right="286"/>
              <w:rPr>
                <w:sz w:val="20"/>
              </w:rPr>
            </w:pPr>
            <w:r>
              <w:rPr>
                <w:sz w:val="20"/>
              </w:rPr>
              <w:t>0.4</w:t>
            </w:r>
          </w:p>
        </w:tc>
        <w:tc>
          <w:tcPr>
            <w:tcW w:w="881" w:type="dxa"/>
            <w:tcBorders>
              <w:top w:val="nil"/>
              <w:left w:val="nil"/>
              <w:bottom w:val="nil"/>
              <w:right w:val="nil"/>
            </w:tcBorders>
          </w:tcPr>
          <w:p>
            <w:pPr>
              <w:pStyle w:val="TableParagraph"/>
              <w:spacing w:before="26"/>
              <w:ind w:right="235"/>
              <w:rPr>
                <w:sz w:val="20"/>
              </w:rPr>
            </w:pPr>
            <w:r>
              <w:rPr>
                <w:sz w:val="20"/>
              </w:rPr>
              <w:t>0.5</w:t>
            </w:r>
          </w:p>
        </w:tc>
        <w:tc>
          <w:tcPr>
            <w:tcW w:w="934" w:type="dxa"/>
            <w:tcBorders>
              <w:top w:val="nil"/>
              <w:left w:val="nil"/>
              <w:bottom w:val="nil"/>
              <w:right w:val="nil"/>
            </w:tcBorders>
          </w:tcPr>
          <w:p>
            <w:pPr>
              <w:pStyle w:val="TableParagraph"/>
              <w:spacing w:before="26"/>
              <w:ind w:right="238"/>
              <w:rPr>
                <w:sz w:val="20"/>
              </w:rPr>
            </w:pPr>
            <w:r>
              <w:rPr>
                <w:sz w:val="20"/>
              </w:rPr>
              <w:t>0.6</w:t>
            </w:r>
          </w:p>
        </w:tc>
        <w:tc>
          <w:tcPr>
            <w:tcW w:w="934" w:type="dxa"/>
            <w:tcBorders>
              <w:top w:val="nil"/>
              <w:left w:val="nil"/>
              <w:bottom w:val="nil"/>
              <w:right w:val="nil"/>
            </w:tcBorders>
          </w:tcPr>
          <w:p>
            <w:pPr>
              <w:pStyle w:val="TableParagraph"/>
              <w:spacing w:before="26"/>
              <w:ind w:right="235"/>
              <w:rPr>
                <w:sz w:val="20"/>
              </w:rPr>
            </w:pPr>
            <w:r>
              <w:rPr>
                <w:sz w:val="20"/>
              </w:rPr>
              <w:t>0.6</w:t>
            </w:r>
          </w:p>
        </w:tc>
        <w:tc>
          <w:tcPr>
            <w:tcW w:w="932" w:type="dxa"/>
            <w:tcBorders>
              <w:top w:val="nil"/>
              <w:left w:val="nil"/>
              <w:bottom w:val="nil"/>
              <w:right w:val="nil"/>
            </w:tcBorders>
          </w:tcPr>
          <w:p>
            <w:pPr>
              <w:pStyle w:val="TableParagraph"/>
              <w:spacing w:before="26"/>
              <w:ind w:right="235"/>
              <w:rPr>
                <w:sz w:val="20"/>
              </w:rPr>
            </w:pPr>
            <w:r>
              <w:rPr>
                <w:sz w:val="20"/>
              </w:rPr>
              <w:t>0.6</w:t>
            </w:r>
          </w:p>
        </w:tc>
        <w:tc>
          <w:tcPr>
            <w:tcW w:w="984" w:type="dxa"/>
            <w:tcBorders>
              <w:top w:val="nil"/>
              <w:left w:val="nil"/>
              <w:bottom w:val="nil"/>
              <w:right w:val="nil"/>
            </w:tcBorders>
          </w:tcPr>
          <w:p>
            <w:pPr>
              <w:pStyle w:val="TableParagraph"/>
              <w:spacing w:before="26"/>
              <w:ind w:right="288"/>
              <w:rPr>
                <w:sz w:val="20"/>
              </w:rPr>
            </w:pPr>
            <w:r>
              <w:rPr>
                <w:sz w:val="20"/>
              </w:rPr>
              <w:t>0.6</w:t>
            </w:r>
          </w:p>
        </w:tc>
        <w:tc>
          <w:tcPr>
            <w:tcW w:w="934" w:type="dxa"/>
            <w:tcBorders>
              <w:top w:val="nil"/>
              <w:left w:val="nil"/>
              <w:bottom w:val="nil"/>
              <w:right w:val="nil"/>
            </w:tcBorders>
          </w:tcPr>
          <w:p>
            <w:pPr>
              <w:pStyle w:val="TableParagraph"/>
              <w:spacing w:before="26"/>
              <w:ind w:left="272" w:right="169"/>
              <w:jc w:val="center"/>
              <w:rPr>
                <w:sz w:val="20"/>
              </w:rPr>
            </w:pPr>
            <w:r>
              <w:rPr>
                <w:sz w:val="20"/>
              </w:rPr>
              <w:t>0.5</w:t>
            </w:r>
          </w:p>
        </w:tc>
        <w:tc>
          <w:tcPr>
            <w:tcW w:w="934" w:type="dxa"/>
            <w:tcBorders>
              <w:top w:val="nil"/>
              <w:left w:val="nil"/>
              <w:bottom w:val="nil"/>
              <w:right w:val="nil"/>
            </w:tcBorders>
          </w:tcPr>
          <w:p>
            <w:pPr>
              <w:pStyle w:val="TableParagraph"/>
              <w:spacing w:before="26"/>
              <w:ind w:right="288"/>
              <w:rPr>
                <w:sz w:val="20"/>
              </w:rPr>
            </w:pPr>
            <w:r>
              <w:rPr>
                <w:sz w:val="20"/>
              </w:rPr>
              <w:t>0.4</w:t>
            </w:r>
          </w:p>
        </w:tc>
        <w:tc>
          <w:tcPr>
            <w:tcW w:w="708" w:type="dxa"/>
            <w:tcBorders>
              <w:top w:val="nil"/>
              <w:left w:val="nil"/>
              <w:bottom w:val="nil"/>
              <w:right w:val="nil"/>
            </w:tcBorders>
          </w:tcPr>
          <w:p>
            <w:pPr>
              <w:pStyle w:val="TableParagraph"/>
              <w:spacing w:before="26"/>
              <w:ind w:right="60"/>
              <w:rPr>
                <w:sz w:val="20"/>
              </w:rPr>
            </w:pPr>
            <w:r>
              <w:rPr>
                <w:sz w:val="20"/>
              </w:rPr>
              <w:t>0.3</w:t>
            </w:r>
          </w:p>
        </w:tc>
      </w:tr>
      <w:tr>
        <w:trPr>
          <w:trHeight w:val="302" w:hRule="exact"/>
        </w:trPr>
        <w:tc>
          <w:tcPr>
            <w:tcW w:w="1371" w:type="dxa"/>
            <w:tcBorders>
              <w:top w:val="nil"/>
              <w:left w:val="nil"/>
              <w:bottom w:val="nil"/>
              <w:right w:val="nil"/>
            </w:tcBorders>
          </w:tcPr>
          <w:p>
            <w:pPr>
              <w:pStyle w:val="TableParagraph"/>
              <w:spacing w:before="26"/>
              <w:ind w:left="393"/>
              <w:jc w:val="left"/>
              <w:rPr>
                <w:sz w:val="20"/>
              </w:rPr>
            </w:pPr>
            <w:r>
              <w:rPr>
                <w:sz w:val="20"/>
              </w:rPr>
              <w:t>PCPD1</w:t>
            </w:r>
          </w:p>
        </w:tc>
        <w:tc>
          <w:tcPr>
            <w:tcW w:w="1316" w:type="dxa"/>
            <w:tcBorders>
              <w:top w:val="nil"/>
              <w:left w:val="nil"/>
              <w:bottom w:val="nil"/>
              <w:right w:val="nil"/>
            </w:tcBorders>
          </w:tcPr>
          <w:p>
            <w:pPr>
              <w:pStyle w:val="TableParagraph"/>
              <w:spacing w:before="26"/>
              <w:ind w:right="67"/>
              <w:rPr>
                <w:sz w:val="20"/>
              </w:rPr>
            </w:pPr>
            <w:r>
              <w:rPr>
                <w:sz w:val="20"/>
              </w:rPr>
              <w:t>1.8</w:t>
            </w:r>
          </w:p>
        </w:tc>
        <w:tc>
          <w:tcPr>
            <w:tcW w:w="1507" w:type="dxa"/>
            <w:tcBorders>
              <w:top w:val="nil"/>
              <w:left w:val="nil"/>
              <w:bottom w:val="nil"/>
              <w:right w:val="nil"/>
            </w:tcBorders>
          </w:tcPr>
          <w:p>
            <w:pPr>
              <w:pStyle w:val="TableParagraph"/>
              <w:spacing w:before="26"/>
              <w:ind w:right="86"/>
              <w:rPr>
                <w:sz w:val="20"/>
              </w:rPr>
            </w:pPr>
            <w:r>
              <w:rPr>
                <w:sz w:val="20"/>
              </w:rPr>
              <w:t>2.1</w:t>
            </w:r>
          </w:p>
        </w:tc>
        <w:tc>
          <w:tcPr>
            <w:tcW w:w="1133" w:type="dxa"/>
            <w:tcBorders>
              <w:top w:val="nil"/>
              <w:left w:val="nil"/>
              <w:bottom w:val="nil"/>
              <w:right w:val="nil"/>
            </w:tcBorders>
          </w:tcPr>
          <w:p>
            <w:pPr>
              <w:pStyle w:val="TableParagraph"/>
              <w:spacing w:before="26"/>
              <w:ind w:right="288"/>
              <w:rPr>
                <w:sz w:val="20"/>
              </w:rPr>
            </w:pPr>
            <w:r>
              <w:rPr>
                <w:sz w:val="20"/>
              </w:rPr>
              <w:t>2.1</w:t>
            </w:r>
          </w:p>
        </w:tc>
        <w:tc>
          <w:tcPr>
            <w:tcW w:w="934" w:type="dxa"/>
            <w:tcBorders>
              <w:top w:val="nil"/>
              <w:left w:val="nil"/>
              <w:bottom w:val="nil"/>
              <w:right w:val="nil"/>
            </w:tcBorders>
          </w:tcPr>
          <w:p>
            <w:pPr>
              <w:pStyle w:val="TableParagraph"/>
              <w:spacing w:before="26"/>
              <w:ind w:right="286"/>
              <w:rPr>
                <w:sz w:val="20"/>
              </w:rPr>
            </w:pPr>
            <w:r>
              <w:rPr>
                <w:sz w:val="20"/>
              </w:rPr>
              <w:t>3.3</w:t>
            </w:r>
          </w:p>
        </w:tc>
        <w:tc>
          <w:tcPr>
            <w:tcW w:w="881" w:type="dxa"/>
            <w:tcBorders>
              <w:top w:val="nil"/>
              <w:left w:val="nil"/>
              <w:bottom w:val="nil"/>
              <w:right w:val="nil"/>
            </w:tcBorders>
          </w:tcPr>
          <w:p>
            <w:pPr>
              <w:pStyle w:val="TableParagraph"/>
              <w:spacing w:before="26"/>
              <w:ind w:right="235"/>
              <w:rPr>
                <w:sz w:val="20"/>
              </w:rPr>
            </w:pPr>
            <w:r>
              <w:rPr>
                <w:sz w:val="20"/>
              </w:rPr>
              <w:t>8.0</w:t>
            </w:r>
          </w:p>
        </w:tc>
        <w:tc>
          <w:tcPr>
            <w:tcW w:w="934" w:type="dxa"/>
            <w:tcBorders>
              <w:top w:val="nil"/>
              <w:left w:val="nil"/>
              <w:bottom w:val="nil"/>
              <w:right w:val="nil"/>
            </w:tcBorders>
          </w:tcPr>
          <w:p>
            <w:pPr>
              <w:pStyle w:val="TableParagraph"/>
              <w:spacing w:before="26"/>
              <w:ind w:right="238"/>
              <w:rPr>
                <w:sz w:val="20"/>
              </w:rPr>
            </w:pPr>
            <w:r>
              <w:rPr>
                <w:sz w:val="20"/>
              </w:rPr>
              <w:t>13.7</w:t>
            </w:r>
          </w:p>
        </w:tc>
        <w:tc>
          <w:tcPr>
            <w:tcW w:w="934" w:type="dxa"/>
            <w:tcBorders>
              <w:top w:val="nil"/>
              <w:left w:val="nil"/>
              <w:bottom w:val="nil"/>
              <w:right w:val="nil"/>
            </w:tcBorders>
          </w:tcPr>
          <w:p>
            <w:pPr>
              <w:pStyle w:val="TableParagraph"/>
              <w:spacing w:before="26"/>
              <w:ind w:right="235"/>
              <w:rPr>
                <w:sz w:val="20"/>
              </w:rPr>
            </w:pPr>
            <w:r>
              <w:rPr>
                <w:sz w:val="20"/>
              </w:rPr>
              <w:t>17.0</w:t>
            </w:r>
          </w:p>
        </w:tc>
        <w:tc>
          <w:tcPr>
            <w:tcW w:w="932" w:type="dxa"/>
            <w:tcBorders>
              <w:top w:val="nil"/>
              <w:left w:val="nil"/>
              <w:bottom w:val="nil"/>
              <w:right w:val="nil"/>
            </w:tcBorders>
          </w:tcPr>
          <w:p>
            <w:pPr>
              <w:pStyle w:val="TableParagraph"/>
              <w:spacing w:before="26"/>
              <w:ind w:right="236"/>
              <w:rPr>
                <w:sz w:val="20"/>
              </w:rPr>
            </w:pPr>
            <w:r>
              <w:rPr>
                <w:sz w:val="20"/>
              </w:rPr>
              <w:t>15.7</w:t>
            </w:r>
          </w:p>
        </w:tc>
        <w:tc>
          <w:tcPr>
            <w:tcW w:w="984" w:type="dxa"/>
            <w:tcBorders>
              <w:top w:val="nil"/>
              <w:left w:val="nil"/>
              <w:bottom w:val="nil"/>
              <w:right w:val="nil"/>
            </w:tcBorders>
          </w:tcPr>
          <w:p>
            <w:pPr>
              <w:pStyle w:val="TableParagraph"/>
              <w:spacing w:before="26"/>
              <w:ind w:right="288"/>
              <w:rPr>
                <w:sz w:val="20"/>
              </w:rPr>
            </w:pPr>
            <w:r>
              <w:rPr>
                <w:sz w:val="20"/>
              </w:rPr>
              <w:t>12.8</w:t>
            </w:r>
          </w:p>
        </w:tc>
        <w:tc>
          <w:tcPr>
            <w:tcW w:w="934" w:type="dxa"/>
            <w:tcBorders>
              <w:top w:val="nil"/>
              <w:left w:val="nil"/>
              <w:bottom w:val="nil"/>
              <w:right w:val="nil"/>
            </w:tcBorders>
          </w:tcPr>
          <w:p>
            <w:pPr>
              <w:pStyle w:val="TableParagraph"/>
              <w:spacing w:before="26"/>
              <w:ind w:left="272" w:right="169"/>
              <w:jc w:val="center"/>
              <w:rPr>
                <w:sz w:val="20"/>
              </w:rPr>
            </w:pPr>
            <w:r>
              <w:rPr>
                <w:sz w:val="20"/>
              </w:rPr>
              <w:t>7.8</w:t>
            </w:r>
          </w:p>
        </w:tc>
        <w:tc>
          <w:tcPr>
            <w:tcW w:w="934" w:type="dxa"/>
            <w:tcBorders>
              <w:top w:val="nil"/>
              <w:left w:val="nil"/>
              <w:bottom w:val="nil"/>
              <w:right w:val="nil"/>
            </w:tcBorders>
          </w:tcPr>
          <w:p>
            <w:pPr>
              <w:pStyle w:val="TableParagraph"/>
              <w:spacing w:before="26"/>
              <w:ind w:right="288"/>
              <w:rPr>
                <w:sz w:val="20"/>
              </w:rPr>
            </w:pPr>
            <w:r>
              <w:rPr>
                <w:sz w:val="20"/>
              </w:rPr>
              <w:t>3.2</w:t>
            </w:r>
          </w:p>
        </w:tc>
        <w:tc>
          <w:tcPr>
            <w:tcW w:w="708" w:type="dxa"/>
            <w:tcBorders>
              <w:top w:val="nil"/>
              <w:left w:val="nil"/>
              <w:bottom w:val="nil"/>
              <w:right w:val="nil"/>
            </w:tcBorders>
          </w:tcPr>
          <w:p>
            <w:pPr>
              <w:pStyle w:val="TableParagraph"/>
              <w:spacing w:before="26"/>
              <w:ind w:right="60"/>
              <w:rPr>
                <w:sz w:val="20"/>
              </w:rPr>
            </w:pPr>
            <w:r>
              <w:rPr>
                <w:sz w:val="20"/>
              </w:rPr>
              <w:t>2.2</w:t>
            </w:r>
          </w:p>
        </w:tc>
      </w:tr>
      <w:tr>
        <w:trPr>
          <w:trHeight w:val="303" w:hRule="exact"/>
        </w:trPr>
        <w:tc>
          <w:tcPr>
            <w:tcW w:w="1371" w:type="dxa"/>
            <w:tcBorders>
              <w:top w:val="nil"/>
              <w:left w:val="nil"/>
              <w:bottom w:val="nil"/>
              <w:right w:val="nil"/>
            </w:tcBorders>
          </w:tcPr>
          <w:p>
            <w:pPr>
              <w:pStyle w:val="TableParagraph"/>
              <w:spacing w:before="26"/>
              <w:ind w:right="82"/>
              <w:rPr>
                <w:sz w:val="20"/>
              </w:rPr>
            </w:pPr>
            <w:r>
              <w:rPr>
                <w:sz w:val="20"/>
              </w:rPr>
              <w:t>RAINHHMX1</w:t>
            </w:r>
          </w:p>
        </w:tc>
        <w:tc>
          <w:tcPr>
            <w:tcW w:w="1316" w:type="dxa"/>
            <w:tcBorders>
              <w:top w:val="nil"/>
              <w:left w:val="nil"/>
              <w:bottom w:val="nil"/>
              <w:right w:val="nil"/>
            </w:tcBorders>
          </w:tcPr>
          <w:p>
            <w:pPr>
              <w:pStyle w:val="TableParagraph"/>
              <w:spacing w:before="26"/>
              <w:ind w:right="67"/>
              <w:rPr>
                <w:sz w:val="20"/>
              </w:rPr>
            </w:pPr>
            <w:r>
              <w:rPr>
                <w:sz w:val="20"/>
              </w:rPr>
              <w:t>2.2</w:t>
            </w:r>
          </w:p>
        </w:tc>
        <w:tc>
          <w:tcPr>
            <w:tcW w:w="1507" w:type="dxa"/>
            <w:tcBorders>
              <w:top w:val="nil"/>
              <w:left w:val="nil"/>
              <w:bottom w:val="nil"/>
              <w:right w:val="nil"/>
            </w:tcBorders>
          </w:tcPr>
          <w:p>
            <w:pPr>
              <w:pStyle w:val="TableParagraph"/>
              <w:spacing w:before="26"/>
              <w:ind w:right="86"/>
              <w:rPr>
                <w:sz w:val="20"/>
              </w:rPr>
            </w:pPr>
            <w:r>
              <w:rPr>
                <w:sz w:val="20"/>
              </w:rPr>
              <w:t>2.2</w:t>
            </w:r>
          </w:p>
        </w:tc>
        <w:tc>
          <w:tcPr>
            <w:tcW w:w="1133" w:type="dxa"/>
            <w:tcBorders>
              <w:top w:val="nil"/>
              <w:left w:val="nil"/>
              <w:bottom w:val="nil"/>
              <w:right w:val="nil"/>
            </w:tcBorders>
          </w:tcPr>
          <w:p>
            <w:pPr>
              <w:pStyle w:val="TableParagraph"/>
              <w:spacing w:before="26"/>
              <w:ind w:right="288"/>
              <w:rPr>
                <w:sz w:val="20"/>
              </w:rPr>
            </w:pPr>
            <w:r>
              <w:rPr>
                <w:sz w:val="20"/>
              </w:rPr>
              <w:t>3.7</w:t>
            </w:r>
          </w:p>
        </w:tc>
        <w:tc>
          <w:tcPr>
            <w:tcW w:w="934" w:type="dxa"/>
            <w:tcBorders>
              <w:top w:val="nil"/>
              <w:left w:val="nil"/>
              <w:bottom w:val="nil"/>
              <w:right w:val="nil"/>
            </w:tcBorders>
          </w:tcPr>
          <w:p>
            <w:pPr>
              <w:pStyle w:val="TableParagraph"/>
              <w:spacing w:before="26"/>
              <w:ind w:right="286"/>
              <w:rPr>
                <w:sz w:val="20"/>
              </w:rPr>
            </w:pPr>
            <w:r>
              <w:rPr>
                <w:sz w:val="20"/>
              </w:rPr>
              <w:t>2.2</w:t>
            </w:r>
          </w:p>
        </w:tc>
        <w:tc>
          <w:tcPr>
            <w:tcW w:w="881" w:type="dxa"/>
            <w:tcBorders>
              <w:top w:val="nil"/>
              <w:left w:val="nil"/>
              <w:bottom w:val="nil"/>
              <w:right w:val="nil"/>
            </w:tcBorders>
          </w:tcPr>
          <w:p>
            <w:pPr>
              <w:pStyle w:val="TableParagraph"/>
              <w:spacing w:before="26"/>
              <w:ind w:right="235"/>
              <w:rPr>
                <w:sz w:val="20"/>
              </w:rPr>
            </w:pPr>
            <w:r>
              <w:rPr>
                <w:sz w:val="20"/>
              </w:rPr>
              <w:t>2.2</w:t>
            </w:r>
          </w:p>
        </w:tc>
        <w:tc>
          <w:tcPr>
            <w:tcW w:w="934" w:type="dxa"/>
            <w:tcBorders>
              <w:top w:val="nil"/>
              <w:left w:val="nil"/>
              <w:bottom w:val="nil"/>
              <w:right w:val="nil"/>
            </w:tcBorders>
          </w:tcPr>
          <w:p>
            <w:pPr>
              <w:pStyle w:val="TableParagraph"/>
              <w:spacing w:before="26"/>
              <w:ind w:right="238"/>
              <w:rPr>
                <w:sz w:val="20"/>
              </w:rPr>
            </w:pPr>
            <w:r>
              <w:rPr>
                <w:sz w:val="20"/>
              </w:rPr>
              <w:t>2.2</w:t>
            </w:r>
          </w:p>
        </w:tc>
        <w:tc>
          <w:tcPr>
            <w:tcW w:w="934" w:type="dxa"/>
            <w:tcBorders>
              <w:top w:val="nil"/>
              <w:left w:val="nil"/>
              <w:bottom w:val="nil"/>
              <w:right w:val="nil"/>
            </w:tcBorders>
          </w:tcPr>
          <w:p>
            <w:pPr>
              <w:pStyle w:val="TableParagraph"/>
              <w:spacing w:before="26"/>
              <w:ind w:right="235"/>
              <w:rPr>
                <w:sz w:val="20"/>
              </w:rPr>
            </w:pPr>
            <w:r>
              <w:rPr>
                <w:sz w:val="20"/>
              </w:rPr>
              <w:t>2.2</w:t>
            </w:r>
          </w:p>
        </w:tc>
        <w:tc>
          <w:tcPr>
            <w:tcW w:w="932" w:type="dxa"/>
            <w:tcBorders>
              <w:top w:val="nil"/>
              <w:left w:val="nil"/>
              <w:bottom w:val="nil"/>
              <w:right w:val="nil"/>
            </w:tcBorders>
          </w:tcPr>
          <w:p>
            <w:pPr>
              <w:pStyle w:val="TableParagraph"/>
              <w:spacing w:before="26"/>
              <w:ind w:right="235"/>
              <w:rPr>
                <w:sz w:val="20"/>
              </w:rPr>
            </w:pPr>
            <w:r>
              <w:rPr>
                <w:sz w:val="20"/>
              </w:rPr>
              <w:t>2.2</w:t>
            </w:r>
          </w:p>
        </w:tc>
        <w:tc>
          <w:tcPr>
            <w:tcW w:w="984" w:type="dxa"/>
            <w:tcBorders>
              <w:top w:val="nil"/>
              <w:left w:val="nil"/>
              <w:bottom w:val="nil"/>
              <w:right w:val="nil"/>
            </w:tcBorders>
          </w:tcPr>
          <w:p>
            <w:pPr>
              <w:pStyle w:val="TableParagraph"/>
              <w:spacing w:before="26"/>
              <w:ind w:right="288"/>
              <w:rPr>
                <w:sz w:val="20"/>
              </w:rPr>
            </w:pPr>
            <w:r>
              <w:rPr>
                <w:sz w:val="20"/>
              </w:rPr>
              <w:t>2.2</w:t>
            </w:r>
          </w:p>
        </w:tc>
        <w:tc>
          <w:tcPr>
            <w:tcW w:w="934" w:type="dxa"/>
            <w:tcBorders>
              <w:top w:val="nil"/>
              <w:left w:val="nil"/>
              <w:bottom w:val="nil"/>
              <w:right w:val="nil"/>
            </w:tcBorders>
          </w:tcPr>
          <w:p>
            <w:pPr>
              <w:pStyle w:val="TableParagraph"/>
              <w:spacing w:before="26"/>
              <w:ind w:left="272" w:right="169"/>
              <w:jc w:val="center"/>
              <w:rPr>
                <w:sz w:val="20"/>
              </w:rPr>
            </w:pPr>
            <w:r>
              <w:rPr>
                <w:sz w:val="20"/>
              </w:rPr>
              <w:t>2.2</w:t>
            </w:r>
          </w:p>
        </w:tc>
        <w:tc>
          <w:tcPr>
            <w:tcW w:w="934" w:type="dxa"/>
            <w:tcBorders>
              <w:top w:val="nil"/>
              <w:left w:val="nil"/>
              <w:bottom w:val="nil"/>
              <w:right w:val="nil"/>
            </w:tcBorders>
          </w:tcPr>
          <w:p>
            <w:pPr>
              <w:pStyle w:val="TableParagraph"/>
              <w:spacing w:before="26"/>
              <w:ind w:right="288"/>
              <w:rPr>
                <w:sz w:val="20"/>
              </w:rPr>
            </w:pPr>
            <w:r>
              <w:rPr>
                <w:sz w:val="20"/>
              </w:rPr>
              <w:t>2.2</w:t>
            </w:r>
          </w:p>
        </w:tc>
        <w:tc>
          <w:tcPr>
            <w:tcW w:w="708" w:type="dxa"/>
            <w:tcBorders>
              <w:top w:val="nil"/>
              <w:left w:val="nil"/>
              <w:bottom w:val="nil"/>
              <w:right w:val="nil"/>
            </w:tcBorders>
          </w:tcPr>
          <w:p>
            <w:pPr>
              <w:pStyle w:val="TableParagraph"/>
              <w:spacing w:before="26"/>
              <w:ind w:right="60"/>
              <w:rPr>
                <w:sz w:val="20"/>
              </w:rPr>
            </w:pPr>
            <w:r>
              <w:rPr>
                <w:sz w:val="20"/>
              </w:rPr>
              <w:t>2.2</w:t>
            </w:r>
          </w:p>
        </w:tc>
      </w:tr>
      <w:tr>
        <w:trPr>
          <w:trHeight w:val="329" w:hRule="exact"/>
        </w:trPr>
        <w:tc>
          <w:tcPr>
            <w:tcW w:w="1371" w:type="dxa"/>
            <w:tcBorders>
              <w:top w:val="nil"/>
              <w:left w:val="nil"/>
              <w:bottom w:val="nil"/>
              <w:right w:val="nil"/>
            </w:tcBorders>
          </w:tcPr>
          <w:p>
            <w:pPr>
              <w:pStyle w:val="TableParagraph"/>
              <w:spacing w:before="26"/>
              <w:ind w:right="159"/>
              <w:rPr>
                <w:sz w:val="20"/>
              </w:rPr>
            </w:pPr>
            <w:r>
              <w:rPr>
                <w:sz w:val="20"/>
              </w:rPr>
              <w:t>SOLARAV1</w:t>
            </w:r>
          </w:p>
        </w:tc>
        <w:tc>
          <w:tcPr>
            <w:tcW w:w="1316" w:type="dxa"/>
            <w:tcBorders>
              <w:top w:val="nil"/>
              <w:left w:val="nil"/>
              <w:bottom w:val="nil"/>
              <w:right w:val="nil"/>
            </w:tcBorders>
          </w:tcPr>
          <w:p>
            <w:pPr>
              <w:pStyle w:val="TableParagraph"/>
              <w:spacing w:before="26"/>
              <w:ind w:right="67"/>
              <w:rPr>
                <w:sz w:val="20"/>
              </w:rPr>
            </w:pPr>
            <w:r>
              <w:rPr>
                <w:sz w:val="20"/>
              </w:rPr>
              <w:t>16.0</w:t>
            </w:r>
          </w:p>
        </w:tc>
        <w:tc>
          <w:tcPr>
            <w:tcW w:w="1507" w:type="dxa"/>
            <w:tcBorders>
              <w:top w:val="nil"/>
              <w:left w:val="nil"/>
              <w:bottom w:val="nil"/>
              <w:right w:val="nil"/>
            </w:tcBorders>
          </w:tcPr>
          <w:p>
            <w:pPr>
              <w:pStyle w:val="TableParagraph"/>
              <w:spacing w:before="26"/>
              <w:ind w:right="86"/>
              <w:rPr>
                <w:sz w:val="20"/>
              </w:rPr>
            </w:pPr>
            <w:r>
              <w:rPr>
                <w:sz w:val="20"/>
              </w:rPr>
              <w:t>19.0</w:t>
            </w:r>
          </w:p>
        </w:tc>
        <w:tc>
          <w:tcPr>
            <w:tcW w:w="1133" w:type="dxa"/>
            <w:tcBorders>
              <w:top w:val="nil"/>
              <w:left w:val="nil"/>
              <w:bottom w:val="nil"/>
              <w:right w:val="nil"/>
            </w:tcBorders>
          </w:tcPr>
          <w:p>
            <w:pPr>
              <w:pStyle w:val="TableParagraph"/>
              <w:spacing w:before="26"/>
              <w:ind w:right="288"/>
              <w:rPr>
                <w:sz w:val="20"/>
              </w:rPr>
            </w:pPr>
            <w:r>
              <w:rPr>
                <w:sz w:val="20"/>
              </w:rPr>
              <w:t>20.0</w:t>
            </w:r>
          </w:p>
        </w:tc>
        <w:tc>
          <w:tcPr>
            <w:tcW w:w="934" w:type="dxa"/>
            <w:tcBorders>
              <w:top w:val="nil"/>
              <w:left w:val="nil"/>
              <w:bottom w:val="nil"/>
              <w:right w:val="nil"/>
            </w:tcBorders>
          </w:tcPr>
          <w:p>
            <w:pPr>
              <w:pStyle w:val="TableParagraph"/>
              <w:spacing w:before="26"/>
              <w:ind w:right="286"/>
              <w:rPr>
                <w:sz w:val="20"/>
              </w:rPr>
            </w:pPr>
            <w:r>
              <w:rPr>
                <w:sz w:val="20"/>
              </w:rPr>
              <w:t>19.0</w:t>
            </w:r>
          </w:p>
        </w:tc>
        <w:tc>
          <w:tcPr>
            <w:tcW w:w="881" w:type="dxa"/>
            <w:tcBorders>
              <w:top w:val="nil"/>
              <w:left w:val="nil"/>
              <w:bottom w:val="nil"/>
              <w:right w:val="nil"/>
            </w:tcBorders>
          </w:tcPr>
          <w:p>
            <w:pPr>
              <w:pStyle w:val="TableParagraph"/>
              <w:spacing w:before="26"/>
              <w:ind w:right="235"/>
              <w:rPr>
                <w:sz w:val="20"/>
              </w:rPr>
            </w:pPr>
            <w:r>
              <w:rPr>
                <w:sz w:val="20"/>
              </w:rPr>
              <w:t>20.0</w:t>
            </w:r>
          </w:p>
        </w:tc>
        <w:tc>
          <w:tcPr>
            <w:tcW w:w="934" w:type="dxa"/>
            <w:tcBorders>
              <w:top w:val="nil"/>
              <w:left w:val="nil"/>
              <w:bottom w:val="nil"/>
              <w:right w:val="nil"/>
            </w:tcBorders>
          </w:tcPr>
          <w:p>
            <w:pPr>
              <w:pStyle w:val="TableParagraph"/>
              <w:spacing w:before="26"/>
              <w:ind w:right="238"/>
              <w:rPr>
                <w:sz w:val="20"/>
              </w:rPr>
            </w:pPr>
            <w:r>
              <w:rPr>
                <w:sz w:val="20"/>
              </w:rPr>
              <w:t>19.0</w:t>
            </w:r>
          </w:p>
        </w:tc>
        <w:tc>
          <w:tcPr>
            <w:tcW w:w="934" w:type="dxa"/>
            <w:tcBorders>
              <w:top w:val="nil"/>
              <w:left w:val="nil"/>
              <w:bottom w:val="nil"/>
              <w:right w:val="nil"/>
            </w:tcBorders>
          </w:tcPr>
          <w:p>
            <w:pPr>
              <w:pStyle w:val="TableParagraph"/>
              <w:spacing w:before="26"/>
              <w:ind w:right="235"/>
              <w:rPr>
                <w:sz w:val="20"/>
              </w:rPr>
            </w:pPr>
            <w:r>
              <w:rPr>
                <w:sz w:val="20"/>
              </w:rPr>
              <w:t>19.0</w:t>
            </w:r>
          </w:p>
        </w:tc>
        <w:tc>
          <w:tcPr>
            <w:tcW w:w="932" w:type="dxa"/>
            <w:tcBorders>
              <w:top w:val="nil"/>
              <w:left w:val="nil"/>
              <w:bottom w:val="nil"/>
              <w:right w:val="nil"/>
            </w:tcBorders>
          </w:tcPr>
          <w:p>
            <w:pPr>
              <w:pStyle w:val="TableParagraph"/>
              <w:spacing w:before="26"/>
              <w:ind w:right="236"/>
              <w:rPr>
                <w:sz w:val="20"/>
              </w:rPr>
            </w:pPr>
            <w:r>
              <w:rPr>
                <w:sz w:val="20"/>
              </w:rPr>
              <w:t>19.0</w:t>
            </w:r>
          </w:p>
        </w:tc>
        <w:tc>
          <w:tcPr>
            <w:tcW w:w="984" w:type="dxa"/>
            <w:tcBorders>
              <w:top w:val="nil"/>
              <w:left w:val="nil"/>
              <w:bottom w:val="nil"/>
              <w:right w:val="nil"/>
            </w:tcBorders>
          </w:tcPr>
          <w:p>
            <w:pPr>
              <w:pStyle w:val="TableParagraph"/>
              <w:spacing w:before="26"/>
              <w:ind w:right="288"/>
              <w:rPr>
                <w:sz w:val="20"/>
              </w:rPr>
            </w:pPr>
            <w:r>
              <w:rPr>
                <w:sz w:val="20"/>
              </w:rPr>
              <w:t>17.0</w:t>
            </w:r>
          </w:p>
        </w:tc>
        <w:tc>
          <w:tcPr>
            <w:tcW w:w="934" w:type="dxa"/>
            <w:tcBorders>
              <w:top w:val="nil"/>
              <w:left w:val="nil"/>
              <w:bottom w:val="nil"/>
              <w:right w:val="nil"/>
            </w:tcBorders>
          </w:tcPr>
          <w:p>
            <w:pPr>
              <w:pStyle w:val="TableParagraph"/>
              <w:spacing w:before="26"/>
              <w:ind w:left="272" w:right="270"/>
              <w:jc w:val="center"/>
              <w:rPr>
                <w:sz w:val="20"/>
              </w:rPr>
            </w:pPr>
            <w:r>
              <w:rPr>
                <w:sz w:val="20"/>
              </w:rPr>
              <w:t>17.0</w:t>
            </w:r>
          </w:p>
        </w:tc>
        <w:tc>
          <w:tcPr>
            <w:tcW w:w="934" w:type="dxa"/>
            <w:tcBorders>
              <w:top w:val="nil"/>
              <w:left w:val="nil"/>
              <w:bottom w:val="nil"/>
              <w:right w:val="nil"/>
            </w:tcBorders>
          </w:tcPr>
          <w:p>
            <w:pPr>
              <w:pStyle w:val="TableParagraph"/>
              <w:spacing w:before="26"/>
              <w:ind w:right="288"/>
              <w:rPr>
                <w:sz w:val="20"/>
              </w:rPr>
            </w:pPr>
            <w:r>
              <w:rPr>
                <w:sz w:val="20"/>
              </w:rPr>
              <w:t>16.0</w:t>
            </w:r>
          </w:p>
        </w:tc>
        <w:tc>
          <w:tcPr>
            <w:tcW w:w="708" w:type="dxa"/>
            <w:tcBorders>
              <w:top w:val="nil"/>
              <w:left w:val="nil"/>
              <w:bottom w:val="nil"/>
              <w:right w:val="nil"/>
            </w:tcBorders>
          </w:tcPr>
          <w:p>
            <w:pPr>
              <w:pStyle w:val="TableParagraph"/>
              <w:spacing w:before="26"/>
              <w:ind w:right="60"/>
              <w:rPr>
                <w:sz w:val="20"/>
              </w:rPr>
            </w:pPr>
            <w:r>
              <w:rPr>
                <w:sz w:val="20"/>
              </w:rPr>
              <w:t>15.0</w:t>
            </w:r>
          </w:p>
        </w:tc>
      </w:tr>
      <w:tr>
        <w:trPr>
          <w:trHeight w:val="297" w:hRule="exact"/>
        </w:trPr>
        <w:tc>
          <w:tcPr>
            <w:tcW w:w="1371" w:type="dxa"/>
            <w:tcBorders>
              <w:top w:val="nil"/>
              <w:left w:val="nil"/>
              <w:right w:val="nil"/>
            </w:tcBorders>
          </w:tcPr>
          <w:p>
            <w:pPr>
              <w:pStyle w:val="TableParagraph"/>
              <w:spacing w:before="52"/>
              <w:ind w:left="259"/>
              <w:jc w:val="left"/>
              <w:rPr>
                <w:sz w:val="20"/>
              </w:rPr>
            </w:pPr>
            <w:r>
              <w:rPr>
                <w:sz w:val="20"/>
              </w:rPr>
              <w:t>WNDAV1</w:t>
            </w:r>
          </w:p>
        </w:tc>
        <w:tc>
          <w:tcPr>
            <w:tcW w:w="1316" w:type="dxa"/>
            <w:tcBorders>
              <w:top w:val="nil"/>
              <w:left w:val="nil"/>
              <w:right w:val="nil"/>
            </w:tcBorders>
          </w:tcPr>
          <w:p>
            <w:pPr>
              <w:pStyle w:val="TableParagraph"/>
              <w:spacing w:before="52"/>
              <w:ind w:right="67"/>
              <w:rPr>
                <w:sz w:val="20"/>
              </w:rPr>
            </w:pPr>
            <w:r>
              <w:rPr>
                <w:sz w:val="20"/>
              </w:rPr>
              <w:t>0.0</w:t>
            </w:r>
          </w:p>
        </w:tc>
        <w:tc>
          <w:tcPr>
            <w:tcW w:w="1507" w:type="dxa"/>
            <w:tcBorders>
              <w:top w:val="nil"/>
              <w:left w:val="nil"/>
              <w:right w:val="nil"/>
            </w:tcBorders>
          </w:tcPr>
          <w:p>
            <w:pPr>
              <w:pStyle w:val="TableParagraph"/>
              <w:spacing w:before="52"/>
              <w:ind w:right="86"/>
              <w:rPr>
                <w:sz w:val="20"/>
              </w:rPr>
            </w:pPr>
            <w:r>
              <w:rPr>
                <w:sz w:val="20"/>
              </w:rPr>
              <w:t>0.0</w:t>
            </w:r>
          </w:p>
        </w:tc>
        <w:tc>
          <w:tcPr>
            <w:tcW w:w="1133" w:type="dxa"/>
            <w:tcBorders>
              <w:top w:val="nil"/>
              <w:left w:val="nil"/>
              <w:right w:val="nil"/>
            </w:tcBorders>
          </w:tcPr>
          <w:p>
            <w:pPr>
              <w:pStyle w:val="TableParagraph"/>
              <w:spacing w:before="52"/>
              <w:ind w:right="288"/>
              <w:rPr>
                <w:sz w:val="20"/>
              </w:rPr>
            </w:pPr>
            <w:r>
              <w:rPr>
                <w:sz w:val="20"/>
              </w:rPr>
              <w:t>0.0</w:t>
            </w:r>
          </w:p>
        </w:tc>
        <w:tc>
          <w:tcPr>
            <w:tcW w:w="934" w:type="dxa"/>
            <w:tcBorders>
              <w:top w:val="nil"/>
              <w:left w:val="nil"/>
              <w:right w:val="nil"/>
            </w:tcBorders>
          </w:tcPr>
          <w:p>
            <w:pPr>
              <w:pStyle w:val="TableParagraph"/>
              <w:spacing w:before="52"/>
              <w:ind w:right="286"/>
              <w:rPr>
                <w:sz w:val="20"/>
              </w:rPr>
            </w:pPr>
            <w:r>
              <w:rPr>
                <w:sz w:val="20"/>
              </w:rPr>
              <w:t>0.0</w:t>
            </w:r>
          </w:p>
        </w:tc>
        <w:tc>
          <w:tcPr>
            <w:tcW w:w="881" w:type="dxa"/>
            <w:tcBorders>
              <w:top w:val="nil"/>
              <w:left w:val="nil"/>
              <w:right w:val="nil"/>
            </w:tcBorders>
          </w:tcPr>
          <w:p>
            <w:pPr>
              <w:pStyle w:val="TableParagraph"/>
              <w:spacing w:before="52"/>
              <w:ind w:right="235"/>
              <w:rPr>
                <w:sz w:val="20"/>
              </w:rPr>
            </w:pPr>
            <w:r>
              <w:rPr>
                <w:sz w:val="20"/>
              </w:rPr>
              <w:t>0.0</w:t>
            </w:r>
          </w:p>
        </w:tc>
        <w:tc>
          <w:tcPr>
            <w:tcW w:w="934" w:type="dxa"/>
            <w:tcBorders>
              <w:top w:val="nil"/>
              <w:left w:val="nil"/>
              <w:right w:val="nil"/>
            </w:tcBorders>
          </w:tcPr>
          <w:p>
            <w:pPr>
              <w:pStyle w:val="TableParagraph"/>
              <w:spacing w:before="52"/>
              <w:ind w:right="238"/>
              <w:rPr>
                <w:sz w:val="20"/>
              </w:rPr>
            </w:pPr>
            <w:r>
              <w:rPr>
                <w:sz w:val="20"/>
              </w:rPr>
              <w:t>0.0</w:t>
            </w:r>
          </w:p>
        </w:tc>
        <w:tc>
          <w:tcPr>
            <w:tcW w:w="934" w:type="dxa"/>
            <w:tcBorders>
              <w:top w:val="nil"/>
              <w:left w:val="nil"/>
              <w:right w:val="nil"/>
            </w:tcBorders>
          </w:tcPr>
          <w:p>
            <w:pPr>
              <w:pStyle w:val="TableParagraph"/>
              <w:spacing w:before="52"/>
              <w:ind w:right="235"/>
              <w:rPr>
                <w:sz w:val="20"/>
              </w:rPr>
            </w:pPr>
            <w:r>
              <w:rPr>
                <w:sz w:val="20"/>
              </w:rPr>
              <w:t>0.0</w:t>
            </w:r>
          </w:p>
        </w:tc>
        <w:tc>
          <w:tcPr>
            <w:tcW w:w="932" w:type="dxa"/>
            <w:tcBorders>
              <w:top w:val="nil"/>
              <w:left w:val="nil"/>
              <w:right w:val="nil"/>
            </w:tcBorders>
          </w:tcPr>
          <w:p>
            <w:pPr>
              <w:pStyle w:val="TableParagraph"/>
              <w:spacing w:before="52"/>
              <w:ind w:right="235"/>
              <w:rPr>
                <w:sz w:val="20"/>
              </w:rPr>
            </w:pPr>
            <w:r>
              <w:rPr>
                <w:sz w:val="20"/>
              </w:rPr>
              <w:t>0.0</w:t>
            </w:r>
          </w:p>
        </w:tc>
        <w:tc>
          <w:tcPr>
            <w:tcW w:w="984" w:type="dxa"/>
            <w:tcBorders>
              <w:top w:val="nil"/>
              <w:left w:val="nil"/>
              <w:right w:val="nil"/>
            </w:tcBorders>
          </w:tcPr>
          <w:p>
            <w:pPr>
              <w:pStyle w:val="TableParagraph"/>
              <w:spacing w:before="52"/>
              <w:ind w:right="288"/>
              <w:rPr>
                <w:sz w:val="20"/>
              </w:rPr>
            </w:pPr>
            <w:r>
              <w:rPr>
                <w:sz w:val="20"/>
              </w:rPr>
              <w:t>0.0</w:t>
            </w:r>
          </w:p>
        </w:tc>
        <w:tc>
          <w:tcPr>
            <w:tcW w:w="934" w:type="dxa"/>
            <w:tcBorders>
              <w:top w:val="nil"/>
              <w:left w:val="nil"/>
              <w:right w:val="nil"/>
            </w:tcBorders>
          </w:tcPr>
          <w:p>
            <w:pPr>
              <w:pStyle w:val="TableParagraph"/>
              <w:spacing w:before="52"/>
              <w:ind w:left="272" w:right="169"/>
              <w:jc w:val="center"/>
              <w:rPr>
                <w:sz w:val="20"/>
              </w:rPr>
            </w:pPr>
            <w:r>
              <w:rPr>
                <w:sz w:val="20"/>
              </w:rPr>
              <w:t>0.0</w:t>
            </w:r>
          </w:p>
        </w:tc>
        <w:tc>
          <w:tcPr>
            <w:tcW w:w="934" w:type="dxa"/>
            <w:tcBorders>
              <w:top w:val="nil"/>
              <w:left w:val="nil"/>
              <w:right w:val="nil"/>
            </w:tcBorders>
          </w:tcPr>
          <w:p>
            <w:pPr>
              <w:pStyle w:val="TableParagraph"/>
              <w:spacing w:before="52"/>
              <w:ind w:right="288"/>
              <w:rPr>
                <w:sz w:val="20"/>
              </w:rPr>
            </w:pPr>
            <w:r>
              <w:rPr>
                <w:sz w:val="20"/>
              </w:rPr>
              <w:t>0.0</w:t>
            </w:r>
          </w:p>
        </w:tc>
        <w:tc>
          <w:tcPr>
            <w:tcW w:w="708" w:type="dxa"/>
            <w:tcBorders>
              <w:top w:val="nil"/>
              <w:left w:val="nil"/>
              <w:right w:val="nil"/>
            </w:tcBorders>
          </w:tcPr>
          <w:p>
            <w:pPr>
              <w:pStyle w:val="TableParagraph"/>
              <w:spacing w:before="52"/>
              <w:ind w:right="60"/>
              <w:rPr>
                <w:sz w:val="20"/>
              </w:rPr>
            </w:pPr>
            <w:r>
              <w:rPr>
                <w:sz w:val="20"/>
              </w:rPr>
              <w:t>0.0</w:t>
            </w:r>
          </w:p>
        </w:tc>
      </w:tr>
    </w:tbl>
    <w:p>
      <w:pPr>
        <w:spacing w:after="0"/>
        <w:rPr>
          <w:sz w:val="20"/>
        </w:rPr>
        <w:sectPr>
          <w:pgSz w:w="15840" w:h="12240" w:orient="landscape"/>
          <w:pgMar w:header="0" w:footer="1474" w:top="1140" w:bottom="1660" w:left="1360" w:right="760"/>
        </w:sectPr>
      </w:pPr>
    </w:p>
    <w:p>
      <w:pPr>
        <w:pStyle w:val="BodyText"/>
        <w:spacing w:before="7"/>
        <w:rPr>
          <w:b/>
          <w:sz w:val="17"/>
        </w:rPr>
      </w:pPr>
    </w:p>
    <w:p>
      <w:pPr>
        <w:spacing w:before="66"/>
        <w:ind w:left="2879" w:right="0" w:firstLine="0"/>
        <w:jc w:val="left"/>
        <w:rPr>
          <w:b/>
          <w:sz w:val="26"/>
        </w:rPr>
      </w:pPr>
      <w:bookmarkStart w:name="_bookmark144" w:id="203"/>
      <w:bookmarkEnd w:id="203"/>
      <w:r>
        <w:rPr/>
      </w:r>
      <w:r>
        <w:rPr>
          <w:b/>
          <w:sz w:val="26"/>
        </w:rPr>
        <w:t>Tabla 7. Estadísticas climatológicas de la estación 15261 El Jasmin</w:t>
      </w:r>
    </w:p>
    <w:p>
      <w:pPr>
        <w:pStyle w:val="BodyText"/>
        <w:rPr>
          <w:b/>
          <w:sz w:val="20"/>
        </w:rPr>
      </w:pPr>
    </w:p>
    <w:p>
      <w:pPr>
        <w:pStyle w:val="BodyText"/>
        <w:rPr>
          <w:b/>
          <w:sz w:val="20"/>
        </w:rPr>
      </w:pPr>
    </w:p>
    <w:p>
      <w:pPr>
        <w:pStyle w:val="BodyText"/>
        <w:rPr>
          <w:b/>
          <w:sz w:val="20"/>
        </w:rPr>
      </w:pPr>
    </w:p>
    <w:p>
      <w:pPr>
        <w:pStyle w:val="BodyText"/>
        <w:spacing w:before="3"/>
        <w:rPr>
          <w:b/>
          <w:sz w:val="10"/>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71"/>
        <w:gridCol w:w="1316"/>
        <w:gridCol w:w="1512"/>
        <w:gridCol w:w="1157"/>
        <w:gridCol w:w="953"/>
        <w:gridCol w:w="953"/>
        <w:gridCol w:w="903"/>
        <w:gridCol w:w="953"/>
        <w:gridCol w:w="953"/>
        <w:gridCol w:w="953"/>
        <w:gridCol w:w="1006"/>
        <w:gridCol w:w="953"/>
        <w:gridCol w:w="720"/>
      </w:tblGrid>
      <w:tr>
        <w:trPr>
          <w:trHeight w:val="344" w:hRule="exact"/>
        </w:trPr>
        <w:tc>
          <w:tcPr>
            <w:tcW w:w="1371" w:type="dxa"/>
            <w:tcBorders>
              <w:left w:val="nil"/>
              <w:bottom w:val="nil"/>
              <w:right w:val="nil"/>
            </w:tcBorders>
          </w:tcPr>
          <w:p>
            <w:pPr>
              <w:pStyle w:val="TableParagraph"/>
              <w:spacing w:before="63"/>
              <w:ind w:left="264"/>
              <w:jc w:val="left"/>
              <w:rPr>
                <w:sz w:val="20"/>
              </w:rPr>
            </w:pPr>
            <w:r>
              <w:rPr>
                <w:sz w:val="20"/>
              </w:rPr>
              <w:t>STATION</w:t>
            </w:r>
          </w:p>
        </w:tc>
        <w:tc>
          <w:tcPr>
            <w:tcW w:w="1316" w:type="dxa"/>
            <w:tcBorders>
              <w:left w:val="nil"/>
              <w:bottom w:val="nil"/>
              <w:right w:val="nil"/>
            </w:tcBorders>
          </w:tcPr>
          <w:p>
            <w:pPr>
              <w:pStyle w:val="TableParagraph"/>
              <w:spacing w:before="63"/>
              <w:ind w:right="74"/>
              <w:rPr>
                <w:sz w:val="20"/>
              </w:rPr>
            </w:pPr>
            <w:r>
              <w:rPr>
                <w:sz w:val="20"/>
              </w:rPr>
              <w:t>WLATITUDE</w:t>
            </w:r>
          </w:p>
        </w:tc>
        <w:tc>
          <w:tcPr>
            <w:tcW w:w="1512" w:type="dxa"/>
            <w:tcBorders>
              <w:left w:val="nil"/>
              <w:bottom w:val="nil"/>
              <w:right w:val="nil"/>
            </w:tcBorders>
          </w:tcPr>
          <w:p>
            <w:pPr>
              <w:pStyle w:val="TableParagraph"/>
              <w:spacing w:before="63"/>
              <w:ind w:right="98"/>
              <w:rPr>
                <w:sz w:val="20"/>
              </w:rPr>
            </w:pPr>
            <w:r>
              <w:rPr>
                <w:sz w:val="20"/>
              </w:rPr>
              <w:t>WLONGITUDE</w:t>
            </w:r>
          </w:p>
        </w:tc>
        <w:tc>
          <w:tcPr>
            <w:tcW w:w="1157" w:type="dxa"/>
            <w:tcBorders>
              <w:left w:val="nil"/>
              <w:bottom w:val="nil"/>
              <w:right w:val="nil"/>
            </w:tcBorders>
          </w:tcPr>
          <w:p>
            <w:pPr>
              <w:pStyle w:val="TableParagraph"/>
              <w:spacing w:before="63"/>
              <w:ind w:left="93"/>
              <w:jc w:val="left"/>
              <w:rPr>
                <w:sz w:val="20"/>
              </w:rPr>
            </w:pPr>
            <w:r>
              <w:rPr>
                <w:sz w:val="20"/>
              </w:rPr>
              <w:t>WELEV</w:t>
            </w:r>
          </w:p>
        </w:tc>
        <w:tc>
          <w:tcPr>
            <w:tcW w:w="953" w:type="dxa"/>
            <w:tcBorders>
              <w:left w:val="nil"/>
              <w:bottom w:val="nil"/>
              <w:right w:val="nil"/>
            </w:tcBorders>
          </w:tcPr>
          <w:p>
            <w:pPr/>
          </w:p>
        </w:tc>
        <w:tc>
          <w:tcPr>
            <w:tcW w:w="953" w:type="dxa"/>
            <w:tcBorders>
              <w:left w:val="nil"/>
              <w:bottom w:val="nil"/>
              <w:right w:val="nil"/>
            </w:tcBorders>
          </w:tcPr>
          <w:p>
            <w:pPr/>
          </w:p>
        </w:tc>
        <w:tc>
          <w:tcPr>
            <w:tcW w:w="903" w:type="dxa"/>
            <w:tcBorders>
              <w:left w:val="nil"/>
              <w:bottom w:val="nil"/>
              <w:right w:val="nil"/>
            </w:tcBorders>
          </w:tcPr>
          <w:p>
            <w:pPr/>
          </w:p>
        </w:tc>
        <w:tc>
          <w:tcPr>
            <w:tcW w:w="953" w:type="dxa"/>
            <w:tcBorders>
              <w:left w:val="nil"/>
              <w:bottom w:val="nil"/>
              <w:right w:val="nil"/>
            </w:tcBorders>
          </w:tcPr>
          <w:p>
            <w:pPr/>
          </w:p>
        </w:tc>
        <w:tc>
          <w:tcPr>
            <w:tcW w:w="953" w:type="dxa"/>
            <w:tcBorders>
              <w:left w:val="nil"/>
              <w:bottom w:val="nil"/>
              <w:right w:val="nil"/>
            </w:tcBorders>
          </w:tcPr>
          <w:p>
            <w:pPr/>
          </w:p>
        </w:tc>
        <w:tc>
          <w:tcPr>
            <w:tcW w:w="953" w:type="dxa"/>
            <w:tcBorders>
              <w:left w:val="nil"/>
              <w:bottom w:val="nil"/>
              <w:right w:val="nil"/>
            </w:tcBorders>
          </w:tcPr>
          <w:p>
            <w:pPr/>
          </w:p>
        </w:tc>
        <w:tc>
          <w:tcPr>
            <w:tcW w:w="1006" w:type="dxa"/>
            <w:tcBorders>
              <w:left w:val="nil"/>
              <w:bottom w:val="nil"/>
              <w:right w:val="nil"/>
            </w:tcBorders>
          </w:tcPr>
          <w:p>
            <w:pPr/>
          </w:p>
        </w:tc>
        <w:tc>
          <w:tcPr>
            <w:tcW w:w="953" w:type="dxa"/>
            <w:tcBorders>
              <w:left w:val="nil"/>
              <w:bottom w:val="nil"/>
              <w:right w:val="nil"/>
            </w:tcBorders>
          </w:tcPr>
          <w:p>
            <w:pPr/>
          </w:p>
        </w:tc>
        <w:tc>
          <w:tcPr>
            <w:tcW w:w="720" w:type="dxa"/>
            <w:tcBorders>
              <w:left w:val="nil"/>
              <w:bottom w:val="nil"/>
              <w:right w:val="nil"/>
            </w:tcBorders>
          </w:tcPr>
          <w:p>
            <w:pPr/>
          </w:p>
        </w:tc>
      </w:tr>
      <w:tr>
        <w:trPr>
          <w:trHeight w:val="303" w:hRule="exact"/>
        </w:trPr>
        <w:tc>
          <w:tcPr>
            <w:tcW w:w="1371" w:type="dxa"/>
            <w:tcBorders>
              <w:top w:val="nil"/>
              <w:left w:val="nil"/>
              <w:bottom w:val="nil"/>
              <w:right w:val="nil"/>
            </w:tcBorders>
          </w:tcPr>
          <w:p>
            <w:pPr>
              <w:pStyle w:val="TableParagraph"/>
              <w:spacing w:before="26"/>
              <w:ind w:right="63"/>
              <w:rPr>
                <w:sz w:val="20"/>
              </w:rPr>
            </w:pPr>
            <w:r>
              <w:rPr>
                <w:sz w:val="20"/>
              </w:rPr>
              <w:t>15261</w:t>
            </w:r>
          </w:p>
        </w:tc>
        <w:tc>
          <w:tcPr>
            <w:tcW w:w="1316" w:type="dxa"/>
            <w:tcBorders>
              <w:top w:val="nil"/>
              <w:left w:val="nil"/>
              <w:bottom w:val="nil"/>
              <w:right w:val="nil"/>
            </w:tcBorders>
          </w:tcPr>
          <w:p>
            <w:pPr>
              <w:pStyle w:val="TableParagraph"/>
              <w:spacing w:before="26"/>
              <w:ind w:right="67"/>
              <w:rPr>
                <w:sz w:val="20"/>
              </w:rPr>
            </w:pPr>
            <w:r>
              <w:rPr>
                <w:sz w:val="20"/>
              </w:rPr>
              <w:t>20.01</w:t>
            </w:r>
          </w:p>
        </w:tc>
        <w:tc>
          <w:tcPr>
            <w:tcW w:w="1512" w:type="dxa"/>
            <w:tcBorders>
              <w:top w:val="nil"/>
              <w:left w:val="nil"/>
              <w:bottom w:val="nil"/>
              <w:right w:val="nil"/>
            </w:tcBorders>
          </w:tcPr>
          <w:p>
            <w:pPr>
              <w:pStyle w:val="TableParagraph"/>
              <w:spacing w:before="26"/>
              <w:ind w:right="91"/>
              <w:rPr>
                <w:sz w:val="20"/>
              </w:rPr>
            </w:pPr>
            <w:r>
              <w:rPr>
                <w:sz w:val="20"/>
              </w:rPr>
              <w:t>-99.52</w:t>
            </w:r>
          </w:p>
        </w:tc>
        <w:tc>
          <w:tcPr>
            <w:tcW w:w="1157" w:type="dxa"/>
            <w:tcBorders>
              <w:top w:val="nil"/>
              <w:left w:val="nil"/>
              <w:bottom w:val="nil"/>
              <w:right w:val="nil"/>
            </w:tcBorders>
          </w:tcPr>
          <w:p>
            <w:pPr>
              <w:pStyle w:val="TableParagraph"/>
              <w:spacing w:before="26"/>
              <w:ind w:left="247"/>
              <w:jc w:val="left"/>
              <w:rPr>
                <w:sz w:val="20"/>
              </w:rPr>
            </w:pPr>
            <w:r>
              <w:rPr>
                <w:sz w:val="20"/>
              </w:rPr>
              <w:t>2693</w:t>
            </w:r>
          </w:p>
        </w:tc>
        <w:tc>
          <w:tcPr>
            <w:tcW w:w="953" w:type="dxa"/>
            <w:tcBorders>
              <w:top w:val="nil"/>
              <w:left w:val="nil"/>
              <w:bottom w:val="nil"/>
              <w:right w:val="nil"/>
            </w:tcBorders>
          </w:tcPr>
          <w:p>
            <w:pPr/>
          </w:p>
        </w:tc>
        <w:tc>
          <w:tcPr>
            <w:tcW w:w="953" w:type="dxa"/>
            <w:tcBorders>
              <w:top w:val="nil"/>
              <w:left w:val="nil"/>
              <w:bottom w:val="nil"/>
              <w:right w:val="nil"/>
            </w:tcBorders>
          </w:tcPr>
          <w:p>
            <w:pPr/>
          </w:p>
        </w:tc>
        <w:tc>
          <w:tcPr>
            <w:tcW w:w="903" w:type="dxa"/>
            <w:tcBorders>
              <w:top w:val="nil"/>
              <w:left w:val="nil"/>
              <w:bottom w:val="nil"/>
              <w:right w:val="nil"/>
            </w:tcBorders>
          </w:tcPr>
          <w:p>
            <w:pPr/>
          </w:p>
        </w:tc>
        <w:tc>
          <w:tcPr>
            <w:tcW w:w="953" w:type="dxa"/>
            <w:tcBorders>
              <w:top w:val="nil"/>
              <w:left w:val="nil"/>
              <w:bottom w:val="nil"/>
              <w:right w:val="nil"/>
            </w:tcBorders>
          </w:tcPr>
          <w:p>
            <w:pPr/>
          </w:p>
        </w:tc>
        <w:tc>
          <w:tcPr>
            <w:tcW w:w="953" w:type="dxa"/>
            <w:tcBorders>
              <w:top w:val="nil"/>
              <w:left w:val="nil"/>
              <w:bottom w:val="nil"/>
              <w:right w:val="nil"/>
            </w:tcBorders>
          </w:tcPr>
          <w:p>
            <w:pPr/>
          </w:p>
        </w:tc>
        <w:tc>
          <w:tcPr>
            <w:tcW w:w="953" w:type="dxa"/>
            <w:tcBorders>
              <w:top w:val="nil"/>
              <w:left w:val="nil"/>
              <w:bottom w:val="nil"/>
              <w:right w:val="nil"/>
            </w:tcBorders>
          </w:tcPr>
          <w:p>
            <w:pPr/>
          </w:p>
        </w:tc>
        <w:tc>
          <w:tcPr>
            <w:tcW w:w="1006" w:type="dxa"/>
            <w:tcBorders>
              <w:top w:val="nil"/>
              <w:left w:val="nil"/>
              <w:bottom w:val="nil"/>
              <w:right w:val="nil"/>
            </w:tcBorders>
          </w:tcPr>
          <w:p>
            <w:pPr/>
          </w:p>
        </w:tc>
        <w:tc>
          <w:tcPr>
            <w:tcW w:w="953" w:type="dxa"/>
            <w:tcBorders>
              <w:top w:val="nil"/>
              <w:left w:val="nil"/>
              <w:bottom w:val="nil"/>
              <w:right w:val="nil"/>
            </w:tcBorders>
          </w:tcPr>
          <w:p>
            <w:pPr/>
          </w:p>
        </w:tc>
        <w:tc>
          <w:tcPr>
            <w:tcW w:w="720" w:type="dxa"/>
            <w:tcBorders>
              <w:top w:val="nil"/>
              <w:left w:val="nil"/>
              <w:bottom w:val="nil"/>
              <w:right w:val="nil"/>
            </w:tcBorders>
          </w:tcPr>
          <w:p>
            <w:pPr/>
          </w:p>
        </w:tc>
      </w:tr>
      <w:tr>
        <w:trPr>
          <w:trHeight w:val="303" w:hRule="exact"/>
        </w:trPr>
        <w:tc>
          <w:tcPr>
            <w:tcW w:w="13703" w:type="dxa"/>
            <w:gridSpan w:val="13"/>
            <w:tcBorders>
              <w:top w:val="nil"/>
              <w:left w:val="nil"/>
              <w:bottom w:val="nil"/>
              <w:right w:val="nil"/>
            </w:tcBorders>
          </w:tcPr>
          <w:p>
            <w:pPr>
              <w:pStyle w:val="TableParagraph"/>
              <w:spacing w:before="26"/>
              <w:ind w:left="7193" w:right="5824"/>
              <w:jc w:val="center"/>
              <w:rPr>
                <w:sz w:val="20"/>
              </w:rPr>
            </w:pPr>
            <w:r>
              <w:rPr>
                <w:sz w:val="20"/>
              </w:rPr>
              <w:t>MESES</w:t>
            </w:r>
          </w:p>
        </w:tc>
      </w:tr>
      <w:tr>
        <w:trPr>
          <w:trHeight w:val="270" w:hRule="exact"/>
        </w:trPr>
        <w:tc>
          <w:tcPr>
            <w:tcW w:w="1371" w:type="dxa"/>
            <w:tcBorders>
              <w:top w:val="nil"/>
              <w:left w:val="nil"/>
              <w:right w:val="nil"/>
            </w:tcBorders>
          </w:tcPr>
          <w:p>
            <w:pPr/>
          </w:p>
        </w:tc>
        <w:tc>
          <w:tcPr>
            <w:tcW w:w="1316" w:type="dxa"/>
            <w:tcBorders>
              <w:top w:val="nil"/>
              <w:left w:val="nil"/>
              <w:right w:val="nil"/>
            </w:tcBorders>
          </w:tcPr>
          <w:p>
            <w:pPr>
              <w:pStyle w:val="TableParagraph"/>
              <w:spacing w:before="26"/>
              <w:ind w:right="72"/>
              <w:rPr>
                <w:sz w:val="20"/>
              </w:rPr>
            </w:pPr>
            <w:r>
              <w:rPr>
                <w:w w:val="100"/>
                <w:sz w:val="20"/>
              </w:rPr>
              <w:t>1</w:t>
            </w:r>
          </w:p>
        </w:tc>
        <w:tc>
          <w:tcPr>
            <w:tcW w:w="1512" w:type="dxa"/>
            <w:tcBorders>
              <w:top w:val="nil"/>
              <w:left w:val="nil"/>
              <w:right w:val="nil"/>
            </w:tcBorders>
          </w:tcPr>
          <w:p>
            <w:pPr>
              <w:pStyle w:val="TableParagraph"/>
              <w:spacing w:before="26"/>
              <w:ind w:right="96"/>
              <w:rPr>
                <w:sz w:val="20"/>
              </w:rPr>
            </w:pPr>
            <w:r>
              <w:rPr>
                <w:w w:val="100"/>
                <w:sz w:val="20"/>
              </w:rPr>
              <w:t>2</w:t>
            </w:r>
          </w:p>
        </w:tc>
        <w:tc>
          <w:tcPr>
            <w:tcW w:w="1157" w:type="dxa"/>
            <w:tcBorders>
              <w:top w:val="nil"/>
              <w:left w:val="nil"/>
              <w:right w:val="nil"/>
            </w:tcBorders>
          </w:tcPr>
          <w:p>
            <w:pPr>
              <w:pStyle w:val="TableParagraph"/>
              <w:spacing w:before="26"/>
              <w:ind w:right="302"/>
              <w:rPr>
                <w:sz w:val="20"/>
              </w:rPr>
            </w:pPr>
            <w:r>
              <w:rPr>
                <w:w w:val="100"/>
                <w:sz w:val="20"/>
              </w:rPr>
              <w:t>3</w:t>
            </w:r>
          </w:p>
        </w:tc>
        <w:tc>
          <w:tcPr>
            <w:tcW w:w="953" w:type="dxa"/>
            <w:tcBorders>
              <w:top w:val="nil"/>
              <w:left w:val="nil"/>
              <w:right w:val="nil"/>
            </w:tcBorders>
          </w:tcPr>
          <w:p>
            <w:pPr>
              <w:pStyle w:val="TableParagraph"/>
              <w:spacing w:before="26"/>
              <w:ind w:right="300"/>
              <w:rPr>
                <w:sz w:val="20"/>
              </w:rPr>
            </w:pPr>
            <w:r>
              <w:rPr>
                <w:w w:val="100"/>
                <w:sz w:val="20"/>
              </w:rPr>
              <w:t>4</w:t>
            </w:r>
          </w:p>
        </w:tc>
        <w:tc>
          <w:tcPr>
            <w:tcW w:w="953" w:type="dxa"/>
            <w:tcBorders>
              <w:top w:val="nil"/>
              <w:left w:val="nil"/>
              <w:right w:val="nil"/>
            </w:tcBorders>
          </w:tcPr>
          <w:p>
            <w:pPr>
              <w:pStyle w:val="TableParagraph"/>
              <w:spacing w:before="26"/>
              <w:ind w:right="302"/>
              <w:rPr>
                <w:sz w:val="20"/>
              </w:rPr>
            </w:pPr>
            <w:r>
              <w:rPr>
                <w:w w:val="100"/>
                <w:sz w:val="20"/>
              </w:rPr>
              <w:t>5</w:t>
            </w:r>
          </w:p>
        </w:tc>
        <w:tc>
          <w:tcPr>
            <w:tcW w:w="903" w:type="dxa"/>
            <w:tcBorders>
              <w:top w:val="nil"/>
              <w:left w:val="nil"/>
              <w:right w:val="nil"/>
            </w:tcBorders>
          </w:tcPr>
          <w:p>
            <w:pPr>
              <w:pStyle w:val="TableParagraph"/>
              <w:spacing w:before="26"/>
              <w:ind w:right="249"/>
              <w:rPr>
                <w:sz w:val="20"/>
              </w:rPr>
            </w:pPr>
            <w:r>
              <w:rPr>
                <w:w w:val="100"/>
                <w:sz w:val="20"/>
              </w:rPr>
              <w:t>6</w:t>
            </w:r>
          </w:p>
        </w:tc>
        <w:tc>
          <w:tcPr>
            <w:tcW w:w="953" w:type="dxa"/>
            <w:tcBorders>
              <w:top w:val="nil"/>
              <w:left w:val="nil"/>
              <w:right w:val="nil"/>
            </w:tcBorders>
          </w:tcPr>
          <w:p>
            <w:pPr>
              <w:pStyle w:val="TableParagraph"/>
              <w:spacing w:before="26"/>
              <w:ind w:right="252"/>
              <w:rPr>
                <w:sz w:val="20"/>
              </w:rPr>
            </w:pPr>
            <w:r>
              <w:rPr>
                <w:w w:val="100"/>
                <w:sz w:val="20"/>
              </w:rPr>
              <w:t>7</w:t>
            </w:r>
          </w:p>
        </w:tc>
        <w:tc>
          <w:tcPr>
            <w:tcW w:w="953" w:type="dxa"/>
            <w:tcBorders>
              <w:top w:val="nil"/>
              <w:left w:val="nil"/>
              <w:right w:val="nil"/>
            </w:tcBorders>
          </w:tcPr>
          <w:p>
            <w:pPr>
              <w:pStyle w:val="TableParagraph"/>
              <w:spacing w:before="26"/>
              <w:ind w:right="249"/>
              <w:rPr>
                <w:sz w:val="20"/>
              </w:rPr>
            </w:pPr>
            <w:r>
              <w:rPr>
                <w:w w:val="100"/>
                <w:sz w:val="20"/>
              </w:rPr>
              <w:t>8</w:t>
            </w:r>
          </w:p>
        </w:tc>
        <w:tc>
          <w:tcPr>
            <w:tcW w:w="953" w:type="dxa"/>
            <w:tcBorders>
              <w:top w:val="nil"/>
              <w:left w:val="nil"/>
              <w:right w:val="nil"/>
            </w:tcBorders>
          </w:tcPr>
          <w:p>
            <w:pPr>
              <w:pStyle w:val="TableParagraph"/>
              <w:spacing w:before="26"/>
              <w:ind w:right="252"/>
              <w:rPr>
                <w:sz w:val="20"/>
              </w:rPr>
            </w:pPr>
            <w:r>
              <w:rPr>
                <w:w w:val="100"/>
                <w:sz w:val="20"/>
              </w:rPr>
              <w:t>9</w:t>
            </w:r>
          </w:p>
        </w:tc>
        <w:tc>
          <w:tcPr>
            <w:tcW w:w="1006" w:type="dxa"/>
            <w:tcBorders>
              <w:top w:val="nil"/>
              <w:left w:val="nil"/>
              <w:right w:val="nil"/>
            </w:tcBorders>
          </w:tcPr>
          <w:p>
            <w:pPr>
              <w:pStyle w:val="TableParagraph"/>
              <w:spacing w:before="26"/>
              <w:ind w:right="302"/>
              <w:rPr>
                <w:sz w:val="20"/>
              </w:rPr>
            </w:pPr>
            <w:r>
              <w:rPr>
                <w:sz w:val="20"/>
              </w:rPr>
              <w:t>10</w:t>
            </w:r>
          </w:p>
        </w:tc>
        <w:tc>
          <w:tcPr>
            <w:tcW w:w="953" w:type="dxa"/>
            <w:tcBorders>
              <w:top w:val="nil"/>
              <w:left w:val="nil"/>
              <w:right w:val="nil"/>
            </w:tcBorders>
          </w:tcPr>
          <w:p>
            <w:pPr>
              <w:pStyle w:val="TableParagraph"/>
              <w:spacing w:before="26"/>
              <w:ind w:left="282" w:right="136"/>
              <w:jc w:val="center"/>
              <w:rPr>
                <w:sz w:val="20"/>
              </w:rPr>
            </w:pPr>
            <w:r>
              <w:rPr>
                <w:sz w:val="20"/>
              </w:rPr>
              <w:t>11</w:t>
            </w:r>
          </w:p>
        </w:tc>
        <w:tc>
          <w:tcPr>
            <w:tcW w:w="720" w:type="dxa"/>
            <w:tcBorders>
              <w:top w:val="nil"/>
              <w:left w:val="nil"/>
              <w:right w:val="nil"/>
            </w:tcBorders>
          </w:tcPr>
          <w:p>
            <w:pPr>
              <w:pStyle w:val="TableParagraph"/>
              <w:spacing w:before="26"/>
              <w:ind w:right="71"/>
              <w:rPr>
                <w:sz w:val="20"/>
              </w:rPr>
            </w:pPr>
            <w:r>
              <w:rPr>
                <w:sz w:val="20"/>
              </w:rPr>
              <w:t>12</w:t>
            </w:r>
          </w:p>
        </w:tc>
      </w:tr>
      <w:tr>
        <w:trPr>
          <w:trHeight w:val="344" w:hRule="exact"/>
        </w:trPr>
        <w:tc>
          <w:tcPr>
            <w:tcW w:w="1371" w:type="dxa"/>
            <w:tcBorders>
              <w:left w:val="nil"/>
              <w:bottom w:val="nil"/>
              <w:right w:val="nil"/>
            </w:tcBorders>
          </w:tcPr>
          <w:p>
            <w:pPr>
              <w:pStyle w:val="TableParagraph"/>
              <w:spacing w:before="63"/>
              <w:ind w:left="273"/>
              <w:jc w:val="left"/>
              <w:rPr>
                <w:sz w:val="20"/>
              </w:rPr>
            </w:pPr>
            <w:r>
              <w:rPr>
                <w:sz w:val="20"/>
              </w:rPr>
              <w:t>TMPMX1</w:t>
            </w:r>
          </w:p>
        </w:tc>
        <w:tc>
          <w:tcPr>
            <w:tcW w:w="1316" w:type="dxa"/>
            <w:tcBorders>
              <w:left w:val="nil"/>
              <w:bottom w:val="nil"/>
              <w:right w:val="nil"/>
            </w:tcBorders>
          </w:tcPr>
          <w:p>
            <w:pPr>
              <w:pStyle w:val="TableParagraph"/>
              <w:spacing w:before="63"/>
              <w:ind w:right="67"/>
              <w:rPr>
                <w:sz w:val="20"/>
              </w:rPr>
            </w:pPr>
            <w:r>
              <w:rPr>
                <w:sz w:val="20"/>
              </w:rPr>
              <w:t>18.0</w:t>
            </w:r>
          </w:p>
        </w:tc>
        <w:tc>
          <w:tcPr>
            <w:tcW w:w="1512" w:type="dxa"/>
            <w:tcBorders>
              <w:left w:val="nil"/>
              <w:bottom w:val="nil"/>
              <w:right w:val="nil"/>
            </w:tcBorders>
          </w:tcPr>
          <w:p>
            <w:pPr>
              <w:pStyle w:val="TableParagraph"/>
              <w:spacing w:before="63"/>
              <w:ind w:right="91"/>
              <w:rPr>
                <w:sz w:val="20"/>
              </w:rPr>
            </w:pPr>
            <w:r>
              <w:rPr>
                <w:sz w:val="20"/>
              </w:rPr>
              <w:t>19.9</w:t>
            </w:r>
          </w:p>
        </w:tc>
        <w:tc>
          <w:tcPr>
            <w:tcW w:w="1157" w:type="dxa"/>
            <w:tcBorders>
              <w:left w:val="nil"/>
              <w:bottom w:val="nil"/>
              <w:right w:val="nil"/>
            </w:tcBorders>
          </w:tcPr>
          <w:p>
            <w:pPr>
              <w:pStyle w:val="TableParagraph"/>
              <w:spacing w:before="63"/>
              <w:ind w:right="298"/>
              <w:rPr>
                <w:sz w:val="20"/>
              </w:rPr>
            </w:pPr>
            <w:r>
              <w:rPr>
                <w:sz w:val="20"/>
              </w:rPr>
              <w:t>22.2</w:t>
            </w:r>
          </w:p>
        </w:tc>
        <w:tc>
          <w:tcPr>
            <w:tcW w:w="953" w:type="dxa"/>
            <w:tcBorders>
              <w:left w:val="nil"/>
              <w:bottom w:val="nil"/>
              <w:right w:val="nil"/>
            </w:tcBorders>
          </w:tcPr>
          <w:p>
            <w:pPr>
              <w:pStyle w:val="TableParagraph"/>
              <w:spacing w:before="63"/>
              <w:ind w:right="295"/>
              <w:rPr>
                <w:sz w:val="20"/>
              </w:rPr>
            </w:pPr>
            <w:r>
              <w:rPr>
                <w:sz w:val="20"/>
              </w:rPr>
              <w:t>23.9</w:t>
            </w:r>
          </w:p>
        </w:tc>
        <w:tc>
          <w:tcPr>
            <w:tcW w:w="953" w:type="dxa"/>
            <w:tcBorders>
              <w:left w:val="nil"/>
              <w:bottom w:val="nil"/>
              <w:right w:val="nil"/>
            </w:tcBorders>
          </w:tcPr>
          <w:p>
            <w:pPr>
              <w:pStyle w:val="TableParagraph"/>
              <w:spacing w:before="63"/>
              <w:ind w:right="298"/>
              <w:rPr>
                <w:sz w:val="20"/>
              </w:rPr>
            </w:pPr>
            <w:r>
              <w:rPr>
                <w:sz w:val="20"/>
              </w:rPr>
              <w:t>24.3</w:t>
            </w:r>
          </w:p>
        </w:tc>
        <w:tc>
          <w:tcPr>
            <w:tcW w:w="903" w:type="dxa"/>
            <w:tcBorders>
              <w:left w:val="nil"/>
              <w:bottom w:val="nil"/>
              <w:right w:val="nil"/>
            </w:tcBorders>
          </w:tcPr>
          <w:p>
            <w:pPr>
              <w:pStyle w:val="TableParagraph"/>
              <w:spacing w:before="63"/>
              <w:ind w:right="245"/>
              <w:rPr>
                <w:sz w:val="20"/>
              </w:rPr>
            </w:pPr>
            <w:r>
              <w:rPr>
                <w:sz w:val="20"/>
              </w:rPr>
              <w:t>22.2</w:t>
            </w:r>
          </w:p>
        </w:tc>
        <w:tc>
          <w:tcPr>
            <w:tcW w:w="953" w:type="dxa"/>
            <w:tcBorders>
              <w:left w:val="nil"/>
              <w:bottom w:val="nil"/>
              <w:right w:val="nil"/>
            </w:tcBorders>
          </w:tcPr>
          <w:p>
            <w:pPr>
              <w:pStyle w:val="TableParagraph"/>
              <w:spacing w:before="63"/>
              <w:ind w:right="249"/>
              <w:rPr>
                <w:sz w:val="20"/>
              </w:rPr>
            </w:pPr>
            <w:r>
              <w:rPr>
                <w:sz w:val="20"/>
              </w:rPr>
              <w:t>20.1</w:t>
            </w:r>
          </w:p>
        </w:tc>
        <w:tc>
          <w:tcPr>
            <w:tcW w:w="953" w:type="dxa"/>
            <w:tcBorders>
              <w:left w:val="nil"/>
              <w:bottom w:val="nil"/>
              <w:right w:val="nil"/>
            </w:tcBorders>
          </w:tcPr>
          <w:p>
            <w:pPr>
              <w:pStyle w:val="TableParagraph"/>
              <w:spacing w:before="63"/>
              <w:ind w:right="245"/>
              <w:rPr>
                <w:sz w:val="20"/>
              </w:rPr>
            </w:pPr>
            <w:r>
              <w:rPr>
                <w:sz w:val="20"/>
              </w:rPr>
              <w:t>20.0</w:t>
            </w:r>
          </w:p>
        </w:tc>
        <w:tc>
          <w:tcPr>
            <w:tcW w:w="953" w:type="dxa"/>
            <w:tcBorders>
              <w:left w:val="nil"/>
              <w:bottom w:val="nil"/>
              <w:right w:val="nil"/>
            </w:tcBorders>
          </w:tcPr>
          <w:p>
            <w:pPr>
              <w:pStyle w:val="TableParagraph"/>
              <w:spacing w:before="63"/>
              <w:ind w:right="247"/>
              <w:rPr>
                <w:sz w:val="20"/>
              </w:rPr>
            </w:pPr>
            <w:r>
              <w:rPr>
                <w:sz w:val="20"/>
              </w:rPr>
              <w:t>19.1</w:t>
            </w:r>
          </w:p>
        </w:tc>
        <w:tc>
          <w:tcPr>
            <w:tcW w:w="1006" w:type="dxa"/>
            <w:tcBorders>
              <w:left w:val="nil"/>
              <w:bottom w:val="nil"/>
              <w:right w:val="nil"/>
            </w:tcBorders>
          </w:tcPr>
          <w:p>
            <w:pPr>
              <w:pStyle w:val="TableParagraph"/>
              <w:spacing w:before="63"/>
              <w:ind w:right="298"/>
              <w:rPr>
                <w:sz w:val="20"/>
              </w:rPr>
            </w:pPr>
            <w:r>
              <w:rPr>
                <w:sz w:val="20"/>
              </w:rPr>
              <w:t>18.7</w:t>
            </w:r>
          </w:p>
        </w:tc>
        <w:tc>
          <w:tcPr>
            <w:tcW w:w="953" w:type="dxa"/>
            <w:tcBorders>
              <w:left w:val="nil"/>
              <w:bottom w:val="nil"/>
              <w:right w:val="nil"/>
            </w:tcBorders>
          </w:tcPr>
          <w:p>
            <w:pPr>
              <w:pStyle w:val="TableParagraph"/>
              <w:spacing w:before="63"/>
              <w:ind w:left="282" w:right="280"/>
              <w:jc w:val="center"/>
              <w:rPr>
                <w:sz w:val="20"/>
              </w:rPr>
            </w:pPr>
            <w:r>
              <w:rPr>
                <w:sz w:val="20"/>
              </w:rPr>
              <w:t>19.0</w:t>
            </w:r>
          </w:p>
        </w:tc>
        <w:tc>
          <w:tcPr>
            <w:tcW w:w="720" w:type="dxa"/>
            <w:tcBorders>
              <w:left w:val="nil"/>
              <w:bottom w:val="nil"/>
              <w:right w:val="nil"/>
            </w:tcBorders>
          </w:tcPr>
          <w:p>
            <w:pPr>
              <w:pStyle w:val="TableParagraph"/>
              <w:spacing w:before="63"/>
              <w:ind w:right="65"/>
              <w:rPr>
                <w:sz w:val="20"/>
              </w:rPr>
            </w:pPr>
            <w:r>
              <w:rPr>
                <w:sz w:val="20"/>
              </w:rPr>
              <w:t>18.2</w:t>
            </w:r>
          </w:p>
        </w:tc>
      </w:tr>
      <w:tr>
        <w:trPr>
          <w:trHeight w:val="303" w:hRule="exact"/>
        </w:trPr>
        <w:tc>
          <w:tcPr>
            <w:tcW w:w="1371" w:type="dxa"/>
            <w:tcBorders>
              <w:top w:val="nil"/>
              <w:left w:val="nil"/>
              <w:bottom w:val="nil"/>
              <w:right w:val="nil"/>
            </w:tcBorders>
          </w:tcPr>
          <w:p>
            <w:pPr>
              <w:pStyle w:val="TableParagraph"/>
              <w:spacing w:before="26"/>
              <w:ind w:left="273"/>
              <w:jc w:val="left"/>
              <w:rPr>
                <w:sz w:val="20"/>
              </w:rPr>
            </w:pPr>
            <w:r>
              <w:rPr>
                <w:sz w:val="20"/>
              </w:rPr>
              <w:t>TMPMN1</w:t>
            </w:r>
          </w:p>
        </w:tc>
        <w:tc>
          <w:tcPr>
            <w:tcW w:w="1316" w:type="dxa"/>
            <w:tcBorders>
              <w:top w:val="nil"/>
              <w:left w:val="nil"/>
              <w:bottom w:val="nil"/>
              <w:right w:val="nil"/>
            </w:tcBorders>
          </w:tcPr>
          <w:p>
            <w:pPr>
              <w:pStyle w:val="TableParagraph"/>
              <w:spacing w:before="26"/>
              <w:ind w:right="67"/>
              <w:rPr>
                <w:sz w:val="20"/>
              </w:rPr>
            </w:pPr>
            <w:r>
              <w:rPr>
                <w:sz w:val="20"/>
              </w:rPr>
              <w:t>2.0</w:t>
            </w:r>
          </w:p>
        </w:tc>
        <w:tc>
          <w:tcPr>
            <w:tcW w:w="1512" w:type="dxa"/>
            <w:tcBorders>
              <w:top w:val="nil"/>
              <w:left w:val="nil"/>
              <w:bottom w:val="nil"/>
              <w:right w:val="nil"/>
            </w:tcBorders>
          </w:tcPr>
          <w:p>
            <w:pPr>
              <w:pStyle w:val="TableParagraph"/>
              <w:spacing w:before="26"/>
              <w:ind w:right="91"/>
              <w:rPr>
                <w:sz w:val="20"/>
              </w:rPr>
            </w:pPr>
            <w:r>
              <w:rPr>
                <w:sz w:val="20"/>
              </w:rPr>
              <w:t>2.8</w:t>
            </w:r>
          </w:p>
        </w:tc>
        <w:tc>
          <w:tcPr>
            <w:tcW w:w="1157" w:type="dxa"/>
            <w:tcBorders>
              <w:top w:val="nil"/>
              <w:left w:val="nil"/>
              <w:bottom w:val="nil"/>
              <w:right w:val="nil"/>
            </w:tcBorders>
          </w:tcPr>
          <w:p>
            <w:pPr>
              <w:pStyle w:val="TableParagraph"/>
              <w:spacing w:before="26"/>
              <w:ind w:right="298"/>
              <w:rPr>
                <w:sz w:val="20"/>
              </w:rPr>
            </w:pPr>
            <w:r>
              <w:rPr>
                <w:sz w:val="20"/>
              </w:rPr>
              <w:t>4.4</w:t>
            </w:r>
          </w:p>
        </w:tc>
        <w:tc>
          <w:tcPr>
            <w:tcW w:w="953" w:type="dxa"/>
            <w:tcBorders>
              <w:top w:val="nil"/>
              <w:left w:val="nil"/>
              <w:bottom w:val="nil"/>
              <w:right w:val="nil"/>
            </w:tcBorders>
          </w:tcPr>
          <w:p>
            <w:pPr>
              <w:pStyle w:val="TableParagraph"/>
              <w:spacing w:before="26"/>
              <w:ind w:right="295"/>
              <w:rPr>
                <w:sz w:val="20"/>
              </w:rPr>
            </w:pPr>
            <w:r>
              <w:rPr>
                <w:sz w:val="20"/>
              </w:rPr>
              <w:t>6.2</w:t>
            </w:r>
          </w:p>
        </w:tc>
        <w:tc>
          <w:tcPr>
            <w:tcW w:w="953" w:type="dxa"/>
            <w:tcBorders>
              <w:top w:val="nil"/>
              <w:left w:val="nil"/>
              <w:bottom w:val="nil"/>
              <w:right w:val="nil"/>
            </w:tcBorders>
          </w:tcPr>
          <w:p>
            <w:pPr>
              <w:pStyle w:val="TableParagraph"/>
              <w:spacing w:before="26"/>
              <w:ind w:right="298"/>
              <w:rPr>
                <w:sz w:val="20"/>
              </w:rPr>
            </w:pPr>
            <w:r>
              <w:rPr>
                <w:sz w:val="20"/>
              </w:rPr>
              <w:t>7.4</w:t>
            </w:r>
          </w:p>
        </w:tc>
        <w:tc>
          <w:tcPr>
            <w:tcW w:w="903" w:type="dxa"/>
            <w:tcBorders>
              <w:top w:val="nil"/>
              <w:left w:val="nil"/>
              <w:bottom w:val="nil"/>
              <w:right w:val="nil"/>
            </w:tcBorders>
          </w:tcPr>
          <w:p>
            <w:pPr>
              <w:pStyle w:val="TableParagraph"/>
              <w:spacing w:before="26"/>
              <w:ind w:right="245"/>
              <w:rPr>
                <w:sz w:val="20"/>
              </w:rPr>
            </w:pPr>
            <w:r>
              <w:rPr>
                <w:sz w:val="20"/>
              </w:rPr>
              <w:t>8.4</w:t>
            </w:r>
          </w:p>
        </w:tc>
        <w:tc>
          <w:tcPr>
            <w:tcW w:w="953" w:type="dxa"/>
            <w:tcBorders>
              <w:top w:val="nil"/>
              <w:left w:val="nil"/>
              <w:bottom w:val="nil"/>
              <w:right w:val="nil"/>
            </w:tcBorders>
          </w:tcPr>
          <w:p>
            <w:pPr>
              <w:pStyle w:val="TableParagraph"/>
              <w:spacing w:before="26"/>
              <w:ind w:right="249"/>
              <w:rPr>
                <w:sz w:val="20"/>
              </w:rPr>
            </w:pPr>
            <w:r>
              <w:rPr>
                <w:sz w:val="20"/>
              </w:rPr>
              <w:t>8.3</w:t>
            </w:r>
          </w:p>
        </w:tc>
        <w:tc>
          <w:tcPr>
            <w:tcW w:w="953" w:type="dxa"/>
            <w:tcBorders>
              <w:top w:val="nil"/>
              <w:left w:val="nil"/>
              <w:bottom w:val="nil"/>
              <w:right w:val="nil"/>
            </w:tcBorders>
          </w:tcPr>
          <w:p>
            <w:pPr>
              <w:pStyle w:val="TableParagraph"/>
              <w:spacing w:before="26"/>
              <w:ind w:right="245"/>
              <w:rPr>
                <w:sz w:val="20"/>
              </w:rPr>
            </w:pPr>
            <w:r>
              <w:rPr>
                <w:sz w:val="20"/>
              </w:rPr>
              <w:t>8.2</w:t>
            </w:r>
          </w:p>
        </w:tc>
        <w:tc>
          <w:tcPr>
            <w:tcW w:w="953" w:type="dxa"/>
            <w:tcBorders>
              <w:top w:val="nil"/>
              <w:left w:val="nil"/>
              <w:bottom w:val="nil"/>
              <w:right w:val="nil"/>
            </w:tcBorders>
          </w:tcPr>
          <w:p>
            <w:pPr>
              <w:pStyle w:val="TableParagraph"/>
              <w:spacing w:before="26"/>
              <w:ind w:right="247"/>
              <w:rPr>
                <w:sz w:val="20"/>
              </w:rPr>
            </w:pPr>
            <w:r>
              <w:rPr>
                <w:sz w:val="20"/>
              </w:rPr>
              <w:t>7.8</w:t>
            </w:r>
          </w:p>
        </w:tc>
        <w:tc>
          <w:tcPr>
            <w:tcW w:w="1006" w:type="dxa"/>
            <w:tcBorders>
              <w:top w:val="nil"/>
              <w:left w:val="nil"/>
              <w:bottom w:val="nil"/>
              <w:right w:val="nil"/>
            </w:tcBorders>
          </w:tcPr>
          <w:p>
            <w:pPr>
              <w:pStyle w:val="TableParagraph"/>
              <w:spacing w:before="26"/>
              <w:ind w:right="298"/>
              <w:rPr>
                <w:sz w:val="20"/>
              </w:rPr>
            </w:pPr>
            <w:r>
              <w:rPr>
                <w:sz w:val="20"/>
              </w:rPr>
              <w:t>5.5</w:t>
            </w:r>
          </w:p>
        </w:tc>
        <w:tc>
          <w:tcPr>
            <w:tcW w:w="953" w:type="dxa"/>
            <w:tcBorders>
              <w:top w:val="nil"/>
              <w:left w:val="nil"/>
              <w:bottom w:val="nil"/>
              <w:right w:val="nil"/>
            </w:tcBorders>
          </w:tcPr>
          <w:p>
            <w:pPr>
              <w:pStyle w:val="TableParagraph"/>
              <w:spacing w:before="26"/>
              <w:ind w:left="282" w:right="180"/>
              <w:jc w:val="center"/>
              <w:rPr>
                <w:sz w:val="20"/>
              </w:rPr>
            </w:pPr>
            <w:r>
              <w:rPr>
                <w:sz w:val="20"/>
              </w:rPr>
              <w:t>3.6</w:t>
            </w:r>
          </w:p>
        </w:tc>
        <w:tc>
          <w:tcPr>
            <w:tcW w:w="720" w:type="dxa"/>
            <w:tcBorders>
              <w:top w:val="nil"/>
              <w:left w:val="nil"/>
              <w:bottom w:val="nil"/>
              <w:right w:val="nil"/>
            </w:tcBorders>
          </w:tcPr>
          <w:p>
            <w:pPr>
              <w:pStyle w:val="TableParagraph"/>
              <w:spacing w:before="26"/>
              <w:ind w:right="65"/>
              <w:rPr>
                <w:sz w:val="20"/>
              </w:rPr>
            </w:pPr>
            <w:r>
              <w:rPr>
                <w:sz w:val="20"/>
              </w:rPr>
              <w:t>2.6</w:t>
            </w:r>
          </w:p>
        </w:tc>
      </w:tr>
      <w:tr>
        <w:trPr>
          <w:trHeight w:val="303" w:hRule="exact"/>
        </w:trPr>
        <w:tc>
          <w:tcPr>
            <w:tcW w:w="1371" w:type="dxa"/>
            <w:tcBorders>
              <w:top w:val="nil"/>
              <w:left w:val="nil"/>
              <w:bottom w:val="nil"/>
              <w:right w:val="nil"/>
            </w:tcBorders>
          </w:tcPr>
          <w:p>
            <w:pPr>
              <w:pStyle w:val="TableParagraph"/>
              <w:spacing w:before="26"/>
              <w:ind w:right="68"/>
              <w:rPr>
                <w:sz w:val="20"/>
              </w:rPr>
            </w:pPr>
            <w:r>
              <w:rPr>
                <w:sz w:val="20"/>
              </w:rPr>
              <w:t>TMPSTDMX1</w:t>
            </w:r>
          </w:p>
        </w:tc>
        <w:tc>
          <w:tcPr>
            <w:tcW w:w="1316" w:type="dxa"/>
            <w:tcBorders>
              <w:top w:val="nil"/>
              <w:left w:val="nil"/>
              <w:bottom w:val="nil"/>
              <w:right w:val="nil"/>
            </w:tcBorders>
          </w:tcPr>
          <w:p>
            <w:pPr>
              <w:pStyle w:val="TableParagraph"/>
              <w:spacing w:before="26"/>
              <w:ind w:right="67"/>
              <w:rPr>
                <w:sz w:val="20"/>
              </w:rPr>
            </w:pPr>
            <w:r>
              <w:rPr>
                <w:sz w:val="20"/>
              </w:rPr>
              <w:t>2.5</w:t>
            </w:r>
          </w:p>
        </w:tc>
        <w:tc>
          <w:tcPr>
            <w:tcW w:w="1512" w:type="dxa"/>
            <w:tcBorders>
              <w:top w:val="nil"/>
              <w:left w:val="nil"/>
              <w:bottom w:val="nil"/>
              <w:right w:val="nil"/>
            </w:tcBorders>
          </w:tcPr>
          <w:p>
            <w:pPr>
              <w:pStyle w:val="TableParagraph"/>
              <w:spacing w:before="26"/>
              <w:ind w:right="91"/>
              <w:rPr>
                <w:sz w:val="20"/>
              </w:rPr>
            </w:pPr>
            <w:r>
              <w:rPr>
                <w:sz w:val="20"/>
              </w:rPr>
              <w:t>2.7</w:t>
            </w:r>
          </w:p>
        </w:tc>
        <w:tc>
          <w:tcPr>
            <w:tcW w:w="1157" w:type="dxa"/>
            <w:tcBorders>
              <w:top w:val="nil"/>
              <w:left w:val="nil"/>
              <w:bottom w:val="nil"/>
              <w:right w:val="nil"/>
            </w:tcBorders>
          </w:tcPr>
          <w:p>
            <w:pPr>
              <w:pStyle w:val="TableParagraph"/>
              <w:spacing w:before="26"/>
              <w:ind w:right="298"/>
              <w:rPr>
                <w:sz w:val="20"/>
              </w:rPr>
            </w:pPr>
            <w:r>
              <w:rPr>
                <w:sz w:val="20"/>
              </w:rPr>
              <w:t>2.8</w:t>
            </w:r>
          </w:p>
        </w:tc>
        <w:tc>
          <w:tcPr>
            <w:tcW w:w="953" w:type="dxa"/>
            <w:tcBorders>
              <w:top w:val="nil"/>
              <w:left w:val="nil"/>
              <w:bottom w:val="nil"/>
              <w:right w:val="nil"/>
            </w:tcBorders>
          </w:tcPr>
          <w:p>
            <w:pPr>
              <w:pStyle w:val="TableParagraph"/>
              <w:spacing w:before="26"/>
              <w:ind w:right="295"/>
              <w:rPr>
                <w:sz w:val="20"/>
              </w:rPr>
            </w:pPr>
            <w:r>
              <w:rPr>
                <w:sz w:val="20"/>
              </w:rPr>
              <w:t>2.9</w:t>
            </w:r>
          </w:p>
        </w:tc>
        <w:tc>
          <w:tcPr>
            <w:tcW w:w="953" w:type="dxa"/>
            <w:tcBorders>
              <w:top w:val="nil"/>
              <w:left w:val="nil"/>
              <w:bottom w:val="nil"/>
              <w:right w:val="nil"/>
            </w:tcBorders>
          </w:tcPr>
          <w:p>
            <w:pPr>
              <w:pStyle w:val="TableParagraph"/>
              <w:spacing w:before="26"/>
              <w:ind w:right="298"/>
              <w:rPr>
                <w:sz w:val="20"/>
              </w:rPr>
            </w:pPr>
            <w:r>
              <w:rPr>
                <w:sz w:val="20"/>
              </w:rPr>
              <w:t>2.9</w:t>
            </w:r>
          </w:p>
        </w:tc>
        <w:tc>
          <w:tcPr>
            <w:tcW w:w="903" w:type="dxa"/>
            <w:tcBorders>
              <w:top w:val="nil"/>
              <w:left w:val="nil"/>
              <w:bottom w:val="nil"/>
              <w:right w:val="nil"/>
            </w:tcBorders>
          </w:tcPr>
          <w:p>
            <w:pPr>
              <w:pStyle w:val="TableParagraph"/>
              <w:spacing w:before="26"/>
              <w:ind w:right="245"/>
              <w:rPr>
                <w:sz w:val="20"/>
              </w:rPr>
            </w:pPr>
            <w:r>
              <w:rPr>
                <w:sz w:val="20"/>
              </w:rPr>
              <w:t>2.8</w:t>
            </w:r>
          </w:p>
        </w:tc>
        <w:tc>
          <w:tcPr>
            <w:tcW w:w="953" w:type="dxa"/>
            <w:tcBorders>
              <w:top w:val="nil"/>
              <w:left w:val="nil"/>
              <w:bottom w:val="nil"/>
              <w:right w:val="nil"/>
            </w:tcBorders>
          </w:tcPr>
          <w:p>
            <w:pPr>
              <w:pStyle w:val="TableParagraph"/>
              <w:spacing w:before="26"/>
              <w:ind w:right="249"/>
              <w:rPr>
                <w:sz w:val="20"/>
              </w:rPr>
            </w:pPr>
            <w:r>
              <w:rPr>
                <w:sz w:val="20"/>
              </w:rPr>
              <w:t>2.1</w:t>
            </w:r>
          </w:p>
        </w:tc>
        <w:tc>
          <w:tcPr>
            <w:tcW w:w="953" w:type="dxa"/>
            <w:tcBorders>
              <w:top w:val="nil"/>
              <w:left w:val="nil"/>
              <w:bottom w:val="nil"/>
              <w:right w:val="nil"/>
            </w:tcBorders>
          </w:tcPr>
          <w:p>
            <w:pPr>
              <w:pStyle w:val="TableParagraph"/>
              <w:spacing w:before="26"/>
              <w:ind w:right="245"/>
              <w:rPr>
                <w:sz w:val="20"/>
              </w:rPr>
            </w:pPr>
            <w:r>
              <w:rPr>
                <w:sz w:val="20"/>
              </w:rPr>
              <w:t>2.0</w:t>
            </w:r>
          </w:p>
        </w:tc>
        <w:tc>
          <w:tcPr>
            <w:tcW w:w="953" w:type="dxa"/>
            <w:tcBorders>
              <w:top w:val="nil"/>
              <w:left w:val="nil"/>
              <w:bottom w:val="nil"/>
              <w:right w:val="nil"/>
            </w:tcBorders>
          </w:tcPr>
          <w:p>
            <w:pPr>
              <w:pStyle w:val="TableParagraph"/>
              <w:spacing w:before="26"/>
              <w:ind w:right="247"/>
              <w:rPr>
                <w:sz w:val="20"/>
              </w:rPr>
            </w:pPr>
            <w:r>
              <w:rPr>
                <w:sz w:val="20"/>
              </w:rPr>
              <w:t>2.0</w:t>
            </w:r>
          </w:p>
        </w:tc>
        <w:tc>
          <w:tcPr>
            <w:tcW w:w="1006" w:type="dxa"/>
            <w:tcBorders>
              <w:top w:val="nil"/>
              <w:left w:val="nil"/>
              <w:bottom w:val="nil"/>
              <w:right w:val="nil"/>
            </w:tcBorders>
          </w:tcPr>
          <w:p>
            <w:pPr>
              <w:pStyle w:val="TableParagraph"/>
              <w:spacing w:before="26"/>
              <w:ind w:right="298"/>
              <w:rPr>
                <w:sz w:val="20"/>
              </w:rPr>
            </w:pPr>
            <w:r>
              <w:rPr>
                <w:sz w:val="20"/>
              </w:rPr>
              <w:t>2.5</w:t>
            </w:r>
          </w:p>
        </w:tc>
        <w:tc>
          <w:tcPr>
            <w:tcW w:w="953" w:type="dxa"/>
            <w:tcBorders>
              <w:top w:val="nil"/>
              <w:left w:val="nil"/>
              <w:bottom w:val="nil"/>
              <w:right w:val="nil"/>
            </w:tcBorders>
          </w:tcPr>
          <w:p>
            <w:pPr>
              <w:pStyle w:val="TableParagraph"/>
              <w:spacing w:before="26"/>
              <w:ind w:left="282" w:right="180"/>
              <w:jc w:val="center"/>
              <w:rPr>
                <w:sz w:val="20"/>
              </w:rPr>
            </w:pPr>
            <w:r>
              <w:rPr>
                <w:sz w:val="20"/>
              </w:rPr>
              <w:t>2.3</w:t>
            </w:r>
          </w:p>
        </w:tc>
        <w:tc>
          <w:tcPr>
            <w:tcW w:w="720" w:type="dxa"/>
            <w:tcBorders>
              <w:top w:val="nil"/>
              <w:left w:val="nil"/>
              <w:bottom w:val="nil"/>
              <w:right w:val="nil"/>
            </w:tcBorders>
          </w:tcPr>
          <w:p>
            <w:pPr>
              <w:pStyle w:val="TableParagraph"/>
              <w:spacing w:before="26"/>
              <w:ind w:right="65"/>
              <w:rPr>
                <w:sz w:val="20"/>
              </w:rPr>
            </w:pPr>
            <w:r>
              <w:rPr>
                <w:sz w:val="20"/>
              </w:rPr>
              <w:t>2.5</w:t>
            </w:r>
          </w:p>
        </w:tc>
      </w:tr>
      <w:tr>
        <w:trPr>
          <w:trHeight w:val="300" w:hRule="exact"/>
        </w:trPr>
        <w:tc>
          <w:tcPr>
            <w:tcW w:w="1371" w:type="dxa"/>
            <w:tcBorders>
              <w:top w:val="nil"/>
              <w:left w:val="nil"/>
              <w:bottom w:val="nil"/>
              <w:right w:val="nil"/>
            </w:tcBorders>
          </w:tcPr>
          <w:p>
            <w:pPr>
              <w:pStyle w:val="TableParagraph"/>
              <w:spacing w:before="26"/>
              <w:ind w:right="68"/>
              <w:rPr>
                <w:sz w:val="20"/>
              </w:rPr>
            </w:pPr>
            <w:r>
              <w:rPr>
                <w:sz w:val="20"/>
              </w:rPr>
              <w:t>TMPSTDMN1</w:t>
            </w:r>
          </w:p>
        </w:tc>
        <w:tc>
          <w:tcPr>
            <w:tcW w:w="1316" w:type="dxa"/>
            <w:tcBorders>
              <w:top w:val="nil"/>
              <w:left w:val="nil"/>
              <w:bottom w:val="nil"/>
              <w:right w:val="nil"/>
            </w:tcBorders>
          </w:tcPr>
          <w:p>
            <w:pPr>
              <w:pStyle w:val="TableParagraph"/>
              <w:spacing w:before="26"/>
              <w:ind w:right="67"/>
              <w:rPr>
                <w:sz w:val="20"/>
              </w:rPr>
            </w:pPr>
            <w:r>
              <w:rPr>
                <w:sz w:val="20"/>
              </w:rPr>
              <w:t>2.0</w:t>
            </w:r>
          </w:p>
        </w:tc>
        <w:tc>
          <w:tcPr>
            <w:tcW w:w="1512" w:type="dxa"/>
            <w:tcBorders>
              <w:top w:val="nil"/>
              <w:left w:val="nil"/>
              <w:bottom w:val="nil"/>
              <w:right w:val="nil"/>
            </w:tcBorders>
          </w:tcPr>
          <w:p>
            <w:pPr>
              <w:pStyle w:val="TableParagraph"/>
              <w:spacing w:before="26"/>
              <w:ind w:right="91"/>
              <w:rPr>
                <w:sz w:val="20"/>
              </w:rPr>
            </w:pPr>
            <w:r>
              <w:rPr>
                <w:sz w:val="20"/>
              </w:rPr>
              <w:t>2.0</w:t>
            </w:r>
          </w:p>
        </w:tc>
        <w:tc>
          <w:tcPr>
            <w:tcW w:w="1157" w:type="dxa"/>
            <w:tcBorders>
              <w:top w:val="nil"/>
              <w:left w:val="nil"/>
              <w:bottom w:val="nil"/>
              <w:right w:val="nil"/>
            </w:tcBorders>
          </w:tcPr>
          <w:p>
            <w:pPr>
              <w:pStyle w:val="TableParagraph"/>
              <w:spacing w:before="26"/>
              <w:ind w:right="298"/>
              <w:rPr>
                <w:sz w:val="20"/>
              </w:rPr>
            </w:pPr>
            <w:r>
              <w:rPr>
                <w:sz w:val="20"/>
              </w:rPr>
              <w:t>2.1</w:t>
            </w:r>
          </w:p>
        </w:tc>
        <w:tc>
          <w:tcPr>
            <w:tcW w:w="953" w:type="dxa"/>
            <w:tcBorders>
              <w:top w:val="nil"/>
              <w:left w:val="nil"/>
              <w:bottom w:val="nil"/>
              <w:right w:val="nil"/>
            </w:tcBorders>
          </w:tcPr>
          <w:p>
            <w:pPr>
              <w:pStyle w:val="TableParagraph"/>
              <w:spacing w:before="26"/>
              <w:ind w:right="295"/>
              <w:rPr>
                <w:sz w:val="20"/>
              </w:rPr>
            </w:pPr>
            <w:r>
              <w:rPr>
                <w:sz w:val="20"/>
              </w:rPr>
              <w:t>2.1</w:t>
            </w:r>
          </w:p>
        </w:tc>
        <w:tc>
          <w:tcPr>
            <w:tcW w:w="953" w:type="dxa"/>
            <w:tcBorders>
              <w:top w:val="nil"/>
              <w:left w:val="nil"/>
              <w:bottom w:val="nil"/>
              <w:right w:val="nil"/>
            </w:tcBorders>
          </w:tcPr>
          <w:p>
            <w:pPr>
              <w:pStyle w:val="TableParagraph"/>
              <w:spacing w:before="26"/>
              <w:ind w:right="298"/>
              <w:rPr>
                <w:sz w:val="20"/>
              </w:rPr>
            </w:pPr>
            <w:r>
              <w:rPr>
                <w:sz w:val="20"/>
              </w:rPr>
              <w:t>2.1</w:t>
            </w:r>
          </w:p>
        </w:tc>
        <w:tc>
          <w:tcPr>
            <w:tcW w:w="903" w:type="dxa"/>
            <w:tcBorders>
              <w:top w:val="nil"/>
              <w:left w:val="nil"/>
              <w:bottom w:val="nil"/>
              <w:right w:val="nil"/>
            </w:tcBorders>
          </w:tcPr>
          <w:p>
            <w:pPr>
              <w:pStyle w:val="TableParagraph"/>
              <w:spacing w:before="26"/>
              <w:ind w:right="245"/>
              <w:rPr>
                <w:sz w:val="20"/>
              </w:rPr>
            </w:pPr>
            <w:r>
              <w:rPr>
                <w:sz w:val="20"/>
              </w:rPr>
              <w:t>2.1</w:t>
            </w:r>
          </w:p>
        </w:tc>
        <w:tc>
          <w:tcPr>
            <w:tcW w:w="953" w:type="dxa"/>
            <w:tcBorders>
              <w:top w:val="nil"/>
              <w:left w:val="nil"/>
              <w:bottom w:val="nil"/>
              <w:right w:val="nil"/>
            </w:tcBorders>
          </w:tcPr>
          <w:p>
            <w:pPr>
              <w:pStyle w:val="TableParagraph"/>
              <w:spacing w:before="26"/>
              <w:ind w:right="249"/>
              <w:rPr>
                <w:sz w:val="20"/>
              </w:rPr>
            </w:pPr>
            <w:r>
              <w:rPr>
                <w:sz w:val="20"/>
              </w:rPr>
              <w:t>1.5</w:t>
            </w:r>
          </w:p>
        </w:tc>
        <w:tc>
          <w:tcPr>
            <w:tcW w:w="953" w:type="dxa"/>
            <w:tcBorders>
              <w:top w:val="nil"/>
              <w:left w:val="nil"/>
              <w:bottom w:val="nil"/>
              <w:right w:val="nil"/>
            </w:tcBorders>
          </w:tcPr>
          <w:p>
            <w:pPr>
              <w:pStyle w:val="TableParagraph"/>
              <w:spacing w:before="26"/>
              <w:ind w:right="245"/>
              <w:rPr>
                <w:sz w:val="20"/>
              </w:rPr>
            </w:pPr>
            <w:r>
              <w:rPr>
                <w:sz w:val="20"/>
              </w:rPr>
              <w:t>1.7</w:t>
            </w:r>
          </w:p>
        </w:tc>
        <w:tc>
          <w:tcPr>
            <w:tcW w:w="953" w:type="dxa"/>
            <w:tcBorders>
              <w:top w:val="nil"/>
              <w:left w:val="nil"/>
              <w:bottom w:val="nil"/>
              <w:right w:val="nil"/>
            </w:tcBorders>
          </w:tcPr>
          <w:p>
            <w:pPr>
              <w:pStyle w:val="TableParagraph"/>
              <w:spacing w:before="26"/>
              <w:ind w:right="247"/>
              <w:rPr>
                <w:sz w:val="20"/>
              </w:rPr>
            </w:pPr>
            <w:r>
              <w:rPr>
                <w:sz w:val="20"/>
              </w:rPr>
              <w:t>2.1</w:t>
            </w:r>
          </w:p>
        </w:tc>
        <w:tc>
          <w:tcPr>
            <w:tcW w:w="1006" w:type="dxa"/>
            <w:tcBorders>
              <w:top w:val="nil"/>
              <w:left w:val="nil"/>
              <w:bottom w:val="nil"/>
              <w:right w:val="nil"/>
            </w:tcBorders>
          </w:tcPr>
          <w:p>
            <w:pPr>
              <w:pStyle w:val="TableParagraph"/>
              <w:spacing w:before="26"/>
              <w:ind w:right="298"/>
              <w:rPr>
                <w:sz w:val="20"/>
              </w:rPr>
            </w:pPr>
            <w:r>
              <w:rPr>
                <w:sz w:val="20"/>
              </w:rPr>
              <w:t>2.6</w:t>
            </w:r>
          </w:p>
        </w:tc>
        <w:tc>
          <w:tcPr>
            <w:tcW w:w="953" w:type="dxa"/>
            <w:tcBorders>
              <w:top w:val="nil"/>
              <w:left w:val="nil"/>
              <w:bottom w:val="nil"/>
              <w:right w:val="nil"/>
            </w:tcBorders>
          </w:tcPr>
          <w:p>
            <w:pPr>
              <w:pStyle w:val="TableParagraph"/>
              <w:spacing w:before="26"/>
              <w:ind w:left="282" w:right="180"/>
              <w:jc w:val="center"/>
              <w:rPr>
                <w:sz w:val="20"/>
              </w:rPr>
            </w:pPr>
            <w:r>
              <w:rPr>
                <w:sz w:val="20"/>
              </w:rPr>
              <w:t>2.3</w:t>
            </w:r>
          </w:p>
        </w:tc>
        <w:tc>
          <w:tcPr>
            <w:tcW w:w="720" w:type="dxa"/>
            <w:tcBorders>
              <w:top w:val="nil"/>
              <w:left w:val="nil"/>
              <w:bottom w:val="nil"/>
              <w:right w:val="nil"/>
            </w:tcBorders>
          </w:tcPr>
          <w:p>
            <w:pPr>
              <w:pStyle w:val="TableParagraph"/>
              <w:spacing w:before="26"/>
              <w:ind w:right="65"/>
              <w:rPr>
                <w:sz w:val="20"/>
              </w:rPr>
            </w:pPr>
            <w:r>
              <w:rPr>
                <w:sz w:val="20"/>
              </w:rPr>
              <w:t>2.2</w:t>
            </w:r>
          </w:p>
        </w:tc>
      </w:tr>
      <w:tr>
        <w:trPr>
          <w:trHeight w:val="300" w:hRule="exact"/>
        </w:trPr>
        <w:tc>
          <w:tcPr>
            <w:tcW w:w="1371" w:type="dxa"/>
            <w:tcBorders>
              <w:top w:val="nil"/>
              <w:left w:val="nil"/>
              <w:bottom w:val="nil"/>
              <w:right w:val="nil"/>
            </w:tcBorders>
          </w:tcPr>
          <w:p>
            <w:pPr>
              <w:pStyle w:val="TableParagraph"/>
              <w:ind w:left="288"/>
              <w:jc w:val="left"/>
              <w:rPr>
                <w:sz w:val="20"/>
              </w:rPr>
            </w:pPr>
            <w:r>
              <w:rPr>
                <w:sz w:val="20"/>
              </w:rPr>
              <w:t>PCPMM1</w:t>
            </w:r>
          </w:p>
        </w:tc>
        <w:tc>
          <w:tcPr>
            <w:tcW w:w="1316" w:type="dxa"/>
            <w:tcBorders>
              <w:top w:val="nil"/>
              <w:left w:val="nil"/>
              <w:bottom w:val="nil"/>
              <w:right w:val="nil"/>
            </w:tcBorders>
          </w:tcPr>
          <w:p>
            <w:pPr>
              <w:pStyle w:val="TableParagraph"/>
              <w:ind w:right="67"/>
              <w:rPr>
                <w:sz w:val="20"/>
              </w:rPr>
            </w:pPr>
            <w:r>
              <w:rPr>
                <w:sz w:val="20"/>
              </w:rPr>
              <w:t>16.1</w:t>
            </w:r>
          </w:p>
        </w:tc>
        <w:tc>
          <w:tcPr>
            <w:tcW w:w="1512" w:type="dxa"/>
            <w:tcBorders>
              <w:top w:val="nil"/>
              <w:left w:val="nil"/>
              <w:bottom w:val="nil"/>
              <w:right w:val="nil"/>
            </w:tcBorders>
          </w:tcPr>
          <w:p>
            <w:pPr>
              <w:pStyle w:val="TableParagraph"/>
              <w:ind w:right="91"/>
              <w:rPr>
                <w:sz w:val="20"/>
              </w:rPr>
            </w:pPr>
            <w:r>
              <w:rPr>
                <w:sz w:val="20"/>
              </w:rPr>
              <w:t>11.7</w:t>
            </w:r>
          </w:p>
        </w:tc>
        <w:tc>
          <w:tcPr>
            <w:tcW w:w="1157" w:type="dxa"/>
            <w:tcBorders>
              <w:top w:val="nil"/>
              <w:left w:val="nil"/>
              <w:bottom w:val="nil"/>
              <w:right w:val="nil"/>
            </w:tcBorders>
          </w:tcPr>
          <w:p>
            <w:pPr>
              <w:pStyle w:val="TableParagraph"/>
              <w:ind w:right="298"/>
              <w:rPr>
                <w:sz w:val="20"/>
              </w:rPr>
            </w:pPr>
            <w:r>
              <w:rPr>
                <w:sz w:val="20"/>
              </w:rPr>
              <w:t>11.7</w:t>
            </w:r>
          </w:p>
        </w:tc>
        <w:tc>
          <w:tcPr>
            <w:tcW w:w="953" w:type="dxa"/>
            <w:tcBorders>
              <w:top w:val="nil"/>
              <w:left w:val="nil"/>
              <w:bottom w:val="nil"/>
              <w:right w:val="nil"/>
            </w:tcBorders>
          </w:tcPr>
          <w:p>
            <w:pPr>
              <w:pStyle w:val="TableParagraph"/>
              <w:ind w:right="295"/>
              <w:rPr>
                <w:sz w:val="20"/>
              </w:rPr>
            </w:pPr>
            <w:r>
              <w:rPr>
                <w:sz w:val="20"/>
              </w:rPr>
              <w:t>15.7</w:t>
            </w:r>
          </w:p>
        </w:tc>
        <w:tc>
          <w:tcPr>
            <w:tcW w:w="953" w:type="dxa"/>
            <w:tcBorders>
              <w:top w:val="nil"/>
              <w:left w:val="nil"/>
              <w:bottom w:val="nil"/>
              <w:right w:val="nil"/>
            </w:tcBorders>
          </w:tcPr>
          <w:p>
            <w:pPr>
              <w:pStyle w:val="TableParagraph"/>
              <w:ind w:right="298"/>
              <w:rPr>
                <w:sz w:val="20"/>
              </w:rPr>
            </w:pPr>
            <w:r>
              <w:rPr>
                <w:sz w:val="20"/>
              </w:rPr>
              <w:t>29.2</w:t>
            </w:r>
          </w:p>
        </w:tc>
        <w:tc>
          <w:tcPr>
            <w:tcW w:w="903" w:type="dxa"/>
            <w:tcBorders>
              <w:top w:val="nil"/>
              <w:left w:val="nil"/>
              <w:bottom w:val="nil"/>
              <w:right w:val="nil"/>
            </w:tcBorders>
          </w:tcPr>
          <w:p>
            <w:pPr>
              <w:pStyle w:val="TableParagraph"/>
              <w:ind w:right="245"/>
              <w:rPr>
                <w:sz w:val="20"/>
              </w:rPr>
            </w:pPr>
            <w:r>
              <w:rPr>
                <w:sz w:val="20"/>
              </w:rPr>
              <w:t>81.6</w:t>
            </w:r>
          </w:p>
        </w:tc>
        <w:tc>
          <w:tcPr>
            <w:tcW w:w="953" w:type="dxa"/>
            <w:tcBorders>
              <w:top w:val="nil"/>
              <w:left w:val="nil"/>
              <w:bottom w:val="nil"/>
              <w:right w:val="nil"/>
            </w:tcBorders>
          </w:tcPr>
          <w:p>
            <w:pPr>
              <w:pStyle w:val="TableParagraph"/>
              <w:ind w:right="249"/>
              <w:rPr>
                <w:sz w:val="20"/>
              </w:rPr>
            </w:pPr>
            <w:r>
              <w:rPr>
                <w:sz w:val="20"/>
              </w:rPr>
              <w:t>174.9</w:t>
            </w:r>
          </w:p>
        </w:tc>
        <w:tc>
          <w:tcPr>
            <w:tcW w:w="953" w:type="dxa"/>
            <w:tcBorders>
              <w:top w:val="nil"/>
              <w:left w:val="nil"/>
              <w:bottom w:val="nil"/>
              <w:right w:val="nil"/>
            </w:tcBorders>
          </w:tcPr>
          <w:p>
            <w:pPr>
              <w:pStyle w:val="TableParagraph"/>
              <w:ind w:right="245"/>
              <w:rPr>
                <w:sz w:val="20"/>
              </w:rPr>
            </w:pPr>
            <w:r>
              <w:rPr>
                <w:sz w:val="20"/>
              </w:rPr>
              <w:t>163.1</w:t>
            </w:r>
          </w:p>
        </w:tc>
        <w:tc>
          <w:tcPr>
            <w:tcW w:w="953" w:type="dxa"/>
            <w:tcBorders>
              <w:top w:val="nil"/>
              <w:left w:val="nil"/>
              <w:bottom w:val="nil"/>
              <w:right w:val="nil"/>
            </w:tcBorders>
          </w:tcPr>
          <w:p>
            <w:pPr>
              <w:pStyle w:val="TableParagraph"/>
              <w:ind w:right="247"/>
              <w:rPr>
                <w:sz w:val="20"/>
              </w:rPr>
            </w:pPr>
            <w:r>
              <w:rPr>
                <w:sz w:val="20"/>
              </w:rPr>
              <w:t>154.7</w:t>
            </w:r>
          </w:p>
        </w:tc>
        <w:tc>
          <w:tcPr>
            <w:tcW w:w="1006" w:type="dxa"/>
            <w:tcBorders>
              <w:top w:val="nil"/>
              <w:left w:val="nil"/>
              <w:bottom w:val="nil"/>
              <w:right w:val="nil"/>
            </w:tcBorders>
          </w:tcPr>
          <w:p>
            <w:pPr>
              <w:pStyle w:val="TableParagraph"/>
              <w:ind w:right="298"/>
              <w:rPr>
                <w:sz w:val="20"/>
              </w:rPr>
            </w:pPr>
            <w:r>
              <w:rPr>
                <w:sz w:val="20"/>
              </w:rPr>
              <w:t>123.7</w:t>
            </w:r>
          </w:p>
        </w:tc>
        <w:tc>
          <w:tcPr>
            <w:tcW w:w="953" w:type="dxa"/>
            <w:tcBorders>
              <w:top w:val="nil"/>
              <w:left w:val="nil"/>
              <w:bottom w:val="nil"/>
              <w:right w:val="nil"/>
            </w:tcBorders>
          </w:tcPr>
          <w:p>
            <w:pPr>
              <w:pStyle w:val="TableParagraph"/>
              <w:ind w:left="282" w:right="280"/>
              <w:jc w:val="center"/>
              <w:rPr>
                <w:sz w:val="20"/>
              </w:rPr>
            </w:pPr>
            <w:r>
              <w:rPr>
                <w:sz w:val="20"/>
              </w:rPr>
              <w:t>57.4</w:t>
            </w:r>
          </w:p>
        </w:tc>
        <w:tc>
          <w:tcPr>
            <w:tcW w:w="720" w:type="dxa"/>
            <w:tcBorders>
              <w:top w:val="nil"/>
              <w:left w:val="nil"/>
              <w:bottom w:val="nil"/>
              <w:right w:val="nil"/>
            </w:tcBorders>
          </w:tcPr>
          <w:p>
            <w:pPr>
              <w:pStyle w:val="TableParagraph"/>
              <w:ind w:right="65"/>
              <w:rPr>
                <w:sz w:val="20"/>
              </w:rPr>
            </w:pPr>
            <w:r>
              <w:rPr>
                <w:sz w:val="20"/>
              </w:rPr>
              <w:t>29.2</w:t>
            </w:r>
          </w:p>
        </w:tc>
      </w:tr>
      <w:tr>
        <w:trPr>
          <w:trHeight w:val="303" w:hRule="exact"/>
        </w:trPr>
        <w:tc>
          <w:tcPr>
            <w:tcW w:w="1371" w:type="dxa"/>
            <w:tcBorders>
              <w:top w:val="nil"/>
              <w:left w:val="nil"/>
              <w:bottom w:val="nil"/>
              <w:right w:val="nil"/>
            </w:tcBorders>
          </w:tcPr>
          <w:p>
            <w:pPr>
              <w:pStyle w:val="TableParagraph"/>
              <w:spacing w:before="26"/>
              <w:ind w:left="273"/>
              <w:jc w:val="left"/>
              <w:rPr>
                <w:sz w:val="20"/>
              </w:rPr>
            </w:pPr>
            <w:r>
              <w:rPr>
                <w:sz w:val="20"/>
              </w:rPr>
              <w:t>PCPSTD1</w:t>
            </w:r>
          </w:p>
        </w:tc>
        <w:tc>
          <w:tcPr>
            <w:tcW w:w="1316" w:type="dxa"/>
            <w:tcBorders>
              <w:top w:val="nil"/>
              <w:left w:val="nil"/>
              <w:bottom w:val="nil"/>
              <w:right w:val="nil"/>
            </w:tcBorders>
          </w:tcPr>
          <w:p>
            <w:pPr>
              <w:pStyle w:val="TableParagraph"/>
              <w:spacing w:before="26"/>
              <w:ind w:right="67"/>
              <w:rPr>
                <w:sz w:val="20"/>
              </w:rPr>
            </w:pPr>
            <w:r>
              <w:rPr>
                <w:sz w:val="20"/>
              </w:rPr>
              <w:t>2.5</w:t>
            </w:r>
          </w:p>
        </w:tc>
        <w:tc>
          <w:tcPr>
            <w:tcW w:w="1512" w:type="dxa"/>
            <w:tcBorders>
              <w:top w:val="nil"/>
              <w:left w:val="nil"/>
              <w:bottom w:val="nil"/>
              <w:right w:val="nil"/>
            </w:tcBorders>
          </w:tcPr>
          <w:p>
            <w:pPr>
              <w:pStyle w:val="TableParagraph"/>
              <w:spacing w:before="26"/>
              <w:ind w:right="91"/>
              <w:rPr>
                <w:sz w:val="20"/>
              </w:rPr>
            </w:pPr>
            <w:r>
              <w:rPr>
                <w:sz w:val="20"/>
              </w:rPr>
              <w:t>2.2</w:t>
            </w:r>
          </w:p>
        </w:tc>
        <w:tc>
          <w:tcPr>
            <w:tcW w:w="1157" w:type="dxa"/>
            <w:tcBorders>
              <w:top w:val="nil"/>
              <w:left w:val="nil"/>
              <w:bottom w:val="nil"/>
              <w:right w:val="nil"/>
            </w:tcBorders>
          </w:tcPr>
          <w:p>
            <w:pPr>
              <w:pStyle w:val="TableParagraph"/>
              <w:spacing w:before="26"/>
              <w:ind w:right="298"/>
              <w:rPr>
                <w:sz w:val="20"/>
              </w:rPr>
            </w:pPr>
            <w:r>
              <w:rPr>
                <w:sz w:val="20"/>
              </w:rPr>
              <w:t>2.8</w:t>
            </w:r>
          </w:p>
        </w:tc>
        <w:tc>
          <w:tcPr>
            <w:tcW w:w="953" w:type="dxa"/>
            <w:tcBorders>
              <w:top w:val="nil"/>
              <w:left w:val="nil"/>
              <w:bottom w:val="nil"/>
              <w:right w:val="nil"/>
            </w:tcBorders>
          </w:tcPr>
          <w:p>
            <w:pPr>
              <w:pStyle w:val="TableParagraph"/>
              <w:spacing w:before="26"/>
              <w:ind w:right="295"/>
              <w:rPr>
                <w:sz w:val="20"/>
              </w:rPr>
            </w:pPr>
            <w:r>
              <w:rPr>
                <w:sz w:val="20"/>
              </w:rPr>
              <w:t>2.4</w:t>
            </w:r>
          </w:p>
        </w:tc>
        <w:tc>
          <w:tcPr>
            <w:tcW w:w="953" w:type="dxa"/>
            <w:tcBorders>
              <w:top w:val="nil"/>
              <w:left w:val="nil"/>
              <w:bottom w:val="nil"/>
              <w:right w:val="nil"/>
            </w:tcBorders>
          </w:tcPr>
          <w:p>
            <w:pPr>
              <w:pStyle w:val="TableParagraph"/>
              <w:spacing w:before="26"/>
              <w:ind w:right="298"/>
              <w:rPr>
                <w:sz w:val="20"/>
              </w:rPr>
            </w:pPr>
            <w:r>
              <w:rPr>
                <w:sz w:val="20"/>
              </w:rPr>
              <w:t>6.0</w:t>
            </w:r>
          </w:p>
        </w:tc>
        <w:tc>
          <w:tcPr>
            <w:tcW w:w="903" w:type="dxa"/>
            <w:tcBorders>
              <w:top w:val="nil"/>
              <w:left w:val="nil"/>
              <w:bottom w:val="nil"/>
              <w:right w:val="nil"/>
            </w:tcBorders>
          </w:tcPr>
          <w:p>
            <w:pPr>
              <w:pStyle w:val="TableParagraph"/>
              <w:spacing w:before="26"/>
              <w:ind w:right="245"/>
              <w:rPr>
                <w:sz w:val="20"/>
              </w:rPr>
            </w:pPr>
            <w:r>
              <w:rPr>
                <w:sz w:val="20"/>
              </w:rPr>
              <w:t>8.9</w:t>
            </w:r>
          </w:p>
        </w:tc>
        <w:tc>
          <w:tcPr>
            <w:tcW w:w="953" w:type="dxa"/>
            <w:tcBorders>
              <w:top w:val="nil"/>
              <w:left w:val="nil"/>
              <w:bottom w:val="nil"/>
              <w:right w:val="nil"/>
            </w:tcBorders>
          </w:tcPr>
          <w:p>
            <w:pPr>
              <w:pStyle w:val="TableParagraph"/>
              <w:spacing w:before="26"/>
              <w:ind w:right="249"/>
              <w:rPr>
                <w:sz w:val="20"/>
              </w:rPr>
            </w:pPr>
            <w:r>
              <w:rPr>
                <w:sz w:val="20"/>
              </w:rPr>
              <w:t>17.4</w:t>
            </w:r>
          </w:p>
        </w:tc>
        <w:tc>
          <w:tcPr>
            <w:tcW w:w="953" w:type="dxa"/>
            <w:tcBorders>
              <w:top w:val="nil"/>
              <w:left w:val="nil"/>
              <w:bottom w:val="nil"/>
              <w:right w:val="nil"/>
            </w:tcBorders>
          </w:tcPr>
          <w:p>
            <w:pPr>
              <w:pStyle w:val="TableParagraph"/>
              <w:spacing w:before="26"/>
              <w:ind w:right="245"/>
              <w:rPr>
                <w:sz w:val="20"/>
              </w:rPr>
            </w:pPr>
            <w:r>
              <w:rPr>
                <w:sz w:val="20"/>
              </w:rPr>
              <w:t>9.7</w:t>
            </w:r>
          </w:p>
        </w:tc>
        <w:tc>
          <w:tcPr>
            <w:tcW w:w="953" w:type="dxa"/>
            <w:tcBorders>
              <w:top w:val="nil"/>
              <w:left w:val="nil"/>
              <w:bottom w:val="nil"/>
              <w:right w:val="nil"/>
            </w:tcBorders>
          </w:tcPr>
          <w:p>
            <w:pPr>
              <w:pStyle w:val="TableParagraph"/>
              <w:spacing w:before="26"/>
              <w:ind w:right="247"/>
              <w:rPr>
                <w:sz w:val="20"/>
              </w:rPr>
            </w:pPr>
            <w:r>
              <w:rPr>
                <w:sz w:val="20"/>
              </w:rPr>
              <w:t>9.1</w:t>
            </w:r>
          </w:p>
        </w:tc>
        <w:tc>
          <w:tcPr>
            <w:tcW w:w="1006" w:type="dxa"/>
            <w:tcBorders>
              <w:top w:val="nil"/>
              <w:left w:val="nil"/>
              <w:bottom w:val="nil"/>
              <w:right w:val="nil"/>
            </w:tcBorders>
          </w:tcPr>
          <w:p>
            <w:pPr>
              <w:pStyle w:val="TableParagraph"/>
              <w:spacing w:before="26"/>
              <w:ind w:right="298"/>
              <w:rPr>
                <w:sz w:val="20"/>
              </w:rPr>
            </w:pPr>
            <w:r>
              <w:rPr>
                <w:sz w:val="20"/>
              </w:rPr>
              <w:t>8.2</w:t>
            </w:r>
          </w:p>
        </w:tc>
        <w:tc>
          <w:tcPr>
            <w:tcW w:w="953" w:type="dxa"/>
            <w:tcBorders>
              <w:top w:val="nil"/>
              <w:left w:val="nil"/>
              <w:bottom w:val="nil"/>
              <w:right w:val="nil"/>
            </w:tcBorders>
          </w:tcPr>
          <w:p>
            <w:pPr>
              <w:pStyle w:val="TableParagraph"/>
              <w:spacing w:before="26"/>
              <w:ind w:left="282" w:right="180"/>
              <w:jc w:val="center"/>
              <w:rPr>
                <w:sz w:val="20"/>
              </w:rPr>
            </w:pPr>
            <w:r>
              <w:rPr>
                <w:sz w:val="20"/>
              </w:rPr>
              <w:t>5.1</w:t>
            </w:r>
          </w:p>
        </w:tc>
        <w:tc>
          <w:tcPr>
            <w:tcW w:w="720" w:type="dxa"/>
            <w:tcBorders>
              <w:top w:val="nil"/>
              <w:left w:val="nil"/>
              <w:bottom w:val="nil"/>
              <w:right w:val="nil"/>
            </w:tcBorders>
          </w:tcPr>
          <w:p>
            <w:pPr>
              <w:pStyle w:val="TableParagraph"/>
              <w:spacing w:before="26"/>
              <w:ind w:right="65"/>
              <w:rPr>
                <w:sz w:val="20"/>
              </w:rPr>
            </w:pPr>
            <w:r>
              <w:rPr>
                <w:sz w:val="20"/>
              </w:rPr>
              <w:t>3.6</w:t>
            </w:r>
          </w:p>
        </w:tc>
      </w:tr>
      <w:tr>
        <w:trPr>
          <w:trHeight w:val="303" w:hRule="exact"/>
        </w:trPr>
        <w:tc>
          <w:tcPr>
            <w:tcW w:w="1371" w:type="dxa"/>
            <w:tcBorders>
              <w:top w:val="nil"/>
              <w:left w:val="nil"/>
              <w:bottom w:val="nil"/>
              <w:right w:val="nil"/>
            </w:tcBorders>
          </w:tcPr>
          <w:p>
            <w:pPr>
              <w:pStyle w:val="TableParagraph"/>
              <w:spacing w:before="26"/>
              <w:ind w:left="240"/>
              <w:jc w:val="left"/>
              <w:rPr>
                <w:sz w:val="20"/>
              </w:rPr>
            </w:pPr>
            <w:r>
              <w:rPr>
                <w:sz w:val="20"/>
              </w:rPr>
              <w:t>PCPSKW1</w:t>
            </w:r>
          </w:p>
        </w:tc>
        <w:tc>
          <w:tcPr>
            <w:tcW w:w="1316" w:type="dxa"/>
            <w:tcBorders>
              <w:top w:val="nil"/>
              <w:left w:val="nil"/>
              <w:bottom w:val="nil"/>
              <w:right w:val="nil"/>
            </w:tcBorders>
          </w:tcPr>
          <w:p>
            <w:pPr>
              <w:pStyle w:val="TableParagraph"/>
              <w:spacing w:before="26"/>
              <w:ind w:right="67"/>
              <w:rPr>
                <w:sz w:val="20"/>
              </w:rPr>
            </w:pPr>
            <w:r>
              <w:rPr>
                <w:sz w:val="20"/>
              </w:rPr>
              <w:t>6.1</w:t>
            </w:r>
          </w:p>
        </w:tc>
        <w:tc>
          <w:tcPr>
            <w:tcW w:w="1512" w:type="dxa"/>
            <w:tcBorders>
              <w:top w:val="nil"/>
              <w:left w:val="nil"/>
              <w:bottom w:val="nil"/>
              <w:right w:val="nil"/>
            </w:tcBorders>
          </w:tcPr>
          <w:p>
            <w:pPr>
              <w:pStyle w:val="TableParagraph"/>
              <w:spacing w:before="26"/>
              <w:ind w:right="91"/>
              <w:rPr>
                <w:sz w:val="20"/>
              </w:rPr>
            </w:pPr>
            <w:r>
              <w:rPr>
                <w:sz w:val="20"/>
              </w:rPr>
              <w:t>8.0</w:t>
            </w:r>
          </w:p>
        </w:tc>
        <w:tc>
          <w:tcPr>
            <w:tcW w:w="1157" w:type="dxa"/>
            <w:tcBorders>
              <w:top w:val="nil"/>
              <w:left w:val="nil"/>
              <w:bottom w:val="nil"/>
              <w:right w:val="nil"/>
            </w:tcBorders>
          </w:tcPr>
          <w:p>
            <w:pPr>
              <w:pStyle w:val="TableParagraph"/>
              <w:spacing w:before="26"/>
              <w:ind w:right="298"/>
              <w:rPr>
                <w:sz w:val="20"/>
              </w:rPr>
            </w:pPr>
            <w:r>
              <w:rPr>
                <w:sz w:val="20"/>
              </w:rPr>
              <w:t>15.1</w:t>
            </w:r>
          </w:p>
        </w:tc>
        <w:tc>
          <w:tcPr>
            <w:tcW w:w="953" w:type="dxa"/>
            <w:tcBorders>
              <w:top w:val="nil"/>
              <w:left w:val="nil"/>
              <w:bottom w:val="nil"/>
              <w:right w:val="nil"/>
            </w:tcBorders>
          </w:tcPr>
          <w:p>
            <w:pPr>
              <w:pStyle w:val="TableParagraph"/>
              <w:spacing w:before="26"/>
              <w:ind w:right="295"/>
              <w:rPr>
                <w:sz w:val="20"/>
              </w:rPr>
            </w:pPr>
            <w:r>
              <w:rPr>
                <w:sz w:val="20"/>
              </w:rPr>
              <w:t>5.7</w:t>
            </w:r>
          </w:p>
        </w:tc>
        <w:tc>
          <w:tcPr>
            <w:tcW w:w="953" w:type="dxa"/>
            <w:tcBorders>
              <w:top w:val="nil"/>
              <w:left w:val="nil"/>
              <w:bottom w:val="nil"/>
              <w:right w:val="nil"/>
            </w:tcBorders>
          </w:tcPr>
          <w:p>
            <w:pPr>
              <w:pStyle w:val="TableParagraph"/>
              <w:spacing w:before="26"/>
              <w:ind w:right="298"/>
              <w:rPr>
                <w:sz w:val="20"/>
              </w:rPr>
            </w:pPr>
            <w:r>
              <w:rPr>
                <w:sz w:val="20"/>
              </w:rPr>
              <w:t>18.7</w:t>
            </w:r>
          </w:p>
        </w:tc>
        <w:tc>
          <w:tcPr>
            <w:tcW w:w="903" w:type="dxa"/>
            <w:tcBorders>
              <w:top w:val="nil"/>
              <w:left w:val="nil"/>
              <w:bottom w:val="nil"/>
              <w:right w:val="nil"/>
            </w:tcBorders>
          </w:tcPr>
          <w:p>
            <w:pPr>
              <w:pStyle w:val="TableParagraph"/>
              <w:spacing w:before="26"/>
              <w:ind w:right="245"/>
              <w:rPr>
                <w:sz w:val="20"/>
              </w:rPr>
            </w:pPr>
            <w:r>
              <w:rPr>
                <w:sz w:val="20"/>
              </w:rPr>
              <w:t>5.8</w:t>
            </w:r>
          </w:p>
        </w:tc>
        <w:tc>
          <w:tcPr>
            <w:tcW w:w="953" w:type="dxa"/>
            <w:tcBorders>
              <w:top w:val="nil"/>
              <w:left w:val="nil"/>
              <w:bottom w:val="nil"/>
              <w:right w:val="nil"/>
            </w:tcBorders>
          </w:tcPr>
          <w:p>
            <w:pPr>
              <w:pStyle w:val="TableParagraph"/>
              <w:spacing w:before="26"/>
              <w:ind w:right="249"/>
              <w:rPr>
                <w:sz w:val="20"/>
              </w:rPr>
            </w:pPr>
            <w:r>
              <w:rPr>
                <w:sz w:val="20"/>
              </w:rPr>
              <w:t>8.6</w:t>
            </w:r>
          </w:p>
        </w:tc>
        <w:tc>
          <w:tcPr>
            <w:tcW w:w="953" w:type="dxa"/>
            <w:tcBorders>
              <w:top w:val="nil"/>
              <w:left w:val="nil"/>
              <w:bottom w:val="nil"/>
              <w:right w:val="nil"/>
            </w:tcBorders>
          </w:tcPr>
          <w:p>
            <w:pPr>
              <w:pStyle w:val="TableParagraph"/>
              <w:spacing w:before="26"/>
              <w:ind w:right="245"/>
              <w:rPr>
                <w:sz w:val="20"/>
              </w:rPr>
            </w:pPr>
            <w:r>
              <w:rPr>
                <w:sz w:val="20"/>
              </w:rPr>
              <w:t>2.9</w:t>
            </w:r>
          </w:p>
        </w:tc>
        <w:tc>
          <w:tcPr>
            <w:tcW w:w="953" w:type="dxa"/>
            <w:tcBorders>
              <w:top w:val="nil"/>
              <w:left w:val="nil"/>
              <w:bottom w:val="nil"/>
              <w:right w:val="nil"/>
            </w:tcBorders>
          </w:tcPr>
          <w:p>
            <w:pPr>
              <w:pStyle w:val="TableParagraph"/>
              <w:spacing w:before="26"/>
              <w:ind w:right="247"/>
              <w:rPr>
                <w:sz w:val="20"/>
              </w:rPr>
            </w:pPr>
            <w:r>
              <w:rPr>
                <w:sz w:val="20"/>
              </w:rPr>
              <w:t>2.3</w:t>
            </w:r>
          </w:p>
        </w:tc>
        <w:tc>
          <w:tcPr>
            <w:tcW w:w="1006" w:type="dxa"/>
            <w:tcBorders>
              <w:top w:val="nil"/>
              <w:left w:val="nil"/>
              <w:bottom w:val="nil"/>
              <w:right w:val="nil"/>
            </w:tcBorders>
          </w:tcPr>
          <w:p>
            <w:pPr>
              <w:pStyle w:val="TableParagraph"/>
              <w:spacing w:before="26"/>
              <w:ind w:right="298"/>
              <w:rPr>
                <w:sz w:val="20"/>
              </w:rPr>
            </w:pPr>
            <w:r>
              <w:rPr>
                <w:sz w:val="20"/>
              </w:rPr>
              <w:t>2.7</w:t>
            </w:r>
          </w:p>
        </w:tc>
        <w:tc>
          <w:tcPr>
            <w:tcW w:w="953" w:type="dxa"/>
            <w:tcBorders>
              <w:top w:val="nil"/>
              <w:left w:val="nil"/>
              <w:bottom w:val="nil"/>
              <w:right w:val="nil"/>
            </w:tcBorders>
          </w:tcPr>
          <w:p>
            <w:pPr>
              <w:pStyle w:val="TableParagraph"/>
              <w:spacing w:before="26"/>
              <w:ind w:left="282" w:right="180"/>
              <w:jc w:val="center"/>
              <w:rPr>
                <w:sz w:val="20"/>
              </w:rPr>
            </w:pPr>
            <w:r>
              <w:rPr>
                <w:sz w:val="20"/>
              </w:rPr>
              <w:t>3.3</w:t>
            </w:r>
          </w:p>
        </w:tc>
        <w:tc>
          <w:tcPr>
            <w:tcW w:w="720" w:type="dxa"/>
            <w:tcBorders>
              <w:top w:val="nil"/>
              <w:left w:val="nil"/>
              <w:bottom w:val="nil"/>
              <w:right w:val="nil"/>
            </w:tcBorders>
          </w:tcPr>
          <w:p>
            <w:pPr>
              <w:pStyle w:val="TableParagraph"/>
              <w:spacing w:before="26"/>
              <w:ind w:right="65"/>
              <w:rPr>
                <w:sz w:val="20"/>
              </w:rPr>
            </w:pPr>
            <w:r>
              <w:rPr>
                <w:sz w:val="20"/>
              </w:rPr>
              <w:t>5.3</w:t>
            </w:r>
          </w:p>
        </w:tc>
      </w:tr>
      <w:tr>
        <w:trPr>
          <w:trHeight w:val="302" w:hRule="exact"/>
        </w:trPr>
        <w:tc>
          <w:tcPr>
            <w:tcW w:w="1371" w:type="dxa"/>
            <w:tcBorders>
              <w:top w:val="nil"/>
              <w:left w:val="nil"/>
              <w:bottom w:val="nil"/>
              <w:right w:val="nil"/>
            </w:tcBorders>
          </w:tcPr>
          <w:p>
            <w:pPr>
              <w:pStyle w:val="TableParagraph"/>
              <w:spacing w:before="26"/>
              <w:ind w:left="273"/>
              <w:jc w:val="left"/>
              <w:rPr>
                <w:sz w:val="20"/>
              </w:rPr>
            </w:pPr>
            <w:r>
              <w:rPr>
                <w:sz w:val="20"/>
              </w:rPr>
              <w:t>PR_W1_1</w:t>
            </w:r>
          </w:p>
        </w:tc>
        <w:tc>
          <w:tcPr>
            <w:tcW w:w="1316" w:type="dxa"/>
            <w:tcBorders>
              <w:top w:val="nil"/>
              <w:left w:val="nil"/>
              <w:bottom w:val="nil"/>
              <w:right w:val="nil"/>
            </w:tcBorders>
          </w:tcPr>
          <w:p>
            <w:pPr>
              <w:pStyle w:val="TableParagraph"/>
              <w:spacing w:before="26"/>
              <w:ind w:right="67"/>
              <w:rPr>
                <w:sz w:val="20"/>
              </w:rPr>
            </w:pPr>
            <w:r>
              <w:rPr>
                <w:sz w:val="20"/>
              </w:rPr>
              <w:t>0.0</w:t>
            </w:r>
          </w:p>
        </w:tc>
        <w:tc>
          <w:tcPr>
            <w:tcW w:w="1512" w:type="dxa"/>
            <w:tcBorders>
              <w:top w:val="nil"/>
              <w:left w:val="nil"/>
              <w:bottom w:val="nil"/>
              <w:right w:val="nil"/>
            </w:tcBorders>
          </w:tcPr>
          <w:p>
            <w:pPr>
              <w:pStyle w:val="TableParagraph"/>
              <w:spacing w:before="26"/>
              <w:ind w:right="91"/>
              <w:rPr>
                <w:sz w:val="20"/>
              </w:rPr>
            </w:pPr>
            <w:r>
              <w:rPr>
                <w:sz w:val="20"/>
              </w:rPr>
              <w:t>0.0</w:t>
            </w:r>
          </w:p>
        </w:tc>
        <w:tc>
          <w:tcPr>
            <w:tcW w:w="1157" w:type="dxa"/>
            <w:tcBorders>
              <w:top w:val="nil"/>
              <w:left w:val="nil"/>
              <w:bottom w:val="nil"/>
              <w:right w:val="nil"/>
            </w:tcBorders>
          </w:tcPr>
          <w:p>
            <w:pPr>
              <w:pStyle w:val="TableParagraph"/>
              <w:spacing w:before="26"/>
              <w:ind w:right="298"/>
              <w:rPr>
                <w:sz w:val="20"/>
              </w:rPr>
            </w:pPr>
            <w:r>
              <w:rPr>
                <w:sz w:val="20"/>
              </w:rPr>
              <w:t>0.0</w:t>
            </w:r>
          </w:p>
        </w:tc>
        <w:tc>
          <w:tcPr>
            <w:tcW w:w="953" w:type="dxa"/>
            <w:tcBorders>
              <w:top w:val="nil"/>
              <w:left w:val="nil"/>
              <w:bottom w:val="nil"/>
              <w:right w:val="nil"/>
            </w:tcBorders>
          </w:tcPr>
          <w:p>
            <w:pPr>
              <w:pStyle w:val="TableParagraph"/>
              <w:spacing w:before="26"/>
              <w:ind w:right="295"/>
              <w:rPr>
                <w:sz w:val="20"/>
              </w:rPr>
            </w:pPr>
            <w:r>
              <w:rPr>
                <w:sz w:val="20"/>
              </w:rPr>
              <w:t>0.0</w:t>
            </w:r>
          </w:p>
        </w:tc>
        <w:tc>
          <w:tcPr>
            <w:tcW w:w="953" w:type="dxa"/>
            <w:tcBorders>
              <w:top w:val="nil"/>
              <w:left w:val="nil"/>
              <w:bottom w:val="nil"/>
              <w:right w:val="nil"/>
            </w:tcBorders>
          </w:tcPr>
          <w:p>
            <w:pPr>
              <w:pStyle w:val="TableParagraph"/>
              <w:spacing w:before="26"/>
              <w:ind w:right="298"/>
              <w:rPr>
                <w:sz w:val="20"/>
              </w:rPr>
            </w:pPr>
            <w:r>
              <w:rPr>
                <w:sz w:val="20"/>
              </w:rPr>
              <w:t>0.1</w:t>
            </w:r>
          </w:p>
        </w:tc>
        <w:tc>
          <w:tcPr>
            <w:tcW w:w="903" w:type="dxa"/>
            <w:tcBorders>
              <w:top w:val="nil"/>
              <w:left w:val="nil"/>
              <w:bottom w:val="nil"/>
              <w:right w:val="nil"/>
            </w:tcBorders>
          </w:tcPr>
          <w:p>
            <w:pPr>
              <w:pStyle w:val="TableParagraph"/>
              <w:spacing w:before="26"/>
              <w:ind w:right="245"/>
              <w:rPr>
                <w:sz w:val="20"/>
              </w:rPr>
            </w:pPr>
            <w:r>
              <w:rPr>
                <w:sz w:val="20"/>
              </w:rPr>
              <w:t>0.1</w:t>
            </w:r>
          </w:p>
        </w:tc>
        <w:tc>
          <w:tcPr>
            <w:tcW w:w="953" w:type="dxa"/>
            <w:tcBorders>
              <w:top w:val="nil"/>
              <w:left w:val="nil"/>
              <w:bottom w:val="nil"/>
              <w:right w:val="nil"/>
            </w:tcBorders>
          </w:tcPr>
          <w:p>
            <w:pPr>
              <w:pStyle w:val="TableParagraph"/>
              <w:spacing w:before="26"/>
              <w:ind w:right="249"/>
              <w:rPr>
                <w:sz w:val="20"/>
              </w:rPr>
            </w:pPr>
            <w:r>
              <w:rPr>
                <w:sz w:val="20"/>
              </w:rPr>
              <w:t>0.2</w:t>
            </w:r>
          </w:p>
        </w:tc>
        <w:tc>
          <w:tcPr>
            <w:tcW w:w="953" w:type="dxa"/>
            <w:tcBorders>
              <w:top w:val="nil"/>
              <w:left w:val="nil"/>
              <w:bottom w:val="nil"/>
              <w:right w:val="nil"/>
            </w:tcBorders>
          </w:tcPr>
          <w:p>
            <w:pPr>
              <w:pStyle w:val="TableParagraph"/>
              <w:spacing w:before="26"/>
              <w:ind w:right="245"/>
              <w:rPr>
                <w:sz w:val="20"/>
              </w:rPr>
            </w:pPr>
            <w:r>
              <w:rPr>
                <w:sz w:val="20"/>
              </w:rPr>
              <w:t>0.3</w:t>
            </w:r>
          </w:p>
        </w:tc>
        <w:tc>
          <w:tcPr>
            <w:tcW w:w="953" w:type="dxa"/>
            <w:tcBorders>
              <w:top w:val="nil"/>
              <w:left w:val="nil"/>
              <w:bottom w:val="nil"/>
              <w:right w:val="nil"/>
            </w:tcBorders>
          </w:tcPr>
          <w:p>
            <w:pPr>
              <w:pStyle w:val="TableParagraph"/>
              <w:spacing w:before="26"/>
              <w:ind w:right="247"/>
              <w:rPr>
                <w:sz w:val="20"/>
              </w:rPr>
            </w:pPr>
            <w:r>
              <w:rPr>
                <w:sz w:val="20"/>
              </w:rPr>
              <w:t>0.2</w:t>
            </w:r>
          </w:p>
        </w:tc>
        <w:tc>
          <w:tcPr>
            <w:tcW w:w="1006" w:type="dxa"/>
            <w:tcBorders>
              <w:top w:val="nil"/>
              <w:left w:val="nil"/>
              <w:bottom w:val="nil"/>
              <w:right w:val="nil"/>
            </w:tcBorders>
          </w:tcPr>
          <w:p>
            <w:pPr>
              <w:pStyle w:val="TableParagraph"/>
              <w:spacing w:before="26"/>
              <w:ind w:right="298"/>
              <w:rPr>
                <w:sz w:val="20"/>
              </w:rPr>
            </w:pPr>
            <w:r>
              <w:rPr>
                <w:sz w:val="20"/>
              </w:rPr>
              <w:t>0.2</w:t>
            </w:r>
          </w:p>
        </w:tc>
        <w:tc>
          <w:tcPr>
            <w:tcW w:w="953" w:type="dxa"/>
            <w:tcBorders>
              <w:top w:val="nil"/>
              <w:left w:val="nil"/>
              <w:bottom w:val="nil"/>
              <w:right w:val="nil"/>
            </w:tcBorders>
          </w:tcPr>
          <w:p>
            <w:pPr>
              <w:pStyle w:val="TableParagraph"/>
              <w:spacing w:before="26"/>
              <w:ind w:left="282" w:right="180"/>
              <w:jc w:val="center"/>
              <w:rPr>
                <w:sz w:val="20"/>
              </w:rPr>
            </w:pPr>
            <w:r>
              <w:rPr>
                <w:sz w:val="20"/>
              </w:rPr>
              <w:t>0.1</w:t>
            </w:r>
          </w:p>
        </w:tc>
        <w:tc>
          <w:tcPr>
            <w:tcW w:w="720" w:type="dxa"/>
            <w:tcBorders>
              <w:top w:val="nil"/>
              <w:left w:val="nil"/>
              <w:bottom w:val="nil"/>
              <w:right w:val="nil"/>
            </w:tcBorders>
          </w:tcPr>
          <w:p>
            <w:pPr>
              <w:pStyle w:val="TableParagraph"/>
              <w:spacing w:before="26"/>
              <w:ind w:right="65"/>
              <w:rPr>
                <w:sz w:val="20"/>
              </w:rPr>
            </w:pPr>
            <w:r>
              <w:rPr>
                <w:sz w:val="20"/>
              </w:rPr>
              <w:t>0.1</w:t>
            </w:r>
          </w:p>
        </w:tc>
      </w:tr>
      <w:tr>
        <w:trPr>
          <w:trHeight w:val="302" w:hRule="exact"/>
        </w:trPr>
        <w:tc>
          <w:tcPr>
            <w:tcW w:w="1371" w:type="dxa"/>
            <w:tcBorders>
              <w:top w:val="nil"/>
              <w:left w:val="nil"/>
              <w:bottom w:val="nil"/>
              <w:right w:val="nil"/>
            </w:tcBorders>
          </w:tcPr>
          <w:p>
            <w:pPr>
              <w:pStyle w:val="TableParagraph"/>
              <w:spacing w:before="26"/>
              <w:ind w:left="273"/>
              <w:jc w:val="left"/>
              <w:rPr>
                <w:sz w:val="20"/>
              </w:rPr>
            </w:pPr>
            <w:r>
              <w:rPr>
                <w:sz w:val="20"/>
              </w:rPr>
              <w:t>PR_W2_1</w:t>
            </w:r>
          </w:p>
        </w:tc>
        <w:tc>
          <w:tcPr>
            <w:tcW w:w="1316" w:type="dxa"/>
            <w:tcBorders>
              <w:top w:val="nil"/>
              <w:left w:val="nil"/>
              <w:bottom w:val="nil"/>
              <w:right w:val="nil"/>
            </w:tcBorders>
          </w:tcPr>
          <w:p>
            <w:pPr>
              <w:pStyle w:val="TableParagraph"/>
              <w:spacing w:before="26"/>
              <w:ind w:right="67"/>
              <w:rPr>
                <w:sz w:val="20"/>
              </w:rPr>
            </w:pPr>
            <w:r>
              <w:rPr>
                <w:sz w:val="20"/>
              </w:rPr>
              <w:t>0.5</w:t>
            </w:r>
          </w:p>
        </w:tc>
        <w:tc>
          <w:tcPr>
            <w:tcW w:w="1512" w:type="dxa"/>
            <w:tcBorders>
              <w:top w:val="nil"/>
              <w:left w:val="nil"/>
              <w:bottom w:val="nil"/>
              <w:right w:val="nil"/>
            </w:tcBorders>
          </w:tcPr>
          <w:p>
            <w:pPr>
              <w:pStyle w:val="TableParagraph"/>
              <w:spacing w:before="26"/>
              <w:ind w:right="91"/>
              <w:rPr>
                <w:sz w:val="20"/>
              </w:rPr>
            </w:pPr>
            <w:r>
              <w:rPr>
                <w:sz w:val="20"/>
              </w:rPr>
              <w:t>0.3</w:t>
            </w:r>
          </w:p>
        </w:tc>
        <w:tc>
          <w:tcPr>
            <w:tcW w:w="1157" w:type="dxa"/>
            <w:tcBorders>
              <w:top w:val="nil"/>
              <w:left w:val="nil"/>
              <w:bottom w:val="nil"/>
              <w:right w:val="nil"/>
            </w:tcBorders>
          </w:tcPr>
          <w:p>
            <w:pPr>
              <w:pStyle w:val="TableParagraph"/>
              <w:spacing w:before="26"/>
              <w:ind w:right="298"/>
              <w:rPr>
                <w:sz w:val="20"/>
              </w:rPr>
            </w:pPr>
            <w:r>
              <w:rPr>
                <w:sz w:val="20"/>
              </w:rPr>
              <w:t>0.3</w:t>
            </w:r>
          </w:p>
        </w:tc>
        <w:tc>
          <w:tcPr>
            <w:tcW w:w="953" w:type="dxa"/>
            <w:tcBorders>
              <w:top w:val="nil"/>
              <w:left w:val="nil"/>
              <w:bottom w:val="nil"/>
              <w:right w:val="nil"/>
            </w:tcBorders>
          </w:tcPr>
          <w:p>
            <w:pPr>
              <w:pStyle w:val="TableParagraph"/>
              <w:spacing w:before="26"/>
              <w:ind w:right="295"/>
              <w:rPr>
                <w:sz w:val="20"/>
              </w:rPr>
            </w:pPr>
            <w:r>
              <w:rPr>
                <w:sz w:val="20"/>
              </w:rPr>
              <w:t>0.4</w:t>
            </w:r>
          </w:p>
        </w:tc>
        <w:tc>
          <w:tcPr>
            <w:tcW w:w="953" w:type="dxa"/>
            <w:tcBorders>
              <w:top w:val="nil"/>
              <w:left w:val="nil"/>
              <w:bottom w:val="nil"/>
              <w:right w:val="nil"/>
            </w:tcBorders>
          </w:tcPr>
          <w:p>
            <w:pPr>
              <w:pStyle w:val="TableParagraph"/>
              <w:spacing w:before="26"/>
              <w:ind w:right="298"/>
              <w:rPr>
                <w:sz w:val="20"/>
              </w:rPr>
            </w:pPr>
            <w:r>
              <w:rPr>
                <w:sz w:val="20"/>
              </w:rPr>
              <w:t>0.5</w:t>
            </w:r>
          </w:p>
        </w:tc>
        <w:tc>
          <w:tcPr>
            <w:tcW w:w="903" w:type="dxa"/>
            <w:tcBorders>
              <w:top w:val="nil"/>
              <w:left w:val="nil"/>
              <w:bottom w:val="nil"/>
              <w:right w:val="nil"/>
            </w:tcBorders>
          </w:tcPr>
          <w:p>
            <w:pPr>
              <w:pStyle w:val="TableParagraph"/>
              <w:spacing w:before="26"/>
              <w:ind w:right="245"/>
              <w:rPr>
                <w:sz w:val="20"/>
              </w:rPr>
            </w:pPr>
            <w:r>
              <w:rPr>
                <w:sz w:val="20"/>
              </w:rPr>
              <w:t>0.5</w:t>
            </w:r>
          </w:p>
        </w:tc>
        <w:tc>
          <w:tcPr>
            <w:tcW w:w="953" w:type="dxa"/>
            <w:tcBorders>
              <w:top w:val="nil"/>
              <w:left w:val="nil"/>
              <w:bottom w:val="nil"/>
              <w:right w:val="nil"/>
            </w:tcBorders>
          </w:tcPr>
          <w:p>
            <w:pPr>
              <w:pStyle w:val="TableParagraph"/>
              <w:spacing w:before="26"/>
              <w:ind w:right="249"/>
              <w:rPr>
                <w:sz w:val="20"/>
              </w:rPr>
            </w:pPr>
            <w:r>
              <w:rPr>
                <w:sz w:val="20"/>
              </w:rPr>
              <w:t>0.6</w:t>
            </w:r>
          </w:p>
        </w:tc>
        <w:tc>
          <w:tcPr>
            <w:tcW w:w="953" w:type="dxa"/>
            <w:tcBorders>
              <w:top w:val="nil"/>
              <w:left w:val="nil"/>
              <w:bottom w:val="nil"/>
              <w:right w:val="nil"/>
            </w:tcBorders>
          </w:tcPr>
          <w:p>
            <w:pPr>
              <w:pStyle w:val="TableParagraph"/>
              <w:spacing w:before="26"/>
              <w:ind w:right="245"/>
              <w:rPr>
                <w:sz w:val="20"/>
              </w:rPr>
            </w:pPr>
            <w:r>
              <w:rPr>
                <w:sz w:val="20"/>
              </w:rPr>
              <w:t>0.6</w:t>
            </w:r>
          </w:p>
        </w:tc>
        <w:tc>
          <w:tcPr>
            <w:tcW w:w="953" w:type="dxa"/>
            <w:tcBorders>
              <w:top w:val="nil"/>
              <w:left w:val="nil"/>
              <w:bottom w:val="nil"/>
              <w:right w:val="nil"/>
            </w:tcBorders>
          </w:tcPr>
          <w:p>
            <w:pPr>
              <w:pStyle w:val="TableParagraph"/>
              <w:spacing w:before="26"/>
              <w:ind w:right="247"/>
              <w:rPr>
                <w:sz w:val="20"/>
              </w:rPr>
            </w:pPr>
            <w:r>
              <w:rPr>
                <w:sz w:val="20"/>
              </w:rPr>
              <w:t>0.6</w:t>
            </w:r>
          </w:p>
        </w:tc>
        <w:tc>
          <w:tcPr>
            <w:tcW w:w="1006" w:type="dxa"/>
            <w:tcBorders>
              <w:top w:val="nil"/>
              <w:left w:val="nil"/>
              <w:bottom w:val="nil"/>
              <w:right w:val="nil"/>
            </w:tcBorders>
          </w:tcPr>
          <w:p>
            <w:pPr>
              <w:pStyle w:val="TableParagraph"/>
              <w:spacing w:before="26"/>
              <w:ind w:right="298"/>
              <w:rPr>
                <w:sz w:val="20"/>
              </w:rPr>
            </w:pPr>
            <w:r>
              <w:rPr>
                <w:sz w:val="20"/>
              </w:rPr>
              <w:t>0.6</w:t>
            </w:r>
          </w:p>
        </w:tc>
        <w:tc>
          <w:tcPr>
            <w:tcW w:w="953" w:type="dxa"/>
            <w:tcBorders>
              <w:top w:val="nil"/>
              <w:left w:val="nil"/>
              <w:bottom w:val="nil"/>
              <w:right w:val="nil"/>
            </w:tcBorders>
          </w:tcPr>
          <w:p>
            <w:pPr>
              <w:pStyle w:val="TableParagraph"/>
              <w:spacing w:before="26"/>
              <w:ind w:left="282" w:right="180"/>
              <w:jc w:val="center"/>
              <w:rPr>
                <w:sz w:val="20"/>
              </w:rPr>
            </w:pPr>
            <w:r>
              <w:rPr>
                <w:sz w:val="20"/>
              </w:rPr>
              <w:t>0.5</w:t>
            </w:r>
          </w:p>
        </w:tc>
        <w:tc>
          <w:tcPr>
            <w:tcW w:w="720" w:type="dxa"/>
            <w:tcBorders>
              <w:top w:val="nil"/>
              <w:left w:val="nil"/>
              <w:bottom w:val="nil"/>
              <w:right w:val="nil"/>
            </w:tcBorders>
          </w:tcPr>
          <w:p>
            <w:pPr>
              <w:pStyle w:val="TableParagraph"/>
              <w:spacing w:before="26"/>
              <w:ind w:right="65"/>
              <w:rPr>
                <w:sz w:val="20"/>
              </w:rPr>
            </w:pPr>
            <w:r>
              <w:rPr>
                <w:sz w:val="20"/>
              </w:rPr>
              <w:t>0.5</w:t>
            </w:r>
          </w:p>
        </w:tc>
      </w:tr>
      <w:tr>
        <w:trPr>
          <w:trHeight w:val="302" w:hRule="exact"/>
        </w:trPr>
        <w:tc>
          <w:tcPr>
            <w:tcW w:w="1371" w:type="dxa"/>
            <w:tcBorders>
              <w:top w:val="nil"/>
              <w:left w:val="nil"/>
              <w:bottom w:val="nil"/>
              <w:right w:val="nil"/>
            </w:tcBorders>
          </w:tcPr>
          <w:p>
            <w:pPr>
              <w:pStyle w:val="TableParagraph"/>
              <w:spacing w:before="26"/>
              <w:ind w:left="393"/>
              <w:jc w:val="left"/>
              <w:rPr>
                <w:sz w:val="20"/>
              </w:rPr>
            </w:pPr>
            <w:r>
              <w:rPr>
                <w:sz w:val="20"/>
              </w:rPr>
              <w:t>PCPD1</w:t>
            </w:r>
          </w:p>
        </w:tc>
        <w:tc>
          <w:tcPr>
            <w:tcW w:w="1316" w:type="dxa"/>
            <w:tcBorders>
              <w:top w:val="nil"/>
              <w:left w:val="nil"/>
              <w:bottom w:val="nil"/>
              <w:right w:val="nil"/>
            </w:tcBorders>
          </w:tcPr>
          <w:p>
            <w:pPr>
              <w:pStyle w:val="TableParagraph"/>
              <w:spacing w:before="26"/>
              <w:ind w:right="67"/>
              <w:rPr>
                <w:sz w:val="20"/>
              </w:rPr>
            </w:pPr>
            <w:r>
              <w:rPr>
                <w:sz w:val="20"/>
              </w:rPr>
              <w:t>2.0</w:t>
            </w:r>
          </w:p>
        </w:tc>
        <w:tc>
          <w:tcPr>
            <w:tcW w:w="1512" w:type="dxa"/>
            <w:tcBorders>
              <w:top w:val="nil"/>
              <w:left w:val="nil"/>
              <w:bottom w:val="nil"/>
              <w:right w:val="nil"/>
            </w:tcBorders>
          </w:tcPr>
          <w:p>
            <w:pPr>
              <w:pStyle w:val="TableParagraph"/>
              <w:spacing w:before="26"/>
              <w:ind w:right="91"/>
              <w:rPr>
                <w:sz w:val="20"/>
              </w:rPr>
            </w:pPr>
            <w:r>
              <w:rPr>
                <w:sz w:val="20"/>
              </w:rPr>
              <w:t>1.6</w:t>
            </w:r>
          </w:p>
        </w:tc>
        <w:tc>
          <w:tcPr>
            <w:tcW w:w="1157" w:type="dxa"/>
            <w:tcBorders>
              <w:top w:val="nil"/>
              <w:left w:val="nil"/>
              <w:bottom w:val="nil"/>
              <w:right w:val="nil"/>
            </w:tcBorders>
          </w:tcPr>
          <w:p>
            <w:pPr>
              <w:pStyle w:val="TableParagraph"/>
              <w:spacing w:before="26"/>
              <w:ind w:right="298"/>
              <w:rPr>
                <w:sz w:val="20"/>
              </w:rPr>
            </w:pPr>
            <w:r>
              <w:rPr>
                <w:sz w:val="20"/>
              </w:rPr>
              <w:t>1.7</w:t>
            </w:r>
          </w:p>
        </w:tc>
        <w:tc>
          <w:tcPr>
            <w:tcW w:w="953" w:type="dxa"/>
            <w:tcBorders>
              <w:top w:val="nil"/>
              <w:left w:val="nil"/>
              <w:bottom w:val="nil"/>
              <w:right w:val="nil"/>
            </w:tcBorders>
          </w:tcPr>
          <w:p>
            <w:pPr>
              <w:pStyle w:val="TableParagraph"/>
              <w:spacing w:before="26"/>
              <w:ind w:right="295"/>
              <w:rPr>
                <w:sz w:val="20"/>
              </w:rPr>
            </w:pPr>
            <w:r>
              <w:rPr>
                <w:sz w:val="20"/>
              </w:rPr>
              <w:t>2.0</w:t>
            </w:r>
          </w:p>
        </w:tc>
        <w:tc>
          <w:tcPr>
            <w:tcW w:w="953" w:type="dxa"/>
            <w:tcBorders>
              <w:top w:val="nil"/>
              <w:left w:val="nil"/>
              <w:bottom w:val="nil"/>
              <w:right w:val="nil"/>
            </w:tcBorders>
          </w:tcPr>
          <w:p>
            <w:pPr>
              <w:pStyle w:val="TableParagraph"/>
              <w:spacing w:before="26"/>
              <w:ind w:right="298"/>
              <w:rPr>
                <w:sz w:val="20"/>
              </w:rPr>
            </w:pPr>
            <w:r>
              <w:rPr>
                <w:sz w:val="20"/>
              </w:rPr>
              <w:t>3.3</w:t>
            </w:r>
          </w:p>
        </w:tc>
        <w:tc>
          <w:tcPr>
            <w:tcW w:w="903" w:type="dxa"/>
            <w:tcBorders>
              <w:top w:val="nil"/>
              <w:left w:val="nil"/>
              <w:bottom w:val="nil"/>
              <w:right w:val="nil"/>
            </w:tcBorders>
          </w:tcPr>
          <w:p>
            <w:pPr>
              <w:pStyle w:val="TableParagraph"/>
              <w:spacing w:before="26"/>
              <w:ind w:right="245"/>
              <w:rPr>
                <w:sz w:val="20"/>
              </w:rPr>
            </w:pPr>
            <w:r>
              <w:rPr>
                <w:sz w:val="20"/>
              </w:rPr>
              <w:t>5.7</w:t>
            </w:r>
          </w:p>
        </w:tc>
        <w:tc>
          <w:tcPr>
            <w:tcW w:w="953" w:type="dxa"/>
            <w:tcBorders>
              <w:top w:val="nil"/>
              <w:left w:val="nil"/>
              <w:bottom w:val="nil"/>
              <w:right w:val="nil"/>
            </w:tcBorders>
          </w:tcPr>
          <w:p>
            <w:pPr>
              <w:pStyle w:val="TableParagraph"/>
              <w:spacing w:before="26"/>
              <w:ind w:right="249"/>
              <w:rPr>
                <w:sz w:val="20"/>
              </w:rPr>
            </w:pPr>
            <w:r>
              <w:rPr>
                <w:sz w:val="20"/>
              </w:rPr>
              <w:t>10.4</w:t>
            </w:r>
          </w:p>
        </w:tc>
        <w:tc>
          <w:tcPr>
            <w:tcW w:w="953" w:type="dxa"/>
            <w:tcBorders>
              <w:top w:val="nil"/>
              <w:left w:val="nil"/>
              <w:bottom w:val="nil"/>
              <w:right w:val="nil"/>
            </w:tcBorders>
          </w:tcPr>
          <w:p>
            <w:pPr>
              <w:pStyle w:val="TableParagraph"/>
              <w:spacing w:before="26"/>
              <w:ind w:right="245"/>
              <w:rPr>
                <w:sz w:val="20"/>
              </w:rPr>
            </w:pPr>
            <w:r>
              <w:rPr>
                <w:sz w:val="20"/>
              </w:rPr>
              <w:t>12.5</w:t>
            </w:r>
          </w:p>
        </w:tc>
        <w:tc>
          <w:tcPr>
            <w:tcW w:w="953" w:type="dxa"/>
            <w:tcBorders>
              <w:top w:val="nil"/>
              <w:left w:val="nil"/>
              <w:bottom w:val="nil"/>
              <w:right w:val="nil"/>
            </w:tcBorders>
          </w:tcPr>
          <w:p>
            <w:pPr>
              <w:pStyle w:val="TableParagraph"/>
              <w:spacing w:before="26"/>
              <w:ind w:right="247"/>
              <w:rPr>
                <w:sz w:val="20"/>
              </w:rPr>
            </w:pPr>
            <w:r>
              <w:rPr>
                <w:sz w:val="20"/>
              </w:rPr>
              <w:t>11.7</w:t>
            </w:r>
          </w:p>
        </w:tc>
        <w:tc>
          <w:tcPr>
            <w:tcW w:w="1006" w:type="dxa"/>
            <w:tcBorders>
              <w:top w:val="nil"/>
              <w:left w:val="nil"/>
              <w:bottom w:val="nil"/>
              <w:right w:val="nil"/>
            </w:tcBorders>
          </w:tcPr>
          <w:p>
            <w:pPr>
              <w:pStyle w:val="TableParagraph"/>
              <w:spacing w:before="26"/>
              <w:ind w:right="298"/>
              <w:rPr>
                <w:sz w:val="20"/>
              </w:rPr>
            </w:pPr>
            <w:r>
              <w:rPr>
                <w:sz w:val="20"/>
              </w:rPr>
              <w:t>9.5</w:t>
            </w:r>
          </w:p>
        </w:tc>
        <w:tc>
          <w:tcPr>
            <w:tcW w:w="953" w:type="dxa"/>
            <w:tcBorders>
              <w:top w:val="nil"/>
              <w:left w:val="nil"/>
              <w:bottom w:val="nil"/>
              <w:right w:val="nil"/>
            </w:tcBorders>
          </w:tcPr>
          <w:p>
            <w:pPr>
              <w:pStyle w:val="TableParagraph"/>
              <w:spacing w:before="26"/>
              <w:ind w:left="282" w:right="180"/>
              <w:jc w:val="center"/>
              <w:rPr>
                <w:sz w:val="20"/>
              </w:rPr>
            </w:pPr>
            <w:r>
              <w:rPr>
                <w:sz w:val="20"/>
              </w:rPr>
              <w:t>5.4</w:t>
            </w:r>
          </w:p>
        </w:tc>
        <w:tc>
          <w:tcPr>
            <w:tcW w:w="720" w:type="dxa"/>
            <w:tcBorders>
              <w:top w:val="nil"/>
              <w:left w:val="nil"/>
              <w:bottom w:val="nil"/>
              <w:right w:val="nil"/>
            </w:tcBorders>
          </w:tcPr>
          <w:p>
            <w:pPr>
              <w:pStyle w:val="TableParagraph"/>
              <w:spacing w:before="26"/>
              <w:ind w:right="65"/>
              <w:rPr>
                <w:sz w:val="20"/>
              </w:rPr>
            </w:pPr>
            <w:r>
              <w:rPr>
                <w:sz w:val="20"/>
              </w:rPr>
              <w:t>3.3</w:t>
            </w:r>
          </w:p>
        </w:tc>
      </w:tr>
      <w:tr>
        <w:trPr>
          <w:trHeight w:val="303" w:hRule="exact"/>
        </w:trPr>
        <w:tc>
          <w:tcPr>
            <w:tcW w:w="1371" w:type="dxa"/>
            <w:tcBorders>
              <w:top w:val="nil"/>
              <w:left w:val="nil"/>
              <w:bottom w:val="nil"/>
              <w:right w:val="nil"/>
            </w:tcBorders>
          </w:tcPr>
          <w:p>
            <w:pPr>
              <w:pStyle w:val="TableParagraph"/>
              <w:spacing w:before="26"/>
              <w:ind w:right="82"/>
              <w:rPr>
                <w:sz w:val="20"/>
              </w:rPr>
            </w:pPr>
            <w:r>
              <w:rPr>
                <w:sz w:val="20"/>
              </w:rPr>
              <w:t>RAINHHMX1</w:t>
            </w:r>
          </w:p>
        </w:tc>
        <w:tc>
          <w:tcPr>
            <w:tcW w:w="1316" w:type="dxa"/>
            <w:tcBorders>
              <w:top w:val="nil"/>
              <w:left w:val="nil"/>
              <w:bottom w:val="nil"/>
              <w:right w:val="nil"/>
            </w:tcBorders>
          </w:tcPr>
          <w:p>
            <w:pPr>
              <w:pStyle w:val="TableParagraph"/>
              <w:spacing w:before="26"/>
              <w:ind w:right="67"/>
              <w:rPr>
                <w:sz w:val="20"/>
              </w:rPr>
            </w:pPr>
            <w:r>
              <w:rPr>
                <w:sz w:val="20"/>
              </w:rPr>
              <w:t>2.5</w:t>
            </w:r>
          </w:p>
        </w:tc>
        <w:tc>
          <w:tcPr>
            <w:tcW w:w="1512" w:type="dxa"/>
            <w:tcBorders>
              <w:top w:val="nil"/>
              <w:left w:val="nil"/>
              <w:bottom w:val="nil"/>
              <w:right w:val="nil"/>
            </w:tcBorders>
          </w:tcPr>
          <w:p>
            <w:pPr>
              <w:pStyle w:val="TableParagraph"/>
              <w:spacing w:before="26"/>
              <w:ind w:right="91"/>
              <w:rPr>
                <w:sz w:val="20"/>
              </w:rPr>
            </w:pPr>
            <w:r>
              <w:rPr>
                <w:sz w:val="20"/>
              </w:rPr>
              <w:t>2.5</w:t>
            </w:r>
          </w:p>
        </w:tc>
        <w:tc>
          <w:tcPr>
            <w:tcW w:w="1157" w:type="dxa"/>
            <w:tcBorders>
              <w:top w:val="nil"/>
              <w:left w:val="nil"/>
              <w:bottom w:val="nil"/>
              <w:right w:val="nil"/>
            </w:tcBorders>
          </w:tcPr>
          <w:p>
            <w:pPr>
              <w:pStyle w:val="TableParagraph"/>
              <w:spacing w:before="26"/>
              <w:ind w:right="298"/>
              <w:rPr>
                <w:sz w:val="20"/>
              </w:rPr>
            </w:pPr>
            <w:r>
              <w:rPr>
                <w:sz w:val="20"/>
              </w:rPr>
              <w:t>4.1</w:t>
            </w:r>
          </w:p>
        </w:tc>
        <w:tc>
          <w:tcPr>
            <w:tcW w:w="953" w:type="dxa"/>
            <w:tcBorders>
              <w:top w:val="nil"/>
              <w:left w:val="nil"/>
              <w:bottom w:val="nil"/>
              <w:right w:val="nil"/>
            </w:tcBorders>
          </w:tcPr>
          <w:p>
            <w:pPr>
              <w:pStyle w:val="TableParagraph"/>
              <w:spacing w:before="26"/>
              <w:ind w:right="295"/>
              <w:rPr>
                <w:sz w:val="20"/>
              </w:rPr>
            </w:pPr>
            <w:r>
              <w:rPr>
                <w:sz w:val="20"/>
              </w:rPr>
              <w:t>2.5</w:t>
            </w:r>
          </w:p>
        </w:tc>
        <w:tc>
          <w:tcPr>
            <w:tcW w:w="953" w:type="dxa"/>
            <w:tcBorders>
              <w:top w:val="nil"/>
              <w:left w:val="nil"/>
              <w:bottom w:val="nil"/>
              <w:right w:val="nil"/>
            </w:tcBorders>
          </w:tcPr>
          <w:p>
            <w:pPr>
              <w:pStyle w:val="TableParagraph"/>
              <w:spacing w:before="26"/>
              <w:ind w:right="298"/>
              <w:rPr>
                <w:sz w:val="20"/>
              </w:rPr>
            </w:pPr>
            <w:r>
              <w:rPr>
                <w:sz w:val="20"/>
              </w:rPr>
              <w:t>2.5</w:t>
            </w:r>
          </w:p>
        </w:tc>
        <w:tc>
          <w:tcPr>
            <w:tcW w:w="903" w:type="dxa"/>
            <w:tcBorders>
              <w:top w:val="nil"/>
              <w:left w:val="nil"/>
              <w:bottom w:val="nil"/>
              <w:right w:val="nil"/>
            </w:tcBorders>
          </w:tcPr>
          <w:p>
            <w:pPr>
              <w:pStyle w:val="TableParagraph"/>
              <w:spacing w:before="26"/>
              <w:ind w:right="245"/>
              <w:rPr>
                <w:sz w:val="20"/>
              </w:rPr>
            </w:pPr>
            <w:r>
              <w:rPr>
                <w:sz w:val="20"/>
              </w:rPr>
              <w:t>2.5</w:t>
            </w:r>
          </w:p>
        </w:tc>
        <w:tc>
          <w:tcPr>
            <w:tcW w:w="953" w:type="dxa"/>
            <w:tcBorders>
              <w:top w:val="nil"/>
              <w:left w:val="nil"/>
              <w:bottom w:val="nil"/>
              <w:right w:val="nil"/>
            </w:tcBorders>
          </w:tcPr>
          <w:p>
            <w:pPr>
              <w:pStyle w:val="TableParagraph"/>
              <w:spacing w:before="26"/>
              <w:ind w:right="249"/>
              <w:rPr>
                <w:sz w:val="20"/>
              </w:rPr>
            </w:pPr>
            <w:r>
              <w:rPr>
                <w:sz w:val="20"/>
              </w:rPr>
              <w:t>2.5</w:t>
            </w:r>
          </w:p>
        </w:tc>
        <w:tc>
          <w:tcPr>
            <w:tcW w:w="953" w:type="dxa"/>
            <w:tcBorders>
              <w:top w:val="nil"/>
              <w:left w:val="nil"/>
              <w:bottom w:val="nil"/>
              <w:right w:val="nil"/>
            </w:tcBorders>
          </w:tcPr>
          <w:p>
            <w:pPr>
              <w:pStyle w:val="TableParagraph"/>
              <w:spacing w:before="26"/>
              <w:ind w:right="245"/>
              <w:rPr>
                <w:sz w:val="20"/>
              </w:rPr>
            </w:pPr>
            <w:r>
              <w:rPr>
                <w:sz w:val="20"/>
              </w:rPr>
              <w:t>2.5</w:t>
            </w:r>
          </w:p>
        </w:tc>
        <w:tc>
          <w:tcPr>
            <w:tcW w:w="953" w:type="dxa"/>
            <w:tcBorders>
              <w:top w:val="nil"/>
              <w:left w:val="nil"/>
              <w:bottom w:val="nil"/>
              <w:right w:val="nil"/>
            </w:tcBorders>
          </w:tcPr>
          <w:p>
            <w:pPr>
              <w:pStyle w:val="TableParagraph"/>
              <w:spacing w:before="26"/>
              <w:ind w:right="247"/>
              <w:rPr>
                <w:sz w:val="20"/>
              </w:rPr>
            </w:pPr>
            <w:r>
              <w:rPr>
                <w:sz w:val="20"/>
              </w:rPr>
              <w:t>2.5</w:t>
            </w:r>
          </w:p>
        </w:tc>
        <w:tc>
          <w:tcPr>
            <w:tcW w:w="1006" w:type="dxa"/>
            <w:tcBorders>
              <w:top w:val="nil"/>
              <w:left w:val="nil"/>
              <w:bottom w:val="nil"/>
              <w:right w:val="nil"/>
            </w:tcBorders>
          </w:tcPr>
          <w:p>
            <w:pPr>
              <w:pStyle w:val="TableParagraph"/>
              <w:spacing w:before="26"/>
              <w:ind w:right="298"/>
              <w:rPr>
                <w:sz w:val="20"/>
              </w:rPr>
            </w:pPr>
            <w:r>
              <w:rPr>
                <w:sz w:val="20"/>
              </w:rPr>
              <w:t>2.5</w:t>
            </w:r>
          </w:p>
        </w:tc>
        <w:tc>
          <w:tcPr>
            <w:tcW w:w="953" w:type="dxa"/>
            <w:tcBorders>
              <w:top w:val="nil"/>
              <w:left w:val="nil"/>
              <w:bottom w:val="nil"/>
              <w:right w:val="nil"/>
            </w:tcBorders>
          </w:tcPr>
          <w:p>
            <w:pPr>
              <w:pStyle w:val="TableParagraph"/>
              <w:spacing w:before="26"/>
              <w:ind w:left="282" w:right="180"/>
              <w:jc w:val="center"/>
              <w:rPr>
                <w:sz w:val="20"/>
              </w:rPr>
            </w:pPr>
            <w:r>
              <w:rPr>
                <w:sz w:val="20"/>
              </w:rPr>
              <w:t>2.5</w:t>
            </w:r>
          </w:p>
        </w:tc>
        <w:tc>
          <w:tcPr>
            <w:tcW w:w="720" w:type="dxa"/>
            <w:tcBorders>
              <w:top w:val="nil"/>
              <w:left w:val="nil"/>
              <w:bottom w:val="nil"/>
              <w:right w:val="nil"/>
            </w:tcBorders>
          </w:tcPr>
          <w:p>
            <w:pPr>
              <w:pStyle w:val="TableParagraph"/>
              <w:spacing w:before="26"/>
              <w:ind w:right="65"/>
              <w:rPr>
                <w:sz w:val="20"/>
              </w:rPr>
            </w:pPr>
            <w:r>
              <w:rPr>
                <w:sz w:val="20"/>
              </w:rPr>
              <w:t>2.5</w:t>
            </w:r>
          </w:p>
        </w:tc>
      </w:tr>
      <w:tr>
        <w:trPr>
          <w:trHeight w:val="303" w:hRule="exact"/>
        </w:trPr>
        <w:tc>
          <w:tcPr>
            <w:tcW w:w="1371" w:type="dxa"/>
            <w:tcBorders>
              <w:top w:val="nil"/>
              <w:left w:val="nil"/>
              <w:bottom w:val="nil"/>
              <w:right w:val="nil"/>
            </w:tcBorders>
          </w:tcPr>
          <w:p>
            <w:pPr>
              <w:pStyle w:val="TableParagraph"/>
              <w:spacing w:before="26"/>
              <w:ind w:right="159"/>
              <w:rPr>
                <w:sz w:val="20"/>
              </w:rPr>
            </w:pPr>
            <w:r>
              <w:rPr>
                <w:sz w:val="20"/>
              </w:rPr>
              <w:t>SOLARAV1</w:t>
            </w:r>
          </w:p>
        </w:tc>
        <w:tc>
          <w:tcPr>
            <w:tcW w:w="1316" w:type="dxa"/>
            <w:tcBorders>
              <w:top w:val="nil"/>
              <w:left w:val="nil"/>
              <w:bottom w:val="nil"/>
              <w:right w:val="nil"/>
            </w:tcBorders>
          </w:tcPr>
          <w:p>
            <w:pPr>
              <w:pStyle w:val="TableParagraph"/>
              <w:spacing w:before="26"/>
              <w:ind w:right="67"/>
              <w:rPr>
                <w:sz w:val="20"/>
              </w:rPr>
            </w:pPr>
            <w:r>
              <w:rPr>
                <w:sz w:val="20"/>
              </w:rPr>
              <w:t>16.0</w:t>
            </w:r>
          </w:p>
        </w:tc>
        <w:tc>
          <w:tcPr>
            <w:tcW w:w="1512" w:type="dxa"/>
            <w:tcBorders>
              <w:top w:val="nil"/>
              <w:left w:val="nil"/>
              <w:bottom w:val="nil"/>
              <w:right w:val="nil"/>
            </w:tcBorders>
          </w:tcPr>
          <w:p>
            <w:pPr>
              <w:pStyle w:val="TableParagraph"/>
              <w:spacing w:before="26"/>
              <w:ind w:right="91"/>
              <w:rPr>
                <w:sz w:val="20"/>
              </w:rPr>
            </w:pPr>
            <w:r>
              <w:rPr>
                <w:sz w:val="20"/>
              </w:rPr>
              <w:t>19.0</w:t>
            </w:r>
          </w:p>
        </w:tc>
        <w:tc>
          <w:tcPr>
            <w:tcW w:w="1157" w:type="dxa"/>
            <w:tcBorders>
              <w:top w:val="nil"/>
              <w:left w:val="nil"/>
              <w:bottom w:val="nil"/>
              <w:right w:val="nil"/>
            </w:tcBorders>
          </w:tcPr>
          <w:p>
            <w:pPr>
              <w:pStyle w:val="TableParagraph"/>
              <w:spacing w:before="26"/>
              <w:ind w:right="298"/>
              <w:rPr>
                <w:sz w:val="20"/>
              </w:rPr>
            </w:pPr>
            <w:r>
              <w:rPr>
                <w:sz w:val="20"/>
              </w:rPr>
              <w:t>20.0</w:t>
            </w:r>
          </w:p>
        </w:tc>
        <w:tc>
          <w:tcPr>
            <w:tcW w:w="953" w:type="dxa"/>
            <w:tcBorders>
              <w:top w:val="nil"/>
              <w:left w:val="nil"/>
              <w:bottom w:val="nil"/>
              <w:right w:val="nil"/>
            </w:tcBorders>
          </w:tcPr>
          <w:p>
            <w:pPr>
              <w:pStyle w:val="TableParagraph"/>
              <w:spacing w:before="26"/>
              <w:ind w:right="295"/>
              <w:rPr>
                <w:sz w:val="20"/>
              </w:rPr>
            </w:pPr>
            <w:r>
              <w:rPr>
                <w:sz w:val="20"/>
              </w:rPr>
              <w:t>19.0</w:t>
            </w:r>
          </w:p>
        </w:tc>
        <w:tc>
          <w:tcPr>
            <w:tcW w:w="953" w:type="dxa"/>
            <w:tcBorders>
              <w:top w:val="nil"/>
              <w:left w:val="nil"/>
              <w:bottom w:val="nil"/>
              <w:right w:val="nil"/>
            </w:tcBorders>
          </w:tcPr>
          <w:p>
            <w:pPr>
              <w:pStyle w:val="TableParagraph"/>
              <w:spacing w:before="26"/>
              <w:ind w:right="298"/>
              <w:rPr>
                <w:sz w:val="20"/>
              </w:rPr>
            </w:pPr>
            <w:r>
              <w:rPr>
                <w:sz w:val="20"/>
              </w:rPr>
              <w:t>20.0</w:t>
            </w:r>
          </w:p>
        </w:tc>
        <w:tc>
          <w:tcPr>
            <w:tcW w:w="903" w:type="dxa"/>
            <w:tcBorders>
              <w:top w:val="nil"/>
              <w:left w:val="nil"/>
              <w:bottom w:val="nil"/>
              <w:right w:val="nil"/>
            </w:tcBorders>
          </w:tcPr>
          <w:p>
            <w:pPr>
              <w:pStyle w:val="TableParagraph"/>
              <w:spacing w:before="26"/>
              <w:ind w:right="245"/>
              <w:rPr>
                <w:sz w:val="20"/>
              </w:rPr>
            </w:pPr>
            <w:r>
              <w:rPr>
                <w:sz w:val="20"/>
              </w:rPr>
              <w:t>19.0</w:t>
            </w:r>
          </w:p>
        </w:tc>
        <w:tc>
          <w:tcPr>
            <w:tcW w:w="953" w:type="dxa"/>
            <w:tcBorders>
              <w:top w:val="nil"/>
              <w:left w:val="nil"/>
              <w:bottom w:val="nil"/>
              <w:right w:val="nil"/>
            </w:tcBorders>
          </w:tcPr>
          <w:p>
            <w:pPr>
              <w:pStyle w:val="TableParagraph"/>
              <w:spacing w:before="26"/>
              <w:ind w:right="249"/>
              <w:rPr>
                <w:sz w:val="20"/>
              </w:rPr>
            </w:pPr>
            <w:r>
              <w:rPr>
                <w:sz w:val="20"/>
              </w:rPr>
              <w:t>19.0</w:t>
            </w:r>
          </w:p>
        </w:tc>
        <w:tc>
          <w:tcPr>
            <w:tcW w:w="953" w:type="dxa"/>
            <w:tcBorders>
              <w:top w:val="nil"/>
              <w:left w:val="nil"/>
              <w:bottom w:val="nil"/>
              <w:right w:val="nil"/>
            </w:tcBorders>
          </w:tcPr>
          <w:p>
            <w:pPr>
              <w:pStyle w:val="TableParagraph"/>
              <w:spacing w:before="26"/>
              <w:ind w:right="245"/>
              <w:rPr>
                <w:sz w:val="20"/>
              </w:rPr>
            </w:pPr>
            <w:r>
              <w:rPr>
                <w:sz w:val="20"/>
              </w:rPr>
              <w:t>19.0</w:t>
            </w:r>
          </w:p>
        </w:tc>
        <w:tc>
          <w:tcPr>
            <w:tcW w:w="953" w:type="dxa"/>
            <w:tcBorders>
              <w:top w:val="nil"/>
              <w:left w:val="nil"/>
              <w:bottom w:val="nil"/>
              <w:right w:val="nil"/>
            </w:tcBorders>
          </w:tcPr>
          <w:p>
            <w:pPr>
              <w:pStyle w:val="TableParagraph"/>
              <w:spacing w:before="26"/>
              <w:ind w:right="247"/>
              <w:rPr>
                <w:sz w:val="20"/>
              </w:rPr>
            </w:pPr>
            <w:r>
              <w:rPr>
                <w:sz w:val="20"/>
              </w:rPr>
              <w:t>17.0</w:t>
            </w:r>
          </w:p>
        </w:tc>
        <w:tc>
          <w:tcPr>
            <w:tcW w:w="1006" w:type="dxa"/>
            <w:tcBorders>
              <w:top w:val="nil"/>
              <w:left w:val="nil"/>
              <w:bottom w:val="nil"/>
              <w:right w:val="nil"/>
            </w:tcBorders>
          </w:tcPr>
          <w:p>
            <w:pPr>
              <w:pStyle w:val="TableParagraph"/>
              <w:spacing w:before="26"/>
              <w:ind w:right="298"/>
              <w:rPr>
                <w:sz w:val="20"/>
              </w:rPr>
            </w:pPr>
            <w:r>
              <w:rPr>
                <w:sz w:val="20"/>
              </w:rPr>
              <w:t>17.0</w:t>
            </w:r>
          </w:p>
        </w:tc>
        <w:tc>
          <w:tcPr>
            <w:tcW w:w="953" w:type="dxa"/>
            <w:tcBorders>
              <w:top w:val="nil"/>
              <w:left w:val="nil"/>
              <w:bottom w:val="nil"/>
              <w:right w:val="nil"/>
            </w:tcBorders>
          </w:tcPr>
          <w:p>
            <w:pPr>
              <w:pStyle w:val="TableParagraph"/>
              <w:spacing w:before="26"/>
              <w:ind w:left="282" w:right="280"/>
              <w:jc w:val="center"/>
              <w:rPr>
                <w:sz w:val="20"/>
              </w:rPr>
            </w:pPr>
            <w:r>
              <w:rPr>
                <w:sz w:val="20"/>
              </w:rPr>
              <w:t>16.0</w:t>
            </w:r>
          </w:p>
        </w:tc>
        <w:tc>
          <w:tcPr>
            <w:tcW w:w="720" w:type="dxa"/>
            <w:tcBorders>
              <w:top w:val="nil"/>
              <w:left w:val="nil"/>
              <w:bottom w:val="nil"/>
              <w:right w:val="nil"/>
            </w:tcBorders>
          </w:tcPr>
          <w:p>
            <w:pPr>
              <w:pStyle w:val="TableParagraph"/>
              <w:spacing w:before="26"/>
              <w:ind w:right="65"/>
              <w:rPr>
                <w:sz w:val="20"/>
              </w:rPr>
            </w:pPr>
            <w:r>
              <w:rPr>
                <w:sz w:val="20"/>
              </w:rPr>
              <w:t>15.0</w:t>
            </w:r>
          </w:p>
        </w:tc>
      </w:tr>
      <w:tr>
        <w:trPr>
          <w:trHeight w:val="270" w:hRule="exact"/>
        </w:trPr>
        <w:tc>
          <w:tcPr>
            <w:tcW w:w="1371" w:type="dxa"/>
            <w:tcBorders>
              <w:top w:val="nil"/>
              <w:left w:val="nil"/>
              <w:right w:val="nil"/>
            </w:tcBorders>
          </w:tcPr>
          <w:p>
            <w:pPr>
              <w:pStyle w:val="TableParagraph"/>
              <w:spacing w:before="26"/>
              <w:ind w:left="259"/>
              <w:jc w:val="left"/>
              <w:rPr>
                <w:sz w:val="20"/>
              </w:rPr>
            </w:pPr>
            <w:r>
              <w:rPr>
                <w:sz w:val="20"/>
              </w:rPr>
              <w:t>WNDAV1</w:t>
            </w:r>
          </w:p>
        </w:tc>
        <w:tc>
          <w:tcPr>
            <w:tcW w:w="1316" w:type="dxa"/>
            <w:tcBorders>
              <w:top w:val="nil"/>
              <w:left w:val="nil"/>
              <w:right w:val="nil"/>
            </w:tcBorders>
          </w:tcPr>
          <w:p>
            <w:pPr>
              <w:pStyle w:val="TableParagraph"/>
              <w:spacing w:before="26"/>
              <w:ind w:right="67"/>
              <w:rPr>
                <w:sz w:val="20"/>
              </w:rPr>
            </w:pPr>
            <w:r>
              <w:rPr>
                <w:sz w:val="20"/>
              </w:rPr>
              <w:t>0.0</w:t>
            </w:r>
          </w:p>
        </w:tc>
        <w:tc>
          <w:tcPr>
            <w:tcW w:w="1512" w:type="dxa"/>
            <w:tcBorders>
              <w:top w:val="nil"/>
              <w:left w:val="nil"/>
              <w:right w:val="nil"/>
            </w:tcBorders>
          </w:tcPr>
          <w:p>
            <w:pPr>
              <w:pStyle w:val="TableParagraph"/>
              <w:spacing w:before="26"/>
              <w:ind w:right="91"/>
              <w:rPr>
                <w:sz w:val="20"/>
              </w:rPr>
            </w:pPr>
            <w:r>
              <w:rPr>
                <w:sz w:val="20"/>
              </w:rPr>
              <w:t>0.0</w:t>
            </w:r>
          </w:p>
        </w:tc>
        <w:tc>
          <w:tcPr>
            <w:tcW w:w="1157" w:type="dxa"/>
            <w:tcBorders>
              <w:top w:val="nil"/>
              <w:left w:val="nil"/>
              <w:right w:val="nil"/>
            </w:tcBorders>
          </w:tcPr>
          <w:p>
            <w:pPr>
              <w:pStyle w:val="TableParagraph"/>
              <w:spacing w:before="26"/>
              <w:ind w:right="298"/>
              <w:rPr>
                <w:sz w:val="20"/>
              </w:rPr>
            </w:pPr>
            <w:r>
              <w:rPr>
                <w:sz w:val="20"/>
              </w:rPr>
              <w:t>0.0</w:t>
            </w:r>
          </w:p>
        </w:tc>
        <w:tc>
          <w:tcPr>
            <w:tcW w:w="953" w:type="dxa"/>
            <w:tcBorders>
              <w:top w:val="nil"/>
              <w:left w:val="nil"/>
              <w:right w:val="nil"/>
            </w:tcBorders>
          </w:tcPr>
          <w:p>
            <w:pPr>
              <w:pStyle w:val="TableParagraph"/>
              <w:spacing w:before="26"/>
              <w:ind w:right="295"/>
              <w:rPr>
                <w:sz w:val="20"/>
              </w:rPr>
            </w:pPr>
            <w:r>
              <w:rPr>
                <w:sz w:val="20"/>
              </w:rPr>
              <w:t>0.0</w:t>
            </w:r>
          </w:p>
        </w:tc>
        <w:tc>
          <w:tcPr>
            <w:tcW w:w="953" w:type="dxa"/>
            <w:tcBorders>
              <w:top w:val="nil"/>
              <w:left w:val="nil"/>
              <w:right w:val="nil"/>
            </w:tcBorders>
          </w:tcPr>
          <w:p>
            <w:pPr>
              <w:pStyle w:val="TableParagraph"/>
              <w:spacing w:before="26"/>
              <w:ind w:right="298"/>
              <w:rPr>
                <w:sz w:val="20"/>
              </w:rPr>
            </w:pPr>
            <w:r>
              <w:rPr>
                <w:sz w:val="20"/>
              </w:rPr>
              <w:t>0.0</w:t>
            </w:r>
          </w:p>
        </w:tc>
        <w:tc>
          <w:tcPr>
            <w:tcW w:w="903" w:type="dxa"/>
            <w:tcBorders>
              <w:top w:val="nil"/>
              <w:left w:val="nil"/>
              <w:right w:val="nil"/>
            </w:tcBorders>
          </w:tcPr>
          <w:p>
            <w:pPr>
              <w:pStyle w:val="TableParagraph"/>
              <w:spacing w:before="26"/>
              <w:ind w:right="245"/>
              <w:rPr>
                <w:sz w:val="20"/>
              </w:rPr>
            </w:pPr>
            <w:r>
              <w:rPr>
                <w:sz w:val="20"/>
              </w:rPr>
              <w:t>0.0</w:t>
            </w:r>
          </w:p>
        </w:tc>
        <w:tc>
          <w:tcPr>
            <w:tcW w:w="953" w:type="dxa"/>
            <w:tcBorders>
              <w:top w:val="nil"/>
              <w:left w:val="nil"/>
              <w:right w:val="nil"/>
            </w:tcBorders>
          </w:tcPr>
          <w:p>
            <w:pPr>
              <w:pStyle w:val="TableParagraph"/>
              <w:spacing w:before="26"/>
              <w:ind w:right="249"/>
              <w:rPr>
                <w:sz w:val="20"/>
              </w:rPr>
            </w:pPr>
            <w:r>
              <w:rPr>
                <w:sz w:val="20"/>
              </w:rPr>
              <w:t>0.0</w:t>
            </w:r>
          </w:p>
        </w:tc>
        <w:tc>
          <w:tcPr>
            <w:tcW w:w="953" w:type="dxa"/>
            <w:tcBorders>
              <w:top w:val="nil"/>
              <w:left w:val="nil"/>
              <w:right w:val="nil"/>
            </w:tcBorders>
          </w:tcPr>
          <w:p>
            <w:pPr>
              <w:pStyle w:val="TableParagraph"/>
              <w:spacing w:before="26"/>
              <w:ind w:right="245"/>
              <w:rPr>
                <w:sz w:val="20"/>
              </w:rPr>
            </w:pPr>
            <w:r>
              <w:rPr>
                <w:sz w:val="20"/>
              </w:rPr>
              <w:t>0.0</w:t>
            </w:r>
          </w:p>
        </w:tc>
        <w:tc>
          <w:tcPr>
            <w:tcW w:w="953" w:type="dxa"/>
            <w:tcBorders>
              <w:top w:val="nil"/>
              <w:left w:val="nil"/>
              <w:right w:val="nil"/>
            </w:tcBorders>
          </w:tcPr>
          <w:p>
            <w:pPr>
              <w:pStyle w:val="TableParagraph"/>
              <w:spacing w:before="26"/>
              <w:ind w:right="247"/>
              <w:rPr>
                <w:sz w:val="20"/>
              </w:rPr>
            </w:pPr>
            <w:r>
              <w:rPr>
                <w:sz w:val="20"/>
              </w:rPr>
              <w:t>0.0</w:t>
            </w:r>
          </w:p>
        </w:tc>
        <w:tc>
          <w:tcPr>
            <w:tcW w:w="1006" w:type="dxa"/>
            <w:tcBorders>
              <w:top w:val="nil"/>
              <w:left w:val="nil"/>
              <w:right w:val="nil"/>
            </w:tcBorders>
          </w:tcPr>
          <w:p>
            <w:pPr>
              <w:pStyle w:val="TableParagraph"/>
              <w:spacing w:before="26"/>
              <w:ind w:right="298"/>
              <w:rPr>
                <w:sz w:val="20"/>
              </w:rPr>
            </w:pPr>
            <w:r>
              <w:rPr>
                <w:sz w:val="20"/>
              </w:rPr>
              <w:t>0.0</w:t>
            </w:r>
          </w:p>
        </w:tc>
        <w:tc>
          <w:tcPr>
            <w:tcW w:w="953" w:type="dxa"/>
            <w:tcBorders>
              <w:top w:val="nil"/>
              <w:left w:val="nil"/>
              <w:right w:val="nil"/>
            </w:tcBorders>
          </w:tcPr>
          <w:p>
            <w:pPr>
              <w:pStyle w:val="TableParagraph"/>
              <w:spacing w:before="26"/>
              <w:ind w:left="282" w:right="180"/>
              <w:jc w:val="center"/>
              <w:rPr>
                <w:sz w:val="20"/>
              </w:rPr>
            </w:pPr>
            <w:r>
              <w:rPr>
                <w:sz w:val="20"/>
              </w:rPr>
              <w:t>0.0</w:t>
            </w:r>
          </w:p>
        </w:tc>
        <w:tc>
          <w:tcPr>
            <w:tcW w:w="720" w:type="dxa"/>
            <w:tcBorders>
              <w:top w:val="nil"/>
              <w:left w:val="nil"/>
              <w:right w:val="nil"/>
            </w:tcBorders>
          </w:tcPr>
          <w:p>
            <w:pPr>
              <w:pStyle w:val="TableParagraph"/>
              <w:spacing w:before="26"/>
              <w:ind w:right="65"/>
              <w:rPr>
                <w:sz w:val="20"/>
              </w:rPr>
            </w:pPr>
            <w:r>
              <w:rPr>
                <w:sz w:val="20"/>
              </w:rPr>
              <w:t>0.0</w:t>
            </w:r>
          </w:p>
        </w:tc>
      </w:tr>
    </w:tbl>
    <w:p>
      <w:pPr>
        <w:spacing w:after="0"/>
        <w:rPr>
          <w:sz w:val="20"/>
        </w:rPr>
        <w:sectPr>
          <w:pgSz w:w="15840" w:h="12240" w:orient="landscape"/>
          <w:pgMar w:header="0" w:footer="1474" w:top="1140" w:bottom="1660" w:left="1360" w:right="560"/>
        </w:sectPr>
      </w:pPr>
    </w:p>
    <w:p>
      <w:pPr>
        <w:pStyle w:val="BodyText"/>
        <w:spacing w:before="7"/>
        <w:rPr>
          <w:b/>
          <w:sz w:val="17"/>
        </w:rPr>
      </w:pPr>
    </w:p>
    <w:p>
      <w:pPr>
        <w:spacing w:before="66"/>
        <w:ind w:left="3571" w:right="0" w:firstLine="0"/>
        <w:jc w:val="left"/>
        <w:rPr>
          <w:b/>
          <w:sz w:val="26"/>
        </w:rPr>
      </w:pPr>
      <w:bookmarkStart w:name="_bookmark145" w:id="204"/>
      <w:bookmarkEnd w:id="204"/>
      <w:r>
        <w:rPr/>
      </w:r>
      <w:r>
        <w:rPr>
          <w:b/>
          <w:sz w:val="26"/>
        </w:rPr>
        <w:t>Tabla 8. Temperatura máxima mensual promedio por subcuenca</w:t>
      </w:r>
    </w:p>
    <w:p>
      <w:pPr>
        <w:pStyle w:val="BodyText"/>
        <w:spacing w:before="1"/>
        <w:rPr>
          <w:b/>
          <w:sz w:val="18"/>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46"/>
        <w:gridCol w:w="1051"/>
        <w:gridCol w:w="991"/>
        <w:gridCol w:w="992"/>
        <w:gridCol w:w="1023"/>
        <w:gridCol w:w="977"/>
        <w:gridCol w:w="982"/>
        <w:gridCol w:w="991"/>
        <w:gridCol w:w="1013"/>
        <w:gridCol w:w="1018"/>
        <w:gridCol w:w="1039"/>
        <w:gridCol w:w="1073"/>
        <w:gridCol w:w="1076"/>
        <w:gridCol w:w="1071"/>
      </w:tblGrid>
      <w:tr>
        <w:trPr>
          <w:trHeight w:val="610" w:hRule="exact"/>
        </w:trPr>
        <w:tc>
          <w:tcPr>
            <w:tcW w:w="1146" w:type="dxa"/>
            <w:tcBorders>
              <w:left w:val="nil"/>
              <w:right w:val="nil"/>
            </w:tcBorders>
          </w:tcPr>
          <w:p>
            <w:pPr>
              <w:pStyle w:val="TableParagraph"/>
              <w:spacing w:before="63"/>
              <w:ind w:left="86"/>
              <w:jc w:val="left"/>
              <w:rPr>
                <w:sz w:val="20"/>
              </w:rPr>
            </w:pPr>
            <w:r>
              <w:rPr>
                <w:sz w:val="20"/>
              </w:rPr>
              <w:t>SUBBASIN</w:t>
            </w:r>
          </w:p>
        </w:tc>
        <w:tc>
          <w:tcPr>
            <w:tcW w:w="1051" w:type="dxa"/>
            <w:tcBorders>
              <w:left w:val="nil"/>
              <w:right w:val="nil"/>
            </w:tcBorders>
          </w:tcPr>
          <w:p>
            <w:pPr>
              <w:pStyle w:val="TableParagraph"/>
              <w:spacing w:before="63"/>
              <w:ind w:left="107"/>
              <w:jc w:val="left"/>
              <w:rPr>
                <w:sz w:val="20"/>
              </w:rPr>
            </w:pPr>
            <w:r>
              <w:rPr>
                <w:sz w:val="20"/>
              </w:rPr>
              <w:t>STATION</w:t>
            </w:r>
          </w:p>
        </w:tc>
        <w:tc>
          <w:tcPr>
            <w:tcW w:w="991" w:type="dxa"/>
            <w:tcBorders>
              <w:left w:val="nil"/>
              <w:right w:val="nil"/>
            </w:tcBorders>
          </w:tcPr>
          <w:p>
            <w:pPr>
              <w:pStyle w:val="TableParagraph"/>
              <w:spacing w:before="63"/>
              <w:ind w:right="70"/>
              <w:rPr>
                <w:sz w:val="20"/>
              </w:rPr>
            </w:pPr>
            <w:r>
              <w:rPr>
                <w:sz w:val="20"/>
              </w:rPr>
              <w:t>TMPMX1</w:t>
            </w:r>
          </w:p>
        </w:tc>
        <w:tc>
          <w:tcPr>
            <w:tcW w:w="992" w:type="dxa"/>
            <w:tcBorders>
              <w:left w:val="nil"/>
              <w:right w:val="nil"/>
            </w:tcBorders>
          </w:tcPr>
          <w:p>
            <w:pPr>
              <w:pStyle w:val="TableParagraph"/>
              <w:spacing w:before="63"/>
              <w:ind w:right="87"/>
              <w:rPr>
                <w:sz w:val="20"/>
              </w:rPr>
            </w:pPr>
            <w:r>
              <w:rPr>
                <w:sz w:val="20"/>
              </w:rPr>
              <w:t>TMPMX2</w:t>
            </w:r>
          </w:p>
        </w:tc>
        <w:tc>
          <w:tcPr>
            <w:tcW w:w="1023" w:type="dxa"/>
            <w:tcBorders>
              <w:left w:val="nil"/>
              <w:right w:val="nil"/>
            </w:tcBorders>
          </w:tcPr>
          <w:p>
            <w:pPr>
              <w:pStyle w:val="TableParagraph"/>
              <w:spacing w:before="63"/>
              <w:ind w:right="101"/>
              <w:rPr>
                <w:sz w:val="20"/>
              </w:rPr>
            </w:pPr>
            <w:r>
              <w:rPr>
                <w:sz w:val="20"/>
              </w:rPr>
              <w:t>TMPMX3</w:t>
            </w:r>
          </w:p>
        </w:tc>
        <w:tc>
          <w:tcPr>
            <w:tcW w:w="977" w:type="dxa"/>
            <w:tcBorders>
              <w:left w:val="nil"/>
              <w:right w:val="nil"/>
            </w:tcBorders>
          </w:tcPr>
          <w:p>
            <w:pPr>
              <w:pStyle w:val="TableParagraph"/>
              <w:spacing w:before="63"/>
              <w:ind w:right="74"/>
              <w:rPr>
                <w:sz w:val="20"/>
              </w:rPr>
            </w:pPr>
            <w:r>
              <w:rPr>
                <w:sz w:val="20"/>
              </w:rPr>
              <w:t>TMPMX4</w:t>
            </w:r>
          </w:p>
        </w:tc>
        <w:tc>
          <w:tcPr>
            <w:tcW w:w="982" w:type="dxa"/>
            <w:tcBorders>
              <w:left w:val="nil"/>
              <w:right w:val="nil"/>
            </w:tcBorders>
          </w:tcPr>
          <w:p>
            <w:pPr>
              <w:pStyle w:val="TableParagraph"/>
              <w:spacing w:before="63"/>
              <w:ind w:right="77"/>
              <w:rPr>
                <w:sz w:val="20"/>
              </w:rPr>
            </w:pPr>
            <w:r>
              <w:rPr>
                <w:sz w:val="20"/>
              </w:rPr>
              <w:t>TMPMX5</w:t>
            </w:r>
          </w:p>
        </w:tc>
        <w:tc>
          <w:tcPr>
            <w:tcW w:w="991" w:type="dxa"/>
            <w:tcBorders>
              <w:left w:val="nil"/>
              <w:right w:val="nil"/>
            </w:tcBorders>
          </w:tcPr>
          <w:p>
            <w:pPr>
              <w:pStyle w:val="TableParagraph"/>
              <w:spacing w:before="63"/>
              <w:ind w:right="84"/>
              <w:rPr>
                <w:sz w:val="20"/>
              </w:rPr>
            </w:pPr>
            <w:r>
              <w:rPr>
                <w:sz w:val="20"/>
              </w:rPr>
              <w:t>TMPMX6</w:t>
            </w:r>
          </w:p>
        </w:tc>
        <w:tc>
          <w:tcPr>
            <w:tcW w:w="1013" w:type="dxa"/>
            <w:tcBorders>
              <w:left w:val="nil"/>
              <w:right w:val="nil"/>
            </w:tcBorders>
          </w:tcPr>
          <w:p>
            <w:pPr>
              <w:pStyle w:val="TableParagraph"/>
              <w:spacing w:before="63"/>
              <w:ind w:right="99"/>
              <w:rPr>
                <w:sz w:val="20"/>
              </w:rPr>
            </w:pPr>
            <w:r>
              <w:rPr>
                <w:sz w:val="20"/>
              </w:rPr>
              <w:t>TMPMX7</w:t>
            </w:r>
          </w:p>
        </w:tc>
        <w:tc>
          <w:tcPr>
            <w:tcW w:w="1018" w:type="dxa"/>
            <w:tcBorders>
              <w:left w:val="nil"/>
              <w:right w:val="nil"/>
            </w:tcBorders>
          </w:tcPr>
          <w:p>
            <w:pPr>
              <w:pStyle w:val="TableParagraph"/>
              <w:spacing w:before="63"/>
              <w:ind w:right="108"/>
              <w:rPr>
                <w:sz w:val="20"/>
              </w:rPr>
            </w:pPr>
            <w:r>
              <w:rPr>
                <w:sz w:val="20"/>
              </w:rPr>
              <w:t>TMPMX8</w:t>
            </w:r>
          </w:p>
        </w:tc>
        <w:tc>
          <w:tcPr>
            <w:tcW w:w="1039" w:type="dxa"/>
            <w:tcBorders>
              <w:left w:val="nil"/>
              <w:right w:val="nil"/>
            </w:tcBorders>
          </w:tcPr>
          <w:p>
            <w:pPr>
              <w:pStyle w:val="TableParagraph"/>
              <w:spacing w:before="63"/>
              <w:ind w:right="110"/>
              <w:rPr>
                <w:sz w:val="20"/>
              </w:rPr>
            </w:pPr>
            <w:r>
              <w:rPr>
                <w:sz w:val="20"/>
              </w:rPr>
              <w:t>TMPMX9</w:t>
            </w:r>
          </w:p>
        </w:tc>
        <w:tc>
          <w:tcPr>
            <w:tcW w:w="1073" w:type="dxa"/>
            <w:tcBorders>
              <w:left w:val="nil"/>
              <w:right w:val="nil"/>
            </w:tcBorders>
          </w:tcPr>
          <w:p>
            <w:pPr>
              <w:pStyle w:val="TableParagraph"/>
              <w:spacing w:before="63"/>
              <w:ind w:right="70"/>
              <w:rPr>
                <w:sz w:val="20"/>
              </w:rPr>
            </w:pPr>
            <w:r>
              <w:rPr>
                <w:sz w:val="20"/>
              </w:rPr>
              <w:t>TMPMX10</w:t>
            </w:r>
          </w:p>
        </w:tc>
        <w:tc>
          <w:tcPr>
            <w:tcW w:w="1076" w:type="dxa"/>
            <w:tcBorders>
              <w:left w:val="nil"/>
              <w:right w:val="nil"/>
            </w:tcBorders>
          </w:tcPr>
          <w:p>
            <w:pPr>
              <w:pStyle w:val="TableParagraph"/>
              <w:spacing w:before="63"/>
              <w:ind w:right="70"/>
              <w:rPr>
                <w:sz w:val="20"/>
              </w:rPr>
            </w:pPr>
            <w:r>
              <w:rPr>
                <w:sz w:val="20"/>
              </w:rPr>
              <w:t>TMPMX11</w:t>
            </w:r>
          </w:p>
        </w:tc>
        <w:tc>
          <w:tcPr>
            <w:tcW w:w="1071" w:type="dxa"/>
            <w:tcBorders>
              <w:left w:val="nil"/>
              <w:right w:val="nil"/>
            </w:tcBorders>
          </w:tcPr>
          <w:p>
            <w:pPr>
              <w:pStyle w:val="TableParagraph"/>
              <w:spacing w:before="63"/>
              <w:ind w:right="65"/>
              <w:rPr>
                <w:sz w:val="20"/>
              </w:rPr>
            </w:pPr>
            <w:r>
              <w:rPr>
                <w:sz w:val="20"/>
              </w:rPr>
              <w:t>TMPMX12</w:t>
            </w:r>
          </w:p>
        </w:tc>
      </w:tr>
      <w:tr>
        <w:trPr>
          <w:trHeight w:val="344" w:hRule="exact"/>
        </w:trPr>
        <w:tc>
          <w:tcPr>
            <w:tcW w:w="1146" w:type="dxa"/>
            <w:tcBorders>
              <w:left w:val="nil"/>
              <w:bottom w:val="nil"/>
              <w:right w:val="nil"/>
            </w:tcBorders>
          </w:tcPr>
          <w:p>
            <w:pPr>
              <w:pStyle w:val="TableParagraph"/>
              <w:spacing w:before="63"/>
              <w:ind w:left="86"/>
              <w:jc w:val="left"/>
              <w:rPr>
                <w:sz w:val="20"/>
              </w:rPr>
            </w:pPr>
            <w:r>
              <w:rPr>
                <w:w w:val="100"/>
                <w:sz w:val="20"/>
              </w:rPr>
              <w:t>1</w:t>
            </w:r>
          </w:p>
        </w:tc>
        <w:tc>
          <w:tcPr>
            <w:tcW w:w="1051" w:type="dxa"/>
            <w:tcBorders>
              <w:left w:val="nil"/>
              <w:bottom w:val="nil"/>
              <w:right w:val="nil"/>
            </w:tcBorders>
          </w:tcPr>
          <w:p>
            <w:pPr>
              <w:pStyle w:val="TableParagraph"/>
              <w:spacing w:before="63"/>
              <w:ind w:left="73"/>
              <w:jc w:val="left"/>
              <w:rPr>
                <w:sz w:val="20"/>
              </w:rPr>
            </w:pPr>
            <w:r>
              <w:rPr>
                <w:sz w:val="20"/>
              </w:rPr>
              <w:t>15001</w:t>
            </w:r>
          </w:p>
        </w:tc>
        <w:tc>
          <w:tcPr>
            <w:tcW w:w="991" w:type="dxa"/>
            <w:tcBorders>
              <w:left w:val="nil"/>
              <w:bottom w:val="nil"/>
              <w:right w:val="nil"/>
            </w:tcBorders>
          </w:tcPr>
          <w:p>
            <w:pPr>
              <w:pStyle w:val="TableParagraph"/>
              <w:spacing w:before="63"/>
              <w:ind w:right="65"/>
              <w:rPr>
                <w:sz w:val="20"/>
              </w:rPr>
            </w:pPr>
            <w:r>
              <w:rPr>
                <w:sz w:val="20"/>
              </w:rPr>
              <w:t>20.267</w:t>
            </w:r>
          </w:p>
        </w:tc>
        <w:tc>
          <w:tcPr>
            <w:tcW w:w="992" w:type="dxa"/>
            <w:tcBorders>
              <w:left w:val="nil"/>
              <w:bottom w:val="nil"/>
              <w:right w:val="nil"/>
            </w:tcBorders>
          </w:tcPr>
          <w:p>
            <w:pPr>
              <w:pStyle w:val="TableParagraph"/>
              <w:spacing w:before="63"/>
              <w:ind w:right="82"/>
              <w:rPr>
                <w:sz w:val="20"/>
              </w:rPr>
            </w:pPr>
            <w:r>
              <w:rPr>
                <w:sz w:val="20"/>
              </w:rPr>
              <w:t>21.980</w:t>
            </w:r>
          </w:p>
        </w:tc>
        <w:tc>
          <w:tcPr>
            <w:tcW w:w="1023" w:type="dxa"/>
            <w:tcBorders>
              <w:left w:val="nil"/>
              <w:bottom w:val="nil"/>
              <w:right w:val="nil"/>
            </w:tcBorders>
          </w:tcPr>
          <w:p>
            <w:pPr>
              <w:pStyle w:val="TableParagraph"/>
              <w:spacing w:before="63"/>
              <w:ind w:right="63"/>
              <w:rPr>
                <w:sz w:val="20"/>
              </w:rPr>
            </w:pPr>
            <w:r>
              <w:rPr>
                <w:sz w:val="20"/>
              </w:rPr>
              <w:t>24.091</w:t>
            </w:r>
          </w:p>
        </w:tc>
        <w:tc>
          <w:tcPr>
            <w:tcW w:w="977" w:type="dxa"/>
            <w:tcBorders>
              <w:left w:val="nil"/>
              <w:bottom w:val="nil"/>
              <w:right w:val="nil"/>
            </w:tcBorders>
          </w:tcPr>
          <w:p>
            <w:pPr>
              <w:pStyle w:val="TableParagraph"/>
              <w:spacing w:before="63"/>
              <w:ind w:right="65"/>
              <w:rPr>
                <w:sz w:val="20"/>
              </w:rPr>
            </w:pPr>
            <w:r>
              <w:rPr>
                <w:sz w:val="20"/>
              </w:rPr>
              <w:t>25.730</w:t>
            </w:r>
          </w:p>
        </w:tc>
        <w:tc>
          <w:tcPr>
            <w:tcW w:w="982" w:type="dxa"/>
            <w:tcBorders>
              <w:left w:val="nil"/>
              <w:bottom w:val="nil"/>
              <w:right w:val="nil"/>
            </w:tcBorders>
          </w:tcPr>
          <w:p>
            <w:pPr>
              <w:pStyle w:val="TableParagraph"/>
              <w:spacing w:before="63"/>
              <w:ind w:right="67"/>
              <w:rPr>
                <w:sz w:val="20"/>
              </w:rPr>
            </w:pPr>
            <w:r>
              <w:rPr>
                <w:sz w:val="20"/>
              </w:rPr>
              <w:t>25.168</w:t>
            </w:r>
          </w:p>
        </w:tc>
        <w:tc>
          <w:tcPr>
            <w:tcW w:w="991" w:type="dxa"/>
            <w:tcBorders>
              <w:left w:val="nil"/>
              <w:bottom w:val="nil"/>
              <w:right w:val="nil"/>
            </w:tcBorders>
          </w:tcPr>
          <w:p>
            <w:pPr>
              <w:pStyle w:val="TableParagraph"/>
              <w:spacing w:before="63"/>
              <w:ind w:right="74"/>
              <w:rPr>
                <w:sz w:val="20"/>
              </w:rPr>
            </w:pPr>
            <w:r>
              <w:rPr>
                <w:sz w:val="20"/>
              </w:rPr>
              <w:t>23.237</w:t>
            </w:r>
          </w:p>
        </w:tc>
        <w:tc>
          <w:tcPr>
            <w:tcW w:w="1013" w:type="dxa"/>
            <w:tcBorders>
              <w:left w:val="nil"/>
              <w:bottom w:val="nil"/>
              <w:right w:val="nil"/>
            </w:tcBorders>
          </w:tcPr>
          <w:p>
            <w:pPr>
              <w:pStyle w:val="TableParagraph"/>
              <w:spacing w:before="63"/>
              <w:ind w:right="70"/>
              <w:rPr>
                <w:sz w:val="20"/>
              </w:rPr>
            </w:pPr>
            <w:r>
              <w:rPr>
                <w:sz w:val="20"/>
              </w:rPr>
              <w:t>21.725</w:t>
            </w:r>
          </w:p>
        </w:tc>
        <w:tc>
          <w:tcPr>
            <w:tcW w:w="1018" w:type="dxa"/>
            <w:tcBorders>
              <w:left w:val="nil"/>
              <w:bottom w:val="nil"/>
              <w:right w:val="nil"/>
            </w:tcBorders>
          </w:tcPr>
          <w:p>
            <w:pPr>
              <w:pStyle w:val="TableParagraph"/>
              <w:spacing w:before="63"/>
              <w:ind w:right="89"/>
              <w:rPr>
                <w:sz w:val="20"/>
              </w:rPr>
            </w:pPr>
            <w:r>
              <w:rPr>
                <w:sz w:val="20"/>
              </w:rPr>
              <w:t>21.854</w:t>
            </w:r>
          </w:p>
        </w:tc>
        <w:tc>
          <w:tcPr>
            <w:tcW w:w="1039" w:type="dxa"/>
            <w:tcBorders>
              <w:left w:val="nil"/>
              <w:bottom w:val="nil"/>
              <w:right w:val="nil"/>
            </w:tcBorders>
          </w:tcPr>
          <w:p>
            <w:pPr>
              <w:pStyle w:val="TableParagraph"/>
              <w:spacing w:before="63"/>
              <w:ind w:right="62"/>
              <w:rPr>
                <w:sz w:val="20"/>
              </w:rPr>
            </w:pPr>
            <w:r>
              <w:rPr>
                <w:sz w:val="20"/>
              </w:rPr>
              <w:t>21.539</w:t>
            </w:r>
          </w:p>
        </w:tc>
        <w:tc>
          <w:tcPr>
            <w:tcW w:w="1073" w:type="dxa"/>
            <w:tcBorders>
              <w:left w:val="nil"/>
              <w:bottom w:val="nil"/>
              <w:right w:val="nil"/>
            </w:tcBorders>
          </w:tcPr>
          <w:p>
            <w:pPr>
              <w:pStyle w:val="TableParagraph"/>
              <w:spacing w:before="63"/>
              <w:ind w:right="65"/>
              <w:rPr>
                <w:sz w:val="20"/>
              </w:rPr>
            </w:pPr>
            <w:r>
              <w:rPr>
                <w:sz w:val="20"/>
              </w:rPr>
              <w:t>21.143</w:t>
            </w:r>
          </w:p>
        </w:tc>
        <w:tc>
          <w:tcPr>
            <w:tcW w:w="1076" w:type="dxa"/>
            <w:tcBorders>
              <w:left w:val="nil"/>
              <w:bottom w:val="nil"/>
              <w:right w:val="nil"/>
            </w:tcBorders>
          </w:tcPr>
          <w:p>
            <w:pPr>
              <w:pStyle w:val="TableParagraph"/>
              <w:spacing w:before="63"/>
              <w:ind w:right="65"/>
              <w:rPr>
                <w:sz w:val="20"/>
              </w:rPr>
            </w:pPr>
            <w:r>
              <w:rPr>
                <w:sz w:val="20"/>
              </w:rPr>
              <w:t>21.119</w:t>
            </w:r>
          </w:p>
        </w:tc>
        <w:tc>
          <w:tcPr>
            <w:tcW w:w="1071" w:type="dxa"/>
            <w:tcBorders>
              <w:left w:val="nil"/>
              <w:bottom w:val="nil"/>
              <w:right w:val="nil"/>
            </w:tcBorders>
          </w:tcPr>
          <w:p>
            <w:pPr>
              <w:pStyle w:val="TableParagraph"/>
              <w:spacing w:before="63"/>
              <w:ind w:right="60"/>
              <w:rPr>
                <w:sz w:val="20"/>
              </w:rPr>
            </w:pPr>
            <w:r>
              <w:rPr>
                <w:sz w:val="20"/>
              </w:rPr>
              <w:t>20.300</w:t>
            </w:r>
          </w:p>
        </w:tc>
      </w:tr>
      <w:tr>
        <w:trPr>
          <w:trHeight w:val="300" w:hRule="exact"/>
        </w:trPr>
        <w:tc>
          <w:tcPr>
            <w:tcW w:w="1146" w:type="dxa"/>
            <w:tcBorders>
              <w:top w:val="nil"/>
              <w:left w:val="nil"/>
              <w:bottom w:val="nil"/>
              <w:right w:val="nil"/>
            </w:tcBorders>
          </w:tcPr>
          <w:p>
            <w:pPr>
              <w:pStyle w:val="TableParagraph"/>
              <w:spacing w:before="26"/>
              <w:ind w:left="86"/>
              <w:jc w:val="left"/>
              <w:rPr>
                <w:sz w:val="20"/>
              </w:rPr>
            </w:pPr>
            <w:r>
              <w:rPr>
                <w:w w:val="100"/>
                <w:sz w:val="20"/>
              </w:rPr>
              <w:t>2</w:t>
            </w:r>
          </w:p>
        </w:tc>
        <w:tc>
          <w:tcPr>
            <w:tcW w:w="1051" w:type="dxa"/>
            <w:tcBorders>
              <w:top w:val="nil"/>
              <w:left w:val="nil"/>
              <w:bottom w:val="nil"/>
              <w:right w:val="nil"/>
            </w:tcBorders>
          </w:tcPr>
          <w:p>
            <w:pPr>
              <w:pStyle w:val="TableParagraph"/>
              <w:spacing w:before="26"/>
              <w:ind w:left="73"/>
              <w:jc w:val="left"/>
              <w:rPr>
                <w:sz w:val="20"/>
              </w:rPr>
            </w:pPr>
            <w:r>
              <w:rPr>
                <w:sz w:val="20"/>
              </w:rPr>
              <w:t>15001</w:t>
            </w:r>
          </w:p>
        </w:tc>
        <w:tc>
          <w:tcPr>
            <w:tcW w:w="991" w:type="dxa"/>
            <w:tcBorders>
              <w:top w:val="nil"/>
              <w:left w:val="nil"/>
              <w:bottom w:val="nil"/>
              <w:right w:val="nil"/>
            </w:tcBorders>
          </w:tcPr>
          <w:p>
            <w:pPr>
              <w:pStyle w:val="TableParagraph"/>
              <w:spacing w:before="26"/>
              <w:ind w:right="65"/>
              <w:rPr>
                <w:sz w:val="20"/>
              </w:rPr>
            </w:pPr>
            <w:r>
              <w:rPr>
                <w:sz w:val="20"/>
              </w:rPr>
              <w:t>20.267</w:t>
            </w:r>
          </w:p>
        </w:tc>
        <w:tc>
          <w:tcPr>
            <w:tcW w:w="992" w:type="dxa"/>
            <w:tcBorders>
              <w:top w:val="nil"/>
              <w:left w:val="nil"/>
              <w:bottom w:val="nil"/>
              <w:right w:val="nil"/>
            </w:tcBorders>
          </w:tcPr>
          <w:p>
            <w:pPr>
              <w:pStyle w:val="TableParagraph"/>
              <w:spacing w:before="26"/>
              <w:ind w:right="82"/>
              <w:rPr>
                <w:sz w:val="20"/>
              </w:rPr>
            </w:pPr>
            <w:r>
              <w:rPr>
                <w:sz w:val="20"/>
              </w:rPr>
              <w:t>21.980</w:t>
            </w:r>
          </w:p>
        </w:tc>
        <w:tc>
          <w:tcPr>
            <w:tcW w:w="1023" w:type="dxa"/>
            <w:tcBorders>
              <w:top w:val="nil"/>
              <w:left w:val="nil"/>
              <w:bottom w:val="nil"/>
              <w:right w:val="nil"/>
            </w:tcBorders>
          </w:tcPr>
          <w:p>
            <w:pPr>
              <w:pStyle w:val="TableParagraph"/>
              <w:spacing w:before="26"/>
              <w:ind w:right="63"/>
              <w:rPr>
                <w:sz w:val="20"/>
              </w:rPr>
            </w:pPr>
            <w:r>
              <w:rPr>
                <w:sz w:val="20"/>
              </w:rPr>
              <w:t>24.091</w:t>
            </w:r>
          </w:p>
        </w:tc>
        <w:tc>
          <w:tcPr>
            <w:tcW w:w="977" w:type="dxa"/>
            <w:tcBorders>
              <w:top w:val="nil"/>
              <w:left w:val="nil"/>
              <w:bottom w:val="nil"/>
              <w:right w:val="nil"/>
            </w:tcBorders>
          </w:tcPr>
          <w:p>
            <w:pPr>
              <w:pStyle w:val="TableParagraph"/>
              <w:spacing w:before="26"/>
              <w:ind w:right="65"/>
              <w:rPr>
                <w:sz w:val="20"/>
              </w:rPr>
            </w:pPr>
            <w:r>
              <w:rPr>
                <w:sz w:val="20"/>
              </w:rPr>
              <w:t>25.730</w:t>
            </w:r>
          </w:p>
        </w:tc>
        <w:tc>
          <w:tcPr>
            <w:tcW w:w="982" w:type="dxa"/>
            <w:tcBorders>
              <w:top w:val="nil"/>
              <w:left w:val="nil"/>
              <w:bottom w:val="nil"/>
              <w:right w:val="nil"/>
            </w:tcBorders>
          </w:tcPr>
          <w:p>
            <w:pPr>
              <w:pStyle w:val="TableParagraph"/>
              <w:spacing w:before="26"/>
              <w:ind w:right="67"/>
              <w:rPr>
                <w:sz w:val="20"/>
              </w:rPr>
            </w:pPr>
            <w:r>
              <w:rPr>
                <w:sz w:val="20"/>
              </w:rPr>
              <w:t>25.168</w:t>
            </w:r>
          </w:p>
        </w:tc>
        <w:tc>
          <w:tcPr>
            <w:tcW w:w="991" w:type="dxa"/>
            <w:tcBorders>
              <w:top w:val="nil"/>
              <w:left w:val="nil"/>
              <w:bottom w:val="nil"/>
              <w:right w:val="nil"/>
            </w:tcBorders>
          </w:tcPr>
          <w:p>
            <w:pPr>
              <w:pStyle w:val="TableParagraph"/>
              <w:spacing w:before="26"/>
              <w:ind w:right="74"/>
              <w:rPr>
                <w:sz w:val="20"/>
              </w:rPr>
            </w:pPr>
            <w:r>
              <w:rPr>
                <w:sz w:val="20"/>
              </w:rPr>
              <w:t>23.237</w:t>
            </w:r>
          </w:p>
        </w:tc>
        <w:tc>
          <w:tcPr>
            <w:tcW w:w="1013" w:type="dxa"/>
            <w:tcBorders>
              <w:top w:val="nil"/>
              <w:left w:val="nil"/>
              <w:bottom w:val="nil"/>
              <w:right w:val="nil"/>
            </w:tcBorders>
          </w:tcPr>
          <w:p>
            <w:pPr>
              <w:pStyle w:val="TableParagraph"/>
              <w:spacing w:before="26"/>
              <w:ind w:right="70"/>
              <w:rPr>
                <w:sz w:val="20"/>
              </w:rPr>
            </w:pPr>
            <w:r>
              <w:rPr>
                <w:sz w:val="20"/>
              </w:rPr>
              <w:t>21.725</w:t>
            </w:r>
          </w:p>
        </w:tc>
        <w:tc>
          <w:tcPr>
            <w:tcW w:w="1018" w:type="dxa"/>
            <w:tcBorders>
              <w:top w:val="nil"/>
              <w:left w:val="nil"/>
              <w:bottom w:val="nil"/>
              <w:right w:val="nil"/>
            </w:tcBorders>
          </w:tcPr>
          <w:p>
            <w:pPr>
              <w:pStyle w:val="TableParagraph"/>
              <w:spacing w:before="26"/>
              <w:ind w:right="89"/>
              <w:rPr>
                <w:sz w:val="20"/>
              </w:rPr>
            </w:pPr>
            <w:r>
              <w:rPr>
                <w:sz w:val="20"/>
              </w:rPr>
              <w:t>21.854</w:t>
            </w:r>
          </w:p>
        </w:tc>
        <w:tc>
          <w:tcPr>
            <w:tcW w:w="1039" w:type="dxa"/>
            <w:tcBorders>
              <w:top w:val="nil"/>
              <w:left w:val="nil"/>
              <w:bottom w:val="nil"/>
              <w:right w:val="nil"/>
            </w:tcBorders>
          </w:tcPr>
          <w:p>
            <w:pPr>
              <w:pStyle w:val="TableParagraph"/>
              <w:spacing w:before="26"/>
              <w:ind w:right="62"/>
              <w:rPr>
                <w:sz w:val="20"/>
              </w:rPr>
            </w:pPr>
            <w:r>
              <w:rPr>
                <w:sz w:val="20"/>
              </w:rPr>
              <w:t>21.539</w:t>
            </w:r>
          </w:p>
        </w:tc>
        <w:tc>
          <w:tcPr>
            <w:tcW w:w="1073" w:type="dxa"/>
            <w:tcBorders>
              <w:top w:val="nil"/>
              <w:left w:val="nil"/>
              <w:bottom w:val="nil"/>
              <w:right w:val="nil"/>
            </w:tcBorders>
          </w:tcPr>
          <w:p>
            <w:pPr>
              <w:pStyle w:val="TableParagraph"/>
              <w:spacing w:before="26"/>
              <w:ind w:right="65"/>
              <w:rPr>
                <w:sz w:val="20"/>
              </w:rPr>
            </w:pPr>
            <w:r>
              <w:rPr>
                <w:sz w:val="20"/>
              </w:rPr>
              <w:t>21.143</w:t>
            </w:r>
          </w:p>
        </w:tc>
        <w:tc>
          <w:tcPr>
            <w:tcW w:w="1076" w:type="dxa"/>
            <w:tcBorders>
              <w:top w:val="nil"/>
              <w:left w:val="nil"/>
              <w:bottom w:val="nil"/>
              <w:right w:val="nil"/>
            </w:tcBorders>
          </w:tcPr>
          <w:p>
            <w:pPr>
              <w:pStyle w:val="TableParagraph"/>
              <w:spacing w:before="26"/>
              <w:ind w:right="65"/>
              <w:rPr>
                <w:sz w:val="20"/>
              </w:rPr>
            </w:pPr>
            <w:r>
              <w:rPr>
                <w:sz w:val="20"/>
              </w:rPr>
              <w:t>21.119</w:t>
            </w:r>
          </w:p>
        </w:tc>
        <w:tc>
          <w:tcPr>
            <w:tcW w:w="1071" w:type="dxa"/>
            <w:tcBorders>
              <w:top w:val="nil"/>
              <w:left w:val="nil"/>
              <w:bottom w:val="nil"/>
              <w:right w:val="nil"/>
            </w:tcBorders>
          </w:tcPr>
          <w:p>
            <w:pPr>
              <w:pStyle w:val="TableParagraph"/>
              <w:spacing w:before="26"/>
              <w:ind w:right="60"/>
              <w:rPr>
                <w:sz w:val="20"/>
              </w:rPr>
            </w:pPr>
            <w:r>
              <w:rPr>
                <w:sz w:val="20"/>
              </w:rPr>
              <w:t>20.300</w:t>
            </w:r>
          </w:p>
        </w:tc>
      </w:tr>
      <w:tr>
        <w:trPr>
          <w:trHeight w:val="300" w:hRule="exact"/>
        </w:trPr>
        <w:tc>
          <w:tcPr>
            <w:tcW w:w="1146" w:type="dxa"/>
            <w:tcBorders>
              <w:top w:val="nil"/>
              <w:left w:val="nil"/>
              <w:bottom w:val="nil"/>
              <w:right w:val="nil"/>
            </w:tcBorders>
          </w:tcPr>
          <w:p>
            <w:pPr>
              <w:pStyle w:val="TableParagraph"/>
              <w:ind w:left="86"/>
              <w:jc w:val="left"/>
              <w:rPr>
                <w:sz w:val="20"/>
              </w:rPr>
            </w:pPr>
            <w:r>
              <w:rPr>
                <w:w w:val="100"/>
                <w:sz w:val="20"/>
              </w:rPr>
              <w:t>3</w:t>
            </w:r>
          </w:p>
        </w:tc>
        <w:tc>
          <w:tcPr>
            <w:tcW w:w="1051" w:type="dxa"/>
            <w:tcBorders>
              <w:top w:val="nil"/>
              <w:left w:val="nil"/>
              <w:bottom w:val="nil"/>
              <w:right w:val="nil"/>
            </w:tcBorders>
          </w:tcPr>
          <w:p>
            <w:pPr>
              <w:pStyle w:val="TableParagraph"/>
              <w:ind w:left="73"/>
              <w:jc w:val="left"/>
              <w:rPr>
                <w:sz w:val="20"/>
              </w:rPr>
            </w:pPr>
            <w:r>
              <w:rPr>
                <w:sz w:val="20"/>
              </w:rPr>
              <w:t>15261</w:t>
            </w:r>
          </w:p>
        </w:tc>
        <w:tc>
          <w:tcPr>
            <w:tcW w:w="991" w:type="dxa"/>
            <w:tcBorders>
              <w:top w:val="nil"/>
              <w:left w:val="nil"/>
              <w:bottom w:val="nil"/>
              <w:right w:val="nil"/>
            </w:tcBorders>
          </w:tcPr>
          <w:p>
            <w:pPr>
              <w:pStyle w:val="TableParagraph"/>
              <w:ind w:right="65"/>
              <w:rPr>
                <w:sz w:val="20"/>
              </w:rPr>
            </w:pPr>
            <w:r>
              <w:rPr>
                <w:sz w:val="20"/>
              </w:rPr>
              <w:t>18.020</w:t>
            </w:r>
          </w:p>
        </w:tc>
        <w:tc>
          <w:tcPr>
            <w:tcW w:w="992" w:type="dxa"/>
            <w:tcBorders>
              <w:top w:val="nil"/>
              <w:left w:val="nil"/>
              <w:bottom w:val="nil"/>
              <w:right w:val="nil"/>
            </w:tcBorders>
          </w:tcPr>
          <w:p>
            <w:pPr>
              <w:pStyle w:val="TableParagraph"/>
              <w:ind w:right="82"/>
              <w:rPr>
                <w:sz w:val="20"/>
              </w:rPr>
            </w:pPr>
            <w:r>
              <w:rPr>
                <w:sz w:val="20"/>
              </w:rPr>
              <w:t>19.929</w:t>
            </w:r>
          </w:p>
        </w:tc>
        <w:tc>
          <w:tcPr>
            <w:tcW w:w="1023" w:type="dxa"/>
            <w:tcBorders>
              <w:top w:val="nil"/>
              <w:left w:val="nil"/>
              <w:bottom w:val="nil"/>
              <w:right w:val="nil"/>
            </w:tcBorders>
          </w:tcPr>
          <w:p>
            <w:pPr>
              <w:pStyle w:val="TableParagraph"/>
              <w:ind w:right="63"/>
              <w:rPr>
                <w:sz w:val="20"/>
              </w:rPr>
            </w:pPr>
            <w:r>
              <w:rPr>
                <w:sz w:val="20"/>
              </w:rPr>
              <w:t>22.210</w:t>
            </w:r>
          </w:p>
        </w:tc>
        <w:tc>
          <w:tcPr>
            <w:tcW w:w="977" w:type="dxa"/>
            <w:tcBorders>
              <w:top w:val="nil"/>
              <w:left w:val="nil"/>
              <w:bottom w:val="nil"/>
              <w:right w:val="nil"/>
            </w:tcBorders>
          </w:tcPr>
          <w:p>
            <w:pPr>
              <w:pStyle w:val="TableParagraph"/>
              <w:ind w:right="65"/>
              <w:rPr>
                <w:sz w:val="20"/>
              </w:rPr>
            </w:pPr>
            <w:r>
              <w:rPr>
                <w:sz w:val="20"/>
              </w:rPr>
              <w:t>23.887</w:t>
            </w:r>
          </w:p>
        </w:tc>
        <w:tc>
          <w:tcPr>
            <w:tcW w:w="982" w:type="dxa"/>
            <w:tcBorders>
              <w:top w:val="nil"/>
              <w:left w:val="nil"/>
              <w:bottom w:val="nil"/>
              <w:right w:val="nil"/>
            </w:tcBorders>
          </w:tcPr>
          <w:p>
            <w:pPr>
              <w:pStyle w:val="TableParagraph"/>
              <w:ind w:right="67"/>
              <w:rPr>
                <w:sz w:val="20"/>
              </w:rPr>
            </w:pPr>
            <w:r>
              <w:rPr>
                <w:sz w:val="20"/>
              </w:rPr>
              <w:t>24.270</w:t>
            </w:r>
          </w:p>
        </w:tc>
        <w:tc>
          <w:tcPr>
            <w:tcW w:w="991" w:type="dxa"/>
            <w:tcBorders>
              <w:top w:val="nil"/>
              <w:left w:val="nil"/>
              <w:bottom w:val="nil"/>
              <w:right w:val="nil"/>
            </w:tcBorders>
          </w:tcPr>
          <w:p>
            <w:pPr>
              <w:pStyle w:val="TableParagraph"/>
              <w:ind w:right="74"/>
              <w:rPr>
                <w:sz w:val="20"/>
              </w:rPr>
            </w:pPr>
            <w:r>
              <w:rPr>
                <w:sz w:val="20"/>
              </w:rPr>
              <w:t>22.187</w:t>
            </w:r>
          </w:p>
        </w:tc>
        <w:tc>
          <w:tcPr>
            <w:tcW w:w="1013" w:type="dxa"/>
            <w:tcBorders>
              <w:top w:val="nil"/>
              <w:left w:val="nil"/>
              <w:bottom w:val="nil"/>
              <w:right w:val="nil"/>
            </w:tcBorders>
          </w:tcPr>
          <w:p>
            <w:pPr>
              <w:pStyle w:val="TableParagraph"/>
              <w:ind w:right="70"/>
              <w:rPr>
                <w:sz w:val="20"/>
              </w:rPr>
            </w:pPr>
            <w:r>
              <w:rPr>
                <w:sz w:val="20"/>
              </w:rPr>
              <w:t>20.081</w:t>
            </w:r>
          </w:p>
        </w:tc>
        <w:tc>
          <w:tcPr>
            <w:tcW w:w="1018" w:type="dxa"/>
            <w:tcBorders>
              <w:top w:val="nil"/>
              <w:left w:val="nil"/>
              <w:bottom w:val="nil"/>
              <w:right w:val="nil"/>
            </w:tcBorders>
          </w:tcPr>
          <w:p>
            <w:pPr>
              <w:pStyle w:val="TableParagraph"/>
              <w:ind w:right="89"/>
              <w:rPr>
                <w:sz w:val="20"/>
              </w:rPr>
            </w:pPr>
            <w:r>
              <w:rPr>
                <w:sz w:val="20"/>
              </w:rPr>
              <w:t>20.047</w:t>
            </w:r>
          </w:p>
        </w:tc>
        <w:tc>
          <w:tcPr>
            <w:tcW w:w="1039" w:type="dxa"/>
            <w:tcBorders>
              <w:top w:val="nil"/>
              <w:left w:val="nil"/>
              <w:bottom w:val="nil"/>
              <w:right w:val="nil"/>
            </w:tcBorders>
          </w:tcPr>
          <w:p>
            <w:pPr>
              <w:pStyle w:val="TableParagraph"/>
              <w:ind w:right="62"/>
              <w:rPr>
                <w:sz w:val="20"/>
              </w:rPr>
            </w:pPr>
            <w:r>
              <w:rPr>
                <w:sz w:val="20"/>
              </w:rPr>
              <w:t>19.109</w:t>
            </w:r>
          </w:p>
        </w:tc>
        <w:tc>
          <w:tcPr>
            <w:tcW w:w="1073" w:type="dxa"/>
            <w:tcBorders>
              <w:top w:val="nil"/>
              <w:left w:val="nil"/>
              <w:bottom w:val="nil"/>
              <w:right w:val="nil"/>
            </w:tcBorders>
          </w:tcPr>
          <w:p>
            <w:pPr>
              <w:pStyle w:val="TableParagraph"/>
              <w:ind w:right="65"/>
              <w:rPr>
                <w:sz w:val="20"/>
              </w:rPr>
            </w:pPr>
            <w:r>
              <w:rPr>
                <w:sz w:val="20"/>
              </w:rPr>
              <w:t>18.741</w:t>
            </w:r>
          </w:p>
        </w:tc>
        <w:tc>
          <w:tcPr>
            <w:tcW w:w="1076" w:type="dxa"/>
            <w:tcBorders>
              <w:top w:val="nil"/>
              <w:left w:val="nil"/>
              <w:bottom w:val="nil"/>
              <w:right w:val="nil"/>
            </w:tcBorders>
          </w:tcPr>
          <w:p>
            <w:pPr>
              <w:pStyle w:val="TableParagraph"/>
              <w:ind w:right="65"/>
              <w:rPr>
                <w:sz w:val="20"/>
              </w:rPr>
            </w:pPr>
            <w:r>
              <w:rPr>
                <w:sz w:val="20"/>
              </w:rPr>
              <w:t>19.036</w:t>
            </w:r>
          </w:p>
        </w:tc>
        <w:tc>
          <w:tcPr>
            <w:tcW w:w="1071" w:type="dxa"/>
            <w:tcBorders>
              <w:top w:val="nil"/>
              <w:left w:val="nil"/>
              <w:bottom w:val="nil"/>
              <w:right w:val="nil"/>
            </w:tcBorders>
          </w:tcPr>
          <w:p>
            <w:pPr>
              <w:pStyle w:val="TableParagraph"/>
              <w:ind w:right="60"/>
              <w:rPr>
                <w:sz w:val="20"/>
              </w:rPr>
            </w:pPr>
            <w:r>
              <w:rPr>
                <w:sz w:val="20"/>
              </w:rPr>
              <w:t>18.230</w:t>
            </w:r>
          </w:p>
        </w:tc>
      </w:tr>
      <w:tr>
        <w:trPr>
          <w:trHeight w:val="300" w:hRule="exact"/>
        </w:trPr>
        <w:tc>
          <w:tcPr>
            <w:tcW w:w="1146" w:type="dxa"/>
            <w:tcBorders>
              <w:top w:val="nil"/>
              <w:left w:val="nil"/>
              <w:bottom w:val="nil"/>
              <w:right w:val="nil"/>
            </w:tcBorders>
          </w:tcPr>
          <w:p>
            <w:pPr>
              <w:pStyle w:val="TableParagraph"/>
              <w:spacing w:before="26"/>
              <w:ind w:left="86"/>
              <w:jc w:val="left"/>
              <w:rPr>
                <w:sz w:val="20"/>
              </w:rPr>
            </w:pPr>
            <w:r>
              <w:rPr>
                <w:w w:val="100"/>
                <w:sz w:val="20"/>
              </w:rPr>
              <w:t>4</w:t>
            </w:r>
          </w:p>
        </w:tc>
        <w:tc>
          <w:tcPr>
            <w:tcW w:w="1051" w:type="dxa"/>
            <w:tcBorders>
              <w:top w:val="nil"/>
              <w:left w:val="nil"/>
              <w:bottom w:val="nil"/>
              <w:right w:val="nil"/>
            </w:tcBorders>
          </w:tcPr>
          <w:p>
            <w:pPr>
              <w:pStyle w:val="TableParagraph"/>
              <w:spacing w:before="26"/>
              <w:ind w:left="73"/>
              <w:jc w:val="left"/>
              <w:rPr>
                <w:sz w:val="20"/>
              </w:rPr>
            </w:pPr>
            <w:r>
              <w:rPr>
                <w:sz w:val="20"/>
              </w:rPr>
              <w:t>15001</w:t>
            </w:r>
          </w:p>
        </w:tc>
        <w:tc>
          <w:tcPr>
            <w:tcW w:w="991" w:type="dxa"/>
            <w:tcBorders>
              <w:top w:val="nil"/>
              <w:left w:val="nil"/>
              <w:bottom w:val="nil"/>
              <w:right w:val="nil"/>
            </w:tcBorders>
          </w:tcPr>
          <w:p>
            <w:pPr>
              <w:pStyle w:val="TableParagraph"/>
              <w:spacing w:before="26"/>
              <w:ind w:right="65"/>
              <w:rPr>
                <w:sz w:val="20"/>
              </w:rPr>
            </w:pPr>
            <w:r>
              <w:rPr>
                <w:sz w:val="20"/>
              </w:rPr>
              <w:t>20.267</w:t>
            </w:r>
          </w:p>
        </w:tc>
        <w:tc>
          <w:tcPr>
            <w:tcW w:w="992" w:type="dxa"/>
            <w:tcBorders>
              <w:top w:val="nil"/>
              <w:left w:val="nil"/>
              <w:bottom w:val="nil"/>
              <w:right w:val="nil"/>
            </w:tcBorders>
          </w:tcPr>
          <w:p>
            <w:pPr>
              <w:pStyle w:val="TableParagraph"/>
              <w:spacing w:before="26"/>
              <w:ind w:right="82"/>
              <w:rPr>
                <w:sz w:val="20"/>
              </w:rPr>
            </w:pPr>
            <w:r>
              <w:rPr>
                <w:sz w:val="20"/>
              </w:rPr>
              <w:t>21.980</w:t>
            </w:r>
          </w:p>
        </w:tc>
        <w:tc>
          <w:tcPr>
            <w:tcW w:w="1023" w:type="dxa"/>
            <w:tcBorders>
              <w:top w:val="nil"/>
              <w:left w:val="nil"/>
              <w:bottom w:val="nil"/>
              <w:right w:val="nil"/>
            </w:tcBorders>
          </w:tcPr>
          <w:p>
            <w:pPr>
              <w:pStyle w:val="TableParagraph"/>
              <w:spacing w:before="26"/>
              <w:ind w:right="63"/>
              <w:rPr>
                <w:sz w:val="20"/>
              </w:rPr>
            </w:pPr>
            <w:r>
              <w:rPr>
                <w:sz w:val="20"/>
              </w:rPr>
              <w:t>24.091</w:t>
            </w:r>
          </w:p>
        </w:tc>
        <w:tc>
          <w:tcPr>
            <w:tcW w:w="977" w:type="dxa"/>
            <w:tcBorders>
              <w:top w:val="nil"/>
              <w:left w:val="nil"/>
              <w:bottom w:val="nil"/>
              <w:right w:val="nil"/>
            </w:tcBorders>
          </w:tcPr>
          <w:p>
            <w:pPr>
              <w:pStyle w:val="TableParagraph"/>
              <w:spacing w:before="26"/>
              <w:ind w:right="65"/>
              <w:rPr>
                <w:sz w:val="20"/>
              </w:rPr>
            </w:pPr>
            <w:r>
              <w:rPr>
                <w:sz w:val="20"/>
              </w:rPr>
              <w:t>25.730</w:t>
            </w:r>
          </w:p>
        </w:tc>
        <w:tc>
          <w:tcPr>
            <w:tcW w:w="982" w:type="dxa"/>
            <w:tcBorders>
              <w:top w:val="nil"/>
              <w:left w:val="nil"/>
              <w:bottom w:val="nil"/>
              <w:right w:val="nil"/>
            </w:tcBorders>
          </w:tcPr>
          <w:p>
            <w:pPr>
              <w:pStyle w:val="TableParagraph"/>
              <w:spacing w:before="26"/>
              <w:ind w:right="67"/>
              <w:rPr>
                <w:sz w:val="20"/>
              </w:rPr>
            </w:pPr>
            <w:r>
              <w:rPr>
                <w:sz w:val="20"/>
              </w:rPr>
              <w:t>25.168</w:t>
            </w:r>
          </w:p>
        </w:tc>
        <w:tc>
          <w:tcPr>
            <w:tcW w:w="991" w:type="dxa"/>
            <w:tcBorders>
              <w:top w:val="nil"/>
              <w:left w:val="nil"/>
              <w:bottom w:val="nil"/>
              <w:right w:val="nil"/>
            </w:tcBorders>
          </w:tcPr>
          <w:p>
            <w:pPr>
              <w:pStyle w:val="TableParagraph"/>
              <w:spacing w:before="26"/>
              <w:ind w:right="74"/>
              <w:rPr>
                <w:sz w:val="20"/>
              </w:rPr>
            </w:pPr>
            <w:r>
              <w:rPr>
                <w:sz w:val="20"/>
              </w:rPr>
              <w:t>23.237</w:t>
            </w:r>
          </w:p>
        </w:tc>
        <w:tc>
          <w:tcPr>
            <w:tcW w:w="1013" w:type="dxa"/>
            <w:tcBorders>
              <w:top w:val="nil"/>
              <w:left w:val="nil"/>
              <w:bottom w:val="nil"/>
              <w:right w:val="nil"/>
            </w:tcBorders>
          </w:tcPr>
          <w:p>
            <w:pPr>
              <w:pStyle w:val="TableParagraph"/>
              <w:spacing w:before="26"/>
              <w:ind w:right="70"/>
              <w:rPr>
                <w:sz w:val="20"/>
              </w:rPr>
            </w:pPr>
            <w:r>
              <w:rPr>
                <w:sz w:val="20"/>
              </w:rPr>
              <w:t>21.725</w:t>
            </w:r>
          </w:p>
        </w:tc>
        <w:tc>
          <w:tcPr>
            <w:tcW w:w="1018" w:type="dxa"/>
            <w:tcBorders>
              <w:top w:val="nil"/>
              <w:left w:val="nil"/>
              <w:bottom w:val="nil"/>
              <w:right w:val="nil"/>
            </w:tcBorders>
          </w:tcPr>
          <w:p>
            <w:pPr>
              <w:pStyle w:val="TableParagraph"/>
              <w:spacing w:before="26"/>
              <w:ind w:right="89"/>
              <w:rPr>
                <w:sz w:val="20"/>
              </w:rPr>
            </w:pPr>
            <w:r>
              <w:rPr>
                <w:sz w:val="20"/>
              </w:rPr>
              <w:t>21.854</w:t>
            </w:r>
          </w:p>
        </w:tc>
        <w:tc>
          <w:tcPr>
            <w:tcW w:w="1039" w:type="dxa"/>
            <w:tcBorders>
              <w:top w:val="nil"/>
              <w:left w:val="nil"/>
              <w:bottom w:val="nil"/>
              <w:right w:val="nil"/>
            </w:tcBorders>
          </w:tcPr>
          <w:p>
            <w:pPr>
              <w:pStyle w:val="TableParagraph"/>
              <w:spacing w:before="26"/>
              <w:ind w:right="62"/>
              <w:rPr>
                <w:sz w:val="20"/>
              </w:rPr>
            </w:pPr>
            <w:r>
              <w:rPr>
                <w:sz w:val="20"/>
              </w:rPr>
              <w:t>21.539</w:t>
            </w:r>
          </w:p>
        </w:tc>
        <w:tc>
          <w:tcPr>
            <w:tcW w:w="1073" w:type="dxa"/>
            <w:tcBorders>
              <w:top w:val="nil"/>
              <w:left w:val="nil"/>
              <w:bottom w:val="nil"/>
              <w:right w:val="nil"/>
            </w:tcBorders>
          </w:tcPr>
          <w:p>
            <w:pPr>
              <w:pStyle w:val="TableParagraph"/>
              <w:spacing w:before="26"/>
              <w:ind w:right="65"/>
              <w:rPr>
                <w:sz w:val="20"/>
              </w:rPr>
            </w:pPr>
            <w:r>
              <w:rPr>
                <w:sz w:val="20"/>
              </w:rPr>
              <w:t>21.143</w:t>
            </w:r>
          </w:p>
        </w:tc>
        <w:tc>
          <w:tcPr>
            <w:tcW w:w="1076" w:type="dxa"/>
            <w:tcBorders>
              <w:top w:val="nil"/>
              <w:left w:val="nil"/>
              <w:bottom w:val="nil"/>
              <w:right w:val="nil"/>
            </w:tcBorders>
          </w:tcPr>
          <w:p>
            <w:pPr>
              <w:pStyle w:val="TableParagraph"/>
              <w:spacing w:before="26"/>
              <w:ind w:right="65"/>
              <w:rPr>
                <w:sz w:val="20"/>
              </w:rPr>
            </w:pPr>
            <w:r>
              <w:rPr>
                <w:sz w:val="20"/>
              </w:rPr>
              <w:t>21.119</w:t>
            </w:r>
          </w:p>
        </w:tc>
        <w:tc>
          <w:tcPr>
            <w:tcW w:w="1071" w:type="dxa"/>
            <w:tcBorders>
              <w:top w:val="nil"/>
              <w:left w:val="nil"/>
              <w:bottom w:val="nil"/>
              <w:right w:val="nil"/>
            </w:tcBorders>
          </w:tcPr>
          <w:p>
            <w:pPr>
              <w:pStyle w:val="TableParagraph"/>
              <w:spacing w:before="26"/>
              <w:ind w:right="60"/>
              <w:rPr>
                <w:sz w:val="20"/>
              </w:rPr>
            </w:pPr>
            <w:r>
              <w:rPr>
                <w:sz w:val="20"/>
              </w:rPr>
              <w:t>20.300</w:t>
            </w:r>
          </w:p>
        </w:tc>
      </w:tr>
      <w:tr>
        <w:trPr>
          <w:trHeight w:val="300" w:hRule="exact"/>
        </w:trPr>
        <w:tc>
          <w:tcPr>
            <w:tcW w:w="1146" w:type="dxa"/>
            <w:tcBorders>
              <w:top w:val="nil"/>
              <w:left w:val="nil"/>
              <w:bottom w:val="nil"/>
              <w:right w:val="nil"/>
            </w:tcBorders>
          </w:tcPr>
          <w:p>
            <w:pPr>
              <w:pStyle w:val="TableParagraph"/>
              <w:ind w:left="86"/>
              <w:jc w:val="left"/>
              <w:rPr>
                <w:sz w:val="20"/>
              </w:rPr>
            </w:pPr>
            <w:r>
              <w:rPr>
                <w:w w:val="100"/>
                <w:sz w:val="20"/>
              </w:rPr>
              <w:t>5</w:t>
            </w:r>
          </w:p>
        </w:tc>
        <w:tc>
          <w:tcPr>
            <w:tcW w:w="1051" w:type="dxa"/>
            <w:tcBorders>
              <w:top w:val="nil"/>
              <w:left w:val="nil"/>
              <w:bottom w:val="nil"/>
              <w:right w:val="nil"/>
            </w:tcBorders>
          </w:tcPr>
          <w:p>
            <w:pPr>
              <w:pStyle w:val="TableParagraph"/>
              <w:ind w:left="73"/>
              <w:jc w:val="left"/>
              <w:rPr>
                <w:sz w:val="20"/>
              </w:rPr>
            </w:pPr>
            <w:r>
              <w:rPr>
                <w:sz w:val="20"/>
              </w:rPr>
              <w:t>15001</w:t>
            </w:r>
          </w:p>
        </w:tc>
        <w:tc>
          <w:tcPr>
            <w:tcW w:w="991" w:type="dxa"/>
            <w:tcBorders>
              <w:top w:val="nil"/>
              <w:left w:val="nil"/>
              <w:bottom w:val="nil"/>
              <w:right w:val="nil"/>
            </w:tcBorders>
          </w:tcPr>
          <w:p>
            <w:pPr>
              <w:pStyle w:val="TableParagraph"/>
              <w:ind w:right="65"/>
              <w:rPr>
                <w:sz w:val="20"/>
              </w:rPr>
            </w:pPr>
            <w:r>
              <w:rPr>
                <w:sz w:val="20"/>
              </w:rPr>
              <w:t>20.267</w:t>
            </w:r>
          </w:p>
        </w:tc>
        <w:tc>
          <w:tcPr>
            <w:tcW w:w="992" w:type="dxa"/>
            <w:tcBorders>
              <w:top w:val="nil"/>
              <w:left w:val="nil"/>
              <w:bottom w:val="nil"/>
              <w:right w:val="nil"/>
            </w:tcBorders>
          </w:tcPr>
          <w:p>
            <w:pPr>
              <w:pStyle w:val="TableParagraph"/>
              <w:ind w:right="82"/>
              <w:rPr>
                <w:sz w:val="20"/>
              </w:rPr>
            </w:pPr>
            <w:r>
              <w:rPr>
                <w:sz w:val="20"/>
              </w:rPr>
              <w:t>21.980</w:t>
            </w:r>
          </w:p>
        </w:tc>
        <w:tc>
          <w:tcPr>
            <w:tcW w:w="1023" w:type="dxa"/>
            <w:tcBorders>
              <w:top w:val="nil"/>
              <w:left w:val="nil"/>
              <w:bottom w:val="nil"/>
              <w:right w:val="nil"/>
            </w:tcBorders>
          </w:tcPr>
          <w:p>
            <w:pPr>
              <w:pStyle w:val="TableParagraph"/>
              <w:ind w:right="63"/>
              <w:rPr>
                <w:sz w:val="20"/>
              </w:rPr>
            </w:pPr>
            <w:r>
              <w:rPr>
                <w:sz w:val="20"/>
              </w:rPr>
              <w:t>24.091</w:t>
            </w:r>
          </w:p>
        </w:tc>
        <w:tc>
          <w:tcPr>
            <w:tcW w:w="977" w:type="dxa"/>
            <w:tcBorders>
              <w:top w:val="nil"/>
              <w:left w:val="nil"/>
              <w:bottom w:val="nil"/>
              <w:right w:val="nil"/>
            </w:tcBorders>
          </w:tcPr>
          <w:p>
            <w:pPr>
              <w:pStyle w:val="TableParagraph"/>
              <w:ind w:right="65"/>
              <w:rPr>
                <w:sz w:val="20"/>
              </w:rPr>
            </w:pPr>
            <w:r>
              <w:rPr>
                <w:sz w:val="20"/>
              </w:rPr>
              <w:t>25.730</w:t>
            </w:r>
          </w:p>
        </w:tc>
        <w:tc>
          <w:tcPr>
            <w:tcW w:w="982" w:type="dxa"/>
            <w:tcBorders>
              <w:top w:val="nil"/>
              <w:left w:val="nil"/>
              <w:bottom w:val="nil"/>
              <w:right w:val="nil"/>
            </w:tcBorders>
          </w:tcPr>
          <w:p>
            <w:pPr>
              <w:pStyle w:val="TableParagraph"/>
              <w:ind w:right="67"/>
              <w:rPr>
                <w:sz w:val="20"/>
              </w:rPr>
            </w:pPr>
            <w:r>
              <w:rPr>
                <w:sz w:val="20"/>
              </w:rPr>
              <w:t>25.168</w:t>
            </w:r>
          </w:p>
        </w:tc>
        <w:tc>
          <w:tcPr>
            <w:tcW w:w="991" w:type="dxa"/>
            <w:tcBorders>
              <w:top w:val="nil"/>
              <w:left w:val="nil"/>
              <w:bottom w:val="nil"/>
              <w:right w:val="nil"/>
            </w:tcBorders>
          </w:tcPr>
          <w:p>
            <w:pPr>
              <w:pStyle w:val="TableParagraph"/>
              <w:ind w:right="74"/>
              <w:rPr>
                <w:sz w:val="20"/>
              </w:rPr>
            </w:pPr>
            <w:r>
              <w:rPr>
                <w:sz w:val="20"/>
              </w:rPr>
              <w:t>23.237</w:t>
            </w:r>
          </w:p>
        </w:tc>
        <w:tc>
          <w:tcPr>
            <w:tcW w:w="1013" w:type="dxa"/>
            <w:tcBorders>
              <w:top w:val="nil"/>
              <w:left w:val="nil"/>
              <w:bottom w:val="nil"/>
              <w:right w:val="nil"/>
            </w:tcBorders>
          </w:tcPr>
          <w:p>
            <w:pPr>
              <w:pStyle w:val="TableParagraph"/>
              <w:ind w:right="70"/>
              <w:rPr>
                <w:sz w:val="20"/>
              </w:rPr>
            </w:pPr>
            <w:r>
              <w:rPr>
                <w:sz w:val="20"/>
              </w:rPr>
              <w:t>21.725</w:t>
            </w:r>
          </w:p>
        </w:tc>
        <w:tc>
          <w:tcPr>
            <w:tcW w:w="1018" w:type="dxa"/>
            <w:tcBorders>
              <w:top w:val="nil"/>
              <w:left w:val="nil"/>
              <w:bottom w:val="nil"/>
              <w:right w:val="nil"/>
            </w:tcBorders>
          </w:tcPr>
          <w:p>
            <w:pPr>
              <w:pStyle w:val="TableParagraph"/>
              <w:ind w:right="89"/>
              <w:rPr>
                <w:sz w:val="20"/>
              </w:rPr>
            </w:pPr>
            <w:r>
              <w:rPr>
                <w:sz w:val="20"/>
              </w:rPr>
              <w:t>21.854</w:t>
            </w:r>
          </w:p>
        </w:tc>
        <w:tc>
          <w:tcPr>
            <w:tcW w:w="1039" w:type="dxa"/>
            <w:tcBorders>
              <w:top w:val="nil"/>
              <w:left w:val="nil"/>
              <w:bottom w:val="nil"/>
              <w:right w:val="nil"/>
            </w:tcBorders>
          </w:tcPr>
          <w:p>
            <w:pPr>
              <w:pStyle w:val="TableParagraph"/>
              <w:ind w:right="62"/>
              <w:rPr>
                <w:sz w:val="20"/>
              </w:rPr>
            </w:pPr>
            <w:r>
              <w:rPr>
                <w:sz w:val="20"/>
              </w:rPr>
              <w:t>21.539</w:t>
            </w:r>
          </w:p>
        </w:tc>
        <w:tc>
          <w:tcPr>
            <w:tcW w:w="1073" w:type="dxa"/>
            <w:tcBorders>
              <w:top w:val="nil"/>
              <w:left w:val="nil"/>
              <w:bottom w:val="nil"/>
              <w:right w:val="nil"/>
            </w:tcBorders>
          </w:tcPr>
          <w:p>
            <w:pPr>
              <w:pStyle w:val="TableParagraph"/>
              <w:ind w:right="65"/>
              <w:rPr>
                <w:sz w:val="20"/>
              </w:rPr>
            </w:pPr>
            <w:r>
              <w:rPr>
                <w:sz w:val="20"/>
              </w:rPr>
              <w:t>21.143</w:t>
            </w:r>
          </w:p>
        </w:tc>
        <w:tc>
          <w:tcPr>
            <w:tcW w:w="1076" w:type="dxa"/>
            <w:tcBorders>
              <w:top w:val="nil"/>
              <w:left w:val="nil"/>
              <w:bottom w:val="nil"/>
              <w:right w:val="nil"/>
            </w:tcBorders>
          </w:tcPr>
          <w:p>
            <w:pPr>
              <w:pStyle w:val="TableParagraph"/>
              <w:ind w:right="65"/>
              <w:rPr>
                <w:sz w:val="20"/>
              </w:rPr>
            </w:pPr>
            <w:r>
              <w:rPr>
                <w:sz w:val="20"/>
              </w:rPr>
              <w:t>21.119</w:t>
            </w:r>
          </w:p>
        </w:tc>
        <w:tc>
          <w:tcPr>
            <w:tcW w:w="1071" w:type="dxa"/>
            <w:tcBorders>
              <w:top w:val="nil"/>
              <w:left w:val="nil"/>
              <w:bottom w:val="nil"/>
              <w:right w:val="nil"/>
            </w:tcBorders>
          </w:tcPr>
          <w:p>
            <w:pPr>
              <w:pStyle w:val="TableParagraph"/>
              <w:ind w:right="60"/>
              <w:rPr>
                <w:sz w:val="20"/>
              </w:rPr>
            </w:pPr>
            <w:r>
              <w:rPr>
                <w:sz w:val="20"/>
              </w:rPr>
              <w:t>20.300</w:t>
            </w:r>
          </w:p>
        </w:tc>
      </w:tr>
      <w:tr>
        <w:trPr>
          <w:trHeight w:val="300" w:hRule="exact"/>
        </w:trPr>
        <w:tc>
          <w:tcPr>
            <w:tcW w:w="1146" w:type="dxa"/>
            <w:tcBorders>
              <w:top w:val="nil"/>
              <w:left w:val="nil"/>
              <w:bottom w:val="nil"/>
              <w:right w:val="nil"/>
            </w:tcBorders>
          </w:tcPr>
          <w:p>
            <w:pPr>
              <w:pStyle w:val="TableParagraph"/>
              <w:spacing w:before="26"/>
              <w:ind w:left="86"/>
              <w:jc w:val="left"/>
              <w:rPr>
                <w:sz w:val="20"/>
              </w:rPr>
            </w:pPr>
            <w:r>
              <w:rPr>
                <w:w w:val="100"/>
                <w:sz w:val="20"/>
              </w:rPr>
              <w:t>6</w:t>
            </w:r>
          </w:p>
        </w:tc>
        <w:tc>
          <w:tcPr>
            <w:tcW w:w="1051" w:type="dxa"/>
            <w:tcBorders>
              <w:top w:val="nil"/>
              <w:left w:val="nil"/>
              <w:bottom w:val="nil"/>
              <w:right w:val="nil"/>
            </w:tcBorders>
          </w:tcPr>
          <w:p>
            <w:pPr>
              <w:pStyle w:val="TableParagraph"/>
              <w:spacing w:before="26"/>
              <w:ind w:left="73"/>
              <w:jc w:val="left"/>
              <w:rPr>
                <w:sz w:val="20"/>
              </w:rPr>
            </w:pPr>
            <w:r>
              <w:rPr>
                <w:sz w:val="20"/>
              </w:rPr>
              <w:t>15001</w:t>
            </w:r>
          </w:p>
        </w:tc>
        <w:tc>
          <w:tcPr>
            <w:tcW w:w="991" w:type="dxa"/>
            <w:tcBorders>
              <w:top w:val="nil"/>
              <w:left w:val="nil"/>
              <w:bottom w:val="nil"/>
              <w:right w:val="nil"/>
            </w:tcBorders>
          </w:tcPr>
          <w:p>
            <w:pPr>
              <w:pStyle w:val="TableParagraph"/>
              <w:spacing w:before="26"/>
              <w:ind w:right="65"/>
              <w:rPr>
                <w:sz w:val="20"/>
              </w:rPr>
            </w:pPr>
            <w:r>
              <w:rPr>
                <w:sz w:val="20"/>
              </w:rPr>
              <w:t>20.267</w:t>
            </w:r>
          </w:p>
        </w:tc>
        <w:tc>
          <w:tcPr>
            <w:tcW w:w="992" w:type="dxa"/>
            <w:tcBorders>
              <w:top w:val="nil"/>
              <w:left w:val="nil"/>
              <w:bottom w:val="nil"/>
              <w:right w:val="nil"/>
            </w:tcBorders>
          </w:tcPr>
          <w:p>
            <w:pPr>
              <w:pStyle w:val="TableParagraph"/>
              <w:spacing w:before="26"/>
              <w:ind w:right="82"/>
              <w:rPr>
                <w:sz w:val="20"/>
              </w:rPr>
            </w:pPr>
            <w:r>
              <w:rPr>
                <w:sz w:val="20"/>
              </w:rPr>
              <w:t>21.980</w:t>
            </w:r>
          </w:p>
        </w:tc>
        <w:tc>
          <w:tcPr>
            <w:tcW w:w="1023" w:type="dxa"/>
            <w:tcBorders>
              <w:top w:val="nil"/>
              <w:left w:val="nil"/>
              <w:bottom w:val="nil"/>
              <w:right w:val="nil"/>
            </w:tcBorders>
          </w:tcPr>
          <w:p>
            <w:pPr>
              <w:pStyle w:val="TableParagraph"/>
              <w:spacing w:before="26"/>
              <w:ind w:right="63"/>
              <w:rPr>
                <w:sz w:val="20"/>
              </w:rPr>
            </w:pPr>
            <w:r>
              <w:rPr>
                <w:sz w:val="20"/>
              </w:rPr>
              <w:t>24.091</w:t>
            </w:r>
          </w:p>
        </w:tc>
        <w:tc>
          <w:tcPr>
            <w:tcW w:w="977" w:type="dxa"/>
            <w:tcBorders>
              <w:top w:val="nil"/>
              <w:left w:val="nil"/>
              <w:bottom w:val="nil"/>
              <w:right w:val="nil"/>
            </w:tcBorders>
          </w:tcPr>
          <w:p>
            <w:pPr>
              <w:pStyle w:val="TableParagraph"/>
              <w:spacing w:before="26"/>
              <w:ind w:right="65"/>
              <w:rPr>
                <w:sz w:val="20"/>
              </w:rPr>
            </w:pPr>
            <w:r>
              <w:rPr>
                <w:sz w:val="20"/>
              </w:rPr>
              <w:t>25.730</w:t>
            </w:r>
          </w:p>
        </w:tc>
        <w:tc>
          <w:tcPr>
            <w:tcW w:w="982" w:type="dxa"/>
            <w:tcBorders>
              <w:top w:val="nil"/>
              <w:left w:val="nil"/>
              <w:bottom w:val="nil"/>
              <w:right w:val="nil"/>
            </w:tcBorders>
          </w:tcPr>
          <w:p>
            <w:pPr>
              <w:pStyle w:val="TableParagraph"/>
              <w:spacing w:before="26"/>
              <w:ind w:right="67"/>
              <w:rPr>
                <w:sz w:val="20"/>
              </w:rPr>
            </w:pPr>
            <w:r>
              <w:rPr>
                <w:sz w:val="20"/>
              </w:rPr>
              <w:t>25.168</w:t>
            </w:r>
          </w:p>
        </w:tc>
        <w:tc>
          <w:tcPr>
            <w:tcW w:w="991" w:type="dxa"/>
            <w:tcBorders>
              <w:top w:val="nil"/>
              <w:left w:val="nil"/>
              <w:bottom w:val="nil"/>
              <w:right w:val="nil"/>
            </w:tcBorders>
          </w:tcPr>
          <w:p>
            <w:pPr>
              <w:pStyle w:val="TableParagraph"/>
              <w:spacing w:before="26"/>
              <w:ind w:right="74"/>
              <w:rPr>
                <w:sz w:val="20"/>
              </w:rPr>
            </w:pPr>
            <w:r>
              <w:rPr>
                <w:sz w:val="20"/>
              </w:rPr>
              <w:t>23.237</w:t>
            </w:r>
          </w:p>
        </w:tc>
        <w:tc>
          <w:tcPr>
            <w:tcW w:w="1013" w:type="dxa"/>
            <w:tcBorders>
              <w:top w:val="nil"/>
              <w:left w:val="nil"/>
              <w:bottom w:val="nil"/>
              <w:right w:val="nil"/>
            </w:tcBorders>
          </w:tcPr>
          <w:p>
            <w:pPr>
              <w:pStyle w:val="TableParagraph"/>
              <w:spacing w:before="26"/>
              <w:ind w:right="70"/>
              <w:rPr>
                <w:sz w:val="20"/>
              </w:rPr>
            </w:pPr>
            <w:r>
              <w:rPr>
                <w:sz w:val="20"/>
              </w:rPr>
              <w:t>21.725</w:t>
            </w:r>
          </w:p>
        </w:tc>
        <w:tc>
          <w:tcPr>
            <w:tcW w:w="1018" w:type="dxa"/>
            <w:tcBorders>
              <w:top w:val="nil"/>
              <w:left w:val="nil"/>
              <w:bottom w:val="nil"/>
              <w:right w:val="nil"/>
            </w:tcBorders>
          </w:tcPr>
          <w:p>
            <w:pPr>
              <w:pStyle w:val="TableParagraph"/>
              <w:spacing w:before="26"/>
              <w:ind w:right="89"/>
              <w:rPr>
                <w:sz w:val="20"/>
              </w:rPr>
            </w:pPr>
            <w:r>
              <w:rPr>
                <w:sz w:val="20"/>
              </w:rPr>
              <w:t>21.854</w:t>
            </w:r>
          </w:p>
        </w:tc>
        <w:tc>
          <w:tcPr>
            <w:tcW w:w="1039" w:type="dxa"/>
            <w:tcBorders>
              <w:top w:val="nil"/>
              <w:left w:val="nil"/>
              <w:bottom w:val="nil"/>
              <w:right w:val="nil"/>
            </w:tcBorders>
          </w:tcPr>
          <w:p>
            <w:pPr>
              <w:pStyle w:val="TableParagraph"/>
              <w:spacing w:before="26"/>
              <w:ind w:right="62"/>
              <w:rPr>
                <w:sz w:val="20"/>
              </w:rPr>
            </w:pPr>
            <w:r>
              <w:rPr>
                <w:sz w:val="20"/>
              </w:rPr>
              <w:t>21.539</w:t>
            </w:r>
          </w:p>
        </w:tc>
        <w:tc>
          <w:tcPr>
            <w:tcW w:w="1073" w:type="dxa"/>
            <w:tcBorders>
              <w:top w:val="nil"/>
              <w:left w:val="nil"/>
              <w:bottom w:val="nil"/>
              <w:right w:val="nil"/>
            </w:tcBorders>
          </w:tcPr>
          <w:p>
            <w:pPr>
              <w:pStyle w:val="TableParagraph"/>
              <w:spacing w:before="26"/>
              <w:ind w:right="65"/>
              <w:rPr>
                <w:sz w:val="20"/>
              </w:rPr>
            </w:pPr>
            <w:r>
              <w:rPr>
                <w:sz w:val="20"/>
              </w:rPr>
              <w:t>21.143</w:t>
            </w:r>
          </w:p>
        </w:tc>
        <w:tc>
          <w:tcPr>
            <w:tcW w:w="1076" w:type="dxa"/>
            <w:tcBorders>
              <w:top w:val="nil"/>
              <w:left w:val="nil"/>
              <w:bottom w:val="nil"/>
              <w:right w:val="nil"/>
            </w:tcBorders>
          </w:tcPr>
          <w:p>
            <w:pPr>
              <w:pStyle w:val="TableParagraph"/>
              <w:spacing w:before="26"/>
              <w:ind w:right="65"/>
              <w:rPr>
                <w:sz w:val="20"/>
              </w:rPr>
            </w:pPr>
            <w:r>
              <w:rPr>
                <w:sz w:val="20"/>
              </w:rPr>
              <w:t>21.119</w:t>
            </w:r>
          </w:p>
        </w:tc>
        <w:tc>
          <w:tcPr>
            <w:tcW w:w="1071" w:type="dxa"/>
            <w:tcBorders>
              <w:top w:val="nil"/>
              <w:left w:val="nil"/>
              <w:bottom w:val="nil"/>
              <w:right w:val="nil"/>
            </w:tcBorders>
          </w:tcPr>
          <w:p>
            <w:pPr>
              <w:pStyle w:val="TableParagraph"/>
              <w:spacing w:before="26"/>
              <w:ind w:right="60"/>
              <w:rPr>
                <w:sz w:val="20"/>
              </w:rPr>
            </w:pPr>
            <w:r>
              <w:rPr>
                <w:sz w:val="20"/>
              </w:rPr>
              <w:t>20.300</w:t>
            </w:r>
          </w:p>
        </w:tc>
      </w:tr>
      <w:tr>
        <w:trPr>
          <w:trHeight w:val="300" w:hRule="exact"/>
        </w:trPr>
        <w:tc>
          <w:tcPr>
            <w:tcW w:w="1146" w:type="dxa"/>
            <w:tcBorders>
              <w:top w:val="nil"/>
              <w:left w:val="nil"/>
              <w:bottom w:val="nil"/>
              <w:right w:val="nil"/>
            </w:tcBorders>
          </w:tcPr>
          <w:p>
            <w:pPr>
              <w:pStyle w:val="TableParagraph"/>
              <w:spacing w:before="24"/>
              <w:ind w:left="86"/>
              <w:jc w:val="left"/>
              <w:rPr>
                <w:sz w:val="20"/>
              </w:rPr>
            </w:pPr>
            <w:r>
              <w:rPr>
                <w:w w:val="100"/>
                <w:sz w:val="20"/>
              </w:rPr>
              <w:t>7</w:t>
            </w:r>
          </w:p>
        </w:tc>
        <w:tc>
          <w:tcPr>
            <w:tcW w:w="1051" w:type="dxa"/>
            <w:tcBorders>
              <w:top w:val="nil"/>
              <w:left w:val="nil"/>
              <w:bottom w:val="nil"/>
              <w:right w:val="nil"/>
            </w:tcBorders>
          </w:tcPr>
          <w:p>
            <w:pPr>
              <w:pStyle w:val="TableParagraph"/>
              <w:spacing w:before="24"/>
              <w:ind w:left="73"/>
              <w:jc w:val="left"/>
              <w:rPr>
                <w:sz w:val="20"/>
              </w:rPr>
            </w:pPr>
            <w:r>
              <w:rPr>
                <w:sz w:val="20"/>
              </w:rPr>
              <w:t>15001</w:t>
            </w:r>
          </w:p>
        </w:tc>
        <w:tc>
          <w:tcPr>
            <w:tcW w:w="991" w:type="dxa"/>
            <w:tcBorders>
              <w:top w:val="nil"/>
              <w:left w:val="nil"/>
              <w:bottom w:val="nil"/>
              <w:right w:val="nil"/>
            </w:tcBorders>
          </w:tcPr>
          <w:p>
            <w:pPr>
              <w:pStyle w:val="TableParagraph"/>
              <w:spacing w:before="24"/>
              <w:ind w:right="65"/>
              <w:rPr>
                <w:sz w:val="20"/>
              </w:rPr>
            </w:pPr>
            <w:r>
              <w:rPr>
                <w:sz w:val="20"/>
              </w:rPr>
              <w:t>20.267</w:t>
            </w:r>
          </w:p>
        </w:tc>
        <w:tc>
          <w:tcPr>
            <w:tcW w:w="992" w:type="dxa"/>
            <w:tcBorders>
              <w:top w:val="nil"/>
              <w:left w:val="nil"/>
              <w:bottom w:val="nil"/>
              <w:right w:val="nil"/>
            </w:tcBorders>
          </w:tcPr>
          <w:p>
            <w:pPr>
              <w:pStyle w:val="TableParagraph"/>
              <w:spacing w:before="24"/>
              <w:ind w:right="82"/>
              <w:rPr>
                <w:sz w:val="20"/>
              </w:rPr>
            </w:pPr>
            <w:r>
              <w:rPr>
                <w:sz w:val="20"/>
              </w:rPr>
              <w:t>21.980</w:t>
            </w:r>
          </w:p>
        </w:tc>
        <w:tc>
          <w:tcPr>
            <w:tcW w:w="1023" w:type="dxa"/>
            <w:tcBorders>
              <w:top w:val="nil"/>
              <w:left w:val="nil"/>
              <w:bottom w:val="nil"/>
              <w:right w:val="nil"/>
            </w:tcBorders>
          </w:tcPr>
          <w:p>
            <w:pPr>
              <w:pStyle w:val="TableParagraph"/>
              <w:spacing w:before="24"/>
              <w:ind w:right="63"/>
              <w:rPr>
                <w:sz w:val="20"/>
              </w:rPr>
            </w:pPr>
            <w:r>
              <w:rPr>
                <w:sz w:val="20"/>
              </w:rPr>
              <w:t>24.091</w:t>
            </w:r>
          </w:p>
        </w:tc>
        <w:tc>
          <w:tcPr>
            <w:tcW w:w="977" w:type="dxa"/>
            <w:tcBorders>
              <w:top w:val="nil"/>
              <w:left w:val="nil"/>
              <w:bottom w:val="nil"/>
              <w:right w:val="nil"/>
            </w:tcBorders>
          </w:tcPr>
          <w:p>
            <w:pPr>
              <w:pStyle w:val="TableParagraph"/>
              <w:spacing w:before="24"/>
              <w:ind w:right="65"/>
              <w:rPr>
                <w:sz w:val="20"/>
              </w:rPr>
            </w:pPr>
            <w:r>
              <w:rPr>
                <w:sz w:val="20"/>
              </w:rPr>
              <w:t>25.730</w:t>
            </w:r>
          </w:p>
        </w:tc>
        <w:tc>
          <w:tcPr>
            <w:tcW w:w="982" w:type="dxa"/>
            <w:tcBorders>
              <w:top w:val="nil"/>
              <w:left w:val="nil"/>
              <w:bottom w:val="nil"/>
              <w:right w:val="nil"/>
            </w:tcBorders>
          </w:tcPr>
          <w:p>
            <w:pPr>
              <w:pStyle w:val="TableParagraph"/>
              <w:spacing w:before="24"/>
              <w:ind w:right="67"/>
              <w:rPr>
                <w:sz w:val="20"/>
              </w:rPr>
            </w:pPr>
            <w:r>
              <w:rPr>
                <w:sz w:val="20"/>
              </w:rPr>
              <w:t>25.168</w:t>
            </w:r>
          </w:p>
        </w:tc>
        <w:tc>
          <w:tcPr>
            <w:tcW w:w="991" w:type="dxa"/>
            <w:tcBorders>
              <w:top w:val="nil"/>
              <w:left w:val="nil"/>
              <w:bottom w:val="nil"/>
              <w:right w:val="nil"/>
            </w:tcBorders>
          </w:tcPr>
          <w:p>
            <w:pPr>
              <w:pStyle w:val="TableParagraph"/>
              <w:spacing w:before="24"/>
              <w:ind w:right="74"/>
              <w:rPr>
                <w:sz w:val="20"/>
              </w:rPr>
            </w:pPr>
            <w:r>
              <w:rPr>
                <w:sz w:val="20"/>
              </w:rPr>
              <w:t>23.237</w:t>
            </w:r>
          </w:p>
        </w:tc>
        <w:tc>
          <w:tcPr>
            <w:tcW w:w="1013" w:type="dxa"/>
            <w:tcBorders>
              <w:top w:val="nil"/>
              <w:left w:val="nil"/>
              <w:bottom w:val="nil"/>
              <w:right w:val="nil"/>
            </w:tcBorders>
          </w:tcPr>
          <w:p>
            <w:pPr>
              <w:pStyle w:val="TableParagraph"/>
              <w:spacing w:before="24"/>
              <w:ind w:right="70"/>
              <w:rPr>
                <w:sz w:val="20"/>
              </w:rPr>
            </w:pPr>
            <w:r>
              <w:rPr>
                <w:sz w:val="20"/>
              </w:rPr>
              <w:t>21.725</w:t>
            </w:r>
          </w:p>
        </w:tc>
        <w:tc>
          <w:tcPr>
            <w:tcW w:w="1018" w:type="dxa"/>
            <w:tcBorders>
              <w:top w:val="nil"/>
              <w:left w:val="nil"/>
              <w:bottom w:val="nil"/>
              <w:right w:val="nil"/>
            </w:tcBorders>
          </w:tcPr>
          <w:p>
            <w:pPr>
              <w:pStyle w:val="TableParagraph"/>
              <w:spacing w:before="24"/>
              <w:ind w:right="89"/>
              <w:rPr>
                <w:sz w:val="20"/>
              </w:rPr>
            </w:pPr>
            <w:r>
              <w:rPr>
                <w:sz w:val="20"/>
              </w:rPr>
              <w:t>21.854</w:t>
            </w:r>
          </w:p>
        </w:tc>
        <w:tc>
          <w:tcPr>
            <w:tcW w:w="1039" w:type="dxa"/>
            <w:tcBorders>
              <w:top w:val="nil"/>
              <w:left w:val="nil"/>
              <w:bottom w:val="nil"/>
              <w:right w:val="nil"/>
            </w:tcBorders>
          </w:tcPr>
          <w:p>
            <w:pPr>
              <w:pStyle w:val="TableParagraph"/>
              <w:spacing w:before="24"/>
              <w:ind w:right="62"/>
              <w:rPr>
                <w:sz w:val="20"/>
              </w:rPr>
            </w:pPr>
            <w:r>
              <w:rPr>
                <w:sz w:val="20"/>
              </w:rPr>
              <w:t>21.539</w:t>
            </w:r>
          </w:p>
        </w:tc>
        <w:tc>
          <w:tcPr>
            <w:tcW w:w="1073" w:type="dxa"/>
            <w:tcBorders>
              <w:top w:val="nil"/>
              <w:left w:val="nil"/>
              <w:bottom w:val="nil"/>
              <w:right w:val="nil"/>
            </w:tcBorders>
          </w:tcPr>
          <w:p>
            <w:pPr>
              <w:pStyle w:val="TableParagraph"/>
              <w:spacing w:before="24"/>
              <w:ind w:right="65"/>
              <w:rPr>
                <w:sz w:val="20"/>
              </w:rPr>
            </w:pPr>
            <w:r>
              <w:rPr>
                <w:sz w:val="20"/>
              </w:rPr>
              <w:t>21.143</w:t>
            </w:r>
          </w:p>
        </w:tc>
        <w:tc>
          <w:tcPr>
            <w:tcW w:w="1076" w:type="dxa"/>
            <w:tcBorders>
              <w:top w:val="nil"/>
              <w:left w:val="nil"/>
              <w:bottom w:val="nil"/>
              <w:right w:val="nil"/>
            </w:tcBorders>
          </w:tcPr>
          <w:p>
            <w:pPr>
              <w:pStyle w:val="TableParagraph"/>
              <w:spacing w:before="24"/>
              <w:ind w:right="65"/>
              <w:rPr>
                <w:sz w:val="20"/>
              </w:rPr>
            </w:pPr>
            <w:r>
              <w:rPr>
                <w:sz w:val="20"/>
              </w:rPr>
              <w:t>21.119</w:t>
            </w:r>
          </w:p>
        </w:tc>
        <w:tc>
          <w:tcPr>
            <w:tcW w:w="1071" w:type="dxa"/>
            <w:tcBorders>
              <w:top w:val="nil"/>
              <w:left w:val="nil"/>
              <w:bottom w:val="nil"/>
              <w:right w:val="nil"/>
            </w:tcBorders>
          </w:tcPr>
          <w:p>
            <w:pPr>
              <w:pStyle w:val="TableParagraph"/>
              <w:spacing w:before="24"/>
              <w:ind w:right="60"/>
              <w:rPr>
                <w:sz w:val="20"/>
              </w:rPr>
            </w:pPr>
            <w:r>
              <w:rPr>
                <w:sz w:val="20"/>
              </w:rPr>
              <w:t>20.300</w:t>
            </w:r>
          </w:p>
        </w:tc>
      </w:tr>
      <w:tr>
        <w:trPr>
          <w:trHeight w:val="300" w:hRule="exact"/>
        </w:trPr>
        <w:tc>
          <w:tcPr>
            <w:tcW w:w="1146" w:type="dxa"/>
            <w:tcBorders>
              <w:top w:val="nil"/>
              <w:left w:val="nil"/>
              <w:bottom w:val="nil"/>
              <w:right w:val="nil"/>
            </w:tcBorders>
          </w:tcPr>
          <w:p>
            <w:pPr>
              <w:pStyle w:val="TableParagraph"/>
              <w:spacing w:before="26"/>
              <w:ind w:left="86"/>
              <w:jc w:val="left"/>
              <w:rPr>
                <w:sz w:val="20"/>
              </w:rPr>
            </w:pPr>
            <w:r>
              <w:rPr>
                <w:w w:val="100"/>
                <w:sz w:val="20"/>
              </w:rPr>
              <w:t>8</w:t>
            </w:r>
          </w:p>
        </w:tc>
        <w:tc>
          <w:tcPr>
            <w:tcW w:w="1051" w:type="dxa"/>
            <w:tcBorders>
              <w:top w:val="nil"/>
              <w:left w:val="nil"/>
              <w:bottom w:val="nil"/>
              <w:right w:val="nil"/>
            </w:tcBorders>
          </w:tcPr>
          <w:p>
            <w:pPr>
              <w:pStyle w:val="TableParagraph"/>
              <w:spacing w:before="26"/>
              <w:ind w:left="73"/>
              <w:jc w:val="left"/>
              <w:rPr>
                <w:sz w:val="20"/>
              </w:rPr>
            </w:pPr>
            <w:r>
              <w:rPr>
                <w:sz w:val="20"/>
              </w:rPr>
              <w:t>15001</w:t>
            </w:r>
          </w:p>
        </w:tc>
        <w:tc>
          <w:tcPr>
            <w:tcW w:w="991" w:type="dxa"/>
            <w:tcBorders>
              <w:top w:val="nil"/>
              <w:left w:val="nil"/>
              <w:bottom w:val="nil"/>
              <w:right w:val="nil"/>
            </w:tcBorders>
          </w:tcPr>
          <w:p>
            <w:pPr>
              <w:pStyle w:val="TableParagraph"/>
              <w:spacing w:before="26"/>
              <w:ind w:right="65"/>
              <w:rPr>
                <w:sz w:val="20"/>
              </w:rPr>
            </w:pPr>
            <w:r>
              <w:rPr>
                <w:sz w:val="20"/>
              </w:rPr>
              <w:t>20.267</w:t>
            </w:r>
          </w:p>
        </w:tc>
        <w:tc>
          <w:tcPr>
            <w:tcW w:w="992" w:type="dxa"/>
            <w:tcBorders>
              <w:top w:val="nil"/>
              <w:left w:val="nil"/>
              <w:bottom w:val="nil"/>
              <w:right w:val="nil"/>
            </w:tcBorders>
          </w:tcPr>
          <w:p>
            <w:pPr>
              <w:pStyle w:val="TableParagraph"/>
              <w:spacing w:before="26"/>
              <w:ind w:right="82"/>
              <w:rPr>
                <w:sz w:val="20"/>
              </w:rPr>
            </w:pPr>
            <w:r>
              <w:rPr>
                <w:sz w:val="20"/>
              </w:rPr>
              <w:t>21.980</w:t>
            </w:r>
          </w:p>
        </w:tc>
        <w:tc>
          <w:tcPr>
            <w:tcW w:w="1023" w:type="dxa"/>
            <w:tcBorders>
              <w:top w:val="nil"/>
              <w:left w:val="nil"/>
              <w:bottom w:val="nil"/>
              <w:right w:val="nil"/>
            </w:tcBorders>
          </w:tcPr>
          <w:p>
            <w:pPr>
              <w:pStyle w:val="TableParagraph"/>
              <w:spacing w:before="26"/>
              <w:ind w:right="63"/>
              <w:rPr>
                <w:sz w:val="20"/>
              </w:rPr>
            </w:pPr>
            <w:r>
              <w:rPr>
                <w:sz w:val="20"/>
              </w:rPr>
              <w:t>24.091</w:t>
            </w:r>
          </w:p>
        </w:tc>
        <w:tc>
          <w:tcPr>
            <w:tcW w:w="977" w:type="dxa"/>
            <w:tcBorders>
              <w:top w:val="nil"/>
              <w:left w:val="nil"/>
              <w:bottom w:val="nil"/>
              <w:right w:val="nil"/>
            </w:tcBorders>
          </w:tcPr>
          <w:p>
            <w:pPr>
              <w:pStyle w:val="TableParagraph"/>
              <w:spacing w:before="26"/>
              <w:ind w:right="65"/>
              <w:rPr>
                <w:sz w:val="20"/>
              </w:rPr>
            </w:pPr>
            <w:r>
              <w:rPr>
                <w:sz w:val="20"/>
              </w:rPr>
              <w:t>25.730</w:t>
            </w:r>
          </w:p>
        </w:tc>
        <w:tc>
          <w:tcPr>
            <w:tcW w:w="982" w:type="dxa"/>
            <w:tcBorders>
              <w:top w:val="nil"/>
              <w:left w:val="nil"/>
              <w:bottom w:val="nil"/>
              <w:right w:val="nil"/>
            </w:tcBorders>
          </w:tcPr>
          <w:p>
            <w:pPr>
              <w:pStyle w:val="TableParagraph"/>
              <w:spacing w:before="26"/>
              <w:ind w:right="67"/>
              <w:rPr>
                <w:sz w:val="20"/>
              </w:rPr>
            </w:pPr>
            <w:r>
              <w:rPr>
                <w:sz w:val="20"/>
              </w:rPr>
              <w:t>25.168</w:t>
            </w:r>
          </w:p>
        </w:tc>
        <w:tc>
          <w:tcPr>
            <w:tcW w:w="991" w:type="dxa"/>
            <w:tcBorders>
              <w:top w:val="nil"/>
              <w:left w:val="nil"/>
              <w:bottom w:val="nil"/>
              <w:right w:val="nil"/>
            </w:tcBorders>
          </w:tcPr>
          <w:p>
            <w:pPr>
              <w:pStyle w:val="TableParagraph"/>
              <w:spacing w:before="26"/>
              <w:ind w:right="74"/>
              <w:rPr>
                <w:sz w:val="20"/>
              </w:rPr>
            </w:pPr>
            <w:r>
              <w:rPr>
                <w:sz w:val="20"/>
              </w:rPr>
              <w:t>23.237</w:t>
            </w:r>
          </w:p>
        </w:tc>
        <w:tc>
          <w:tcPr>
            <w:tcW w:w="1013" w:type="dxa"/>
            <w:tcBorders>
              <w:top w:val="nil"/>
              <w:left w:val="nil"/>
              <w:bottom w:val="nil"/>
              <w:right w:val="nil"/>
            </w:tcBorders>
          </w:tcPr>
          <w:p>
            <w:pPr>
              <w:pStyle w:val="TableParagraph"/>
              <w:spacing w:before="26"/>
              <w:ind w:right="70"/>
              <w:rPr>
                <w:sz w:val="20"/>
              </w:rPr>
            </w:pPr>
            <w:r>
              <w:rPr>
                <w:sz w:val="20"/>
              </w:rPr>
              <w:t>21.725</w:t>
            </w:r>
          </w:p>
        </w:tc>
        <w:tc>
          <w:tcPr>
            <w:tcW w:w="1018" w:type="dxa"/>
            <w:tcBorders>
              <w:top w:val="nil"/>
              <w:left w:val="nil"/>
              <w:bottom w:val="nil"/>
              <w:right w:val="nil"/>
            </w:tcBorders>
          </w:tcPr>
          <w:p>
            <w:pPr>
              <w:pStyle w:val="TableParagraph"/>
              <w:spacing w:before="26"/>
              <w:ind w:right="89"/>
              <w:rPr>
                <w:sz w:val="20"/>
              </w:rPr>
            </w:pPr>
            <w:r>
              <w:rPr>
                <w:sz w:val="20"/>
              </w:rPr>
              <w:t>21.854</w:t>
            </w:r>
          </w:p>
        </w:tc>
        <w:tc>
          <w:tcPr>
            <w:tcW w:w="1039" w:type="dxa"/>
            <w:tcBorders>
              <w:top w:val="nil"/>
              <w:left w:val="nil"/>
              <w:bottom w:val="nil"/>
              <w:right w:val="nil"/>
            </w:tcBorders>
          </w:tcPr>
          <w:p>
            <w:pPr>
              <w:pStyle w:val="TableParagraph"/>
              <w:spacing w:before="26"/>
              <w:ind w:right="62"/>
              <w:rPr>
                <w:sz w:val="20"/>
              </w:rPr>
            </w:pPr>
            <w:r>
              <w:rPr>
                <w:sz w:val="20"/>
              </w:rPr>
              <w:t>21.539</w:t>
            </w:r>
          </w:p>
        </w:tc>
        <w:tc>
          <w:tcPr>
            <w:tcW w:w="1073" w:type="dxa"/>
            <w:tcBorders>
              <w:top w:val="nil"/>
              <w:left w:val="nil"/>
              <w:bottom w:val="nil"/>
              <w:right w:val="nil"/>
            </w:tcBorders>
          </w:tcPr>
          <w:p>
            <w:pPr>
              <w:pStyle w:val="TableParagraph"/>
              <w:spacing w:before="26"/>
              <w:ind w:right="65"/>
              <w:rPr>
                <w:sz w:val="20"/>
              </w:rPr>
            </w:pPr>
            <w:r>
              <w:rPr>
                <w:sz w:val="20"/>
              </w:rPr>
              <w:t>21.143</w:t>
            </w:r>
          </w:p>
        </w:tc>
        <w:tc>
          <w:tcPr>
            <w:tcW w:w="1076" w:type="dxa"/>
            <w:tcBorders>
              <w:top w:val="nil"/>
              <w:left w:val="nil"/>
              <w:bottom w:val="nil"/>
              <w:right w:val="nil"/>
            </w:tcBorders>
          </w:tcPr>
          <w:p>
            <w:pPr>
              <w:pStyle w:val="TableParagraph"/>
              <w:spacing w:before="26"/>
              <w:ind w:right="65"/>
              <w:rPr>
                <w:sz w:val="20"/>
              </w:rPr>
            </w:pPr>
            <w:r>
              <w:rPr>
                <w:sz w:val="20"/>
              </w:rPr>
              <w:t>21.119</w:t>
            </w:r>
          </w:p>
        </w:tc>
        <w:tc>
          <w:tcPr>
            <w:tcW w:w="1071" w:type="dxa"/>
            <w:tcBorders>
              <w:top w:val="nil"/>
              <w:left w:val="nil"/>
              <w:bottom w:val="nil"/>
              <w:right w:val="nil"/>
            </w:tcBorders>
          </w:tcPr>
          <w:p>
            <w:pPr>
              <w:pStyle w:val="TableParagraph"/>
              <w:spacing w:before="26"/>
              <w:ind w:right="60"/>
              <w:rPr>
                <w:sz w:val="20"/>
              </w:rPr>
            </w:pPr>
            <w:r>
              <w:rPr>
                <w:sz w:val="20"/>
              </w:rPr>
              <w:t>20.300</w:t>
            </w:r>
          </w:p>
        </w:tc>
      </w:tr>
      <w:tr>
        <w:trPr>
          <w:trHeight w:val="300" w:hRule="exact"/>
        </w:trPr>
        <w:tc>
          <w:tcPr>
            <w:tcW w:w="1146" w:type="dxa"/>
            <w:tcBorders>
              <w:top w:val="nil"/>
              <w:left w:val="nil"/>
              <w:bottom w:val="nil"/>
              <w:right w:val="nil"/>
            </w:tcBorders>
          </w:tcPr>
          <w:p>
            <w:pPr>
              <w:pStyle w:val="TableParagraph"/>
              <w:ind w:left="86"/>
              <w:jc w:val="left"/>
              <w:rPr>
                <w:sz w:val="20"/>
              </w:rPr>
            </w:pPr>
            <w:r>
              <w:rPr>
                <w:w w:val="100"/>
                <w:sz w:val="20"/>
              </w:rPr>
              <w:t>9</w:t>
            </w:r>
          </w:p>
        </w:tc>
        <w:tc>
          <w:tcPr>
            <w:tcW w:w="1051" w:type="dxa"/>
            <w:tcBorders>
              <w:top w:val="nil"/>
              <w:left w:val="nil"/>
              <w:bottom w:val="nil"/>
              <w:right w:val="nil"/>
            </w:tcBorders>
          </w:tcPr>
          <w:p>
            <w:pPr>
              <w:pStyle w:val="TableParagraph"/>
              <w:ind w:left="73"/>
              <w:jc w:val="left"/>
              <w:rPr>
                <w:sz w:val="20"/>
              </w:rPr>
            </w:pPr>
            <w:r>
              <w:rPr>
                <w:sz w:val="20"/>
              </w:rPr>
              <w:t>15001</w:t>
            </w:r>
          </w:p>
        </w:tc>
        <w:tc>
          <w:tcPr>
            <w:tcW w:w="991" w:type="dxa"/>
            <w:tcBorders>
              <w:top w:val="nil"/>
              <w:left w:val="nil"/>
              <w:bottom w:val="nil"/>
              <w:right w:val="nil"/>
            </w:tcBorders>
          </w:tcPr>
          <w:p>
            <w:pPr>
              <w:pStyle w:val="TableParagraph"/>
              <w:ind w:right="65"/>
              <w:rPr>
                <w:sz w:val="20"/>
              </w:rPr>
            </w:pPr>
            <w:r>
              <w:rPr>
                <w:sz w:val="20"/>
              </w:rPr>
              <w:t>20.267</w:t>
            </w:r>
          </w:p>
        </w:tc>
        <w:tc>
          <w:tcPr>
            <w:tcW w:w="992" w:type="dxa"/>
            <w:tcBorders>
              <w:top w:val="nil"/>
              <w:left w:val="nil"/>
              <w:bottom w:val="nil"/>
              <w:right w:val="nil"/>
            </w:tcBorders>
          </w:tcPr>
          <w:p>
            <w:pPr>
              <w:pStyle w:val="TableParagraph"/>
              <w:ind w:right="82"/>
              <w:rPr>
                <w:sz w:val="20"/>
              </w:rPr>
            </w:pPr>
            <w:r>
              <w:rPr>
                <w:sz w:val="20"/>
              </w:rPr>
              <w:t>21.980</w:t>
            </w:r>
          </w:p>
        </w:tc>
        <w:tc>
          <w:tcPr>
            <w:tcW w:w="1023" w:type="dxa"/>
            <w:tcBorders>
              <w:top w:val="nil"/>
              <w:left w:val="nil"/>
              <w:bottom w:val="nil"/>
              <w:right w:val="nil"/>
            </w:tcBorders>
          </w:tcPr>
          <w:p>
            <w:pPr>
              <w:pStyle w:val="TableParagraph"/>
              <w:ind w:right="63"/>
              <w:rPr>
                <w:sz w:val="20"/>
              </w:rPr>
            </w:pPr>
            <w:r>
              <w:rPr>
                <w:sz w:val="20"/>
              </w:rPr>
              <w:t>24.091</w:t>
            </w:r>
          </w:p>
        </w:tc>
        <w:tc>
          <w:tcPr>
            <w:tcW w:w="977" w:type="dxa"/>
            <w:tcBorders>
              <w:top w:val="nil"/>
              <w:left w:val="nil"/>
              <w:bottom w:val="nil"/>
              <w:right w:val="nil"/>
            </w:tcBorders>
          </w:tcPr>
          <w:p>
            <w:pPr>
              <w:pStyle w:val="TableParagraph"/>
              <w:ind w:right="65"/>
              <w:rPr>
                <w:sz w:val="20"/>
              </w:rPr>
            </w:pPr>
            <w:r>
              <w:rPr>
                <w:sz w:val="20"/>
              </w:rPr>
              <w:t>25.730</w:t>
            </w:r>
          </w:p>
        </w:tc>
        <w:tc>
          <w:tcPr>
            <w:tcW w:w="982" w:type="dxa"/>
            <w:tcBorders>
              <w:top w:val="nil"/>
              <w:left w:val="nil"/>
              <w:bottom w:val="nil"/>
              <w:right w:val="nil"/>
            </w:tcBorders>
          </w:tcPr>
          <w:p>
            <w:pPr>
              <w:pStyle w:val="TableParagraph"/>
              <w:ind w:right="67"/>
              <w:rPr>
                <w:sz w:val="20"/>
              </w:rPr>
            </w:pPr>
            <w:r>
              <w:rPr>
                <w:sz w:val="20"/>
              </w:rPr>
              <w:t>25.168</w:t>
            </w:r>
          </w:p>
        </w:tc>
        <w:tc>
          <w:tcPr>
            <w:tcW w:w="991" w:type="dxa"/>
            <w:tcBorders>
              <w:top w:val="nil"/>
              <w:left w:val="nil"/>
              <w:bottom w:val="nil"/>
              <w:right w:val="nil"/>
            </w:tcBorders>
          </w:tcPr>
          <w:p>
            <w:pPr>
              <w:pStyle w:val="TableParagraph"/>
              <w:ind w:right="74"/>
              <w:rPr>
                <w:sz w:val="20"/>
              </w:rPr>
            </w:pPr>
            <w:r>
              <w:rPr>
                <w:sz w:val="20"/>
              </w:rPr>
              <w:t>23.237</w:t>
            </w:r>
          </w:p>
        </w:tc>
        <w:tc>
          <w:tcPr>
            <w:tcW w:w="1013" w:type="dxa"/>
            <w:tcBorders>
              <w:top w:val="nil"/>
              <w:left w:val="nil"/>
              <w:bottom w:val="nil"/>
              <w:right w:val="nil"/>
            </w:tcBorders>
          </w:tcPr>
          <w:p>
            <w:pPr>
              <w:pStyle w:val="TableParagraph"/>
              <w:ind w:right="70"/>
              <w:rPr>
                <w:sz w:val="20"/>
              </w:rPr>
            </w:pPr>
            <w:r>
              <w:rPr>
                <w:sz w:val="20"/>
              </w:rPr>
              <w:t>21.725</w:t>
            </w:r>
          </w:p>
        </w:tc>
        <w:tc>
          <w:tcPr>
            <w:tcW w:w="1018" w:type="dxa"/>
            <w:tcBorders>
              <w:top w:val="nil"/>
              <w:left w:val="nil"/>
              <w:bottom w:val="nil"/>
              <w:right w:val="nil"/>
            </w:tcBorders>
          </w:tcPr>
          <w:p>
            <w:pPr>
              <w:pStyle w:val="TableParagraph"/>
              <w:ind w:right="89"/>
              <w:rPr>
                <w:sz w:val="20"/>
              </w:rPr>
            </w:pPr>
            <w:r>
              <w:rPr>
                <w:sz w:val="20"/>
              </w:rPr>
              <w:t>21.854</w:t>
            </w:r>
          </w:p>
        </w:tc>
        <w:tc>
          <w:tcPr>
            <w:tcW w:w="1039" w:type="dxa"/>
            <w:tcBorders>
              <w:top w:val="nil"/>
              <w:left w:val="nil"/>
              <w:bottom w:val="nil"/>
              <w:right w:val="nil"/>
            </w:tcBorders>
          </w:tcPr>
          <w:p>
            <w:pPr>
              <w:pStyle w:val="TableParagraph"/>
              <w:ind w:right="62"/>
              <w:rPr>
                <w:sz w:val="20"/>
              </w:rPr>
            </w:pPr>
            <w:r>
              <w:rPr>
                <w:sz w:val="20"/>
              </w:rPr>
              <w:t>21.539</w:t>
            </w:r>
          </w:p>
        </w:tc>
        <w:tc>
          <w:tcPr>
            <w:tcW w:w="1073" w:type="dxa"/>
            <w:tcBorders>
              <w:top w:val="nil"/>
              <w:left w:val="nil"/>
              <w:bottom w:val="nil"/>
              <w:right w:val="nil"/>
            </w:tcBorders>
          </w:tcPr>
          <w:p>
            <w:pPr>
              <w:pStyle w:val="TableParagraph"/>
              <w:ind w:right="65"/>
              <w:rPr>
                <w:sz w:val="20"/>
              </w:rPr>
            </w:pPr>
            <w:r>
              <w:rPr>
                <w:sz w:val="20"/>
              </w:rPr>
              <w:t>21.143</w:t>
            </w:r>
          </w:p>
        </w:tc>
        <w:tc>
          <w:tcPr>
            <w:tcW w:w="1076" w:type="dxa"/>
            <w:tcBorders>
              <w:top w:val="nil"/>
              <w:left w:val="nil"/>
              <w:bottom w:val="nil"/>
              <w:right w:val="nil"/>
            </w:tcBorders>
          </w:tcPr>
          <w:p>
            <w:pPr>
              <w:pStyle w:val="TableParagraph"/>
              <w:ind w:right="65"/>
              <w:rPr>
                <w:sz w:val="20"/>
              </w:rPr>
            </w:pPr>
            <w:r>
              <w:rPr>
                <w:sz w:val="20"/>
              </w:rPr>
              <w:t>21.119</w:t>
            </w:r>
          </w:p>
        </w:tc>
        <w:tc>
          <w:tcPr>
            <w:tcW w:w="1071" w:type="dxa"/>
            <w:tcBorders>
              <w:top w:val="nil"/>
              <w:left w:val="nil"/>
              <w:bottom w:val="nil"/>
              <w:right w:val="nil"/>
            </w:tcBorders>
          </w:tcPr>
          <w:p>
            <w:pPr>
              <w:pStyle w:val="TableParagraph"/>
              <w:ind w:right="60"/>
              <w:rPr>
                <w:sz w:val="20"/>
              </w:rPr>
            </w:pPr>
            <w:r>
              <w:rPr>
                <w:sz w:val="20"/>
              </w:rPr>
              <w:t>20.300</w:t>
            </w:r>
          </w:p>
        </w:tc>
      </w:tr>
      <w:tr>
        <w:trPr>
          <w:trHeight w:val="300" w:hRule="exact"/>
        </w:trPr>
        <w:tc>
          <w:tcPr>
            <w:tcW w:w="1146" w:type="dxa"/>
            <w:tcBorders>
              <w:top w:val="nil"/>
              <w:left w:val="nil"/>
              <w:bottom w:val="nil"/>
              <w:right w:val="nil"/>
            </w:tcBorders>
          </w:tcPr>
          <w:p>
            <w:pPr>
              <w:pStyle w:val="TableParagraph"/>
              <w:spacing w:before="26"/>
              <w:ind w:left="86"/>
              <w:jc w:val="left"/>
              <w:rPr>
                <w:sz w:val="20"/>
              </w:rPr>
            </w:pPr>
            <w:r>
              <w:rPr>
                <w:sz w:val="20"/>
              </w:rPr>
              <w:t>10</w:t>
            </w:r>
          </w:p>
        </w:tc>
        <w:tc>
          <w:tcPr>
            <w:tcW w:w="1051" w:type="dxa"/>
            <w:tcBorders>
              <w:top w:val="nil"/>
              <w:left w:val="nil"/>
              <w:bottom w:val="nil"/>
              <w:right w:val="nil"/>
            </w:tcBorders>
          </w:tcPr>
          <w:p>
            <w:pPr>
              <w:pStyle w:val="TableParagraph"/>
              <w:spacing w:before="26"/>
              <w:ind w:left="73"/>
              <w:jc w:val="left"/>
              <w:rPr>
                <w:sz w:val="20"/>
              </w:rPr>
            </w:pPr>
            <w:r>
              <w:rPr>
                <w:sz w:val="20"/>
              </w:rPr>
              <w:t>15001</w:t>
            </w:r>
          </w:p>
        </w:tc>
        <w:tc>
          <w:tcPr>
            <w:tcW w:w="991" w:type="dxa"/>
            <w:tcBorders>
              <w:top w:val="nil"/>
              <w:left w:val="nil"/>
              <w:bottom w:val="nil"/>
              <w:right w:val="nil"/>
            </w:tcBorders>
          </w:tcPr>
          <w:p>
            <w:pPr>
              <w:pStyle w:val="TableParagraph"/>
              <w:spacing w:before="26"/>
              <w:ind w:right="65"/>
              <w:rPr>
                <w:sz w:val="20"/>
              </w:rPr>
            </w:pPr>
            <w:r>
              <w:rPr>
                <w:sz w:val="20"/>
              </w:rPr>
              <w:t>20.267</w:t>
            </w:r>
          </w:p>
        </w:tc>
        <w:tc>
          <w:tcPr>
            <w:tcW w:w="992" w:type="dxa"/>
            <w:tcBorders>
              <w:top w:val="nil"/>
              <w:left w:val="nil"/>
              <w:bottom w:val="nil"/>
              <w:right w:val="nil"/>
            </w:tcBorders>
          </w:tcPr>
          <w:p>
            <w:pPr>
              <w:pStyle w:val="TableParagraph"/>
              <w:spacing w:before="26"/>
              <w:ind w:right="82"/>
              <w:rPr>
                <w:sz w:val="20"/>
              </w:rPr>
            </w:pPr>
            <w:r>
              <w:rPr>
                <w:sz w:val="20"/>
              </w:rPr>
              <w:t>21.980</w:t>
            </w:r>
          </w:p>
        </w:tc>
        <w:tc>
          <w:tcPr>
            <w:tcW w:w="1023" w:type="dxa"/>
            <w:tcBorders>
              <w:top w:val="nil"/>
              <w:left w:val="nil"/>
              <w:bottom w:val="nil"/>
              <w:right w:val="nil"/>
            </w:tcBorders>
          </w:tcPr>
          <w:p>
            <w:pPr>
              <w:pStyle w:val="TableParagraph"/>
              <w:spacing w:before="26"/>
              <w:ind w:right="63"/>
              <w:rPr>
                <w:sz w:val="20"/>
              </w:rPr>
            </w:pPr>
            <w:r>
              <w:rPr>
                <w:sz w:val="20"/>
              </w:rPr>
              <w:t>24.091</w:t>
            </w:r>
          </w:p>
        </w:tc>
        <w:tc>
          <w:tcPr>
            <w:tcW w:w="977" w:type="dxa"/>
            <w:tcBorders>
              <w:top w:val="nil"/>
              <w:left w:val="nil"/>
              <w:bottom w:val="nil"/>
              <w:right w:val="nil"/>
            </w:tcBorders>
          </w:tcPr>
          <w:p>
            <w:pPr>
              <w:pStyle w:val="TableParagraph"/>
              <w:spacing w:before="26"/>
              <w:ind w:right="65"/>
              <w:rPr>
                <w:sz w:val="20"/>
              </w:rPr>
            </w:pPr>
            <w:r>
              <w:rPr>
                <w:sz w:val="20"/>
              </w:rPr>
              <w:t>25.730</w:t>
            </w:r>
          </w:p>
        </w:tc>
        <w:tc>
          <w:tcPr>
            <w:tcW w:w="982" w:type="dxa"/>
            <w:tcBorders>
              <w:top w:val="nil"/>
              <w:left w:val="nil"/>
              <w:bottom w:val="nil"/>
              <w:right w:val="nil"/>
            </w:tcBorders>
          </w:tcPr>
          <w:p>
            <w:pPr>
              <w:pStyle w:val="TableParagraph"/>
              <w:spacing w:before="26"/>
              <w:ind w:right="67"/>
              <w:rPr>
                <w:sz w:val="20"/>
              </w:rPr>
            </w:pPr>
            <w:r>
              <w:rPr>
                <w:sz w:val="20"/>
              </w:rPr>
              <w:t>25.168</w:t>
            </w:r>
          </w:p>
        </w:tc>
        <w:tc>
          <w:tcPr>
            <w:tcW w:w="991" w:type="dxa"/>
            <w:tcBorders>
              <w:top w:val="nil"/>
              <w:left w:val="nil"/>
              <w:bottom w:val="nil"/>
              <w:right w:val="nil"/>
            </w:tcBorders>
          </w:tcPr>
          <w:p>
            <w:pPr>
              <w:pStyle w:val="TableParagraph"/>
              <w:spacing w:before="26"/>
              <w:ind w:right="74"/>
              <w:rPr>
                <w:sz w:val="20"/>
              </w:rPr>
            </w:pPr>
            <w:r>
              <w:rPr>
                <w:sz w:val="20"/>
              </w:rPr>
              <w:t>23.237</w:t>
            </w:r>
          </w:p>
        </w:tc>
        <w:tc>
          <w:tcPr>
            <w:tcW w:w="1013" w:type="dxa"/>
            <w:tcBorders>
              <w:top w:val="nil"/>
              <w:left w:val="nil"/>
              <w:bottom w:val="nil"/>
              <w:right w:val="nil"/>
            </w:tcBorders>
          </w:tcPr>
          <w:p>
            <w:pPr>
              <w:pStyle w:val="TableParagraph"/>
              <w:spacing w:before="26"/>
              <w:ind w:right="70"/>
              <w:rPr>
                <w:sz w:val="20"/>
              </w:rPr>
            </w:pPr>
            <w:r>
              <w:rPr>
                <w:sz w:val="20"/>
              </w:rPr>
              <w:t>21.725</w:t>
            </w:r>
          </w:p>
        </w:tc>
        <w:tc>
          <w:tcPr>
            <w:tcW w:w="1018" w:type="dxa"/>
            <w:tcBorders>
              <w:top w:val="nil"/>
              <w:left w:val="nil"/>
              <w:bottom w:val="nil"/>
              <w:right w:val="nil"/>
            </w:tcBorders>
          </w:tcPr>
          <w:p>
            <w:pPr>
              <w:pStyle w:val="TableParagraph"/>
              <w:spacing w:before="26"/>
              <w:ind w:right="89"/>
              <w:rPr>
                <w:sz w:val="20"/>
              </w:rPr>
            </w:pPr>
            <w:r>
              <w:rPr>
                <w:sz w:val="20"/>
              </w:rPr>
              <w:t>21.854</w:t>
            </w:r>
          </w:p>
        </w:tc>
        <w:tc>
          <w:tcPr>
            <w:tcW w:w="1039" w:type="dxa"/>
            <w:tcBorders>
              <w:top w:val="nil"/>
              <w:left w:val="nil"/>
              <w:bottom w:val="nil"/>
              <w:right w:val="nil"/>
            </w:tcBorders>
          </w:tcPr>
          <w:p>
            <w:pPr>
              <w:pStyle w:val="TableParagraph"/>
              <w:spacing w:before="26"/>
              <w:ind w:right="62"/>
              <w:rPr>
                <w:sz w:val="20"/>
              </w:rPr>
            </w:pPr>
            <w:r>
              <w:rPr>
                <w:sz w:val="20"/>
              </w:rPr>
              <w:t>21.539</w:t>
            </w:r>
          </w:p>
        </w:tc>
        <w:tc>
          <w:tcPr>
            <w:tcW w:w="1073" w:type="dxa"/>
            <w:tcBorders>
              <w:top w:val="nil"/>
              <w:left w:val="nil"/>
              <w:bottom w:val="nil"/>
              <w:right w:val="nil"/>
            </w:tcBorders>
          </w:tcPr>
          <w:p>
            <w:pPr>
              <w:pStyle w:val="TableParagraph"/>
              <w:spacing w:before="26"/>
              <w:ind w:right="65"/>
              <w:rPr>
                <w:sz w:val="20"/>
              </w:rPr>
            </w:pPr>
            <w:r>
              <w:rPr>
                <w:sz w:val="20"/>
              </w:rPr>
              <w:t>21.143</w:t>
            </w:r>
          </w:p>
        </w:tc>
        <w:tc>
          <w:tcPr>
            <w:tcW w:w="1076" w:type="dxa"/>
            <w:tcBorders>
              <w:top w:val="nil"/>
              <w:left w:val="nil"/>
              <w:bottom w:val="nil"/>
              <w:right w:val="nil"/>
            </w:tcBorders>
          </w:tcPr>
          <w:p>
            <w:pPr>
              <w:pStyle w:val="TableParagraph"/>
              <w:spacing w:before="26"/>
              <w:ind w:right="65"/>
              <w:rPr>
                <w:sz w:val="20"/>
              </w:rPr>
            </w:pPr>
            <w:r>
              <w:rPr>
                <w:sz w:val="20"/>
              </w:rPr>
              <w:t>21.119</w:t>
            </w:r>
          </w:p>
        </w:tc>
        <w:tc>
          <w:tcPr>
            <w:tcW w:w="1071" w:type="dxa"/>
            <w:tcBorders>
              <w:top w:val="nil"/>
              <w:left w:val="nil"/>
              <w:bottom w:val="nil"/>
              <w:right w:val="nil"/>
            </w:tcBorders>
          </w:tcPr>
          <w:p>
            <w:pPr>
              <w:pStyle w:val="TableParagraph"/>
              <w:spacing w:before="26"/>
              <w:ind w:right="60"/>
              <w:rPr>
                <w:sz w:val="20"/>
              </w:rPr>
            </w:pPr>
            <w:r>
              <w:rPr>
                <w:sz w:val="20"/>
              </w:rPr>
              <w:t>20.300</w:t>
            </w:r>
          </w:p>
        </w:tc>
      </w:tr>
      <w:tr>
        <w:trPr>
          <w:trHeight w:val="300" w:hRule="exact"/>
        </w:trPr>
        <w:tc>
          <w:tcPr>
            <w:tcW w:w="1146" w:type="dxa"/>
            <w:tcBorders>
              <w:top w:val="nil"/>
              <w:left w:val="nil"/>
              <w:bottom w:val="nil"/>
              <w:right w:val="nil"/>
            </w:tcBorders>
          </w:tcPr>
          <w:p>
            <w:pPr>
              <w:pStyle w:val="TableParagraph"/>
              <w:ind w:left="86"/>
              <w:jc w:val="left"/>
              <w:rPr>
                <w:sz w:val="20"/>
              </w:rPr>
            </w:pPr>
            <w:r>
              <w:rPr>
                <w:sz w:val="20"/>
              </w:rPr>
              <w:t>11</w:t>
            </w:r>
          </w:p>
        </w:tc>
        <w:tc>
          <w:tcPr>
            <w:tcW w:w="1051" w:type="dxa"/>
            <w:tcBorders>
              <w:top w:val="nil"/>
              <w:left w:val="nil"/>
              <w:bottom w:val="nil"/>
              <w:right w:val="nil"/>
            </w:tcBorders>
          </w:tcPr>
          <w:p>
            <w:pPr>
              <w:pStyle w:val="TableParagraph"/>
              <w:ind w:left="73"/>
              <w:jc w:val="left"/>
              <w:rPr>
                <w:sz w:val="20"/>
              </w:rPr>
            </w:pPr>
            <w:r>
              <w:rPr>
                <w:sz w:val="20"/>
              </w:rPr>
              <w:t>15001</w:t>
            </w:r>
          </w:p>
        </w:tc>
        <w:tc>
          <w:tcPr>
            <w:tcW w:w="991" w:type="dxa"/>
            <w:tcBorders>
              <w:top w:val="nil"/>
              <w:left w:val="nil"/>
              <w:bottom w:val="nil"/>
              <w:right w:val="nil"/>
            </w:tcBorders>
          </w:tcPr>
          <w:p>
            <w:pPr>
              <w:pStyle w:val="TableParagraph"/>
              <w:ind w:right="65"/>
              <w:rPr>
                <w:sz w:val="20"/>
              </w:rPr>
            </w:pPr>
            <w:r>
              <w:rPr>
                <w:sz w:val="20"/>
              </w:rPr>
              <w:t>20.267</w:t>
            </w:r>
          </w:p>
        </w:tc>
        <w:tc>
          <w:tcPr>
            <w:tcW w:w="992" w:type="dxa"/>
            <w:tcBorders>
              <w:top w:val="nil"/>
              <w:left w:val="nil"/>
              <w:bottom w:val="nil"/>
              <w:right w:val="nil"/>
            </w:tcBorders>
          </w:tcPr>
          <w:p>
            <w:pPr>
              <w:pStyle w:val="TableParagraph"/>
              <w:ind w:right="82"/>
              <w:rPr>
                <w:sz w:val="20"/>
              </w:rPr>
            </w:pPr>
            <w:r>
              <w:rPr>
                <w:sz w:val="20"/>
              </w:rPr>
              <w:t>21.980</w:t>
            </w:r>
          </w:p>
        </w:tc>
        <w:tc>
          <w:tcPr>
            <w:tcW w:w="1023" w:type="dxa"/>
            <w:tcBorders>
              <w:top w:val="nil"/>
              <w:left w:val="nil"/>
              <w:bottom w:val="nil"/>
              <w:right w:val="nil"/>
            </w:tcBorders>
          </w:tcPr>
          <w:p>
            <w:pPr>
              <w:pStyle w:val="TableParagraph"/>
              <w:ind w:right="63"/>
              <w:rPr>
                <w:sz w:val="20"/>
              </w:rPr>
            </w:pPr>
            <w:r>
              <w:rPr>
                <w:sz w:val="20"/>
              </w:rPr>
              <w:t>24.091</w:t>
            </w:r>
          </w:p>
        </w:tc>
        <w:tc>
          <w:tcPr>
            <w:tcW w:w="977" w:type="dxa"/>
            <w:tcBorders>
              <w:top w:val="nil"/>
              <w:left w:val="nil"/>
              <w:bottom w:val="nil"/>
              <w:right w:val="nil"/>
            </w:tcBorders>
          </w:tcPr>
          <w:p>
            <w:pPr>
              <w:pStyle w:val="TableParagraph"/>
              <w:ind w:right="65"/>
              <w:rPr>
                <w:sz w:val="20"/>
              </w:rPr>
            </w:pPr>
            <w:r>
              <w:rPr>
                <w:sz w:val="20"/>
              </w:rPr>
              <w:t>25.730</w:t>
            </w:r>
          </w:p>
        </w:tc>
        <w:tc>
          <w:tcPr>
            <w:tcW w:w="982" w:type="dxa"/>
            <w:tcBorders>
              <w:top w:val="nil"/>
              <w:left w:val="nil"/>
              <w:bottom w:val="nil"/>
              <w:right w:val="nil"/>
            </w:tcBorders>
          </w:tcPr>
          <w:p>
            <w:pPr>
              <w:pStyle w:val="TableParagraph"/>
              <w:ind w:right="67"/>
              <w:rPr>
                <w:sz w:val="20"/>
              </w:rPr>
            </w:pPr>
            <w:r>
              <w:rPr>
                <w:sz w:val="20"/>
              </w:rPr>
              <w:t>25.168</w:t>
            </w:r>
          </w:p>
        </w:tc>
        <w:tc>
          <w:tcPr>
            <w:tcW w:w="991" w:type="dxa"/>
            <w:tcBorders>
              <w:top w:val="nil"/>
              <w:left w:val="nil"/>
              <w:bottom w:val="nil"/>
              <w:right w:val="nil"/>
            </w:tcBorders>
          </w:tcPr>
          <w:p>
            <w:pPr>
              <w:pStyle w:val="TableParagraph"/>
              <w:ind w:right="74"/>
              <w:rPr>
                <w:sz w:val="20"/>
              </w:rPr>
            </w:pPr>
            <w:r>
              <w:rPr>
                <w:sz w:val="20"/>
              </w:rPr>
              <w:t>23.237</w:t>
            </w:r>
          </w:p>
        </w:tc>
        <w:tc>
          <w:tcPr>
            <w:tcW w:w="1013" w:type="dxa"/>
            <w:tcBorders>
              <w:top w:val="nil"/>
              <w:left w:val="nil"/>
              <w:bottom w:val="nil"/>
              <w:right w:val="nil"/>
            </w:tcBorders>
          </w:tcPr>
          <w:p>
            <w:pPr>
              <w:pStyle w:val="TableParagraph"/>
              <w:ind w:right="70"/>
              <w:rPr>
                <w:sz w:val="20"/>
              </w:rPr>
            </w:pPr>
            <w:r>
              <w:rPr>
                <w:sz w:val="20"/>
              </w:rPr>
              <w:t>21.725</w:t>
            </w:r>
          </w:p>
        </w:tc>
        <w:tc>
          <w:tcPr>
            <w:tcW w:w="1018" w:type="dxa"/>
            <w:tcBorders>
              <w:top w:val="nil"/>
              <w:left w:val="nil"/>
              <w:bottom w:val="nil"/>
              <w:right w:val="nil"/>
            </w:tcBorders>
          </w:tcPr>
          <w:p>
            <w:pPr>
              <w:pStyle w:val="TableParagraph"/>
              <w:ind w:right="89"/>
              <w:rPr>
                <w:sz w:val="20"/>
              </w:rPr>
            </w:pPr>
            <w:r>
              <w:rPr>
                <w:sz w:val="20"/>
              </w:rPr>
              <w:t>21.854</w:t>
            </w:r>
          </w:p>
        </w:tc>
        <w:tc>
          <w:tcPr>
            <w:tcW w:w="1039" w:type="dxa"/>
            <w:tcBorders>
              <w:top w:val="nil"/>
              <w:left w:val="nil"/>
              <w:bottom w:val="nil"/>
              <w:right w:val="nil"/>
            </w:tcBorders>
          </w:tcPr>
          <w:p>
            <w:pPr>
              <w:pStyle w:val="TableParagraph"/>
              <w:ind w:right="62"/>
              <w:rPr>
                <w:sz w:val="20"/>
              </w:rPr>
            </w:pPr>
            <w:r>
              <w:rPr>
                <w:sz w:val="20"/>
              </w:rPr>
              <w:t>21.539</w:t>
            </w:r>
          </w:p>
        </w:tc>
        <w:tc>
          <w:tcPr>
            <w:tcW w:w="1073" w:type="dxa"/>
            <w:tcBorders>
              <w:top w:val="nil"/>
              <w:left w:val="nil"/>
              <w:bottom w:val="nil"/>
              <w:right w:val="nil"/>
            </w:tcBorders>
          </w:tcPr>
          <w:p>
            <w:pPr>
              <w:pStyle w:val="TableParagraph"/>
              <w:ind w:right="65"/>
              <w:rPr>
                <w:sz w:val="20"/>
              </w:rPr>
            </w:pPr>
            <w:r>
              <w:rPr>
                <w:sz w:val="20"/>
              </w:rPr>
              <w:t>21.143</w:t>
            </w:r>
          </w:p>
        </w:tc>
        <w:tc>
          <w:tcPr>
            <w:tcW w:w="1076" w:type="dxa"/>
            <w:tcBorders>
              <w:top w:val="nil"/>
              <w:left w:val="nil"/>
              <w:bottom w:val="nil"/>
              <w:right w:val="nil"/>
            </w:tcBorders>
          </w:tcPr>
          <w:p>
            <w:pPr>
              <w:pStyle w:val="TableParagraph"/>
              <w:ind w:right="65"/>
              <w:rPr>
                <w:sz w:val="20"/>
              </w:rPr>
            </w:pPr>
            <w:r>
              <w:rPr>
                <w:sz w:val="20"/>
              </w:rPr>
              <w:t>21.119</w:t>
            </w:r>
          </w:p>
        </w:tc>
        <w:tc>
          <w:tcPr>
            <w:tcW w:w="1071" w:type="dxa"/>
            <w:tcBorders>
              <w:top w:val="nil"/>
              <w:left w:val="nil"/>
              <w:bottom w:val="nil"/>
              <w:right w:val="nil"/>
            </w:tcBorders>
          </w:tcPr>
          <w:p>
            <w:pPr>
              <w:pStyle w:val="TableParagraph"/>
              <w:ind w:right="60"/>
              <w:rPr>
                <w:sz w:val="20"/>
              </w:rPr>
            </w:pPr>
            <w:r>
              <w:rPr>
                <w:sz w:val="20"/>
              </w:rPr>
              <w:t>20.300</w:t>
            </w:r>
          </w:p>
        </w:tc>
      </w:tr>
      <w:tr>
        <w:trPr>
          <w:trHeight w:val="300" w:hRule="exact"/>
        </w:trPr>
        <w:tc>
          <w:tcPr>
            <w:tcW w:w="1146" w:type="dxa"/>
            <w:tcBorders>
              <w:top w:val="nil"/>
              <w:left w:val="nil"/>
              <w:bottom w:val="nil"/>
              <w:right w:val="nil"/>
            </w:tcBorders>
          </w:tcPr>
          <w:p>
            <w:pPr>
              <w:pStyle w:val="TableParagraph"/>
              <w:spacing w:before="26"/>
              <w:ind w:left="86"/>
              <w:jc w:val="left"/>
              <w:rPr>
                <w:sz w:val="20"/>
              </w:rPr>
            </w:pPr>
            <w:r>
              <w:rPr>
                <w:sz w:val="20"/>
              </w:rPr>
              <w:t>12</w:t>
            </w:r>
          </w:p>
        </w:tc>
        <w:tc>
          <w:tcPr>
            <w:tcW w:w="1051" w:type="dxa"/>
            <w:tcBorders>
              <w:top w:val="nil"/>
              <w:left w:val="nil"/>
              <w:bottom w:val="nil"/>
              <w:right w:val="nil"/>
            </w:tcBorders>
          </w:tcPr>
          <w:p>
            <w:pPr>
              <w:pStyle w:val="TableParagraph"/>
              <w:spacing w:before="26"/>
              <w:ind w:left="73"/>
              <w:jc w:val="left"/>
              <w:rPr>
                <w:sz w:val="20"/>
              </w:rPr>
            </w:pPr>
            <w:r>
              <w:rPr>
                <w:sz w:val="20"/>
              </w:rPr>
              <w:t>15001</w:t>
            </w:r>
          </w:p>
        </w:tc>
        <w:tc>
          <w:tcPr>
            <w:tcW w:w="991" w:type="dxa"/>
            <w:tcBorders>
              <w:top w:val="nil"/>
              <w:left w:val="nil"/>
              <w:bottom w:val="nil"/>
              <w:right w:val="nil"/>
            </w:tcBorders>
          </w:tcPr>
          <w:p>
            <w:pPr>
              <w:pStyle w:val="TableParagraph"/>
              <w:spacing w:before="26"/>
              <w:ind w:right="65"/>
              <w:rPr>
                <w:sz w:val="20"/>
              </w:rPr>
            </w:pPr>
            <w:r>
              <w:rPr>
                <w:sz w:val="20"/>
              </w:rPr>
              <w:t>20.267</w:t>
            </w:r>
          </w:p>
        </w:tc>
        <w:tc>
          <w:tcPr>
            <w:tcW w:w="992" w:type="dxa"/>
            <w:tcBorders>
              <w:top w:val="nil"/>
              <w:left w:val="nil"/>
              <w:bottom w:val="nil"/>
              <w:right w:val="nil"/>
            </w:tcBorders>
          </w:tcPr>
          <w:p>
            <w:pPr>
              <w:pStyle w:val="TableParagraph"/>
              <w:spacing w:before="26"/>
              <w:ind w:right="82"/>
              <w:rPr>
                <w:sz w:val="20"/>
              </w:rPr>
            </w:pPr>
            <w:r>
              <w:rPr>
                <w:sz w:val="20"/>
              </w:rPr>
              <w:t>21.980</w:t>
            </w:r>
          </w:p>
        </w:tc>
        <w:tc>
          <w:tcPr>
            <w:tcW w:w="1023" w:type="dxa"/>
            <w:tcBorders>
              <w:top w:val="nil"/>
              <w:left w:val="nil"/>
              <w:bottom w:val="nil"/>
              <w:right w:val="nil"/>
            </w:tcBorders>
          </w:tcPr>
          <w:p>
            <w:pPr>
              <w:pStyle w:val="TableParagraph"/>
              <w:spacing w:before="26"/>
              <w:ind w:right="63"/>
              <w:rPr>
                <w:sz w:val="20"/>
              </w:rPr>
            </w:pPr>
            <w:r>
              <w:rPr>
                <w:sz w:val="20"/>
              </w:rPr>
              <w:t>24.091</w:t>
            </w:r>
          </w:p>
        </w:tc>
        <w:tc>
          <w:tcPr>
            <w:tcW w:w="977" w:type="dxa"/>
            <w:tcBorders>
              <w:top w:val="nil"/>
              <w:left w:val="nil"/>
              <w:bottom w:val="nil"/>
              <w:right w:val="nil"/>
            </w:tcBorders>
          </w:tcPr>
          <w:p>
            <w:pPr>
              <w:pStyle w:val="TableParagraph"/>
              <w:spacing w:before="26"/>
              <w:ind w:right="65"/>
              <w:rPr>
                <w:sz w:val="20"/>
              </w:rPr>
            </w:pPr>
            <w:r>
              <w:rPr>
                <w:sz w:val="20"/>
              </w:rPr>
              <w:t>25.730</w:t>
            </w:r>
          </w:p>
        </w:tc>
        <w:tc>
          <w:tcPr>
            <w:tcW w:w="982" w:type="dxa"/>
            <w:tcBorders>
              <w:top w:val="nil"/>
              <w:left w:val="nil"/>
              <w:bottom w:val="nil"/>
              <w:right w:val="nil"/>
            </w:tcBorders>
          </w:tcPr>
          <w:p>
            <w:pPr>
              <w:pStyle w:val="TableParagraph"/>
              <w:spacing w:before="26"/>
              <w:ind w:right="67"/>
              <w:rPr>
                <w:sz w:val="20"/>
              </w:rPr>
            </w:pPr>
            <w:r>
              <w:rPr>
                <w:sz w:val="20"/>
              </w:rPr>
              <w:t>25.168</w:t>
            </w:r>
          </w:p>
        </w:tc>
        <w:tc>
          <w:tcPr>
            <w:tcW w:w="991" w:type="dxa"/>
            <w:tcBorders>
              <w:top w:val="nil"/>
              <w:left w:val="nil"/>
              <w:bottom w:val="nil"/>
              <w:right w:val="nil"/>
            </w:tcBorders>
          </w:tcPr>
          <w:p>
            <w:pPr>
              <w:pStyle w:val="TableParagraph"/>
              <w:spacing w:before="26"/>
              <w:ind w:right="74"/>
              <w:rPr>
                <w:sz w:val="20"/>
              </w:rPr>
            </w:pPr>
            <w:r>
              <w:rPr>
                <w:sz w:val="20"/>
              </w:rPr>
              <w:t>23.237</w:t>
            </w:r>
          </w:p>
        </w:tc>
        <w:tc>
          <w:tcPr>
            <w:tcW w:w="1013" w:type="dxa"/>
            <w:tcBorders>
              <w:top w:val="nil"/>
              <w:left w:val="nil"/>
              <w:bottom w:val="nil"/>
              <w:right w:val="nil"/>
            </w:tcBorders>
          </w:tcPr>
          <w:p>
            <w:pPr>
              <w:pStyle w:val="TableParagraph"/>
              <w:spacing w:before="26"/>
              <w:ind w:right="70"/>
              <w:rPr>
                <w:sz w:val="20"/>
              </w:rPr>
            </w:pPr>
            <w:r>
              <w:rPr>
                <w:sz w:val="20"/>
              </w:rPr>
              <w:t>21.725</w:t>
            </w:r>
          </w:p>
        </w:tc>
        <w:tc>
          <w:tcPr>
            <w:tcW w:w="1018" w:type="dxa"/>
            <w:tcBorders>
              <w:top w:val="nil"/>
              <w:left w:val="nil"/>
              <w:bottom w:val="nil"/>
              <w:right w:val="nil"/>
            </w:tcBorders>
          </w:tcPr>
          <w:p>
            <w:pPr>
              <w:pStyle w:val="TableParagraph"/>
              <w:spacing w:before="26"/>
              <w:ind w:right="89"/>
              <w:rPr>
                <w:sz w:val="20"/>
              </w:rPr>
            </w:pPr>
            <w:r>
              <w:rPr>
                <w:sz w:val="20"/>
              </w:rPr>
              <w:t>21.854</w:t>
            </w:r>
          </w:p>
        </w:tc>
        <w:tc>
          <w:tcPr>
            <w:tcW w:w="1039" w:type="dxa"/>
            <w:tcBorders>
              <w:top w:val="nil"/>
              <w:left w:val="nil"/>
              <w:bottom w:val="nil"/>
              <w:right w:val="nil"/>
            </w:tcBorders>
          </w:tcPr>
          <w:p>
            <w:pPr>
              <w:pStyle w:val="TableParagraph"/>
              <w:spacing w:before="26"/>
              <w:ind w:right="62"/>
              <w:rPr>
                <w:sz w:val="20"/>
              </w:rPr>
            </w:pPr>
            <w:r>
              <w:rPr>
                <w:sz w:val="20"/>
              </w:rPr>
              <w:t>21.539</w:t>
            </w:r>
          </w:p>
        </w:tc>
        <w:tc>
          <w:tcPr>
            <w:tcW w:w="1073" w:type="dxa"/>
            <w:tcBorders>
              <w:top w:val="nil"/>
              <w:left w:val="nil"/>
              <w:bottom w:val="nil"/>
              <w:right w:val="nil"/>
            </w:tcBorders>
          </w:tcPr>
          <w:p>
            <w:pPr>
              <w:pStyle w:val="TableParagraph"/>
              <w:spacing w:before="26"/>
              <w:ind w:right="65"/>
              <w:rPr>
                <w:sz w:val="20"/>
              </w:rPr>
            </w:pPr>
            <w:r>
              <w:rPr>
                <w:sz w:val="20"/>
              </w:rPr>
              <w:t>21.143</w:t>
            </w:r>
          </w:p>
        </w:tc>
        <w:tc>
          <w:tcPr>
            <w:tcW w:w="1076" w:type="dxa"/>
            <w:tcBorders>
              <w:top w:val="nil"/>
              <w:left w:val="nil"/>
              <w:bottom w:val="nil"/>
              <w:right w:val="nil"/>
            </w:tcBorders>
          </w:tcPr>
          <w:p>
            <w:pPr>
              <w:pStyle w:val="TableParagraph"/>
              <w:spacing w:before="26"/>
              <w:ind w:right="65"/>
              <w:rPr>
                <w:sz w:val="20"/>
              </w:rPr>
            </w:pPr>
            <w:r>
              <w:rPr>
                <w:sz w:val="20"/>
              </w:rPr>
              <w:t>21.119</w:t>
            </w:r>
          </w:p>
        </w:tc>
        <w:tc>
          <w:tcPr>
            <w:tcW w:w="1071" w:type="dxa"/>
            <w:tcBorders>
              <w:top w:val="nil"/>
              <w:left w:val="nil"/>
              <w:bottom w:val="nil"/>
              <w:right w:val="nil"/>
            </w:tcBorders>
          </w:tcPr>
          <w:p>
            <w:pPr>
              <w:pStyle w:val="TableParagraph"/>
              <w:spacing w:before="26"/>
              <w:ind w:right="60"/>
              <w:rPr>
                <w:sz w:val="20"/>
              </w:rPr>
            </w:pPr>
            <w:r>
              <w:rPr>
                <w:sz w:val="20"/>
              </w:rPr>
              <w:t>20.300</w:t>
            </w:r>
          </w:p>
        </w:tc>
      </w:tr>
      <w:tr>
        <w:trPr>
          <w:trHeight w:val="300" w:hRule="exact"/>
        </w:trPr>
        <w:tc>
          <w:tcPr>
            <w:tcW w:w="1146" w:type="dxa"/>
            <w:tcBorders>
              <w:top w:val="nil"/>
              <w:left w:val="nil"/>
              <w:bottom w:val="nil"/>
              <w:right w:val="nil"/>
            </w:tcBorders>
          </w:tcPr>
          <w:p>
            <w:pPr>
              <w:pStyle w:val="TableParagraph"/>
              <w:ind w:left="86"/>
              <w:jc w:val="left"/>
              <w:rPr>
                <w:sz w:val="20"/>
              </w:rPr>
            </w:pPr>
            <w:r>
              <w:rPr>
                <w:sz w:val="20"/>
              </w:rPr>
              <w:t>13</w:t>
            </w:r>
          </w:p>
        </w:tc>
        <w:tc>
          <w:tcPr>
            <w:tcW w:w="1051" w:type="dxa"/>
            <w:tcBorders>
              <w:top w:val="nil"/>
              <w:left w:val="nil"/>
              <w:bottom w:val="nil"/>
              <w:right w:val="nil"/>
            </w:tcBorders>
          </w:tcPr>
          <w:p>
            <w:pPr>
              <w:pStyle w:val="TableParagraph"/>
              <w:ind w:left="73"/>
              <w:jc w:val="left"/>
              <w:rPr>
                <w:sz w:val="20"/>
              </w:rPr>
            </w:pPr>
            <w:r>
              <w:rPr>
                <w:sz w:val="20"/>
              </w:rPr>
              <w:t>15001</w:t>
            </w:r>
          </w:p>
        </w:tc>
        <w:tc>
          <w:tcPr>
            <w:tcW w:w="991" w:type="dxa"/>
            <w:tcBorders>
              <w:top w:val="nil"/>
              <w:left w:val="nil"/>
              <w:bottom w:val="nil"/>
              <w:right w:val="nil"/>
            </w:tcBorders>
          </w:tcPr>
          <w:p>
            <w:pPr>
              <w:pStyle w:val="TableParagraph"/>
              <w:ind w:right="65"/>
              <w:rPr>
                <w:sz w:val="20"/>
              </w:rPr>
            </w:pPr>
            <w:r>
              <w:rPr>
                <w:sz w:val="20"/>
              </w:rPr>
              <w:t>20.267</w:t>
            </w:r>
          </w:p>
        </w:tc>
        <w:tc>
          <w:tcPr>
            <w:tcW w:w="992" w:type="dxa"/>
            <w:tcBorders>
              <w:top w:val="nil"/>
              <w:left w:val="nil"/>
              <w:bottom w:val="nil"/>
              <w:right w:val="nil"/>
            </w:tcBorders>
          </w:tcPr>
          <w:p>
            <w:pPr>
              <w:pStyle w:val="TableParagraph"/>
              <w:ind w:right="82"/>
              <w:rPr>
                <w:sz w:val="20"/>
              </w:rPr>
            </w:pPr>
            <w:r>
              <w:rPr>
                <w:sz w:val="20"/>
              </w:rPr>
              <w:t>21.980</w:t>
            </w:r>
          </w:p>
        </w:tc>
        <w:tc>
          <w:tcPr>
            <w:tcW w:w="1023" w:type="dxa"/>
            <w:tcBorders>
              <w:top w:val="nil"/>
              <w:left w:val="nil"/>
              <w:bottom w:val="nil"/>
              <w:right w:val="nil"/>
            </w:tcBorders>
          </w:tcPr>
          <w:p>
            <w:pPr>
              <w:pStyle w:val="TableParagraph"/>
              <w:ind w:right="63"/>
              <w:rPr>
                <w:sz w:val="20"/>
              </w:rPr>
            </w:pPr>
            <w:r>
              <w:rPr>
                <w:sz w:val="20"/>
              </w:rPr>
              <w:t>24.091</w:t>
            </w:r>
          </w:p>
        </w:tc>
        <w:tc>
          <w:tcPr>
            <w:tcW w:w="977" w:type="dxa"/>
            <w:tcBorders>
              <w:top w:val="nil"/>
              <w:left w:val="nil"/>
              <w:bottom w:val="nil"/>
              <w:right w:val="nil"/>
            </w:tcBorders>
          </w:tcPr>
          <w:p>
            <w:pPr>
              <w:pStyle w:val="TableParagraph"/>
              <w:ind w:right="65"/>
              <w:rPr>
                <w:sz w:val="20"/>
              </w:rPr>
            </w:pPr>
            <w:r>
              <w:rPr>
                <w:sz w:val="20"/>
              </w:rPr>
              <w:t>25.730</w:t>
            </w:r>
          </w:p>
        </w:tc>
        <w:tc>
          <w:tcPr>
            <w:tcW w:w="982" w:type="dxa"/>
            <w:tcBorders>
              <w:top w:val="nil"/>
              <w:left w:val="nil"/>
              <w:bottom w:val="nil"/>
              <w:right w:val="nil"/>
            </w:tcBorders>
          </w:tcPr>
          <w:p>
            <w:pPr>
              <w:pStyle w:val="TableParagraph"/>
              <w:ind w:right="67"/>
              <w:rPr>
                <w:sz w:val="20"/>
              </w:rPr>
            </w:pPr>
            <w:r>
              <w:rPr>
                <w:sz w:val="20"/>
              </w:rPr>
              <w:t>25.168</w:t>
            </w:r>
          </w:p>
        </w:tc>
        <w:tc>
          <w:tcPr>
            <w:tcW w:w="991" w:type="dxa"/>
            <w:tcBorders>
              <w:top w:val="nil"/>
              <w:left w:val="nil"/>
              <w:bottom w:val="nil"/>
              <w:right w:val="nil"/>
            </w:tcBorders>
          </w:tcPr>
          <w:p>
            <w:pPr>
              <w:pStyle w:val="TableParagraph"/>
              <w:ind w:right="74"/>
              <w:rPr>
                <w:sz w:val="20"/>
              </w:rPr>
            </w:pPr>
            <w:r>
              <w:rPr>
                <w:sz w:val="20"/>
              </w:rPr>
              <w:t>23.237</w:t>
            </w:r>
          </w:p>
        </w:tc>
        <w:tc>
          <w:tcPr>
            <w:tcW w:w="1013" w:type="dxa"/>
            <w:tcBorders>
              <w:top w:val="nil"/>
              <w:left w:val="nil"/>
              <w:bottom w:val="nil"/>
              <w:right w:val="nil"/>
            </w:tcBorders>
          </w:tcPr>
          <w:p>
            <w:pPr>
              <w:pStyle w:val="TableParagraph"/>
              <w:ind w:right="70"/>
              <w:rPr>
                <w:sz w:val="20"/>
              </w:rPr>
            </w:pPr>
            <w:r>
              <w:rPr>
                <w:sz w:val="20"/>
              </w:rPr>
              <w:t>21.725</w:t>
            </w:r>
          </w:p>
        </w:tc>
        <w:tc>
          <w:tcPr>
            <w:tcW w:w="1018" w:type="dxa"/>
            <w:tcBorders>
              <w:top w:val="nil"/>
              <w:left w:val="nil"/>
              <w:bottom w:val="nil"/>
              <w:right w:val="nil"/>
            </w:tcBorders>
          </w:tcPr>
          <w:p>
            <w:pPr>
              <w:pStyle w:val="TableParagraph"/>
              <w:ind w:right="89"/>
              <w:rPr>
                <w:sz w:val="20"/>
              </w:rPr>
            </w:pPr>
            <w:r>
              <w:rPr>
                <w:sz w:val="20"/>
              </w:rPr>
              <w:t>21.854</w:t>
            </w:r>
          </w:p>
        </w:tc>
        <w:tc>
          <w:tcPr>
            <w:tcW w:w="1039" w:type="dxa"/>
            <w:tcBorders>
              <w:top w:val="nil"/>
              <w:left w:val="nil"/>
              <w:bottom w:val="nil"/>
              <w:right w:val="nil"/>
            </w:tcBorders>
          </w:tcPr>
          <w:p>
            <w:pPr>
              <w:pStyle w:val="TableParagraph"/>
              <w:ind w:right="62"/>
              <w:rPr>
                <w:sz w:val="20"/>
              </w:rPr>
            </w:pPr>
            <w:r>
              <w:rPr>
                <w:sz w:val="20"/>
              </w:rPr>
              <w:t>21.539</w:t>
            </w:r>
          </w:p>
        </w:tc>
        <w:tc>
          <w:tcPr>
            <w:tcW w:w="1073" w:type="dxa"/>
            <w:tcBorders>
              <w:top w:val="nil"/>
              <w:left w:val="nil"/>
              <w:bottom w:val="nil"/>
              <w:right w:val="nil"/>
            </w:tcBorders>
          </w:tcPr>
          <w:p>
            <w:pPr>
              <w:pStyle w:val="TableParagraph"/>
              <w:ind w:right="65"/>
              <w:rPr>
                <w:sz w:val="20"/>
              </w:rPr>
            </w:pPr>
            <w:r>
              <w:rPr>
                <w:sz w:val="20"/>
              </w:rPr>
              <w:t>21.143</w:t>
            </w:r>
          </w:p>
        </w:tc>
        <w:tc>
          <w:tcPr>
            <w:tcW w:w="1076" w:type="dxa"/>
            <w:tcBorders>
              <w:top w:val="nil"/>
              <w:left w:val="nil"/>
              <w:bottom w:val="nil"/>
              <w:right w:val="nil"/>
            </w:tcBorders>
          </w:tcPr>
          <w:p>
            <w:pPr>
              <w:pStyle w:val="TableParagraph"/>
              <w:ind w:right="65"/>
              <w:rPr>
                <w:sz w:val="20"/>
              </w:rPr>
            </w:pPr>
            <w:r>
              <w:rPr>
                <w:sz w:val="20"/>
              </w:rPr>
              <w:t>21.119</w:t>
            </w:r>
          </w:p>
        </w:tc>
        <w:tc>
          <w:tcPr>
            <w:tcW w:w="1071" w:type="dxa"/>
            <w:tcBorders>
              <w:top w:val="nil"/>
              <w:left w:val="nil"/>
              <w:bottom w:val="nil"/>
              <w:right w:val="nil"/>
            </w:tcBorders>
          </w:tcPr>
          <w:p>
            <w:pPr>
              <w:pStyle w:val="TableParagraph"/>
              <w:ind w:right="60"/>
              <w:rPr>
                <w:sz w:val="20"/>
              </w:rPr>
            </w:pPr>
            <w:r>
              <w:rPr>
                <w:sz w:val="20"/>
              </w:rPr>
              <w:t>20.300</w:t>
            </w:r>
          </w:p>
        </w:tc>
      </w:tr>
      <w:tr>
        <w:trPr>
          <w:trHeight w:val="300" w:hRule="exact"/>
        </w:trPr>
        <w:tc>
          <w:tcPr>
            <w:tcW w:w="1146" w:type="dxa"/>
            <w:tcBorders>
              <w:top w:val="nil"/>
              <w:left w:val="nil"/>
              <w:bottom w:val="nil"/>
              <w:right w:val="nil"/>
            </w:tcBorders>
          </w:tcPr>
          <w:p>
            <w:pPr>
              <w:pStyle w:val="TableParagraph"/>
              <w:spacing w:before="26"/>
              <w:ind w:left="86"/>
              <w:jc w:val="left"/>
              <w:rPr>
                <w:sz w:val="20"/>
              </w:rPr>
            </w:pPr>
            <w:r>
              <w:rPr>
                <w:sz w:val="20"/>
              </w:rPr>
              <w:t>14</w:t>
            </w:r>
          </w:p>
        </w:tc>
        <w:tc>
          <w:tcPr>
            <w:tcW w:w="1051" w:type="dxa"/>
            <w:tcBorders>
              <w:top w:val="nil"/>
              <w:left w:val="nil"/>
              <w:bottom w:val="nil"/>
              <w:right w:val="nil"/>
            </w:tcBorders>
          </w:tcPr>
          <w:p>
            <w:pPr>
              <w:pStyle w:val="TableParagraph"/>
              <w:spacing w:before="26"/>
              <w:ind w:left="73"/>
              <w:jc w:val="left"/>
              <w:rPr>
                <w:sz w:val="20"/>
              </w:rPr>
            </w:pPr>
            <w:r>
              <w:rPr>
                <w:sz w:val="20"/>
              </w:rPr>
              <w:t>15001</w:t>
            </w:r>
          </w:p>
        </w:tc>
        <w:tc>
          <w:tcPr>
            <w:tcW w:w="991" w:type="dxa"/>
            <w:tcBorders>
              <w:top w:val="nil"/>
              <w:left w:val="nil"/>
              <w:bottom w:val="nil"/>
              <w:right w:val="nil"/>
            </w:tcBorders>
          </w:tcPr>
          <w:p>
            <w:pPr>
              <w:pStyle w:val="TableParagraph"/>
              <w:spacing w:before="26"/>
              <w:ind w:right="65"/>
              <w:rPr>
                <w:sz w:val="20"/>
              </w:rPr>
            </w:pPr>
            <w:r>
              <w:rPr>
                <w:sz w:val="20"/>
              </w:rPr>
              <w:t>20.267</w:t>
            </w:r>
          </w:p>
        </w:tc>
        <w:tc>
          <w:tcPr>
            <w:tcW w:w="992" w:type="dxa"/>
            <w:tcBorders>
              <w:top w:val="nil"/>
              <w:left w:val="nil"/>
              <w:bottom w:val="nil"/>
              <w:right w:val="nil"/>
            </w:tcBorders>
          </w:tcPr>
          <w:p>
            <w:pPr>
              <w:pStyle w:val="TableParagraph"/>
              <w:spacing w:before="26"/>
              <w:ind w:right="82"/>
              <w:rPr>
                <w:sz w:val="20"/>
              </w:rPr>
            </w:pPr>
            <w:r>
              <w:rPr>
                <w:sz w:val="20"/>
              </w:rPr>
              <w:t>21.980</w:t>
            </w:r>
          </w:p>
        </w:tc>
        <w:tc>
          <w:tcPr>
            <w:tcW w:w="1023" w:type="dxa"/>
            <w:tcBorders>
              <w:top w:val="nil"/>
              <w:left w:val="nil"/>
              <w:bottom w:val="nil"/>
              <w:right w:val="nil"/>
            </w:tcBorders>
          </w:tcPr>
          <w:p>
            <w:pPr>
              <w:pStyle w:val="TableParagraph"/>
              <w:spacing w:before="26"/>
              <w:ind w:right="63"/>
              <w:rPr>
                <w:sz w:val="20"/>
              </w:rPr>
            </w:pPr>
            <w:r>
              <w:rPr>
                <w:sz w:val="20"/>
              </w:rPr>
              <w:t>24.091</w:t>
            </w:r>
          </w:p>
        </w:tc>
        <w:tc>
          <w:tcPr>
            <w:tcW w:w="977" w:type="dxa"/>
            <w:tcBorders>
              <w:top w:val="nil"/>
              <w:left w:val="nil"/>
              <w:bottom w:val="nil"/>
              <w:right w:val="nil"/>
            </w:tcBorders>
          </w:tcPr>
          <w:p>
            <w:pPr>
              <w:pStyle w:val="TableParagraph"/>
              <w:spacing w:before="26"/>
              <w:ind w:right="65"/>
              <w:rPr>
                <w:sz w:val="20"/>
              </w:rPr>
            </w:pPr>
            <w:r>
              <w:rPr>
                <w:sz w:val="20"/>
              </w:rPr>
              <w:t>25.730</w:t>
            </w:r>
          </w:p>
        </w:tc>
        <w:tc>
          <w:tcPr>
            <w:tcW w:w="982" w:type="dxa"/>
            <w:tcBorders>
              <w:top w:val="nil"/>
              <w:left w:val="nil"/>
              <w:bottom w:val="nil"/>
              <w:right w:val="nil"/>
            </w:tcBorders>
          </w:tcPr>
          <w:p>
            <w:pPr>
              <w:pStyle w:val="TableParagraph"/>
              <w:spacing w:before="26"/>
              <w:ind w:right="67"/>
              <w:rPr>
                <w:sz w:val="20"/>
              </w:rPr>
            </w:pPr>
            <w:r>
              <w:rPr>
                <w:sz w:val="20"/>
              </w:rPr>
              <w:t>25.168</w:t>
            </w:r>
          </w:p>
        </w:tc>
        <w:tc>
          <w:tcPr>
            <w:tcW w:w="991" w:type="dxa"/>
            <w:tcBorders>
              <w:top w:val="nil"/>
              <w:left w:val="nil"/>
              <w:bottom w:val="nil"/>
              <w:right w:val="nil"/>
            </w:tcBorders>
          </w:tcPr>
          <w:p>
            <w:pPr>
              <w:pStyle w:val="TableParagraph"/>
              <w:spacing w:before="26"/>
              <w:ind w:right="74"/>
              <w:rPr>
                <w:sz w:val="20"/>
              </w:rPr>
            </w:pPr>
            <w:r>
              <w:rPr>
                <w:sz w:val="20"/>
              </w:rPr>
              <w:t>23.237</w:t>
            </w:r>
          </w:p>
        </w:tc>
        <w:tc>
          <w:tcPr>
            <w:tcW w:w="1013" w:type="dxa"/>
            <w:tcBorders>
              <w:top w:val="nil"/>
              <w:left w:val="nil"/>
              <w:bottom w:val="nil"/>
              <w:right w:val="nil"/>
            </w:tcBorders>
          </w:tcPr>
          <w:p>
            <w:pPr>
              <w:pStyle w:val="TableParagraph"/>
              <w:spacing w:before="26"/>
              <w:ind w:right="70"/>
              <w:rPr>
                <w:sz w:val="20"/>
              </w:rPr>
            </w:pPr>
            <w:r>
              <w:rPr>
                <w:sz w:val="20"/>
              </w:rPr>
              <w:t>21.725</w:t>
            </w:r>
          </w:p>
        </w:tc>
        <w:tc>
          <w:tcPr>
            <w:tcW w:w="1018" w:type="dxa"/>
            <w:tcBorders>
              <w:top w:val="nil"/>
              <w:left w:val="nil"/>
              <w:bottom w:val="nil"/>
              <w:right w:val="nil"/>
            </w:tcBorders>
          </w:tcPr>
          <w:p>
            <w:pPr>
              <w:pStyle w:val="TableParagraph"/>
              <w:spacing w:before="26"/>
              <w:ind w:right="89"/>
              <w:rPr>
                <w:sz w:val="20"/>
              </w:rPr>
            </w:pPr>
            <w:r>
              <w:rPr>
                <w:sz w:val="20"/>
              </w:rPr>
              <w:t>21.854</w:t>
            </w:r>
          </w:p>
        </w:tc>
        <w:tc>
          <w:tcPr>
            <w:tcW w:w="1039" w:type="dxa"/>
            <w:tcBorders>
              <w:top w:val="nil"/>
              <w:left w:val="nil"/>
              <w:bottom w:val="nil"/>
              <w:right w:val="nil"/>
            </w:tcBorders>
          </w:tcPr>
          <w:p>
            <w:pPr>
              <w:pStyle w:val="TableParagraph"/>
              <w:spacing w:before="26"/>
              <w:ind w:right="62"/>
              <w:rPr>
                <w:sz w:val="20"/>
              </w:rPr>
            </w:pPr>
            <w:r>
              <w:rPr>
                <w:sz w:val="20"/>
              </w:rPr>
              <w:t>21.539</w:t>
            </w:r>
          </w:p>
        </w:tc>
        <w:tc>
          <w:tcPr>
            <w:tcW w:w="1073" w:type="dxa"/>
            <w:tcBorders>
              <w:top w:val="nil"/>
              <w:left w:val="nil"/>
              <w:bottom w:val="nil"/>
              <w:right w:val="nil"/>
            </w:tcBorders>
          </w:tcPr>
          <w:p>
            <w:pPr>
              <w:pStyle w:val="TableParagraph"/>
              <w:spacing w:before="26"/>
              <w:ind w:right="65"/>
              <w:rPr>
                <w:sz w:val="20"/>
              </w:rPr>
            </w:pPr>
            <w:r>
              <w:rPr>
                <w:sz w:val="20"/>
              </w:rPr>
              <w:t>21.143</w:t>
            </w:r>
          </w:p>
        </w:tc>
        <w:tc>
          <w:tcPr>
            <w:tcW w:w="1076" w:type="dxa"/>
            <w:tcBorders>
              <w:top w:val="nil"/>
              <w:left w:val="nil"/>
              <w:bottom w:val="nil"/>
              <w:right w:val="nil"/>
            </w:tcBorders>
          </w:tcPr>
          <w:p>
            <w:pPr>
              <w:pStyle w:val="TableParagraph"/>
              <w:spacing w:before="26"/>
              <w:ind w:right="65"/>
              <w:rPr>
                <w:sz w:val="20"/>
              </w:rPr>
            </w:pPr>
            <w:r>
              <w:rPr>
                <w:sz w:val="20"/>
              </w:rPr>
              <w:t>21.119</w:t>
            </w:r>
          </w:p>
        </w:tc>
        <w:tc>
          <w:tcPr>
            <w:tcW w:w="1071" w:type="dxa"/>
            <w:tcBorders>
              <w:top w:val="nil"/>
              <w:left w:val="nil"/>
              <w:bottom w:val="nil"/>
              <w:right w:val="nil"/>
            </w:tcBorders>
          </w:tcPr>
          <w:p>
            <w:pPr>
              <w:pStyle w:val="TableParagraph"/>
              <w:spacing w:before="26"/>
              <w:ind w:right="60"/>
              <w:rPr>
                <w:sz w:val="20"/>
              </w:rPr>
            </w:pPr>
            <w:r>
              <w:rPr>
                <w:sz w:val="20"/>
              </w:rPr>
              <w:t>20.300</w:t>
            </w:r>
          </w:p>
        </w:tc>
      </w:tr>
      <w:tr>
        <w:trPr>
          <w:trHeight w:val="300" w:hRule="exact"/>
        </w:trPr>
        <w:tc>
          <w:tcPr>
            <w:tcW w:w="1146" w:type="dxa"/>
            <w:tcBorders>
              <w:top w:val="nil"/>
              <w:left w:val="nil"/>
              <w:bottom w:val="nil"/>
              <w:right w:val="nil"/>
            </w:tcBorders>
          </w:tcPr>
          <w:p>
            <w:pPr>
              <w:pStyle w:val="TableParagraph"/>
              <w:ind w:left="86"/>
              <w:jc w:val="left"/>
              <w:rPr>
                <w:sz w:val="20"/>
              </w:rPr>
            </w:pPr>
            <w:r>
              <w:rPr>
                <w:sz w:val="20"/>
              </w:rPr>
              <w:t>15</w:t>
            </w:r>
          </w:p>
        </w:tc>
        <w:tc>
          <w:tcPr>
            <w:tcW w:w="1051" w:type="dxa"/>
            <w:tcBorders>
              <w:top w:val="nil"/>
              <w:left w:val="nil"/>
              <w:bottom w:val="nil"/>
              <w:right w:val="nil"/>
            </w:tcBorders>
          </w:tcPr>
          <w:p>
            <w:pPr>
              <w:pStyle w:val="TableParagraph"/>
              <w:ind w:left="73"/>
              <w:jc w:val="left"/>
              <w:rPr>
                <w:sz w:val="20"/>
              </w:rPr>
            </w:pPr>
            <w:r>
              <w:rPr>
                <w:sz w:val="20"/>
              </w:rPr>
              <w:t>15001</w:t>
            </w:r>
          </w:p>
        </w:tc>
        <w:tc>
          <w:tcPr>
            <w:tcW w:w="991" w:type="dxa"/>
            <w:tcBorders>
              <w:top w:val="nil"/>
              <w:left w:val="nil"/>
              <w:bottom w:val="nil"/>
              <w:right w:val="nil"/>
            </w:tcBorders>
          </w:tcPr>
          <w:p>
            <w:pPr>
              <w:pStyle w:val="TableParagraph"/>
              <w:ind w:right="65"/>
              <w:rPr>
                <w:sz w:val="20"/>
              </w:rPr>
            </w:pPr>
            <w:r>
              <w:rPr>
                <w:sz w:val="20"/>
              </w:rPr>
              <w:t>20.267</w:t>
            </w:r>
          </w:p>
        </w:tc>
        <w:tc>
          <w:tcPr>
            <w:tcW w:w="992" w:type="dxa"/>
            <w:tcBorders>
              <w:top w:val="nil"/>
              <w:left w:val="nil"/>
              <w:bottom w:val="nil"/>
              <w:right w:val="nil"/>
            </w:tcBorders>
          </w:tcPr>
          <w:p>
            <w:pPr>
              <w:pStyle w:val="TableParagraph"/>
              <w:ind w:right="82"/>
              <w:rPr>
                <w:sz w:val="20"/>
              </w:rPr>
            </w:pPr>
            <w:r>
              <w:rPr>
                <w:sz w:val="20"/>
              </w:rPr>
              <w:t>21.980</w:t>
            </w:r>
          </w:p>
        </w:tc>
        <w:tc>
          <w:tcPr>
            <w:tcW w:w="1023" w:type="dxa"/>
            <w:tcBorders>
              <w:top w:val="nil"/>
              <w:left w:val="nil"/>
              <w:bottom w:val="nil"/>
              <w:right w:val="nil"/>
            </w:tcBorders>
          </w:tcPr>
          <w:p>
            <w:pPr>
              <w:pStyle w:val="TableParagraph"/>
              <w:ind w:right="63"/>
              <w:rPr>
                <w:sz w:val="20"/>
              </w:rPr>
            </w:pPr>
            <w:r>
              <w:rPr>
                <w:sz w:val="20"/>
              </w:rPr>
              <w:t>24.091</w:t>
            </w:r>
          </w:p>
        </w:tc>
        <w:tc>
          <w:tcPr>
            <w:tcW w:w="977" w:type="dxa"/>
            <w:tcBorders>
              <w:top w:val="nil"/>
              <w:left w:val="nil"/>
              <w:bottom w:val="nil"/>
              <w:right w:val="nil"/>
            </w:tcBorders>
          </w:tcPr>
          <w:p>
            <w:pPr>
              <w:pStyle w:val="TableParagraph"/>
              <w:ind w:right="65"/>
              <w:rPr>
                <w:sz w:val="20"/>
              </w:rPr>
            </w:pPr>
            <w:r>
              <w:rPr>
                <w:sz w:val="20"/>
              </w:rPr>
              <w:t>25.730</w:t>
            </w:r>
          </w:p>
        </w:tc>
        <w:tc>
          <w:tcPr>
            <w:tcW w:w="982" w:type="dxa"/>
            <w:tcBorders>
              <w:top w:val="nil"/>
              <w:left w:val="nil"/>
              <w:bottom w:val="nil"/>
              <w:right w:val="nil"/>
            </w:tcBorders>
          </w:tcPr>
          <w:p>
            <w:pPr>
              <w:pStyle w:val="TableParagraph"/>
              <w:ind w:right="67"/>
              <w:rPr>
                <w:sz w:val="20"/>
              </w:rPr>
            </w:pPr>
            <w:r>
              <w:rPr>
                <w:sz w:val="20"/>
              </w:rPr>
              <w:t>25.168</w:t>
            </w:r>
          </w:p>
        </w:tc>
        <w:tc>
          <w:tcPr>
            <w:tcW w:w="991" w:type="dxa"/>
            <w:tcBorders>
              <w:top w:val="nil"/>
              <w:left w:val="nil"/>
              <w:bottom w:val="nil"/>
              <w:right w:val="nil"/>
            </w:tcBorders>
          </w:tcPr>
          <w:p>
            <w:pPr>
              <w:pStyle w:val="TableParagraph"/>
              <w:ind w:right="74"/>
              <w:rPr>
                <w:sz w:val="20"/>
              </w:rPr>
            </w:pPr>
            <w:r>
              <w:rPr>
                <w:sz w:val="20"/>
              </w:rPr>
              <w:t>23.237</w:t>
            </w:r>
          </w:p>
        </w:tc>
        <w:tc>
          <w:tcPr>
            <w:tcW w:w="1013" w:type="dxa"/>
            <w:tcBorders>
              <w:top w:val="nil"/>
              <w:left w:val="nil"/>
              <w:bottom w:val="nil"/>
              <w:right w:val="nil"/>
            </w:tcBorders>
          </w:tcPr>
          <w:p>
            <w:pPr>
              <w:pStyle w:val="TableParagraph"/>
              <w:ind w:right="70"/>
              <w:rPr>
                <w:sz w:val="20"/>
              </w:rPr>
            </w:pPr>
            <w:r>
              <w:rPr>
                <w:sz w:val="20"/>
              </w:rPr>
              <w:t>21.725</w:t>
            </w:r>
          </w:p>
        </w:tc>
        <w:tc>
          <w:tcPr>
            <w:tcW w:w="1018" w:type="dxa"/>
            <w:tcBorders>
              <w:top w:val="nil"/>
              <w:left w:val="nil"/>
              <w:bottom w:val="nil"/>
              <w:right w:val="nil"/>
            </w:tcBorders>
          </w:tcPr>
          <w:p>
            <w:pPr>
              <w:pStyle w:val="TableParagraph"/>
              <w:ind w:right="89"/>
              <w:rPr>
                <w:sz w:val="20"/>
              </w:rPr>
            </w:pPr>
            <w:r>
              <w:rPr>
                <w:sz w:val="20"/>
              </w:rPr>
              <w:t>21.854</w:t>
            </w:r>
          </w:p>
        </w:tc>
        <w:tc>
          <w:tcPr>
            <w:tcW w:w="1039" w:type="dxa"/>
            <w:tcBorders>
              <w:top w:val="nil"/>
              <w:left w:val="nil"/>
              <w:bottom w:val="nil"/>
              <w:right w:val="nil"/>
            </w:tcBorders>
          </w:tcPr>
          <w:p>
            <w:pPr>
              <w:pStyle w:val="TableParagraph"/>
              <w:ind w:right="62"/>
              <w:rPr>
                <w:sz w:val="20"/>
              </w:rPr>
            </w:pPr>
            <w:r>
              <w:rPr>
                <w:sz w:val="20"/>
              </w:rPr>
              <w:t>21.539</w:t>
            </w:r>
          </w:p>
        </w:tc>
        <w:tc>
          <w:tcPr>
            <w:tcW w:w="1073" w:type="dxa"/>
            <w:tcBorders>
              <w:top w:val="nil"/>
              <w:left w:val="nil"/>
              <w:bottom w:val="nil"/>
              <w:right w:val="nil"/>
            </w:tcBorders>
          </w:tcPr>
          <w:p>
            <w:pPr>
              <w:pStyle w:val="TableParagraph"/>
              <w:ind w:right="65"/>
              <w:rPr>
                <w:sz w:val="20"/>
              </w:rPr>
            </w:pPr>
            <w:r>
              <w:rPr>
                <w:sz w:val="20"/>
              </w:rPr>
              <w:t>21.143</w:t>
            </w:r>
          </w:p>
        </w:tc>
        <w:tc>
          <w:tcPr>
            <w:tcW w:w="1076" w:type="dxa"/>
            <w:tcBorders>
              <w:top w:val="nil"/>
              <w:left w:val="nil"/>
              <w:bottom w:val="nil"/>
              <w:right w:val="nil"/>
            </w:tcBorders>
          </w:tcPr>
          <w:p>
            <w:pPr>
              <w:pStyle w:val="TableParagraph"/>
              <w:ind w:right="65"/>
              <w:rPr>
                <w:sz w:val="20"/>
              </w:rPr>
            </w:pPr>
            <w:r>
              <w:rPr>
                <w:sz w:val="20"/>
              </w:rPr>
              <w:t>21.119</w:t>
            </w:r>
          </w:p>
        </w:tc>
        <w:tc>
          <w:tcPr>
            <w:tcW w:w="1071" w:type="dxa"/>
            <w:tcBorders>
              <w:top w:val="nil"/>
              <w:left w:val="nil"/>
              <w:bottom w:val="nil"/>
              <w:right w:val="nil"/>
            </w:tcBorders>
          </w:tcPr>
          <w:p>
            <w:pPr>
              <w:pStyle w:val="TableParagraph"/>
              <w:ind w:right="60"/>
              <w:rPr>
                <w:sz w:val="20"/>
              </w:rPr>
            </w:pPr>
            <w:r>
              <w:rPr>
                <w:sz w:val="20"/>
              </w:rPr>
              <w:t>20.300</w:t>
            </w:r>
          </w:p>
        </w:tc>
      </w:tr>
      <w:tr>
        <w:trPr>
          <w:trHeight w:val="300" w:hRule="exact"/>
        </w:trPr>
        <w:tc>
          <w:tcPr>
            <w:tcW w:w="1146" w:type="dxa"/>
            <w:tcBorders>
              <w:top w:val="nil"/>
              <w:left w:val="nil"/>
              <w:bottom w:val="nil"/>
              <w:right w:val="nil"/>
            </w:tcBorders>
          </w:tcPr>
          <w:p>
            <w:pPr>
              <w:pStyle w:val="TableParagraph"/>
              <w:spacing w:before="26"/>
              <w:ind w:left="86"/>
              <w:jc w:val="left"/>
              <w:rPr>
                <w:sz w:val="20"/>
              </w:rPr>
            </w:pPr>
            <w:r>
              <w:rPr>
                <w:sz w:val="20"/>
              </w:rPr>
              <w:t>16</w:t>
            </w:r>
          </w:p>
        </w:tc>
        <w:tc>
          <w:tcPr>
            <w:tcW w:w="1051" w:type="dxa"/>
            <w:tcBorders>
              <w:top w:val="nil"/>
              <w:left w:val="nil"/>
              <w:bottom w:val="nil"/>
              <w:right w:val="nil"/>
            </w:tcBorders>
          </w:tcPr>
          <w:p>
            <w:pPr>
              <w:pStyle w:val="TableParagraph"/>
              <w:spacing w:before="26"/>
              <w:ind w:left="73"/>
              <w:jc w:val="left"/>
              <w:rPr>
                <w:sz w:val="20"/>
              </w:rPr>
            </w:pPr>
            <w:r>
              <w:rPr>
                <w:sz w:val="20"/>
              </w:rPr>
              <w:t>15001</w:t>
            </w:r>
          </w:p>
        </w:tc>
        <w:tc>
          <w:tcPr>
            <w:tcW w:w="991" w:type="dxa"/>
            <w:tcBorders>
              <w:top w:val="nil"/>
              <w:left w:val="nil"/>
              <w:bottom w:val="nil"/>
              <w:right w:val="nil"/>
            </w:tcBorders>
          </w:tcPr>
          <w:p>
            <w:pPr>
              <w:pStyle w:val="TableParagraph"/>
              <w:spacing w:before="26"/>
              <w:ind w:right="65"/>
              <w:rPr>
                <w:sz w:val="20"/>
              </w:rPr>
            </w:pPr>
            <w:r>
              <w:rPr>
                <w:sz w:val="20"/>
              </w:rPr>
              <w:t>20.267</w:t>
            </w:r>
          </w:p>
        </w:tc>
        <w:tc>
          <w:tcPr>
            <w:tcW w:w="992" w:type="dxa"/>
            <w:tcBorders>
              <w:top w:val="nil"/>
              <w:left w:val="nil"/>
              <w:bottom w:val="nil"/>
              <w:right w:val="nil"/>
            </w:tcBorders>
          </w:tcPr>
          <w:p>
            <w:pPr>
              <w:pStyle w:val="TableParagraph"/>
              <w:spacing w:before="26"/>
              <w:ind w:right="82"/>
              <w:rPr>
                <w:sz w:val="20"/>
              </w:rPr>
            </w:pPr>
            <w:r>
              <w:rPr>
                <w:sz w:val="20"/>
              </w:rPr>
              <w:t>21.980</w:t>
            </w:r>
          </w:p>
        </w:tc>
        <w:tc>
          <w:tcPr>
            <w:tcW w:w="1023" w:type="dxa"/>
            <w:tcBorders>
              <w:top w:val="nil"/>
              <w:left w:val="nil"/>
              <w:bottom w:val="nil"/>
              <w:right w:val="nil"/>
            </w:tcBorders>
          </w:tcPr>
          <w:p>
            <w:pPr>
              <w:pStyle w:val="TableParagraph"/>
              <w:spacing w:before="26"/>
              <w:ind w:right="63"/>
              <w:rPr>
                <w:sz w:val="20"/>
              </w:rPr>
            </w:pPr>
            <w:r>
              <w:rPr>
                <w:sz w:val="20"/>
              </w:rPr>
              <w:t>24.091</w:t>
            </w:r>
          </w:p>
        </w:tc>
        <w:tc>
          <w:tcPr>
            <w:tcW w:w="977" w:type="dxa"/>
            <w:tcBorders>
              <w:top w:val="nil"/>
              <w:left w:val="nil"/>
              <w:bottom w:val="nil"/>
              <w:right w:val="nil"/>
            </w:tcBorders>
          </w:tcPr>
          <w:p>
            <w:pPr>
              <w:pStyle w:val="TableParagraph"/>
              <w:spacing w:before="26"/>
              <w:ind w:right="65"/>
              <w:rPr>
                <w:sz w:val="20"/>
              </w:rPr>
            </w:pPr>
            <w:r>
              <w:rPr>
                <w:sz w:val="20"/>
              </w:rPr>
              <w:t>25.730</w:t>
            </w:r>
          </w:p>
        </w:tc>
        <w:tc>
          <w:tcPr>
            <w:tcW w:w="982" w:type="dxa"/>
            <w:tcBorders>
              <w:top w:val="nil"/>
              <w:left w:val="nil"/>
              <w:bottom w:val="nil"/>
              <w:right w:val="nil"/>
            </w:tcBorders>
          </w:tcPr>
          <w:p>
            <w:pPr>
              <w:pStyle w:val="TableParagraph"/>
              <w:spacing w:before="26"/>
              <w:ind w:right="67"/>
              <w:rPr>
                <w:sz w:val="20"/>
              </w:rPr>
            </w:pPr>
            <w:r>
              <w:rPr>
                <w:sz w:val="20"/>
              </w:rPr>
              <w:t>25.168</w:t>
            </w:r>
          </w:p>
        </w:tc>
        <w:tc>
          <w:tcPr>
            <w:tcW w:w="991" w:type="dxa"/>
            <w:tcBorders>
              <w:top w:val="nil"/>
              <w:left w:val="nil"/>
              <w:bottom w:val="nil"/>
              <w:right w:val="nil"/>
            </w:tcBorders>
          </w:tcPr>
          <w:p>
            <w:pPr>
              <w:pStyle w:val="TableParagraph"/>
              <w:spacing w:before="26"/>
              <w:ind w:right="74"/>
              <w:rPr>
                <w:sz w:val="20"/>
              </w:rPr>
            </w:pPr>
            <w:r>
              <w:rPr>
                <w:sz w:val="20"/>
              </w:rPr>
              <w:t>23.237</w:t>
            </w:r>
          </w:p>
        </w:tc>
        <w:tc>
          <w:tcPr>
            <w:tcW w:w="1013" w:type="dxa"/>
            <w:tcBorders>
              <w:top w:val="nil"/>
              <w:left w:val="nil"/>
              <w:bottom w:val="nil"/>
              <w:right w:val="nil"/>
            </w:tcBorders>
          </w:tcPr>
          <w:p>
            <w:pPr>
              <w:pStyle w:val="TableParagraph"/>
              <w:spacing w:before="26"/>
              <w:ind w:right="70"/>
              <w:rPr>
                <w:sz w:val="20"/>
              </w:rPr>
            </w:pPr>
            <w:r>
              <w:rPr>
                <w:sz w:val="20"/>
              </w:rPr>
              <w:t>21.725</w:t>
            </w:r>
          </w:p>
        </w:tc>
        <w:tc>
          <w:tcPr>
            <w:tcW w:w="1018" w:type="dxa"/>
            <w:tcBorders>
              <w:top w:val="nil"/>
              <w:left w:val="nil"/>
              <w:bottom w:val="nil"/>
              <w:right w:val="nil"/>
            </w:tcBorders>
          </w:tcPr>
          <w:p>
            <w:pPr>
              <w:pStyle w:val="TableParagraph"/>
              <w:spacing w:before="26"/>
              <w:ind w:right="89"/>
              <w:rPr>
                <w:sz w:val="20"/>
              </w:rPr>
            </w:pPr>
            <w:r>
              <w:rPr>
                <w:sz w:val="20"/>
              </w:rPr>
              <w:t>21.854</w:t>
            </w:r>
          </w:p>
        </w:tc>
        <w:tc>
          <w:tcPr>
            <w:tcW w:w="1039" w:type="dxa"/>
            <w:tcBorders>
              <w:top w:val="nil"/>
              <w:left w:val="nil"/>
              <w:bottom w:val="nil"/>
              <w:right w:val="nil"/>
            </w:tcBorders>
          </w:tcPr>
          <w:p>
            <w:pPr>
              <w:pStyle w:val="TableParagraph"/>
              <w:spacing w:before="26"/>
              <w:ind w:right="62"/>
              <w:rPr>
                <w:sz w:val="20"/>
              </w:rPr>
            </w:pPr>
            <w:r>
              <w:rPr>
                <w:sz w:val="20"/>
              </w:rPr>
              <w:t>21.539</w:t>
            </w:r>
          </w:p>
        </w:tc>
        <w:tc>
          <w:tcPr>
            <w:tcW w:w="1073" w:type="dxa"/>
            <w:tcBorders>
              <w:top w:val="nil"/>
              <w:left w:val="nil"/>
              <w:bottom w:val="nil"/>
              <w:right w:val="nil"/>
            </w:tcBorders>
          </w:tcPr>
          <w:p>
            <w:pPr>
              <w:pStyle w:val="TableParagraph"/>
              <w:spacing w:before="26"/>
              <w:ind w:right="65"/>
              <w:rPr>
                <w:sz w:val="20"/>
              </w:rPr>
            </w:pPr>
            <w:r>
              <w:rPr>
                <w:sz w:val="20"/>
              </w:rPr>
              <w:t>21.143</w:t>
            </w:r>
          </w:p>
        </w:tc>
        <w:tc>
          <w:tcPr>
            <w:tcW w:w="1076" w:type="dxa"/>
            <w:tcBorders>
              <w:top w:val="nil"/>
              <w:left w:val="nil"/>
              <w:bottom w:val="nil"/>
              <w:right w:val="nil"/>
            </w:tcBorders>
          </w:tcPr>
          <w:p>
            <w:pPr>
              <w:pStyle w:val="TableParagraph"/>
              <w:spacing w:before="26"/>
              <w:ind w:right="65"/>
              <w:rPr>
                <w:sz w:val="20"/>
              </w:rPr>
            </w:pPr>
            <w:r>
              <w:rPr>
                <w:sz w:val="20"/>
              </w:rPr>
              <w:t>21.119</w:t>
            </w:r>
          </w:p>
        </w:tc>
        <w:tc>
          <w:tcPr>
            <w:tcW w:w="1071" w:type="dxa"/>
            <w:tcBorders>
              <w:top w:val="nil"/>
              <w:left w:val="nil"/>
              <w:bottom w:val="nil"/>
              <w:right w:val="nil"/>
            </w:tcBorders>
          </w:tcPr>
          <w:p>
            <w:pPr>
              <w:pStyle w:val="TableParagraph"/>
              <w:spacing w:before="26"/>
              <w:ind w:right="60"/>
              <w:rPr>
                <w:sz w:val="20"/>
              </w:rPr>
            </w:pPr>
            <w:r>
              <w:rPr>
                <w:sz w:val="20"/>
              </w:rPr>
              <w:t>20.300</w:t>
            </w:r>
          </w:p>
        </w:tc>
      </w:tr>
      <w:tr>
        <w:trPr>
          <w:trHeight w:val="300" w:hRule="exact"/>
        </w:trPr>
        <w:tc>
          <w:tcPr>
            <w:tcW w:w="1146" w:type="dxa"/>
            <w:tcBorders>
              <w:top w:val="nil"/>
              <w:left w:val="nil"/>
              <w:bottom w:val="nil"/>
              <w:right w:val="nil"/>
            </w:tcBorders>
          </w:tcPr>
          <w:p>
            <w:pPr>
              <w:pStyle w:val="TableParagraph"/>
              <w:ind w:left="86"/>
              <w:jc w:val="left"/>
              <w:rPr>
                <w:sz w:val="20"/>
              </w:rPr>
            </w:pPr>
            <w:r>
              <w:rPr>
                <w:sz w:val="20"/>
              </w:rPr>
              <w:t>17</w:t>
            </w:r>
          </w:p>
        </w:tc>
        <w:tc>
          <w:tcPr>
            <w:tcW w:w="1051" w:type="dxa"/>
            <w:tcBorders>
              <w:top w:val="nil"/>
              <w:left w:val="nil"/>
              <w:bottom w:val="nil"/>
              <w:right w:val="nil"/>
            </w:tcBorders>
          </w:tcPr>
          <w:p>
            <w:pPr>
              <w:pStyle w:val="TableParagraph"/>
              <w:ind w:left="73"/>
              <w:jc w:val="left"/>
              <w:rPr>
                <w:sz w:val="20"/>
              </w:rPr>
            </w:pPr>
            <w:r>
              <w:rPr>
                <w:sz w:val="20"/>
              </w:rPr>
              <w:t>15001</w:t>
            </w:r>
          </w:p>
        </w:tc>
        <w:tc>
          <w:tcPr>
            <w:tcW w:w="991" w:type="dxa"/>
            <w:tcBorders>
              <w:top w:val="nil"/>
              <w:left w:val="nil"/>
              <w:bottom w:val="nil"/>
              <w:right w:val="nil"/>
            </w:tcBorders>
          </w:tcPr>
          <w:p>
            <w:pPr>
              <w:pStyle w:val="TableParagraph"/>
              <w:ind w:right="65"/>
              <w:rPr>
                <w:sz w:val="20"/>
              </w:rPr>
            </w:pPr>
            <w:r>
              <w:rPr>
                <w:sz w:val="20"/>
              </w:rPr>
              <w:t>20.267</w:t>
            </w:r>
          </w:p>
        </w:tc>
        <w:tc>
          <w:tcPr>
            <w:tcW w:w="992" w:type="dxa"/>
            <w:tcBorders>
              <w:top w:val="nil"/>
              <w:left w:val="nil"/>
              <w:bottom w:val="nil"/>
              <w:right w:val="nil"/>
            </w:tcBorders>
          </w:tcPr>
          <w:p>
            <w:pPr>
              <w:pStyle w:val="TableParagraph"/>
              <w:ind w:right="82"/>
              <w:rPr>
                <w:sz w:val="20"/>
              </w:rPr>
            </w:pPr>
            <w:r>
              <w:rPr>
                <w:sz w:val="20"/>
              </w:rPr>
              <w:t>21.980</w:t>
            </w:r>
          </w:p>
        </w:tc>
        <w:tc>
          <w:tcPr>
            <w:tcW w:w="1023" w:type="dxa"/>
            <w:tcBorders>
              <w:top w:val="nil"/>
              <w:left w:val="nil"/>
              <w:bottom w:val="nil"/>
              <w:right w:val="nil"/>
            </w:tcBorders>
          </w:tcPr>
          <w:p>
            <w:pPr>
              <w:pStyle w:val="TableParagraph"/>
              <w:ind w:right="63"/>
              <w:rPr>
                <w:sz w:val="20"/>
              </w:rPr>
            </w:pPr>
            <w:r>
              <w:rPr>
                <w:sz w:val="20"/>
              </w:rPr>
              <w:t>24.091</w:t>
            </w:r>
          </w:p>
        </w:tc>
        <w:tc>
          <w:tcPr>
            <w:tcW w:w="977" w:type="dxa"/>
            <w:tcBorders>
              <w:top w:val="nil"/>
              <w:left w:val="nil"/>
              <w:bottom w:val="nil"/>
              <w:right w:val="nil"/>
            </w:tcBorders>
          </w:tcPr>
          <w:p>
            <w:pPr>
              <w:pStyle w:val="TableParagraph"/>
              <w:ind w:right="65"/>
              <w:rPr>
                <w:sz w:val="20"/>
              </w:rPr>
            </w:pPr>
            <w:r>
              <w:rPr>
                <w:sz w:val="20"/>
              </w:rPr>
              <w:t>25.730</w:t>
            </w:r>
          </w:p>
        </w:tc>
        <w:tc>
          <w:tcPr>
            <w:tcW w:w="982" w:type="dxa"/>
            <w:tcBorders>
              <w:top w:val="nil"/>
              <w:left w:val="nil"/>
              <w:bottom w:val="nil"/>
              <w:right w:val="nil"/>
            </w:tcBorders>
          </w:tcPr>
          <w:p>
            <w:pPr>
              <w:pStyle w:val="TableParagraph"/>
              <w:ind w:right="67"/>
              <w:rPr>
                <w:sz w:val="20"/>
              </w:rPr>
            </w:pPr>
            <w:r>
              <w:rPr>
                <w:sz w:val="20"/>
              </w:rPr>
              <w:t>25.168</w:t>
            </w:r>
          </w:p>
        </w:tc>
        <w:tc>
          <w:tcPr>
            <w:tcW w:w="991" w:type="dxa"/>
            <w:tcBorders>
              <w:top w:val="nil"/>
              <w:left w:val="nil"/>
              <w:bottom w:val="nil"/>
              <w:right w:val="nil"/>
            </w:tcBorders>
          </w:tcPr>
          <w:p>
            <w:pPr>
              <w:pStyle w:val="TableParagraph"/>
              <w:ind w:right="74"/>
              <w:rPr>
                <w:sz w:val="20"/>
              </w:rPr>
            </w:pPr>
            <w:r>
              <w:rPr>
                <w:sz w:val="20"/>
              </w:rPr>
              <w:t>23.237</w:t>
            </w:r>
          </w:p>
        </w:tc>
        <w:tc>
          <w:tcPr>
            <w:tcW w:w="1013" w:type="dxa"/>
            <w:tcBorders>
              <w:top w:val="nil"/>
              <w:left w:val="nil"/>
              <w:bottom w:val="nil"/>
              <w:right w:val="nil"/>
            </w:tcBorders>
          </w:tcPr>
          <w:p>
            <w:pPr>
              <w:pStyle w:val="TableParagraph"/>
              <w:ind w:right="70"/>
              <w:rPr>
                <w:sz w:val="20"/>
              </w:rPr>
            </w:pPr>
            <w:r>
              <w:rPr>
                <w:sz w:val="20"/>
              </w:rPr>
              <w:t>21.725</w:t>
            </w:r>
          </w:p>
        </w:tc>
        <w:tc>
          <w:tcPr>
            <w:tcW w:w="1018" w:type="dxa"/>
            <w:tcBorders>
              <w:top w:val="nil"/>
              <w:left w:val="nil"/>
              <w:bottom w:val="nil"/>
              <w:right w:val="nil"/>
            </w:tcBorders>
          </w:tcPr>
          <w:p>
            <w:pPr>
              <w:pStyle w:val="TableParagraph"/>
              <w:ind w:right="89"/>
              <w:rPr>
                <w:sz w:val="20"/>
              </w:rPr>
            </w:pPr>
            <w:r>
              <w:rPr>
                <w:sz w:val="20"/>
              </w:rPr>
              <w:t>21.854</w:t>
            </w:r>
          </w:p>
        </w:tc>
        <w:tc>
          <w:tcPr>
            <w:tcW w:w="1039" w:type="dxa"/>
            <w:tcBorders>
              <w:top w:val="nil"/>
              <w:left w:val="nil"/>
              <w:bottom w:val="nil"/>
              <w:right w:val="nil"/>
            </w:tcBorders>
          </w:tcPr>
          <w:p>
            <w:pPr>
              <w:pStyle w:val="TableParagraph"/>
              <w:ind w:right="62"/>
              <w:rPr>
                <w:sz w:val="20"/>
              </w:rPr>
            </w:pPr>
            <w:r>
              <w:rPr>
                <w:sz w:val="20"/>
              </w:rPr>
              <w:t>21.539</w:t>
            </w:r>
          </w:p>
        </w:tc>
        <w:tc>
          <w:tcPr>
            <w:tcW w:w="1073" w:type="dxa"/>
            <w:tcBorders>
              <w:top w:val="nil"/>
              <w:left w:val="nil"/>
              <w:bottom w:val="nil"/>
              <w:right w:val="nil"/>
            </w:tcBorders>
          </w:tcPr>
          <w:p>
            <w:pPr>
              <w:pStyle w:val="TableParagraph"/>
              <w:ind w:right="65"/>
              <w:rPr>
                <w:sz w:val="20"/>
              </w:rPr>
            </w:pPr>
            <w:r>
              <w:rPr>
                <w:sz w:val="20"/>
              </w:rPr>
              <w:t>21.143</w:t>
            </w:r>
          </w:p>
        </w:tc>
        <w:tc>
          <w:tcPr>
            <w:tcW w:w="1076" w:type="dxa"/>
            <w:tcBorders>
              <w:top w:val="nil"/>
              <w:left w:val="nil"/>
              <w:bottom w:val="nil"/>
              <w:right w:val="nil"/>
            </w:tcBorders>
          </w:tcPr>
          <w:p>
            <w:pPr>
              <w:pStyle w:val="TableParagraph"/>
              <w:ind w:right="65"/>
              <w:rPr>
                <w:sz w:val="20"/>
              </w:rPr>
            </w:pPr>
            <w:r>
              <w:rPr>
                <w:sz w:val="20"/>
              </w:rPr>
              <w:t>21.119</w:t>
            </w:r>
          </w:p>
        </w:tc>
        <w:tc>
          <w:tcPr>
            <w:tcW w:w="1071" w:type="dxa"/>
            <w:tcBorders>
              <w:top w:val="nil"/>
              <w:left w:val="nil"/>
              <w:bottom w:val="nil"/>
              <w:right w:val="nil"/>
            </w:tcBorders>
          </w:tcPr>
          <w:p>
            <w:pPr>
              <w:pStyle w:val="TableParagraph"/>
              <w:ind w:right="60"/>
              <w:rPr>
                <w:sz w:val="20"/>
              </w:rPr>
            </w:pPr>
            <w:r>
              <w:rPr>
                <w:sz w:val="20"/>
              </w:rPr>
              <w:t>20.300</w:t>
            </w:r>
          </w:p>
        </w:tc>
      </w:tr>
      <w:tr>
        <w:trPr>
          <w:trHeight w:val="300" w:hRule="exact"/>
        </w:trPr>
        <w:tc>
          <w:tcPr>
            <w:tcW w:w="1146" w:type="dxa"/>
            <w:tcBorders>
              <w:top w:val="nil"/>
              <w:left w:val="nil"/>
              <w:bottom w:val="nil"/>
              <w:right w:val="nil"/>
            </w:tcBorders>
          </w:tcPr>
          <w:p>
            <w:pPr>
              <w:pStyle w:val="TableParagraph"/>
              <w:spacing w:before="26"/>
              <w:ind w:left="86"/>
              <w:jc w:val="left"/>
              <w:rPr>
                <w:sz w:val="20"/>
              </w:rPr>
            </w:pPr>
            <w:r>
              <w:rPr>
                <w:sz w:val="20"/>
              </w:rPr>
              <w:t>18</w:t>
            </w:r>
          </w:p>
        </w:tc>
        <w:tc>
          <w:tcPr>
            <w:tcW w:w="1051" w:type="dxa"/>
            <w:tcBorders>
              <w:top w:val="nil"/>
              <w:left w:val="nil"/>
              <w:bottom w:val="nil"/>
              <w:right w:val="nil"/>
            </w:tcBorders>
          </w:tcPr>
          <w:p>
            <w:pPr>
              <w:pStyle w:val="TableParagraph"/>
              <w:spacing w:before="26"/>
              <w:ind w:left="73"/>
              <w:jc w:val="left"/>
              <w:rPr>
                <w:sz w:val="20"/>
              </w:rPr>
            </w:pPr>
            <w:r>
              <w:rPr>
                <w:sz w:val="20"/>
              </w:rPr>
              <w:t>15001</w:t>
            </w:r>
          </w:p>
        </w:tc>
        <w:tc>
          <w:tcPr>
            <w:tcW w:w="991" w:type="dxa"/>
            <w:tcBorders>
              <w:top w:val="nil"/>
              <w:left w:val="nil"/>
              <w:bottom w:val="nil"/>
              <w:right w:val="nil"/>
            </w:tcBorders>
          </w:tcPr>
          <w:p>
            <w:pPr>
              <w:pStyle w:val="TableParagraph"/>
              <w:spacing w:before="26"/>
              <w:ind w:right="65"/>
              <w:rPr>
                <w:sz w:val="20"/>
              </w:rPr>
            </w:pPr>
            <w:r>
              <w:rPr>
                <w:sz w:val="20"/>
              </w:rPr>
              <w:t>20.267</w:t>
            </w:r>
          </w:p>
        </w:tc>
        <w:tc>
          <w:tcPr>
            <w:tcW w:w="992" w:type="dxa"/>
            <w:tcBorders>
              <w:top w:val="nil"/>
              <w:left w:val="nil"/>
              <w:bottom w:val="nil"/>
              <w:right w:val="nil"/>
            </w:tcBorders>
          </w:tcPr>
          <w:p>
            <w:pPr>
              <w:pStyle w:val="TableParagraph"/>
              <w:spacing w:before="26"/>
              <w:ind w:right="82"/>
              <w:rPr>
                <w:sz w:val="20"/>
              </w:rPr>
            </w:pPr>
            <w:r>
              <w:rPr>
                <w:sz w:val="20"/>
              </w:rPr>
              <w:t>21.980</w:t>
            </w:r>
          </w:p>
        </w:tc>
        <w:tc>
          <w:tcPr>
            <w:tcW w:w="1023" w:type="dxa"/>
            <w:tcBorders>
              <w:top w:val="nil"/>
              <w:left w:val="nil"/>
              <w:bottom w:val="nil"/>
              <w:right w:val="nil"/>
            </w:tcBorders>
          </w:tcPr>
          <w:p>
            <w:pPr>
              <w:pStyle w:val="TableParagraph"/>
              <w:spacing w:before="26"/>
              <w:ind w:right="63"/>
              <w:rPr>
                <w:sz w:val="20"/>
              </w:rPr>
            </w:pPr>
            <w:r>
              <w:rPr>
                <w:sz w:val="20"/>
              </w:rPr>
              <w:t>24.091</w:t>
            </w:r>
          </w:p>
        </w:tc>
        <w:tc>
          <w:tcPr>
            <w:tcW w:w="977" w:type="dxa"/>
            <w:tcBorders>
              <w:top w:val="nil"/>
              <w:left w:val="nil"/>
              <w:bottom w:val="nil"/>
              <w:right w:val="nil"/>
            </w:tcBorders>
          </w:tcPr>
          <w:p>
            <w:pPr>
              <w:pStyle w:val="TableParagraph"/>
              <w:spacing w:before="26"/>
              <w:ind w:right="65"/>
              <w:rPr>
                <w:sz w:val="20"/>
              </w:rPr>
            </w:pPr>
            <w:r>
              <w:rPr>
                <w:sz w:val="20"/>
              </w:rPr>
              <w:t>25.730</w:t>
            </w:r>
          </w:p>
        </w:tc>
        <w:tc>
          <w:tcPr>
            <w:tcW w:w="982" w:type="dxa"/>
            <w:tcBorders>
              <w:top w:val="nil"/>
              <w:left w:val="nil"/>
              <w:bottom w:val="nil"/>
              <w:right w:val="nil"/>
            </w:tcBorders>
          </w:tcPr>
          <w:p>
            <w:pPr>
              <w:pStyle w:val="TableParagraph"/>
              <w:spacing w:before="26"/>
              <w:ind w:right="67"/>
              <w:rPr>
                <w:sz w:val="20"/>
              </w:rPr>
            </w:pPr>
            <w:r>
              <w:rPr>
                <w:sz w:val="20"/>
              </w:rPr>
              <w:t>25.168</w:t>
            </w:r>
          </w:p>
        </w:tc>
        <w:tc>
          <w:tcPr>
            <w:tcW w:w="991" w:type="dxa"/>
            <w:tcBorders>
              <w:top w:val="nil"/>
              <w:left w:val="nil"/>
              <w:bottom w:val="nil"/>
              <w:right w:val="nil"/>
            </w:tcBorders>
          </w:tcPr>
          <w:p>
            <w:pPr>
              <w:pStyle w:val="TableParagraph"/>
              <w:spacing w:before="26"/>
              <w:ind w:right="74"/>
              <w:rPr>
                <w:sz w:val="20"/>
              </w:rPr>
            </w:pPr>
            <w:r>
              <w:rPr>
                <w:sz w:val="20"/>
              </w:rPr>
              <w:t>23.237</w:t>
            </w:r>
          </w:p>
        </w:tc>
        <w:tc>
          <w:tcPr>
            <w:tcW w:w="1013" w:type="dxa"/>
            <w:tcBorders>
              <w:top w:val="nil"/>
              <w:left w:val="nil"/>
              <w:bottom w:val="nil"/>
              <w:right w:val="nil"/>
            </w:tcBorders>
          </w:tcPr>
          <w:p>
            <w:pPr>
              <w:pStyle w:val="TableParagraph"/>
              <w:spacing w:before="26"/>
              <w:ind w:right="70"/>
              <w:rPr>
                <w:sz w:val="20"/>
              </w:rPr>
            </w:pPr>
            <w:r>
              <w:rPr>
                <w:sz w:val="20"/>
              </w:rPr>
              <w:t>21.725</w:t>
            </w:r>
          </w:p>
        </w:tc>
        <w:tc>
          <w:tcPr>
            <w:tcW w:w="1018" w:type="dxa"/>
            <w:tcBorders>
              <w:top w:val="nil"/>
              <w:left w:val="nil"/>
              <w:bottom w:val="nil"/>
              <w:right w:val="nil"/>
            </w:tcBorders>
          </w:tcPr>
          <w:p>
            <w:pPr>
              <w:pStyle w:val="TableParagraph"/>
              <w:spacing w:before="26"/>
              <w:ind w:right="89"/>
              <w:rPr>
                <w:sz w:val="20"/>
              </w:rPr>
            </w:pPr>
            <w:r>
              <w:rPr>
                <w:sz w:val="20"/>
              </w:rPr>
              <w:t>21.854</w:t>
            </w:r>
          </w:p>
        </w:tc>
        <w:tc>
          <w:tcPr>
            <w:tcW w:w="1039" w:type="dxa"/>
            <w:tcBorders>
              <w:top w:val="nil"/>
              <w:left w:val="nil"/>
              <w:bottom w:val="nil"/>
              <w:right w:val="nil"/>
            </w:tcBorders>
          </w:tcPr>
          <w:p>
            <w:pPr>
              <w:pStyle w:val="TableParagraph"/>
              <w:spacing w:before="26"/>
              <w:ind w:right="62"/>
              <w:rPr>
                <w:sz w:val="20"/>
              </w:rPr>
            </w:pPr>
            <w:r>
              <w:rPr>
                <w:sz w:val="20"/>
              </w:rPr>
              <w:t>21.539</w:t>
            </w:r>
          </w:p>
        </w:tc>
        <w:tc>
          <w:tcPr>
            <w:tcW w:w="1073" w:type="dxa"/>
            <w:tcBorders>
              <w:top w:val="nil"/>
              <w:left w:val="nil"/>
              <w:bottom w:val="nil"/>
              <w:right w:val="nil"/>
            </w:tcBorders>
          </w:tcPr>
          <w:p>
            <w:pPr>
              <w:pStyle w:val="TableParagraph"/>
              <w:spacing w:before="26"/>
              <w:ind w:right="65"/>
              <w:rPr>
                <w:sz w:val="20"/>
              </w:rPr>
            </w:pPr>
            <w:r>
              <w:rPr>
                <w:sz w:val="20"/>
              </w:rPr>
              <w:t>21.143</w:t>
            </w:r>
          </w:p>
        </w:tc>
        <w:tc>
          <w:tcPr>
            <w:tcW w:w="1076" w:type="dxa"/>
            <w:tcBorders>
              <w:top w:val="nil"/>
              <w:left w:val="nil"/>
              <w:bottom w:val="nil"/>
              <w:right w:val="nil"/>
            </w:tcBorders>
          </w:tcPr>
          <w:p>
            <w:pPr>
              <w:pStyle w:val="TableParagraph"/>
              <w:spacing w:before="26"/>
              <w:ind w:right="65"/>
              <w:rPr>
                <w:sz w:val="20"/>
              </w:rPr>
            </w:pPr>
            <w:r>
              <w:rPr>
                <w:sz w:val="20"/>
              </w:rPr>
              <w:t>21.119</w:t>
            </w:r>
          </w:p>
        </w:tc>
        <w:tc>
          <w:tcPr>
            <w:tcW w:w="1071" w:type="dxa"/>
            <w:tcBorders>
              <w:top w:val="nil"/>
              <w:left w:val="nil"/>
              <w:bottom w:val="nil"/>
              <w:right w:val="nil"/>
            </w:tcBorders>
          </w:tcPr>
          <w:p>
            <w:pPr>
              <w:pStyle w:val="TableParagraph"/>
              <w:spacing w:before="26"/>
              <w:ind w:right="60"/>
              <w:rPr>
                <w:sz w:val="20"/>
              </w:rPr>
            </w:pPr>
            <w:r>
              <w:rPr>
                <w:sz w:val="20"/>
              </w:rPr>
              <w:t>20.300</w:t>
            </w:r>
          </w:p>
        </w:tc>
      </w:tr>
      <w:tr>
        <w:trPr>
          <w:trHeight w:val="300" w:hRule="exact"/>
        </w:trPr>
        <w:tc>
          <w:tcPr>
            <w:tcW w:w="1146" w:type="dxa"/>
            <w:tcBorders>
              <w:top w:val="nil"/>
              <w:left w:val="nil"/>
              <w:bottom w:val="nil"/>
              <w:right w:val="nil"/>
            </w:tcBorders>
          </w:tcPr>
          <w:p>
            <w:pPr>
              <w:pStyle w:val="TableParagraph"/>
              <w:ind w:left="86"/>
              <w:jc w:val="left"/>
              <w:rPr>
                <w:sz w:val="20"/>
              </w:rPr>
            </w:pPr>
            <w:r>
              <w:rPr>
                <w:sz w:val="20"/>
              </w:rPr>
              <w:t>19</w:t>
            </w:r>
          </w:p>
        </w:tc>
        <w:tc>
          <w:tcPr>
            <w:tcW w:w="1051" w:type="dxa"/>
            <w:tcBorders>
              <w:top w:val="nil"/>
              <w:left w:val="nil"/>
              <w:bottom w:val="nil"/>
              <w:right w:val="nil"/>
            </w:tcBorders>
          </w:tcPr>
          <w:p>
            <w:pPr>
              <w:pStyle w:val="TableParagraph"/>
              <w:ind w:left="73"/>
              <w:jc w:val="left"/>
              <w:rPr>
                <w:sz w:val="20"/>
              </w:rPr>
            </w:pPr>
            <w:r>
              <w:rPr>
                <w:sz w:val="20"/>
              </w:rPr>
              <w:t>15001</w:t>
            </w:r>
          </w:p>
        </w:tc>
        <w:tc>
          <w:tcPr>
            <w:tcW w:w="991" w:type="dxa"/>
            <w:tcBorders>
              <w:top w:val="nil"/>
              <w:left w:val="nil"/>
              <w:bottom w:val="nil"/>
              <w:right w:val="nil"/>
            </w:tcBorders>
          </w:tcPr>
          <w:p>
            <w:pPr>
              <w:pStyle w:val="TableParagraph"/>
              <w:ind w:right="65"/>
              <w:rPr>
                <w:sz w:val="20"/>
              </w:rPr>
            </w:pPr>
            <w:r>
              <w:rPr>
                <w:sz w:val="20"/>
              </w:rPr>
              <w:t>20.267</w:t>
            </w:r>
          </w:p>
        </w:tc>
        <w:tc>
          <w:tcPr>
            <w:tcW w:w="992" w:type="dxa"/>
            <w:tcBorders>
              <w:top w:val="nil"/>
              <w:left w:val="nil"/>
              <w:bottom w:val="nil"/>
              <w:right w:val="nil"/>
            </w:tcBorders>
          </w:tcPr>
          <w:p>
            <w:pPr>
              <w:pStyle w:val="TableParagraph"/>
              <w:ind w:right="82"/>
              <w:rPr>
                <w:sz w:val="20"/>
              </w:rPr>
            </w:pPr>
            <w:r>
              <w:rPr>
                <w:sz w:val="20"/>
              </w:rPr>
              <w:t>21.980</w:t>
            </w:r>
          </w:p>
        </w:tc>
        <w:tc>
          <w:tcPr>
            <w:tcW w:w="1023" w:type="dxa"/>
            <w:tcBorders>
              <w:top w:val="nil"/>
              <w:left w:val="nil"/>
              <w:bottom w:val="nil"/>
              <w:right w:val="nil"/>
            </w:tcBorders>
          </w:tcPr>
          <w:p>
            <w:pPr>
              <w:pStyle w:val="TableParagraph"/>
              <w:ind w:right="63"/>
              <w:rPr>
                <w:sz w:val="20"/>
              </w:rPr>
            </w:pPr>
            <w:r>
              <w:rPr>
                <w:sz w:val="20"/>
              </w:rPr>
              <w:t>24.091</w:t>
            </w:r>
          </w:p>
        </w:tc>
        <w:tc>
          <w:tcPr>
            <w:tcW w:w="977" w:type="dxa"/>
            <w:tcBorders>
              <w:top w:val="nil"/>
              <w:left w:val="nil"/>
              <w:bottom w:val="nil"/>
              <w:right w:val="nil"/>
            </w:tcBorders>
          </w:tcPr>
          <w:p>
            <w:pPr>
              <w:pStyle w:val="TableParagraph"/>
              <w:ind w:right="65"/>
              <w:rPr>
                <w:sz w:val="20"/>
              </w:rPr>
            </w:pPr>
            <w:r>
              <w:rPr>
                <w:sz w:val="20"/>
              </w:rPr>
              <w:t>25.730</w:t>
            </w:r>
          </w:p>
        </w:tc>
        <w:tc>
          <w:tcPr>
            <w:tcW w:w="982" w:type="dxa"/>
            <w:tcBorders>
              <w:top w:val="nil"/>
              <w:left w:val="nil"/>
              <w:bottom w:val="nil"/>
              <w:right w:val="nil"/>
            </w:tcBorders>
          </w:tcPr>
          <w:p>
            <w:pPr>
              <w:pStyle w:val="TableParagraph"/>
              <w:ind w:right="67"/>
              <w:rPr>
                <w:sz w:val="20"/>
              </w:rPr>
            </w:pPr>
            <w:r>
              <w:rPr>
                <w:sz w:val="20"/>
              </w:rPr>
              <w:t>25.168</w:t>
            </w:r>
          </w:p>
        </w:tc>
        <w:tc>
          <w:tcPr>
            <w:tcW w:w="991" w:type="dxa"/>
            <w:tcBorders>
              <w:top w:val="nil"/>
              <w:left w:val="nil"/>
              <w:bottom w:val="nil"/>
              <w:right w:val="nil"/>
            </w:tcBorders>
          </w:tcPr>
          <w:p>
            <w:pPr>
              <w:pStyle w:val="TableParagraph"/>
              <w:ind w:right="74"/>
              <w:rPr>
                <w:sz w:val="20"/>
              </w:rPr>
            </w:pPr>
            <w:r>
              <w:rPr>
                <w:sz w:val="20"/>
              </w:rPr>
              <w:t>23.237</w:t>
            </w:r>
          </w:p>
        </w:tc>
        <w:tc>
          <w:tcPr>
            <w:tcW w:w="1013" w:type="dxa"/>
            <w:tcBorders>
              <w:top w:val="nil"/>
              <w:left w:val="nil"/>
              <w:bottom w:val="nil"/>
              <w:right w:val="nil"/>
            </w:tcBorders>
          </w:tcPr>
          <w:p>
            <w:pPr>
              <w:pStyle w:val="TableParagraph"/>
              <w:ind w:right="70"/>
              <w:rPr>
                <w:sz w:val="20"/>
              </w:rPr>
            </w:pPr>
            <w:r>
              <w:rPr>
                <w:sz w:val="20"/>
              </w:rPr>
              <w:t>21.725</w:t>
            </w:r>
          </w:p>
        </w:tc>
        <w:tc>
          <w:tcPr>
            <w:tcW w:w="1018" w:type="dxa"/>
            <w:tcBorders>
              <w:top w:val="nil"/>
              <w:left w:val="nil"/>
              <w:bottom w:val="nil"/>
              <w:right w:val="nil"/>
            </w:tcBorders>
          </w:tcPr>
          <w:p>
            <w:pPr>
              <w:pStyle w:val="TableParagraph"/>
              <w:ind w:right="89"/>
              <w:rPr>
                <w:sz w:val="20"/>
              </w:rPr>
            </w:pPr>
            <w:r>
              <w:rPr>
                <w:sz w:val="20"/>
              </w:rPr>
              <w:t>21.854</w:t>
            </w:r>
          </w:p>
        </w:tc>
        <w:tc>
          <w:tcPr>
            <w:tcW w:w="1039" w:type="dxa"/>
            <w:tcBorders>
              <w:top w:val="nil"/>
              <w:left w:val="nil"/>
              <w:bottom w:val="nil"/>
              <w:right w:val="nil"/>
            </w:tcBorders>
          </w:tcPr>
          <w:p>
            <w:pPr>
              <w:pStyle w:val="TableParagraph"/>
              <w:ind w:right="62"/>
              <w:rPr>
                <w:sz w:val="20"/>
              </w:rPr>
            </w:pPr>
            <w:r>
              <w:rPr>
                <w:sz w:val="20"/>
              </w:rPr>
              <w:t>21.539</w:t>
            </w:r>
          </w:p>
        </w:tc>
        <w:tc>
          <w:tcPr>
            <w:tcW w:w="1073" w:type="dxa"/>
            <w:tcBorders>
              <w:top w:val="nil"/>
              <w:left w:val="nil"/>
              <w:bottom w:val="nil"/>
              <w:right w:val="nil"/>
            </w:tcBorders>
          </w:tcPr>
          <w:p>
            <w:pPr>
              <w:pStyle w:val="TableParagraph"/>
              <w:ind w:right="65"/>
              <w:rPr>
                <w:sz w:val="20"/>
              </w:rPr>
            </w:pPr>
            <w:r>
              <w:rPr>
                <w:sz w:val="20"/>
              </w:rPr>
              <w:t>21.143</w:t>
            </w:r>
          </w:p>
        </w:tc>
        <w:tc>
          <w:tcPr>
            <w:tcW w:w="1076" w:type="dxa"/>
            <w:tcBorders>
              <w:top w:val="nil"/>
              <w:left w:val="nil"/>
              <w:bottom w:val="nil"/>
              <w:right w:val="nil"/>
            </w:tcBorders>
          </w:tcPr>
          <w:p>
            <w:pPr>
              <w:pStyle w:val="TableParagraph"/>
              <w:ind w:right="65"/>
              <w:rPr>
                <w:sz w:val="20"/>
              </w:rPr>
            </w:pPr>
            <w:r>
              <w:rPr>
                <w:sz w:val="20"/>
              </w:rPr>
              <w:t>21.119</w:t>
            </w:r>
          </w:p>
        </w:tc>
        <w:tc>
          <w:tcPr>
            <w:tcW w:w="1071" w:type="dxa"/>
            <w:tcBorders>
              <w:top w:val="nil"/>
              <w:left w:val="nil"/>
              <w:bottom w:val="nil"/>
              <w:right w:val="nil"/>
            </w:tcBorders>
          </w:tcPr>
          <w:p>
            <w:pPr>
              <w:pStyle w:val="TableParagraph"/>
              <w:ind w:right="60"/>
              <w:rPr>
                <w:sz w:val="20"/>
              </w:rPr>
            </w:pPr>
            <w:r>
              <w:rPr>
                <w:sz w:val="20"/>
              </w:rPr>
              <w:t>20.300</w:t>
            </w:r>
          </w:p>
        </w:tc>
      </w:tr>
      <w:tr>
        <w:trPr>
          <w:trHeight w:val="300" w:hRule="exact"/>
        </w:trPr>
        <w:tc>
          <w:tcPr>
            <w:tcW w:w="1146" w:type="dxa"/>
            <w:tcBorders>
              <w:top w:val="nil"/>
              <w:left w:val="nil"/>
              <w:bottom w:val="nil"/>
              <w:right w:val="nil"/>
            </w:tcBorders>
          </w:tcPr>
          <w:p>
            <w:pPr>
              <w:pStyle w:val="TableParagraph"/>
              <w:spacing w:before="26"/>
              <w:ind w:left="86"/>
              <w:jc w:val="left"/>
              <w:rPr>
                <w:sz w:val="20"/>
              </w:rPr>
            </w:pPr>
            <w:r>
              <w:rPr>
                <w:sz w:val="20"/>
              </w:rPr>
              <w:t>20</w:t>
            </w:r>
          </w:p>
        </w:tc>
        <w:tc>
          <w:tcPr>
            <w:tcW w:w="1051" w:type="dxa"/>
            <w:tcBorders>
              <w:top w:val="nil"/>
              <w:left w:val="nil"/>
              <w:bottom w:val="nil"/>
              <w:right w:val="nil"/>
            </w:tcBorders>
          </w:tcPr>
          <w:p>
            <w:pPr>
              <w:pStyle w:val="TableParagraph"/>
              <w:spacing w:before="26"/>
              <w:ind w:left="73"/>
              <w:jc w:val="left"/>
              <w:rPr>
                <w:sz w:val="20"/>
              </w:rPr>
            </w:pPr>
            <w:r>
              <w:rPr>
                <w:sz w:val="20"/>
              </w:rPr>
              <w:t>15029</w:t>
            </w:r>
          </w:p>
        </w:tc>
        <w:tc>
          <w:tcPr>
            <w:tcW w:w="991" w:type="dxa"/>
            <w:tcBorders>
              <w:top w:val="nil"/>
              <w:left w:val="nil"/>
              <w:bottom w:val="nil"/>
              <w:right w:val="nil"/>
            </w:tcBorders>
          </w:tcPr>
          <w:p>
            <w:pPr>
              <w:pStyle w:val="TableParagraph"/>
              <w:spacing w:before="26"/>
              <w:ind w:right="65"/>
              <w:rPr>
                <w:sz w:val="20"/>
              </w:rPr>
            </w:pPr>
            <w:r>
              <w:rPr>
                <w:sz w:val="20"/>
              </w:rPr>
              <w:t>20.630</w:t>
            </w:r>
          </w:p>
        </w:tc>
        <w:tc>
          <w:tcPr>
            <w:tcW w:w="992" w:type="dxa"/>
            <w:tcBorders>
              <w:top w:val="nil"/>
              <w:left w:val="nil"/>
              <w:bottom w:val="nil"/>
              <w:right w:val="nil"/>
            </w:tcBorders>
          </w:tcPr>
          <w:p>
            <w:pPr>
              <w:pStyle w:val="TableParagraph"/>
              <w:spacing w:before="26"/>
              <w:ind w:right="82"/>
              <w:rPr>
                <w:sz w:val="20"/>
              </w:rPr>
            </w:pPr>
            <w:r>
              <w:rPr>
                <w:sz w:val="20"/>
              </w:rPr>
              <w:t>21.914</w:t>
            </w:r>
          </w:p>
        </w:tc>
        <w:tc>
          <w:tcPr>
            <w:tcW w:w="1023" w:type="dxa"/>
            <w:tcBorders>
              <w:top w:val="nil"/>
              <w:left w:val="nil"/>
              <w:bottom w:val="nil"/>
              <w:right w:val="nil"/>
            </w:tcBorders>
          </w:tcPr>
          <w:p>
            <w:pPr>
              <w:pStyle w:val="TableParagraph"/>
              <w:spacing w:before="26"/>
              <w:ind w:right="63"/>
              <w:rPr>
                <w:sz w:val="20"/>
              </w:rPr>
            </w:pPr>
            <w:r>
              <w:rPr>
                <w:sz w:val="20"/>
              </w:rPr>
              <w:t>23.377</w:t>
            </w:r>
          </w:p>
        </w:tc>
        <w:tc>
          <w:tcPr>
            <w:tcW w:w="977" w:type="dxa"/>
            <w:tcBorders>
              <w:top w:val="nil"/>
              <w:left w:val="nil"/>
              <w:bottom w:val="nil"/>
              <w:right w:val="nil"/>
            </w:tcBorders>
          </w:tcPr>
          <w:p>
            <w:pPr>
              <w:pStyle w:val="TableParagraph"/>
              <w:spacing w:before="26"/>
              <w:ind w:right="65"/>
              <w:rPr>
                <w:sz w:val="20"/>
              </w:rPr>
            </w:pPr>
            <w:r>
              <w:rPr>
                <w:sz w:val="20"/>
              </w:rPr>
              <w:t>25.179</w:t>
            </w:r>
          </w:p>
        </w:tc>
        <w:tc>
          <w:tcPr>
            <w:tcW w:w="982" w:type="dxa"/>
            <w:tcBorders>
              <w:top w:val="nil"/>
              <w:left w:val="nil"/>
              <w:bottom w:val="nil"/>
              <w:right w:val="nil"/>
            </w:tcBorders>
          </w:tcPr>
          <w:p>
            <w:pPr>
              <w:pStyle w:val="TableParagraph"/>
              <w:spacing w:before="26"/>
              <w:ind w:right="67"/>
              <w:rPr>
                <w:sz w:val="20"/>
              </w:rPr>
            </w:pPr>
            <w:r>
              <w:rPr>
                <w:sz w:val="20"/>
              </w:rPr>
              <w:t>25.167</w:t>
            </w:r>
          </w:p>
        </w:tc>
        <w:tc>
          <w:tcPr>
            <w:tcW w:w="991" w:type="dxa"/>
            <w:tcBorders>
              <w:top w:val="nil"/>
              <w:left w:val="nil"/>
              <w:bottom w:val="nil"/>
              <w:right w:val="nil"/>
            </w:tcBorders>
          </w:tcPr>
          <w:p>
            <w:pPr>
              <w:pStyle w:val="TableParagraph"/>
              <w:spacing w:before="26"/>
              <w:ind w:right="74"/>
              <w:rPr>
                <w:sz w:val="20"/>
              </w:rPr>
            </w:pPr>
            <w:r>
              <w:rPr>
                <w:sz w:val="20"/>
              </w:rPr>
              <w:t>22.770</w:t>
            </w:r>
          </w:p>
        </w:tc>
        <w:tc>
          <w:tcPr>
            <w:tcW w:w="1013" w:type="dxa"/>
            <w:tcBorders>
              <w:top w:val="nil"/>
              <w:left w:val="nil"/>
              <w:bottom w:val="nil"/>
              <w:right w:val="nil"/>
            </w:tcBorders>
          </w:tcPr>
          <w:p>
            <w:pPr>
              <w:pStyle w:val="TableParagraph"/>
              <w:spacing w:before="26"/>
              <w:ind w:right="70"/>
              <w:rPr>
                <w:sz w:val="20"/>
              </w:rPr>
            </w:pPr>
            <w:r>
              <w:rPr>
                <w:sz w:val="20"/>
              </w:rPr>
              <w:t>21.229</w:t>
            </w:r>
          </w:p>
        </w:tc>
        <w:tc>
          <w:tcPr>
            <w:tcW w:w="1018" w:type="dxa"/>
            <w:tcBorders>
              <w:top w:val="nil"/>
              <w:left w:val="nil"/>
              <w:bottom w:val="nil"/>
              <w:right w:val="nil"/>
            </w:tcBorders>
          </w:tcPr>
          <w:p>
            <w:pPr>
              <w:pStyle w:val="TableParagraph"/>
              <w:spacing w:before="26"/>
              <w:ind w:right="89"/>
              <w:rPr>
                <w:sz w:val="20"/>
              </w:rPr>
            </w:pPr>
            <w:r>
              <w:rPr>
                <w:sz w:val="20"/>
              </w:rPr>
              <w:t>21.145</w:t>
            </w:r>
          </w:p>
        </w:tc>
        <w:tc>
          <w:tcPr>
            <w:tcW w:w="1039" w:type="dxa"/>
            <w:tcBorders>
              <w:top w:val="nil"/>
              <w:left w:val="nil"/>
              <w:bottom w:val="nil"/>
              <w:right w:val="nil"/>
            </w:tcBorders>
          </w:tcPr>
          <w:p>
            <w:pPr>
              <w:pStyle w:val="TableParagraph"/>
              <w:spacing w:before="26"/>
              <w:ind w:right="62"/>
              <w:rPr>
                <w:sz w:val="20"/>
              </w:rPr>
            </w:pPr>
            <w:r>
              <w:rPr>
                <w:sz w:val="20"/>
              </w:rPr>
              <w:t>21.148</w:t>
            </w:r>
          </w:p>
        </w:tc>
        <w:tc>
          <w:tcPr>
            <w:tcW w:w="1073" w:type="dxa"/>
            <w:tcBorders>
              <w:top w:val="nil"/>
              <w:left w:val="nil"/>
              <w:bottom w:val="nil"/>
              <w:right w:val="nil"/>
            </w:tcBorders>
          </w:tcPr>
          <w:p>
            <w:pPr>
              <w:pStyle w:val="TableParagraph"/>
              <w:spacing w:before="26"/>
              <w:ind w:right="65"/>
              <w:rPr>
                <w:sz w:val="20"/>
              </w:rPr>
            </w:pPr>
            <w:r>
              <w:rPr>
                <w:sz w:val="20"/>
              </w:rPr>
              <w:t>21.268</w:t>
            </w:r>
          </w:p>
        </w:tc>
        <w:tc>
          <w:tcPr>
            <w:tcW w:w="1076" w:type="dxa"/>
            <w:tcBorders>
              <w:top w:val="nil"/>
              <w:left w:val="nil"/>
              <w:bottom w:val="nil"/>
              <w:right w:val="nil"/>
            </w:tcBorders>
          </w:tcPr>
          <w:p>
            <w:pPr>
              <w:pStyle w:val="TableParagraph"/>
              <w:spacing w:before="26"/>
              <w:ind w:right="65"/>
              <w:rPr>
                <w:sz w:val="20"/>
              </w:rPr>
            </w:pPr>
            <w:r>
              <w:rPr>
                <w:sz w:val="20"/>
              </w:rPr>
              <w:t>21.128</w:t>
            </w:r>
          </w:p>
        </w:tc>
        <w:tc>
          <w:tcPr>
            <w:tcW w:w="1071" w:type="dxa"/>
            <w:tcBorders>
              <w:top w:val="nil"/>
              <w:left w:val="nil"/>
              <w:bottom w:val="nil"/>
              <w:right w:val="nil"/>
            </w:tcBorders>
          </w:tcPr>
          <w:p>
            <w:pPr>
              <w:pStyle w:val="TableParagraph"/>
              <w:spacing w:before="26"/>
              <w:ind w:right="60"/>
              <w:rPr>
                <w:sz w:val="20"/>
              </w:rPr>
            </w:pPr>
            <w:r>
              <w:rPr>
                <w:sz w:val="20"/>
              </w:rPr>
              <w:t>20.464</w:t>
            </w:r>
          </w:p>
        </w:tc>
      </w:tr>
      <w:tr>
        <w:trPr>
          <w:trHeight w:val="300" w:hRule="exact"/>
        </w:trPr>
        <w:tc>
          <w:tcPr>
            <w:tcW w:w="1146" w:type="dxa"/>
            <w:tcBorders>
              <w:top w:val="nil"/>
              <w:left w:val="nil"/>
              <w:bottom w:val="nil"/>
              <w:right w:val="nil"/>
            </w:tcBorders>
          </w:tcPr>
          <w:p>
            <w:pPr>
              <w:pStyle w:val="TableParagraph"/>
              <w:ind w:left="86"/>
              <w:jc w:val="left"/>
              <w:rPr>
                <w:sz w:val="20"/>
              </w:rPr>
            </w:pPr>
            <w:r>
              <w:rPr>
                <w:sz w:val="20"/>
              </w:rPr>
              <w:t>21</w:t>
            </w:r>
          </w:p>
        </w:tc>
        <w:tc>
          <w:tcPr>
            <w:tcW w:w="1051" w:type="dxa"/>
            <w:tcBorders>
              <w:top w:val="nil"/>
              <w:left w:val="nil"/>
              <w:bottom w:val="nil"/>
              <w:right w:val="nil"/>
            </w:tcBorders>
          </w:tcPr>
          <w:p>
            <w:pPr>
              <w:pStyle w:val="TableParagraph"/>
              <w:ind w:left="73"/>
              <w:jc w:val="left"/>
              <w:rPr>
                <w:sz w:val="20"/>
              </w:rPr>
            </w:pPr>
            <w:r>
              <w:rPr>
                <w:sz w:val="20"/>
              </w:rPr>
              <w:t>15001</w:t>
            </w:r>
          </w:p>
        </w:tc>
        <w:tc>
          <w:tcPr>
            <w:tcW w:w="991" w:type="dxa"/>
            <w:tcBorders>
              <w:top w:val="nil"/>
              <w:left w:val="nil"/>
              <w:bottom w:val="nil"/>
              <w:right w:val="nil"/>
            </w:tcBorders>
          </w:tcPr>
          <w:p>
            <w:pPr>
              <w:pStyle w:val="TableParagraph"/>
              <w:ind w:right="65"/>
              <w:rPr>
                <w:sz w:val="20"/>
              </w:rPr>
            </w:pPr>
            <w:r>
              <w:rPr>
                <w:sz w:val="20"/>
              </w:rPr>
              <w:t>20.267</w:t>
            </w:r>
          </w:p>
        </w:tc>
        <w:tc>
          <w:tcPr>
            <w:tcW w:w="992" w:type="dxa"/>
            <w:tcBorders>
              <w:top w:val="nil"/>
              <w:left w:val="nil"/>
              <w:bottom w:val="nil"/>
              <w:right w:val="nil"/>
            </w:tcBorders>
          </w:tcPr>
          <w:p>
            <w:pPr>
              <w:pStyle w:val="TableParagraph"/>
              <w:ind w:right="82"/>
              <w:rPr>
                <w:sz w:val="20"/>
              </w:rPr>
            </w:pPr>
            <w:r>
              <w:rPr>
                <w:sz w:val="20"/>
              </w:rPr>
              <w:t>21.980</w:t>
            </w:r>
          </w:p>
        </w:tc>
        <w:tc>
          <w:tcPr>
            <w:tcW w:w="1023" w:type="dxa"/>
            <w:tcBorders>
              <w:top w:val="nil"/>
              <w:left w:val="nil"/>
              <w:bottom w:val="nil"/>
              <w:right w:val="nil"/>
            </w:tcBorders>
          </w:tcPr>
          <w:p>
            <w:pPr>
              <w:pStyle w:val="TableParagraph"/>
              <w:ind w:right="63"/>
              <w:rPr>
                <w:sz w:val="20"/>
              </w:rPr>
            </w:pPr>
            <w:r>
              <w:rPr>
                <w:sz w:val="20"/>
              </w:rPr>
              <w:t>24.091</w:t>
            </w:r>
          </w:p>
        </w:tc>
        <w:tc>
          <w:tcPr>
            <w:tcW w:w="977" w:type="dxa"/>
            <w:tcBorders>
              <w:top w:val="nil"/>
              <w:left w:val="nil"/>
              <w:bottom w:val="nil"/>
              <w:right w:val="nil"/>
            </w:tcBorders>
          </w:tcPr>
          <w:p>
            <w:pPr>
              <w:pStyle w:val="TableParagraph"/>
              <w:ind w:right="65"/>
              <w:rPr>
                <w:sz w:val="20"/>
              </w:rPr>
            </w:pPr>
            <w:r>
              <w:rPr>
                <w:sz w:val="20"/>
              </w:rPr>
              <w:t>25.730</w:t>
            </w:r>
          </w:p>
        </w:tc>
        <w:tc>
          <w:tcPr>
            <w:tcW w:w="982" w:type="dxa"/>
            <w:tcBorders>
              <w:top w:val="nil"/>
              <w:left w:val="nil"/>
              <w:bottom w:val="nil"/>
              <w:right w:val="nil"/>
            </w:tcBorders>
          </w:tcPr>
          <w:p>
            <w:pPr>
              <w:pStyle w:val="TableParagraph"/>
              <w:ind w:right="67"/>
              <w:rPr>
                <w:sz w:val="20"/>
              </w:rPr>
            </w:pPr>
            <w:r>
              <w:rPr>
                <w:sz w:val="20"/>
              </w:rPr>
              <w:t>25.168</w:t>
            </w:r>
          </w:p>
        </w:tc>
        <w:tc>
          <w:tcPr>
            <w:tcW w:w="991" w:type="dxa"/>
            <w:tcBorders>
              <w:top w:val="nil"/>
              <w:left w:val="nil"/>
              <w:bottom w:val="nil"/>
              <w:right w:val="nil"/>
            </w:tcBorders>
          </w:tcPr>
          <w:p>
            <w:pPr>
              <w:pStyle w:val="TableParagraph"/>
              <w:ind w:right="74"/>
              <w:rPr>
                <w:sz w:val="20"/>
              </w:rPr>
            </w:pPr>
            <w:r>
              <w:rPr>
                <w:sz w:val="20"/>
              </w:rPr>
              <w:t>23.237</w:t>
            </w:r>
          </w:p>
        </w:tc>
        <w:tc>
          <w:tcPr>
            <w:tcW w:w="1013" w:type="dxa"/>
            <w:tcBorders>
              <w:top w:val="nil"/>
              <w:left w:val="nil"/>
              <w:bottom w:val="nil"/>
              <w:right w:val="nil"/>
            </w:tcBorders>
          </w:tcPr>
          <w:p>
            <w:pPr>
              <w:pStyle w:val="TableParagraph"/>
              <w:ind w:right="70"/>
              <w:rPr>
                <w:sz w:val="20"/>
              </w:rPr>
            </w:pPr>
            <w:r>
              <w:rPr>
                <w:sz w:val="20"/>
              </w:rPr>
              <w:t>21.725</w:t>
            </w:r>
          </w:p>
        </w:tc>
        <w:tc>
          <w:tcPr>
            <w:tcW w:w="1018" w:type="dxa"/>
            <w:tcBorders>
              <w:top w:val="nil"/>
              <w:left w:val="nil"/>
              <w:bottom w:val="nil"/>
              <w:right w:val="nil"/>
            </w:tcBorders>
          </w:tcPr>
          <w:p>
            <w:pPr>
              <w:pStyle w:val="TableParagraph"/>
              <w:ind w:right="89"/>
              <w:rPr>
                <w:sz w:val="20"/>
              </w:rPr>
            </w:pPr>
            <w:r>
              <w:rPr>
                <w:sz w:val="20"/>
              </w:rPr>
              <w:t>21.854</w:t>
            </w:r>
          </w:p>
        </w:tc>
        <w:tc>
          <w:tcPr>
            <w:tcW w:w="1039" w:type="dxa"/>
            <w:tcBorders>
              <w:top w:val="nil"/>
              <w:left w:val="nil"/>
              <w:bottom w:val="nil"/>
              <w:right w:val="nil"/>
            </w:tcBorders>
          </w:tcPr>
          <w:p>
            <w:pPr>
              <w:pStyle w:val="TableParagraph"/>
              <w:ind w:right="62"/>
              <w:rPr>
                <w:sz w:val="20"/>
              </w:rPr>
            </w:pPr>
            <w:r>
              <w:rPr>
                <w:sz w:val="20"/>
              </w:rPr>
              <w:t>21.539</w:t>
            </w:r>
          </w:p>
        </w:tc>
        <w:tc>
          <w:tcPr>
            <w:tcW w:w="1073" w:type="dxa"/>
            <w:tcBorders>
              <w:top w:val="nil"/>
              <w:left w:val="nil"/>
              <w:bottom w:val="nil"/>
              <w:right w:val="nil"/>
            </w:tcBorders>
          </w:tcPr>
          <w:p>
            <w:pPr>
              <w:pStyle w:val="TableParagraph"/>
              <w:ind w:right="65"/>
              <w:rPr>
                <w:sz w:val="20"/>
              </w:rPr>
            </w:pPr>
            <w:r>
              <w:rPr>
                <w:sz w:val="20"/>
              </w:rPr>
              <w:t>21.143</w:t>
            </w:r>
          </w:p>
        </w:tc>
        <w:tc>
          <w:tcPr>
            <w:tcW w:w="1076" w:type="dxa"/>
            <w:tcBorders>
              <w:top w:val="nil"/>
              <w:left w:val="nil"/>
              <w:bottom w:val="nil"/>
              <w:right w:val="nil"/>
            </w:tcBorders>
          </w:tcPr>
          <w:p>
            <w:pPr>
              <w:pStyle w:val="TableParagraph"/>
              <w:ind w:right="65"/>
              <w:rPr>
                <w:sz w:val="20"/>
              </w:rPr>
            </w:pPr>
            <w:r>
              <w:rPr>
                <w:sz w:val="20"/>
              </w:rPr>
              <w:t>21.119</w:t>
            </w:r>
          </w:p>
        </w:tc>
        <w:tc>
          <w:tcPr>
            <w:tcW w:w="1071" w:type="dxa"/>
            <w:tcBorders>
              <w:top w:val="nil"/>
              <w:left w:val="nil"/>
              <w:bottom w:val="nil"/>
              <w:right w:val="nil"/>
            </w:tcBorders>
          </w:tcPr>
          <w:p>
            <w:pPr>
              <w:pStyle w:val="TableParagraph"/>
              <w:ind w:right="60"/>
              <w:rPr>
                <w:sz w:val="20"/>
              </w:rPr>
            </w:pPr>
            <w:r>
              <w:rPr>
                <w:sz w:val="20"/>
              </w:rPr>
              <w:t>20.300</w:t>
            </w:r>
          </w:p>
        </w:tc>
      </w:tr>
      <w:tr>
        <w:trPr>
          <w:trHeight w:val="300" w:hRule="exact"/>
        </w:trPr>
        <w:tc>
          <w:tcPr>
            <w:tcW w:w="1146" w:type="dxa"/>
            <w:tcBorders>
              <w:top w:val="nil"/>
              <w:left w:val="nil"/>
              <w:bottom w:val="nil"/>
              <w:right w:val="nil"/>
            </w:tcBorders>
          </w:tcPr>
          <w:p>
            <w:pPr>
              <w:pStyle w:val="TableParagraph"/>
              <w:spacing w:before="26"/>
              <w:ind w:left="86"/>
              <w:jc w:val="left"/>
              <w:rPr>
                <w:sz w:val="20"/>
              </w:rPr>
            </w:pPr>
            <w:r>
              <w:rPr>
                <w:sz w:val="20"/>
              </w:rPr>
              <w:t>22</w:t>
            </w:r>
          </w:p>
        </w:tc>
        <w:tc>
          <w:tcPr>
            <w:tcW w:w="1051" w:type="dxa"/>
            <w:tcBorders>
              <w:top w:val="nil"/>
              <w:left w:val="nil"/>
              <w:bottom w:val="nil"/>
              <w:right w:val="nil"/>
            </w:tcBorders>
          </w:tcPr>
          <w:p>
            <w:pPr>
              <w:pStyle w:val="TableParagraph"/>
              <w:spacing w:before="26"/>
              <w:ind w:left="73"/>
              <w:jc w:val="left"/>
              <w:rPr>
                <w:sz w:val="20"/>
              </w:rPr>
            </w:pPr>
            <w:r>
              <w:rPr>
                <w:sz w:val="20"/>
              </w:rPr>
              <w:t>15029</w:t>
            </w:r>
          </w:p>
        </w:tc>
        <w:tc>
          <w:tcPr>
            <w:tcW w:w="991" w:type="dxa"/>
            <w:tcBorders>
              <w:top w:val="nil"/>
              <w:left w:val="nil"/>
              <w:bottom w:val="nil"/>
              <w:right w:val="nil"/>
            </w:tcBorders>
          </w:tcPr>
          <w:p>
            <w:pPr>
              <w:pStyle w:val="TableParagraph"/>
              <w:spacing w:before="26"/>
              <w:ind w:right="65"/>
              <w:rPr>
                <w:sz w:val="20"/>
              </w:rPr>
            </w:pPr>
            <w:r>
              <w:rPr>
                <w:sz w:val="20"/>
              </w:rPr>
              <w:t>20.630</w:t>
            </w:r>
          </w:p>
        </w:tc>
        <w:tc>
          <w:tcPr>
            <w:tcW w:w="992" w:type="dxa"/>
            <w:tcBorders>
              <w:top w:val="nil"/>
              <w:left w:val="nil"/>
              <w:bottom w:val="nil"/>
              <w:right w:val="nil"/>
            </w:tcBorders>
          </w:tcPr>
          <w:p>
            <w:pPr>
              <w:pStyle w:val="TableParagraph"/>
              <w:spacing w:before="26"/>
              <w:ind w:right="82"/>
              <w:rPr>
                <w:sz w:val="20"/>
              </w:rPr>
            </w:pPr>
            <w:r>
              <w:rPr>
                <w:sz w:val="20"/>
              </w:rPr>
              <w:t>21.914</w:t>
            </w:r>
          </w:p>
        </w:tc>
        <w:tc>
          <w:tcPr>
            <w:tcW w:w="1023" w:type="dxa"/>
            <w:tcBorders>
              <w:top w:val="nil"/>
              <w:left w:val="nil"/>
              <w:bottom w:val="nil"/>
              <w:right w:val="nil"/>
            </w:tcBorders>
          </w:tcPr>
          <w:p>
            <w:pPr>
              <w:pStyle w:val="TableParagraph"/>
              <w:spacing w:before="26"/>
              <w:ind w:right="63"/>
              <w:rPr>
                <w:sz w:val="20"/>
              </w:rPr>
            </w:pPr>
            <w:r>
              <w:rPr>
                <w:sz w:val="20"/>
              </w:rPr>
              <w:t>23.377</w:t>
            </w:r>
          </w:p>
        </w:tc>
        <w:tc>
          <w:tcPr>
            <w:tcW w:w="977" w:type="dxa"/>
            <w:tcBorders>
              <w:top w:val="nil"/>
              <w:left w:val="nil"/>
              <w:bottom w:val="nil"/>
              <w:right w:val="nil"/>
            </w:tcBorders>
          </w:tcPr>
          <w:p>
            <w:pPr>
              <w:pStyle w:val="TableParagraph"/>
              <w:spacing w:before="26"/>
              <w:ind w:right="65"/>
              <w:rPr>
                <w:sz w:val="20"/>
              </w:rPr>
            </w:pPr>
            <w:r>
              <w:rPr>
                <w:sz w:val="20"/>
              </w:rPr>
              <w:t>25.179</w:t>
            </w:r>
          </w:p>
        </w:tc>
        <w:tc>
          <w:tcPr>
            <w:tcW w:w="982" w:type="dxa"/>
            <w:tcBorders>
              <w:top w:val="nil"/>
              <w:left w:val="nil"/>
              <w:bottom w:val="nil"/>
              <w:right w:val="nil"/>
            </w:tcBorders>
          </w:tcPr>
          <w:p>
            <w:pPr>
              <w:pStyle w:val="TableParagraph"/>
              <w:spacing w:before="26"/>
              <w:ind w:right="67"/>
              <w:rPr>
                <w:sz w:val="20"/>
              </w:rPr>
            </w:pPr>
            <w:r>
              <w:rPr>
                <w:sz w:val="20"/>
              </w:rPr>
              <w:t>25.167</w:t>
            </w:r>
          </w:p>
        </w:tc>
        <w:tc>
          <w:tcPr>
            <w:tcW w:w="991" w:type="dxa"/>
            <w:tcBorders>
              <w:top w:val="nil"/>
              <w:left w:val="nil"/>
              <w:bottom w:val="nil"/>
              <w:right w:val="nil"/>
            </w:tcBorders>
          </w:tcPr>
          <w:p>
            <w:pPr>
              <w:pStyle w:val="TableParagraph"/>
              <w:spacing w:before="26"/>
              <w:ind w:right="74"/>
              <w:rPr>
                <w:sz w:val="20"/>
              </w:rPr>
            </w:pPr>
            <w:r>
              <w:rPr>
                <w:sz w:val="20"/>
              </w:rPr>
              <w:t>22.770</w:t>
            </w:r>
          </w:p>
        </w:tc>
        <w:tc>
          <w:tcPr>
            <w:tcW w:w="1013" w:type="dxa"/>
            <w:tcBorders>
              <w:top w:val="nil"/>
              <w:left w:val="nil"/>
              <w:bottom w:val="nil"/>
              <w:right w:val="nil"/>
            </w:tcBorders>
          </w:tcPr>
          <w:p>
            <w:pPr>
              <w:pStyle w:val="TableParagraph"/>
              <w:spacing w:before="26"/>
              <w:ind w:right="70"/>
              <w:rPr>
                <w:sz w:val="20"/>
              </w:rPr>
            </w:pPr>
            <w:r>
              <w:rPr>
                <w:sz w:val="20"/>
              </w:rPr>
              <w:t>21.229</w:t>
            </w:r>
          </w:p>
        </w:tc>
        <w:tc>
          <w:tcPr>
            <w:tcW w:w="1018" w:type="dxa"/>
            <w:tcBorders>
              <w:top w:val="nil"/>
              <w:left w:val="nil"/>
              <w:bottom w:val="nil"/>
              <w:right w:val="nil"/>
            </w:tcBorders>
          </w:tcPr>
          <w:p>
            <w:pPr>
              <w:pStyle w:val="TableParagraph"/>
              <w:spacing w:before="26"/>
              <w:ind w:right="89"/>
              <w:rPr>
                <w:sz w:val="20"/>
              </w:rPr>
            </w:pPr>
            <w:r>
              <w:rPr>
                <w:sz w:val="20"/>
              </w:rPr>
              <w:t>21.145</w:t>
            </w:r>
          </w:p>
        </w:tc>
        <w:tc>
          <w:tcPr>
            <w:tcW w:w="1039" w:type="dxa"/>
            <w:tcBorders>
              <w:top w:val="nil"/>
              <w:left w:val="nil"/>
              <w:bottom w:val="nil"/>
              <w:right w:val="nil"/>
            </w:tcBorders>
          </w:tcPr>
          <w:p>
            <w:pPr>
              <w:pStyle w:val="TableParagraph"/>
              <w:spacing w:before="26"/>
              <w:ind w:right="62"/>
              <w:rPr>
                <w:sz w:val="20"/>
              </w:rPr>
            </w:pPr>
            <w:r>
              <w:rPr>
                <w:sz w:val="20"/>
              </w:rPr>
              <w:t>21.148</w:t>
            </w:r>
          </w:p>
        </w:tc>
        <w:tc>
          <w:tcPr>
            <w:tcW w:w="1073" w:type="dxa"/>
            <w:tcBorders>
              <w:top w:val="nil"/>
              <w:left w:val="nil"/>
              <w:bottom w:val="nil"/>
              <w:right w:val="nil"/>
            </w:tcBorders>
          </w:tcPr>
          <w:p>
            <w:pPr>
              <w:pStyle w:val="TableParagraph"/>
              <w:spacing w:before="26"/>
              <w:ind w:right="65"/>
              <w:rPr>
                <w:sz w:val="20"/>
              </w:rPr>
            </w:pPr>
            <w:r>
              <w:rPr>
                <w:sz w:val="20"/>
              </w:rPr>
              <w:t>21.268</w:t>
            </w:r>
          </w:p>
        </w:tc>
        <w:tc>
          <w:tcPr>
            <w:tcW w:w="1076" w:type="dxa"/>
            <w:tcBorders>
              <w:top w:val="nil"/>
              <w:left w:val="nil"/>
              <w:bottom w:val="nil"/>
              <w:right w:val="nil"/>
            </w:tcBorders>
          </w:tcPr>
          <w:p>
            <w:pPr>
              <w:pStyle w:val="TableParagraph"/>
              <w:spacing w:before="26"/>
              <w:ind w:right="65"/>
              <w:rPr>
                <w:sz w:val="20"/>
              </w:rPr>
            </w:pPr>
            <w:r>
              <w:rPr>
                <w:sz w:val="20"/>
              </w:rPr>
              <w:t>21.128</w:t>
            </w:r>
          </w:p>
        </w:tc>
        <w:tc>
          <w:tcPr>
            <w:tcW w:w="1071" w:type="dxa"/>
            <w:tcBorders>
              <w:top w:val="nil"/>
              <w:left w:val="nil"/>
              <w:bottom w:val="nil"/>
              <w:right w:val="nil"/>
            </w:tcBorders>
          </w:tcPr>
          <w:p>
            <w:pPr>
              <w:pStyle w:val="TableParagraph"/>
              <w:spacing w:before="26"/>
              <w:ind w:right="60"/>
              <w:rPr>
                <w:sz w:val="20"/>
              </w:rPr>
            </w:pPr>
            <w:r>
              <w:rPr>
                <w:sz w:val="20"/>
              </w:rPr>
              <w:t>20.464</w:t>
            </w:r>
          </w:p>
        </w:tc>
      </w:tr>
      <w:tr>
        <w:trPr>
          <w:trHeight w:val="300" w:hRule="exact"/>
        </w:trPr>
        <w:tc>
          <w:tcPr>
            <w:tcW w:w="1146" w:type="dxa"/>
            <w:tcBorders>
              <w:top w:val="nil"/>
              <w:left w:val="nil"/>
              <w:bottom w:val="nil"/>
              <w:right w:val="nil"/>
            </w:tcBorders>
          </w:tcPr>
          <w:p>
            <w:pPr>
              <w:pStyle w:val="TableParagraph"/>
              <w:ind w:left="86"/>
              <w:jc w:val="left"/>
              <w:rPr>
                <w:sz w:val="20"/>
              </w:rPr>
            </w:pPr>
            <w:r>
              <w:rPr>
                <w:sz w:val="20"/>
              </w:rPr>
              <w:t>23</w:t>
            </w:r>
          </w:p>
        </w:tc>
        <w:tc>
          <w:tcPr>
            <w:tcW w:w="1051" w:type="dxa"/>
            <w:tcBorders>
              <w:top w:val="nil"/>
              <w:left w:val="nil"/>
              <w:bottom w:val="nil"/>
              <w:right w:val="nil"/>
            </w:tcBorders>
          </w:tcPr>
          <w:p>
            <w:pPr>
              <w:pStyle w:val="TableParagraph"/>
              <w:ind w:left="73"/>
              <w:jc w:val="left"/>
              <w:rPr>
                <w:sz w:val="20"/>
              </w:rPr>
            </w:pPr>
            <w:r>
              <w:rPr>
                <w:sz w:val="20"/>
              </w:rPr>
              <w:t>15001</w:t>
            </w:r>
          </w:p>
        </w:tc>
        <w:tc>
          <w:tcPr>
            <w:tcW w:w="991" w:type="dxa"/>
            <w:tcBorders>
              <w:top w:val="nil"/>
              <w:left w:val="nil"/>
              <w:bottom w:val="nil"/>
              <w:right w:val="nil"/>
            </w:tcBorders>
          </w:tcPr>
          <w:p>
            <w:pPr>
              <w:pStyle w:val="TableParagraph"/>
              <w:ind w:right="65"/>
              <w:rPr>
                <w:sz w:val="20"/>
              </w:rPr>
            </w:pPr>
            <w:r>
              <w:rPr>
                <w:sz w:val="20"/>
              </w:rPr>
              <w:t>20.267</w:t>
            </w:r>
          </w:p>
        </w:tc>
        <w:tc>
          <w:tcPr>
            <w:tcW w:w="992" w:type="dxa"/>
            <w:tcBorders>
              <w:top w:val="nil"/>
              <w:left w:val="nil"/>
              <w:bottom w:val="nil"/>
              <w:right w:val="nil"/>
            </w:tcBorders>
          </w:tcPr>
          <w:p>
            <w:pPr>
              <w:pStyle w:val="TableParagraph"/>
              <w:ind w:right="82"/>
              <w:rPr>
                <w:sz w:val="20"/>
              </w:rPr>
            </w:pPr>
            <w:r>
              <w:rPr>
                <w:sz w:val="20"/>
              </w:rPr>
              <w:t>21.980</w:t>
            </w:r>
          </w:p>
        </w:tc>
        <w:tc>
          <w:tcPr>
            <w:tcW w:w="1023" w:type="dxa"/>
            <w:tcBorders>
              <w:top w:val="nil"/>
              <w:left w:val="nil"/>
              <w:bottom w:val="nil"/>
              <w:right w:val="nil"/>
            </w:tcBorders>
          </w:tcPr>
          <w:p>
            <w:pPr>
              <w:pStyle w:val="TableParagraph"/>
              <w:ind w:right="63"/>
              <w:rPr>
                <w:sz w:val="20"/>
              </w:rPr>
            </w:pPr>
            <w:r>
              <w:rPr>
                <w:sz w:val="20"/>
              </w:rPr>
              <w:t>24.091</w:t>
            </w:r>
          </w:p>
        </w:tc>
        <w:tc>
          <w:tcPr>
            <w:tcW w:w="977" w:type="dxa"/>
            <w:tcBorders>
              <w:top w:val="nil"/>
              <w:left w:val="nil"/>
              <w:bottom w:val="nil"/>
              <w:right w:val="nil"/>
            </w:tcBorders>
          </w:tcPr>
          <w:p>
            <w:pPr>
              <w:pStyle w:val="TableParagraph"/>
              <w:ind w:right="65"/>
              <w:rPr>
                <w:sz w:val="20"/>
              </w:rPr>
            </w:pPr>
            <w:r>
              <w:rPr>
                <w:sz w:val="20"/>
              </w:rPr>
              <w:t>25.730</w:t>
            </w:r>
          </w:p>
        </w:tc>
        <w:tc>
          <w:tcPr>
            <w:tcW w:w="982" w:type="dxa"/>
            <w:tcBorders>
              <w:top w:val="nil"/>
              <w:left w:val="nil"/>
              <w:bottom w:val="nil"/>
              <w:right w:val="nil"/>
            </w:tcBorders>
          </w:tcPr>
          <w:p>
            <w:pPr>
              <w:pStyle w:val="TableParagraph"/>
              <w:ind w:right="67"/>
              <w:rPr>
                <w:sz w:val="20"/>
              </w:rPr>
            </w:pPr>
            <w:r>
              <w:rPr>
                <w:sz w:val="20"/>
              </w:rPr>
              <w:t>25.168</w:t>
            </w:r>
          </w:p>
        </w:tc>
        <w:tc>
          <w:tcPr>
            <w:tcW w:w="991" w:type="dxa"/>
            <w:tcBorders>
              <w:top w:val="nil"/>
              <w:left w:val="nil"/>
              <w:bottom w:val="nil"/>
              <w:right w:val="nil"/>
            </w:tcBorders>
          </w:tcPr>
          <w:p>
            <w:pPr>
              <w:pStyle w:val="TableParagraph"/>
              <w:ind w:right="74"/>
              <w:rPr>
                <w:sz w:val="20"/>
              </w:rPr>
            </w:pPr>
            <w:r>
              <w:rPr>
                <w:sz w:val="20"/>
              </w:rPr>
              <w:t>23.237</w:t>
            </w:r>
          </w:p>
        </w:tc>
        <w:tc>
          <w:tcPr>
            <w:tcW w:w="1013" w:type="dxa"/>
            <w:tcBorders>
              <w:top w:val="nil"/>
              <w:left w:val="nil"/>
              <w:bottom w:val="nil"/>
              <w:right w:val="nil"/>
            </w:tcBorders>
          </w:tcPr>
          <w:p>
            <w:pPr>
              <w:pStyle w:val="TableParagraph"/>
              <w:ind w:right="70"/>
              <w:rPr>
                <w:sz w:val="20"/>
              </w:rPr>
            </w:pPr>
            <w:r>
              <w:rPr>
                <w:sz w:val="20"/>
              </w:rPr>
              <w:t>21.725</w:t>
            </w:r>
          </w:p>
        </w:tc>
        <w:tc>
          <w:tcPr>
            <w:tcW w:w="1018" w:type="dxa"/>
            <w:tcBorders>
              <w:top w:val="nil"/>
              <w:left w:val="nil"/>
              <w:bottom w:val="nil"/>
              <w:right w:val="nil"/>
            </w:tcBorders>
          </w:tcPr>
          <w:p>
            <w:pPr>
              <w:pStyle w:val="TableParagraph"/>
              <w:ind w:right="89"/>
              <w:rPr>
                <w:sz w:val="20"/>
              </w:rPr>
            </w:pPr>
            <w:r>
              <w:rPr>
                <w:sz w:val="20"/>
              </w:rPr>
              <w:t>21.854</w:t>
            </w:r>
          </w:p>
        </w:tc>
        <w:tc>
          <w:tcPr>
            <w:tcW w:w="1039" w:type="dxa"/>
            <w:tcBorders>
              <w:top w:val="nil"/>
              <w:left w:val="nil"/>
              <w:bottom w:val="nil"/>
              <w:right w:val="nil"/>
            </w:tcBorders>
          </w:tcPr>
          <w:p>
            <w:pPr>
              <w:pStyle w:val="TableParagraph"/>
              <w:ind w:right="62"/>
              <w:rPr>
                <w:sz w:val="20"/>
              </w:rPr>
            </w:pPr>
            <w:r>
              <w:rPr>
                <w:sz w:val="20"/>
              </w:rPr>
              <w:t>21.539</w:t>
            </w:r>
          </w:p>
        </w:tc>
        <w:tc>
          <w:tcPr>
            <w:tcW w:w="1073" w:type="dxa"/>
            <w:tcBorders>
              <w:top w:val="nil"/>
              <w:left w:val="nil"/>
              <w:bottom w:val="nil"/>
              <w:right w:val="nil"/>
            </w:tcBorders>
          </w:tcPr>
          <w:p>
            <w:pPr>
              <w:pStyle w:val="TableParagraph"/>
              <w:ind w:right="65"/>
              <w:rPr>
                <w:sz w:val="20"/>
              </w:rPr>
            </w:pPr>
            <w:r>
              <w:rPr>
                <w:sz w:val="20"/>
              </w:rPr>
              <w:t>21.143</w:t>
            </w:r>
          </w:p>
        </w:tc>
        <w:tc>
          <w:tcPr>
            <w:tcW w:w="1076" w:type="dxa"/>
            <w:tcBorders>
              <w:top w:val="nil"/>
              <w:left w:val="nil"/>
              <w:bottom w:val="nil"/>
              <w:right w:val="nil"/>
            </w:tcBorders>
          </w:tcPr>
          <w:p>
            <w:pPr>
              <w:pStyle w:val="TableParagraph"/>
              <w:ind w:right="65"/>
              <w:rPr>
                <w:sz w:val="20"/>
              </w:rPr>
            </w:pPr>
            <w:r>
              <w:rPr>
                <w:sz w:val="20"/>
              </w:rPr>
              <w:t>21.119</w:t>
            </w:r>
          </w:p>
        </w:tc>
        <w:tc>
          <w:tcPr>
            <w:tcW w:w="1071" w:type="dxa"/>
            <w:tcBorders>
              <w:top w:val="nil"/>
              <w:left w:val="nil"/>
              <w:bottom w:val="nil"/>
              <w:right w:val="nil"/>
            </w:tcBorders>
          </w:tcPr>
          <w:p>
            <w:pPr>
              <w:pStyle w:val="TableParagraph"/>
              <w:ind w:right="60"/>
              <w:rPr>
                <w:sz w:val="20"/>
              </w:rPr>
            </w:pPr>
            <w:r>
              <w:rPr>
                <w:sz w:val="20"/>
              </w:rPr>
              <w:t>20.300</w:t>
            </w:r>
          </w:p>
        </w:tc>
      </w:tr>
      <w:tr>
        <w:trPr>
          <w:trHeight w:val="300" w:hRule="exact"/>
        </w:trPr>
        <w:tc>
          <w:tcPr>
            <w:tcW w:w="1146" w:type="dxa"/>
            <w:tcBorders>
              <w:top w:val="nil"/>
              <w:left w:val="nil"/>
              <w:bottom w:val="nil"/>
              <w:right w:val="nil"/>
            </w:tcBorders>
          </w:tcPr>
          <w:p>
            <w:pPr>
              <w:pStyle w:val="TableParagraph"/>
              <w:spacing w:before="26"/>
              <w:ind w:left="86"/>
              <w:jc w:val="left"/>
              <w:rPr>
                <w:sz w:val="20"/>
              </w:rPr>
            </w:pPr>
            <w:r>
              <w:rPr>
                <w:sz w:val="20"/>
              </w:rPr>
              <w:t>24</w:t>
            </w:r>
          </w:p>
        </w:tc>
        <w:tc>
          <w:tcPr>
            <w:tcW w:w="1051" w:type="dxa"/>
            <w:tcBorders>
              <w:top w:val="nil"/>
              <w:left w:val="nil"/>
              <w:bottom w:val="nil"/>
              <w:right w:val="nil"/>
            </w:tcBorders>
          </w:tcPr>
          <w:p>
            <w:pPr>
              <w:pStyle w:val="TableParagraph"/>
              <w:spacing w:before="26"/>
              <w:ind w:left="73"/>
              <w:jc w:val="left"/>
              <w:rPr>
                <w:sz w:val="20"/>
              </w:rPr>
            </w:pPr>
            <w:r>
              <w:rPr>
                <w:sz w:val="20"/>
              </w:rPr>
              <w:t>15029</w:t>
            </w:r>
          </w:p>
        </w:tc>
        <w:tc>
          <w:tcPr>
            <w:tcW w:w="991" w:type="dxa"/>
            <w:tcBorders>
              <w:top w:val="nil"/>
              <w:left w:val="nil"/>
              <w:bottom w:val="nil"/>
              <w:right w:val="nil"/>
            </w:tcBorders>
          </w:tcPr>
          <w:p>
            <w:pPr>
              <w:pStyle w:val="TableParagraph"/>
              <w:spacing w:before="26"/>
              <w:ind w:right="65"/>
              <w:rPr>
                <w:sz w:val="20"/>
              </w:rPr>
            </w:pPr>
            <w:r>
              <w:rPr>
                <w:sz w:val="20"/>
              </w:rPr>
              <w:t>20.630</w:t>
            </w:r>
          </w:p>
        </w:tc>
        <w:tc>
          <w:tcPr>
            <w:tcW w:w="992" w:type="dxa"/>
            <w:tcBorders>
              <w:top w:val="nil"/>
              <w:left w:val="nil"/>
              <w:bottom w:val="nil"/>
              <w:right w:val="nil"/>
            </w:tcBorders>
          </w:tcPr>
          <w:p>
            <w:pPr>
              <w:pStyle w:val="TableParagraph"/>
              <w:spacing w:before="26"/>
              <w:ind w:right="82"/>
              <w:rPr>
                <w:sz w:val="20"/>
              </w:rPr>
            </w:pPr>
            <w:r>
              <w:rPr>
                <w:sz w:val="20"/>
              </w:rPr>
              <w:t>21.914</w:t>
            </w:r>
          </w:p>
        </w:tc>
        <w:tc>
          <w:tcPr>
            <w:tcW w:w="1023" w:type="dxa"/>
            <w:tcBorders>
              <w:top w:val="nil"/>
              <w:left w:val="nil"/>
              <w:bottom w:val="nil"/>
              <w:right w:val="nil"/>
            </w:tcBorders>
          </w:tcPr>
          <w:p>
            <w:pPr>
              <w:pStyle w:val="TableParagraph"/>
              <w:spacing w:before="26"/>
              <w:ind w:right="63"/>
              <w:rPr>
                <w:sz w:val="20"/>
              </w:rPr>
            </w:pPr>
            <w:r>
              <w:rPr>
                <w:sz w:val="20"/>
              </w:rPr>
              <w:t>23.377</w:t>
            </w:r>
          </w:p>
        </w:tc>
        <w:tc>
          <w:tcPr>
            <w:tcW w:w="977" w:type="dxa"/>
            <w:tcBorders>
              <w:top w:val="nil"/>
              <w:left w:val="nil"/>
              <w:bottom w:val="nil"/>
              <w:right w:val="nil"/>
            </w:tcBorders>
          </w:tcPr>
          <w:p>
            <w:pPr>
              <w:pStyle w:val="TableParagraph"/>
              <w:spacing w:before="26"/>
              <w:ind w:right="65"/>
              <w:rPr>
                <w:sz w:val="20"/>
              </w:rPr>
            </w:pPr>
            <w:r>
              <w:rPr>
                <w:sz w:val="20"/>
              </w:rPr>
              <w:t>25.179</w:t>
            </w:r>
          </w:p>
        </w:tc>
        <w:tc>
          <w:tcPr>
            <w:tcW w:w="982" w:type="dxa"/>
            <w:tcBorders>
              <w:top w:val="nil"/>
              <w:left w:val="nil"/>
              <w:bottom w:val="nil"/>
              <w:right w:val="nil"/>
            </w:tcBorders>
          </w:tcPr>
          <w:p>
            <w:pPr>
              <w:pStyle w:val="TableParagraph"/>
              <w:spacing w:before="26"/>
              <w:ind w:right="67"/>
              <w:rPr>
                <w:sz w:val="20"/>
              </w:rPr>
            </w:pPr>
            <w:r>
              <w:rPr>
                <w:sz w:val="20"/>
              </w:rPr>
              <w:t>25.167</w:t>
            </w:r>
          </w:p>
        </w:tc>
        <w:tc>
          <w:tcPr>
            <w:tcW w:w="991" w:type="dxa"/>
            <w:tcBorders>
              <w:top w:val="nil"/>
              <w:left w:val="nil"/>
              <w:bottom w:val="nil"/>
              <w:right w:val="nil"/>
            </w:tcBorders>
          </w:tcPr>
          <w:p>
            <w:pPr>
              <w:pStyle w:val="TableParagraph"/>
              <w:spacing w:before="26"/>
              <w:ind w:right="74"/>
              <w:rPr>
                <w:sz w:val="20"/>
              </w:rPr>
            </w:pPr>
            <w:r>
              <w:rPr>
                <w:sz w:val="20"/>
              </w:rPr>
              <w:t>22.770</w:t>
            </w:r>
          </w:p>
        </w:tc>
        <w:tc>
          <w:tcPr>
            <w:tcW w:w="1013" w:type="dxa"/>
            <w:tcBorders>
              <w:top w:val="nil"/>
              <w:left w:val="nil"/>
              <w:bottom w:val="nil"/>
              <w:right w:val="nil"/>
            </w:tcBorders>
          </w:tcPr>
          <w:p>
            <w:pPr>
              <w:pStyle w:val="TableParagraph"/>
              <w:spacing w:before="26"/>
              <w:ind w:right="70"/>
              <w:rPr>
                <w:sz w:val="20"/>
              </w:rPr>
            </w:pPr>
            <w:r>
              <w:rPr>
                <w:sz w:val="20"/>
              </w:rPr>
              <w:t>21.229</w:t>
            </w:r>
          </w:p>
        </w:tc>
        <w:tc>
          <w:tcPr>
            <w:tcW w:w="1018" w:type="dxa"/>
            <w:tcBorders>
              <w:top w:val="nil"/>
              <w:left w:val="nil"/>
              <w:bottom w:val="nil"/>
              <w:right w:val="nil"/>
            </w:tcBorders>
          </w:tcPr>
          <w:p>
            <w:pPr>
              <w:pStyle w:val="TableParagraph"/>
              <w:spacing w:before="26"/>
              <w:ind w:right="89"/>
              <w:rPr>
                <w:sz w:val="20"/>
              </w:rPr>
            </w:pPr>
            <w:r>
              <w:rPr>
                <w:sz w:val="20"/>
              </w:rPr>
              <w:t>21.145</w:t>
            </w:r>
          </w:p>
        </w:tc>
        <w:tc>
          <w:tcPr>
            <w:tcW w:w="1039" w:type="dxa"/>
            <w:tcBorders>
              <w:top w:val="nil"/>
              <w:left w:val="nil"/>
              <w:bottom w:val="nil"/>
              <w:right w:val="nil"/>
            </w:tcBorders>
          </w:tcPr>
          <w:p>
            <w:pPr>
              <w:pStyle w:val="TableParagraph"/>
              <w:spacing w:before="26"/>
              <w:ind w:right="62"/>
              <w:rPr>
                <w:sz w:val="20"/>
              </w:rPr>
            </w:pPr>
            <w:r>
              <w:rPr>
                <w:sz w:val="20"/>
              </w:rPr>
              <w:t>21.148</w:t>
            </w:r>
          </w:p>
        </w:tc>
        <w:tc>
          <w:tcPr>
            <w:tcW w:w="1073" w:type="dxa"/>
            <w:tcBorders>
              <w:top w:val="nil"/>
              <w:left w:val="nil"/>
              <w:bottom w:val="nil"/>
              <w:right w:val="nil"/>
            </w:tcBorders>
          </w:tcPr>
          <w:p>
            <w:pPr>
              <w:pStyle w:val="TableParagraph"/>
              <w:spacing w:before="26"/>
              <w:ind w:right="65"/>
              <w:rPr>
                <w:sz w:val="20"/>
              </w:rPr>
            </w:pPr>
            <w:r>
              <w:rPr>
                <w:sz w:val="20"/>
              </w:rPr>
              <w:t>21.268</w:t>
            </w:r>
          </w:p>
        </w:tc>
        <w:tc>
          <w:tcPr>
            <w:tcW w:w="1076" w:type="dxa"/>
            <w:tcBorders>
              <w:top w:val="nil"/>
              <w:left w:val="nil"/>
              <w:bottom w:val="nil"/>
              <w:right w:val="nil"/>
            </w:tcBorders>
          </w:tcPr>
          <w:p>
            <w:pPr>
              <w:pStyle w:val="TableParagraph"/>
              <w:spacing w:before="26"/>
              <w:ind w:right="65"/>
              <w:rPr>
                <w:sz w:val="20"/>
              </w:rPr>
            </w:pPr>
            <w:r>
              <w:rPr>
                <w:sz w:val="20"/>
              </w:rPr>
              <w:t>21.128</w:t>
            </w:r>
          </w:p>
        </w:tc>
        <w:tc>
          <w:tcPr>
            <w:tcW w:w="1071" w:type="dxa"/>
            <w:tcBorders>
              <w:top w:val="nil"/>
              <w:left w:val="nil"/>
              <w:bottom w:val="nil"/>
              <w:right w:val="nil"/>
            </w:tcBorders>
          </w:tcPr>
          <w:p>
            <w:pPr>
              <w:pStyle w:val="TableParagraph"/>
              <w:spacing w:before="26"/>
              <w:ind w:right="60"/>
              <w:rPr>
                <w:sz w:val="20"/>
              </w:rPr>
            </w:pPr>
            <w:r>
              <w:rPr>
                <w:sz w:val="20"/>
              </w:rPr>
              <w:t>20.464</w:t>
            </w:r>
          </w:p>
        </w:tc>
      </w:tr>
      <w:tr>
        <w:trPr>
          <w:trHeight w:val="300" w:hRule="exact"/>
        </w:trPr>
        <w:tc>
          <w:tcPr>
            <w:tcW w:w="1146" w:type="dxa"/>
            <w:tcBorders>
              <w:top w:val="nil"/>
              <w:left w:val="nil"/>
              <w:bottom w:val="nil"/>
              <w:right w:val="nil"/>
            </w:tcBorders>
          </w:tcPr>
          <w:p>
            <w:pPr>
              <w:pStyle w:val="TableParagraph"/>
              <w:ind w:left="86"/>
              <w:jc w:val="left"/>
              <w:rPr>
                <w:sz w:val="20"/>
              </w:rPr>
            </w:pPr>
            <w:r>
              <w:rPr>
                <w:sz w:val="20"/>
              </w:rPr>
              <w:t>25</w:t>
            </w:r>
          </w:p>
        </w:tc>
        <w:tc>
          <w:tcPr>
            <w:tcW w:w="1051" w:type="dxa"/>
            <w:tcBorders>
              <w:top w:val="nil"/>
              <w:left w:val="nil"/>
              <w:bottom w:val="nil"/>
              <w:right w:val="nil"/>
            </w:tcBorders>
          </w:tcPr>
          <w:p>
            <w:pPr>
              <w:pStyle w:val="TableParagraph"/>
              <w:ind w:left="73"/>
              <w:jc w:val="left"/>
              <w:rPr>
                <w:sz w:val="20"/>
              </w:rPr>
            </w:pPr>
            <w:r>
              <w:rPr>
                <w:sz w:val="20"/>
              </w:rPr>
              <w:t>15029</w:t>
            </w:r>
          </w:p>
        </w:tc>
        <w:tc>
          <w:tcPr>
            <w:tcW w:w="991" w:type="dxa"/>
            <w:tcBorders>
              <w:top w:val="nil"/>
              <w:left w:val="nil"/>
              <w:bottom w:val="nil"/>
              <w:right w:val="nil"/>
            </w:tcBorders>
          </w:tcPr>
          <w:p>
            <w:pPr>
              <w:pStyle w:val="TableParagraph"/>
              <w:ind w:right="65"/>
              <w:rPr>
                <w:sz w:val="20"/>
              </w:rPr>
            </w:pPr>
            <w:r>
              <w:rPr>
                <w:sz w:val="20"/>
              </w:rPr>
              <w:t>20.630</w:t>
            </w:r>
          </w:p>
        </w:tc>
        <w:tc>
          <w:tcPr>
            <w:tcW w:w="992" w:type="dxa"/>
            <w:tcBorders>
              <w:top w:val="nil"/>
              <w:left w:val="nil"/>
              <w:bottom w:val="nil"/>
              <w:right w:val="nil"/>
            </w:tcBorders>
          </w:tcPr>
          <w:p>
            <w:pPr>
              <w:pStyle w:val="TableParagraph"/>
              <w:ind w:right="82"/>
              <w:rPr>
                <w:sz w:val="20"/>
              </w:rPr>
            </w:pPr>
            <w:r>
              <w:rPr>
                <w:sz w:val="20"/>
              </w:rPr>
              <w:t>21.914</w:t>
            </w:r>
          </w:p>
        </w:tc>
        <w:tc>
          <w:tcPr>
            <w:tcW w:w="1023" w:type="dxa"/>
            <w:tcBorders>
              <w:top w:val="nil"/>
              <w:left w:val="nil"/>
              <w:bottom w:val="nil"/>
              <w:right w:val="nil"/>
            </w:tcBorders>
          </w:tcPr>
          <w:p>
            <w:pPr>
              <w:pStyle w:val="TableParagraph"/>
              <w:ind w:right="63"/>
              <w:rPr>
                <w:sz w:val="20"/>
              </w:rPr>
            </w:pPr>
            <w:r>
              <w:rPr>
                <w:sz w:val="20"/>
              </w:rPr>
              <w:t>23.377</w:t>
            </w:r>
          </w:p>
        </w:tc>
        <w:tc>
          <w:tcPr>
            <w:tcW w:w="977" w:type="dxa"/>
            <w:tcBorders>
              <w:top w:val="nil"/>
              <w:left w:val="nil"/>
              <w:bottom w:val="nil"/>
              <w:right w:val="nil"/>
            </w:tcBorders>
          </w:tcPr>
          <w:p>
            <w:pPr>
              <w:pStyle w:val="TableParagraph"/>
              <w:ind w:right="65"/>
              <w:rPr>
                <w:sz w:val="20"/>
              </w:rPr>
            </w:pPr>
            <w:r>
              <w:rPr>
                <w:sz w:val="20"/>
              </w:rPr>
              <w:t>25.179</w:t>
            </w:r>
          </w:p>
        </w:tc>
        <w:tc>
          <w:tcPr>
            <w:tcW w:w="982" w:type="dxa"/>
            <w:tcBorders>
              <w:top w:val="nil"/>
              <w:left w:val="nil"/>
              <w:bottom w:val="nil"/>
              <w:right w:val="nil"/>
            </w:tcBorders>
          </w:tcPr>
          <w:p>
            <w:pPr>
              <w:pStyle w:val="TableParagraph"/>
              <w:ind w:right="67"/>
              <w:rPr>
                <w:sz w:val="20"/>
              </w:rPr>
            </w:pPr>
            <w:r>
              <w:rPr>
                <w:sz w:val="20"/>
              </w:rPr>
              <w:t>25.167</w:t>
            </w:r>
          </w:p>
        </w:tc>
        <w:tc>
          <w:tcPr>
            <w:tcW w:w="991" w:type="dxa"/>
            <w:tcBorders>
              <w:top w:val="nil"/>
              <w:left w:val="nil"/>
              <w:bottom w:val="nil"/>
              <w:right w:val="nil"/>
            </w:tcBorders>
          </w:tcPr>
          <w:p>
            <w:pPr>
              <w:pStyle w:val="TableParagraph"/>
              <w:ind w:right="74"/>
              <w:rPr>
                <w:sz w:val="20"/>
              </w:rPr>
            </w:pPr>
            <w:r>
              <w:rPr>
                <w:sz w:val="20"/>
              </w:rPr>
              <w:t>22.770</w:t>
            </w:r>
          </w:p>
        </w:tc>
        <w:tc>
          <w:tcPr>
            <w:tcW w:w="1013" w:type="dxa"/>
            <w:tcBorders>
              <w:top w:val="nil"/>
              <w:left w:val="nil"/>
              <w:bottom w:val="nil"/>
              <w:right w:val="nil"/>
            </w:tcBorders>
          </w:tcPr>
          <w:p>
            <w:pPr>
              <w:pStyle w:val="TableParagraph"/>
              <w:ind w:right="70"/>
              <w:rPr>
                <w:sz w:val="20"/>
              </w:rPr>
            </w:pPr>
            <w:r>
              <w:rPr>
                <w:sz w:val="20"/>
              </w:rPr>
              <w:t>21.229</w:t>
            </w:r>
          </w:p>
        </w:tc>
        <w:tc>
          <w:tcPr>
            <w:tcW w:w="1018" w:type="dxa"/>
            <w:tcBorders>
              <w:top w:val="nil"/>
              <w:left w:val="nil"/>
              <w:bottom w:val="nil"/>
              <w:right w:val="nil"/>
            </w:tcBorders>
          </w:tcPr>
          <w:p>
            <w:pPr>
              <w:pStyle w:val="TableParagraph"/>
              <w:ind w:right="89"/>
              <w:rPr>
                <w:sz w:val="20"/>
              </w:rPr>
            </w:pPr>
            <w:r>
              <w:rPr>
                <w:sz w:val="20"/>
              </w:rPr>
              <w:t>21.145</w:t>
            </w:r>
          </w:p>
        </w:tc>
        <w:tc>
          <w:tcPr>
            <w:tcW w:w="1039" w:type="dxa"/>
            <w:tcBorders>
              <w:top w:val="nil"/>
              <w:left w:val="nil"/>
              <w:bottom w:val="nil"/>
              <w:right w:val="nil"/>
            </w:tcBorders>
          </w:tcPr>
          <w:p>
            <w:pPr>
              <w:pStyle w:val="TableParagraph"/>
              <w:ind w:right="62"/>
              <w:rPr>
                <w:sz w:val="20"/>
              </w:rPr>
            </w:pPr>
            <w:r>
              <w:rPr>
                <w:sz w:val="20"/>
              </w:rPr>
              <w:t>21.148</w:t>
            </w:r>
          </w:p>
        </w:tc>
        <w:tc>
          <w:tcPr>
            <w:tcW w:w="1073" w:type="dxa"/>
            <w:tcBorders>
              <w:top w:val="nil"/>
              <w:left w:val="nil"/>
              <w:bottom w:val="nil"/>
              <w:right w:val="nil"/>
            </w:tcBorders>
          </w:tcPr>
          <w:p>
            <w:pPr>
              <w:pStyle w:val="TableParagraph"/>
              <w:ind w:right="65"/>
              <w:rPr>
                <w:sz w:val="20"/>
              </w:rPr>
            </w:pPr>
            <w:r>
              <w:rPr>
                <w:sz w:val="20"/>
              </w:rPr>
              <w:t>21.268</w:t>
            </w:r>
          </w:p>
        </w:tc>
        <w:tc>
          <w:tcPr>
            <w:tcW w:w="1076" w:type="dxa"/>
            <w:tcBorders>
              <w:top w:val="nil"/>
              <w:left w:val="nil"/>
              <w:bottom w:val="nil"/>
              <w:right w:val="nil"/>
            </w:tcBorders>
          </w:tcPr>
          <w:p>
            <w:pPr>
              <w:pStyle w:val="TableParagraph"/>
              <w:ind w:right="65"/>
              <w:rPr>
                <w:sz w:val="20"/>
              </w:rPr>
            </w:pPr>
            <w:r>
              <w:rPr>
                <w:sz w:val="20"/>
              </w:rPr>
              <w:t>21.128</w:t>
            </w:r>
          </w:p>
        </w:tc>
        <w:tc>
          <w:tcPr>
            <w:tcW w:w="1071" w:type="dxa"/>
            <w:tcBorders>
              <w:top w:val="nil"/>
              <w:left w:val="nil"/>
              <w:bottom w:val="nil"/>
              <w:right w:val="nil"/>
            </w:tcBorders>
          </w:tcPr>
          <w:p>
            <w:pPr>
              <w:pStyle w:val="TableParagraph"/>
              <w:ind w:right="60"/>
              <w:rPr>
                <w:sz w:val="20"/>
              </w:rPr>
            </w:pPr>
            <w:r>
              <w:rPr>
                <w:sz w:val="20"/>
              </w:rPr>
              <w:t>20.464</w:t>
            </w:r>
          </w:p>
        </w:tc>
      </w:tr>
      <w:tr>
        <w:trPr>
          <w:trHeight w:val="270" w:hRule="exact"/>
        </w:trPr>
        <w:tc>
          <w:tcPr>
            <w:tcW w:w="1146" w:type="dxa"/>
            <w:tcBorders>
              <w:top w:val="nil"/>
              <w:left w:val="nil"/>
              <w:right w:val="nil"/>
            </w:tcBorders>
          </w:tcPr>
          <w:p>
            <w:pPr>
              <w:pStyle w:val="TableParagraph"/>
              <w:spacing w:before="26"/>
              <w:ind w:left="86"/>
              <w:jc w:val="left"/>
              <w:rPr>
                <w:sz w:val="20"/>
              </w:rPr>
            </w:pPr>
            <w:r>
              <w:rPr>
                <w:sz w:val="20"/>
              </w:rPr>
              <w:t>26</w:t>
            </w:r>
          </w:p>
        </w:tc>
        <w:tc>
          <w:tcPr>
            <w:tcW w:w="1051" w:type="dxa"/>
            <w:tcBorders>
              <w:top w:val="nil"/>
              <w:left w:val="nil"/>
              <w:right w:val="nil"/>
            </w:tcBorders>
          </w:tcPr>
          <w:p>
            <w:pPr>
              <w:pStyle w:val="TableParagraph"/>
              <w:spacing w:before="26"/>
              <w:ind w:left="73"/>
              <w:jc w:val="left"/>
              <w:rPr>
                <w:sz w:val="20"/>
              </w:rPr>
            </w:pPr>
            <w:r>
              <w:rPr>
                <w:sz w:val="20"/>
              </w:rPr>
              <w:t>15001</w:t>
            </w:r>
          </w:p>
        </w:tc>
        <w:tc>
          <w:tcPr>
            <w:tcW w:w="991" w:type="dxa"/>
            <w:tcBorders>
              <w:top w:val="nil"/>
              <w:left w:val="nil"/>
              <w:right w:val="nil"/>
            </w:tcBorders>
          </w:tcPr>
          <w:p>
            <w:pPr>
              <w:pStyle w:val="TableParagraph"/>
              <w:spacing w:before="26"/>
              <w:ind w:right="65"/>
              <w:rPr>
                <w:sz w:val="20"/>
              </w:rPr>
            </w:pPr>
            <w:r>
              <w:rPr>
                <w:sz w:val="20"/>
              </w:rPr>
              <w:t>20.267</w:t>
            </w:r>
          </w:p>
        </w:tc>
        <w:tc>
          <w:tcPr>
            <w:tcW w:w="992" w:type="dxa"/>
            <w:tcBorders>
              <w:top w:val="nil"/>
              <w:left w:val="nil"/>
              <w:right w:val="nil"/>
            </w:tcBorders>
          </w:tcPr>
          <w:p>
            <w:pPr>
              <w:pStyle w:val="TableParagraph"/>
              <w:spacing w:before="26"/>
              <w:ind w:right="82"/>
              <w:rPr>
                <w:sz w:val="20"/>
              </w:rPr>
            </w:pPr>
            <w:r>
              <w:rPr>
                <w:sz w:val="20"/>
              </w:rPr>
              <w:t>21.980</w:t>
            </w:r>
          </w:p>
        </w:tc>
        <w:tc>
          <w:tcPr>
            <w:tcW w:w="1023" w:type="dxa"/>
            <w:tcBorders>
              <w:top w:val="nil"/>
              <w:left w:val="nil"/>
              <w:right w:val="nil"/>
            </w:tcBorders>
          </w:tcPr>
          <w:p>
            <w:pPr>
              <w:pStyle w:val="TableParagraph"/>
              <w:spacing w:before="26"/>
              <w:ind w:right="63"/>
              <w:rPr>
                <w:sz w:val="20"/>
              </w:rPr>
            </w:pPr>
            <w:r>
              <w:rPr>
                <w:sz w:val="20"/>
              </w:rPr>
              <w:t>24.091</w:t>
            </w:r>
          </w:p>
        </w:tc>
        <w:tc>
          <w:tcPr>
            <w:tcW w:w="977" w:type="dxa"/>
            <w:tcBorders>
              <w:top w:val="nil"/>
              <w:left w:val="nil"/>
              <w:right w:val="nil"/>
            </w:tcBorders>
          </w:tcPr>
          <w:p>
            <w:pPr>
              <w:pStyle w:val="TableParagraph"/>
              <w:spacing w:before="26"/>
              <w:ind w:right="65"/>
              <w:rPr>
                <w:sz w:val="20"/>
              </w:rPr>
            </w:pPr>
            <w:r>
              <w:rPr>
                <w:sz w:val="20"/>
              </w:rPr>
              <w:t>25.730</w:t>
            </w:r>
          </w:p>
        </w:tc>
        <w:tc>
          <w:tcPr>
            <w:tcW w:w="982" w:type="dxa"/>
            <w:tcBorders>
              <w:top w:val="nil"/>
              <w:left w:val="nil"/>
              <w:right w:val="nil"/>
            </w:tcBorders>
          </w:tcPr>
          <w:p>
            <w:pPr>
              <w:pStyle w:val="TableParagraph"/>
              <w:spacing w:before="26"/>
              <w:ind w:right="67"/>
              <w:rPr>
                <w:sz w:val="20"/>
              </w:rPr>
            </w:pPr>
            <w:r>
              <w:rPr>
                <w:sz w:val="20"/>
              </w:rPr>
              <w:t>25.168</w:t>
            </w:r>
          </w:p>
        </w:tc>
        <w:tc>
          <w:tcPr>
            <w:tcW w:w="991" w:type="dxa"/>
            <w:tcBorders>
              <w:top w:val="nil"/>
              <w:left w:val="nil"/>
              <w:right w:val="nil"/>
            </w:tcBorders>
          </w:tcPr>
          <w:p>
            <w:pPr>
              <w:pStyle w:val="TableParagraph"/>
              <w:spacing w:before="26"/>
              <w:ind w:right="74"/>
              <w:rPr>
                <w:sz w:val="20"/>
              </w:rPr>
            </w:pPr>
            <w:r>
              <w:rPr>
                <w:sz w:val="20"/>
              </w:rPr>
              <w:t>23.237</w:t>
            </w:r>
          </w:p>
        </w:tc>
        <w:tc>
          <w:tcPr>
            <w:tcW w:w="1013" w:type="dxa"/>
            <w:tcBorders>
              <w:top w:val="nil"/>
              <w:left w:val="nil"/>
              <w:right w:val="nil"/>
            </w:tcBorders>
          </w:tcPr>
          <w:p>
            <w:pPr>
              <w:pStyle w:val="TableParagraph"/>
              <w:spacing w:before="26"/>
              <w:ind w:right="70"/>
              <w:rPr>
                <w:sz w:val="20"/>
              </w:rPr>
            </w:pPr>
            <w:r>
              <w:rPr>
                <w:sz w:val="20"/>
              </w:rPr>
              <w:t>21.725</w:t>
            </w:r>
          </w:p>
        </w:tc>
        <w:tc>
          <w:tcPr>
            <w:tcW w:w="1018" w:type="dxa"/>
            <w:tcBorders>
              <w:top w:val="nil"/>
              <w:left w:val="nil"/>
              <w:right w:val="nil"/>
            </w:tcBorders>
          </w:tcPr>
          <w:p>
            <w:pPr>
              <w:pStyle w:val="TableParagraph"/>
              <w:spacing w:before="26"/>
              <w:ind w:right="89"/>
              <w:rPr>
                <w:sz w:val="20"/>
              </w:rPr>
            </w:pPr>
            <w:r>
              <w:rPr>
                <w:sz w:val="20"/>
              </w:rPr>
              <w:t>21.854</w:t>
            </w:r>
          </w:p>
        </w:tc>
        <w:tc>
          <w:tcPr>
            <w:tcW w:w="1039" w:type="dxa"/>
            <w:tcBorders>
              <w:top w:val="nil"/>
              <w:left w:val="nil"/>
              <w:right w:val="nil"/>
            </w:tcBorders>
          </w:tcPr>
          <w:p>
            <w:pPr>
              <w:pStyle w:val="TableParagraph"/>
              <w:spacing w:before="26"/>
              <w:ind w:right="62"/>
              <w:rPr>
                <w:sz w:val="20"/>
              </w:rPr>
            </w:pPr>
            <w:r>
              <w:rPr>
                <w:sz w:val="20"/>
              </w:rPr>
              <w:t>21.539</w:t>
            </w:r>
          </w:p>
        </w:tc>
        <w:tc>
          <w:tcPr>
            <w:tcW w:w="1073" w:type="dxa"/>
            <w:tcBorders>
              <w:top w:val="nil"/>
              <w:left w:val="nil"/>
              <w:right w:val="nil"/>
            </w:tcBorders>
          </w:tcPr>
          <w:p>
            <w:pPr>
              <w:pStyle w:val="TableParagraph"/>
              <w:spacing w:before="26"/>
              <w:ind w:right="65"/>
              <w:rPr>
                <w:sz w:val="20"/>
              </w:rPr>
            </w:pPr>
            <w:r>
              <w:rPr>
                <w:sz w:val="20"/>
              </w:rPr>
              <w:t>21.143</w:t>
            </w:r>
          </w:p>
        </w:tc>
        <w:tc>
          <w:tcPr>
            <w:tcW w:w="1076" w:type="dxa"/>
            <w:tcBorders>
              <w:top w:val="nil"/>
              <w:left w:val="nil"/>
              <w:right w:val="nil"/>
            </w:tcBorders>
          </w:tcPr>
          <w:p>
            <w:pPr>
              <w:pStyle w:val="TableParagraph"/>
              <w:spacing w:before="26"/>
              <w:ind w:right="65"/>
              <w:rPr>
                <w:sz w:val="20"/>
              </w:rPr>
            </w:pPr>
            <w:r>
              <w:rPr>
                <w:sz w:val="20"/>
              </w:rPr>
              <w:t>21.119</w:t>
            </w:r>
          </w:p>
        </w:tc>
        <w:tc>
          <w:tcPr>
            <w:tcW w:w="1071" w:type="dxa"/>
            <w:tcBorders>
              <w:top w:val="nil"/>
              <w:left w:val="nil"/>
              <w:right w:val="nil"/>
            </w:tcBorders>
          </w:tcPr>
          <w:p>
            <w:pPr>
              <w:pStyle w:val="TableParagraph"/>
              <w:spacing w:before="26"/>
              <w:ind w:right="60"/>
              <w:rPr>
                <w:sz w:val="20"/>
              </w:rPr>
            </w:pPr>
            <w:r>
              <w:rPr>
                <w:sz w:val="20"/>
              </w:rPr>
              <w:t>20.300</w:t>
            </w:r>
          </w:p>
        </w:tc>
      </w:tr>
    </w:tbl>
    <w:p>
      <w:pPr>
        <w:spacing w:after="0"/>
        <w:rPr>
          <w:sz w:val="20"/>
        </w:rPr>
        <w:sectPr>
          <w:pgSz w:w="15840" w:h="12240" w:orient="landscape"/>
          <w:pgMar w:header="0" w:footer="1474" w:top="1140" w:bottom="1660" w:left="740" w:right="440"/>
        </w:sectPr>
      </w:pPr>
    </w:p>
    <w:p>
      <w:pPr>
        <w:pStyle w:val="BodyText"/>
        <w:spacing w:before="7"/>
        <w:rPr>
          <w:b/>
          <w:sz w:val="17"/>
        </w:rPr>
      </w:pPr>
    </w:p>
    <w:p>
      <w:pPr>
        <w:pStyle w:val="BodyText"/>
        <w:spacing w:before="66"/>
        <w:ind w:left="676"/>
      </w:pPr>
      <w:r>
        <w:rPr/>
        <w:t>Continuación Tabla 9.</w:t>
      </w:r>
    </w:p>
    <w:p>
      <w:pPr>
        <w:pStyle w:val="BodyText"/>
        <w:spacing w:before="3"/>
        <w:rPr>
          <w:sz w:val="22"/>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46"/>
        <w:gridCol w:w="1051"/>
        <w:gridCol w:w="991"/>
        <w:gridCol w:w="992"/>
        <w:gridCol w:w="1023"/>
        <w:gridCol w:w="977"/>
        <w:gridCol w:w="982"/>
        <w:gridCol w:w="991"/>
        <w:gridCol w:w="1013"/>
        <w:gridCol w:w="1018"/>
        <w:gridCol w:w="1039"/>
        <w:gridCol w:w="1073"/>
        <w:gridCol w:w="1076"/>
        <w:gridCol w:w="1071"/>
      </w:tblGrid>
      <w:tr>
        <w:trPr>
          <w:trHeight w:val="610" w:hRule="exact"/>
        </w:trPr>
        <w:tc>
          <w:tcPr>
            <w:tcW w:w="1146" w:type="dxa"/>
            <w:tcBorders>
              <w:left w:val="nil"/>
              <w:right w:val="nil"/>
            </w:tcBorders>
          </w:tcPr>
          <w:p>
            <w:pPr>
              <w:pStyle w:val="TableParagraph"/>
              <w:spacing w:before="58"/>
              <w:ind w:left="86"/>
              <w:jc w:val="left"/>
              <w:rPr>
                <w:sz w:val="20"/>
              </w:rPr>
            </w:pPr>
            <w:r>
              <w:rPr>
                <w:sz w:val="20"/>
              </w:rPr>
              <w:t>SUBBASIN</w:t>
            </w:r>
          </w:p>
        </w:tc>
        <w:tc>
          <w:tcPr>
            <w:tcW w:w="1051" w:type="dxa"/>
            <w:tcBorders>
              <w:left w:val="nil"/>
              <w:right w:val="nil"/>
            </w:tcBorders>
          </w:tcPr>
          <w:p>
            <w:pPr>
              <w:pStyle w:val="TableParagraph"/>
              <w:spacing w:before="58"/>
              <w:ind w:left="107"/>
              <w:jc w:val="left"/>
              <w:rPr>
                <w:sz w:val="20"/>
              </w:rPr>
            </w:pPr>
            <w:r>
              <w:rPr>
                <w:sz w:val="20"/>
              </w:rPr>
              <w:t>STATION</w:t>
            </w:r>
          </w:p>
        </w:tc>
        <w:tc>
          <w:tcPr>
            <w:tcW w:w="991" w:type="dxa"/>
            <w:tcBorders>
              <w:left w:val="nil"/>
              <w:right w:val="nil"/>
            </w:tcBorders>
          </w:tcPr>
          <w:p>
            <w:pPr>
              <w:pStyle w:val="TableParagraph"/>
              <w:spacing w:before="58"/>
              <w:ind w:right="70"/>
              <w:rPr>
                <w:sz w:val="20"/>
              </w:rPr>
            </w:pPr>
            <w:r>
              <w:rPr>
                <w:sz w:val="20"/>
              </w:rPr>
              <w:t>TMPMX1</w:t>
            </w:r>
          </w:p>
        </w:tc>
        <w:tc>
          <w:tcPr>
            <w:tcW w:w="992" w:type="dxa"/>
            <w:tcBorders>
              <w:left w:val="nil"/>
              <w:right w:val="nil"/>
            </w:tcBorders>
          </w:tcPr>
          <w:p>
            <w:pPr>
              <w:pStyle w:val="TableParagraph"/>
              <w:spacing w:before="58"/>
              <w:ind w:right="87"/>
              <w:rPr>
                <w:sz w:val="20"/>
              </w:rPr>
            </w:pPr>
            <w:r>
              <w:rPr>
                <w:sz w:val="20"/>
              </w:rPr>
              <w:t>TMPMX2</w:t>
            </w:r>
          </w:p>
        </w:tc>
        <w:tc>
          <w:tcPr>
            <w:tcW w:w="1023" w:type="dxa"/>
            <w:tcBorders>
              <w:left w:val="nil"/>
              <w:right w:val="nil"/>
            </w:tcBorders>
          </w:tcPr>
          <w:p>
            <w:pPr>
              <w:pStyle w:val="TableParagraph"/>
              <w:spacing w:before="58"/>
              <w:ind w:right="101"/>
              <w:rPr>
                <w:sz w:val="20"/>
              </w:rPr>
            </w:pPr>
            <w:r>
              <w:rPr>
                <w:sz w:val="20"/>
              </w:rPr>
              <w:t>TMPMX3</w:t>
            </w:r>
          </w:p>
        </w:tc>
        <w:tc>
          <w:tcPr>
            <w:tcW w:w="977" w:type="dxa"/>
            <w:tcBorders>
              <w:left w:val="nil"/>
              <w:right w:val="nil"/>
            </w:tcBorders>
          </w:tcPr>
          <w:p>
            <w:pPr>
              <w:pStyle w:val="TableParagraph"/>
              <w:spacing w:before="58"/>
              <w:ind w:right="74"/>
              <w:rPr>
                <w:sz w:val="20"/>
              </w:rPr>
            </w:pPr>
            <w:r>
              <w:rPr>
                <w:sz w:val="20"/>
              </w:rPr>
              <w:t>TMPMX4</w:t>
            </w:r>
          </w:p>
        </w:tc>
        <w:tc>
          <w:tcPr>
            <w:tcW w:w="982" w:type="dxa"/>
            <w:tcBorders>
              <w:left w:val="nil"/>
              <w:right w:val="nil"/>
            </w:tcBorders>
          </w:tcPr>
          <w:p>
            <w:pPr>
              <w:pStyle w:val="TableParagraph"/>
              <w:spacing w:before="58"/>
              <w:ind w:right="77"/>
              <w:rPr>
                <w:sz w:val="20"/>
              </w:rPr>
            </w:pPr>
            <w:r>
              <w:rPr>
                <w:sz w:val="20"/>
              </w:rPr>
              <w:t>TMPMX5</w:t>
            </w:r>
          </w:p>
        </w:tc>
        <w:tc>
          <w:tcPr>
            <w:tcW w:w="991" w:type="dxa"/>
            <w:tcBorders>
              <w:left w:val="nil"/>
              <w:right w:val="nil"/>
            </w:tcBorders>
          </w:tcPr>
          <w:p>
            <w:pPr>
              <w:pStyle w:val="TableParagraph"/>
              <w:spacing w:before="58"/>
              <w:ind w:right="84"/>
              <w:rPr>
                <w:sz w:val="20"/>
              </w:rPr>
            </w:pPr>
            <w:r>
              <w:rPr>
                <w:sz w:val="20"/>
              </w:rPr>
              <w:t>TMPMX6</w:t>
            </w:r>
          </w:p>
        </w:tc>
        <w:tc>
          <w:tcPr>
            <w:tcW w:w="1013" w:type="dxa"/>
            <w:tcBorders>
              <w:left w:val="nil"/>
              <w:right w:val="nil"/>
            </w:tcBorders>
          </w:tcPr>
          <w:p>
            <w:pPr>
              <w:pStyle w:val="TableParagraph"/>
              <w:spacing w:before="58"/>
              <w:ind w:right="99"/>
              <w:rPr>
                <w:sz w:val="20"/>
              </w:rPr>
            </w:pPr>
            <w:r>
              <w:rPr>
                <w:sz w:val="20"/>
              </w:rPr>
              <w:t>TMPMX7</w:t>
            </w:r>
          </w:p>
        </w:tc>
        <w:tc>
          <w:tcPr>
            <w:tcW w:w="1018" w:type="dxa"/>
            <w:tcBorders>
              <w:left w:val="nil"/>
              <w:right w:val="nil"/>
            </w:tcBorders>
          </w:tcPr>
          <w:p>
            <w:pPr>
              <w:pStyle w:val="TableParagraph"/>
              <w:spacing w:before="58"/>
              <w:ind w:right="108"/>
              <w:rPr>
                <w:sz w:val="20"/>
              </w:rPr>
            </w:pPr>
            <w:r>
              <w:rPr>
                <w:sz w:val="20"/>
              </w:rPr>
              <w:t>TMPMX8</w:t>
            </w:r>
          </w:p>
        </w:tc>
        <w:tc>
          <w:tcPr>
            <w:tcW w:w="1039" w:type="dxa"/>
            <w:tcBorders>
              <w:left w:val="nil"/>
              <w:right w:val="nil"/>
            </w:tcBorders>
          </w:tcPr>
          <w:p>
            <w:pPr>
              <w:pStyle w:val="TableParagraph"/>
              <w:spacing w:before="58"/>
              <w:ind w:right="110"/>
              <w:rPr>
                <w:sz w:val="20"/>
              </w:rPr>
            </w:pPr>
            <w:r>
              <w:rPr>
                <w:sz w:val="20"/>
              </w:rPr>
              <w:t>TMPMX9</w:t>
            </w:r>
          </w:p>
        </w:tc>
        <w:tc>
          <w:tcPr>
            <w:tcW w:w="1073" w:type="dxa"/>
            <w:tcBorders>
              <w:left w:val="nil"/>
              <w:right w:val="nil"/>
            </w:tcBorders>
          </w:tcPr>
          <w:p>
            <w:pPr>
              <w:pStyle w:val="TableParagraph"/>
              <w:spacing w:before="58"/>
              <w:ind w:right="70"/>
              <w:rPr>
                <w:sz w:val="20"/>
              </w:rPr>
            </w:pPr>
            <w:r>
              <w:rPr>
                <w:sz w:val="20"/>
              </w:rPr>
              <w:t>TMPMX10</w:t>
            </w:r>
          </w:p>
        </w:tc>
        <w:tc>
          <w:tcPr>
            <w:tcW w:w="1076" w:type="dxa"/>
            <w:tcBorders>
              <w:left w:val="nil"/>
              <w:right w:val="nil"/>
            </w:tcBorders>
          </w:tcPr>
          <w:p>
            <w:pPr>
              <w:pStyle w:val="TableParagraph"/>
              <w:spacing w:before="58"/>
              <w:ind w:right="70"/>
              <w:rPr>
                <w:sz w:val="20"/>
              </w:rPr>
            </w:pPr>
            <w:r>
              <w:rPr>
                <w:sz w:val="20"/>
              </w:rPr>
              <w:t>TMPMX11</w:t>
            </w:r>
          </w:p>
        </w:tc>
        <w:tc>
          <w:tcPr>
            <w:tcW w:w="1071" w:type="dxa"/>
            <w:tcBorders>
              <w:left w:val="nil"/>
              <w:right w:val="nil"/>
            </w:tcBorders>
          </w:tcPr>
          <w:p>
            <w:pPr>
              <w:pStyle w:val="TableParagraph"/>
              <w:spacing w:before="58"/>
              <w:ind w:right="65"/>
              <w:rPr>
                <w:sz w:val="20"/>
              </w:rPr>
            </w:pPr>
            <w:r>
              <w:rPr>
                <w:sz w:val="20"/>
              </w:rPr>
              <w:t>TMPMX12</w:t>
            </w:r>
          </w:p>
        </w:tc>
      </w:tr>
      <w:tr>
        <w:trPr>
          <w:trHeight w:val="339" w:hRule="exact"/>
        </w:trPr>
        <w:tc>
          <w:tcPr>
            <w:tcW w:w="1146" w:type="dxa"/>
            <w:tcBorders>
              <w:left w:val="nil"/>
              <w:bottom w:val="nil"/>
              <w:right w:val="nil"/>
            </w:tcBorders>
          </w:tcPr>
          <w:p>
            <w:pPr>
              <w:pStyle w:val="TableParagraph"/>
              <w:spacing w:before="58"/>
              <w:ind w:left="86"/>
              <w:jc w:val="left"/>
              <w:rPr>
                <w:sz w:val="20"/>
              </w:rPr>
            </w:pPr>
            <w:r>
              <w:rPr>
                <w:sz w:val="20"/>
              </w:rPr>
              <w:t>27</w:t>
            </w:r>
          </w:p>
        </w:tc>
        <w:tc>
          <w:tcPr>
            <w:tcW w:w="1051" w:type="dxa"/>
            <w:tcBorders>
              <w:left w:val="nil"/>
              <w:bottom w:val="nil"/>
              <w:right w:val="nil"/>
            </w:tcBorders>
          </w:tcPr>
          <w:p>
            <w:pPr>
              <w:pStyle w:val="TableParagraph"/>
              <w:spacing w:before="58"/>
              <w:ind w:left="73"/>
              <w:jc w:val="left"/>
              <w:rPr>
                <w:sz w:val="20"/>
              </w:rPr>
            </w:pPr>
            <w:r>
              <w:rPr>
                <w:sz w:val="20"/>
              </w:rPr>
              <w:t>15029</w:t>
            </w:r>
          </w:p>
        </w:tc>
        <w:tc>
          <w:tcPr>
            <w:tcW w:w="991" w:type="dxa"/>
            <w:tcBorders>
              <w:left w:val="nil"/>
              <w:bottom w:val="nil"/>
              <w:right w:val="nil"/>
            </w:tcBorders>
          </w:tcPr>
          <w:p>
            <w:pPr>
              <w:pStyle w:val="TableParagraph"/>
              <w:spacing w:before="58"/>
              <w:ind w:right="65"/>
              <w:rPr>
                <w:sz w:val="20"/>
              </w:rPr>
            </w:pPr>
            <w:r>
              <w:rPr>
                <w:sz w:val="20"/>
              </w:rPr>
              <w:t>20.630</w:t>
            </w:r>
          </w:p>
        </w:tc>
        <w:tc>
          <w:tcPr>
            <w:tcW w:w="992" w:type="dxa"/>
            <w:tcBorders>
              <w:left w:val="nil"/>
              <w:bottom w:val="nil"/>
              <w:right w:val="nil"/>
            </w:tcBorders>
          </w:tcPr>
          <w:p>
            <w:pPr>
              <w:pStyle w:val="TableParagraph"/>
              <w:spacing w:before="58"/>
              <w:ind w:right="82"/>
              <w:rPr>
                <w:sz w:val="20"/>
              </w:rPr>
            </w:pPr>
            <w:r>
              <w:rPr>
                <w:sz w:val="20"/>
              </w:rPr>
              <w:t>21.914</w:t>
            </w:r>
          </w:p>
        </w:tc>
        <w:tc>
          <w:tcPr>
            <w:tcW w:w="1023" w:type="dxa"/>
            <w:tcBorders>
              <w:left w:val="nil"/>
              <w:bottom w:val="nil"/>
              <w:right w:val="nil"/>
            </w:tcBorders>
          </w:tcPr>
          <w:p>
            <w:pPr>
              <w:pStyle w:val="TableParagraph"/>
              <w:spacing w:before="58"/>
              <w:ind w:right="63"/>
              <w:rPr>
                <w:sz w:val="20"/>
              </w:rPr>
            </w:pPr>
            <w:r>
              <w:rPr>
                <w:sz w:val="20"/>
              </w:rPr>
              <w:t>23.377</w:t>
            </w:r>
          </w:p>
        </w:tc>
        <w:tc>
          <w:tcPr>
            <w:tcW w:w="977" w:type="dxa"/>
            <w:tcBorders>
              <w:left w:val="nil"/>
              <w:bottom w:val="nil"/>
              <w:right w:val="nil"/>
            </w:tcBorders>
          </w:tcPr>
          <w:p>
            <w:pPr>
              <w:pStyle w:val="TableParagraph"/>
              <w:spacing w:before="58"/>
              <w:ind w:right="65"/>
              <w:rPr>
                <w:sz w:val="20"/>
              </w:rPr>
            </w:pPr>
            <w:r>
              <w:rPr>
                <w:sz w:val="20"/>
              </w:rPr>
              <w:t>25.179</w:t>
            </w:r>
          </w:p>
        </w:tc>
        <w:tc>
          <w:tcPr>
            <w:tcW w:w="982" w:type="dxa"/>
            <w:tcBorders>
              <w:left w:val="nil"/>
              <w:bottom w:val="nil"/>
              <w:right w:val="nil"/>
            </w:tcBorders>
          </w:tcPr>
          <w:p>
            <w:pPr>
              <w:pStyle w:val="TableParagraph"/>
              <w:spacing w:before="58"/>
              <w:ind w:right="67"/>
              <w:rPr>
                <w:sz w:val="20"/>
              </w:rPr>
            </w:pPr>
            <w:r>
              <w:rPr>
                <w:sz w:val="20"/>
              </w:rPr>
              <w:t>25.167</w:t>
            </w:r>
          </w:p>
        </w:tc>
        <w:tc>
          <w:tcPr>
            <w:tcW w:w="991" w:type="dxa"/>
            <w:tcBorders>
              <w:left w:val="nil"/>
              <w:bottom w:val="nil"/>
              <w:right w:val="nil"/>
            </w:tcBorders>
          </w:tcPr>
          <w:p>
            <w:pPr>
              <w:pStyle w:val="TableParagraph"/>
              <w:spacing w:before="58"/>
              <w:ind w:right="74"/>
              <w:rPr>
                <w:sz w:val="20"/>
              </w:rPr>
            </w:pPr>
            <w:r>
              <w:rPr>
                <w:sz w:val="20"/>
              </w:rPr>
              <w:t>22.770</w:t>
            </w:r>
          </w:p>
        </w:tc>
        <w:tc>
          <w:tcPr>
            <w:tcW w:w="1013" w:type="dxa"/>
            <w:tcBorders>
              <w:left w:val="nil"/>
              <w:bottom w:val="nil"/>
              <w:right w:val="nil"/>
            </w:tcBorders>
          </w:tcPr>
          <w:p>
            <w:pPr>
              <w:pStyle w:val="TableParagraph"/>
              <w:spacing w:before="58"/>
              <w:ind w:right="70"/>
              <w:rPr>
                <w:sz w:val="20"/>
              </w:rPr>
            </w:pPr>
            <w:r>
              <w:rPr>
                <w:sz w:val="20"/>
              </w:rPr>
              <w:t>21.229</w:t>
            </w:r>
          </w:p>
        </w:tc>
        <w:tc>
          <w:tcPr>
            <w:tcW w:w="1018" w:type="dxa"/>
            <w:tcBorders>
              <w:left w:val="nil"/>
              <w:bottom w:val="nil"/>
              <w:right w:val="nil"/>
            </w:tcBorders>
          </w:tcPr>
          <w:p>
            <w:pPr>
              <w:pStyle w:val="TableParagraph"/>
              <w:spacing w:before="58"/>
              <w:ind w:right="89"/>
              <w:rPr>
                <w:sz w:val="20"/>
              </w:rPr>
            </w:pPr>
            <w:r>
              <w:rPr>
                <w:sz w:val="20"/>
              </w:rPr>
              <w:t>21.145</w:t>
            </w:r>
          </w:p>
        </w:tc>
        <w:tc>
          <w:tcPr>
            <w:tcW w:w="1039" w:type="dxa"/>
            <w:tcBorders>
              <w:left w:val="nil"/>
              <w:bottom w:val="nil"/>
              <w:right w:val="nil"/>
            </w:tcBorders>
          </w:tcPr>
          <w:p>
            <w:pPr>
              <w:pStyle w:val="TableParagraph"/>
              <w:spacing w:before="58"/>
              <w:ind w:right="62"/>
              <w:rPr>
                <w:sz w:val="20"/>
              </w:rPr>
            </w:pPr>
            <w:r>
              <w:rPr>
                <w:sz w:val="20"/>
              </w:rPr>
              <w:t>21.148</w:t>
            </w:r>
          </w:p>
        </w:tc>
        <w:tc>
          <w:tcPr>
            <w:tcW w:w="1073" w:type="dxa"/>
            <w:tcBorders>
              <w:left w:val="nil"/>
              <w:bottom w:val="nil"/>
              <w:right w:val="nil"/>
            </w:tcBorders>
          </w:tcPr>
          <w:p>
            <w:pPr>
              <w:pStyle w:val="TableParagraph"/>
              <w:spacing w:before="58"/>
              <w:ind w:right="65"/>
              <w:rPr>
                <w:sz w:val="20"/>
              </w:rPr>
            </w:pPr>
            <w:r>
              <w:rPr>
                <w:sz w:val="20"/>
              </w:rPr>
              <w:t>21.268</w:t>
            </w:r>
          </w:p>
        </w:tc>
        <w:tc>
          <w:tcPr>
            <w:tcW w:w="1076" w:type="dxa"/>
            <w:tcBorders>
              <w:left w:val="nil"/>
              <w:bottom w:val="nil"/>
              <w:right w:val="nil"/>
            </w:tcBorders>
          </w:tcPr>
          <w:p>
            <w:pPr>
              <w:pStyle w:val="TableParagraph"/>
              <w:spacing w:before="58"/>
              <w:ind w:right="65"/>
              <w:rPr>
                <w:sz w:val="20"/>
              </w:rPr>
            </w:pPr>
            <w:r>
              <w:rPr>
                <w:sz w:val="20"/>
              </w:rPr>
              <w:t>21.128</w:t>
            </w:r>
          </w:p>
        </w:tc>
        <w:tc>
          <w:tcPr>
            <w:tcW w:w="1071" w:type="dxa"/>
            <w:tcBorders>
              <w:left w:val="nil"/>
              <w:bottom w:val="nil"/>
              <w:right w:val="nil"/>
            </w:tcBorders>
          </w:tcPr>
          <w:p>
            <w:pPr>
              <w:pStyle w:val="TableParagraph"/>
              <w:spacing w:before="58"/>
              <w:ind w:right="60"/>
              <w:rPr>
                <w:sz w:val="20"/>
              </w:rPr>
            </w:pPr>
            <w:r>
              <w:rPr>
                <w:sz w:val="20"/>
              </w:rPr>
              <w:t>20.464</w:t>
            </w:r>
          </w:p>
        </w:tc>
      </w:tr>
      <w:tr>
        <w:trPr>
          <w:trHeight w:val="300" w:hRule="exact"/>
        </w:trPr>
        <w:tc>
          <w:tcPr>
            <w:tcW w:w="1146" w:type="dxa"/>
            <w:tcBorders>
              <w:top w:val="nil"/>
              <w:left w:val="nil"/>
              <w:bottom w:val="nil"/>
              <w:right w:val="nil"/>
            </w:tcBorders>
          </w:tcPr>
          <w:p>
            <w:pPr>
              <w:pStyle w:val="TableParagraph"/>
              <w:spacing w:before="26"/>
              <w:ind w:left="86"/>
              <w:jc w:val="left"/>
              <w:rPr>
                <w:sz w:val="20"/>
              </w:rPr>
            </w:pPr>
            <w:r>
              <w:rPr>
                <w:sz w:val="20"/>
              </w:rPr>
              <w:t>28</w:t>
            </w:r>
          </w:p>
        </w:tc>
        <w:tc>
          <w:tcPr>
            <w:tcW w:w="1051" w:type="dxa"/>
            <w:tcBorders>
              <w:top w:val="nil"/>
              <w:left w:val="nil"/>
              <w:bottom w:val="nil"/>
              <w:right w:val="nil"/>
            </w:tcBorders>
          </w:tcPr>
          <w:p>
            <w:pPr>
              <w:pStyle w:val="TableParagraph"/>
              <w:spacing w:before="26"/>
              <w:ind w:left="73"/>
              <w:jc w:val="left"/>
              <w:rPr>
                <w:sz w:val="20"/>
              </w:rPr>
            </w:pPr>
            <w:r>
              <w:rPr>
                <w:sz w:val="20"/>
              </w:rPr>
              <w:t>15029</w:t>
            </w:r>
          </w:p>
        </w:tc>
        <w:tc>
          <w:tcPr>
            <w:tcW w:w="991" w:type="dxa"/>
            <w:tcBorders>
              <w:top w:val="nil"/>
              <w:left w:val="nil"/>
              <w:bottom w:val="nil"/>
              <w:right w:val="nil"/>
            </w:tcBorders>
          </w:tcPr>
          <w:p>
            <w:pPr>
              <w:pStyle w:val="TableParagraph"/>
              <w:spacing w:before="26"/>
              <w:ind w:right="65"/>
              <w:rPr>
                <w:sz w:val="20"/>
              </w:rPr>
            </w:pPr>
            <w:r>
              <w:rPr>
                <w:sz w:val="20"/>
              </w:rPr>
              <w:t>20.630</w:t>
            </w:r>
          </w:p>
        </w:tc>
        <w:tc>
          <w:tcPr>
            <w:tcW w:w="992" w:type="dxa"/>
            <w:tcBorders>
              <w:top w:val="nil"/>
              <w:left w:val="nil"/>
              <w:bottom w:val="nil"/>
              <w:right w:val="nil"/>
            </w:tcBorders>
          </w:tcPr>
          <w:p>
            <w:pPr>
              <w:pStyle w:val="TableParagraph"/>
              <w:spacing w:before="26"/>
              <w:ind w:right="82"/>
              <w:rPr>
                <w:sz w:val="20"/>
              </w:rPr>
            </w:pPr>
            <w:r>
              <w:rPr>
                <w:sz w:val="20"/>
              </w:rPr>
              <w:t>21.914</w:t>
            </w:r>
          </w:p>
        </w:tc>
        <w:tc>
          <w:tcPr>
            <w:tcW w:w="1023" w:type="dxa"/>
            <w:tcBorders>
              <w:top w:val="nil"/>
              <w:left w:val="nil"/>
              <w:bottom w:val="nil"/>
              <w:right w:val="nil"/>
            </w:tcBorders>
          </w:tcPr>
          <w:p>
            <w:pPr>
              <w:pStyle w:val="TableParagraph"/>
              <w:spacing w:before="26"/>
              <w:ind w:right="63"/>
              <w:rPr>
                <w:sz w:val="20"/>
              </w:rPr>
            </w:pPr>
            <w:r>
              <w:rPr>
                <w:sz w:val="20"/>
              </w:rPr>
              <w:t>23.377</w:t>
            </w:r>
          </w:p>
        </w:tc>
        <w:tc>
          <w:tcPr>
            <w:tcW w:w="977" w:type="dxa"/>
            <w:tcBorders>
              <w:top w:val="nil"/>
              <w:left w:val="nil"/>
              <w:bottom w:val="nil"/>
              <w:right w:val="nil"/>
            </w:tcBorders>
          </w:tcPr>
          <w:p>
            <w:pPr>
              <w:pStyle w:val="TableParagraph"/>
              <w:spacing w:before="26"/>
              <w:ind w:right="65"/>
              <w:rPr>
                <w:sz w:val="20"/>
              </w:rPr>
            </w:pPr>
            <w:r>
              <w:rPr>
                <w:sz w:val="20"/>
              </w:rPr>
              <w:t>25.179</w:t>
            </w:r>
          </w:p>
        </w:tc>
        <w:tc>
          <w:tcPr>
            <w:tcW w:w="982" w:type="dxa"/>
            <w:tcBorders>
              <w:top w:val="nil"/>
              <w:left w:val="nil"/>
              <w:bottom w:val="nil"/>
              <w:right w:val="nil"/>
            </w:tcBorders>
          </w:tcPr>
          <w:p>
            <w:pPr>
              <w:pStyle w:val="TableParagraph"/>
              <w:spacing w:before="26"/>
              <w:ind w:right="67"/>
              <w:rPr>
                <w:sz w:val="20"/>
              </w:rPr>
            </w:pPr>
            <w:r>
              <w:rPr>
                <w:sz w:val="20"/>
              </w:rPr>
              <w:t>25.167</w:t>
            </w:r>
          </w:p>
        </w:tc>
        <w:tc>
          <w:tcPr>
            <w:tcW w:w="991" w:type="dxa"/>
            <w:tcBorders>
              <w:top w:val="nil"/>
              <w:left w:val="nil"/>
              <w:bottom w:val="nil"/>
              <w:right w:val="nil"/>
            </w:tcBorders>
          </w:tcPr>
          <w:p>
            <w:pPr>
              <w:pStyle w:val="TableParagraph"/>
              <w:spacing w:before="26"/>
              <w:ind w:right="74"/>
              <w:rPr>
                <w:sz w:val="20"/>
              </w:rPr>
            </w:pPr>
            <w:r>
              <w:rPr>
                <w:sz w:val="20"/>
              </w:rPr>
              <w:t>22.770</w:t>
            </w:r>
          </w:p>
        </w:tc>
        <w:tc>
          <w:tcPr>
            <w:tcW w:w="1013" w:type="dxa"/>
            <w:tcBorders>
              <w:top w:val="nil"/>
              <w:left w:val="nil"/>
              <w:bottom w:val="nil"/>
              <w:right w:val="nil"/>
            </w:tcBorders>
          </w:tcPr>
          <w:p>
            <w:pPr>
              <w:pStyle w:val="TableParagraph"/>
              <w:spacing w:before="26"/>
              <w:ind w:right="70"/>
              <w:rPr>
                <w:sz w:val="20"/>
              </w:rPr>
            </w:pPr>
            <w:r>
              <w:rPr>
                <w:sz w:val="20"/>
              </w:rPr>
              <w:t>21.229</w:t>
            </w:r>
          </w:p>
        </w:tc>
        <w:tc>
          <w:tcPr>
            <w:tcW w:w="1018" w:type="dxa"/>
            <w:tcBorders>
              <w:top w:val="nil"/>
              <w:left w:val="nil"/>
              <w:bottom w:val="nil"/>
              <w:right w:val="nil"/>
            </w:tcBorders>
          </w:tcPr>
          <w:p>
            <w:pPr>
              <w:pStyle w:val="TableParagraph"/>
              <w:spacing w:before="26"/>
              <w:ind w:right="89"/>
              <w:rPr>
                <w:sz w:val="20"/>
              </w:rPr>
            </w:pPr>
            <w:r>
              <w:rPr>
                <w:sz w:val="20"/>
              </w:rPr>
              <w:t>21.145</w:t>
            </w:r>
          </w:p>
        </w:tc>
        <w:tc>
          <w:tcPr>
            <w:tcW w:w="1039" w:type="dxa"/>
            <w:tcBorders>
              <w:top w:val="nil"/>
              <w:left w:val="nil"/>
              <w:bottom w:val="nil"/>
              <w:right w:val="nil"/>
            </w:tcBorders>
          </w:tcPr>
          <w:p>
            <w:pPr>
              <w:pStyle w:val="TableParagraph"/>
              <w:spacing w:before="26"/>
              <w:ind w:right="62"/>
              <w:rPr>
                <w:sz w:val="20"/>
              </w:rPr>
            </w:pPr>
            <w:r>
              <w:rPr>
                <w:sz w:val="20"/>
              </w:rPr>
              <w:t>21.148</w:t>
            </w:r>
          </w:p>
        </w:tc>
        <w:tc>
          <w:tcPr>
            <w:tcW w:w="1073" w:type="dxa"/>
            <w:tcBorders>
              <w:top w:val="nil"/>
              <w:left w:val="nil"/>
              <w:bottom w:val="nil"/>
              <w:right w:val="nil"/>
            </w:tcBorders>
          </w:tcPr>
          <w:p>
            <w:pPr>
              <w:pStyle w:val="TableParagraph"/>
              <w:spacing w:before="26"/>
              <w:ind w:right="65"/>
              <w:rPr>
                <w:sz w:val="20"/>
              </w:rPr>
            </w:pPr>
            <w:r>
              <w:rPr>
                <w:sz w:val="20"/>
              </w:rPr>
              <w:t>21.268</w:t>
            </w:r>
          </w:p>
        </w:tc>
        <w:tc>
          <w:tcPr>
            <w:tcW w:w="1076" w:type="dxa"/>
            <w:tcBorders>
              <w:top w:val="nil"/>
              <w:left w:val="nil"/>
              <w:bottom w:val="nil"/>
              <w:right w:val="nil"/>
            </w:tcBorders>
          </w:tcPr>
          <w:p>
            <w:pPr>
              <w:pStyle w:val="TableParagraph"/>
              <w:spacing w:before="26"/>
              <w:ind w:right="65"/>
              <w:rPr>
                <w:sz w:val="20"/>
              </w:rPr>
            </w:pPr>
            <w:r>
              <w:rPr>
                <w:sz w:val="20"/>
              </w:rPr>
              <w:t>21.128</w:t>
            </w:r>
          </w:p>
        </w:tc>
        <w:tc>
          <w:tcPr>
            <w:tcW w:w="1071" w:type="dxa"/>
            <w:tcBorders>
              <w:top w:val="nil"/>
              <w:left w:val="nil"/>
              <w:bottom w:val="nil"/>
              <w:right w:val="nil"/>
            </w:tcBorders>
          </w:tcPr>
          <w:p>
            <w:pPr>
              <w:pStyle w:val="TableParagraph"/>
              <w:spacing w:before="26"/>
              <w:ind w:right="60"/>
              <w:rPr>
                <w:sz w:val="20"/>
              </w:rPr>
            </w:pPr>
            <w:r>
              <w:rPr>
                <w:sz w:val="20"/>
              </w:rPr>
              <w:t>20.464</w:t>
            </w:r>
          </w:p>
        </w:tc>
      </w:tr>
      <w:tr>
        <w:trPr>
          <w:trHeight w:val="268" w:hRule="exact"/>
        </w:trPr>
        <w:tc>
          <w:tcPr>
            <w:tcW w:w="1146" w:type="dxa"/>
            <w:tcBorders>
              <w:top w:val="nil"/>
              <w:left w:val="nil"/>
              <w:right w:val="nil"/>
            </w:tcBorders>
          </w:tcPr>
          <w:p>
            <w:pPr>
              <w:pStyle w:val="TableParagraph"/>
              <w:ind w:left="86"/>
              <w:jc w:val="left"/>
              <w:rPr>
                <w:sz w:val="20"/>
              </w:rPr>
            </w:pPr>
            <w:r>
              <w:rPr>
                <w:sz w:val="20"/>
              </w:rPr>
              <w:t>29</w:t>
            </w:r>
          </w:p>
        </w:tc>
        <w:tc>
          <w:tcPr>
            <w:tcW w:w="1051" w:type="dxa"/>
            <w:tcBorders>
              <w:top w:val="nil"/>
              <w:left w:val="nil"/>
              <w:right w:val="nil"/>
            </w:tcBorders>
          </w:tcPr>
          <w:p>
            <w:pPr>
              <w:pStyle w:val="TableParagraph"/>
              <w:ind w:left="73"/>
              <w:jc w:val="left"/>
              <w:rPr>
                <w:sz w:val="20"/>
              </w:rPr>
            </w:pPr>
            <w:r>
              <w:rPr>
                <w:sz w:val="20"/>
              </w:rPr>
              <w:t>15251</w:t>
            </w:r>
          </w:p>
        </w:tc>
        <w:tc>
          <w:tcPr>
            <w:tcW w:w="991" w:type="dxa"/>
            <w:tcBorders>
              <w:top w:val="nil"/>
              <w:left w:val="nil"/>
              <w:right w:val="nil"/>
            </w:tcBorders>
          </w:tcPr>
          <w:p>
            <w:pPr>
              <w:pStyle w:val="TableParagraph"/>
              <w:ind w:right="65"/>
              <w:rPr>
                <w:sz w:val="20"/>
              </w:rPr>
            </w:pPr>
            <w:r>
              <w:rPr>
                <w:sz w:val="20"/>
              </w:rPr>
              <w:t>19.955</w:t>
            </w:r>
          </w:p>
        </w:tc>
        <w:tc>
          <w:tcPr>
            <w:tcW w:w="992" w:type="dxa"/>
            <w:tcBorders>
              <w:top w:val="nil"/>
              <w:left w:val="nil"/>
              <w:right w:val="nil"/>
            </w:tcBorders>
          </w:tcPr>
          <w:p>
            <w:pPr>
              <w:pStyle w:val="TableParagraph"/>
              <w:ind w:right="82"/>
              <w:rPr>
                <w:sz w:val="20"/>
              </w:rPr>
            </w:pPr>
            <w:r>
              <w:rPr>
                <w:sz w:val="20"/>
              </w:rPr>
              <w:t>21.409</w:t>
            </w:r>
          </w:p>
        </w:tc>
        <w:tc>
          <w:tcPr>
            <w:tcW w:w="1023" w:type="dxa"/>
            <w:tcBorders>
              <w:top w:val="nil"/>
              <w:left w:val="nil"/>
              <w:right w:val="nil"/>
            </w:tcBorders>
          </w:tcPr>
          <w:p>
            <w:pPr>
              <w:pStyle w:val="TableParagraph"/>
              <w:ind w:right="63"/>
              <w:rPr>
                <w:sz w:val="20"/>
              </w:rPr>
            </w:pPr>
            <w:r>
              <w:rPr>
                <w:sz w:val="20"/>
              </w:rPr>
              <w:t>23.628</w:t>
            </w:r>
          </w:p>
        </w:tc>
        <w:tc>
          <w:tcPr>
            <w:tcW w:w="977" w:type="dxa"/>
            <w:tcBorders>
              <w:top w:val="nil"/>
              <w:left w:val="nil"/>
              <w:right w:val="nil"/>
            </w:tcBorders>
          </w:tcPr>
          <w:p>
            <w:pPr>
              <w:pStyle w:val="TableParagraph"/>
              <w:ind w:right="65"/>
              <w:rPr>
                <w:sz w:val="20"/>
              </w:rPr>
            </w:pPr>
            <w:r>
              <w:rPr>
                <w:sz w:val="20"/>
              </w:rPr>
              <w:t>25.398</w:t>
            </w:r>
          </w:p>
        </w:tc>
        <w:tc>
          <w:tcPr>
            <w:tcW w:w="982" w:type="dxa"/>
            <w:tcBorders>
              <w:top w:val="nil"/>
              <w:left w:val="nil"/>
              <w:right w:val="nil"/>
            </w:tcBorders>
          </w:tcPr>
          <w:p>
            <w:pPr>
              <w:pStyle w:val="TableParagraph"/>
              <w:ind w:right="67"/>
              <w:rPr>
                <w:sz w:val="20"/>
              </w:rPr>
            </w:pPr>
            <w:r>
              <w:rPr>
                <w:sz w:val="20"/>
              </w:rPr>
              <w:t>25.176</w:t>
            </w:r>
          </w:p>
        </w:tc>
        <w:tc>
          <w:tcPr>
            <w:tcW w:w="991" w:type="dxa"/>
            <w:tcBorders>
              <w:top w:val="nil"/>
              <w:left w:val="nil"/>
              <w:right w:val="nil"/>
            </w:tcBorders>
          </w:tcPr>
          <w:p>
            <w:pPr>
              <w:pStyle w:val="TableParagraph"/>
              <w:ind w:right="74"/>
              <w:rPr>
                <w:sz w:val="20"/>
              </w:rPr>
            </w:pPr>
            <w:r>
              <w:rPr>
                <w:sz w:val="20"/>
              </w:rPr>
              <w:t>22.878</w:t>
            </w:r>
          </w:p>
        </w:tc>
        <w:tc>
          <w:tcPr>
            <w:tcW w:w="1013" w:type="dxa"/>
            <w:tcBorders>
              <w:top w:val="nil"/>
              <w:left w:val="nil"/>
              <w:right w:val="nil"/>
            </w:tcBorders>
          </w:tcPr>
          <w:p>
            <w:pPr>
              <w:pStyle w:val="TableParagraph"/>
              <w:ind w:right="70"/>
              <w:rPr>
                <w:sz w:val="20"/>
              </w:rPr>
            </w:pPr>
            <w:r>
              <w:rPr>
                <w:sz w:val="20"/>
              </w:rPr>
              <w:t>21.015</w:t>
            </w:r>
          </w:p>
        </w:tc>
        <w:tc>
          <w:tcPr>
            <w:tcW w:w="1018" w:type="dxa"/>
            <w:tcBorders>
              <w:top w:val="nil"/>
              <w:left w:val="nil"/>
              <w:right w:val="nil"/>
            </w:tcBorders>
          </w:tcPr>
          <w:p>
            <w:pPr>
              <w:pStyle w:val="TableParagraph"/>
              <w:ind w:right="89"/>
              <w:rPr>
                <w:sz w:val="20"/>
              </w:rPr>
            </w:pPr>
            <w:r>
              <w:rPr>
                <w:sz w:val="20"/>
              </w:rPr>
              <w:t>20.927</w:t>
            </w:r>
          </w:p>
        </w:tc>
        <w:tc>
          <w:tcPr>
            <w:tcW w:w="1039" w:type="dxa"/>
            <w:tcBorders>
              <w:top w:val="nil"/>
              <w:left w:val="nil"/>
              <w:right w:val="nil"/>
            </w:tcBorders>
          </w:tcPr>
          <w:p>
            <w:pPr>
              <w:pStyle w:val="TableParagraph"/>
              <w:ind w:right="62"/>
              <w:rPr>
                <w:sz w:val="20"/>
              </w:rPr>
            </w:pPr>
            <w:r>
              <w:rPr>
                <w:sz w:val="20"/>
              </w:rPr>
              <w:t>20.811</w:t>
            </w:r>
          </w:p>
        </w:tc>
        <w:tc>
          <w:tcPr>
            <w:tcW w:w="1073" w:type="dxa"/>
            <w:tcBorders>
              <w:top w:val="nil"/>
              <w:left w:val="nil"/>
              <w:right w:val="nil"/>
            </w:tcBorders>
          </w:tcPr>
          <w:p>
            <w:pPr>
              <w:pStyle w:val="TableParagraph"/>
              <w:ind w:right="65"/>
              <w:rPr>
                <w:sz w:val="20"/>
              </w:rPr>
            </w:pPr>
            <w:r>
              <w:rPr>
                <w:sz w:val="20"/>
              </w:rPr>
              <w:t>21.118</w:t>
            </w:r>
          </w:p>
        </w:tc>
        <w:tc>
          <w:tcPr>
            <w:tcW w:w="1076" w:type="dxa"/>
            <w:tcBorders>
              <w:top w:val="nil"/>
              <w:left w:val="nil"/>
              <w:right w:val="nil"/>
            </w:tcBorders>
          </w:tcPr>
          <w:p>
            <w:pPr>
              <w:pStyle w:val="TableParagraph"/>
              <w:ind w:right="65"/>
              <w:rPr>
                <w:sz w:val="20"/>
              </w:rPr>
            </w:pPr>
            <w:r>
              <w:rPr>
                <w:sz w:val="20"/>
              </w:rPr>
              <w:t>20.809</w:t>
            </w:r>
          </w:p>
        </w:tc>
        <w:tc>
          <w:tcPr>
            <w:tcW w:w="1071" w:type="dxa"/>
            <w:tcBorders>
              <w:top w:val="nil"/>
              <w:left w:val="nil"/>
              <w:right w:val="nil"/>
            </w:tcBorders>
          </w:tcPr>
          <w:p>
            <w:pPr>
              <w:pStyle w:val="TableParagraph"/>
              <w:ind w:right="60"/>
              <w:rPr>
                <w:sz w:val="20"/>
              </w:rPr>
            </w:pPr>
            <w:r>
              <w:rPr>
                <w:sz w:val="20"/>
              </w:rPr>
              <w:t>20.173</w:t>
            </w:r>
          </w:p>
        </w:tc>
      </w:tr>
    </w:tbl>
    <w:p>
      <w:pPr>
        <w:pStyle w:val="BodyText"/>
        <w:rPr>
          <w:sz w:val="20"/>
        </w:rPr>
      </w:pPr>
    </w:p>
    <w:p>
      <w:pPr>
        <w:pStyle w:val="BodyText"/>
        <w:rPr>
          <w:sz w:val="20"/>
        </w:rPr>
      </w:pPr>
    </w:p>
    <w:p>
      <w:pPr>
        <w:pStyle w:val="BodyText"/>
        <w:rPr>
          <w:sz w:val="20"/>
        </w:rPr>
      </w:pPr>
    </w:p>
    <w:p>
      <w:pPr>
        <w:pStyle w:val="BodyText"/>
        <w:spacing w:before="2"/>
        <w:rPr>
          <w:sz w:val="19"/>
        </w:rPr>
      </w:pPr>
    </w:p>
    <w:p>
      <w:pPr>
        <w:pStyle w:val="Heading1"/>
        <w:spacing w:before="66"/>
        <w:ind w:left="3591"/>
      </w:pPr>
      <w:bookmarkStart w:name="_bookmark146" w:id="205"/>
      <w:bookmarkEnd w:id="205"/>
      <w:r>
        <w:rPr>
          <w:b w:val="0"/>
        </w:rPr>
      </w:r>
      <w:r>
        <w:rPr/>
        <w:t>Tabla 9. Temperatura mínima mensual promedio por subcuenca</w:t>
      </w:r>
    </w:p>
    <w:p>
      <w:pPr>
        <w:pStyle w:val="BodyText"/>
        <w:rPr>
          <w:b/>
          <w:sz w:val="18"/>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46"/>
        <w:gridCol w:w="1056"/>
        <w:gridCol w:w="1032"/>
        <w:gridCol w:w="1056"/>
        <w:gridCol w:w="1025"/>
        <w:gridCol w:w="984"/>
        <w:gridCol w:w="999"/>
        <w:gridCol w:w="1003"/>
        <w:gridCol w:w="1011"/>
        <w:gridCol w:w="977"/>
        <w:gridCol w:w="980"/>
        <w:gridCol w:w="1076"/>
        <w:gridCol w:w="1073"/>
        <w:gridCol w:w="1068"/>
      </w:tblGrid>
      <w:tr>
        <w:trPr>
          <w:trHeight w:val="610" w:hRule="exact"/>
        </w:trPr>
        <w:tc>
          <w:tcPr>
            <w:tcW w:w="1146" w:type="dxa"/>
            <w:tcBorders>
              <w:left w:val="nil"/>
              <w:right w:val="nil"/>
            </w:tcBorders>
          </w:tcPr>
          <w:p>
            <w:pPr>
              <w:pStyle w:val="TableParagraph"/>
              <w:spacing w:before="63"/>
              <w:ind w:left="86"/>
              <w:jc w:val="left"/>
              <w:rPr>
                <w:sz w:val="20"/>
              </w:rPr>
            </w:pPr>
            <w:r>
              <w:rPr>
                <w:sz w:val="20"/>
              </w:rPr>
              <w:t>SUBBASIN</w:t>
            </w:r>
          </w:p>
        </w:tc>
        <w:tc>
          <w:tcPr>
            <w:tcW w:w="1056" w:type="dxa"/>
            <w:tcBorders>
              <w:left w:val="nil"/>
              <w:right w:val="nil"/>
            </w:tcBorders>
          </w:tcPr>
          <w:p>
            <w:pPr>
              <w:pStyle w:val="TableParagraph"/>
              <w:spacing w:before="63"/>
              <w:ind w:left="107"/>
              <w:jc w:val="left"/>
              <w:rPr>
                <w:sz w:val="20"/>
              </w:rPr>
            </w:pPr>
            <w:r>
              <w:rPr>
                <w:sz w:val="20"/>
              </w:rPr>
              <w:t>STATION</w:t>
            </w:r>
          </w:p>
        </w:tc>
        <w:tc>
          <w:tcPr>
            <w:tcW w:w="1032" w:type="dxa"/>
            <w:tcBorders>
              <w:left w:val="nil"/>
              <w:right w:val="nil"/>
            </w:tcBorders>
          </w:tcPr>
          <w:p>
            <w:pPr>
              <w:pStyle w:val="TableParagraph"/>
              <w:spacing w:before="63"/>
              <w:ind w:right="106"/>
              <w:rPr>
                <w:sz w:val="20"/>
              </w:rPr>
            </w:pPr>
            <w:r>
              <w:rPr>
                <w:sz w:val="20"/>
              </w:rPr>
              <w:t>TMPMN1</w:t>
            </w:r>
          </w:p>
        </w:tc>
        <w:tc>
          <w:tcPr>
            <w:tcW w:w="1056" w:type="dxa"/>
            <w:tcBorders>
              <w:left w:val="nil"/>
              <w:right w:val="nil"/>
            </w:tcBorders>
          </w:tcPr>
          <w:p>
            <w:pPr>
              <w:pStyle w:val="TableParagraph"/>
              <w:spacing w:before="63"/>
              <w:ind w:right="130"/>
              <w:rPr>
                <w:sz w:val="20"/>
              </w:rPr>
            </w:pPr>
            <w:r>
              <w:rPr>
                <w:sz w:val="20"/>
              </w:rPr>
              <w:t>TMPMN2</w:t>
            </w:r>
          </w:p>
        </w:tc>
        <w:tc>
          <w:tcPr>
            <w:tcW w:w="1025" w:type="dxa"/>
            <w:tcBorders>
              <w:left w:val="nil"/>
              <w:right w:val="nil"/>
            </w:tcBorders>
          </w:tcPr>
          <w:p>
            <w:pPr>
              <w:pStyle w:val="TableParagraph"/>
              <w:spacing w:before="63"/>
              <w:ind w:right="105"/>
              <w:rPr>
                <w:sz w:val="20"/>
              </w:rPr>
            </w:pPr>
            <w:r>
              <w:rPr>
                <w:sz w:val="20"/>
              </w:rPr>
              <w:t>TMPMN3</w:t>
            </w:r>
          </w:p>
        </w:tc>
        <w:tc>
          <w:tcPr>
            <w:tcW w:w="984" w:type="dxa"/>
            <w:tcBorders>
              <w:left w:val="nil"/>
              <w:right w:val="nil"/>
            </w:tcBorders>
          </w:tcPr>
          <w:p>
            <w:pPr>
              <w:pStyle w:val="TableParagraph"/>
              <w:spacing w:before="63"/>
              <w:ind w:right="79"/>
              <w:rPr>
                <w:sz w:val="20"/>
              </w:rPr>
            </w:pPr>
            <w:r>
              <w:rPr>
                <w:sz w:val="20"/>
              </w:rPr>
              <w:t>TMPMN4</w:t>
            </w:r>
          </w:p>
        </w:tc>
        <w:tc>
          <w:tcPr>
            <w:tcW w:w="999" w:type="dxa"/>
            <w:tcBorders>
              <w:left w:val="nil"/>
              <w:right w:val="nil"/>
            </w:tcBorders>
          </w:tcPr>
          <w:p>
            <w:pPr>
              <w:pStyle w:val="TableParagraph"/>
              <w:spacing w:before="63"/>
              <w:ind w:right="89"/>
              <w:rPr>
                <w:sz w:val="20"/>
              </w:rPr>
            </w:pPr>
            <w:r>
              <w:rPr>
                <w:sz w:val="20"/>
              </w:rPr>
              <w:t>TMPMN5</w:t>
            </w:r>
          </w:p>
        </w:tc>
        <w:tc>
          <w:tcPr>
            <w:tcW w:w="1003" w:type="dxa"/>
            <w:tcBorders>
              <w:left w:val="nil"/>
              <w:right w:val="nil"/>
            </w:tcBorders>
          </w:tcPr>
          <w:p>
            <w:pPr>
              <w:pStyle w:val="TableParagraph"/>
              <w:spacing w:before="63"/>
              <w:ind w:right="94"/>
              <w:rPr>
                <w:sz w:val="20"/>
              </w:rPr>
            </w:pPr>
            <w:r>
              <w:rPr>
                <w:sz w:val="20"/>
              </w:rPr>
              <w:t>TMPMN6</w:t>
            </w:r>
          </w:p>
        </w:tc>
        <w:tc>
          <w:tcPr>
            <w:tcW w:w="1011" w:type="dxa"/>
            <w:tcBorders>
              <w:left w:val="nil"/>
              <w:right w:val="nil"/>
            </w:tcBorders>
          </w:tcPr>
          <w:p>
            <w:pPr>
              <w:pStyle w:val="TableParagraph"/>
              <w:spacing w:before="63"/>
              <w:ind w:right="96"/>
              <w:rPr>
                <w:sz w:val="20"/>
              </w:rPr>
            </w:pPr>
            <w:r>
              <w:rPr>
                <w:sz w:val="20"/>
              </w:rPr>
              <w:t>TMPMN7</w:t>
            </w:r>
          </w:p>
        </w:tc>
        <w:tc>
          <w:tcPr>
            <w:tcW w:w="977" w:type="dxa"/>
            <w:tcBorders>
              <w:left w:val="nil"/>
              <w:right w:val="nil"/>
            </w:tcBorders>
          </w:tcPr>
          <w:p>
            <w:pPr>
              <w:pStyle w:val="TableParagraph"/>
              <w:spacing w:before="63"/>
              <w:ind w:right="70"/>
              <w:rPr>
                <w:sz w:val="20"/>
              </w:rPr>
            </w:pPr>
            <w:r>
              <w:rPr>
                <w:sz w:val="20"/>
              </w:rPr>
              <w:t>TMPMN8</w:t>
            </w:r>
          </w:p>
        </w:tc>
        <w:tc>
          <w:tcPr>
            <w:tcW w:w="980" w:type="dxa"/>
            <w:tcBorders>
              <w:left w:val="nil"/>
              <w:right w:val="nil"/>
            </w:tcBorders>
          </w:tcPr>
          <w:p>
            <w:pPr>
              <w:pStyle w:val="TableParagraph"/>
              <w:spacing w:before="63"/>
              <w:ind w:right="74"/>
              <w:rPr>
                <w:sz w:val="20"/>
              </w:rPr>
            </w:pPr>
            <w:r>
              <w:rPr>
                <w:sz w:val="20"/>
              </w:rPr>
              <w:t>TMPMN9</w:t>
            </w:r>
          </w:p>
        </w:tc>
        <w:tc>
          <w:tcPr>
            <w:tcW w:w="1076" w:type="dxa"/>
            <w:tcBorders>
              <w:left w:val="nil"/>
              <w:right w:val="nil"/>
            </w:tcBorders>
          </w:tcPr>
          <w:p>
            <w:pPr>
              <w:pStyle w:val="TableParagraph"/>
              <w:spacing w:before="63"/>
              <w:ind w:right="70"/>
              <w:rPr>
                <w:sz w:val="20"/>
              </w:rPr>
            </w:pPr>
            <w:r>
              <w:rPr>
                <w:sz w:val="20"/>
              </w:rPr>
              <w:t>TMPMN10</w:t>
            </w:r>
          </w:p>
        </w:tc>
        <w:tc>
          <w:tcPr>
            <w:tcW w:w="1073" w:type="dxa"/>
            <w:tcBorders>
              <w:left w:val="nil"/>
              <w:right w:val="nil"/>
            </w:tcBorders>
          </w:tcPr>
          <w:p>
            <w:pPr>
              <w:pStyle w:val="TableParagraph"/>
              <w:spacing w:before="63"/>
              <w:ind w:right="69"/>
              <w:rPr>
                <w:sz w:val="20"/>
              </w:rPr>
            </w:pPr>
            <w:r>
              <w:rPr>
                <w:sz w:val="20"/>
              </w:rPr>
              <w:t>TMPMN11</w:t>
            </w:r>
          </w:p>
        </w:tc>
        <w:tc>
          <w:tcPr>
            <w:tcW w:w="1068" w:type="dxa"/>
            <w:tcBorders>
              <w:left w:val="nil"/>
              <w:right w:val="nil"/>
            </w:tcBorders>
          </w:tcPr>
          <w:p>
            <w:pPr>
              <w:pStyle w:val="TableParagraph"/>
              <w:spacing w:before="63"/>
              <w:ind w:right="65"/>
              <w:rPr>
                <w:sz w:val="20"/>
              </w:rPr>
            </w:pPr>
            <w:r>
              <w:rPr>
                <w:sz w:val="20"/>
              </w:rPr>
              <w:t>TMPMN12</w:t>
            </w:r>
          </w:p>
        </w:tc>
      </w:tr>
      <w:tr>
        <w:trPr>
          <w:trHeight w:val="342" w:hRule="exact"/>
        </w:trPr>
        <w:tc>
          <w:tcPr>
            <w:tcW w:w="1146" w:type="dxa"/>
            <w:tcBorders>
              <w:left w:val="nil"/>
              <w:bottom w:val="nil"/>
              <w:right w:val="nil"/>
            </w:tcBorders>
          </w:tcPr>
          <w:p>
            <w:pPr>
              <w:pStyle w:val="TableParagraph"/>
              <w:spacing w:before="63"/>
              <w:ind w:left="86"/>
              <w:jc w:val="left"/>
              <w:rPr>
                <w:sz w:val="20"/>
              </w:rPr>
            </w:pPr>
            <w:r>
              <w:rPr>
                <w:w w:val="100"/>
                <w:sz w:val="20"/>
              </w:rPr>
              <w:t>1</w:t>
            </w:r>
          </w:p>
        </w:tc>
        <w:tc>
          <w:tcPr>
            <w:tcW w:w="1056" w:type="dxa"/>
            <w:tcBorders>
              <w:left w:val="nil"/>
              <w:bottom w:val="nil"/>
              <w:right w:val="nil"/>
            </w:tcBorders>
          </w:tcPr>
          <w:p>
            <w:pPr>
              <w:pStyle w:val="TableParagraph"/>
              <w:spacing w:before="63"/>
              <w:ind w:left="73"/>
              <w:jc w:val="left"/>
              <w:rPr>
                <w:sz w:val="20"/>
              </w:rPr>
            </w:pPr>
            <w:r>
              <w:rPr>
                <w:sz w:val="20"/>
              </w:rPr>
              <w:t>15001</w:t>
            </w:r>
          </w:p>
        </w:tc>
        <w:tc>
          <w:tcPr>
            <w:tcW w:w="1032" w:type="dxa"/>
            <w:tcBorders>
              <w:left w:val="nil"/>
              <w:bottom w:val="nil"/>
              <w:right w:val="nil"/>
            </w:tcBorders>
          </w:tcPr>
          <w:p>
            <w:pPr>
              <w:pStyle w:val="TableParagraph"/>
              <w:spacing w:before="63"/>
              <w:ind w:right="87"/>
              <w:rPr>
                <w:sz w:val="20"/>
              </w:rPr>
            </w:pPr>
            <w:r>
              <w:rPr>
                <w:sz w:val="20"/>
              </w:rPr>
              <w:t>2.092</w:t>
            </w:r>
          </w:p>
        </w:tc>
        <w:tc>
          <w:tcPr>
            <w:tcW w:w="1056" w:type="dxa"/>
            <w:tcBorders>
              <w:left w:val="nil"/>
              <w:bottom w:val="nil"/>
              <w:right w:val="nil"/>
            </w:tcBorders>
          </w:tcPr>
          <w:p>
            <w:pPr>
              <w:pStyle w:val="TableParagraph"/>
              <w:spacing w:before="63"/>
              <w:ind w:right="82"/>
              <w:rPr>
                <w:sz w:val="20"/>
              </w:rPr>
            </w:pPr>
            <w:r>
              <w:rPr>
                <w:sz w:val="20"/>
              </w:rPr>
              <w:t>2.906</w:t>
            </w:r>
          </w:p>
        </w:tc>
        <w:tc>
          <w:tcPr>
            <w:tcW w:w="1025" w:type="dxa"/>
            <w:tcBorders>
              <w:left w:val="nil"/>
              <w:bottom w:val="nil"/>
              <w:right w:val="nil"/>
            </w:tcBorders>
          </w:tcPr>
          <w:p>
            <w:pPr>
              <w:pStyle w:val="TableParagraph"/>
              <w:spacing w:before="63"/>
              <w:ind w:right="65"/>
              <w:rPr>
                <w:sz w:val="20"/>
              </w:rPr>
            </w:pPr>
            <w:r>
              <w:rPr>
                <w:sz w:val="20"/>
              </w:rPr>
              <w:t>5.063</w:t>
            </w:r>
          </w:p>
        </w:tc>
        <w:tc>
          <w:tcPr>
            <w:tcW w:w="984" w:type="dxa"/>
            <w:tcBorders>
              <w:left w:val="nil"/>
              <w:bottom w:val="nil"/>
              <w:right w:val="nil"/>
            </w:tcBorders>
          </w:tcPr>
          <w:p>
            <w:pPr>
              <w:pStyle w:val="TableParagraph"/>
              <w:spacing w:before="63"/>
              <w:ind w:right="70"/>
              <w:rPr>
                <w:sz w:val="20"/>
              </w:rPr>
            </w:pPr>
            <w:r>
              <w:rPr>
                <w:sz w:val="20"/>
              </w:rPr>
              <w:t>6.595</w:t>
            </w:r>
          </w:p>
        </w:tc>
        <w:tc>
          <w:tcPr>
            <w:tcW w:w="999" w:type="dxa"/>
            <w:tcBorders>
              <w:left w:val="nil"/>
              <w:bottom w:val="nil"/>
              <w:right w:val="nil"/>
            </w:tcBorders>
          </w:tcPr>
          <w:p>
            <w:pPr>
              <w:pStyle w:val="TableParagraph"/>
              <w:spacing w:before="63"/>
              <w:ind w:right="70"/>
              <w:rPr>
                <w:sz w:val="20"/>
              </w:rPr>
            </w:pPr>
            <w:r>
              <w:rPr>
                <w:sz w:val="20"/>
              </w:rPr>
              <w:t>7.684</w:t>
            </w:r>
          </w:p>
        </w:tc>
        <w:tc>
          <w:tcPr>
            <w:tcW w:w="1003" w:type="dxa"/>
            <w:tcBorders>
              <w:left w:val="nil"/>
              <w:bottom w:val="nil"/>
              <w:right w:val="nil"/>
            </w:tcBorders>
          </w:tcPr>
          <w:p>
            <w:pPr>
              <w:pStyle w:val="TableParagraph"/>
              <w:spacing w:before="63"/>
              <w:ind w:right="75"/>
              <w:rPr>
                <w:sz w:val="20"/>
              </w:rPr>
            </w:pPr>
            <w:r>
              <w:rPr>
                <w:sz w:val="20"/>
              </w:rPr>
              <w:t>8.661</w:t>
            </w:r>
          </w:p>
        </w:tc>
        <w:tc>
          <w:tcPr>
            <w:tcW w:w="1011" w:type="dxa"/>
            <w:tcBorders>
              <w:left w:val="nil"/>
              <w:bottom w:val="nil"/>
              <w:right w:val="nil"/>
            </w:tcBorders>
          </w:tcPr>
          <w:p>
            <w:pPr>
              <w:pStyle w:val="TableParagraph"/>
              <w:spacing w:before="63"/>
              <w:ind w:right="67"/>
              <w:rPr>
                <w:sz w:val="20"/>
              </w:rPr>
            </w:pPr>
            <w:r>
              <w:rPr>
                <w:sz w:val="20"/>
              </w:rPr>
              <w:t>8.445</w:t>
            </w:r>
          </w:p>
        </w:tc>
        <w:tc>
          <w:tcPr>
            <w:tcW w:w="977" w:type="dxa"/>
            <w:tcBorders>
              <w:left w:val="nil"/>
              <w:bottom w:val="nil"/>
              <w:right w:val="nil"/>
            </w:tcBorders>
          </w:tcPr>
          <w:p>
            <w:pPr>
              <w:pStyle w:val="TableParagraph"/>
              <w:spacing w:before="63"/>
              <w:ind w:right="65"/>
              <w:rPr>
                <w:sz w:val="20"/>
              </w:rPr>
            </w:pPr>
            <w:r>
              <w:rPr>
                <w:sz w:val="20"/>
              </w:rPr>
              <w:t>8.408</w:t>
            </w:r>
          </w:p>
        </w:tc>
        <w:tc>
          <w:tcPr>
            <w:tcW w:w="980" w:type="dxa"/>
            <w:tcBorders>
              <w:left w:val="nil"/>
              <w:bottom w:val="nil"/>
              <w:right w:val="nil"/>
            </w:tcBorders>
          </w:tcPr>
          <w:p>
            <w:pPr>
              <w:pStyle w:val="TableParagraph"/>
              <w:spacing w:before="63"/>
              <w:ind w:right="65"/>
              <w:rPr>
                <w:sz w:val="20"/>
              </w:rPr>
            </w:pPr>
            <w:r>
              <w:rPr>
                <w:sz w:val="20"/>
              </w:rPr>
              <w:t>8.137</w:t>
            </w:r>
          </w:p>
        </w:tc>
        <w:tc>
          <w:tcPr>
            <w:tcW w:w="1076" w:type="dxa"/>
            <w:tcBorders>
              <w:left w:val="nil"/>
              <w:bottom w:val="nil"/>
              <w:right w:val="nil"/>
            </w:tcBorders>
          </w:tcPr>
          <w:p>
            <w:pPr>
              <w:pStyle w:val="TableParagraph"/>
              <w:spacing w:before="63"/>
              <w:ind w:right="65"/>
              <w:rPr>
                <w:sz w:val="20"/>
              </w:rPr>
            </w:pPr>
            <w:r>
              <w:rPr>
                <w:sz w:val="20"/>
              </w:rPr>
              <w:t>6.447</w:t>
            </w:r>
          </w:p>
        </w:tc>
        <w:tc>
          <w:tcPr>
            <w:tcW w:w="1073" w:type="dxa"/>
            <w:tcBorders>
              <w:left w:val="nil"/>
              <w:bottom w:val="nil"/>
              <w:right w:val="nil"/>
            </w:tcBorders>
          </w:tcPr>
          <w:p>
            <w:pPr>
              <w:pStyle w:val="TableParagraph"/>
              <w:spacing w:before="63"/>
              <w:ind w:right="63"/>
              <w:rPr>
                <w:sz w:val="20"/>
              </w:rPr>
            </w:pPr>
            <w:r>
              <w:rPr>
                <w:sz w:val="20"/>
              </w:rPr>
              <w:t>4.047</w:t>
            </w:r>
          </w:p>
        </w:tc>
        <w:tc>
          <w:tcPr>
            <w:tcW w:w="1068" w:type="dxa"/>
            <w:tcBorders>
              <w:left w:val="nil"/>
              <w:bottom w:val="nil"/>
              <w:right w:val="nil"/>
            </w:tcBorders>
          </w:tcPr>
          <w:p>
            <w:pPr>
              <w:pStyle w:val="TableParagraph"/>
              <w:spacing w:before="63"/>
              <w:ind w:right="60"/>
              <w:rPr>
                <w:sz w:val="20"/>
              </w:rPr>
            </w:pPr>
            <w:r>
              <w:rPr>
                <w:sz w:val="20"/>
              </w:rPr>
              <w:t>2.818</w:t>
            </w:r>
          </w:p>
        </w:tc>
      </w:tr>
      <w:tr>
        <w:trPr>
          <w:trHeight w:val="300" w:hRule="exact"/>
        </w:trPr>
        <w:tc>
          <w:tcPr>
            <w:tcW w:w="1146" w:type="dxa"/>
            <w:tcBorders>
              <w:top w:val="nil"/>
              <w:left w:val="nil"/>
              <w:bottom w:val="nil"/>
              <w:right w:val="nil"/>
            </w:tcBorders>
          </w:tcPr>
          <w:p>
            <w:pPr>
              <w:pStyle w:val="TableParagraph"/>
              <w:ind w:left="86"/>
              <w:jc w:val="left"/>
              <w:rPr>
                <w:sz w:val="20"/>
              </w:rPr>
            </w:pPr>
            <w:r>
              <w:rPr>
                <w:w w:val="100"/>
                <w:sz w:val="20"/>
              </w:rPr>
              <w:t>2</w:t>
            </w:r>
          </w:p>
        </w:tc>
        <w:tc>
          <w:tcPr>
            <w:tcW w:w="1056" w:type="dxa"/>
            <w:tcBorders>
              <w:top w:val="nil"/>
              <w:left w:val="nil"/>
              <w:bottom w:val="nil"/>
              <w:right w:val="nil"/>
            </w:tcBorders>
          </w:tcPr>
          <w:p>
            <w:pPr>
              <w:pStyle w:val="TableParagraph"/>
              <w:ind w:left="73"/>
              <w:jc w:val="left"/>
              <w:rPr>
                <w:sz w:val="20"/>
              </w:rPr>
            </w:pPr>
            <w:r>
              <w:rPr>
                <w:sz w:val="20"/>
              </w:rPr>
              <w:t>15001</w:t>
            </w:r>
          </w:p>
        </w:tc>
        <w:tc>
          <w:tcPr>
            <w:tcW w:w="1032" w:type="dxa"/>
            <w:tcBorders>
              <w:top w:val="nil"/>
              <w:left w:val="nil"/>
              <w:bottom w:val="nil"/>
              <w:right w:val="nil"/>
            </w:tcBorders>
          </w:tcPr>
          <w:p>
            <w:pPr>
              <w:pStyle w:val="TableParagraph"/>
              <w:ind w:right="87"/>
              <w:rPr>
                <w:sz w:val="20"/>
              </w:rPr>
            </w:pPr>
            <w:r>
              <w:rPr>
                <w:sz w:val="20"/>
              </w:rPr>
              <w:t>2.092</w:t>
            </w:r>
          </w:p>
        </w:tc>
        <w:tc>
          <w:tcPr>
            <w:tcW w:w="1056" w:type="dxa"/>
            <w:tcBorders>
              <w:top w:val="nil"/>
              <w:left w:val="nil"/>
              <w:bottom w:val="nil"/>
              <w:right w:val="nil"/>
            </w:tcBorders>
          </w:tcPr>
          <w:p>
            <w:pPr>
              <w:pStyle w:val="TableParagraph"/>
              <w:ind w:right="82"/>
              <w:rPr>
                <w:sz w:val="20"/>
              </w:rPr>
            </w:pPr>
            <w:r>
              <w:rPr>
                <w:sz w:val="20"/>
              </w:rPr>
              <w:t>2.906</w:t>
            </w:r>
          </w:p>
        </w:tc>
        <w:tc>
          <w:tcPr>
            <w:tcW w:w="1025" w:type="dxa"/>
            <w:tcBorders>
              <w:top w:val="nil"/>
              <w:left w:val="nil"/>
              <w:bottom w:val="nil"/>
              <w:right w:val="nil"/>
            </w:tcBorders>
          </w:tcPr>
          <w:p>
            <w:pPr>
              <w:pStyle w:val="TableParagraph"/>
              <w:ind w:right="65"/>
              <w:rPr>
                <w:sz w:val="20"/>
              </w:rPr>
            </w:pPr>
            <w:r>
              <w:rPr>
                <w:sz w:val="20"/>
              </w:rPr>
              <w:t>5.063</w:t>
            </w:r>
          </w:p>
        </w:tc>
        <w:tc>
          <w:tcPr>
            <w:tcW w:w="984" w:type="dxa"/>
            <w:tcBorders>
              <w:top w:val="nil"/>
              <w:left w:val="nil"/>
              <w:bottom w:val="nil"/>
              <w:right w:val="nil"/>
            </w:tcBorders>
          </w:tcPr>
          <w:p>
            <w:pPr>
              <w:pStyle w:val="TableParagraph"/>
              <w:ind w:right="70"/>
              <w:rPr>
                <w:sz w:val="20"/>
              </w:rPr>
            </w:pPr>
            <w:r>
              <w:rPr>
                <w:sz w:val="20"/>
              </w:rPr>
              <w:t>6.595</w:t>
            </w:r>
          </w:p>
        </w:tc>
        <w:tc>
          <w:tcPr>
            <w:tcW w:w="999" w:type="dxa"/>
            <w:tcBorders>
              <w:top w:val="nil"/>
              <w:left w:val="nil"/>
              <w:bottom w:val="nil"/>
              <w:right w:val="nil"/>
            </w:tcBorders>
          </w:tcPr>
          <w:p>
            <w:pPr>
              <w:pStyle w:val="TableParagraph"/>
              <w:ind w:right="70"/>
              <w:rPr>
                <w:sz w:val="20"/>
              </w:rPr>
            </w:pPr>
            <w:r>
              <w:rPr>
                <w:sz w:val="20"/>
              </w:rPr>
              <w:t>7.684</w:t>
            </w:r>
          </w:p>
        </w:tc>
        <w:tc>
          <w:tcPr>
            <w:tcW w:w="1003" w:type="dxa"/>
            <w:tcBorders>
              <w:top w:val="nil"/>
              <w:left w:val="nil"/>
              <w:bottom w:val="nil"/>
              <w:right w:val="nil"/>
            </w:tcBorders>
          </w:tcPr>
          <w:p>
            <w:pPr>
              <w:pStyle w:val="TableParagraph"/>
              <w:ind w:right="75"/>
              <w:rPr>
                <w:sz w:val="20"/>
              </w:rPr>
            </w:pPr>
            <w:r>
              <w:rPr>
                <w:sz w:val="20"/>
              </w:rPr>
              <w:t>8.661</w:t>
            </w:r>
          </w:p>
        </w:tc>
        <w:tc>
          <w:tcPr>
            <w:tcW w:w="1011" w:type="dxa"/>
            <w:tcBorders>
              <w:top w:val="nil"/>
              <w:left w:val="nil"/>
              <w:bottom w:val="nil"/>
              <w:right w:val="nil"/>
            </w:tcBorders>
          </w:tcPr>
          <w:p>
            <w:pPr>
              <w:pStyle w:val="TableParagraph"/>
              <w:ind w:right="67"/>
              <w:rPr>
                <w:sz w:val="20"/>
              </w:rPr>
            </w:pPr>
            <w:r>
              <w:rPr>
                <w:sz w:val="20"/>
              </w:rPr>
              <w:t>8.445</w:t>
            </w:r>
          </w:p>
        </w:tc>
        <w:tc>
          <w:tcPr>
            <w:tcW w:w="977" w:type="dxa"/>
            <w:tcBorders>
              <w:top w:val="nil"/>
              <w:left w:val="nil"/>
              <w:bottom w:val="nil"/>
              <w:right w:val="nil"/>
            </w:tcBorders>
          </w:tcPr>
          <w:p>
            <w:pPr>
              <w:pStyle w:val="TableParagraph"/>
              <w:ind w:right="65"/>
              <w:rPr>
                <w:sz w:val="20"/>
              </w:rPr>
            </w:pPr>
            <w:r>
              <w:rPr>
                <w:sz w:val="20"/>
              </w:rPr>
              <w:t>8.408</w:t>
            </w:r>
          </w:p>
        </w:tc>
        <w:tc>
          <w:tcPr>
            <w:tcW w:w="980" w:type="dxa"/>
            <w:tcBorders>
              <w:top w:val="nil"/>
              <w:left w:val="nil"/>
              <w:bottom w:val="nil"/>
              <w:right w:val="nil"/>
            </w:tcBorders>
          </w:tcPr>
          <w:p>
            <w:pPr>
              <w:pStyle w:val="TableParagraph"/>
              <w:ind w:right="65"/>
              <w:rPr>
                <w:sz w:val="20"/>
              </w:rPr>
            </w:pPr>
            <w:r>
              <w:rPr>
                <w:sz w:val="20"/>
              </w:rPr>
              <w:t>8.137</w:t>
            </w:r>
          </w:p>
        </w:tc>
        <w:tc>
          <w:tcPr>
            <w:tcW w:w="1076" w:type="dxa"/>
            <w:tcBorders>
              <w:top w:val="nil"/>
              <w:left w:val="nil"/>
              <w:bottom w:val="nil"/>
              <w:right w:val="nil"/>
            </w:tcBorders>
          </w:tcPr>
          <w:p>
            <w:pPr>
              <w:pStyle w:val="TableParagraph"/>
              <w:ind w:right="65"/>
              <w:rPr>
                <w:sz w:val="20"/>
              </w:rPr>
            </w:pPr>
            <w:r>
              <w:rPr>
                <w:sz w:val="20"/>
              </w:rPr>
              <w:t>6.447</w:t>
            </w:r>
          </w:p>
        </w:tc>
        <w:tc>
          <w:tcPr>
            <w:tcW w:w="1073" w:type="dxa"/>
            <w:tcBorders>
              <w:top w:val="nil"/>
              <w:left w:val="nil"/>
              <w:bottom w:val="nil"/>
              <w:right w:val="nil"/>
            </w:tcBorders>
          </w:tcPr>
          <w:p>
            <w:pPr>
              <w:pStyle w:val="TableParagraph"/>
              <w:ind w:right="63"/>
              <w:rPr>
                <w:sz w:val="20"/>
              </w:rPr>
            </w:pPr>
            <w:r>
              <w:rPr>
                <w:sz w:val="20"/>
              </w:rPr>
              <w:t>4.047</w:t>
            </w:r>
          </w:p>
        </w:tc>
        <w:tc>
          <w:tcPr>
            <w:tcW w:w="1068" w:type="dxa"/>
            <w:tcBorders>
              <w:top w:val="nil"/>
              <w:left w:val="nil"/>
              <w:bottom w:val="nil"/>
              <w:right w:val="nil"/>
            </w:tcBorders>
          </w:tcPr>
          <w:p>
            <w:pPr>
              <w:pStyle w:val="TableParagraph"/>
              <w:ind w:right="60"/>
              <w:rPr>
                <w:sz w:val="20"/>
              </w:rPr>
            </w:pPr>
            <w:r>
              <w:rPr>
                <w:sz w:val="20"/>
              </w:rPr>
              <w:t>2.818</w:t>
            </w:r>
          </w:p>
        </w:tc>
      </w:tr>
      <w:tr>
        <w:trPr>
          <w:trHeight w:val="300" w:hRule="exact"/>
        </w:trPr>
        <w:tc>
          <w:tcPr>
            <w:tcW w:w="1146" w:type="dxa"/>
            <w:tcBorders>
              <w:top w:val="nil"/>
              <w:left w:val="nil"/>
              <w:bottom w:val="nil"/>
              <w:right w:val="nil"/>
            </w:tcBorders>
          </w:tcPr>
          <w:p>
            <w:pPr>
              <w:pStyle w:val="TableParagraph"/>
              <w:spacing w:before="26"/>
              <w:ind w:left="86"/>
              <w:jc w:val="left"/>
              <w:rPr>
                <w:sz w:val="20"/>
              </w:rPr>
            </w:pPr>
            <w:r>
              <w:rPr>
                <w:w w:val="100"/>
                <w:sz w:val="20"/>
              </w:rPr>
              <w:t>3</w:t>
            </w:r>
          </w:p>
        </w:tc>
        <w:tc>
          <w:tcPr>
            <w:tcW w:w="1056" w:type="dxa"/>
            <w:tcBorders>
              <w:top w:val="nil"/>
              <w:left w:val="nil"/>
              <w:bottom w:val="nil"/>
              <w:right w:val="nil"/>
            </w:tcBorders>
          </w:tcPr>
          <w:p>
            <w:pPr>
              <w:pStyle w:val="TableParagraph"/>
              <w:spacing w:before="26"/>
              <w:ind w:left="73"/>
              <w:jc w:val="left"/>
              <w:rPr>
                <w:sz w:val="20"/>
              </w:rPr>
            </w:pPr>
            <w:r>
              <w:rPr>
                <w:sz w:val="20"/>
              </w:rPr>
              <w:t>15261</w:t>
            </w:r>
          </w:p>
        </w:tc>
        <w:tc>
          <w:tcPr>
            <w:tcW w:w="1032" w:type="dxa"/>
            <w:tcBorders>
              <w:top w:val="nil"/>
              <w:left w:val="nil"/>
              <w:bottom w:val="nil"/>
              <w:right w:val="nil"/>
            </w:tcBorders>
          </w:tcPr>
          <w:p>
            <w:pPr>
              <w:pStyle w:val="TableParagraph"/>
              <w:spacing w:before="26"/>
              <w:ind w:right="87"/>
              <w:rPr>
                <w:sz w:val="20"/>
              </w:rPr>
            </w:pPr>
            <w:r>
              <w:rPr>
                <w:sz w:val="20"/>
              </w:rPr>
              <w:t>1.966</w:t>
            </w:r>
          </w:p>
        </w:tc>
        <w:tc>
          <w:tcPr>
            <w:tcW w:w="1056" w:type="dxa"/>
            <w:tcBorders>
              <w:top w:val="nil"/>
              <w:left w:val="nil"/>
              <w:bottom w:val="nil"/>
              <w:right w:val="nil"/>
            </w:tcBorders>
          </w:tcPr>
          <w:p>
            <w:pPr>
              <w:pStyle w:val="TableParagraph"/>
              <w:spacing w:before="26"/>
              <w:ind w:right="82"/>
              <w:rPr>
                <w:sz w:val="20"/>
              </w:rPr>
            </w:pPr>
            <w:r>
              <w:rPr>
                <w:sz w:val="20"/>
              </w:rPr>
              <w:t>2.796</w:t>
            </w:r>
          </w:p>
        </w:tc>
        <w:tc>
          <w:tcPr>
            <w:tcW w:w="1025" w:type="dxa"/>
            <w:tcBorders>
              <w:top w:val="nil"/>
              <w:left w:val="nil"/>
              <w:bottom w:val="nil"/>
              <w:right w:val="nil"/>
            </w:tcBorders>
          </w:tcPr>
          <w:p>
            <w:pPr>
              <w:pStyle w:val="TableParagraph"/>
              <w:spacing w:before="26"/>
              <w:ind w:right="65"/>
              <w:rPr>
                <w:sz w:val="20"/>
              </w:rPr>
            </w:pPr>
            <w:r>
              <w:rPr>
                <w:sz w:val="20"/>
              </w:rPr>
              <w:t>4.412</w:t>
            </w:r>
          </w:p>
        </w:tc>
        <w:tc>
          <w:tcPr>
            <w:tcW w:w="984" w:type="dxa"/>
            <w:tcBorders>
              <w:top w:val="nil"/>
              <w:left w:val="nil"/>
              <w:bottom w:val="nil"/>
              <w:right w:val="nil"/>
            </w:tcBorders>
          </w:tcPr>
          <w:p>
            <w:pPr>
              <w:pStyle w:val="TableParagraph"/>
              <w:spacing w:before="26"/>
              <w:ind w:right="70"/>
              <w:rPr>
                <w:sz w:val="20"/>
              </w:rPr>
            </w:pPr>
            <w:r>
              <w:rPr>
                <w:sz w:val="20"/>
              </w:rPr>
              <w:t>6.206</w:t>
            </w:r>
          </w:p>
        </w:tc>
        <w:tc>
          <w:tcPr>
            <w:tcW w:w="999" w:type="dxa"/>
            <w:tcBorders>
              <w:top w:val="nil"/>
              <w:left w:val="nil"/>
              <w:bottom w:val="nil"/>
              <w:right w:val="nil"/>
            </w:tcBorders>
          </w:tcPr>
          <w:p>
            <w:pPr>
              <w:pStyle w:val="TableParagraph"/>
              <w:spacing w:before="26"/>
              <w:ind w:right="70"/>
              <w:rPr>
                <w:sz w:val="20"/>
              </w:rPr>
            </w:pPr>
            <w:r>
              <w:rPr>
                <w:sz w:val="20"/>
              </w:rPr>
              <w:t>7.367</w:t>
            </w:r>
          </w:p>
        </w:tc>
        <w:tc>
          <w:tcPr>
            <w:tcW w:w="1003" w:type="dxa"/>
            <w:tcBorders>
              <w:top w:val="nil"/>
              <w:left w:val="nil"/>
              <w:bottom w:val="nil"/>
              <w:right w:val="nil"/>
            </w:tcBorders>
          </w:tcPr>
          <w:p>
            <w:pPr>
              <w:pStyle w:val="TableParagraph"/>
              <w:spacing w:before="26"/>
              <w:ind w:right="75"/>
              <w:rPr>
                <w:sz w:val="20"/>
              </w:rPr>
            </w:pPr>
            <w:r>
              <w:rPr>
                <w:sz w:val="20"/>
              </w:rPr>
              <w:t>8.415</w:t>
            </w:r>
          </w:p>
        </w:tc>
        <w:tc>
          <w:tcPr>
            <w:tcW w:w="1011" w:type="dxa"/>
            <w:tcBorders>
              <w:top w:val="nil"/>
              <w:left w:val="nil"/>
              <w:bottom w:val="nil"/>
              <w:right w:val="nil"/>
            </w:tcBorders>
          </w:tcPr>
          <w:p>
            <w:pPr>
              <w:pStyle w:val="TableParagraph"/>
              <w:spacing w:before="26"/>
              <w:ind w:right="67"/>
              <w:rPr>
                <w:sz w:val="20"/>
              </w:rPr>
            </w:pPr>
            <w:r>
              <w:rPr>
                <w:sz w:val="20"/>
              </w:rPr>
              <w:t>8.325</w:t>
            </w:r>
          </w:p>
        </w:tc>
        <w:tc>
          <w:tcPr>
            <w:tcW w:w="977" w:type="dxa"/>
            <w:tcBorders>
              <w:top w:val="nil"/>
              <w:left w:val="nil"/>
              <w:bottom w:val="nil"/>
              <w:right w:val="nil"/>
            </w:tcBorders>
          </w:tcPr>
          <w:p>
            <w:pPr>
              <w:pStyle w:val="TableParagraph"/>
              <w:spacing w:before="26"/>
              <w:ind w:right="65"/>
              <w:rPr>
                <w:sz w:val="20"/>
              </w:rPr>
            </w:pPr>
            <w:r>
              <w:rPr>
                <w:sz w:val="20"/>
              </w:rPr>
              <w:t>8.234</w:t>
            </w:r>
          </w:p>
        </w:tc>
        <w:tc>
          <w:tcPr>
            <w:tcW w:w="980" w:type="dxa"/>
            <w:tcBorders>
              <w:top w:val="nil"/>
              <w:left w:val="nil"/>
              <w:bottom w:val="nil"/>
              <w:right w:val="nil"/>
            </w:tcBorders>
          </w:tcPr>
          <w:p>
            <w:pPr>
              <w:pStyle w:val="TableParagraph"/>
              <w:spacing w:before="26"/>
              <w:ind w:right="65"/>
              <w:rPr>
                <w:sz w:val="20"/>
              </w:rPr>
            </w:pPr>
            <w:r>
              <w:rPr>
                <w:sz w:val="20"/>
              </w:rPr>
              <w:t>7.802</w:t>
            </w:r>
          </w:p>
        </w:tc>
        <w:tc>
          <w:tcPr>
            <w:tcW w:w="1076" w:type="dxa"/>
            <w:tcBorders>
              <w:top w:val="nil"/>
              <w:left w:val="nil"/>
              <w:bottom w:val="nil"/>
              <w:right w:val="nil"/>
            </w:tcBorders>
          </w:tcPr>
          <w:p>
            <w:pPr>
              <w:pStyle w:val="TableParagraph"/>
              <w:spacing w:before="26"/>
              <w:ind w:right="65"/>
              <w:rPr>
                <w:sz w:val="20"/>
              </w:rPr>
            </w:pPr>
            <w:r>
              <w:rPr>
                <w:sz w:val="20"/>
              </w:rPr>
              <w:t>5.534</w:t>
            </w:r>
          </w:p>
        </w:tc>
        <w:tc>
          <w:tcPr>
            <w:tcW w:w="1073" w:type="dxa"/>
            <w:tcBorders>
              <w:top w:val="nil"/>
              <w:left w:val="nil"/>
              <w:bottom w:val="nil"/>
              <w:right w:val="nil"/>
            </w:tcBorders>
          </w:tcPr>
          <w:p>
            <w:pPr>
              <w:pStyle w:val="TableParagraph"/>
              <w:spacing w:before="26"/>
              <w:ind w:right="63"/>
              <w:rPr>
                <w:sz w:val="20"/>
              </w:rPr>
            </w:pPr>
            <w:r>
              <w:rPr>
                <w:sz w:val="20"/>
              </w:rPr>
              <w:t>3.622</w:t>
            </w:r>
          </w:p>
        </w:tc>
        <w:tc>
          <w:tcPr>
            <w:tcW w:w="1068" w:type="dxa"/>
            <w:tcBorders>
              <w:top w:val="nil"/>
              <w:left w:val="nil"/>
              <w:bottom w:val="nil"/>
              <w:right w:val="nil"/>
            </w:tcBorders>
          </w:tcPr>
          <w:p>
            <w:pPr>
              <w:pStyle w:val="TableParagraph"/>
              <w:spacing w:before="26"/>
              <w:ind w:right="60"/>
              <w:rPr>
                <w:sz w:val="20"/>
              </w:rPr>
            </w:pPr>
            <w:r>
              <w:rPr>
                <w:sz w:val="20"/>
              </w:rPr>
              <w:t>2.621</w:t>
            </w:r>
          </w:p>
        </w:tc>
      </w:tr>
      <w:tr>
        <w:trPr>
          <w:trHeight w:val="300" w:hRule="exact"/>
        </w:trPr>
        <w:tc>
          <w:tcPr>
            <w:tcW w:w="1146" w:type="dxa"/>
            <w:tcBorders>
              <w:top w:val="nil"/>
              <w:left w:val="nil"/>
              <w:bottom w:val="nil"/>
              <w:right w:val="nil"/>
            </w:tcBorders>
          </w:tcPr>
          <w:p>
            <w:pPr>
              <w:pStyle w:val="TableParagraph"/>
              <w:ind w:left="86"/>
              <w:jc w:val="left"/>
              <w:rPr>
                <w:sz w:val="20"/>
              </w:rPr>
            </w:pPr>
            <w:r>
              <w:rPr>
                <w:w w:val="100"/>
                <w:sz w:val="20"/>
              </w:rPr>
              <w:t>4</w:t>
            </w:r>
          </w:p>
        </w:tc>
        <w:tc>
          <w:tcPr>
            <w:tcW w:w="1056" w:type="dxa"/>
            <w:tcBorders>
              <w:top w:val="nil"/>
              <w:left w:val="nil"/>
              <w:bottom w:val="nil"/>
              <w:right w:val="nil"/>
            </w:tcBorders>
          </w:tcPr>
          <w:p>
            <w:pPr>
              <w:pStyle w:val="TableParagraph"/>
              <w:ind w:left="73"/>
              <w:jc w:val="left"/>
              <w:rPr>
                <w:sz w:val="20"/>
              </w:rPr>
            </w:pPr>
            <w:r>
              <w:rPr>
                <w:sz w:val="20"/>
              </w:rPr>
              <w:t>15001</w:t>
            </w:r>
          </w:p>
        </w:tc>
        <w:tc>
          <w:tcPr>
            <w:tcW w:w="1032" w:type="dxa"/>
            <w:tcBorders>
              <w:top w:val="nil"/>
              <w:left w:val="nil"/>
              <w:bottom w:val="nil"/>
              <w:right w:val="nil"/>
            </w:tcBorders>
          </w:tcPr>
          <w:p>
            <w:pPr>
              <w:pStyle w:val="TableParagraph"/>
              <w:ind w:right="87"/>
              <w:rPr>
                <w:sz w:val="20"/>
              </w:rPr>
            </w:pPr>
            <w:r>
              <w:rPr>
                <w:sz w:val="20"/>
              </w:rPr>
              <w:t>2.092</w:t>
            </w:r>
          </w:p>
        </w:tc>
        <w:tc>
          <w:tcPr>
            <w:tcW w:w="1056" w:type="dxa"/>
            <w:tcBorders>
              <w:top w:val="nil"/>
              <w:left w:val="nil"/>
              <w:bottom w:val="nil"/>
              <w:right w:val="nil"/>
            </w:tcBorders>
          </w:tcPr>
          <w:p>
            <w:pPr>
              <w:pStyle w:val="TableParagraph"/>
              <w:ind w:right="82"/>
              <w:rPr>
                <w:sz w:val="20"/>
              </w:rPr>
            </w:pPr>
            <w:r>
              <w:rPr>
                <w:sz w:val="20"/>
              </w:rPr>
              <w:t>2.906</w:t>
            </w:r>
          </w:p>
        </w:tc>
        <w:tc>
          <w:tcPr>
            <w:tcW w:w="1025" w:type="dxa"/>
            <w:tcBorders>
              <w:top w:val="nil"/>
              <w:left w:val="nil"/>
              <w:bottom w:val="nil"/>
              <w:right w:val="nil"/>
            </w:tcBorders>
          </w:tcPr>
          <w:p>
            <w:pPr>
              <w:pStyle w:val="TableParagraph"/>
              <w:ind w:right="65"/>
              <w:rPr>
                <w:sz w:val="20"/>
              </w:rPr>
            </w:pPr>
            <w:r>
              <w:rPr>
                <w:sz w:val="20"/>
              </w:rPr>
              <w:t>5.063</w:t>
            </w:r>
          </w:p>
        </w:tc>
        <w:tc>
          <w:tcPr>
            <w:tcW w:w="984" w:type="dxa"/>
            <w:tcBorders>
              <w:top w:val="nil"/>
              <w:left w:val="nil"/>
              <w:bottom w:val="nil"/>
              <w:right w:val="nil"/>
            </w:tcBorders>
          </w:tcPr>
          <w:p>
            <w:pPr>
              <w:pStyle w:val="TableParagraph"/>
              <w:ind w:right="70"/>
              <w:rPr>
                <w:sz w:val="20"/>
              </w:rPr>
            </w:pPr>
            <w:r>
              <w:rPr>
                <w:sz w:val="20"/>
              </w:rPr>
              <w:t>6.595</w:t>
            </w:r>
          </w:p>
        </w:tc>
        <w:tc>
          <w:tcPr>
            <w:tcW w:w="999" w:type="dxa"/>
            <w:tcBorders>
              <w:top w:val="nil"/>
              <w:left w:val="nil"/>
              <w:bottom w:val="nil"/>
              <w:right w:val="nil"/>
            </w:tcBorders>
          </w:tcPr>
          <w:p>
            <w:pPr>
              <w:pStyle w:val="TableParagraph"/>
              <w:ind w:right="70"/>
              <w:rPr>
                <w:sz w:val="20"/>
              </w:rPr>
            </w:pPr>
            <w:r>
              <w:rPr>
                <w:sz w:val="20"/>
              </w:rPr>
              <w:t>7.684</w:t>
            </w:r>
          </w:p>
        </w:tc>
        <w:tc>
          <w:tcPr>
            <w:tcW w:w="1003" w:type="dxa"/>
            <w:tcBorders>
              <w:top w:val="nil"/>
              <w:left w:val="nil"/>
              <w:bottom w:val="nil"/>
              <w:right w:val="nil"/>
            </w:tcBorders>
          </w:tcPr>
          <w:p>
            <w:pPr>
              <w:pStyle w:val="TableParagraph"/>
              <w:ind w:right="75"/>
              <w:rPr>
                <w:sz w:val="20"/>
              </w:rPr>
            </w:pPr>
            <w:r>
              <w:rPr>
                <w:sz w:val="20"/>
              </w:rPr>
              <w:t>8.661</w:t>
            </w:r>
          </w:p>
        </w:tc>
        <w:tc>
          <w:tcPr>
            <w:tcW w:w="1011" w:type="dxa"/>
            <w:tcBorders>
              <w:top w:val="nil"/>
              <w:left w:val="nil"/>
              <w:bottom w:val="nil"/>
              <w:right w:val="nil"/>
            </w:tcBorders>
          </w:tcPr>
          <w:p>
            <w:pPr>
              <w:pStyle w:val="TableParagraph"/>
              <w:ind w:right="67"/>
              <w:rPr>
                <w:sz w:val="20"/>
              </w:rPr>
            </w:pPr>
            <w:r>
              <w:rPr>
                <w:sz w:val="20"/>
              </w:rPr>
              <w:t>8.445</w:t>
            </w:r>
          </w:p>
        </w:tc>
        <w:tc>
          <w:tcPr>
            <w:tcW w:w="977" w:type="dxa"/>
            <w:tcBorders>
              <w:top w:val="nil"/>
              <w:left w:val="nil"/>
              <w:bottom w:val="nil"/>
              <w:right w:val="nil"/>
            </w:tcBorders>
          </w:tcPr>
          <w:p>
            <w:pPr>
              <w:pStyle w:val="TableParagraph"/>
              <w:ind w:right="65"/>
              <w:rPr>
                <w:sz w:val="20"/>
              </w:rPr>
            </w:pPr>
            <w:r>
              <w:rPr>
                <w:sz w:val="20"/>
              </w:rPr>
              <w:t>8.408</w:t>
            </w:r>
          </w:p>
        </w:tc>
        <w:tc>
          <w:tcPr>
            <w:tcW w:w="980" w:type="dxa"/>
            <w:tcBorders>
              <w:top w:val="nil"/>
              <w:left w:val="nil"/>
              <w:bottom w:val="nil"/>
              <w:right w:val="nil"/>
            </w:tcBorders>
          </w:tcPr>
          <w:p>
            <w:pPr>
              <w:pStyle w:val="TableParagraph"/>
              <w:ind w:right="65"/>
              <w:rPr>
                <w:sz w:val="20"/>
              </w:rPr>
            </w:pPr>
            <w:r>
              <w:rPr>
                <w:sz w:val="20"/>
              </w:rPr>
              <w:t>8.137</w:t>
            </w:r>
          </w:p>
        </w:tc>
        <w:tc>
          <w:tcPr>
            <w:tcW w:w="1076" w:type="dxa"/>
            <w:tcBorders>
              <w:top w:val="nil"/>
              <w:left w:val="nil"/>
              <w:bottom w:val="nil"/>
              <w:right w:val="nil"/>
            </w:tcBorders>
          </w:tcPr>
          <w:p>
            <w:pPr>
              <w:pStyle w:val="TableParagraph"/>
              <w:ind w:right="65"/>
              <w:rPr>
                <w:sz w:val="20"/>
              </w:rPr>
            </w:pPr>
            <w:r>
              <w:rPr>
                <w:sz w:val="20"/>
              </w:rPr>
              <w:t>6.447</w:t>
            </w:r>
          </w:p>
        </w:tc>
        <w:tc>
          <w:tcPr>
            <w:tcW w:w="1073" w:type="dxa"/>
            <w:tcBorders>
              <w:top w:val="nil"/>
              <w:left w:val="nil"/>
              <w:bottom w:val="nil"/>
              <w:right w:val="nil"/>
            </w:tcBorders>
          </w:tcPr>
          <w:p>
            <w:pPr>
              <w:pStyle w:val="TableParagraph"/>
              <w:ind w:right="63"/>
              <w:rPr>
                <w:sz w:val="20"/>
              </w:rPr>
            </w:pPr>
            <w:r>
              <w:rPr>
                <w:sz w:val="20"/>
              </w:rPr>
              <w:t>4.047</w:t>
            </w:r>
          </w:p>
        </w:tc>
        <w:tc>
          <w:tcPr>
            <w:tcW w:w="1068" w:type="dxa"/>
            <w:tcBorders>
              <w:top w:val="nil"/>
              <w:left w:val="nil"/>
              <w:bottom w:val="nil"/>
              <w:right w:val="nil"/>
            </w:tcBorders>
          </w:tcPr>
          <w:p>
            <w:pPr>
              <w:pStyle w:val="TableParagraph"/>
              <w:ind w:right="60"/>
              <w:rPr>
                <w:sz w:val="20"/>
              </w:rPr>
            </w:pPr>
            <w:r>
              <w:rPr>
                <w:sz w:val="20"/>
              </w:rPr>
              <w:t>2.818</w:t>
            </w:r>
          </w:p>
        </w:tc>
      </w:tr>
      <w:tr>
        <w:trPr>
          <w:trHeight w:val="300" w:hRule="exact"/>
        </w:trPr>
        <w:tc>
          <w:tcPr>
            <w:tcW w:w="1146" w:type="dxa"/>
            <w:tcBorders>
              <w:top w:val="nil"/>
              <w:left w:val="nil"/>
              <w:bottom w:val="nil"/>
              <w:right w:val="nil"/>
            </w:tcBorders>
          </w:tcPr>
          <w:p>
            <w:pPr>
              <w:pStyle w:val="TableParagraph"/>
              <w:spacing w:before="26"/>
              <w:ind w:left="86"/>
              <w:jc w:val="left"/>
              <w:rPr>
                <w:sz w:val="20"/>
              </w:rPr>
            </w:pPr>
            <w:r>
              <w:rPr>
                <w:w w:val="100"/>
                <w:sz w:val="20"/>
              </w:rPr>
              <w:t>5</w:t>
            </w:r>
          </w:p>
        </w:tc>
        <w:tc>
          <w:tcPr>
            <w:tcW w:w="1056" w:type="dxa"/>
            <w:tcBorders>
              <w:top w:val="nil"/>
              <w:left w:val="nil"/>
              <w:bottom w:val="nil"/>
              <w:right w:val="nil"/>
            </w:tcBorders>
          </w:tcPr>
          <w:p>
            <w:pPr>
              <w:pStyle w:val="TableParagraph"/>
              <w:spacing w:before="26"/>
              <w:ind w:left="73"/>
              <w:jc w:val="left"/>
              <w:rPr>
                <w:sz w:val="20"/>
              </w:rPr>
            </w:pPr>
            <w:r>
              <w:rPr>
                <w:sz w:val="20"/>
              </w:rPr>
              <w:t>15001</w:t>
            </w:r>
          </w:p>
        </w:tc>
        <w:tc>
          <w:tcPr>
            <w:tcW w:w="1032" w:type="dxa"/>
            <w:tcBorders>
              <w:top w:val="nil"/>
              <w:left w:val="nil"/>
              <w:bottom w:val="nil"/>
              <w:right w:val="nil"/>
            </w:tcBorders>
          </w:tcPr>
          <w:p>
            <w:pPr>
              <w:pStyle w:val="TableParagraph"/>
              <w:spacing w:before="26"/>
              <w:ind w:right="87"/>
              <w:rPr>
                <w:sz w:val="20"/>
              </w:rPr>
            </w:pPr>
            <w:r>
              <w:rPr>
                <w:sz w:val="20"/>
              </w:rPr>
              <w:t>2.092</w:t>
            </w:r>
          </w:p>
        </w:tc>
        <w:tc>
          <w:tcPr>
            <w:tcW w:w="1056" w:type="dxa"/>
            <w:tcBorders>
              <w:top w:val="nil"/>
              <w:left w:val="nil"/>
              <w:bottom w:val="nil"/>
              <w:right w:val="nil"/>
            </w:tcBorders>
          </w:tcPr>
          <w:p>
            <w:pPr>
              <w:pStyle w:val="TableParagraph"/>
              <w:spacing w:before="26"/>
              <w:ind w:right="82"/>
              <w:rPr>
                <w:sz w:val="20"/>
              </w:rPr>
            </w:pPr>
            <w:r>
              <w:rPr>
                <w:sz w:val="20"/>
              </w:rPr>
              <w:t>2.906</w:t>
            </w:r>
          </w:p>
        </w:tc>
        <w:tc>
          <w:tcPr>
            <w:tcW w:w="1025" w:type="dxa"/>
            <w:tcBorders>
              <w:top w:val="nil"/>
              <w:left w:val="nil"/>
              <w:bottom w:val="nil"/>
              <w:right w:val="nil"/>
            </w:tcBorders>
          </w:tcPr>
          <w:p>
            <w:pPr>
              <w:pStyle w:val="TableParagraph"/>
              <w:spacing w:before="26"/>
              <w:ind w:right="65"/>
              <w:rPr>
                <w:sz w:val="20"/>
              </w:rPr>
            </w:pPr>
            <w:r>
              <w:rPr>
                <w:sz w:val="20"/>
              </w:rPr>
              <w:t>5.063</w:t>
            </w:r>
          </w:p>
        </w:tc>
        <w:tc>
          <w:tcPr>
            <w:tcW w:w="984" w:type="dxa"/>
            <w:tcBorders>
              <w:top w:val="nil"/>
              <w:left w:val="nil"/>
              <w:bottom w:val="nil"/>
              <w:right w:val="nil"/>
            </w:tcBorders>
          </w:tcPr>
          <w:p>
            <w:pPr>
              <w:pStyle w:val="TableParagraph"/>
              <w:spacing w:before="26"/>
              <w:ind w:right="70"/>
              <w:rPr>
                <w:sz w:val="20"/>
              </w:rPr>
            </w:pPr>
            <w:r>
              <w:rPr>
                <w:sz w:val="20"/>
              </w:rPr>
              <w:t>6.595</w:t>
            </w:r>
          </w:p>
        </w:tc>
        <w:tc>
          <w:tcPr>
            <w:tcW w:w="999" w:type="dxa"/>
            <w:tcBorders>
              <w:top w:val="nil"/>
              <w:left w:val="nil"/>
              <w:bottom w:val="nil"/>
              <w:right w:val="nil"/>
            </w:tcBorders>
          </w:tcPr>
          <w:p>
            <w:pPr>
              <w:pStyle w:val="TableParagraph"/>
              <w:spacing w:before="26"/>
              <w:ind w:right="70"/>
              <w:rPr>
                <w:sz w:val="20"/>
              </w:rPr>
            </w:pPr>
            <w:r>
              <w:rPr>
                <w:sz w:val="20"/>
              </w:rPr>
              <w:t>7.684</w:t>
            </w:r>
          </w:p>
        </w:tc>
        <w:tc>
          <w:tcPr>
            <w:tcW w:w="1003" w:type="dxa"/>
            <w:tcBorders>
              <w:top w:val="nil"/>
              <w:left w:val="nil"/>
              <w:bottom w:val="nil"/>
              <w:right w:val="nil"/>
            </w:tcBorders>
          </w:tcPr>
          <w:p>
            <w:pPr>
              <w:pStyle w:val="TableParagraph"/>
              <w:spacing w:before="26"/>
              <w:ind w:right="75"/>
              <w:rPr>
                <w:sz w:val="20"/>
              </w:rPr>
            </w:pPr>
            <w:r>
              <w:rPr>
                <w:sz w:val="20"/>
              </w:rPr>
              <w:t>8.661</w:t>
            </w:r>
          </w:p>
        </w:tc>
        <w:tc>
          <w:tcPr>
            <w:tcW w:w="1011" w:type="dxa"/>
            <w:tcBorders>
              <w:top w:val="nil"/>
              <w:left w:val="nil"/>
              <w:bottom w:val="nil"/>
              <w:right w:val="nil"/>
            </w:tcBorders>
          </w:tcPr>
          <w:p>
            <w:pPr>
              <w:pStyle w:val="TableParagraph"/>
              <w:spacing w:before="26"/>
              <w:ind w:right="67"/>
              <w:rPr>
                <w:sz w:val="20"/>
              </w:rPr>
            </w:pPr>
            <w:r>
              <w:rPr>
                <w:sz w:val="20"/>
              </w:rPr>
              <w:t>8.445</w:t>
            </w:r>
          </w:p>
        </w:tc>
        <w:tc>
          <w:tcPr>
            <w:tcW w:w="977" w:type="dxa"/>
            <w:tcBorders>
              <w:top w:val="nil"/>
              <w:left w:val="nil"/>
              <w:bottom w:val="nil"/>
              <w:right w:val="nil"/>
            </w:tcBorders>
          </w:tcPr>
          <w:p>
            <w:pPr>
              <w:pStyle w:val="TableParagraph"/>
              <w:spacing w:before="26"/>
              <w:ind w:right="65"/>
              <w:rPr>
                <w:sz w:val="20"/>
              </w:rPr>
            </w:pPr>
            <w:r>
              <w:rPr>
                <w:sz w:val="20"/>
              </w:rPr>
              <w:t>8.408</w:t>
            </w:r>
          </w:p>
        </w:tc>
        <w:tc>
          <w:tcPr>
            <w:tcW w:w="980" w:type="dxa"/>
            <w:tcBorders>
              <w:top w:val="nil"/>
              <w:left w:val="nil"/>
              <w:bottom w:val="nil"/>
              <w:right w:val="nil"/>
            </w:tcBorders>
          </w:tcPr>
          <w:p>
            <w:pPr>
              <w:pStyle w:val="TableParagraph"/>
              <w:spacing w:before="26"/>
              <w:ind w:right="65"/>
              <w:rPr>
                <w:sz w:val="20"/>
              </w:rPr>
            </w:pPr>
            <w:r>
              <w:rPr>
                <w:sz w:val="20"/>
              </w:rPr>
              <w:t>8.137</w:t>
            </w:r>
          </w:p>
        </w:tc>
        <w:tc>
          <w:tcPr>
            <w:tcW w:w="1076" w:type="dxa"/>
            <w:tcBorders>
              <w:top w:val="nil"/>
              <w:left w:val="nil"/>
              <w:bottom w:val="nil"/>
              <w:right w:val="nil"/>
            </w:tcBorders>
          </w:tcPr>
          <w:p>
            <w:pPr>
              <w:pStyle w:val="TableParagraph"/>
              <w:spacing w:before="26"/>
              <w:ind w:right="65"/>
              <w:rPr>
                <w:sz w:val="20"/>
              </w:rPr>
            </w:pPr>
            <w:r>
              <w:rPr>
                <w:sz w:val="20"/>
              </w:rPr>
              <w:t>6.447</w:t>
            </w:r>
          </w:p>
        </w:tc>
        <w:tc>
          <w:tcPr>
            <w:tcW w:w="1073" w:type="dxa"/>
            <w:tcBorders>
              <w:top w:val="nil"/>
              <w:left w:val="nil"/>
              <w:bottom w:val="nil"/>
              <w:right w:val="nil"/>
            </w:tcBorders>
          </w:tcPr>
          <w:p>
            <w:pPr>
              <w:pStyle w:val="TableParagraph"/>
              <w:spacing w:before="26"/>
              <w:ind w:right="63"/>
              <w:rPr>
                <w:sz w:val="20"/>
              </w:rPr>
            </w:pPr>
            <w:r>
              <w:rPr>
                <w:sz w:val="20"/>
              </w:rPr>
              <w:t>4.047</w:t>
            </w:r>
          </w:p>
        </w:tc>
        <w:tc>
          <w:tcPr>
            <w:tcW w:w="1068" w:type="dxa"/>
            <w:tcBorders>
              <w:top w:val="nil"/>
              <w:left w:val="nil"/>
              <w:bottom w:val="nil"/>
              <w:right w:val="nil"/>
            </w:tcBorders>
          </w:tcPr>
          <w:p>
            <w:pPr>
              <w:pStyle w:val="TableParagraph"/>
              <w:spacing w:before="26"/>
              <w:ind w:right="60"/>
              <w:rPr>
                <w:sz w:val="20"/>
              </w:rPr>
            </w:pPr>
            <w:r>
              <w:rPr>
                <w:sz w:val="20"/>
              </w:rPr>
              <w:t>2.818</w:t>
            </w:r>
          </w:p>
        </w:tc>
      </w:tr>
      <w:tr>
        <w:trPr>
          <w:trHeight w:val="300" w:hRule="exact"/>
        </w:trPr>
        <w:tc>
          <w:tcPr>
            <w:tcW w:w="1146" w:type="dxa"/>
            <w:tcBorders>
              <w:top w:val="nil"/>
              <w:left w:val="nil"/>
              <w:bottom w:val="nil"/>
              <w:right w:val="nil"/>
            </w:tcBorders>
          </w:tcPr>
          <w:p>
            <w:pPr>
              <w:pStyle w:val="TableParagraph"/>
              <w:ind w:left="86"/>
              <w:jc w:val="left"/>
              <w:rPr>
                <w:sz w:val="20"/>
              </w:rPr>
            </w:pPr>
            <w:r>
              <w:rPr>
                <w:w w:val="100"/>
                <w:sz w:val="20"/>
              </w:rPr>
              <w:t>6</w:t>
            </w:r>
          </w:p>
        </w:tc>
        <w:tc>
          <w:tcPr>
            <w:tcW w:w="1056" w:type="dxa"/>
            <w:tcBorders>
              <w:top w:val="nil"/>
              <w:left w:val="nil"/>
              <w:bottom w:val="nil"/>
              <w:right w:val="nil"/>
            </w:tcBorders>
          </w:tcPr>
          <w:p>
            <w:pPr>
              <w:pStyle w:val="TableParagraph"/>
              <w:ind w:left="73"/>
              <w:jc w:val="left"/>
              <w:rPr>
                <w:sz w:val="20"/>
              </w:rPr>
            </w:pPr>
            <w:r>
              <w:rPr>
                <w:sz w:val="20"/>
              </w:rPr>
              <w:t>15001</w:t>
            </w:r>
          </w:p>
        </w:tc>
        <w:tc>
          <w:tcPr>
            <w:tcW w:w="1032" w:type="dxa"/>
            <w:tcBorders>
              <w:top w:val="nil"/>
              <w:left w:val="nil"/>
              <w:bottom w:val="nil"/>
              <w:right w:val="nil"/>
            </w:tcBorders>
          </w:tcPr>
          <w:p>
            <w:pPr>
              <w:pStyle w:val="TableParagraph"/>
              <w:ind w:right="87"/>
              <w:rPr>
                <w:sz w:val="20"/>
              </w:rPr>
            </w:pPr>
            <w:r>
              <w:rPr>
                <w:sz w:val="20"/>
              </w:rPr>
              <w:t>2.092</w:t>
            </w:r>
          </w:p>
        </w:tc>
        <w:tc>
          <w:tcPr>
            <w:tcW w:w="1056" w:type="dxa"/>
            <w:tcBorders>
              <w:top w:val="nil"/>
              <w:left w:val="nil"/>
              <w:bottom w:val="nil"/>
              <w:right w:val="nil"/>
            </w:tcBorders>
          </w:tcPr>
          <w:p>
            <w:pPr>
              <w:pStyle w:val="TableParagraph"/>
              <w:ind w:right="82"/>
              <w:rPr>
                <w:sz w:val="20"/>
              </w:rPr>
            </w:pPr>
            <w:r>
              <w:rPr>
                <w:sz w:val="20"/>
              </w:rPr>
              <w:t>2.906</w:t>
            </w:r>
          </w:p>
        </w:tc>
        <w:tc>
          <w:tcPr>
            <w:tcW w:w="1025" w:type="dxa"/>
            <w:tcBorders>
              <w:top w:val="nil"/>
              <w:left w:val="nil"/>
              <w:bottom w:val="nil"/>
              <w:right w:val="nil"/>
            </w:tcBorders>
          </w:tcPr>
          <w:p>
            <w:pPr>
              <w:pStyle w:val="TableParagraph"/>
              <w:ind w:right="65"/>
              <w:rPr>
                <w:sz w:val="20"/>
              </w:rPr>
            </w:pPr>
            <w:r>
              <w:rPr>
                <w:sz w:val="20"/>
              </w:rPr>
              <w:t>5.063</w:t>
            </w:r>
          </w:p>
        </w:tc>
        <w:tc>
          <w:tcPr>
            <w:tcW w:w="984" w:type="dxa"/>
            <w:tcBorders>
              <w:top w:val="nil"/>
              <w:left w:val="nil"/>
              <w:bottom w:val="nil"/>
              <w:right w:val="nil"/>
            </w:tcBorders>
          </w:tcPr>
          <w:p>
            <w:pPr>
              <w:pStyle w:val="TableParagraph"/>
              <w:ind w:right="70"/>
              <w:rPr>
                <w:sz w:val="20"/>
              </w:rPr>
            </w:pPr>
            <w:r>
              <w:rPr>
                <w:sz w:val="20"/>
              </w:rPr>
              <w:t>6.595</w:t>
            </w:r>
          </w:p>
        </w:tc>
        <w:tc>
          <w:tcPr>
            <w:tcW w:w="999" w:type="dxa"/>
            <w:tcBorders>
              <w:top w:val="nil"/>
              <w:left w:val="nil"/>
              <w:bottom w:val="nil"/>
              <w:right w:val="nil"/>
            </w:tcBorders>
          </w:tcPr>
          <w:p>
            <w:pPr>
              <w:pStyle w:val="TableParagraph"/>
              <w:ind w:right="70"/>
              <w:rPr>
                <w:sz w:val="20"/>
              </w:rPr>
            </w:pPr>
            <w:r>
              <w:rPr>
                <w:sz w:val="20"/>
              </w:rPr>
              <w:t>7.684</w:t>
            </w:r>
          </w:p>
        </w:tc>
        <w:tc>
          <w:tcPr>
            <w:tcW w:w="1003" w:type="dxa"/>
            <w:tcBorders>
              <w:top w:val="nil"/>
              <w:left w:val="nil"/>
              <w:bottom w:val="nil"/>
              <w:right w:val="nil"/>
            </w:tcBorders>
          </w:tcPr>
          <w:p>
            <w:pPr>
              <w:pStyle w:val="TableParagraph"/>
              <w:ind w:right="75"/>
              <w:rPr>
                <w:sz w:val="20"/>
              </w:rPr>
            </w:pPr>
            <w:r>
              <w:rPr>
                <w:sz w:val="20"/>
              </w:rPr>
              <w:t>8.661</w:t>
            </w:r>
          </w:p>
        </w:tc>
        <w:tc>
          <w:tcPr>
            <w:tcW w:w="1011" w:type="dxa"/>
            <w:tcBorders>
              <w:top w:val="nil"/>
              <w:left w:val="nil"/>
              <w:bottom w:val="nil"/>
              <w:right w:val="nil"/>
            </w:tcBorders>
          </w:tcPr>
          <w:p>
            <w:pPr>
              <w:pStyle w:val="TableParagraph"/>
              <w:ind w:right="67"/>
              <w:rPr>
                <w:sz w:val="20"/>
              </w:rPr>
            </w:pPr>
            <w:r>
              <w:rPr>
                <w:sz w:val="20"/>
              </w:rPr>
              <w:t>8.445</w:t>
            </w:r>
          </w:p>
        </w:tc>
        <w:tc>
          <w:tcPr>
            <w:tcW w:w="977" w:type="dxa"/>
            <w:tcBorders>
              <w:top w:val="nil"/>
              <w:left w:val="nil"/>
              <w:bottom w:val="nil"/>
              <w:right w:val="nil"/>
            </w:tcBorders>
          </w:tcPr>
          <w:p>
            <w:pPr>
              <w:pStyle w:val="TableParagraph"/>
              <w:ind w:right="65"/>
              <w:rPr>
                <w:sz w:val="20"/>
              </w:rPr>
            </w:pPr>
            <w:r>
              <w:rPr>
                <w:sz w:val="20"/>
              </w:rPr>
              <w:t>8.408</w:t>
            </w:r>
          </w:p>
        </w:tc>
        <w:tc>
          <w:tcPr>
            <w:tcW w:w="980" w:type="dxa"/>
            <w:tcBorders>
              <w:top w:val="nil"/>
              <w:left w:val="nil"/>
              <w:bottom w:val="nil"/>
              <w:right w:val="nil"/>
            </w:tcBorders>
          </w:tcPr>
          <w:p>
            <w:pPr>
              <w:pStyle w:val="TableParagraph"/>
              <w:ind w:right="65"/>
              <w:rPr>
                <w:sz w:val="20"/>
              </w:rPr>
            </w:pPr>
            <w:r>
              <w:rPr>
                <w:sz w:val="20"/>
              </w:rPr>
              <w:t>8.137</w:t>
            </w:r>
          </w:p>
        </w:tc>
        <w:tc>
          <w:tcPr>
            <w:tcW w:w="1076" w:type="dxa"/>
            <w:tcBorders>
              <w:top w:val="nil"/>
              <w:left w:val="nil"/>
              <w:bottom w:val="nil"/>
              <w:right w:val="nil"/>
            </w:tcBorders>
          </w:tcPr>
          <w:p>
            <w:pPr>
              <w:pStyle w:val="TableParagraph"/>
              <w:ind w:right="65"/>
              <w:rPr>
                <w:sz w:val="20"/>
              </w:rPr>
            </w:pPr>
            <w:r>
              <w:rPr>
                <w:sz w:val="20"/>
              </w:rPr>
              <w:t>6.447</w:t>
            </w:r>
          </w:p>
        </w:tc>
        <w:tc>
          <w:tcPr>
            <w:tcW w:w="1073" w:type="dxa"/>
            <w:tcBorders>
              <w:top w:val="nil"/>
              <w:left w:val="nil"/>
              <w:bottom w:val="nil"/>
              <w:right w:val="nil"/>
            </w:tcBorders>
          </w:tcPr>
          <w:p>
            <w:pPr>
              <w:pStyle w:val="TableParagraph"/>
              <w:ind w:right="63"/>
              <w:rPr>
                <w:sz w:val="20"/>
              </w:rPr>
            </w:pPr>
            <w:r>
              <w:rPr>
                <w:sz w:val="20"/>
              </w:rPr>
              <w:t>4.047</w:t>
            </w:r>
          </w:p>
        </w:tc>
        <w:tc>
          <w:tcPr>
            <w:tcW w:w="1068" w:type="dxa"/>
            <w:tcBorders>
              <w:top w:val="nil"/>
              <w:left w:val="nil"/>
              <w:bottom w:val="nil"/>
              <w:right w:val="nil"/>
            </w:tcBorders>
          </w:tcPr>
          <w:p>
            <w:pPr>
              <w:pStyle w:val="TableParagraph"/>
              <w:ind w:right="60"/>
              <w:rPr>
                <w:sz w:val="20"/>
              </w:rPr>
            </w:pPr>
            <w:r>
              <w:rPr>
                <w:sz w:val="20"/>
              </w:rPr>
              <w:t>2.818</w:t>
            </w:r>
          </w:p>
        </w:tc>
      </w:tr>
      <w:tr>
        <w:trPr>
          <w:trHeight w:val="300" w:hRule="exact"/>
        </w:trPr>
        <w:tc>
          <w:tcPr>
            <w:tcW w:w="1146" w:type="dxa"/>
            <w:tcBorders>
              <w:top w:val="nil"/>
              <w:left w:val="nil"/>
              <w:bottom w:val="nil"/>
              <w:right w:val="nil"/>
            </w:tcBorders>
          </w:tcPr>
          <w:p>
            <w:pPr>
              <w:pStyle w:val="TableParagraph"/>
              <w:spacing w:before="26"/>
              <w:ind w:left="86"/>
              <w:jc w:val="left"/>
              <w:rPr>
                <w:sz w:val="20"/>
              </w:rPr>
            </w:pPr>
            <w:r>
              <w:rPr>
                <w:w w:val="100"/>
                <w:sz w:val="20"/>
              </w:rPr>
              <w:t>7</w:t>
            </w:r>
          </w:p>
        </w:tc>
        <w:tc>
          <w:tcPr>
            <w:tcW w:w="1056" w:type="dxa"/>
            <w:tcBorders>
              <w:top w:val="nil"/>
              <w:left w:val="nil"/>
              <w:bottom w:val="nil"/>
              <w:right w:val="nil"/>
            </w:tcBorders>
          </w:tcPr>
          <w:p>
            <w:pPr>
              <w:pStyle w:val="TableParagraph"/>
              <w:spacing w:before="26"/>
              <w:ind w:left="73"/>
              <w:jc w:val="left"/>
              <w:rPr>
                <w:sz w:val="20"/>
              </w:rPr>
            </w:pPr>
            <w:r>
              <w:rPr>
                <w:sz w:val="20"/>
              </w:rPr>
              <w:t>15001</w:t>
            </w:r>
          </w:p>
        </w:tc>
        <w:tc>
          <w:tcPr>
            <w:tcW w:w="1032" w:type="dxa"/>
            <w:tcBorders>
              <w:top w:val="nil"/>
              <w:left w:val="nil"/>
              <w:bottom w:val="nil"/>
              <w:right w:val="nil"/>
            </w:tcBorders>
          </w:tcPr>
          <w:p>
            <w:pPr>
              <w:pStyle w:val="TableParagraph"/>
              <w:spacing w:before="26"/>
              <w:ind w:right="87"/>
              <w:rPr>
                <w:sz w:val="20"/>
              </w:rPr>
            </w:pPr>
            <w:r>
              <w:rPr>
                <w:sz w:val="20"/>
              </w:rPr>
              <w:t>2.092</w:t>
            </w:r>
          </w:p>
        </w:tc>
        <w:tc>
          <w:tcPr>
            <w:tcW w:w="1056" w:type="dxa"/>
            <w:tcBorders>
              <w:top w:val="nil"/>
              <w:left w:val="nil"/>
              <w:bottom w:val="nil"/>
              <w:right w:val="nil"/>
            </w:tcBorders>
          </w:tcPr>
          <w:p>
            <w:pPr>
              <w:pStyle w:val="TableParagraph"/>
              <w:spacing w:before="26"/>
              <w:ind w:right="82"/>
              <w:rPr>
                <w:sz w:val="20"/>
              </w:rPr>
            </w:pPr>
            <w:r>
              <w:rPr>
                <w:sz w:val="20"/>
              </w:rPr>
              <w:t>2.906</w:t>
            </w:r>
          </w:p>
        </w:tc>
        <w:tc>
          <w:tcPr>
            <w:tcW w:w="1025" w:type="dxa"/>
            <w:tcBorders>
              <w:top w:val="nil"/>
              <w:left w:val="nil"/>
              <w:bottom w:val="nil"/>
              <w:right w:val="nil"/>
            </w:tcBorders>
          </w:tcPr>
          <w:p>
            <w:pPr>
              <w:pStyle w:val="TableParagraph"/>
              <w:spacing w:before="26"/>
              <w:ind w:right="65"/>
              <w:rPr>
                <w:sz w:val="20"/>
              </w:rPr>
            </w:pPr>
            <w:r>
              <w:rPr>
                <w:sz w:val="20"/>
              </w:rPr>
              <w:t>5.063</w:t>
            </w:r>
          </w:p>
        </w:tc>
        <w:tc>
          <w:tcPr>
            <w:tcW w:w="984" w:type="dxa"/>
            <w:tcBorders>
              <w:top w:val="nil"/>
              <w:left w:val="nil"/>
              <w:bottom w:val="nil"/>
              <w:right w:val="nil"/>
            </w:tcBorders>
          </w:tcPr>
          <w:p>
            <w:pPr>
              <w:pStyle w:val="TableParagraph"/>
              <w:spacing w:before="26"/>
              <w:ind w:right="70"/>
              <w:rPr>
                <w:sz w:val="20"/>
              </w:rPr>
            </w:pPr>
            <w:r>
              <w:rPr>
                <w:sz w:val="20"/>
              </w:rPr>
              <w:t>6.595</w:t>
            </w:r>
          </w:p>
        </w:tc>
        <w:tc>
          <w:tcPr>
            <w:tcW w:w="999" w:type="dxa"/>
            <w:tcBorders>
              <w:top w:val="nil"/>
              <w:left w:val="nil"/>
              <w:bottom w:val="nil"/>
              <w:right w:val="nil"/>
            </w:tcBorders>
          </w:tcPr>
          <w:p>
            <w:pPr>
              <w:pStyle w:val="TableParagraph"/>
              <w:spacing w:before="26"/>
              <w:ind w:right="70"/>
              <w:rPr>
                <w:sz w:val="20"/>
              </w:rPr>
            </w:pPr>
            <w:r>
              <w:rPr>
                <w:sz w:val="20"/>
              </w:rPr>
              <w:t>7.684</w:t>
            </w:r>
          </w:p>
        </w:tc>
        <w:tc>
          <w:tcPr>
            <w:tcW w:w="1003" w:type="dxa"/>
            <w:tcBorders>
              <w:top w:val="nil"/>
              <w:left w:val="nil"/>
              <w:bottom w:val="nil"/>
              <w:right w:val="nil"/>
            </w:tcBorders>
          </w:tcPr>
          <w:p>
            <w:pPr>
              <w:pStyle w:val="TableParagraph"/>
              <w:spacing w:before="26"/>
              <w:ind w:right="75"/>
              <w:rPr>
                <w:sz w:val="20"/>
              </w:rPr>
            </w:pPr>
            <w:r>
              <w:rPr>
                <w:sz w:val="20"/>
              </w:rPr>
              <w:t>8.661</w:t>
            </w:r>
          </w:p>
        </w:tc>
        <w:tc>
          <w:tcPr>
            <w:tcW w:w="1011" w:type="dxa"/>
            <w:tcBorders>
              <w:top w:val="nil"/>
              <w:left w:val="nil"/>
              <w:bottom w:val="nil"/>
              <w:right w:val="nil"/>
            </w:tcBorders>
          </w:tcPr>
          <w:p>
            <w:pPr>
              <w:pStyle w:val="TableParagraph"/>
              <w:spacing w:before="26"/>
              <w:ind w:right="67"/>
              <w:rPr>
                <w:sz w:val="20"/>
              </w:rPr>
            </w:pPr>
            <w:r>
              <w:rPr>
                <w:sz w:val="20"/>
              </w:rPr>
              <w:t>8.445</w:t>
            </w:r>
          </w:p>
        </w:tc>
        <w:tc>
          <w:tcPr>
            <w:tcW w:w="977" w:type="dxa"/>
            <w:tcBorders>
              <w:top w:val="nil"/>
              <w:left w:val="nil"/>
              <w:bottom w:val="nil"/>
              <w:right w:val="nil"/>
            </w:tcBorders>
          </w:tcPr>
          <w:p>
            <w:pPr>
              <w:pStyle w:val="TableParagraph"/>
              <w:spacing w:before="26"/>
              <w:ind w:right="65"/>
              <w:rPr>
                <w:sz w:val="20"/>
              </w:rPr>
            </w:pPr>
            <w:r>
              <w:rPr>
                <w:sz w:val="20"/>
              </w:rPr>
              <w:t>8.408</w:t>
            </w:r>
          </w:p>
        </w:tc>
        <w:tc>
          <w:tcPr>
            <w:tcW w:w="980" w:type="dxa"/>
            <w:tcBorders>
              <w:top w:val="nil"/>
              <w:left w:val="nil"/>
              <w:bottom w:val="nil"/>
              <w:right w:val="nil"/>
            </w:tcBorders>
          </w:tcPr>
          <w:p>
            <w:pPr>
              <w:pStyle w:val="TableParagraph"/>
              <w:spacing w:before="26"/>
              <w:ind w:right="65"/>
              <w:rPr>
                <w:sz w:val="20"/>
              </w:rPr>
            </w:pPr>
            <w:r>
              <w:rPr>
                <w:sz w:val="20"/>
              </w:rPr>
              <w:t>8.137</w:t>
            </w:r>
          </w:p>
        </w:tc>
        <w:tc>
          <w:tcPr>
            <w:tcW w:w="1076" w:type="dxa"/>
            <w:tcBorders>
              <w:top w:val="nil"/>
              <w:left w:val="nil"/>
              <w:bottom w:val="nil"/>
              <w:right w:val="nil"/>
            </w:tcBorders>
          </w:tcPr>
          <w:p>
            <w:pPr>
              <w:pStyle w:val="TableParagraph"/>
              <w:spacing w:before="26"/>
              <w:ind w:right="65"/>
              <w:rPr>
                <w:sz w:val="20"/>
              </w:rPr>
            </w:pPr>
            <w:r>
              <w:rPr>
                <w:sz w:val="20"/>
              </w:rPr>
              <w:t>6.447</w:t>
            </w:r>
          </w:p>
        </w:tc>
        <w:tc>
          <w:tcPr>
            <w:tcW w:w="1073" w:type="dxa"/>
            <w:tcBorders>
              <w:top w:val="nil"/>
              <w:left w:val="nil"/>
              <w:bottom w:val="nil"/>
              <w:right w:val="nil"/>
            </w:tcBorders>
          </w:tcPr>
          <w:p>
            <w:pPr>
              <w:pStyle w:val="TableParagraph"/>
              <w:spacing w:before="26"/>
              <w:ind w:right="63"/>
              <w:rPr>
                <w:sz w:val="20"/>
              </w:rPr>
            </w:pPr>
            <w:r>
              <w:rPr>
                <w:sz w:val="20"/>
              </w:rPr>
              <w:t>4.047</w:t>
            </w:r>
          </w:p>
        </w:tc>
        <w:tc>
          <w:tcPr>
            <w:tcW w:w="1068" w:type="dxa"/>
            <w:tcBorders>
              <w:top w:val="nil"/>
              <w:left w:val="nil"/>
              <w:bottom w:val="nil"/>
              <w:right w:val="nil"/>
            </w:tcBorders>
          </w:tcPr>
          <w:p>
            <w:pPr>
              <w:pStyle w:val="TableParagraph"/>
              <w:spacing w:before="26"/>
              <w:ind w:right="60"/>
              <w:rPr>
                <w:sz w:val="20"/>
              </w:rPr>
            </w:pPr>
            <w:r>
              <w:rPr>
                <w:sz w:val="20"/>
              </w:rPr>
              <w:t>2.818</w:t>
            </w:r>
          </w:p>
        </w:tc>
      </w:tr>
      <w:tr>
        <w:trPr>
          <w:trHeight w:val="300" w:hRule="exact"/>
        </w:trPr>
        <w:tc>
          <w:tcPr>
            <w:tcW w:w="1146" w:type="dxa"/>
            <w:tcBorders>
              <w:top w:val="nil"/>
              <w:left w:val="nil"/>
              <w:bottom w:val="nil"/>
              <w:right w:val="nil"/>
            </w:tcBorders>
          </w:tcPr>
          <w:p>
            <w:pPr>
              <w:pStyle w:val="TableParagraph"/>
              <w:ind w:left="86"/>
              <w:jc w:val="left"/>
              <w:rPr>
                <w:sz w:val="20"/>
              </w:rPr>
            </w:pPr>
            <w:r>
              <w:rPr>
                <w:w w:val="100"/>
                <w:sz w:val="20"/>
              </w:rPr>
              <w:t>8</w:t>
            </w:r>
          </w:p>
        </w:tc>
        <w:tc>
          <w:tcPr>
            <w:tcW w:w="1056" w:type="dxa"/>
            <w:tcBorders>
              <w:top w:val="nil"/>
              <w:left w:val="nil"/>
              <w:bottom w:val="nil"/>
              <w:right w:val="nil"/>
            </w:tcBorders>
          </w:tcPr>
          <w:p>
            <w:pPr>
              <w:pStyle w:val="TableParagraph"/>
              <w:ind w:left="73"/>
              <w:jc w:val="left"/>
              <w:rPr>
                <w:sz w:val="20"/>
              </w:rPr>
            </w:pPr>
            <w:r>
              <w:rPr>
                <w:sz w:val="20"/>
              </w:rPr>
              <w:t>15001</w:t>
            </w:r>
          </w:p>
        </w:tc>
        <w:tc>
          <w:tcPr>
            <w:tcW w:w="1032" w:type="dxa"/>
            <w:tcBorders>
              <w:top w:val="nil"/>
              <w:left w:val="nil"/>
              <w:bottom w:val="nil"/>
              <w:right w:val="nil"/>
            </w:tcBorders>
          </w:tcPr>
          <w:p>
            <w:pPr>
              <w:pStyle w:val="TableParagraph"/>
              <w:ind w:right="87"/>
              <w:rPr>
                <w:sz w:val="20"/>
              </w:rPr>
            </w:pPr>
            <w:r>
              <w:rPr>
                <w:sz w:val="20"/>
              </w:rPr>
              <w:t>2.092</w:t>
            </w:r>
          </w:p>
        </w:tc>
        <w:tc>
          <w:tcPr>
            <w:tcW w:w="1056" w:type="dxa"/>
            <w:tcBorders>
              <w:top w:val="nil"/>
              <w:left w:val="nil"/>
              <w:bottom w:val="nil"/>
              <w:right w:val="nil"/>
            </w:tcBorders>
          </w:tcPr>
          <w:p>
            <w:pPr>
              <w:pStyle w:val="TableParagraph"/>
              <w:ind w:right="82"/>
              <w:rPr>
                <w:sz w:val="20"/>
              </w:rPr>
            </w:pPr>
            <w:r>
              <w:rPr>
                <w:sz w:val="20"/>
              </w:rPr>
              <w:t>2.906</w:t>
            </w:r>
          </w:p>
        </w:tc>
        <w:tc>
          <w:tcPr>
            <w:tcW w:w="1025" w:type="dxa"/>
            <w:tcBorders>
              <w:top w:val="nil"/>
              <w:left w:val="nil"/>
              <w:bottom w:val="nil"/>
              <w:right w:val="nil"/>
            </w:tcBorders>
          </w:tcPr>
          <w:p>
            <w:pPr>
              <w:pStyle w:val="TableParagraph"/>
              <w:ind w:right="65"/>
              <w:rPr>
                <w:sz w:val="20"/>
              </w:rPr>
            </w:pPr>
            <w:r>
              <w:rPr>
                <w:sz w:val="20"/>
              </w:rPr>
              <w:t>5.063</w:t>
            </w:r>
          </w:p>
        </w:tc>
        <w:tc>
          <w:tcPr>
            <w:tcW w:w="984" w:type="dxa"/>
            <w:tcBorders>
              <w:top w:val="nil"/>
              <w:left w:val="nil"/>
              <w:bottom w:val="nil"/>
              <w:right w:val="nil"/>
            </w:tcBorders>
          </w:tcPr>
          <w:p>
            <w:pPr>
              <w:pStyle w:val="TableParagraph"/>
              <w:ind w:right="70"/>
              <w:rPr>
                <w:sz w:val="20"/>
              </w:rPr>
            </w:pPr>
            <w:r>
              <w:rPr>
                <w:sz w:val="20"/>
              </w:rPr>
              <w:t>6.595</w:t>
            </w:r>
          </w:p>
        </w:tc>
        <w:tc>
          <w:tcPr>
            <w:tcW w:w="999" w:type="dxa"/>
            <w:tcBorders>
              <w:top w:val="nil"/>
              <w:left w:val="nil"/>
              <w:bottom w:val="nil"/>
              <w:right w:val="nil"/>
            </w:tcBorders>
          </w:tcPr>
          <w:p>
            <w:pPr>
              <w:pStyle w:val="TableParagraph"/>
              <w:ind w:right="70"/>
              <w:rPr>
                <w:sz w:val="20"/>
              </w:rPr>
            </w:pPr>
            <w:r>
              <w:rPr>
                <w:sz w:val="20"/>
              </w:rPr>
              <w:t>7.684</w:t>
            </w:r>
          </w:p>
        </w:tc>
        <w:tc>
          <w:tcPr>
            <w:tcW w:w="1003" w:type="dxa"/>
            <w:tcBorders>
              <w:top w:val="nil"/>
              <w:left w:val="nil"/>
              <w:bottom w:val="nil"/>
              <w:right w:val="nil"/>
            </w:tcBorders>
          </w:tcPr>
          <w:p>
            <w:pPr>
              <w:pStyle w:val="TableParagraph"/>
              <w:ind w:right="75"/>
              <w:rPr>
                <w:sz w:val="20"/>
              </w:rPr>
            </w:pPr>
            <w:r>
              <w:rPr>
                <w:sz w:val="20"/>
              </w:rPr>
              <w:t>8.661</w:t>
            </w:r>
          </w:p>
        </w:tc>
        <w:tc>
          <w:tcPr>
            <w:tcW w:w="1011" w:type="dxa"/>
            <w:tcBorders>
              <w:top w:val="nil"/>
              <w:left w:val="nil"/>
              <w:bottom w:val="nil"/>
              <w:right w:val="nil"/>
            </w:tcBorders>
          </w:tcPr>
          <w:p>
            <w:pPr>
              <w:pStyle w:val="TableParagraph"/>
              <w:ind w:right="67"/>
              <w:rPr>
                <w:sz w:val="20"/>
              </w:rPr>
            </w:pPr>
            <w:r>
              <w:rPr>
                <w:sz w:val="20"/>
              </w:rPr>
              <w:t>8.445</w:t>
            </w:r>
          </w:p>
        </w:tc>
        <w:tc>
          <w:tcPr>
            <w:tcW w:w="977" w:type="dxa"/>
            <w:tcBorders>
              <w:top w:val="nil"/>
              <w:left w:val="nil"/>
              <w:bottom w:val="nil"/>
              <w:right w:val="nil"/>
            </w:tcBorders>
          </w:tcPr>
          <w:p>
            <w:pPr>
              <w:pStyle w:val="TableParagraph"/>
              <w:ind w:right="65"/>
              <w:rPr>
                <w:sz w:val="20"/>
              </w:rPr>
            </w:pPr>
            <w:r>
              <w:rPr>
                <w:sz w:val="20"/>
              </w:rPr>
              <w:t>8.408</w:t>
            </w:r>
          </w:p>
        </w:tc>
        <w:tc>
          <w:tcPr>
            <w:tcW w:w="980" w:type="dxa"/>
            <w:tcBorders>
              <w:top w:val="nil"/>
              <w:left w:val="nil"/>
              <w:bottom w:val="nil"/>
              <w:right w:val="nil"/>
            </w:tcBorders>
          </w:tcPr>
          <w:p>
            <w:pPr>
              <w:pStyle w:val="TableParagraph"/>
              <w:ind w:right="65"/>
              <w:rPr>
                <w:sz w:val="20"/>
              </w:rPr>
            </w:pPr>
            <w:r>
              <w:rPr>
                <w:sz w:val="20"/>
              </w:rPr>
              <w:t>8.137</w:t>
            </w:r>
          </w:p>
        </w:tc>
        <w:tc>
          <w:tcPr>
            <w:tcW w:w="1076" w:type="dxa"/>
            <w:tcBorders>
              <w:top w:val="nil"/>
              <w:left w:val="nil"/>
              <w:bottom w:val="nil"/>
              <w:right w:val="nil"/>
            </w:tcBorders>
          </w:tcPr>
          <w:p>
            <w:pPr>
              <w:pStyle w:val="TableParagraph"/>
              <w:ind w:right="65"/>
              <w:rPr>
                <w:sz w:val="20"/>
              </w:rPr>
            </w:pPr>
            <w:r>
              <w:rPr>
                <w:sz w:val="20"/>
              </w:rPr>
              <w:t>6.447</w:t>
            </w:r>
          </w:p>
        </w:tc>
        <w:tc>
          <w:tcPr>
            <w:tcW w:w="1073" w:type="dxa"/>
            <w:tcBorders>
              <w:top w:val="nil"/>
              <w:left w:val="nil"/>
              <w:bottom w:val="nil"/>
              <w:right w:val="nil"/>
            </w:tcBorders>
          </w:tcPr>
          <w:p>
            <w:pPr>
              <w:pStyle w:val="TableParagraph"/>
              <w:ind w:right="63"/>
              <w:rPr>
                <w:sz w:val="20"/>
              </w:rPr>
            </w:pPr>
            <w:r>
              <w:rPr>
                <w:sz w:val="20"/>
              </w:rPr>
              <w:t>4.047</w:t>
            </w:r>
          </w:p>
        </w:tc>
        <w:tc>
          <w:tcPr>
            <w:tcW w:w="1068" w:type="dxa"/>
            <w:tcBorders>
              <w:top w:val="nil"/>
              <w:left w:val="nil"/>
              <w:bottom w:val="nil"/>
              <w:right w:val="nil"/>
            </w:tcBorders>
          </w:tcPr>
          <w:p>
            <w:pPr>
              <w:pStyle w:val="TableParagraph"/>
              <w:ind w:right="60"/>
              <w:rPr>
                <w:sz w:val="20"/>
              </w:rPr>
            </w:pPr>
            <w:r>
              <w:rPr>
                <w:sz w:val="20"/>
              </w:rPr>
              <w:t>2.818</w:t>
            </w:r>
          </w:p>
        </w:tc>
      </w:tr>
      <w:tr>
        <w:trPr>
          <w:trHeight w:val="300" w:hRule="exact"/>
        </w:trPr>
        <w:tc>
          <w:tcPr>
            <w:tcW w:w="1146" w:type="dxa"/>
            <w:tcBorders>
              <w:top w:val="nil"/>
              <w:left w:val="nil"/>
              <w:bottom w:val="nil"/>
              <w:right w:val="nil"/>
            </w:tcBorders>
          </w:tcPr>
          <w:p>
            <w:pPr>
              <w:pStyle w:val="TableParagraph"/>
              <w:spacing w:before="26"/>
              <w:ind w:left="86"/>
              <w:jc w:val="left"/>
              <w:rPr>
                <w:sz w:val="20"/>
              </w:rPr>
            </w:pPr>
            <w:r>
              <w:rPr>
                <w:w w:val="100"/>
                <w:sz w:val="20"/>
              </w:rPr>
              <w:t>9</w:t>
            </w:r>
          </w:p>
        </w:tc>
        <w:tc>
          <w:tcPr>
            <w:tcW w:w="1056" w:type="dxa"/>
            <w:tcBorders>
              <w:top w:val="nil"/>
              <w:left w:val="nil"/>
              <w:bottom w:val="nil"/>
              <w:right w:val="nil"/>
            </w:tcBorders>
          </w:tcPr>
          <w:p>
            <w:pPr>
              <w:pStyle w:val="TableParagraph"/>
              <w:spacing w:before="26"/>
              <w:ind w:left="73"/>
              <w:jc w:val="left"/>
              <w:rPr>
                <w:sz w:val="20"/>
              </w:rPr>
            </w:pPr>
            <w:r>
              <w:rPr>
                <w:sz w:val="20"/>
              </w:rPr>
              <w:t>15001</w:t>
            </w:r>
          </w:p>
        </w:tc>
        <w:tc>
          <w:tcPr>
            <w:tcW w:w="1032" w:type="dxa"/>
            <w:tcBorders>
              <w:top w:val="nil"/>
              <w:left w:val="nil"/>
              <w:bottom w:val="nil"/>
              <w:right w:val="nil"/>
            </w:tcBorders>
          </w:tcPr>
          <w:p>
            <w:pPr>
              <w:pStyle w:val="TableParagraph"/>
              <w:spacing w:before="26"/>
              <w:ind w:right="87"/>
              <w:rPr>
                <w:sz w:val="20"/>
              </w:rPr>
            </w:pPr>
            <w:r>
              <w:rPr>
                <w:sz w:val="20"/>
              </w:rPr>
              <w:t>2.092</w:t>
            </w:r>
          </w:p>
        </w:tc>
        <w:tc>
          <w:tcPr>
            <w:tcW w:w="1056" w:type="dxa"/>
            <w:tcBorders>
              <w:top w:val="nil"/>
              <w:left w:val="nil"/>
              <w:bottom w:val="nil"/>
              <w:right w:val="nil"/>
            </w:tcBorders>
          </w:tcPr>
          <w:p>
            <w:pPr>
              <w:pStyle w:val="TableParagraph"/>
              <w:spacing w:before="26"/>
              <w:ind w:right="82"/>
              <w:rPr>
                <w:sz w:val="20"/>
              </w:rPr>
            </w:pPr>
            <w:r>
              <w:rPr>
                <w:sz w:val="20"/>
              </w:rPr>
              <w:t>2.906</w:t>
            </w:r>
          </w:p>
        </w:tc>
        <w:tc>
          <w:tcPr>
            <w:tcW w:w="1025" w:type="dxa"/>
            <w:tcBorders>
              <w:top w:val="nil"/>
              <w:left w:val="nil"/>
              <w:bottom w:val="nil"/>
              <w:right w:val="nil"/>
            </w:tcBorders>
          </w:tcPr>
          <w:p>
            <w:pPr>
              <w:pStyle w:val="TableParagraph"/>
              <w:spacing w:before="26"/>
              <w:ind w:right="65"/>
              <w:rPr>
                <w:sz w:val="20"/>
              </w:rPr>
            </w:pPr>
            <w:r>
              <w:rPr>
                <w:sz w:val="20"/>
              </w:rPr>
              <w:t>5.063</w:t>
            </w:r>
          </w:p>
        </w:tc>
        <w:tc>
          <w:tcPr>
            <w:tcW w:w="984" w:type="dxa"/>
            <w:tcBorders>
              <w:top w:val="nil"/>
              <w:left w:val="nil"/>
              <w:bottom w:val="nil"/>
              <w:right w:val="nil"/>
            </w:tcBorders>
          </w:tcPr>
          <w:p>
            <w:pPr>
              <w:pStyle w:val="TableParagraph"/>
              <w:spacing w:before="26"/>
              <w:ind w:right="70"/>
              <w:rPr>
                <w:sz w:val="20"/>
              </w:rPr>
            </w:pPr>
            <w:r>
              <w:rPr>
                <w:sz w:val="20"/>
              </w:rPr>
              <w:t>6.595</w:t>
            </w:r>
          </w:p>
        </w:tc>
        <w:tc>
          <w:tcPr>
            <w:tcW w:w="999" w:type="dxa"/>
            <w:tcBorders>
              <w:top w:val="nil"/>
              <w:left w:val="nil"/>
              <w:bottom w:val="nil"/>
              <w:right w:val="nil"/>
            </w:tcBorders>
          </w:tcPr>
          <w:p>
            <w:pPr>
              <w:pStyle w:val="TableParagraph"/>
              <w:spacing w:before="26"/>
              <w:ind w:right="70"/>
              <w:rPr>
                <w:sz w:val="20"/>
              </w:rPr>
            </w:pPr>
            <w:r>
              <w:rPr>
                <w:sz w:val="20"/>
              </w:rPr>
              <w:t>7.684</w:t>
            </w:r>
          </w:p>
        </w:tc>
        <w:tc>
          <w:tcPr>
            <w:tcW w:w="1003" w:type="dxa"/>
            <w:tcBorders>
              <w:top w:val="nil"/>
              <w:left w:val="nil"/>
              <w:bottom w:val="nil"/>
              <w:right w:val="nil"/>
            </w:tcBorders>
          </w:tcPr>
          <w:p>
            <w:pPr>
              <w:pStyle w:val="TableParagraph"/>
              <w:spacing w:before="26"/>
              <w:ind w:right="75"/>
              <w:rPr>
                <w:sz w:val="20"/>
              </w:rPr>
            </w:pPr>
            <w:r>
              <w:rPr>
                <w:sz w:val="20"/>
              </w:rPr>
              <w:t>8.661</w:t>
            </w:r>
          </w:p>
        </w:tc>
        <w:tc>
          <w:tcPr>
            <w:tcW w:w="1011" w:type="dxa"/>
            <w:tcBorders>
              <w:top w:val="nil"/>
              <w:left w:val="nil"/>
              <w:bottom w:val="nil"/>
              <w:right w:val="nil"/>
            </w:tcBorders>
          </w:tcPr>
          <w:p>
            <w:pPr>
              <w:pStyle w:val="TableParagraph"/>
              <w:spacing w:before="26"/>
              <w:ind w:right="67"/>
              <w:rPr>
                <w:sz w:val="20"/>
              </w:rPr>
            </w:pPr>
            <w:r>
              <w:rPr>
                <w:sz w:val="20"/>
              </w:rPr>
              <w:t>8.445</w:t>
            </w:r>
          </w:p>
        </w:tc>
        <w:tc>
          <w:tcPr>
            <w:tcW w:w="977" w:type="dxa"/>
            <w:tcBorders>
              <w:top w:val="nil"/>
              <w:left w:val="nil"/>
              <w:bottom w:val="nil"/>
              <w:right w:val="nil"/>
            </w:tcBorders>
          </w:tcPr>
          <w:p>
            <w:pPr>
              <w:pStyle w:val="TableParagraph"/>
              <w:spacing w:before="26"/>
              <w:ind w:right="65"/>
              <w:rPr>
                <w:sz w:val="20"/>
              </w:rPr>
            </w:pPr>
            <w:r>
              <w:rPr>
                <w:sz w:val="20"/>
              </w:rPr>
              <w:t>8.408</w:t>
            </w:r>
          </w:p>
        </w:tc>
        <w:tc>
          <w:tcPr>
            <w:tcW w:w="980" w:type="dxa"/>
            <w:tcBorders>
              <w:top w:val="nil"/>
              <w:left w:val="nil"/>
              <w:bottom w:val="nil"/>
              <w:right w:val="nil"/>
            </w:tcBorders>
          </w:tcPr>
          <w:p>
            <w:pPr>
              <w:pStyle w:val="TableParagraph"/>
              <w:spacing w:before="26"/>
              <w:ind w:right="65"/>
              <w:rPr>
                <w:sz w:val="20"/>
              </w:rPr>
            </w:pPr>
            <w:r>
              <w:rPr>
                <w:sz w:val="20"/>
              </w:rPr>
              <w:t>8.137</w:t>
            </w:r>
          </w:p>
        </w:tc>
        <w:tc>
          <w:tcPr>
            <w:tcW w:w="1076" w:type="dxa"/>
            <w:tcBorders>
              <w:top w:val="nil"/>
              <w:left w:val="nil"/>
              <w:bottom w:val="nil"/>
              <w:right w:val="nil"/>
            </w:tcBorders>
          </w:tcPr>
          <w:p>
            <w:pPr>
              <w:pStyle w:val="TableParagraph"/>
              <w:spacing w:before="26"/>
              <w:ind w:right="65"/>
              <w:rPr>
                <w:sz w:val="20"/>
              </w:rPr>
            </w:pPr>
            <w:r>
              <w:rPr>
                <w:sz w:val="20"/>
              </w:rPr>
              <w:t>6.447</w:t>
            </w:r>
          </w:p>
        </w:tc>
        <w:tc>
          <w:tcPr>
            <w:tcW w:w="1073" w:type="dxa"/>
            <w:tcBorders>
              <w:top w:val="nil"/>
              <w:left w:val="nil"/>
              <w:bottom w:val="nil"/>
              <w:right w:val="nil"/>
            </w:tcBorders>
          </w:tcPr>
          <w:p>
            <w:pPr>
              <w:pStyle w:val="TableParagraph"/>
              <w:spacing w:before="26"/>
              <w:ind w:right="63"/>
              <w:rPr>
                <w:sz w:val="20"/>
              </w:rPr>
            </w:pPr>
            <w:r>
              <w:rPr>
                <w:sz w:val="20"/>
              </w:rPr>
              <w:t>4.047</w:t>
            </w:r>
          </w:p>
        </w:tc>
        <w:tc>
          <w:tcPr>
            <w:tcW w:w="1068" w:type="dxa"/>
            <w:tcBorders>
              <w:top w:val="nil"/>
              <w:left w:val="nil"/>
              <w:bottom w:val="nil"/>
              <w:right w:val="nil"/>
            </w:tcBorders>
          </w:tcPr>
          <w:p>
            <w:pPr>
              <w:pStyle w:val="TableParagraph"/>
              <w:spacing w:before="26"/>
              <w:ind w:right="60"/>
              <w:rPr>
                <w:sz w:val="20"/>
              </w:rPr>
            </w:pPr>
            <w:r>
              <w:rPr>
                <w:sz w:val="20"/>
              </w:rPr>
              <w:t>2.818</w:t>
            </w:r>
          </w:p>
        </w:tc>
      </w:tr>
      <w:tr>
        <w:trPr>
          <w:trHeight w:val="300" w:hRule="exact"/>
        </w:trPr>
        <w:tc>
          <w:tcPr>
            <w:tcW w:w="1146" w:type="dxa"/>
            <w:tcBorders>
              <w:top w:val="nil"/>
              <w:left w:val="nil"/>
              <w:bottom w:val="nil"/>
              <w:right w:val="nil"/>
            </w:tcBorders>
          </w:tcPr>
          <w:p>
            <w:pPr>
              <w:pStyle w:val="TableParagraph"/>
              <w:spacing w:before="24"/>
              <w:ind w:left="86"/>
              <w:jc w:val="left"/>
              <w:rPr>
                <w:sz w:val="20"/>
              </w:rPr>
            </w:pPr>
            <w:r>
              <w:rPr>
                <w:sz w:val="20"/>
              </w:rPr>
              <w:t>10</w:t>
            </w:r>
          </w:p>
        </w:tc>
        <w:tc>
          <w:tcPr>
            <w:tcW w:w="1056" w:type="dxa"/>
            <w:tcBorders>
              <w:top w:val="nil"/>
              <w:left w:val="nil"/>
              <w:bottom w:val="nil"/>
              <w:right w:val="nil"/>
            </w:tcBorders>
          </w:tcPr>
          <w:p>
            <w:pPr>
              <w:pStyle w:val="TableParagraph"/>
              <w:spacing w:before="24"/>
              <w:ind w:left="73"/>
              <w:jc w:val="left"/>
              <w:rPr>
                <w:sz w:val="20"/>
              </w:rPr>
            </w:pPr>
            <w:r>
              <w:rPr>
                <w:sz w:val="20"/>
              </w:rPr>
              <w:t>15001</w:t>
            </w:r>
          </w:p>
        </w:tc>
        <w:tc>
          <w:tcPr>
            <w:tcW w:w="1032" w:type="dxa"/>
            <w:tcBorders>
              <w:top w:val="nil"/>
              <w:left w:val="nil"/>
              <w:bottom w:val="nil"/>
              <w:right w:val="nil"/>
            </w:tcBorders>
          </w:tcPr>
          <w:p>
            <w:pPr>
              <w:pStyle w:val="TableParagraph"/>
              <w:spacing w:before="24"/>
              <w:ind w:right="87"/>
              <w:rPr>
                <w:sz w:val="20"/>
              </w:rPr>
            </w:pPr>
            <w:r>
              <w:rPr>
                <w:sz w:val="20"/>
              </w:rPr>
              <w:t>2.092</w:t>
            </w:r>
          </w:p>
        </w:tc>
        <w:tc>
          <w:tcPr>
            <w:tcW w:w="1056" w:type="dxa"/>
            <w:tcBorders>
              <w:top w:val="nil"/>
              <w:left w:val="nil"/>
              <w:bottom w:val="nil"/>
              <w:right w:val="nil"/>
            </w:tcBorders>
          </w:tcPr>
          <w:p>
            <w:pPr>
              <w:pStyle w:val="TableParagraph"/>
              <w:spacing w:before="24"/>
              <w:ind w:right="82"/>
              <w:rPr>
                <w:sz w:val="20"/>
              </w:rPr>
            </w:pPr>
            <w:r>
              <w:rPr>
                <w:sz w:val="20"/>
              </w:rPr>
              <w:t>2.906</w:t>
            </w:r>
          </w:p>
        </w:tc>
        <w:tc>
          <w:tcPr>
            <w:tcW w:w="1025" w:type="dxa"/>
            <w:tcBorders>
              <w:top w:val="nil"/>
              <w:left w:val="nil"/>
              <w:bottom w:val="nil"/>
              <w:right w:val="nil"/>
            </w:tcBorders>
          </w:tcPr>
          <w:p>
            <w:pPr>
              <w:pStyle w:val="TableParagraph"/>
              <w:spacing w:before="24"/>
              <w:ind w:right="65"/>
              <w:rPr>
                <w:sz w:val="20"/>
              </w:rPr>
            </w:pPr>
            <w:r>
              <w:rPr>
                <w:sz w:val="20"/>
              </w:rPr>
              <w:t>5.063</w:t>
            </w:r>
          </w:p>
        </w:tc>
        <w:tc>
          <w:tcPr>
            <w:tcW w:w="984" w:type="dxa"/>
            <w:tcBorders>
              <w:top w:val="nil"/>
              <w:left w:val="nil"/>
              <w:bottom w:val="nil"/>
              <w:right w:val="nil"/>
            </w:tcBorders>
          </w:tcPr>
          <w:p>
            <w:pPr>
              <w:pStyle w:val="TableParagraph"/>
              <w:spacing w:before="24"/>
              <w:ind w:right="70"/>
              <w:rPr>
                <w:sz w:val="20"/>
              </w:rPr>
            </w:pPr>
            <w:r>
              <w:rPr>
                <w:sz w:val="20"/>
              </w:rPr>
              <w:t>6.595</w:t>
            </w:r>
          </w:p>
        </w:tc>
        <w:tc>
          <w:tcPr>
            <w:tcW w:w="999" w:type="dxa"/>
            <w:tcBorders>
              <w:top w:val="nil"/>
              <w:left w:val="nil"/>
              <w:bottom w:val="nil"/>
              <w:right w:val="nil"/>
            </w:tcBorders>
          </w:tcPr>
          <w:p>
            <w:pPr>
              <w:pStyle w:val="TableParagraph"/>
              <w:spacing w:before="24"/>
              <w:ind w:right="70"/>
              <w:rPr>
                <w:sz w:val="20"/>
              </w:rPr>
            </w:pPr>
            <w:r>
              <w:rPr>
                <w:sz w:val="20"/>
              </w:rPr>
              <w:t>7.684</w:t>
            </w:r>
          </w:p>
        </w:tc>
        <w:tc>
          <w:tcPr>
            <w:tcW w:w="1003" w:type="dxa"/>
            <w:tcBorders>
              <w:top w:val="nil"/>
              <w:left w:val="nil"/>
              <w:bottom w:val="nil"/>
              <w:right w:val="nil"/>
            </w:tcBorders>
          </w:tcPr>
          <w:p>
            <w:pPr>
              <w:pStyle w:val="TableParagraph"/>
              <w:spacing w:before="24"/>
              <w:ind w:right="75"/>
              <w:rPr>
                <w:sz w:val="20"/>
              </w:rPr>
            </w:pPr>
            <w:r>
              <w:rPr>
                <w:sz w:val="20"/>
              </w:rPr>
              <w:t>8.661</w:t>
            </w:r>
          </w:p>
        </w:tc>
        <w:tc>
          <w:tcPr>
            <w:tcW w:w="1011" w:type="dxa"/>
            <w:tcBorders>
              <w:top w:val="nil"/>
              <w:left w:val="nil"/>
              <w:bottom w:val="nil"/>
              <w:right w:val="nil"/>
            </w:tcBorders>
          </w:tcPr>
          <w:p>
            <w:pPr>
              <w:pStyle w:val="TableParagraph"/>
              <w:spacing w:before="24"/>
              <w:ind w:right="67"/>
              <w:rPr>
                <w:sz w:val="20"/>
              </w:rPr>
            </w:pPr>
            <w:r>
              <w:rPr>
                <w:sz w:val="20"/>
              </w:rPr>
              <w:t>8.445</w:t>
            </w:r>
          </w:p>
        </w:tc>
        <w:tc>
          <w:tcPr>
            <w:tcW w:w="977" w:type="dxa"/>
            <w:tcBorders>
              <w:top w:val="nil"/>
              <w:left w:val="nil"/>
              <w:bottom w:val="nil"/>
              <w:right w:val="nil"/>
            </w:tcBorders>
          </w:tcPr>
          <w:p>
            <w:pPr>
              <w:pStyle w:val="TableParagraph"/>
              <w:spacing w:before="24"/>
              <w:ind w:right="65"/>
              <w:rPr>
                <w:sz w:val="20"/>
              </w:rPr>
            </w:pPr>
            <w:r>
              <w:rPr>
                <w:sz w:val="20"/>
              </w:rPr>
              <w:t>8.408</w:t>
            </w:r>
          </w:p>
        </w:tc>
        <w:tc>
          <w:tcPr>
            <w:tcW w:w="980" w:type="dxa"/>
            <w:tcBorders>
              <w:top w:val="nil"/>
              <w:left w:val="nil"/>
              <w:bottom w:val="nil"/>
              <w:right w:val="nil"/>
            </w:tcBorders>
          </w:tcPr>
          <w:p>
            <w:pPr>
              <w:pStyle w:val="TableParagraph"/>
              <w:spacing w:before="24"/>
              <w:ind w:right="65"/>
              <w:rPr>
                <w:sz w:val="20"/>
              </w:rPr>
            </w:pPr>
            <w:r>
              <w:rPr>
                <w:sz w:val="20"/>
              </w:rPr>
              <w:t>8.137</w:t>
            </w:r>
          </w:p>
        </w:tc>
        <w:tc>
          <w:tcPr>
            <w:tcW w:w="1076" w:type="dxa"/>
            <w:tcBorders>
              <w:top w:val="nil"/>
              <w:left w:val="nil"/>
              <w:bottom w:val="nil"/>
              <w:right w:val="nil"/>
            </w:tcBorders>
          </w:tcPr>
          <w:p>
            <w:pPr>
              <w:pStyle w:val="TableParagraph"/>
              <w:spacing w:before="24"/>
              <w:ind w:right="65"/>
              <w:rPr>
                <w:sz w:val="20"/>
              </w:rPr>
            </w:pPr>
            <w:r>
              <w:rPr>
                <w:sz w:val="20"/>
              </w:rPr>
              <w:t>6.447</w:t>
            </w:r>
          </w:p>
        </w:tc>
        <w:tc>
          <w:tcPr>
            <w:tcW w:w="1073" w:type="dxa"/>
            <w:tcBorders>
              <w:top w:val="nil"/>
              <w:left w:val="nil"/>
              <w:bottom w:val="nil"/>
              <w:right w:val="nil"/>
            </w:tcBorders>
          </w:tcPr>
          <w:p>
            <w:pPr>
              <w:pStyle w:val="TableParagraph"/>
              <w:spacing w:before="24"/>
              <w:ind w:right="63"/>
              <w:rPr>
                <w:sz w:val="20"/>
              </w:rPr>
            </w:pPr>
            <w:r>
              <w:rPr>
                <w:sz w:val="20"/>
              </w:rPr>
              <w:t>4.047</w:t>
            </w:r>
          </w:p>
        </w:tc>
        <w:tc>
          <w:tcPr>
            <w:tcW w:w="1068" w:type="dxa"/>
            <w:tcBorders>
              <w:top w:val="nil"/>
              <w:left w:val="nil"/>
              <w:bottom w:val="nil"/>
              <w:right w:val="nil"/>
            </w:tcBorders>
          </w:tcPr>
          <w:p>
            <w:pPr>
              <w:pStyle w:val="TableParagraph"/>
              <w:spacing w:before="24"/>
              <w:ind w:right="60"/>
              <w:rPr>
                <w:sz w:val="20"/>
              </w:rPr>
            </w:pPr>
            <w:r>
              <w:rPr>
                <w:sz w:val="20"/>
              </w:rPr>
              <w:t>2.818</w:t>
            </w:r>
          </w:p>
        </w:tc>
      </w:tr>
      <w:tr>
        <w:trPr>
          <w:trHeight w:val="300" w:hRule="exact"/>
        </w:trPr>
        <w:tc>
          <w:tcPr>
            <w:tcW w:w="1146" w:type="dxa"/>
            <w:tcBorders>
              <w:top w:val="nil"/>
              <w:left w:val="nil"/>
              <w:bottom w:val="nil"/>
              <w:right w:val="nil"/>
            </w:tcBorders>
          </w:tcPr>
          <w:p>
            <w:pPr>
              <w:pStyle w:val="TableParagraph"/>
              <w:spacing w:before="26"/>
              <w:ind w:left="86"/>
              <w:jc w:val="left"/>
              <w:rPr>
                <w:sz w:val="20"/>
              </w:rPr>
            </w:pPr>
            <w:r>
              <w:rPr>
                <w:sz w:val="20"/>
              </w:rPr>
              <w:t>11</w:t>
            </w:r>
          </w:p>
        </w:tc>
        <w:tc>
          <w:tcPr>
            <w:tcW w:w="1056" w:type="dxa"/>
            <w:tcBorders>
              <w:top w:val="nil"/>
              <w:left w:val="nil"/>
              <w:bottom w:val="nil"/>
              <w:right w:val="nil"/>
            </w:tcBorders>
          </w:tcPr>
          <w:p>
            <w:pPr>
              <w:pStyle w:val="TableParagraph"/>
              <w:spacing w:before="26"/>
              <w:ind w:left="73"/>
              <w:jc w:val="left"/>
              <w:rPr>
                <w:sz w:val="20"/>
              </w:rPr>
            </w:pPr>
            <w:r>
              <w:rPr>
                <w:sz w:val="20"/>
              </w:rPr>
              <w:t>15001</w:t>
            </w:r>
          </w:p>
        </w:tc>
        <w:tc>
          <w:tcPr>
            <w:tcW w:w="1032" w:type="dxa"/>
            <w:tcBorders>
              <w:top w:val="nil"/>
              <w:left w:val="nil"/>
              <w:bottom w:val="nil"/>
              <w:right w:val="nil"/>
            </w:tcBorders>
          </w:tcPr>
          <w:p>
            <w:pPr>
              <w:pStyle w:val="TableParagraph"/>
              <w:spacing w:before="26"/>
              <w:ind w:right="87"/>
              <w:rPr>
                <w:sz w:val="20"/>
              </w:rPr>
            </w:pPr>
            <w:r>
              <w:rPr>
                <w:sz w:val="20"/>
              </w:rPr>
              <w:t>2.092</w:t>
            </w:r>
          </w:p>
        </w:tc>
        <w:tc>
          <w:tcPr>
            <w:tcW w:w="1056" w:type="dxa"/>
            <w:tcBorders>
              <w:top w:val="nil"/>
              <w:left w:val="nil"/>
              <w:bottom w:val="nil"/>
              <w:right w:val="nil"/>
            </w:tcBorders>
          </w:tcPr>
          <w:p>
            <w:pPr>
              <w:pStyle w:val="TableParagraph"/>
              <w:spacing w:before="26"/>
              <w:ind w:right="82"/>
              <w:rPr>
                <w:sz w:val="20"/>
              </w:rPr>
            </w:pPr>
            <w:r>
              <w:rPr>
                <w:sz w:val="20"/>
              </w:rPr>
              <w:t>2.906</w:t>
            </w:r>
          </w:p>
        </w:tc>
        <w:tc>
          <w:tcPr>
            <w:tcW w:w="1025" w:type="dxa"/>
            <w:tcBorders>
              <w:top w:val="nil"/>
              <w:left w:val="nil"/>
              <w:bottom w:val="nil"/>
              <w:right w:val="nil"/>
            </w:tcBorders>
          </w:tcPr>
          <w:p>
            <w:pPr>
              <w:pStyle w:val="TableParagraph"/>
              <w:spacing w:before="26"/>
              <w:ind w:right="65"/>
              <w:rPr>
                <w:sz w:val="20"/>
              </w:rPr>
            </w:pPr>
            <w:r>
              <w:rPr>
                <w:sz w:val="20"/>
              </w:rPr>
              <w:t>5.063</w:t>
            </w:r>
          </w:p>
        </w:tc>
        <w:tc>
          <w:tcPr>
            <w:tcW w:w="984" w:type="dxa"/>
            <w:tcBorders>
              <w:top w:val="nil"/>
              <w:left w:val="nil"/>
              <w:bottom w:val="nil"/>
              <w:right w:val="nil"/>
            </w:tcBorders>
          </w:tcPr>
          <w:p>
            <w:pPr>
              <w:pStyle w:val="TableParagraph"/>
              <w:spacing w:before="26"/>
              <w:ind w:right="70"/>
              <w:rPr>
                <w:sz w:val="20"/>
              </w:rPr>
            </w:pPr>
            <w:r>
              <w:rPr>
                <w:sz w:val="20"/>
              </w:rPr>
              <w:t>6.595</w:t>
            </w:r>
          </w:p>
        </w:tc>
        <w:tc>
          <w:tcPr>
            <w:tcW w:w="999" w:type="dxa"/>
            <w:tcBorders>
              <w:top w:val="nil"/>
              <w:left w:val="nil"/>
              <w:bottom w:val="nil"/>
              <w:right w:val="nil"/>
            </w:tcBorders>
          </w:tcPr>
          <w:p>
            <w:pPr>
              <w:pStyle w:val="TableParagraph"/>
              <w:spacing w:before="26"/>
              <w:ind w:right="70"/>
              <w:rPr>
                <w:sz w:val="20"/>
              </w:rPr>
            </w:pPr>
            <w:r>
              <w:rPr>
                <w:sz w:val="20"/>
              </w:rPr>
              <w:t>7.684</w:t>
            </w:r>
          </w:p>
        </w:tc>
        <w:tc>
          <w:tcPr>
            <w:tcW w:w="1003" w:type="dxa"/>
            <w:tcBorders>
              <w:top w:val="nil"/>
              <w:left w:val="nil"/>
              <w:bottom w:val="nil"/>
              <w:right w:val="nil"/>
            </w:tcBorders>
          </w:tcPr>
          <w:p>
            <w:pPr>
              <w:pStyle w:val="TableParagraph"/>
              <w:spacing w:before="26"/>
              <w:ind w:right="75"/>
              <w:rPr>
                <w:sz w:val="20"/>
              </w:rPr>
            </w:pPr>
            <w:r>
              <w:rPr>
                <w:sz w:val="20"/>
              </w:rPr>
              <w:t>8.661</w:t>
            </w:r>
          </w:p>
        </w:tc>
        <w:tc>
          <w:tcPr>
            <w:tcW w:w="1011" w:type="dxa"/>
            <w:tcBorders>
              <w:top w:val="nil"/>
              <w:left w:val="nil"/>
              <w:bottom w:val="nil"/>
              <w:right w:val="nil"/>
            </w:tcBorders>
          </w:tcPr>
          <w:p>
            <w:pPr>
              <w:pStyle w:val="TableParagraph"/>
              <w:spacing w:before="26"/>
              <w:ind w:right="67"/>
              <w:rPr>
                <w:sz w:val="20"/>
              </w:rPr>
            </w:pPr>
            <w:r>
              <w:rPr>
                <w:sz w:val="20"/>
              </w:rPr>
              <w:t>8.445</w:t>
            </w:r>
          </w:p>
        </w:tc>
        <w:tc>
          <w:tcPr>
            <w:tcW w:w="977" w:type="dxa"/>
            <w:tcBorders>
              <w:top w:val="nil"/>
              <w:left w:val="nil"/>
              <w:bottom w:val="nil"/>
              <w:right w:val="nil"/>
            </w:tcBorders>
          </w:tcPr>
          <w:p>
            <w:pPr>
              <w:pStyle w:val="TableParagraph"/>
              <w:spacing w:before="26"/>
              <w:ind w:right="65"/>
              <w:rPr>
                <w:sz w:val="20"/>
              </w:rPr>
            </w:pPr>
            <w:r>
              <w:rPr>
                <w:sz w:val="20"/>
              </w:rPr>
              <w:t>8.408</w:t>
            </w:r>
          </w:p>
        </w:tc>
        <w:tc>
          <w:tcPr>
            <w:tcW w:w="980" w:type="dxa"/>
            <w:tcBorders>
              <w:top w:val="nil"/>
              <w:left w:val="nil"/>
              <w:bottom w:val="nil"/>
              <w:right w:val="nil"/>
            </w:tcBorders>
          </w:tcPr>
          <w:p>
            <w:pPr>
              <w:pStyle w:val="TableParagraph"/>
              <w:spacing w:before="26"/>
              <w:ind w:right="65"/>
              <w:rPr>
                <w:sz w:val="20"/>
              </w:rPr>
            </w:pPr>
            <w:r>
              <w:rPr>
                <w:sz w:val="20"/>
              </w:rPr>
              <w:t>8.137</w:t>
            </w:r>
          </w:p>
        </w:tc>
        <w:tc>
          <w:tcPr>
            <w:tcW w:w="1076" w:type="dxa"/>
            <w:tcBorders>
              <w:top w:val="nil"/>
              <w:left w:val="nil"/>
              <w:bottom w:val="nil"/>
              <w:right w:val="nil"/>
            </w:tcBorders>
          </w:tcPr>
          <w:p>
            <w:pPr>
              <w:pStyle w:val="TableParagraph"/>
              <w:spacing w:before="26"/>
              <w:ind w:right="65"/>
              <w:rPr>
                <w:sz w:val="20"/>
              </w:rPr>
            </w:pPr>
            <w:r>
              <w:rPr>
                <w:sz w:val="20"/>
              </w:rPr>
              <w:t>6.447</w:t>
            </w:r>
          </w:p>
        </w:tc>
        <w:tc>
          <w:tcPr>
            <w:tcW w:w="1073" w:type="dxa"/>
            <w:tcBorders>
              <w:top w:val="nil"/>
              <w:left w:val="nil"/>
              <w:bottom w:val="nil"/>
              <w:right w:val="nil"/>
            </w:tcBorders>
          </w:tcPr>
          <w:p>
            <w:pPr>
              <w:pStyle w:val="TableParagraph"/>
              <w:spacing w:before="26"/>
              <w:ind w:right="63"/>
              <w:rPr>
                <w:sz w:val="20"/>
              </w:rPr>
            </w:pPr>
            <w:r>
              <w:rPr>
                <w:sz w:val="20"/>
              </w:rPr>
              <w:t>4.047</w:t>
            </w:r>
          </w:p>
        </w:tc>
        <w:tc>
          <w:tcPr>
            <w:tcW w:w="1068" w:type="dxa"/>
            <w:tcBorders>
              <w:top w:val="nil"/>
              <w:left w:val="nil"/>
              <w:bottom w:val="nil"/>
              <w:right w:val="nil"/>
            </w:tcBorders>
          </w:tcPr>
          <w:p>
            <w:pPr>
              <w:pStyle w:val="TableParagraph"/>
              <w:spacing w:before="26"/>
              <w:ind w:right="60"/>
              <w:rPr>
                <w:sz w:val="20"/>
              </w:rPr>
            </w:pPr>
            <w:r>
              <w:rPr>
                <w:sz w:val="20"/>
              </w:rPr>
              <w:t>2.818</w:t>
            </w:r>
          </w:p>
        </w:tc>
      </w:tr>
      <w:tr>
        <w:trPr>
          <w:trHeight w:val="300" w:hRule="exact"/>
        </w:trPr>
        <w:tc>
          <w:tcPr>
            <w:tcW w:w="1146" w:type="dxa"/>
            <w:tcBorders>
              <w:top w:val="nil"/>
              <w:left w:val="nil"/>
              <w:bottom w:val="nil"/>
              <w:right w:val="nil"/>
            </w:tcBorders>
          </w:tcPr>
          <w:p>
            <w:pPr>
              <w:pStyle w:val="TableParagraph"/>
              <w:ind w:left="86"/>
              <w:jc w:val="left"/>
              <w:rPr>
                <w:sz w:val="20"/>
              </w:rPr>
            </w:pPr>
            <w:r>
              <w:rPr>
                <w:sz w:val="20"/>
              </w:rPr>
              <w:t>12</w:t>
            </w:r>
          </w:p>
        </w:tc>
        <w:tc>
          <w:tcPr>
            <w:tcW w:w="1056" w:type="dxa"/>
            <w:tcBorders>
              <w:top w:val="nil"/>
              <w:left w:val="nil"/>
              <w:bottom w:val="nil"/>
              <w:right w:val="nil"/>
            </w:tcBorders>
          </w:tcPr>
          <w:p>
            <w:pPr>
              <w:pStyle w:val="TableParagraph"/>
              <w:ind w:left="73"/>
              <w:jc w:val="left"/>
              <w:rPr>
                <w:sz w:val="20"/>
              </w:rPr>
            </w:pPr>
            <w:r>
              <w:rPr>
                <w:sz w:val="20"/>
              </w:rPr>
              <w:t>15001</w:t>
            </w:r>
          </w:p>
        </w:tc>
        <w:tc>
          <w:tcPr>
            <w:tcW w:w="1032" w:type="dxa"/>
            <w:tcBorders>
              <w:top w:val="nil"/>
              <w:left w:val="nil"/>
              <w:bottom w:val="nil"/>
              <w:right w:val="nil"/>
            </w:tcBorders>
          </w:tcPr>
          <w:p>
            <w:pPr>
              <w:pStyle w:val="TableParagraph"/>
              <w:ind w:right="87"/>
              <w:rPr>
                <w:sz w:val="20"/>
              </w:rPr>
            </w:pPr>
            <w:r>
              <w:rPr>
                <w:sz w:val="20"/>
              </w:rPr>
              <w:t>2.092</w:t>
            </w:r>
          </w:p>
        </w:tc>
        <w:tc>
          <w:tcPr>
            <w:tcW w:w="1056" w:type="dxa"/>
            <w:tcBorders>
              <w:top w:val="nil"/>
              <w:left w:val="nil"/>
              <w:bottom w:val="nil"/>
              <w:right w:val="nil"/>
            </w:tcBorders>
          </w:tcPr>
          <w:p>
            <w:pPr>
              <w:pStyle w:val="TableParagraph"/>
              <w:ind w:right="82"/>
              <w:rPr>
                <w:sz w:val="20"/>
              </w:rPr>
            </w:pPr>
            <w:r>
              <w:rPr>
                <w:sz w:val="20"/>
              </w:rPr>
              <w:t>2.906</w:t>
            </w:r>
          </w:p>
        </w:tc>
        <w:tc>
          <w:tcPr>
            <w:tcW w:w="1025" w:type="dxa"/>
            <w:tcBorders>
              <w:top w:val="nil"/>
              <w:left w:val="nil"/>
              <w:bottom w:val="nil"/>
              <w:right w:val="nil"/>
            </w:tcBorders>
          </w:tcPr>
          <w:p>
            <w:pPr>
              <w:pStyle w:val="TableParagraph"/>
              <w:ind w:right="65"/>
              <w:rPr>
                <w:sz w:val="20"/>
              </w:rPr>
            </w:pPr>
            <w:r>
              <w:rPr>
                <w:sz w:val="20"/>
              </w:rPr>
              <w:t>5.063</w:t>
            </w:r>
          </w:p>
        </w:tc>
        <w:tc>
          <w:tcPr>
            <w:tcW w:w="984" w:type="dxa"/>
            <w:tcBorders>
              <w:top w:val="nil"/>
              <w:left w:val="nil"/>
              <w:bottom w:val="nil"/>
              <w:right w:val="nil"/>
            </w:tcBorders>
          </w:tcPr>
          <w:p>
            <w:pPr>
              <w:pStyle w:val="TableParagraph"/>
              <w:ind w:right="70"/>
              <w:rPr>
                <w:sz w:val="20"/>
              </w:rPr>
            </w:pPr>
            <w:r>
              <w:rPr>
                <w:sz w:val="20"/>
              </w:rPr>
              <w:t>6.595</w:t>
            </w:r>
          </w:p>
        </w:tc>
        <w:tc>
          <w:tcPr>
            <w:tcW w:w="999" w:type="dxa"/>
            <w:tcBorders>
              <w:top w:val="nil"/>
              <w:left w:val="nil"/>
              <w:bottom w:val="nil"/>
              <w:right w:val="nil"/>
            </w:tcBorders>
          </w:tcPr>
          <w:p>
            <w:pPr>
              <w:pStyle w:val="TableParagraph"/>
              <w:ind w:right="70"/>
              <w:rPr>
                <w:sz w:val="20"/>
              </w:rPr>
            </w:pPr>
            <w:r>
              <w:rPr>
                <w:sz w:val="20"/>
              </w:rPr>
              <w:t>7.684</w:t>
            </w:r>
          </w:p>
        </w:tc>
        <w:tc>
          <w:tcPr>
            <w:tcW w:w="1003" w:type="dxa"/>
            <w:tcBorders>
              <w:top w:val="nil"/>
              <w:left w:val="nil"/>
              <w:bottom w:val="nil"/>
              <w:right w:val="nil"/>
            </w:tcBorders>
          </w:tcPr>
          <w:p>
            <w:pPr>
              <w:pStyle w:val="TableParagraph"/>
              <w:ind w:right="75"/>
              <w:rPr>
                <w:sz w:val="20"/>
              </w:rPr>
            </w:pPr>
            <w:r>
              <w:rPr>
                <w:sz w:val="20"/>
              </w:rPr>
              <w:t>8.661</w:t>
            </w:r>
          </w:p>
        </w:tc>
        <w:tc>
          <w:tcPr>
            <w:tcW w:w="1011" w:type="dxa"/>
            <w:tcBorders>
              <w:top w:val="nil"/>
              <w:left w:val="nil"/>
              <w:bottom w:val="nil"/>
              <w:right w:val="nil"/>
            </w:tcBorders>
          </w:tcPr>
          <w:p>
            <w:pPr>
              <w:pStyle w:val="TableParagraph"/>
              <w:ind w:right="67"/>
              <w:rPr>
                <w:sz w:val="20"/>
              </w:rPr>
            </w:pPr>
            <w:r>
              <w:rPr>
                <w:sz w:val="20"/>
              </w:rPr>
              <w:t>8.445</w:t>
            </w:r>
          </w:p>
        </w:tc>
        <w:tc>
          <w:tcPr>
            <w:tcW w:w="977" w:type="dxa"/>
            <w:tcBorders>
              <w:top w:val="nil"/>
              <w:left w:val="nil"/>
              <w:bottom w:val="nil"/>
              <w:right w:val="nil"/>
            </w:tcBorders>
          </w:tcPr>
          <w:p>
            <w:pPr>
              <w:pStyle w:val="TableParagraph"/>
              <w:ind w:right="65"/>
              <w:rPr>
                <w:sz w:val="20"/>
              </w:rPr>
            </w:pPr>
            <w:r>
              <w:rPr>
                <w:sz w:val="20"/>
              </w:rPr>
              <w:t>8.408</w:t>
            </w:r>
          </w:p>
        </w:tc>
        <w:tc>
          <w:tcPr>
            <w:tcW w:w="980" w:type="dxa"/>
            <w:tcBorders>
              <w:top w:val="nil"/>
              <w:left w:val="nil"/>
              <w:bottom w:val="nil"/>
              <w:right w:val="nil"/>
            </w:tcBorders>
          </w:tcPr>
          <w:p>
            <w:pPr>
              <w:pStyle w:val="TableParagraph"/>
              <w:ind w:right="65"/>
              <w:rPr>
                <w:sz w:val="20"/>
              </w:rPr>
            </w:pPr>
            <w:r>
              <w:rPr>
                <w:sz w:val="20"/>
              </w:rPr>
              <w:t>8.137</w:t>
            </w:r>
          </w:p>
        </w:tc>
        <w:tc>
          <w:tcPr>
            <w:tcW w:w="1076" w:type="dxa"/>
            <w:tcBorders>
              <w:top w:val="nil"/>
              <w:left w:val="nil"/>
              <w:bottom w:val="nil"/>
              <w:right w:val="nil"/>
            </w:tcBorders>
          </w:tcPr>
          <w:p>
            <w:pPr>
              <w:pStyle w:val="TableParagraph"/>
              <w:ind w:right="65"/>
              <w:rPr>
                <w:sz w:val="20"/>
              </w:rPr>
            </w:pPr>
            <w:r>
              <w:rPr>
                <w:sz w:val="20"/>
              </w:rPr>
              <w:t>6.447</w:t>
            </w:r>
          </w:p>
        </w:tc>
        <w:tc>
          <w:tcPr>
            <w:tcW w:w="1073" w:type="dxa"/>
            <w:tcBorders>
              <w:top w:val="nil"/>
              <w:left w:val="nil"/>
              <w:bottom w:val="nil"/>
              <w:right w:val="nil"/>
            </w:tcBorders>
          </w:tcPr>
          <w:p>
            <w:pPr>
              <w:pStyle w:val="TableParagraph"/>
              <w:ind w:right="63"/>
              <w:rPr>
                <w:sz w:val="20"/>
              </w:rPr>
            </w:pPr>
            <w:r>
              <w:rPr>
                <w:sz w:val="20"/>
              </w:rPr>
              <w:t>4.047</w:t>
            </w:r>
          </w:p>
        </w:tc>
        <w:tc>
          <w:tcPr>
            <w:tcW w:w="1068" w:type="dxa"/>
            <w:tcBorders>
              <w:top w:val="nil"/>
              <w:left w:val="nil"/>
              <w:bottom w:val="nil"/>
              <w:right w:val="nil"/>
            </w:tcBorders>
          </w:tcPr>
          <w:p>
            <w:pPr>
              <w:pStyle w:val="TableParagraph"/>
              <w:ind w:right="60"/>
              <w:rPr>
                <w:sz w:val="20"/>
              </w:rPr>
            </w:pPr>
            <w:r>
              <w:rPr>
                <w:sz w:val="20"/>
              </w:rPr>
              <w:t>2.818</w:t>
            </w:r>
          </w:p>
        </w:tc>
      </w:tr>
      <w:tr>
        <w:trPr>
          <w:trHeight w:val="300" w:hRule="exact"/>
        </w:trPr>
        <w:tc>
          <w:tcPr>
            <w:tcW w:w="1146" w:type="dxa"/>
            <w:tcBorders>
              <w:top w:val="nil"/>
              <w:left w:val="nil"/>
              <w:bottom w:val="nil"/>
              <w:right w:val="nil"/>
            </w:tcBorders>
          </w:tcPr>
          <w:p>
            <w:pPr>
              <w:pStyle w:val="TableParagraph"/>
              <w:spacing w:before="26"/>
              <w:ind w:left="86"/>
              <w:jc w:val="left"/>
              <w:rPr>
                <w:sz w:val="20"/>
              </w:rPr>
            </w:pPr>
            <w:r>
              <w:rPr>
                <w:sz w:val="20"/>
              </w:rPr>
              <w:t>13</w:t>
            </w:r>
          </w:p>
        </w:tc>
        <w:tc>
          <w:tcPr>
            <w:tcW w:w="1056" w:type="dxa"/>
            <w:tcBorders>
              <w:top w:val="nil"/>
              <w:left w:val="nil"/>
              <w:bottom w:val="nil"/>
              <w:right w:val="nil"/>
            </w:tcBorders>
          </w:tcPr>
          <w:p>
            <w:pPr>
              <w:pStyle w:val="TableParagraph"/>
              <w:spacing w:before="26"/>
              <w:ind w:left="73"/>
              <w:jc w:val="left"/>
              <w:rPr>
                <w:sz w:val="20"/>
              </w:rPr>
            </w:pPr>
            <w:r>
              <w:rPr>
                <w:sz w:val="20"/>
              </w:rPr>
              <w:t>15001</w:t>
            </w:r>
          </w:p>
        </w:tc>
        <w:tc>
          <w:tcPr>
            <w:tcW w:w="1032" w:type="dxa"/>
            <w:tcBorders>
              <w:top w:val="nil"/>
              <w:left w:val="nil"/>
              <w:bottom w:val="nil"/>
              <w:right w:val="nil"/>
            </w:tcBorders>
          </w:tcPr>
          <w:p>
            <w:pPr>
              <w:pStyle w:val="TableParagraph"/>
              <w:spacing w:before="26"/>
              <w:ind w:right="87"/>
              <w:rPr>
                <w:sz w:val="20"/>
              </w:rPr>
            </w:pPr>
            <w:r>
              <w:rPr>
                <w:sz w:val="20"/>
              </w:rPr>
              <w:t>2.092</w:t>
            </w:r>
          </w:p>
        </w:tc>
        <w:tc>
          <w:tcPr>
            <w:tcW w:w="1056" w:type="dxa"/>
            <w:tcBorders>
              <w:top w:val="nil"/>
              <w:left w:val="nil"/>
              <w:bottom w:val="nil"/>
              <w:right w:val="nil"/>
            </w:tcBorders>
          </w:tcPr>
          <w:p>
            <w:pPr>
              <w:pStyle w:val="TableParagraph"/>
              <w:spacing w:before="26"/>
              <w:ind w:right="82"/>
              <w:rPr>
                <w:sz w:val="20"/>
              </w:rPr>
            </w:pPr>
            <w:r>
              <w:rPr>
                <w:sz w:val="20"/>
              </w:rPr>
              <w:t>2.906</w:t>
            </w:r>
          </w:p>
        </w:tc>
        <w:tc>
          <w:tcPr>
            <w:tcW w:w="1025" w:type="dxa"/>
            <w:tcBorders>
              <w:top w:val="nil"/>
              <w:left w:val="nil"/>
              <w:bottom w:val="nil"/>
              <w:right w:val="nil"/>
            </w:tcBorders>
          </w:tcPr>
          <w:p>
            <w:pPr>
              <w:pStyle w:val="TableParagraph"/>
              <w:spacing w:before="26"/>
              <w:ind w:right="65"/>
              <w:rPr>
                <w:sz w:val="20"/>
              </w:rPr>
            </w:pPr>
            <w:r>
              <w:rPr>
                <w:sz w:val="20"/>
              </w:rPr>
              <w:t>5.063</w:t>
            </w:r>
          </w:p>
        </w:tc>
        <w:tc>
          <w:tcPr>
            <w:tcW w:w="984" w:type="dxa"/>
            <w:tcBorders>
              <w:top w:val="nil"/>
              <w:left w:val="nil"/>
              <w:bottom w:val="nil"/>
              <w:right w:val="nil"/>
            </w:tcBorders>
          </w:tcPr>
          <w:p>
            <w:pPr>
              <w:pStyle w:val="TableParagraph"/>
              <w:spacing w:before="26"/>
              <w:ind w:right="70"/>
              <w:rPr>
                <w:sz w:val="20"/>
              </w:rPr>
            </w:pPr>
            <w:r>
              <w:rPr>
                <w:sz w:val="20"/>
              </w:rPr>
              <w:t>6.595</w:t>
            </w:r>
          </w:p>
        </w:tc>
        <w:tc>
          <w:tcPr>
            <w:tcW w:w="999" w:type="dxa"/>
            <w:tcBorders>
              <w:top w:val="nil"/>
              <w:left w:val="nil"/>
              <w:bottom w:val="nil"/>
              <w:right w:val="nil"/>
            </w:tcBorders>
          </w:tcPr>
          <w:p>
            <w:pPr>
              <w:pStyle w:val="TableParagraph"/>
              <w:spacing w:before="26"/>
              <w:ind w:right="70"/>
              <w:rPr>
                <w:sz w:val="20"/>
              </w:rPr>
            </w:pPr>
            <w:r>
              <w:rPr>
                <w:sz w:val="20"/>
              </w:rPr>
              <w:t>7.684</w:t>
            </w:r>
          </w:p>
        </w:tc>
        <w:tc>
          <w:tcPr>
            <w:tcW w:w="1003" w:type="dxa"/>
            <w:tcBorders>
              <w:top w:val="nil"/>
              <w:left w:val="nil"/>
              <w:bottom w:val="nil"/>
              <w:right w:val="nil"/>
            </w:tcBorders>
          </w:tcPr>
          <w:p>
            <w:pPr>
              <w:pStyle w:val="TableParagraph"/>
              <w:spacing w:before="26"/>
              <w:ind w:right="75"/>
              <w:rPr>
                <w:sz w:val="20"/>
              </w:rPr>
            </w:pPr>
            <w:r>
              <w:rPr>
                <w:sz w:val="20"/>
              </w:rPr>
              <w:t>8.661</w:t>
            </w:r>
          </w:p>
        </w:tc>
        <w:tc>
          <w:tcPr>
            <w:tcW w:w="1011" w:type="dxa"/>
            <w:tcBorders>
              <w:top w:val="nil"/>
              <w:left w:val="nil"/>
              <w:bottom w:val="nil"/>
              <w:right w:val="nil"/>
            </w:tcBorders>
          </w:tcPr>
          <w:p>
            <w:pPr>
              <w:pStyle w:val="TableParagraph"/>
              <w:spacing w:before="26"/>
              <w:ind w:right="67"/>
              <w:rPr>
                <w:sz w:val="20"/>
              </w:rPr>
            </w:pPr>
            <w:r>
              <w:rPr>
                <w:sz w:val="20"/>
              </w:rPr>
              <w:t>8.445</w:t>
            </w:r>
          </w:p>
        </w:tc>
        <w:tc>
          <w:tcPr>
            <w:tcW w:w="977" w:type="dxa"/>
            <w:tcBorders>
              <w:top w:val="nil"/>
              <w:left w:val="nil"/>
              <w:bottom w:val="nil"/>
              <w:right w:val="nil"/>
            </w:tcBorders>
          </w:tcPr>
          <w:p>
            <w:pPr>
              <w:pStyle w:val="TableParagraph"/>
              <w:spacing w:before="26"/>
              <w:ind w:right="65"/>
              <w:rPr>
                <w:sz w:val="20"/>
              </w:rPr>
            </w:pPr>
            <w:r>
              <w:rPr>
                <w:sz w:val="20"/>
              </w:rPr>
              <w:t>8.408</w:t>
            </w:r>
          </w:p>
        </w:tc>
        <w:tc>
          <w:tcPr>
            <w:tcW w:w="980" w:type="dxa"/>
            <w:tcBorders>
              <w:top w:val="nil"/>
              <w:left w:val="nil"/>
              <w:bottom w:val="nil"/>
              <w:right w:val="nil"/>
            </w:tcBorders>
          </w:tcPr>
          <w:p>
            <w:pPr>
              <w:pStyle w:val="TableParagraph"/>
              <w:spacing w:before="26"/>
              <w:ind w:right="65"/>
              <w:rPr>
                <w:sz w:val="20"/>
              </w:rPr>
            </w:pPr>
            <w:r>
              <w:rPr>
                <w:sz w:val="20"/>
              </w:rPr>
              <w:t>8.137</w:t>
            </w:r>
          </w:p>
        </w:tc>
        <w:tc>
          <w:tcPr>
            <w:tcW w:w="1076" w:type="dxa"/>
            <w:tcBorders>
              <w:top w:val="nil"/>
              <w:left w:val="nil"/>
              <w:bottom w:val="nil"/>
              <w:right w:val="nil"/>
            </w:tcBorders>
          </w:tcPr>
          <w:p>
            <w:pPr>
              <w:pStyle w:val="TableParagraph"/>
              <w:spacing w:before="26"/>
              <w:ind w:right="65"/>
              <w:rPr>
                <w:sz w:val="20"/>
              </w:rPr>
            </w:pPr>
            <w:r>
              <w:rPr>
                <w:sz w:val="20"/>
              </w:rPr>
              <w:t>6.447</w:t>
            </w:r>
          </w:p>
        </w:tc>
        <w:tc>
          <w:tcPr>
            <w:tcW w:w="1073" w:type="dxa"/>
            <w:tcBorders>
              <w:top w:val="nil"/>
              <w:left w:val="nil"/>
              <w:bottom w:val="nil"/>
              <w:right w:val="nil"/>
            </w:tcBorders>
          </w:tcPr>
          <w:p>
            <w:pPr>
              <w:pStyle w:val="TableParagraph"/>
              <w:spacing w:before="26"/>
              <w:ind w:right="63"/>
              <w:rPr>
                <w:sz w:val="20"/>
              </w:rPr>
            </w:pPr>
            <w:r>
              <w:rPr>
                <w:sz w:val="20"/>
              </w:rPr>
              <w:t>4.047</w:t>
            </w:r>
          </w:p>
        </w:tc>
        <w:tc>
          <w:tcPr>
            <w:tcW w:w="1068" w:type="dxa"/>
            <w:tcBorders>
              <w:top w:val="nil"/>
              <w:left w:val="nil"/>
              <w:bottom w:val="nil"/>
              <w:right w:val="nil"/>
            </w:tcBorders>
          </w:tcPr>
          <w:p>
            <w:pPr>
              <w:pStyle w:val="TableParagraph"/>
              <w:spacing w:before="26"/>
              <w:ind w:right="60"/>
              <w:rPr>
                <w:sz w:val="20"/>
              </w:rPr>
            </w:pPr>
            <w:r>
              <w:rPr>
                <w:sz w:val="20"/>
              </w:rPr>
              <w:t>2.818</w:t>
            </w:r>
          </w:p>
        </w:tc>
      </w:tr>
      <w:tr>
        <w:trPr>
          <w:trHeight w:val="300" w:hRule="exact"/>
        </w:trPr>
        <w:tc>
          <w:tcPr>
            <w:tcW w:w="1146" w:type="dxa"/>
            <w:tcBorders>
              <w:top w:val="nil"/>
              <w:left w:val="nil"/>
              <w:bottom w:val="nil"/>
              <w:right w:val="nil"/>
            </w:tcBorders>
          </w:tcPr>
          <w:p>
            <w:pPr>
              <w:pStyle w:val="TableParagraph"/>
              <w:ind w:left="86"/>
              <w:jc w:val="left"/>
              <w:rPr>
                <w:sz w:val="20"/>
              </w:rPr>
            </w:pPr>
            <w:r>
              <w:rPr>
                <w:sz w:val="20"/>
              </w:rPr>
              <w:t>14</w:t>
            </w:r>
          </w:p>
        </w:tc>
        <w:tc>
          <w:tcPr>
            <w:tcW w:w="1056" w:type="dxa"/>
            <w:tcBorders>
              <w:top w:val="nil"/>
              <w:left w:val="nil"/>
              <w:bottom w:val="nil"/>
              <w:right w:val="nil"/>
            </w:tcBorders>
          </w:tcPr>
          <w:p>
            <w:pPr>
              <w:pStyle w:val="TableParagraph"/>
              <w:ind w:left="73"/>
              <w:jc w:val="left"/>
              <w:rPr>
                <w:sz w:val="20"/>
              </w:rPr>
            </w:pPr>
            <w:r>
              <w:rPr>
                <w:sz w:val="20"/>
              </w:rPr>
              <w:t>15001</w:t>
            </w:r>
          </w:p>
        </w:tc>
        <w:tc>
          <w:tcPr>
            <w:tcW w:w="1032" w:type="dxa"/>
            <w:tcBorders>
              <w:top w:val="nil"/>
              <w:left w:val="nil"/>
              <w:bottom w:val="nil"/>
              <w:right w:val="nil"/>
            </w:tcBorders>
          </w:tcPr>
          <w:p>
            <w:pPr>
              <w:pStyle w:val="TableParagraph"/>
              <w:ind w:right="87"/>
              <w:rPr>
                <w:sz w:val="20"/>
              </w:rPr>
            </w:pPr>
            <w:r>
              <w:rPr>
                <w:sz w:val="20"/>
              </w:rPr>
              <w:t>2.092</w:t>
            </w:r>
          </w:p>
        </w:tc>
        <w:tc>
          <w:tcPr>
            <w:tcW w:w="1056" w:type="dxa"/>
            <w:tcBorders>
              <w:top w:val="nil"/>
              <w:left w:val="nil"/>
              <w:bottom w:val="nil"/>
              <w:right w:val="nil"/>
            </w:tcBorders>
          </w:tcPr>
          <w:p>
            <w:pPr>
              <w:pStyle w:val="TableParagraph"/>
              <w:ind w:right="82"/>
              <w:rPr>
                <w:sz w:val="20"/>
              </w:rPr>
            </w:pPr>
            <w:r>
              <w:rPr>
                <w:sz w:val="20"/>
              </w:rPr>
              <w:t>2.906</w:t>
            </w:r>
          </w:p>
        </w:tc>
        <w:tc>
          <w:tcPr>
            <w:tcW w:w="1025" w:type="dxa"/>
            <w:tcBorders>
              <w:top w:val="nil"/>
              <w:left w:val="nil"/>
              <w:bottom w:val="nil"/>
              <w:right w:val="nil"/>
            </w:tcBorders>
          </w:tcPr>
          <w:p>
            <w:pPr>
              <w:pStyle w:val="TableParagraph"/>
              <w:ind w:right="65"/>
              <w:rPr>
                <w:sz w:val="20"/>
              </w:rPr>
            </w:pPr>
            <w:r>
              <w:rPr>
                <w:sz w:val="20"/>
              </w:rPr>
              <w:t>5.063</w:t>
            </w:r>
          </w:p>
        </w:tc>
        <w:tc>
          <w:tcPr>
            <w:tcW w:w="984" w:type="dxa"/>
            <w:tcBorders>
              <w:top w:val="nil"/>
              <w:left w:val="nil"/>
              <w:bottom w:val="nil"/>
              <w:right w:val="nil"/>
            </w:tcBorders>
          </w:tcPr>
          <w:p>
            <w:pPr>
              <w:pStyle w:val="TableParagraph"/>
              <w:ind w:right="70"/>
              <w:rPr>
                <w:sz w:val="20"/>
              </w:rPr>
            </w:pPr>
            <w:r>
              <w:rPr>
                <w:sz w:val="20"/>
              </w:rPr>
              <w:t>6.595</w:t>
            </w:r>
          </w:p>
        </w:tc>
        <w:tc>
          <w:tcPr>
            <w:tcW w:w="999" w:type="dxa"/>
            <w:tcBorders>
              <w:top w:val="nil"/>
              <w:left w:val="nil"/>
              <w:bottom w:val="nil"/>
              <w:right w:val="nil"/>
            </w:tcBorders>
          </w:tcPr>
          <w:p>
            <w:pPr>
              <w:pStyle w:val="TableParagraph"/>
              <w:ind w:right="70"/>
              <w:rPr>
                <w:sz w:val="20"/>
              </w:rPr>
            </w:pPr>
            <w:r>
              <w:rPr>
                <w:sz w:val="20"/>
              </w:rPr>
              <w:t>7.684</w:t>
            </w:r>
          </w:p>
        </w:tc>
        <w:tc>
          <w:tcPr>
            <w:tcW w:w="1003" w:type="dxa"/>
            <w:tcBorders>
              <w:top w:val="nil"/>
              <w:left w:val="nil"/>
              <w:bottom w:val="nil"/>
              <w:right w:val="nil"/>
            </w:tcBorders>
          </w:tcPr>
          <w:p>
            <w:pPr>
              <w:pStyle w:val="TableParagraph"/>
              <w:ind w:right="75"/>
              <w:rPr>
                <w:sz w:val="20"/>
              </w:rPr>
            </w:pPr>
            <w:r>
              <w:rPr>
                <w:sz w:val="20"/>
              </w:rPr>
              <w:t>8.661</w:t>
            </w:r>
          </w:p>
        </w:tc>
        <w:tc>
          <w:tcPr>
            <w:tcW w:w="1011" w:type="dxa"/>
            <w:tcBorders>
              <w:top w:val="nil"/>
              <w:left w:val="nil"/>
              <w:bottom w:val="nil"/>
              <w:right w:val="nil"/>
            </w:tcBorders>
          </w:tcPr>
          <w:p>
            <w:pPr>
              <w:pStyle w:val="TableParagraph"/>
              <w:ind w:right="67"/>
              <w:rPr>
                <w:sz w:val="20"/>
              </w:rPr>
            </w:pPr>
            <w:r>
              <w:rPr>
                <w:sz w:val="20"/>
              </w:rPr>
              <w:t>8.445</w:t>
            </w:r>
          </w:p>
        </w:tc>
        <w:tc>
          <w:tcPr>
            <w:tcW w:w="977" w:type="dxa"/>
            <w:tcBorders>
              <w:top w:val="nil"/>
              <w:left w:val="nil"/>
              <w:bottom w:val="nil"/>
              <w:right w:val="nil"/>
            </w:tcBorders>
          </w:tcPr>
          <w:p>
            <w:pPr>
              <w:pStyle w:val="TableParagraph"/>
              <w:ind w:right="65"/>
              <w:rPr>
                <w:sz w:val="20"/>
              </w:rPr>
            </w:pPr>
            <w:r>
              <w:rPr>
                <w:sz w:val="20"/>
              </w:rPr>
              <w:t>8.408</w:t>
            </w:r>
          </w:p>
        </w:tc>
        <w:tc>
          <w:tcPr>
            <w:tcW w:w="980" w:type="dxa"/>
            <w:tcBorders>
              <w:top w:val="nil"/>
              <w:left w:val="nil"/>
              <w:bottom w:val="nil"/>
              <w:right w:val="nil"/>
            </w:tcBorders>
          </w:tcPr>
          <w:p>
            <w:pPr>
              <w:pStyle w:val="TableParagraph"/>
              <w:ind w:right="65"/>
              <w:rPr>
                <w:sz w:val="20"/>
              </w:rPr>
            </w:pPr>
            <w:r>
              <w:rPr>
                <w:sz w:val="20"/>
              </w:rPr>
              <w:t>8.137</w:t>
            </w:r>
          </w:p>
        </w:tc>
        <w:tc>
          <w:tcPr>
            <w:tcW w:w="1076" w:type="dxa"/>
            <w:tcBorders>
              <w:top w:val="nil"/>
              <w:left w:val="nil"/>
              <w:bottom w:val="nil"/>
              <w:right w:val="nil"/>
            </w:tcBorders>
          </w:tcPr>
          <w:p>
            <w:pPr>
              <w:pStyle w:val="TableParagraph"/>
              <w:ind w:right="65"/>
              <w:rPr>
                <w:sz w:val="20"/>
              </w:rPr>
            </w:pPr>
            <w:r>
              <w:rPr>
                <w:sz w:val="20"/>
              </w:rPr>
              <w:t>6.447</w:t>
            </w:r>
          </w:p>
        </w:tc>
        <w:tc>
          <w:tcPr>
            <w:tcW w:w="1073" w:type="dxa"/>
            <w:tcBorders>
              <w:top w:val="nil"/>
              <w:left w:val="nil"/>
              <w:bottom w:val="nil"/>
              <w:right w:val="nil"/>
            </w:tcBorders>
          </w:tcPr>
          <w:p>
            <w:pPr>
              <w:pStyle w:val="TableParagraph"/>
              <w:ind w:right="63"/>
              <w:rPr>
                <w:sz w:val="20"/>
              </w:rPr>
            </w:pPr>
            <w:r>
              <w:rPr>
                <w:sz w:val="20"/>
              </w:rPr>
              <w:t>4.047</w:t>
            </w:r>
          </w:p>
        </w:tc>
        <w:tc>
          <w:tcPr>
            <w:tcW w:w="1068" w:type="dxa"/>
            <w:tcBorders>
              <w:top w:val="nil"/>
              <w:left w:val="nil"/>
              <w:bottom w:val="nil"/>
              <w:right w:val="nil"/>
            </w:tcBorders>
          </w:tcPr>
          <w:p>
            <w:pPr>
              <w:pStyle w:val="TableParagraph"/>
              <w:ind w:right="60"/>
              <w:rPr>
                <w:sz w:val="20"/>
              </w:rPr>
            </w:pPr>
            <w:r>
              <w:rPr>
                <w:sz w:val="20"/>
              </w:rPr>
              <w:t>2.818</w:t>
            </w:r>
          </w:p>
        </w:tc>
      </w:tr>
      <w:tr>
        <w:trPr>
          <w:trHeight w:val="300" w:hRule="exact"/>
        </w:trPr>
        <w:tc>
          <w:tcPr>
            <w:tcW w:w="1146" w:type="dxa"/>
            <w:tcBorders>
              <w:top w:val="nil"/>
              <w:left w:val="nil"/>
              <w:bottom w:val="nil"/>
              <w:right w:val="nil"/>
            </w:tcBorders>
          </w:tcPr>
          <w:p>
            <w:pPr>
              <w:pStyle w:val="TableParagraph"/>
              <w:spacing w:before="26"/>
              <w:ind w:left="86"/>
              <w:jc w:val="left"/>
              <w:rPr>
                <w:sz w:val="20"/>
              </w:rPr>
            </w:pPr>
            <w:r>
              <w:rPr>
                <w:sz w:val="20"/>
              </w:rPr>
              <w:t>15</w:t>
            </w:r>
          </w:p>
        </w:tc>
        <w:tc>
          <w:tcPr>
            <w:tcW w:w="1056" w:type="dxa"/>
            <w:tcBorders>
              <w:top w:val="nil"/>
              <w:left w:val="nil"/>
              <w:bottom w:val="nil"/>
              <w:right w:val="nil"/>
            </w:tcBorders>
          </w:tcPr>
          <w:p>
            <w:pPr>
              <w:pStyle w:val="TableParagraph"/>
              <w:spacing w:before="26"/>
              <w:ind w:left="73"/>
              <w:jc w:val="left"/>
              <w:rPr>
                <w:sz w:val="20"/>
              </w:rPr>
            </w:pPr>
            <w:r>
              <w:rPr>
                <w:sz w:val="20"/>
              </w:rPr>
              <w:t>15001</w:t>
            </w:r>
          </w:p>
        </w:tc>
        <w:tc>
          <w:tcPr>
            <w:tcW w:w="1032" w:type="dxa"/>
            <w:tcBorders>
              <w:top w:val="nil"/>
              <w:left w:val="nil"/>
              <w:bottom w:val="nil"/>
              <w:right w:val="nil"/>
            </w:tcBorders>
          </w:tcPr>
          <w:p>
            <w:pPr>
              <w:pStyle w:val="TableParagraph"/>
              <w:spacing w:before="26"/>
              <w:ind w:right="87"/>
              <w:rPr>
                <w:sz w:val="20"/>
              </w:rPr>
            </w:pPr>
            <w:r>
              <w:rPr>
                <w:sz w:val="20"/>
              </w:rPr>
              <w:t>2.092</w:t>
            </w:r>
          </w:p>
        </w:tc>
        <w:tc>
          <w:tcPr>
            <w:tcW w:w="1056" w:type="dxa"/>
            <w:tcBorders>
              <w:top w:val="nil"/>
              <w:left w:val="nil"/>
              <w:bottom w:val="nil"/>
              <w:right w:val="nil"/>
            </w:tcBorders>
          </w:tcPr>
          <w:p>
            <w:pPr>
              <w:pStyle w:val="TableParagraph"/>
              <w:spacing w:before="26"/>
              <w:ind w:right="82"/>
              <w:rPr>
                <w:sz w:val="20"/>
              </w:rPr>
            </w:pPr>
            <w:r>
              <w:rPr>
                <w:sz w:val="20"/>
              </w:rPr>
              <w:t>2.906</w:t>
            </w:r>
          </w:p>
        </w:tc>
        <w:tc>
          <w:tcPr>
            <w:tcW w:w="1025" w:type="dxa"/>
            <w:tcBorders>
              <w:top w:val="nil"/>
              <w:left w:val="nil"/>
              <w:bottom w:val="nil"/>
              <w:right w:val="nil"/>
            </w:tcBorders>
          </w:tcPr>
          <w:p>
            <w:pPr>
              <w:pStyle w:val="TableParagraph"/>
              <w:spacing w:before="26"/>
              <w:ind w:right="65"/>
              <w:rPr>
                <w:sz w:val="20"/>
              </w:rPr>
            </w:pPr>
            <w:r>
              <w:rPr>
                <w:sz w:val="20"/>
              </w:rPr>
              <w:t>5.063</w:t>
            </w:r>
          </w:p>
        </w:tc>
        <w:tc>
          <w:tcPr>
            <w:tcW w:w="984" w:type="dxa"/>
            <w:tcBorders>
              <w:top w:val="nil"/>
              <w:left w:val="nil"/>
              <w:bottom w:val="nil"/>
              <w:right w:val="nil"/>
            </w:tcBorders>
          </w:tcPr>
          <w:p>
            <w:pPr>
              <w:pStyle w:val="TableParagraph"/>
              <w:spacing w:before="26"/>
              <w:ind w:right="70"/>
              <w:rPr>
                <w:sz w:val="20"/>
              </w:rPr>
            </w:pPr>
            <w:r>
              <w:rPr>
                <w:sz w:val="20"/>
              </w:rPr>
              <w:t>6.595</w:t>
            </w:r>
          </w:p>
        </w:tc>
        <w:tc>
          <w:tcPr>
            <w:tcW w:w="999" w:type="dxa"/>
            <w:tcBorders>
              <w:top w:val="nil"/>
              <w:left w:val="nil"/>
              <w:bottom w:val="nil"/>
              <w:right w:val="nil"/>
            </w:tcBorders>
          </w:tcPr>
          <w:p>
            <w:pPr>
              <w:pStyle w:val="TableParagraph"/>
              <w:spacing w:before="26"/>
              <w:ind w:right="70"/>
              <w:rPr>
                <w:sz w:val="20"/>
              </w:rPr>
            </w:pPr>
            <w:r>
              <w:rPr>
                <w:sz w:val="20"/>
              </w:rPr>
              <w:t>7.684</w:t>
            </w:r>
          </w:p>
        </w:tc>
        <w:tc>
          <w:tcPr>
            <w:tcW w:w="1003" w:type="dxa"/>
            <w:tcBorders>
              <w:top w:val="nil"/>
              <w:left w:val="nil"/>
              <w:bottom w:val="nil"/>
              <w:right w:val="nil"/>
            </w:tcBorders>
          </w:tcPr>
          <w:p>
            <w:pPr>
              <w:pStyle w:val="TableParagraph"/>
              <w:spacing w:before="26"/>
              <w:ind w:right="75"/>
              <w:rPr>
                <w:sz w:val="20"/>
              </w:rPr>
            </w:pPr>
            <w:r>
              <w:rPr>
                <w:sz w:val="20"/>
              </w:rPr>
              <w:t>8.661</w:t>
            </w:r>
          </w:p>
        </w:tc>
        <w:tc>
          <w:tcPr>
            <w:tcW w:w="1011" w:type="dxa"/>
            <w:tcBorders>
              <w:top w:val="nil"/>
              <w:left w:val="nil"/>
              <w:bottom w:val="nil"/>
              <w:right w:val="nil"/>
            </w:tcBorders>
          </w:tcPr>
          <w:p>
            <w:pPr>
              <w:pStyle w:val="TableParagraph"/>
              <w:spacing w:before="26"/>
              <w:ind w:right="67"/>
              <w:rPr>
                <w:sz w:val="20"/>
              </w:rPr>
            </w:pPr>
            <w:r>
              <w:rPr>
                <w:sz w:val="20"/>
              </w:rPr>
              <w:t>8.445</w:t>
            </w:r>
          </w:p>
        </w:tc>
        <w:tc>
          <w:tcPr>
            <w:tcW w:w="977" w:type="dxa"/>
            <w:tcBorders>
              <w:top w:val="nil"/>
              <w:left w:val="nil"/>
              <w:bottom w:val="nil"/>
              <w:right w:val="nil"/>
            </w:tcBorders>
          </w:tcPr>
          <w:p>
            <w:pPr>
              <w:pStyle w:val="TableParagraph"/>
              <w:spacing w:before="26"/>
              <w:ind w:right="65"/>
              <w:rPr>
                <w:sz w:val="20"/>
              </w:rPr>
            </w:pPr>
            <w:r>
              <w:rPr>
                <w:sz w:val="20"/>
              </w:rPr>
              <w:t>8.408</w:t>
            </w:r>
          </w:p>
        </w:tc>
        <w:tc>
          <w:tcPr>
            <w:tcW w:w="980" w:type="dxa"/>
            <w:tcBorders>
              <w:top w:val="nil"/>
              <w:left w:val="nil"/>
              <w:bottom w:val="nil"/>
              <w:right w:val="nil"/>
            </w:tcBorders>
          </w:tcPr>
          <w:p>
            <w:pPr>
              <w:pStyle w:val="TableParagraph"/>
              <w:spacing w:before="26"/>
              <w:ind w:right="65"/>
              <w:rPr>
                <w:sz w:val="20"/>
              </w:rPr>
            </w:pPr>
            <w:r>
              <w:rPr>
                <w:sz w:val="20"/>
              </w:rPr>
              <w:t>8.137</w:t>
            </w:r>
          </w:p>
        </w:tc>
        <w:tc>
          <w:tcPr>
            <w:tcW w:w="1076" w:type="dxa"/>
            <w:tcBorders>
              <w:top w:val="nil"/>
              <w:left w:val="nil"/>
              <w:bottom w:val="nil"/>
              <w:right w:val="nil"/>
            </w:tcBorders>
          </w:tcPr>
          <w:p>
            <w:pPr>
              <w:pStyle w:val="TableParagraph"/>
              <w:spacing w:before="26"/>
              <w:ind w:right="65"/>
              <w:rPr>
                <w:sz w:val="20"/>
              </w:rPr>
            </w:pPr>
            <w:r>
              <w:rPr>
                <w:sz w:val="20"/>
              </w:rPr>
              <w:t>6.447</w:t>
            </w:r>
          </w:p>
        </w:tc>
        <w:tc>
          <w:tcPr>
            <w:tcW w:w="1073" w:type="dxa"/>
            <w:tcBorders>
              <w:top w:val="nil"/>
              <w:left w:val="nil"/>
              <w:bottom w:val="nil"/>
              <w:right w:val="nil"/>
            </w:tcBorders>
          </w:tcPr>
          <w:p>
            <w:pPr>
              <w:pStyle w:val="TableParagraph"/>
              <w:spacing w:before="26"/>
              <w:ind w:right="63"/>
              <w:rPr>
                <w:sz w:val="20"/>
              </w:rPr>
            </w:pPr>
            <w:r>
              <w:rPr>
                <w:sz w:val="20"/>
              </w:rPr>
              <w:t>4.047</w:t>
            </w:r>
          </w:p>
        </w:tc>
        <w:tc>
          <w:tcPr>
            <w:tcW w:w="1068" w:type="dxa"/>
            <w:tcBorders>
              <w:top w:val="nil"/>
              <w:left w:val="nil"/>
              <w:bottom w:val="nil"/>
              <w:right w:val="nil"/>
            </w:tcBorders>
          </w:tcPr>
          <w:p>
            <w:pPr>
              <w:pStyle w:val="TableParagraph"/>
              <w:spacing w:before="26"/>
              <w:ind w:right="60"/>
              <w:rPr>
                <w:sz w:val="20"/>
              </w:rPr>
            </w:pPr>
            <w:r>
              <w:rPr>
                <w:sz w:val="20"/>
              </w:rPr>
              <w:t>2.818</w:t>
            </w:r>
          </w:p>
        </w:tc>
      </w:tr>
      <w:tr>
        <w:trPr>
          <w:trHeight w:val="268" w:hRule="exact"/>
        </w:trPr>
        <w:tc>
          <w:tcPr>
            <w:tcW w:w="1146" w:type="dxa"/>
            <w:tcBorders>
              <w:top w:val="nil"/>
              <w:left w:val="nil"/>
              <w:right w:val="nil"/>
            </w:tcBorders>
          </w:tcPr>
          <w:p>
            <w:pPr>
              <w:pStyle w:val="TableParagraph"/>
              <w:ind w:left="86"/>
              <w:jc w:val="left"/>
              <w:rPr>
                <w:sz w:val="20"/>
              </w:rPr>
            </w:pPr>
            <w:r>
              <w:rPr>
                <w:sz w:val="20"/>
              </w:rPr>
              <w:t>16</w:t>
            </w:r>
          </w:p>
        </w:tc>
        <w:tc>
          <w:tcPr>
            <w:tcW w:w="1056" w:type="dxa"/>
            <w:tcBorders>
              <w:top w:val="nil"/>
              <w:left w:val="nil"/>
              <w:right w:val="nil"/>
            </w:tcBorders>
          </w:tcPr>
          <w:p>
            <w:pPr>
              <w:pStyle w:val="TableParagraph"/>
              <w:ind w:left="73"/>
              <w:jc w:val="left"/>
              <w:rPr>
                <w:sz w:val="20"/>
              </w:rPr>
            </w:pPr>
            <w:r>
              <w:rPr>
                <w:sz w:val="20"/>
              </w:rPr>
              <w:t>15001</w:t>
            </w:r>
          </w:p>
        </w:tc>
        <w:tc>
          <w:tcPr>
            <w:tcW w:w="1032" w:type="dxa"/>
            <w:tcBorders>
              <w:top w:val="nil"/>
              <w:left w:val="nil"/>
              <w:right w:val="nil"/>
            </w:tcBorders>
          </w:tcPr>
          <w:p>
            <w:pPr>
              <w:pStyle w:val="TableParagraph"/>
              <w:ind w:right="87"/>
              <w:rPr>
                <w:sz w:val="20"/>
              </w:rPr>
            </w:pPr>
            <w:r>
              <w:rPr>
                <w:sz w:val="20"/>
              </w:rPr>
              <w:t>2.092</w:t>
            </w:r>
          </w:p>
        </w:tc>
        <w:tc>
          <w:tcPr>
            <w:tcW w:w="1056" w:type="dxa"/>
            <w:tcBorders>
              <w:top w:val="nil"/>
              <w:left w:val="nil"/>
              <w:right w:val="nil"/>
            </w:tcBorders>
          </w:tcPr>
          <w:p>
            <w:pPr>
              <w:pStyle w:val="TableParagraph"/>
              <w:ind w:right="82"/>
              <w:rPr>
                <w:sz w:val="20"/>
              </w:rPr>
            </w:pPr>
            <w:r>
              <w:rPr>
                <w:sz w:val="20"/>
              </w:rPr>
              <w:t>2.906</w:t>
            </w:r>
          </w:p>
        </w:tc>
        <w:tc>
          <w:tcPr>
            <w:tcW w:w="1025" w:type="dxa"/>
            <w:tcBorders>
              <w:top w:val="nil"/>
              <w:left w:val="nil"/>
              <w:right w:val="nil"/>
            </w:tcBorders>
          </w:tcPr>
          <w:p>
            <w:pPr>
              <w:pStyle w:val="TableParagraph"/>
              <w:ind w:right="65"/>
              <w:rPr>
                <w:sz w:val="20"/>
              </w:rPr>
            </w:pPr>
            <w:r>
              <w:rPr>
                <w:sz w:val="20"/>
              </w:rPr>
              <w:t>5.063</w:t>
            </w:r>
          </w:p>
        </w:tc>
        <w:tc>
          <w:tcPr>
            <w:tcW w:w="984" w:type="dxa"/>
            <w:tcBorders>
              <w:top w:val="nil"/>
              <w:left w:val="nil"/>
              <w:right w:val="nil"/>
            </w:tcBorders>
          </w:tcPr>
          <w:p>
            <w:pPr>
              <w:pStyle w:val="TableParagraph"/>
              <w:ind w:right="70"/>
              <w:rPr>
                <w:sz w:val="20"/>
              </w:rPr>
            </w:pPr>
            <w:r>
              <w:rPr>
                <w:sz w:val="20"/>
              </w:rPr>
              <w:t>6.595</w:t>
            </w:r>
          </w:p>
        </w:tc>
        <w:tc>
          <w:tcPr>
            <w:tcW w:w="999" w:type="dxa"/>
            <w:tcBorders>
              <w:top w:val="nil"/>
              <w:left w:val="nil"/>
              <w:right w:val="nil"/>
            </w:tcBorders>
          </w:tcPr>
          <w:p>
            <w:pPr>
              <w:pStyle w:val="TableParagraph"/>
              <w:ind w:right="70"/>
              <w:rPr>
                <w:sz w:val="20"/>
              </w:rPr>
            </w:pPr>
            <w:r>
              <w:rPr>
                <w:sz w:val="20"/>
              </w:rPr>
              <w:t>7.684</w:t>
            </w:r>
          </w:p>
        </w:tc>
        <w:tc>
          <w:tcPr>
            <w:tcW w:w="1003" w:type="dxa"/>
            <w:tcBorders>
              <w:top w:val="nil"/>
              <w:left w:val="nil"/>
              <w:right w:val="nil"/>
            </w:tcBorders>
          </w:tcPr>
          <w:p>
            <w:pPr>
              <w:pStyle w:val="TableParagraph"/>
              <w:ind w:right="75"/>
              <w:rPr>
                <w:sz w:val="20"/>
              </w:rPr>
            </w:pPr>
            <w:r>
              <w:rPr>
                <w:sz w:val="20"/>
              </w:rPr>
              <w:t>8.661</w:t>
            </w:r>
          </w:p>
        </w:tc>
        <w:tc>
          <w:tcPr>
            <w:tcW w:w="1011" w:type="dxa"/>
            <w:tcBorders>
              <w:top w:val="nil"/>
              <w:left w:val="nil"/>
              <w:right w:val="nil"/>
            </w:tcBorders>
          </w:tcPr>
          <w:p>
            <w:pPr>
              <w:pStyle w:val="TableParagraph"/>
              <w:ind w:right="67"/>
              <w:rPr>
                <w:sz w:val="20"/>
              </w:rPr>
            </w:pPr>
            <w:r>
              <w:rPr>
                <w:sz w:val="20"/>
              </w:rPr>
              <w:t>8.445</w:t>
            </w:r>
          </w:p>
        </w:tc>
        <w:tc>
          <w:tcPr>
            <w:tcW w:w="977" w:type="dxa"/>
            <w:tcBorders>
              <w:top w:val="nil"/>
              <w:left w:val="nil"/>
              <w:right w:val="nil"/>
            </w:tcBorders>
          </w:tcPr>
          <w:p>
            <w:pPr>
              <w:pStyle w:val="TableParagraph"/>
              <w:ind w:right="65"/>
              <w:rPr>
                <w:sz w:val="20"/>
              </w:rPr>
            </w:pPr>
            <w:r>
              <w:rPr>
                <w:sz w:val="20"/>
              </w:rPr>
              <w:t>8.408</w:t>
            </w:r>
          </w:p>
        </w:tc>
        <w:tc>
          <w:tcPr>
            <w:tcW w:w="980" w:type="dxa"/>
            <w:tcBorders>
              <w:top w:val="nil"/>
              <w:left w:val="nil"/>
              <w:right w:val="nil"/>
            </w:tcBorders>
          </w:tcPr>
          <w:p>
            <w:pPr>
              <w:pStyle w:val="TableParagraph"/>
              <w:ind w:right="65"/>
              <w:rPr>
                <w:sz w:val="20"/>
              </w:rPr>
            </w:pPr>
            <w:r>
              <w:rPr>
                <w:sz w:val="20"/>
              </w:rPr>
              <w:t>8.137</w:t>
            </w:r>
          </w:p>
        </w:tc>
        <w:tc>
          <w:tcPr>
            <w:tcW w:w="1076" w:type="dxa"/>
            <w:tcBorders>
              <w:top w:val="nil"/>
              <w:left w:val="nil"/>
              <w:right w:val="nil"/>
            </w:tcBorders>
          </w:tcPr>
          <w:p>
            <w:pPr>
              <w:pStyle w:val="TableParagraph"/>
              <w:ind w:right="65"/>
              <w:rPr>
                <w:sz w:val="20"/>
              </w:rPr>
            </w:pPr>
            <w:r>
              <w:rPr>
                <w:sz w:val="20"/>
              </w:rPr>
              <w:t>6.447</w:t>
            </w:r>
          </w:p>
        </w:tc>
        <w:tc>
          <w:tcPr>
            <w:tcW w:w="1073" w:type="dxa"/>
            <w:tcBorders>
              <w:top w:val="nil"/>
              <w:left w:val="nil"/>
              <w:right w:val="nil"/>
            </w:tcBorders>
          </w:tcPr>
          <w:p>
            <w:pPr>
              <w:pStyle w:val="TableParagraph"/>
              <w:ind w:right="63"/>
              <w:rPr>
                <w:sz w:val="20"/>
              </w:rPr>
            </w:pPr>
            <w:r>
              <w:rPr>
                <w:sz w:val="20"/>
              </w:rPr>
              <w:t>4.047</w:t>
            </w:r>
          </w:p>
        </w:tc>
        <w:tc>
          <w:tcPr>
            <w:tcW w:w="1068" w:type="dxa"/>
            <w:tcBorders>
              <w:top w:val="nil"/>
              <w:left w:val="nil"/>
              <w:right w:val="nil"/>
            </w:tcBorders>
          </w:tcPr>
          <w:p>
            <w:pPr>
              <w:pStyle w:val="TableParagraph"/>
              <w:ind w:right="60"/>
              <w:rPr>
                <w:sz w:val="20"/>
              </w:rPr>
            </w:pPr>
            <w:r>
              <w:rPr>
                <w:sz w:val="20"/>
              </w:rPr>
              <w:t>2.818</w:t>
            </w:r>
          </w:p>
        </w:tc>
      </w:tr>
    </w:tbl>
    <w:p>
      <w:pPr>
        <w:spacing w:after="0"/>
        <w:rPr>
          <w:sz w:val="20"/>
        </w:rPr>
        <w:sectPr>
          <w:pgSz w:w="15840" w:h="12240" w:orient="landscape"/>
          <w:pgMar w:header="0" w:footer="1474" w:top="1140" w:bottom="1660" w:left="740" w:right="380"/>
        </w:sectPr>
      </w:pPr>
    </w:p>
    <w:p>
      <w:pPr>
        <w:pStyle w:val="BodyText"/>
        <w:spacing w:before="2"/>
        <w:rPr>
          <w:b/>
          <w:sz w:val="17"/>
        </w:rPr>
      </w:pPr>
    </w:p>
    <w:p>
      <w:pPr>
        <w:pStyle w:val="BodyText"/>
        <w:spacing w:before="66"/>
        <w:ind w:left="676"/>
      </w:pPr>
      <w:r>
        <w:rPr/>
        <w:t>Continuación Tabla 10.</w:t>
      </w:r>
    </w:p>
    <w:p>
      <w:pPr>
        <w:pStyle w:val="BodyText"/>
        <w:spacing w:before="6"/>
        <w:rPr>
          <w:sz w:val="18"/>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46"/>
        <w:gridCol w:w="1056"/>
        <w:gridCol w:w="1032"/>
        <w:gridCol w:w="1056"/>
        <w:gridCol w:w="1025"/>
        <w:gridCol w:w="984"/>
        <w:gridCol w:w="999"/>
        <w:gridCol w:w="1003"/>
        <w:gridCol w:w="1011"/>
        <w:gridCol w:w="977"/>
        <w:gridCol w:w="980"/>
        <w:gridCol w:w="1076"/>
        <w:gridCol w:w="1073"/>
        <w:gridCol w:w="1068"/>
      </w:tblGrid>
      <w:tr>
        <w:trPr>
          <w:trHeight w:val="610" w:hRule="exact"/>
        </w:trPr>
        <w:tc>
          <w:tcPr>
            <w:tcW w:w="1146" w:type="dxa"/>
            <w:tcBorders>
              <w:left w:val="nil"/>
              <w:right w:val="nil"/>
            </w:tcBorders>
          </w:tcPr>
          <w:p>
            <w:pPr>
              <w:pStyle w:val="TableParagraph"/>
              <w:spacing w:before="63"/>
              <w:ind w:left="86"/>
              <w:jc w:val="left"/>
              <w:rPr>
                <w:sz w:val="20"/>
              </w:rPr>
            </w:pPr>
            <w:r>
              <w:rPr>
                <w:sz w:val="20"/>
              </w:rPr>
              <w:t>SUBBASIN</w:t>
            </w:r>
          </w:p>
        </w:tc>
        <w:tc>
          <w:tcPr>
            <w:tcW w:w="1056" w:type="dxa"/>
            <w:tcBorders>
              <w:left w:val="nil"/>
              <w:right w:val="nil"/>
            </w:tcBorders>
          </w:tcPr>
          <w:p>
            <w:pPr>
              <w:pStyle w:val="TableParagraph"/>
              <w:spacing w:before="63"/>
              <w:ind w:left="107"/>
              <w:jc w:val="left"/>
              <w:rPr>
                <w:sz w:val="20"/>
              </w:rPr>
            </w:pPr>
            <w:r>
              <w:rPr>
                <w:sz w:val="20"/>
              </w:rPr>
              <w:t>STATION</w:t>
            </w:r>
          </w:p>
        </w:tc>
        <w:tc>
          <w:tcPr>
            <w:tcW w:w="1032" w:type="dxa"/>
            <w:tcBorders>
              <w:left w:val="nil"/>
              <w:right w:val="nil"/>
            </w:tcBorders>
          </w:tcPr>
          <w:p>
            <w:pPr>
              <w:pStyle w:val="TableParagraph"/>
              <w:spacing w:before="63"/>
              <w:ind w:right="106"/>
              <w:rPr>
                <w:sz w:val="20"/>
              </w:rPr>
            </w:pPr>
            <w:r>
              <w:rPr>
                <w:sz w:val="20"/>
              </w:rPr>
              <w:t>TMPMN1</w:t>
            </w:r>
          </w:p>
        </w:tc>
        <w:tc>
          <w:tcPr>
            <w:tcW w:w="1056" w:type="dxa"/>
            <w:tcBorders>
              <w:left w:val="nil"/>
              <w:right w:val="nil"/>
            </w:tcBorders>
          </w:tcPr>
          <w:p>
            <w:pPr>
              <w:pStyle w:val="TableParagraph"/>
              <w:spacing w:before="63"/>
              <w:ind w:right="130"/>
              <w:rPr>
                <w:sz w:val="20"/>
              </w:rPr>
            </w:pPr>
            <w:r>
              <w:rPr>
                <w:sz w:val="20"/>
              </w:rPr>
              <w:t>TMPMN2</w:t>
            </w:r>
          </w:p>
        </w:tc>
        <w:tc>
          <w:tcPr>
            <w:tcW w:w="1025" w:type="dxa"/>
            <w:tcBorders>
              <w:left w:val="nil"/>
              <w:right w:val="nil"/>
            </w:tcBorders>
          </w:tcPr>
          <w:p>
            <w:pPr>
              <w:pStyle w:val="TableParagraph"/>
              <w:spacing w:before="63"/>
              <w:ind w:right="105"/>
              <w:rPr>
                <w:sz w:val="20"/>
              </w:rPr>
            </w:pPr>
            <w:r>
              <w:rPr>
                <w:sz w:val="20"/>
              </w:rPr>
              <w:t>TMPMN3</w:t>
            </w:r>
          </w:p>
        </w:tc>
        <w:tc>
          <w:tcPr>
            <w:tcW w:w="984" w:type="dxa"/>
            <w:tcBorders>
              <w:left w:val="nil"/>
              <w:right w:val="nil"/>
            </w:tcBorders>
          </w:tcPr>
          <w:p>
            <w:pPr>
              <w:pStyle w:val="TableParagraph"/>
              <w:spacing w:before="63"/>
              <w:ind w:right="79"/>
              <w:rPr>
                <w:sz w:val="20"/>
              </w:rPr>
            </w:pPr>
            <w:r>
              <w:rPr>
                <w:sz w:val="20"/>
              </w:rPr>
              <w:t>TMPMN4</w:t>
            </w:r>
          </w:p>
        </w:tc>
        <w:tc>
          <w:tcPr>
            <w:tcW w:w="999" w:type="dxa"/>
            <w:tcBorders>
              <w:left w:val="nil"/>
              <w:right w:val="nil"/>
            </w:tcBorders>
          </w:tcPr>
          <w:p>
            <w:pPr>
              <w:pStyle w:val="TableParagraph"/>
              <w:spacing w:before="63"/>
              <w:ind w:right="89"/>
              <w:rPr>
                <w:sz w:val="20"/>
              </w:rPr>
            </w:pPr>
            <w:r>
              <w:rPr>
                <w:sz w:val="20"/>
              </w:rPr>
              <w:t>TMPMN5</w:t>
            </w:r>
          </w:p>
        </w:tc>
        <w:tc>
          <w:tcPr>
            <w:tcW w:w="1003" w:type="dxa"/>
            <w:tcBorders>
              <w:left w:val="nil"/>
              <w:right w:val="nil"/>
            </w:tcBorders>
          </w:tcPr>
          <w:p>
            <w:pPr>
              <w:pStyle w:val="TableParagraph"/>
              <w:spacing w:before="63"/>
              <w:ind w:right="94"/>
              <w:rPr>
                <w:sz w:val="20"/>
              </w:rPr>
            </w:pPr>
            <w:r>
              <w:rPr>
                <w:sz w:val="20"/>
              </w:rPr>
              <w:t>TMPMN6</w:t>
            </w:r>
          </w:p>
        </w:tc>
        <w:tc>
          <w:tcPr>
            <w:tcW w:w="1011" w:type="dxa"/>
            <w:tcBorders>
              <w:left w:val="nil"/>
              <w:right w:val="nil"/>
            </w:tcBorders>
          </w:tcPr>
          <w:p>
            <w:pPr>
              <w:pStyle w:val="TableParagraph"/>
              <w:spacing w:before="63"/>
              <w:ind w:right="96"/>
              <w:rPr>
                <w:sz w:val="20"/>
              </w:rPr>
            </w:pPr>
            <w:r>
              <w:rPr>
                <w:sz w:val="20"/>
              </w:rPr>
              <w:t>TMPMN7</w:t>
            </w:r>
          </w:p>
        </w:tc>
        <w:tc>
          <w:tcPr>
            <w:tcW w:w="977" w:type="dxa"/>
            <w:tcBorders>
              <w:left w:val="nil"/>
              <w:right w:val="nil"/>
            </w:tcBorders>
          </w:tcPr>
          <w:p>
            <w:pPr>
              <w:pStyle w:val="TableParagraph"/>
              <w:spacing w:before="63"/>
              <w:ind w:right="70"/>
              <w:rPr>
                <w:sz w:val="20"/>
              </w:rPr>
            </w:pPr>
            <w:r>
              <w:rPr>
                <w:sz w:val="20"/>
              </w:rPr>
              <w:t>TMPMN8</w:t>
            </w:r>
          </w:p>
        </w:tc>
        <w:tc>
          <w:tcPr>
            <w:tcW w:w="980" w:type="dxa"/>
            <w:tcBorders>
              <w:left w:val="nil"/>
              <w:right w:val="nil"/>
            </w:tcBorders>
          </w:tcPr>
          <w:p>
            <w:pPr>
              <w:pStyle w:val="TableParagraph"/>
              <w:spacing w:before="63"/>
              <w:ind w:right="74"/>
              <w:rPr>
                <w:sz w:val="20"/>
              </w:rPr>
            </w:pPr>
            <w:r>
              <w:rPr>
                <w:sz w:val="20"/>
              </w:rPr>
              <w:t>TMPMN9</w:t>
            </w:r>
          </w:p>
        </w:tc>
        <w:tc>
          <w:tcPr>
            <w:tcW w:w="1076" w:type="dxa"/>
            <w:tcBorders>
              <w:left w:val="nil"/>
              <w:right w:val="nil"/>
            </w:tcBorders>
          </w:tcPr>
          <w:p>
            <w:pPr>
              <w:pStyle w:val="TableParagraph"/>
              <w:spacing w:before="63"/>
              <w:ind w:right="70"/>
              <w:rPr>
                <w:sz w:val="20"/>
              </w:rPr>
            </w:pPr>
            <w:r>
              <w:rPr>
                <w:sz w:val="20"/>
              </w:rPr>
              <w:t>TMPMN10</w:t>
            </w:r>
          </w:p>
        </w:tc>
        <w:tc>
          <w:tcPr>
            <w:tcW w:w="1073" w:type="dxa"/>
            <w:tcBorders>
              <w:left w:val="nil"/>
              <w:right w:val="nil"/>
            </w:tcBorders>
          </w:tcPr>
          <w:p>
            <w:pPr>
              <w:pStyle w:val="TableParagraph"/>
              <w:spacing w:before="63"/>
              <w:ind w:right="69"/>
              <w:rPr>
                <w:sz w:val="20"/>
              </w:rPr>
            </w:pPr>
            <w:r>
              <w:rPr>
                <w:sz w:val="20"/>
              </w:rPr>
              <w:t>TMPMN11</w:t>
            </w:r>
          </w:p>
        </w:tc>
        <w:tc>
          <w:tcPr>
            <w:tcW w:w="1068" w:type="dxa"/>
            <w:tcBorders>
              <w:left w:val="nil"/>
              <w:right w:val="nil"/>
            </w:tcBorders>
          </w:tcPr>
          <w:p>
            <w:pPr>
              <w:pStyle w:val="TableParagraph"/>
              <w:spacing w:before="63"/>
              <w:ind w:right="65"/>
              <w:rPr>
                <w:sz w:val="20"/>
              </w:rPr>
            </w:pPr>
            <w:r>
              <w:rPr>
                <w:sz w:val="20"/>
              </w:rPr>
              <w:t>TMPMN12</w:t>
            </w:r>
          </w:p>
        </w:tc>
      </w:tr>
      <w:tr>
        <w:trPr>
          <w:trHeight w:val="344" w:hRule="exact"/>
        </w:trPr>
        <w:tc>
          <w:tcPr>
            <w:tcW w:w="1146" w:type="dxa"/>
            <w:tcBorders>
              <w:left w:val="nil"/>
              <w:bottom w:val="nil"/>
              <w:right w:val="nil"/>
            </w:tcBorders>
          </w:tcPr>
          <w:p>
            <w:pPr>
              <w:pStyle w:val="TableParagraph"/>
              <w:spacing w:before="63"/>
              <w:ind w:left="86"/>
              <w:jc w:val="left"/>
              <w:rPr>
                <w:sz w:val="20"/>
              </w:rPr>
            </w:pPr>
            <w:r>
              <w:rPr>
                <w:sz w:val="20"/>
              </w:rPr>
              <w:t>17</w:t>
            </w:r>
          </w:p>
        </w:tc>
        <w:tc>
          <w:tcPr>
            <w:tcW w:w="1056" w:type="dxa"/>
            <w:tcBorders>
              <w:left w:val="nil"/>
              <w:bottom w:val="nil"/>
              <w:right w:val="nil"/>
            </w:tcBorders>
          </w:tcPr>
          <w:p>
            <w:pPr>
              <w:pStyle w:val="TableParagraph"/>
              <w:spacing w:before="63"/>
              <w:ind w:left="73"/>
              <w:jc w:val="left"/>
              <w:rPr>
                <w:sz w:val="20"/>
              </w:rPr>
            </w:pPr>
            <w:r>
              <w:rPr>
                <w:sz w:val="20"/>
              </w:rPr>
              <w:t>15001</w:t>
            </w:r>
          </w:p>
        </w:tc>
        <w:tc>
          <w:tcPr>
            <w:tcW w:w="1032" w:type="dxa"/>
            <w:tcBorders>
              <w:left w:val="nil"/>
              <w:bottom w:val="nil"/>
              <w:right w:val="nil"/>
            </w:tcBorders>
          </w:tcPr>
          <w:p>
            <w:pPr>
              <w:pStyle w:val="TableParagraph"/>
              <w:spacing w:before="63"/>
              <w:ind w:right="87"/>
              <w:rPr>
                <w:sz w:val="20"/>
              </w:rPr>
            </w:pPr>
            <w:r>
              <w:rPr>
                <w:sz w:val="20"/>
              </w:rPr>
              <w:t>2.092</w:t>
            </w:r>
          </w:p>
        </w:tc>
        <w:tc>
          <w:tcPr>
            <w:tcW w:w="1056" w:type="dxa"/>
            <w:tcBorders>
              <w:left w:val="nil"/>
              <w:bottom w:val="nil"/>
              <w:right w:val="nil"/>
            </w:tcBorders>
          </w:tcPr>
          <w:p>
            <w:pPr>
              <w:pStyle w:val="TableParagraph"/>
              <w:spacing w:before="63"/>
              <w:ind w:right="82"/>
              <w:rPr>
                <w:sz w:val="20"/>
              </w:rPr>
            </w:pPr>
            <w:r>
              <w:rPr>
                <w:sz w:val="20"/>
              </w:rPr>
              <w:t>2.906</w:t>
            </w:r>
          </w:p>
        </w:tc>
        <w:tc>
          <w:tcPr>
            <w:tcW w:w="1025" w:type="dxa"/>
            <w:tcBorders>
              <w:left w:val="nil"/>
              <w:bottom w:val="nil"/>
              <w:right w:val="nil"/>
            </w:tcBorders>
          </w:tcPr>
          <w:p>
            <w:pPr>
              <w:pStyle w:val="TableParagraph"/>
              <w:spacing w:before="63"/>
              <w:ind w:right="65"/>
              <w:rPr>
                <w:sz w:val="20"/>
              </w:rPr>
            </w:pPr>
            <w:r>
              <w:rPr>
                <w:sz w:val="20"/>
              </w:rPr>
              <w:t>5.063</w:t>
            </w:r>
          </w:p>
        </w:tc>
        <w:tc>
          <w:tcPr>
            <w:tcW w:w="984" w:type="dxa"/>
            <w:tcBorders>
              <w:left w:val="nil"/>
              <w:bottom w:val="nil"/>
              <w:right w:val="nil"/>
            </w:tcBorders>
          </w:tcPr>
          <w:p>
            <w:pPr>
              <w:pStyle w:val="TableParagraph"/>
              <w:spacing w:before="63"/>
              <w:ind w:right="70"/>
              <w:rPr>
                <w:sz w:val="20"/>
              </w:rPr>
            </w:pPr>
            <w:r>
              <w:rPr>
                <w:sz w:val="20"/>
              </w:rPr>
              <w:t>6.595</w:t>
            </w:r>
          </w:p>
        </w:tc>
        <w:tc>
          <w:tcPr>
            <w:tcW w:w="999" w:type="dxa"/>
            <w:tcBorders>
              <w:left w:val="nil"/>
              <w:bottom w:val="nil"/>
              <w:right w:val="nil"/>
            </w:tcBorders>
          </w:tcPr>
          <w:p>
            <w:pPr>
              <w:pStyle w:val="TableParagraph"/>
              <w:spacing w:before="63"/>
              <w:ind w:right="70"/>
              <w:rPr>
                <w:sz w:val="20"/>
              </w:rPr>
            </w:pPr>
            <w:r>
              <w:rPr>
                <w:sz w:val="20"/>
              </w:rPr>
              <w:t>7.684</w:t>
            </w:r>
          </w:p>
        </w:tc>
        <w:tc>
          <w:tcPr>
            <w:tcW w:w="1003" w:type="dxa"/>
            <w:tcBorders>
              <w:left w:val="nil"/>
              <w:bottom w:val="nil"/>
              <w:right w:val="nil"/>
            </w:tcBorders>
          </w:tcPr>
          <w:p>
            <w:pPr>
              <w:pStyle w:val="TableParagraph"/>
              <w:spacing w:before="63"/>
              <w:ind w:right="75"/>
              <w:rPr>
                <w:sz w:val="20"/>
              </w:rPr>
            </w:pPr>
            <w:r>
              <w:rPr>
                <w:sz w:val="20"/>
              </w:rPr>
              <w:t>8.661</w:t>
            </w:r>
          </w:p>
        </w:tc>
        <w:tc>
          <w:tcPr>
            <w:tcW w:w="1011" w:type="dxa"/>
            <w:tcBorders>
              <w:left w:val="nil"/>
              <w:bottom w:val="nil"/>
              <w:right w:val="nil"/>
            </w:tcBorders>
          </w:tcPr>
          <w:p>
            <w:pPr>
              <w:pStyle w:val="TableParagraph"/>
              <w:spacing w:before="63"/>
              <w:ind w:right="67"/>
              <w:rPr>
                <w:sz w:val="20"/>
              </w:rPr>
            </w:pPr>
            <w:r>
              <w:rPr>
                <w:sz w:val="20"/>
              </w:rPr>
              <w:t>8.445</w:t>
            </w:r>
          </w:p>
        </w:tc>
        <w:tc>
          <w:tcPr>
            <w:tcW w:w="977" w:type="dxa"/>
            <w:tcBorders>
              <w:left w:val="nil"/>
              <w:bottom w:val="nil"/>
              <w:right w:val="nil"/>
            </w:tcBorders>
          </w:tcPr>
          <w:p>
            <w:pPr>
              <w:pStyle w:val="TableParagraph"/>
              <w:spacing w:before="63"/>
              <w:ind w:right="65"/>
              <w:rPr>
                <w:sz w:val="20"/>
              </w:rPr>
            </w:pPr>
            <w:r>
              <w:rPr>
                <w:sz w:val="20"/>
              </w:rPr>
              <w:t>8.408</w:t>
            </w:r>
          </w:p>
        </w:tc>
        <w:tc>
          <w:tcPr>
            <w:tcW w:w="980" w:type="dxa"/>
            <w:tcBorders>
              <w:left w:val="nil"/>
              <w:bottom w:val="nil"/>
              <w:right w:val="nil"/>
            </w:tcBorders>
          </w:tcPr>
          <w:p>
            <w:pPr>
              <w:pStyle w:val="TableParagraph"/>
              <w:spacing w:before="63"/>
              <w:ind w:right="65"/>
              <w:rPr>
                <w:sz w:val="20"/>
              </w:rPr>
            </w:pPr>
            <w:r>
              <w:rPr>
                <w:sz w:val="20"/>
              </w:rPr>
              <w:t>8.137</w:t>
            </w:r>
          </w:p>
        </w:tc>
        <w:tc>
          <w:tcPr>
            <w:tcW w:w="1076" w:type="dxa"/>
            <w:tcBorders>
              <w:left w:val="nil"/>
              <w:bottom w:val="nil"/>
              <w:right w:val="nil"/>
            </w:tcBorders>
          </w:tcPr>
          <w:p>
            <w:pPr>
              <w:pStyle w:val="TableParagraph"/>
              <w:spacing w:before="63"/>
              <w:ind w:right="65"/>
              <w:rPr>
                <w:sz w:val="20"/>
              </w:rPr>
            </w:pPr>
            <w:r>
              <w:rPr>
                <w:sz w:val="20"/>
              </w:rPr>
              <w:t>6.447</w:t>
            </w:r>
          </w:p>
        </w:tc>
        <w:tc>
          <w:tcPr>
            <w:tcW w:w="1073" w:type="dxa"/>
            <w:tcBorders>
              <w:left w:val="nil"/>
              <w:bottom w:val="nil"/>
              <w:right w:val="nil"/>
            </w:tcBorders>
          </w:tcPr>
          <w:p>
            <w:pPr>
              <w:pStyle w:val="TableParagraph"/>
              <w:spacing w:before="63"/>
              <w:ind w:right="63"/>
              <w:rPr>
                <w:sz w:val="20"/>
              </w:rPr>
            </w:pPr>
            <w:r>
              <w:rPr>
                <w:sz w:val="20"/>
              </w:rPr>
              <w:t>4.047</w:t>
            </w:r>
          </w:p>
        </w:tc>
        <w:tc>
          <w:tcPr>
            <w:tcW w:w="1068" w:type="dxa"/>
            <w:tcBorders>
              <w:left w:val="nil"/>
              <w:bottom w:val="nil"/>
              <w:right w:val="nil"/>
            </w:tcBorders>
          </w:tcPr>
          <w:p>
            <w:pPr>
              <w:pStyle w:val="TableParagraph"/>
              <w:spacing w:before="63"/>
              <w:ind w:right="60"/>
              <w:rPr>
                <w:sz w:val="20"/>
              </w:rPr>
            </w:pPr>
            <w:r>
              <w:rPr>
                <w:sz w:val="20"/>
              </w:rPr>
              <w:t>2.818</w:t>
            </w:r>
          </w:p>
        </w:tc>
      </w:tr>
      <w:tr>
        <w:trPr>
          <w:trHeight w:val="300" w:hRule="exact"/>
        </w:trPr>
        <w:tc>
          <w:tcPr>
            <w:tcW w:w="1146" w:type="dxa"/>
            <w:tcBorders>
              <w:top w:val="nil"/>
              <w:left w:val="nil"/>
              <w:bottom w:val="nil"/>
              <w:right w:val="nil"/>
            </w:tcBorders>
          </w:tcPr>
          <w:p>
            <w:pPr>
              <w:pStyle w:val="TableParagraph"/>
              <w:spacing w:before="26"/>
              <w:ind w:left="86"/>
              <w:jc w:val="left"/>
              <w:rPr>
                <w:sz w:val="20"/>
              </w:rPr>
            </w:pPr>
            <w:r>
              <w:rPr>
                <w:sz w:val="20"/>
              </w:rPr>
              <w:t>18</w:t>
            </w:r>
          </w:p>
        </w:tc>
        <w:tc>
          <w:tcPr>
            <w:tcW w:w="1056" w:type="dxa"/>
            <w:tcBorders>
              <w:top w:val="nil"/>
              <w:left w:val="nil"/>
              <w:bottom w:val="nil"/>
              <w:right w:val="nil"/>
            </w:tcBorders>
          </w:tcPr>
          <w:p>
            <w:pPr>
              <w:pStyle w:val="TableParagraph"/>
              <w:spacing w:before="26"/>
              <w:ind w:left="73"/>
              <w:jc w:val="left"/>
              <w:rPr>
                <w:sz w:val="20"/>
              </w:rPr>
            </w:pPr>
            <w:r>
              <w:rPr>
                <w:sz w:val="20"/>
              </w:rPr>
              <w:t>15001</w:t>
            </w:r>
          </w:p>
        </w:tc>
        <w:tc>
          <w:tcPr>
            <w:tcW w:w="1032" w:type="dxa"/>
            <w:tcBorders>
              <w:top w:val="nil"/>
              <w:left w:val="nil"/>
              <w:bottom w:val="nil"/>
              <w:right w:val="nil"/>
            </w:tcBorders>
          </w:tcPr>
          <w:p>
            <w:pPr>
              <w:pStyle w:val="TableParagraph"/>
              <w:spacing w:before="26"/>
              <w:ind w:right="87"/>
              <w:rPr>
                <w:sz w:val="20"/>
              </w:rPr>
            </w:pPr>
            <w:r>
              <w:rPr>
                <w:sz w:val="20"/>
              </w:rPr>
              <w:t>2.092</w:t>
            </w:r>
          </w:p>
        </w:tc>
        <w:tc>
          <w:tcPr>
            <w:tcW w:w="1056" w:type="dxa"/>
            <w:tcBorders>
              <w:top w:val="nil"/>
              <w:left w:val="nil"/>
              <w:bottom w:val="nil"/>
              <w:right w:val="nil"/>
            </w:tcBorders>
          </w:tcPr>
          <w:p>
            <w:pPr>
              <w:pStyle w:val="TableParagraph"/>
              <w:spacing w:before="26"/>
              <w:ind w:right="82"/>
              <w:rPr>
                <w:sz w:val="20"/>
              </w:rPr>
            </w:pPr>
            <w:r>
              <w:rPr>
                <w:sz w:val="20"/>
              </w:rPr>
              <w:t>2.906</w:t>
            </w:r>
          </w:p>
        </w:tc>
        <w:tc>
          <w:tcPr>
            <w:tcW w:w="1025" w:type="dxa"/>
            <w:tcBorders>
              <w:top w:val="nil"/>
              <w:left w:val="nil"/>
              <w:bottom w:val="nil"/>
              <w:right w:val="nil"/>
            </w:tcBorders>
          </w:tcPr>
          <w:p>
            <w:pPr>
              <w:pStyle w:val="TableParagraph"/>
              <w:spacing w:before="26"/>
              <w:ind w:right="65"/>
              <w:rPr>
                <w:sz w:val="20"/>
              </w:rPr>
            </w:pPr>
            <w:r>
              <w:rPr>
                <w:sz w:val="20"/>
              </w:rPr>
              <w:t>5.063</w:t>
            </w:r>
          </w:p>
        </w:tc>
        <w:tc>
          <w:tcPr>
            <w:tcW w:w="984" w:type="dxa"/>
            <w:tcBorders>
              <w:top w:val="nil"/>
              <w:left w:val="nil"/>
              <w:bottom w:val="nil"/>
              <w:right w:val="nil"/>
            </w:tcBorders>
          </w:tcPr>
          <w:p>
            <w:pPr>
              <w:pStyle w:val="TableParagraph"/>
              <w:spacing w:before="26"/>
              <w:ind w:right="70"/>
              <w:rPr>
                <w:sz w:val="20"/>
              </w:rPr>
            </w:pPr>
            <w:r>
              <w:rPr>
                <w:sz w:val="20"/>
              </w:rPr>
              <w:t>6.595</w:t>
            </w:r>
          </w:p>
        </w:tc>
        <w:tc>
          <w:tcPr>
            <w:tcW w:w="999" w:type="dxa"/>
            <w:tcBorders>
              <w:top w:val="nil"/>
              <w:left w:val="nil"/>
              <w:bottom w:val="nil"/>
              <w:right w:val="nil"/>
            </w:tcBorders>
          </w:tcPr>
          <w:p>
            <w:pPr>
              <w:pStyle w:val="TableParagraph"/>
              <w:spacing w:before="26"/>
              <w:ind w:right="70"/>
              <w:rPr>
                <w:sz w:val="20"/>
              </w:rPr>
            </w:pPr>
            <w:r>
              <w:rPr>
                <w:sz w:val="20"/>
              </w:rPr>
              <w:t>7.684</w:t>
            </w:r>
          </w:p>
        </w:tc>
        <w:tc>
          <w:tcPr>
            <w:tcW w:w="1003" w:type="dxa"/>
            <w:tcBorders>
              <w:top w:val="nil"/>
              <w:left w:val="nil"/>
              <w:bottom w:val="nil"/>
              <w:right w:val="nil"/>
            </w:tcBorders>
          </w:tcPr>
          <w:p>
            <w:pPr>
              <w:pStyle w:val="TableParagraph"/>
              <w:spacing w:before="26"/>
              <w:ind w:right="75"/>
              <w:rPr>
                <w:sz w:val="20"/>
              </w:rPr>
            </w:pPr>
            <w:r>
              <w:rPr>
                <w:sz w:val="20"/>
              </w:rPr>
              <w:t>8.661</w:t>
            </w:r>
          </w:p>
        </w:tc>
        <w:tc>
          <w:tcPr>
            <w:tcW w:w="1011" w:type="dxa"/>
            <w:tcBorders>
              <w:top w:val="nil"/>
              <w:left w:val="nil"/>
              <w:bottom w:val="nil"/>
              <w:right w:val="nil"/>
            </w:tcBorders>
          </w:tcPr>
          <w:p>
            <w:pPr>
              <w:pStyle w:val="TableParagraph"/>
              <w:spacing w:before="26"/>
              <w:ind w:right="67"/>
              <w:rPr>
                <w:sz w:val="20"/>
              </w:rPr>
            </w:pPr>
            <w:r>
              <w:rPr>
                <w:sz w:val="20"/>
              </w:rPr>
              <w:t>8.445</w:t>
            </w:r>
          </w:p>
        </w:tc>
        <w:tc>
          <w:tcPr>
            <w:tcW w:w="977" w:type="dxa"/>
            <w:tcBorders>
              <w:top w:val="nil"/>
              <w:left w:val="nil"/>
              <w:bottom w:val="nil"/>
              <w:right w:val="nil"/>
            </w:tcBorders>
          </w:tcPr>
          <w:p>
            <w:pPr>
              <w:pStyle w:val="TableParagraph"/>
              <w:spacing w:before="26"/>
              <w:ind w:right="65"/>
              <w:rPr>
                <w:sz w:val="20"/>
              </w:rPr>
            </w:pPr>
            <w:r>
              <w:rPr>
                <w:sz w:val="20"/>
              </w:rPr>
              <w:t>8.408</w:t>
            </w:r>
          </w:p>
        </w:tc>
        <w:tc>
          <w:tcPr>
            <w:tcW w:w="980" w:type="dxa"/>
            <w:tcBorders>
              <w:top w:val="nil"/>
              <w:left w:val="nil"/>
              <w:bottom w:val="nil"/>
              <w:right w:val="nil"/>
            </w:tcBorders>
          </w:tcPr>
          <w:p>
            <w:pPr>
              <w:pStyle w:val="TableParagraph"/>
              <w:spacing w:before="26"/>
              <w:ind w:right="65"/>
              <w:rPr>
                <w:sz w:val="20"/>
              </w:rPr>
            </w:pPr>
            <w:r>
              <w:rPr>
                <w:sz w:val="20"/>
              </w:rPr>
              <w:t>8.137</w:t>
            </w:r>
          </w:p>
        </w:tc>
        <w:tc>
          <w:tcPr>
            <w:tcW w:w="1076" w:type="dxa"/>
            <w:tcBorders>
              <w:top w:val="nil"/>
              <w:left w:val="nil"/>
              <w:bottom w:val="nil"/>
              <w:right w:val="nil"/>
            </w:tcBorders>
          </w:tcPr>
          <w:p>
            <w:pPr>
              <w:pStyle w:val="TableParagraph"/>
              <w:spacing w:before="26"/>
              <w:ind w:right="65"/>
              <w:rPr>
                <w:sz w:val="20"/>
              </w:rPr>
            </w:pPr>
            <w:r>
              <w:rPr>
                <w:sz w:val="20"/>
              </w:rPr>
              <w:t>6.447</w:t>
            </w:r>
          </w:p>
        </w:tc>
        <w:tc>
          <w:tcPr>
            <w:tcW w:w="1073" w:type="dxa"/>
            <w:tcBorders>
              <w:top w:val="nil"/>
              <w:left w:val="nil"/>
              <w:bottom w:val="nil"/>
              <w:right w:val="nil"/>
            </w:tcBorders>
          </w:tcPr>
          <w:p>
            <w:pPr>
              <w:pStyle w:val="TableParagraph"/>
              <w:spacing w:before="26"/>
              <w:ind w:right="63"/>
              <w:rPr>
                <w:sz w:val="20"/>
              </w:rPr>
            </w:pPr>
            <w:r>
              <w:rPr>
                <w:sz w:val="20"/>
              </w:rPr>
              <w:t>4.047</w:t>
            </w:r>
          </w:p>
        </w:tc>
        <w:tc>
          <w:tcPr>
            <w:tcW w:w="1068" w:type="dxa"/>
            <w:tcBorders>
              <w:top w:val="nil"/>
              <w:left w:val="nil"/>
              <w:bottom w:val="nil"/>
              <w:right w:val="nil"/>
            </w:tcBorders>
          </w:tcPr>
          <w:p>
            <w:pPr>
              <w:pStyle w:val="TableParagraph"/>
              <w:spacing w:before="26"/>
              <w:ind w:right="60"/>
              <w:rPr>
                <w:sz w:val="20"/>
              </w:rPr>
            </w:pPr>
            <w:r>
              <w:rPr>
                <w:sz w:val="20"/>
              </w:rPr>
              <w:t>2.818</w:t>
            </w:r>
          </w:p>
        </w:tc>
      </w:tr>
      <w:tr>
        <w:trPr>
          <w:trHeight w:val="300" w:hRule="exact"/>
        </w:trPr>
        <w:tc>
          <w:tcPr>
            <w:tcW w:w="1146" w:type="dxa"/>
            <w:tcBorders>
              <w:top w:val="nil"/>
              <w:left w:val="nil"/>
              <w:bottom w:val="nil"/>
              <w:right w:val="nil"/>
            </w:tcBorders>
          </w:tcPr>
          <w:p>
            <w:pPr>
              <w:pStyle w:val="TableParagraph"/>
              <w:ind w:left="86"/>
              <w:jc w:val="left"/>
              <w:rPr>
                <w:sz w:val="20"/>
              </w:rPr>
            </w:pPr>
            <w:r>
              <w:rPr>
                <w:sz w:val="20"/>
              </w:rPr>
              <w:t>19</w:t>
            </w:r>
          </w:p>
        </w:tc>
        <w:tc>
          <w:tcPr>
            <w:tcW w:w="1056" w:type="dxa"/>
            <w:tcBorders>
              <w:top w:val="nil"/>
              <w:left w:val="nil"/>
              <w:bottom w:val="nil"/>
              <w:right w:val="nil"/>
            </w:tcBorders>
          </w:tcPr>
          <w:p>
            <w:pPr>
              <w:pStyle w:val="TableParagraph"/>
              <w:ind w:left="73"/>
              <w:jc w:val="left"/>
              <w:rPr>
                <w:sz w:val="20"/>
              </w:rPr>
            </w:pPr>
            <w:r>
              <w:rPr>
                <w:sz w:val="20"/>
              </w:rPr>
              <w:t>15001</w:t>
            </w:r>
          </w:p>
        </w:tc>
        <w:tc>
          <w:tcPr>
            <w:tcW w:w="1032" w:type="dxa"/>
            <w:tcBorders>
              <w:top w:val="nil"/>
              <w:left w:val="nil"/>
              <w:bottom w:val="nil"/>
              <w:right w:val="nil"/>
            </w:tcBorders>
          </w:tcPr>
          <w:p>
            <w:pPr>
              <w:pStyle w:val="TableParagraph"/>
              <w:ind w:right="87"/>
              <w:rPr>
                <w:sz w:val="20"/>
              </w:rPr>
            </w:pPr>
            <w:r>
              <w:rPr>
                <w:sz w:val="20"/>
              </w:rPr>
              <w:t>2.092</w:t>
            </w:r>
          </w:p>
        </w:tc>
        <w:tc>
          <w:tcPr>
            <w:tcW w:w="1056" w:type="dxa"/>
            <w:tcBorders>
              <w:top w:val="nil"/>
              <w:left w:val="nil"/>
              <w:bottom w:val="nil"/>
              <w:right w:val="nil"/>
            </w:tcBorders>
          </w:tcPr>
          <w:p>
            <w:pPr>
              <w:pStyle w:val="TableParagraph"/>
              <w:ind w:right="82"/>
              <w:rPr>
                <w:sz w:val="20"/>
              </w:rPr>
            </w:pPr>
            <w:r>
              <w:rPr>
                <w:sz w:val="20"/>
              </w:rPr>
              <w:t>2.906</w:t>
            </w:r>
          </w:p>
        </w:tc>
        <w:tc>
          <w:tcPr>
            <w:tcW w:w="1025" w:type="dxa"/>
            <w:tcBorders>
              <w:top w:val="nil"/>
              <w:left w:val="nil"/>
              <w:bottom w:val="nil"/>
              <w:right w:val="nil"/>
            </w:tcBorders>
          </w:tcPr>
          <w:p>
            <w:pPr>
              <w:pStyle w:val="TableParagraph"/>
              <w:ind w:right="65"/>
              <w:rPr>
                <w:sz w:val="20"/>
              </w:rPr>
            </w:pPr>
            <w:r>
              <w:rPr>
                <w:sz w:val="20"/>
              </w:rPr>
              <w:t>5.063</w:t>
            </w:r>
          </w:p>
        </w:tc>
        <w:tc>
          <w:tcPr>
            <w:tcW w:w="984" w:type="dxa"/>
            <w:tcBorders>
              <w:top w:val="nil"/>
              <w:left w:val="nil"/>
              <w:bottom w:val="nil"/>
              <w:right w:val="nil"/>
            </w:tcBorders>
          </w:tcPr>
          <w:p>
            <w:pPr>
              <w:pStyle w:val="TableParagraph"/>
              <w:ind w:right="70"/>
              <w:rPr>
                <w:sz w:val="20"/>
              </w:rPr>
            </w:pPr>
            <w:r>
              <w:rPr>
                <w:sz w:val="20"/>
              </w:rPr>
              <w:t>6.595</w:t>
            </w:r>
          </w:p>
        </w:tc>
        <w:tc>
          <w:tcPr>
            <w:tcW w:w="999" w:type="dxa"/>
            <w:tcBorders>
              <w:top w:val="nil"/>
              <w:left w:val="nil"/>
              <w:bottom w:val="nil"/>
              <w:right w:val="nil"/>
            </w:tcBorders>
          </w:tcPr>
          <w:p>
            <w:pPr>
              <w:pStyle w:val="TableParagraph"/>
              <w:ind w:right="70"/>
              <w:rPr>
                <w:sz w:val="20"/>
              </w:rPr>
            </w:pPr>
            <w:r>
              <w:rPr>
                <w:sz w:val="20"/>
              </w:rPr>
              <w:t>7.684</w:t>
            </w:r>
          </w:p>
        </w:tc>
        <w:tc>
          <w:tcPr>
            <w:tcW w:w="1003" w:type="dxa"/>
            <w:tcBorders>
              <w:top w:val="nil"/>
              <w:left w:val="nil"/>
              <w:bottom w:val="nil"/>
              <w:right w:val="nil"/>
            </w:tcBorders>
          </w:tcPr>
          <w:p>
            <w:pPr>
              <w:pStyle w:val="TableParagraph"/>
              <w:ind w:right="75"/>
              <w:rPr>
                <w:sz w:val="20"/>
              </w:rPr>
            </w:pPr>
            <w:r>
              <w:rPr>
                <w:sz w:val="20"/>
              </w:rPr>
              <w:t>8.661</w:t>
            </w:r>
          </w:p>
        </w:tc>
        <w:tc>
          <w:tcPr>
            <w:tcW w:w="1011" w:type="dxa"/>
            <w:tcBorders>
              <w:top w:val="nil"/>
              <w:left w:val="nil"/>
              <w:bottom w:val="nil"/>
              <w:right w:val="nil"/>
            </w:tcBorders>
          </w:tcPr>
          <w:p>
            <w:pPr>
              <w:pStyle w:val="TableParagraph"/>
              <w:ind w:right="67"/>
              <w:rPr>
                <w:sz w:val="20"/>
              </w:rPr>
            </w:pPr>
            <w:r>
              <w:rPr>
                <w:sz w:val="20"/>
              </w:rPr>
              <w:t>8.445</w:t>
            </w:r>
          </w:p>
        </w:tc>
        <w:tc>
          <w:tcPr>
            <w:tcW w:w="977" w:type="dxa"/>
            <w:tcBorders>
              <w:top w:val="nil"/>
              <w:left w:val="nil"/>
              <w:bottom w:val="nil"/>
              <w:right w:val="nil"/>
            </w:tcBorders>
          </w:tcPr>
          <w:p>
            <w:pPr>
              <w:pStyle w:val="TableParagraph"/>
              <w:ind w:right="65"/>
              <w:rPr>
                <w:sz w:val="20"/>
              </w:rPr>
            </w:pPr>
            <w:r>
              <w:rPr>
                <w:sz w:val="20"/>
              </w:rPr>
              <w:t>8.408</w:t>
            </w:r>
          </w:p>
        </w:tc>
        <w:tc>
          <w:tcPr>
            <w:tcW w:w="980" w:type="dxa"/>
            <w:tcBorders>
              <w:top w:val="nil"/>
              <w:left w:val="nil"/>
              <w:bottom w:val="nil"/>
              <w:right w:val="nil"/>
            </w:tcBorders>
          </w:tcPr>
          <w:p>
            <w:pPr>
              <w:pStyle w:val="TableParagraph"/>
              <w:ind w:right="65"/>
              <w:rPr>
                <w:sz w:val="20"/>
              </w:rPr>
            </w:pPr>
            <w:r>
              <w:rPr>
                <w:sz w:val="20"/>
              </w:rPr>
              <w:t>8.137</w:t>
            </w:r>
          </w:p>
        </w:tc>
        <w:tc>
          <w:tcPr>
            <w:tcW w:w="1076" w:type="dxa"/>
            <w:tcBorders>
              <w:top w:val="nil"/>
              <w:left w:val="nil"/>
              <w:bottom w:val="nil"/>
              <w:right w:val="nil"/>
            </w:tcBorders>
          </w:tcPr>
          <w:p>
            <w:pPr>
              <w:pStyle w:val="TableParagraph"/>
              <w:ind w:right="65"/>
              <w:rPr>
                <w:sz w:val="20"/>
              </w:rPr>
            </w:pPr>
            <w:r>
              <w:rPr>
                <w:sz w:val="20"/>
              </w:rPr>
              <w:t>6.447</w:t>
            </w:r>
          </w:p>
        </w:tc>
        <w:tc>
          <w:tcPr>
            <w:tcW w:w="1073" w:type="dxa"/>
            <w:tcBorders>
              <w:top w:val="nil"/>
              <w:left w:val="nil"/>
              <w:bottom w:val="nil"/>
              <w:right w:val="nil"/>
            </w:tcBorders>
          </w:tcPr>
          <w:p>
            <w:pPr>
              <w:pStyle w:val="TableParagraph"/>
              <w:ind w:right="63"/>
              <w:rPr>
                <w:sz w:val="20"/>
              </w:rPr>
            </w:pPr>
            <w:r>
              <w:rPr>
                <w:sz w:val="20"/>
              </w:rPr>
              <w:t>4.047</w:t>
            </w:r>
          </w:p>
        </w:tc>
        <w:tc>
          <w:tcPr>
            <w:tcW w:w="1068" w:type="dxa"/>
            <w:tcBorders>
              <w:top w:val="nil"/>
              <w:left w:val="nil"/>
              <w:bottom w:val="nil"/>
              <w:right w:val="nil"/>
            </w:tcBorders>
          </w:tcPr>
          <w:p>
            <w:pPr>
              <w:pStyle w:val="TableParagraph"/>
              <w:ind w:right="60"/>
              <w:rPr>
                <w:sz w:val="20"/>
              </w:rPr>
            </w:pPr>
            <w:r>
              <w:rPr>
                <w:sz w:val="20"/>
              </w:rPr>
              <w:t>2.818</w:t>
            </w:r>
          </w:p>
        </w:tc>
      </w:tr>
      <w:tr>
        <w:trPr>
          <w:trHeight w:val="300" w:hRule="exact"/>
        </w:trPr>
        <w:tc>
          <w:tcPr>
            <w:tcW w:w="1146" w:type="dxa"/>
            <w:tcBorders>
              <w:top w:val="nil"/>
              <w:left w:val="nil"/>
              <w:bottom w:val="nil"/>
              <w:right w:val="nil"/>
            </w:tcBorders>
          </w:tcPr>
          <w:p>
            <w:pPr>
              <w:pStyle w:val="TableParagraph"/>
              <w:spacing w:before="26"/>
              <w:ind w:left="86"/>
              <w:jc w:val="left"/>
              <w:rPr>
                <w:sz w:val="20"/>
              </w:rPr>
            </w:pPr>
            <w:r>
              <w:rPr>
                <w:sz w:val="20"/>
              </w:rPr>
              <w:t>20</w:t>
            </w:r>
          </w:p>
        </w:tc>
        <w:tc>
          <w:tcPr>
            <w:tcW w:w="1056" w:type="dxa"/>
            <w:tcBorders>
              <w:top w:val="nil"/>
              <w:left w:val="nil"/>
              <w:bottom w:val="nil"/>
              <w:right w:val="nil"/>
            </w:tcBorders>
          </w:tcPr>
          <w:p>
            <w:pPr>
              <w:pStyle w:val="TableParagraph"/>
              <w:spacing w:before="26"/>
              <w:ind w:left="73"/>
              <w:jc w:val="left"/>
              <w:rPr>
                <w:sz w:val="20"/>
              </w:rPr>
            </w:pPr>
            <w:r>
              <w:rPr>
                <w:sz w:val="20"/>
              </w:rPr>
              <w:t>15029</w:t>
            </w:r>
          </w:p>
        </w:tc>
        <w:tc>
          <w:tcPr>
            <w:tcW w:w="1032" w:type="dxa"/>
            <w:tcBorders>
              <w:top w:val="nil"/>
              <w:left w:val="nil"/>
              <w:bottom w:val="nil"/>
              <w:right w:val="nil"/>
            </w:tcBorders>
          </w:tcPr>
          <w:p>
            <w:pPr>
              <w:pStyle w:val="TableParagraph"/>
              <w:spacing w:before="26"/>
              <w:ind w:right="87"/>
              <w:rPr>
                <w:sz w:val="20"/>
              </w:rPr>
            </w:pPr>
            <w:r>
              <w:rPr>
                <w:sz w:val="20"/>
              </w:rPr>
              <w:t>-0.411</w:t>
            </w:r>
          </w:p>
        </w:tc>
        <w:tc>
          <w:tcPr>
            <w:tcW w:w="1056" w:type="dxa"/>
            <w:tcBorders>
              <w:top w:val="nil"/>
              <w:left w:val="nil"/>
              <w:bottom w:val="nil"/>
              <w:right w:val="nil"/>
            </w:tcBorders>
          </w:tcPr>
          <w:p>
            <w:pPr>
              <w:pStyle w:val="TableParagraph"/>
              <w:spacing w:before="26"/>
              <w:ind w:right="82"/>
              <w:rPr>
                <w:sz w:val="20"/>
              </w:rPr>
            </w:pPr>
            <w:r>
              <w:rPr>
                <w:sz w:val="20"/>
              </w:rPr>
              <w:t>0.675</w:t>
            </w:r>
          </w:p>
        </w:tc>
        <w:tc>
          <w:tcPr>
            <w:tcW w:w="1025" w:type="dxa"/>
            <w:tcBorders>
              <w:top w:val="nil"/>
              <w:left w:val="nil"/>
              <w:bottom w:val="nil"/>
              <w:right w:val="nil"/>
            </w:tcBorders>
          </w:tcPr>
          <w:p>
            <w:pPr>
              <w:pStyle w:val="TableParagraph"/>
              <w:spacing w:before="26"/>
              <w:ind w:right="65"/>
              <w:rPr>
                <w:sz w:val="20"/>
              </w:rPr>
            </w:pPr>
            <w:r>
              <w:rPr>
                <w:sz w:val="20"/>
              </w:rPr>
              <w:t>2.792</w:t>
            </w:r>
          </w:p>
        </w:tc>
        <w:tc>
          <w:tcPr>
            <w:tcW w:w="984" w:type="dxa"/>
            <w:tcBorders>
              <w:top w:val="nil"/>
              <w:left w:val="nil"/>
              <w:bottom w:val="nil"/>
              <w:right w:val="nil"/>
            </w:tcBorders>
          </w:tcPr>
          <w:p>
            <w:pPr>
              <w:pStyle w:val="TableParagraph"/>
              <w:spacing w:before="26"/>
              <w:ind w:right="70"/>
              <w:rPr>
                <w:sz w:val="20"/>
              </w:rPr>
            </w:pPr>
            <w:r>
              <w:rPr>
                <w:sz w:val="20"/>
              </w:rPr>
              <w:t>5.061</w:t>
            </w:r>
          </w:p>
        </w:tc>
        <w:tc>
          <w:tcPr>
            <w:tcW w:w="999" w:type="dxa"/>
            <w:tcBorders>
              <w:top w:val="nil"/>
              <w:left w:val="nil"/>
              <w:bottom w:val="nil"/>
              <w:right w:val="nil"/>
            </w:tcBorders>
          </w:tcPr>
          <w:p>
            <w:pPr>
              <w:pStyle w:val="TableParagraph"/>
              <w:spacing w:before="26"/>
              <w:ind w:right="70"/>
              <w:rPr>
                <w:sz w:val="20"/>
              </w:rPr>
            </w:pPr>
            <w:r>
              <w:rPr>
                <w:sz w:val="20"/>
              </w:rPr>
              <w:t>7.326</w:t>
            </w:r>
          </w:p>
        </w:tc>
        <w:tc>
          <w:tcPr>
            <w:tcW w:w="1003" w:type="dxa"/>
            <w:tcBorders>
              <w:top w:val="nil"/>
              <w:left w:val="nil"/>
              <w:bottom w:val="nil"/>
              <w:right w:val="nil"/>
            </w:tcBorders>
          </w:tcPr>
          <w:p>
            <w:pPr>
              <w:pStyle w:val="TableParagraph"/>
              <w:spacing w:before="26"/>
              <w:ind w:right="75"/>
              <w:rPr>
                <w:sz w:val="20"/>
              </w:rPr>
            </w:pPr>
            <w:r>
              <w:rPr>
                <w:sz w:val="20"/>
              </w:rPr>
              <w:t>9.335</w:t>
            </w:r>
          </w:p>
        </w:tc>
        <w:tc>
          <w:tcPr>
            <w:tcW w:w="1011" w:type="dxa"/>
            <w:tcBorders>
              <w:top w:val="nil"/>
              <w:left w:val="nil"/>
              <w:bottom w:val="nil"/>
              <w:right w:val="nil"/>
            </w:tcBorders>
          </w:tcPr>
          <w:p>
            <w:pPr>
              <w:pStyle w:val="TableParagraph"/>
              <w:spacing w:before="26"/>
              <w:ind w:right="67"/>
              <w:rPr>
                <w:sz w:val="20"/>
              </w:rPr>
            </w:pPr>
            <w:r>
              <w:rPr>
                <w:sz w:val="20"/>
              </w:rPr>
              <w:t>9.264</w:t>
            </w:r>
          </w:p>
        </w:tc>
        <w:tc>
          <w:tcPr>
            <w:tcW w:w="977" w:type="dxa"/>
            <w:tcBorders>
              <w:top w:val="nil"/>
              <w:left w:val="nil"/>
              <w:bottom w:val="nil"/>
              <w:right w:val="nil"/>
            </w:tcBorders>
          </w:tcPr>
          <w:p>
            <w:pPr>
              <w:pStyle w:val="TableParagraph"/>
              <w:spacing w:before="26"/>
              <w:ind w:right="65"/>
              <w:rPr>
                <w:sz w:val="20"/>
              </w:rPr>
            </w:pPr>
            <w:r>
              <w:rPr>
                <w:sz w:val="20"/>
              </w:rPr>
              <w:t>9.222</w:t>
            </w:r>
          </w:p>
        </w:tc>
        <w:tc>
          <w:tcPr>
            <w:tcW w:w="980" w:type="dxa"/>
            <w:tcBorders>
              <w:top w:val="nil"/>
              <w:left w:val="nil"/>
              <w:bottom w:val="nil"/>
              <w:right w:val="nil"/>
            </w:tcBorders>
          </w:tcPr>
          <w:p>
            <w:pPr>
              <w:pStyle w:val="TableParagraph"/>
              <w:spacing w:before="26"/>
              <w:ind w:right="65"/>
              <w:rPr>
                <w:sz w:val="20"/>
              </w:rPr>
            </w:pPr>
            <w:r>
              <w:rPr>
                <w:sz w:val="20"/>
              </w:rPr>
              <w:t>8.933</w:t>
            </w:r>
          </w:p>
        </w:tc>
        <w:tc>
          <w:tcPr>
            <w:tcW w:w="1076" w:type="dxa"/>
            <w:tcBorders>
              <w:top w:val="nil"/>
              <w:left w:val="nil"/>
              <w:bottom w:val="nil"/>
              <w:right w:val="nil"/>
            </w:tcBorders>
          </w:tcPr>
          <w:p>
            <w:pPr>
              <w:pStyle w:val="TableParagraph"/>
              <w:spacing w:before="26"/>
              <w:ind w:right="65"/>
              <w:rPr>
                <w:sz w:val="20"/>
              </w:rPr>
            </w:pPr>
            <w:r>
              <w:rPr>
                <w:sz w:val="20"/>
              </w:rPr>
              <w:t>5.921</w:t>
            </w:r>
          </w:p>
        </w:tc>
        <w:tc>
          <w:tcPr>
            <w:tcW w:w="1073" w:type="dxa"/>
            <w:tcBorders>
              <w:top w:val="nil"/>
              <w:left w:val="nil"/>
              <w:bottom w:val="nil"/>
              <w:right w:val="nil"/>
            </w:tcBorders>
          </w:tcPr>
          <w:p>
            <w:pPr>
              <w:pStyle w:val="TableParagraph"/>
              <w:spacing w:before="26"/>
              <w:ind w:right="63"/>
              <w:rPr>
                <w:sz w:val="20"/>
              </w:rPr>
            </w:pPr>
            <w:r>
              <w:rPr>
                <w:sz w:val="20"/>
              </w:rPr>
              <w:t>2.423</w:t>
            </w:r>
          </w:p>
        </w:tc>
        <w:tc>
          <w:tcPr>
            <w:tcW w:w="1068" w:type="dxa"/>
            <w:tcBorders>
              <w:top w:val="nil"/>
              <w:left w:val="nil"/>
              <w:bottom w:val="nil"/>
              <w:right w:val="nil"/>
            </w:tcBorders>
          </w:tcPr>
          <w:p>
            <w:pPr>
              <w:pStyle w:val="TableParagraph"/>
              <w:spacing w:before="26"/>
              <w:ind w:right="60"/>
              <w:rPr>
                <w:sz w:val="20"/>
              </w:rPr>
            </w:pPr>
            <w:r>
              <w:rPr>
                <w:sz w:val="20"/>
              </w:rPr>
              <w:t>0.539</w:t>
            </w:r>
          </w:p>
        </w:tc>
      </w:tr>
      <w:tr>
        <w:trPr>
          <w:trHeight w:val="300" w:hRule="exact"/>
        </w:trPr>
        <w:tc>
          <w:tcPr>
            <w:tcW w:w="1146" w:type="dxa"/>
            <w:tcBorders>
              <w:top w:val="nil"/>
              <w:left w:val="nil"/>
              <w:bottom w:val="nil"/>
              <w:right w:val="nil"/>
            </w:tcBorders>
          </w:tcPr>
          <w:p>
            <w:pPr>
              <w:pStyle w:val="TableParagraph"/>
              <w:ind w:left="86"/>
              <w:jc w:val="left"/>
              <w:rPr>
                <w:sz w:val="20"/>
              </w:rPr>
            </w:pPr>
            <w:r>
              <w:rPr>
                <w:sz w:val="20"/>
              </w:rPr>
              <w:t>21</w:t>
            </w:r>
          </w:p>
        </w:tc>
        <w:tc>
          <w:tcPr>
            <w:tcW w:w="1056" w:type="dxa"/>
            <w:tcBorders>
              <w:top w:val="nil"/>
              <w:left w:val="nil"/>
              <w:bottom w:val="nil"/>
              <w:right w:val="nil"/>
            </w:tcBorders>
          </w:tcPr>
          <w:p>
            <w:pPr>
              <w:pStyle w:val="TableParagraph"/>
              <w:ind w:left="73"/>
              <w:jc w:val="left"/>
              <w:rPr>
                <w:sz w:val="20"/>
              </w:rPr>
            </w:pPr>
            <w:r>
              <w:rPr>
                <w:sz w:val="20"/>
              </w:rPr>
              <w:t>15001</w:t>
            </w:r>
          </w:p>
        </w:tc>
        <w:tc>
          <w:tcPr>
            <w:tcW w:w="1032" w:type="dxa"/>
            <w:tcBorders>
              <w:top w:val="nil"/>
              <w:left w:val="nil"/>
              <w:bottom w:val="nil"/>
              <w:right w:val="nil"/>
            </w:tcBorders>
          </w:tcPr>
          <w:p>
            <w:pPr>
              <w:pStyle w:val="TableParagraph"/>
              <w:ind w:right="87"/>
              <w:rPr>
                <w:sz w:val="20"/>
              </w:rPr>
            </w:pPr>
            <w:r>
              <w:rPr>
                <w:sz w:val="20"/>
              </w:rPr>
              <w:t>2.092</w:t>
            </w:r>
          </w:p>
        </w:tc>
        <w:tc>
          <w:tcPr>
            <w:tcW w:w="1056" w:type="dxa"/>
            <w:tcBorders>
              <w:top w:val="nil"/>
              <w:left w:val="nil"/>
              <w:bottom w:val="nil"/>
              <w:right w:val="nil"/>
            </w:tcBorders>
          </w:tcPr>
          <w:p>
            <w:pPr>
              <w:pStyle w:val="TableParagraph"/>
              <w:ind w:right="82"/>
              <w:rPr>
                <w:sz w:val="20"/>
              </w:rPr>
            </w:pPr>
            <w:r>
              <w:rPr>
                <w:sz w:val="20"/>
              </w:rPr>
              <w:t>2.906</w:t>
            </w:r>
          </w:p>
        </w:tc>
        <w:tc>
          <w:tcPr>
            <w:tcW w:w="1025" w:type="dxa"/>
            <w:tcBorders>
              <w:top w:val="nil"/>
              <w:left w:val="nil"/>
              <w:bottom w:val="nil"/>
              <w:right w:val="nil"/>
            </w:tcBorders>
          </w:tcPr>
          <w:p>
            <w:pPr>
              <w:pStyle w:val="TableParagraph"/>
              <w:ind w:right="65"/>
              <w:rPr>
                <w:sz w:val="20"/>
              </w:rPr>
            </w:pPr>
            <w:r>
              <w:rPr>
                <w:sz w:val="20"/>
              </w:rPr>
              <w:t>5.063</w:t>
            </w:r>
          </w:p>
        </w:tc>
        <w:tc>
          <w:tcPr>
            <w:tcW w:w="984" w:type="dxa"/>
            <w:tcBorders>
              <w:top w:val="nil"/>
              <w:left w:val="nil"/>
              <w:bottom w:val="nil"/>
              <w:right w:val="nil"/>
            </w:tcBorders>
          </w:tcPr>
          <w:p>
            <w:pPr>
              <w:pStyle w:val="TableParagraph"/>
              <w:ind w:right="70"/>
              <w:rPr>
                <w:sz w:val="20"/>
              </w:rPr>
            </w:pPr>
            <w:r>
              <w:rPr>
                <w:sz w:val="20"/>
              </w:rPr>
              <w:t>6.595</w:t>
            </w:r>
          </w:p>
        </w:tc>
        <w:tc>
          <w:tcPr>
            <w:tcW w:w="999" w:type="dxa"/>
            <w:tcBorders>
              <w:top w:val="nil"/>
              <w:left w:val="nil"/>
              <w:bottom w:val="nil"/>
              <w:right w:val="nil"/>
            </w:tcBorders>
          </w:tcPr>
          <w:p>
            <w:pPr>
              <w:pStyle w:val="TableParagraph"/>
              <w:ind w:right="70"/>
              <w:rPr>
                <w:sz w:val="20"/>
              </w:rPr>
            </w:pPr>
            <w:r>
              <w:rPr>
                <w:sz w:val="20"/>
              </w:rPr>
              <w:t>7.684</w:t>
            </w:r>
          </w:p>
        </w:tc>
        <w:tc>
          <w:tcPr>
            <w:tcW w:w="1003" w:type="dxa"/>
            <w:tcBorders>
              <w:top w:val="nil"/>
              <w:left w:val="nil"/>
              <w:bottom w:val="nil"/>
              <w:right w:val="nil"/>
            </w:tcBorders>
          </w:tcPr>
          <w:p>
            <w:pPr>
              <w:pStyle w:val="TableParagraph"/>
              <w:ind w:right="75"/>
              <w:rPr>
                <w:sz w:val="20"/>
              </w:rPr>
            </w:pPr>
            <w:r>
              <w:rPr>
                <w:sz w:val="20"/>
              </w:rPr>
              <w:t>8.661</w:t>
            </w:r>
          </w:p>
        </w:tc>
        <w:tc>
          <w:tcPr>
            <w:tcW w:w="1011" w:type="dxa"/>
            <w:tcBorders>
              <w:top w:val="nil"/>
              <w:left w:val="nil"/>
              <w:bottom w:val="nil"/>
              <w:right w:val="nil"/>
            </w:tcBorders>
          </w:tcPr>
          <w:p>
            <w:pPr>
              <w:pStyle w:val="TableParagraph"/>
              <w:ind w:right="67"/>
              <w:rPr>
                <w:sz w:val="20"/>
              </w:rPr>
            </w:pPr>
            <w:r>
              <w:rPr>
                <w:sz w:val="20"/>
              </w:rPr>
              <w:t>8.445</w:t>
            </w:r>
          </w:p>
        </w:tc>
        <w:tc>
          <w:tcPr>
            <w:tcW w:w="977" w:type="dxa"/>
            <w:tcBorders>
              <w:top w:val="nil"/>
              <w:left w:val="nil"/>
              <w:bottom w:val="nil"/>
              <w:right w:val="nil"/>
            </w:tcBorders>
          </w:tcPr>
          <w:p>
            <w:pPr>
              <w:pStyle w:val="TableParagraph"/>
              <w:ind w:right="65"/>
              <w:rPr>
                <w:sz w:val="20"/>
              </w:rPr>
            </w:pPr>
            <w:r>
              <w:rPr>
                <w:sz w:val="20"/>
              </w:rPr>
              <w:t>8.408</w:t>
            </w:r>
          </w:p>
        </w:tc>
        <w:tc>
          <w:tcPr>
            <w:tcW w:w="980" w:type="dxa"/>
            <w:tcBorders>
              <w:top w:val="nil"/>
              <w:left w:val="nil"/>
              <w:bottom w:val="nil"/>
              <w:right w:val="nil"/>
            </w:tcBorders>
          </w:tcPr>
          <w:p>
            <w:pPr>
              <w:pStyle w:val="TableParagraph"/>
              <w:ind w:right="65"/>
              <w:rPr>
                <w:sz w:val="20"/>
              </w:rPr>
            </w:pPr>
            <w:r>
              <w:rPr>
                <w:sz w:val="20"/>
              </w:rPr>
              <w:t>8.137</w:t>
            </w:r>
          </w:p>
        </w:tc>
        <w:tc>
          <w:tcPr>
            <w:tcW w:w="1076" w:type="dxa"/>
            <w:tcBorders>
              <w:top w:val="nil"/>
              <w:left w:val="nil"/>
              <w:bottom w:val="nil"/>
              <w:right w:val="nil"/>
            </w:tcBorders>
          </w:tcPr>
          <w:p>
            <w:pPr>
              <w:pStyle w:val="TableParagraph"/>
              <w:ind w:right="65"/>
              <w:rPr>
                <w:sz w:val="20"/>
              </w:rPr>
            </w:pPr>
            <w:r>
              <w:rPr>
                <w:sz w:val="20"/>
              </w:rPr>
              <w:t>6.447</w:t>
            </w:r>
          </w:p>
        </w:tc>
        <w:tc>
          <w:tcPr>
            <w:tcW w:w="1073" w:type="dxa"/>
            <w:tcBorders>
              <w:top w:val="nil"/>
              <w:left w:val="nil"/>
              <w:bottom w:val="nil"/>
              <w:right w:val="nil"/>
            </w:tcBorders>
          </w:tcPr>
          <w:p>
            <w:pPr>
              <w:pStyle w:val="TableParagraph"/>
              <w:ind w:right="63"/>
              <w:rPr>
                <w:sz w:val="20"/>
              </w:rPr>
            </w:pPr>
            <w:r>
              <w:rPr>
                <w:sz w:val="20"/>
              </w:rPr>
              <w:t>4.047</w:t>
            </w:r>
          </w:p>
        </w:tc>
        <w:tc>
          <w:tcPr>
            <w:tcW w:w="1068" w:type="dxa"/>
            <w:tcBorders>
              <w:top w:val="nil"/>
              <w:left w:val="nil"/>
              <w:bottom w:val="nil"/>
              <w:right w:val="nil"/>
            </w:tcBorders>
          </w:tcPr>
          <w:p>
            <w:pPr>
              <w:pStyle w:val="TableParagraph"/>
              <w:ind w:right="60"/>
              <w:rPr>
                <w:sz w:val="20"/>
              </w:rPr>
            </w:pPr>
            <w:r>
              <w:rPr>
                <w:sz w:val="20"/>
              </w:rPr>
              <w:t>2.818</w:t>
            </w:r>
          </w:p>
        </w:tc>
      </w:tr>
      <w:tr>
        <w:trPr>
          <w:trHeight w:val="300" w:hRule="exact"/>
        </w:trPr>
        <w:tc>
          <w:tcPr>
            <w:tcW w:w="1146" w:type="dxa"/>
            <w:tcBorders>
              <w:top w:val="nil"/>
              <w:left w:val="nil"/>
              <w:bottom w:val="nil"/>
              <w:right w:val="nil"/>
            </w:tcBorders>
          </w:tcPr>
          <w:p>
            <w:pPr>
              <w:pStyle w:val="TableParagraph"/>
              <w:spacing w:before="26"/>
              <w:ind w:left="86"/>
              <w:jc w:val="left"/>
              <w:rPr>
                <w:sz w:val="20"/>
              </w:rPr>
            </w:pPr>
            <w:r>
              <w:rPr>
                <w:sz w:val="20"/>
              </w:rPr>
              <w:t>22</w:t>
            </w:r>
          </w:p>
        </w:tc>
        <w:tc>
          <w:tcPr>
            <w:tcW w:w="1056" w:type="dxa"/>
            <w:tcBorders>
              <w:top w:val="nil"/>
              <w:left w:val="nil"/>
              <w:bottom w:val="nil"/>
              <w:right w:val="nil"/>
            </w:tcBorders>
          </w:tcPr>
          <w:p>
            <w:pPr>
              <w:pStyle w:val="TableParagraph"/>
              <w:spacing w:before="26"/>
              <w:ind w:left="73"/>
              <w:jc w:val="left"/>
              <w:rPr>
                <w:sz w:val="20"/>
              </w:rPr>
            </w:pPr>
            <w:r>
              <w:rPr>
                <w:sz w:val="20"/>
              </w:rPr>
              <w:t>15029</w:t>
            </w:r>
          </w:p>
        </w:tc>
        <w:tc>
          <w:tcPr>
            <w:tcW w:w="1032" w:type="dxa"/>
            <w:tcBorders>
              <w:top w:val="nil"/>
              <w:left w:val="nil"/>
              <w:bottom w:val="nil"/>
              <w:right w:val="nil"/>
            </w:tcBorders>
          </w:tcPr>
          <w:p>
            <w:pPr>
              <w:pStyle w:val="TableParagraph"/>
              <w:spacing w:before="26"/>
              <w:ind w:right="87"/>
              <w:rPr>
                <w:sz w:val="20"/>
              </w:rPr>
            </w:pPr>
            <w:r>
              <w:rPr>
                <w:sz w:val="20"/>
              </w:rPr>
              <w:t>-0.411</w:t>
            </w:r>
          </w:p>
        </w:tc>
        <w:tc>
          <w:tcPr>
            <w:tcW w:w="1056" w:type="dxa"/>
            <w:tcBorders>
              <w:top w:val="nil"/>
              <w:left w:val="nil"/>
              <w:bottom w:val="nil"/>
              <w:right w:val="nil"/>
            </w:tcBorders>
          </w:tcPr>
          <w:p>
            <w:pPr>
              <w:pStyle w:val="TableParagraph"/>
              <w:spacing w:before="26"/>
              <w:ind w:right="82"/>
              <w:rPr>
                <w:sz w:val="20"/>
              </w:rPr>
            </w:pPr>
            <w:r>
              <w:rPr>
                <w:sz w:val="20"/>
              </w:rPr>
              <w:t>0.675</w:t>
            </w:r>
          </w:p>
        </w:tc>
        <w:tc>
          <w:tcPr>
            <w:tcW w:w="1025" w:type="dxa"/>
            <w:tcBorders>
              <w:top w:val="nil"/>
              <w:left w:val="nil"/>
              <w:bottom w:val="nil"/>
              <w:right w:val="nil"/>
            </w:tcBorders>
          </w:tcPr>
          <w:p>
            <w:pPr>
              <w:pStyle w:val="TableParagraph"/>
              <w:spacing w:before="26"/>
              <w:ind w:right="65"/>
              <w:rPr>
                <w:sz w:val="20"/>
              </w:rPr>
            </w:pPr>
            <w:r>
              <w:rPr>
                <w:sz w:val="20"/>
              </w:rPr>
              <w:t>2.792</w:t>
            </w:r>
          </w:p>
        </w:tc>
        <w:tc>
          <w:tcPr>
            <w:tcW w:w="984" w:type="dxa"/>
            <w:tcBorders>
              <w:top w:val="nil"/>
              <w:left w:val="nil"/>
              <w:bottom w:val="nil"/>
              <w:right w:val="nil"/>
            </w:tcBorders>
          </w:tcPr>
          <w:p>
            <w:pPr>
              <w:pStyle w:val="TableParagraph"/>
              <w:spacing w:before="26"/>
              <w:ind w:right="70"/>
              <w:rPr>
                <w:sz w:val="20"/>
              </w:rPr>
            </w:pPr>
            <w:r>
              <w:rPr>
                <w:sz w:val="20"/>
              </w:rPr>
              <w:t>5.061</w:t>
            </w:r>
          </w:p>
        </w:tc>
        <w:tc>
          <w:tcPr>
            <w:tcW w:w="999" w:type="dxa"/>
            <w:tcBorders>
              <w:top w:val="nil"/>
              <w:left w:val="nil"/>
              <w:bottom w:val="nil"/>
              <w:right w:val="nil"/>
            </w:tcBorders>
          </w:tcPr>
          <w:p>
            <w:pPr>
              <w:pStyle w:val="TableParagraph"/>
              <w:spacing w:before="26"/>
              <w:ind w:right="70"/>
              <w:rPr>
                <w:sz w:val="20"/>
              </w:rPr>
            </w:pPr>
            <w:r>
              <w:rPr>
                <w:sz w:val="20"/>
              </w:rPr>
              <w:t>7.326</w:t>
            </w:r>
          </w:p>
        </w:tc>
        <w:tc>
          <w:tcPr>
            <w:tcW w:w="1003" w:type="dxa"/>
            <w:tcBorders>
              <w:top w:val="nil"/>
              <w:left w:val="nil"/>
              <w:bottom w:val="nil"/>
              <w:right w:val="nil"/>
            </w:tcBorders>
          </w:tcPr>
          <w:p>
            <w:pPr>
              <w:pStyle w:val="TableParagraph"/>
              <w:spacing w:before="26"/>
              <w:ind w:right="75"/>
              <w:rPr>
                <w:sz w:val="20"/>
              </w:rPr>
            </w:pPr>
            <w:r>
              <w:rPr>
                <w:sz w:val="20"/>
              </w:rPr>
              <w:t>9.335</w:t>
            </w:r>
          </w:p>
        </w:tc>
        <w:tc>
          <w:tcPr>
            <w:tcW w:w="1011" w:type="dxa"/>
            <w:tcBorders>
              <w:top w:val="nil"/>
              <w:left w:val="nil"/>
              <w:bottom w:val="nil"/>
              <w:right w:val="nil"/>
            </w:tcBorders>
          </w:tcPr>
          <w:p>
            <w:pPr>
              <w:pStyle w:val="TableParagraph"/>
              <w:spacing w:before="26"/>
              <w:ind w:right="67"/>
              <w:rPr>
                <w:sz w:val="20"/>
              </w:rPr>
            </w:pPr>
            <w:r>
              <w:rPr>
                <w:sz w:val="20"/>
              </w:rPr>
              <w:t>9.264</w:t>
            </w:r>
          </w:p>
        </w:tc>
        <w:tc>
          <w:tcPr>
            <w:tcW w:w="977" w:type="dxa"/>
            <w:tcBorders>
              <w:top w:val="nil"/>
              <w:left w:val="nil"/>
              <w:bottom w:val="nil"/>
              <w:right w:val="nil"/>
            </w:tcBorders>
          </w:tcPr>
          <w:p>
            <w:pPr>
              <w:pStyle w:val="TableParagraph"/>
              <w:spacing w:before="26"/>
              <w:ind w:right="65"/>
              <w:rPr>
                <w:sz w:val="20"/>
              </w:rPr>
            </w:pPr>
            <w:r>
              <w:rPr>
                <w:sz w:val="20"/>
              </w:rPr>
              <w:t>9.222</w:t>
            </w:r>
          </w:p>
        </w:tc>
        <w:tc>
          <w:tcPr>
            <w:tcW w:w="980" w:type="dxa"/>
            <w:tcBorders>
              <w:top w:val="nil"/>
              <w:left w:val="nil"/>
              <w:bottom w:val="nil"/>
              <w:right w:val="nil"/>
            </w:tcBorders>
          </w:tcPr>
          <w:p>
            <w:pPr>
              <w:pStyle w:val="TableParagraph"/>
              <w:spacing w:before="26"/>
              <w:ind w:right="65"/>
              <w:rPr>
                <w:sz w:val="20"/>
              </w:rPr>
            </w:pPr>
            <w:r>
              <w:rPr>
                <w:sz w:val="20"/>
              </w:rPr>
              <w:t>8.933</w:t>
            </w:r>
          </w:p>
        </w:tc>
        <w:tc>
          <w:tcPr>
            <w:tcW w:w="1076" w:type="dxa"/>
            <w:tcBorders>
              <w:top w:val="nil"/>
              <w:left w:val="nil"/>
              <w:bottom w:val="nil"/>
              <w:right w:val="nil"/>
            </w:tcBorders>
          </w:tcPr>
          <w:p>
            <w:pPr>
              <w:pStyle w:val="TableParagraph"/>
              <w:spacing w:before="26"/>
              <w:ind w:right="65"/>
              <w:rPr>
                <w:sz w:val="20"/>
              </w:rPr>
            </w:pPr>
            <w:r>
              <w:rPr>
                <w:sz w:val="20"/>
              </w:rPr>
              <w:t>5.921</w:t>
            </w:r>
          </w:p>
        </w:tc>
        <w:tc>
          <w:tcPr>
            <w:tcW w:w="1073" w:type="dxa"/>
            <w:tcBorders>
              <w:top w:val="nil"/>
              <w:left w:val="nil"/>
              <w:bottom w:val="nil"/>
              <w:right w:val="nil"/>
            </w:tcBorders>
          </w:tcPr>
          <w:p>
            <w:pPr>
              <w:pStyle w:val="TableParagraph"/>
              <w:spacing w:before="26"/>
              <w:ind w:right="63"/>
              <w:rPr>
                <w:sz w:val="20"/>
              </w:rPr>
            </w:pPr>
            <w:r>
              <w:rPr>
                <w:sz w:val="20"/>
              </w:rPr>
              <w:t>2.423</w:t>
            </w:r>
          </w:p>
        </w:tc>
        <w:tc>
          <w:tcPr>
            <w:tcW w:w="1068" w:type="dxa"/>
            <w:tcBorders>
              <w:top w:val="nil"/>
              <w:left w:val="nil"/>
              <w:bottom w:val="nil"/>
              <w:right w:val="nil"/>
            </w:tcBorders>
          </w:tcPr>
          <w:p>
            <w:pPr>
              <w:pStyle w:val="TableParagraph"/>
              <w:spacing w:before="26"/>
              <w:ind w:right="60"/>
              <w:rPr>
                <w:sz w:val="20"/>
              </w:rPr>
            </w:pPr>
            <w:r>
              <w:rPr>
                <w:sz w:val="20"/>
              </w:rPr>
              <w:t>0.539</w:t>
            </w:r>
          </w:p>
        </w:tc>
      </w:tr>
      <w:tr>
        <w:trPr>
          <w:trHeight w:val="300" w:hRule="exact"/>
        </w:trPr>
        <w:tc>
          <w:tcPr>
            <w:tcW w:w="1146" w:type="dxa"/>
            <w:tcBorders>
              <w:top w:val="nil"/>
              <w:left w:val="nil"/>
              <w:bottom w:val="nil"/>
              <w:right w:val="nil"/>
            </w:tcBorders>
          </w:tcPr>
          <w:p>
            <w:pPr>
              <w:pStyle w:val="TableParagraph"/>
              <w:spacing w:before="24"/>
              <w:ind w:left="86"/>
              <w:jc w:val="left"/>
              <w:rPr>
                <w:sz w:val="20"/>
              </w:rPr>
            </w:pPr>
            <w:r>
              <w:rPr>
                <w:sz w:val="20"/>
              </w:rPr>
              <w:t>23</w:t>
            </w:r>
          </w:p>
        </w:tc>
        <w:tc>
          <w:tcPr>
            <w:tcW w:w="1056" w:type="dxa"/>
            <w:tcBorders>
              <w:top w:val="nil"/>
              <w:left w:val="nil"/>
              <w:bottom w:val="nil"/>
              <w:right w:val="nil"/>
            </w:tcBorders>
          </w:tcPr>
          <w:p>
            <w:pPr>
              <w:pStyle w:val="TableParagraph"/>
              <w:spacing w:before="24"/>
              <w:ind w:left="73"/>
              <w:jc w:val="left"/>
              <w:rPr>
                <w:sz w:val="20"/>
              </w:rPr>
            </w:pPr>
            <w:r>
              <w:rPr>
                <w:sz w:val="20"/>
              </w:rPr>
              <w:t>15001</w:t>
            </w:r>
          </w:p>
        </w:tc>
        <w:tc>
          <w:tcPr>
            <w:tcW w:w="1032" w:type="dxa"/>
            <w:tcBorders>
              <w:top w:val="nil"/>
              <w:left w:val="nil"/>
              <w:bottom w:val="nil"/>
              <w:right w:val="nil"/>
            </w:tcBorders>
          </w:tcPr>
          <w:p>
            <w:pPr>
              <w:pStyle w:val="TableParagraph"/>
              <w:spacing w:before="24"/>
              <w:ind w:right="87"/>
              <w:rPr>
                <w:sz w:val="20"/>
              </w:rPr>
            </w:pPr>
            <w:r>
              <w:rPr>
                <w:sz w:val="20"/>
              </w:rPr>
              <w:t>2.092</w:t>
            </w:r>
          </w:p>
        </w:tc>
        <w:tc>
          <w:tcPr>
            <w:tcW w:w="1056" w:type="dxa"/>
            <w:tcBorders>
              <w:top w:val="nil"/>
              <w:left w:val="nil"/>
              <w:bottom w:val="nil"/>
              <w:right w:val="nil"/>
            </w:tcBorders>
          </w:tcPr>
          <w:p>
            <w:pPr>
              <w:pStyle w:val="TableParagraph"/>
              <w:spacing w:before="24"/>
              <w:ind w:right="82"/>
              <w:rPr>
                <w:sz w:val="20"/>
              </w:rPr>
            </w:pPr>
            <w:r>
              <w:rPr>
                <w:sz w:val="20"/>
              </w:rPr>
              <w:t>2.906</w:t>
            </w:r>
          </w:p>
        </w:tc>
        <w:tc>
          <w:tcPr>
            <w:tcW w:w="1025" w:type="dxa"/>
            <w:tcBorders>
              <w:top w:val="nil"/>
              <w:left w:val="nil"/>
              <w:bottom w:val="nil"/>
              <w:right w:val="nil"/>
            </w:tcBorders>
          </w:tcPr>
          <w:p>
            <w:pPr>
              <w:pStyle w:val="TableParagraph"/>
              <w:spacing w:before="24"/>
              <w:ind w:right="65"/>
              <w:rPr>
                <w:sz w:val="20"/>
              </w:rPr>
            </w:pPr>
            <w:r>
              <w:rPr>
                <w:sz w:val="20"/>
              </w:rPr>
              <w:t>5.063</w:t>
            </w:r>
          </w:p>
        </w:tc>
        <w:tc>
          <w:tcPr>
            <w:tcW w:w="984" w:type="dxa"/>
            <w:tcBorders>
              <w:top w:val="nil"/>
              <w:left w:val="nil"/>
              <w:bottom w:val="nil"/>
              <w:right w:val="nil"/>
            </w:tcBorders>
          </w:tcPr>
          <w:p>
            <w:pPr>
              <w:pStyle w:val="TableParagraph"/>
              <w:spacing w:before="24"/>
              <w:ind w:right="70"/>
              <w:rPr>
                <w:sz w:val="20"/>
              </w:rPr>
            </w:pPr>
            <w:r>
              <w:rPr>
                <w:sz w:val="20"/>
              </w:rPr>
              <w:t>6.595</w:t>
            </w:r>
          </w:p>
        </w:tc>
        <w:tc>
          <w:tcPr>
            <w:tcW w:w="999" w:type="dxa"/>
            <w:tcBorders>
              <w:top w:val="nil"/>
              <w:left w:val="nil"/>
              <w:bottom w:val="nil"/>
              <w:right w:val="nil"/>
            </w:tcBorders>
          </w:tcPr>
          <w:p>
            <w:pPr>
              <w:pStyle w:val="TableParagraph"/>
              <w:spacing w:before="24"/>
              <w:ind w:right="70"/>
              <w:rPr>
                <w:sz w:val="20"/>
              </w:rPr>
            </w:pPr>
            <w:r>
              <w:rPr>
                <w:sz w:val="20"/>
              </w:rPr>
              <w:t>7.684</w:t>
            </w:r>
          </w:p>
        </w:tc>
        <w:tc>
          <w:tcPr>
            <w:tcW w:w="1003" w:type="dxa"/>
            <w:tcBorders>
              <w:top w:val="nil"/>
              <w:left w:val="nil"/>
              <w:bottom w:val="nil"/>
              <w:right w:val="nil"/>
            </w:tcBorders>
          </w:tcPr>
          <w:p>
            <w:pPr>
              <w:pStyle w:val="TableParagraph"/>
              <w:spacing w:before="24"/>
              <w:ind w:right="75"/>
              <w:rPr>
                <w:sz w:val="20"/>
              </w:rPr>
            </w:pPr>
            <w:r>
              <w:rPr>
                <w:sz w:val="20"/>
              </w:rPr>
              <w:t>8.661</w:t>
            </w:r>
          </w:p>
        </w:tc>
        <w:tc>
          <w:tcPr>
            <w:tcW w:w="1011" w:type="dxa"/>
            <w:tcBorders>
              <w:top w:val="nil"/>
              <w:left w:val="nil"/>
              <w:bottom w:val="nil"/>
              <w:right w:val="nil"/>
            </w:tcBorders>
          </w:tcPr>
          <w:p>
            <w:pPr>
              <w:pStyle w:val="TableParagraph"/>
              <w:spacing w:before="24"/>
              <w:ind w:right="67"/>
              <w:rPr>
                <w:sz w:val="20"/>
              </w:rPr>
            </w:pPr>
            <w:r>
              <w:rPr>
                <w:sz w:val="20"/>
              </w:rPr>
              <w:t>8.445</w:t>
            </w:r>
          </w:p>
        </w:tc>
        <w:tc>
          <w:tcPr>
            <w:tcW w:w="977" w:type="dxa"/>
            <w:tcBorders>
              <w:top w:val="nil"/>
              <w:left w:val="nil"/>
              <w:bottom w:val="nil"/>
              <w:right w:val="nil"/>
            </w:tcBorders>
          </w:tcPr>
          <w:p>
            <w:pPr>
              <w:pStyle w:val="TableParagraph"/>
              <w:spacing w:before="24"/>
              <w:ind w:right="65"/>
              <w:rPr>
                <w:sz w:val="20"/>
              </w:rPr>
            </w:pPr>
            <w:r>
              <w:rPr>
                <w:sz w:val="20"/>
              </w:rPr>
              <w:t>8.408</w:t>
            </w:r>
          </w:p>
        </w:tc>
        <w:tc>
          <w:tcPr>
            <w:tcW w:w="980" w:type="dxa"/>
            <w:tcBorders>
              <w:top w:val="nil"/>
              <w:left w:val="nil"/>
              <w:bottom w:val="nil"/>
              <w:right w:val="nil"/>
            </w:tcBorders>
          </w:tcPr>
          <w:p>
            <w:pPr>
              <w:pStyle w:val="TableParagraph"/>
              <w:spacing w:before="24"/>
              <w:ind w:right="65"/>
              <w:rPr>
                <w:sz w:val="20"/>
              </w:rPr>
            </w:pPr>
            <w:r>
              <w:rPr>
                <w:sz w:val="20"/>
              </w:rPr>
              <w:t>8.137</w:t>
            </w:r>
          </w:p>
        </w:tc>
        <w:tc>
          <w:tcPr>
            <w:tcW w:w="1076" w:type="dxa"/>
            <w:tcBorders>
              <w:top w:val="nil"/>
              <w:left w:val="nil"/>
              <w:bottom w:val="nil"/>
              <w:right w:val="nil"/>
            </w:tcBorders>
          </w:tcPr>
          <w:p>
            <w:pPr>
              <w:pStyle w:val="TableParagraph"/>
              <w:spacing w:before="24"/>
              <w:ind w:right="65"/>
              <w:rPr>
                <w:sz w:val="20"/>
              </w:rPr>
            </w:pPr>
            <w:r>
              <w:rPr>
                <w:sz w:val="20"/>
              </w:rPr>
              <w:t>6.447</w:t>
            </w:r>
          </w:p>
        </w:tc>
        <w:tc>
          <w:tcPr>
            <w:tcW w:w="1073" w:type="dxa"/>
            <w:tcBorders>
              <w:top w:val="nil"/>
              <w:left w:val="nil"/>
              <w:bottom w:val="nil"/>
              <w:right w:val="nil"/>
            </w:tcBorders>
          </w:tcPr>
          <w:p>
            <w:pPr>
              <w:pStyle w:val="TableParagraph"/>
              <w:spacing w:before="24"/>
              <w:ind w:right="63"/>
              <w:rPr>
                <w:sz w:val="20"/>
              </w:rPr>
            </w:pPr>
            <w:r>
              <w:rPr>
                <w:sz w:val="20"/>
              </w:rPr>
              <w:t>4.047</w:t>
            </w:r>
          </w:p>
        </w:tc>
        <w:tc>
          <w:tcPr>
            <w:tcW w:w="1068" w:type="dxa"/>
            <w:tcBorders>
              <w:top w:val="nil"/>
              <w:left w:val="nil"/>
              <w:bottom w:val="nil"/>
              <w:right w:val="nil"/>
            </w:tcBorders>
          </w:tcPr>
          <w:p>
            <w:pPr>
              <w:pStyle w:val="TableParagraph"/>
              <w:spacing w:before="24"/>
              <w:ind w:right="60"/>
              <w:rPr>
                <w:sz w:val="20"/>
              </w:rPr>
            </w:pPr>
            <w:r>
              <w:rPr>
                <w:sz w:val="20"/>
              </w:rPr>
              <w:t>2.818</w:t>
            </w:r>
          </w:p>
        </w:tc>
      </w:tr>
      <w:tr>
        <w:trPr>
          <w:trHeight w:val="300" w:hRule="exact"/>
        </w:trPr>
        <w:tc>
          <w:tcPr>
            <w:tcW w:w="1146" w:type="dxa"/>
            <w:tcBorders>
              <w:top w:val="nil"/>
              <w:left w:val="nil"/>
              <w:bottom w:val="nil"/>
              <w:right w:val="nil"/>
            </w:tcBorders>
          </w:tcPr>
          <w:p>
            <w:pPr>
              <w:pStyle w:val="TableParagraph"/>
              <w:spacing w:before="26"/>
              <w:ind w:left="86"/>
              <w:jc w:val="left"/>
              <w:rPr>
                <w:sz w:val="20"/>
              </w:rPr>
            </w:pPr>
            <w:r>
              <w:rPr>
                <w:sz w:val="20"/>
              </w:rPr>
              <w:t>24</w:t>
            </w:r>
          </w:p>
        </w:tc>
        <w:tc>
          <w:tcPr>
            <w:tcW w:w="1056" w:type="dxa"/>
            <w:tcBorders>
              <w:top w:val="nil"/>
              <w:left w:val="nil"/>
              <w:bottom w:val="nil"/>
              <w:right w:val="nil"/>
            </w:tcBorders>
          </w:tcPr>
          <w:p>
            <w:pPr>
              <w:pStyle w:val="TableParagraph"/>
              <w:spacing w:before="26"/>
              <w:ind w:left="73"/>
              <w:jc w:val="left"/>
              <w:rPr>
                <w:sz w:val="20"/>
              </w:rPr>
            </w:pPr>
            <w:r>
              <w:rPr>
                <w:sz w:val="20"/>
              </w:rPr>
              <w:t>15029</w:t>
            </w:r>
          </w:p>
        </w:tc>
        <w:tc>
          <w:tcPr>
            <w:tcW w:w="1032" w:type="dxa"/>
            <w:tcBorders>
              <w:top w:val="nil"/>
              <w:left w:val="nil"/>
              <w:bottom w:val="nil"/>
              <w:right w:val="nil"/>
            </w:tcBorders>
          </w:tcPr>
          <w:p>
            <w:pPr>
              <w:pStyle w:val="TableParagraph"/>
              <w:spacing w:before="26"/>
              <w:ind w:right="87"/>
              <w:rPr>
                <w:sz w:val="20"/>
              </w:rPr>
            </w:pPr>
            <w:r>
              <w:rPr>
                <w:sz w:val="20"/>
              </w:rPr>
              <w:t>-0.411</w:t>
            </w:r>
          </w:p>
        </w:tc>
        <w:tc>
          <w:tcPr>
            <w:tcW w:w="1056" w:type="dxa"/>
            <w:tcBorders>
              <w:top w:val="nil"/>
              <w:left w:val="nil"/>
              <w:bottom w:val="nil"/>
              <w:right w:val="nil"/>
            </w:tcBorders>
          </w:tcPr>
          <w:p>
            <w:pPr>
              <w:pStyle w:val="TableParagraph"/>
              <w:spacing w:before="26"/>
              <w:ind w:right="82"/>
              <w:rPr>
                <w:sz w:val="20"/>
              </w:rPr>
            </w:pPr>
            <w:r>
              <w:rPr>
                <w:sz w:val="20"/>
              </w:rPr>
              <w:t>0.675</w:t>
            </w:r>
          </w:p>
        </w:tc>
        <w:tc>
          <w:tcPr>
            <w:tcW w:w="1025" w:type="dxa"/>
            <w:tcBorders>
              <w:top w:val="nil"/>
              <w:left w:val="nil"/>
              <w:bottom w:val="nil"/>
              <w:right w:val="nil"/>
            </w:tcBorders>
          </w:tcPr>
          <w:p>
            <w:pPr>
              <w:pStyle w:val="TableParagraph"/>
              <w:spacing w:before="26"/>
              <w:ind w:right="65"/>
              <w:rPr>
                <w:sz w:val="20"/>
              </w:rPr>
            </w:pPr>
            <w:r>
              <w:rPr>
                <w:sz w:val="20"/>
              </w:rPr>
              <w:t>2.792</w:t>
            </w:r>
          </w:p>
        </w:tc>
        <w:tc>
          <w:tcPr>
            <w:tcW w:w="984" w:type="dxa"/>
            <w:tcBorders>
              <w:top w:val="nil"/>
              <w:left w:val="nil"/>
              <w:bottom w:val="nil"/>
              <w:right w:val="nil"/>
            </w:tcBorders>
          </w:tcPr>
          <w:p>
            <w:pPr>
              <w:pStyle w:val="TableParagraph"/>
              <w:spacing w:before="26"/>
              <w:ind w:right="70"/>
              <w:rPr>
                <w:sz w:val="20"/>
              </w:rPr>
            </w:pPr>
            <w:r>
              <w:rPr>
                <w:sz w:val="20"/>
              </w:rPr>
              <w:t>5.061</w:t>
            </w:r>
          </w:p>
        </w:tc>
        <w:tc>
          <w:tcPr>
            <w:tcW w:w="999" w:type="dxa"/>
            <w:tcBorders>
              <w:top w:val="nil"/>
              <w:left w:val="nil"/>
              <w:bottom w:val="nil"/>
              <w:right w:val="nil"/>
            </w:tcBorders>
          </w:tcPr>
          <w:p>
            <w:pPr>
              <w:pStyle w:val="TableParagraph"/>
              <w:spacing w:before="26"/>
              <w:ind w:right="70"/>
              <w:rPr>
                <w:sz w:val="20"/>
              </w:rPr>
            </w:pPr>
            <w:r>
              <w:rPr>
                <w:sz w:val="20"/>
              </w:rPr>
              <w:t>7.326</w:t>
            </w:r>
          </w:p>
        </w:tc>
        <w:tc>
          <w:tcPr>
            <w:tcW w:w="1003" w:type="dxa"/>
            <w:tcBorders>
              <w:top w:val="nil"/>
              <w:left w:val="nil"/>
              <w:bottom w:val="nil"/>
              <w:right w:val="nil"/>
            </w:tcBorders>
          </w:tcPr>
          <w:p>
            <w:pPr>
              <w:pStyle w:val="TableParagraph"/>
              <w:spacing w:before="26"/>
              <w:ind w:right="75"/>
              <w:rPr>
                <w:sz w:val="20"/>
              </w:rPr>
            </w:pPr>
            <w:r>
              <w:rPr>
                <w:sz w:val="20"/>
              </w:rPr>
              <w:t>9.335</w:t>
            </w:r>
          </w:p>
        </w:tc>
        <w:tc>
          <w:tcPr>
            <w:tcW w:w="1011" w:type="dxa"/>
            <w:tcBorders>
              <w:top w:val="nil"/>
              <w:left w:val="nil"/>
              <w:bottom w:val="nil"/>
              <w:right w:val="nil"/>
            </w:tcBorders>
          </w:tcPr>
          <w:p>
            <w:pPr>
              <w:pStyle w:val="TableParagraph"/>
              <w:spacing w:before="26"/>
              <w:ind w:right="67"/>
              <w:rPr>
                <w:sz w:val="20"/>
              </w:rPr>
            </w:pPr>
            <w:r>
              <w:rPr>
                <w:sz w:val="20"/>
              </w:rPr>
              <w:t>9.264</w:t>
            </w:r>
          </w:p>
        </w:tc>
        <w:tc>
          <w:tcPr>
            <w:tcW w:w="977" w:type="dxa"/>
            <w:tcBorders>
              <w:top w:val="nil"/>
              <w:left w:val="nil"/>
              <w:bottom w:val="nil"/>
              <w:right w:val="nil"/>
            </w:tcBorders>
          </w:tcPr>
          <w:p>
            <w:pPr>
              <w:pStyle w:val="TableParagraph"/>
              <w:spacing w:before="26"/>
              <w:ind w:right="65"/>
              <w:rPr>
                <w:sz w:val="20"/>
              </w:rPr>
            </w:pPr>
            <w:r>
              <w:rPr>
                <w:sz w:val="20"/>
              </w:rPr>
              <w:t>9.222</w:t>
            </w:r>
          </w:p>
        </w:tc>
        <w:tc>
          <w:tcPr>
            <w:tcW w:w="980" w:type="dxa"/>
            <w:tcBorders>
              <w:top w:val="nil"/>
              <w:left w:val="nil"/>
              <w:bottom w:val="nil"/>
              <w:right w:val="nil"/>
            </w:tcBorders>
          </w:tcPr>
          <w:p>
            <w:pPr>
              <w:pStyle w:val="TableParagraph"/>
              <w:spacing w:before="26"/>
              <w:ind w:right="65"/>
              <w:rPr>
                <w:sz w:val="20"/>
              </w:rPr>
            </w:pPr>
            <w:r>
              <w:rPr>
                <w:sz w:val="20"/>
              </w:rPr>
              <w:t>8.933</w:t>
            </w:r>
          </w:p>
        </w:tc>
        <w:tc>
          <w:tcPr>
            <w:tcW w:w="1076" w:type="dxa"/>
            <w:tcBorders>
              <w:top w:val="nil"/>
              <w:left w:val="nil"/>
              <w:bottom w:val="nil"/>
              <w:right w:val="nil"/>
            </w:tcBorders>
          </w:tcPr>
          <w:p>
            <w:pPr>
              <w:pStyle w:val="TableParagraph"/>
              <w:spacing w:before="26"/>
              <w:ind w:right="65"/>
              <w:rPr>
                <w:sz w:val="20"/>
              </w:rPr>
            </w:pPr>
            <w:r>
              <w:rPr>
                <w:sz w:val="20"/>
              </w:rPr>
              <w:t>5.921</w:t>
            </w:r>
          </w:p>
        </w:tc>
        <w:tc>
          <w:tcPr>
            <w:tcW w:w="1073" w:type="dxa"/>
            <w:tcBorders>
              <w:top w:val="nil"/>
              <w:left w:val="nil"/>
              <w:bottom w:val="nil"/>
              <w:right w:val="nil"/>
            </w:tcBorders>
          </w:tcPr>
          <w:p>
            <w:pPr>
              <w:pStyle w:val="TableParagraph"/>
              <w:spacing w:before="26"/>
              <w:ind w:right="63"/>
              <w:rPr>
                <w:sz w:val="20"/>
              </w:rPr>
            </w:pPr>
            <w:r>
              <w:rPr>
                <w:sz w:val="20"/>
              </w:rPr>
              <w:t>2.423</w:t>
            </w:r>
          </w:p>
        </w:tc>
        <w:tc>
          <w:tcPr>
            <w:tcW w:w="1068" w:type="dxa"/>
            <w:tcBorders>
              <w:top w:val="nil"/>
              <w:left w:val="nil"/>
              <w:bottom w:val="nil"/>
              <w:right w:val="nil"/>
            </w:tcBorders>
          </w:tcPr>
          <w:p>
            <w:pPr>
              <w:pStyle w:val="TableParagraph"/>
              <w:spacing w:before="26"/>
              <w:ind w:right="60"/>
              <w:rPr>
                <w:sz w:val="20"/>
              </w:rPr>
            </w:pPr>
            <w:r>
              <w:rPr>
                <w:sz w:val="20"/>
              </w:rPr>
              <w:t>0.539</w:t>
            </w:r>
          </w:p>
        </w:tc>
      </w:tr>
      <w:tr>
        <w:trPr>
          <w:trHeight w:val="300" w:hRule="exact"/>
        </w:trPr>
        <w:tc>
          <w:tcPr>
            <w:tcW w:w="1146" w:type="dxa"/>
            <w:tcBorders>
              <w:top w:val="nil"/>
              <w:left w:val="nil"/>
              <w:bottom w:val="nil"/>
              <w:right w:val="nil"/>
            </w:tcBorders>
          </w:tcPr>
          <w:p>
            <w:pPr>
              <w:pStyle w:val="TableParagraph"/>
              <w:ind w:left="86"/>
              <w:jc w:val="left"/>
              <w:rPr>
                <w:sz w:val="20"/>
              </w:rPr>
            </w:pPr>
            <w:r>
              <w:rPr>
                <w:sz w:val="20"/>
              </w:rPr>
              <w:t>25</w:t>
            </w:r>
          </w:p>
        </w:tc>
        <w:tc>
          <w:tcPr>
            <w:tcW w:w="1056" w:type="dxa"/>
            <w:tcBorders>
              <w:top w:val="nil"/>
              <w:left w:val="nil"/>
              <w:bottom w:val="nil"/>
              <w:right w:val="nil"/>
            </w:tcBorders>
          </w:tcPr>
          <w:p>
            <w:pPr>
              <w:pStyle w:val="TableParagraph"/>
              <w:ind w:left="73"/>
              <w:jc w:val="left"/>
              <w:rPr>
                <w:sz w:val="20"/>
              </w:rPr>
            </w:pPr>
            <w:r>
              <w:rPr>
                <w:sz w:val="20"/>
              </w:rPr>
              <w:t>15029</w:t>
            </w:r>
          </w:p>
        </w:tc>
        <w:tc>
          <w:tcPr>
            <w:tcW w:w="1032" w:type="dxa"/>
            <w:tcBorders>
              <w:top w:val="nil"/>
              <w:left w:val="nil"/>
              <w:bottom w:val="nil"/>
              <w:right w:val="nil"/>
            </w:tcBorders>
          </w:tcPr>
          <w:p>
            <w:pPr>
              <w:pStyle w:val="TableParagraph"/>
              <w:ind w:right="87"/>
              <w:rPr>
                <w:sz w:val="20"/>
              </w:rPr>
            </w:pPr>
            <w:r>
              <w:rPr>
                <w:sz w:val="20"/>
              </w:rPr>
              <w:t>-0.411</w:t>
            </w:r>
          </w:p>
        </w:tc>
        <w:tc>
          <w:tcPr>
            <w:tcW w:w="1056" w:type="dxa"/>
            <w:tcBorders>
              <w:top w:val="nil"/>
              <w:left w:val="nil"/>
              <w:bottom w:val="nil"/>
              <w:right w:val="nil"/>
            </w:tcBorders>
          </w:tcPr>
          <w:p>
            <w:pPr>
              <w:pStyle w:val="TableParagraph"/>
              <w:ind w:right="82"/>
              <w:rPr>
                <w:sz w:val="20"/>
              </w:rPr>
            </w:pPr>
            <w:r>
              <w:rPr>
                <w:sz w:val="20"/>
              </w:rPr>
              <w:t>0.675</w:t>
            </w:r>
          </w:p>
        </w:tc>
        <w:tc>
          <w:tcPr>
            <w:tcW w:w="1025" w:type="dxa"/>
            <w:tcBorders>
              <w:top w:val="nil"/>
              <w:left w:val="nil"/>
              <w:bottom w:val="nil"/>
              <w:right w:val="nil"/>
            </w:tcBorders>
          </w:tcPr>
          <w:p>
            <w:pPr>
              <w:pStyle w:val="TableParagraph"/>
              <w:ind w:right="65"/>
              <w:rPr>
                <w:sz w:val="20"/>
              </w:rPr>
            </w:pPr>
            <w:r>
              <w:rPr>
                <w:sz w:val="20"/>
              </w:rPr>
              <w:t>2.792</w:t>
            </w:r>
          </w:p>
        </w:tc>
        <w:tc>
          <w:tcPr>
            <w:tcW w:w="984" w:type="dxa"/>
            <w:tcBorders>
              <w:top w:val="nil"/>
              <w:left w:val="nil"/>
              <w:bottom w:val="nil"/>
              <w:right w:val="nil"/>
            </w:tcBorders>
          </w:tcPr>
          <w:p>
            <w:pPr>
              <w:pStyle w:val="TableParagraph"/>
              <w:ind w:right="70"/>
              <w:rPr>
                <w:sz w:val="20"/>
              </w:rPr>
            </w:pPr>
            <w:r>
              <w:rPr>
                <w:sz w:val="20"/>
              </w:rPr>
              <w:t>5.061</w:t>
            </w:r>
          </w:p>
        </w:tc>
        <w:tc>
          <w:tcPr>
            <w:tcW w:w="999" w:type="dxa"/>
            <w:tcBorders>
              <w:top w:val="nil"/>
              <w:left w:val="nil"/>
              <w:bottom w:val="nil"/>
              <w:right w:val="nil"/>
            </w:tcBorders>
          </w:tcPr>
          <w:p>
            <w:pPr>
              <w:pStyle w:val="TableParagraph"/>
              <w:ind w:right="70"/>
              <w:rPr>
                <w:sz w:val="20"/>
              </w:rPr>
            </w:pPr>
            <w:r>
              <w:rPr>
                <w:sz w:val="20"/>
              </w:rPr>
              <w:t>7.326</w:t>
            </w:r>
          </w:p>
        </w:tc>
        <w:tc>
          <w:tcPr>
            <w:tcW w:w="1003" w:type="dxa"/>
            <w:tcBorders>
              <w:top w:val="nil"/>
              <w:left w:val="nil"/>
              <w:bottom w:val="nil"/>
              <w:right w:val="nil"/>
            </w:tcBorders>
          </w:tcPr>
          <w:p>
            <w:pPr>
              <w:pStyle w:val="TableParagraph"/>
              <w:ind w:right="75"/>
              <w:rPr>
                <w:sz w:val="20"/>
              </w:rPr>
            </w:pPr>
            <w:r>
              <w:rPr>
                <w:sz w:val="20"/>
              </w:rPr>
              <w:t>9.335</w:t>
            </w:r>
          </w:p>
        </w:tc>
        <w:tc>
          <w:tcPr>
            <w:tcW w:w="1011" w:type="dxa"/>
            <w:tcBorders>
              <w:top w:val="nil"/>
              <w:left w:val="nil"/>
              <w:bottom w:val="nil"/>
              <w:right w:val="nil"/>
            </w:tcBorders>
          </w:tcPr>
          <w:p>
            <w:pPr>
              <w:pStyle w:val="TableParagraph"/>
              <w:ind w:right="67"/>
              <w:rPr>
                <w:sz w:val="20"/>
              </w:rPr>
            </w:pPr>
            <w:r>
              <w:rPr>
                <w:sz w:val="20"/>
              </w:rPr>
              <w:t>9.264</w:t>
            </w:r>
          </w:p>
        </w:tc>
        <w:tc>
          <w:tcPr>
            <w:tcW w:w="977" w:type="dxa"/>
            <w:tcBorders>
              <w:top w:val="nil"/>
              <w:left w:val="nil"/>
              <w:bottom w:val="nil"/>
              <w:right w:val="nil"/>
            </w:tcBorders>
          </w:tcPr>
          <w:p>
            <w:pPr>
              <w:pStyle w:val="TableParagraph"/>
              <w:ind w:right="65"/>
              <w:rPr>
                <w:sz w:val="20"/>
              </w:rPr>
            </w:pPr>
            <w:r>
              <w:rPr>
                <w:sz w:val="20"/>
              </w:rPr>
              <w:t>9.222</w:t>
            </w:r>
          </w:p>
        </w:tc>
        <w:tc>
          <w:tcPr>
            <w:tcW w:w="980" w:type="dxa"/>
            <w:tcBorders>
              <w:top w:val="nil"/>
              <w:left w:val="nil"/>
              <w:bottom w:val="nil"/>
              <w:right w:val="nil"/>
            </w:tcBorders>
          </w:tcPr>
          <w:p>
            <w:pPr>
              <w:pStyle w:val="TableParagraph"/>
              <w:ind w:right="65"/>
              <w:rPr>
                <w:sz w:val="20"/>
              </w:rPr>
            </w:pPr>
            <w:r>
              <w:rPr>
                <w:sz w:val="20"/>
              </w:rPr>
              <w:t>8.933</w:t>
            </w:r>
          </w:p>
        </w:tc>
        <w:tc>
          <w:tcPr>
            <w:tcW w:w="1076" w:type="dxa"/>
            <w:tcBorders>
              <w:top w:val="nil"/>
              <w:left w:val="nil"/>
              <w:bottom w:val="nil"/>
              <w:right w:val="nil"/>
            </w:tcBorders>
          </w:tcPr>
          <w:p>
            <w:pPr>
              <w:pStyle w:val="TableParagraph"/>
              <w:ind w:right="65"/>
              <w:rPr>
                <w:sz w:val="20"/>
              </w:rPr>
            </w:pPr>
            <w:r>
              <w:rPr>
                <w:sz w:val="20"/>
              </w:rPr>
              <w:t>5.921</w:t>
            </w:r>
          </w:p>
        </w:tc>
        <w:tc>
          <w:tcPr>
            <w:tcW w:w="1073" w:type="dxa"/>
            <w:tcBorders>
              <w:top w:val="nil"/>
              <w:left w:val="nil"/>
              <w:bottom w:val="nil"/>
              <w:right w:val="nil"/>
            </w:tcBorders>
          </w:tcPr>
          <w:p>
            <w:pPr>
              <w:pStyle w:val="TableParagraph"/>
              <w:ind w:right="63"/>
              <w:rPr>
                <w:sz w:val="20"/>
              </w:rPr>
            </w:pPr>
            <w:r>
              <w:rPr>
                <w:sz w:val="20"/>
              </w:rPr>
              <w:t>2.423</w:t>
            </w:r>
          </w:p>
        </w:tc>
        <w:tc>
          <w:tcPr>
            <w:tcW w:w="1068" w:type="dxa"/>
            <w:tcBorders>
              <w:top w:val="nil"/>
              <w:left w:val="nil"/>
              <w:bottom w:val="nil"/>
              <w:right w:val="nil"/>
            </w:tcBorders>
          </w:tcPr>
          <w:p>
            <w:pPr>
              <w:pStyle w:val="TableParagraph"/>
              <w:ind w:right="60"/>
              <w:rPr>
                <w:sz w:val="20"/>
              </w:rPr>
            </w:pPr>
            <w:r>
              <w:rPr>
                <w:sz w:val="20"/>
              </w:rPr>
              <w:t>0.539</w:t>
            </w:r>
          </w:p>
        </w:tc>
      </w:tr>
      <w:tr>
        <w:trPr>
          <w:trHeight w:val="300" w:hRule="exact"/>
        </w:trPr>
        <w:tc>
          <w:tcPr>
            <w:tcW w:w="1146" w:type="dxa"/>
            <w:tcBorders>
              <w:top w:val="nil"/>
              <w:left w:val="nil"/>
              <w:bottom w:val="nil"/>
              <w:right w:val="nil"/>
            </w:tcBorders>
          </w:tcPr>
          <w:p>
            <w:pPr>
              <w:pStyle w:val="TableParagraph"/>
              <w:spacing w:before="26"/>
              <w:ind w:left="86"/>
              <w:jc w:val="left"/>
              <w:rPr>
                <w:sz w:val="20"/>
              </w:rPr>
            </w:pPr>
            <w:r>
              <w:rPr>
                <w:sz w:val="20"/>
              </w:rPr>
              <w:t>26</w:t>
            </w:r>
          </w:p>
        </w:tc>
        <w:tc>
          <w:tcPr>
            <w:tcW w:w="1056" w:type="dxa"/>
            <w:tcBorders>
              <w:top w:val="nil"/>
              <w:left w:val="nil"/>
              <w:bottom w:val="nil"/>
              <w:right w:val="nil"/>
            </w:tcBorders>
          </w:tcPr>
          <w:p>
            <w:pPr>
              <w:pStyle w:val="TableParagraph"/>
              <w:spacing w:before="26"/>
              <w:ind w:left="73"/>
              <w:jc w:val="left"/>
              <w:rPr>
                <w:sz w:val="20"/>
              </w:rPr>
            </w:pPr>
            <w:r>
              <w:rPr>
                <w:sz w:val="20"/>
              </w:rPr>
              <w:t>15001</w:t>
            </w:r>
          </w:p>
        </w:tc>
        <w:tc>
          <w:tcPr>
            <w:tcW w:w="1032" w:type="dxa"/>
            <w:tcBorders>
              <w:top w:val="nil"/>
              <w:left w:val="nil"/>
              <w:bottom w:val="nil"/>
              <w:right w:val="nil"/>
            </w:tcBorders>
          </w:tcPr>
          <w:p>
            <w:pPr>
              <w:pStyle w:val="TableParagraph"/>
              <w:spacing w:before="26"/>
              <w:ind w:right="87"/>
              <w:rPr>
                <w:sz w:val="20"/>
              </w:rPr>
            </w:pPr>
            <w:r>
              <w:rPr>
                <w:sz w:val="20"/>
              </w:rPr>
              <w:t>2.092</w:t>
            </w:r>
          </w:p>
        </w:tc>
        <w:tc>
          <w:tcPr>
            <w:tcW w:w="1056" w:type="dxa"/>
            <w:tcBorders>
              <w:top w:val="nil"/>
              <w:left w:val="nil"/>
              <w:bottom w:val="nil"/>
              <w:right w:val="nil"/>
            </w:tcBorders>
          </w:tcPr>
          <w:p>
            <w:pPr>
              <w:pStyle w:val="TableParagraph"/>
              <w:spacing w:before="26"/>
              <w:ind w:right="82"/>
              <w:rPr>
                <w:sz w:val="20"/>
              </w:rPr>
            </w:pPr>
            <w:r>
              <w:rPr>
                <w:sz w:val="20"/>
              </w:rPr>
              <w:t>2.906</w:t>
            </w:r>
          </w:p>
        </w:tc>
        <w:tc>
          <w:tcPr>
            <w:tcW w:w="1025" w:type="dxa"/>
            <w:tcBorders>
              <w:top w:val="nil"/>
              <w:left w:val="nil"/>
              <w:bottom w:val="nil"/>
              <w:right w:val="nil"/>
            </w:tcBorders>
          </w:tcPr>
          <w:p>
            <w:pPr>
              <w:pStyle w:val="TableParagraph"/>
              <w:spacing w:before="26"/>
              <w:ind w:right="65"/>
              <w:rPr>
                <w:sz w:val="20"/>
              </w:rPr>
            </w:pPr>
            <w:r>
              <w:rPr>
                <w:sz w:val="20"/>
              </w:rPr>
              <w:t>5.063</w:t>
            </w:r>
          </w:p>
        </w:tc>
        <w:tc>
          <w:tcPr>
            <w:tcW w:w="984" w:type="dxa"/>
            <w:tcBorders>
              <w:top w:val="nil"/>
              <w:left w:val="nil"/>
              <w:bottom w:val="nil"/>
              <w:right w:val="nil"/>
            </w:tcBorders>
          </w:tcPr>
          <w:p>
            <w:pPr>
              <w:pStyle w:val="TableParagraph"/>
              <w:spacing w:before="26"/>
              <w:ind w:right="70"/>
              <w:rPr>
                <w:sz w:val="20"/>
              </w:rPr>
            </w:pPr>
            <w:r>
              <w:rPr>
                <w:sz w:val="20"/>
              </w:rPr>
              <w:t>6.595</w:t>
            </w:r>
          </w:p>
        </w:tc>
        <w:tc>
          <w:tcPr>
            <w:tcW w:w="999" w:type="dxa"/>
            <w:tcBorders>
              <w:top w:val="nil"/>
              <w:left w:val="nil"/>
              <w:bottom w:val="nil"/>
              <w:right w:val="nil"/>
            </w:tcBorders>
          </w:tcPr>
          <w:p>
            <w:pPr>
              <w:pStyle w:val="TableParagraph"/>
              <w:spacing w:before="26"/>
              <w:ind w:right="70"/>
              <w:rPr>
                <w:sz w:val="20"/>
              </w:rPr>
            </w:pPr>
            <w:r>
              <w:rPr>
                <w:sz w:val="20"/>
              </w:rPr>
              <w:t>7.684</w:t>
            </w:r>
          </w:p>
        </w:tc>
        <w:tc>
          <w:tcPr>
            <w:tcW w:w="1003" w:type="dxa"/>
            <w:tcBorders>
              <w:top w:val="nil"/>
              <w:left w:val="nil"/>
              <w:bottom w:val="nil"/>
              <w:right w:val="nil"/>
            </w:tcBorders>
          </w:tcPr>
          <w:p>
            <w:pPr>
              <w:pStyle w:val="TableParagraph"/>
              <w:spacing w:before="26"/>
              <w:ind w:right="75"/>
              <w:rPr>
                <w:sz w:val="20"/>
              </w:rPr>
            </w:pPr>
            <w:r>
              <w:rPr>
                <w:sz w:val="20"/>
              </w:rPr>
              <w:t>8.661</w:t>
            </w:r>
          </w:p>
        </w:tc>
        <w:tc>
          <w:tcPr>
            <w:tcW w:w="1011" w:type="dxa"/>
            <w:tcBorders>
              <w:top w:val="nil"/>
              <w:left w:val="nil"/>
              <w:bottom w:val="nil"/>
              <w:right w:val="nil"/>
            </w:tcBorders>
          </w:tcPr>
          <w:p>
            <w:pPr>
              <w:pStyle w:val="TableParagraph"/>
              <w:spacing w:before="26"/>
              <w:ind w:right="67"/>
              <w:rPr>
                <w:sz w:val="20"/>
              </w:rPr>
            </w:pPr>
            <w:r>
              <w:rPr>
                <w:sz w:val="20"/>
              </w:rPr>
              <w:t>8.445</w:t>
            </w:r>
          </w:p>
        </w:tc>
        <w:tc>
          <w:tcPr>
            <w:tcW w:w="977" w:type="dxa"/>
            <w:tcBorders>
              <w:top w:val="nil"/>
              <w:left w:val="nil"/>
              <w:bottom w:val="nil"/>
              <w:right w:val="nil"/>
            </w:tcBorders>
          </w:tcPr>
          <w:p>
            <w:pPr>
              <w:pStyle w:val="TableParagraph"/>
              <w:spacing w:before="26"/>
              <w:ind w:right="65"/>
              <w:rPr>
                <w:sz w:val="20"/>
              </w:rPr>
            </w:pPr>
            <w:r>
              <w:rPr>
                <w:sz w:val="20"/>
              </w:rPr>
              <w:t>8.408</w:t>
            </w:r>
          </w:p>
        </w:tc>
        <w:tc>
          <w:tcPr>
            <w:tcW w:w="980" w:type="dxa"/>
            <w:tcBorders>
              <w:top w:val="nil"/>
              <w:left w:val="nil"/>
              <w:bottom w:val="nil"/>
              <w:right w:val="nil"/>
            </w:tcBorders>
          </w:tcPr>
          <w:p>
            <w:pPr>
              <w:pStyle w:val="TableParagraph"/>
              <w:spacing w:before="26"/>
              <w:ind w:right="65"/>
              <w:rPr>
                <w:sz w:val="20"/>
              </w:rPr>
            </w:pPr>
            <w:r>
              <w:rPr>
                <w:sz w:val="20"/>
              </w:rPr>
              <w:t>8.137</w:t>
            </w:r>
          </w:p>
        </w:tc>
        <w:tc>
          <w:tcPr>
            <w:tcW w:w="1076" w:type="dxa"/>
            <w:tcBorders>
              <w:top w:val="nil"/>
              <w:left w:val="nil"/>
              <w:bottom w:val="nil"/>
              <w:right w:val="nil"/>
            </w:tcBorders>
          </w:tcPr>
          <w:p>
            <w:pPr>
              <w:pStyle w:val="TableParagraph"/>
              <w:spacing w:before="26"/>
              <w:ind w:right="65"/>
              <w:rPr>
                <w:sz w:val="20"/>
              </w:rPr>
            </w:pPr>
            <w:r>
              <w:rPr>
                <w:sz w:val="20"/>
              </w:rPr>
              <w:t>6.447</w:t>
            </w:r>
          </w:p>
        </w:tc>
        <w:tc>
          <w:tcPr>
            <w:tcW w:w="1073" w:type="dxa"/>
            <w:tcBorders>
              <w:top w:val="nil"/>
              <w:left w:val="nil"/>
              <w:bottom w:val="nil"/>
              <w:right w:val="nil"/>
            </w:tcBorders>
          </w:tcPr>
          <w:p>
            <w:pPr>
              <w:pStyle w:val="TableParagraph"/>
              <w:spacing w:before="26"/>
              <w:ind w:right="63"/>
              <w:rPr>
                <w:sz w:val="20"/>
              </w:rPr>
            </w:pPr>
            <w:r>
              <w:rPr>
                <w:sz w:val="20"/>
              </w:rPr>
              <w:t>4.047</w:t>
            </w:r>
          </w:p>
        </w:tc>
        <w:tc>
          <w:tcPr>
            <w:tcW w:w="1068" w:type="dxa"/>
            <w:tcBorders>
              <w:top w:val="nil"/>
              <w:left w:val="nil"/>
              <w:bottom w:val="nil"/>
              <w:right w:val="nil"/>
            </w:tcBorders>
          </w:tcPr>
          <w:p>
            <w:pPr>
              <w:pStyle w:val="TableParagraph"/>
              <w:spacing w:before="26"/>
              <w:ind w:right="60"/>
              <w:rPr>
                <w:sz w:val="20"/>
              </w:rPr>
            </w:pPr>
            <w:r>
              <w:rPr>
                <w:sz w:val="20"/>
              </w:rPr>
              <w:t>2.818</w:t>
            </w:r>
          </w:p>
        </w:tc>
      </w:tr>
      <w:tr>
        <w:trPr>
          <w:trHeight w:val="300" w:hRule="exact"/>
        </w:trPr>
        <w:tc>
          <w:tcPr>
            <w:tcW w:w="1146" w:type="dxa"/>
            <w:tcBorders>
              <w:top w:val="nil"/>
              <w:left w:val="nil"/>
              <w:bottom w:val="nil"/>
              <w:right w:val="nil"/>
            </w:tcBorders>
          </w:tcPr>
          <w:p>
            <w:pPr>
              <w:pStyle w:val="TableParagraph"/>
              <w:ind w:left="86"/>
              <w:jc w:val="left"/>
              <w:rPr>
                <w:sz w:val="20"/>
              </w:rPr>
            </w:pPr>
            <w:r>
              <w:rPr>
                <w:sz w:val="20"/>
              </w:rPr>
              <w:t>27</w:t>
            </w:r>
          </w:p>
        </w:tc>
        <w:tc>
          <w:tcPr>
            <w:tcW w:w="1056" w:type="dxa"/>
            <w:tcBorders>
              <w:top w:val="nil"/>
              <w:left w:val="nil"/>
              <w:bottom w:val="nil"/>
              <w:right w:val="nil"/>
            </w:tcBorders>
          </w:tcPr>
          <w:p>
            <w:pPr>
              <w:pStyle w:val="TableParagraph"/>
              <w:ind w:left="73"/>
              <w:jc w:val="left"/>
              <w:rPr>
                <w:sz w:val="20"/>
              </w:rPr>
            </w:pPr>
            <w:r>
              <w:rPr>
                <w:sz w:val="20"/>
              </w:rPr>
              <w:t>15029</w:t>
            </w:r>
          </w:p>
        </w:tc>
        <w:tc>
          <w:tcPr>
            <w:tcW w:w="1032" w:type="dxa"/>
            <w:tcBorders>
              <w:top w:val="nil"/>
              <w:left w:val="nil"/>
              <w:bottom w:val="nil"/>
              <w:right w:val="nil"/>
            </w:tcBorders>
          </w:tcPr>
          <w:p>
            <w:pPr>
              <w:pStyle w:val="TableParagraph"/>
              <w:ind w:right="87"/>
              <w:rPr>
                <w:sz w:val="20"/>
              </w:rPr>
            </w:pPr>
            <w:r>
              <w:rPr>
                <w:sz w:val="20"/>
              </w:rPr>
              <w:t>-0.411</w:t>
            </w:r>
          </w:p>
        </w:tc>
        <w:tc>
          <w:tcPr>
            <w:tcW w:w="1056" w:type="dxa"/>
            <w:tcBorders>
              <w:top w:val="nil"/>
              <w:left w:val="nil"/>
              <w:bottom w:val="nil"/>
              <w:right w:val="nil"/>
            </w:tcBorders>
          </w:tcPr>
          <w:p>
            <w:pPr>
              <w:pStyle w:val="TableParagraph"/>
              <w:ind w:right="82"/>
              <w:rPr>
                <w:sz w:val="20"/>
              </w:rPr>
            </w:pPr>
            <w:r>
              <w:rPr>
                <w:sz w:val="20"/>
              </w:rPr>
              <w:t>0.675</w:t>
            </w:r>
          </w:p>
        </w:tc>
        <w:tc>
          <w:tcPr>
            <w:tcW w:w="1025" w:type="dxa"/>
            <w:tcBorders>
              <w:top w:val="nil"/>
              <w:left w:val="nil"/>
              <w:bottom w:val="nil"/>
              <w:right w:val="nil"/>
            </w:tcBorders>
          </w:tcPr>
          <w:p>
            <w:pPr>
              <w:pStyle w:val="TableParagraph"/>
              <w:ind w:right="65"/>
              <w:rPr>
                <w:sz w:val="20"/>
              </w:rPr>
            </w:pPr>
            <w:r>
              <w:rPr>
                <w:sz w:val="20"/>
              </w:rPr>
              <w:t>2.792</w:t>
            </w:r>
          </w:p>
        </w:tc>
        <w:tc>
          <w:tcPr>
            <w:tcW w:w="984" w:type="dxa"/>
            <w:tcBorders>
              <w:top w:val="nil"/>
              <w:left w:val="nil"/>
              <w:bottom w:val="nil"/>
              <w:right w:val="nil"/>
            </w:tcBorders>
          </w:tcPr>
          <w:p>
            <w:pPr>
              <w:pStyle w:val="TableParagraph"/>
              <w:ind w:right="70"/>
              <w:rPr>
                <w:sz w:val="20"/>
              </w:rPr>
            </w:pPr>
            <w:r>
              <w:rPr>
                <w:sz w:val="20"/>
              </w:rPr>
              <w:t>5.061</w:t>
            </w:r>
          </w:p>
        </w:tc>
        <w:tc>
          <w:tcPr>
            <w:tcW w:w="999" w:type="dxa"/>
            <w:tcBorders>
              <w:top w:val="nil"/>
              <w:left w:val="nil"/>
              <w:bottom w:val="nil"/>
              <w:right w:val="nil"/>
            </w:tcBorders>
          </w:tcPr>
          <w:p>
            <w:pPr>
              <w:pStyle w:val="TableParagraph"/>
              <w:ind w:right="70"/>
              <w:rPr>
                <w:sz w:val="20"/>
              </w:rPr>
            </w:pPr>
            <w:r>
              <w:rPr>
                <w:sz w:val="20"/>
              </w:rPr>
              <w:t>7.326</w:t>
            </w:r>
          </w:p>
        </w:tc>
        <w:tc>
          <w:tcPr>
            <w:tcW w:w="1003" w:type="dxa"/>
            <w:tcBorders>
              <w:top w:val="nil"/>
              <w:left w:val="nil"/>
              <w:bottom w:val="nil"/>
              <w:right w:val="nil"/>
            </w:tcBorders>
          </w:tcPr>
          <w:p>
            <w:pPr>
              <w:pStyle w:val="TableParagraph"/>
              <w:ind w:right="75"/>
              <w:rPr>
                <w:sz w:val="20"/>
              </w:rPr>
            </w:pPr>
            <w:r>
              <w:rPr>
                <w:sz w:val="20"/>
              </w:rPr>
              <w:t>9.335</w:t>
            </w:r>
          </w:p>
        </w:tc>
        <w:tc>
          <w:tcPr>
            <w:tcW w:w="1011" w:type="dxa"/>
            <w:tcBorders>
              <w:top w:val="nil"/>
              <w:left w:val="nil"/>
              <w:bottom w:val="nil"/>
              <w:right w:val="nil"/>
            </w:tcBorders>
          </w:tcPr>
          <w:p>
            <w:pPr>
              <w:pStyle w:val="TableParagraph"/>
              <w:ind w:right="67"/>
              <w:rPr>
                <w:sz w:val="20"/>
              </w:rPr>
            </w:pPr>
            <w:r>
              <w:rPr>
                <w:sz w:val="20"/>
              </w:rPr>
              <w:t>9.264</w:t>
            </w:r>
          </w:p>
        </w:tc>
        <w:tc>
          <w:tcPr>
            <w:tcW w:w="977" w:type="dxa"/>
            <w:tcBorders>
              <w:top w:val="nil"/>
              <w:left w:val="nil"/>
              <w:bottom w:val="nil"/>
              <w:right w:val="nil"/>
            </w:tcBorders>
          </w:tcPr>
          <w:p>
            <w:pPr>
              <w:pStyle w:val="TableParagraph"/>
              <w:ind w:right="65"/>
              <w:rPr>
                <w:sz w:val="20"/>
              </w:rPr>
            </w:pPr>
            <w:r>
              <w:rPr>
                <w:sz w:val="20"/>
              </w:rPr>
              <w:t>9.222</w:t>
            </w:r>
          </w:p>
        </w:tc>
        <w:tc>
          <w:tcPr>
            <w:tcW w:w="980" w:type="dxa"/>
            <w:tcBorders>
              <w:top w:val="nil"/>
              <w:left w:val="nil"/>
              <w:bottom w:val="nil"/>
              <w:right w:val="nil"/>
            </w:tcBorders>
          </w:tcPr>
          <w:p>
            <w:pPr>
              <w:pStyle w:val="TableParagraph"/>
              <w:ind w:right="65"/>
              <w:rPr>
                <w:sz w:val="20"/>
              </w:rPr>
            </w:pPr>
            <w:r>
              <w:rPr>
                <w:sz w:val="20"/>
              </w:rPr>
              <w:t>8.933</w:t>
            </w:r>
          </w:p>
        </w:tc>
        <w:tc>
          <w:tcPr>
            <w:tcW w:w="1076" w:type="dxa"/>
            <w:tcBorders>
              <w:top w:val="nil"/>
              <w:left w:val="nil"/>
              <w:bottom w:val="nil"/>
              <w:right w:val="nil"/>
            </w:tcBorders>
          </w:tcPr>
          <w:p>
            <w:pPr>
              <w:pStyle w:val="TableParagraph"/>
              <w:ind w:right="65"/>
              <w:rPr>
                <w:sz w:val="20"/>
              </w:rPr>
            </w:pPr>
            <w:r>
              <w:rPr>
                <w:sz w:val="20"/>
              </w:rPr>
              <w:t>5.921</w:t>
            </w:r>
          </w:p>
        </w:tc>
        <w:tc>
          <w:tcPr>
            <w:tcW w:w="1073" w:type="dxa"/>
            <w:tcBorders>
              <w:top w:val="nil"/>
              <w:left w:val="nil"/>
              <w:bottom w:val="nil"/>
              <w:right w:val="nil"/>
            </w:tcBorders>
          </w:tcPr>
          <w:p>
            <w:pPr>
              <w:pStyle w:val="TableParagraph"/>
              <w:ind w:right="63"/>
              <w:rPr>
                <w:sz w:val="20"/>
              </w:rPr>
            </w:pPr>
            <w:r>
              <w:rPr>
                <w:sz w:val="20"/>
              </w:rPr>
              <w:t>2.423</w:t>
            </w:r>
          </w:p>
        </w:tc>
        <w:tc>
          <w:tcPr>
            <w:tcW w:w="1068" w:type="dxa"/>
            <w:tcBorders>
              <w:top w:val="nil"/>
              <w:left w:val="nil"/>
              <w:bottom w:val="nil"/>
              <w:right w:val="nil"/>
            </w:tcBorders>
          </w:tcPr>
          <w:p>
            <w:pPr>
              <w:pStyle w:val="TableParagraph"/>
              <w:ind w:right="60"/>
              <w:rPr>
                <w:sz w:val="20"/>
              </w:rPr>
            </w:pPr>
            <w:r>
              <w:rPr>
                <w:sz w:val="20"/>
              </w:rPr>
              <w:t>0.539</w:t>
            </w:r>
          </w:p>
        </w:tc>
      </w:tr>
      <w:tr>
        <w:trPr>
          <w:trHeight w:val="300" w:hRule="exact"/>
        </w:trPr>
        <w:tc>
          <w:tcPr>
            <w:tcW w:w="1146" w:type="dxa"/>
            <w:tcBorders>
              <w:top w:val="nil"/>
              <w:left w:val="nil"/>
              <w:bottom w:val="nil"/>
              <w:right w:val="nil"/>
            </w:tcBorders>
          </w:tcPr>
          <w:p>
            <w:pPr>
              <w:pStyle w:val="TableParagraph"/>
              <w:spacing w:before="26"/>
              <w:ind w:left="86"/>
              <w:jc w:val="left"/>
              <w:rPr>
                <w:sz w:val="20"/>
              </w:rPr>
            </w:pPr>
            <w:r>
              <w:rPr>
                <w:sz w:val="20"/>
              </w:rPr>
              <w:t>28</w:t>
            </w:r>
          </w:p>
        </w:tc>
        <w:tc>
          <w:tcPr>
            <w:tcW w:w="1056" w:type="dxa"/>
            <w:tcBorders>
              <w:top w:val="nil"/>
              <w:left w:val="nil"/>
              <w:bottom w:val="nil"/>
              <w:right w:val="nil"/>
            </w:tcBorders>
          </w:tcPr>
          <w:p>
            <w:pPr>
              <w:pStyle w:val="TableParagraph"/>
              <w:spacing w:before="26"/>
              <w:ind w:left="73"/>
              <w:jc w:val="left"/>
              <w:rPr>
                <w:sz w:val="20"/>
              </w:rPr>
            </w:pPr>
            <w:r>
              <w:rPr>
                <w:sz w:val="20"/>
              </w:rPr>
              <w:t>15029</w:t>
            </w:r>
          </w:p>
        </w:tc>
        <w:tc>
          <w:tcPr>
            <w:tcW w:w="1032" w:type="dxa"/>
            <w:tcBorders>
              <w:top w:val="nil"/>
              <w:left w:val="nil"/>
              <w:bottom w:val="nil"/>
              <w:right w:val="nil"/>
            </w:tcBorders>
          </w:tcPr>
          <w:p>
            <w:pPr>
              <w:pStyle w:val="TableParagraph"/>
              <w:spacing w:before="26"/>
              <w:ind w:right="87"/>
              <w:rPr>
                <w:sz w:val="20"/>
              </w:rPr>
            </w:pPr>
            <w:r>
              <w:rPr>
                <w:sz w:val="20"/>
              </w:rPr>
              <w:t>-0.411</w:t>
            </w:r>
          </w:p>
        </w:tc>
        <w:tc>
          <w:tcPr>
            <w:tcW w:w="1056" w:type="dxa"/>
            <w:tcBorders>
              <w:top w:val="nil"/>
              <w:left w:val="nil"/>
              <w:bottom w:val="nil"/>
              <w:right w:val="nil"/>
            </w:tcBorders>
          </w:tcPr>
          <w:p>
            <w:pPr>
              <w:pStyle w:val="TableParagraph"/>
              <w:spacing w:before="26"/>
              <w:ind w:right="82"/>
              <w:rPr>
                <w:sz w:val="20"/>
              </w:rPr>
            </w:pPr>
            <w:r>
              <w:rPr>
                <w:sz w:val="20"/>
              </w:rPr>
              <w:t>0.675</w:t>
            </w:r>
          </w:p>
        </w:tc>
        <w:tc>
          <w:tcPr>
            <w:tcW w:w="1025" w:type="dxa"/>
            <w:tcBorders>
              <w:top w:val="nil"/>
              <w:left w:val="nil"/>
              <w:bottom w:val="nil"/>
              <w:right w:val="nil"/>
            </w:tcBorders>
          </w:tcPr>
          <w:p>
            <w:pPr>
              <w:pStyle w:val="TableParagraph"/>
              <w:spacing w:before="26"/>
              <w:ind w:right="65"/>
              <w:rPr>
                <w:sz w:val="20"/>
              </w:rPr>
            </w:pPr>
            <w:r>
              <w:rPr>
                <w:sz w:val="20"/>
              </w:rPr>
              <w:t>2.792</w:t>
            </w:r>
          </w:p>
        </w:tc>
        <w:tc>
          <w:tcPr>
            <w:tcW w:w="984" w:type="dxa"/>
            <w:tcBorders>
              <w:top w:val="nil"/>
              <w:left w:val="nil"/>
              <w:bottom w:val="nil"/>
              <w:right w:val="nil"/>
            </w:tcBorders>
          </w:tcPr>
          <w:p>
            <w:pPr>
              <w:pStyle w:val="TableParagraph"/>
              <w:spacing w:before="26"/>
              <w:ind w:right="70"/>
              <w:rPr>
                <w:sz w:val="20"/>
              </w:rPr>
            </w:pPr>
            <w:r>
              <w:rPr>
                <w:sz w:val="20"/>
              </w:rPr>
              <w:t>5.061</w:t>
            </w:r>
          </w:p>
        </w:tc>
        <w:tc>
          <w:tcPr>
            <w:tcW w:w="999" w:type="dxa"/>
            <w:tcBorders>
              <w:top w:val="nil"/>
              <w:left w:val="nil"/>
              <w:bottom w:val="nil"/>
              <w:right w:val="nil"/>
            </w:tcBorders>
          </w:tcPr>
          <w:p>
            <w:pPr>
              <w:pStyle w:val="TableParagraph"/>
              <w:spacing w:before="26"/>
              <w:ind w:right="70"/>
              <w:rPr>
                <w:sz w:val="20"/>
              </w:rPr>
            </w:pPr>
            <w:r>
              <w:rPr>
                <w:sz w:val="20"/>
              </w:rPr>
              <w:t>7.326</w:t>
            </w:r>
          </w:p>
        </w:tc>
        <w:tc>
          <w:tcPr>
            <w:tcW w:w="1003" w:type="dxa"/>
            <w:tcBorders>
              <w:top w:val="nil"/>
              <w:left w:val="nil"/>
              <w:bottom w:val="nil"/>
              <w:right w:val="nil"/>
            </w:tcBorders>
          </w:tcPr>
          <w:p>
            <w:pPr>
              <w:pStyle w:val="TableParagraph"/>
              <w:spacing w:before="26"/>
              <w:ind w:right="75"/>
              <w:rPr>
                <w:sz w:val="20"/>
              </w:rPr>
            </w:pPr>
            <w:r>
              <w:rPr>
                <w:sz w:val="20"/>
              </w:rPr>
              <w:t>9.335</w:t>
            </w:r>
          </w:p>
        </w:tc>
        <w:tc>
          <w:tcPr>
            <w:tcW w:w="1011" w:type="dxa"/>
            <w:tcBorders>
              <w:top w:val="nil"/>
              <w:left w:val="nil"/>
              <w:bottom w:val="nil"/>
              <w:right w:val="nil"/>
            </w:tcBorders>
          </w:tcPr>
          <w:p>
            <w:pPr>
              <w:pStyle w:val="TableParagraph"/>
              <w:spacing w:before="26"/>
              <w:ind w:right="67"/>
              <w:rPr>
                <w:sz w:val="20"/>
              </w:rPr>
            </w:pPr>
            <w:r>
              <w:rPr>
                <w:sz w:val="20"/>
              </w:rPr>
              <w:t>9.264</w:t>
            </w:r>
          </w:p>
        </w:tc>
        <w:tc>
          <w:tcPr>
            <w:tcW w:w="977" w:type="dxa"/>
            <w:tcBorders>
              <w:top w:val="nil"/>
              <w:left w:val="nil"/>
              <w:bottom w:val="nil"/>
              <w:right w:val="nil"/>
            </w:tcBorders>
          </w:tcPr>
          <w:p>
            <w:pPr>
              <w:pStyle w:val="TableParagraph"/>
              <w:spacing w:before="26"/>
              <w:ind w:right="65"/>
              <w:rPr>
                <w:sz w:val="20"/>
              </w:rPr>
            </w:pPr>
            <w:r>
              <w:rPr>
                <w:sz w:val="20"/>
              </w:rPr>
              <w:t>9.222</w:t>
            </w:r>
          </w:p>
        </w:tc>
        <w:tc>
          <w:tcPr>
            <w:tcW w:w="980" w:type="dxa"/>
            <w:tcBorders>
              <w:top w:val="nil"/>
              <w:left w:val="nil"/>
              <w:bottom w:val="nil"/>
              <w:right w:val="nil"/>
            </w:tcBorders>
          </w:tcPr>
          <w:p>
            <w:pPr>
              <w:pStyle w:val="TableParagraph"/>
              <w:spacing w:before="26"/>
              <w:ind w:right="65"/>
              <w:rPr>
                <w:sz w:val="20"/>
              </w:rPr>
            </w:pPr>
            <w:r>
              <w:rPr>
                <w:sz w:val="20"/>
              </w:rPr>
              <w:t>8.933</w:t>
            </w:r>
          </w:p>
        </w:tc>
        <w:tc>
          <w:tcPr>
            <w:tcW w:w="1076" w:type="dxa"/>
            <w:tcBorders>
              <w:top w:val="nil"/>
              <w:left w:val="nil"/>
              <w:bottom w:val="nil"/>
              <w:right w:val="nil"/>
            </w:tcBorders>
          </w:tcPr>
          <w:p>
            <w:pPr>
              <w:pStyle w:val="TableParagraph"/>
              <w:spacing w:before="26"/>
              <w:ind w:right="65"/>
              <w:rPr>
                <w:sz w:val="20"/>
              </w:rPr>
            </w:pPr>
            <w:r>
              <w:rPr>
                <w:sz w:val="20"/>
              </w:rPr>
              <w:t>5.921</w:t>
            </w:r>
          </w:p>
        </w:tc>
        <w:tc>
          <w:tcPr>
            <w:tcW w:w="1073" w:type="dxa"/>
            <w:tcBorders>
              <w:top w:val="nil"/>
              <w:left w:val="nil"/>
              <w:bottom w:val="nil"/>
              <w:right w:val="nil"/>
            </w:tcBorders>
          </w:tcPr>
          <w:p>
            <w:pPr>
              <w:pStyle w:val="TableParagraph"/>
              <w:spacing w:before="26"/>
              <w:ind w:right="63"/>
              <w:rPr>
                <w:sz w:val="20"/>
              </w:rPr>
            </w:pPr>
            <w:r>
              <w:rPr>
                <w:sz w:val="20"/>
              </w:rPr>
              <w:t>2.423</w:t>
            </w:r>
          </w:p>
        </w:tc>
        <w:tc>
          <w:tcPr>
            <w:tcW w:w="1068" w:type="dxa"/>
            <w:tcBorders>
              <w:top w:val="nil"/>
              <w:left w:val="nil"/>
              <w:bottom w:val="nil"/>
              <w:right w:val="nil"/>
            </w:tcBorders>
          </w:tcPr>
          <w:p>
            <w:pPr>
              <w:pStyle w:val="TableParagraph"/>
              <w:spacing w:before="26"/>
              <w:ind w:right="60"/>
              <w:rPr>
                <w:sz w:val="20"/>
              </w:rPr>
            </w:pPr>
            <w:r>
              <w:rPr>
                <w:sz w:val="20"/>
              </w:rPr>
              <w:t>0.539</w:t>
            </w:r>
          </w:p>
        </w:tc>
      </w:tr>
      <w:tr>
        <w:trPr>
          <w:trHeight w:val="268" w:hRule="exact"/>
        </w:trPr>
        <w:tc>
          <w:tcPr>
            <w:tcW w:w="1146" w:type="dxa"/>
            <w:tcBorders>
              <w:top w:val="nil"/>
              <w:left w:val="nil"/>
              <w:right w:val="nil"/>
            </w:tcBorders>
          </w:tcPr>
          <w:p>
            <w:pPr>
              <w:pStyle w:val="TableParagraph"/>
              <w:ind w:left="86"/>
              <w:jc w:val="left"/>
              <w:rPr>
                <w:sz w:val="20"/>
              </w:rPr>
            </w:pPr>
            <w:r>
              <w:rPr>
                <w:sz w:val="20"/>
              </w:rPr>
              <w:t>29</w:t>
            </w:r>
          </w:p>
        </w:tc>
        <w:tc>
          <w:tcPr>
            <w:tcW w:w="1056" w:type="dxa"/>
            <w:tcBorders>
              <w:top w:val="nil"/>
              <w:left w:val="nil"/>
              <w:right w:val="nil"/>
            </w:tcBorders>
          </w:tcPr>
          <w:p>
            <w:pPr>
              <w:pStyle w:val="TableParagraph"/>
              <w:ind w:left="73"/>
              <w:jc w:val="left"/>
              <w:rPr>
                <w:sz w:val="20"/>
              </w:rPr>
            </w:pPr>
            <w:r>
              <w:rPr>
                <w:sz w:val="20"/>
              </w:rPr>
              <w:t>15251</w:t>
            </w:r>
          </w:p>
        </w:tc>
        <w:tc>
          <w:tcPr>
            <w:tcW w:w="1032" w:type="dxa"/>
            <w:tcBorders>
              <w:top w:val="nil"/>
              <w:left w:val="nil"/>
              <w:right w:val="nil"/>
            </w:tcBorders>
          </w:tcPr>
          <w:p>
            <w:pPr>
              <w:pStyle w:val="TableParagraph"/>
              <w:ind w:right="87"/>
              <w:rPr>
                <w:sz w:val="20"/>
              </w:rPr>
            </w:pPr>
            <w:r>
              <w:rPr>
                <w:sz w:val="20"/>
              </w:rPr>
              <w:t>-2.191</w:t>
            </w:r>
          </w:p>
        </w:tc>
        <w:tc>
          <w:tcPr>
            <w:tcW w:w="1056" w:type="dxa"/>
            <w:tcBorders>
              <w:top w:val="nil"/>
              <w:left w:val="nil"/>
              <w:right w:val="nil"/>
            </w:tcBorders>
          </w:tcPr>
          <w:p>
            <w:pPr>
              <w:pStyle w:val="TableParagraph"/>
              <w:ind w:right="82"/>
              <w:rPr>
                <w:sz w:val="20"/>
              </w:rPr>
            </w:pPr>
            <w:r>
              <w:rPr>
                <w:sz w:val="20"/>
              </w:rPr>
              <w:t>-0.633</w:t>
            </w:r>
          </w:p>
        </w:tc>
        <w:tc>
          <w:tcPr>
            <w:tcW w:w="1025" w:type="dxa"/>
            <w:tcBorders>
              <w:top w:val="nil"/>
              <w:left w:val="nil"/>
              <w:right w:val="nil"/>
            </w:tcBorders>
          </w:tcPr>
          <w:p>
            <w:pPr>
              <w:pStyle w:val="TableParagraph"/>
              <w:ind w:right="65"/>
              <w:rPr>
                <w:sz w:val="20"/>
              </w:rPr>
            </w:pPr>
            <w:r>
              <w:rPr>
                <w:sz w:val="20"/>
              </w:rPr>
              <w:t>1.392</w:t>
            </w:r>
          </w:p>
        </w:tc>
        <w:tc>
          <w:tcPr>
            <w:tcW w:w="984" w:type="dxa"/>
            <w:tcBorders>
              <w:top w:val="nil"/>
              <w:left w:val="nil"/>
              <w:right w:val="nil"/>
            </w:tcBorders>
          </w:tcPr>
          <w:p>
            <w:pPr>
              <w:pStyle w:val="TableParagraph"/>
              <w:ind w:right="70"/>
              <w:rPr>
                <w:sz w:val="20"/>
              </w:rPr>
            </w:pPr>
            <w:r>
              <w:rPr>
                <w:sz w:val="20"/>
              </w:rPr>
              <w:t>3.849</w:t>
            </w:r>
          </w:p>
        </w:tc>
        <w:tc>
          <w:tcPr>
            <w:tcW w:w="999" w:type="dxa"/>
            <w:tcBorders>
              <w:top w:val="nil"/>
              <w:left w:val="nil"/>
              <w:right w:val="nil"/>
            </w:tcBorders>
          </w:tcPr>
          <w:p>
            <w:pPr>
              <w:pStyle w:val="TableParagraph"/>
              <w:ind w:right="70"/>
              <w:rPr>
                <w:sz w:val="20"/>
              </w:rPr>
            </w:pPr>
            <w:r>
              <w:rPr>
                <w:sz w:val="20"/>
              </w:rPr>
              <w:t>6.330</w:t>
            </w:r>
          </w:p>
        </w:tc>
        <w:tc>
          <w:tcPr>
            <w:tcW w:w="1003" w:type="dxa"/>
            <w:tcBorders>
              <w:top w:val="nil"/>
              <w:left w:val="nil"/>
              <w:right w:val="nil"/>
            </w:tcBorders>
          </w:tcPr>
          <w:p>
            <w:pPr>
              <w:pStyle w:val="TableParagraph"/>
              <w:ind w:right="75"/>
              <w:rPr>
                <w:sz w:val="20"/>
              </w:rPr>
            </w:pPr>
            <w:r>
              <w:rPr>
                <w:sz w:val="20"/>
              </w:rPr>
              <w:t>7.787</w:t>
            </w:r>
          </w:p>
        </w:tc>
        <w:tc>
          <w:tcPr>
            <w:tcW w:w="1011" w:type="dxa"/>
            <w:tcBorders>
              <w:top w:val="nil"/>
              <w:left w:val="nil"/>
              <w:right w:val="nil"/>
            </w:tcBorders>
          </w:tcPr>
          <w:p>
            <w:pPr>
              <w:pStyle w:val="TableParagraph"/>
              <w:ind w:right="67"/>
              <w:rPr>
                <w:sz w:val="20"/>
              </w:rPr>
            </w:pPr>
            <w:r>
              <w:rPr>
                <w:sz w:val="20"/>
              </w:rPr>
              <w:t>7.685</w:t>
            </w:r>
          </w:p>
        </w:tc>
        <w:tc>
          <w:tcPr>
            <w:tcW w:w="977" w:type="dxa"/>
            <w:tcBorders>
              <w:top w:val="nil"/>
              <w:left w:val="nil"/>
              <w:right w:val="nil"/>
            </w:tcBorders>
          </w:tcPr>
          <w:p>
            <w:pPr>
              <w:pStyle w:val="TableParagraph"/>
              <w:ind w:right="65"/>
              <w:rPr>
                <w:sz w:val="20"/>
              </w:rPr>
            </w:pPr>
            <w:r>
              <w:rPr>
                <w:sz w:val="20"/>
              </w:rPr>
              <w:t>7.461</w:t>
            </w:r>
          </w:p>
        </w:tc>
        <w:tc>
          <w:tcPr>
            <w:tcW w:w="980" w:type="dxa"/>
            <w:tcBorders>
              <w:top w:val="nil"/>
              <w:left w:val="nil"/>
              <w:right w:val="nil"/>
            </w:tcBorders>
          </w:tcPr>
          <w:p>
            <w:pPr>
              <w:pStyle w:val="TableParagraph"/>
              <w:ind w:right="65"/>
              <w:rPr>
                <w:sz w:val="20"/>
              </w:rPr>
            </w:pPr>
            <w:r>
              <w:rPr>
                <w:sz w:val="20"/>
              </w:rPr>
              <w:t>7.176</w:t>
            </w:r>
          </w:p>
        </w:tc>
        <w:tc>
          <w:tcPr>
            <w:tcW w:w="1076" w:type="dxa"/>
            <w:tcBorders>
              <w:top w:val="nil"/>
              <w:left w:val="nil"/>
              <w:right w:val="nil"/>
            </w:tcBorders>
          </w:tcPr>
          <w:p>
            <w:pPr>
              <w:pStyle w:val="TableParagraph"/>
              <w:ind w:right="65"/>
              <w:rPr>
                <w:sz w:val="20"/>
              </w:rPr>
            </w:pPr>
            <w:r>
              <w:rPr>
                <w:sz w:val="20"/>
              </w:rPr>
              <w:t>4.376</w:t>
            </w:r>
          </w:p>
        </w:tc>
        <w:tc>
          <w:tcPr>
            <w:tcW w:w="1073" w:type="dxa"/>
            <w:tcBorders>
              <w:top w:val="nil"/>
              <w:left w:val="nil"/>
              <w:right w:val="nil"/>
            </w:tcBorders>
          </w:tcPr>
          <w:p>
            <w:pPr>
              <w:pStyle w:val="TableParagraph"/>
              <w:ind w:right="63"/>
              <w:rPr>
                <w:sz w:val="20"/>
              </w:rPr>
            </w:pPr>
            <w:r>
              <w:rPr>
                <w:sz w:val="20"/>
              </w:rPr>
              <w:t>0.346</w:t>
            </w:r>
          </w:p>
        </w:tc>
        <w:tc>
          <w:tcPr>
            <w:tcW w:w="1068" w:type="dxa"/>
            <w:tcBorders>
              <w:top w:val="nil"/>
              <w:left w:val="nil"/>
              <w:right w:val="nil"/>
            </w:tcBorders>
          </w:tcPr>
          <w:p>
            <w:pPr>
              <w:pStyle w:val="TableParagraph"/>
              <w:ind w:right="60"/>
              <w:rPr>
                <w:sz w:val="20"/>
              </w:rPr>
            </w:pPr>
            <w:r>
              <w:rPr>
                <w:sz w:val="20"/>
              </w:rPr>
              <w:t>-1.030</w:t>
            </w:r>
          </w:p>
        </w:tc>
      </w:tr>
    </w:tbl>
    <w:p>
      <w:pPr>
        <w:pStyle w:val="BodyText"/>
        <w:rPr>
          <w:sz w:val="20"/>
        </w:rPr>
      </w:pPr>
    </w:p>
    <w:p>
      <w:pPr>
        <w:pStyle w:val="BodyText"/>
        <w:rPr>
          <w:sz w:val="20"/>
        </w:rPr>
      </w:pPr>
    </w:p>
    <w:p>
      <w:pPr>
        <w:pStyle w:val="BodyText"/>
        <w:rPr>
          <w:sz w:val="20"/>
        </w:rPr>
      </w:pPr>
    </w:p>
    <w:p>
      <w:pPr>
        <w:pStyle w:val="BodyText"/>
        <w:spacing w:before="2"/>
        <w:rPr>
          <w:sz w:val="19"/>
        </w:rPr>
      </w:pPr>
    </w:p>
    <w:p>
      <w:pPr>
        <w:pStyle w:val="Heading1"/>
        <w:spacing w:before="66"/>
        <w:ind w:left="4335"/>
      </w:pPr>
      <w:bookmarkStart w:name="_bookmark147" w:id="206"/>
      <w:bookmarkEnd w:id="206"/>
      <w:r>
        <w:rPr>
          <w:b w:val="0"/>
        </w:rPr>
      </w:r>
      <w:r>
        <w:rPr/>
        <w:t>Tabla 10. Valores de radiación solar por subcuenca</w:t>
      </w:r>
    </w:p>
    <w:p>
      <w:pPr>
        <w:pStyle w:val="BodyText"/>
        <w:rPr>
          <w:b/>
          <w:sz w:val="18"/>
        </w:rPr>
      </w:pPr>
    </w:p>
    <w:tbl>
      <w:tblPr>
        <w:tblW w:w="0" w:type="auto"/>
        <w:jc w:val="left"/>
        <w:tblInd w:w="6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9"/>
        <w:gridCol w:w="867"/>
        <w:gridCol w:w="992"/>
        <w:gridCol w:w="977"/>
        <w:gridCol w:w="975"/>
        <w:gridCol w:w="977"/>
        <w:gridCol w:w="977"/>
        <w:gridCol w:w="975"/>
        <w:gridCol w:w="977"/>
        <w:gridCol w:w="977"/>
        <w:gridCol w:w="975"/>
        <w:gridCol w:w="1056"/>
        <w:gridCol w:w="1056"/>
        <w:gridCol w:w="1054"/>
      </w:tblGrid>
      <w:tr>
        <w:trPr>
          <w:trHeight w:val="610" w:hRule="exact"/>
        </w:trPr>
        <w:tc>
          <w:tcPr>
            <w:tcW w:w="959" w:type="dxa"/>
            <w:tcBorders>
              <w:left w:val="nil"/>
              <w:right w:val="nil"/>
            </w:tcBorders>
          </w:tcPr>
          <w:p>
            <w:pPr>
              <w:pStyle w:val="TableParagraph"/>
              <w:spacing w:before="110"/>
              <w:ind w:left="95"/>
              <w:jc w:val="left"/>
              <w:rPr>
                <w:sz w:val="16"/>
              </w:rPr>
            </w:pPr>
            <w:r>
              <w:rPr>
                <w:sz w:val="16"/>
              </w:rPr>
              <w:t>SUBBASIN</w:t>
            </w:r>
          </w:p>
        </w:tc>
        <w:tc>
          <w:tcPr>
            <w:tcW w:w="867" w:type="dxa"/>
            <w:tcBorders>
              <w:left w:val="nil"/>
              <w:right w:val="nil"/>
            </w:tcBorders>
          </w:tcPr>
          <w:p>
            <w:pPr>
              <w:pStyle w:val="TableParagraph"/>
              <w:spacing w:before="110"/>
              <w:ind w:left="101"/>
              <w:jc w:val="left"/>
              <w:rPr>
                <w:sz w:val="16"/>
              </w:rPr>
            </w:pPr>
            <w:r>
              <w:rPr>
                <w:sz w:val="16"/>
              </w:rPr>
              <w:t>STATION</w:t>
            </w:r>
          </w:p>
        </w:tc>
        <w:tc>
          <w:tcPr>
            <w:tcW w:w="992" w:type="dxa"/>
            <w:tcBorders>
              <w:left w:val="nil"/>
              <w:right w:val="nil"/>
            </w:tcBorders>
          </w:tcPr>
          <w:p>
            <w:pPr>
              <w:pStyle w:val="TableParagraph"/>
              <w:spacing w:before="110"/>
              <w:ind w:right="78"/>
              <w:rPr>
                <w:sz w:val="16"/>
              </w:rPr>
            </w:pPr>
            <w:r>
              <w:rPr>
                <w:w w:val="95"/>
                <w:sz w:val="16"/>
              </w:rPr>
              <w:t>SOLARAV1</w:t>
            </w:r>
          </w:p>
        </w:tc>
        <w:tc>
          <w:tcPr>
            <w:tcW w:w="977" w:type="dxa"/>
            <w:tcBorders>
              <w:left w:val="nil"/>
              <w:right w:val="nil"/>
            </w:tcBorders>
          </w:tcPr>
          <w:p>
            <w:pPr>
              <w:pStyle w:val="TableParagraph"/>
              <w:spacing w:before="110"/>
              <w:ind w:right="75"/>
              <w:rPr>
                <w:sz w:val="16"/>
              </w:rPr>
            </w:pPr>
            <w:r>
              <w:rPr>
                <w:w w:val="95"/>
                <w:sz w:val="16"/>
              </w:rPr>
              <w:t>SOLARAV2</w:t>
            </w:r>
          </w:p>
        </w:tc>
        <w:tc>
          <w:tcPr>
            <w:tcW w:w="975" w:type="dxa"/>
            <w:tcBorders>
              <w:left w:val="nil"/>
              <w:right w:val="nil"/>
            </w:tcBorders>
          </w:tcPr>
          <w:p>
            <w:pPr>
              <w:pStyle w:val="TableParagraph"/>
              <w:spacing w:before="110"/>
              <w:ind w:right="76"/>
              <w:rPr>
                <w:sz w:val="16"/>
              </w:rPr>
            </w:pPr>
            <w:r>
              <w:rPr>
                <w:w w:val="95"/>
                <w:sz w:val="16"/>
              </w:rPr>
              <w:t>SOLARAV3</w:t>
            </w:r>
          </w:p>
        </w:tc>
        <w:tc>
          <w:tcPr>
            <w:tcW w:w="977" w:type="dxa"/>
            <w:tcBorders>
              <w:left w:val="nil"/>
              <w:right w:val="nil"/>
            </w:tcBorders>
          </w:tcPr>
          <w:p>
            <w:pPr>
              <w:pStyle w:val="TableParagraph"/>
              <w:spacing w:before="110"/>
              <w:ind w:right="78"/>
              <w:rPr>
                <w:sz w:val="16"/>
              </w:rPr>
            </w:pPr>
            <w:r>
              <w:rPr>
                <w:w w:val="95"/>
                <w:sz w:val="16"/>
              </w:rPr>
              <w:t>SOLARAV4</w:t>
            </w:r>
          </w:p>
        </w:tc>
        <w:tc>
          <w:tcPr>
            <w:tcW w:w="977" w:type="dxa"/>
            <w:tcBorders>
              <w:left w:val="nil"/>
              <w:right w:val="nil"/>
            </w:tcBorders>
          </w:tcPr>
          <w:p>
            <w:pPr>
              <w:pStyle w:val="TableParagraph"/>
              <w:spacing w:before="110"/>
              <w:ind w:right="76"/>
              <w:rPr>
                <w:sz w:val="16"/>
              </w:rPr>
            </w:pPr>
            <w:r>
              <w:rPr>
                <w:w w:val="95"/>
                <w:sz w:val="16"/>
              </w:rPr>
              <w:t>SOLARAV5</w:t>
            </w:r>
          </w:p>
        </w:tc>
        <w:tc>
          <w:tcPr>
            <w:tcW w:w="975" w:type="dxa"/>
            <w:tcBorders>
              <w:left w:val="nil"/>
              <w:right w:val="nil"/>
            </w:tcBorders>
          </w:tcPr>
          <w:p>
            <w:pPr>
              <w:pStyle w:val="TableParagraph"/>
              <w:spacing w:before="110"/>
              <w:ind w:right="75"/>
              <w:rPr>
                <w:sz w:val="16"/>
              </w:rPr>
            </w:pPr>
            <w:r>
              <w:rPr>
                <w:w w:val="95"/>
                <w:sz w:val="16"/>
              </w:rPr>
              <w:t>SOLARAV6</w:t>
            </w:r>
          </w:p>
        </w:tc>
        <w:tc>
          <w:tcPr>
            <w:tcW w:w="977" w:type="dxa"/>
            <w:tcBorders>
              <w:left w:val="nil"/>
              <w:right w:val="nil"/>
            </w:tcBorders>
          </w:tcPr>
          <w:p>
            <w:pPr>
              <w:pStyle w:val="TableParagraph"/>
              <w:spacing w:before="110"/>
              <w:ind w:right="78"/>
              <w:rPr>
                <w:sz w:val="16"/>
              </w:rPr>
            </w:pPr>
            <w:r>
              <w:rPr>
                <w:w w:val="95"/>
                <w:sz w:val="16"/>
              </w:rPr>
              <w:t>SOLARAV7</w:t>
            </w:r>
          </w:p>
        </w:tc>
        <w:tc>
          <w:tcPr>
            <w:tcW w:w="977" w:type="dxa"/>
            <w:tcBorders>
              <w:left w:val="nil"/>
              <w:right w:val="nil"/>
            </w:tcBorders>
          </w:tcPr>
          <w:p>
            <w:pPr>
              <w:pStyle w:val="TableParagraph"/>
              <w:spacing w:before="110"/>
              <w:ind w:right="75"/>
              <w:rPr>
                <w:sz w:val="16"/>
              </w:rPr>
            </w:pPr>
            <w:r>
              <w:rPr>
                <w:w w:val="95"/>
                <w:sz w:val="16"/>
              </w:rPr>
              <w:t>SOLARAV8</w:t>
            </w:r>
          </w:p>
        </w:tc>
        <w:tc>
          <w:tcPr>
            <w:tcW w:w="975" w:type="dxa"/>
            <w:tcBorders>
              <w:left w:val="nil"/>
              <w:right w:val="nil"/>
            </w:tcBorders>
          </w:tcPr>
          <w:p>
            <w:pPr>
              <w:pStyle w:val="TableParagraph"/>
              <w:spacing w:before="110"/>
              <w:ind w:right="75"/>
              <w:rPr>
                <w:sz w:val="16"/>
              </w:rPr>
            </w:pPr>
            <w:r>
              <w:rPr>
                <w:w w:val="95"/>
                <w:sz w:val="16"/>
              </w:rPr>
              <w:t>SOLARAV9</w:t>
            </w:r>
          </w:p>
        </w:tc>
        <w:tc>
          <w:tcPr>
            <w:tcW w:w="1056" w:type="dxa"/>
            <w:tcBorders>
              <w:left w:val="nil"/>
              <w:right w:val="nil"/>
            </w:tcBorders>
          </w:tcPr>
          <w:p>
            <w:pPr>
              <w:pStyle w:val="TableParagraph"/>
              <w:spacing w:before="110"/>
              <w:ind w:right="76"/>
              <w:rPr>
                <w:sz w:val="16"/>
              </w:rPr>
            </w:pPr>
            <w:r>
              <w:rPr>
                <w:w w:val="95"/>
                <w:sz w:val="16"/>
              </w:rPr>
              <w:t>SOLARAV10</w:t>
            </w:r>
          </w:p>
        </w:tc>
        <w:tc>
          <w:tcPr>
            <w:tcW w:w="1056" w:type="dxa"/>
            <w:tcBorders>
              <w:left w:val="nil"/>
              <w:right w:val="nil"/>
            </w:tcBorders>
          </w:tcPr>
          <w:p>
            <w:pPr>
              <w:pStyle w:val="TableParagraph"/>
              <w:spacing w:before="110"/>
              <w:ind w:right="76"/>
              <w:rPr>
                <w:sz w:val="16"/>
              </w:rPr>
            </w:pPr>
            <w:r>
              <w:rPr>
                <w:w w:val="95"/>
                <w:sz w:val="16"/>
              </w:rPr>
              <w:t>SOLARAV11</w:t>
            </w:r>
          </w:p>
        </w:tc>
        <w:tc>
          <w:tcPr>
            <w:tcW w:w="1054" w:type="dxa"/>
            <w:tcBorders>
              <w:left w:val="nil"/>
              <w:right w:val="nil"/>
            </w:tcBorders>
          </w:tcPr>
          <w:p>
            <w:pPr>
              <w:pStyle w:val="TableParagraph"/>
              <w:spacing w:before="110"/>
              <w:ind w:right="73"/>
              <w:rPr>
                <w:sz w:val="16"/>
              </w:rPr>
            </w:pPr>
            <w:r>
              <w:rPr>
                <w:w w:val="95"/>
                <w:sz w:val="16"/>
              </w:rPr>
              <w:t>SOLARAV12</w:t>
            </w:r>
          </w:p>
        </w:tc>
      </w:tr>
      <w:tr>
        <w:trPr>
          <w:trHeight w:val="339" w:hRule="exact"/>
        </w:trPr>
        <w:tc>
          <w:tcPr>
            <w:tcW w:w="959" w:type="dxa"/>
            <w:tcBorders>
              <w:left w:val="nil"/>
              <w:bottom w:val="nil"/>
              <w:right w:val="nil"/>
            </w:tcBorders>
          </w:tcPr>
          <w:p>
            <w:pPr>
              <w:pStyle w:val="TableParagraph"/>
              <w:spacing w:before="58"/>
              <w:ind w:left="86"/>
              <w:jc w:val="left"/>
              <w:rPr>
                <w:sz w:val="20"/>
              </w:rPr>
            </w:pPr>
            <w:r>
              <w:rPr>
                <w:w w:val="100"/>
                <w:sz w:val="20"/>
              </w:rPr>
              <w:t>1</w:t>
            </w:r>
          </w:p>
        </w:tc>
        <w:tc>
          <w:tcPr>
            <w:tcW w:w="867" w:type="dxa"/>
            <w:tcBorders>
              <w:left w:val="nil"/>
              <w:bottom w:val="nil"/>
              <w:right w:val="nil"/>
            </w:tcBorders>
          </w:tcPr>
          <w:p>
            <w:pPr>
              <w:pStyle w:val="TableParagraph"/>
              <w:spacing w:before="58"/>
              <w:ind w:left="77"/>
              <w:jc w:val="left"/>
              <w:rPr>
                <w:sz w:val="20"/>
              </w:rPr>
            </w:pPr>
            <w:r>
              <w:rPr>
                <w:sz w:val="20"/>
              </w:rPr>
              <w:t>15001</w:t>
            </w:r>
          </w:p>
        </w:tc>
        <w:tc>
          <w:tcPr>
            <w:tcW w:w="992" w:type="dxa"/>
            <w:tcBorders>
              <w:left w:val="nil"/>
              <w:bottom w:val="nil"/>
              <w:right w:val="nil"/>
            </w:tcBorders>
          </w:tcPr>
          <w:p>
            <w:pPr>
              <w:pStyle w:val="TableParagraph"/>
              <w:spacing w:before="58"/>
              <w:ind w:right="70"/>
              <w:rPr>
                <w:sz w:val="20"/>
              </w:rPr>
            </w:pPr>
            <w:r>
              <w:rPr>
                <w:sz w:val="20"/>
              </w:rPr>
              <w:t>16</w:t>
            </w:r>
          </w:p>
        </w:tc>
        <w:tc>
          <w:tcPr>
            <w:tcW w:w="977" w:type="dxa"/>
            <w:tcBorders>
              <w:left w:val="nil"/>
              <w:bottom w:val="nil"/>
              <w:right w:val="nil"/>
            </w:tcBorders>
          </w:tcPr>
          <w:p>
            <w:pPr>
              <w:pStyle w:val="TableParagraph"/>
              <w:spacing w:before="58"/>
              <w:ind w:right="67"/>
              <w:rPr>
                <w:sz w:val="20"/>
              </w:rPr>
            </w:pPr>
            <w:r>
              <w:rPr>
                <w:sz w:val="20"/>
              </w:rPr>
              <w:t>19</w:t>
            </w:r>
          </w:p>
        </w:tc>
        <w:tc>
          <w:tcPr>
            <w:tcW w:w="975" w:type="dxa"/>
            <w:tcBorders>
              <w:left w:val="nil"/>
              <w:bottom w:val="nil"/>
              <w:right w:val="nil"/>
            </w:tcBorders>
          </w:tcPr>
          <w:p>
            <w:pPr>
              <w:pStyle w:val="TableParagraph"/>
              <w:spacing w:before="58"/>
              <w:ind w:right="67"/>
              <w:rPr>
                <w:sz w:val="20"/>
              </w:rPr>
            </w:pPr>
            <w:r>
              <w:rPr>
                <w:sz w:val="20"/>
              </w:rPr>
              <w:t>20</w:t>
            </w:r>
          </w:p>
        </w:tc>
        <w:tc>
          <w:tcPr>
            <w:tcW w:w="977" w:type="dxa"/>
            <w:tcBorders>
              <w:left w:val="nil"/>
              <w:bottom w:val="nil"/>
              <w:right w:val="nil"/>
            </w:tcBorders>
          </w:tcPr>
          <w:p>
            <w:pPr>
              <w:pStyle w:val="TableParagraph"/>
              <w:spacing w:before="58"/>
              <w:ind w:right="71"/>
              <w:rPr>
                <w:sz w:val="20"/>
              </w:rPr>
            </w:pPr>
            <w:r>
              <w:rPr>
                <w:sz w:val="20"/>
              </w:rPr>
              <w:t>19</w:t>
            </w:r>
          </w:p>
        </w:tc>
        <w:tc>
          <w:tcPr>
            <w:tcW w:w="977" w:type="dxa"/>
            <w:tcBorders>
              <w:left w:val="nil"/>
              <w:bottom w:val="nil"/>
              <w:right w:val="nil"/>
            </w:tcBorders>
          </w:tcPr>
          <w:p>
            <w:pPr>
              <w:pStyle w:val="TableParagraph"/>
              <w:spacing w:before="58"/>
              <w:ind w:right="67"/>
              <w:rPr>
                <w:sz w:val="20"/>
              </w:rPr>
            </w:pPr>
            <w:r>
              <w:rPr>
                <w:sz w:val="20"/>
              </w:rPr>
              <w:t>20</w:t>
            </w:r>
          </w:p>
        </w:tc>
        <w:tc>
          <w:tcPr>
            <w:tcW w:w="975" w:type="dxa"/>
            <w:tcBorders>
              <w:left w:val="nil"/>
              <w:bottom w:val="nil"/>
              <w:right w:val="nil"/>
            </w:tcBorders>
          </w:tcPr>
          <w:p>
            <w:pPr>
              <w:pStyle w:val="TableParagraph"/>
              <w:spacing w:before="58"/>
              <w:ind w:right="67"/>
              <w:rPr>
                <w:sz w:val="20"/>
              </w:rPr>
            </w:pPr>
            <w:r>
              <w:rPr>
                <w:sz w:val="20"/>
              </w:rPr>
              <w:t>19</w:t>
            </w:r>
          </w:p>
        </w:tc>
        <w:tc>
          <w:tcPr>
            <w:tcW w:w="977" w:type="dxa"/>
            <w:tcBorders>
              <w:left w:val="nil"/>
              <w:bottom w:val="nil"/>
              <w:right w:val="nil"/>
            </w:tcBorders>
          </w:tcPr>
          <w:p>
            <w:pPr>
              <w:pStyle w:val="TableParagraph"/>
              <w:spacing w:before="58"/>
              <w:ind w:right="71"/>
              <w:rPr>
                <w:sz w:val="20"/>
              </w:rPr>
            </w:pPr>
            <w:r>
              <w:rPr>
                <w:sz w:val="20"/>
              </w:rPr>
              <w:t>19</w:t>
            </w:r>
          </w:p>
        </w:tc>
        <w:tc>
          <w:tcPr>
            <w:tcW w:w="977" w:type="dxa"/>
            <w:tcBorders>
              <w:left w:val="nil"/>
              <w:bottom w:val="nil"/>
              <w:right w:val="nil"/>
            </w:tcBorders>
          </w:tcPr>
          <w:p>
            <w:pPr>
              <w:pStyle w:val="TableParagraph"/>
              <w:spacing w:before="58"/>
              <w:ind w:right="67"/>
              <w:rPr>
                <w:sz w:val="20"/>
              </w:rPr>
            </w:pPr>
            <w:r>
              <w:rPr>
                <w:sz w:val="20"/>
              </w:rPr>
              <w:t>19</w:t>
            </w:r>
          </w:p>
        </w:tc>
        <w:tc>
          <w:tcPr>
            <w:tcW w:w="975" w:type="dxa"/>
            <w:tcBorders>
              <w:left w:val="nil"/>
              <w:bottom w:val="nil"/>
              <w:right w:val="nil"/>
            </w:tcBorders>
          </w:tcPr>
          <w:p>
            <w:pPr>
              <w:pStyle w:val="TableParagraph"/>
              <w:spacing w:before="58"/>
              <w:ind w:right="67"/>
              <w:rPr>
                <w:sz w:val="20"/>
              </w:rPr>
            </w:pPr>
            <w:r>
              <w:rPr>
                <w:sz w:val="20"/>
              </w:rPr>
              <w:t>17</w:t>
            </w:r>
          </w:p>
        </w:tc>
        <w:tc>
          <w:tcPr>
            <w:tcW w:w="1056" w:type="dxa"/>
            <w:tcBorders>
              <w:left w:val="nil"/>
              <w:bottom w:val="nil"/>
              <w:right w:val="nil"/>
            </w:tcBorders>
          </w:tcPr>
          <w:p>
            <w:pPr>
              <w:pStyle w:val="TableParagraph"/>
              <w:spacing w:before="58"/>
              <w:ind w:right="67"/>
              <w:rPr>
                <w:sz w:val="20"/>
              </w:rPr>
            </w:pPr>
            <w:r>
              <w:rPr>
                <w:sz w:val="20"/>
              </w:rPr>
              <w:t>17</w:t>
            </w:r>
          </w:p>
        </w:tc>
        <w:tc>
          <w:tcPr>
            <w:tcW w:w="1056" w:type="dxa"/>
            <w:tcBorders>
              <w:left w:val="nil"/>
              <w:bottom w:val="nil"/>
              <w:right w:val="nil"/>
            </w:tcBorders>
          </w:tcPr>
          <w:p>
            <w:pPr>
              <w:pStyle w:val="TableParagraph"/>
              <w:spacing w:before="58"/>
              <w:ind w:right="67"/>
              <w:rPr>
                <w:sz w:val="20"/>
              </w:rPr>
            </w:pPr>
            <w:r>
              <w:rPr>
                <w:sz w:val="20"/>
              </w:rPr>
              <w:t>16</w:t>
            </w:r>
          </w:p>
        </w:tc>
        <w:tc>
          <w:tcPr>
            <w:tcW w:w="1054" w:type="dxa"/>
            <w:tcBorders>
              <w:left w:val="nil"/>
              <w:bottom w:val="nil"/>
              <w:right w:val="nil"/>
            </w:tcBorders>
          </w:tcPr>
          <w:p>
            <w:pPr>
              <w:pStyle w:val="TableParagraph"/>
              <w:spacing w:before="58"/>
              <w:ind w:right="65"/>
              <w:rPr>
                <w:sz w:val="20"/>
              </w:rPr>
            </w:pPr>
            <w:r>
              <w:rPr>
                <w:sz w:val="20"/>
              </w:rPr>
              <w:t>15</w:t>
            </w:r>
          </w:p>
        </w:tc>
      </w:tr>
      <w:tr>
        <w:trPr>
          <w:trHeight w:val="300" w:hRule="exact"/>
        </w:trPr>
        <w:tc>
          <w:tcPr>
            <w:tcW w:w="959" w:type="dxa"/>
            <w:tcBorders>
              <w:top w:val="nil"/>
              <w:left w:val="nil"/>
              <w:bottom w:val="nil"/>
              <w:right w:val="nil"/>
            </w:tcBorders>
          </w:tcPr>
          <w:p>
            <w:pPr>
              <w:pStyle w:val="TableParagraph"/>
              <w:spacing w:before="26"/>
              <w:ind w:left="86"/>
              <w:jc w:val="left"/>
              <w:rPr>
                <w:sz w:val="20"/>
              </w:rPr>
            </w:pPr>
            <w:r>
              <w:rPr>
                <w:w w:val="100"/>
                <w:sz w:val="20"/>
              </w:rPr>
              <w:t>2</w:t>
            </w:r>
          </w:p>
        </w:tc>
        <w:tc>
          <w:tcPr>
            <w:tcW w:w="867" w:type="dxa"/>
            <w:tcBorders>
              <w:top w:val="nil"/>
              <w:left w:val="nil"/>
              <w:bottom w:val="nil"/>
              <w:right w:val="nil"/>
            </w:tcBorders>
          </w:tcPr>
          <w:p>
            <w:pPr>
              <w:pStyle w:val="TableParagraph"/>
              <w:spacing w:before="26"/>
              <w:ind w:left="77"/>
              <w:jc w:val="left"/>
              <w:rPr>
                <w:sz w:val="20"/>
              </w:rPr>
            </w:pPr>
            <w:r>
              <w:rPr>
                <w:sz w:val="20"/>
              </w:rPr>
              <w:t>15001</w:t>
            </w:r>
          </w:p>
        </w:tc>
        <w:tc>
          <w:tcPr>
            <w:tcW w:w="992" w:type="dxa"/>
            <w:tcBorders>
              <w:top w:val="nil"/>
              <w:left w:val="nil"/>
              <w:bottom w:val="nil"/>
              <w:right w:val="nil"/>
            </w:tcBorders>
          </w:tcPr>
          <w:p>
            <w:pPr>
              <w:pStyle w:val="TableParagraph"/>
              <w:spacing w:before="26"/>
              <w:ind w:right="70"/>
              <w:rPr>
                <w:sz w:val="20"/>
              </w:rPr>
            </w:pPr>
            <w:r>
              <w:rPr>
                <w:sz w:val="20"/>
              </w:rPr>
              <w:t>16</w:t>
            </w:r>
          </w:p>
        </w:tc>
        <w:tc>
          <w:tcPr>
            <w:tcW w:w="977" w:type="dxa"/>
            <w:tcBorders>
              <w:top w:val="nil"/>
              <w:left w:val="nil"/>
              <w:bottom w:val="nil"/>
              <w:right w:val="nil"/>
            </w:tcBorders>
          </w:tcPr>
          <w:p>
            <w:pPr>
              <w:pStyle w:val="TableParagraph"/>
              <w:spacing w:before="26"/>
              <w:ind w:right="67"/>
              <w:rPr>
                <w:sz w:val="20"/>
              </w:rPr>
            </w:pPr>
            <w:r>
              <w:rPr>
                <w:sz w:val="20"/>
              </w:rPr>
              <w:t>19</w:t>
            </w:r>
          </w:p>
        </w:tc>
        <w:tc>
          <w:tcPr>
            <w:tcW w:w="975" w:type="dxa"/>
            <w:tcBorders>
              <w:top w:val="nil"/>
              <w:left w:val="nil"/>
              <w:bottom w:val="nil"/>
              <w:right w:val="nil"/>
            </w:tcBorders>
          </w:tcPr>
          <w:p>
            <w:pPr>
              <w:pStyle w:val="TableParagraph"/>
              <w:spacing w:before="26"/>
              <w:ind w:right="67"/>
              <w:rPr>
                <w:sz w:val="20"/>
              </w:rPr>
            </w:pPr>
            <w:r>
              <w:rPr>
                <w:sz w:val="20"/>
              </w:rPr>
              <w:t>20</w:t>
            </w:r>
          </w:p>
        </w:tc>
        <w:tc>
          <w:tcPr>
            <w:tcW w:w="977" w:type="dxa"/>
            <w:tcBorders>
              <w:top w:val="nil"/>
              <w:left w:val="nil"/>
              <w:bottom w:val="nil"/>
              <w:right w:val="nil"/>
            </w:tcBorders>
          </w:tcPr>
          <w:p>
            <w:pPr>
              <w:pStyle w:val="TableParagraph"/>
              <w:spacing w:before="26"/>
              <w:ind w:right="71"/>
              <w:rPr>
                <w:sz w:val="20"/>
              </w:rPr>
            </w:pPr>
            <w:r>
              <w:rPr>
                <w:sz w:val="20"/>
              </w:rPr>
              <w:t>19</w:t>
            </w:r>
          </w:p>
        </w:tc>
        <w:tc>
          <w:tcPr>
            <w:tcW w:w="977" w:type="dxa"/>
            <w:tcBorders>
              <w:top w:val="nil"/>
              <w:left w:val="nil"/>
              <w:bottom w:val="nil"/>
              <w:right w:val="nil"/>
            </w:tcBorders>
          </w:tcPr>
          <w:p>
            <w:pPr>
              <w:pStyle w:val="TableParagraph"/>
              <w:spacing w:before="26"/>
              <w:ind w:right="67"/>
              <w:rPr>
                <w:sz w:val="20"/>
              </w:rPr>
            </w:pPr>
            <w:r>
              <w:rPr>
                <w:sz w:val="20"/>
              </w:rPr>
              <w:t>20</w:t>
            </w:r>
          </w:p>
        </w:tc>
        <w:tc>
          <w:tcPr>
            <w:tcW w:w="975" w:type="dxa"/>
            <w:tcBorders>
              <w:top w:val="nil"/>
              <w:left w:val="nil"/>
              <w:bottom w:val="nil"/>
              <w:right w:val="nil"/>
            </w:tcBorders>
          </w:tcPr>
          <w:p>
            <w:pPr>
              <w:pStyle w:val="TableParagraph"/>
              <w:spacing w:before="26"/>
              <w:ind w:right="67"/>
              <w:rPr>
                <w:sz w:val="20"/>
              </w:rPr>
            </w:pPr>
            <w:r>
              <w:rPr>
                <w:sz w:val="20"/>
              </w:rPr>
              <w:t>19</w:t>
            </w:r>
          </w:p>
        </w:tc>
        <w:tc>
          <w:tcPr>
            <w:tcW w:w="977" w:type="dxa"/>
            <w:tcBorders>
              <w:top w:val="nil"/>
              <w:left w:val="nil"/>
              <w:bottom w:val="nil"/>
              <w:right w:val="nil"/>
            </w:tcBorders>
          </w:tcPr>
          <w:p>
            <w:pPr>
              <w:pStyle w:val="TableParagraph"/>
              <w:spacing w:before="26"/>
              <w:ind w:right="71"/>
              <w:rPr>
                <w:sz w:val="20"/>
              </w:rPr>
            </w:pPr>
            <w:r>
              <w:rPr>
                <w:sz w:val="20"/>
              </w:rPr>
              <w:t>19</w:t>
            </w:r>
          </w:p>
        </w:tc>
        <w:tc>
          <w:tcPr>
            <w:tcW w:w="977" w:type="dxa"/>
            <w:tcBorders>
              <w:top w:val="nil"/>
              <w:left w:val="nil"/>
              <w:bottom w:val="nil"/>
              <w:right w:val="nil"/>
            </w:tcBorders>
          </w:tcPr>
          <w:p>
            <w:pPr>
              <w:pStyle w:val="TableParagraph"/>
              <w:spacing w:before="26"/>
              <w:ind w:right="67"/>
              <w:rPr>
                <w:sz w:val="20"/>
              </w:rPr>
            </w:pPr>
            <w:r>
              <w:rPr>
                <w:sz w:val="20"/>
              </w:rPr>
              <w:t>19</w:t>
            </w:r>
          </w:p>
        </w:tc>
        <w:tc>
          <w:tcPr>
            <w:tcW w:w="975" w:type="dxa"/>
            <w:tcBorders>
              <w:top w:val="nil"/>
              <w:left w:val="nil"/>
              <w:bottom w:val="nil"/>
              <w:right w:val="nil"/>
            </w:tcBorders>
          </w:tcPr>
          <w:p>
            <w:pPr>
              <w:pStyle w:val="TableParagraph"/>
              <w:spacing w:before="26"/>
              <w:ind w:right="67"/>
              <w:rPr>
                <w:sz w:val="20"/>
              </w:rPr>
            </w:pPr>
            <w:r>
              <w:rPr>
                <w:sz w:val="20"/>
              </w:rPr>
              <w:t>17</w:t>
            </w:r>
          </w:p>
        </w:tc>
        <w:tc>
          <w:tcPr>
            <w:tcW w:w="1056" w:type="dxa"/>
            <w:tcBorders>
              <w:top w:val="nil"/>
              <w:left w:val="nil"/>
              <w:bottom w:val="nil"/>
              <w:right w:val="nil"/>
            </w:tcBorders>
          </w:tcPr>
          <w:p>
            <w:pPr>
              <w:pStyle w:val="TableParagraph"/>
              <w:spacing w:before="26"/>
              <w:ind w:right="67"/>
              <w:rPr>
                <w:sz w:val="20"/>
              </w:rPr>
            </w:pPr>
            <w:r>
              <w:rPr>
                <w:sz w:val="20"/>
              </w:rPr>
              <w:t>17</w:t>
            </w:r>
          </w:p>
        </w:tc>
        <w:tc>
          <w:tcPr>
            <w:tcW w:w="1056" w:type="dxa"/>
            <w:tcBorders>
              <w:top w:val="nil"/>
              <w:left w:val="nil"/>
              <w:bottom w:val="nil"/>
              <w:right w:val="nil"/>
            </w:tcBorders>
          </w:tcPr>
          <w:p>
            <w:pPr>
              <w:pStyle w:val="TableParagraph"/>
              <w:spacing w:before="26"/>
              <w:ind w:right="67"/>
              <w:rPr>
                <w:sz w:val="20"/>
              </w:rPr>
            </w:pPr>
            <w:r>
              <w:rPr>
                <w:sz w:val="20"/>
              </w:rPr>
              <w:t>16</w:t>
            </w:r>
          </w:p>
        </w:tc>
        <w:tc>
          <w:tcPr>
            <w:tcW w:w="1054" w:type="dxa"/>
            <w:tcBorders>
              <w:top w:val="nil"/>
              <w:left w:val="nil"/>
              <w:bottom w:val="nil"/>
              <w:right w:val="nil"/>
            </w:tcBorders>
          </w:tcPr>
          <w:p>
            <w:pPr>
              <w:pStyle w:val="TableParagraph"/>
              <w:spacing w:before="26"/>
              <w:ind w:right="65"/>
              <w:rPr>
                <w:sz w:val="20"/>
              </w:rPr>
            </w:pPr>
            <w:r>
              <w:rPr>
                <w:sz w:val="20"/>
              </w:rPr>
              <w:t>15</w:t>
            </w:r>
          </w:p>
        </w:tc>
      </w:tr>
      <w:tr>
        <w:trPr>
          <w:trHeight w:val="300" w:hRule="exact"/>
        </w:trPr>
        <w:tc>
          <w:tcPr>
            <w:tcW w:w="959" w:type="dxa"/>
            <w:tcBorders>
              <w:top w:val="nil"/>
              <w:left w:val="nil"/>
              <w:bottom w:val="nil"/>
              <w:right w:val="nil"/>
            </w:tcBorders>
          </w:tcPr>
          <w:p>
            <w:pPr>
              <w:pStyle w:val="TableParagraph"/>
              <w:ind w:left="86"/>
              <w:jc w:val="left"/>
              <w:rPr>
                <w:sz w:val="20"/>
              </w:rPr>
            </w:pPr>
            <w:r>
              <w:rPr>
                <w:w w:val="100"/>
                <w:sz w:val="20"/>
              </w:rPr>
              <w:t>3</w:t>
            </w:r>
          </w:p>
        </w:tc>
        <w:tc>
          <w:tcPr>
            <w:tcW w:w="867" w:type="dxa"/>
            <w:tcBorders>
              <w:top w:val="nil"/>
              <w:left w:val="nil"/>
              <w:bottom w:val="nil"/>
              <w:right w:val="nil"/>
            </w:tcBorders>
          </w:tcPr>
          <w:p>
            <w:pPr>
              <w:pStyle w:val="TableParagraph"/>
              <w:ind w:left="77"/>
              <w:jc w:val="left"/>
              <w:rPr>
                <w:sz w:val="20"/>
              </w:rPr>
            </w:pPr>
            <w:r>
              <w:rPr>
                <w:sz w:val="20"/>
              </w:rPr>
              <w:t>15261</w:t>
            </w:r>
          </w:p>
        </w:tc>
        <w:tc>
          <w:tcPr>
            <w:tcW w:w="992" w:type="dxa"/>
            <w:tcBorders>
              <w:top w:val="nil"/>
              <w:left w:val="nil"/>
              <w:bottom w:val="nil"/>
              <w:right w:val="nil"/>
            </w:tcBorders>
          </w:tcPr>
          <w:p>
            <w:pPr>
              <w:pStyle w:val="TableParagraph"/>
              <w:ind w:right="70"/>
              <w:rPr>
                <w:sz w:val="20"/>
              </w:rPr>
            </w:pPr>
            <w:r>
              <w:rPr>
                <w:sz w:val="20"/>
              </w:rPr>
              <w:t>16</w:t>
            </w:r>
          </w:p>
        </w:tc>
        <w:tc>
          <w:tcPr>
            <w:tcW w:w="977" w:type="dxa"/>
            <w:tcBorders>
              <w:top w:val="nil"/>
              <w:left w:val="nil"/>
              <w:bottom w:val="nil"/>
              <w:right w:val="nil"/>
            </w:tcBorders>
          </w:tcPr>
          <w:p>
            <w:pPr>
              <w:pStyle w:val="TableParagraph"/>
              <w:ind w:right="67"/>
              <w:rPr>
                <w:sz w:val="20"/>
              </w:rPr>
            </w:pPr>
            <w:r>
              <w:rPr>
                <w:sz w:val="20"/>
              </w:rPr>
              <w:t>19</w:t>
            </w:r>
          </w:p>
        </w:tc>
        <w:tc>
          <w:tcPr>
            <w:tcW w:w="975" w:type="dxa"/>
            <w:tcBorders>
              <w:top w:val="nil"/>
              <w:left w:val="nil"/>
              <w:bottom w:val="nil"/>
              <w:right w:val="nil"/>
            </w:tcBorders>
          </w:tcPr>
          <w:p>
            <w:pPr>
              <w:pStyle w:val="TableParagraph"/>
              <w:ind w:right="67"/>
              <w:rPr>
                <w:sz w:val="20"/>
              </w:rPr>
            </w:pPr>
            <w:r>
              <w:rPr>
                <w:sz w:val="20"/>
              </w:rPr>
              <w:t>20</w:t>
            </w:r>
          </w:p>
        </w:tc>
        <w:tc>
          <w:tcPr>
            <w:tcW w:w="977" w:type="dxa"/>
            <w:tcBorders>
              <w:top w:val="nil"/>
              <w:left w:val="nil"/>
              <w:bottom w:val="nil"/>
              <w:right w:val="nil"/>
            </w:tcBorders>
          </w:tcPr>
          <w:p>
            <w:pPr>
              <w:pStyle w:val="TableParagraph"/>
              <w:ind w:right="71"/>
              <w:rPr>
                <w:sz w:val="20"/>
              </w:rPr>
            </w:pPr>
            <w:r>
              <w:rPr>
                <w:sz w:val="20"/>
              </w:rPr>
              <w:t>19</w:t>
            </w:r>
          </w:p>
        </w:tc>
        <w:tc>
          <w:tcPr>
            <w:tcW w:w="977" w:type="dxa"/>
            <w:tcBorders>
              <w:top w:val="nil"/>
              <w:left w:val="nil"/>
              <w:bottom w:val="nil"/>
              <w:right w:val="nil"/>
            </w:tcBorders>
          </w:tcPr>
          <w:p>
            <w:pPr>
              <w:pStyle w:val="TableParagraph"/>
              <w:ind w:right="67"/>
              <w:rPr>
                <w:sz w:val="20"/>
              </w:rPr>
            </w:pPr>
            <w:r>
              <w:rPr>
                <w:sz w:val="20"/>
              </w:rPr>
              <w:t>20</w:t>
            </w:r>
          </w:p>
        </w:tc>
        <w:tc>
          <w:tcPr>
            <w:tcW w:w="975" w:type="dxa"/>
            <w:tcBorders>
              <w:top w:val="nil"/>
              <w:left w:val="nil"/>
              <w:bottom w:val="nil"/>
              <w:right w:val="nil"/>
            </w:tcBorders>
          </w:tcPr>
          <w:p>
            <w:pPr>
              <w:pStyle w:val="TableParagraph"/>
              <w:ind w:right="67"/>
              <w:rPr>
                <w:sz w:val="20"/>
              </w:rPr>
            </w:pPr>
            <w:r>
              <w:rPr>
                <w:sz w:val="20"/>
              </w:rPr>
              <w:t>19</w:t>
            </w:r>
          </w:p>
        </w:tc>
        <w:tc>
          <w:tcPr>
            <w:tcW w:w="977" w:type="dxa"/>
            <w:tcBorders>
              <w:top w:val="nil"/>
              <w:left w:val="nil"/>
              <w:bottom w:val="nil"/>
              <w:right w:val="nil"/>
            </w:tcBorders>
          </w:tcPr>
          <w:p>
            <w:pPr>
              <w:pStyle w:val="TableParagraph"/>
              <w:ind w:right="71"/>
              <w:rPr>
                <w:sz w:val="20"/>
              </w:rPr>
            </w:pPr>
            <w:r>
              <w:rPr>
                <w:sz w:val="20"/>
              </w:rPr>
              <w:t>19</w:t>
            </w:r>
          </w:p>
        </w:tc>
        <w:tc>
          <w:tcPr>
            <w:tcW w:w="977" w:type="dxa"/>
            <w:tcBorders>
              <w:top w:val="nil"/>
              <w:left w:val="nil"/>
              <w:bottom w:val="nil"/>
              <w:right w:val="nil"/>
            </w:tcBorders>
          </w:tcPr>
          <w:p>
            <w:pPr>
              <w:pStyle w:val="TableParagraph"/>
              <w:ind w:right="67"/>
              <w:rPr>
                <w:sz w:val="20"/>
              </w:rPr>
            </w:pPr>
            <w:r>
              <w:rPr>
                <w:sz w:val="20"/>
              </w:rPr>
              <w:t>19</w:t>
            </w:r>
          </w:p>
        </w:tc>
        <w:tc>
          <w:tcPr>
            <w:tcW w:w="975" w:type="dxa"/>
            <w:tcBorders>
              <w:top w:val="nil"/>
              <w:left w:val="nil"/>
              <w:bottom w:val="nil"/>
              <w:right w:val="nil"/>
            </w:tcBorders>
          </w:tcPr>
          <w:p>
            <w:pPr>
              <w:pStyle w:val="TableParagraph"/>
              <w:ind w:right="67"/>
              <w:rPr>
                <w:sz w:val="20"/>
              </w:rPr>
            </w:pPr>
            <w:r>
              <w:rPr>
                <w:sz w:val="20"/>
              </w:rPr>
              <w:t>17</w:t>
            </w:r>
          </w:p>
        </w:tc>
        <w:tc>
          <w:tcPr>
            <w:tcW w:w="1056" w:type="dxa"/>
            <w:tcBorders>
              <w:top w:val="nil"/>
              <w:left w:val="nil"/>
              <w:bottom w:val="nil"/>
              <w:right w:val="nil"/>
            </w:tcBorders>
          </w:tcPr>
          <w:p>
            <w:pPr>
              <w:pStyle w:val="TableParagraph"/>
              <w:ind w:right="67"/>
              <w:rPr>
                <w:sz w:val="20"/>
              </w:rPr>
            </w:pPr>
            <w:r>
              <w:rPr>
                <w:sz w:val="20"/>
              </w:rPr>
              <w:t>17</w:t>
            </w:r>
          </w:p>
        </w:tc>
        <w:tc>
          <w:tcPr>
            <w:tcW w:w="1056" w:type="dxa"/>
            <w:tcBorders>
              <w:top w:val="nil"/>
              <w:left w:val="nil"/>
              <w:bottom w:val="nil"/>
              <w:right w:val="nil"/>
            </w:tcBorders>
          </w:tcPr>
          <w:p>
            <w:pPr>
              <w:pStyle w:val="TableParagraph"/>
              <w:ind w:right="67"/>
              <w:rPr>
                <w:sz w:val="20"/>
              </w:rPr>
            </w:pPr>
            <w:r>
              <w:rPr>
                <w:sz w:val="20"/>
              </w:rPr>
              <w:t>16</w:t>
            </w:r>
          </w:p>
        </w:tc>
        <w:tc>
          <w:tcPr>
            <w:tcW w:w="1054" w:type="dxa"/>
            <w:tcBorders>
              <w:top w:val="nil"/>
              <w:left w:val="nil"/>
              <w:bottom w:val="nil"/>
              <w:right w:val="nil"/>
            </w:tcBorders>
          </w:tcPr>
          <w:p>
            <w:pPr>
              <w:pStyle w:val="TableParagraph"/>
              <w:ind w:right="65"/>
              <w:rPr>
                <w:sz w:val="20"/>
              </w:rPr>
            </w:pPr>
            <w:r>
              <w:rPr>
                <w:sz w:val="20"/>
              </w:rPr>
              <w:t>15</w:t>
            </w:r>
          </w:p>
        </w:tc>
      </w:tr>
      <w:tr>
        <w:trPr>
          <w:trHeight w:val="300" w:hRule="exact"/>
        </w:trPr>
        <w:tc>
          <w:tcPr>
            <w:tcW w:w="959" w:type="dxa"/>
            <w:tcBorders>
              <w:top w:val="nil"/>
              <w:left w:val="nil"/>
              <w:bottom w:val="nil"/>
              <w:right w:val="nil"/>
            </w:tcBorders>
          </w:tcPr>
          <w:p>
            <w:pPr>
              <w:pStyle w:val="TableParagraph"/>
              <w:spacing w:before="26"/>
              <w:ind w:left="86"/>
              <w:jc w:val="left"/>
              <w:rPr>
                <w:sz w:val="20"/>
              </w:rPr>
            </w:pPr>
            <w:r>
              <w:rPr>
                <w:w w:val="100"/>
                <w:sz w:val="20"/>
              </w:rPr>
              <w:t>4</w:t>
            </w:r>
          </w:p>
        </w:tc>
        <w:tc>
          <w:tcPr>
            <w:tcW w:w="867" w:type="dxa"/>
            <w:tcBorders>
              <w:top w:val="nil"/>
              <w:left w:val="nil"/>
              <w:bottom w:val="nil"/>
              <w:right w:val="nil"/>
            </w:tcBorders>
          </w:tcPr>
          <w:p>
            <w:pPr>
              <w:pStyle w:val="TableParagraph"/>
              <w:spacing w:before="26"/>
              <w:ind w:left="77"/>
              <w:jc w:val="left"/>
              <w:rPr>
                <w:sz w:val="20"/>
              </w:rPr>
            </w:pPr>
            <w:r>
              <w:rPr>
                <w:sz w:val="20"/>
              </w:rPr>
              <w:t>15001</w:t>
            </w:r>
          </w:p>
        </w:tc>
        <w:tc>
          <w:tcPr>
            <w:tcW w:w="992" w:type="dxa"/>
            <w:tcBorders>
              <w:top w:val="nil"/>
              <w:left w:val="nil"/>
              <w:bottom w:val="nil"/>
              <w:right w:val="nil"/>
            </w:tcBorders>
          </w:tcPr>
          <w:p>
            <w:pPr>
              <w:pStyle w:val="TableParagraph"/>
              <w:spacing w:before="26"/>
              <w:ind w:right="70"/>
              <w:rPr>
                <w:sz w:val="20"/>
              </w:rPr>
            </w:pPr>
            <w:r>
              <w:rPr>
                <w:sz w:val="20"/>
              </w:rPr>
              <w:t>16</w:t>
            </w:r>
          </w:p>
        </w:tc>
        <w:tc>
          <w:tcPr>
            <w:tcW w:w="977" w:type="dxa"/>
            <w:tcBorders>
              <w:top w:val="nil"/>
              <w:left w:val="nil"/>
              <w:bottom w:val="nil"/>
              <w:right w:val="nil"/>
            </w:tcBorders>
          </w:tcPr>
          <w:p>
            <w:pPr>
              <w:pStyle w:val="TableParagraph"/>
              <w:spacing w:before="26"/>
              <w:ind w:right="67"/>
              <w:rPr>
                <w:sz w:val="20"/>
              </w:rPr>
            </w:pPr>
            <w:r>
              <w:rPr>
                <w:sz w:val="20"/>
              </w:rPr>
              <w:t>19</w:t>
            </w:r>
          </w:p>
        </w:tc>
        <w:tc>
          <w:tcPr>
            <w:tcW w:w="975" w:type="dxa"/>
            <w:tcBorders>
              <w:top w:val="nil"/>
              <w:left w:val="nil"/>
              <w:bottom w:val="nil"/>
              <w:right w:val="nil"/>
            </w:tcBorders>
          </w:tcPr>
          <w:p>
            <w:pPr>
              <w:pStyle w:val="TableParagraph"/>
              <w:spacing w:before="26"/>
              <w:ind w:right="67"/>
              <w:rPr>
                <w:sz w:val="20"/>
              </w:rPr>
            </w:pPr>
            <w:r>
              <w:rPr>
                <w:sz w:val="20"/>
              </w:rPr>
              <w:t>20</w:t>
            </w:r>
          </w:p>
        </w:tc>
        <w:tc>
          <w:tcPr>
            <w:tcW w:w="977" w:type="dxa"/>
            <w:tcBorders>
              <w:top w:val="nil"/>
              <w:left w:val="nil"/>
              <w:bottom w:val="nil"/>
              <w:right w:val="nil"/>
            </w:tcBorders>
          </w:tcPr>
          <w:p>
            <w:pPr>
              <w:pStyle w:val="TableParagraph"/>
              <w:spacing w:before="26"/>
              <w:ind w:right="71"/>
              <w:rPr>
                <w:sz w:val="20"/>
              </w:rPr>
            </w:pPr>
            <w:r>
              <w:rPr>
                <w:sz w:val="20"/>
              </w:rPr>
              <w:t>19</w:t>
            </w:r>
          </w:p>
        </w:tc>
        <w:tc>
          <w:tcPr>
            <w:tcW w:w="977" w:type="dxa"/>
            <w:tcBorders>
              <w:top w:val="nil"/>
              <w:left w:val="nil"/>
              <w:bottom w:val="nil"/>
              <w:right w:val="nil"/>
            </w:tcBorders>
          </w:tcPr>
          <w:p>
            <w:pPr>
              <w:pStyle w:val="TableParagraph"/>
              <w:spacing w:before="26"/>
              <w:ind w:right="67"/>
              <w:rPr>
                <w:sz w:val="20"/>
              </w:rPr>
            </w:pPr>
            <w:r>
              <w:rPr>
                <w:sz w:val="20"/>
              </w:rPr>
              <w:t>20</w:t>
            </w:r>
          </w:p>
        </w:tc>
        <w:tc>
          <w:tcPr>
            <w:tcW w:w="975" w:type="dxa"/>
            <w:tcBorders>
              <w:top w:val="nil"/>
              <w:left w:val="nil"/>
              <w:bottom w:val="nil"/>
              <w:right w:val="nil"/>
            </w:tcBorders>
          </w:tcPr>
          <w:p>
            <w:pPr>
              <w:pStyle w:val="TableParagraph"/>
              <w:spacing w:before="26"/>
              <w:ind w:right="67"/>
              <w:rPr>
                <w:sz w:val="20"/>
              </w:rPr>
            </w:pPr>
            <w:r>
              <w:rPr>
                <w:sz w:val="20"/>
              </w:rPr>
              <w:t>19</w:t>
            </w:r>
          </w:p>
        </w:tc>
        <w:tc>
          <w:tcPr>
            <w:tcW w:w="977" w:type="dxa"/>
            <w:tcBorders>
              <w:top w:val="nil"/>
              <w:left w:val="nil"/>
              <w:bottom w:val="nil"/>
              <w:right w:val="nil"/>
            </w:tcBorders>
          </w:tcPr>
          <w:p>
            <w:pPr>
              <w:pStyle w:val="TableParagraph"/>
              <w:spacing w:before="26"/>
              <w:ind w:right="71"/>
              <w:rPr>
                <w:sz w:val="20"/>
              </w:rPr>
            </w:pPr>
            <w:r>
              <w:rPr>
                <w:sz w:val="20"/>
              </w:rPr>
              <w:t>19</w:t>
            </w:r>
          </w:p>
        </w:tc>
        <w:tc>
          <w:tcPr>
            <w:tcW w:w="977" w:type="dxa"/>
            <w:tcBorders>
              <w:top w:val="nil"/>
              <w:left w:val="nil"/>
              <w:bottom w:val="nil"/>
              <w:right w:val="nil"/>
            </w:tcBorders>
          </w:tcPr>
          <w:p>
            <w:pPr>
              <w:pStyle w:val="TableParagraph"/>
              <w:spacing w:before="26"/>
              <w:ind w:right="67"/>
              <w:rPr>
                <w:sz w:val="20"/>
              </w:rPr>
            </w:pPr>
            <w:r>
              <w:rPr>
                <w:sz w:val="20"/>
              </w:rPr>
              <w:t>19</w:t>
            </w:r>
          </w:p>
        </w:tc>
        <w:tc>
          <w:tcPr>
            <w:tcW w:w="975" w:type="dxa"/>
            <w:tcBorders>
              <w:top w:val="nil"/>
              <w:left w:val="nil"/>
              <w:bottom w:val="nil"/>
              <w:right w:val="nil"/>
            </w:tcBorders>
          </w:tcPr>
          <w:p>
            <w:pPr>
              <w:pStyle w:val="TableParagraph"/>
              <w:spacing w:before="26"/>
              <w:ind w:right="67"/>
              <w:rPr>
                <w:sz w:val="20"/>
              </w:rPr>
            </w:pPr>
            <w:r>
              <w:rPr>
                <w:sz w:val="20"/>
              </w:rPr>
              <w:t>17</w:t>
            </w:r>
          </w:p>
        </w:tc>
        <w:tc>
          <w:tcPr>
            <w:tcW w:w="1056" w:type="dxa"/>
            <w:tcBorders>
              <w:top w:val="nil"/>
              <w:left w:val="nil"/>
              <w:bottom w:val="nil"/>
              <w:right w:val="nil"/>
            </w:tcBorders>
          </w:tcPr>
          <w:p>
            <w:pPr>
              <w:pStyle w:val="TableParagraph"/>
              <w:spacing w:before="26"/>
              <w:ind w:right="67"/>
              <w:rPr>
                <w:sz w:val="20"/>
              </w:rPr>
            </w:pPr>
            <w:r>
              <w:rPr>
                <w:sz w:val="20"/>
              </w:rPr>
              <w:t>17</w:t>
            </w:r>
          </w:p>
        </w:tc>
        <w:tc>
          <w:tcPr>
            <w:tcW w:w="1056" w:type="dxa"/>
            <w:tcBorders>
              <w:top w:val="nil"/>
              <w:left w:val="nil"/>
              <w:bottom w:val="nil"/>
              <w:right w:val="nil"/>
            </w:tcBorders>
          </w:tcPr>
          <w:p>
            <w:pPr>
              <w:pStyle w:val="TableParagraph"/>
              <w:spacing w:before="26"/>
              <w:ind w:right="67"/>
              <w:rPr>
                <w:sz w:val="20"/>
              </w:rPr>
            </w:pPr>
            <w:r>
              <w:rPr>
                <w:sz w:val="20"/>
              </w:rPr>
              <w:t>16</w:t>
            </w:r>
          </w:p>
        </w:tc>
        <w:tc>
          <w:tcPr>
            <w:tcW w:w="1054" w:type="dxa"/>
            <w:tcBorders>
              <w:top w:val="nil"/>
              <w:left w:val="nil"/>
              <w:bottom w:val="nil"/>
              <w:right w:val="nil"/>
            </w:tcBorders>
          </w:tcPr>
          <w:p>
            <w:pPr>
              <w:pStyle w:val="TableParagraph"/>
              <w:spacing w:before="26"/>
              <w:ind w:right="65"/>
              <w:rPr>
                <w:sz w:val="20"/>
              </w:rPr>
            </w:pPr>
            <w:r>
              <w:rPr>
                <w:sz w:val="20"/>
              </w:rPr>
              <w:t>15</w:t>
            </w:r>
          </w:p>
        </w:tc>
      </w:tr>
      <w:tr>
        <w:trPr>
          <w:trHeight w:val="300" w:hRule="exact"/>
        </w:trPr>
        <w:tc>
          <w:tcPr>
            <w:tcW w:w="959" w:type="dxa"/>
            <w:tcBorders>
              <w:top w:val="nil"/>
              <w:left w:val="nil"/>
              <w:bottom w:val="nil"/>
              <w:right w:val="nil"/>
            </w:tcBorders>
          </w:tcPr>
          <w:p>
            <w:pPr>
              <w:pStyle w:val="TableParagraph"/>
              <w:ind w:left="86"/>
              <w:jc w:val="left"/>
              <w:rPr>
                <w:sz w:val="20"/>
              </w:rPr>
            </w:pPr>
            <w:r>
              <w:rPr>
                <w:w w:val="100"/>
                <w:sz w:val="20"/>
              </w:rPr>
              <w:t>5</w:t>
            </w:r>
          </w:p>
        </w:tc>
        <w:tc>
          <w:tcPr>
            <w:tcW w:w="867" w:type="dxa"/>
            <w:tcBorders>
              <w:top w:val="nil"/>
              <w:left w:val="nil"/>
              <w:bottom w:val="nil"/>
              <w:right w:val="nil"/>
            </w:tcBorders>
          </w:tcPr>
          <w:p>
            <w:pPr>
              <w:pStyle w:val="TableParagraph"/>
              <w:ind w:left="77"/>
              <w:jc w:val="left"/>
              <w:rPr>
                <w:sz w:val="20"/>
              </w:rPr>
            </w:pPr>
            <w:r>
              <w:rPr>
                <w:sz w:val="20"/>
              </w:rPr>
              <w:t>15001</w:t>
            </w:r>
          </w:p>
        </w:tc>
        <w:tc>
          <w:tcPr>
            <w:tcW w:w="992" w:type="dxa"/>
            <w:tcBorders>
              <w:top w:val="nil"/>
              <w:left w:val="nil"/>
              <w:bottom w:val="nil"/>
              <w:right w:val="nil"/>
            </w:tcBorders>
          </w:tcPr>
          <w:p>
            <w:pPr>
              <w:pStyle w:val="TableParagraph"/>
              <w:ind w:right="70"/>
              <w:rPr>
                <w:sz w:val="20"/>
              </w:rPr>
            </w:pPr>
            <w:r>
              <w:rPr>
                <w:sz w:val="20"/>
              </w:rPr>
              <w:t>16</w:t>
            </w:r>
          </w:p>
        </w:tc>
        <w:tc>
          <w:tcPr>
            <w:tcW w:w="977" w:type="dxa"/>
            <w:tcBorders>
              <w:top w:val="nil"/>
              <w:left w:val="nil"/>
              <w:bottom w:val="nil"/>
              <w:right w:val="nil"/>
            </w:tcBorders>
          </w:tcPr>
          <w:p>
            <w:pPr>
              <w:pStyle w:val="TableParagraph"/>
              <w:ind w:right="67"/>
              <w:rPr>
                <w:sz w:val="20"/>
              </w:rPr>
            </w:pPr>
            <w:r>
              <w:rPr>
                <w:sz w:val="20"/>
              </w:rPr>
              <w:t>19</w:t>
            </w:r>
          </w:p>
        </w:tc>
        <w:tc>
          <w:tcPr>
            <w:tcW w:w="975" w:type="dxa"/>
            <w:tcBorders>
              <w:top w:val="nil"/>
              <w:left w:val="nil"/>
              <w:bottom w:val="nil"/>
              <w:right w:val="nil"/>
            </w:tcBorders>
          </w:tcPr>
          <w:p>
            <w:pPr>
              <w:pStyle w:val="TableParagraph"/>
              <w:ind w:right="67"/>
              <w:rPr>
                <w:sz w:val="20"/>
              </w:rPr>
            </w:pPr>
            <w:r>
              <w:rPr>
                <w:sz w:val="20"/>
              </w:rPr>
              <w:t>20</w:t>
            </w:r>
          </w:p>
        </w:tc>
        <w:tc>
          <w:tcPr>
            <w:tcW w:w="977" w:type="dxa"/>
            <w:tcBorders>
              <w:top w:val="nil"/>
              <w:left w:val="nil"/>
              <w:bottom w:val="nil"/>
              <w:right w:val="nil"/>
            </w:tcBorders>
          </w:tcPr>
          <w:p>
            <w:pPr>
              <w:pStyle w:val="TableParagraph"/>
              <w:ind w:right="71"/>
              <w:rPr>
                <w:sz w:val="20"/>
              </w:rPr>
            </w:pPr>
            <w:r>
              <w:rPr>
                <w:sz w:val="20"/>
              </w:rPr>
              <w:t>19</w:t>
            </w:r>
          </w:p>
        </w:tc>
        <w:tc>
          <w:tcPr>
            <w:tcW w:w="977" w:type="dxa"/>
            <w:tcBorders>
              <w:top w:val="nil"/>
              <w:left w:val="nil"/>
              <w:bottom w:val="nil"/>
              <w:right w:val="nil"/>
            </w:tcBorders>
          </w:tcPr>
          <w:p>
            <w:pPr>
              <w:pStyle w:val="TableParagraph"/>
              <w:ind w:right="67"/>
              <w:rPr>
                <w:sz w:val="20"/>
              </w:rPr>
            </w:pPr>
            <w:r>
              <w:rPr>
                <w:sz w:val="20"/>
              </w:rPr>
              <w:t>20</w:t>
            </w:r>
          </w:p>
        </w:tc>
        <w:tc>
          <w:tcPr>
            <w:tcW w:w="975" w:type="dxa"/>
            <w:tcBorders>
              <w:top w:val="nil"/>
              <w:left w:val="nil"/>
              <w:bottom w:val="nil"/>
              <w:right w:val="nil"/>
            </w:tcBorders>
          </w:tcPr>
          <w:p>
            <w:pPr>
              <w:pStyle w:val="TableParagraph"/>
              <w:ind w:right="67"/>
              <w:rPr>
                <w:sz w:val="20"/>
              </w:rPr>
            </w:pPr>
            <w:r>
              <w:rPr>
                <w:sz w:val="20"/>
              </w:rPr>
              <w:t>19</w:t>
            </w:r>
          </w:p>
        </w:tc>
        <w:tc>
          <w:tcPr>
            <w:tcW w:w="977" w:type="dxa"/>
            <w:tcBorders>
              <w:top w:val="nil"/>
              <w:left w:val="nil"/>
              <w:bottom w:val="nil"/>
              <w:right w:val="nil"/>
            </w:tcBorders>
          </w:tcPr>
          <w:p>
            <w:pPr>
              <w:pStyle w:val="TableParagraph"/>
              <w:ind w:right="71"/>
              <w:rPr>
                <w:sz w:val="20"/>
              </w:rPr>
            </w:pPr>
            <w:r>
              <w:rPr>
                <w:sz w:val="20"/>
              </w:rPr>
              <w:t>19</w:t>
            </w:r>
          </w:p>
        </w:tc>
        <w:tc>
          <w:tcPr>
            <w:tcW w:w="977" w:type="dxa"/>
            <w:tcBorders>
              <w:top w:val="nil"/>
              <w:left w:val="nil"/>
              <w:bottom w:val="nil"/>
              <w:right w:val="nil"/>
            </w:tcBorders>
          </w:tcPr>
          <w:p>
            <w:pPr>
              <w:pStyle w:val="TableParagraph"/>
              <w:ind w:right="67"/>
              <w:rPr>
                <w:sz w:val="20"/>
              </w:rPr>
            </w:pPr>
            <w:r>
              <w:rPr>
                <w:sz w:val="20"/>
              </w:rPr>
              <w:t>19</w:t>
            </w:r>
          </w:p>
        </w:tc>
        <w:tc>
          <w:tcPr>
            <w:tcW w:w="975" w:type="dxa"/>
            <w:tcBorders>
              <w:top w:val="nil"/>
              <w:left w:val="nil"/>
              <w:bottom w:val="nil"/>
              <w:right w:val="nil"/>
            </w:tcBorders>
          </w:tcPr>
          <w:p>
            <w:pPr>
              <w:pStyle w:val="TableParagraph"/>
              <w:ind w:right="67"/>
              <w:rPr>
                <w:sz w:val="20"/>
              </w:rPr>
            </w:pPr>
            <w:r>
              <w:rPr>
                <w:sz w:val="20"/>
              </w:rPr>
              <w:t>17</w:t>
            </w:r>
          </w:p>
        </w:tc>
        <w:tc>
          <w:tcPr>
            <w:tcW w:w="1056" w:type="dxa"/>
            <w:tcBorders>
              <w:top w:val="nil"/>
              <w:left w:val="nil"/>
              <w:bottom w:val="nil"/>
              <w:right w:val="nil"/>
            </w:tcBorders>
          </w:tcPr>
          <w:p>
            <w:pPr>
              <w:pStyle w:val="TableParagraph"/>
              <w:ind w:right="67"/>
              <w:rPr>
                <w:sz w:val="20"/>
              </w:rPr>
            </w:pPr>
            <w:r>
              <w:rPr>
                <w:sz w:val="20"/>
              </w:rPr>
              <w:t>17</w:t>
            </w:r>
          </w:p>
        </w:tc>
        <w:tc>
          <w:tcPr>
            <w:tcW w:w="1056" w:type="dxa"/>
            <w:tcBorders>
              <w:top w:val="nil"/>
              <w:left w:val="nil"/>
              <w:bottom w:val="nil"/>
              <w:right w:val="nil"/>
            </w:tcBorders>
          </w:tcPr>
          <w:p>
            <w:pPr>
              <w:pStyle w:val="TableParagraph"/>
              <w:ind w:right="67"/>
              <w:rPr>
                <w:sz w:val="20"/>
              </w:rPr>
            </w:pPr>
            <w:r>
              <w:rPr>
                <w:sz w:val="20"/>
              </w:rPr>
              <w:t>16</w:t>
            </w:r>
          </w:p>
        </w:tc>
        <w:tc>
          <w:tcPr>
            <w:tcW w:w="1054" w:type="dxa"/>
            <w:tcBorders>
              <w:top w:val="nil"/>
              <w:left w:val="nil"/>
              <w:bottom w:val="nil"/>
              <w:right w:val="nil"/>
            </w:tcBorders>
          </w:tcPr>
          <w:p>
            <w:pPr>
              <w:pStyle w:val="TableParagraph"/>
              <w:ind w:right="65"/>
              <w:rPr>
                <w:sz w:val="20"/>
              </w:rPr>
            </w:pPr>
            <w:r>
              <w:rPr>
                <w:sz w:val="20"/>
              </w:rPr>
              <w:t>15</w:t>
            </w:r>
          </w:p>
        </w:tc>
      </w:tr>
      <w:tr>
        <w:trPr>
          <w:trHeight w:val="270" w:hRule="exact"/>
        </w:trPr>
        <w:tc>
          <w:tcPr>
            <w:tcW w:w="959" w:type="dxa"/>
            <w:tcBorders>
              <w:top w:val="nil"/>
              <w:left w:val="nil"/>
              <w:right w:val="nil"/>
            </w:tcBorders>
          </w:tcPr>
          <w:p>
            <w:pPr>
              <w:pStyle w:val="TableParagraph"/>
              <w:spacing w:before="26"/>
              <w:ind w:left="86"/>
              <w:jc w:val="left"/>
              <w:rPr>
                <w:sz w:val="20"/>
              </w:rPr>
            </w:pPr>
            <w:r>
              <w:rPr>
                <w:w w:val="100"/>
                <w:sz w:val="20"/>
              </w:rPr>
              <w:t>6</w:t>
            </w:r>
          </w:p>
        </w:tc>
        <w:tc>
          <w:tcPr>
            <w:tcW w:w="867" w:type="dxa"/>
            <w:tcBorders>
              <w:top w:val="nil"/>
              <w:left w:val="nil"/>
              <w:right w:val="nil"/>
            </w:tcBorders>
          </w:tcPr>
          <w:p>
            <w:pPr>
              <w:pStyle w:val="TableParagraph"/>
              <w:spacing w:before="26"/>
              <w:ind w:left="77"/>
              <w:jc w:val="left"/>
              <w:rPr>
                <w:sz w:val="20"/>
              </w:rPr>
            </w:pPr>
            <w:r>
              <w:rPr>
                <w:sz w:val="20"/>
              </w:rPr>
              <w:t>15001</w:t>
            </w:r>
          </w:p>
        </w:tc>
        <w:tc>
          <w:tcPr>
            <w:tcW w:w="992" w:type="dxa"/>
            <w:tcBorders>
              <w:top w:val="nil"/>
              <w:left w:val="nil"/>
              <w:right w:val="nil"/>
            </w:tcBorders>
          </w:tcPr>
          <w:p>
            <w:pPr>
              <w:pStyle w:val="TableParagraph"/>
              <w:spacing w:before="26"/>
              <w:ind w:right="70"/>
              <w:rPr>
                <w:sz w:val="20"/>
              </w:rPr>
            </w:pPr>
            <w:r>
              <w:rPr>
                <w:sz w:val="20"/>
              </w:rPr>
              <w:t>16</w:t>
            </w:r>
          </w:p>
        </w:tc>
        <w:tc>
          <w:tcPr>
            <w:tcW w:w="977" w:type="dxa"/>
            <w:tcBorders>
              <w:top w:val="nil"/>
              <w:left w:val="nil"/>
              <w:right w:val="nil"/>
            </w:tcBorders>
          </w:tcPr>
          <w:p>
            <w:pPr>
              <w:pStyle w:val="TableParagraph"/>
              <w:spacing w:before="26"/>
              <w:ind w:right="67"/>
              <w:rPr>
                <w:sz w:val="20"/>
              </w:rPr>
            </w:pPr>
            <w:r>
              <w:rPr>
                <w:sz w:val="20"/>
              </w:rPr>
              <w:t>19</w:t>
            </w:r>
          </w:p>
        </w:tc>
        <w:tc>
          <w:tcPr>
            <w:tcW w:w="975" w:type="dxa"/>
            <w:tcBorders>
              <w:top w:val="nil"/>
              <w:left w:val="nil"/>
              <w:right w:val="nil"/>
            </w:tcBorders>
          </w:tcPr>
          <w:p>
            <w:pPr>
              <w:pStyle w:val="TableParagraph"/>
              <w:spacing w:before="26"/>
              <w:ind w:right="67"/>
              <w:rPr>
                <w:sz w:val="20"/>
              </w:rPr>
            </w:pPr>
            <w:r>
              <w:rPr>
                <w:sz w:val="20"/>
              </w:rPr>
              <w:t>20</w:t>
            </w:r>
          </w:p>
        </w:tc>
        <w:tc>
          <w:tcPr>
            <w:tcW w:w="977" w:type="dxa"/>
            <w:tcBorders>
              <w:top w:val="nil"/>
              <w:left w:val="nil"/>
              <w:right w:val="nil"/>
            </w:tcBorders>
          </w:tcPr>
          <w:p>
            <w:pPr>
              <w:pStyle w:val="TableParagraph"/>
              <w:spacing w:before="26"/>
              <w:ind w:right="71"/>
              <w:rPr>
                <w:sz w:val="20"/>
              </w:rPr>
            </w:pPr>
            <w:r>
              <w:rPr>
                <w:sz w:val="20"/>
              </w:rPr>
              <w:t>19</w:t>
            </w:r>
          </w:p>
        </w:tc>
        <w:tc>
          <w:tcPr>
            <w:tcW w:w="977" w:type="dxa"/>
            <w:tcBorders>
              <w:top w:val="nil"/>
              <w:left w:val="nil"/>
              <w:right w:val="nil"/>
            </w:tcBorders>
          </w:tcPr>
          <w:p>
            <w:pPr>
              <w:pStyle w:val="TableParagraph"/>
              <w:spacing w:before="26"/>
              <w:ind w:right="67"/>
              <w:rPr>
                <w:sz w:val="20"/>
              </w:rPr>
            </w:pPr>
            <w:r>
              <w:rPr>
                <w:sz w:val="20"/>
              </w:rPr>
              <w:t>20</w:t>
            </w:r>
          </w:p>
        </w:tc>
        <w:tc>
          <w:tcPr>
            <w:tcW w:w="975" w:type="dxa"/>
            <w:tcBorders>
              <w:top w:val="nil"/>
              <w:left w:val="nil"/>
              <w:right w:val="nil"/>
            </w:tcBorders>
          </w:tcPr>
          <w:p>
            <w:pPr>
              <w:pStyle w:val="TableParagraph"/>
              <w:spacing w:before="26"/>
              <w:ind w:right="67"/>
              <w:rPr>
                <w:sz w:val="20"/>
              </w:rPr>
            </w:pPr>
            <w:r>
              <w:rPr>
                <w:sz w:val="20"/>
              </w:rPr>
              <w:t>19</w:t>
            </w:r>
          </w:p>
        </w:tc>
        <w:tc>
          <w:tcPr>
            <w:tcW w:w="977" w:type="dxa"/>
            <w:tcBorders>
              <w:top w:val="nil"/>
              <w:left w:val="nil"/>
              <w:right w:val="nil"/>
            </w:tcBorders>
          </w:tcPr>
          <w:p>
            <w:pPr>
              <w:pStyle w:val="TableParagraph"/>
              <w:spacing w:before="26"/>
              <w:ind w:right="71"/>
              <w:rPr>
                <w:sz w:val="20"/>
              </w:rPr>
            </w:pPr>
            <w:r>
              <w:rPr>
                <w:sz w:val="20"/>
              </w:rPr>
              <w:t>19</w:t>
            </w:r>
          </w:p>
        </w:tc>
        <w:tc>
          <w:tcPr>
            <w:tcW w:w="977" w:type="dxa"/>
            <w:tcBorders>
              <w:top w:val="nil"/>
              <w:left w:val="nil"/>
              <w:right w:val="nil"/>
            </w:tcBorders>
          </w:tcPr>
          <w:p>
            <w:pPr>
              <w:pStyle w:val="TableParagraph"/>
              <w:spacing w:before="26"/>
              <w:ind w:right="67"/>
              <w:rPr>
                <w:sz w:val="20"/>
              </w:rPr>
            </w:pPr>
            <w:r>
              <w:rPr>
                <w:sz w:val="20"/>
              </w:rPr>
              <w:t>19</w:t>
            </w:r>
          </w:p>
        </w:tc>
        <w:tc>
          <w:tcPr>
            <w:tcW w:w="975" w:type="dxa"/>
            <w:tcBorders>
              <w:top w:val="nil"/>
              <w:left w:val="nil"/>
              <w:right w:val="nil"/>
            </w:tcBorders>
          </w:tcPr>
          <w:p>
            <w:pPr>
              <w:pStyle w:val="TableParagraph"/>
              <w:spacing w:before="26"/>
              <w:ind w:right="67"/>
              <w:rPr>
                <w:sz w:val="20"/>
              </w:rPr>
            </w:pPr>
            <w:r>
              <w:rPr>
                <w:sz w:val="20"/>
              </w:rPr>
              <w:t>17</w:t>
            </w:r>
          </w:p>
        </w:tc>
        <w:tc>
          <w:tcPr>
            <w:tcW w:w="1056" w:type="dxa"/>
            <w:tcBorders>
              <w:top w:val="nil"/>
              <w:left w:val="nil"/>
              <w:right w:val="nil"/>
            </w:tcBorders>
          </w:tcPr>
          <w:p>
            <w:pPr>
              <w:pStyle w:val="TableParagraph"/>
              <w:spacing w:before="26"/>
              <w:ind w:right="67"/>
              <w:rPr>
                <w:sz w:val="20"/>
              </w:rPr>
            </w:pPr>
            <w:r>
              <w:rPr>
                <w:sz w:val="20"/>
              </w:rPr>
              <w:t>17</w:t>
            </w:r>
          </w:p>
        </w:tc>
        <w:tc>
          <w:tcPr>
            <w:tcW w:w="1056" w:type="dxa"/>
            <w:tcBorders>
              <w:top w:val="nil"/>
              <w:left w:val="nil"/>
              <w:right w:val="nil"/>
            </w:tcBorders>
          </w:tcPr>
          <w:p>
            <w:pPr>
              <w:pStyle w:val="TableParagraph"/>
              <w:spacing w:before="26"/>
              <w:ind w:right="67"/>
              <w:rPr>
                <w:sz w:val="20"/>
              </w:rPr>
            </w:pPr>
            <w:r>
              <w:rPr>
                <w:sz w:val="20"/>
              </w:rPr>
              <w:t>16</w:t>
            </w:r>
          </w:p>
        </w:tc>
        <w:tc>
          <w:tcPr>
            <w:tcW w:w="1054" w:type="dxa"/>
            <w:tcBorders>
              <w:top w:val="nil"/>
              <w:left w:val="nil"/>
              <w:right w:val="nil"/>
            </w:tcBorders>
          </w:tcPr>
          <w:p>
            <w:pPr>
              <w:pStyle w:val="TableParagraph"/>
              <w:spacing w:before="26"/>
              <w:ind w:right="65"/>
              <w:rPr>
                <w:sz w:val="20"/>
              </w:rPr>
            </w:pPr>
            <w:r>
              <w:rPr>
                <w:sz w:val="20"/>
              </w:rPr>
              <w:t>15</w:t>
            </w:r>
          </w:p>
        </w:tc>
      </w:tr>
    </w:tbl>
    <w:p>
      <w:pPr>
        <w:spacing w:after="0"/>
        <w:rPr>
          <w:sz w:val="20"/>
        </w:rPr>
        <w:sectPr>
          <w:pgSz w:w="15840" w:h="12240" w:orient="landscape"/>
          <w:pgMar w:header="0" w:footer="1474" w:top="1140" w:bottom="1660" w:left="740" w:right="380"/>
        </w:sectPr>
      </w:pPr>
    </w:p>
    <w:p>
      <w:pPr>
        <w:pStyle w:val="BodyText"/>
        <w:spacing w:before="7"/>
        <w:rPr>
          <w:b/>
          <w:sz w:val="17"/>
        </w:rPr>
      </w:pPr>
    </w:p>
    <w:p>
      <w:pPr>
        <w:pStyle w:val="BodyText"/>
        <w:spacing w:before="66"/>
        <w:ind w:left="136"/>
      </w:pPr>
      <w:r>
        <w:rPr/>
        <w:t>Continuación Tabla 11.</w:t>
      </w:r>
    </w:p>
    <w:p>
      <w:pPr>
        <w:pStyle w:val="BodyText"/>
        <w:spacing w:before="3"/>
        <w:rPr>
          <w:sz w:val="22"/>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9"/>
        <w:gridCol w:w="867"/>
        <w:gridCol w:w="992"/>
        <w:gridCol w:w="977"/>
        <w:gridCol w:w="975"/>
        <w:gridCol w:w="977"/>
        <w:gridCol w:w="977"/>
        <w:gridCol w:w="975"/>
        <w:gridCol w:w="977"/>
        <w:gridCol w:w="977"/>
        <w:gridCol w:w="975"/>
        <w:gridCol w:w="1056"/>
        <w:gridCol w:w="1056"/>
        <w:gridCol w:w="1054"/>
      </w:tblGrid>
      <w:tr>
        <w:trPr>
          <w:trHeight w:val="610" w:hRule="exact"/>
        </w:trPr>
        <w:tc>
          <w:tcPr>
            <w:tcW w:w="959" w:type="dxa"/>
            <w:tcBorders>
              <w:left w:val="nil"/>
              <w:right w:val="nil"/>
            </w:tcBorders>
          </w:tcPr>
          <w:p>
            <w:pPr>
              <w:pStyle w:val="TableParagraph"/>
              <w:spacing w:before="110"/>
              <w:ind w:left="95"/>
              <w:jc w:val="left"/>
              <w:rPr>
                <w:sz w:val="16"/>
              </w:rPr>
            </w:pPr>
            <w:r>
              <w:rPr>
                <w:sz w:val="16"/>
              </w:rPr>
              <w:t>SUBBASIN</w:t>
            </w:r>
          </w:p>
        </w:tc>
        <w:tc>
          <w:tcPr>
            <w:tcW w:w="867" w:type="dxa"/>
            <w:tcBorders>
              <w:left w:val="nil"/>
              <w:right w:val="nil"/>
            </w:tcBorders>
          </w:tcPr>
          <w:p>
            <w:pPr>
              <w:pStyle w:val="TableParagraph"/>
              <w:spacing w:before="110"/>
              <w:ind w:left="101"/>
              <w:jc w:val="left"/>
              <w:rPr>
                <w:sz w:val="16"/>
              </w:rPr>
            </w:pPr>
            <w:r>
              <w:rPr>
                <w:sz w:val="16"/>
              </w:rPr>
              <w:t>STATION</w:t>
            </w:r>
          </w:p>
        </w:tc>
        <w:tc>
          <w:tcPr>
            <w:tcW w:w="992" w:type="dxa"/>
            <w:tcBorders>
              <w:left w:val="nil"/>
              <w:right w:val="nil"/>
            </w:tcBorders>
          </w:tcPr>
          <w:p>
            <w:pPr>
              <w:pStyle w:val="TableParagraph"/>
              <w:spacing w:before="110"/>
              <w:ind w:right="78"/>
              <w:rPr>
                <w:sz w:val="16"/>
              </w:rPr>
            </w:pPr>
            <w:r>
              <w:rPr>
                <w:w w:val="95"/>
                <w:sz w:val="16"/>
              </w:rPr>
              <w:t>SOLARAV1</w:t>
            </w:r>
          </w:p>
        </w:tc>
        <w:tc>
          <w:tcPr>
            <w:tcW w:w="977" w:type="dxa"/>
            <w:tcBorders>
              <w:left w:val="nil"/>
              <w:right w:val="nil"/>
            </w:tcBorders>
          </w:tcPr>
          <w:p>
            <w:pPr>
              <w:pStyle w:val="TableParagraph"/>
              <w:spacing w:before="110"/>
              <w:ind w:right="75"/>
              <w:rPr>
                <w:sz w:val="16"/>
              </w:rPr>
            </w:pPr>
            <w:r>
              <w:rPr>
                <w:w w:val="95"/>
                <w:sz w:val="16"/>
              </w:rPr>
              <w:t>SOLARAV2</w:t>
            </w:r>
          </w:p>
        </w:tc>
        <w:tc>
          <w:tcPr>
            <w:tcW w:w="975" w:type="dxa"/>
            <w:tcBorders>
              <w:left w:val="nil"/>
              <w:right w:val="nil"/>
            </w:tcBorders>
          </w:tcPr>
          <w:p>
            <w:pPr>
              <w:pStyle w:val="TableParagraph"/>
              <w:spacing w:before="110"/>
              <w:ind w:right="76"/>
              <w:rPr>
                <w:sz w:val="16"/>
              </w:rPr>
            </w:pPr>
            <w:r>
              <w:rPr>
                <w:w w:val="95"/>
                <w:sz w:val="16"/>
              </w:rPr>
              <w:t>SOLARAV3</w:t>
            </w:r>
          </w:p>
        </w:tc>
        <w:tc>
          <w:tcPr>
            <w:tcW w:w="977" w:type="dxa"/>
            <w:tcBorders>
              <w:left w:val="nil"/>
              <w:right w:val="nil"/>
            </w:tcBorders>
          </w:tcPr>
          <w:p>
            <w:pPr>
              <w:pStyle w:val="TableParagraph"/>
              <w:spacing w:before="110"/>
              <w:ind w:right="78"/>
              <w:rPr>
                <w:sz w:val="16"/>
              </w:rPr>
            </w:pPr>
            <w:r>
              <w:rPr>
                <w:w w:val="95"/>
                <w:sz w:val="16"/>
              </w:rPr>
              <w:t>SOLARAV4</w:t>
            </w:r>
          </w:p>
        </w:tc>
        <w:tc>
          <w:tcPr>
            <w:tcW w:w="977" w:type="dxa"/>
            <w:tcBorders>
              <w:left w:val="nil"/>
              <w:right w:val="nil"/>
            </w:tcBorders>
          </w:tcPr>
          <w:p>
            <w:pPr>
              <w:pStyle w:val="TableParagraph"/>
              <w:spacing w:before="110"/>
              <w:ind w:right="76"/>
              <w:rPr>
                <w:sz w:val="16"/>
              </w:rPr>
            </w:pPr>
            <w:r>
              <w:rPr>
                <w:w w:val="95"/>
                <w:sz w:val="16"/>
              </w:rPr>
              <w:t>SOLARAV5</w:t>
            </w:r>
          </w:p>
        </w:tc>
        <w:tc>
          <w:tcPr>
            <w:tcW w:w="975" w:type="dxa"/>
            <w:tcBorders>
              <w:left w:val="nil"/>
              <w:right w:val="nil"/>
            </w:tcBorders>
          </w:tcPr>
          <w:p>
            <w:pPr>
              <w:pStyle w:val="TableParagraph"/>
              <w:spacing w:before="110"/>
              <w:ind w:right="75"/>
              <w:rPr>
                <w:sz w:val="16"/>
              </w:rPr>
            </w:pPr>
            <w:r>
              <w:rPr>
                <w:w w:val="95"/>
                <w:sz w:val="16"/>
              </w:rPr>
              <w:t>SOLARAV6</w:t>
            </w:r>
          </w:p>
        </w:tc>
        <w:tc>
          <w:tcPr>
            <w:tcW w:w="977" w:type="dxa"/>
            <w:tcBorders>
              <w:left w:val="nil"/>
              <w:right w:val="nil"/>
            </w:tcBorders>
          </w:tcPr>
          <w:p>
            <w:pPr>
              <w:pStyle w:val="TableParagraph"/>
              <w:spacing w:before="110"/>
              <w:ind w:right="78"/>
              <w:rPr>
                <w:sz w:val="16"/>
              </w:rPr>
            </w:pPr>
            <w:r>
              <w:rPr>
                <w:w w:val="95"/>
                <w:sz w:val="16"/>
              </w:rPr>
              <w:t>SOLARAV7</w:t>
            </w:r>
          </w:p>
        </w:tc>
        <w:tc>
          <w:tcPr>
            <w:tcW w:w="977" w:type="dxa"/>
            <w:tcBorders>
              <w:left w:val="nil"/>
              <w:right w:val="nil"/>
            </w:tcBorders>
          </w:tcPr>
          <w:p>
            <w:pPr>
              <w:pStyle w:val="TableParagraph"/>
              <w:spacing w:before="110"/>
              <w:ind w:right="75"/>
              <w:rPr>
                <w:sz w:val="16"/>
              </w:rPr>
            </w:pPr>
            <w:r>
              <w:rPr>
                <w:w w:val="95"/>
                <w:sz w:val="16"/>
              </w:rPr>
              <w:t>SOLARAV8</w:t>
            </w:r>
          </w:p>
        </w:tc>
        <w:tc>
          <w:tcPr>
            <w:tcW w:w="975" w:type="dxa"/>
            <w:tcBorders>
              <w:left w:val="nil"/>
              <w:right w:val="nil"/>
            </w:tcBorders>
          </w:tcPr>
          <w:p>
            <w:pPr>
              <w:pStyle w:val="TableParagraph"/>
              <w:spacing w:before="110"/>
              <w:ind w:right="75"/>
              <w:rPr>
                <w:sz w:val="16"/>
              </w:rPr>
            </w:pPr>
            <w:r>
              <w:rPr>
                <w:w w:val="95"/>
                <w:sz w:val="16"/>
              </w:rPr>
              <w:t>SOLARAV9</w:t>
            </w:r>
          </w:p>
        </w:tc>
        <w:tc>
          <w:tcPr>
            <w:tcW w:w="1056" w:type="dxa"/>
            <w:tcBorders>
              <w:left w:val="nil"/>
              <w:right w:val="nil"/>
            </w:tcBorders>
          </w:tcPr>
          <w:p>
            <w:pPr>
              <w:pStyle w:val="TableParagraph"/>
              <w:spacing w:before="110"/>
              <w:ind w:right="76"/>
              <w:rPr>
                <w:sz w:val="16"/>
              </w:rPr>
            </w:pPr>
            <w:r>
              <w:rPr>
                <w:w w:val="95"/>
                <w:sz w:val="16"/>
              </w:rPr>
              <w:t>SOLARAV10</w:t>
            </w:r>
          </w:p>
        </w:tc>
        <w:tc>
          <w:tcPr>
            <w:tcW w:w="1056" w:type="dxa"/>
            <w:tcBorders>
              <w:left w:val="nil"/>
              <w:right w:val="nil"/>
            </w:tcBorders>
          </w:tcPr>
          <w:p>
            <w:pPr>
              <w:pStyle w:val="TableParagraph"/>
              <w:spacing w:before="110"/>
              <w:ind w:right="76"/>
              <w:rPr>
                <w:sz w:val="16"/>
              </w:rPr>
            </w:pPr>
            <w:r>
              <w:rPr>
                <w:w w:val="95"/>
                <w:sz w:val="16"/>
              </w:rPr>
              <w:t>SOLARAV11</w:t>
            </w:r>
          </w:p>
        </w:tc>
        <w:tc>
          <w:tcPr>
            <w:tcW w:w="1054" w:type="dxa"/>
            <w:tcBorders>
              <w:left w:val="nil"/>
              <w:right w:val="nil"/>
            </w:tcBorders>
          </w:tcPr>
          <w:p>
            <w:pPr>
              <w:pStyle w:val="TableParagraph"/>
              <w:spacing w:before="110"/>
              <w:ind w:right="73"/>
              <w:rPr>
                <w:sz w:val="16"/>
              </w:rPr>
            </w:pPr>
            <w:r>
              <w:rPr>
                <w:w w:val="95"/>
                <w:sz w:val="16"/>
              </w:rPr>
              <w:t>SOLARAV12</w:t>
            </w:r>
          </w:p>
        </w:tc>
      </w:tr>
      <w:tr>
        <w:trPr>
          <w:trHeight w:val="339" w:hRule="exact"/>
        </w:trPr>
        <w:tc>
          <w:tcPr>
            <w:tcW w:w="959" w:type="dxa"/>
            <w:tcBorders>
              <w:left w:val="nil"/>
              <w:bottom w:val="nil"/>
              <w:right w:val="nil"/>
            </w:tcBorders>
          </w:tcPr>
          <w:p>
            <w:pPr>
              <w:pStyle w:val="TableParagraph"/>
              <w:spacing w:before="58"/>
              <w:ind w:left="86"/>
              <w:jc w:val="left"/>
              <w:rPr>
                <w:sz w:val="20"/>
              </w:rPr>
            </w:pPr>
            <w:r>
              <w:rPr>
                <w:w w:val="100"/>
                <w:sz w:val="20"/>
              </w:rPr>
              <w:t>7</w:t>
            </w:r>
          </w:p>
        </w:tc>
        <w:tc>
          <w:tcPr>
            <w:tcW w:w="867" w:type="dxa"/>
            <w:tcBorders>
              <w:left w:val="nil"/>
              <w:bottom w:val="nil"/>
              <w:right w:val="nil"/>
            </w:tcBorders>
          </w:tcPr>
          <w:p>
            <w:pPr>
              <w:pStyle w:val="TableParagraph"/>
              <w:spacing w:before="58"/>
              <w:ind w:left="77"/>
              <w:jc w:val="left"/>
              <w:rPr>
                <w:sz w:val="20"/>
              </w:rPr>
            </w:pPr>
            <w:r>
              <w:rPr>
                <w:sz w:val="20"/>
              </w:rPr>
              <w:t>15001</w:t>
            </w:r>
          </w:p>
        </w:tc>
        <w:tc>
          <w:tcPr>
            <w:tcW w:w="992" w:type="dxa"/>
            <w:tcBorders>
              <w:left w:val="nil"/>
              <w:bottom w:val="nil"/>
              <w:right w:val="nil"/>
            </w:tcBorders>
          </w:tcPr>
          <w:p>
            <w:pPr>
              <w:pStyle w:val="TableParagraph"/>
              <w:spacing w:before="58"/>
              <w:ind w:right="70"/>
              <w:rPr>
                <w:sz w:val="20"/>
              </w:rPr>
            </w:pPr>
            <w:r>
              <w:rPr>
                <w:sz w:val="20"/>
              </w:rPr>
              <w:t>16</w:t>
            </w:r>
          </w:p>
        </w:tc>
        <w:tc>
          <w:tcPr>
            <w:tcW w:w="977" w:type="dxa"/>
            <w:tcBorders>
              <w:left w:val="nil"/>
              <w:bottom w:val="nil"/>
              <w:right w:val="nil"/>
            </w:tcBorders>
          </w:tcPr>
          <w:p>
            <w:pPr>
              <w:pStyle w:val="TableParagraph"/>
              <w:spacing w:before="58"/>
              <w:ind w:right="67"/>
              <w:rPr>
                <w:sz w:val="20"/>
              </w:rPr>
            </w:pPr>
            <w:r>
              <w:rPr>
                <w:sz w:val="20"/>
              </w:rPr>
              <w:t>19</w:t>
            </w:r>
          </w:p>
        </w:tc>
        <w:tc>
          <w:tcPr>
            <w:tcW w:w="975" w:type="dxa"/>
            <w:tcBorders>
              <w:left w:val="nil"/>
              <w:bottom w:val="nil"/>
              <w:right w:val="nil"/>
            </w:tcBorders>
          </w:tcPr>
          <w:p>
            <w:pPr>
              <w:pStyle w:val="TableParagraph"/>
              <w:spacing w:before="58"/>
              <w:ind w:right="67"/>
              <w:rPr>
                <w:sz w:val="20"/>
              </w:rPr>
            </w:pPr>
            <w:r>
              <w:rPr>
                <w:sz w:val="20"/>
              </w:rPr>
              <w:t>20</w:t>
            </w:r>
          </w:p>
        </w:tc>
        <w:tc>
          <w:tcPr>
            <w:tcW w:w="977" w:type="dxa"/>
            <w:tcBorders>
              <w:left w:val="nil"/>
              <w:bottom w:val="nil"/>
              <w:right w:val="nil"/>
            </w:tcBorders>
          </w:tcPr>
          <w:p>
            <w:pPr>
              <w:pStyle w:val="TableParagraph"/>
              <w:spacing w:before="58"/>
              <w:ind w:right="71"/>
              <w:rPr>
                <w:sz w:val="20"/>
              </w:rPr>
            </w:pPr>
            <w:r>
              <w:rPr>
                <w:sz w:val="20"/>
              </w:rPr>
              <w:t>19</w:t>
            </w:r>
          </w:p>
        </w:tc>
        <w:tc>
          <w:tcPr>
            <w:tcW w:w="977" w:type="dxa"/>
            <w:tcBorders>
              <w:left w:val="nil"/>
              <w:bottom w:val="nil"/>
              <w:right w:val="nil"/>
            </w:tcBorders>
          </w:tcPr>
          <w:p>
            <w:pPr>
              <w:pStyle w:val="TableParagraph"/>
              <w:spacing w:before="58"/>
              <w:ind w:right="67"/>
              <w:rPr>
                <w:sz w:val="20"/>
              </w:rPr>
            </w:pPr>
            <w:r>
              <w:rPr>
                <w:sz w:val="20"/>
              </w:rPr>
              <w:t>20</w:t>
            </w:r>
          </w:p>
        </w:tc>
        <w:tc>
          <w:tcPr>
            <w:tcW w:w="975" w:type="dxa"/>
            <w:tcBorders>
              <w:left w:val="nil"/>
              <w:bottom w:val="nil"/>
              <w:right w:val="nil"/>
            </w:tcBorders>
          </w:tcPr>
          <w:p>
            <w:pPr>
              <w:pStyle w:val="TableParagraph"/>
              <w:spacing w:before="58"/>
              <w:ind w:right="67"/>
              <w:rPr>
                <w:sz w:val="20"/>
              </w:rPr>
            </w:pPr>
            <w:r>
              <w:rPr>
                <w:sz w:val="20"/>
              </w:rPr>
              <w:t>19</w:t>
            </w:r>
          </w:p>
        </w:tc>
        <w:tc>
          <w:tcPr>
            <w:tcW w:w="977" w:type="dxa"/>
            <w:tcBorders>
              <w:left w:val="nil"/>
              <w:bottom w:val="nil"/>
              <w:right w:val="nil"/>
            </w:tcBorders>
          </w:tcPr>
          <w:p>
            <w:pPr>
              <w:pStyle w:val="TableParagraph"/>
              <w:spacing w:before="58"/>
              <w:ind w:right="71"/>
              <w:rPr>
                <w:sz w:val="20"/>
              </w:rPr>
            </w:pPr>
            <w:r>
              <w:rPr>
                <w:sz w:val="20"/>
              </w:rPr>
              <w:t>19</w:t>
            </w:r>
          </w:p>
        </w:tc>
        <w:tc>
          <w:tcPr>
            <w:tcW w:w="977" w:type="dxa"/>
            <w:tcBorders>
              <w:left w:val="nil"/>
              <w:bottom w:val="nil"/>
              <w:right w:val="nil"/>
            </w:tcBorders>
          </w:tcPr>
          <w:p>
            <w:pPr>
              <w:pStyle w:val="TableParagraph"/>
              <w:spacing w:before="58"/>
              <w:ind w:right="67"/>
              <w:rPr>
                <w:sz w:val="20"/>
              </w:rPr>
            </w:pPr>
            <w:r>
              <w:rPr>
                <w:sz w:val="20"/>
              </w:rPr>
              <w:t>19</w:t>
            </w:r>
          </w:p>
        </w:tc>
        <w:tc>
          <w:tcPr>
            <w:tcW w:w="975" w:type="dxa"/>
            <w:tcBorders>
              <w:left w:val="nil"/>
              <w:bottom w:val="nil"/>
              <w:right w:val="nil"/>
            </w:tcBorders>
          </w:tcPr>
          <w:p>
            <w:pPr>
              <w:pStyle w:val="TableParagraph"/>
              <w:spacing w:before="58"/>
              <w:ind w:right="67"/>
              <w:rPr>
                <w:sz w:val="20"/>
              </w:rPr>
            </w:pPr>
            <w:r>
              <w:rPr>
                <w:sz w:val="20"/>
              </w:rPr>
              <w:t>17</w:t>
            </w:r>
          </w:p>
        </w:tc>
        <w:tc>
          <w:tcPr>
            <w:tcW w:w="1056" w:type="dxa"/>
            <w:tcBorders>
              <w:left w:val="nil"/>
              <w:bottom w:val="nil"/>
              <w:right w:val="nil"/>
            </w:tcBorders>
          </w:tcPr>
          <w:p>
            <w:pPr>
              <w:pStyle w:val="TableParagraph"/>
              <w:spacing w:before="58"/>
              <w:ind w:right="67"/>
              <w:rPr>
                <w:sz w:val="20"/>
              </w:rPr>
            </w:pPr>
            <w:r>
              <w:rPr>
                <w:sz w:val="20"/>
              </w:rPr>
              <w:t>17</w:t>
            </w:r>
          </w:p>
        </w:tc>
        <w:tc>
          <w:tcPr>
            <w:tcW w:w="1056" w:type="dxa"/>
            <w:tcBorders>
              <w:left w:val="nil"/>
              <w:bottom w:val="nil"/>
              <w:right w:val="nil"/>
            </w:tcBorders>
          </w:tcPr>
          <w:p>
            <w:pPr>
              <w:pStyle w:val="TableParagraph"/>
              <w:spacing w:before="58"/>
              <w:ind w:right="67"/>
              <w:rPr>
                <w:sz w:val="20"/>
              </w:rPr>
            </w:pPr>
            <w:r>
              <w:rPr>
                <w:sz w:val="20"/>
              </w:rPr>
              <w:t>16</w:t>
            </w:r>
          </w:p>
        </w:tc>
        <w:tc>
          <w:tcPr>
            <w:tcW w:w="1054" w:type="dxa"/>
            <w:tcBorders>
              <w:left w:val="nil"/>
              <w:bottom w:val="nil"/>
              <w:right w:val="nil"/>
            </w:tcBorders>
          </w:tcPr>
          <w:p>
            <w:pPr>
              <w:pStyle w:val="TableParagraph"/>
              <w:spacing w:before="58"/>
              <w:ind w:right="65"/>
              <w:rPr>
                <w:sz w:val="20"/>
              </w:rPr>
            </w:pPr>
            <w:r>
              <w:rPr>
                <w:sz w:val="20"/>
              </w:rPr>
              <w:t>15</w:t>
            </w:r>
          </w:p>
        </w:tc>
      </w:tr>
      <w:tr>
        <w:trPr>
          <w:trHeight w:val="300" w:hRule="exact"/>
        </w:trPr>
        <w:tc>
          <w:tcPr>
            <w:tcW w:w="959" w:type="dxa"/>
            <w:tcBorders>
              <w:top w:val="nil"/>
              <w:left w:val="nil"/>
              <w:bottom w:val="nil"/>
              <w:right w:val="nil"/>
            </w:tcBorders>
          </w:tcPr>
          <w:p>
            <w:pPr>
              <w:pStyle w:val="TableParagraph"/>
              <w:spacing w:before="26"/>
              <w:ind w:left="86"/>
              <w:jc w:val="left"/>
              <w:rPr>
                <w:sz w:val="20"/>
              </w:rPr>
            </w:pPr>
            <w:r>
              <w:rPr>
                <w:w w:val="100"/>
                <w:sz w:val="20"/>
              </w:rPr>
              <w:t>8</w:t>
            </w:r>
          </w:p>
        </w:tc>
        <w:tc>
          <w:tcPr>
            <w:tcW w:w="867" w:type="dxa"/>
            <w:tcBorders>
              <w:top w:val="nil"/>
              <w:left w:val="nil"/>
              <w:bottom w:val="nil"/>
              <w:right w:val="nil"/>
            </w:tcBorders>
          </w:tcPr>
          <w:p>
            <w:pPr>
              <w:pStyle w:val="TableParagraph"/>
              <w:spacing w:before="26"/>
              <w:ind w:left="77"/>
              <w:jc w:val="left"/>
              <w:rPr>
                <w:sz w:val="20"/>
              </w:rPr>
            </w:pPr>
            <w:r>
              <w:rPr>
                <w:sz w:val="20"/>
              </w:rPr>
              <w:t>15001</w:t>
            </w:r>
          </w:p>
        </w:tc>
        <w:tc>
          <w:tcPr>
            <w:tcW w:w="992" w:type="dxa"/>
            <w:tcBorders>
              <w:top w:val="nil"/>
              <w:left w:val="nil"/>
              <w:bottom w:val="nil"/>
              <w:right w:val="nil"/>
            </w:tcBorders>
          </w:tcPr>
          <w:p>
            <w:pPr>
              <w:pStyle w:val="TableParagraph"/>
              <w:spacing w:before="26"/>
              <w:ind w:right="70"/>
              <w:rPr>
                <w:sz w:val="20"/>
              </w:rPr>
            </w:pPr>
            <w:r>
              <w:rPr>
                <w:sz w:val="20"/>
              </w:rPr>
              <w:t>16</w:t>
            </w:r>
          </w:p>
        </w:tc>
        <w:tc>
          <w:tcPr>
            <w:tcW w:w="977" w:type="dxa"/>
            <w:tcBorders>
              <w:top w:val="nil"/>
              <w:left w:val="nil"/>
              <w:bottom w:val="nil"/>
              <w:right w:val="nil"/>
            </w:tcBorders>
          </w:tcPr>
          <w:p>
            <w:pPr>
              <w:pStyle w:val="TableParagraph"/>
              <w:spacing w:before="26"/>
              <w:ind w:right="67"/>
              <w:rPr>
                <w:sz w:val="20"/>
              </w:rPr>
            </w:pPr>
            <w:r>
              <w:rPr>
                <w:sz w:val="20"/>
              </w:rPr>
              <w:t>19</w:t>
            </w:r>
          </w:p>
        </w:tc>
        <w:tc>
          <w:tcPr>
            <w:tcW w:w="975" w:type="dxa"/>
            <w:tcBorders>
              <w:top w:val="nil"/>
              <w:left w:val="nil"/>
              <w:bottom w:val="nil"/>
              <w:right w:val="nil"/>
            </w:tcBorders>
          </w:tcPr>
          <w:p>
            <w:pPr>
              <w:pStyle w:val="TableParagraph"/>
              <w:spacing w:before="26"/>
              <w:ind w:right="67"/>
              <w:rPr>
                <w:sz w:val="20"/>
              </w:rPr>
            </w:pPr>
            <w:r>
              <w:rPr>
                <w:sz w:val="20"/>
              </w:rPr>
              <w:t>20</w:t>
            </w:r>
          </w:p>
        </w:tc>
        <w:tc>
          <w:tcPr>
            <w:tcW w:w="977" w:type="dxa"/>
            <w:tcBorders>
              <w:top w:val="nil"/>
              <w:left w:val="nil"/>
              <w:bottom w:val="nil"/>
              <w:right w:val="nil"/>
            </w:tcBorders>
          </w:tcPr>
          <w:p>
            <w:pPr>
              <w:pStyle w:val="TableParagraph"/>
              <w:spacing w:before="26"/>
              <w:ind w:right="71"/>
              <w:rPr>
                <w:sz w:val="20"/>
              </w:rPr>
            </w:pPr>
            <w:r>
              <w:rPr>
                <w:sz w:val="20"/>
              </w:rPr>
              <w:t>19</w:t>
            </w:r>
          </w:p>
        </w:tc>
        <w:tc>
          <w:tcPr>
            <w:tcW w:w="977" w:type="dxa"/>
            <w:tcBorders>
              <w:top w:val="nil"/>
              <w:left w:val="nil"/>
              <w:bottom w:val="nil"/>
              <w:right w:val="nil"/>
            </w:tcBorders>
          </w:tcPr>
          <w:p>
            <w:pPr>
              <w:pStyle w:val="TableParagraph"/>
              <w:spacing w:before="26"/>
              <w:ind w:right="67"/>
              <w:rPr>
                <w:sz w:val="20"/>
              </w:rPr>
            </w:pPr>
            <w:r>
              <w:rPr>
                <w:sz w:val="20"/>
              </w:rPr>
              <w:t>20</w:t>
            </w:r>
          </w:p>
        </w:tc>
        <w:tc>
          <w:tcPr>
            <w:tcW w:w="975" w:type="dxa"/>
            <w:tcBorders>
              <w:top w:val="nil"/>
              <w:left w:val="nil"/>
              <w:bottom w:val="nil"/>
              <w:right w:val="nil"/>
            </w:tcBorders>
          </w:tcPr>
          <w:p>
            <w:pPr>
              <w:pStyle w:val="TableParagraph"/>
              <w:spacing w:before="26"/>
              <w:ind w:right="67"/>
              <w:rPr>
                <w:sz w:val="20"/>
              </w:rPr>
            </w:pPr>
            <w:r>
              <w:rPr>
                <w:sz w:val="20"/>
              </w:rPr>
              <w:t>19</w:t>
            </w:r>
          </w:p>
        </w:tc>
        <w:tc>
          <w:tcPr>
            <w:tcW w:w="977" w:type="dxa"/>
            <w:tcBorders>
              <w:top w:val="nil"/>
              <w:left w:val="nil"/>
              <w:bottom w:val="nil"/>
              <w:right w:val="nil"/>
            </w:tcBorders>
          </w:tcPr>
          <w:p>
            <w:pPr>
              <w:pStyle w:val="TableParagraph"/>
              <w:spacing w:before="26"/>
              <w:ind w:right="71"/>
              <w:rPr>
                <w:sz w:val="20"/>
              </w:rPr>
            </w:pPr>
            <w:r>
              <w:rPr>
                <w:sz w:val="20"/>
              </w:rPr>
              <w:t>19</w:t>
            </w:r>
          </w:p>
        </w:tc>
        <w:tc>
          <w:tcPr>
            <w:tcW w:w="977" w:type="dxa"/>
            <w:tcBorders>
              <w:top w:val="nil"/>
              <w:left w:val="nil"/>
              <w:bottom w:val="nil"/>
              <w:right w:val="nil"/>
            </w:tcBorders>
          </w:tcPr>
          <w:p>
            <w:pPr>
              <w:pStyle w:val="TableParagraph"/>
              <w:spacing w:before="26"/>
              <w:ind w:right="67"/>
              <w:rPr>
                <w:sz w:val="20"/>
              </w:rPr>
            </w:pPr>
            <w:r>
              <w:rPr>
                <w:sz w:val="20"/>
              </w:rPr>
              <w:t>19</w:t>
            </w:r>
          </w:p>
        </w:tc>
        <w:tc>
          <w:tcPr>
            <w:tcW w:w="975" w:type="dxa"/>
            <w:tcBorders>
              <w:top w:val="nil"/>
              <w:left w:val="nil"/>
              <w:bottom w:val="nil"/>
              <w:right w:val="nil"/>
            </w:tcBorders>
          </w:tcPr>
          <w:p>
            <w:pPr>
              <w:pStyle w:val="TableParagraph"/>
              <w:spacing w:before="26"/>
              <w:ind w:right="67"/>
              <w:rPr>
                <w:sz w:val="20"/>
              </w:rPr>
            </w:pPr>
            <w:r>
              <w:rPr>
                <w:sz w:val="20"/>
              </w:rPr>
              <w:t>17</w:t>
            </w:r>
          </w:p>
        </w:tc>
        <w:tc>
          <w:tcPr>
            <w:tcW w:w="1056" w:type="dxa"/>
            <w:tcBorders>
              <w:top w:val="nil"/>
              <w:left w:val="nil"/>
              <w:bottom w:val="nil"/>
              <w:right w:val="nil"/>
            </w:tcBorders>
          </w:tcPr>
          <w:p>
            <w:pPr>
              <w:pStyle w:val="TableParagraph"/>
              <w:spacing w:before="26"/>
              <w:ind w:right="67"/>
              <w:rPr>
                <w:sz w:val="20"/>
              </w:rPr>
            </w:pPr>
            <w:r>
              <w:rPr>
                <w:sz w:val="20"/>
              </w:rPr>
              <w:t>17</w:t>
            </w:r>
          </w:p>
        </w:tc>
        <w:tc>
          <w:tcPr>
            <w:tcW w:w="1056" w:type="dxa"/>
            <w:tcBorders>
              <w:top w:val="nil"/>
              <w:left w:val="nil"/>
              <w:bottom w:val="nil"/>
              <w:right w:val="nil"/>
            </w:tcBorders>
          </w:tcPr>
          <w:p>
            <w:pPr>
              <w:pStyle w:val="TableParagraph"/>
              <w:spacing w:before="26"/>
              <w:ind w:right="67"/>
              <w:rPr>
                <w:sz w:val="20"/>
              </w:rPr>
            </w:pPr>
            <w:r>
              <w:rPr>
                <w:sz w:val="20"/>
              </w:rPr>
              <w:t>16</w:t>
            </w:r>
          </w:p>
        </w:tc>
        <w:tc>
          <w:tcPr>
            <w:tcW w:w="1054" w:type="dxa"/>
            <w:tcBorders>
              <w:top w:val="nil"/>
              <w:left w:val="nil"/>
              <w:bottom w:val="nil"/>
              <w:right w:val="nil"/>
            </w:tcBorders>
          </w:tcPr>
          <w:p>
            <w:pPr>
              <w:pStyle w:val="TableParagraph"/>
              <w:spacing w:before="26"/>
              <w:ind w:right="65"/>
              <w:rPr>
                <w:sz w:val="20"/>
              </w:rPr>
            </w:pPr>
            <w:r>
              <w:rPr>
                <w:sz w:val="20"/>
              </w:rPr>
              <w:t>15</w:t>
            </w:r>
          </w:p>
        </w:tc>
      </w:tr>
      <w:tr>
        <w:trPr>
          <w:trHeight w:val="300" w:hRule="exact"/>
        </w:trPr>
        <w:tc>
          <w:tcPr>
            <w:tcW w:w="959" w:type="dxa"/>
            <w:tcBorders>
              <w:top w:val="nil"/>
              <w:left w:val="nil"/>
              <w:bottom w:val="nil"/>
              <w:right w:val="nil"/>
            </w:tcBorders>
          </w:tcPr>
          <w:p>
            <w:pPr>
              <w:pStyle w:val="TableParagraph"/>
              <w:ind w:left="86"/>
              <w:jc w:val="left"/>
              <w:rPr>
                <w:sz w:val="20"/>
              </w:rPr>
            </w:pPr>
            <w:r>
              <w:rPr>
                <w:w w:val="100"/>
                <w:sz w:val="20"/>
              </w:rPr>
              <w:t>9</w:t>
            </w:r>
          </w:p>
        </w:tc>
        <w:tc>
          <w:tcPr>
            <w:tcW w:w="867" w:type="dxa"/>
            <w:tcBorders>
              <w:top w:val="nil"/>
              <w:left w:val="nil"/>
              <w:bottom w:val="nil"/>
              <w:right w:val="nil"/>
            </w:tcBorders>
          </w:tcPr>
          <w:p>
            <w:pPr>
              <w:pStyle w:val="TableParagraph"/>
              <w:ind w:left="77"/>
              <w:jc w:val="left"/>
              <w:rPr>
                <w:sz w:val="20"/>
              </w:rPr>
            </w:pPr>
            <w:r>
              <w:rPr>
                <w:sz w:val="20"/>
              </w:rPr>
              <w:t>15001</w:t>
            </w:r>
          </w:p>
        </w:tc>
        <w:tc>
          <w:tcPr>
            <w:tcW w:w="992" w:type="dxa"/>
            <w:tcBorders>
              <w:top w:val="nil"/>
              <w:left w:val="nil"/>
              <w:bottom w:val="nil"/>
              <w:right w:val="nil"/>
            </w:tcBorders>
          </w:tcPr>
          <w:p>
            <w:pPr>
              <w:pStyle w:val="TableParagraph"/>
              <w:ind w:right="70"/>
              <w:rPr>
                <w:sz w:val="20"/>
              </w:rPr>
            </w:pPr>
            <w:r>
              <w:rPr>
                <w:sz w:val="20"/>
              </w:rPr>
              <w:t>16</w:t>
            </w:r>
          </w:p>
        </w:tc>
        <w:tc>
          <w:tcPr>
            <w:tcW w:w="977" w:type="dxa"/>
            <w:tcBorders>
              <w:top w:val="nil"/>
              <w:left w:val="nil"/>
              <w:bottom w:val="nil"/>
              <w:right w:val="nil"/>
            </w:tcBorders>
          </w:tcPr>
          <w:p>
            <w:pPr>
              <w:pStyle w:val="TableParagraph"/>
              <w:ind w:right="67"/>
              <w:rPr>
                <w:sz w:val="20"/>
              </w:rPr>
            </w:pPr>
            <w:r>
              <w:rPr>
                <w:sz w:val="20"/>
              </w:rPr>
              <w:t>19</w:t>
            </w:r>
          </w:p>
        </w:tc>
        <w:tc>
          <w:tcPr>
            <w:tcW w:w="975" w:type="dxa"/>
            <w:tcBorders>
              <w:top w:val="nil"/>
              <w:left w:val="nil"/>
              <w:bottom w:val="nil"/>
              <w:right w:val="nil"/>
            </w:tcBorders>
          </w:tcPr>
          <w:p>
            <w:pPr>
              <w:pStyle w:val="TableParagraph"/>
              <w:ind w:right="67"/>
              <w:rPr>
                <w:sz w:val="20"/>
              </w:rPr>
            </w:pPr>
            <w:r>
              <w:rPr>
                <w:sz w:val="20"/>
              </w:rPr>
              <w:t>20</w:t>
            </w:r>
          </w:p>
        </w:tc>
        <w:tc>
          <w:tcPr>
            <w:tcW w:w="977" w:type="dxa"/>
            <w:tcBorders>
              <w:top w:val="nil"/>
              <w:left w:val="nil"/>
              <w:bottom w:val="nil"/>
              <w:right w:val="nil"/>
            </w:tcBorders>
          </w:tcPr>
          <w:p>
            <w:pPr>
              <w:pStyle w:val="TableParagraph"/>
              <w:ind w:right="71"/>
              <w:rPr>
                <w:sz w:val="20"/>
              </w:rPr>
            </w:pPr>
            <w:r>
              <w:rPr>
                <w:sz w:val="20"/>
              </w:rPr>
              <w:t>19</w:t>
            </w:r>
          </w:p>
        </w:tc>
        <w:tc>
          <w:tcPr>
            <w:tcW w:w="977" w:type="dxa"/>
            <w:tcBorders>
              <w:top w:val="nil"/>
              <w:left w:val="nil"/>
              <w:bottom w:val="nil"/>
              <w:right w:val="nil"/>
            </w:tcBorders>
          </w:tcPr>
          <w:p>
            <w:pPr>
              <w:pStyle w:val="TableParagraph"/>
              <w:ind w:right="67"/>
              <w:rPr>
                <w:sz w:val="20"/>
              </w:rPr>
            </w:pPr>
            <w:r>
              <w:rPr>
                <w:sz w:val="20"/>
              </w:rPr>
              <w:t>20</w:t>
            </w:r>
          </w:p>
        </w:tc>
        <w:tc>
          <w:tcPr>
            <w:tcW w:w="975" w:type="dxa"/>
            <w:tcBorders>
              <w:top w:val="nil"/>
              <w:left w:val="nil"/>
              <w:bottom w:val="nil"/>
              <w:right w:val="nil"/>
            </w:tcBorders>
          </w:tcPr>
          <w:p>
            <w:pPr>
              <w:pStyle w:val="TableParagraph"/>
              <w:ind w:right="67"/>
              <w:rPr>
                <w:sz w:val="20"/>
              </w:rPr>
            </w:pPr>
            <w:r>
              <w:rPr>
                <w:sz w:val="20"/>
              </w:rPr>
              <w:t>19</w:t>
            </w:r>
          </w:p>
        </w:tc>
        <w:tc>
          <w:tcPr>
            <w:tcW w:w="977" w:type="dxa"/>
            <w:tcBorders>
              <w:top w:val="nil"/>
              <w:left w:val="nil"/>
              <w:bottom w:val="nil"/>
              <w:right w:val="nil"/>
            </w:tcBorders>
          </w:tcPr>
          <w:p>
            <w:pPr>
              <w:pStyle w:val="TableParagraph"/>
              <w:ind w:right="71"/>
              <w:rPr>
                <w:sz w:val="20"/>
              </w:rPr>
            </w:pPr>
            <w:r>
              <w:rPr>
                <w:sz w:val="20"/>
              </w:rPr>
              <w:t>19</w:t>
            </w:r>
          </w:p>
        </w:tc>
        <w:tc>
          <w:tcPr>
            <w:tcW w:w="977" w:type="dxa"/>
            <w:tcBorders>
              <w:top w:val="nil"/>
              <w:left w:val="nil"/>
              <w:bottom w:val="nil"/>
              <w:right w:val="nil"/>
            </w:tcBorders>
          </w:tcPr>
          <w:p>
            <w:pPr>
              <w:pStyle w:val="TableParagraph"/>
              <w:ind w:right="67"/>
              <w:rPr>
                <w:sz w:val="20"/>
              </w:rPr>
            </w:pPr>
            <w:r>
              <w:rPr>
                <w:sz w:val="20"/>
              </w:rPr>
              <w:t>19</w:t>
            </w:r>
          </w:p>
        </w:tc>
        <w:tc>
          <w:tcPr>
            <w:tcW w:w="975" w:type="dxa"/>
            <w:tcBorders>
              <w:top w:val="nil"/>
              <w:left w:val="nil"/>
              <w:bottom w:val="nil"/>
              <w:right w:val="nil"/>
            </w:tcBorders>
          </w:tcPr>
          <w:p>
            <w:pPr>
              <w:pStyle w:val="TableParagraph"/>
              <w:ind w:right="67"/>
              <w:rPr>
                <w:sz w:val="20"/>
              </w:rPr>
            </w:pPr>
            <w:r>
              <w:rPr>
                <w:sz w:val="20"/>
              </w:rPr>
              <w:t>17</w:t>
            </w:r>
          </w:p>
        </w:tc>
        <w:tc>
          <w:tcPr>
            <w:tcW w:w="1056" w:type="dxa"/>
            <w:tcBorders>
              <w:top w:val="nil"/>
              <w:left w:val="nil"/>
              <w:bottom w:val="nil"/>
              <w:right w:val="nil"/>
            </w:tcBorders>
          </w:tcPr>
          <w:p>
            <w:pPr>
              <w:pStyle w:val="TableParagraph"/>
              <w:ind w:right="67"/>
              <w:rPr>
                <w:sz w:val="20"/>
              </w:rPr>
            </w:pPr>
            <w:r>
              <w:rPr>
                <w:sz w:val="20"/>
              </w:rPr>
              <w:t>17</w:t>
            </w:r>
          </w:p>
        </w:tc>
        <w:tc>
          <w:tcPr>
            <w:tcW w:w="1056" w:type="dxa"/>
            <w:tcBorders>
              <w:top w:val="nil"/>
              <w:left w:val="nil"/>
              <w:bottom w:val="nil"/>
              <w:right w:val="nil"/>
            </w:tcBorders>
          </w:tcPr>
          <w:p>
            <w:pPr>
              <w:pStyle w:val="TableParagraph"/>
              <w:ind w:right="67"/>
              <w:rPr>
                <w:sz w:val="20"/>
              </w:rPr>
            </w:pPr>
            <w:r>
              <w:rPr>
                <w:sz w:val="20"/>
              </w:rPr>
              <w:t>16</w:t>
            </w:r>
          </w:p>
        </w:tc>
        <w:tc>
          <w:tcPr>
            <w:tcW w:w="1054" w:type="dxa"/>
            <w:tcBorders>
              <w:top w:val="nil"/>
              <w:left w:val="nil"/>
              <w:bottom w:val="nil"/>
              <w:right w:val="nil"/>
            </w:tcBorders>
          </w:tcPr>
          <w:p>
            <w:pPr>
              <w:pStyle w:val="TableParagraph"/>
              <w:ind w:right="65"/>
              <w:rPr>
                <w:sz w:val="20"/>
              </w:rPr>
            </w:pPr>
            <w:r>
              <w:rPr>
                <w:sz w:val="20"/>
              </w:rPr>
              <w:t>15</w:t>
            </w:r>
          </w:p>
        </w:tc>
      </w:tr>
      <w:tr>
        <w:trPr>
          <w:trHeight w:val="300" w:hRule="exact"/>
        </w:trPr>
        <w:tc>
          <w:tcPr>
            <w:tcW w:w="959" w:type="dxa"/>
            <w:tcBorders>
              <w:top w:val="nil"/>
              <w:left w:val="nil"/>
              <w:bottom w:val="nil"/>
              <w:right w:val="nil"/>
            </w:tcBorders>
          </w:tcPr>
          <w:p>
            <w:pPr>
              <w:pStyle w:val="TableParagraph"/>
              <w:spacing w:before="26"/>
              <w:ind w:left="86"/>
              <w:jc w:val="left"/>
              <w:rPr>
                <w:sz w:val="20"/>
              </w:rPr>
            </w:pPr>
            <w:r>
              <w:rPr>
                <w:sz w:val="20"/>
              </w:rPr>
              <w:t>10</w:t>
            </w:r>
          </w:p>
        </w:tc>
        <w:tc>
          <w:tcPr>
            <w:tcW w:w="867" w:type="dxa"/>
            <w:tcBorders>
              <w:top w:val="nil"/>
              <w:left w:val="nil"/>
              <w:bottom w:val="nil"/>
              <w:right w:val="nil"/>
            </w:tcBorders>
          </w:tcPr>
          <w:p>
            <w:pPr>
              <w:pStyle w:val="TableParagraph"/>
              <w:spacing w:before="26"/>
              <w:ind w:left="77"/>
              <w:jc w:val="left"/>
              <w:rPr>
                <w:sz w:val="20"/>
              </w:rPr>
            </w:pPr>
            <w:r>
              <w:rPr>
                <w:sz w:val="20"/>
              </w:rPr>
              <w:t>15001</w:t>
            </w:r>
          </w:p>
        </w:tc>
        <w:tc>
          <w:tcPr>
            <w:tcW w:w="992" w:type="dxa"/>
            <w:tcBorders>
              <w:top w:val="nil"/>
              <w:left w:val="nil"/>
              <w:bottom w:val="nil"/>
              <w:right w:val="nil"/>
            </w:tcBorders>
          </w:tcPr>
          <w:p>
            <w:pPr>
              <w:pStyle w:val="TableParagraph"/>
              <w:spacing w:before="26"/>
              <w:ind w:right="70"/>
              <w:rPr>
                <w:sz w:val="20"/>
              </w:rPr>
            </w:pPr>
            <w:r>
              <w:rPr>
                <w:sz w:val="20"/>
              </w:rPr>
              <w:t>16</w:t>
            </w:r>
          </w:p>
        </w:tc>
        <w:tc>
          <w:tcPr>
            <w:tcW w:w="977" w:type="dxa"/>
            <w:tcBorders>
              <w:top w:val="nil"/>
              <w:left w:val="nil"/>
              <w:bottom w:val="nil"/>
              <w:right w:val="nil"/>
            </w:tcBorders>
          </w:tcPr>
          <w:p>
            <w:pPr>
              <w:pStyle w:val="TableParagraph"/>
              <w:spacing w:before="26"/>
              <w:ind w:right="67"/>
              <w:rPr>
                <w:sz w:val="20"/>
              </w:rPr>
            </w:pPr>
            <w:r>
              <w:rPr>
                <w:sz w:val="20"/>
              </w:rPr>
              <w:t>19</w:t>
            </w:r>
          </w:p>
        </w:tc>
        <w:tc>
          <w:tcPr>
            <w:tcW w:w="975" w:type="dxa"/>
            <w:tcBorders>
              <w:top w:val="nil"/>
              <w:left w:val="nil"/>
              <w:bottom w:val="nil"/>
              <w:right w:val="nil"/>
            </w:tcBorders>
          </w:tcPr>
          <w:p>
            <w:pPr>
              <w:pStyle w:val="TableParagraph"/>
              <w:spacing w:before="26"/>
              <w:ind w:right="67"/>
              <w:rPr>
                <w:sz w:val="20"/>
              </w:rPr>
            </w:pPr>
            <w:r>
              <w:rPr>
                <w:sz w:val="20"/>
              </w:rPr>
              <w:t>20</w:t>
            </w:r>
          </w:p>
        </w:tc>
        <w:tc>
          <w:tcPr>
            <w:tcW w:w="977" w:type="dxa"/>
            <w:tcBorders>
              <w:top w:val="nil"/>
              <w:left w:val="nil"/>
              <w:bottom w:val="nil"/>
              <w:right w:val="nil"/>
            </w:tcBorders>
          </w:tcPr>
          <w:p>
            <w:pPr>
              <w:pStyle w:val="TableParagraph"/>
              <w:spacing w:before="26"/>
              <w:ind w:right="71"/>
              <w:rPr>
                <w:sz w:val="20"/>
              </w:rPr>
            </w:pPr>
            <w:r>
              <w:rPr>
                <w:sz w:val="20"/>
              </w:rPr>
              <w:t>19</w:t>
            </w:r>
          </w:p>
        </w:tc>
        <w:tc>
          <w:tcPr>
            <w:tcW w:w="977" w:type="dxa"/>
            <w:tcBorders>
              <w:top w:val="nil"/>
              <w:left w:val="nil"/>
              <w:bottom w:val="nil"/>
              <w:right w:val="nil"/>
            </w:tcBorders>
          </w:tcPr>
          <w:p>
            <w:pPr>
              <w:pStyle w:val="TableParagraph"/>
              <w:spacing w:before="26"/>
              <w:ind w:right="67"/>
              <w:rPr>
                <w:sz w:val="20"/>
              </w:rPr>
            </w:pPr>
            <w:r>
              <w:rPr>
                <w:sz w:val="20"/>
              </w:rPr>
              <w:t>20</w:t>
            </w:r>
          </w:p>
        </w:tc>
        <w:tc>
          <w:tcPr>
            <w:tcW w:w="975" w:type="dxa"/>
            <w:tcBorders>
              <w:top w:val="nil"/>
              <w:left w:val="nil"/>
              <w:bottom w:val="nil"/>
              <w:right w:val="nil"/>
            </w:tcBorders>
          </w:tcPr>
          <w:p>
            <w:pPr>
              <w:pStyle w:val="TableParagraph"/>
              <w:spacing w:before="26"/>
              <w:ind w:right="67"/>
              <w:rPr>
                <w:sz w:val="20"/>
              </w:rPr>
            </w:pPr>
            <w:r>
              <w:rPr>
                <w:sz w:val="20"/>
              </w:rPr>
              <w:t>19</w:t>
            </w:r>
          </w:p>
        </w:tc>
        <w:tc>
          <w:tcPr>
            <w:tcW w:w="977" w:type="dxa"/>
            <w:tcBorders>
              <w:top w:val="nil"/>
              <w:left w:val="nil"/>
              <w:bottom w:val="nil"/>
              <w:right w:val="nil"/>
            </w:tcBorders>
          </w:tcPr>
          <w:p>
            <w:pPr>
              <w:pStyle w:val="TableParagraph"/>
              <w:spacing w:before="26"/>
              <w:ind w:right="71"/>
              <w:rPr>
                <w:sz w:val="20"/>
              </w:rPr>
            </w:pPr>
            <w:r>
              <w:rPr>
                <w:sz w:val="20"/>
              </w:rPr>
              <w:t>19</w:t>
            </w:r>
          </w:p>
        </w:tc>
        <w:tc>
          <w:tcPr>
            <w:tcW w:w="977" w:type="dxa"/>
            <w:tcBorders>
              <w:top w:val="nil"/>
              <w:left w:val="nil"/>
              <w:bottom w:val="nil"/>
              <w:right w:val="nil"/>
            </w:tcBorders>
          </w:tcPr>
          <w:p>
            <w:pPr>
              <w:pStyle w:val="TableParagraph"/>
              <w:spacing w:before="26"/>
              <w:ind w:right="67"/>
              <w:rPr>
                <w:sz w:val="20"/>
              </w:rPr>
            </w:pPr>
            <w:r>
              <w:rPr>
                <w:sz w:val="20"/>
              </w:rPr>
              <w:t>19</w:t>
            </w:r>
          </w:p>
        </w:tc>
        <w:tc>
          <w:tcPr>
            <w:tcW w:w="975" w:type="dxa"/>
            <w:tcBorders>
              <w:top w:val="nil"/>
              <w:left w:val="nil"/>
              <w:bottom w:val="nil"/>
              <w:right w:val="nil"/>
            </w:tcBorders>
          </w:tcPr>
          <w:p>
            <w:pPr>
              <w:pStyle w:val="TableParagraph"/>
              <w:spacing w:before="26"/>
              <w:ind w:right="67"/>
              <w:rPr>
                <w:sz w:val="20"/>
              </w:rPr>
            </w:pPr>
            <w:r>
              <w:rPr>
                <w:sz w:val="20"/>
              </w:rPr>
              <w:t>17</w:t>
            </w:r>
          </w:p>
        </w:tc>
        <w:tc>
          <w:tcPr>
            <w:tcW w:w="1056" w:type="dxa"/>
            <w:tcBorders>
              <w:top w:val="nil"/>
              <w:left w:val="nil"/>
              <w:bottom w:val="nil"/>
              <w:right w:val="nil"/>
            </w:tcBorders>
          </w:tcPr>
          <w:p>
            <w:pPr>
              <w:pStyle w:val="TableParagraph"/>
              <w:spacing w:before="26"/>
              <w:ind w:right="67"/>
              <w:rPr>
                <w:sz w:val="20"/>
              </w:rPr>
            </w:pPr>
            <w:r>
              <w:rPr>
                <w:sz w:val="20"/>
              </w:rPr>
              <w:t>17</w:t>
            </w:r>
          </w:p>
        </w:tc>
        <w:tc>
          <w:tcPr>
            <w:tcW w:w="1056" w:type="dxa"/>
            <w:tcBorders>
              <w:top w:val="nil"/>
              <w:left w:val="nil"/>
              <w:bottom w:val="nil"/>
              <w:right w:val="nil"/>
            </w:tcBorders>
          </w:tcPr>
          <w:p>
            <w:pPr>
              <w:pStyle w:val="TableParagraph"/>
              <w:spacing w:before="26"/>
              <w:ind w:right="67"/>
              <w:rPr>
                <w:sz w:val="20"/>
              </w:rPr>
            </w:pPr>
            <w:r>
              <w:rPr>
                <w:sz w:val="20"/>
              </w:rPr>
              <w:t>16</w:t>
            </w:r>
          </w:p>
        </w:tc>
        <w:tc>
          <w:tcPr>
            <w:tcW w:w="1054" w:type="dxa"/>
            <w:tcBorders>
              <w:top w:val="nil"/>
              <w:left w:val="nil"/>
              <w:bottom w:val="nil"/>
              <w:right w:val="nil"/>
            </w:tcBorders>
          </w:tcPr>
          <w:p>
            <w:pPr>
              <w:pStyle w:val="TableParagraph"/>
              <w:spacing w:before="26"/>
              <w:ind w:right="65"/>
              <w:rPr>
                <w:sz w:val="20"/>
              </w:rPr>
            </w:pPr>
            <w:r>
              <w:rPr>
                <w:sz w:val="20"/>
              </w:rPr>
              <w:t>15</w:t>
            </w:r>
          </w:p>
        </w:tc>
      </w:tr>
      <w:tr>
        <w:trPr>
          <w:trHeight w:val="300" w:hRule="exact"/>
        </w:trPr>
        <w:tc>
          <w:tcPr>
            <w:tcW w:w="959" w:type="dxa"/>
            <w:tcBorders>
              <w:top w:val="nil"/>
              <w:left w:val="nil"/>
              <w:bottom w:val="nil"/>
              <w:right w:val="nil"/>
            </w:tcBorders>
          </w:tcPr>
          <w:p>
            <w:pPr>
              <w:pStyle w:val="TableParagraph"/>
              <w:ind w:left="86"/>
              <w:jc w:val="left"/>
              <w:rPr>
                <w:sz w:val="20"/>
              </w:rPr>
            </w:pPr>
            <w:r>
              <w:rPr>
                <w:sz w:val="20"/>
              </w:rPr>
              <w:t>11</w:t>
            </w:r>
          </w:p>
        </w:tc>
        <w:tc>
          <w:tcPr>
            <w:tcW w:w="867" w:type="dxa"/>
            <w:tcBorders>
              <w:top w:val="nil"/>
              <w:left w:val="nil"/>
              <w:bottom w:val="nil"/>
              <w:right w:val="nil"/>
            </w:tcBorders>
          </w:tcPr>
          <w:p>
            <w:pPr>
              <w:pStyle w:val="TableParagraph"/>
              <w:ind w:left="77"/>
              <w:jc w:val="left"/>
              <w:rPr>
                <w:sz w:val="20"/>
              </w:rPr>
            </w:pPr>
            <w:r>
              <w:rPr>
                <w:sz w:val="20"/>
              </w:rPr>
              <w:t>15001</w:t>
            </w:r>
          </w:p>
        </w:tc>
        <w:tc>
          <w:tcPr>
            <w:tcW w:w="992" w:type="dxa"/>
            <w:tcBorders>
              <w:top w:val="nil"/>
              <w:left w:val="nil"/>
              <w:bottom w:val="nil"/>
              <w:right w:val="nil"/>
            </w:tcBorders>
          </w:tcPr>
          <w:p>
            <w:pPr>
              <w:pStyle w:val="TableParagraph"/>
              <w:ind w:right="70"/>
              <w:rPr>
                <w:sz w:val="20"/>
              </w:rPr>
            </w:pPr>
            <w:r>
              <w:rPr>
                <w:sz w:val="20"/>
              </w:rPr>
              <w:t>16</w:t>
            </w:r>
          </w:p>
        </w:tc>
        <w:tc>
          <w:tcPr>
            <w:tcW w:w="977" w:type="dxa"/>
            <w:tcBorders>
              <w:top w:val="nil"/>
              <w:left w:val="nil"/>
              <w:bottom w:val="nil"/>
              <w:right w:val="nil"/>
            </w:tcBorders>
          </w:tcPr>
          <w:p>
            <w:pPr>
              <w:pStyle w:val="TableParagraph"/>
              <w:ind w:right="67"/>
              <w:rPr>
                <w:sz w:val="20"/>
              </w:rPr>
            </w:pPr>
            <w:r>
              <w:rPr>
                <w:sz w:val="20"/>
              </w:rPr>
              <w:t>19</w:t>
            </w:r>
          </w:p>
        </w:tc>
        <w:tc>
          <w:tcPr>
            <w:tcW w:w="975" w:type="dxa"/>
            <w:tcBorders>
              <w:top w:val="nil"/>
              <w:left w:val="nil"/>
              <w:bottom w:val="nil"/>
              <w:right w:val="nil"/>
            </w:tcBorders>
          </w:tcPr>
          <w:p>
            <w:pPr>
              <w:pStyle w:val="TableParagraph"/>
              <w:ind w:right="67"/>
              <w:rPr>
                <w:sz w:val="20"/>
              </w:rPr>
            </w:pPr>
            <w:r>
              <w:rPr>
                <w:sz w:val="20"/>
              </w:rPr>
              <w:t>20</w:t>
            </w:r>
          </w:p>
        </w:tc>
        <w:tc>
          <w:tcPr>
            <w:tcW w:w="977" w:type="dxa"/>
            <w:tcBorders>
              <w:top w:val="nil"/>
              <w:left w:val="nil"/>
              <w:bottom w:val="nil"/>
              <w:right w:val="nil"/>
            </w:tcBorders>
          </w:tcPr>
          <w:p>
            <w:pPr>
              <w:pStyle w:val="TableParagraph"/>
              <w:ind w:right="71"/>
              <w:rPr>
                <w:sz w:val="20"/>
              </w:rPr>
            </w:pPr>
            <w:r>
              <w:rPr>
                <w:sz w:val="20"/>
              </w:rPr>
              <w:t>19</w:t>
            </w:r>
          </w:p>
        </w:tc>
        <w:tc>
          <w:tcPr>
            <w:tcW w:w="977" w:type="dxa"/>
            <w:tcBorders>
              <w:top w:val="nil"/>
              <w:left w:val="nil"/>
              <w:bottom w:val="nil"/>
              <w:right w:val="nil"/>
            </w:tcBorders>
          </w:tcPr>
          <w:p>
            <w:pPr>
              <w:pStyle w:val="TableParagraph"/>
              <w:ind w:right="67"/>
              <w:rPr>
                <w:sz w:val="20"/>
              </w:rPr>
            </w:pPr>
            <w:r>
              <w:rPr>
                <w:sz w:val="20"/>
              </w:rPr>
              <w:t>20</w:t>
            </w:r>
          </w:p>
        </w:tc>
        <w:tc>
          <w:tcPr>
            <w:tcW w:w="975" w:type="dxa"/>
            <w:tcBorders>
              <w:top w:val="nil"/>
              <w:left w:val="nil"/>
              <w:bottom w:val="nil"/>
              <w:right w:val="nil"/>
            </w:tcBorders>
          </w:tcPr>
          <w:p>
            <w:pPr>
              <w:pStyle w:val="TableParagraph"/>
              <w:ind w:right="67"/>
              <w:rPr>
                <w:sz w:val="20"/>
              </w:rPr>
            </w:pPr>
            <w:r>
              <w:rPr>
                <w:sz w:val="20"/>
              </w:rPr>
              <w:t>19</w:t>
            </w:r>
          </w:p>
        </w:tc>
        <w:tc>
          <w:tcPr>
            <w:tcW w:w="977" w:type="dxa"/>
            <w:tcBorders>
              <w:top w:val="nil"/>
              <w:left w:val="nil"/>
              <w:bottom w:val="nil"/>
              <w:right w:val="nil"/>
            </w:tcBorders>
          </w:tcPr>
          <w:p>
            <w:pPr>
              <w:pStyle w:val="TableParagraph"/>
              <w:ind w:right="71"/>
              <w:rPr>
                <w:sz w:val="20"/>
              </w:rPr>
            </w:pPr>
            <w:r>
              <w:rPr>
                <w:sz w:val="20"/>
              </w:rPr>
              <w:t>19</w:t>
            </w:r>
          </w:p>
        </w:tc>
        <w:tc>
          <w:tcPr>
            <w:tcW w:w="977" w:type="dxa"/>
            <w:tcBorders>
              <w:top w:val="nil"/>
              <w:left w:val="nil"/>
              <w:bottom w:val="nil"/>
              <w:right w:val="nil"/>
            </w:tcBorders>
          </w:tcPr>
          <w:p>
            <w:pPr>
              <w:pStyle w:val="TableParagraph"/>
              <w:ind w:right="67"/>
              <w:rPr>
                <w:sz w:val="20"/>
              </w:rPr>
            </w:pPr>
            <w:r>
              <w:rPr>
                <w:sz w:val="20"/>
              </w:rPr>
              <w:t>19</w:t>
            </w:r>
          </w:p>
        </w:tc>
        <w:tc>
          <w:tcPr>
            <w:tcW w:w="975" w:type="dxa"/>
            <w:tcBorders>
              <w:top w:val="nil"/>
              <w:left w:val="nil"/>
              <w:bottom w:val="nil"/>
              <w:right w:val="nil"/>
            </w:tcBorders>
          </w:tcPr>
          <w:p>
            <w:pPr>
              <w:pStyle w:val="TableParagraph"/>
              <w:ind w:right="67"/>
              <w:rPr>
                <w:sz w:val="20"/>
              </w:rPr>
            </w:pPr>
            <w:r>
              <w:rPr>
                <w:sz w:val="20"/>
              </w:rPr>
              <w:t>17</w:t>
            </w:r>
          </w:p>
        </w:tc>
        <w:tc>
          <w:tcPr>
            <w:tcW w:w="1056" w:type="dxa"/>
            <w:tcBorders>
              <w:top w:val="nil"/>
              <w:left w:val="nil"/>
              <w:bottom w:val="nil"/>
              <w:right w:val="nil"/>
            </w:tcBorders>
          </w:tcPr>
          <w:p>
            <w:pPr>
              <w:pStyle w:val="TableParagraph"/>
              <w:ind w:right="67"/>
              <w:rPr>
                <w:sz w:val="20"/>
              </w:rPr>
            </w:pPr>
            <w:r>
              <w:rPr>
                <w:sz w:val="20"/>
              </w:rPr>
              <w:t>17</w:t>
            </w:r>
          </w:p>
        </w:tc>
        <w:tc>
          <w:tcPr>
            <w:tcW w:w="1056" w:type="dxa"/>
            <w:tcBorders>
              <w:top w:val="nil"/>
              <w:left w:val="nil"/>
              <w:bottom w:val="nil"/>
              <w:right w:val="nil"/>
            </w:tcBorders>
          </w:tcPr>
          <w:p>
            <w:pPr>
              <w:pStyle w:val="TableParagraph"/>
              <w:ind w:right="67"/>
              <w:rPr>
                <w:sz w:val="20"/>
              </w:rPr>
            </w:pPr>
            <w:r>
              <w:rPr>
                <w:sz w:val="20"/>
              </w:rPr>
              <w:t>16</w:t>
            </w:r>
          </w:p>
        </w:tc>
        <w:tc>
          <w:tcPr>
            <w:tcW w:w="1054" w:type="dxa"/>
            <w:tcBorders>
              <w:top w:val="nil"/>
              <w:left w:val="nil"/>
              <w:bottom w:val="nil"/>
              <w:right w:val="nil"/>
            </w:tcBorders>
          </w:tcPr>
          <w:p>
            <w:pPr>
              <w:pStyle w:val="TableParagraph"/>
              <w:ind w:right="65"/>
              <w:rPr>
                <w:sz w:val="20"/>
              </w:rPr>
            </w:pPr>
            <w:r>
              <w:rPr>
                <w:sz w:val="20"/>
              </w:rPr>
              <w:t>15</w:t>
            </w:r>
          </w:p>
        </w:tc>
      </w:tr>
      <w:tr>
        <w:trPr>
          <w:trHeight w:val="300" w:hRule="exact"/>
        </w:trPr>
        <w:tc>
          <w:tcPr>
            <w:tcW w:w="959" w:type="dxa"/>
            <w:tcBorders>
              <w:top w:val="nil"/>
              <w:left w:val="nil"/>
              <w:bottom w:val="nil"/>
              <w:right w:val="nil"/>
            </w:tcBorders>
          </w:tcPr>
          <w:p>
            <w:pPr>
              <w:pStyle w:val="TableParagraph"/>
              <w:spacing w:before="26"/>
              <w:ind w:left="86"/>
              <w:jc w:val="left"/>
              <w:rPr>
                <w:sz w:val="20"/>
              </w:rPr>
            </w:pPr>
            <w:r>
              <w:rPr>
                <w:sz w:val="20"/>
              </w:rPr>
              <w:t>12</w:t>
            </w:r>
          </w:p>
        </w:tc>
        <w:tc>
          <w:tcPr>
            <w:tcW w:w="867" w:type="dxa"/>
            <w:tcBorders>
              <w:top w:val="nil"/>
              <w:left w:val="nil"/>
              <w:bottom w:val="nil"/>
              <w:right w:val="nil"/>
            </w:tcBorders>
          </w:tcPr>
          <w:p>
            <w:pPr>
              <w:pStyle w:val="TableParagraph"/>
              <w:spacing w:before="26"/>
              <w:ind w:left="77"/>
              <w:jc w:val="left"/>
              <w:rPr>
                <w:sz w:val="20"/>
              </w:rPr>
            </w:pPr>
            <w:r>
              <w:rPr>
                <w:sz w:val="20"/>
              </w:rPr>
              <w:t>15001</w:t>
            </w:r>
          </w:p>
        </w:tc>
        <w:tc>
          <w:tcPr>
            <w:tcW w:w="992" w:type="dxa"/>
            <w:tcBorders>
              <w:top w:val="nil"/>
              <w:left w:val="nil"/>
              <w:bottom w:val="nil"/>
              <w:right w:val="nil"/>
            </w:tcBorders>
          </w:tcPr>
          <w:p>
            <w:pPr>
              <w:pStyle w:val="TableParagraph"/>
              <w:spacing w:before="26"/>
              <w:ind w:right="70"/>
              <w:rPr>
                <w:sz w:val="20"/>
              </w:rPr>
            </w:pPr>
            <w:r>
              <w:rPr>
                <w:sz w:val="20"/>
              </w:rPr>
              <w:t>16</w:t>
            </w:r>
          </w:p>
        </w:tc>
        <w:tc>
          <w:tcPr>
            <w:tcW w:w="977" w:type="dxa"/>
            <w:tcBorders>
              <w:top w:val="nil"/>
              <w:left w:val="nil"/>
              <w:bottom w:val="nil"/>
              <w:right w:val="nil"/>
            </w:tcBorders>
          </w:tcPr>
          <w:p>
            <w:pPr>
              <w:pStyle w:val="TableParagraph"/>
              <w:spacing w:before="26"/>
              <w:ind w:right="67"/>
              <w:rPr>
                <w:sz w:val="20"/>
              </w:rPr>
            </w:pPr>
            <w:r>
              <w:rPr>
                <w:sz w:val="20"/>
              </w:rPr>
              <w:t>19</w:t>
            </w:r>
          </w:p>
        </w:tc>
        <w:tc>
          <w:tcPr>
            <w:tcW w:w="975" w:type="dxa"/>
            <w:tcBorders>
              <w:top w:val="nil"/>
              <w:left w:val="nil"/>
              <w:bottom w:val="nil"/>
              <w:right w:val="nil"/>
            </w:tcBorders>
          </w:tcPr>
          <w:p>
            <w:pPr>
              <w:pStyle w:val="TableParagraph"/>
              <w:spacing w:before="26"/>
              <w:ind w:right="67"/>
              <w:rPr>
                <w:sz w:val="20"/>
              </w:rPr>
            </w:pPr>
            <w:r>
              <w:rPr>
                <w:sz w:val="20"/>
              </w:rPr>
              <w:t>20</w:t>
            </w:r>
          </w:p>
        </w:tc>
        <w:tc>
          <w:tcPr>
            <w:tcW w:w="977" w:type="dxa"/>
            <w:tcBorders>
              <w:top w:val="nil"/>
              <w:left w:val="nil"/>
              <w:bottom w:val="nil"/>
              <w:right w:val="nil"/>
            </w:tcBorders>
          </w:tcPr>
          <w:p>
            <w:pPr>
              <w:pStyle w:val="TableParagraph"/>
              <w:spacing w:before="26"/>
              <w:ind w:right="71"/>
              <w:rPr>
                <w:sz w:val="20"/>
              </w:rPr>
            </w:pPr>
            <w:r>
              <w:rPr>
                <w:sz w:val="20"/>
              </w:rPr>
              <w:t>19</w:t>
            </w:r>
          </w:p>
        </w:tc>
        <w:tc>
          <w:tcPr>
            <w:tcW w:w="977" w:type="dxa"/>
            <w:tcBorders>
              <w:top w:val="nil"/>
              <w:left w:val="nil"/>
              <w:bottom w:val="nil"/>
              <w:right w:val="nil"/>
            </w:tcBorders>
          </w:tcPr>
          <w:p>
            <w:pPr>
              <w:pStyle w:val="TableParagraph"/>
              <w:spacing w:before="26"/>
              <w:ind w:right="67"/>
              <w:rPr>
                <w:sz w:val="20"/>
              </w:rPr>
            </w:pPr>
            <w:r>
              <w:rPr>
                <w:sz w:val="20"/>
              </w:rPr>
              <w:t>20</w:t>
            </w:r>
          </w:p>
        </w:tc>
        <w:tc>
          <w:tcPr>
            <w:tcW w:w="975" w:type="dxa"/>
            <w:tcBorders>
              <w:top w:val="nil"/>
              <w:left w:val="nil"/>
              <w:bottom w:val="nil"/>
              <w:right w:val="nil"/>
            </w:tcBorders>
          </w:tcPr>
          <w:p>
            <w:pPr>
              <w:pStyle w:val="TableParagraph"/>
              <w:spacing w:before="26"/>
              <w:ind w:right="67"/>
              <w:rPr>
                <w:sz w:val="20"/>
              </w:rPr>
            </w:pPr>
            <w:r>
              <w:rPr>
                <w:sz w:val="20"/>
              </w:rPr>
              <w:t>19</w:t>
            </w:r>
          </w:p>
        </w:tc>
        <w:tc>
          <w:tcPr>
            <w:tcW w:w="977" w:type="dxa"/>
            <w:tcBorders>
              <w:top w:val="nil"/>
              <w:left w:val="nil"/>
              <w:bottom w:val="nil"/>
              <w:right w:val="nil"/>
            </w:tcBorders>
          </w:tcPr>
          <w:p>
            <w:pPr>
              <w:pStyle w:val="TableParagraph"/>
              <w:spacing w:before="26"/>
              <w:ind w:right="71"/>
              <w:rPr>
                <w:sz w:val="20"/>
              </w:rPr>
            </w:pPr>
            <w:r>
              <w:rPr>
                <w:sz w:val="20"/>
              </w:rPr>
              <w:t>19</w:t>
            </w:r>
          </w:p>
        </w:tc>
        <w:tc>
          <w:tcPr>
            <w:tcW w:w="977" w:type="dxa"/>
            <w:tcBorders>
              <w:top w:val="nil"/>
              <w:left w:val="nil"/>
              <w:bottom w:val="nil"/>
              <w:right w:val="nil"/>
            </w:tcBorders>
          </w:tcPr>
          <w:p>
            <w:pPr>
              <w:pStyle w:val="TableParagraph"/>
              <w:spacing w:before="26"/>
              <w:ind w:right="67"/>
              <w:rPr>
                <w:sz w:val="20"/>
              </w:rPr>
            </w:pPr>
            <w:r>
              <w:rPr>
                <w:sz w:val="20"/>
              </w:rPr>
              <w:t>19</w:t>
            </w:r>
          </w:p>
        </w:tc>
        <w:tc>
          <w:tcPr>
            <w:tcW w:w="975" w:type="dxa"/>
            <w:tcBorders>
              <w:top w:val="nil"/>
              <w:left w:val="nil"/>
              <w:bottom w:val="nil"/>
              <w:right w:val="nil"/>
            </w:tcBorders>
          </w:tcPr>
          <w:p>
            <w:pPr>
              <w:pStyle w:val="TableParagraph"/>
              <w:spacing w:before="26"/>
              <w:ind w:right="67"/>
              <w:rPr>
                <w:sz w:val="20"/>
              </w:rPr>
            </w:pPr>
            <w:r>
              <w:rPr>
                <w:sz w:val="20"/>
              </w:rPr>
              <w:t>17</w:t>
            </w:r>
          </w:p>
        </w:tc>
        <w:tc>
          <w:tcPr>
            <w:tcW w:w="1056" w:type="dxa"/>
            <w:tcBorders>
              <w:top w:val="nil"/>
              <w:left w:val="nil"/>
              <w:bottom w:val="nil"/>
              <w:right w:val="nil"/>
            </w:tcBorders>
          </w:tcPr>
          <w:p>
            <w:pPr>
              <w:pStyle w:val="TableParagraph"/>
              <w:spacing w:before="26"/>
              <w:ind w:right="67"/>
              <w:rPr>
                <w:sz w:val="20"/>
              </w:rPr>
            </w:pPr>
            <w:r>
              <w:rPr>
                <w:sz w:val="20"/>
              </w:rPr>
              <w:t>17</w:t>
            </w:r>
          </w:p>
        </w:tc>
        <w:tc>
          <w:tcPr>
            <w:tcW w:w="1056" w:type="dxa"/>
            <w:tcBorders>
              <w:top w:val="nil"/>
              <w:left w:val="nil"/>
              <w:bottom w:val="nil"/>
              <w:right w:val="nil"/>
            </w:tcBorders>
          </w:tcPr>
          <w:p>
            <w:pPr>
              <w:pStyle w:val="TableParagraph"/>
              <w:spacing w:before="26"/>
              <w:ind w:right="67"/>
              <w:rPr>
                <w:sz w:val="20"/>
              </w:rPr>
            </w:pPr>
            <w:r>
              <w:rPr>
                <w:sz w:val="20"/>
              </w:rPr>
              <w:t>16</w:t>
            </w:r>
          </w:p>
        </w:tc>
        <w:tc>
          <w:tcPr>
            <w:tcW w:w="1054" w:type="dxa"/>
            <w:tcBorders>
              <w:top w:val="nil"/>
              <w:left w:val="nil"/>
              <w:bottom w:val="nil"/>
              <w:right w:val="nil"/>
            </w:tcBorders>
          </w:tcPr>
          <w:p>
            <w:pPr>
              <w:pStyle w:val="TableParagraph"/>
              <w:spacing w:before="26"/>
              <w:ind w:right="65"/>
              <w:rPr>
                <w:sz w:val="20"/>
              </w:rPr>
            </w:pPr>
            <w:r>
              <w:rPr>
                <w:sz w:val="20"/>
              </w:rPr>
              <w:t>15</w:t>
            </w:r>
          </w:p>
        </w:tc>
      </w:tr>
      <w:tr>
        <w:trPr>
          <w:trHeight w:val="300" w:hRule="exact"/>
        </w:trPr>
        <w:tc>
          <w:tcPr>
            <w:tcW w:w="959" w:type="dxa"/>
            <w:tcBorders>
              <w:top w:val="nil"/>
              <w:left w:val="nil"/>
              <w:bottom w:val="nil"/>
              <w:right w:val="nil"/>
            </w:tcBorders>
          </w:tcPr>
          <w:p>
            <w:pPr>
              <w:pStyle w:val="TableParagraph"/>
              <w:spacing w:before="24"/>
              <w:ind w:left="86"/>
              <w:jc w:val="left"/>
              <w:rPr>
                <w:sz w:val="20"/>
              </w:rPr>
            </w:pPr>
            <w:r>
              <w:rPr>
                <w:sz w:val="20"/>
              </w:rPr>
              <w:t>13</w:t>
            </w:r>
          </w:p>
        </w:tc>
        <w:tc>
          <w:tcPr>
            <w:tcW w:w="867" w:type="dxa"/>
            <w:tcBorders>
              <w:top w:val="nil"/>
              <w:left w:val="nil"/>
              <w:bottom w:val="nil"/>
              <w:right w:val="nil"/>
            </w:tcBorders>
          </w:tcPr>
          <w:p>
            <w:pPr>
              <w:pStyle w:val="TableParagraph"/>
              <w:spacing w:before="24"/>
              <w:ind w:left="77"/>
              <w:jc w:val="left"/>
              <w:rPr>
                <w:sz w:val="20"/>
              </w:rPr>
            </w:pPr>
            <w:r>
              <w:rPr>
                <w:sz w:val="20"/>
              </w:rPr>
              <w:t>15001</w:t>
            </w:r>
          </w:p>
        </w:tc>
        <w:tc>
          <w:tcPr>
            <w:tcW w:w="992" w:type="dxa"/>
            <w:tcBorders>
              <w:top w:val="nil"/>
              <w:left w:val="nil"/>
              <w:bottom w:val="nil"/>
              <w:right w:val="nil"/>
            </w:tcBorders>
          </w:tcPr>
          <w:p>
            <w:pPr>
              <w:pStyle w:val="TableParagraph"/>
              <w:spacing w:before="24"/>
              <w:ind w:right="70"/>
              <w:rPr>
                <w:sz w:val="20"/>
              </w:rPr>
            </w:pPr>
            <w:r>
              <w:rPr>
                <w:sz w:val="20"/>
              </w:rPr>
              <w:t>16</w:t>
            </w:r>
          </w:p>
        </w:tc>
        <w:tc>
          <w:tcPr>
            <w:tcW w:w="977" w:type="dxa"/>
            <w:tcBorders>
              <w:top w:val="nil"/>
              <w:left w:val="nil"/>
              <w:bottom w:val="nil"/>
              <w:right w:val="nil"/>
            </w:tcBorders>
          </w:tcPr>
          <w:p>
            <w:pPr>
              <w:pStyle w:val="TableParagraph"/>
              <w:spacing w:before="24"/>
              <w:ind w:right="67"/>
              <w:rPr>
                <w:sz w:val="20"/>
              </w:rPr>
            </w:pPr>
            <w:r>
              <w:rPr>
                <w:sz w:val="20"/>
              </w:rPr>
              <w:t>19</w:t>
            </w:r>
          </w:p>
        </w:tc>
        <w:tc>
          <w:tcPr>
            <w:tcW w:w="975" w:type="dxa"/>
            <w:tcBorders>
              <w:top w:val="nil"/>
              <w:left w:val="nil"/>
              <w:bottom w:val="nil"/>
              <w:right w:val="nil"/>
            </w:tcBorders>
          </w:tcPr>
          <w:p>
            <w:pPr>
              <w:pStyle w:val="TableParagraph"/>
              <w:spacing w:before="24"/>
              <w:ind w:right="67"/>
              <w:rPr>
                <w:sz w:val="20"/>
              </w:rPr>
            </w:pPr>
            <w:r>
              <w:rPr>
                <w:sz w:val="20"/>
              </w:rPr>
              <w:t>20</w:t>
            </w:r>
          </w:p>
        </w:tc>
        <w:tc>
          <w:tcPr>
            <w:tcW w:w="977" w:type="dxa"/>
            <w:tcBorders>
              <w:top w:val="nil"/>
              <w:left w:val="nil"/>
              <w:bottom w:val="nil"/>
              <w:right w:val="nil"/>
            </w:tcBorders>
          </w:tcPr>
          <w:p>
            <w:pPr>
              <w:pStyle w:val="TableParagraph"/>
              <w:spacing w:before="24"/>
              <w:ind w:right="71"/>
              <w:rPr>
                <w:sz w:val="20"/>
              </w:rPr>
            </w:pPr>
            <w:r>
              <w:rPr>
                <w:sz w:val="20"/>
              </w:rPr>
              <w:t>19</w:t>
            </w:r>
          </w:p>
        </w:tc>
        <w:tc>
          <w:tcPr>
            <w:tcW w:w="977" w:type="dxa"/>
            <w:tcBorders>
              <w:top w:val="nil"/>
              <w:left w:val="nil"/>
              <w:bottom w:val="nil"/>
              <w:right w:val="nil"/>
            </w:tcBorders>
          </w:tcPr>
          <w:p>
            <w:pPr>
              <w:pStyle w:val="TableParagraph"/>
              <w:spacing w:before="24"/>
              <w:ind w:right="67"/>
              <w:rPr>
                <w:sz w:val="20"/>
              </w:rPr>
            </w:pPr>
            <w:r>
              <w:rPr>
                <w:sz w:val="20"/>
              </w:rPr>
              <w:t>20</w:t>
            </w:r>
          </w:p>
        </w:tc>
        <w:tc>
          <w:tcPr>
            <w:tcW w:w="975" w:type="dxa"/>
            <w:tcBorders>
              <w:top w:val="nil"/>
              <w:left w:val="nil"/>
              <w:bottom w:val="nil"/>
              <w:right w:val="nil"/>
            </w:tcBorders>
          </w:tcPr>
          <w:p>
            <w:pPr>
              <w:pStyle w:val="TableParagraph"/>
              <w:spacing w:before="24"/>
              <w:ind w:right="67"/>
              <w:rPr>
                <w:sz w:val="20"/>
              </w:rPr>
            </w:pPr>
            <w:r>
              <w:rPr>
                <w:sz w:val="20"/>
              </w:rPr>
              <w:t>19</w:t>
            </w:r>
          </w:p>
        </w:tc>
        <w:tc>
          <w:tcPr>
            <w:tcW w:w="977" w:type="dxa"/>
            <w:tcBorders>
              <w:top w:val="nil"/>
              <w:left w:val="nil"/>
              <w:bottom w:val="nil"/>
              <w:right w:val="nil"/>
            </w:tcBorders>
          </w:tcPr>
          <w:p>
            <w:pPr>
              <w:pStyle w:val="TableParagraph"/>
              <w:spacing w:before="24"/>
              <w:ind w:right="71"/>
              <w:rPr>
                <w:sz w:val="20"/>
              </w:rPr>
            </w:pPr>
            <w:r>
              <w:rPr>
                <w:sz w:val="20"/>
              </w:rPr>
              <w:t>19</w:t>
            </w:r>
          </w:p>
        </w:tc>
        <w:tc>
          <w:tcPr>
            <w:tcW w:w="977" w:type="dxa"/>
            <w:tcBorders>
              <w:top w:val="nil"/>
              <w:left w:val="nil"/>
              <w:bottom w:val="nil"/>
              <w:right w:val="nil"/>
            </w:tcBorders>
          </w:tcPr>
          <w:p>
            <w:pPr>
              <w:pStyle w:val="TableParagraph"/>
              <w:spacing w:before="24"/>
              <w:ind w:right="67"/>
              <w:rPr>
                <w:sz w:val="20"/>
              </w:rPr>
            </w:pPr>
            <w:r>
              <w:rPr>
                <w:sz w:val="20"/>
              </w:rPr>
              <w:t>19</w:t>
            </w:r>
          </w:p>
        </w:tc>
        <w:tc>
          <w:tcPr>
            <w:tcW w:w="975" w:type="dxa"/>
            <w:tcBorders>
              <w:top w:val="nil"/>
              <w:left w:val="nil"/>
              <w:bottom w:val="nil"/>
              <w:right w:val="nil"/>
            </w:tcBorders>
          </w:tcPr>
          <w:p>
            <w:pPr>
              <w:pStyle w:val="TableParagraph"/>
              <w:spacing w:before="24"/>
              <w:ind w:right="67"/>
              <w:rPr>
                <w:sz w:val="20"/>
              </w:rPr>
            </w:pPr>
            <w:r>
              <w:rPr>
                <w:sz w:val="20"/>
              </w:rPr>
              <w:t>17</w:t>
            </w:r>
          </w:p>
        </w:tc>
        <w:tc>
          <w:tcPr>
            <w:tcW w:w="1056" w:type="dxa"/>
            <w:tcBorders>
              <w:top w:val="nil"/>
              <w:left w:val="nil"/>
              <w:bottom w:val="nil"/>
              <w:right w:val="nil"/>
            </w:tcBorders>
          </w:tcPr>
          <w:p>
            <w:pPr>
              <w:pStyle w:val="TableParagraph"/>
              <w:spacing w:before="24"/>
              <w:ind w:right="67"/>
              <w:rPr>
                <w:sz w:val="20"/>
              </w:rPr>
            </w:pPr>
            <w:r>
              <w:rPr>
                <w:sz w:val="20"/>
              </w:rPr>
              <w:t>17</w:t>
            </w:r>
          </w:p>
        </w:tc>
        <w:tc>
          <w:tcPr>
            <w:tcW w:w="1056" w:type="dxa"/>
            <w:tcBorders>
              <w:top w:val="nil"/>
              <w:left w:val="nil"/>
              <w:bottom w:val="nil"/>
              <w:right w:val="nil"/>
            </w:tcBorders>
          </w:tcPr>
          <w:p>
            <w:pPr>
              <w:pStyle w:val="TableParagraph"/>
              <w:spacing w:before="24"/>
              <w:ind w:right="67"/>
              <w:rPr>
                <w:sz w:val="20"/>
              </w:rPr>
            </w:pPr>
            <w:r>
              <w:rPr>
                <w:sz w:val="20"/>
              </w:rPr>
              <w:t>16</w:t>
            </w:r>
          </w:p>
        </w:tc>
        <w:tc>
          <w:tcPr>
            <w:tcW w:w="1054" w:type="dxa"/>
            <w:tcBorders>
              <w:top w:val="nil"/>
              <w:left w:val="nil"/>
              <w:bottom w:val="nil"/>
              <w:right w:val="nil"/>
            </w:tcBorders>
          </w:tcPr>
          <w:p>
            <w:pPr>
              <w:pStyle w:val="TableParagraph"/>
              <w:spacing w:before="24"/>
              <w:ind w:right="65"/>
              <w:rPr>
                <w:sz w:val="20"/>
              </w:rPr>
            </w:pPr>
            <w:r>
              <w:rPr>
                <w:sz w:val="20"/>
              </w:rPr>
              <w:t>15</w:t>
            </w:r>
          </w:p>
        </w:tc>
      </w:tr>
      <w:tr>
        <w:trPr>
          <w:trHeight w:val="300" w:hRule="exact"/>
        </w:trPr>
        <w:tc>
          <w:tcPr>
            <w:tcW w:w="959" w:type="dxa"/>
            <w:tcBorders>
              <w:top w:val="nil"/>
              <w:left w:val="nil"/>
              <w:bottom w:val="nil"/>
              <w:right w:val="nil"/>
            </w:tcBorders>
          </w:tcPr>
          <w:p>
            <w:pPr>
              <w:pStyle w:val="TableParagraph"/>
              <w:spacing w:before="26"/>
              <w:ind w:left="86"/>
              <w:jc w:val="left"/>
              <w:rPr>
                <w:sz w:val="20"/>
              </w:rPr>
            </w:pPr>
            <w:r>
              <w:rPr>
                <w:sz w:val="20"/>
              </w:rPr>
              <w:t>14</w:t>
            </w:r>
          </w:p>
        </w:tc>
        <w:tc>
          <w:tcPr>
            <w:tcW w:w="867" w:type="dxa"/>
            <w:tcBorders>
              <w:top w:val="nil"/>
              <w:left w:val="nil"/>
              <w:bottom w:val="nil"/>
              <w:right w:val="nil"/>
            </w:tcBorders>
          </w:tcPr>
          <w:p>
            <w:pPr>
              <w:pStyle w:val="TableParagraph"/>
              <w:spacing w:before="26"/>
              <w:ind w:left="77"/>
              <w:jc w:val="left"/>
              <w:rPr>
                <w:sz w:val="20"/>
              </w:rPr>
            </w:pPr>
            <w:r>
              <w:rPr>
                <w:sz w:val="20"/>
              </w:rPr>
              <w:t>15001</w:t>
            </w:r>
          </w:p>
        </w:tc>
        <w:tc>
          <w:tcPr>
            <w:tcW w:w="992" w:type="dxa"/>
            <w:tcBorders>
              <w:top w:val="nil"/>
              <w:left w:val="nil"/>
              <w:bottom w:val="nil"/>
              <w:right w:val="nil"/>
            </w:tcBorders>
          </w:tcPr>
          <w:p>
            <w:pPr>
              <w:pStyle w:val="TableParagraph"/>
              <w:spacing w:before="26"/>
              <w:ind w:right="70"/>
              <w:rPr>
                <w:sz w:val="20"/>
              </w:rPr>
            </w:pPr>
            <w:r>
              <w:rPr>
                <w:sz w:val="20"/>
              </w:rPr>
              <w:t>16</w:t>
            </w:r>
          </w:p>
        </w:tc>
        <w:tc>
          <w:tcPr>
            <w:tcW w:w="977" w:type="dxa"/>
            <w:tcBorders>
              <w:top w:val="nil"/>
              <w:left w:val="nil"/>
              <w:bottom w:val="nil"/>
              <w:right w:val="nil"/>
            </w:tcBorders>
          </w:tcPr>
          <w:p>
            <w:pPr>
              <w:pStyle w:val="TableParagraph"/>
              <w:spacing w:before="26"/>
              <w:ind w:right="67"/>
              <w:rPr>
                <w:sz w:val="20"/>
              </w:rPr>
            </w:pPr>
            <w:r>
              <w:rPr>
                <w:sz w:val="20"/>
              </w:rPr>
              <w:t>19</w:t>
            </w:r>
          </w:p>
        </w:tc>
        <w:tc>
          <w:tcPr>
            <w:tcW w:w="975" w:type="dxa"/>
            <w:tcBorders>
              <w:top w:val="nil"/>
              <w:left w:val="nil"/>
              <w:bottom w:val="nil"/>
              <w:right w:val="nil"/>
            </w:tcBorders>
          </w:tcPr>
          <w:p>
            <w:pPr>
              <w:pStyle w:val="TableParagraph"/>
              <w:spacing w:before="26"/>
              <w:ind w:right="67"/>
              <w:rPr>
                <w:sz w:val="20"/>
              </w:rPr>
            </w:pPr>
            <w:r>
              <w:rPr>
                <w:sz w:val="20"/>
              </w:rPr>
              <w:t>20</w:t>
            </w:r>
          </w:p>
        </w:tc>
        <w:tc>
          <w:tcPr>
            <w:tcW w:w="977" w:type="dxa"/>
            <w:tcBorders>
              <w:top w:val="nil"/>
              <w:left w:val="nil"/>
              <w:bottom w:val="nil"/>
              <w:right w:val="nil"/>
            </w:tcBorders>
          </w:tcPr>
          <w:p>
            <w:pPr>
              <w:pStyle w:val="TableParagraph"/>
              <w:spacing w:before="26"/>
              <w:ind w:right="71"/>
              <w:rPr>
                <w:sz w:val="20"/>
              </w:rPr>
            </w:pPr>
            <w:r>
              <w:rPr>
                <w:sz w:val="20"/>
              </w:rPr>
              <w:t>19</w:t>
            </w:r>
          </w:p>
        </w:tc>
        <w:tc>
          <w:tcPr>
            <w:tcW w:w="977" w:type="dxa"/>
            <w:tcBorders>
              <w:top w:val="nil"/>
              <w:left w:val="nil"/>
              <w:bottom w:val="nil"/>
              <w:right w:val="nil"/>
            </w:tcBorders>
          </w:tcPr>
          <w:p>
            <w:pPr>
              <w:pStyle w:val="TableParagraph"/>
              <w:spacing w:before="26"/>
              <w:ind w:right="67"/>
              <w:rPr>
                <w:sz w:val="20"/>
              </w:rPr>
            </w:pPr>
            <w:r>
              <w:rPr>
                <w:sz w:val="20"/>
              </w:rPr>
              <w:t>20</w:t>
            </w:r>
          </w:p>
        </w:tc>
        <w:tc>
          <w:tcPr>
            <w:tcW w:w="975" w:type="dxa"/>
            <w:tcBorders>
              <w:top w:val="nil"/>
              <w:left w:val="nil"/>
              <w:bottom w:val="nil"/>
              <w:right w:val="nil"/>
            </w:tcBorders>
          </w:tcPr>
          <w:p>
            <w:pPr>
              <w:pStyle w:val="TableParagraph"/>
              <w:spacing w:before="26"/>
              <w:ind w:right="67"/>
              <w:rPr>
                <w:sz w:val="20"/>
              </w:rPr>
            </w:pPr>
            <w:r>
              <w:rPr>
                <w:sz w:val="20"/>
              </w:rPr>
              <w:t>19</w:t>
            </w:r>
          </w:p>
        </w:tc>
        <w:tc>
          <w:tcPr>
            <w:tcW w:w="977" w:type="dxa"/>
            <w:tcBorders>
              <w:top w:val="nil"/>
              <w:left w:val="nil"/>
              <w:bottom w:val="nil"/>
              <w:right w:val="nil"/>
            </w:tcBorders>
          </w:tcPr>
          <w:p>
            <w:pPr>
              <w:pStyle w:val="TableParagraph"/>
              <w:spacing w:before="26"/>
              <w:ind w:right="71"/>
              <w:rPr>
                <w:sz w:val="20"/>
              </w:rPr>
            </w:pPr>
            <w:r>
              <w:rPr>
                <w:sz w:val="20"/>
              </w:rPr>
              <w:t>19</w:t>
            </w:r>
          </w:p>
        </w:tc>
        <w:tc>
          <w:tcPr>
            <w:tcW w:w="977" w:type="dxa"/>
            <w:tcBorders>
              <w:top w:val="nil"/>
              <w:left w:val="nil"/>
              <w:bottom w:val="nil"/>
              <w:right w:val="nil"/>
            </w:tcBorders>
          </w:tcPr>
          <w:p>
            <w:pPr>
              <w:pStyle w:val="TableParagraph"/>
              <w:spacing w:before="26"/>
              <w:ind w:right="67"/>
              <w:rPr>
                <w:sz w:val="20"/>
              </w:rPr>
            </w:pPr>
            <w:r>
              <w:rPr>
                <w:sz w:val="20"/>
              </w:rPr>
              <w:t>19</w:t>
            </w:r>
          </w:p>
        </w:tc>
        <w:tc>
          <w:tcPr>
            <w:tcW w:w="975" w:type="dxa"/>
            <w:tcBorders>
              <w:top w:val="nil"/>
              <w:left w:val="nil"/>
              <w:bottom w:val="nil"/>
              <w:right w:val="nil"/>
            </w:tcBorders>
          </w:tcPr>
          <w:p>
            <w:pPr>
              <w:pStyle w:val="TableParagraph"/>
              <w:spacing w:before="26"/>
              <w:ind w:right="67"/>
              <w:rPr>
                <w:sz w:val="20"/>
              </w:rPr>
            </w:pPr>
            <w:r>
              <w:rPr>
                <w:sz w:val="20"/>
              </w:rPr>
              <w:t>17</w:t>
            </w:r>
          </w:p>
        </w:tc>
        <w:tc>
          <w:tcPr>
            <w:tcW w:w="1056" w:type="dxa"/>
            <w:tcBorders>
              <w:top w:val="nil"/>
              <w:left w:val="nil"/>
              <w:bottom w:val="nil"/>
              <w:right w:val="nil"/>
            </w:tcBorders>
          </w:tcPr>
          <w:p>
            <w:pPr>
              <w:pStyle w:val="TableParagraph"/>
              <w:spacing w:before="26"/>
              <w:ind w:right="67"/>
              <w:rPr>
                <w:sz w:val="20"/>
              </w:rPr>
            </w:pPr>
            <w:r>
              <w:rPr>
                <w:sz w:val="20"/>
              </w:rPr>
              <w:t>17</w:t>
            </w:r>
          </w:p>
        </w:tc>
        <w:tc>
          <w:tcPr>
            <w:tcW w:w="1056" w:type="dxa"/>
            <w:tcBorders>
              <w:top w:val="nil"/>
              <w:left w:val="nil"/>
              <w:bottom w:val="nil"/>
              <w:right w:val="nil"/>
            </w:tcBorders>
          </w:tcPr>
          <w:p>
            <w:pPr>
              <w:pStyle w:val="TableParagraph"/>
              <w:spacing w:before="26"/>
              <w:ind w:right="67"/>
              <w:rPr>
                <w:sz w:val="20"/>
              </w:rPr>
            </w:pPr>
            <w:r>
              <w:rPr>
                <w:sz w:val="20"/>
              </w:rPr>
              <w:t>16</w:t>
            </w:r>
          </w:p>
        </w:tc>
        <w:tc>
          <w:tcPr>
            <w:tcW w:w="1054" w:type="dxa"/>
            <w:tcBorders>
              <w:top w:val="nil"/>
              <w:left w:val="nil"/>
              <w:bottom w:val="nil"/>
              <w:right w:val="nil"/>
            </w:tcBorders>
          </w:tcPr>
          <w:p>
            <w:pPr>
              <w:pStyle w:val="TableParagraph"/>
              <w:spacing w:before="26"/>
              <w:ind w:right="65"/>
              <w:rPr>
                <w:sz w:val="20"/>
              </w:rPr>
            </w:pPr>
            <w:r>
              <w:rPr>
                <w:sz w:val="20"/>
              </w:rPr>
              <w:t>15</w:t>
            </w:r>
          </w:p>
        </w:tc>
      </w:tr>
      <w:tr>
        <w:trPr>
          <w:trHeight w:val="300" w:hRule="exact"/>
        </w:trPr>
        <w:tc>
          <w:tcPr>
            <w:tcW w:w="959" w:type="dxa"/>
            <w:tcBorders>
              <w:top w:val="nil"/>
              <w:left w:val="nil"/>
              <w:bottom w:val="nil"/>
              <w:right w:val="nil"/>
            </w:tcBorders>
          </w:tcPr>
          <w:p>
            <w:pPr>
              <w:pStyle w:val="TableParagraph"/>
              <w:ind w:left="86"/>
              <w:jc w:val="left"/>
              <w:rPr>
                <w:sz w:val="20"/>
              </w:rPr>
            </w:pPr>
            <w:r>
              <w:rPr>
                <w:sz w:val="20"/>
              </w:rPr>
              <w:t>15</w:t>
            </w:r>
          </w:p>
        </w:tc>
        <w:tc>
          <w:tcPr>
            <w:tcW w:w="867" w:type="dxa"/>
            <w:tcBorders>
              <w:top w:val="nil"/>
              <w:left w:val="nil"/>
              <w:bottom w:val="nil"/>
              <w:right w:val="nil"/>
            </w:tcBorders>
          </w:tcPr>
          <w:p>
            <w:pPr>
              <w:pStyle w:val="TableParagraph"/>
              <w:ind w:left="77"/>
              <w:jc w:val="left"/>
              <w:rPr>
                <w:sz w:val="20"/>
              </w:rPr>
            </w:pPr>
            <w:r>
              <w:rPr>
                <w:sz w:val="20"/>
              </w:rPr>
              <w:t>15001</w:t>
            </w:r>
          </w:p>
        </w:tc>
        <w:tc>
          <w:tcPr>
            <w:tcW w:w="992" w:type="dxa"/>
            <w:tcBorders>
              <w:top w:val="nil"/>
              <w:left w:val="nil"/>
              <w:bottom w:val="nil"/>
              <w:right w:val="nil"/>
            </w:tcBorders>
          </w:tcPr>
          <w:p>
            <w:pPr>
              <w:pStyle w:val="TableParagraph"/>
              <w:ind w:right="70"/>
              <w:rPr>
                <w:sz w:val="20"/>
              </w:rPr>
            </w:pPr>
            <w:r>
              <w:rPr>
                <w:sz w:val="20"/>
              </w:rPr>
              <w:t>16</w:t>
            </w:r>
          </w:p>
        </w:tc>
        <w:tc>
          <w:tcPr>
            <w:tcW w:w="977" w:type="dxa"/>
            <w:tcBorders>
              <w:top w:val="nil"/>
              <w:left w:val="nil"/>
              <w:bottom w:val="nil"/>
              <w:right w:val="nil"/>
            </w:tcBorders>
          </w:tcPr>
          <w:p>
            <w:pPr>
              <w:pStyle w:val="TableParagraph"/>
              <w:ind w:right="67"/>
              <w:rPr>
                <w:sz w:val="20"/>
              </w:rPr>
            </w:pPr>
            <w:r>
              <w:rPr>
                <w:sz w:val="20"/>
              </w:rPr>
              <w:t>19</w:t>
            </w:r>
          </w:p>
        </w:tc>
        <w:tc>
          <w:tcPr>
            <w:tcW w:w="975" w:type="dxa"/>
            <w:tcBorders>
              <w:top w:val="nil"/>
              <w:left w:val="nil"/>
              <w:bottom w:val="nil"/>
              <w:right w:val="nil"/>
            </w:tcBorders>
          </w:tcPr>
          <w:p>
            <w:pPr>
              <w:pStyle w:val="TableParagraph"/>
              <w:ind w:right="67"/>
              <w:rPr>
                <w:sz w:val="20"/>
              </w:rPr>
            </w:pPr>
            <w:r>
              <w:rPr>
                <w:sz w:val="20"/>
              </w:rPr>
              <w:t>20</w:t>
            </w:r>
          </w:p>
        </w:tc>
        <w:tc>
          <w:tcPr>
            <w:tcW w:w="977" w:type="dxa"/>
            <w:tcBorders>
              <w:top w:val="nil"/>
              <w:left w:val="nil"/>
              <w:bottom w:val="nil"/>
              <w:right w:val="nil"/>
            </w:tcBorders>
          </w:tcPr>
          <w:p>
            <w:pPr>
              <w:pStyle w:val="TableParagraph"/>
              <w:ind w:right="71"/>
              <w:rPr>
                <w:sz w:val="20"/>
              </w:rPr>
            </w:pPr>
            <w:r>
              <w:rPr>
                <w:sz w:val="20"/>
              </w:rPr>
              <w:t>19</w:t>
            </w:r>
          </w:p>
        </w:tc>
        <w:tc>
          <w:tcPr>
            <w:tcW w:w="977" w:type="dxa"/>
            <w:tcBorders>
              <w:top w:val="nil"/>
              <w:left w:val="nil"/>
              <w:bottom w:val="nil"/>
              <w:right w:val="nil"/>
            </w:tcBorders>
          </w:tcPr>
          <w:p>
            <w:pPr>
              <w:pStyle w:val="TableParagraph"/>
              <w:ind w:right="67"/>
              <w:rPr>
                <w:sz w:val="20"/>
              </w:rPr>
            </w:pPr>
            <w:r>
              <w:rPr>
                <w:sz w:val="20"/>
              </w:rPr>
              <w:t>20</w:t>
            </w:r>
          </w:p>
        </w:tc>
        <w:tc>
          <w:tcPr>
            <w:tcW w:w="975" w:type="dxa"/>
            <w:tcBorders>
              <w:top w:val="nil"/>
              <w:left w:val="nil"/>
              <w:bottom w:val="nil"/>
              <w:right w:val="nil"/>
            </w:tcBorders>
          </w:tcPr>
          <w:p>
            <w:pPr>
              <w:pStyle w:val="TableParagraph"/>
              <w:ind w:right="67"/>
              <w:rPr>
                <w:sz w:val="20"/>
              </w:rPr>
            </w:pPr>
            <w:r>
              <w:rPr>
                <w:sz w:val="20"/>
              </w:rPr>
              <w:t>19</w:t>
            </w:r>
          </w:p>
        </w:tc>
        <w:tc>
          <w:tcPr>
            <w:tcW w:w="977" w:type="dxa"/>
            <w:tcBorders>
              <w:top w:val="nil"/>
              <w:left w:val="nil"/>
              <w:bottom w:val="nil"/>
              <w:right w:val="nil"/>
            </w:tcBorders>
          </w:tcPr>
          <w:p>
            <w:pPr>
              <w:pStyle w:val="TableParagraph"/>
              <w:ind w:right="71"/>
              <w:rPr>
                <w:sz w:val="20"/>
              </w:rPr>
            </w:pPr>
            <w:r>
              <w:rPr>
                <w:sz w:val="20"/>
              </w:rPr>
              <w:t>19</w:t>
            </w:r>
          </w:p>
        </w:tc>
        <w:tc>
          <w:tcPr>
            <w:tcW w:w="977" w:type="dxa"/>
            <w:tcBorders>
              <w:top w:val="nil"/>
              <w:left w:val="nil"/>
              <w:bottom w:val="nil"/>
              <w:right w:val="nil"/>
            </w:tcBorders>
          </w:tcPr>
          <w:p>
            <w:pPr>
              <w:pStyle w:val="TableParagraph"/>
              <w:ind w:right="67"/>
              <w:rPr>
                <w:sz w:val="20"/>
              </w:rPr>
            </w:pPr>
            <w:r>
              <w:rPr>
                <w:sz w:val="20"/>
              </w:rPr>
              <w:t>19</w:t>
            </w:r>
          </w:p>
        </w:tc>
        <w:tc>
          <w:tcPr>
            <w:tcW w:w="975" w:type="dxa"/>
            <w:tcBorders>
              <w:top w:val="nil"/>
              <w:left w:val="nil"/>
              <w:bottom w:val="nil"/>
              <w:right w:val="nil"/>
            </w:tcBorders>
          </w:tcPr>
          <w:p>
            <w:pPr>
              <w:pStyle w:val="TableParagraph"/>
              <w:ind w:right="67"/>
              <w:rPr>
                <w:sz w:val="20"/>
              </w:rPr>
            </w:pPr>
            <w:r>
              <w:rPr>
                <w:sz w:val="20"/>
              </w:rPr>
              <w:t>17</w:t>
            </w:r>
          </w:p>
        </w:tc>
        <w:tc>
          <w:tcPr>
            <w:tcW w:w="1056" w:type="dxa"/>
            <w:tcBorders>
              <w:top w:val="nil"/>
              <w:left w:val="nil"/>
              <w:bottom w:val="nil"/>
              <w:right w:val="nil"/>
            </w:tcBorders>
          </w:tcPr>
          <w:p>
            <w:pPr>
              <w:pStyle w:val="TableParagraph"/>
              <w:ind w:right="67"/>
              <w:rPr>
                <w:sz w:val="20"/>
              </w:rPr>
            </w:pPr>
            <w:r>
              <w:rPr>
                <w:sz w:val="20"/>
              </w:rPr>
              <w:t>17</w:t>
            </w:r>
          </w:p>
        </w:tc>
        <w:tc>
          <w:tcPr>
            <w:tcW w:w="1056" w:type="dxa"/>
            <w:tcBorders>
              <w:top w:val="nil"/>
              <w:left w:val="nil"/>
              <w:bottom w:val="nil"/>
              <w:right w:val="nil"/>
            </w:tcBorders>
          </w:tcPr>
          <w:p>
            <w:pPr>
              <w:pStyle w:val="TableParagraph"/>
              <w:ind w:right="67"/>
              <w:rPr>
                <w:sz w:val="20"/>
              </w:rPr>
            </w:pPr>
            <w:r>
              <w:rPr>
                <w:sz w:val="20"/>
              </w:rPr>
              <w:t>16</w:t>
            </w:r>
          </w:p>
        </w:tc>
        <w:tc>
          <w:tcPr>
            <w:tcW w:w="1054" w:type="dxa"/>
            <w:tcBorders>
              <w:top w:val="nil"/>
              <w:left w:val="nil"/>
              <w:bottom w:val="nil"/>
              <w:right w:val="nil"/>
            </w:tcBorders>
          </w:tcPr>
          <w:p>
            <w:pPr>
              <w:pStyle w:val="TableParagraph"/>
              <w:ind w:right="65"/>
              <w:rPr>
                <w:sz w:val="20"/>
              </w:rPr>
            </w:pPr>
            <w:r>
              <w:rPr>
                <w:sz w:val="20"/>
              </w:rPr>
              <w:t>15</w:t>
            </w:r>
          </w:p>
        </w:tc>
      </w:tr>
      <w:tr>
        <w:trPr>
          <w:trHeight w:val="300" w:hRule="exact"/>
        </w:trPr>
        <w:tc>
          <w:tcPr>
            <w:tcW w:w="959" w:type="dxa"/>
            <w:tcBorders>
              <w:top w:val="nil"/>
              <w:left w:val="nil"/>
              <w:bottom w:val="nil"/>
              <w:right w:val="nil"/>
            </w:tcBorders>
          </w:tcPr>
          <w:p>
            <w:pPr>
              <w:pStyle w:val="TableParagraph"/>
              <w:spacing w:before="26"/>
              <w:ind w:left="86"/>
              <w:jc w:val="left"/>
              <w:rPr>
                <w:sz w:val="20"/>
              </w:rPr>
            </w:pPr>
            <w:r>
              <w:rPr>
                <w:sz w:val="20"/>
              </w:rPr>
              <w:t>16</w:t>
            </w:r>
          </w:p>
        </w:tc>
        <w:tc>
          <w:tcPr>
            <w:tcW w:w="867" w:type="dxa"/>
            <w:tcBorders>
              <w:top w:val="nil"/>
              <w:left w:val="nil"/>
              <w:bottom w:val="nil"/>
              <w:right w:val="nil"/>
            </w:tcBorders>
          </w:tcPr>
          <w:p>
            <w:pPr>
              <w:pStyle w:val="TableParagraph"/>
              <w:spacing w:before="26"/>
              <w:ind w:left="77"/>
              <w:jc w:val="left"/>
              <w:rPr>
                <w:sz w:val="20"/>
              </w:rPr>
            </w:pPr>
            <w:r>
              <w:rPr>
                <w:sz w:val="20"/>
              </w:rPr>
              <w:t>15001</w:t>
            </w:r>
          </w:p>
        </w:tc>
        <w:tc>
          <w:tcPr>
            <w:tcW w:w="992" w:type="dxa"/>
            <w:tcBorders>
              <w:top w:val="nil"/>
              <w:left w:val="nil"/>
              <w:bottom w:val="nil"/>
              <w:right w:val="nil"/>
            </w:tcBorders>
          </w:tcPr>
          <w:p>
            <w:pPr>
              <w:pStyle w:val="TableParagraph"/>
              <w:spacing w:before="26"/>
              <w:ind w:right="70"/>
              <w:rPr>
                <w:sz w:val="20"/>
              </w:rPr>
            </w:pPr>
            <w:r>
              <w:rPr>
                <w:sz w:val="20"/>
              </w:rPr>
              <w:t>16</w:t>
            </w:r>
          </w:p>
        </w:tc>
        <w:tc>
          <w:tcPr>
            <w:tcW w:w="977" w:type="dxa"/>
            <w:tcBorders>
              <w:top w:val="nil"/>
              <w:left w:val="nil"/>
              <w:bottom w:val="nil"/>
              <w:right w:val="nil"/>
            </w:tcBorders>
          </w:tcPr>
          <w:p>
            <w:pPr>
              <w:pStyle w:val="TableParagraph"/>
              <w:spacing w:before="26"/>
              <w:ind w:right="67"/>
              <w:rPr>
                <w:sz w:val="20"/>
              </w:rPr>
            </w:pPr>
            <w:r>
              <w:rPr>
                <w:sz w:val="20"/>
              </w:rPr>
              <w:t>19</w:t>
            </w:r>
          </w:p>
        </w:tc>
        <w:tc>
          <w:tcPr>
            <w:tcW w:w="975" w:type="dxa"/>
            <w:tcBorders>
              <w:top w:val="nil"/>
              <w:left w:val="nil"/>
              <w:bottom w:val="nil"/>
              <w:right w:val="nil"/>
            </w:tcBorders>
          </w:tcPr>
          <w:p>
            <w:pPr>
              <w:pStyle w:val="TableParagraph"/>
              <w:spacing w:before="26"/>
              <w:ind w:right="67"/>
              <w:rPr>
                <w:sz w:val="20"/>
              </w:rPr>
            </w:pPr>
            <w:r>
              <w:rPr>
                <w:sz w:val="20"/>
              </w:rPr>
              <w:t>20</w:t>
            </w:r>
          </w:p>
        </w:tc>
        <w:tc>
          <w:tcPr>
            <w:tcW w:w="977" w:type="dxa"/>
            <w:tcBorders>
              <w:top w:val="nil"/>
              <w:left w:val="nil"/>
              <w:bottom w:val="nil"/>
              <w:right w:val="nil"/>
            </w:tcBorders>
          </w:tcPr>
          <w:p>
            <w:pPr>
              <w:pStyle w:val="TableParagraph"/>
              <w:spacing w:before="26"/>
              <w:ind w:right="71"/>
              <w:rPr>
                <w:sz w:val="20"/>
              </w:rPr>
            </w:pPr>
            <w:r>
              <w:rPr>
                <w:sz w:val="20"/>
              </w:rPr>
              <w:t>19</w:t>
            </w:r>
          </w:p>
        </w:tc>
        <w:tc>
          <w:tcPr>
            <w:tcW w:w="977" w:type="dxa"/>
            <w:tcBorders>
              <w:top w:val="nil"/>
              <w:left w:val="nil"/>
              <w:bottom w:val="nil"/>
              <w:right w:val="nil"/>
            </w:tcBorders>
          </w:tcPr>
          <w:p>
            <w:pPr>
              <w:pStyle w:val="TableParagraph"/>
              <w:spacing w:before="26"/>
              <w:ind w:right="67"/>
              <w:rPr>
                <w:sz w:val="20"/>
              </w:rPr>
            </w:pPr>
            <w:r>
              <w:rPr>
                <w:sz w:val="20"/>
              </w:rPr>
              <w:t>20</w:t>
            </w:r>
          </w:p>
        </w:tc>
        <w:tc>
          <w:tcPr>
            <w:tcW w:w="975" w:type="dxa"/>
            <w:tcBorders>
              <w:top w:val="nil"/>
              <w:left w:val="nil"/>
              <w:bottom w:val="nil"/>
              <w:right w:val="nil"/>
            </w:tcBorders>
          </w:tcPr>
          <w:p>
            <w:pPr>
              <w:pStyle w:val="TableParagraph"/>
              <w:spacing w:before="26"/>
              <w:ind w:right="67"/>
              <w:rPr>
                <w:sz w:val="20"/>
              </w:rPr>
            </w:pPr>
            <w:r>
              <w:rPr>
                <w:sz w:val="20"/>
              </w:rPr>
              <w:t>19</w:t>
            </w:r>
          </w:p>
        </w:tc>
        <w:tc>
          <w:tcPr>
            <w:tcW w:w="977" w:type="dxa"/>
            <w:tcBorders>
              <w:top w:val="nil"/>
              <w:left w:val="nil"/>
              <w:bottom w:val="nil"/>
              <w:right w:val="nil"/>
            </w:tcBorders>
          </w:tcPr>
          <w:p>
            <w:pPr>
              <w:pStyle w:val="TableParagraph"/>
              <w:spacing w:before="26"/>
              <w:ind w:right="71"/>
              <w:rPr>
                <w:sz w:val="20"/>
              </w:rPr>
            </w:pPr>
            <w:r>
              <w:rPr>
                <w:sz w:val="20"/>
              </w:rPr>
              <w:t>19</w:t>
            </w:r>
          </w:p>
        </w:tc>
        <w:tc>
          <w:tcPr>
            <w:tcW w:w="977" w:type="dxa"/>
            <w:tcBorders>
              <w:top w:val="nil"/>
              <w:left w:val="nil"/>
              <w:bottom w:val="nil"/>
              <w:right w:val="nil"/>
            </w:tcBorders>
          </w:tcPr>
          <w:p>
            <w:pPr>
              <w:pStyle w:val="TableParagraph"/>
              <w:spacing w:before="26"/>
              <w:ind w:right="67"/>
              <w:rPr>
                <w:sz w:val="20"/>
              </w:rPr>
            </w:pPr>
            <w:r>
              <w:rPr>
                <w:sz w:val="20"/>
              </w:rPr>
              <w:t>19</w:t>
            </w:r>
          </w:p>
        </w:tc>
        <w:tc>
          <w:tcPr>
            <w:tcW w:w="975" w:type="dxa"/>
            <w:tcBorders>
              <w:top w:val="nil"/>
              <w:left w:val="nil"/>
              <w:bottom w:val="nil"/>
              <w:right w:val="nil"/>
            </w:tcBorders>
          </w:tcPr>
          <w:p>
            <w:pPr>
              <w:pStyle w:val="TableParagraph"/>
              <w:spacing w:before="26"/>
              <w:ind w:right="67"/>
              <w:rPr>
                <w:sz w:val="20"/>
              </w:rPr>
            </w:pPr>
            <w:r>
              <w:rPr>
                <w:sz w:val="20"/>
              </w:rPr>
              <w:t>17</w:t>
            </w:r>
          </w:p>
        </w:tc>
        <w:tc>
          <w:tcPr>
            <w:tcW w:w="1056" w:type="dxa"/>
            <w:tcBorders>
              <w:top w:val="nil"/>
              <w:left w:val="nil"/>
              <w:bottom w:val="nil"/>
              <w:right w:val="nil"/>
            </w:tcBorders>
          </w:tcPr>
          <w:p>
            <w:pPr>
              <w:pStyle w:val="TableParagraph"/>
              <w:spacing w:before="26"/>
              <w:ind w:right="67"/>
              <w:rPr>
                <w:sz w:val="20"/>
              </w:rPr>
            </w:pPr>
            <w:r>
              <w:rPr>
                <w:sz w:val="20"/>
              </w:rPr>
              <w:t>17</w:t>
            </w:r>
          </w:p>
        </w:tc>
        <w:tc>
          <w:tcPr>
            <w:tcW w:w="1056" w:type="dxa"/>
            <w:tcBorders>
              <w:top w:val="nil"/>
              <w:left w:val="nil"/>
              <w:bottom w:val="nil"/>
              <w:right w:val="nil"/>
            </w:tcBorders>
          </w:tcPr>
          <w:p>
            <w:pPr>
              <w:pStyle w:val="TableParagraph"/>
              <w:spacing w:before="26"/>
              <w:ind w:right="67"/>
              <w:rPr>
                <w:sz w:val="20"/>
              </w:rPr>
            </w:pPr>
            <w:r>
              <w:rPr>
                <w:sz w:val="20"/>
              </w:rPr>
              <w:t>16</w:t>
            </w:r>
          </w:p>
        </w:tc>
        <w:tc>
          <w:tcPr>
            <w:tcW w:w="1054" w:type="dxa"/>
            <w:tcBorders>
              <w:top w:val="nil"/>
              <w:left w:val="nil"/>
              <w:bottom w:val="nil"/>
              <w:right w:val="nil"/>
            </w:tcBorders>
          </w:tcPr>
          <w:p>
            <w:pPr>
              <w:pStyle w:val="TableParagraph"/>
              <w:spacing w:before="26"/>
              <w:ind w:right="65"/>
              <w:rPr>
                <w:sz w:val="20"/>
              </w:rPr>
            </w:pPr>
            <w:r>
              <w:rPr>
                <w:sz w:val="20"/>
              </w:rPr>
              <w:t>15</w:t>
            </w:r>
          </w:p>
        </w:tc>
      </w:tr>
      <w:tr>
        <w:trPr>
          <w:trHeight w:val="300" w:hRule="exact"/>
        </w:trPr>
        <w:tc>
          <w:tcPr>
            <w:tcW w:w="959" w:type="dxa"/>
            <w:tcBorders>
              <w:top w:val="nil"/>
              <w:left w:val="nil"/>
              <w:bottom w:val="nil"/>
              <w:right w:val="nil"/>
            </w:tcBorders>
          </w:tcPr>
          <w:p>
            <w:pPr>
              <w:pStyle w:val="TableParagraph"/>
              <w:ind w:left="86"/>
              <w:jc w:val="left"/>
              <w:rPr>
                <w:sz w:val="20"/>
              </w:rPr>
            </w:pPr>
            <w:r>
              <w:rPr>
                <w:sz w:val="20"/>
              </w:rPr>
              <w:t>17</w:t>
            </w:r>
          </w:p>
        </w:tc>
        <w:tc>
          <w:tcPr>
            <w:tcW w:w="867" w:type="dxa"/>
            <w:tcBorders>
              <w:top w:val="nil"/>
              <w:left w:val="nil"/>
              <w:bottom w:val="nil"/>
              <w:right w:val="nil"/>
            </w:tcBorders>
          </w:tcPr>
          <w:p>
            <w:pPr>
              <w:pStyle w:val="TableParagraph"/>
              <w:ind w:left="77"/>
              <w:jc w:val="left"/>
              <w:rPr>
                <w:sz w:val="20"/>
              </w:rPr>
            </w:pPr>
            <w:r>
              <w:rPr>
                <w:sz w:val="20"/>
              </w:rPr>
              <w:t>15001</w:t>
            </w:r>
          </w:p>
        </w:tc>
        <w:tc>
          <w:tcPr>
            <w:tcW w:w="992" w:type="dxa"/>
            <w:tcBorders>
              <w:top w:val="nil"/>
              <w:left w:val="nil"/>
              <w:bottom w:val="nil"/>
              <w:right w:val="nil"/>
            </w:tcBorders>
          </w:tcPr>
          <w:p>
            <w:pPr>
              <w:pStyle w:val="TableParagraph"/>
              <w:ind w:right="70"/>
              <w:rPr>
                <w:sz w:val="20"/>
              </w:rPr>
            </w:pPr>
            <w:r>
              <w:rPr>
                <w:sz w:val="20"/>
              </w:rPr>
              <w:t>16</w:t>
            </w:r>
          </w:p>
        </w:tc>
        <w:tc>
          <w:tcPr>
            <w:tcW w:w="977" w:type="dxa"/>
            <w:tcBorders>
              <w:top w:val="nil"/>
              <w:left w:val="nil"/>
              <w:bottom w:val="nil"/>
              <w:right w:val="nil"/>
            </w:tcBorders>
          </w:tcPr>
          <w:p>
            <w:pPr>
              <w:pStyle w:val="TableParagraph"/>
              <w:ind w:right="67"/>
              <w:rPr>
                <w:sz w:val="20"/>
              </w:rPr>
            </w:pPr>
            <w:r>
              <w:rPr>
                <w:sz w:val="20"/>
              </w:rPr>
              <w:t>19</w:t>
            </w:r>
          </w:p>
        </w:tc>
        <w:tc>
          <w:tcPr>
            <w:tcW w:w="975" w:type="dxa"/>
            <w:tcBorders>
              <w:top w:val="nil"/>
              <w:left w:val="nil"/>
              <w:bottom w:val="nil"/>
              <w:right w:val="nil"/>
            </w:tcBorders>
          </w:tcPr>
          <w:p>
            <w:pPr>
              <w:pStyle w:val="TableParagraph"/>
              <w:ind w:right="67"/>
              <w:rPr>
                <w:sz w:val="20"/>
              </w:rPr>
            </w:pPr>
            <w:r>
              <w:rPr>
                <w:sz w:val="20"/>
              </w:rPr>
              <w:t>20</w:t>
            </w:r>
          </w:p>
        </w:tc>
        <w:tc>
          <w:tcPr>
            <w:tcW w:w="977" w:type="dxa"/>
            <w:tcBorders>
              <w:top w:val="nil"/>
              <w:left w:val="nil"/>
              <w:bottom w:val="nil"/>
              <w:right w:val="nil"/>
            </w:tcBorders>
          </w:tcPr>
          <w:p>
            <w:pPr>
              <w:pStyle w:val="TableParagraph"/>
              <w:ind w:right="71"/>
              <w:rPr>
                <w:sz w:val="20"/>
              </w:rPr>
            </w:pPr>
            <w:r>
              <w:rPr>
                <w:sz w:val="20"/>
              </w:rPr>
              <w:t>19</w:t>
            </w:r>
          </w:p>
        </w:tc>
        <w:tc>
          <w:tcPr>
            <w:tcW w:w="977" w:type="dxa"/>
            <w:tcBorders>
              <w:top w:val="nil"/>
              <w:left w:val="nil"/>
              <w:bottom w:val="nil"/>
              <w:right w:val="nil"/>
            </w:tcBorders>
          </w:tcPr>
          <w:p>
            <w:pPr>
              <w:pStyle w:val="TableParagraph"/>
              <w:ind w:right="67"/>
              <w:rPr>
                <w:sz w:val="20"/>
              </w:rPr>
            </w:pPr>
            <w:r>
              <w:rPr>
                <w:sz w:val="20"/>
              </w:rPr>
              <w:t>20</w:t>
            </w:r>
          </w:p>
        </w:tc>
        <w:tc>
          <w:tcPr>
            <w:tcW w:w="975" w:type="dxa"/>
            <w:tcBorders>
              <w:top w:val="nil"/>
              <w:left w:val="nil"/>
              <w:bottom w:val="nil"/>
              <w:right w:val="nil"/>
            </w:tcBorders>
          </w:tcPr>
          <w:p>
            <w:pPr>
              <w:pStyle w:val="TableParagraph"/>
              <w:ind w:right="67"/>
              <w:rPr>
                <w:sz w:val="20"/>
              </w:rPr>
            </w:pPr>
            <w:r>
              <w:rPr>
                <w:sz w:val="20"/>
              </w:rPr>
              <w:t>19</w:t>
            </w:r>
          </w:p>
        </w:tc>
        <w:tc>
          <w:tcPr>
            <w:tcW w:w="977" w:type="dxa"/>
            <w:tcBorders>
              <w:top w:val="nil"/>
              <w:left w:val="nil"/>
              <w:bottom w:val="nil"/>
              <w:right w:val="nil"/>
            </w:tcBorders>
          </w:tcPr>
          <w:p>
            <w:pPr>
              <w:pStyle w:val="TableParagraph"/>
              <w:ind w:right="71"/>
              <w:rPr>
                <w:sz w:val="20"/>
              </w:rPr>
            </w:pPr>
            <w:r>
              <w:rPr>
                <w:sz w:val="20"/>
              </w:rPr>
              <w:t>19</w:t>
            </w:r>
          </w:p>
        </w:tc>
        <w:tc>
          <w:tcPr>
            <w:tcW w:w="977" w:type="dxa"/>
            <w:tcBorders>
              <w:top w:val="nil"/>
              <w:left w:val="nil"/>
              <w:bottom w:val="nil"/>
              <w:right w:val="nil"/>
            </w:tcBorders>
          </w:tcPr>
          <w:p>
            <w:pPr>
              <w:pStyle w:val="TableParagraph"/>
              <w:ind w:right="67"/>
              <w:rPr>
                <w:sz w:val="20"/>
              </w:rPr>
            </w:pPr>
            <w:r>
              <w:rPr>
                <w:sz w:val="20"/>
              </w:rPr>
              <w:t>19</w:t>
            </w:r>
          </w:p>
        </w:tc>
        <w:tc>
          <w:tcPr>
            <w:tcW w:w="975" w:type="dxa"/>
            <w:tcBorders>
              <w:top w:val="nil"/>
              <w:left w:val="nil"/>
              <w:bottom w:val="nil"/>
              <w:right w:val="nil"/>
            </w:tcBorders>
          </w:tcPr>
          <w:p>
            <w:pPr>
              <w:pStyle w:val="TableParagraph"/>
              <w:ind w:right="67"/>
              <w:rPr>
                <w:sz w:val="20"/>
              </w:rPr>
            </w:pPr>
            <w:r>
              <w:rPr>
                <w:sz w:val="20"/>
              </w:rPr>
              <w:t>17</w:t>
            </w:r>
          </w:p>
        </w:tc>
        <w:tc>
          <w:tcPr>
            <w:tcW w:w="1056" w:type="dxa"/>
            <w:tcBorders>
              <w:top w:val="nil"/>
              <w:left w:val="nil"/>
              <w:bottom w:val="nil"/>
              <w:right w:val="nil"/>
            </w:tcBorders>
          </w:tcPr>
          <w:p>
            <w:pPr>
              <w:pStyle w:val="TableParagraph"/>
              <w:ind w:right="67"/>
              <w:rPr>
                <w:sz w:val="20"/>
              </w:rPr>
            </w:pPr>
            <w:r>
              <w:rPr>
                <w:sz w:val="20"/>
              </w:rPr>
              <w:t>17</w:t>
            </w:r>
          </w:p>
        </w:tc>
        <w:tc>
          <w:tcPr>
            <w:tcW w:w="1056" w:type="dxa"/>
            <w:tcBorders>
              <w:top w:val="nil"/>
              <w:left w:val="nil"/>
              <w:bottom w:val="nil"/>
              <w:right w:val="nil"/>
            </w:tcBorders>
          </w:tcPr>
          <w:p>
            <w:pPr>
              <w:pStyle w:val="TableParagraph"/>
              <w:ind w:right="67"/>
              <w:rPr>
                <w:sz w:val="20"/>
              </w:rPr>
            </w:pPr>
            <w:r>
              <w:rPr>
                <w:sz w:val="20"/>
              </w:rPr>
              <w:t>16</w:t>
            </w:r>
          </w:p>
        </w:tc>
        <w:tc>
          <w:tcPr>
            <w:tcW w:w="1054" w:type="dxa"/>
            <w:tcBorders>
              <w:top w:val="nil"/>
              <w:left w:val="nil"/>
              <w:bottom w:val="nil"/>
              <w:right w:val="nil"/>
            </w:tcBorders>
          </w:tcPr>
          <w:p>
            <w:pPr>
              <w:pStyle w:val="TableParagraph"/>
              <w:ind w:right="65"/>
              <w:rPr>
                <w:sz w:val="20"/>
              </w:rPr>
            </w:pPr>
            <w:r>
              <w:rPr>
                <w:sz w:val="20"/>
              </w:rPr>
              <w:t>15</w:t>
            </w:r>
          </w:p>
        </w:tc>
      </w:tr>
      <w:tr>
        <w:trPr>
          <w:trHeight w:val="300" w:hRule="exact"/>
        </w:trPr>
        <w:tc>
          <w:tcPr>
            <w:tcW w:w="959" w:type="dxa"/>
            <w:tcBorders>
              <w:top w:val="nil"/>
              <w:left w:val="nil"/>
              <w:bottom w:val="nil"/>
              <w:right w:val="nil"/>
            </w:tcBorders>
          </w:tcPr>
          <w:p>
            <w:pPr>
              <w:pStyle w:val="TableParagraph"/>
              <w:spacing w:before="26"/>
              <w:ind w:left="86"/>
              <w:jc w:val="left"/>
              <w:rPr>
                <w:sz w:val="20"/>
              </w:rPr>
            </w:pPr>
            <w:r>
              <w:rPr>
                <w:sz w:val="20"/>
              </w:rPr>
              <w:t>18</w:t>
            </w:r>
          </w:p>
        </w:tc>
        <w:tc>
          <w:tcPr>
            <w:tcW w:w="867" w:type="dxa"/>
            <w:tcBorders>
              <w:top w:val="nil"/>
              <w:left w:val="nil"/>
              <w:bottom w:val="nil"/>
              <w:right w:val="nil"/>
            </w:tcBorders>
          </w:tcPr>
          <w:p>
            <w:pPr>
              <w:pStyle w:val="TableParagraph"/>
              <w:spacing w:before="26"/>
              <w:ind w:left="77"/>
              <w:jc w:val="left"/>
              <w:rPr>
                <w:sz w:val="20"/>
              </w:rPr>
            </w:pPr>
            <w:r>
              <w:rPr>
                <w:sz w:val="20"/>
              </w:rPr>
              <w:t>15001</w:t>
            </w:r>
          </w:p>
        </w:tc>
        <w:tc>
          <w:tcPr>
            <w:tcW w:w="992" w:type="dxa"/>
            <w:tcBorders>
              <w:top w:val="nil"/>
              <w:left w:val="nil"/>
              <w:bottom w:val="nil"/>
              <w:right w:val="nil"/>
            </w:tcBorders>
          </w:tcPr>
          <w:p>
            <w:pPr>
              <w:pStyle w:val="TableParagraph"/>
              <w:spacing w:before="26"/>
              <w:ind w:right="70"/>
              <w:rPr>
                <w:sz w:val="20"/>
              </w:rPr>
            </w:pPr>
            <w:r>
              <w:rPr>
                <w:sz w:val="20"/>
              </w:rPr>
              <w:t>16</w:t>
            </w:r>
          </w:p>
        </w:tc>
        <w:tc>
          <w:tcPr>
            <w:tcW w:w="977" w:type="dxa"/>
            <w:tcBorders>
              <w:top w:val="nil"/>
              <w:left w:val="nil"/>
              <w:bottom w:val="nil"/>
              <w:right w:val="nil"/>
            </w:tcBorders>
          </w:tcPr>
          <w:p>
            <w:pPr>
              <w:pStyle w:val="TableParagraph"/>
              <w:spacing w:before="26"/>
              <w:ind w:right="67"/>
              <w:rPr>
                <w:sz w:val="20"/>
              </w:rPr>
            </w:pPr>
            <w:r>
              <w:rPr>
                <w:sz w:val="20"/>
              </w:rPr>
              <w:t>19</w:t>
            </w:r>
          </w:p>
        </w:tc>
        <w:tc>
          <w:tcPr>
            <w:tcW w:w="975" w:type="dxa"/>
            <w:tcBorders>
              <w:top w:val="nil"/>
              <w:left w:val="nil"/>
              <w:bottom w:val="nil"/>
              <w:right w:val="nil"/>
            </w:tcBorders>
          </w:tcPr>
          <w:p>
            <w:pPr>
              <w:pStyle w:val="TableParagraph"/>
              <w:spacing w:before="26"/>
              <w:ind w:right="67"/>
              <w:rPr>
                <w:sz w:val="20"/>
              </w:rPr>
            </w:pPr>
            <w:r>
              <w:rPr>
                <w:sz w:val="20"/>
              </w:rPr>
              <w:t>20</w:t>
            </w:r>
          </w:p>
        </w:tc>
        <w:tc>
          <w:tcPr>
            <w:tcW w:w="977" w:type="dxa"/>
            <w:tcBorders>
              <w:top w:val="nil"/>
              <w:left w:val="nil"/>
              <w:bottom w:val="nil"/>
              <w:right w:val="nil"/>
            </w:tcBorders>
          </w:tcPr>
          <w:p>
            <w:pPr>
              <w:pStyle w:val="TableParagraph"/>
              <w:spacing w:before="26"/>
              <w:ind w:right="71"/>
              <w:rPr>
                <w:sz w:val="20"/>
              </w:rPr>
            </w:pPr>
            <w:r>
              <w:rPr>
                <w:sz w:val="20"/>
              </w:rPr>
              <w:t>19</w:t>
            </w:r>
          </w:p>
        </w:tc>
        <w:tc>
          <w:tcPr>
            <w:tcW w:w="977" w:type="dxa"/>
            <w:tcBorders>
              <w:top w:val="nil"/>
              <w:left w:val="nil"/>
              <w:bottom w:val="nil"/>
              <w:right w:val="nil"/>
            </w:tcBorders>
          </w:tcPr>
          <w:p>
            <w:pPr>
              <w:pStyle w:val="TableParagraph"/>
              <w:spacing w:before="26"/>
              <w:ind w:right="67"/>
              <w:rPr>
                <w:sz w:val="20"/>
              </w:rPr>
            </w:pPr>
            <w:r>
              <w:rPr>
                <w:sz w:val="20"/>
              </w:rPr>
              <w:t>20</w:t>
            </w:r>
          </w:p>
        </w:tc>
        <w:tc>
          <w:tcPr>
            <w:tcW w:w="975" w:type="dxa"/>
            <w:tcBorders>
              <w:top w:val="nil"/>
              <w:left w:val="nil"/>
              <w:bottom w:val="nil"/>
              <w:right w:val="nil"/>
            </w:tcBorders>
          </w:tcPr>
          <w:p>
            <w:pPr>
              <w:pStyle w:val="TableParagraph"/>
              <w:spacing w:before="26"/>
              <w:ind w:right="67"/>
              <w:rPr>
                <w:sz w:val="20"/>
              </w:rPr>
            </w:pPr>
            <w:r>
              <w:rPr>
                <w:sz w:val="20"/>
              </w:rPr>
              <w:t>19</w:t>
            </w:r>
          </w:p>
        </w:tc>
        <w:tc>
          <w:tcPr>
            <w:tcW w:w="977" w:type="dxa"/>
            <w:tcBorders>
              <w:top w:val="nil"/>
              <w:left w:val="nil"/>
              <w:bottom w:val="nil"/>
              <w:right w:val="nil"/>
            </w:tcBorders>
          </w:tcPr>
          <w:p>
            <w:pPr>
              <w:pStyle w:val="TableParagraph"/>
              <w:spacing w:before="26"/>
              <w:ind w:right="71"/>
              <w:rPr>
                <w:sz w:val="20"/>
              </w:rPr>
            </w:pPr>
            <w:r>
              <w:rPr>
                <w:sz w:val="20"/>
              </w:rPr>
              <w:t>19</w:t>
            </w:r>
          </w:p>
        </w:tc>
        <w:tc>
          <w:tcPr>
            <w:tcW w:w="977" w:type="dxa"/>
            <w:tcBorders>
              <w:top w:val="nil"/>
              <w:left w:val="nil"/>
              <w:bottom w:val="nil"/>
              <w:right w:val="nil"/>
            </w:tcBorders>
          </w:tcPr>
          <w:p>
            <w:pPr>
              <w:pStyle w:val="TableParagraph"/>
              <w:spacing w:before="26"/>
              <w:ind w:right="67"/>
              <w:rPr>
                <w:sz w:val="20"/>
              </w:rPr>
            </w:pPr>
            <w:r>
              <w:rPr>
                <w:sz w:val="20"/>
              </w:rPr>
              <w:t>19</w:t>
            </w:r>
          </w:p>
        </w:tc>
        <w:tc>
          <w:tcPr>
            <w:tcW w:w="975" w:type="dxa"/>
            <w:tcBorders>
              <w:top w:val="nil"/>
              <w:left w:val="nil"/>
              <w:bottom w:val="nil"/>
              <w:right w:val="nil"/>
            </w:tcBorders>
          </w:tcPr>
          <w:p>
            <w:pPr>
              <w:pStyle w:val="TableParagraph"/>
              <w:spacing w:before="26"/>
              <w:ind w:right="67"/>
              <w:rPr>
                <w:sz w:val="20"/>
              </w:rPr>
            </w:pPr>
            <w:r>
              <w:rPr>
                <w:sz w:val="20"/>
              </w:rPr>
              <w:t>17</w:t>
            </w:r>
          </w:p>
        </w:tc>
        <w:tc>
          <w:tcPr>
            <w:tcW w:w="1056" w:type="dxa"/>
            <w:tcBorders>
              <w:top w:val="nil"/>
              <w:left w:val="nil"/>
              <w:bottom w:val="nil"/>
              <w:right w:val="nil"/>
            </w:tcBorders>
          </w:tcPr>
          <w:p>
            <w:pPr>
              <w:pStyle w:val="TableParagraph"/>
              <w:spacing w:before="26"/>
              <w:ind w:right="67"/>
              <w:rPr>
                <w:sz w:val="20"/>
              </w:rPr>
            </w:pPr>
            <w:r>
              <w:rPr>
                <w:sz w:val="20"/>
              </w:rPr>
              <w:t>17</w:t>
            </w:r>
          </w:p>
        </w:tc>
        <w:tc>
          <w:tcPr>
            <w:tcW w:w="1056" w:type="dxa"/>
            <w:tcBorders>
              <w:top w:val="nil"/>
              <w:left w:val="nil"/>
              <w:bottom w:val="nil"/>
              <w:right w:val="nil"/>
            </w:tcBorders>
          </w:tcPr>
          <w:p>
            <w:pPr>
              <w:pStyle w:val="TableParagraph"/>
              <w:spacing w:before="26"/>
              <w:ind w:right="67"/>
              <w:rPr>
                <w:sz w:val="20"/>
              </w:rPr>
            </w:pPr>
            <w:r>
              <w:rPr>
                <w:sz w:val="20"/>
              </w:rPr>
              <w:t>16</w:t>
            </w:r>
          </w:p>
        </w:tc>
        <w:tc>
          <w:tcPr>
            <w:tcW w:w="1054" w:type="dxa"/>
            <w:tcBorders>
              <w:top w:val="nil"/>
              <w:left w:val="nil"/>
              <w:bottom w:val="nil"/>
              <w:right w:val="nil"/>
            </w:tcBorders>
          </w:tcPr>
          <w:p>
            <w:pPr>
              <w:pStyle w:val="TableParagraph"/>
              <w:spacing w:before="26"/>
              <w:ind w:right="65"/>
              <w:rPr>
                <w:sz w:val="20"/>
              </w:rPr>
            </w:pPr>
            <w:r>
              <w:rPr>
                <w:sz w:val="20"/>
              </w:rPr>
              <w:t>15</w:t>
            </w:r>
          </w:p>
        </w:tc>
      </w:tr>
      <w:tr>
        <w:trPr>
          <w:trHeight w:val="300" w:hRule="exact"/>
        </w:trPr>
        <w:tc>
          <w:tcPr>
            <w:tcW w:w="959" w:type="dxa"/>
            <w:tcBorders>
              <w:top w:val="nil"/>
              <w:left w:val="nil"/>
              <w:bottom w:val="nil"/>
              <w:right w:val="nil"/>
            </w:tcBorders>
          </w:tcPr>
          <w:p>
            <w:pPr>
              <w:pStyle w:val="TableParagraph"/>
              <w:ind w:left="86"/>
              <w:jc w:val="left"/>
              <w:rPr>
                <w:sz w:val="20"/>
              </w:rPr>
            </w:pPr>
            <w:r>
              <w:rPr>
                <w:sz w:val="20"/>
              </w:rPr>
              <w:t>19</w:t>
            </w:r>
          </w:p>
        </w:tc>
        <w:tc>
          <w:tcPr>
            <w:tcW w:w="867" w:type="dxa"/>
            <w:tcBorders>
              <w:top w:val="nil"/>
              <w:left w:val="nil"/>
              <w:bottom w:val="nil"/>
              <w:right w:val="nil"/>
            </w:tcBorders>
          </w:tcPr>
          <w:p>
            <w:pPr>
              <w:pStyle w:val="TableParagraph"/>
              <w:ind w:left="77"/>
              <w:jc w:val="left"/>
              <w:rPr>
                <w:sz w:val="20"/>
              </w:rPr>
            </w:pPr>
            <w:r>
              <w:rPr>
                <w:sz w:val="20"/>
              </w:rPr>
              <w:t>15001</w:t>
            </w:r>
          </w:p>
        </w:tc>
        <w:tc>
          <w:tcPr>
            <w:tcW w:w="992" w:type="dxa"/>
            <w:tcBorders>
              <w:top w:val="nil"/>
              <w:left w:val="nil"/>
              <w:bottom w:val="nil"/>
              <w:right w:val="nil"/>
            </w:tcBorders>
          </w:tcPr>
          <w:p>
            <w:pPr>
              <w:pStyle w:val="TableParagraph"/>
              <w:ind w:right="70"/>
              <w:rPr>
                <w:sz w:val="20"/>
              </w:rPr>
            </w:pPr>
            <w:r>
              <w:rPr>
                <w:sz w:val="20"/>
              </w:rPr>
              <w:t>16</w:t>
            </w:r>
          </w:p>
        </w:tc>
        <w:tc>
          <w:tcPr>
            <w:tcW w:w="977" w:type="dxa"/>
            <w:tcBorders>
              <w:top w:val="nil"/>
              <w:left w:val="nil"/>
              <w:bottom w:val="nil"/>
              <w:right w:val="nil"/>
            </w:tcBorders>
          </w:tcPr>
          <w:p>
            <w:pPr>
              <w:pStyle w:val="TableParagraph"/>
              <w:ind w:right="67"/>
              <w:rPr>
                <w:sz w:val="20"/>
              </w:rPr>
            </w:pPr>
            <w:r>
              <w:rPr>
                <w:sz w:val="20"/>
              </w:rPr>
              <w:t>19</w:t>
            </w:r>
          </w:p>
        </w:tc>
        <w:tc>
          <w:tcPr>
            <w:tcW w:w="975" w:type="dxa"/>
            <w:tcBorders>
              <w:top w:val="nil"/>
              <w:left w:val="nil"/>
              <w:bottom w:val="nil"/>
              <w:right w:val="nil"/>
            </w:tcBorders>
          </w:tcPr>
          <w:p>
            <w:pPr>
              <w:pStyle w:val="TableParagraph"/>
              <w:ind w:right="67"/>
              <w:rPr>
                <w:sz w:val="20"/>
              </w:rPr>
            </w:pPr>
            <w:r>
              <w:rPr>
                <w:sz w:val="20"/>
              </w:rPr>
              <w:t>20</w:t>
            </w:r>
          </w:p>
        </w:tc>
        <w:tc>
          <w:tcPr>
            <w:tcW w:w="977" w:type="dxa"/>
            <w:tcBorders>
              <w:top w:val="nil"/>
              <w:left w:val="nil"/>
              <w:bottom w:val="nil"/>
              <w:right w:val="nil"/>
            </w:tcBorders>
          </w:tcPr>
          <w:p>
            <w:pPr>
              <w:pStyle w:val="TableParagraph"/>
              <w:ind w:right="71"/>
              <w:rPr>
                <w:sz w:val="20"/>
              </w:rPr>
            </w:pPr>
            <w:r>
              <w:rPr>
                <w:sz w:val="20"/>
              </w:rPr>
              <w:t>19</w:t>
            </w:r>
          </w:p>
        </w:tc>
        <w:tc>
          <w:tcPr>
            <w:tcW w:w="977" w:type="dxa"/>
            <w:tcBorders>
              <w:top w:val="nil"/>
              <w:left w:val="nil"/>
              <w:bottom w:val="nil"/>
              <w:right w:val="nil"/>
            </w:tcBorders>
          </w:tcPr>
          <w:p>
            <w:pPr>
              <w:pStyle w:val="TableParagraph"/>
              <w:ind w:right="67"/>
              <w:rPr>
                <w:sz w:val="20"/>
              </w:rPr>
            </w:pPr>
            <w:r>
              <w:rPr>
                <w:sz w:val="20"/>
              </w:rPr>
              <w:t>20</w:t>
            </w:r>
          </w:p>
        </w:tc>
        <w:tc>
          <w:tcPr>
            <w:tcW w:w="975" w:type="dxa"/>
            <w:tcBorders>
              <w:top w:val="nil"/>
              <w:left w:val="nil"/>
              <w:bottom w:val="nil"/>
              <w:right w:val="nil"/>
            </w:tcBorders>
          </w:tcPr>
          <w:p>
            <w:pPr>
              <w:pStyle w:val="TableParagraph"/>
              <w:ind w:right="67"/>
              <w:rPr>
                <w:sz w:val="20"/>
              </w:rPr>
            </w:pPr>
            <w:r>
              <w:rPr>
                <w:sz w:val="20"/>
              </w:rPr>
              <w:t>19</w:t>
            </w:r>
          </w:p>
        </w:tc>
        <w:tc>
          <w:tcPr>
            <w:tcW w:w="977" w:type="dxa"/>
            <w:tcBorders>
              <w:top w:val="nil"/>
              <w:left w:val="nil"/>
              <w:bottom w:val="nil"/>
              <w:right w:val="nil"/>
            </w:tcBorders>
          </w:tcPr>
          <w:p>
            <w:pPr>
              <w:pStyle w:val="TableParagraph"/>
              <w:ind w:right="71"/>
              <w:rPr>
                <w:sz w:val="20"/>
              </w:rPr>
            </w:pPr>
            <w:r>
              <w:rPr>
                <w:sz w:val="20"/>
              </w:rPr>
              <w:t>19</w:t>
            </w:r>
          </w:p>
        </w:tc>
        <w:tc>
          <w:tcPr>
            <w:tcW w:w="977" w:type="dxa"/>
            <w:tcBorders>
              <w:top w:val="nil"/>
              <w:left w:val="nil"/>
              <w:bottom w:val="nil"/>
              <w:right w:val="nil"/>
            </w:tcBorders>
          </w:tcPr>
          <w:p>
            <w:pPr>
              <w:pStyle w:val="TableParagraph"/>
              <w:ind w:right="67"/>
              <w:rPr>
                <w:sz w:val="20"/>
              </w:rPr>
            </w:pPr>
            <w:r>
              <w:rPr>
                <w:sz w:val="20"/>
              </w:rPr>
              <w:t>19</w:t>
            </w:r>
          </w:p>
        </w:tc>
        <w:tc>
          <w:tcPr>
            <w:tcW w:w="975" w:type="dxa"/>
            <w:tcBorders>
              <w:top w:val="nil"/>
              <w:left w:val="nil"/>
              <w:bottom w:val="nil"/>
              <w:right w:val="nil"/>
            </w:tcBorders>
          </w:tcPr>
          <w:p>
            <w:pPr>
              <w:pStyle w:val="TableParagraph"/>
              <w:ind w:right="67"/>
              <w:rPr>
                <w:sz w:val="20"/>
              </w:rPr>
            </w:pPr>
            <w:r>
              <w:rPr>
                <w:sz w:val="20"/>
              </w:rPr>
              <w:t>17</w:t>
            </w:r>
          </w:p>
        </w:tc>
        <w:tc>
          <w:tcPr>
            <w:tcW w:w="1056" w:type="dxa"/>
            <w:tcBorders>
              <w:top w:val="nil"/>
              <w:left w:val="nil"/>
              <w:bottom w:val="nil"/>
              <w:right w:val="nil"/>
            </w:tcBorders>
          </w:tcPr>
          <w:p>
            <w:pPr>
              <w:pStyle w:val="TableParagraph"/>
              <w:ind w:right="67"/>
              <w:rPr>
                <w:sz w:val="20"/>
              </w:rPr>
            </w:pPr>
            <w:r>
              <w:rPr>
                <w:sz w:val="20"/>
              </w:rPr>
              <w:t>17</w:t>
            </w:r>
          </w:p>
        </w:tc>
        <w:tc>
          <w:tcPr>
            <w:tcW w:w="1056" w:type="dxa"/>
            <w:tcBorders>
              <w:top w:val="nil"/>
              <w:left w:val="nil"/>
              <w:bottom w:val="nil"/>
              <w:right w:val="nil"/>
            </w:tcBorders>
          </w:tcPr>
          <w:p>
            <w:pPr>
              <w:pStyle w:val="TableParagraph"/>
              <w:ind w:right="67"/>
              <w:rPr>
                <w:sz w:val="20"/>
              </w:rPr>
            </w:pPr>
            <w:r>
              <w:rPr>
                <w:sz w:val="20"/>
              </w:rPr>
              <w:t>16</w:t>
            </w:r>
          </w:p>
        </w:tc>
        <w:tc>
          <w:tcPr>
            <w:tcW w:w="1054" w:type="dxa"/>
            <w:tcBorders>
              <w:top w:val="nil"/>
              <w:left w:val="nil"/>
              <w:bottom w:val="nil"/>
              <w:right w:val="nil"/>
            </w:tcBorders>
          </w:tcPr>
          <w:p>
            <w:pPr>
              <w:pStyle w:val="TableParagraph"/>
              <w:ind w:right="65"/>
              <w:rPr>
                <w:sz w:val="20"/>
              </w:rPr>
            </w:pPr>
            <w:r>
              <w:rPr>
                <w:sz w:val="20"/>
              </w:rPr>
              <w:t>15</w:t>
            </w:r>
          </w:p>
        </w:tc>
      </w:tr>
      <w:tr>
        <w:trPr>
          <w:trHeight w:val="300" w:hRule="exact"/>
        </w:trPr>
        <w:tc>
          <w:tcPr>
            <w:tcW w:w="959" w:type="dxa"/>
            <w:tcBorders>
              <w:top w:val="nil"/>
              <w:left w:val="nil"/>
              <w:bottom w:val="nil"/>
              <w:right w:val="nil"/>
            </w:tcBorders>
          </w:tcPr>
          <w:p>
            <w:pPr>
              <w:pStyle w:val="TableParagraph"/>
              <w:spacing w:before="26"/>
              <w:ind w:left="86"/>
              <w:jc w:val="left"/>
              <w:rPr>
                <w:sz w:val="20"/>
              </w:rPr>
            </w:pPr>
            <w:r>
              <w:rPr>
                <w:sz w:val="20"/>
              </w:rPr>
              <w:t>20</w:t>
            </w:r>
          </w:p>
        </w:tc>
        <w:tc>
          <w:tcPr>
            <w:tcW w:w="867" w:type="dxa"/>
            <w:tcBorders>
              <w:top w:val="nil"/>
              <w:left w:val="nil"/>
              <w:bottom w:val="nil"/>
              <w:right w:val="nil"/>
            </w:tcBorders>
          </w:tcPr>
          <w:p>
            <w:pPr>
              <w:pStyle w:val="TableParagraph"/>
              <w:spacing w:before="26"/>
              <w:ind w:left="77"/>
              <w:jc w:val="left"/>
              <w:rPr>
                <w:sz w:val="20"/>
              </w:rPr>
            </w:pPr>
            <w:r>
              <w:rPr>
                <w:sz w:val="20"/>
              </w:rPr>
              <w:t>15029</w:t>
            </w:r>
          </w:p>
        </w:tc>
        <w:tc>
          <w:tcPr>
            <w:tcW w:w="992" w:type="dxa"/>
            <w:tcBorders>
              <w:top w:val="nil"/>
              <w:left w:val="nil"/>
              <w:bottom w:val="nil"/>
              <w:right w:val="nil"/>
            </w:tcBorders>
          </w:tcPr>
          <w:p>
            <w:pPr>
              <w:pStyle w:val="TableParagraph"/>
              <w:spacing w:before="26"/>
              <w:ind w:right="70"/>
              <w:rPr>
                <w:sz w:val="20"/>
              </w:rPr>
            </w:pPr>
            <w:r>
              <w:rPr>
                <w:sz w:val="20"/>
              </w:rPr>
              <w:t>16</w:t>
            </w:r>
          </w:p>
        </w:tc>
        <w:tc>
          <w:tcPr>
            <w:tcW w:w="977" w:type="dxa"/>
            <w:tcBorders>
              <w:top w:val="nil"/>
              <w:left w:val="nil"/>
              <w:bottom w:val="nil"/>
              <w:right w:val="nil"/>
            </w:tcBorders>
          </w:tcPr>
          <w:p>
            <w:pPr>
              <w:pStyle w:val="TableParagraph"/>
              <w:spacing w:before="26"/>
              <w:ind w:right="67"/>
              <w:rPr>
                <w:sz w:val="20"/>
              </w:rPr>
            </w:pPr>
            <w:r>
              <w:rPr>
                <w:sz w:val="20"/>
              </w:rPr>
              <w:t>19</w:t>
            </w:r>
          </w:p>
        </w:tc>
        <w:tc>
          <w:tcPr>
            <w:tcW w:w="975" w:type="dxa"/>
            <w:tcBorders>
              <w:top w:val="nil"/>
              <w:left w:val="nil"/>
              <w:bottom w:val="nil"/>
              <w:right w:val="nil"/>
            </w:tcBorders>
          </w:tcPr>
          <w:p>
            <w:pPr>
              <w:pStyle w:val="TableParagraph"/>
              <w:spacing w:before="26"/>
              <w:ind w:right="67"/>
              <w:rPr>
                <w:sz w:val="20"/>
              </w:rPr>
            </w:pPr>
            <w:r>
              <w:rPr>
                <w:sz w:val="20"/>
              </w:rPr>
              <w:t>20</w:t>
            </w:r>
          </w:p>
        </w:tc>
        <w:tc>
          <w:tcPr>
            <w:tcW w:w="977" w:type="dxa"/>
            <w:tcBorders>
              <w:top w:val="nil"/>
              <w:left w:val="nil"/>
              <w:bottom w:val="nil"/>
              <w:right w:val="nil"/>
            </w:tcBorders>
          </w:tcPr>
          <w:p>
            <w:pPr>
              <w:pStyle w:val="TableParagraph"/>
              <w:spacing w:before="26"/>
              <w:ind w:right="71"/>
              <w:rPr>
                <w:sz w:val="20"/>
              </w:rPr>
            </w:pPr>
            <w:r>
              <w:rPr>
                <w:sz w:val="20"/>
              </w:rPr>
              <w:t>20</w:t>
            </w:r>
          </w:p>
        </w:tc>
        <w:tc>
          <w:tcPr>
            <w:tcW w:w="977" w:type="dxa"/>
            <w:tcBorders>
              <w:top w:val="nil"/>
              <w:left w:val="nil"/>
              <w:bottom w:val="nil"/>
              <w:right w:val="nil"/>
            </w:tcBorders>
          </w:tcPr>
          <w:p>
            <w:pPr>
              <w:pStyle w:val="TableParagraph"/>
              <w:spacing w:before="26"/>
              <w:ind w:right="67"/>
              <w:rPr>
                <w:sz w:val="20"/>
              </w:rPr>
            </w:pPr>
            <w:r>
              <w:rPr>
                <w:sz w:val="20"/>
              </w:rPr>
              <w:t>20</w:t>
            </w:r>
          </w:p>
        </w:tc>
        <w:tc>
          <w:tcPr>
            <w:tcW w:w="975" w:type="dxa"/>
            <w:tcBorders>
              <w:top w:val="nil"/>
              <w:left w:val="nil"/>
              <w:bottom w:val="nil"/>
              <w:right w:val="nil"/>
            </w:tcBorders>
          </w:tcPr>
          <w:p>
            <w:pPr>
              <w:pStyle w:val="TableParagraph"/>
              <w:spacing w:before="26"/>
              <w:ind w:right="67"/>
              <w:rPr>
                <w:sz w:val="20"/>
              </w:rPr>
            </w:pPr>
            <w:r>
              <w:rPr>
                <w:sz w:val="20"/>
              </w:rPr>
              <w:t>19</w:t>
            </w:r>
          </w:p>
        </w:tc>
        <w:tc>
          <w:tcPr>
            <w:tcW w:w="977" w:type="dxa"/>
            <w:tcBorders>
              <w:top w:val="nil"/>
              <w:left w:val="nil"/>
              <w:bottom w:val="nil"/>
              <w:right w:val="nil"/>
            </w:tcBorders>
          </w:tcPr>
          <w:p>
            <w:pPr>
              <w:pStyle w:val="TableParagraph"/>
              <w:spacing w:before="26"/>
              <w:ind w:right="71"/>
              <w:rPr>
                <w:sz w:val="20"/>
              </w:rPr>
            </w:pPr>
            <w:r>
              <w:rPr>
                <w:sz w:val="20"/>
              </w:rPr>
              <w:t>19</w:t>
            </w:r>
          </w:p>
        </w:tc>
        <w:tc>
          <w:tcPr>
            <w:tcW w:w="977" w:type="dxa"/>
            <w:tcBorders>
              <w:top w:val="nil"/>
              <w:left w:val="nil"/>
              <w:bottom w:val="nil"/>
              <w:right w:val="nil"/>
            </w:tcBorders>
          </w:tcPr>
          <w:p>
            <w:pPr>
              <w:pStyle w:val="TableParagraph"/>
              <w:spacing w:before="26"/>
              <w:ind w:right="67"/>
              <w:rPr>
                <w:sz w:val="20"/>
              </w:rPr>
            </w:pPr>
            <w:r>
              <w:rPr>
                <w:sz w:val="20"/>
              </w:rPr>
              <w:t>19</w:t>
            </w:r>
          </w:p>
        </w:tc>
        <w:tc>
          <w:tcPr>
            <w:tcW w:w="975" w:type="dxa"/>
            <w:tcBorders>
              <w:top w:val="nil"/>
              <w:left w:val="nil"/>
              <w:bottom w:val="nil"/>
              <w:right w:val="nil"/>
            </w:tcBorders>
          </w:tcPr>
          <w:p>
            <w:pPr>
              <w:pStyle w:val="TableParagraph"/>
              <w:spacing w:before="26"/>
              <w:ind w:right="67"/>
              <w:rPr>
                <w:sz w:val="20"/>
              </w:rPr>
            </w:pPr>
            <w:r>
              <w:rPr>
                <w:sz w:val="20"/>
              </w:rPr>
              <w:t>17</w:t>
            </w:r>
          </w:p>
        </w:tc>
        <w:tc>
          <w:tcPr>
            <w:tcW w:w="1056" w:type="dxa"/>
            <w:tcBorders>
              <w:top w:val="nil"/>
              <w:left w:val="nil"/>
              <w:bottom w:val="nil"/>
              <w:right w:val="nil"/>
            </w:tcBorders>
          </w:tcPr>
          <w:p>
            <w:pPr>
              <w:pStyle w:val="TableParagraph"/>
              <w:spacing w:before="26"/>
              <w:ind w:right="67"/>
              <w:rPr>
                <w:sz w:val="20"/>
              </w:rPr>
            </w:pPr>
            <w:r>
              <w:rPr>
                <w:sz w:val="20"/>
              </w:rPr>
              <w:t>18</w:t>
            </w:r>
          </w:p>
        </w:tc>
        <w:tc>
          <w:tcPr>
            <w:tcW w:w="1056" w:type="dxa"/>
            <w:tcBorders>
              <w:top w:val="nil"/>
              <w:left w:val="nil"/>
              <w:bottom w:val="nil"/>
              <w:right w:val="nil"/>
            </w:tcBorders>
          </w:tcPr>
          <w:p>
            <w:pPr>
              <w:pStyle w:val="TableParagraph"/>
              <w:spacing w:before="26"/>
              <w:ind w:right="67"/>
              <w:rPr>
                <w:sz w:val="20"/>
              </w:rPr>
            </w:pPr>
            <w:r>
              <w:rPr>
                <w:sz w:val="20"/>
              </w:rPr>
              <w:t>16</w:t>
            </w:r>
          </w:p>
        </w:tc>
        <w:tc>
          <w:tcPr>
            <w:tcW w:w="1054" w:type="dxa"/>
            <w:tcBorders>
              <w:top w:val="nil"/>
              <w:left w:val="nil"/>
              <w:bottom w:val="nil"/>
              <w:right w:val="nil"/>
            </w:tcBorders>
          </w:tcPr>
          <w:p>
            <w:pPr>
              <w:pStyle w:val="TableParagraph"/>
              <w:spacing w:before="26"/>
              <w:ind w:right="65"/>
              <w:rPr>
                <w:sz w:val="20"/>
              </w:rPr>
            </w:pPr>
            <w:r>
              <w:rPr>
                <w:sz w:val="20"/>
              </w:rPr>
              <w:t>15</w:t>
            </w:r>
          </w:p>
        </w:tc>
      </w:tr>
      <w:tr>
        <w:trPr>
          <w:trHeight w:val="300" w:hRule="exact"/>
        </w:trPr>
        <w:tc>
          <w:tcPr>
            <w:tcW w:w="959" w:type="dxa"/>
            <w:tcBorders>
              <w:top w:val="nil"/>
              <w:left w:val="nil"/>
              <w:bottom w:val="nil"/>
              <w:right w:val="nil"/>
            </w:tcBorders>
          </w:tcPr>
          <w:p>
            <w:pPr>
              <w:pStyle w:val="TableParagraph"/>
              <w:ind w:left="86"/>
              <w:jc w:val="left"/>
              <w:rPr>
                <w:sz w:val="20"/>
              </w:rPr>
            </w:pPr>
            <w:r>
              <w:rPr>
                <w:sz w:val="20"/>
              </w:rPr>
              <w:t>21</w:t>
            </w:r>
          </w:p>
        </w:tc>
        <w:tc>
          <w:tcPr>
            <w:tcW w:w="867" w:type="dxa"/>
            <w:tcBorders>
              <w:top w:val="nil"/>
              <w:left w:val="nil"/>
              <w:bottom w:val="nil"/>
              <w:right w:val="nil"/>
            </w:tcBorders>
          </w:tcPr>
          <w:p>
            <w:pPr>
              <w:pStyle w:val="TableParagraph"/>
              <w:ind w:left="77"/>
              <w:jc w:val="left"/>
              <w:rPr>
                <w:sz w:val="20"/>
              </w:rPr>
            </w:pPr>
            <w:r>
              <w:rPr>
                <w:sz w:val="20"/>
              </w:rPr>
              <w:t>15001</w:t>
            </w:r>
          </w:p>
        </w:tc>
        <w:tc>
          <w:tcPr>
            <w:tcW w:w="992" w:type="dxa"/>
            <w:tcBorders>
              <w:top w:val="nil"/>
              <w:left w:val="nil"/>
              <w:bottom w:val="nil"/>
              <w:right w:val="nil"/>
            </w:tcBorders>
          </w:tcPr>
          <w:p>
            <w:pPr>
              <w:pStyle w:val="TableParagraph"/>
              <w:ind w:right="70"/>
              <w:rPr>
                <w:sz w:val="20"/>
              </w:rPr>
            </w:pPr>
            <w:r>
              <w:rPr>
                <w:sz w:val="20"/>
              </w:rPr>
              <w:t>16</w:t>
            </w:r>
          </w:p>
        </w:tc>
        <w:tc>
          <w:tcPr>
            <w:tcW w:w="977" w:type="dxa"/>
            <w:tcBorders>
              <w:top w:val="nil"/>
              <w:left w:val="nil"/>
              <w:bottom w:val="nil"/>
              <w:right w:val="nil"/>
            </w:tcBorders>
          </w:tcPr>
          <w:p>
            <w:pPr>
              <w:pStyle w:val="TableParagraph"/>
              <w:ind w:right="67"/>
              <w:rPr>
                <w:sz w:val="20"/>
              </w:rPr>
            </w:pPr>
            <w:r>
              <w:rPr>
                <w:sz w:val="20"/>
              </w:rPr>
              <w:t>19</w:t>
            </w:r>
          </w:p>
        </w:tc>
        <w:tc>
          <w:tcPr>
            <w:tcW w:w="975" w:type="dxa"/>
            <w:tcBorders>
              <w:top w:val="nil"/>
              <w:left w:val="nil"/>
              <w:bottom w:val="nil"/>
              <w:right w:val="nil"/>
            </w:tcBorders>
          </w:tcPr>
          <w:p>
            <w:pPr>
              <w:pStyle w:val="TableParagraph"/>
              <w:ind w:right="67"/>
              <w:rPr>
                <w:sz w:val="20"/>
              </w:rPr>
            </w:pPr>
            <w:r>
              <w:rPr>
                <w:sz w:val="20"/>
              </w:rPr>
              <w:t>20</w:t>
            </w:r>
          </w:p>
        </w:tc>
        <w:tc>
          <w:tcPr>
            <w:tcW w:w="977" w:type="dxa"/>
            <w:tcBorders>
              <w:top w:val="nil"/>
              <w:left w:val="nil"/>
              <w:bottom w:val="nil"/>
              <w:right w:val="nil"/>
            </w:tcBorders>
          </w:tcPr>
          <w:p>
            <w:pPr>
              <w:pStyle w:val="TableParagraph"/>
              <w:ind w:right="71"/>
              <w:rPr>
                <w:sz w:val="20"/>
              </w:rPr>
            </w:pPr>
            <w:r>
              <w:rPr>
                <w:sz w:val="20"/>
              </w:rPr>
              <w:t>19</w:t>
            </w:r>
          </w:p>
        </w:tc>
        <w:tc>
          <w:tcPr>
            <w:tcW w:w="977" w:type="dxa"/>
            <w:tcBorders>
              <w:top w:val="nil"/>
              <w:left w:val="nil"/>
              <w:bottom w:val="nil"/>
              <w:right w:val="nil"/>
            </w:tcBorders>
          </w:tcPr>
          <w:p>
            <w:pPr>
              <w:pStyle w:val="TableParagraph"/>
              <w:ind w:right="67"/>
              <w:rPr>
                <w:sz w:val="20"/>
              </w:rPr>
            </w:pPr>
            <w:r>
              <w:rPr>
                <w:sz w:val="20"/>
              </w:rPr>
              <w:t>20</w:t>
            </w:r>
          </w:p>
        </w:tc>
        <w:tc>
          <w:tcPr>
            <w:tcW w:w="975" w:type="dxa"/>
            <w:tcBorders>
              <w:top w:val="nil"/>
              <w:left w:val="nil"/>
              <w:bottom w:val="nil"/>
              <w:right w:val="nil"/>
            </w:tcBorders>
          </w:tcPr>
          <w:p>
            <w:pPr>
              <w:pStyle w:val="TableParagraph"/>
              <w:ind w:right="67"/>
              <w:rPr>
                <w:sz w:val="20"/>
              </w:rPr>
            </w:pPr>
            <w:r>
              <w:rPr>
                <w:sz w:val="20"/>
              </w:rPr>
              <w:t>19</w:t>
            </w:r>
          </w:p>
        </w:tc>
        <w:tc>
          <w:tcPr>
            <w:tcW w:w="977" w:type="dxa"/>
            <w:tcBorders>
              <w:top w:val="nil"/>
              <w:left w:val="nil"/>
              <w:bottom w:val="nil"/>
              <w:right w:val="nil"/>
            </w:tcBorders>
          </w:tcPr>
          <w:p>
            <w:pPr>
              <w:pStyle w:val="TableParagraph"/>
              <w:ind w:right="71"/>
              <w:rPr>
                <w:sz w:val="20"/>
              </w:rPr>
            </w:pPr>
            <w:r>
              <w:rPr>
                <w:sz w:val="20"/>
              </w:rPr>
              <w:t>19</w:t>
            </w:r>
          </w:p>
        </w:tc>
        <w:tc>
          <w:tcPr>
            <w:tcW w:w="977" w:type="dxa"/>
            <w:tcBorders>
              <w:top w:val="nil"/>
              <w:left w:val="nil"/>
              <w:bottom w:val="nil"/>
              <w:right w:val="nil"/>
            </w:tcBorders>
          </w:tcPr>
          <w:p>
            <w:pPr>
              <w:pStyle w:val="TableParagraph"/>
              <w:ind w:right="67"/>
              <w:rPr>
                <w:sz w:val="20"/>
              </w:rPr>
            </w:pPr>
            <w:r>
              <w:rPr>
                <w:sz w:val="20"/>
              </w:rPr>
              <w:t>19</w:t>
            </w:r>
          </w:p>
        </w:tc>
        <w:tc>
          <w:tcPr>
            <w:tcW w:w="975" w:type="dxa"/>
            <w:tcBorders>
              <w:top w:val="nil"/>
              <w:left w:val="nil"/>
              <w:bottom w:val="nil"/>
              <w:right w:val="nil"/>
            </w:tcBorders>
          </w:tcPr>
          <w:p>
            <w:pPr>
              <w:pStyle w:val="TableParagraph"/>
              <w:ind w:right="67"/>
              <w:rPr>
                <w:sz w:val="20"/>
              </w:rPr>
            </w:pPr>
            <w:r>
              <w:rPr>
                <w:sz w:val="20"/>
              </w:rPr>
              <w:t>17</w:t>
            </w:r>
          </w:p>
        </w:tc>
        <w:tc>
          <w:tcPr>
            <w:tcW w:w="1056" w:type="dxa"/>
            <w:tcBorders>
              <w:top w:val="nil"/>
              <w:left w:val="nil"/>
              <w:bottom w:val="nil"/>
              <w:right w:val="nil"/>
            </w:tcBorders>
          </w:tcPr>
          <w:p>
            <w:pPr>
              <w:pStyle w:val="TableParagraph"/>
              <w:ind w:right="67"/>
              <w:rPr>
                <w:sz w:val="20"/>
              </w:rPr>
            </w:pPr>
            <w:r>
              <w:rPr>
                <w:sz w:val="20"/>
              </w:rPr>
              <w:t>17</w:t>
            </w:r>
          </w:p>
        </w:tc>
        <w:tc>
          <w:tcPr>
            <w:tcW w:w="1056" w:type="dxa"/>
            <w:tcBorders>
              <w:top w:val="nil"/>
              <w:left w:val="nil"/>
              <w:bottom w:val="nil"/>
              <w:right w:val="nil"/>
            </w:tcBorders>
          </w:tcPr>
          <w:p>
            <w:pPr>
              <w:pStyle w:val="TableParagraph"/>
              <w:ind w:right="67"/>
              <w:rPr>
                <w:sz w:val="20"/>
              </w:rPr>
            </w:pPr>
            <w:r>
              <w:rPr>
                <w:sz w:val="20"/>
              </w:rPr>
              <w:t>16</w:t>
            </w:r>
          </w:p>
        </w:tc>
        <w:tc>
          <w:tcPr>
            <w:tcW w:w="1054" w:type="dxa"/>
            <w:tcBorders>
              <w:top w:val="nil"/>
              <w:left w:val="nil"/>
              <w:bottom w:val="nil"/>
              <w:right w:val="nil"/>
            </w:tcBorders>
          </w:tcPr>
          <w:p>
            <w:pPr>
              <w:pStyle w:val="TableParagraph"/>
              <w:ind w:right="65"/>
              <w:rPr>
                <w:sz w:val="20"/>
              </w:rPr>
            </w:pPr>
            <w:r>
              <w:rPr>
                <w:sz w:val="20"/>
              </w:rPr>
              <w:t>15</w:t>
            </w:r>
          </w:p>
        </w:tc>
      </w:tr>
      <w:tr>
        <w:trPr>
          <w:trHeight w:val="300" w:hRule="exact"/>
        </w:trPr>
        <w:tc>
          <w:tcPr>
            <w:tcW w:w="959" w:type="dxa"/>
            <w:tcBorders>
              <w:top w:val="nil"/>
              <w:left w:val="nil"/>
              <w:bottom w:val="nil"/>
              <w:right w:val="nil"/>
            </w:tcBorders>
          </w:tcPr>
          <w:p>
            <w:pPr>
              <w:pStyle w:val="TableParagraph"/>
              <w:spacing w:before="26"/>
              <w:ind w:left="86"/>
              <w:jc w:val="left"/>
              <w:rPr>
                <w:sz w:val="20"/>
              </w:rPr>
            </w:pPr>
            <w:r>
              <w:rPr>
                <w:sz w:val="20"/>
              </w:rPr>
              <w:t>22</w:t>
            </w:r>
          </w:p>
        </w:tc>
        <w:tc>
          <w:tcPr>
            <w:tcW w:w="867" w:type="dxa"/>
            <w:tcBorders>
              <w:top w:val="nil"/>
              <w:left w:val="nil"/>
              <w:bottom w:val="nil"/>
              <w:right w:val="nil"/>
            </w:tcBorders>
          </w:tcPr>
          <w:p>
            <w:pPr>
              <w:pStyle w:val="TableParagraph"/>
              <w:spacing w:before="26"/>
              <w:ind w:left="77"/>
              <w:jc w:val="left"/>
              <w:rPr>
                <w:sz w:val="20"/>
              </w:rPr>
            </w:pPr>
            <w:r>
              <w:rPr>
                <w:sz w:val="20"/>
              </w:rPr>
              <w:t>15029</w:t>
            </w:r>
          </w:p>
        </w:tc>
        <w:tc>
          <w:tcPr>
            <w:tcW w:w="992" w:type="dxa"/>
            <w:tcBorders>
              <w:top w:val="nil"/>
              <w:left w:val="nil"/>
              <w:bottom w:val="nil"/>
              <w:right w:val="nil"/>
            </w:tcBorders>
          </w:tcPr>
          <w:p>
            <w:pPr>
              <w:pStyle w:val="TableParagraph"/>
              <w:spacing w:before="26"/>
              <w:ind w:right="70"/>
              <w:rPr>
                <w:sz w:val="20"/>
              </w:rPr>
            </w:pPr>
            <w:r>
              <w:rPr>
                <w:sz w:val="20"/>
              </w:rPr>
              <w:t>16</w:t>
            </w:r>
          </w:p>
        </w:tc>
        <w:tc>
          <w:tcPr>
            <w:tcW w:w="977" w:type="dxa"/>
            <w:tcBorders>
              <w:top w:val="nil"/>
              <w:left w:val="nil"/>
              <w:bottom w:val="nil"/>
              <w:right w:val="nil"/>
            </w:tcBorders>
          </w:tcPr>
          <w:p>
            <w:pPr>
              <w:pStyle w:val="TableParagraph"/>
              <w:spacing w:before="26"/>
              <w:ind w:right="67"/>
              <w:rPr>
                <w:sz w:val="20"/>
              </w:rPr>
            </w:pPr>
            <w:r>
              <w:rPr>
                <w:sz w:val="20"/>
              </w:rPr>
              <w:t>19</w:t>
            </w:r>
          </w:p>
        </w:tc>
        <w:tc>
          <w:tcPr>
            <w:tcW w:w="975" w:type="dxa"/>
            <w:tcBorders>
              <w:top w:val="nil"/>
              <w:left w:val="nil"/>
              <w:bottom w:val="nil"/>
              <w:right w:val="nil"/>
            </w:tcBorders>
          </w:tcPr>
          <w:p>
            <w:pPr>
              <w:pStyle w:val="TableParagraph"/>
              <w:spacing w:before="26"/>
              <w:ind w:right="67"/>
              <w:rPr>
                <w:sz w:val="20"/>
              </w:rPr>
            </w:pPr>
            <w:r>
              <w:rPr>
                <w:sz w:val="20"/>
              </w:rPr>
              <w:t>20</w:t>
            </w:r>
          </w:p>
        </w:tc>
        <w:tc>
          <w:tcPr>
            <w:tcW w:w="977" w:type="dxa"/>
            <w:tcBorders>
              <w:top w:val="nil"/>
              <w:left w:val="nil"/>
              <w:bottom w:val="nil"/>
              <w:right w:val="nil"/>
            </w:tcBorders>
          </w:tcPr>
          <w:p>
            <w:pPr>
              <w:pStyle w:val="TableParagraph"/>
              <w:spacing w:before="26"/>
              <w:ind w:right="71"/>
              <w:rPr>
                <w:sz w:val="20"/>
              </w:rPr>
            </w:pPr>
            <w:r>
              <w:rPr>
                <w:sz w:val="20"/>
              </w:rPr>
              <w:t>20</w:t>
            </w:r>
          </w:p>
        </w:tc>
        <w:tc>
          <w:tcPr>
            <w:tcW w:w="977" w:type="dxa"/>
            <w:tcBorders>
              <w:top w:val="nil"/>
              <w:left w:val="nil"/>
              <w:bottom w:val="nil"/>
              <w:right w:val="nil"/>
            </w:tcBorders>
          </w:tcPr>
          <w:p>
            <w:pPr>
              <w:pStyle w:val="TableParagraph"/>
              <w:spacing w:before="26"/>
              <w:ind w:right="67"/>
              <w:rPr>
                <w:sz w:val="20"/>
              </w:rPr>
            </w:pPr>
            <w:r>
              <w:rPr>
                <w:sz w:val="20"/>
              </w:rPr>
              <w:t>20</w:t>
            </w:r>
          </w:p>
        </w:tc>
        <w:tc>
          <w:tcPr>
            <w:tcW w:w="975" w:type="dxa"/>
            <w:tcBorders>
              <w:top w:val="nil"/>
              <w:left w:val="nil"/>
              <w:bottom w:val="nil"/>
              <w:right w:val="nil"/>
            </w:tcBorders>
          </w:tcPr>
          <w:p>
            <w:pPr>
              <w:pStyle w:val="TableParagraph"/>
              <w:spacing w:before="26"/>
              <w:ind w:right="67"/>
              <w:rPr>
                <w:sz w:val="20"/>
              </w:rPr>
            </w:pPr>
            <w:r>
              <w:rPr>
                <w:sz w:val="20"/>
              </w:rPr>
              <w:t>19</w:t>
            </w:r>
          </w:p>
        </w:tc>
        <w:tc>
          <w:tcPr>
            <w:tcW w:w="977" w:type="dxa"/>
            <w:tcBorders>
              <w:top w:val="nil"/>
              <w:left w:val="nil"/>
              <w:bottom w:val="nil"/>
              <w:right w:val="nil"/>
            </w:tcBorders>
          </w:tcPr>
          <w:p>
            <w:pPr>
              <w:pStyle w:val="TableParagraph"/>
              <w:spacing w:before="26"/>
              <w:ind w:right="71"/>
              <w:rPr>
                <w:sz w:val="20"/>
              </w:rPr>
            </w:pPr>
            <w:r>
              <w:rPr>
                <w:sz w:val="20"/>
              </w:rPr>
              <w:t>19</w:t>
            </w:r>
          </w:p>
        </w:tc>
        <w:tc>
          <w:tcPr>
            <w:tcW w:w="977" w:type="dxa"/>
            <w:tcBorders>
              <w:top w:val="nil"/>
              <w:left w:val="nil"/>
              <w:bottom w:val="nil"/>
              <w:right w:val="nil"/>
            </w:tcBorders>
          </w:tcPr>
          <w:p>
            <w:pPr>
              <w:pStyle w:val="TableParagraph"/>
              <w:spacing w:before="26"/>
              <w:ind w:right="67"/>
              <w:rPr>
                <w:sz w:val="20"/>
              </w:rPr>
            </w:pPr>
            <w:r>
              <w:rPr>
                <w:sz w:val="20"/>
              </w:rPr>
              <w:t>19</w:t>
            </w:r>
          </w:p>
        </w:tc>
        <w:tc>
          <w:tcPr>
            <w:tcW w:w="975" w:type="dxa"/>
            <w:tcBorders>
              <w:top w:val="nil"/>
              <w:left w:val="nil"/>
              <w:bottom w:val="nil"/>
              <w:right w:val="nil"/>
            </w:tcBorders>
          </w:tcPr>
          <w:p>
            <w:pPr>
              <w:pStyle w:val="TableParagraph"/>
              <w:spacing w:before="26"/>
              <w:ind w:right="67"/>
              <w:rPr>
                <w:sz w:val="20"/>
              </w:rPr>
            </w:pPr>
            <w:r>
              <w:rPr>
                <w:sz w:val="20"/>
              </w:rPr>
              <w:t>17</w:t>
            </w:r>
          </w:p>
        </w:tc>
        <w:tc>
          <w:tcPr>
            <w:tcW w:w="1056" w:type="dxa"/>
            <w:tcBorders>
              <w:top w:val="nil"/>
              <w:left w:val="nil"/>
              <w:bottom w:val="nil"/>
              <w:right w:val="nil"/>
            </w:tcBorders>
          </w:tcPr>
          <w:p>
            <w:pPr>
              <w:pStyle w:val="TableParagraph"/>
              <w:spacing w:before="26"/>
              <w:ind w:right="67"/>
              <w:rPr>
                <w:sz w:val="20"/>
              </w:rPr>
            </w:pPr>
            <w:r>
              <w:rPr>
                <w:sz w:val="20"/>
              </w:rPr>
              <w:t>18</w:t>
            </w:r>
          </w:p>
        </w:tc>
        <w:tc>
          <w:tcPr>
            <w:tcW w:w="1056" w:type="dxa"/>
            <w:tcBorders>
              <w:top w:val="nil"/>
              <w:left w:val="nil"/>
              <w:bottom w:val="nil"/>
              <w:right w:val="nil"/>
            </w:tcBorders>
          </w:tcPr>
          <w:p>
            <w:pPr>
              <w:pStyle w:val="TableParagraph"/>
              <w:spacing w:before="26"/>
              <w:ind w:right="67"/>
              <w:rPr>
                <w:sz w:val="20"/>
              </w:rPr>
            </w:pPr>
            <w:r>
              <w:rPr>
                <w:sz w:val="20"/>
              </w:rPr>
              <w:t>16</w:t>
            </w:r>
          </w:p>
        </w:tc>
        <w:tc>
          <w:tcPr>
            <w:tcW w:w="1054" w:type="dxa"/>
            <w:tcBorders>
              <w:top w:val="nil"/>
              <w:left w:val="nil"/>
              <w:bottom w:val="nil"/>
              <w:right w:val="nil"/>
            </w:tcBorders>
          </w:tcPr>
          <w:p>
            <w:pPr>
              <w:pStyle w:val="TableParagraph"/>
              <w:spacing w:before="26"/>
              <w:ind w:right="65"/>
              <w:rPr>
                <w:sz w:val="20"/>
              </w:rPr>
            </w:pPr>
            <w:r>
              <w:rPr>
                <w:sz w:val="20"/>
              </w:rPr>
              <w:t>15</w:t>
            </w:r>
          </w:p>
        </w:tc>
      </w:tr>
      <w:tr>
        <w:trPr>
          <w:trHeight w:val="300" w:hRule="exact"/>
        </w:trPr>
        <w:tc>
          <w:tcPr>
            <w:tcW w:w="959" w:type="dxa"/>
            <w:tcBorders>
              <w:top w:val="nil"/>
              <w:left w:val="nil"/>
              <w:bottom w:val="nil"/>
              <w:right w:val="nil"/>
            </w:tcBorders>
          </w:tcPr>
          <w:p>
            <w:pPr>
              <w:pStyle w:val="TableParagraph"/>
              <w:ind w:left="86"/>
              <w:jc w:val="left"/>
              <w:rPr>
                <w:sz w:val="20"/>
              </w:rPr>
            </w:pPr>
            <w:r>
              <w:rPr>
                <w:sz w:val="20"/>
              </w:rPr>
              <w:t>23</w:t>
            </w:r>
          </w:p>
        </w:tc>
        <w:tc>
          <w:tcPr>
            <w:tcW w:w="867" w:type="dxa"/>
            <w:tcBorders>
              <w:top w:val="nil"/>
              <w:left w:val="nil"/>
              <w:bottom w:val="nil"/>
              <w:right w:val="nil"/>
            </w:tcBorders>
          </w:tcPr>
          <w:p>
            <w:pPr>
              <w:pStyle w:val="TableParagraph"/>
              <w:ind w:left="77"/>
              <w:jc w:val="left"/>
              <w:rPr>
                <w:sz w:val="20"/>
              </w:rPr>
            </w:pPr>
            <w:r>
              <w:rPr>
                <w:sz w:val="20"/>
              </w:rPr>
              <w:t>15001</w:t>
            </w:r>
          </w:p>
        </w:tc>
        <w:tc>
          <w:tcPr>
            <w:tcW w:w="992" w:type="dxa"/>
            <w:tcBorders>
              <w:top w:val="nil"/>
              <w:left w:val="nil"/>
              <w:bottom w:val="nil"/>
              <w:right w:val="nil"/>
            </w:tcBorders>
          </w:tcPr>
          <w:p>
            <w:pPr>
              <w:pStyle w:val="TableParagraph"/>
              <w:ind w:right="70"/>
              <w:rPr>
                <w:sz w:val="20"/>
              </w:rPr>
            </w:pPr>
            <w:r>
              <w:rPr>
                <w:sz w:val="20"/>
              </w:rPr>
              <w:t>16</w:t>
            </w:r>
          </w:p>
        </w:tc>
        <w:tc>
          <w:tcPr>
            <w:tcW w:w="977" w:type="dxa"/>
            <w:tcBorders>
              <w:top w:val="nil"/>
              <w:left w:val="nil"/>
              <w:bottom w:val="nil"/>
              <w:right w:val="nil"/>
            </w:tcBorders>
          </w:tcPr>
          <w:p>
            <w:pPr>
              <w:pStyle w:val="TableParagraph"/>
              <w:ind w:right="67"/>
              <w:rPr>
                <w:sz w:val="20"/>
              </w:rPr>
            </w:pPr>
            <w:r>
              <w:rPr>
                <w:sz w:val="20"/>
              </w:rPr>
              <w:t>19</w:t>
            </w:r>
          </w:p>
        </w:tc>
        <w:tc>
          <w:tcPr>
            <w:tcW w:w="975" w:type="dxa"/>
            <w:tcBorders>
              <w:top w:val="nil"/>
              <w:left w:val="nil"/>
              <w:bottom w:val="nil"/>
              <w:right w:val="nil"/>
            </w:tcBorders>
          </w:tcPr>
          <w:p>
            <w:pPr>
              <w:pStyle w:val="TableParagraph"/>
              <w:ind w:right="67"/>
              <w:rPr>
                <w:sz w:val="20"/>
              </w:rPr>
            </w:pPr>
            <w:r>
              <w:rPr>
                <w:sz w:val="20"/>
              </w:rPr>
              <w:t>20</w:t>
            </w:r>
          </w:p>
        </w:tc>
        <w:tc>
          <w:tcPr>
            <w:tcW w:w="977" w:type="dxa"/>
            <w:tcBorders>
              <w:top w:val="nil"/>
              <w:left w:val="nil"/>
              <w:bottom w:val="nil"/>
              <w:right w:val="nil"/>
            </w:tcBorders>
          </w:tcPr>
          <w:p>
            <w:pPr>
              <w:pStyle w:val="TableParagraph"/>
              <w:ind w:right="71"/>
              <w:rPr>
                <w:sz w:val="20"/>
              </w:rPr>
            </w:pPr>
            <w:r>
              <w:rPr>
                <w:sz w:val="20"/>
              </w:rPr>
              <w:t>19</w:t>
            </w:r>
          </w:p>
        </w:tc>
        <w:tc>
          <w:tcPr>
            <w:tcW w:w="977" w:type="dxa"/>
            <w:tcBorders>
              <w:top w:val="nil"/>
              <w:left w:val="nil"/>
              <w:bottom w:val="nil"/>
              <w:right w:val="nil"/>
            </w:tcBorders>
          </w:tcPr>
          <w:p>
            <w:pPr>
              <w:pStyle w:val="TableParagraph"/>
              <w:ind w:right="67"/>
              <w:rPr>
                <w:sz w:val="20"/>
              </w:rPr>
            </w:pPr>
            <w:r>
              <w:rPr>
                <w:sz w:val="20"/>
              </w:rPr>
              <w:t>20</w:t>
            </w:r>
          </w:p>
        </w:tc>
        <w:tc>
          <w:tcPr>
            <w:tcW w:w="975" w:type="dxa"/>
            <w:tcBorders>
              <w:top w:val="nil"/>
              <w:left w:val="nil"/>
              <w:bottom w:val="nil"/>
              <w:right w:val="nil"/>
            </w:tcBorders>
          </w:tcPr>
          <w:p>
            <w:pPr>
              <w:pStyle w:val="TableParagraph"/>
              <w:ind w:right="67"/>
              <w:rPr>
                <w:sz w:val="20"/>
              </w:rPr>
            </w:pPr>
            <w:r>
              <w:rPr>
                <w:sz w:val="20"/>
              </w:rPr>
              <w:t>19</w:t>
            </w:r>
          </w:p>
        </w:tc>
        <w:tc>
          <w:tcPr>
            <w:tcW w:w="977" w:type="dxa"/>
            <w:tcBorders>
              <w:top w:val="nil"/>
              <w:left w:val="nil"/>
              <w:bottom w:val="nil"/>
              <w:right w:val="nil"/>
            </w:tcBorders>
          </w:tcPr>
          <w:p>
            <w:pPr>
              <w:pStyle w:val="TableParagraph"/>
              <w:ind w:right="71"/>
              <w:rPr>
                <w:sz w:val="20"/>
              </w:rPr>
            </w:pPr>
            <w:r>
              <w:rPr>
                <w:sz w:val="20"/>
              </w:rPr>
              <w:t>19</w:t>
            </w:r>
          </w:p>
        </w:tc>
        <w:tc>
          <w:tcPr>
            <w:tcW w:w="977" w:type="dxa"/>
            <w:tcBorders>
              <w:top w:val="nil"/>
              <w:left w:val="nil"/>
              <w:bottom w:val="nil"/>
              <w:right w:val="nil"/>
            </w:tcBorders>
          </w:tcPr>
          <w:p>
            <w:pPr>
              <w:pStyle w:val="TableParagraph"/>
              <w:ind w:right="67"/>
              <w:rPr>
                <w:sz w:val="20"/>
              </w:rPr>
            </w:pPr>
            <w:r>
              <w:rPr>
                <w:sz w:val="20"/>
              </w:rPr>
              <w:t>19</w:t>
            </w:r>
          </w:p>
        </w:tc>
        <w:tc>
          <w:tcPr>
            <w:tcW w:w="975" w:type="dxa"/>
            <w:tcBorders>
              <w:top w:val="nil"/>
              <w:left w:val="nil"/>
              <w:bottom w:val="nil"/>
              <w:right w:val="nil"/>
            </w:tcBorders>
          </w:tcPr>
          <w:p>
            <w:pPr>
              <w:pStyle w:val="TableParagraph"/>
              <w:ind w:right="67"/>
              <w:rPr>
                <w:sz w:val="20"/>
              </w:rPr>
            </w:pPr>
            <w:r>
              <w:rPr>
                <w:sz w:val="20"/>
              </w:rPr>
              <w:t>17</w:t>
            </w:r>
          </w:p>
        </w:tc>
        <w:tc>
          <w:tcPr>
            <w:tcW w:w="1056" w:type="dxa"/>
            <w:tcBorders>
              <w:top w:val="nil"/>
              <w:left w:val="nil"/>
              <w:bottom w:val="nil"/>
              <w:right w:val="nil"/>
            </w:tcBorders>
          </w:tcPr>
          <w:p>
            <w:pPr>
              <w:pStyle w:val="TableParagraph"/>
              <w:ind w:right="67"/>
              <w:rPr>
                <w:sz w:val="20"/>
              </w:rPr>
            </w:pPr>
            <w:r>
              <w:rPr>
                <w:sz w:val="20"/>
              </w:rPr>
              <w:t>17</w:t>
            </w:r>
          </w:p>
        </w:tc>
        <w:tc>
          <w:tcPr>
            <w:tcW w:w="1056" w:type="dxa"/>
            <w:tcBorders>
              <w:top w:val="nil"/>
              <w:left w:val="nil"/>
              <w:bottom w:val="nil"/>
              <w:right w:val="nil"/>
            </w:tcBorders>
          </w:tcPr>
          <w:p>
            <w:pPr>
              <w:pStyle w:val="TableParagraph"/>
              <w:ind w:right="67"/>
              <w:rPr>
                <w:sz w:val="20"/>
              </w:rPr>
            </w:pPr>
            <w:r>
              <w:rPr>
                <w:sz w:val="20"/>
              </w:rPr>
              <w:t>16</w:t>
            </w:r>
          </w:p>
        </w:tc>
        <w:tc>
          <w:tcPr>
            <w:tcW w:w="1054" w:type="dxa"/>
            <w:tcBorders>
              <w:top w:val="nil"/>
              <w:left w:val="nil"/>
              <w:bottom w:val="nil"/>
              <w:right w:val="nil"/>
            </w:tcBorders>
          </w:tcPr>
          <w:p>
            <w:pPr>
              <w:pStyle w:val="TableParagraph"/>
              <w:ind w:right="65"/>
              <w:rPr>
                <w:sz w:val="20"/>
              </w:rPr>
            </w:pPr>
            <w:r>
              <w:rPr>
                <w:sz w:val="20"/>
              </w:rPr>
              <w:t>15</w:t>
            </w:r>
          </w:p>
        </w:tc>
      </w:tr>
      <w:tr>
        <w:trPr>
          <w:trHeight w:val="300" w:hRule="exact"/>
        </w:trPr>
        <w:tc>
          <w:tcPr>
            <w:tcW w:w="959" w:type="dxa"/>
            <w:tcBorders>
              <w:top w:val="nil"/>
              <w:left w:val="nil"/>
              <w:bottom w:val="nil"/>
              <w:right w:val="nil"/>
            </w:tcBorders>
          </w:tcPr>
          <w:p>
            <w:pPr>
              <w:pStyle w:val="TableParagraph"/>
              <w:spacing w:before="26"/>
              <w:ind w:left="86"/>
              <w:jc w:val="left"/>
              <w:rPr>
                <w:sz w:val="20"/>
              </w:rPr>
            </w:pPr>
            <w:r>
              <w:rPr>
                <w:sz w:val="20"/>
              </w:rPr>
              <w:t>24</w:t>
            </w:r>
          </w:p>
        </w:tc>
        <w:tc>
          <w:tcPr>
            <w:tcW w:w="867" w:type="dxa"/>
            <w:tcBorders>
              <w:top w:val="nil"/>
              <w:left w:val="nil"/>
              <w:bottom w:val="nil"/>
              <w:right w:val="nil"/>
            </w:tcBorders>
          </w:tcPr>
          <w:p>
            <w:pPr>
              <w:pStyle w:val="TableParagraph"/>
              <w:spacing w:before="26"/>
              <w:ind w:left="77"/>
              <w:jc w:val="left"/>
              <w:rPr>
                <w:sz w:val="20"/>
              </w:rPr>
            </w:pPr>
            <w:r>
              <w:rPr>
                <w:sz w:val="20"/>
              </w:rPr>
              <w:t>15029</w:t>
            </w:r>
          </w:p>
        </w:tc>
        <w:tc>
          <w:tcPr>
            <w:tcW w:w="992" w:type="dxa"/>
            <w:tcBorders>
              <w:top w:val="nil"/>
              <w:left w:val="nil"/>
              <w:bottom w:val="nil"/>
              <w:right w:val="nil"/>
            </w:tcBorders>
          </w:tcPr>
          <w:p>
            <w:pPr>
              <w:pStyle w:val="TableParagraph"/>
              <w:spacing w:before="26"/>
              <w:ind w:right="70"/>
              <w:rPr>
                <w:sz w:val="20"/>
              </w:rPr>
            </w:pPr>
            <w:r>
              <w:rPr>
                <w:sz w:val="20"/>
              </w:rPr>
              <w:t>16</w:t>
            </w:r>
          </w:p>
        </w:tc>
        <w:tc>
          <w:tcPr>
            <w:tcW w:w="977" w:type="dxa"/>
            <w:tcBorders>
              <w:top w:val="nil"/>
              <w:left w:val="nil"/>
              <w:bottom w:val="nil"/>
              <w:right w:val="nil"/>
            </w:tcBorders>
          </w:tcPr>
          <w:p>
            <w:pPr>
              <w:pStyle w:val="TableParagraph"/>
              <w:spacing w:before="26"/>
              <w:ind w:right="67"/>
              <w:rPr>
                <w:sz w:val="20"/>
              </w:rPr>
            </w:pPr>
            <w:r>
              <w:rPr>
                <w:sz w:val="20"/>
              </w:rPr>
              <w:t>19</w:t>
            </w:r>
          </w:p>
        </w:tc>
        <w:tc>
          <w:tcPr>
            <w:tcW w:w="975" w:type="dxa"/>
            <w:tcBorders>
              <w:top w:val="nil"/>
              <w:left w:val="nil"/>
              <w:bottom w:val="nil"/>
              <w:right w:val="nil"/>
            </w:tcBorders>
          </w:tcPr>
          <w:p>
            <w:pPr>
              <w:pStyle w:val="TableParagraph"/>
              <w:spacing w:before="26"/>
              <w:ind w:right="67"/>
              <w:rPr>
                <w:sz w:val="20"/>
              </w:rPr>
            </w:pPr>
            <w:r>
              <w:rPr>
                <w:sz w:val="20"/>
              </w:rPr>
              <w:t>20</w:t>
            </w:r>
          </w:p>
        </w:tc>
        <w:tc>
          <w:tcPr>
            <w:tcW w:w="977" w:type="dxa"/>
            <w:tcBorders>
              <w:top w:val="nil"/>
              <w:left w:val="nil"/>
              <w:bottom w:val="nil"/>
              <w:right w:val="nil"/>
            </w:tcBorders>
          </w:tcPr>
          <w:p>
            <w:pPr>
              <w:pStyle w:val="TableParagraph"/>
              <w:spacing w:before="26"/>
              <w:ind w:right="71"/>
              <w:rPr>
                <w:sz w:val="20"/>
              </w:rPr>
            </w:pPr>
            <w:r>
              <w:rPr>
                <w:sz w:val="20"/>
              </w:rPr>
              <w:t>20</w:t>
            </w:r>
          </w:p>
        </w:tc>
        <w:tc>
          <w:tcPr>
            <w:tcW w:w="977" w:type="dxa"/>
            <w:tcBorders>
              <w:top w:val="nil"/>
              <w:left w:val="nil"/>
              <w:bottom w:val="nil"/>
              <w:right w:val="nil"/>
            </w:tcBorders>
          </w:tcPr>
          <w:p>
            <w:pPr>
              <w:pStyle w:val="TableParagraph"/>
              <w:spacing w:before="26"/>
              <w:ind w:right="67"/>
              <w:rPr>
                <w:sz w:val="20"/>
              </w:rPr>
            </w:pPr>
            <w:r>
              <w:rPr>
                <w:sz w:val="20"/>
              </w:rPr>
              <w:t>20</w:t>
            </w:r>
          </w:p>
        </w:tc>
        <w:tc>
          <w:tcPr>
            <w:tcW w:w="975" w:type="dxa"/>
            <w:tcBorders>
              <w:top w:val="nil"/>
              <w:left w:val="nil"/>
              <w:bottom w:val="nil"/>
              <w:right w:val="nil"/>
            </w:tcBorders>
          </w:tcPr>
          <w:p>
            <w:pPr>
              <w:pStyle w:val="TableParagraph"/>
              <w:spacing w:before="26"/>
              <w:ind w:right="67"/>
              <w:rPr>
                <w:sz w:val="20"/>
              </w:rPr>
            </w:pPr>
            <w:r>
              <w:rPr>
                <w:sz w:val="20"/>
              </w:rPr>
              <w:t>19</w:t>
            </w:r>
          </w:p>
        </w:tc>
        <w:tc>
          <w:tcPr>
            <w:tcW w:w="977" w:type="dxa"/>
            <w:tcBorders>
              <w:top w:val="nil"/>
              <w:left w:val="nil"/>
              <w:bottom w:val="nil"/>
              <w:right w:val="nil"/>
            </w:tcBorders>
          </w:tcPr>
          <w:p>
            <w:pPr>
              <w:pStyle w:val="TableParagraph"/>
              <w:spacing w:before="26"/>
              <w:ind w:right="71"/>
              <w:rPr>
                <w:sz w:val="20"/>
              </w:rPr>
            </w:pPr>
            <w:r>
              <w:rPr>
                <w:sz w:val="20"/>
              </w:rPr>
              <w:t>19</w:t>
            </w:r>
          </w:p>
        </w:tc>
        <w:tc>
          <w:tcPr>
            <w:tcW w:w="977" w:type="dxa"/>
            <w:tcBorders>
              <w:top w:val="nil"/>
              <w:left w:val="nil"/>
              <w:bottom w:val="nil"/>
              <w:right w:val="nil"/>
            </w:tcBorders>
          </w:tcPr>
          <w:p>
            <w:pPr>
              <w:pStyle w:val="TableParagraph"/>
              <w:spacing w:before="26"/>
              <w:ind w:right="67"/>
              <w:rPr>
                <w:sz w:val="20"/>
              </w:rPr>
            </w:pPr>
            <w:r>
              <w:rPr>
                <w:sz w:val="20"/>
              </w:rPr>
              <w:t>19</w:t>
            </w:r>
          </w:p>
        </w:tc>
        <w:tc>
          <w:tcPr>
            <w:tcW w:w="975" w:type="dxa"/>
            <w:tcBorders>
              <w:top w:val="nil"/>
              <w:left w:val="nil"/>
              <w:bottom w:val="nil"/>
              <w:right w:val="nil"/>
            </w:tcBorders>
          </w:tcPr>
          <w:p>
            <w:pPr>
              <w:pStyle w:val="TableParagraph"/>
              <w:spacing w:before="26"/>
              <w:ind w:right="67"/>
              <w:rPr>
                <w:sz w:val="20"/>
              </w:rPr>
            </w:pPr>
            <w:r>
              <w:rPr>
                <w:sz w:val="20"/>
              </w:rPr>
              <w:t>17</w:t>
            </w:r>
          </w:p>
        </w:tc>
        <w:tc>
          <w:tcPr>
            <w:tcW w:w="1056" w:type="dxa"/>
            <w:tcBorders>
              <w:top w:val="nil"/>
              <w:left w:val="nil"/>
              <w:bottom w:val="nil"/>
              <w:right w:val="nil"/>
            </w:tcBorders>
          </w:tcPr>
          <w:p>
            <w:pPr>
              <w:pStyle w:val="TableParagraph"/>
              <w:spacing w:before="26"/>
              <w:ind w:right="67"/>
              <w:rPr>
                <w:sz w:val="20"/>
              </w:rPr>
            </w:pPr>
            <w:r>
              <w:rPr>
                <w:sz w:val="20"/>
              </w:rPr>
              <w:t>18</w:t>
            </w:r>
          </w:p>
        </w:tc>
        <w:tc>
          <w:tcPr>
            <w:tcW w:w="1056" w:type="dxa"/>
            <w:tcBorders>
              <w:top w:val="nil"/>
              <w:left w:val="nil"/>
              <w:bottom w:val="nil"/>
              <w:right w:val="nil"/>
            </w:tcBorders>
          </w:tcPr>
          <w:p>
            <w:pPr>
              <w:pStyle w:val="TableParagraph"/>
              <w:spacing w:before="26"/>
              <w:ind w:right="67"/>
              <w:rPr>
                <w:sz w:val="20"/>
              </w:rPr>
            </w:pPr>
            <w:r>
              <w:rPr>
                <w:sz w:val="20"/>
              </w:rPr>
              <w:t>16</w:t>
            </w:r>
          </w:p>
        </w:tc>
        <w:tc>
          <w:tcPr>
            <w:tcW w:w="1054" w:type="dxa"/>
            <w:tcBorders>
              <w:top w:val="nil"/>
              <w:left w:val="nil"/>
              <w:bottom w:val="nil"/>
              <w:right w:val="nil"/>
            </w:tcBorders>
          </w:tcPr>
          <w:p>
            <w:pPr>
              <w:pStyle w:val="TableParagraph"/>
              <w:spacing w:before="26"/>
              <w:ind w:right="65"/>
              <w:rPr>
                <w:sz w:val="20"/>
              </w:rPr>
            </w:pPr>
            <w:r>
              <w:rPr>
                <w:sz w:val="20"/>
              </w:rPr>
              <w:t>15</w:t>
            </w:r>
          </w:p>
        </w:tc>
      </w:tr>
      <w:tr>
        <w:trPr>
          <w:trHeight w:val="300" w:hRule="exact"/>
        </w:trPr>
        <w:tc>
          <w:tcPr>
            <w:tcW w:w="959" w:type="dxa"/>
            <w:tcBorders>
              <w:top w:val="nil"/>
              <w:left w:val="nil"/>
              <w:bottom w:val="nil"/>
              <w:right w:val="nil"/>
            </w:tcBorders>
          </w:tcPr>
          <w:p>
            <w:pPr>
              <w:pStyle w:val="TableParagraph"/>
              <w:ind w:left="86"/>
              <w:jc w:val="left"/>
              <w:rPr>
                <w:sz w:val="20"/>
              </w:rPr>
            </w:pPr>
            <w:r>
              <w:rPr>
                <w:sz w:val="20"/>
              </w:rPr>
              <w:t>25</w:t>
            </w:r>
          </w:p>
        </w:tc>
        <w:tc>
          <w:tcPr>
            <w:tcW w:w="867" w:type="dxa"/>
            <w:tcBorders>
              <w:top w:val="nil"/>
              <w:left w:val="nil"/>
              <w:bottom w:val="nil"/>
              <w:right w:val="nil"/>
            </w:tcBorders>
          </w:tcPr>
          <w:p>
            <w:pPr>
              <w:pStyle w:val="TableParagraph"/>
              <w:ind w:left="77"/>
              <w:jc w:val="left"/>
              <w:rPr>
                <w:sz w:val="20"/>
              </w:rPr>
            </w:pPr>
            <w:r>
              <w:rPr>
                <w:sz w:val="20"/>
              </w:rPr>
              <w:t>15029</w:t>
            </w:r>
          </w:p>
        </w:tc>
        <w:tc>
          <w:tcPr>
            <w:tcW w:w="992" w:type="dxa"/>
            <w:tcBorders>
              <w:top w:val="nil"/>
              <w:left w:val="nil"/>
              <w:bottom w:val="nil"/>
              <w:right w:val="nil"/>
            </w:tcBorders>
          </w:tcPr>
          <w:p>
            <w:pPr>
              <w:pStyle w:val="TableParagraph"/>
              <w:ind w:right="70"/>
              <w:rPr>
                <w:sz w:val="20"/>
              </w:rPr>
            </w:pPr>
            <w:r>
              <w:rPr>
                <w:sz w:val="20"/>
              </w:rPr>
              <w:t>16</w:t>
            </w:r>
          </w:p>
        </w:tc>
        <w:tc>
          <w:tcPr>
            <w:tcW w:w="977" w:type="dxa"/>
            <w:tcBorders>
              <w:top w:val="nil"/>
              <w:left w:val="nil"/>
              <w:bottom w:val="nil"/>
              <w:right w:val="nil"/>
            </w:tcBorders>
          </w:tcPr>
          <w:p>
            <w:pPr>
              <w:pStyle w:val="TableParagraph"/>
              <w:ind w:right="67"/>
              <w:rPr>
                <w:sz w:val="20"/>
              </w:rPr>
            </w:pPr>
            <w:r>
              <w:rPr>
                <w:sz w:val="20"/>
              </w:rPr>
              <w:t>19</w:t>
            </w:r>
          </w:p>
        </w:tc>
        <w:tc>
          <w:tcPr>
            <w:tcW w:w="975" w:type="dxa"/>
            <w:tcBorders>
              <w:top w:val="nil"/>
              <w:left w:val="nil"/>
              <w:bottom w:val="nil"/>
              <w:right w:val="nil"/>
            </w:tcBorders>
          </w:tcPr>
          <w:p>
            <w:pPr>
              <w:pStyle w:val="TableParagraph"/>
              <w:ind w:right="67"/>
              <w:rPr>
                <w:sz w:val="20"/>
              </w:rPr>
            </w:pPr>
            <w:r>
              <w:rPr>
                <w:sz w:val="20"/>
              </w:rPr>
              <w:t>20</w:t>
            </w:r>
          </w:p>
        </w:tc>
        <w:tc>
          <w:tcPr>
            <w:tcW w:w="977" w:type="dxa"/>
            <w:tcBorders>
              <w:top w:val="nil"/>
              <w:left w:val="nil"/>
              <w:bottom w:val="nil"/>
              <w:right w:val="nil"/>
            </w:tcBorders>
          </w:tcPr>
          <w:p>
            <w:pPr>
              <w:pStyle w:val="TableParagraph"/>
              <w:ind w:right="71"/>
              <w:rPr>
                <w:sz w:val="20"/>
              </w:rPr>
            </w:pPr>
            <w:r>
              <w:rPr>
                <w:sz w:val="20"/>
              </w:rPr>
              <w:t>20</w:t>
            </w:r>
          </w:p>
        </w:tc>
        <w:tc>
          <w:tcPr>
            <w:tcW w:w="977" w:type="dxa"/>
            <w:tcBorders>
              <w:top w:val="nil"/>
              <w:left w:val="nil"/>
              <w:bottom w:val="nil"/>
              <w:right w:val="nil"/>
            </w:tcBorders>
          </w:tcPr>
          <w:p>
            <w:pPr>
              <w:pStyle w:val="TableParagraph"/>
              <w:ind w:right="67"/>
              <w:rPr>
                <w:sz w:val="20"/>
              </w:rPr>
            </w:pPr>
            <w:r>
              <w:rPr>
                <w:sz w:val="20"/>
              </w:rPr>
              <w:t>20</w:t>
            </w:r>
          </w:p>
        </w:tc>
        <w:tc>
          <w:tcPr>
            <w:tcW w:w="975" w:type="dxa"/>
            <w:tcBorders>
              <w:top w:val="nil"/>
              <w:left w:val="nil"/>
              <w:bottom w:val="nil"/>
              <w:right w:val="nil"/>
            </w:tcBorders>
          </w:tcPr>
          <w:p>
            <w:pPr>
              <w:pStyle w:val="TableParagraph"/>
              <w:ind w:right="67"/>
              <w:rPr>
                <w:sz w:val="20"/>
              </w:rPr>
            </w:pPr>
            <w:r>
              <w:rPr>
                <w:sz w:val="20"/>
              </w:rPr>
              <w:t>19</w:t>
            </w:r>
          </w:p>
        </w:tc>
        <w:tc>
          <w:tcPr>
            <w:tcW w:w="977" w:type="dxa"/>
            <w:tcBorders>
              <w:top w:val="nil"/>
              <w:left w:val="nil"/>
              <w:bottom w:val="nil"/>
              <w:right w:val="nil"/>
            </w:tcBorders>
          </w:tcPr>
          <w:p>
            <w:pPr>
              <w:pStyle w:val="TableParagraph"/>
              <w:ind w:right="71"/>
              <w:rPr>
                <w:sz w:val="20"/>
              </w:rPr>
            </w:pPr>
            <w:r>
              <w:rPr>
                <w:sz w:val="20"/>
              </w:rPr>
              <w:t>19</w:t>
            </w:r>
          </w:p>
        </w:tc>
        <w:tc>
          <w:tcPr>
            <w:tcW w:w="977" w:type="dxa"/>
            <w:tcBorders>
              <w:top w:val="nil"/>
              <w:left w:val="nil"/>
              <w:bottom w:val="nil"/>
              <w:right w:val="nil"/>
            </w:tcBorders>
          </w:tcPr>
          <w:p>
            <w:pPr>
              <w:pStyle w:val="TableParagraph"/>
              <w:ind w:right="67"/>
              <w:rPr>
                <w:sz w:val="20"/>
              </w:rPr>
            </w:pPr>
            <w:r>
              <w:rPr>
                <w:sz w:val="20"/>
              </w:rPr>
              <w:t>19</w:t>
            </w:r>
          </w:p>
        </w:tc>
        <w:tc>
          <w:tcPr>
            <w:tcW w:w="975" w:type="dxa"/>
            <w:tcBorders>
              <w:top w:val="nil"/>
              <w:left w:val="nil"/>
              <w:bottom w:val="nil"/>
              <w:right w:val="nil"/>
            </w:tcBorders>
          </w:tcPr>
          <w:p>
            <w:pPr>
              <w:pStyle w:val="TableParagraph"/>
              <w:ind w:right="67"/>
              <w:rPr>
                <w:sz w:val="20"/>
              </w:rPr>
            </w:pPr>
            <w:r>
              <w:rPr>
                <w:sz w:val="20"/>
              </w:rPr>
              <w:t>17</w:t>
            </w:r>
          </w:p>
        </w:tc>
        <w:tc>
          <w:tcPr>
            <w:tcW w:w="1056" w:type="dxa"/>
            <w:tcBorders>
              <w:top w:val="nil"/>
              <w:left w:val="nil"/>
              <w:bottom w:val="nil"/>
              <w:right w:val="nil"/>
            </w:tcBorders>
          </w:tcPr>
          <w:p>
            <w:pPr>
              <w:pStyle w:val="TableParagraph"/>
              <w:ind w:right="67"/>
              <w:rPr>
                <w:sz w:val="20"/>
              </w:rPr>
            </w:pPr>
            <w:r>
              <w:rPr>
                <w:sz w:val="20"/>
              </w:rPr>
              <w:t>18</w:t>
            </w:r>
          </w:p>
        </w:tc>
        <w:tc>
          <w:tcPr>
            <w:tcW w:w="1056" w:type="dxa"/>
            <w:tcBorders>
              <w:top w:val="nil"/>
              <w:left w:val="nil"/>
              <w:bottom w:val="nil"/>
              <w:right w:val="nil"/>
            </w:tcBorders>
          </w:tcPr>
          <w:p>
            <w:pPr>
              <w:pStyle w:val="TableParagraph"/>
              <w:ind w:right="67"/>
              <w:rPr>
                <w:sz w:val="20"/>
              </w:rPr>
            </w:pPr>
            <w:r>
              <w:rPr>
                <w:sz w:val="20"/>
              </w:rPr>
              <w:t>16</w:t>
            </w:r>
          </w:p>
        </w:tc>
        <w:tc>
          <w:tcPr>
            <w:tcW w:w="1054" w:type="dxa"/>
            <w:tcBorders>
              <w:top w:val="nil"/>
              <w:left w:val="nil"/>
              <w:bottom w:val="nil"/>
              <w:right w:val="nil"/>
            </w:tcBorders>
          </w:tcPr>
          <w:p>
            <w:pPr>
              <w:pStyle w:val="TableParagraph"/>
              <w:ind w:right="65"/>
              <w:rPr>
                <w:sz w:val="20"/>
              </w:rPr>
            </w:pPr>
            <w:r>
              <w:rPr>
                <w:sz w:val="20"/>
              </w:rPr>
              <w:t>15</w:t>
            </w:r>
          </w:p>
        </w:tc>
      </w:tr>
      <w:tr>
        <w:trPr>
          <w:trHeight w:val="300" w:hRule="exact"/>
        </w:trPr>
        <w:tc>
          <w:tcPr>
            <w:tcW w:w="959" w:type="dxa"/>
            <w:tcBorders>
              <w:top w:val="nil"/>
              <w:left w:val="nil"/>
              <w:bottom w:val="nil"/>
              <w:right w:val="nil"/>
            </w:tcBorders>
          </w:tcPr>
          <w:p>
            <w:pPr>
              <w:pStyle w:val="TableParagraph"/>
              <w:spacing w:before="26"/>
              <w:ind w:left="86"/>
              <w:jc w:val="left"/>
              <w:rPr>
                <w:sz w:val="20"/>
              </w:rPr>
            </w:pPr>
            <w:r>
              <w:rPr>
                <w:sz w:val="20"/>
              </w:rPr>
              <w:t>26</w:t>
            </w:r>
          </w:p>
        </w:tc>
        <w:tc>
          <w:tcPr>
            <w:tcW w:w="867" w:type="dxa"/>
            <w:tcBorders>
              <w:top w:val="nil"/>
              <w:left w:val="nil"/>
              <w:bottom w:val="nil"/>
              <w:right w:val="nil"/>
            </w:tcBorders>
          </w:tcPr>
          <w:p>
            <w:pPr>
              <w:pStyle w:val="TableParagraph"/>
              <w:spacing w:before="26"/>
              <w:ind w:left="77"/>
              <w:jc w:val="left"/>
              <w:rPr>
                <w:sz w:val="20"/>
              </w:rPr>
            </w:pPr>
            <w:r>
              <w:rPr>
                <w:sz w:val="20"/>
              </w:rPr>
              <w:t>15001</w:t>
            </w:r>
          </w:p>
        </w:tc>
        <w:tc>
          <w:tcPr>
            <w:tcW w:w="992" w:type="dxa"/>
            <w:tcBorders>
              <w:top w:val="nil"/>
              <w:left w:val="nil"/>
              <w:bottom w:val="nil"/>
              <w:right w:val="nil"/>
            </w:tcBorders>
          </w:tcPr>
          <w:p>
            <w:pPr>
              <w:pStyle w:val="TableParagraph"/>
              <w:spacing w:before="26"/>
              <w:ind w:right="70"/>
              <w:rPr>
                <w:sz w:val="20"/>
              </w:rPr>
            </w:pPr>
            <w:r>
              <w:rPr>
                <w:sz w:val="20"/>
              </w:rPr>
              <w:t>16</w:t>
            </w:r>
          </w:p>
        </w:tc>
        <w:tc>
          <w:tcPr>
            <w:tcW w:w="977" w:type="dxa"/>
            <w:tcBorders>
              <w:top w:val="nil"/>
              <w:left w:val="nil"/>
              <w:bottom w:val="nil"/>
              <w:right w:val="nil"/>
            </w:tcBorders>
          </w:tcPr>
          <w:p>
            <w:pPr>
              <w:pStyle w:val="TableParagraph"/>
              <w:spacing w:before="26"/>
              <w:ind w:right="67"/>
              <w:rPr>
                <w:sz w:val="20"/>
              </w:rPr>
            </w:pPr>
            <w:r>
              <w:rPr>
                <w:sz w:val="20"/>
              </w:rPr>
              <w:t>19</w:t>
            </w:r>
          </w:p>
        </w:tc>
        <w:tc>
          <w:tcPr>
            <w:tcW w:w="975" w:type="dxa"/>
            <w:tcBorders>
              <w:top w:val="nil"/>
              <w:left w:val="nil"/>
              <w:bottom w:val="nil"/>
              <w:right w:val="nil"/>
            </w:tcBorders>
          </w:tcPr>
          <w:p>
            <w:pPr>
              <w:pStyle w:val="TableParagraph"/>
              <w:spacing w:before="26"/>
              <w:ind w:right="67"/>
              <w:rPr>
                <w:sz w:val="20"/>
              </w:rPr>
            </w:pPr>
            <w:r>
              <w:rPr>
                <w:sz w:val="20"/>
              </w:rPr>
              <w:t>20</w:t>
            </w:r>
          </w:p>
        </w:tc>
        <w:tc>
          <w:tcPr>
            <w:tcW w:w="977" w:type="dxa"/>
            <w:tcBorders>
              <w:top w:val="nil"/>
              <w:left w:val="nil"/>
              <w:bottom w:val="nil"/>
              <w:right w:val="nil"/>
            </w:tcBorders>
          </w:tcPr>
          <w:p>
            <w:pPr>
              <w:pStyle w:val="TableParagraph"/>
              <w:spacing w:before="26"/>
              <w:ind w:right="71"/>
              <w:rPr>
                <w:sz w:val="20"/>
              </w:rPr>
            </w:pPr>
            <w:r>
              <w:rPr>
                <w:sz w:val="20"/>
              </w:rPr>
              <w:t>19</w:t>
            </w:r>
          </w:p>
        </w:tc>
        <w:tc>
          <w:tcPr>
            <w:tcW w:w="977" w:type="dxa"/>
            <w:tcBorders>
              <w:top w:val="nil"/>
              <w:left w:val="nil"/>
              <w:bottom w:val="nil"/>
              <w:right w:val="nil"/>
            </w:tcBorders>
          </w:tcPr>
          <w:p>
            <w:pPr>
              <w:pStyle w:val="TableParagraph"/>
              <w:spacing w:before="26"/>
              <w:ind w:right="67"/>
              <w:rPr>
                <w:sz w:val="20"/>
              </w:rPr>
            </w:pPr>
            <w:r>
              <w:rPr>
                <w:sz w:val="20"/>
              </w:rPr>
              <w:t>20</w:t>
            </w:r>
          </w:p>
        </w:tc>
        <w:tc>
          <w:tcPr>
            <w:tcW w:w="975" w:type="dxa"/>
            <w:tcBorders>
              <w:top w:val="nil"/>
              <w:left w:val="nil"/>
              <w:bottom w:val="nil"/>
              <w:right w:val="nil"/>
            </w:tcBorders>
          </w:tcPr>
          <w:p>
            <w:pPr>
              <w:pStyle w:val="TableParagraph"/>
              <w:spacing w:before="26"/>
              <w:ind w:right="67"/>
              <w:rPr>
                <w:sz w:val="20"/>
              </w:rPr>
            </w:pPr>
            <w:r>
              <w:rPr>
                <w:sz w:val="20"/>
              </w:rPr>
              <w:t>19</w:t>
            </w:r>
          </w:p>
        </w:tc>
        <w:tc>
          <w:tcPr>
            <w:tcW w:w="977" w:type="dxa"/>
            <w:tcBorders>
              <w:top w:val="nil"/>
              <w:left w:val="nil"/>
              <w:bottom w:val="nil"/>
              <w:right w:val="nil"/>
            </w:tcBorders>
          </w:tcPr>
          <w:p>
            <w:pPr>
              <w:pStyle w:val="TableParagraph"/>
              <w:spacing w:before="26"/>
              <w:ind w:right="71"/>
              <w:rPr>
                <w:sz w:val="20"/>
              </w:rPr>
            </w:pPr>
            <w:r>
              <w:rPr>
                <w:sz w:val="20"/>
              </w:rPr>
              <w:t>19</w:t>
            </w:r>
          </w:p>
        </w:tc>
        <w:tc>
          <w:tcPr>
            <w:tcW w:w="977" w:type="dxa"/>
            <w:tcBorders>
              <w:top w:val="nil"/>
              <w:left w:val="nil"/>
              <w:bottom w:val="nil"/>
              <w:right w:val="nil"/>
            </w:tcBorders>
          </w:tcPr>
          <w:p>
            <w:pPr>
              <w:pStyle w:val="TableParagraph"/>
              <w:spacing w:before="26"/>
              <w:ind w:right="67"/>
              <w:rPr>
                <w:sz w:val="20"/>
              </w:rPr>
            </w:pPr>
            <w:r>
              <w:rPr>
                <w:sz w:val="20"/>
              </w:rPr>
              <w:t>19</w:t>
            </w:r>
          </w:p>
        </w:tc>
        <w:tc>
          <w:tcPr>
            <w:tcW w:w="975" w:type="dxa"/>
            <w:tcBorders>
              <w:top w:val="nil"/>
              <w:left w:val="nil"/>
              <w:bottom w:val="nil"/>
              <w:right w:val="nil"/>
            </w:tcBorders>
          </w:tcPr>
          <w:p>
            <w:pPr>
              <w:pStyle w:val="TableParagraph"/>
              <w:spacing w:before="26"/>
              <w:ind w:right="67"/>
              <w:rPr>
                <w:sz w:val="20"/>
              </w:rPr>
            </w:pPr>
            <w:r>
              <w:rPr>
                <w:sz w:val="20"/>
              </w:rPr>
              <w:t>17</w:t>
            </w:r>
          </w:p>
        </w:tc>
        <w:tc>
          <w:tcPr>
            <w:tcW w:w="1056" w:type="dxa"/>
            <w:tcBorders>
              <w:top w:val="nil"/>
              <w:left w:val="nil"/>
              <w:bottom w:val="nil"/>
              <w:right w:val="nil"/>
            </w:tcBorders>
          </w:tcPr>
          <w:p>
            <w:pPr>
              <w:pStyle w:val="TableParagraph"/>
              <w:spacing w:before="26"/>
              <w:ind w:right="67"/>
              <w:rPr>
                <w:sz w:val="20"/>
              </w:rPr>
            </w:pPr>
            <w:r>
              <w:rPr>
                <w:sz w:val="20"/>
              </w:rPr>
              <w:t>17</w:t>
            </w:r>
          </w:p>
        </w:tc>
        <w:tc>
          <w:tcPr>
            <w:tcW w:w="1056" w:type="dxa"/>
            <w:tcBorders>
              <w:top w:val="nil"/>
              <w:left w:val="nil"/>
              <w:bottom w:val="nil"/>
              <w:right w:val="nil"/>
            </w:tcBorders>
          </w:tcPr>
          <w:p>
            <w:pPr>
              <w:pStyle w:val="TableParagraph"/>
              <w:spacing w:before="26"/>
              <w:ind w:right="67"/>
              <w:rPr>
                <w:sz w:val="20"/>
              </w:rPr>
            </w:pPr>
            <w:r>
              <w:rPr>
                <w:sz w:val="20"/>
              </w:rPr>
              <w:t>16</w:t>
            </w:r>
          </w:p>
        </w:tc>
        <w:tc>
          <w:tcPr>
            <w:tcW w:w="1054" w:type="dxa"/>
            <w:tcBorders>
              <w:top w:val="nil"/>
              <w:left w:val="nil"/>
              <w:bottom w:val="nil"/>
              <w:right w:val="nil"/>
            </w:tcBorders>
          </w:tcPr>
          <w:p>
            <w:pPr>
              <w:pStyle w:val="TableParagraph"/>
              <w:spacing w:before="26"/>
              <w:ind w:right="65"/>
              <w:rPr>
                <w:sz w:val="20"/>
              </w:rPr>
            </w:pPr>
            <w:r>
              <w:rPr>
                <w:sz w:val="20"/>
              </w:rPr>
              <w:t>15</w:t>
            </w:r>
          </w:p>
        </w:tc>
      </w:tr>
      <w:tr>
        <w:trPr>
          <w:trHeight w:val="300" w:hRule="exact"/>
        </w:trPr>
        <w:tc>
          <w:tcPr>
            <w:tcW w:w="959" w:type="dxa"/>
            <w:tcBorders>
              <w:top w:val="nil"/>
              <w:left w:val="nil"/>
              <w:bottom w:val="nil"/>
              <w:right w:val="nil"/>
            </w:tcBorders>
          </w:tcPr>
          <w:p>
            <w:pPr>
              <w:pStyle w:val="TableParagraph"/>
              <w:ind w:left="86"/>
              <w:jc w:val="left"/>
              <w:rPr>
                <w:sz w:val="20"/>
              </w:rPr>
            </w:pPr>
            <w:r>
              <w:rPr>
                <w:sz w:val="20"/>
              </w:rPr>
              <w:t>27</w:t>
            </w:r>
          </w:p>
        </w:tc>
        <w:tc>
          <w:tcPr>
            <w:tcW w:w="867" w:type="dxa"/>
            <w:tcBorders>
              <w:top w:val="nil"/>
              <w:left w:val="nil"/>
              <w:bottom w:val="nil"/>
              <w:right w:val="nil"/>
            </w:tcBorders>
          </w:tcPr>
          <w:p>
            <w:pPr>
              <w:pStyle w:val="TableParagraph"/>
              <w:ind w:left="77"/>
              <w:jc w:val="left"/>
              <w:rPr>
                <w:sz w:val="20"/>
              </w:rPr>
            </w:pPr>
            <w:r>
              <w:rPr>
                <w:sz w:val="20"/>
              </w:rPr>
              <w:t>15029</w:t>
            </w:r>
          </w:p>
        </w:tc>
        <w:tc>
          <w:tcPr>
            <w:tcW w:w="992" w:type="dxa"/>
            <w:tcBorders>
              <w:top w:val="nil"/>
              <w:left w:val="nil"/>
              <w:bottom w:val="nil"/>
              <w:right w:val="nil"/>
            </w:tcBorders>
          </w:tcPr>
          <w:p>
            <w:pPr>
              <w:pStyle w:val="TableParagraph"/>
              <w:ind w:right="70"/>
              <w:rPr>
                <w:sz w:val="20"/>
              </w:rPr>
            </w:pPr>
            <w:r>
              <w:rPr>
                <w:sz w:val="20"/>
              </w:rPr>
              <w:t>16</w:t>
            </w:r>
          </w:p>
        </w:tc>
        <w:tc>
          <w:tcPr>
            <w:tcW w:w="977" w:type="dxa"/>
            <w:tcBorders>
              <w:top w:val="nil"/>
              <w:left w:val="nil"/>
              <w:bottom w:val="nil"/>
              <w:right w:val="nil"/>
            </w:tcBorders>
          </w:tcPr>
          <w:p>
            <w:pPr>
              <w:pStyle w:val="TableParagraph"/>
              <w:ind w:right="67"/>
              <w:rPr>
                <w:sz w:val="20"/>
              </w:rPr>
            </w:pPr>
            <w:r>
              <w:rPr>
                <w:sz w:val="20"/>
              </w:rPr>
              <w:t>19</w:t>
            </w:r>
          </w:p>
        </w:tc>
        <w:tc>
          <w:tcPr>
            <w:tcW w:w="975" w:type="dxa"/>
            <w:tcBorders>
              <w:top w:val="nil"/>
              <w:left w:val="nil"/>
              <w:bottom w:val="nil"/>
              <w:right w:val="nil"/>
            </w:tcBorders>
          </w:tcPr>
          <w:p>
            <w:pPr>
              <w:pStyle w:val="TableParagraph"/>
              <w:ind w:right="67"/>
              <w:rPr>
                <w:sz w:val="20"/>
              </w:rPr>
            </w:pPr>
            <w:r>
              <w:rPr>
                <w:sz w:val="20"/>
              </w:rPr>
              <w:t>20</w:t>
            </w:r>
          </w:p>
        </w:tc>
        <w:tc>
          <w:tcPr>
            <w:tcW w:w="977" w:type="dxa"/>
            <w:tcBorders>
              <w:top w:val="nil"/>
              <w:left w:val="nil"/>
              <w:bottom w:val="nil"/>
              <w:right w:val="nil"/>
            </w:tcBorders>
          </w:tcPr>
          <w:p>
            <w:pPr>
              <w:pStyle w:val="TableParagraph"/>
              <w:ind w:right="71"/>
              <w:rPr>
                <w:sz w:val="20"/>
              </w:rPr>
            </w:pPr>
            <w:r>
              <w:rPr>
                <w:sz w:val="20"/>
              </w:rPr>
              <w:t>20</w:t>
            </w:r>
          </w:p>
        </w:tc>
        <w:tc>
          <w:tcPr>
            <w:tcW w:w="977" w:type="dxa"/>
            <w:tcBorders>
              <w:top w:val="nil"/>
              <w:left w:val="nil"/>
              <w:bottom w:val="nil"/>
              <w:right w:val="nil"/>
            </w:tcBorders>
          </w:tcPr>
          <w:p>
            <w:pPr>
              <w:pStyle w:val="TableParagraph"/>
              <w:ind w:right="67"/>
              <w:rPr>
                <w:sz w:val="20"/>
              </w:rPr>
            </w:pPr>
            <w:r>
              <w:rPr>
                <w:sz w:val="20"/>
              </w:rPr>
              <w:t>20</w:t>
            </w:r>
          </w:p>
        </w:tc>
        <w:tc>
          <w:tcPr>
            <w:tcW w:w="975" w:type="dxa"/>
            <w:tcBorders>
              <w:top w:val="nil"/>
              <w:left w:val="nil"/>
              <w:bottom w:val="nil"/>
              <w:right w:val="nil"/>
            </w:tcBorders>
          </w:tcPr>
          <w:p>
            <w:pPr>
              <w:pStyle w:val="TableParagraph"/>
              <w:ind w:right="67"/>
              <w:rPr>
                <w:sz w:val="20"/>
              </w:rPr>
            </w:pPr>
            <w:r>
              <w:rPr>
                <w:sz w:val="20"/>
              </w:rPr>
              <w:t>19</w:t>
            </w:r>
          </w:p>
        </w:tc>
        <w:tc>
          <w:tcPr>
            <w:tcW w:w="977" w:type="dxa"/>
            <w:tcBorders>
              <w:top w:val="nil"/>
              <w:left w:val="nil"/>
              <w:bottom w:val="nil"/>
              <w:right w:val="nil"/>
            </w:tcBorders>
          </w:tcPr>
          <w:p>
            <w:pPr>
              <w:pStyle w:val="TableParagraph"/>
              <w:ind w:right="71"/>
              <w:rPr>
                <w:sz w:val="20"/>
              </w:rPr>
            </w:pPr>
            <w:r>
              <w:rPr>
                <w:sz w:val="20"/>
              </w:rPr>
              <w:t>19</w:t>
            </w:r>
          </w:p>
        </w:tc>
        <w:tc>
          <w:tcPr>
            <w:tcW w:w="977" w:type="dxa"/>
            <w:tcBorders>
              <w:top w:val="nil"/>
              <w:left w:val="nil"/>
              <w:bottom w:val="nil"/>
              <w:right w:val="nil"/>
            </w:tcBorders>
          </w:tcPr>
          <w:p>
            <w:pPr>
              <w:pStyle w:val="TableParagraph"/>
              <w:ind w:right="67"/>
              <w:rPr>
                <w:sz w:val="20"/>
              </w:rPr>
            </w:pPr>
            <w:r>
              <w:rPr>
                <w:sz w:val="20"/>
              </w:rPr>
              <w:t>19</w:t>
            </w:r>
          </w:p>
        </w:tc>
        <w:tc>
          <w:tcPr>
            <w:tcW w:w="975" w:type="dxa"/>
            <w:tcBorders>
              <w:top w:val="nil"/>
              <w:left w:val="nil"/>
              <w:bottom w:val="nil"/>
              <w:right w:val="nil"/>
            </w:tcBorders>
          </w:tcPr>
          <w:p>
            <w:pPr>
              <w:pStyle w:val="TableParagraph"/>
              <w:ind w:right="67"/>
              <w:rPr>
                <w:sz w:val="20"/>
              </w:rPr>
            </w:pPr>
            <w:r>
              <w:rPr>
                <w:sz w:val="20"/>
              </w:rPr>
              <w:t>17</w:t>
            </w:r>
          </w:p>
        </w:tc>
        <w:tc>
          <w:tcPr>
            <w:tcW w:w="1056" w:type="dxa"/>
            <w:tcBorders>
              <w:top w:val="nil"/>
              <w:left w:val="nil"/>
              <w:bottom w:val="nil"/>
              <w:right w:val="nil"/>
            </w:tcBorders>
          </w:tcPr>
          <w:p>
            <w:pPr>
              <w:pStyle w:val="TableParagraph"/>
              <w:ind w:right="67"/>
              <w:rPr>
                <w:sz w:val="20"/>
              </w:rPr>
            </w:pPr>
            <w:r>
              <w:rPr>
                <w:sz w:val="20"/>
              </w:rPr>
              <w:t>18</w:t>
            </w:r>
          </w:p>
        </w:tc>
        <w:tc>
          <w:tcPr>
            <w:tcW w:w="1056" w:type="dxa"/>
            <w:tcBorders>
              <w:top w:val="nil"/>
              <w:left w:val="nil"/>
              <w:bottom w:val="nil"/>
              <w:right w:val="nil"/>
            </w:tcBorders>
          </w:tcPr>
          <w:p>
            <w:pPr>
              <w:pStyle w:val="TableParagraph"/>
              <w:ind w:right="67"/>
              <w:rPr>
                <w:sz w:val="20"/>
              </w:rPr>
            </w:pPr>
            <w:r>
              <w:rPr>
                <w:sz w:val="20"/>
              </w:rPr>
              <w:t>16</w:t>
            </w:r>
          </w:p>
        </w:tc>
        <w:tc>
          <w:tcPr>
            <w:tcW w:w="1054" w:type="dxa"/>
            <w:tcBorders>
              <w:top w:val="nil"/>
              <w:left w:val="nil"/>
              <w:bottom w:val="nil"/>
              <w:right w:val="nil"/>
            </w:tcBorders>
          </w:tcPr>
          <w:p>
            <w:pPr>
              <w:pStyle w:val="TableParagraph"/>
              <w:ind w:right="65"/>
              <w:rPr>
                <w:sz w:val="20"/>
              </w:rPr>
            </w:pPr>
            <w:r>
              <w:rPr>
                <w:sz w:val="20"/>
              </w:rPr>
              <w:t>15</w:t>
            </w:r>
          </w:p>
        </w:tc>
      </w:tr>
      <w:tr>
        <w:trPr>
          <w:trHeight w:val="300" w:hRule="exact"/>
        </w:trPr>
        <w:tc>
          <w:tcPr>
            <w:tcW w:w="959" w:type="dxa"/>
            <w:tcBorders>
              <w:top w:val="nil"/>
              <w:left w:val="nil"/>
              <w:bottom w:val="nil"/>
              <w:right w:val="nil"/>
            </w:tcBorders>
          </w:tcPr>
          <w:p>
            <w:pPr>
              <w:pStyle w:val="TableParagraph"/>
              <w:spacing w:before="26"/>
              <w:ind w:left="86"/>
              <w:jc w:val="left"/>
              <w:rPr>
                <w:sz w:val="20"/>
              </w:rPr>
            </w:pPr>
            <w:r>
              <w:rPr>
                <w:sz w:val="20"/>
              </w:rPr>
              <w:t>28</w:t>
            </w:r>
          </w:p>
        </w:tc>
        <w:tc>
          <w:tcPr>
            <w:tcW w:w="867" w:type="dxa"/>
            <w:tcBorders>
              <w:top w:val="nil"/>
              <w:left w:val="nil"/>
              <w:bottom w:val="nil"/>
              <w:right w:val="nil"/>
            </w:tcBorders>
          </w:tcPr>
          <w:p>
            <w:pPr>
              <w:pStyle w:val="TableParagraph"/>
              <w:spacing w:before="26"/>
              <w:ind w:left="77"/>
              <w:jc w:val="left"/>
              <w:rPr>
                <w:sz w:val="20"/>
              </w:rPr>
            </w:pPr>
            <w:r>
              <w:rPr>
                <w:sz w:val="20"/>
              </w:rPr>
              <w:t>15029</w:t>
            </w:r>
          </w:p>
        </w:tc>
        <w:tc>
          <w:tcPr>
            <w:tcW w:w="992" w:type="dxa"/>
            <w:tcBorders>
              <w:top w:val="nil"/>
              <w:left w:val="nil"/>
              <w:bottom w:val="nil"/>
              <w:right w:val="nil"/>
            </w:tcBorders>
          </w:tcPr>
          <w:p>
            <w:pPr>
              <w:pStyle w:val="TableParagraph"/>
              <w:spacing w:before="26"/>
              <w:ind w:right="70"/>
              <w:rPr>
                <w:sz w:val="20"/>
              </w:rPr>
            </w:pPr>
            <w:r>
              <w:rPr>
                <w:sz w:val="20"/>
              </w:rPr>
              <w:t>16</w:t>
            </w:r>
          </w:p>
        </w:tc>
        <w:tc>
          <w:tcPr>
            <w:tcW w:w="977" w:type="dxa"/>
            <w:tcBorders>
              <w:top w:val="nil"/>
              <w:left w:val="nil"/>
              <w:bottom w:val="nil"/>
              <w:right w:val="nil"/>
            </w:tcBorders>
          </w:tcPr>
          <w:p>
            <w:pPr>
              <w:pStyle w:val="TableParagraph"/>
              <w:spacing w:before="26"/>
              <w:ind w:right="67"/>
              <w:rPr>
                <w:sz w:val="20"/>
              </w:rPr>
            </w:pPr>
            <w:r>
              <w:rPr>
                <w:sz w:val="20"/>
              </w:rPr>
              <w:t>19</w:t>
            </w:r>
          </w:p>
        </w:tc>
        <w:tc>
          <w:tcPr>
            <w:tcW w:w="975" w:type="dxa"/>
            <w:tcBorders>
              <w:top w:val="nil"/>
              <w:left w:val="nil"/>
              <w:bottom w:val="nil"/>
              <w:right w:val="nil"/>
            </w:tcBorders>
          </w:tcPr>
          <w:p>
            <w:pPr>
              <w:pStyle w:val="TableParagraph"/>
              <w:spacing w:before="26"/>
              <w:ind w:right="67"/>
              <w:rPr>
                <w:sz w:val="20"/>
              </w:rPr>
            </w:pPr>
            <w:r>
              <w:rPr>
                <w:sz w:val="20"/>
              </w:rPr>
              <w:t>20</w:t>
            </w:r>
          </w:p>
        </w:tc>
        <w:tc>
          <w:tcPr>
            <w:tcW w:w="977" w:type="dxa"/>
            <w:tcBorders>
              <w:top w:val="nil"/>
              <w:left w:val="nil"/>
              <w:bottom w:val="nil"/>
              <w:right w:val="nil"/>
            </w:tcBorders>
          </w:tcPr>
          <w:p>
            <w:pPr>
              <w:pStyle w:val="TableParagraph"/>
              <w:spacing w:before="26"/>
              <w:ind w:right="71"/>
              <w:rPr>
                <w:sz w:val="20"/>
              </w:rPr>
            </w:pPr>
            <w:r>
              <w:rPr>
                <w:sz w:val="20"/>
              </w:rPr>
              <w:t>20</w:t>
            </w:r>
          </w:p>
        </w:tc>
        <w:tc>
          <w:tcPr>
            <w:tcW w:w="977" w:type="dxa"/>
            <w:tcBorders>
              <w:top w:val="nil"/>
              <w:left w:val="nil"/>
              <w:bottom w:val="nil"/>
              <w:right w:val="nil"/>
            </w:tcBorders>
          </w:tcPr>
          <w:p>
            <w:pPr>
              <w:pStyle w:val="TableParagraph"/>
              <w:spacing w:before="26"/>
              <w:ind w:right="67"/>
              <w:rPr>
                <w:sz w:val="20"/>
              </w:rPr>
            </w:pPr>
            <w:r>
              <w:rPr>
                <w:sz w:val="20"/>
              </w:rPr>
              <w:t>20</w:t>
            </w:r>
          </w:p>
        </w:tc>
        <w:tc>
          <w:tcPr>
            <w:tcW w:w="975" w:type="dxa"/>
            <w:tcBorders>
              <w:top w:val="nil"/>
              <w:left w:val="nil"/>
              <w:bottom w:val="nil"/>
              <w:right w:val="nil"/>
            </w:tcBorders>
          </w:tcPr>
          <w:p>
            <w:pPr>
              <w:pStyle w:val="TableParagraph"/>
              <w:spacing w:before="26"/>
              <w:ind w:right="67"/>
              <w:rPr>
                <w:sz w:val="20"/>
              </w:rPr>
            </w:pPr>
            <w:r>
              <w:rPr>
                <w:sz w:val="20"/>
              </w:rPr>
              <w:t>19</w:t>
            </w:r>
          </w:p>
        </w:tc>
        <w:tc>
          <w:tcPr>
            <w:tcW w:w="977" w:type="dxa"/>
            <w:tcBorders>
              <w:top w:val="nil"/>
              <w:left w:val="nil"/>
              <w:bottom w:val="nil"/>
              <w:right w:val="nil"/>
            </w:tcBorders>
          </w:tcPr>
          <w:p>
            <w:pPr>
              <w:pStyle w:val="TableParagraph"/>
              <w:spacing w:before="26"/>
              <w:ind w:right="71"/>
              <w:rPr>
                <w:sz w:val="20"/>
              </w:rPr>
            </w:pPr>
            <w:r>
              <w:rPr>
                <w:sz w:val="20"/>
              </w:rPr>
              <w:t>19</w:t>
            </w:r>
          </w:p>
        </w:tc>
        <w:tc>
          <w:tcPr>
            <w:tcW w:w="977" w:type="dxa"/>
            <w:tcBorders>
              <w:top w:val="nil"/>
              <w:left w:val="nil"/>
              <w:bottom w:val="nil"/>
              <w:right w:val="nil"/>
            </w:tcBorders>
          </w:tcPr>
          <w:p>
            <w:pPr>
              <w:pStyle w:val="TableParagraph"/>
              <w:spacing w:before="26"/>
              <w:ind w:right="67"/>
              <w:rPr>
                <w:sz w:val="20"/>
              </w:rPr>
            </w:pPr>
            <w:r>
              <w:rPr>
                <w:sz w:val="20"/>
              </w:rPr>
              <w:t>19</w:t>
            </w:r>
          </w:p>
        </w:tc>
        <w:tc>
          <w:tcPr>
            <w:tcW w:w="975" w:type="dxa"/>
            <w:tcBorders>
              <w:top w:val="nil"/>
              <w:left w:val="nil"/>
              <w:bottom w:val="nil"/>
              <w:right w:val="nil"/>
            </w:tcBorders>
          </w:tcPr>
          <w:p>
            <w:pPr>
              <w:pStyle w:val="TableParagraph"/>
              <w:spacing w:before="26"/>
              <w:ind w:right="67"/>
              <w:rPr>
                <w:sz w:val="20"/>
              </w:rPr>
            </w:pPr>
            <w:r>
              <w:rPr>
                <w:sz w:val="20"/>
              </w:rPr>
              <w:t>17</w:t>
            </w:r>
          </w:p>
        </w:tc>
        <w:tc>
          <w:tcPr>
            <w:tcW w:w="1056" w:type="dxa"/>
            <w:tcBorders>
              <w:top w:val="nil"/>
              <w:left w:val="nil"/>
              <w:bottom w:val="nil"/>
              <w:right w:val="nil"/>
            </w:tcBorders>
          </w:tcPr>
          <w:p>
            <w:pPr>
              <w:pStyle w:val="TableParagraph"/>
              <w:spacing w:before="26"/>
              <w:ind w:right="67"/>
              <w:rPr>
                <w:sz w:val="20"/>
              </w:rPr>
            </w:pPr>
            <w:r>
              <w:rPr>
                <w:sz w:val="20"/>
              </w:rPr>
              <w:t>18</w:t>
            </w:r>
          </w:p>
        </w:tc>
        <w:tc>
          <w:tcPr>
            <w:tcW w:w="1056" w:type="dxa"/>
            <w:tcBorders>
              <w:top w:val="nil"/>
              <w:left w:val="nil"/>
              <w:bottom w:val="nil"/>
              <w:right w:val="nil"/>
            </w:tcBorders>
          </w:tcPr>
          <w:p>
            <w:pPr>
              <w:pStyle w:val="TableParagraph"/>
              <w:spacing w:before="26"/>
              <w:ind w:right="67"/>
              <w:rPr>
                <w:sz w:val="20"/>
              </w:rPr>
            </w:pPr>
            <w:r>
              <w:rPr>
                <w:sz w:val="20"/>
              </w:rPr>
              <w:t>16</w:t>
            </w:r>
          </w:p>
        </w:tc>
        <w:tc>
          <w:tcPr>
            <w:tcW w:w="1054" w:type="dxa"/>
            <w:tcBorders>
              <w:top w:val="nil"/>
              <w:left w:val="nil"/>
              <w:bottom w:val="nil"/>
              <w:right w:val="nil"/>
            </w:tcBorders>
          </w:tcPr>
          <w:p>
            <w:pPr>
              <w:pStyle w:val="TableParagraph"/>
              <w:spacing w:before="26"/>
              <w:ind w:right="65"/>
              <w:rPr>
                <w:sz w:val="20"/>
              </w:rPr>
            </w:pPr>
            <w:r>
              <w:rPr>
                <w:sz w:val="20"/>
              </w:rPr>
              <w:t>15</w:t>
            </w:r>
          </w:p>
        </w:tc>
      </w:tr>
      <w:tr>
        <w:trPr>
          <w:trHeight w:val="268" w:hRule="exact"/>
        </w:trPr>
        <w:tc>
          <w:tcPr>
            <w:tcW w:w="959" w:type="dxa"/>
            <w:tcBorders>
              <w:top w:val="nil"/>
              <w:left w:val="nil"/>
              <w:right w:val="nil"/>
            </w:tcBorders>
          </w:tcPr>
          <w:p>
            <w:pPr>
              <w:pStyle w:val="TableParagraph"/>
              <w:ind w:left="86"/>
              <w:jc w:val="left"/>
              <w:rPr>
                <w:sz w:val="20"/>
              </w:rPr>
            </w:pPr>
            <w:r>
              <w:rPr>
                <w:sz w:val="20"/>
              </w:rPr>
              <w:t>29</w:t>
            </w:r>
          </w:p>
        </w:tc>
        <w:tc>
          <w:tcPr>
            <w:tcW w:w="867" w:type="dxa"/>
            <w:tcBorders>
              <w:top w:val="nil"/>
              <w:left w:val="nil"/>
              <w:right w:val="nil"/>
            </w:tcBorders>
          </w:tcPr>
          <w:p>
            <w:pPr>
              <w:pStyle w:val="TableParagraph"/>
              <w:ind w:left="77"/>
              <w:jc w:val="left"/>
              <w:rPr>
                <w:sz w:val="20"/>
              </w:rPr>
            </w:pPr>
            <w:r>
              <w:rPr>
                <w:sz w:val="20"/>
              </w:rPr>
              <w:t>15251</w:t>
            </w:r>
          </w:p>
        </w:tc>
        <w:tc>
          <w:tcPr>
            <w:tcW w:w="992" w:type="dxa"/>
            <w:tcBorders>
              <w:top w:val="nil"/>
              <w:left w:val="nil"/>
              <w:right w:val="nil"/>
            </w:tcBorders>
          </w:tcPr>
          <w:p>
            <w:pPr>
              <w:pStyle w:val="TableParagraph"/>
              <w:ind w:right="70"/>
              <w:rPr>
                <w:sz w:val="20"/>
              </w:rPr>
            </w:pPr>
            <w:r>
              <w:rPr>
                <w:sz w:val="20"/>
              </w:rPr>
              <w:t>16</w:t>
            </w:r>
          </w:p>
        </w:tc>
        <w:tc>
          <w:tcPr>
            <w:tcW w:w="977" w:type="dxa"/>
            <w:tcBorders>
              <w:top w:val="nil"/>
              <w:left w:val="nil"/>
              <w:right w:val="nil"/>
            </w:tcBorders>
          </w:tcPr>
          <w:p>
            <w:pPr>
              <w:pStyle w:val="TableParagraph"/>
              <w:ind w:right="67"/>
              <w:rPr>
                <w:sz w:val="20"/>
              </w:rPr>
            </w:pPr>
            <w:r>
              <w:rPr>
                <w:sz w:val="20"/>
              </w:rPr>
              <w:t>19</w:t>
            </w:r>
          </w:p>
        </w:tc>
        <w:tc>
          <w:tcPr>
            <w:tcW w:w="975" w:type="dxa"/>
            <w:tcBorders>
              <w:top w:val="nil"/>
              <w:left w:val="nil"/>
              <w:right w:val="nil"/>
            </w:tcBorders>
          </w:tcPr>
          <w:p>
            <w:pPr>
              <w:pStyle w:val="TableParagraph"/>
              <w:ind w:right="67"/>
              <w:rPr>
                <w:sz w:val="20"/>
              </w:rPr>
            </w:pPr>
            <w:r>
              <w:rPr>
                <w:sz w:val="20"/>
              </w:rPr>
              <w:t>20</w:t>
            </w:r>
          </w:p>
        </w:tc>
        <w:tc>
          <w:tcPr>
            <w:tcW w:w="977" w:type="dxa"/>
            <w:tcBorders>
              <w:top w:val="nil"/>
              <w:left w:val="nil"/>
              <w:right w:val="nil"/>
            </w:tcBorders>
          </w:tcPr>
          <w:p>
            <w:pPr>
              <w:pStyle w:val="TableParagraph"/>
              <w:ind w:right="71"/>
              <w:rPr>
                <w:sz w:val="20"/>
              </w:rPr>
            </w:pPr>
            <w:r>
              <w:rPr>
                <w:sz w:val="20"/>
              </w:rPr>
              <w:t>19</w:t>
            </w:r>
          </w:p>
        </w:tc>
        <w:tc>
          <w:tcPr>
            <w:tcW w:w="977" w:type="dxa"/>
            <w:tcBorders>
              <w:top w:val="nil"/>
              <w:left w:val="nil"/>
              <w:right w:val="nil"/>
            </w:tcBorders>
          </w:tcPr>
          <w:p>
            <w:pPr>
              <w:pStyle w:val="TableParagraph"/>
              <w:ind w:right="67"/>
              <w:rPr>
                <w:sz w:val="20"/>
              </w:rPr>
            </w:pPr>
            <w:r>
              <w:rPr>
                <w:sz w:val="20"/>
              </w:rPr>
              <w:t>20</w:t>
            </w:r>
          </w:p>
        </w:tc>
        <w:tc>
          <w:tcPr>
            <w:tcW w:w="975" w:type="dxa"/>
            <w:tcBorders>
              <w:top w:val="nil"/>
              <w:left w:val="nil"/>
              <w:right w:val="nil"/>
            </w:tcBorders>
          </w:tcPr>
          <w:p>
            <w:pPr>
              <w:pStyle w:val="TableParagraph"/>
              <w:ind w:right="67"/>
              <w:rPr>
                <w:sz w:val="20"/>
              </w:rPr>
            </w:pPr>
            <w:r>
              <w:rPr>
                <w:sz w:val="20"/>
              </w:rPr>
              <w:t>19</w:t>
            </w:r>
          </w:p>
        </w:tc>
        <w:tc>
          <w:tcPr>
            <w:tcW w:w="977" w:type="dxa"/>
            <w:tcBorders>
              <w:top w:val="nil"/>
              <w:left w:val="nil"/>
              <w:right w:val="nil"/>
            </w:tcBorders>
          </w:tcPr>
          <w:p>
            <w:pPr>
              <w:pStyle w:val="TableParagraph"/>
              <w:ind w:right="71"/>
              <w:rPr>
                <w:sz w:val="20"/>
              </w:rPr>
            </w:pPr>
            <w:r>
              <w:rPr>
                <w:sz w:val="20"/>
              </w:rPr>
              <w:t>19</w:t>
            </w:r>
          </w:p>
        </w:tc>
        <w:tc>
          <w:tcPr>
            <w:tcW w:w="977" w:type="dxa"/>
            <w:tcBorders>
              <w:top w:val="nil"/>
              <w:left w:val="nil"/>
              <w:right w:val="nil"/>
            </w:tcBorders>
          </w:tcPr>
          <w:p>
            <w:pPr>
              <w:pStyle w:val="TableParagraph"/>
              <w:ind w:right="67"/>
              <w:rPr>
                <w:sz w:val="20"/>
              </w:rPr>
            </w:pPr>
            <w:r>
              <w:rPr>
                <w:sz w:val="20"/>
              </w:rPr>
              <w:t>19</w:t>
            </w:r>
          </w:p>
        </w:tc>
        <w:tc>
          <w:tcPr>
            <w:tcW w:w="975" w:type="dxa"/>
            <w:tcBorders>
              <w:top w:val="nil"/>
              <w:left w:val="nil"/>
              <w:right w:val="nil"/>
            </w:tcBorders>
          </w:tcPr>
          <w:p>
            <w:pPr>
              <w:pStyle w:val="TableParagraph"/>
              <w:ind w:right="67"/>
              <w:rPr>
                <w:sz w:val="20"/>
              </w:rPr>
            </w:pPr>
            <w:r>
              <w:rPr>
                <w:sz w:val="20"/>
              </w:rPr>
              <w:t>17</w:t>
            </w:r>
          </w:p>
        </w:tc>
        <w:tc>
          <w:tcPr>
            <w:tcW w:w="1056" w:type="dxa"/>
            <w:tcBorders>
              <w:top w:val="nil"/>
              <w:left w:val="nil"/>
              <w:right w:val="nil"/>
            </w:tcBorders>
          </w:tcPr>
          <w:p>
            <w:pPr>
              <w:pStyle w:val="TableParagraph"/>
              <w:ind w:right="67"/>
              <w:rPr>
                <w:sz w:val="20"/>
              </w:rPr>
            </w:pPr>
            <w:r>
              <w:rPr>
                <w:sz w:val="20"/>
              </w:rPr>
              <w:t>17</w:t>
            </w:r>
          </w:p>
        </w:tc>
        <w:tc>
          <w:tcPr>
            <w:tcW w:w="1056" w:type="dxa"/>
            <w:tcBorders>
              <w:top w:val="nil"/>
              <w:left w:val="nil"/>
              <w:right w:val="nil"/>
            </w:tcBorders>
          </w:tcPr>
          <w:p>
            <w:pPr>
              <w:pStyle w:val="TableParagraph"/>
              <w:ind w:right="67"/>
              <w:rPr>
                <w:sz w:val="20"/>
              </w:rPr>
            </w:pPr>
            <w:r>
              <w:rPr>
                <w:sz w:val="20"/>
              </w:rPr>
              <w:t>16</w:t>
            </w:r>
          </w:p>
        </w:tc>
        <w:tc>
          <w:tcPr>
            <w:tcW w:w="1054" w:type="dxa"/>
            <w:tcBorders>
              <w:top w:val="nil"/>
              <w:left w:val="nil"/>
              <w:right w:val="nil"/>
            </w:tcBorders>
          </w:tcPr>
          <w:p>
            <w:pPr>
              <w:pStyle w:val="TableParagraph"/>
              <w:ind w:right="65"/>
              <w:rPr>
                <w:sz w:val="20"/>
              </w:rPr>
            </w:pPr>
            <w:r>
              <w:rPr>
                <w:sz w:val="20"/>
              </w:rPr>
              <w:t>15</w:t>
            </w:r>
          </w:p>
        </w:tc>
      </w:tr>
    </w:tbl>
    <w:p>
      <w:pPr>
        <w:spacing w:after="0"/>
        <w:rPr>
          <w:sz w:val="20"/>
        </w:rPr>
        <w:sectPr>
          <w:pgSz w:w="15840" w:h="12240" w:orient="landscape"/>
          <w:pgMar w:header="0" w:footer="1474" w:top="1140" w:bottom="1660" w:left="1280" w:right="540"/>
        </w:sectPr>
      </w:pPr>
    </w:p>
    <w:p>
      <w:pPr>
        <w:pStyle w:val="BodyText"/>
        <w:spacing w:before="7"/>
        <w:rPr>
          <w:sz w:val="17"/>
        </w:rPr>
      </w:pPr>
    </w:p>
    <w:p>
      <w:pPr>
        <w:pStyle w:val="Heading1"/>
        <w:spacing w:before="66"/>
        <w:ind w:left="3961"/>
      </w:pPr>
      <w:bookmarkStart w:name="_bookmark148" w:id="207"/>
      <w:bookmarkEnd w:id="207"/>
      <w:r>
        <w:rPr>
          <w:b w:val="0"/>
        </w:rPr>
      </w:r>
      <w:r>
        <w:rPr/>
        <w:t>Tabla 11. Cantidad máxima de lluvia en 0.5 h por subcuenca</w:t>
      </w:r>
    </w:p>
    <w:p>
      <w:pPr>
        <w:pStyle w:val="BodyText"/>
        <w:spacing w:before="7"/>
        <w:rPr>
          <w:b/>
          <w:sz w:val="25"/>
        </w:rPr>
      </w:pPr>
    </w:p>
    <w:tbl>
      <w:tblPr>
        <w:tblW w:w="0" w:type="auto"/>
        <w:jc w:val="left"/>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41"/>
        <w:gridCol w:w="1105"/>
        <w:gridCol w:w="1102"/>
        <w:gridCol w:w="1102"/>
        <w:gridCol w:w="1099"/>
        <w:gridCol w:w="1100"/>
        <w:gridCol w:w="1100"/>
        <w:gridCol w:w="1099"/>
        <w:gridCol w:w="1102"/>
        <w:gridCol w:w="1102"/>
        <w:gridCol w:w="1181"/>
        <w:gridCol w:w="1179"/>
        <w:gridCol w:w="1179"/>
      </w:tblGrid>
      <w:tr>
        <w:trPr>
          <w:trHeight w:val="610" w:hRule="exact"/>
        </w:trPr>
        <w:tc>
          <w:tcPr>
            <w:tcW w:w="941" w:type="dxa"/>
            <w:tcBorders>
              <w:left w:val="nil"/>
              <w:right w:val="nil"/>
            </w:tcBorders>
          </w:tcPr>
          <w:p>
            <w:pPr>
              <w:pStyle w:val="TableParagraph"/>
              <w:spacing w:before="110"/>
              <w:ind w:left="82"/>
              <w:jc w:val="left"/>
              <w:rPr>
                <w:sz w:val="16"/>
              </w:rPr>
            </w:pPr>
            <w:r>
              <w:rPr>
                <w:sz w:val="16"/>
              </w:rPr>
              <w:t>SUBBASIN</w:t>
            </w:r>
          </w:p>
        </w:tc>
        <w:tc>
          <w:tcPr>
            <w:tcW w:w="1105" w:type="dxa"/>
            <w:tcBorders>
              <w:left w:val="nil"/>
              <w:right w:val="nil"/>
            </w:tcBorders>
          </w:tcPr>
          <w:p>
            <w:pPr>
              <w:pStyle w:val="TableParagraph"/>
              <w:spacing w:before="110"/>
              <w:ind w:right="79"/>
              <w:rPr>
                <w:sz w:val="16"/>
              </w:rPr>
            </w:pPr>
            <w:r>
              <w:rPr>
                <w:w w:val="95"/>
                <w:sz w:val="16"/>
              </w:rPr>
              <w:t>RAINHHMX1</w:t>
            </w:r>
          </w:p>
        </w:tc>
        <w:tc>
          <w:tcPr>
            <w:tcW w:w="1102" w:type="dxa"/>
            <w:tcBorders>
              <w:left w:val="nil"/>
              <w:right w:val="nil"/>
            </w:tcBorders>
          </w:tcPr>
          <w:p>
            <w:pPr>
              <w:pStyle w:val="TableParagraph"/>
              <w:spacing w:before="110"/>
              <w:ind w:right="80"/>
              <w:rPr>
                <w:sz w:val="16"/>
              </w:rPr>
            </w:pPr>
            <w:r>
              <w:rPr>
                <w:w w:val="95"/>
                <w:sz w:val="16"/>
              </w:rPr>
              <w:t>RAINHHMX2</w:t>
            </w:r>
          </w:p>
        </w:tc>
        <w:tc>
          <w:tcPr>
            <w:tcW w:w="1102" w:type="dxa"/>
            <w:tcBorders>
              <w:left w:val="nil"/>
              <w:right w:val="nil"/>
            </w:tcBorders>
          </w:tcPr>
          <w:p>
            <w:pPr>
              <w:pStyle w:val="TableParagraph"/>
              <w:spacing w:before="110"/>
              <w:ind w:right="78"/>
              <w:rPr>
                <w:sz w:val="16"/>
              </w:rPr>
            </w:pPr>
            <w:r>
              <w:rPr>
                <w:w w:val="95"/>
                <w:sz w:val="16"/>
              </w:rPr>
              <w:t>RAINHHMX3</w:t>
            </w:r>
          </w:p>
        </w:tc>
        <w:tc>
          <w:tcPr>
            <w:tcW w:w="1099" w:type="dxa"/>
            <w:tcBorders>
              <w:left w:val="nil"/>
              <w:right w:val="nil"/>
            </w:tcBorders>
          </w:tcPr>
          <w:p>
            <w:pPr>
              <w:pStyle w:val="TableParagraph"/>
              <w:spacing w:before="110"/>
              <w:ind w:right="78"/>
              <w:rPr>
                <w:sz w:val="16"/>
              </w:rPr>
            </w:pPr>
            <w:r>
              <w:rPr>
                <w:w w:val="95"/>
                <w:sz w:val="16"/>
              </w:rPr>
              <w:t>RAINHHMX4</w:t>
            </w:r>
          </w:p>
        </w:tc>
        <w:tc>
          <w:tcPr>
            <w:tcW w:w="1100" w:type="dxa"/>
            <w:tcBorders>
              <w:left w:val="nil"/>
              <w:right w:val="nil"/>
            </w:tcBorders>
          </w:tcPr>
          <w:p>
            <w:pPr>
              <w:pStyle w:val="TableParagraph"/>
              <w:spacing w:before="110"/>
              <w:ind w:right="77"/>
              <w:rPr>
                <w:sz w:val="16"/>
              </w:rPr>
            </w:pPr>
            <w:r>
              <w:rPr>
                <w:w w:val="95"/>
                <w:sz w:val="16"/>
              </w:rPr>
              <w:t>RAINHHMX5</w:t>
            </w:r>
          </w:p>
        </w:tc>
        <w:tc>
          <w:tcPr>
            <w:tcW w:w="1100" w:type="dxa"/>
            <w:tcBorders>
              <w:left w:val="nil"/>
              <w:right w:val="nil"/>
            </w:tcBorders>
          </w:tcPr>
          <w:p>
            <w:pPr>
              <w:pStyle w:val="TableParagraph"/>
              <w:spacing w:before="110"/>
              <w:ind w:right="78"/>
              <w:rPr>
                <w:sz w:val="16"/>
              </w:rPr>
            </w:pPr>
            <w:r>
              <w:rPr>
                <w:w w:val="95"/>
                <w:sz w:val="16"/>
              </w:rPr>
              <w:t>RAINHHMX6</w:t>
            </w:r>
          </w:p>
        </w:tc>
        <w:tc>
          <w:tcPr>
            <w:tcW w:w="1099" w:type="dxa"/>
            <w:tcBorders>
              <w:left w:val="nil"/>
              <w:right w:val="nil"/>
            </w:tcBorders>
          </w:tcPr>
          <w:p>
            <w:pPr>
              <w:pStyle w:val="TableParagraph"/>
              <w:spacing w:before="110"/>
              <w:ind w:right="77"/>
              <w:rPr>
                <w:sz w:val="16"/>
              </w:rPr>
            </w:pPr>
            <w:r>
              <w:rPr>
                <w:w w:val="95"/>
                <w:sz w:val="16"/>
              </w:rPr>
              <w:t>RAINHHMX7</w:t>
            </w:r>
          </w:p>
        </w:tc>
        <w:tc>
          <w:tcPr>
            <w:tcW w:w="1102" w:type="dxa"/>
            <w:tcBorders>
              <w:left w:val="nil"/>
              <w:right w:val="nil"/>
            </w:tcBorders>
          </w:tcPr>
          <w:p>
            <w:pPr>
              <w:pStyle w:val="TableParagraph"/>
              <w:spacing w:before="110"/>
              <w:ind w:right="80"/>
              <w:rPr>
                <w:sz w:val="16"/>
              </w:rPr>
            </w:pPr>
            <w:r>
              <w:rPr>
                <w:w w:val="95"/>
                <w:sz w:val="16"/>
              </w:rPr>
              <w:t>RAINHHMX8</w:t>
            </w:r>
          </w:p>
        </w:tc>
        <w:tc>
          <w:tcPr>
            <w:tcW w:w="1102" w:type="dxa"/>
            <w:tcBorders>
              <w:left w:val="nil"/>
              <w:right w:val="nil"/>
            </w:tcBorders>
          </w:tcPr>
          <w:p>
            <w:pPr>
              <w:pStyle w:val="TableParagraph"/>
              <w:spacing w:before="110"/>
              <w:ind w:right="78"/>
              <w:rPr>
                <w:sz w:val="16"/>
              </w:rPr>
            </w:pPr>
            <w:r>
              <w:rPr>
                <w:w w:val="95"/>
                <w:sz w:val="16"/>
              </w:rPr>
              <w:t>RAINHHMX9</w:t>
            </w:r>
          </w:p>
        </w:tc>
        <w:tc>
          <w:tcPr>
            <w:tcW w:w="1181" w:type="dxa"/>
            <w:tcBorders>
              <w:left w:val="nil"/>
              <w:right w:val="nil"/>
            </w:tcBorders>
          </w:tcPr>
          <w:p>
            <w:pPr>
              <w:pStyle w:val="TableParagraph"/>
              <w:spacing w:before="110"/>
              <w:ind w:right="78"/>
              <w:rPr>
                <w:sz w:val="16"/>
              </w:rPr>
            </w:pPr>
            <w:r>
              <w:rPr>
                <w:w w:val="95"/>
                <w:sz w:val="16"/>
              </w:rPr>
              <w:t>RAINHHMX10</w:t>
            </w:r>
          </w:p>
        </w:tc>
        <w:tc>
          <w:tcPr>
            <w:tcW w:w="1179" w:type="dxa"/>
            <w:tcBorders>
              <w:left w:val="nil"/>
              <w:right w:val="nil"/>
            </w:tcBorders>
          </w:tcPr>
          <w:p>
            <w:pPr>
              <w:pStyle w:val="TableParagraph"/>
              <w:spacing w:before="110"/>
              <w:ind w:right="75"/>
              <w:rPr>
                <w:sz w:val="16"/>
              </w:rPr>
            </w:pPr>
            <w:r>
              <w:rPr>
                <w:w w:val="95"/>
                <w:sz w:val="16"/>
              </w:rPr>
              <w:t>RAINHHMX11</w:t>
            </w:r>
          </w:p>
        </w:tc>
        <w:tc>
          <w:tcPr>
            <w:tcW w:w="1179" w:type="dxa"/>
            <w:tcBorders>
              <w:left w:val="nil"/>
              <w:right w:val="nil"/>
            </w:tcBorders>
          </w:tcPr>
          <w:p>
            <w:pPr>
              <w:pStyle w:val="TableParagraph"/>
              <w:spacing w:before="110"/>
              <w:ind w:right="78"/>
              <w:rPr>
                <w:sz w:val="16"/>
              </w:rPr>
            </w:pPr>
            <w:r>
              <w:rPr>
                <w:w w:val="95"/>
                <w:sz w:val="16"/>
              </w:rPr>
              <w:t>RAINHHMX12</w:t>
            </w:r>
          </w:p>
        </w:tc>
      </w:tr>
      <w:tr>
        <w:trPr>
          <w:trHeight w:val="342" w:hRule="exact"/>
        </w:trPr>
        <w:tc>
          <w:tcPr>
            <w:tcW w:w="941" w:type="dxa"/>
            <w:tcBorders>
              <w:left w:val="nil"/>
              <w:bottom w:val="nil"/>
              <w:right w:val="nil"/>
            </w:tcBorders>
          </w:tcPr>
          <w:p>
            <w:pPr>
              <w:pStyle w:val="TableParagraph"/>
              <w:spacing w:before="63"/>
              <w:ind w:left="82"/>
              <w:jc w:val="left"/>
              <w:rPr>
                <w:sz w:val="20"/>
              </w:rPr>
            </w:pPr>
            <w:r>
              <w:rPr>
                <w:w w:val="100"/>
                <w:sz w:val="20"/>
              </w:rPr>
              <w:t>1</w:t>
            </w:r>
          </w:p>
        </w:tc>
        <w:tc>
          <w:tcPr>
            <w:tcW w:w="1105" w:type="dxa"/>
            <w:tcBorders>
              <w:left w:val="nil"/>
              <w:bottom w:val="nil"/>
              <w:right w:val="nil"/>
            </w:tcBorders>
          </w:tcPr>
          <w:p>
            <w:pPr>
              <w:pStyle w:val="TableParagraph"/>
              <w:spacing w:before="63"/>
              <w:ind w:right="65"/>
              <w:rPr>
                <w:sz w:val="20"/>
              </w:rPr>
            </w:pPr>
            <w:r>
              <w:rPr>
                <w:sz w:val="20"/>
              </w:rPr>
              <w:t>2.393</w:t>
            </w:r>
          </w:p>
        </w:tc>
        <w:tc>
          <w:tcPr>
            <w:tcW w:w="1102" w:type="dxa"/>
            <w:tcBorders>
              <w:left w:val="nil"/>
              <w:bottom w:val="nil"/>
              <w:right w:val="nil"/>
            </w:tcBorders>
          </w:tcPr>
          <w:p>
            <w:pPr>
              <w:pStyle w:val="TableParagraph"/>
              <w:spacing w:before="63"/>
              <w:ind w:right="67"/>
              <w:rPr>
                <w:sz w:val="20"/>
              </w:rPr>
            </w:pPr>
            <w:r>
              <w:rPr>
                <w:sz w:val="20"/>
              </w:rPr>
              <w:t>2.393</w:t>
            </w:r>
          </w:p>
        </w:tc>
        <w:tc>
          <w:tcPr>
            <w:tcW w:w="1102" w:type="dxa"/>
            <w:tcBorders>
              <w:left w:val="nil"/>
              <w:bottom w:val="nil"/>
              <w:right w:val="nil"/>
            </w:tcBorders>
          </w:tcPr>
          <w:p>
            <w:pPr>
              <w:pStyle w:val="TableParagraph"/>
              <w:spacing w:before="63"/>
              <w:ind w:right="65"/>
              <w:rPr>
                <w:sz w:val="20"/>
              </w:rPr>
            </w:pPr>
            <w:r>
              <w:rPr>
                <w:sz w:val="20"/>
              </w:rPr>
              <w:t>3.986</w:t>
            </w:r>
          </w:p>
        </w:tc>
        <w:tc>
          <w:tcPr>
            <w:tcW w:w="1099" w:type="dxa"/>
            <w:tcBorders>
              <w:left w:val="nil"/>
              <w:bottom w:val="nil"/>
              <w:right w:val="nil"/>
            </w:tcBorders>
          </w:tcPr>
          <w:p>
            <w:pPr>
              <w:pStyle w:val="TableParagraph"/>
              <w:spacing w:before="63"/>
              <w:ind w:right="65"/>
              <w:rPr>
                <w:sz w:val="20"/>
              </w:rPr>
            </w:pPr>
            <w:r>
              <w:rPr>
                <w:sz w:val="20"/>
              </w:rPr>
              <w:t>2.393</w:t>
            </w:r>
          </w:p>
        </w:tc>
        <w:tc>
          <w:tcPr>
            <w:tcW w:w="1100" w:type="dxa"/>
            <w:tcBorders>
              <w:left w:val="nil"/>
              <w:bottom w:val="nil"/>
              <w:right w:val="nil"/>
            </w:tcBorders>
          </w:tcPr>
          <w:p>
            <w:pPr>
              <w:pStyle w:val="TableParagraph"/>
              <w:spacing w:before="63"/>
              <w:ind w:right="65"/>
              <w:rPr>
                <w:sz w:val="20"/>
              </w:rPr>
            </w:pPr>
            <w:r>
              <w:rPr>
                <w:sz w:val="20"/>
              </w:rPr>
              <w:t>2.393</w:t>
            </w:r>
          </w:p>
        </w:tc>
        <w:tc>
          <w:tcPr>
            <w:tcW w:w="1100" w:type="dxa"/>
            <w:tcBorders>
              <w:left w:val="nil"/>
              <w:bottom w:val="nil"/>
              <w:right w:val="nil"/>
            </w:tcBorders>
          </w:tcPr>
          <w:p>
            <w:pPr>
              <w:pStyle w:val="TableParagraph"/>
              <w:spacing w:before="63"/>
              <w:ind w:right="65"/>
              <w:rPr>
                <w:sz w:val="20"/>
              </w:rPr>
            </w:pPr>
            <w:r>
              <w:rPr>
                <w:sz w:val="20"/>
              </w:rPr>
              <w:t>2.393</w:t>
            </w:r>
          </w:p>
        </w:tc>
        <w:tc>
          <w:tcPr>
            <w:tcW w:w="1099" w:type="dxa"/>
            <w:tcBorders>
              <w:left w:val="nil"/>
              <w:bottom w:val="nil"/>
              <w:right w:val="nil"/>
            </w:tcBorders>
          </w:tcPr>
          <w:p>
            <w:pPr>
              <w:pStyle w:val="TableParagraph"/>
              <w:spacing w:before="63"/>
              <w:ind w:right="65"/>
              <w:rPr>
                <w:sz w:val="20"/>
              </w:rPr>
            </w:pPr>
            <w:r>
              <w:rPr>
                <w:sz w:val="20"/>
              </w:rPr>
              <w:t>2.393</w:t>
            </w:r>
          </w:p>
        </w:tc>
        <w:tc>
          <w:tcPr>
            <w:tcW w:w="1102" w:type="dxa"/>
            <w:tcBorders>
              <w:left w:val="nil"/>
              <w:bottom w:val="nil"/>
              <w:right w:val="nil"/>
            </w:tcBorders>
          </w:tcPr>
          <w:p>
            <w:pPr>
              <w:pStyle w:val="TableParagraph"/>
              <w:spacing w:before="63"/>
              <w:ind w:right="67"/>
              <w:rPr>
                <w:sz w:val="20"/>
              </w:rPr>
            </w:pPr>
            <w:r>
              <w:rPr>
                <w:sz w:val="20"/>
              </w:rPr>
              <w:t>2.393</w:t>
            </w:r>
          </w:p>
        </w:tc>
        <w:tc>
          <w:tcPr>
            <w:tcW w:w="1102" w:type="dxa"/>
            <w:tcBorders>
              <w:left w:val="nil"/>
              <w:bottom w:val="nil"/>
              <w:right w:val="nil"/>
            </w:tcBorders>
          </w:tcPr>
          <w:p>
            <w:pPr>
              <w:pStyle w:val="TableParagraph"/>
              <w:spacing w:before="63"/>
              <w:ind w:right="65"/>
              <w:rPr>
                <w:sz w:val="20"/>
              </w:rPr>
            </w:pPr>
            <w:r>
              <w:rPr>
                <w:sz w:val="20"/>
              </w:rPr>
              <w:t>2.393</w:t>
            </w:r>
          </w:p>
        </w:tc>
        <w:tc>
          <w:tcPr>
            <w:tcW w:w="1181" w:type="dxa"/>
            <w:tcBorders>
              <w:left w:val="nil"/>
              <w:bottom w:val="nil"/>
              <w:right w:val="nil"/>
            </w:tcBorders>
          </w:tcPr>
          <w:p>
            <w:pPr>
              <w:pStyle w:val="TableParagraph"/>
              <w:spacing w:before="63"/>
              <w:ind w:right="65"/>
              <w:rPr>
                <w:sz w:val="20"/>
              </w:rPr>
            </w:pPr>
            <w:r>
              <w:rPr>
                <w:sz w:val="20"/>
              </w:rPr>
              <w:t>2.393</w:t>
            </w:r>
          </w:p>
        </w:tc>
        <w:tc>
          <w:tcPr>
            <w:tcW w:w="1179" w:type="dxa"/>
            <w:tcBorders>
              <w:left w:val="nil"/>
              <w:bottom w:val="nil"/>
              <w:right w:val="nil"/>
            </w:tcBorders>
          </w:tcPr>
          <w:p>
            <w:pPr>
              <w:pStyle w:val="TableParagraph"/>
              <w:spacing w:before="63"/>
              <w:ind w:right="62"/>
              <w:rPr>
                <w:sz w:val="20"/>
              </w:rPr>
            </w:pPr>
            <w:r>
              <w:rPr>
                <w:sz w:val="20"/>
              </w:rPr>
              <w:t>2.393</w:t>
            </w:r>
          </w:p>
        </w:tc>
        <w:tc>
          <w:tcPr>
            <w:tcW w:w="1179" w:type="dxa"/>
            <w:tcBorders>
              <w:left w:val="nil"/>
              <w:bottom w:val="nil"/>
              <w:right w:val="nil"/>
            </w:tcBorders>
          </w:tcPr>
          <w:p>
            <w:pPr>
              <w:pStyle w:val="TableParagraph"/>
              <w:spacing w:before="63"/>
              <w:ind w:right="65"/>
              <w:rPr>
                <w:sz w:val="20"/>
              </w:rPr>
            </w:pPr>
            <w:r>
              <w:rPr>
                <w:sz w:val="20"/>
              </w:rPr>
              <w:t>2.393</w:t>
            </w:r>
          </w:p>
        </w:tc>
      </w:tr>
      <w:tr>
        <w:trPr>
          <w:trHeight w:val="300" w:hRule="exact"/>
        </w:trPr>
        <w:tc>
          <w:tcPr>
            <w:tcW w:w="941" w:type="dxa"/>
            <w:tcBorders>
              <w:top w:val="nil"/>
              <w:left w:val="nil"/>
              <w:bottom w:val="nil"/>
              <w:right w:val="nil"/>
            </w:tcBorders>
          </w:tcPr>
          <w:p>
            <w:pPr>
              <w:pStyle w:val="TableParagraph"/>
              <w:ind w:left="82"/>
              <w:jc w:val="left"/>
              <w:rPr>
                <w:sz w:val="20"/>
              </w:rPr>
            </w:pPr>
            <w:r>
              <w:rPr>
                <w:w w:val="100"/>
                <w:sz w:val="20"/>
              </w:rPr>
              <w:t>2</w:t>
            </w:r>
          </w:p>
        </w:tc>
        <w:tc>
          <w:tcPr>
            <w:tcW w:w="1105" w:type="dxa"/>
            <w:tcBorders>
              <w:top w:val="nil"/>
              <w:left w:val="nil"/>
              <w:bottom w:val="nil"/>
              <w:right w:val="nil"/>
            </w:tcBorders>
          </w:tcPr>
          <w:p>
            <w:pPr>
              <w:pStyle w:val="TableParagraph"/>
              <w:ind w:right="65"/>
              <w:rPr>
                <w:sz w:val="20"/>
              </w:rPr>
            </w:pPr>
            <w:r>
              <w:rPr>
                <w:sz w:val="20"/>
              </w:rPr>
              <w:t>2.393</w:t>
            </w:r>
          </w:p>
        </w:tc>
        <w:tc>
          <w:tcPr>
            <w:tcW w:w="1102" w:type="dxa"/>
            <w:tcBorders>
              <w:top w:val="nil"/>
              <w:left w:val="nil"/>
              <w:bottom w:val="nil"/>
              <w:right w:val="nil"/>
            </w:tcBorders>
          </w:tcPr>
          <w:p>
            <w:pPr>
              <w:pStyle w:val="TableParagraph"/>
              <w:ind w:right="67"/>
              <w:rPr>
                <w:sz w:val="20"/>
              </w:rPr>
            </w:pPr>
            <w:r>
              <w:rPr>
                <w:sz w:val="20"/>
              </w:rPr>
              <w:t>2.393</w:t>
            </w:r>
          </w:p>
        </w:tc>
        <w:tc>
          <w:tcPr>
            <w:tcW w:w="1102" w:type="dxa"/>
            <w:tcBorders>
              <w:top w:val="nil"/>
              <w:left w:val="nil"/>
              <w:bottom w:val="nil"/>
              <w:right w:val="nil"/>
            </w:tcBorders>
          </w:tcPr>
          <w:p>
            <w:pPr>
              <w:pStyle w:val="TableParagraph"/>
              <w:ind w:right="65"/>
              <w:rPr>
                <w:sz w:val="20"/>
              </w:rPr>
            </w:pPr>
            <w:r>
              <w:rPr>
                <w:sz w:val="20"/>
              </w:rPr>
              <w:t>3.986</w:t>
            </w:r>
          </w:p>
        </w:tc>
        <w:tc>
          <w:tcPr>
            <w:tcW w:w="1099" w:type="dxa"/>
            <w:tcBorders>
              <w:top w:val="nil"/>
              <w:left w:val="nil"/>
              <w:bottom w:val="nil"/>
              <w:right w:val="nil"/>
            </w:tcBorders>
          </w:tcPr>
          <w:p>
            <w:pPr>
              <w:pStyle w:val="TableParagraph"/>
              <w:ind w:right="65"/>
              <w:rPr>
                <w:sz w:val="20"/>
              </w:rPr>
            </w:pPr>
            <w:r>
              <w:rPr>
                <w:sz w:val="20"/>
              </w:rPr>
              <w:t>2.393</w:t>
            </w:r>
          </w:p>
        </w:tc>
        <w:tc>
          <w:tcPr>
            <w:tcW w:w="1100" w:type="dxa"/>
            <w:tcBorders>
              <w:top w:val="nil"/>
              <w:left w:val="nil"/>
              <w:bottom w:val="nil"/>
              <w:right w:val="nil"/>
            </w:tcBorders>
          </w:tcPr>
          <w:p>
            <w:pPr>
              <w:pStyle w:val="TableParagraph"/>
              <w:ind w:right="65"/>
              <w:rPr>
                <w:sz w:val="20"/>
              </w:rPr>
            </w:pPr>
            <w:r>
              <w:rPr>
                <w:sz w:val="20"/>
              </w:rPr>
              <w:t>2.393</w:t>
            </w:r>
          </w:p>
        </w:tc>
        <w:tc>
          <w:tcPr>
            <w:tcW w:w="1100" w:type="dxa"/>
            <w:tcBorders>
              <w:top w:val="nil"/>
              <w:left w:val="nil"/>
              <w:bottom w:val="nil"/>
              <w:right w:val="nil"/>
            </w:tcBorders>
          </w:tcPr>
          <w:p>
            <w:pPr>
              <w:pStyle w:val="TableParagraph"/>
              <w:ind w:right="65"/>
              <w:rPr>
                <w:sz w:val="20"/>
              </w:rPr>
            </w:pPr>
            <w:r>
              <w:rPr>
                <w:sz w:val="20"/>
              </w:rPr>
              <w:t>2.393</w:t>
            </w:r>
          </w:p>
        </w:tc>
        <w:tc>
          <w:tcPr>
            <w:tcW w:w="1099" w:type="dxa"/>
            <w:tcBorders>
              <w:top w:val="nil"/>
              <w:left w:val="nil"/>
              <w:bottom w:val="nil"/>
              <w:right w:val="nil"/>
            </w:tcBorders>
          </w:tcPr>
          <w:p>
            <w:pPr>
              <w:pStyle w:val="TableParagraph"/>
              <w:ind w:right="65"/>
              <w:rPr>
                <w:sz w:val="20"/>
              </w:rPr>
            </w:pPr>
            <w:r>
              <w:rPr>
                <w:sz w:val="20"/>
              </w:rPr>
              <w:t>2.393</w:t>
            </w:r>
          </w:p>
        </w:tc>
        <w:tc>
          <w:tcPr>
            <w:tcW w:w="1102" w:type="dxa"/>
            <w:tcBorders>
              <w:top w:val="nil"/>
              <w:left w:val="nil"/>
              <w:bottom w:val="nil"/>
              <w:right w:val="nil"/>
            </w:tcBorders>
          </w:tcPr>
          <w:p>
            <w:pPr>
              <w:pStyle w:val="TableParagraph"/>
              <w:ind w:right="67"/>
              <w:rPr>
                <w:sz w:val="20"/>
              </w:rPr>
            </w:pPr>
            <w:r>
              <w:rPr>
                <w:sz w:val="20"/>
              </w:rPr>
              <w:t>2.393</w:t>
            </w:r>
          </w:p>
        </w:tc>
        <w:tc>
          <w:tcPr>
            <w:tcW w:w="1102" w:type="dxa"/>
            <w:tcBorders>
              <w:top w:val="nil"/>
              <w:left w:val="nil"/>
              <w:bottom w:val="nil"/>
              <w:right w:val="nil"/>
            </w:tcBorders>
          </w:tcPr>
          <w:p>
            <w:pPr>
              <w:pStyle w:val="TableParagraph"/>
              <w:ind w:right="65"/>
              <w:rPr>
                <w:sz w:val="20"/>
              </w:rPr>
            </w:pPr>
            <w:r>
              <w:rPr>
                <w:sz w:val="20"/>
              </w:rPr>
              <w:t>2.393</w:t>
            </w:r>
          </w:p>
        </w:tc>
        <w:tc>
          <w:tcPr>
            <w:tcW w:w="1181" w:type="dxa"/>
            <w:tcBorders>
              <w:top w:val="nil"/>
              <w:left w:val="nil"/>
              <w:bottom w:val="nil"/>
              <w:right w:val="nil"/>
            </w:tcBorders>
          </w:tcPr>
          <w:p>
            <w:pPr>
              <w:pStyle w:val="TableParagraph"/>
              <w:ind w:right="65"/>
              <w:rPr>
                <w:sz w:val="20"/>
              </w:rPr>
            </w:pPr>
            <w:r>
              <w:rPr>
                <w:sz w:val="20"/>
              </w:rPr>
              <w:t>2.393</w:t>
            </w:r>
          </w:p>
        </w:tc>
        <w:tc>
          <w:tcPr>
            <w:tcW w:w="1179" w:type="dxa"/>
            <w:tcBorders>
              <w:top w:val="nil"/>
              <w:left w:val="nil"/>
              <w:bottom w:val="nil"/>
              <w:right w:val="nil"/>
            </w:tcBorders>
          </w:tcPr>
          <w:p>
            <w:pPr>
              <w:pStyle w:val="TableParagraph"/>
              <w:ind w:right="62"/>
              <w:rPr>
                <w:sz w:val="20"/>
              </w:rPr>
            </w:pPr>
            <w:r>
              <w:rPr>
                <w:sz w:val="20"/>
              </w:rPr>
              <w:t>2.393</w:t>
            </w:r>
          </w:p>
        </w:tc>
        <w:tc>
          <w:tcPr>
            <w:tcW w:w="1179" w:type="dxa"/>
            <w:tcBorders>
              <w:top w:val="nil"/>
              <w:left w:val="nil"/>
              <w:bottom w:val="nil"/>
              <w:right w:val="nil"/>
            </w:tcBorders>
          </w:tcPr>
          <w:p>
            <w:pPr>
              <w:pStyle w:val="TableParagraph"/>
              <w:ind w:right="65"/>
              <w:rPr>
                <w:sz w:val="20"/>
              </w:rPr>
            </w:pPr>
            <w:r>
              <w:rPr>
                <w:sz w:val="20"/>
              </w:rPr>
              <w:t>2.393</w:t>
            </w:r>
          </w:p>
        </w:tc>
      </w:tr>
      <w:tr>
        <w:trPr>
          <w:trHeight w:val="300" w:hRule="exact"/>
        </w:trPr>
        <w:tc>
          <w:tcPr>
            <w:tcW w:w="941" w:type="dxa"/>
            <w:tcBorders>
              <w:top w:val="nil"/>
              <w:left w:val="nil"/>
              <w:bottom w:val="nil"/>
              <w:right w:val="nil"/>
            </w:tcBorders>
          </w:tcPr>
          <w:p>
            <w:pPr>
              <w:pStyle w:val="TableParagraph"/>
              <w:spacing w:before="26"/>
              <w:ind w:left="82"/>
              <w:jc w:val="left"/>
              <w:rPr>
                <w:sz w:val="20"/>
              </w:rPr>
            </w:pPr>
            <w:r>
              <w:rPr>
                <w:w w:val="100"/>
                <w:sz w:val="20"/>
              </w:rPr>
              <w:t>3</w:t>
            </w:r>
          </w:p>
        </w:tc>
        <w:tc>
          <w:tcPr>
            <w:tcW w:w="1105" w:type="dxa"/>
            <w:tcBorders>
              <w:top w:val="nil"/>
              <w:left w:val="nil"/>
              <w:bottom w:val="nil"/>
              <w:right w:val="nil"/>
            </w:tcBorders>
          </w:tcPr>
          <w:p>
            <w:pPr>
              <w:pStyle w:val="TableParagraph"/>
              <w:spacing w:before="26"/>
              <w:ind w:right="65"/>
              <w:rPr>
                <w:sz w:val="20"/>
              </w:rPr>
            </w:pPr>
            <w:r>
              <w:rPr>
                <w:sz w:val="20"/>
              </w:rPr>
              <w:t>2.488</w:t>
            </w:r>
          </w:p>
        </w:tc>
        <w:tc>
          <w:tcPr>
            <w:tcW w:w="1102" w:type="dxa"/>
            <w:tcBorders>
              <w:top w:val="nil"/>
              <w:left w:val="nil"/>
              <w:bottom w:val="nil"/>
              <w:right w:val="nil"/>
            </w:tcBorders>
          </w:tcPr>
          <w:p>
            <w:pPr>
              <w:pStyle w:val="TableParagraph"/>
              <w:spacing w:before="26"/>
              <w:ind w:right="67"/>
              <w:rPr>
                <w:sz w:val="20"/>
              </w:rPr>
            </w:pPr>
            <w:r>
              <w:rPr>
                <w:sz w:val="20"/>
              </w:rPr>
              <w:t>2.488</w:t>
            </w:r>
          </w:p>
        </w:tc>
        <w:tc>
          <w:tcPr>
            <w:tcW w:w="1102" w:type="dxa"/>
            <w:tcBorders>
              <w:top w:val="nil"/>
              <w:left w:val="nil"/>
              <w:bottom w:val="nil"/>
              <w:right w:val="nil"/>
            </w:tcBorders>
          </w:tcPr>
          <w:p>
            <w:pPr>
              <w:pStyle w:val="TableParagraph"/>
              <w:spacing w:before="26"/>
              <w:ind w:right="65"/>
              <w:rPr>
                <w:sz w:val="20"/>
              </w:rPr>
            </w:pPr>
            <w:r>
              <w:rPr>
                <w:sz w:val="20"/>
              </w:rPr>
              <w:t>4.094</w:t>
            </w:r>
          </w:p>
        </w:tc>
        <w:tc>
          <w:tcPr>
            <w:tcW w:w="1099" w:type="dxa"/>
            <w:tcBorders>
              <w:top w:val="nil"/>
              <w:left w:val="nil"/>
              <w:bottom w:val="nil"/>
              <w:right w:val="nil"/>
            </w:tcBorders>
          </w:tcPr>
          <w:p>
            <w:pPr>
              <w:pStyle w:val="TableParagraph"/>
              <w:spacing w:before="26"/>
              <w:ind w:right="65"/>
              <w:rPr>
                <w:sz w:val="20"/>
              </w:rPr>
            </w:pPr>
            <w:r>
              <w:rPr>
                <w:sz w:val="20"/>
              </w:rPr>
              <w:t>2.488</w:t>
            </w:r>
          </w:p>
        </w:tc>
        <w:tc>
          <w:tcPr>
            <w:tcW w:w="1100" w:type="dxa"/>
            <w:tcBorders>
              <w:top w:val="nil"/>
              <w:left w:val="nil"/>
              <w:bottom w:val="nil"/>
              <w:right w:val="nil"/>
            </w:tcBorders>
          </w:tcPr>
          <w:p>
            <w:pPr>
              <w:pStyle w:val="TableParagraph"/>
              <w:spacing w:before="26"/>
              <w:ind w:right="65"/>
              <w:rPr>
                <w:sz w:val="20"/>
              </w:rPr>
            </w:pPr>
            <w:r>
              <w:rPr>
                <w:sz w:val="20"/>
              </w:rPr>
              <w:t>2.488</w:t>
            </w:r>
          </w:p>
        </w:tc>
        <w:tc>
          <w:tcPr>
            <w:tcW w:w="1100" w:type="dxa"/>
            <w:tcBorders>
              <w:top w:val="nil"/>
              <w:left w:val="nil"/>
              <w:bottom w:val="nil"/>
              <w:right w:val="nil"/>
            </w:tcBorders>
          </w:tcPr>
          <w:p>
            <w:pPr>
              <w:pStyle w:val="TableParagraph"/>
              <w:spacing w:before="26"/>
              <w:ind w:right="65"/>
              <w:rPr>
                <w:sz w:val="20"/>
              </w:rPr>
            </w:pPr>
            <w:r>
              <w:rPr>
                <w:sz w:val="20"/>
              </w:rPr>
              <w:t>2.488</w:t>
            </w:r>
          </w:p>
        </w:tc>
        <w:tc>
          <w:tcPr>
            <w:tcW w:w="1099" w:type="dxa"/>
            <w:tcBorders>
              <w:top w:val="nil"/>
              <w:left w:val="nil"/>
              <w:bottom w:val="nil"/>
              <w:right w:val="nil"/>
            </w:tcBorders>
          </w:tcPr>
          <w:p>
            <w:pPr>
              <w:pStyle w:val="TableParagraph"/>
              <w:spacing w:before="26"/>
              <w:ind w:right="65"/>
              <w:rPr>
                <w:sz w:val="20"/>
              </w:rPr>
            </w:pPr>
            <w:r>
              <w:rPr>
                <w:sz w:val="20"/>
              </w:rPr>
              <w:t>2.488</w:t>
            </w:r>
          </w:p>
        </w:tc>
        <w:tc>
          <w:tcPr>
            <w:tcW w:w="1102" w:type="dxa"/>
            <w:tcBorders>
              <w:top w:val="nil"/>
              <w:left w:val="nil"/>
              <w:bottom w:val="nil"/>
              <w:right w:val="nil"/>
            </w:tcBorders>
          </w:tcPr>
          <w:p>
            <w:pPr>
              <w:pStyle w:val="TableParagraph"/>
              <w:spacing w:before="26"/>
              <w:ind w:right="67"/>
              <w:rPr>
                <w:sz w:val="20"/>
              </w:rPr>
            </w:pPr>
            <w:r>
              <w:rPr>
                <w:sz w:val="20"/>
              </w:rPr>
              <w:t>2.488</w:t>
            </w:r>
          </w:p>
        </w:tc>
        <w:tc>
          <w:tcPr>
            <w:tcW w:w="1102" w:type="dxa"/>
            <w:tcBorders>
              <w:top w:val="nil"/>
              <w:left w:val="nil"/>
              <w:bottom w:val="nil"/>
              <w:right w:val="nil"/>
            </w:tcBorders>
          </w:tcPr>
          <w:p>
            <w:pPr>
              <w:pStyle w:val="TableParagraph"/>
              <w:spacing w:before="26"/>
              <w:ind w:right="65"/>
              <w:rPr>
                <w:sz w:val="20"/>
              </w:rPr>
            </w:pPr>
            <w:r>
              <w:rPr>
                <w:sz w:val="20"/>
              </w:rPr>
              <w:t>2.488</w:t>
            </w:r>
          </w:p>
        </w:tc>
        <w:tc>
          <w:tcPr>
            <w:tcW w:w="1181" w:type="dxa"/>
            <w:tcBorders>
              <w:top w:val="nil"/>
              <w:left w:val="nil"/>
              <w:bottom w:val="nil"/>
              <w:right w:val="nil"/>
            </w:tcBorders>
          </w:tcPr>
          <w:p>
            <w:pPr>
              <w:pStyle w:val="TableParagraph"/>
              <w:spacing w:before="26"/>
              <w:ind w:right="65"/>
              <w:rPr>
                <w:sz w:val="20"/>
              </w:rPr>
            </w:pPr>
            <w:r>
              <w:rPr>
                <w:sz w:val="20"/>
              </w:rPr>
              <w:t>2.488</w:t>
            </w:r>
          </w:p>
        </w:tc>
        <w:tc>
          <w:tcPr>
            <w:tcW w:w="1179" w:type="dxa"/>
            <w:tcBorders>
              <w:top w:val="nil"/>
              <w:left w:val="nil"/>
              <w:bottom w:val="nil"/>
              <w:right w:val="nil"/>
            </w:tcBorders>
          </w:tcPr>
          <w:p>
            <w:pPr>
              <w:pStyle w:val="TableParagraph"/>
              <w:spacing w:before="26"/>
              <w:ind w:right="62"/>
              <w:rPr>
                <w:sz w:val="20"/>
              </w:rPr>
            </w:pPr>
            <w:r>
              <w:rPr>
                <w:sz w:val="20"/>
              </w:rPr>
              <w:t>2.488</w:t>
            </w:r>
          </w:p>
        </w:tc>
        <w:tc>
          <w:tcPr>
            <w:tcW w:w="1179" w:type="dxa"/>
            <w:tcBorders>
              <w:top w:val="nil"/>
              <w:left w:val="nil"/>
              <w:bottom w:val="nil"/>
              <w:right w:val="nil"/>
            </w:tcBorders>
          </w:tcPr>
          <w:p>
            <w:pPr>
              <w:pStyle w:val="TableParagraph"/>
              <w:spacing w:before="26"/>
              <w:ind w:right="65"/>
              <w:rPr>
                <w:sz w:val="20"/>
              </w:rPr>
            </w:pPr>
            <w:r>
              <w:rPr>
                <w:sz w:val="20"/>
              </w:rPr>
              <w:t>2.488</w:t>
            </w:r>
          </w:p>
        </w:tc>
      </w:tr>
      <w:tr>
        <w:trPr>
          <w:trHeight w:val="300" w:hRule="exact"/>
        </w:trPr>
        <w:tc>
          <w:tcPr>
            <w:tcW w:w="941" w:type="dxa"/>
            <w:tcBorders>
              <w:top w:val="nil"/>
              <w:left w:val="nil"/>
              <w:bottom w:val="nil"/>
              <w:right w:val="nil"/>
            </w:tcBorders>
          </w:tcPr>
          <w:p>
            <w:pPr>
              <w:pStyle w:val="TableParagraph"/>
              <w:ind w:left="82"/>
              <w:jc w:val="left"/>
              <w:rPr>
                <w:sz w:val="20"/>
              </w:rPr>
            </w:pPr>
            <w:r>
              <w:rPr>
                <w:w w:val="100"/>
                <w:sz w:val="20"/>
              </w:rPr>
              <w:t>4</w:t>
            </w:r>
          </w:p>
        </w:tc>
        <w:tc>
          <w:tcPr>
            <w:tcW w:w="1105" w:type="dxa"/>
            <w:tcBorders>
              <w:top w:val="nil"/>
              <w:left w:val="nil"/>
              <w:bottom w:val="nil"/>
              <w:right w:val="nil"/>
            </w:tcBorders>
          </w:tcPr>
          <w:p>
            <w:pPr>
              <w:pStyle w:val="TableParagraph"/>
              <w:ind w:right="65"/>
              <w:rPr>
                <w:sz w:val="20"/>
              </w:rPr>
            </w:pPr>
            <w:r>
              <w:rPr>
                <w:sz w:val="20"/>
              </w:rPr>
              <w:t>2.393</w:t>
            </w:r>
          </w:p>
        </w:tc>
        <w:tc>
          <w:tcPr>
            <w:tcW w:w="1102" w:type="dxa"/>
            <w:tcBorders>
              <w:top w:val="nil"/>
              <w:left w:val="nil"/>
              <w:bottom w:val="nil"/>
              <w:right w:val="nil"/>
            </w:tcBorders>
          </w:tcPr>
          <w:p>
            <w:pPr>
              <w:pStyle w:val="TableParagraph"/>
              <w:ind w:right="67"/>
              <w:rPr>
                <w:sz w:val="20"/>
              </w:rPr>
            </w:pPr>
            <w:r>
              <w:rPr>
                <w:sz w:val="20"/>
              </w:rPr>
              <w:t>2.393</w:t>
            </w:r>
          </w:p>
        </w:tc>
        <w:tc>
          <w:tcPr>
            <w:tcW w:w="1102" w:type="dxa"/>
            <w:tcBorders>
              <w:top w:val="nil"/>
              <w:left w:val="nil"/>
              <w:bottom w:val="nil"/>
              <w:right w:val="nil"/>
            </w:tcBorders>
          </w:tcPr>
          <w:p>
            <w:pPr>
              <w:pStyle w:val="TableParagraph"/>
              <w:ind w:right="65"/>
              <w:rPr>
                <w:sz w:val="20"/>
              </w:rPr>
            </w:pPr>
            <w:r>
              <w:rPr>
                <w:sz w:val="20"/>
              </w:rPr>
              <w:t>3.986</w:t>
            </w:r>
          </w:p>
        </w:tc>
        <w:tc>
          <w:tcPr>
            <w:tcW w:w="1099" w:type="dxa"/>
            <w:tcBorders>
              <w:top w:val="nil"/>
              <w:left w:val="nil"/>
              <w:bottom w:val="nil"/>
              <w:right w:val="nil"/>
            </w:tcBorders>
          </w:tcPr>
          <w:p>
            <w:pPr>
              <w:pStyle w:val="TableParagraph"/>
              <w:ind w:right="65"/>
              <w:rPr>
                <w:sz w:val="20"/>
              </w:rPr>
            </w:pPr>
            <w:r>
              <w:rPr>
                <w:sz w:val="20"/>
              </w:rPr>
              <w:t>2.393</w:t>
            </w:r>
          </w:p>
        </w:tc>
        <w:tc>
          <w:tcPr>
            <w:tcW w:w="1100" w:type="dxa"/>
            <w:tcBorders>
              <w:top w:val="nil"/>
              <w:left w:val="nil"/>
              <w:bottom w:val="nil"/>
              <w:right w:val="nil"/>
            </w:tcBorders>
          </w:tcPr>
          <w:p>
            <w:pPr>
              <w:pStyle w:val="TableParagraph"/>
              <w:ind w:right="65"/>
              <w:rPr>
                <w:sz w:val="20"/>
              </w:rPr>
            </w:pPr>
            <w:r>
              <w:rPr>
                <w:sz w:val="20"/>
              </w:rPr>
              <w:t>2.393</w:t>
            </w:r>
          </w:p>
        </w:tc>
        <w:tc>
          <w:tcPr>
            <w:tcW w:w="1100" w:type="dxa"/>
            <w:tcBorders>
              <w:top w:val="nil"/>
              <w:left w:val="nil"/>
              <w:bottom w:val="nil"/>
              <w:right w:val="nil"/>
            </w:tcBorders>
          </w:tcPr>
          <w:p>
            <w:pPr>
              <w:pStyle w:val="TableParagraph"/>
              <w:ind w:right="65"/>
              <w:rPr>
                <w:sz w:val="20"/>
              </w:rPr>
            </w:pPr>
            <w:r>
              <w:rPr>
                <w:sz w:val="20"/>
              </w:rPr>
              <w:t>2.393</w:t>
            </w:r>
          </w:p>
        </w:tc>
        <w:tc>
          <w:tcPr>
            <w:tcW w:w="1099" w:type="dxa"/>
            <w:tcBorders>
              <w:top w:val="nil"/>
              <w:left w:val="nil"/>
              <w:bottom w:val="nil"/>
              <w:right w:val="nil"/>
            </w:tcBorders>
          </w:tcPr>
          <w:p>
            <w:pPr>
              <w:pStyle w:val="TableParagraph"/>
              <w:ind w:right="65"/>
              <w:rPr>
                <w:sz w:val="20"/>
              </w:rPr>
            </w:pPr>
            <w:r>
              <w:rPr>
                <w:sz w:val="20"/>
              </w:rPr>
              <w:t>2.393</w:t>
            </w:r>
          </w:p>
        </w:tc>
        <w:tc>
          <w:tcPr>
            <w:tcW w:w="1102" w:type="dxa"/>
            <w:tcBorders>
              <w:top w:val="nil"/>
              <w:left w:val="nil"/>
              <w:bottom w:val="nil"/>
              <w:right w:val="nil"/>
            </w:tcBorders>
          </w:tcPr>
          <w:p>
            <w:pPr>
              <w:pStyle w:val="TableParagraph"/>
              <w:ind w:right="67"/>
              <w:rPr>
                <w:sz w:val="20"/>
              </w:rPr>
            </w:pPr>
            <w:r>
              <w:rPr>
                <w:sz w:val="20"/>
              </w:rPr>
              <w:t>2.393</w:t>
            </w:r>
          </w:p>
        </w:tc>
        <w:tc>
          <w:tcPr>
            <w:tcW w:w="1102" w:type="dxa"/>
            <w:tcBorders>
              <w:top w:val="nil"/>
              <w:left w:val="nil"/>
              <w:bottom w:val="nil"/>
              <w:right w:val="nil"/>
            </w:tcBorders>
          </w:tcPr>
          <w:p>
            <w:pPr>
              <w:pStyle w:val="TableParagraph"/>
              <w:ind w:right="65"/>
              <w:rPr>
                <w:sz w:val="20"/>
              </w:rPr>
            </w:pPr>
            <w:r>
              <w:rPr>
                <w:sz w:val="20"/>
              </w:rPr>
              <w:t>2.393</w:t>
            </w:r>
          </w:p>
        </w:tc>
        <w:tc>
          <w:tcPr>
            <w:tcW w:w="1181" w:type="dxa"/>
            <w:tcBorders>
              <w:top w:val="nil"/>
              <w:left w:val="nil"/>
              <w:bottom w:val="nil"/>
              <w:right w:val="nil"/>
            </w:tcBorders>
          </w:tcPr>
          <w:p>
            <w:pPr>
              <w:pStyle w:val="TableParagraph"/>
              <w:ind w:right="65"/>
              <w:rPr>
                <w:sz w:val="20"/>
              </w:rPr>
            </w:pPr>
            <w:r>
              <w:rPr>
                <w:sz w:val="20"/>
              </w:rPr>
              <w:t>2.393</w:t>
            </w:r>
          </w:p>
        </w:tc>
        <w:tc>
          <w:tcPr>
            <w:tcW w:w="1179" w:type="dxa"/>
            <w:tcBorders>
              <w:top w:val="nil"/>
              <w:left w:val="nil"/>
              <w:bottom w:val="nil"/>
              <w:right w:val="nil"/>
            </w:tcBorders>
          </w:tcPr>
          <w:p>
            <w:pPr>
              <w:pStyle w:val="TableParagraph"/>
              <w:ind w:right="62"/>
              <w:rPr>
                <w:sz w:val="20"/>
              </w:rPr>
            </w:pPr>
            <w:r>
              <w:rPr>
                <w:sz w:val="20"/>
              </w:rPr>
              <w:t>2.393</w:t>
            </w:r>
          </w:p>
        </w:tc>
        <w:tc>
          <w:tcPr>
            <w:tcW w:w="1179" w:type="dxa"/>
            <w:tcBorders>
              <w:top w:val="nil"/>
              <w:left w:val="nil"/>
              <w:bottom w:val="nil"/>
              <w:right w:val="nil"/>
            </w:tcBorders>
          </w:tcPr>
          <w:p>
            <w:pPr>
              <w:pStyle w:val="TableParagraph"/>
              <w:ind w:right="65"/>
              <w:rPr>
                <w:sz w:val="20"/>
              </w:rPr>
            </w:pPr>
            <w:r>
              <w:rPr>
                <w:sz w:val="20"/>
              </w:rPr>
              <w:t>2.393</w:t>
            </w:r>
          </w:p>
        </w:tc>
      </w:tr>
      <w:tr>
        <w:trPr>
          <w:trHeight w:val="300" w:hRule="exact"/>
        </w:trPr>
        <w:tc>
          <w:tcPr>
            <w:tcW w:w="941" w:type="dxa"/>
            <w:tcBorders>
              <w:top w:val="nil"/>
              <w:left w:val="nil"/>
              <w:bottom w:val="nil"/>
              <w:right w:val="nil"/>
            </w:tcBorders>
          </w:tcPr>
          <w:p>
            <w:pPr>
              <w:pStyle w:val="TableParagraph"/>
              <w:spacing w:before="26"/>
              <w:ind w:left="82"/>
              <w:jc w:val="left"/>
              <w:rPr>
                <w:sz w:val="20"/>
              </w:rPr>
            </w:pPr>
            <w:r>
              <w:rPr>
                <w:w w:val="100"/>
                <w:sz w:val="20"/>
              </w:rPr>
              <w:t>5</w:t>
            </w:r>
          </w:p>
        </w:tc>
        <w:tc>
          <w:tcPr>
            <w:tcW w:w="1105" w:type="dxa"/>
            <w:tcBorders>
              <w:top w:val="nil"/>
              <w:left w:val="nil"/>
              <w:bottom w:val="nil"/>
              <w:right w:val="nil"/>
            </w:tcBorders>
          </w:tcPr>
          <w:p>
            <w:pPr>
              <w:pStyle w:val="TableParagraph"/>
              <w:spacing w:before="26"/>
              <w:ind w:right="65"/>
              <w:rPr>
                <w:sz w:val="20"/>
              </w:rPr>
            </w:pPr>
            <w:r>
              <w:rPr>
                <w:sz w:val="20"/>
              </w:rPr>
              <w:t>2.393</w:t>
            </w:r>
          </w:p>
        </w:tc>
        <w:tc>
          <w:tcPr>
            <w:tcW w:w="1102" w:type="dxa"/>
            <w:tcBorders>
              <w:top w:val="nil"/>
              <w:left w:val="nil"/>
              <w:bottom w:val="nil"/>
              <w:right w:val="nil"/>
            </w:tcBorders>
          </w:tcPr>
          <w:p>
            <w:pPr>
              <w:pStyle w:val="TableParagraph"/>
              <w:spacing w:before="26"/>
              <w:ind w:right="67"/>
              <w:rPr>
                <w:sz w:val="20"/>
              </w:rPr>
            </w:pPr>
            <w:r>
              <w:rPr>
                <w:sz w:val="20"/>
              </w:rPr>
              <w:t>2.393</w:t>
            </w:r>
          </w:p>
        </w:tc>
        <w:tc>
          <w:tcPr>
            <w:tcW w:w="1102" w:type="dxa"/>
            <w:tcBorders>
              <w:top w:val="nil"/>
              <w:left w:val="nil"/>
              <w:bottom w:val="nil"/>
              <w:right w:val="nil"/>
            </w:tcBorders>
          </w:tcPr>
          <w:p>
            <w:pPr>
              <w:pStyle w:val="TableParagraph"/>
              <w:spacing w:before="26"/>
              <w:ind w:right="65"/>
              <w:rPr>
                <w:sz w:val="20"/>
              </w:rPr>
            </w:pPr>
            <w:r>
              <w:rPr>
                <w:sz w:val="20"/>
              </w:rPr>
              <w:t>3.986</w:t>
            </w:r>
          </w:p>
        </w:tc>
        <w:tc>
          <w:tcPr>
            <w:tcW w:w="1099" w:type="dxa"/>
            <w:tcBorders>
              <w:top w:val="nil"/>
              <w:left w:val="nil"/>
              <w:bottom w:val="nil"/>
              <w:right w:val="nil"/>
            </w:tcBorders>
          </w:tcPr>
          <w:p>
            <w:pPr>
              <w:pStyle w:val="TableParagraph"/>
              <w:spacing w:before="26"/>
              <w:ind w:right="65"/>
              <w:rPr>
                <w:sz w:val="20"/>
              </w:rPr>
            </w:pPr>
            <w:r>
              <w:rPr>
                <w:sz w:val="20"/>
              </w:rPr>
              <w:t>2.393</w:t>
            </w:r>
          </w:p>
        </w:tc>
        <w:tc>
          <w:tcPr>
            <w:tcW w:w="1100" w:type="dxa"/>
            <w:tcBorders>
              <w:top w:val="nil"/>
              <w:left w:val="nil"/>
              <w:bottom w:val="nil"/>
              <w:right w:val="nil"/>
            </w:tcBorders>
          </w:tcPr>
          <w:p>
            <w:pPr>
              <w:pStyle w:val="TableParagraph"/>
              <w:spacing w:before="26"/>
              <w:ind w:right="65"/>
              <w:rPr>
                <w:sz w:val="20"/>
              </w:rPr>
            </w:pPr>
            <w:r>
              <w:rPr>
                <w:sz w:val="20"/>
              </w:rPr>
              <w:t>2.393</w:t>
            </w:r>
          </w:p>
        </w:tc>
        <w:tc>
          <w:tcPr>
            <w:tcW w:w="1100" w:type="dxa"/>
            <w:tcBorders>
              <w:top w:val="nil"/>
              <w:left w:val="nil"/>
              <w:bottom w:val="nil"/>
              <w:right w:val="nil"/>
            </w:tcBorders>
          </w:tcPr>
          <w:p>
            <w:pPr>
              <w:pStyle w:val="TableParagraph"/>
              <w:spacing w:before="26"/>
              <w:ind w:right="65"/>
              <w:rPr>
                <w:sz w:val="20"/>
              </w:rPr>
            </w:pPr>
            <w:r>
              <w:rPr>
                <w:sz w:val="20"/>
              </w:rPr>
              <w:t>2.393</w:t>
            </w:r>
          </w:p>
        </w:tc>
        <w:tc>
          <w:tcPr>
            <w:tcW w:w="1099" w:type="dxa"/>
            <w:tcBorders>
              <w:top w:val="nil"/>
              <w:left w:val="nil"/>
              <w:bottom w:val="nil"/>
              <w:right w:val="nil"/>
            </w:tcBorders>
          </w:tcPr>
          <w:p>
            <w:pPr>
              <w:pStyle w:val="TableParagraph"/>
              <w:spacing w:before="26"/>
              <w:ind w:right="65"/>
              <w:rPr>
                <w:sz w:val="20"/>
              </w:rPr>
            </w:pPr>
            <w:r>
              <w:rPr>
                <w:sz w:val="20"/>
              </w:rPr>
              <w:t>2.393</w:t>
            </w:r>
          </w:p>
        </w:tc>
        <w:tc>
          <w:tcPr>
            <w:tcW w:w="1102" w:type="dxa"/>
            <w:tcBorders>
              <w:top w:val="nil"/>
              <w:left w:val="nil"/>
              <w:bottom w:val="nil"/>
              <w:right w:val="nil"/>
            </w:tcBorders>
          </w:tcPr>
          <w:p>
            <w:pPr>
              <w:pStyle w:val="TableParagraph"/>
              <w:spacing w:before="26"/>
              <w:ind w:right="67"/>
              <w:rPr>
                <w:sz w:val="20"/>
              </w:rPr>
            </w:pPr>
            <w:r>
              <w:rPr>
                <w:sz w:val="20"/>
              </w:rPr>
              <w:t>2.393</w:t>
            </w:r>
          </w:p>
        </w:tc>
        <w:tc>
          <w:tcPr>
            <w:tcW w:w="1102" w:type="dxa"/>
            <w:tcBorders>
              <w:top w:val="nil"/>
              <w:left w:val="nil"/>
              <w:bottom w:val="nil"/>
              <w:right w:val="nil"/>
            </w:tcBorders>
          </w:tcPr>
          <w:p>
            <w:pPr>
              <w:pStyle w:val="TableParagraph"/>
              <w:spacing w:before="26"/>
              <w:ind w:right="65"/>
              <w:rPr>
                <w:sz w:val="20"/>
              </w:rPr>
            </w:pPr>
            <w:r>
              <w:rPr>
                <w:sz w:val="20"/>
              </w:rPr>
              <w:t>2.393</w:t>
            </w:r>
          </w:p>
        </w:tc>
        <w:tc>
          <w:tcPr>
            <w:tcW w:w="1181" w:type="dxa"/>
            <w:tcBorders>
              <w:top w:val="nil"/>
              <w:left w:val="nil"/>
              <w:bottom w:val="nil"/>
              <w:right w:val="nil"/>
            </w:tcBorders>
          </w:tcPr>
          <w:p>
            <w:pPr>
              <w:pStyle w:val="TableParagraph"/>
              <w:spacing w:before="26"/>
              <w:ind w:right="65"/>
              <w:rPr>
                <w:sz w:val="20"/>
              </w:rPr>
            </w:pPr>
            <w:r>
              <w:rPr>
                <w:sz w:val="20"/>
              </w:rPr>
              <w:t>2.393</w:t>
            </w:r>
          </w:p>
        </w:tc>
        <w:tc>
          <w:tcPr>
            <w:tcW w:w="1179" w:type="dxa"/>
            <w:tcBorders>
              <w:top w:val="nil"/>
              <w:left w:val="nil"/>
              <w:bottom w:val="nil"/>
              <w:right w:val="nil"/>
            </w:tcBorders>
          </w:tcPr>
          <w:p>
            <w:pPr>
              <w:pStyle w:val="TableParagraph"/>
              <w:spacing w:before="26"/>
              <w:ind w:right="62"/>
              <w:rPr>
                <w:sz w:val="20"/>
              </w:rPr>
            </w:pPr>
            <w:r>
              <w:rPr>
                <w:sz w:val="20"/>
              </w:rPr>
              <w:t>2.393</w:t>
            </w:r>
          </w:p>
        </w:tc>
        <w:tc>
          <w:tcPr>
            <w:tcW w:w="1179" w:type="dxa"/>
            <w:tcBorders>
              <w:top w:val="nil"/>
              <w:left w:val="nil"/>
              <w:bottom w:val="nil"/>
              <w:right w:val="nil"/>
            </w:tcBorders>
          </w:tcPr>
          <w:p>
            <w:pPr>
              <w:pStyle w:val="TableParagraph"/>
              <w:spacing w:before="26"/>
              <w:ind w:right="65"/>
              <w:rPr>
                <w:sz w:val="20"/>
              </w:rPr>
            </w:pPr>
            <w:r>
              <w:rPr>
                <w:sz w:val="20"/>
              </w:rPr>
              <w:t>2.393</w:t>
            </w:r>
          </w:p>
        </w:tc>
      </w:tr>
      <w:tr>
        <w:trPr>
          <w:trHeight w:val="300" w:hRule="exact"/>
        </w:trPr>
        <w:tc>
          <w:tcPr>
            <w:tcW w:w="941" w:type="dxa"/>
            <w:tcBorders>
              <w:top w:val="nil"/>
              <w:left w:val="nil"/>
              <w:bottom w:val="nil"/>
              <w:right w:val="nil"/>
            </w:tcBorders>
          </w:tcPr>
          <w:p>
            <w:pPr>
              <w:pStyle w:val="TableParagraph"/>
              <w:ind w:left="82"/>
              <w:jc w:val="left"/>
              <w:rPr>
                <w:sz w:val="20"/>
              </w:rPr>
            </w:pPr>
            <w:r>
              <w:rPr>
                <w:w w:val="100"/>
                <w:sz w:val="20"/>
              </w:rPr>
              <w:t>6</w:t>
            </w:r>
          </w:p>
        </w:tc>
        <w:tc>
          <w:tcPr>
            <w:tcW w:w="1105" w:type="dxa"/>
            <w:tcBorders>
              <w:top w:val="nil"/>
              <w:left w:val="nil"/>
              <w:bottom w:val="nil"/>
              <w:right w:val="nil"/>
            </w:tcBorders>
          </w:tcPr>
          <w:p>
            <w:pPr>
              <w:pStyle w:val="TableParagraph"/>
              <w:ind w:right="65"/>
              <w:rPr>
                <w:sz w:val="20"/>
              </w:rPr>
            </w:pPr>
            <w:r>
              <w:rPr>
                <w:sz w:val="20"/>
              </w:rPr>
              <w:t>2.393</w:t>
            </w:r>
          </w:p>
        </w:tc>
        <w:tc>
          <w:tcPr>
            <w:tcW w:w="1102" w:type="dxa"/>
            <w:tcBorders>
              <w:top w:val="nil"/>
              <w:left w:val="nil"/>
              <w:bottom w:val="nil"/>
              <w:right w:val="nil"/>
            </w:tcBorders>
          </w:tcPr>
          <w:p>
            <w:pPr>
              <w:pStyle w:val="TableParagraph"/>
              <w:ind w:right="67"/>
              <w:rPr>
                <w:sz w:val="20"/>
              </w:rPr>
            </w:pPr>
            <w:r>
              <w:rPr>
                <w:sz w:val="20"/>
              </w:rPr>
              <w:t>2.393</w:t>
            </w:r>
          </w:p>
        </w:tc>
        <w:tc>
          <w:tcPr>
            <w:tcW w:w="1102" w:type="dxa"/>
            <w:tcBorders>
              <w:top w:val="nil"/>
              <w:left w:val="nil"/>
              <w:bottom w:val="nil"/>
              <w:right w:val="nil"/>
            </w:tcBorders>
          </w:tcPr>
          <w:p>
            <w:pPr>
              <w:pStyle w:val="TableParagraph"/>
              <w:ind w:right="65"/>
              <w:rPr>
                <w:sz w:val="20"/>
              </w:rPr>
            </w:pPr>
            <w:r>
              <w:rPr>
                <w:sz w:val="20"/>
              </w:rPr>
              <w:t>3.986</w:t>
            </w:r>
          </w:p>
        </w:tc>
        <w:tc>
          <w:tcPr>
            <w:tcW w:w="1099" w:type="dxa"/>
            <w:tcBorders>
              <w:top w:val="nil"/>
              <w:left w:val="nil"/>
              <w:bottom w:val="nil"/>
              <w:right w:val="nil"/>
            </w:tcBorders>
          </w:tcPr>
          <w:p>
            <w:pPr>
              <w:pStyle w:val="TableParagraph"/>
              <w:ind w:right="65"/>
              <w:rPr>
                <w:sz w:val="20"/>
              </w:rPr>
            </w:pPr>
            <w:r>
              <w:rPr>
                <w:sz w:val="20"/>
              </w:rPr>
              <w:t>2.393</w:t>
            </w:r>
          </w:p>
        </w:tc>
        <w:tc>
          <w:tcPr>
            <w:tcW w:w="1100" w:type="dxa"/>
            <w:tcBorders>
              <w:top w:val="nil"/>
              <w:left w:val="nil"/>
              <w:bottom w:val="nil"/>
              <w:right w:val="nil"/>
            </w:tcBorders>
          </w:tcPr>
          <w:p>
            <w:pPr>
              <w:pStyle w:val="TableParagraph"/>
              <w:ind w:right="65"/>
              <w:rPr>
                <w:sz w:val="20"/>
              </w:rPr>
            </w:pPr>
            <w:r>
              <w:rPr>
                <w:sz w:val="20"/>
              </w:rPr>
              <w:t>2.393</w:t>
            </w:r>
          </w:p>
        </w:tc>
        <w:tc>
          <w:tcPr>
            <w:tcW w:w="1100" w:type="dxa"/>
            <w:tcBorders>
              <w:top w:val="nil"/>
              <w:left w:val="nil"/>
              <w:bottom w:val="nil"/>
              <w:right w:val="nil"/>
            </w:tcBorders>
          </w:tcPr>
          <w:p>
            <w:pPr>
              <w:pStyle w:val="TableParagraph"/>
              <w:ind w:right="65"/>
              <w:rPr>
                <w:sz w:val="20"/>
              </w:rPr>
            </w:pPr>
            <w:r>
              <w:rPr>
                <w:sz w:val="20"/>
              </w:rPr>
              <w:t>2.393</w:t>
            </w:r>
          </w:p>
        </w:tc>
        <w:tc>
          <w:tcPr>
            <w:tcW w:w="1099" w:type="dxa"/>
            <w:tcBorders>
              <w:top w:val="nil"/>
              <w:left w:val="nil"/>
              <w:bottom w:val="nil"/>
              <w:right w:val="nil"/>
            </w:tcBorders>
          </w:tcPr>
          <w:p>
            <w:pPr>
              <w:pStyle w:val="TableParagraph"/>
              <w:ind w:right="65"/>
              <w:rPr>
                <w:sz w:val="20"/>
              </w:rPr>
            </w:pPr>
            <w:r>
              <w:rPr>
                <w:sz w:val="20"/>
              </w:rPr>
              <w:t>2.393</w:t>
            </w:r>
          </w:p>
        </w:tc>
        <w:tc>
          <w:tcPr>
            <w:tcW w:w="1102" w:type="dxa"/>
            <w:tcBorders>
              <w:top w:val="nil"/>
              <w:left w:val="nil"/>
              <w:bottom w:val="nil"/>
              <w:right w:val="nil"/>
            </w:tcBorders>
          </w:tcPr>
          <w:p>
            <w:pPr>
              <w:pStyle w:val="TableParagraph"/>
              <w:ind w:right="67"/>
              <w:rPr>
                <w:sz w:val="20"/>
              </w:rPr>
            </w:pPr>
            <w:r>
              <w:rPr>
                <w:sz w:val="20"/>
              </w:rPr>
              <w:t>2.393</w:t>
            </w:r>
          </w:p>
        </w:tc>
        <w:tc>
          <w:tcPr>
            <w:tcW w:w="1102" w:type="dxa"/>
            <w:tcBorders>
              <w:top w:val="nil"/>
              <w:left w:val="nil"/>
              <w:bottom w:val="nil"/>
              <w:right w:val="nil"/>
            </w:tcBorders>
          </w:tcPr>
          <w:p>
            <w:pPr>
              <w:pStyle w:val="TableParagraph"/>
              <w:ind w:right="65"/>
              <w:rPr>
                <w:sz w:val="20"/>
              </w:rPr>
            </w:pPr>
            <w:r>
              <w:rPr>
                <w:sz w:val="20"/>
              </w:rPr>
              <w:t>2.393</w:t>
            </w:r>
          </w:p>
        </w:tc>
        <w:tc>
          <w:tcPr>
            <w:tcW w:w="1181" w:type="dxa"/>
            <w:tcBorders>
              <w:top w:val="nil"/>
              <w:left w:val="nil"/>
              <w:bottom w:val="nil"/>
              <w:right w:val="nil"/>
            </w:tcBorders>
          </w:tcPr>
          <w:p>
            <w:pPr>
              <w:pStyle w:val="TableParagraph"/>
              <w:ind w:right="65"/>
              <w:rPr>
                <w:sz w:val="20"/>
              </w:rPr>
            </w:pPr>
            <w:r>
              <w:rPr>
                <w:sz w:val="20"/>
              </w:rPr>
              <w:t>2.393</w:t>
            </w:r>
          </w:p>
        </w:tc>
        <w:tc>
          <w:tcPr>
            <w:tcW w:w="1179" w:type="dxa"/>
            <w:tcBorders>
              <w:top w:val="nil"/>
              <w:left w:val="nil"/>
              <w:bottom w:val="nil"/>
              <w:right w:val="nil"/>
            </w:tcBorders>
          </w:tcPr>
          <w:p>
            <w:pPr>
              <w:pStyle w:val="TableParagraph"/>
              <w:ind w:right="62"/>
              <w:rPr>
                <w:sz w:val="20"/>
              </w:rPr>
            </w:pPr>
            <w:r>
              <w:rPr>
                <w:sz w:val="20"/>
              </w:rPr>
              <w:t>2.393</w:t>
            </w:r>
          </w:p>
        </w:tc>
        <w:tc>
          <w:tcPr>
            <w:tcW w:w="1179" w:type="dxa"/>
            <w:tcBorders>
              <w:top w:val="nil"/>
              <w:left w:val="nil"/>
              <w:bottom w:val="nil"/>
              <w:right w:val="nil"/>
            </w:tcBorders>
          </w:tcPr>
          <w:p>
            <w:pPr>
              <w:pStyle w:val="TableParagraph"/>
              <w:ind w:right="65"/>
              <w:rPr>
                <w:sz w:val="20"/>
              </w:rPr>
            </w:pPr>
            <w:r>
              <w:rPr>
                <w:sz w:val="20"/>
              </w:rPr>
              <w:t>2.393</w:t>
            </w:r>
          </w:p>
        </w:tc>
      </w:tr>
      <w:tr>
        <w:trPr>
          <w:trHeight w:val="300" w:hRule="exact"/>
        </w:trPr>
        <w:tc>
          <w:tcPr>
            <w:tcW w:w="941" w:type="dxa"/>
            <w:tcBorders>
              <w:top w:val="nil"/>
              <w:left w:val="nil"/>
              <w:bottom w:val="nil"/>
              <w:right w:val="nil"/>
            </w:tcBorders>
          </w:tcPr>
          <w:p>
            <w:pPr>
              <w:pStyle w:val="TableParagraph"/>
              <w:spacing w:before="26"/>
              <w:ind w:left="82"/>
              <w:jc w:val="left"/>
              <w:rPr>
                <w:sz w:val="20"/>
              </w:rPr>
            </w:pPr>
            <w:r>
              <w:rPr>
                <w:w w:val="100"/>
                <w:sz w:val="20"/>
              </w:rPr>
              <w:t>7</w:t>
            </w:r>
          </w:p>
        </w:tc>
        <w:tc>
          <w:tcPr>
            <w:tcW w:w="1105" w:type="dxa"/>
            <w:tcBorders>
              <w:top w:val="nil"/>
              <w:left w:val="nil"/>
              <w:bottom w:val="nil"/>
              <w:right w:val="nil"/>
            </w:tcBorders>
          </w:tcPr>
          <w:p>
            <w:pPr>
              <w:pStyle w:val="TableParagraph"/>
              <w:spacing w:before="26"/>
              <w:ind w:right="65"/>
              <w:rPr>
                <w:sz w:val="20"/>
              </w:rPr>
            </w:pPr>
            <w:r>
              <w:rPr>
                <w:sz w:val="20"/>
              </w:rPr>
              <w:t>2.393</w:t>
            </w:r>
          </w:p>
        </w:tc>
        <w:tc>
          <w:tcPr>
            <w:tcW w:w="1102" w:type="dxa"/>
            <w:tcBorders>
              <w:top w:val="nil"/>
              <w:left w:val="nil"/>
              <w:bottom w:val="nil"/>
              <w:right w:val="nil"/>
            </w:tcBorders>
          </w:tcPr>
          <w:p>
            <w:pPr>
              <w:pStyle w:val="TableParagraph"/>
              <w:spacing w:before="26"/>
              <w:ind w:right="67"/>
              <w:rPr>
                <w:sz w:val="20"/>
              </w:rPr>
            </w:pPr>
            <w:r>
              <w:rPr>
                <w:sz w:val="20"/>
              </w:rPr>
              <w:t>2.393</w:t>
            </w:r>
          </w:p>
        </w:tc>
        <w:tc>
          <w:tcPr>
            <w:tcW w:w="1102" w:type="dxa"/>
            <w:tcBorders>
              <w:top w:val="nil"/>
              <w:left w:val="nil"/>
              <w:bottom w:val="nil"/>
              <w:right w:val="nil"/>
            </w:tcBorders>
          </w:tcPr>
          <w:p>
            <w:pPr>
              <w:pStyle w:val="TableParagraph"/>
              <w:spacing w:before="26"/>
              <w:ind w:right="65"/>
              <w:rPr>
                <w:sz w:val="20"/>
              </w:rPr>
            </w:pPr>
            <w:r>
              <w:rPr>
                <w:sz w:val="20"/>
              </w:rPr>
              <w:t>3.986</w:t>
            </w:r>
          </w:p>
        </w:tc>
        <w:tc>
          <w:tcPr>
            <w:tcW w:w="1099" w:type="dxa"/>
            <w:tcBorders>
              <w:top w:val="nil"/>
              <w:left w:val="nil"/>
              <w:bottom w:val="nil"/>
              <w:right w:val="nil"/>
            </w:tcBorders>
          </w:tcPr>
          <w:p>
            <w:pPr>
              <w:pStyle w:val="TableParagraph"/>
              <w:spacing w:before="26"/>
              <w:ind w:right="65"/>
              <w:rPr>
                <w:sz w:val="20"/>
              </w:rPr>
            </w:pPr>
            <w:r>
              <w:rPr>
                <w:sz w:val="20"/>
              </w:rPr>
              <w:t>2.393</w:t>
            </w:r>
          </w:p>
        </w:tc>
        <w:tc>
          <w:tcPr>
            <w:tcW w:w="1100" w:type="dxa"/>
            <w:tcBorders>
              <w:top w:val="nil"/>
              <w:left w:val="nil"/>
              <w:bottom w:val="nil"/>
              <w:right w:val="nil"/>
            </w:tcBorders>
          </w:tcPr>
          <w:p>
            <w:pPr>
              <w:pStyle w:val="TableParagraph"/>
              <w:spacing w:before="26"/>
              <w:ind w:right="65"/>
              <w:rPr>
                <w:sz w:val="20"/>
              </w:rPr>
            </w:pPr>
            <w:r>
              <w:rPr>
                <w:sz w:val="20"/>
              </w:rPr>
              <w:t>2.393</w:t>
            </w:r>
          </w:p>
        </w:tc>
        <w:tc>
          <w:tcPr>
            <w:tcW w:w="1100" w:type="dxa"/>
            <w:tcBorders>
              <w:top w:val="nil"/>
              <w:left w:val="nil"/>
              <w:bottom w:val="nil"/>
              <w:right w:val="nil"/>
            </w:tcBorders>
          </w:tcPr>
          <w:p>
            <w:pPr>
              <w:pStyle w:val="TableParagraph"/>
              <w:spacing w:before="26"/>
              <w:ind w:right="65"/>
              <w:rPr>
                <w:sz w:val="20"/>
              </w:rPr>
            </w:pPr>
            <w:r>
              <w:rPr>
                <w:sz w:val="20"/>
              </w:rPr>
              <w:t>2.393</w:t>
            </w:r>
          </w:p>
        </w:tc>
        <w:tc>
          <w:tcPr>
            <w:tcW w:w="1099" w:type="dxa"/>
            <w:tcBorders>
              <w:top w:val="nil"/>
              <w:left w:val="nil"/>
              <w:bottom w:val="nil"/>
              <w:right w:val="nil"/>
            </w:tcBorders>
          </w:tcPr>
          <w:p>
            <w:pPr>
              <w:pStyle w:val="TableParagraph"/>
              <w:spacing w:before="26"/>
              <w:ind w:right="65"/>
              <w:rPr>
                <w:sz w:val="20"/>
              </w:rPr>
            </w:pPr>
            <w:r>
              <w:rPr>
                <w:sz w:val="20"/>
              </w:rPr>
              <w:t>2.393</w:t>
            </w:r>
          </w:p>
        </w:tc>
        <w:tc>
          <w:tcPr>
            <w:tcW w:w="1102" w:type="dxa"/>
            <w:tcBorders>
              <w:top w:val="nil"/>
              <w:left w:val="nil"/>
              <w:bottom w:val="nil"/>
              <w:right w:val="nil"/>
            </w:tcBorders>
          </w:tcPr>
          <w:p>
            <w:pPr>
              <w:pStyle w:val="TableParagraph"/>
              <w:spacing w:before="26"/>
              <w:ind w:right="67"/>
              <w:rPr>
                <w:sz w:val="20"/>
              </w:rPr>
            </w:pPr>
            <w:r>
              <w:rPr>
                <w:sz w:val="20"/>
              </w:rPr>
              <w:t>2.393</w:t>
            </w:r>
          </w:p>
        </w:tc>
        <w:tc>
          <w:tcPr>
            <w:tcW w:w="1102" w:type="dxa"/>
            <w:tcBorders>
              <w:top w:val="nil"/>
              <w:left w:val="nil"/>
              <w:bottom w:val="nil"/>
              <w:right w:val="nil"/>
            </w:tcBorders>
          </w:tcPr>
          <w:p>
            <w:pPr>
              <w:pStyle w:val="TableParagraph"/>
              <w:spacing w:before="26"/>
              <w:ind w:right="65"/>
              <w:rPr>
                <w:sz w:val="20"/>
              </w:rPr>
            </w:pPr>
            <w:r>
              <w:rPr>
                <w:sz w:val="20"/>
              </w:rPr>
              <w:t>2.393</w:t>
            </w:r>
          </w:p>
        </w:tc>
        <w:tc>
          <w:tcPr>
            <w:tcW w:w="1181" w:type="dxa"/>
            <w:tcBorders>
              <w:top w:val="nil"/>
              <w:left w:val="nil"/>
              <w:bottom w:val="nil"/>
              <w:right w:val="nil"/>
            </w:tcBorders>
          </w:tcPr>
          <w:p>
            <w:pPr>
              <w:pStyle w:val="TableParagraph"/>
              <w:spacing w:before="26"/>
              <w:ind w:right="65"/>
              <w:rPr>
                <w:sz w:val="20"/>
              </w:rPr>
            </w:pPr>
            <w:r>
              <w:rPr>
                <w:sz w:val="20"/>
              </w:rPr>
              <w:t>2.393</w:t>
            </w:r>
          </w:p>
        </w:tc>
        <w:tc>
          <w:tcPr>
            <w:tcW w:w="1179" w:type="dxa"/>
            <w:tcBorders>
              <w:top w:val="nil"/>
              <w:left w:val="nil"/>
              <w:bottom w:val="nil"/>
              <w:right w:val="nil"/>
            </w:tcBorders>
          </w:tcPr>
          <w:p>
            <w:pPr>
              <w:pStyle w:val="TableParagraph"/>
              <w:spacing w:before="26"/>
              <w:ind w:right="62"/>
              <w:rPr>
                <w:sz w:val="20"/>
              </w:rPr>
            </w:pPr>
            <w:r>
              <w:rPr>
                <w:sz w:val="20"/>
              </w:rPr>
              <w:t>2.393</w:t>
            </w:r>
          </w:p>
        </w:tc>
        <w:tc>
          <w:tcPr>
            <w:tcW w:w="1179" w:type="dxa"/>
            <w:tcBorders>
              <w:top w:val="nil"/>
              <w:left w:val="nil"/>
              <w:bottom w:val="nil"/>
              <w:right w:val="nil"/>
            </w:tcBorders>
          </w:tcPr>
          <w:p>
            <w:pPr>
              <w:pStyle w:val="TableParagraph"/>
              <w:spacing w:before="26"/>
              <w:ind w:right="65"/>
              <w:rPr>
                <w:sz w:val="20"/>
              </w:rPr>
            </w:pPr>
            <w:r>
              <w:rPr>
                <w:sz w:val="20"/>
              </w:rPr>
              <w:t>2.393</w:t>
            </w:r>
          </w:p>
        </w:tc>
      </w:tr>
      <w:tr>
        <w:trPr>
          <w:trHeight w:val="300" w:hRule="exact"/>
        </w:trPr>
        <w:tc>
          <w:tcPr>
            <w:tcW w:w="941" w:type="dxa"/>
            <w:tcBorders>
              <w:top w:val="nil"/>
              <w:left w:val="nil"/>
              <w:bottom w:val="nil"/>
              <w:right w:val="nil"/>
            </w:tcBorders>
          </w:tcPr>
          <w:p>
            <w:pPr>
              <w:pStyle w:val="TableParagraph"/>
              <w:ind w:left="82"/>
              <w:jc w:val="left"/>
              <w:rPr>
                <w:sz w:val="20"/>
              </w:rPr>
            </w:pPr>
            <w:r>
              <w:rPr>
                <w:w w:val="100"/>
                <w:sz w:val="20"/>
              </w:rPr>
              <w:t>8</w:t>
            </w:r>
          </w:p>
        </w:tc>
        <w:tc>
          <w:tcPr>
            <w:tcW w:w="1105" w:type="dxa"/>
            <w:tcBorders>
              <w:top w:val="nil"/>
              <w:left w:val="nil"/>
              <w:bottom w:val="nil"/>
              <w:right w:val="nil"/>
            </w:tcBorders>
          </w:tcPr>
          <w:p>
            <w:pPr>
              <w:pStyle w:val="TableParagraph"/>
              <w:ind w:right="65"/>
              <w:rPr>
                <w:sz w:val="20"/>
              </w:rPr>
            </w:pPr>
            <w:r>
              <w:rPr>
                <w:sz w:val="20"/>
              </w:rPr>
              <w:t>2.393</w:t>
            </w:r>
          </w:p>
        </w:tc>
        <w:tc>
          <w:tcPr>
            <w:tcW w:w="1102" w:type="dxa"/>
            <w:tcBorders>
              <w:top w:val="nil"/>
              <w:left w:val="nil"/>
              <w:bottom w:val="nil"/>
              <w:right w:val="nil"/>
            </w:tcBorders>
          </w:tcPr>
          <w:p>
            <w:pPr>
              <w:pStyle w:val="TableParagraph"/>
              <w:ind w:right="67"/>
              <w:rPr>
                <w:sz w:val="20"/>
              </w:rPr>
            </w:pPr>
            <w:r>
              <w:rPr>
                <w:sz w:val="20"/>
              </w:rPr>
              <w:t>2.393</w:t>
            </w:r>
          </w:p>
        </w:tc>
        <w:tc>
          <w:tcPr>
            <w:tcW w:w="1102" w:type="dxa"/>
            <w:tcBorders>
              <w:top w:val="nil"/>
              <w:left w:val="nil"/>
              <w:bottom w:val="nil"/>
              <w:right w:val="nil"/>
            </w:tcBorders>
          </w:tcPr>
          <w:p>
            <w:pPr>
              <w:pStyle w:val="TableParagraph"/>
              <w:ind w:right="65"/>
              <w:rPr>
                <w:sz w:val="20"/>
              </w:rPr>
            </w:pPr>
            <w:r>
              <w:rPr>
                <w:sz w:val="20"/>
              </w:rPr>
              <w:t>3.986</w:t>
            </w:r>
          </w:p>
        </w:tc>
        <w:tc>
          <w:tcPr>
            <w:tcW w:w="1099" w:type="dxa"/>
            <w:tcBorders>
              <w:top w:val="nil"/>
              <w:left w:val="nil"/>
              <w:bottom w:val="nil"/>
              <w:right w:val="nil"/>
            </w:tcBorders>
          </w:tcPr>
          <w:p>
            <w:pPr>
              <w:pStyle w:val="TableParagraph"/>
              <w:ind w:right="65"/>
              <w:rPr>
                <w:sz w:val="20"/>
              </w:rPr>
            </w:pPr>
            <w:r>
              <w:rPr>
                <w:sz w:val="20"/>
              </w:rPr>
              <w:t>2.393</w:t>
            </w:r>
          </w:p>
        </w:tc>
        <w:tc>
          <w:tcPr>
            <w:tcW w:w="1100" w:type="dxa"/>
            <w:tcBorders>
              <w:top w:val="nil"/>
              <w:left w:val="nil"/>
              <w:bottom w:val="nil"/>
              <w:right w:val="nil"/>
            </w:tcBorders>
          </w:tcPr>
          <w:p>
            <w:pPr>
              <w:pStyle w:val="TableParagraph"/>
              <w:ind w:right="65"/>
              <w:rPr>
                <w:sz w:val="20"/>
              </w:rPr>
            </w:pPr>
            <w:r>
              <w:rPr>
                <w:sz w:val="20"/>
              </w:rPr>
              <w:t>2.393</w:t>
            </w:r>
          </w:p>
        </w:tc>
        <w:tc>
          <w:tcPr>
            <w:tcW w:w="1100" w:type="dxa"/>
            <w:tcBorders>
              <w:top w:val="nil"/>
              <w:left w:val="nil"/>
              <w:bottom w:val="nil"/>
              <w:right w:val="nil"/>
            </w:tcBorders>
          </w:tcPr>
          <w:p>
            <w:pPr>
              <w:pStyle w:val="TableParagraph"/>
              <w:ind w:right="65"/>
              <w:rPr>
                <w:sz w:val="20"/>
              </w:rPr>
            </w:pPr>
            <w:r>
              <w:rPr>
                <w:sz w:val="20"/>
              </w:rPr>
              <w:t>2.393</w:t>
            </w:r>
          </w:p>
        </w:tc>
        <w:tc>
          <w:tcPr>
            <w:tcW w:w="1099" w:type="dxa"/>
            <w:tcBorders>
              <w:top w:val="nil"/>
              <w:left w:val="nil"/>
              <w:bottom w:val="nil"/>
              <w:right w:val="nil"/>
            </w:tcBorders>
          </w:tcPr>
          <w:p>
            <w:pPr>
              <w:pStyle w:val="TableParagraph"/>
              <w:ind w:right="65"/>
              <w:rPr>
                <w:sz w:val="20"/>
              </w:rPr>
            </w:pPr>
            <w:r>
              <w:rPr>
                <w:sz w:val="20"/>
              </w:rPr>
              <w:t>2.393</w:t>
            </w:r>
          </w:p>
        </w:tc>
        <w:tc>
          <w:tcPr>
            <w:tcW w:w="1102" w:type="dxa"/>
            <w:tcBorders>
              <w:top w:val="nil"/>
              <w:left w:val="nil"/>
              <w:bottom w:val="nil"/>
              <w:right w:val="nil"/>
            </w:tcBorders>
          </w:tcPr>
          <w:p>
            <w:pPr>
              <w:pStyle w:val="TableParagraph"/>
              <w:ind w:right="67"/>
              <w:rPr>
                <w:sz w:val="20"/>
              </w:rPr>
            </w:pPr>
            <w:r>
              <w:rPr>
                <w:sz w:val="20"/>
              </w:rPr>
              <w:t>2.393</w:t>
            </w:r>
          </w:p>
        </w:tc>
        <w:tc>
          <w:tcPr>
            <w:tcW w:w="1102" w:type="dxa"/>
            <w:tcBorders>
              <w:top w:val="nil"/>
              <w:left w:val="nil"/>
              <w:bottom w:val="nil"/>
              <w:right w:val="nil"/>
            </w:tcBorders>
          </w:tcPr>
          <w:p>
            <w:pPr>
              <w:pStyle w:val="TableParagraph"/>
              <w:ind w:right="65"/>
              <w:rPr>
                <w:sz w:val="20"/>
              </w:rPr>
            </w:pPr>
            <w:r>
              <w:rPr>
                <w:sz w:val="20"/>
              </w:rPr>
              <w:t>2.393</w:t>
            </w:r>
          </w:p>
        </w:tc>
        <w:tc>
          <w:tcPr>
            <w:tcW w:w="1181" w:type="dxa"/>
            <w:tcBorders>
              <w:top w:val="nil"/>
              <w:left w:val="nil"/>
              <w:bottom w:val="nil"/>
              <w:right w:val="nil"/>
            </w:tcBorders>
          </w:tcPr>
          <w:p>
            <w:pPr>
              <w:pStyle w:val="TableParagraph"/>
              <w:ind w:right="65"/>
              <w:rPr>
                <w:sz w:val="20"/>
              </w:rPr>
            </w:pPr>
            <w:r>
              <w:rPr>
                <w:sz w:val="20"/>
              </w:rPr>
              <w:t>2.393</w:t>
            </w:r>
          </w:p>
        </w:tc>
        <w:tc>
          <w:tcPr>
            <w:tcW w:w="1179" w:type="dxa"/>
            <w:tcBorders>
              <w:top w:val="nil"/>
              <w:left w:val="nil"/>
              <w:bottom w:val="nil"/>
              <w:right w:val="nil"/>
            </w:tcBorders>
          </w:tcPr>
          <w:p>
            <w:pPr>
              <w:pStyle w:val="TableParagraph"/>
              <w:ind w:right="62"/>
              <w:rPr>
                <w:sz w:val="20"/>
              </w:rPr>
            </w:pPr>
            <w:r>
              <w:rPr>
                <w:sz w:val="20"/>
              </w:rPr>
              <w:t>2.393</w:t>
            </w:r>
          </w:p>
        </w:tc>
        <w:tc>
          <w:tcPr>
            <w:tcW w:w="1179" w:type="dxa"/>
            <w:tcBorders>
              <w:top w:val="nil"/>
              <w:left w:val="nil"/>
              <w:bottom w:val="nil"/>
              <w:right w:val="nil"/>
            </w:tcBorders>
          </w:tcPr>
          <w:p>
            <w:pPr>
              <w:pStyle w:val="TableParagraph"/>
              <w:ind w:right="65"/>
              <w:rPr>
                <w:sz w:val="20"/>
              </w:rPr>
            </w:pPr>
            <w:r>
              <w:rPr>
                <w:sz w:val="20"/>
              </w:rPr>
              <w:t>2.393</w:t>
            </w:r>
          </w:p>
        </w:tc>
      </w:tr>
      <w:tr>
        <w:trPr>
          <w:trHeight w:val="300" w:hRule="exact"/>
        </w:trPr>
        <w:tc>
          <w:tcPr>
            <w:tcW w:w="941" w:type="dxa"/>
            <w:tcBorders>
              <w:top w:val="nil"/>
              <w:left w:val="nil"/>
              <w:bottom w:val="nil"/>
              <w:right w:val="nil"/>
            </w:tcBorders>
          </w:tcPr>
          <w:p>
            <w:pPr>
              <w:pStyle w:val="TableParagraph"/>
              <w:spacing w:before="26"/>
              <w:ind w:left="82"/>
              <w:jc w:val="left"/>
              <w:rPr>
                <w:sz w:val="20"/>
              </w:rPr>
            </w:pPr>
            <w:r>
              <w:rPr>
                <w:w w:val="100"/>
                <w:sz w:val="20"/>
              </w:rPr>
              <w:t>9</w:t>
            </w:r>
          </w:p>
        </w:tc>
        <w:tc>
          <w:tcPr>
            <w:tcW w:w="1105" w:type="dxa"/>
            <w:tcBorders>
              <w:top w:val="nil"/>
              <w:left w:val="nil"/>
              <w:bottom w:val="nil"/>
              <w:right w:val="nil"/>
            </w:tcBorders>
          </w:tcPr>
          <w:p>
            <w:pPr>
              <w:pStyle w:val="TableParagraph"/>
              <w:spacing w:before="26"/>
              <w:ind w:right="65"/>
              <w:rPr>
                <w:sz w:val="20"/>
              </w:rPr>
            </w:pPr>
            <w:r>
              <w:rPr>
                <w:sz w:val="20"/>
              </w:rPr>
              <w:t>2.393</w:t>
            </w:r>
          </w:p>
        </w:tc>
        <w:tc>
          <w:tcPr>
            <w:tcW w:w="1102" w:type="dxa"/>
            <w:tcBorders>
              <w:top w:val="nil"/>
              <w:left w:val="nil"/>
              <w:bottom w:val="nil"/>
              <w:right w:val="nil"/>
            </w:tcBorders>
          </w:tcPr>
          <w:p>
            <w:pPr>
              <w:pStyle w:val="TableParagraph"/>
              <w:spacing w:before="26"/>
              <w:ind w:right="67"/>
              <w:rPr>
                <w:sz w:val="20"/>
              </w:rPr>
            </w:pPr>
            <w:r>
              <w:rPr>
                <w:sz w:val="20"/>
              </w:rPr>
              <w:t>2.393</w:t>
            </w:r>
          </w:p>
        </w:tc>
        <w:tc>
          <w:tcPr>
            <w:tcW w:w="1102" w:type="dxa"/>
            <w:tcBorders>
              <w:top w:val="nil"/>
              <w:left w:val="nil"/>
              <w:bottom w:val="nil"/>
              <w:right w:val="nil"/>
            </w:tcBorders>
          </w:tcPr>
          <w:p>
            <w:pPr>
              <w:pStyle w:val="TableParagraph"/>
              <w:spacing w:before="26"/>
              <w:ind w:right="65"/>
              <w:rPr>
                <w:sz w:val="20"/>
              </w:rPr>
            </w:pPr>
            <w:r>
              <w:rPr>
                <w:sz w:val="20"/>
              </w:rPr>
              <w:t>3.986</w:t>
            </w:r>
          </w:p>
        </w:tc>
        <w:tc>
          <w:tcPr>
            <w:tcW w:w="1099" w:type="dxa"/>
            <w:tcBorders>
              <w:top w:val="nil"/>
              <w:left w:val="nil"/>
              <w:bottom w:val="nil"/>
              <w:right w:val="nil"/>
            </w:tcBorders>
          </w:tcPr>
          <w:p>
            <w:pPr>
              <w:pStyle w:val="TableParagraph"/>
              <w:spacing w:before="26"/>
              <w:ind w:right="65"/>
              <w:rPr>
                <w:sz w:val="20"/>
              </w:rPr>
            </w:pPr>
            <w:r>
              <w:rPr>
                <w:sz w:val="20"/>
              </w:rPr>
              <w:t>2.393</w:t>
            </w:r>
          </w:p>
        </w:tc>
        <w:tc>
          <w:tcPr>
            <w:tcW w:w="1100" w:type="dxa"/>
            <w:tcBorders>
              <w:top w:val="nil"/>
              <w:left w:val="nil"/>
              <w:bottom w:val="nil"/>
              <w:right w:val="nil"/>
            </w:tcBorders>
          </w:tcPr>
          <w:p>
            <w:pPr>
              <w:pStyle w:val="TableParagraph"/>
              <w:spacing w:before="26"/>
              <w:ind w:right="65"/>
              <w:rPr>
                <w:sz w:val="20"/>
              </w:rPr>
            </w:pPr>
            <w:r>
              <w:rPr>
                <w:sz w:val="20"/>
              </w:rPr>
              <w:t>2.393</w:t>
            </w:r>
          </w:p>
        </w:tc>
        <w:tc>
          <w:tcPr>
            <w:tcW w:w="1100" w:type="dxa"/>
            <w:tcBorders>
              <w:top w:val="nil"/>
              <w:left w:val="nil"/>
              <w:bottom w:val="nil"/>
              <w:right w:val="nil"/>
            </w:tcBorders>
          </w:tcPr>
          <w:p>
            <w:pPr>
              <w:pStyle w:val="TableParagraph"/>
              <w:spacing w:before="26"/>
              <w:ind w:right="65"/>
              <w:rPr>
                <w:sz w:val="20"/>
              </w:rPr>
            </w:pPr>
            <w:r>
              <w:rPr>
                <w:sz w:val="20"/>
              </w:rPr>
              <w:t>2.393</w:t>
            </w:r>
          </w:p>
        </w:tc>
        <w:tc>
          <w:tcPr>
            <w:tcW w:w="1099" w:type="dxa"/>
            <w:tcBorders>
              <w:top w:val="nil"/>
              <w:left w:val="nil"/>
              <w:bottom w:val="nil"/>
              <w:right w:val="nil"/>
            </w:tcBorders>
          </w:tcPr>
          <w:p>
            <w:pPr>
              <w:pStyle w:val="TableParagraph"/>
              <w:spacing w:before="26"/>
              <w:ind w:right="65"/>
              <w:rPr>
                <w:sz w:val="20"/>
              </w:rPr>
            </w:pPr>
            <w:r>
              <w:rPr>
                <w:sz w:val="20"/>
              </w:rPr>
              <w:t>2.393</w:t>
            </w:r>
          </w:p>
        </w:tc>
        <w:tc>
          <w:tcPr>
            <w:tcW w:w="1102" w:type="dxa"/>
            <w:tcBorders>
              <w:top w:val="nil"/>
              <w:left w:val="nil"/>
              <w:bottom w:val="nil"/>
              <w:right w:val="nil"/>
            </w:tcBorders>
          </w:tcPr>
          <w:p>
            <w:pPr>
              <w:pStyle w:val="TableParagraph"/>
              <w:spacing w:before="26"/>
              <w:ind w:right="67"/>
              <w:rPr>
                <w:sz w:val="20"/>
              </w:rPr>
            </w:pPr>
            <w:r>
              <w:rPr>
                <w:sz w:val="20"/>
              </w:rPr>
              <w:t>2.393</w:t>
            </w:r>
          </w:p>
        </w:tc>
        <w:tc>
          <w:tcPr>
            <w:tcW w:w="1102" w:type="dxa"/>
            <w:tcBorders>
              <w:top w:val="nil"/>
              <w:left w:val="nil"/>
              <w:bottom w:val="nil"/>
              <w:right w:val="nil"/>
            </w:tcBorders>
          </w:tcPr>
          <w:p>
            <w:pPr>
              <w:pStyle w:val="TableParagraph"/>
              <w:spacing w:before="26"/>
              <w:ind w:right="65"/>
              <w:rPr>
                <w:sz w:val="20"/>
              </w:rPr>
            </w:pPr>
            <w:r>
              <w:rPr>
                <w:sz w:val="20"/>
              </w:rPr>
              <w:t>2.393</w:t>
            </w:r>
          </w:p>
        </w:tc>
        <w:tc>
          <w:tcPr>
            <w:tcW w:w="1181" w:type="dxa"/>
            <w:tcBorders>
              <w:top w:val="nil"/>
              <w:left w:val="nil"/>
              <w:bottom w:val="nil"/>
              <w:right w:val="nil"/>
            </w:tcBorders>
          </w:tcPr>
          <w:p>
            <w:pPr>
              <w:pStyle w:val="TableParagraph"/>
              <w:spacing w:before="26"/>
              <w:ind w:right="65"/>
              <w:rPr>
                <w:sz w:val="20"/>
              </w:rPr>
            </w:pPr>
            <w:r>
              <w:rPr>
                <w:sz w:val="20"/>
              </w:rPr>
              <w:t>2.393</w:t>
            </w:r>
          </w:p>
        </w:tc>
        <w:tc>
          <w:tcPr>
            <w:tcW w:w="1179" w:type="dxa"/>
            <w:tcBorders>
              <w:top w:val="nil"/>
              <w:left w:val="nil"/>
              <w:bottom w:val="nil"/>
              <w:right w:val="nil"/>
            </w:tcBorders>
          </w:tcPr>
          <w:p>
            <w:pPr>
              <w:pStyle w:val="TableParagraph"/>
              <w:spacing w:before="26"/>
              <w:ind w:right="62"/>
              <w:rPr>
                <w:sz w:val="20"/>
              </w:rPr>
            </w:pPr>
            <w:r>
              <w:rPr>
                <w:sz w:val="20"/>
              </w:rPr>
              <w:t>2.393</w:t>
            </w:r>
          </w:p>
        </w:tc>
        <w:tc>
          <w:tcPr>
            <w:tcW w:w="1179" w:type="dxa"/>
            <w:tcBorders>
              <w:top w:val="nil"/>
              <w:left w:val="nil"/>
              <w:bottom w:val="nil"/>
              <w:right w:val="nil"/>
            </w:tcBorders>
          </w:tcPr>
          <w:p>
            <w:pPr>
              <w:pStyle w:val="TableParagraph"/>
              <w:spacing w:before="26"/>
              <w:ind w:right="65"/>
              <w:rPr>
                <w:sz w:val="20"/>
              </w:rPr>
            </w:pPr>
            <w:r>
              <w:rPr>
                <w:sz w:val="20"/>
              </w:rPr>
              <w:t>2.393</w:t>
            </w:r>
          </w:p>
        </w:tc>
      </w:tr>
      <w:tr>
        <w:trPr>
          <w:trHeight w:val="300" w:hRule="exact"/>
        </w:trPr>
        <w:tc>
          <w:tcPr>
            <w:tcW w:w="941" w:type="dxa"/>
            <w:tcBorders>
              <w:top w:val="nil"/>
              <w:left w:val="nil"/>
              <w:bottom w:val="nil"/>
              <w:right w:val="nil"/>
            </w:tcBorders>
          </w:tcPr>
          <w:p>
            <w:pPr>
              <w:pStyle w:val="TableParagraph"/>
              <w:ind w:left="82"/>
              <w:jc w:val="left"/>
              <w:rPr>
                <w:sz w:val="20"/>
              </w:rPr>
            </w:pPr>
            <w:r>
              <w:rPr>
                <w:sz w:val="20"/>
              </w:rPr>
              <w:t>10</w:t>
            </w:r>
          </w:p>
        </w:tc>
        <w:tc>
          <w:tcPr>
            <w:tcW w:w="1105" w:type="dxa"/>
            <w:tcBorders>
              <w:top w:val="nil"/>
              <w:left w:val="nil"/>
              <w:bottom w:val="nil"/>
              <w:right w:val="nil"/>
            </w:tcBorders>
          </w:tcPr>
          <w:p>
            <w:pPr>
              <w:pStyle w:val="TableParagraph"/>
              <w:ind w:right="65"/>
              <w:rPr>
                <w:sz w:val="20"/>
              </w:rPr>
            </w:pPr>
            <w:r>
              <w:rPr>
                <w:sz w:val="20"/>
              </w:rPr>
              <w:t>2.393</w:t>
            </w:r>
          </w:p>
        </w:tc>
        <w:tc>
          <w:tcPr>
            <w:tcW w:w="1102" w:type="dxa"/>
            <w:tcBorders>
              <w:top w:val="nil"/>
              <w:left w:val="nil"/>
              <w:bottom w:val="nil"/>
              <w:right w:val="nil"/>
            </w:tcBorders>
          </w:tcPr>
          <w:p>
            <w:pPr>
              <w:pStyle w:val="TableParagraph"/>
              <w:ind w:right="67"/>
              <w:rPr>
                <w:sz w:val="20"/>
              </w:rPr>
            </w:pPr>
            <w:r>
              <w:rPr>
                <w:sz w:val="20"/>
              </w:rPr>
              <w:t>2.393</w:t>
            </w:r>
          </w:p>
        </w:tc>
        <w:tc>
          <w:tcPr>
            <w:tcW w:w="1102" w:type="dxa"/>
            <w:tcBorders>
              <w:top w:val="nil"/>
              <w:left w:val="nil"/>
              <w:bottom w:val="nil"/>
              <w:right w:val="nil"/>
            </w:tcBorders>
          </w:tcPr>
          <w:p>
            <w:pPr>
              <w:pStyle w:val="TableParagraph"/>
              <w:ind w:right="65"/>
              <w:rPr>
                <w:sz w:val="20"/>
              </w:rPr>
            </w:pPr>
            <w:r>
              <w:rPr>
                <w:sz w:val="20"/>
              </w:rPr>
              <w:t>3.986</w:t>
            </w:r>
          </w:p>
        </w:tc>
        <w:tc>
          <w:tcPr>
            <w:tcW w:w="1099" w:type="dxa"/>
            <w:tcBorders>
              <w:top w:val="nil"/>
              <w:left w:val="nil"/>
              <w:bottom w:val="nil"/>
              <w:right w:val="nil"/>
            </w:tcBorders>
          </w:tcPr>
          <w:p>
            <w:pPr>
              <w:pStyle w:val="TableParagraph"/>
              <w:ind w:right="65"/>
              <w:rPr>
                <w:sz w:val="20"/>
              </w:rPr>
            </w:pPr>
            <w:r>
              <w:rPr>
                <w:sz w:val="20"/>
              </w:rPr>
              <w:t>2.393</w:t>
            </w:r>
          </w:p>
        </w:tc>
        <w:tc>
          <w:tcPr>
            <w:tcW w:w="1100" w:type="dxa"/>
            <w:tcBorders>
              <w:top w:val="nil"/>
              <w:left w:val="nil"/>
              <w:bottom w:val="nil"/>
              <w:right w:val="nil"/>
            </w:tcBorders>
          </w:tcPr>
          <w:p>
            <w:pPr>
              <w:pStyle w:val="TableParagraph"/>
              <w:ind w:right="65"/>
              <w:rPr>
                <w:sz w:val="20"/>
              </w:rPr>
            </w:pPr>
            <w:r>
              <w:rPr>
                <w:sz w:val="20"/>
              </w:rPr>
              <w:t>2.393</w:t>
            </w:r>
          </w:p>
        </w:tc>
        <w:tc>
          <w:tcPr>
            <w:tcW w:w="1100" w:type="dxa"/>
            <w:tcBorders>
              <w:top w:val="nil"/>
              <w:left w:val="nil"/>
              <w:bottom w:val="nil"/>
              <w:right w:val="nil"/>
            </w:tcBorders>
          </w:tcPr>
          <w:p>
            <w:pPr>
              <w:pStyle w:val="TableParagraph"/>
              <w:ind w:right="65"/>
              <w:rPr>
                <w:sz w:val="20"/>
              </w:rPr>
            </w:pPr>
            <w:r>
              <w:rPr>
                <w:sz w:val="20"/>
              </w:rPr>
              <w:t>2.393</w:t>
            </w:r>
          </w:p>
        </w:tc>
        <w:tc>
          <w:tcPr>
            <w:tcW w:w="1099" w:type="dxa"/>
            <w:tcBorders>
              <w:top w:val="nil"/>
              <w:left w:val="nil"/>
              <w:bottom w:val="nil"/>
              <w:right w:val="nil"/>
            </w:tcBorders>
          </w:tcPr>
          <w:p>
            <w:pPr>
              <w:pStyle w:val="TableParagraph"/>
              <w:ind w:right="65"/>
              <w:rPr>
                <w:sz w:val="20"/>
              </w:rPr>
            </w:pPr>
            <w:r>
              <w:rPr>
                <w:sz w:val="20"/>
              </w:rPr>
              <w:t>2.393</w:t>
            </w:r>
          </w:p>
        </w:tc>
        <w:tc>
          <w:tcPr>
            <w:tcW w:w="1102" w:type="dxa"/>
            <w:tcBorders>
              <w:top w:val="nil"/>
              <w:left w:val="nil"/>
              <w:bottom w:val="nil"/>
              <w:right w:val="nil"/>
            </w:tcBorders>
          </w:tcPr>
          <w:p>
            <w:pPr>
              <w:pStyle w:val="TableParagraph"/>
              <w:ind w:right="67"/>
              <w:rPr>
                <w:sz w:val="20"/>
              </w:rPr>
            </w:pPr>
            <w:r>
              <w:rPr>
                <w:sz w:val="20"/>
              </w:rPr>
              <w:t>2.393</w:t>
            </w:r>
          </w:p>
        </w:tc>
        <w:tc>
          <w:tcPr>
            <w:tcW w:w="1102" w:type="dxa"/>
            <w:tcBorders>
              <w:top w:val="nil"/>
              <w:left w:val="nil"/>
              <w:bottom w:val="nil"/>
              <w:right w:val="nil"/>
            </w:tcBorders>
          </w:tcPr>
          <w:p>
            <w:pPr>
              <w:pStyle w:val="TableParagraph"/>
              <w:ind w:right="65"/>
              <w:rPr>
                <w:sz w:val="20"/>
              </w:rPr>
            </w:pPr>
            <w:r>
              <w:rPr>
                <w:sz w:val="20"/>
              </w:rPr>
              <w:t>2.393</w:t>
            </w:r>
          </w:p>
        </w:tc>
        <w:tc>
          <w:tcPr>
            <w:tcW w:w="1181" w:type="dxa"/>
            <w:tcBorders>
              <w:top w:val="nil"/>
              <w:left w:val="nil"/>
              <w:bottom w:val="nil"/>
              <w:right w:val="nil"/>
            </w:tcBorders>
          </w:tcPr>
          <w:p>
            <w:pPr>
              <w:pStyle w:val="TableParagraph"/>
              <w:ind w:right="65"/>
              <w:rPr>
                <w:sz w:val="20"/>
              </w:rPr>
            </w:pPr>
            <w:r>
              <w:rPr>
                <w:sz w:val="20"/>
              </w:rPr>
              <w:t>2.393</w:t>
            </w:r>
          </w:p>
        </w:tc>
        <w:tc>
          <w:tcPr>
            <w:tcW w:w="1179" w:type="dxa"/>
            <w:tcBorders>
              <w:top w:val="nil"/>
              <w:left w:val="nil"/>
              <w:bottom w:val="nil"/>
              <w:right w:val="nil"/>
            </w:tcBorders>
          </w:tcPr>
          <w:p>
            <w:pPr>
              <w:pStyle w:val="TableParagraph"/>
              <w:ind w:right="62"/>
              <w:rPr>
                <w:sz w:val="20"/>
              </w:rPr>
            </w:pPr>
            <w:r>
              <w:rPr>
                <w:sz w:val="20"/>
              </w:rPr>
              <w:t>2.393</w:t>
            </w:r>
          </w:p>
        </w:tc>
        <w:tc>
          <w:tcPr>
            <w:tcW w:w="1179" w:type="dxa"/>
            <w:tcBorders>
              <w:top w:val="nil"/>
              <w:left w:val="nil"/>
              <w:bottom w:val="nil"/>
              <w:right w:val="nil"/>
            </w:tcBorders>
          </w:tcPr>
          <w:p>
            <w:pPr>
              <w:pStyle w:val="TableParagraph"/>
              <w:ind w:right="65"/>
              <w:rPr>
                <w:sz w:val="20"/>
              </w:rPr>
            </w:pPr>
            <w:r>
              <w:rPr>
                <w:sz w:val="20"/>
              </w:rPr>
              <w:t>2.393</w:t>
            </w:r>
          </w:p>
        </w:tc>
      </w:tr>
      <w:tr>
        <w:trPr>
          <w:trHeight w:val="300" w:hRule="exact"/>
        </w:trPr>
        <w:tc>
          <w:tcPr>
            <w:tcW w:w="941" w:type="dxa"/>
            <w:tcBorders>
              <w:top w:val="nil"/>
              <w:left w:val="nil"/>
              <w:bottom w:val="nil"/>
              <w:right w:val="nil"/>
            </w:tcBorders>
          </w:tcPr>
          <w:p>
            <w:pPr>
              <w:pStyle w:val="TableParagraph"/>
              <w:spacing w:before="26"/>
              <w:ind w:left="82"/>
              <w:jc w:val="left"/>
              <w:rPr>
                <w:sz w:val="20"/>
              </w:rPr>
            </w:pPr>
            <w:r>
              <w:rPr>
                <w:sz w:val="20"/>
              </w:rPr>
              <w:t>11</w:t>
            </w:r>
          </w:p>
        </w:tc>
        <w:tc>
          <w:tcPr>
            <w:tcW w:w="1105" w:type="dxa"/>
            <w:tcBorders>
              <w:top w:val="nil"/>
              <w:left w:val="nil"/>
              <w:bottom w:val="nil"/>
              <w:right w:val="nil"/>
            </w:tcBorders>
          </w:tcPr>
          <w:p>
            <w:pPr>
              <w:pStyle w:val="TableParagraph"/>
              <w:spacing w:before="26"/>
              <w:ind w:right="65"/>
              <w:rPr>
                <w:sz w:val="20"/>
              </w:rPr>
            </w:pPr>
            <w:r>
              <w:rPr>
                <w:sz w:val="20"/>
              </w:rPr>
              <w:t>2.393</w:t>
            </w:r>
          </w:p>
        </w:tc>
        <w:tc>
          <w:tcPr>
            <w:tcW w:w="1102" w:type="dxa"/>
            <w:tcBorders>
              <w:top w:val="nil"/>
              <w:left w:val="nil"/>
              <w:bottom w:val="nil"/>
              <w:right w:val="nil"/>
            </w:tcBorders>
          </w:tcPr>
          <w:p>
            <w:pPr>
              <w:pStyle w:val="TableParagraph"/>
              <w:spacing w:before="26"/>
              <w:ind w:right="67"/>
              <w:rPr>
                <w:sz w:val="20"/>
              </w:rPr>
            </w:pPr>
            <w:r>
              <w:rPr>
                <w:sz w:val="20"/>
              </w:rPr>
              <w:t>2.393</w:t>
            </w:r>
          </w:p>
        </w:tc>
        <w:tc>
          <w:tcPr>
            <w:tcW w:w="1102" w:type="dxa"/>
            <w:tcBorders>
              <w:top w:val="nil"/>
              <w:left w:val="nil"/>
              <w:bottom w:val="nil"/>
              <w:right w:val="nil"/>
            </w:tcBorders>
          </w:tcPr>
          <w:p>
            <w:pPr>
              <w:pStyle w:val="TableParagraph"/>
              <w:spacing w:before="26"/>
              <w:ind w:right="65"/>
              <w:rPr>
                <w:sz w:val="20"/>
              </w:rPr>
            </w:pPr>
            <w:r>
              <w:rPr>
                <w:sz w:val="20"/>
              </w:rPr>
              <w:t>3.986</w:t>
            </w:r>
          </w:p>
        </w:tc>
        <w:tc>
          <w:tcPr>
            <w:tcW w:w="1099" w:type="dxa"/>
            <w:tcBorders>
              <w:top w:val="nil"/>
              <w:left w:val="nil"/>
              <w:bottom w:val="nil"/>
              <w:right w:val="nil"/>
            </w:tcBorders>
          </w:tcPr>
          <w:p>
            <w:pPr>
              <w:pStyle w:val="TableParagraph"/>
              <w:spacing w:before="26"/>
              <w:ind w:right="65"/>
              <w:rPr>
                <w:sz w:val="20"/>
              </w:rPr>
            </w:pPr>
            <w:r>
              <w:rPr>
                <w:sz w:val="20"/>
              </w:rPr>
              <w:t>2.393</w:t>
            </w:r>
          </w:p>
        </w:tc>
        <w:tc>
          <w:tcPr>
            <w:tcW w:w="1100" w:type="dxa"/>
            <w:tcBorders>
              <w:top w:val="nil"/>
              <w:left w:val="nil"/>
              <w:bottom w:val="nil"/>
              <w:right w:val="nil"/>
            </w:tcBorders>
          </w:tcPr>
          <w:p>
            <w:pPr>
              <w:pStyle w:val="TableParagraph"/>
              <w:spacing w:before="26"/>
              <w:ind w:right="65"/>
              <w:rPr>
                <w:sz w:val="20"/>
              </w:rPr>
            </w:pPr>
            <w:r>
              <w:rPr>
                <w:sz w:val="20"/>
              </w:rPr>
              <w:t>2.393</w:t>
            </w:r>
          </w:p>
        </w:tc>
        <w:tc>
          <w:tcPr>
            <w:tcW w:w="1100" w:type="dxa"/>
            <w:tcBorders>
              <w:top w:val="nil"/>
              <w:left w:val="nil"/>
              <w:bottom w:val="nil"/>
              <w:right w:val="nil"/>
            </w:tcBorders>
          </w:tcPr>
          <w:p>
            <w:pPr>
              <w:pStyle w:val="TableParagraph"/>
              <w:spacing w:before="26"/>
              <w:ind w:right="65"/>
              <w:rPr>
                <w:sz w:val="20"/>
              </w:rPr>
            </w:pPr>
            <w:r>
              <w:rPr>
                <w:sz w:val="20"/>
              </w:rPr>
              <w:t>2.393</w:t>
            </w:r>
          </w:p>
        </w:tc>
        <w:tc>
          <w:tcPr>
            <w:tcW w:w="1099" w:type="dxa"/>
            <w:tcBorders>
              <w:top w:val="nil"/>
              <w:left w:val="nil"/>
              <w:bottom w:val="nil"/>
              <w:right w:val="nil"/>
            </w:tcBorders>
          </w:tcPr>
          <w:p>
            <w:pPr>
              <w:pStyle w:val="TableParagraph"/>
              <w:spacing w:before="26"/>
              <w:ind w:right="65"/>
              <w:rPr>
                <w:sz w:val="20"/>
              </w:rPr>
            </w:pPr>
            <w:r>
              <w:rPr>
                <w:sz w:val="20"/>
              </w:rPr>
              <w:t>2.393</w:t>
            </w:r>
          </w:p>
        </w:tc>
        <w:tc>
          <w:tcPr>
            <w:tcW w:w="1102" w:type="dxa"/>
            <w:tcBorders>
              <w:top w:val="nil"/>
              <w:left w:val="nil"/>
              <w:bottom w:val="nil"/>
              <w:right w:val="nil"/>
            </w:tcBorders>
          </w:tcPr>
          <w:p>
            <w:pPr>
              <w:pStyle w:val="TableParagraph"/>
              <w:spacing w:before="26"/>
              <w:ind w:right="67"/>
              <w:rPr>
                <w:sz w:val="20"/>
              </w:rPr>
            </w:pPr>
            <w:r>
              <w:rPr>
                <w:sz w:val="20"/>
              </w:rPr>
              <w:t>2.393</w:t>
            </w:r>
          </w:p>
        </w:tc>
        <w:tc>
          <w:tcPr>
            <w:tcW w:w="1102" w:type="dxa"/>
            <w:tcBorders>
              <w:top w:val="nil"/>
              <w:left w:val="nil"/>
              <w:bottom w:val="nil"/>
              <w:right w:val="nil"/>
            </w:tcBorders>
          </w:tcPr>
          <w:p>
            <w:pPr>
              <w:pStyle w:val="TableParagraph"/>
              <w:spacing w:before="26"/>
              <w:ind w:right="65"/>
              <w:rPr>
                <w:sz w:val="20"/>
              </w:rPr>
            </w:pPr>
            <w:r>
              <w:rPr>
                <w:sz w:val="20"/>
              </w:rPr>
              <w:t>2.393</w:t>
            </w:r>
          </w:p>
        </w:tc>
        <w:tc>
          <w:tcPr>
            <w:tcW w:w="1181" w:type="dxa"/>
            <w:tcBorders>
              <w:top w:val="nil"/>
              <w:left w:val="nil"/>
              <w:bottom w:val="nil"/>
              <w:right w:val="nil"/>
            </w:tcBorders>
          </w:tcPr>
          <w:p>
            <w:pPr>
              <w:pStyle w:val="TableParagraph"/>
              <w:spacing w:before="26"/>
              <w:ind w:right="65"/>
              <w:rPr>
                <w:sz w:val="20"/>
              </w:rPr>
            </w:pPr>
            <w:r>
              <w:rPr>
                <w:sz w:val="20"/>
              </w:rPr>
              <w:t>2.393</w:t>
            </w:r>
          </w:p>
        </w:tc>
        <w:tc>
          <w:tcPr>
            <w:tcW w:w="1179" w:type="dxa"/>
            <w:tcBorders>
              <w:top w:val="nil"/>
              <w:left w:val="nil"/>
              <w:bottom w:val="nil"/>
              <w:right w:val="nil"/>
            </w:tcBorders>
          </w:tcPr>
          <w:p>
            <w:pPr>
              <w:pStyle w:val="TableParagraph"/>
              <w:spacing w:before="26"/>
              <w:ind w:right="62"/>
              <w:rPr>
                <w:sz w:val="20"/>
              </w:rPr>
            </w:pPr>
            <w:r>
              <w:rPr>
                <w:sz w:val="20"/>
              </w:rPr>
              <w:t>2.393</w:t>
            </w:r>
          </w:p>
        </w:tc>
        <w:tc>
          <w:tcPr>
            <w:tcW w:w="1179" w:type="dxa"/>
            <w:tcBorders>
              <w:top w:val="nil"/>
              <w:left w:val="nil"/>
              <w:bottom w:val="nil"/>
              <w:right w:val="nil"/>
            </w:tcBorders>
          </w:tcPr>
          <w:p>
            <w:pPr>
              <w:pStyle w:val="TableParagraph"/>
              <w:spacing w:before="26"/>
              <w:ind w:right="65"/>
              <w:rPr>
                <w:sz w:val="20"/>
              </w:rPr>
            </w:pPr>
            <w:r>
              <w:rPr>
                <w:sz w:val="20"/>
              </w:rPr>
              <w:t>2.393</w:t>
            </w:r>
          </w:p>
        </w:tc>
      </w:tr>
      <w:tr>
        <w:trPr>
          <w:trHeight w:val="300" w:hRule="exact"/>
        </w:trPr>
        <w:tc>
          <w:tcPr>
            <w:tcW w:w="941" w:type="dxa"/>
            <w:tcBorders>
              <w:top w:val="nil"/>
              <w:left w:val="nil"/>
              <w:bottom w:val="nil"/>
              <w:right w:val="nil"/>
            </w:tcBorders>
          </w:tcPr>
          <w:p>
            <w:pPr>
              <w:pStyle w:val="TableParagraph"/>
              <w:ind w:left="82"/>
              <w:jc w:val="left"/>
              <w:rPr>
                <w:sz w:val="20"/>
              </w:rPr>
            </w:pPr>
            <w:r>
              <w:rPr>
                <w:sz w:val="20"/>
              </w:rPr>
              <w:t>12</w:t>
            </w:r>
          </w:p>
        </w:tc>
        <w:tc>
          <w:tcPr>
            <w:tcW w:w="1105" w:type="dxa"/>
            <w:tcBorders>
              <w:top w:val="nil"/>
              <w:left w:val="nil"/>
              <w:bottom w:val="nil"/>
              <w:right w:val="nil"/>
            </w:tcBorders>
          </w:tcPr>
          <w:p>
            <w:pPr>
              <w:pStyle w:val="TableParagraph"/>
              <w:ind w:right="65"/>
              <w:rPr>
                <w:sz w:val="20"/>
              </w:rPr>
            </w:pPr>
            <w:r>
              <w:rPr>
                <w:sz w:val="20"/>
              </w:rPr>
              <w:t>2.393</w:t>
            </w:r>
          </w:p>
        </w:tc>
        <w:tc>
          <w:tcPr>
            <w:tcW w:w="1102" w:type="dxa"/>
            <w:tcBorders>
              <w:top w:val="nil"/>
              <w:left w:val="nil"/>
              <w:bottom w:val="nil"/>
              <w:right w:val="nil"/>
            </w:tcBorders>
          </w:tcPr>
          <w:p>
            <w:pPr>
              <w:pStyle w:val="TableParagraph"/>
              <w:ind w:right="67"/>
              <w:rPr>
                <w:sz w:val="20"/>
              </w:rPr>
            </w:pPr>
            <w:r>
              <w:rPr>
                <w:sz w:val="20"/>
              </w:rPr>
              <w:t>2.393</w:t>
            </w:r>
          </w:p>
        </w:tc>
        <w:tc>
          <w:tcPr>
            <w:tcW w:w="1102" w:type="dxa"/>
            <w:tcBorders>
              <w:top w:val="nil"/>
              <w:left w:val="nil"/>
              <w:bottom w:val="nil"/>
              <w:right w:val="nil"/>
            </w:tcBorders>
          </w:tcPr>
          <w:p>
            <w:pPr>
              <w:pStyle w:val="TableParagraph"/>
              <w:ind w:right="65"/>
              <w:rPr>
                <w:sz w:val="20"/>
              </w:rPr>
            </w:pPr>
            <w:r>
              <w:rPr>
                <w:sz w:val="20"/>
              </w:rPr>
              <w:t>3.986</w:t>
            </w:r>
          </w:p>
        </w:tc>
        <w:tc>
          <w:tcPr>
            <w:tcW w:w="1099" w:type="dxa"/>
            <w:tcBorders>
              <w:top w:val="nil"/>
              <w:left w:val="nil"/>
              <w:bottom w:val="nil"/>
              <w:right w:val="nil"/>
            </w:tcBorders>
          </w:tcPr>
          <w:p>
            <w:pPr>
              <w:pStyle w:val="TableParagraph"/>
              <w:ind w:right="65"/>
              <w:rPr>
                <w:sz w:val="20"/>
              </w:rPr>
            </w:pPr>
            <w:r>
              <w:rPr>
                <w:sz w:val="20"/>
              </w:rPr>
              <w:t>2.393</w:t>
            </w:r>
          </w:p>
        </w:tc>
        <w:tc>
          <w:tcPr>
            <w:tcW w:w="1100" w:type="dxa"/>
            <w:tcBorders>
              <w:top w:val="nil"/>
              <w:left w:val="nil"/>
              <w:bottom w:val="nil"/>
              <w:right w:val="nil"/>
            </w:tcBorders>
          </w:tcPr>
          <w:p>
            <w:pPr>
              <w:pStyle w:val="TableParagraph"/>
              <w:ind w:right="65"/>
              <w:rPr>
                <w:sz w:val="20"/>
              </w:rPr>
            </w:pPr>
            <w:r>
              <w:rPr>
                <w:sz w:val="20"/>
              </w:rPr>
              <w:t>2.393</w:t>
            </w:r>
          </w:p>
        </w:tc>
        <w:tc>
          <w:tcPr>
            <w:tcW w:w="1100" w:type="dxa"/>
            <w:tcBorders>
              <w:top w:val="nil"/>
              <w:left w:val="nil"/>
              <w:bottom w:val="nil"/>
              <w:right w:val="nil"/>
            </w:tcBorders>
          </w:tcPr>
          <w:p>
            <w:pPr>
              <w:pStyle w:val="TableParagraph"/>
              <w:ind w:right="65"/>
              <w:rPr>
                <w:sz w:val="20"/>
              </w:rPr>
            </w:pPr>
            <w:r>
              <w:rPr>
                <w:sz w:val="20"/>
              </w:rPr>
              <w:t>2.393</w:t>
            </w:r>
          </w:p>
        </w:tc>
        <w:tc>
          <w:tcPr>
            <w:tcW w:w="1099" w:type="dxa"/>
            <w:tcBorders>
              <w:top w:val="nil"/>
              <w:left w:val="nil"/>
              <w:bottom w:val="nil"/>
              <w:right w:val="nil"/>
            </w:tcBorders>
          </w:tcPr>
          <w:p>
            <w:pPr>
              <w:pStyle w:val="TableParagraph"/>
              <w:ind w:right="65"/>
              <w:rPr>
                <w:sz w:val="20"/>
              </w:rPr>
            </w:pPr>
            <w:r>
              <w:rPr>
                <w:sz w:val="20"/>
              </w:rPr>
              <w:t>2.393</w:t>
            </w:r>
          </w:p>
        </w:tc>
        <w:tc>
          <w:tcPr>
            <w:tcW w:w="1102" w:type="dxa"/>
            <w:tcBorders>
              <w:top w:val="nil"/>
              <w:left w:val="nil"/>
              <w:bottom w:val="nil"/>
              <w:right w:val="nil"/>
            </w:tcBorders>
          </w:tcPr>
          <w:p>
            <w:pPr>
              <w:pStyle w:val="TableParagraph"/>
              <w:ind w:right="67"/>
              <w:rPr>
                <w:sz w:val="20"/>
              </w:rPr>
            </w:pPr>
            <w:r>
              <w:rPr>
                <w:sz w:val="20"/>
              </w:rPr>
              <w:t>2.393</w:t>
            </w:r>
          </w:p>
        </w:tc>
        <w:tc>
          <w:tcPr>
            <w:tcW w:w="1102" w:type="dxa"/>
            <w:tcBorders>
              <w:top w:val="nil"/>
              <w:left w:val="nil"/>
              <w:bottom w:val="nil"/>
              <w:right w:val="nil"/>
            </w:tcBorders>
          </w:tcPr>
          <w:p>
            <w:pPr>
              <w:pStyle w:val="TableParagraph"/>
              <w:ind w:right="65"/>
              <w:rPr>
                <w:sz w:val="20"/>
              </w:rPr>
            </w:pPr>
            <w:r>
              <w:rPr>
                <w:sz w:val="20"/>
              </w:rPr>
              <w:t>2.393</w:t>
            </w:r>
          </w:p>
        </w:tc>
        <w:tc>
          <w:tcPr>
            <w:tcW w:w="1181" w:type="dxa"/>
            <w:tcBorders>
              <w:top w:val="nil"/>
              <w:left w:val="nil"/>
              <w:bottom w:val="nil"/>
              <w:right w:val="nil"/>
            </w:tcBorders>
          </w:tcPr>
          <w:p>
            <w:pPr>
              <w:pStyle w:val="TableParagraph"/>
              <w:ind w:right="65"/>
              <w:rPr>
                <w:sz w:val="20"/>
              </w:rPr>
            </w:pPr>
            <w:r>
              <w:rPr>
                <w:sz w:val="20"/>
              </w:rPr>
              <w:t>2.393</w:t>
            </w:r>
          </w:p>
        </w:tc>
        <w:tc>
          <w:tcPr>
            <w:tcW w:w="1179" w:type="dxa"/>
            <w:tcBorders>
              <w:top w:val="nil"/>
              <w:left w:val="nil"/>
              <w:bottom w:val="nil"/>
              <w:right w:val="nil"/>
            </w:tcBorders>
          </w:tcPr>
          <w:p>
            <w:pPr>
              <w:pStyle w:val="TableParagraph"/>
              <w:ind w:right="62"/>
              <w:rPr>
                <w:sz w:val="20"/>
              </w:rPr>
            </w:pPr>
            <w:r>
              <w:rPr>
                <w:sz w:val="20"/>
              </w:rPr>
              <w:t>2.393</w:t>
            </w:r>
          </w:p>
        </w:tc>
        <w:tc>
          <w:tcPr>
            <w:tcW w:w="1179" w:type="dxa"/>
            <w:tcBorders>
              <w:top w:val="nil"/>
              <w:left w:val="nil"/>
              <w:bottom w:val="nil"/>
              <w:right w:val="nil"/>
            </w:tcBorders>
          </w:tcPr>
          <w:p>
            <w:pPr>
              <w:pStyle w:val="TableParagraph"/>
              <w:ind w:right="65"/>
              <w:rPr>
                <w:sz w:val="20"/>
              </w:rPr>
            </w:pPr>
            <w:r>
              <w:rPr>
                <w:sz w:val="20"/>
              </w:rPr>
              <w:t>2.393</w:t>
            </w:r>
          </w:p>
        </w:tc>
      </w:tr>
      <w:tr>
        <w:trPr>
          <w:trHeight w:val="300" w:hRule="exact"/>
        </w:trPr>
        <w:tc>
          <w:tcPr>
            <w:tcW w:w="941" w:type="dxa"/>
            <w:tcBorders>
              <w:top w:val="nil"/>
              <w:left w:val="nil"/>
              <w:bottom w:val="nil"/>
              <w:right w:val="nil"/>
            </w:tcBorders>
          </w:tcPr>
          <w:p>
            <w:pPr>
              <w:pStyle w:val="TableParagraph"/>
              <w:spacing w:before="26"/>
              <w:ind w:left="82"/>
              <w:jc w:val="left"/>
              <w:rPr>
                <w:sz w:val="20"/>
              </w:rPr>
            </w:pPr>
            <w:r>
              <w:rPr>
                <w:sz w:val="20"/>
              </w:rPr>
              <w:t>13</w:t>
            </w:r>
          </w:p>
        </w:tc>
        <w:tc>
          <w:tcPr>
            <w:tcW w:w="1105" w:type="dxa"/>
            <w:tcBorders>
              <w:top w:val="nil"/>
              <w:left w:val="nil"/>
              <w:bottom w:val="nil"/>
              <w:right w:val="nil"/>
            </w:tcBorders>
          </w:tcPr>
          <w:p>
            <w:pPr>
              <w:pStyle w:val="TableParagraph"/>
              <w:spacing w:before="26"/>
              <w:ind w:right="65"/>
              <w:rPr>
                <w:sz w:val="20"/>
              </w:rPr>
            </w:pPr>
            <w:r>
              <w:rPr>
                <w:sz w:val="20"/>
              </w:rPr>
              <w:t>2.393</w:t>
            </w:r>
          </w:p>
        </w:tc>
        <w:tc>
          <w:tcPr>
            <w:tcW w:w="1102" w:type="dxa"/>
            <w:tcBorders>
              <w:top w:val="nil"/>
              <w:left w:val="nil"/>
              <w:bottom w:val="nil"/>
              <w:right w:val="nil"/>
            </w:tcBorders>
          </w:tcPr>
          <w:p>
            <w:pPr>
              <w:pStyle w:val="TableParagraph"/>
              <w:spacing w:before="26"/>
              <w:ind w:right="67"/>
              <w:rPr>
                <w:sz w:val="20"/>
              </w:rPr>
            </w:pPr>
            <w:r>
              <w:rPr>
                <w:sz w:val="20"/>
              </w:rPr>
              <w:t>2.393</w:t>
            </w:r>
          </w:p>
        </w:tc>
        <w:tc>
          <w:tcPr>
            <w:tcW w:w="1102" w:type="dxa"/>
            <w:tcBorders>
              <w:top w:val="nil"/>
              <w:left w:val="nil"/>
              <w:bottom w:val="nil"/>
              <w:right w:val="nil"/>
            </w:tcBorders>
          </w:tcPr>
          <w:p>
            <w:pPr>
              <w:pStyle w:val="TableParagraph"/>
              <w:spacing w:before="26"/>
              <w:ind w:right="65"/>
              <w:rPr>
                <w:sz w:val="20"/>
              </w:rPr>
            </w:pPr>
            <w:r>
              <w:rPr>
                <w:sz w:val="20"/>
              </w:rPr>
              <w:t>3.986</w:t>
            </w:r>
          </w:p>
        </w:tc>
        <w:tc>
          <w:tcPr>
            <w:tcW w:w="1099" w:type="dxa"/>
            <w:tcBorders>
              <w:top w:val="nil"/>
              <w:left w:val="nil"/>
              <w:bottom w:val="nil"/>
              <w:right w:val="nil"/>
            </w:tcBorders>
          </w:tcPr>
          <w:p>
            <w:pPr>
              <w:pStyle w:val="TableParagraph"/>
              <w:spacing w:before="26"/>
              <w:ind w:right="65"/>
              <w:rPr>
                <w:sz w:val="20"/>
              </w:rPr>
            </w:pPr>
            <w:r>
              <w:rPr>
                <w:sz w:val="20"/>
              </w:rPr>
              <w:t>2.393</w:t>
            </w:r>
          </w:p>
        </w:tc>
        <w:tc>
          <w:tcPr>
            <w:tcW w:w="1100" w:type="dxa"/>
            <w:tcBorders>
              <w:top w:val="nil"/>
              <w:left w:val="nil"/>
              <w:bottom w:val="nil"/>
              <w:right w:val="nil"/>
            </w:tcBorders>
          </w:tcPr>
          <w:p>
            <w:pPr>
              <w:pStyle w:val="TableParagraph"/>
              <w:spacing w:before="26"/>
              <w:ind w:right="65"/>
              <w:rPr>
                <w:sz w:val="20"/>
              </w:rPr>
            </w:pPr>
            <w:r>
              <w:rPr>
                <w:sz w:val="20"/>
              </w:rPr>
              <w:t>2.393</w:t>
            </w:r>
          </w:p>
        </w:tc>
        <w:tc>
          <w:tcPr>
            <w:tcW w:w="1100" w:type="dxa"/>
            <w:tcBorders>
              <w:top w:val="nil"/>
              <w:left w:val="nil"/>
              <w:bottom w:val="nil"/>
              <w:right w:val="nil"/>
            </w:tcBorders>
          </w:tcPr>
          <w:p>
            <w:pPr>
              <w:pStyle w:val="TableParagraph"/>
              <w:spacing w:before="26"/>
              <w:ind w:right="65"/>
              <w:rPr>
                <w:sz w:val="20"/>
              </w:rPr>
            </w:pPr>
            <w:r>
              <w:rPr>
                <w:sz w:val="20"/>
              </w:rPr>
              <w:t>2.393</w:t>
            </w:r>
          </w:p>
        </w:tc>
        <w:tc>
          <w:tcPr>
            <w:tcW w:w="1099" w:type="dxa"/>
            <w:tcBorders>
              <w:top w:val="nil"/>
              <w:left w:val="nil"/>
              <w:bottom w:val="nil"/>
              <w:right w:val="nil"/>
            </w:tcBorders>
          </w:tcPr>
          <w:p>
            <w:pPr>
              <w:pStyle w:val="TableParagraph"/>
              <w:spacing w:before="26"/>
              <w:ind w:right="65"/>
              <w:rPr>
                <w:sz w:val="20"/>
              </w:rPr>
            </w:pPr>
            <w:r>
              <w:rPr>
                <w:sz w:val="20"/>
              </w:rPr>
              <w:t>2.393</w:t>
            </w:r>
          </w:p>
        </w:tc>
        <w:tc>
          <w:tcPr>
            <w:tcW w:w="1102" w:type="dxa"/>
            <w:tcBorders>
              <w:top w:val="nil"/>
              <w:left w:val="nil"/>
              <w:bottom w:val="nil"/>
              <w:right w:val="nil"/>
            </w:tcBorders>
          </w:tcPr>
          <w:p>
            <w:pPr>
              <w:pStyle w:val="TableParagraph"/>
              <w:spacing w:before="26"/>
              <w:ind w:right="67"/>
              <w:rPr>
                <w:sz w:val="20"/>
              </w:rPr>
            </w:pPr>
            <w:r>
              <w:rPr>
                <w:sz w:val="20"/>
              </w:rPr>
              <w:t>2.393</w:t>
            </w:r>
          </w:p>
        </w:tc>
        <w:tc>
          <w:tcPr>
            <w:tcW w:w="1102" w:type="dxa"/>
            <w:tcBorders>
              <w:top w:val="nil"/>
              <w:left w:val="nil"/>
              <w:bottom w:val="nil"/>
              <w:right w:val="nil"/>
            </w:tcBorders>
          </w:tcPr>
          <w:p>
            <w:pPr>
              <w:pStyle w:val="TableParagraph"/>
              <w:spacing w:before="26"/>
              <w:ind w:right="65"/>
              <w:rPr>
                <w:sz w:val="20"/>
              </w:rPr>
            </w:pPr>
            <w:r>
              <w:rPr>
                <w:sz w:val="20"/>
              </w:rPr>
              <w:t>2.393</w:t>
            </w:r>
          </w:p>
        </w:tc>
        <w:tc>
          <w:tcPr>
            <w:tcW w:w="1181" w:type="dxa"/>
            <w:tcBorders>
              <w:top w:val="nil"/>
              <w:left w:val="nil"/>
              <w:bottom w:val="nil"/>
              <w:right w:val="nil"/>
            </w:tcBorders>
          </w:tcPr>
          <w:p>
            <w:pPr>
              <w:pStyle w:val="TableParagraph"/>
              <w:spacing w:before="26"/>
              <w:ind w:right="65"/>
              <w:rPr>
                <w:sz w:val="20"/>
              </w:rPr>
            </w:pPr>
            <w:r>
              <w:rPr>
                <w:sz w:val="20"/>
              </w:rPr>
              <w:t>2.393</w:t>
            </w:r>
          </w:p>
        </w:tc>
        <w:tc>
          <w:tcPr>
            <w:tcW w:w="1179" w:type="dxa"/>
            <w:tcBorders>
              <w:top w:val="nil"/>
              <w:left w:val="nil"/>
              <w:bottom w:val="nil"/>
              <w:right w:val="nil"/>
            </w:tcBorders>
          </w:tcPr>
          <w:p>
            <w:pPr>
              <w:pStyle w:val="TableParagraph"/>
              <w:spacing w:before="26"/>
              <w:ind w:right="62"/>
              <w:rPr>
                <w:sz w:val="20"/>
              </w:rPr>
            </w:pPr>
            <w:r>
              <w:rPr>
                <w:sz w:val="20"/>
              </w:rPr>
              <w:t>2.393</w:t>
            </w:r>
          </w:p>
        </w:tc>
        <w:tc>
          <w:tcPr>
            <w:tcW w:w="1179" w:type="dxa"/>
            <w:tcBorders>
              <w:top w:val="nil"/>
              <w:left w:val="nil"/>
              <w:bottom w:val="nil"/>
              <w:right w:val="nil"/>
            </w:tcBorders>
          </w:tcPr>
          <w:p>
            <w:pPr>
              <w:pStyle w:val="TableParagraph"/>
              <w:spacing w:before="26"/>
              <w:ind w:right="65"/>
              <w:rPr>
                <w:sz w:val="20"/>
              </w:rPr>
            </w:pPr>
            <w:r>
              <w:rPr>
                <w:sz w:val="20"/>
              </w:rPr>
              <w:t>2.393</w:t>
            </w:r>
          </w:p>
        </w:tc>
      </w:tr>
      <w:tr>
        <w:trPr>
          <w:trHeight w:val="300" w:hRule="exact"/>
        </w:trPr>
        <w:tc>
          <w:tcPr>
            <w:tcW w:w="941" w:type="dxa"/>
            <w:tcBorders>
              <w:top w:val="nil"/>
              <w:left w:val="nil"/>
              <w:bottom w:val="nil"/>
              <w:right w:val="nil"/>
            </w:tcBorders>
          </w:tcPr>
          <w:p>
            <w:pPr>
              <w:pStyle w:val="TableParagraph"/>
              <w:ind w:left="82"/>
              <w:jc w:val="left"/>
              <w:rPr>
                <w:sz w:val="20"/>
              </w:rPr>
            </w:pPr>
            <w:r>
              <w:rPr>
                <w:sz w:val="20"/>
              </w:rPr>
              <w:t>14</w:t>
            </w:r>
          </w:p>
        </w:tc>
        <w:tc>
          <w:tcPr>
            <w:tcW w:w="1105" w:type="dxa"/>
            <w:tcBorders>
              <w:top w:val="nil"/>
              <w:left w:val="nil"/>
              <w:bottom w:val="nil"/>
              <w:right w:val="nil"/>
            </w:tcBorders>
          </w:tcPr>
          <w:p>
            <w:pPr>
              <w:pStyle w:val="TableParagraph"/>
              <w:ind w:right="65"/>
              <w:rPr>
                <w:sz w:val="20"/>
              </w:rPr>
            </w:pPr>
            <w:r>
              <w:rPr>
                <w:sz w:val="20"/>
              </w:rPr>
              <w:t>2.393</w:t>
            </w:r>
          </w:p>
        </w:tc>
        <w:tc>
          <w:tcPr>
            <w:tcW w:w="1102" w:type="dxa"/>
            <w:tcBorders>
              <w:top w:val="nil"/>
              <w:left w:val="nil"/>
              <w:bottom w:val="nil"/>
              <w:right w:val="nil"/>
            </w:tcBorders>
          </w:tcPr>
          <w:p>
            <w:pPr>
              <w:pStyle w:val="TableParagraph"/>
              <w:ind w:right="67"/>
              <w:rPr>
                <w:sz w:val="20"/>
              </w:rPr>
            </w:pPr>
            <w:r>
              <w:rPr>
                <w:sz w:val="20"/>
              </w:rPr>
              <w:t>2.393</w:t>
            </w:r>
          </w:p>
        </w:tc>
        <w:tc>
          <w:tcPr>
            <w:tcW w:w="1102" w:type="dxa"/>
            <w:tcBorders>
              <w:top w:val="nil"/>
              <w:left w:val="nil"/>
              <w:bottom w:val="nil"/>
              <w:right w:val="nil"/>
            </w:tcBorders>
          </w:tcPr>
          <w:p>
            <w:pPr>
              <w:pStyle w:val="TableParagraph"/>
              <w:ind w:right="65"/>
              <w:rPr>
                <w:sz w:val="20"/>
              </w:rPr>
            </w:pPr>
            <w:r>
              <w:rPr>
                <w:sz w:val="20"/>
              </w:rPr>
              <w:t>3.986</w:t>
            </w:r>
          </w:p>
        </w:tc>
        <w:tc>
          <w:tcPr>
            <w:tcW w:w="1099" w:type="dxa"/>
            <w:tcBorders>
              <w:top w:val="nil"/>
              <w:left w:val="nil"/>
              <w:bottom w:val="nil"/>
              <w:right w:val="nil"/>
            </w:tcBorders>
          </w:tcPr>
          <w:p>
            <w:pPr>
              <w:pStyle w:val="TableParagraph"/>
              <w:ind w:right="65"/>
              <w:rPr>
                <w:sz w:val="20"/>
              </w:rPr>
            </w:pPr>
            <w:r>
              <w:rPr>
                <w:sz w:val="20"/>
              </w:rPr>
              <w:t>2.393</w:t>
            </w:r>
          </w:p>
        </w:tc>
        <w:tc>
          <w:tcPr>
            <w:tcW w:w="1100" w:type="dxa"/>
            <w:tcBorders>
              <w:top w:val="nil"/>
              <w:left w:val="nil"/>
              <w:bottom w:val="nil"/>
              <w:right w:val="nil"/>
            </w:tcBorders>
          </w:tcPr>
          <w:p>
            <w:pPr>
              <w:pStyle w:val="TableParagraph"/>
              <w:ind w:right="65"/>
              <w:rPr>
                <w:sz w:val="20"/>
              </w:rPr>
            </w:pPr>
            <w:r>
              <w:rPr>
                <w:sz w:val="20"/>
              </w:rPr>
              <w:t>2.393</w:t>
            </w:r>
          </w:p>
        </w:tc>
        <w:tc>
          <w:tcPr>
            <w:tcW w:w="1100" w:type="dxa"/>
            <w:tcBorders>
              <w:top w:val="nil"/>
              <w:left w:val="nil"/>
              <w:bottom w:val="nil"/>
              <w:right w:val="nil"/>
            </w:tcBorders>
          </w:tcPr>
          <w:p>
            <w:pPr>
              <w:pStyle w:val="TableParagraph"/>
              <w:ind w:right="65"/>
              <w:rPr>
                <w:sz w:val="20"/>
              </w:rPr>
            </w:pPr>
            <w:r>
              <w:rPr>
                <w:sz w:val="20"/>
              </w:rPr>
              <w:t>2.393</w:t>
            </w:r>
          </w:p>
        </w:tc>
        <w:tc>
          <w:tcPr>
            <w:tcW w:w="1099" w:type="dxa"/>
            <w:tcBorders>
              <w:top w:val="nil"/>
              <w:left w:val="nil"/>
              <w:bottom w:val="nil"/>
              <w:right w:val="nil"/>
            </w:tcBorders>
          </w:tcPr>
          <w:p>
            <w:pPr>
              <w:pStyle w:val="TableParagraph"/>
              <w:ind w:right="65"/>
              <w:rPr>
                <w:sz w:val="20"/>
              </w:rPr>
            </w:pPr>
            <w:r>
              <w:rPr>
                <w:sz w:val="20"/>
              </w:rPr>
              <w:t>2.393</w:t>
            </w:r>
          </w:p>
        </w:tc>
        <w:tc>
          <w:tcPr>
            <w:tcW w:w="1102" w:type="dxa"/>
            <w:tcBorders>
              <w:top w:val="nil"/>
              <w:left w:val="nil"/>
              <w:bottom w:val="nil"/>
              <w:right w:val="nil"/>
            </w:tcBorders>
          </w:tcPr>
          <w:p>
            <w:pPr>
              <w:pStyle w:val="TableParagraph"/>
              <w:ind w:right="67"/>
              <w:rPr>
                <w:sz w:val="20"/>
              </w:rPr>
            </w:pPr>
            <w:r>
              <w:rPr>
                <w:sz w:val="20"/>
              </w:rPr>
              <w:t>2.393</w:t>
            </w:r>
          </w:p>
        </w:tc>
        <w:tc>
          <w:tcPr>
            <w:tcW w:w="1102" w:type="dxa"/>
            <w:tcBorders>
              <w:top w:val="nil"/>
              <w:left w:val="nil"/>
              <w:bottom w:val="nil"/>
              <w:right w:val="nil"/>
            </w:tcBorders>
          </w:tcPr>
          <w:p>
            <w:pPr>
              <w:pStyle w:val="TableParagraph"/>
              <w:ind w:right="65"/>
              <w:rPr>
                <w:sz w:val="20"/>
              </w:rPr>
            </w:pPr>
            <w:r>
              <w:rPr>
                <w:sz w:val="20"/>
              </w:rPr>
              <w:t>2.393</w:t>
            </w:r>
          </w:p>
        </w:tc>
        <w:tc>
          <w:tcPr>
            <w:tcW w:w="1181" w:type="dxa"/>
            <w:tcBorders>
              <w:top w:val="nil"/>
              <w:left w:val="nil"/>
              <w:bottom w:val="nil"/>
              <w:right w:val="nil"/>
            </w:tcBorders>
          </w:tcPr>
          <w:p>
            <w:pPr>
              <w:pStyle w:val="TableParagraph"/>
              <w:ind w:right="65"/>
              <w:rPr>
                <w:sz w:val="20"/>
              </w:rPr>
            </w:pPr>
            <w:r>
              <w:rPr>
                <w:sz w:val="20"/>
              </w:rPr>
              <w:t>2.393</w:t>
            </w:r>
          </w:p>
        </w:tc>
        <w:tc>
          <w:tcPr>
            <w:tcW w:w="1179" w:type="dxa"/>
            <w:tcBorders>
              <w:top w:val="nil"/>
              <w:left w:val="nil"/>
              <w:bottom w:val="nil"/>
              <w:right w:val="nil"/>
            </w:tcBorders>
          </w:tcPr>
          <w:p>
            <w:pPr>
              <w:pStyle w:val="TableParagraph"/>
              <w:ind w:right="62"/>
              <w:rPr>
                <w:sz w:val="20"/>
              </w:rPr>
            </w:pPr>
            <w:r>
              <w:rPr>
                <w:sz w:val="20"/>
              </w:rPr>
              <w:t>2.393</w:t>
            </w:r>
          </w:p>
        </w:tc>
        <w:tc>
          <w:tcPr>
            <w:tcW w:w="1179" w:type="dxa"/>
            <w:tcBorders>
              <w:top w:val="nil"/>
              <w:left w:val="nil"/>
              <w:bottom w:val="nil"/>
              <w:right w:val="nil"/>
            </w:tcBorders>
          </w:tcPr>
          <w:p>
            <w:pPr>
              <w:pStyle w:val="TableParagraph"/>
              <w:ind w:right="65"/>
              <w:rPr>
                <w:sz w:val="20"/>
              </w:rPr>
            </w:pPr>
            <w:r>
              <w:rPr>
                <w:sz w:val="20"/>
              </w:rPr>
              <w:t>2.393</w:t>
            </w:r>
          </w:p>
        </w:tc>
      </w:tr>
      <w:tr>
        <w:trPr>
          <w:trHeight w:val="300" w:hRule="exact"/>
        </w:trPr>
        <w:tc>
          <w:tcPr>
            <w:tcW w:w="941" w:type="dxa"/>
            <w:tcBorders>
              <w:top w:val="nil"/>
              <w:left w:val="nil"/>
              <w:bottom w:val="nil"/>
              <w:right w:val="nil"/>
            </w:tcBorders>
          </w:tcPr>
          <w:p>
            <w:pPr>
              <w:pStyle w:val="TableParagraph"/>
              <w:spacing w:before="26"/>
              <w:ind w:left="82"/>
              <w:jc w:val="left"/>
              <w:rPr>
                <w:sz w:val="20"/>
              </w:rPr>
            </w:pPr>
            <w:r>
              <w:rPr>
                <w:sz w:val="20"/>
              </w:rPr>
              <w:t>15</w:t>
            </w:r>
          </w:p>
        </w:tc>
        <w:tc>
          <w:tcPr>
            <w:tcW w:w="1105" w:type="dxa"/>
            <w:tcBorders>
              <w:top w:val="nil"/>
              <w:left w:val="nil"/>
              <w:bottom w:val="nil"/>
              <w:right w:val="nil"/>
            </w:tcBorders>
          </w:tcPr>
          <w:p>
            <w:pPr>
              <w:pStyle w:val="TableParagraph"/>
              <w:spacing w:before="26"/>
              <w:ind w:right="65"/>
              <w:rPr>
                <w:sz w:val="20"/>
              </w:rPr>
            </w:pPr>
            <w:r>
              <w:rPr>
                <w:sz w:val="20"/>
              </w:rPr>
              <w:t>2.393</w:t>
            </w:r>
          </w:p>
        </w:tc>
        <w:tc>
          <w:tcPr>
            <w:tcW w:w="1102" w:type="dxa"/>
            <w:tcBorders>
              <w:top w:val="nil"/>
              <w:left w:val="nil"/>
              <w:bottom w:val="nil"/>
              <w:right w:val="nil"/>
            </w:tcBorders>
          </w:tcPr>
          <w:p>
            <w:pPr>
              <w:pStyle w:val="TableParagraph"/>
              <w:spacing w:before="26"/>
              <w:ind w:right="67"/>
              <w:rPr>
                <w:sz w:val="20"/>
              </w:rPr>
            </w:pPr>
            <w:r>
              <w:rPr>
                <w:sz w:val="20"/>
              </w:rPr>
              <w:t>2.393</w:t>
            </w:r>
          </w:p>
        </w:tc>
        <w:tc>
          <w:tcPr>
            <w:tcW w:w="1102" w:type="dxa"/>
            <w:tcBorders>
              <w:top w:val="nil"/>
              <w:left w:val="nil"/>
              <w:bottom w:val="nil"/>
              <w:right w:val="nil"/>
            </w:tcBorders>
          </w:tcPr>
          <w:p>
            <w:pPr>
              <w:pStyle w:val="TableParagraph"/>
              <w:spacing w:before="26"/>
              <w:ind w:right="65"/>
              <w:rPr>
                <w:sz w:val="20"/>
              </w:rPr>
            </w:pPr>
            <w:r>
              <w:rPr>
                <w:sz w:val="20"/>
              </w:rPr>
              <w:t>3.986</w:t>
            </w:r>
          </w:p>
        </w:tc>
        <w:tc>
          <w:tcPr>
            <w:tcW w:w="1099" w:type="dxa"/>
            <w:tcBorders>
              <w:top w:val="nil"/>
              <w:left w:val="nil"/>
              <w:bottom w:val="nil"/>
              <w:right w:val="nil"/>
            </w:tcBorders>
          </w:tcPr>
          <w:p>
            <w:pPr>
              <w:pStyle w:val="TableParagraph"/>
              <w:spacing w:before="26"/>
              <w:ind w:right="65"/>
              <w:rPr>
                <w:sz w:val="20"/>
              </w:rPr>
            </w:pPr>
            <w:r>
              <w:rPr>
                <w:sz w:val="20"/>
              </w:rPr>
              <w:t>2.393</w:t>
            </w:r>
          </w:p>
        </w:tc>
        <w:tc>
          <w:tcPr>
            <w:tcW w:w="1100" w:type="dxa"/>
            <w:tcBorders>
              <w:top w:val="nil"/>
              <w:left w:val="nil"/>
              <w:bottom w:val="nil"/>
              <w:right w:val="nil"/>
            </w:tcBorders>
          </w:tcPr>
          <w:p>
            <w:pPr>
              <w:pStyle w:val="TableParagraph"/>
              <w:spacing w:before="26"/>
              <w:ind w:right="65"/>
              <w:rPr>
                <w:sz w:val="20"/>
              </w:rPr>
            </w:pPr>
            <w:r>
              <w:rPr>
                <w:sz w:val="20"/>
              </w:rPr>
              <w:t>2.393</w:t>
            </w:r>
          </w:p>
        </w:tc>
        <w:tc>
          <w:tcPr>
            <w:tcW w:w="1100" w:type="dxa"/>
            <w:tcBorders>
              <w:top w:val="nil"/>
              <w:left w:val="nil"/>
              <w:bottom w:val="nil"/>
              <w:right w:val="nil"/>
            </w:tcBorders>
          </w:tcPr>
          <w:p>
            <w:pPr>
              <w:pStyle w:val="TableParagraph"/>
              <w:spacing w:before="26"/>
              <w:ind w:right="65"/>
              <w:rPr>
                <w:sz w:val="20"/>
              </w:rPr>
            </w:pPr>
            <w:r>
              <w:rPr>
                <w:sz w:val="20"/>
              </w:rPr>
              <w:t>2.393</w:t>
            </w:r>
          </w:p>
        </w:tc>
        <w:tc>
          <w:tcPr>
            <w:tcW w:w="1099" w:type="dxa"/>
            <w:tcBorders>
              <w:top w:val="nil"/>
              <w:left w:val="nil"/>
              <w:bottom w:val="nil"/>
              <w:right w:val="nil"/>
            </w:tcBorders>
          </w:tcPr>
          <w:p>
            <w:pPr>
              <w:pStyle w:val="TableParagraph"/>
              <w:spacing w:before="26"/>
              <w:ind w:right="65"/>
              <w:rPr>
                <w:sz w:val="20"/>
              </w:rPr>
            </w:pPr>
            <w:r>
              <w:rPr>
                <w:sz w:val="20"/>
              </w:rPr>
              <w:t>2.393</w:t>
            </w:r>
          </w:p>
        </w:tc>
        <w:tc>
          <w:tcPr>
            <w:tcW w:w="1102" w:type="dxa"/>
            <w:tcBorders>
              <w:top w:val="nil"/>
              <w:left w:val="nil"/>
              <w:bottom w:val="nil"/>
              <w:right w:val="nil"/>
            </w:tcBorders>
          </w:tcPr>
          <w:p>
            <w:pPr>
              <w:pStyle w:val="TableParagraph"/>
              <w:spacing w:before="26"/>
              <w:ind w:right="67"/>
              <w:rPr>
                <w:sz w:val="20"/>
              </w:rPr>
            </w:pPr>
            <w:r>
              <w:rPr>
                <w:sz w:val="20"/>
              </w:rPr>
              <w:t>2.393</w:t>
            </w:r>
          </w:p>
        </w:tc>
        <w:tc>
          <w:tcPr>
            <w:tcW w:w="1102" w:type="dxa"/>
            <w:tcBorders>
              <w:top w:val="nil"/>
              <w:left w:val="nil"/>
              <w:bottom w:val="nil"/>
              <w:right w:val="nil"/>
            </w:tcBorders>
          </w:tcPr>
          <w:p>
            <w:pPr>
              <w:pStyle w:val="TableParagraph"/>
              <w:spacing w:before="26"/>
              <w:ind w:right="65"/>
              <w:rPr>
                <w:sz w:val="20"/>
              </w:rPr>
            </w:pPr>
            <w:r>
              <w:rPr>
                <w:sz w:val="20"/>
              </w:rPr>
              <w:t>2.393</w:t>
            </w:r>
          </w:p>
        </w:tc>
        <w:tc>
          <w:tcPr>
            <w:tcW w:w="1181" w:type="dxa"/>
            <w:tcBorders>
              <w:top w:val="nil"/>
              <w:left w:val="nil"/>
              <w:bottom w:val="nil"/>
              <w:right w:val="nil"/>
            </w:tcBorders>
          </w:tcPr>
          <w:p>
            <w:pPr>
              <w:pStyle w:val="TableParagraph"/>
              <w:spacing w:before="26"/>
              <w:ind w:right="65"/>
              <w:rPr>
                <w:sz w:val="20"/>
              </w:rPr>
            </w:pPr>
            <w:r>
              <w:rPr>
                <w:sz w:val="20"/>
              </w:rPr>
              <w:t>2.393</w:t>
            </w:r>
          </w:p>
        </w:tc>
        <w:tc>
          <w:tcPr>
            <w:tcW w:w="1179" w:type="dxa"/>
            <w:tcBorders>
              <w:top w:val="nil"/>
              <w:left w:val="nil"/>
              <w:bottom w:val="nil"/>
              <w:right w:val="nil"/>
            </w:tcBorders>
          </w:tcPr>
          <w:p>
            <w:pPr>
              <w:pStyle w:val="TableParagraph"/>
              <w:spacing w:before="26"/>
              <w:ind w:right="62"/>
              <w:rPr>
                <w:sz w:val="20"/>
              </w:rPr>
            </w:pPr>
            <w:r>
              <w:rPr>
                <w:sz w:val="20"/>
              </w:rPr>
              <w:t>2.393</w:t>
            </w:r>
          </w:p>
        </w:tc>
        <w:tc>
          <w:tcPr>
            <w:tcW w:w="1179" w:type="dxa"/>
            <w:tcBorders>
              <w:top w:val="nil"/>
              <w:left w:val="nil"/>
              <w:bottom w:val="nil"/>
              <w:right w:val="nil"/>
            </w:tcBorders>
          </w:tcPr>
          <w:p>
            <w:pPr>
              <w:pStyle w:val="TableParagraph"/>
              <w:spacing w:before="26"/>
              <w:ind w:right="65"/>
              <w:rPr>
                <w:sz w:val="20"/>
              </w:rPr>
            </w:pPr>
            <w:r>
              <w:rPr>
                <w:sz w:val="20"/>
              </w:rPr>
              <w:t>2.393</w:t>
            </w:r>
          </w:p>
        </w:tc>
      </w:tr>
      <w:tr>
        <w:trPr>
          <w:trHeight w:val="300" w:hRule="exact"/>
        </w:trPr>
        <w:tc>
          <w:tcPr>
            <w:tcW w:w="941" w:type="dxa"/>
            <w:tcBorders>
              <w:top w:val="nil"/>
              <w:left w:val="nil"/>
              <w:bottom w:val="nil"/>
              <w:right w:val="nil"/>
            </w:tcBorders>
          </w:tcPr>
          <w:p>
            <w:pPr>
              <w:pStyle w:val="TableParagraph"/>
              <w:ind w:left="82"/>
              <w:jc w:val="left"/>
              <w:rPr>
                <w:sz w:val="20"/>
              </w:rPr>
            </w:pPr>
            <w:r>
              <w:rPr>
                <w:sz w:val="20"/>
              </w:rPr>
              <w:t>16</w:t>
            </w:r>
          </w:p>
        </w:tc>
        <w:tc>
          <w:tcPr>
            <w:tcW w:w="1105" w:type="dxa"/>
            <w:tcBorders>
              <w:top w:val="nil"/>
              <w:left w:val="nil"/>
              <w:bottom w:val="nil"/>
              <w:right w:val="nil"/>
            </w:tcBorders>
          </w:tcPr>
          <w:p>
            <w:pPr>
              <w:pStyle w:val="TableParagraph"/>
              <w:ind w:right="65"/>
              <w:rPr>
                <w:sz w:val="20"/>
              </w:rPr>
            </w:pPr>
            <w:r>
              <w:rPr>
                <w:sz w:val="20"/>
              </w:rPr>
              <w:t>2.393</w:t>
            </w:r>
          </w:p>
        </w:tc>
        <w:tc>
          <w:tcPr>
            <w:tcW w:w="1102" w:type="dxa"/>
            <w:tcBorders>
              <w:top w:val="nil"/>
              <w:left w:val="nil"/>
              <w:bottom w:val="nil"/>
              <w:right w:val="nil"/>
            </w:tcBorders>
          </w:tcPr>
          <w:p>
            <w:pPr>
              <w:pStyle w:val="TableParagraph"/>
              <w:ind w:right="67"/>
              <w:rPr>
                <w:sz w:val="20"/>
              </w:rPr>
            </w:pPr>
            <w:r>
              <w:rPr>
                <w:sz w:val="20"/>
              </w:rPr>
              <w:t>2.393</w:t>
            </w:r>
          </w:p>
        </w:tc>
        <w:tc>
          <w:tcPr>
            <w:tcW w:w="1102" w:type="dxa"/>
            <w:tcBorders>
              <w:top w:val="nil"/>
              <w:left w:val="nil"/>
              <w:bottom w:val="nil"/>
              <w:right w:val="nil"/>
            </w:tcBorders>
          </w:tcPr>
          <w:p>
            <w:pPr>
              <w:pStyle w:val="TableParagraph"/>
              <w:ind w:right="65"/>
              <w:rPr>
                <w:sz w:val="20"/>
              </w:rPr>
            </w:pPr>
            <w:r>
              <w:rPr>
                <w:sz w:val="20"/>
              </w:rPr>
              <w:t>3.986</w:t>
            </w:r>
          </w:p>
        </w:tc>
        <w:tc>
          <w:tcPr>
            <w:tcW w:w="1099" w:type="dxa"/>
            <w:tcBorders>
              <w:top w:val="nil"/>
              <w:left w:val="nil"/>
              <w:bottom w:val="nil"/>
              <w:right w:val="nil"/>
            </w:tcBorders>
          </w:tcPr>
          <w:p>
            <w:pPr>
              <w:pStyle w:val="TableParagraph"/>
              <w:ind w:right="65"/>
              <w:rPr>
                <w:sz w:val="20"/>
              </w:rPr>
            </w:pPr>
            <w:r>
              <w:rPr>
                <w:sz w:val="20"/>
              </w:rPr>
              <w:t>2.393</w:t>
            </w:r>
          </w:p>
        </w:tc>
        <w:tc>
          <w:tcPr>
            <w:tcW w:w="1100" w:type="dxa"/>
            <w:tcBorders>
              <w:top w:val="nil"/>
              <w:left w:val="nil"/>
              <w:bottom w:val="nil"/>
              <w:right w:val="nil"/>
            </w:tcBorders>
          </w:tcPr>
          <w:p>
            <w:pPr>
              <w:pStyle w:val="TableParagraph"/>
              <w:ind w:right="65"/>
              <w:rPr>
                <w:sz w:val="20"/>
              </w:rPr>
            </w:pPr>
            <w:r>
              <w:rPr>
                <w:sz w:val="20"/>
              </w:rPr>
              <w:t>2.393</w:t>
            </w:r>
          </w:p>
        </w:tc>
        <w:tc>
          <w:tcPr>
            <w:tcW w:w="1100" w:type="dxa"/>
            <w:tcBorders>
              <w:top w:val="nil"/>
              <w:left w:val="nil"/>
              <w:bottom w:val="nil"/>
              <w:right w:val="nil"/>
            </w:tcBorders>
          </w:tcPr>
          <w:p>
            <w:pPr>
              <w:pStyle w:val="TableParagraph"/>
              <w:ind w:right="65"/>
              <w:rPr>
                <w:sz w:val="20"/>
              </w:rPr>
            </w:pPr>
            <w:r>
              <w:rPr>
                <w:sz w:val="20"/>
              </w:rPr>
              <w:t>2.393</w:t>
            </w:r>
          </w:p>
        </w:tc>
        <w:tc>
          <w:tcPr>
            <w:tcW w:w="1099" w:type="dxa"/>
            <w:tcBorders>
              <w:top w:val="nil"/>
              <w:left w:val="nil"/>
              <w:bottom w:val="nil"/>
              <w:right w:val="nil"/>
            </w:tcBorders>
          </w:tcPr>
          <w:p>
            <w:pPr>
              <w:pStyle w:val="TableParagraph"/>
              <w:ind w:right="65"/>
              <w:rPr>
                <w:sz w:val="20"/>
              </w:rPr>
            </w:pPr>
            <w:r>
              <w:rPr>
                <w:sz w:val="20"/>
              </w:rPr>
              <w:t>2.393</w:t>
            </w:r>
          </w:p>
        </w:tc>
        <w:tc>
          <w:tcPr>
            <w:tcW w:w="1102" w:type="dxa"/>
            <w:tcBorders>
              <w:top w:val="nil"/>
              <w:left w:val="nil"/>
              <w:bottom w:val="nil"/>
              <w:right w:val="nil"/>
            </w:tcBorders>
          </w:tcPr>
          <w:p>
            <w:pPr>
              <w:pStyle w:val="TableParagraph"/>
              <w:ind w:right="67"/>
              <w:rPr>
                <w:sz w:val="20"/>
              </w:rPr>
            </w:pPr>
            <w:r>
              <w:rPr>
                <w:sz w:val="20"/>
              </w:rPr>
              <w:t>2.393</w:t>
            </w:r>
          </w:p>
        </w:tc>
        <w:tc>
          <w:tcPr>
            <w:tcW w:w="1102" w:type="dxa"/>
            <w:tcBorders>
              <w:top w:val="nil"/>
              <w:left w:val="nil"/>
              <w:bottom w:val="nil"/>
              <w:right w:val="nil"/>
            </w:tcBorders>
          </w:tcPr>
          <w:p>
            <w:pPr>
              <w:pStyle w:val="TableParagraph"/>
              <w:ind w:right="65"/>
              <w:rPr>
                <w:sz w:val="20"/>
              </w:rPr>
            </w:pPr>
            <w:r>
              <w:rPr>
                <w:sz w:val="20"/>
              </w:rPr>
              <w:t>2.393</w:t>
            </w:r>
          </w:p>
        </w:tc>
        <w:tc>
          <w:tcPr>
            <w:tcW w:w="1181" w:type="dxa"/>
            <w:tcBorders>
              <w:top w:val="nil"/>
              <w:left w:val="nil"/>
              <w:bottom w:val="nil"/>
              <w:right w:val="nil"/>
            </w:tcBorders>
          </w:tcPr>
          <w:p>
            <w:pPr>
              <w:pStyle w:val="TableParagraph"/>
              <w:ind w:right="65"/>
              <w:rPr>
                <w:sz w:val="20"/>
              </w:rPr>
            </w:pPr>
            <w:r>
              <w:rPr>
                <w:sz w:val="20"/>
              </w:rPr>
              <w:t>2.393</w:t>
            </w:r>
          </w:p>
        </w:tc>
        <w:tc>
          <w:tcPr>
            <w:tcW w:w="1179" w:type="dxa"/>
            <w:tcBorders>
              <w:top w:val="nil"/>
              <w:left w:val="nil"/>
              <w:bottom w:val="nil"/>
              <w:right w:val="nil"/>
            </w:tcBorders>
          </w:tcPr>
          <w:p>
            <w:pPr>
              <w:pStyle w:val="TableParagraph"/>
              <w:ind w:right="62"/>
              <w:rPr>
                <w:sz w:val="20"/>
              </w:rPr>
            </w:pPr>
            <w:r>
              <w:rPr>
                <w:sz w:val="20"/>
              </w:rPr>
              <w:t>2.393</w:t>
            </w:r>
          </w:p>
        </w:tc>
        <w:tc>
          <w:tcPr>
            <w:tcW w:w="1179" w:type="dxa"/>
            <w:tcBorders>
              <w:top w:val="nil"/>
              <w:left w:val="nil"/>
              <w:bottom w:val="nil"/>
              <w:right w:val="nil"/>
            </w:tcBorders>
          </w:tcPr>
          <w:p>
            <w:pPr>
              <w:pStyle w:val="TableParagraph"/>
              <w:ind w:right="65"/>
              <w:rPr>
                <w:sz w:val="20"/>
              </w:rPr>
            </w:pPr>
            <w:r>
              <w:rPr>
                <w:sz w:val="20"/>
              </w:rPr>
              <w:t>2.393</w:t>
            </w:r>
          </w:p>
        </w:tc>
      </w:tr>
      <w:tr>
        <w:trPr>
          <w:trHeight w:val="300" w:hRule="exact"/>
        </w:trPr>
        <w:tc>
          <w:tcPr>
            <w:tcW w:w="941" w:type="dxa"/>
            <w:tcBorders>
              <w:top w:val="nil"/>
              <w:left w:val="nil"/>
              <w:bottom w:val="nil"/>
              <w:right w:val="nil"/>
            </w:tcBorders>
          </w:tcPr>
          <w:p>
            <w:pPr>
              <w:pStyle w:val="TableParagraph"/>
              <w:spacing w:before="26"/>
              <w:ind w:left="82"/>
              <w:jc w:val="left"/>
              <w:rPr>
                <w:sz w:val="20"/>
              </w:rPr>
            </w:pPr>
            <w:r>
              <w:rPr>
                <w:sz w:val="20"/>
              </w:rPr>
              <w:t>17</w:t>
            </w:r>
          </w:p>
        </w:tc>
        <w:tc>
          <w:tcPr>
            <w:tcW w:w="1105" w:type="dxa"/>
            <w:tcBorders>
              <w:top w:val="nil"/>
              <w:left w:val="nil"/>
              <w:bottom w:val="nil"/>
              <w:right w:val="nil"/>
            </w:tcBorders>
          </w:tcPr>
          <w:p>
            <w:pPr>
              <w:pStyle w:val="TableParagraph"/>
              <w:spacing w:before="26"/>
              <w:ind w:right="65"/>
              <w:rPr>
                <w:sz w:val="20"/>
              </w:rPr>
            </w:pPr>
            <w:r>
              <w:rPr>
                <w:sz w:val="20"/>
              </w:rPr>
              <w:t>2.393</w:t>
            </w:r>
          </w:p>
        </w:tc>
        <w:tc>
          <w:tcPr>
            <w:tcW w:w="1102" w:type="dxa"/>
            <w:tcBorders>
              <w:top w:val="nil"/>
              <w:left w:val="nil"/>
              <w:bottom w:val="nil"/>
              <w:right w:val="nil"/>
            </w:tcBorders>
          </w:tcPr>
          <w:p>
            <w:pPr>
              <w:pStyle w:val="TableParagraph"/>
              <w:spacing w:before="26"/>
              <w:ind w:right="67"/>
              <w:rPr>
                <w:sz w:val="20"/>
              </w:rPr>
            </w:pPr>
            <w:r>
              <w:rPr>
                <w:sz w:val="20"/>
              </w:rPr>
              <w:t>2.393</w:t>
            </w:r>
          </w:p>
        </w:tc>
        <w:tc>
          <w:tcPr>
            <w:tcW w:w="1102" w:type="dxa"/>
            <w:tcBorders>
              <w:top w:val="nil"/>
              <w:left w:val="nil"/>
              <w:bottom w:val="nil"/>
              <w:right w:val="nil"/>
            </w:tcBorders>
          </w:tcPr>
          <w:p>
            <w:pPr>
              <w:pStyle w:val="TableParagraph"/>
              <w:spacing w:before="26"/>
              <w:ind w:right="65"/>
              <w:rPr>
                <w:sz w:val="20"/>
              </w:rPr>
            </w:pPr>
            <w:r>
              <w:rPr>
                <w:sz w:val="20"/>
              </w:rPr>
              <w:t>3.986</w:t>
            </w:r>
          </w:p>
        </w:tc>
        <w:tc>
          <w:tcPr>
            <w:tcW w:w="1099" w:type="dxa"/>
            <w:tcBorders>
              <w:top w:val="nil"/>
              <w:left w:val="nil"/>
              <w:bottom w:val="nil"/>
              <w:right w:val="nil"/>
            </w:tcBorders>
          </w:tcPr>
          <w:p>
            <w:pPr>
              <w:pStyle w:val="TableParagraph"/>
              <w:spacing w:before="26"/>
              <w:ind w:right="65"/>
              <w:rPr>
                <w:sz w:val="20"/>
              </w:rPr>
            </w:pPr>
            <w:r>
              <w:rPr>
                <w:sz w:val="20"/>
              </w:rPr>
              <w:t>2.393</w:t>
            </w:r>
          </w:p>
        </w:tc>
        <w:tc>
          <w:tcPr>
            <w:tcW w:w="1100" w:type="dxa"/>
            <w:tcBorders>
              <w:top w:val="nil"/>
              <w:left w:val="nil"/>
              <w:bottom w:val="nil"/>
              <w:right w:val="nil"/>
            </w:tcBorders>
          </w:tcPr>
          <w:p>
            <w:pPr>
              <w:pStyle w:val="TableParagraph"/>
              <w:spacing w:before="26"/>
              <w:ind w:right="65"/>
              <w:rPr>
                <w:sz w:val="20"/>
              </w:rPr>
            </w:pPr>
            <w:r>
              <w:rPr>
                <w:sz w:val="20"/>
              </w:rPr>
              <w:t>2.393</w:t>
            </w:r>
          </w:p>
        </w:tc>
        <w:tc>
          <w:tcPr>
            <w:tcW w:w="1100" w:type="dxa"/>
            <w:tcBorders>
              <w:top w:val="nil"/>
              <w:left w:val="nil"/>
              <w:bottom w:val="nil"/>
              <w:right w:val="nil"/>
            </w:tcBorders>
          </w:tcPr>
          <w:p>
            <w:pPr>
              <w:pStyle w:val="TableParagraph"/>
              <w:spacing w:before="26"/>
              <w:ind w:right="65"/>
              <w:rPr>
                <w:sz w:val="20"/>
              </w:rPr>
            </w:pPr>
            <w:r>
              <w:rPr>
                <w:sz w:val="20"/>
              </w:rPr>
              <w:t>2.393</w:t>
            </w:r>
          </w:p>
        </w:tc>
        <w:tc>
          <w:tcPr>
            <w:tcW w:w="1099" w:type="dxa"/>
            <w:tcBorders>
              <w:top w:val="nil"/>
              <w:left w:val="nil"/>
              <w:bottom w:val="nil"/>
              <w:right w:val="nil"/>
            </w:tcBorders>
          </w:tcPr>
          <w:p>
            <w:pPr>
              <w:pStyle w:val="TableParagraph"/>
              <w:spacing w:before="26"/>
              <w:ind w:right="65"/>
              <w:rPr>
                <w:sz w:val="20"/>
              </w:rPr>
            </w:pPr>
            <w:r>
              <w:rPr>
                <w:sz w:val="20"/>
              </w:rPr>
              <w:t>2.393</w:t>
            </w:r>
          </w:p>
        </w:tc>
        <w:tc>
          <w:tcPr>
            <w:tcW w:w="1102" w:type="dxa"/>
            <w:tcBorders>
              <w:top w:val="nil"/>
              <w:left w:val="nil"/>
              <w:bottom w:val="nil"/>
              <w:right w:val="nil"/>
            </w:tcBorders>
          </w:tcPr>
          <w:p>
            <w:pPr>
              <w:pStyle w:val="TableParagraph"/>
              <w:spacing w:before="26"/>
              <w:ind w:right="67"/>
              <w:rPr>
                <w:sz w:val="20"/>
              </w:rPr>
            </w:pPr>
            <w:r>
              <w:rPr>
                <w:sz w:val="20"/>
              </w:rPr>
              <w:t>2.393</w:t>
            </w:r>
          </w:p>
        </w:tc>
        <w:tc>
          <w:tcPr>
            <w:tcW w:w="1102" w:type="dxa"/>
            <w:tcBorders>
              <w:top w:val="nil"/>
              <w:left w:val="nil"/>
              <w:bottom w:val="nil"/>
              <w:right w:val="nil"/>
            </w:tcBorders>
          </w:tcPr>
          <w:p>
            <w:pPr>
              <w:pStyle w:val="TableParagraph"/>
              <w:spacing w:before="26"/>
              <w:ind w:right="65"/>
              <w:rPr>
                <w:sz w:val="20"/>
              </w:rPr>
            </w:pPr>
            <w:r>
              <w:rPr>
                <w:sz w:val="20"/>
              </w:rPr>
              <w:t>2.393</w:t>
            </w:r>
          </w:p>
        </w:tc>
        <w:tc>
          <w:tcPr>
            <w:tcW w:w="1181" w:type="dxa"/>
            <w:tcBorders>
              <w:top w:val="nil"/>
              <w:left w:val="nil"/>
              <w:bottom w:val="nil"/>
              <w:right w:val="nil"/>
            </w:tcBorders>
          </w:tcPr>
          <w:p>
            <w:pPr>
              <w:pStyle w:val="TableParagraph"/>
              <w:spacing w:before="26"/>
              <w:ind w:right="65"/>
              <w:rPr>
                <w:sz w:val="20"/>
              </w:rPr>
            </w:pPr>
            <w:r>
              <w:rPr>
                <w:sz w:val="20"/>
              </w:rPr>
              <w:t>2.393</w:t>
            </w:r>
          </w:p>
        </w:tc>
        <w:tc>
          <w:tcPr>
            <w:tcW w:w="1179" w:type="dxa"/>
            <w:tcBorders>
              <w:top w:val="nil"/>
              <w:left w:val="nil"/>
              <w:bottom w:val="nil"/>
              <w:right w:val="nil"/>
            </w:tcBorders>
          </w:tcPr>
          <w:p>
            <w:pPr>
              <w:pStyle w:val="TableParagraph"/>
              <w:spacing w:before="26"/>
              <w:ind w:right="62"/>
              <w:rPr>
                <w:sz w:val="20"/>
              </w:rPr>
            </w:pPr>
            <w:r>
              <w:rPr>
                <w:sz w:val="20"/>
              </w:rPr>
              <w:t>2.393</w:t>
            </w:r>
          </w:p>
        </w:tc>
        <w:tc>
          <w:tcPr>
            <w:tcW w:w="1179" w:type="dxa"/>
            <w:tcBorders>
              <w:top w:val="nil"/>
              <w:left w:val="nil"/>
              <w:bottom w:val="nil"/>
              <w:right w:val="nil"/>
            </w:tcBorders>
          </w:tcPr>
          <w:p>
            <w:pPr>
              <w:pStyle w:val="TableParagraph"/>
              <w:spacing w:before="26"/>
              <w:ind w:right="65"/>
              <w:rPr>
                <w:sz w:val="20"/>
              </w:rPr>
            </w:pPr>
            <w:r>
              <w:rPr>
                <w:sz w:val="20"/>
              </w:rPr>
              <w:t>2.393</w:t>
            </w:r>
          </w:p>
        </w:tc>
      </w:tr>
      <w:tr>
        <w:trPr>
          <w:trHeight w:val="300" w:hRule="exact"/>
        </w:trPr>
        <w:tc>
          <w:tcPr>
            <w:tcW w:w="941" w:type="dxa"/>
            <w:tcBorders>
              <w:top w:val="nil"/>
              <w:left w:val="nil"/>
              <w:bottom w:val="nil"/>
              <w:right w:val="nil"/>
            </w:tcBorders>
          </w:tcPr>
          <w:p>
            <w:pPr>
              <w:pStyle w:val="TableParagraph"/>
              <w:ind w:left="82"/>
              <w:jc w:val="left"/>
              <w:rPr>
                <w:sz w:val="20"/>
              </w:rPr>
            </w:pPr>
            <w:r>
              <w:rPr>
                <w:sz w:val="20"/>
              </w:rPr>
              <w:t>18</w:t>
            </w:r>
          </w:p>
        </w:tc>
        <w:tc>
          <w:tcPr>
            <w:tcW w:w="1105" w:type="dxa"/>
            <w:tcBorders>
              <w:top w:val="nil"/>
              <w:left w:val="nil"/>
              <w:bottom w:val="nil"/>
              <w:right w:val="nil"/>
            </w:tcBorders>
          </w:tcPr>
          <w:p>
            <w:pPr>
              <w:pStyle w:val="TableParagraph"/>
              <w:ind w:right="65"/>
              <w:rPr>
                <w:sz w:val="20"/>
              </w:rPr>
            </w:pPr>
            <w:r>
              <w:rPr>
                <w:sz w:val="20"/>
              </w:rPr>
              <w:t>2.393</w:t>
            </w:r>
          </w:p>
        </w:tc>
        <w:tc>
          <w:tcPr>
            <w:tcW w:w="1102" w:type="dxa"/>
            <w:tcBorders>
              <w:top w:val="nil"/>
              <w:left w:val="nil"/>
              <w:bottom w:val="nil"/>
              <w:right w:val="nil"/>
            </w:tcBorders>
          </w:tcPr>
          <w:p>
            <w:pPr>
              <w:pStyle w:val="TableParagraph"/>
              <w:ind w:right="67"/>
              <w:rPr>
                <w:sz w:val="20"/>
              </w:rPr>
            </w:pPr>
            <w:r>
              <w:rPr>
                <w:sz w:val="20"/>
              </w:rPr>
              <w:t>2.393</w:t>
            </w:r>
          </w:p>
        </w:tc>
        <w:tc>
          <w:tcPr>
            <w:tcW w:w="1102" w:type="dxa"/>
            <w:tcBorders>
              <w:top w:val="nil"/>
              <w:left w:val="nil"/>
              <w:bottom w:val="nil"/>
              <w:right w:val="nil"/>
            </w:tcBorders>
          </w:tcPr>
          <w:p>
            <w:pPr>
              <w:pStyle w:val="TableParagraph"/>
              <w:ind w:right="65"/>
              <w:rPr>
                <w:sz w:val="20"/>
              </w:rPr>
            </w:pPr>
            <w:r>
              <w:rPr>
                <w:sz w:val="20"/>
              </w:rPr>
              <w:t>3.986</w:t>
            </w:r>
          </w:p>
        </w:tc>
        <w:tc>
          <w:tcPr>
            <w:tcW w:w="1099" w:type="dxa"/>
            <w:tcBorders>
              <w:top w:val="nil"/>
              <w:left w:val="nil"/>
              <w:bottom w:val="nil"/>
              <w:right w:val="nil"/>
            </w:tcBorders>
          </w:tcPr>
          <w:p>
            <w:pPr>
              <w:pStyle w:val="TableParagraph"/>
              <w:ind w:right="65"/>
              <w:rPr>
                <w:sz w:val="20"/>
              </w:rPr>
            </w:pPr>
            <w:r>
              <w:rPr>
                <w:sz w:val="20"/>
              </w:rPr>
              <w:t>2.393</w:t>
            </w:r>
          </w:p>
        </w:tc>
        <w:tc>
          <w:tcPr>
            <w:tcW w:w="1100" w:type="dxa"/>
            <w:tcBorders>
              <w:top w:val="nil"/>
              <w:left w:val="nil"/>
              <w:bottom w:val="nil"/>
              <w:right w:val="nil"/>
            </w:tcBorders>
          </w:tcPr>
          <w:p>
            <w:pPr>
              <w:pStyle w:val="TableParagraph"/>
              <w:ind w:right="65"/>
              <w:rPr>
                <w:sz w:val="20"/>
              </w:rPr>
            </w:pPr>
            <w:r>
              <w:rPr>
                <w:sz w:val="20"/>
              </w:rPr>
              <w:t>2.393</w:t>
            </w:r>
          </w:p>
        </w:tc>
        <w:tc>
          <w:tcPr>
            <w:tcW w:w="1100" w:type="dxa"/>
            <w:tcBorders>
              <w:top w:val="nil"/>
              <w:left w:val="nil"/>
              <w:bottom w:val="nil"/>
              <w:right w:val="nil"/>
            </w:tcBorders>
          </w:tcPr>
          <w:p>
            <w:pPr>
              <w:pStyle w:val="TableParagraph"/>
              <w:ind w:right="65"/>
              <w:rPr>
                <w:sz w:val="20"/>
              </w:rPr>
            </w:pPr>
            <w:r>
              <w:rPr>
                <w:sz w:val="20"/>
              </w:rPr>
              <w:t>2.393</w:t>
            </w:r>
          </w:p>
        </w:tc>
        <w:tc>
          <w:tcPr>
            <w:tcW w:w="1099" w:type="dxa"/>
            <w:tcBorders>
              <w:top w:val="nil"/>
              <w:left w:val="nil"/>
              <w:bottom w:val="nil"/>
              <w:right w:val="nil"/>
            </w:tcBorders>
          </w:tcPr>
          <w:p>
            <w:pPr>
              <w:pStyle w:val="TableParagraph"/>
              <w:ind w:right="65"/>
              <w:rPr>
                <w:sz w:val="20"/>
              </w:rPr>
            </w:pPr>
            <w:r>
              <w:rPr>
                <w:sz w:val="20"/>
              </w:rPr>
              <w:t>2.393</w:t>
            </w:r>
          </w:p>
        </w:tc>
        <w:tc>
          <w:tcPr>
            <w:tcW w:w="1102" w:type="dxa"/>
            <w:tcBorders>
              <w:top w:val="nil"/>
              <w:left w:val="nil"/>
              <w:bottom w:val="nil"/>
              <w:right w:val="nil"/>
            </w:tcBorders>
          </w:tcPr>
          <w:p>
            <w:pPr>
              <w:pStyle w:val="TableParagraph"/>
              <w:ind w:right="67"/>
              <w:rPr>
                <w:sz w:val="20"/>
              </w:rPr>
            </w:pPr>
            <w:r>
              <w:rPr>
                <w:sz w:val="20"/>
              </w:rPr>
              <w:t>2.393</w:t>
            </w:r>
          </w:p>
        </w:tc>
        <w:tc>
          <w:tcPr>
            <w:tcW w:w="1102" w:type="dxa"/>
            <w:tcBorders>
              <w:top w:val="nil"/>
              <w:left w:val="nil"/>
              <w:bottom w:val="nil"/>
              <w:right w:val="nil"/>
            </w:tcBorders>
          </w:tcPr>
          <w:p>
            <w:pPr>
              <w:pStyle w:val="TableParagraph"/>
              <w:ind w:right="65"/>
              <w:rPr>
                <w:sz w:val="20"/>
              </w:rPr>
            </w:pPr>
            <w:r>
              <w:rPr>
                <w:sz w:val="20"/>
              </w:rPr>
              <w:t>2.393</w:t>
            </w:r>
          </w:p>
        </w:tc>
        <w:tc>
          <w:tcPr>
            <w:tcW w:w="1181" w:type="dxa"/>
            <w:tcBorders>
              <w:top w:val="nil"/>
              <w:left w:val="nil"/>
              <w:bottom w:val="nil"/>
              <w:right w:val="nil"/>
            </w:tcBorders>
          </w:tcPr>
          <w:p>
            <w:pPr>
              <w:pStyle w:val="TableParagraph"/>
              <w:ind w:right="65"/>
              <w:rPr>
                <w:sz w:val="20"/>
              </w:rPr>
            </w:pPr>
            <w:r>
              <w:rPr>
                <w:sz w:val="20"/>
              </w:rPr>
              <w:t>2.393</w:t>
            </w:r>
          </w:p>
        </w:tc>
        <w:tc>
          <w:tcPr>
            <w:tcW w:w="1179" w:type="dxa"/>
            <w:tcBorders>
              <w:top w:val="nil"/>
              <w:left w:val="nil"/>
              <w:bottom w:val="nil"/>
              <w:right w:val="nil"/>
            </w:tcBorders>
          </w:tcPr>
          <w:p>
            <w:pPr>
              <w:pStyle w:val="TableParagraph"/>
              <w:ind w:right="62"/>
              <w:rPr>
                <w:sz w:val="20"/>
              </w:rPr>
            </w:pPr>
            <w:r>
              <w:rPr>
                <w:sz w:val="20"/>
              </w:rPr>
              <w:t>2.393</w:t>
            </w:r>
          </w:p>
        </w:tc>
        <w:tc>
          <w:tcPr>
            <w:tcW w:w="1179" w:type="dxa"/>
            <w:tcBorders>
              <w:top w:val="nil"/>
              <w:left w:val="nil"/>
              <w:bottom w:val="nil"/>
              <w:right w:val="nil"/>
            </w:tcBorders>
          </w:tcPr>
          <w:p>
            <w:pPr>
              <w:pStyle w:val="TableParagraph"/>
              <w:ind w:right="65"/>
              <w:rPr>
                <w:sz w:val="20"/>
              </w:rPr>
            </w:pPr>
            <w:r>
              <w:rPr>
                <w:sz w:val="20"/>
              </w:rPr>
              <w:t>2.393</w:t>
            </w:r>
          </w:p>
        </w:tc>
      </w:tr>
      <w:tr>
        <w:trPr>
          <w:trHeight w:val="300" w:hRule="exact"/>
        </w:trPr>
        <w:tc>
          <w:tcPr>
            <w:tcW w:w="941" w:type="dxa"/>
            <w:tcBorders>
              <w:top w:val="nil"/>
              <w:left w:val="nil"/>
              <w:bottom w:val="nil"/>
              <w:right w:val="nil"/>
            </w:tcBorders>
          </w:tcPr>
          <w:p>
            <w:pPr>
              <w:pStyle w:val="TableParagraph"/>
              <w:spacing w:before="26"/>
              <w:ind w:left="82"/>
              <w:jc w:val="left"/>
              <w:rPr>
                <w:sz w:val="20"/>
              </w:rPr>
            </w:pPr>
            <w:r>
              <w:rPr>
                <w:sz w:val="20"/>
              </w:rPr>
              <w:t>19</w:t>
            </w:r>
          </w:p>
        </w:tc>
        <w:tc>
          <w:tcPr>
            <w:tcW w:w="1105" w:type="dxa"/>
            <w:tcBorders>
              <w:top w:val="nil"/>
              <w:left w:val="nil"/>
              <w:bottom w:val="nil"/>
              <w:right w:val="nil"/>
            </w:tcBorders>
          </w:tcPr>
          <w:p>
            <w:pPr>
              <w:pStyle w:val="TableParagraph"/>
              <w:spacing w:before="26"/>
              <w:ind w:right="65"/>
              <w:rPr>
                <w:sz w:val="20"/>
              </w:rPr>
            </w:pPr>
            <w:r>
              <w:rPr>
                <w:sz w:val="20"/>
              </w:rPr>
              <w:t>2.393</w:t>
            </w:r>
          </w:p>
        </w:tc>
        <w:tc>
          <w:tcPr>
            <w:tcW w:w="1102" w:type="dxa"/>
            <w:tcBorders>
              <w:top w:val="nil"/>
              <w:left w:val="nil"/>
              <w:bottom w:val="nil"/>
              <w:right w:val="nil"/>
            </w:tcBorders>
          </w:tcPr>
          <w:p>
            <w:pPr>
              <w:pStyle w:val="TableParagraph"/>
              <w:spacing w:before="26"/>
              <w:ind w:right="67"/>
              <w:rPr>
                <w:sz w:val="20"/>
              </w:rPr>
            </w:pPr>
            <w:r>
              <w:rPr>
                <w:sz w:val="20"/>
              </w:rPr>
              <w:t>2.393</w:t>
            </w:r>
          </w:p>
        </w:tc>
        <w:tc>
          <w:tcPr>
            <w:tcW w:w="1102" w:type="dxa"/>
            <w:tcBorders>
              <w:top w:val="nil"/>
              <w:left w:val="nil"/>
              <w:bottom w:val="nil"/>
              <w:right w:val="nil"/>
            </w:tcBorders>
          </w:tcPr>
          <w:p>
            <w:pPr>
              <w:pStyle w:val="TableParagraph"/>
              <w:spacing w:before="26"/>
              <w:ind w:right="65"/>
              <w:rPr>
                <w:sz w:val="20"/>
              </w:rPr>
            </w:pPr>
            <w:r>
              <w:rPr>
                <w:sz w:val="20"/>
              </w:rPr>
              <w:t>3.986</w:t>
            </w:r>
          </w:p>
        </w:tc>
        <w:tc>
          <w:tcPr>
            <w:tcW w:w="1099" w:type="dxa"/>
            <w:tcBorders>
              <w:top w:val="nil"/>
              <w:left w:val="nil"/>
              <w:bottom w:val="nil"/>
              <w:right w:val="nil"/>
            </w:tcBorders>
          </w:tcPr>
          <w:p>
            <w:pPr>
              <w:pStyle w:val="TableParagraph"/>
              <w:spacing w:before="26"/>
              <w:ind w:right="65"/>
              <w:rPr>
                <w:sz w:val="20"/>
              </w:rPr>
            </w:pPr>
            <w:r>
              <w:rPr>
                <w:sz w:val="20"/>
              </w:rPr>
              <w:t>2.393</w:t>
            </w:r>
          </w:p>
        </w:tc>
        <w:tc>
          <w:tcPr>
            <w:tcW w:w="1100" w:type="dxa"/>
            <w:tcBorders>
              <w:top w:val="nil"/>
              <w:left w:val="nil"/>
              <w:bottom w:val="nil"/>
              <w:right w:val="nil"/>
            </w:tcBorders>
          </w:tcPr>
          <w:p>
            <w:pPr>
              <w:pStyle w:val="TableParagraph"/>
              <w:spacing w:before="26"/>
              <w:ind w:right="65"/>
              <w:rPr>
                <w:sz w:val="20"/>
              </w:rPr>
            </w:pPr>
            <w:r>
              <w:rPr>
                <w:sz w:val="20"/>
              </w:rPr>
              <w:t>2.393</w:t>
            </w:r>
          </w:p>
        </w:tc>
        <w:tc>
          <w:tcPr>
            <w:tcW w:w="1100" w:type="dxa"/>
            <w:tcBorders>
              <w:top w:val="nil"/>
              <w:left w:val="nil"/>
              <w:bottom w:val="nil"/>
              <w:right w:val="nil"/>
            </w:tcBorders>
          </w:tcPr>
          <w:p>
            <w:pPr>
              <w:pStyle w:val="TableParagraph"/>
              <w:spacing w:before="26"/>
              <w:ind w:right="65"/>
              <w:rPr>
                <w:sz w:val="20"/>
              </w:rPr>
            </w:pPr>
            <w:r>
              <w:rPr>
                <w:sz w:val="20"/>
              </w:rPr>
              <w:t>2.393</w:t>
            </w:r>
          </w:p>
        </w:tc>
        <w:tc>
          <w:tcPr>
            <w:tcW w:w="1099" w:type="dxa"/>
            <w:tcBorders>
              <w:top w:val="nil"/>
              <w:left w:val="nil"/>
              <w:bottom w:val="nil"/>
              <w:right w:val="nil"/>
            </w:tcBorders>
          </w:tcPr>
          <w:p>
            <w:pPr>
              <w:pStyle w:val="TableParagraph"/>
              <w:spacing w:before="26"/>
              <w:ind w:right="65"/>
              <w:rPr>
                <w:sz w:val="20"/>
              </w:rPr>
            </w:pPr>
            <w:r>
              <w:rPr>
                <w:sz w:val="20"/>
              </w:rPr>
              <w:t>2.393</w:t>
            </w:r>
          </w:p>
        </w:tc>
        <w:tc>
          <w:tcPr>
            <w:tcW w:w="1102" w:type="dxa"/>
            <w:tcBorders>
              <w:top w:val="nil"/>
              <w:left w:val="nil"/>
              <w:bottom w:val="nil"/>
              <w:right w:val="nil"/>
            </w:tcBorders>
          </w:tcPr>
          <w:p>
            <w:pPr>
              <w:pStyle w:val="TableParagraph"/>
              <w:spacing w:before="26"/>
              <w:ind w:right="67"/>
              <w:rPr>
                <w:sz w:val="20"/>
              </w:rPr>
            </w:pPr>
            <w:r>
              <w:rPr>
                <w:sz w:val="20"/>
              </w:rPr>
              <w:t>2.393</w:t>
            </w:r>
          </w:p>
        </w:tc>
        <w:tc>
          <w:tcPr>
            <w:tcW w:w="1102" w:type="dxa"/>
            <w:tcBorders>
              <w:top w:val="nil"/>
              <w:left w:val="nil"/>
              <w:bottom w:val="nil"/>
              <w:right w:val="nil"/>
            </w:tcBorders>
          </w:tcPr>
          <w:p>
            <w:pPr>
              <w:pStyle w:val="TableParagraph"/>
              <w:spacing w:before="26"/>
              <w:ind w:right="65"/>
              <w:rPr>
                <w:sz w:val="20"/>
              </w:rPr>
            </w:pPr>
            <w:r>
              <w:rPr>
                <w:sz w:val="20"/>
              </w:rPr>
              <w:t>2.393</w:t>
            </w:r>
          </w:p>
        </w:tc>
        <w:tc>
          <w:tcPr>
            <w:tcW w:w="1181" w:type="dxa"/>
            <w:tcBorders>
              <w:top w:val="nil"/>
              <w:left w:val="nil"/>
              <w:bottom w:val="nil"/>
              <w:right w:val="nil"/>
            </w:tcBorders>
          </w:tcPr>
          <w:p>
            <w:pPr>
              <w:pStyle w:val="TableParagraph"/>
              <w:spacing w:before="26"/>
              <w:ind w:right="65"/>
              <w:rPr>
                <w:sz w:val="20"/>
              </w:rPr>
            </w:pPr>
            <w:r>
              <w:rPr>
                <w:sz w:val="20"/>
              </w:rPr>
              <w:t>2.393</w:t>
            </w:r>
          </w:p>
        </w:tc>
        <w:tc>
          <w:tcPr>
            <w:tcW w:w="1179" w:type="dxa"/>
            <w:tcBorders>
              <w:top w:val="nil"/>
              <w:left w:val="nil"/>
              <w:bottom w:val="nil"/>
              <w:right w:val="nil"/>
            </w:tcBorders>
          </w:tcPr>
          <w:p>
            <w:pPr>
              <w:pStyle w:val="TableParagraph"/>
              <w:spacing w:before="26"/>
              <w:ind w:right="62"/>
              <w:rPr>
                <w:sz w:val="20"/>
              </w:rPr>
            </w:pPr>
            <w:r>
              <w:rPr>
                <w:sz w:val="20"/>
              </w:rPr>
              <w:t>2.393</w:t>
            </w:r>
          </w:p>
        </w:tc>
        <w:tc>
          <w:tcPr>
            <w:tcW w:w="1179" w:type="dxa"/>
            <w:tcBorders>
              <w:top w:val="nil"/>
              <w:left w:val="nil"/>
              <w:bottom w:val="nil"/>
              <w:right w:val="nil"/>
            </w:tcBorders>
          </w:tcPr>
          <w:p>
            <w:pPr>
              <w:pStyle w:val="TableParagraph"/>
              <w:spacing w:before="26"/>
              <w:ind w:right="65"/>
              <w:rPr>
                <w:sz w:val="20"/>
              </w:rPr>
            </w:pPr>
            <w:r>
              <w:rPr>
                <w:sz w:val="20"/>
              </w:rPr>
              <w:t>2.393</w:t>
            </w:r>
          </w:p>
        </w:tc>
      </w:tr>
      <w:tr>
        <w:trPr>
          <w:trHeight w:val="300" w:hRule="exact"/>
        </w:trPr>
        <w:tc>
          <w:tcPr>
            <w:tcW w:w="941" w:type="dxa"/>
            <w:tcBorders>
              <w:top w:val="nil"/>
              <w:left w:val="nil"/>
              <w:bottom w:val="nil"/>
              <w:right w:val="nil"/>
            </w:tcBorders>
          </w:tcPr>
          <w:p>
            <w:pPr>
              <w:pStyle w:val="TableParagraph"/>
              <w:spacing w:before="24"/>
              <w:ind w:left="82"/>
              <w:jc w:val="left"/>
              <w:rPr>
                <w:sz w:val="20"/>
              </w:rPr>
            </w:pPr>
            <w:r>
              <w:rPr>
                <w:sz w:val="20"/>
              </w:rPr>
              <w:t>20</w:t>
            </w:r>
          </w:p>
        </w:tc>
        <w:tc>
          <w:tcPr>
            <w:tcW w:w="1105" w:type="dxa"/>
            <w:tcBorders>
              <w:top w:val="nil"/>
              <w:left w:val="nil"/>
              <w:bottom w:val="nil"/>
              <w:right w:val="nil"/>
            </w:tcBorders>
          </w:tcPr>
          <w:p>
            <w:pPr>
              <w:pStyle w:val="TableParagraph"/>
              <w:spacing w:before="24"/>
              <w:ind w:right="65"/>
              <w:rPr>
                <w:sz w:val="20"/>
              </w:rPr>
            </w:pPr>
            <w:r>
              <w:rPr>
                <w:sz w:val="20"/>
              </w:rPr>
              <w:t>2.296</w:t>
            </w:r>
          </w:p>
        </w:tc>
        <w:tc>
          <w:tcPr>
            <w:tcW w:w="1102" w:type="dxa"/>
            <w:tcBorders>
              <w:top w:val="nil"/>
              <w:left w:val="nil"/>
              <w:bottom w:val="nil"/>
              <w:right w:val="nil"/>
            </w:tcBorders>
          </w:tcPr>
          <w:p>
            <w:pPr>
              <w:pStyle w:val="TableParagraph"/>
              <w:spacing w:before="24"/>
              <w:ind w:right="67"/>
              <w:rPr>
                <w:sz w:val="20"/>
              </w:rPr>
            </w:pPr>
            <w:r>
              <w:rPr>
                <w:sz w:val="20"/>
              </w:rPr>
              <w:t>2.296</w:t>
            </w:r>
          </w:p>
        </w:tc>
        <w:tc>
          <w:tcPr>
            <w:tcW w:w="1102" w:type="dxa"/>
            <w:tcBorders>
              <w:top w:val="nil"/>
              <w:left w:val="nil"/>
              <w:bottom w:val="nil"/>
              <w:right w:val="nil"/>
            </w:tcBorders>
          </w:tcPr>
          <w:p>
            <w:pPr>
              <w:pStyle w:val="TableParagraph"/>
              <w:spacing w:before="24"/>
              <w:ind w:right="65"/>
              <w:rPr>
                <w:sz w:val="20"/>
              </w:rPr>
            </w:pPr>
            <w:r>
              <w:rPr>
                <w:sz w:val="20"/>
              </w:rPr>
              <w:t>3.865</w:t>
            </w:r>
          </w:p>
        </w:tc>
        <w:tc>
          <w:tcPr>
            <w:tcW w:w="1099" w:type="dxa"/>
            <w:tcBorders>
              <w:top w:val="nil"/>
              <w:left w:val="nil"/>
              <w:bottom w:val="nil"/>
              <w:right w:val="nil"/>
            </w:tcBorders>
          </w:tcPr>
          <w:p>
            <w:pPr>
              <w:pStyle w:val="TableParagraph"/>
              <w:spacing w:before="24"/>
              <w:ind w:right="65"/>
              <w:rPr>
                <w:sz w:val="20"/>
              </w:rPr>
            </w:pPr>
            <w:r>
              <w:rPr>
                <w:sz w:val="20"/>
              </w:rPr>
              <w:t>2.296</w:t>
            </w:r>
          </w:p>
        </w:tc>
        <w:tc>
          <w:tcPr>
            <w:tcW w:w="1100" w:type="dxa"/>
            <w:tcBorders>
              <w:top w:val="nil"/>
              <w:left w:val="nil"/>
              <w:bottom w:val="nil"/>
              <w:right w:val="nil"/>
            </w:tcBorders>
          </w:tcPr>
          <w:p>
            <w:pPr>
              <w:pStyle w:val="TableParagraph"/>
              <w:spacing w:before="24"/>
              <w:ind w:right="65"/>
              <w:rPr>
                <w:sz w:val="20"/>
              </w:rPr>
            </w:pPr>
            <w:r>
              <w:rPr>
                <w:sz w:val="20"/>
              </w:rPr>
              <w:t>2.296</w:t>
            </w:r>
          </w:p>
        </w:tc>
        <w:tc>
          <w:tcPr>
            <w:tcW w:w="1100" w:type="dxa"/>
            <w:tcBorders>
              <w:top w:val="nil"/>
              <w:left w:val="nil"/>
              <w:bottom w:val="nil"/>
              <w:right w:val="nil"/>
            </w:tcBorders>
          </w:tcPr>
          <w:p>
            <w:pPr>
              <w:pStyle w:val="TableParagraph"/>
              <w:spacing w:before="24"/>
              <w:ind w:right="65"/>
              <w:rPr>
                <w:sz w:val="20"/>
              </w:rPr>
            </w:pPr>
            <w:r>
              <w:rPr>
                <w:sz w:val="20"/>
              </w:rPr>
              <w:t>2.296</w:t>
            </w:r>
          </w:p>
        </w:tc>
        <w:tc>
          <w:tcPr>
            <w:tcW w:w="1099" w:type="dxa"/>
            <w:tcBorders>
              <w:top w:val="nil"/>
              <w:left w:val="nil"/>
              <w:bottom w:val="nil"/>
              <w:right w:val="nil"/>
            </w:tcBorders>
          </w:tcPr>
          <w:p>
            <w:pPr>
              <w:pStyle w:val="TableParagraph"/>
              <w:spacing w:before="24"/>
              <w:ind w:right="65"/>
              <w:rPr>
                <w:sz w:val="20"/>
              </w:rPr>
            </w:pPr>
            <w:r>
              <w:rPr>
                <w:sz w:val="20"/>
              </w:rPr>
              <w:t>2.296</w:t>
            </w:r>
          </w:p>
        </w:tc>
        <w:tc>
          <w:tcPr>
            <w:tcW w:w="1102" w:type="dxa"/>
            <w:tcBorders>
              <w:top w:val="nil"/>
              <w:left w:val="nil"/>
              <w:bottom w:val="nil"/>
              <w:right w:val="nil"/>
            </w:tcBorders>
          </w:tcPr>
          <w:p>
            <w:pPr>
              <w:pStyle w:val="TableParagraph"/>
              <w:spacing w:before="24"/>
              <w:ind w:right="67"/>
              <w:rPr>
                <w:sz w:val="20"/>
              </w:rPr>
            </w:pPr>
            <w:r>
              <w:rPr>
                <w:sz w:val="20"/>
              </w:rPr>
              <w:t>2.296</w:t>
            </w:r>
          </w:p>
        </w:tc>
        <w:tc>
          <w:tcPr>
            <w:tcW w:w="1102" w:type="dxa"/>
            <w:tcBorders>
              <w:top w:val="nil"/>
              <w:left w:val="nil"/>
              <w:bottom w:val="nil"/>
              <w:right w:val="nil"/>
            </w:tcBorders>
          </w:tcPr>
          <w:p>
            <w:pPr>
              <w:pStyle w:val="TableParagraph"/>
              <w:spacing w:before="24"/>
              <w:ind w:right="65"/>
              <w:rPr>
                <w:sz w:val="20"/>
              </w:rPr>
            </w:pPr>
            <w:r>
              <w:rPr>
                <w:sz w:val="20"/>
              </w:rPr>
              <w:t>2.296</w:t>
            </w:r>
          </w:p>
        </w:tc>
        <w:tc>
          <w:tcPr>
            <w:tcW w:w="1181" w:type="dxa"/>
            <w:tcBorders>
              <w:top w:val="nil"/>
              <w:left w:val="nil"/>
              <w:bottom w:val="nil"/>
              <w:right w:val="nil"/>
            </w:tcBorders>
          </w:tcPr>
          <w:p>
            <w:pPr>
              <w:pStyle w:val="TableParagraph"/>
              <w:spacing w:before="24"/>
              <w:ind w:right="65"/>
              <w:rPr>
                <w:sz w:val="20"/>
              </w:rPr>
            </w:pPr>
            <w:r>
              <w:rPr>
                <w:sz w:val="20"/>
              </w:rPr>
              <w:t>2.296</w:t>
            </w:r>
          </w:p>
        </w:tc>
        <w:tc>
          <w:tcPr>
            <w:tcW w:w="1179" w:type="dxa"/>
            <w:tcBorders>
              <w:top w:val="nil"/>
              <w:left w:val="nil"/>
              <w:bottom w:val="nil"/>
              <w:right w:val="nil"/>
            </w:tcBorders>
          </w:tcPr>
          <w:p>
            <w:pPr>
              <w:pStyle w:val="TableParagraph"/>
              <w:spacing w:before="24"/>
              <w:ind w:right="62"/>
              <w:rPr>
                <w:sz w:val="20"/>
              </w:rPr>
            </w:pPr>
            <w:r>
              <w:rPr>
                <w:sz w:val="20"/>
              </w:rPr>
              <w:t>2.296</w:t>
            </w:r>
          </w:p>
        </w:tc>
        <w:tc>
          <w:tcPr>
            <w:tcW w:w="1179" w:type="dxa"/>
            <w:tcBorders>
              <w:top w:val="nil"/>
              <w:left w:val="nil"/>
              <w:bottom w:val="nil"/>
              <w:right w:val="nil"/>
            </w:tcBorders>
          </w:tcPr>
          <w:p>
            <w:pPr>
              <w:pStyle w:val="TableParagraph"/>
              <w:spacing w:before="24"/>
              <w:ind w:right="65"/>
              <w:rPr>
                <w:sz w:val="20"/>
              </w:rPr>
            </w:pPr>
            <w:r>
              <w:rPr>
                <w:sz w:val="20"/>
              </w:rPr>
              <w:t>2.296</w:t>
            </w:r>
          </w:p>
        </w:tc>
      </w:tr>
      <w:tr>
        <w:trPr>
          <w:trHeight w:val="300" w:hRule="exact"/>
        </w:trPr>
        <w:tc>
          <w:tcPr>
            <w:tcW w:w="941" w:type="dxa"/>
            <w:tcBorders>
              <w:top w:val="nil"/>
              <w:left w:val="nil"/>
              <w:bottom w:val="nil"/>
              <w:right w:val="nil"/>
            </w:tcBorders>
          </w:tcPr>
          <w:p>
            <w:pPr>
              <w:pStyle w:val="TableParagraph"/>
              <w:spacing w:before="26"/>
              <w:ind w:left="82"/>
              <w:jc w:val="left"/>
              <w:rPr>
                <w:sz w:val="20"/>
              </w:rPr>
            </w:pPr>
            <w:r>
              <w:rPr>
                <w:sz w:val="20"/>
              </w:rPr>
              <w:t>21</w:t>
            </w:r>
          </w:p>
        </w:tc>
        <w:tc>
          <w:tcPr>
            <w:tcW w:w="1105" w:type="dxa"/>
            <w:tcBorders>
              <w:top w:val="nil"/>
              <w:left w:val="nil"/>
              <w:bottom w:val="nil"/>
              <w:right w:val="nil"/>
            </w:tcBorders>
          </w:tcPr>
          <w:p>
            <w:pPr>
              <w:pStyle w:val="TableParagraph"/>
              <w:spacing w:before="26"/>
              <w:ind w:right="65"/>
              <w:rPr>
                <w:sz w:val="20"/>
              </w:rPr>
            </w:pPr>
            <w:r>
              <w:rPr>
                <w:sz w:val="20"/>
              </w:rPr>
              <w:t>2.393</w:t>
            </w:r>
          </w:p>
        </w:tc>
        <w:tc>
          <w:tcPr>
            <w:tcW w:w="1102" w:type="dxa"/>
            <w:tcBorders>
              <w:top w:val="nil"/>
              <w:left w:val="nil"/>
              <w:bottom w:val="nil"/>
              <w:right w:val="nil"/>
            </w:tcBorders>
          </w:tcPr>
          <w:p>
            <w:pPr>
              <w:pStyle w:val="TableParagraph"/>
              <w:spacing w:before="26"/>
              <w:ind w:right="67"/>
              <w:rPr>
                <w:sz w:val="20"/>
              </w:rPr>
            </w:pPr>
            <w:r>
              <w:rPr>
                <w:sz w:val="20"/>
              </w:rPr>
              <w:t>2.393</w:t>
            </w:r>
          </w:p>
        </w:tc>
        <w:tc>
          <w:tcPr>
            <w:tcW w:w="1102" w:type="dxa"/>
            <w:tcBorders>
              <w:top w:val="nil"/>
              <w:left w:val="nil"/>
              <w:bottom w:val="nil"/>
              <w:right w:val="nil"/>
            </w:tcBorders>
          </w:tcPr>
          <w:p>
            <w:pPr>
              <w:pStyle w:val="TableParagraph"/>
              <w:spacing w:before="26"/>
              <w:ind w:right="65"/>
              <w:rPr>
                <w:sz w:val="20"/>
              </w:rPr>
            </w:pPr>
            <w:r>
              <w:rPr>
                <w:sz w:val="20"/>
              </w:rPr>
              <w:t>3.986</w:t>
            </w:r>
          </w:p>
        </w:tc>
        <w:tc>
          <w:tcPr>
            <w:tcW w:w="1099" w:type="dxa"/>
            <w:tcBorders>
              <w:top w:val="nil"/>
              <w:left w:val="nil"/>
              <w:bottom w:val="nil"/>
              <w:right w:val="nil"/>
            </w:tcBorders>
          </w:tcPr>
          <w:p>
            <w:pPr>
              <w:pStyle w:val="TableParagraph"/>
              <w:spacing w:before="26"/>
              <w:ind w:right="65"/>
              <w:rPr>
                <w:sz w:val="20"/>
              </w:rPr>
            </w:pPr>
            <w:r>
              <w:rPr>
                <w:sz w:val="20"/>
              </w:rPr>
              <w:t>2.393</w:t>
            </w:r>
          </w:p>
        </w:tc>
        <w:tc>
          <w:tcPr>
            <w:tcW w:w="1100" w:type="dxa"/>
            <w:tcBorders>
              <w:top w:val="nil"/>
              <w:left w:val="nil"/>
              <w:bottom w:val="nil"/>
              <w:right w:val="nil"/>
            </w:tcBorders>
          </w:tcPr>
          <w:p>
            <w:pPr>
              <w:pStyle w:val="TableParagraph"/>
              <w:spacing w:before="26"/>
              <w:ind w:right="65"/>
              <w:rPr>
                <w:sz w:val="20"/>
              </w:rPr>
            </w:pPr>
            <w:r>
              <w:rPr>
                <w:sz w:val="20"/>
              </w:rPr>
              <w:t>2.393</w:t>
            </w:r>
          </w:p>
        </w:tc>
        <w:tc>
          <w:tcPr>
            <w:tcW w:w="1100" w:type="dxa"/>
            <w:tcBorders>
              <w:top w:val="nil"/>
              <w:left w:val="nil"/>
              <w:bottom w:val="nil"/>
              <w:right w:val="nil"/>
            </w:tcBorders>
          </w:tcPr>
          <w:p>
            <w:pPr>
              <w:pStyle w:val="TableParagraph"/>
              <w:spacing w:before="26"/>
              <w:ind w:right="65"/>
              <w:rPr>
                <w:sz w:val="20"/>
              </w:rPr>
            </w:pPr>
            <w:r>
              <w:rPr>
                <w:sz w:val="20"/>
              </w:rPr>
              <w:t>2.393</w:t>
            </w:r>
          </w:p>
        </w:tc>
        <w:tc>
          <w:tcPr>
            <w:tcW w:w="1099" w:type="dxa"/>
            <w:tcBorders>
              <w:top w:val="nil"/>
              <w:left w:val="nil"/>
              <w:bottom w:val="nil"/>
              <w:right w:val="nil"/>
            </w:tcBorders>
          </w:tcPr>
          <w:p>
            <w:pPr>
              <w:pStyle w:val="TableParagraph"/>
              <w:spacing w:before="26"/>
              <w:ind w:right="65"/>
              <w:rPr>
                <w:sz w:val="20"/>
              </w:rPr>
            </w:pPr>
            <w:r>
              <w:rPr>
                <w:sz w:val="20"/>
              </w:rPr>
              <w:t>2.393</w:t>
            </w:r>
          </w:p>
        </w:tc>
        <w:tc>
          <w:tcPr>
            <w:tcW w:w="1102" w:type="dxa"/>
            <w:tcBorders>
              <w:top w:val="nil"/>
              <w:left w:val="nil"/>
              <w:bottom w:val="nil"/>
              <w:right w:val="nil"/>
            </w:tcBorders>
          </w:tcPr>
          <w:p>
            <w:pPr>
              <w:pStyle w:val="TableParagraph"/>
              <w:spacing w:before="26"/>
              <w:ind w:right="67"/>
              <w:rPr>
                <w:sz w:val="20"/>
              </w:rPr>
            </w:pPr>
            <w:r>
              <w:rPr>
                <w:sz w:val="20"/>
              </w:rPr>
              <w:t>2.393</w:t>
            </w:r>
          </w:p>
        </w:tc>
        <w:tc>
          <w:tcPr>
            <w:tcW w:w="1102" w:type="dxa"/>
            <w:tcBorders>
              <w:top w:val="nil"/>
              <w:left w:val="nil"/>
              <w:bottom w:val="nil"/>
              <w:right w:val="nil"/>
            </w:tcBorders>
          </w:tcPr>
          <w:p>
            <w:pPr>
              <w:pStyle w:val="TableParagraph"/>
              <w:spacing w:before="26"/>
              <w:ind w:right="65"/>
              <w:rPr>
                <w:sz w:val="20"/>
              </w:rPr>
            </w:pPr>
            <w:r>
              <w:rPr>
                <w:sz w:val="20"/>
              </w:rPr>
              <w:t>2.393</w:t>
            </w:r>
          </w:p>
        </w:tc>
        <w:tc>
          <w:tcPr>
            <w:tcW w:w="1181" w:type="dxa"/>
            <w:tcBorders>
              <w:top w:val="nil"/>
              <w:left w:val="nil"/>
              <w:bottom w:val="nil"/>
              <w:right w:val="nil"/>
            </w:tcBorders>
          </w:tcPr>
          <w:p>
            <w:pPr>
              <w:pStyle w:val="TableParagraph"/>
              <w:spacing w:before="26"/>
              <w:ind w:right="65"/>
              <w:rPr>
                <w:sz w:val="20"/>
              </w:rPr>
            </w:pPr>
            <w:r>
              <w:rPr>
                <w:sz w:val="20"/>
              </w:rPr>
              <w:t>2.393</w:t>
            </w:r>
          </w:p>
        </w:tc>
        <w:tc>
          <w:tcPr>
            <w:tcW w:w="1179" w:type="dxa"/>
            <w:tcBorders>
              <w:top w:val="nil"/>
              <w:left w:val="nil"/>
              <w:bottom w:val="nil"/>
              <w:right w:val="nil"/>
            </w:tcBorders>
          </w:tcPr>
          <w:p>
            <w:pPr>
              <w:pStyle w:val="TableParagraph"/>
              <w:spacing w:before="26"/>
              <w:ind w:right="62"/>
              <w:rPr>
                <w:sz w:val="20"/>
              </w:rPr>
            </w:pPr>
            <w:r>
              <w:rPr>
                <w:sz w:val="20"/>
              </w:rPr>
              <w:t>2.393</w:t>
            </w:r>
          </w:p>
        </w:tc>
        <w:tc>
          <w:tcPr>
            <w:tcW w:w="1179" w:type="dxa"/>
            <w:tcBorders>
              <w:top w:val="nil"/>
              <w:left w:val="nil"/>
              <w:bottom w:val="nil"/>
              <w:right w:val="nil"/>
            </w:tcBorders>
          </w:tcPr>
          <w:p>
            <w:pPr>
              <w:pStyle w:val="TableParagraph"/>
              <w:spacing w:before="26"/>
              <w:ind w:right="65"/>
              <w:rPr>
                <w:sz w:val="20"/>
              </w:rPr>
            </w:pPr>
            <w:r>
              <w:rPr>
                <w:sz w:val="20"/>
              </w:rPr>
              <w:t>2.393</w:t>
            </w:r>
          </w:p>
        </w:tc>
      </w:tr>
      <w:tr>
        <w:trPr>
          <w:trHeight w:val="300" w:hRule="exact"/>
        </w:trPr>
        <w:tc>
          <w:tcPr>
            <w:tcW w:w="941" w:type="dxa"/>
            <w:tcBorders>
              <w:top w:val="nil"/>
              <w:left w:val="nil"/>
              <w:bottom w:val="nil"/>
              <w:right w:val="nil"/>
            </w:tcBorders>
          </w:tcPr>
          <w:p>
            <w:pPr>
              <w:pStyle w:val="TableParagraph"/>
              <w:ind w:left="82"/>
              <w:jc w:val="left"/>
              <w:rPr>
                <w:sz w:val="20"/>
              </w:rPr>
            </w:pPr>
            <w:r>
              <w:rPr>
                <w:sz w:val="20"/>
              </w:rPr>
              <w:t>22</w:t>
            </w:r>
          </w:p>
        </w:tc>
        <w:tc>
          <w:tcPr>
            <w:tcW w:w="1105" w:type="dxa"/>
            <w:tcBorders>
              <w:top w:val="nil"/>
              <w:left w:val="nil"/>
              <w:bottom w:val="nil"/>
              <w:right w:val="nil"/>
            </w:tcBorders>
          </w:tcPr>
          <w:p>
            <w:pPr>
              <w:pStyle w:val="TableParagraph"/>
              <w:ind w:right="65"/>
              <w:rPr>
                <w:sz w:val="20"/>
              </w:rPr>
            </w:pPr>
            <w:r>
              <w:rPr>
                <w:sz w:val="20"/>
              </w:rPr>
              <w:t>2.296</w:t>
            </w:r>
          </w:p>
        </w:tc>
        <w:tc>
          <w:tcPr>
            <w:tcW w:w="1102" w:type="dxa"/>
            <w:tcBorders>
              <w:top w:val="nil"/>
              <w:left w:val="nil"/>
              <w:bottom w:val="nil"/>
              <w:right w:val="nil"/>
            </w:tcBorders>
          </w:tcPr>
          <w:p>
            <w:pPr>
              <w:pStyle w:val="TableParagraph"/>
              <w:ind w:right="67"/>
              <w:rPr>
                <w:sz w:val="20"/>
              </w:rPr>
            </w:pPr>
            <w:r>
              <w:rPr>
                <w:sz w:val="20"/>
              </w:rPr>
              <w:t>2.296</w:t>
            </w:r>
          </w:p>
        </w:tc>
        <w:tc>
          <w:tcPr>
            <w:tcW w:w="1102" w:type="dxa"/>
            <w:tcBorders>
              <w:top w:val="nil"/>
              <w:left w:val="nil"/>
              <w:bottom w:val="nil"/>
              <w:right w:val="nil"/>
            </w:tcBorders>
          </w:tcPr>
          <w:p>
            <w:pPr>
              <w:pStyle w:val="TableParagraph"/>
              <w:ind w:right="65"/>
              <w:rPr>
                <w:sz w:val="20"/>
              </w:rPr>
            </w:pPr>
            <w:r>
              <w:rPr>
                <w:sz w:val="20"/>
              </w:rPr>
              <w:t>3.865</w:t>
            </w:r>
          </w:p>
        </w:tc>
        <w:tc>
          <w:tcPr>
            <w:tcW w:w="1099" w:type="dxa"/>
            <w:tcBorders>
              <w:top w:val="nil"/>
              <w:left w:val="nil"/>
              <w:bottom w:val="nil"/>
              <w:right w:val="nil"/>
            </w:tcBorders>
          </w:tcPr>
          <w:p>
            <w:pPr>
              <w:pStyle w:val="TableParagraph"/>
              <w:ind w:right="65"/>
              <w:rPr>
                <w:sz w:val="20"/>
              </w:rPr>
            </w:pPr>
            <w:r>
              <w:rPr>
                <w:sz w:val="20"/>
              </w:rPr>
              <w:t>2.296</w:t>
            </w:r>
          </w:p>
        </w:tc>
        <w:tc>
          <w:tcPr>
            <w:tcW w:w="1100" w:type="dxa"/>
            <w:tcBorders>
              <w:top w:val="nil"/>
              <w:left w:val="nil"/>
              <w:bottom w:val="nil"/>
              <w:right w:val="nil"/>
            </w:tcBorders>
          </w:tcPr>
          <w:p>
            <w:pPr>
              <w:pStyle w:val="TableParagraph"/>
              <w:ind w:right="65"/>
              <w:rPr>
                <w:sz w:val="20"/>
              </w:rPr>
            </w:pPr>
            <w:r>
              <w:rPr>
                <w:sz w:val="20"/>
              </w:rPr>
              <w:t>2.296</w:t>
            </w:r>
          </w:p>
        </w:tc>
        <w:tc>
          <w:tcPr>
            <w:tcW w:w="1100" w:type="dxa"/>
            <w:tcBorders>
              <w:top w:val="nil"/>
              <w:left w:val="nil"/>
              <w:bottom w:val="nil"/>
              <w:right w:val="nil"/>
            </w:tcBorders>
          </w:tcPr>
          <w:p>
            <w:pPr>
              <w:pStyle w:val="TableParagraph"/>
              <w:ind w:right="65"/>
              <w:rPr>
                <w:sz w:val="20"/>
              </w:rPr>
            </w:pPr>
            <w:r>
              <w:rPr>
                <w:sz w:val="20"/>
              </w:rPr>
              <w:t>2.296</w:t>
            </w:r>
          </w:p>
        </w:tc>
        <w:tc>
          <w:tcPr>
            <w:tcW w:w="1099" w:type="dxa"/>
            <w:tcBorders>
              <w:top w:val="nil"/>
              <w:left w:val="nil"/>
              <w:bottom w:val="nil"/>
              <w:right w:val="nil"/>
            </w:tcBorders>
          </w:tcPr>
          <w:p>
            <w:pPr>
              <w:pStyle w:val="TableParagraph"/>
              <w:ind w:right="65"/>
              <w:rPr>
                <w:sz w:val="20"/>
              </w:rPr>
            </w:pPr>
            <w:r>
              <w:rPr>
                <w:sz w:val="20"/>
              </w:rPr>
              <w:t>2.296</w:t>
            </w:r>
          </w:p>
        </w:tc>
        <w:tc>
          <w:tcPr>
            <w:tcW w:w="1102" w:type="dxa"/>
            <w:tcBorders>
              <w:top w:val="nil"/>
              <w:left w:val="nil"/>
              <w:bottom w:val="nil"/>
              <w:right w:val="nil"/>
            </w:tcBorders>
          </w:tcPr>
          <w:p>
            <w:pPr>
              <w:pStyle w:val="TableParagraph"/>
              <w:ind w:right="67"/>
              <w:rPr>
                <w:sz w:val="20"/>
              </w:rPr>
            </w:pPr>
            <w:r>
              <w:rPr>
                <w:sz w:val="20"/>
              </w:rPr>
              <w:t>2.296</w:t>
            </w:r>
          </w:p>
        </w:tc>
        <w:tc>
          <w:tcPr>
            <w:tcW w:w="1102" w:type="dxa"/>
            <w:tcBorders>
              <w:top w:val="nil"/>
              <w:left w:val="nil"/>
              <w:bottom w:val="nil"/>
              <w:right w:val="nil"/>
            </w:tcBorders>
          </w:tcPr>
          <w:p>
            <w:pPr>
              <w:pStyle w:val="TableParagraph"/>
              <w:ind w:right="65"/>
              <w:rPr>
                <w:sz w:val="20"/>
              </w:rPr>
            </w:pPr>
            <w:r>
              <w:rPr>
                <w:sz w:val="20"/>
              </w:rPr>
              <w:t>2.296</w:t>
            </w:r>
          </w:p>
        </w:tc>
        <w:tc>
          <w:tcPr>
            <w:tcW w:w="1181" w:type="dxa"/>
            <w:tcBorders>
              <w:top w:val="nil"/>
              <w:left w:val="nil"/>
              <w:bottom w:val="nil"/>
              <w:right w:val="nil"/>
            </w:tcBorders>
          </w:tcPr>
          <w:p>
            <w:pPr>
              <w:pStyle w:val="TableParagraph"/>
              <w:ind w:right="65"/>
              <w:rPr>
                <w:sz w:val="20"/>
              </w:rPr>
            </w:pPr>
            <w:r>
              <w:rPr>
                <w:sz w:val="20"/>
              </w:rPr>
              <w:t>2.296</w:t>
            </w:r>
          </w:p>
        </w:tc>
        <w:tc>
          <w:tcPr>
            <w:tcW w:w="1179" w:type="dxa"/>
            <w:tcBorders>
              <w:top w:val="nil"/>
              <w:left w:val="nil"/>
              <w:bottom w:val="nil"/>
              <w:right w:val="nil"/>
            </w:tcBorders>
          </w:tcPr>
          <w:p>
            <w:pPr>
              <w:pStyle w:val="TableParagraph"/>
              <w:ind w:right="62"/>
              <w:rPr>
                <w:sz w:val="20"/>
              </w:rPr>
            </w:pPr>
            <w:r>
              <w:rPr>
                <w:sz w:val="20"/>
              </w:rPr>
              <w:t>2.296</w:t>
            </w:r>
          </w:p>
        </w:tc>
        <w:tc>
          <w:tcPr>
            <w:tcW w:w="1179" w:type="dxa"/>
            <w:tcBorders>
              <w:top w:val="nil"/>
              <w:left w:val="nil"/>
              <w:bottom w:val="nil"/>
              <w:right w:val="nil"/>
            </w:tcBorders>
          </w:tcPr>
          <w:p>
            <w:pPr>
              <w:pStyle w:val="TableParagraph"/>
              <w:ind w:right="65"/>
              <w:rPr>
                <w:sz w:val="20"/>
              </w:rPr>
            </w:pPr>
            <w:r>
              <w:rPr>
                <w:sz w:val="20"/>
              </w:rPr>
              <w:t>2.296</w:t>
            </w:r>
          </w:p>
        </w:tc>
      </w:tr>
      <w:tr>
        <w:trPr>
          <w:trHeight w:val="300" w:hRule="exact"/>
        </w:trPr>
        <w:tc>
          <w:tcPr>
            <w:tcW w:w="941" w:type="dxa"/>
            <w:tcBorders>
              <w:top w:val="nil"/>
              <w:left w:val="nil"/>
              <w:bottom w:val="nil"/>
              <w:right w:val="nil"/>
            </w:tcBorders>
          </w:tcPr>
          <w:p>
            <w:pPr>
              <w:pStyle w:val="TableParagraph"/>
              <w:spacing w:before="26"/>
              <w:ind w:left="82"/>
              <w:jc w:val="left"/>
              <w:rPr>
                <w:sz w:val="20"/>
              </w:rPr>
            </w:pPr>
            <w:r>
              <w:rPr>
                <w:sz w:val="20"/>
              </w:rPr>
              <w:t>23</w:t>
            </w:r>
          </w:p>
        </w:tc>
        <w:tc>
          <w:tcPr>
            <w:tcW w:w="1105" w:type="dxa"/>
            <w:tcBorders>
              <w:top w:val="nil"/>
              <w:left w:val="nil"/>
              <w:bottom w:val="nil"/>
              <w:right w:val="nil"/>
            </w:tcBorders>
          </w:tcPr>
          <w:p>
            <w:pPr>
              <w:pStyle w:val="TableParagraph"/>
              <w:spacing w:before="26"/>
              <w:ind w:right="65"/>
              <w:rPr>
                <w:sz w:val="20"/>
              </w:rPr>
            </w:pPr>
            <w:r>
              <w:rPr>
                <w:sz w:val="20"/>
              </w:rPr>
              <w:t>2.393</w:t>
            </w:r>
          </w:p>
        </w:tc>
        <w:tc>
          <w:tcPr>
            <w:tcW w:w="1102" w:type="dxa"/>
            <w:tcBorders>
              <w:top w:val="nil"/>
              <w:left w:val="nil"/>
              <w:bottom w:val="nil"/>
              <w:right w:val="nil"/>
            </w:tcBorders>
          </w:tcPr>
          <w:p>
            <w:pPr>
              <w:pStyle w:val="TableParagraph"/>
              <w:spacing w:before="26"/>
              <w:ind w:right="67"/>
              <w:rPr>
                <w:sz w:val="20"/>
              </w:rPr>
            </w:pPr>
            <w:r>
              <w:rPr>
                <w:sz w:val="20"/>
              </w:rPr>
              <w:t>2.393</w:t>
            </w:r>
          </w:p>
        </w:tc>
        <w:tc>
          <w:tcPr>
            <w:tcW w:w="1102" w:type="dxa"/>
            <w:tcBorders>
              <w:top w:val="nil"/>
              <w:left w:val="nil"/>
              <w:bottom w:val="nil"/>
              <w:right w:val="nil"/>
            </w:tcBorders>
          </w:tcPr>
          <w:p>
            <w:pPr>
              <w:pStyle w:val="TableParagraph"/>
              <w:spacing w:before="26"/>
              <w:ind w:right="65"/>
              <w:rPr>
                <w:sz w:val="20"/>
              </w:rPr>
            </w:pPr>
            <w:r>
              <w:rPr>
                <w:sz w:val="20"/>
              </w:rPr>
              <w:t>3.986</w:t>
            </w:r>
          </w:p>
        </w:tc>
        <w:tc>
          <w:tcPr>
            <w:tcW w:w="1099" w:type="dxa"/>
            <w:tcBorders>
              <w:top w:val="nil"/>
              <w:left w:val="nil"/>
              <w:bottom w:val="nil"/>
              <w:right w:val="nil"/>
            </w:tcBorders>
          </w:tcPr>
          <w:p>
            <w:pPr>
              <w:pStyle w:val="TableParagraph"/>
              <w:spacing w:before="26"/>
              <w:ind w:right="65"/>
              <w:rPr>
                <w:sz w:val="20"/>
              </w:rPr>
            </w:pPr>
            <w:r>
              <w:rPr>
                <w:sz w:val="20"/>
              </w:rPr>
              <w:t>2.393</w:t>
            </w:r>
          </w:p>
        </w:tc>
        <w:tc>
          <w:tcPr>
            <w:tcW w:w="1100" w:type="dxa"/>
            <w:tcBorders>
              <w:top w:val="nil"/>
              <w:left w:val="nil"/>
              <w:bottom w:val="nil"/>
              <w:right w:val="nil"/>
            </w:tcBorders>
          </w:tcPr>
          <w:p>
            <w:pPr>
              <w:pStyle w:val="TableParagraph"/>
              <w:spacing w:before="26"/>
              <w:ind w:right="65"/>
              <w:rPr>
                <w:sz w:val="20"/>
              </w:rPr>
            </w:pPr>
            <w:r>
              <w:rPr>
                <w:sz w:val="20"/>
              </w:rPr>
              <w:t>2.393</w:t>
            </w:r>
          </w:p>
        </w:tc>
        <w:tc>
          <w:tcPr>
            <w:tcW w:w="1100" w:type="dxa"/>
            <w:tcBorders>
              <w:top w:val="nil"/>
              <w:left w:val="nil"/>
              <w:bottom w:val="nil"/>
              <w:right w:val="nil"/>
            </w:tcBorders>
          </w:tcPr>
          <w:p>
            <w:pPr>
              <w:pStyle w:val="TableParagraph"/>
              <w:spacing w:before="26"/>
              <w:ind w:right="65"/>
              <w:rPr>
                <w:sz w:val="20"/>
              </w:rPr>
            </w:pPr>
            <w:r>
              <w:rPr>
                <w:sz w:val="20"/>
              </w:rPr>
              <w:t>2.393</w:t>
            </w:r>
          </w:p>
        </w:tc>
        <w:tc>
          <w:tcPr>
            <w:tcW w:w="1099" w:type="dxa"/>
            <w:tcBorders>
              <w:top w:val="nil"/>
              <w:left w:val="nil"/>
              <w:bottom w:val="nil"/>
              <w:right w:val="nil"/>
            </w:tcBorders>
          </w:tcPr>
          <w:p>
            <w:pPr>
              <w:pStyle w:val="TableParagraph"/>
              <w:spacing w:before="26"/>
              <w:ind w:right="65"/>
              <w:rPr>
                <w:sz w:val="20"/>
              </w:rPr>
            </w:pPr>
            <w:r>
              <w:rPr>
                <w:sz w:val="20"/>
              </w:rPr>
              <w:t>2.393</w:t>
            </w:r>
          </w:p>
        </w:tc>
        <w:tc>
          <w:tcPr>
            <w:tcW w:w="1102" w:type="dxa"/>
            <w:tcBorders>
              <w:top w:val="nil"/>
              <w:left w:val="nil"/>
              <w:bottom w:val="nil"/>
              <w:right w:val="nil"/>
            </w:tcBorders>
          </w:tcPr>
          <w:p>
            <w:pPr>
              <w:pStyle w:val="TableParagraph"/>
              <w:spacing w:before="26"/>
              <w:ind w:right="67"/>
              <w:rPr>
                <w:sz w:val="20"/>
              </w:rPr>
            </w:pPr>
            <w:r>
              <w:rPr>
                <w:sz w:val="20"/>
              </w:rPr>
              <w:t>2.393</w:t>
            </w:r>
          </w:p>
        </w:tc>
        <w:tc>
          <w:tcPr>
            <w:tcW w:w="1102" w:type="dxa"/>
            <w:tcBorders>
              <w:top w:val="nil"/>
              <w:left w:val="nil"/>
              <w:bottom w:val="nil"/>
              <w:right w:val="nil"/>
            </w:tcBorders>
          </w:tcPr>
          <w:p>
            <w:pPr>
              <w:pStyle w:val="TableParagraph"/>
              <w:spacing w:before="26"/>
              <w:ind w:right="65"/>
              <w:rPr>
                <w:sz w:val="20"/>
              </w:rPr>
            </w:pPr>
            <w:r>
              <w:rPr>
                <w:sz w:val="20"/>
              </w:rPr>
              <w:t>2.393</w:t>
            </w:r>
          </w:p>
        </w:tc>
        <w:tc>
          <w:tcPr>
            <w:tcW w:w="1181" w:type="dxa"/>
            <w:tcBorders>
              <w:top w:val="nil"/>
              <w:left w:val="nil"/>
              <w:bottom w:val="nil"/>
              <w:right w:val="nil"/>
            </w:tcBorders>
          </w:tcPr>
          <w:p>
            <w:pPr>
              <w:pStyle w:val="TableParagraph"/>
              <w:spacing w:before="26"/>
              <w:ind w:right="65"/>
              <w:rPr>
                <w:sz w:val="20"/>
              </w:rPr>
            </w:pPr>
            <w:r>
              <w:rPr>
                <w:sz w:val="20"/>
              </w:rPr>
              <w:t>2.393</w:t>
            </w:r>
          </w:p>
        </w:tc>
        <w:tc>
          <w:tcPr>
            <w:tcW w:w="1179" w:type="dxa"/>
            <w:tcBorders>
              <w:top w:val="nil"/>
              <w:left w:val="nil"/>
              <w:bottom w:val="nil"/>
              <w:right w:val="nil"/>
            </w:tcBorders>
          </w:tcPr>
          <w:p>
            <w:pPr>
              <w:pStyle w:val="TableParagraph"/>
              <w:spacing w:before="26"/>
              <w:ind w:right="62"/>
              <w:rPr>
                <w:sz w:val="20"/>
              </w:rPr>
            </w:pPr>
            <w:r>
              <w:rPr>
                <w:sz w:val="20"/>
              </w:rPr>
              <w:t>2.393</w:t>
            </w:r>
          </w:p>
        </w:tc>
        <w:tc>
          <w:tcPr>
            <w:tcW w:w="1179" w:type="dxa"/>
            <w:tcBorders>
              <w:top w:val="nil"/>
              <w:left w:val="nil"/>
              <w:bottom w:val="nil"/>
              <w:right w:val="nil"/>
            </w:tcBorders>
          </w:tcPr>
          <w:p>
            <w:pPr>
              <w:pStyle w:val="TableParagraph"/>
              <w:spacing w:before="26"/>
              <w:ind w:right="65"/>
              <w:rPr>
                <w:sz w:val="20"/>
              </w:rPr>
            </w:pPr>
            <w:r>
              <w:rPr>
                <w:sz w:val="20"/>
              </w:rPr>
              <w:t>2.393</w:t>
            </w:r>
          </w:p>
        </w:tc>
      </w:tr>
      <w:tr>
        <w:trPr>
          <w:trHeight w:val="300" w:hRule="exact"/>
        </w:trPr>
        <w:tc>
          <w:tcPr>
            <w:tcW w:w="941" w:type="dxa"/>
            <w:tcBorders>
              <w:top w:val="nil"/>
              <w:left w:val="nil"/>
              <w:bottom w:val="nil"/>
              <w:right w:val="nil"/>
            </w:tcBorders>
          </w:tcPr>
          <w:p>
            <w:pPr>
              <w:pStyle w:val="TableParagraph"/>
              <w:ind w:left="82"/>
              <w:jc w:val="left"/>
              <w:rPr>
                <w:sz w:val="20"/>
              </w:rPr>
            </w:pPr>
            <w:r>
              <w:rPr>
                <w:sz w:val="20"/>
              </w:rPr>
              <w:t>24</w:t>
            </w:r>
          </w:p>
        </w:tc>
        <w:tc>
          <w:tcPr>
            <w:tcW w:w="1105" w:type="dxa"/>
            <w:tcBorders>
              <w:top w:val="nil"/>
              <w:left w:val="nil"/>
              <w:bottom w:val="nil"/>
              <w:right w:val="nil"/>
            </w:tcBorders>
          </w:tcPr>
          <w:p>
            <w:pPr>
              <w:pStyle w:val="TableParagraph"/>
              <w:ind w:right="65"/>
              <w:rPr>
                <w:sz w:val="20"/>
              </w:rPr>
            </w:pPr>
            <w:r>
              <w:rPr>
                <w:sz w:val="20"/>
              </w:rPr>
              <w:t>2.296</w:t>
            </w:r>
          </w:p>
        </w:tc>
        <w:tc>
          <w:tcPr>
            <w:tcW w:w="1102" w:type="dxa"/>
            <w:tcBorders>
              <w:top w:val="nil"/>
              <w:left w:val="nil"/>
              <w:bottom w:val="nil"/>
              <w:right w:val="nil"/>
            </w:tcBorders>
          </w:tcPr>
          <w:p>
            <w:pPr>
              <w:pStyle w:val="TableParagraph"/>
              <w:ind w:right="67"/>
              <w:rPr>
                <w:sz w:val="20"/>
              </w:rPr>
            </w:pPr>
            <w:r>
              <w:rPr>
                <w:sz w:val="20"/>
              </w:rPr>
              <w:t>2.296</w:t>
            </w:r>
          </w:p>
        </w:tc>
        <w:tc>
          <w:tcPr>
            <w:tcW w:w="1102" w:type="dxa"/>
            <w:tcBorders>
              <w:top w:val="nil"/>
              <w:left w:val="nil"/>
              <w:bottom w:val="nil"/>
              <w:right w:val="nil"/>
            </w:tcBorders>
          </w:tcPr>
          <w:p>
            <w:pPr>
              <w:pStyle w:val="TableParagraph"/>
              <w:ind w:right="65"/>
              <w:rPr>
                <w:sz w:val="20"/>
              </w:rPr>
            </w:pPr>
            <w:r>
              <w:rPr>
                <w:sz w:val="20"/>
              </w:rPr>
              <w:t>3.865</w:t>
            </w:r>
          </w:p>
        </w:tc>
        <w:tc>
          <w:tcPr>
            <w:tcW w:w="1099" w:type="dxa"/>
            <w:tcBorders>
              <w:top w:val="nil"/>
              <w:left w:val="nil"/>
              <w:bottom w:val="nil"/>
              <w:right w:val="nil"/>
            </w:tcBorders>
          </w:tcPr>
          <w:p>
            <w:pPr>
              <w:pStyle w:val="TableParagraph"/>
              <w:ind w:right="65"/>
              <w:rPr>
                <w:sz w:val="20"/>
              </w:rPr>
            </w:pPr>
            <w:r>
              <w:rPr>
                <w:sz w:val="20"/>
              </w:rPr>
              <w:t>2.296</w:t>
            </w:r>
          </w:p>
        </w:tc>
        <w:tc>
          <w:tcPr>
            <w:tcW w:w="1100" w:type="dxa"/>
            <w:tcBorders>
              <w:top w:val="nil"/>
              <w:left w:val="nil"/>
              <w:bottom w:val="nil"/>
              <w:right w:val="nil"/>
            </w:tcBorders>
          </w:tcPr>
          <w:p>
            <w:pPr>
              <w:pStyle w:val="TableParagraph"/>
              <w:ind w:right="65"/>
              <w:rPr>
                <w:sz w:val="20"/>
              </w:rPr>
            </w:pPr>
            <w:r>
              <w:rPr>
                <w:sz w:val="20"/>
              </w:rPr>
              <w:t>2.296</w:t>
            </w:r>
          </w:p>
        </w:tc>
        <w:tc>
          <w:tcPr>
            <w:tcW w:w="1100" w:type="dxa"/>
            <w:tcBorders>
              <w:top w:val="nil"/>
              <w:left w:val="nil"/>
              <w:bottom w:val="nil"/>
              <w:right w:val="nil"/>
            </w:tcBorders>
          </w:tcPr>
          <w:p>
            <w:pPr>
              <w:pStyle w:val="TableParagraph"/>
              <w:ind w:right="65"/>
              <w:rPr>
                <w:sz w:val="20"/>
              </w:rPr>
            </w:pPr>
            <w:r>
              <w:rPr>
                <w:sz w:val="20"/>
              </w:rPr>
              <w:t>2.296</w:t>
            </w:r>
          </w:p>
        </w:tc>
        <w:tc>
          <w:tcPr>
            <w:tcW w:w="1099" w:type="dxa"/>
            <w:tcBorders>
              <w:top w:val="nil"/>
              <w:left w:val="nil"/>
              <w:bottom w:val="nil"/>
              <w:right w:val="nil"/>
            </w:tcBorders>
          </w:tcPr>
          <w:p>
            <w:pPr>
              <w:pStyle w:val="TableParagraph"/>
              <w:ind w:right="65"/>
              <w:rPr>
                <w:sz w:val="20"/>
              </w:rPr>
            </w:pPr>
            <w:r>
              <w:rPr>
                <w:sz w:val="20"/>
              </w:rPr>
              <w:t>2.296</w:t>
            </w:r>
          </w:p>
        </w:tc>
        <w:tc>
          <w:tcPr>
            <w:tcW w:w="1102" w:type="dxa"/>
            <w:tcBorders>
              <w:top w:val="nil"/>
              <w:left w:val="nil"/>
              <w:bottom w:val="nil"/>
              <w:right w:val="nil"/>
            </w:tcBorders>
          </w:tcPr>
          <w:p>
            <w:pPr>
              <w:pStyle w:val="TableParagraph"/>
              <w:ind w:right="67"/>
              <w:rPr>
                <w:sz w:val="20"/>
              </w:rPr>
            </w:pPr>
            <w:r>
              <w:rPr>
                <w:sz w:val="20"/>
              </w:rPr>
              <w:t>2.296</w:t>
            </w:r>
          </w:p>
        </w:tc>
        <w:tc>
          <w:tcPr>
            <w:tcW w:w="1102" w:type="dxa"/>
            <w:tcBorders>
              <w:top w:val="nil"/>
              <w:left w:val="nil"/>
              <w:bottom w:val="nil"/>
              <w:right w:val="nil"/>
            </w:tcBorders>
          </w:tcPr>
          <w:p>
            <w:pPr>
              <w:pStyle w:val="TableParagraph"/>
              <w:ind w:right="65"/>
              <w:rPr>
                <w:sz w:val="20"/>
              </w:rPr>
            </w:pPr>
            <w:r>
              <w:rPr>
                <w:sz w:val="20"/>
              </w:rPr>
              <w:t>2.296</w:t>
            </w:r>
          </w:p>
        </w:tc>
        <w:tc>
          <w:tcPr>
            <w:tcW w:w="1181" w:type="dxa"/>
            <w:tcBorders>
              <w:top w:val="nil"/>
              <w:left w:val="nil"/>
              <w:bottom w:val="nil"/>
              <w:right w:val="nil"/>
            </w:tcBorders>
          </w:tcPr>
          <w:p>
            <w:pPr>
              <w:pStyle w:val="TableParagraph"/>
              <w:ind w:right="65"/>
              <w:rPr>
                <w:sz w:val="20"/>
              </w:rPr>
            </w:pPr>
            <w:r>
              <w:rPr>
                <w:sz w:val="20"/>
              </w:rPr>
              <w:t>2.296</w:t>
            </w:r>
          </w:p>
        </w:tc>
        <w:tc>
          <w:tcPr>
            <w:tcW w:w="1179" w:type="dxa"/>
            <w:tcBorders>
              <w:top w:val="nil"/>
              <w:left w:val="nil"/>
              <w:bottom w:val="nil"/>
              <w:right w:val="nil"/>
            </w:tcBorders>
          </w:tcPr>
          <w:p>
            <w:pPr>
              <w:pStyle w:val="TableParagraph"/>
              <w:ind w:right="62"/>
              <w:rPr>
                <w:sz w:val="20"/>
              </w:rPr>
            </w:pPr>
            <w:r>
              <w:rPr>
                <w:sz w:val="20"/>
              </w:rPr>
              <w:t>2.296</w:t>
            </w:r>
          </w:p>
        </w:tc>
        <w:tc>
          <w:tcPr>
            <w:tcW w:w="1179" w:type="dxa"/>
            <w:tcBorders>
              <w:top w:val="nil"/>
              <w:left w:val="nil"/>
              <w:bottom w:val="nil"/>
              <w:right w:val="nil"/>
            </w:tcBorders>
          </w:tcPr>
          <w:p>
            <w:pPr>
              <w:pStyle w:val="TableParagraph"/>
              <w:ind w:right="65"/>
              <w:rPr>
                <w:sz w:val="20"/>
              </w:rPr>
            </w:pPr>
            <w:r>
              <w:rPr>
                <w:sz w:val="20"/>
              </w:rPr>
              <w:t>2.296</w:t>
            </w:r>
          </w:p>
        </w:tc>
      </w:tr>
      <w:tr>
        <w:trPr>
          <w:trHeight w:val="300" w:hRule="exact"/>
        </w:trPr>
        <w:tc>
          <w:tcPr>
            <w:tcW w:w="941" w:type="dxa"/>
            <w:tcBorders>
              <w:top w:val="nil"/>
              <w:left w:val="nil"/>
              <w:bottom w:val="nil"/>
              <w:right w:val="nil"/>
            </w:tcBorders>
          </w:tcPr>
          <w:p>
            <w:pPr>
              <w:pStyle w:val="TableParagraph"/>
              <w:spacing w:before="26"/>
              <w:ind w:left="82"/>
              <w:jc w:val="left"/>
              <w:rPr>
                <w:sz w:val="20"/>
              </w:rPr>
            </w:pPr>
            <w:r>
              <w:rPr>
                <w:sz w:val="20"/>
              </w:rPr>
              <w:t>25</w:t>
            </w:r>
          </w:p>
        </w:tc>
        <w:tc>
          <w:tcPr>
            <w:tcW w:w="1105" w:type="dxa"/>
            <w:tcBorders>
              <w:top w:val="nil"/>
              <w:left w:val="nil"/>
              <w:bottom w:val="nil"/>
              <w:right w:val="nil"/>
            </w:tcBorders>
          </w:tcPr>
          <w:p>
            <w:pPr>
              <w:pStyle w:val="TableParagraph"/>
              <w:spacing w:before="26"/>
              <w:ind w:right="65"/>
              <w:rPr>
                <w:sz w:val="20"/>
              </w:rPr>
            </w:pPr>
            <w:r>
              <w:rPr>
                <w:sz w:val="20"/>
              </w:rPr>
              <w:t>2.296</w:t>
            </w:r>
          </w:p>
        </w:tc>
        <w:tc>
          <w:tcPr>
            <w:tcW w:w="1102" w:type="dxa"/>
            <w:tcBorders>
              <w:top w:val="nil"/>
              <w:left w:val="nil"/>
              <w:bottom w:val="nil"/>
              <w:right w:val="nil"/>
            </w:tcBorders>
          </w:tcPr>
          <w:p>
            <w:pPr>
              <w:pStyle w:val="TableParagraph"/>
              <w:spacing w:before="26"/>
              <w:ind w:right="67"/>
              <w:rPr>
                <w:sz w:val="20"/>
              </w:rPr>
            </w:pPr>
            <w:r>
              <w:rPr>
                <w:sz w:val="20"/>
              </w:rPr>
              <w:t>2.296</w:t>
            </w:r>
          </w:p>
        </w:tc>
        <w:tc>
          <w:tcPr>
            <w:tcW w:w="1102" w:type="dxa"/>
            <w:tcBorders>
              <w:top w:val="nil"/>
              <w:left w:val="nil"/>
              <w:bottom w:val="nil"/>
              <w:right w:val="nil"/>
            </w:tcBorders>
          </w:tcPr>
          <w:p>
            <w:pPr>
              <w:pStyle w:val="TableParagraph"/>
              <w:spacing w:before="26"/>
              <w:ind w:right="65"/>
              <w:rPr>
                <w:sz w:val="20"/>
              </w:rPr>
            </w:pPr>
            <w:r>
              <w:rPr>
                <w:sz w:val="20"/>
              </w:rPr>
              <w:t>3.865</w:t>
            </w:r>
          </w:p>
        </w:tc>
        <w:tc>
          <w:tcPr>
            <w:tcW w:w="1099" w:type="dxa"/>
            <w:tcBorders>
              <w:top w:val="nil"/>
              <w:left w:val="nil"/>
              <w:bottom w:val="nil"/>
              <w:right w:val="nil"/>
            </w:tcBorders>
          </w:tcPr>
          <w:p>
            <w:pPr>
              <w:pStyle w:val="TableParagraph"/>
              <w:spacing w:before="26"/>
              <w:ind w:right="65"/>
              <w:rPr>
                <w:sz w:val="20"/>
              </w:rPr>
            </w:pPr>
            <w:r>
              <w:rPr>
                <w:sz w:val="20"/>
              </w:rPr>
              <w:t>2.296</w:t>
            </w:r>
          </w:p>
        </w:tc>
        <w:tc>
          <w:tcPr>
            <w:tcW w:w="1100" w:type="dxa"/>
            <w:tcBorders>
              <w:top w:val="nil"/>
              <w:left w:val="nil"/>
              <w:bottom w:val="nil"/>
              <w:right w:val="nil"/>
            </w:tcBorders>
          </w:tcPr>
          <w:p>
            <w:pPr>
              <w:pStyle w:val="TableParagraph"/>
              <w:spacing w:before="26"/>
              <w:ind w:right="65"/>
              <w:rPr>
                <w:sz w:val="20"/>
              </w:rPr>
            </w:pPr>
            <w:r>
              <w:rPr>
                <w:sz w:val="20"/>
              </w:rPr>
              <w:t>2.296</w:t>
            </w:r>
          </w:p>
        </w:tc>
        <w:tc>
          <w:tcPr>
            <w:tcW w:w="1100" w:type="dxa"/>
            <w:tcBorders>
              <w:top w:val="nil"/>
              <w:left w:val="nil"/>
              <w:bottom w:val="nil"/>
              <w:right w:val="nil"/>
            </w:tcBorders>
          </w:tcPr>
          <w:p>
            <w:pPr>
              <w:pStyle w:val="TableParagraph"/>
              <w:spacing w:before="26"/>
              <w:ind w:right="65"/>
              <w:rPr>
                <w:sz w:val="20"/>
              </w:rPr>
            </w:pPr>
            <w:r>
              <w:rPr>
                <w:sz w:val="20"/>
              </w:rPr>
              <w:t>2.296</w:t>
            </w:r>
          </w:p>
        </w:tc>
        <w:tc>
          <w:tcPr>
            <w:tcW w:w="1099" w:type="dxa"/>
            <w:tcBorders>
              <w:top w:val="nil"/>
              <w:left w:val="nil"/>
              <w:bottom w:val="nil"/>
              <w:right w:val="nil"/>
            </w:tcBorders>
          </w:tcPr>
          <w:p>
            <w:pPr>
              <w:pStyle w:val="TableParagraph"/>
              <w:spacing w:before="26"/>
              <w:ind w:right="65"/>
              <w:rPr>
                <w:sz w:val="20"/>
              </w:rPr>
            </w:pPr>
            <w:r>
              <w:rPr>
                <w:sz w:val="20"/>
              </w:rPr>
              <w:t>2.296</w:t>
            </w:r>
          </w:p>
        </w:tc>
        <w:tc>
          <w:tcPr>
            <w:tcW w:w="1102" w:type="dxa"/>
            <w:tcBorders>
              <w:top w:val="nil"/>
              <w:left w:val="nil"/>
              <w:bottom w:val="nil"/>
              <w:right w:val="nil"/>
            </w:tcBorders>
          </w:tcPr>
          <w:p>
            <w:pPr>
              <w:pStyle w:val="TableParagraph"/>
              <w:spacing w:before="26"/>
              <w:ind w:right="67"/>
              <w:rPr>
                <w:sz w:val="20"/>
              </w:rPr>
            </w:pPr>
            <w:r>
              <w:rPr>
                <w:sz w:val="20"/>
              </w:rPr>
              <w:t>2.296</w:t>
            </w:r>
          </w:p>
        </w:tc>
        <w:tc>
          <w:tcPr>
            <w:tcW w:w="1102" w:type="dxa"/>
            <w:tcBorders>
              <w:top w:val="nil"/>
              <w:left w:val="nil"/>
              <w:bottom w:val="nil"/>
              <w:right w:val="nil"/>
            </w:tcBorders>
          </w:tcPr>
          <w:p>
            <w:pPr>
              <w:pStyle w:val="TableParagraph"/>
              <w:spacing w:before="26"/>
              <w:ind w:right="65"/>
              <w:rPr>
                <w:sz w:val="20"/>
              </w:rPr>
            </w:pPr>
            <w:r>
              <w:rPr>
                <w:sz w:val="20"/>
              </w:rPr>
              <w:t>2.296</w:t>
            </w:r>
          </w:p>
        </w:tc>
        <w:tc>
          <w:tcPr>
            <w:tcW w:w="1181" w:type="dxa"/>
            <w:tcBorders>
              <w:top w:val="nil"/>
              <w:left w:val="nil"/>
              <w:bottom w:val="nil"/>
              <w:right w:val="nil"/>
            </w:tcBorders>
          </w:tcPr>
          <w:p>
            <w:pPr>
              <w:pStyle w:val="TableParagraph"/>
              <w:spacing w:before="26"/>
              <w:ind w:right="65"/>
              <w:rPr>
                <w:sz w:val="20"/>
              </w:rPr>
            </w:pPr>
            <w:r>
              <w:rPr>
                <w:sz w:val="20"/>
              </w:rPr>
              <w:t>2.296</w:t>
            </w:r>
          </w:p>
        </w:tc>
        <w:tc>
          <w:tcPr>
            <w:tcW w:w="1179" w:type="dxa"/>
            <w:tcBorders>
              <w:top w:val="nil"/>
              <w:left w:val="nil"/>
              <w:bottom w:val="nil"/>
              <w:right w:val="nil"/>
            </w:tcBorders>
          </w:tcPr>
          <w:p>
            <w:pPr>
              <w:pStyle w:val="TableParagraph"/>
              <w:spacing w:before="26"/>
              <w:ind w:right="62"/>
              <w:rPr>
                <w:sz w:val="20"/>
              </w:rPr>
            </w:pPr>
            <w:r>
              <w:rPr>
                <w:sz w:val="20"/>
              </w:rPr>
              <w:t>2.296</w:t>
            </w:r>
          </w:p>
        </w:tc>
        <w:tc>
          <w:tcPr>
            <w:tcW w:w="1179" w:type="dxa"/>
            <w:tcBorders>
              <w:top w:val="nil"/>
              <w:left w:val="nil"/>
              <w:bottom w:val="nil"/>
              <w:right w:val="nil"/>
            </w:tcBorders>
          </w:tcPr>
          <w:p>
            <w:pPr>
              <w:pStyle w:val="TableParagraph"/>
              <w:spacing w:before="26"/>
              <w:ind w:right="65"/>
              <w:rPr>
                <w:sz w:val="20"/>
              </w:rPr>
            </w:pPr>
            <w:r>
              <w:rPr>
                <w:sz w:val="20"/>
              </w:rPr>
              <w:t>2.296</w:t>
            </w:r>
          </w:p>
        </w:tc>
      </w:tr>
      <w:tr>
        <w:trPr>
          <w:trHeight w:val="268" w:hRule="exact"/>
        </w:trPr>
        <w:tc>
          <w:tcPr>
            <w:tcW w:w="941" w:type="dxa"/>
            <w:tcBorders>
              <w:top w:val="nil"/>
              <w:left w:val="nil"/>
              <w:right w:val="nil"/>
            </w:tcBorders>
          </w:tcPr>
          <w:p>
            <w:pPr>
              <w:pStyle w:val="TableParagraph"/>
              <w:ind w:left="82"/>
              <w:jc w:val="left"/>
              <w:rPr>
                <w:sz w:val="20"/>
              </w:rPr>
            </w:pPr>
            <w:r>
              <w:rPr>
                <w:sz w:val="20"/>
              </w:rPr>
              <w:t>26</w:t>
            </w:r>
          </w:p>
        </w:tc>
        <w:tc>
          <w:tcPr>
            <w:tcW w:w="1105" w:type="dxa"/>
            <w:tcBorders>
              <w:top w:val="nil"/>
              <w:left w:val="nil"/>
              <w:right w:val="nil"/>
            </w:tcBorders>
          </w:tcPr>
          <w:p>
            <w:pPr>
              <w:pStyle w:val="TableParagraph"/>
              <w:ind w:right="65"/>
              <w:rPr>
                <w:sz w:val="20"/>
              </w:rPr>
            </w:pPr>
            <w:r>
              <w:rPr>
                <w:sz w:val="20"/>
              </w:rPr>
              <w:t>2.393</w:t>
            </w:r>
          </w:p>
        </w:tc>
        <w:tc>
          <w:tcPr>
            <w:tcW w:w="1102" w:type="dxa"/>
            <w:tcBorders>
              <w:top w:val="nil"/>
              <w:left w:val="nil"/>
              <w:right w:val="nil"/>
            </w:tcBorders>
          </w:tcPr>
          <w:p>
            <w:pPr>
              <w:pStyle w:val="TableParagraph"/>
              <w:ind w:right="67"/>
              <w:rPr>
                <w:sz w:val="20"/>
              </w:rPr>
            </w:pPr>
            <w:r>
              <w:rPr>
                <w:sz w:val="20"/>
              </w:rPr>
              <w:t>2.393</w:t>
            </w:r>
          </w:p>
        </w:tc>
        <w:tc>
          <w:tcPr>
            <w:tcW w:w="1102" w:type="dxa"/>
            <w:tcBorders>
              <w:top w:val="nil"/>
              <w:left w:val="nil"/>
              <w:right w:val="nil"/>
            </w:tcBorders>
          </w:tcPr>
          <w:p>
            <w:pPr>
              <w:pStyle w:val="TableParagraph"/>
              <w:ind w:right="65"/>
              <w:rPr>
                <w:sz w:val="20"/>
              </w:rPr>
            </w:pPr>
            <w:r>
              <w:rPr>
                <w:sz w:val="20"/>
              </w:rPr>
              <w:t>3.986</w:t>
            </w:r>
          </w:p>
        </w:tc>
        <w:tc>
          <w:tcPr>
            <w:tcW w:w="1099" w:type="dxa"/>
            <w:tcBorders>
              <w:top w:val="nil"/>
              <w:left w:val="nil"/>
              <w:right w:val="nil"/>
            </w:tcBorders>
          </w:tcPr>
          <w:p>
            <w:pPr>
              <w:pStyle w:val="TableParagraph"/>
              <w:ind w:right="65"/>
              <w:rPr>
                <w:sz w:val="20"/>
              </w:rPr>
            </w:pPr>
            <w:r>
              <w:rPr>
                <w:sz w:val="20"/>
              </w:rPr>
              <w:t>2.393</w:t>
            </w:r>
          </w:p>
        </w:tc>
        <w:tc>
          <w:tcPr>
            <w:tcW w:w="1100" w:type="dxa"/>
            <w:tcBorders>
              <w:top w:val="nil"/>
              <w:left w:val="nil"/>
              <w:right w:val="nil"/>
            </w:tcBorders>
          </w:tcPr>
          <w:p>
            <w:pPr>
              <w:pStyle w:val="TableParagraph"/>
              <w:ind w:right="65"/>
              <w:rPr>
                <w:sz w:val="20"/>
              </w:rPr>
            </w:pPr>
            <w:r>
              <w:rPr>
                <w:sz w:val="20"/>
              </w:rPr>
              <w:t>2.393</w:t>
            </w:r>
          </w:p>
        </w:tc>
        <w:tc>
          <w:tcPr>
            <w:tcW w:w="1100" w:type="dxa"/>
            <w:tcBorders>
              <w:top w:val="nil"/>
              <w:left w:val="nil"/>
              <w:right w:val="nil"/>
            </w:tcBorders>
          </w:tcPr>
          <w:p>
            <w:pPr>
              <w:pStyle w:val="TableParagraph"/>
              <w:ind w:right="65"/>
              <w:rPr>
                <w:sz w:val="20"/>
              </w:rPr>
            </w:pPr>
            <w:r>
              <w:rPr>
                <w:sz w:val="20"/>
              </w:rPr>
              <w:t>2.393</w:t>
            </w:r>
          </w:p>
        </w:tc>
        <w:tc>
          <w:tcPr>
            <w:tcW w:w="1099" w:type="dxa"/>
            <w:tcBorders>
              <w:top w:val="nil"/>
              <w:left w:val="nil"/>
              <w:right w:val="nil"/>
            </w:tcBorders>
          </w:tcPr>
          <w:p>
            <w:pPr>
              <w:pStyle w:val="TableParagraph"/>
              <w:ind w:right="65"/>
              <w:rPr>
                <w:sz w:val="20"/>
              </w:rPr>
            </w:pPr>
            <w:r>
              <w:rPr>
                <w:sz w:val="20"/>
              </w:rPr>
              <w:t>2.393</w:t>
            </w:r>
          </w:p>
        </w:tc>
        <w:tc>
          <w:tcPr>
            <w:tcW w:w="1102" w:type="dxa"/>
            <w:tcBorders>
              <w:top w:val="nil"/>
              <w:left w:val="nil"/>
              <w:right w:val="nil"/>
            </w:tcBorders>
          </w:tcPr>
          <w:p>
            <w:pPr>
              <w:pStyle w:val="TableParagraph"/>
              <w:ind w:right="67"/>
              <w:rPr>
                <w:sz w:val="20"/>
              </w:rPr>
            </w:pPr>
            <w:r>
              <w:rPr>
                <w:sz w:val="20"/>
              </w:rPr>
              <w:t>2.393</w:t>
            </w:r>
          </w:p>
        </w:tc>
        <w:tc>
          <w:tcPr>
            <w:tcW w:w="1102" w:type="dxa"/>
            <w:tcBorders>
              <w:top w:val="nil"/>
              <w:left w:val="nil"/>
              <w:right w:val="nil"/>
            </w:tcBorders>
          </w:tcPr>
          <w:p>
            <w:pPr>
              <w:pStyle w:val="TableParagraph"/>
              <w:ind w:right="65"/>
              <w:rPr>
                <w:sz w:val="20"/>
              </w:rPr>
            </w:pPr>
            <w:r>
              <w:rPr>
                <w:sz w:val="20"/>
              </w:rPr>
              <w:t>2.393</w:t>
            </w:r>
          </w:p>
        </w:tc>
        <w:tc>
          <w:tcPr>
            <w:tcW w:w="1181" w:type="dxa"/>
            <w:tcBorders>
              <w:top w:val="nil"/>
              <w:left w:val="nil"/>
              <w:right w:val="nil"/>
            </w:tcBorders>
          </w:tcPr>
          <w:p>
            <w:pPr>
              <w:pStyle w:val="TableParagraph"/>
              <w:ind w:right="65"/>
              <w:rPr>
                <w:sz w:val="20"/>
              </w:rPr>
            </w:pPr>
            <w:r>
              <w:rPr>
                <w:sz w:val="20"/>
              </w:rPr>
              <w:t>2.393</w:t>
            </w:r>
          </w:p>
        </w:tc>
        <w:tc>
          <w:tcPr>
            <w:tcW w:w="1179" w:type="dxa"/>
            <w:tcBorders>
              <w:top w:val="nil"/>
              <w:left w:val="nil"/>
              <w:right w:val="nil"/>
            </w:tcBorders>
          </w:tcPr>
          <w:p>
            <w:pPr>
              <w:pStyle w:val="TableParagraph"/>
              <w:ind w:right="62"/>
              <w:rPr>
                <w:sz w:val="20"/>
              </w:rPr>
            </w:pPr>
            <w:r>
              <w:rPr>
                <w:sz w:val="20"/>
              </w:rPr>
              <w:t>2.393</w:t>
            </w:r>
          </w:p>
        </w:tc>
        <w:tc>
          <w:tcPr>
            <w:tcW w:w="1179" w:type="dxa"/>
            <w:tcBorders>
              <w:top w:val="nil"/>
              <w:left w:val="nil"/>
              <w:right w:val="nil"/>
            </w:tcBorders>
          </w:tcPr>
          <w:p>
            <w:pPr>
              <w:pStyle w:val="TableParagraph"/>
              <w:ind w:right="65"/>
              <w:rPr>
                <w:sz w:val="20"/>
              </w:rPr>
            </w:pPr>
            <w:r>
              <w:rPr>
                <w:sz w:val="20"/>
              </w:rPr>
              <w:t>2.393</w:t>
            </w:r>
          </w:p>
        </w:tc>
      </w:tr>
    </w:tbl>
    <w:p>
      <w:pPr>
        <w:spacing w:after="0"/>
        <w:rPr>
          <w:sz w:val="20"/>
        </w:rPr>
        <w:sectPr>
          <w:footerReference w:type="default" r:id="rId201"/>
          <w:pgSz w:w="15840" w:h="12240" w:orient="landscape"/>
          <w:pgMar w:footer="1474" w:header="0" w:top="1140" w:bottom="1660" w:left="600" w:right="620"/>
        </w:sectPr>
      </w:pPr>
    </w:p>
    <w:p>
      <w:pPr>
        <w:pStyle w:val="BodyText"/>
        <w:spacing w:before="2"/>
        <w:rPr>
          <w:b/>
          <w:sz w:val="17"/>
        </w:rPr>
      </w:pPr>
    </w:p>
    <w:p>
      <w:pPr>
        <w:pStyle w:val="BodyText"/>
        <w:spacing w:before="66"/>
        <w:ind w:left="816"/>
      </w:pPr>
      <w:r>
        <w:rPr/>
        <w:t>Continuación Tabla 12.</w:t>
      </w:r>
    </w:p>
    <w:p>
      <w:pPr>
        <w:pStyle w:val="BodyText"/>
      </w:pPr>
    </w:p>
    <w:tbl>
      <w:tblPr>
        <w:tblW w:w="0" w:type="auto"/>
        <w:jc w:val="left"/>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41"/>
        <w:gridCol w:w="1105"/>
        <w:gridCol w:w="1102"/>
        <w:gridCol w:w="1102"/>
        <w:gridCol w:w="1099"/>
        <w:gridCol w:w="1100"/>
        <w:gridCol w:w="1100"/>
        <w:gridCol w:w="1099"/>
        <w:gridCol w:w="1102"/>
        <w:gridCol w:w="1102"/>
        <w:gridCol w:w="1181"/>
        <w:gridCol w:w="1179"/>
        <w:gridCol w:w="1179"/>
      </w:tblGrid>
      <w:tr>
        <w:trPr>
          <w:trHeight w:val="610" w:hRule="exact"/>
        </w:trPr>
        <w:tc>
          <w:tcPr>
            <w:tcW w:w="941" w:type="dxa"/>
            <w:tcBorders>
              <w:left w:val="nil"/>
              <w:right w:val="nil"/>
            </w:tcBorders>
          </w:tcPr>
          <w:p>
            <w:pPr>
              <w:pStyle w:val="TableParagraph"/>
              <w:spacing w:before="110"/>
              <w:ind w:left="82"/>
              <w:jc w:val="left"/>
              <w:rPr>
                <w:sz w:val="16"/>
              </w:rPr>
            </w:pPr>
            <w:r>
              <w:rPr>
                <w:sz w:val="16"/>
              </w:rPr>
              <w:t>SUBBASIN</w:t>
            </w:r>
          </w:p>
        </w:tc>
        <w:tc>
          <w:tcPr>
            <w:tcW w:w="1105" w:type="dxa"/>
            <w:tcBorders>
              <w:left w:val="nil"/>
              <w:right w:val="nil"/>
            </w:tcBorders>
          </w:tcPr>
          <w:p>
            <w:pPr>
              <w:pStyle w:val="TableParagraph"/>
              <w:spacing w:before="110"/>
              <w:ind w:right="79"/>
              <w:rPr>
                <w:sz w:val="16"/>
              </w:rPr>
            </w:pPr>
            <w:r>
              <w:rPr>
                <w:w w:val="95"/>
                <w:sz w:val="16"/>
              </w:rPr>
              <w:t>RAINHHMX1</w:t>
            </w:r>
          </w:p>
        </w:tc>
        <w:tc>
          <w:tcPr>
            <w:tcW w:w="1102" w:type="dxa"/>
            <w:tcBorders>
              <w:left w:val="nil"/>
              <w:right w:val="nil"/>
            </w:tcBorders>
          </w:tcPr>
          <w:p>
            <w:pPr>
              <w:pStyle w:val="TableParagraph"/>
              <w:spacing w:before="110"/>
              <w:ind w:right="80"/>
              <w:rPr>
                <w:sz w:val="16"/>
              </w:rPr>
            </w:pPr>
            <w:r>
              <w:rPr>
                <w:w w:val="95"/>
                <w:sz w:val="16"/>
              </w:rPr>
              <w:t>RAINHHMX2</w:t>
            </w:r>
          </w:p>
        </w:tc>
        <w:tc>
          <w:tcPr>
            <w:tcW w:w="1102" w:type="dxa"/>
            <w:tcBorders>
              <w:left w:val="nil"/>
              <w:right w:val="nil"/>
            </w:tcBorders>
          </w:tcPr>
          <w:p>
            <w:pPr>
              <w:pStyle w:val="TableParagraph"/>
              <w:spacing w:before="110"/>
              <w:ind w:right="78"/>
              <w:rPr>
                <w:sz w:val="16"/>
              </w:rPr>
            </w:pPr>
            <w:r>
              <w:rPr>
                <w:w w:val="95"/>
                <w:sz w:val="16"/>
              </w:rPr>
              <w:t>RAINHHMX3</w:t>
            </w:r>
          </w:p>
        </w:tc>
        <w:tc>
          <w:tcPr>
            <w:tcW w:w="1099" w:type="dxa"/>
            <w:tcBorders>
              <w:left w:val="nil"/>
              <w:right w:val="nil"/>
            </w:tcBorders>
          </w:tcPr>
          <w:p>
            <w:pPr>
              <w:pStyle w:val="TableParagraph"/>
              <w:spacing w:before="110"/>
              <w:ind w:right="78"/>
              <w:rPr>
                <w:sz w:val="16"/>
              </w:rPr>
            </w:pPr>
            <w:r>
              <w:rPr>
                <w:w w:val="95"/>
                <w:sz w:val="16"/>
              </w:rPr>
              <w:t>RAINHHMX4</w:t>
            </w:r>
          </w:p>
        </w:tc>
        <w:tc>
          <w:tcPr>
            <w:tcW w:w="1100" w:type="dxa"/>
            <w:tcBorders>
              <w:left w:val="nil"/>
              <w:right w:val="nil"/>
            </w:tcBorders>
          </w:tcPr>
          <w:p>
            <w:pPr>
              <w:pStyle w:val="TableParagraph"/>
              <w:spacing w:before="110"/>
              <w:ind w:right="77"/>
              <w:rPr>
                <w:sz w:val="16"/>
              </w:rPr>
            </w:pPr>
            <w:r>
              <w:rPr>
                <w:w w:val="95"/>
                <w:sz w:val="16"/>
              </w:rPr>
              <w:t>RAINHHMX5</w:t>
            </w:r>
          </w:p>
        </w:tc>
        <w:tc>
          <w:tcPr>
            <w:tcW w:w="1100" w:type="dxa"/>
            <w:tcBorders>
              <w:left w:val="nil"/>
              <w:right w:val="nil"/>
            </w:tcBorders>
          </w:tcPr>
          <w:p>
            <w:pPr>
              <w:pStyle w:val="TableParagraph"/>
              <w:spacing w:before="110"/>
              <w:ind w:right="78"/>
              <w:rPr>
                <w:sz w:val="16"/>
              </w:rPr>
            </w:pPr>
            <w:r>
              <w:rPr>
                <w:w w:val="95"/>
                <w:sz w:val="16"/>
              </w:rPr>
              <w:t>RAINHHMX6</w:t>
            </w:r>
          </w:p>
        </w:tc>
        <w:tc>
          <w:tcPr>
            <w:tcW w:w="1099" w:type="dxa"/>
            <w:tcBorders>
              <w:left w:val="nil"/>
              <w:right w:val="nil"/>
            </w:tcBorders>
          </w:tcPr>
          <w:p>
            <w:pPr>
              <w:pStyle w:val="TableParagraph"/>
              <w:spacing w:before="110"/>
              <w:ind w:right="77"/>
              <w:rPr>
                <w:sz w:val="16"/>
              </w:rPr>
            </w:pPr>
            <w:r>
              <w:rPr>
                <w:w w:val="95"/>
                <w:sz w:val="16"/>
              </w:rPr>
              <w:t>RAINHHMX7</w:t>
            </w:r>
          </w:p>
        </w:tc>
        <w:tc>
          <w:tcPr>
            <w:tcW w:w="1102" w:type="dxa"/>
            <w:tcBorders>
              <w:left w:val="nil"/>
              <w:right w:val="nil"/>
            </w:tcBorders>
          </w:tcPr>
          <w:p>
            <w:pPr>
              <w:pStyle w:val="TableParagraph"/>
              <w:spacing w:before="110"/>
              <w:ind w:right="80"/>
              <w:rPr>
                <w:sz w:val="16"/>
              </w:rPr>
            </w:pPr>
            <w:r>
              <w:rPr>
                <w:w w:val="95"/>
                <w:sz w:val="16"/>
              </w:rPr>
              <w:t>RAINHHMX8</w:t>
            </w:r>
          </w:p>
        </w:tc>
        <w:tc>
          <w:tcPr>
            <w:tcW w:w="1102" w:type="dxa"/>
            <w:tcBorders>
              <w:left w:val="nil"/>
              <w:right w:val="nil"/>
            </w:tcBorders>
          </w:tcPr>
          <w:p>
            <w:pPr>
              <w:pStyle w:val="TableParagraph"/>
              <w:spacing w:before="110"/>
              <w:ind w:right="78"/>
              <w:rPr>
                <w:sz w:val="16"/>
              </w:rPr>
            </w:pPr>
            <w:r>
              <w:rPr>
                <w:w w:val="95"/>
                <w:sz w:val="16"/>
              </w:rPr>
              <w:t>RAINHHMX9</w:t>
            </w:r>
          </w:p>
        </w:tc>
        <w:tc>
          <w:tcPr>
            <w:tcW w:w="1181" w:type="dxa"/>
            <w:tcBorders>
              <w:left w:val="nil"/>
              <w:right w:val="nil"/>
            </w:tcBorders>
          </w:tcPr>
          <w:p>
            <w:pPr>
              <w:pStyle w:val="TableParagraph"/>
              <w:spacing w:before="110"/>
              <w:ind w:right="78"/>
              <w:rPr>
                <w:sz w:val="16"/>
              </w:rPr>
            </w:pPr>
            <w:r>
              <w:rPr>
                <w:w w:val="95"/>
                <w:sz w:val="16"/>
              </w:rPr>
              <w:t>RAINHHMX10</w:t>
            </w:r>
          </w:p>
        </w:tc>
        <w:tc>
          <w:tcPr>
            <w:tcW w:w="1179" w:type="dxa"/>
            <w:tcBorders>
              <w:left w:val="nil"/>
              <w:right w:val="nil"/>
            </w:tcBorders>
          </w:tcPr>
          <w:p>
            <w:pPr>
              <w:pStyle w:val="TableParagraph"/>
              <w:spacing w:before="110"/>
              <w:ind w:right="75"/>
              <w:rPr>
                <w:sz w:val="16"/>
              </w:rPr>
            </w:pPr>
            <w:r>
              <w:rPr>
                <w:w w:val="95"/>
                <w:sz w:val="16"/>
              </w:rPr>
              <w:t>RAINHHMX11</w:t>
            </w:r>
          </w:p>
        </w:tc>
        <w:tc>
          <w:tcPr>
            <w:tcW w:w="1179" w:type="dxa"/>
            <w:tcBorders>
              <w:left w:val="nil"/>
              <w:right w:val="nil"/>
            </w:tcBorders>
          </w:tcPr>
          <w:p>
            <w:pPr>
              <w:pStyle w:val="TableParagraph"/>
              <w:spacing w:before="110"/>
              <w:ind w:right="78"/>
              <w:rPr>
                <w:sz w:val="16"/>
              </w:rPr>
            </w:pPr>
            <w:r>
              <w:rPr>
                <w:w w:val="95"/>
                <w:sz w:val="16"/>
              </w:rPr>
              <w:t>RAINHHMX12</w:t>
            </w:r>
          </w:p>
        </w:tc>
      </w:tr>
      <w:tr>
        <w:trPr>
          <w:trHeight w:val="342" w:hRule="exact"/>
        </w:trPr>
        <w:tc>
          <w:tcPr>
            <w:tcW w:w="941" w:type="dxa"/>
            <w:tcBorders>
              <w:left w:val="nil"/>
              <w:bottom w:val="nil"/>
              <w:right w:val="nil"/>
            </w:tcBorders>
          </w:tcPr>
          <w:p>
            <w:pPr>
              <w:pStyle w:val="TableParagraph"/>
              <w:spacing w:before="63"/>
              <w:ind w:left="82"/>
              <w:jc w:val="left"/>
              <w:rPr>
                <w:sz w:val="20"/>
              </w:rPr>
            </w:pPr>
            <w:r>
              <w:rPr>
                <w:sz w:val="20"/>
              </w:rPr>
              <w:t>27</w:t>
            </w:r>
          </w:p>
        </w:tc>
        <w:tc>
          <w:tcPr>
            <w:tcW w:w="1105" w:type="dxa"/>
            <w:tcBorders>
              <w:left w:val="nil"/>
              <w:bottom w:val="nil"/>
              <w:right w:val="nil"/>
            </w:tcBorders>
          </w:tcPr>
          <w:p>
            <w:pPr>
              <w:pStyle w:val="TableParagraph"/>
              <w:spacing w:before="63"/>
              <w:ind w:right="65"/>
              <w:rPr>
                <w:sz w:val="20"/>
              </w:rPr>
            </w:pPr>
            <w:r>
              <w:rPr>
                <w:sz w:val="20"/>
              </w:rPr>
              <w:t>2.296</w:t>
            </w:r>
          </w:p>
        </w:tc>
        <w:tc>
          <w:tcPr>
            <w:tcW w:w="1102" w:type="dxa"/>
            <w:tcBorders>
              <w:left w:val="nil"/>
              <w:bottom w:val="nil"/>
              <w:right w:val="nil"/>
            </w:tcBorders>
          </w:tcPr>
          <w:p>
            <w:pPr>
              <w:pStyle w:val="TableParagraph"/>
              <w:spacing w:before="63"/>
              <w:ind w:right="67"/>
              <w:rPr>
                <w:sz w:val="20"/>
              </w:rPr>
            </w:pPr>
            <w:r>
              <w:rPr>
                <w:sz w:val="20"/>
              </w:rPr>
              <w:t>2.296</w:t>
            </w:r>
          </w:p>
        </w:tc>
        <w:tc>
          <w:tcPr>
            <w:tcW w:w="1102" w:type="dxa"/>
            <w:tcBorders>
              <w:left w:val="nil"/>
              <w:bottom w:val="nil"/>
              <w:right w:val="nil"/>
            </w:tcBorders>
          </w:tcPr>
          <w:p>
            <w:pPr>
              <w:pStyle w:val="TableParagraph"/>
              <w:spacing w:before="63"/>
              <w:ind w:right="65"/>
              <w:rPr>
                <w:sz w:val="20"/>
              </w:rPr>
            </w:pPr>
            <w:r>
              <w:rPr>
                <w:sz w:val="20"/>
              </w:rPr>
              <w:t>3.865</w:t>
            </w:r>
          </w:p>
        </w:tc>
        <w:tc>
          <w:tcPr>
            <w:tcW w:w="1099" w:type="dxa"/>
            <w:tcBorders>
              <w:left w:val="nil"/>
              <w:bottom w:val="nil"/>
              <w:right w:val="nil"/>
            </w:tcBorders>
          </w:tcPr>
          <w:p>
            <w:pPr>
              <w:pStyle w:val="TableParagraph"/>
              <w:spacing w:before="63"/>
              <w:ind w:right="65"/>
              <w:rPr>
                <w:sz w:val="20"/>
              </w:rPr>
            </w:pPr>
            <w:r>
              <w:rPr>
                <w:sz w:val="20"/>
              </w:rPr>
              <w:t>2.296</w:t>
            </w:r>
          </w:p>
        </w:tc>
        <w:tc>
          <w:tcPr>
            <w:tcW w:w="1100" w:type="dxa"/>
            <w:tcBorders>
              <w:left w:val="nil"/>
              <w:bottom w:val="nil"/>
              <w:right w:val="nil"/>
            </w:tcBorders>
          </w:tcPr>
          <w:p>
            <w:pPr>
              <w:pStyle w:val="TableParagraph"/>
              <w:spacing w:before="63"/>
              <w:ind w:right="65"/>
              <w:rPr>
                <w:sz w:val="20"/>
              </w:rPr>
            </w:pPr>
            <w:r>
              <w:rPr>
                <w:sz w:val="20"/>
              </w:rPr>
              <w:t>2.296</w:t>
            </w:r>
          </w:p>
        </w:tc>
        <w:tc>
          <w:tcPr>
            <w:tcW w:w="1100" w:type="dxa"/>
            <w:tcBorders>
              <w:left w:val="nil"/>
              <w:bottom w:val="nil"/>
              <w:right w:val="nil"/>
            </w:tcBorders>
          </w:tcPr>
          <w:p>
            <w:pPr>
              <w:pStyle w:val="TableParagraph"/>
              <w:spacing w:before="63"/>
              <w:ind w:right="65"/>
              <w:rPr>
                <w:sz w:val="20"/>
              </w:rPr>
            </w:pPr>
            <w:r>
              <w:rPr>
                <w:sz w:val="20"/>
              </w:rPr>
              <w:t>2.296</w:t>
            </w:r>
          </w:p>
        </w:tc>
        <w:tc>
          <w:tcPr>
            <w:tcW w:w="1099" w:type="dxa"/>
            <w:tcBorders>
              <w:left w:val="nil"/>
              <w:bottom w:val="nil"/>
              <w:right w:val="nil"/>
            </w:tcBorders>
          </w:tcPr>
          <w:p>
            <w:pPr>
              <w:pStyle w:val="TableParagraph"/>
              <w:spacing w:before="63"/>
              <w:ind w:right="65"/>
              <w:rPr>
                <w:sz w:val="20"/>
              </w:rPr>
            </w:pPr>
            <w:r>
              <w:rPr>
                <w:sz w:val="20"/>
              </w:rPr>
              <w:t>2.296</w:t>
            </w:r>
          </w:p>
        </w:tc>
        <w:tc>
          <w:tcPr>
            <w:tcW w:w="1102" w:type="dxa"/>
            <w:tcBorders>
              <w:left w:val="nil"/>
              <w:bottom w:val="nil"/>
              <w:right w:val="nil"/>
            </w:tcBorders>
          </w:tcPr>
          <w:p>
            <w:pPr>
              <w:pStyle w:val="TableParagraph"/>
              <w:spacing w:before="63"/>
              <w:ind w:right="67"/>
              <w:rPr>
                <w:sz w:val="20"/>
              </w:rPr>
            </w:pPr>
            <w:r>
              <w:rPr>
                <w:sz w:val="20"/>
              </w:rPr>
              <w:t>2.296</w:t>
            </w:r>
          </w:p>
        </w:tc>
        <w:tc>
          <w:tcPr>
            <w:tcW w:w="1102" w:type="dxa"/>
            <w:tcBorders>
              <w:left w:val="nil"/>
              <w:bottom w:val="nil"/>
              <w:right w:val="nil"/>
            </w:tcBorders>
          </w:tcPr>
          <w:p>
            <w:pPr>
              <w:pStyle w:val="TableParagraph"/>
              <w:spacing w:before="63"/>
              <w:ind w:right="65"/>
              <w:rPr>
                <w:sz w:val="20"/>
              </w:rPr>
            </w:pPr>
            <w:r>
              <w:rPr>
                <w:sz w:val="20"/>
              </w:rPr>
              <w:t>2.296</w:t>
            </w:r>
          </w:p>
        </w:tc>
        <w:tc>
          <w:tcPr>
            <w:tcW w:w="1181" w:type="dxa"/>
            <w:tcBorders>
              <w:left w:val="nil"/>
              <w:bottom w:val="nil"/>
              <w:right w:val="nil"/>
            </w:tcBorders>
          </w:tcPr>
          <w:p>
            <w:pPr>
              <w:pStyle w:val="TableParagraph"/>
              <w:spacing w:before="63"/>
              <w:ind w:right="65"/>
              <w:rPr>
                <w:sz w:val="20"/>
              </w:rPr>
            </w:pPr>
            <w:r>
              <w:rPr>
                <w:sz w:val="20"/>
              </w:rPr>
              <w:t>2.296</w:t>
            </w:r>
          </w:p>
        </w:tc>
        <w:tc>
          <w:tcPr>
            <w:tcW w:w="1179" w:type="dxa"/>
            <w:tcBorders>
              <w:left w:val="nil"/>
              <w:bottom w:val="nil"/>
              <w:right w:val="nil"/>
            </w:tcBorders>
          </w:tcPr>
          <w:p>
            <w:pPr>
              <w:pStyle w:val="TableParagraph"/>
              <w:spacing w:before="63"/>
              <w:ind w:right="62"/>
              <w:rPr>
                <w:sz w:val="20"/>
              </w:rPr>
            </w:pPr>
            <w:r>
              <w:rPr>
                <w:sz w:val="20"/>
              </w:rPr>
              <w:t>2.296</w:t>
            </w:r>
          </w:p>
        </w:tc>
        <w:tc>
          <w:tcPr>
            <w:tcW w:w="1179" w:type="dxa"/>
            <w:tcBorders>
              <w:left w:val="nil"/>
              <w:bottom w:val="nil"/>
              <w:right w:val="nil"/>
            </w:tcBorders>
          </w:tcPr>
          <w:p>
            <w:pPr>
              <w:pStyle w:val="TableParagraph"/>
              <w:spacing w:before="63"/>
              <w:ind w:right="65"/>
              <w:rPr>
                <w:sz w:val="20"/>
              </w:rPr>
            </w:pPr>
            <w:r>
              <w:rPr>
                <w:sz w:val="20"/>
              </w:rPr>
              <w:t>2.296</w:t>
            </w:r>
          </w:p>
        </w:tc>
      </w:tr>
      <w:tr>
        <w:trPr>
          <w:trHeight w:val="300" w:hRule="exact"/>
        </w:trPr>
        <w:tc>
          <w:tcPr>
            <w:tcW w:w="941" w:type="dxa"/>
            <w:tcBorders>
              <w:top w:val="nil"/>
              <w:left w:val="nil"/>
              <w:bottom w:val="nil"/>
              <w:right w:val="nil"/>
            </w:tcBorders>
          </w:tcPr>
          <w:p>
            <w:pPr>
              <w:pStyle w:val="TableParagraph"/>
              <w:ind w:left="82"/>
              <w:jc w:val="left"/>
              <w:rPr>
                <w:sz w:val="20"/>
              </w:rPr>
            </w:pPr>
            <w:r>
              <w:rPr>
                <w:sz w:val="20"/>
              </w:rPr>
              <w:t>28</w:t>
            </w:r>
          </w:p>
        </w:tc>
        <w:tc>
          <w:tcPr>
            <w:tcW w:w="1105" w:type="dxa"/>
            <w:tcBorders>
              <w:top w:val="nil"/>
              <w:left w:val="nil"/>
              <w:bottom w:val="nil"/>
              <w:right w:val="nil"/>
            </w:tcBorders>
          </w:tcPr>
          <w:p>
            <w:pPr>
              <w:pStyle w:val="TableParagraph"/>
              <w:ind w:right="65"/>
              <w:rPr>
                <w:sz w:val="20"/>
              </w:rPr>
            </w:pPr>
            <w:r>
              <w:rPr>
                <w:sz w:val="20"/>
              </w:rPr>
              <w:t>2.296</w:t>
            </w:r>
          </w:p>
        </w:tc>
        <w:tc>
          <w:tcPr>
            <w:tcW w:w="1102" w:type="dxa"/>
            <w:tcBorders>
              <w:top w:val="nil"/>
              <w:left w:val="nil"/>
              <w:bottom w:val="nil"/>
              <w:right w:val="nil"/>
            </w:tcBorders>
          </w:tcPr>
          <w:p>
            <w:pPr>
              <w:pStyle w:val="TableParagraph"/>
              <w:ind w:right="67"/>
              <w:rPr>
                <w:sz w:val="20"/>
              </w:rPr>
            </w:pPr>
            <w:r>
              <w:rPr>
                <w:sz w:val="20"/>
              </w:rPr>
              <w:t>2.296</w:t>
            </w:r>
          </w:p>
        </w:tc>
        <w:tc>
          <w:tcPr>
            <w:tcW w:w="1102" w:type="dxa"/>
            <w:tcBorders>
              <w:top w:val="nil"/>
              <w:left w:val="nil"/>
              <w:bottom w:val="nil"/>
              <w:right w:val="nil"/>
            </w:tcBorders>
          </w:tcPr>
          <w:p>
            <w:pPr>
              <w:pStyle w:val="TableParagraph"/>
              <w:ind w:right="65"/>
              <w:rPr>
                <w:sz w:val="20"/>
              </w:rPr>
            </w:pPr>
            <w:r>
              <w:rPr>
                <w:sz w:val="20"/>
              </w:rPr>
              <w:t>3.865</w:t>
            </w:r>
          </w:p>
        </w:tc>
        <w:tc>
          <w:tcPr>
            <w:tcW w:w="1099" w:type="dxa"/>
            <w:tcBorders>
              <w:top w:val="nil"/>
              <w:left w:val="nil"/>
              <w:bottom w:val="nil"/>
              <w:right w:val="nil"/>
            </w:tcBorders>
          </w:tcPr>
          <w:p>
            <w:pPr>
              <w:pStyle w:val="TableParagraph"/>
              <w:ind w:right="65"/>
              <w:rPr>
                <w:sz w:val="20"/>
              </w:rPr>
            </w:pPr>
            <w:r>
              <w:rPr>
                <w:sz w:val="20"/>
              </w:rPr>
              <w:t>2.296</w:t>
            </w:r>
          </w:p>
        </w:tc>
        <w:tc>
          <w:tcPr>
            <w:tcW w:w="1100" w:type="dxa"/>
            <w:tcBorders>
              <w:top w:val="nil"/>
              <w:left w:val="nil"/>
              <w:bottom w:val="nil"/>
              <w:right w:val="nil"/>
            </w:tcBorders>
          </w:tcPr>
          <w:p>
            <w:pPr>
              <w:pStyle w:val="TableParagraph"/>
              <w:ind w:right="65"/>
              <w:rPr>
                <w:sz w:val="20"/>
              </w:rPr>
            </w:pPr>
            <w:r>
              <w:rPr>
                <w:sz w:val="20"/>
              </w:rPr>
              <w:t>2.296</w:t>
            </w:r>
          </w:p>
        </w:tc>
        <w:tc>
          <w:tcPr>
            <w:tcW w:w="1100" w:type="dxa"/>
            <w:tcBorders>
              <w:top w:val="nil"/>
              <w:left w:val="nil"/>
              <w:bottom w:val="nil"/>
              <w:right w:val="nil"/>
            </w:tcBorders>
          </w:tcPr>
          <w:p>
            <w:pPr>
              <w:pStyle w:val="TableParagraph"/>
              <w:ind w:right="65"/>
              <w:rPr>
                <w:sz w:val="20"/>
              </w:rPr>
            </w:pPr>
            <w:r>
              <w:rPr>
                <w:sz w:val="20"/>
              </w:rPr>
              <w:t>2.296</w:t>
            </w:r>
          </w:p>
        </w:tc>
        <w:tc>
          <w:tcPr>
            <w:tcW w:w="1099" w:type="dxa"/>
            <w:tcBorders>
              <w:top w:val="nil"/>
              <w:left w:val="nil"/>
              <w:bottom w:val="nil"/>
              <w:right w:val="nil"/>
            </w:tcBorders>
          </w:tcPr>
          <w:p>
            <w:pPr>
              <w:pStyle w:val="TableParagraph"/>
              <w:ind w:right="65"/>
              <w:rPr>
                <w:sz w:val="20"/>
              </w:rPr>
            </w:pPr>
            <w:r>
              <w:rPr>
                <w:sz w:val="20"/>
              </w:rPr>
              <w:t>2.296</w:t>
            </w:r>
          </w:p>
        </w:tc>
        <w:tc>
          <w:tcPr>
            <w:tcW w:w="1102" w:type="dxa"/>
            <w:tcBorders>
              <w:top w:val="nil"/>
              <w:left w:val="nil"/>
              <w:bottom w:val="nil"/>
              <w:right w:val="nil"/>
            </w:tcBorders>
          </w:tcPr>
          <w:p>
            <w:pPr>
              <w:pStyle w:val="TableParagraph"/>
              <w:ind w:right="67"/>
              <w:rPr>
                <w:sz w:val="20"/>
              </w:rPr>
            </w:pPr>
            <w:r>
              <w:rPr>
                <w:sz w:val="20"/>
              </w:rPr>
              <w:t>2.296</w:t>
            </w:r>
          </w:p>
        </w:tc>
        <w:tc>
          <w:tcPr>
            <w:tcW w:w="1102" w:type="dxa"/>
            <w:tcBorders>
              <w:top w:val="nil"/>
              <w:left w:val="nil"/>
              <w:bottom w:val="nil"/>
              <w:right w:val="nil"/>
            </w:tcBorders>
          </w:tcPr>
          <w:p>
            <w:pPr>
              <w:pStyle w:val="TableParagraph"/>
              <w:ind w:right="65"/>
              <w:rPr>
                <w:sz w:val="20"/>
              </w:rPr>
            </w:pPr>
            <w:r>
              <w:rPr>
                <w:sz w:val="20"/>
              </w:rPr>
              <w:t>2.296</w:t>
            </w:r>
          </w:p>
        </w:tc>
        <w:tc>
          <w:tcPr>
            <w:tcW w:w="1181" w:type="dxa"/>
            <w:tcBorders>
              <w:top w:val="nil"/>
              <w:left w:val="nil"/>
              <w:bottom w:val="nil"/>
              <w:right w:val="nil"/>
            </w:tcBorders>
          </w:tcPr>
          <w:p>
            <w:pPr>
              <w:pStyle w:val="TableParagraph"/>
              <w:ind w:right="65"/>
              <w:rPr>
                <w:sz w:val="20"/>
              </w:rPr>
            </w:pPr>
            <w:r>
              <w:rPr>
                <w:sz w:val="20"/>
              </w:rPr>
              <w:t>2.296</w:t>
            </w:r>
          </w:p>
        </w:tc>
        <w:tc>
          <w:tcPr>
            <w:tcW w:w="1179" w:type="dxa"/>
            <w:tcBorders>
              <w:top w:val="nil"/>
              <w:left w:val="nil"/>
              <w:bottom w:val="nil"/>
              <w:right w:val="nil"/>
            </w:tcBorders>
          </w:tcPr>
          <w:p>
            <w:pPr>
              <w:pStyle w:val="TableParagraph"/>
              <w:ind w:right="62"/>
              <w:rPr>
                <w:sz w:val="20"/>
              </w:rPr>
            </w:pPr>
            <w:r>
              <w:rPr>
                <w:sz w:val="20"/>
              </w:rPr>
              <w:t>2.296</w:t>
            </w:r>
          </w:p>
        </w:tc>
        <w:tc>
          <w:tcPr>
            <w:tcW w:w="1179" w:type="dxa"/>
            <w:tcBorders>
              <w:top w:val="nil"/>
              <w:left w:val="nil"/>
              <w:bottom w:val="nil"/>
              <w:right w:val="nil"/>
            </w:tcBorders>
          </w:tcPr>
          <w:p>
            <w:pPr>
              <w:pStyle w:val="TableParagraph"/>
              <w:ind w:right="65"/>
              <w:rPr>
                <w:sz w:val="20"/>
              </w:rPr>
            </w:pPr>
            <w:r>
              <w:rPr>
                <w:sz w:val="20"/>
              </w:rPr>
              <w:t>2.296</w:t>
            </w:r>
          </w:p>
        </w:tc>
      </w:tr>
      <w:tr>
        <w:trPr>
          <w:trHeight w:val="270" w:hRule="exact"/>
        </w:trPr>
        <w:tc>
          <w:tcPr>
            <w:tcW w:w="941" w:type="dxa"/>
            <w:tcBorders>
              <w:top w:val="nil"/>
              <w:left w:val="nil"/>
              <w:right w:val="nil"/>
            </w:tcBorders>
          </w:tcPr>
          <w:p>
            <w:pPr>
              <w:pStyle w:val="TableParagraph"/>
              <w:spacing w:before="26"/>
              <w:ind w:left="82"/>
              <w:jc w:val="left"/>
              <w:rPr>
                <w:sz w:val="20"/>
              </w:rPr>
            </w:pPr>
            <w:r>
              <w:rPr>
                <w:sz w:val="20"/>
              </w:rPr>
              <w:t>29</w:t>
            </w:r>
          </w:p>
        </w:tc>
        <w:tc>
          <w:tcPr>
            <w:tcW w:w="1105" w:type="dxa"/>
            <w:tcBorders>
              <w:top w:val="nil"/>
              <w:left w:val="nil"/>
              <w:right w:val="nil"/>
            </w:tcBorders>
          </w:tcPr>
          <w:p>
            <w:pPr>
              <w:pStyle w:val="TableParagraph"/>
              <w:spacing w:before="26"/>
              <w:ind w:right="65"/>
              <w:rPr>
                <w:sz w:val="20"/>
              </w:rPr>
            </w:pPr>
            <w:r>
              <w:rPr>
                <w:sz w:val="20"/>
              </w:rPr>
              <w:t>2.153</w:t>
            </w:r>
          </w:p>
        </w:tc>
        <w:tc>
          <w:tcPr>
            <w:tcW w:w="1102" w:type="dxa"/>
            <w:tcBorders>
              <w:top w:val="nil"/>
              <w:left w:val="nil"/>
              <w:right w:val="nil"/>
            </w:tcBorders>
          </w:tcPr>
          <w:p>
            <w:pPr>
              <w:pStyle w:val="TableParagraph"/>
              <w:spacing w:before="26"/>
              <w:ind w:right="67"/>
              <w:rPr>
                <w:sz w:val="20"/>
              </w:rPr>
            </w:pPr>
            <w:r>
              <w:rPr>
                <w:sz w:val="20"/>
              </w:rPr>
              <w:t>2.153</w:t>
            </w:r>
          </w:p>
        </w:tc>
        <w:tc>
          <w:tcPr>
            <w:tcW w:w="1102" w:type="dxa"/>
            <w:tcBorders>
              <w:top w:val="nil"/>
              <w:left w:val="nil"/>
              <w:right w:val="nil"/>
            </w:tcBorders>
          </w:tcPr>
          <w:p>
            <w:pPr>
              <w:pStyle w:val="TableParagraph"/>
              <w:spacing w:before="26"/>
              <w:ind w:right="65"/>
              <w:rPr>
                <w:sz w:val="20"/>
              </w:rPr>
            </w:pPr>
            <w:r>
              <w:rPr>
                <w:sz w:val="20"/>
              </w:rPr>
              <w:t>3.740</w:t>
            </w:r>
          </w:p>
        </w:tc>
        <w:tc>
          <w:tcPr>
            <w:tcW w:w="1099" w:type="dxa"/>
            <w:tcBorders>
              <w:top w:val="nil"/>
              <w:left w:val="nil"/>
              <w:right w:val="nil"/>
            </w:tcBorders>
          </w:tcPr>
          <w:p>
            <w:pPr>
              <w:pStyle w:val="TableParagraph"/>
              <w:spacing w:before="26"/>
              <w:ind w:right="65"/>
              <w:rPr>
                <w:sz w:val="20"/>
              </w:rPr>
            </w:pPr>
            <w:r>
              <w:rPr>
                <w:sz w:val="20"/>
              </w:rPr>
              <w:t>2.153</w:t>
            </w:r>
          </w:p>
        </w:tc>
        <w:tc>
          <w:tcPr>
            <w:tcW w:w="1100" w:type="dxa"/>
            <w:tcBorders>
              <w:top w:val="nil"/>
              <w:left w:val="nil"/>
              <w:right w:val="nil"/>
            </w:tcBorders>
          </w:tcPr>
          <w:p>
            <w:pPr>
              <w:pStyle w:val="TableParagraph"/>
              <w:spacing w:before="26"/>
              <w:ind w:right="65"/>
              <w:rPr>
                <w:sz w:val="20"/>
              </w:rPr>
            </w:pPr>
            <w:r>
              <w:rPr>
                <w:sz w:val="20"/>
              </w:rPr>
              <w:t>2.153</w:t>
            </w:r>
          </w:p>
        </w:tc>
        <w:tc>
          <w:tcPr>
            <w:tcW w:w="1100" w:type="dxa"/>
            <w:tcBorders>
              <w:top w:val="nil"/>
              <w:left w:val="nil"/>
              <w:right w:val="nil"/>
            </w:tcBorders>
          </w:tcPr>
          <w:p>
            <w:pPr>
              <w:pStyle w:val="TableParagraph"/>
              <w:spacing w:before="26"/>
              <w:ind w:right="65"/>
              <w:rPr>
                <w:sz w:val="20"/>
              </w:rPr>
            </w:pPr>
            <w:r>
              <w:rPr>
                <w:sz w:val="20"/>
              </w:rPr>
              <w:t>2.153</w:t>
            </w:r>
          </w:p>
        </w:tc>
        <w:tc>
          <w:tcPr>
            <w:tcW w:w="1099" w:type="dxa"/>
            <w:tcBorders>
              <w:top w:val="nil"/>
              <w:left w:val="nil"/>
              <w:right w:val="nil"/>
            </w:tcBorders>
          </w:tcPr>
          <w:p>
            <w:pPr>
              <w:pStyle w:val="TableParagraph"/>
              <w:spacing w:before="26"/>
              <w:ind w:right="65"/>
              <w:rPr>
                <w:sz w:val="20"/>
              </w:rPr>
            </w:pPr>
            <w:r>
              <w:rPr>
                <w:sz w:val="20"/>
              </w:rPr>
              <w:t>2.153</w:t>
            </w:r>
          </w:p>
        </w:tc>
        <w:tc>
          <w:tcPr>
            <w:tcW w:w="1102" w:type="dxa"/>
            <w:tcBorders>
              <w:top w:val="nil"/>
              <w:left w:val="nil"/>
              <w:right w:val="nil"/>
            </w:tcBorders>
          </w:tcPr>
          <w:p>
            <w:pPr>
              <w:pStyle w:val="TableParagraph"/>
              <w:spacing w:before="26"/>
              <w:ind w:right="67"/>
              <w:rPr>
                <w:sz w:val="20"/>
              </w:rPr>
            </w:pPr>
            <w:r>
              <w:rPr>
                <w:sz w:val="20"/>
              </w:rPr>
              <w:t>2.153</w:t>
            </w:r>
          </w:p>
        </w:tc>
        <w:tc>
          <w:tcPr>
            <w:tcW w:w="1102" w:type="dxa"/>
            <w:tcBorders>
              <w:top w:val="nil"/>
              <w:left w:val="nil"/>
              <w:right w:val="nil"/>
            </w:tcBorders>
          </w:tcPr>
          <w:p>
            <w:pPr>
              <w:pStyle w:val="TableParagraph"/>
              <w:spacing w:before="26"/>
              <w:ind w:right="65"/>
              <w:rPr>
                <w:sz w:val="20"/>
              </w:rPr>
            </w:pPr>
            <w:r>
              <w:rPr>
                <w:sz w:val="20"/>
              </w:rPr>
              <w:t>2.153</w:t>
            </w:r>
          </w:p>
        </w:tc>
        <w:tc>
          <w:tcPr>
            <w:tcW w:w="1181" w:type="dxa"/>
            <w:tcBorders>
              <w:top w:val="nil"/>
              <w:left w:val="nil"/>
              <w:right w:val="nil"/>
            </w:tcBorders>
          </w:tcPr>
          <w:p>
            <w:pPr>
              <w:pStyle w:val="TableParagraph"/>
              <w:spacing w:before="26"/>
              <w:ind w:right="65"/>
              <w:rPr>
                <w:sz w:val="20"/>
              </w:rPr>
            </w:pPr>
            <w:r>
              <w:rPr>
                <w:sz w:val="20"/>
              </w:rPr>
              <w:t>2.153</w:t>
            </w:r>
          </w:p>
        </w:tc>
        <w:tc>
          <w:tcPr>
            <w:tcW w:w="1179" w:type="dxa"/>
            <w:tcBorders>
              <w:top w:val="nil"/>
              <w:left w:val="nil"/>
              <w:right w:val="nil"/>
            </w:tcBorders>
          </w:tcPr>
          <w:p>
            <w:pPr>
              <w:pStyle w:val="TableParagraph"/>
              <w:spacing w:before="26"/>
              <w:ind w:right="62"/>
              <w:rPr>
                <w:sz w:val="20"/>
              </w:rPr>
            </w:pPr>
            <w:r>
              <w:rPr>
                <w:sz w:val="20"/>
              </w:rPr>
              <w:t>2.153</w:t>
            </w:r>
          </w:p>
        </w:tc>
        <w:tc>
          <w:tcPr>
            <w:tcW w:w="1179" w:type="dxa"/>
            <w:tcBorders>
              <w:top w:val="nil"/>
              <w:left w:val="nil"/>
              <w:right w:val="nil"/>
            </w:tcBorders>
          </w:tcPr>
          <w:p>
            <w:pPr>
              <w:pStyle w:val="TableParagraph"/>
              <w:spacing w:before="26"/>
              <w:ind w:right="65"/>
              <w:rPr>
                <w:sz w:val="20"/>
              </w:rPr>
            </w:pPr>
            <w:r>
              <w:rPr>
                <w:sz w:val="20"/>
              </w:rPr>
              <w:t>2.153</w:t>
            </w:r>
          </w:p>
        </w:tc>
      </w:tr>
    </w:tbl>
    <w:p>
      <w:pPr>
        <w:pStyle w:val="BodyText"/>
      </w:pPr>
    </w:p>
    <w:p>
      <w:pPr>
        <w:spacing w:before="187"/>
        <w:ind w:left="2933" w:right="0" w:firstLine="0"/>
        <w:jc w:val="left"/>
        <w:rPr>
          <w:b/>
          <w:sz w:val="24"/>
        </w:rPr>
      </w:pPr>
      <w:bookmarkStart w:name="_bookmark149" w:id="208"/>
      <w:bookmarkEnd w:id="208"/>
      <w:r>
        <w:rPr/>
      </w:r>
      <w:r>
        <w:rPr>
          <w:b/>
          <w:sz w:val="24"/>
        </w:rPr>
        <w:t>Tabla 12. Promedio mensual de un día de lluvia después de un día seco por subcuenca</w:t>
      </w:r>
    </w:p>
    <w:p>
      <w:pPr>
        <w:pStyle w:val="BodyText"/>
        <w:spacing w:before="7"/>
        <w:rPr>
          <w:b/>
          <w:sz w:val="17"/>
        </w:rPr>
      </w:pPr>
    </w:p>
    <w:tbl>
      <w:tblPr>
        <w:tblW w:w="0" w:type="auto"/>
        <w:jc w:val="left"/>
        <w:tblInd w:w="8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43"/>
        <w:gridCol w:w="1020"/>
        <w:gridCol w:w="945"/>
        <w:gridCol w:w="939"/>
        <w:gridCol w:w="934"/>
        <w:gridCol w:w="926"/>
        <w:gridCol w:w="941"/>
        <w:gridCol w:w="941"/>
        <w:gridCol w:w="939"/>
        <w:gridCol w:w="939"/>
        <w:gridCol w:w="924"/>
        <w:gridCol w:w="975"/>
        <w:gridCol w:w="974"/>
        <w:gridCol w:w="970"/>
      </w:tblGrid>
      <w:tr>
        <w:trPr>
          <w:trHeight w:val="610" w:hRule="exact"/>
        </w:trPr>
        <w:tc>
          <w:tcPr>
            <w:tcW w:w="1143" w:type="dxa"/>
            <w:tcBorders>
              <w:left w:val="nil"/>
              <w:right w:val="nil"/>
            </w:tcBorders>
          </w:tcPr>
          <w:p>
            <w:pPr>
              <w:pStyle w:val="TableParagraph"/>
              <w:spacing w:before="63"/>
              <w:ind w:left="86"/>
              <w:jc w:val="left"/>
              <w:rPr>
                <w:sz w:val="20"/>
              </w:rPr>
            </w:pPr>
            <w:r>
              <w:rPr>
                <w:sz w:val="20"/>
              </w:rPr>
              <w:t>SUBBASIN</w:t>
            </w:r>
          </w:p>
        </w:tc>
        <w:tc>
          <w:tcPr>
            <w:tcW w:w="1020" w:type="dxa"/>
            <w:tcBorders>
              <w:left w:val="nil"/>
              <w:right w:val="nil"/>
            </w:tcBorders>
          </w:tcPr>
          <w:p>
            <w:pPr>
              <w:pStyle w:val="TableParagraph"/>
              <w:spacing w:before="63"/>
              <w:ind w:left="71"/>
              <w:jc w:val="left"/>
              <w:rPr>
                <w:sz w:val="20"/>
              </w:rPr>
            </w:pPr>
            <w:r>
              <w:rPr>
                <w:sz w:val="20"/>
              </w:rPr>
              <w:t>STATION</w:t>
            </w:r>
          </w:p>
        </w:tc>
        <w:tc>
          <w:tcPr>
            <w:tcW w:w="945" w:type="dxa"/>
            <w:tcBorders>
              <w:left w:val="nil"/>
              <w:right w:val="nil"/>
            </w:tcBorders>
          </w:tcPr>
          <w:p>
            <w:pPr>
              <w:pStyle w:val="TableParagraph"/>
              <w:spacing w:before="63"/>
              <w:ind w:right="125"/>
              <w:rPr>
                <w:sz w:val="20"/>
              </w:rPr>
            </w:pPr>
            <w:r>
              <w:rPr>
                <w:sz w:val="20"/>
              </w:rPr>
              <w:t>PR_W11</w:t>
            </w:r>
          </w:p>
        </w:tc>
        <w:tc>
          <w:tcPr>
            <w:tcW w:w="939" w:type="dxa"/>
            <w:tcBorders>
              <w:left w:val="nil"/>
              <w:right w:val="nil"/>
            </w:tcBorders>
          </w:tcPr>
          <w:p>
            <w:pPr>
              <w:pStyle w:val="TableParagraph"/>
              <w:spacing w:before="63"/>
              <w:ind w:right="122"/>
              <w:rPr>
                <w:sz w:val="20"/>
              </w:rPr>
            </w:pPr>
            <w:r>
              <w:rPr>
                <w:sz w:val="20"/>
              </w:rPr>
              <w:t>PR_W12</w:t>
            </w:r>
          </w:p>
        </w:tc>
        <w:tc>
          <w:tcPr>
            <w:tcW w:w="934" w:type="dxa"/>
            <w:tcBorders>
              <w:left w:val="nil"/>
              <w:right w:val="nil"/>
            </w:tcBorders>
          </w:tcPr>
          <w:p>
            <w:pPr>
              <w:pStyle w:val="TableParagraph"/>
              <w:spacing w:before="63"/>
              <w:ind w:right="120"/>
              <w:rPr>
                <w:sz w:val="20"/>
              </w:rPr>
            </w:pPr>
            <w:r>
              <w:rPr>
                <w:sz w:val="20"/>
              </w:rPr>
              <w:t>PR_W13</w:t>
            </w:r>
          </w:p>
        </w:tc>
        <w:tc>
          <w:tcPr>
            <w:tcW w:w="926" w:type="dxa"/>
            <w:tcBorders>
              <w:left w:val="nil"/>
              <w:right w:val="nil"/>
            </w:tcBorders>
          </w:tcPr>
          <w:p>
            <w:pPr>
              <w:pStyle w:val="TableParagraph"/>
              <w:spacing w:before="63"/>
              <w:ind w:right="115"/>
              <w:rPr>
                <w:sz w:val="20"/>
              </w:rPr>
            </w:pPr>
            <w:r>
              <w:rPr>
                <w:sz w:val="20"/>
              </w:rPr>
              <w:t>PR_W14</w:t>
            </w:r>
          </w:p>
        </w:tc>
        <w:tc>
          <w:tcPr>
            <w:tcW w:w="941" w:type="dxa"/>
            <w:tcBorders>
              <w:left w:val="nil"/>
              <w:right w:val="nil"/>
            </w:tcBorders>
          </w:tcPr>
          <w:p>
            <w:pPr>
              <w:pStyle w:val="TableParagraph"/>
              <w:spacing w:before="63"/>
              <w:ind w:right="125"/>
              <w:rPr>
                <w:sz w:val="20"/>
              </w:rPr>
            </w:pPr>
            <w:r>
              <w:rPr>
                <w:sz w:val="20"/>
              </w:rPr>
              <w:t>PR_W15</w:t>
            </w:r>
          </w:p>
        </w:tc>
        <w:tc>
          <w:tcPr>
            <w:tcW w:w="941" w:type="dxa"/>
            <w:tcBorders>
              <w:left w:val="nil"/>
              <w:right w:val="nil"/>
            </w:tcBorders>
          </w:tcPr>
          <w:p>
            <w:pPr>
              <w:pStyle w:val="TableParagraph"/>
              <w:spacing w:before="63"/>
              <w:ind w:right="125"/>
              <w:rPr>
                <w:sz w:val="20"/>
              </w:rPr>
            </w:pPr>
            <w:r>
              <w:rPr>
                <w:sz w:val="20"/>
              </w:rPr>
              <w:t>PR_W16</w:t>
            </w:r>
          </w:p>
        </w:tc>
        <w:tc>
          <w:tcPr>
            <w:tcW w:w="939" w:type="dxa"/>
            <w:tcBorders>
              <w:left w:val="nil"/>
              <w:right w:val="nil"/>
            </w:tcBorders>
          </w:tcPr>
          <w:p>
            <w:pPr>
              <w:pStyle w:val="TableParagraph"/>
              <w:spacing w:before="63"/>
              <w:ind w:right="122"/>
              <w:rPr>
                <w:sz w:val="20"/>
              </w:rPr>
            </w:pPr>
            <w:r>
              <w:rPr>
                <w:sz w:val="20"/>
              </w:rPr>
              <w:t>PR_W17</w:t>
            </w:r>
          </w:p>
        </w:tc>
        <w:tc>
          <w:tcPr>
            <w:tcW w:w="939" w:type="dxa"/>
            <w:tcBorders>
              <w:left w:val="nil"/>
              <w:right w:val="nil"/>
            </w:tcBorders>
          </w:tcPr>
          <w:p>
            <w:pPr>
              <w:pStyle w:val="TableParagraph"/>
              <w:spacing w:before="63"/>
              <w:ind w:right="125"/>
              <w:rPr>
                <w:sz w:val="20"/>
              </w:rPr>
            </w:pPr>
            <w:r>
              <w:rPr>
                <w:sz w:val="20"/>
              </w:rPr>
              <w:t>PR_W18</w:t>
            </w:r>
          </w:p>
        </w:tc>
        <w:tc>
          <w:tcPr>
            <w:tcW w:w="924" w:type="dxa"/>
            <w:tcBorders>
              <w:left w:val="nil"/>
              <w:right w:val="nil"/>
            </w:tcBorders>
          </w:tcPr>
          <w:p>
            <w:pPr>
              <w:pStyle w:val="TableParagraph"/>
              <w:spacing w:before="63"/>
              <w:ind w:right="108"/>
              <w:rPr>
                <w:sz w:val="20"/>
              </w:rPr>
            </w:pPr>
            <w:r>
              <w:rPr>
                <w:sz w:val="20"/>
              </w:rPr>
              <w:t>PR_W19</w:t>
            </w:r>
          </w:p>
        </w:tc>
        <w:tc>
          <w:tcPr>
            <w:tcW w:w="975" w:type="dxa"/>
            <w:tcBorders>
              <w:left w:val="nil"/>
              <w:right w:val="nil"/>
            </w:tcBorders>
          </w:tcPr>
          <w:p>
            <w:pPr>
              <w:pStyle w:val="TableParagraph"/>
              <w:spacing w:before="63"/>
              <w:ind w:right="74"/>
              <w:rPr>
                <w:sz w:val="20"/>
              </w:rPr>
            </w:pPr>
            <w:r>
              <w:rPr>
                <w:sz w:val="20"/>
              </w:rPr>
              <w:t>PR_W110</w:t>
            </w:r>
          </w:p>
        </w:tc>
        <w:tc>
          <w:tcPr>
            <w:tcW w:w="974" w:type="dxa"/>
            <w:tcBorders>
              <w:left w:val="nil"/>
              <w:right w:val="nil"/>
            </w:tcBorders>
          </w:tcPr>
          <w:p>
            <w:pPr>
              <w:pStyle w:val="TableParagraph"/>
              <w:spacing w:before="63"/>
              <w:ind w:right="74"/>
              <w:rPr>
                <w:sz w:val="20"/>
              </w:rPr>
            </w:pPr>
            <w:r>
              <w:rPr>
                <w:sz w:val="20"/>
              </w:rPr>
              <w:t>PR_W111</w:t>
            </w:r>
          </w:p>
        </w:tc>
        <w:tc>
          <w:tcPr>
            <w:tcW w:w="970" w:type="dxa"/>
            <w:tcBorders>
              <w:left w:val="nil"/>
              <w:right w:val="nil"/>
            </w:tcBorders>
          </w:tcPr>
          <w:p>
            <w:pPr>
              <w:pStyle w:val="TableParagraph"/>
              <w:spacing w:before="63"/>
              <w:ind w:right="70"/>
              <w:rPr>
                <w:sz w:val="20"/>
              </w:rPr>
            </w:pPr>
            <w:r>
              <w:rPr>
                <w:sz w:val="20"/>
              </w:rPr>
              <w:t>PR_W112</w:t>
            </w:r>
          </w:p>
        </w:tc>
      </w:tr>
      <w:tr>
        <w:trPr>
          <w:trHeight w:val="344" w:hRule="exact"/>
        </w:trPr>
        <w:tc>
          <w:tcPr>
            <w:tcW w:w="1143" w:type="dxa"/>
            <w:tcBorders>
              <w:left w:val="nil"/>
              <w:bottom w:val="nil"/>
              <w:right w:val="nil"/>
            </w:tcBorders>
          </w:tcPr>
          <w:p>
            <w:pPr>
              <w:pStyle w:val="TableParagraph"/>
              <w:spacing w:before="63"/>
              <w:ind w:left="86"/>
              <w:jc w:val="left"/>
              <w:rPr>
                <w:sz w:val="20"/>
              </w:rPr>
            </w:pPr>
            <w:r>
              <w:rPr>
                <w:w w:val="100"/>
                <w:sz w:val="20"/>
              </w:rPr>
              <w:t>1</w:t>
            </w:r>
          </w:p>
        </w:tc>
        <w:tc>
          <w:tcPr>
            <w:tcW w:w="1020" w:type="dxa"/>
            <w:tcBorders>
              <w:left w:val="nil"/>
              <w:bottom w:val="nil"/>
              <w:right w:val="nil"/>
            </w:tcBorders>
          </w:tcPr>
          <w:p>
            <w:pPr>
              <w:pStyle w:val="TableParagraph"/>
              <w:spacing w:before="63"/>
              <w:ind w:left="71"/>
              <w:jc w:val="left"/>
              <w:rPr>
                <w:sz w:val="20"/>
              </w:rPr>
            </w:pPr>
            <w:r>
              <w:rPr>
                <w:sz w:val="20"/>
              </w:rPr>
              <w:t>15001</w:t>
            </w:r>
          </w:p>
        </w:tc>
        <w:tc>
          <w:tcPr>
            <w:tcW w:w="945" w:type="dxa"/>
            <w:tcBorders>
              <w:left w:val="nil"/>
              <w:bottom w:val="nil"/>
              <w:right w:val="nil"/>
            </w:tcBorders>
          </w:tcPr>
          <w:p>
            <w:pPr>
              <w:pStyle w:val="TableParagraph"/>
              <w:spacing w:before="63"/>
              <w:ind w:right="82"/>
              <w:rPr>
                <w:sz w:val="20"/>
              </w:rPr>
            </w:pPr>
            <w:r>
              <w:rPr>
                <w:sz w:val="20"/>
              </w:rPr>
              <w:t>0.04</w:t>
            </w:r>
          </w:p>
        </w:tc>
        <w:tc>
          <w:tcPr>
            <w:tcW w:w="939" w:type="dxa"/>
            <w:tcBorders>
              <w:left w:val="nil"/>
              <w:bottom w:val="nil"/>
              <w:right w:val="nil"/>
            </w:tcBorders>
          </w:tcPr>
          <w:p>
            <w:pPr>
              <w:pStyle w:val="TableParagraph"/>
              <w:spacing w:before="63"/>
              <w:ind w:right="79"/>
              <w:rPr>
                <w:sz w:val="20"/>
              </w:rPr>
            </w:pPr>
            <w:r>
              <w:rPr>
                <w:sz w:val="20"/>
              </w:rPr>
              <w:t>0.03</w:t>
            </w:r>
          </w:p>
        </w:tc>
        <w:tc>
          <w:tcPr>
            <w:tcW w:w="934" w:type="dxa"/>
            <w:tcBorders>
              <w:left w:val="nil"/>
              <w:bottom w:val="nil"/>
              <w:right w:val="nil"/>
            </w:tcBorders>
          </w:tcPr>
          <w:p>
            <w:pPr>
              <w:pStyle w:val="TableParagraph"/>
              <w:spacing w:before="63"/>
              <w:ind w:right="77"/>
              <w:rPr>
                <w:sz w:val="20"/>
              </w:rPr>
            </w:pPr>
            <w:r>
              <w:rPr>
                <w:sz w:val="20"/>
              </w:rPr>
              <w:t>0.04</w:t>
            </w:r>
          </w:p>
        </w:tc>
        <w:tc>
          <w:tcPr>
            <w:tcW w:w="926" w:type="dxa"/>
            <w:tcBorders>
              <w:left w:val="nil"/>
              <w:bottom w:val="nil"/>
              <w:right w:val="nil"/>
            </w:tcBorders>
          </w:tcPr>
          <w:p>
            <w:pPr>
              <w:pStyle w:val="TableParagraph"/>
              <w:spacing w:before="63"/>
              <w:ind w:right="82"/>
              <w:rPr>
                <w:sz w:val="20"/>
              </w:rPr>
            </w:pPr>
            <w:r>
              <w:rPr>
                <w:sz w:val="20"/>
              </w:rPr>
              <w:t>0.11</w:t>
            </w:r>
          </w:p>
        </w:tc>
        <w:tc>
          <w:tcPr>
            <w:tcW w:w="941" w:type="dxa"/>
            <w:tcBorders>
              <w:left w:val="nil"/>
              <w:bottom w:val="nil"/>
              <w:right w:val="nil"/>
            </w:tcBorders>
          </w:tcPr>
          <w:p>
            <w:pPr>
              <w:pStyle w:val="TableParagraph"/>
              <w:spacing w:before="63"/>
              <w:ind w:right="82"/>
              <w:rPr>
                <w:sz w:val="20"/>
              </w:rPr>
            </w:pPr>
            <w:r>
              <w:rPr>
                <w:sz w:val="20"/>
              </w:rPr>
              <w:t>0.2</w:t>
            </w:r>
          </w:p>
        </w:tc>
        <w:tc>
          <w:tcPr>
            <w:tcW w:w="941" w:type="dxa"/>
            <w:tcBorders>
              <w:left w:val="nil"/>
              <w:bottom w:val="nil"/>
              <w:right w:val="nil"/>
            </w:tcBorders>
          </w:tcPr>
          <w:p>
            <w:pPr>
              <w:pStyle w:val="TableParagraph"/>
              <w:spacing w:before="63"/>
              <w:ind w:right="82"/>
              <w:rPr>
                <w:sz w:val="20"/>
              </w:rPr>
            </w:pPr>
            <w:r>
              <w:rPr>
                <w:sz w:val="20"/>
              </w:rPr>
              <w:t>0.28</w:t>
            </w:r>
          </w:p>
        </w:tc>
        <w:tc>
          <w:tcPr>
            <w:tcW w:w="939" w:type="dxa"/>
            <w:tcBorders>
              <w:left w:val="nil"/>
              <w:bottom w:val="nil"/>
              <w:right w:val="nil"/>
            </w:tcBorders>
          </w:tcPr>
          <w:p>
            <w:pPr>
              <w:pStyle w:val="TableParagraph"/>
              <w:spacing w:before="63"/>
              <w:ind w:right="79"/>
              <w:rPr>
                <w:sz w:val="20"/>
              </w:rPr>
            </w:pPr>
            <w:r>
              <w:rPr>
                <w:sz w:val="20"/>
              </w:rPr>
              <w:t>0.36</w:t>
            </w:r>
          </w:p>
        </w:tc>
        <w:tc>
          <w:tcPr>
            <w:tcW w:w="939" w:type="dxa"/>
            <w:tcBorders>
              <w:left w:val="nil"/>
              <w:bottom w:val="nil"/>
              <w:right w:val="nil"/>
            </w:tcBorders>
          </w:tcPr>
          <w:p>
            <w:pPr>
              <w:pStyle w:val="TableParagraph"/>
              <w:spacing w:before="63"/>
              <w:ind w:right="82"/>
              <w:rPr>
                <w:sz w:val="20"/>
              </w:rPr>
            </w:pPr>
            <w:r>
              <w:rPr>
                <w:sz w:val="20"/>
              </w:rPr>
              <w:t>0.33</w:t>
            </w:r>
          </w:p>
        </w:tc>
        <w:tc>
          <w:tcPr>
            <w:tcW w:w="924" w:type="dxa"/>
            <w:tcBorders>
              <w:left w:val="nil"/>
              <w:bottom w:val="nil"/>
              <w:right w:val="nil"/>
            </w:tcBorders>
          </w:tcPr>
          <w:p>
            <w:pPr>
              <w:pStyle w:val="TableParagraph"/>
              <w:spacing w:before="63"/>
              <w:ind w:right="65"/>
              <w:rPr>
                <w:sz w:val="20"/>
              </w:rPr>
            </w:pPr>
            <w:r>
              <w:rPr>
                <w:sz w:val="20"/>
              </w:rPr>
              <w:t>0.23</w:t>
            </w:r>
          </w:p>
        </w:tc>
        <w:tc>
          <w:tcPr>
            <w:tcW w:w="975" w:type="dxa"/>
            <w:tcBorders>
              <w:left w:val="nil"/>
              <w:bottom w:val="nil"/>
              <w:right w:val="nil"/>
            </w:tcBorders>
          </w:tcPr>
          <w:p>
            <w:pPr>
              <w:pStyle w:val="TableParagraph"/>
              <w:spacing w:before="63"/>
              <w:ind w:right="65"/>
              <w:rPr>
                <w:sz w:val="20"/>
              </w:rPr>
            </w:pPr>
            <w:r>
              <w:rPr>
                <w:sz w:val="20"/>
              </w:rPr>
              <w:t>0.12</w:t>
            </w:r>
          </w:p>
        </w:tc>
        <w:tc>
          <w:tcPr>
            <w:tcW w:w="974" w:type="dxa"/>
            <w:tcBorders>
              <w:left w:val="nil"/>
              <w:bottom w:val="nil"/>
              <w:right w:val="nil"/>
            </w:tcBorders>
          </w:tcPr>
          <w:p>
            <w:pPr>
              <w:pStyle w:val="TableParagraph"/>
              <w:spacing w:before="63"/>
              <w:ind w:right="65"/>
              <w:rPr>
                <w:sz w:val="20"/>
              </w:rPr>
            </w:pPr>
            <w:r>
              <w:rPr>
                <w:sz w:val="20"/>
              </w:rPr>
              <w:t>0.06</w:t>
            </w:r>
          </w:p>
        </w:tc>
        <w:tc>
          <w:tcPr>
            <w:tcW w:w="970" w:type="dxa"/>
            <w:tcBorders>
              <w:left w:val="nil"/>
              <w:bottom w:val="nil"/>
              <w:right w:val="nil"/>
            </w:tcBorders>
          </w:tcPr>
          <w:p>
            <w:pPr>
              <w:pStyle w:val="TableParagraph"/>
              <w:spacing w:before="63"/>
              <w:ind w:right="60"/>
              <w:rPr>
                <w:sz w:val="20"/>
              </w:rPr>
            </w:pPr>
            <w:r>
              <w:rPr>
                <w:sz w:val="20"/>
              </w:rPr>
              <w:t>0.04</w:t>
            </w:r>
          </w:p>
        </w:tc>
      </w:tr>
      <w:tr>
        <w:trPr>
          <w:trHeight w:val="300" w:hRule="exact"/>
        </w:trPr>
        <w:tc>
          <w:tcPr>
            <w:tcW w:w="1143" w:type="dxa"/>
            <w:tcBorders>
              <w:top w:val="nil"/>
              <w:left w:val="nil"/>
              <w:bottom w:val="nil"/>
              <w:right w:val="nil"/>
            </w:tcBorders>
          </w:tcPr>
          <w:p>
            <w:pPr>
              <w:pStyle w:val="TableParagraph"/>
              <w:spacing w:before="26"/>
              <w:ind w:left="86"/>
              <w:jc w:val="left"/>
              <w:rPr>
                <w:sz w:val="20"/>
              </w:rPr>
            </w:pPr>
            <w:r>
              <w:rPr>
                <w:w w:val="100"/>
                <w:sz w:val="20"/>
              </w:rPr>
              <w:t>2</w:t>
            </w:r>
          </w:p>
        </w:tc>
        <w:tc>
          <w:tcPr>
            <w:tcW w:w="1020" w:type="dxa"/>
            <w:tcBorders>
              <w:top w:val="nil"/>
              <w:left w:val="nil"/>
              <w:bottom w:val="nil"/>
              <w:right w:val="nil"/>
            </w:tcBorders>
          </w:tcPr>
          <w:p>
            <w:pPr>
              <w:pStyle w:val="TableParagraph"/>
              <w:spacing w:before="26"/>
              <w:ind w:left="71"/>
              <w:jc w:val="left"/>
              <w:rPr>
                <w:sz w:val="20"/>
              </w:rPr>
            </w:pPr>
            <w:r>
              <w:rPr>
                <w:sz w:val="20"/>
              </w:rPr>
              <w:t>15001</w:t>
            </w:r>
          </w:p>
        </w:tc>
        <w:tc>
          <w:tcPr>
            <w:tcW w:w="945" w:type="dxa"/>
            <w:tcBorders>
              <w:top w:val="nil"/>
              <w:left w:val="nil"/>
              <w:bottom w:val="nil"/>
              <w:right w:val="nil"/>
            </w:tcBorders>
          </w:tcPr>
          <w:p>
            <w:pPr>
              <w:pStyle w:val="TableParagraph"/>
              <w:spacing w:before="26"/>
              <w:ind w:right="82"/>
              <w:rPr>
                <w:sz w:val="20"/>
              </w:rPr>
            </w:pPr>
            <w:r>
              <w:rPr>
                <w:sz w:val="20"/>
              </w:rPr>
              <w:t>0.04</w:t>
            </w:r>
          </w:p>
        </w:tc>
        <w:tc>
          <w:tcPr>
            <w:tcW w:w="939" w:type="dxa"/>
            <w:tcBorders>
              <w:top w:val="nil"/>
              <w:left w:val="nil"/>
              <w:bottom w:val="nil"/>
              <w:right w:val="nil"/>
            </w:tcBorders>
          </w:tcPr>
          <w:p>
            <w:pPr>
              <w:pStyle w:val="TableParagraph"/>
              <w:spacing w:before="26"/>
              <w:ind w:right="79"/>
              <w:rPr>
                <w:sz w:val="20"/>
              </w:rPr>
            </w:pPr>
            <w:r>
              <w:rPr>
                <w:sz w:val="20"/>
              </w:rPr>
              <w:t>0.03</w:t>
            </w:r>
          </w:p>
        </w:tc>
        <w:tc>
          <w:tcPr>
            <w:tcW w:w="934" w:type="dxa"/>
            <w:tcBorders>
              <w:top w:val="nil"/>
              <w:left w:val="nil"/>
              <w:bottom w:val="nil"/>
              <w:right w:val="nil"/>
            </w:tcBorders>
          </w:tcPr>
          <w:p>
            <w:pPr>
              <w:pStyle w:val="TableParagraph"/>
              <w:spacing w:before="26"/>
              <w:ind w:right="77"/>
              <w:rPr>
                <w:sz w:val="20"/>
              </w:rPr>
            </w:pPr>
            <w:r>
              <w:rPr>
                <w:sz w:val="20"/>
              </w:rPr>
              <w:t>0.04</w:t>
            </w:r>
          </w:p>
        </w:tc>
        <w:tc>
          <w:tcPr>
            <w:tcW w:w="926" w:type="dxa"/>
            <w:tcBorders>
              <w:top w:val="nil"/>
              <w:left w:val="nil"/>
              <w:bottom w:val="nil"/>
              <w:right w:val="nil"/>
            </w:tcBorders>
          </w:tcPr>
          <w:p>
            <w:pPr>
              <w:pStyle w:val="TableParagraph"/>
              <w:spacing w:before="26"/>
              <w:ind w:right="82"/>
              <w:rPr>
                <w:sz w:val="20"/>
              </w:rPr>
            </w:pPr>
            <w:r>
              <w:rPr>
                <w:sz w:val="20"/>
              </w:rPr>
              <w:t>0.11</w:t>
            </w:r>
          </w:p>
        </w:tc>
        <w:tc>
          <w:tcPr>
            <w:tcW w:w="941" w:type="dxa"/>
            <w:tcBorders>
              <w:top w:val="nil"/>
              <w:left w:val="nil"/>
              <w:bottom w:val="nil"/>
              <w:right w:val="nil"/>
            </w:tcBorders>
          </w:tcPr>
          <w:p>
            <w:pPr>
              <w:pStyle w:val="TableParagraph"/>
              <w:spacing w:before="26"/>
              <w:ind w:right="82"/>
              <w:rPr>
                <w:sz w:val="20"/>
              </w:rPr>
            </w:pPr>
            <w:r>
              <w:rPr>
                <w:sz w:val="20"/>
              </w:rPr>
              <w:t>0.2</w:t>
            </w:r>
          </w:p>
        </w:tc>
        <w:tc>
          <w:tcPr>
            <w:tcW w:w="941" w:type="dxa"/>
            <w:tcBorders>
              <w:top w:val="nil"/>
              <w:left w:val="nil"/>
              <w:bottom w:val="nil"/>
              <w:right w:val="nil"/>
            </w:tcBorders>
          </w:tcPr>
          <w:p>
            <w:pPr>
              <w:pStyle w:val="TableParagraph"/>
              <w:spacing w:before="26"/>
              <w:ind w:right="82"/>
              <w:rPr>
                <w:sz w:val="20"/>
              </w:rPr>
            </w:pPr>
            <w:r>
              <w:rPr>
                <w:sz w:val="20"/>
              </w:rPr>
              <w:t>0.28</w:t>
            </w:r>
          </w:p>
        </w:tc>
        <w:tc>
          <w:tcPr>
            <w:tcW w:w="939" w:type="dxa"/>
            <w:tcBorders>
              <w:top w:val="nil"/>
              <w:left w:val="nil"/>
              <w:bottom w:val="nil"/>
              <w:right w:val="nil"/>
            </w:tcBorders>
          </w:tcPr>
          <w:p>
            <w:pPr>
              <w:pStyle w:val="TableParagraph"/>
              <w:spacing w:before="26"/>
              <w:ind w:right="79"/>
              <w:rPr>
                <w:sz w:val="20"/>
              </w:rPr>
            </w:pPr>
            <w:r>
              <w:rPr>
                <w:sz w:val="20"/>
              </w:rPr>
              <w:t>0.36</w:t>
            </w:r>
          </w:p>
        </w:tc>
        <w:tc>
          <w:tcPr>
            <w:tcW w:w="939" w:type="dxa"/>
            <w:tcBorders>
              <w:top w:val="nil"/>
              <w:left w:val="nil"/>
              <w:bottom w:val="nil"/>
              <w:right w:val="nil"/>
            </w:tcBorders>
          </w:tcPr>
          <w:p>
            <w:pPr>
              <w:pStyle w:val="TableParagraph"/>
              <w:spacing w:before="26"/>
              <w:ind w:right="82"/>
              <w:rPr>
                <w:sz w:val="20"/>
              </w:rPr>
            </w:pPr>
            <w:r>
              <w:rPr>
                <w:sz w:val="20"/>
              </w:rPr>
              <w:t>0.33</w:t>
            </w:r>
          </w:p>
        </w:tc>
        <w:tc>
          <w:tcPr>
            <w:tcW w:w="924" w:type="dxa"/>
            <w:tcBorders>
              <w:top w:val="nil"/>
              <w:left w:val="nil"/>
              <w:bottom w:val="nil"/>
              <w:right w:val="nil"/>
            </w:tcBorders>
          </w:tcPr>
          <w:p>
            <w:pPr>
              <w:pStyle w:val="TableParagraph"/>
              <w:spacing w:before="26"/>
              <w:ind w:right="65"/>
              <w:rPr>
                <w:sz w:val="20"/>
              </w:rPr>
            </w:pPr>
            <w:r>
              <w:rPr>
                <w:sz w:val="20"/>
              </w:rPr>
              <w:t>0.23</w:t>
            </w:r>
          </w:p>
        </w:tc>
        <w:tc>
          <w:tcPr>
            <w:tcW w:w="975" w:type="dxa"/>
            <w:tcBorders>
              <w:top w:val="nil"/>
              <w:left w:val="nil"/>
              <w:bottom w:val="nil"/>
              <w:right w:val="nil"/>
            </w:tcBorders>
          </w:tcPr>
          <w:p>
            <w:pPr>
              <w:pStyle w:val="TableParagraph"/>
              <w:spacing w:before="26"/>
              <w:ind w:right="65"/>
              <w:rPr>
                <w:sz w:val="20"/>
              </w:rPr>
            </w:pPr>
            <w:r>
              <w:rPr>
                <w:sz w:val="20"/>
              </w:rPr>
              <w:t>0.12</w:t>
            </w:r>
          </w:p>
        </w:tc>
        <w:tc>
          <w:tcPr>
            <w:tcW w:w="974" w:type="dxa"/>
            <w:tcBorders>
              <w:top w:val="nil"/>
              <w:left w:val="nil"/>
              <w:bottom w:val="nil"/>
              <w:right w:val="nil"/>
            </w:tcBorders>
          </w:tcPr>
          <w:p>
            <w:pPr>
              <w:pStyle w:val="TableParagraph"/>
              <w:spacing w:before="26"/>
              <w:ind w:right="65"/>
              <w:rPr>
                <w:sz w:val="20"/>
              </w:rPr>
            </w:pPr>
            <w:r>
              <w:rPr>
                <w:sz w:val="20"/>
              </w:rPr>
              <w:t>0.06</w:t>
            </w:r>
          </w:p>
        </w:tc>
        <w:tc>
          <w:tcPr>
            <w:tcW w:w="970" w:type="dxa"/>
            <w:tcBorders>
              <w:top w:val="nil"/>
              <w:left w:val="nil"/>
              <w:bottom w:val="nil"/>
              <w:right w:val="nil"/>
            </w:tcBorders>
          </w:tcPr>
          <w:p>
            <w:pPr>
              <w:pStyle w:val="TableParagraph"/>
              <w:spacing w:before="26"/>
              <w:ind w:right="60"/>
              <w:rPr>
                <w:sz w:val="20"/>
              </w:rPr>
            </w:pPr>
            <w:r>
              <w:rPr>
                <w:sz w:val="20"/>
              </w:rPr>
              <w:t>0.04</w:t>
            </w:r>
          </w:p>
        </w:tc>
      </w:tr>
      <w:tr>
        <w:trPr>
          <w:trHeight w:val="300" w:hRule="exact"/>
        </w:trPr>
        <w:tc>
          <w:tcPr>
            <w:tcW w:w="1143" w:type="dxa"/>
            <w:tcBorders>
              <w:top w:val="nil"/>
              <w:left w:val="nil"/>
              <w:bottom w:val="nil"/>
              <w:right w:val="nil"/>
            </w:tcBorders>
          </w:tcPr>
          <w:p>
            <w:pPr>
              <w:pStyle w:val="TableParagraph"/>
              <w:ind w:left="86"/>
              <w:jc w:val="left"/>
              <w:rPr>
                <w:sz w:val="20"/>
              </w:rPr>
            </w:pPr>
            <w:r>
              <w:rPr>
                <w:w w:val="100"/>
                <w:sz w:val="20"/>
              </w:rPr>
              <w:t>3</w:t>
            </w:r>
          </w:p>
        </w:tc>
        <w:tc>
          <w:tcPr>
            <w:tcW w:w="1020" w:type="dxa"/>
            <w:tcBorders>
              <w:top w:val="nil"/>
              <w:left w:val="nil"/>
              <w:bottom w:val="nil"/>
              <w:right w:val="nil"/>
            </w:tcBorders>
          </w:tcPr>
          <w:p>
            <w:pPr>
              <w:pStyle w:val="TableParagraph"/>
              <w:ind w:left="71"/>
              <w:jc w:val="left"/>
              <w:rPr>
                <w:sz w:val="20"/>
              </w:rPr>
            </w:pPr>
            <w:r>
              <w:rPr>
                <w:sz w:val="20"/>
              </w:rPr>
              <w:t>15261</w:t>
            </w:r>
          </w:p>
        </w:tc>
        <w:tc>
          <w:tcPr>
            <w:tcW w:w="945" w:type="dxa"/>
            <w:tcBorders>
              <w:top w:val="nil"/>
              <w:left w:val="nil"/>
              <w:bottom w:val="nil"/>
              <w:right w:val="nil"/>
            </w:tcBorders>
          </w:tcPr>
          <w:p>
            <w:pPr>
              <w:pStyle w:val="TableParagraph"/>
              <w:ind w:right="82"/>
              <w:rPr>
                <w:sz w:val="20"/>
              </w:rPr>
            </w:pPr>
            <w:r>
              <w:rPr>
                <w:sz w:val="20"/>
              </w:rPr>
              <w:t>0.03</w:t>
            </w:r>
          </w:p>
        </w:tc>
        <w:tc>
          <w:tcPr>
            <w:tcW w:w="939" w:type="dxa"/>
            <w:tcBorders>
              <w:top w:val="nil"/>
              <w:left w:val="nil"/>
              <w:bottom w:val="nil"/>
              <w:right w:val="nil"/>
            </w:tcBorders>
          </w:tcPr>
          <w:p>
            <w:pPr>
              <w:pStyle w:val="TableParagraph"/>
              <w:ind w:right="84"/>
              <w:rPr>
                <w:sz w:val="20"/>
              </w:rPr>
            </w:pPr>
            <w:r>
              <w:rPr>
                <w:w w:val="100"/>
                <w:sz w:val="20"/>
              </w:rPr>
              <w:t>0</w:t>
            </w:r>
          </w:p>
        </w:tc>
        <w:tc>
          <w:tcPr>
            <w:tcW w:w="934" w:type="dxa"/>
            <w:tcBorders>
              <w:top w:val="nil"/>
              <w:left w:val="nil"/>
              <w:bottom w:val="nil"/>
              <w:right w:val="nil"/>
            </w:tcBorders>
          </w:tcPr>
          <w:p>
            <w:pPr>
              <w:pStyle w:val="TableParagraph"/>
              <w:ind w:right="81"/>
              <w:rPr>
                <w:sz w:val="20"/>
              </w:rPr>
            </w:pPr>
            <w:r>
              <w:rPr>
                <w:w w:val="100"/>
                <w:sz w:val="20"/>
              </w:rPr>
              <w:t>0</w:t>
            </w:r>
          </w:p>
        </w:tc>
        <w:tc>
          <w:tcPr>
            <w:tcW w:w="926" w:type="dxa"/>
            <w:tcBorders>
              <w:top w:val="nil"/>
              <w:left w:val="nil"/>
              <w:bottom w:val="nil"/>
              <w:right w:val="nil"/>
            </w:tcBorders>
          </w:tcPr>
          <w:p>
            <w:pPr>
              <w:pStyle w:val="TableParagraph"/>
              <w:ind w:right="86"/>
              <w:rPr>
                <w:sz w:val="20"/>
              </w:rPr>
            </w:pPr>
            <w:r>
              <w:rPr>
                <w:w w:val="100"/>
                <w:sz w:val="20"/>
              </w:rPr>
              <w:t>0</w:t>
            </w:r>
          </w:p>
        </w:tc>
        <w:tc>
          <w:tcPr>
            <w:tcW w:w="941" w:type="dxa"/>
            <w:tcBorders>
              <w:top w:val="nil"/>
              <w:left w:val="nil"/>
              <w:bottom w:val="nil"/>
              <w:right w:val="nil"/>
            </w:tcBorders>
          </w:tcPr>
          <w:p>
            <w:pPr>
              <w:pStyle w:val="TableParagraph"/>
              <w:ind w:right="82"/>
              <w:rPr>
                <w:sz w:val="20"/>
              </w:rPr>
            </w:pPr>
            <w:r>
              <w:rPr>
                <w:sz w:val="20"/>
              </w:rPr>
              <w:t>0.1</w:t>
            </w:r>
          </w:p>
        </w:tc>
        <w:tc>
          <w:tcPr>
            <w:tcW w:w="941" w:type="dxa"/>
            <w:tcBorders>
              <w:top w:val="nil"/>
              <w:left w:val="nil"/>
              <w:bottom w:val="nil"/>
              <w:right w:val="nil"/>
            </w:tcBorders>
          </w:tcPr>
          <w:p>
            <w:pPr>
              <w:pStyle w:val="TableParagraph"/>
              <w:ind w:right="82"/>
              <w:rPr>
                <w:sz w:val="20"/>
              </w:rPr>
            </w:pPr>
            <w:r>
              <w:rPr>
                <w:sz w:val="20"/>
              </w:rPr>
              <w:t>0.1</w:t>
            </w:r>
          </w:p>
        </w:tc>
        <w:tc>
          <w:tcPr>
            <w:tcW w:w="939" w:type="dxa"/>
            <w:tcBorders>
              <w:top w:val="nil"/>
              <w:left w:val="nil"/>
              <w:bottom w:val="nil"/>
              <w:right w:val="nil"/>
            </w:tcBorders>
          </w:tcPr>
          <w:p>
            <w:pPr>
              <w:pStyle w:val="TableParagraph"/>
              <w:ind w:right="79"/>
              <w:rPr>
                <w:sz w:val="20"/>
              </w:rPr>
            </w:pPr>
            <w:r>
              <w:rPr>
                <w:sz w:val="20"/>
              </w:rPr>
              <w:t>0.2</w:t>
            </w:r>
          </w:p>
        </w:tc>
        <w:tc>
          <w:tcPr>
            <w:tcW w:w="939" w:type="dxa"/>
            <w:tcBorders>
              <w:top w:val="nil"/>
              <w:left w:val="nil"/>
              <w:bottom w:val="nil"/>
              <w:right w:val="nil"/>
            </w:tcBorders>
          </w:tcPr>
          <w:p>
            <w:pPr>
              <w:pStyle w:val="TableParagraph"/>
              <w:ind w:right="82"/>
              <w:rPr>
                <w:sz w:val="20"/>
              </w:rPr>
            </w:pPr>
            <w:r>
              <w:rPr>
                <w:sz w:val="20"/>
              </w:rPr>
              <w:t>0.3</w:t>
            </w:r>
          </w:p>
        </w:tc>
        <w:tc>
          <w:tcPr>
            <w:tcW w:w="924" w:type="dxa"/>
            <w:tcBorders>
              <w:top w:val="nil"/>
              <w:left w:val="nil"/>
              <w:bottom w:val="nil"/>
              <w:right w:val="nil"/>
            </w:tcBorders>
          </w:tcPr>
          <w:p>
            <w:pPr>
              <w:pStyle w:val="TableParagraph"/>
              <w:ind w:right="65"/>
              <w:rPr>
                <w:sz w:val="20"/>
              </w:rPr>
            </w:pPr>
            <w:r>
              <w:rPr>
                <w:sz w:val="20"/>
              </w:rPr>
              <w:t>0.2</w:t>
            </w:r>
          </w:p>
        </w:tc>
        <w:tc>
          <w:tcPr>
            <w:tcW w:w="975" w:type="dxa"/>
            <w:tcBorders>
              <w:top w:val="nil"/>
              <w:left w:val="nil"/>
              <w:bottom w:val="nil"/>
              <w:right w:val="nil"/>
            </w:tcBorders>
          </w:tcPr>
          <w:p>
            <w:pPr>
              <w:pStyle w:val="TableParagraph"/>
              <w:ind w:right="65"/>
              <w:rPr>
                <w:sz w:val="20"/>
              </w:rPr>
            </w:pPr>
            <w:r>
              <w:rPr>
                <w:sz w:val="20"/>
              </w:rPr>
              <w:t>0.2</w:t>
            </w:r>
          </w:p>
        </w:tc>
        <w:tc>
          <w:tcPr>
            <w:tcW w:w="974" w:type="dxa"/>
            <w:tcBorders>
              <w:top w:val="nil"/>
              <w:left w:val="nil"/>
              <w:bottom w:val="nil"/>
              <w:right w:val="nil"/>
            </w:tcBorders>
          </w:tcPr>
          <w:p>
            <w:pPr>
              <w:pStyle w:val="TableParagraph"/>
              <w:ind w:right="65"/>
              <w:rPr>
                <w:sz w:val="20"/>
              </w:rPr>
            </w:pPr>
            <w:r>
              <w:rPr>
                <w:sz w:val="20"/>
              </w:rPr>
              <w:t>0.1</w:t>
            </w:r>
          </w:p>
        </w:tc>
        <w:tc>
          <w:tcPr>
            <w:tcW w:w="970" w:type="dxa"/>
            <w:tcBorders>
              <w:top w:val="nil"/>
              <w:left w:val="nil"/>
              <w:bottom w:val="nil"/>
              <w:right w:val="nil"/>
            </w:tcBorders>
          </w:tcPr>
          <w:p>
            <w:pPr>
              <w:pStyle w:val="TableParagraph"/>
              <w:ind w:right="60"/>
              <w:rPr>
                <w:sz w:val="20"/>
              </w:rPr>
            </w:pPr>
            <w:r>
              <w:rPr>
                <w:sz w:val="20"/>
              </w:rPr>
              <w:t>0.1</w:t>
            </w:r>
          </w:p>
        </w:tc>
      </w:tr>
      <w:tr>
        <w:trPr>
          <w:trHeight w:val="300" w:hRule="exact"/>
        </w:trPr>
        <w:tc>
          <w:tcPr>
            <w:tcW w:w="1143" w:type="dxa"/>
            <w:tcBorders>
              <w:top w:val="nil"/>
              <w:left w:val="nil"/>
              <w:bottom w:val="nil"/>
              <w:right w:val="nil"/>
            </w:tcBorders>
          </w:tcPr>
          <w:p>
            <w:pPr>
              <w:pStyle w:val="TableParagraph"/>
              <w:spacing w:before="26"/>
              <w:ind w:left="86"/>
              <w:jc w:val="left"/>
              <w:rPr>
                <w:sz w:val="20"/>
              </w:rPr>
            </w:pPr>
            <w:r>
              <w:rPr>
                <w:w w:val="100"/>
                <w:sz w:val="20"/>
              </w:rPr>
              <w:t>4</w:t>
            </w:r>
          </w:p>
        </w:tc>
        <w:tc>
          <w:tcPr>
            <w:tcW w:w="1020" w:type="dxa"/>
            <w:tcBorders>
              <w:top w:val="nil"/>
              <w:left w:val="nil"/>
              <w:bottom w:val="nil"/>
              <w:right w:val="nil"/>
            </w:tcBorders>
          </w:tcPr>
          <w:p>
            <w:pPr>
              <w:pStyle w:val="TableParagraph"/>
              <w:spacing w:before="26"/>
              <w:ind w:left="71"/>
              <w:jc w:val="left"/>
              <w:rPr>
                <w:sz w:val="20"/>
              </w:rPr>
            </w:pPr>
            <w:r>
              <w:rPr>
                <w:sz w:val="20"/>
              </w:rPr>
              <w:t>15001</w:t>
            </w:r>
          </w:p>
        </w:tc>
        <w:tc>
          <w:tcPr>
            <w:tcW w:w="945" w:type="dxa"/>
            <w:tcBorders>
              <w:top w:val="nil"/>
              <w:left w:val="nil"/>
              <w:bottom w:val="nil"/>
              <w:right w:val="nil"/>
            </w:tcBorders>
          </w:tcPr>
          <w:p>
            <w:pPr>
              <w:pStyle w:val="TableParagraph"/>
              <w:spacing w:before="26"/>
              <w:ind w:right="82"/>
              <w:rPr>
                <w:sz w:val="20"/>
              </w:rPr>
            </w:pPr>
            <w:r>
              <w:rPr>
                <w:sz w:val="20"/>
              </w:rPr>
              <w:t>0.04</w:t>
            </w:r>
          </w:p>
        </w:tc>
        <w:tc>
          <w:tcPr>
            <w:tcW w:w="939" w:type="dxa"/>
            <w:tcBorders>
              <w:top w:val="nil"/>
              <w:left w:val="nil"/>
              <w:bottom w:val="nil"/>
              <w:right w:val="nil"/>
            </w:tcBorders>
          </w:tcPr>
          <w:p>
            <w:pPr>
              <w:pStyle w:val="TableParagraph"/>
              <w:spacing w:before="26"/>
              <w:ind w:right="79"/>
              <w:rPr>
                <w:sz w:val="20"/>
              </w:rPr>
            </w:pPr>
            <w:r>
              <w:rPr>
                <w:sz w:val="20"/>
              </w:rPr>
              <w:t>0.03</w:t>
            </w:r>
          </w:p>
        </w:tc>
        <w:tc>
          <w:tcPr>
            <w:tcW w:w="934" w:type="dxa"/>
            <w:tcBorders>
              <w:top w:val="nil"/>
              <w:left w:val="nil"/>
              <w:bottom w:val="nil"/>
              <w:right w:val="nil"/>
            </w:tcBorders>
          </w:tcPr>
          <w:p>
            <w:pPr>
              <w:pStyle w:val="TableParagraph"/>
              <w:spacing w:before="26"/>
              <w:ind w:right="77"/>
              <w:rPr>
                <w:sz w:val="20"/>
              </w:rPr>
            </w:pPr>
            <w:r>
              <w:rPr>
                <w:sz w:val="20"/>
              </w:rPr>
              <w:t>0.04</w:t>
            </w:r>
          </w:p>
        </w:tc>
        <w:tc>
          <w:tcPr>
            <w:tcW w:w="926" w:type="dxa"/>
            <w:tcBorders>
              <w:top w:val="nil"/>
              <w:left w:val="nil"/>
              <w:bottom w:val="nil"/>
              <w:right w:val="nil"/>
            </w:tcBorders>
          </w:tcPr>
          <w:p>
            <w:pPr>
              <w:pStyle w:val="TableParagraph"/>
              <w:spacing w:before="26"/>
              <w:ind w:right="82"/>
              <w:rPr>
                <w:sz w:val="20"/>
              </w:rPr>
            </w:pPr>
            <w:r>
              <w:rPr>
                <w:sz w:val="20"/>
              </w:rPr>
              <w:t>0.11</w:t>
            </w:r>
          </w:p>
        </w:tc>
        <w:tc>
          <w:tcPr>
            <w:tcW w:w="941" w:type="dxa"/>
            <w:tcBorders>
              <w:top w:val="nil"/>
              <w:left w:val="nil"/>
              <w:bottom w:val="nil"/>
              <w:right w:val="nil"/>
            </w:tcBorders>
          </w:tcPr>
          <w:p>
            <w:pPr>
              <w:pStyle w:val="TableParagraph"/>
              <w:spacing w:before="26"/>
              <w:ind w:right="82"/>
              <w:rPr>
                <w:sz w:val="20"/>
              </w:rPr>
            </w:pPr>
            <w:r>
              <w:rPr>
                <w:sz w:val="20"/>
              </w:rPr>
              <w:t>0.2</w:t>
            </w:r>
          </w:p>
        </w:tc>
        <w:tc>
          <w:tcPr>
            <w:tcW w:w="941" w:type="dxa"/>
            <w:tcBorders>
              <w:top w:val="nil"/>
              <w:left w:val="nil"/>
              <w:bottom w:val="nil"/>
              <w:right w:val="nil"/>
            </w:tcBorders>
          </w:tcPr>
          <w:p>
            <w:pPr>
              <w:pStyle w:val="TableParagraph"/>
              <w:spacing w:before="26"/>
              <w:ind w:right="82"/>
              <w:rPr>
                <w:sz w:val="20"/>
              </w:rPr>
            </w:pPr>
            <w:r>
              <w:rPr>
                <w:sz w:val="20"/>
              </w:rPr>
              <w:t>0.28</w:t>
            </w:r>
          </w:p>
        </w:tc>
        <w:tc>
          <w:tcPr>
            <w:tcW w:w="939" w:type="dxa"/>
            <w:tcBorders>
              <w:top w:val="nil"/>
              <w:left w:val="nil"/>
              <w:bottom w:val="nil"/>
              <w:right w:val="nil"/>
            </w:tcBorders>
          </w:tcPr>
          <w:p>
            <w:pPr>
              <w:pStyle w:val="TableParagraph"/>
              <w:spacing w:before="26"/>
              <w:ind w:right="79"/>
              <w:rPr>
                <w:sz w:val="20"/>
              </w:rPr>
            </w:pPr>
            <w:r>
              <w:rPr>
                <w:sz w:val="20"/>
              </w:rPr>
              <w:t>0.36</w:t>
            </w:r>
          </w:p>
        </w:tc>
        <w:tc>
          <w:tcPr>
            <w:tcW w:w="939" w:type="dxa"/>
            <w:tcBorders>
              <w:top w:val="nil"/>
              <w:left w:val="nil"/>
              <w:bottom w:val="nil"/>
              <w:right w:val="nil"/>
            </w:tcBorders>
          </w:tcPr>
          <w:p>
            <w:pPr>
              <w:pStyle w:val="TableParagraph"/>
              <w:spacing w:before="26"/>
              <w:ind w:right="82"/>
              <w:rPr>
                <w:sz w:val="20"/>
              </w:rPr>
            </w:pPr>
            <w:r>
              <w:rPr>
                <w:sz w:val="20"/>
              </w:rPr>
              <w:t>0.33</w:t>
            </w:r>
          </w:p>
        </w:tc>
        <w:tc>
          <w:tcPr>
            <w:tcW w:w="924" w:type="dxa"/>
            <w:tcBorders>
              <w:top w:val="nil"/>
              <w:left w:val="nil"/>
              <w:bottom w:val="nil"/>
              <w:right w:val="nil"/>
            </w:tcBorders>
          </w:tcPr>
          <w:p>
            <w:pPr>
              <w:pStyle w:val="TableParagraph"/>
              <w:spacing w:before="26"/>
              <w:ind w:right="65"/>
              <w:rPr>
                <w:sz w:val="20"/>
              </w:rPr>
            </w:pPr>
            <w:r>
              <w:rPr>
                <w:sz w:val="20"/>
              </w:rPr>
              <w:t>0.23</w:t>
            </w:r>
          </w:p>
        </w:tc>
        <w:tc>
          <w:tcPr>
            <w:tcW w:w="975" w:type="dxa"/>
            <w:tcBorders>
              <w:top w:val="nil"/>
              <w:left w:val="nil"/>
              <w:bottom w:val="nil"/>
              <w:right w:val="nil"/>
            </w:tcBorders>
          </w:tcPr>
          <w:p>
            <w:pPr>
              <w:pStyle w:val="TableParagraph"/>
              <w:spacing w:before="26"/>
              <w:ind w:right="65"/>
              <w:rPr>
                <w:sz w:val="20"/>
              </w:rPr>
            </w:pPr>
            <w:r>
              <w:rPr>
                <w:sz w:val="20"/>
              </w:rPr>
              <w:t>0.12</w:t>
            </w:r>
          </w:p>
        </w:tc>
        <w:tc>
          <w:tcPr>
            <w:tcW w:w="974" w:type="dxa"/>
            <w:tcBorders>
              <w:top w:val="nil"/>
              <w:left w:val="nil"/>
              <w:bottom w:val="nil"/>
              <w:right w:val="nil"/>
            </w:tcBorders>
          </w:tcPr>
          <w:p>
            <w:pPr>
              <w:pStyle w:val="TableParagraph"/>
              <w:spacing w:before="26"/>
              <w:ind w:right="65"/>
              <w:rPr>
                <w:sz w:val="20"/>
              </w:rPr>
            </w:pPr>
            <w:r>
              <w:rPr>
                <w:sz w:val="20"/>
              </w:rPr>
              <w:t>0.06</w:t>
            </w:r>
          </w:p>
        </w:tc>
        <w:tc>
          <w:tcPr>
            <w:tcW w:w="970" w:type="dxa"/>
            <w:tcBorders>
              <w:top w:val="nil"/>
              <w:left w:val="nil"/>
              <w:bottom w:val="nil"/>
              <w:right w:val="nil"/>
            </w:tcBorders>
          </w:tcPr>
          <w:p>
            <w:pPr>
              <w:pStyle w:val="TableParagraph"/>
              <w:spacing w:before="26"/>
              <w:ind w:right="60"/>
              <w:rPr>
                <w:sz w:val="20"/>
              </w:rPr>
            </w:pPr>
            <w:r>
              <w:rPr>
                <w:sz w:val="20"/>
              </w:rPr>
              <w:t>0.04</w:t>
            </w:r>
          </w:p>
        </w:tc>
      </w:tr>
      <w:tr>
        <w:trPr>
          <w:trHeight w:val="300" w:hRule="exact"/>
        </w:trPr>
        <w:tc>
          <w:tcPr>
            <w:tcW w:w="1143" w:type="dxa"/>
            <w:tcBorders>
              <w:top w:val="nil"/>
              <w:left w:val="nil"/>
              <w:bottom w:val="nil"/>
              <w:right w:val="nil"/>
            </w:tcBorders>
          </w:tcPr>
          <w:p>
            <w:pPr>
              <w:pStyle w:val="TableParagraph"/>
              <w:ind w:left="86"/>
              <w:jc w:val="left"/>
              <w:rPr>
                <w:sz w:val="20"/>
              </w:rPr>
            </w:pPr>
            <w:r>
              <w:rPr>
                <w:w w:val="100"/>
                <w:sz w:val="20"/>
              </w:rPr>
              <w:t>5</w:t>
            </w:r>
          </w:p>
        </w:tc>
        <w:tc>
          <w:tcPr>
            <w:tcW w:w="1020" w:type="dxa"/>
            <w:tcBorders>
              <w:top w:val="nil"/>
              <w:left w:val="nil"/>
              <w:bottom w:val="nil"/>
              <w:right w:val="nil"/>
            </w:tcBorders>
          </w:tcPr>
          <w:p>
            <w:pPr>
              <w:pStyle w:val="TableParagraph"/>
              <w:ind w:left="71"/>
              <w:jc w:val="left"/>
              <w:rPr>
                <w:sz w:val="20"/>
              </w:rPr>
            </w:pPr>
            <w:r>
              <w:rPr>
                <w:sz w:val="20"/>
              </w:rPr>
              <w:t>15001</w:t>
            </w:r>
          </w:p>
        </w:tc>
        <w:tc>
          <w:tcPr>
            <w:tcW w:w="945" w:type="dxa"/>
            <w:tcBorders>
              <w:top w:val="nil"/>
              <w:left w:val="nil"/>
              <w:bottom w:val="nil"/>
              <w:right w:val="nil"/>
            </w:tcBorders>
          </w:tcPr>
          <w:p>
            <w:pPr>
              <w:pStyle w:val="TableParagraph"/>
              <w:ind w:right="82"/>
              <w:rPr>
                <w:sz w:val="20"/>
              </w:rPr>
            </w:pPr>
            <w:r>
              <w:rPr>
                <w:sz w:val="20"/>
              </w:rPr>
              <w:t>0.04</w:t>
            </w:r>
          </w:p>
        </w:tc>
        <w:tc>
          <w:tcPr>
            <w:tcW w:w="939" w:type="dxa"/>
            <w:tcBorders>
              <w:top w:val="nil"/>
              <w:left w:val="nil"/>
              <w:bottom w:val="nil"/>
              <w:right w:val="nil"/>
            </w:tcBorders>
          </w:tcPr>
          <w:p>
            <w:pPr>
              <w:pStyle w:val="TableParagraph"/>
              <w:ind w:right="79"/>
              <w:rPr>
                <w:sz w:val="20"/>
              </w:rPr>
            </w:pPr>
            <w:r>
              <w:rPr>
                <w:sz w:val="20"/>
              </w:rPr>
              <w:t>0.03</w:t>
            </w:r>
          </w:p>
        </w:tc>
        <w:tc>
          <w:tcPr>
            <w:tcW w:w="934" w:type="dxa"/>
            <w:tcBorders>
              <w:top w:val="nil"/>
              <w:left w:val="nil"/>
              <w:bottom w:val="nil"/>
              <w:right w:val="nil"/>
            </w:tcBorders>
          </w:tcPr>
          <w:p>
            <w:pPr>
              <w:pStyle w:val="TableParagraph"/>
              <w:ind w:right="77"/>
              <w:rPr>
                <w:sz w:val="20"/>
              </w:rPr>
            </w:pPr>
            <w:r>
              <w:rPr>
                <w:sz w:val="20"/>
              </w:rPr>
              <w:t>0.04</w:t>
            </w:r>
          </w:p>
        </w:tc>
        <w:tc>
          <w:tcPr>
            <w:tcW w:w="926" w:type="dxa"/>
            <w:tcBorders>
              <w:top w:val="nil"/>
              <w:left w:val="nil"/>
              <w:bottom w:val="nil"/>
              <w:right w:val="nil"/>
            </w:tcBorders>
          </w:tcPr>
          <w:p>
            <w:pPr>
              <w:pStyle w:val="TableParagraph"/>
              <w:ind w:right="82"/>
              <w:rPr>
                <w:sz w:val="20"/>
              </w:rPr>
            </w:pPr>
            <w:r>
              <w:rPr>
                <w:sz w:val="20"/>
              </w:rPr>
              <w:t>0.11</w:t>
            </w:r>
          </w:p>
        </w:tc>
        <w:tc>
          <w:tcPr>
            <w:tcW w:w="941" w:type="dxa"/>
            <w:tcBorders>
              <w:top w:val="nil"/>
              <w:left w:val="nil"/>
              <w:bottom w:val="nil"/>
              <w:right w:val="nil"/>
            </w:tcBorders>
          </w:tcPr>
          <w:p>
            <w:pPr>
              <w:pStyle w:val="TableParagraph"/>
              <w:ind w:right="82"/>
              <w:rPr>
                <w:sz w:val="20"/>
              </w:rPr>
            </w:pPr>
            <w:r>
              <w:rPr>
                <w:sz w:val="20"/>
              </w:rPr>
              <w:t>0.2</w:t>
            </w:r>
          </w:p>
        </w:tc>
        <w:tc>
          <w:tcPr>
            <w:tcW w:w="941" w:type="dxa"/>
            <w:tcBorders>
              <w:top w:val="nil"/>
              <w:left w:val="nil"/>
              <w:bottom w:val="nil"/>
              <w:right w:val="nil"/>
            </w:tcBorders>
          </w:tcPr>
          <w:p>
            <w:pPr>
              <w:pStyle w:val="TableParagraph"/>
              <w:ind w:right="82"/>
              <w:rPr>
                <w:sz w:val="20"/>
              </w:rPr>
            </w:pPr>
            <w:r>
              <w:rPr>
                <w:sz w:val="20"/>
              </w:rPr>
              <w:t>0.28</w:t>
            </w:r>
          </w:p>
        </w:tc>
        <w:tc>
          <w:tcPr>
            <w:tcW w:w="939" w:type="dxa"/>
            <w:tcBorders>
              <w:top w:val="nil"/>
              <w:left w:val="nil"/>
              <w:bottom w:val="nil"/>
              <w:right w:val="nil"/>
            </w:tcBorders>
          </w:tcPr>
          <w:p>
            <w:pPr>
              <w:pStyle w:val="TableParagraph"/>
              <w:ind w:right="79"/>
              <w:rPr>
                <w:sz w:val="20"/>
              </w:rPr>
            </w:pPr>
            <w:r>
              <w:rPr>
                <w:sz w:val="20"/>
              </w:rPr>
              <w:t>0.36</w:t>
            </w:r>
          </w:p>
        </w:tc>
        <w:tc>
          <w:tcPr>
            <w:tcW w:w="939" w:type="dxa"/>
            <w:tcBorders>
              <w:top w:val="nil"/>
              <w:left w:val="nil"/>
              <w:bottom w:val="nil"/>
              <w:right w:val="nil"/>
            </w:tcBorders>
          </w:tcPr>
          <w:p>
            <w:pPr>
              <w:pStyle w:val="TableParagraph"/>
              <w:ind w:right="82"/>
              <w:rPr>
                <w:sz w:val="20"/>
              </w:rPr>
            </w:pPr>
            <w:r>
              <w:rPr>
                <w:sz w:val="20"/>
              </w:rPr>
              <w:t>0.33</w:t>
            </w:r>
          </w:p>
        </w:tc>
        <w:tc>
          <w:tcPr>
            <w:tcW w:w="924" w:type="dxa"/>
            <w:tcBorders>
              <w:top w:val="nil"/>
              <w:left w:val="nil"/>
              <w:bottom w:val="nil"/>
              <w:right w:val="nil"/>
            </w:tcBorders>
          </w:tcPr>
          <w:p>
            <w:pPr>
              <w:pStyle w:val="TableParagraph"/>
              <w:ind w:right="65"/>
              <w:rPr>
                <w:sz w:val="20"/>
              </w:rPr>
            </w:pPr>
            <w:r>
              <w:rPr>
                <w:sz w:val="20"/>
              </w:rPr>
              <w:t>0.23</w:t>
            </w:r>
          </w:p>
        </w:tc>
        <w:tc>
          <w:tcPr>
            <w:tcW w:w="975" w:type="dxa"/>
            <w:tcBorders>
              <w:top w:val="nil"/>
              <w:left w:val="nil"/>
              <w:bottom w:val="nil"/>
              <w:right w:val="nil"/>
            </w:tcBorders>
          </w:tcPr>
          <w:p>
            <w:pPr>
              <w:pStyle w:val="TableParagraph"/>
              <w:ind w:right="65"/>
              <w:rPr>
                <w:sz w:val="20"/>
              </w:rPr>
            </w:pPr>
            <w:r>
              <w:rPr>
                <w:sz w:val="20"/>
              </w:rPr>
              <w:t>0.12</w:t>
            </w:r>
          </w:p>
        </w:tc>
        <w:tc>
          <w:tcPr>
            <w:tcW w:w="974" w:type="dxa"/>
            <w:tcBorders>
              <w:top w:val="nil"/>
              <w:left w:val="nil"/>
              <w:bottom w:val="nil"/>
              <w:right w:val="nil"/>
            </w:tcBorders>
          </w:tcPr>
          <w:p>
            <w:pPr>
              <w:pStyle w:val="TableParagraph"/>
              <w:ind w:right="65"/>
              <w:rPr>
                <w:sz w:val="20"/>
              </w:rPr>
            </w:pPr>
            <w:r>
              <w:rPr>
                <w:sz w:val="20"/>
              </w:rPr>
              <w:t>0.06</w:t>
            </w:r>
          </w:p>
        </w:tc>
        <w:tc>
          <w:tcPr>
            <w:tcW w:w="970" w:type="dxa"/>
            <w:tcBorders>
              <w:top w:val="nil"/>
              <w:left w:val="nil"/>
              <w:bottom w:val="nil"/>
              <w:right w:val="nil"/>
            </w:tcBorders>
          </w:tcPr>
          <w:p>
            <w:pPr>
              <w:pStyle w:val="TableParagraph"/>
              <w:ind w:right="60"/>
              <w:rPr>
                <w:sz w:val="20"/>
              </w:rPr>
            </w:pPr>
            <w:r>
              <w:rPr>
                <w:sz w:val="20"/>
              </w:rPr>
              <w:t>0.04</w:t>
            </w:r>
          </w:p>
        </w:tc>
      </w:tr>
      <w:tr>
        <w:trPr>
          <w:trHeight w:val="300" w:hRule="exact"/>
        </w:trPr>
        <w:tc>
          <w:tcPr>
            <w:tcW w:w="1143" w:type="dxa"/>
            <w:tcBorders>
              <w:top w:val="nil"/>
              <w:left w:val="nil"/>
              <w:bottom w:val="nil"/>
              <w:right w:val="nil"/>
            </w:tcBorders>
          </w:tcPr>
          <w:p>
            <w:pPr>
              <w:pStyle w:val="TableParagraph"/>
              <w:spacing w:before="26"/>
              <w:ind w:left="86"/>
              <w:jc w:val="left"/>
              <w:rPr>
                <w:sz w:val="20"/>
              </w:rPr>
            </w:pPr>
            <w:r>
              <w:rPr>
                <w:w w:val="100"/>
                <w:sz w:val="20"/>
              </w:rPr>
              <w:t>6</w:t>
            </w:r>
          </w:p>
        </w:tc>
        <w:tc>
          <w:tcPr>
            <w:tcW w:w="1020" w:type="dxa"/>
            <w:tcBorders>
              <w:top w:val="nil"/>
              <w:left w:val="nil"/>
              <w:bottom w:val="nil"/>
              <w:right w:val="nil"/>
            </w:tcBorders>
          </w:tcPr>
          <w:p>
            <w:pPr>
              <w:pStyle w:val="TableParagraph"/>
              <w:spacing w:before="26"/>
              <w:ind w:left="71"/>
              <w:jc w:val="left"/>
              <w:rPr>
                <w:sz w:val="20"/>
              </w:rPr>
            </w:pPr>
            <w:r>
              <w:rPr>
                <w:sz w:val="20"/>
              </w:rPr>
              <w:t>15001</w:t>
            </w:r>
          </w:p>
        </w:tc>
        <w:tc>
          <w:tcPr>
            <w:tcW w:w="945" w:type="dxa"/>
            <w:tcBorders>
              <w:top w:val="nil"/>
              <w:left w:val="nil"/>
              <w:bottom w:val="nil"/>
              <w:right w:val="nil"/>
            </w:tcBorders>
          </w:tcPr>
          <w:p>
            <w:pPr>
              <w:pStyle w:val="TableParagraph"/>
              <w:spacing w:before="26"/>
              <w:ind w:right="82"/>
              <w:rPr>
                <w:sz w:val="20"/>
              </w:rPr>
            </w:pPr>
            <w:r>
              <w:rPr>
                <w:sz w:val="20"/>
              </w:rPr>
              <w:t>0.04</w:t>
            </w:r>
          </w:p>
        </w:tc>
        <w:tc>
          <w:tcPr>
            <w:tcW w:w="939" w:type="dxa"/>
            <w:tcBorders>
              <w:top w:val="nil"/>
              <w:left w:val="nil"/>
              <w:bottom w:val="nil"/>
              <w:right w:val="nil"/>
            </w:tcBorders>
          </w:tcPr>
          <w:p>
            <w:pPr>
              <w:pStyle w:val="TableParagraph"/>
              <w:spacing w:before="26"/>
              <w:ind w:right="79"/>
              <w:rPr>
                <w:sz w:val="20"/>
              </w:rPr>
            </w:pPr>
            <w:r>
              <w:rPr>
                <w:sz w:val="20"/>
              </w:rPr>
              <w:t>0.03</w:t>
            </w:r>
          </w:p>
        </w:tc>
        <w:tc>
          <w:tcPr>
            <w:tcW w:w="934" w:type="dxa"/>
            <w:tcBorders>
              <w:top w:val="nil"/>
              <w:left w:val="nil"/>
              <w:bottom w:val="nil"/>
              <w:right w:val="nil"/>
            </w:tcBorders>
          </w:tcPr>
          <w:p>
            <w:pPr>
              <w:pStyle w:val="TableParagraph"/>
              <w:spacing w:before="26"/>
              <w:ind w:right="77"/>
              <w:rPr>
                <w:sz w:val="20"/>
              </w:rPr>
            </w:pPr>
            <w:r>
              <w:rPr>
                <w:sz w:val="20"/>
              </w:rPr>
              <w:t>0.04</w:t>
            </w:r>
          </w:p>
        </w:tc>
        <w:tc>
          <w:tcPr>
            <w:tcW w:w="926" w:type="dxa"/>
            <w:tcBorders>
              <w:top w:val="nil"/>
              <w:left w:val="nil"/>
              <w:bottom w:val="nil"/>
              <w:right w:val="nil"/>
            </w:tcBorders>
          </w:tcPr>
          <w:p>
            <w:pPr>
              <w:pStyle w:val="TableParagraph"/>
              <w:spacing w:before="26"/>
              <w:ind w:right="82"/>
              <w:rPr>
                <w:sz w:val="20"/>
              </w:rPr>
            </w:pPr>
            <w:r>
              <w:rPr>
                <w:sz w:val="20"/>
              </w:rPr>
              <w:t>0.11</w:t>
            </w:r>
          </w:p>
        </w:tc>
        <w:tc>
          <w:tcPr>
            <w:tcW w:w="941" w:type="dxa"/>
            <w:tcBorders>
              <w:top w:val="nil"/>
              <w:left w:val="nil"/>
              <w:bottom w:val="nil"/>
              <w:right w:val="nil"/>
            </w:tcBorders>
          </w:tcPr>
          <w:p>
            <w:pPr>
              <w:pStyle w:val="TableParagraph"/>
              <w:spacing w:before="26"/>
              <w:ind w:right="82"/>
              <w:rPr>
                <w:sz w:val="20"/>
              </w:rPr>
            </w:pPr>
            <w:r>
              <w:rPr>
                <w:sz w:val="20"/>
              </w:rPr>
              <w:t>0.2</w:t>
            </w:r>
          </w:p>
        </w:tc>
        <w:tc>
          <w:tcPr>
            <w:tcW w:w="941" w:type="dxa"/>
            <w:tcBorders>
              <w:top w:val="nil"/>
              <w:left w:val="nil"/>
              <w:bottom w:val="nil"/>
              <w:right w:val="nil"/>
            </w:tcBorders>
          </w:tcPr>
          <w:p>
            <w:pPr>
              <w:pStyle w:val="TableParagraph"/>
              <w:spacing w:before="26"/>
              <w:ind w:right="82"/>
              <w:rPr>
                <w:sz w:val="20"/>
              </w:rPr>
            </w:pPr>
            <w:r>
              <w:rPr>
                <w:sz w:val="20"/>
              </w:rPr>
              <w:t>0.28</w:t>
            </w:r>
          </w:p>
        </w:tc>
        <w:tc>
          <w:tcPr>
            <w:tcW w:w="939" w:type="dxa"/>
            <w:tcBorders>
              <w:top w:val="nil"/>
              <w:left w:val="nil"/>
              <w:bottom w:val="nil"/>
              <w:right w:val="nil"/>
            </w:tcBorders>
          </w:tcPr>
          <w:p>
            <w:pPr>
              <w:pStyle w:val="TableParagraph"/>
              <w:spacing w:before="26"/>
              <w:ind w:right="79"/>
              <w:rPr>
                <w:sz w:val="20"/>
              </w:rPr>
            </w:pPr>
            <w:r>
              <w:rPr>
                <w:sz w:val="20"/>
              </w:rPr>
              <w:t>0.36</w:t>
            </w:r>
          </w:p>
        </w:tc>
        <w:tc>
          <w:tcPr>
            <w:tcW w:w="939" w:type="dxa"/>
            <w:tcBorders>
              <w:top w:val="nil"/>
              <w:left w:val="nil"/>
              <w:bottom w:val="nil"/>
              <w:right w:val="nil"/>
            </w:tcBorders>
          </w:tcPr>
          <w:p>
            <w:pPr>
              <w:pStyle w:val="TableParagraph"/>
              <w:spacing w:before="26"/>
              <w:ind w:right="82"/>
              <w:rPr>
                <w:sz w:val="20"/>
              </w:rPr>
            </w:pPr>
            <w:r>
              <w:rPr>
                <w:sz w:val="20"/>
              </w:rPr>
              <w:t>0.33</w:t>
            </w:r>
          </w:p>
        </w:tc>
        <w:tc>
          <w:tcPr>
            <w:tcW w:w="924" w:type="dxa"/>
            <w:tcBorders>
              <w:top w:val="nil"/>
              <w:left w:val="nil"/>
              <w:bottom w:val="nil"/>
              <w:right w:val="nil"/>
            </w:tcBorders>
          </w:tcPr>
          <w:p>
            <w:pPr>
              <w:pStyle w:val="TableParagraph"/>
              <w:spacing w:before="26"/>
              <w:ind w:right="65"/>
              <w:rPr>
                <w:sz w:val="20"/>
              </w:rPr>
            </w:pPr>
            <w:r>
              <w:rPr>
                <w:sz w:val="20"/>
              </w:rPr>
              <w:t>0.23</w:t>
            </w:r>
          </w:p>
        </w:tc>
        <w:tc>
          <w:tcPr>
            <w:tcW w:w="975" w:type="dxa"/>
            <w:tcBorders>
              <w:top w:val="nil"/>
              <w:left w:val="nil"/>
              <w:bottom w:val="nil"/>
              <w:right w:val="nil"/>
            </w:tcBorders>
          </w:tcPr>
          <w:p>
            <w:pPr>
              <w:pStyle w:val="TableParagraph"/>
              <w:spacing w:before="26"/>
              <w:ind w:right="65"/>
              <w:rPr>
                <w:sz w:val="20"/>
              </w:rPr>
            </w:pPr>
            <w:r>
              <w:rPr>
                <w:sz w:val="20"/>
              </w:rPr>
              <w:t>0.12</w:t>
            </w:r>
          </w:p>
        </w:tc>
        <w:tc>
          <w:tcPr>
            <w:tcW w:w="974" w:type="dxa"/>
            <w:tcBorders>
              <w:top w:val="nil"/>
              <w:left w:val="nil"/>
              <w:bottom w:val="nil"/>
              <w:right w:val="nil"/>
            </w:tcBorders>
          </w:tcPr>
          <w:p>
            <w:pPr>
              <w:pStyle w:val="TableParagraph"/>
              <w:spacing w:before="26"/>
              <w:ind w:right="65"/>
              <w:rPr>
                <w:sz w:val="20"/>
              </w:rPr>
            </w:pPr>
            <w:r>
              <w:rPr>
                <w:sz w:val="20"/>
              </w:rPr>
              <w:t>0.06</w:t>
            </w:r>
          </w:p>
        </w:tc>
        <w:tc>
          <w:tcPr>
            <w:tcW w:w="970" w:type="dxa"/>
            <w:tcBorders>
              <w:top w:val="nil"/>
              <w:left w:val="nil"/>
              <w:bottom w:val="nil"/>
              <w:right w:val="nil"/>
            </w:tcBorders>
          </w:tcPr>
          <w:p>
            <w:pPr>
              <w:pStyle w:val="TableParagraph"/>
              <w:spacing w:before="26"/>
              <w:ind w:right="60"/>
              <w:rPr>
                <w:sz w:val="20"/>
              </w:rPr>
            </w:pPr>
            <w:r>
              <w:rPr>
                <w:sz w:val="20"/>
              </w:rPr>
              <w:t>0.04</w:t>
            </w:r>
          </w:p>
        </w:tc>
      </w:tr>
      <w:tr>
        <w:trPr>
          <w:trHeight w:val="300" w:hRule="exact"/>
        </w:trPr>
        <w:tc>
          <w:tcPr>
            <w:tcW w:w="1143" w:type="dxa"/>
            <w:tcBorders>
              <w:top w:val="nil"/>
              <w:left w:val="nil"/>
              <w:bottom w:val="nil"/>
              <w:right w:val="nil"/>
            </w:tcBorders>
          </w:tcPr>
          <w:p>
            <w:pPr>
              <w:pStyle w:val="TableParagraph"/>
              <w:ind w:left="86"/>
              <w:jc w:val="left"/>
              <w:rPr>
                <w:sz w:val="20"/>
              </w:rPr>
            </w:pPr>
            <w:r>
              <w:rPr>
                <w:w w:val="100"/>
                <w:sz w:val="20"/>
              </w:rPr>
              <w:t>7</w:t>
            </w:r>
          </w:p>
        </w:tc>
        <w:tc>
          <w:tcPr>
            <w:tcW w:w="1020" w:type="dxa"/>
            <w:tcBorders>
              <w:top w:val="nil"/>
              <w:left w:val="nil"/>
              <w:bottom w:val="nil"/>
              <w:right w:val="nil"/>
            </w:tcBorders>
          </w:tcPr>
          <w:p>
            <w:pPr>
              <w:pStyle w:val="TableParagraph"/>
              <w:ind w:left="71"/>
              <w:jc w:val="left"/>
              <w:rPr>
                <w:sz w:val="20"/>
              </w:rPr>
            </w:pPr>
            <w:r>
              <w:rPr>
                <w:sz w:val="20"/>
              </w:rPr>
              <w:t>15001</w:t>
            </w:r>
          </w:p>
        </w:tc>
        <w:tc>
          <w:tcPr>
            <w:tcW w:w="945" w:type="dxa"/>
            <w:tcBorders>
              <w:top w:val="nil"/>
              <w:left w:val="nil"/>
              <w:bottom w:val="nil"/>
              <w:right w:val="nil"/>
            </w:tcBorders>
          </w:tcPr>
          <w:p>
            <w:pPr>
              <w:pStyle w:val="TableParagraph"/>
              <w:ind w:right="82"/>
              <w:rPr>
                <w:sz w:val="20"/>
              </w:rPr>
            </w:pPr>
            <w:r>
              <w:rPr>
                <w:sz w:val="20"/>
              </w:rPr>
              <w:t>0.04</w:t>
            </w:r>
          </w:p>
        </w:tc>
        <w:tc>
          <w:tcPr>
            <w:tcW w:w="939" w:type="dxa"/>
            <w:tcBorders>
              <w:top w:val="nil"/>
              <w:left w:val="nil"/>
              <w:bottom w:val="nil"/>
              <w:right w:val="nil"/>
            </w:tcBorders>
          </w:tcPr>
          <w:p>
            <w:pPr>
              <w:pStyle w:val="TableParagraph"/>
              <w:ind w:right="79"/>
              <w:rPr>
                <w:sz w:val="20"/>
              </w:rPr>
            </w:pPr>
            <w:r>
              <w:rPr>
                <w:sz w:val="20"/>
              </w:rPr>
              <w:t>0.03</w:t>
            </w:r>
          </w:p>
        </w:tc>
        <w:tc>
          <w:tcPr>
            <w:tcW w:w="934" w:type="dxa"/>
            <w:tcBorders>
              <w:top w:val="nil"/>
              <w:left w:val="nil"/>
              <w:bottom w:val="nil"/>
              <w:right w:val="nil"/>
            </w:tcBorders>
          </w:tcPr>
          <w:p>
            <w:pPr>
              <w:pStyle w:val="TableParagraph"/>
              <w:ind w:right="77"/>
              <w:rPr>
                <w:sz w:val="20"/>
              </w:rPr>
            </w:pPr>
            <w:r>
              <w:rPr>
                <w:sz w:val="20"/>
              </w:rPr>
              <w:t>0.04</w:t>
            </w:r>
          </w:p>
        </w:tc>
        <w:tc>
          <w:tcPr>
            <w:tcW w:w="926" w:type="dxa"/>
            <w:tcBorders>
              <w:top w:val="nil"/>
              <w:left w:val="nil"/>
              <w:bottom w:val="nil"/>
              <w:right w:val="nil"/>
            </w:tcBorders>
          </w:tcPr>
          <w:p>
            <w:pPr>
              <w:pStyle w:val="TableParagraph"/>
              <w:ind w:right="82"/>
              <w:rPr>
                <w:sz w:val="20"/>
              </w:rPr>
            </w:pPr>
            <w:r>
              <w:rPr>
                <w:sz w:val="20"/>
              </w:rPr>
              <w:t>0.11</w:t>
            </w:r>
          </w:p>
        </w:tc>
        <w:tc>
          <w:tcPr>
            <w:tcW w:w="941" w:type="dxa"/>
            <w:tcBorders>
              <w:top w:val="nil"/>
              <w:left w:val="nil"/>
              <w:bottom w:val="nil"/>
              <w:right w:val="nil"/>
            </w:tcBorders>
          </w:tcPr>
          <w:p>
            <w:pPr>
              <w:pStyle w:val="TableParagraph"/>
              <w:ind w:right="82"/>
              <w:rPr>
                <w:sz w:val="20"/>
              </w:rPr>
            </w:pPr>
            <w:r>
              <w:rPr>
                <w:sz w:val="20"/>
              </w:rPr>
              <w:t>0.2</w:t>
            </w:r>
          </w:p>
        </w:tc>
        <w:tc>
          <w:tcPr>
            <w:tcW w:w="941" w:type="dxa"/>
            <w:tcBorders>
              <w:top w:val="nil"/>
              <w:left w:val="nil"/>
              <w:bottom w:val="nil"/>
              <w:right w:val="nil"/>
            </w:tcBorders>
          </w:tcPr>
          <w:p>
            <w:pPr>
              <w:pStyle w:val="TableParagraph"/>
              <w:ind w:right="82"/>
              <w:rPr>
                <w:sz w:val="20"/>
              </w:rPr>
            </w:pPr>
            <w:r>
              <w:rPr>
                <w:sz w:val="20"/>
              </w:rPr>
              <w:t>0.28</w:t>
            </w:r>
          </w:p>
        </w:tc>
        <w:tc>
          <w:tcPr>
            <w:tcW w:w="939" w:type="dxa"/>
            <w:tcBorders>
              <w:top w:val="nil"/>
              <w:left w:val="nil"/>
              <w:bottom w:val="nil"/>
              <w:right w:val="nil"/>
            </w:tcBorders>
          </w:tcPr>
          <w:p>
            <w:pPr>
              <w:pStyle w:val="TableParagraph"/>
              <w:ind w:right="79"/>
              <w:rPr>
                <w:sz w:val="20"/>
              </w:rPr>
            </w:pPr>
            <w:r>
              <w:rPr>
                <w:sz w:val="20"/>
              </w:rPr>
              <w:t>0.36</w:t>
            </w:r>
          </w:p>
        </w:tc>
        <w:tc>
          <w:tcPr>
            <w:tcW w:w="939" w:type="dxa"/>
            <w:tcBorders>
              <w:top w:val="nil"/>
              <w:left w:val="nil"/>
              <w:bottom w:val="nil"/>
              <w:right w:val="nil"/>
            </w:tcBorders>
          </w:tcPr>
          <w:p>
            <w:pPr>
              <w:pStyle w:val="TableParagraph"/>
              <w:ind w:right="82"/>
              <w:rPr>
                <w:sz w:val="20"/>
              </w:rPr>
            </w:pPr>
            <w:r>
              <w:rPr>
                <w:sz w:val="20"/>
              </w:rPr>
              <w:t>0.33</w:t>
            </w:r>
          </w:p>
        </w:tc>
        <w:tc>
          <w:tcPr>
            <w:tcW w:w="924" w:type="dxa"/>
            <w:tcBorders>
              <w:top w:val="nil"/>
              <w:left w:val="nil"/>
              <w:bottom w:val="nil"/>
              <w:right w:val="nil"/>
            </w:tcBorders>
          </w:tcPr>
          <w:p>
            <w:pPr>
              <w:pStyle w:val="TableParagraph"/>
              <w:ind w:right="65"/>
              <w:rPr>
                <w:sz w:val="20"/>
              </w:rPr>
            </w:pPr>
            <w:r>
              <w:rPr>
                <w:sz w:val="20"/>
              </w:rPr>
              <w:t>0.23</w:t>
            </w:r>
          </w:p>
        </w:tc>
        <w:tc>
          <w:tcPr>
            <w:tcW w:w="975" w:type="dxa"/>
            <w:tcBorders>
              <w:top w:val="nil"/>
              <w:left w:val="nil"/>
              <w:bottom w:val="nil"/>
              <w:right w:val="nil"/>
            </w:tcBorders>
          </w:tcPr>
          <w:p>
            <w:pPr>
              <w:pStyle w:val="TableParagraph"/>
              <w:ind w:right="65"/>
              <w:rPr>
                <w:sz w:val="20"/>
              </w:rPr>
            </w:pPr>
            <w:r>
              <w:rPr>
                <w:sz w:val="20"/>
              </w:rPr>
              <w:t>0.12</w:t>
            </w:r>
          </w:p>
        </w:tc>
        <w:tc>
          <w:tcPr>
            <w:tcW w:w="974" w:type="dxa"/>
            <w:tcBorders>
              <w:top w:val="nil"/>
              <w:left w:val="nil"/>
              <w:bottom w:val="nil"/>
              <w:right w:val="nil"/>
            </w:tcBorders>
          </w:tcPr>
          <w:p>
            <w:pPr>
              <w:pStyle w:val="TableParagraph"/>
              <w:ind w:right="65"/>
              <w:rPr>
                <w:sz w:val="20"/>
              </w:rPr>
            </w:pPr>
            <w:r>
              <w:rPr>
                <w:sz w:val="20"/>
              </w:rPr>
              <w:t>0.06</w:t>
            </w:r>
          </w:p>
        </w:tc>
        <w:tc>
          <w:tcPr>
            <w:tcW w:w="970" w:type="dxa"/>
            <w:tcBorders>
              <w:top w:val="nil"/>
              <w:left w:val="nil"/>
              <w:bottom w:val="nil"/>
              <w:right w:val="nil"/>
            </w:tcBorders>
          </w:tcPr>
          <w:p>
            <w:pPr>
              <w:pStyle w:val="TableParagraph"/>
              <w:ind w:right="60"/>
              <w:rPr>
                <w:sz w:val="20"/>
              </w:rPr>
            </w:pPr>
            <w:r>
              <w:rPr>
                <w:sz w:val="20"/>
              </w:rPr>
              <w:t>0.04</w:t>
            </w:r>
          </w:p>
        </w:tc>
      </w:tr>
      <w:tr>
        <w:trPr>
          <w:trHeight w:val="300" w:hRule="exact"/>
        </w:trPr>
        <w:tc>
          <w:tcPr>
            <w:tcW w:w="1143" w:type="dxa"/>
            <w:tcBorders>
              <w:top w:val="nil"/>
              <w:left w:val="nil"/>
              <w:bottom w:val="nil"/>
              <w:right w:val="nil"/>
            </w:tcBorders>
          </w:tcPr>
          <w:p>
            <w:pPr>
              <w:pStyle w:val="TableParagraph"/>
              <w:spacing w:before="26"/>
              <w:ind w:left="86"/>
              <w:jc w:val="left"/>
              <w:rPr>
                <w:sz w:val="20"/>
              </w:rPr>
            </w:pPr>
            <w:r>
              <w:rPr>
                <w:w w:val="100"/>
                <w:sz w:val="20"/>
              </w:rPr>
              <w:t>8</w:t>
            </w:r>
          </w:p>
        </w:tc>
        <w:tc>
          <w:tcPr>
            <w:tcW w:w="1020" w:type="dxa"/>
            <w:tcBorders>
              <w:top w:val="nil"/>
              <w:left w:val="nil"/>
              <w:bottom w:val="nil"/>
              <w:right w:val="nil"/>
            </w:tcBorders>
          </w:tcPr>
          <w:p>
            <w:pPr>
              <w:pStyle w:val="TableParagraph"/>
              <w:spacing w:before="26"/>
              <w:ind w:left="71"/>
              <w:jc w:val="left"/>
              <w:rPr>
                <w:sz w:val="20"/>
              </w:rPr>
            </w:pPr>
            <w:r>
              <w:rPr>
                <w:sz w:val="20"/>
              </w:rPr>
              <w:t>15001</w:t>
            </w:r>
          </w:p>
        </w:tc>
        <w:tc>
          <w:tcPr>
            <w:tcW w:w="945" w:type="dxa"/>
            <w:tcBorders>
              <w:top w:val="nil"/>
              <w:left w:val="nil"/>
              <w:bottom w:val="nil"/>
              <w:right w:val="nil"/>
            </w:tcBorders>
          </w:tcPr>
          <w:p>
            <w:pPr>
              <w:pStyle w:val="TableParagraph"/>
              <w:spacing w:before="26"/>
              <w:ind w:right="82"/>
              <w:rPr>
                <w:sz w:val="20"/>
              </w:rPr>
            </w:pPr>
            <w:r>
              <w:rPr>
                <w:sz w:val="20"/>
              </w:rPr>
              <w:t>0.04</w:t>
            </w:r>
          </w:p>
        </w:tc>
        <w:tc>
          <w:tcPr>
            <w:tcW w:w="939" w:type="dxa"/>
            <w:tcBorders>
              <w:top w:val="nil"/>
              <w:left w:val="nil"/>
              <w:bottom w:val="nil"/>
              <w:right w:val="nil"/>
            </w:tcBorders>
          </w:tcPr>
          <w:p>
            <w:pPr>
              <w:pStyle w:val="TableParagraph"/>
              <w:spacing w:before="26"/>
              <w:ind w:right="79"/>
              <w:rPr>
                <w:sz w:val="20"/>
              </w:rPr>
            </w:pPr>
            <w:r>
              <w:rPr>
                <w:sz w:val="20"/>
              </w:rPr>
              <w:t>0.03</w:t>
            </w:r>
          </w:p>
        </w:tc>
        <w:tc>
          <w:tcPr>
            <w:tcW w:w="934" w:type="dxa"/>
            <w:tcBorders>
              <w:top w:val="nil"/>
              <w:left w:val="nil"/>
              <w:bottom w:val="nil"/>
              <w:right w:val="nil"/>
            </w:tcBorders>
          </w:tcPr>
          <w:p>
            <w:pPr>
              <w:pStyle w:val="TableParagraph"/>
              <w:spacing w:before="26"/>
              <w:ind w:right="77"/>
              <w:rPr>
                <w:sz w:val="20"/>
              </w:rPr>
            </w:pPr>
            <w:r>
              <w:rPr>
                <w:sz w:val="20"/>
              </w:rPr>
              <w:t>0.04</w:t>
            </w:r>
          </w:p>
        </w:tc>
        <w:tc>
          <w:tcPr>
            <w:tcW w:w="926" w:type="dxa"/>
            <w:tcBorders>
              <w:top w:val="nil"/>
              <w:left w:val="nil"/>
              <w:bottom w:val="nil"/>
              <w:right w:val="nil"/>
            </w:tcBorders>
          </w:tcPr>
          <w:p>
            <w:pPr>
              <w:pStyle w:val="TableParagraph"/>
              <w:spacing w:before="26"/>
              <w:ind w:right="82"/>
              <w:rPr>
                <w:sz w:val="20"/>
              </w:rPr>
            </w:pPr>
            <w:r>
              <w:rPr>
                <w:sz w:val="20"/>
              </w:rPr>
              <w:t>0.11</w:t>
            </w:r>
          </w:p>
        </w:tc>
        <w:tc>
          <w:tcPr>
            <w:tcW w:w="941" w:type="dxa"/>
            <w:tcBorders>
              <w:top w:val="nil"/>
              <w:left w:val="nil"/>
              <w:bottom w:val="nil"/>
              <w:right w:val="nil"/>
            </w:tcBorders>
          </w:tcPr>
          <w:p>
            <w:pPr>
              <w:pStyle w:val="TableParagraph"/>
              <w:spacing w:before="26"/>
              <w:ind w:right="82"/>
              <w:rPr>
                <w:sz w:val="20"/>
              </w:rPr>
            </w:pPr>
            <w:r>
              <w:rPr>
                <w:sz w:val="20"/>
              </w:rPr>
              <w:t>0.2</w:t>
            </w:r>
          </w:p>
        </w:tc>
        <w:tc>
          <w:tcPr>
            <w:tcW w:w="941" w:type="dxa"/>
            <w:tcBorders>
              <w:top w:val="nil"/>
              <w:left w:val="nil"/>
              <w:bottom w:val="nil"/>
              <w:right w:val="nil"/>
            </w:tcBorders>
          </w:tcPr>
          <w:p>
            <w:pPr>
              <w:pStyle w:val="TableParagraph"/>
              <w:spacing w:before="26"/>
              <w:ind w:right="82"/>
              <w:rPr>
                <w:sz w:val="20"/>
              </w:rPr>
            </w:pPr>
            <w:r>
              <w:rPr>
                <w:sz w:val="20"/>
              </w:rPr>
              <w:t>0.28</w:t>
            </w:r>
          </w:p>
        </w:tc>
        <w:tc>
          <w:tcPr>
            <w:tcW w:w="939" w:type="dxa"/>
            <w:tcBorders>
              <w:top w:val="nil"/>
              <w:left w:val="nil"/>
              <w:bottom w:val="nil"/>
              <w:right w:val="nil"/>
            </w:tcBorders>
          </w:tcPr>
          <w:p>
            <w:pPr>
              <w:pStyle w:val="TableParagraph"/>
              <w:spacing w:before="26"/>
              <w:ind w:right="79"/>
              <w:rPr>
                <w:sz w:val="20"/>
              </w:rPr>
            </w:pPr>
            <w:r>
              <w:rPr>
                <w:sz w:val="20"/>
              </w:rPr>
              <w:t>0.36</w:t>
            </w:r>
          </w:p>
        </w:tc>
        <w:tc>
          <w:tcPr>
            <w:tcW w:w="939" w:type="dxa"/>
            <w:tcBorders>
              <w:top w:val="nil"/>
              <w:left w:val="nil"/>
              <w:bottom w:val="nil"/>
              <w:right w:val="nil"/>
            </w:tcBorders>
          </w:tcPr>
          <w:p>
            <w:pPr>
              <w:pStyle w:val="TableParagraph"/>
              <w:spacing w:before="26"/>
              <w:ind w:right="82"/>
              <w:rPr>
                <w:sz w:val="20"/>
              </w:rPr>
            </w:pPr>
            <w:r>
              <w:rPr>
                <w:sz w:val="20"/>
              </w:rPr>
              <w:t>0.33</w:t>
            </w:r>
          </w:p>
        </w:tc>
        <w:tc>
          <w:tcPr>
            <w:tcW w:w="924" w:type="dxa"/>
            <w:tcBorders>
              <w:top w:val="nil"/>
              <w:left w:val="nil"/>
              <w:bottom w:val="nil"/>
              <w:right w:val="nil"/>
            </w:tcBorders>
          </w:tcPr>
          <w:p>
            <w:pPr>
              <w:pStyle w:val="TableParagraph"/>
              <w:spacing w:before="26"/>
              <w:ind w:right="65"/>
              <w:rPr>
                <w:sz w:val="20"/>
              </w:rPr>
            </w:pPr>
            <w:r>
              <w:rPr>
                <w:sz w:val="20"/>
              </w:rPr>
              <w:t>0.23</w:t>
            </w:r>
          </w:p>
        </w:tc>
        <w:tc>
          <w:tcPr>
            <w:tcW w:w="975" w:type="dxa"/>
            <w:tcBorders>
              <w:top w:val="nil"/>
              <w:left w:val="nil"/>
              <w:bottom w:val="nil"/>
              <w:right w:val="nil"/>
            </w:tcBorders>
          </w:tcPr>
          <w:p>
            <w:pPr>
              <w:pStyle w:val="TableParagraph"/>
              <w:spacing w:before="26"/>
              <w:ind w:right="65"/>
              <w:rPr>
                <w:sz w:val="20"/>
              </w:rPr>
            </w:pPr>
            <w:r>
              <w:rPr>
                <w:sz w:val="20"/>
              </w:rPr>
              <w:t>0.12</w:t>
            </w:r>
          </w:p>
        </w:tc>
        <w:tc>
          <w:tcPr>
            <w:tcW w:w="974" w:type="dxa"/>
            <w:tcBorders>
              <w:top w:val="nil"/>
              <w:left w:val="nil"/>
              <w:bottom w:val="nil"/>
              <w:right w:val="nil"/>
            </w:tcBorders>
          </w:tcPr>
          <w:p>
            <w:pPr>
              <w:pStyle w:val="TableParagraph"/>
              <w:spacing w:before="26"/>
              <w:ind w:right="65"/>
              <w:rPr>
                <w:sz w:val="20"/>
              </w:rPr>
            </w:pPr>
            <w:r>
              <w:rPr>
                <w:sz w:val="20"/>
              </w:rPr>
              <w:t>0.06</w:t>
            </w:r>
          </w:p>
        </w:tc>
        <w:tc>
          <w:tcPr>
            <w:tcW w:w="970" w:type="dxa"/>
            <w:tcBorders>
              <w:top w:val="nil"/>
              <w:left w:val="nil"/>
              <w:bottom w:val="nil"/>
              <w:right w:val="nil"/>
            </w:tcBorders>
          </w:tcPr>
          <w:p>
            <w:pPr>
              <w:pStyle w:val="TableParagraph"/>
              <w:spacing w:before="26"/>
              <w:ind w:right="60"/>
              <w:rPr>
                <w:sz w:val="20"/>
              </w:rPr>
            </w:pPr>
            <w:r>
              <w:rPr>
                <w:sz w:val="20"/>
              </w:rPr>
              <w:t>0.04</w:t>
            </w:r>
          </w:p>
        </w:tc>
      </w:tr>
      <w:tr>
        <w:trPr>
          <w:trHeight w:val="300" w:hRule="exact"/>
        </w:trPr>
        <w:tc>
          <w:tcPr>
            <w:tcW w:w="1143" w:type="dxa"/>
            <w:tcBorders>
              <w:top w:val="nil"/>
              <w:left w:val="nil"/>
              <w:bottom w:val="nil"/>
              <w:right w:val="nil"/>
            </w:tcBorders>
          </w:tcPr>
          <w:p>
            <w:pPr>
              <w:pStyle w:val="TableParagraph"/>
              <w:ind w:left="86"/>
              <w:jc w:val="left"/>
              <w:rPr>
                <w:sz w:val="20"/>
              </w:rPr>
            </w:pPr>
            <w:r>
              <w:rPr>
                <w:w w:val="100"/>
                <w:sz w:val="20"/>
              </w:rPr>
              <w:t>9</w:t>
            </w:r>
          </w:p>
        </w:tc>
        <w:tc>
          <w:tcPr>
            <w:tcW w:w="1020" w:type="dxa"/>
            <w:tcBorders>
              <w:top w:val="nil"/>
              <w:left w:val="nil"/>
              <w:bottom w:val="nil"/>
              <w:right w:val="nil"/>
            </w:tcBorders>
          </w:tcPr>
          <w:p>
            <w:pPr>
              <w:pStyle w:val="TableParagraph"/>
              <w:ind w:left="71"/>
              <w:jc w:val="left"/>
              <w:rPr>
                <w:sz w:val="20"/>
              </w:rPr>
            </w:pPr>
            <w:r>
              <w:rPr>
                <w:sz w:val="20"/>
              </w:rPr>
              <w:t>15001</w:t>
            </w:r>
          </w:p>
        </w:tc>
        <w:tc>
          <w:tcPr>
            <w:tcW w:w="945" w:type="dxa"/>
            <w:tcBorders>
              <w:top w:val="nil"/>
              <w:left w:val="nil"/>
              <w:bottom w:val="nil"/>
              <w:right w:val="nil"/>
            </w:tcBorders>
          </w:tcPr>
          <w:p>
            <w:pPr>
              <w:pStyle w:val="TableParagraph"/>
              <w:ind w:right="82"/>
              <w:rPr>
                <w:sz w:val="20"/>
              </w:rPr>
            </w:pPr>
            <w:r>
              <w:rPr>
                <w:sz w:val="20"/>
              </w:rPr>
              <w:t>0.04</w:t>
            </w:r>
          </w:p>
        </w:tc>
        <w:tc>
          <w:tcPr>
            <w:tcW w:w="939" w:type="dxa"/>
            <w:tcBorders>
              <w:top w:val="nil"/>
              <w:left w:val="nil"/>
              <w:bottom w:val="nil"/>
              <w:right w:val="nil"/>
            </w:tcBorders>
          </w:tcPr>
          <w:p>
            <w:pPr>
              <w:pStyle w:val="TableParagraph"/>
              <w:ind w:right="79"/>
              <w:rPr>
                <w:sz w:val="20"/>
              </w:rPr>
            </w:pPr>
            <w:r>
              <w:rPr>
                <w:sz w:val="20"/>
              </w:rPr>
              <w:t>0.03</w:t>
            </w:r>
          </w:p>
        </w:tc>
        <w:tc>
          <w:tcPr>
            <w:tcW w:w="934" w:type="dxa"/>
            <w:tcBorders>
              <w:top w:val="nil"/>
              <w:left w:val="nil"/>
              <w:bottom w:val="nil"/>
              <w:right w:val="nil"/>
            </w:tcBorders>
          </w:tcPr>
          <w:p>
            <w:pPr>
              <w:pStyle w:val="TableParagraph"/>
              <w:ind w:right="77"/>
              <w:rPr>
                <w:sz w:val="20"/>
              </w:rPr>
            </w:pPr>
            <w:r>
              <w:rPr>
                <w:sz w:val="20"/>
              </w:rPr>
              <w:t>0.04</w:t>
            </w:r>
          </w:p>
        </w:tc>
        <w:tc>
          <w:tcPr>
            <w:tcW w:w="926" w:type="dxa"/>
            <w:tcBorders>
              <w:top w:val="nil"/>
              <w:left w:val="nil"/>
              <w:bottom w:val="nil"/>
              <w:right w:val="nil"/>
            </w:tcBorders>
          </w:tcPr>
          <w:p>
            <w:pPr>
              <w:pStyle w:val="TableParagraph"/>
              <w:ind w:right="82"/>
              <w:rPr>
                <w:sz w:val="20"/>
              </w:rPr>
            </w:pPr>
            <w:r>
              <w:rPr>
                <w:sz w:val="20"/>
              </w:rPr>
              <w:t>0.11</w:t>
            </w:r>
          </w:p>
        </w:tc>
        <w:tc>
          <w:tcPr>
            <w:tcW w:w="941" w:type="dxa"/>
            <w:tcBorders>
              <w:top w:val="nil"/>
              <w:left w:val="nil"/>
              <w:bottom w:val="nil"/>
              <w:right w:val="nil"/>
            </w:tcBorders>
          </w:tcPr>
          <w:p>
            <w:pPr>
              <w:pStyle w:val="TableParagraph"/>
              <w:ind w:right="82"/>
              <w:rPr>
                <w:sz w:val="20"/>
              </w:rPr>
            </w:pPr>
            <w:r>
              <w:rPr>
                <w:sz w:val="20"/>
              </w:rPr>
              <w:t>0.2</w:t>
            </w:r>
          </w:p>
        </w:tc>
        <w:tc>
          <w:tcPr>
            <w:tcW w:w="941" w:type="dxa"/>
            <w:tcBorders>
              <w:top w:val="nil"/>
              <w:left w:val="nil"/>
              <w:bottom w:val="nil"/>
              <w:right w:val="nil"/>
            </w:tcBorders>
          </w:tcPr>
          <w:p>
            <w:pPr>
              <w:pStyle w:val="TableParagraph"/>
              <w:ind w:right="82"/>
              <w:rPr>
                <w:sz w:val="20"/>
              </w:rPr>
            </w:pPr>
            <w:r>
              <w:rPr>
                <w:sz w:val="20"/>
              </w:rPr>
              <w:t>0.28</w:t>
            </w:r>
          </w:p>
        </w:tc>
        <w:tc>
          <w:tcPr>
            <w:tcW w:w="939" w:type="dxa"/>
            <w:tcBorders>
              <w:top w:val="nil"/>
              <w:left w:val="nil"/>
              <w:bottom w:val="nil"/>
              <w:right w:val="nil"/>
            </w:tcBorders>
          </w:tcPr>
          <w:p>
            <w:pPr>
              <w:pStyle w:val="TableParagraph"/>
              <w:ind w:right="79"/>
              <w:rPr>
                <w:sz w:val="20"/>
              </w:rPr>
            </w:pPr>
            <w:r>
              <w:rPr>
                <w:sz w:val="20"/>
              </w:rPr>
              <w:t>0.36</w:t>
            </w:r>
          </w:p>
        </w:tc>
        <w:tc>
          <w:tcPr>
            <w:tcW w:w="939" w:type="dxa"/>
            <w:tcBorders>
              <w:top w:val="nil"/>
              <w:left w:val="nil"/>
              <w:bottom w:val="nil"/>
              <w:right w:val="nil"/>
            </w:tcBorders>
          </w:tcPr>
          <w:p>
            <w:pPr>
              <w:pStyle w:val="TableParagraph"/>
              <w:ind w:right="82"/>
              <w:rPr>
                <w:sz w:val="20"/>
              </w:rPr>
            </w:pPr>
            <w:r>
              <w:rPr>
                <w:sz w:val="20"/>
              </w:rPr>
              <w:t>0.33</w:t>
            </w:r>
          </w:p>
        </w:tc>
        <w:tc>
          <w:tcPr>
            <w:tcW w:w="924" w:type="dxa"/>
            <w:tcBorders>
              <w:top w:val="nil"/>
              <w:left w:val="nil"/>
              <w:bottom w:val="nil"/>
              <w:right w:val="nil"/>
            </w:tcBorders>
          </w:tcPr>
          <w:p>
            <w:pPr>
              <w:pStyle w:val="TableParagraph"/>
              <w:ind w:right="65"/>
              <w:rPr>
                <w:sz w:val="20"/>
              </w:rPr>
            </w:pPr>
            <w:r>
              <w:rPr>
                <w:sz w:val="20"/>
              </w:rPr>
              <w:t>0.23</w:t>
            </w:r>
          </w:p>
        </w:tc>
        <w:tc>
          <w:tcPr>
            <w:tcW w:w="975" w:type="dxa"/>
            <w:tcBorders>
              <w:top w:val="nil"/>
              <w:left w:val="nil"/>
              <w:bottom w:val="nil"/>
              <w:right w:val="nil"/>
            </w:tcBorders>
          </w:tcPr>
          <w:p>
            <w:pPr>
              <w:pStyle w:val="TableParagraph"/>
              <w:ind w:right="65"/>
              <w:rPr>
                <w:sz w:val="20"/>
              </w:rPr>
            </w:pPr>
            <w:r>
              <w:rPr>
                <w:sz w:val="20"/>
              </w:rPr>
              <w:t>0.12</w:t>
            </w:r>
          </w:p>
        </w:tc>
        <w:tc>
          <w:tcPr>
            <w:tcW w:w="974" w:type="dxa"/>
            <w:tcBorders>
              <w:top w:val="nil"/>
              <w:left w:val="nil"/>
              <w:bottom w:val="nil"/>
              <w:right w:val="nil"/>
            </w:tcBorders>
          </w:tcPr>
          <w:p>
            <w:pPr>
              <w:pStyle w:val="TableParagraph"/>
              <w:ind w:right="65"/>
              <w:rPr>
                <w:sz w:val="20"/>
              </w:rPr>
            </w:pPr>
            <w:r>
              <w:rPr>
                <w:sz w:val="20"/>
              </w:rPr>
              <w:t>0.06</w:t>
            </w:r>
          </w:p>
        </w:tc>
        <w:tc>
          <w:tcPr>
            <w:tcW w:w="970" w:type="dxa"/>
            <w:tcBorders>
              <w:top w:val="nil"/>
              <w:left w:val="nil"/>
              <w:bottom w:val="nil"/>
              <w:right w:val="nil"/>
            </w:tcBorders>
          </w:tcPr>
          <w:p>
            <w:pPr>
              <w:pStyle w:val="TableParagraph"/>
              <w:ind w:right="60"/>
              <w:rPr>
                <w:sz w:val="20"/>
              </w:rPr>
            </w:pPr>
            <w:r>
              <w:rPr>
                <w:sz w:val="20"/>
              </w:rPr>
              <w:t>0.04</w:t>
            </w:r>
          </w:p>
        </w:tc>
      </w:tr>
      <w:tr>
        <w:trPr>
          <w:trHeight w:val="300" w:hRule="exact"/>
        </w:trPr>
        <w:tc>
          <w:tcPr>
            <w:tcW w:w="1143" w:type="dxa"/>
            <w:tcBorders>
              <w:top w:val="nil"/>
              <w:left w:val="nil"/>
              <w:bottom w:val="nil"/>
              <w:right w:val="nil"/>
            </w:tcBorders>
          </w:tcPr>
          <w:p>
            <w:pPr>
              <w:pStyle w:val="TableParagraph"/>
              <w:spacing w:before="26"/>
              <w:ind w:left="86"/>
              <w:jc w:val="left"/>
              <w:rPr>
                <w:sz w:val="20"/>
              </w:rPr>
            </w:pPr>
            <w:r>
              <w:rPr>
                <w:sz w:val="20"/>
              </w:rPr>
              <w:t>10</w:t>
            </w:r>
          </w:p>
        </w:tc>
        <w:tc>
          <w:tcPr>
            <w:tcW w:w="1020" w:type="dxa"/>
            <w:tcBorders>
              <w:top w:val="nil"/>
              <w:left w:val="nil"/>
              <w:bottom w:val="nil"/>
              <w:right w:val="nil"/>
            </w:tcBorders>
          </w:tcPr>
          <w:p>
            <w:pPr>
              <w:pStyle w:val="TableParagraph"/>
              <w:spacing w:before="26"/>
              <w:ind w:left="71"/>
              <w:jc w:val="left"/>
              <w:rPr>
                <w:sz w:val="20"/>
              </w:rPr>
            </w:pPr>
            <w:r>
              <w:rPr>
                <w:sz w:val="20"/>
              </w:rPr>
              <w:t>15001</w:t>
            </w:r>
          </w:p>
        </w:tc>
        <w:tc>
          <w:tcPr>
            <w:tcW w:w="945" w:type="dxa"/>
            <w:tcBorders>
              <w:top w:val="nil"/>
              <w:left w:val="nil"/>
              <w:bottom w:val="nil"/>
              <w:right w:val="nil"/>
            </w:tcBorders>
          </w:tcPr>
          <w:p>
            <w:pPr>
              <w:pStyle w:val="TableParagraph"/>
              <w:spacing w:before="26"/>
              <w:ind w:right="82"/>
              <w:rPr>
                <w:sz w:val="20"/>
              </w:rPr>
            </w:pPr>
            <w:r>
              <w:rPr>
                <w:sz w:val="20"/>
              </w:rPr>
              <w:t>0.04</w:t>
            </w:r>
          </w:p>
        </w:tc>
        <w:tc>
          <w:tcPr>
            <w:tcW w:w="939" w:type="dxa"/>
            <w:tcBorders>
              <w:top w:val="nil"/>
              <w:left w:val="nil"/>
              <w:bottom w:val="nil"/>
              <w:right w:val="nil"/>
            </w:tcBorders>
          </w:tcPr>
          <w:p>
            <w:pPr>
              <w:pStyle w:val="TableParagraph"/>
              <w:spacing w:before="26"/>
              <w:ind w:right="79"/>
              <w:rPr>
                <w:sz w:val="20"/>
              </w:rPr>
            </w:pPr>
            <w:r>
              <w:rPr>
                <w:sz w:val="20"/>
              </w:rPr>
              <w:t>0.03</w:t>
            </w:r>
          </w:p>
        </w:tc>
        <w:tc>
          <w:tcPr>
            <w:tcW w:w="934" w:type="dxa"/>
            <w:tcBorders>
              <w:top w:val="nil"/>
              <w:left w:val="nil"/>
              <w:bottom w:val="nil"/>
              <w:right w:val="nil"/>
            </w:tcBorders>
          </w:tcPr>
          <w:p>
            <w:pPr>
              <w:pStyle w:val="TableParagraph"/>
              <w:spacing w:before="26"/>
              <w:ind w:right="77"/>
              <w:rPr>
                <w:sz w:val="20"/>
              </w:rPr>
            </w:pPr>
            <w:r>
              <w:rPr>
                <w:sz w:val="20"/>
              </w:rPr>
              <w:t>0.04</w:t>
            </w:r>
          </w:p>
        </w:tc>
        <w:tc>
          <w:tcPr>
            <w:tcW w:w="926" w:type="dxa"/>
            <w:tcBorders>
              <w:top w:val="nil"/>
              <w:left w:val="nil"/>
              <w:bottom w:val="nil"/>
              <w:right w:val="nil"/>
            </w:tcBorders>
          </w:tcPr>
          <w:p>
            <w:pPr>
              <w:pStyle w:val="TableParagraph"/>
              <w:spacing w:before="26"/>
              <w:ind w:right="82"/>
              <w:rPr>
                <w:sz w:val="20"/>
              </w:rPr>
            </w:pPr>
            <w:r>
              <w:rPr>
                <w:sz w:val="20"/>
              </w:rPr>
              <w:t>0.11</w:t>
            </w:r>
          </w:p>
        </w:tc>
        <w:tc>
          <w:tcPr>
            <w:tcW w:w="941" w:type="dxa"/>
            <w:tcBorders>
              <w:top w:val="nil"/>
              <w:left w:val="nil"/>
              <w:bottom w:val="nil"/>
              <w:right w:val="nil"/>
            </w:tcBorders>
          </w:tcPr>
          <w:p>
            <w:pPr>
              <w:pStyle w:val="TableParagraph"/>
              <w:spacing w:before="26"/>
              <w:ind w:right="82"/>
              <w:rPr>
                <w:sz w:val="20"/>
              </w:rPr>
            </w:pPr>
            <w:r>
              <w:rPr>
                <w:sz w:val="20"/>
              </w:rPr>
              <w:t>0.2</w:t>
            </w:r>
          </w:p>
        </w:tc>
        <w:tc>
          <w:tcPr>
            <w:tcW w:w="941" w:type="dxa"/>
            <w:tcBorders>
              <w:top w:val="nil"/>
              <w:left w:val="nil"/>
              <w:bottom w:val="nil"/>
              <w:right w:val="nil"/>
            </w:tcBorders>
          </w:tcPr>
          <w:p>
            <w:pPr>
              <w:pStyle w:val="TableParagraph"/>
              <w:spacing w:before="26"/>
              <w:ind w:right="82"/>
              <w:rPr>
                <w:sz w:val="20"/>
              </w:rPr>
            </w:pPr>
            <w:r>
              <w:rPr>
                <w:sz w:val="20"/>
              </w:rPr>
              <w:t>0.28</w:t>
            </w:r>
          </w:p>
        </w:tc>
        <w:tc>
          <w:tcPr>
            <w:tcW w:w="939" w:type="dxa"/>
            <w:tcBorders>
              <w:top w:val="nil"/>
              <w:left w:val="nil"/>
              <w:bottom w:val="nil"/>
              <w:right w:val="nil"/>
            </w:tcBorders>
          </w:tcPr>
          <w:p>
            <w:pPr>
              <w:pStyle w:val="TableParagraph"/>
              <w:spacing w:before="26"/>
              <w:ind w:right="79"/>
              <w:rPr>
                <w:sz w:val="20"/>
              </w:rPr>
            </w:pPr>
            <w:r>
              <w:rPr>
                <w:sz w:val="20"/>
              </w:rPr>
              <w:t>0.36</w:t>
            </w:r>
          </w:p>
        </w:tc>
        <w:tc>
          <w:tcPr>
            <w:tcW w:w="939" w:type="dxa"/>
            <w:tcBorders>
              <w:top w:val="nil"/>
              <w:left w:val="nil"/>
              <w:bottom w:val="nil"/>
              <w:right w:val="nil"/>
            </w:tcBorders>
          </w:tcPr>
          <w:p>
            <w:pPr>
              <w:pStyle w:val="TableParagraph"/>
              <w:spacing w:before="26"/>
              <w:ind w:right="82"/>
              <w:rPr>
                <w:sz w:val="20"/>
              </w:rPr>
            </w:pPr>
            <w:r>
              <w:rPr>
                <w:sz w:val="20"/>
              </w:rPr>
              <w:t>0.33</w:t>
            </w:r>
          </w:p>
        </w:tc>
        <w:tc>
          <w:tcPr>
            <w:tcW w:w="924" w:type="dxa"/>
            <w:tcBorders>
              <w:top w:val="nil"/>
              <w:left w:val="nil"/>
              <w:bottom w:val="nil"/>
              <w:right w:val="nil"/>
            </w:tcBorders>
          </w:tcPr>
          <w:p>
            <w:pPr>
              <w:pStyle w:val="TableParagraph"/>
              <w:spacing w:before="26"/>
              <w:ind w:right="65"/>
              <w:rPr>
                <w:sz w:val="20"/>
              </w:rPr>
            </w:pPr>
            <w:r>
              <w:rPr>
                <w:sz w:val="20"/>
              </w:rPr>
              <w:t>0.23</w:t>
            </w:r>
          </w:p>
        </w:tc>
        <w:tc>
          <w:tcPr>
            <w:tcW w:w="975" w:type="dxa"/>
            <w:tcBorders>
              <w:top w:val="nil"/>
              <w:left w:val="nil"/>
              <w:bottom w:val="nil"/>
              <w:right w:val="nil"/>
            </w:tcBorders>
          </w:tcPr>
          <w:p>
            <w:pPr>
              <w:pStyle w:val="TableParagraph"/>
              <w:spacing w:before="26"/>
              <w:ind w:right="65"/>
              <w:rPr>
                <w:sz w:val="20"/>
              </w:rPr>
            </w:pPr>
            <w:r>
              <w:rPr>
                <w:sz w:val="20"/>
              </w:rPr>
              <w:t>0.12</w:t>
            </w:r>
          </w:p>
        </w:tc>
        <w:tc>
          <w:tcPr>
            <w:tcW w:w="974" w:type="dxa"/>
            <w:tcBorders>
              <w:top w:val="nil"/>
              <w:left w:val="nil"/>
              <w:bottom w:val="nil"/>
              <w:right w:val="nil"/>
            </w:tcBorders>
          </w:tcPr>
          <w:p>
            <w:pPr>
              <w:pStyle w:val="TableParagraph"/>
              <w:spacing w:before="26"/>
              <w:ind w:right="65"/>
              <w:rPr>
                <w:sz w:val="20"/>
              </w:rPr>
            </w:pPr>
            <w:r>
              <w:rPr>
                <w:sz w:val="20"/>
              </w:rPr>
              <w:t>0.06</w:t>
            </w:r>
          </w:p>
        </w:tc>
        <w:tc>
          <w:tcPr>
            <w:tcW w:w="970" w:type="dxa"/>
            <w:tcBorders>
              <w:top w:val="nil"/>
              <w:left w:val="nil"/>
              <w:bottom w:val="nil"/>
              <w:right w:val="nil"/>
            </w:tcBorders>
          </w:tcPr>
          <w:p>
            <w:pPr>
              <w:pStyle w:val="TableParagraph"/>
              <w:spacing w:before="26"/>
              <w:ind w:right="60"/>
              <w:rPr>
                <w:sz w:val="20"/>
              </w:rPr>
            </w:pPr>
            <w:r>
              <w:rPr>
                <w:sz w:val="20"/>
              </w:rPr>
              <w:t>0.04</w:t>
            </w:r>
          </w:p>
        </w:tc>
      </w:tr>
      <w:tr>
        <w:trPr>
          <w:trHeight w:val="300" w:hRule="exact"/>
        </w:trPr>
        <w:tc>
          <w:tcPr>
            <w:tcW w:w="1143" w:type="dxa"/>
            <w:tcBorders>
              <w:top w:val="nil"/>
              <w:left w:val="nil"/>
              <w:bottom w:val="nil"/>
              <w:right w:val="nil"/>
            </w:tcBorders>
          </w:tcPr>
          <w:p>
            <w:pPr>
              <w:pStyle w:val="TableParagraph"/>
              <w:ind w:left="86"/>
              <w:jc w:val="left"/>
              <w:rPr>
                <w:sz w:val="20"/>
              </w:rPr>
            </w:pPr>
            <w:r>
              <w:rPr>
                <w:sz w:val="20"/>
              </w:rPr>
              <w:t>11</w:t>
            </w:r>
          </w:p>
        </w:tc>
        <w:tc>
          <w:tcPr>
            <w:tcW w:w="1020" w:type="dxa"/>
            <w:tcBorders>
              <w:top w:val="nil"/>
              <w:left w:val="nil"/>
              <w:bottom w:val="nil"/>
              <w:right w:val="nil"/>
            </w:tcBorders>
          </w:tcPr>
          <w:p>
            <w:pPr>
              <w:pStyle w:val="TableParagraph"/>
              <w:ind w:left="71"/>
              <w:jc w:val="left"/>
              <w:rPr>
                <w:sz w:val="20"/>
              </w:rPr>
            </w:pPr>
            <w:r>
              <w:rPr>
                <w:sz w:val="20"/>
              </w:rPr>
              <w:t>15001</w:t>
            </w:r>
          </w:p>
        </w:tc>
        <w:tc>
          <w:tcPr>
            <w:tcW w:w="945" w:type="dxa"/>
            <w:tcBorders>
              <w:top w:val="nil"/>
              <w:left w:val="nil"/>
              <w:bottom w:val="nil"/>
              <w:right w:val="nil"/>
            </w:tcBorders>
          </w:tcPr>
          <w:p>
            <w:pPr>
              <w:pStyle w:val="TableParagraph"/>
              <w:ind w:right="82"/>
              <w:rPr>
                <w:sz w:val="20"/>
              </w:rPr>
            </w:pPr>
            <w:r>
              <w:rPr>
                <w:sz w:val="20"/>
              </w:rPr>
              <w:t>0.04</w:t>
            </w:r>
          </w:p>
        </w:tc>
        <w:tc>
          <w:tcPr>
            <w:tcW w:w="939" w:type="dxa"/>
            <w:tcBorders>
              <w:top w:val="nil"/>
              <w:left w:val="nil"/>
              <w:bottom w:val="nil"/>
              <w:right w:val="nil"/>
            </w:tcBorders>
          </w:tcPr>
          <w:p>
            <w:pPr>
              <w:pStyle w:val="TableParagraph"/>
              <w:ind w:right="79"/>
              <w:rPr>
                <w:sz w:val="20"/>
              </w:rPr>
            </w:pPr>
            <w:r>
              <w:rPr>
                <w:sz w:val="20"/>
              </w:rPr>
              <w:t>0.03</w:t>
            </w:r>
          </w:p>
        </w:tc>
        <w:tc>
          <w:tcPr>
            <w:tcW w:w="934" w:type="dxa"/>
            <w:tcBorders>
              <w:top w:val="nil"/>
              <w:left w:val="nil"/>
              <w:bottom w:val="nil"/>
              <w:right w:val="nil"/>
            </w:tcBorders>
          </w:tcPr>
          <w:p>
            <w:pPr>
              <w:pStyle w:val="TableParagraph"/>
              <w:ind w:right="77"/>
              <w:rPr>
                <w:sz w:val="20"/>
              </w:rPr>
            </w:pPr>
            <w:r>
              <w:rPr>
                <w:sz w:val="20"/>
              </w:rPr>
              <w:t>0.04</w:t>
            </w:r>
          </w:p>
        </w:tc>
        <w:tc>
          <w:tcPr>
            <w:tcW w:w="926" w:type="dxa"/>
            <w:tcBorders>
              <w:top w:val="nil"/>
              <w:left w:val="nil"/>
              <w:bottom w:val="nil"/>
              <w:right w:val="nil"/>
            </w:tcBorders>
          </w:tcPr>
          <w:p>
            <w:pPr>
              <w:pStyle w:val="TableParagraph"/>
              <w:ind w:right="82"/>
              <w:rPr>
                <w:sz w:val="20"/>
              </w:rPr>
            </w:pPr>
            <w:r>
              <w:rPr>
                <w:sz w:val="20"/>
              </w:rPr>
              <w:t>0.11</w:t>
            </w:r>
          </w:p>
        </w:tc>
        <w:tc>
          <w:tcPr>
            <w:tcW w:w="941" w:type="dxa"/>
            <w:tcBorders>
              <w:top w:val="nil"/>
              <w:left w:val="nil"/>
              <w:bottom w:val="nil"/>
              <w:right w:val="nil"/>
            </w:tcBorders>
          </w:tcPr>
          <w:p>
            <w:pPr>
              <w:pStyle w:val="TableParagraph"/>
              <w:ind w:right="82"/>
              <w:rPr>
                <w:sz w:val="20"/>
              </w:rPr>
            </w:pPr>
            <w:r>
              <w:rPr>
                <w:sz w:val="20"/>
              </w:rPr>
              <w:t>0.2</w:t>
            </w:r>
          </w:p>
        </w:tc>
        <w:tc>
          <w:tcPr>
            <w:tcW w:w="941" w:type="dxa"/>
            <w:tcBorders>
              <w:top w:val="nil"/>
              <w:left w:val="nil"/>
              <w:bottom w:val="nil"/>
              <w:right w:val="nil"/>
            </w:tcBorders>
          </w:tcPr>
          <w:p>
            <w:pPr>
              <w:pStyle w:val="TableParagraph"/>
              <w:ind w:right="82"/>
              <w:rPr>
                <w:sz w:val="20"/>
              </w:rPr>
            </w:pPr>
            <w:r>
              <w:rPr>
                <w:sz w:val="20"/>
              </w:rPr>
              <w:t>0.28</w:t>
            </w:r>
          </w:p>
        </w:tc>
        <w:tc>
          <w:tcPr>
            <w:tcW w:w="939" w:type="dxa"/>
            <w:tcBorders>
              <w:top w:val="nil"/>
              <w:left w:val="nil"/>
              <w:bottom w:val="nil"/>
              <w:right w:val="nil"/>
            </w:tcBorders>
          </w:tcPr>
          <w:p>
            <w:pPr>
              <w:pStyle w:val="TableParagraph"/>
              <w:ind w:right="79"/>
              <w:rPr>
                <w:sz w:val="20"/>
              </w:rPr>
            </w:pPr>
            <w:r>
              <w:rPr>
                <w:sz w:val="20"/>
              </w:rPr>
              <w:t>0.36</w:t>
            </w:r>
          </w:p>
        </w:tc>
        <w:tc>
          <w:tcPr>
            <w:tcW w:w="939" w:type="dxa"/>
            <w:tcBorders>
              <w:top w:val="nil"/>
              <w:left w:val="nil"/>
              <w:bottom w:val="nil"/>
              <w:right w:val="nil"/>
            </w:tcBorders>
          </w:tcPr>
          <w:p>
            <w:pPr>
              <w:pStyle w:val="TableParagraph"/>
              <w:ind w:right="82"/>
              <w:rPr>
                <w:sz w:val="20"/>
              </w:rPr>
            </w:pPr>
            <w:r>
              <w:rPr>
                <w:sz w:val="20"/>
              </w:rPr>
              <w:t>0.33</w:t>
            </w:r>
          </w:p>
        </w:tc>
        <w:tc>
          <w:tcPr>
            <w:tcW w:w="924" w:type="dxa"/>
            <w:tcBorders>
              <w:top w:val="nil"/>
              <w:left w:val="nil"/>
              <w:bottom w:val="nil"/>
              <w:right w:val="nil"/>
            </w:tcBorders>
          </w:tcPr>
          <w:p>
            <w:pPr>
              <w:pStyle w:val="TableParagraph"/>
              <w:ind w:right="65"/>
              <w:rPr>
                <w:sz w:val="20"/>
              </w:rPr>
            </w:pPr>
            <w:r>
              <w:rPr>
                <w:sz w:val="20"/>
              </w:rPr>
              <w:t>0.23</w:t>
            </w:r>
          </w:p>
        </w:tc>
        <w:tc>
          <w:tcPr>
            <w:tcW w:w="975" w:type="dxa"/>
            <w:tcBorders>
              <w:top w:val="nil"/>
              <w:left w:val="nil"/>
              <w:bottom w:val="nil"/>
              <w:right w:val="nil"/>
            </w:tcBorders>
          </w:tcPr>
          <w:p>
            <w:pPr>
              <w:pStyle w:val="TableParagraph"/>
              <w:ind w:right="65"/>
              <w:rPr>
                <w:sz w:val="20"/>
              </w:rPr>
            </w:pPr>
            <w:r>
              <w:rPr>
                <w:sz w:val="20"/>
              </w:rPr>
              <w:t>0.12</w:t>
            </w:r>
          </w:p>
        </w:tc>
        <w:tc>
          <w:tcPr>
            <w:tcW w:w="974" w:type="dxa"/>
            <w:tcBorders>
              <w:top w:val="nil"/>
              <w:left w:val="nil"/>
              <w:bottom w:val="nil"/>
              <w:right w:val="nil"/>
            </w:tcBorders>
          </w:tcPr>
          <w:p>
            <w:pPr>
              <w:pStyle w:val="TableParagraph"/>
              <w:ind w:right="65"/>
              <w:rPr>
                <w:sz w:val="20"/>
              </w:rPr>
            </w:pPr>
            <w:r>
              <w:rPr>
                <w:sz w:val="20"/>
              </w:rPr>
              <w:t>0.06</w:t>
            </w:r>
          </w:p>
        </w:tc>
        <w:tc>
          <w:tcPr>
            <w:tcW w:w="970" w:type="dxa"/>
            <w:tcBorders>
              <w:top w:val="nil"/>
              <w:left w:val="nil"/>
              <w:bottom w:val="nil"/>
              <w:right w:val="nil"/>
            </w:tcBorders>
          </w:tcPr>
          <w:p>
            <w:pPr>
              <w:pStyle w:val="TableParagraph"/>
              <w:ind w:right="60"/>
              <w:rPr>
                <w:sz w:val="20"/>
              </w:rPr>
            </w:pPr>
            <w:r>
              <w:rPr>
                <w:sz w:val="20"/>
              </w:rPr>
              <w:t>0.04</w:t>
            </w:r>
          </w:p>
        </w:tc>
      </w:tr>
      <w:tr>
        <w:trPr>
          <w:trHeight w:val="300" w:hRule="exact"/>
        </w:trPr>
        <w:tc>
          <w:tcPr>
            <w:tcW w:w="1143" w:type="dxa"/>
            <w:tcBorders>
              <w:top w:val="nil"/>
              <w:left w:val="nil"/>
              <w:bottom w:val="nil"/>
              <w:right w:val="nil"/>
            </w:tcBorders>
          </w:tcPr>
          <w:p>
            <w:pPr>
              <w:pStyle w:val="TableParagraph"/>
              <w:spacing w:before="26"/>
              <w:ind w:left="86"/>
              <w:jc w:val="left"/>
              <w:rPr>
                <w:sz w:val="20"/>
              </w:rPr>
            </w:pPr>
            <w:r>
              <w:rPr>
                <w:sz w:val="20"/>
              </w:rPr>
              <w:t>12</w:t>
            </w:r>
          </w:p>
        </w:tc>
        <w:tc>
          <w:tcPr>
            <w:tcW w:w="1020" w:type="dxa"/>
            <w:tcBorders>
              <w:top w:val="nil"/>
              <w:left w:val="nil"/>
              <w:bottom w:val="nil"/>
              <w:right w:val="nil"/>
            </w:tcBorders>
          </w:tcPr>
          <w:p>
            <w:pPr>
              <w:pStyle w:val="TableParagraph"/>
              <w:spacing w:before="26"/>
              <w:ind w:left="71"/>
              <w:jc w:val="left"/>
              <w:rPr>
                <w:sz w:val="20"/>
              </w:rPr>
            </w:pPr>
            <w:r>
              <w:rPr>
                <w:sz w:val="20"/>
              </w:rPr>
              <w:t>15001</w:t>
            </w:r>
          </w:p>
        </w:tc>
        <w:tc>
          <w:tcPr>
            <w:tcW w:w="945" w:type="dxa"/>
            <w:tcBorders>
              <w:top w:val="nil"/>
              <w:left w:val="nil"/>
              <w:bottom w:val="nil"/>
              <w:right w:val="nil"/>
            </w:tcBorders>
          </w:tcPr>
          <w:p>
            <w:pPr>
              <w:pStyle w:val="TableParagraph"/>
              <w:spacing w:before="26"/>
              <w:ind w:right="82"/>
              <w:rPr>
                <w:sz w:val="20"/>
              </w:rPr>
            </w:pPr>
            <w:r>
              <w:rPr>
                <w:sz w:val="20"/>
              </w:rPr>
              <w:t>0.04</w:t>
            </w:r>
          </w:p>
        </w:tc>
        <w:tc>
          <w:tcPr>
            <w:tcW w:w="939" w:type="dxa"/>
            <w:tcBorders>
              <w:top w:val="nil"/>
              <w:left w:val="nil"/>
              <w:bottom w:val="nil"/>
              <w:right w:val="nil"/>
            </w:tcBorders>
          </w:tcPr>
          <w:p>
            <w:pPr>
              <w:pStyle w:val="TableParagraph"/>
              <w:spacing w:before="26"/>
              <w:ind w:right="79"/>
              <w:rPr>
                <w:sz w:val="20"/>
              </w:rPr>
            </w:pPr>
            <w:r>
              <w:rPr>
                <w:sz w:val="20"/>
              </w:rPr>
              <w:t>0.03</w:t>
            </w:r>
          </w:p>
        </w:tc>
        <w:tc>
          <w:tcPr>
            <w:tcW w:w="934" w:type="dxa"/>
            <w:tcBorders>
              <w:top w:val="nil"/>
              <w:left w:val="nil"/>
              <w:bottom w:val="nil"/>
              <w:right w:val="nil"/>
            </w:tcBorders>
          </w:tcPr>
          <w:p>
            <w:pPr>
              <w:pStyle w:val="TableParagraph"/>
              <w:spacing w:before="26"/>
              <w:ind w:right="77"/>
              <w:rPr>
                <w:sz w:val="20"/>
              </w:rPr>
            </w:pPr>
            <w:r>
              <w:rPr>
                <w:sz w:val="20"/>
              </w:rPr>
              <w:t>0.04</w:t>
            </w:r>
          </w:p>
        </w:tc>
        <w:tc>
          <w:tcPr>
            <w:tcW w:w="926" w:type="dxa"/>
            <w:tcBorders>
              <w:top w:val="nil"/>
              <w:left w:val="nil"/>
              <w:bottom w:val="nil"/>
              <w:right w:val="nil"/>
            </w:tcBorders>
          </w:tcPr>
          <w:p>
            <w:pPr>
              <w:pStyle w:val="TableParagraph"/>
              <w:spacing w:before="26"/>
              <w:ind w:right="82"/>
              <w:rPr>
                <w:sz w:val="20"/>
              </w:rPr>
            </w:pPr>
            <w:r>
              <w:rPr>
                <w:sz w:val="20"/>
              </w:rPr>
              <w:t>0.11</w:t>
            </w:r>
          </w:p>
        </w:tc>
        <w:tc>
          <w:tcPr>
            <w:tcW w:w="941" w:type="dxa"/>
            <w:tcBorders>
              <w:top w:val="nil"/>
              <w:left w:val="nil"/>
              <w:bottom w:val="nil"/>
              <w:right w:val="nil"/>
            </w:tcBorders>
          </w:tcPr>
          <w:p>
            <w:pPr>
              <w:pStyle w:val="TableParagraph"/>
              <w:spacing w:before="26"/>
              <w:ind w:right="82"/>
              <w:rPr>
                <w:sz w:val="20"/>
              </w:rPr>
            </w:pPr>
            <w:r>
              <w:rPr>
                <w:sz w:val="20"/>
              </w:rPr>
              <w:t>0.2</w:t>
            </w:r>
          </w:p>
        </w:tc>
        <w:tc>
          <w:tcPr>
            <w:tcW w:w="941" w:type="dxa"/>
            <w:tcBorders>
              <w:top w:val="nil"/>
              <w:left w:val="nil"/>
              <w:bottom w:val="nil"/>
              <w:right w:val="nil"/>
            </w:tcBorders>
          </w:tcPr>
          <w:p>
            <w:pPr>
              <w:pStyle w:val="TableParagraph"/>
              <w:spacing w:before="26"/>
              <w:ind w:right="82"/>
              <w:rPr>
                <w:sz w:val="20"/>
              </w:rPr>
            </w:pPr>
            <w:r>
              <w:rPr>
                <w:sz w:val="20"/>
              </w:rPr>
              <w:t>0.28</w:t>
            </w:r>
          </w:p>
        </w:tc>
        <w:tc>
          <w:tcPr>
            <w:tcW w:w="939" w:type="dxa"/>
            <w:tcBorders>
              <w:top w:val="nil"/>
              <w:left w:val="nil"/>
              <w:bottom w:val="nil"/>
              <w:right w:val="nil"/>
            </w:tcBorders>
          </w:tcPr>
          <w:p>
            <w:pPr>
              <w:pStyle w:val="TableParagraph"/>
              <w:spacing w:before="26"/>
              <w:ind w:right="79"/>
              <w:rPr>
                <w:sz w:val="20"/>
              </w:rPr>
            </w:pPr>
            <w:r>
              <w:rPr>
                <w:sz w:val="20"/>
              </w:rPr>
              <w:t>0.36</w:t>
            </w:r>
          </w:p>
        </w:tc>
        <w:tc>
          <w:tcPr>
            <w:tcW w:w="939" w:type="dxa"/>
            <w:tcBorders>
              <w:top w:val="nil"/>
              <w:left w:val="nil"/>
              <w:bottom w:val="nil"/>
              <w:right w:val="nil"/>
            </w:tcBorders>
          </w:tcPr>
          <w:p>
            <w:pPr>
              <w:pStyle w:val="TableParagraph"/>
              <w:spacing w:before="26"/>
              <w:ind w:right="82"/>
              <w:rPr>
                <w:sz w:val="20"/>
              </w:rPr>
            </w:pPr>
            <w:r>
              <w:rPr>
                <w:sz w:val="20"/>
              </w:rPr>
              <w:t>0.33</w:t>
            </w:r>
          </w:p>
        </w:tc>
        <w:tc>
          <w:tcPr>
            <w:tcW w:w="924" w:type="dxa"/>
            <w:tcBorders>
              <w:top w:val="nil"/>
              <w:left w:val="nil"/>
              <w:bottom w:val="nil"/>
              <w:right w:val="nil"/>
            </w:tcBorders>
          </w:tcPr>
          <w:p>
            <w:pPr>
              <w:pStyle w:val="TableParagraph"/>
              <w:spacing w:before="26"/>
              <w:ind w:right="65"/>
              <w:rPr>
                <w:sz w:val="20"/>
              </w:rPr>
            </w:pPr>
            <w:r>
              <w:rPr>
                <w:sz w:val="20"/>
              </w:rPr>
              <w:t>0.23</w:t>
            </w:r>
          </w:p>
        </w:tc>
        <w:tc>
          <w:tcPr>
            <w:tcW w:w="975" w:type="dxa"/>
            <w:tcBorders>
              <w:top w:val="nil"/>
              <w:left w:val="nil"/>
              <w:bottom w:val="nil"/>
              <w:right w:val="nil"/>
            </w:tcBorders>
          </w:tcPr>
          <w:p>
            <w:pPr>
              <w:pStyle w:val="TableParagraph"/>
              <w:spacing w:before="26"/>
              <w:ind w:right="65"/>
              <w:rPr>
                <w:sz w:val="20"/>
              </w:rPr>
            </w:pPr>
            <w:r>
              <w:rPr>
                <w:sz w:val="20"/>
              </w:rPr>
              <w:t>0.12</w:t>
            </w:r>
          </w:p>
        </w:tc>
        <w:tc>
          <w:tcPr>
            <w:tcW w:w="974" w:type="dxa"/>
            <w:tcBorders>
              <w:top w:val="nil"/>
              <w:left w:val="nil"/>
              <w:bottom w:val="nil"/>
              <w:right w:val="nil"/>
            </w:tcBorders>
          </w:tcPr>
          <w:p>
            <w:pPr>
              <w:pStyle w:val="TableParagraph"/>
              <w:spacing w:before="26"/>
              <w:ind w:right="65"/>
              <w:rPr>
                <w:sz w:val="20"/>
              </w:rPr>
            </w:pPr>
            <w:r>
              <w:rPr>
                <w:sz w:val="20"/>
              </w:rPr>
              <w:t>0.06</w:t>
            </w:r>
          </w:p>
        </w:tc>
        <w:tc>
          <w:tcPr>
            <w:tcW w:w="970" w:type="dxa"/>
            <w:tcBorders>
              <w:top w:val="nil"/>
              <w:left w:val="nil"/>
              <w:bottom w:val="nil"/>
              <w:right w:val="nil"/>
            </w:tcBorders>
          </w:tcPr>
          <w:p>
            <w:pPr>
              <w:pStyle w:val="TableParagraph"/>
              <w:spacing w:before="26"/>
              <w:ind w:right="60"/>
              <w:rPr>
                <w:sz w:val="20"/>
              </w:rPr>
            </w:pPr>
            <w:r>
              <w:rPr>
                <w:sz w:val="20"/>
              </w:rPr>
              <w:t>0.04</w:t>
            </w:r>
          </w:p>
        </w:tc>
      </w:tr>
      <w:tr>
        <w:trPr>
          <w:trHeight w:val="300" w:hRule="exact"/>
        </w:trPr>
        <w:tc>
          <w:tcPr>
            <w:tcW w:w="1143" w:type="dxa"/>
            <w:tcBorders>
              <w:top w:val="nil"/>
              <w:left w:val="nil"/>
              <w:bottom w:val="nil"/>
              <w:right w:val="nil"/>
            </w:tcBorders>
          </w:tcPr>
          <w:p>
            <w:pPr>
              <w:pStyle w:val="TableParagraph"/>
              <w:ind w:left="86"/>
              <w:jc w:val="left"/>
              <w:rPr>
                <w:sz w:val="20"/>
              </w:rPr>
            </w:pPr>
            <w:r>
              <w:rPr>
                <w:sz w:val="20"/>
              </w:rPr>
              <w:t>13</w:t>
            </w:r>
          </w:p>
        </w:tc>
        <w:tc>
          <w:tcPr>
            <w:tcW w:w="1020" w:type="dxa"/>
            <w:tcBorders>
              <w:top w:val="nil"/>
              <w:left w:val="nil"/>
              <w:bottom w:val="nil"/>
              <w:right w:val="nil"/>
            </w:tcBorders>
          </w:tcPr>
          <w:p>
            <w:pPr>
              <w:pStyle w:val="TableParagraph"/>
              <w:ind w:left="71"/>
              <w:jc w:val="left"/>
              <w:rPr>
                <w:sz w:val="20"/>
              </w:rPr>
            </w:pPr>
            <w:r>
              <w:rPr>
                <w:sz w:val="20"/>
              </w:rPr>
              <w:t>15001</w:t>
            </w:r>
          </w:p>
        </w:tc>
        <w:tc>
          <w:tcPr>
            <w:tcW w:w="945" w:type="dxa"/>
            <w:tcBorders>
              <w:top w:val="nil"/>
              <w:left w:val="nil"/>
              <w:bottom w:val="nil"/>
              <w:right w:val="nil"/>
            </w:tcBorders>
          </w:tcPr>
          <w:p>
            <w:pPr>
              <w:pStyle w:val="TableParagraph"/>
              <w:ind w:right="82"/>
              <w:rPr>
                <w:sz w:val="20"/>
              </w:rPr>
            </w:pPr>
            <w:r>
              <w:rPr>
                <w:sz w:val="20"/>
              </w:rPr>
              <w:t>0.04</w:t>
            </w:r>
          </w:p>
        </w:tc>
        <w:tc>
          <w:tcPr>
            <w:tcW w:w="939" w:type="dxa"/>
            <w:tcBorders>
              <w:top w:val="nil"/>
              <w:left w:val="nil"/>
              <w:bottom w:val="nil"/>
              <w:right w:val="nil"/>
            </w:tcBorders>
          </w:tcPr>
          <w:p>
            <w:pPr>
              <w:pStyle w:val="TableParagraph"/>
              <w:ind w:right="79"/>
              <w:rPr>
                <w:sz w:val="20"/>
              </w:rPr>
            </w:pPr>
            <w:r>
              <w:rPr>
                <w:sz w:val="20"/>
              </w:rPr>
              <w:t>0.03</w:t>
            </w:r>
          </w:p>
        </w:tc>
        <w:tc>
          <w:tcPr>
            <w:tcW w:w="934" w:type="dxa"/>
            <w:tcBorders>
              <w:top w:val="nil"/>
              <w:left w:val="nil"/>
              <w:bottom w:val="nil"/>
              <w:right w:val="nil"/>
            </w:tcBorders>
          </w:tcPr>
          <w:p>
            <w:pPr>
              <w:pStyle w:val="TableParagraph"/>
              <w:ind w:right="77"/>
              <w:rPr>
                <w:sz w:val="20"/>
              </w:rPr>
            </w:pPr>
            <w:r>
              <w:rPr>
                <w:sz w:val="20"/>
              </w:rPr>
              <w:t>0.04</w:t>
            </w:r>
          </w:p>
        </w:tc>
        <w:tc>
          <w:tcPr>
            <w:tcW w:w="926" w:type="dxa"/>
            <w:tcBorders>
              <w:top w:val="nil"/>
              <w:left w:val="nil"/>
              <w:bottom w:val="nil"/>
              <w:right w:val="nil"/>
            </w:tcBorders>
          </w:tcPr>
          <w:p>
            <w:pPr>
              <w:pStyle w:val="TableParagraph"/>
              <w:ind w:right="82"/>
              <w:rPr>
                <w:sz w:val="20"/>
              </w:rPr>
            </w:pPr>
            <w:r>
              <w:rPr>
                <w:sz w:val="20"/>
              </w:rPr>
              <w:t>0.11</w:t>
            </w:r>
          </w:p>
        </w:tc>
        <w:tc>
          <w:tcPr>
            <w:tcW w:w="941" w:type="dxa"/>
            <w:tcBorders>
              <w:top w:val="nil"/>
              <w:left w:val="nil"/>
              <w:bottom w:val="nil"/>
              <w:right w:val="nil"/>
            </w:tcBorders>
          </w:tcPr>
          <w:p>
            <w:pPr>
              <w:pStyle w:val="TableParagraph"/>
              <w:ind w:right="82"/>
              <w:rPr>
                <w:sz w:val="20"/>
              </w:rPr>
            </w:pPr>
            <w:r>
              <w:rPr>
                <w:sz w:val="20"/>
              </w:rPr>
              <w:t>0.2</w:t>
            </w:r>
          </w:p>
        </w:tc>
        <w:tc>
          <w:tcPr>
            <w:tcW w:w="941" w:type="dxa"/>
            <w:tcBorders>
              <w:top w:val="nil"/>
              <w:left w:val="nil"/>
              <w:bottom w:val="nil"/>
              <w:right w:val="nil"/>
            </w:tcBorders>
          </w:tcPr>
          <w:p>
            <w:pPr>
              <w:pStyle w:val="TableParagraph"/>
              <w:ind w:right="82"/>
              <w:rPr>
                <w:sz w:val="20"/>
              </w:rPr>
            </w:pPr>
            <w:r>
              <w:rPr>
                <w:sz w:val="20"/>
              </w:rPr>
              <w:t>0.28</w:t>
            </w:r>
          </w:p>
        </w:tc>
        <w:tc>
          <w:tcPr>
            <w:tcW w:w="939" w:type="dxa"/>
            <w:tcBorders>
              <w:top w:val="nil"/>
              <w:left w:val="nil"/>
              <w:bottom w:val="nil"/>
              <w:right w:val="nil"/>
            </w:tcBorders>
          </w:tcPr>
          <w:p>
            <w:pPr>
              <w:pStyle w:val="TableParagraph"/>
              <w:ind w:right="79"/>
              <w:rPr>
                <w:sz w:val="20"/>
              </w:rPr>
            </w:pPr>
            <w:r>
              <w:rPr>
                <w:sz w:val="20"/>
              </w:rPr>
              <w:t>0.36</w:t>
            </w:r>
          </w:p>
        </w:tc>
        <w:tc>
          <w:tcPr>
            <w:tcW w:w="939" w:type="dxa"/>
            <w:tcBorders>
              <w:top w:val="nil"/>
              <w:left w:val="nil"/>
              <w:bottom w:val="nil"/>
              <w:right w:val="nil"/>
            </w:tcBorders>
          </w:tcPr>
          <w:p>
            <w:pPr>
              <w:pStyle w:val="TableParagraph"/>
              <w:ind w:right="82"/>
              <w:rPr>
                <w:sz w:val="20"/>
              </w:rPr>
            </w:pPr>
            <w:r>
              <w:rPr>
                <w:sz w:val="20"/>
              </w:rPr>
              <w:t>0.33</w:t>
            </w:r>
          </w:p>
        </w:tc>
        <w:tc>
          <w:tcPr>
            <w:tcW w:w="924" w:type="dxa"/>
            <w:tcBorders>
              <w:top w:val="nil"/>
              <w:left w:val="nil"/>
              <w:bottom w:val="nil"/>
              <w:right w:val="nil"/>
            </w:tcBorders>
          </w:tcPr>
          <w:p>
            <w:pPr>
              <w:pStyle w:val="TableParagraph"/>
              <w:ind w:right="65"/>
              <w:rPr>
                <w:sz w:val="20"/>
              </w:rPr>
            </w:pPr>
            <w:r>
              <w:rPr>
                <w:sz w:val="20"/>
              </w:rPr>
              <w:t>0.23</w:t>
            </w:r>
          </w:p>
        </w:tc>
        <w:tc>
          <w:tcPr>
            <w:tcW w:w="975" w:type="dxa"/>
            <w:tcBorders>
              <w:top w:val="nil"/>
              <w:left w:val="nil"/>
              <w:bottom w:val="nil"/>
              <w:right w:val="nil"/>
            </w:tcBorders>
          </w:tcPr>
          <w:p>
            <w:pPr>
              <w:pStyle w:val="TableParagraph"/>
              <w:ind w:right="65"/>
              <w:rPr>
                <w:sz w:val="20"/>
              </w:rPr>
            </w:pPr>
            <w:r>
              <w:rPr>
                <w:sz w:val="20"/>
              </w:rPr>
              <w:t>0.12</w:t>
            </w:r>
          </w:p>
        </w:tc>
        <w:tc>
          <w:tcPr>
            <w:tcW w:w="974" w:type="dxa"/>
            <w:tcBorders>
              <w:top w:val="nil"/>
              <w:left w:val="nil"/>
              <w:bottom w:val="nil"/>
              <w:right w:val="nil"/>
            </w:tcBorders>
          </w:tcPr>
          <w:p>
            <w:pPr>
              <w:pStyle w:val="TableParagraph"/>
              <w:ind w:right="65"/>
              <w:rPr>
                <w:sz w:val="20"/>
              </w:rPr>
            </w:pPr>
            <w:r>
              <w:rPr>
                <w:sz w:val="20"/>
              </w:rPr>
              <w:t>0.06</w:t>
            </w:r>
          </w:p>
        </w:tc>
        <w:tc>
          <w:tcPr>
            <w:tcW w:w="970" w:type="dxa"/>
            <w:tcBorders>
              <w:top w:val="nil"/>
              <w:left w:val="nil"/>
              <w:bottom w:val="nil"/>
              <w:right w:val="nil"/>
            </w:tcBorders>
          </w:tcPr>
          <w:p>
            <w:pPr>
              <w:pStyle w:val="TableParagraph"/>
              <w:ind w:right="60"/>
              <w:rPr>
                <w:sz w:val="20"/>
              </w:rPr>
            </w:pPr>
            <w:r>
              <w:rPr>
                <w:sz w:val="20"/>
              </w:rPr>
              <w:t>0.04</w:t>
            </w:r>
          </w:p>
        </w:tc>
      </w:tr>
      <w:tr>
        <w:trPr>
          <w:trHeight w:val="300" w:hRule="exact"/>
        </w:trPr>
        <w:tc>
          <w:tcPr>
            <w:tcW w:w="1143" w:type="dxa"/>
            <w:tcBorders>
              <w:top w:val="nil"/>
              <w:left w:val="nil"/>
              <w:bottom w:val="nil"/>
              <w:right w:val="nil"/>
            </w:tcBorders>
          </w:tcPr>
          <w:p>
            <w:pPr>
              <w:pStyle w:val="TableParagraph"/>
              <w:spacing w:before="26"/>
              <w:ind w:left="86"/>
              <w:jc w:val="left"/>
              <w:rPr>
                <w:sz w:val="20"/>
              </w:rPr>
            </w:pPr>
            <w:r>
              <w:rPr>
                <w:sz w:val="20"/>
              </w:rPr>
              <w:t>14</w:t>
            </w:r>
          </w:p>
        </w:tc>
        <w:tc>
          <w:tcPr>
            <w:tcW w:w="1020" w:type="dxa"/>
            <w:tcBorders>
              <w:top w:val="nil"/>
              <w:left w:val="nil"/>
              <w:bottom w:val="nil"/>
              <w:right w:val="nil"/>
            </w:tcBorders>
          </w:tcPr>
          <w:p>
            <w:pPr>
              <w:pStyle w:val="TableParagraph"/>
              <w:spacing w:before="26"/>
              <w:ind w:left="71"/>
              <w:jc w:val="left"/>
              <w:rPr>
                <w:sz w:val="20"/>
              </w:rPr>
            </w:pPr>
            <w:r>
              <w:rPr>
                <w:sz w:val="20"/>
              </w:rPr>
              <w:t>15001</w:t>
            </w:r>
          </w:p>
        </w:tc>
        <w:tc>
          <w:tcPr>
            <w:tcW w:w="945" w:type="dxa"/>
            <w:tcBorders>
              <w:top w:val="nil"/>
              <w:left w:val="nil"/>
              <w:bottom w:val="nil"/>
              <w:right w:val="nil"/>
            </w:tcBorders>
          </w:tcPr>
          <w:p>
            <w:pPr>
              <w:pStyle w:val="TableParagraph"/>
              <w:spacing w:before="26"/>
              <w:ind w:right="82"/>
              <w:rPr>
                <w:sz w:val="20"/>
              </w:rPr>
            </w:pPr>
            <w:r>
              <w:rPr>
                <w:sz w:val="20"/>
              </w:rPr>
              <w:t>0.04</w:t>
            </w:r>
          </w:p>
        </w:tc>
        <w:tc>
          <w:tcPr>
            <w:tcW w:w="939" w:type="dxa"/>
            <w:tcBorders>
              <w:top w:val="nil"/>
              <w:left w:val="nil"/>
              <w:bottom w:val="nil"/>
              <w:right w:val="nil"/>
            </w:tcBorders>
          </w:tcPr>
          <w:p>
            <w:pPr>
              <w:pStyle w:val="TableParagraph"/>
              <w:spacing w:before="26"/>
              <w:ind w:right="79"/>
              <w:rPr>
                <w:sz w:val="20"/>
              </w:rPr>
            </w:pPr>
            <w:r>
              <w:rPr>
                <w:sz w:val="20"/>
              </w:rPr>
              <w:t>0.03</w:t>
            </w:r>
          </w:p>
        </w:tc>
        <w:tc>
          <w:tcPr>
            <w:tcW w:w="934" w:type="dxa"/>
            <w:tcBorders>
              <w:top w:val="nil"/>
              <w:left w:val="nil"/>
              <w:bottom w:val="nil"/>
              <w:right w:val="nil"/>
            </w:tcBorders>
          </w:tcPr>
          <w:p>
            <w:pPr>
              <w:pStyle w:val="TableParagraph"/>
              <w:spacing w:before="26"/>
              <w:ind w:right="77"/>
              <w:rPr>
                <w:sz w:val="20"/>
              </w:rPr>
            </w:pPr>
            <w:r>
              <w:rPr>
                <w:sz w:val="20"/>
              </w:rPr>
              <w:t>0.04</w:t>
            </w:r>
          </w:p>
        </w:tc>
        <w:tc>
          <w:tcPr>
            <w:tcW w:w="926" w:type="dxa"/>
            <w:tcBorders>
              <w:top w:val="nil"/>
              <w:left w:val="nil"/>
              <w:bottom w:val="nil"/>
              <w:right w:val="nil"/>
            </w:tcBorders>
          </w:tcPr>
          <w:p>
            <w:pPr>
              <w:pStyle w:val="TableParagraph"/>
              <w:spacing w:before="26"/>
              <w:ind w:right="82"/>
              <w:rPr>
                <w:sz w:val="20"/>
              </w:rPr>
            </w:pPr>
            <w:r>
              <w:rPr>
                <w:sz w:val="20"/>
              </w:rPr>
              <w:t>0.11</w:t>
            </w:r>
          </w:p>
        </w:tc>
        <w:tc>
          <w:tcPr>
            <w:tcW w:w="941" w:type="dxa"/>
            <w:tcBorders>
              <w:top w:val="nil"/>
              <w:left w:val="nil"/>
              <w:bottom w:val="nil"/>
              <w:right w:val="nil"/>
            </w:tcBorders>
          </w:tcPr>
          <w:p>
            <w:pPr>
              <w:pStyle w:val="TableParagraph"/>
              <w:spacing w:before="26"/>
              <w:ind w:right="82"/>
              <w:rPr>
                <w:sz w:val="20"/>
              </w:rPr>
            </w:pPr>
            <w:r>
              <w:rPr>
                <w:sz w:val="20"/>
              </w:rPr>
              <w:t>0.2</w:t>
            </w:r>
          </w:p>
        </w:tc>
        <w:tc>
          <w:tcPr>
            <w:tcW w:w="941" w:type="dxa"/>
            <w:tcBorders>
              <w:top w:val="nil"/>
              <w:left w:val="nil"/>
              <w:bottom w:val="nil"/>
              <w:right w:val="nil"/>
            </w:tcBorders>
          </w:tcPr>
          <w:p>
            <w:pPr>
              <w:pStyle w:val="TableParagraph"/>
              <w:spacing w:before="26"/>
              <w:ind w:right="82"/>
              <w:rPr>
                <w:sz w:val="20"/>
              </w:rPr>
            </w:pPr>
            <w:r>
              <w:rPr>
                <w:sz w:val="20"/>
              </w:rPr>
              <w:t>0.28</w:t>
            </w:r>
          </w:p>
        </w:tc>
        <w:tc>
          <w:tcPr>
            <w:tcW w:w="939" w:type="dxa"/>
            <w:tcBorders>
              <w:top w:val="nil"/>
              <w:left w:val="nil"/>
              <w:bottom w:val="nil"/>
              <w:right w:val="nil"/>
            </w:tcBorders>
          </w:tcPr>
          <w:p>
            <w:pPr>
              <w:pStyle w:val="TableParagraph"/>
              <w:spacing w:before="26"/>
              <w:ind w:right="79"/>
              <w:rPr>
                <w:sz w:val="20"/>
              </w:rPr>
            </w:pPr>
            <w:r>
              <w:rPr>
                <w:sz w:val="20"/>
              </w:rPr>
              <w:t>0.36</w:t>
            </w:r>
          </w:p>
        </w:tc>
        <w:tc>
          <w:tcPr>
            <w:tcW w:w="939" w:type="dxa"/>
            <w:tcBorders>
              <w:top w:val="nil"/>
              <w:left w:val="nil"/>
              <w:bottom w:val="nil"/>
              <w:right w:val="nil"/>
            </w:tcBorders>
          </w:tcPr>
          <w:p>
            <w:pPr>
              <w:pStyle w:val="TableParagraph"/>
              <w:spacing w:before="26"/>
              <w:ind w:right="82"/>
              <w:rPr>
                <w:sz w:val="20"/>
              </w:rPr>
            </w:pPr>
            <w:r>
              <w:rPr>
                <w:sz w:val="20"/>
              </w:rPr>
              <w:t>0.33</w:t>
            </w:r>
          </w:p>
        </w:tc>
        <w:tc>
          <w:tcPr>
            <w:tcW w:w="924" w:type="dxa"/>
            <w:tcBorders>
              <w:top w:val="nil"/>
              <w:left w:val="nil"/>
              <w:bottom w:val="nil"/>
              <w:right w:val="nil"/>
            </w:tcBorders>
          </w:tcPr>
          <w:p>
            <w:pPr>
              <w:pStyle w:val="TableParagraph"/>
              <w:spacing w:before="26"/>
              <w:ind w:right="65"/>
              <w:rPr>
                <w:sz w:val="20"/>
              </w:rPr>
            </w:pPr>
            <w:r>
              <w:rPr>
                <w:sz w:val="20"/>
              </w:rPr>
              <w:t>0.23</w:t>
            </w:r>
          </w:p>
        </w:tc>
        <w:tc>
          <w:tcPr>
            <w:tcW w:w="975" w:type="dxa"/>
            <w:tcBorders>
              <w:top w:val="nil"/>
              <w:left w:val="nil"/>
              <w:bottom w:val="nil"/>
              <w:right w:val="nil"/>
            </w:tcBorders>
          </w:tcPr>
          <w:p>
            <w:pPr>
              <w:pStyle w:val="TableParagraph"/>
              <w:spacing w:before="26"/>
              <w:ind w:right="65"/>
              <w:rPr>
                <w:sz w:val="20"/>
              </w:rPr>
            </w:pPr>
            <w:r>
              <w:rPr>
                <w:sz w:val="20"/>
              </w:rPr>
              <w:t>0.12</w:t>
            </w:r>
          </w:p>
        </w:tc>
        <w:tc>
          <w:tcPr>
            <w:tcW w:w="974" w:type="dxa"/>
            <w:tcBorders>
              <w:top w:val="nil"/>
              <w:left w:val="nil"/>
              <w:bottom w:val="nil"/>
              <w:right w:val="nil"/>
            </w:tcBorders>
          </w:tcPr>
          <w:p>
            <w:pPr>
              <w:pStyle w:val="TableParagraph"/>
              <w:spacing w:before="26"/>
              <w:ind w:right="65"/>
              <w:rPr>
                <w:sz w:val="20"/>
              </w:rPr>
            </w:pPr>
            <w:r>
              <w:rPr>
                <w:sz w:val="20"/>
              </w:rPr>
              <w:t>0.06</w:t>
            </w:r>
          </w:p>
        </w:tc>
        <w:tc>
          <w:tcPr>
            <w:tcW w:w="970" w:type="dxa"/>
            <w:tcBorders>
              <w:top w:val="nil"/>
              <w:left w:val="nil"/>
              <w:bottom w:val="nil"/>
              <w:right w:val="nil"/>
            </w:tcBorders>
          </w:tcPr>
          <w:p>
            <w:pPr>
              <w:pStyle w:val="TableParagraph"/>
              <w:spacing w:before="26"/>
              <w:ind w:right="60"/>
              <w:rPr>
                <w:sz w:val="20"/>
              </w:rPr>
            </w:pPr>
            <w:r>
              <w:rPr>
                <w:sz w:val="20"/>
              </w:rPr>
              <w:t>0.04</w:t>
            </w:r>
          </w:p>
        </w:tc>
      </w:tr>
      <w:tr>
        <w:trPr>
          <w:trHeight w:val="300" w:hRule="exact"/>
        </w:trPr>
        <w:tc>
          <w:tcPr>
            <w:tcW w:w="1143" w:type="dxa"/>
            <w:tcBorders>
              <w:top w:val="nil"/>
              <w:left w:val="nil"/>
              <w:bottom w:val="nil"/>
              <w:right w:val="nil"/>
            </w:tcBorders>
          </w:tcPr>
          <w:p>
            <w:pPr>
              <w:pStyle w:val="TableParagraph"/>
              <w:ind w:left="86"/>
              <w:jc w:val="left"/>
              <w:rPr>
                <w:sz w:val="20"/>
              </w:rPr>
            </w:pPr>
            <w:r>
              <w:rPr>
                <w:sz w:val="20"/>
              </w:rPr>
              <w:t>15</w:t>
            </w:r>
          </w:p>
        </w:tc>
        <w:tc>
          <w:tcPr>
            <w:tcW w:w="1020" w:type="dxa"/>
            <w:tcBorders>
              <w:top w:val="nil"/>
              <w:left w:val="nil"/>
              <w:bottom w:val="nil"/>
              <w:right w:val="nil"/>
            </w:tcBorders>
          </w:tcPr>
          <w:p>
            <w:pPr>
              <w:pStyle w:val="TableParagraph"/>
              <w:ind w:left="71"/>
              <w:jc w:val="left"/>
              <w:rPr>
                <w:sz w:val="20"/>
              </w:rPr>
            </w:pPr>
            <w:r>
              <w:rPr>
                <w:sz w:val="20"/>
              </w:rPr>
              <w:t>15001</w:t>
            </w:r>
          </w:p>
        </w:tc>
        <w:tc>
          <w:tcPr>
            <w:tcW w:w="945" w:type="dxa"/>
            <w:tcBorders>
              <w:top w:val="nil"/>
              <w:left w:val="nil"/>
              <w:bottom w:val="nil"/>
              <w:right w:val="nil"/>
            </w:tcBorders>
          </w:tcPr>
          <w:p>
            <w:pPr>
              <w:pStyle w:val="TableParagraph"/>
              <w:ind w:right="82"/>
              <w:rPr>
                <w:sz w:val="20"/>
              </w:rPr>
            </w:pPr>
            <w:r>
              <w:rPr>
                <w:sz w:val="20"/>
              </w:rPr>
              <w:t>0.04</w:t>
            </w:r>
          </w:p>
        </w:tc>
        <w:tc>
          <w:tcPr>
            <w:tcW w:w="939" w:type="dxa"/>
            <w:tcBorders>
              <w:top w:val="nil"/>
              <w:left w:val="nil"/>
              <w:bottom w:val="nil"/>
              <w:right w:val="nil"/>
            </w:tcBorders>
          </w:tcPr>
          <w:p>
            <w:pPr>
              <w:pStyle w:val="TableParagraph"/>
              <w:ind w:right="79"/>
              <w:rPr>
                <w:sz w:val="20"/>
              </w:rPr>
            </w:pPr>
            <w:r>
              <w:rPr>
                <w:sz w:val="20"/>
              </w:rPr>
              <w:t>0.03</w:t>
            </w:r>
          </w:p>
        </w:tc>
        <w:tc>
          <w:tcPr>
            <w:tcW w:w="934" w:type="dxa"/>
            <w:tcBorders>
              <w:top w:val="nil"/>
              <w:left w:val="nil"/>
              <w:bottom w:val="nil"/>
              <w:right w:val="nil"/>
            </w:tcBorders>
          </w:tcPr>
          <w:p>
            <w:pPr>
              <w:pStyle w:val="TableParagraph"/>
              <w:ind w:right="77"/>
              <w:rPr>
                <w:sz w:val="20"/>
              </w:rPr>
            </w:pPr>
            <w:r>
              <w:rPr>
                <w:sz w:val="20"/>
              </w:rPr>
              <w:t>0.04</w:t>
            </w:r>
          </w:p>
        </w:tc>
        <w:tc>
          <w:tcPr>
            <w:tcW w:w="926" w:type="dxa"/>
            <w:tcBorders>
              <w:top w:val="nil"/>
              <w:left w:val="nil"/>
              <w:bottom w:val="nil"/>
              <w:right w:val="nil"/>
            </w:tcBorders>
          </w:tcPr>
          <w:p>
            <w:pPr>
              <w:pStyle w:val="TableParagraph"/>
              <w:ind w:right="82"/>
              <w:rPr>
                <w:sz w:val="20"/>
              </w:rPr>
            </w:pPr>
            <w:r>
              <w:rPr>
                <w:sz w:val="20"/>
              </w:rPr>
              <w:t>0.11</w:t>
            </w:r>
          </w:p>
        </w:tc>
        <w:tc>
          <w:tcPr>
            <w:tcW w:w="941" w:type="dxa"/>
            <w:tcBorders>
              <w:top w:val="nil"/>
              <w:left w:val="nil"/>
              <w:bottom w:val="nil"/>
              <w:right w:val="nil"/>
            </w:tcBorders>
          </w:tcPr>
          <w:p>
            <w:pPr>
              <w:pStyle w:val="TableParagraph"/>
              <w:ind w:right="82"/>
              <w:rPr>
                <w:sz w:val="20"/>
              </w:rPr>
            </w:pPr>
            <w:r>
              <w:rPr>
                <w:sz w:val="20"/>
              </w:rPr>
              <w:t>0.2</w:t>
            </w:r>
          </w:p>
        </w:tc>
        <w:tc>
          <w:tcPr>
            <w:tcW w:w="941" w:type="dxa"/>
            <w:tcBorders>
              <w:top w:val="nil"/>
              <w:left w:val="nil"/>
              <w:bottom w:val="nil"/>
              <w:right w:val="nil"/>
            </w:tcBorders>
          </w:tcPr>
          <w:p>
            <w:pPr>
              <w:pStyle w:val="TableParagraph"/>
              <w:ind w:right="82"/>
              <w:rPr>
                <w:sz w:val="20"/>
              </w:rPr>
            </w:pPr>
            <w:r>
              <w:rPr>
                <w:sz w:val="20"/>
              </w:rPr>
              <w:t>0.28</w:t>
            </w:r>
          </w:p>
        </w:tc>
        <w:tc>
          <w:tcPr>
            <w:tcW w:w="939" w:type="dxa"/>
            <w:tcBorders>
              <w:top w:val="nil"/>
              <w:left w:val="nil"/>
              <w:bottom w:val="nil"/>
              <w:right w:val="nil"/>
            </w:tcBorders>
          </w:tcPr>
          <w:p>
            <w:pPr>
              <w:pStyle w:val="TableParagraph"/>
              <w:ind w:right="79"/>
              <w:rPr>
                <w:sz w:val="20"/>
              </w:rPr>
            </w:pPr>
            <w:r>
              <w:rPr>
                <w:sz w:val="20"/>
              </w:rPr>
              <w:t>0.36</w:t>
            </w:r>
          </w:p>
        </w:tc>
        <w:tc>
          <w:tcPr>
            <w:tcW w:w="939" w:type="dxa"/>
            <w:tcBorders>
              <w:top w:val="nil"/>
              <w:left w:val="nil"/>
              <w:bottom w:val="nil"/>
              <w:right w:val="nil"/>
            </w:tcBorders>
          </w:tcPr>
          <w:p>
            <w:pPr>
              <w:pStyle w:val="TableParagraph"/>
              <w:ind w:right="82"/>
              <w:rPr>
                <w:sz w:val="20"/>
              </w:rPr>
            </w:pPr>
            <w:r>
              <w:rPr>
                <w:sz w:val="20"/>
              </w:rPr>
              <w:t>0.33</w:t>
            </w:r>
          </w:p>
        </w:tc>
        <w:tc>
          <w:tcPr>
            <w:tcW w:w="924" w:type="dxa"/>
            <w:tcBorders>
              <w:top w:val="nil"/>
              <w:left w:val="nil"/>
              <w:bottom w:val="nil"/>
              <w:right w:val="nil"/>
            </w:tcBorders>
          </w:tcPr>
          <w:p>
            <w:pPr>
              <w:pStyle w:val="TableParagraph"/>
              <w:ind w:right="65"/>
              <w:rPr>
                <w:sz w:val="20"/>
              </w:rPr>
            </w:pPr>
            <w:r>
              <w:rPr>
                <w:sz w:val="20"/>
              </w:rPr>
              <w:t>0.23</w:t>
            </w:r>
          </w:p>
        </w:tc>
        <w:tc>
          <w:tcPr>
            <w:tcW w:w="975" w:type="dxa"/>
            <w:tcBorders>
              <w:top w:val="nil"/>
              <w:left w:val="nil"/>
              <w:bottom w:val="nil"/>
              <w:right w:val="nil"/>
            </w:tcBorders>
          </w:tcPr>
          <w:p>
            <w:pPr>
              <w:pStyle w:val="TableParagraph"/>
              <w:ind w:right="65"/>
              <w:rPr>
                <w:sz w:val="20"/>
              </w:rPr>
            </w:pPr>
            <w:r>
              <w:rPr>
                <w:sz w:val="20"/>
              </w:rPr>
              <w:t>0.12</w:t>
            </w:r>
          </w:p>
        </w:tc>
        <w:tc>
          <w:tcPr>
            <w:tcW w:w="974" w:type="dxa"/>
            <w:tcBorders>
              <w:top w:val="nil"/>
              <w:left w:val="nil"/>
              <w:bottom w:val="nil"/>
              <w:right w:val="nil"/>
            </w:tcBorders>
          </w:tcPr>
          <w:p>
            <w:pPr>
              <w:pStyle w:val="TableParagraph"/>
              <w:ind w:right="65"/>
              <w:rPr>
                <w:sz w:val="20"/>
              </w:rPr>
            </w:pPr>
            <w:r>
              <w:rPr>
                <w:sz w:val="20"/>
              </w:rPr>
              <w:t>0.06</w:t>
            </w:r>
          </w:p>
        </w:tc>
        <w:tc>
          <w:tcPr>
            <w:tcW w:w="970" w:type="dxa"/>
            <w:tcBorders>
              <w:top w:val="nil"/>
              <w:left w:val="nil"/>
              <w:bottom w:val="nil"/>
              <w:right w:val="nil"/>
            </w:tcBorders>
          </w:tcPr>
          <w:p>
            <w:pPr>
              <w:pStyle w:val="TableParagraph"/>
              <w:ind w:right="60"/>
              <w:rPr>
                <w:sz w:val="20"/>
              </w:rPr>
            </w:pPr>
            <w:r>
              <w:rPr>
                <w:sz w:val="20"/>
              </w:rPr>
              <w:t>0.04</w:t>
            </w:r>
          </w:p>
        </w:tc>
      </w:tr>
      <w:tr>
        <w:trPr>
          <w:trHeight w:val="300" w:hRule="exact"/>
        </w:trPr>
        <w:tc>
          <w:tcPr>
            <w:tcW w:w="1143" w:type="dxa"/>
            <w:tcBorders>
              <w:top w:val="nil"/>
              <w:left w:val="nil"/>
              <w:bottom w:val="nil"/>
              <w:right w:val="nil"/>
            </w:tcBorders>
          </w:tcPr>
          <w:p>
            <w:pPr>
              <w:pStyle w:val="TableParagraph"/>
              <w:spacing w:before="26"/>
              <w:ind w:left="86"/>
              <w:jc w:val="left"/>
              <w:rPr>
                <w:sz w:val="20"/>
              </w:rPr>
            </w:pPr>
            <w:r>
              <w:rPr>
                <w:sz w:val="20"/>
              </w:rPr>
              <w:t>16</w:t>
            </w:r>
          </w:p>
        </w:tc>
        <w:tc>
          <w:tcPr>
            <w:tcW w:w="1020" w:type="dxa"/>
            <w:tcBorders>
              <w:top w:val="nil"/>
              <w:left w:val="nil"/>
              <w:bottom w:val="nil"/>
              <w:right w:val="nil"/>
            </w:tcBorders>
          </w:tcPr>
          <w:p>
            <w:pPr>
              <w:pStyle w:val="TableParagraph"/>
              <w:spacing w:before="26"/>
              <w:ind w:left="71"/>
              <w:jc w:val="left"/>
              <w:rPr>
                <w:sz w:val="20"/>
              </w:rPr>
            </w:pPr>
            <w:r>
              <w:rPr>
                <w:sz w:val="20"/>
              </w:rPr>
              <w:t>15001</w:t>
            </w:r>
          </w:p>
        </w:tc>
        <w:tc>
          <w:tcPr>
            <w:tcW w:w="945" w:type="dxa"/>
            <w:tcBorders>
              <w:top w:val="nil"/>
              <w:left w:val="nil"/>
              <w:bottom w:val="nil"/>
              <w:right w:val="nil"/>
            </w:tcBorders>
          </w:tcPr>
          <w:p>
            <w:pPr>
              <w:pStyle w:val="TableParagraph"/>
              <w:spacing w:before="26"/>
              <w:ind w:right="82"/>
              <w:rPr>
                <w:sz w:val="20"/>
              </w:rPr>
            </w:pPr>
            <w:r>
              <w:rPr>
                <w:sz w:val="20"/>
              </w:rPr>
              <w:t>0.04</w:t>
            </w:r>
          </w:p>
        </w:tc>
        <w:tc>
          <w:tcPr>
            <w:tcW w:w="939" w:type="dxa"/>
            <w:tcBorders>
              <w:top w:val="nil"/>
              <w:left w:val="nil"/>
              <w:bottom w:val="nil"/>
              <w:right w:val="nil"/>
            </w:tcBorders>
          </w:tcPr>
          <w:p>
            <w:pPr>
              <w:pStyle w:val="TableParagraph"/>
              <w:spacing w:before="26"/>
              <w:ind w:right="79"/>
              <w:rPr>
                <w:sz w:val="20"/>
              </w:rPr>
            </w:pPr>
            <w:r>
              <w:rPr>
                <w:sz w:val="20"/>
              </w:rPr>
              <w:t>0.03</w:t>
            </w:r>
          </w:p>
        </w:tc>
        <w:tc>
          <w:tcPr>
            <w:tcW w:w="934" w:type="dxa"/>
            <w:tcBorders>
              <w:top w:val="nil"/>
              <w:left w:val="nil"/>
              <w:bottom w:val="nil"/>
              <w:right w:val="nil"/>
            </w:tcBorders>
          </w:tcPr>
          <w:p>
            <w:pPr>
              <w:pStyle w:val="TableParagraph"/>
              <w:spacing w:before="26"/>
              <w:ind w:right="77"/>
              <w:rPr>
                <w:sz w:val="20"/>
              </w:rPr>
            </w:pPr>
            <w:r>
              <w:rPr>
                <w:sz w:val="20"/>
              </w:rPr>
              <w:t>0.04</w:t>
            </w:r>
          </w:p>
        </w:tc>
        <w:tc>
          <w:tcPr>
            <w:tcW w:w="926" w:type="dxa"/>
            <w:tcBorders>
              <w:top w:val="nil"/>
              <w:left w:val="nil"/>
              <w:bottom w:val="nil"/>
              <w:right w:val="nil"/>
            </w:tcBorders>
          </w:tcPr>
          <w:p>
            <w:pPr>
              <w:pStyle w:val="TableParagraph"/>
              <w:spacing w:before="26"/>
              <w:ind w:right="82"/>
              <w:rPr>
                <w:sz w:val="20"/>
              </w:rPr>
            </w:pPr>
            <w:r>
              <w:rPr>
                <w:sz w:val="20"/>
              </w:rPr>
              <w:t>0.11</w:t>
            </w:r>
          </w:p>
        </w:tc>
        <w:tc>
          <w:tcPr>
            <w:tcW w:w="941" w:type="dxa"/>
            <w:tcBorders>
              <w:top w:val="nil"/>
              <w:left w:val="nil"/>
              <w:bottom w:val="nil"/>
              <w:right w:val="nil"/>
            </w:tcBorders>
          </w:tcPr>
          <w:p>
            <w:pPr>
              <w:pStyle w:val="TableParagraph"/>
              <w:spacing w:before="26"/>
              <w:ind w:right="82"/>
              <w:rPr>
                <w:sz w:val="20"/>
              </w:rPr>
            </w:pPr>
            <w:r>
              <w:rPr>
                <w:sz w:val="20"/>
              </w:rPr>
              <w:t>0.2</w:t>
            </w:r>
          </w:p>
        </w:tc>
        <w:tc>
          <w:tcPr>
            <w:tcW w:w="941" w:type="dxa"/>
            <w:tcBorders>
              <w:top w:val="nil"/>
              <w:left w:val="nil"/>
              <w:bottom w:val="nil"/>
              <w:right w:val="nil"/>
            </w:tcBorders>
          </w:tcPr>
          <w:p>
            <w:pPr>
              <w:pStyle w:val="TableParagraph"/>
              <w:spacing w:before="26"/>
              <w:ind w:right="82"/>
              <w:rPr>
                <w:sz w:val="20"/>
              </w:rPr>
            </w:pPr>
            <w:r>
              <w:rPr>
                <w:sz w:val="20"/>
              </w:rPr>
              <w:t>0.28</w:t>
            </w:r>
          </w:p>
        </w:tc>
        <w:tc>
          <w:tcPr>
            <w:tcW w:w="939" w:type="dxa"/>
            <w:tcBorders>
              <w:top w:val="nil"/>
              <w:left w:val="nil"/>
              <w:bottom w:val="nil"/>
              <w:right w:val="nil"/>
            </w:tcBorders>
          </w:tcPr>
          <w:p>
            <w:pPr>
              <w:pStyle w:val="TableParagraph"/>
              <w:spacing w:before="26"/>
              <w:ind w:right="79"/>
              <w:rPr>
                <w:sz w:val="20"/>
              </w:rPr>
            </w:pPr>
            <w:r>
              <w:rPr>
                <w:sz w:val="20"/>
              </w:rPr>
              <w:t>0.36</w:t>
            </w:r>
          </w:p>
        </w:tc>
        <w:tc>
          <w:tcPr>
            <w:tcW w:w="939" w:type="dxa"/>
            <w:tcBorders>
              <w:top w:val="nil"/>
              <w:left w:val="nil"/>
              <w:bottom w:val="nil"/>
              <w:right w:val="nil"/>
            </w:tcBorders>
          </w:tcPr>
          <w:p>
            <w:pPr>
              <w:pStyle w:val="TableParagraph"/>
              <w:spacing w:before="26"/>
              <w:ind w:right="82"/>
              <w:rPr>
                <w:sz w:val="20"/>
              </w:rPr>
            </w:pPr>
            <w:r>
              <w:rPr>
                <w:sz w:val="20"/>
              </w:rPr>
              <w:t>0.33</w:t>
            </w:r>
          </w:p>
        </w:tc>
        <w:tc>
          <w:tcPr>
            <w:tcW w:w="924" w:type="dxa"/>
            <w:tcBorders>
              <w:top w:val="nil"/>
              <w:left w:val="nil"/>
              <w:bottom w:val="nil"/>
              <w:right w:val="nil"/>
            </w:tcBorders>
          </w:tcPr>
          <w:p>
            <w:pPr>
              <w:pStyle w:val="TableParagraph"/>
              <w:spacing w:before="26"/>
              <w:ind w:right="65"/>
              <w:rPr>
                <w:sz w:val="20"/>
              </w:rPr>
            </w:pPr>
            <w:r>
              <w:rPr>
                <w:sz w:val="20"/>
              </w:rPr>
              <w:t>0.23</w:t>
            </w:r>
          </w:p>
        </w:tc>
        <w:tc>
          <w:tcPr>
            <w:tcW w:w="975" w:type="dxa"/>
            <w:tcBorders>
              <w:top w:val="nil"/>
              <w:left w:val="nil"/>
              <w:bottom w:val="nil"/>
              <w:right w:val="nil"/>
            </w:tcBorders>
          </w:tcPr>
          <w:p>
            <w:pPr>
              <w:pStyle w:val="TableParagraph"/>
              <w:spacing w:before="26"/>
              <w:ind w:right="65"/>
              <w:rPr>
                <w:sz w:val="20"/>
              </w:rPr>
            </w:pPr>
            <w:r>
              <w:rPr>
                <w:sz w:val="20"/>
              </w:rPr>
              <w:t>0.12</w:t>
            </w:r>
          </w:p>
        </w:tc>
        <w:tc>
          <w:tcPr>
            <w:tcW w:w="974" w:type="dxa"/>
            <w:tcBorders>
              <w:top w:val="nil"/>
              <w:left w:val="nil"/>
              <w:bottom w:val="nil"/>
              <w:right w:val="nil"/>
            </w:tcBorders>
          </w:tcPr>
          <w:p>
            <w:pPr>
              <w:pStyle w:val="TableParagraph"/>
              <w:spacing w:before="26"/>
              <w:ind w:right="65"/>
              <w:rPr>
                <w:sz w:val="20"/>
              </w:rPr>
            </w:pPr>
            <w:r>
              <w:rPr>
                <w:sz w:val="20"/>
              </w:rPr>
              <w:t>0.06</w:t>
            </w:r>
          </w:p>
        </w:tc>
        <w:tc>
          <w:tcPr>
            <w:tcW w:w="970" w:type="dxa"/>
            <w:tcBorders>
              <w:top w:val="nil"/>
              <w:left w:val="nil"/>
              <w:bottom w:val="nil"/>
              <w:right w:val="nil"/>
            </w:tcBorders>
          </w:tcPr>
          <w:p>
            <w:pPr>
              <w:pStyle w:val="TableParagraph"/>
              <w:spacing w:before="26"/>
              <w:ind w:right="60"/>
              <w:rPr>
                <w:sz w:val="20"/>
              </w:rPr>
            </w:pPr>
            <w:r>
              <w:rPr>
                <w:sz w:val="20"/>
              </w:rPr>
              <w:t>0.04</w:t>
            </w:r>
          </w:p>
        </w:tc>
      </w:tr>
      <w:tr>
        <w:trPr>
          <w:trHeight w:val="268" w:hRule="exact"/>
        </w:trPr>
        <w:tc>
          <w:tcPr>
            <w:tcW w:w="1143" w:type="dxa"/>
            <w:tcBorders>
              <w:top w:val="nil"/>
              <w:left w:val="nil"/>
              <w:right w:val="nil"/>
            </w:tcBorders>
          </w:tcPr>
          <w:p>
            <w:pPr>
              <w:pStyle w:val="TableParagraph"/>
              <w:ind w:left="86"/>
              <w:jc w:val="left"/>
              <w:rPr>
                <w:sz w:val="20"/>
              </w:rPr>
            </w:pPr>
            <w:r>
              <w:rPr>
                <w:sz w:val="20"/>
              </w:rPr>
              <w:t>17</w:t>
            </w:r>
          </w:p>
        </w:tc>
        <w:tc>
          <w:tcPr>
            <w:tcW w:w="1020" w:type="dxa"/>
            <w:tcBorders>
              <w:top w:val="nil"/>
              <w:left w:val="nil"/>
              <w:right w:val="nil"/>
            </w:tcBorders>
          </w:tcPr>
          <w:p>
            <w:pPr>
              <w:pStyle w:val="TableParagraph"/>
              <w:ind w:left="71"/>
              <w:jc w:val="left"/>
              <w:rPr>
                <w:sz w:val="20"/>
              </w:rPr>
            </w:pPr>
            <w:r>
              <w:rPr>
                <w:sz w:val="20"/>
              </w:rPr>
              <w:t>15001</w:t>
            </w:r>
          </w:p>
        </w:tc>
        <w:tc>
          <w:tcPr>
            <w:tcW w:w="945" w:type="dxa"/>
            <w:tcBorders>
              <w:top w:val="nil"/>
              <w:left w:val="nil"/>
              <w:right w:val="nil"/>
            </w:tcBorders>
          </w:tcPr>
          <w:p>
            <w:pPr>
              <w:pStyle w:val="TableParagraph"/>
              <w:ind w:right="82"/>
              <w:rPr>
                <w:sz w:val="20"/>
              </w:rPr>
            </w:pPr>
            <w:r>
              <w:rPr>
                <w:sz w:val="20"/>
              </w:rPr>
              <w:t>0.04</w:t>
            </w:r>
          </w:p>
        </w:tc>
        <w:tc>
          <w:tcPr>
            <w:tcW w:w="939" w:type="dxa"/>
            <w:tcBorders>
              <w:top w:val="nil"/>
              <w:left w:val="nil"/>
              <w:right w:val="nil"/>
            </w:tcBorders>
          </w:tcPr>
          <w:p>
            <w:pPr>
              <w:pStyle w:val="TableParagraph"/>
              <w:ind w:right="79"/>
              <w:rPr>
                <w:sz w:val="20"/>
              </w:rPr>
            </w:pPr>
            <w:r>
              <w:rPr>
                <w:sz w:val="20"/>
              </w:rPr>
              <w:t>0.03</w:t>
            </w:r>
          </w:p>
        </w:tc>
        <w:tc>
          <w:tcPr>
            <w:tcW w:w="934" w:type="dxa"/>
            <w:tcBorders>
              <w:top w:val="nil"/>
              <w:left w:val="nil"/>
              <w:right w:val="nil"/>
            </w:tcBorders>
          </w:tcPr>
          <w:p>
            <w:pPr>
              <w:pStyle w:val="TableParagraph"/>
              <w:ind w:right="77"/>
              <w:rPr>
                <w:sz w:val="20"/>
              </w:rPr>
            </w:pPr>
            <w:r>
              <w:rPr>
                <w:sz w:val="20"/>
              </w:rPr>
              <w:t>0.04</w:t>
            </w:r>
          </w:p>
        </w:tc>
        <w:tc>
          <w:tcPr>
            <w:tcW w:w="926" w:type="dxa"/>
            <w:tcBorders>
              <w:top w:val="nil"/>
              <w:left w:val="nil"/>
              <w:right w:val="nil"/>
            </w:tcBorders>
          </w:tcPr>
          <w:p>
            <w:pPr>
              <w:pStyle w:val="TableParagraph"/>
              <w:ind w:right="82"/>
              <w:rPr>
                <w:sz w:val="20"/>
              </w:rPr>
            </w:pPr>
            <w:r>
              <w:rPr>
                <w:sz w:val="20"/>
              </w:rPr>
              <w:t>0.11</w:t>
            </w:r>
          </w:p>
        </w:tc>
        <w:tc>
          <w:tcPr>
            <w:tcW w:w="941" w:type="dxa"/>
            <w:tcBorders>
              <w:top w:val="nil"/>
              <w:left w:val="nil"/>
              <w:right w:val="nil"/>
            </w:tcBorders>
          </w:tcPr>
          <w:p>
            <w:pPr>
              <w:pStyle w:val="TableParagraph"/>
              <w:ind w:right="82"/>
              <w:rPr>
                <w:sz w:val="20"/>
              </w:rPr>
            </w:pPr>
            <w:r>
              <w:rPr>
                <w:sz w:val="20"/>
              </w:rPr>
              <w:t>0.2</w:t>
            </w:r>
          </w:p>
        </w:tc>
        <w:tc>
          <w:tcPr>
            <w:tcW w:w="941" w:type="dxa"/>
            <w:tcBorders>
              <w:top w:val="nil"/>
              <w:left w:val="nil"/>
              <w:right w:val="nil"/>
            </w:tcBorders>
          </w:tcPr>
          <w:p>
            <w:pPr>
              <w:pStyle w:val="TableParagraph"/>
              <w:ind w:right="82"/>
              <w:rPr>
                <w:sz w:val="20"/>
              </w:rPr>
            </w:pPr>
            <w:r>
              <w:rPr>
                <w:sz w:val="20"/>
              </w:rPr>
              <w:t>0.28</w:t>
            </w:r>
          </w:p>
        </w:tc>
        <w:tc>
          <w:tcPr>
            <w:tcW w:w="939" w:type="dxa"/>
            <w:tcBorders>
              <w:top w:val="nil"/>
              <w:left w:val="nil"/>
              <w:right w:val="nil"/>
            </w:tcBorders>
          </w:tcPr>
          <w:p>
            <w:pPr>
              <w:pStyle w:val="TableParagraph"/>
              <w:ind w:right="79"/>
              <w:rPr>
                <w:sz w:val="20"/>
              </w:rPr>
            </w:pPr>
            <w:r>
              <w:rPr>
                <w:sz w:val="20"/>
              </w:rPr>
              <w:t>0.36</w:t>
            </w:r>
          </w:p>
        </w:tc>
        <w:tc>
          <w:tcPr>
            <w:tcW w:w="939" w:type="dxa"/>
            <w:tcBorders>
              <w:top w:val="nil"/>
              <w:left w:val="nil"/>
              <w:right w:val="nil"/>
            </w:tcBorders>
          </w:tcPr>
          <w:p>
            <w:pPr>
              <w:pStyle w:val="TableParagraph"/>
              <w:ind w:right="82"/>
              <w:rPr>
                <w:sz w:val="20"/>
              </w:rPr>
            </w:pPr>
            <w:r>
              <w:rPr>
                <w:sz w:val="20"/>
              </w:rPr>
              <w:t>0.33</w:t>
            </w:r>
          </w:p>
        </w:tc>
        <w:tc>
          <w:tcPr>
            <w:tcW w:w="924" w:type="dxa"/>
            <w:tcBorders>
              <w:top w:val="nil"/>
              <w:left w:val="nil"/>
              <w:right w:val="nil"/>
            </w:tcBorders>
          </w:tcPr>
          <w:p>
            <w:pPr>
              <w:pStyle w:val="TableParagraph"/>
              <w:ind w:right="65"/>
              <w:rPr>
                <w:sz w:val="20"/>
              </w:rPr>
            </w:pPr>
            <w:r>
              <w:rPr>
                <w:sz w:val="20"/>
              </w:rPr>
              <w:t>0.23</w:t>
            </w:r>
          </w:p>
        </w:tc>
        <w:tc>
          <w:tcPr>
            <w:tcW w:w="975" w:type="dxa"/>
            <w:tcBorders>
              <w:top w:val="nil"/>
              <w:left w:val="nil"/>
              <w:right w:val="nil"/>
            </w:tcBorders>
          </w:tcPr>
          <w:p>
            <w:pPr>
              <w:pStyle w:val="TableParagraph"/>
              <w:ind w:right="65"/>
              <w:rPr>
                <w:sz w:val="20"/>
              </w:rPr>
            </w:pPr>
            <w:r>
              <w:rPr>
                <w:sz w:val="20"/>
              </w:rPr>
              <w:t>0.12</w:t>
            </w:r>
          </w:p>
        </w:tc>
        <w:tc>
          <w:tcPr>
            <w:tcW w:w="974" w:type="dxa"/>
            <w:tcBorders>
              <w:top w:val="nil"/>
              <w:left w:val="nil"/>
              <w:right w:val="nil"/>
            </w:tcBorders>
          </w:tcPr>
          <w:p>
            <w:pPr>
              <w:pStyle w:val="TableParagraph"/>
              <w:ind w:right="65"/>
              <w:rPr>
                <w:sz w:val="20"/>
              </w:rPr>
            </w:pPr>
            <w:r>
              <w:rPr>
                <w:sz w:val="20"/>
              </w:rPr>
              <w:t>0.06</w:t>
            </w:r>
          </w:p>
        </w:tc>
        <w:tc>
          <w:tcPr>
            <w:tcW w:w="970" w:type="dxa"/>
            <w:tcBorders>
              <w:top w:val="nil"/>
              <w:left w:val="nil"/>
              <w:right w:val="nil"/>
            </w:tcBorders>
          </w:tcPr>
          <w:p>
            <w:pPr>
              <w:pStyle w:val="TableParagraph"/>
              <w:ind w:right="60"/>
              <w:rPr>
                <w:sz w:val="20"/>
              </w:rPr>
            </w:pPr>
            <w:r>
              <w:rPr>
                <w:sz w:val="20"/>
              </w:rPr>
              <w:t>0.04</w:t>
            </w:r>
          </w:p>
        </w:tc>
      </w:tr>
    </w:tbl>
    <w:p>
      <w:pPr>
        <w:spacing w:after="0"/>
        <w:rPr>
          <w:sz w:val="20"/>
        </w:rPr>
        <w:sectPr>
          <w:footerReference w:type="default" r:id="rId202"/>
          <w:pgSz w:w="15840" w:h="12240" w:orient="landscape"/>
          <w:pgMar w:footer="1474" w:header="0" w:top="1140" w:bottom="1660" w:left="600" w:right="620"/>
          <w:pgNumType w:start="191"/>
        </w:sectPr>
      </w:pPr>
    </w:p>
    <w:p>
      <w:pPr>
        <w:pStyle w:val="BodyText"/>
        <w:spacing w:before="7"/>
        <w:rPr>
          <w:b/>
          <w:sz w:val="17"/>
        </w:rPr>
      </w:pPr>
    </w:p>
    <w:p>
      <w:pPr>
        <w:pStyle w:val="BodyText"/>
        <w:spacing w:before="66"/>
        <w:ind w:left="116"/>
      </w:pPr>
      <w:r>
        <w:rPr/>
        <w:t>Continuación Tabla 13.</w:t>
      </w:r>
    </w:p>
    <w:p>
      <w:pPr>
        <w:pStyle w:val="BodyText"/>
        <w:spacing w:before="3"/>
        <w:rPr>
          <w:sz w:val="22"/>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43"/>
        <w:gridCol w:w="1020"/>
        <w:gridCol w:w="945"/>
        <w:gridCol w:w="939"/>
        <w:gridCol w:w="934"/>
        <w:gridCol w:w="926"/>
        <w:gridCol w:w="941"/>
        <w:gridCol w:w="941"/>
        <w:gridCol w:w="939"/>
        <w:gridCol w:w="939"/>
        <w:gridCol w:w="924"/>
        <w:gridCol w:w="975"/>
        <w:gridCol w:w="974"/>
        <w:gridCol w:w="970"/>
      </w:tblGrid>
      <w:tr>
        <w:trPr>
          <w:trHeight w:val="610" w:hRule="exact"/>
        </w:trPr>
        <w:tc>
          <w:tcPr>
            <w:tcW w:w="1143" w:type="dxa"/>
            <w:tcBorders>
              <w:left w:val="nil"/>
              <w:right w:val="nil"/>
            </w:tcBorders>
          </w:tcPr>
          <w:p>
            <w:pPr>
              <w:pStyle w:val="TableParagraph"/>
              <w:spacing w:before="58"/>
              <w:ind w:left="86"/>
              <w:jc w:val="left"/>
              <w:rPr>
                <w:sz w:val="20"/>
              </w:rPr>
            </w:pPr>
            <w:r>
              <w:rPr>
                <w:sz w:val="20"/>
              </w:rPr>
              <w:t>SUBBASIN</w:t>
            </w:r>
          </w:p>
        </w:tc>
        <w:tc>
          <w:tcPr>
            <w:tcW w:w="1020" w:type="dxa"/>
            <w:tcBorders>
              <w:left w:val="nil"/>
              <w:right w:val="nil"/>
            </w:tcBorders>
          </w:tcPr>
          <w:p>
            <w:pPr>
              <w:pStyle w:val="TableParagraph"/>
              <w:spacing w:before="58"/>
              <w:ind w:left="71"/>
              <w:jc w:val="left"/>
              <w:rPr>
                <w:sz w:val="20"/>
              </w:rPr>
            </w:pPr>
            <w:r>
              <w:rPr>
                <w:sz w:val="20"/>
              </w:rPr>
              <w:t>STATION</w:t>
            </w:r>
          </w:p>
        </w:tc>
        <w:tc>
          <w:tcPr>
            <w:tcW w:w="945" w:type="dxa"/>
            <w:tcBorders>
              <w:left w:val="nil"/>
              <w:right w:val="nil"/>
            </w:tcBorders>
          </w:tcPr>
          <w:p>
            <w:pPr>
              <w:pStyle w:val="TableParagraph"/>
              <w:spacing w:before="58"/>
              <w:ind w:right="125"/>
              <w:rPr>
                <w:sz w:val="20"/>
              </w:rPr>
            </w:pPr>
            <w:r>
              <w:rPr>
                <w:sz w:val="20"/>
              </w:rPr>
              <w:t>PR_W11</w:t>
            </w:r>
          </w:p>
        </w:tc>
        <w:tc>
          <w:tcPr>
            <w:tcW w:w="939" w:type="dxa"/>
            <w:tcBorders>
              <w:left w:val="nil"/>
              <w:right w:val="nil"/>
            </w:tcBorders>
          </w:tcPr>
          <w:p>
            <w:pPr>
              <w:pStyle w:val="TableParagraph"/>
              <w:spacing w:before="58"/>
              <w:ind w:right="122"/>
              <w:rPr>
                <w:sz w:val="20"/>
              </w:rPr>
            </w:pPr>
            <w:r>
              <w:rPr>
                <w:sz w:val="20"/>
              </w:rPr>
              <w:t>PR_W12</w:t>
            </w:r>
          </w:p>
        </w:tc>
        <w:tc>
          <w:tcPr>
            <w:tcW w:w="934" w:type="dxa"/>
            <w:tcBorders>
              <w:left w:val="nil"/>
              <w:right w:val="nil"/>
            </w:tcBorders>
          </w:tcPr>
          <w:p>
            <w:pPr>
              <w:pStyle w:val="TableParagraph"/>
              <w:spacing w:before="58"/>
              <w:ind w:right="120"/>
              <w:rPr>
                <w:sz w:val="20"/>
              </w:rPr>
            </w:pPr>
            <w:r>
              <w:rPr>
                <w:sz w:val="20"/>
              </w:rPr>
              <w:t>PR_W13</w:t>
            </w:r>
          </w:p>
        </w:tc>
        <w:tc>
          <w:tcPr>
            <w:tcW w:w="926" w:type="dxa"/>
            <w:tcBorders>
              <w:left w:val="nil"/>
              <w:right w:val="nil"/>
            </w:tcBorders>
          </w:tcPr>
          <w:p>
            <w:pPr>
              <w:pStyle w:val="TableParagraph"/>
              <w:spacing w:before="58"/>
              <w:ind w:right="115"/>
              <w:rPr>
                <w:sz w:val="20"/>
              </w:rPr>
            </w:pPr>
            <w:r>
              <w:rPr>
                <w:sz w:val="20"/>
              </w:rPr>
              <w:t>PR_W14</w:t>
            </w:r>
          </w:p>
        </w:tc>
        <w:tc>
          <w:tcPr>
            <w:tcW w:w="941" w:type="dxa"/>
            <w:tcBorders>
              <w:left w:val="nil"/>
              <w:right w:val="nil"/>
            </w:tcBorders>
          </w:tcPr>
          <w:p>
            <w:pPr>
              <w:pStyle w:val="TableParagraph"/>
              <w:spacing w:before="58"/>
              <w:ind w:right="125"/>
              <w:rPr>
                <w:sz w:val="20"/>
              </w:rPr>
            </w:pPr>
            <w:r>
              <w:rPr>
                <w:sz w:val="20"/>
              </w:rPr>
              <w:t>PR_W15</w:t>
            </w:r>
          </w:p>
        </w:tc>
        <w:tc>
          <w:tcPr>
            <w:tcW w:w="941" w:type="dxa"/>
            <w:tcBorders>
              <w:left w:val="nil"/>
              <w:right w:val="nil"/>
            </w:tcBorders>
          </w:tcPr>
          <w:p>
            <w:pPr>
              <w:pStyle w:val="TableParagraph"/>
              <w:spacing w:before="58"/>
              <w:ind w:right="125"/>
              <w:rPr>
                <w:sz w:val="20"/>
              </w:rPr>
            </w:pPr>
            <w:r>
              <w:rPr>
                <w:sz w:val="20"/>
              </w:rPr>
              <w:t>PR_W16</w:t>
            </w:r>
          </w:p>
        </w:tc>
        <w:tc>
          <w:tcPr>
            <w:tcW w:w="939" w:type="dxa"/>
            <w:tcBorders>
              <w:left w:val="nil"/>
              <w:right w:val="nil"/>
            </w:tcBorders>
          </w:tcPr>
          <w:p>
            <w:pPr>
              <w:pStyle w:val="TableParagraph"/>
              <w:spacing w:before="58"/>
              <w:ind w:right="122"/>
              <w:rPr>
                <w:sz w:val="20"/>
              </w:rPr>
            </w:pPr>
            <w:r>
              <w:rPr>
                <w:sz w:val="20"/>
              </w:rPr>
              <w:t>PR_W17</w:t>
            </w:r>
          </w:p>
        </w:tc>
        <w:tc>
          <w:tcPr>
            <w:tcW w:w="939" w:type="dxa"/>
            <w:tcBorders>
              <w:left w:val="nil"/>
              <w:right w:val="nil"/>
            </w:tcBorders>
          </w:tcPr>
          <w:p>
            <w:pPr>
              <w:pStyle w:val="TableParagraph"/>
              <w:spacing w:before="58"/>
              <w:ind w:right="125"/>
              <w:rPr>
                <w:sz w:val="20"/>
              </w:rPr>
            </w:pPr>
            <w:r>
              <w:rPr>
                <w:sz w:val="20"/>
              </w:rPr>
              <w:t>PR_W18</w:t>
            </w:r>
          </w:p>
        </w:tc>
        <w:tc>
          <w:tcPr>
            <w:tcW w:w="924" w:type="dxa"/>
            <w:tcBorders>
              <w:left w:val="nil"/>
              <w:right w:val="nil"/>
            </w:tcBorders>
          </w:tcPr>
          <w:p>
            <w:pPr>
              <w:pStyle w:val="TableParagraph"/>
              <w:spacing w:before="58"/>
              <w:ind w:right="108"/>
              <w:rPr>
                <w:sz w:val="20"/>
              </w:rPr>
            </w:pPr>
            <w:r>
              <w:rPr>
                <w:sz w:val="20"/>
              </w:rPr>
              <w:t>PR_W19</w:t>
            </w:r>
          </w:p>
        </w:tc>
        <w:tc>
          <w:tcPr>
            <w:tcW w:w="975" w:type="dxa"/>
            <w:tcBorders>
              <w:left w:val="nil"/>
              <w:right w:val="nil"/>
            </w:tcBorders>
          </w:tcPr>
          <w:p>
            <w:pPr>
              <w:pStyle w:val="TableParagraph"/>
              <w:spacing w:before="58"/>
              <w:ind w:right="74"/>
              <w:rPr>
                <w:sz w:val="20"/>
              </w:rPr>
            </w:pPr>
            <w:r>
              <w:rPr>
                <w:sz w:val="20"/>
              </w:rPr>
              <w:t>PR_W110</w:t>
            </w:r>
          </w:p>
        </w:tc>
        <w:tc>
          <w:tcPr>
            <w:tcW w:w="974" w:type="dxa"/>
            <w:tcBorders>
              <w:left w:val="nil"/>
              <w:right w:val="nil"/>
            </w:tcBorders>
          </w:tcPr>
          <w:p>
            <w:pPr>
              <w:pStyle w:val="TableParagraph"/>
              <w:spacing w:before="58"/>
              <w:ind w:right="74"/>
              <w:rPr>
                <w:sz w:val="20"/>
              </w:rPr>
            </w:pPr>
            <w:r>
              <w:rPr>
                <w:sz w:val="20"/>
              </w:rPr>
              <w:t>PR_W111</w:t>
            </w:r>
          </w:p>
        </w:tc>
        <w:tc>
          <w:tcPr>
            <w:tcW w:w="970" w:type="dxa"/>
            <w:tcBorders>
              <w:left w:val="nil"/>
              <w:right w:val="nil"/>
            </w:tcBorders>
          </w:tcPr>
          <w:p>
            <w:pPr>
              <w:pStyle w:val="TableParagraph"/>
              <w:spacing w:before="58"/>
              <w:ind w:right="70"/>
              <w:rPr>
                <w:sz w:val="20"/>
              </w:rPr>
            </w:pPr>
            <w:r>
              <w:rPr>
                <w:sz w:val="20"/>
              </w:rPr>
              <w:t>PR_W112</w:t>
            </w:r>
          </w:p>
        </w:tc>
      </w:tr>
      <w:tr>
        <w:trPr>
          <w:trHeight w:val="339" w:hRule="exact"/>
        </w:trPr>
        <w:tc>
          <w:tcPr>
            <w:tcW w:w="1143" w:type="dxa"/>
            <w:tcBorders>
              <w:left w:val="nil"/>
              <w:bottom w:val="nil"/>
              <w:right w:val="nil"/>
            </w:tcBorders>
          </w:tcPr>
          <w:p>
            <w:pPr>
              <w:pStyle w:val="TableParagraph"/>
              <w:spacing w:before="58"/>
              <w:ind w:left="86"/>
              <w:jc w:val="left"/>
              <w:rPr>
                <w:sz w:val="20"/>
              </w:rPr>
            </w:pPr>
            <w:r>
              <w:rPr>
                <w:sz w:val="20"/>
              </w:rPr>
              <w:t>18</w:t>
            </w:r>
          </w:p>
        </w:tc>
        <w:tc>
          <w:tcPr>
            <w:tcW w:w="1020" w:type="dxa"/>
            <w:tcBorders>
              <w:left w:val="nil"/>
              <w:bottom w:val="nil"/>
              <w:right w:val="nil"/>
            </w:tcBorders>
          </w:tcPr>
          <w:p>
            <w:pPr>
              <w:pStyle w:val="TableParagraph"/>
              <w:spacing w:before="58"/>
              <w:ind w:left="71"/>
              <w:jc w:val="left"/>
              <w:rPr>
                <w:sz w:val="20"/>
              </w:rPr>
            </w:pPr>
            <w:r>
              <w:rPr>
                <w:sz w:val="20"/>
              </w:rPr>
              <w:t>15001</w:t>
            </w:r>
          </w:p>
        </w:tc>
        <w:tc>
          <w:tcPr>
            <w:tcW w:w="945" w:type="dxa"/>
            <w:tcBorders>
              <w:left w:val="nil"/>
              <w:bottom w:val="nil"/>
              <w:right w:val="nil"/>
            </w:tcBorders>
          </w:tcPr>
          <w:p>
            <w:pPr>
              <w:pStyle w:val="TableParagraph"/>
              <w:spacing w:before="58"/>
              <w:ind w:right="82"/>
              <w:rPr>
                <w:sz w:val="20"/>
              </w:rPr>
            </w:pPr>
            <w:r>
              <w:rPr>
                <w:sz w:val="20"/>
              </w:rPr>
              <w:t>0.04</w:t>
            </w:r>
          </w:p>
        </w:tc>
        <w:tc>
          <w:tcPr>
            <w:tcW w:w="939" w:type="dxa"/>
            <w:tcBorders>
              <w:left w:val="nil"/>
              <w:bottom w:val="nil"/>
              <w:right w:val="nil"/>
            </w:tcBorders>
          </w:tcPr>
          <w:p>
            <w:pPr>
              <w:pStyle w:val="TableParagraph"/>
              <w:spacing w:before="58"/>
              <w:ind w:right="79"/>
              <w:rPr>
                <w:sz w:val="20"/>
              </w:rPr>
            </w:pPr>
            <w:r>
              <w:rPr>
                <w:sz w:val="20"/>
              </w:rPr>
              <w:t>0.03</w:t>
            </w:r>
          </w:p>
        </w:tc>
        <w:tc>
          <w:tcPr>
            <w:tcW w:w="934" w:type="dxa"/>
            <w:tcBorders>
              <w:left w:val="nil"/>
              <w:bottom w:val="nil"/>
              <w:right w:val="nil"/>
            </w:tcBorders>
          </w:tcPr>
          <w:p>
            <w:pPr>
              <w:pStyle w:val="TableParagraph"/>
              <w:spacing w:before="58"/>
              <w:ind w:right="77"/>
              <w:rPr>
                <w:sz w:val="20"/>
              </w:rPr>
            </w:pPr>
            <w:r>
              <w:rPr>
                <w:sz w:val="20"/>
              </w:rPr>
              <w:t>0.04</w:t>
            </w:r>
          </w:p>
        </w:tc>
        <w:tc>
          <w:tcPr>
            <w:tcW w:w="926" w:type="dxa"/>
            <w:tcBorders>
              <w:left w:val="nil"/>
              <w:bottom w:val="nil"/>
              <w:right w:val="nil"/>
            </w:tcBorders>
          </w:tcPr>
          <w:p>
            <w:pPr>
              <w:pStyle w:val="TableParagraph"/>
              <w:spacing w:before="58"/>
              <w:ind w:right="82"/>
              <w:rPr>
                <w:sz w:val="20"/>
              </w:rPr>
            </w:pPr>
            <w:r>
              <w:rPr>
                <w:sz w:val="20"/>
              </w:rPr>
              <w:t>0.11</w:t>
            </w:r>
          </w:p>
        </w:tc>
        <w:tc>
          <w:tcPr>
            <w:tcW w:w="941" w:type="dxa"/>
            <w:tcBorders>
              <w:left w:val="nil"/>
              <w:bottom w:val="nil"/>
              <w:right w:val="nil"/>
            </w:tcBorders>
          </w:tcPr>
          <w:p>
            <w:pPr>
              <w:pStyle w:val="TableParagraph"/>
              <w:spacing w:before="58"/>
              <w:ind w:right="82"/>
              <w:rPr>
                <w:sz w:val="20"/>
              </w:rPr>
            </w:pPr>
            <w:r>
              <w:rPr>
                <w:sz w:val="20"/>
              </w:rPr>
              <w:t>0.2</w:t>
            </w:r>
          </w:p>
        </w:tc>
        <w:tc>
          <w:tcPr>
            <w:tcW w:w="941" w:type="dxa"/>
            <w:tcBorders>
              <w:left w:val="nil"/>
              <w:bottom w:val="nil"/>
              <w:right w:val="nil"/>
            </w:tcBorders>
          </w:tcPr>
          <w:p>
            <w:pPr>
              <w:pStyle w:val="TableParagraph"/>
              <w:spacing w:before="58"/>
              <w:ind w:right="82"/>
              <w:rPr>
                <w:sz w:val="20"/>
              </w:rPr>
            </w:pPr>
            <w:r>
              <w:rPr>
                <w:sz w:val="20"/>
              </w:rPr>
              <w:t>0.28</w:t>
            </w:r>
          </w:p>
        </w:tc>
        <w:tc>
          <w:tcPr>
            <w:tcW w:w="939" w:type="dxa"/>
            <w:tcBorders>
              <w:left w:val="nil"/>
              <w:bottom w:val="nil"/>
              <w:right w:val="nil"/>
            </w:tcBorders>
          </w:tcPr>
          <w:p>
            <w:pPr>
              <w:pStyle w:val="TableParagraph"/>
              <w:spacing w:before="58"/>
              <w:ind w:right="79"/>
              <w:rPr>
                <w:sz w:val="20"/>
              </w:rPr>
            </w:pPr>
            <w:r>
              <w:rPr>
                <w:sz w:val="20"/>
              </w:rPr>
              <w:t>0.36</w:t>
            </w:r>
          </w:p>
        </w:tc>
        <w:tc>
          <w:tcPr>
            <w:tcW w:w="939" w:type="dxa"/>
            <w:tcBorders>
              <w:left w:val="nil"/>
              <w:bottom w:val="nil"/>
              <w:right w:val="nil"/>
            </w:tcBorders>
          </w:tcPr>
          <w:p>
            <w:pPr>
              <w:pStyle w:val="TableParagraph"/>
              <w:spacing w:before="58"/>
              <w:ind w:right="82"/>
              <w:rPr>
                <w:sz w:val="20"/>
              </w:rPr>
            </w:pPr>
            <w:r>
              <w:rPr>
                <w:sz w:val="20"/>
              </w:rPr>
              <w:t>0.33</w:t>
            </w:r>
          </w:p>
        </w:tc>
        <w:tc>
          <w:tcPr>
            <w:tcW w:w="924" w:type="dxa"/>
            <w:tcBorders>
              <w:left w:val="nil"/>
              <w:bottom w:val="nil"/>
              <w:right w:val="nil"/>
            </w:tcBorders>
          </w:tcPr>
          <w:p>
            <w:pPr>
              <w:pStyle w:val="TableParagraph"/>
              <w:spacing w:before="58"/>
              <w:ind w:right="65"/>
              <w:rPr>
                <w:sz w:val="20"/>
              </w:rPr>
            </w:pPr>
            <w:r>
              <w:rPr>
                <w:sz w:val="20"/>
              </w:rPr>
              <w:t>0.23</w:t>
            </w:r>
          </w:p>
        </w:tc>
        <w:tc>
          <w:tcPr>
            <w:tcW w:w="975" w:type="dxa"/>
            <w:tcBorders>
              <w:left w:val="nil"/>
              <w:bottom w:val="nil"/>
              <w:right w:val="nil"/>
            </w:tcBorders>
          </w:tcPr>
          <w:p>
            <w:pPr>
              <w:pStyle w:val="TableParagraph"/>
              <w:spacing w:before="58"/>
              <w:ind w:right="65"/>
              <w:rPr>
                <w:sz w:val="20"/>
              </w:rPr>
            </w:pPr>
            <w:r>
              <w:rPr>
                <w:sz w:val="20"/>
              </w:rPr>
              <w:t>0.12</w:t>
            </w:r>
          </w:p>
        </w:tc>
        <w:tc>
          <w:tcPr>
            <w:tcW w:w="974" w:type="dxa"/>
            <w:tcBorders>
              <w:left w:val="nil"/>
              <w:bottom w:val="nil"/>
              <w:right w:val="nil"/>
            </w:tcBorders>
          </w:tcPr>
          <w:p>
            <w:pPr>
              <w:pStyle w:val="TableParagraph"/>
              <w:spacing w:before="58"/>
              <w:ind w:right="65"/>
              <w:rPr>
                <w:sz w:val="20"/>
              </w:rPr>
            </w:pPr>
            <w:r>
              <w:rPr>
                <w:sz w:val="20"/>
              </w:rPr>
              <w:t>0.06</w:t>
            </w:r>
          </w:p>
        </w:tc>
        <w:tc>
          <w:tcPr>
            <w:tcW w:w="970" w:type="dxa"/>
            <w:tcBorders>
              <w:left w:val="nil"/>
              <w:bottom w:val="nil"/>
              <w:right w:val="nil"/>
            </w:tcBorders>
          </w:tcPr>
          <w:p>
            <w:pPr>
              <w:pStyle w:val="TableParagraph"/>
              <w:spacing w:before="58"/>
              <w:ind w:right="60"/>
              <w:rPr>
                <w:sz w:val="20"/>
              </w:rPr>
            </w:pPr>
            <w:r>
              <w:rPr>
                <w:sz w:val="20"/>
              </w:rPr>
              <w:t>0.04</w:t>
            </w:r>
          </w:p>
        </w:tc>
      </w:tr>
      <w:tr>
        <w:trPr>
          <w:trHeight w:val="300" w:hRule="exact"/>
        </w:trPr>
        <w:tc>
          <w:tcPr>
            <w:tcW w:w="1143" w:type="dxa"/>
            <w:tcBorders>
              <w:top w:val="nil"/>
              <w:left w:val="nil"/>
              <w:bottom w:val="nil"/>
              <w:right w:val="nil"/>
            </w:tcBorders>
          </w:tcPr>
          <w:p>
            <w:pPr>
              <w:pStyle w:val="TableParagraph"/>
              <w:spacing w:before="26"/>
              <w:ind w:left="86"/>
              <w:jc w:val="left"/>
              <w:rPr>
                <w:sz w:val="20"/>
              </w:rPr>
            </w:pPr>
            <w:r>
              <w:rPr>
                <w:sz w:val="20"/>
              </w:rPr>
              <w:t>19</w:t>
            </w:r>
          </w:p>
        </w:tc>
        <w:tc>
          <w:tcPr>
            <w:tcW w:w="1020" w:type="dxa"/>
            <w:tcBorders>
              <w:top w:val="nil"/>
              <w:left w:val="nil"/>
              <w:bottom w:val="nil"/>
              <w:right w:val="nil"/>
            </w:tcBorders>
          </w:tcPr>
          <w:p>
            <w:pPr>
              <w:pStyle w:val="TableParagraph"/>
              <w:spacing w:before="26"/>
              <w:ind w:left="71"/>
              <w:jc w:val="left"/>
              <w:rPr>
                <w:sz w:val="20"/>
              </w:rPr>
            </w:pPr>
            <w:r>
              <w:rPr>
                <w:sz w:val="20"/>
              </w:rPr>
              <w:t>15001</w:t>
            </w:r>
          </w:p>
        </w:tc>
        <w:tc>
          <w:tcPr>
            <w:tcW w:w="945" w:type="dxa"/>
            <w:tcBorders>
              <w:top w:val="nil"/>
              <w:left w:val="nil"/>
              <w:bottom w:val="nil"/>
              <w:right w:val="nil"/>
            </w:tcBorders>
          </w:tcPr>
          <w:p>
            <w:pPr>
              <w:pStyle w:val="TableParagraph"/>
              <w:spacing w:before="26"/>
              <w:ind w:right="82"/>
              <w:rPr>
                <w:sz w:val="20"/>
              </w:rPr>
            </w:pPr>
            <w:r>
              <w:rPr>
                <w:sz w:val="20"/>
              </w:rPr>
              <w:t>0.04</w:t>
            </w:r>
          </w:p>
        </w:tc>
        <w:tc>
          <w:tcPr>
            <w:tcW w:w="939" w:type="dxa"/>
            <w:tcBorders>
              <w:top w:val="nil"/>
              <w:left w:val="nil"/>
              <w:bottom w:val="nil"/>
              <w:right w:val="nil"/>
            </w:tcBorders>
          </w:tcPr>
          <w:p>
            <w:pPr>
              <w:pStyle w:val="TableParagraph"/>
              <w:spacing w:before="26"/>
              <w:ind w:right="79"/>
              <w:rPr>
                <w:sz w:val="20"/>
              </w:rPr>
            </w:pPr>
            <w:r>
              <w:rPr>
                <w:sz w:val="20"/>
              </w:rPr>
              <w:t>0.03</w:t>
            </w:r>
          </w:p>
        </w:tc>
        <w:tc>
          <w:tcPr>
            <w:tcW w:w="934" w:type="dxa"/>
            <w:tcBorders>
              <w:top w:val="nil"/>
              <w:left w:val="nil"/>
              <w:bottom w:val="nil"/>
              <w:right w:val="nil"/>
            </w:tcBorders>
          </w:tcPr>
          <w:p>
            <w:pPr>
              <w:pStyle w:val="TableParagraph"/>
              <w:spacing w:before="26"/>
              <w:ind w:right="77"/>
              <w:rPr>
                <w:sz w:val="20"/>
              </w:rPr>
            </w:pPr>
            <w:r>
              <w:rPr>
                <w:sz w:val="20"/>
              </w:rPr>
              <w:t>0.04</w:t>
            </w:r>
          </w:p>
        </w:tc>
        <w:tc>
          <w:tcPr>
            <w:tcW w:w="926" w:type="dxa"/>
            <w:tcBorders>
              <w:top w:val="nil"/>
              <w:left w:val="nil"/>
              <w:bottom w:val="nil"/>
              <w:right w:val="nil"/>
            </w:tcBorders>
          </w:tcPr>
          <w:p>
            <w:pPr>
              <w:pStyle w:val="TableParagraph"/>
              <w:spacing w:before="26"/>
              <w:ind w:right="82"/>
              <w:rPr>
                <w:sz w:val="20"/>
              </w:rPr>
            </w:pPr>
            <w:r>
              <w:rPr>
                <w:sz w:val="20"/>
              </w:rPr>
              <w:t>0.11</w:t>
            </w:r>
          </w:p>
        </w:tc>
        <w:tc>
          <w:tcPr>
            <w:tcW w:w="941" w:type="dxa"/>
            <w:tcBorders>
              <w:top w:val="nil"/>
              <w:left w:val="nil"/>
              <w:bottom w:val="nil"/>
              <w:right w:val="nil"/>
            </w:tcBorders>
          </w:tcPr>
          <w:p>
            <w:pPr>
              <w:pStyle w:val="TableParagraph"/>
              <w:spacing w:before="26"/>
              <w:ind w:right="82"/>
              <w:rPr>
                <w:sz w:val="20"/>
              </w:rPr>
            </w:pPr>
            <w:r>
              <w:rPr>
                <w:sz w:val="20"/>
              </w:rPr>
              <w:t>0.2</w:t>
            </w:r>
          </w:p>
        </w:tc>
        <w:tc>
          <w:tcPr>
            <w:tcW w:w="941" w:type="dxa"/>
            <w:tcBorders>
              <w:top w:val="nil"/>
              <w:left w:val="nil"/>
              <w:bottom w:val="nil"/>
              <w:right w:val="nil"/>
            </w:tcBorders>
          </w:tcPr>
          <w:p>
            <w:pPr>
              <w:pStyle w:val="TableParagraph"/>
              <w:spacing w:before="26"/>
              <w:ind w:right="82"/>
              <w:rPr>
                <w:sz w:val="20"/>
              </w:rPr>
            </w:pPr>
            <w:r>
              <w:rPr>
                <w:sz w:val="20"/>
              </w:rPr>
              <w:t>0.28</w:t>
            </w:r>
          </w:p>
        </w:tc>
        <w:tc>
          <w:tcPr>
            <w:tcW w:w="939" w:type="dxa"/>
            <w:tcBorders>
              <w:top w:val="nil"/>
              <w:left w:val="nil"/>
              <w:bottom w:val="nil"/>
              <w:right w:val="nil"/>
            </w:tcBorders>
          </w:tcPr>
          <w:p>
            <w:pPr>
              <w:pStyle w:val="TableParagraph"/>
              <w:spacing w:before="26"/>
              <w:ind w:right="79"/>
              <w:rPr>
                <w:sz w:val="20"/>
              </w:rPr>
            </w:pPr>
            <w:r>
              <w:rPr>
                <w:sz w:val="20"/>
              </w:rPr>
              <w:t>0.36</w:t>
            </w:r>
          </w:p>
        </w:tc>
        <w:tc>
          <w:tcPr>
            <w:tcW w:w="939" w:type="dxa"/>
            <w:tcBorders>
              <w:top w:val="nil"/>
              <w:left w:val="nil"/>
              <w:bottom w:val="nil"/>
              <w:right w:val="nil"/>
            </w:tcBorders>
          </w:tcPr>
          <w:p>
            <w:pPr>
              <w:pStyle w:val="TableParagraph"/>
              <w:spacing w:before="26"/>
              <w:ind w:right="82"/>
              <w:rPr>
                <w:sz w:val="20"/>
              </w:rPr>
            </w:pPr>
            <w:r>
              <w:rPr>
                <w:sz w:val="20"/>
              </w:rPr>
              <w:t>0.33</w:t>
            </w:r>
          </w:p>
        </w:tc>
        <w:tc>
          <w:tcPr>
            <w:tcW w:w="924" w:type="dxa"/>
            <w:tcBorders>
              <w:top w:val="nil"/>
              <w:left w:val="nil"/>
              <w:bottom w:val="nil"/>
              <w:right w:val="nil"/>
            </w:tcBorders>
          </w:tcPr>
          <w:p>
            <w:pPr>
              <w:pStyle w:val="TableParagraph"/>
              <w:spacing w:before="26"/>
              <w:ind w:right="65"/>
              <w:rPr>
                <w:sz w:val="20"/>
              </w:rPr>
            </w:pPr>
            <w:r>
              <w:rPr>
                <w:sz w:val="20"/>
              </w:rPr>
              <w:t>0.23</w:t>
            </w:r>
          </w:p>
        </w:tc>
        <w:tc>
          <w:tcPr>
            <w:tcW w:w="975" w:type="dxa"/>
            <w:tcBorders>
              <w:top w:val="nil"/>
              <w:left w:val="nil"/>
              <w:bottom w:val="nil"/>
              <w:right w:val="nil"/>
            </w:tcBorders>
          </w:tcPr>
          <w:p>
            <w:pPr>
              <w:pStyle w:val="TableParagraph"/>
              <w:spacing w:before="26"/>
              <w:ind w:right="65"/>
              <w:rPr>
                <w:sz w:val="20"/>
              </w:rPr>
            </w:pPr>
            <w:r>
              <w:rPr>
                <w:sz w:val="20"/>
              </w:rPr>
              <w:t>0.12</w:t>
            </w:r>
          </w:p>
        </w:tc>
        <w:tc>
          <w:tcPr>
            <w:tcW w:w="974" w:type="dxa"/>
            <w:tcBorders>
              <w:top w:val="nil"/>
              <w:left w:val="nil"/>
              <w:bottom w:val="nil"/>
              <w:right w:val="nil"/>
            </w:tcBorders>
          </w:tcPr>
          <w:p>
            <w:pPr>
              <w:pStyle w:val="TableParagraph"/>
              <w:spacing w:before="26"/>
              <w:ind w:right="65"/>
              <w:rPr>
                <w:sz w:val="20"/>
              </w:rPr>
            </w:pPr>
            <w:r>
              <w:rPr>
                <w:sz w:val="20"/>
              </w:rPr>
              <w:t>0.06</w:t>
            </w:r>
          </w:p>
        </w:tc>
        <w:tc>
          <w:tcPr>
            <w:tcW w:w="970" w:type="dxa"/>
            <w:tcBorders>
              <w:top w:val="nil"/>
              <w:left w:val="nil"/>
              <w:bottom w:val="nil"/>
              <w:right w:val="nil"/>
            </w:tcBorders>
          </w:tcPr>
          <w:p>
            <w:pPr>
              <w:pStyle w:val="TableParagraph"/>
              <w:spacing w:before="26"/>
              <w:ind w:right="60"/>
              <w:rPr>
                <w:sz w:val="20"/>
              </w:rPr>
            </w:pPr>
            <w:r>
              <w:rPr>
                <w:sz w:val="20"/>
              </w:rPr>
              <w:t>0.04</w:t>
            </w:r>
          </w:p>
        </w:tc>
      </w:tr>
      <w:tr>
        <w:trPr>
          <w:trHeight w:val="300" w:hRule="exact"/>
        </w:trPr>
        <w:tc>
          <w:tcPr>
            <w:tcW w:w="1143" w:type="dxa"/>
            <w:tcBorders>
              <w:top w:val="nil"/>
              <w:left w:val="nil"/>
              <w:bottom w:val="nil"/>
              <w:right w:val="nil"/>
            </w:tcBorders>
          </w:tcPr>
          <w:p>
            <w:pPr>
              <w:pStyle w:val="TableParagraph"/>
              <w:ind w:left="86"/>
              <w:jc w:val="left"/>
              <w:rPr>
                <w:sz w:val="20"/>
              </w:rPr>
            </w:pPr>
            <w:r>
              <w:rPr>
                <w:sz w:val="20"/>
              </w:rPr>
              <w:t>20</w:t>
            </w:r>
          </w:p>
        </w:tc>
        <w:tc>
          <w:tcPr>
            <w:tcW w:w="1020" w:type="dxa"/>
            <w:tcBorders>
              <w:top w:val="nil"/>
              <w:left w:val="nil"/>
              <w:bottom w:val="nil"/>
              <w:right w:val="nil"/>
            </w:tcBorders>
          </w:tcPr>
          <w:p>
            <w:pPr>
              <w:pStyle w:val="TableParagraph"/>
              <w:ind w:left="71"/>
              <w:jc w:val="left"/>
              <w:rPr>
                <w:sz w:val="20"/>
              </w:rPr>
            </w:pPr>
            <w:r>
              <w:rPr>
                <w:sz w:val="20"/>
              </w:rPr>
              <w:t>15029</w:t>
            </w:r>
          </w:p>
        </w:tc>
        <w:tc>
          <w:tcPr>
            <w:tcW w:w="945" w:type="dxa"/>
            <w:tcBorders>
              <w:top w:val="nil"/>
              <w:left w:val="nil"/>
              <w:bottom w:val="nil"/>
              <w:right w:val="nil"/>
            </w:tcBorders>
          </w:tcPr>
          <w:p>
            <w:pPr>
              <w:pStyle w:val="TableParagraph"/>
              <w:ind w:right="82"/>
              <w:rPr>
                <w:sz w:val="20"/>
              </w:rPr>
            </w:pPr>
            <w:r>
              <w:rPr>
                <w:sz w:val="20"/>
              </w:rPr>
              <w:t>0.04</w:t>
            </w:r>
          </w:p>
        </w:tc>
        <w:tc>
          <w:tcPr>
            <w:tcW w:w="939" w:type="dxa"/>
            <w:tcBorders>
              <w:top w:val="nil"/>
              <w:left w:val="nil"/>
              <w:bottom w:val="nil"/>
              <w:right w:val="nil"/>
            </w:tcBorders>
          </w:tcPr>
          <w:p>
            <w:pPr>
              <w:pStyle w:val="TableParagraph"/>
              <w:ind w:right="79"/>
              <w:rPr>
                <w:sz w:val="20"/>
              </w:rPr>
            </w:pPr>
            <w:r>
              <w:rPr>
                <w:sz w:val="20"/>
              </w:rPr>
              <w:t>0.05</w:t>
            </w:r>
          </w:p>
        </w:tc>
        <w:tc>
          <w:tcPr>
            <w:tcW w:w="934" w:type="dxa"/>
            <w:tcBorders>
              <w:top w:val="nil"/>
              <w:left w:val="nil"/>
              <w:bottom w:val="nil"/>
              <w:right w:val="nil"/>
            </w:tcBorders>
          </w:tcPr>
          <w:p>
            <w:pPr>
              <w:pStyle w:val="TableParagraph"/>
              <w:ind w:right="77"/>
              <w:rPr>
                <w:sz w:val="20"/>
              </w:rPr>
            </w:pPr>
            <w:r>
              <w:rPr>
                <w:sz w:val="20"/>
              </w:rPr>
              <w:t>0.1</w:t>
            </w:r>
          </w:p>
        </w:tc>
        <w:tc>
          <w:tcPr>
            <w:tcW w:w="926" w:type="dxa"/>
            <w:tcBorders>
              <w:top w:val="nil"/>
              <w:left w:val="nil"/>
              <w:bottom w:val="nil"/>
              <w:right w:val="nil"/>
            </w:tcBorders>
          </w:tcPr>
          <w:p>
            <w:pPr>
              <w:pStyle w:val="TableParagraph"/>
              <w:ind w:right="82"/>
              <w:rPr>
                <w:sz w:val="20"/>
              </w:rPr>
            </w:pPr>
            <w:r>
              <w:rPr>
                <w:sz w:val="20"/>
              </w:rPr>
              <w:t>0.1</w:t>
            </w:r>
          </w:p>
        </w:tc>
        <w:tc>
          <w:tcPr>
            <w:tcW w:w="941" w:type="dxa"/>
            <w:tcBorders>
              <w:top w:val="nil"/>
              <w:left w:val="nil"/>
              <w:bottom w:val="nil"/>
              <w:right w:val="nil"/>
            </w:tcBorders>
          </w:tcPr>
          <w:p>
            <w:pPr>
              <w:pStyle w:val="TableParagraph"/>
              <w:ind w:right="82"/>
              <w:rPr>
                <w:sz w:val="20"/>
              </w:rPr>
            </w:pPr>
            <w:r>
              <w:rPr>
                <w:sz w:val="20"/>
              </w:rPr>
              <w:t>0.2</w:t>
            </w:r>
          </w:p>
        </w:tc>
        <w:tc>
          <w:tcPr>
            <w:tcW w:w="941" w:type="dxa"/>
            <w:tcBorders>
              <w:top w:val="nil"/>
              <w:left w:val="nil"/>
              <w:bottom w:val="nil"/>
              <w:right w:val="nil"/>
            </w:tcBorders>
          </w:tcPr>
          <w:p>
            <w:pPr>
              <w:pStyle w:val="TableParagraph"/>
              <w:ind w:right="82"/>
              <w:rPr>
                <w:sz w:val="20"/>
              </w:rPr>
            </w:pPr>
            <w:r>
              <w:rPr>
                <w:sz w:val="20"/>
              </w:rPr>
              <w:t>0.3</w:t>
            </w:r>
          </w:p>
        </w:tc>
        <w:tc>
          <w:tcPr>
            <w:tcW w:w="939" w:type="dxa"/>
            <w:tcBorders>
              <w:top w:val="nil"/>
              <w:left w:val="nil"/>
              <w:bottom w:val="nil"/>
              <w:right w:val="nil"/>
            </w:tcBorders>
          </w:tcPr>
          <w:p>
            <w:pPr>
              <w:pStyle w:val="TableParagraph"/>
              <w:ind w:right="79"/>
              <w:rPr>
                <w:sz w:val="20"/>
              </w:rPr>
            </w:pPr>
            <w:r>
              <w:rPr>
                <w:sz w:val="20"/>
              </w:rPr>
              <w:t>0.4</w:t>
            </w:r>
          </w:p>
        </w:tc>
        <w:tc>
          <w:tcPr>
            <w:tcW w:w="939" w:type="dxa"/>
            <w:tcBorders>
              <w:top w:val="nil"/>
              <w:left w:val="nil"/>
              <w:bottom w:val="nil"/>
              <w:right w:val="nil"/>
            </w:tcBorders>
          </w:tcPr>
          <w:p>
            <w:pPr>
              <w:pStyle w:val="TableParagraph"/>
              <w:ind w:right="82"/>
              <w:rPr>
                <w:sz w:val="20"/>
              </w:rPr>
            </w:pPr>
            <w:r>
              <w:rPr>
                <w:sz w:val="20"/>
              </w:rPr>
              <w:t>0.4</w:t>
            </w:r>
          </w:p>
        </w:tc>
        <w:tc>
          <w:tcPr>
            <w:tcW w:w="924" w:type="dxa"/>
            <w:tcBorders>
              <w:top w:val="nil"/>
              <w:left w:val="nil"/>
              <w:bottom w:val="nil"/>
              <w:right w:val="nil"/>
            </w:tcBorders>
          </w:tcPr>
          <w:p>
            <w:pPr>
              <w:pStyle w:val="TableParagraph"/>
              <w:ind w:right="65"/>
              <w:rPr>
                <w:sz w:val="20"/>
              </w:rPr>
            </w:pPr>
            <w:r>
              <w:rPr>
                <w:sz w:val="20"/>
              </w:rPr>
              <w:t>0.3</w:t>
            </w:r>
          </w:p>
        </w:tc>
        <w:tc>
          <w:tcPr>
            <w:tcW w:w="975" w:type="dxa"/>
            <w:tcBorders>
              <w:top w:val="nil"/>
              <w:left w:val="nil"/>
              <w:bottom w:val="nil"/>
              <w:right w:val="nil"/>
            </w:tcBorders>
          </w:tcPr>
          <w:p>
            <w:pPr>
              <w:pStyle w:val="TableParagraph"/>
              <w:ind w:right="65"/>
              <w:rPr>
                <w:sz w:val="20"/>
              </w:rPr>
            </w:pPr>
            <w:r>
              <w:rPr>
                <w:sz w:val="20"/>
              </w:rPr>
              <w:t>0.1</w:t>
            </w:r>
          </w:p>
        </w:tc>
        <w:tc>
          <w:tcPr>
            <w:tcW w:w="974" w:type="dxa"/>
            <w:tcBorders>
              <w:top w:val="nil"/>
              <w:left w:val="nil"/>
              <w:bottom w:val="nil"/>
              <w:right w:val="nil"/>
            </w:tcBorders>
          </w:tcPr>
          <w:p>
            <w:pPr>
              <w:pStyle w:val="TableParagraph"/>
              <w:ind w:right="65"/>
              <w:rPr>
                <w:sz w:val="20"/>
              </w:rPr>
            </w:pPr>
            <w:r>
              <w:rPr>
                <w:sz w:val="20"/>
              </w:rPr>
              <w:t>0.07</w:t>
            </w:r>
          </w:p>
        </w:tc>
        <w:tc>
          <w:tcPr>
            <w:tcW w:w="970" w:type="dxa"/>
            <w:tcBorders>
              <w:top w:val="nil"/>
              <w:left w:val="nil"/>
              <w:bottom w:val="nil"/>
              <w:right w:val="nil"/>
            </w:tcBorders>
          </w:tcPr>
          <w:p>
            <w:pPr>
              <w:pStyle w:val="TableParagraph"/>
              <w:ind w:right="60"/>
              <w:rPr>
                <w:sz w:val="20"/>
              </w:rPr>
            </w:pPr>
            <w:r>
              <w:rPr>
                <w:sz w:val="20"/>
              </w:rPr>
              <w:t>0.04</w:t>
            </w:r>
          </w:p>
        </w:tc>
      </w:tr>
      <w:tr>
        <w:trPr>
          <w:trHeight w:val="300" w:hRule="exact"/>
        </w:trPr>
        <w:tc>
          <w:tcPr>
            <w:tcW w:w="1143" w:type="dxa"/>
            <w:tcBorders>
              <w:top w:val="nil"/>
              <w:left w:val="nil"/>
              <w:bottom w:val="nil"/>
              <w:right w:val="nil"/>
            </w:tcBorders>
          </w:tcPr>
          <w:p>
            <w:pPr>
              <w:pStyle w:val="TableParagraph"/>
              <w:spacing w:before="26"/>
              <w:ind w:left="86"/>
              <w:jc w:val="left"/>
              <w:rPr>
                <w:sz w:val="20"/>
              </w:rPr>
            </w:pPr>
            <w:r>
              <w:rPr>
                <w:sz w:val="20"/>
              </w:rPr>
              <w:t>21</w:t>
            </w:r>
          </w:p>
        </w:tc>
        <w:tc>
          <w:tcPr>
            <w:tcW w:w="1020" w:type="dxa"/>
            <w:tcBorders>
              <w:top w:val="nil"/>
              <w:left w:val="nil"/>
              <w:bottom w:val="nil"/>
              <w:right w:val="nil"/>
            </w:tcBorders>
          </w:tcPr>
          <w:p>
            <w:pPr>
              <w:pStyle w:val="TableParagraph"/>
              <w:spacing w:before="26"/>
              <w:ind w:left="71"/>
              <w:jc w:val="left"/>
              <w:rPr>
                <w:sz w:val="20"/>
              </w:rPr>
            </w:pPr>
            <w:r>
              <w:rPr>
                <w:sz w:val="20"/>
              </w:rPr>
              <w:t>15001</w:t>
            </w:r>
          </w:p>
        </w:tc>
        <w:tc>
          <w:tcPr>
            <w:tcW w:w="945" w:type="dxa"/>
            <w:tcBorders>
              <w:top w:val="nil"/>
              <w:left w:val="nil"/>
              <w:bottom w:val="nil"/>
              <w:right w:val="nil"/>
            </w:tcBorders>
          </w:tcPr>
          <w:p>
            <w:pPr>
              <w:pStyle w:val="TableParagraph"/>
              <w:spacing w:before="26"/>
              <w:ind w:right="82"/>
              <w:rPr>
                <w:sz w:val="20"/>
              </w:rPr>
            </w:pPr>
            <w:r>
              <w:rPr>
                <w:sz w:val="20"/>
              </w:rPr>
              <w:t>0.04</w:t>
            </w:r>
          </w:p>
        </w:tc>
        <w:tc>
          <w:tcPr>
            <w:tcW w:w="939" w:type="dxa"/>
            <w:tcBorders>
              <w:top w:val="nil"/>
              <w:left w:val="nil"/>
              <w:bottom w:val="nil"/>
              <w:right w:val="nil"/>
            </w:tcBorders>
          </w:tcPr>
          <w:p>
            <w:pPr>
              <w:pStyle w:val="TableParagraph"/>
              <w:spacing w:before="26"/>
              <w:ind w:right="79"/>
              <w:rPr>
                <w:sz w:val="20"/>
              </w:rPr>
            </w:pPr>
            <w:r>
              <w:rPr>
                <w:sz w:val="20"/>
              </w:rPr>
              <w:t>0.03</w:t>
            </w:r>
          </w:p>
        </w:tc>
        <w:tc>
          <w:tcPr>
            <w:tcW w:w="934" w:type="dxa"/>
            <w:tcBorders>
              <w:top w:val="nil"/>
              <w:left w:val="nil"/>
              <w:bottom w:val="nil"/>
              <w:right w:val="nil"/>
            </w:tcBorders>
          </w:tcPr>
          <w:p>
            <w:pPr>
              <w:pStyle w:val="TableParagraph"/>
              <w:spacing w:before="26"/>
              <w:ind w:right="77"/>
              <w:rPr>
                <w:sz w:val="20"/>
              </w:rPr>
            </w:pPr>
            <w:r>
              <w:rPr>
                <w:sz w:val="20"/>
              </w:rPr>
              <w:t>0.04</w:t>
            </w:r>
          </w:p>
        </w:tc>
        <w:tc>
          <w:tcPr>
            <w:tcW w:w="926" w:type="dxa"/>
            <w:tcBorders>
              <w:top w:val="nil"/>
              <w:left w:val="nil"/>
              <w:bottom w:val="nil"/>
              <w:right w:val="nil"/>
            </w:tcBorders>
          </w:tcPr>
          <w:p>
            <w:pPr>
              <w:pStyle w:val="TableParagraph"/>
              <w:spacing w:before="26"/>
              <w:ind w:right="82"/>
              <w:rPr>
                <w:sz w:val="20"/>
              </w:rPr>
            </w:pPr>
            <w:r>
              <w:rPr>
                <w:sz w:val="20"/>
              </w:rPr>
              <w:t>0.11</w:t>
            </w:r>
          </w:p>
        </w:tc>
        <w:tc>
          <w:tcPr>
            <w:tcW w:w="941" w:type="dxa"/>
            <w:tcBorders>
              <w:top w:val="nil"/>
              <w:left w:val="nil"/>
              <w:bottom w:val="nil"/>
              <w:right w:val="nil"/>
            </w:tcBorders>
          </w:tcPr>
          <w:p>
            <w:pPr>
              <w:pStyle w:val="TableParagraph"/>
              <w:spacing w:before="26"/>
              <w:ind w:right="82"/>
              <w:rPr>
                <w:sz w:val="20"/>
              </w:rPr>
            </w:pPr>
            <w:r>
              <w:rPr>
                <w:sz w:val="20"/>
              </w:rPr>
              <w:t>0.2</w:t>
            </w:r>
          </w:p>
        </w:tc>
        <w:tc>
          <w:tcPr>
            <w:tcW w:w="941" w:type="dxa"/>
            <w:tcBorders>
              <w:top w:val="nil"/>
              <w:left w:val="nil"/>
              <w:bottom w:val="nil"/>
              <w:right w:val="nil"/>
            </w:tcBorders>
          </w:tcPr>
          <w:p>
            <w:pPr>
              <w:pStyle w:val="TableParagraph"/>
              <w:spacing w:before="26"/>
              <w:ind w:right="82"/>
              <w:rPr>
                <w:sz w:val="20"/>
              </w:rPr>
            </w:pPr>
            <w:r>
              <w:rPr>
                <w:sz w:val="20"/>
              </w:rPr>
              <w:t>0.28</w:t>
            </w:r>
          </w:p>
        </w:tc>
        <w:tc>
          <w:tcPr>
            <w:tcW w:w="939" w:type="dxa"/>
            <w:tcBorders>
              <w:top w:val="nil"/>
              <w:left w:val="nil"/>
              <w:bottom w:val="nil"/>
              <w:right w:val="nil"/>
            </w:tcBorders>
          </w:tcPr>
          <w:p>
            <w:pPr>
              <w:pStyle w:val="TableParagraph"/>
              <w:spacing w:before="26"/>
              <w:ind w:right="79"/>
              <w:rPr>
                <w:sz w:val="20"/>
              </w:rPr>
            </w:pPr>
            <w:r>
              <w:rPr>
                <w:sz w:val="20"/>
              </w:rPr>
              <w:t>0.36</w:t>
            </w:r>
          </w:p>
        </w:tc>
        <w:tc>
          <w:tcPr>
            <w:tcW w:w="939" w:type="dxa"/>
            <w:tcBorders>
              <w:top w:val="nil"/>
              <w:left w:val="nil"/>
              <w:bottom w:val="nil"/>
              <w:right w:val="nil"/>
            </w:tcBorders>
          </w:tcPr>
          <w:p>
            <w:pPr>
              <w:pStyle w:val="TableParagraph"/>
              <w:spacing w:before="26"/>
              <w:ind w:right="82"/>
              <w:rPr>
                <w:sz w:val="20"/>
              </w:rPr>
            </w:pPr>
            <w:r>
              <w:rPr>
                <w:sz w:val="20"/>
              </w:rPr>
              <w:t>0.33</w:t>
            </w:r>
          </w:p>
        </w:tc>
        <w:tc>
          <w:tcPr>
            <w:tcW w:w="924" w:type="dxa"/>
            <w:tcBorders>
              <w:top w:val="nil"/>
              <w:left w:val="nil"/>
              <w:bottom w:val="nil"/>
              <w:right w:val="nil"/>
            </w:tcBorders>
          </w:tcPr>
          <w:p>
            <w:pPr>
              <w:pStyle w:val="TableParagraph"/>
              <w:spacing w:before="26"/>
              <w:ind w:right="65"/>
              <w:rPr>
                <w:sz w:val="20"/>
              </w:rPr>
            </w:pPr>
            <w:r>
              <w:rPr>
                <w:sz w:val="20"/>
              </w:rPr>
              <w:t>0.23</w:t>
            </w:r>
          </w:p>
        </w:tc>
        <w:tc>
          <w:tcPr>
            <w:tcW w:w="975" w:type="dxa"/>
            <w:tcBorders>
              <w:top w:val="nil"/>
              <w:left w:val="nil"/>
              <w:bottom w:val="nil"/>
              <w:right w:val="nil"/>
            </w:tcBorders>
          </w:tcPr>
          <w:p>
            <w:pPr>
              <w:pStyle w:val="TableParagraph"/>
              <w:spacing w:before="26"/>
              <w:ind w:right="65"/>
              <w:rPr>
                <w:sz w:val="20"/>
              </w:rPr>
            </w:pPr>
            <w:r>
              <w:rPr>
                <w:sz w:val="20"/>
              </w:rPr>
              <w:t>0.12</w:t>
            </w:r>
          </w:p>
        </w:tc>
        <w:tc>
          <w:tcPr>
            <w:tcW w:w="974" w:type="dxa"/>
            <w:tcBorders>
              <w:top w:val="nil"/>
              <w:left w:val="nil"/>
              <w:bottom w:val="nil"/>
              <w:right w:val="nil"/>
            </w:tcBorders>
          </w:tcPr>
          <w:p>
            <w:pPr>
              <w:pStyle w:val="TableParagraph"/>
              <w:spacing w:before="26"/>
              <w:ind w:right="65"/>
              <w:rPr>
                <w:sz w:val="20"/>
              </w:rPr>
            </w:pPr>
            <w:r>
              <w:rPr>
                <w:sz w:val="20"/>
              </w:rPr>
              <w:t>0.06</w:t>
            </w:r>
          </w:p>
        </w:tc>
        <w:tc>
          <w:tcPr>
            <w:tcW w:w="970" w:type="dxa"/>
            <w:tcBorders>
              <w:top w:val="nil"/>
              <w:left w:val="nil"/>
              <w:bottom w:val="nil"/>
              <w:right w:val="nil"/>
            </w:tcBorders>
          </w:tcPr>
          <w:p>
            <w:pPr>
              <w:pStyle w:val="TableParagraph"/>
              <w:spacing w:before="26"/>
              <w:ind w:right="60"/>
              <w:rPr>
                <w:sz w:val="20"/>
              </w:rPr>
            </w:pPr>
            <w:r>
              <w:rPr>
                <w:sz w:val="20"/>
              </w:rPr>
              <w:t>0.04</w:t>
            </w:r>
          </w:p>
        </w:tc>
      </w:tr>
      <w:tr>
        <w:trPr>
          <w:trHeight w:val="300" w:hRule="exact"/>
        </w:trPr>
        <w:tc>
          <w:tcPr>
            <w:tcW w:w="1143" w:type="dxa"/>
            <w:tcBorders>
              <w:top w:val="nil"/>
              <w:left w:val="nil"/>
              <w:bottom w:val="nil"/>
              <w:right w:val="nil"/>
            </w:tcBorders>
          </w:tcPr>
          <w:p>
            <w:pPr>
              <w:pStyle w:val="TableParagraph"/>
              <w:ind w:left="86"/>
              <w:jc w:val="left"/>
              <w:rPr>
                <w:sz w:val="20"/>
              </w:rPr>
            </w:pPr>
            <w:r>
              <w:rPr>
                <w:sz w:val="20"/>
              </w:rPr>
              <w:t>22</w:t>
            </w:r>
          </w:p>
        </w:tc>
        <w:tc>
          <w:tcPr>
            <w:tcW w:w="1020" w:type="dxa"/>
            <w:tcBorders>
              <w:top w:val="nil"/>
              <w:left w:val="nil"/>
              <w:bottom w:val="nil"/>
              <w:right w:val="nil"/>
            </w:tcBorders>
          </w:tcPr>
          <w:p>
            <w:pPr>
              <w:pStyle w:val="TableParagraph"/>
              <w:ind w:left="71"/>
              <w:jc w:val="left"/>
              <w:rPr>
                <w:sz w:val="20"/>
              </w:rPr>
            </w:pPr>
            <w:r>
              <w:rPr>
                <w:sz w:val="20"/>
              </w:rPr>
              <w:t>15029</w:t>
            </w:r>
          </w:p>
        </w:tc>
        <w:tc>
          <w:tcPr>
            <w:tcW w:w="945" w:type="dxa"/>
            <w:tcBorders>
              <w:top w:val="nil"/>
              <w:left w:val="nil"/>
              <w:bottom w:val="nil"/>
              <w:right w:val="nil"/>
            </w:tcBorders>
          </w:tcPr>
          <w:p>
            <w:pPr>
              <w:pStyle w:val="TableParagraph"/>
              <w:ind w:right="82"/>
              <w:rPr>
                <w:sz w:val="20"/>
              </w:rPr>
            </w:pPr>
            <w:r>
              <w:rPr>
                <w:sz w:val="20"/>
              </w:rPr>
              <w:t>0.04</w:t>
            </w:r>
          </w:p>
        </w:tc>
        <w:tc>
          <w:tcPr>
            <w:tcW w:w="939" w:type="dxa"/>
            <w:tcBorders>
              <w:top w:val="nil"/>
              <w:left w:val="nil"/>
              <w:bottom w:val="nil"/>
              <w:right w:val="nil"/>
            </w:tcBorders>
          </w:tcPr>
          <w:p>
            <w:pPr>
              <w:pStyle w:val="TableParagraph"/>
              <w:ind w:right="79"/>
              <w:rPr>
                <w:sz w:val="20"/>
              </w:rPr>
            </w:pPr>
            <w:r>
              <w:rPr>
                <w:sz w:val="20"/>
              </w:rPr>
              <w:t>0.05</w:t>
            </w:r>
          </w:p>
        </w:tc>
        <w:tc>
          <w:tcPr>
            <w:tcW w:w="934" w:type="dxa"/>
            <w:tcBorders>
              <w:top w:val="nil"/>
              <w:left w:val="nil"/>
              <w:bottom w:val="nil"/>
              <w:right w:val="nil"/>
            </w:tcBorders>
          </w:tcPr>
          <w:p>
            <w:pPr>
              <w:pStyle w:val="TableParagraph"/>
              <w:ind w:right="77"/>
              <w:rPr>
                <w:sz w:val="20"/>
              </w:rPr>
            </w:pPr>
            <w:r>
              <w:rPr>
                <w:sz w:val="20"/>
              </w:rPr>
              <w:t>0.1</w:t>
            </w:r>
          </w:p>
        </w:tc>
        <w:tc>
          <w:tcPr>
            <w:tcW w:w="926" w:type="dxa"/>
            <w:tcBorders>
              <w:top w:val="nil"/>
              <w:left w:val="nil"/>
              <w:bottom w:val="nil"/>
              <w:right w:val="nil"/>
            </w:tcBorders>
          </w:tcPr>
          <w:p>
            <w:pPr>
              <w:pStyle w:val="TableParagraph"/>
              <w:ind w:right="82"/>
              <w:rPr>
                <w:sz w:val="20"/>
              </w:rPr>
            </w:pPr>
            <w:r>
              <w:rPr>
                <w:sz w:val="20"/>
              </w:rPr>
              <w:t>0.1</w:t>
            </w:r>
          </w:p>
        </w:tc>
        <w:tc>
          <w:tcPr>
            <w:tcW w:w="941" w:type="dxa"/>
            <w:tcBorders>
              <w:top w:val="nil"/>
              <w:left w:val="nil"/>
              <w:bottom w:val="nil"/>
              <w:right w:val="nil"/>
            </w:tcBorders>
          </w:tcPr>
          <w:p>
            <w:pPr>
              <w:pStyle w:val="TableParagraph"/>
              <w:ind w:right="82"/>
              <w:rPr>
                <w:sz w:val="20"/>
              </w:rPr>
            </w:pPr>
            <w:r>
              <w:rPr>
                <w:sz w:val="20"/>
              </w:rPr>
              <w:t>0.2</w:t>
            </w:r>
          </w:p>
        </w:tc>
        <w:tc>
          <w:tcPr>
            <w:tcW w:w="941" w:type="dxa"/>
            <w:tcBorders>
              <w:top w:val="nil"/>
              <w:left w:val="nil"/>
              <w:bottom w:val="nil"/>
              <w:right w:val="nil"/>
            </w:tcBorders>
          </w:tcPr>
          <w:p>
            <w:pPr>
              <w:pStyle w:val="TableParagraph"/>
              <w:ind w:right="82"/>
              <w:rPr>
                <w:sz w:val="20"/>
              </w:rPr>
            </w:pPr>
            <w:r>
              <w:rPr>
                <w:sz w:val="20"/>
              </w:rPr>
              <w:t>0.3</w:t>
            </w:r>
          </w:p>
        </w:tc>
        <w:tc>
          <w:tcPr>
            <w:tcW w:w="939" w:type="dxa"/>
            <w:tcBorders>
              <w:top w:val="nil"/>
              <w:left w:val="nil"/>
              <w:bottom w:val="nil"/>
              <w:right w:val="nil"/>
            </w:tcBorders>
          </w:tcPr>
          <w:p>
            <w:pPr>
              <w:pStyle w:val="TableParagraph"/>
              <w:ind w:right="79"/>
              <w:rPr>
                <w:sz w:val="20"/>
              </w:rPr>
            </w:pPr>
            <w:r>
              <w:rPr>
                <w:sz w:val="20"/>
              </w:rPr>
              <w:t>0.4</w:t>
            </w:r>
          </w:p>
        </w:tc>
        <w:tc>
          <w:tcPr>
            <w:tcW w:w="939" w:type="dxa"/>
            <w:tcBorders>
              <w:top w:val="nil"/>
              <w:left w:val="nil"/>
              <w:bottom w:val="nil"/>
              <w:right w:val="nil"/>
            </w:tcBorders>
          </w:tcPr>
          <w:p>
            <w:pPr>
              <w:pStyle w:val="TableParagraph"/>
              <w:ind w:right="82"/>
              <w:rPr>
                <w:sz w:val="20"/>
              </w:rPr>
            </w:pPr>
            <w:r>
              <w:rPr>
                <w:sz w:val="20"/>
              </w:rPr>
              <w:t>0.4</w:t>
            </w:r>
          </w:p>
        </w:tc>
        <w:tc>
          <w:tcPr>
            <w:tcW w:w="924" w:type="dxa"/>
            <w:tcBorders>
              <w:top w:val="nil"/>
              <w:left w:val="nil"/>
              <w:bottom w:val="nil"/>
              <w:right w:val="nil"/>
            </w:tcBorders>
          </w:tcPr>
          <w:p>
            <w:pPr>
              <w:pStyle w:val="TableParagraph"/>
              <w:ind w:right="65"/>
              <w:rPr>
                <w:sz w:val="20"/>
              </w:rPr>
            </w:pPr>
            <w:r>
              <w:rPr>
                <w:sz w:val="20"/>
              </w:rPr>
              <w:t>0.3</w:t>
            </w:r>
          </w:p>
        </w:tc>
        <w:tc>
          <w:tcPr>
            <w:tcW w:w="975" w:type="dxa"/>
            <w:tcBorders>
              <w:top w:val="nil"/>
              <w:left w:val="nil"/>
              <w:bottom w:val="nil"/>
              <w:right w:val="nil"/>
            </w:tcBorders>
          </w:tcPr>
          <w:p>
            <w:pPr>
              <w:pStyle w:val="TableParagraph"/>
              <w:ind w:right="65"/>
              <w:rPr>
                <w:sz w:val="20"/>
              </w:rPr>
            </w:pPr>
            <w:r>
              <w:rPr>
                <w:sz w:val="20"/>
              </w:rPr>
              <w:t>0.1</w:t>
            </w:r>
          </w:p>
        </w:tc>
        <w:tc>
          <w:tcPr>
            <w:tcW w:w="974" w:type="dxa"/>
            <w:tcBorders>
              <w:top w:val="nil"/>
              <w:left w:val="nil"/>
              <w:bottom w:val="nil"/>
              <w:right w:val="nil"/>
            </w:tcBorders>
          </w:tcPr>
          <w:p>
            <w:pPr>
              <w:pStyle w:val="TableParagraph"/>
              <w:ind w:right="65"/>
              <w:rPr>
                <w:sz w:val="20"/>
              </w:rPr>
            </w:pPr>
            <w:r>
              <w:rPr>
                <w:sz w:val="20"/>
              </w:rPr>
              <w:t>0.07</w:t>
            </w:r>
          </w:p>
        </w:tc>
        <w:tc>
          <w:tcPr>
            <w:tcW w:w="970" w:type="dxa"/>
            <w:tcBorders>
              <w:top w:val="nil"/>
              <w:left w:val="nil"/>
              <w:bottom w:val="nil"/>
              <w:right w:val="nil"/>
            </w:tcBorders>
          </w:tcPr>
          <w:p>
            <w:pPr>
              <w:pStyle w:val="TableParagraph"/>
              <w:ind w:right="60"/>
              <w:rPr>
                <w:sz w:val="20"/>
              </w:rPr>
            </w:pPr>
            <w:r>
              <w:rPr>
                <w:sz w:val="20"/>
              </w:rPr>
              <w:t>0.04</w:t>
            </w:r>
          </w:p>
        </w:tc>
      </w:tr>
      <w:tr>
        <w:trPr>
          <w:trHeight w:val="300" w:hRule="exact"/>
        </w:trPr>
        <w:tc>
          <w:tcPr>
            <w:tcW w:w="1143" w:type="dxa"/>
            <w:tcBorders>
              <w:top w:val="nil"/>
              <w:left w:val="nil"/>
              <w:bottom w:val="nil"/>
              <w:right w:val="nil"/>
            </w:tcBorders>
          </w:tcPr>
          <w:p>
            <w:pPr>
              <w:pStyle w:val="TableParagraph"/>
              <w:spacing w:before="26"/>
              <w:ind w:left="86"/>
              <w:jc w:val="left"/>
              <w:rPr>
                <w:sz w:val="20"/>
              </w:rPr>
            </w:pPr>
            <w:r>
              <w:rPr>
                <w:sz w:val="20"/>
              </w:rPr>
              <w:t>23</w:t>
            </w:r>
          </w:p>
        </w:tc>
        <w:tc>
          <w:tcPr>
            <w:tcW w:w="1020" w:type="dxa"/>
            <w:tcBorders>
              <w:top w:val="nil"/>
              <w:left w:val="nil"/>
              <w:bottom w:val="nil"/>
              <w:right w:val="nil"/>
            </w:tcBorders>
          </w:tcPr>
          <w:p>
            <w:pPr>
              <w:pStyle w:val="TableParagraph"/>
              <w:spacing w:before="26"/>
              <w:ind w:left="71"/>
              <w:jc w:val="left"/>
              <w:rPr>
                <w:sz w:val="20"/>
              </w:rPr>
            </w:pPr>
            <w:r>
              <w:rPr>
                <w:sz w:val="20"/>
              </w:rPr>
              <w:t>15001</w:t>
            </w:r>
          </w:p>
        </w:tc>
        <w:tc>
          <w:tcPr>
            <w:tcW w:w="945" w:type="dxa"/>
            <w:tcBorders>
              <w:top w:val="nil"/>
              <w:left w:val="nil"/>
              <w:bottom w:val="nil"/>
              <w:right w:val="nil"/>
            </w:tcBorders>
          </w:tcPr>
          <w:p>
            <w:pPr>
              <w:pStyle w:val="TableParagraph"/>
              <w:spacing w:before="26"/>
              <w:ind w:right="82"/>
              <w:rPr>
                <w:sz w:val="20"/>
              </w:rPr>
            </w:pPr>
            <w:r>
              <w:rPr>
                <w:sz w:val="20"/>
              </w:rPr>
              <w:t>0.04</w:t>
            </w:r>
          </w:p>
        </w:tc>
        <w:tc>
          <w:tcPr>
            <w:tcW w:w="939" w:type="dxa"/>
            <w:tcBorders>
              <w:top w:val="nil"/>
              <w:left w:val="nil"/>
              <w:bottom w:val="nil"/>
              <w:right w:val="nil"/>
            </w:tcBorders>
          </w:tcPr>
          <w:p>
            <w:pPr>
              <w:pStyle w:val="TableParagraph"/>
              <w:spacing w:before="26"/>
              <w:ind w:right="79"/>
              <w:rPr>
                <w:sz w:val="20"/>
              </w:rPr>
            </w:pPr>
            <w:r>
              <w:rPr>
                <w:sz w:val="20"/>
              </w:rPr>
              <w:t>0.03</w:t>
            </w:r>
          </w:p>
        </w:tc>
        <w:tc>
          <w:tcPr>
            <w:tcW w:w="934" w:type="dxa"/>
            <w:tcBorders>
              <w:top w:val="nil"/>
              <w:left w:val="nil"/>
              <w:bottom w:val="nil"/>
              <w:right w:val="nil"/>
            </w:tcBorders>
          </w:tcPr>
          <w:p>
            <w:pPr>
              <w:pStyle w:val="TableParagraph"/>
              <w:spacing w:before="26"/>
              <w:ind w:right="77"/>
              <w:rPr>
                <w:sz w:val="20"/>
              </w:rPr>
            </w:pPr>
            <w:r>
              <w:rPr>
                <w:sz w:val="20"/>
              </w:rPr>
              <w:t>0.04</w:t>
            </w:r>
          </w:p>
        </w:tc>
        <w:tc>
          <w:tcPr>
            <w:tcW w:w="926" w:type="dxa"/>
            <w:tcBorders>
              <w:top w:val="nil"/>
              <w:left w:val="nil"/>
              <w:bottom w:val="nil"/>
              <w:right w:val="nil"/>
            </w:tcBorders>
          </w:tcPr>
          <w:p>
            <w:pPr>
              <w:pStyle w:val="TableParagraph"/>
              <w:spacing w:before="26"/>
              <w:ind w:right="82"/>
              <w:rPr>
                <w:sz w:val="20"/>
              </w:rPr>
            </w:pPr>
            <w:r>
              <w:rPr>
                <w:sz w:val="20"/>
              </w:rPr>
              <w:t>0.11</w:t>
            </w:r>
          </w:p>
        </w:tc>
        <w:tc>
          <w:tcPr>
            <w:tcW w:w="941" w:type="dxa"/>
            <w:tcBorders>
              <w:top w:val="nil"/>
              <w:left w:val="nil"/>
              <w:bottom w:val="nil"/>
              <w:right w:val="nil"/>
            </w:tcBorders>
          </w:tcPr>
          <w:p>
            <w:pPr>
              <w:pStyle w:val="TableParagraph"/>
              <w:spacing w:before="26"/>
              <w:ind w:right="82"/>
              <w:rPr>
                <w:sz w:val="20"/>
              </w:rPr>
            </w:pPr>
            <w:r>
              <w:rPr>
                <w:sz w:val="20"/>
              </w:rPr>
              <w:t>0.2</w:t>
            </w:r>
          </w:p>
        </w:tc>
        <w:tc>
          <w:tcPr>
            <w:tcW w:w="941" w:type="dxa"/>
            <w:tcBorders>
              <w:top w:val="nil"/>
              <w:left w:val="nil"/>
              <w:bottom w:val="nil"/>
              <w:right w:val="nil"/>
            </w:tcBorders>
          </w:tcPr>
          <w:p>
            <w:pPr>
              <w:pStyle w:val="TableParagraph"/>
              <w:spacing w:before="26"/>
              <w:ind w:right="82"/>
              <w:rPr>
                <w:sz w:val="20"/>
              </w:rPr>
            </w:pPr>
            <w:r>
              <w:rPr>
                <w:sz w:val="20"/>
              </w:rPr>
              <w:t>0.28</w:t>
            </w:r>
          </w:p>
        </w:tc>
        <w:tc>
          <w:tcPr>
            <w:tcW w:w="939" w:type="dxa"/>
            <w:tcBorders>
              <w:top w:val="nil"/>
              <w:left w:val="nil"/>
              <w:bottom w:val="nil"/>
              <w:right w:val="nil"/>
            </w:tcBorders>
          </w:tcPr>
          <w:p>
            <w:pPr>
              <w:pStyle w:val="TableParagraph"/>
              <w:spacing w:before="26"/>
              <w:ind w:right="79"/>
              <w:rPr>
                <w:sz w:val="20"/>
              </w:rPr>
            </w:pPr>
            <w:r>
              <w:rPr>
                <w:sz w:val="20"/>
              </w:rPr>
              <w:t>0.36</w:t>
            </w:r>
          </w:p>
        </w:tc>
        <w:tc>
          <w:tcPr>
            <w:tcW w:w="939" w:type="dxa"/>
            <w:tcBorders>
              <w:top w:val="nil"/>
              <w:left w:val="nil"/>
              <w:bottom w:val="nil"/>
              <w:right w:val="nil"/>
            </w:tcBorders>
          </w:tcPr>
          <w:p>
            <w:pPr>
              <w:pStyle w:val="TableParagraph"/>
              <w:spacing w:before="26"/>
              <w:ind w:right="82"/>
              <w:rPr>
                <w:sz w:val="20"/>
              </w:rPr>
            </w:pPr>
            <w:r>
              <w:rPr>
                <w:sz w:val="20"/>
              </w:rPr>
              <w:t>0.33</w:t>
            </w:r>
          </w:p>
        </w:tc>
        <w:tc>
          <w:tcPr>
            <w:tcW w:w="924" w:type="dxa"/>
            <w:tcBorders>
              <w:top w:val="nil"/>
              <w:left w:val="nil"/>
              <w:bottom w:val="nil"/>
              <w:right w:val="nil"/>
            </w:tcBorders>
          </w:tcPr>
          <w:p>
            <w:pPr>
              <w:pStyle w:val="TableParagraph"/>
              <w:spacing w:before="26"/>
              <w:ind w:right="65"/>
              <w:rPr>
                <w:sz w:val="20"/>
              </w:rPr>
            </w:pPr>
            <w:r>
              <w:rPr>
                <w:sz w:val="20"/>
              </w:rPr>
              <w:t>0.23</w:t>
            </w:r>
          </w:p>
        </w:tc>
        <w:tc>
          <w:tcPr>
            <w:tcW w:w="975" w:type="dxa"/>
            <w:tcBorders>
              <w:top w:val="nil"/>
              <w:left w:val="nil"/>
              <w:bottom w:val="nil"/>
              <w:right w:val="nil"/>
            </w:tcBorders>
          </w:tcPr>
          <w:p>
            <w:pPr>
              <w:pStyle w:val="TableParagraph"/>
              <w:spacing w:before="26"/>
              <w:ind w:right="65"/>
              <w:rPr>
                <w:sz w:val="20"/>
              </w:rPr>
            </w:pPr>
            <w:r>
              <w:rPr>
                <w:sz w:val="20"/>
              </w:rPr>
              <w:t>0.12</w:t>
            </w:r>
          </w:p>
        </w:tc>
        <w:tc>
          <w:tcPr>
            <w:tcW w:w="974" w:type="dxa"/>
            <w:tcBorders>
              <w:top w:val="nil"/>
              <w:left w:val="nil"/>
              <w:bottom w:val="nil"/>
              <w:right w:val="nil"/>
            </w:tcBorders>
          </w:tcPr>
          <w:p>
            <w:pPr>
              <w:pStyle w:val="TableParagraph"/>
              <w:spacing w:before="26"/>
              <w:ind w:right="65"/>
              <w:rPr>
                <w:sz w:val="20"/>
              </w:rPr>
            </w:pPr>
            <w:r>
              <w:rPr>
                <w:sz w:val="20"/>
              </w:rPr>
              <w:t>0.06</w:t>
            </w:r>
          </w:p>
        </w:tc>
        <w:tc>
          <w:tcPr>
            <w:tcW w:w="970" w:type="dxa"/>
            <w:tcBorders>
              <w:top w:val="nil"/>
              <w:left w:val="nil"/>
              <w:bottom w:val="nil"/>
              <w:right w:val="nil"/>
            </w:tcBorders>
          </w:tcPr>
          <w:p>
            <w:pPr>
              <w:pStyle w:val="TableParagraph"/>
              <w:spacing w:before="26"/>
              <w:ind w:right="60"/>
              <w:rPr>
                <w:sz w:val="20"/>
              </w:rPr>
            </w:pPr>
            <w:r>
              <w:rPr>
                <w:sz w:val="20"/>
              </w:rPr>
              <w:t>0.04</w:t>
            </w:r>
          </w:p>
        </w:tc>
      </w:tr>
      <w:tr>
        <w:trPr>
          <w:trHeight w:val="300" w:hRule="exact"/>
        </w:trPr>
        <w:tc>
          <w:tcPr>
            <w:tcW w:w="1143" w:type="dxa"/>
            <w:tcBorders>
              <w:top w:val="nil"/>
              <w:left w:val="nil"/>
              <w:bottom w:val="nil"/>
              <w:right w:val="nil"/>
            </w:tcBorders>
          </w:tcPr>
          <w:p>
            <w:pPr>
              <w:pStyle w:val="TableParagraph"/>
              <w:spacing w:before="24"/>
              <w:ind w:left="86"/>
              <w:jc w:val="left"/>
              <w:rPr>
                <w:sz w:val="20"/>
              </w:rPr>
            </w:pPr>
            <w:r>
              <w:rPr>
                <w:sz w:val="20"/>
              </w:rPr>
              <w:t>24</w:t>
            </w:r>
          </w:p>
        </w:tc>
        <w:tc>
          <w:tcPr>
            <w:tcW w:w="1020" w:type="dxa"/>
            <w:tcBorders>
              <w:top w:val="nil"/>
              <w:left w:val="nil"/>
              <w:bottom w:val="nil"/>
              <w:right w:val="nil"/>
            </w:tcBorders>
          </w:tcPr>
          <w:p>
            <w:pPr>
              <w:pStyle w:val="TableParagraph"/>
              <w:spacing w:before="24"/>
              <w:ind w:left="71"/>
              <w:jc w:val="left"/>
              <w:rPr>
                <w:sz w:val="20"/>
              </w:rPr>
            </w:pPr>
            <w:r>
              <w:rPr>
                <w:sz w:val="20"/>
              </w:rPr>
              <w:t>15029</w:t>
            </w:r>
          </w:p>
        </w:tc>
        <w:tc>
          <w:tcPr>
            <w:tcW w:w="945" w:type="dxa"/>
            <w:tcBorders>
              <w:top w:val="nil"/>
              <w:left w:val="nil"/>
              <w:bottom w:val="nil"/>
              <w:right w:val="nil"/>
            </w:tcBorders>
          </w:tcPr>
          <w:p>
            <w:pPr>
              <w:pStyle w:val="TableParagraph"/>
              <w:spacing w:before="24"/>
              <w:ind w:right="82"/>
              <w:rPr>
                <w:sz w:val="20"/>
              </w:rPr>
            </w:pPr>
            <w:r>
              <w:rPr>
                <w:sz w:val="20"/>
              </w:rPr>
              <w:t>0.04</w:t>
            </w:r>
          </w:p>
        </w:tc>
        <w:tc>
          <w:tcPr>
            <w:tcW w:w="939" w:type="dxa"/>
            <w:tcBorders>
              <w:top w:val="nil"/>
              <w:left w:val="nil"/>
              <w:bottom w:val="nil"/>
              <w:right w:val="nil"/>
            </w:tcBorders>
          </w:tcPr>
          <w:p>
            <w:pPr>
              <w:pStyle w:val="TableParagraph"/>
              <w:spacing w:before="24"/>
              <w:ind w:right="79"/>
              <w:rPr>
                <w:sz w:val="20"/>
              </w:rPr>
            </w:pPr>
            <w:r>
              <w:rPr>
                <w:sz w:val="20"/>
              </w:rPr>
              <w:t>0.05</w:t>
            </w:r>
          </w:p>
        </w:tc>
        <w:tc>
          <w:tcPr>
            <w:tcW w:w="934" w:type="dxa"/>
            <w:tcBorders>
              <w:top w:val="nil"/>
              <w:left w:val="nil"/>
              <w:bottom w:val="nil"/>
              <w:right w:val="nil"/>
            </w:tcBorders>
          </w:tcPr>
          <w:p>
            <w:pPr>
              <w:pStyle w:val="TableParagraph"/>
              <w:spacing w:before="24"/>
              <w:ind w:right="77"/>
              <w:rPr>
                <w:sz w:val="20"/>
              </w:rPr>
            </w:pPr>
            <w:r>
              <w:rPr>
                <w:sz w:val="20"/>
              </w:rPr>
              <w:t>0.1</w:t>
            </w:r>
          </w:p>
        </w:tc>
        <w:tc>
          <w:tcPr>
            <w:tcW w:w="926" w:type="dxa"/>
            <w:tcBorders>
              <w:top w:val="nil"/>
              <w:left w:val="nil"/>
              <w:bottom w:val="nil"/>
              <w:right w:val="nil"/>
            </w:tcBorders>
          </w:tcPr>
          <w:p>
            <w:pPr>
              <w:pStyle w:val="TableParagraph"/>
              <w:spacing w:before="24"/>
              <w:ind w:right="82"/>
              <w:rPr>
                <w:sz w:val="20"/>
              </w:rPr>
            </w:pPr>
            <w:r>
              <w:rPr>
                <w:sz w:val="20"/>
              </w:rPr>
              <w:t>0.1</w:t>
            </w:r>
          </w:p>
        </w:tc>
        <w:tc>
          <w:tcPr>
            <w:tcW w:w="941" w:type="dxa"/>
            <w:tcBorders>
              <w:top w:val="nil"/>
              <w:left w:val="nil"/>
              <w:bottom w:val="nil"/>
              <w:right w:val="nil"/>
            </w:tcBorders>
          </w:tcPr>
          <w:p>
            <w:pPr>
              <w:pStyle w:val="TableParagraph"/>
              <w:spacing w:before="24"/>
              <w:ind w:right="82"/>
              <w:rPr>
                <w:sz w:val="20"/>
              </w:rPr>
            </w:pPr>
            <w:r>
              <w:rPr>
                <w:sz w:val="20"/>
              </w:rPr>
              <w:t>0.2</w:t>
            </w:r>
          </w:p>
        </w:tc>
        <w:tc>
          <w:tcPr>
            <w:tcW w:w="941" w:type="dxa"/>
            <w:tcBorders>
              <w:top w:val="nil"/>
              <w:left w:val="nil"/>
              <w:bottom w:val="nil"/>
              <w:right w:val="nil"/>
            </w:tcBorders>
          </w:tcPr>
          <w:p>
            <w:pPr>
              <w:pStyle w:val="TableParagraph"/>
              <w:spacing w:before="24"/>
              <w:ind w:right="82"/>
              <w:rPr>
                <w:sz w:val="20"/>
              </w:rPr>
            </w:pPr>
            <w:r>
              <w:rPr>
                <w:sz w:val="20"/>
              </w:rPr>
              <w:t>0.3</w:t>
            </w:r>
          </w:p>
        </w:tc>
        <w:tc>
          <w:tcPr>
            <w:tcW w:w="939" w:type="dxa"/>
            <w:tcBorders>
              <w:top w:val="nil"/>
              <w:left w:val="nil"/>
              <w:bottom w:val="nil"/>
              <w:right w:val="nil"/>
            </w:tcBorders>
          </w:tcPr>
          <w:p>
            <w:pPr>
              <w:pStyle w:val="TableParagraph"/>
              <w:spacing w:before="24"/>
              <w:ind w:right="79"/>
              <w:rPr>
                <w:sz w:val="20"/>
              </w:rPr>
            </w:pPr>
            <w:r>
              <w:rPr>
                <w:sz w:val="20"/>
              </w:rPr>
              <w:t>0.4</w:t>
            </w:r>
          </w:p>
        </w:tc>
        <w:tc>
          <w:tcPr>
            <w:tcW w:w="939" w:type="dxa"/>
            <w:tcBorders>
              <w:top w:val="nil"/>
              <w:left w:val="nil"/>
              <w:bottom w:val="nil"/>
              <w:right w:val="nil"/>
            </w:tcBorders>
          </w:tcPr>
          <w:p>
            <w:pPr>
              <w:pStyle w:val="TableParagraph"/>
              <w:spacing w:before="24"/>
              <w:ind w:right="82"/>
              <w:rPr>
                <w:sz w:val="20"/>
              </w:rPr>
            </w:pPr>
            <w:r>
              <w:rPr>
                <w:sz w:val="20"/>
              </w:rPr>
              <w:t>0.4</w:t>
            </w:r>
          </w:p>
        </w:tc>
        <w:tc>
          <w:tcPr>
            <w:tcW w:w="924" w:type="dxa"/>
            <w:tcBorders>
              <w:top w:val="nil"/>
              <w:left w:val="nil"/>
              <w:bottom w:val="nil"/>
              <w:right w:val="nil"/>
            </w:tcBorders>
          </w:tcPr>
          <w:p>
            <w:pPr>
              <w:pStyle w:val="TableParagraph"/>
              <w:spacing w:before="24"/>
              <w:ind w:right="65"/>
              <w:rPr>
                <w:sz w:val="20"/>
              </w:rPr>
            </w:pPr>
            <w:r>
              <w:rPr>
                <w:sz w:val="20"/>
              </w:rPr>
              <w:t>0.3</w:t>
            </w:r>
          </w:p>
        </w:tc>
        <w:tc>
          <w:tcPr>
            <w:tcW w:w="975" w:type="dxa"/>
            <w:tcBorders>
              <w:top w:val="nil"/>
              <w:left w:val="nil"/>
              <w:bottom w:val="nil"/>
              <w:right w:val="nil"/>
            </w:tcBorders>
          </w:tcPr>
          <w:p>
            <w:pPr>
              <w:pStyle w:val="TableParagraph"/>
              <w:spacing w:before="24"/>
              <w:ind w:right="65"/>
              <w:rPr>
                <w:sz w:val="20"/>
              </w:rPr>
            </w:pPr>
            <w:r>
              <w:rPr>
                <w:sz w:val="20"/>
              </w:rPr>
              <w:t>0.1</w:t>
            </w:r>
          </w:p>
        </w:tc>
        <w:tc>
          <w:tcPr>
            <w:tcW w:w="974" w:type="dxa"/>
            <w:tcBorders>
              <w:top w:val="nil"/>
              <w:left w:val="nil"/>
              <w:bottom w:val="nil"/>
              <w:right w:val="nil"/>
            </w:tcBorders>
          </w:tcPr>
          <w:p>
            <w:pPr>
              <w:pStyle w:val="TableParagraph"/>
              <w:spacing w:before="24"/>
              <w:ind w:right="65"/>
              <w:rPr>
                <w:sz w:val="20"/>
              </w:rPr>
            </w:pPr>
            <w:r>
              <w:rPr>
                <w:sz w:val="20"/>
              </w:rPr>
              <w:t>0.07</w:t>
            </w:r>
          </w:p>
        </w:tc>
        <w:tc>
          <w:tcPr>
            <w:tcW w:w="970" w:type="dxa"/>
            <w:tcBorders>
              <w:top w:val="nil"/>
              <w:left w:val="nil"/>
              <w:bottom w:val="nil"/>
              <w:right w:val="nil"/>
            </w:tcBorders>
          </w:tcPr>
          <w:p>
            <w:pPr>
              <w:pStyle w:val="TableParagraph"/>
              <w:spacing w:before="24"/>
              <w:ind w:right="60"/>
              <w:rPr>
                <w:sz w:val="20"/>
              </w:rPr>
            </w:pPr>
            <w:r>
              <w:rPr>
                <w:sz w:val="20"/>
              </w:rPr>
              <w:t>0.04</w:t>
            </w:r>
          </w:p>
        </w:tc>
      </w:tr>
      <w:tr>
        <w:trPr>
          <w:trHeight w:val="300" w:hRule="exact"/>
        </w:trPr>
        <w:tc>
          <w:tcPr>
            <w:tcW w:w="1143" w:type="dxa"/>
            <w:tcBorders>
              <w:top w:val="nil"/>
              <w:left w:val="nil"/>
              <w:bottom w:val="nil"/>
              <w:right w:val="nil"/>
            </w:tcBorders>
          </w:tcPr>
          <w:p>
            <w:pPr>
              <w:pStyle w:val="TableParagraph"/>
              <w:spacing w:before="26"/>
              <w:ind w:left="86"/>
              <w:jc w:val="left"/>
              <w:rPr>
                <w:sz w:val="20"/>
              </w:rPr>
            </w:pPr>
            <w:r>
              <w:rPr>
                <w:sz w:val="20"/>
              </w:rPr>
              <w:t>25</w:t>
            </w:r>
          </w:p>
        </w:tc>
        <w:tc>
          <w:tcPr>
            <w:tcW w:w="1020" w:type="dxa"/>
            <w:tcBorders>
              <w:top w:val="nil"/>
              <w:left w:val="nil"/>
              <w:bottom w:val="nil"/>
              <w:right w:val="nil"/>
            </w:tcBorders>
          </w:tcPr>
          <w:p>
            <w:pPr>
              <w:pStyle w:val="TableParagraph"/>
              <w:spacing w:before="26"/>
              <w:ind w:left="71"/>
              <w:jc w:val="left"/>
              <w:rPr>
                <w:sz w:val="20"/>
              </w:rPr>
            </w:pPr>
            <w:r>
              <w:rPr>
                <w:sz w:val="20"/>
              </w:rPr>
              <w:t>15029</w:t>
            </w:r>
          </w:p>
        </w:tc>
        <w:tc>
          <w:tcPr>
            <w:tcW w:w="945" w:type="dxa"/>
            <w:tcBorders>
              <w:top w:val="nil"/>
              <w:left w:val="nil"/>
              <w:bottom w:val="nil"/>
              <w:right w:val="nil"/>
            </w:tcBorders>
          </w:tcPr>
          <w:p>
            <w:pPr>
              <w:pStyle w:val="TableParagraph"/>
              <w:spacing w:before="26"/>
              <w:ind w:right="82"/>
              <w:rPr>
                <w:sz w:val="20"/>
              </w:rPr>
            </w:pPr>
            <w:r>
              <w:rPr>
                <w:sz w:val="20"/>
              </w:rPr>
              <w:t>0.04</w:t>
            </w:r>
          </w:p>
        </w:tc>
        <w:tc>
          <w:tcPr>
            <w:tcW w:w="939" w:type="dxa"/>
            <w:tcBorders>
              <w:top w:val="nil"/>
              <w:left w:val="nil"/>
              <w:bottom w:val="nil"/>
              <w:right w:val="nil"/>
            </w:tcBorders>
          </w:tcPr>
          <w:p>
            <w:pPr>
              <w:pStyle w:val="TableParagraph"/>
              <w:spacing w:before="26"/>
              <w:ind w:right="79"/>
              <w:rPr>
                <w:sz w:val="20"/>
              </w:rPr>
            </w:pPr>
            <w:r>
              <w:rPr>
                <w:sz w:val="20"/>
              </w:rPr>
              <w:t>0.05</w:t>
            </w:r>
          </w:p>
        </w:tc>
        <w:tc>
          <w:tcPr>
            <w:tcW w:w="934" w:type="dxa"/>
            <w:tcBorders>
              <w:top w:val="nil"/>
              <w:left w:val="nil"/>
              <w:bottom w:val="nil"/>
              <w:right w:val="nil"/>
            </w:tcBorders>
          </w:tcPr>
          <w:p>
            <w:pPr>
              <w:pStyle w:val="TableParagraph"/>
              <w:spacing w:before="26"/>
              <w:ind w:right="77"/>
              <w:rPr>
                <w:sz w:val="20"/>
              </w:rPr>
            </w:pPr>
            <w:r>
              <w:rPr>
                <w:sz w:val="20"/>
              </w:rPr>
              <w:t>0.1</w:t>
            </w:r>
          </w:p>
        </w:tc>
        <w:tc>
          <w:tcPr>
            <w:tcW w:w="926" w:type="dxa"/>
            <w:tcBorders>
              <w:top w:val="nil"/>
              <w:left w:val="nil"/>
              <w:bottom w:val="nil"/>
              <w:right w:val="nil"/>
            </w:tcBorders>
          </w:tcPr>
          <w:p>
            <w:pPr>
              <w:pStyle w:val="TableParagraph"/>
              <w:spacing w:before="26"/>
              <w:ind w:right="82"/>
              <w:rPr>
                <w:sz w:val="20"/>
              </w:rPr>
            </w:pPr>
            <w:r>
              <w:rPr>
                <w:sz w:val="20"/>
              </w:rPr>
              <w:t>0.1</w:t>
            </w:r>
          </w:p>
        </w:tc>
        <w:tc>
          <w:tcPr>
            <w:tcW w:w="941" w:type="dxa"/>
            <w:tcBorders>
              <w:top w:val="nil"/>
              <w:left w:val="nil"/>
              <w:bottom w:val="nil"/>
              <w:right w:val="nil"/>
            </w:tcBorders>
          </w:tcPr>
          <w:p>
            <w:pPr>
              <w:pStyle w:val="TableParagraph"/>
              <w:spacing w:before="26"/>
              <w:ind w:right="82"/>
              <w:rPr>
                <w:sz w:val="20"/>
              </w:rPr>
            </w:pPr>
            <w:r>
              <w:rPr>
                <w:sz w:val="20"/>
              </w:rPr>
              <w:t>0.2</w:t>
            </w:r>
          </w:p>
        </w:tc>
        <w:tc>
          <w:tcPr>
            <w:tcW w:w="941" w:type="dxa"/>
            <w:tcBorders>
              <w:top w:val="nil"/>
              <w:left w:val="nil"/>
              <w:bottom w:val="nil"/>
              <w:right w:val="nil"/>
            </w:tcBorders>
          </w:tcPr>
          <w:p>
            <w:pPr>
              <w:pStyle w:val="TableParagraph"/>
              <w:spacing w:before="26"/>
              <w:ind w:right="82"/>
              <w:rPr>
                <w:sz w:val="20"/>
              </w:rPr>
            </w:pPr>
            <w:r>
              <w:rPr>
                <w:sz w:val="20"/>
              </w:rPr>
              <w:t>0.3</w:t>
            </w:r>
          </w:p>
        </w:tc>
        <w:tc>
          <w:tcPr>
            <w:tcW w:w="939" w:type="dxa"/>
            <w:tcBorders>
              <w:top w:val="nil"/>
              <w:left w:val="nil"/>
              <w:bottom w:val="nil"/>
              <w:right w:val="nil"/>
            </w:tcBorders>
          </w:tcPr>
          <w:p>
            <w:pPr>
              <w:pStyle w:val="TableParagraph"/>
              <w:spacing w:before="26"/>
              <w:ind w:right="79"/>
              <w:rPr>
                <w:sz w:val="20"/>
              </w:rPr>
            </w:pPr>
            <w:r>
              <w:rPr>
                <w:sz w:val="20"/>
              </w:rPr>
              <w:t>0.4</w:t>
            </w:r>
          </w:p>
        </w:tc>
        <w:tc>
          <w:tcPr>
            <w:tcW w:w="939" w:type="dxa"/>
            <w:tcBorders>
              <w:top w:val="nil"/>
              <w:left w:val="nil"/>
              <w:bottom w:val="nil"/>
              <w:right w:val="nil"/>
            </w:tcBorders>
          </w:tcPr>
          <w:p>
            <w:pPr>
              <w:pStyle w:val="TableParagraph"/>
              <w:spacing w:before="26"/>
              <w:ind w:right="82"/>
              <w:rPr>
                <w:sz w:val="20"/>
              </w:rPr>
            </w:pPr>
            <w:r>
              <w:rPr>
                <w:sz w:val="20"/>
              </w:rPr>
              <w:t>0.4</w:t>
            </w:r>
          </w:p>
        </w:tc>
        <w:tc>
          <w:tcPr>
            <w:tcW w:w="924" w:type="dxa"/>
            <w:tcBorders>
              <w:top w:val="nil"/>
              <w:left w:val="nil"/>
              <w:bottom w:val="nil"/>
              <w:right w:val="nil"/>
            </w:tcBorders>
          </w:tcPr>
          <w:p>
            <w:pPr>
              <w:pStyle w:val="TableParagraph"/>
              <w:spacing w:before="26"/>
              <w:ind w:right="65"/>
              <w:rPr>
                <w:sz w:val="20"/>
              </w:rPr>
            </w:pPr>
            <w:r>
              <w:rPr>
                <w:sz w:val="20"/>
              </w:rPr>
              <w:t>0.3</w:t>
            </w:r>
          </w:p>
        </w:tc>
        <w:tc>
          <w:tcPr>
            <w:tcW w:w="975" w:type="dxa"/>
            <w:tcBorders>
              <w:top w:val="nil"/>
              <w:left w:val="nil"/>
              <w:bottom w:val="nil"/>
              <w:right w:val="nil"/>
            </w:tcBorders>
          </w:tcPr>
          <w:p>
            <w:pPr>
              <w:pStyle w:val="TableParagraph"/>
              <w:spacing w:before="26"/>
              <w:ind w:right="65"/>
              <w:rPr>
                <w:sz w:val="20"/>
              </w:rPr>
            </w:pPr>
            <w:r>
              <w:rPr>
                <w:sz w:val="20"/>
              </w:rPr>
              <w:t>0.1</w:t>
            </w:r>
          </w:p>
        </w:tc>
        <w:tc>
          <w:tcPr>
            <w:tcW w:w="974" w:type="dxa"/>
            <w:tcBorders>
              <w:top w:val="nil"/>
              <w:left w:val="nil"/>
              <w:bottom w:val="nil"/>
              <w:right w:val="nil"/>
            </w:tcBorders>
          </w:tcPr>
          <w:p>
            <w:pPr>
              <w:pStyle w:val="TableParagraph"/>
              <w:spacing w:before="26"/>
              <w:ind w:right="65"/>
              <w:rPr>
                <w:sz w:val="20"/>
              </w:rPr>
            </w:pPr>
            <w:r>
              <w:rPr>
                <w:sz w:val="20"/>
              </w:rPr>
              <w:t>0.07</w:t>
            </w:r>
          </w:p>
        </w:tc>
        <w:tc>
          <w:tcPr>
            <w:tcW w:w="970" w:type="dxa"/>
            <w:tcBorders>
              <w:top w:val="nil"/>
              <w:left w:val="nil"/>
              <w:bottom w:val="nil"/>
              <w:right w:val="nil"/>
            </w:tcBorders>
          </w:tcPr>
          <w:p>
            <w:pPr>
              <w:pStyle w:val="TableParagraph"/>
              <w:spacing w:before="26"/>
              <w:ind w:right="60"/>
              <w:rPr>
                <w:sz w:val="20"/>
              </w:rPr>
            </w:pPr>
            <w:r>
              <w:rPr>
                <w:sz w:val="20"/>
              </w:rPr>
              <w:t>0.04</w:t>
            </w:r>
          </w:p>
        </w:tc>
      </w:tr>
      <w:tr>
        <w:trPr>
          <w:trHeight w:val="300" w:hRule="exact"/>
        </w:trPr>
        <w:tc>
          <w:tcPr>
            <w:tcW w:w="1143" w:type="dxa"/>
            <w:tcBorders>
              <w:top w:val="nil"/>
              <w:left w:val="nil"/>
              <w:bottom w:val="nil"/>
              <w:right w:val="nil"/>
            </w:tcBorders>
          </w:tcPr>
          <w:p>
            <w:pPr>
              <w:pStyle w:val="TableParagraph"/>
              <w:ind w:left="86"/>
              <w:jc w:val="left"/>
              <w:rPr>
                <w:sz w:val="20"/>
              </w:rPr>
            </w:pPr>
            <w:r>
              <w:rPr>
                <w:sz w:val="20"/>
              </w:rPr>
              <w:t>26</w:t>
            </w:r>
          </w:p>
        </w:tc>
        <w:tc>
          <w:tcPr>
            <w:tcW w:w="1020" w:type="dxa"/>
            <w:tcBorders>
              <w:top w:val="nil"/>
              <w:left w:val="nil"/>
              <w:bottom w:val="nil"/>
              <w:right w:val="nil"/>
            </w:tcBorders>
          </w:tcPr>
          <w:p>
            <w:pPr>
              <w:pStyle w:val="TableParagraph"/>
              <w:ind w:left="71"/>
              <w:jc w:val="left"/>
              <w:rPr>
                <w:sz w:val="20"/>
              </w:rPr>
            </w:pPr>
            <w:r>
              <w:rPr>
                <w:sz w:val="20"/>
              </w:rPr>
              <w:t>15001</w:t>
            </w:r>
          </w:p>
        </w:tc>
        <w:tc>
          <w:tcPr>
            <w:tcW w:w="945" w:type="dxa"/>
            <w:tcBorders>
              <w:top w:val="nil"/>
              <w:left w:val="nil"/>
              <w:bottom w:val="nil"/>
              <w:right w:val="nil"/>
            </w:tcBorders>
          </w:tcPr>
          <w:p>
            <w:pPr>
              <w:pStyle w:val="TableParagraph"/>
              <w:ind w:right="82"/>
              <w:rPr>
                <w:sz w:val="20"/>
              </w:rPr>
            </w:pPr>
            <w:r>
              <w:rPr>
                <w:sz w:val="20"/>
              </w:rPr>
              <w:t>0.04</w:t>
            </w:r>
          </w:p>
        </w:tc>
        <w:tc>
          <w:tcPr>
            <w:tcW w:w="939" w:type="dxa"/>
            <w:tcBorders>
              <w:top w:val="nil"/>
              <w:left w:val="nil"/>
              <w:bottom w:val="nil"/>
              <w:right w:val="nil"/>
            </w:tcBorders>
          </w:tcPr>
          <w:p>
            <w:pPr>
              <w:pStyle w:val="TableParagraph"/>
              <w:ind w:right="79"/>
              <w:rPr>
                <w:sz w:val="20"/>
              </w:rPr>
            </w:pPr>
            <w:r>
              <w:rPr>
                <w:sz w:val="20"/>
              </w:rPr>
              <w:t>0.03</w:t>
            </w:r>
          </w:p>
        </w:tc>
        <w:tc>
          <w:tcPr>
            <w:tcW w:w="934" w:type="dxa"/>
            <w:tcBorders>
              <w:top w:val="nil"/>
              <w:left w:val="nil"/>
              <w:bottom w:val="nil"/>
              <w:right w:val="nil"/>
            </w:tcBorders>
          </w:tcPr>
          <w:p>
            <w:pPr>
              <w:pStyle w:val="TableParagraph"/>
              <w:ind w:right="77"/>
              <w:rPr>
                <w:sz w:val="20"/>
              </w:rPr>
            </w:pPr>
            <w:r>
              <w:rPr>
                <w:sz w:val="20"/>
              </w:rPr>
              <w:t>0.04</w:t>
            </w:r>
          </w:p>
        </w:tc>
        <w:tc>
          <w:tcPr>
            <w:tcW w:w="926" w:type="dxa"/>
            <w:tcBorders>
              <w:top w:val="nil"/>
              <w:left w:val="nil"/>
              <w:bottom w:val="nil"/>
              <w:right w:val="nil"/>
            </w:tcBorders>
          </w:tcPr>
          <w:p>
            <w:pPr>
              <w:pStyle w:val="TableParagraph"/>
              <w:ind w:right="82"/>
              <w:rPr>
                <w:sz w:val="20"/>
              </w:rPr>
            </w:pPr>
            <w:r>
              <w:rPr>
                <w:sz w:val="20"/>
              </w:rPr>
              <w:t>0.11</w:t>
            </w:r>
          </w:p>
        </w:tc>
        <w:tc>
          <w:tcPr>
            <w:tcW w:w="941" w:type="dxa"/>
            <w:tcBorders>
              <w:top w:val="nil"/>
              <w:left w:val="nil"/>
              <w:bottom w:val="nil"/>
              <w:right w:val="nil"/>
            </w:tcBorders>
          </w:tcPr>
          <w:p>
            <w:pPr>
              <w:pStyle w:val="TableParagraph"/>
              <w:ind w:right="82"/>
              <w:rPr>
                <w:sz w:val="20"/>
              </w:rPr>
            </w:pPr>
            <w:r>
              <w:rPr>
                <w:sz w:val="20"/>
              </w:rPr>
              <w:t>0.2</w:t>
            </w:r>
          </w:p>
        </w:tc>
        <w:tc>
          <w:tcPr>
            <w:tcW w:w="941" w:type="dxa"/>
            <w:tcBorders>
              <w:top w:val="nil"/>
              <w:left w:val="nil"/>
              <w:bottom w:val="nil"/>
              <w:right w:val="nil"/>
            </w:tcBorders>
          </w:tcPr>
          <w:p>
            <w:pPr>
              <w:pStyle w:val="TableParagraph"/>
              <w:ind w:right="82"/>
              <w:rPr>
                <w:sz w:val="20"/>
              </w:rPr>
            </w:pPr>
            <w:r>
              <w:rPr>
                <w:sz w:val="20"/>
              </w:rPr>
              <w:t>0.28</w:t>
            </w:r>
          </w:p>
        </w:tc>
        <w:tc>
          <w:tcPr>
            <w:tcW w:w="939" w:type="dxa"/>
            <w:tcBorders>
              <w:top w:val="nil"/>
              <w:left w:val="nil"/>
              <w:bottom w:val="nil"/>
              <w:right w:val="nil"/>
            </w:tcBorders>
          </w:tcPr>
          <w:p>
            <w:pPr>
              <w:pStyle w:val="TableParagraph"/>
              <w:ind w:right="79"/>
              <w:rPr>
                <w:sz w:val="20"/>
              </w:rPr>
            </w:pPr>
            <w:r>
              <w:rPr>
                <w:sz w:val="20"/>
              </w:rPr>
              <w:t>0.36</w:t>
            </w:r>
          </w:p>
        </w:tc>
        <w:tc>
          <w:tcPr>
            <w:tcW w:w="939" w:type="dxa"/>
            <w:tcBorders>
              <w:top w:val="nil"/>
              <w:left w:val="nil"/>
              <w:bottom w:val="nil"/>
              <w:right w:val="nil"/>
            </w:tcBorders>
          </w:tcPr>
          <w:p>
            <w:pPr>
              <w:pStyle w:val="TableParagraph"/>
              <w:ind w:right="82"/>
              <w:rPr>
                <w:sz w:val="20"/>
              </w:rPr>
            </w:pPr>
            <w:r>
              <w:rPr>
                <w:sz w:val="20"/>
              </w:rPr>
              <w:t>0.33</w:t>
            </w:r>
          </w:p>
        </w:tc>
        <w:tc>
          <w:tcPr>
            <w:tcW w:w="924" w:type="dxa"/>
            <w:tcBorders>
              <w:top w:val="nil"/>
              <w:left w:val="nil"/>
              <w:bottom w:val="nil"/>
              <w:right w:val="nil"/>
            </w:tcBorders>
          </w:tcPr>
          <w:p>
            <w:pPr>
              <w:pStyle w:val="TableParagraph"/>
              <w:ind w:right="65"/>
              <w:rPr>
                <w:sz w:val="20"/>
              </w:rPr>
            </w:pPr>
            <w:r>
              <w:rPr>
                <w:sz w:val="20"/>
              </w:rPr>
              <w:t>0.23</w:t>
            </w:r>
          </w:p>
        </w:tc>
        <w:tc>
          <w:tcPr>
            <w:tcW w:w="975" w:type="dxa"/>
            <w:tcBorders>
              <w:top w:val="nil"/>
              <w:left w:val="nil"/>
              <w:bottom w:val="nil"/>
              <w:right w:val="nil"/>
            </w:tcBorders>
          </w:tcPr>
          <w:p>
            <w:pPr>
              <w:pStyle w:val="TableParagraph"/>
              <w:ind w:right="65"/>
              <w:rPr>
                <w:sz w:val="20"/>
              </w:rPr>
            </w:pPr>
            <w:r>
              <w:rPr>
                <w:sz w:val="20"/>
              </w:rPr>
              <w:t>0.12</w:t>
            </w:r>
          </w:p>
        </w:tc>
        <w:tc>
          <w:tcPr>
            <w:tcW w:w="974" w:type="dxa"/>
            <w:tcBorders>
              <w:top w:val="nil"/>
              <w:left w:val="nil"/>
              <w:bottom w:val="nil"/>
              <w:right w:val="nil"/>
            </w:tcBorders>
          </w:tcPr>
          <w:p>
            <w:pPr>
              <w:pStyle w:val="TableParagraph"/>
              <w:ind w:right="65"/>
              <w:rPr>
                <w:sz w:val="20"/>
              </w:rPr>
            </w:pPr>
            <w:r>
              <w:rPr>
                <w:sz w:val="20"/>
              </w:rPr>
              <w:t>0.06</w:t>
            </w:r>
          </w:p>
        </w:tc>
        <w:tc>
          <w:tcPr>
            <w:tcW w:w="970" w:type="dxa"/>
            <w:tcBorders>
              <w:top w:val="nil"/>
              <w:left w:val="nil"/>
              <w:bottom w:val="nil"/>
              <w:right w:val="nil"/>
            </w:tcBorders>
          </w:tcPr>
          <w:p>
            <w:pPr>
              <w:pStyle w:val="TableParagraph"/>
              <w:ind w:right="60"/>
              <w:rPr>
                <w:sz w:val="20"/>
              </w:rPr>
            </w:pPr>
            <w:r>
              <w:rPr>
                <w:sz w:val="20"/>
              </w:rPr>
              <w:t>0.04</w:t>
            </w:r>
          </w:p>
        </w:tc>
      </w:tr>
      <w:tr>
        <w:trPr>
          <w:trHeight w:val="300" w:hRule="exact"/>
        </w:trPr>
        <w:tc>
          <w:tcPr>
            <w:tcW w:w="1143" w:type="dxa"/>
            <w:tcBorders>
              <w:top w:val="nil"/>
              <w:left w:val="nil"/>
              <w:bottom w:val="nil"/>
              <w:right w:val="nil"/>
            </w:tcBorders>
          </w:tcPr>
          <w:p>
            <w:pPr>
              <w:pStyle w:val="TableParagraph"/>
              <w:spacing w:before="26"/>
              <w:ind w:left="86"/>
              <w:jc w:val="left"/>
              <w:rPr>
                <w:sz w:val="20"/>
              </w:rPr>
            </w:pPr>
            <w:r>
              <w:rPr>
                <w:sz w:val="20"/>
              </w:rPr>
              <w:t>27</w:t>
            </w:r>
          </w:p>
        </w:tc>
        <w:tc>
          <w:tcPr>
            <w:tcW w:w="1020" w:type="dxa"/>
            <w:tcBorders>
              <w:top w:val="nil"/>
              <w:left w:val="nil"/>
              <w:bottom w:val="nil"/>
              <w:right w:val="nil"/>
            </w:tcBorders>
          </w:tcPr>
          <w:p>
            <w:pPr>
              <w:pStyle w:val="TableParagraph"/>
              <w:spacing w:before="26"/>
              <w:ind w:left="71"/>
              <w:jc w:val="left"/>
              <w:rPr>
                <w:sz w:val="20"/>
              </w:rPr>
            </w:pPr>
            <w:r>
              <w:rPr>
                <w:sz w:val="20"/>
              </w:rPr>
              <w:t>15029</w:t>
            </w:r>
          </w:p>
        </w:tc>
        <w:tc>
          <w:tcPr>
            <w:tcW w:w="945" w:type="dxa"/>
            <w:tcBorders>
              <w:top w:val="nil"/>
              <w:left w:val="nil"/>
              <w:bottom w:val="nil"/>
              <w:right w:val="nil"/>
            </w:tcBorders>
          </w:tcPr>
          <w:p>
            <w:pPr>
              <w:pStyle w:val="TableParagraph"/>
              <w:spacing w:before="26"/>
              <w:ind w:right="82"/>
              <w:rPr>
                <w:sz w:val="20"/>
              </w:rPr>
            </w:pPr>
            <w:r>
              <w:rPr>
                <w:sz w:val="20"/>
              </w:rPr>
              <w:t>0.04</w:t>
            </w:r>
          </w:p>
        </w:tc>
        <w:tc>
          <w:tcPr>
            <w:tcW w:w="939" w:type="dxa"/>
            <w:tcBorders>
              <w:top w:val="nil"/>
              <w:left w:val="nil"/>
              <w:bottom w:val="nil"/>
              <w:right w:val="nil"/>
            </w:tcBorders>
          </w:tcPr>
          <w:p>
            <w:pPr>
              <w:pStyle w:val="TableParagraph"/>
              <w:spacing w:before="26"/>
              <w:ind w:right="79"/>
              <w:rPr>
                <w:sz w:val="20"/>
              </w:rPr>
            </w:pPr>
            <w:r>
              <w:rPr>
                <w:sz w:val="20"/>
              </w:rPr>
              <w:t>0.05</w:t>
            </w:r>
          </w:p>
        </w:tc>
        <w:tc>
          <w:tcPr>
            <w:tcW w:w="934" w:type="dxa"/>
            <w:tcBorders>
              <w:top w:val="nil"/>
              <w:left w:val="nil"/>
              <w:bottom w:val="nil"/>
              <w:right w:val="nil"/>
            </w:tcBorders>
          </w:tcPr>
          <w:p>
            <w:pPr>
              <w:pStyle w:val="TableParagraph"/>
              <w:spacing w:before="26"/>
              <w:ind w:right="77"/>
              <w:rPr>
                <w:sz w:val="20"/>
              </w:rPr>
            </w:pPr>
            <w:r>
              <w:rPr>
                <w:sz w:val="20"/>
              </w:rPr>
              <w:t>0.1</w:t>
            </w:r>
          </w:p>
        </w:tc>
        <w:tc>
          <w:tcPr>
            <w:tcW w:w="926" w:type="dxa"/>
            <w:tcBorders>
              <w:top w:val="nil"/>
              <w:left w:val="nil"/>
              <w:bottom w:val="nil"/>
              <w:right w:val="nil"/>
            </w:tcBorders>
          </w:tcPr>
          <w:p>
            <w:pPr>
              <w:pStyle w:val="TableParagraph"/>
              <w:spacing w:before="26"/>
              <w:ind w:right="82"/>
              <w:rPr>
                <w:sz w:val="20"/>
              </w:rPr>
            </w:pPr>
            <w:r>
              <w:rPr>
                <w:sz w:val="20"/>
              </w:rPr>
              <w:t>0.1</w:t>
            </w:r>
          </w:p>
        </w:tc>
        <w:tc>
          <w:tcPr>
            <w:tcW w:w="941" w:type="dxa"/>
            <w:tcBorders>
              <w:top w:val="nil"/>
              <w:left w:val="nil"/>
              <w:bottom w:val="nil"/>
              <w:right w:val="nil"/>
            </w:tcBorders>
          </w:tcPr>
          <w:p>
            <w:pPr>
              <w:pStyle w:val="TableParagraph"/>
              <w:spacing w:before="26"/>
              <w:ind w:right="82"/>
              <w:rPr>
                <w:sz w:val="20"/>
              </w:rPr>
            </w:pPr>
            <w:r>
              <w:rPr>
                <w:sz w:val="20"/>
              </w:rPr>
              <w:t>0.2</w:t>
            </w:r>
          </w:p>
        </w:tc>
        <w:tc>
          <w:tcPr>
            <w:tcW w:w="941" w:type="dxa"/>
            <w:tcBorders>
              <w:top w:val="nil"/>
              <w:left w:val="nil"/>
              <w:bottom w:val="nil"/>
              <w:right w:val="nil"/>
            </w:tcBorders>
          </w:tcPr>
          <w:p>
            <w:pPr>
              <w:pStyle w:val="TableParagraph"/>
              <w:spacing w:before="26"/>
              <w:ind w:right="82"/>
              <w:rPr>
                <w:sz w:val="20"/>
              </w:rPr>
            </w:pPr>
            <w:r>
              <w:rPr>
                <w:sz w:val="20"/>
              </w:rPr>
              <w:t>0.3</w:t>
            </w:r>
          </w:p>
        </w:tc>
        <w:tc>
          <w:tcPr>
            <w:tcW w:w="939" w:type="dxa"/>
            <w:tcBorders>
              <w:top w:val="nil"/>
              <w:left w:val="nil"/>
              <w:bottom w:val="nil"/>
              <w:right w:val="nil"/>
            </w:tcBorders>
          </w:tcPr>
          <w:p>
            <w:pPr>
              <w:pStyle w:val="TableParagraph"/>
              <w:spacing w:before="26"/>
              <w:ind w:right="79"/>
              <w:rPr>
                <w:sz w:val="20"/>
              </w:rPr>
            </w:pPr>
            <w:r>
              <w:rPr>
                <w:sz w:val="20"/>
              </w:rPr>
              <w:t>0.4</w:t>
            </w:r>
          </w:p>
        </w:tc>
        <w:tc>
          <w:tcPr>
            <w:tcW w:w="939" w:type="dxa"/>
            <w:tcBorders>
              <w:top w:val="nil"/>
              <w:left w:val="nil"/>
              <w:bottom w:val="nil"/>
              <w:right w:val="nil"/>
            </w:tcBorders>
          </w:tcPr>
          <w:p>
            <w:pPr>
              <w:pStyle w:val="TableParagraph"/>
              <w:spacing w:before="26"/>
              <w:ind w:right="82"/>
              <w:rPr>
                <w:sz w:val="20"/>
              </w:rPr>
            </w:pPr>
            <w:r>
              <w:rPr>
                <w:sz w:val="20"/>
              </w:rPr>
              <w:t>0.4</w:t>
            </w:r>
          </w:p>
        </w:tc>
        <w:tc>
          <w:tcPr>
            <w:tcW w:w="924" w:type="dxa"/>
            <w:tcBorders>
              <w:top w:val="nil"/>
              <w:left w:val="nil"/>
              <w:bottom w:val="nil"/>
              <w:right w:val="nil"/>
            </w:tcBorders>
          </w:tcPr>
          <w:p>
            <w:pPr>
              <w:pStyle w:val="TableParagraph"/>
              <w:spacing w:before="26"/>
              <w:ind w:right="65"/>
              <w:rPr>
                <w:sz w:val="20"/>
              </w:rPr>
            </w:pPr>
            <w:r>
              <w:rPr>
                <w:sz w:val="20"/>
              </w:rPr>
              <w:t>0.3</w:t>
            </w:r>
          </w:p>
        </w:tc>
        <w:tc>
          <w:tcPr>
            <w:tcW w:w="975" w:type="dxa"/>
            <w:tcBorders>
              <w:top w:val="nil"/>
              <w:left w:val="nil"/>
              <w:bottom w:val="nil"/>
              <w:right w:val="nil"/>
            </w:tcBorders>
          </w:tcPr>
          <w:p>
            <w:pPr>
              <w:pStyle w:val="TableParagraph"/>
              <w:spacing w:before="26"/>
              <w:ind w:right="65"/>
              <w:rPr>
                <w:sz w:val="20"/>
              </w:rPr>
            </w:pPr>
            <w:r>
              <w:rPr>
                <w:sz w:val="20"/>
              </w:rPr>
              <w:t>0.1</w:t>
            </w:r>
          </w:p>
        </w:tc>
        <w:tc>
          <w:tcPr>
            <w:tcW w:w="974" w:type="dxa"/>
            <w:tcBorders>
              <w:top w:val="nil"/>
              <w:left w:val="nil"/>
              <w:bottom w:val="nil"/>
              <w:right w:val="nil"/>
            </w:tcBorders>
          </w:tcPr>
          <w:p>
            <w:pPr>
              <w:pStyle w:val="TableParagraph"/>
              <w:spacing w:before="26"/>
              <w:ind w:right="65"/>
              <w:rPr>
                <w:sz w:val="20"/>
              </w:rPr>
            </w:pPr>
            <w:r>
              <w:rPr>
                <w:sz w:val="20"/>
              </w:rPr>
              <w:t>0.07</w:t>
            </w:r>
          </w:p>
        </w:tc>
        <w:tc>
          <w:tcPr>
            <w:tcW w:w="970" w:type="dxa"/>
            <w:tcBorders>
              <w:top w:val="nil"/>
              <w:left w:val="nil"/>
              <w:bottom w:val="nil"/>
              <w:right w:val="nil"/>
            </w:tcBorders>
          </w:tcPr>
          <w:p>
            <w:pPr>
              <w:pStyle w:val="TableParagraph"/>
              <w:spacing w:before="26"/>
              <w:ind w:right="60"/>
              <w:rPr>
                <w:sz w:val="20"/>
              </w:rPr>
            </w:pPr>
            <w:r>
              <w:rPr>
                <w:sz w:val="20"/>
              </w:rPr>
              <w:t>0.04</w:t>
            </w:r>
          </w:p>
        </w:tc>
      </w:tr>
      <w:tr>
        <w:trPr>
          <w:trHeight w:val="300" w:hRule="exact"/>
        </w:trPr>
        <w:tc>
          <w:tcPr>
            <w:tcW w:w="1143" w:type="dxa"/>
            <w:tcBorders>
              <w:top w:val="nil"/>
              <w:left w:val="nil"/>
              <w:bottom w:val="nil"/>
              <w:right w:val="nil"/>
            </w:tcBorders>
          </w:tcPr>
          <w:p>
            <w:pPr>
              <w:pStyle w:val="TableParagraph"/>
              <w:ind w:left="86"/>
              <w:jc w:val="left"/>
              <w:rPr>
                <w:sz w:val="20"/>
              </w:rPr>
            </w:pPr>
            <w:r>
              <w:rPr>
                <w:sz w:val="20"/>
              </w:rPr>
              <w:t>28</w:t>
            </w:r>
          </w:p>
        </w:tc>
        <w:tc>
          <w:tcPr>
            <w:tcW w:w="1020" w:type="dxa"/>
            <w:tcBorders>
              <w:top w:val="nil"/>
              <w:left w:val="nil"/>
              <w:bottom w:val="nil"/>
              <w:right w:val="nil"/>
            </w:tcBorders>
          </w:tcPr>
          <w:p>
            <w:pPr>
              <w:pStyle w:val="TableParagraph"/>
              <w:ind w:left="71"/>
              <w:jc w:val="left"/>
              <w:rPr>
                <w:sz w:val="20"/>
              </w:rPr>
            </w:pPr>
            <w:r>
              <w:rPr>
                <w:sz w:val="20"/>
              </w:rPr>
              <w:t>15029</w:t>
            </w:r>
          </w:p>
        </w:tc>
        <w:tc>
          <w:tcPr>
            <w:tcW w:w="945" w:type="dxa"/>
            <w:tcBorders>
              <w:top w:val="nil"/>
              <w:left w:val="nil"/>
              <w:bottom w:val="nil"/>
              <w:right w:val="nil"/>
            </w:tcBorders>
          </w:tcPr>
          <w:p>
            <w:pPr>
              <w:pStyle w:val="TableParagraph"/>
              <w:ind w:right="82"/>
              <w:rPr>
                <w:sz w:val="20"/>
              </w:rPr>
            </w:pPr>
            <w:r>
              <w:rPr>
                <w:sz w:val="20"/>
              </w:rPr>
              <w:t>0.04</w:t>
            </w:r>
          </w:p>
        </w:tc>
        <w:tc>
          <w:tcPr>
            <w:tcW w:w="939" w:type="dxa"/>
            <w:tcBorders>
              <w:top w:val="nil"/>
              <w:left w:val="nil"/>
              <w:bottom w:val="nil"/>
              <w:right w:val="nil"/>
            </w:tcBorders>
          </w:tcPr>
          <w:p>
            <w:pPr>
              <w:pStyle w:val="TableParagraph"/>
              <w:ind w:right="79"/>
              <w:rPr>
                <w:sz w:val="20"/>
              </w:rPr>
            </w:pPr>
            <w:r>
              <w:rPr>
                <w:sz w:val="20"/>
              </w:rPr>
              <w:t>0.05</w:t>
            </w:r>
          </w:p>
        </w:tc>
        <w:tc>
          <w:tcPr>
            <w:tcW w:w="934" w:type="dxa"/>
            <w:tcBorders>
              <w:top w:val="nil"/>
              <w:left w:val="nil"/>
              <w:bottom w:val="nil"/>
              <w:right w:val="nil"/>
            </w:tcBorders>
          </w:tcPr>
          <w:p>
            <w:pPr>
              <w:pStyle w:val="TableParagraph"/>
              <w:ind w:right="77"/>
              <w:rPr>
                <w:sz w:val="20"/>
              </w:rPr>
            </w:pPr>
            <w:r>
              <w:rPr>
                <w:sz w:val="20"/>
              </w:rPr>
              <w:t>0.1</w:t>
            </w:r>
          </w:p>
        </w:tc>
        <w:tc>
          <w:tcPr>
            <w:tcW w:w="926" w:type="dxa"/>
            <w:tcBorders>
              <w:top w:val="nil"/>
              <w:left w:val="nil"/>
              <w:bottom w:val="nil"/>
              <w:right w:val="nil"/>
            </w:tcBorders>
          </w:tcPr>
          <w:p>
            <w:pPr>
              <w:pStyle w:val="TableParagraph"/>
              <w:ind w:right="82"/>
              <w:rPr>
                <w:sz w:val="20"/>
              </w:rPr>
            </w:pPr>
            <w:r>
              <w:rPr>
                <w:sz w:val="20"/>
              </w:rPr>
              <w:t>0.1</w:t>
            </w:r>
          </w:p>
        </w:tc>
        <w:tc>
          <w:tcPr>
            <w:tcW w:w="941" w:type="dxa"/>
            <w:tcBorders>
              <w:top w:val="nil"/>
              <w:left w:val="nil"/>
              <w:bottom w:val="nil"/>
              <w:right w:val="nil"/>
            </w:tcBorders>
          </w:tcPr>
          <w:p>
            <w:pPr>
              <w:pStyle w:val="TableParagraph"/>
              <w:ind w:right="82"/>
              <w:rPr>
                <w:sz w:val="20"/>
              </w:rPr>
            </w:pPr>
            <w:r>
              <w:rPr>
                <w:sz w:val="20"/>
              </w:rPr>
              <w:t>0.2</w:t>
            </w:r>
          </w:p>
        </w:tc>
        <w:tc>
          <w:tcPr>
            <w:tcW w:w="941" w:type="dxa"/>
            <w:tcBorders>
              <w:top w:val="nil"/>
              <w:left w:val="nil"/>
              <w:bottom w:val="nil"/>
              <w:right w:val="nil"/>
            </w:tcBorders>
          </w:tcPr>
          <w:p>
            <w:pPr>
              <w:pStyle w:val="TableParagraph"/>
              <w:ind w:right="82"/>
              <w:rPr>
                <w:sz w:val="20"/>
              </w:rPr>
            </w:pPr>
            <w:r>
              <w:rPr>
                <w:sz w:val="20"/>
              </w:rPr>
              <w:t>0.3</w:t>
            </w:r>
          </w:p>
        </w:tc>
        <w:tc>
          <w:tcPr>
            <w:tcW w:w="939" w:type="dxa"/>
            <w:tcBorders>
              <w:top w:val="nil"/>
              <w:left w:val="nil"/>
              <w:bottom w:val="nil"/>
              <w:right w:val="nil"/>
            </w:tcBorders>
          </w:tcPr>
          <w:p>
            <w:pPr>
              <w:pStyle w:val="TableParagraph"/>
              <w:ind w:right="79"/>
              <w:rPr>
                <w:sz w:val="20"/>
              </w:rPr>
            </w:pPr>
            <w:r>
              <w:rPr>
                <w:sz w:val="20"/>
              </w:rPr>
              <w:t>0.4</w:t>
            </w:r>
          </w:p>
        </w:tc>
        <w:tc>
          <w:tcPr>
            <w:tcW w:w="939" w:type="dxa"/>
            <w:tcBorders>
              <w:top w:val="nil"/>
              <w:left w:val="nil"/>
              <w:bottom w:val="nil"/>
              <w:right w:val="nil"/>
            </w:tcBorders>
          </w:tcPr>
          <w:p>
            <w:pPr>
              <w:pStyle w:val="TableParagraph"/>
              <w:ind w:right="82"/>
              <w:rPr>
                <w:sz w:val="20"/>
              </w:rPr>
            </w:pPr>
            <w:r>
              <w:rPr>
                <w:sz w:val="20"/>
              </w:rPr>
              <w:t>0.4</w:t>
            </w:r>
          </w:p>
        </w:tc>
        <w:tc>
          <w:tcPr>
            <w:tcW w:w="924" w:type="dxa"/>
            <w:tcBorders>
              <w:top w:val="nil"/>
              <w:left w:val="nil"/>
              <w:bottom w:val="nil"/>
              <w:right w:val="nil"/>
            </w:tcBorders>
          </w:tcPr>
          <w:p>
            <w:pPr>
              <w:pStyle w:val="TableParagraph"/>
              <w:ind w:right="65"/>
              <w:rPr>
                <w:sz w:val="20"/>
              </w:rPr>
            </w:pPr>
            <w:r>
              <w:rPr>
                <w:sz w:val="20"/>
              </w:rPr>
              <w:t>0.3</w:t>
            </w:r>
          </w:p>
        </w:tc>
        <w:tc>
          <w:tcPr>
            <w:tcW w:w="975" w:type="dxa"/>
            <w:tcBorders>
              <w:top w:val="nil"/>
              <w:left w:val="nil"/>
              <w:bottom w:val="nil"/>
              <w:right w:val="nil"/>
            </w:tcBorders>
          </w:tcPr>
          <w:p>
            <w:pPr>
              <w:pStyle w:val="TableParagraph"/>
              <w:ind w:right="65"/>
              <w:rPr>
                <w:sz w:val="20"/>
              </w:rPr>
            </w:pPr>
            <w:r>
              <w:rPr>
                <w:sz w:val="20"/>
              </w:rPr>
              <w:t>0.1</w:t>
            </w:r>
          </w:p>
        </w:tc>
        <w:tc>
          <w:tcPr>
            <w:tcW w:w="974" w:type="dxa"/>
            <w:tcBorders>
              <w:top w:val="nil"/>
              <w:left w:val="nil"/>
              <w:bottom w:val="nil"/>
              <w:right w:val="nil"/>
            </w:tcBorders>
          </w:tcPr>
          <w:p>
            <w:pPr>
              <w:pStyle w:val="TableParagraph"/>
              <w:ind w:right="65"/>
              <w:rPr>
                <w:sz w:val="20"/>
              </w:rPr>
            </w:pPr>
            <w:r>
              <w:rPr>
                <w:sz w:val="20"/>
              </w:rPr>
              <w:t>0.07</w:t>
            </w:r>
          </w:p>
        </w:tc>
        <w:tc>
          <w:tcPr>
            <w:tcW w:w="970" w:type="dxa"/>
            <w:tcBorders>
              <w:top w:val="nil"/>
              <w:left w:val="nil"/>
              <w:bottom w:val="nil"/>
              <w:right w:val="nil"/>
            </w:tcBorders>
          </w:tcPr>
          <w:p>
            <w:pPr>
              <w:pStyle w:val="TableParagraph"/>
              <w:ind w:right="60"/>
              <w:rPr>
                <w:sz w:val="20"/>
              </w:rPr>
            </w:pPr>
            <w:r>
              <w:rPr>
                <w:sz w:val="20"/>
              </w:rPr>
              <w:t>0.04</w:t>
            </w:r>
          </w:p>
        </w:tc>
      </w:tr>
      <w:tr>
        <w:trPr>
          <w:trHeight w:val="270" w:hRule="exact"/>
        </w:trPr>
        <w:tc>
          <w:tcPr>
            <w:tcW w:w="1143" w:type="dxa"/>
            <w:tcBorders>
              <w:top w:val="nil"/>
              <w:left w:val="nil"/>
              <w:right w:val="nil"/>
            </w:tcBorders>
          </w:tcPr>
          <w:p>
            <w:pPr>
              <w:pStyle w:val="TableParagraph"/>
              <w:spacing w:before="26"/>
              <w:ind w:left="86"/>
              <w:jc w:val="left"/>
              <w:rPr>
                <w:sz w:val="20"/>
              </w:rPr>
            </w:pPr>
            <w:r>
              <w:rPr>
                <w:sz w:val="20"/>
              </w:rPr>
              <w:t>29</w:t>
            </w:r>
          </w:p>
        </w:tc>
        <w:tc>
          <w:tcPr>
            <w:tcW w:w="1020" w:type="dxa"/>
            <w:tcBorders>
              <w:top w:val="nil"/>
              <w:left w:val="nil"/>
              <w:right w:val="nil"/>
            </w:tcBorders>
          </w:tcPr>
          <w:p>
            <w:pPr>
              <w:pStyle w:val="TableParagraph"/>
              <w:spacing w:before="26"/>
              <w:ind w:left="71"/>
              <w:jc w:val="left"/>
              <w:rPr>
                <w:sz w:val="20"/>
              </w:rPr>
            </w:pPr>
            <w:r>
              <w:rPr>
                <w:sz w:val="20"/>
              </w:rPr>
              <w:t>15251</w:t>
            </w:r>
          </w:p>
        </w:tc>
        <w:tc>
          <w:tcPr>
            <w:tcW w:w="945" w:type="dxa"/>
            <w:tcBorders>
              <w:top w:val="nil"/>
              <w:left w:val="nil"/>
              <w:right w:val="nil"/>
            </w:tcBorders>
          </w:tcPr>
          <w:p>
            <w:pPr>
              <w:pStyle w:val="TableParagraph"/>
              <w:spacing w:before="26"/>
              <w:ind w:right="82"/>
              <w:rPr>
                <w:sz w:val="20"/>
              </w:rPr>
            </w:pPr>
            <w:r>
              <w:rPr>
                <w:sz w:val="20"/>
              </w:rPr>
              <w:t>0.04</w:t>
            </w:r>
          </w:p>
        </w:tc>
        <w:tc>
          <w:tcPr>
            <w:tcW w:w="939" w:type="dxa"/>
            <w:tcBorders>
              <w:top w:val="nil"/>
              <w:left w:val="nil"/>
              <w:right w:val="nil"/>
            </w:tcBorders>
          </w:tcPr>
          <w:p>
            <w:pPr>
              <w:pStyle w:val="TableParagraph"/>
              <w:spacing w:before="26"/>
              <w:ind w:right="79"/>
              <w:rPr>
                <w:sz w:val="20"/>
              </w:rPr>
            </w:pPr>
            <w:r>
              <w:rPr>
                <w:sz w:val="20"/>
              </w:rPr>
              <w:t>0.1</w:t>
            </w:r>
          </w:p>
        </w:tc>
        <w:tc>
          <w:tcPr>
            <w:tcW w:w="934" w:type="dxa"/>
            <w:tcBorders>
              <w:top w:val="nil"/>
              <w:left w:val="nil"/>
              <w:right w:val="nil"/>
            </w:tcBorders>
          </w:tcPr>
          <w:p>
            <w:pPr>
              <w:pStyle w:val="TableParagraph"/>
              <w:spacing w:before="26"/>
              <w:ind w:right="77"/>
              <w:rPr>
                <w:sz w:val="20"/>
              </w:rPr>
            </w:pPr>
            <w:r>
              <w:rPr>
                <w:sz w:val="20"/>
              </w:rPr>
              <w:t>0.1</w:t>
            </w:r>
          </w:p>
        </w:tc>
        <w:tc>
          <w:tcPr>
            <w:tcW w:w="926" w:type="dxa"/>
            <w:tcBorders>
              <w:top w:val="nil"/>
              <w:left w:val="nil"/>
              <w:right w:val="nil"/>
            </w:tcBorders>
          </w:tcPr>
          <w:p>
            <w:pPr>
              <w:pStyle w:val="TableParagraph"/>
              <w:spacing w:before="26"/>
              <w:ind w:right="82"/>
              <w:rPr>
                <w:sz w:val="20"/>
              </w:rPr>
            </w:pPr>
            <w:r>
              <w:rPr>
                <w:sz w:val="20"/>
              </w:rPr>
              <w:t>0.1</w:t>
            </w:r>
          </w:p>
        </w:tc>
        <w:tc>
          <w:tcPr>
            <w:tcW w:w="941" w:type="dxa"/>
            <w:tcBorders>
              <w:top w:val="nil"/>
              <w:left w:val="nil"/>
              <w:right w:val="nil"/>
            </w:tcBorders>
          </w:tcPr>
          <w:p>
            <w:pPr>
              <w:pStyle w:val="TableParagraph"/>
              <w:spacing w:before="26"/>
              <w:ind w:right="82"/>
              <w:rPr>
                <w:sz w:val="20"/>
              </w:rPr>
            </w:pPr>
            <w:r>
              <w:rPr>
                <w:sz w:val="20"/>
              </w:rPr>
              <w:t>0.2</w:t>
            </w:r>
          </w:p>
        </w:tc>
        <w:tc>
          <w:tcPr>
            <w:tcW w:w="941" w:type="dxa"/>
            <w:tcBorders>
              <w:top w:val="nil"/>
              <w:left w:val="nil"/>
              <w:right w:val="nil"/>
            </w:tcBorders>
          </w:tcPr>
          <w:p>
            <w:pPr>
              <w:pStyle w:val="TableParagraph"/>
              <w:spacing w:before="26"/>
              <w:ind w:right="82"/>
              <w:rPr>
                <w:sz w:val="20"/>
              </w:rPr>
            </w:pPr>
            <w:r>
              <w:rPr>
                <w:sz w:val="20"/>
              </w:rPr>
              <w:t>0.3</w:t>
            </w:r>
          </w:p>
        </w:tc>
        <w:tc>
          <w:tcPr>
            <w:tcW w:w="939" w:type="dxa"/>
            <w:tcBorders>
              <w:top w:val="nil"/>
              <w:left w:val="nil"/>
              <w:right w:val="nil"/>
            </w:tcBorders>
          </w:tcPr>
          <w:p>
            <w:pPr>
              <w:pStyle w:val="TableParagraph"/>
              <w:spacing w:before="26"/>
              <w:ind w:right="79"/>
              <w:rPr>
                <w:sz w:val="20"/>
              </w:rPr>
            </w:pPr>
            <w:r>
              <w:rPr>
                <w:sz w:val="20"/>
              </w:rPr>
              <w:t>0.4</w:t>
            </w:r>
          </w:p>
        </w:tc>
        <w:tc>
          <w:tcPr>
            <w:tcW w:w="939" w:type="dxa"/>
            <w:tcBorders>
              <w:top w:val="nil"/>
              <w:left w:val="nil"/>
              <w:right w:val="nil"/>
            </w:tcBorders>
          </w:tcPr>
          <w:p>
            <w:pPr>
              <w:pStyle w:val="TableParagraph"/>
              <w:spacing w:before="26"/>
              <w:ind w:right="82"/>
              <w:rPr>
                <w:sz w:val="20"/>
              </w:rPr>
            </w:pPr>
            <w:r>
              <w:rPr>
                <w:sz w:val="20"/>
              </w:rPr>
              <w:t>0.4</w:t>
            </w:r>
          </w:p>
        </w:tc>
        <w:tc>
          <w:tcPr>
            <w:tcW w:w="924" w:type="dxa"/>
            <w:tcBorders>
              <w:top w:val="nil"/>
              <w:left w:val="nil"/>
              <w:right w:val="nil"/>
            </w:tcBorders>
          </w:tcPr>
          <w:p>
            <w:pPr>
              <w:pStyle w:val="TableParagraph"/>
              <w:spacing w:before="26"/>
              <w:ind w:right="65"/>
              <w:rPr>
                <w:sz w:val="20"/>
              </w:rPr>
            </w:pPr>
            <w:r>
              <w:rPr>
                <w:sz w:val="20"/>
              </w:rPr>
              <w:t>0.3</w:t>
            </w:r>
          </w:p>
        </w:tc>
        <w:tc>
          <w:tcPr>
            <w:tcW w:w="975" w:type="dxa"/>
            <w:tcBorders>
              <w:top w:val="nil"/>
              <w:left w:val="nil"/>
              <w:right w:val="nil"/>
            </w:tcBorders>
          </w:tcPr>
          <w:p>
            <w:pPr>
              <w:pStyle w:val="TableParagraph"/>
              <w:spacing w:before="26"/>
              <w:ind w:right="65"/>
              <w:rPr>
                <w:sz w:val="20"/>
              </w:rPr>
            </w:pPr>
            <w:r>
              <w:rPr>
                <w:sz w:val="20"/>
              </w:rPr>
              <w:t>0.1</w:t>
            </w:r>
          </w:p>
        </w:tc>
        <w:tc>
          <w:tcPr>
            <w:tcW w:w="974" w:type="dxa"/>
            <w:tcBorders>
              <w:top w:val="nil"/>
              <w:left w:val="nil"/>
              <w:right w:val="nil"/>
            </w:tcBorders>
          </w:tcPr>
          <w:p>
            <w:pPr>
              <w:pStyle w:val="TableParagraph"/>
              <w:spacing w:before="26"/>
              <w:ind w:right="65"/>
              <w:rPr>
                <w:sz w:val="20"/>
              </w:rPr>
            </w:pPr>
            <w:r>
              <w:rPr>
                <w:sz w:val="20"/>
              </w:rPr>
              <w:t>0.1</w:t>
            </w:r>
          </w:p>
        </w:tc>
        <w:tc>
          <w:tcPr>
            <w:tcW w:w="970" w:type="dxa"/>
            <w:tcBorders>
              <w:top w:val="nil"/>
              <w:left w:val="nil"/>
              <w:right w:val="nil"/>
            </w:tcBorders>
          </w:tcPr>
          <w:p>
            <w:pPr>
              <w:pStyle w:val="TableParagraph"/>
              <w:spacing w:before="26"/>
              <w:ind w:right="60"/>
              <w:rPr>
                <w:sz w:val="20"/>
              </w:rPr>
            </w:pPr>
            <w:r>
              <w:rPr>
                <w:sz w:val="20"/>
              </w:rPr>
              <w:t>0.1</w:t>
            </w:r>
          </w:p>
        </w:tc>
      </w:tr>
    </w:tbl>
    <w:p>
      <w:pPr>
        <w:pStyle w:val="BodyText"/>
        <w:rPr>
          <w:sz w:val="20"/>
        </w:rPr>
      </w:pPr>
    </w:p>
    <w:p>
      <w:pPr>
        <w:pStyle w:val="BodyText"/>
        <w:spacing w:before="2"/>
        <w:rPr>
          <w:sz w:val="16"/>
        </w:rPr>
      </w:pPr>
    </w:p>
    <w:p>
      <w:pPr>
        <w:pStyle w:val="Heading1"/>
        <w:spacing w:before="66"/>
        <w:ind w:left="1456"/>
      </w:pPr>
      <w:bookmarkStart w:name="_bookmark150" w:id="209"/>
      <w:bookmarkEnd w:id="209"/>
      <w:r>
        <w:rPr>
          <w:b w:val="0"/>
        </w:rPr>
      </w:r>
      <w:r>
        <w:rPr/>
        <w:t>Tabla 13.Probabilidad mensual de un día de lluvia después e otro día de lluvia por subcuenca</w:t>
      </w:r>
    </w:p>
    <w:p>
      <w:pPr>
        <w:pStyle w:val="BodyText"/>
        <w:spacing w:before="1"/>
        <w:rPr>
          <w:b/>
          <w:sz w:val="18"/>
        </w:rPr>
      </w:pP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96"/>
        <w:gridCol w:w="1042"/>
        <w:gridCol w:w="982"/>
        <w:gridCol w:w="939"/>
        <w:gridCol w:w="925"/>
        <w:gridCol w:w="895"/>
        <w:gridCol w:w="936"/>
        <w:gridCol w:w="915"/>
        <w:gridCol w:w="895"/>
        <w:gridCol w:w="886"/>
        <w:gridCol w:w="876"/>
        <w:gridCol w:w="907"/>
        <w:gridCol w:w="910"/>
        <w:gridCol w:w="845"/>
      </w:tblGrid>
      <w:tr>
        <w:trPr>
          <w:trHeight w:val="610" w:hRule="exact"/>
        </w:trPr>
        <w:tc>
          <w:tcPr>
            <w:tcW w:w="996" w:type="dxa"/>
            <w:tcBorders>
              <w:left w:val="nil"/>
              <w:right w:val="nil"/>
            </w:tcBorders>
          </w:tcPr>
          <w:p>
            <w:pPr>
              <w:pStyle w:val="TableParagraph"/>
              <w:spacing w:before="110"/>
              <w:ind w:left="115"/>
              <w:jc w:val="left"/>
              <w:rPr>
                <w:sz w:val="16"/>
              </w:rPr>
            </w:pPr>
            <w:r>
              <w:rPr>
                <w:sz w:val="16"/>
              </w:rPr>
              <w:t>SUBBASIN</w:t>
            </w:r>
          </w:p>
        </w:tc>
        <w:tc>
          <w:tcPr>
            <w:tcW w:w="1042" w:type="dxa"/>
            <w:tcBorders>
              <w:left w:val="nil"/>
              <w:right w:val="nil"/>
            </w:tcBorders>
          </w:tcPr>
          <w:p>
            <w:pPr>
              <w:pStyle w:val="TableParagraph"/>
              <w:spacing w:before="110"/>
              <w:ind w:left="190"/>
              <w:jc w:val="left"/>
              <w:rPr>
                <w:sz w:val="16"/>
              </w:rPr>
            </w:pPr>
            <w:r>
              <w:rPr>
                <w:sz w:val="16"/>
              </w:rPr>
              <w:t>STATION</w:t>
            </w:r>
          </w:p>
        </w:tc>
        <w:tc>
          <w:tcPr>
            <w:tcW w:w="982" w:type="dxa"/>
            <w:tcBorders>
              <w:left w:val="nil"/>
              <w:right w:val="nil"/>
            </w:tcBorders>
          </w:tcPr>
          <w:p>
            <w:pPr>
              <w:pStyle w:val="TableParagraph"/>
              <w:spacing w:before="110"/>
              <w:ind w:left="171"/>
              <w:jc w:val="left"/>
              <w:rPr>
                <w:sz w:val="16"/>
              </w:rPr>
            </w:pPr>
            <w:r>
              <w:rPr>
                <w:sz w:val="16"/>
              </w:rPr>
              <w:t>PR_W21</w:t>
            </w:r>
          </w:p>
        </w:tc>
        <w:tc>
          <w:tcPr>
            <w:tcW w:w="939" w:type="dxa"/>
            <w:tcBorders>
              <w:left w:val="nil"/>
              <w:right w:val="nil"/>
            </w:tcBorders>
          </w:tcPr>
          <w:p>
            <w:pPr>
              <w:pStyle w:val="TableParagraph"/>
              <w:spacing w:before="110"/>
              <w:ind w:left="120"/>
              <w:jc w:val="left"/>
              <w:rPr>
                <w:sz w:val="16"/>
              </w:rPr>
            </w:pPr>
            <w:r>
              <w:rPr>
                <w:sz w:val="16"/>
              </w:rPr>
              <w:t>PR_W22</w:t>
            </w:r>
          </w:p>
        </w:tc>
        <w:tc>
          <w:tcPr>
            <w:tcW w:w="925" w:type="dxa"/>
            <w:tcBorders>
              <w:left w:val="nil"/>
              <w:right w:val="nil"/>
            </w:tcBorders>
          </w:tcPr>
          <w:p>
            <w:pPr>
              <w:pStyle w:val="TableParagraph"/>
              <w:spacing w:before="110"/>
              <w:ind w:left="117"/>
              <w:jc w:val="left"/>
              <w:rPr>
                <w:sz w:val="16"/>
              </w:rPr>
            </w:pPr>
            <w:r>
              <w:rPr>
                <w:sz w:val="16"/>
              </w:rPr>
              <w:t>PR_W23</w:t>
            </w:r>
          </w:p>
        </w:tc>
        <w:tc>
          <w:tcPr>
            <w:tcW w:w="895" w:type="dxa"/>
            <w:tcBorders>
              <w:left w:val="nil"/>
              <w:right w:val="nil"/>
            </w:tcBorders>
          </w:tcPr>
          <w:p>
            <w:pPr>
              <w:pStyle w:val="TableParagraph"/>
              <w:spacing w:before="110"/>
              <w:ind w:left="105"/>
              <w:jc w:val="left"/>
              <w:rPr>
                <w:sz w:val="16"/>
              </w:rPr>
            </w:pPr>
            <w:r>
              <w:rPr>
                <w:sz w:val="16"/>
              </w:rPr>
              <w:t>PR_W24</w:t>
            </w:r>
          </w:p>
        </w:tc>
        <w:tc>
          <w:tcPr>
            <w:tcW w:w="936" w:type="dxa"/>
            <w:tcBorders>
              <w:left w:val="nil"/>
              <w:right w:val="nil"/>
            </w:tcBorders>
          </w:tcPr>
          <w:p>
            <w:pPr>
              <w:pStyle w:val="TableParagraph"/>
              <w:spacing w:before="110"/>
              <w:ind w:left="122"/>
              <w:jc w:val="left"/>
              <w:rPr>
                <w:sz w:val="16"/>
              </w:rPr>
            </w:pPr>
            <w:r>
              <w:rPr>
                <w:sz w:val="16"/>
              </w:rPr>
              <w:t>PR_W25</w:t>
            </w:r>
          </w:p>
        </w:tc>
        <w:tc>
          <w:tcPr>
            <w:tcW w:w="915" w:type="dxa"/>
            <w:tcBorders>
              <w:left w:val="nil"/>
              <w:right w:val="nil"/>
            </w:tcBorders>
          </w:tcPr>
          <w:p>
            <w:pPr>
              <w:pStyle w:val="TableParagraph"/>
              <w:spacing w:before="110"/>
              <w:ind w:left="112"/>
              <w:jc w:val="left"/>
              <w:rPr>
                <w:sz w:val="16"/>
              </w:rPr>
            </w:pPr>
            <w:r>
              <w:rPr>
                <w:sz w:val="16"/>
              </w:rPr>
              <w:t>PR_W26</w:t>
            </w:r>
          </w:p>
        </w:tc>
        <w:tc>
          <w:tcPr>
            <w:tcW w:w="895" w:type="dxa"/>
            <w:tcBorders>
              <w:left w:val="nil"/>
              <w:right w:val="nil"/>
            </w:tcBorders>
          </w:tcPr>
          <w:p>
            <w:pPr>
              <w:pStyle w:val="TableParagraph"/>
              <w:spacing w:before="110"/>
              <w:ind w:left="110"/>
              <w:jc w:val="left"/>
              <w:rPr>
                <w:sz w:val="16"/>
              </w:rPr>
            </w:pPr>
            <w:r>
              <w:rPr>
                <w:sz w:val="16"/>
              </w:rPr>
              <w:t>PR_W27</w:t>
            </w:r>
          </w:p>
        </w:tc>
        <w:tc>
          <w:tcPr>
            <w:tcW w:w="886" w:type="dxa"/>
            <w:tcBorders>
              <w:left w:val="nil"/>
              <w:right w:val="nil"/>
            </w:tcBorders>
          </w:tcPr>
          <w:p>
            <w:pPr>
              <w:pStyle w:val="TableParagraph"/>
              <w:spacing w:before="110"/>
              <w:ind w:left="108"/>
              <w:jc w:val="left"/>
              <w:rPr>
                <w:sz w:val="16"/>
              </w:rPr>
            </w:pPr>
            <w:r>
              <w:rPr>
                <w:sz w:val="16"/>
              </w:rPr>
              <w:t>PR_W28</w:t>
            </w:r>
          </w:p>
        </w:tc>
        <w:tc>
          <w:tcPr>
            <w:tcW w:w="876" w:type="dxa"/>
            <w:tcBorders>
              <w:left w:val="nil"/>
              <w:right w:val="nil"/>
            </w:tcBorders>
          </w:tcPr>
          <w:p>
            <w:pPr>
              <w:pStyle w:val="TableParagraph"/>
              <w:spacing w:before="110"/>
              <w:ind w:left="110"/>
              <w:jc w:val="left"/>
              <w:rPr>
                <w:sz w:val="16"/>
              </w:rPr>
            </w:pPr>
            <w:r>
              <w:rPr>
                <w:sz w:val="16"/>
              </w:rPr>
              <w:t>PR_W29</w:t>
            </w:r>
          </w:p>
        </w:tc>
        <w:tc>
          <w:tcPr>
            <w:tcW w:w="907" w:type="dxa"/>
            <w:tcBorders>
              <w:left w:val="nil"/>
              <w:right w:val="nil"/>
            </w:tcBorders>
          </w:tcPr>
          <w:p>
            <w:pPr>
              <w:pStyle w:val="TableParagraph"/>
              <w:spacing w:before="110"/>
              <w:ind w:right="152"/>
              <w:rPr>
                <w:sz w:val="16"/>
              </w:rPr>
            </w:pPr>
            <w:r>
              <w:rPr>
                <w:w w:val="95"/>
                <w:sz w:val="16"/>
              </w:rPr>
              <w:t>PR_W210</w:t>
            </w:r>
          </w:p>
        </w:tc>
        <w:tc>
          <w:tcPr>
            <w:tcW w:w="910" w:type="dxa"/>
            <w:tcBorders>
              <w:left w:val="nil"/>
              <w:right w:val="nil"/>
            </w:tcBorders>
          </w:tcPr>
          <w:p>
            <w:pPr>
              <w:pStyle w:val="TableParagraph"/>
              <w:spacing w:before="110"/>
              <w:ind w:right="144"/>
              <w:rPr>
                <w:sz w:val="16"/>
              </w:rPr>
            </w:pPr>
            <w:r>
              <w:rPr>
                <w:w w:val="95"/>
                <w:sz w:val="16"/>
              </w:rPr>
              <w:t>PR_W211</w:t>
            </w:r>
          </w:p>
        </w:tc>
        <w:tc>
          <w:tcPr>
            <w:tcW w:w="845" w:type="dxa"/>
            <w:tcBorders>
              <w:left w:val="nil"/>
              <w:right w:val="nil"/>
            </w:tcBorders>
          </w:tcPr>
          <w:p>
            <w:pPr>
              <w:pStyle w:val="TableParagraph"/>
              <w:spacing w:before="110"/>
              <w:ind w:right="97"/>
              <w:rPr>
                <w:sz w:val="16"/>
              </w:rPr>
            </w:pPr>
            <w:r>
              <w:rPr>
                <w:w w:val="95"/>
                <w:sz w:val="16"/>
              </w:rPr>
              <w:t>PR_W212</w:t>
            </w:r>
          </w:p>
        </w:tc>
      </w:tr>
      <w:tr>
        <w:trPr>
          <w:trHeight w:val="342" w:hRule="exact"/>
        </w:trPr>
        <w:tc>
          <w:tcPr>
            <w:tcW w:w="996" w:type="dxa"/>
            <w:tcBorders>
              <w:left w:val="nil"/>
              <w:bottom w:val="nil"/>
              <w:right w:val="nil"/>
            </w:tcBorders>
          </w:tcPr>
          <w:p>
            <w:pPr>
              <w:pStyle w:val="TableParagraph"/>
              <w:spacing w:before="63"/>
              <w:ind w:left="72"/>
              <w:jc w:val="left"/>
              <w:rPr>
                <w:sz w:val="20"/>
              </w:rPr>
            </w:pPr>
            <w:r>
              <w:rPr>
                <w:w w:val="100"/>
                <w:sz w:val="20"/>
              </w:rPr>
              <w:t>1</w:t>
            </w:r>
          </w:p>
        </w:tc>
        <w:tc>
          <w:tcPr>
            <w:tcW w:w="1042" w:type="dxa"/>
            <w:tcBorders>
              <w:left w:val="nil"/>
              <w:bottom w:val="nil"/>
              <w:right w:val="nil"/>
            </w:tcBorders>
          </w:tcPr>
          <w:p>
            <w:pPr>
              <w:pStyle w:val="TableParagraph"/>
              <w:spacing w:before="63"/>
              <w:ind w:left="94"/>
              <w:jc w:val="left"/>
              <w:rPr>
                <w:sz w:val="20"/>
              </w:rPr>
            </w:pPr>
            <w:r>
              <w:rPr>
                <w:sz w:val="20"/>
              </w:rPr>
              <w:t>15001</w:t>
            </w:r>
          </w:p>
        </w:tc>
        <w:tc>
          <w:tcPr>
            <w:tcW w:w="982" w:type="dxa"/>
            <w:tcBorders>
              <w:left w:val="nil"/>
              <w:bottom w:val="nil"/>
              <w:right w:val="nil"/>
            </w:tcBorders>
          </w:tcPr>
          <w:p>
            <w:pPr>
              <w:pStyle w:val="TableParagraph"/>
              <w:spacing w:before="63"/>
              <w:ind w:right="118"/>
              <w:rPr>
                <w:sz w:val="20"/>
              </w:rPr>
            </w:pPr>
            <w:r>
              <w:rPr>
                <w:sz w:val="20"/>
              </w:rPr>
              <w:t>0.53</w:t>
            </w:r>
          </w:p>
        </w:tc>
        <w:tc>
          <w:tcPr>
            <w:tcW w:w="939" w:type="dxa"/>
            <w:tcBorders>
              <w:left w:val="nil"/>
              <w:bottom w:val="nil"/>
              <w:right w:val="nil"/>
            </w:tcBorders>
          </w:tcPr>
          <w:p>
            <w:pPr>
              <w:pStyle w:val="TableParagraph"/>
              <w:spacing w:before="63"/>
              <w:ind w:right="115"/>
              <w:rPr>
                <w:sz w:val="20"/>
              </w:rPr>
            </w:pPr>
            <w:r>
              <w:rPr>
                <w:sz w:val="20"/>
              </w:rPr>
              <w:t>0.34</w:t>
            </w:r>
          </w:p>
        </w:tc>
        <w:tc>
          <w:tcPr>
            <w:tcW w:w="925" w:type="dxa"/>
            <w:tcBorders>
              <w:left w:val="nil"/>
              <w:bottom w:val="nil"/>
              <w:right w:val="nil"/>
            </w:tcBorders>
          </w:tcPr>
          <w:p>
            <w:pPr>
              <w:pStyle w:val="TableParagraph"/>
              <w:spacing w:before="63"/>
              <w:ind w:right="103"/>
              <w:rPr>
                <w:sz w:val="20"/>
              </w:rPr>
            </w:pPr>
            <w:r>
              <w:rPr>
                <w:sz w:val="20"/>
              </w:rPr>
              <w:t>0.43</w:t>
            </w:r>
          </w:p>
        </w:tc>
        <w:tc>
          <w:tcPr>
            <w:tcW w:w="895" w:type="dxa"/>
            <w:tcBorders>
              <w:left w:val="nil"/>
              <w:bottom w:val="nil"/>
              <w:right w:val="nil"/>
            </w:tcBorders>
          </w:tcPr>
          <w:p>
            <w:pPr>
              <w:pStyle w:val="TableParagraph"/>
              <w:spacing w:before="63"/>
              <w:ind w:right="120"/>
              <w:rPr>
                <w:sz w:val="20"/>
              </w:rPr>
            </w:pPr>
            <w:r>
              <w:rPr>
                <w:sz w:val="20"/>
              </w:rPr>
              <w:t>0.44</w:t>
            </w:r>
          </w:p>
        </w:tc>
        <w:tc>
          <w:tcPr>
            <w:tcW w:w="936" w:type="dxa"/>
            <w:tcBorders>
              <w:left w:val="nil"/>
              <w:bottom w:val="nil"/>
              <w:right w:val="nil"/>
            </w:tcBorders>
          </w:tcPr>
          <w:p>
            <w:pPr>
              <w:pStyle w:val="TableParagraph"/>
              <w:spacing w:before="63"/>
              <w:ind w:right="110"/>
              <w:rPr>
                <w:sz w:val="20"/>
              </w:rPr>
            </w:pPr>
            <w:r>
              <w:rPr>
                <w:sz w:val="20"/>
              </w:rPr>
              <w:t>0.52</w:t>
            </w:r>
          </w:p>
        </w:tc>
        <w:tc>
          <w:tcPr>
            <w:tcW w:w="915" w:type="dxa"/>
            <w:tcBorders>
              <w:left w:val="nil"/>
              <w:bottom w:val="nil"/>
              <w:right w:val="nil"/>
            </w:tcBorders>
          </w:tcPr>
          <w:p>
            <w:pPr>
              <w:pStyle w:val="TableParagraph"/>
              <w:spacing w:before="63"/>
              <w:ind w:right="108"/>
              <w:rPr>
                <w:sz w:val="20"/>
              </w:rPr>
            </w:pPr>
            <w:r>
              <w:rPr>
                <w:sz w:val="20"/>
              </w:rPr>
              <w:t>0.68</w:t>
            </w:r>
          </w:p>
        </w:tc>
        <w:tc>
          <w:tcPr>
            <w:tcW w:w="895" w:type="dxa"/>
            <w:tcBorders>
              <w:left w:val="nil"/>
              <w:bottom w:val="nil"/>
              <w:right w:val="nil"/>
            </w:tcBorders>
          </w:tcPr>
          <w:p>
            <w:pPr>
              <w:pStyle w:val="TableParagraph"/>
              <w:spacing w:before="63"/>
              <w:ind w:right="106"/>
              <w:rPr>
                <w:sz w:val="20"/>
              </w:rPr>
            </w:pPr>
            <w:r>
              <w:rPr>
                <w:sz w:val="20"/>
              </w:rPr>
              <w:t>0.64</w:t>
            </w:r>
          </w:p>
        </w:tc>
        <w:tc>
          <w:tcPr>
            <w:tcW w:w="886" w:type="dxa"/>
            <w:tcBorders>
              <w:left w:val="nil"/>
              <w:bottom w:val="nil"/>
              <w:right w:val="nil"/>
            </w:tcBorders>
          </w:tcPr>
          <w:p>
            <w:pPr>
              <w:pStyle w:val="TableParagraph"/>
              <w:spacing w:before="63"/>
              <w:ind w:right="108"/>
              <w:rPr>
                <w:sz w:val="20"/>
              </w:rPr>
            </w:pPr>
            <w:r>
              <w:rPr>
                <w:sz w:val="20"/>
              </w:rPr>
              <w:t>0.62</w:t>
            </w:r>
          </w:p>
        </w:tc>
        <w:tc>
          <w:tcPr>
            <w:tcW w:w="876" w:type="dxa"/>
            <w:tcBorders>
              <w:left w:val="nil"/>
              <w:bottom w:val="nil"/>
              <w:right w:val="nil"/>
            </w:tcBorders>
          </w:tcPr>
          <w:p>
            <w:pPr>
              <w:pStyle w:val="TableParagraph"/>
              <w:spacing w:before="63"/>
              <w:ind w:right="86"/>
              <w:rPr>
                <w:sz w:val="20"/>
              </w:rPr>
            </w:pPr>
            <w:r>
              <w:rPr>
                <w:sz w:val="20"/>
              </w:rPr>
              <w:t>0.63</w:t>
            </w:r>
          </w:p>
        </w:tc>
        <w:tc>
          <w:tcPr>
            <w:tcW w:w="907" w:type="dxa"/>
            <w:tcBorders>
              <w:left w:val="nil"/>
              <w:bottom w:val="nil"/>
              <w:right w:val="nil"/>
            </w:tcBorders>
          </w:tcPr>
          <w:p>
            <w:pPr>
              <w:pStyle w:val="TableParagraph"/>
              <w:spacing w:before="63"/>
              <w:ind w:right="96"/>
              <w:rPr>
                <w:sz w:val="20"/>
              </w:rPr>
            </w:pPr>
            <w:r>
              <w:rPr>
                <w:sz w:val="20"/>
              </w:rPr>
              <w:t>0.55</w:t>
            </w:r>
          </w:p>
        </w:tc>
        <w:tc>
          <w:tcPr>
            <w:tcW w:w="910" w:type="dxa"/>
            <w:tcBorders>
              <w:left w:val="nil"/>
              <w:bottom w:val="nil"/>
              <w:right w:val="nil"/>
            </w:tcBorders>
          </w:tcPr>
          <w:p>
            <w:pPr>
              <w:pStyle w:val="TableParagraph"/>
              <w:spacing w:before="63"/>
              <w:ind w:right="79"/>
              <w:rPr>
                <w:sz w:val="20"/>
              </w:rPr>
            </w:pPr>
            <w:r>
              <w:rPr>
                <w:sz w:val="20"/>
              </w:rPr>
              <w:t>0.32</w:t>
            </w:r>
          </w:p>
        </w:tc>
        <w:tc>
          <w:tcPr>
            <w:tcW w:w="845" w:type="dxa"/>
            <w:tcBorders>
              <w:left w:val="nil"/>
              <w:bottom w:val="nil"/>
              <w:right w:val="nil"/>
            </w:tcBorders>
          </w:tcPr>
          <w:p>
            <w:pPr>
              <w:pStyle w:val="TableParagraph"/>
              <w:spacing w:before="63"/>
              <w:ind w:right="61"/>
              <w:rPr>
                <w:sz w:val="20"/>
              </w:rPr>
            </w:pPr>
            <w:r>
              <w:rPr>
                <w:sz w:val="20"/>
              </w:rPr>
              <w:t>0.45</w:t>
            </w:r>
          </w:p>
        </w:tc>
      </w:tr>
      <w:tr>
        <w:trPr>
          <w:trHeight w:val="300" w:hRule="exact"/>
        </w:trPr>
        <w:tc>
          <w:tcPr>
            <w:tcW w:w="996" w:type="dxa"/>
            <w:tcBorders>
              <w:top w:val="nil"/>
              <w:left w:val="nil"/>
              <w:bottom w:val="nil"/>
              <w:right w:val="nil"/>
            </w:tcBorders>
          </w:tcPr>
          <w:p>
            <w:pPr>
              <w:pStyle w:val="TableParagraph"/>
              <w:ind w:left="72"/>
              <w:jc w:val="left"/>
              <w:rPr>
                <w:sz w:val="20"/>
              </w:rPr>
            </w:pPr>
            <w:r>
              <w:rPr>
                <w:w w:val="100"/>
                <w:sz w:val="20"/>
              </w:rPr>
              <w:t>2</w:t>
            </w:r>
          </w:p>
        </w:tc>
        <w:tc>
          <w:tcPr>
            <w:tcW w:w="1042" w:type="dxa"/>
            <w:tcBorders>
              <w:top w:val="nil"/>
              <w:left w:val="nil"/>
              <w:bottom w:val="nil"/>
              <w:right w:val="nil"/>
            </w:tcBorders>
          </w:tcPr>
          <w:p>
            <w:pPr>
              <w:pStyle w:val="TableParagraph"/>
              <w:ind w:left="94"/>
              <w:jc w:val="left"/>
              <w:rPr>
                <w:sz w:val="20"/>
              </w:rPr>
            </w:pPr>
            <w:r>
              <w:rPr>
                <w:sz w:val="20"/>
              </w:rPr>
              <w:t>15001</w:t>
            </w:r>
          </w:p>
        </w:tc>
        <w:tc>
          <w:tcPr>
            <w:tcW w:w="982" w:type="dxa"/>
            <w:tcBorders>
              <w:top w:val="nil"/>
              <w:left w:val="nil"/>
              <w:bottom w:val="nil"/>
              <w:right w:val="nil"/>
            </w:tcBorders>
          </w:tcPr>
          <w:p>
            <w:pPr>
              <w:pStyle w:val="TableParagraph"/>
              <w:ind w:right="118"/>
              <w:rPr>
                <w:sz w:val="20"/>
              </w:rPr>
            </w:pPr>
            <w:r>
              <w:rPr>
                <w:sz w:val="20"/>
              </w:rPr>
              <w:t>0.53</w:t>
            </w:r>
          </w:p>
        </w:tc>
        <w:tc>
          <w:tcPr>
            <w:tcW w:w="939" w:type="dxa"/>
            <w:tcBorders>
              <w:top w:val="nil"/>
              <w:left w:val="nil"/>
              <w:bottom w:val="nil"/>
              <w:right w:val="nil"/>
            </w:tcBorders>
          </w:tcPr>
          <w:p>
            <w:pPr>
              <w:pStyle w:val="TableParagraph"/>
              <w:ind w:right="115"/>
              <w:rPr>
                <w:sz w:val="20"/>
              </w:rPr>
            </w:pPr>
            <w:r>
              <w:rPr>
                <w:sz w:val="20"/>
              </w:rPr>
              <w:t>0.34</w:t>
            </w:r>
          </w:p>
        </w:tc>
        <w:tc>
          <w:tcPr>
            <w:tcW w:w="925" w:type="dxa"/>
            <w:tcBorders>
              <w:top w:val="nil"/>
              <w:left w:val="nil"/>
              <w:bottom w:val="nil"/>
              <w:right w:val="nil"/>
            </w:tcBorders>
          </w:tcPr>
          <w:p>
            <w:pPr>
              <w:pStyle w:val="TableParagraph"/>
              <w:ind w:right="103"/>
              <w:rPr>
                <w:sz w:val="20"/>
              </w:rPr>
            </w:pPr>
            <w:r>
              <w:rPr>
                <w:sz w:val="20"/>
              </w:rPr>
              <w:t>0.43</w:t>
            </w:r>
          </w:p>
        </w:tc>
        <w:tc>
          <w:tcPr>
            <w:tcW w:w="895" w:type="dxa"/>
            <w:tcBorders>
              <w:top w:val="nil"/>
              <w:left w:val="nil"/>
              <w:bottom w:val="nil"/>
              <w:right w:val="nil"/>
            </w:tcBorders>
          </w:tcPr>
          <w:p>
            <w:pPr>
              <w:pStyle w:val="TableParagraph"/>
              <w:ind w:right="120"/>
              <w:rPr>
                <w:sz w:val="20"/>
              </w:rPr>
            </w:pPr>
            <w:r>
              <w:rPr>
                <w:sz w:val="20"/>
              </w:rPr>
              <w:t>0.44</w:t>
            </w:r>
          </w:p>
        </w:tc>
        <w:tc>
          <w:tcPr>
            <w:tcW w:w="936" w:type="dxa"/>
            <w:tcBorders>
              <w:top w:val="nil"/>
              <w:left w:val="nil"/>
              <w:bottom w:val="nil"/>
              <w:right w:val="nil"/>
            </w:tcBorders>
          </w:tcPr>
          <w:p>
            <w:pPr>
              <w:pStyle w:val="TableParagraph"/>
              <w:ind w:right="110"/>
              <w:rPr>
                <w:sz w:val="20"/>
              </w:rPr>
            </w:pPr>
            <w:r>
              <w:rPr>
                <w:sz w:val="20"/>
              </w:rPr>
              <w:t>0.52</w:t>
            </w:r>
          </w:p>
        </w:tc>
        <w:tc>
          <w:tcPr>
            <w:tcW w:w="915" w:type="dxa"/>
            <w:tcBorders>
              <w:top w:val="nil"/>
              <w:left w:val="nil"/>
              <w:bottom w:val="nil"/>
              <w:right w:val="nil"/>
            </w:tcBorders>
          </w:tcPr>
          <w:p>
            <w:pPr>
              <w:pStyle w:val="TableParagraph"/>
              <w:ind w:right="108"/>
              <w:rPr>
                <w:sz w:val="20"/>
              </w:rPr>
            </w:pPr>
            <w:r>
              <w:rPr>
                <w:sz w:val="20"/>
              </w:rPr>
              <w:t>0.68</w:t>
            </w:r>
          </w:p>
        </w:tc>
        <w:tc>
          <w:tcPr>
            <w:tcW w:w="895" w:type="dxa"/>
            <w:tcBorders>
              <w:top w:val="nil"/>
              <w:left w:val="nil"/>
              <w:bottom w:val="nil"/>
              <w:right w:val="nil"/>
            </w:tcBorders>
          </w:tcPr>
          <w:p>
            <w:pPr>
              <w:pStyle w:val="TableParagraph"/>
              <w:ind w:right="106"/>
              <w:rPr>
                <w:sz w:val="20"/>
              </w:rPr>
            </w:pPr>
            <w:r>
              <w:rPr>
                <w:sz w:val="20"/>
              </w:rPr>
              <w:t>0.64</w:t>
            </w:r>
          </w:p>
        </w:tc>
        <w:tc>
          <w:tcPr>
            <w:tcW w:w="886" w:type="dxa"/>
            <w:tcBorders>
              <w:top w:val="nil"/>
              <w:left w:val="nil"/>
              <w:bottom w:val="nil"/>
              <w:right w:val="nil"/>
            </w:tcBorders>
          </w:tcPr>
          <w:p>
            <w:pPr>
              <w:pStyle w:val="TableParagraph"/>
              <w:ind w:right="108"/>
              <w:rPr>
                <w:sz w:val="20"/>
              </w:rPr>
            </w:pPr>
            <w:r>
              <w:rPr>
                <w:sz w:val="20"/>
              </w:rPr>
              <w:t>0.62</w:t>
            </w:r>
          </w:p>
        </w:tc>
        <w:tc>
          <w:tcPr>
            <w:tcW w:w="876" w:type="dxa"/>
            <w:tcBorders>
              <w:top w:val="nil"/>
              <w:left w:val="nil"/>
              <w:bottom w:val="nil"/>
              <w:right w:val="nil"/>
            </w:tcBorders>
          </w:tcPr>
          <w:p>
            <w:pPr>
              <w:pStyle w:val="TableParagraph"/>
              <w:ind w:right="86"/>
              <w:rPr>
                <w:sz w:val="20"/>
              </w:rPr>
            </w:pPr>
            <w:r>
              <w:rPr>
                <w:sz w:val="20"/>
              </w:rPr>
              <w:t>0.63</w:t>
            </w:r>
          </w:p>
        </w:tc>
        <w:tc>
          <w:tcPr>
            <w:tcW w:w="907" w:type="dxa"/>
            <w:tcBorders>
              <w:top w:val="nil"/>
              <w:left w:val="nil"/>
              <w:bottom w:val="nil"/>
              <w:right w:val="nil"/>
            </w:tcBorders>
          </w:tcPr>
          <w:p>
            <w:pPr>
              <w:pStyle w:val="TableParagraph"/>
              <w:ind w:right="96"/>
              <w:rPr>
                <w:sz w:val="20"/>
              </w:rPr>
            </w:pPr>
            <w:r>
              <w:rPr>
                <w:sz w:val="20"/>
              </w:rPr>
              <w:t>0.55</w:t>
            </w:r>
          </w:p>
        </w:tc>
        <w:tc>
          <w:tcPr>
            <w:tcW w:w="910" w:type="dxa"/>
            <w:tcBorders>
              <w:top w:val="nil"/>
              <w:left w:val="nil"/>
              <w:bottom w:val="nil"/>
              <w:right w:val="nil"/>
            </w:tcBorders>
          </w:tcPr>
          <w:p>
            <w:pPr>
              <w:pStyle w:val="TableParagraph"/>
              <w:ind w:right="79"/>
              <w:rPr>
                <w:sz w:val="20"/>
              </w:rPr>
            </w:pPr>
            <w:r>
              <w:rPr>
                <w:sz w:val="20"/>
              </w:rPr>
              <w:t>0.32</w:t>
            </w:r>
          </w:p>
        </w:tc>
        <w:tc>
          <w:tcPr>
            <w:tcW w:w="845" w:type="dxa"/>
            <w:tcBorders>
              <w:top w:val="nil"/>
              <w:left w:val="nil"/>
              <w:bottom w:val="nil"/>
              <w:right w:val="nil"/>
            </w:tcBorders>
          </w:tcPr>
          <w:p>
            <w:pPr>
              <w:pStyle w:val="TableParagraph"/>
              <w:ind w:right="61"/>
              <w:rPr>
                <w:sz w:val="20"/>
              </w:rPr>
            </w:pPr>
            <w:r>
              <w:rPr>
                <w:sz w:val="20"/>
              </w:rPr>
              <w:t>0.45</w:t>
            </w:r>
          </w:p>
        </w:tc>
      </w:tr>
      <w:tr>
        <w:trPr>
          <w:trHeight w:val="300" w:hRule="exact"/>
        </w:trPr>
        <w:tc>
          <w:tcPr>
            <w:tcW w:w="996" w:type="dxa"/>
            <w:tcBorders>
              <w:top w:val="nil"/>
              <w:left w:val="nil"/>
              <w:bottom w:val="nil"/>
              <w:right w:val="nil"/>
            </w:tcBorders>
          </w:tcPr>
          <w:p>
            <w:pPr>
              <w:pStyle w:val="TableParagraph"/>
              <w:spacing w:before="26"/>
              <w:ind w:left="72"/>
              <w:jc w:val="left"/>
              <w:rPr>
                <w:sz w:val="20"/>
              </w:rPr>
            </w:pPr>
            <w:r>
              <w:rPr>
                <w:w w:val="100"/>
                <w:sz w:val="20"/>
              </w:rPr>
              <w:t>3</w:t>
            </w:r>
          </w:p>
        </w:tc>
        <w:tc>
          <w:tcPr>
            <w:tcW w:w="1042" w:type="dxa"/>
            <w:tcBorders>
              <w:top w:val="nil"/>
              <w:left w:val="nil"/>
              <w:bottom w:val="nil"/>
              <w:right w:val="nil"/>
            </w:tcBorders>
          </w:tcPr>
          <w:p>
            <w:pPr>
              <w:pStyle w:val="TableParagraph"/>
              <w:spacing w:before="26"/>
              <w:ind w:left="94"/>
              <w:jc w:val="left"/>
              <w:rPr>
                <w:sz w:val="20"/>
              </w:rPr>
            </w:pPr>
            <w:r>
              <w:rPr>
                <w:sz w:val="20"/>
              </w:rPr>
              <w:t>15261</w:t>
            </w:r>
          </w:p>
        </w:tc>
        <w:tc>
          <w:tcPr>
            <w:tcW w:w="982" w:type="dxa"/>
            <w:tcBorders>
              <w:top w:val="nil"/>
              <w:left w:val="nil"/>
              <w:bottom w:val="nil"/>
              <w:right w:val="nil"/>
            </w:tcBorders>
          </w:tcPr>
          <w:p>
            <w:pPr>
              <w:pStyle w:val="TableParagraph"/>
              <w:spacing w:before="26"/>
              <w:ind w:right="118"/>
              <w:rPr>
                <w:sz w:val="20"/>
              </w:rPr>
            </w:pPr>
            <w:r>
              <w:rPr>
                <w:sz w:val="20"/>
              </w:rPr>
              <w:t>0.5</w:t>
            </w:r>
          </w:p>
        </w:tc>
        <w:tc>
          <w:tcPr>
            <w:tcW w:w="939" w:type="dxa"/>
            <w:tcBorders>
              <w:top w:val="nil"/>
              <w:left w:val="nil"/>
              <w:bottom w:val="nil"/>
              <w:right w:val="nil"/>
            </w:tcBorders>
          </w:tcPr>
          <w:p>
            <w:pPr>
              <w:pStyle w:val="TableParagraph"/>
              <w:spacing w:before="26"/>
              <w:ind w:right="115"/>
              <w:rPr>
                <w:sz w:val="20"/>
              </w:rPr>
            </w:pPr>
            <w:r>
              <w:rPr>
                <w:sz w:val="20"/>
              </w:rPr>
              <w:t>0.3</w:t>
            </w:r>
          </w:p>
        </w:tc>
        <w:tc>
          <w:tcPr>
            <w:tcW w:w="925" w:type="dxa"/>
            <w:tcBorders>
              <w:top w:val="nil"/>
              <w:left w:val="nil"/>
              <w:bottom w:val="nil"/>
              <w:right w:val="nil"/>
            </w:tcBorders>
          </w:tcPr>
          <w:p>
            <w:pPr>
              <w:pStyle w:val="TableParagraph"/>
              <w:spacing w:before="26"/>
              <w:ind w:right="103"/>
              <w:rPr>
                <w:sz w:val="20"/>
              </w:rPr>
            </w:pPr>
            <w:r>
              <w:rPr>
                <w:sz w:val="20"/>
              </w:rPr>
              <w:t>0.3</w:t>
            </w:r>
          </w:p>
        </w:tc>
        <w:tc>
          <w:tcPr>
            <w:tcW w:w="895" w:type="dxa"/>
            <w:tcBorders>
              <w:top w:val="nil"/>
              <w:left w:val="nil"/>
              <w:bottom w:val="nil"/>
              <w:right w:val="nil"/>
            </w:tcBorders>
          </w:tcPr>
          <w:p>
            <w:pPr>
              <w:pStyle w:val="TableParagraph"/>
              <w:spacing w:before="26"/>
              <w:ind w:right="120"/>
              <w:rPr>
                <w:sz w:val="20"/>
              </w:rPr>
            </w:pPr>
            <w:r>
              <w:rPr>
                <w:sz w:val="20"/>
              </w:rPr>
              <w:t>0.4</w:t>
            </w:r>
          </w:p>
        </w:tc>
        <w:tc>
          <w:tcPr>
            <w:tcW w:w="936" w:type="dxa"/>
            <w:tcBorders>
              <w:top w:val="nil"/>
              <w:left w:val="nil"/>
              <w:bottom w:val="nil"/>
              <w:right w:val="nil"/>
            </w:tcBorders>
          </w:tcPr>
          <w:p>
            <w:pPr>
              <w:pStyle w:val="TableParagraph"/>
              <w:spacing w:before="26"/>
              <w:ind w:right="110"/>
              <w:rPr>
                <w:sz w:val="20"/>
              </w:rPr>
            </w:pPr>
            <w:r>
              <w:rPr>
                <w:sz w:val="20"/>
              </w:rPr>
              <w:t>0.5</w:t>
            </w:r>
          </w:p>
        </w:tc>
        <w:tc>
          <w:tcPr>
            <w:tcW w:w="915" w:type="dxa"/>
            <w:tcBorders>
              <w:top w:val="nil"/>
              <w:left w:val="nil"/>
              <w:bottom w:val="nil"/>
              <w:right w:val="nil"/>
            </w:tcBorders>
          </w:tcPr>
          <w:p>
            <w:pPr>
              <w:pStyle w:val="TableParagraph"/>
              <w:spacing w:before="26"/>
              <w:ind w:right="108"/>
              <w:rPr>
                <w:sz w:val="20"/>
              </w:rPr>
            </w:pPr>
            <w:r>
              <w:rPr>
                <w:sz w:val="20"/>
              </w:rPr>
              <w:t>0.5</w:t>
            </w:r>
          </w:p>
        </w:tc>
        <w:tc>
          <w:tcPr>
            <w:tcW w:w="895" w:type="dxa"/>
            <w:tcBorders>
              <w:top w:val="nil"/>
              <w:left w:val="nil"/>
              <w:bottom w:val="nil"/>
              <w:right w:val="nil"/>
            </w:tcBorders>
          </w:tcPr>
          <w:p>
            <w:pPr>
              <w:pStyle w:val="TableParagraph"/>
              <w:spacing w:before="26"/>
              <w:ind w:right="106"/>
              <w:rPr>
                <w:sz w:val="20"/>
              </w:rPr>
            </w:pPr>
            <w:r>
              <w:rPr>
                <w:sz w:val="20"/>
              </w:rPr>
              <w:t>0.6</w:t>
            </w:r>
          </w:p>
        </w:tc>
        <w:tc>
          <w:tcPr>
            <w:tcW w:w="886" w:type="dxa"/>
            <w:tcBorders>
              <w:top w:val="nil"/>
              <w:left w:val="nil"/>
              <w:bottom w:val="nil"/>
              <w:right w:val="nil"/>
            </w:tcBorders>
          </w:tcPr>
          <w:p>
            <w:pPr>
              <w:pStyle w:val="TableParagraph"/>
              <w:spacing w:before="26"/>
              <w:ind w:right="108"/>
              <w:rPr>
                <w:sz w:val="20"/>
              </w:rPr>
            </w:pPr>
            <w:r>
              <w:rPr>
                <w:sz w:val="20"/>
              </w:rPr>
              <w:t>0.6</w:t>
            </w:r>
          </w:p>
        </w:tc>
        <w:tc>
          <w:tcPr>
            <w:tcW w:w="876" w:type="dxa"/>
            <w:tcBorders>
              <w:top w:val="nil"/>
              <w:left w:val="nil"/>
              <w:bottom w:val="nil"/>
              <w:right w:val="nil"/>
            </w:tcBorders>
          </w:tcPr>
          <w:p>
            <w:pPr>
              <w:pStyle w:val="TableParagraph"/>
              <w:spacing w:before="26"/>
              <w:ind w:right="86"/>
              <w:rPr>
                <w:sz w:val="20"/>
              </w:rPr>
            </w:pPr>
            <w:r>
              <w:rPr>
                <w:sz w:val="20"/>
              </w:rPr>
              <w:t>0.6</w:t>
            </w:r>
          </w:p>
        </w:tc>
        <w:tc>
          <w:tcPr>
            <w:tcW w:w="907" w:type="dxa"/>
            <w:tcBorders>
              <w:top w:val="nil"/>
              <w:left w:val="nil"/>
              <w:bottom w:val="nil"/>
              <w:right w:val="nil"/>
            </w:tcBorders>
          </w:tcPr>
          <w:p>
            <w:pPr>
              <w:pStyle w:val="TableParagraph"/>
              <w:spacing w:before="26"/>
              <w:ind w:right="96"/>
              <w:rPr>
                <w:sz w:val="20"/>
              </w:rPr>
            </w:pPr>
            <w:r>
              <w:rPr>
                <w:sz w:val="20"/>
              </w:rPr>
              <w:t>0.6</w:t>
            </w:r>
          </w:p>
        </w:tc>
        <w:tc>
          <w:tcPr>
            <w:tcW w:w="910" w:type="dxa"/>
            <w:tcBorders>
              <w:top w:val="nil"/>
              <w:left w:val="nil"/>
              <w:bottom w:val="nil"/>
              <w:right w:val="nil"/>
            </w:tcBorders>
          </w:tcPr>
          <w:p>
            <w:pPr>
              <w:pStyle w:val="TableParagraph"/>
              <w:spacing w:before="26"/>
              <w:ind w:right="79"/>
              <w:rPr>
                <w:sz w:val="20"/>
              </w:rPr>
            </w:pPr>
            <w:r>
              <w:rPr>
                <w:sz w:val="20"/>
              </w:rPr>
              <w:t>0.5</w:t>
            </w:r>
          </w:p>
        </w:tc>
        <w:tc>
          <w:tcPr>
            <w:tcW w:w="845" w:type="dxa"/>
            <w:tcBorders>
              <w:top w:val="nil"/>
              <w:left w:val="nil"/>
              <w:bottom w:val="nil"/>
              <w:right w:val="nil"/>
            </w:tcBorders>
          </w:tcPr>
          <w:p>
            <w:pPr>
              <w:pStyle w:val="TableParagraph"/>
              <w:spacing w:before="26"/>
              <w:ind w:right="61"/>
              <w:rPr>
                <w:sz w:val="20"/>
              </w:rPr>
            </w:pPr>
            <w:r>
              <w:rPr>
                <w:sz w:val="20"/>
              </w:rPr>
              <w:t>0.5</w:t>
            </w:r>
          </w:p>
        </w:tc>
      </w:tr>
      <w:tr>
        <w:trPr>
          <w:trHeight w:val="300" w:hRule="exact"/>
        </w:trPr>
        <w:tc>
          <w:tcPr>
            <w:tcW w:w="996" w:type="dxa"/>
            <w:tcBorders>
              <w:top w:val="nil"/>
              <w:left w:val="nil"/>
              <w:bottom w:val="nil"/>
              <w:right w:val="nil"/>
            </w:tcBorders>
          </w:tcPr>
          <w:p>
            <w:pPr>
              <w:pStyle w:val="TableParagraph"/>
              <w:ind w:left="72"/>
              <w:jc w:val="left"/>
              <w:rPr>
                <w:sz w:val="20"/>
              </w:rPr>
            </w:pPr>
            <w:r>
              <w:rPr>
                <w:w w:val="100"/>
                <w:sz w:val="20"/>
              </w:rPr>
              <w:t>4</w:t>
            </w:r>
          </w:p>
        </w:tc>
        <w:tc>
          <w:tcPr>
            <w:tcW w:w="1042" w:type="dxa"/>
            <w:tcBorders>
              <w:top w:val="nil"/>
              <w:left w:val="nil"/>
              <w:bottom w:val="nil"/>
              <w:right w:val="nil"/>
            </w:tcBorders>
          </w:tcPr>
          <w:p>
            <w:pPr>
              <w:pStyle w:val="TableParagraph"/>
              <w:ind w:left="94"/>
              <w:jc w:val="left"/>
              <w:rPr>
                <w:sz w:val="20"/>
              </w:rPr>
            </w:pPr>
            <w:r>
              <w:rPr>
                <w:sz w:val="20"/>
              </w:rPr>
              <w:t>15001</w:t>
            </w:r>
          </w:p>
        </w:tc>
        <w:tc>
          <w:tcPr>
            <w:tcW w:w="982" w:type="dxa"/>
            <w:tcBorders>
              <w:top w:val="nil"/>
              <w:left w:val="nil"/>
              <w:bottom w:val="nil"/>
              <w:right w:val="nil"/>
            </w:tcBorders>
          </w:tcPr>
          <w:p>
            <w:pPr>
              <w:pStyle w:val="TableParagraph"/>
              <w:ind w:right="118"/>
              <w:rPr>
                <w:sz w:val="20"/>
              </w:rPr>
            </w:pPr>
            <w:r>
              <w:rPr>
                <w:sz w:val="20"/>
              </w:rPr>
              <w:t>0.53</w:t>
            </w:r>
          </w:p>
        </w:tc>
        <w:tc>
          <w:tcPr>
            <w:tcW w:w="939" w:type="dxa"/>
            <w:tcBorders>
              <w:top w:val="nil"/>
              <w:left w:val="nil"/>
              <w:bottom w:val="nil"/>
              <w:right w:val="nil"/>
            </w:tcBorders>
          </w:tcPr>
          <w:p>
            <w:pPr>
              <w:pStyle w:val="TableParagraph"/>
              <w:ind w:right="115"/>
              <w:rPr>
                <w:sz w:val="20"/>
              </w:rPr>
            </w:pPr>
            <w:r>
              <w:rPr>
                <w:sz w:val="20"/>
              </w:rPr>
              <w:t>0.34</w:t>
            </w:r>
          </w:p>
        </w:tc>
        <w:tc>
          <w:tcPr>
            <w:tcW w:w="925" w:type="dxa"/>
            <w:tcBorders>
              <w:top w:val="nil"/>
              <w:left w:val="nil"/>
              <w:bottom w:val="nil"/>
              <w:right w:val="nil"/>
            </w:tcBorders>
          </w:tcPr>
          <w:p>
            <w:pPr>
              <w:pStyle w:val="TableParagraph"/>
              <w:ind w:right="103"/>
              <w:rPr>
                <w:sz w:val="20"/>
              </w:rPr>
            </w:pPr>
            <w:r>
              <w:rPr>
                <w:sz w:val="20"/>
              </w:rPr>
              <w:t>0.43</w:t>
            </w:r>
          </w:p>
        </w:tc>
        <w:tc>
          <w:tcPr>
            <w:tcW w:w="895" w:type="dxa"/>
            <w:tcBorders>
              <w:top w:val="nil"/>
              <w:left w:val="nil"/>
              <w:bottom w:val="nil"/>
              <w:right w:val="nil"/>
            </w:tcBorders>
          </w:tcPr>
          <w:p>
            <w:pPr>
              <w:pStyle w:val="TableParagraph"/>
              <w:ind w:right="120"/>
              <w:rPr>
                <w:sz w:val="20"/>
              </w:rPr>
            </w:pPr>
            <w:r>
              <w:rPr>
                <w:sz w:val="20"/>
              </w:rPr>
              <w:t>0.44</w:t>
            </w:r>
          </w:p>
        </w:tc>
        <w:tc>
          <w:tcPr>
            <w:tcW w:w="936" w:type="dxa"/>
            <w:tcBorders>
              <w:top w:val="nil"/>
              <w:left w:val="nil"/>
              <w:bottom w:val="nil"/>
              <w:right w:val="nil"/>
            </w:tcBorders>
          </w:tcPr>
          <w:p>
            <w:pPr>
              <w:pStyle w:val="TableParagraph"/>
              <w:ind w:right="110"/>
              <w:rPr>
                <w:sz w:val="20"/>
              </w:rPr>
            </w:pPr>
            <w:r>
              <w:rPr>
                <w:sz w:val="20"/>
              </w:rPr>
              <w:t>0.52</w:t>
            </w:r>
          </w:p>
        </w:tc>
        <w:tc>
          <w:tcPr>
            <w:tcW w:w="915" w:type="dxa"/>
            <w:tcBorders>
              <w:top w:val="nil"/>
              <w:left w:val="nil"/>
              <w:bottom w:val="nil"/>
              <w:right w:val="nil"/>
            </w:tcBorders>
          </w:tcPr>
          <w:p>
            <w:pPr>
              <w:pStyle w:val="TableParagraph"/>
              <w:ind w:right="108"/>
              <w:rPr>
                <w:sz w:val="20"/>
              </w:rPr>
            </w:pPr>
            <w:r>
              <w:rPr>
                <w:sz w:val="20"/>
              </w:rPr>
              <w:t>0.68</w:t>
            </w:r>
          </w:p>
        </w:tc>
        <w:tc>
          <w:tcPr>
            <w:tcW w:w="895" w:type="dxa"/>
            <w:tcBorders>
              <w:top w:val="nil"/>
              <w:left w:val="nil"/>
              <w:bottom w:val="nil"/>
              <w:right w:val="nil"/>
            </w:tcBorders>
          </w:tcPr>
          <w:p>
            <w:pPr>
              <w:pStyle w:val="TableParagraph"/>
              <w:ind w:right="106"/>
              <w:rPr>
                <w:sz w:val="20"/>
              </w:rPr>
            </w:pPr>
            <w:r>
              <w:rPr>
                <w:sz w:val="20"/>
              </w:rPr>
              <w:t>0.64</w:t>
            </w:r>
          </w:p>
        </w:tc>
        <w:tc>
          <w:tcPr>
            <w:tcW w:w="886" w:type="dxa"/>
            <w:tcBorders>
              <w:top w:val="nil"/>
              <w:left w:val="nil"/>
              <w:bottom w:val="nil"/>
              <w:right w:val="nil"/>
            </w:tcBorders>
          </w:tcPr>
          <w:p>
            <w:pPr>
              <w:pStyle w:val="TableParagraph"/>
              <w:ind w:right="108"/>
              <w:rPr>
                <w:sz w:val="20"/>
              </w:rPr>
            </w:pPr>
            <w:r>
              <w:rPr>
                <w:sz w:val="20"/>
              </w:rPr>
              <w:t>0.62</w:t>
            </w:r>
          </w:p>
        </w:tc>
        <w:tc>
          <w:tcPr>
            <w:tcW w:w="876" w:type="dxa"/>
            <w:tcBorders>
              <w:top w:val="nil"/>
              <w:left w:val="nil"/>
              <w:bottom w:val="nil"/>
              <w:right w:val="nil"/>
            </w:tcBorders>
          </w:tcPr>
          <w:p>
            <w:pPr>
              <w:pStyle w:val="TableParagraph"/>
              <w:ind w:right="86"/>
              <w:rPr>
                <w:sz w:val="20"/>
              </w:rPr>
            </w:pPr>
            <w:r>
              <w:rPr>
                <w:sz w:val="20"/>
              </w:rPr>
              <w:t>0.63</w:t>
            </w:r>
          </w:p>
        </w:tc>
        <w:tc>
          <w:tcPr>
            <w:tcW w:w="907" w:type="dxa"/>
            <w:tcBorders>
              <w:top w:val="nil"/>
              <w:left w:val="nil"/>
              <w:bottom w:val="nil"/>
              <w:right w:val="nil"/>
            </w:tcBorders>
          </w:tcPr>
          <w:p>
            <w:pPr>
              <w:pStyle w:val="TableParagraph"/>
              <w:ind w:right="96"/>
              <w:rPr>
                <w:sz w:val="20"/>
              </w:rPr>
            </w:pPr>
            <w:r>
              <w:rPr>
                <w:sz w:val="20"/>
              </w:rPr>
              <w:t>0.55</w:t>
            </w:r>
          </w:p>
        </w:tc>
        <w:tc>
          <w:tcPr>
            <w:tcW w:w="910" w:type="dxa"/>
            <w:tcBorders>
              <w:top w:val="nil"/>
              <w:left w:val="nil"/>
              <w:bottom w:val="nil"/>
              <w:right w:val="nil"/>
            </w:tcBorders>
          </w:tcPr>
          <w:p>
            <w:pPr>
              <w:pStyle w:val="TableParagraph"/>
              <w:ind w:right="79"/>
              <w:rPr>
                <w:sz w:val="20"/>
              </w:rPr>
            </w:pPr>
            <w:r>
              <w:rPr>
                <w:sz w:val="20"/>
              </w:rPr>
              <w:t>0.32</w:t>
            </w:r>
          </w:p>
        </w:tc>
        <w:tc>
          <w:tcPr>
            <w:tcW w:w="845" w:type="dxa"/>
            <w:tcBorders>
              <w:top w:val="nil"/>
              <w:left w:val="nil"/>
              <w:bottom w:val="nil"/>
              <w:right w:val="nil"/>
            </w:tcBorders>
          </w:tcPr>
          <w:p>
            <w:pPr>
              <w:pStyle w:val="TableParagraph"/>
              <w:ind w:right="61"/>
              <w:rPr>
                <w:sz w:val="20"/>
              </w:rPr>
            </w:pPr>
            <w:r>
              <w:rPr>
                <w:sz w:val="20"/>
              </w:rPr>
              <w:t>0.45</w:t>
            </w:r>
          </w:p>
        </w:tc>
      </w:tr>
      <w:tr>
        <w:trPr>
          <w:trHeight w:val="300" w:hRule="exact"/>
        </w:trPr>
        <w:tc>
          <w:tcPr>
            <w:tcW w:w="996" w:type="dxa"/>
            <w:tcBorders>
              <w:top w:val="nil"/>
              <w:left w:val="nil"/>
              <w:bottom w:val="nil"/>
              <w:right w:val="nil"/>
            </w:tcBorders>
          </w:tcPr>
          <w:p>
            <w:pPr>
              <w:pStyle w:val="TableParagraph"/>
              <w:spacing w:before="26"/>
              <w:ind w:left="72"/>
              <w:jc w:val="left"/>
              <w:rPr>
                <w:sz w:val="20"/>
              </w:rPr>
            </w:pPr>
            <w:r>
              <w:rPr>
                <w:w w:val="100"/>
                <w:sz w:val="20"/>
              </w:rPr>
              <w:t>5</w:t>
            </w:r>
          </w:p>
        </w:tc>
        <w:tc>
          <w:tcPr>
            <w:tcW w:w="1042" w:type="dxa"/>
            <w:tcBorders>
              <w:top w:val="nil"/>
              <w:left w:val="nil"/>
              <w:bottom w:val="nil"/>
              <w:right w:val="nil"/>
            </w:tcBorders>
          </w:tcPr>
          <w:p>
            <w:pPr>
              <w:pStyle w:val="TableParagraph"/>
              <w:spacing w:before="26"/>
              <w:ind w:left="94"/>
              <w:jc w:val="left"/>
              <w:rPr>
                <w:sz w:val="20"/>
              </w:rPr>
            </w:pPr>
            <w:r>
              <w:rPr>
                <w:sz w:val="20"/>
              </w:rPr>
              <w:t>15001</w:t>
            </w:r>
          </w:p>
        </w:tc>
        <w:tc>
          <w:tcPr>
            <w:tcW w:w="982" w:type="dxa"/>
            <w:tcBorders>
              <w:top w:val="nil"/>
              <w:left w:val="nil"/>
              <w:bottom w:val="nil"/>
              <w:right w:val="nil"/>
            </w:tcBorders>
          </w:tcPr>
          <w:p>
            <w:pPr>
              <w:pStyle w:val="TableParagraph"/>
              <w:spacing w:before="26"/>
              <w:ind w:right="118"/>
              <w:rPr>
                <w:sz w:val="20"/>
              </w:rPr>
            </w:pPr>
            <w:r>
              <w:rPr>
                <w:sz w:val="20"/>
              </w:rPr>
              <w:t>0.53</w:t>
            </w:r>
          </w:p>
        </w:tc>
        <w:tc>
          <w:tcPr>
            <w:tcW w:w="939" w:type="dxa"/>
            <w:tcBorders>
              <w:top w:val="nil"/>
              <w:left w:val="nil"/>
              <w:bottom w:val="nil"/>
              <w:right w:val="nil"/>
            </w:tcBorders>
          </w:tcPr>
          <w:p>
            <w:pPr>
              <w:pStyle w:val="TableParagraph"/>
              <w:spacing w:before="26"/>
              <w:ind w:right="115"/>
              <w:rPr>
                <w:sz w:val="20"/>
              </w:rPr>
            </w:pPr>
            <w:r>
              <w:rPr>
                <w:sz w:val="20"/>
              </w:rPr>
              <w:t>0.34</w:t>
            </w:r>
          </w:p>
        </w:tc>
        <w:tc>
          <w:tcPr>
            <w:tcW w:w="925" w:type="dxa"/>
            <w:tcBorders>
              <w:top w:val="nil"/>
              <w:left w:val="nil"/>
              <w:bottom w:val="nil"/>
              <w:right w:val="nil"/>
            </w:tcBorders>
          </w:tcPr>
          <w:p>
            <w:pPr>
              <w:pStyle w:val="TableParagraph"/>
              <w:spacing w:before="26"/>
              <w:ind w:right="103"/>
              <w:rPr>
                <w:sz w:val="20"/>
              </w:rPr>
            </w:pPr>
            <w:r>
              <w:rPr>
                <w:sz w:val="20"/>
              </w:rPr>
              <w:t>0.43</w:t>
            </w:r>
          </w:p>
        </w:tc>
        <w:tc>
          <w:tcPr>
            <w:tcW w:w="895" w:type="dxa"/>
            <w:tcBorders>
              <w:top w:val="nil"/>
              <w:left w:val="nil"/>
              <w:bottom w:val="nil"/>
              <w:right w:val="nil"/>
            </w:tcBorders>
          </w:tcPr>
          <w:p>
            <w:pPr>
              <w:pStyle w:val="TableParagraph"/>
              <w:spacing w:before="26"/>
              <w:ind w:right="120"/>
              <w:rPr>
                <w:sz w:val="20"/>
              </w:rPr>
            </w:pPr>
            <w:r>
              <w:rPr>
                <w:sz w:val="20"/>
              </w:rPr>
              <w:t>0.44</w:t>
            </w:r>
          </w:p>
        </w:tc>
        <w:tc>
          <w:tcPr>
            <w:tcW w:w="936" w:type="dxa"/>
            <w:tcBorders>
              <w:top w:val="nil"/>
              <w:left w:val="nil"/>
              <w:bottom w:val="nil"/>
              <w:right w:val="nil"/>
            </w:tcBorders>
          </w:tcPr>
          <w:p>
            <w:pPr>
              <w:pStyle w:val="TableParagraph"/>
              <w:spacing w:before="26"/>
              <w:ind w:right="110"/>
              <w:rPr>
                <w:sz w:val="20"/>
              </w:rPr>
            </w:pPr>
            <w:r>
              <w:rPr>
                <w:sz w:val="20"/>
              </w:rPr>
              <w:t>0.52</w:t>
            </w:r>
          </w:p>
        </w:tc>
        <w:tc>
          <w:tcPr>
            <w:tcW w:w="915" w:type="dxa"/>
            <w:tcBorders>
              <w:top w:val="nil"/>
              <w:left w:val="nil"/>
              <w:bottom w:val="nil"/>
              <w:right w:val="nil"/>
            </w:tcBorders>
          </w:tcPr>
          <w:p>
            <w:pPr>
              <w:pStyle w:val="TableParagraph"/>
              <w:spacing w:before="26"/>
              <w:ind w:right="108"/>
              <w:rPr>
                <w:sz w:val="20"/>
              </w:rPr>
            </w:pPr>
            <w:r>
              <w:rPr>
                <w:sz w:val="20"/>
              </w:rPr>
              <w:t>0.68</w:t>
            </w:r>
          </w:p>
        </w:tc>
        <w:tc>
          <w:tcPr>
            <w:tcW w:w="895" w:type="dxa"/>
            <w:tcBorders>
              <w:top w:val="nil"/>
              <w:left w:val="nil"/>
              <w:bottom w:val="nil"/>
              <w:right w:val="nil"/>
            </w:tcBorders>
          </w:tcPr>
          <w:p>
            <w:pPr>
              <w:pStyle w:val="TableParagraph"/>
              <w:spacing w:before="26"/>
              <w:ind w:right="106"/>
              <w:rPr>
                <w:sz w:val="20"/>
              </w:rPr>
            </w:pPr>
            <w:r>
              <w:rPr>
                <w:sz w:val="20"/>
              </w:rPr>
              <w:t>0.64</w:t>
            </w:r>
          </w:p>
        </w:tc>
        <w:tc>
          <w:tcPr>
            <w:tcW w:w="886" w:type="dxa"/>
            <w:tcBorders>
              <w:top w:val="nil"/>
              <w:left w:val="nil"/>
              <w:bottom w:val="nil"/>
              <w:right w:val="nil"/>
            </w:tcBorders>
          </w:tcPr>
          <w:p>
            <w:pPr>
              <w:pStyle w:val="TableParagraph"/>
              <w:spacing w:before="26"/>
              <w:ind w:right="108"/>
              <w:rPr>
                <w:sz w:val="20"/>
              </w:rPr>
            </w:pPr>
            <w:r>
              <w:rPr>
                <w:sz w:val="20"/>
              </w:rPr>
              <w:t>0.62</w:t>
            </w:r>
          </w:p>
        </w:tc>
        <w:tc>
          <w:tcPr>
            <w:tcW w:w="876" w:type="dxa"/>
            <w:tcBorders>
              <w:top w:val="nil"/>
              <w:left w:val="nil"/>
              <w:bottom w:val="nil"/>
              <w:right w:val="nil"/>
            </w:tcBorders>
          </w:tcPr>
          <w:p>
            <w:pPr>
              <w:pStyle w:val="TableParagraph"/>
              <w:spacing w:before="26"/>
              <w:ind w:right="86"/>
              <w:rPr>
                <w:sz w:val="20"/>
              </w:rPr>
            </w:pPr>
            <w:r>
              <w:rPr>
                <w:sz w:val="20"/>
              </w:rPr>
              <w:t>0.63</w:t>
            </w:r>
          </w:p>
        </w:tc>
        <w:tc>
          <w:tcPr>
            <w:tcW w:w="907" w:type="dxa"/>
            <w:tcBorders>
              <w:top w:val="nil"/>
              <w:left w:val="nil"/>
              <w:bottom w:val="nil"/>
              <w:right w:val="nil"/>
            </w:tcBorders>
          </w:tcPr>
          <w:p>
            <w:pPr>
              <w:pStyle w:val="TableParagraph"/>
              <w:spacing w:before="26"/>
              <w:ind w:right="96"/>
              <w:rPr>
                <w:sz w:val="20"/>
              </w:rPr>
            </w:pPr>
            <w:r>
              <w:rPr>
                <w:sz w:val="20"/>
              </w:rPr>
              <w:t>0.55</w:t>
            </w:r>
          </w:p>
        </w:tc>
        <w:tc>
          <w:tcPr>
            <w:tcW w:w="910" w:type="dxa"/>
            <w:tcBorders>
              <w:top w:val="nil"/>
              <w:left w:val="nil"/>
              <w:bottom w:val="nil"/>
              <w:right w:val="nil"/>
            </w:tcBorders>
          </w:tcPr>
          <w:p>
            <w:pPr>
              <w:pStyle w:val="TableParagraph"/>
              <w:spacing w:before="26"/>
              <w:ind w:right="79"/>
              <w:rPr>
                <w:sz w:val="20"/>
              </w:rPr>
            </w:pPr>
            <w:r>
              <w:rPr>
                <w:sz w:val="20"/>
              </w:rPr>
              <w:t>0.32</w:t>
            </w:r>
          </w:p>
        </w:tc>
        <w:tc>
          <w:tcPr>
            <w:tcW w:w="845" w:type="dxa"/>
            <w:tcBorders>
              <w:top w:val="nil"/>
              <w:left w:val="nil"/>
              <w:bottom w:val="nil"/>
              <w:right w:val="nil"/>
            </w:tcBorders>
          </w:tcPr>
          <w:p>
            <w:pPr>
              <w:pStyle w:val="TableParagraph"/>
              <w:spacing w:before="26"/>
              <w:ind w:right="61"/>
              <w:rPr>
                <w:sz w:val="20"/>
              </w:rPr>
            </w:pPr>
            <w:r>
              <w:rPr>
                <w:sz w:val="20"/>
              </w:rPr>
              <w:t>0.45</w:t>
            </w:r>
          </w:p>
        </w:tc>
      </w:tr>
      <w:tr>
        <w:trPr>
          <w:trHeight w:val="300" w:hRule="exact"/>
        </w:trPr>
        <w:tc>
          <w:tcPr>
            <w:tcW w:w="996" w:type="dxa"/>
            <w:tcBorders>
              <w:top w:val="nil"/>
              <w:left w:val="nil"/>
              <w:bottom w:val="nil"/>
              <w:right w:val="nil"/>
            </w:tcBorders>
          </w:tcPr>
          <w:p>
            <w:pPr>
              <w:pStyle w:val="TableParagraph"/>
              <w:ind w:left="72"/>
              <w:jc w:val="left"/>
              <w:rPr>
                <w:sz w:val="20"/>
              </w:rPr>
            </w:pPr>
            <w:r>
              <w:rPr>
                <w:w w:val="100"/>
                <w:sz w:val="20"/>
              </w:rPr>
              <w:t>6</w:t>
            </w:r>
          </w:p>
        </w:tc>
        <w:tc>
          <w:tcPr>
            <w:tcW w:w="1042" w:type="dxa"/>
            <w:tcBorders>
              <w:top w:val="nil"/>
              <w:left w:val="nil"/>
              <w:bottom w:val="nil"/>
              <w:right w:val="nil"/>
            </w:tcBorders>
          </w:tcPr>
          <w:p>
            <w:pPr>
              <w:pStyle w:val="TableParagraph"/>
              <w:ind w:left="94"/>
              <w:jc w:val="left"/>
              <w:rPr>
                <w:sz w:val="20"/>
              </w:rPr>
            </w:pPr>
            <w:r>
              <w:rPr>
                <w:sz w:val="20"/>
              </w:rPr>
              <w:t>15001</w:t>
            </w:r>
          </w:p>
        </w:tc>
        <w:tc>
          <w:tcPr>
            <w:tcW w:w="982" w:type="dxa"/>
            <w:tcBorders>
              <w:top w:val="nil"/>
              <w:left w:val="nil"/>
              <w:bottom w:val="nil"/>
              <w:right w:val="nil"/>
            </w:tcBorders>
          </w:tcPr>
          <w:p>
            <w:pPr>
              <w:pStyle w:val="TableParagraph"/>
              <w:ind w:right="118"/>
              <w:rPr>
                <w:sz w:val="20"/>
              </w:rPr>
            </w:pPr>
            <w:r>
              <w:rPr>
                <w:sz w:val="20"/>
              </w:rPr>
              <w:t>0.53</w:t>
            </w:r>
          </w:p>
        </w:tc>
        <w:tc>
          <w:tcPr>
            <w:tcW w:w="939" w:type="dxa"/>
            <w:tcBorders>
              <w:top w:val="nil"/>
              <w:left w:val="nil"/>
              <w:bottom w:val="nil"/>
              <w:right w:val="nil"/>
            </w:tcBorders>
          </w:tcPr>
          <w:p>
            <w:pPr>
              <w:pStyle w:val="TableParagraph"/>
              <w:ind w:right="115"/>
              <w:rPr>
                <w:sz w:val="20"/>
              </w:rPr>
            </w:pPr>
            <w:r>
              <w:rPr>
                <w:sz w:val="20"/>
              </w:rPr>
              <w:t>0.34</w:t>
            </w:r>
          </w:p>
        </w:tc>
        <w:tc>
          <w:tcPr>
            <w:tcW w:w="925" w:type="dxa"/>
            <w:tcBorders>
              <w:top w:val="nil"/>
              <w:left w:val="nil"/>
              <w:bottom w:val="nil"/>
              <w:right w:val="nil"/>
            </w:tcBorders>
          </w:tcPr>
          <w:p>
            <w:pPr>
              <w:pStyle w:val="TableParagraph"/>
              <w:ind w:right="103"/>
              <w:rPr>
                <w:sz w:val="20"/>
              </w:rPr>
            </w:pPr>
            <w:r>
              <w:rPr>
                <w:sz w:val="20"/>
              </w:rPr>
              <w:t>0.43</w:t>
            </w:r>
          </w:p>
        </w:tc>
        <w:tc>
          <w:tcPr>
            <w:tcW w:w="895" w:type="dxa"/>
            <w:tcBorders>
              <w:top w:val="nil"/>
              <w:left w:val="nil"/>
              <w:bottom w:val="nil"/>
              <w:right w:val="nil"/>
            </w:tcBorders>
          </w:tcPr>
          <w:p>
            <w:pPr>
              <w:pStyle w:val="TableParagraph"/>
              <w:ind w:right="120"/>
              <w:rPr>
                <w:sz w:val="20"/>
              </w:rPr>
            </w:pPr>
            <w:r>
              <w:rPr>
                <w:sz w:val="20"/>
              </w:rPr>
              <w:t>0.44</w:t>
            </w:r>
          </w:p>
        </w:tc>
        <w:tc>
          <w:tcPr>
            <w:tcW w:w="936" w:type="dxa"/>
            <w:tcBorders>
              <w:top w:val="nil"/>
              <w:left w:val="nil"/>
              <w:bottom w:val="nil"/>
              <w:right w:val="nil"/>
            </w:tcBorders>
          </w:tcPr>
          <w:p>
            <w:pPr>
              <w:pStyle w:val="TableParagraph"/>
              <w:ind w:right="110"/>
              <w:rPr>
                <w:sz w:val="20"/>
              </w:rPr>
            </w:pPr>
            <w:r>
              <w:rPr>
                <w:sz w:val="20"/>
              </w:rPr>
              <w:t>0.52</w:t>
            </w:r>
          </w:p>
        </w:tc>
        <w:tc>
          <w:tcPr>
            <w:tcW w:w="915" w:type="dxa"/>
            <w:tcBorders>
              <w:top w:val="nil"/>
              <w:left w:val="nil"/>
              <w:bottom w:val="nil"/>
              <w:right w:val="nil"/>
            </w:tcBorders>
          </w:tcPr>
          <w:p>
            <w:pPr>
              <w:pStyle w:val="TableParagraph"/>
              <w:ind w:right="108"/>
              <w:rPr>
                <w:sz w:val="20"/>
              </w:rPr>
            </w:pPr>
            <w:r>
              <w:rPr>
                <w:sz w:val="20"/>
              </w:rPr>
              <w:t>0.68</w:t>
            </w:r>
          </w:p>
        </w:tc>
        <w:tc>
          <w:tcPr>
            <w:tcW w:w="895" w:type="dxa"/>
            <w:tcBorders>
              <w:top w:val="nil"/>
              <w:left w:val="nil"/>
              <w:bottom w:val="nil"/>
              <w:right w:val="nil"/>
            </w:tcBorders>
          </w:tcPr>
          <w:p>
            <w:pPr>
              <w:pStyle w:val="TableParagraph"/>
              <w:ind w:right="106"/>
              <w:rPr>
                <w:sz w:val="20"/>
              </w:rPr>
            </w:pPr>
            <w:r>
              <w:rPr>
                <w:sz w:val="20"/>
              </w:rPr>
              <w:t>0.64</w:t>
            </w:r>
          </w:p>
        </w:tc>
        <w:tc>
          <w:tcPr>
            <w:tcW w:w="886" w:type="dxa"/>
            <w:tcBorders>
              <w:top w:val="nil"/>
              <w:left w:val="nil"/>
              <w:bottom w:val="nil"/>
              <w:right w:val="nil"/>
            </w:tcBorders>
          </w:tcPr>
          <w:p>
            <w:pPr>
              <w:pStyle w:val="TableParagraph"/>
              <w:ind w:right="108"/>
              <w:rPr>
                <w:sz w:val="20"/>
              </w:rPr>
            </w:pPr>
            <w:r>
              <w:rPr>
                <w:sz w:val="20"/>
              </w:rPr>
              <w:t>0.62</w:t>
            </w:r>
          </w:p>
        </w:tc>
        <w:tc>
          <w:tcPr>
            <w:tcW w:w="876" w:type="dxa"/>
            <w:tcBorders>
              <w:top w:val="nil"/>
              <w:left w:val="nil"/>
              <w:bottom w:val="nil"/>
              <w:right w:val="nil"/>
            </w:tcBorders>
          </w:tcPr>
          <w:p>
            <w:pPr>
              <w:pStyle w:val="TableParagraph"/>
              <w:ind w:right="86"/>
              <w:rPr>
                <w:sz w:val="20"/>
              </w:rPr>
            </w:pPr>
            <w:r>
              <w:rPr>
                <w:sz w:val="20"/>
              </w:rPr>
              <w:t>0.63</w:t>
            </w:r>
          </w:p>
        </w:tc>
        <w:tc>
          <w:tcPr>
            <w:tcW w:w="907" w:type="dxa"/>
            <w:tcBorders>
              <w:top w:val="nil"/>
              <w:left w:val="nil"/>
              <w:bottom w:val="nil"/>
              <w:right w:val="nil"/>
            </w:tcBorders>
          </w:tcPr>
          <w:p>
            <w:pPr>
              <w:pStyle w:val="TableParagraph"/>
              <w:ind w:right="96"/>
              <w:rPr>
                <w:sz w:val="20"/>
              </w:rPr>
            </w:pPr>
            <w:r>
              <w:rPr>
                <w:sz w:val="20"/>
              </w:rPr>
              <w:t>0.55</w:t>
            </w:r>
          </w:p>
        </w:tc>
        <w:tc>
          <w:tcPr>
            <w:tcW w:w="910" w:type="dxa"/>
            <w:tcBorders>
              <w:top w:val="nil"/>
              <w:left w:val="nil"/>
              <w:bottom w:val="nil"/>
              <w:right w:val="nil"/>
            </w:tcBorders>
          </w:tcPr>
          <w:p>
            <w:pPr>
              <w:pStyle w:val="TableParagraph"/>
              <w:ind w:right="79"/>
              <w:rPr>
                <w:sz w:val="20"/>
              </w:rPr>
            </w:pPr>
            <w:r>
              <w:rPr>
                <w:sz w:val="20"/>
              </w:rPr>
              <w:t>0.32</w:t>
            </w:r>
          </w:p>
        </w:tc>
        <w:tc>
          <w:tcPr>
            <w:tcW w:w="845" w:type="dxa"/>
            <w:tcBorders>
              <w:top w:val="nil"/>
              <w:left w:val="nil"/>
              <w:bottom w:val="nil"/>
              <w:right w:val="nil"/>
            </w:tcBorders>
          </w:tcPr>
          <w:p>
            <w:pPr>
              <w:pStyle w:val="TableParagraph"/>
              <w:ind w:right="61"/>
              <w:rPr>
                <w:sz w:val="20"/>
              </w:rPr>
            </w:pPr>
            <w:r>
              <w:rPr>
                <w:sz w:val="20"/>
              </w:rPr>
              <w:t>0.45</w:t>
            </w:r>
          </w:p>
        </w:tc>
      </w:tr>
      <w:tr>
        <w:trPr>
          <w:trHeight w:val="300" w:hRule="exact"/>
        </w:trPr>
        <w:tc>
          <w:tcPr>
            <w:tcW w:w="996" w:type="dxa"/>
            <w:tcBorders>
              <w:top w:val="nil"/>
              <w:left w:val="nil"/>
              <w:bottom w:val="nil"/>
              <w:right w:val="nil"/>
            </w:tcBorders>
          </w:tcPr>
          <w:p>
            <w:pPr>
              <w:pStyle w:val="TableParagraph"/>
              <w:spacing w:before="26"/>
              <w:ind w:left="72"/>
              <w:jc w:val="left"/>
              <w:rPr>
                <w:sz w:val="20"/>
              </w:rPr>
            </w:pPr>
            <w:r>
              <w:rPr>
                <w:w w:val="100"/>
                <w:sz w:val="20"/>
              </w:rPr>
              <w:t>7</w:t>
            </w:r>
          </w:p>
        </w:tc>
        <w:tc>
          <w:tcPr>
            <w:tcW w:w="1042" w:type="dxa"/>
            <w:tcBorders>
              <w:top w:val="nil"/>
              <w:left w:val="nil"/>
              <w:bottom w:val="nil"/>
              <w:right w:val="nil"/>
            </w:tcBorders>
          </w:tcPr>
          <w:p>
            <w:pPr>
              <w:pStyle w:val="TableParagraph"/>
              <w:spacing w:before="26"/>
              <w:ind w:left="94"/>
              <w:jc w:val="left"/>
              <w:rPr>
                <w:sz w:val="20"/>
              </w:rPr>
            </w:pPr>
            <w:r>
              <w:rPr>
                <w:sz w:val="20"/>
              </w:rPr>
              <w:t>15001</w:t>
            </w:r>
          </w:p>
        </w:tc>
        <w:tc>
          <w:tcPr>
            <w:tcW w:w="982" w:type="dxa"/>
            <w:tcBorders>
              <w:top w:val="nil"/>
              <w:left w:val="nil"/>
              <w:bottom w:val="nil"/>
              <w:right w:val="nil"/>
            </w:tcBorders>
          </w:tcPr>
          <w:p>
            <w:pPr>
              <w:pStyle w:val="TableParagraph"/>
              <w:spacing w:before="26"/>
              <w:ind w:right="118"/>
              <w:rPr>
                <w:sz w:val="20"/>
              </w:rPr>
            </w:pPr>
            <w:r>
              <w:rPr>
                <w:sz w:val="20"/>
              </w:rPr>
              <w:t>0.53</w:t>
            </w:r>
          </w:p>
        </w:tc>
        <w:tc>
          <w:tcPr>
            <w:tcW w:w="939" w:type="dxa"/>
            <w:tcBorders>
              <w:top w:val="nil"/>
              <w:left w:val="nil"/>
              <w:bottom w:val="nil"/>
              <w:right w:val="nil"/>
            </w:tcBorders>
          </w:tcPr>
          <w:p>
            <w:pPr>
              <w:pStyle w:val="TableParagraph"/>
              <w:spacing w:before="26"/>
              <w:ind w:right="115"/>
              <w:rPr>
                <w:sz w:val="20"/>
              </w:rPr>
            </w:pPr>
            <w:r>
              <w:rPr>
                <w:sz w:val="20"/>
              </w:rPr>
              <w:t>0.34</w:t>
            </w:r>
          </w:p>
        </w:tc>
        <w:tc>
          <w:tcPr>
            <w:tcW w:w="925" w:type="dxa"/>
            <w:tcBorders>
              <w:top w:val="nil"/>
              <w:left w:val="nil"/>
              <w:bottom w:val="nil"/>
              <w:right w:val="nil"/>
            </w:tcBorders>
          </w:tcPr>
          <w:p>
            <w:pPr>
              <w:pStyle w:val="TableParagraph"/>
              <w:spacing w:before="26"/>
              <w:ind w:right="103"/>
              <w:rPr>
                <w:sz w:val="20"/>
              </w:rPr>
            </w:pPr>
            <w:r>
              <w:rPr>
                <w:sz w:val="20"/>
              </w:rPr>
              <w:t>0.43</w:t>
            </w:r>
          </w:p>
        </w:tc>
        <w:tc>
          <w:tcPr>
            <w:tcW w:w="895" w:type="dxa"/>
            <w:tcBorders>
              <w:top w:val="nil"/>
              <w:left w:val="nil"/>
              <w:bottom w:val="nil"/>
              <w:right w:val="nil"/>
            </w:tcBorders>
          </w:tcPr>
          <w:p>
            <w:pPr>
              <w:pStyle w:val="TableParagraph"/>
              <w:spacing w:before="26"/>
              <w:ind w:right="120"/>
              <w:rPr>
                <w:sz w:val="20"/>
              </w:rPr>
            </w:pPr>
            <w:r>
              <w:rPr>
                <w:sz w:val="20"/>
              </w:rPr>
              <w:t>0.44</w:t>
            </w:r>
          </w:p>
        </w:tc>
        <w:tc>
          <w:tcPr>
            <w:tcW w:w="936" w:type="dxa"/>
            <w:tcBorders>
              <w:top w:val="nil"/>
              <w:left w:val="nil"/>
              <w:bottom w:val="nil"/>
              <w:right w:val="nil"/>
            </w:tcBorders>
          </w:tcPr>
          <w:p>
            <w:pPr>
              <w:pStyle w:val="TableParagraph"/>
              <w:spacing w:before="26"/>
              <w:ind w:right="110"/>
              <w:rPr>
                <w:sz w:val="20"/>
              </w:rPr>
            </w:pPr>
            <w:r>
              <w:rPr>
                <w:sz w:val="20"/>
              </w:rPr>
              <w:t>0.52</w:t>
            </w:r>
          </w:p>
        </w:tc>
        <w:tc>
          <w:tcPr>
            <w:tcW w:w="915" w:type="dxa"/>
            <w:tcBorders>
              <w:top w:val="nil"/>
              <w:left w:val="nil"/>
              <w:bottom w:val="nil"/>
              <w:right w:val="nil"/>
            </w:tcBorders>
          </w:tcPr>
          <w:p>
            <w:pPr>
              <w:pStyle w:val="TableParagraph"/>
              <w:spacing w:before="26"/>
              <w:ind w:right="108"/>
              <w:rPr>
                <w:sz w:val="20"/>
              </w:rPr>
            </w:pPr>
            <w:r>
              <w:rPr>
                <w:sz w:val="20"/>
              </w:rPr>
              <w:t>0.68</w:t>
            </w:r>
          </w:p>
        </w:tc>
        <w:tc>
          <w:tcPr>
            <w:tcW w:w="895" w:type="dxa"/>
            <w:tcBorders>
              <w:top w:val="nil"/>
              <w:left w:val="nil"/>
              <w:bottom w:val="nil"/>
              <w:right w:val="nil"/>
            </w:tcBorders>
          </w:tcPr>
          <w:p>
            <w:pPr>
              <w:pStyle w:val="TableParagraph"/>
              <w:spacing w:before="26"/>
              <w:ind w:right="106"/>
              <w:rPr>
                <w:sz w:val="20"/>
              </w:rPr>
            </w:pPr>
            <w:r>
              <w:rPr>
                <w:sz w:val="20"/>
              </w:rPr>
              <w:t>0.64</w:t>
            </w:r>
          </w:p>
        </w:tc>
        <w:tc>
          <w:tcPr>
            <w:tcW w:w="886" w:type="dxa"/>
            <w:tcBorders>
              <w:top w:val="nil"/>
              <w:left w:val="nil"/>
              <w:bottom w:val="nil"/>
              <w:right w:val="nil"/>
            </w:tcBorders>
          </w:tcPr>
          <w:p>
            <w:pPr>
              <w:pStyle w:val="TableParagraph"/>
              <w:spacing w:before="26"/>
              <w:ind w:right="108"/>
              <w:rPr>
                <w:sz w:val="20"/>
              </w:rPr>
            </w:pPr>
            <w:r>
              <w:rPr>
                <w:sz w:val="20"/>
              </w:rPr>
              <w:t>0.62</w:t>
            </w:r>
          </w:p>
        </w:tc>
        <w:tc>
          <w:tcPr>
            <w:tcW w:w="876" w:type="dxa"/>
            <w:tcBorders>
              <w:top w:val="nil"/>
              <w:left w:val="nil"/>
              <w:bottom w:val="nil"/>
              <w:right w:val="nil"/>
            </w:tcBorders>
          </w:tcPr>
          <w:p>
            <w:pPr>
              <w:pStyle w:val="TableParagraph"/>
              <w:spacing w:before="26"/>
              <w:ind w:right="86"/>
              <w:rPr>
                <w:sz w:val="20"/>
              </w:rPr>
            </w:pPr>
            <w:r>
              <w:rPr>
                <w:sz w:val="20"/>
              </w:rPr>
              <w:t>0.63</w:t>
            </w:r>
          </w:p>
        </w:tc>
        <w:tc>
          <w:tcPr>
            <w:tcW w:w="907" w:type="dxa"/>
            <w:tcBorders>
              <w:top w:val="nil"/>
              <w:left w:val="nil"/>
              <w:bottom w:val="nil"/>
              <w:right w:val="nil"/>
            </w:tcBorders>
          </w:tcPr>
          <w:p>
            <w:pPr>
              <w:pStyle w:val="TableParagraph"/>
              <w:spacing w:before="26"/>
              <w:ind w:right="96"/>
              <w:rPr>
                <w:sz w:val="20"/>
              </w:rPr>
            </w:pPr>
            <w:r>
              <w:rPr>
                <w:sz w:val="20"/>
              </w:rPr>
              <w:t>0.55</w:t>
            </w:r>
          </w:p>
        </w:tc>
        <w:tc>
          <w:tcPr>
            <w:tcW w:w="910" w:type="dxa"/>
            <w:tcBorders>
              <w:top w:val="nil"/>
              <w:left w:val="nil"/>
              <w:bottom w:val="nil"/>
              <w:right w:val="nil"/>
            </w:tcBorders>
          </w:tcPr>
          <w:p>
            <w:pPr>
              <w:pStyle w:val="TableParagraph"/>
              <w:spacing w:before="26"/>
              <w:ind w:right="79"/>
              <w:rPr>
                <w:sz w:val="20"/>
              </w:rPr>
            </w:pPr>
            <w:r>
              <w:rPr>
                <w:sz w:val="20"/>
              </w:rPr>
              <w:t>0.32</w:t>
            </w:r>
          </w:p>
        </w:tc>
        <w:tc>
          <w:tcPr>
            <w:tcW w:w="845" w:type="dxa"/>
            <w:tcBorders>
              <w:top w:val="nil"/>
              <w:left w:val="nil"/>
              <w:bottom w:val="nil"/>
              <w:right w:val="nil"/>
            </w:tcBorders>
          </w:tcPr>
          <w:p>
            <w:pPr>
              <w:pStyle w:val="TableParagraph"/>
              <w:spacing w:before="26"/>
              <w:ind w:right="61"/>
              <w:rPr>
                <w:sz w:val="20"/>
              </w:rPr>
            </w:pPr>
            <w:r>
              <w:rPr>
                <w:sz w:val="20"/>
              </w:rPr>
              <w:t>0.45</w:t>
            </w:r>
          </w:p>
        </w:tc>
      </w:tr>
      <w:tr>
        <w:trPr>
          <w:trHeight w:val="300" w:hRule="exact"/>
        </w:trPr>
        <w:tc>
          <w:tcPr>
            <w:tcW w:w="996" w:type="dxa"/>
            <w:tcBorders>
              <w:top w:val="nil"/>
              <w:left w:val="nil"/>
              <w:bottom w:val="nil"/>
              <w:right w:val="nil"/>
            </w:tcBorders>
          </w:tcPr>
          <w:p>
            <w:pPr>
              <w:pStyle w:val="TableParagraph"/>
              <w:ind w:left="72"/>
              <w:jc w:val="left"/>
              <w:rPr>
                <w:sz w:val="20"/>
              </w:rPr>
            </w:pPr>
            <w:r>
              <w:rPr>
                <w:w w:val="100"/>
                <w:sz w:val="20"/>
              </w:rPr>
              <w:t>8</w:t>
            </w:r>
          </w:p>
        </w:tc>
        <w:tc>
          <w:tcPr>
            <w:tcW w:w="1042" w:type="dxa"/>
            <w:tcBorders>
              <w:top w:val="nil"/>
              <w:left w:val="nil"/>
              <w:bottom w:val="nil"/>
              <w:right w:val="nil"/>
            </w:tcBorders>
          </w:tcPr>
          <w:p>
            <w:pPr>
              <w:pStyle w:val="TableParagraph"/>
              <w:ind w:left="94"/>
              <w:jc w:val="left"/>
              <w:rPr>
                <w:sz w:val="20"/>
              </w:rPr>
            </w:pPr>
            <w:r>
              <w:rPr>
                <w:sz w:val="20"/>
              </w:rPr>
              <w:t>15001</w:t>
            </w:r>
          </w:p>
        </w:tc>
        <w:tc>
          <w:tcPr>
            <w:tcW w:w="982" w:type="dxa"/>
            <w:tcBorders>
              <w:top w:val="nil"/>
              <w:left w:val="nil"/>
              <w:bottom w:val="nil"/>
              <w:right w:val="nil"/>
            </w:tcBorders>
          </w:tcPr>
          <w:p>
            <w:pPr>
              <w:pStyle w:val="TableParagraph"/>
              <w:ind w:right="118"/>
              <w:rPr>
                <w:sz w:val="20"/>
              </w:rPr>
            </w:pPr>
            <w:r>
              <w:rPr>
                <w:sz w:val="20"/>
              </w:rPr>
              <w:t>0.53</w:t>
            </w:r>
          </w:p>
        </w:tc>
        <w:tc>
          <w:tcPr>
            <w:tcW w:w="939" w:type="dxa"/>
            <w:tcBorders>
              <w:top w:val="nil"/>
              <w:left w:val="nil"/>
              <w:bottom w:val="nil"/>
              <w:right w:val="nil"/>
            </w:tcBorders>
          </w:tcPr>
          <w:p>
            <w:pPr>
              <w:pStyle w:val="TableParagraph"/>
              <w:ind w:right="115"/>
              <w:rPr>
                <w:sz w:val="20"/>
              </w:rPr>
            </w:pPr>
            <w:r>
              <w:rPr>
                <w:sz w:val="20"/>
              </w:rPr>
              <w:t>0.34</w:t>
            </w:r>
          </w:p>
        </w:tc>
        <w:tc>
          <w:tcPr>
            <w:tcW w:w="925" w:type="dxa"/>
            <w:tcBorders>
              <w:top w:val="nil"/>
              <w:left w:val="nil"/>
              <w:bottom w:val="nil"/>
              <w:right w:val="nil"/>
            </w:tcBorders>
          </w:tcPr>
          <w:p>
            <w:pPr>
              <w:pStyle w:val="TableParagraph"/>
              <w:ind w:right="103"/>
              <w:rPr>
                <w:sz w:val="20"/>
              </w:rPr>
            </w:pPr>
            <w:r>
              <w:rPr>
                <w:sz w:val="20"/>
              </w:rPr>
              <w:t>0.43</w:t>
            </w:r>
          </w:p>
        </w:tc>
        <w:tc>
          <w:tcPr>
            <w:tcW w:w="895" w:type="dxa"/>
            <w:tcBorders>
              <w:top w:val="nil"/>
              <w:left w:val="nil"/>
              <w:bottom w:val="nil"/>
              <w:right w:val="nil"/>
            </w:tcBorders>
          </w:tcPr>
          <w:p>
            <w:pPr>
              <w:pStyle w:val="TableParagraph"/>
              <w:ind w:right="120"/>
              <w:rPr>
                <w:sz w:val="20"/>
              </w:rPr>
            </w:pPr>
            <w:r>
              <w:rPr>
                <w:sz w:val="20"/>
              </w:rPr>
              <w:t>0.44</w:t>
            </w:r>
          </w:p>
        </w:tc>
        <w:tc>
          <w:tcPr>
            <w:tcW w:w="936" w:type="dxa"/>
            <w:tcBorders>
              <w:top w:val="nil"/>
              <w:left w:val="nil"/>
              <w:bottom w:val="nil"/>
              <w:right w:val="nil"/>
            </w:tcBorders>
          </w:tcPr>
          <w:p>
            <w:pPr>
              <w:pStyle w:val="TableParagraph"/>
              <w:ind w:right="110"/>
              <w:rPr>
                <w:sz w:val="20"/>
              </w:rPr>
            </w:pPr>
            <w:r>
              <w:rPr>
                <w:sz w:val="20"/>
              </w:rPr>
              <w:t>0.52</w:t>
            </w:r>
          </w:p>
        </w:tc>
        <w:tc>
          <w:tcPr>
            <w:tcW w:w="915" w:type="dxa"/>
            <w:tcBorders>
              <w:top w:val="nil"/>
              <w:left w:val="nil"/>
              <w:bottom w:val="nil"/>
              <w:right w:val="nil"/>
            </w:tcBorders>
          </w:tcPr>
          <w:p>
            <w:pPr>
              <w:pStyle w:val="TableParagraph"/>
              <w:ind w:right="108"/>
              <w:rPr>
                <w:sz w:val="20"/>
              </w:rPr>
            </w:pPr>
            <w:r>
              <w:rPr>
                <w:sz w:val="20"/>
              </w:rPr>
              <w:t>0.68</w:t>
            </w:r>
          </w:p>
        </w:tc>
        <w:tc>
          <w:tcPr>
            <w:tcW w:w="895" w:type="dxa"/>
            <w:tcBorders>
              <w:top w:val="nil"/>
              <w:left w:val="nil"/>
              <w:bottom w:val="nil"/>
              <w:right w:val="nil"/>
            </w:tcBorders>
          </w:tcPr>
          <w:p>
            <w:pPr>
              <w:pStyle w:val="TableParagraph"/>
              <w:ind w:right="106"/>
              <w:rPr>
                <w:sz w:val="20"/>
              </w:rPr>
            </w:pPr>
            <w:r>
              <w:rPr>
                <w:sz w:val="20"/>
              </w:rPr>
              <w:t>0.64</w:t>
            </w:r>
          </w:p>
        </w:tc>
        <w:tc>
          <w:tcPr>
            <w:tcW w:w="886" w:type="dxa"/>
            <w:tcBorders>
              <w:top w:val="nil"/>
              <w:left w:val="nil"/>
              <w:bottom w:val="nil"/>
              <w:right w:val="nil"/>
            </w:tcBorders>
          </w:tcPr>
          <w:p>
            <w:pPr>
              <w:pStyle w:val="TableParagraph"/>
              <w:ind w:right="108"/>
              <w:rPr>
                <w:sz w:val="20"/>
              </w:rPr>
            </w:pPr>
            <w:r>
              <w:rPr>
                <w:sz w:val="20"/>
              </w:rPr>
              <w:t>0.62</w:t>
            </w:r>
          </w:p>
        </w:tc>
        <w:tc>
          <w:tcPr>
            <w:tcW w:w="876" w:type="dxa"/>
            <w:tcBorders>
              <w:top w:val="nil"/>
              <w:left w:val="nil"/>
              <w:bottom w:val="nil"/>
              <w:right w:val="nil"/>
            </w:tcBorders>
          </w:tcPr>
          <w:p>
            <w:pPr>
              <w:pStyle w:val="TableParagraph"/>
              <w:ind w:right="86"/>
              <w:rPr>
                <w:sz w:val="20"/>
              </w:rPr>
            </w:pPr>
            <w:r>
              <w:rPr>
                <w:sz w:val="20"/>
              </w:rPr>
              <w:t>0.63</w:t>
            </w:r>
          </w:p>
        </w:tc>
        <w:tc>
          <w:tcPr>
            <w:tcW w:w="907" w:type="dxa"/>
            <w:tcBorders>
              <w:top w:val="nil"/>
              <w:left w:val="nil"/>
              <w:bottom w:val="nil"/>
              <w:right w:val="nil"/>
            </w:tcBorders>
          </w:tcPr>
          <w:p>
            <w:pPr>
              <w:pStyle w:val="TableParagraph"/>
              <w:ind w:right="96"/>
              <w:rPr>
                <w:sz w:val="20"/>
              </w:rPr>
            </w:pPr>
            <w:r>
              <w:rPr>
                <w:sz w:val="20"/>
              </w:rPr>
              <w:t>0.55</w:t>
            </w:r>
          </w:p>
        </w:tc>
        <w:tc>
          <w:tcPr>
            <w:tcW w:w="910" w:type="dxa"/>
            <w:tcBorders>
              <w:top w:val="nil"/>
              <w:left w:val="nil"/>
              <w:bottom w:val="nil"/>
              <w:right w:val="nil"/>
            </w:tcBorders>
          </w:tcPr>
          <w:p>
            <w:pPr>
              <w:pStyle w:val="TableParagraph"/>
              <w:ind w:right="79"/>
              <w:rPr>
                <w:sz w:val="20"/>
              </w:rPr>
            </w:pPr>
            <w:r>
              <w:rPr>
                <w:sz w:val="20"/>
              </w:rPr>
              <w:t>0.32</w:t>
            </w:r>
          </w:p>
        </w:tc>
        <w:tc>
          <w:tcPr>
            <w:tcW w:w="845" w:type="dxa"/>
            <w:tcBorders>
              <w:top w:val="nil"/>
              <w:left w:val="nil"/>
              <w:bottom w:val="nil"/>
              <w:right w:val="nil"/>
            </w:tcBorders>
          </w:tcPr>
          <w:p>
            <w:pPr>
              <w:pStyle w:val="TableParagraph"/>
              <w:ind w:right="61"/>
              <w:rPr>
                <w:sz w:val="20"/>
              </w:rPr>
            </w:pPr>
            <w:r>
              <w:rPr>
                <w:sz w:val="20"/>
              </w:rPr>
              <w:t>0.45</w:t>
            </w:r>
          </w:p>
        </w:tc>
      </w:tr>
      <w:tr>
        <w:trPr>
          <w:trHeight w:val="252" w:hRule="exact"/>
        </w:trPr>
        <w:tc>
          <w:tcPr>
            <w:tcW w:w="996" w:type="dxa"/>
            <w:tcBorders>
              <w:top w:val="nil"/>
              <w:left w:val="nil"/>
              <w:bottom w:val="nil"/>
              <w:right w:val="nil"/>
            </w:tcBorders>
          </w:tcPr>
          <w:p>
            <w:pPr>
              <w:pStyle w:val="TableParagraph"/>
              <w:spacing w:before="26"/>
              <w:ind w:left="72"/>
              <w:jc w:val="left"/>
              <w:rPr>
                <w:sz w:val="20"/>
              </w:rPr>
            </w:pPr>
            <w:r>
              <w:rPr>
                <w:w w:val="100"/>
                <w:sz w:val="20"/>
              </w:rPr>
              <w:t>9</w:t>
            </w:r>
          </w:p>
        </w:tc>
        <w:tc>
          <w:tcPr>
            <w:tcW w:w="1042" w:type="dxa"/>
            <w:tcBorders>
              <w:top w:val="nil"/>
              <w:left w:val="nil"/>
              <w:bottom w:val="nil"/>
              <w:right w:val="nil"/>
            </w:tcBorders>
          </w:tcPr>
          <w:p>
            <w:pPr>
              <w:pStyle w:val="TableParagraph"/>
              <w:spacing w:before="26"/>
              <w:ind w:left="94"/>
              <w:jc w:val="left"/>
              <w:rPr>
                <w:sz w:val="20"/>
              </w:rPr>
            </w:pPr>
            <w:r>
              <w:rPr>
                <w:sz w:val="20"/>
              </w:rPr>
              <w:t>15001</w:t>
            </w:r>
          </w:p>
        </w:tc>
        <w:tc>
          <w:tcPr>
            <w:tcW w:w="982" w:type="dxa"/>
            <w:tcBorders>
              <w:top w:val="nil"/>
              <w:left w:val="nil"/>
              <w:bottom w:val="nil"/>
              <w:right w:val="nil"/>
            </w:tcBorders>
          </w:tcPr>
          <w:p>
            <w:pPr>
              <w:pStyle w:val="TableParagraph"/>
              <w:spacing w:before="26"/>
              <w:ind w:right="118"/>
              <w:rPr>
                <w:sz w:val="20"/>
              </w:rPr>
            </w:pPr>
            <w:r>
              <w:rPr>
                <w:sz w:val="20"/>
              </w:rPr>
              <w:t>0.53</w:t>
            </w:r>
          </w:p>
        </w:tc>
        <w:tc>
          <w:tcPr>
            <w:tcW w:w="939" w:type="dxa"/>
            <w:tcBorders>
              <w:top w:val="nil"/>
              <w:left w:val="nil"/>
              <w:bottom w:val="nil"/>
              <w:right w:val="nil"/>
            </w:tcBorders>
          </w:tcPr>
          <w:p>
            <w:pPr>
              <w:pStyle w:val="TableParagraph"/>
              <w:spacing w:before="26"/>
              <w:ind w:right="115"/>
              <w:rPr>
                <w:sz w:val="20"/>
              </w:rPr>
            </w:pPr>
            <w:r>
              <w:rPr>
                <w:sz w:val="20"/>
              </w:rPr>
              <w:t>0.34</w:t>
            </w:r>
          </w:p>
        </w:tc>
        <w:tc>
          <w:tcPr>
            <w:tcW w:w="925" w:type="dxa"/>
            <w:tcBorders>
              <w:top w:val="nil"/>
              <w:left w:val="nil"/>
              <w:bottom w:val="nil"/>
              <w:right w:val="nil"/>
            </w:tcBorders>
          </w:tcPr>
          <w:p>
            <w:pPr>
              <w:pStyle w:val="TableParagraph"/>
              <w:spacing w:before="26"/>
              <w:ind w:right="103"/>
              <w:rPr>
                <w:sz w:val="20"/>
              </w:rPr>
            </w:pPr>
            <w:r>
              <w:rPr>
                <w:sz w:val="20"/>
              </w:rPr>
              <w:t>0.43</w:t>
            </w:r>
          </w:p>
        </w:tc>
        <w:tc>
          <w:tcPr>
            <w:tcW w:w="895" w:type="dxa"/>
            <w:tcBorders>
              <w:top w:val="nil"/>
              <w:left w:val="nil"/>
              <w:bottom w:val="nil"/>
              <w:right w:val="nil"/>
            </w:tcBorders>
          </w:tcPr>
          <w:p>
            <w:pPr>
              <w:pStyle w:val="TableParagraph"/>
              <w:spacing w:before="26"/>
              <w:ind w:right="120"/>
              <w:rPr>
                <w:sz w:val="20"/>
              </w:rPr>
            </w:pPr>
            <w:r>
              <w:rPr>
                <w:sz w:val="20"/>
              </w:rPr>
              <w:t>0.44</w:t>
            </w:r>
          </w:p>
        </w:tc>
        <w:tc>
          <w:tcPr>
            <w:tcW w:w="936" w:type="dxa"/>
            <w:tcBorders>
              <w:top w:val="nil"/>
              <w:left w:val="nil"/>
              <w:bottom w:val="nil"/>
              <w:right w:val="nil"/>
            </w:tcBorders>
          </w:tcPr>
          <w:p>
            <w:pPr>
              <w:pStyle w:val="TableParagraph"/>
              <w:spacing w:before="26"/>
              <w:ind w:right="110"/>
              <w:rPr>
                <w:sz w:val="20"/>
              </w:rPr>
            </w:pPr>
            <w:r>
              <w:rPr>
                <w:sz w:val="20"/>
              </w:rPr>
              <w:t>0.52</w:t>
            </w:r>
          </w:p>
        </w:tc>
        <w:tc>
          <w:tcPr>
            <w:tcW w:w="915" w:type="dxa"/>
            <w:tcBorders>
              <w:top w:val="nil"/>
              <w:left w:val="nil"/>
              <w:bottom w:val="nil"/>
              <w:right w:val="nil"/>
            </w:tcBorders>
          </w:tcPr>
          <w:p>
            <w:pPr>
              <w:pStyle w:val="TableParagraph"/>
              <w:spacing w:before="26"/>
              <w:ind w:right="108"/>
              <w:rPr>
                <w:sz w:val="20"/>
              </w:rPr>
            </w:pPr>
            <w:r>
              <w:rPr>
                <w:sz w:val="20"/>
              </w:rPr>
              <w:t>0.68</w:t>
            </w:r>
          </w:p>
        </w:tc>
        <w:tc>
          <w:tcPr>
            <w:tcW w:w="895" w:type="dxa"/>
            <w:tcBorders>
              <w:top w:val="nil"/>
              <w:left w:val="nil"/>
              <w:bottom w:val="nil"/>
              <w:right w:val="nil"/>
            </w:tcBorders>
          </w:tcPr>
          <w:p>
            <w:pPr>
              <w:pStyle w:val="TableParagraph"/>
              <w:spacing w:before="26"/>
              <w:ind w:right="106"/>
              <w:rPr>
                <w:sz w:val="20"/>
              </w:rPr>
            </w:pPr>
            <w:r>
              <w:rPr>
                <w:sz w:val="20"/>
              </w:rPr>
              <w:t>0.64</w:t>
            </w:r>
          </w:p>
        </w:tc>
        <w:tc>
          <w:tcPr>
            <w:tcW w:w="886" w:type="dxa"/>
            <w:tcBorders>
              <w:top w:val="nil"/>
              <w:left w:val="nil"/>
              <w:bottom w:val="nil"/>
              <w:right w:val="nil"/>
            </w:tcBorders>
          </w:tcPr>
          <w:p>
            <w:pPr>
              <w:pStyle w:val="TableParagraph"/>
              <w:spacing w:before="26"/>
              <w:ind w:right="108"/>
              <w:rPr>
                <w:sz w:val="20"/>
              </w:rPr>
            </w:pPr>
            <w:r>
              <w:rPr>
                <w:sz w:val="20"/>
              </w:rPr>
              <w:t>0.62</w:t>
            </w:r>
          </w:p>
        </w:tc>
        <w:tc>
          <w:tcPr>
            <w:tcW w:w="876" w:type="dxa"/>
            <w:tcBorders>
              <w:top w:val="nil"/>
              <w:left w:val="nil"/>
              <w:bottom w:val="nil"/>
              <w:right w:val="nil"/>
            </w:tcBorders>
          </w:tcPr>
          <w:p>
            <w:pPr>
              <w:pStyle w:val="TableParagraph"/>
              <w:spacing w:before="26"/>
              <w:ind w:right="86"/>
              <w:rPr>
                <w:sz w:val="20"/>
              </w:rPr>
            </w:pPr>
            <w:r>
              <w:rPr>
                <w:sz w:val="20"/>
              </w:rPr>
              <w:t>0.63</w:t>
            </w:r>
          </w:p>
        </w:tc>
        <w:tc>
          <w:tcPr>
            <w:tcW w:w="907" w:type="dxa"/>
            <w:tcBorders>
              <w:top w:val="nil"/>
              <w:left w:val="nil"/>
              <w:bottom w:val="nil"/>
              <w:right w:val="nil"/>
            </w:tcBorders>
          </w:tcPr>
          <w:p>
            <w:pPr>
              <w:pStyle w:val="TableParagraph"/>
              <w:spacing w:before="26"/>
              <w:ind w:right="96"/>
              <w:rPr>
                <w:sz w:val="20"/>
              </w:rPr>
            </w:pPr>
            <w:r>
              <w:rPr>
                <w:sz w:val="20"/>
              </w:rPr>
              <w:t>0.55</w:t>
            </w:r>
          </w:p>
        </w:tc>
        <w:tc>
          <w:tcPr>
            <w:tcW w:w="910" w:type="dxa"/>
            <w:tcBorders>
              <w:top w:val="nil"/>
              <w:left w:val="nil"/>
              <w:bottom w:val="nil"/>
              <w:right w:val="nil"/>
            </w:tcBorders>
          </w:tcPr>
          <w:p>
            <w:pPr>
              <w:pStyle w:val="TableParagraph"/>
              <w:spacing w:before="26"/>
              <w:ind w:right="79"/>
              <w:rPr>
                <w:sz w:val="20"/>
              </w:rPr>
            </w:pPr>
            <w:r>
              <w:rPr>
                <w:sz w:val="20"/>
              </w:rPr>
              <w:t>0.32</w:t>
            </w:r>
          </w:p>
        </w:tc>
        <w:tc>
          <w:tcPr>
            <w:tcW w:w="845" w:type="dxa"/>
            <w:tcBorders>
              <w:top w:val="nil"/>
              <w:left w:val="nil"/>
              <w:bottom w:val="nil"/>
              <w:right w:val="nil"/>
            </w:tcBorders>
          </w:tcPr>
          <w:p>
            <w:pPr>
              <w:pStyle w:val="TableParagraph"/>
              <w:spacing w:before="26"/>
              <w:ind w:right="61"/>
              <w:rPr>
                <w:sz w:val="20"/>
              </w:rPr>
            </w:pPr>
            <w:r>
              <w:rPr>
                <w:sz w:val="20"/>
              </w:rPr>
              <w:t>0.45</w:t>
            </w:r>
          </w:p>
        </w:tc>
      </w:tr>
    </w:tbl>
    <w:p>
      <w:pPr>
        <w:spacing w:after="0"/>
        <w:rPr>
          <w:sz w:val="20"/>
        </w:rPr>
        <w:sectPr>
          <w:pgSz w:w="15840" w:h="12240" w:orient="landscape"/>
          <w:pgMar w:header="0" w:footer="1474" w:top="1140" w:bottom="1660" w:left="1300" w:right="820"/>
        </w:sectPr>
      </w:pPr>
    </w:p>
    <w:p>
      <w:pPr>
        <w:pStyle w:val="BodyText"/>
        <w:rPr>
          <w:b/>
          <w:sz w:val="17"/>
        </w:rPr>
      </w:pPr>
    </w:p>
    <w:p>
      <w:pPr>
        <w:spacing w:before="72"/>
        <w:ind w:left="116" w:right="0" w:firstLine="0"/>
        <w:jc w:val="left"/>
        <w:rPr>
          <w:sz w:val="22"/>
        </w:rPr>
      </w:pPr>
      <w:r>
        <w:rPr>
          <w:sz w:val="22"/>
        </w:rPr>
        <w:t>Continuación Tabla 14.</w:t>
      </w:r>
    </w:p>
    <w:p>
      <w:pPr>
        <w:pStyle w:val="BodyText"/>
        <w:spacing w:before="9"/>
        <w:rPr>
          <w:sz w:val="21"/>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10"/>
        <w:gridCol w:w="1042"/>
        <w:gridCol w:w="982"/>
        <w:gridCol w:w="939"/>
        <w:gridCol w:w="925"/>
        <w:gridCol w:w="895"/>
        <w:gridCol w:w="936"/>
        <w:gridCol w:w="915"/>
        <w:gridCol w:w="895"/>
        <w:gridCol w:w="886"/>
        <w:gridCol w:w="876"/>
        <w:gridCol w:w="907"/>
        <w:gridCol w:w="910"/>
        <w:gridCol w:w="845"/>
      </w:tblGrid>
      <w:tr>
        <w:trPr>
          <w:trHeight w:val="610" w:hRule="exact"/>
        </w:trPr>
        <w:tc>
          <w:tcPr>
            <w:tcW w:w="1010" w:type="dxa"/>
            <w:tcBorders>
              <w:left w:val="nil"/>
              <w:right w:val="nil"/>
            </w:tcBorders>
          </w:tcPr>
          <w:p>
            <w:pPr>
              <w:pStyle w:val="TableParagraph"/>
              <w:spacing w:before="110"/>
              <w:ind w:left="129"/>
              <w:jc w:val="left"/>
              <w:rPr>
                <w:sz w:val="16"/>
              </w:rPr>
            </w:pPr>
            <w:r>
              <w:rPr>
                <w:sz w:val="16"/>
              </w:rPr>
              <w:t>SUBBASIN</w:t>
            </w:r>
          </w:p>
        </w:tc>
        <w:tc>
          <w:tcPr>
            <w:tcW w:w="1042" w:type="dxa"/>
            <w:tcBorders>
              <w:left w:val="nil"/>
              <w:right w:val="nil"/>
            </w:tcBorders>
          </w:tcPr>
          <w:p>
            <w:pPr>
              <w:pStyle w:val="TableParagraph"/>
              <w:spacing w:before="110"/>
              <w:ind w:left="190"/>
              <w:jc w:val="left"/>
              <w:rPr>
                <w:sz w:val="16"/>
              </w:rPr>
            </w:pPr>
            <w:r>
              <w:rPr>
                <w:sz w:val="16"/>
              </w:rPr>
              <w:t>STATION</w:t>
            </w:r>
          </w:p>
        </w:tc>
        <w:tc>
          <w:tcPr>
            <w:tcW w:w="982" w:type="dxa"/>
            <w:tcBorders>
              <w:left w:val="nil"/>
              <w:right w:val="nil"/>
            </w:tcBorders>
          </w:tcPr>
          <w:p>
            <w:pPr>
              <w:pStyle w:val="TableParagraph"/>
              <w:spacing w:before="110"/>
              <w:ind w:left="171"/>
              <w:jc w:val="left"/>
              <w:rPr>
                <w:sz w:val="16"/>
              </w:rPr>
            </w:pPr>
            <w:r>
              <w:rPr>
                <w:sz w:val="16"/>
              </w:rPr>
              <w:t>PR_W21</w:t>
            </w:r>
          </w:p>
        </w:tc>
        <w:tc>
          <w:tcPr>
            <w:tcW w:w="939" w:type="dxa"/>
            <w:tcBorders>
              <w:left w:val="nil"/>
              <w:right w:val="nil"/>
            </w:tcBorders>
          </w:tcPr>
          <w:p>
            <w:pPr>
              <w:pStyle w:val="TableParagraph"/>
              <w:spacing w:before="110"/>
              <w:ind w:left="120"/>
              <w:jc w:val="left"/>
              <w:rPr>
                <w:sz w:val="16"/>
              </w:rPr>
            </w:pPr>
            <w:r>
              <w:rPr>
                <w:sz w:val="16"/>
              </w:rPr>
              <w:t>PR_W22</w:t>
            </w:r>
          </w:p>
        </w:tc>
        <w:tc>
          <w:tcPr>
            <w:tcW w:w="925" w:type="dxa"/>
            <w:tcBorders>
              <w:left w:val="nil"/>
              <w:right w:val="nil"/>
            </w:tcBorders>
          </w:tcPr>
          <w:p>
            <w:pPr>
              <w:pStyle w:val="TableParagraph"/>
              <w:spacing w:before="110"/>
              <w:ind w:left="117"/>
              <w:jc w:val="left"/>
              <w:rPr>
                <w:sz w:val="16"/>
              </w:rPr>
            </w:pPr>
            <w:r>
              <w:rPr>
                <w:sz w:val="16"/>
              </w:rPr>
              <w:t>PR_W23</w:t>
            </w:r>
          </w:p>
        </w:tc>
        <w:tc>
          <w:tcPr>
            <w:tcW w:w="895" w:type="dxa"/>
            <w:tcBorders>
              <w:left w:val="nil"/>
              <w:right w:val="nil"/>
            </w:tcBorders>
          </w:tcPr>
          <w:p>
            <w:pPr>
              <w:pStyle w:val="TableParagraph"/>
              <w:spacing w:before="110"/>
              <w:ind w:left="105"/>
              <w:jc w:val="left"/>
              <w:rPr>
                <w:sz w:val="16"/>
              </w:rPr>
            </w:pPr>
            <w:r>
              <w:rPr>
                <w:sz w:val="16"/>
              </w:rPr>
              <w:t>PR_W24</w:t>
            </w:r>
          </w:p>
        </w:tc>
        <w:tc>
          <w:tcPr>
            <w:tcW w:w="936" w:type="dxa"/>
            <w:tcBorders>
              <w:left w:val="nil"/>
              <w:right w:val="nil"/>
            </w:tcBorders>
          </w:tcPr>
          <w:p>
            <w:pPr>
              <w:pStyle w:val="TableParagraph"/>
              <w:spacing w:before="110"/>
              <w:ind w:left="122"/>
              <w:jc w:val="left"/>
              <w:rPr>
                <w:sz w:val="16"/>
              </w:rPr>
            </w:pPr>
            <w:r>
              <w:rPr>
                <w:sz w:val="16"/>
              </w:rPr>
              <w:t>PR_W25</w:t>
            </w:r>
          </w:p>
        </w:tc>
        <w:tc>
          <w:tcPr>
            <w:tcW w:w="915" w:type="dxa"/>
            <w:tcBorders>
              <w:left w:val="nil"/>
              <w:right w:val="nil"/>
            </w:tcBorders>
          </w:tcPr>
          <w:p>
            <w:pPr>
              <w:pStyle w:val="TableParagraph"/>
              <w:spacing w:before="110"/>
              <w:ind w:left="112"/>
              <w:jc w:val="left"/>
              <w:rPr>
                <w:sz w:val="16"/>
              </w:rPr>
            </w:pPr>
            <w:r>
              <w:rPr>
                <w:sz w:val="16"/>
              </w:rPr>
              <w:t>PR_W26</w:t>
            </w:r>
          </w:p>
        </w:tc>
        <w:tc>
          <w:tcPr>
            <w:tcW w:w="895" w:type="dxa"/>
            <w:tcBorders>
              <w:left w:val="nil"/>
              <w:right w:val="nil"/>
            </w:tcBorders>
          </w:tcPr>
          <w:p>
            <w:pPr>
              <w:pStyle w:val="TableParagraph"/>
              <w:spacing w:before="110"/>
              <w:ind w:left="110"/>
              <w:jc w:val="left"/>
              <w:rPr>
                <w:sz w:val="16"/>
              </w:rPr>
            </w:pPr>
            <w:r>
              <w:rPr>
                <w:sz w:val="16"/>
              </w:rPr>
              <w:t>PR_W27</w:t>
            </w:r>
          </w:p>
        </w:tc>
        <w:tc>
          <w:tcPr>
            <w:tcW w:w="886" w:type="dxa"/>
            <w:tcBorders>
              <w:left w:val="nil"/>
              <w:right w:val="nil"/>
            </w:tcBorders>
          </w:tcPr>
          <w:p>
            <w:pPr>
              <w:pStyle w:val="TableParagraph"/>
              <w:spacing w:before="110"/>
              <w:ind w:left="108"/>
              <w:jc w:val="left"/>
              <w:rPr>
                <w:sz w:val="16"/>
              </w:rPr>
            </w:pPr>
            <w:r>
              <w:rPr>
                <w:sz w:val="16"/>
              </w:rPr>
              <w:t>PR_W28</w:t>
            </w:r>
          </w:p>
        </w:tc>
        <w:tc>
          <w:tcPr>
            <w:tcW w:w="876" w:type="dxa"/>
            <w:tcBorders>
              <w:left w:val="nil"/>
              <w:right w:val="nil"/>
            </w:tcBorders>
          </w:tcPr>
          <w:p>
            <w:pPr>
              <w:pStyle w:val="TableParagraph"/>
              <w:spacing w:before="110"/>
              <w:ind w:left="110"/>
              <w:jc w:val="left"/>
              <w:rPr>
                <w:sz w:val="16"/>
              </w:rPr>
            </w:pPr>
            <w:r>
              <w:rPr>
                <w:sz w:val="16"/>
              </w:rPr>
              <w:t>PR_W29</w:t>
            </w:r>
          </w:p>
        </w:tc>
        <w:tc>
          <w:tcPr>
            <w:tcW w:w="907" w:type="dxa"/>
            <w:tcBorders>
              <w:left w:val="nil"/>
              <w:right w:val="nil"/>
            </w:tcBorders>
          </w:tcPr>
          <w:p>
            <w:pPr>
              <w:pStyle w:val="TableParagraph"/>
              <w:spacing w:before="110"/>
              <w:ind w:right="152"/>
              <w:rPr>
                <w:sz w:val="16"/>
              </w:rPr>
            </w:pPr>
            <w:r>
              <w:rPr>
                <w:w w:val="95"/>
                <w:sz w:val="16"/>
              </w:rPr>
              <w:t>PR_W210</w:t>
            </w:r>
          </w:p>
        </w:tc>
        <w:tc>
          <w:tcPr>
            <w:tcW w:w="910" w:type="dxa"/>
            <w:tcBorders>
              <w:left w:val="nil"/>
              <w:right w:val="nil"/>
            </w:tcBorders>
          </w:tcPr>
          <w:p>
            <w:pPr>
              <w:pStyle w:val="TableParagraph"/>
              <w:spacing w:before="110"/>
              <w:ind w:right="144"/>
              <w:rPr>
                <w:sz w:val="16"/>
              </w:rPr>
            </w:pPr>
            <w:r>
              <w:rPr>
                <w:w w:val="95"/>
                <w:sz w:val="16"/>
              </w:rPr>
              <w:t>PR_W211</w:t>
            </w:r>
          </w:p>
        </w:tc>
        <w:tc>
          <w:tcPr>
            <w:tcW w:w="845" w:type="dxa"/>
            <w:tcBorders>
              <w:left w:val="nil"/>
              <w:right w:val="nil"/>
            </w:tcBorders>
          </w:tcPr>
          <w:p>
            <w:pPr>
              <w:pStyle w:val="TableParagraph"/>
              <w:spacing w:before="110"/>
              <w:ind w:right="97"/>
              <w:rPr>
                <w:sz w:val="16"/>
              </w:rPr>
            </w:pPr>
            <w:r>
              <w:rPr>
                <w:w w:val="95"/>
                <w:sz w:val="16"/>
              </w:rPr>
              <w:t>PR_W212</w:t>
            </w:r>
          </w:p>
        </w:tc>
      </w:tr>
      <w:tr>
        <w:trPr>
          <w:trHeight w:val="339" w:hRule="exact"/>
        </w:trPr>
        <w:tc>
          <w:tcPr>
            <w:tcW w:w="1010" w:type="dxa"/>
            <w:tcBorders>
              <w:left w:val="nil"/>
              <w:bottom w:val="nil"/>
              <w:right w:val="nil"/>
            </w:tcBorders>
          </w:tcPr>
          <w:p>
            <w:pPr>
              <w:pStyle w:val="TableParagraph"/>
              <w:spacing w:before="58"/>
              <w:ind w:left="86"/>
              <w:jc w:val="left"/>
              <w:rPr>
                <w:sz w:val="20"/>
              </w:rPr>
            </w:pPr>
            <w:r>
              <w:rPr>
                <w:sz w:val="20"/>
              </w:rPr>
              <w:t>10</w:t>
            </w:r>
          </w:p>
        </w:tc>
        <w:tc>
          <w:tcPr>
            <w:tcW w:w="1042" w:type="dxa"/>
            <w:tcBorders>
              <w:left w:val="nil"/>
              <w:bottom w:val="nil"/>
              <w:right w:val="nil"/>
            </w:tcBorders>
          </w:tcPr>
          <w:p>
            <w:pPr>
              <w:pStyle w:val="TableParagraph"/>
              <w:spacing w:before="58"/>
              <w:ind w:left="94"/>
              <w:jc w:val="left"/>
              <w:rPr>
                <w:sz w:val="20"/>
              </w:rPr>
            </w:pPr>
            <w:r>
              <w:rPr>
                <w:sz w:val="20"/>
              </w:rPr>
              <w:t>15001</w:t>
            </w:r>
          </w:p>
        </w:tc>
        <w:tc>
          <w:tcPr>
            <w:tcW w:w="982" w:type="dxa"/>
            <w:tcBorders>
              <w:left w:val="nil"/>
              <w:bottom w:val="nil"/>
              <w:right w:val="nil"/>
            </w:tcBorders>
          </w:tcPr>
          <w:p>
            <w:pPr>
              <w:pStyle w:val="TableParagraph"/>
              <w:spacing w:before="58"/>
              <w:ind w:right="118"/>
              <w:rPr>
                <w:sz w:val="20"/>
              </w:rPr>
            </w:pPr>
            <w:r>
              <w:rPr>
                <w:sz w:val="20"/>
              </w:rPr>
              <w:t>0.53</w:t>
            </w:r>
          </w:p>
        </w:tc>
        <w:tc>
          <w:tcPr>
            <w:tcW w:w="939" w:type="dxa"/>
            <w:tcBorders>
              <w:left w:val="nil"/>
              <w:bottom w:val="nil"/>
              <w:right w:val="nil"/>
            </w:tcBorders>
          </w:tcPr>
          <w:p>
            <w:pPr>
              <w:pStyle w:val="TableParagraph"/>
              <w:spacing w:before="58"/>
              <w:ind w:right="115"/>
              <w:rPr>
                <w:sz w:val="20"/>
              </w:rPr>
            </w:pPr>
            <w:r>
              <w:rPr>
                <w:sz w:val="20"/>
              </w:rPr>
              <w:t>0.34</w:t>
            </w:r>
          </w:p>
        </w:tc>
        <w:tc>
          <w:tcPr>
            <w:tcW w:w="925" w:type="dxa"/>
            <w:tcBorders>
              <w:left w:val="nil"/>
              <w:bottom w:val="nil"/>
              <w:right w:val="nil"/>
            </w:tcBorders>
          </w:tcPr>
          <w:p>
            <w:pPr>
              <w:pStyle w:val="TableParagraph"/>
              <w:spacing w:before="58"/>
              <w:ind w:right="103"/>
              <w:rPr>
                <w:sz w:val="20"/>
              </w:rPr>
            </w:pPr>
            <w:r>
              <w:rPr>
                <w:sz w:val="20"/>
              </w:rPr>
              <w:t>0.43</w:t>
            </w:r>
          </w:p>
        </w:tc>
        <w:tc>
          <w:tcPr>
            <w:tcW w:w="895" w:type="dxa"/>
            <w:tcBorders>
              <w:left w:val="nil"/>
              <w:bottom w:val="nil"/>
              <w:right w:val="nil"/>
            </w:tcBorders>
          </w:tcPr>
          <w:p>
            <w:pPr>
              <w:pStyle w:val="TableParagraph"/>
              <w:spacing w:before="58"/>
              <w:ind w:right="120"/>
              <w:rPr>
                <w:sz w:val="20"/>
              </w:rPr>
            </w:pPr>
            <w:r>
              <w:rPr>
                <w:sz w:val="20"/>
              </w:rPr>
              <w:t>0.44</w:t>
            </w:r>
          </w:p>
        </w:tc>
        <w:tc>
          <w:tcPr>
            <w:tcW w:w="936" w:type="dxa"/>
            <w:tcBorders>
              <w:left w:val="nil"/>
              <w:bottom w:val="nil"/>
              <w:right w:val="nil"/>
            </w:tcBorders>
          </w:tcPr>
          <w:p>
            <w:pPr>
              <w:pStyle w:val="TableParagraph"/>
              <w:spacing w:before="58"/>
              <w:ind w:right="110"/>
              <w:rPr>
                <w:sz w:val="20"/>
              </w:rPr>
            </w:pPr>
            <w:r>
              <w:rPr>
                <w:sz w:val="20"/>
              </w:rPr>
              <w:t>0.52</w:t>
            </w:r>
          </w:p>
        </w:tc>
        <w:tc>
          <w:tcPr>
            <w:tcW w:w="915" w:type="dxa"/>
            <w:tcBorders>
              <w:left w:val="nil"/>
              <w:bottom w:val="nil"/>
              <w:right w:val="nil"/>
            </w:tcBorders>
          </w:tcPr>
          <w:p>
            <w:pPr>
              <w:pStyle w:val="TableParagraph"/>
              <w:spacing w:before="58"/>
              <w:ind w:right="108"/>
              <w:rPr>
                <w:sz w:val="20"/>
              </w:rPr>
            </w:pPr>
            <w:r>
              <w:rPr>
                <w:sz w:val="20"/>
              </w:rPr>
              <w:t>0.68</w:t>
            </w:r>
          </w:p>
        </w:tc>
        <w:tc>
          <w:tcPr>
            <w:tcW w:w="895" w:type="dxa"/>
            <w:tcBorders>
              <w:left w:val="nil"/>
              <w:bottom w:val="nil"/>
              <w:right w:val="nil"/>
            </w:tcBorders>
          </w:tcPr>
          <w:p>
            <w:pPr>
              <w:pStyle w:val="TableParagraph"/>
              <w:spacing w:before="58"/>
              <w:ind w:right="106"/>
              <w:rPr>
                <w:sz w:val="20"/>
              </w:rPr>
            </w:pPr>
            <w:r>
              <w:rPr>
                <w:sz w:val="20"/>
              </w:rPr>
              <w:t>0.64</w:t>
            </w:r>
          </w:p>
        </w:tc>
        <w:tc>
          <w:tcPr>
            <w:tcW w:w="886" w:type="dxa"/>
            <w:tcBorders>
              <w:left w:val="nil"/>
              <w:bottom w:val="nil"/>
              <w:right w:val="nil"/>
            </w:tcBorders>
          </w:tcPr>
          <w:p>
            <w:pPr>
              <w:pStyle w:val="TableParagraph"/>
              <w:spacing w:before="58"/>
              <w:ind w:right="108"/>
              <w:rPr>
                <w:sz w:val="20"/>
              </w:rPr>
            </w:pPr>
            <w:r>
              <w:rPr>
                <w:sz w:val="20"/>
              </w:rPr>
              <w:t>0.62</w:t>
            </w:r>
          </w:p>
        </w:tc>
        <w:tc>
          <w:tcPr>
            <w:tcW w:w="876" w:type="dxa"/>
            <w:tcBorders>
              <w:left w:val="nil"/>
              <w:bottom w:val="nil"/>
              <w:right w:val="nil"/>
            </w:tcBorders>
          </w:tcPr>
          <w:p>
            <w:pPr>
              <w:pStyle w:val="TableParagraph"/>
              <w:spacing w:before="58"/>
              <w:ind w:right="86"/>
              <w:rPr>
                <w:sz w:val="20"/>
              </w:rPr>
            </w:pPr>
            <w:r>
              <w:rPr>
                <w:sz w:val="20"/>
              </w:rPr>
              <w:t>0.63</w:t>
            </w:r>
          </w:p>
        </w:tc>
        <w:tc>
          <w:tcPr>
            <w:tcW w:w="907" w:type="dxa"/>
            <w:tcBorders>
              <w:left w:val="nil"/>
              <w:bottom w:val="nil"/>
              <w:right w:val="nil"/>
            </w:tcBorders>
          </w:tcPr>
          <w:p>
            <w:pPr>
              <w:pStyle w:val="TableParagraph"/>
              <w:spacing w:before="58"/>
              <w:ind w:right="96"/>
              <w:rPr>
                <w:sz w:val="20"/>
              </w:rPr>
            </w:pPr>
            <w:r>
              <w:rPr>
                <w:sz w:val="20"/>
              </w:rPr>
              <w:t>0.55</w:t>
            </w:r>
          </w:p>
        </w:tc>
        <w:tc>
          <w:tcPr>
            <w:tcW w:w="910" w:type="dxa"/>
            <w:tcBorders>
              <w:left w:val="nil"/>
              <w:bottom w:val="nil"/>
              <w:right w:val="nil"/>
            </w:tcBorders>
          </w:tcPr>
          <w:p>
            <w:pPr>
              <w:pStyle w:val="TableParagraph"/>
              <w:spacing w:before="58"/>
              <w:ind w:right="79"/>
              <w:rPr>
                <w:sz w:val="20"/>
              </w:rPr>
            </w:pPr>
            <w:r>
              <w:rPr>
                <w:sz w:val="20"/>
              </w:rPr>
              <w:t>0.32</w:t>
            </w:r>
          </w:p>
        </w:tc>
        <w:tc>
          <w:tcPr>
            <w:tcW w:w="845" w:type="dxa"/>
            <w:tcBorders>
              <w:left w:val="nil"/>
              <w:bottom w:val="nil"/>
              <w:right w:val="nil"/>
            </w:tcBorders>
          </w:tcPr>
          <w:p>
            <w:pPr>
              <w:pStyle w:val="TableParagraph"/>
              <w:spacing w:before="58"/>
              <w:ind w:right="61"/>
              <w:rPr>
                <w:sz w:val="20"/>
              </w:rPr>
            </w:pPr>
            <w:r>
              <w:rPr>
                <w:sz w:val="20"/>
              </w:rPr>
              <w:t>0.45</w:t>
            </w:r>
          </w:p>
        </w:tc>
      </w:tr>
      <w:tr>
        <w:trPr>
          <w:trHeight w:val="300" w:hRule="exact"/>
        </w:trPr>
        <w:tc>
          <w:tcPr>
            <w:tcW w:w="1010" w:type="dxa"/>
            <w:tcBorders>
              <w:top w:val="nil"/>
              <w:left w:val="nil"/>
              <w:bottom w:val="nil"/>
              <w:right w:val="nil"/>
            </w:tcBorders>
          </w:tcPr>
          <w:p>
            <w:pPr>
              <w:pStyle w:val="TableParagraph"/>
              <w:spacing w:before="26"/>
              <w:ind w:left="86"/>
              <w:jc w:val="left"/>
              <w:rPr>
                <w:sz w:val="20"/>
              </w:rPr>
            </w:pPr>
            <w:r>
              <w:rPr>
                <w:sz w:val="20"/>
              </w:rPr>
              <w:t>11</w:t>
            </w:r>
          </w:p>
        </w:tc>
        <w:tc>
          <w:tcPr>
            <w:tcW w:w="1042" w:type="dxa"/>
            <w:tcBorders>
              <w:top w:val="nil"/>
              <w:left w:val="nil"/>
              <w:bottom w:val="nil"/>
              <w:right w:val="nil"/>
            </w:tcBorders>
          </w:tcPr>
          <w:p>
            <w:pPr>
              <w:pStyle w:val="TableParagraph"/>
              <w:spacing w:before="26"/>
              <w:ind w:left="94"/>
              <w:jc w:val="left"/>
              <w:rPr>
                <w:sz w:val="20"/>
              </w:rPr>
            </w:pPr>
            <w:r>
              <w:rPr>
                <w:sz w:val="20"/>
              </w:rPr>
              <w:t>15001</w:t>
            </w:r>
          </w:p>
        </w:tc>
        <w:tc>
          <w:tcPr>
            <w:tcW w:w="982" w:type="dxa"/>
            <w:tcBorders>
              <w:top w:val="nil"/>
              <w:left w:val="nil"/>
              <w:bottom w:val="nil"/>
              <w:right w:val="nil"/>
            </w:tcBorders>
          </w:tcPr>
          <w:p>
            <w:pPr>
              <w:pStyle w:val="TableParagraph"/>
              <w:spacing w:before="26"/>
              <w:ind w:right="118"/>
              <w:rPr>
                <w:sz w:val="20"/>
              </w:rPr>
            </w:pPr>
            <w:r>
              <w:rPr>
                <w:sz w:val="20"/>
              </w:rPr>
              <w:t>0.53</w:t>
            </w:r>
          </w:p>
        </w:tc>
        <w:tc>
          <w:tcPr>
            <w:tcW w:w="939" w:type="dxa"/>
            <w:tcBorders>
              <w:top w:val="nil"/>
              <w:left w:val="nil"/>
              <w:bottom w:val="nil"/>
              <w:right w:val="nil"/>
            </w:tcBorders>
          </w:tcPr>
          <w:p>
            <w:pPr>
              <w:pStyle w:val="TableParagraph"/>
              <w:spacing w:before="26"/>
              <w:ind w:right="115"/>
              <w:rPr>
                <w:sz w:val="20"/>
              </w:rPr>
            </w:pPr>
            <w:r>
              <w:rPr>
                <w:sz w:val="20"/>
              </w:rPr>
              <w:t>0.34</w:t>
            </w:r>
          </w:p>
        </w:tc>
        <w:tc>
          <w:tcPr>
            <w:tcW w:w="925" w:type="dxa"/>
            <w:tcBorders>
              <w:top w:val="nil"/>
              <w:left w:val="nil"/>
              <w:bottom w:val="nil"/>
              <w:right w:val="nil"/>
            </w:tcBorders>
          </w:tcPr>
          <w:p>
            <w:pPr>
              <w:pStyle w:val="TableParagraph"/>
              <w:spacing w:before="26"/>
              <w:ind w:right="103"/>
              <w:rPr>
                <w:sz w:val="20"/>
              </w:rPr>
            </w:pPr>
            <w:r>
              <w:rPr>
                <w:sz w:val="20"/>
              </w:rPr>
              <w:t>0.43</w:t>
            </w:r>
          </w:p>
        </w:tc>
        <w:tc>
          <w:tcPr>
            <w:tcW w:w="895" w:type="dxa"/>
            <w:tcBorders>
              <w:top w:val="nil"/>
              <w:left w:val="nil"/>
              <w:bottom w:val="nil"/>
              <w:right w:val="nil"/>
            </w:tcBorders>
          </w:tcPr>
          <w:p>
            <w:pPr>
              <w:pStyle w:val="TableParagraph"/>
              <w:spacing w:before="26"/>
              <w:ind w:right="120"/>
              <w:rPr>
                <w:sz w:val="20"/>
              </w:rPr>
            </w:pPr>
            <w:r>
              <w:rPr>
                <w:sz w:val="20"/>
              </w:rPr>
              <w:t>0.44</w:t>
            </w:r>
          </w:p>
        </w:tc>
        <w:tc>
          <w:tcPr>
            <w:tcW w:w="936" w:type="dxa"/>
            <w:tcBorders>
              <w:top w:val="nil"/>
              <w:left w:val="nil"/>
              <w:bottom w:val="nil"/>
              <w:right w:val="nil"/>
            </w:tcBorders>
          </w:tcPr>
          <w:p>
            <w:pPr>
              <w:pStyle w:val="TableParagraph"/>
              <w:spacing w:before="26"/>
              <w:ind w:right="110"/>
              <w:rPr>
                <w:sz w:val="20"/>
              </w:rPr>
            </w:pPr>
            <w:r>
              <w:rPr>
                <w:sz w:val="20"/>
              </w:rPr>
              <w:t>0.52</w:t>
            </w:r>
          </w:p>
        </w:tc>
        <w:tc>
          <w:tcPr>
            <w:tcW w:w="915" w:type="dxa"/>
            <w:tcBorders>
              <w:top w:val="nil"/>
              <w:left w:val="nil"/>
              <w:bottom w:val="nil"/>
              <w:right w:val="nil"/>
            </w:tcBorders>
          </w:tcPr>
          <w:p>
            <w:pPr>
              <w:pStyle w:val="TableParagraph"/>
              <w:spacing w:before="26"/>
              <w:ind w:right="108"/>
              <w:rPr>
                <w:sz w:val="20"/>
              </w:rPr>
            </w:pPr>
            <w:r>
              <w:rPr>
                <w:sz w:val="20"/>
              </w:rPr>
              <w:t>0.68</w:t>
            </w:r>
          </w:p>
        </w:tc>
        <w:tc>
          <w:tcPr>
            <w:tcW w:w="895" w:type="dxa"/>
            <w:tcBorders>
              <w:top w:val="nil"/>
              <w:left w:val="nil"/>
              <w:bottom w:val="nil"/>
              <w:right w:val="nil"/>
            </w:tcBorders>
          </w:tcPr>
          <w:p>
            <w:pPr>
              <w:pStyle w:val="TableParagraph"/>
              <w:spacing w:before="26"/>
              <w:ind w:right="106"/>
              <w:rPr>
                <w:sz w:val="20"/>
              </w:rPr>
            </w:pPr>
            <w:r>
              <w:rPr>
                <w:sz w:val="20"/>
              </w:rPr>
              <w:t>0.64</w:t>
            </w:r>
          </w:p>
        </w:tc>
        <w:tc>
          <w:tcPr>
            <w:tcW w:w="886" w:type="dxa"/>
            <w:tcBorders>
              <w:top w:val="nil"/>
              <w:left w:val="nil"/>
              <w:bottom w:val="nil"/>
              <w:right w:val="nil"/>
            </w:tcBorders>
          </w:tcPr>
          <w:p>
            <w:pPr>
              <w:pStyle w:val="TableParagraph"/>
              <w:spacing w:before="26"/>
              <w:ind w:right="108"/>
              <w:rPr>
                <w:sz w:val="20"/>
              </w:rPr>
            </w:pPr>
            <w:r>
              <w:rPr>
                <w:sz w:val="20"/>
              </w:rPr>
              <w:t>0.62</w:t>
            </w:r>
          </w:p>
        </w:tc>
        <w:tc>
          <w:tcPr>
            <w:tcW w:w="876" w:type="dxa"/>
            <w:tcBorders>
              <w:top w:val="nil"/>
              <w:left w:val="nil"/>
              <w:bottom w:val="nil"/>
              <w:right w:val="nil"/>
            </w:tcBorders>
          </w:tcPr>
          <w:p>
            <w:pPr>
              <w:pStyle w:val="TableParagraph"/>
              <w:spacing w:before="26"/>
              <w:ind w:right="86"/>
              <w:rPr>
                <w:sz w:val="20"/>
              </w:rPr>
            </w:pPr>
            <w:r>
              <w:rPr>
                <w:sz w:val="20"/>
              </w:rPr>
              <w:t>0.63</w:t>
            </w:r>
          </w:p>
        </w:tc>
        <w:tc>
          <w:tcPr>
            <w:tcW w:w="907" w:type="dxa"/>
            <w:tcBorders>
              <w:top w:val="nil"/>
              <w:left w:val="nil"/>
              <w:bottom w:val="nil"/>
              <w:right w:val="nil"/>
            </w:tcBorders>
          </w:tcPr>
          <w:p>
            <w:pPr>
              <w:pStyle w:val="TableParagraph"/>
              <w:spacing w:before="26"/>
              <w:ind w:right="96"/>
              <w:rPr>
                <w:sz w:val="20"/>
              </w:rPr>
            </w:pPr>
            <w:r>
              <w:rPr>
                <w:sz w:val="20"/>
              </w:rPr>
              <w:t>0.55</w:t>
            </w:r>
          </w:p>
        </w:tc>
        <w:tc>
          <w:tcPr>
            <w:tcW w:w="910" w:type="dxa"/>
            <w:tcBorders>
              <w:top w:val="nil"/>
              <w:left w:val="nil"/>
              <w:bottom w:val="nil"/>
              <w:right w:val="nil"/>
            </w:tcBorders>
          </w:tcPr>
          <w:p>
            <w:pPr>
              <w:pStyle w:val="TableParagraph"/>
              <w:spacing w:before="26"/>
              <w:ind w:right="79"/>
              <w:rPr>
                <w:sz w:val="20"/>
              </w:rPr>
            </w:pPr>
            <w:r>
              <w:rPr>
                <w:sz w:val="20"/>
              </w:rPr>
              <w:t>0.32</w:t>
            </w:r>
          </w:p>
        </w:tc>
        <w:tc>
          <w:tcPr>
            <w:tcW w:w="845" w:type="dxa"/>
            <w:tcBorders>
              <w:top w:val="nil"/>
              <w:left w:val="nil"/>
              <w:bottom w:val="nil"/>
              <w:right w:val="nil"/>
            </w:tcBorders>
          </w:tcPr>
          <w:p>
            <w:pPr>
              <w:pStyle w:val="TableParagraph"/>
              <w:spacing w:before="26"/>
              <w:ind w:right="61"/>
              <w:rPr>
                <w:sz w:val="20"/>
              </w:rPr>
            </w:pPr>
            <w:r>
              <w:rPr>
                <w:sz w:val="20"/>
              </w:rPr>
              <w:t>0.45</w:t>
            </w:r>
          </w:p>
        </w:tc>
      </w:tr>
      <w:tr>
        <w:trPr>
          <w:trHeight w:val="300" w:hRule="exact"/>
        </w:trPr>
        <w:tc>
          <w:tcPr>
            <w:tcW w:w="1010" w:type="dxa"/>
            <w:tcBorders>
              <w:top w:val="nil"/>
              <w:left w:val="nil"/>
              <w:bottom w:val="nil"/>
              <w:right w:val="nil"/>
            </w:tcBorders>
          </w:tcPr>
          <w:p>
            <w:pPr>
              <w:pStyle w:val="TableParagraph"/>
              <w:ind w:left="86"/>
              <w:jc w:val="left"/>
              <w:rPr>
                <w:sz w:val="20"/>
              </w:rPr>
            </w:pPr>
            <w:r>
              <w:rPr>
                <w:sz w:val="20"/>
              </w:rPr>
              <w:t>12</w:t>
            </w:r>
          </w:p>
        </w:tc>
        <w:tc>
          <w:tcPr>
            <w:tcW w:w="1042" w:type="dxa"/>
            <w:tcBorders>
              <w:top w:val="nil"/>
              <w:left w:val="nil"/>
              <w:bottom w:val="nil"/>
              <w:right w:val="nil"/>
            </w:tcBorders>
          </w:tcPr>
          <w:p>
            <w:pPr>
              <w:pStyle w:val="TableParagraph"/>
              <w:ind w:left="94"/>
              <w:jc w:val="left"/>
              <w:rPr>
                <w:sz w:val="20"/>
              </w:rPr>
            </w:pPr>
            <w:r>
              <w:rPr>
                <w:sz w:val="20"/>
              </w:rPr>
              <w:t>15001</w:t>
            </w:r>
          </w:p>
        </w:tc>
        <w:tc>
          <w:tcPr>
            <w:tcW w:w="982" w:type="dxa"/>
            <w:tcBorders>
              <w:top w:val="nil"/>
              <w:left w:val="nil"/>
              <w:bottom w:val="nil"/>
              <w:right w:val="nil"/>
            </w:tcBorders>
          </w:tcPr>
          <w:p>
            <w:pPr>
              <w:pStyle w:val="TableParagraph"/>
              <w:ind w:right="118"/>
              <w:rPr>
                <w:sz w:val="20"/>
              </w:rPr>
            </w:pPr>
            <w:r>
              <w:rPr>
                <w:sz w:val="20"/>
              </w:rPr>
              <w:t>0.53</w:t>
            </w:r>
          </w:p>
        </w:tc>
        <w:tc>
          <w:tcPr>
            <w:tcW w:w="939" w:type="dxa"/>
            <w:tcBorders>
              <w:top w:val="nil"/>
              <w:left w:val="nil"/>
              <w:bottom w:val="nil"/>
              <w:right w:val="nil"/>
            </w:tcBorders>
          </w:tcPr>
          <w:p>
            <w:pPr>
              <w:pStyle w:val="TableParagraph"/>
              <w:ind w:right="115"/>
              <w:rPr>
                <w:sz w:val="20"/>
              </w:rPr>
            </w:pPr>
            <w:r>
              <w:rPr>
                <w:sz w:val="20"/>
              </w:rPr>
              <w:t>0.34</w:t>
            </w:r>
          </w:p>
        </w:tc>
        <w:tc>
          <w:tcPr>
            <w:tcW w:w="925" w:type="dxa"/>
            <w:tcBorders>
              <w:top w:val="nil"/>
              <w:left w:val="nil"/>
              <w:bottom w:val="nil"/>
              <w:right w:val="nil"/>
            </w:tcBorders>
          </w:tcPr>
          <w:p>
            <w:pPr>
              <w:pStyle w:val="TableParagraph"/>
              <w:ind w:right="103"/>
              <w:rPr>
                <w:sz w:val="20"/>
              </w:rPr>
            </w:pPr>
            <w:r>
              <w:rPr>
                <w:sz w:val="20"/>
              </w:rPr>
              <w:t>0.43</w:t>
            </w:r>
          </w:p>
        </w:tc>
        <w:tc>
          <w:tcPr>
            <w:tcW w:w="895" w:type="dxa"/>
            <w:tcBorders>
              <w:top w:val="nil"/>
              <w:left w:val="nil"/>
              <w:bottom w:val="nil"/>
              <w:right w:val="nil"/>
            </w:tcBorders>
          </w:tcPr>
          <w:p>
            <w:pPr>
              <w:pStyle w:val="TableParagraph"/>
              <w:ind w:right="120"/>
              <w:rPr>
                <w:sz w:val="20"/>
              </w:rPr>
            </w:pPr>
            <w:r>
              <w:rPr>
                <w:sz w:val="20"/>
              </w:rPr>
              <w:t>0.44</w:t>
            </w:r>
          </w:p>
        </w:tc>
        <w:tc>
          <w:tcPr>
            <w:tcW w:w="936" w:type="dxa"/>
            <w:tcBorders>
              <w:top w:val="nil"/>
              <w:left w:val="nil"/>
              <w:bottom w:val="nil"/>
              <w:right w:val="nil"/>
            </w:tcBorders>
          </w:tcPr>
          <w:p>
            <w:pPr>
              <w:pStyle w:val="TableParagraph"/>
              <w:ind w:right="110"/>
              <w:rPr>
                <w:sz w:val="20"/>
              </w:rPr>
            </w:pPr>
            <w:r>
              <w:rPr>
                <w:sz w:val="20"/>
              </w:rPr>
              <w:t>0.52</w:t>
            </w:r>
          </w:p>
        </w:tc>
        <w:tc>
          <w:tcPr>
            <w:tcW w:w="915" w:type="dxa"/>
            <w:tcBorders>
              <w:top w:val="nil"/>
              <w:left w:val="nil"/>
              <w:bottom w:val="nil"/>
              <w:right w:val="nil"/>
            </w:tcBorders>
          </w:tcPr>
          <w:p>
            <w:pPr>
              <w:pStyle w:val="TableParagraph"/>
              <w:ind w:right="108"/>
              <w:rPr>
                <w:sz w:val="20"/>
              </w:rPr>
            </w:pPr>
            <w:r>
              <w:rPr>
                <w:sz w:val="20"/>
              </w:rPr>
              <w:t>0.68</w:t>
            </w:r>
          </w:p>
        </w:tc>
        <w:tc>
          <w:tcPr>
            <w:tcW w:w="895" w:type="dxa"/>
            <w:tcBorders>
              <w:top w:val="nil"/>
              <w:left w:val="nil"/>
              <w:bottom w:val="nil"/>
              <w:right w:val="nil"/>
            </w:tcBorders>
          </w:tcPr>
          <w:p>
            <w:pPr>
              <w:pStyle w:val="TableParagraph"/>
              <w:ind w:right="106"/>
              <w:rPr>
                <w:sz w:val="20"/>
              </w:rPr>
            </w:pPr>
            <w:r>
              <w:rPr>
                <w:sz w:val="20"/>
              </w:rPr>
              <w:t>0.64</w:t>
            </w:r>
          </w:p>
        </w:tc>
        <w:tc>
          <w:tcPr>
            <w:tcW w:w="886" w:type="dxa"/>
            <w:tcBorders>
              <w:top w:val="nil"/>
              <w:left w:val="nil"/>
              <w:bottom w:val="nil"/>
              <w:right w:val="nil"/>
            </w:tcBorders>
          </w:tcPr>
          <w:p>
            <w:pPr>
              <w:pStyle w:val="TableParagraph"/>
              <w:ind w:right="108"/>
              <w:rPr>
                <w:sz w:val="20"/>
              </w:rPr>
            </w:pPr>
            <w:r>
              <w:rPr>
                <w:sz w:val="20"/>
              </w:rPr>
              <w:t>0.62</w:t>
            </w:r>
          </w:p>
        </w:tc>
        <w:tc>
          <w:tcPr>
            <w:tcW w:w="876" w:type="dxa"/>
            <w:tcBorders>
              <w:top w:val="nil"/>
              <w:left w:val="nil"/>
              <w:bottom w:val="nil"/>
              <w:right w:val="nil"/>
            </w:tcBorders>
          </w:tcPr>
          <w:p>
            <w:pPr>
              <w:pStyle w:val="TableParagraph"/>
              <w:ind w:right="86"/>
              <w:rPr>
                <w:sz w:val="20"/>
              </w:rPr>
            </w:pPr>
            <w:r>
              <w:rPr>
                <w:sz w:val="20"/>
              </w:rPr>
              <w:t>0.63</w:t>
            </w:r>
          </w:p>
        </w:tc>
        <w:tc>
          <w:tcPr>
            <w:tcW w:w="907" w:type="dxa"/>
            <w:tcBorders>
              <w:top w:val="nil"/>
              <w:left w:val="nil"/>
              <w:bottom w:val="nil"/>
              <w:right w:val="nil"/>
            </w:tcBorders>
          </w:tcPr>
          <w:p>
            <w:pPr>
              <w:pStyle w:val="TableParagraph"/>
              <w:ind w:right="96"/>
              <w:rPr>
                <w:sz w:val="20"/>
              </w:rPr>
            </w:pPr>
            <w:r>
              <w:rPr>
                <w:sz w:val="20"/>
              </w:rPr>
              <w:t>0.55</w:t>
            </w:r>
          </w:p>
        </w:tc>
        <w:tc>
          <w:tcPr>
            <w:tcW w:w="910" w:type="dxa"/>
            <w:tcBorders>
              <w:top w:val="nil"/>
              <w:left w:val="nil"/>
              <w:bottom w:val="nil"/>
              <w:right w:val="nil"/>
            </w:tcBorders>
          </w:tcPr>
          <w:p>
            <w:pPr>
              <w:pStyle w:val="TableParagraph"/>
              <w:ind w:right="79"/>
              <w:rPr>
                <w:sz w:val="20"/>
              </w:rPr>
            </w:pPr>
            <w:r>
              <w:rPr>
                <w:sz w:val="20"/>
              </w:rPr>
              <w:t>0.32</w:t>
            </w:r>
          </w:p>
        </w:tc>
        <w:tc>
          <w:tcPr>
            <w:tcW w:w="845" w:type="dxa"/>
            <w:tcBorders>
              <w:top w:val="nil"/>
              <w:left w:val="nil"/>
              <w:bottom w:val="nil"/>
              <w:right w:val="nil"/>
            </w:tcBorders>
          </w:tcPr>
          <w:p>
            <w:pPr>
              <w:pStyle w:val="TableParagraph"/>
              <w:ind w:right="61"/>
              <w:rPr>
                <w:sz w:val="20"/>
              </w:rPr>
            </w:pPr>
            <w:r>
              <w:rPr>
                <w:sz w:val="20"/>
              </w:rPr>
              <w:t>0.45</w:t>
            </w:r>
          </w:p>
        </w:tc>
      </w:tr>
      <w:tr>
        <w:trPr>
          <w:trHeight w:val="300" w:hRule="exact"/>
        </w:trPr>
        <w:tc>
          <w:tcPr>
            <w:tcW w:w="1010" w:type="dxa"/>
            <w:tcBorders>
              <w:top w:val="nil"/>
              <w:left w:val="nil"/>
              <w:bottom w:val="nil"/>
              <w:right w:val="nil"/>
            </w:tcBorders>
          </w:tcPr>
          <w:p>
            <w:pPr>
              <w:pStyle w:val="TableParagraph"/>
              <w:spacing w:before="26"/>
              <w:ind w:left="86"/>
              <w:jc w:val="left"/>
              <w:rPr>
                <w:sz w:val="20"/>
              </w:rPr>
            </w:pPr>
            <w:r>
              <w:rPr>
                <w:sz w:val="20"/>
              </w:rPr>
              <w:t>13</w:t>
            </w:r>
          </w:p>
        </w:tc>
        <w:tc>
          <w:tcPr>
            <w:tcW w:w="1042" w:type="dxa"/>
            <w:tcBorders>
              <w:top w:val="nil"/>
              <w:left w:val="nil"/>
              <w:bottom w:val="nil"/>
              <w:right w:val="nil"/>
            </w:tcBorders>
          </w:tcPr>
          <w:p>
            <w:pPr>
              <w:pStyle w:val="TableParagraph"/>
              <w:spacing w:before="26"/>
              <w:ind w:left="94"/>
              <w:jc w:val="left"/>
              <w:rPr>
                <w:sz w:val="20"/>
              </w:rPr>
            </w:pPr>
            <w:r>
              <w:rPr>
                <w:sz w:val="20"/>
              </w:rPr>
              <w:t>15001</w:t>
            </w:r>
          </w:p>
        </w:tc>
        <w:tc>
          <w:tcPr>
            <w:tcW w:w="982" w:type="dxa"/>
            <w:tcBorders>
              <w:top w:val="nil"/>
              <w:left w:val="nil"/>
              <w:bottom w:val="nil"/>
              <w:right w:val="nil"/>
            </w:tcBorders>
          </w:tcPr>
          <w:p>
            <w:pPr>
              <w:pStyle w:val="TableParagraph"/>
              <w:spacing w:before="26"/>
              <w:ind w:right="118"/>
              <w:rPr>
                <w:sz w:val="20"/>
              </w:rPr>
            </w:pPr>
            <w:r>
              <w:rPr>
                <w:sz w:val="20"/>
              </w:rPr>
              <w:t>0.53</w:t>
            </w:r>
          </w:p>
        </w:tc>
        <w:tc>
          <w:tcPr>
            <w:tcW w:w="939" w:type="dxa"/>
            <w:tcBorders>
              <w:top w:val="nil"/>
              <w:left w:val="nil"/>
              <w:bottom w:val="nil"/>
              <w:right w:val="nil"/>
            </w:tcBorders>
          </w:tcPr>
          <w:p>
            <w:pPr>
              <w:pStyle w:val="TableParagraph"/>
              <w:spacing w:before="26"/>
              <w:ind w:right="115"/>
              <w:rPr>
                <w:sz w:val="20"/>
              </w:rPr>
            </w:pPr>
            <w:r>
              <w:rPr>
                <w:sz w:val="20"/>
              </w:rPr>
              <w:t>0.34</w:t>
            </w:r>
          </w:p>
        </w:tc>
        <w:tc>
          <w:tcPr>
            <w:tcW w:w="925" w:type="dxa"/>
            <w:tcBorders>
              <w:top w:val="nil"/>
              <w:left w:val="nil"/>
              <w:bottom w:val="nil"/>
              <w:right w:val="nil"/>
            </w:tcBorders>
          </w:tcPr>
          <w:p>
            <w:pPr>
              <w:pStyle w:val="TableParagraph"/>
              <w:spacing w:before="26"/>
              <w:ind w:right="103"/>
              <w:rPr>
                <w:sz w:val="20"/>
              </w:rPr>
            </w:pPr>
            <w:r>
              <w:rPr>
                <w:sz w:val="20"/>
              </w:rPr>
              <w:t>0.43</w:t>
            </w:r>
          </w:p>
        </w:tc>
        <w:tc>
          <w:tcPr>
            <w:tcW w:w="895" w:type="dxa"/>
            <w:tcBorders>
              <w:top w:val="nil"/>
              <w:left w:val="nil"/>
              <w:bottom w:val="nil"/>
              <w:right w:val="nil"/>
            </w:tcBorders>
          </w:tcPr>
          <w:p>
            <w:pPr>
              <w:pStyle w:val="TableParagraph"/>
              <w:spacing w:before="26"/>
              <w:ind w:right="120"/>
              <w:rPr>
                <w:sz w:val="20"/>
              </w:rPr>
            </w:pPr>
            <w:r>
              <w:rPr>
                <w:sz w:val="20"/>
              </w:rPr>
              <w:t>0.44</w:t>
            </w:r>
          </w:p>
        </w:tc>
        <w:tc>
          <w:tcPr>
            <w:tcW w:w="936" w:type="dxa"/>
            <w:tcBorders>
              <w:top w:val="nil"/>
              <w:left w:val="nil"/>
              <w:bottom w:val="nil"/>
              <w:right w:val="nil"/>
            </w:tcBorders>
          </w:tcPr>
          <w:p>
            <w:pPr>
              <w:pStyle w:val="TableParagraph"/>
              <w:spacing w:before="26"/>
              <w:ind w:right="110"/>
              <w:rPr>
                <w:sz w:val="20"/>
              </w:rPr>
            </w:pPr>
            <w:r>
              <w:rPr>
                <w:sz w:val="20"/>
              </w:rPr>
              <w:t>0.52</w:t>
            </w:r>
          </w:p>
        </w:tc>
        <w:tc>
          <w:tcPr>
            <w:tcW w:w="915" w:type="dxa"/>
            <w:tcBorders>
              <w:top w:val="nil"/>
              <w:left w:val="nil"/>
              <w:bottom w:val="nil"/>
              <w:right w:val="nil"/>
            </w:tcBorders>
          </w:tcPr>
          <w:p>
            <w:pPr>
              <w:pStyle w:val="TableParagraph"/>
              <w:spacing w:before="26"/>
              <w:ind w:right="108"/>
              <w:rPr>
                <w:sz w:val="20"/>
              </w:rPr>
            </w:pPr>
            <w:r>
              <w:rPr>
                <w:sz w:val="20"/>
              </w:rPr>
              <w:t>0.68</w:t>
            </w:r>
          </w:p>
        </w:tc>
        <w:tc>
          <w:tcPr>
            <w:tcW w:w="895" w:type="dxa"/>
            <w:tcBorders>
              <w:top w:val="nil"/>
              <w:left w:val="nil"/>
              <w:bottom w:val="nil"/>
              <w:right w:val="nil"/>
            </w:tcBorders>
          </w:tcPr>
          <w:p>
            <w:pPr>
              <w:pStyle w:val="TableParagraph"/>
              <w:spacing w:before="26"/>
              <w:ind w:right="106"/>
              <w:rPr>
                <w:sz w:val="20"/>
              </w:rPr>
            </w:pPr>
            <w:r>
              <w:rPr>
                <w:sz w:val="20"/>
              </w:rPr>
              <w:t>0.64</w:t>
            </w:r>
          </w:p>
        </w:tc>
        <w:tc>
          <w:tcPr>
            <w:tcW w:w="886" w:type="dxa"/>
            <w:tcBorders>
              <w:top w:val="nil"/>
              <w:left w:val="nil"/>
              <w:bottom w:val="nil"/>
              <w:right w:val="nil"/>
            </w:tcBorders>
          </w:tcPr>
          <w:p>
            <w:pPr>
              <w:pStyle w:val="TableParagraph"/>
              <w:spacing w:before="26"/>
              <w:ind w:right="108"/>
              <w:rPr>
                <w:sz w:val="20"/>
              </w:rPr>
            </w:pPr>
            <w:r>
              <w:rPr>
                <w:sz w:val="20"/>
              </w:rPr>
              <w:t>0.62</w:t>
            </w:r>
          </w:p>
        </w:tc>
        <w:tc>
          <w:tcPr>
            <w:tcW w:w="876" w:type="dxa"/>
            <w:tcBorders>
              <w:top w:val="nil"/>
              <w:left w:val="nil"/>
              <w:bottom w:val="nil"/>
              <w:right w:val="nil"/>
            </w:tcBorders>
          </w:tcPr>
          <w:p>
            <w:pPr>
              <w:pStyle w:val="TableParagraph"/>
              <w:spacing w:before="26"/>
              <w:ind w:right="86"/>
              <w:rPr>
                <w:sz w:val="20"/>
              </w:rPr>
            </w:pPr>
            <w:r>
              <w:rPr>
                <w:sz w:val="20"/>
              </w:rPr>
              <w:t>0.63</w:t>
            </w:r>
          </w:p>
        </w:tc>
        <w:tc>
          <w:tcPr>
            <w:tcW w:w="907" w:type="dxa"/>
            <w:tcBorders>
              <w:top w:val="nil"/>
              <w:left w:val="nil"/>
              <w:bottom w:val="nil"/>
              <w:right w:val="nil"/>
            </w:tcBorders>
          </w:tcPr>
          <w:p>
            <w:pPr>
              <w:pStyle w:val="TableParagraph"/>
              <w:spacing w:before="26"/>
              <w:ind w:right="96"/>
              <w:rPr>
                <w:sz w:val="20"/>
              </w:rPr>
            </w:pPr>
            <w:r>
              <w:rPr>
                <w:sz w:val="20"/>
              </w:rPr>
              <w:t>0.55</w:t>
            </w:r>
          </w:p>
        </w:tc>
        <w:tc>
          <w:tcPr>
            <w:tcW w:w="910" w:type="dxa"/>
            <w:tcBorders>
              <w:top w:val="nil"/>
              <w:left w:val="nil"/>
              <w:bottom w:val="nil"/>
              <w:right w:val="nil"/>
            </w:tcBorders>
          </w:tcPr>
          <w:p>
            <w:pPr>
              <w:pStyle w:val="TableParagraph"/>
              <w:spacing w:before="26"/>
              <w:ind w:right="79"/>
              <w:rPr>
                <w:sz w:val="20"/>
              </w:rPr>
            </w:pPr>
            <w:r>
              <w:rPr>
                <w:sz w:val="20"/>
              </w:rPr>
              <w:t>0.32</w:t>
            </w:r>
          </w:p>
        </w:tc>
        <w:tc>
          <w:tcPr>
            <w:tcW w:w="845" w:type="dxa"/>
            <w:tcBorders>
              <w:top w:val="nil"/>
              <w:left w:val="nil"/>
              <w:bottom w:val="nil"/>
              <w:right w:val="nil"/>
            </w:tcBorders>
          </w:tcPr>
          <w:p>
            <w:pPr>
              <w:pStyle w:val="TableParagraph"/>
              <w:spacing w:before="26"/>
              <w:ind w:right="61"/>
              <w:rPr>
                <w:sz w:val="20"/>
              </w:rPr>
            </w:pPr>
            <w:r>
              <w:rPr>
                <w:sz w:val="20"/>
              </w:rPr>
              <w:t>0.45</w:t>
            </w:r>
          </w:p>
        </w:tc>
      </w:tr>
      <w:tr>
        <w:trPr>
          <w:trHeight w:val="300" w:hRule="exact"/>
        </w:trPr>
        <w:tc>
          <w:tcPr>
            <w:tcW w:w="1010" w:type="dxa"/>
            <w:tcBorders>
              <w:top w:val="nil"/>
              <w:left w:val="nil"/>
              <w:bottom w:val="nil"/>
              <w:right w:val="nil"/>
            </w:tcBorders>
          </w:tcPr>
          <w:p>
            <w:pPr>
              <w:pStyle w:val="TableParagraph"/>
              <w:ind w:left="86"/>
              <w:jc w:val="left"/>
              <w:rPr>
                <w:sz w:val="20"/>
              </w:rPr>
            </w:pPr>
            <w:r>
              <w:rPr>
                <w:sz w:val="20"/>
              </w:rPr>
              <w:t>14</w:t>
            </w:r>
          </w:p>
        </w:tc>
        <w:tc>
          <w:tcPr>
            <w:tcW w:w="1042" w:type="dxa"/>
            <w:tcBorders>
              <w:top w:val="nil"/>
              <w:left w:val="nil"/>
              <w:bottom w:val="nil"/>
              <w:right w:val="nil"/>
            </w:tcBorders>
          </w:tcPr>
          <w:p>
            <w:pPr>
              <w:pStyle w:val="TableParagraph"/>
              <w:ind w:left="94"/>
              <w:jc w:val="left"/>
              <w:rPr>
                <w:sz w:val="20"/>
              </w:rPr>
            </w:pPr>
            <w:r>
              <w:rPr>
                <w:sz w:val="20"/>
              </w:rPr>
              <w:t>15001</w:t>
            </w:r>
          </w:p>
        </w:tc>
        <w:tc>
          <w:tcPr>
            <w:tcW w:w="982" w:type="dxa"/>
            <w:tcBorders>
              <w:top w:val="nil"/>
              <w:left w:val="nil"/>
              <w:bottom w:val="nil"/>
              <w:right w:val="nil"/>
            </w:tcBorders>
          </w:tcPr>
          <w:p>
            <w:pPr>
              <w:pStyle w:val="TableParagraph"/>
              <w:ind w:right="118"/>
              <w:rPr>
                <w:sz w:val="20"/>
              </w:rPr>
            </w:pPr>
            <w:r>
              <w:rPr>
                <w:sz w:val="20"/>
              </w:rPr>
              <w:t>0.53</w:t>
            </w:r>
          </w:p>
        </w:tc>
        <w:tc>
          <w:tcPr>
            <w:tcW w:w="939" w:type="dxa"/>
            <w:tcBorders>
              <w:top w:val="nil"/>
              <w:left w:val="nil"/>
              <w:bottom w:val="nil"/>
              <w:right w:val="nil"/>
            </w:tcBorders>
          </w:tcPr>
          <w:p>
            <w:pPr>
              <w:pStyle w:val="TableParagraph"/>
              <w:ind w:right="115"/>
              <w:rPr>
                <w:sz w:val="20"/>
              </w:rPr>
            </w:pPr>
            <w:r>
              <w:rPr>
                <w:sz w:val="20"/>
              </w:rPr>
              <w:t>0.34</w:t>
            </w:r>
          </w:p>
        </w:tc>
        <w:tc>
          <w:tcPr>
            <w:tcW w:w="925" w:type="dxa"/>
            <w:tcBorders>
              <w:top w:val="nil"/>
              <w:left w:val="nil"/>
              <w:bottom w:val="nil"/>
              <w:right w:val="nil"/>
            </w:tcBorders>
          </w:tcPr>
          <w:p>
            <w:pPr>
              <w:pStyle w:val="TableParagraph"/>
              <w:ind w:right="103"/>
              <w:rPr>
                <w:sz w:val="20"/>
              </w:rPr>
            </w:pPr>
            <w:r>
              <w:rPr>
                <w:sz w:val="20"/>
              </w:rPr>
              <w:t>0.43</w:t>
            </w:r>
          </w:p>
        </w:tc>
        <w:tc>
          <w:tcPr>
            <w:tcW w:w="895" w:type="dxa"/>
            <w:tcBorders>
              <w:top w:val="nil"/>
              <w:left w:val="nil"/>
              <w:bottom w:val="nil"/>
              <w:right w:val="nil"/>
            </w:tcBorders>
          </w:tcPr>
          <w:p>
            <w:pPr>
              <w:pStyle w:val="TableParagraph"/>
              <w:ind w:right="120"/>
              <w:rPr>
                <w:sz w:val="20"/>
              </w:rPr>
            </w:pPr>
            <w:r>
              <w:rPr>
                <w:sz w:val="20"/>
              </w:rPr>
              <w:t>0.44</w:t>
            </w:r>
          </w:p>
        </w:tc>
        <w:tc>
          <w:tcPr>
            <w:tcW w:w="936" w:type="dxa"/>
            <w:tcBorders>
              <w:top w:val="nil"/>
              <w:left w:val="nil"/>
              <w:bottom w:val="nil"/>
              <w:right w:val="nil"/>
            </w:tcBorders>
          </w:tcPr>
          <w:p>
            <w:pPr>
              <w:pStyle w:val="TableParagraph"/>
              <w:ind w:right="110"/>
              <w:rPr>
                <w:sz w:val="20"/>
              </w:rPr>
            </w:pPr>
            <w:r>
              <w:rPr>
                <w:sz w:val="20"/>
              </w:rPr>
              <w:t>0.52</w:t>
            </w:r>
          </w:p>
        </w:tc>
        <w:tc>
          <w:tcPr>
            <w:tcW w:w="915" w:type="dxa"/>
            <w:tcBorders>
              <w:top w:val="nil"/>
              <w:left w:val="nil"/>
              <w:bottom w:val="nil"/>
              <w:right w:val="nil"/>
            </w:tcBorders>
          </w:tcPr>
          <w:p>
            <w:pPr>
              <w:pStyle w:val="TableParagraph"/>
              <w:ind w:right="108"/>
              <w:rPr>
                <w:sz w:val="20"/>
              </w:rPr>
            </w:pPr>
            <w:r>
              <w:rPr>
                <w:sz w:val="20"/>
              </w:rPr>
              <w:t>0.68</w:t>
            </w:r>
          </w:p>
        </w:tc>
        <w:tc>
          <w:tcPr>
            <w:tcW w:w="895" w:type="dxa"/>
            <w:tcBorders>
              <w:top w:val="nil"/>
              <w:left w:val="nil"/>
              <w:bottom w:val="nil"/>
              <w:right w:val="nil"/>
            </w:tcBorders>
          </w:tcPr>
          <w:p>
            <w:pPr>
              <w:pStyle w:val="TableParagraph"/>
              <w:ind w:right="106"/>
              <w:rPr>
                <w:sz w:val="20"/>
              </w:rPr>
            </w:pPr>
            <w:r>
              <w:rPr>
                <w:sz w:val="20"/>
              </w:rPr>
              <w:t>0.64</w:t>
            </w:r>
          </w:p>
        </w:tc>
        <w:tc>
          <w:tcPr>
            <w:tcW w:w="886" w:type="dxa"/>
            <w:tcBorders>
              <w:top w:val="nil"/>
              <w:left w:val="nil"/>
              <w:bottom w:val="nil"/>
              <w:right w:val="nil"/>
            </w:tcBorders>
          </w:tcPr>
          <w:p>
            <w:pPr>
              <w:pStyle w:val="TableParagraph"/>
              <w:ind w:right="108"/>
              <w:rPr>
                <w:sz w:val="20"/>
              </w:rPr>
            </w:pPr>
            <w:r>
              <w:rPr>
                <w:sz w:val="20"/>
              </w:rPr>
              <w:t>0.62</w:t>
            </w:r>
          </w:p>
        </w:tc>
        <w:tc>
          <w:tcPr>
            <w:tcW w:w="876" w:type="dxa"/>
            <w:tcBorders>
              <w:top w:val="nil"/>
              <w:left w:val="nil"/>
              <w:bottom w:val="nil"/>
              <w:right w:val="nil"/>
            </w:tcBorders>
          </w:tcPr>
          <w:p>
            <w:pPr>
              <w:pStyle w:val="TableParagraph"/>
              <w:ind w:right="86"/>
              <w:rPr>
                <w:sz w:val="20"/>
              </w:rPr>
            </w:pPr>
            <w:r>
              <w:rPr>
                <w:sz w:val="20"/>
              </w:rPr>
              <w:t>0.63</w:t>
            </w:r>
          </w:p>
        </w:tc>
        <w:tc>
          <w:tcPr>
            <w:tcW w:w="907" w:type="dxa"/>
            <w:tcBorders>
              <w:top w:val="nil"/>
              <w:left w:val="nil"/>
              <w:bottom w:val="nil"/>
              <w:right w:val="nil"/>
            </w:tcBorders>
          </w:tcPr>
          <w:p>
            <w:pPr>
              <w:pStyle w:val="TableParagraph"/>
              <w:ind w:right="96"/>
              <w:rPr>
                <w:sz w:val="20"/>
              </w:rPr>
            </w:pPr>
            <w:r>
              <w:rPr>
                <w:sz w:val="20"/>
              </w:rPr>
              <w:t>0.55</w:t>
            </w:r>
          </w:p>
        </w:tc>
        <w:tc>
          <w:tcPr>
            <w:tcW w:w="910" w:type="dxa"/>
            <w:tcBorders>
              <w:top w:val="nil"/>
              <w:left w:val="nil"/>
              <w:bottom w:val="nil"/>
              <w:right w:val="nil"/>
            </w:tcBorders>
          </w:tcPr>
          <w:p>
            <w:pPr>
              <w:pStyle w:val="TableParagraph"/>
              <w:ind w:right="79"/>
              <w:rPr>
                <w:sz w:val="20"/>
              </w:rPr>
            </w:pPr>
            <w:r>
              <w:rPr>
                <w:sz w:val="20"/>
              </w:rPr>
              <w:t>0.32</w:t>
            </w:r>
          </w:p>
        </w:tc>
        <w:tc>
          <w:tcPr>
            <w:tcW w:w="845" w:type="dxa"/>
            <w:tcBorders>
              <w:top w:val="nil"/>
              <w:left w:val="nil"/>
              <w:bottom w:val="nil"/>
              <w:right w:val="nil"/>
            </w:tcBorders>
          </w:tcPr>
          <w:p>
            <w:pPr>
              <w:pStyle w:val="TableParagraph"/>
              <w:ind w:right="61"/>
              <w:rPr>
                <w:sz w:val="20"/>
              </w:rPr>
            </w:pPr>
            <w:r>
              <w:rPr>
                <w:sz w:val="20"/>
              </w:rPr>
              <w:t>0.45</w:t>
            </w:r>
          </w:p>
        </w:tc>
      </w:tr>
      <w:tr>
        <w:trPr>
          <w:trHeight w:val="300" w:hRule="exact"/>
        </w:trPr>
        <w:tc>
          <w:tcPr>
            <w:tcW w:w="1010" w:type="dxa"/>
            <w:tcBorders>
              <w:top w:val="nil"/>
              <w:left w:val="nil"/>
              <w:bottom w:val="nil"/>
              <w:right w:val="nil"/>
            </w:tcBorders>
          </w:tcPr>
          <w:p>
            <w:pPr>
              <w:pStyle w:val="TableParagraph"/>
              <w:spacing w:before="26"/>
              <w:ind w:left="86"/>
              <w:jc w:val="left"/>
              <w:rPr>
                <w:sz w:val="20"/>
              </w:rPr>
            </w:pPr>
            <w:r>
              <w:rPr>
                <w:sz w:val="20"/>
              </w:rPr>
              <w:t>15</w:t>
            </w:r>
          </w:p>
        </w:tc>
        <w:tc>
          <w:tcPr>
            <w:tcW w:w="1042" w:type="dxa"/>
            <w:tcBorders>
              <w:top w:val="nil"/>
              <w:left w:val="nil"/>
              <w:bottom w:val="nil"/>
              <w:right w:val="nil"/>
            </w:tcBorders>
          </w:tcPr>
          <w:p>
            <w:pPr>
              <w:pStyle w:val="TableParagraph"/>
              <w:spacing w:before="26"/>
              <w:ind w:left="94"/>
              <w:jc w:val="left"/>
              <w:rPr>
                <w:sz w:val="20"/>
              </w:rPr>
            </w:pPr>
            <w:r>
              <w:rPr>
                <w:sz w:val="20"/>
              </w:rPr>
              <w:t>15001</w:t>
            </w:r>
          </w:p>
        </w:tc>
        <w:tc>
          <w:tcPr>
            <w:tcW w:w="982" w:type="dxa"/>
            <w:tcBorders>
              <w:top w:val="nil"/>
              <w:left w:val="nil"/>
              <w:bottom w:val="nil"/>
              <w:right w:val="nil"/>
            </w:tcBorders>
          </w:tcPr>
          <w:p>
            <w:pPr>
              <w:pStyle w:val="TableParagraph"/>
              <w:spacing w:before="26"/>
              <w:ind w:right="118"/>
              <w:rPr>
                <w:sz w:val="20"/>
              </w:rPr>
            </w:pPr>
            <w:r>
              <w:rPr>
                <w:sz w:val="20"/>
              </w:rPr>
              <w:t>0.53</w:t>
            </w:r>
          </w:p>
        </w:tc>
        <w:tc>
          <w:tcPr>
            <w:tcW w:w="939" w:type="dxa"/>
            <w:tcBorders>
              <w:top w:val="nil"/>
              <w:left w:val="nil"/>
              <w:bottom w:val="nil"/>
              <w:right w:val="nil"/>
            </w:tcBorders>
          </w:tcPr>
          <w:p>
            <w:pPr>
              <w:pStyle w:val="TableParagraph"/>
              <w:spacing w:before="26"/>
              <w:ind w:right="115"/>
              <w:rPr>
                <w:sz w:val="20"/>
              </w:rPr>
            </w:pPr>
            <w:r>
              <w:rPr>
                <w:sz w:val="20"/>
              </w:rPr>
              <w:t>0.34</w:t>
            </w:r>
          </w:p>
        </w:tc>
        <w:tc>
          <w:tcPr>
            <w:tcW w:w="925" w:type="dxa"/>
            <w:tcBorders>
              <w:top w:val="nil"/>
              <w:left w:val="nil"/>
              <w:bottom w:val="nil"/>
              <w:right w:val="nil"/>
            </w:tcBorders>
          </w:tcPr>
          <w:p>
            <w:pPr>
              <w:pStyle w:val="TableParagraph"/>
              <w:spacing w:before="26"/>
              <w:ind w:right="103"/>
              <w:rPr>
                <w:sz w:val="20"/>
              </w:rPr>
            </w:pPr>
            <w:r>
              <w:rPr>
                <w:sz w:val="20"/>
              </w:rPr>
              <w:t>0.43</w:t>
            </w:r>
          </w:p>
        </w:tc>
        <w:tc>
          <w:tcPr>
            <w:tcW w:w="895" w:type="dxa"/>
            <w:tcBorders>
              <w:top w:val="nil"/>
              <w:left w:val="nil"/>
              <w:bottom w:val="nil"/>
              <w:right w:val="nil"/>
            </w:tcBorders>
          </w:tcPr>
          <w:p>
            <w:pPr>
              <w:pStyle w:val="TableParagraph"/>
              <w:spacing w:before="26"/>
              <w:ind w:right="120"/>
              <w:rPr>
                <w:sz w:val="20"/>
              </w:rPr>
            </w:pPr>
            <w:r>
              <w:rPr>
                <w:sz w:val="20"/>
              </w:rPr>
              <w:t>0.44</w:t>
            </w:r>
          </w:p>
        </w:tc>
        <w:tc>
          <w:tcPr>
            <w:tcW w:w="936" w:type="dxa"/>
            <w:tcBorders>
              <w:top w:val="nil"/>
              <w:left w:val="nil"/>
              <w:bottom w:val="nil"/>
              <w:right w:val="nil"/>
            </w:tcBorders>
          </w:tcPr>
          <w:p>
            <w:pPr>
              <w:pStyle w:val="TableParagraph"/>
              <w:spacing w:before="26"/>
              <w:ind w:right="110"/>
              <w:rPr>
                <w:sz w:val="20"/>
              </w:rPr>
            </w:pPr>
            <w:r>
              <w:rPr>
                <w:sz w:val="20"/>
              </w:rPr>
              <w:t>0.52</w:t>
            </w:r>
          </w:p>
        </w:tc>
        <w:tc>
          <w:tcPr>
            <w:tcW w:w="915" w:type="dxa"/>
            <w:tcBorders>
              <w:top w:val="nil"/>
              <w:left w:val="nil"/>
              <w:bottom w:val="nil"/>
              <w:right w:val="nil"/>
            </w:tcBorders>
          </w:tcPr>
          <w:p>
            <w:pPr>
              <w:pStyle w:val="TableParagraph"/>
              <w:spacing w:before="26"/>
              <w:ind w:right="108"/>
              <w:rPr>
                <w:sz w:val="20"/>
              </w:rPr>
            </w:pPr>
            <w:r>
              <w:rPr>
                <w:sz w:val="20"/>
              </w:rPr>
              <w:t>0.68</w:t>
            </w:r>
          </w:p>
        </w:tc>
        <w:tc>
          <w:tcPr>
            <w:tcW w:w="895" w:type="dxa"/>
            <w:tcBorders>
              <w:top w:val="nil"/>
              <w:left w:val="nil"/>
              <w:bottom w:val="nil"/>
              <w:right w:val="nil"/>
            </w:tcBorders>
          </w:tcPr>
          <w:p>
            <w:pPr>
              <w:pStyle w:val="TableParagraph"/>
              <w:spacing w:before="26"/>
              <w:ind w:right="106"/>
              <w:rPr>
                <w:sz w:val="20"/>
              </w:rPr>
            </w:pPr>
            <w:r>
              <w:rPr>
                <w:sz w:val="20"/>
              </w:rPr>
              <w:t>0.64</w:t>
            </w:r>
          </w:p>
        </w:tc>
        <w:tc>
          <w:tcPr>
            <w:tcW w:w="886" w:type="dxa"/>
            <w:tcBorders>
              <w:top w:val="nil"/>
              <w:left w:val="nil"/>
              <w:bottom w:val="nil"/>
              <w:right w:val="nil"/>
            </w:tcBorders>
          </w:tcPr>
          <w:p>
            <w:pPr>
              <w:pStyle w:val="TableParagraph"/>
              <w:spacing w:before="26"/>
              <w:ind w:right="108"/>
              <w:rPr>
                <w:sz w:val="20"/>
              </w:rPr>
            </w:pPr>
            <w:r>
              <w:rPr>
                <w:sz w:val="20"/>
              </w:rPr>
              <w:t>0.62</w:t>
            </w:r>
          </w:p>
        </w:tc>
        <w:tc>
          <w:tcPr>
            <w:tcW w:w="876" w:type="dxa"/>
            <w:tcBorders>
              <w:top w:val="nil"/>
              <w:left w:val="nil"/>
              <w:bottom w:val="nil"/>
              <w:right w:val="nil"/>
            </w:tcBorders>
          </w:tcPr>
          <w:p>
            <w:pPr>
              <w:pStyle w:val="TableParagraph"/>
              <w:spacing w:before="26"/>
              <w:ind w:right="86"/>
              <w:rPr>
                <w:sz w:val="20"/>
              </w:rPr>
            </w:pPr>
            <w:r>
              <w:rPr>
                <w:sz w:val="20"/>
              </w:rPr>
              <w:t>0.63</w:t>
            </w:r>
          </w:p>
        </w:tc>
        <w:tc>
          <w:tcPr>
            <w:tcW w:w="907" w:type="dxa"/>
            <w:tcBorders>
              <w:top w:val="nil"/>
              <w:left w:val="nil"/>
              <w:bottom w:val="nil"/>
              <w:right w:val="nil"/>
            </w:tcBorders>
          </w:tcPr>
          <w:p>
            <w:pPr>
              <w:pStyle w:val="TableParagraph"/>
              <w:spacing w:before="26"/>
              <w:ind w:right="96"/>
              <w:rPr>
                <w:sz w:val="20"/>
              </w:rPr>
            </w:pPr>
            <w:r>
              <w:rPr>
                <w:sz w:val="20"/>
              </w:rPr>
              <w:t>0.55</w:t>
            </w:r>
          </w:p>
        </w:tc>
        <w:tc>
          <w:tcPr>
            <w:tcW w:w="910" w:type="dxa"/>
            <w:tcBorders>
              <w:top w:val="nil"/>
              <w:left w:val="nil"/>
              <w:bottom w:val="nil"/>
              <w:right w:val="nil"/>
            </w:tcBorders>
          </w:tcPr>
          <w:p>
            <w:pPr>
              <w:pStyle w:val="TableParagraph"/>
              <w:spacing w:before="26"/>
              <w:ind w:right="79"/>
              <w:rPr>
                <w:sz w:val="20"/>
              </w:rPr>
            </w:pPr>
            <w:r>
              <w:rPr>
                <w:sz w:val="20"/>
              </w:rPr>
              <w:t>0.32</w:t>
            </w:r>
          </w:p>
        </w:tc>
        <w:tc>
          <w:tcPr>
            <w:tcW w:w="845" w:type="dxa"/>
            <w:tcBorders>
              <w:top w:val="nil"/>
              <w:left w:val="nil"/>
              <w:bottom w:val="nil"/>
              <w:right w:val="nil"/>
            </w:tcBorders>
          </w:tcPr>
          <w:p>
            <w:pPr>
              <w:pStyle w:val="TableParagraph"/>
              <w:spacing w:before="26"/>
              <w:ind w:right="61"/>
              <w:rPr>
                <w:sz w:val="20"/>
              </w:rPr>
            </w:pPr>
            <w:r>
              <w:rPr>
                <w:sz w:val="20"/>
              </w:rPr>
              <w:t>0.45</w:t>
            </w:r>
          </w:p>
        </w:tc>
      </w:tr>
      <w:tr>
        <w:trPr>
          <w:trHeight w:val="300" w:hRule="exact"/>
        </w:trPr>
        <w:tc>
          <w:tcPr>
            <w:tcW w:w="1010" w:type="dxa"/>
            <w:tcBorders>
              <w:top w:val="nil"/>
              <w:left w:val="nil"/>
              <w:bottom w:val="nil"/>
              <w:right w:val="nil"/>
            </w:tcBorders>
          </w:tcPr>
          <w:p>
            <w:pPr>
              <w:pStyle w:val="TableParagraph"/>
              <w:spacing w:before="24"/>
              <w:ind w:left="86"/>
              <w:jc w:val="left"/>
              <w:rPr>
                <w:sz w:val="20"/>
              </w:rPr>
            </w:pPr>
            <w:r>
              <w:rPr>
                <w:sz w:val="20"/>
              </w:rPr>
              <w:t>16</w:t>
            </w:r>
          </w:p>
        </w:tc>
        <w:tc>
          <w:tcPr>
            <w:tcW w:w="1042" w:type="dxa"/>
            <w:tcBorders>
              <w:top w:val="nil"/>
              <w:left w:val="nil"/>
              <w:bottom w:val="nil"/>
              <w:right w:val="nil"/>
            </w:tcBorders>
          </w:tcPr>
          <w:p>
            <w:pPr>
              <w:pStyle w:val="TableParagraph"/>
              <w:spacing w:before="24"/>
              <w:ind w:left="94"/>
              <w:jc w:val="left"/>
              <w:rPr>
                <w:sz w:val="20"/>
              </w:rPr>
            </w:pPr>
            <w:r>
              <w:rPr>
                <w:sz w:val="20"/>
              </w:rPr>
              <w:t>15001</w:t>
            </w:r>
          </w:p>
        </w:tc>
        <w:tc>
          <w:tcPr>
            <w:tcW w:w="982" w:type="dxa"/>
            <w:tcBorders>
              <w:top w:val="nil"/>
              <w:left w:val="nil"/>
              <w:bottom w:val="nil"/>
              <w:right w:val="nil"/>
            </w:tcBorders>
          </w:tcPr>
          <w:p>
            <w:pPr>
              <w:pStyle w:val="TableParagraph"/>
              <w:spacing w:before="24"/>
              <w:ind w:right="118"/>
              <w:rPr>
                <w:sz w:val="20"/>
              </w:rPr>
            </w:pPr>
            <w:r>
              <w:rPr>
                <w:sz w:val="20"/>
              </w:rPr>
              <w:t>0.53</w:t>
            </w:r>
          </w:p>
        </w:tc>
        <w:tc>
          <w:tcPr>
            <w:tcW w:w="939" w:type="dxa"/>
            <w:tcBorders>
              <w:top w:val="nil"/>
              <w:left w:val="nil"/>
              <w:bottom w:val="nil"/>
              <w:right w:val="nil"/>
            </w:tcBorders>
          </w:tcPr>
          <w:p>
            <w:pPr>
              <w:pStyle w:val="TableParagraph"/>
              <w:spacing w:before="24"/>
              <w:ind w:right="115"/>
              <w:rPr>
                <w:sz w:val="20"/>
              </w:rPr>
            </w:pPr>
            <w:r>
              <w:rPr>
                <w:sz w:val="20"/>
              </w:rPr>
              <w:t>0.34</w:t>
            </w:r>
          </w:p>
        </w:tc>
        <w:tc>
          <w:tcPr>
            <w:tcW w:w="925" w:type="dxa"/>
            <w:tcBorders>
              <w:top w:val="nil"/>
              <w:left w:val="nil"/>
              <w:bottom w:val="nil"/>
              <w:right w:val="nil"/>
            </w:tcBorders>
          </w:tcPr>
          <w:p>
            <w:pPr>
              <w:pStyle w:val="TableParagraph"/>
              <w:spacing w:before="24"/>
              <w:ind w:right="103"/>
              <w:rPr>
                <w:sz w:val="20"/>
              </w:rPr>
            </w:pPr>
            <w:r>
              <w:rPr>
                <w:sz w:val="20"/>
              </w:rPr>
              <w:t>0.43</w:t>
            </w:r>
          </w:p>
        </w:tc>
        <w:tc>
          <w:tcPr>
            <w:tcW w:w="895" w:type="dxa"/>
            <w:tcBorders>
              <w:top w:val="nil"/>
              <w:left w:val="nil"/>
              <w:bottom w:val="nil"/>
              <w:right w:val="nil"/>
            </w:tcBorders>
          </w:tcPr>
          <w:p>
            <w:pPr>
              <w:pStyle w:val="TableParagraph"/>
              <w:spacing w:before="24"/>
              <w:ind w:right="120"/>
              <w:rPr>
                <w:sz w:val="20"/>
              </w:rPr>
            </w:pPr>
            <w:r>
              <w:rPr>
                <w:sz w:val="20"/>
              </w:rPr>
              <w:t>0.44</w:t>
            </w:r>
          </w:p>
        </w:tc>
        <w:tc>
          <w:tcPr>
            <w:tcW w:w="936" w:type="dxa"/>
            <w:tcBorders>
              <w:top w:val="nil"/>
              <w:left w:val="nil"/>
              <w:bottom w:val="nil"/>
              <w:right w:val="nil"/>
            </w:tcBorders>
          </w:tcPr>
          <w:p>
            <w:pPr>
              <w:pStyle w:val="TableParagraph"/>
              <w:spacing w:before="24"/>
              <w:ind w:right="110"/>
              <w:rPr>
                <w:sz w:val="20"/>
              </w:rPr>
            </w:pPr>
            <w:r>
              <w:rPr>
                <w:sz w:val="20"/>
              </w:rPr>
              <w:t>0.52</w:t>
            </w:r>
          </w:p>
        </w:tc>
        <w:tc>
          <w:tcPr>
            <w:tcW w:w="915" w:type="dxa"/>
            <w:tcBorders>
              <w:top w:val="nil"/>
              <w:left w:val="nil"/>
              <w:bottom w:val="nil"/>
              <w:right w:val="nil"/>
            </w:tcBorders>
          </w:tcPr>
          <w:p>
            <w:pPr>
              <w:pStyle w:val="TableParagraph"/>
              <w:spacing w:before="24"/>
              <w:ind w:right="108"/>
              <w:rPr>
                <w:sz w:val="20"/>
              </w:rPr>
            </w:pPr>
            <w:r>
              <w:rPr>
                <w:sz w:val="20"/>
              </w:rPr>
              <w:t>0.68</w:t>
            </w:r>
          </w:p>
        </w:tc>
        <w:tc>
          <w:tcPr>
            <w:tcW w:w="895" w:type="dxa"/>
            <w:tcBorders>
              <w:top w:val="nil"/>
              <w:left w:val="nil"/>
              <w:bottom w:val="nil"/>
              <w:right w:val="nil"/>
            </w:tcBorders>
          </w:tcPr>
          <w:p>
            <w:pPr>
              <w:pStyle w:val="TableParagraph"/>
              <w:spacing w:before="24"/>
              <w:ind w:right="106"/>
              <w:rPr>
                <w:sz w:val="20"/>
              </w:rPr>
            </w:pPr>
            <w:r>
              <w:rPr>
                <w:sz w:val="20"/>
              </w:rPr>
              <w:t>0.64</w:t>
            </w:r>
          </w:p>
        </w:tc>
        <w:tc>
          <w:tcPr>
            <w:tcW w:w="886" w:type="dxa"/>
            <w:tcBorders>
              <w:top w:val="nil"/>
              <w:left w:val="nil"/>
              <w:bottom w:val="nil"/>
              <w:right w:val="nil"/>
            </w:tcBorders>
          </w:tcPr>
          <w:p>
            <w:pPr>
              <w:pStyle w:val="TableParagraph"/>
              <w:spacing w:before="24"/>
              <w:ind w:right="108"/>
              <w:rPr>
                <w:sz w:val="20"/>
              </w:rPr>
            </w:pPr>
            <w:r>
              <w:rPr>
                <w:sz w:val="20"/>
              </w:rPr>
              <w:t>0.62</w:t>
            </w:r>
          </w:p>
        </w:tc>
        <w:tc>
          <w:tcPr>
            <w:tcW w:w="876" w:type="dxa"/>
            <w:tcBorders>
              <w:top w:val="nil"/>
              <w:left w:val="nil"/>
              <w:bottom w:val="nil"/>
              <w:right w:val="nil"/>
            </w:tcBorders>
          </w:tcPr>
          <w:p>
            <w:pPr>
              <w:pStyle w:val="TableParagraph"/>
              <w:spacing w:before="24"/>
              <w:ind w:right="86"/>
              <w:rPr>
                <w:sz w:val="20"/>
              </w:rPr>
            </w:pPr>
            <w:r>
              <w:rPr>
                <w:sz w:val="20"/>
              </w:rPr>
              <w:t>0.63</w:t>
            </w:r>
          </w:p>
        </w:tc>
        <w:tc>
          <w:tcPr>
            <w:tcW w:w="907" w:type="dxa"/>
            <w:tcBorders>
              <w:top w:val="nil"/>
              <w:left w:val="nil"/>
              <w:bottom w:val="nil"/>
              <w:right w:val="nil"/>
            </w:tcBorders>
          </w:tcPr>
          <w:p>
            <w:pPr>
              <w:pStyle w:val="TableParagraph"/>
              <w:spacing w:before="24"/>
              <w:ind w:right="96"/>
              <w:rPr>
                <w:sz w:val="20"/>
              </w:rPr>
            </w:pPr>
            <w:r>
              <w:rPr>
                <w:sz w:val="20"/>
              </w:rPr>
              <w:t>0.55</w:t>
            </w:r>
          </w:p>
        </w:tc>
        <w:tc>
          <w:tcPr>
            <w:tcW w:w="910" w:type="dxa"/>
            <w:tcBorders>
              <w:top w:val="nil"/>
              <w:left w:val="nil"/>
              <w:bottom w:val="nil"/>
              <w:right w:val="nil"/>
            </w:tcBorders>
          </w:tcPr>
          <w:p>
            <w:pPr>
              <w:pStyle w:val="TableParagraph"/>
              <w:spacing w:before="24"/>
              <w:ind w:right="79"/>
              <w:rPr>
                <w:sz w:val="20"/>
              </w:rPr>
            </w:pPr>
            <w:r>
              <w:rPr>
                <w:sz w:val="20"/>
              </w:rPr>
              <w:t>0.32</w:t>
            </w:r>
          </w:p>
        </w:tc>
        <w:tc>
          <w:tcPr>
            <w:tcW w:w="845" w:type="dxa"/>
            <w:tcBorders>
              <w:top w:val="nil"/>
              <w:left w:val="nil"/>
              <w:bottom w:val="nil"/>
              <w:right w:val="nil"/>
            </w:tcBorders>
          </w:tcPr>
          <w:p>
            <w:pPr>
              <w:pStyle w:val="TableParagraph"/>
              <w:spacing w:before="24"/>
              <w:ind w:right="61"/>
              <w:rPr>
                <w:sz w:val="20"/>
              </w:rPr>
            </w:pPr>
            <w:r>
              <w:rPr>
                <w:sz w:val="20"/>
              </w:rPr>
              <w:t>0.45</w:t>
            </w:r>
          </w:p>
        </w:tc>
      </w:tr>
      <w:tr>
        <w:trPr>
          <w:trHeight w:val="300" w:hRule="exact"/>
        </w:trPr>
        <w:tc>
          <w:tcPr>
            <w:tcW w:w="1010" w:type="dxa"/>
            <w:tcBorders>
              <w:top w:val="nil"/>
              <w:left w:val="nil"/>
              <w:bottom w:val="nil"/>
              <w:right w:val="nil"/>
            </w:tcBorders>
          </w:tcPr>
          <w:p>
            <w:pPr>
              <w:pStyle w:val="TableParagraph"/>
              <w:spacing w:before="26"/>
              <w:ind w:left="86"/>
              <w:jc w:val="left"/>
              <w:rPr>
                <w:sz w:val="20"/>
              </w:rPr>
            </w:pPr>
            <w:r>
              <w:rPr>
                <w:sz w:val="20"/>
              </w:rPr>
              <w:t>17</w:t>
            </w:r>
          </w:p>
        </w:tc>
        <w:tc>
          <w:tcPr>
            <w:tcW w:w="1042" w:type="dxa"/>
            <w:tcBorders>
              <w:top w:val="nil"/>
              <w:left w:val="nil"/>
              <w:bottom w:val="nil"/>
              <w:right w:val="nil"/>
            </w:tcBorders>
          </w:tcPr>
          <w:p>
            <w:pPr>
              <w:pStyle w:val="TableParagraph"/>
              <w:spacing w:before="26"/>
              <w:ind w:left="94"/>
              <w:jc w:val="left"/>
              <w:rPr>
                <w:sz w:val="20"/>
              </w:rPr>
            </w:pPr>
            <w:r>
              <w:rPr>
                <w:sz w:val="20"/>
              </w:rPr>
              <w:t>15001</w:t>
            </w:r>
          </w:p>
        </w:tc>
        <w:tc>
          <w:tcPr>
            <w:tcW w:w="982" w:type="dxa"/>
            <w:tcBorders>
              <w:top w:val="nil"/>
              <w:left w:val="nil"/>
              <w:bottom w:val="nil"/>
              <w:right w:val="nil"/>
            </w:tcBorders>
          </w:tcPr>
          <w:p>
            <w:pPr>
              <w:pStyle w:val="TableParagraph"/>
              <w:spacing w:before="26"/>
              <w:ind w:right="118"/>
              <w:rPr>
                <w:sz w:val="20"/>
              </w:rPr>
            </w:pPr>
            <w:r>
              <w:rPr>
                <w:sz w:val="20"/>
              </w:rPr>
              <w:t>0.53</w:t>
            </w:r>
          </w:p>
        </w:tc>
        <w:tc>
          <w:tcPr>
            <w:tcW w:w="939" w:type="dxa"/>
            <w:tcBorders>
              <w:top w:val="nil"/>
              <w:left w:val="nil"/>
              <w:bottom w:val="nil"/>
              <w:right w:val="nil"/>
            </w:tcBorders>
          </w:tcPr>
          <w:p>
            <w:pPr>
              <w:pStyle w:val="TableParagraph"/>
              <w:spacing w:before="26"/>
              <w:ind w:right="115"/>
              <w:rPr>
                <w:sz w:val="20"/>
              </w:rPr>
            </w:pPr>
            <w:r>
              <w:rPr>
                <w:sz w:val="20"/>
              </w:rPr>
              <w:t>0.34</w:t>
            </w:r>
          </w:p>
        </w:tc>
        <w:tc>
          <w:tcPr>
            <w:tcW w:w="925" w:type="dxa"/>
            <w:tcBorders>
              <w:top w:val="nil"/>
              <w:left w:val="nil"/>
              <w:bottom w:val="nil"/>
              <w:right w:val="nil"/>
            </w:tcBorders>
          </w:tcPr>
          <w:p>
            <w:pPr>
              <w:pStyle w:val="TableParagraph"/>
              <w:spacing w:before="26"/>
              <w:ind w:right="103"/>
              <w:rPr>
                <w:sz w:val="20"/>
              </w:rPr>
            </w:pPr>
            <w:r>
              <w:rPr>
                <w:sz w:val="20"/>
              </w:rPr>
              <w:t>0.43</w:t>
            </w:r>
          </w:p>
        </w:tc>
        <w:tc>
          <w:tcPr>
            <w:tcW w:w="895" w:type="dxa"/>
            <w:tcBorders>
              <w:top w:val="nil"/>
              <w:left w:val="nil"/>
              <w:bottom w:val="nil"/>
              <w:right w:val="nil"/>
            </w:tcBorders>
          </w:tcPr>
          <w:p>
            <w:pPr>
              <w:pStyle w:val="TableParagraph"/>
              <w:spacing w:before="26"/>
              <w:ind w:right="120"/>
              <w:rPr>
                <w:sz w:val="20"/>
              </w:rPr>
            </w:pPr>
            <w:r>
              <w:rPr>
                <w:sz w:val="20"/>
              </w:rPr>
              <w:t>0.44</w:t>
            </w:r>
          </w:p>
        </w:tc>
        <w:tc>
          <w:tcPr>
            <w:tcW w:w="936" w:type="dxa"/>
            <w:tcBorders>
              <w:top w:val="nil"/>
              <w:left w:val="nil"/>
              <w:bottom w:val="nil"/>
              <w:right w:val="nil"/>
            </w:tcBorders>
          </w:tcPr>
          <w:p>
            <w:pPr>
              <w:pStyle w:val="TableParagraph"/>
              <w:spacing w:before="26"/>
              <w:ind w:right="110"/>
              <w:rPr>
                <w:sz w:val="20"/>
              </w:rPr>
            </w:pPr>
            <w:r>
              <w:rPr>
                <w:sz w:val="20"/>
              </w:rPr>
              <w:t>0.52</w:t>
            </w:r>
          </w:p>
        </w:tc>
        <w:tc>
          <w:tcPr>
            <w:tcW w:w="915" w:type="dxa"/>
            <w:tcBorders>
              <w:top w:val="nil"/>
              <w:left w:val="nil"/>
              <w:bottom w:val="nil"/>
              <w:right w:val="nil"/>
            </w:tcBorders>
          </w:tcPr>
          <w:p>
            <w:pPr>
              <w:pStyle w:val="TableParagraph"/>
              <w:spacing w:before="26"/>
              <w:ind w:right="108"/>
              <w:rPr>
                <w:sz w:val="20"/>
              </w:rPr>
            </w:pPr>
            <w:r>
              <w:rPr>
                <w:sz w:val="20"/>
              </w:rPr>
              <w:t>0.68</w:t>
            </w:r>
          </w:p>
        </w:tc>
        <w:tc>
          <w:tcPr>
            <w:tcW w:w="895" w:type="dxa"/>
            <w:tcBorders>
              <w:top w:val="nil"/>
              <w:left w:val="nil"/>
              <w:bottom w:val="nil"/>
              <w:right w:val="nil"/>
            </w:tcBorders>
          </w:tcPr>
          <w:p>
            <w:pPr>
              <w:pStyle w:val="TableParagraph"/>
              <w:spacing w:before="26"/>
              <w:ind w:right="106"/>
              <w:rPr>
                <w:sz w:val="20"/>
              </w:rPr>
            </w:pPr>
            <w:r>
              <w:rPr>
                <w:sz w:val="20"/>
              </w:rPr>
              <w:t>0.64</w:t>
            </w:r>
          </w:p>
        </w:tc>
        <w:tc>
          <w:tcPr>
            <w:tcW w:w="886" w:type="dxa"/>
            <w:tcBorders>
              <w:top w:val="nil"/>
              <w:left w:val="nil"/>
              <w:bottom w:val="nil"/>
              <w:right w:val="nil"/>
            </w:tcBorders>
          </w:tcPr>
          <w:p>
            <w:pPr>
              <w:pStyle w:val="TableParagraph"/>
              <w:spacing w:before="26"/>
              <w:ind w:right="108"/>
              <w:rPr>
                <w:sz w:val="20"/>
              </w:rPr>
            </w:pPr>
            <w:r>
              <w:rPr>
                <w:sz w:val="20"/>
              </w:rPr>
              <w:t>0.62</w:t>
            </w:r>
          </w:p>
        </w:tc>
        <w:tc>
          <w:tcPr>
            <w:tcW w:w="876" w:type="dxa"/>
            <w:tcBorders>
              <w:top w:val="nil"/>
              <w:left w:val="nil"/>
              <w:bottom w:val="nil"/>
              <w:right w:val="nil"/>
            </w:tcBorders>
          </w:tcPr>
          <w:p>
            <w:pPr>
              <w:pStyle w:val="TableParagraph"/>
              <w:spacing w:before="26"/>
              <w:ind w:right="86"/>
              <w:rPr>
                <w:sz w:val="20"/>
              </w:rPr>
            </w:pPr>
            <w:r>
              <w:rPr>
                <w:sz w:val="20"/>
              </w:rPr>
              <w:t>0.63</w:t>
            </w:r>
          </w:p>
        </w:tc>
        <w:tc>
          <w:tcPr>
            <w:tcW w:w="907" w:type="dxa"/>
            <w:tcBorders>
              <w:top w:val="nil"/>
              <w:left w:val="nil"/>
              <w:bottom w:val="nil"/>
              <w:right w:val="nil"/>
            </w:tcBorders>
          </w:tcPr>
          <w:p>
            <w:pPr>
              <w:pStyle w:val="TableParagraph"/>
              <w:spacing w:before="26"/>
              <w:ind w:right="96"/>
              <w:rPr>
                <w:sz w:val="20"/>
              </w:rPr>
            </w:pPr>
            <w:r>
              <w:rPr>
                <w:sz w:val="20"/>
              </w:rPr>
              <w:t>0.55</w:t>
            </w:r>
          </w:p>
        </w:tc>
        <w:tc>
          <w:tcPr>
            <w:tcW w:w="910" w:type="dxa"/>
            <w:tcBorders>
              <w:top w:val="nil"/>
              <w:left w:val="nil"/>
              <w:bottom w:val="nil"/>
              <w:right w:val="nil"/>
            </w:tcBorders>
          </w:tcPr>
          <w:p>
            <w:pPr>
              <w:pStyle w:val="TableParagraph"/>
              <w:spacing w:before="26"/>
              <w:ind w:right="79"/>
              <w:rPr>
                <w:sz w:val="20"/>
              </w:rPr>
            </w:pPr>
            <w:r>
              <w:rPr>
                <w:sz w:val="20"/>
              </w:rPr>
              <w:t>0.32</w:t>
            </w:r>
          </w:p>
        </w:tc>
        <w:tc>
          <w:tcPr>
            <w:tcW w:w="845" w:type="dxa"/>
            <w:tcBorders>
              <w:top w:val="nil"/>
              <w:left w:val="nil"/>
              <w:bottom w:val="nil"/>
              <w:right w:val="nil"/>
            </w:tcBorders>
          </w:tcPr>
          <w:p>
            <w:pPr>
              <w:pStyle w:val="TableParagraph"/>
              <w:spacing w:before="26"/>
              <w:ind w:right="61"/>
              <w:rPr>
                <w:sz w:val="20"/>
              </w:rPr>
            </w:pPr>
            <w:r>
              <w:rPr>
                <w:sz w:val="20"/>
              </w:rPr>
              <w:t>0.45</w:t>
            </w:r>
          </w:p>
        </w:tc>
      </w:tr>
      <w:tr>
        <w:trPr>
          <w:trHeight w:val="300" w:hRule="exact"/>
        </w:trPr>
        <w:tc>
          <w:tcPr>
            <w:tcW w:w="1010" w:type="dxa"/>
            <w:tcBorders>
              <w:top w:val="nil"/>
              <w:left w:val="nil"/>
              <w:bottom w:val="nil"/>
              <w:right w:val="nil"/>
            </w:tcBorders>
          </w:tcPr>
          <w:p>
            <w:pPr>
              <w:pStyle w:val="TableParagraph"/>
              <w:ind w:left="86"/>
              <w:jc w:val="left"/>
              <w:rPr>
                <w:sz w:val="20"/>
              </w:rPr>
            </w:pPr>
            <w:r>
              <w:rPr>
                <w:sz w:val="20"/>
              </w:rPr>
              <w:t>18</w:t>
            </w:r>
          </w:p>
        </w:tc>
        <w:tc>
          <w:tcPr>
            <w:tcW w:w="1042" w:type="dxa"/>
            <w:tcBorders>
              <w:top w:val="nil"/>
              <w:left w:val="nil"/>
              <w:bottom w:val="nil"/>
              <w:right w:val="nil"/>
            </w:tcBorders>
          </w:tcPr>
          <w:p>
            <w:pPr>
              <w:pStyle w:val="TableParagraph"/>
              <w:ind w:left="94"/>
              <w:jc w:val="left"/>
              <w:rPr>
                <w:sz w:val="20"/>
              </w:rPr>
            </w:pPr>
            <w:r>
              <w:rPr>
                <w:sz w:val="20"/>
              </w:rPr>
              <w:t>15001</w:t>
            </w:r>
          </w:p>
        </w:tc>
        <w:tc>
          <w:tcPr>
            <w:tcW w:w="982" w:type="dxa"/>
            <w:tcBorders>
              <w:top w:val="nil"/>
              <w:left w:val="nil"/>
              <w:bottom w:val="nil"/>
              <w:right w:val="nil"/>
            </w:tcBorders>
          </w:tcPr>
          <w:p>
            <w:pPr>
              <w:pStyle w:val="TableParagraph"/>
              <w:ind w:right="118"/>
              <w:rPr>
                <w:sz w:val="20"/>
              </w:rPr>
            </w:pPr>
            <w:r>
              <w:rPr>
                <w:sz w:val="20"/>
              </w:rPr>
              <w:t>0.53</w:t>
            </w:r>
          </w:p>
        </w:tc>
        <w:tc>
          <w:tcPr>
            <w:tcW w:w="939" w:type="dxa"/>
            <w:tcBorders>
              <w:top w:val="nil"/>
              <w:left w:val="nil"/>
              <w:bottom w:val="nil"/>
              <w:right w:val="nil"/>
            </w:tcBorders>
          </w:tcPr>
          <w:p>
            <w:pPr>
              <w:pStyle w:val="TableParagraph"/>
              <w:ind w:right="115"/>
              <w:rPr>
                <w:sz w:val="20"/>
              </w:rPr>
            </w:pPr>
            <w:r>
              <w:rPr>
                <w:sz w:val="20"/>
              </w:rPr>
              <w:t>0.34</w:t>
            </w:r>
          </w:p>
        </w:tc>
        <w:tc>
          <w:tcPr>
            <w:tcW w:w="925" w:type="dxa"/>
            <w:tcBorders>
              <w:top w:val="nil"/>
              <w:left w:val="nil"/>
              <w:bottom w:val="nil"/>
              <w:right w:val="nil"/>
            </w:tcBorders>
          </w:tcPr>
          <w:p>
            <w:pPr>
              <w:pStyle w:val="TableParagraph"/>
              <w:ind w:right="103"/>
              <w:rPr>
                <w:sz w:val="20"/>
              </w:rPr>
            </w:pPr>
            <w:r>
              <w:rPr>
                <w:sz w:val="20"/>
              </w:rPr>
              <w:t>0.43</w:t>
            </w:r>
          </w:p>
        </w:tc>
        <w:tc>
          <w:tcPr>
            <w:tcW w:w="895" w:type="dxa"/>
            <w:tcBorders>
              <w:top w:val="nil"/>
              <w:left w:val="nil"/>
              <w:bottom w:val="nil"/>
              <w:right w:val="nil"/>
            </w:tcBorders>
          </w:tcPr>
          <w:p>
            <w:pPr>
              <w:pStyle w:val="TableParagraph"/>
              <w:ind w:right="120"/>
              <w:rPr>
                <w:sz w:val="20"/>
              </w:rPr>
            </w:pPr>
            <w:r>
              <w:rPr>
                <w:sz w:val="20"/>
              </w:rPr>
              <w:t>0.44</w:t>
            </w:r>
          </w:p>
        </w:tc>
        <w:tc>
          <w:tcPr>
            <w:tcW w:w="936" w:type="dxa"/>
            <w:tcBorders>
              <w:top w:val="nil"/>
              <w:left w:val="nil"/>
              <w:bottom w:val="nil"/>
              <w:right w:val="nil"/>
            </w:tcBorders>
          </w:tcPr>
          <w:p>
            <w:pPr>
              <w:pStyle w:val="TableParagraph"/>
              <w:ind w:right="110"/>
              <w:rPr>
                <w:sz w:val="20"/>
              </w:rPr>
            </w:pPr>
            <w:r>
              <w:rPr>
                <w:sz w:val="20"/>
              </w:rPr>
              <w:t>0.52</w:t>
            </w:r>
          </w:p>
        </w:tc>
        <w:tc>
          <w:tcPr>
            <w:tcW w:w="915" w:type="dxa"/>
            <w:tcBorders>
              <w:top w:val="nil"/>
              <w:left w:val="nil"/>
              <w:bottom w:val="nil"/>
              <w:right w:val="nil"/>
            </w:tcBorders>
          </w:tcPr>
          <w:p>
            <w:pPr>
              <w:pStyle w:val="TableParagraph"/>
              <w:ind w:right="108"/>
              <w:rPr>
                <w:sz w:val="20"/>
              </w:rPr>
            </w:pPr>
            <w:r>
              <w:rPr>
                <w:sz w:val="20"/>
              </w:rPr>
              <w:t>0.68</w:t>
            </w:r>
          </w:p>
        </w:tc>
        <w:tc>
          <w:tcPr>
            <w:tcW w:w="895" w:type="dxa"/>
            <w:tcBorders>
              <w:top w:val="nil"/>
              <w:left w:val="nil"/>
              <w:bottom w:val="nil"/>
              <w:right w:val="nil"/>
            </w:tcBorders>
          </w:tcPr>
          <w:p>
            <w:pPr>
              <w:pStyle w:val="TableParagraph"/>
              <w:ind w:right="106"/>
              <w:rPr>
                <w:sz w:val="20"/>
              </w:rPr>
            </w:pPr>
            <w:r>
              <w:rPr>
                <w:sz w:val="20"/>
              </w:rPr>
              <w:t>0.64</w:t>
            </w:r>
          </w:p>
        </w:tc>
        <w:tc>
          <w:tcPr>
            <w:tcW w:w="886" w:type="dxa"/>
            <w:tcBorders>
              <w:top w:val="nil"/>
              <w:left w:val="nil"/>
              <w:bottom w:val="nil"/>
              <w:right w:val="nil"/>
            </w:tcBorders>
          </w:tcPr>
          <w:p>
            <w:pPr>
              <w:pStyle w:val="TableParagraph"/>
              <w:ind w:right="108"/>
              <w:rPr>
                <w:sz w:val="20"/>
              </w:rPr>
            </w:pPr>
            <w:r>
              <w:rPr>
                <w:sz w:val="20"/>
              </w:rPr>
              <w:t>0.62</w:t>
            </w:r>
          </w:p>
        </w:tc>
        <w:tc>
          <w:tcPr>
            <w:tcW w:w="876" w:type="dxa"/>
            <w:tcBorders>
              <w:top w:val="nil"/>
              <w:left w:val="nil"/>
              <w:bottom w:val="nil"/>
              <w:right w:val="nil"/>
            </w:tcBorders>
          </w:tcPr>
          <w:p>
            <w:pPr>
              <w:pStyle w:val="TableParagraph"/>
              <w:ind w:right="86"/>
              <w:rPr>
                <w:sz w:val="20"/>
              </w:rPr>
            </w:pPr>
            <w:r>
              <w:rPr>
                <w:sz w:val="20"/>
              </w:rPr>
              <w:t>0.63</w:t>
            </w:r>
          </w:p>
        </w:tc>
        <w:tc>
          <w:tcPr>
            <w:tcW w:w="907" w:type="dxa"/>
            <w:tcBorders>
              <w:top w:val="nil"/>
              <w:left w:val="nil"/>
              <w:bottom w:val="nil"/>
              <w:right w:val="nil"/>
            </w:tcBorders>
          </w:tcPr>
          <w:p>
            <w:pPr>
              <w:pStyle w:val="TableParagraph"/>
              <w:ind w:right="96"/>
              <w:rPr>
                <w:sz w:val="20"/>
              </w:rPr>
            </w:pPr>
            <w:r>
              <w:rPr>
                <w:sz w:val="20"/>
              </w:rPr>
              <w:t>0.55</w:t>
            </w:r>
          </w:p>
        </w:tc>
        <w:tc>
          <w:tcPr>
            <w:tcW w:w="910" w:type="dxa"/>
            <w:tcBorders>
              <w:top w:val="nil"/>
              <w:left w:val="nil"/>
              <w:bottom w:val="nil"/>
              <w:right w:val="nil"/>
            </w:tcBorders>
          </w:tcPr>
          <w:p>
            <w:pPr>
              <w:pStyle w:val="TableParagraph"/>
              <w:ind w:right="79"/>
              <w:rPr>
                <w:sz w:val="20"/>
              </w:rPr>
            </w:pPr>
            <w:r>
              <w:rPr>
                <w:sz w:val="20"/>
              </w:rPr>
              <w:t>0.32</w:t>
            </w:r>
          </w:p>
        </w:tc>
        <w:tc>
          <w:tcPr>
            <w:tcW w:w="845" w:type="dxa"/>
            <w:tcBorders>
              <w:top w:val="nil"/>
              <w:left w:val="nil"/>
              <w:bottom w:val="nil"/>
              <w:right w:val="nil"/>
            </w:tcBorders>
          </w:tcPr>
          <w:p>
            <w:pPr>
              <w:pStyle w:val="TableParagraph"/>
              <w:ind w:right="61"/>
              <w:rPr>
                <w:sz w:val="20"/>
              </w:rPr>
            </w:pPr>
            <w:r>
              <w:rPr>
                <w:sz w:val="20"/>
              </w:rPr>
              <w:t>0.45</w:t>
            </w:r>
          </w:p>
        </w:tc>
      </w:tr>
      <w:tr>
        <w:trPr>
          <w:trHeight w:val="300" w:hRule="exact"/>
        </w:trPr>
        <w:tc>
          <w:tcPr>
            <w:tcW w:w="1010" w:type="dxa"/>
            <w:tcBorders>
              <w:top w:val="nil"/>
              <w:left w:val="nil"/>
              <w:bottom w:val="nil"/>
              <w:right w:val="nil"/>
            </w:tcBorders>
          </w:tcPr>
          <w:p>
            <w:pPr>
              <w:pStyle w:val="TableParagraph"/>
              <w:spacing w:before="26"/>
              <w:ind w:left="86"/>
              <w:jc w:val="left"/>
              <w:rPr>
                <w:sz w:val="20"/>
              </w:rPr>
            </w:pPr>
            <w:r>
              <w:rPr>
                <w:sz w:val="20"/>
              </w:rPr>
              <w:t>19</w:t>
            </w:r>
          </w:p>
        </w:tc>
        <w:tc>
          <w:tcPr>
            <w:tcW w:w="1042" w:type="dxa"/>
            <w:tcBorders>
              <w:top w:val="nil"/>
              <w:left w:val="nil"/>
              <w:bottom w:val="nil"/>
              <w:right w:val="nil"/>
            </w:tcBorders>
          </w:tcPr>
          <w:p>
            <w:pPr>
              <w:pStyle w:val="TableParagraph"/>
              <w:spacing w:before="26"/>
              <w:ind w:left="94"/>
              <w:jc w:val="left"/>
              <w:rPr>
                <w:sz w:val="20"/>
              </w:rPr>
            </w:pPr>
            <w:r>
              <w:rPr>
                <w:sz w:val="20"/>
              </w:rPr>
              <w:t>15001</w:t>
            </w:r>
          </w:p>
        </w:tc>
        <w:tc>
          <w:tcPr>
            <w:tcW w:w="982" w:type="dxa"/>
            <w:tcBorders>
              <w:top w:val="nil"/>
              <w:left w:val="nil"/>
              <w:bottom w:val="nil"/>
              <w:right w:val="nil"/>
            </w:tcBorders>
          </w:tcPr>
          <w:p>
            <w:pPr>
              <w:pStyle w:val="TableParagraph"/>
              <w:spacing w:before="26"/>
              <w:ind w:right="118"/>
              <w:rPr>
                <w:sz w:val="20"/>
              </w:rPr>
            </w:pPr>
            <w:r>
              <w:rPr>
                <w:sz w:val="20"/>
              </w:rPr>
              <w:t>0.53</w:t>
            </w:r>
          </w:p>
        </w:tc>
        <w:tc>
          <w:tcPr>
            <w:tcW w:w="939" w:type="dxa"/>
            <w:tcBorders>
              <w:top w:val="nil"/>
              <w:left w:val="nil"/>
              <w:bottom w:val="nil"/>
              <w:right w:val="nil"/>
            </w:tcBorders>
          </w:tcPr>
          <w:p>
            <w:pPr>
              <w:pStyle w:val="TableParagraph"/>
              <w:spacing w:before="26"/>
              <w:ind w:right="115"/>
              <w:rPr>
                <w:sz w:val="20"/>
              </w:rPr>
            </w:pPr>
            <w:r>
              <w:rPr>
                <w:sz w:val="20"/>
              </w:rPr>
              <w:t>0.34</w:t>
            </w:r>
          </w:p>
        </w:tc>
        <w:tc>
          <w:tcPr>
            <w:tcW w:w="925" w:type="dxa"/>
            <w:tcBorders>
              <w:top w:val="nil"/>
              <w:left w:val="nil"/>
              <w:bottom w:val="nil"/>
              <w:right w:val="nil"/>
            </w:tcBorders>
          </w:tcPr>
          <w:p>
            <w:pPr>
              <w:pStyle w:val="TableParagraph"/>
              <w:spacing w:before="26"/>
              <w:ind w:right="103"/>
              <w:rPr>
                <w:sz w:val="20"/>
              </w:rPr>
            </w:pPr>
            <w:r>
              <w:rPr>
                <w:sz w:val="20"/>
              </w:rPr>
              <w:t>0.43</w:t>
            </w:r>
          </w:p>
        </w:tc>
        <w:tc>
          <w:tcPr>
            <w:tcW w:w="895" w:type="dxa"/>
            <w:tcBorders>
              <w:top w:val="nil"/>
              <w:left w:val="nil"/>
              <w:bottom w:val="nil"/>
              <w:right w:val="nil"/>
            </w:tcBorders>
          </w:tcPr>
          <w:p>
            <w:pPr>
              <w:pStyle w:val="TableParagraph"/>
              <w:spacing w:before="26"/>
              <w:ind w:right="120"/>
              <w:rPr>
                <w:sz w:val="20"/>
              </w:rPr>
            </w:pPr>
            <w:r>
              <w:rPr>
                <w:sz w:val="20"/>
              </w:rPr>
              <w:t>0.44</w:t>
            </w:r>
          </w:p>
        </w:tc>
        <w:tc>
          <w:tcPr>
            <w:tcW w:w="936" w:type="dxa"/>
            <w:tcBorders>
              <w:top w:val="nil"/>
              <w:left w:val="nil"/>
              <w:bottom w:val="nil"/>
              <w:right w:val="nil"/>
            </w:tcBorders>
          </w:tcPr>
          <w:p>
            <w:pPr>
              <w:pStyle w:val="TableParagraph"/>
              <w:spacing w:before="26"/>
              <w:ind w:right="110"/>
              <w:rPr>
                <w:sz w:val="20"/>
              </w:rPr>
            </w:pPr>
            <w:r>
              <w:rPr>
                <w:sz w:val="20"/>
              </w:rPr>
              <w:t>0.52</w:t>
            </w:r>
          </w:p>
        </w:tc>
        <w:tc>
          <w:tcPr>
            <w:tcW w:w="915" w:type="dxa"/>
            <w:tcBorders>
              <w:top w:val="nil"/>
              <w:left w:val="nil"/>
              <w:bottom w:val="nil"/>
              <w:right w:val="nil"/>
            </w:tcBorders>
          </w:tcPr>
          <w:p>
            <w:pPr>
              <w:pStyle w:val="TableParagraph"/>
              <w:spacing w:before="26"/>
              <w:ind w:right="108"/>
              <w:rPr>
                <w:sz w:val="20"/>
              </w:rPr>
            </w:pPr>
            <w:r>
              <w:rPr>
                <w:sz w:val="20"/>
              </w:rPr>
              <w:t>0.68</w:t>
            </w:r>
          </w:p>
        </w:tc>
        <w:tc>
          <w:tcPr>
            <w:tcW w:w="895" w:type="dxa"/>
            <w:tcBorders>
              <w:top w:val="nil"/>
              <w:left w:val="nil"/>
              <w:bottom w:val="nil"/>
              <w:right w:val="nil"/>
            </w:tcBorders>
          </w:tcPr>
          <w:p>
            <w:pPr>
              <w:pStyle w:val="TableParagraph"/>
              <w:spacing w:before="26"/>
              <w:ind w:right="106"/>
              <w:rPr>
                <w:sz w:val="20"/>
              </w:rPr>
            </w:pPr>
            <w:r>
              <w:rPr>
                <w:sz w:val="20"/>
              </w:rPr>
              <w:t>0.64</w:t>
            </w:r>
          </w:p>
        </w:tc>
        <w:tc>
          <w:tcPr>
            <w:tcW w:w="886" w:type="dxa"/>
            <w:tcBorders>
              <w:top w:val="nil"/>
              <w:left w:val="nil"/>
              <w:bottom w:val="nil"/>
              <w:right w:val="nil"/>
            </w:tcBorders>
          </w:tcPr>
          <w:p>
            <w:pPr>
              <w:pStyle w:val="TableParagraph"/>
              <w:spacing w:before="26"/>
              <w:ind w:right="108"/>
              <w:rPr>
                <w:sz w:val="20"/>
              </w:rPr>
            </w:pPr>
            <w:r>
              <w:rPr>
                <w:sz w:val="20"/>
              </w:rPr>
              <w:t>0.62</w:t>
            </w:r>
          </w:p>
        </w:tc>
        <w:tc>
          <w:tcPr>
            <w:tcW w:w="876" w:type="dxa"/>
            <w:tcBorders>
              <w:top w:val="nil"/>
              <w:left w:val="nil"/>
              <w:bottom w:val="nil"/>
              <w:right w:val="nil"/>
            </w:tcBorders>
          </w:tcPr>
          <w:p>
            <w:pPr>
              <w:pStyle w:val="TableParagraph"/>
              <w:spacing w:before="26"/>
              <w:ind w:right="86"/>
              <w:rPr>
                <w:sz w:val="20"/>
              </w:rPr>
            </w:pPr>
            <w:r>
              <w:rPr>
                <w:sz w:val="20"/>
              </w:rPr>
              <w:t>0.63</w:t>
            </w:r>
          </w:p>
        </w:tc>
        <w:tc>
          <w:tcPr>
            <w:tcW w:w="907" w:type="dxa"/>
            <w:tcBorders>
              <w:top w:val="nil"/>
              <w:left w:val="nil"/>
              <w:bottom w:val="nil"/>
              <w:right w:val="nil"/>
            </w:tcBorders>
          </w:tcPr>
          <w:p>
            <w:pPr>
              <w:pStyle w:val="TableParagraph"/>
              <w:spacing w:before="26"/>
              <w:ind w:right="96"/>
              <w:rPr>
                <w:sz w:val="20"/>
              </w:rPr>
            </w:pPr>
            <w:r>
              <w:rPr>
                <w:sz w:val="20"/>
              </w:rPr>
              <w:t>0.55</w:t>
            </w:r>
          </w:p>
        </w:tc>
        <w:tc>
          <w:tcPr>
            <w:tcW w:w="910" w:type="dxa"/>
            <w:tcBorders>
              <w:top w:val="nil"/>
              <w:left w:val="nil"/>
              <w:bottom w:val="nil"/>
              <w:right w:val="nil"/>
            </w:tcBorders>
          </w:tcPr>
          <w:p>
            <w:pPr>
              <w:pStyle w:val="TableParagraph"/>
              <w:spacing w:before="26"/>
              <w:ind w:right="79"/>
              <w:rPr>
                <w:sz w:val="20"/>
              </w:rPr>
            </w:pPr>
            <w:r>
              <w:rPr>
                <w:sz w:val="20"/>
              </w:rPr>
              <w:t>0.32</w:t>
            </w:r>
          </w:p>
        </w:tc>
        <w:tc>
          <w:tcPr>
            <w:tcW w:w="845" w:type="dxa"/>
            <w:tcBorders>
              <w:top w:val="nil"/>
              <w:left w:val="nil"/>
              <w:bottom w:val="nil"/>
              <w:right w:val="nil"/>
            </w:tcBorders>
          </w:tcPr>
          <w:p>
            <w:pPr>
              <w:pStyle w:val="TableParagraph"/>
              <w:spacing w:before="26"/>
              <w:ind w:right="61"/>
              <w:rPr>
                <w:sz w:val="20"/>
              </w:rPr>
            </w:pPr>
            <w:r>
              <w:rPr>
                <w:sz w:val="20"/>
              </w:rPr>
              <w:t>0.45</w:t>
            </w:r>
          </w:p>
        </w:tc>
      </w:tr>
      <w:tr>
        <w:trPr>
          <w:trHeight w:val="300" w:hRule="exact"/>
        </w:trPr>
        <w:tc>
          <w:tcPr>
            <w:tcW w:w="1010" w:type="dxa"/>
            <w:tcBorders>
              <w:top w:val="nil"/>
              <w:left w:val="nil"/>
              <w:bottom w:val="nil"/>
              <w:right w:val="nil"/>
            </w:tcBorders>
          </w:tcPr>
          <w:p>
            <w:pPr>
              <w:pStyle w:val="TableParagraph"/>
              <w:ind w:left="86"/>
              <w:jc w:val="left"/>
              <w:rPr>
                <w:sz w:val="20"/>
              </w:rPr>
            </w:pPr>
            <w:r>
              <w:rPr>
                <w:sz w:val="20"/>
              </w:rPr>
              <w:t>20</w:t>
            </w:r>
          </w:p>
        </w:tc>
        <w:tc>
          <w:tcPr>
            <w:tcW w:w="1042" w:type="dxa"/>
            <w:tcBorders>
              <w:top w:val="nil"/>
              <w:left w:val="nil"/>
              <w:bottom w:val="nil"/>
              <w:right w:val="nil"/>
            </w:tcBorders>
          </w:tcPr>
          <w:p>
            <w:pPr>
              <w:pStyle w:val="TableParagraph"/>
              <w:ind w:left="94"/>
              <w:jc w:val="left"/>
              <w:rPr>
                <w:sz w:val="20"/>
              </w:rPr>
            </w:pPr>
            <w:r>
              <w:rPr>
                <w:sz w:val="20"/>
              </w:rPr>
              <w:t>15029</w:t>
            </w:r>
          </w:p>
        </w:tc>
        <w:tc>
          <w:tcPr>
            <w:tcW w:w="982" w:type="dxa"/>
            <w:tcBorders>
              <w:top w:val="nil"/>
              <w:left w:val="nil"/>
              <w:bottom w:val="nil"/>
              <w:right w:val="nil"/>
            </w:tcBorders>
          </w:tcPr>
          <w:p>
            <w:pPr>
              <w:pStyle w:val="TableParagraph"/>
              <w:ind w:right="118"/>
              <w:rPr>
                <w:sz w:val="20"/>
              </w:rPr>
            </w:pPr>
            <w:r>
              <w:rPr>
                <w:sz w:val="20"/>
              </w:rPr>
              <w:t>0.4</w:t>
            </w:r>
          </w:p>
        </w:tc>
        <w:tc>
          <w:tcPr>
            <w:tcW w:w="939" w:type="dxa"/>
            <w:tcBorders>
              <w:top w:val="nil"/>
              <w:left w:val="nil"/>
              <w:bottom w:val="nil"/>
              <w:right w:val="nil"/>
            </w:tcBorders>
          </w:tcPr>
          <w:p>
            <w:pPr>
              <w:pStyle w:val="TableParagraph"/>
              <w:ind w:right="115"/>
              <w:rPr>
                <w:sz w:val="20"/>
              </w:rPr>
            </w:pPr>
            <w:r>
              <w:rPr>
                <w:sz w:val="20"/>
              </w:rPr>
              <w:t>0.3</w:t>
            </w:r>
          </w:p>
        </w:tc>
        <w:tc>
          <w:tcPr>
            <w:tcW w:w="925" w:type="dxa"/>
            <w:tcBorders>
              <w:top w:val="nil"/>
              <w:left w:val="nil"/>
              <w:bottom w:val="nil"/>
              <w:right w:val="nil"/>
            </w:tcBorders>
          </w:tcPr>
          <w:p>
            <w:pPr>
              <w:pStyle w:val="TableParagraph"/>
              <w:ind w:right="103"/>
              <w:rPr>
                <w:sz w:val="20"/>
              </w:rPr>
            </w:pPr>
            <w:r>
              <w:rPr>
                <w:sz w:val="20"/>
              </w:rPr>
              <w:t>0.3</w:t>
            </w:r>
          </w:p>
        </w:tc>
        <w:tc>
          <w:tcPr>
            <w:tcW w:w="895" w:type="dxa"/>
            <w:tcBorders>
              <w:top w:val="nil"/>
              <w:left w:val="nil"/>
              <w:bottom w:val="nil"/>
              <w:right w:val="nil"/>
            </w:tcBorders>
          </w:tcPr>
          <w:p>
            <w:pPr>
              <w:pStyle w:val="TableParagraph"/>
              <w:ind w:right="120"/>
              <w:rPr>
                <w:sz w:val="20"/>
              </w:rPr>
            </w:pPr>
            <w:r>
              <w:rPr>
                <w:sz w:val="20"/>
              </w:rPr>
              <w:t>0.4</w:t>
            </w:r>
          </w:p>
        </w:tc>
        <w:tc>
          <w:tcPr>
            <w:tcW w:w="936" w:type="dxa"/>
            <w:tcBorders>
              <w:top w:val="nil"/>
              <w:left w:val="nil"/>
              <w:bottom w:val="nil"/>
              <w:right w:val="nil"/>
            </w:tcBorders>
          </w:tcPr>
          <w:p>
            <w:pPr>
              <w:pStyle w:val="TableParagraph"/>
              <w:ind w:right="110"/>
              <w:rPr>
                <w:sz w:val="20"/>
              </w:rPr>
            </w:pPr>
            <w:r>
              <w:rPr>
                <w:sz w:val="20"/>
              </w:rPr>
              <w:t>0.5</w:t>
            </w:r>
          </w:p>
        </w:tc>
        <w:tc>
          <w:tcPr>
            <w:tcW w:w="915" w:type="dxa"/>
            <w:tcBorders>
              <w:top w:val="nil"/>
              <w:left w:val="nil"/>
              <w:bottom w:val="nil"/>
              <w:right w:val="nil"/>
            </w:tcBorders>
          </w:tcPr>
          <w:p>
            <w:pPr>
              <w:pStyle w:val="TableParagraph"/>
              <w:ind w:right="108"/>
              <w:rPr>
                <w:sz w:val="20"/>
              </w:rPr>
            </w:pPr>
            <w:r>
              <w:rPr>
                <w:sz w:val="20"/>
              </w:rPr>
              <w:t>0.7</w:t>
            </w:r>
          </w:p>
        </w:tc>
        <w:tc>
          <w:tcPr>
            <w:tcW w:w="895" w:type="dxa"/>
            <w:tcBorders>
              <w:top w:val="nil"/>
              <w:left w:val="nil"/>
              <w:bottom w:val="nil"/>
              <w:right w:val="nil"/>
            </w:tcBorders>
          </w:tcPr>
          <w:p>
            <w:pPr>
              <w:pStyle w:val="TableParagraph"/>
              <w:ind w:right="106"/>
              <w:rPr>
                <w:sz w:val="20"/>
              </w:rPr>
            </w:pPr>
            <w:r>
              <w:rPr>
                <w:sz w:val="20"/>
              </w:rPr>
              <w:t>0.8</w:t>
            </w:r>
          </w:p>
        </w:tc>
        <w:tc>
          <w:tcPr>
            <w:tcW w:w="886" w:type="dxa"/>
            <w:tcBorders>
              <w:top w:val="nil"/>
              <w:left w:val="nil"/>
              <w:bottom w:val="nil"/>
              <w:right w:val="nil"/>
            </w:tcBorders>
          </w:tcPr>
          <w:p>
            <w:pPr>
              <w:pStyle w:val="TableParagraph"/>
              <w:ind w:right="108"/>
              <w:rPr>
                <w:sz w:val="20"/>
              </w:rPr>
            </w:pPr>
            <w:r>
              <w:rPr>
                <w:sz w:val="20"/>
              </w:rPr>
              <w:t>0.7</w:t>
            </w:r>
          </w:p>
        </w:tc>
        <w:tc>
          <w:tcPr>
            <w:tcW w:w="876" w:type="dxa"/>
            <w:tcBorders>
              <w:top w:val="nil"/>
              <w:left w:val="nil"/>
              <w:bottom w:val="nil"/>
              <w:right w:val="nil"/>
            </w:tcBorders>
          </w:tcPr>
          <w:p>
            <w:pPr>
              <w:pStyle w:val="TableParagraph"/>
              <w:ind w:right="86"/>
              <w:rPr>
                <w:sz w:val="20"/>
              </w:rPr>
            </w:pPr>
            <w:r>
              <w:rPr>
                <w:sz w:val="20"/>
              </w:rPr>
              <w:t>0.6</w:t>
            </w:r>
          </w:p>
        </w:tc>
        <w:tc>
          <w:tcPr>
            <w:tcW w:w="907" w:type="dxa"/>
            <w:tcBorders>
              <w:top w:val="nil"/>
              <w:left w:val="nil"/>
              <w:bottom w:val="nil"/>
              <w:right w:val="nil"/>
            </w:tcBorders>
          </w:tcPr>
          <w:p>
            <w:pPr>
              <w:pStyle w:val="TableParagraph"/>
              <w:ind w:right="96"/>
              <w:rPr>
                <w:sz w:val="20"/>
              </w:rPr>
            </w:pPr>
            <w:r>
              <w:rPr>
                <w:sz w:val="20"/>
              </w:rPr>
              <w:t>0.5</w:t>
            </w:r>
          </w:p>
        </w:tc>
        <w:tc>
          <w:tcPr>
            <w:tcW w:w="910" w:type="dxa"/>
            <w:tcBorders>
              <w:top w:val="nil"/>
              <w:left w:val="nil"/>
              <w:bottom w:val="nil"/>
              <w:right w:val="nil"/>
            </w:tcBorders>
          </w:tcPr>
          <w:p>
            <w:pPr>
              <w:pStyle w:val="TableParagraph"/>
              <w:ind w:right="79"/>
              <w:rPr>
                <w:sz w:val="20"/>
              </w:rPr>
            </w:pPr>
            <w:r>
              <w:rPr>
                <w:sz w:val="20"/>
              </w:rPr>
              <w:t>0.4</w:t>
            </w:r>
          </w:p>
        </w:tc>
        <w:tc>
          <w:tcPr>
            <w:tcW w:w="845" w:type="dxa"/>
            <w:tcBorders>
              <w:top w:val="nil"/>
              <w:left w:val="nil"/>
              <w:bottom w:val="nil"/>
              <w:right w:val="nil"/>
            </w:tcBorders>
          </w:tcPr>
          <w:p>
            <w:pPr>
              <w:pStyle w:val="TableParagraph"/>
              <w:ind w:right="61"/>
              <w:rPr>
                <w:sz w:val="20"/>
              </w:rPr>
            </w:pPr>
            <w:r>
              <w:rPr>
                <w:sz w:val="20"/>
              </w:rPr>
              <w:t>0.4</w:t>
            </w:r>
          </w:p>
        </w:tc>
      </w:tr>
      <w:tr>
        <w:trPr>
          <w:trHeight w:val="300" w:hRule="exact"/>
        </w:trPr>
        <w:tc>
          <w:tcPr>
            <w:tcW w:w="1010" w:type="dxa"/>
            <w:tcBorders>
              <w:top w:val="nil"/>
              <w:left w:val="nil"/>
              <w:bottom w:val="nil"/>
              <w:right w:val="nil"/>
            </w:tcBorders>
          </w:tcPr>
          <w:p>
            <w:pPr>
              <w:pStyle w:val="TableParagraph"/>
              <w:spacing w:before="26"/>
              <w:ind w:left="86"/>
              <w:jc w:val="left"/>
              <w:rPr>
                <w:sz w:val="20"/>
              </w:rPr>
            </w:pPr>
            <w:r>
              <w:rPr>
                <w:sz w:val="20"/>
              </w:rPr>
              <w:t>21</w:t>
            </w:r>
          </w:p>
        </w:tc>
        <w:tc>
          <w:tcPr>
            <w:tcW w:w="1042" w:type="dxa"/>
            <w:tcBorders>
              <w:top w:val="nil"/>
              <w:left w:val="nil"/>
              <w:bottom w:val="nil"/>
              <w:right w:val="nil"/>
            </w:tcBorders>
          </w:tcPr>
          <w:p>
            <w:pPr>
              <w:pStyle w:val="TableParagraph"/>
              <w:spacing w:before="26"/>
              <w:ind w:left="94"/>
              <w:jc w:val="left"/>
              <w:rPr>
                <w:sz w:val="20"/>
              </w:rPr>
            </w:pPr>
            <w:r>
              <w:rPr>
                <w:sz w:val="20"/>
              </w:rPr>
              <w:t>15001</w:t>
            </w:r>
          </w:p>
        </w:tc>
        <w:tc>
          <w:tcPr>
            <w:tcW w:w="982" w:type="dxa"/>
            <w:tcBorders>
              <w:top w:val="nil"/>
              <w:left w:val="nil"/>
              <w:bottom w:val="nil"/>
              <w:right w:val="nil"/>
            </w:tcBorders>
          </w:tcPr>
          <w:p>
            <w:pPr>
              <w:pStyle w:val="TableParagraph"/>
              <w:spacing w:before="26"/>
              <w:ind w:right="118"/>
              <w:rPr>
                <w:sz w:val="20"/>
              </w:rPr>
            </w:pPr>
            <w:r>
              <w:rPr>
                <w:sz w:val="20"/>
              </w:rPr>
              <w:t>0.53</w:t>
            </w:r>
          </w:p>
        </w:tc>
        <w:tc>
          <w:tcPr>
            <w:tcW w:w="939" w:type="dxa"/>
            <w:tcBorders>
              <w:top w:val="nil"/>
              <w:left w:val="nil"/>
              <w:bottom w:val="nil"/>
              <w:right w:val="nil"/>
            </w:tcBorders>
          </w:tcPr>
          <w:p>
            <w:pPr>
              <w:pStyle w:val="TableParagraph"/>
              <w:spacing w:before="26"/>
              <w:ind w:right="115"/>
              <w:rPr>
                <w:sz w:val="20"/>
              </w:rPr>
            </w:pPr>
            <w:r>
              <w:rPr>
                <w:sz w:val="20"/>
              </w:rPr>
              <w:t>0.34</w:t>
            </w:r>
          </w:p>
        </w:tc>
        <w:tc>
          <w:tcPr>
            <w:tcW w:w="925" w:type="dxa"/>
            <w:tcBorders>
              <w:top w:val="nil"/>
              <w:left w:val="nil"/>
              <w:bottom w:val="nil"/>
              <w:right w:val="nil"/>
            </w:tcBorders>
          </w:tcPr>
          <w:p>
            <w:pPr>
              <w:pStyle w:val="TableParagraph"/>
              <w:spacing w:before="26"/>
              <w:ind w:right="103"/>
              <w:rPr>
                <w:sz w:val="20"/>
              </w:rPr>
            </w:pPr>
            <w:r>
              <w:rPr>
                <w:sz w:val="20"/>
              </w:rPr>
              <w:t>0.43</w:t>
            </w:r>
          </w:p>
        </w:tc>
        <w:tc>
          <w:tcPr>
            <w:tcW w:w="895" w:type="dxa"/>
            <w:tcBorders>
              <w:top w:val="nil"/>
              <w:left w:val="nil"/>
              <w:bottom w:val="nil"/>
              <w:right w:val="nil"/>
            </w:tcBorders>
          </w:tcPr>
          <w:p>
            <w:pPr>
              <w:pStyle w:val="TableParagraph"/>
              <w:spacing w:before="26"/>
              <w:ind w:right="120"/>
              <w:rPr>
                <w:sz w:val="20"/>
              </w:rPr>
            </w:pPr>
            <w:r>
              <w:rPr>
                <w:sz w:val="20"/>
              </w:rPr>
              <w:t>0.44</w:t>
            </w:r>
          </w:p>
        </w:tc>
        <w:tc>
          <w:tcPr>
            <w:tcW w:w="936" w:type="dxa"/>
            <w:tcBorders>
              <w:top w:val="nil"/>
              <w:left w:val="nil"/>
              <w:bottom w:val="nil"/>
              <w:right w:val="nil"/>
            </w:tcBorders>
          </w:tcPr>
          <w:p>
            <w:pPr>
              <w:pStyle w:val="TableParagraph"/>
              <w:spacing w:before="26"/>
              <w:ind w:right="110"/>
              <w:rPr>
                <w:sz w:val="20"/>
              </w:rPr>
            </w:pPr>
            <w:r>
              <w:rPr>
                <w:sz w:val="20"/>
              </w:rPr>
              <w:t>0.52</w:t>
            </w:r>
          </w:p>
        </w:tc>
        <w:tc>
          <w:tcPr>
            <w:tcW w:w="915" w:type="dxa"/>
            <w:tcBorders>
              <w:top w:val="nil"/>
              <w:left w:val="nil"/>
              <w:bottom w:val="nil"/>
              <w:right w:val="nil"/>
            </w:tcBorders>
          </w:tcPr>
          <w:p>
            <w:pPr>
              <w:pStyle w:val="TableParagraph"/>
              <w:spacing w:before="26"/>
              <w:ind w:right="108"/>
              <w:rPr>
                <w:sz w:val="20"/>
              </w:rPr>
            </w:pPr>
            <w:r>
              <w:rPr>
                <w:sz w:val="20"/>
              </w:rPr>
              <w:t>0.68</w:t>
            </w:r>
          </w:p>
        </w:tc>
        <w:tc>
          <w:tcPr>
            <w:tcW w:w="895" w:type="dxa"/>
            <w:tcBorders>
              <w:top w:val="nil"/>
              <w:left w:val="nil"/>
              <w:bottom w:val="nil"/>
              <w:right w:val="nil"/>
            </w:tcBorders>
          </w:tcPr>
          <w:p>
            <w:pPr>
              <w:pStyle w:val="TableParagraph"/>
              <w:spacing w:before="26"/>
              <w:ind w:right="106"/>
              <w:rPr>
                <w:sz w:val="20"/>
              </w:rPr>
            </w:pPr>
            <w:r>
              <w:rPr>
                <w:sz w:val="20"/>
              </w:rPr>
              <w:t>0.64</w:t>
            </w:r>
          </w:p>
        </w:tc>
        <w:tc>
          <w:tcPr>
            <w:tcW w:w="886" w:type="dxa"/>
            <w:tcBorders>
              <w:top w:val="nil"/>
              <w:left w:val="nil"/>
              <w:bottom w:val="nil"/>
              <w:right w:val="nil"/>
            </w:tcBorders>
          </w:tcPr>
          <w:p>
            <w:pPr>
              <w:pStyle w:val="TableParagraph"/>
              <w:spacing w:before="26"/>
              <w:ind w:right="108"/>
              <w:rPr>
                <w:sz w:val="20"/>
              </w:rPr>
            </w:pPr>
            <w:r>
              <w:rPr>
                <w:sz w:val="20"/>
              </w:rPr>
              <w:t>0.62</w:t>
            </w:r>
          </w:p>
        </w:tc>
        <w:tc>
          <w:tcPr>
            <w:tcW w:w="876" w:type="dxa"/>
            <w:tcBorders>
              <w:top w:val="nil"/>
              <w:left w:val="nil"/>
              <w:bottom w:val="nil"/>
              <w:right w:val="nil"/>
            </w:tcBorders>
          </w:tcPr>
          <w:p>
            <w:pPr>
              <w:pStyle w:val="TableParagraph"/>
              <w:spacing w:before="26"/>
              <w:ind w:right="86"/>
              <w:rPr>
                <w:sz w:val="20"/>
              </w:rPr>
            </w:pPr>
            <w:r>
              <w:rPr>
                <w:sz w:val="20"/>
              </w:rPr>
              <w:t>0.63</w:t>
            </w:r>
          </w:p>
        </w:tc>
        <w:tc>
          <w:tcPr>
            <w:tcW w:w="907" w:type="dxa"/>
            <w:tcBorders>
              <w:top w:val="nil"/>
              <w:left w:val="nil"/>
              <w:bottom w:val="nil"/>
              <w:right w:val="nil"/>
            </w:tcBorders>
          </w:tcPr>
          <w:p>
            <w:pPr>
              <w:pStyle w:val="TableParagraph"/>
              <w:spacing w:before="26"/>
              <w:ind w:right="96"/>
              <w:rPr>
                <w:sz w:val="20"/>
              </w:rPr>
            </w:pPr>
            <w:r>
              <w:rPr>
                <w:sz w:val="20"/>
              </w:rPr>
              <w:t>0.55</w:t>
            </w:r>
          </w:p>
        </w:tc>
        <w:tc>
          <w:tcPr>
            <w:tcW w:w="910" w:type="dxa"/>
            <w:tcBorders>
              <w:top w:val="nil"/>
              <w:left w:val="nil"/>
              <w:bottom w:val="nil"/>
              <w:right w:val="nil"/>
            </w:tcBorders>
          </w:tcPr>
          <w:p>
            <w:pPr>
              <w:pStyle w:val="TableParagraph"/>
              <w:spacing w:before="26"/>
              <w:ind w:right="79"/>
              <w:rPr>
                <w:sz w:val="20"/>
              </w:rPr>
            </w:pPr>
            <w:r>
              <w:rPr>
                <w:sz w:val="20"/>
              </w:rPr>
              <w:t>0.32</w:t>
            </w:r>
          </w:p>
        </w:tc>
        <w:tc>
          <w:tcPr>
            <w:tcW w:w="845" w:type="dxa"/>
            <w:tcBorders>
              <w:top w:val="nil"/>
              <w:left w:val="nil"/>
              <w:bottom w:val="nil"/>
              <w:right w:val="nil"/>
            </w:tcBorders>
          </w:tcPr>
          <w:p>
            <w:pPr>
              <w:pStyle w:val="TableParagraph"/>
              <w:spacing w:before="26"/>
              <w:ind w:right="61"/>
              <w:rPr>
                <w:sz w:val="20"/>
              </w:rPr>
            </w:pPr>
            <w:r>
              <w:rPr>
                <w:sz w:val="20"/>
              </w:rPr>
              <w:t>0.45</w:t>
            </w:r>
          </w:p>
        </w:tc>
      </w:tr>
      <w:tr>
        <w:trPr>
          <w:trHeight w:val="300" w:hRule="exact"/>
        </w:trPr>
        <w:tc>
          <w:tcPr>
            <w:tcW w:w="1010" w:type="dxa"/>
            <w:tcBorders>
              <w:top w:val="nil"/>
              <w:left w:val="nil"/>
              <w:bottom w:val="nil"/>
              <w:right w:val="nil"/>
            </w:tcBorders>
          </w:tcPr>
          <w:p>
            <w:pPr>
              <w:pStyle w:val="TableParagraph"/>
              <w:ind w:left="86"/>
              <w:jc w:val="left"/>
              <w:rPr>
                <w:sz w:val="20"/>
              </w:rPr>
            </w:pPr>
            <w:r>
              <w:rPr>
                <w:sz w:val="20"/>
              </w:rPr>
              <w:t>22</w:t>
            </w:r>
          </w:p>
        </w:tc>
        <w:tc>
          <w:tcPr>
            <w:tcW w:w="1042" w:type="dxa"/>
            <w:tcBorders>
              <w:top w:val="nil"/>
              <w:left w:val="nil"/>
              <w:bottom w:val="nil"/>
              <w:right w:val="nil"/>
            </w:tcBorders>
          </w:tcPr>
          <w:p>
            <w:pPr>
              <w:pStyle w:val="TableParagraph"/>
              <w:ind w:left="94"/>
              <w:jc w:val="left"/>
              <w:rPr>
                <w:sz w:val="20"/>
              </w:rPr>
            </w:pPr>
            <w:r>
              <w:rPr>
                <w:sz w:val="20"/>
              </w:rPr>
              <w:t>15029</w:t>
            </w:r>
          </w:p>
        </w:tc>
        <w:tc>
          <w:tcPr>
            <w:tcW w:w="982" w:type="dxa"/>
            <w:tcBorders>
              <w:top w:val="nil"/>
              <w:left w:val="nil"/>
              <w:bottom w:val="nil"/>
              <w:right w:val="nil"/>
            </w:tcBorders>
          </w:tcPr>
          <w:p>
            <w:pPr>
              <w:pStyle w:val="TableParagraph"/>
              <w:ind w:right="118"/>
              <w:rPr>
                <w:sz w:val="20"/>
              </w:rPr>
            </w:pPr>
            <w:r>
              <w:rPr>
                <w:sz w:val="20"/>
              </w:rPr>
              <w:t>0.4</w:t>
            </w:r>
          </w:p>
        </w:tc>
        <w:tc>
          <w:tcPr>
            <w:tcW w:w="939" w:type="dxa"/>
            <w:tcBorders>
              <w:top w:val="nil"/>
              <w:left w:val="nil"/>
              <w:bottom w:val="nil"/>
              <w:right w:val="nil"/>
            </w:tcBorders>
          </w:tcPr>
          <w:p>
            <w:pPr>
              <w:pStyle w:val="TableParagraph"/>
              <w:ind w:right="115"/>
              <w:rPr>
                <w:sz w:val="20"/>
              </w:rPr>
            </w:pPr>
            <w:r>
              <w:rPr>
                <w:sz w:val="20"/>
              </w:rPr>
              <w:t>0.3</w:t>
            </w:r>
          </w:p>
        </w:tc>
        <w:tc>
          <w:tcPr>
            <w:tcW w:w="925" w:type="dxa"/>
            <w:tcBorders>
              <w:top w:val="nil"/>
              <w:left w:val="nil"/>
              <w:bottom w:val="nil"/>
              <w:right w:val="nil"/>
            </w:tcBorders>
          </w:tcPr>
          <w:p>
            <w:pPr>
              <w:pStyle w:val="TableParagraph"/>
              <w:ind w:right="103"/>
              <w:rPr>
                <w:sz w:val="20"/>
              </w:rPr>
            </w:pPr>
            <w:r>
              <w:rPr>
                <w:sz w:val="20"/>
              </w:rPr>
              <w:t>0.3</w:t>
            </w:r>
          </w:p>
        </w:tc>
        <w:tc>
          <w:tcPr>
            <w:tcW w:w="895" w:type="dxa"/>
            <w:tcBorders>
              <w:top w:val="nil"/>
              <w:left w:val="nil"/>
              <w:bottom w:val="nil"/>
              <w:right w:val="nil"/>
            </w:tcBorders>
          </w:tcPr>
          <w:p>
            <w:pPr>
              <w:pStyle w:val="TableParagraph"/>
              <w:ind w:right="120"/>
              <w:rPr>
                <w:sz w:val="20"/>
              </w:rPr>
            </w:pPr>
            <w:r>
              <w:rPr>
                <w:sz w:val="20"/>
              </w:rPr>
              <w:t>0.4</w:t>
            </w:r>
          </w:p>
        </w:tc>
        <w:tc>
          <w:tcPr>
            <w:tcW w:w="936" w:type="dxa"/>
            <w:tcBorders>
              <w:top w:val="nil"/>
              <w:left w:val="nil"/>
              <w:bottom w:val="nil"/>
              <w:right w:val="nil"/>
            </w:tcBorders>
          </w:tcPr>
          <w:p>
            <w:pPr>
              <w:pStyle w:val="TableParagraph"/>
              <w:ind w:right="110"/>
              <w:rPr>
                <w:sz w:val="20"/>
              </w:rPr>
            </w:pPr>
            <w:r>
              <w:rPr>
                <w:sz w:val="20"/>
              </w:rPr>
              <w:t>0.5</w:t>
            </w:r>
          </w:p>
        </w:tc>
        <w:tc>
          <w:tcPr>
            <w:tcW w:w="915" w:type="dxa"/>
            <w:tcBorders>
              <w:top w:val="nil"/>
              <w:left w:val="nil"/>
              <w:bottom w:val="nil"/>
              <w:right w:val="nil"/>
            </w:tcBorders>
          </w:tcPr>
          <w:p>
            <w:pPr>
              <w:pStyle w:val="TableParagraph"/>
              <w:ind w:right="108"/>
              <w:rPr>
                <w:sz w:val="20"/>
              </w:rPr>
            </w:pPr>
            <w:r>
              <w:rPr>
                <w:sz w:val="20"/>
              </w:rPr>
              <w:t>0.7</w:t>
            </w:r>
          </w:p>
        </w:tc>
        <w:tc>
          <w:tcPr>
            <w:tcW w:w="895" w:type="dxa"/>
            <w:tcBorders>
              <w:top w:val="nil"/>
              <w:left w:val="nil"/>
              <w:bottom w:val="nil"/>
              <w:right w:val="nil"/>
            </w:tcBorders>
          </w:tcPr>
          <w:p>
            <w:pPr>
              <w:pStyle w:val="TableParagraph"/>
              <w:ind w:right="106"/>
              <w:rPr>
                <w:sz w:val="20"/>
              </w:rPr>
            </w:pPr>
            <w:r>
              <w:rPr>
                <w:sz w:val="20"/>
              </w:rPr>
              <w:t>0.8</w:t>
            </w:r>
          </w:p>
        </w:tc>
        <w:tc>
          <w:tcPr>
            <w:tcW w:w="886" w:type="dxa"/>
            <w:tcBorders>
              <w:top w:val="nil"/>
              <w:left w:val="nil"/>
              <w:bottom w:val="nil"/>
              <w:right w:val="nil"/>
            </w:tcBorders>
          </w:tcPr>
          <w:p>
            <w:pPr>
              <w:pStyle w:val="TableParagraph"/>
              <w:ind w:right="108"/>
              <w:rPr>
                <w:sz w:val="20"/>
              </w:rPr>
            </w:pPr>
            <w:r>
              <w:rPr>
                <w:sz w:val="20"/>
              </w:rPr>
              <w:t>0.7</w:t>
            </w:r>
          </w:p>
        </w:tc>
        <w:tc>
          <w:tcPr>
            <w:tcW w:w="876" w:type="dxa"/>
            <w:tcBorders>
              <w:top w:val="nil"/>
              <w:left w:val="nil"/>
              <w:bottom w:val="nil"/>
              <w:right w:val="nil"/>
            </w:tcBorders>
          </w:tcPr>
          <w:p>
            <w:pPr>
              <w:pStyle w:val="TableParagraph"/>
              <w:ind w:right="86"/>
              <w:rPr>
                <w:sz w:val="20"/>
              </w:rPr>
            </w:pPr>
            <w:r>
              <w:rPr>
                <w:sz w:val="20"/>
              </w:rPr>
              <w:t>0.6</w:t>
            </w:r>
          </w:p>
        </w:tc>
        <w:tc>
          <w:tcPr>
            <w:tcW w:w="907" w:type="dxa"/>
            <w:tcBorders>
              <w:top w:val="nil"/>
              <w:left w:val="nil"/>
              <w:bottom w:val="nil"/>
              <w:right w:val="nil"/>
            </w:tcBorders>
          </w:tcPr>
          <w:p>
            <w:pPr>
              <w:pStyle w:val="TableParagraph"/>
              <w:ind w:right="96"/>
              <w:rPr>
                <w:sz w:val="20"/>
              </w:rPr>
            </w:pPr>
            <w:r>
              <w:rPr>
                <w:sz w:val="20"/>
              </w:rPr>
              <w:t>0.5</w:t>
            </w:r>
          </w:p>
        </w:tc>
        <w:tc>
          <w:tcPr>
            <w:tcW w:w="910" w:type="dxa"/>
            <w:tcBorders>
              <w:top w:val="nil"/>
              <w:left w:val="nil"/>
              <w:bottom w:val="nil"/>
              <w:right w:val="nil"/>
            </w:tcBorders>
          </w:tcPr>
          <w:p>
            <w:pPr>
              <w:pStyle w:val="TableParagraph"/>
              <w:ind w:right="79"/>
              <w:rPr>
                <w:sz w:val="20"/>
              </w:rPr>
            </w:pPr>
            <w:r>
              <w:rPr>
                <w:sz w:val="20"/>
              </w:rPr>
              <w:t>0.4</w:t>
            </w:r>
          </w:p>
        </w:tc>
        <w:tc>
          <w:tcPr>
            <w:tcW w:w="845" w:type="dxa"/>
            <w:tcBorders>
              <w:top w:val="nil"/>
              <w:left w:val="nil"/>
              <w:bottom w:val="nil"/>
              <w:right w:val="nil"/>
            </w:tcBorders>
          </w:tcPr>
          <w:p>
            <w:pPr>
              <w:pStyle w:val="TableParagraph"/>
              <w:ind w:right="61"/>
              <w:rPr>
                <w:sz w:val="20"/>
              </w:rPr>
            </w:pPr>
            <w:r>
              <w:rPr>
                <w:sz w:val="20"/>
              </w:rPr>
              <w:t>0.4</w:t>
            </w:r>
          </w:p>
        </w:tc>
      </w:tr>
      <w:tr>
        <w:trPr>
          <w:trHeight w:val="300" w:hRule="exact"/>
        </w:trPr>
        <w:tc>
          <w:tcPr>
            <w:tcW w:w="1010" w:type="dxa"/>
            <w:tcBorders>
              <w:top w:val="nil"/>
              <w:left w:val="nil"/>
              <w:bottom w:val="nil"/>
              <w:right w:val="nil"/>
            </w:tcBorders>
          </w:tcPr>
          <w:p>
            <w:pPr>
              <w:pStyle w:val="TableParagraph"/>
              <w:spacing w:before="26"/>
              <w:ind w:left="86"/>
              <w:jc w:val="left"/>
              <w:rPr>
                <w:sz w:val="20"/>
              </w:rPr>
            </w:pPr>
            <w:r>
              <w:rPr>
                <w:sz w:val="20"/>
              </w:rPr>
              <w:t>23</w:t>
            </w:r>
          </w:p>
        </w:tc>
        <w:tc>
          <w:tcPr>
            <w:tcW w:w="1042" w:type="dxa"/>
            <w:tcBorders>
              <w:top w:val="nil"/>
              <w:left w:val="nil"/>
              <w:bottom w:val="nil"/>
              <w:right w:val="nil"/>
            </w:tcBorders>
          </w:tcPr>
          <w:p>
            <w:pPr>
              <w:pStyle w:val="TableParagraph"/>
              <w:spacing w:before="26"/>
              <w:ind w:left="94"/>
              <w:jc w:val="left"/>
              <w:rPr>
                <w:sz w:val="20"/>
              </w:rPr>
            </w:pPr>
            <w:r>
              <w:rPr>
                <w:sz w:val="20"/>
              </w:rPr>
              <w:t>15001</w:t>
            </w:r>
          </w:p>
        </w:tc>
        <w:tc>
          <w:tcPr>
            <w:tcW w:w="982" w:type="dxa"/>
            <w:tcBorders>
              <w:top w:val="nil"/>
              <w:left w:val="nil"/>
              <w:bottom w:val="nil"/>
              <w:right w:val="nil"/>
            </w:tcBorders>
          </w:tcPr>
          <w:p>
            <w:pPr>
              <w:pStyle w:val="TableParagraph"/>
              <w:spacing w:before="26"/>
              <w:ind w:right="118"/>
              <w:rPr>
                <w:sz w:val="20"/>
              </w:rPr>
            </w:pPr>
            <w:r>
              <w:rPr>
                <w:sz w:val="20"/>
              </w:rPr>
              <w:t>0.53</w:t>
            </w:r>
          </w:p>
        </w:tc>
        <w:tc>
          <w:tcPr>
            <w:tcW w:w="939" w:type="dxa"/>
            <w:tcBorders>
              <w:top w:val="nil"/>
              <w:left w:val="nil"/>
              <w:bottom w:val="nil"/>
              <w:right w:val="nil"/>
            </w:tcBorders>
          </w:tcPr>
          <w:p>
            <w:pPr>
              <w:pStyle w:val="TableParagraph"/>
              <w:spacing w:before="26"/>
              <w:ind w:right="115"/>
              <w:rPr>
                <w:sz w:val="20"/>
              </w:rPr>
            </w:pPr>
            <w:r>
              <w:rPr>
                <w:sz w:val="20"/>
              </w:rPr>
              <w:t>0.34</w:t>
            </w:r>
          </w:p>
        </w:tc>
        <w:tc>
          <w:tcPr>
            <w:tcW w:w="925" w:type="dxa"/>
            <w:tcBorders>
              <w:top w:val="nil"/>
              <w:left w:val="nil"/>
              <w:bottom w:val="nil"/>
              <w:right w:val="nil"/>
            </w:tcBorders>
          </w:tcPr>
          <w:p>
            <w:pPr>
              <w:pStyle w:val="TableParagraph"/>
              <w:spacing w:before="26"/>
              <w:ind w:right="103"/>
              <w:rPr>
                <w:sz w:val="20"/>
              </w:rPr>
            </w:pPr>
            <w:r>
              <w:rPr>
                <w:sz w:val="20"/>
              </w:rPr>
              <w:t>0.43</w:t>
            </w:r>
          </w:p>
        </w:tc>
        <w:tc>
          <w:tcPr>
            <w:tcW w:w="895" w:type="dxa"/>
            <w:tcBorders>
              <w:top w:val="nil"/>
              <w:left w:val="nil"/>
              <w:bottom w:val="nil"/>
              <w:right w:val="nil"/>
            </w:tcBorders>
          </w:tcPr>
          <w:p>
            <w:pPr>
              <w:pStyle w:val="TableParagraph"/>
              <w:spacing w:before="26"/>
              <w:ind w:right="120"/>
              <w:rPr>
                <w:sz w:val="20"/>
              </w:rPr>
            </w:pPr>
            <w:r>
              <w:rPr>
                <w:sz w:val="20"/>
              </w:rPr>
              <w:t>0.44</w:t>
            </w:r>
          </w:p>
        </w:tc>
        <w:tc>
          <w:tcPr>
            <w:tcW w:w="936" w:type="dxa"/>
            <w:tcBorders>
              <w:top w:val="nil"/>
              <w:left w:val="nil"/>
              <w:bottom w:val="nil"/>
              <w:right w:val="nil"/>
            </w:tcBorders>
          </w:tcPr>
          <w:p>
            <w:pPr>
              <w:pStyle w:val="TableParagraph"/>
              <w:spacing w:before="26"/>
              <w:ind w:right="110"/>
              <w:rPr>
                <w:sz w:val="20"/>
              </w:rPr>
            </w:pPr>
            <w:r>
              <w:rPr>
                <w:sz w:val="20"/>
              </w:rPr>
              <w:t>0.52</w:t>
            </w:r>
          </w:p>
        </w:tc>
        <w:tc>
          <w:tcPr>
            <w:tcW w:w="915" w:type="dxa"/>
            <w:tcBorders>
              <w:top w:val="nil"/>
              <w:left w:val="nil"/>
              <w:bottom w:val="nil"/>
              <w:right w:val="nil"/>
            </w:tcBorders>
          </w:tcPr>
          <w:p>
            <w:pPr>
              <w:pStyle w:val="TableParagraph"/>
              <w:spacing w:before="26"/>
              <w:ind w:right="108"/>
              <w:rPr>
                <w:sz w:val="20"/>
              </w:rPr>
            </w:pPr>
            <w:r>
              <w:rPr>
                <w:sz w:val="20"/>
              </w:rPr>
              <w:t>0.68</w:t>
            </w:r>
          </w:p>
        </w:tc>
        <w:tc>
          <w:tcPr>
            <w:tcW w:w="895" w:type="dxa"/>
            <w:tcBorders>
              <w:top w:val="nil"/>
              <w:left w:val="nil"/>
              <w:bottom w:val="nil"/>
              <w:right w:val="nil"/>
            </w:tcBorders>
          </w:tcPr>
          <w:p>
            <w:pPr>
              <w:pStyle w:val="TableParagraph"/>
              <w:spacing w:before="26"/>
              <w:ind w:right="106"/>
              <w:rPr>
                <w:sz w:val="20"/>
              </w:rPr>
            </w:pPr>
            <w:r>
              <w:rPr>
                <w:sz w:val="20"/>
              </w:rPr>
              <w:t>0.64</w:t>
            </w:r>
          </w:p>
        </w:tc>
        <w:tc>
          <w:tcPr>
            <w:tcW w:w="886" w:type="dxa"/>
            <w:tcBorders>
              <w:top w:val="nil"/>
              <w:left w:val="nil"/>
              <w:bottom w:val="nil"/>
              <w:right w:val="nil"/>
            </w:tcBorders>
          </w:tcPr>
          <w:p>
            <w:pPr>
              <w:pStyle w:val="TableParagraph"/>
              <w:spacing w:before="26"/>
              <w:ind w:right="108"/>
              <w:rPr>
                <w:sz w:val="20"/>
              </w:rPr>
            </w:pPr>
            <w:r>
              <w:rPr>
                <w:sz w:val="20"/>
              </w:rPr>
              <w:t>0.62</w:t>
            </w:r>
          </w:p>
        </w:tc>
        <w:tc>
          <w:tcPr>
            <w:tcW w:w="876" w:type="dxa"/>
            <w:tcBorders>
              <w:top w:val="nil"/>
              <w:left w:val="nil"/>
              <w:bottom w:val="nil"/>
              <w:right w:val="nil"/>
            </w:tcBorders>
          </w:tcPr>
          <w:p>
            <w:pPr>
              <w:pStyle w:val="TableParagraph"/>
              <w:spacing w:before="26"/>
              <w:ind w:right="86"/>
              <w:rPr>
                <w:sz w:val="20"/>
              </w:rPr>
            </w:pPr>
            <w:r>
              <w:rPr>
                <w:sz w:val="20"/>
              </w:rPr>
              <w:t>0.63</w:t>
            </w:r>
          </w:p>
        </w:tc>
        <w:tc>
          <w:tcPr>
            <w:tcW w:w="907" w:type="dxa"/>
            <w:tcBorders>
              <w:top w:val="nil"/>
              <w:left w:val="nil"/>
              <w:bottom w:val="nil"/>
              <w:right w:val="nil"/>
            </w:tcBorders>
          </w:tcPr>
          <w:p>
            <w:pPr>
              <w:pStyle w:val="TableParagraph"/>
              <w:spacing w:before="26"/>
              <w:ind w:right="96"/>
              <w:rPr>
                <w:sz w:val="20"/>
              </w:rPr>
            </w:pPr>
            <w:r>
              <w:rPr>
                <w:sz w:val="20"/>
              </w:rPr>
              <w:t>0.55</w:t>
            </w:r>
          </w:p>
        </w:tc>
        <w:tc>
          <w:tcPr>
            <w:tcW w:w="910" w:type="dxa"/>
            <w:tcBorders>
              <w:top w:val="nil"/>
              <w:left w:val="nil"/>
              <w:bottom w:val="nil"/>
              <w:right w:val="nil"/>
            </w:tcBorders>
          </w:tcPr>
          <w:p>
            <w:pPr>
              <w:pStyle w:val="TableParagraph"/>
              <w:spacing w:before="26"/>
              <w:ind w:right="79"/>
              <w:rPr>
                <w:sz w:val="20"/>
              </w:rPr>
            </w:pPr>
            <w:r>
              <w:rPr>
                <w:sz w:val="20"/>
              </w:rPr>
              <w:t>0.32</w:t>
            </w:r>
          </w:p>
        </w:tc>
        <w:tc>
          <w:tcPr>
            <w:tcW w:w="845" w:type="dxa"/>
            <w:tcBorders>
              <w:top w:val="nil"/>
              <w:left w:val="nil"/>
              <w:bottom w:val="nil"/>
              <w:right w:val="nil"/>
            </w:tcBorders>
          </w:tcPr>
          <w:p>
            <w:pPr>
              <w:pStyle w:val="TableParagraph"/>
              <w:spacing w:before="26"/>
              <w:ind w:right="61"/>
              <w:rPr>
                <w:sz w:val="20"/>
              </w:rPr>
            </w:pPr>
            <w:r>
              <w:rPr>
                <w:sz w:val="20"/>
              </w:rPr>
              <w:t>0.45</w:t>
            </w:r>
          </w:p>
        </w:tc>
      </w:tr>
      <w:tr>
        <w:trPr>
          <w:trHeight w:val="300" w:hRule="exact"/>
        </w:trPr>
        <w:tc>
          <w:tcPr>
            <w:tcW w:w="1010" w:type="dxa"/>
            <w:tcBorders>
              <w:top w:val="nil"/>
              <w:left w:val="nil"/>
              <w:bottom w:val="nil"/>
              <w:right w:val="nil"/>
            </w:tcBorders>
          </w:tcPr>
          <w:p>
            <w:pPr>
              <w:pStyle w:val="TableParagraph"/>
              <w:ind w:left="86"/>
              <w:jc w:val="left"/>
              <w:rPr>
                <w:sz w:val="20"/>
              </w:rPr>
            </w:pPr>
            <w:r>
              <w:rPr>
                <w:sz w:val="20"/>
              </w:rPr>
              <w:t>24</w:t>
            </w:r>
          </w:p>
        </w:tc>
        <w:tc>
          <w:tcPr>
            <w:tcW w:w="1042" w:type="dxa"/>
            <w:tcBorders>
              <w:top w:val="nil"/>
              <w:left w:val="nil"/>
              <w:bottom w:val="nil"/>
              <w:right w:val="nil"/>
            </w:tcBorders>
          </w:tcPr>
          <w:p>
            <w:pPr>
              <w:pStyle w:val="TableParagraph"/>
              <w:ind w:left="94"/>
              <w:jc w:val="left"/>
              <w:rPr>
                <w:sz w:val="20"/>
              </w:rPr>
            </w:pPr>
            <w:r>
              <w:rPr>
                <w:sz w:val="20"/>
              </w:rPr>
              <w:t>15029</w:t>
            </w:r>
          </w:p>
        </w:tc>
        <w:tc>
          <w:tcPr>
            <w:tcW w:w="982" w:type="dxa"/>
            <w:tcBorders>
              <w:top w:val="nil"/>
              <w:left w:val="nil"/>
              <w:bottom w:val="nil"/>
              <w:right w:val="nil"/>
            </w:tcBorders>
          </w:tcPr>
          <w:p>
            <w:pPr>
              <w:pStyle w:val="TableParagraph"/>
              <w:ind w:right="118"/>
              <w:rPr>
                <w:sz w:val="20"/>
              </w:rPr>
            </w:pPr>
            <w:r>
              <w:rPr>
                <w:sz w:val="20"/>
              </w:rPr>
              <w:t>0.4</w:t>
            </w:r>
          </w:p>
        </w:tc>
        <w:tc>
          <w:tcPr>
            <w:tcW w:w="939" w:type="dxa"/>
            <w:tcBorders>
              <w:top w:val="nil"/>
              <w:left w:val="nil"/>
              <w:bottom w:val="nil"/>
              <w:right w:val="nil"/>
            </w:tcBorders>
          </w:tcPr>
          <w:p>
            <w:pPr>
              <w:pStyle w:val="TableParagraph"/>
              <w:ind w:right="115"/>
              <w:rPr>
                <w:sz w:val="20"/>
              </w:rPr>
            </w:pPr>
            <w:r>
              <w:rPr>
                <w:sz w:val="20"/>
              </w:rPr>
              <w:t>0.3</w:t>
            </w:r>
          </w:p>
        </w:tc>
        <w:tc>
          <w:tcPr>
            <w:tcW w:w="925" w:type="dxa"/>
            <w:tcBorders>
              <w:top w:val="nil"/>
              <w:left w:val="nil"/>
              <w:bottom w:val="nil"/>
              <w:right w:val="nil"/>
            </w:tcBorders>
          </w:tcPr>
          <w:p>
            <w:pPr>
              <w:pStyle w:val="TableParagraph"/>
              <w:ind w:right="103"/>
              <w:rPr>
                <w:sz w:val="20"/>
              </w:rPr>
            </w:pPr>
            <w:r>
              <w:rPr>
                <w:sz w:val="20"/>
              </w:rPr>
              <w:t>0.3</w:t>
            </w:r>
          </w:p>
        </w:tc>
        <w:tc>
          <w:tcPr>
            <w:tcW w:w="895" w:type="dxa"/>
            <w:tcBorders>
              <w:top w:val="nil"/>
              <w:left w:val="nil"/>
              <w:bottom w:val="nil"/>
              <w:right w:val="nil"/>
            </w:tcBorders>
          </w:tcPr>
          <w:p>
            <w:pPr>
              <w:pStyle w:val="TableParagraph"/>
              <w:ind w:right="120"/>
              <w:rPr>
                <w:sz w:val="20"/>
              </w:rPr>
            </w:pPr>
            <w:r>
              <w:rPr>
                <w:sz w:val="20"/>
              </w:rPr>
              <w:t>0.4</w:t>
            </w:r>
          </w:p>
        </w:tc>
        <w:tc>
          <w:tcPr>
            <w:tcW w:w="936" w:type="dxa"/>
            <w:tcBorders>
              <w:top w:val="nil"/>
              <w:left w:val="nil"/>
              <w:bottom w:val="nil"/>
              <w:right w:val="nil"/>
            </w:tcBorders>
          </w:tcPr>
          <w:p>
            <w:pPr>
              <w:pStyle w:val="TableParagraph"/>
              <w:ind w:right="110"/>
              <w:rPr>
                <w:sz w:val="20"/>
              </w:rPr>
            </w:pPr>
            <w:r>
              <w:rPr>
                <w:sz w:val="20"/>
              </w:rPr>
              <w:t>0.5</w:t>
            </w:r>
          </w:p>
        </w:tc>
        <w:tc>
          <w:tcPr>
            <w:tcW w:w="915" w:type="dxa"/>
            <w:tcBorders>
              <w:top w:val="nil"/>
              <w:left w:val="nil"/>
              <w:bottom w:val="nil"/>
              <w:right w:val="nil"/>
            </w:tcBorders>
          </w:tcPr>
          <w:p>
            <w:pPr>
              <w:pStyle w:val="TableParagraph"/>
              <w:ind w:right="108"/>
              <w:rPr>
                <w:sz w:val="20"/>
              </w:rPr>
            </w:pPr>
            <w:r>
              <w:rPr>
                <w:sz w:val="20"/>
              </w:rPr>
              <w:t>0.7</w:t>
            </w:r>
          </w:p>
        </w:tc>
        <w:tc>
          <w:tcPr>
            <w:tcW w:w="895" w:type="dxa"/>
            <w:tcBorders>
              <w:top w:val="nil"/>
              <w:left w:val="nil"/>
              <w:bottom w:val="nil"/>
              <w:right w:val="nil"/>
            </w:tcBorders>
          </w:tcPr>
          <w:p>
            <w:pPr>
              <w:pStyle w:val="TableParagraph"/>
              <w:ind w:right="106"/>
              <w:rPr>
                <w:sz w:val="20"/>
              </w:rPr>
            </w:pPr>
            <w:r>
              <w:rPr>
                <w:sz w:val="20"/>
              </w:rPr>
              <w:t>0.8</w:t>
            </w:r>
          </w:p>
        </w:tc>
        <w:tc>
          <w:tcPr>
            <w:tcW w:w="886" w:type="dxa"/>
            <w:tcBorders>
              <w:top w:val="nil"/>
              <w:left w:val="nil"/>
              <w:bottom w:val="nil"/>
              <w:right w:val="nil"/>
            </w:tcBorders>
          </w:tcPr>
          <w:p>
            <w:pPr>
              <w:pStyle w:val="TableParagraph"/>
              <w:ind w:right="108"/>
              <w:rPr>
                <w:sz w:val="20"/>
              </w:rPr>
            </w:pPr>
            <w:r>
              <w:rPr>
                <w:sz w:val="20"/>
              </w:rPr>
              <w:t>0.7</w:t>
            </w:r>
          </w:p>
        </w:tc>
        <w:tc>
          <w:tcPr>
            <w:tcW w:w="876" w:type="dxa"/>
            <w:tcBorders>
              <w:top w:val="nil"/>
              <w:left w:val="nil"/>
              <w:bottom w:val="nil"/>
              <w:right w:val="nil"/>
            </w:tcBorders>
          </w:tcPr>
          <w:p>
            <w:pPr>
              <w:pStyle w:val="TableParagraph"/>
              <w:ind w:right="86"/>
              <w:rPr>
                <w:sz w:val="20"/>
              </w:rPr>
            </w:pPr>
            <w:r>
              <w:rPr>
                <w:sz w:val="20"/>
              </w:rPr>
              <w:t>0.6</w:t>
            </w:r>
          </w:p>
        </w:tc>
        <w:tc>
          <w:tcPr>
            <w:tcW w:w="907" w:type="dxa"/>
            <w:tcBorders>
              <w:top w:val="nil"/>
              <w:left w:val="nil"/>
              <w:bottom w:val="nil"/>
              <w:right w:val="nil"/>
            </w:tcBorders>
          </w:tcPr>
          <w:p>
            <w:pPr>
              <w:pStyle w:val="TableParagraph"/>
              <w:ind w:right="96"/>
              <w:rPr>
                <w:sz w:val="20"/>
              </w:rPr>
            </w:pPr>
            <w:r>
              <w:rPr>
                <w:sz w:val="20"/>
              </w:rPr>
              <w:t>0.5</w:t>
            </w:r>
          </w:p>
        </w:tc>
        <w:tc>
          <w:tcPr>
            <w:tcW w:w="910" w:type="dxa"/>
            <w:tcBorders>
              <w:top w:val="nil"/>
              <w:left w:val="nil"/>
              <w:bottom w:val="nil"/>
              <w:right w:val="nil"/>
            </w:tcBorders>
          </w:tcPr>
          <w:p>
            <w:pPr>
              <w:pStyle w:val="TableParagraph"/>
              <w:ind w:right="79"/>
              <w:rPr>
                <w:sz w:val="20"/>
              </w:rPr>
            </w:pPr>
            <w:r>
              <w:rPr>
                <w:sz w:val="20"/>
              </w:rPr>
              <w:t>0.4</w:t>
            </w:r>
          </w:p>
        </w:tc>
        <w:tc>
          <w:tcPr>
            <w:tcW w:w="845" w:type="dxa"/>
            <w:tcBorders>
              <w:top w:val="nil"/>
              <w:left w:val="nil"/>
              <w:bottom w:val="nil"/>
              <w:right w:val="nil"/>
            </w:tcBorders>
          </w:tcPr>
          <w:p>
            <w:pPr>
              <w:pStyle w:val="TableParagraph"/>
              <w:ind w:right="61"/>
              <w:rPr>
                <w:sz w:val="20"/>
              </w:rPr>
            </w:pPr>
            <w:r>
              <w:rPr>
                <w:sz w:val="20"/>
              </w:rPr>
              <w:t>0.4</w:t>
            </w:r>
          </w:p>
        </w:tc>
      </w:tr>
      <w:tr>
        <w:trPr>
          <w:trHeight w:val="300" w:hRule="exact"/>
        </w:trPr>
        <w:tc>
          <w:tcPr>
            <w:tcW w:w="1010" w:type="dxa"/>
            <w:tcBorders>
              <w:top w:val="nil"/>
              <w:left w:val="nil"/>
              <w:bottom w:val="nil"/>
              <w:right w:val="nil"/>
            </w:tcBorders>
          </w:tcPr>
          <w:p>
            <w:pPr>
              <w:pStyle w:val="TableParagraph"/>
              <w:spacing w:before="26"/>
              <w:ind w:left="86"/>
              <w:jc w:val="left"/>
              <w:rPr>
                <w:sz w:val="20"/>
              </w:rPr>
            </w:pPr>
            <w:r>
              <w:rPr>
                <w:sz w:val="20"/>
              </w:rPr>
              <w:t>25</w:t>
            </w:r>
          </w:p>
        </w:tc>
        <w:tc>
          <w:tcPr>
            <w:tcW w:w="1042" w:type="dxa"/>
            <w:tcBorders>
              <w:top w:val="nil"/>
              <w:left w:val="nil"/>
              <w:bottom w:val="nil"/>
              <w:right w:val="nil"/>
            </w:tcBorders>
          </w:tcPr>
          <w:p>
            <w:pPr>
              <w:pStyle w:val="TableParagraph"/>
              <w:spacing w:before="26"/>
              <w:ind w:left="94"/>
              <w:jc w:val="left"/>
              <w:rPr>
                <w:sz w:val="20"/>
              </w:rPr>
            </w:pPr>
            <w:r>
              <w:rPr>
                <w:sz w:val="20"/>
              </w:rPr>
              <w:t>15029</w:t>
            </w:r>
          </w:p>
        </w:tc>
        <w:tc>
          <w:tcPr>
            <w:tcW w:w="982" w:type="dxa"/>
            <w:tcBorders>
              <w:top w:val="nil"/>
              <w:left w:val="nil"/>
              <w:bottom w:val="nil"/>
              <w:right w:val="nil"/>
            </w:tcBorders>
          </w:tcPr>
          <w:p>
            <w:pPr>
              <w:pStyle w:val="TableParagraph"/>
              <w:spacing w:before="26"/>
              <w:ind w:right="118"/>
              <w:rPr>
                <w:sz w:val="20"/>
              </w:rPr>
            </w:pPr>
            <w:r>
              <w:rPr>
                <w:sz w:val="20"/>
              </w:rPr>
              <w:t>0.4</w:t>
            </w:r>
          </w:p>
        </w:tc>
        <w:tc>
          <w:tcPr>
            <w:tcW w:w="939" w:type="dxa"/>
            <w:tcBorders>
              <w:top w:val="nil"/>
              <w:left w:val="nil"/>
              <w:bottom w:val="nil"/>
              <w:right w:val="nil"/>
            </w:tcBorders>
          </w:tcPr>
          <w:p>
            <w:pPr>
              <w:pStyle w:val="TableParagraph"/>
              <w:spacing w:before="26"/>
              <w:ind w:right="115"/>
              <w:rPr>
                <w:sz w:val="20"/>
              </w:rPr>
            </w:pPr>
            <w:r>
              <w:rPr>
                <w:sz w:val="20"/>
              </w:rPr>
              <w:t>0.3</w:t>
            </w:r>
          </w:p>
        </w:tc>
        <w:tc>
          <w:tcPr>
            <w:tcW w:w="925" w:type="dxa"/>
            <w:tcBorders>
              <w:top w:val="nil"/>
              <w:left w:val="nil"/>
              <w:bottom w:val="nil"/>
              <w:right w:val="nil"/>
            </w:tcBorders>
          </w:tcPr>
          <w:p>
            <w:pPr>
              <w:pStyle w:val="TableParagraph"/>
              <w:spacing w:before="26"/>
              <w:ind w:right="103"/>
              <w:rPr>
                <w:sz w:val="20"/>
              </w:rPr>
            </w:pPr>
            <w:r>
              <w:rPr>
                <w:sz w:val="20"/>
              </w:rPr>
              <w:t>0.3</w:t>
            </w:r>
          </w:p>
        </w:tc>
        <w:tc>
          <w:tcPr>
            <w:tcW w:w="895" w:type="dxa"/>
            <w:tcBorders>
              <w:top w:val="nil"/>
              <w:left w:val="nil"/>
              <w:bottom w:val="nil"/>
              <w:right w:val="nil"/>
            </w:tcBorders>
          </w:tcPr>
          <w:p>
            <w:pPr>
              <w:pStyle w:val="TableParagraph"/>
              <w:spacing w:before="26"/>
              <w:ind w:right="120"/>
              <w:rPr>
                <w:sz w:val="20"/>
              </w:rPr>
            </w:pPr>
            <w:r>
              <w:rPr>
                <w:sz w:val="20"/>
              </w:rPr>
              <w:t>0.4</w:t>
            </w:r>
          </w:p>
        </w:tc>
        <w:tc>
          <w:tcPr>
            <w:tcW w:w="936" w:type="dxa"/>
            <w:tcBorders>
              <w:top w:val="nil"/>
              <w:left w:val="nil"/>
              <w:bottom w:val="nil"/>
              <w:right w:val="nil"/>
            </w:tcBorders>
          </w:tcPr>
          <w:p>
            <w:pPr>
              <w:pStyle w:val="TableParagraph"/>
              <w:spacing w:before="26"/>
              <w:ind w:right="110"/>
              <w:rPr>
                <w:sz w:val="20"/>
              </w:rPr>
            </w:pPr>
            <w:r>
              <w:rPr>
                <w:sz w:val="20"/>
              </w:rPr>
              <w:t>0.5</w:t>
            </w:r>
          </w:p>
        </w:tc>
        <w:tc>
          <w:tcPr>
            <w:tcW w:w="915" w:type="dxa"/>
            <w:tcBorders>
              <w:top w:val="nil"/>
              <w:left w:val="nil"/>
              <w:bottom w:val="nil"/>
              <w:right w:val="nil"/>
            </w:tcBorders>
          </w:tcPr>
          <w:p>
            <w:pPr>
              <w:pStyle w:val="TableParagraph"/>
              <w:spacing w:before="26"/>
              <w:ind w:right="108"/>
              <w:rPr>
                <w:sz w:val="20"/>
              </w:rPr>
            </w:pPr>
            <w:r>
              <w:rPr>
                <w:sz w:val="20"/>
              </w:rPr>
              <w:t>0.7</w:t>
            </w:r>
          </w:p>
        </w:tc>
        <w:tc>
          <w:tcPr>
            <w:tcW w:w="895" w:type="dxa"/>
            <w:tcBorders>
              <w:top w:val="nil"/>
              <w:left w:val="nil"/>
              <w:bottom w:val="nil"/>
              <w:right w:val="nil"/>
            </w:tcBorders>
          </w:tcPr>
          <w:p>
            <w:pPr>
              <w:pStyle w:val="TableParagraph"/>
              <w:spacing w:before="26"/>
              <w:ind w:right="106"/>
              <w:rPr>
                <w:sz w:val="20"/>
              </w:rPr>
            </w:pPr>
            <w:r>
              <w:rPr>
                <w:sz w:val="20"/>
              </w:rPr>
              <w:t>0.8</w:t>
            </w:r>
          </w:p>
        </w:tc>
        <w:tc>
          <w:tcPr>
            <w:tcW w:w="886" w:type="dxa"/>
            <w:tcBorders>
              <w:top w:val="nil"/>
              <w:left w:val="nil"/>
              <w:bottom w:val="nil"/>
              <w:right w:val="nil"/>
            </w:tcBorders>
          </w:tcPr>
          <w:p>
            <w:pPr>
              <w:pStyle w:val="TableParagraph"/>
              <w:spacing w:before="26"/>
              <w:ind w:right="108"/>
              <w:rPr>
                <w:sz w:val="20"/>
              </w:rPr>
            </w:pPr>
            <w:r>
              <w:rPr>
                <w:sz w:val="20"/>
              </w:rPr>
              <w:t>0.7</w:t>
            </w:r>
          </w:p>
        </w:tc>
        <w:tc>
          <w:tcPr>
            <w:tcW w:w="876" w:type="dxa"/>
            <w:tcBorders>
              <w:top w:val="nil"/>
              <w:left w:val="nil"/>
              <w:bottom w:val="nil"/>
              <w:right w:val="nil"/>
            </w:tcBorders>
          </w:tcPr>
          <w:p>
            <w:pPr>
              <w:pStyle w:val="TableParagraph"/>
              <w:spacing w:before="26"/>
              <w:ind w:right="86"/>
              <w:rPr>
                <w:sz w:val="20"/>
              </w:rPr>
            </w:pPr>
            <w:r>
              <w:rPr>
                <w:sz w:val="20"/>
              </w:rPr>
              <w:t>0.6</w:t>
            </w:r>
          </w:p>
        </w:tc>
        <w:tc>
          <w:tcPr>
            <w:tcW w:w="907" w:type="dxa"/>
            <w:tcBorders>
              <w:top w:val="nil"/>
              <w:left w:val="nil"/>
              <w:bottom w:val="nil"/>
              <w:right w:val="nil"/>
            </w:tcBorders>
          </w:tcPr>
          <w:p>
            <w:pPr>
              <w:pStyle w:val="TableParagraph"/>
              <w:spacing w:before="26"/>
              <w:ind w:right="96"/>
              <w:rPr>
                <w:sz w:val="20"/>
              </w:rPr>
            </w:pPr>
            <w:r>
              <w:rPr>
                <w:sz w:val="20"/>
              </w:rPr>
              <w:t>0.5</w:t>
            </w:r>
          </w:p>
        </w:tc>
        <w:tc>
          <w:tcPr>
            <w:tcW w:w="910" w:type="dxa"/>
            <w:tcBorders>
              <w:top w:val="nil"/>
              <w:left w:val="nil"/>
              <w:bottom w:val="nil"/>
              <w:right w:val="nil"/>
            </w:tcBorders>
          </w:tcPr>
          <w:p>
            <w:pPr>
              <w:pStyle w:val="TableParagraph"/>
              <w:spacing w:before="26"/>
              <w:ind w:right="79"/>
              <w:rPr>
                <w:sz w:val="20"/>
              </w:rPr>
            </w:pPr>
            <w:r>
              <w:rPr>
                <w:sz w:val="20"/>
              </w:rPr>
              <w:t>0.4</w:t>
            </w:r>
          </w:p>
        </w:tc>
        <w:tc>
          <w:tcPr>
            <w:tcW w:w="845" w:type="dxa"/>
            <w:tcBorders>
              <w:top w:val="nil"/>
              <w:left w:val="nil"/>
              <w:bottom w:val="nil"/>
              <w:right w:val="nil"/>
            </w:tcBorders>
          </w:tcPr>
          <w:p>
            <w:pPr>
              <w:pStyle w:val="TableParagraph"/>
              <w:spacing w:before="26"/>
              <w:ind w:right="61"/>
              <w:rPr>
                <w:sz w:val="20"/>
              </w:rPr>
            </w:pPr>
            <w:r>
              <w:rPr>
                <w:sz w:val="20"/>
              </w:rPr>
              <w:t>0.4</w:t>
            </w:r>
          </w:p>
        </w:tc>
      </w:tr>
      <w:tr>
        <w:trPr>
          <w:trHeight w:val="300" w:hRule="exact"/>
        </w:trPr>
        <w:tc>
          <w:tcPr>
            <w:tcW w:w="1010" w:type="dxa"/>
            <w:tcBorders>
              <w:top w:val="nil"/>
              <w:left w:val="nil"/>
              <w:bottom w:val="nil"/>
              <w:right w:val="nil"/>
            </w:tcBorders>
          </w:tcPr>
          <w:p>
            <w:pPr>
              <w:pStyle w:val="TableParagraph"/>
              <w:ind w:left="86"/>
              <w:jc w:val="left"/>
              <w:rPr>
                <w:sz w:val="20"/>
              </w:rPr>
            </w:pPr>
            <w:r>
              <w:rPr>
                <w:sz w:val="20"/>
              </w:rPr>
              <w:t>26</w:t>
            </w:r>
          </w:p>
        </w:tc>
        <w:tc>
          <w:tcPr>
            <w:tcW w:w="1042" w:type="dxa"/>
            <w:tcBorders>
              <w:top w:val="nil"/>
              <w:left w:val="nil"/>
              <w:bottom w:val="nil"/>
              <w:right w:val="nil"/>
            </w:tcBorders>
          </w:tcPr>
          <w:p>
            <w:pPr>
              <w:pStyle w:val="TableParagraph"/>
              <w:ind w:left="94"/>
              <w:jc w:val="left"/>
              <w:rPr>
                <w:sz w:val="20"/>
              </w:rPr>
            </w:pPr>
            <w:r>
              <w:rPr>
                <w:sz w:val="20"/>
              </w:rPr>
              <w:t>15001</w:t>
            </w:r>
          </w:p>
        </w:tc>
        <w:tc>
          <w:tcPr>
            <w:tcW w:w="982" w:type="dxa"/>
            <w:tcBorders>
              <w:top w:val="nil"/>
              <w:left w:val="nil"/>
              <w:bottom w:val="nil"/>
              <w:right w:val="nil"/>
            </w:tcBorders>
          </w:tcPr>
          <w:p>
            <w:pPr>
              <w:pStyle w:val="TableParagraph"/>
              <w:ind w:right="118"/>
              <w:rPr>
                <w:sz w:val="20"/>
              </w:rPr>
            </w:pPr>
            <w:r>
              <w:rPr>
                <w:sz w:val="20"/>
              </w:rPr>
              <w:t>0.53</w:t>
            </w:r>
          </w:p>
        </w:tc>
        <w:tc>
          <w:tcPr>
            <w:tcW w:w="939" w:type="dxa"/>
            <w:tcBorders>
              <w:top w:val="nil"/>
              <w:left w:val="nil"/>
              <w:bottom w:val="nil"/>
              <w:right w:val="nil"/>
            </w:tcBorders>
          </w:tcPr>
          <w:p>
            <w:pPr>
              <w:pStyle w:val="TableParagraph"/>
              <w:ind w:right="115"/>
              <w:rPr>
                <w:sz w:val="20"/>
              </w:rPr>
            </w:pPr>
            <w:r>
              <w:rPr>
                <w:sz w:val="20"/>
              </w:rPr>
              <w:t>0.34</w:t>
            </w:r>
          </w:p>
        </w:tc>
        <w:tc>
          <w:tcPr>
            <w:tcW w:w="925" w:type="dxa"/>
            <w:tcBorders>
              <w:top w:val="nil"/>
              <w:left w:val="nil"/>
              <w:bottom w:val="nil"/>
              <w:right w:val="nil"/>
            </w:tcBorders>
          </w:tcPr>
          <w:p>
            <w:pPr>
              <w:pStyle w:val="TableParagraph"/>
              <w:ind w:right="103"/>
              <w:rPr>
                <w:sz w:val="20"/>
              </w:rPr>
            </w:pPr>
            <w:r>
              <w:rPr>
                <w:sz w:val="20"/>
              </w:rPr>
              <w:t>0.43</w:t>
            </w:r>
          </w:p>
        </w:tc>
        <w:tc>
          <w:tcPr>
            <w:tcW w:w="895" w:type="dxa"/>
            <w:tcBorders>
              <w:top w:val="nil"/>
              <w:left w:val="nil"/>
              <w:bottom w:val="nil"/>
              <w:right w:val="nil"/>
            </w:tcBorders>
          </w:tcPr>
          <w:p>
            <w:pPr>
              <w:pStyle w:val="TableParagraph"/>
              <w:ind w:right="120"/>
              <w:rPr>
                <w:sz w:val="20"/>
              </w:rPr>
            </w:pPr>
            <w:r>
              <w:rPr>
                <w:sz w:val="20"/>
              </w:rPr>
              <w:t>0.44</w:t>
            </w:r>
          </w:p>
        </w:tc>
        <w:tc>
          <w:tcPr>
            <w:tcW w:w="936" w:type="dxa"/>
            <w:tcBorders>
              <w:top w:val="nil"/>
              <w:left w:val="nil"/>
              <w:bottom w:val="nil"/>
              <w:right w:val="nil"/>
            </w:tcBorders>
          </w:tcPr>
          <w:p>
            <w:pPr>
              <w:pStyle w:val="TableParagraph"/>
              <w:ind w:right="110"/>
              <w:rPr>
                <w:sz w:val="20"/>
              </w:rPr>
            </w:pPr>
            <w:r>
              <w:rPr>
                <w:sz w:val="20"/>
              </w:rPr>
              <w:t>0.52</w:t>
            </w:r>
          </w:p>
        </w:tc>
        <w:tc>
          <w:tcPr>
            <w:tcW w:w="915" w:type="dxa"/>
            <w:tcBorders>
              <w:top w:val="nil"/>
              <w:left w:val="nil"/>
              <w:bottom w:val="nil"/>
              <w:right w:val="nil"/>
            </w:tcBorders>
          </w:tcPr>
          <w:p>
            <w:pPr>
              <w:pStyle w:val="TableParagraph"/>
              <w:ind w:right="108"/>
              <w:rPr>
                <w:sz w:val="20"/>
              </w:rPr>
            </w:pPr>
            <w:r>
              <w:rPr>
                <w:sz w:val="20"/>
              </w:rPr>
              <w:t>0.68</w:t>
            </w:r>
          </w:p>
        </w:tc>
        <w:tc>
          <w:tcPr>
            <w:tcW w:w="895" w:type="dxa"/>
            <w:tcBorders>
              <w:top w:val="nil"/>
              <w:left w:val="nil"/>
              <w:bottom w:val="nil"/>
              <w:right w:val="nil"/>
            </w:tcBorders>
          </w:tcPr>
          <w:p>
            <w:pPr>
              <w:pStyle w:val="TableParagraph"/>
              <w:ind w:right="106"/>
              <w:rPr>
                <w:sz w:val="20"/>
              </w:rPr>
            </w:pPr>
            <w:r>
              <w:rPr>
                <w:sz w:val="20"/>
              </w:rPr>
              <w:t>0.64</w:t>
            </w:r>
          </w:p>
        </w:tc>
        <w:tc>
          <w:tcPr>
            <w:tcW w:w="886" w:type="dxa"/>
            <w:tcBorders>
              <w:top w:val="nil"/>
              <w:left w:val="nil"/>
              <w:bottom w:val="nil"/>
              <w:right w:val="nil"/>
            </w:tcBorders>
          </w:tcPr>
          <w:p>
            <w:pPr>
              <w:pStyle w:val="TableParagraph"/>
              <w:ind w:right="108"/>
              <w:rPr>
                <w:sz w:val="20"/>
              </w:rPr>
            </w:pPr>
            <w:r>
              <w:rPr>
                <w:sz w:val="20"/>
              </w:rPr>
              <w:t>0.62</w:t>
            </w:r>
          </w:p>
        </w:tc>
        <w:tc>
          <w:tcPr>
            <w:tcW w:w="876" w:type="dxa"/>
            <w:tcBorders>
              <w:top w:val="nil"/>
              <w:left w:val="nil"/>
              <w:bottom w:val="nil"/>
              <w:right w:val="nil"/>
            </w:tcBorders>
          </w:tcPr>
          <w:p>
            <w:pPr>
              <w:pStyle w:val="TableParagraph"/>
              <w:ind w:right="86"/>
              <w:rPr>
                <w:sz w:val="20"/>
              </w:rPr>
            </w:pPr>
            <w:r>
              <w:rPr>
                <w:sz w:val="20"/>
              </w:rPr>
              <w:t>0.63</w:t>
            </w:r>
          </w:p>
        </w:tc>
        <w:tc>
          <w:tcPr>
            <w:tcW w:w="907" w:type="dxa"/>
            <w:tcBorders>
              <w:top w:val="nil"/>
              <w:left w:val="nil"/>
              <w:bottom w:val="nil"/>
              <w:right w:val="nil"/>
            </w:tcBorders>
          </w:tcPr>
          <w:p>
            <w:pPr>
              <w:pStyle w:val="TableParagraph"/>
              <w:ind w:right="96"/>
              <w:rPr>
                <w:sz w:val="20"/>
              </w:rPr>
            </w:pPr>
            <w:r>
              <w:rPr>
                <w:sz w:val="20"/>
              </w:rPr>
              <w:t>0.55</w:t>
            </w:r>
          </w:p>
        </w:tc>
        <w:tc>
          <w:tcPr>
            <w:tcW w:w="910" w:type="dxa"/>
            <w:tcBorders>
              <w:top w:val="nil"/>
              <w:left w:val="nil"/>
              <w:bottom w:val="nil"/>
              <w:right w:val="nil"/>
            </w:tcBorders>
          </w:tcPr>
          <w:p>
            <w:pPr>
              <w:pStyle w:val="TableParagraph"/>
              <w:ind w:right="79"/>
              <w:rPr>
                <w:sz w:val="20"/>
              </w:rPr>
            </w:pPr>
            <w:r>
              <w:rPr>
                <w:sz w:val="20"/>
              </w:rPr>
              <w:t>0.32</w:t>
            </w:r>
          </w:p>
        </w:tc>
        <w:tc>
          <w:tcPr>
            <w:tcW w:w="845" w:type="dxa"/>
            <w:tcBorders>
              <w:top w:val="nil"/>
              <w:left w:val="nil"/>
              <w:bottom w:val="nil"/>
              <w:right w:val="nil"/>
            </w:tcBorders>
          </w:tcPr>
          <w:p>
            <w:pPr>
              <w:pStyle w:val="TableParagraph"/>
              <w:ind w:right="61"/>
              <w:rPr>
                <w:sz w:val="20"/>
              </w:rPr>
            </w:pPr>
            <w:r>
              <w:rPr>
                <w:sz w:val="20"/>
              </w:rPr>
              <w:t>0.45</w:t>
            </w:r>
          </w:p>
        </w:tc>
      </w:tr>
      <w:tr>
        <w:trPr>
          <w:trHeight w:val="300" w:hRule="exact"/>
        </w:trPr>
        <w:tc>
          <w:tcPr>
            <w:tcW w:w="1010" w:type="dxa"/>
            <w:tcBorders>
              <w:top w:val="nil"/>
              <w:left w:val="nil"/>
              <w:bottom w:val="nil"/>
              <w:right w:val="nil"/>
            </w:tcBorders>
          </w:tcPr>
          <w:p>
            <w:pPr>
              <w:pStyle w:val="TableParagraph"/>
              <w:spacing w:before="26"/>
              <w:ind w:left="86"/>
              <w:jc w:val="left"/>
              <w:rPr>
                <w:sz w:val="20"/>
              </w:rPr>
            </w:pPr>
            <w:r>
              <w:rPr>
                <w:sz w:val="20"/>
              </w:rPr>
              <w:t>27</w:t>
            </w:r>
          </w:p>
        </w:tc>
        <w:tc>
          <w:tcPr>
            <w:tcW w:w="1042" w:type="dxa"/>
            <w:tcBorders>
              <w:top w:val="nil"/>
              <w:left w:val="nil"/>
              <w:bottom w:val="nil"/>
              <w:right w:val="nil"/>
            </w:tcBorders>
          </w:tcPr>
          <w:p>
            <w:pPr>
              <w:pStyle w:val="TableParagraph"/>
              <w:spacing w:before="26"/>
              <w:ind w:left="94"/>
              <w:jc w:val="left"/>
              <w:rPr>
                <w:sz w:val="20"/>
              </w:rPr>
            </w:pPr>
            <w:r>
              <w:rPr>
                <w:sz w:val="20"/>
              </w:rPr>
              <w:t>15029</w:t>
            </w:r>
          </w:p>
        </w:tc>
        <w:tc>
          <w:tcPr>
            <w:tcW w:w="982" w:type="dxa"/>
            <w:tcBorders>
              <w:top w:val="nil"/>
              <w:left w:val="nil"/>
              <w:bottom w:val="nil"/>
              <w:right w:val="nil"/>
            </w:tcBorders>
          </w:tcPr>
          <w:p>
            <w:pPr>
              <w:pStyle w:val="TableParagraph"/>
              <w:spacing w:before="26"/>
              <w:ind w:right="118"/>
              <w:rPr>
                <w:sz w:val="20"/>
              </w:rPr>
            </w:pPr>
            <w:r>
              <w:rPr>
                <w:sz w:val="20"/>
              </w:rPr>
              <w:t>0.4</w:t>
            </w:r>
          </w:p>
        </w:tc>
        <w:tc>
          <w:tcPr>
            <w:tcW w:w="939" w:type="dxa"/>
            <w:tcBorders>
              <w:top w:val="nil"/>
              <w:left w:val="nil"/>
              <w:bottom w:val="nil"/>
              <w:right w:val="nil"/>
            </w:tcBorders>
          </w:tcPr>
          <w:p>
            <w:pPr>
              <w:pStyle w:val="TableParagraph"/>
              <w:spacing w:before="26"/>
              <w:ind w:right="115"/>
              <w:rPr>
                <w:sz w:val="20"/>
              </w:rPr>
            </w:pPr>
            <w:r>
              <w:rPr>
                <w:sz w:val="20"/>
              </w:rPr>
              <w:t>0.3</w:t>
            </w:r>
          </w:p>
        </w:tc>
        <w:tc>
          <w:tcPr>
            <w:tcW w:w="925" w:type="dxa"/>
            <w:tcBorders>
              <w:top w:val="nil"/>
              <w:left w:val="nil"/>
              <w:bottom w:val="nil"/>
              <w:right w:val="nil"/>
            </w:tcBorders>
          </w:tcPr>
          <w:p>
            <w:pPr>
              <w:pStyle w:val="TableParagraph"/>
              <w:spacing w:before="26"/>
              <w:ind w:right="103"/>
              <w:rPr>
                <w:sz w:val="20"/>
              </w:rPr>
            </w:pPr>
            <w:r>
              <w:rPr>
                <w:sz w:val="20"/>
              </w:rPr>
              <w:t>0.3</w:t>
            </w:r>
          </w:p>
        </w:tc>
        <w:tc>
          <w:tcPr>
            <w:tcW w:w="895" w:type="dxa"/>
            <w:tcBorders>
              <w:top w:val="nil"/>
              <w:left w:val="nil"/>
              <w:bottom w:val="nil"/>
              <w:right w:val="nil"/>
            </w:tcBorders>
          </w:tcPr>
          <w:p>
            <w:pPr>
              <w:pStyle w:val="TableParagraph"/>
              <w:spacing w:before="26"/>
              <w:ind w:right="120"/>
              <w:rPr>
                <w:sz w:val="20"/>
              </w:rPr>
            </w:pPr>
            <w:r>
              <w:rPr>
                <w:sz w:val="20"/>
              </w:rPr>
              <w:t>0.4</w:t>
            </w:r>
          </w:p>
        </w:tc>
        <w:tc>
          <w:tcPr>
            <w:tcW w:w="936" w:type="dxa"/>
            <w:tcBorders>
              <w:top w:val="nil"/>
              <w:left w:val="nil"/>
              <w:bottom w:val="nil"/>
              <w:right w:val="nil"/>
            </w:tcBorders>
          </w:tcPr>
          <w:p>
            <w:pPr>
              <w:pStyle w:val="TableParagraph"/>
              <w:spacing w:before="26"/>
              <w:ind w:right="110"/>
              <w:rPr>
                <w:sz w:val="20"/>
              </w:rPr>
            </w:pPr>
            <w:r>
              <w:rPr>
                <w:sz w:val="20"/>
              </w:rPr>
              <w:t>0.5</w:t>
            </w:r>
          </w:p>
        </w:tc>
        <w:tc>
          <w:tcPr>
            <w:tcW w:w="915" w:type="dxa"/>
            <w:tcBorders>
              <w:top w:val="nil"/>
              <w:left w:val="nil"/>
              <w:bottom w:val="nil"/>
              <w:right w:val="nil"/>
            </w:tcBorders>
          </w:tcPr>
          <w:p>
            <w:pPr>
              <w:pStyle w:val="TableParagraph"/>
              <w:spacing w:before="26"/>
              <w:ind w:right="108"/>
              <w:rPr>
                <w:sz w:val="20"/>
              </w:rPr>
            </w:pPr>
            <w:r>
              <w:rPr>
                <w:sz w:val="20"/>
              </w:rPr>
              <w:t>0.7</w:t>
            </w:r>
          </w:p>
        </w:tc>
        <w:tc>
          <w:tcPr>
            <w:tcW w:w="895" w:type="dxa"/>
            <w:tcBorders>
              <w:top w:val="nil"/>
              <w:left w:val="nil"/>
              <w:bottom w:val="nil"/>
              <w:right w:val="nil"/>
            </w:tcBorders>
          </w:tcPr>
          <w:p>
            <w:pPr>
              <w:pStyle w:val="TableParagraph"/>
              <w:spacing w:before="26"/>
              <w:ind w:right="106"/>
              <w:rPr>
                <w:sz w:val="20"/>
              </w:rPr>
            </w:pPr>
            <w:r>
              <w:rPr>
                <w:sz w:val="20"/>
              </w:rPr>
              <w:t>0.8</w:t>
            </w:r>
          </w:p>
        </w:tc>
        <w:tc>
          <w:tcPr>
            <w:tcW w:w="886" w:type="dxa"/>
            <w:tcBorders>
              <w:top w:val="nil"/>
              <w:left w:val="nil"/>
              <w:bottom w:val="nil"/>
              <w:right w:val="nil"/>
            </w:tcBorders>
          </w:tcPr>
          <w:p>
            <w:pPr>
              <w:pStyle w:val="TableParagraph"/>
              <w:spacing w:before="26"/>
              <w:ind w:right="108"/>
              <w:rPr>
                <w:sz w:val="20"/>
              </w:rPr>
            </w:pPr>
            <w:r>
              <w:rPr>
                <w:sz w:val="20"/>
              </w:rPr>
              <w:t>0.7</w:t>
            </w:r>
          </w:p>
        </w:tc>
        <w:tc>
          <w:tcPr>
            <w:tcW w:w="876" w:type="dxa"/>
            <w:tcBorders>
              <w:top w:val="nil"/>
              <w:left w:val="nil"/>
              <w:bottom w:val="nil"/>
              <w:right w:val="nil"/>
            </w:tcBorders>
          </w:tcPr>
          <w:p>
            <w:pPr>
              <w:pStyle w:val="TableParagraph"/>
              <w:spacing w:before="26"/>
              <w:ind w:right="86"/>
              <w:rPr>
                <w:sz w:val="20"/>
              </w:rPr>
            </w:pPr>
            <w:r>
              <w:rPr>
                <w:sz w:val="20"/>
              </w:rPr>
              <w:t>0.6</w:t>
            </w:r>
          </w:p>
        </w:tc>
        <w:tc>
          <w:tcPr>
            <w:tcW w:w="907" w:type="dxa"/>
            <w:tcBorders>
              <w:top w:val="nil"/>
              <w:left w:val="nil"/>
              <w:bottom w:val="nil"/>
              <w:right w:val="nil"/>
            </w:tcBorders>
          </w:tcPr>
          <w:p>
            <w:pPr>
              <w:pStyle w:val="TableParagraph"/>
              <w:spacing w:before="26"/>
              <w:ind w:right="96"/>
              <w:rPr>
                <w:sz w:val="20"/>
              </w:rPr>
            </w:pPr>
            <w:r>
              <w:rPr>
                <w:sz w:val="20"/>
              </w:rPr>
              <w:t>0.5</w:t>
            </w:r>
          </w:p>
        </w:tc>
        <w:tc>
          <w:tcPr>
            <w:tcW w:w="910" w:type="dxa"/>
            <w:tcBorders>
              <w:top w:val="nil"/>
              <w:left w:val="nil"/>
              <w:bottom w:val="nil"/>
              <w:right w:val="nil"/>
            </w:tcBorders>
          </w:tcPr>
          <w:p>
            <w:pPr>
              <w:pStyle w:val="TableParagraph"/>
              <w:spacing w:before="26"/>
              <w:ind w:right="79"/>
              <w:rPr>
                <w:sz w:val="20"/>
              </w:rPr>
            </w:pPr>
            <w:r>
              <w:rPr>
                <w:sz w:val="20"/>
              </w:rPr>
              <w:t>0.4</w:t>
            </w:r>
          </w:p>
        </w:tc>
        <w:tc>
          <w:tcPr>
            <w:tcW w:w="845" w:type="dxa"/>
            <w:tcBorders>
              <w:top w:val="nil"/>
              <w:left w:val="nil"/>
              <w:bottom w:val="nil"/>
              <w:right w:val="nil"/>
            </w:tcBorders>
          </w:tcPr>
          <w:p>
            <w:pPr>
              <w:pStyle w:val="TableParagraph"/>
              <w:spacing w:before="26"/>
              <w:ind w:right="61"/>
              <w:rPr>
                <w:sz w:val="20"/>
              </w:rPr>
            </w:pPr>
            <w:r>
              <w:rPr>
                <w:sz w:val="20"/>
              </w:rPr>
              <w:t>0.4</w:t>
            </w:r>
          </w:p>
        </w:tc>
      </w:tr>
      <w:tr>
        <w:trPr>
          <w:trHeight w:val="264" w:hRule="exact"/>
        </w:trPr>
        <w:tc>
          <w:tcPr>
            <w:tcW w:w="1010" w:type="dxa"/>
            <w:tcBorders>
              <w:top w:val="nil"/>
              <w:left w:val="nil"/>
              <w:bottom w:val="nil"/>
              <w:right w:val="nil"/>
            </w:tcBorders>
          </w:tcPr>
          <w:p>
            <w:pPr>
              <w:pStyle w:val="TableParagraph"/>
              <w:ind w:left="86"/>
              <w:jc w:val="left"/>
              <w:rPr>
                <w:sz w:val="20"/>
              </w:rPr>
            </w:pPr>
            <w:r>
              <w:rPr>
                <w:sz w:val="20"/>
              </w:rPr>
              <w:t>28</w:t>
            </w:r>
          </w:p>
        </w:tc>
        <w:tc>
          <w:tcPr>
            <w:tcW w:w="1042" w:type="dxa"/>
            <w:tcBorders>
              <w:top w:val="nil"/>
              <w:left w:val="nil"/>
              <w:bottom w:val="nil"/>
              <w:right w:val="nil"/>
            </w:tcBorders>
          </w:tcPr>
          <w:p>
            <w:pPr>
              <w:pStyle w:val="TableParagraph"/>
              <w:ind w:left="94"/>
              <w:jc w:val="left"/>
              <w:rPr>
                <w:sz w:val="20"/>
              </w:rPr>
            </w:pPr>
            <w:r>
              <w:rPr>
                <w:sz w:val="20"/>
              </w:rPr>
              <w:t>15029</w:t>
            </w:r>
          </w:p>
        </w:tc>
        <w:tc>
          <w:tcPr>
            <w:tcW w:w="982" w:type="dxa"/>
            <w:tcBorders>
              <w:top w:val="nil"/>
              <w:left w:val="nil"/>
              <w:bottom w:val="nil"/>
              <w:right w:val="nil"/>
            </w:tcBorders>
          </w:tcPr>
          <w:p>
            <w:pPr>
              <w:pStyle w:val="TableParagraph"/>
              <w:ind w:right="118"/>
              <w:rPr>
                <w:sz w:val="20"/>
              </w:rPr>
            </w:pPr>
            <w:r>
              <w:rPr>
                <w:sz w:val="20"/>
              </w:rPr>
              <w:t>0.4</w:t>
            </w:r>
          </w:p>
        </w:tc>
        <w:tc>
          <w:tcPr>
            <w:tcW w:w="939" w:type="dxa"/>
            <w:tcBorders>
              <w:top w:val="nil"/>
              <w:left w:val="nil"/>
              <w:bottom w:val="nil"/>
              <w:right w:val="nil"/>
            </w:tcBorders>
          </w:tcPr>
          <w:p>
            <w:pPr>
              <w:pStyle w:val="TableParagraph"/>
              <w:ind w:right="115"/>
              <w:rPr>
                <w:sz w:val="20"/>
              </w:rPr>
            </w:pPr>
            <w:r>
              <w:rPr>
                <w:sz w:val="20"/>
              </w:rPr>
              <w:t>0.3</w:t>
            </w:r>
          </w:p>
        </w:tc>
        <w:tc>
          <w:tcPr>
            <w:tcW w:w="925" w:type="dxa"/>
            <w:tcBorders>
              <w:top w:val="nil"/>
              <w:left w:val="nil"/>
              <w:bottom w:val="nil"/>
              <w:right w:val="nil"/>
            </w:tcBorders>
          </w:tcPr>
          <w:p>
            <w:pPr>
              <w:pStyle w:val="TableParagraph"/>
              <w:ind w:right="103"/>
              <w:rPr>
                <w:sz w:val="20"/>
              </w:rPr>
            </w:pPr>
            <w:r>
              <w:rPr>
                <w:sz w:val="20"/>
              </w:rPr>
              <w:t>0.3</w:t>
            </w:r>
          </w:p>
        </w:tc>
        <w:tc>
          <w:tcPr>
            <w:tcW w:w="895" w:type="dxa"/>
            <w:tcBorders>
              <w:top w:val="nil"/>
              <w:left w:val="nil"/>
              <w:bottom w:val="nil"/>
              <w:right w:val="nil"/>
            </w:tcBorders>
          </w:tcPr>
          <w:p>
            <w:pPr>
              <w:pStyle w:val="TableParagraph"/>
              <w:ind w:right="120"/>
              <w:rPr>
                <w:sz w:val="20"/>
              </w:rPr>
            </w:pPr>
            <w:r>
              <w:rPr>
                <w:sz w:val="20"/>
              </w:rPr>
              <w:t>0.4</w:t>
            </w:r>
          </w:p>
        </w:tc>
        <w:tc>
          <w:tcPr>
            <w:tcW w:w="936" w:type="dxa"/>
            <w:tcBorders>
              <w:top w:val="nil"/>
              <w:left w:val="nil"/>
              <w:bottom w:val="nil"/>
              <w:right w:val="nil"/>
            </w:tcBorders>
          </w:tcPr>
          <w:p>
            <w:pPr>
              <w:pStyle w:val="TableParagraph"/>
              <w:ind w:right="110"/>
              <w:rPr>
                <w:sz w:val="20"/>
              </w:rPr>
            </w:pPr>
            <w:r>
              <w:rPr>
                <w:sz w:val="20"/>
              </w:rPr>
              <w:t>0.5</w:t>
            </w:r>
          </w:p>
        </w:tc>
        <w:tc>
          <w:tcPr>
            <w:tcW w:w="915" w:type="dxa"/>
            <w:tcBorders>
              <w:top w:val="nil"/>
              <w:left w:val="nil"/>
              <w:bottom w:val="nil"/>
              <w:right w:val="nil"/>
            </w:tcBorders>
          </w:tcPr>
          <w:p>
            <w:pPr>
              <w:pStyle w:val="TableParagraph"/>
              <w:ind w:right="108"/>
              <w:rPr>
                <w:sz w:val="20"/>
              </w:rPr>
            </w:pPr>
            <w:r>
              <w:rPr>
                <w:sz w:val="20"/>
              </w:rPr>
              <w:t>0.7</w:t>
            </w:r>
          </w:p>
        </w:tc>
        <w:tc>
          <w:tcPr>
            <w:tcW w:w="895" w:type="dxa"/>
            <w:tcBorders>
              <w:top w:val="nil"/>
              <w:left w:val="nil"/>
              <w:bottom w:val="nil"/>
              <w:right w:val="nil"/>
            </w:tcBorders>
          </w:tcPr>
          <w:p>
            <w:pPr>
              <w:pStyle w:val="TableParagraph"/>
              <w:ind w:right="106"/>
              <w:rPr>
                <w:sz w:val="20"/>
              </w:rPr>
            </w:pPr>
            <w:r>
              <w:rPr>
                <w:sz w:val="20"/>
              </w:rPr>
              <w:t>0.8</w:t>
            </w:r>
          </w:p>
        </w:tc>
        <w:tc>
          <w:tcPr>
            <w:tcW w:w="886" w:type="dxa"/>
            <w:tcBorders>
              <w:top w:val="nil"/>
              <w:left w:val="nil"/>
              <w:bottom w:val="nil"/>
              <w:right w:val="nil"/>
            </w:tcBorders>
          </w:tcPr>
          <w:p>
            <w:pPr>
              <w:pStyle w:val="TableParagraph"/>
              <w:ind w:right="108"/>
              <w:rPr>
                <w:sz w:val="20"/>
              </w:rPr>
            </w:pPr>
            <w:r>
              <w:rPr>
                <w:sz w:val="20"/>
              </w:rPr>
              <w:t>0.7</w:t>
            </w:r>
          </w:p>
        </w:tc>
        <w:tc>
          <w:tcPr>
            <w:tcW w:w="876" w:type="dxa"/>
            <w:tcBorders>
              <w:top w:val="nil"/>
              <w:left w:val="nil"/>
              <w:bottom w:val="nil"/>
              <w:right w:val="nil"/>
            </w:tcBorders>
          </w:tcPr>
          <w:p>
            <w:pPr>
              <w:pStyle w:val="TableParagraph"/>
              <w:ind w:right="86"/>
              <w:rPr>
                <w:sz w:val="20"/>
              </w:rPr>
            </w:pPr>
            <w:r>
              <w:rPr>
                <w:sz w:val="20"/>
              </w:rPr>
              <w:t>0.6</w:t>
            </w:r>
          </w:p>
        </w:tc>
        <w:tc>
          <w:tcPr>
            <w:tcW w:w="907" w:type="dxa"/>
            <w:tcBorders>
              <w:top w:val="nil"/>
              <w:left w:val="nil"/>
              <w:bottom w:val="nil"/>
              <w:right w:val="nil"/>
            </w:tcBorders>
          </w:tcPr>
          <w:p>
            <w:pPr>
              <w:pStyle w:val="TableParagraph"/>
              <w:ind w:right="96"/>
              <w:rPr>
                <w:sz w:val="20"/>
              </w:rPr>
            </w:pPr>
            <w:r>
              <w:rPr>
                <w:sz w:val="20"/>
              </w:rPr>
              <w:t>0.5</w:t>
            </w:r>
          </w:p>
        </w:tc>
        <w:tc>
          <w:tcPr>
            <w:tcW w:w="910" w:type="dxa"/>
            <w:tcBorders>
              <w:top w:val="nil"/>
              <w:left w:val="nil"/>
              <w:bottom w:val="nil"/>
              <w:right w:val="nil"/>
            </w:tcBorders>
          </w:tcPr>
          <w:p>
            <w:pPr>
              <w:pStyle w:val="TableParagraph"/>
              <w:ind w:right="79"/>
              <w:rPr>
                <w:sz w:val="20"/>
              </w:rPr>
            </w:pPr>
            <w:r>
              <w:rPr>
                <w:sz w:val="20"/>
              </w:rPr>
              <w:t>0.4</w:t>
            </w:r>
          </w:p>
        </w:tc>
        <w:tc>
          <w:tcPr>
            <w:tcW w:w="845" w:type="dxa"/>
            <w:tcBorders>
              <w:top w:val="nil"/>
              <w:left w:val="nil"/>
              <w:bottom w:val="nil"/>
              <w:right w:val="nil"/>
            </w:tcBorders>
          </w:tcPr>
          <w:p>
            <w:pPr>
              <w:pStyle w:val="TableParagraph"/>
              <w:ind w:right="61"/>
              <w:rPr>
                <w:sz w:val="20"/>
              </w:rPr>
            </w:pPr>
            <w:r>
              <w:rPr>
                <w:sz w:val="20"/>
              </w:rPr>
              <w:t>0.4</w:t>
            </w:r>
          </w:p>
        </w:tc>
      </w:tr>
      <w:tr>
        <w:trPr>
          <w:trHeight w:val="235" w:hRule="exact"/>
        </w:trPr>
        <w:tc>
          <w:tcPr>
            <w:tcW w:w="1010" w:type="dxa"/>
            <w:tcBorders>
              <w:top w:val="nil"/>
              <w:left w:val="nil"/>
              <w:right w:val="nil"/>
            </w:tcBorders>
          </w:tcPr>
          <w:p>
            <w:pPr>
              <w:pStyle w:val="TableParagraph"/>
              <w:spacing w:line="220" w:lineRule="exact" w:before="0"/>
              <w:ind w:left="86"/>
              <w:jc w:val="left"/>
              <w:rPr>
                <w:sz w:val="20"/>
              </w:rPr>
            </w:pPr>
            <w:r>
              <w:rPr>
                <w:sz w:val="20"/>
              </w:rPr>
              <w:t>29</w:t>
            </w:r>
          </w:p>
        </w:tc>
        <w:tc>
          <w:tcPr>
            <w:tcW w:w="1042" w:type="dxa"/>
            <w:tcBorders>
              <w:top w:val="nil"/>
              <w:left w:val="nil"/>
              <w:right w:val="nil"/>
            </w:tcBorders>
          </w:tcPr>
          <w:p>
            <w:pPr>
              <w:pStyle w:val="TableParagraph"/>
              <w:spacing w:line="220" w:lineRule="exact" w:before="0"/>
              <w:ind w:left="94"/>
              <w:jc w:val="left"/>
              <w:rPr>
                <w:sz w:val="20"/>
              </w:rPr>
            </w:pPr>
            <w:r>
              <w:rPr>
                <w:sz w:val="20"/>
              </w:rPr>
              <w:t>15251</w:t>
            </w:r>
          </w:p>
        </w:tc>
        <w:tc>
          <w:tcPr>
            <w:tcW w:w="982" w:type="dxa"/>
            <w:tcBorders>
              <w:top w:val="nil"/>
              <w:left w:val="nil"/>
              <w:right w:val="nil"/>
            </w:tcBorders>
          </w:tcPr>
          <w:p>
            <w:pPr>
              <w:pStyle w:val="TableParagraph"/>
              <w:spacing w:line="220" w:lineRule="exact" w:before="0"/>
              <w:ind w:right="118"/>
              <w:rPr>
                <w:sz w:val="20"/>
              </w:rPr>
            </w:pPr>
            <w:r>
              <w:rPr>
                <w:sz w:val="20"/>
              </w:rPr>
              <w:t>0.4</w:t>
            </w:r>
          </w:p>
        </w:tc>
        <w:tc>
          <w:tcPr>
            <w:tcW w:w="939" w:type="dxa"/>
            <w:tcBorders>
              <w:top w:val="nil"/>
              <w:left w:val="nil"/>
              <w:right w:val="nil"/>
            </w:tcBorders>
          </w:tcPr>
          <w:p>
            <w:pPr>
              <w:pStyle w:val="TableParagraph"/>
              <w:spacing w:line="220" w:lineRule="exact" w:before="0"/>
              <w:ind w:right="115"/>
              <w:rPr>
                <w:sz w:val="20"/>
              </w:rPr>
            </w:pPr>
            <w:r>
              <w:rPr>
                <w:sz w:val="20"/>
              </w:rPr>
              <w:t>0.3</w:t>
            </w:r>
          </w:p>
        </w:tc>
        <w:tc>
          <w:tcPr>
            <w:tcW w:w="925" w:type="dxa"/>
            <w:tcBorders>
              <w:top w:val="nil"/>
              <w:left w:val="nil"/>
              <w:right w:val="nil"/>
            </w:tcBorders>
          </w:tcPr>
          <w:p>
            <w:pPr>
              <w:pStyle w:val="TableParagraph"/>
              <w:spacing w:line="220" w:lineRule="exact" w:before="0"/>
              <w:ind w:right="103"/>
              <w:rPr>
                <w:sz w:val="20"/>
              </w:rPr>
            </w:pPr>
            <w:r>
              <w:rPr>
                <w:sz w:val="20"/>
              </w:rPr>
              <w:t>0.2</w:t>
            </w:r>
          </w:p>
        </w:tc>
        <w:tc>
          <w:tcPr>
            <w:tcW w:w="895" w:type="dxa"/>
            <w:tcBorders>
              <w:top w:val="nil"/>
              <w:left w:val="nil"/>
              <w:right w:val="nil"/>
            </w:tcBorders>
          </w:tcPr>
          <w:p>
            <w:pPr>
              <w:pStyle w:val="TableParagraph"/>
              <w:spacing w:line="220" w:lineRule="exact" w:before="0"/>
              <w:ind w:right="120"/>
              <w:rPr>
                <w:sz w:val="20"/>
              </w:rPr>
            </w:pPr>
            <w:r>
              <w:rPr>
                <w:sz w:val="20"/>
              </w:rPr>
              <w:t>0.4</w:t>
            </w:r>
          </w:p>
        </w:tc>
        <w:tc>
          <w:tcPr>
            <w:tcW w:w="936" w:type="dxa"/>
            <w:tcBorders>
              <w:top w:val="nil"/>
              <w:left w:val="nil"/>
              <w:right w:val="nil"/>
            </w:tcBorders>
          </w:tcPr>
          <w:p>
            <w:pPr>
              <w:pStyle w:val="TableParagraph"/>
              <w:spacing w:line="220" w:lineRule="exact" w:before="0"/>
              <w:ind w:right="110"/>
              <w:rPr>
                <w:sz w:val="20"/>
              </w:rPr>
            </w:pPr>
            <w:r>
              <w:rPr>
                <w:sz w:val="20"/>
              </w:rPr>
              <w:t>0.5</w:t>
            </w:r>
          </w:p>
        </w:tc>
        <w:tc>
          <w:tcPr>
            <w:tcW w:w="915" w:type="dxa"/>
            <w:tcBorders>
              <w:top w:val="nil"/>
              <w:left w:val="nil"/>
              <w:right w:val="nil"/>
            </w:tcBorders>
          </w:tcPr>
          <w:p>
            <w:pPr>
              <w:pStyle w:val="TableParagraph"/>
              <w:spacing w:line="220" w:lineRule="exact" w:before="0"/>
              <w:ind w:right="108"/>
              <w:rPr>
                <w:sz w:val="20"/>
              </w:rPr>
            </w:pPr>
            <w:r>
              <w:rPr>
                <w:sz w:val="20"/>
              </w:rPr>
              <w:t>0.6</w:t>
            </w:r>
          </w:p>
        </w:tc>
        <w:tc>
          <w:tcPr>
            <w:tcW w:w="895" w:type="dxa"/>
            <w:tcBorders>
              <w:top w:val="nil"/>
              <w:left w:val="nil"/>
              <w:right w:val="nil"/>
            </w:tcBorders>
          </w:tcPr>
          <w:p>
            <w:pPr>
              <w:pStyle w:val="TableParagraph"/>
              <w:spacing w:line="220" w:lineRule="exact" w:before="0"/>
              <w:ind w:right="106"/>
              <w:rPr>
                <w:sz w:val="20"/>
              </w:rPr>
            </w:pPr>
            <w:r>
              <w:rPr>
                <w:sz w:val="20"/>
              </w:rPr>
              <w:t>0.6</w:t>
            </w:r>
          </w:p>
        </w:tc>
        <w:tc>
          <w:tcPr>
            <w:tcW w:w="886" w:type="dxa"/>
            <w:tcBorders>
              <w:top w:val="nil"/>
              <w:left w:val="nil"/>
              <w:right w:val="nil"/>
            </w:tcBorders>
          </w:tcPr>
          <w:p>
            <w:pPr>
              <w:pStyle w:val="TableParagraph"/>
              <w:spacing w:line="220" w:lineRule="exact" w:before="0"/>
              <w:ind w:right="108"/>
              <w:rPr>
                <w:sz w:val="20"/>
              </w:rPr>
            </w:pPr>
            <w:r>
              <w:rPr>
                <w:sz w:val="20"/>
              </w:rPr>
              <w:t>0.6</w:t>
            </w:r>
          </w:p>
        </w:tc>
        <w:tc>
          <w:tcPr>
            <w:tcW w:w="876" w:type="dxa"/>
            <w:tcBorders>
              <w:top w:val="nil"/>
              <w:left w:val="nil"/>
              <w:right w:val="nil"/>
            </w:tcBorders>
          </w:tcPr>
          <w:p>
            <w:pPr>
              <w:pStyle w:val="TableParagraph"/>
              <w:spacing w:line="220" w:lineRule="exact" w:before="0"/>
              <w:ind w:right="86"/>
              <w:rPr>
                <w:sz w:val="20"/>
              </w:rPr>
            </w:pPr>
            <w:r>
              <w:rPr>
                <w:sz w:val="20"/>
              </w:rPr>
              <w:t>0.6</w:t>
            </w:r>
          </w:p>
        </w:tc>
        <w:tc>
          <w:tcPr>
            <w:tcW w:w="907" w:type="dxa"/>
            <w:tcBorders>
              <w:top w:val="nil"/>
              <w:left w:val="nil"/>
              <w:right w:val="nil"/>
            </w:tcBorders>
          </w:tcPr>
          <w:p>
            <w:pPr>
              <w:pStyle w:val="TableParagraph"/>
              <w:spacing w:line="220" w:lineRule="exact" w:before="0"/>
              <w:ind w:right="96"/>
              <w:rPr>
                <w:sz w:val="20"/>
              </w:rPr>
            </w:pPr>
            <w:r>
              <w:rPr>
                <w:sz w:val="20"/>
              </w:rPr>
              <w:t>0.5</w:t>
            </w:r>
          </w:p>
        </w:tc>
        <w:tc>
          <w:tcPr>
            <w:tcW w:w="910" w:type="dxa"/>
            <w:tcBorders>
              <w:top w:val="nil"/>
              <w:left w:val="nil"/>
              <w:right w:val="nil"/>
            </w:tcBorders>
          </w:tcPr>
          <w:p>
            <w:pPr>
              <w:pStyle w:val="TableParagraph"/>
              <w:spacing w:line="220" w:lineRule="exact" w:before="0"/>
              <w:ind w:right="79"/>
              <w:rPr>
                <w:sz w:val="20"/>
              </w:rPr>
            </w:pPr>
            <w:r>
              <w:rPr>
                <w:sz w:val="20"/>
              </w:rPr>
              <w:t>0.4</w:t>
            </w:r>
          </w:p>
        </w:tc>
        <w:tc>
          <w:tcPr>
            <w:tcW w:w="845" w:type="dxa"/>
            <w:tcBorders>
              <w:top w:val="nil"/>
              <w:left w:val="nil"/>
              <w:right w:val="nil"/>
            </w:tcBorders>
          </w:tcPr>
          <w:p>
            <w:pPr>
              <w:pStyle w:val="TableParagraph"/>
              <w:spacing w:line="220" w:lineRule="exact" w:before="0"/>
              <w:ind w:right="61"/>
              <w:rPr>
                <w:sz w:val="20"/>
              </w:rPr>
            </w:pPr>
            <w:r>
              <w:rPr>
                <w:sz w:val="20"/>
              </w:rPr>
              <w:t>0.3</w:t>
            </w:r>
          </w:p>
        </w:tc>
      </w:tr>
    </w:tbl>
    <w:p>
      <w:pPr>
        <w:spacing w:after="0" w:line="220" w:lineRule="exact"/>
        <w:rPr>
          <w:sz w:val="20"/>
        </w:rPr>
        <w:sectPr>
          <w:pgSz w:w="15840" w:h="12240" w:orient="landscape"/>
          <w:pgMar w:header="0" w:footer="1474" w:top="1140" w:bottom="1660" w:left="1300" w:right="1300"/>
        </w:sectPr>
      </w:pPr>
    </w:p>
    <w:p>
      <w:pPr>
        <w:pStyle w:val="BodyText"/>
        <w:spacing w:before="7"/>
        <w:rPr>
          <w:sz w:val="17"/>
        </w:rPr>
      </w:pPr>
    </w:p>
    <w:p>
      <w:pPr>
        <w:pStyle w:val="Heading1"/>
        <w:spacing w:before="66"/>
        <w:ind w:left="4422"/>
      </w:pPr>
      <w:bookmarkStart w:name="_bookmark151" w:id="210"/>
      <w:bookmarkEnd w:id="210"/>
      <w:r>
        <w:rPr>
          <w:b w:val="0"/>
        </w:rPr>
      </w:r>
      <w:r>
        <w:rPr/>
        <w:t>Tabla 14. Punto de rocío por subcuenca</w:t>
      </w:r>
    </w:p>
    <w:p>
      <w:pPr>
        <w:pStyle w:val="BodyText"/>
        <w:spacing w:before="1"/>
        <w:rPr>
          <w:b/>
          <w:sz w:val="18"/>
        </w:rPr>
      </w:pP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29"/>
        <w:gridCol w:w="1030"/>
        <w:gridCol w:w="976"/>
        <w:gridCol w:w="931"/>
        <w:gridCol w:w="941"/>
        <w:gridCol w:w="938"/>
        <w:gridCol w:w="941"/>
        <w:gridCol w:w="939"/>
        <w:gridCol w:w="929"/>
        <w:gridCol w:w="939"/>
        <w:gridCol w:w="932"/>
        <w:gridCol w:w="1042"/>
        <w:gridCol w:w="1027"/>
        <w:gridCol w:w="1023"/>
      </w:tblGrid>
      <w:tr>
        <w:trPr>
          <w:trHeight w:val="610" w:hRule="exact"/>
        </w:trPr>
        <w:tc>
          <w:tcPr>
            <w:tcW w:w="1129" w:type="dxa"/>
            <w:tcBorders>
              <w:left w:val="nil"/>
              <w:right w:val="nil"/>
            </w:tcBorders>
          </w:tcPr>
          <w:p>
            <w:pPr>
              <w:pStyle w:val="TableParagraph"/>
              <w:spacing w:before="63"/>
              <w:ind w:left="72"/>
              <w:jc w:val="left"/>
              <w:rPr>
                <w:sz w:val="20"/>
              </w:rPr>
            </w:pPr>
            <w:r>
              <w:rPr>
                <w:sz w:val="20"/>
              </w:rPr>
              <w:t>SUBBASIN</w:t>
            </w:r>
          </w:p>
        </w:tc>
        <w:tc>
          <w:tcPr>
            <w:tcW w:w="1030" w:type="dxa"/>
            <w:tcBorders>
              <w:left w:val="nil"/>
              <w:right w:val="nil"/>
            </w:tcBorders>
          </w:tcPr>
          <w:p>
            <w:pPr>
              <w:pStyle w:val="TableParagraph"/>
              <w:spacing w:before="63"/>
              <w:ind w:left="81"/>
              <w:jc w:val="left"/>
              <w:rPr>
                <w:sz w:val="20"/>
              </w:rPr>
            </w:pPr>
            <w:r>
              <w:rPr>
                <w:sz w:val="20"/>
              </w:rPr>
              <w:t>STATION</w:t>
            </w:r>
          </w:p>
        </w:tc>
        <w:tc>
          <w:tcPr>
            <w:tcW w:w="976" w:type="dxa"/>
            <w:tcBorders>
              <w:left w:val="nil"/>
              <w:right w:val="nil"/>
            </w:tcBorders>
          </w:tcPr>
          <w:p>
            <w:pPr>
              <w:pStyle w:val="TableParagraph"/>
              <w:spacing w:before="63"/>
              <w:ind w:right="94"/>
              <w:rPr>
                <w:sz w:val="20"/>
              </w:rPr>
            </w:pPr>
            <w:r>
              <w:rPr>
                <w:sz w:val="20"/>
              </w:rPr>
              <w:t>DEWPT1</w:t>
            </w:r>
          </w:p>
        </w:tc>
        <w:tc>
          <w:tcPr>
            <w:tcW w:w="931" w:type="dxa"/>
            <w:tcBorders>
              <w:left w:val="nil"/>
              <w:right w:val="nil"/>
            </w:tcBorders>
          </w:tcPr>
          <w:p>
            <w:pPr>
              <w:pStyle w:val="TableParagraph"/>
              <w:spacing w:before="63"/>
              <w:ind w:right="70"/>
              <w:rPr>
                <w:sz w:val="20"/>
              </w:rPr>
            </w:pPr>
            <w:r>
              <w:rPr>
                <w:sz w:val="20"/>
              </w:rPr>
              <w:t>DEWPT2</w:t>
            </w:r>
          </w:p>
        </w:tc>
        <w:tc>
          <w:tcPr>
            <w:tcW w:w="941" w:type="dxa"/>
            <w:tcBorders>
              <w:left w:val="nil"/>
              <w:right w:val="nil"/>
            </w:tcBorders>
          </w:tcPr>
          <w:p>
            <w:pPr>
              <w:pStyle w:val="TableParagraph"/>
              <w:spacing w:before="63"/>
              <w:ind w:right="75"/>
              <w:rPr>
                <w:sz w:val="20"/>
              </w:rPr>
            </w:pPr>
            <w:r>
              <w:rPr>
                <w:sz w:val="20"/>
              </w:rPr>
              <w:t>DEWPT3</w:t>
            </w:r>
          </w:p>
        </w:tc>
        <w:tc>
          <w:tcPr>
            <w:tcW w:w="938" w:type="dxa"/>
            <w:tcBorders>
              <w:left w:val="nil"/>
              <w:right w:val="nil"/>
            </w:tcBorders>
          </w:tcPr>
          <w:p>
            <w:pPr>
              <w:pStyle w:val="TableParagraph"/>
              <w:spacing w:before="63"/>
              <w:ind w:right="77"/>
              <w:rPr>
                <w:sz w:val="20"/>
              </w:rPr>
            </w:pPr>
            <w:r>
              <w:rPr>
                <w:sz w:val="20"/>
              </w:rPr>
              <w:t>DEWPT4</w:t>
            </w:r>
          </w:p>
        </w:tc>
        <w:tc>
          <w:tcPr>
            <w:tcW w:w="941" w:type="dxa"/>
            <w:tcBorders>
              <w:left w:val="nil"/>
              <w:right w:val="nil"/>
            </w:tcBorders>
          </w:tcPr>
          <w:p>
            <w:pPr>
              <w:pStyle w:val="TableParagraph"/>
              <w:spacing w:before="63"/>
              <w:ind w:right="77"/>
              <w:rPr>
                <w:sz w:val="20"/>
              </w:rPr>
            </w:pPr>
            <w:r>
              <w:rPr>
                <w:sz w:val="20"/>
              </w:rPr>
              <w:t>DEWPT5</w:t>
            </w:r>
          </w:p>
        </w:tc>
        <w:tc>
          <w:tcPr>
            <w:tcW w:w="939" w:type="dxa"/>
            <w:tcBorders>
              <w:left w:val="nil"/>
              <w:right w:val="nil"/>
            </w:tcBorders>
          </w:tcPr>
          <w:p>
            <w:pPr>
              <w:pStyle w:val="TableParagraph"/>
              <w:spacing w:before="63"/>
              <w:ind w:right="75"/>
              <w:rPr>
                <w:sz w:val="20"/>
              </w:rPr>
            </w:pPr>
            <w:r>
              <w:rPr>
                <w:sz w:val="20"/>
              </w:rPr>
              <w:t>DEWPT6</w:t>
            </w:r>
          </w:p>
        </w:tc>
        <w:tc>
          <w:tcPr>
            <w:tcW w:w="929" w:type="dxa"/>
            <w:tcBorders>
              <w:left w:val="nil"/>
              <w:right w:val="nil"/>
            </w:tcBorders>
          </w:tcPr>
          <w:p>
            <w:pPr>
              <w:pStyle w:val="TableParagraph"/>
              <w:spacing w:before="63"/>
              <w:ind w:right="67"/>
              <w:rPr>
                <w:sz w:val="20"/>
              </w:rPr>
            </w:pPr>
            <w:r>
              <w:rPr>
                <w:sz w:val="20"/>
              </w:rPr>
              <w:t>DEWPT7</w:t>
            </w:r>
          </w:p>
        </w:tc>
        <w:tc>
          <w:tcPr>
            <w:tcW w:w="939" w:type="dxa"/>
            <w:tcBorders>
              <w:left w:val="nil"/>
              <w:right w:val="nil"/>
            </w:tcBorders>
          </w:tcPr>
          <w:p>
            <w:pPr>
              <w:pStyle w:val="TableParagraph"/>
              <w:spacing w:before="63"/>
              <w:ind w:right="75"/>
              <w:rPr>
                <w:sz w:val="20"/>
              </w:rPr>
            </w:pPr>
            <w:r>
              <w:rPr>
                <w:sz w:val="20"/>
              </w:rPr>
              <w:t>DEWPT8</w:t>
            </w:r>
          </w:p>
        </w:tc>
        <w:tc>
          <w:tcPr>
            <w:tcW w:w="932" w:type="dxa"/>
            <w:tcBorders>
              <w:left w:val="nil"/>
              <w:right w:val="nil"/>
            </w:tcBorders>
          </w:tcPr>
          <w:p>
            <w:pPr>
              <w:pStyle w:val="TableParagraph"/>
              <w:spacing w:before="63"/>
              <w:ind w:right="70"/>
              <w:rPr>
                <w:sz w:val="20"/>
              </w:rPr>
            </w:pPr>
            <w:r>
              <w:rPr>
                <w:sz w:val="20"/>
              </w:rPr>
              <w:t>DEWPT9</w:t>
            </w:r>
          </w:p>
        </w:tc>
        <w:tc>
          <w:tcPr>
            <w:tcW w:w="1042" w:type="dxa"/>
            <w:tcBorders>
              <w:left w:val="nil"/>
              <w:right w:val="nil"/>
            </w:tcBorders>
          </w:tcPr>
          <w:p>
            <w:pPr>
              <w:pStyle w:val="TableParagraph"/>
              <w:spacing w:before="63"/>
              <w:ind w:right="75"/>
              <w:rPr>
                <w:sz w:val="20"/>
              </w:rPr>
            </w:pPr>
            <w:r>
              <w:rPr>
                <w:sz w:val="20"/>
              </w:rPr>
              <w:t>DEWPT10</w:t>
            </w:r>
          </w:p>
        </w:tc>
        <w:tc>
          <w:tcPr>
            <w:tcW w:w="1027" w:type="dxa"/>
            <w:tcBorders>
              <w:left w:val="nil"/>
              <w:right w:val="nil"/>
            </w:tcBorders>
          </w:tcPr>
          <w:p>
            <w:pPr>
              <w:pStyle w:val="TableParagraph"/>
              <w:spacing w:before="63"/>
              <w:ind w:right="65"/>
              <w:rPr>
                <w:sz w:val="20"/>
              </w:rPr>
            </w:pPr>
            <w:r>
              <w:rPr>
                <w:sz w:val="20"/>
              </w:rPr>
              <w:t>DEWPT11</w:t>
            </w:r>
          </w:p>
        </w:tc>
        <w:tc>
          <w:tcPr>
            <w:tcW w:w="1023" w:type="dxa"/>
            <w:tcBorders>
              <w:left w:val="nil"/>
              <w:right w:val="nil"/>
            </w:tcBorders>
          </w:tcPr>
          <w:p>
            <w:pPr>
              <w:pStyle w:val="TableParagraph"/>
              <w:spacing w:before="63"/>
              <w:ind w:right="60"/>
              <w:rPr>
                <w:sz w:val="20"/>
              </w:rPr>
            </w:pPr>
            <w:r>
              <w:rPr>
                <w:sz w:val="20"/>
              </w:rPr>
              <w:t>DEWPT12</w:t>
            </w:r>
          </w:p>
        </w:tc>
      </w:tr>
      <w:tr>
        <w:trPr>
          <w:trHeight w:val="344" w:hRule="exact"/>
        </w:trPr>
        <w:tc>
          <w:tcPr>
            <w:tcW w:w="1129" w:type="dxa"/>
            <w:tcBorders>
              <w:left w:val="nil"/>
              <w:bottom w:val="nil"/>
              <w:right w:val="nil"/>
            </w:tcBorders>
          </w:tcPr>
          <w:p>
            <w:pPr>
              <w:pStyle w:val="TableParagraph"/>
              <w:spacing w:before="63"/>
              <w:ind w:left="72"/>
              <w:jc w:val="left"/>
              <w:rPr>
                <w:sz w:val="20"/>
              </w:rPr>
            </w:pPr>
            <w:r>
              <w:rPr>
                <w:w w:val="100"/>
                <w:sz w:val="20"/>
              </w:rPr>
              <w:t>1</w:t>
            </w:r>
          </w:p>
        </w:tc>
        <w:tc>
          <w:tcPr>
            <w:tcW w:w="1030" w:type="dxa"/>
            <w:tcBorders>
              <w:left w:val="nil"/>
              <w:bottom w:val="nil"/>
              <w:right w:val="nil"/>
            </w:tcBorders>
          </w:tcPr>
          <w:p>
            <w:pPr>
              <w:pStyle w:val="TableParagraph"/>
              <w:spacing w:before="63"/>
              <w:ind w:left="71"/>
              <w:jc w:val="left"/>
              <w:rPr>
                <w:sz w:val="20"/>
              </w:rPr>
            </w:pPr>
            <w:r>
              <w:rPr>
                <w:sz w:val="20"/>
              </w:rPr>
              <w:t>15001</w:t>
            </w:r>
          </w:p>
        </w:tc>
        <w:tc>
          <w:tcPr>
            <w:tcW w:w="976" w:type="dxa"/>
            <w:tcBorders>
              <w:left w:val="nil"/>
              <w:bottom w:val="nil"/>
              <w:right w:val="nil"/>
            </w:tcBorders>
          </w:tcPr>
          <w:p>
            <w:pPr>
              <w:pStyle w:val="TableParagraph"/>
              <w:spacing w:before="63"/>
              <w:ind w:right="65"/>
              <w:rPr>
                <w:sz w:val="20"/>
              </w:rPr>
            </w:pPr>
            <w:r>
              <w:rPr>
                <w:sz w:val="20"/>
              </w:rPr>
              <w:t>7.96</w:t>
            </w:r>
          </w:p>
        </w:tc>
        <w:tc>
          <w:tcPr>
            <w:tcW w:w="931" w:type="dxa"/>
            <w:tcBorders>
              <w:left w:val="nil"/>
              <w:bottom w:val="nil"/>
              <w:right w:val="nil"/>
            </w:tcBorders>
          </w:tcPr>
          <w:p>
            <w:pPr>
              <w:pStyle w:val="TableParagraph"/>
              <w:spacing w:before="63"/>
              <w:ind w:right="70"/>
              <w:rPr>
                <w:sz w:val="20"/>
              </w:rPr>
            </w:pPr>
            <w:r>
              <w:rPr>
                <w:sz w:val="20"/>
              </w:rPr>
              <w:t>7.18</w:t>
            </w:r>
          </w:p>
        </w:tc>
        <w:tc>
          <w:tcPr>
            <w:tcW w:w="941" w:type="dxa"/>
            <w:tcBorders>
              <w:left w:val="nil"/>
              <w:bottom w:val="nil"/>
              <w:right w:val="nil"/>
            </w:tcBorders>
          </w:tcPr>
          <w:p>
            <w:pPr>
              <w:pStyle w:val="TableParagraph"/>
              <w:spacing w:before="63"/>
              <w:ind w:right="65"/>
              <w:rPr>
                <w:sz w:val="20"/>
              </w:rPr>
            </w:pPr>
            <w:r>
              <w:rPr>
                <w:sz w:val="20"/>
              </w:rPr>
              <w:t>5.63</w:t>
            </w:r>
          </w:p>
        </w:tc>
        <w:tc>
          <w:tcPr>
            <w:tcW w:w="938" w:type="dxa"/>
            <w:tcBorders>
              <w:left w:val="nil"/>
              <w:bottom w:val="nil"/>
              <w:right w:val="nil"/>
            </w:tcBorders>
          </w:tcPr>
          <w:p>
            <w:pPr>
              <w:pStyle w:val="TableParagraph"/>
              <w:spacing w:before="63"/>
              <w:ind w:right="67"/>
              <w:rPr>
                <w:sz w:val="20"/>
              </w:rPr>
            </w:pPr>
            <w:r>
              <w:rPr>
                <w:sz w:val="20"/>
              </w:rPr>
              <w:t>6.66</w:t>
            </w:r>
          </w:p>
        </w:tc>
        <w:tc>
          <w:tcPr>
            <w:tcW w:w="941" w:type="dxa"/>
            <w:tcBorders>
              <w:left w:val="nil"/>
              <w:bottom w:val="nil"/>
              <w:right w:val="nil"/>
            </w:tcBorders>
          </w:tcPr>
          <w:p>
            <w:pPr>
              <w:pStyle w:val="TableParagraph"/>
              <w:spacing w:before="63"/>
              <w:ind w:right="67"/>
              <w:rPr>
                <w:sz w:val="20"/>
              </w:rPr>
            </w:pPr>
            <w:r>
              <w:rPr>
                <w:sz w:val="20"/>
              </w:rPr>
              <w:t>9.42</w:t>
            </w:r>
          </w:p>
        </w:tc>
        <w:tc>
          <w:tcPr>
            <w:tcW w:w="939" w:type="dxa"/>
            <w:tcBorders>
              <w:left w:val="nil"/>
              <w:bottom w:val="nil"/>
              <w:right w:val="nil"/>
            </w:tcBorders>
          </w:tcPr>
          <w:p>
            <w:pPr>
              <w:pStyle w:val="TableParagraph"/>
              <w:spacing w:before="63"/>
              <w:ind w:right="65"/>
              <w:rPr>
                <w:sz w:val="20"/>
              </w:rPr>
            </w:pPr>
            <w:r>
              <w:rPr>
                <w:sz w:val="20"/>
              </w:rPr>
              <w:t>11.84</w:t>
            </w:r>
          </w:p>
        </w:tc>
        <w:tc>
          <w:tcPr>
            <w:tcW w:w="929" w:type="dxa"/>
            <w:tcBorders>
              <w:left w:val="nil"/>
              <w:bottom w:val="nil"/>
              <w:right w:val="nil"/>
            </w:tcBorders>
          </w:tcPr>
          <w:p>
            <w:pPr>
              <w:pStyle w:val="TableParagraph"/>
              <w:spacing w:before="63"/>
              <w:ind w:right="67"/>
              <w:rPr>
                <w:sz w:val="20"/>
              </w:rPr>
            </w:pPr>
            <w:r>
              <w:rPr>
                <w:sz w:val="20"/>
              </w:rPr>
              <w:t>13.59</w:t>
            </w:r>
          </w:p>
        </w:tc>
        <w:tc>
          <w:tcPr>
            <w:tcW w:w="939" w:type="dxa"/>
            <w:tcBorders>
              <w:left w:val="nil"/>
              <w:bottom w:val="nil"/>
              <w:right w:val="nil"/>
            </w:tcBorders>
          </w:tcPr>
          <w:p>
            <w:pPr>
              <w:pStyle w:val="TableParagraph"/>
              <w:spacing w:before="63"/>
              <w:ind w:right="65"/>
              <w:rPr>
                <w:sz w:val="20"/>
              </w:rPr>
            </w:pPr>
            <w:r>
              <w:rPr>
                <w:sz w:val="20"/>
              </w:rPr>
              <w:t>13.36</w:t>
            </w:r>
          </w:p>
        </w:tc>
        <w:tc>
          <w:tcPr>
            <w:tcW w:w="932" w:type="dxa"/>
            <w:tcBorders>
              <w:left w:val="nil"/>
              <w:bottom w:val="nil"/>
              <w:right w:val="nil"/>
            </w:tcBorders>
          </w:tcPr>
          <w:p>
            <w:pPr>
              <w:pStyle w:val="TableParagraph"/>
              <w:spacing w:before="63"/>
              <w:ind w:right="70"/>
              <w:rPr>
                <w:sz w:val="20"/>
              </w:rPr>
            </w:pPr>
            <w:r>
              <w:rPr>
                <w:sz w:val="20"/>
              </w:rPr>
              <w:t>12.05</w:t>
            </w:r>
          </w:p>
        </w:tc>
        <w:tc>
          <w:tcPr>
            <w:tcW w:w="1042" w:type="dxa"/>
            <w:tcBorders>
              <w:left w:val="nil"/>
              <w:bottom w:val="nil"/>
              <w:right w:val="nil"/>
            </w:tcBorders>
          </w:tcPr>
          <w:p>
            <w:pPr>
              <w:pStyle w:val="TableParagraph"/>
              <w:spacing w:before="63"/>
              <w:ind w:right="65"/>
              <w:rPr>
                <w:sz w:val="20"/>
              </w:rPr>
            </w:pPr>
            <w:r>
              <w:rPr>
                <w:sz w:val="20"/>
              </w:rPr>
              <w:t>8.73</w:t>
            </w:r>
          </w:p>
        </w:tc>
        <w:tc>
          <w:tcPr>
            <w:tcW w:w="1027" w:type="dxa"/>
            <w:tcBorders>
              <w:left w:val="nil"/>
              <w:bottom w:val="nil"/>
              <w:right w:val="nil"/>
            </w:tcBorders>
          </w:tcPr>
          <w:p>
            <w:pPr>
              <w:pStyle w:val="TableParagraph"/>
              <w:spacing w:before="63"/>
              <w:ind w:right="65"/>
              <w:rPr>
                <w:sz w:val="20"/>
              </w:rPr>
            </w:pPr>
            <w:r>
              <w:rPr>
                <w:sz w:val="20"/>
              </w:rPr>
              <w:t>7.6</w:t>
            </w:r>
          </w:p>
        </w:tc>
        <w:tc>
          <w:tcPr>
            <w:tcW w:w="1023" w:type="dxa"/>
            <w:tcBorders>
              <w:left w:val="nil"/>
              <w:bottom w:val="nil"/>
              <w:right w:val="nil"/>
            </w:tcBorders>
          </w:tcPr>
          <w:p>
            <w:pPr>
              <w:pStyle w:val="TableParagraph"/>
              <w:spacing w:before="63"/>
              <w:ind w:right="60"/>
              <w:rPr>
                <w:sz w:val="20"/>
              </w:rPr>
            </w:pPr>
            <w:r>
              <w:rPr>
                <w:sz w:val="20"/>
              </w:rPr>
              <w:t>5.57</w:t>
            </w:r>
          </w:p>
        </w:tc>
      </w:tr>
      <w:tr>
        <w:trPr>
          <w:trHeight w:val="300" w:hRule="exact"/>
        </w:trPr>
        <w:tc>
          <w:tcPr>
            <w:tcW w:w="1129" w:type="dxa"/>
            <w:tcBorders>
              <w:top w:val="nil"/>
              <w:left w:val="nil"/>
              <w:bottom w:val="nil"/>
              <w:right w:val="nil"/>
            </w:tcBorders>
          </w:tcPr>
          <w:p>
            <w:pPr>
              <w:pStyle w:val="TableParagraph"/>
              <w:spacing w:before="26"/>
              <w:ind w:left="72"/>
              <w:jc w:val="left"/>
              <w:rPr>
                <w:sz w:val="20"/>
              </w:rPr>
            </w:pPr>
            <w:r>
              <w:rPr>
                <w:w w:val="100"/>
                <w:sz w:val="20"/>
              </w:rPr>
              <w:t>2</w:t>
            </w:r>
          </w:p>
        </w:tc>
        <w:tc>
          <w:tcPr>
            <w:tcW w:w="1030" w:type="dxa"/>
            <w:tcBorders>
              <w:top w:val="nil"/>
              <w:left w:val="nil"/>
              <w:bottom w:val="nil"/>
              <w:right w:val="nil"/>
            </w:tcBorders>
          </w:tcPr>
          <w:p>
            <w:pPr>
              <w:pStyle w:val="TableParagraph"/>
              <w:spacing w:before="26"/>
              <w:ind w:left="71"/>
              <w:jc w:val="left"/>
              <w:rPr>
                <w:sz w:val="20"/>
              </w:rPr>
            </w:pPr>
            <w:r>
              <w:rPr>
                <w:sz w:val="20"/>
              </w:rPr>
              <w:t>15001</w:t>
            </w:r>
          </w:p>
        </w:tc>
        <w:tc>
          <w:tcPr>
            <w:tcW w:w="976" w:type="dxa"/>
            <w:tcBorders>
              <w:top w:val="nil"/>
              <w:left w:val="nil"/>
              <w:bottom w:val="nil"/>
              <w:right w:val="nil"/>
            </w:tcBorders>
          </w:tcPr>
          <w:p>
            <w:pPr>
              <w:pStyle w:val="TableParagraph"/>
              <w:spacing w:before="26"/>
              <w:ind w:right="65"/>
              <w:rPr>
                <w:sz w:val="20"/>
              </w:rPr>
            </w:pPr>
            <w:r>
              <w:rPr>
                <w:sz w:val="20"/>
              </w:rPr>
              <w:t>7.96</w:t>
            </w:r>
          </w:p>
        </w:tc>
        <w:tc>
          <w:tcPr>
            <w:tcW w:w="931" w:type="dxa"/>
            <w:tcBorders>
              <w:top w:val="nil"/>
              <w:left w:val="nil"/>
              <w:bottom w:val="nil"/>
              <w:right w:val="nil"/>
            </w:tcBorders>
          </w:tcPr>
          <w:p>
            <w:pPr>
              <w:pStyle w:val="TableParagraph"/>
              <w:spacing w:before="26"/>
              <w:ind w:right="70"/>
              <w:rPr>
                <w:sz w:val="20"/>
              </w:rPr>
            </w:pPr>
            <w:r>
              <w:rPr>
                <w:sz w:val="20"/>
              </w:rPr>
              <w:t>7.18</w:t>
            </w:r>
          </w:p>
        </w:tc>
        <w:tc>
          <w:tcPr>
            <w:tcW w:w="941" w:type="dxa"/>
            <w:tcBorders>
              <w:top w:val="nil"/>
              <w:left w:val="nil"/>
              <w:bottom w:val="nil"/>
              <w:right w:val="nil"/>
            </w:tcBorders>
          </w:tcPr>
          <w:p>
            <w:pPr>
              <w:pStyle w:val="TableParagraph"/>
              <w:spacing w:before="26"/>
              <w:ind w:right="65"/>
              <w:rPr>
                <w:sz w:val="20"/>
              </w:rPr>
            </w:pPr>
            <w:r>
              <w:rPr>
                <w:sz w:val="20"/>
              </w:rPr>
              <w:t>5.63</w:t>
            </w:r>
          </w:p>
        </w:tc>
        <w:tc>
          <w:tcPr>
            <w:tcW w:w="938" w:type="dxa"/>
            <w:tcBorders>
              <w:top w:val="nil"/>
              <w:left w:val="nil"/>
              <w:bottom w:val="nil"/>
              <w:right w:val="nil"/>
            </w:tcBorders>
          </w:tcPr>
          <w:p>
            <w:pPr>
              <w:pStyle w:val="TableParagraph"/>
              <w:spacing w:before="26"/>
              <w:ind w:right="67"/>
              <w:rPr>
                <w:sz w:val="20"/>
              </w:rPr>
            </w:pPr>
            <w:r>
              <w:rPr>
                <w:sz w:val="20"/>
              </w:rPr>
              <w:t>6.66</w:t>
            </w:r>
          </w:p>
        </w:tc>
        <w:tc>
          <w:tcPr>
            <w:tcW w:w="941" w:type="dxa"/>
            <w:tcBorders>
              <w:top w:val="nil"/>
              <w:left w:val="nil"/>
              <w:bottom w:val="nil"/>
              <w:right w:val="nil"/>
            </w:tcBorders>
          </w:tcPr>
          <w:p>
            <w:pPr>
              <w:pStyle w:val="TableParagraph"/>
              <w:spacing w:before="26"/>
              <w:ind w:right="67"/>
              <w:rPr>
                <w:sz w:val="20"/>
              </w:rPr>
            </w:pPr>
            <w:r>
              <w:rPr>
                <w:sz w:val="20"/>
              </w:rPr>
              <w:t>9.42</w:t>
            </w:r>
          </w:p>
        </w:tc>
        <w:tc>
          <w:tcPr>
            <w:tcW w:w="939" w:type="dxa"/>
            <w:tcBorders>
              <w:top w:val="nil"/>
              <w:left w:val="nil"/>
              <w:bottom w:val="nil"/>
              <w:right w:val="nil"/>
            </w:tcBorders>
          </w:tcPr>
          <w:p>
            <w:pPr>
              <w:pStyle w:val="TableParagraph"/>
              <w:spacing w:before="26"/>
              <w:ind w:right="65"/>
              <w:rPr>
                <w:sz w:val="20"/>
              </w:rPr>
            </w:pPr>
            <w:r>
              <w:rPr>
                <w:sz w:val="20"/>
              </w:rPr>
              <w:t>11.84</w:t>
            </w:r>
          </w:p>
        </w:tc>
        <w:tc>
          <w:tcPr>
            <w:tcW w:w="929" w:type="dxa"/>
            <w:tcBorders>
              <w:top w:val="nil"/>
              <w:left w:val="nil"/>
              <w:bottom w:val="nil"/>
              <w:right w:val="nil"/>
            </w:tcBorders>
          </w:tcPr>
          <w:p>
            <w:pPr>
              <w:pStyle w:val="TableParagraph"/>
              <w:spacing w:before="26"/>
              <w:ind w:right="67"/>
              <w:rPr>
                <w:sz w:val="20"/>
              </w:rPr>
            </w:pPr>
            <w:r>
              <w:rPr>
                <w:sz w:val="20"/>
              </w:rPr>
              <w:t>13.59</w:t>
            </w:r>
          </w:p>
        </w:tc>
        <w:tc>
          <w:tcPr>
            <w:tcW w:w="939" w:type="dxa"/>
            <w:tcBorders>
              <w:top w:val="nil"/>
              <w:left w:val="nil"/>
              <w:bottom w:val="nil"/>
              <w:right w:val="nil"/>
            </w:tcBorders>
          </w:tcPr>
          <w:p>
            <w:pPr>
              <w:pStyle w:val="TableParagraph"/>
              <w:spacing w:before="26"/>
              <w:ind w:right="65"/>
              <w:rPr>
                <w:sz w:val="20"/>
              </w:rPr>
            </w:pPr>
            <w:r>
              <w:rPr>
                <w:sz w:val="20"/>
              </w:rPr>
              <w:t>13.36</w:t>
            </w:r>
          </w:p>
        </w:tc>
        <w:tc>
          <w:tcPr>
            <w:tcW w:w="932" w:type="dxa"/>
            <w:tcBorders>
              <w:top w:val="nil"/>
              <w:left w:val="nil"/>
              <w:bottom w:val="nil"/>
              <w:right w:val="nil"/>
            </w:tcBorders>
          </w:tcPr>
          <w:p>
            <w:pPr>
              <w:pStyle w:val="TableParagraph"/>
              <w:spacing w:before="26"/>
              <w:ind w:right="70"/>
              <w:rPr>
                <w:sz w:val="20"/>
              </w:rPr>
            </w:pPr>
            <w:r>
              <w:rPr>
                <w:sz w:val="20"/>
              </w:rPr>
              <w:t>12.05</w:t>
            </w:r>
          </w:p>
        </w:tc>
        <w:tc>
          <w:tcPr>
            <w:tcW w:w="1042" w:type="dxa"/>
            <w:tcBorders>
              <w:top w:val="nil"/>
              <w:left w:val="nil"/>
              <w:bottom w:val="nil"/>
              <w:right w:val="nil"/>
            </w:tcBorders>
          </w:tcPr>
          <w:p>
            <w:pPr>
              <w:pStyle w:val="TableParagraph"/>
              <w:spacing w:before="26"/>
              <w:ind w:right="65"/>
              <w:rPr>
                <w:sz w:val="20"/>
              </w:rPr>
            </w:pPr>
            <w:r>
              <w:rPr>
                <w:sz w:val="20"/>
              </w:rPr>
              <w:t>8.73</w:t>
            </w:r>
          </w:p>
        </w:tc>
        <w:tc>
          <w:tcPr>
            <w:tcW w:w="1027" w:type="dxa"/>
            <w:tcBorders>
              <w:top w:val="nil"/>
              <w:left w:val="nil"/>
              <w:bottom w:val="nil"/>
              <w:right w:val="nil"/>
            </w:tcBorders>
          </w:tcPr>
          <w:p>
            <w:pPr>
              <w:pStyle w:val="TableParagraph"/>
              <w:spacing w:before="26"/>
              <w:ind w:right="65"/>
              <w:rPr>
                <w:sz w:val="20"/>
              </w:rPr>
            </w:pPr>
            <w:r>
              <w:rPr>
                <w:sz w:val="20"/>
              </w:rPr>
              <w:t>7.6</w:t>
            </w:r>
          </w:p>
        </w:tc>
        <w:tc>
          <w:tcPr>
            <w:tcW w:w="1023" w:type="dxa"/>
            <w:tcBorders>
              <w:top w:val="nil"/>
              <w:left w:val="nil"/>
              <w:bottom w:val="nil"/>
              <w:right w:val="nil"/>
            </w:tcBorders>
          </w:tcPr>
          <w:p>
            <w:pPr>
              <w:pStyle w:val="TableParagraph"/>
              <w:spacing w:before="26"/>
              <w:ind w:right="60"/>
              <w:rPr>
                <w:sz w:val="20"/>
              </w:rPr>
            </w:pPr>
            <w:r>
              <w:rPr>
                <w:sz w:val="20"/>
              </w:rPr>
              <w:t>5.57</w:t>
            </w:r>
          </w:p>
        </w:tc>
      </w:tr>
      <w:tr>
        <w:trPr>
          <w:trHeight w:val="300" w:hRule="exact"/>
        </w:trPr>
        <w:tc>
          <w:tcPr>
            <w:tcW w:w="1129" w:type="dxa"/>
            <w:tcBorders>
              <w:top w:val="nil"/>
              <w:left w:val="nil"/>
              <w:bottom w:val="nil"/>
              <w:right w:val="nil"/>
            </w:tcBorders>
          </w:tcPr>
          <w:p>
            <w:pPr>
              <w:pStyle w:val="TableParagraph"/>
              <w:ind w:left="72"/>
              <w:jc w:val="left"/>
              <w:rPr>
                <w:sz w:val="20"/>
              </w:rPr>
            </w:pPr>
            <w:r>
              <w:rPr>
                <w:w w:val="100"/>
                <w:sz w:val="20"/>
              </w:rPr>
              <w:t>3</w:t>
            </w:r>
          </w:p>
        </w:tc>
        <w:tc>
          <w:tcPr>
            <w:tcW w:w="1030" w:type="dxa"/>
            <w:tcBorders>
              <w:top w:val="nil"/>
              <w:left w:val="nil"/>
              <w:bottom w:val="nil"/>
              <w:right w:val="nil"/>
            </w:tcBorders>
          </w:tcPr>
          <w:p>
            <w:pPr>
              <w:pStyle w:val="TableParagraph"/>
              <w:ind w:left="71"/>
              <w:jc w:val="left"/>
              <w:rPr>
                <w:sz w:val="20"/>
              </w:rPr>
            </w:pPr>
            <w:r>
              <w:rPr>
                <w:sz w:val="20"/>
              </w:rPr>
              <w:t>15261</w:t>
            </w:r>
          </w:p>
        </w:tc>
        <w:tc>
          <w:tcPr>
            <w:tcW w:w="976" w:type="dxa"/>
            <w:tcBorders>
              <w:top w:val="nil"/>
              <w:left w:val="nil"/>
              <w:bottom w:val="nil"/>
              <w:right w:val="nil"/>
            </w:tcBorders>
          </w:tcPr>
          <w:p>
            <w:pPr>
              <w:pStyle w:val="TableParagraph"/>
              <w:ind w:right="65"/>
              <w:rPr>
                <w:sz w:val="20"/>
              </w:rPr>
            </w:pPr>
            <w:r>
              <w:rPr>
                <w:sz w:val="20"/>
              </w:rPr>
              <w:t>7.96</w:t>
            </w:r>
          </w:p>
        </w:tc>
        <w:tc>
          <w:tcPr>
            <w:tcW w:w="931" w:type="dxa"/>
            <w:tcBorders>
              <w:top w:val="nil"/>
              <w:left w:val="nil"/>
              <w:bottom w:val="nil"/>
              <w:right w:val="nil"/>
            </w:tcBorders>
          </w:tcPr>
          <w:p>
            <w:pPr>
              <w:pStyle w:val="TableParagraph"/>
              <w:ind w:right="70"/>
              <w:rPr>
                <w:sz w:val="20"/>
              </w:rPr>
            </w:pPr>
            <w:r>
              <w:rPr>
                <w:sz w:val="20"/>
              </w:rPr>
              <w:t>7.18</w:t>
            </w:r>
          </w:p>
        </w:tc>
        <w:tc>
          <w:tcPr>
            <w:tcW w:w="941" w:type="dxa"/>
            <w:tcBorders>
              <w:top w:val="nil"/>
              <w:left w:val="nil"/>
              <w:bottom w:val="nil"/>
              <w:right w:val="nil"/>
            </w:tcBorders>
          </w:tcPr>
          <w:p>
            <w:pPr>
              <w:pStyle w:val="TableParagraph"/>
              <w:ind w:right="65"/>
              <w:rPr>
                <w:sz w:val="20"/>
              </w:rPr>
            </w:pPr>
            <w:r>
              <w:rPr>
                <w:sz w:val="20"/>
              </w:rPr>
              <w:t>5.63</w:t>
            </w:r>
          </w:p>
        </w:tc>
        <w:tc>
          <w:tcPr>
            <w:tcW w:w="938" w:type="dxa"/>
            <w:tcBorders>
              <w:top w:val="nil"/>
              <w:left w:val="nil"/>
              <w:bottom w:val="nil"/>
              <w:right w:val="nil"/>
            </w:tcBorders>
          </w:tcPr>
          <w:p>
            <w:pPr>
              <w:pStyle w:val="TableParagraph"/>
              <w:ind w:right="67"/>
              <w:rPr>
                <w:sz w:val="20"/>
              </w:rPr>
            </w:pPr>
            <w:r>
              <w:rPr>
                <w:sz w:val="20"/>
              </w:rPr>
              <w:t>6.66</w:t>
            </w:r>
          </w:p>
        </w:tc>
        <w:tc>
          <w:tcPr>
            <w:tcW w:w="941" w:type="dxa"/>
            <w:tcBorders>
              <w:top w:val="nil"/>
              <w:left w:val="nil"/>
              <w:bottom w:val="nil"/>
              <w:right w:val="nil"/>
            </w:tcBorders>
          </w:tcPr>
          <w:p>
            <w:pPr>
              <w:pStyle w:val="TableParagraph"/>
              <w:ind w:right="67"/>
              <w:rPr>
                <w:sz w:val="20"/>
              </w:rPr>
            </w:pPr>
            <w:r>
              <w:rPr>
                <w:sz w:val="20"/>
              </w:rPr>
              <w:t>9.42</w:t>
            </w:r>
          </w:p>
        </w:tc>
        <w:tc>
          <w:tcPr>
            <w:tcW w:w="939" w:type="dxa"/>
            <w:tcBorders>
              <w:top w:val="nil"/>
              <w:left w:val="nil"/>
              <w:bottom w:val="nil"/>
              <w:right w:val="nil"/>
            </w:tcBorders>
          </w:tcPr>
          <w:p>
            <w:pPr>
              <w:pStyle w:val="TableParagraph"/>
              <w:ind w:right="65"/>
              <w:rPr>
                <w:sz w:val="20"/>
              </w:rPr>
            </w:pPr>
            <w:r>
              <w:rPr>
                <w:sz w:val="20"/>
              </w:rPr>
              <w:t>11.84</w:t>
            </w:r>
          </w:p>
        </w:tc>
        <w:tc>
          <w:tcPr>
            <w:tcW w:w="929" w:type="dxa"/>
            <w:tcBorders>
              <w:top w:val="nil"/>
              <w:left w:val="nil"/>
              <w:bottom w:val="nil"/>
              <w:right w:val="nil"/>
            </w:tcBorders>
          </w:tcPr>
          <w:p>
            <w:pPr>
              <w:pStyle w:val="TableParagraph"/>
              <w:ind w:right="67"/>
              <w:rPr>
                <w:sz w:val="20"/>
              </w:rPr>
            </w:pPr>
            <w:r>
              <w:rPr>
                <w:sz w:val="20"/>
              </w:rPr>
              <w:t>13.59</w:t>
            </w:r>
          </w:p>
        </w:tc>
        <w:tc>
          <w:tcPr>
            <w:tcW w:w="939" w:type="dxa"/>
            <w:tcBorders>
              <w:top w:val="nil"/>
              <w:left w:val="nil"/>
              <w:bottom w:val="nil"/>
              <w:right w:val="nil"/>
            </w:tcBorders>
          </w:tcPr>
          <w:p>
            <w:pPr>
              <w:pStyle w:val="TableParagraph"/>
              <w:ind w:right="65"/>
              <w:rPr>
                <w:sz w:val="20"/>
              </w:rPr>
            </w:pPr>
            <w:r>
              <w:rPr>
                <w:sz w:val="20"/>
              </w:rPr>
              <w:t>13.36</w:t>
            </w:r>
          </w:p>
        </w:tc>
        <w:tc>
          <w:tcPr>
            <w:tcW w:w="932" w:type="dxa"/>
            <w:tcBorders>
              <w:top w:val="nil"/>
              <w:left w:val="nil"/>
              <w:bottom w:val="nil"/>
              <w:right w:val="nil"/>
            </w:tcBorders>
          </w:tcPr>
          <w:p>
            <w:pPr>
              <w:pStyle w:val="TableParagraph"/>
              <w:ind w:right="70"/>
              <w:rPr>
                <w:sz w:val="20"/>
              </w:rPr>
            </w:pPr>
            <w:r>
              <w:rPr>
                <w:sz w:val="20"/>
              </w:rPr>
              <w:t>12.05</w:t>
            </w:r>
          </w:p>
        </w:tc>
        <w:tc>
          <w:tcPr>
            <w:tcW w:w="1042" w:type="dxa"/>
            <w:tcBorders>
              <w:top w:val="nil"/>
              <w:left w:val="nil"/>
              <w:bottom w:val="nil"/>
              <w:right w:val="nil"/>
            </w:tcBorders>
          </w:tcPr>
          <w:p>
            <w:pPr>
              <w:pStyle w:val="TableParagraph"/>
              <w:ind w:right="65"/>
              <w:rPr>
                <w:sz w:val="20"/>
              </w:rPr>
            </w:pPr>
            <w:r>
              <w:rPr>
                <w:sz w:val="20"/>
              </w:rPr>
              <w:t>8.73</w:t>
            </w:r>
          </w:p>
        </w:tc>
        <w:tc>
          <w:tcPr>
            <w:tcW w:w="1027" w:type="dxa"/>
            <w:tcBorders>
              <w:top w:val="nil"/>
              <w:left w:val="nil"/>
              <w:bottom w:val="nil"/>
              <w:right w:val="nil"/>
            </w:tcBorders>
          </w:tcPr>
          <w:p>
            <w:pPr>
              <w:pStyle w:val="TableParagraph"/>
              <w:ind w:right="65"/>
              <w:rPr>
                <w:sz w:val="20"/>
              </w:rPr>
            </w:pPr>
            <w:r>
              <w:rPr>
                <w:sz w:val="20"/>
              </w:rPr>
              <w:t>7.6</w:t>
            </w:r>
          </w:p>
        </w:tc>
        <w:tc>
          <w:tcPr>
            <w:tcW w:w="1023" w:type="dxa"/>
            <w:tcBorders>
              <w:top w:val="nil"/>
              <w:left w:val="nil"/>
              <w:bottom w:val="nil"/>
              <w:right w:val="nil"/>
            </w:tcBorders>
          </w:tcPr>
          <w:p>
            <w:pPr>
              <w:pStyle w:val="TableParagraph"/>
              <w:ind w:right="60"/>
              <w:rPr>
                <w:sz w:val="20"/>
              </w:rPr>
            </w:pPr>
            <w:r>
              <w:rPr>
                <w:sz w:val="20"/>
              </w:rPr>
              <w:t>5.57</w:t>
            </w:r>
          </w:p>
        </w:tc>
      </w:tr>
      <w:tr>
        <w:trPr>
          <w:trHeight w:val="300" w:hRule="exact"/>
        </w:trPr>
        <w:tc>
          <w:tcPr>
            <w:tcW w:w="1129" w:type="dxa"/>
            <w:tcBorders>
              <w:top w:val="nil"/>
              <w:left w:val="nil"/>
              <w:bottom w:val="nil"/>
              <w:right w:val="nil"/>
            </w:tcBorders>
          </w:tcPr>
          <w:p>
            <w:pPr>
              <w:pStyle w:val="TableParagraph"/>
              <w:spacing w:before="26"/>
              <w:ind w:left="72"/>
              <w:jc w:val="left"/>
              <w:rPr>
                <w:sz w:val="20"/>
              </w:rPr>
            </w:pPr>
            <w:r>
              <w:rPr>
                <w:w w:val="100"/>
                <w:sz w:val="20"/>
              </w:rPr>
              <w:t>4</w:t>
            </w:r>
          </w:p>
        </w:tc>
        <w:tc>
          <w:tcPr>
            <w:tcW w:w="1030" w:type="dxa"/>
            <w:tcBorders>
              <w:top w:val="nil"/>
              <w:left w:val="nil"/>
              <w:bottom w:val="nil"/>
              <w:right w:val="nil"/>
            </w:tcBorders>
          </w:tcPr>
          <w:p>
            <w:pPr>
              <w:pStyle w:val="TableParagraph"/>
              <w:spacing w:before="26"/>
              <w:ind w:left="71"/>
              <w:jc w:val="left"/>
              <w:rPr>
                <w:sz w:val="20"/>
              </w:rPr>
            </w:pPr>
            <w:r>
              <w:rPr>
                <w:sz w:val="20"/>
              </w:rPr>
              <w:t>15001</w:t>
            </w:r>
          </w:p>
        </w:tc>
        <w:tc>
          <w:tcPr>
            <w:tcW w:w="976" w:type="dxa"/>
            <w:tcBorders>
              <w:top w:val="nil"/>
              <w:left w:val="nil"/>
              <w:bottom w:val="nil"/>
              <w:right w:val="nil"/>
            </w:tcBorders>
          </w:tcPr>
          <w:p>
            <w:pPr>
              <w:pStyle w:val="TableParagraph"/>
              <w:spacing w:before="26"/>
              <w:ind w:right="65"/>
              <w:rPr>
                <w:sz w:val="20"/>
              </w:rPr>
            </w:pPr>
            <w:r>
              <w:rPr>
                <w:sz w:val="20"/>
              </w:rPr>
              <w:t>7.96</w:t>
            </w:r>
          </w:p>
        </w:tc>
        <w:tc>
          <w:tcPr>
            <w:tcW w:w="931" w:type="dxa"/>
            <w:tcBorders>
              <w:top w:val="nil"/>
              <w:left w:val="nil"/>
              <w:bottom w:val="nil"/>
              <w:right w:val="nil"/>
            </w:tcBorders>
          </w:tcPr>
          <w:p>
            <w:pPr>
              <w:pStyle w:val="TableParagraph"/>
              <w:spacing w:before="26"/>
              <w:ind w:right="70"/>
              <w:rPr>
                <w:sz w:val="20"/>
              </w:rPr>
            </w:pPr>
            <w:r>
              <w:rPr>
                <w:sz w:val="20"/>
              </w:rPr>
              <w:t>7.18</w:t>
            </w:r>
          </w:p>
        </w:tc>
        <w:tc>
          <w:tcPr>
            <w:tcW w:w="941" w:type="dxa"/>
            <w:tcBorders>
              <w:top w:val="nil"/>
              <w:left w:val="nil"/>
              <w:bottom w:val="nil"/>
              <w:right w:val="nil"/>
            </w:tcBorders>
          </w:tcPr>
          <w:p>
            <w:pPr>
              <w:pStyle w:val="TableParagraph"/>
              <w:spacing w:before="26"/>
              <w:ind w:right="65"/>
              <w:rPr>
                <w:sz w:val="20"/>
              </w:rPr>
            </w:pPr>
            <w:r>
              <w:rPr>
                <w:sz w:val="20"/>
              </w:rPr>
              <w:t>5.63</w:t>
            </w:r>
          </w:p>
        </w:tc>
        <w:tc>
          <w:tcPr>
            <w:tcW w:w="938" w:type="dxa"/>
            <w:tcBorders>
              <w:top w:val="nil"/>
              <w:left w:val="nil"/>
              <w:bottom w:val="nil"/>
              <w:right w:val="nil"/>
            </w:tcBorders>
          </w:tcPr>
          <w:p>
            <w:pPr>
              <w:pStyle w:val="TableParagraph"/>
              <w:spacing w:before="26"/>
              <w:ind w:right="67"/>
              <w:rPr>
                <w:sz w:val="20"/>
              </w:rPr>
            </w:pPr>
            <w:r>
              <w:rPr>
                <w:sz w:val="20"/>
              </w:rPr>
              <w:t>6.66</w:t>
            </w:r>
          </w:p>
        </w:tc>
        <w:tc>
          <w:tcPr>
            <w:tcW w:w="941" w:type="dxa"/>
            <w:tcBorders>
              <w:top w:val="nil"/>
              <w:left w:val="nil"/>
              <w:bottom w:val="nil"/>
              <w:right w:val="nil"/>
            </w:tcBorders>
          </w:tcPr>
          <w:p>
            <w:pPr>
              <w:pStyle w:val="TableParagraph"/>
              <w:spacing w:before="26"/>
              <w:ind w:right="67"/>
              <w:rPr>
                <w:sz w:val="20"/>
              </w:rPr>
            </w:pPr>
            <w:r>
              <w:rPr>
                <w:sz w:val="20"/>
              </w:rPr>
              <w:t>9.42</w:t>
            </w:r>
          </w:p>
        </w:tc>
        <w:tc>
          <w:tcPr>
            <w:tcW w:w="939" w:type="dxa"/>
            <w:tcBorders>
              <w:top w:val="nil"/>
              <w:left w:val="nil"/>
              <w:bottom w:val="nil"/>
              <w:right w:val="nil"/>
            </w:tcBorders>
          </w:tcPr>
          <w:p>
            <w:pPr>
              <w:pStyle w:val="TableParagraph"/>
              <w:spacing w:before="26"/>
              <w:ind w:right="65"/>
              <w:rPr>
                <w:sz w:val="20"/>
              </w:rPr>
            </w:pPr>
            <w:r>
              <w:rPr>
                <w:sz w:val="20"/>
              </w:rPr>
              <w:t>11.84</w:t>
            </w:r>
          </w:p>
        </w:tc>
        <w:tc>
          <w:tcPr>
            <w:tcW w:w="929" w:type="dxa"/>
            <w:tcBorders>
              <w:top w:val="nil"/>
              <w:left w:val="nil"/>
              <w:bottom w:val="nil"/>
              <w:right w:val="nil"/>
            </w:tcBorders>
          </w:tcPr>
          <w:p>
            <w:pPr>
              <w:pStyle w:val="TableParagraph"/>
              <w:spacing w:before="26"/>
              <w:ind w:right="67"/>
              <w:rPr>
                <w:sz w:val="20"/>
              </w:rPr>
            </w:pPr>
            <w:r>
              <w:rPr>
                <w:sz w:val="20"/>
              </w:rPr>
              <w:t>13.59</w:t>
            </w:r>
          </w:p>
        </w:tc>
        <w:tc>
          <w:tcPr>
            <w:tcW w:w="939" w:type="dxa"/>
            <w:tcBorders>
              <w:top w:val="nil"/>
              <w:left w:val="nil"/>
              <w:bottom w:val="nil"/>
              <w:right w:val="nil"/>
            </w:tcBorders>
          </w:tcPr>
          <w:p>
            <w:pPr>
              <w:pStyle w:val="TableParagraph"/>
              <w:spacing w:before="26"/>
              <w:ind w:right="65"/>
              <w:rPr>
                <w:sz w:val="20"/>
              </w:rPr>
            </w:pPr>
            <w:r>
              <w:rPr>
                <w:sz w:val="20"/>
              </w:rPr>
              <w:t>13.36</w:t>
            </w:r>
          </w:p>
        </w:tc>
        <w:tc>
          <w:tcPr>
            <w:tcW w:w="932" w:type="dxa"/>
            <w:tcBorders>
              <w:top w:val="nil"/>
              <w:left w:val="nil"/>
              <w:bottom w:val="nil"/>
              <w:right w:val="nil"/>
            </w:tcBorders>
          </w:tcPr>
          <w:p>
            <w:pPr>
              <w:pStyle w:val="TableParagraph"/>
              <w:spacing w:before="26"/>
              <w:ind w:right="70"/>
              <w:rPr>
                <w:sz w:val="20"/>
              </w:rPr>
            </w:pPr>
            <w:r>
              <w:rPr>
                <w:sz w:val="20"/>
              </w:rPr>
              <w:t>12.05</w:t>
            </w:r>
          </w:p>
        </w:tc>
        <w:tc>
          <w:tcPr>
            <w:tcW w:w="1042" w:type="dxa"/>
            <w:tcBorders>
              <w:top w:val="nil"/>
              <w:left w:val="nil"/>
              <w:bottom w:val="nil"/>
              <w:right w:val="nil"/>
            </w:tcBorders>
          </w:tcPr>
          <w:p>
            <w:pPr>
              <w:pStyle w:val="TableParagraph"/>
              <w:spacing w:before="26"/>
              <w:ind w:right="65"/>
              <w:rPr>
                <w:sz w:val="20"/>
              </w:rPr>
            </w:pPr>
            <w:r>
              <w:rPr>
                <w:sz w:val="20"/>
              </w:rPr>
              <w:t>8.73</w:t>
            </w:r>
          </w:p>
        </w:tc>
        <w:tc>
          <w:tcPr>
            <w:tcW w:w="1027" w:type="dxa"/>
            <w:tcBorders>
              <w:top w:val="nil"/>
              <w:left w:val="nil"/>
              <w:bottom w:val="nil"/>
              <w:right w:val="nil"/>
            </w:tcBorders>
          </w:tcPr>
          <w:p>
            <w:pPr>
              <w:pStyle w:val="TableParagraph"/>
              <w:spacing w:before="26"/>
              <w:ind w:right="65"/>
              <w:rPr>
                <w:sz w:val="20"/>
              </w:rPr>
            </w:pPr>
            <w:r>
              <w:rPr>
                <w:sz w:val="20"/>
              </w:rPr>
              <w:t>7.6</w:t>
            </w:r>
          </w:p>
        </w:tc>
        <w:tc>
          <w:tcPr>
            <w:tcW w:w="1023" w:type="dxa"/>
            <w:tcBorders>
              <w:top w:val="nil"/>
              <w:left w:val="nil"/>
              <w:bottom w:val="nil"/>
              <w:right w:val="nil"/>
            </w:tcBorders>
          </w:tcPr>
          <w:p>
            <w:pPr>
              <w:pStyle w:val="TableParagraph"/>
              <w:spacing w:before="26"/>
              <w:ind w:right="60"/>
              <w:rPr>
                <w:sz w:val="20"/>
              </w:rPr>
            </w:pPr>
            <w:r>
              <w:rPr>
                <w:sz w:val="20"/>
              </w:rPr>
              <w:t>5.57</w:t>
            </w:r>
          </w:p>
        </w:tc>
      </w:tr>
      <w:tr>
        <w:trPr>
          <w:trHeight w:val="300" w:hRule="exact"/>
        </w:trPr>
        <w:tc>
          <w:tcPr>
            <w:tcW w:w="1129" w:type="dxa"/>
            <w:tcBorders>
              <w:top w:val="nil"/>
              <w:left w:val="nil"/>
              <w:bottom w:val="nil"/>
              <w:right w:val="nil"/>
            </w:tcBorders>
          </w:tcPr>
          <w:p>
            <w:pPr>
              <w:pStyle w:val="TableParagraph"/>
              <w:ind w:left="72"/>
              <w:jc w:val="left"/>
              <w:rPr>
                <w:sz w:val="20"/>
              </w:rPr>
            </w:pPr>
            <w:r>
              <w:rPr>
                <w:w w:val="100"/>
                <w:sz w:val="20"/>
              </w:rPr>
              <w:t>5</w:t>
            </w:r>
          </w:p>
        </w:tc>
        <w:tc>
          <w:tcPr>
            <w:tcW w:w="1030" w:type="dxa"/>
            <w:tcBorders>
              <w:top w:val="nil"/>
              <w:left w:val="nil"/>
              <w:bottom w:val="nil"/>
              <w:right w:val="nil"/>
            </w:tcBorders>
          </w:tcPr>
          <w:p>
            <w:pPr>
              <w:pStyle w:val="TableParagraph"/>
              <w:ind w:left="71"/>
              <w:jc w:val="left"/>
              <w:rPr>
                <w:sz w:val="20"/>
              </w:rPr>
            </w:pPr>
            <w:r>
              <w:rPr>
                <w:sz w:val="20"/>
              </w:rPr>
              <w:t>15001</w:t>
            </w:r>
          </w:p>
        </w:tc>
        <w:tc>
          <w:tcPr>
            <w:tcW w:w="976" w:type="dxa"/>
            <w:tcBorders>
              <w:top w:val="nil"/>
              <w:left w:val="nil"/>
              <w:bottom w:val="nil"/>
              <w:right w:val="nil"/>
            </w:tcBorders>
          </w:tcPr>
          <w:p>
            <w:pPr>
              <w:pStyle w:val="TableParagraph"/>
              <w:ind w:right="65"/>
              <w:rPr>
                <w:sz w:val="20"/>
              </w:rPr>
            </w:pPr>
            <w:r>
              <w:rPr>
                <w:sz w:val="20"/>
              </w:rPr>
              <w:t>7.96</w:t>
            </w:r>
          </w:p>
        </w:tc>
        <w:tc>
          <w:tcPr>
            <w:tcW w:w="931" w:type="dxa"/>
            <w:tcBorders>
              <w:top w:val="nil"/>
              <w:left w:val="nil"/>
              <w:bottom w:val="nil"/>
              <w:right w:val="nil"/>
            </w:tcBorders>
          </w:tcPr>
          <w:p>
            <w:pPr>
              <w:pStyle w:val="TableParagraph"/>
              <w:ind w:right="70"/>
              <w:rPr>
                <w:sz w:val="20"/>
              </w:rPr>
            </w:pPr>
            <w:r>
              <w:rPr>
                <w:sz w:val="20"/>
              </w:rPr>
              <w:t>7.18</w:t>
            </w:r>
          </w:p>
        </w:tc>
        <w:tc>
          <w:tcPr>
            <w:tcW w:w="941" w:type="dxa"/>
            <w:tcBorders>
              <w:top w:val="nil"/>
              <w:left w:val="nil"/>
              <w:bottom w:val="nil"/>
              <w:right w:val="nil"/>
            </w:tcBorders>
          </w:tcPr>
          <w:p>
            <w:pPr>
              <w:pStyle w:val="TableParagraph"/>
              <w:ind w:right="65"/>
              <w:rPr>
                <w:sz w:val="20"/>
              </w:rPr>
            </w:pPr>
            <w:r>
              <w:rPr>
                <w:sz w:val="20"/>
              </w:rPr>
              <w:t>5.63</w:t>
            </w:r>
          </w:p>
        </w:tc>
        <w:tc>
          <w:tcPr>
            <w:tcW w:w="938" w:type="dxa"/>
            <w:tcBorders>
              <w:top w:val="nil"/>
              <w:left w:val="nil"/>
              <w:bottom w:val="nil"/>
              <w:right w:val="nil"/>
            </w:tcBorders>
          </w:tcPr>
          <w:p>
            <w:pPr>
              <w:pStyle w:val="TableParagraph"/>
              <w:ind w:right="67"/>
              <w:rPr>
                <w:sz w:val="20"/>
              </w:rPr>
            </w:pPr>
            <w:r>
              <w:rPr>
                <w:sz w:val="20"/>
              </w:rPr>
              <w:t>6.66</w:t>
            </w:r>
          </w:p>
        </w:tc>
        <w:tc>
          <w:tcPr>
            <w:tcW w:w="941" w:type="dxa"/>
            <w:tcBorders>
              <w:top w:val="nil"/>
              <w:left w:val="nil"/>
              <w:bottom w:val="nil"/>
              <w:right w:val="nil"/>
            </w:tcBorders>
          </w:tcPr>
          <w:p>
            <w:pPr>
              <w:pStyle w:val="TableParagraph"/>
              <w:ind w:right="67"/>
              <w:rPr>
                <w:sz w:val="20"/>
              </w:rPr>
            </w:pPr>
            <w:r>
              <w:rPr>
                <w:sz w:val="20"/>
              </w:rPr>
              <w:t>9.42</w:t>
            </w:r>
          </w:p>
        </w:tc>
        <w:tc>
          <w:tcPr>
            <w:tcW w:w="939" w:type="dxa"/>
            <w:tcBorders>
              <w:top w:val="nil"/>
              <w:left w:val="nil"/>
              <w:bottom w:val="nil"/>
              <w:right w:val="nil"/>
            </w:tcBorders>
          </w:tcPr>
          <w:p>
            <w:pPr>
              <w:pStyle w:val="TableParagraph"/>
              <w:ind w:right="65"/>
              <w:rPr>
                <w:sz w:val="20"/>
              </w:rPr>
            </w:pPr>
            <w:r>
              <w:rPr>
                <w:sz w:val="20"/>
              </w:rPr>
              <w:t>11.84</w:t>
            </w:r>
          </w:p>
        </w:tc>
        <w:tc>
          <w:tcPr>
            <w:tcW w:w="929" w:type="dxa"/>
            <w:tcBorders>
              <w:top w:val="nil"/>
              <w:left w:val="nil"/>
              <w:bottom w:val="nil"/>
              <w:right w:val="nil"/>
            </w:tcBorders>
          </w:tcPr>
          <w:p>
            <w:pPr>
              <w:pStyle w:val="TableParagraph"/>
              <w:ind w:right="67"/>
              <w:rPr>
                <w:sz w:val="20"/>
              </w:rPr>
            </w:pPr>
            <w:r>
              <w:rPr>
                <w:sz w:val="20"/>
              </w:rPr>
              <w:t>13.59</w:t>
            </w:r>
          </w:p>
        </w:tc>
        <w:tc>
          <w:tcPr>
            <w:tcW w:w="939" w:type="dxa"/>
            <w:tcBorders>
              <w:top w:val="nil"/>
              <w:left w:val="nil"/>
              <w:bottom w:val="nil"/>
              <w:right w:val="nil"/>
            </w:tcBorders>
          </w:tcPr>
          <w:p>
            <w:pPr>
              <w:pStyle w:val="TableParagraph"/>
              <w:ind w:right="65"/>
              <w:rPr>
                <w:sz w:val="20"/>
              </w:rPr>
            </w:pPr>
            <w:r>
              <w:rPr>
                <w:sz w:val="20"/>
              </w:rPr>
              <w:t>13.36</w:t>
            </w:r>
          </w:p>
        </w:tc>
        <w:tc>
          <w:tcPr>
            <w:tcW w:w="932" w:type="dxa"/>
            <w:tcBorders>
              <w:top w:val="nil"/>
              <w:left w:val="nil"/>
              <w:bottom w:val="nil"/>
              <w:right w:val="nil"/>
            </w:tcBorders>
          </w:tcPr>
          <w:p>
            <w:pPr>
              <w:pStyle w:val="TableParagraph"/>
              <w:ind w:right="70"/>
              <w:rPr>
                <w:sz w:val="20"/>
              </w:rPr>
            </w:pPr>
            <w:r>
              <w:rPr>
                <w:sz w:val="20"/>
              </w:rPr>
              <w:t>12.05</w:t>
            </w:r>
          </w:p>
        </w:tc>
        <w:tc>
          <w:tcPr>
            <w:tcW w:w="1042" w:type="dxa"/>
            <w:tcBorders>
              <w:top w:val="nil"/>
              <w:left w:val="nil"/>
              <w:bottom w:val="nil"/>
              <w:right w:val="nil"/>
            </w:tcBorders>
          </w:tcPr>
          <w:p>
            <w:pPr>
              <w:pStyle w:val="TableParagraph"/>
              <w:ind w:right="65"/>
              <w:rPr>
                <w:sz w:val="20"/>
              </w:rPr>
            </w:pPr>
            <w:r>
              <w:rPr>
                <w:sz w:val="20"/>
              </w:rPr>
              <w:t>8.73</w:t>
            </w:r>
          </w:p>
        </w:tc>
        <w:tc>
          <w:tcPr>
            <w:tcW w:w="1027" w:type="dxa"/>
            <w:tcBorders>
              <w:top w:val="nil"/>
              <w:left w:val="nil"/>
              <w:bottom w:val="nil"/>
              <w:right w:val="nil"/>
            </w:tcBorders>
          </w:tcPr>
          <w:p>
            <w:pPr>
              <w:pStyle w:val="TableParagraph"/>
              <w:ind w:right="65"/>
              <w:rPr>
                <w:sz w:val="20"/>
              </w:rPr>
            </w:pPr>
            <w:r>
              <w:rPr>
                <w:sz w:val="20"/>
              </w:rPr>
              <w:t>7.6</w:t>
            </w:r>
          </w:p>
        </w:tc>
        <w:tc>
          <w:tcPr>
            <w:tcW w:w="1023" w:type="dxa"/>
            <w:tcBorders>
              <w:top w:val="nil"/>
              <w:left w:val="nil"/>
              <w:bottom w:val="nil"/>
              <w:right w:val="nil"/>
            </w:tcBorders>
          </w:tcPr>
          <w:p>
            <w:pPr>
              <w:pStyle w:val="TableParagraph"/>
              <w:ind w:right="60"/>
              <w:rPr>
                <w:sz w:val="20"/>
              </w:rPr>
            </w:pPr>
            <w:r>
              <w:rPr>
                <w:sz w:val="20"/>
              </w:rPr>
              <w:t>5.57</w:t>
            </w:r>
          </w:p>
        </w:tc>
      </w:tr>
      <w:tr>
        <w:trPr>
          <w:trHeight w:val="300" w:hRule="exact"/>
        </w:trPr>
        <w:tc>
          <w:tcPr>
            <w:tcW w:w="1129" w:type="dxa"/>
            <w:tcBorders>
              <w:top w:val="nil"/>
              <w:left w:val="nil"/>
              <w:bottom w:val="nil"/>
              <w:right w:val="nil"/>
            </w:tcBorders>
          </w:tcPr>
          <w:p>
            <w:pPr>
              <w:pStyle w:val="TableParagraph"/>
              <w:spacing w:before="26"/>
              <w:ind w:left="72"/>
              <w:jc w:val="left"/>
              <w:rPr>
                <w:sz w:val="20"/>
              </w:rPr>
            </w:pPr>
            <w:r>
              <w:rPr>
                <w:w w:val="100"/>
                <w:sz w:val="20"/>
              </w:rPr>
              <w:t>6</w:t>
            </w:r>
          </w:p>
        </w:tc>
        <w:tc>
          <w:tcPr>
            <w:tcW w:w="1030" w:type="dxa"/>
            <w:tcBorders>
              <w:top w:val="nil"/>
              <w:left w:val="nil"/>
              <w:bottom w:val="nil"/>
              <w:right w:val="nil"/>
            </w:tcBorders>
          </w:tcPr>
          <w:p>
            <w:pPr>
              <w:pStyle w:val="TableParagraph"/>
              <w:spacing w:before="26"/>
              <w:ind w:left="71"/>
              <w:jc w:val="left"/>
              <w:rPr>
                <w:sz w:val="20"/>
              </w:rPr>
            </w:pPr>
            <w:r>
              <w:rPr>
                <w:sz w:val="20"/>
              </w:rPr>
              <w:t>15001</w:t>
            </w:r>
          </w:p>
        </w:tc>
        <w:tc>
          <w:tcPr>
            <w:tcW w:w="976" w:type="dxa"/>
            <w:tcBorders>
              <w:top w:val="nil"/>
              <w:left w:val="nil"/>
              <w:bottom w:val="nil"/>
              <w:right w:val="nil"/>
            </w:tcBorders>
          </w:tcPr>
          <w:p>
            <w:pPr>
              <w:pStyle w:val="TableParagraph"/>
              <w:spacing w:before="26"/>
              <w:ind w:right="65"/>
              <w:rPr>
                <w:sz w:val="20"/>
              </w:rPr>
            </w:pPr>
            <w:r>
              <w:rPr>
                <w:sz w:val="20"/>
              </w:rPr>
              <w:t>7.96</w:t>
            </w:r>
          </w:p>
        </w:tc>
        <w:tc>
          <w:tcPr>
            <w:tcW w:w="931" w:type="dxa"/>
            <w:tcBorders>
              <w:top w:val="nil"/>
              <w:left w:val="nil"/>
              <w:bottom w:val="nil"/>
              <w:right w:val="nil"/>
            </w:tcBorders>
          </w:tcPr>
          <w:p>
            <w:pPr>
              <w:pStyle w:val="TableParagraph"/>
              <w:spacing w:before="26"/>
              <w:ind w:right="70"/>
              <w:rPr>
                <w:sz w:val="20"/>
              </w:rPr>
            </w:pPr>
            <w:r>
              <w:rPr>
                <w:sz w:val="20"/>
              </w:rPr>
              <w:t>7.18</w:t>
            </w:r>
          </w:p>
        </w:tc>
        <w:tc>
          <w:tcPr>
            <w:tcW w:w="941" w:type="dxa"/>
            <w:tcBorders>
              <w:top w:val="nil"/>
              <w:left w:val="nil"/>
              <w:bottom w:val="nil"/>
              <w:right w:val="nil"/>
            </w:tcBorders>
          </w:tcPr>
          <w:p>
            <w:pPr>
              <w:pStyle w:val="TableParagraph"/>
              <w:spacing w:before="26"/>
              <w:ind w:right="65"/>
              <w:rPr>
                <w:sz w:val="20"/>
              </w:rPr>
            </w:pPr>
            <w:r>
              <w:rPr>
                <w:sz w:val="20"/>
              </w:rPr>
              <w:t>5.63</w:t>
            </w:r>
          </w:p>
        </w:tc>
        <w:tc>
          <w:tcPr>
            <w:tcW w:w="938" w:type="dxa"/>
            <w:tcBorders>
              <w:top w:val="nil"/>
              <w:left w:val="nil"/>
              <w:bottom w:val="nil"/>
              <w:right w:val="nil"/>
            </w:tcBorders>
          </w:tcPr>
          <w:p>
            <w:pPr>
              <w:pStyle w:val="TableParagraph"/>
              <w:spacing w:before="26"/>
              <w:ind w:right="67"/>
              <w:rPr>
                <w:sz w:val="20"/>
              </w:rPr>
            </w:pPr>
            <w:r>
              <w:rPr>
                <w:sz w:val="20"/>
              </w:rPr>
              <w:t>6.66</w:t>
            </w:r>
          </w:p>
        </w:tc>
        <w:tc>
          <w:tcPr>
            <w:tcW w:w="941" w:type="dxa"/>
            <w:tcBorders>
              <w:top w:val="nil"/>
              <w:left w:val="nil"/>
              <w:bottom w:val="nil"/>
              <w:right w:val="nil"/>
            </w:tcBorders>
          </w:tcPr>
          <w:p>
            <w:pPr>
              <w:pStyle w:val="TableParagraph"/>
              <w:spacing w:before="26"/>
              <w:ind w:right="67"/>
              <w:rPr>
                <w:sz w:val="20"/>
              </w:rPr>
            </w:pPr>
            <w:r>
              <w:rPr>
                <w:sz w:val="20"/>
              </w:rPr>
              <w:t>9.42</w:t>
            </w:r>
          </w:p>
        </w:tc>
        <w:tc>
          <w:tcPr>
            <w:tcW w:w="939" w:type="dxa"/>
            <w:tcBorders>
              <w:top w:val="nil"/>
              <w:left w:val="nil"/>
              <w:bottom w:val="nil"/>
              <w:right w:val="nil"/>
            </w:tcBorders>
          </w:tcPr>
          <w:p>
            <w:pPr>
              <w:pStyle w:val="TableParagraph"/>
              <w:spacing w:before="26"/>
              <w:ind w:right="65"/>
              <w:rPr>
                <w:sz w:val="20"/>
              </w:rPr>
            </w:pPr>
            <w:r>
              <w:rPr>
                <w:sz w:val="20"/>
              </w:rPr>
              <w:t>11.84</w:t>
            </w:r>
          </w:p>
        </w:tc>
        <w:tc>
          <w:tcPr>
            <w:tcW w:w="929" w:type="dxa"/>
            <w:tcBorders>
              <w:top w:val="nil"/>
              <w:left w:val="nil"/>
              <w:bottom w:val="nil"/>
              <w:right w:val="nil"/>
            </w:tcBorders>
          </w:tcPr>
          <w:p>
            <w:pPr>
              <w:pStyle w:val="TableParagraph"/>
              <w:spacing w:before="26"/>
              <w:ind w:right="67"/>
              <w:rPr>
                <w:sz w:val="20"/>
              </w:rPr>
            </w:pPr>
            <w:r>
              <w:rPr>
                <w:sz w:val="20"/>
              </w:rPr>
              <w:t>13.59</w:t>
            </w:r>
          </w:p>
        </w:tc>
        <w:tc>
          <w:tcPr>
            <w:tcW w:w="939" w:type="dxa"/>
            <w:tcBorders>
              <w:top w:val="nil"/>
              <w:left w:val="nil"/>
              <w:bottom w:val="nil"/>
              <w:right w:val="nil"/>
            </w:tcBorders>
          </w:tcPr>
          <w:p>
            <w:pPr>
              <w:pStyle w:val="TableParagraph"/>
              <w:spacing w:before="26"/>
              <w:ind w:right="65"/>
              <w:rPr>
                <w:sz w:val="20"/>
              </w:rPr>
            </w:pPr>
            <w:r>
              <w:rPr>
                <w:sz w:val="20"/>
              </w:rPr>
              <w:t>13.36</w:t>
            </w:r>
          </w:p>
        </w:tc>
        <w:tc>
          <w:tcPr>
            <w:tcW w:w="932" w:type="dxa"/>
            <w:tcBorders>
              <w:top w:val="nil"/>
              <w:left w:val="nil"/>
              <w:bottom w:val="nil"/>
              <w:right w:val="nil"/>
            </w:tcBorders>
          </w:tcPr>
          <w:p>
            <w:pPr>
              <w:pStyle w:val="TableParagraph"/>
              <w:spacing w:before="26"/>
              <w:ind w:right="70"/>
              <w:rPr>
                <w:sz w:val="20"/>
              </w:rPr>
            </w:pPr>
            <w:r>
              <w:rPr>
                <w:sz w:val="20"/>
              </w:rPr>
              <w:t>12.05</w:t>
            </w:r>
          </w:p>
        </w:tc>
        <w:tc>
          <w:tcPr>
            <w:tcW w:w="1042" w:type="dxa"/>
            <w:tcBorders>
              <w:top w:val="nil"/>
              <w:left w:val="nil"/>
              <w:bottom w:val="nil"/>
              <w:right w:val="nil"/>
            </w:tcBorders>
          </w:tcPr>
          <w:p>
            <w:pPr>
              <w:pStyle w:val="TableParagraph"/>
              <w:spacing w:before="26"/>
              <w:ind w:right="65"/>
              <w:rPr>
                <w:sz w:val="20"/>
              </w:rPr>
            </w:pPr>
            <w:r>
              <w:rPr>
                <w:sz w:val="20"/>
              </w:rPr>
              <w:t>8.73</w:t>
            </w:r>
          </w:p>
        </w:tc>
        <w:tc>
          <w:tcPr>
            <w:tcW w:w="1027" w:type="dxa"/>
            <w:tcBorders>
              <w:top w:val="nil"/>
              <w:left w:val="nil"/>
              <w:bottom w:val="nil"/>
              <w:right w:val="nil"/>
            </w:tcBorders>
          </w:tcPr>
          <w:p>
            <w:pPr>
              <w:pStyle w:val="TableParagraph"/>
              <w:spacing w:before="26"/>
              <w:ind w:right="65"/>
              <w:rPr>
                <w:sz w:val="20"/>
              </w:rPr>
            </w:pPr>
            <w:r>
              <w:rPr>
                <w:sz w:val="20"/>
              </w:rPr>
              <w:t>7.6</w:t>
            </w:r>
          </w:p>
        </w:tc>
        <w:tc>
          <w:tcPr>
            <w:tcW w:w="1023" w:type="dxa"/>
            <w:tcBorders>
              <w:top w:val="nil"/>
              <w:left w:val="nil"/>
              <w:bottom w:val="nil"/>
              <w:right w:val="nil"/>
            </w:tcBorders>
          </w:tcPr>
          <w:p>
            <w:pPr>
              <w:pStyle w:val="TableParagraph"/>
              <w:spacing w:before="26"/>
              <w:ind w:right="60"/>
              <w:rPr>
                <w:sz w:val="20"/>
              </w:rPr>
            </w:pPr>
            <w:r>
              <w:rPr>
                <w:sz w:val="20"/>
              </w:rPr>
              <w:t>5.57</w:t>
            </w:r>
          </w:p>
        </w:tc>
      </w:tr>
      <w:tr>
        <w:trPr>
          <w:trHeight w:val="300" w:hRule="exact"/>
        </w:trPr>
        <w:tc>
          <w:tcPr>
            <w:tcW w:w="1129" w:type="dxa"/>
            <w:tcBorders>
              <w:top w:val="nil"/>
              <w:left w:val="nil"/>
              <w:bottom w:val="nil"/>
              <w:right w:val="nil"/>
            </w:tcBorders>
          </w:tcPr>
          <w:p>
            <w:pPr>
              <w:pStyle w:val="TableParagraph"/>
              <w:spacing w:before="24"/>
              <w:ind w:left="72"/>
              <w:jc w:val="left"/>
              <w:rPr>
                <w:sz w:val="20"/>
              </w:rPr>
            </w:pPr>
            <w:r>
              <w:rPr>
                <w:w w:val="100"/>
                <w:sz w:val="20"/>
              </w:rPr>
              <w:t>7</w:t>
            </w:r>
          </w:p>
        </w:tc>
        <w:tc>
          <w:tcPr>
            <w:tcW w:w="1030" w:type="dxa"/>
            <w:tcBorders>
              <w:top w:val="nil"/>
              <w:left w:val="nil"/>
              <w:bottom w:val="nil"/>
              <w:right w:val="nil"/>
            </w:tcBorders>
          </w:tcPr>
          <w:p>
            <w:pPr>
              <w:pStyle w:val="TableParagraph"/>
              <w:spacing w:before="24"/>
              <w:ind w:left="71"/>
              <w:jc w:val="left"/>
              <w:rPr>
                <w:sz w:val="20"/>
              </w:rPr>
            </w:pPr>
            <w:r>
              <w:rPr>
                <w:sz w:val="20"/>
              </w:rPr>
              <w:t>15001</w:t>
            </w:r>
          </w:p>
        </w:tc>
        <w:tc>
          <w:tcPr>
            <w:tcW w:w="976" w:type="dxa"/>
            <w:tcBorders>
              <w:top w:val="nil"/>
              <w:left w:val="nil"/>
              <w:bottom w:val="nil"/>
              <w:right w:val="nil"/>
            </w:tcBorders>
          </w:tcPr>
          <w:p>
            <w:pPr>
              <w:pStyle w:val="TableParagraph"/>
              <w:spacing w:before="24"/>
              <w:ind w:right="65"/>
              <w:rPr>
                <w:sz w:val="20"/>
              </w:rPr>
            </w:pPr>
            <w:r>
              <w:rPr>
                <w:sz w:val="20"/>
              </w:rPr>
              <w:t>7.96</w:t>
            </w:r>
          </w:p>
        </w:tc>
        <w:tc>
          <w:tcPr>
            <w:tcW w:w="931" w:type="dxa"/>
            <w:tcBorders>
              <w:top w:val="nil"/>
              <w:left w:val="nil"/>
              <w:bottom w:val="nil"/>
              <w:right w:val="nil"/>
            </w:tcBorders>
          </w:tcPr>
          <w:p>
            <w:pPr>
              <w:pStyle w:val="TableParagraph"/>
              <w:spacing w:before="24"/>
              <w:ind w:right="70"/>
              <w:rPr>
                <w:sz w:val="20"/>
              </w:rPr>
            </w:pPr>
            <w:r>
              <w:rPr>
                <w:sz w:val="20"/>
              </w:rPr>
              <w:t>7.18</w:t>
            </w:r>
          </w:p>
        </w:tc>
        <w:tc>
          <w:tcPr>
            <w:tcW w:w="941" w:type="dxa"/>
            <w:tcBorders>
              <w:top w:val="nil"/>
              <w:left w:val="nil"/>
              <w:bottom w:val="nil"/>
              <w:right w:val="nil"/>
            </w:tcBorders>
          </w:tcPr>
          <w:p>
            <w:pPr>
              <w:pStyle w:val="TableParagraph"/>
              <w:spacing w:before="24"/>
              <w:ind w:right="65"/>
              <w:rPr>
                <w:sz w:val="20"/>
              </w:rPr>
            </w:pPr>
            <w:r>
              <w:rPr>
                <w:sz w:val="20"/>
              </w:rPr>
              <w:t>5.63</w:t>
            </w:r>
          </w:p>
        </w:tc>
        <w:tc>
          <w:tcPr>
            <w:tcW w:w="938" w:type="dxa"/>
            <w:tcBorders>
              <w:top w:val="nil"/>
              <w:left w:val="nil"/>
              <w:bottom w:val="nil"/>
              <w:right w:val="nil"/>
            </w:tcBorders>
          </w:tcPr>
          <w:p>
            <w:pPr>
              <w:pStyle w:val="TableParagraph"/>
              <w:spacing w:before="24"/>
              <w:ind w:right="67"/>
              <w:rPr>
                <w:sz w:val="20"/>
              </w:rPr>
            </w:pPr>
            <w:r>
              <w:rPr>
                <w:sz w:val="20"/>
              </w:rPr>
              <w:t>6.66</w:t>
            </w:r>
          </w:p>
        </w:tc>
        <w:tc>
          <w:tcPr>
            <w:tcW w:w="941" w:type="dxa"/>
            <w:tcBorders>
              <w:top w:val="nil"/>
              <w:left w:val="nil"/>
              <w:bottom w:val="nil"/>
              <w:right w:val="nil"/>
            </w:tcBorders>
          </w:tcPr>
          <w:p>
            <w:pPr>
              <w:pStyle w:val="TableParagraph"/>
              <w:spacing w:before="24"/>
              <w:ind w:right="67"/>
              <w:rPr>
                <w:sz w:val="20"/>
              </w:rPr>
            </w:pPr>
            <w:r>
              <w:rPr>
                <w:sz w:val="20"/>
              </w:rPr>
              <w:t>9.42</w:t>
            </w:r>
          </w:p>
        </w:tc>
        <w:tc>
          <w:tcPr>
            <w:tcW w:w="939" w:type="dxa"/>
            <w:tcBorders>
              <w:top w:val="nil"/>
              <w:left w:val="nil"/>
              <w:bottom w:val="nil"/>
              <w:right w:val="nil"/>
            </w:tcBorders>
          </w:tcPr>
          <w:p>
            <w:pPr>
              <w:pStyle w:val="TableParagraph"/>
              <w:spacing w:before="24"/>
              <w:ind w:right="65"/>
              <w:rPr>
                <w:sz w:val="20"/>
              </w:rPr>
            </w:pPr>
            <w:r>
              <w:rPr>
                <w:sz w:val="20"/>
              </w:rPr>
              <w:t>11.84</w:t>
            </w:r>
          </w:p>
        </w:tc>
        <w:tc>
          <w:tcPr>
            <w:tcW w:w="929" w:type="dxa"/>
            <w:tcBorders>
              <w:top w:val="nil"/>
              <w:left w:val="nil"/>
              <w:bottom w:val="nil"/>
              <w:right w:val="nil"/>
            </w:tcBorders>
          </w:tcPr>
          <w:p>
            <w:pPr>
              <w:pStyle w:val="TableParagraph"/>
              <w:spacing w:before="24"/>
              <w:ind w:right="67"/>
              <w:rPr>
                <w:sz w:val="20"/>
              </w:rPr>
            </w:pPr>
            <w:r>
              <w:rPr>
                <w:sz w:val="20"/>
              </w:rPr>
              <w:t>13.59</w:t>
            </w:r>
          </w:p>
        </w:tc>
        <w:tc>
          <w:tcPr>
            <w:tcW w:w="939" w:type="dxa"/>
            <w:tcBorders>
              <w:top w:val="nil"/>
              <w:left w:val="nil"/>
              <w:bottom w:val="nil"/>
              <w:right w:val="nil"/>
            </w:tcBorders>
          </w:tcPr>
          <w:p>
            <w:pPr>
              <w:pStyle w:val="TableParagraph"/>
              <w:spacing w:before="24"/>
              <w:ind w:right="65"/>
              <w:rPr>
                <w:sz w:val="20"/>
              </w:rPr>
            </w:pPr>
            <w:r>
              <w:rPr>
                <w:sz w:val="20"/>
              </w:rPr>
              <w:t>13.36</w:t>
            </w:r>
          </w:p>
        </w:tc>
        <w:tc>
          <w:tcPr>
            <w:tcW w:w="932" w:type="dxa"/>
            <w:tcBorders>
              <w:top w:val="nil"/>
              <w:left w:val="nil"/>
              <w:bottom w:val="nil"/>
              <w:right w:val="nil"/>
            </w:tcBorders>
          </w:tcPr>
          <w:p>
            <w:pPr>
              <w:pStyle w:val="TableParagraph"/>
              <w:spacing w:before="24"/>
              <w:ind w:right="70"/>
              <w:rPr>
                <w:sz w:val="20"/>
              </w:rPr>
            </w:pPr>
            <w:r>
              <w:rPr>
                <w:sz w:val="20"/>
              </w:rPr>
              <w:t>12.05</w:t>
            </w:r>
          </w:p>
        </w:tc>
        <w:tc>
          <w:tcPr>
            <w:tcW w:w="1042" w:type="dxa"/>
            <w:tcBorders>
              <w:top w:val="nil"/>
              <w:left w:val="nil"/>
              <w:bottom w:val="nil"/>
              <w:right w:val="nil"/>
            </w:tcBorders>
          </w:tcPr>
          <w:p>
            <w:pPr>
              <w:pStyle w:val="TableParagraph"/>
              <w:spacing w:before="24"/>
              <w:ind w:right="65"/>
              <w:rPr>
                <w:sz w:val="20"/>
              </w:rPr>
            </w:pPr>
            <w:r>
              <w:rPr>
                <w:sz w:val="20"/>
              </w:rPr>
              <w:t>8.73</w:t>
            </w:r>
          </w:p>
        </w:tc>
        <w:tc>
          <w:tcPr>
            <w:tcW w:w="1027" w:type="dxa"/>
            <w:tcBorders>
              <w:top w:val="nil"/>
              <w:left w:val="nil"/>
              <w:bottom w:val="nil"/>
              <w:right w:val="nil"/>
            </w:tcBorders>
          </w:tcPr>
          <w:p>
            <w:pPr>
              <w:pStyle w:val="TableParagraph"/>
              <w:spacing w:before="24"/>
              <w:ind w:right="65"/>
              <w:rPr>
                <w:sz w:val="20"/>
              </w:rPr>
            </w:pPr>
            <w:r>
              <w:rPr>
                <w:sz w:val="20"/>
              </w:rPr>
              <w:t>7.6</w:t>
            </w:r>
          </w:p>
        </w:tc>
        <w:tc>
          <w:tcPr>
            <w:tcW w:w="1023" w:type="dxa"/>
            <w:tcBorders>
              <w:top w:val="nil"/>
              <w:left w:val="nil"/>
              <w:bottom w:val="nil"/>
              <w:right w:val="nil"/>
            </w:tcBorders>
          </w:tcPr>
          <w:p>
            <w:pPr>
              <w:pStyle w:val="TableParagraph"/>
              <w:spacing w:before="24"/>
              <w:ind w:right="60"/>
              <w:rPr>
                <w:sz w:val="20"/>
              </w:rPr>
            </w:pPr>
            <w:r>
              <w:rPr>
                <w:sz w:val="20"/>
              </w:rPr>
              <w:t>5.57</w:t>
            </w:r>
          </w:p>
        </w:tc>
      </w:tr>
      <w:tr>
        <w:trPr>
          <w:trHeight w:val="300" w:hRule="exact"/>
        </w:trPr>
        <w:tc>
          <w:tcPr>
            <w:tcW w:w="1129" w:type="dxa"/>
            <w:tcBorders>
              <w:top w:val="nil"/>
              <w:left w:val="nil"/>
              <w:bottom w:val="nil"/>
              <w:right w:val="nil"/>
            </w:tcBorders>
          </w:tcPr>
          <w:p>
            <w:pPr>
              <w:pStyle w:val="TableParagraph"/>
              <w:spacing w:before="26"/>
              <w:ind w:left="72"/>
              <w:jc w:val="left"/>
              <w:rPr>
                <w:sz w:val="20"/>
              </w:rPr>
            </w:pPr>
            <w:r>
              <w:rPr>
                <w:w w:val="100"/>
                <w:sz w:val="20"/>
              </w:rPr>
              <w:t>8</w:t>
            </w:r>
          </w:p>
        </w:tc>
        <w:tc>
          <w:tcPr>
            <w:tcW w:w="1030" w:type="dxa"/>
            <w:tcBorders>
              <w:top w:val="nil"/>
              <w:left w:val="nil"/>
              <w:bottom w:val="nil"/>
              <w:right w:val="nil"/>
            </w:tcBorders>
          </w:tcPr>
          <w:p>
            <w:pPr>
              <w:pStyle w:val="TableParagraph"/>
              <w:spacing w:before="26"/>
              <w:ind w:left="71"/>
              <w:jc w:val="left"/>
              <w:rPr>
                <w:sz w:val="20"/>
              </w:rPr>
            </w:pPr>
            <w:r>
              <w:rPr>
                <w:sz w:val="20"/>
              </w:rPr>
              <w:t>15001</w:t>
            </w:r>
          </w:p>
        </w:tc>
        <w:tc>
          <w:tcPr>
            <w:tcW w:w="976" w:type="dxa"/>
            <w:tcBorders>
              <w:top w:val="nil"/>
              <w:left w:val="nil"/>
              <w:bottom w:val="nil"/>
              <w:right w:val="nil"/>
            </w:tcBorders>
          </w:tcPr>
          <w:p>
            <w:pPr>
              <w:pStyle w:val="TableParagraph"/>
              <w:spacing w:before="26"/>
              <w:ind w:right="65"/>
              <w:rPr>
                <w:sz w:val="20"/>
              </w:rPr>
            </w:pPr>
            <w:r>
              <w:rPr>
                <w:sz w:val="20"/>
              </w:rPr>
              <w:t>7.96</w:t>
            </w:r>
          </w:p>
        </w:tc>
        <w:tc>
          <w:tcPr>
            <w:tcW w:w="931" w:type="dxa"/>
            <w:tcBorders>
              <w:top w:val="nil"/>
              <w:left w:val="nil"/>
              <w:bottom w:val="nil"/>
              <w:right w:val="nil"/>
            </w:tcBorders>
          </w:tcPr>
          <w:p>
            <w:pPr>
              <w:pStyle w:val="TableParagraph"/>
              <w:spacing w:before="26"/>
              <w:ind w:right="70"/>
              <w:rPr>
                <w:sz w:val="20"/>
              </w:rPr>
            </w:pPr>
            <w:r>
              <w:rPr>
                <w:sz w:val="20"/>
              </w:rPr>
              <w:t>7.18</w:t>
            </w:r>
          </w:p>
        </w:tc>
        <w:tc>
          <w:tcPr>
            <w:tcW w:w="941" w:type="dxa"/>
            <w:tcBorders>
              <w:top w:val="nil"/>
              <w:left w:val="nil"/>
              <w:bottom w:val="nil"/>
              <w:right w:val="nil"/>
            </w:tcBorders>
          </w:tcPr>
          <w:p>
            <w:pPr>
              <w:pStyle w:val="TableParagraph"/>
              <w:spacing w:before="26"/>
              <w:ind w:right="65"/>
              <w:rPr>
                <w:sz w:val="20"/>
              </w:rPr>
            </w:pPr>
            <w:r>
              <w:rPr>
                <w:sz w:val="20"/>
              </w:rPr>
              <w:t>5.63</w:t>
            </w:r>
          </w:p>
        </w:tc>
        <w:tc>
          <w:tcPr>
            <w:tcW w:w="938" w:type="dxa"/>
            <w:tcBorders>
              <w:top w:val="nil"/>
              <w:left w:val="nil"/>
              <w:bottom w:val="nil"/>
              <w:right w:val="nil"/>
            </w:tcBorders>
          </w:tcPr>
          <w:p>
            <w:pPr>
              <w:pStyle w:val="TableParagraph"/>
              <w:spacing w:before="26"/>
              <w:ind w:right="67"/>
              <w:rPr>
                <w:sz w:val="20"/>
              </w:rPr>
            </w:pPr>
            <w:r>
              <w:rPr>
                <w:sz w:val="20"/>
              </w:rPr>
              <w:t>6.66</w:t>
            </w:r>
          </w:p>
        </w:tc>
        <w:tc>
          <w:tcPr>
            <w:tcW w:w="941" w:type="dxa"/>
            <w:tcBorders>
              <w:top w:val="nil"/>
              <w:left w:val="nil"/>
              <w:bottom w:val="nil"/>
              <w:right w:val="nil"/>
            </w:tcBorders>
          </w:tcPr>
          <w:p>
            <w:pPr>
              <w:pStyle w:val="TableParagraph"/>
              <w:spacing w:before="26"/>
              <w:ind w:right="67"/>
              <w:rPr>
                <w:sz w:val="20"/>
              </w:rPr>
            </w:pPr>
            <w:r>
              <w:rPr>
                <w:sz w:val="20"/>
              </w:rPr>
              <w:t>9.42</w:t>
            </w:r>
          </w:p>
        </w:tc>
        <w:tc>
          <w:tcPr>
            <w:tcW w:w="939" w:type="dxa"/>
            <w:tcBorders>
              <w:top w:val="nil"/>
              <w:left w:val="nil"/>
              <w:bottom w:val="nil"/>
              <w:right w:val="nil"/>
            </w:tcBorders>
          </w:tcPr>
          <w:p>
            <w:pPr>
              <w:pStyle w:val="TableParagraph"/>
              <w:spacing w:before="26"/>
              <w:ind w:right="65"/>
              <w:rPr>
                <w:sz w:val="20"/>
              </w:rPr>
            </w:pPr>
            <w:r>
              <w:rPr>
                <w:sz w:val="20"/>
              </w:rPr>
              <w:t>11.84</w:t>
            </w:r>
          </w:p>
        </w:tc>
        <w:tc>
          <w:tcPr>
            <w:tcW w:w="929" w:type="dxa"/>
            <w:tcBorders>
              <w:top w:val="nil"/>
              <w:left w:val="nil"/>
              <w:bottom w:val="nil"/>
              <w:right w:val="nil"/>
            </w:tcBorders>
          </w:tcPr>
          <w:p>
            <w:pPr>
              <w:pStyle w:val="TableParagraph"/>
              <w:spacing w:before="26"/>
              <w:ind w:right="67"/>
              <w:rPr>
                <w:sz w:val="20"/>
              </w:rPr>
            </w:pPr>
            <w:r>
              <w:rPr>
                <w:sz w:val="20"/>
              </w:rPr>
              <w:t>13.59</w:t>
            </w:r>
          </w:p>
        </w:tc>
        <w:tc>
          <w:tcPr>
            <w:tcW w:w="939" w:type="dxa"/>
            <w:tcBorders>
              <w:top w:val="nil"/>
              <w:left w:val="nil"/>
              <w:bottom w:val="nil"/>
              <w:right w:val="nil"/>
            </w:tcBorders>
          </w:tcPr>
          <w:p>
            <w:pPr>
              <w:pStyle w:val="TableParagraph"/>
              <w:spacing w:before="26"/>
              <w:ind w:right="65"/>
              <w:rPr>
                <w:sz w:val="20"/>
              </w:rPr>
            </w:pPr>
            <w:r>
              <w:rPr>
                <w:sz w:val="20"/>
              </w:rPr>
              <w:t>13.36</w:t>
            </w:r>
          </w:p>
        </w:tc>
        <w:tc>
          <w:tcPr>
            <w:tcW w:w="932" w:type="dxa"/>
            <w:tcBorders>
              <w:top w:val="nil"/>
              <w:left w:val="nil"/>
              <w:bottom w:val="nil"/>
              <w:right w:val="nil"/>
            </w:tcBorders>
          </w:tcPr>
          <w:p>
            <w:pPr>
              <w:pStyle w:val="TableParagraph"/>
              <w:spacing w:before="26"/>
              <w:ind w:right="70"/>
              <w:rPr>
                <w:sz w:val="20"/>
              </w:rPr>
            </w:pPr>
            <w:r>
              <w:rPr>
                <w:sz w:val="20"/>
              </w:rPr>
              <w:t>12.05</w:t>
            </w:r>
          </w:p>
        </w:tc>
        <w:tc>
          <w:tcPr>
            <w:tcW w:w="1042" w:type="dxa"/>
            <w:tcBorders>
              <w:top w:val="nil"/>
              <w:left w:val="nil"/>
              <w:bottom w:val="nil"/>
              <w:right w:val="nil"/>
            </w:tcBorders>
          </w:tcPr>
          <w:p>
            <w:pPr>
              <w:pStyle w:val="TableParagraph"/>
              <w:spacing w:before="26"/>
              <w:ind w:right="65"/>
              <w:rPr>
                <w:sz w:val="20"/>
              </w:rPr>
            </w:pPr>
            <w:r>
              <w:rPr>
                <w:sz w:val="20"/>
              </w:rPr>
              <w:t>8.73</w:t>
            </w:r>
          </w:p>
        </w:tc>
        <w:tc>
          <w:tcPr>
            <w:tcW w:w="1027" w:type="dxa"/>
            <w:tcBorders>
              <w:top w:val="nil"/>
              <w:left w:val="nil"/>
              <w:bottom w:val="nil"/>
              <w:right w:val="nil"/>
            </w:tcBorders>
          </w:tcPr>
          <w:p>
            <w:pPr>
              <w:pStyle w:val="TableParagraph"/>
              <w:spacing w:before="26"/>
              <w:ind w:right="65"/>
              <w:rPr>
                <w:sz w:val="20"/>
              </w:rPr>
            </w:pPr>
            <w:r>
              <w:rPr>
                <w:sz w:val="20"/>
              </w:rPr>
              <w:t>7.6</w:t>
            </w:r>
          </w:p>
        </w:tc>
        <w:tc>
          <w:tcPr>
            <w:tcW w:w="1023" w:type="dxa"/>
            <w:tcBorders>
              <w:top w:val="nil"/>
              <w:left w:val="nil"/>
              <w:bottom w:val="nil"/>
              <w:right w:val="nil"/>
            </w:tcBorders>
          </w:tcPr>
          <w:p>
            <w:pPr>
              <w:pStyle w:val="TableParagraph"/>
              <w:spacing w:before="26"/>
              <w:ind w:right="60"/>
              <w:rPr>
                <w:sz w:val="20"/>
              </w:rPr>
            </w:pPr>
            <w:r>
              <w:rPr>
                <w:sz w:val="20"/>
              </w:rPr>
              <w:t>5.57</w:t>
            </w:r>
          </w:p>
        </w:tc>
      </w:tr>
      <w:tr>
        <w:trPr>
          <w:trHeight w:val="300" w:hRule="exact"/>
        </w:trPr>
        <w:tc>
          <w:tcPr>
            <w:tcW w:w="1129" w:type="dxa"/>
            <w:tcBorders>
              <w:top w:val="nil"/>
              <w:left w:val="nil"/>
              <w:bottom w:val="nil"/>
              <w:right w:val="nil"/>
            </w:tcBorders>
          </w:tcPr>
          <w:p>
            <w:pPr>
              <w:pStyle w:val="TableParagraph"/>
              <w:ind w:left="72"/>
              <w:jc w:val="left"/>
              <w:rPr>
                <w:sz w:val="20"/>
              </w:rPr>
            </w:pPr>
            <w:r>
              <w:rPr>
                <w:w w:val="100"/>
                <w:sz w:val="20"/>
              </w:rPr>
              <w:t>9</w:t>
            </w:r>
          </w:p>
        </w:tc>
        <w:tc>
          <w:tcPr>
            <w:tcW w:w="1030" w:type="dxa"/>
            <w:tcBorders>
              <w:top w:val="nil"/>
              <w:left w:val="nil"/>
              <w:bottom w:val="nil"/>
              <w:right w:val="nil"/>
            </w:tcBorders>
          </w:tcPr>
          <w:p>
            <w:pPr>
              <w:pStyle w:val="TableParagraph"/>
              <w:ind w:left="71"/>
              <w:jc w:val="left"/>
              <w:rPr>
                <w:sz w:val="20"/>
              </w:rPr>
            </w:pPr>
            <w:r>
              <w:rPr>
                <w:sz w:val="20"/>
              </w:rPr>
              <w:t>15001</w:t>
            </w:r>
          </w:p>
        </w:tc>
        <w:tc>
          <w:tcPr>
            <w:tcW w:w="976" w:type="dxa"/>
            <w:tcBorders>
              <w:top w:val="nil"/>
              <w:left w:val="nil"/>
              <w:bottom w:val="nil"/>
              <w:right w:val="nil"/>
            </w:tcBorders>
          </w:tcPr>
          <w:p>
            <w:pPr>
              <w:pStyle w:val="TableParagraph"/>
              <w:ind w:right="65"/>
              <w:rPr>
                <w:sz w:val="20"/>
              </w:rPr>
            </w:pPr>
            <w:r>
              <w:rPr>
                <w:sz w:val="20"/>
              </w:rPr>
              <w:t>7.96</w:t>
            </w:r>
          </w:p>
        </w:tc>
        <w:tc>
          <w:tcPr>
            <w:tcW w:w="931" w:type="dxa"/>
            <w:tcBorders>
              <w:top w:val="nil"/>
              <w:left w:val="nil"/>
              <w:bottom w:val="nil"/>
              <w:right w:val="nil"/>
            </w:tcBorders>
          </w:tcPr>
          <w:p>
            <w:pPr>
              <w:pStyle w:val="TableParagraph"/>
              <w:ind w:right="70"/>
              <w:rPr>
                <w:sz w:val="20"/>
              </w:rPr>
            </w:pPr>
            <w:r>
              <w:rPr>
                <w:sz w:val="20"/>
              </w:rPr>
              <w:t>7.18</w:t>
            </w:r>
          </w:p>
        </w:tc>
        <w:tc>
          <w:tcPr>
            <w:tcW w:w="941" w:type="dxa"/>
            <w:tcBorders>
              <w:top w:val="nil"/>
              <w:left w:val="nil"/>
              <w:bottom w:val="nil"/>
              <w:right w:val="nil"/>
            </w:tcBorders>
          </w:tcPr>
          <w:p>
            <w:pPr>
              <w:pStyle w:val="TableParagraph"/>
              <w:ind w:right="65"/>
              <w:rPr>
                <w:sz w:val="20"/>
              </w:rPr>
            </w:pPr>
            <w:r>
              <w:rPr>
                <w:sz w:val="20"/>
              </w:rPr>
              <w:t>5.63</w:t>
            </w:r>
          </w:p>
        </w:tc>
        <w:tc>
          <w:tcPr>
            <w:tcW w:w="938" w:type="dxa"/>
            <w:tcBorders>
              <w:top w:val="nil"/>
              <w:left w:val="nil"/>
              <w:bottom w:val="nil"/>
              <w:right w:val="nil"/>
            </w:tcBorders>
          </w:tcPr>
          <w:p>
            <w:pPr>
              <w:pStyle w:val="TableParagraph"/>
              <w:ind w:right="67"/>
              <w:rPr>
                <w:sz w:val="20"/>
              </w:rPr>
            </w:pPr>
            <w:r>
              <w:rPr>
                <w:sz w:val="20"/>
              </w:rPr>
              <w:t>6.66</w:t>
            </w:r>
          </w:p>
        </w:tc>
        <w:tc>
          <w:tcPr>
            <w:tcW w:w="941" w:type="dxa"/>
            <w:tcBorders>
              <w:top w:val="nil"/>
              <w:left w:val="nil"/>
              <w:bottom w:val="nil"/>
              <w:right w:val="nil"/>
            </w:tcBorders>
          </w:tcPr>
          <w:p>
            <w:pPr>
              <w:pStyle w:val="TableParagraph"/>
              <w:ind w:right="67"/>
              <w:rPr>
                <w:sz w:val="20"/>
              </w:rPr>
            </w:pPr>
            <w:r>
              <w:rPr>
                <w:sz w:val="20"/>
              </w:rPr>
              <w:t>9.42</w:t>
            </w:r>
          </w:p>
        </w:tc>
        <w:tc>
          <w:tcPr>
            <w:tcW w:w="939" w:type="dxa"/>
            <w:tcBorders>
              <w:top w:val="nil"/>
              <w:left w:val="nil"/>
              <w:bottom w:val="nil"/>
              <w:right w:val="nil"/>
            </w:tcBorders>
          </w:tcPr>
          <w:p>
            <w:pPr>
              <w:pStyle w:val="TableParagraph"/>
              <w:ind w:right="65"/>
              <w:rPr>
                <w:sz w:val="20"/>
              </w:rPr>
            </w:pPr>
            <w:r>
              <w:rPr>
                <w:sz w:val="20"/>
              </w:rPr>
              <w:t>11.84</w:t>
            </w:r>
          </w:p>
        </w:tc>
        <w:tc>
          <w:tcPr>
            <w:tcW w:w="929" w:type="dxa"/>
            <w:tcBorders>
              <w:top w:val="nil"/>
              <w:left w:val="nil"/>
              <w:bottom w:val="nil"/>
              <w:right w:val="nil"/>
            </w:tcBorders>
          </w:tcPr>
          <w:p>
            <w:pPr>
              <w:pStyle w:val="TableParagraph"/>
              <w:ind w:right="67"/>
              <w:rPr>
                <w:sz w:val="20"/>
              </w:rPr>
            </w:pPr>
            <w:r>
              <w:rPr>
                <w:sz w:val="20"/>
              </w:rPr>
              <w:t>13.59</w:t>
            </w:r>
          </w:p>
        </w:tc>
        <w:tc>
          <w:tcPr>
            <w:tcW w:w="939" w:type="dxa"/>
            <w:tcBorders>
              <w:top w:val="nil"/>
              <w:left w:val="nil"/>
              <w:bottom w:val="nil"/>
              <w:right w:val="nil"/>
            </w:tcBorders>
          </w:tcPr>
          <w:p>
            <w:pPr>
              <w:pStyle w:val="TableParagraph"/>
              <w:ind w:right="65"/>
              <w:rPr>
                <w:sz w:val="20"/>
              </w:rPr>
            </w:pPr>
            <w:r>
              <w:rPr>
                <w:sz w:val="20"/>
              </w:rPr>
              <w:t>13.36</w:t>
            </w:r>
          </w:p>
        </w:tc>
        <w:tc>
          <w:tcPr>
            <w:tcW w:w="932" w:type="dxa"/>
            <w:tcBorders>
              <w:top w:val="nil"/>
              <w:left w:val="nil"/>
              <w:bottom w:val="nil"/>
              <w:right w:val="nil"/>
            </w:tcBorders>
          </w:tcPr>
          <w:p>
            <w:pPr>
              <w:pStyle w:val="TableParagraph"/>
              <w:ind w:right="70"/>
              <w:rPr>
                <w:sz w:val="20"/>
              </w:rPr>
            </w:pPr>
            <w:r>
              <w:rPr>
                <w:sz w:val="20"/>
              </w:rPr>
              <w:t>12.05</w:t>
            </w:r>
          </w:p>
        </w:tc>
        <w:tc>
          <w:tcPr>
            <w:tcW w:w="1042" w:type="dxa"/>
            <w:tcBorders>
              <w:top w:val="nil"/>
              <w:left w:val="nil"/>
              <w:bottom w:val="nil"/>
              <w:right w:val="nil"/>
            </w:tcBorders>
          </w:tcPr>
          <w:p>
            <w:pPr>
              <w:pStyle w:val="TableParagraph"/>
              <w:ind w:right="65"/>
              <w:rPr>
                <w:sz w:val="20"/>
              </w:rPr>
            </w:pPr>
            <w:r>
              <w:rPr>
                <w:sz w:val="20"/>
              </w:rPr>
              <w:t>8.73</w:t>
            </w:r>
          </w:p>
        </w:tc>
        <w:tc>
          <w:tcPr>
            <w:tcW w:w="1027" w:type="dxa"/>
            <w:tcBorders>
              <w:top w:val="nil"/>
              <w:left w:val="nil"/>
              <w:bottom w:val="nil"/>
              <w:right w:val="nil"/>
            </w:tcBorders>
          </w:tcPr>
          <w:p>
            <w:pPr>
              <w:pStyle w:val="TableParagraph"/>
              <w:ind w:right="65"/>
              <w:rPr>
                <w:sz w:val="20"/>
              </w:rPr>
            </w:pPr>
            <w:r>
              <w:rPr>
                <w:sz w:val="20"/>
              </w:rPr>
              <w:t>7.6</w:t>
            </w:r>
          </w:p>
        </w:tc>
        <w:tc>
          <w:tcPr>
            <w:tcW w:w="1023" w:type="dxa"/>
            <w:tcBorders>
              <w:top w:val="nil"/>
              <w:left w:val="nil"/>
              <w:bottom w:val="nil"/>
              <w:right w:val="nil"/>
            </w:tcBorders>
          </w:tcPr>
          <w:p>
            <w:pPr>
              <w:pStyle w:val="TableParagraph"/>
              <w:ind w:right="60"/>
              <w:rPr>
                <w:sz w:val="20"/>
              </w:rPr>
            </w:pPr>
            <w:r>
              <w:rPr>
                <w:sz w:val="20"/>
              </w:rPr>
              <w:t>5.57</w:t>
            </w:r>
          </w:p>
        </w:tc>
      </w:tr>
      <w:tr>
        <w:trPr>
          <w:trHeight w:val="300" w:hRule="exact"/>
        </w:trPr>
        <w:tc>
          <w:tcPr>
            <w:tcW w:w="1129" w:type="dxa"/>
            <w:tcBorders>
              <w:top w:val="nil"/>
              <w:left w:val="nil"/>
              <w:bottom w:val="nil"/>
              <w:right w:val="nil"/>
            </w:tcBorders>
          </w:tcPr>
          <w:p>
            <w:pPr>
              <w:pStyle w:val="TableParagraph"/>
              <w:spacing w:before="26"/>
              <w:ind w:left="72"/>
              <w:jc w:val="left"/>
              <w:rPr>
                <w:sz w:val="20"/>
              </w:rPr>
            </w:pPr>
            <w:r>
              <w:rPr>
                <w:sz w:val="20"/>
              </w:rPr>
              <w:t>10</w:t>
            </w:r>
          </w:p>
        </w:tc>
        <w:tc>
          <w:tcPr>
            <w:tcW w:w="1030" w:type="dxa"/>
            <w:tcBorders>
              <w:top w:val="nil"/>
              <w:left w:val="nil"/>
              <w:bottom w:val="nil"/>
              <w:right w:val="nil"/>
            </w:tcBorders>
          </w:tcPr>
          <w:p>
            <w:pPr>
              <w:pStyle w:val="TableParagraph"/>
              <w:spacing w:before="26"/>
              <w:ind w:left="71"/>
              <w:jc w:val="left"/>
              <w:rPr>
                <w:sz w:val="20"/>
              </w:rPr>
            </w:pPr>
            <w:r>
              <w:rPr>
                <w:sz w:val="20"/>
              </w:rPr>
              <w:t>15001</w:t>
            </w:r>
          </w:p>
        </w:tc>
        <w:tc>
          <w:tcPr>
            <w:tcW w:w="976" w:type="dxa"/>
            <w:tcBorders>
              <w:top w:val="nil"/>
              <w:left w:val="nil"/>
              <w:bottom w:val="nil"/>
              <w:right w:val="nil"/>
            </w:tcBorders>
          </w:tcPr>
          <w:p>
            <w:pPr>
              <w:pStyle w:val="TableParagraph"/>
              <w:spacing w:before="26"/>
              <w:ind w:right="65"/>
              <w:rPr>
                <w:sz w:val="20"/>
              </w:rPr>
            </w:pPr>
            <w:r>
              <w:rPr>
                <w:sz w:val="20"/>
              </w:rPr>
              <w:t>7.96</w:t>
            </w:r>
          </w:p>
        </w:tc>
        <w:tc>
          <w:tcPr>
            <w:tcW w:w="931" w:type="dxa"/>
            <w:tcBorders>
              <w:top w:val="nil"/>
              <w:left w:val="nil"/>
              <w:bottom w:val="nil"/>
              <w:right w:val="nil"/>
            </w:tcBorders>
          </w:tcPr>
          <w:p>
            <w:pPr>
              <w:pStyle w:val="TableParagraph"/>
              <w:spacing w:before="26"/>
              <w:ind w:right="70"/>
              <w:rPr>
                <w:sz w:val="20"/>
              </w:rPr>
            </w:pPr>
            <w:r>
              <w:rPr>
                <w:sz w:val="20"/>
              </w:rPr>
              <w:t>7.18</w:t>
            </w:r>
          </w:p>
        </w:tc>
        <w:tc>
          <w:tcPr>
            <w:tcW w:w="941" w:type="dxa"/>
            <w:tcBorders>
              <w:top w:val="nil"/>
              <w:left w:val="nil"/>
              <w:bottom w:val="nil"/>
              <w:right w:val="nil"/>
            </w:tcBorders>
          </w:tcPr>
          <w:p>
            <w:pPr>
              <w:pStyle w:val="TableParagraph"/>
              <w:spacing w:before="26"/>
              <w:ind w:right="65"/>
              <w:rPr>
                <w:sz w:val="20"/>
              </w:rPr>
            </w:pPr>
            <w:r>
              <w:rPr>
                <w:sz w:val="20"/>
              </w:rPr>
              <w:t>5.63</w:t>
            </w:r>
          </w:p>
        </w:tc>
        <w:tc>
          <w:tcPr>
            <w:tcW w:w="938" w:type="dxa"/>
            <w:tcBorders>
              <w:top w:val="nil"/>
              <w:left w:val="nil"/>
              <w:bottom w:val="nil"/>
              <w:right w:val="nil"/>
            </w:tcBorders>
          </w:tcPr>
          <w:p>
            <w:pPr>
              <w:pStyle w:val="TableParagraph"/>
              <w:spacing w:before="26"/>
              <w:ind w:right="67"/>
              <w:rPr>
                <w:sz w:val="20"/>
              </w:rPr>
            </w:pPr>
            <w:r>
              <w:rPr>
                <w:sz w:val="20"/>
              </w:rPr>
              <w:t>6.66</w:t>
            </w:r>
          </w:p>
        </w:tc>
        <w:tc>
          <w:tcPr>
            <w:tcW w:w="941" w:type="dxa"/>
            <w:tcBorders>
              <w:top w:val="nil"/>
              <w:left w:val="nil"/>
              <w:bottom w:val="nil"/>
              <w:right w:val="nil"/>
            </w:tcBorders>
          </w:tcPr>
          <w:p>
            <w:pPr>
              <w:pStyle w:val="TableParagraph"/>
              <w:spacing w:before="26"/>
              <w:ind w:right="67"/>
              <w:rPr>
                <w:sz w:val="20"/>
              </w:rPr>
            </w:pPr>
            <w:r>
              <w:rPr>
                <w:sz w:val="20"/>
              </w:rPr>
              <w:t>9.42</w:t>
            </w:r>
          </w:p>
        </w:tc>
        <w:tc>
          <w:tcPr>
            <w:tcW w:w="939" w:type="dxa"/>
            <w:tcBorders>
              <w:top w:val="nil"/>
              <w:left w:val="nil"/>
              <w:bottom w:val="nil"/>
              <w:right w:val="nil"/>
            </w:tcBorders>
          </w:tcPr>
          <w:p>
            <w:pPr>
              <w:pStyle w:val="TableParagraph"/>
              <w:spacing w:before="26"/>
              <w:ind w:right="65"/>
              <w:rPr>
                <w:sz w:val="20"/>
              </w:rPr>
            </w:pPr>
            <w:r>
              <w:rPr>
                <w:sz w:val="20"/>
              </w:rPr>
              <w:t>11.84</w:t>
            </w:r>
          </w:p>
        </w:tc>
        <w:tc>
          <w:tcPr>
            <w:tcW w:w="929" w:type="dxa"/>
            <w:tcBorders>
              <w:top w:val="nil"/>
              <w:left w:val="nil"/>
              <w:bottom w:val="nil"/>
              <w:right w:val="nil"/>
            </w:tcBorders>
          </w:tcPr>
          <w:p>
            <w:pPr>
              <w:pStyle w:val="TableParagraph"/>
              <w:spacing w:before="26"/>
              <w:ind w:right="67"/>
              <w:rPr>
                <w:sz w:val="20"/>
              </w:rPr>
            </w:pPr>
            <w:r>
              <w:rPr>
                <w:sz w:val="20"/>
              </w:rPr>
              <w:t>13.59</w:t>
            </w:r>
          </w:p>
        </w:tc>
        <w:tc>
          <w:tcPr>
            <w:tcW w:w="939" w:type="dxa"/>
            <w:tcBorders>
              <w:top w:val="nil"/>
              <w:left w:val="nil"/>
              <w:bottom w:val="nil"/>
              <w:right w:val="nil"/>
            </w:tcBorders>
          </w:tcPr>
          <w:p>
            <w:pPr>
              <w:pStyle w:val="TableParagraph"/>
              <w:spacing w:before="26"/>
              <w:ind w:right="65"/>
              <w:rPr>
                <w:sz w:val="20"/>
              </w:rPr>
            </w:pPr>
            <w:r>
              <w:rPr>
                <w:sz w:val="20"/>
              </w:rPr>
              <w:t>13.36</w:t>
            </w:r>
          </w:p>
        </w:tc>
        <w:tc>
          <w:tcPr>
            <w:tcW w:w="932" w:type="dxa"/>
            <w:tcBorders>
              <w:top w:val="nil"/>
              <w:left w:val="nil"/>
              <w:bottom w:val="nil"/>
              <w:right w:val="nil"/>
            </w:tcBorders>
          </w:tcPr>
          <w:p>
            <w:pPr>
              <w:pStyle w:val="TableParagraph"/>
              <w:spacing w:before="26"/>
              <w:ind w:right="70"/>
              <w:rPr>
                <w:sz w:val="20"/>
              </w:rPr>
            </w:pPr>
            <w:r>
              <w:rPr>
                <w:sz w:val="20"/>
              </w:rPr>
              <w:t>12.05</w:t>
            </w:r>
          </w:p>
        </w:tc>
        <w:tc>
          <w:tcPr>
            <w:tcW w:w="1042" w:type="dxa"/>
            <w:tcBorders>
              <w:top w:val="nil"/>
              <w:left w:val="nil"/>
              <w:bottom w:val="nil"/>
              <w:right w:val="nil"/>
            </w:tcBorders>
          </w:tcPr>
          <w:p>
            <w:pPr>
              <w:pStyle w:val="TableParagraph"/>
              <w:spacing w:before="26"/>
              <w:ind w:right="65"/>
              <w:rPr>
                <w:sz w:val="20"/>
              </w:rPr>
            </w:pPr>
            <w:r>
              <w:rPr>
                <w:sz w:val="20"/>
              </w:rPr>
              <w:t>8.73</w:t>
            </w:r>
          </w:p>
        </w:tc>
        <w:tc>
          <w:tcPr>
            <w:tcW w:w="1027" w:type="dxa"/>
            <w:tcBorders>
              <w:top w:val="nil"/>
              <w:left w:val="nil"/>
              <w:bottom w:val="nil"/>
              <w:right w:val="nil"/>
            </w:tcBorders>
          </w:tcPr>
          <w:p>
            <w:pPr>
              <w:pStyle w:val="TableParagraph"/>
              <w:spacing w:before="26"/>
              <w:ind w:right="65"/>
              <w:rPr>
                <w:sz w:val="20"/>
              </w:rPr>
            </w:pPr>
            <w:r>
              <w:rPr>
                <w:sz w:val="20"/>
              </w:rPr>
              <w:t>7.6</w:t>
            </w:r>
          </w:p>
        </w:tc>
        <w:tc>
          <w:tcPr>
            <w:tcW w:w="1023" w:type="dxa"/>
            <w:tcBorders>
              <w:top w:val="nil"/>
              <w:left w:val="nil"/>
              <w:bottom w:val="nil"/>
              <w:right w:val="nil"/>
            </w:tcBorders>
          </w:tcPr>
          <w:p>
            <w:pPr>
              <w:pStyle w:val="TableParagraph"/>
              <w:spacing w:before="26"/>
              <w:ind w:right="60"/>
              <w:rPr>
                <w:sz w:val="20"/>
              </w:rPr>
            </w:pPr>
            <w:r>
              <w:rPr>
                <w:sz w:val="20"/>
              </w:rPr>
              <w:t>5.57</w:t>
            </w:r>
          </w:p>
        </w:tc>
      </w:tr>
      <w:tr>
        <w:trPr>
          <w:trHeight w:val="300" w:hRule="exact"/>
        </w:trPr>
        <w:tc>
          <w:tcPr>
            <w:tcW w:w="1129" w:type="dxa"/>
            <w:tcBorders>
              <w:top w:val="nil"/>
              <w:left w:val="nil"/>
              <w:bottom w:val="nil"/>
              <w:right w:val="nil"/>
            </w:tcBorders>
          </w:tcPr>
          <w:p>
            <w:pPr>
              <w:pStyle w:val="TableParagraph"/>
              <w:ind w:left="72"/>
              <w:jc w:val="left"/>
              <w:rPr>
                <w:sz w:val="20"/>
              </w:rPr>
            </w:pPr>
            <w:r>
              <w:rPr>
                <w:sz w:val="20"/>
              </w:rPr>
              <w:t>11</w:t>
            </w:r>
          </w:p>
        </w:tc>
        <w:tc>
          <w:tcPr>
            <w:tcW w:w="1030" w:type="dxa"/>
            <w:tcBorders>
              <w:top w:val="nil"/>
              <w:left w:val="nil"/>
              <w:bottom w:val="nil"/>
              <w:right w:val="nil"/>
            </w:tcBorders>
          </w:tcPr>
          <w:p>
            <w:pPr>
              <w:pStyle w:val="TableParagraph"/>
              <w:ind w:left="71"/>
              <w:jc w:val="left"/>
              <w:rPr>
                <w:sz w:val="20"/>
              </w:rPr>
            </w:pPr>
            <w:r>
              <w:rPr>
                <w:sz w:val="20"/>
              </w:rPr>
              <w:t>15001</w:t>
            </w:r>
          </w:p>
        </w:tc>
        <w:tc>
          <w:tcPr>
            <w:tcW w:w="976" w:type="dxa"/>
            <w:tcBorders>
              <w:top w:val="nil"/>
              <w:left w:val="nil"/>
              <w:bottom w:val="nil"/>
              <w:right w:val="nil"/>
            </w:tcBorders>
          </w:tcPr>
          <w:p>
            <w:pPr>
              <w:pStyle w:val="TableParagraph"/>
              <w:ind w:right="65"/>
              <w:rPr>
                <w:sz w:val="20"/>
              </w:rPr>
            </w:pPr>
            <w:r>
              <w:rPr>
                <w:sz w:val="20"/>
              </w:rPr>
              <w:t>7.96</w:t>
            </w:r>
          </w:p>
        </w:tc>
        <w:tc>
          <w:tcPr>
            <w:tcW w:w="931" w:type="dxa"/>
            <w:tcBorders>
              <w:top w:val="nil"/>
              <w:left w:val="nil"/>
              <w:bottom w:val="nil"/>
              <w:right w:val="nil"/>
            </w:tcBorders>
          </w:tcPr>
          <w:p>
            <w:pPr>
              <w:pStyle w:val="TableParagraph"/>
              <w:ind w:right="70"/>
              <w:rPr>
                <w:sz w:val="20"/>
              </w:rPr>
            </w:pPr>
            <w:r>
              <w:rPr>
                <w:sz w:val="20"/>
              </w:rPr>
              <w:t>7.18</w:t>
            </w:r>
          </w:p>
        </w:tc>
        <w:tc>
          <w:tcPr>
            <w:tcW w:w="941" w:type="dxa"/>
            <w:tcBorders>
              <w:top w:val="nil"/>
              <w:left w:val="nil"/>
              <w:bottom w:val="nil"/>
              <w:right w:val="nil"/>
            </w:tcBorders>
          </w:tcPr>
          <w:p>
            <w:pPr>
              <w:pStyle w:val="TableParagraph"/>
              <w:ind w:right="65"/>
              <w:rPr>
                <w:sz w:val="20"/>
              </w:rPr>
            </w:pPr>
            <w:r>
              <w:rPr>
                <w:sz w:val="20"/>
              </w:rPr>
              <w:t>5.63</w:t>
            </w:r>
          </w:p>
        </w:tc>
        <w:tc>
          <w:tcPr>
            <w:tcW w:w="938" w:type="dxa"/>
            <w:tcBorders>
              <w:top w:val="nil"/>
              <w:left w:val="nil"/>
              <w:bottom w:val="nil"/>
              <w:right w:val="nil"/>
            </w:tcBorders>
          </w:tcPr>
          <w:p>
            <w:pPr>
              <w:pStyle w:val="TableParagraph"/>
              <w:ind w:right="67"/>
              <w:rPr>
                <w:sz w:val="20"/>
              </w:rPr>
            </w:pPr>
            <w:r>
              <w:rPr>
                <w:sz w:val="20"/>
              </w:rPr>
              <w:t>6.66</w:t>
            </w:r>
          </w:p>
        </w:tc>
        <w:tc>
          <w:tcPr>
            <w:tcW w:w="941" w:type="dxa"/>
            <w:tcBorders>
              <w:top w:val="nil"/>
              <w:left w:val="nil"/>
              <w:bottom w:val="nil"/>
              <w:right w:val="nil"/>
            </w:tcBorders>
          </w:tcPr>
          <w:p>
            <w:pPr>
              <w:pStyle w:val="TableParagraph"/>
              <w:ind w:right="67"/>
              <w:rPr>
                <w:sz w:val="20"/>
              </w:rPr>
            </w:pPr>
            <w:r>
              <w:rPr>
                <w:sz w:val="20"/>
              </w:rPr>
              <w:t>9.42</w:t>
            </w:r>
          </w:p>
        </w:tc>
        <w:tc>
          <w:tcPr>
            <w:tcW w:w="939" w:type="dxa"/>
            <w:tcBorders>
              <w:top w:val="nil"/>
              <w:left w:val="nil"/>
              <w:bottom w:val="nil"/>
              <w:right w:val="nil"/>
            </w:tcBorders>
          </w:tcPr>
          <w:p>
            <w:pPr>
              <w:pStyle w:val="TableParagraph"/>
              <w:ind w:right="65"/>
              <w:rPr>
                <w:sz w:val="20"/>
              </w:rPr>
            </w:pPr>
            <w:r>
              <w:rPr>
                <w:sz w:val="20"/>
              </w:rPr>
              <w:t>11.84</w:t>
            </w:r>
          </w:p>
        </w:tc>
        <w:tc>
          <w:tcPr>
            <w:tcW w:w="929" w:type="dxa"/>
            <w:tcBorders>
              <w:top w:val="nil"/>
              <w:left w:val="nil"/>
              <w:bottom w:val="nil"/>
              <w:right w:val="nil"/>
            </w:tcBorders>
          </w:tcPr>
          <w:p>
            <w:pPr>
              <w:pStyle w:val="TableParagraph"/>
              <w:ind w:right="67"/>
              <w:rPr>
                <w:sz w:val="20"/>
              </w:rPr>
            </w:pPr>
            <w:r>
              <w:rPr>
                <w:sz w:val="20"/>
              </w:rPr>
              <w:t>13.59</w:t>
            </w:r>
          </w:p>
        </w:tc>
        <w:tc>
          <w:tcPr>
            <w:tcW w:w="939" w:type="dxa"/>
            <w:tcBorders>
              <w:top w:val="nil"/>
              <w:left w:val="nil"/>
              <w:bottom w:val="nil"/>
              <w:right w:val="nil"/>
            </w:tcBorders>
          </w:tcPr>
          <w:p>
            <w:pPr>
              <w:pStyle w:val="TableParagraph"/>
              <w:ind w:right="65"/>
              <w:rPr>
                <w:sz w:val="20"/>
              </w:rPr>
            </w:pPr>
            <w:r>
              <w:rPr>
                <w:sz w:val="20"/>
              </w:rPr>
              <w:t>13.36</w:t>
            </w:r>
          </w:p>
        </w:tc>
        <w:tc>
          <w:tcPr>
            <w:tcW w:w="932" w:type="dxa"/>
            <w:tcBorders>
              <w:top w:val="nil"/>
              <w:left w:val="nil"/>
              <w:bottom w:val="nil"/>
              <w:right w:val="nil"/>
            </w:tcBorders>
          </w:tcPr>
          <w:p>
            <w:pPr>
              <w:pStyle w:val="TableParagraph"/>
              <w:ind w:right="70"/>
              <w:rPr>
                <w:sz w:val="20"/>
              </w:rPr>
            </w:pPr>
            <w:r>
              <w:rPr>
                <w:sz w:val="20"/>
              </w:rPr>
              <w:t>12.05</w:t>
            </w:r>
          </w:p>
        </w:tc>
        <w:tc>
          <w:tcPr>
            <w:tcW w:w="1042" w:type="dxa"/>
            <w:tcBorders>
              <w:top w:val="nil"/>
              <w:left w:val="nil"/>
              <w:bottom w:val="nil"/>
              <w:right w:val="nil"/>
            </w:tcBorders>
          </w:tcPr>
          <w:p>
            <w:pPr>
              <w:pStyle w:val="TableParagraph"/>
              <w:ind w:right="65"/>
              <w:rPr>
                <w:sz w:val="20"/>
              </w:rPr>
            </w:pPr>
            <w:r>
              <w:rPr>
                <w:sz w:val="20"/>
              </w:rPr>
              <w:t>8.73</w:t>
            </w:r>
          </w:p>
        </w:tc>
        <w:tc>
          <w:tcPr>
            <w:tcW w:w="1027" w:type="dxa"/>
            <w:tcBorders>
              <w:top w:val="nil"/>
              <w:left w:val="nil"/>
              <w:bottom w:val="nil"/>
              <w:right w:val="nil"/>
            </w:tcBorders>
          </w:tcPr>
          <w:p>
            <w:pPr>
              <w:pStyle w:val="TableParagraph"/>
              <w:ind w:right="65"/>
              <w:rPr>
                <w:sz w:val="20"/>
              </w:rPr>
            </w:pPr>
            <w:r>
              <w:rPr>
                <w:sz w:val="20"/>
              </w:rPr>
              <w:t>7.6</w:t>
            </w:r>
          </w:p>
        </w:tc>
        <w:tc>
          <w:tcPr>
            <w:tcW w:w="1023" w:type="dxa"/>
            <w:tcBorders>
              <w:top w:val="nil"/>
              <w:left w:val="nil"/>
              <w:bottom w:val="nil"/>
              <w:right w:val="nil"/>
            </w:tcBorders>
          </w:tcPr>
          <w:p>
            <w:pPr>
              <w:pStyle w:val="TableParagraph"/>
              <w:ind w:right="60"/>
              <w:rPr>
                <w:sz w:val="20"/>
              </w:rPr>
            </w:pPr>
            <w:r>
              <w:rPr>
                <w:sz w:val="20"/>
              </w:rPr>
              <w:t>5.57</w:t>
            </w:r>
          </w:p>
        </w:tc>
      </w:tr>
      <w:tr>
        <w:trPr>
          <w:trHeight w:val="300" w:hRule="exact"/>
        </w:trPr>
        <w:tc>
          <w:tcPr>
            <w:tcW w:w="1129" w:type="dxa"/>
            <w:tcBorders>
              <w:top w:val="nil"/>
              <w:left w:val="nil"/>
              <w:bottom w:val="nil"/>
              <w:right w:val="nil"/>
            </w:tcBorders>
          </w:tcPr>
          <w:p>
            <w:pPr>
              <w:pStyle w:val="TableParagraph"/>
              <w:spacing w:before="26"/>
              <w:ind w:left="72"/>
              <w:jc w:val="left"/>
              <w:rPr>
                <w:sz w:val="20"/>
              </w:rPr>
            </w:pPr>
            <w:r>
              <w:rPr>
                <w:sz w:val="20"/>
              </w:rPr>
              <w:t>12</w:t>
            </w:r>
          </w:p>
        </w:tc>
        <w:tc>
          <w:tcPr>
            <w:tcW w:w="1030" w:type="dxa"/>
            <w:tcBorders>
              <w:top w:val="nil"/>
              <w:left w:val="nil"/>
              <w:bottom w:val="nil"/>
              <w:right w:val="nil"/>
            </w:tcBorders>
          </w:tcPr>
          <w:p>
            <w:pPr>
              <w:pStyle w:val="TableParagraph"/>
              <w:spacing w:before="26"/>
              <w:ind w:left="71"/>
              <w:jc w:val="left"/>
              <w:rPr>
                <w:sz w:val="20"/>
              </w:rPr>
            </w:pPr>
            <w:r>
              <w:rPr>
                <w:sz w:val="20"/>
              </w:rPr>
              <w:t>15001</w:t>
            </w:r>
          </w:p>
        </w:tc>
        <w:tc>
          <w:tcPr>
            <w:tcW w:w="976" w:type="dxa"/>
            <w:tcBorders>
              <w:top w:val="nil"/>
              <w:left w:val="nil"/>
              <w:bottom w:val="nil"/>
              <w:right w:val="nil"/>
            </w:tcBorders>
          </w:tcPr>
          <w:p>
            <w:pPr>
              <w:pStyle w:val="TableParagraph"/>
              <w:spacing w:before="26"/>
              <w:ind w:right="65"/>
              <w:rPr>
                <w:sz w:val="20"/>
              </w:rPr>
            </w:pPr>
            <w:r>
              <w:rPr>
                <w:sz w:val="20"/>
              </w:rPr>
              <w:t>7.96</w:t>
            </w:r>
          </w:p>
        </w:tc>
        <w:tc>
          <w:tcPr>
            <w:tcW w:w="931" w:type="dxa"/>
            <w:tcBorders>
              <w:top w:val="nil"/>
              <w:left w:val="nil"/>
              <w:bottom w:val="nil"/>
              <w:right w:val="nil"/>
            </w:tcBorders>
          </w:tcPr>
          <w:p>
            <w:pPr>
              <w:pStyle w:val="TableParagraph"/>
              <w:spacing w:before="26"/>
              <w:ind w:right="70"/>
              <w:rPr>
                <w:sz w:val="20"/>
              </w:rPr>
            </w:pPr>
            <w:r>
              <w:rPr>
                <w:sz w:val="20"/>
              </w:rPr>
              <w:t>7.18</w:t>
            </w:r>
          </w:p>
        </w:tc>
        <w:tc>
          <w:tcPr>
            <w:tcW w:w="941" w:type="dxa"/>
            <w:tcBorders>
              <w:top w:val="nil"/>
              <w:left w:val="nil"/>
              <w:bottom w:val="nil"/>
              <w:right w:val="nil"/>
            </w:tcBorders>
          </w:tcPr>
          <w:p>
            <w:pPr>
              <w:pStyle w:val="TableParagraph"/>
              <w:spacing w:before="26"/>
              <w:ind w:right="65"/>
              <w:rPr>
                <w:sz w:val="20"/>
              </w:rPr>
            </w:pPr>
            <w:r>
              <w:rPr>
                <w:sz w:val="20"/>
              </w:rPr>
              <w:t>5.63</w:t>
            </w:r>
          </w:p>
        </w:tc>
        <w:tc>
          <w:tcPr>
            <w:tcW w:w="938" w:type="dxa"/>
            <w:tcBorders>
              <w:top w:val="nil"/>
              <w:left w:val="nil"/>
              <w:bottom w:val="nil"/>
              <w:right w:val="nil"/>
            </w:tcBorders>
          </w:tcPr>
          <w:p>
            <w:pPr>
              <w:pStyle w:val="TableParagraph"/>
              <w:spacing w:before="26"/>
              <w:ind w:right="67"/>
              <w:rPr>
                <w:sz w:val="20"/>
              </w:rPr>
            </w:pPr>
            <w:r>
              <w:rPr>
                <w:sz w:val="20"/>
              </w:rPr>
              <w:t>6.66</w:t>
            </w:r>
          </w:p>
        </w:tc>
        <w:tc>
          <w:tcPr>
            <w:tcW w:w="941" w:type="dxa"/>
            <w:tcBorders>
              <w:top w:val="nil"/>
              <w:left w:val="nil"/>
              <w:bottom w:val="nil"/>
              <w:right w:val="nil"/>
            </w:tcBorders>
          </w:tcPr>
          <w:p>
            <w:pPr>
              <w:pStyle w:val="TableParagraph"/>
              <w:spacing w:before="26"/>
              <w:ind w:right="67"/>
              <w:rPr>
                <w:sz w:val="20"/>
              </w:rPr>
            </w:pPr>
            <w:r>
              <w:rPr>
                <w:sz w:val="20"/>
              </w:rPr>
              <w:t>9.42</w:t>
            </w:r>
          </w:p>
        </w:tc>
        <w:tc>
          <w:tcPr>
            <w:tcW w:w="939" w:type="dxa"/>
            <w:tcBorders>
              <w:top w:val="nil"/>
              <w:left w:val="nil"/>
              <w:bottom w:val="nil"/>
              <w:right w:val="nil"/>
            </w:tcBorders>
          </w:tcPr>
          <w:p>
            <w:pPr>
              <w:pStyle w:val="TableParagraph"/>
              <w:spacing w:before="26"/>
              <w:ind w:right="65"/>
              <w:rPr>
                <w:sz w:val="20"/>
              </w:rPr>
            </w:pPr>
            <w:r>
              <w:rPr>
                <w:sz w:val="20"/>
              </w:rPr>
              <w:t>11.84</w:t>
            </w:r>
          </w:p>
        </w:tc>
        <w:tc>
          <w:tcPr>
            <w:tcW w:w="929" w:type="dxa"/>
            <w:tcBorders>
              <w:top w:val="nil"/>
              <w:left w:val="nil"/>
              <w:bottom w:val="nil"/>
              <w:right w:val="nil"/>
            </w:tcBorders>
          </w:tcPr>
          <w:p>
            <w:pPr>
              <w:pStyle w:val="TableParagraph"/>
              <w:spacing w:before="26"/>
              <w:ind w:right="67"/>
              <w:rPr>
                <w:sz w:val="20"/>
              </w:rPr>
            </w:pPr>
            <w:r>
              <w:rPr>
                <w:sz w:val="20"/>
              </w:rPr>
              <w:t>13.59</w:t>
            </w:r>
          </w:p>
        </w:tc>
        <w:tc>
          <w:tcPr>
            <w:tcW w:w="939" w:type="dxa"/>
            <w:tcBorders>
              <w:top w:val="nil"/>
              <w:left w:val="nil"/>
              <w:bottom w:val="nil"/>
              <w:right w:val="nil"/>
            </w:tcBorders>
          </w:tcPr>
          <w:p>
            <w:pPr>
              <w:pStyle w:val="TableParagraph"/>
              <w:spacing w:before="26"/>
              <w:ind w:right="65"/>
              <w:rPr>
                <w:sz w:val="20"/>
              </w:rPr>
            </w:pPr>
            <w:r>
              <w:rPr>
                <w:sz w:val="20"/>
              </w:rPr>
              <w:t>13.36</w:t>
            </w:r>
          </w:p>
        </w:tc>
        <w:tc>
          <w:tcPr>
            <w:tcW w:w="932" w:type="dxa"/>
            <w:tcBorders>
              <w:top w:val="nil"/>
              <w:left w:val="nil"/>
              <w:bottom w:val="nil"/>
              <w:right w:val="nil"/>
            </w:tcBorders>
          </w:tcPr>
          <w:p>
            <w:pPr>
              <w:pStyle w:val="TableParagraph"/>
              <w:spacing w:before="26"/>
              <w:ind w:right="70"/>
              <w:rPr>
                <w:sz w:val="20"/>
              </w:rPr>
            </w:pPr>
            <w:r>
              <w:rPr>
                <w:sz w:val="20"/>
              </w:rPr>
              <w:t>12.05</w:t>
            </w:r>
          </w:p>
        </w:tc>
        <w:tc>
          <w:tcPr>
            <w:tcW w:w="1042" w:type="dxa"/>
            <w:tcBorders>
              <w:top w:val="nil"/>
              <w:left w:val="nil"/>
              <w:bottom w:val="nil"/>
              <w:right w:val="nil"/>
            </w:tcBorders>
          </w:tcPr>
          <w:p>
            <w:pPr>
              <w:pStyle w:val="TableParagraph"/>
              <w:spacing w:before="26"/>
              <w:ind w:right="65"/>
              <w:rPr>
                <w:sz w:val="20"/>
              </w:rPr>
            </w:pPr>
            <w:r>
              <w:rPr>
                <w:sz w:val="20"/>
              </w:rPr>
              <w:t>8.73</w:t>
            </w:r>
          </w:p>
        </w:tc>
        <w:tc>
          <w:tcPr>
            <w:tcW w:w="1027" w:type="dxa"/>
            <w:tcBorders>
              <w:top w:val="nil"/>
              <w:left w:val="nil"/>
              <w:bottom w:val="nil"/>
              <w:right w:val="nil"/>
            </w:tcBorders>
          </w:tcPr>
          <w:p>
            <w:pPr>
              <w:pStyle w:val="TableParagraph"/>
              <w:spacing w:before="26"/>
              <w:ind w:right="65"/>
              <w:rPr>
                <w:sz w:val="20"/>
              </w:rPr>
            </w:pPr>
            <w:r>
              <w:rPr>
                <w:sz w:val="20"/>
              </w:rPr>
              <w:t>7.6</w:t>
            </w:r>
          </w:p>
        </w:tc>
        <w:tc>
          <w:tcPr>
            <w:tcW w:w="1023" w:type="dxa"/>
            <w:tcBorders>
              <w:top w:val="nil"/>
              <w:left w:val="nil"/>
              <w:bottom w:val="nil"/>
              <w:right w:val="nil"/>
            </w:tcBorders>
          </w:tcPr>
          <w:p>
            <w:pPr>
              <w:pStyle w:val="TableParagraph"/>
              <w:spacing w:before="26"/>
              <w:ind w:right="60"/>
              <w:rPr>
                <w:sz w:val="20"/>
              </w:rPr>
            </w:pPr>
            <w:r>
              <w:rPr>
                <w:sz w:val="20"/>
              </w:rPr>
              <w:t>5.57</w:t>
            </w:r>
          </w:p>
        </w:tc>
      </w:tr>
      <w:tr>
        <w:trPr>
          <w:trHeight w:val="300" w:hRule="exact"/>
        </w:trPr>
        <w:tc>
          <w:tcPr>
            <w:tcW w:w="1129" w:type="dxa"/>
            <w:tcBorders>
              <w:top w:val="nil"/>
              <w:left w:val="nil"/>
              <w:bottom w:val="nil"/>
              <w:right w:val="nil"/>
            </w:tcBorders>
          </w:tcPr>
          <w:p>
            <w:pPr>
              <w:pStyle w:val="TableParagraph"/>
              <w:ind w:left="72"/>
              <w:jc w:val="left"/>
              <w:rPr>
                <w:sz w:val="20"/>
              </w:rPr>
            </w:pPr>
            <w:r>
              <w:rPr>
                <w:sz w:val="20"/>
              </w:rPr>
              <w:t>13</w:t>
            </w:r>
          </w:p>
        </w:tc>
        <w:tc>
          <w:tcPr>
            <w:tcW w:w="1030" w:type="dxa"/>
            <w:tcBorders>
              <w:top w:val="nil"/>
              <w:left w:val="nil"/>
              <w:bottom w:val="nil"/>
              <w:right w:val="nil"/>
            </w:tcBorders>
          </w:tcPr>
          <w:p>
            <w:pPr>
              <w:pStyle w:val="TableParagraph"/>
              <w:ind w:left="71"/>
              <w:jc w:val="left"/>
              <w:rPr>
                <w:sz w:val="20"/>
              </w:rPr>
            </w:pPr>
            <w:r>
              <w:rPr>
                <w:sz w:val="20"/>
              </w:rPr>
              <w:t>15001</w:t>
            </w:r>
          </w:p>
        </w:tc>
        <w:tc>
          <w:tcPr>
            <w:tcW w:w="976" w:type="dxa"/>
            <w:tcBorders>
              <w:top w:val="nil"/>
              <w:left w:val="nil"/>
              <w:bottom w:val="nil"/>
              <w:right w:val="nil"/>
            </w:tcBorders>
          </w:tcPr>
          <w:p>
            <w:pPr>
              <w:pStyle w:val="TableParagraph"/>
              <w:ind w:right="65"/>
              <w:rPr>
                <w:sz w:val="20"/>
              </w:rPr>
            </w:pPr>
            <w:r>
              <w:rPr>
                <w:sz w:val="20"/>
              </w:rPr>
              <w:t>7.96</w:t>
            </w:r>
          </w:p>
        </w:tc>
        <w:tc>
          <w:tcPr>
            <w:tcW w:w="931" w:type="dxa"/>
            <w:tcBorders>
              <w:top w:val="nil"/>
              <w:left w:val="nil"/>
              <w:bottom w:val="nil"/>
              <w:right w:val="nil"/>
            </w:tcBorders>
          </w:tcPr>
          <w:p>
            <w:pPr>
              <w:pStyle w:val="TableParagraph"/>
              <w:ind w:right="70"/>
              <w:rPr>
                <w:sz w:val="20"/>
              </w:rPr>
            </w:pPr>
            <w:r>
              <w:rPr>
                <w:sz w:val="20"/>
              </w:rPr>
              <w:t>7.18</w:t>
            </w:r>
          </w:p>
        </w:tc>
        <w:tc>
          <w:tcPr>
            <w:tcW w:w="941" w:type="dxa"/>
            <w:tcBorders>
              <w:top w:val="nil"/>
              <w:left w:val="nil"/>
              <w:bottom w:val="nil"/>
              <w:right w:val="nil"/>
            </w:tcBorders>
          </w:tcPr>
          <w:p>
            <w:pPr>
              <w:pStyle w:val="TableParagraph"/>
              <w:ind w:right="65"/>
              <w:rPr>
                <w:sz w:val="20"/>
              </w:rPr>
            </w:pPr>
            <w:r>
              <w:rPr>
                <w:sz w:val="20"/>
              </w:rPr>
              <w:t>5.63</w:t>
            </w:r>
          </w:p>
        </w:tc>
        <w:tc>
          <w:tcPr>
            <w:tcW w:w="938" w:type="dxa"/>
            <w:tcBorders>
              <w:top w:val="nil"/>
              <w:left w:val="nil"/>
              <w:bottom w:val="nil"/>
              <w:right w:val="nil"/>
            </w:tcBorders>
          </w:tcPr>
          <w:p>
            <w:pPr>
              <w:pStyle w:val="TableParagraph"/>
              <w:ind w:right="67"/>
              <w:rPr>
                <w:sz w:val="20"/>
              </w:rPr>
            </w:pPr>
            <w:r>
              <w:rPr>
                <w:sz w:val="20"/>
              </w:rPr>
              <w:t>6.66</w:t>
            </w:r>
          </w:p>
        </w:tc>
        <w:tc>
          <w:tcPr>
            <w:tcW w:w="941" w:type="dxa"/>
            <w:tcBorders>
              <w:top w:val="nil"/>
              <w:left w:val="nil"/>
              <w:bottom w:val="nil"/>
              <w:right w:val="nil"/>
            </w:tcBorders>
          </w:tcPr>
          <w:p>
            <w:pPr>
              <w:pStyle w:val="TableParagraph"/>
              <w:ind w:right="67"/>
              <w:rPr>
                <w:sz w:val="20"/>
              </w:rPr>
            </w:pPr>
            <w:r>
              <w:rPr>
                <w:sz w:val="20"/>
              </w:rPr>
              <w:t>9.42</w:t>
            </w:r>
          </w:p>
        </w:tc>
        <w:tc>
          <w:tcPr>
            <w:tcW w:w="939" w:type="dxa"/>
            <w:tcBorders>
              <w:top w:val="nil"/>
              <w:left w:val="nil"/>
              <w:bottom w:val="nil"/>
              <w:right w:val="nil"/>
            </w:tcBorders>
          </w:tcPr>
          <w:p>
            <w:pPr>
              <w:pStyle w:val="TableParagraph"/>
              <w:ind w:right="65"/>
              <w:rPr>
                <w:sz w:val="20"/>
              </w:rPr>
            </w:pPr>
            <w:r>
              <w:rPr>
                <w:sz w:val="20"/>
              </w:rPr>
              <w:t>11.84</w:t>
            </w:r>
          </w:p>
        </w:tc>
        <w:tc>
          <w:tcPr>
            <w:tcW w:w="929" w:type="dxa"/>
            <w:tcBorders>
              <w:top w:val="nil"/>
              <w:left w:val="nil"/>
              <w:bottom w:val="nil"/>
              <w:right w:val="nil"/>
            </w:tcBorders>
          </w:tcPr>
          <w:p>
            <w:pPr>
              <w:pStyle w:val="TableParagraph"/>
              <w:ind w:right="67"/>
              <w:rPr>
                <w:sz w:val="20"/>
              </w:rPr>
            </w:pPr>
            <w:r>
              <w:rPr>
                <w:sz w:val="20"/>
              </w:rPr>
              <w:t>13.59</w:t>
            </w:r>
          </w:p>
        </w:tc>
        <w:tc>
          <w:tcPr>
            <w:tcW w:w="939" w:type="dxa"/>
            <w:tcBorders>
              <w:top w:val="nil"/>
              <w:left w:val="nil"/>
              <w:bottom w:val="nil"/>
              <w:right w:val="nil"/>
            </w:tcBorders>
          </w:tcPr>
          <w:p>
            <w:pPr>
              <w:pStyle w:val="TableParagraph"/>
              <w:ind w:right="65"/>
              <w:rPr>
                <w:sz w:val="20"/>
              </w:rPr>
            </w:pPr>
            <w:r>
              <w:rPr>
                <w:sz w:val="20"/>
              </w:rPr>
              <w:t>13.36</w:t>
            </w:r>
          </w:p>
        </w:tc>
        <w:tc>
          <w:tcPr>
            <w:tcW w:w="932" w:type="dxa"/>
            <w:tcBorders>
              <w:top w:val="nil"/>
              <w:left w:val="nil"/>
              <w:bottom w:val="nil"/>
              <w:right w:val="nil"/>
            </w:tcBorders>
          </w:tcPr>
          <w:p>
            <w:pPr>
              <w:pStyle w:val="TableParagraph"/>
              <w:ind w:right="70"/>
              <w:rPr>
                <w:sz w:val="20"/>
              </w:rPr>
            </w:pPr>
            <w:r>
              <w:rPr>
                <w:sz w:val="20"/>
              </w:rPr>
              <w:t>12.05</w:t>
            </w:r>
          </w:p>
        </w:tc>
        <w:tc>
          <w:tcPr>
            <w:tcW w:w="1042" w:type="dxa"/>
            <w:tcBorders>
              <w:top w:val="nil"/>
              <w:left w:val="nil"/>
              <w:bottom w:val="nil"/>
              <w:right w:val="nil"/>
            </w:tcBorders>
          </w:tcPr>
          <w:p>
            <w:pPr>
              <w:pStyle w:val="TableParagraph"/>
              <w:ind w:right="65"/>
              <w:rPr>
                <w:sz w:val="20"/>
              </w:rPr>
            </w:pPr>
            <w:r>
              <w:rPr>
                <w:sz w:val="20"/>
              </w:rPr>
              <w:t>8.73</w:t>
            </w:r>
          </w:p>
        </w:tc>
        <w:tc>
          <w:tcPr>
            <w:tcW w:w="1027" w:type="dxa"/>
            <w:tcBorders>
              <w:top w:val="nil"/>
              <w:left w:val="nil"/>
              <w:bottom w:val="nil"/>
              <w:right w:val="nil"/>
            </w:tcBorders>
          </w:tcPr>
          <w:p>
            <w:pPr>
              <w:pStyle w:val="TableParagraph"/>
              <w:ind w:right="65"/>
              <w:rPr>
                <w:sz w:val="20"/>
              </w:rPr>
            </w:pPr>
            <w:r>
              <w:rPr>
                <w:sz w:val="20"/>
              </w:rPr>
              <w:t>7.6</w:t>
            </w:r>
          </w:p>
        </w:tc>
        <w:tc>
          <w:tcPr>
            <w:tcW w:w="1023" w:type="dxa"/>
            <w:tcBorders>
              <w:top w:val="nil"/>
              <w:left w:val="nil"/>
              <w:bottom w:val="nil"/>
              <w:right w:val="nil"/>
            </w:tcBorders>
          </w:tcPr>
          <w:p>
            <w:pPr>
              <w:pStyle w:val="TableParagraph"/>
              <w:ind w:right="60"/>
              <w:rPr>
                <w:sz w:val="20"/>
              </w:rPr>
            </w:pPr>
            <w:r>
              <w:rPr>
                <w:sz w:val="20"/>
              </w:rPr>
              <w:t>5.57</w:t>
            </w:r>
          </w:p>
        </w:tc>
      </w:tr>
      <w:tr>
        <w:trPr>
          <w:trHeight w:val="300" w:hRule="exact"/>
        </w:trPr>
        <w:tc>
          <w:tcPr>
            <w:tcW w:w="1129" w:type="dxa"/>
            <w:tcBorders>
              <w:top w:val="nil"/>
              <w:left w:val="nil"/>
              <w:bottom w:val="nil"/>
              <w:right w:val="nil"/>
            </w:tcBorders>
          </w:tcPr>
          <w:p>
            <w:pPr>
              <w:pStyle w:val="TableParagraph"/>
              <w:spacing w:before="26"/>
              <w:ind w:left="72"/>
              <w:jc w:val="left"/>
              <w:rPr>
                <w:sz w:val="20"/>
              </w:rPr>
            </w:pPr>
            <w:r>
              <w:rPr>
                <w:sz w:val="20"/>
              </w:rPr>
              <w:t>14</w:t>
            </w:r>
          </w:p>
        </w:tc>
        <w:tc>
          <w:tcPr>
            <w:tcW w:w="1030" w:type="dxa"/>
            <w:tcBorders>
              <w:top w:val="nil"/>
              <w:left w:val="nil"/>
              <w:bottom w:val="nil"/>
              <w:right w:val="nil"/>
            </w:tcBorders>
          </w:tcPr>
          <w:p>
            <w:pPr>
              <w:pStyle w:val="TableParagraph"/>
              <w:spacing w:before="26"/>
              <w:ind w:left="71"/>
              <w:jc w:val="left"/>
              <w:rPr>
                <w:sz w:val="20"/>
              </w:rPr>
            </w:pPr>
            <w:r>
              <w:rPr>
                <w:sz w:val="20"/>
              </w:rPr>
              <w:t>15001</w:t>
            </w:r>
          </w:p>
        </w:tc>
        <w:tc>
          <w:tcPr>
            <w:tcW w:w="976" w:type="dxa"/>
            <w:tcBorders>
              <w:top w:val="nil"/>
              <w:left w:val="nil"/>
              <w:bottom w:val="nil"/>
              <w:right w:val="nil"/>
            </w:tcBorders>
          </w:tcPr>
          <w:p>
            <w:pPr>
              <w:pStyle w:val="TableParagraph"/>
              <w:spacing w:before="26"/>
              <w:ind w:right="65"/>
              <w:rPr>
                <w:sz w:val="20"/>
              </w:rPr>
            </w:pPr>
            <w:r>
              <w:rPr>
                <w:sz w:val="20"/>
              </w:rPr>
              <w:t>7.96</w:t>
            </w:r>
          </w:p>
        </w:tc>
        <w:tc>
          <w:tcPr>
            <w:tcW w:w="931" w:type="dxa"/>
            <w:tcBorders>
              <w:top w:val="nil"/>
              <w:left w:val="nil"/>
              <w:bottom w:val="nil"/>
              <w:right w:val="nil"/>
            </w:tcBorders>
          </w:tcPr>
          <w:p>
            <w:pPr>
              <w:pStyle w:val="TableParagraph"/>
              <w:spacing w:before="26"/>
              <w:ind w:right="70"/>
              <w:rPr>
                <w:sz w:val="20"/>
              </w:rPr>
            </w:pPr>
            <w:r>
              <w:rPr>
                <w:sz w:val="20"/>
              </w:rPr>
              <w:t>7.18</w:t>
            </w:r>
          </w:p>
        </w:tc>
        <w:tc>
          <w:tcPr>
            <w:tcW w:w="941" w:type="dxa"/>
            <w:tcBorders>
              <w:top w:val="nil"/>
              <w:left w:val="nil"/>
              <w:bottom w:val="nil"/>
              <w:right w:val="nil"/>
            </w:tcBorders>
          </w:tcPr>
          <w:p>
            <w:pPr>
              <w:pStyle w:val="TableParagraph"/>
              <w:spacing w:before="26"/>
              <w:ind w:right="65"/>
              <w:rPr>
                <w:sz w:val="20"/>
              </w:rPr>
            </w:pPr>
            <w:r>
              <w:rPr>
                <w:sz w:val="20"/>
              </w:rPr>
              <w:t>5.63</w:t>
            </w:r>
          </w:p>
        </w:tc>
        <w:tc>
          <w:tcPr>
            <w:tcW w:w="938" w:type="dxa"/>
            <w:tcBorders>
              <w:top w:val="nil"/>
              <w:left w:val="nil"/>
              <w:bottom w:val="nil"/>
              <w:right w:val="nil"/>
            </w:tcBorders>
          </w:tcPr>
          <w:p>
            <w:pPr>
              <w:pStyle w:val="TableParagraph"/>
              <w:spacing w:before="26"/>
              <w:ind w:right="67"/>
              <w:rPr>
                <w:sz w:val="20"/>
              </w:rPr>
            </w:pPr>
            <w:r>
              <w:rPr>
                <w:sz w:val="20"/>
              </w:rPr>
              <w:t>6.66</w:t>
            </w:r>
          </w:p>
        </w:tc>
        <w:tc>
          <w:tcPr>
            <w:tcW w:w="941" w:type="dxa"/>
            <w:tcBorders>
              <w:top w:val="nil"/>
              <w:left w:val="nil"/>
              <w:bottom w:val="nil"/>
              <w:right w:val="nil"/>
            </w:tcBorders>
          </w:tcPr>
          <w:p>
            <w:pPr>
              <w:pStyle w:val="TableParagraph"/>
              <w:spacing w:before="26"/>
              <w:ind w:right="67"/>
              <w:rPr>
                <w:sz w:val="20"/>
              </w:rPr>
            </w:pPr>
            <w:r>
              <w:rPr>
                <w:sz w:val="20"/>
              </w:rPr>
              <w:t>9.42</w:t>
            </w:r>
          </w:p>
        </w:tc>
        <w:tc>
          <w:tcPr>
            <w:tcW w:w="939" w:type="dxa"/>
            <w:tcBorders>
              <w:top w:val="nil"/>
              <w:left w:val="nil"/>
              <w:bottom w:val="nil"/>
              <w:right w:val="nil"/>
            </w:tcBorders>
          </w:tcPr>
          <w:p>
            <w:pPr>
              <w:pStyle w:val="TableParagraph"/>
              <w:spacing w:before="26"/>
              <w:ind w:right="65"/>
              <w:rPr>
                <w:sz w:val="20"/>
              </w:rPr>
            </w:pPr>
            <w:r>
              <w:rPr>
                <w:sz w:val="20"/>
              </w:rPr>
              <w:t>11.84</w:t>
            </w:r>
          </w:p>
        </w:tc>
        <w:tc>
          <w:tcPr>
            <w:tcW w:w="929" w:type="dxa"/>
            <w:tcBorders>
              <w:top w:val="nil"/>
              <w:left w:val="nil"/>
              <w:bottom w:val="nil"/>
              <w:right w:val="nil"/>
            </w:tcBorders>
          </w:tcPr>
          <w:p>
            <w:pPr>
              <w:pStyle w:val="TableParagraph"/>
              <w:spacing w:before="26"/>
              <w:ind w:right="67"/>
              <w:rPr>
                <w:sz w:val="20"/>
              </w:rPr>
            </w:pPr>
            <w:r>
              <w:rPr>
                <w:sz w:val="20"/>
              </w:rPr>
              <w:t>13.59</w:t>
            </w:r>
          </w:p>
        </w:tc>
        <w:tc>
          <w:tcPr>
            <w:tcW w:w="939" w:type="dxa"/>
            <w:tcBorders>
              <w:top w:val="nil"/>
              <w:left w:val="nil"/>
              <w:bottom w:val="nil"/>
              <w:right w:val="nil"/>
            </w:tcBorders>
          </w:tcPr>
          <w:p>
            <w:pPr>
              <w:pStyle w:val="TableParagraph"/>
              <w:spacing w:before="26"/>
              <w:ind w:right="65"/>
              <w:rPr>
                <w:sz w:val="20"/>
              </w:rPr>
            </w:pPr>
            <w:r>
              <w:rPr>
                <w:sz w:val="20"/>
              </w:rPr>
              <w:t>13.36</w:t>
            </w:r>
          </w:p>
        </w:tc>
        <w:tc>
          <w:tcPr>
            <w:tcW w:w="932" w:type="dxa"/>
            <w:tcBorders>
              <w:top w:val="nil"/>
              <w:left w:val="nil"/>
              <w:bottom w:val="nil"/>
              <w:right w:val="nil"/>
            </w:tcBorders>
          </w:tcPr>
          <w:p>
            <w:pPr>
              <w:pStyle w:val="TableParagraph"/>
              <w:spacing w:before="26"/>
              <w:ind w:right="70"/>
              <w:rPr>
                <w:sz w:val="20"/>
              </w:rPr>
            </w:pPr>
            <w:r>
              <w:rPr>
                <w:sz w:val="20"/>
              </w:rPr>
              <w:t>12.05</w:t>
            </w:r>
          </w:p>
        </w:tc>
        <w:tc>
          <w:tcPr>
            <w:tcW w:w="1042" w:type="dxa"/>
            <w:tcBorders>
              <w:top w:val="nil"/>
              <w:left w:val="nil"/>
              <w:bottom w:val="nil"/>
              <w:right w:val="nil"/>
            </w:tcBorders>
          </w:tcPr>
          <w:p>
            <w:pPr>
              <w:pStyle w:val="TableParagraph"/>
              <w:spacing w:before="26"/>
              <w:ind w:right="65"/>
              <w:rPr>
                <w:sz w:val="20"/>
              </w:rPr>
            </w:pPr>
            <w:r>
              <w:rPr>
                <w:sz w:val="20"/>
              </w:rPr>
              <w:t>8.73</w:t>
            </w:r>
          </w:p>
        </w:tc>
        <w:tc>
          <w:tcPr>
            <w:tcW w:w="1027" w:type="dxa"/>
            <w:tcBorders>
              <w:top w:val="nil"/>
              <w:left w:val="nil"/>
              <w:bottom w:val="nil"/>
              <w:right w:val="nil"/>
            </w:tcBorders>
          </w:tcPr>
          <w:p>
            <w:pPr>
              <w:pStyle w:val="TableParagraph"/>
              <w:spacing w:before="26"/>
              <w:ind w:right="65"/>
              <w:rPr>
                <w:sz w:val="20"/>
              </w:rPr>
            </w:pPr>
            <w:r>
              <w:rPr>
                <w:sz w:val="20"/>
              </w:rPr>
              <w:t>7.6</w:t>
            </w:r>
          </w:p>
        </w:tc>
        <w:tc>
          <w:tcPr>
            <w:tcW w:w="1023" w:type="dxa"/>
            <w:tcBorders>
              <w:top w:val="nil"/>
              <w:left w:val="nil"/>
              <w:bottom w:val="nil"/>
              <w:right w:val="nil"/>
            </w:tcBorders>
          </w:tcPr>
          <w:p>
            <w:pPr>
              <w:pStyle w:val="TableParagraph"/>
              <w:spacing w:before="26"/>
              <w:ind w:right="60"/>
              <w:rPr>
                <w:sz w:val="20"/>
              </w:rPr>
            </w:pPr>
            <w:r>
              <w:rPr>
                <w:sz w:val="20"/>
              </w:rPr>
              <w:t>5.57</w:t>
            </w:r>
          </w:p>
        </w:tc>
      </w:tr>
      <w:tr>
        <w:trPr>
          <w:trHeight w:val="300" w:hRule="exact"/>
        </w:trPr>
        <w:tc>
          <w:tcPr>
            <w:tcW w:w="1129" w:type="dxa"/>
            <w:tcBorders>
              <w:top w:val="nil"/>
              <w:left w:val="nil"/>
              <w:bottom w:val="nil"/>
              <w:right w:val="nil"/>
            </w:tcBorders>
          </w:tcPr>
          <w:p>
            <w:pPr>
              <w:pStyle w:val="TableParagraph"/>
              <w:ind w:left="72"/>
              <w:jc w:val="left"/>
              <w:rPr>
                <w:sz w:val="20"/>
              </w:rPr>
            </w:pPr>
            <w:r>
              <w:rPr>
                <w:sz w:val="20"/>
              </w:rPr>
              <w:t>15</w:t>
            </w:r>
          </w:p>
        </w:tc>
        <w:tc>
          <w:tcPr>
            <w:tcW w:w="1030" w:type="dxa"/>
            <w:tcBorders>
              <w:top w:val="nil"/>
              <w:left w:val="nil"/>
              <w:bottom w:val="nil"/>
              <w:right w:val="nil"/>
            </w:tcBorders>
          </w:tcPr>
          <w:p>
            <w:pPr>
              <w:pStyle w:val="TableParagraph"/>
              <w:ind w:left="71"/>
              <w:jc w:val="left"/>
              <w:rPr>
                <w:sz w:val="20"/>
              </w:rPr>
            </w:pPr>
            <w:r>
              <w:rPr>
                <w:sz w:val="20"/>
              </w:rPr>
              <w:t>15001</w:t>
            </w:r>
          </w:p>
        </w:tc>
        <w:tc>
          <w:tcPr>
            <w:tcW w:w="976" w:type="dxa"/>
            <w:tcBorders>
              <w:top w:val="nil"/>
              <w:left w:val="nil"/>
              <w:bottom w:val="nil"/>
              <w:right w:val="nil"/>
            </w:tcBorders>
          </w:tcPr>
          <w:p>
            <w:pPr>
              <w:pStyle w:val="TableParagraph"/>
              <w:ind w:right="65"/>
              <w:rPr>
                <w:sz w:val="20"/>
              </w:rPr>
            </w:pPr>
            <w:r>
              <w:rPr>
                <w:sz w:val="20"/>
              </w:rPr>
              <w:t>7.96</w:t>
            </w:r>
          </w:p>
        </w:tc>
        <w:tc>
          <w:tcPr>
            <w:tcW w:w="931" w:type="dxa"/>
            <w:tcBorders>
              <w:top w:val="nil"/>
              <w:left w:val="nil"/>
              <w:bottom w:val="nil"/>
              <w:right w:val="nil"/>
            </w:tcBorders>
          </w:tcPr>
          <w:p>
            <w:pPr>
              <w:pStyle w:val="TableParagraph"/>
              <w:ind w:right="70"/>
              <w:rPr>
                <w:sz w:val="20"/>
              </w:rPr>
            </w:pPr>
            <w:r>
              <w:rPr>
                <w:sz w:val="20"/>
              </w:rPr>
              <w:t>7.18</w:t>
            </w:r>
          </w:p>
        </w:tc>
        <w:tc>
          <w:tcPr>
            <w:tcW w:w="941" w:type="dxa"/>
            <w:tcBorders>
              <w:top w:val="nil"/>
              <w:left w:val="nil"/>
              <w:bottom w:val="nil"/>
              <w:right w:val="nil"/>
            </w:tcBorders>
          </w:tcPr>
          <w:p>
            <w:pPr>
              <w:pStyle w:val="TableParagraph"/>
              <w:ind w:right="65"/>
              <w:rPr>
                <w:sz w:val="20"/>
              </w:rPr>
            </w:pPr>
            <w:r>
              <w:rPr>
                <w:sz w:val="20"/>
              </w:rPr>
              <w:t>5.63</w:t>
            </w:r>
          </w:p>
        </w:tc>
        <w:tc>
          <w:tcPr>
            <w:tcW w:w="938" w:type="dxa"/>
            <w:tcBorders>
              <w:top w:val="nil"/>
              <w:left w:val="nil"/>
              <w:bottom w:val="nil"/>
              <w:right w:val="nil"/>
            </w:tcBorders>
          </w:tcPr>
          <w:p>
            <w:pPr>
              <w:pStyle w:val="TableParagraph"/>
              <w:ind w:right="67"/>
              <w:rPr>
                <w:sz w:val="20"/>
              </w:rPr>
            </w:pPr>
            <w:r>
              <w:rPr>
                <w:sz w:val="20"/>
              </w:rPr>
              <w:t>6.66</w:t>
            </w:r>
          </w:p>
        </w:tc>
        <w:tc>
          <w:tcPr>
            <w:tcW w:w="941" w:type="dxa"/>
            <w:tcBorders>
              <w:top w:val="nil"/>
              <w:left w:val="nil"/>
              <w:bottom w:val="nil"/>
              <w:right w:val="nil"/>
            </w:tcBorders>
          </w:tcPr>
          <w:p>
            <w:pPr>
              <w:pStyle w:val="TableParagraph"/>
              <w:ind w:right="67"/>
              <w:rPr>
                <w:sz w:val="20"/>
              </w:rPr>
            </w:pPr>
            <w:r>
              <w:rPr>
                <w:sz w:val="20"/>
              </w:rPr>
              <w:t>9.42</w:t>
            </w:r>
          </w:p>
        </w:tc>
        <w:tc>
          <w:tcPr>
            <w:tcW w:w="939" w:type="dxa"/>
            <w:tcBorders>
              <w:top w:val="nil"/>
              <w:left w:val="nil"/>
              <w:bottom w:val="nil"/>
              <w:right w:val="nil"/>
            </w:tcBorders>
          </w:tcPr>
          <w:p>
            <w:pPr>
              <w:pStyle w:val="TableParagraph"/>
              <w:ind w:right="65"/>
              <w:rPr>
                <w:sz w:val="20"/>
              </w:rPr>
            </w:pPr>
            <w:r>
              <w:rPr>
                <w:sz w:val="20"/>
              </w:rPr>
              <w:t>11.84</w:t>
            </w:r>
          </w:p>
        </w:tc>
        <w:tc>
          <w:tcPr>
            <w:tcW w:w="929" w:type="dxa"/>
            <w:tcBorders>
              <w:top w:val="nil"/>
              <w:left w:val="nil"/>
              <w:bottom w:val="nil"/>
              <w:right w:val="nil"/>
            </w:tcBorders>
          </w:tcPr>
          <w:p>
            <w:pPr>
              <w:pStyle w:val="TableParagraph"/>
              <w:ind w:right="67"/>
              <w:rPr>
                <w:sz w:val="20"/>
              </w:rPr>
            </w:pPr>
            <w:r>
              <w:rPr>
                <w:sz w:val="20"/>
              </w:rPr>
              <w:t>13.59</w:t>
            </w:r>
          </w:p>
        </w:tc>
        <w:tc>
          <w:tcPr>
            <w:tcW w:w="939" w:type="dxa"/>
            <w:tcBorders>
              <w:top w:val="nil"/>
              <w:left w:val="nil"/>
              <w:bottom w:val="nil"/>
              <w:right w:val="nil"/>
            </w:tcBorders>
          </w:tcPr>
          <w:p>
            <w:pPr>
              <w:pStyle w:val="TableParagraph"/>
              <w:ind w:right="65"/>
              <w:rPr>
                <w:sz w:val="20"/>
              </w:rPr>
            </w:pPr>
            <w:r>
              <w:rPr>
                <w:sz w:val="20"/>
              </w:rPr>
              <w:t>13.36</w:t>
            </w:r>
          </w:p>
        </w:tc>
        <w:tc>
          <w:tcPr>
            <w:tcW w:w="932" w:type="dxa"/>
            <w:tcBorders>
              <w:top w:val="nil"/>
              <w:left w:val="nil"/>
              <w:bottom w:val="nil"/>
              <w:right w:val="nil"/>
            </w:tcBorders>
          </w:tcPr>
          <w:p>
            <w:pPr>
              <w:pStyle w:val="TableParagraph"/>
              <w:ind w:right="70"/>
              <w:rPr>
                <w:sz w:val="20"/>
              </w:rPr>
            </w:pPr>
            <w:r>
              <w:rPr>
                <w:sz w:val="20"/>
              </w:rPr>
              <w:t>12.05</w:t>
            </w:r>
          </w:p>
        </w:tc>
        <w:tc>
          <w:tcPr>
            <w:tcW w:w="1042" w:type="dxa"/>
            <w:tcBorders>
              <w:top w:val="nil"/>
              <w:left w:val="nil"/>
              <w:bottom w:val="nil"/>
              <w:right w:val="nil"/>
            </w:tcBorders>
          </w:tcPr>
          <w:p>
            <w:pPr>
              <w:pStyle w:val="TableParagraph"/>
              <w:ind w:right="65"/>
              <w:rPr>
                <w:sz w:val="20"/>
              </w:rPr>
            </w:pPr>
            <w:r>
              <w:rPr>
                <w:sz w:val="20"/>
              </w:rPr>
              <w:t>8.73</w:t>
            </w:r>
          </w:p>
        </w:tc>
        <w:tc>
          <w:tcPr>
            <w:tcW w:w="1027" w:type="dxa"/>
            <w:tcBorders>
              <w:top w:val="nil"/>
              <w:left w:val="nil"/>
              <w:bottom w:val="nil"/>
              <w:right w:val="nil"/>
            </w:tcBorders>
          </w:tcPr>
          <w:p>
            <w:pPr>
              <w:pStyle w:val="TableParagraph"/>
              <w:ind w:right="65"/>
              <w:rPr>
                <w:sz w:val="20"/>
              </w:rPr>
            </w:pPr>
            <w:r>
              <w:rPr>
                <w:sz w:val="20"/>
              </w:rPr>
              <w:t>7.6</w:t>
            </w:r>
          </w:p>
        </w:tc>
        <w:tc>
          <w:tcPr>
            <w:tcW w:w="1023" w:type="dxa"/>
            <w:tcBorders>
              <w:top w:val="nil"/>
              <w:left w:val="nil"/>
              <w:bottom w:val="nil"/>
              <w:right w:val="nil"/>
            </w:tcBorders>
          </w:tcPr>
          <w:p>
            <w:pPr>
              <w:pStyle w:val="TableParagraph"/>
              <w:ind w:right="60"/>
              <w:rPr>
                <w:sz w:val="20"/>
              </w:rPr>
            </w:pPr>
            <w:r>
              <w:rPr>
                <w:sz w:val="20"/>
              </w:rPr>
              <w:t>5.57</w:t>
            </w:r>
          </w:p>
        </w:tc>
      </w:tr>
      <w:tr>
        <w:trPr>
          <w:trHeight w:val="300" w:hRule="exact"/>
        </w:trPr>
        <w:tc>
          <w:tcPr>
            <w:tcW w:w="1129" w:type="dxa"/>
            <w:tcBorders>
              <w:top w:val="nil"/>
              <w:left w:val="nil"/>
              <w:bottom w:val="nil"/>
              <w:right w:val="nil"/>
            </w:tcBorders>
          </w:tcPr>
          <w:p>
            <w:pPr>
              <w:pStyle w:val="TableParagraph"/>
              <w:spacing w:before="26"/>
              <w:ind w:left="72"/>
              <w:jc w:val="left"/>
              <w:rPr>
                <w:sz w:val="20"/>
              </w:rPr>
            </w:pPr>
            <w:r>
              <w:rPr>
                <w:sz w:val="20"/>
              </w:rPr>
              <w:t>16</w:t>
            </w:r>
          </w:p>
        </w:tc>
        <w:tc>
          <w:tcPr>
            <w:tcW w:w="1030" w:type="dxa"/>
            <w:tcBorders>
              <w:top w:val="nil"/>
              <w:left w:val="nil"/>
              <w:bottom w:val="nil"/>
              <w:right w:val="nil"/>
            </w:tcBorders>
          </w:tcPr>
          <w:p>
            <w:pPr>
              <w:pStyle w:val="TableParagraph"/>
              <w:spacing w:before="26"/>
              <w:ind w:left="71"/>
              <w:jc w:val="left"/>
              <w:rPr>
                <w:sz w:val="20"/>
              </w:rPr>
            </w:pPr>
            <w:r>
              <w:rPr>
                <w:sz w:val="20"/>
              </w:rPr>
              <w:t>15001</w:t>
            </w:r>
          </w:p>
        </w:tc>
        <w:tc>
          <w:tcPr>
            <w:tcW w:w="976" w:type="dxa"/>
            <w:tcBorders>
              <w:top w:val="nil"/>
              <w:left w:val="nil"/>
              <w:bottom w:val="nil"/>
              <w:right w:val="nil"/>
            </w:tcBorders>
          </w:tcPr>
          <w:p>
            <w:pPr>
              <w:pStyle w:val="TableParagraph"/>
              <w:spacing w:before="26"/>
              <w:ind w:right="65"/>
              <w:rPr>
                <w:sz w:val="20"/>
              </w:rPr>
            </w:pPr>
            <w:r>
              <w:rPr>
                <w:sz w:val="20"/>
              </w:rPr>
              <w:t>7.96</w:t>
            </w:r>
          </w:p>
        </w:tc>
        <w:tc>
          <w:tcPr>
            <w:tcW w:w="931" w:type="dxa"/>
            <w:tcBorders>
              <w:top w:val="nil"/>
              <w:left w:val="nil"/>
              <w:bottom w:val="nil"/>
              <w:right w:val="nil"/>
            </w:tcBorders>
          </w:tcPr>
          <w:p>
            <w:pPr>
              <w:pStyle w:val="TableParagraph"/>
              <w:spacing w:before="26"/>
              <w:ind w:right="70"/>
              <w:rPr>
                <w:sz w:val="20"/>
              </w:rPr>
            </w:pPr>
            <w:r>
              <w:rPr>
                <w:sz w:val="20"/>
              </w:rPr>
              <w:t>7.18</w:t>
            </w:r>
          </w:p>
        </w:tc>
        <w:tc>
          <w:tcPr>
            <w:tcW w:w="941" w:type="dxa"/>
            <w:tcBorders>
              <w:top w:val="nil"/>
              <w:left w:val="nil"/>
              <w:bottom w:val="nil"/>
              <w:right w:val="nil"/>
            </w:tcBorders>
          </w:tcPr>
          <w:p>
            <w:pPr>
              <w:pStyle w:val="TableParagraph"/>
              <w:spacing w:before="26"/>
              <w:ind w:right="65"/>
              <w:rPr>
                <w:sz w:val="20"/>
              </w:rPr>
            </w:pPr>
            <w:r>
              <w:rPr>
                <w:sz w:val="20"/>
              </w:rPr>
              <w:t>5.63</w:t>
            </w:r>
          </w:p>
        </w:tc>
        <w:tc>
          <w:tcPr>
            <w:tcW w:w="938" w:type="dxa"/>
            <w:tcBorders>
              <w:top w:val="nil"/>
              <w:left w:val="nil"/>
              <w:bottom w:val="nil"/>
              <w:right w:val="nil"/>
            </w:tcBorders>
          </w:tcPr>
          <w:p>
            <w:pPr>
              <w:pStyle w:val="TableParagraph"/>
              <w:spacing w:before="26"/>
              <w:ind w:right="67"/>
              <w:rPr>
                <w:sz w:val="20"/>
              </w:rPr>
            </w:pPr>
            <w:r>
              <w:rPr>
                <w:sz w:val="20"/>
              </w:rPr>
              <w:t>6.66</w:t>
            </w:r>
          </w:p>
        </w:tc>
        <w:tc>
          <w:tcPr>
            <w:tcW w:w="941" w:type="dxa"/>
            <w:tcBorders>
              <w:top w:val="nil"/>
              <w:left w:val="nil"/>
              <w:bottom w:val="nil"/>
              <w:right w:val="nil"/>
            </w:tcBorders>
          </w:tcPr>
          <w:p>
            <w:pPr>
              <w:pStyle w:val="TableParagraph"/>
              <w:spacing w:before="26"/>
              <w:ind w:right="67"/>
              <w:rPr>
                <w:sz w:val="20"/>
              </w:rPr>
            </w:pPr>
            <w:r>
              <w:rPr>
                <w:sz w:val="20"/>
              </w:rPr>
              <w:t>9.42</w:t>
            </w:r>
          </w:p>
        </w:tc>
        <w:tc>
          <w:tcPr>
            <w:tcW w:w="939" w:type="dxa"/>
            <w:tcBorders>
              <w:top w:val="nil"/>
              <w:left w:val="nil"/>
              <w:bottom w:val="nil"/>
              <w:right w:val="nil"/>
            </w:tcBorders>
          </w:tcPr>
          <w:p>
            <w:pPr>
              <w:pStyle w:val="TableParagraph"/>
              <w:spacing w:before="26"/>
              <w:ind w:right="65"/>
              <w:rPr>
                <w:sz w:val="20"/>
              </w:rPr>
            </w:pPr>
            <w:r>
              <w:rPr>
                <w:sz w:val="20"/>
              </w:rPr>
              <w:t>11.84</w:t>
            </w:r>
          </w:p>
        </w:tc>
        <w:tc>
          <w:tcPr>
            <w:tcW w:w="929" w:type="dxa"/>
            <w:tcBorders>
              <w:top w:val="nil"/>
              <w:left w:val="nil"/>
              <w:bottom w:val="nil"/>
              <w:right w:val="nil"/>
            </w:tcBorders>
          </w:tcPr>
          <w:p>
            <w:pPr>
              <w:pStyle w:val="TableParagraph"/>
              <w:spacing w:before="26"/>
              <w:ind w:right="67"/>
              <w:rPr>
                <w:sz w:val="20"/>
              </w:rPr>
            </w:pPr>
            <w:r>
              <w:rPr>
                <w:sz w:val="20"/>
              </w:rPr>
              <w:t>13.59</w:t>
            </w:r>
          </w:p>
        </w:tc>
        <w:tc>
          <w:tcPr>
            <w:tcW w:w="939" w:type="dxa"/>
            <w:tcBorders>
              <w:top w:val="nil"/>
              <w:left w:val="nil"/>
              <w:bottom w:val="nil"/>
              <w:right w:val="nil"/>
            </w:tcBorders>
          </w:tcPr>
          <w:p>
            <w:pPr>
              <w:pStyle w:val="TableParagraph"/>
              <w:spacing w:before="26"/>
              <w:ind w:right="65"/>
              <w:rPr>
                <w:sz w:val="20"/>
              </w:rPr>
            </w:pPr>
            <w:r>
              <w:rPr>
                <w:sz w:val="20"/>
              </w:rPr>
              <w:t>13.36</w:t>
            </w:r>
          </w:p>
        </w:tc>
        <w:tc>
          <w:tcPr>
            <w:tcW w:w="932" w:type="dxa"/>
            <w:tcBorders>
              <w:top w:val="nil"/>
              <w:left w:val="nil"/>
              <w:bottom w:val="nil"/>
              <w:right w:val="nil"/>
            </w:tcBorders>
          </w:tcPr>
          <w:p>
            <w:pPr>
              <w:pStyle w:val="TableParagraph"/>
              <w:spacing w:before="26"/>
              <w:ind w:right="70"/>
              <w:rPr>
                <w:sz w:val="20"/>
              </w:rPr>
            </w:pPr>
            <w:r>
              <w:rPr>
                <w:sz w:val="20"/>
              </w:rPr>
              <w:t>12.05</w:t>
            </w:r>
          </w:p>
        </w:tc>
        <w:tc>
          <w:tcPr>
            <w:tcW w:w="1042" w:type="dxa"/>
            <w:tcBorders>
              <w:top w:val="nil"/>
              <w:left w:val="nil"/>
              <w:bottom w:val="nil"/>
              <w:right w:val="nil"/>
            </w:tcBorders>
          </w:tcPr>
          <w:p>
            <w:pPr>
              <w:pStyle w:val="TableParagraph"/>
              <w:spacing w:before="26"/>
              <w:ind w:right="65"/>
              <w:rPr>
                <w:sz w:val="20"/>
              </w:rPr>
            </w:pPr>
            <w:r>
              <w:rPr>
                <w:sz w:val="20"/>
              </w:rPr>
              <w:t>8.73</w:t>
            </w:r>
          </w:p>
        </w:tc>
        <w:tc>
          <w:tcPr>
            <w:tcW w:w="1027" w:type="dxa"/>
            <w:tcBorders>
              <w:top w:val="nil"/>
              <w:left w:val="nil"/>
              <w:bottom w:val="nil"/>
              <w:right w:val="nil"/>
            </w:tcBorders>
          </w:tcPr>
          <w:p>
            <w:pPr>
              <w:pStyle w:val="TableParagraph"/>
              <w:spacing w:before="26"/>
              <w:ind w:right="65"/>
              <w:rPr>
                <w:sz w:val="20"/>
              </w:rPr>
            </w:pPr>
            <w:r>
              <w:rPr>
                <w:sz w:val="20"/>
              </w:rPr>
              <w:t>7.6</w:t>
            </w:r>
          </w:p>
        </w:tc>
        <w:tc>
          <w:tcPr>
            <w:tcW w:w="1023" w:type="dxa"/>
            <w:tcBorders>
              <w:top w:val="nil"/>
              <w:left w:val="nil"/>
              <w:bottom w:val="nil"/>
              <w:right w:val="nil"/>
            </w:tcBorders>
          </w:tcPr>
          <w:p>
            <w:pPr>
              <w:pStyle w:val="TableParagraph"/>
              <w:spacing w:before="26"/>
              <w:ind w:right="60"/>
              <w:rPr>
                <w:sz w:val="20"/>
              </w:rPr>
            </w:pPr>
            <w:r>
              <w:rPr>
                <w:sz w:val="20"/>
              </w:rPr>
              <w:t>5.57</w:t>
            </w:r>
          </w:p>
        </w:tc>
      </w:tr>
      <w:tr>
        <w:trPr>
          <w:trHeight w:val="300" w:hRule="exact"/>
        </w:trPr>
        <w:tc>
          <w:tcPr>
            <w:tcW w:w="1129" w:type="dxa"/>
            <w:tcBorders>
              <w:top w:val="nil"/>
              <w:left w:val="nil"/>
              <w:bottom w:val="nil"/>
              <w:right w:val="nil"/>
            </w:tcBorders>
          </w:tcPr>
          <w:p>
            <w:pPr>
              <w:pStyle w:val="TableParagraph"/>
              <w:ind w:left="72"/>
              <w:jc w:val="left"/>
              <w:rPr>
                <w:sz w:val="20"/>
              </w:rPr>
            </w:pPr>
            <w:r>
              <w:rPr>
                <w:sz w:val="20"/>
              </w:rPr>
              <w:t>17</w:t>
            </w:r>
          </w:p>
        </w:tc>
        <w:tc>
          <w:tcPr>
            <w:tcW w:w="1030" w:type="dxa"/>
            <w:tcBorders>
              <w:top w:val="nil"/>
              <w:left w:val="nil"/>
              <w:bottom w:val="nil"/>
              <w:right w:val="nil"/>
            </w:tcBorders>
          </w:tcPr>
          <w:p>
            <w:pPr>
              <w:pStyle w:val="TableParagraph"/>
              <w:ind w:left="71"/>
              <w:jc w:val="left"/>
              <w:rPr>
                <w:sz w:val="20"/>
              </w:rPr>
            </w:pPr>
            <w:r>
              <w:rPr>
                <w:sz w:val="20"/>
              </w:rPr>
              <w:t>15001</w:t>
            </w:r>
          </w:p>
        </w:tc>
        <w:tc>
          <w:tcPr>
            <w:tcW w:w="976" w:type="dxa"/>
            <w:tcBorders>
              <w:top w:val="nil"/>
              <w:left w:val="nil"/>
              <w:bottom w:val="nil"/>
              <w:right w:val="nil"/>
            </w:tcBorders>
          </w:tcPr>
          <w:p>
            <w:pPr>
              <w:pStyle w:val="TableParagraph"/>
              <w:ind w:right="65"/>
              <w:rPr>
                <w:sz w:val="20"/>
              </w:rPr>
            </w:pPr>
            <w:r>
              <w:rPr>
                <w:sz w:val="20"/>
              </w:rPr>
              <w:t>7.96</w:t>
            </w:r>
          </w:p>
        </w:tc>
        <w:tc>
          <w:tcPr>
            <w:tcW w:w="931" w:type="dxa"/>
            <w:tcBorders>
              <w:top w:val="nil"/>
              <w:left w:val="nil"/>
              <w:bottom w:val="nil"/>
              <w:right w:val="nil"/>
            </w:tcBorders>
          </w:tcPr>
          <w:p>
            <w:pPr>
              <w:pStyle w:val="TableParagraph"/>
              <w:ind w:right="70"/>
              <w:rPr>
                <w:sz w:val="20"/>
              </w:rPr>
            </w:pPr>
            <w:r>
              <w:rPr>
                <w:sz w:val="20"/>
              </w:rPr>
              <w:t>7.18</w:t>
            </w:r>
          </w:p>
        </w:tc>
        <w:tc>
          <w:tcPr>
            <w:tcW w:w="941" w:type="dxa"/>
            <w:tcBorders>
              <w:top w:val="nil"/>
              <w:left w:val="nil"/>
              <w:bottom w:val="nil"/>
              <w:right w:val="nil"/>
            </w:tcBorders>
          </w:tcPr>
          <w:p>
            <w:pPr>
              <w:pStyle w:val="TableParagraph"/>
              <w:ind w:right="65"/>
              <w:rPr>
                <w:sz w:val="20"/>
              </w:rPr>
            </w:pPr>
            <w:r>
              <w:rPr>
                <w:sz w:val="20"/>
              </w:rPr>
              <w:t>5.63</w:t>
            </w:r>
          </w:p>
        </w:tc>
        <w:tc>
          <w:tcPr>
            <w:tcW w:w="938" w:type="dxa"/>
            <w:tcBorders>
              <w:top w:val="nil"/>
              <w:left w:val="nil"/>
              <w:bottom w:val="nil"/>
              <w:right w:val="nil"/>
            </w:tcBorders>
          </w:tcPr>
          <w:p>
            <w:pPr>
              <w:pStyle w:val="TableParagraph"/>
              <w:ind w:right="67"/>
              <w:rPr>
                <w:sz w:val="20"/>
              </w:rPr>
            </w:pPr>
            <w:r>
              <w:rPr>
                <w:sz w:val="20"/>
              </w:rPr>
              <w:t>6.66</w:t>
            </w:r>
          </w:p>
        </w:tc>
        <w:tc>
          <w:tcPr>
            <w:tcW w:w="941" w:type="dxa"/>
            <w:tcBorders>
              <w:top w:val="nil"/>
              <w:left w:val="nil"/>
              <w:bottom w:val="nil"/>
              <w:right w:val="nil"/>
            </w:tcBorders>
          </w:tcPr>
          <w:p>
            <w:pPr>
              <w:pStyle w:val="TableParagraph"/>
              <w:ind w:right="67"/>
              <w:rPr>
                <w:sz w:val="20"/>
              </w:rPr>
            </w:pPr>
            <w:r>
              <w:rPr>
                <w:sz w:val="20"/>
              </w:rPr>
              <w:t>9.42</w:t>
            </w:r>
          </w:p>
        </w:tc>
        <w:tc>
          <w:tcPr>
            <w:tcW w:w="939" w:type="dxa"/>
            <w:tcBorders>
              <w:top w:val="nil"/>
              <w:left w:val="nil"/>
              <w:bottom w:val="nil"/>
              <w:right w:val="nil"/>
            </w:tcBorders>
          </w:tcPr>
          <w:p>
            <w:pPr>
              <w:pStyle w:val="TableParagraph"/>
              <w:ind w:right="65"/>
              <w:rPr>
                <w:sz w:val="20"/>
              </w:rPr>
            </w:pPr>
            <w:r>
              <w:rPr>
                <w:sz w:val="20"/>
              </w:rPr>
              <w:t>11.84</w:t>
            </w:r>
          </w:p>
        </w:tc>
        <w:tc>
          <w:tcPr>
            <w:tcW w:w="929" w:type="dxa"/>
            <w:tcBorders>
              <w:top w:val="nil"/>
              <w:left w:val="nil"/>
              <w:bottom w:val="nil"/>
              <w:right w:val="nil"/>
            </w:tcBorders>
          </w:tcPr>
          <w:p>
            <w:pPr>
              <w:pStyle w:val="TableParagraph"/>
              <w:ind w:right="67"/>
              <w:rPr>
                <w:sz w:val="20"/>
              </w:rPr>
            </w:pPr>
            <w:r>
              <w:rPr>
                <w:sz w:val="20"/>
              </w:rPr>
              <w:t>13.59</w:t>
            </w:r>
          </w:p>
        </w:tc>
        <w:tc>
          <w:tcPr>
            <w:tcW w:w="939" w:type="dxa"/>
            <w:tcBorders>
              <w:top w:val="nil"/>
              <w:left w:val="nil"/>
              <w:bottom w:val="nil"/>
              <w:right w:val="nil"/>
            </w:tcBorders>
          </w:tcPr>
          <w:p>
            <w:pPr>
              <w:pStyle w:val="TableParagraph"/>
              <w:ind w:right="65"/>
              <w:rPr>
                <w:sz w:val="20"/>
              </w:rPr>
            </w:pPr>
            <w:r>
              <w:rPr>
                <w:sz w:val="20"/>
              </w:rPr>
              <w:t>13.36</w:t>
            </w:r>
          </w:p>
        </w:tc>
        <w:tc>
          <w:tcPr>
            <w:tcW w:w="932" w:type="dxa"/>
            <w:tcBorders>
              <w:top w:val="nil"/>
              <w:left w:val="nil"/>
              <w:bottom w:val="nil"/>
              <w:right w:val="nil"/>
            </w:tcBorders>
          </w:tcPr>
          <w:p>
            <w:pPr>
              <w:pStyle w:val="TableParagraph"/>
              <w:ind w:right="70"/>
              <w:rPr>
                <w:sz w:val="20"/>
              </w:rPr>
            </w:pPr>
            <w:r>
              <w:rPr>
                <w:sz w:val="20"/>
              </w:rPr>
              <w:t>12.05</w:t>
            </w:r>
          </w:p>
        </w:tc>
        <w:tc>
          <w:tcPr>
            <w:tcW w:w="1042" w:type="dxa"/>
            <w:tcBorders>
              <w:top w:val="nil"/>
              <w:left w:val="nil"/>
              <w:bottom w:val="nil"/>
              <w:right w:val="nil"/>
            </w:tcBorders>
          </w:tcPr>
          <w:p>
            <w:pPr>
              <w:pStyle w:val="TableParagraph"/>
              <w:ind w:right="65"/>
              <w:rPr>
                <w:sz w:val="20"/>
              </w:rPr>
            </w:pPr>
            <w:r>
              <w:rPr>
                <w:sz w:val="20"/>
              </w:rPr>
              <w:t>8.73</w:t>
            </w:r>
          </w:p>
        </w:tc>
        <w:tc>
          <w:tcPr>
            <w:tcW w:w="1027" w:type="dxa"/>
            <w:tcBorders>
              <w:top w:val="nil"/>
              <w:left w:val="nil"/>
              <w:bottom w:val="nil"/>
              <w:right w:val="nil"/>
            </w:tcBorders>
          </w:tcPr>
          <w:p>
            <w:pPr>
              <w:pStyle w:val="TableParagraph"/>
              <w:ind w:right="65"/>
              <w:rPr>
                <w:sz w:val="20"/>
              </w:rPr>
            </w:pPr>
            <w:r>
              <w:rPr>
                <w:sz w:val="20"/>
              </w:rPr>
              <w:t>7.6</w:t>
            </w:r>
          </w:p>
        </w:tc>
        <w:tc>
          <w:tcPr>
            <w:tcW w:w="1023" w:type="dxa"/>
            <w:tcBorders>
              <w:top w:val="nil"/>
              <w:left w:val="nil"/>
              <w:bottom w:val="nil"/>
              <w:right w:val="nil"/>
            </w:tcBorders>
          </w:tcPr>
          <w:p>
            <w:pPr>
              <w:pStyle w:val="TableParagraph"/>
              <w:ind w:right="60"/>
              <w:rPr>
                <w:sz w:val="20"/>
              </w:rPr>
            </w:pPr>
            <w:r>
              <w:rPr>
                <w:sz w:val="20"/>
              </w:rPr>
              <w:t>5.57</w:t>
            </w:r>
          </w:p>
        </w:tc>
      </w:tr>
      <w:tr>
        <w:trPr>
          <w:trHeight w:val="300" w:hRule="exact"/>
        </w:trPr>
        <w:tc>
          <w:tcPr>
            <w:tcW w:w="1129" w:type="dxa"/>
            <w:tcBorders>
              <w:top w:val="nil"/>
              <w:left w:val="nil"/>
              <w:bottom w:val="nil"/>
              <w:right w:val="nil"/>
            </w:tcBorders>
          </w:tcPr>
          <w:p>
            <w:pPr>
              <w:pStyle w:val="TableParagraph"/>
              <w:spacing w:before="26"/>
              <w:ind w:left="72"/>
              <w:jc w:val="left"/>
              <w:rPr>
                <w:sz w:val="20"/>
              </w:rPr>
            </w:pPr>
            <w:r>
              <w:rPr>
                <w:sz w:val="20"/>
              </w:rPr>
              <w:t>18</w:t>
            </w:r>
          </w:p>
        </w:tc>
        <w:tc>
          <w:tcPr>
            <w:tcW w:w="1030" w:type="dxa"/>
            <w:tcBorders>
              <w:top w:val="nil"/>
              <w:left w:val="nil"/>
              <w:bottom w:val="nil"/>
              <w:right w:val="nil"/>
            </w:tcBorders>
          </w:tcPr>
          <w:p>
            <w:pPr>
              <w:pStyle w:val="TableParagraph"/>
              <w:spacing w:before="26"/>
              <w:ind w:left="71"/>
              <w:jc w:val="left"/>
              <w:rPr>
                <w:sz w:val="20"/>
              </w:rPr>
            </w:pPr>
            <w:r>
              <w:rPr>
                <w:sz w:val="20"/>
              </w:rPr>
              <w:t>15001</w:t>
            </w:r>
          </w:p>
        </w:tc>
        <w:tc>
          <w:tcPr>
            <w:tcW w:w="976" w:type="dxa"/>
            <w:tcBorders>
              <w:top w:val="nil"/>
              <w:left w:val="nil"/>
              <w:bottom w:val="nil"/>
              <w:right w:val="nil"/>
            </w:tcBorders>
          </w:tcPr>
          <w:p>
            <w:pPr>
              <w:pStyle w:val="TableParagraph"/>
              <w:spacing w:before="26"/>
              <w:ind w:right="65"/>
              <w:rPr>
                <w:sz w:val="20"/>
              </w:rPr>
            </w:pPr>
            <w:r>
              <w:rPr>
                <w:sz w:val="20"/>
              </w:rPr>
              <w:t>7.96</w:t>
            </w:r>
          </w:p>
        </w:tc>
        <w:tc>
          <w:tcPr>
            <w:tcW w:w="931" w:type="dxa"/>
            <w:tcBorders>
              <w:top w:val="nil"/>
              <w:left w:val="nil"/>
              <w:bottom w:val="nil"/>
              <w:right w:val="nil"/>
            </w:tcBorders>
          </w:tcPr>
          <w:p>
            <w:pPr>
              <w:pStyle w:val="TableParagraph"/>
              <w:spacing w:before="26"/>
              <w:ind w:right="70"/>
              <w:rPr>
                <w:sz w:val="20"/>
              </w:rPr>
            </w:pPr>
            <w:r>
              <w:rPr>
                <w:sz w:val="20"/>
              </w:rPr>
              <w:t>7.18</w:t>
            </w:r>
          </w:p>
        </w:tc>
        <w:tc>
          <w:tcPr>
            <w:tcW w:w="941" w:type="dxa"/>
            <w:tcBorders>
              <w:top w:val="nil"/>
              <w:left w:val="nil"/>
              <w:bottom w:val="nil"/>
              <w:right w:val="nil"/>
            </w:tcBorders>
          </w:tcPr>
          <w:p>
            <w:pPr>
              <w:pStyle w:val="TableParagraph"/>
              <w:spacing w:before="26"/>
              <w:ind w:right="65"/>
              <w:rPr>
                <w:sz w:val="20"/>
              </w:rPr>
            </w:pPr>
            <w:r>
              <w:rPr>
                <w:sz w:val="20"/>
              </w:rPr>
              <w:t>5.63</w:t>
            </w:r>
          </w:p>
        </w:tc>
        <w:tc>
          <w:tcPr>
            <w:tcW w:w="938" w:type="dxa"/>
            <w:tcBorders>
              <w:top w:val="nil"/>
              <w:left w:val="nil"/>
              <w:bottom w:val="nil"/>
              <w:right w:val="nil"/>
            </w:tcBorders>
          </w:tcPr>
          <w:p>
            <w:pPr>
              <w:pStyle w:val="TableParagraph"/>
              <w:spacing w:before="26"/>
              <w:ind w:right="67"/>
              <w:rPr>
                <w:sz w:val="20"/>
              </w:rPr>
            </w:pPr>
            <w:r>
              <w:rPr>
                <w:sz w:val="20"/>
              </w:rPr>
              <w:t>6.66</w:t>
            </w:r>
          </w:p>
        </w:tc>
        <w:tc>
          <w:tcPr>
            <w:tcW w:w="941" w:type="dxa"/>
            <w:tcBorders>
              <w:top w:val="nil"/>
              <w:left w:val="nil"/>
              <w:bottom w:val="nil"/>
              <w:right w:val="nil"/>
            </w:tcBorders>
          </w:tcPr>
          <w:p>
            <w:pPr>
              <w:pStyle w:val="TableParagraph"/>
              <w:spacing w:before="26"/>
              <w:ind w:right="67"/>
              <w:rPr>
                <w:sz w:val="20"/>
              </w:rPr>
            </w:pPr>
            <w:r>
              <w:rPr>
                <w:sz w:val="20"/>
              </w:rPr>
              <w:t>9.42</w:t>
            </w:r>
          </w:p>
        </w:tc>
        <w:tc>
          <w:tcPr>
            <w:tcW w:w="939" w:type="dxa"/>
            <w:tcBorders>
              <w:top w:val="nil"/>
              <w:left w:val="nil"/>
              <w:bottom w:val="nil"/>
              <w:right w:val="nil"/>
            </w:tcBorders>
          </w:tcPr>
          <w:p>
            <w:pPr>
              <w:pStyle w:val="TableParagraph"/>
              <w:spacing w:before="26"/>
              <w:ind w:right="65"/>
              <w:rPr>
                <w:sz w:val="20"/>
              </w:rPr>
            </w:pPr>
            <w:r>
              <w:rPr>
                <w:sz w:val="20"/>
              </w:rPr>
              <w:t>11.84</w:t>
            </w:r>
          </w:p>
        </w:tc>
        <w:tc>
          <w:tcPr>
            <w:tcW w:w="929" w:type="dxa"/>
            <w:tcBorders>
              <w:top w:val="nil"/>
              <w:left w:val="nil"/>
              <w:bottom w:val="nil"/>
              <w:right w:val="nil"/>
            </w:tcBorders>
          </w:tcPr>
          <w:p>
            <w:pPr>
              <w:pStyle w:val="TableParagraph"/>
              <w:spacing w:before="26"/>
              <w:ind w:right="67"/>
              <w:rPr>
                <w:sz w:val="20"/>
              </w:rPr>
            </w:pPr>
            <w:r>
              <w:rPr>
                <w:sz w:val="20"/>
              </w:rPr>
              <w:t>13.59</w:t>
            </w:r>
          </w:p>
        </w:tc>
        <w:tc>
          <w:tcPr>
            <w:tcW w:w="939" w:type="dxa"/>
            <w:tcBorders>
              <w:top w:val="nil"/>
              <w:left w:val="nil"/>
              <w:bottom w:val="nil"/>
              <w:right w:val="nil"/>
            </w:tcBorders>
          </w:tcPr>
          <w:p>
            <w:pPr>
              <w:pStyle w:val="TableParagraph"/>
              <w:spacing w:before="26"/>
              <w:ind w:right="65"/>
              <w:rPr>
                <w:sz w:val="20"/>
              </w:rPr>
            </w:pPr>
            <w:r>
              <w:rPr>
                <w:sz w:val="20"/>
              </w:rPr>
              <w:t>13.36</w:t>
            </w:r>
          </w:p>
        </w:tc>
        <w:tc>
          <w:tcPr>
            <w:tcW w:w="932" w:type="dxa"/>
            <w:tcBorders>
              <w:top w:val="nil"/>
              <w:left w:val="nil"/>
              <w:bottom w:val="nil"/>
              <w:right w:val="nil"/>
            </w:tcBorders>
          </w:tcPr>
          <w:p>
            <w:pPr>
              <w:pStyle w:val="TableParagraph"/>
              <w:spacing w:before="26"/>
              <w:ind w:right="70"/>
              <w:rPr>
                <w:sz w:val="20"/>
              </w:rPr>
            </w:pPr>
            <w:r>
              <w:rPr>
                <w:sz w:val="20"/>
              </w:rPr>
              <w:t>12.05</w:t>
            </w:r>
          </w:p>
        </w:tc>
        <w:tc>
          <w:tcPr>
            <w:tcW w:w="1042" w:type="dxa"/>
            <w:tcBorders>
              <w:top w:val="nil"/>
              <w:left w:val="nil"/>
              <w:bottom w:val="nil"/>
              <w:right w:val="nil"/>
            </w:tcBorders>
          </w:tcPr>
          <w:p>
            <w:pPr>
              <w:pStyle w:val="TableParagraph"/>
              <w:spacing w:before="26"/>
              <w:ind w:right="65"/>
              <w:rPr>
                <w:sz w:val="20"/>
              </w:rPr>
            </w:pPr>
            <w:r>
              <w:rPr>
                <w:sz w:val="20"/>
              </w:rPr>
              <w:t>8.73</w:t>
            </w:r>
          </w:p>
        </w:tc>
        <w:tc>
          <w:tcPr>
            <w:tcW w:w="1027" w:type="dxa"/>
            <w:tcBorders>
              <w:top w:val="nil"/>
              <w:left w:val="nil"/>
              <w:bottom w:val="nil"/>
              <w:right w:val="nil"/>
            </w:tcBorders>
          </w:tcPr>
          <w:p>
            <w:pPr>
              <w:pStyle w:val="TableParagraph"/>
              <w:spacing w:before="26"/>
              <w:ind w:right="65"/>
              <w:rPr>
                <w:sz w:val="20"/>
              </w:rPr>
            </w:pPr>
            <w:r>
              <w:rPr>
                <w:sz w:val="20"/>
              </w:rPr>
              <w:t>7.6</w:t>
            </w:r>
          </w:p>
        </w:tc>
        <w:tc>
          <w:tcPr>
            <w:tcW w:w="1023" w:type="dxa"/>
            <w:tcBorders>
              <w:top w:val="nil"/>
              <w:left w:val="nil"/>
              <w:bottom w:val="nil"/>
              <w:right w:val="nil"/>
            </w:tcBorders>
          </w:tcPr>
          <w:p>
            <w:pPr>
              <w:pStyle w:val="TableParagraph"/>
              <w:spacing w:before="26"/>
              <w:ind w:right="60"/>
              <w:rPr>
                <w:sz w:val="20"/>
              </w:rPr>
            </w:pPr>
            <w:r>
              <w:rPr>
                <w:sz w:val="20"/>
              </w:rPr>
              <w:t>5.57</w:t>
            </w:r>
          </w:p>
        </w:tc>
      </w:tr>
      <w:tr>
        <w:trPr>
          <w:trHeight w:val="300" w:hRule="exact"/>
        </w:trPr>
        <w:tc>
          <w:tcPr>
            <w:tcW w:w="1129" w:type="dxa"/>
            <w:tcBorders>
              <w:top w:val="nil"/>
              <w:left w:val="nil"/>
              <w:bottom w:val="nil"/>
              <w:right w:val="nil"/>
            </w:tcBorders>
          </w:tcPr>
          <w:p>
            <w:pPr>
              <w:pStyle w:val="TableParagraph"/>
              <w:ind w:left="72"/>
              <w:jc w:val="left"/>
              <w:rPr>
                <w:sz w:val="20"/>
              </w:rPr>
            </w:pPr>
            <w:r>
              <w:rPr>
                <w:sz w:val="20"/>
              </w:rPr>
              <w:t>19</w:t>
            </w:r>
          </w:p>
        </w:tc>
        <w:tc>
          <w:tcPr>
            <w:tcW w:w="1030" w:type="dxa"/>
            <w:tcBorders>
              <w:top w:val="nil"/>
              <w:left w:val="nil"/>
              <w:bottom w:val="nil"/>
              <w:right w:val="nil"/>
            </w:tcBorders>
          </w:tcPr>
          <w:p>
            <w:pPr>
              <w:pStyle w:val="TableParagraph"/>
              <w:ind w:left="71"/>
              <w:jc w:val="left"/>
              <w:rPr>
                <w:sz w:val="20"/>
              </w:rPr>
            </w:pPr>
            <w:r>
              <w:rPr>
                <w:sz w:val="20"/>
              </w:rPr>
              <w:t>15001</w:t>
            </w:r>
          </w:p>
        </w:tc>
        <w:tc>
          <w:tcPr>
            <w:tcW w:w="976" w:type="dxa"/>
            <w:tcBorders>
              <w:top w:val="nil"/>
              <w:left w:val="nil"/>
              <w:bottom w:val="nil"/>
              <w:right w:val="nil"/>
            </w:tcBorders>
          </w:tcPr>
          <w:p>
            <w:pPr>
              <w:pStyle w:val="TableParagraph"/>
              <w:ind w:right="65"/>
              <w:rPr>
                <w:sz w:val="20"/>
              </w:rPr>
            </w:pPr>
            <w:r>
              <w:rPr>
                <w:sz w:val="20"/>
              </w:rPr>
              <w:t>7.96</w:t>
            </w:r>
          </w:p>
        </w:tc>
        <w:tc>
          <w:tcPr>
            <w:tcW w:w="931" w:type="dxa"/>
            <w:tcBorders>
              <w:top w:val="nil"/>
              <w:left w:val="nil"/>
              <w:bottom w:val="nil"/>
              <w:right w:val="nil"/>
            </w:tcBorders>
          </w:tcPr>
          <w:p>
            <w:pPr>
              <w:pStyle w:val="TableParagraph"/>
              <w:ind w:right="70"/>
              <w:rPr>
                <w:sz w:val="20"/>
              </w:rPr>
            </w:pPr>
            <w:r>
              <w:rPr>
                <w:sz w:val="20"/>
              </w:rPr>
              <w:t>7.18</w:t>
            </w:r>
          </w:p>
        </w:tc>
        <w:tc>
          <w:tcPr>
            <w:tcW w:w="941" w:type="dxa"/>
            <w:tcBorders>
              <w:top w:val="nil"/>
              <w:left w:val="nil"/>
              <w:bottom w:val="nil"/>
              <w:right w:val="nil"/>
            </w:tcBorders>
          </w:tcPr>
          <w:p>
            <w:pPr>
              <w:pStyle w:val="TableParagraph"/>
              <w:ind w:right="65"/>
              <w:rPr>
                <w:sz w:val="20"/>
              </w:rPr>
            </w:pPr>
            <w:r>
              <w:rPr>
                <w:sz w:val="20"/>
              </w:rPr>
              <w:t>5.63</w:t>
            </w:r>
          </w:p>
        </w:tc>
        <w:tc>
          <w:tcPr>
            <w:tcW w:w="938" w:type="dxa"/>
            <w:tcBorders>
              <w:top w:val="nil"/>
              <w:left w:val="nil"/>
              <w:bottom w:val="nil"/>
              <w:right w:val="nil"/>
            </w:tcBorders>
          </w:tcPr>
          <w:p>
            <w:pPr>
              <w:pStyle w:val="TableParagraph"/>
              <w:ind w:right="67"/>
              <w:rPr>
                <w:sz w:val="20"/>
              </w:rPr>
            </w:pPr>
            <w:r>
              <w:rPr>
                <w:sz w:val="20"/>
              </w:rPr>
              <w:t>6.66</w:t>
            </w:r>
          </w:p>
        </w:tc>
        <w:tc>
          <w:tcPr>
            <w:tcW w:w="941" w:type="dxa"/>
            <w:tcBorders>
              <w:top w:val="nil"/>
              <w:left w:val="nil"/>
              <w:bottom w:val="nil"/>
              <w:right w:val="nil"/>
            </w:tcBorders>
          </w:tcPr>
          <w:p>
            <w:pPr>
              <w:pStyle w:val="TableParagraph"/>
              <w:ind w:right="67"/>
              <w:rPr>
                <w:sz w:val="20"/>
              </w:rPr>
            </w:pPr>
            <w:r>
              <w:rPr>
                <w:sz w:val="20"/>
              </w:rPr>
              <w:t>9.42</w:t>
            </w:r>
          </w:p>
        </w:tc>
        <w:tc>
          <w:tcPr>
            <w:tcW w:w="939" w:type="dxa"/>
            <w:tcBorders>
              <w:top w:val="nil"/>
              <w:left w:val="nil"/>
              <w:bottom w:val="nil"/>
              <w:right w:val="nil"/>
            </w:tcBorders>
          </w:tcPr>
          <w:p>
            <w:pPr>
              <w:pStyle w:val="TableParagraph"/>
              <w:ind w:right="65"/>
              <w:rPr>
                <w:sz w:val="20"/>
              </w:rPr>
            </w:pPr>
            <w:r>
              <w:rPr>
                <w:sz w:val="20"/>
              </w:rPr>
              <w:t>11.84</w:t>
            </w:r>
          </w:p>
        </w:tc>
        <w:tc>
          <w:tcPr>
            <w:tcW w:w="929" w:type="dxa"/>
            <w:tcBorders>
              <w:top w:val="nil"/>
              <w:left w:val="nil"/>
              <w:bottom w:val="nil"/>
              <w:right w:val="nil"/>
            </w:tcBorders>
          </w:tcPr>
          <w:p>
            <w:pPr>
              <w:pStyle w:val="TableParagraph"/>
              <w:ind w:right="67"/>
              <w:rPr>
                <w:sz w:val="20"/>
              </w:rPr>
            </w:pPr>
            <w:r>
              <w:rPr>
                <w:sz w:val="20"/>
              </w:rPr>
              <w:t>13.59</w:t>
            </w:r>
          </w:p>
        </w:tc>
        <w:tc>
          <w:tcPr>
            <w:tcW w:w="939" w:type="dxa"/>
            <w:tcBorders>
              <w:top w:val="nil"/>
              <w:left w:val="nil"/>
              <w:bottom w:val="nil"/>
              <w:right w:val="nil"/>
            </w:tcBorders>
          </w:tcPr>
          <w:p>
            <w:pPr>
              <w:pStyle w:val="TableParagraph"/>
              <w:ind w:right="65"/>
              <w:rPr>
                <w:sz w:val="20"/>
              </w:rPr>
            </w:pPr>
            <w:r>
              <w:rPr>
                <w:sz w:val="20"/>
              </w:rPr>
              <w:t>13.36</w:t>
            </w:r>
          </w:p>
        </w:tc>
        <w:tc>
          <w:tcPr>
            <w:tcW w:w="932" w:type="dxa"/>
            <w:tcBorders>
              <w:top w:val="nil"/>
              <w:left w:val="nil"/>
              <w:bottom w:val="nil"/>
              <w:right w:val="nil"/>
            </w:tcBorders>
          </w:tcPr>
          <w:p>
            <w:pPr>
              <w:pStyle w:val="TableParagraph"/>
              <w:ind w:right="70"/>
              <w:rPr>
                <w:sz w:val="20"/>
              </w:rPr>
            </w:pPr>
            <w:r>
              <w:rPr>
                <w:sz w:val="20"/>
              </w:rPr>
              <w:t>12.05</w:t>
            </w:r>
          </w:p>
        </w:tc>
        <w:tc>
          <w:tcPr>
            <w:tcW w:w="1042" w:type="dxa"/>
            <w:tcBorders>
              <w:top w:val="nil"/>
              <w:left w:val="nil"/>
              <w:bottom w:val="nil"/>
              <w:right w:val="nil"/>
            </w:tcBorders>
          </w:tcPr>
          <w:p>
            <w:pPr>
              <w:pStyle w:val="TableParagraph"/>
              <w:ind w:right="65"/>
              <w:rPr>
                <w:sz w:val="20"/>
              </w:rPr>
            </w:pPr>
            <w:r>
              <w:rPr>
                <w:sz w:val="20"/>
              </w:rPr>
              <w:t>8.73</w:t>
            </w:r>
          </w:p>
        </w:tc>
        <w:tc>
          <w:tcPr>
            <w:tcW w:w="1027" w:type="dxa"/>
            <w:tcBorders>
              <w:top w:val="nil"/>
              <w:left w:val="nil"/>
              <w:bottom w:val="nil"/>
              <w:right w:val="nil"/>
            </w:tcBorders>
          </w:tcPr>
          <w:p>
            <w:pPr>
              <w:pStyle w:val="TableParagraph"/>
              <w:ind w:right="65"/>
              <w:rPr>
                <w:sz w:val="20"/>
              </w:rPr>
            </w:pPr>
            <w:r>
              <w:rPr>
                <w:sz w:val="20"/>
              </w:rPr>
              <w:t>7.6</w:t>
            </w:r>
          </w:p>
        </w:tc>
        <w:tc>
          <w:tcPr>
            <w:tcW w:w="1023" w:type="dxa"/>
            <w:tcBorders>
              <w:top w:val="nil"/>
              <w:left w:val="nil"/>
              <w:bottom w:val="nil"/>
              <w:right w:val="nil"/>
            </w:tcBorders>
          </w:tcPr>
          <w:p>
            <w:pPr>
              <w:pStyle w:val="TableParagraph"/>
              <w:ind w:right="60"/>
              <w:rPr>
                <w:sz w:val="20"/>
              </w:rPr>
            </w:pPr>
            <w:r>
              <w:rPr>
                <w:sz w:val="20"/>
              </w:rPr>
              <w:t>5.57</w:t>
            </w:r>
          </w:p>
        </w:tc>
      </w:tr>
      <w:tr>
        <w:trPr>
          <w:trHeight w:val="300" w:hRule="exact"/>
        </w:trPr>
        <w:tc>
          <w:tcPr>
            <w:tcW w:w="1129" w:type="dxa"/>
            <w:tcBorders>
              <w:top w:val="nil"/>
              <w:left w:val="nil"/>
              <w:bottom w:val="nil"/>
              <w:right w:val="nil"/>
            </w:tcBorders>
          </w:tcPr>
          <w:p>
            <w:pPr>
              <w:pStyle w:val="TableParagraph"/>
              <w:spacing w:before="26"/>
              <w:ind w:left="72"/>
              <w:jc w:val="left"/>
              <w:rPr>
                <w:sz w:val="20"/>
              </w:rPr>
            </w:pPr>
            <w:r>
              <w:rPr>
                <w:sz w:val="20"/>
              </w:rPr>
              <w:t>20</w:t>
            </w:r>
          </w:p>
        </w:tc>
        <w:tc>
          <w:tcPr>
            <w:tcW w:w="1030" w:type="dxa"/>
            <w:tcBorders>
              <w:top w:val="nil"/>
              <w:left w:val="nil"/>
              <w:bottom w:val="nil"/>
              <w:right w:val="nil"/>
            </w:tcBorders>
          </w:tcPr>
          <w:p>
            <w:pPr>
              <w:pStyle w:val="TableParagraph"/>
              <w:spacing w:before="26"/>
              <w:ind w:left="71"/>
              <w:jc w:val="left"/>
              <w:rPr>
                <w:sz w:val="20"/>
              </w:rPr>
            </w:pPr>
            <w:r>
              <w:rPr>
                <w:sz w:val="20"/>
              </w:rPr>
              <w:t>15029</w:t>
            </w:r>
          </w:p>
        </w:tc>
        <w:tc>
          <w:tcPr>
            <w:tcW w:w="976" w:type="dxa"/>
            <w:tcBorders>
              <w:top w:val="nil"/>
              <w:left w:val="nil"/>
              <w:bottom w:val="nil"/>
              <w:right w:val="nil"/>
            </w:tcBorders>
          </w:tcPr>
          <w:p>
            <w:pPr>
              <w:pStyle w:val="TableParagraph"/>
              <w:spacing w:before="26"/>
              <w:ind w:right="65"/>
              <w:rPr>
                <w:sz w:val="20"/>
              </w:rPr>
            </w:pPr>
            <w:r>
              <w:rPr>
                <w:sz w:val="20"/>
              </w:rPr>
              <w:t>7.96</w:t>
            </w:r>
          </w:p>
        </w:tc>
        <w:tc>
          <w:tcPr>
            <w:tcW w:w="931" w:type="dxa"/>
            <w:tcBorders>
              <w:top w:val="nil"/>
              <w:left w:val="nil"/>
              <w:bottom w:val="nil"/>
              <w:right w:val="nil"/>
            </w:tcBorders>
          </w:tcPr>
          <w:p>
            <w:pPr>
              <w:pStyle w:val="TableParagraph"/>
              <w:spacing w:before="26"/>
              <w:ind w:right="70"/>
              <w:rPr>
                <w:sz w:val="20"/>
              </w:rPr>
            </w:pPr>
            <w:r>
              <w:rPr>
                <w:sz w:val="20"/>
              </w:rPr>
              <w:t>7.18</w:t>
            </w:r>
          </w:p>
        </w:tc>
        <w:tc>
          <w:tcPr>
            <w:tcW w:w="941" w:type="dxa"/>
            <w:tcBorders>
              <w:top w:val="nil"/>
              <w:left w:val="nil"/>
              <w:bottom w:val="nil"/>
              <w:right w:val="nil"/>
            </w:tcBorders>
          </w:tcPr>
          <w:p>
            <w:pPr>
              <w:pStyle w:val="TableParagraph"/>
              <w:spacing w:before="26"/>
              <w:ind w:right="65"/>
              <w:rPr>
                <w:sz w:val="20"/>
              </w:rPr>
            </w:pPr>
            <w:r>
              <w:rPr>
                <w:sz w:val="20"/>
              </w:rPr>
              <w:t>5.63</w:t>
            </w:r>
          </w:p>
        </w:tc>
        <w:tc>
          <w:tcPr>
            <w:tcW w:w="938" w:type="dxa"/>
            <w:tcBorders>
              <w:top w:val="nil"/>
              <w:left w:val="nil"/>
              <w:bottom w:val="nil"/>
              <w:right w:val="nil"/>
            </w:tcBorders>
          </w:tcPr>
          <w:p>
            <w:pPr>
              <w:pStyle w:val="TableParagraph"/>
              <w:spacing w:before="26"/>
              <w:ind w:right="67"/>
              <w:rPr>
                <w:sz w:val="20"/>
              </w:rPr>
            </w:pPr>
            <w:r>
              <w:rPr>
                <w:sz w:val="20"/>
              </w:rPr>
              <w:t>6.66</w:t>
            </w:r>
          </w:p>
        </w:tc>
        <w:tc>
          <w:tcPr>
            <w:tcW w:w="941" w:type="dxa"/>
            <w:tcBorders>
              <w:top w:val="nil"/>
              <w:left w:val="nil"/>
              <w:bottom w:val="nil"/>
              <w:right w:val="nil"/>
            </w:tcBorders>
          </w:tcPr>
          <w:p>
            <w:pPr>
              <w:pStyle w:val="TableParagraph"/>
              <w:spacing w:before="26"/>
              <w:ind w:right="67"/>
              <w:rPr>
                <w:sz w:val="20"/>
              </w:rPr>
            </w:pPr>
            <w:r>
              <w:rPr>
                <w:sz w:val="20"/>
              </w:rPr>
              <w:t>9.42</w:t>
            </w:r>
          </w:p>
        </w:tc>
        <w:tc>
          <w:tcPr>
            <w:tcW w:w="939" w:type="dxa"/>
            <w:tcBorders>
              <w:top w:val="nil"/>
              <w:left w:val="nil"/>
              <w:bottom w:val="nil"/>
              <w:right w:val="nil"/>
            </w:tcBorders>
          </w:tcPr>
          <w:p>
            <w:pPr>
              <w:pStyle w:val="TableParagraph"/>
              <w:spacing w:before="26"/>
              <w:ind w:right="65"/>
              <w:rPr>
                <w:sz w:val="20"/>
              </w:rPr>
            </w:pPr>
            <w:r>
              <w:rPr>
                <w:sz w:val="20"/>
              </w:rPr>
              <w:t>11.84</w:t>
            </w:r>
          </w:p>
        </w:tc>
        <w:tc>
          <w:tcPr>
            <w:tcW w:w="929" w:type="dxa"/>
            <w:tcBorders>
              <w:top w:val="nil"/>
              <w:left w:val="nil"/>
              <w:bottom w:val="nil"/>
              <w:right w:val="nil"/>
            </w:tcBorders>
          </w:tcPr>
          <w:p>
            <w:pPr>
              <w:pStyle w:val="TableParagraph"/>
              <w:spacing w:before="26"/>
              <w:ind w:right="67"/>
              <w:rPr>
                <w:sz w:val="20"/>
              </w:rPr>
            </w:pPr>
            <w:r>
              <w:rPr>
                <w:sz w:val="20"/>
              </w:rPr>
              <w:t>13.59</w:t>
            </w:r>
          </w:p>
        </w:tc>
        <w:tc>
          <w:tcPr>
            <w:tcW w:w="939" w:type="dxa"/>
            <w:tcBorders>
              <w:top w:val="nil"/>
              <w:left w:val="nil"/>
              <w:bottom w:val="nil"/>
              <w:right w:val="nil"/>
            </w:tcBorders>
          </w:tcPr>
          <w:p>
            <w:pPr>
              <w:pStyle w:val="TableParagraph"/>
              <w:spacing w:before="26"/>
              <w:ind w:right="65"/>
              <w:rPr>
                <w:sz w:val="20"/>
              </w:rPr>
            </w:pPr>
            <w:r>
              <w:rPr>
                <w:sz w:val="20"/>
              </w:rPr>
              <w:t>13.36</w:t>
            </w:r>
          </w:p>
        </w:tc>
        <w:tc>
          <w:tcPr>
            <w:tcW w:w="932" w:type="dxa"/>
            <w:tcBorders>
              <w:top w:val="nil"/>
              <w:left w:val="nil"/>
              <w:bottom w:val="nil"/>
              <w:right w:val="nil"/>
            </w:tcBorders>
          </w:tcPr>
          <w:p>
            <w:pPr>
              <w:pStyle w:val="TableParagraph"/>
              <w:spacing w:before="26"/>
              <w:ind w:right="70"/>
              <w:rPr>
                <w:sz w:val="20"/>
              </w:rPr>
            </w:pPr>
            <w:r>
              <w:rPr>
                <w:sz w:val="20"/>
              </w:rPr>
              <w:t>12.05</w:t>
            </w:r>
          </w:p>
        </w:tc>
        <w:tc>
          <w:tcPr>
            <w:tcW w:w="1042" w:type="dxa"/>
            <w:tcBorders>
              <w:top w:val="nil"/>
              <w:left w:val="nil"/>
              <w:bottom w:val="nil"/>
              <w:right w:val="nil"/>
            </w:tcBorders>
          </w:tcPr>
          <w:p>
            <w:pPr>
              <w:pStyle w:val="TableParagraph"/>
              <w:spacing w:before="26"/>
              <w:ind w:right="65"/>
              <w:rPr>
                <w:sz w:val="20"/>
              </w:rPr>
            </w:pPr>
            <w:r>
              <w:rPr>
                <w:sz w:val="20"/>
              </w:rPr>
              <w:t>8.73</w:t>
            </w:r>
          </w:p>
        </w:tc>
        <w:tc>
          <w:tcPr>
            <w:tcW w:w="1027" w:type="dxa"/>
            <w:tcBorders>
              <w:top w:val="nil"/>
              <w:left w:val="nil"/>
              <w:bottom w:val="nil"/>
              <w:right w:val="nil"/>
            </w:tcBorders>
          </w:tcPr>
          <w:p>
            <w:pPr>
              <w:pStyle w:val="TableParagraph"/>
              <w:spacing w:before="26"/>
              <w:ind w:right="65"/>
              <w:rPr>
                <w:sz w:val="20"/>
              </w:rPr>
            </w:pPr>
            <w:r>
              <w:rPr>
                <w:sz w:val="20"/>
              </w:rPr>
              <w:t>7.6</w:t>
            </w:r>
          </w:p>
        </w:tc>
        <w:tc>
          <w:tcPr>
            <w:tcW w:w="1023" w:type="dxa"/>
            <w:tcBorders>
              <w:top w:val="nil"/>
              <w:left w:val="nil"/>
              <w:bottom w:val="nil"/>
              <w:right w:val="nil"/>
            </w:tcBorders>
          </w:tcPr>
          <w:p>
            <w:pPr>
              <w:pStyle w:val="TableParagraph"/>
              <w:spacing w:before="26"/>
              <w:ind w:right="60"/>
              <w:rPr>
                <w:sz w:val="20"/>
              </w:rPr>
            </w:pPr>
            <w:r>
              <w:rPr>
                <w:sz w:val="20"/>
              </w:rPr>
              <w:t>5.57</w:t>
            </w:r>
          </w:p>
        </w:tc>
      </w:tr>
      <w:tr>
        <w:trPr>
          <w:trHeight w:val="300" w:hRule="exact"/>
        </w:trPr>
        <w:tc>
          <w:tcPr>
            <w:tcW w:w="1129" w:type="dxa"/>
            <w:tcBorders>
              <w:top w:val="nil"/>
              <w:left w:val="nil"/>
              <w:bottom w:val="nil"/>
              <w:right w:val="nil"/>
            </w:tcBorders>
          </w:tcPr>
          <w:p>
            <w:pPr>
              <w:pStyle w:val="TableParagraph"/>
              <w:ind w:left="72"/>
              <w:jc w:val="left"/>
              <w:rPr>
                <w:sz w:val="20"/>
              </w:rPr>
            </w:pPr>
            <w:r>
              <w:rPr>
                <w:sz w:val="20"/>
              </w:rPr>
              <w:t>21</w:t>
            </w:r>
          </w:p>
        </w:tc>
        <w:tc>
          <w:tcPr>
            <w:tcW w:w="1030" w:type="dxa"/>
            <w:tcBorders>
              <w:top w:val="nil"/>
              <w:left w:val="nil"/>
              <w:bottom w:val="nil"/>
              <w:right w:val="nil"/>
            </w:tcBorders>
          </w:tcPr>
          <w:p>
            <w:pPr>
              <w:pStyle w:val="TableParagraph"/>
              <w:ind w:left="71"/>
              <w:jc w:val="left"/>
              <w:rPr>
                <w:sz w:val="20"/>
              </w:rPr>
            </w:pPr>
            <w:r>
              <w:rPr>
                <w:sz w:val="20"/>
              </w:rPr>
              <w:t>15001</w:t>
            </w:r>
          </w:p>
        </w:tc>
        <w:tc>
          <w:tcPr>
            <w:tcW w:w="976" w:type="dxa"/>
            <w:tcBorders>
              <w:top w:val="nil"/>
              <w:left w:val="nil"/>
              <w:bottom w:val="nil"/>
              <w:right w:val="nil"/>
            </w:tcBorders>
          </w:tcPr>
          <w:p>
            <w:pPr>
              <w:pStyle w:val="TableParagraph"/>
              <w:ind w:right="65"/>
              <w:rPr>
                <w:sz w:val="20"/>
              </w:rPr>
            </w:pPr>
            <w:r>
              <w:rPr>
                <w:sz w:val="20"/>
              </w:rPr>
              <w:t>7.96</w:t>
            </w:r>
          </w:p>
        </w:tc>
        <w:tc>
          <w:tcPr>
            <w:tcW w:w="931" w:type="dxa"/>
            <w:tcBorders>
              <w:top w:val="nil"/>
              <w:left w:val="nil"/>
              <w:bottom w:val="nil"/>
              <w:right w:val="nil"/>
            </w:tcBorders>
          </w:tcPr>
          <w:p>
            <w:pPr>
              <w:pStyle w:val="TableParagraph"/>
              <w:ind w:right="70"/>
              <w:rPr>
                <w:sz w:val="20"/>
              </w:rPr>
            </w:pPr>
            <w:r>
              <w:rPr>
                <w:sz w:val="20"/>
              </w:rPr>
              <w:t>7.18</w:t>
            </w:r>
          </w:p>
        </w:tc>
        <w:tc>
          <w:tcPr>
            <w:tcW w:w="941" w:type="dxa"/>
            <w:tcBorders>
              <w:top w:val="nil"/>
              <w:left w:val="nil"/>
              <w:bottom w:val="nil"/>
              <w:right w:val="nil"/>
            </w:tcBorders>
          </w:tcPr>
          <w:p>
            <w:pPr>
              <w:pStyle w:val="TableParagraph"/>
              <w:ind w:right="65"/>
              <w:rPr>
                <w:sz w:val="20"/>
              </w:rPr>
            </w:pPr>
            <w:r>
              <w:rPr>
                <w:sz w:val="20"/>
              </w:rPr>
              <w:t>5.63</w:t>
            </w:r>
          </w:p>
        </w:tc>
        <w:tc>
          <w:tcPr>
            <w:tcW w:w="938" w:type="dxa"/>
            <w:tcBorders>
              <w:top w:val="nil"/>
              <w:left w:val="nil"/>
              <w:bottom w:val="nil"/>
              <w:right w:val="nil"/>
            </w:tcBorders>
          </w:tcPr>
          <w:p>
            <w:pPr>
              <w:pStyle w:val="TableParagraph"/>
              <w:ind w:right="67"/>
              <w:rPr>
                <w:sz w:val="20"/>
              </w:rPr>
            </w:pPr>
            <w:r>
              <w:rPr>
                <w:sz w:val="20"/>
              </w:rPr>
              <w:t>6.66</w:t>
            </w:r>
          </w:p>
        </w:tc>
        <w:tc>
          <w:tcPr>
            <w:tcW w:w="941" w:type="dxa"/>
            <w:tcBorders>
              <w:top w:val="nil"/>
              <w:left w:val="nil"/>
              <w:bottom w:val="nil"/>
              <w:right w:val="nil"/>
            </w:tcBorders>
          </w:tcPr>
          <w:p>
            <w:pPr>
              <w:pStyle w:val="TableParagraph"/>
              <w:ind w:right="67"/>
              <w:rPr>
                <w:sz w:val="20"/>
              </w:rPr>
            </w:pPr>
            <w:r>
              <w:rPr>
                <w:sz w:val="20"/>
              </w:rPr>
              <w:t>9.42</w:t>
            </w:r>
          </w:p>
        </w:tc>
        <w:tc>
          <w:tcPr>
            <w:tcW w:w="939" w:type="dxa"/>
            <w:tcBorders>
              <w:top w:val="nil"/>
              <w:left w:val="nil"/>
              <w:bottom w:val="nil"/>
              <w:right w:val="nil"/>
            </w:tcBorders>
          </w:tcPr>
          <w:p>
            <w:pPr>
              <w:pStyle w:val="TableParagraph"/>
              <w:ind w:right="65"/>
              <w:rPr>
                <w:sz w:val="20"/>
              </w:rPr>
            </w:pPr>
            <w:r>
              <w:rPr>
                <w:sz w:val="20"/>
              </w:rPr>
              <w:t>11.84</w:t>
            </w:r>
          </w:p>
        </w:tc>
        <w:tc>
          <w:tcPr>
            <w:tcW w:w="929" w:type="dxa"/>
            <w:tcBorders>
              <w:top w:val="nil"/>
              <w:left w:val="nil"/>
              <w:bottom w:val="nil"/>
              <w:right w:val="nil"/>
            </w:tcBorders>
          </w:tcPr>
          <w:p>
            <w:pPr>
              <w:pStyle w:val="TableParagraph"/>
              <w:ind w:right="67"/>
              <w:rPr>
                <w:sz w:val="20"/>
              </w:rPr>
            </w:pPr>
            <w:r>
              <w:rPr>
                <w:sz w:val="20"/>
              </w:rPr>
              <w:t>13.59</w:t>
            </w:r>
          </w:p>
        </w:tc>
        <w:tc>
          <w:tcPr>
            <w:tcW w:w="939" w:type="dxa"/>
            <w:tcBorders>
              <w:top w:val="nil"/>
              <w:left w:val="nil"/>
              <w:bottom w:val="nil"/>
              <w:right w:val="nil"/>
            </w:tcBorders>
          </w:tcPr>
          <w:p>
            <w:pPr>
              <w:pStyle w:val="TableParagraph"/>
              <w:ind w:right="65"/>
              <w:rPr>
                <w:sz w:val="20"/>
              </w:rPr>
            </w:pPr>
            <w:r>
              <w:rPr>
                <w:sz w:val="20"/>
              </w:rPr>
              <w:t>13.36</w:t>
            </w:r>
          </w:p>
        </w:tc>
        <w:tc>
          <w:tcPr>
            <w:tcW w:w="932" w:type="dxa"/>
            <w:tcBorders>
              <w:top w:val="nil"/>
              <w:left w:val="nil"/>
              <w:bottom w:val="nil"/>
              <w:right w:val="nil"/>
            </w:tcBorders>
          </w:tcPr>
          <w:p>
            <w:pPr>
              <w:pStyle w:val="TableParagraph"/>
              <w:ind w:right="70"/>
              <w:rPr>
                <w:sz w:val="20"/>
              </w:rPr>
            </w:pPr>
            <w:r>
              <w:rPr>
                <w:sz w:val="20"/>
              </w:rPr>
              <w:t>12.05</w:t>
            </w:r>
          </w:p>
        </w:tc>
        <w:tc>
          <w:tcPr>
            <w:tcW w:w="1042" w:type="dxa"/>
            <w:tcBorders>
              <w:top w:val="nil"/>
              <w:left w:val="nil"/>
              <w:bottom w:val="nil"/>
              <w:right w:val="nil"/>
            </w:tcBorders>
          </w:tcPr>
          <w:p>
            <w:pPr>
              <w:pStyle w:val="TableParagraph"/>
              <w:ind w:right="65"/>
              <w:rPr>
                <w:sz w:val="20"/>
              </w:rPr>
            </w:pPr>
            <w:r>
              <w:rPr>
                <w:sz w:val="20"/>
              </w:rPr>
              <w:t>8.73</w:t>
            </w:r>
          </w:p>
        </w:tc>
        <w:tc>
          <w:tcPr>
            <w:tcW w:w="1027" w:type="dxa"/>
            <w:tcBorders>
              <w:top w:val="nil"/>
              <w:left w:val="nil"/>
              <w:bottom w:val="nil"/>
              <w:right w:val="nil"/>
            </w:tcBorders>
          </w:tcPr>
          <w:p>
            <w:pPr>
              <w:pStyle w:val="TableParagraph"/>
              <w:ind w:right="65"/>
              <w:rPr>
                <w:sz w:val="20"/>
              </w:rPr>
            </w:pPr>
            <w:r>
              <w:rPr>
                <w:sz w:val="20"/>
              </w:rPr>
              <w:t>7.6</w:t>
            </w:r>
          </w:p>
        </w:tc>
        <w:tc>
          <w:tcPr>
            <w:tcW w:w="1023" w:type="dxa"/>
            <w:tcBorders>
              <w:top w:val="nil"/>
              <w:left w:val="nil"/>
              <w:bottom w:val="nil"/>
              <w:right w:val="nil"/>
            </w:tcBorders>
          </w:tcPr>
          <w:p>
            <w:pPr>
              <w:pStyle w:val="TableParagraph"/>
              <w:ind w:right="60"/>
              <w:rPr>
                <w:sz w:val="20"/>
              </w:rPr>
            </w:pPr>
            <w:r>
              <w:rPr>
                <w:sz w:val="20"/>
              </w:rPr>
              <w:t>5.57</w:t>
            </w:r>
          </w:p>
        </w:tc>
      </w:tr>
      <w:tr>
        <w:trPr>
          <w:trHeight w:val="300" w:hRule="exact"/>
        </w:trPr>
        <w:tc>
          <w:tcPr>
            <w:tcW w:w="1129" w:type="dxa"/>
            <w:tcBorders>
              <w:top w:val="nil"/>
              <w:left w:val="nil"/>
              <w:bottom w:val="nil"/>
              <w:right w:val="nil"/>
            </w:tcBorders>
          </w:tcPr>
          <w:p>
            <w:pPr>
              <w:pStyle w:val="TableParagraph"/>
              <w:spacing w:before="26"/>
              <w:ind w:left="72"/>
              <w:jc w:val="left"/>
              <w:rPr>
                <w:sz w:val="20"/>
              </w:rPr>
            </w:pPr>
            <w:r>
              <w:rPr>
                <w:sz w:val="20"/>
              </w:rPr>
              <w:t>22</w:t>
            </w:r>
          </w:p>
        </w:tc>
        <w:tc>
          <w:tcPr>
            <w:tcW w:w="1030" w:type="dxa"/>
            <w:tcBorders>
              <w:top w:val="nil"/>
              <w:left w:val="nil"/>
              <w:bottom w:val="nil"/>
              <w:right w:val="nil"/>
            </w:tcBorders>
          </w:tcPr>
          <w:p>
            <w:pPr>
              <w:pStyle w:val="TableParagraph"/>
              <w:spacing w:before="26"/>
              <w:ind w:left="71"/>
              <w:jc w:val="left"/>
              <w:rPr>
                <w:sz w:val="20"/>
              </w:rPr>
            </w:pPr>
            <w:r>
              <w:rPr>
                <w:sz w:val="20"/>
              </w:rPr>
              <w:t>15029</w:t>
            </w:r>
          </w:p>
        </w:tc>
        <w:tc>
          <w:tcPr>
            <w:tcW w:w="976" w:type="dxa"/>
            <w:tcBorders>
              <w:top w:val="nil"/>
              <w:left w:val="nil"/>
              <w:bottom w:val="nil"/>
              <w:right w:val="nil"/>
            </w:tcBorders>
          </w:tcPr>
          <w:p>
            <w:pPr>
              <w:pStyle w:val="TableParagraph"/>
              <w:spacing w:before="26"/>
              <w:ind w:right="65"/>
              <w:rPr>
                <w:sz w:val="20"/>
              </w:rPr>
            </w:pPr>
            <w:r>
              <w:rPr>
                <w:sz w:val="20"/>
              </w:rPr>
              <w:t>7.96</w:t>
            </w:r>
          </w:p>
        </w:tc>
        <w:tc>
          <w:tcPr>
            <w:tcW w:w="931" w:type="dxa"/>
            <w:tcBorders>
              <w:top w:val="nil"/>
              <w:left w:val="nil"/>
              <w:bottom w:val="nil"/>
              <w:right w:val="nil"/>
            </w:tcBorders>
          </w:tcPr>
          <w:p>
            <w:pPr>
              <w:pStyle w:val="TableParagraph"/>
              <w:spacing w:before="26"/>
              <w:ind w:right="70"/>
              <w:rPr>
                <w:sz w:val="20"/>
              </w:rPr>
            </w:pPr>
            <w:r>
              <w:rPr>
                <w:sz w:val="20"/>
              </w:rPr>
              <w:t>7.18</w:t>
            </w:r>
          </w:p>
        </w:tc>
        <w:tc>
          <w:tcPr>
            <w:tcW w:w="941" w:type="dxa"/>
            <w:tcBorders>
              <w:top w:val="nil"/>
              <w:left w:val="nil"/>
              <w:bottom w:val="nil"/>
              <w:right w:val="nil"/>
            </w:tcBorders>
          </w:tcPr>
          <w:p>
            <w:pPr>
              <w:pStyle w:val="TableParagraph"/>
              <w:spacing w:before="26"/>
              <w:ind w:right="65"/>
              <w:rPr>
                <w:sz w:val="20"/>
              </w:rPr>
            </w:pPr>
            <w:r>
              <w:rPr>
                <w:sz w:val="20"/>
              </w:rPr>
              <w:t>5.63</w:t>
            </w:r>
          </w:p>
        </w:tc>
        <w:tc>
          <w:tcPr>
            <w:tcW w:w="938" w:type="dxa"/>
            <w:tcBorders>
              <w:top w:val="nil"/>
              <w:left w:val="nil"/>
              <w:bottom w:val="nil"/>
              <w:right w:val="nil"/>
            </w:tcBorders>
          </w:tcPr>
          <w:p>
            <w:pPr>
              <w:pStyle w:val="TableParagraph"/>
              <w:spacing w:before="26"/>
              <w:ind w:right="67"/>
              <w:rPr>
                <w:sz w:val="20"/>
              </w:rPr>
            </w:pPr>
            <w:r>
              <w:rPr>
                <w:sz w:val="20"/>
              </w:rPr>
              <w:t>6.66</w:t>
            </w:r>
          </w:p>
        </w:tc>
        <w:tc>
          <w:tcPr>
            <w:tcW w:w="941" w:type="dxa"/>
            <w:tcBorders>
              <w:top w:val="nil"/>
              <w:left w:val="nil"/>
              <w:bottom w:val="nil"/>
              <w:right w:val="nil"/>
            </w:tcBorders>
          </w:tcPr>
          <w:p>
            <w:pPr>
              <w:pStyle w:val="TableParagraph"/>
              <w:spacing w:before="26"/>
              <w:ind w:right="67"/>
              <w:rPr>
                <w:sz w:val="20"/>
              </w:rPr>
            </w:pPr>
            <w:r>
              <w:rPr>
                <w:sz w:val="20"/>
              </w:rPr>
              <w:t>9.42</w:t>
            </w:r>
          </w:p>
        </w:tc>
        <w:tc>
          <w:tcPr>
            <w:tcW w:w="939" w:type="dxa"/>
            <w:tcBorders>
              <w:top w:val="nil"/>
              <w:left w:val="nil"/>
              <w:bottom w:val="nil"/>
              <w:right w:val="nil"/>
            </w:tcBorders>
          </w:tcPr>
          <w:p>
            <w:pPr>
              <w:pStyle w:val="TableParagraph"/>
              <w:spacing w:before="26"/>
              <w:ind w:right="65"/>
              <w:rPr>
                <w:sz w:val="20"/>
              </w:rPr>
            </w:pPr>
            <w:r>
              <w:rPr>
                <w:sz w:val="20"/>
              </w:rPr>
              <w:t>11.84</w:t>
            </w:r>
          </w:p>
        </w:tc>
        <w:tc>
          <w:tcPr>
            <w:tcW w:w="929" w:type="dxa"/>
            <w:tcBorders>
              <w:top w:val="nil"/>
              <w:left w:val="nil"/>
              <w:bottom w:val="nil"/>
              <w:right w:val="nil"/>
            </w:tcBorders>
          </w:tcPr>
          <w:p>
            <w:pPr>
              <w:pStyle w:val="TableParagraph"/>
              <w:spacing w:before="26"/>
              <w:ind w:right="67"/>
              <w:rPr>
                <w:sz w:val="20"/>
              </w:rPr>
            </w:pPr>
            <w:r>
              <w:rPr>
                <w:sz w:val="20"/>
              </w:rPr>
              <w:t>13.59</w:t>
            </w:r>
          </w:p>
        </w:tc>
        <w:tc>
          <w:tcPr>
            <w:tcW w:w="939" w:type="dxa"/>
            <w:tcBorders>
              <w:top w:val="nil"/>
              <w:left w:val="nil"/>
              <w:bottom w:val="nil"/>
              <w:right w:val="nil"/>
            </w:tcBorders>
          </w:tcPr>
          <w:p>
            <w:pPr>
              <w:pStyle w:val="TableParagraph"/>
              <w:spacing w:before="26"/>
              <w:ind w:right="65"/>
              <w:rPr>
                <w:sz w:val="20"/>
              </w:rPr>
            </w:pPr>
            <w:r>
              <w:rPr>
                <w:sz w:val="20"/>
              </w:rPr>
              <w:t>13.36</w:t>
            </w:r>
          </w:p>
        </w:tc>
        <w:tc>
          <w:tcPr>
            <w:tcW w:w="932" w:type="dxa"/>
            <w:tcBorders>
              <w:top w:val="nil"/>
              <w:left w:val="nil"/>
              <w:bottom w:val="nil"/>
              <w:right w:val="nil"/>
            </w:tcBorders>
          </w:tcPr>
          <w:p>
            <w:pPr>
              <w:pStyle w:val="TableParagraph"/>
              <w:spacing w:before="26"/>
              <w:ind w:right="70"/>
              <w:rPr>
                <w:sz w:val="20"/>
              </w:rPr>
            </w:pPr>
            <w:r>
              <w:rPr>
                <w:sz w:val="20"/>
              </w:rPr>
              <w:t>12.05</w:t>
            </w:r>
          </w:p>
        </w:tc>
        <w:tc>
          <w:tcPr>
            <w:tcW w:w="1042" w:type="dxa"/>
            <w:tcBorders>
              <w:top w:val="nil"/>
              <w:left w:val="nil"/>
              <w:bottom w:val="nil"/>
              <w:right w:val="nil"/>
            </w:tcBorders>
          </w:tcPr>
          <w:p>
            <w:pPr>
              <w:pStyle w:val="TableParagraph"/>
              <w:spacing w:before="26"/>
              <w:ind w:right="65"/>
              <w:rPr>
                <w:sz w:val="20"/>
              </w:rPr>
            </w:pPr>
            <w:r>
              <w:rPr>
                <w:sz w:val="20"/>
              </w:rPr>
              <w:t>8.73</w:t>
            </w:r>
          </w:p>
        </w:tc>
        <w:tc>
          <w:tcPr>
            <w:tcW w:w="1027" w:type="dxa"/>
            <w:tcBorders>
              <w:top w:val="nil"/>
              <w:left w:val="nil"/>
              <w:bottom w:val="nil"/>
              <w:right w:val="nil"/>
            </w:tcBorders>
          </w:tcPr>
          <w:p>
            <w:pPr>
              <w:pStyle w:val="TableParagraph"/>
              <w:spacing w:before="26"/>
              <w:ind w:right="65"/>
              <w:rPr>
                <w:sz w:val="20"/>
              </w:rPr>
            </w:pPr>
            <w:r>
              <w:rPr>
                <w:sz w:val="20"/>
              </w:rPr>
              <w:t>7.6</w:t>
            </w:r>
          </w:p>
        </w:tc>
        <w:tc>
          <w:tcPr>
            <w:tcW w:w="1023" w:type="dxa"/>
            <w:tcBorders>
              <w:top w:val="nil"/>
              <w:left w:val="nil"/>
              <w:bottom w:val="nil"/>
              <w:right w:val="nil"/>
            </w:tcBorders>
          </w:tcPr>
          <w:p>
            <w:pPr>
              <w:pStyle w:val="TableParagraph"/>
              <w:spacing w:before="26"/>
              <w:ind w:right="60"/>
              <w:rPr>
                <w:sz w:val="20"/>
              </w:rPr>
            </w:pPr>
            <w:r>
              <w:rPr>
                <w:sz w:val="20"/>
              </w:rPr>
              <w:t>5.57</w:t>
            </w:r>
          </w:p>
        </w:tc>
      </w:tr>
      <w:tr>
        <w:trPr>
          <w:trHeight w:val="300" w:hRule="exact"/>
        </w:trPr>
        <w:tc>
          <w:tcPr>
            <w:tcW w:w="1129" w:type="dxa"/>
            <w:tcBorders>
              <w:top w:val="nil"/>
              <w:left w:val="nil"/>
              <w:bottom w:val="nil"/>
              <w:right w:val="nil"/>
            </w:tcBorders>
          </w:tcPr>
          <w:p>
            <w:pPr>
              <w:pStyle w:val="TableParagraph"/>
              <w:ind w:left="72"/>
              <w:jc w:val="left"/>
              <w:rPr>
                <w:sz w:val="20"/>
              </w:rPr>
            </w:pPr>
            <w:r>
              <w:rPr>
                <w:sz w:val="20"/>
              </w:rPr>
              <w:t>23</w:t>
            </w:r>
          </w:p>
        </w:tc>
        <w:tc>
          <w:tcPr>
            <w:tcW w:w="1030" w:type="dxa"/>
            <w:tcBorders>
              <w:top w:val="nil"/>
              <w:left w:val="nil"/>
              <w:bottom w:val="nil"/>
              <w:right w:val="nil"/>
            </w:tcBorders>
          </w:tcPr>
          <w:p>
            <w:pPr>
              <w:pStyle w:val="TableParagraph"/>
              <w:ind w:left="71"/>
              <w:jc w:val="left"/>
              <w:rPr>
                <w:sz w:val="20"/>
              </w:rPr>
            </w:pPr>
            <w:r>
              <w:rPr>
                <w:sz w:val="20"/>
              </w:rPr>
              <w:t>15001</w:t>
            </w:r>
          </w:p>
        </w:tc>
        <w:tc>
          <w:tcPr>
            <w:tcW w:w="976" w:type="dxa"/>
            <w:tcBorders>
              <w:top w:val="nil"/>
              <w:left w:val="nil"/>
              <w:bottom w:val="nil"/>
              <w:right w:val="nil"/>
            </w:tcBorders>
          </w:tcPr>
          <w:p>
            <w:pPr>
              <w:pStyle w:val="TableParagraph"/>
              <w:ind w:right="65"/>
              <w:rPr>
                <w:sz w:val="20"/>
              </w:rPr>
            </w:pPr>
            <w:r>
              <w:rPr>
                <w:sz w:val="20"/>
              </w:rPr>
              <w:t>7.96</w:t>
            </w:r>
          </w:p>
        </w:tc>
        <w:tc>
          <w:tcPr>
            <w:tcW w:w="931" w:type="dxa"/>
            <w:tcBorders>
              <w:top w:val="nil"/>
              <w:left w:val="nil"/>
              <w:bottom w:val="nil"/>
              <w:right w:val="nil"/>
            </w:tcBorders>
          </w:tcPr>
          <w:p>
            <w:pPr>
              <w:pStyle w:val="TableParagraph"/>
              <w:ind w:right="70"/>
              <w:rPr>
                <w:sz w:val="20"/>
              </w:rPr>
            </w:pPr>
            <w:r>
              <w:rPr>
                <w:sz w:val="20"/>
              </w:rPr>
              <w:t>7.18</w:t>
            </w:r>
          </w:p>
        </w:tc>
        <w:tc>
          <w:tcPr>
            <w:tcW w:w="941" w:type="dxa"/>
            <w:tcBorders>
              <w:top w:val="nil"/>
              <w:left w:val="nil"/>
              <w:bottom w:val="nil"/>
              <w:right w:val="nil"/>
            </w:tcBorders>
          </w:tcPr>
          <w:p>
            <w:pPr>
              <w:pStyle w:val="TableParagraph"/>
              <w:ind w:right="65"/>
              <w:rPr>
                <w:sz w:val="20"/>
              </w:rPr>
            </w:pPr>
            <w:r>
              <w:rPr>
                <w:sz w:val="20"/>
              </w:rPr>
              <w:t>5.63</w:t>
            </w:r>
          </w:p>
        </w:tc>
        <w:tc>
          <w:tcPr>
            <w:tcW w:w="938" w:type="dxa"/>
            <w:tcBorders>
              <w:top w:val="nil"/>
              <w:left w:val="nil"/>
              <w:bottom w:val="nil"/>
              <w:right w:val="nil"/>
            </w:tcBorders>
          </w:tcPr>
          <w:p>
            <w:pPr>
              <w:pStyle w:val="TableParagraph"/>
              <w:ind w:right="67"/>
              <w:rPr>
                <w:sz w:val="20"/>
              </w:rPr>
            </w:pPr>
            <w:r>
              <w:rPr>
                <w:sz w:val="20"/>
              </w:rPr>
              <w:t>6.66</w:t>
            </w:r>
          </w:p>
        </w:tc>
        <w:tc>
          <w:tcPr>
            <w:tcW w:w="941" w:type="dxa"/>
            <w:tcBorders>
              <w:top w:val="nil"/>
              <w:left w:val="nil"/>
              <w:bottom w:val="nil"/>
              <w:right w:val="nil"/>
            </w:tcBorders>
          </w:tcPr>
          <w:p>
            <w:pPr>
              <w:pStyle w:val="TableParagraph"/>
              <w:ind w:right="67"/>
              <w:rPr>
                <w:sz w:val="20"/>
              </w:rPr>
            </w:pPr>
            <w:r>
              <w:rPr>
                <w:sz w:val="20"/>
              </w:rPr>
              <w:t>9.42</w:t>
            </w:r>
          </w:p>
        </w:tc>
        <w:tc>
          <w:tcPr>
            <w:tcW w:w="939" w:type="dxa"/>
            <w:tcBorders>
              <w:top w:val="nil"/>
              <w:left w:val="nil"/>
              <w:bottom w:val="nil"/>
              <w:right w:val="nil"/>
            </w:tcBorders>
          </w:tcPr>
          <w:p>
            <w:pPr>
              <w:pStyle w:val="TableParagraph"/>
              <w:ind w:right="65"/>
              <w:rPr>
                <w:sz w:val="20"/>
              </w:rPr>
            </w:pPr>
            <w:r>
              <w:rPr>
                <w:sz w:val="20"/>
              </w:rPr>
              <w:t>11.84</w:t>
            </w:r>
          </w:p>
        </w:tc>
        <w:tc>
          <w:tcPr>
            <w:tcW w:w="929" w:type="dxa"/>
            <w:tcBorders>
              <w:top w:val="nil"/>
              <w:left w:val="nil"/>
              <w:bottom w:val="nil"/>
              <w:right w:val="nil"/>
            </w:tcBorders>
          </w:tcPr>
          <w:p>
            <w:pPr>
              <w:pStyle w:val="TableParagraph"/>
              <w:ind w:right="67"/>
              <w:rPr>
                <w:sz w:val="20"/>
              </w:rPr>
            </w:pPr>
            <w:r>
              <w:rPr>
                <w:sz w:val="20"/>
              </w:rPr>
              <w:t>13.59</w:t>
            </w:r>
          </w:p>
        </w:tc>
        <w:tc>
          <w:tcPr>
            <w:tcW w:w="939" w:type="dxa"/>
            <w:tcBorders>
              <w:top w:val="nil"/>
              <w:left w:val="nil"/>
              <w:bottom w:val="nil"/>
              <w:right w:val="nil"/>
            </w:tcBorders>
          </w:tcPr>
          <w:p>
            <w:pPr>
              <w:pStyle w:val="TableParagraph"/>
              <w:ind w:right="65"/>
              <w:rPr>
                <w:sz w:val="20"/>
              </w:rPr>
            </w:pPr>
            <w:r>
              <w:rPr>
                <w:sz w:val="20"/>
              </w:rPr>
              <w:t>13.36</w:t>
            </w:r>
          </w:p>
        </w:tc>
        <w:tc>
          <w:tcPr>
            <w:tcW w:w="932" w:type="dxa"/>
            <w:tcBorders>
              <w:top w:val="nil"/>
              <w:left w:val="nil"/>
              <w:bottom w:val="nil"/>
              <w:right w:val="nil"/>
            </w:tcBorders>
          </w:tcPr>
          <w:p>
            <w:pPr>
              <w:pStyle w:val="TableParagraph"/>
              <w:ind w:right="70"/>
              <w:rPr>
                <w:sz w:val="20"/>
              </w:rPr>
            </w:pPr>
            <w:r>
              <w:rPr>
                <w:sz w:val="20"/>
              </w:rPr>
              <w:t>12.05</w:t>
            </w:r>
          </w:p>
        </w:tc>
        <w:tc>
          <w:tcPr>
            <w:tcW w:w="1042" w:type="dxa"/>
            <w:tcBorders>
              <w:top w:val="nil"/>
              <w:left w:val="nil"/>
              <w:bottom w:val="nil"/>
              <w:right w:val="nil"/>
            </w:tcBorders>
          </w:tcPr>
          <w:p>
            <w:pPr>
              <w:pStyle w:val="TableParagraph"/>
              <w:ind w:right="65"/>
              <w:rPr>
                <w:sz w:val="20"/>
              </w:rPr>
            </w:pPr>
            <w:r>
              <w:rPr>
                <w:sz w:val="20"/>
              </w:rPr>
              <w:t>8.73</w:t>
            </w:r>
          </w:p>
        </w:tc>
        <w:tc>
          <w:tcPr>
            <w:tcW w:w="1027" w:type="dxa"/>
            <w:tcBorders>
              <w:top w:val="nil"/>
              <w:left w:val="nil"/>
              <w:bottom w:val="nil"/>
              <w:right w:val="nil"/>
            </w:tcBorders>
          </w:tcPr>
          <w:p>
            <w:pPr>
              <w:pStyle w:val="TableParagraph"/>
              <w:ind w:right="65"/>
              <w:rPr>
                <w:sz w:val="20"/>
              </w:rPr>
            </w:pPr>
            <w:r>
              <w:rPr>
                <w:sz w:val="20"/>
              </w:rPr>
              <w:t>7.6</w:t>
            </w:r>
          </w:p>
        </w:tc>
        <w:tc>
          <w:tcPr>
            <w:tcW w:w="1023" w:type="dxa"/>
            <w:tcBorders>
              <w:top w:val="nil"/>
              <w:left w:val="nil"/>
              <w:bottom w:val="nil"/>
              <w:right w:val="nil"/>
            </w:tcBorders>
          </w:tcPr>
          <w:p>
            <w:pPr>
              <w:pStyle w:val="TableParagraph"/>
              <w:ind w:right="60"/>
              <w:rPr>
                <w:sz w:val="20"/>
              </w:rPr>
            </w:pPr>
            <w:r>
              <w:rPr>
                <w:sz w:val="20"/>
              </w:rPr>
              <w:t>5.57</w:t>
            </w:r>
          </w:p>
        </w:tc>
      </w:tr>
      <w:tr>
        <w:trPr>
          <w:trHeight w:val="300" w:hRule="exact"/>
        </w:trPr>
        <w:tc>
          <w:tcPr>
            <w:tcW w:w="1129" w:type="dxa"/>
            <w:tcBorders>
              <w:top w:val="nil"/>
              <w:left w:val="nil"/>
              <w:bottom w:val="nil"/>
              <w:right w:val="nil"/>
            </w:tcBorders>
          </w:tcPr>
          <w:p>
            <w:pPr>
              <w:pStyle w:val="TableParagraph"/>
              <w:spacing w:before="26"/>
              <w:ind w:left="72"/>
              <w:jc w:val="left"/>
              <w:rPr>
                <w:sz w:val="20"/>
              </w:rPr>
            </w:pPr>
            <w:r>
              <w:rPr>
                <w:sz w:val="20"/>
              </w:rPr>
              <w:t>24</w:t>
            </w:r>
          </w:p>
        </w:tc>
        <w:tc>
          <w:tcPr>
            <w:tcW w:w="1030" w:type="dxa"/>
            <w:tcBorders>
              <w:top w:val="nil"/>
              <w:left w:val="nil"/>
              <w:bottom w:val="nil"/>
              <w:right w:val="nil"/>
            </w:tcBorders>
          </w:tcPr>
          <w:p>
            <w:pPr>
              <w:pStyle w:val="TableParagraph"/>
              <w:spacing w:before="26"/>
              <w:ind w:left="71"/>
              <w:jc w:val="left"/>
              <w:rPr>
                <w:sz w:val="20"/>
              </w:rPr>
            </w:pPr>
            <w:r>
              <w:rPr>
                <w:sz w:val="20"/>
              </w:rPr>
              <w:t>15029</w:t>
            </w:r>
          </w:p>
        </w:tc>
        <w:tc>
          <w:tcPr>
            <w:tcW w:w="976" w:type="dxa"/>
            <w:tcBorders>
              <w:top w:val="nil"/>
              <w:left w:val="nil"/>
              <w:bottom w:val="nil"/>
              <w:right w:val="nil"/>
            </w:tcBorders>
          </w:tcPr>
          <w:p>
            <w:pPr>
              <w:pStyle w:val="TableParagraph"/>
              <w:spacing w:before="26"/>
              <w:ind w:right="65"/>
              <w:rPr>
                <w:sz w:val="20"/>
              </w:rPr>
            </w:pPr>
            <w:r>
              <w:rPr>
                <w:sz w:val="20"/>
              </w:rPr>
              <w:t>7.96</w:t>
            </w:r>
          </w:p>
        </w:tc>
        <w:tc>
          <w:tcPr>
            <w:tcW w:w="931" w:type="dxa"/>
            <w:tcBorders>
              <w:top w:val="nil"/>
              <w:left w:val="nil"/>
              <w:bottom w:val="nil"/>
              <w:right w:val="nil"/>
            </w:tcBorders>
          </w:tcPr>
          <w:p>
            <w:pPr>
              <w:pStyle w:val="TableParagraph"/>
              <w:spacing w:before="26"/>
              <w:ind w:right="70"/>
              <w:rPr>
                <w:sz w:val="20"/>
              </w:rPr>
            </w:pPr>
            <w:r>
              <w:rPr>
                <w:sz w:val="20"/>
              </w:rPr>
              <w:t>7.18</w:t>
            </w:r>
          </w:p>
        </w:tc>
        <w:tc>
          <w:tcPr>
            <w:tcW w:w="941" w:type="dxa"/>
            <w:tcBorders>
              <w:top w:val="nil"/>
              <w:left w:val="nil"/>
              <w:bottom w:val="nil"/>
              <w:right w:val="nil"/>
            </w:tcBorders>
          </w:tcPr>
          <w:p>
            <w:pPr>
              <w:pStyle w:val="TableParagraph"/>
              <w:spacing w:before="26"/>
              <w:ind w:right="65"/>
              <w:rPr>
                <w:sz w:val="20"/>
              </w:rPr>
            </w:pPr>
            <w:r>
              <w:rPr>
                <w:sz w:val="20"/>
              </w:rPr>
              <w:t>5.63</w:t>
            </w:r>
          </w:p>
        </w:tc>
        <w:tc>
          <w:tcPr>
            <w:tcW w:w="938" w:type="dxa"/>
            <w:tcBorders>
              <w:top w:val="nil"/>
              <w:left w:val="nil"/>
              <w:bottom w:val="nil"/>
              <w:right w:val="nil"/>
            </w:tcBorders>
          </w:tcPr>
          <w:p>
            <w:pPr>
              <w:pStyle w:val="TableParagraph"/>
              <w:spacing w:before="26"/>
              <w:ind w:right="67"/>
              <w:rPr>
                <w:sz w:val="20"/>
              </w:rPr>
            </w:pPr>
            <w:r>
              <w:rPr>
                <w:sz w:val="20"/>
              </w:rPr>
              <w:t>6.66</w:t>
            </w:r>
          </w:p>
        </w:tc>
        <w:tc>
          <w:tcPr>
            <w:tcW w:w="941" w:type="dxa"/>
            <w:tcBorders>
              <w:top w:val="nil"/>
              <w:left w:val="nil"/>
              <w:bottom w:val="nil"/>
              <w:right w:val="nil"/>
            </w:tcBorders>
          </w:tcPr>
          <w:p>
            <w:pPr>
              <w:pStyle w:val="TableParagraph"/>
              <w:spacing w:before="26"/>
              <w:ind w:right="67"/>
              <w:rPr>
                <w:sz w:val="20"/>
              </w:rPr>
            </w:pPr>
            <w:r>
              <w:rPr>
                <w:sz w:val="20"/>
              </w:rPr>
              <w:t>9.42</w:t>
            </w:r>
          </w:p>
        </w:tc>
        <w:tc>
          <w:tcPr>
            <w:tcW w:w="939" w:type="dxa"/>
            <w:tcBorders>
              <w:top w:val="nil"/>
              <w:left w:val="nil"/>
              <w:bottom w:val="nil"/>
              <w:right w:val="nil"/>
            </w:tcBorders>
          </w:tcPr>
          <w:p>
            <w:pPr>
              <w:pStyle w:val="TableParagraph"/>
              <w:spacing w:before="26"/>
              <w:ind w:right="65"/>
              <w:rPr>
                <w:sz w:val="20"/>
              </w:rPr>
            </w:pPr>
            <w:r>
              <w:rPr>
                <w:sz w:val="20"/>
              </w:rPr>
              <w:t>11.84</w:t>
            </w:r>
          </w:p>
        </w:tc>
        <w:tc>
          <w:tcPr>
            <w:tcW w:w="929" w:type="dxa"/>
            <w:tcBorders>
              <w:top w:val="nil"/>
              <w:left w:val="nil"/>
              <w:bottom w:val="nil"/>
              <w:right w:val="nil"/>
            </w:tcBorders>
          </w:tcPr>
          <w:p>
            <w:pPr>
              <w:pStyle w:val="TableParagraph"/>
              <w:spacing w:before="26"/>
              <w:ind w:right="67"/>
              <w:rPr>
                <w:sz w:val="20"/>
              </w:rPr>
            </w:pPr>
            <w:r>
              <w:rPr>
                <w:sz w:val="20"/>
              </w:rPr>
              <w:t>13.59</w:t>
            </w:r>
          </w:p>
        </w:tc>
        <w:tc>
          <w:tcPr>
            <w:tcW w:w="939" w:type="dxa"/>
            <w:tcBorders>
              <w:top w:val="nil"/>
              <w:left w:val="nil"/>
              <w:bottom w:val="nil"/>
              <w:right w:val="nil"/>
            </w:tcBorders>
          </w:tcPr>
          <w:p>
            <w:pPr>
              <w:pStyle w:val="TableParagraph"/>
              <w:spacing w:before="26"/>
              <w:ind w:right="65"/>
              <w:rPr>
                <w:sz w:val="20"/>
              </w:rPr>
            </w:pPr>
            <w:r>
              <w:rPr>
                <w:sz w:val="20"/>
              </w:rPr>
              <w:t>13.36</w:t>
            </w:r>
          </w:p>
        </w:tc>
        <w:tc>
          <w:tcPr>
            <w:tcW w:w="932" w:type="dxa"/>
            <w:tcBorders>
              <w:top w:val="nil"/>
              <w:left w:val="nil"/>
              <w:bottom w:val="nil"/>
              <w:right w:val="nil"/>
            </w:tcBorders>
          </w:tcPr>
          <w:p>
            <w:pPr>
              <w:pStyle w:val="TableParagraph"/>
              <w:spacing w:before="26"/>
              <w:ind w:right="70"/>
              <w:rPr>
                <w:sz w:val="20"/>
              </w:rPr>
            </w:pPr>
            <w:r>
              <w:rPr>
                <w:sz w:val="20"/>
              </w:rPr>
              <w:t>12.05</w:t>
            </w:r>
          </w:p>
        </w:tc>
        <w:tc>
          <w:tcPr>
            <w:tcW w:w="1042" w:type="dxa"/>
            <w:tcBorders>
              <w:top w:val="nil"/>
              <w:left w:val="nil"/>
              <w:bottom w:val="nil"/>
              <w:right w:val="nil"/>
            </w:tcBorders>
          </w:tcPr>
          <w:p>
            <w:pPr>
              <w:pStyle w:val="TableParagraph"/>
              <w:spacing w:before="26"/>
              <w:ind w:right="65"/>
              <w:rPr>
                <w:sz w:val="20"/>
              </w:rPr>
            </w:pPr>
            <w:r>
              <w:rPr>
                <w:sz w:val="20"/>
              </w:rPr>
              <w:t>8.73</w:t>
            </w:r>
          </w:p>
        </w:tc>
        <w:tc>
          <w:tcPr>
            <w:tcW w:w="1027" w:type="dxa"/>
            <w:tcBorders>
              <w:top w:val="nil"/>
              <w:left w:val="nil"/>
              <w:bottom w:val="nil"/>
              <w:right w:val="nil"/>
            </w:tcBorders>
          </w:tcPr>
          <w:p>
            <w:pPr>
              <w:pStyle w:val="TableParagraph"/>
              <w:spacing w:before="26"/>
              <w:ind w:right="65"/>
              <w:rPr>
                <w:sz w:val="20"/>
              </w:rPr>
            </w:pPr>
            <w:r>
              <w:rPr>
                <w:sz w:val="20"/>
              </w:rPr>
              <w:t>7.6</w:t>
            </w:r>
          </w:p>
        </w:tc>
        <w:tc>
          <w:tcPr>
            <w:tcW w:w="1023" w:type="dxa"/>
            <w:tcBorders>
              <w:top w:val="nil"/>
              <w:left w:val="nil"/>
              <w:bottom w:val="nil"/>
              <w:right w:val="nil"/>
            </w:tcBorders>
          </w:tcPr>
          <w:p>
            <w:pPr>
              <w:pStyle w:val="TableParagraph"/>
              <w:spacing w:before="26"/>
              <w:ind w:right="60"/>
              <w:rPr>
                <w:sz w:val="20"/>
              </w:rPr>
            </w:pPr>
            <w:r>
              <w:rPr>
                <w:sz w:val="20"/>
              </w:rPr>
              <w:t>5.57</w:t>
            </w:r>
          </w:p>
        </w:tc>
      </w:tr>
      <w:tr>
        <w:trPr>
          <w:trHeight w:val="300" w:hRule="exact"/>
        </w:trPr>
        <w:tc>
          <w:tcPr>
            <w:tcW w:w="1129" w:type="dxa"/>
            <w:tcBorders>
              <w:top w:val="nil"/>
              <w:left w:val="nil"/>
              <w:bottom w:val="nil"/>
              <w:right w:val="nil"/>
            </w:tcBorders>
          </w:tcPr>
          <w:p>
            <w:pPr>
              <w:pStyle w:val="TableParagraph"/>
              <w:ind w:left="72"/>
              <w:jc w:val="left"/>
              <w:rPr>
                <w:sz w:val="20"/>
              </w:rPr>
            </w:pPr>
            <w:r>
              <w:rPr>
                <w:sz w:val="20"/>
              </w:rPr>
              <w:t>25</w:t>
            </w:r>
          </w:p>
        </w:tc>
        <w:tc>
          <w:tcPr>
            <w:tcW w:w="1030" w:type="dxa"/>
            <w:tcBorders>
              <w:top w:val="nil"/>
              <w:left w:val="nil"/>
              <w:bottom w:val="nil"/>
              <w:right w:val="nil"/>
            </w:tcBorders>
          </w:tcPr>
          <w:p>
            <w:pPr>
              <w:pStyle w:val="TableParagraph"/>
              <w:ind w:left="71"/>
              <w:jc w:val="left"/>
              <w:rPr>
                <w:sz w:val="20"/>
              </w:rPr>
            </w:pPr>
            <w:r>
              <w:rPr>
                <w:sz w:val="20"/>
              </w:rPr>
              <w:t>15029</w:t>
            </w:r>
          </w:p>
        </w:tc>
        <w:tc>
          <w:tcPr>
            <w:tcW w:w="976" w:type="dxa"/>
            <w:tcBorders>
              <w:top w:val="nil"/>
              <w:left w:val="nil"/>
              <w:bottom w:val="nil"/>
              <w:right w:val="nil"/>
            </w:tcBorders>
          </w:tcPr>
          <w:p>
            <w:pPr>
              <w:pStyle w:val="TableParagraph"/>
              <w:ind w:right="65"/>
              <w:rPr>
                <w:sz w:val="20"/>
              </w:rPr>
            </w:pPr>
            <w:r>
              <w:rPr>
                <w:sz w:val="20"/>
              </w:rPr>
              <w:t>7.96</w:t>
            </w:r>
          </w:p>
        </w:tc>
        <w:tc>
          <w:tcPr>
            <w:tcW w:w="931" w:type="dxa"/>
            <w:tcBorders>
              <w:top w:val="nil"/>
              <w:left w:val="nil"/>
              <w:bottom w:val="nil"/>
              <w:right w:val="nil"/>
            </w:tcBorders>
          </w:tcPr>
          <w:p>
            <w:pPr>
              <w:pStyle w:val="TableParagraph"/>
              <w:ind w:right="70"/>
              <w:rPr>
                <w:sz w:val="20"/>
              </w:rPr>
            </w:pPr>
            <w:r>
              <w:rPr>
                <w:sz w:val="20"/>
              </w:rPr>
              <w:t>7.18</w:t>
            </w:r>
          </w:p>
        </w:tc>
        <w:tc>
          <w:tcPr>
            <w:tcW w:w="941" w:type="dxa"/>
            <w:tcBorders>
              <w:top w:val="nil"/>
              <w:left w:val="nil"/>
              <w:bottom w:val="nil"/>
              <w:right w:val="nil"/>
            </w:tcBorders>
          </w:tcPr>
          <w:p>
            <w:pPr>
              <w:pStyle w:val="TableParagraph"/>
              <w:ind w:right="65"/>
              <w:rPr>
                <w:sz w:val="20"/>
              </w:rPr>
            </w:pPr>
            <w:r>
              <w:rPr>
                <w:sz w:val="20"/>
              </w:rPr>
              <w:t>5.63</w:t>
            </w:r>
          </w:p>
        </w:tc>
        <w:tc>
          <w:tcPr>
            <w:tcW w:w="938" w:type="dxa"/>
            <w:tcBorders>
              <w:top w:val="nil"/>
              <w:left w:val="nil"/>
              <w:bottom w:val="nil"/>
              <w:right w:val="nil"/>
            </w:tcBorders>
          </w:tcPr>
          <w:p>
            <w:pPr>
              <w:pStyle w:val="TableParagraph"/>
              <w:ind w:right="67"/>
              <w:rPr>
                <w:sz w:val="20"/>
              </w:rPr>
            </w:pPr>
            <w:r>
              <w:rPr>
                <w:sz w:val="20"/>
              </w:rPr>
              <w:t>6.66</w:t>
            </w:r>
          </w:p>
        </w:tc>
        <w:tc>
          <w:tcPr>
            <w:tcW w:w="941" w:type="dxa"/>
            <w:tcBorders>
              <w:top w:val="nil"/>
              <w:left w:val="nil"/>
              <w:bottom w:val="nil"/>
              <w:right w:val="nil"/>
            </w:tcBorders>
          </w:tcPr>
          <w:p>
            <w:pPr>
              <w:pStyle w:val="TableParagraph"/>
              <w:ind w:right="67"/>
              <w:rPr>
                <w:sz w:val="20"/>
              </w:rPr>
            </w:pPr>
            <w:r>
              <w:rPr>
                <w:sz w:val="20"/>
              </w:rPr>
              <w:t>9.42</w:t>
            </w:r>
          </w:p>
        </w:tc>
        <w:tc>
          <w:tcPr>
            <w:tcW w:w="939" w:type="dxa"/>
            <w:tcBorders>
              <w:top w:val="nil"/>
              <w:left w:val="nil"/>
              <w:bottom w:val="nil"/>
              <w:right w:val="nil"/>
            </w:tcBorders>
          </w:tcPr>
          <w:p>
            <w:pPr>
              <w:pStyle w:val="TableParagraph"/>
              <w:ind w:right="65"/>
              <w:rPr>
                <w:sz w:val="20"/>
              </w:rPr>
            </w:pPr>
            <w:r>
              <w:rPr>
                <w:sz w:val="20"/>
              </w:rPr>
              <w:t>11.84</w:t>
            </w:r>
          </w:p>
        </w:tc>
        <w:tc>
          <w:tcPr>
            <w:tcW w:w="929" w:type="dxa"/>
            <w:tcBorders>
              <w:top w:val="nil"/>
              <w:left w:val="nil"/>
              <w:bottom w:val="nil"/>
              <w:right w:val="nil"/>
            </w:tcBorders>
          </w:tcPr>
          <w:p>
            <w:pPr>
              <w:pStyle w:val="TableParagraph"/>
              <w:ind w:right="67"/>
              <w:rPr>
                <w:sz w:val="20"/>
              </w:rPr>
            </w:pPr>
            <w:r>
              <w:rPr>
                <w:sz w:val="20"/>
              </w:rPr>
              <w:t>13.59</w:t>
            </w:r>
          </w:p>
        </w:tc>
        <w:tc>
          <w:tcPr>
            <w:tcW w:w="939" w:type="dxa"/>
            <w:tcBorders>
              <w:top w:val="nil"/>
              <w:left w:val="nil"/>
              <w:bottom w:val="nil"/>
              <w:right w:val="nil"/>
            </w:tcBorders>
          </w:tcPr>
          <w:p>
            <w:pPr>
              <w:pStyle w:val="TableParagraph"/>
              <w:ind w:right="65"/>
              <w:rPr>
                <w:sz w:val="20"/>
              </w:rPr>
            </w:pPr>
            <w:r>
              <w:rPr>
                <w:sz w:val="20"/>
              </w:rPr>
              <w:t>13.36</w:t>
            </w:r>
          </w:p>
        </w:tc>
        <w:tc>
          <w:tcPr>
            <w:tcW w:w="932" w:type="dxa"/>
            <w:tcBorders>
              <w:top w:val="nil"/>
              <w:left w:val="nil"/>
              <w:bottom w:val="nil"/>
              <w:right w:val="nil"/>
            </w:tcBorders>
          </w:tcPr>
          <w:p>
            <w:pPr>
              <w:pStyle w:val="TableParagraph"/>
              <w:ind w:right="70"/>
              <w:rPr>
                <w:sz w:val="20"/>
              </w:rPr>
            </w:pPr>
            <w:r>
              <w:rPr>
                <w:sz w:val="20"/>
              </w:rPr>
              <w:t>12.05</w:t>
            </w:r>
          </w:p>
        </w:tc>
        <w:tc>
          <w:tcPr>
            <w:tcW w:w="1042" w:type="dxa"/>
            <w:tcBorders>
              <w:top w:val="nil"/>
              <w:left w:val="nil"/>
              <w:bottom w:val="nil"/>
              <w:right w:val="nil"/>
            </w:tcBorders>
          </w:tcPr>
          <w:p>
            <w:pPr>
              <w:pStyle w:val="TableParagraph"/>
              <w:ind w:right="65"/>
              <w:rPr>
                <w:sz w:val="20"/>
              </w:rPr>
            </w:pPr>
            <w:r>
              <w:rPr>
                <w:sz w:val="20"/>
              </w:rPr>
              <w:t>8.73</w:t>
            </w:r>
          </w:p>
        </w:tc>
        <w:tc>
          <w:tcPr>
            <w:tcW w:w="1027" w:type="dxa"/>
            <w:tcBorders>
              <w:top w:val="nil"/>
              <w:left w:val="nil"/>
              <w:bottom w:val="nil"/>
              <w:right w:val="nil"/>
            </w:tcBorders>
          </w:tcPr>
          <w:p>
            <w:pPr>
              <w:pStyle w:val="TableParagraph"/>
              <w:ind w:right="65"/>
              <w:rPr>
                <w:sz w:val="20"/>
              </w:rPr>
            </w:pPr>
            <w:r>
              <w:rPr>
                <w:sz w:val="20"/>
              </w:rPr>
              <w:t>7.6</w:t>
            </w:r>
          </w:p>
        </w:tc>
        <w:tc>
          <w:tcPr>
            <w:tcW w:w="1023" w:type="dxa"/>
            <w:tcBorders>
              <w:top w:val="nil"/>
              <w:left w:val="nil"/>
              <w:bottom w:val="nil"/>
              <w:right w:val="nil"/>
            </w:tcBorders>
          </w:tcPr>
          <w:p>
            <w:pPr>
              <w:pStyle w:val="TableParagraph"/>
              <w:ind w:right="60"/>
              <w:rPr>
                <w:sz w:val="20"/>
              </w:rPr>
            </w:pPr>
            <w:r>
              <w:rPr>
                <w:sz w:val="20"/>
              </w:rPr>
              <w:t>5.57</w:t>
            </w:r>
          </w:p>
        </w:tc>
      </w:tr>
      <w:tr>
        <w:trPr>
          <w:trHeight w:val="252" w:hRule="exact"/>
        </w:trPr>
        <w:tc>
          <w:tcPr>
            <w:tcW w:w="1129" w:type="dxa"/>
            <w:tcBorders>
              <w:top w:val="nil"/>
              <w:left w:val="nil"/>
              <w:bottom w:val="nil"/>
              <w:right w:val="nil"/>
            </w:tcBorders>
          </w:tcPr>
          <w:p>
            <w:pPr>
              <w:pStyle w:val="TableParagraph"/>
              <w:spacing w:before="26"/>
              <w:ind w:left="72"/>
              <w:jc w:val="left"/>
              <w:rPr>
                <w:sz w:val="20"/>
              </w:rPr>
            </w:pPr>
            <w:r>
              <w:rPr>
                <w:sz w:val="20"/>
              </w:rPr>
              <w:t>26</w:t>
            </w:r>
          </w:p>
        </w:tc>
        <w:tc>
          <w:tcPr>
            <w:tcW w:w="1030" w:type="dxa"/>
            <w:tcBorders>
              <w:top w:val="nil"/>
              <w:left w:val="nil"/>
              <w:bottom w:val="nil"/>
              <w:right w:val="nil"/>
            </w:tcBorders>
          </w:tcPr>
          <w:p>
            <w:pPr>
              <w:pStyle w:val="TableParagraph"/>
              <w:spacing w:before="26"/>
              <w:ind w:left="71"/>
              <w:jc w:val="left"/>
              <w:rPr>
                <w:sz w:val="20"/>
              </w:rPr>
            </w:pPr>
            <w:r>
              <w:rPr>
                <w:sz w:val="20"/>
              </w:rPr>
              <w:t>15001</w:t>
            </w:r>
          </w:p>
        </w:tc>
        <w:tc>
          <w:tcPr>
            <w:tcW w:w="976" w:type="dxa"/>
            <w:tcBorders>
              <w:top w:val="nil"/>
              <w:left w:val="nil"/>
              <w:bottom w:val="nil"/>
              <w:right w:val="nil"/>
            </w:tcBorders>
          </w:tcPr>
          <w:p>
            <w:pPr>
              <w:pStyle w:val="TableParagraph"/>
              <w:spacing w:before="26"/>
              <w:ind w:right="65"/>
              <w:rPr>
                <w:sz w:val="20"/>
              </w:rPr>
            </w:pPr>
            <w:r>
              <w:rPr>
                <w:sz w:val="20"/>
              </w:rPr>
              <w:t>7.96</w:t>
            </w:r>
          </w:p>
        </w:tc>
        <w:tc>
          <w:tcPr>
            <w:tcW w:w="931" w:type="dxa"/>
            <w:tcBorders>
              <w:top w:val="nil"/>
              <w:left w:val="nil"/>
              <w:bottom w:val="nil"/>
              <w:right w:val="nil"/>
            </w:tcBorders>
          </w:tcPr>
          <w:p>
            <w:pPr>
              <w:pStyle w:val="TableParagraph"/>
              <w:spacing w:before="26"/>
              <w:ind w:right="70"/>
              <w:rPr>
                <w:sz w:val="20"/>
              </w:rPr>
            </w:pPr>
            <w:r>
              <w:rPr>
                <w:sz w:val="20"/>
              </w:rPr>
              <w:t>7.18</w:t>
            </w:r>
          </w:p>
        </w:tc>
        <w:tc>
          <w:tcPr>
            <w:tcW w:w="941" w:type="dxa"/>
            <w:tcBorders>
              <w:top w:val="nil"/>
              <w:left w:val="nil"/>
              <w:bottom w:val="nil"/>
              <w:right w:val="nil"/>
            </w:tcBorders>
          </w:tcPr>
          <w:p>
            <w:pPr>
              <w:pStyle w:val="TableParagraph"/>
              <w:spacing w:before="26"/>
              <w:ind w:right="65"/>
              <w:rPr>
                <w:sz w:val="20"/>
              </w:rPr>
            </w:pPr>
            <w:r>
              <w:rPr>
                <w:sz w:val="20"/>
              </w:rPr>
              <w:t>5.63</w:t>
            </w:r>
          </w:p>
        </w:tc>
        <w:tc>
          <w:tcPr>
            <w:tcW w:w="938" w:type="dxa"/>
            <w:tcBorders>
              <w:top w:val="nil"/>
              <w:left w:val="nil"/>
              <w:bottom w:val="nil"/>
              <w:right w:val="nil"/>
            </w:tcBorders>
          </w:tcPr>
          <w:p>
            <w:pPr>
              <w:pStyle w:val="TableParagraph"/>
              <w:spacing w:before="26"/>
              <w:ind w:right="67"/>
              <w:rPr>
                <w:sz w:val="20"/>
              </w:rPr>
            </w:pPr>
            <w:r>
              <w:rPr>
                <w:sz w:val="20"/>
              </w:rPr>
              <w:t>6.66</w:t>
            </w:r>
          </w:p>
        </w:tc>
        <w:tc>
          <w:tcPr>
            <w:tcW w:w="941" w:type="dxa"/>
            <w:tcBorders>
              <w:top w:val="nil"/>
              <w:left w:val="nil"/>
              <w:bottom w:val="nil"/>
              <w:right w:val="nil"/>
            </w:tcBorders>
          </w:tcPr>
          <w:p>
            <w:pPr>
              <w:pStyle w:val="TableParagraph"/>
              <w:spacing w:before="26"/>
              <w:ind w:right="67"/>
              <w:rPr>
                <w:sz w:val="20"/>
              </w:rPr>
            </w:pPr>
            <w:r>
              <w:rPr>
                <w:sz w:val="20"/>
              </w:rPr>
              <w:t>9.42</w:t>
            </w:r>
          </w:p>
        </w:tc>
        <w:tc>
          <w:tcPr>
            <w:tcW w:w="939" w:type="dxa"/>
            <w:tcBorders>
              <w:top w:val="nil"/>
              <w:left w:val="nil"/>
              <w:bottom w:val="nil"/>
              <w:right w:val="nil"/>
            </w:tcBorders>
          </w:tcPr>
          <w:p>
            <w:pPr>
              <w:pStyle w:val="TableParagraph"/>
              <w:spacing w:before="26"/>
              <w:ind w:right="65"/>
              <w:rPr>
                <w:sz w:val="20"/>
              </w:rPr>
            </w:pPr>
            <w:r>
              <w:rPr>
                <w:sz w:val="20"/>
              </w:rPr>
              <w:t>11.84</w:t>
            </w:r>
          </w:p>
        </w:tc>
        <w:tc>
          <w:tcPr>
            <w:tcW w:w="929" w:type="dxa"/>
            <w:tcBorders>
              <w:top w:val="nil"/>
              <w:left w:val="nil"/>
              <w:bottom w:val="nil"/>
              <w:right w:val="nil"/>
            </w:tcBorders>
          </w:tcPr>
          <w:p>
            <w:pPr>
              <w:pStyle w:val="TableParagraph"/>
              <w:spacing w:before="26"/>
              <w:ind w:right="67"/>
              <w:rPr>
                <w:sz w:val="20"/>
              </w:rPr>
            </w:pPr>
            <w:r>
              <w:rPr>
                <w:sz w:val="20"/>
              </w:rPr>
              <w:t>13.59</w:t>
            </w:r>
          </w:p>
        </w:tc>
        <w:tc>
          <w:tcPr>
            <w:tcW w:w="939" w:type="dxa"/>
            <w:tcBorders>
              <w:top w:val="nil"/>
              <w:left w:val="nil"/>
              <w:bottom w:val="nil"/>
              <w:right w:val="nil"/>
            </w:tcBorders>
          </w:tcPr>
          <w:p>
            <w:pPr>
              <w:pStyle w:val="TableParagraph"/>
              <w:spacing w:before="26"/>
              <w:ind w:right="65"/>
              <w:rPr>
                <w:sz w:val="20"/>
              </w:rPr>
            </w:pPr>
            <w:r>
              <w:rPr>
                <w:sz w:val="20"/>
              </w:rPr>
              <w:t>13.36</w:t>
            </w:r>
          </w:p>
        </w:tc>
        <w:tc>
          <w:tcPr>
            <w:tcW w:w="932" w:type="dxa"/>
            <w:tcBorders>
              <w:top w:val="nil"/>
              <w:left w:val="nil"/>
              <w:bottom w:val="nil"/>
              <w:right w:val="nil"/>
            </w:tcBorders>
          </w:tcPr>
          <w:p>
            <w:pPr>
              <w:pStyle w:val="TableParagraph"/>
              <w:spacing w:before="26"/>
              <w:ind w:right="70"/>
              <w:rPr>
                <w:sz w:val="20"/>
              </w:rPr>
            </w:pPr>
            <w:r>
              <w:rPr>
                <w:sz w:val="20"/>
              </w:rPr>
              <w:t>12.05</w:t>
            </w:r>
          </w:p>
        </w:tc>
        <w:tc>
          <w:tcPr>
            <w:tcW w:w="1042" w:type="dxa"/>
            <w:tcBorders>
              <w:top w:val="nil"/>
              <w:left w:val="nil"/>
              <w:bottom w:val="nil"/>
              <w:right w:val="nil"/>
            </w:tcBorders>
          </w:tcPr>
          <w:p>
            <w:pPr>
              <w:pStyle w:val="TableParagraph"/>
              <w:spacing w:before="26"/>
              <w:ind w:right="65"/>
              <w:rPr>
                <w:sz w:val="20"/>
              </w:rPr>
            </w:pPr>
            <w:r>
              <w:rPr>
                <w:sz w:val="20"/>
              </w:rPr>
              <w:t>8.73</w:t>
            </w:r>
          </w:p>
        </w:tc>
        <w:tc>
          <w:tcPr>
            <w:tcW w:w="1027" w:type="dxa"/>
            <w:tcBorders>
              <w:top w:val="nil"/>
              <w:left w:val="nil"/>
              <w:bottom w:val="nil"/>
              <w:right w:val="nil"/>
            </w:tcBorders>
          </w:tcPr>
          <w:p>
            <w:pPr>
              <w:pStyle w:val="TableParagraph"/>
              <w:spacing w:before="26"/>
              <w:ind w:right="65"/>
              <w:rPr>
                <w:sz w:val="20"/>
              </w:rPr>
            </w:pPr>
            <w:r>
              <w:rPr>
                <w:sz w:val="20"/>
              </w:rPr>
              <w:t>7.6</w:t>
            </w:r>
          </w:p>
        </w:tc>
        <w:tc>
          <w:tcPr>
            <w:tcW w:w="1023" w:type="dxa"/>
            <w:tcBorders>
              <w:top w:val="nil"/>
              <w:left w:val="nil"/>
              <w:bottom w:val="nil"/>
              <w:right w:val="nil"/>
            </w:tcBorders>
          </w:tcPr>
          <w:p>
            <w:pPr>
              <w:pStyle w:val="TableParagraph"/>
              <w:spacing w:before="26"/>
              <w:ind w:right="60"/>
              <w:rPr>
                <w:sz w:val="20"/>
              </w:rPr>
            </w:pPr>
            <w:r>
              <w:rPr>
                <w:sz w:val="20"/>
              </w:rPr>
              <w:t>5.57</w:t>
            </w:r>
          </w:p>
        </w:tc>
      </w:tr>
    </w:tbl>
    <w:p>
      <w:pPr>
        <w:spacing w:after="0"/>
        <w:rPr>
          <w:sz w:val="20"/>
        </w:rPr>
        <w:sectPr>
          <w:pgSz w:w="15840" w:h="12240" w:orient="landscape"/>
          <w:pgMar w:header="0" w:footer="1474" w:top="1140" w:bottom="1660" w:left="1300" w:right="600"/>
        </w:sectPr>
      </w:pPr>
    </w:p>
    <w:p>
      <w:pPr>
        <w:pStyle w:val="BodyText"/>
        <w:rPr>
          <w:b/>
          <w:sz w:val="17"/>
        </w:rPr>
      </w:pPr>
    </w:p>
    <w:p>
      <w:pPr>
        <w:spacing w:before="72"/>
        <w:ind w:left="116" w:right="0" w:firstLine="0"/>
        <w:jc w:val="left"/>
        <w:rPr>
          <w:sz w:val="22"/>
        </w:rPr>
      </w:pPr>
      <w:r>
        <w:rPr>
          <w:sz w:val="22"/>
        </w:rPr>
        <w:t>Continuación Tabla 15.</w:t>
      </w:r>
    </w:p>
    <w:p>
      <w:pPr>
        <w:pStyle w:val="BodyText"/>
        <w:spacing w:before="9"/>
        <w:rPr>
          <w:sz w:val="21"/>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43"/>
        <w:gridCol w:w="1030"/>
        <w:gridCol w:w="976"/>
        <w:gridCol w:w="931"/>
        <w:gridCol w:w="941"/>
        <w:gridCol w:w="938"/>
        <w:gridCol w:w="941"/>
        <w:gridCol w:w="939"/>
        <w:gridCol w:w="929"/>
        <w:gridCol w:w="939"/>
        <w:gridCol w:w="932"/>
        <w:gridCol w:w="1042"/>
        <w:gridCol w:w="1027"/>
        <w:gridCol w:w="1023"/>
      </w:tblGrid>
      <w:tr>
        <w:trPr>
          <w:trHeight w:val="610" w:hRule="exact"/>
        </w:trPr>
        <w:tc>
          <w:tcPr>
            <w:tcW w:w="1143" w:type="dxa"/>
            <w:tcBorders>
              <w:left w:val="nil"/>
              <w:right w:val="nil"/>
            </w:tcBorders>
          </w:tcPr>
          <w:p>
            <w:pPr>
              <w:pStyle w:val="TableParagraph"/>
              <w:spacing w:before="58"/>
              <w:ind w:left="86"/>
              <w:jc w:val="left"/>
              <w:rPr>
                <w:sz w:val="20"/>
              </w:rPr>
            </w:pPr>
            <w:r>
              <w:rPr>
                <w:sz w:val="20"/>
              </w:rPr>
              <w:t>SUBBASIN</w:t>
            </w:r>
          </w:p>
        </w:tc>
        <w:tc>
          <w:tcPr>
            <w:tcW w:w="1030" w:type="dxa"/>
            <w:tcBorders>
              <w:left w:val="nil"/>
              <w:right w:val="nil"/>
            </w:tcBorders>
          </w:tcPr>
          <w:p>
            <w:pPr>
              <w:pStyle w:val="TableParagraph"/>
              <w:spacing w:before="58"/>
              <w:ind w:left="81"/>
              <w:jc w:val="left"/>
              <w:rPr>
                <w:sz w:val="20"/>
              </w:rPr>
            </w:pPr>
            <w:r>
              <w:rPr>
                <w:sz w:val="20"/>
              </w:rPr>
              <w:t>STATION</w:t>
            </w:r>
          </w:p>
        </w:tc>
        <w:tc>
          <w:tcPr>
            <w:tcW w:w="976" w:type="dxa"/>
            <w:tcBorders>
              <w:left w:val="nil"/>
              <w:right w:val="nil"/>
            </w:tcBorders>
          </w:tcPr>
          <w:p>
            <w:pPr>
              <w:pStyle w:val="TableParagraph"/>
              <w:spacing w:before="58"/>
              <w:ind w:right="94"/>
              <w:rPr>
                <w:sz w:val="20"/>
              </w:rPr>
            </w:pPr>
            <w:r>
              <w:rPr>
                <w:sz w:val="20"/>
              </w:rPr>
              <w:t>DEWPT1</w:t>
            </w:r>
          </w:p>
        </w:tc>
        <w:tc>
          <w:tcPr>
            <w:tcW w:w="931" w:type="dxa"/>
            <w:tcBorders>
              <w:left w:val="nil"/>
              <w:right w:val="nil"/>
            </w:tcBorders>
          </w:tcPr>
          <w:p>
            <w:pPr>
              <w:pStyle w:val="TableParagraph"/>
              <w:spacing w:before="58"/>
              <w:ind w:right="70"/>
              <w:rPr>
                <w:sz w:val="20"/>
              </w:rPr>
            </w:pPr>
            <w:r>
              <w:rPr>
                <w:sz w:val="20"/>
              </w:rPr>
              <w:t>DEWPT2</w:t>
            </w:r>
          </w:p>
        </w:tc>
        <w:tc>
          <w:tcPr>
            <w:tcW w:w="941" w:type="dxa"/>
            <w:tcBorders>
              <w:left w:val="nil"/>
              <w:right w:val="nil"/>
            </w:tcBorders>
          </w:tcPr>
          <w:p>
            <w:pPr>
              <w:pStyle w:val="TableParagraph"/>
              <w:spacing w:before="58"/>
              <w:ind w:right="75"/>
              <w:rPr>
                <w:sz w:val="20"/>
              </w:rPr>
            </w:pPr>
            <w:r>
              <w:rPr>
                <w:sz w:val="20"/>
              </w:rPr>
              <w:t>DEWPT3</w:t>
            </w:r>
          </w:p>
        </w:tc>
        <w:tc>
          <w:tcPr>
            <w:tcW w:w="938" w:type="dxa"/>
            <w:tcBorders>
              <w:left w:val="nil"/>
              <w:right w:val="nil"/>
            </w:tcBorders>
          </w:tcPr>
          <w:p>
            <w:pPr>
              <w:pStyle w:val="TableParagraph"/>
              <w:spacing w:before="58"/>
              <w:ind w:right="77"/>
              <w:rPr>
                <w:sz w:val="20"/>
              </w:rPr>
            </w:pPr>
            <w:r>
              <w:rPr>
                <w:sz w:val="20"/>
              </w:rPr>
              <w:t>DEWPT4</w:t>
            </w:r>
          </w:p>
        </w:tc>
        <w:tc>
          <w:tcPr>
            <w:tcW w:w="941" w:type="dxa"/>
            <w:tcBorders>
              <w:left w:val="nil"/>
              <w:right w:val="nil"/>
            </w:tcBorders>
          </w:tcPr>
          <w:p>
            <w:pPr>
              <w:pStyle w:val="TableParagraph"/>
              <w:spacing w:before="58"/>
              <w:ind w:right="77"/>
              <w:rPr>
                <w:sz w:val="20"/>
              </w:rPr>
            </w:pPr>
            <w:r>
              <w:rPr>
                <w:sz w:val="20"/>
              </w:rPr>
              <w:t>DEWPT5</w:t>
            </w:r>
          </w:p>
        </w:tc>
        <w:tc>
          <w:tcPr>
            <w:tcW w:w="939" w:type="dxa"/>
            <w:tcBorders>
              <w:left w:val="nil"/>
              <w:right w:val="nil"/>
            </w:tcBorders>
          </w:tcPr>
          <w:p>
            <w:pPr>
              <w:pStyle w:val="TableParagraph"/>
              <w:spacing w:before="58"/>
              <w:ind w:right="75"/>
              <w:rPr>
                <w:sz w:val="20"/>
              </w:rPr>
            </w:pPr>
            <w:r>
              <w:rPr>
                <w:sz w:val="20"/>
              </w:rPr>
              <w:t>DEWPT6</w:t>
            </w:r>
          </w:p>
        </w:tc>
        <w:tc>
          <w:tcPr>
            <w:tcW w:w="929" w:type="dxa"/>
            <w:tcBorders>
              <w:left w:val="nil"/>
              <w:right w:val="nil"/>
            </w:tcBorders>
          </w:tcPr>
          <w:p>
            <w:pPr>
              <w:pStyle w:val="TableParagraph"/>
              <w:spacing w:before="58"/>
              <w:ind w:right="67"/>
              <w:rPr>
                <w:sz w:val="20"/>
              </w:rPr>
            </w:pPr>
            <w:r>
              <w:rPr>
                <w:sz w:val="20"/>
              </w:rPr>
              <w:t>DEWPT7</w:t>
            </w:r>
          </w:p>
        </w:tc>
        <w:tc>
          <w:tcPr>
            <w:tcW w:w="939" w:type="dxa"/>
            <w:tcBorders>
              <w:left w:val="nil"/>
              <w:right w:val="nil"/>
            </w:tcBorders>
          </w:tcPr>
          <w:p>
            <w:pPr>
              <w:pStyle w:val="TableParagraph"/>
              <w:spacing w:before="58"/>
              <w:ind w:right="75"/>
              <w:rPr>
                <w:sz w:val="20"/>
              </w:rPr>
            </w:pPr>
            <w:r>
              <w:rPr>
                <w:sz w:val="20"/>
              </w:rPr>
              <w:t>DEWPT8</w:t>
            </w:r>
          </w:p>
        </w:tc>
        <w:tc>
          <w:tcPr>
            <w:tcW w:w="932" w:type="dxa"/>
            <w:tcBorders>
              <w:left w:val="nil"/>
              <w:right w:val="nil"/>
            </w:tcBorders>
          </w:tcPr>
          <w:p>
            <w:pPr>
              <w:pStyle w:val="TableParagraph"/>
              <w:spacing w:before="58"/>
              <w:ind w:right="70"/>
              <w:rPr>
                <w:sz w:val="20"/>
              </w:rPr>
            </w:pPr>
            <w:r>
              <w:rPr>
                <w:sz w:val="20"/>
              </w:rPr>
              <w:t>DEWPT9</w:t>
            </w:r>
          </w:p>
        </w:tc>
        <w:tc>
          <w:tcPr>
            <w:tcW w:w="1042" w:type="dxa"/>
            <w:tcBorders>
              <w:left w:val="nil"/>
              <w:right w:val="nil"/>
            </w:tcBorders>
          </w:tcPr>
          <w:p>
            <w:pPr>
              <w:pStyle w:val="TableParagraph"/>
              <w:spacing w:before="58"/>
              <w:ind w:right="75"/>
              <w:rPr>
                <w:sz w:val="20"/>
              </w:rPr>
            </w:pPr>
            <w:r>
              <w:rPr>
                <w:sz w:val="20"/>
              </w:rPr>
              <w:t>DEWPT10</w:t>
            </w:r>
          </w:p>
        </w:tc>
        <w:tc>
          <w:tcPr>
            <w:tcW w:w="1027" w:type="dxa"/>
            <w:tcBorders>
              <w:left w:val="nil"/>
              <w:right w:val="nil"/>
            </w:tcBorders>
          </w:tcPr>
          <w:p>
            <w:pPr>
              <w:pStyle w:val="TableParagraph"/>
              <w:spacing w:before="58"/>
              <w:ind w:right="65"/>
              <w:rPr>
                <w:sz w:val="20"/>
              </w:rPr>
            </w:pPr>
            <w:r>
              <w:rPr>
                <w:sz w:val="20"/>
              </w:rPr>
              <w:t>DEWPT11</w:t>
            </w:r>
          </w:p>
        </w:tc>
        <w:tc>
          <w:tcPr>
            <w:tcW w:w="1023" w:type="dxa"/>
            <w:tcBorders>
              <w:left w:val="nil"/>
              <w:right w:val="nil"/>
            </w:tcBorders>
          </w:tcPr>
          <w:p>
            <w:pPr>
              <w:pStyle w:val="TableParagraph"/>
              <w:spacing w:before="58"/>
              <w:ind w:right="60"/>
              <w:rPr>
                <w:sz w:val="20"/>
              </w:rPr>
            </w:pPr>
            <w:r>
              <w:rPr>
                <w:sz w:val="20"/>
              </w:rPr>
              <w:t>DEWPT12</w:t>
            </w:r>
          </w:p>
        </w:tc>
      </w:tr>
      <w:tr>
        <w:trPr>
          <w:trHeight w:val="339" w:hRule="exact"/>
        </w:trPr>
        <w:tc>
          <w:tcPr>
            <w:tcW w:w="1143" w:type="dxa"/>
            <w:tcBorders>
              <w:left w:val="nil"/>
              <w:bottom w:val="nil"/>
              <w:right w:val="nil"/>
            </w:tcBorders>
          </w:tcPr>
          <w:p>
            <w:pPr>
              <w:pStyle w:val="TableParagraph"/>
              <w:spacing w:before="58"/>
              <w:ind w:left="86"/>
              <w:jc w:val="left"/>
              <w:rPr>
                <w:sz w:val="20"/>
              </w:rPr>
            </w:pPr>
            <w:r>
              <w:rPr>
                <w:sz w:val="20"/>
              </w:rPr>
              <w:t>27</w:t>
            </w:r>
          </w:p>
        </w:tc>
        <w:tc>
          <w:tcPr>
            <w:tcW w:w="1030" w:type="dxa"/>
            <w:tcBorders>
              <w:left w:val="nil"/>
              <w:bottom w:val="nil"/>
              <w:right w:val="nil"/>
            </w:tcBorders>
          </w:tcPr>
          <w:p>
            <w:pPr>
              <w:pStyle w:val="TableParagraph"/>
              <w:spacing w:before="58"/>
              <w:ind w:left="71"/>
              <w:jc w:val="left"/>
              <w:rPr>
                <w:sz w:val="20"/>
              </w:rPr>
            </w:pPr>
            <w:r>
              <w:rPr>
                <w:sz w:val="20"/>
              </w:rPr>
              <w:t>15029</w:t>
            </w:r>
          </w:p>
        </w:tc>
        <w:tc>
          <w:tcPr>
            <w:tcW w:w="976" w:type="dxa"/>
            <w:tcBorders>
              <w:left w:val="nil"/>
              <w:bottom w:val="nil"/>
              <w:right w:val="nil"/>
            </w:tcBorders>
          </w:tcPr>
          <w:p>
            <w:pPr>
              <w:pStyle w:val="TableParagraph"/>
              <w:spacing w:before="58"/>
              <w:ind w:right="65"/>
              <w:rPr>
                <w:sz w:val="20"/>
              </w:rPr>
            </w:pPr>
            <w:r>
              <w:rPr>
                <w:sz w:val="20"/>
              </w:rPr>
              <w:t>7.96</w:t>
            </w:r>
          </w:p>
        </w:tc>
        <w:tc>
          <w:tcPr>
            <w:tcW w:w="931" w:type="dxa"/>
            <w:tcBorders>
              <w:left w:val="nil"/>
              <w:bottom w:val="nil"/>
              <w:right w:val="nil"/>
            </w:tcBorders>
          </w:tcPr>
          <w:p>
            <w:pPr>
              <w:pStyle w:val="TableParagraph"/>
              <w:spacing w:before="58"/>
              <w:ind w:right="70"/>
              <w:rPr>
                <w:sz w:val="20"/>
              </w:rPr>
            </w:pPr>
            <w:r>
              <w:rPr>
                <w:sz w:val="20"/>
              </w:rPr>
              <w:t>7.18</w:t>
            </w:r>
          </w:p>
        </w:tc>
        <w:tc>
          <w:tcPr>
            <w:tcW w:w="941" w:type="dxa"/>
            <w:tcBorders>
              <w:left w:val="nil"/>
              <w:bottom w:val="nil"/>
              <w:right w:val="nil"/>
            </w:tcBorders>
          </w:tcPr>
          <w:p>
            <w:pPr>
              <w:pStyle w:val="TableParagraph"/>
              <w:spacing w:before="58"/>
              <w:ind w:right="65"/>
              <w:rPr>
                <w:sz w:val="20"/>
              </w:rPr>
            </w:pPr>
            <w:r>
              <w:rPr>
                <w:sz w:val="20"/>
              </w:rPr>
              <w:t>5.63</w:t>
            </w:r>
          </w:p>
        </w:tc>
        <w:tc>
          <w:tcPr>
            <w:tcW w:w="938" w:type="dxa"/>
            <w:tcBorders>
              <w:left w:val="nil"/>
              <w:bottom w:val="nil"/>
              <w:right w:val="nil"/>
            </w:tcBorders>
          </w:tcPr>
          <w:p>
            <w:pPr>
              <w:pStyle w:val="TableParagraph"/>
              <w:spacing w:before="58"/>
              <w:ind w:right="67"/>
              <w:rPr>
                <w:sz w:val="20"/>
              </w:rPr>
            </w:pPr>
            <w:r>
              <w:rPr>
                <w:sz w:val="20"/>
              </w:rPr>
              <w:t>6.66</w:t>
            </w:r>
          </w:p>
        </w:tc>
        <w:tc>
          <w:tcPr>
            <w:tcW w:w="941" w:type="dxa"/>
            <w:tcBorders>
              <w:left w:val="nil"/>
              <w:bottom w:val="nil"/>
              <w:right w:val="nil"/>
            </w:tcBorders>
          </w:tcPr>
          <w:p>
            <w:pPr>
              <w:pStyle w:val="TableParagraph"/>
              <w:spacing w:before="58"/>
              <w:ind w:right="67"/>
              <w:rPr>
                <w:sz w:val="20"/>
              </w:rPr>
            </w:pPr>
            <w:r>
              <w:rPr>
                <w:sz w:val="20"/>
              </w:rPr>
              <w:t>9.42</w:t>
            </w:r>
          </w:p>
        </w:tc>
        <w:tc>
          <w:tcPr>
            <w:tcW w:w="939" w:type="dxa"/>
            <w:tcBorders>
              <w:left w:val="nil"/>
              <w:bottom w:val="nil"/>
              <w:right w:val="nil"/>
            </w:tcBorders>
          </w:tcPr>
          <w:p>
            <w:pPr>
              <w:pStyle w:val="TableParagraph"/>
              <w:spacing w:before="58"/>
              <w:ind w:right="65"/>
              <w:rPr>
                <w:sz w:val="20"/>
              </w:rPr>
            </w:pPr>
            <w:r>
              <w:rPr>
                <w:sz w:val="20"/>
              </w:rPr>
              <w:t>11.84</w:t>
            </w:r>
          </w:p>
        </w:tc>
        <w:tc>
          <w:tcPr>
            <w:tcW w:w="929" w:type="dxa"/>
            <w:tcBorders>
              <w:left w:val="nil"/>
              <w:bottom w:val="nil"/>
              <w:right w:val="nil"/>
            </w:tcBorders>
          </w:tcPr>
          <w:p>
            <w:pPr>
              <w:pStyle w:val="TableParagraph"/>
              <w:spacing w:before="58"/>
              <w:ind w:right="67"/>
              <w:rPr>
                <w:sz w:val="20"/>
              </w:rPr>
            </w:pPr>
            <w:r>
              <w:rPr>
                <w:sz w:val="20"/>
              </w:rPr>
              <w:t>13.59</w:t>
            </w:r>
          </w:p>
        </w:tc>
        <w:tc>
          <w:tcPr>
            <w:tcW w:w="939" w:type="dxa"/>
            <w:tcBorders>
              <w:left w:val="nil"/>
              <w:bottom w:val="nil"/>
              <w:right w:val="nil"/>
            </w:tcBorders>
          </w:tcPr>
          <w:p>
            <w:pPr>
              <w:pStyle w:val="TableParagraph"/>
              <w:spacing w:before="58"/>
              <w:ind w:right="65"/>
              <w:rPr>
                <w:sz w:val="20"/>
              </w:rPr>
            </w:pPr>
            <w:r>
              <w:rPr>
                <w:sz w:val="20"/>
              </w:rPr>
              <w:t>13.36</w:t>
            </w:r>
          </w:p>
        </w:tc>
        <w:tc>
          <w:tcPr>
            <w:tcW w:w="932" w:type="dxa"/>
            <w:tcBorders>
              <w:left w:val="nil"/>
              <w:bottom w:val="nil"/>
              <w:right w:val="nil"/>
            </w:tcBorders>
          </w:tcPr>
          <w:p>
            <w:pPr>
              <w:pStyle w:val="TableParagraph"/>
              <w:spacing w:before="58"/>
              <w:ind w:right="70"/>
              <w:rPr>
                <w:sz w:val="20"/>
              </w:rPr>
            </w:pPr>
            <w:r>
              <w:rPr>
                <w:sz w:val="20"/>
              </w:rPr>
              <w:t>12.05</w:t>
            </w:r>
          </w:p>
        </w:tc>
        <w:tc>
          <w:tcPr>
            <w:tcW w:w="1042" w:type="dxa"/>
            <w:tcBorders>
              <w:left w:val="nil"/>
              <w:bottom w:val="nil"/>
              <w:right w:val="nil"/>
            </w:tcBorders>
          </w:tcPr>
          <w:p>
            <w:pPr>
              <w:pStyle w:val="TableParagraph"/>
              <w:spacing w:before="58"/>
              <w:ind w:right="65"/>
              <w:rPr>
                <w:sz w:val="20"/>
              </w:rPr>
            </w:pPr>
            <w:r>
              <w:rPr>
                <w:sz w:val="20"/>
              </w:rPr>
              <w:t>8.73</w:t>
            </w:r>
          </w:p>
        </w:tc>
        <w:tc>
          <w:tcPr>
            <w:tcW w:w="1027" w:type="dxa"/>
            <w:tcBorders>
              <w:left w:val="nil"/>
              <w:bottom w:val="nil"/>
              <w:right w:val="nil"/>
            </w:tcBorders>
          </w:tcPr>
          <w:p>
            <w:pPr>
              <w:pStyle w:val="TableParagraph"/>
              <w:spacing w:before="58"/>
              <w:ind w:right="65"/>
              <w:rPr>
                <w:sz w:val="20"/>
              </w:rPr>
            </w:pPr>
            <w:r>
              <w:rPr>
                <w:sz w:val="20"/>
              </w:rPr>
              <w:t>7.6</w:t>
            </w:r>
          </w:p>
        </w:tc>
        <w:tc>
          <w:tcPr>
            <w:tcW w:w="1023" w:type="dxa"/>
            <w:tcBorders>
              <w:left w:val="nil"/>
              <w:bottom w:val="nil"/>
              <w:right w:val="nil"/>
            </w:tcBorders>
          </w:tcPr>
          <w:p>
            <w:pPr>
              <w:pStyle w:val="TableParagraph"/>
              <w:spacing w:before="58"/>
              <w:ind w:right="60"/>
              <w:rPr>
                <w:sz w:val="20"/>
              </w:rPr>
            </w:pPr>
            <w:r>
              <w:rPr>
                <w:sz w:val="20"/>
              </w:rPr>
              <w:t>5.57</w:t>
            </w:r>
          </w:p>
        </w:tc>
      </w:tr>
      <w:tr>
        <w:trPr>
          <w:trHeight w:val="300" w:hRule="exact"/>
        </w:trPr>
        <w:tc>
          <w:tcPr>
            <w:tcW w:w="1143" w:type="dxa"/>
            <w:tcBorders>
              <w:top w:val="nil"/>
              <w:left w:val="nil"/>
              <w:bottom w:val="nil"/>
              <w:right w:val="nil"/>
            </w:tcBorders>
          </w:tcPr>
          <w:p>
            <w:pPr>
              <w:pStyle w:val="TableParagraph"/>
              <w:spacing w:before="26"/>
              <w:ind w:left="86"/>
              <w:jc w:val="left"/>
              <w:rPr>
                <w:sz w:val="20"/>
              </w:rPr>
            </w:pPr>
            <w:r>
              <w:rPr>
                <w:sz w:val="20"/>
              </w:rPr>
              <w:t>28</w:t>
            </w:r>
          </w:p>
        </w:tc>
        <w:tc>
          <w:tcPr>
            <w:tcW w:w="1030" w:type="dxa"/>
            <w:tcBorders>
              <w:top w:val="nil"/>
              <w:left w:val="nil"/>
              <w:bottom w:val="nil"/>
              <w:right w:val="nil"/>
            </w:tcBorders>
          </w:tcPr>
          <w:p>
            <w:pPr>
              <w:pStyle w:val="TableParagraph"/>
              <w:spacing w:before="26"/>
              <w:ind w:left="71"/>
              <w:jc w:val="left"/>
              <w:rPr>
                <w:sz w:val="20"/>
              </w:rPr>
            </w:pPr>
            <w:r>
              <w:rPr>
                <w:sz w:val="20"/>
              </w:rPr>
              <w:t>15029</w:t>
            </w:r>
          </w:p>
        </w:tc>
        <w:tc>
          <w:tcPr>
            <w:tcW w:w="976" w:type="dxa"/>
            <w:tcBorders>
              <w:top w:val="nil"/>
              <w:left w:val="nil"/>
              <w:bottom w:val="nil"/>
              <w:right w:val="nil"/>
            </w:tcBorders>
          </w:tcPr>
          <w:p>
            <w:pPr>
              <w:pStyle w:val="TableParagraph"/>
              <w:spacing w:before="26"/>
              <w:ind w:right="65"/>
              <w:rPr>
                <w:sz w:val="20"/>
              </w:rPr>
            </w:pPr>
            <w:r>
              <w:rPr>
                <w:sz w:val="20"/>
              </w:rPr>
              <w:t>7.96</w:t>
            </w:r>
          </w:p>
        </w:tc>
        <w:tc>
          <w:tcPr>
            <w:tcW w:w="931" w:type="dxa"/>
            <w:tcBorders>
              <w:top w:val="nil"/>
              <w:left w:val="nil"/>
              <w:bottom w:val="nil"/>
              <w:right w:val="nil"/>
            </w:tcBorders>
          </w:tcPr>
          <w:p>
            <w:pPr>
              <w:pStyle w:val="TableParagraph"/>
              <w:spacing w:before="26"/>
              <w:ind w:right="70"/>
              <w:rPr>
                <w:sz w:val="20"/>
              </w:rPr>
            </w:pPr>
            <w:r>
              <w:rPr>
                <w:sz w:val="20"/>
              </w:rPr>
              <w:t>7.18</w:t>
            </w:r>
          </w:p>
        </w:tc>
        <w:tc>
          <w:tcPr>
            <w:tcW w:w="941" w:type="dxa"/>
            <w:tcBorders>
              <w:top w:val="nil"/>
              <w:left w:val="nil"/>
              <w:bottom w:val="nil"/>
              <w:right w:val="nil"/>
            </w:tcBorders>
          </w:tcPr>
          <w:p>
            <w:pPr>
              <w:pStyle w:val="TableParagraph"/>
              <w:spacing w:before="26"/>
              <w:ind w:right="65"/>
              <w:rPr>
                <w:sz w:val="20"/>
              </w:rPr>
            </w:pPr>
            <w:r>
              <w:rPr>
                <w:sz w:val="20"/>
              </w:rPr>
              <w:t>5.63</w:t>
            </w:r>
          </w:p>
        </w:tc>
        <w:tc>
          <w:tcPr>
            <w:tcW w:w="938" w:type="dxa"/>
            <w:tcBorders>
              <w:top w:val="nil"/>
              <w:left w:val="nil"/>
              <w:bottom w:val="nil"/>
              <w:right w:val="nil"/>
            </w:tcBorders>
          </w:tcPr>
          <w:p>
            <w:pPr>
              <w:pStyle w:val="TableParagraph"/>
              <w:spacing w:before="26"/>
              <w:ind w:right="67"/>
              <w:rPr>
                <w:sz w:val="20"/>
              </w:rPr>
            </w:pPr>
            <w:r>
              <w:rPr>
                <w:sz w:val="20"/>
              </w:rPr>
              <w:t>6.66</w:t>
            </w:r>
          </w:p>
        </w:tc>
        <w:tc>
          <w:tcPr>
            <w:tcW w:w="941" w:type="dxa"/>
            <w:tcBorders>
              <w:top w:val="nil"/>
              <w:left w:val="nil"/>
              <w:bottom w:val="nil"/>
              <w:right w:val="nil"/>
            </w:tcBorders>
          </w:tcPr>
          <w:p>
            <w:pPr>
              <w:pStyle w:val="TableParagraph"/>
              <w:spacing w:before="26"/>
              <w:ind w:right="67"/>
              <w:rPr>
                <w:sz w:val="20"/>
              </w:rPr>
            </w:pPr>
            <w:r>
              <w:rPr>
                <w:sz w:val="20"/>
              </w:rPr>
              <w:t>9.42</w:t>
            </w:r>
          </w:p>
        </w:tc>
        <w:tc>
          <w:tcPr>
            <w:tcW w:w="939" w:type="dxa"/>
            <w:tcBorders>
              <w:top w:val="nil"/>
              <w:left w:val="nil"/>
              <w:bottom w:val="nil"/>
              <w:right w:val="nil"/>
            </w:tcBorders>
          </w:tcPr>
          <w:p>
            <w:pPr>
              <w:pStyle w:val="TableParagraph"/>
              <w:spacing w:before="26"/>
              <w:ind w:right="65"/>
              <w:rPr>
                <w:sz w:val="20"/>
              </w:rPr>
            </w:pPr>
            <w:r>
              <w:rPr>
                <w:sz w:val="20"/>
              </w:rPr>
              <w:t>11.84</w:t>
            </w:r>
          </w:p>
        </w:tc>
        <w:tc>
          <w:tcPr>
            <w:tcW w:w="929" w:type="dxa"/>
            <w:tcBorders>
              <w:top w:val="nil"/>
              <w:left w:val="nil"/>
              <w:bottom w:val="nil"/>
              <w:right w:val="nil"/>
            </w:tcBorders>
          </w:tcPr>
          <w:p>
            <w:pPr>
              <w:pStyle w:val="TableParagraph"/>
              <w:spacing w:before="26"/>
              <w:ind w:right="67"/>
              <w:rPr>
                <w:sz w:val="20"/>
              </w:rPr>
            </w:pPr>
            <w:r>
              <w:rPr>
                <w:sz w:val="20"/>
              </w:rPr>
              <w:t>13.59</w:t>
            </w:r>
          </w:p>
        </w:tc>
        <w:tc>
          <w:tcPr>
            <w:tcW w:w="939" w:type="dxa"/>
            <w:tcBorders>
              <w:top w:val="nil"/>
              <w:left w:val="nil"/>
              <w:bottom w:val="nil"/>
              <w:right w:val="nil"/>
            </w:tcBorders>
          </w:tcPr>
          <w:p>
            <w:pPr>
              <w:pStyle w:val="TableParagraph"/>
              <w:spacing w:before="26"/>
              <w:ind w:right="65"/>
              <w:rPr>
                <w:sz w:val="20"/>
              </w:rPr>
            </w:pPr>
            <w:r>
              <w:rPr>
                <w:sz w:val="20"/>
              </w:rPr>
              <w:t>13.36</w:t>
            </w:r>
          </w:p>
        </w:tc>
        <w:tc>
          <w:tcPr>
            <w:tcW w:w="932" w:type="dxa"/>
            <w:tcBorders>
              <w:top w:val="nil"/>
              <w:left w:val="nil"/>
              <w:bottom w:val="nil"/>
              <w:right w:val="nil"/>
            </w:tcBorders>
          </w:tcPr>
          <w:p>
            <w:pPr>
              <w:pStyle w:val="TableParagraph"/>
              <w:spacing w:before="26"/>
              <w:ind w:right="70"/>
              <w:rPr>
                <w:sz w:val="20"/>
              </w:rPr>
            </w:pPr>
            <w:r>
              <w:rPr>
                <w:sz w:val="20"/>
              </w:rPr>
              <w:t>12.05</w:t>
            </w:r>
          </w:p>
        </w:tc>
        <w:tc>
          <w:tcPr>
            <w:tcW w:w="1042" w:type="dxa"/>
            <w:tcBorders>
              <w:top w:val="nil"/>
              <w:left w:val="nil"/>
              <w:bottom w:val="nil"/>
              <w:right w:val="nil"/>
            </w:tcBorders>
          </w:tcPr>
          <w:p>
            <w:pPr>
              <w:pStyle w:val="TableParagraph"/>
              <w:spacing w:before="26"/>
              <w:ind w:right="65"/>
              <w:rPr>
                <w:sz w:val="20"/>
              </w:rPr>
            </w:pPr>
            <w:r>
              <w:rPr>
                <w:sz w:val="20"/>
              </w:rPr>
              <w:t>8.73</w:t>
            </w:r>
          </w:p>
        </w:tc>
        <w:tc>
          <w:tcPr>
            <w:tcW w:w="1027" w:type="dxa"/>
            <w:tcBorders>
              <w:top w:val="nil"/>
              <w:left w:val="nil"/>
              <w:bottom w:val="nil"/>
              <w:right w:val="nil"/>
            </w:tcBorders>
          </w:tcPr>
          <w:p>
            <w:pPr>
              <w:pStyle w:val="TableParagraph"/>
              <w:spacing w:before="26"/>
              <w:ind w:right="65"/>
              <w:rPr>
                <w:sz w:val="20"/>
              </w:rPr>
            </w:pPr>
            <w:r>
              <w:rPr>
                <w:sz w:val="20"/>
              </w:rPr>
              <w:t>7.6</w:t>
            </w:r>
          </w:p>
        </w:tc>
        <w:tc>
          <w:tcPr>
            <w:tcW w:w="1023" w:type="dxa"/>
            <w:tcBorders>
              <w:top w:val="nil"/>
              <w:left w:val="nil"/>
              <w:bottom w:val="nil"/>
              <w:right w:val="nil"/>
            </w:tcBorders>
          </w:tcPr>
          <w:p>
            <w:pPr>
              <w:pStyle w:val="TableParagraph"/>
              <w:spacing w:before="26"/>
              <w:ind w:right="60"/>
              <w:rPr>
                <w:sz w:val="20"/>
              </w:rPr>
            </w:pPr>
            <w:r>
              <w:rPr>
                <w:sz w:val="20"/>
              </w:rPr>
              <w:t>5.57</w:t>
            </w:r>
          </w:p>
        </w:tc>
      </w:tr>
      <w:tr>
        <w:trPr>
          <w:trHeight w:val="268" w:hRule="exact"/>
        </w:trPr>
        <w:tc>
          <w:tcPr>
            <w:tcW w:w="1143" w:type="dxa"/>
            <w:tcBorders>
              <w:top w:val="nil"/>
              <w:left w:val="nil"/>
              <w:right w:val="nil"/>
            </w:tcBorders>
          </w:tcPr>
          <w:p>
            <w:pPr>
              <w:pStyle w:val="TableParagraph"/>
              <w:ind w:left="86"/>
              <w:jc w:val="left"/>
              <w:rPr>
                <w:sz w:val="20"/>
              </w:rPr>
            </w:pPr>
            <w:r>
              <w:rPr>
                <w:sz w:val="20"/>
              </w:rPr>
              <w:t>29</w:t>
            </w:r>
          </w:p>
        </w:tc>
        <w:tc>
          <w:tcPr>
            <w:tcW w:w="1030" w:type="dxa"/>
            <w:tcBorders>
              <w:top w:val="nil"/>
              <w:left w:val="nil"/>
              <w:right w:val="nil"/>
            </w:tcBorders>
          </w:tcPr>
          <w:p>
            <w:pPr>
              <w:pStyle w:val="TableParagraph"/>
              <w:ind w:left="71"/>
              <w:jc w:val="left"/>
              <w:rPr>
                <w:sz w:val="20"/>
              </w:rPr>
            </w:pPr>
            <w:r>
              <w:rPr>
                <w:sz w:val="20"/>
              </w:rPr>
              <w:t>15251</w:t>
            </w:r>
          </w:p>
        </w:tc>
        <w:tc>
          <w:tcPr>
            <w:tcW w:w="976" w:type="dxa"/>
            <w:tcBorders>
              <w:top w:val="nil"/>
              <w:left w:val="nil"/>
              <w:right w:val="nil"/>
            </w:tcBorders>
          </w:tcPr>
          <w:p>
            <w:pPr>
              <w:pStyle w:val="TableParagraph"/>
              <w:ind w:right="65"/>
              <w:rPr>
                <w:sz w:val="20"/>
              </w:rPr>
            </w:pPr>
            <w:r>
              <w:rPr>
                <w:sz w:val="20"/>
              </w:rPr>
              <w:t>7.96</w:t>
            </w:r>
          </w:p>
        </w:tc>
        <w:tc>
          <w:tcPr>
            <w:tcW w:w="931" w:type="dxa"/>
            <w:tcBorders>
              <w:top w:val="nil"/>
              <w:left w:val="nil"/>
              <w:right w:val="nil"/>
            </w:tcBorders>
          </w:tcPr>
          <w:p>
            <w:pPr>
              <w:pStyle w:val="TableParagraph"/>
              <w:ind w:right="70"/>
              <w:rPr>
                <w:sz w:val="20"/>
              </w:rPr>
            </w:pPr>
            <w:r>
              <w:rPr>
                <w:sz w:val="20"/>
              </w:rPr>
              <w:t>7.18</w:t>
            </w:r>
          </w:p>
        </w:tc>
        <w:tc>
          <w:tcPr>
            <w:tcW w:w="941" w:type="dxa"/>
            <w:tcBorders>
              <w:top w:val="nil"/>
              <w:left w:val="nil"/>
              <w:right w:val="nil"/>
            </w:tcBorders>
          </w:tcPr>
          <w:p>
            <w:pPr>
              <w:pStyle w:val="TableParagraph"/>
              <w:ind w:right="65"/>
              <w:rPr>
                <w:sz w:val="20"/>
              </w:rPr>
            </w:pPr>
            <w:r>
              <w:rPr>
                <w:sz w:val="20"/>
              </w:rPr>
              <w:t>5.63</w:t>
            </w:r>
          </w:p>
        </w:tc>
        <w:tc>
          <w:tcPr>
            <w:tcW w:w="938" w:type="dxa"/>
            <w:tcBorders>
              <w:top w:val="nil"/>
              <w:left w:val="nil"/>
              <w:right w:val="nil"/>
            </w:tcBorders>
          </w:tcPr>
          <w:p>
            <w:pPr>
              <w:pStyle w:val="TableParagraph"/>
              <w:ind w:right="67"/>
              <w:rPr>
                <w:sz w:val="20"/>
              </w:rPr>
            </w:pPr>
            <w:r>
              <w:rPr>
                <w:sz w:val="20"/>
              </w:rPr>
              <w:t>6.66</w:t>
            </w:r>
          </w:p>
        </w:tc>
        <w:tc>
          <w:tcPr>
            <w:tcW w:w="941" w:type="dxa"/>
            <w:tcBorders>
              <w:top w:val="nil"/>
              <w:left w:val="nil"/>
              <w:right w:val="nil"/>
            </w:tcBorders>
          </w:tcPr>
          <w:p>
            <w:pPr>
              <w:pStyle w:val="TableParagraph"/>
              <w:ind w:right="67"/>
              <w:rPr>
                <w:sz w:val="20"/>
              </w:rPr>
            </w:pPr>
            <w:r>
              <w:rPr>
                <w:sz w:val="20"/>
              </w:rPr>
              <w:t>9.42</w:t>
            </w:r>
          </w:p>
        </w:tc>
        <w:tc>
          <w:tcPr>
            <w:tcW w:w="939" w:type="dxa"/>
            <w:tcBorders>
              <w:top w:val="nil"/>
              <w:left w:val="nil"/>
              <w:right w:val="nil"/>
            </w:tcBorders>
          </w:tcPr>
          <w:p>
            <w:pPr>
              <w:pStyle w:val="TableParagraph"/>
              <w:ind w:right="65"/>
              <w:rPr>
                <w:sz w:val="20"/>
              </w:rPr>
            </w:pPr>
            <w:r>
              <w:rPr>
                <w:sz w:val="20"/>
              </w:rPr>
              <w:t>11.84</w:t>
            </w:r>
          </w:p>
        </w:tc>
        <w:tc>
          <w:tcPr>
            <w:tcW w:w="929" w:type="dxa"/>
            <w:tcBorders>
              <w:top w:val="nil"/>
              <w:left w:val="nil"/>
              <w:right w:val="nil"/>
            </w:tcBorders>
          </w:tcPr>
          <w:p>
            <w:pPr>
              <w:pStyle w:val="TableParagraph"/>
              <w:ind w:right="67"/>
              <w:rPr>
                <w:sz w:val="20"/>
              </w:rPr>
            </w:pPr>
            <w:r>
              <w:rPr>
                <w:sz w:val="20"/>
              </w:rPr>
              <w:t>13.59</w:t>
            </w:r>
          </w:p>
        </w:tc>
        <w:tc>
          <w:tcPr>
            <w:tcW w:w="939" w:type="dxa"/>
            <w:tcBorders>
              <w:top w:val="nil"/>
              <w:left w:val="nil"/>
              <w:right w:val="nil"/>
            </w:tcBorders>
          </w:tcPr>
          <w:p>
            <w:pPr>
              <w:pStyle w:val="TableParagraph"/>
              <w:ind w:right="65"/>
              <w:rPr>
                <w:sz w:val="20"/>
              </w:rPr>
            </w:pPr>
            <w:r>
              <w:rPr>
                <w:sz w:val="20"/>
              </w:rPr>
              <w:t>13.36</w:t>
            </w:r>
          </w:p>
        </w:tc>
        <w:tc>
          <w:tcPr>
            <w:tcW w:w="932" w:type="dxa"/>
            <w:tcBorders>
              <w:top w:val="nil"/>
              <w:left w:val="nil"/>
              <w:right w:val="nil"/>
            </w:tcBorders>
          </w:tcPr>
          <w:p>
            <w:pPr>
              <w:pStyle w:val="TableParagraph"/>
              <w:ind w:right="70"/>
              <w:rPr>
                <w:sz w:val="20"/>
              </w:rPr>
            </w:pPr>
            <w:r>
              <w:rPr>
                <w:sz w:val="20"/>
              </w:rPr>
              <w:t>12.05</w:t>
            </w:r>
          </w:p>
        </w:tc>
        <w:tc>
          <w:tcPr>
            <w:tcW w:w="1042" w:type="dxa"/>
            <w:tcBorders>
              <w:top w:val="nil"/>
              <w:left w:val="nil"/>
              <w:right w:val="nil"/>
            </w:tcBorders>
          </w:tcPr>
          <w:p>
            <w:pPr>
              <w:pStyle w:val="TableParagraph"/>
              <w:ind w:right="65"/>
              <w:rPr>
                <w:sz w:val="20"/>
              </w:rPr>
            </w:pPr>
            <w:r>
              <w:rPr>
                <w:sz w:val="20"/>
              </w:rPr>
              <w:t>8.73</w:t>
            </w:r>
          </w:p>
        </w:tc>
        <w:tc>
          <w:tcPr>
            <w:tcW w:w="1027" w:type="dxa"/>
            <w:tcBorders>
              <w:top w:val="nil"/>
              <w:left w:val="nil"/>
              <w:right w:val="nil"/>
            </w:tcBorders>
          </w:tcPr>
          <w:p>
            <w:pPr>
              <w:pStyle w:val="TableParagraph"/>
              <w:ind w:right="65"/>
              <w:rPr>
                <w:sz w:val="20"/>
              </w:rPr>
            </w:pPr>
            <w:r>
              <w:rPr>
                <w:sz w:val="20"/>
              </w:rPr>
              <w:t>7.6</w:t>
            </w:r>
          </w:p>
        </w:tc>
        <w:tc>
          <w:tcPr>
            <w:tcW w:w="1023" w:type="dxa"/>
            <w:tcBorders>
              <w:top w:val="nil"/>
              <w:left w:val="nil"/>
              <w:right w:val="nil"/>
            </w:tcBorders>
          </w:tcPr>
          <w:p>
            <w:pPr>
              <w:pStyle w:val="TableParagraph"/>
              <w:ind w:right="60"/>
              <w:rPr>
                <w:sz w:val="20"/>
              </w:rPr>
            </w:pPr>
            <w:r>
              <w:rPr>
                <w:sz w:val="20"/>
              </w:rPr>
              <w:t>5.57</w:t>
            </w:r>
          </w:p>
        </w:tc>
      </w:tr>
    </w:tbl>
    <w:p>
      <w:pPr>
        <w:spacing w:after="0"/>
        <w:rPr>
          <w:sz w:val="20"/>
        </w:rPr>
        <w:sectPr>
          <w:pgSz w:w="15840" w:h="12240" w:orient="landscape"/>
          <w:pgMar w:header="0" w:footer="1474" w:top="1140" w:bottom="1660" w:left="1300" w:right="600"/>
        </w:sectPr>
      </w:pPr>
    </w:p>
    <w:p>
      <w:pPr>
        <w:pStyle w:val="Heading1"/>
        <w:numPr>
          <w:ilvl w:val="1"/>
          <w:numId w:val="53"/>
        </w:numPr>
        <w:tabs>
          <w:tab w:pos="2767" w:val="left" w:leader="none"/>
        </w:tabs>
        <w:spacing w:line="240" w:lineRule="auto" w:before="53" w:after="0"/>
        <w:ind w:left="2767" w:right="0" w:hanging="360"/>
        <w:jc w:val="left"/>
      </w:pPr>
      <w:r>
        <w:rPr/>
        <w:t>ANEXO BASE DE DATOS DE</w:t>
      </w:r>
      <w:r>
        <w:rPr>
          <w:spacing w:val="-6"/>
        </w:rPr>
        <w:t> </w:t>
      </w:r>
      <w:r>
        <w:rPr/>
        <w:t>SUELOS</w:t>
      </w:r>
    </w:p>
    <w:p>
      <w:pPr>
        <w:pStyle w:val="BodyText"/>
        <w:rPr>
          <w:b/>
        </w:rPr>
      </w:pPr>
    </w:p>
    <w:p>
      <w:pPr>
        <w:pStyle w:val="BodyText"/>
        <w:spacing w:before="1"/>
        <w:rPr>
          <w:b/>
        </w:rPr>
      </w:pPr>
    </w:p>
    <w:p>
      <w:pPr>
        <w:spacing w:before="0"/>
        <w:ind w:left="1768" w:right="47" w:hanging="1652"/>
        <w:jc w:val="left"/>
        <w:rPr>
          <w:b/>
          <w:sz w:val="26"/>
        </w:rPr>
      </w:pPr>
      <w:bookmarkStart w:name="_bookmark152" w:id="211"/>
      <w:bookmarkEnd w:id="211"/>
      <w:r>
        <w:rPr/>
      </w:r>
      <w:r>
        <w:rPr>
          <w:b/>
          <w:sz w:val="24"/>
        </w:rPr>
        <w:t>Tabla 15. </w:t>
      </w:r>
      <w:r>
        <w:rPr>
          <w:b/>
          <w:sz w:val="26"/>
        </w:rPr>
        <w:t>Textura, Grupo Hidrológico, Número de capas y Profundidad máximo de la última capa de cada suelo en la cuenca El Tejocote</w:t>
      </w:r>
    </w:p>
    <w:p>
      <w:pPr>
        <w:pStyle w:val="BodyText"/>
        <w:rPr>
          <w:b/>
          <w:sz w:val="20"/>
        </w:rPr>
      </w:pPr>
    </w:p>
    <w:p>
      <w:pPr>
        <w:pStyle w:val="BodyText"/>
        <w:spacing w:before="10" w:after="1"/>
        <w:rPr>
          <w:b/>
          <w:sz w:val="23"/>
        </w:rPr>
      </w:pPr>
    </w:p>
    <w:tbl>
      <w:tblPr>
        <w:tblW w:w="0" w:type="auto"/>
        <w:jc w:val="left"/>
        <w:tblInd w:w="12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91"/>
        <w:gridCol w:w="1147"/>
        <w:gridCol w:w="1238"/>
        <w:gridCol w:w="1818"/>
        <w:gridCol w:w="1258"/>
      </w:tblGrid>
      <w:tr>
        <w:trPr>
          <w:trHeight w:val="543" w:hRule="exact"/>
        </w:trPr>
        <w:tc>
          <w:tcPr>
            <w:tcW w:w="1491" w:type="dxa"/>
            <w:tcBorders>
              <w:left w:val="nil"/>
              <w:bottom w:val="nil"/>
              <w:right w:val="nil"/>
            </w:tcBorders>
          </w:tcPr>
          <w:p>
            <w:pPr>
              <w:pStyle w:val="TableParagraph"/>
              <w:spacing w:before="116"/>
              <w:ind w:left="71"/>
              <w:jc w:val="left"/>
              <w:rPr>
                <w:sz w:val="22"/>
              </w:rPr>
            </w:pPr>
            <w:r>
              <w:rPr>
                <w:sz w:val="22"/>
              </w:rPr>
              <w:t>Nombre/Clave</w:t>
            </w:r>
          </w:p>
        </w:tc>
        <w:tc>
          <w:tcPr>
            <w:tcW w:w="1147" w:type="dxa"/>
            <w:tcBorders>
              <w:left w:val="nil"/>
              <w:bottom w:val="nil"/>
              <w:right w:val="nil"/>
            </w:tcBorders>
          </w:tcPr>
          <w:p>
            <w:pPr>
              <w:pStyle w:val="TableParagraph"/>
              <w:spacing w:before="116"/>
              <w:ind w:left="126"/>
              <w:jc w:val="left"/>
              <w:rPr>
                <w:sz w:val="22"/>
              </w:rPr>
            </w:pPr>
            <w:r>
              <w:rPr>
                <w:sz w:val="22"/>
              </w:rPr>
              <w:t>N° Capas</w:t>
            </w:r>
          </w:p>
        </w:tc>
        <w:tc>
          <w:tcPr>
            <w:tcW w:w="1238" w:type="dxa"/>
            <w:tcBorders>
              <w:left w:val="nil"/>
              <w:bottom w:val="nil"/>
              <w:right w:val="nil"/>
            </w:tcBorders>
          </w:tcPr>
          <w:p>
            <w:pPr>
              <w:pStyle w:val="TableParagraph"/>
              <w:spacing w:line="244" w:lineRule="exact" w:before="0"/>
              <w:ind w:left="319" w:right="-109"/>
              <w:jc w:val="left"/>
              <w:rPr>
                <w:sz w:val="22"/>
              </w:rPr>
            </w:pPr>
            <w:r>
              <w:rPr>
                <w:sz w:val="22"/>
              </w:rPr>
              <w:t>Grupo</w:t>
            </w:r>
          </w:p>
          <w:p>
            <w:pPr>
              <w:pStyle w:val="TableParagraph"/>
              <w:tabs>
                <w:tab w:pos="69" w:val="left" w:leader="none"/>
                <w:tab w:pos="1346" w:val="left" w:leader="none"/>
              </w:tabs>
              <w:spacing w:before="1"/>
              <w:ind w:left="-2639" w:right="-109"/>
              <w:jc w:val="left"/>
              <w:rPr>
                <w:sz w:val="22"/>
              </w:rPr>
            </w:pPr>
            <w:r>
              <w:rPr>
                <w:w w:val="100"/>
                <w:sz w:val="22"/>
                <w:u w:val="single"/>
              </w:rPr>
              <w:t> </w:t>
            </w:r>
            <w:r>
              <w:rPr>
                <w:sz w:val="22"/>
                <w:u w:val="single"/>
              </w:rPr>
              <w:tab/>
              <w:t>Hidrológico</w:t>
              <w:tab/>
            </w:r>
          </w:p>
        </w:tc>
        <w:tc>
          <w:tcPr>
            <w:tcW w:w="1818" w:type="dxa"/>
            <w:tcBorders>
              <w:left w:val="nil"/>
              <w:bottom w:val="nil"/>
              <w:right w:val="nil"/>
            </w:tcBorders>
          </w:tcPr>
          <w:p>
            <w:pPr>
              <w:pStyle w:val="TableParagraph"/>
              <w:spacing w:line="244" w:lineRule="exact" w:before="0"/>
              <w:ind w:left="286" w:right="-1258"/>
              <w:jc w:val="left"/>
              <w:rPr>
                <w:sz w:val="22"/>
              </w:rPr>
            </w:pPr>
            <w:r>
              <w:rPr>
                <w:sz w:val="22"/>
              </w:rPr>
              <w:t>Prof. Máx. de</w:t>
            </w:r>
          </w:p>
          <w:p>
            <w:pPr>
              <w:pStyle w:val="TableParagraph"/>
              <w:tabs>
                <w:tab w:pos="3075" w:val="left" w:leader="none"/>
              </w:tabs>
              <w:spacing w:before="1"/>
              <w:ind w:left="108" w:right="-1258"/>
              <w:jc w:val="left"/>
              <w:rPr>
                <w:sz w:val="22"/>
              </w:rPr>
            </w:pPr>
            <w:r>
              <w:rPr>
                <w:spacing w:val="-3"/>
                <w:sz w:val="22"/>
                <w:u w:val="single"/>
              </w:rPr>
              <w:t>última </w:t>
            </w:r>
            <w:r>
              <w:rPr>
                <w:sz w:val="22"/>
                <w:u w:val="single"/>
              </w:rPr>
              <w:t>capa</w:t>
            </w:r>
            <w:r>
              <w:rPr>
                <w:spacing w:val="26"/>
                <w:sz w:val="22"/>
                <w:u w:val="single"/>
              </w:rPr>
              <w:t> </w:t>
            </w:r>
            <w:r>
              <w:rPr>
                <w:spacing w:val="-3"/>
                <w:sz w:val="22"/>
                <w:u w:val="single"/>
              </w:rPr>
              <w:t>(mm)</w:t>
              <w:tab/>
            </w:r>
          </w:p>
        </w:tc>
        <w:tc>
          <w:tcPr>
            <w:tcW w:w="1258" w:type="dxa"/>
            <w:tcBorders>
              <w:left w:val="nil"/>
              <w:bottom w:val="nil"/>
              <w:right w:val="nil"/>
            </w:tcBorders>
          </w:tcPr>
          <w:p>
            <w:pPr>
              <w:pStyle w:val="TableParagraph"/>
              <w:spacing w:before="116"/>
              <w:ind w:left="283"/>
              <w:jc w:val="left"/>
              <w:rPr>
                <w:sz w:val="22"/>
              </w:rPr>
            </w:pPr>
            <w:r>
              <w:rPr>
                <w:sz w:val="22"/>
              </w:rPr>
              <w:t>Textura</w:t>
            </w:r>
          </w:p>
        </w:tc>
      </w:tr>
      <w:tr>
        <w:trPr>
          <w:trHeight w:val="305" w:hRule="exact"/>
        </w:trPr>
        <w:tc>
          <w:tcPr>
            <w:tcW w:w="1491" w:type="dxa"/>
            <w:tcBorders>
              <w:top w:val="nil"/>
              <w:left w:val="nil"/>
              <w:bottom w:val="nil"/>
              <w:right w:val="nil"/>
            </w:tcBorders>
          </w:tcPr>
          <w:p>
            <w:pPr>
              <w:pStyle w:val="TableParagraph"/>
              <w:spacing w:before="15"/>
              <w:ind w:left="71"/>
              <w:jc w:val="left"/>
              <w:rPr>
                <w:sz w:val="22"/>
              </w:rPr>
            </w:pPr>
            <w:r>
              <w:rPr>
                <w:sz w:val="22"/>
              </w:rPr>
              <w:t>TEJ_HhFd</w:t>
            </w:r>
          </w:p>
        </w:tc>
        <w:tc>
          <w:tcPr>
            <w:tcW w:w="1147" w:type="dxa"/>
            <w:tcBorders>
              <w:top w:val="nil"/>
              <w:left w:val="nil"/>
              <w:bottom w:val="nil"/>
              <w:right w:val="nil"/>
            </w:tcBorders>
          </w:tcPr>
          <w:p>
            <w:pPr>
              <w:pStyle w:val="TableParagraph"/>
              <w:spacing w:before="15"/>
              <w:ind w:right="67"/>
              <w:rPr>
                <w:sz w:val="22"/>
              </w:rPr>
            </w:pPr>
            <w:r>
              <w:rPr>
                <w:w w:val="100"/>
                <w:sz w:val="22"/>
              </w:rPr>
              <w:t>7</w:t>
            </w:r>
          </w:p>
        </w:tc>
        <w:tc>
          <w:tcPr>
            <w:tcW w:w="1238" w:type="dxa"/>
            <w:tcBorders>
              <w:top w:val="nil"/>
              <w:left w:val="nil"/>
              <w:bottom w:val="nil"/>
              <w:right w:val="nil"/>
            </w:tcBorders>
          </w:tcPr>
          <w:p>
            <w:pPr>
              <w:pStyle w:val="TableParagraph"/>
              <w:spacing w:before="15"/>
              <w:ind w:left="69"/>
              <w:jc w:val="left"/>
              <w:rPr>
                <w:sz w:val="22"/>
              </w:rPr>
            </w:pPr>
            <w:r>
              <w:rPr>
                <w:w w:val="100"/>
                <w:sz w:val="22"/>
              </w:rPr>
              <w:t>C</w:t>
            </w:r>
          </w:p>
        </w:tc>
        <w:tc>
          <w:tcPr>
            <w:tcW w:w="1818" w:type="dxa"/>
            <w:tcBorders>
              <w:top w:val="nil"/>
              <w:left w:val="nil"/>
              <w:bottom w:val="nil"/>
              <w:right w:val="nil"/>
            </w:tcBorders>
          </w:tcPr>
          <w:p>
            <w:pPr>
              <w:pStyle w:val="TableParagraph"/>
              <w:spacing w:before="15"/>
              <w:ind w:right="65"/>
              <w:rPr>
                <w:sz w:val="22"/>
              </w:rPr>
            </w:pPr>
            <w:r>
              <w:rPr>
                <w:sz w:val="22"/>
              </w:rPr>
              <w:t>2,766.68</w:t>
            </w:r>
          </w:p>
        </w:tc>
        <w:tc>
          <w:tcPr>
            <w:tcW w:w="1258" w:type="dxa"/>
            <w:tcBorders>
              <w:top w:val="nil"/>
              <w:left w:val="nil"/>
              <w:bottom w:val="nil"/>
              <w:right w:val="nil"/>
            </w:tcBorders>
          </w:tcPr>
          <w:p>
            <w:pPr>
              <w:pStyle w:val="TableParagraph"/>
              <w:spacing w:before="15"/>
              <w:ind w:left="67"/>
              <w:jc w:val="left"/>
              <w:rPr>
                <w:sz w:val="22"/>
              </w:rPr>
            </w:pPr>
            <w:r>
              <w:rPr>
                <w:sz w:val="22"/>
              </w:rPr>
              <w:t>Mra</w:t>
            </w:r>
          </w:p>
        </w:tc>
      </w:tr>
      <w:tr>
        <w:trPr>
          <w:trHeight w:val="300" w:hRule="exact"/>
        </w:trPr>
        <w:tc>
          <w:tcPr>
            <w:tcW w:w="1491" w:type="dxa"/>
            <w:tcBorders>
              <w:top w:val="nil"/>
              <w:left w:val="nil"/>
              <w:bottom w:val="nil"/>
              <w:right w:val="nil"/>
            </w:tcBorders>
          </w:tcPr>
          <w:p>
            <w:pPr>
              <w:pStyle w:val="TableParagraph"/>
              <w:spacing w:before="13"/>
              <w:ind w:left="71"/>
              <w:jc w:val="left"/>
              <w:rPr>
                <w:sz w:val="22"/>
              </w:rPr>
            </w:pPr>
            <w:r>
              <w:rPr>
                <w:sz w:val="22"/>
              </w:rPr>
              <w:t>TEJ_HhFdp</w:t>
            </w:r>
          </w:p>
        </w:tc>
        <w:tc>
          <w:tcPr>
            <w:tcW w:w="1147" w:type="dxa"/>
            <w:tcBorders>
              <w:top w:val="nil"/>
              <w:left w:val="nil"/>
              <w:bottom w:val="nil"/>
              <w:right w:val="nil"/>
            </w:tcBorders>
          </w:tcPr>
          <w:p>
            <w:pPr>
              <w:pStyle w:val="TableParagraph"/>
              <w:spacing w:before="13"/>
              <w:ind w:right="67"/>
              <w:rPr>
                <w:sz w:val="22"/>
              </w:rPr>
            </w:pPr>
            <w:r>
              <w:rPr>
                <w:w w:val="100"/>
                <w:sz w:val="22"/>
              </w:rPr>
              <w:t>7</w:t>
            </w:r>
          </w:p>
        </w:tc>
        <w:tc>
          <w:tcPr>
            <w:tcW w:w="1238" w:type="dxa"/>
            <w:tcBorders>
              <w:top w:val="nil"/>
              <w:left w:val="nil"/>
              <w:bottom w:val="nil"/>
              <w:right w:val="nil"/>
            </w:tcBorders>
          </w:tcPr>
          <w:p>
            <w:pPr>
              <w:pStyle w:val="TableParagraph"/>
              <w:spacing w:before="13"/>
              <w:ind w:left="69"/>
              <w:jc w:val="left"/>
              <w:rPr>
                <w:sz w:val="22"/>
              </w:rPr>
            </w:pPr>
            <w:r>
              <w:rPr>
                <w:w w:val="100"/>
                <w:sz w:val="22"/>
              </w:rPr>
              <w:t>D</w:t>
            </w:r>
          </w:p>
        </w:tc>
        <w:tc>
          <w:tcPr>
            <w:tcW w:w="1818" w:type="dxa"/>
            <w:tcBorders>
              <w:top w:val="nil"/>
              <w:left w:val="nil"/>
              <w:bottom w:val="nil"/>
              <w:right w:val="nil"/>
            </w:tcBorders>
          </w:tcPr>
          <w:p>
            <w:pPr>
              <w:pStyle w:val="TableParagraph"/>
              <w:spacing w:before="13"/>
              <w:ind w:right="65"/>
              <w:rPr>
                <w:sz w:val="22"/>
              </w:rPr>
            </w:pPr>
            <w:r>
              <w:rPr>
                <w:sz w:val="22"/>
              </w:rPr>
              <w:t>2,766-3,500</w:t>
            </w:r>
          </w:p>
        </w:tc>
        <w:tc>
          <w:tcPr>
            <w:tcW w:w="1258" w:type="dxa"/>
            <w:tcBorders>
              <w:top w:val="nil"/>
              <w:left w:val="nil"/>
              <w:bottom w:val="nil"/>
              <w:right w:val="nil"/>
            </w:tcBorders>
          </w:tcPr>
          <w:p>
            <w:pPr>
              <w:pStyle w:val="TableParagraph"/>
              <w:spacing w:before="13"/>
              <w:ind w:left="67"/>
              <w:jc w:val="left"/>
              <w:rPr>
                <w:sz w:val="22"/>
              </w:rPr>
            </w:pPr>
            <w:r>
              <w:rPr>
                <w:sz w:val="22"/>
              </w:rPr>
              <w:t>Mr</w:t>
            </w:r>
          </w:p>
        </w:tc>
      </w:tr>
      <w:tr>
        <w:trPr>
          <w:trHeight w:val="300" w:hRule="exact"/>
        </w:trPr>
        <w:tc>
          <w:tcPr>
            <w:tcW w:w="1491" w:type="dxa"/>
            <w:tcBorders>
              <w:top w:val="nil"/>
              <w:left w:val="nil"/>
              <w:bottom w:val="nil"/>
              <w:right w:val="nil"/>
            </w:tcBorders>
          </w:tcPr>
          <w:p>
            <w:pPr>
              <w:pStyle w:val="TableParagraph"/>
              <w:spacing w:before="10"/>
              <w:ind w:left="71"/>
              <w:jc w:val="left"/>
              <w:rPr>
                <w:sz w:val="22"/>
              </w:rPr>
            </w:pPr>
            <w:r>
              <w:rPr>
                <w:sz w:val="22"/>
              </w:rPr>
              <w:t>TEJ_HhFl</w:t>
            </w:r>
          </w:p>
        </w:tc>
        <w:tc>
          <w:tcPr>
            <w:tcW w:w="1147" w:type="dxa"/>
            <w:tcBorders>
              <w:top w:val="nil"/>
              <w:left w:val="nil"/>
              <w:bottom w:val="nil"/>
              <w:right w:val="nil"/>
            </w:tcBorders>
          </w:tcPr>
          <w:p>
            <w:pPr>
              <w:pStyle w:val="TableParagraph"/>
              <w:spacing w:before="10"/>
              <w:ind w:right="67"/>
              <w:rPr>
                <w:sz w:val="22"/>
              </w:rPr>
            </w:pPr>
            <w:r>
              <w:rPr>
                <w:w w:val="100"/>
                <w:sz w:val="22"/>
              </w:rPr>
              <w:t>7</w:t>
            </w:r>
          </w:p>
        </w:tc>
        <w:tc>
          <w:tcPr>
            <w:tcW w:w="1238" w:type="dxa"/>
            <w:tcBorders>
              <w:top w:val="nil"/>
              <w:left w:val="nil"/>
              <w:bottom w:val="nil"/>
              <w:right w:val="nil"/>
            </w:tcBorders>
          </w:tcPr>
          <w:p>
            <w:pPr>
              <w:pStyle w:val="TableParagraph"/>
              <w:spacing w:before="10"/>
              <w:ind w:left="69"/>
              <w:jc w:val="left"/>
              <w:rPr>
                <w:sz w:val="22"/>
              </w:rPr>
            </w:pPr>
            <w:r>
              <w:rPr>
                <w:w w:val="100"/>
                <w:sz w:val="22"/>
              </w:rPr>
              <w:t>D</w:t>
            </w:r>
          </w:p>
        </w:tc>
        <w:tc>
          <w:tcPr>
            <w:tcW w:w="1818" w:type="dxa"/>
            <w:tcBorders>
              <w:top w:val="nil"/>
              <w:left w:val="nil"/>
              <w:bottom w:val="nil"/>
              <w:right w:val="nil"/>
            </w:tcBorders>
          </w:tcPr>
          <w:p>
            <w:pPr>
              <w:pStyle w:val="TableParagraph"/>
              <w:spacing w:before="10"/>
              <w:ind w:right="65"/>
              <w:rPr>
                <w:sz w:val="22"/>
              </w:rPr>
            </w:pPr>
            <w:r>
              <w:rPr>
                <w:sz w:val="22"/>
              </w:rPr>
              <w:t>2,771.44</w:t>
            </w:r>
          </w:p>
        </w:tc>
        <w:tc>
          <w:tcPr>
            <w:tcW w:w="1258" w:type="dxa"/>
            <w:tcBorders>
              <w:top w:val="nil"/>
              <w:left w:val="nil"/>
              <w:bottom w:val="nil"/>
              <w:right w:val="nil"/>
            </w:tcBorders>
          </w:tcPr>
          <w:p>
            <w:pPr>
              <w:pStyle w:val="TableParagraph"/>
              <w:spacing w:before="10"/>
              <w:ind w:left="67"/>
              <w:jc w:val="left"/>
              <w:rPr>
                <w:sz w:val="22"/>
              </w:rPr>
            </w:pPr>
            <w:r>
              <w:rPr>
                <w:sz w:val="22"/>
              </w:rPr>
              <w:t>Mr</w:t>
            </w:r>
          </w:p>
        </w:tc>
      </w:tr>
      <w:tr>
        <w:trPr>
          <w:trHeight w:val="300" w:hRule="exact"/>
        </w:trPr>
        <w:tc>
          <w:tcPr>
            <w:tcW w:w="1491" w:type="dxa"/>
            <w:tcBorders>
              <w:top w:val="nil"/>
              <w:left w:val="nil"/>
              <w:bottom w:val="nil"/>
              <w:right w:val="nil"/>
            </w:tcBorders>
          </w:tcPr>
          <w:p>
            <w:pPr>
              <w:pStyle w:val="TableParagraph"/>
              <w:spacing w:before="13"/>
              <w:ind w:left="71"/>
              <w:jc w:val="left"/>
              <w:rPr>
                <w:sz w:val="22"/>
              </w:rPr>
            </w:pPr>
            <w:r>
              <w:rPr>
                <w:sz w:val="22"/>
              </w:rPr>
              <w:t>TEJ_HhFlp</w:t>
            </w:r>
          </w:p>
        </w:tc>
        <w:tc>
          <w:tcPr>
            <w:tcW w:w="1147" w:type="dxa"/>
            <w:tcBorders>
              <w:top w:val="nil"/>
              <w:left w:val="nil"/>
              <w:bottom w:val="nil"/>
              <w:right w:val="nil"/>
            </w:tcBorders>
          </w:tcPr>
          <w:p>
            <w:pPr>
              <w:pStyle w:val="TableParagraph"/>
              <w:spacing w:before="13"/>
              <w:ind w:right="67"/>
              <w:rPr>
                <w:sz w:val="22"/>
              </w:rPr>
            </w:pPr>
            <w:r>
              <w:rPr>
                <w:w w:val="100"/>
                <w:sz w:val="22"/>
              </w:rPr>
              <w:t>7</w:t>
            </w:r>
          </w:p>
        </w:tc>
        <w:tc>
          <w:tcPr>
            <w:tcW w:w="1238" w:type="dxa"/>
            <w:tcBorders>
              <w:top w:val="nil"/>
              <w:left w:val="nil"/>
              <w:bottom w:val="nil"/>
              <w:right w:val="nil"/>
            </w:tcBorders>
          </w:tcPr>
          <w:p>
            <w:pPr>
              <w:pStyle w:val="TableParagraph"/>
              <w:spacing w:before="13"/>
              <w:ind w:left="69"/>
              <w:jc w:val="left"/>
              <w:rPr>
                <w:sz w:val="22"/>
              </w:rPr>
            </w:pPr>
            <w:r>
              <w:rPr>
                <w:w w:val="100"/>
                <w:sz w:val="22"/>
              </w:rPr>
              <w:t>B</w:t>
            </w:r>
          </w:p>
        </w:tc>
        <w:tc>
          <w:tcPr>
            <w:tcW w:w="1818" w:type="dxa"/>
            <w:tcBorders>
              <w:top w:val="nil"/>
              <w:left w:val="nil"/>
              <w:bottom w:val="nil"/>
              <w:right w:val="nil"/>
            </w:tcBorders>
          </w:tcPr>
          <w:p>
            <w:pPr>
              <w:pStyle w:val="TableParagraph"/>
              <w:spacing w:before="13"/>
              <w:ind w:right="65"/>
              <w:rPr>
                <w:sz w:val="22"/>
              </w:rPr>
            </w:pPr>
            <w:r>
              <w:rPr>
                <w:sz w:val="22"/>
              </w:rPr>
              <w:t>2,800</w:t>
            </w:r>
          </w:p>
        </w:tc>
        <w:tc>
          <w:tcPr>
            <w:tcW w:w="1258" w:type="dxa"/>
            <w:tcBorders>
              <w:top w:val="nil"/>
              <w:left w:val="nil"/>
              <w:bottom w:val="nil"/>
              <w:right w:val="nil"/>
            </w:tcBorders>
          </w:tcPr>
          <w:p>
            <w:pPr>
              <w:pStyle w:val="TableParagraph"/>
              <w:spacing w:before="13"/>
              <w:ind w:left="67"/>
              <w:jc w:val="left"/>
              <w:rPr>
                <w:sz w:val="22"/>
              </w:rPr>
            </w:pPr>
            <w:r>
              <w:rPr>
                <w:w w:val="100"/>
                <w:sz w:val="22"/>
              </w:rPr>
              <w:t>C</w:t>
            </w:r>
          </w:p>
        </w:tc>
      </w:tr>
      <w:tr>
        <w:trPr>
          <w:trHeight w:val="300" w:hRule="exact"/>
        </w:trPr>
        <w:tc>
          <w:tcPr>
            <w:tcW w:w="1491" w:type="dxa"/>
            <w:tcBorders>
              <w:top w:val="nil"/>
              <w:left w:val="nil"/>
              <w:bottom w:val="nil"/>
              <w:right w:val="nil"/>
            </w:tcBorders>
          </w:tcPr>
          <w:p>
            <w:pPr>
              <w:pStyle w:val="TableParagraph"/>
              <w:spacing w:before="10"/>
              <w:ind w:left="71"/>
              <w:jc w:val="left"/>
              <w:rPr>
                <w:sz w:val="22"/>
              </w:rPr>
            </w:pPr>
            <w:r>
              <w:rPr>
                <w:sz w:val="22"/>
              </w:rPr>
              <w:t>TEJ_HhFp</w:t>
            </w:r>
          </w:p>
        </w:tc>
        <w:tc>
          <w:tcPr>
            <w:tcW w:w="1147" w:type="dxa"/>
            <w:tcBorders>
              <w:top w:val="nil"/>
              <w:left w:val="nil"/>
              <w:bottom w:val="nil"/>
              <w:right w:val="nil"/>
            </w:tcBorders>
          </w:tcPr>
          <w:p>
            <w:pPr>
              <w:pStyle w:val="TableParagraph"/>
              <w:spacing w:before="10"/>
              <w:ind w:right="67"/>
              <w:rPr>
                <w:sz w:val="22"/>
              </w:rPr>
            </w:pPr>
            <w:r>
              <w:rPr>
                <w:w w:val="100"/>
                <w:sz w:val="22"/>
              </w:rPr>
              <w:t>7</w:t>
            </w:r>
          </w:p>
        </w:tc>
        <w:tc>
          <w:tcPr>
            <w:tcW w:w="1238" w:type="dxa"/>
            <w:tcBorders>
              <w:top w:val="nil"/>
              <w:left w:val="nil"/>
              <w:bottom w:val="nil"/>
              <w:right w:val="nil"/>
            </w:tcBorders>
          </w:tcPr>
          <w:p>
            <w:pPr>
              <w:pStyle w:val="TableParagraph"/>
              <w:spacing w:before="10"/>
              <w:ind w:left="69"/>
              <w:jc w:val="left"/>
              <w:rPr>
                <w:sz w:val="22"/>
              </w:rPr>
            </w:pPr>
            <w:r>
              <w:rPr>
                <w:w w:val="100"/>
                <w:sz w:val="22"/>
              </w:rPr>
              <w:t>D</w:t>
            </w:r>
          </w:p>
        </w:tc>
        <w:tc>
          <w:tcPr>
            <w:tcW w:w="1818" w:type="dxa"/>
            <w:tcBorders>
              <w:top w:val="nil"/>
              <w:left w:val="nil"/>
              <w:bottom w:val="nil"/>
              <w:right w:val="nil"/>
            </w:tcBorders>
          </w:tcPr>
          <w:p>
            <w:pPr>
              <w:pStyle w:val="TableParagraph"/>
              <w:spacing w:before="10"/>
              <w:ind w:right="65"/>
              <w:rPr>
                <w:sz w:val="22"/>
              </w:rPr>
            </w:pPr>
            <w:r>
              <w:rPr>
                <w:sz w:val="22"/>
              </w:rPr>
              <w:t>3,020</w:t>
            </w:r>
          </w:p>
        </w:tc>
        <w:tc>
          <w:tcPr>
            <w:tcW w:w="1258" w:type="dxa"/>
            <w:tcBorders>
              <w:top w:val="nil"/>
              <w:left w:val="nil"/>
              <w:bottom w:val="nil"/>
              <w:right w:val="nil"/>
            </w:tcBorders>
          </w:tcPr>
          <w:p>
            <w:pPr>
              <w:pStyle w:val="TableParagraph"/>
              <w:spacing w:before="10"/>
              <w:ind w:left="67"/>
              <w:jc w:val="left"/>
              <w:rPr>
                <w:sz w:val="22"/>
              </w:rPr>
            </w:pPr>
            <w:r>
              <w:rPr>
                <w:sz w:val="22"/>
              </w:rPr>
              <w:t>Mr</w:t>
            </w:r>
          </w:p>
        </w:tc>
      </w:tr>
      <w:tr>
        <w:trPr>
          <w:trHeight w:val="300" w:hRule="exact"/>
        </w:trPr>
        <w:tc>
          <w:tcPr>
            <w:tcW w:w="1491" w:type="dxa"/>
            <w:tcBorders>
              <w:top w:val="nil"/>
              <w:left w:val="nil"/>
              <w:bottom w:val="nil"/>
              <w:right w:val="nil"/>
            </w:tcBorders>
          </w:tcPr>
          <w:p>
            <w:pPr>
              <w:pStyle w:val="TableParagraph"/>
              <w:spacing w:before="13"/>
              <w:ind w:left="71"/>
              <w:jc w:val="left"/>
              <w:rPr>
                <w:sz w:val="22"/>
              </w:rPr>
            </w:pPr>
            <w:r>
              <w:rPr>
                <w:sz w:val="22"/>
              </w:rPr>
              <w:t>TEJ_HhSF</w:t>
            </w:r>
          </w:p>
        </w:tc>
        <w:tc>
          <w:tcPr>
            <w:tcW w:w="1147" w:type="dxa"/>
            <w:tcBorders>
              <w:top w:val="nil"/>
              <w:left w:val="nil"/>
              <w:bottom w:val="nil"/>
              <w:right w:val="nil"/>
            </w:tcBorders>
          </w:tcPr>
          <w:p>
            <w:pPr>
              <w:pStyle w:val="TableParagraph"/>
              <w:spacing w:before="13"/>
              <w:ind w:right="67"/>
              <w:rPr>
                <w:sz w:val="22"/>
              </w:rPr>
            </w:pPr>
            <w:r>
              <w:rPr>
                <w:w w:val="100"/>
                <w:sz w:val="22"/>
              </w:rPr>
              <w:t>7</w:t>
            </w:r>
          </w:p>
        </w:tc>
        <w:tc>
          <w:tcPr>
            <w:tcW w:w="1238" w:type="dxa"/>
            <w:tcBorders>
              <w:top w:val="nil"/>
              <w:left w:val="nil"/>
              <w:bottom w:val="nil"/>
              <w:right w:val="nil"/>
            </w:tcBorders>
          </w:tcPr>
          <w:p>
            <w:pPr>
              <w:pStyle w:val="TableParagraph"/>
              <w:spacing w:before="13"/>
              <w:ind w:left="69"/>
              <w:jc w:val="left"/>
              <w:rPr>
                <w:sz w:val="22"/>
              </w:rPr>
            </w:pPr>
            <w:r>
              <w:rPr>
                <w:w w:val="100"/>
                <w:sz w:val="22"/>
              </w:rPr>
              <w:t>C</w:t>
            </w:r>
          </w:p>
        </w:tc>
        <w:tc>
          <w:tcPr>
            <w:tcW w:w="1818" w:type="dxa"/>
            <w:tcBorders>
              <w:top w:val="nil"/>
              <w:left w:val="nil"/>
              <w:bottom w:val="nil"/>
              <w:right w:val="nil"/>
            </w:tcBorders>
          </w:tcPr>
          <w:p>
            <w:pPr>
              <w:pStyle w:val="TableParagraph"/>
              <w:spacing w:before="13"/>
              <w:ind w:right="65"/>
              <w:rPr>
                <w:sz w:val="22"/>
              </w:rPr>
            </w:pPr>
            <w:r>
              <w:rPr>
                <w:sz w:val="22"/>
              </w:rPr>
              <w:t>3,100</w:t>
            </w:r>
          </w:p>
        </w:tc>
        <w:tc>
          <w:tcPr>
            <w:tcW w:w="1258" w:type="dxa"/>
            <w:tcBorders>
              <w:top w:val="nil"/>
              <w:left w:val="nil"/>
              <w:bottom w:val="nil"/>
              <w:right w:val="nil"/>
            </w:tcBorders>
          </w:tcPr>
          <w:p>
            <w:pPr>
              <w:pStyle w:val="TableParagraph"/>
              <w:spacing w:before="13"/>
              <w:ind w:left="67"/>
              <w:jc w:val="left"/>
              <w:rPr>
                <w:sz w:val="22"/>
              </w:rPr>
            </w:pPr>
            <w:r>
              <w:rPr>
                <w:sz w:val="22"/>
              </w:rPr>
              <w:t>Mra</w:t>
            </w:r>
          </w:p>
        </w:tc>
      </w:tr>
      <w:tr>
        <w:trPr>
          <w:trHeight w:val="300" w:hRule="exact"/>
        </w:trPr>
        <w:tc>
          <w:tcPr>
            <w:tcW w:w="1491" w:type="dxa"/>
            <w:tcBorders>
              <w:top w:val="nil"/>
              <w:left w:val="nil"/>
              <w:bottom w:val="nil"/>
              <w:right w:val="nil"/>
            </w:tcBorders>
          </w:tcPr>
          <w:p>
            <w:pPr>
              <w:pStyle w:val="TableParagraph"/>
              <w:spacing w:before="11"/>
              <w:ind w:left="71"/>
              <w:jc w:val="left"/>
              <w:rPr>
                <w:sz w:val="22"/>
              </w:rPr>
            </w:pPr>
            <w:r>
              <w:rPr>
                <w:sz w:val="22"/>
              </w:rPr>
              <w:t>TEJ_HlFd</w:t>
            </w:r>
          </w:p>
        </w:tc>
        <w:tc>
          <w:tcPr>
            <w:tcW w:w="1147" w:type="dxa"/>
            <w:tcBorders>
              <w:top w:val="nil"/>
              <w:left w:val="nil"/>
              <w:bottom w:val="nil"/>
              <w:right w:val="nil"/>
            </w:tcBorders>
          </w:tcPr>
          <w:p>
            <w:pPr>
              <w:pStyle w:val="TableParagraph"/>
              <w:spacing w:before="11"/>
              <w:ind w:right="67"/>
              <w:rPr>
                <w:sz w:val="22"/>
              </w:rPr>
            </w:pPr>
            <w:r>
              <w:rPr>
                <w:w w:val="100"/>
                <w:sz w:val="22"/>
              </w:rPr>
              <w:t>7</w:t>
            </w:r>
          </w:p>
        </w:tc>
        <w:tc>
          <w:tcPr>
            <w:tcW w:w="1238" w:type="dxa"/>
            <w:tcBorders>
              <w:top w:val="nil"/>
              <w:left w:val="nil"/>
              <w:bottom w:val="nil"/>
              <w:right w:val="nil"/>
            </w:tcBorders>
          </w:tcPr>
          <w:p>
            <w:pPr>
              <w:pStyle w:val="TableParagraph"/>
              <w:spacing w:before="11"/>
              <w:ind w:left="69"/>
              <w:jc w:val="left"/>
              <w:rPr>
                <w:sz w:val="22"/>
              </w:rPr>
            </w:pPr>
            <w:r>
              <w:rPr>
                <w:w w:val="100"/>
                <w:sz w:val="22"/>
              </w:rPr>
              <w:t>B</w:t>
            </w:r>
          </w:p>
        </w:tc>
        <w:tc>
          <w:tcPr>
            <w:tcW w:w="1818" w:type="dxa"/>
            <w:tcBorders>
              <w:top w:val="nil"/>
              <w:left w:val="nil"/>
              <w:bottom w:val="nil"/>
              <w:right w:val="nil"/>
            </w:tcBorders>
          </w:tcPr>
          <w:p>
            <w:pPr>
              <w:pStyle w:val="TableParagraph"/>
              <w:spacing w:before="11"/>
              <w:ind w:right="65"/>
              <w:rPr>
                <w:sz w:val="22"/>
              </w:rPr>
            </w:pPr>
            <w:r>
              <w:rPr>
                <w:sz w:val="22"/>
              </w:rPr>
              <w:t>2,914.28-3,500</w:t>
            </w:r>
          </w:p>
        </w:tc>
        <w:tc>
          <w:tcPr>
            <w:tcW w:w="1258" w:type="dxa"/>
            <w:tcBorders>
              <w:top w:val="nil"/>
              <w:left w:val="nil"/>
              <w:bottom w:val="nil"/>
              <w:right w:val="nil"/>
            </w:tcBorders>
          </w:tcPr>
          <w:p>
            <w:pPr>
              <w:pStyle w:val="TableParagraph"/>
              <w:spacing w:before="11"/>
              <w:ind w:left="67"/>
              <w:jc w:val="left"/>
              <w:rPr>
                <w:sz w:val="22"/>
              </w:rPr>
            </w:pPr>
            <w:r>
              <w:rPr>
                <w:w w:val="100"/>
                <w:sz w:val="22"/>
              </w:rPr>
              <w:t>C</w:t>
            </w:r>
          </w:p>
        </w:tc>
      </w:tr>
      <w:tr>
        <w:trPr>
          <w:trHeight w:val="300" w:hRule="exact"/>
        </w:trPr>
        <w:tc>
          <w:tcPr>
            <w:tcW w:w="1491" w:type="dxa"/>
            <w:tcBorders>
              <w:top w:val="nil"/>
              <w:left w:val="nil"/>
              <w:bottom w:val="nil"/>
              <w:right w:val="nil"/>
            </w:tcBorders>
          </w:tcPr>
          <w:p>
            <w:pPr>
              <w:pStyle w:val="TableParagraph"/>
              <w:spacing w:before="13"/>
              <w:ind w:left="71"/>
              <w:jc w:val="left"/>
              <w:rPr>
                <w:sz w:val="22"/>
              </w:rPr>
            </w:pPr>
            <w:r>
              <w:rPr>
                <w:sz w:val="22"/>
              </w:rPr>
              <w:t>TEJ_HlFdp</w:t>
            </w:r>
          </w:p>
        </w:tc>
        <w:tc>
          <w:tcPr>
            <w:tcW w:w="1147" w:type="dxa"/>
            <w:tcBorders>
              <w:top w:val="nil"/>
              <w:left w:val="nil"/>
              <w:bottom w:val="nil"/>
              <w:right w:val="nil"/>
            </w:tcBorders>
          </w:tcPr>
          <w:p>
            <w:pPr>
              <w:pStyle w:val="TableParagraph"/>
              <w:spacing w:before="13"/>
              <w:ind w:right="67"/>
              <w:rPr>
                <w:sz w:val="22"/>
              </w:rPr>
            </w:pPr>
            <w:r>
              <w:rPr>
                <w:w w:val="100"/>
                <w:sz w:val="22"/>
              </w:rPr>
              <w:t>7</w:t>
            </w:r>
          </w:p>
        </w:tc>
        <w:tc>
          <w:tcPr>
            <w:tcW w:w="1238" w:type="dxa"/>
            <w:tcBorders>
              <w:top w:val="nil"/>
              <w:left w:val="nil"/>
              <w:bottom w:val="nil"/>
              <w:right w:val="nil"/>
            </w:tcBorders>
          </w:tcPr>
          <w:p>
            <w:pPr>
              <w:pStyle w:val="TableParagraph"/>
              <w:spacing w:before="13"/>
              <w:ind w:left="69"/>
              <w:jc w:val="left"/>
              <w:rPr>
                <w:sz w:val="22"/>
              </w:rPr>
            </w:pPr>
            <w:r>
              <w:rPr>
                <w:w w:val="100"/>
                <w:sz w:val="22"/>
              </w:rPr>
              <w:t>C</w:t>
            </w:r>
          </w:p>
        </w:tc>
        <w:tc>
          <w:tcPr>
            <w:tcW w:w="1818" w:type="dxa"/>
            <w:tcBorders>
              <w:top w:val="nil"/>
              <w:left w:val="nil"/>
              <w:bottom w:val="nil"/>
              <w:right w:val="nil"/>
            </w:tcBorders>
          </w:tcPr>
          <w:p>
            <w:pPr>
              <w:pStyle w:val="TableParagraph"/>
              <w:spacing w:before="13"/>
              <w:ind w:right="65"/>
              <w:rPr>
                <w:sz w:val="22"/>
              </w:rPr>
            </w:pPr>
            <w:r>
              <w:rPr>
                <w:sz w:val="22"/>
              </w:rPr>
              <w:t>2,933.32-3,500</w:t>
            </w:r>
          </w:p>
        </w:tc>
        <w:tc>
          <w:tcPr>
            <w:tcW w:w="1258" w:type="dxa"/>
            <w:tcBorders>
              <w:top w:val="nil"/>
              <w:left w:val="nil"/>
              <w:bottom w:val="nil"/>
              <w:right w:val="nil"/>
            </w:tcBorders>
          </w:tcPr>
          <w:p>
            <w:pPr>
              <w:pStyle w:val="TableParagraph"/>
              <w:spacing w:before="13"/>
              <w:ind w:left="67"/>
              <w:jc w:val="left"/>
              <w:rPr>
                <w:sz w:val="22"/>
              </w:rPr>
            </w:pPr>
            <w:r>
              <w:rPr>
                <w:sz w:val="22"/>
              </w:rPr>
              <w:t>Mra</w:t>
            </w:r>
          </w:p>
        </w:tc>
      </w:tr>
      <w:tr>
        <w:trPr>
          <w:trHeight w:val="300" w:hRule="exact"/>
        </w:trPr>
        <w:tc>
          <w:tcPr>
            <w:tcW w:w="1491" w:type="dxa"/>
            <w:tcBorders>
              <w:top w:val="nil"/>
              <w:left w:val="nil"/>
              <w:bottom w:val="nil"/>
              <w:right w:val="nil"/>
            </w:tcBorders>
          </w:tcPr>
          <w:p>
            <w:pPr>
              <w:pStyle w:val="TableParagraph"/>
              <w:spacing w:before="10"/>
              <w:ind w:left="71"/>
              <w:jc w:val="left"/>
              <w:rPr>
                <w:sz w:val="22"/>
              </w:rPr>
            </w:pPr>
            <w:r>
              <w:rPr>
                <w:sz w:val="22"/>
              </w:rPr>
              <w:t>TEJ_HlFl</w:t>
            </w:r>
          </w:p>
        </w:tc>
        <w:tc>
          <w:tcPr>
            <w:tcW w:w="1147" w:type="dxa"/>
            <w:tcBorders>
              <w:top w:val="nil"/>
              <w:left w:val="nil"/>
              <w:bottom w:val="nil"/>
              <w:right w:val="nil"/>
            </w:tcBorders>
          </w:tcPr>
          <w:p>
            <w:pPr>
              <w:pStyle w:val="TableParagraph"/>
              <w:spacing w:before="10"/>
              <w:ind w:right="67"/>
              <w:rPr>
                <w:sz w:val="22"/>
              </w:rPr>
            </w:pPr>
            <w:r>
              <w:rPr>
                <w:w w:val="100"/>
                <w:sz w:val="22"/>
              </w:rPr>
              <w:t>7</w:t>
            </w:r>
          </w:p>
        </w:tc>
        <w:tc>
          <w:tcPr>
            <w:tcW w:w="1238" w:type="dxa"/>
            <w:tcBorders>
              <w:top w:val="nil"/>
              <w:left w:val="nil"/>
              <w:bottom w:val="nil"/>
              <w:right w:val="nil"/>
            </w:tcBorders>
          </w:tcPr>
          <w:p>
            <w:pPr>
              <w:pStyle w:val="TableParagraph"/>
              <w:spacing w:before="10"/>
              <w:ind w:left="69"/>
              <w:jc w:val="left"/>
              <w:rPr>
                <w:sz w:val="22"/>
              </w:rPr>
            </w:pPr>
            <w:r>
              <w:rPr>
                <w:w w:val="100"/>
                <w:sz w:val="22"/>
              </w:rPr>
              <w:t>C</w:t>
            </w:r>
          </w:p>
        </w:tc>
        <w:tc>
          <w:tcPr>
            <w:tcW w:w="1818" w:type="dxa"/>
            <w:tcBorders>
              <w:top w:val="nil"/>
              <w:left w:val="nil"/>
              <w:bottom w:val="nil"/>
              <w:right w:val="nil"/>
            </w:tcBorders>
          </w:tcPr>
          <w:p>
            <w:pPr>
              <w:pStyle w:val="TableParagraph"/>
              <w:spacing w:before="10"/>
              <w:ind w:right="65"/>
              <w:rPr>
                <w:sz w:val="22"/>
              </w:rPr>
            </w:pPr>
            <w:r>
              <w:rPr>
                <w:sz w:val="22"/>
              </w:rPr>
              <w:t>2,766.68-3,500</w:t>
            </w:r>
          </w:p>
        </w:tc>
        <w:tc>
          <w:tcPr>
            <w:tcW w:w="1258" w:type="dxa"/>
            <w:tcBorders>
              <w:top w:val="nil"/>
              <w:left w:val="nil"/>
              <w:bottom w:val="nil"/>
              <w:right w:val="nil"/>
            </w:tcBorders>
          </w:tcPr>
          <w:p>
            <w:pPr>
              <w:pStyle w:val="TableParagraph"/>
              <w:spacing w:before="10"/>
              <w:ind w:left="67"/>
              <w:jc w:val="left"/>
              <w:rPr>
                <w:sz w:val="22"/>
              </w:rPr>
            </w:pPr>
            <w:r>
              <w:rPr>
                <w:sz w:val="22"/>
              </w:rPr>
              <w:t>Mra</w:t>
            </w:r>
          </w:p>
        </w:tc>
      </w:tr>
      <w:tr>
        <w:trPr>
          <w:trHeight w:val="300" w:hRule="exact"/>
        </w:trPr>
        <w:tc>
          <w:tcPr>
            <w:tcW w:w="1491" w:type="dxa"/>
            <w:tcBorders>
              <w:top w:val="nil"/>
              <w:left w:val="nil"/>
              <w:bottom w:val="nil"/>
              <w:right w:val="nil"/>
            </w:tcBorders>
          </w:tcPr>
          <w:p>
            <w:pPr>
              <w:pStyle w:val="TableParagraph"/>
              <w:spacing w:before="13"/>
              <w:ind w:left="71"/>
              <w:jc w:val="left"/>
              <w:rPr>
                <w:sz w:val="22"/>
              </w:rPr>
            </w:pPr>
            <w:r>
              <w:rPr>
                <w:sz w:val="22"/>
              </w:rPr>
              <w:t>TEJ_HlFlp</w:t>
            </w:r>
          </w:p>
        </w:tc>
        <w:tc>
          <w:tcPr>
            <w:tcW w:w="1147" w:type="dxa"/>
            <w:tcBorders>
              <w:top w:val="nil"/>
              <w:left w:val="nil"/>
              <w:bottom w:val="nil"/>
              <w:right w:val="nil"/>
            </w:tcBorders>
          </w:tcPr>
          <w:p>
            <w:pPr>
              <w:pStyle w:val="TableParagraph"/>
              <w:spacing w:before="13"/>
              <w:ind w:right="67"/>
              <w:rPr>
                <w:sz w:val="22"/>
              </w:rPr>
            </w:pPr>
            <w:r>
              <w:rPr>
                <w:w w:val="100"/>
                <w:sz w:val="22"/>
              </w:rPr>
              <w:t>7</w:t>
            </w:r>
          </w:p>
        </w:tc>
        <w:tc>
          <w:tcPr>
            <w:tcW w:w="1238" w:type="dxa"/>
            <w:tcBorders>
              <w:top w:val="nil"/>
              <w:left w:val="nil"/>
              <w:bottom w:val="nil"/>
              <w:right w:val="nil"/>
            </w:tcBorders>
          </w:tcPr>
          <w:p>
            <w:pPr>
              <w:pStyle w:val="TableParagraph"/>
              <w:spacing w:before="13"/>
              <w:ind w:left="69"/>
              <w:jc w:val="left"/>
              <w:rPr>
                <w:sz w:val="22"/>
              </w:rPr>
            </w:pPr>
            <w:r>
              <w:rPr>
                <w:w w:val="100"/>
                <w:sz w:val="22"/>
              </w:rPr>
              <w:t>B</w:t>
            </w:r>
          </w:p>
        </w:tc>
        <w:tc>
          <w:tcPr>
            <w:tcW w:w="1818" w:type="dxa"/>
            <w:tcBorders>
              <w:top w:val="nil"/>
              <w:left w:val="nil"/>
              <w:bottom w:val="nil"/>
              <w:right w:val="nil"/>
            </w:tcBorders>
          </w:tcPr>
          <w:p>
            <w:pPr>
              <w:pStyle w:val="TableParagraph"/>
              <w:spacing w:before="13"/>
              <w:ind w:right="65"/>
              <w:rPr>
                <w:sz w:val="22"/>
              </w:rPr>
            </w:pPr>
            <w:r>
              <w:rPr>
                <w:sz w:val="22"/>
              </w:rPr>
              <w:t>2,771.44</w:t>
            </w:r>
          </w:p>
        </w:tc>
        <w:tc>
          <w:tcPr>
            <w:tcW w:w="1258" w:type="dxa"/>
            <w:tcBorders>
              <w:top w:val="nil"/>
              <w:left w:val="nil"/>
              <w:bottom w:val="nil"/>
              <w:right w:val="nil"/>
            </w:tcBorders>
          </w:tcPr>
          <w:p>
            <w:pPr>
              <w:pStyle w:val="TableParagraph"/>
              <w:spacing w:before="13"/>
              <w:ind w:left="67"/>
              <w:jc w:val="left"/>
              <w:rPr>
                <w:sz w:val="22"/>
              </w:rPr>
            </w:pPr>
            <w:r>
              <w:rPr>
                <w:w w:val="100"/>
                <w:sz w:val="22"/>
              </w:rPr>
              <w:t>C</w:t>
            </w:r>
          </w:p>
        </w:tc>
      </w:tr>
      <w:tr>
        <w:trPr>
          <w:trHeight w:val="300" w:hRule="exact"/>
        </w:trPr>
        <w:tc>
          <w:tcPr>
            <w:tcW w:w="1491" w:type="dxa"/>
            <w:tcBorders>
              <w:top w:val="nil"/>
              <w:left w:val="nil"/>
              <w:bottom w:val="nil"/>
              <w:right w:val="nil"/>
            </w:tcBorders>
          </w:tcPr>
          <w:p>
            <w:pPr>
              <w:pStyle w:val="TableParagraph"/>
              <w:spacing w:before="10"/>
              <w:ind w:left="71"/>
              <w:jc w:val="left"/>
              <w:rPr>
                <w:sz w:val="22"/>
              </w:rPr>
            </w:pPr>
            <w:r>
              <w:rPr>
                <w:sz w:val="22"/>
              </w:rPr>
              <w:t>TEJ_HlFp</w:t>
            </w:r>
          </w:p>
        </w:tc>
        <w:tc>
          <w:tcPr>
            <w:tcW w:w="1147" w:type="dxa"/>
            <w:tcBorders>
              <w:top w:val="nil"/>
              <w:left w:val="nil"/>
              <w:bottom w:val="nil"/>
              <w:right w:val="nil"/>
            </w:tcBorders>
          </w:tcPr>
          <w:p>
            <w:pPr>
              <w:pStyle w:val="TableParagraph"/>
              <w:spacing w:before="10"/>
              <w:ind w:right="67"/>
              <w:rPr>
                <w:sz w:val="22"/>
              </w:rPr>
            </w:pPr>
            <w:r>
              <w:rPr>
                <w:w w:val="100"/>
                <w:sz w:val="22"/>
              </w:rPr>
              <w:t>7</w:t>
            </w:r>
          </w:p>
        </w:tc>
        <w:tc>
          <w:tcPr>
            <w:tcW w:w="1238" w:type="dxa"/>
            <w:tcBorders>
              <w:top w:val="nil"/>
              <w:left w:val="nil"/>
              <w:bottom w:val="nil"/>
              <w:right w:val="nil"/>
            </w:tcBorders>
          </w:tcPr>
          <w:p>
            <w:pPr>
              <w:pStyle w:val="TableParagraph"/>
              <w:spacing w:before="10"/>
              <w:ind w:left="69"/>
              <w:jc w:val="left"/>
              <w:rPr>
                <w:sz w:val="22"/>
              </w:rPr>
            </w:pPr>
            <w:r>
              <w:rPr>
                <w:w w:val="100"/>
                <w:sz w:val="22"/>
              </w:rPr>
              <w:t>C</w:t>
            </w:r>
          </w:p>
        </w:tc>
        <w:tc>
          <w:tcPr>
            <w:tcW w:w="1818" w:type="dxa"/>
            <w:tcBorders>
              <w:top w:val="nil"/>
              <w:left w:val="nil"/>
              <w:bottom w:val="nil"/>
              <w:right w:val="nil"/>
            </w:tcBorders>
          </w:tcPr>
          <w:p>
            <w:pPr>
              <w:pStyle w:val="TableParagraph"/>
              <w:spacing w:before="10"/>
              <w:ind w:right="65"/>
              <w:rPr>
                <w:sz w:val="22"/>
              </w:rPr>
            </w:pPr>
            <w:r>
              <w:rPr>
                <w:sz w:val="22"/>
              </w:rPr>
              <w:t>3,133.32</w:t>
            </w:r>
          </w:p>
        </w:tc>
        <w:tc>
          <w:tcPr>
            <w:tcW w:w="1258" w:type="dxa"/>
            <w:tcBorders>
              <w:top w:val="nil"/>
              <w:left w:val="nil"/>
              <w:bottom w:val="nil"/>
              <w:right w:val="nil"/>
            </w:tcBorders>
          </w:tcPr>
          <w:p>
            <w:pPr>
              <w:pStyle w:val="TableParagraph"/>
              <w:spacing w:before="10"/>
              <w:ind w:left="67"/>
              <w:jc w:val="left"/>
              <w:rPr>
                <w:sz w:val="22"/>
              </w:rPr>
            </w:pPr>
            <w:r>
              <w:rPr>
                <w:sz w:val="22"/>
              </w:rPr>
              <w:t>Mra</w:t>
            </w:r>
          </w:p>
        </w:tc>
      </w:tr>
      <w:tr>
        <w:trPr>
          <w:trHeight w:val="300" w:hRule="exact"/>
        </w:trPr>
        <w:tc>
          <w:tcPr>
            <w:tcW w:w="1491" w:type="dxa"/>
            <w:tcBorders>
              <w:top w:val="nil"/>
              <w:left w:val="nil"/>
              <w:bottom w:val="nil"/>
              <w:right w:val="nil"/>
            </w:tcBorders>
          </w:tcPr>
          <w:p>
            <w:pPr>
              <w:pStyle w:val="TableParagraph"/>
              <w:spacing w:before="13"/>
              <w:ind w:left="71"/>
              <w:jc w:val="left"/>
              <w:rPr>
                <w:sz w:val="22"/>
              </w:rPr>
            </w:pPr>
            <w:r>
              <w:rPr>
                <w:sz w:val="22"/>
              </w:rPr>
              <w:t>TEJ_HlSF</w:t>
            </w:r>
          </w:p>
        </w:tc>
        <w:tc>
          <w:tcPr>
            <w:tcW w:w="1147" w:type="dxa"/>
            <w:tcBorders>
              <w:top w:val="nil"/>
              <w:left w:val="nil"/>
              <w:bottom w:val="nil"/>
              <w:right w:val="nil"/>
            </w:tcBorders>
          </w:tcPr>
          <w:p>
            <w:pPr>
              <w:pStyle w:val="TableParagraph"/>
              <w:spacing w:before="13"/>
              <w:ind w:right="67"/>
              <w:rPr>
                <w:sz w:val="22"/>
              </w:rPr>
            </w:pPr>
            <w:r>
              <w:rPr>
                <w:w w:val="100"/>
                <w:sz w:val="22"/>
              </w:rPr>
              <w:t>7</w:t>
            </w:r>
          </w:p>
        </w:tc>
        <w:tc>
          <w:tcPr>
            <w:tcW w:w="1238" w:type="dxa"/>
            <w:tcBorders>
              <w:top w:val="nil"/>
              <w:left w:val="nil"/>
              <w:bottom w:val="nil"/>
              <w:right w:val="nil"/>
            </w:tcBorders>
          </w:tcPr>
          <w:p>
            <w:pPr>
              <w:pStyle w:val="TableParagraph"/>
              <w:spacing w:before="13"/>
              <w:ind w:left="69"/>
              <w:jc w:val="left"/>
              <w:rPr>
                <w:sz w:val="22"/>
              </w:rPr>
            </w:pPr>
            <w:r>
              <w:rPr>
                <w:w w:val="100"/>
                <w:sz w:val="22"/>
              </w:rPr>
              <w:t>C</w:t>
            </w:r>
          </w:p>
        </w:tc>
        <w:tc>
          <w:tcPr>
            <w:tcW w:w="1818" w:type="dxa"/>
            <w:tcBorders>
              <w:top w:val="nil"/>
              <w:left w:val="nil"/>
              <w:bottom w:val="nil"/>
              <w:right w:val="nil"/>
            </w:tcBorders>
          </w:tcPr>
          <w:p>
            <w:pPr>
              <w:pStyle w:val="TableParagraph"/>
              <w:spacing w:before="13"/>
              <w:ind w:right="65"/>
              <w:rPr>
                <w:sz w:val="22"/>
              </w:rPr>
            </w:pPr>
            <w:r>
              <w:rPr>
                <w:sz w:val="22"/>
              </w:rPr>
              <w:t>2,800</w:t>
            </w:r>
          </w:p>
        </w:tc>
        <w:tc>
          <w:tcPr>
            <w:tcW w:w="1258" w:type="dxa"/>
            <w:tcBorders>
              <w:top w:val="nil"/>
              <w:left w:val="nil"/>
              <w:bottom w:val="nil"/>
              <w:right w:val="nil"/>
            </w:tcBorders>
          </w:tcPr>
          <w:p>
            <w:pPr>
              <w:pStyle w:val="TableParagraph"/>
              <w:spacing w:before="13"/>
              <w:ind w:left="67"/>
              <w:jc w:val="left"/>
              <w:rPr>
                <w:sz w:val="22"/>
              </w:rPr>
            </w:pPr>
            <w:r>
              <w:rPr>
                <w:sz w:val="22"/>
              </w:rPr>
              <w:t>Mra</w:t>
            </w:r>
          </w:p>
        </w:tc>
      </w:tr>
      <w:tr>
        <w:trPr>
          <w:trHeight w:val="300" w:hRule="exact"/>
        </w:trPr>
        <w:tc>
          <w:tcPr>
            <w:tcW w:w="1491" w:type="dxa"/>
            <w:tcBorders>
              <w:top w:val="nil"/>
              <w:left w:val="nil"/>
              <w:bottom w:val="nil"/>
              <w:right w:val="nil"/>
            </w:tcBorders>
          </w:tcPr>
          <w:p>
            <w:pPr>
              <w:pStyle w:val="TableParagraph"/>
              <w:spacing w:before="10"/>
              <w:ind w:left="71"/>
              <w:jc w:val="left"/>
              <w:rPr>
                <w:sz w:val="22"/>
              </w:rPr>
            </w:pPr>
            <w:r>
              <w:rPr>
                <w:sz w:val="22"/>
              </w:rPr>
              <w:t>TEJ_LcFdp</w:t>
            </w:r>
          </w:p>
        </w:tc>
        <w:tc>
          <w:tcPr>
            <w:tcW w:w="1147" w:type="dxa"/>
            <w:tcBorders>
              <w:top w:val="nil"/>
              <w:left w:val="nil"/>
              <w:bottom w:val="nil"/>
              <w:right w:val="nil"/>
            </w:tcBorders>
          </w:tcPr>
          <w:p>
            <w:pPr>
              <w:pStyle w:val="TableParagraph"/>
              <w:spacing w:before="10"/>
              <w:ind w:right="67"/>
              <w:rPr>
                <w:sz w:val="22"/>
              </w:rPr>
            </w:pPr>
            <w:r>
              <w:rPr>
                <w:w w:val="100"/>
                <w:sz w:val="22"/>
              </w:rPr>
              <w:t>7</w:t>
            </w:r>
          </w:p>
        </w:tc>
        <w:tc>
          <w:tcPr>
            <w:tcW w:w="1238" w:type="dxa"/>
            <w:tcBorders>
              <w:top w:val="nil"/>
              <w:left w:val="nil"/>
              <w:bottom w:val="nil"/>
              <w:right w:val="nil"/>
            </w:tcBorders>
          </w:tcPr>
          <w:p>
            <w:pPr>
              <w:pStyle w:val="TableParagraph"/>
              <w:spacing w:before="10"/>
              <w:ind w:left="69"/>
              <w:jc w:val="left"/>
              <w:rPr>
                <w:sz w:val="22"/>
              </w:rPr>
            </w:pPr>
            <w:r>
              <w:rPr>
                <w:w w:val="100"/>
                <w:sz w:val="22"/>
              </w:rPr>
              <w:t>D</w:t>
            </w:r>
          </w:p>
        </w:tc>
        <w:tc>
          <w:tcPr>
            <w:tcW w:w="1818" w:type="dxa"/>
            <w:tcBorders>
              <w:top w:val="nil"/>
              <w:left w:val="nil"/>
              <w:bottom w:val="nil"/>
              <w:right w:val="nil"/>
            </w:tcBorders>
          </w:tcPr>
          <w:p>
            <w:pPr>
              <w:pStyle w:val="TableParagraph"/>
              <w:spacing w:before="10"/>
              <w:ind w:right="65"/>
              <w:rPr>
                <w:sz w:val="22"/>
              </w:rPr>
            </w:pPr>
            <w:r>
              <w:rPr>
                <w:sz w:val="22"/>
              </w:rPr>
              <w:t>2,733.32-3,500</w:t>
            </w:r>
          </w:p>
        </w:tc>
        <w:tc>
          <w:tcPr>
            <w:tcW w:w="1258" w:type="dxa"/>
            <w:tcBorders>
              <w:top w:val="nil"/>
              <w:left w:val="nil"/>
              <w:bottom w:val="nil"/>
              <w:right w:val="nil"/>
            </w:tcBorders>
          </w:tcPr>
          <w:p>
            <w:pPr>
              <w:pStyle w:val="TableParagraph"/>
              <w:spacing w:before="10"/>
              <w:ind w:left="67"/>
              <w:jc w:val="left"/>
              <w:rPr>
                <w:sz w:val="22"/>
              </w:rPr>
            </w:pPr>
            <w:r>
              <w:rPr>
                <w:sz w:val="22"/>
              </w:rPr>
              <w:t>Mr</w:t>
            </w:r>
          </w:p>
        </w:tc>
      </w:tr>
      <w:tr>
        <w:trPr>
          <w:trHeight w:val="300" w:hRule="exact"/>
        </w:trPr>
        <w:tc>
          <w:tcPr>
            <w:tcW w:w="1491" w:type="dxa"/>
            <w:tcBorders>
              <w:top w:val="nil"/>
              <w:left w:val="nil"/>
              <w:bottom w:val="nil"/>
              <w:right w:val="nil"/>
            </w:tcBorders>
          </w:tcPr>
          <w:p>
            <w:pPr>
              <w:pStyle w:val="TableParagraph"/>
              <w:spacing w:before="13"/>
              <w:ind w:left="71"/>
              <w:jc w:val="left"/>
              <w:rPr>
                <w:sz w:val="22"/>
              </w:rPr>
            </w:pPr>
            <w:r>
              <w:rPr>
                <w:sz w:val="22"/>
              </w:rPr>
              <w:t>TEJ_LcFl</w:t>
            </w:r>
          </w:p>
        </w:tc>
        <w:tc>
          <w:tcPr>
            <w:tcW w:w="1147" w:type="dxa"/>
            <w:tcBorders>
              <w:top w:val="nil"/>
              <w:left w:val="nil"/>
              <w:bottom w:val="nil"/>
              <w:right w:val="nil"/>
            </w:tcBorders>
          </w:tcPr>
          <w:p>
            <w:pPr>
              <w:pStyle w:val="TableParagraph"/>
              <w:spacing w:before="13"/>
              <w:ind w:right="67"/>
              <w:rPr>
                <w:sz w:val="22"/>
              </w:rPr>
            </w:pPr>
            <w:r>
              <w:rPr>
                <w:w w:val="100"/>
                <w:sz w:val="22"/>
              </w:rPr>
              <w:t>7</w:t>
            </w:r>
          </w:p>
        </w:tc>
        <w:tc>
          <w:tcPr>
            <w:tcW w:w="1238" w:type="dxa"/>
            <w:tcBorders>
              <w:top w:val="nil"/>
              <w:left w:val="nil"/>
              <w:bottom w:val="nil"/>
              <w:right w:val="nil"/>
            </w:tcBorders>
          </w:tcPr>
          <w:p>
            <w:pPr>
              <w:pStyle w:val="TableParagraph"/>
              <w:spacing w:before="13"/>
              <w:ind w:left="69"/>
              <w:jc w:val="left"/>
              <w:rPr>
                <w:sz w:val="22"/>
              </w:rPr>
            </w:pPr>
            <w:r>
              <w:rPr>
                <w:w w:val="100"/>
                <w:sz w:val="22"/>
              </w:rPr>
              <w:t>D</w:t>
            </w:r>
          </w:p>
        </w:tc>
        <w:tc>
          <w:tcPr>
            <w:tcW w:w="1818" w:type="dxa"/>
            <w:tcBorders>
              <w:top w:val="nil"/>
              <w:left w:val="nil"/>
              <w:bottom w:val="nil"/>
              <w:right w:val="nil"/>
            </w:tcBorders>
          </w:tcPr>
          <w:p>
            <w:pPr>
              <w:pStyle w:val="TableParagraph"/>
              <w:spacing w:before="13"/>
              <w:ind w:right="65"/>
              <w:rPr>
                <w:sz w:val="22"/>
              </w:rPr>
            </w:pPr>
            <w:r>
              <w:rPr>
                <w:sz w:val="22"/>
              </w:rPr>
              <w:t>2,800</w:t>
            </w:r>
          </w:p>
        </w:tc>
        <w:tc>
          <w:tcPr>
            <w:tcW w:w="1258" w:type="dxa"/>
            <w:tcBorders>
              <w:top w:val="nil"/>
              <w:left w:val="nil"/>
              <w:bottom w:val="nil"/>
              <w:right w:val="nil"/>
            </w:tcBorders>
          </w:tcPr>
          <w:p>
            <w:pPr>
              <w:pStyle w:val="TableParagraph"/>
              <w:spacing w:before="13"/>
              <w:ind w:left="67"/>
              <w:jc w:val="left"/>
              <w:rPr>
                <w:sz w:val="22"/>
              </w:rPr>
            </w:pPr>
            <w:r>
              <w:rPr>
                <w:w w:val="100"/>
                <w:sz w:val="22"/>
              </w:rPr>
              <w:t>R</w:t>
            </w:r>
          </w:p>
        </w:tc>
      </w:tr>
      <w:tr>
        <w:trPr>
          <w:trHeight w:val="300" w:hRule="exact"/>
        </w:trPr>
        <w:tc>
          <w:tcPr>
            <w:tcW w:w="1491" w:type="dxa"/>
            <w:tcBorders>
              <w:top w:val="nil"/>
              <w:left w:val="nil"/>
              <w:bottom w:val="nil"/>
              <w:right w:val="nil"/>
            </w:tcBorders>
          </w:tcPr>
          <w:p>
            <w:pPr>
              <w:pStyle w:val="TableParagraph"/>
              <w:spacing w:before="10"/>
              <w:ind w:left="71"/>
              <w:jc w:val="left"/>
              <w:rPr>
                <w:sz w:val="22"/>
              </w:rPr>
            </w:pPr>
            <w:r>
              <w:rPr>
                <w:sz w:val="22"/>
              </w:rPr>
              <w:t>TEJ_LcFlp</w:t>
            </w:r>
          </w:p>
        </w:tc>
        <w:tc>
          <w:tcPr>
            <w:tcW w:w="1147" w:type="dxa"/>
            <w:tcBorders>
              <w:top w:val="nil"/>
              <w:left w:val="nil"/>
              <w:bottom w:val="nil"/>
              <w:right w:val="nil"/>
            </w:tcBorders>
          </w:tcPr>
          <w:p>
            <w:pPr>
              <w:pStyle w:val="TableParagraph"/>
              <w:spacing w:before="10"/>
              <w:ind w:right="67"/>
              <w:rPr>
                <w:sz w:val="22"/>
              </w:rPr>
            </w:pPr>
            <w:r>
              <w:rPr>
                <w:w w:val="100"/>
                <w:sz w:val="22"/>
              </w:rPr>
              <w:t>7</w:t>
            </w:r>
          </w:p>
        </w:tc>
        <w:tc>
          <w:tcPr>
            <w:tcW w:w="1238" w:type="dxa"/>
            <w:tcBorders>
              <w:top w:val="nil"/>
              <w:left w:val="nil"/>
              <w:bottom w:val="nil"/>
              <w:right w:val="nil"/>
            </w:tcBorders>
          </w:tcPr>
          <w:p>
            <w:pPr>
              <w:pStyle w:val="TableParagraph"/>
              <w:spacing w:before="10"/>
              <w:ind w:left="69"/>
              <w:jc w:val="left"/>
              <w:rPr>
                <w:sz w:val="22"/>
              </w:rPr>
            </w:pPr>
            <w:r>
              <w:rPr>
                <w:w w:val="100"/>
                <w:sz w:val="22"/>
              </w:rPr>
              <w:t>C</w:t>
            </w:r>
          </w:p>
        </w:tc>
        <w:tc>
          <w:tcPr>
            <w:tcW w:w="1818" w:type="dxa"/>
            <w:tcBorders>
              <w:top w:val="nil"/>
              <w:left w:val="nil"/>
              <w:bottom w:val="nil"/>
              <w:right w:val="nil"/>
            </w:tcBorders>
          </w:tcPr>
          <w:p>
            <w:pPr>
              <w:pStyle w:val="TableParagraph"/>
              <w:spacing w:before="10"/>
              <w:ind w:right="65"/>
              <w:rPr>
                <w:sz w:val="22"/>
              </w:rPr>
            </w:pPr>
            <w:r>
              <w:rPr>
                <w:sz w:val="22"/>
              </w:rPr>
              <w:t>2,875</w:t>
            </w:r>
          </w:p>
        </w:tc>
        <w:tc>
          <w:tcPr>
            <w:tcW w:w="1258" w:type="dxa"/>
            <w:tcBorders>
              <w:top w:val="nil"/>
              <w:left w:val="nil"/>
              <w:bottom w:val="nil"/>
              <w:right w:val="nil"/>
            </w:tcBorders>
          </w:tcPr>
          <w:p>
            <w:pPr>
              <w:pStyle w:val="TableParagraph"/>
              <w:spacing w:before="10"/>
              <w:ind w:left="67"/>
              <w:jc w:val="left"/>
              <w:rPr>
                <w:sz w:val="22"/>
              </w:rPr>
            </w:pPr>
            <w:r>
              <w:rPr>
                <w:sz w:val="22"/>
              </w:rPr>
              <w:t>Mra</w:t>
            </w:r>
          </w:p>
        </w:tc>
      </w:tr>
      <w:tr>
        <w:trPr>
          <w:trHeight w:val="300" w:hRule="exact"/>
        </w:trPr>
        <w:tc>
          <w:tcPr>
            <w:tcW w:w="1491" w:type="dxa"/>
            <w:tcBorders>
              <w:top w:val="nil"/>
              <w:left w:val="nil"/>
              <w:bottom w:val="nil"/>
              <w:right w:val="nil"/>
            </w:tcBorders>
          </w:tcPr>
          <w:p>
            <w:pPr>
              <w:pStyle w:val="TableParagraph"/>
              <w:spacing w:before="13"/>
              <w:ind w:left="71"/>
              <w:jc w:val="left"/>
              <w:rPr>
                <w:sz w:val="22"/>
              </w:rPr>
            </w:pPr>
            <w:r>
              <w:rPr>
                <w:sz w:val="22"/>
              </w:rPr>
              <w:t>TEJ_LcSF</w:t>
            </w:r>
          </w:p>
        </w:tc>
        <w:tc>
          <w:tcPr>
            <w:tcW w:w="1147" w:type="dxa"/>
            <w:tcBorders>
              <w:top w:val="nil"/>
              <w:left w:val="nil"/>
              <w:bottom w:val="nil"/>
              <w:right w:val="nil"/>
            </w:tcBorders>
          </w:tcPr>
          <w:p>
            <w:pPr>
              <w:pStyle w:val="TableParagraph"/>
              <w:spacing w:before="13"/>
              <w:ind w:right="67"/>
              <w:rPr>
                <w:sz w:val="22"/>
              </w:rPr>
            </w:pPr>
            <w:r>
              <w:rPr>
                <w:w w:val="100"/>
                <w:sz w:val="22"/>
              </w:rPr>
              <w:t>7</w:t>
            </w:r>
          </w:p>
        </w:tc>
        <w:tc>
          <w:tcPr>
            <w:tcW w:w="1238" w:type="dxa"/>
            <w:tcBorders>
              <w:top w:val="nil"/>
              <w:left w:val="nil"/>
              <w:bottom w:val="nil"/>
              <w:right w:val="nil"/>
            </w:tcBorders>
          </w:tcPr>
          <w:p>
            <w:pPr>
              <w:pStyle w:val="TableParagraph"/>
              <w:spacing w:before="13"/>
              <w:ind w:left="69"/>
              <w:jc w:val="left"/>
              <w:rPr>
                <w:sz w:val="22"/>
              </w:rPr>
            </w:pPr>
            <w:r>
              <w:rPr>
                <w:w w:val="100"/>
                <w:sz w:val="22"/>
              </w:rPr>
              <w:t>B</w:t>
            </w:r>
          </w:p>
        </w:tc>
        <w:tc>
          <w:tcPr>
            <w:tcW w:w="1818" w:type="dxa"/>
            <w:tcBorders>
              <w:top w:val="nil"/>
              <w:left w:val="nil"/>
              <w:bottom w:val="nil"/>
              <w:right w:val="nil"/>
            </w:tcBorders>
          </w:tcPr>
          <w:p>
            <w:pPr>
              <w:pStyle w:val="TableParagraph"/>
              <w:spacing w:before="13"/>
              <w:ind w:right="65"/>
              <w:rPr>
                <w:sz w:val="22"/>
              </w:rPr>
            </w:pPr>
            <w:r>
              <w:rPr>
                <w:sz w:val="22"/>
              </w:rPr>
              <w:t>2,800</w:t>
            </w:r>
          </w:p>
        </w:tc>
        <w:tc>
          <w:tcPr>
            <w:tcW w:w="1258" w:type="dxa"/>
            <w:tcBorders>
              <w:top w:val="nil"/>
              <w:left w:val="nil"/>
              <w:bottom w:val="nil"/>
              <w:right w:val="nil"/>
            </w:tcBorders>
          </w:tcPr>
          <w:p>
            <w:pPr>
              <w:pStyle w:val="TableParagraph"/>
              <w:spacing w:before="13"/>
              <w:ind w:left="67"/>
              <w:jc w:val="left"/>
              <w:rPr>
                <w:sz w:val="22"/>
              </w:rPr>
            </w:pPr>
            <w:r>
              <w:rPr>
                <w:w w:val="100"/>
                <w:sz w:val="22"/>
              </w:rPr>
              <w:t>C</w:t>
            </w:r>
          </w:p>
        </w:tc>
      </w:tr>
      <w:tr>
        <w:trPr>
          <w:trHeight w:val="300" w:hRule="exact"/>
        </w:trPr>
        <w:tc>
          <w:tcPr>
            <w:tcW w:w="1491" w:type="dxa"/>
            <w:tcBorders>
              <w:top w:val="nil"/>
              <w:left w:val="nil"/>
              <w:bottom w:val="nil"/>
              <w:right w:val="nil"/>
            </w:tcBorders>
          </w:tcPr>
          <w:p>
            <w:pPr>
              <w:pStyle w:val="TableParagraph"/>
              <w:spacing w:before="10"/>
              <w:ind w:left="71"/>
              <w:jc w:val="left"/>
              <w:rPr>
                <w:sz w:val="22"/>
              </w:rPr>
            </w:pPr>
            <w:r>
              <w:rPr>
                <w:sz w:val="22"/>
              </w:rPr>
              <w:t>TEJ_ToSF</w:t>
            </w:r>
          </w:p>
        </w:tc>
        <w:tc>
          <w:tcPr>
            <w:tcW w:w="1147" w:type="dxa"/>
            <w:tcBorders>
              <w:top w:val="nil"/>
              <w:left w:val="nil"/>
              <w:bottom w:val="nil"/>
              <w:right w:val="nil"/>
            </w:tcBorders>
          </w:tcPr>
          <w:p>
            <w:pPr>
              <w:pStyle w:val="TableParagraph"/>
              <w:spacing w:before="10"/>
              <w:ind w:right="67"/>
              <w:rPr>
                <w:sz w:val="22"/>
              </w:rPr>
            </w:pPr>
            <w:r>
              <w:rPr>
                <w:w w:val="100"/>
                <w:sz w:val="22"/>
              </w:rPr>
              <w:t>7</w:t>
            </w:r>
          </w:p>
        </w:tc>
        <w:tc>
          <w:tcPr>
            <w:tcW w:w="1238" w:type="dxa"/>
            <w:tcBorders>
              <w:top w:val="nil"/>
              <w:left w:val="nil"/>
              <w:bottom w:val="nil"/>
              <w:right w:val="nil"/>
            </w:tcBorders>
          </w:tcPr>
          <w:p>
            <w:pPr>
              <w:pStyle w:val="TableParagraph"/>
              <w:spacing w:before="10"/>
              <w:ind w:left="69"/>
              <w:jc w:val="left"/>
              <w:rPr>
                <w:sz w:val="22"/>
              </w:rPr>
            </w:pPr>
            <w:r>
              <w:rPr>
                <w:w w:val="100"/>
                <w:sz w:val="22"/>
              </w:rPr>
              <w:t>B</w:t>
            </w:r>
          </w:p>
        </w:tc>
        <w:tc>
          <w:tcPr>
            <w:tcW w:w="1818" w:type="dxa"/>
            <w:tcBorders>
              <w:top w:val="nil"/>
              <w:left w:val="nil"/>
              <w:bottom w:val="nil"/>
              <w:right w:val="nil"/>
            </w:tcBorders>
          </w:tcPr>
          <w:p>
            <w:pPr>
              <w:pStyle w:val="TableParagraph"/>
              <w:spacing w:before="10"/>
              <w:ind w:right="65"/>
              <w:rPr>
                <w:sz w:val="22"/>
              </w:rPr>
            </w:pPr>
            <w:r>
              <w:rPr>
                <w:sz w:val="22"/>
              </w:rPr>
              <w:t>2,800</w:t>
            </w:r>
          </w:p>
        </w:tc>
        <w:tc>
          <w:tcPr>
            <w:tcW w:w="1258" w:type="dxa"/>
            <w:tcBorders>
              <w:top w:val="nil"/>
              <w:left w:val="nil"/>
              <w:bottom w:val="nil"/>
              <w:right w:val="nil"/>
            </w:tcBorders>
          </w:tcPr>
          <w:p>
            <w:pPr>
              <w:pStyle w:val="TableParagraph"/>
              <w:spacing w:before="10"/>
              <w:ind w:left="67"/>
              <w:jc w:val="left"/>
              <w:rPr>
                <w:sz w:val="22"/>
              </w:rPr>
            </w:pPr>
            <w:r>
              <w:rPr>
                <w:sz w:val="22"/>
              </w:rPr>
              <w:t>Ma</w:t>
            </w:r>
          </w:p>
        </w:tc>
      </w:tr>
      <w:tr>
        <w:trPr>
          <w:trHeight w:val="300" w:hRule="exact"/>
        </w:trPr>
        <w:tc>
          <w:tcPr>
            <w:tcW w:w="1491" w:type="dxa"/>
            <w:tcBorders>
              <w:top w:val="nil"/>
              <w:left w:val="nil"/>
              <w:bottom w:val="nil"/>
              <w:right w:val="nil"/>
            </w:tcBorders>
          </w:tcPr>
          <w:p>
            <w:pPr>
              <w:pStyle w:val="TableParagraph"/>
              <w:spacing w:before="13"/>
              <w:ind w:left="71"/>
              <w:jc w:val="left"/>
              <w:rPr>
                <w:sz w:val="22"/>
              </w:rPr>
            </w:pPr>
            <w:r>
              <w:rPr>
                <w:sz w:val="22"/>
              </w:rPr>
              <w:t>TEJ_VpFd</w:t>
            </w:r>
          </w:p>
        </w:tc>
        <w:tc>
          <w:tcPr>
            <w:tcW w:w="1147" w:type="dxa"/>
            <w:tcBorders>
              <w:top w:val="nil"/>
              <w:left w:val="nil"/>
              <w:bottom w:val="nil"/>
              <w:right w:val="nil"/>
            </w:tcBorders>
          </w:tcPr>
          <w:p>
            <w:pPr>
              <w:pStyle w:val="TableParagraph"/>
              <w:spacing w:before="13"/>
              <w:ind w:right="67"/>
              <w:rPr>
                <w:sz w:val="22"/>
              </w:rPr>
            </w:pPr>
            <w:r>
              <w:rPr>
                <w:w w:val="100"/>
                <w:sz w:val="22"/>
              </w:rPr>
              <w:t>7</w:t>
            </w:r>
          </w:p>
        </w:tc>
        <w:tc>
          <w:tcPr>
            <w:tcW w:w="1238" w:type="dxa"/>
            <w:tcBorders>
              <w:top w:val="nil"/>
              <w:left w:val="nil"/>
              <w:bottom w:val="nil"/>
              <w:right w:val="nil"/>
            </w:tcBorders>
          </w:tcPr>
          <w:p>
            <w:pPr>
              <w:pStyle w:val="TableParagraph"/>
              <w:spacing w:before="13"/>
              <w:ind w:left="69"/>
              <w:jc w:val="left"/>
              <w:rPr>
                <w:sz w:val="22"/>
              </w:rPr>
            </w:pPr>
            <w:r>
              <w:rPr>
                <w:w w:val="100"/>
                <w:sz w:val="22"/>
              </w:rPr>
              <w:t>C</w:t>
            </w:r>
          </w:p>
        </w:tc>
        <w:tc>
          <w:tcPr>
            <w:tcW w:w="1818" w:type="dxa"/>
            <w:tcBorders>
              <w:top w:val="nil"/>
              <w:left w:val="nil"/>
              <w:bottom w:val="nil"/>
              <w:right w:val="nil"/>
            </w:tcBorders>
          </w:tcPr>
          <w:p>
            <w:pPr>
              <w:pStyle w:val="TableParagraph"/>
              <w:spacing w:before="13"/>
              <w:ind w:right="65"/>
              <w:rPr>
                <w:sz w:val="22"/>
              </w:rPr>
            </w:pPr>
            <w:r>
              <w:rPr>
                <w:sz w:val="22"/>
              </w:rPr>
              <w:t>3,000</w:t>
            </w:r>
          </w:p>
        </w:tc>
        <w:tc>
          <w:tcPr>
            <w:tcW w:w="1258" w:type="dxa"/>
            <w:tcBorders>
              <w:top w:val="nil"/>
              <w:left w:val="nil"/>
              <w:bottom w:val="nil"/>
              <w:right w:val="nil"/>
            </w:tcBorders>
          </w:tcPr>
          <w:p>
            <w:pPr>
              <w:pStyle w:val="TableParagraph"/>
              <w:spacing w:before="13"/>
              <w:ind w:left="67"/>
              <w:jc w:val="left"/>
              <w:rPr>
                <w:sz w:val="22"/>
              </w:rPr>
            </w:pPr>
            <w:r>
              <w:rPr>
                <w:sz w:val="22"/>
              </w:rPr>
              <w:t>Mra</w:t>
            </w:r>
          </w:p>
        </w:tc>
      </w:tr>
      <w:tr>
        <w:trPr>
          <w:trHeight w:val="300" w:hRule="exact"/>
        </w:trPr>
        <w:tc>
          <w:tcPr>
            <w:tcW w:w="1491" w:type="dxa"/>
            <w:tcBorders>
              <w:top w:val="nil"/>
              <w:left w:val="nil"/>
              <w:bottom w:val="nil"/>
              <w:right w:val="nil"/>
            </w:tcBorders>
          </w:tcPr>
          <w:p>
            <w:pPr>
              <w:pStyle w:val="TableParagraph"/>
              <w:spacing w:before="10"/>
              <w:ind w:left="71"/>
              <w:jc w:val="left"/>
              <w:rPr>
                <w:sz w:val="22"/>
              </w:rPr>
            </w:pPr>
            <w:r>
              <w:rPr>
                <w:sz w:val="22"/>
              </w:rPr>
              <w:t>TEJ_VpFdp</w:t>
            </w:r>
          </w:p>
        </w:tc>
        <w:tc>
          <w:tcPr>
            <w:tcW w:w="1147" w:type="dxa"/>
            <w:tcBorders>
              <w:top w:val="nil"/>
              <w:left w:val="nil"/>
              <w:bottom w:val="nil"/>
              <w:right w:val="nil"/>
            </w:tcBorders>
          </w:tcPr>
          <w:p>
            <w:pPr>
              <w:pStyle w:val="TableParagraph"/>
              <w:spacing w:before="10"/>
              <w:ind w:right="67"/>
              <w:rPr>
                <w:sz w:val="22"/>
              </w:rPr>
            </w:pPr>
            <w:r>
              <w:rPr>
                <w:w w:val="100"/>
                <w:sz w:val="22"/>
              </w:rPr>
              <w:t>7</w:t>
            </w:r>
          </w:p>
        </w:tc>
        <w:tc>
          <w:tcPr>
            <w:tcW w:w="1238" w:type="dxa"/>
            <w:tcBorders>
              <w:top w:val="nil"/>
              <w:left w:val="nil"/>
              <w:bottom w:val="nil"/>
              <w:right w:val="nil"/>
            </w:tcBorders>
          </w:tcPr>
          <w:p>
            <w:pPr>
              <w:pStyle w:val="TableParagraph"/>
              <w:spacing w:before="10"/>
              <w:ind w:left="69"/>
              <w:jc w:val="left"/>
              <w:rPr>
                <w:sz w:val="22"/>
              </w:rPr>
            </w:pPr>
            <w:r>
              <w:rPr>
                <w:w w:val="100"/>
                <w:sz w:val="22"/>
              </w:rPr>
              <w:t>D</w:t>
            </w:r>
          </w:p>
        </w:tc>
        <w:tc>
          <w:tcPr>
            <w:tcW w:w="1818" w:type="dxa"/>
            <w:tcBorders>
              <w:top w:val="nil"/>
              <w:left w:val="nil"/>
              <w:bottom w:val="nil"/>
              <w:right w:val="nil"/>
            </w:tcBorders>
          </w:tcPr>
          <w:p>
            <w:pPr>
              <w:pStyle w:val="TableParagraph"/>
              <w:spacing w:before="10"/>
              <w:ind w:right="65"/>
              <w:rPr>
                <w:sz w:val="22"/>
              </w:rPr>
            </w:pPr>
            <w:r>
              <w:rPr>
                <w:sz w:val="22"/>
              </w:rPr>
              <w:t>2,900</w:t>
            </w:r>
          </w:p>
        </w:tc>
        <w:tc>
          <w:tcPr>
            <w:tcW w:w="1258" w:type="dxa"/>
            <w:tcBorders>
              <w:top w:val="nil"/>
              <w:left w:val="nil"/>
              <w:bottom w:val="nil"/>
              <w:right w:val="nil"/>
            </w:tcBorders>
          </w:tcPr>
          <w:p>
            <w:pPr>
              <w:pStyle w:val="TableParagraph"/>
              <w:spacing w:before="10"/>
              <w:ind w:left="67"/>
              <w:jc w:val="left"/>
              <w:rPr>
                <w:sz w:val="22"/>
              </w:rPr>
            </w:pPr>
            <w:r>
              <w:rPr>
                <w:sz w:val="22"/>
              </w:rPr>
              <w:t>Mr</w:t>
            </w:r>
          </w:p>
        </w:tc>
      </w:tr>
      <w:tr>
        <w:trPr>
          <w:trHeight w:val="300" w:hRule="exact"/>
        </w:trPr>
        <w:tc>
          <w:tcPr>
            <w:tcW w:w="1491" w:type="dxa"/>
            <w:tcBorders>
              <w:top w:val="nil"/>
              <w:left w:val="nil"/>
              <w:bottom w:val="nil"/>
              <w:right w:val="nil"/>
            </w:tcBorders>
          </w:tcPr>
          <w:p>
            <w:pPr>
              <w:pStyle w:val="TableParagraph"/>
              <w:spacing w:before="13"/>
              <w:ind w:left="71"/>
              <w:jc w:val="left"/>
              <w:rPr>
                <w:sz w:val="22"/>
              </w:rPr>
            </w:pPr>
            <w:r>
              <w:rPr>
                <w:sz w:val="22"/>
              </w:rPr>
              <w:t>TEJ_VpSF</w:t>
            </w:r>
          </w:p>
        </w:tc>
        <w:tc>
          <w:tcPr>
            <w:tcW w:w="1147" w:type="dxa"/>
            <w:tcBorders>
              <w:top w:val="nil"/>
              <w:left w:val="nil"/>
              <w:bottom w:val="nil"/>
              <w:right w:val="nil"/>
            </w:tcBorders>
          </w:tcPr>
          <w:p>
            <w:pPr>
              <w:pStyle w:val="TableParagraph"/>
              <w:spacing w:before="13"/>
              <w:ind w:right="67"/>
              <w:rPr>
                <w:sz w:val="22"/>
              </w:rPr>
            </w:pPr>
            <w:r>
              <w:rPr>
                <w:w w:val="100"/>
                <w:sz w:val="22"/>
              </w:rPr>
              <w:t>7</w:t>
            </w:r>
          </w:p>
        </w:tc>
        <w:tc>
          <w:tcPr>
            <w:tcW w:w="1238" w:type="dxa"/>
            <w:tcBorders>
              <w:top w:val="nil"/>
              <w:left w:val="nil"/>
              <w:bottom w:val="nil"/>
              <w:right w:val="nil"/>
            </w:tcBorders>
          </w:tcPr>
          <w:p>
            <w:pPr>
              <w:pStyle w:val="TableParagraph"/>
              <w:spacing w:before="13"/>
              <w:ind w:left="69"/>
              <w:jc w:val="left"/>
              <w:rPr>
                <w:sz w:val="22"/>
              </w:rPr>
            </w:pPr>
            <w:r>
              <w:rPr>
                <w:w w:val="100"/>
                <w:sz w:val="22"/>
              </w:rPr>
              <w:t>C</w:t>
            </w:r>
          </w:p>
        </w:tc>
        <w:tc>
          <w:tcPr>
            <w:tcW w:w="1818" w:type="dxa"/>
            <w:tcBorders>
              <w:top w:val="nil"/>
              <w:left w:val="nil"/>
              <w:bottom w:val="nil"/>
              <w:right w:val="nil"/>
            </w:tcBorders>
          </w:tcPr>
          <w:p>
            <w:pPr>
              <w:pStyle w:val="TableParagraph"/>
              <w:spacing w:before="13"/>
              <w:ind w:right="65"/>
              <w:rPr>
                <w:sz w:val="22"/>
              </w:rPr>
            </w:pPr>
            <w:r>
              <w:rPr>
                <w:sz w:val="22"/>
              </w:rPr>
              <w:t>3,111.12-3,500</w:t>
            </w:r>
          </w:p>
        </w:tc>
        <w:tc>
          <w:tcPr>
            <w:tcW w:w="1258" w:type="dxa"/>
            <w:tcBorders>
              <w:top w:val="nil"/>
              <w:left w:val="nil"/>
              <w:bottom w:val="nil"/>
              <w:right w:val="nil"/>
            </w:tcBorders>
          </w:tcPr>
          <w:p>
            <w:pPr>
              <w:pStyle w:val="TableParagraph"/>
              <w:spacing w:before="13"/>
              <w:ind w:left="67"/>
              <w:jc w:val="left"/>
              <w:rPr>
                <w:sz w:val="22"/>
              </w:rPr>
            </w:pPr>
            <w:r>
              <w:rPr>
                <w:sz w:val="22"/>
              </w:rPr>
              <w:t>Mra</w:t>
            </w:r>
          </w:p>
        </w:tc>
      </w:tr>
      <w:tr>
        <w:trPr>
          <w:trHeight w:val="300" w:hRule="exact"/>
        </w:trPr>
        <w:tc>
          <w:tcPr>
            <w:tcW w:w="1491" w:type="dxa"/>
            <w:tcBorders>
              <w:top w:val="nil"/>
              <w:left w:val="nil"/>
              <w:bottom w:val="nil"/>
              <w:right w:val="nil"/>
            </w:tcBorders>
          </w:tcPr>
          <w:p>
            <w:pPr>
              <w:pStyle w:val="TableParagraph"/>
              <w:spacing w:before="10"/>
              <w:ind w:left="71"/>
              <w:jc w:val="left"/>
              <w:rPr>
                <w:sz w:val="22"/>
              </w:rPr>
            </w:pPr>
            <w:r>
              <w:rPr>
                <w:sz w:val="22"/>
              </w:rPr>
              <w:t>TEJ_WmFdp</w:t>
            </w:r>
          </w:p>
        </w:tc>
        <w:tc>
          <w:tcPr>
            <w:tcW w:w="1147" w:type="dxa"/>
            <w:tcBorders>
              <w:top w:val="nil"/>
              <w:left w:val="nil"/>
              <w:bottom w:val="nil"/>
              <w:right w:val="nil"/>
            </w:tcBorders>
          </w:tcPr>
          <w:p>
            <w:pPr>
              <w:pStyle w:val="TableParagraph"/>
              <w:spacing w:before="10"/>
              <w:ind w:right="67"/>
              <w:rPr>
                <w:sz w:val="22"/>
              </w:rPr>
            </w:pPr>
            <w:r>
              <w:rPr>
                <w:w w:val="100"/>
                <w:sz w:val="22"/>
              </w:rPr>
              <w:t>7</w:t>
            </w:r>
          </w:p>
        </w:tc>
        <w:tc>
          <w:tcPr>
            <w:tcW w:w="1238" w:type="dxa"/>
            <w:tcBorders>
              <w:top w:val="nil"/>
              <w:left w:val="nil"/>
              <w:bottom w:val="nil"/>
              <w:right w:val="nil"/>
            </w:tcBorders>
          </w:tcPr>
          <w:p>
            <w:pPr>
              <w:pStyle w:val="TableParagraph"/>
              <w:spacing w:before="10"/>
              <w:ind w:left="69"/>
              <w:jc w:val="left"/>
              <w:rPr>
                <w:sz w:val="22"/>
              </w:rPr>
            </w:pPr>
            <w:r>
              <w:rPr>
                <w:w w:val="100"/>
                <w:sz w:val="22"/>
              </w:rPr>
              <w:t>B</w:t>
            </w:r>
          </w:p>
        </w:tc>
        <w:tc>
          <w:tcPr>
            <w:tcW w:w="1818" w:type="dxa"/>
            <w:tcBorders>
              <w:top w:val="nil"/>
              <w:left w:val="nil"/>
              <w:bottom w:val="nil"/>
              <w:right w:val="nil"/>
            </w:tcBorders>
          </w:tcPr>
          <w:p>
            <w:pPr>
              <w:pStyle w:val="TableParagraph"/>
              <w:spacing w:before="10"/>
              <w:ind w:right="65"/>
              <w:rPr>
                <w:sz w:val="22"/>
              </w:rPr>
            </w:pPr>
            <w:r>
              <w:rPr>
                <w:sz w:val="22"/>
              </w:rPr>
              <w:t>3,000-3,500</w:t>
            </w:r>
          </w:p>
        </w:tc>
        <w:tc>
          <w:tcPr>
            <w:tcW w:w="1258" w:type="dxa"/>
            <w:tcBorders>
              <w:top w:val="nil"/>
              <w:left w:val="nil"/>
              <w:bottom w:val="nil"/>
              <w:right w:val="nil"/>
            </w:tcBorders>
          </w:tcPr>
          <w:p>
            <w:pPr>
              <w:pStyle w:val="TableParagraph"/>
              <w:spacing w:before="10"/>
              <w:ind w:left="67"/>
              <w:jc w:val="left"/>
              <w:rPr>
                <w:sz w:val="22"/>
              </w:rPr>
            </w:pPr>
            <w:r>
              <w:rPr>
                <w:sz w:val="22"/>
              </w:rPr>
              <w:t>Ma</w:t>
            </w:r>
          </w:p>
        </w:tc>
      </w:tr>
      <w:tr>
        <w:trPr>
          <w:trHeight w:val="276" w:hRule="exact"/>
        </w:trPr>
        <w:tc>
          <w:tcPr>
            <w:tcW w:w="1491" w:type="dxa"/>
            <w:tcBorders>
              <w:top w:val="nil"/>
              <w:left w:val="nil"/>
              <w:right w:val="nil"/>
            </w:tcBorders>
          </w:tcPr>
          <w:p>
            <w:pPr>
              <w:pStyle w:val="TableParagraph"/>
              <w:spacing w:before="13"/>
              <w:ind w:left="71"/>
              <w:jc w:val="left"/>
              <w:rPr>
                <w:sz w:val="22"/>
              </w:rPr>
            </w:pPr>
            <w:r>
              <w:rPr>
                <w:sz w:val="22"/>
              </w:rPr>
              <w:t>TEJ_WmSF</w:t>
            </w:r>
          </w:p>
        </w:tc>
        <w:tc>
          <w:tcPr>
            <w:tcW w:w="1147" w:type="dxa"/>
            <w:tcBorders>
              <w:top w:val="nil"/>
              <w:left w:val="nil"/>
              <w:right w:val="nil"/>
            </w:tcBorders>
          </w:tcPr>
          <w:p>
            <w:pPr>
              <w:pStyle w:val="TableParagraph"/>
              <w:spacing w:before="13"/>
              <w:ind w:right="67"/>
              <w:rPr>
                <w:sz w:val="22"/>
              </w:rPr>
            </w:pPr>
            <w:r>
              <w:rPr>
                <w:w w:val="100"/>
                <w:sz w:val="22"/>
              </w:rPr>
              <w:t>7</w:t>
            </w:r>
          </w:p>
        </w:tc>
        <w:tc>
          <w:tcPr>
            <w:tcW w:w="1238" w:type="dxa"/>
            <w:tcBorders>
              <w:top w:val="nil"/>
              <w:left w:val="nil"/>
              <w:right w:val="nil"/>
            </w:tcBorders>
          </w:tcPr>
          <w:p>
            <w:pPr>
              <w:pStyle w:val="TableParagraph"/>
              <w:spacing w:before="13"/>
              <w:ind w:left="69"/>
              <w:jc w:val="left"/>
              <w:rPr>
                <w:sz w:val="22"/>
              </w:rPr>
            </w:pPr>
            <w:r>
              <w:rPr>
                <w:w w:val="100"/>
                <w:sz w:val="22"/>
              </w:rPr>
              <w:t>C</w:t>
            </w:r>
          </w:p>
        </w:tc>
        <w:tc>
          <w:tcPr>
            <w:tcW w:w="1818" w:type="dxa"/>
            <w:tcBorders>
              <w:top w:val="nil"/>
              <w:left w:val="nil"/>
              <w:right w:val="nil"/>
            </w:tcBorders>
          </w:tcPr>
          <w:p>
            <w:pPr>
              <w:pStyle w:val="TableParagraph"/>
              <w:spacing w:before="13"/>
              <w:ind w:right="65"/>
              <w:rPr>
                <w:sz w:val="22"/>
              </w:rPr>
            </w:pPr>
            <w:r>
              <w:rPr>
                <w:sz w:val="22"/>
              </w:rPr>
              <w:t>3,111.12-3,500</w:t>
            </w:r>
          </w:p>
        </w:tc>
        <w:tc>
          <w:tcPr>
            <w:tcW w:w="1258" w:type="dxa"/>
            <w:tcBorders>
              <w:top w:val="nil"/>
              <w:left w:val="nil"/>
              <w:right w:val="nil"/>
            </w:tcBorders>
          </w:tcPr>
          <w:p>
            <w:pPr>
              <w:pStyle w:val="TableParagraph"/>
              <w:spacing w:before="13"/>
              <w:ind w:left="67"/>
              <w:jc w:val="left"/>
              <w:rPr>
                <w:sz w:val="22"/>
              </w:rPr>
            </w:pPr>
            <w:r>
              <w:rPr>
                <w:sz w:val="22"/>
              </w:rPr>
              <w:t>Mra</w:t>
            </w:r>
          </w:p>
        </w:tc>
      </w:tr>
    </w:tbl>
    <w:p>
      <w:pPr>
        <w:spacing w:after="0"/>
        <w:jc w:val="left"/>
        <w:rPr>
          <w:sz w:val="22"/>
        </w:rPr>
        <w:sectPr>
          <w:footerReference w:type="default" r:id="rId203"/>
          <w:pgSz w:w="12240" w:h="15840"/>
          <w:pgMar w:footer="1473" w:header="0" w:top="1360" w:bottom="1660" w:left="1420" w:right="1300"/>
          <w:pgNumType w:start="196"/>
        </w:sectPr>
      </w:pPr>
    </w:p>
    <w:p>
      <w:pPr>
        <w:pStyle w:val="BodyText"/>
        <w:spacing w:before="7"/>
        <w:rPr>
          <w:b/>
          <w:sz w:val="12"/>
        </w:rPr>
      </w:pPr>
    </w:p>
    <w:p>
      <w:pPr>
        <w:spacing w:before="66"/>
        <w:ind w:left="2987" w:right="0" w:firstLine="0"/>
        <w:jc w:val="left"/>
        <w:rPr>
          <w:b/>
          <w:sz w:val="26"/>
        </w:rPr>
      </w:pPr>
      <w:bookmarkStart w:name="_bookmark153" w:id="212"/>
      <w:bookmarkEnd w:id="212"/>
      <w:r>
        <w:rPr/>
      </w:r>
      <w:r>
        <w:rPr>
          <w:b/>
          <w:sz w:val="26"/>
        </w:rPr>
        <w:t>Tabla 16. Contenido de arcilla del suelo</w:t>
      </w:r>
    </w:p>
    <w:p>
      <w:pPr>
        <w:pStyle w:val="BodyText"/>
        <w:rPr>
          <w:b/>
          <w:sz w:val="20"/>
        </w:rPr>
      </w:pPr>
    </w:p>
    <w:p>
      <w:pPr>
        <w:pStyle w:val="BodyText"/>
        <w:rPr>
          <w:b/>
          <w:sz w:val="24"/>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77"/>
        <w:gridCol w:w="871"/>
        <w:gridCol w:w="867"/>
        <w:gridCol w:w="867"/>
        <w:gridCol w:w="869"/>
        <w:gridCol w:w="867"/>
        <w:gridCol w:w="867"/>
        <w:gridCol w:w="886"/>
        <w:gridCol w:w="867"/>
        <w:gridCol w:w="843"/>
        <w:gridCol w:w="733"/>
      </w:tblGrid>
      <w:tr>
        <w:trPr>
          <w:trHeight w:val="390" w:hRule="exact"/>
        </w:trPr>
        <w:tc>
          <w:tcPr>
            <w:tcW w:w="1477" w:type="dxa"/>
            <w:tcBorders>
              <w:left w:val="nil"/>
              <w:bottom w:val="nil"/>
              <w:right w:val="nil"/>
            </w:tcBorders>
          </w:tcPr>
          <w:p>
            <w:pPr>
              <w:pStyle w:val="TableParagraph"/>
              <w:spacing w:before="173"/>
              <w:ind w:left="91"/>
              <w:jc w:val="left"/>
              <w:rPr>
                <w:sz w:val="20"/>
              </w:rPr>
            </w:pPr>
            <w:r>
              <w:rPr>
                <w:sz w:val="20"/>
              </w:rPr>
              <w:t>Nombre/Clave</w:t>
            </w:r>
          </w:p>
        </w:tc>
        <w:tc>
          <w:tcPr>
            <w:tcW w:w="871" w:type="dxa"/>
            <w:tcBorders>
              <w:left w:val="nil"/>
              <w:bottom w:val="nil"/>
              <w:right w:val="nil"/>
            </w:tcBorders>
          </w:tcPr>
          <w:p>
            <w:pPr/>
          </w:p>
        </w:tc>
        <w:tc>
          <w:tcPr>
            <w:tcW w:w="867" w:type="dxa"/>
            <w:tcBorders>
              <w:left w:val="nil"/>
              <w:bottom w:val="nil"/>
              <w:right w:val="nil"/>
            </w:tcBorders>
          </w:tcPr>
          <w:p>
            <w:pPr/>
          </w:p>
        </w:tc>
        <w:tc>
          <w:tcPr>
            <w:tcW w:w="867" w:type="dxa"/>
            <w:tcBorders>
              <w:left w:val="nil"/>
              <w:bottom w:val="nil"/>
              <w:right w:val="nil"/>
            </w:tcBorders>
          </w:tcPr>
          <w:p>
            <w:pPr/>
          </w:p>
        </w:tc>
        <w:tc>
          <w:tcPr>
            <w:tcW w:w="2602" w:type="dxa"/>
            <w:gridSpan w:val="3"/>
            <w:tcBorders>
              <w:left w:val="nil"/>
              <w:bottom w:val="nil"/>
              <w:right w:val="nil"/>
            </w:tcBorders>
          </w:tcPr>
          <w:p>
            <w:pPr>
              <w:pStyle w:val="TableParagraph"/>
              <w:spacing w:before="58"/>
              <w:ind w:left="734"/>
              <w:jc w:val="left"/>
              <w:rPr>
                <w:sz w:val="20"/>
              </w:rPr>
            </w:pPr>
            <w:r>
              <w:rPr>
                <w:sz w:val="20"/>
              </w:rPr>
              <w:t>N° de capas del suelo</w:t>
            </w:r>
          </w:p>
        </w:tc>
        <w:tc>
          <w:tcPr>
            <w:tcW w:w="886" w:type="dxa"/>
            <w:tcBorders>
              <w:left w:val="nil"/>
              <w:bottom w:val="nil"/>
              <w:right w:val="nil"/>
            </w:tcBorders>
          </w:tcPr>
          <w:p>
            <w:pPr/>
          </w:p>
        </w:tc>
        <w:tc>
          <w:tcPr>
            <w:tcW w:w="867" w:type="dxa"/>
            <w:tcBorders>
              <w:left w:val="nil"/>
              <w:bottom w:val="nil"/>
              <w:right w:val="nil"/>
            </w:tcBorders>
          </w:tcPr>
          <w:p>
            <w:pPr/>
          </w:p>
        </w:tc>
        <w:tc>
          <w:tcPr>
            <w:tcW w:w="843" w:type="dxa"/>
            <w:tcBorders>
              <w:left w:val="nil"/>
              <w:bottom w:val="nil"/>
              <w:right w:val="nil"/>
            </w:tcBorders>
          </w:tcPr>
          <w:p>
            <w:pPr/>
          </w:p>
        </w:tc>
        <w:tc>
          <w:tcPr>
            <w:tcW w:w="733" w:type="dxa"/>
            <w:tcBorders>
              <w:left w:val="nil"/>
              <w:bottom w:val="nil"/>
              <w:right w:val="nil"/>
            </w:tcBorders>
          </w:tcPr>
          <w:p>
            <w:pPr/>
          </w:p>
        </w:tc>
      </w:tr>
      <w:tr>
        <w:trPr>
          <w:trHeight w:val="215" w:hRule="exact"/>
        </w:trPr>
        <w:tc>
          <w:tcPr>
            <w:tcW w:w="1477" w:type="dxa"/>
            <w:tcBorders>
              <w:top w:val="nil"/>
              <w:left w:val="nil"/>
              <w:right w:val="nil"/>
            </w:tcBorders>
          </w:tcPr>
          <w:p>
            <w:pPr/>
          </w:p>
        </w:tc>
        <w:tc>
          <w:tcPr>
            <w:tcW w:w="871" w:type="dxa"/>
            <w:tcBorders>
              <w:top w:val="nil"/>
              <w:left w:val="nil"/>
              <w:right w:val="nil"/>
            </w:tcBorders>
          </w:tcPr>
          <w:p>
            <w:pPr>
              <w:pStyle w:val="TableParagraph"/>
              <w:spacing w:line="201" w:lineRule="exact" w:before="0"/>
              <w:ind w:left="246"/>
              <w:jc w:val="left"/>
              <w:rPr>
                <w:sz w:val="20"/>
              </w:rPr>
            </w:pPr>
            <w:r>
              <w:rPr>
                <w:w w:val="100"/>
                <w:sz w:val="20"/>
              </w:rPr>
              <w:t>1</w:t>
            </w:r>
          </w:p>
        </w:tc>
        <w:tc>
          <w:tcPr>
            <w:tcW w:w="867" w:type="dxa"/>
            <w:tcBorders>
              <w:top w:val="nil"/>
              <w:left w:val="nil"/>
              <w:right w:val="nil"/>
            </w:tcBorders>
          </w:tcPr>
          <w:p>
            <w:pPr>
              <w:pStyle w:val="TableParagraph"/>
              <w:spacing w:line="201" w:lineRule="exact" w:before="0"/>
              <w:ind w:left="245"/>
              <w:jc w:val="left"/>
              <w:rPr>
                <w:sz w:val="20"/>
              </w:rPr>
            </w:pPr>
            <w:r>
              <w:rPr>
                <w:w w:val="100"/>
                <w:sz w:val="20"/>
              </w:rPr>
              <w:t>2</w:t>
            </w:r>
          </w:p>
        </w:tc>
        <w:tc>
          <w:tcPr>
            <w:tcW w:w="867" w:type="dxa"/>
            <w:tcBorders>
              <w:top w:val="nil"/>
              <w:left w:val="nil"/>
              <w:right w:val="nil"/>
            </w:tcBorders>
          </w:tcPr>
          <w:p>
            <w:pPr>
              <w:pStyle w:val="TableParagraph"/>
              <w:spacing w:line="201" w:lineRule="exact" w:before="0"/>
              <w:ind w:left="243"/>
              <w:jc w:val="left"/>
              <w:rPr>
                <w:sz w:val="20"/>
              </w:rPr>
            </w:pPr>
            <w:r>
              <w:rPr>
                <w:w w:val="100"/>
                <w:sz w:val="20"/>
              </w:rPr>
              <w:t>3</w:t>
            </w:r>
          </w:p>
        </w:tc>
        <w:tc>
          <w:tcPr>
            <w:tcW w:w="869" w:type="dxa"/>
            <w:tcBorders>
              <w:top w:val="nil"/>
              <w:left w:val="nil"/>
              <w:right w:val="nil"/>
            </w:tcBorders>
          </w:tcPr>
          <w:p>
            <w:pPr>
              <w:pStyle w:val="TableParagraph"/>
              <w:spacing w:line="201" w:lineRule="exact" w:before="0"/>
              <w:ind w:left="244"/>
              <w:jc w:val="left"/>
              <w:rPr>
                <w:sz w:val="20"/>
              </w:rPr>
            </w:pPr>
            <w:r>
              <w:rPr>
                <w:w w:val="100"/>
                <w:sz w:val="20"/>
              </w:rPr>
              <w:t>4</w:t>
            </w:r>
          </w:p>
        </w:tc>
        <w:tc>
          <w:tcPr>
            <w:tcW w:w="867" w:type="dxa"/>
            <w:tcBorders>
              <w:top w:val="nil"/>
              <w:left w:val="nil"/>
              <w:right w:val="nil"/>
            </w:tcBorders>
          </w:tcPr>
          <w:p>
            <w:pPr>
              <w:pStyle w:val="TableParagraph"/>
              <w:spacing w:line="201" w:lineRule="exact" w:before="0"/>
              <w:ind w:left="245"/>
              <w:jc w:val="left"/>
              <w:rPr>
                <w:sz w:val="20"/>
              </w:rPr>
            </w:pPr>
            <w:r>
              <w:rPr>
                <w:w w:val="100"/>
                <w:sz w:val="20"/>
              </w:rPr>
              <w:t>5</w:t>
            </w:r>
          </w:p>
        </w:tc>
        <w:tc>
          <w:tcPr>
            <w:tcW w:w="867" w:type="dxa"/>
            <w:tcBorders>
              <w:top w:val="nil"/>
              <w:left w:val="nil"/>
              <w:right w:val="nil"/>
            </w:tcBorders>
          </w:tcPr>
          <w:p>
            <w:pPr>
              <w:pStyle w:val="TableParagraph"/>
              <w:spacing w:line="201" w:lineRule="exact" w:before="0"/>
              <w:ind w:left="242"/>
              <w:jc w:val="left"/>
              <w:rPr>
                <w:sz w:val="20"/>
              </w:rPr>
            </w:pPr>
            <w:r>
              <w:rPr>
                <w:w w:val="100"/>
                <w:sz w:val="20"/>
              </w:rPr>
              <w:t>6</w:t>
            </w:r>
          </w:p>
        </w:tc>
        <w:tc>
          <w:tcPr>
            <w:tcW w:w="886" w:type="dxa"/>
            <w:tcBorders>
              <w:top w:val="nil"/>
              <w:left w:val="nil"/>
              <w:right w:val="nil"/>
            </w:tcBorders>
          </w:tcPr>
          <w:p>
            <w:pPr>
              <w:pStyle w:val="TableParagraph"/>
              <w:spacing w:line="201" w:lineRule="exact" w:before="0"/>
              <w:ind w:left="244"/>
              <w:jc w:val="left"/>
              <w:rPr>
                <w:sz w:val="20"/>
              </w:rPr>
            </w:pPr>
            <w:r>
              <w:rPr>
                <w:w w:val="100"/>
                <w:sz w:val="20"/>
              </w:rPr>
              <w:t>7</w:t>
            </w:r>
          </w:p>
        </w:tc>
        <w:tc>
          <w:tcPr>
            <w:tcW w:w="867" w:type="dxa"/>
            <w:tcBorders>
              <w:top w:val="nil"/>
              <w:left w:val="nil"/>
              <w:right w:val="nil"/>
            </w:tcBorders>
          </w:tcPr>
          <w:p>
            <w:pPr>
              <w:pStyle w:val="TableParagraph"/>
              <w:spacing w:line="201" w:lineRule="exact" w:before="0"/>
              <w:ind w:left="223"/>
              <w:jc w:val="left"/>
              <w:rPr>
                <w:sz w:val="20"/>
              </w:rPr>
            </w:pPr>
            <w:r>
              <w:rPr>
                <w:w w:val="100"/>
                <w:sz w:val="20"/>
              </w:rPr>
              <w:t>8</w:t>
            </w:r>
          </w:p>
        </w:tc>
        <w:tc>
          <w:tcPr>
            <w:tcW w:w="843" w:type="dxa"/>
            <w:tcBorders>
              <w:top w:val="nil"/>
              <w:left w:val="nil"/>
              <w:right w:val="nil"/>
            </w:tcBorders>
          </w:tcPr>
          <w:p>
            <w:pPr>
              <w:pStyle w:val="TableParagraph"/>
              <w:spacing w:line="201" w:lineRule="exact" w:before="0"/>
              <w:ind w:left="225"/>
              <w:jc w:val="left"/>
              <w:rPr>
                <w:sz w:val="20"/>
              </w:rPr>
            </w:pPr>
            <w:r>
              <w:rPr>
                <w:w w:val="100"/>
                <w:sz w:val="20"/>
              </w:rPr>
              <w:t>9</w:t>
            </w:r>
          </w:p>
        </w:tc>
        <w:tc>
          <w:tcPr>
            <w:tcW w:w="733" w:type="dxa"/>
            <w:tcBorders>
              <w:top w:val="nil"/>
              <w:left w:val="nil"/>
              <w:right w:val="nil"/>
            </w:tcBorders>
          </w:tcPr>
          <w:p>
            <w:pPr>
              <w:pStyle w:val="TableParagraph"/>
              <w:spacing w:line="201" w:lineRule="exact" w:before="0"/>
              <w:ind w:left="199"/>
              <w:jc w:val="left"/>
              <w:rPr>
                <w:sz w:val="20"/>
              </w:rPr>
            </w:pPr>
            <w:r>
              <w:rPr>
                <w:sz w:val="20"/>
              </w:rPr>
              <w:t>10</w:t>
            </w:r>
          </w:p>
        </w:tc>
      </w:tr>
      <w:tr>
        <w:trPr>
          <w:trHeight w:val="339" w:hRule="exact"/>
        </w:trPr>
        <w:tc>
          <w:tcPr>
            <w:tcW w:w="1477" w:type="dxa"/>
            <w:tcBorders>
              <w:left w:val="nil"/>
              <w:bottom w:val="nil"/>
              <w:right w:val="nil"/>
            </w:tcBorders>
          </w:tcPr>
          <w:p>
            <w:pPr>
              <w:pStyle w:val="TableParagraph"/>
              <w:spacing w:before="58"/>
              <w:ind w:left="86"/>
              <w:jc w:val="left"/>
              <w:rPr>
                <w:sz w:val="20"/>
              </w:rPr>
            </w:pPr>
            <w:r>
              <w:rPr>
                <w:sz w:val="20"/>
              </w:rPr>
              <w:t>TEJ_HhFd</w:t>
            </w:r>
          </w:p>
        </w:tc>
        <w:tc>
          <w:tcPr>
            <w:tcW w:w="871" w:type="dxa"/>
            <w:tcBorders>
              <w:left w:val="nil"/>
              <w:bottom w:val="nil"/>
              <w:right w:val="nil"/>
            </w:tcBorders>
          </w:tcPr>
          <w:p>
            <w:pPr>
              <w:pStyle w:val="TableParagraph"/>
              <w:spacing w:before="58"/>
              <w:ind w:right="204"/>
              <w:rPr>
                <w:sz w:val="20"/>
              </w:rPr>
            </w:pPr>
            <w:r>
              <w:rPr>
                <w:sz w:val="20"/>
              </w:rPr>
              <w:t>20.00</w:t>
            </w:r>
          </w:p>
        </w:tc>
        <w:tc>
          <w:tcPr>
            <w:tcW w:w="867" w:type="dxa"/>
            <w:tcBorders>
              <w:left w:val="nil"/>
              <w:bottom w:val="nil"/>
              <w:right w:val="nil"/>
            </w:tcBorders>
          </w:tcPr>
          <w:p>
            <w:pPr>
              <w:pStyle w:val="TableParagraph"/>
              <w:spacing w:before="58"/>
              <w:ind w:right="202"/>
              <w:rPr>
                <w:sz w:val="20"/>
              </w:rPr>
            </w:pPr>
            <w:r>
              <w:rPr>
                <w:sz w:val="20"/>
              </w:rPr>
              <w:t>23.33</w:t>
            </w:r>
          </w:p>
        </w:tc>
        <w:tc>
          <w:tcPr>
            <w:tcW w:w="867" w:type="dxa"/>
            <w:tcBorders>
              <w:left w:val="nil"/>
              <w:bottom w:val="nil"/>
              <w:right w:val="nil"/>
            </w:tcBorders>
          </w:tcPr>
          <w:p>
            <w:pPr>
              <w:pStyle w:val="TableParagraph"/>
              <w:spacing w:before="58"/>
              <w:ind w:left="204"/>
              <w:jc w:val="left"/>
              <w:rPr>
                <w:sz w:val="20"/>
              </w:rPr>
            </w:pPr>
            <w:r>
              <w:rPr>
                <w:sz w:val="20"/>
              </w:rPr>
              <w:t>25.00</w:t>
            </w:r>
          </w:p>
        </w:tc>
        <w:tc>
          <w:tcPr>
            <w:tcW w:w="869" w:type="dxa"/>
            <w:tcBorders>
              <w:left w:val="nil"/>
              <w:bottom w:val="nil"/>
              <w:right w:val="nil"/>
            </w:tcBorders>
          </w:tcPr>
          <w:p>
            <w:pPr>
              <w:pStyle w:val="TableParagraph"/>
              <w:spacing w:before="58"/>
              <w:ind w:left="206"/>
              <w:jc w:val="left"/>
              <w:rPr>
                <w:sz w:val="20"/>
              </w:rPr>
            </w:pPr>
            <w:r>
              <w:rPr>
                <w:sz w:val="20"/>
              </w:rPr>
              <w:t>35.90</w:t>
            </w:r>
          </w:p>
        </w:tc>
        <w:tc>
          <w:tcPr>
            <w:tcW w:w="867" w:type="dxa"/>
            <w:tcBorders>
              <w:left w:val="nil"/>
              <w:bottom w:val="nil"/>
              <w:right w:val="nil"/>
            </w:tcBorders>
          </w:tcPr>
          <w:p>
            <w:pPr>
              <w:pStyle w:val="TableParagraph"/>
              <w:spacing w:before="58"/>
              <w:ind w:left="206"/>
              <w:jc w:val="left"/>
              <w:rPr>
                <w:sz w:val="20"/>
              </w:rPr>
            </w:pPr>
            <w:r>
              <w:rPr>
                <w:sz w:val="20"/>
              </w:rPr>
              <w:t>36.75</w:t>
            </w:r>
          </w:p>
        </w:tc>
        <w:tc>
          <w:tcPr>
            <w:tcW w:w="867" w:type="dxa"/>
            <w:tcBorders>
              <w:left w:val="nil"/>
              <w:bottom w:val="nil"/>
              <w:right w:val="nil"/>
            </w:tcBorders>
          </w:tcPr>
          <w:p>
            <w:pPr>
              <w:pStyle w:val="TableParagraph"/>
              <w:spacing w:before="58"/>
              <w:ind w:left="204"/>
              <w:jc w:val="left"/>
              <w:rPr>
                <w:sz w:val="20"/>
              </w:rPr>
            </w:pPr>
            <w:r>
              <w:rPr>
                <w:sz w:val="20"/>
              </w:rPr>
              <w:t>35.45</w:t>
            </w:r>
          </w:p>
        </w:tc>
        <w:tc>
          <w:tcPr>
            <w:tcW w:w="886" w:type="dxa"/>
            <w:tcBorders>
              <w:left w:val="nil"/>
              <w:bottom w:val="nil"/>
              <w:right w:val="nil"/>
            </w:tcBorders>
          </w:tcPr>
          <w:p>
            <w:pPr>
              <w:pStyle w:val="TableParagraph"/>
              <w:spacing w:before="58"/>
              <w:ind w:left="206"/>
              <w:jc w:val="left"/>
              <w:rPr>
                <w:sz w:val="20"/>
              </w:rPr>
            </w:pPr>
            <w:r>
              <w:rPr>
                <w:sz w:val="20"/>
              </w:rPr>
              <w:t>37.35</w:t>
            </w:r>
          </w:p>
        </w:tc>
        <w:tc>
          <w:tcPr>
            <w:tcW w:w="867" w:type="dxa"/>
            <w:tcBorders>
              <w:left w:val="nil"/>
              <w:bottom w:val="nil"/>
              <w:right w:val="nil"/>
            </w:tcBorders>
          </w:tcPr>
          <w:p>
            <w:pPr>
              <w:pStyle w:val="TableParagraph"/>
              <w:spacing w:before="58"/>
              <w:ind w:right="223"/>
              <w:rPr>
                <w:sz w:val="20"/>
              </w:rPr>
            </w:pPr>
            <w:r>
              <w:rPr>
                <w:sz w:val="20"/>
              </w:rPr>
              <w:t>0.00</w:t>
            </w:r>
          </w:p>
        </w:tc>
        <w:tc>
          <w:tcPr>
            <w:tcW w:w="843" w:type="dxa"/>
            <w:tcBorders>
              <w:left w:val="nil"/>
              <w:bottom w:val="nil"/>
              <w:right w:val="nil"/>
            </w:tcBorders>
          </w:tcPr>
          <w:p>
            <w:pPr>
              <w:pStyle w:val="TableParagraph"/>
              <w:spacing w:before="58"/>
              <w:ind w:right="197"/>
              <w:rPr>
                <w:sz w:val="20"/>
              </w:rPr>
            </w:pPr>
            <w:r>
              <w:rPr>
                <w:sz w:val="20"/>
              </w:rPr>
              <w:t>0.00</w:t>
            </w:r>
          </w:p>
        </w:tc>
        <w:tc>
          <w:tcPr>
            <w:tcW w:w="733" w:type="dxa"/>
            <w:tcBorders>
              <w:left w:val="nil"/>
              <w:bottom w:val="nil"/>
              <w:right w:val="nil"/>
            </w:tcBorders>
          </w:tcPr>
          <w:p>
            <w:pPr>
              <w:pStyle w:val="TableParagraph"/>
              <w:spacing w:before="58"/>
              <w:ind w:right="61"/>
              <w:rPr>
                <w:sz w:val="20"/>
              </w:rPr>
            </w:pPr>
            <w:r>
              <w:rPr>
                <w:sz w:val="20"/>
              </w:rPr>
              <w:t>0.00</w:t>
            </w:r>
          </w:p>
        </w:tc>
      </w:tr>
      <w:tr>
        <w:trPr>
          <w:trHeight w:val="300" w:hRule="exact"/>
        </w:trPr>
        <w:tc>
          <w:tcPr>
            <w:tcW w:w="1477" w:type="dxa"/>
            <w:tcBorders>
              <w:top w:val="nil"/>
              <w:left w:val="nil"/>
              <w:bottom w:val="nil"/>
              <w:right w:val="nil"/>
            </w:tcBorders>
          </w:tcPr>
          <w:p>
            <w:pPr>
              <w:pStyle w:val="TableParagraph"/>
              <w:spacing w:before="26"/>
              <w:ind w:left="86"/>
              <w:jc w:val="left"/>
              <w:rPr>
                <w:sz w:val="20"/>
              </w:rPr>
            </w:pPr>
            <w:r>
              <w:rPr>
                <w:sz w:val="20"/>
              </w:rPr>
              <w:t>TEJ_HhFdp</w:t>
            </w:r>
          </w:p>
        </w:tc>
        <w:tc>
          <w:tcPr>
            <w:tcW w:w="871" w:type="dxa"/>
            <w:tcBorders>
              <w:top w:val="nil"/>
              <w:left w:val="nil"/>
              <w:bottom w:val="nil"/>
              <w:right w:val="nil"/>
            </w:tcBorders>
          </w:tcPr>
          <w:p>
            <w:pPr>
              <w:pStyle w:val="TableParagraph"/>
              <w:spacing w:before="26"/>
              <w:ind w:right="204"/>
              <w:rPr>
                <w:sz w:val="20"/>
              </w:rPr>
            </w:pPr>
            <w:r>
              <w:rPr>
                <w:sz w:val="20"/>
              </w:rPr>
              <w:t>29.00</w:t>
            </w:r>
          </w:p>
        </w:tc>
        <w:tc>
          <w:tcPr>
            <w:tcW w:w="867" w:type="dxa"/>
            <w:tcBorders>
              <w:top w:val="nil"/>
              <w:left w:val="nil"/>
              <w:bottom w:val="nil"/>
              <w:right w:val="nil"/>
            </w:tcBorders>
          </w:tcPr>
          <w:p>
            <w:pPr>
              <w:pStyle w:val="TableParagraph"/>
              <w:spacing w:before="26"/>
              <w:ind w:right="202"/>
              <w:rPr>
                <w:sz w:val="20"/>
              </w:rPr>
            </w:pPr>
            <w:r>
              <w:rPr>
                <w:sz w:val="20"/>
              </w:rPr>
              <w:t>29.00</w:t>
            </w:r>
          </w:p>
        </w:tc>
        <w:tc>
          <w:tcPr>
            <w:tcW w:w="867" w:type="dxa"/>
            <w:tcBorders>
              <w:top w:val="nil"/>
              <w:left w:val="nil"/>
              <w:bottom w:val="nil"/>
              <w:right w:val="nil"/>
            </w:tcBorders>
          </w:tcPr>
          <w:p>
            <w:pPr>
              <w:pStyle w:val="TableParagraph"/>
              <w:spacing w:before="26"/>
              <w:ind w:left="204"/>
              <w:jc w:val="left"/>
              <w:rPr>
                <w:sz w:val="20"/>
              </w:rPr>
            </w:pPr>
            <w:r>
              <w:rPr>
                <w:sz w:val="20"/>
              </w:rPr>
              <w:t>28.95</w:t>
            </w:r>
          </w:p>
        </w:tc>
        <w:tc>
          <w:tcPr>
            <w:tcW w:w="869" w:type="dxa"/>
            <w:tcBorders>
              <w:top w:val="nil"/>
              <w:left w:val="nil"/>
              <w:bottom w:val="nil"/>
              <w:right w:val="nil"/>
            </w:tcBorders>
          </w:tcPr>
          <w:p>
            <w:pPr>
              <w:pStyle w:val="TableParagraph"/>
              <w:spacing w:before="26"/>
              <w:ind w:left="206"/>
              <w:jc w:val="left"/>
              <w:rPr>
                <w:sz w:val="20"/>
              </w:rPr>
            </w:pPr>
            <w:r>
              <w:rPr>
                <w:sz w:val="20"/>
              </w:rPr>
              <w:t>29.00</w:t>
            </w:r>
          </w:p>
        </w:tc>
        <w:tc>
          <w:tcPr>
            <w:tcW w:w="867" w:type="dxa"/>
            <w:tcBorders>
              <w:top w:val="nil"/>
              <w:left w:val="nil"/>
              <w:bottom w:val="nil"/>
              <w:right w:val="nil"/>
            </w:tcBorders>
          </w:tcPr>
          <w:p>
            <w:pPr>
              <w:pStyle w:val="TableParagraph"/>
              <w:spacing w:before="26"/>
              <w:ind w:left="206"/>
              <w:jc w:val="left"/>
              <w:rPr>
                <w:sz w:val="20"/>
              </w:rPr>
            </w:pPr>
            <w:r>
              <w:rPr>
                <w:sz w:val="20"/>
              </w:rPr>
              <w:t>29.00</w:t>
            </w:r>
          </w:p>
        </w:tc>
        <w:tc>
          <w:tcPr>
            <w:tcW w:w="867" w:type="dxa"/>
            <w:tcBorders>
              <w:top w:val="nil"/>
              <w:left w:val="nil"/>
              <w:bottom w:val="nil"/>
              <w:right w:val="nil"/>
            </w:tcBorders>
          </w:tcPr>
          <w:p>
            <w:pPr>
              <w:pStyle w:val="TableParagraph"/>
              <w:spacing w:before="26"/>
              <w:ind w:left="204"/>
              <w:jc w:val="left"/>
              <w:rPr>
                <w:sz w:val="20"/>
              </w:rPr>
            </w:pPr>
            <w:r>
              <w:rPr>
                <w:sz w:val="20"/>
              </w:rPr>
              <w:t>19.00</w:t>
            </w:r>
          </w:p>
        </w:tc>
        <w:tc>
          <w:tcPr>
            <w:tcW w:w="886" w:type="dxa"/>
            <w:tcBorders>
              <w:top w:val="nil"/>
              <w:left w:val="nil"/>
              <w:bottom w:val="nil"/>
              <w:right w:val="nil"/>
            </w:tcBorders>
          </w:tcPr>
          <w:p>
            <w:pPr>
              <w:pStyle w:val="TableParagraph"/>
              <w:spacing w:before="26"/>
              <w:ind w:left="206"/>
              <w:jc w:val="left"/>
              <w:rPr>
                <w:sz w:val="20"/>
              </w:rPr>
            </w:pPr>
            <w:r>
              <w:rPr>
                <w:sz w:val="20"/>
              </w:rPr>
              <w:t>33.92</w:t>
            </w:r>
          </w:p>
        </w:tc>
        <w:tc>
          <w:tcPr>
            <w:tcW w:w="867" w:type="dxa"/>
            <w:tcBorders>
              <w:top w:val="nil"/>
              <w:left w:val="nil"/>
              <w:bottom w:val="nil"/>
              <w:right w:val="nil"/>
            </w:tcBorders>
          </w:tcPr>
          <w:p>
            <w:pPr>
              <w:pStyle w:val="TableParagraph"/>
              <w:spacing w:before="26"/>
              <w:ind w:right="223"/>
              <w:rPr>
                <w:sz w:val="20"/>
              </w:rPr>
            </w:pPr>
            <w:r>
              <w:rPr>
                <w:sz w:val="20"/>
              </w:rPr>
              <w:t>0.00</w:t>
            </w:r>
          </w:p>
        </w:tc>
        <w:tc>
          <w:tcPr>
            <w:tcW w:w="843" w:type="dxa"/>
            <w:tcBorders>
              <w:top w:val="nil"/>
              <w:left w:val="nil"/>
              <w:bottom w:val="nil"/>
              <w:right w:val="nil"/>
            </w:tcBorders>
          </w:tcPr>
          <w:p>
            <w:pPr>
              <w:pStyle w:val="TableParagraph"/>
              <w:spacing w:before="26"/>
              <w:ind w:right="197"/>
              <w:rPr>
                <w:sz w:val="20"/>
              </w:rPr>
            </w:pPr>
            <w:r>
              <w:rPr>
                <w:sz w:val="20"/>
              </w:rPr>
              <w:t>0.00</w:t>
            </w:r>
          </w:p>
        </w:tc>
        <w:tc>
          <w:tcPr>
            <w:tcW w:w="733" w:type="dxa"/>
            <w:tcBorders>
              <w:top w:val="nil"/>
              <w:left w:val="nil"/>
              <w:bottom w:val="nil"/>
              <w:right w:val="nil"/>
            </w:tcBorders>
          </w:tcPr>
          <w:p>
            <w:pPr>
              <w:pStyle w:val="TableParagraph"/>
              <w:spacing w:before="26"/>
              <w:ind w:right="61"/>
              <w:rPr>
                <w:sz w:val="20"/>
              </w:rPr>
            </w:pPr>
            <w:r>
              <w:rPr>
                <w:sz w:val="20"/>
              </w:rPr>
              <w:t>0.00</w:t>
            </w:r>
          </w:p>
        </w:tc>
      </w:tr>
      <w:tr>
        <w:trPr>
          <w:trHeight w:val="298" w:hRule="exact"/>
        </w:trPr>
        <w:tc>
          <w:tcPr>
            <w:tcW w:w="1477" w:type="dxa"/>
            <w:tcBorders>
              <w:top w:val="nil"/>
              <w:left w:val="nil"/>
              <w:bottom w:val="nil"/>
              <w:right w:val="nil"/>
            </w:tcBorders>
          </w:tcPr>
          <w:p>
            <w:pPr>
              <w:pStyle w:val="TableParagraph"/>
              <w:ind w:left="86"/>
              <w:jc w:val="left"/>
              <w:rPr>
                <w:sz w:val="20"/>
              </w:rPr>
            </w:pPr>
            <w:r>
              <w:rPr>
                <w:sz w:val="20"/>
              </w:rPr>
              <w:t>TEJ_HhFl</w:t>
            </w:r>
          </w:p>
        </w:tc>
        <w:tc>
          <w:tcPr>
            <w:tcW w:w="871" w:type="dxa"/>
            <w:tcBorders>
              <w:top w:val="nil"/>
              <w:left w:val="nil"/>
              <w:bottom w:val="nil"/>
              <w:right w:val="nil"/>
            </w:tcBorders>
          </w:tcPr>
          <w:p>
            <w:pPr>
              <w:pStyle w:val="TableParagraph"/>
              <w:ind w:right="204"/>
              <w:rPr>
                <w:sz w:val="20"/>
              </w:rPr>
            </w:pPr>
            <w:r>
              <w:rPr>
                <w:sz w:val="20"/>
              </w:rPr>
              <w:t>40.00</w:t>
            </w:r>
          </w:p>
        </w:tc>
        <w:tc>
          <w:tcPr>
            <w:tcW w:w="867" w:type="dxa"/>
            <w:tcBorders>
              <w:top w:val="nil"/>
              <w:left w:val="nil"/>
              <w:bottom w:val="nil"/>
              <w:right w:val="nil"/>
            </w:tcBorders>
          </w:tcPr>
          <w:p>
            <w:pPr>
              <w:pStyle w:val="TableParagraph"/>
              <w:ind w:right="202"/>
              <w:rPr>
                <w:sz w:val="20"/>
              </w:rPr>
            </w:pPr>
            <w:r>
              <w:rPr>
                <w:sz w:val="20"/>
              </w:rPr>
              <w:t>40.00</w:t>
            </w:r>
          </w:p>
        </w:tc>
        <w:tc>
          <w:tcPr>
            <w:tcW w:w="867" w:type="dxa"/>
            <w:tcBorders>
              <w:top w:val="nil"/>
              <w:left w:val="nil"/>
              <w:bottom w:val="nil"/>
              <w:right w:val="nil"/>
            </w:tcBorders>
          </w:tcPr>
          <w:p>
            <w:pPr>
              <w:pStyle w:val="TableParagraph"/>
              <w:ind w:left="204"/>
              <w:jc w:val="left"/>
              <w:rPr>
                <w:sz w:val="20"/>
              </w:rPr>
            </w:pPr>
            <w:r>
              <w:rPr>
                <w:sz w:val="20"/>
              </w:rPr>
              <w:t>40.00</w:t>
            </w:r>
          </w:p>
        </w:tc>
        <w:tc>
          <w:tcPr>
            <w:tcW w:w="869" w:type="dxa"/>
            <w:tcBorders>
              <w:top w:val="nil"/>
              <w:left w:val="nil"/>
              <w:bottom w:val="nil"/>
              <w:right w:val="nil"/>
            </w:tcBorders>
          </w:tcPr>
          <w:p>
            <w:pPr>
              <w:pStyle w:val="TableParagraph"/>
              <w:ind w:left="206"/>
              <w:jc w:val="left"/>
              <w:rPr>
                <w:sz w:val="20"/>
              </w:rPr>
            </w:pPr>
            <w:r>
              <w:rPr>
                <w:sz w:val="20"/>
              </w:rPr>
              <w:t>36.00</w:t>
            </w:r>
          </w:p>
        </w:tc>
        <w:tc>
          <w:tcPr>
            <w:tcW w:w="867" w:type="dxa"/>
            <w:tcBorders>
              <w:top w:val="nil"/>
              <w:left w:val="nil"/>
              <w:bottom w:val="nil"/>
              <w:right w:val="nil"/>
            </w:tcBorders>
          </w:tcPr>
          <w:p>
            <w:pPr>
              <w:pStyle w:val="TableParagraph"/>
              <w:ind w:left="206"/>
              <w:jc w:val="left"/>
              <w:rPr>
                <w:sz w:val="20"/>
              </w:rPr>
            </w:pPr>
            <w:r>
              <w:rPr>
                <w:sz w:val="20"/>
              </w:rPr>
              <w:t>36.00</w:t>
            </w:r>
          </w:p>
        </w:tc>
        <w:tc>
          <w:tcPr>
            <w:tcW w:w="867" w:type="dxa"/>
            <w:tcBorders>
              <w:top w:val="nil"/>
              <w:left w:val="nil"/>
              <w:bottom w:val="nil"/>
              <w:right w:val="nil"/>
            </w:tcBorders>
          </w:tcPr>
          <w:p>
            <w:pPr>
              <w:pStyle w:val="TableParagraph"/>
              <w:ind w:left="204"/>
              <w:jc w:val="left"/>
              <w:rPr>
                <w:sz w:val="20"/>
              </w:rPr>
            </w:pPr>
            <w:r>
              <w:rPr>
                <w:sz w:val="20"/>
              </w:rPr>
              <w:t>35.76</w:t>
            </w:r>
          </w:p>
        </w:tc>
        <w:tc>
          <w:tcPr>
            <w:tcW w:w="886" w:type="dxa"/>
            <w:tcBorders>
              <w:top w:val="nil"/>
              <w:left w:val="nil"/>
              <w:bottom w:val="nil"/>
              <w:right w:val="nil"/>
            </w:tcBorders>
          </w:tcPr>
          <w:p>
            <w:pPr>
              <w:pStyle w:val="TableParagraph"/>
              <w:ind w:left="206"/>
              <w:jc w:val="left"/>
              <w:rPr>
                <w:sz w:val="20"/>
              </w:rPr>
            </w:pPr>
            <w:r>
              <w:rPr>
                <w:sz w:val="20"/>
              </w:rPr>
              <w:t>37.93</w:t>
            </w:r>
          </w:p>
        </w:tc>
        <w:tc>
          <w:tcPr>
            <w:tcW w:w="867" w:type="dxa"/>
            <w:tcBorders>
              <w:top w:val="nil"/>
              <w:left w:val="nil"/>
              <w:bottom w:val="nil"/>
              <w:right w:val="nil"/>
            </w:tcBorders>
          </w:tcPr>
          <w:p>
            <w:pPr>
              <w:pStyle w:val="TableParagraph"/>
              <w:ind w:right="223"/>
              <w:rPr>
                <w:sz w:val="20"/>
              </w:rPr>
            </w:pPr>
            <w:r>
              <w:rPr>
                <w:sz w:val="20"/>
              </w:rPr>
              <w:t>0.00</w:t>
            </w:r>
          </w:p>
        </w:tc>
        <w:tc>
          <w:tcPr>
            <w:tcW w:w="843" w:type="dxa"/>
            <w:tcBorders>
              <w:top w:val="nil"/>
              <w:left w:val="nil"/>
              <w:bottom w:val="nil"/>
              <w:right w:val="nil"/>
            </w:tcBorders>
          </w:tcPr>
          <w:p>
            <w:pPr>
              <w:pStyle w:val="TableParagraph"/>
              <w:ind w:right="197"/>
              <w:rPr>
                <w:sz w:val="20"/>
              </w:rPr>
            </w:pPr>
            <w:r>
              <w:rPr>
                <w:sz w:val="20"/>
              </w:rPr>
              <w:t>0.00</w:t>
            </w:r>
          </w:p>
        </w:tc>
        <w:tc>
          <w:tcPr>
            <w:tcW w:w="733" w:type="dxa"/>
            <w:tcBorders>
              <w:top w:val="nil"/>
              <w:left w:val="nil"/>
              <w:bottom w:val="nil"/>
              <w:right w:val="nil"/>
            </w:tcBorders>
          </w:tcPr>
          <w:p>
            <w:pPr>
              <w:pStyle w:val="TableParagraph"/>
              <w:ind w:right="61"/>
              <w:rPr>
                <w:sz w:val="20"/>
              </w:rPr>
            </w:pPr>
            <w:r>
              <w:rPr>
                <w:sz w:val="20"/>
              </w:rPr>
              <w:t>0.00</w:t>
            </w:r>
          </w:p>
        </w:tc>
      </w:tr>
      <w:tr>
        <w:trPr>
          <w:trHeight w:val="298" w:hRule="exact"/>
        </w:trPr>
        <w:tc>
          <w:tcPr>
            <w:tcW w:w="1477" w:type="dxa"/>
            <w:tcBorders>
              <w:top w:val="nil"/>
              <w:left w:val="nil"/>
              <w:bottom w:val="nil"/>
              <w:right w:val="nil"/>
            </w:tcBorders>
          </w:tcPr>
          <w:p>
            <w:pPr>
              <w:pStyle w:val="TableParagraph"/>
              <w:ind w:left="86"/>
              <w:jc w:val="left"/>
              <w:rPr>
                <w:sz w:val="20"/>
              </w:rPr>
            </w:pPr>
            <w:r>
              <w:rPr>
                <w:sz w:val="20"/>
              </w:rPr>
              <w:t>TEJ_HhFlp</w:t>
            </w:r>
          </w:p>
        </w:tc>
        <w:tc>
          <w:tcPr>
            <w:tcW w:w="871" w:type="dxa"/>
            <w:tcBorders>
              <w:top w:val="nil"/>
              <w:left w:val="nil"/>
              <w:bottom w:val="nil"/>
              <w:right w:val="nil"/>
            </w:tcBorders>
          </w:tcPr>
          <w:p>
            <w:pPr>
              <w:pStyle w:val="TableParagraph"/>
              <w:ind w:right="204"/>
              <w:rPr>
                <w:sz w:val="20"/>
              </w:rPr>
            </w:pPr>
            <w:r>
              <w:rPr>
                <w:sz w:val="20"/>
              </w:rPr>
              <w:t>25.00</w:t>
            </w:r>
          </w:p>
        </w:tc>
        <w:tc>
          <w:tcPr>
            <w:tcW w:w="867" w:type="dxa"/>
            <w:tcBorders>
              <w:top w:val="nil"/>
              <w:left w:val="nil"/>
              <w:bottom w:val="nil"/>
              <w:right w:val="nil"/>
            </w:tcBorders>
          </w:tcPr>
          <w:p>
            <w:pPr>
              <w:pStyle w:val="TableParagraph"/>
              <w:ind w:right="202"/>
              <w:rPr>
                <w:sz w:val="20"/>
              </w:rPr>
            </w:pPr>
            <w:r>
              <w:rPr>
                <w:sz w:val="20"/>
              </w:rPr>
              <w:t>25.00</w:t>
            </w:r>
          </w:p>
        </w:tc>
        <w:tc>
          <w:tcPr>
            <w:tcW w:w="867" w:type="dxa"/>
            <w:tcBorders>
              <w:top w:val="nil"/>
              <w:left w:val="nil"/>
              <w:bottom w:val="nil"/>
              <w:right w:val="nil"/>
            </w:tcBorders>
          </w:tcPr>
          <w:p>
            <w:pPr>
              <w:pStyle w:val="TableParagraph"/>
              <w:ind w:left="204"/>
              <w:jc w:val="left"/>
              <w:rPr>
                <w:sz w:val="20"/>
              </w:rPr>
            </w:pPr>
            <w:r>
              <w:rPr>
                <w:sz w:val="20"/>
              </w:rPr>
              <w:t>25.00</w:t>
            </w:r>
          </w:p>
        </w:tc>
        <w:tc>
          <w:tcPr>
            <w:tcW w:w="869" w:type="dxa"/>
            <w:tcBorders>
              <w:top w:val="nil"/>
              <w:left w:val="nil"/>
              <w:bottom w:val="nil"/>
              <w:right w:val="nil"/>
            </w:tcBorders>
          </w:tcPr>
          <w:p>
            <w:pPr>
              <w:pStyle w:val="TableParagraph"/>
              <w:ind w:left="206"/>
              <w:jc w:val="left"/>
              <w:rPr>
                <w:sz w:val="20"/>
              </w:rPr>
            </w:pPr>
            <w:r>
              <w:rPr>
                <w:sz w:val="20"/>
              </w:rPr>
              <w:t>26.00</w:t>
            </w:r>
          </w:p>
        </w:tc>
        <w:tc>
          <w:tcPr>
            <w:tcW w:w="867" w:type="dxa"/>
            <w:tcBorders>
              <w:top w:val="nil"/>
              <w:left w:val="nil"/>
              <w:bottom w:val="nil"/>
              <w:right w:val="nil"/>
            </w:tcBorders>
          </w:tcPr>
          <w:p>
            <w:pPr>
              <w:pStyle w:val="TableParagraph"/>
              <w:ind w:left="206"/>
              <w:jc w:val="left"/>
              <w:rPr>
                <w:sz w:val="20"/>
              </w:rPr>
            </w:pPr>
            <w:r>
              <w:rPr>
                <w:sz w:val="20"/>
              </w:rPr>
              <w:t>26.00</w:t>
            </w:r>
          </w:p>
        </w:tc>
        <w:tc>
          <w:tcPr>
            <w:tcW w:w="867" w:type="dxa"/>
            <w:tcBorders>
              <w:top w:val="nil"/>
              <w:left w:val="nil"/>
              <w:bottom w:val="nil"/>
              <w:right w:val="nil"/>
            </w:tcBorders>
          </w:tcPr>
          <w:p>
            <w:pPr>
              <w:pStyle w:val="TableParagraph"/>
              <w:ind w:left="204"/>
              <w:jc w:val="left"/>
              <w:rPr>
                <w:sz w:val="20"/>
              </w:rPr>
            </w:pPr>
            <w:r>
              <w:rPr>
                <w:sz w:val="20"/>
              </w:rPr>
              <w:t>26.00</w:t>
            </w:r>
          </w:p>
        </w:tc>
        <w:tc>
          <w:tcPr>
            <w:tcW w:w="886" w:type="dxa"/>
            <w:tcBorders>
              <w:top w:val="nil"/>
              <w:left w:val="nil"/>
              <w:bottom w:val="nil"/>
              <w:right w:val="nil"/>
            </w:tcBorders>
          </w:tcPr>
          <w:p>
            <w:pPr>
              <w:pStyle w:val="TableParagraph"/>
              <w:ind w:left="206"/>
              <w:jc w:val="left"/>
              <w:rPr>
                <w:sz w:val="20"/>
              </w:rPr>
            </w:pPr>
            <w:r>
              <w:rPr>
                <w:sz w:val="20"/>
              </w:rPr>
              <w:t>26.00</w:t>
            </w:r>
          </w:p>
        </w:tc>
        <w:tc>
          <w:tcPr>
            <w:tcW w:w="867" w:type="dxa"/>
            <w:tcBorders>
              <w:top w:val="nil"/>
              <w:left w:val="nil"/>
              <w:bottom w:val="nil"/>
              <w:right w:val="nil"/>
            </w:tcBorders>
          </w:tcPr>
          <w:p>
            <w:pPr>
              <w:pStyle w:val="TableParagraph"/>
              <w:ind w:right="223"/>
              <w:rPr>
                <w:sz w:val="20"/>
              </w:rPr>
            </w:pPr>
            <w:r>
              <w:rPr>
                <w:sz w:val="20"/>
              </w:rPr>
              <w:t>0.00</w:t>
            </w:r>
          </w:p>
        </w:tc>
        <w:tc>
          <w:tcPr>
            <w:tcW w:w="843" w:type="dxa"/>
            <w:tcBorders>
              <w:top w:val="nil"/>
              <w:left w:val="nil"/>
              <w:bottom w:val="nil"/>
              <w:right w:val="nil"/>
            </w:tcBorders>
          </w:tcPr>
          <w:p>
            <w:pPr>
              <w:pStyle w:val="TableParagraph"/>
              <w:ind w:right="197"/>
              <w:rPr>
                <w:sz w:val="20"/>
              </w:rPr>
            </w:pPr>
            <w:r>
              <w:rPr>
                <w:sz w:val="20"/>
              </w:rPr>
              <w:t>0.00</w:t>
            </w:r>
          </w:p>
        </w:tc>
        <w:tc>
          <w:tcPr>
            <w:tcW w:w="733" w:type="dxa"/>
            <w:tcBorders>
              <w:top w:val="nil"/>
              <w:left w:val="nil"/>
              <w:bottom w:val="nil"/>
              <w:right w:val="nil"/>
            </w:tcBorders>
          </w:tcPr>
          <w:p>
            <w:pPr>
              <w:pStyle w:val="TableParagraph"/>
              <w:ind w:right="61"/>
              <w:rPr>
                <w:sz w:val="20"/>
              </w:rPr>
            </w:pPr>
            <w:r>
              <w:rPr>
                <w:sz w:val="20"/>
              </w:rPr>
              <w:t>0.00</w:t>
            </w:r>
          </w:p>
        </w:tc>
      </w:tr>
      <w:tr>
        <w:trPr>
          <w:trHeight w:val="298" w:hRule="exact"/>
        </w:trPr>
        <w:tc>
          <w:tcPr>
            <w:tcW w:w="1477" w:type="dxa"/>
            <w:tcBorders>
              <w:top w:val="nil"/>
              <w:left w:val="nil"/>
              <w:bottom w:val="nil"/>
              <w:right w:val="nil"/>
            </w:tcBorders>
          </w:tcPr>
          <w:p>
            <w:pPr>
              <w:pStyle w:val="TableParagraph"/>
              <w:ind w:left="86"/>
              <w:jc w:val="left"/>
              <w:rPr>
                <w:sz w:val="20"/>
              </w:rPr>
            </w:pPr>
            <w:r>
              <w:rPr>
                <w:sz w:val="20"/>
              </w:rPr>
              <w:t>TEJ_HhFp</w:t>
            </w:r>
          </w:p>
        </w:tc>
        <w:tc>
          <w:tcPr>
            <w:tcW w:w="871" w:type="dxa"/>
            <w:tcBorders>
              <w:top w:val="nil"/>
              <w:left w:val="nil"/>
              <w:bottom w:val="nil"/>
              <w:right w:val="nil"/>
            </w:tcBorders>
          </w:tcPr>
          <w:p>
            <w:pPr>
              <w:pStyle w:val="TableParagraph"/>
              <w:ind w:right="204"/>
              <w:rPr>
                <w:sz w:val="20"/>
              </w:rPr>
            </w:pPr>
            <w:r>
              <w:rPr>
                <w:sz w:val="20"/>
              </w:rPr>
              <w:t>30.50</w:t>
            </w:r>
          </w:p>
        </w:tc>
        <w:tc>
          <w:tcPr>
            <w:tcW w:w="867" w:type="dxa"/>
            <w:tcBorders>
              <w:top w:val="nil"/>
              <w:left w:val="nil"/>
              <w:bottom w:val="nil"/>
              <w:right w:val="nil"/>
            </w:tcBorders>
          </w:tcPr>
          <w:p>
            <w:pPr>
              <w:pStyle w:val="TableParagraph"/>
              <w:ind w:right="202"/>
              <w:rPr>
                <w:sz w:val="20"/>
              </w:rPr>
            </w:pPr>
            <w:r>
              <w:rPr>
                <w:sz w:val="20"/>
              </w:rPr>
              <w:t>30.50</w:t>
            </w:r>
          </w:p>
        </w:tc>
        <w:tc>
          <w:tcPr>
            <w:tcW w:w="867" w:type="dxa"/>
            <w:tcBorders>
              <w:top w:val="nil"/>
              <w:left w:val="nil"/>
              <w:bottom w:val="nil"/>
              <w:right w:val="nil"/>
            </w:tcBorders>
          </w:tcPr>
          <w:p>
            <w:pPr>
              <w:pStyle w:val="TableParagraph"/>
              <w:ind w:left="204"/>
              <w:jc w:val="left"/>
              <w:rPr>
                <w:sz w:val="20"/>
              </w:rPr>
            </w:pPr>
            <w:r>
              <w:rPr>
                <w:sz w:val="20"/>
              </w:rPr>
              <w:t>32.01</w:t>
            </w:r>
          </w:p>
        </w:tc>
        <w:tc>
          <w:tcPr>
            <w:tcW w:w="869" w:type="dxa"/>
            <w:tcBorders>
              <w:top w:val="nil"/>
              <w:left w:val="nil"/>
              <w:bottom w:val="nil"/>
              <w:right w:val="nil"/>
            </w:tcBorders>
          </w:tcPr>
          <w:p>
            <w:pPr>
              <w:pStyle w:val="TableParagraph"/>
              <w:ind w:left="206"/>
              <w:jc w:val="left"/>
              <w:rPr>
                <w:sz w:val="20"/>
              </w:rPr>
            </w:pPr>
            <w:r>
              <w:rPr>
                <w:sz w:val="20"/>
              </w:rPr>
              <w:t>31.99</w:t>
            </w:r>
          </w:p>
        </w:tc>
        <w:tc>
          <w:tcPr>
            <w:tcW w:w="867" w:type="dxa"/>
            <w:tcBorders>
              <w:top w:val="nil"/>
              <w:left w:val="nil"/>
              <w:bottom w:val="nil"/>
              <w:right w:val="nil"/>
            </w:tcBorders>
          </w:tcPr>
          <w:p>
            <w:pPr>
              <w:pStyle w:val="TableParagraph"/>
              <w:ind w:left="206"/>
              <w:jc w:val="left"/>
              <w:rPr>
                <w:sz w:val="20"/>
              </w:rPr>
            </w:pPr>
            <w:r>
              <w:rPr>
                <w:sz w:val="20"/>
              </w:rPr>
              <w:t>37.40</w:t>
            </w:r>
          </w:p>
        </w:tc>
        <w:tc>
          <w:tcPr>
            <w:tcW w:w="867" w:type="dxa"/>
            <w:tcBorders>
              <w:top w:val="nil"/>
              <w:left w:val="nil"/>
              <w:bottom w:val="nil"/>
              <w:right w:val="nil"/>
            </w:tcBorders>
          </w:tcPr>
          <w:p>
            <w:pPr>
              <w:pStyle w:val="TableParagraph"/>
              <w:ind w:left="204"/>
              <w:jc w:val="left"/>
              <w:rPr>
                <w:sz w:val="20"/>
              </w:rPr>
            </w:pPr>
            <w:r>
              <w:rPr>
                <w:sz w:val="20"/>
              </w:rPr>
              <w:t>34.44</w:t>
            </w:r>
          </w:p>
        </w:tc>
        <w:tc>
          <w:tcPr>
            <w:tcW w:w="886" w:type="dxa"/>
            <w:tcBorders>
              <w:top w:val="nil"/>
              <w:left w:val="nil"/>
              <w:bottom w:val="nil"/>
              <w:right w:val="nil"/>
            </w:tcBorders>
          </w:tcPr>
          <w:p>
            <w:pPr>
              <w:pStyle w:val="TableParagraph"/>
              <w:ind w:left="206"/>
              <w:jc w:val="left"/>
              <w:rPr>
                <w:sz w:val="20"/>
              </w:rPr>
            </w:pPr>
            <w:r>
              <w:rPr>
                <w:sz w:val="20"/>
              </w:rPr>
              <w:t>36.34</w:t>
            </w:r>
          </w:p>
        </w:tc>
        <w:tc>
          <w:tcPr>
            <w:tcW w:w="867" w:type="dxa"/>
            <w:tcBorders>
              <w:top w:val="nil"/>
              <w:left w:val="nil"/>
              <w:bottom w:val="nil"/>
              <w:right w:val="nil"/>
            </w:tcBorders>
          </w:tcPr>
          <w:p>
            <w:pPr>
              <w:pStyle w:val="TableParagraph"/>
              <w:ind w:right="223"/>
              <w:rPr>
                <w:sz w:val="20"/>
              </w:rPr>
            </w:pPr>
            <w:r>
              <w:rPr>
                <w:sz w:val="20"/>
              </w:rPr>
              <w:t>0.00</w:t>
            </w:r>
          </w:p>
        </w:tc>
        <w:tc>
          <w:tcPr>
            <w:tcW w:w="843" w:type="dxa"/>
            <w:tcBorders>
              <w:top w:val="nil"/>
              <w:left w:val="nil"/>
              <w:bottom w:val="nil"/>
              <w:right w:val="nil"/>
            </w:tcBorders>
          </w:tcPr>
          <w:p>
            <w:pPr>
              <w:pStyle w:val="TableParagraph"/>
              <w:ind w:right="197"/>
              <w:rPr>
                <w:sz w:val="20"/>
              </w:rPr>
            </w:pPr>
            <w:r>
              <w:rPr>
                <w:sz w:val="20"/>
              </w:rPr>
              <w:t>0.00</w:t>
            </w:r>
          </w:p>
        </w:tc>
        <w:tc>
          <w:tcPr>
            <w:tcW w:w="733" w:type="dxa"/>
            <w:tcBorders>
              <w:top w:val="nil"/>
              <w:left w:val="nil"/>
              <w:bottom w:val="nil"/>
              <w:right w:val="nil"/>
            </w:tcBorders>
          </w:tcPr>
          <w:p>
            <w:pPr>
              <w:pStyle w:val="TableParagraph"/>
              <w:ind w:right="61"/>
              <w:rPr>
                <w:sz w:val="20"/>
              </w:rPr>
            </w:pPr>
            <w:r>
              <w:rPr>
                <w:sz w:val="20"/>
              </w:rPr>
              <w:t>0.00</w:t>
            </w:r>
          </w:p>
        </w:tc>
      </w:tr>
      <w:tr>
        <w:trPr>
          <w:trHeight w:val="298" w:hRule="exact"/>
        </w:trPr>
        <w:tc>
          <w:tcPr>
            <w:tcW w:w="1477" w:type="dxa"/>
            <w:tcBorders>
              <w:top w:val="nil"/>
              <w:left w:val="nil"/>
              <w:bottom w:val="nil"/>
              <w:right w:val="nil"/>
            </w:tcBorders>
          </w:tcPr>
          <w:p>
            <w:pPr>
              <w:pStyle w:val="TableParagraph"/>
              <w:ind w:left="86"/>
              <w:jc w:val="left"/>
              <w:rPr>
                <w:sz w:val="20"/>
              </w:rPr>
            </w:pPr>
            <w:r>
              <w:rPr>
                <w:sz w:val="20"/>
              </w:rPr>
              <w:t>TEJ_HhSF</w:t>
            </w:r>
          </w:p>
        </w:tc>
        <w:tc>
          <w:tcPr>
            <w:tcW w:w="871" w:type="dxa"/>
            <w:tcBorders>
              <w:top w:val="nil"/>
              <w:left w:val="nil"/>
              <w:bottom w:val="nil"/>
              <w:right w:val="nil"/>
            </w:tcBorders>
          </w:tcPr>
          <w:p>
            <w:pPr>
              <w:pStyle w:val="TableParagraph"/>
              <w:ind w:right="204"/>
              <w:rPr>
                <w:sz w:val="20"/>
              </w:rPr>
            </w:pPr>
            <w:r>
              <w:rPr>
                <w:sz w:val="20"/>
              </w:rPr>
              <w:t>27.30</w:t>
            </w:r>
          </w:p>
        </w:tc>
        <w:tc>
          <w:tcPr>
            <w:tcW w:w="867" w:type="dxa"/>
            <w:tcBorders>
              <w:top w:val="nil"/>
              <w:left w:val="nil"/>
              <w:bottom w:val="nil"/>
              <w:right w:val="nil"/>
            </w:tcBorders>
          </w:tcPr>
          <w:p>
            <w:pPr>
              <w:pStyle w:val="TableParagraph"/>
              <w:ind w:right="202"/>
              <w:rPr>
                <w:sz w:val="20"/>
              </w:rPr>
            </w:pPr>
            <w:r>
              <w:rPr>
                <w:sz w:val="20"/>
              </w:rPr>
              <w:t>27.98</w:t>
            </w:r>
          </w:p>
        </w:tc>
        <w:tc>
          <w:tcPr>
            <w:tcW w:w="867" w:type="dxa"/>
            <w:tcBorders>
              <w:top w:val="nil"/>
              <w:left w:val="nil"/>
              <w:bottom w:val="nil"/>
              <w:right w:val="nil"/>
            </w:tcBorders>
          </w:tcPr>
          <w:p>
            <w:pPr>
              <w:pStyle w:val="TableParagraph"/>
              <w:ind w:left="204"/>
              <w:jc w:val="left"/>
              <w:rPr>
                <w:sz w:val="20"/>
              </w:rPr>
            </w:pPr>
            <w:r>
              <w:rPr>
                <w:sz w:val="20"/>
              </w:rPr>
              <w:t>27.98</w:t>
            </w:r>
          </w:p>
        </w:tc>
        <w:tc>
          <w:tcPr>
            <w:tcW w:w="869" w:type="dxa"/>
            <w:tcBorders>
              <w:top w:val="nil"/>
              <w:left w:val="nil"/>
              <w:bottom w:val="nil"/>
              <w:right w:val="nil"/>
            </w:tcBorders>
          </w:tcPr>
          <w:p>
            <w:pPr>
              <w:pStyle w:val="TableParagraph"/>
              <w:ind w:left="206"/>
              <w:jc w:val="left"/>
              <w:rPr>
                <w:sz w:val="20"/>
              </w:rPr>
            </w:pPr>
            <w:r>
              <w:rPr>
                <w:sz w:val="20"/>
              </w:rPr>
              <w:t>30.00</w:t>
            </w:r>
          </w:p>
        </w:tc>
        <w:tc>
          <w:tcPr>
            <w:tcW w:w="867" w:type="dxa"/>
            <w:tcBorders>
              <w:top w:val="nil"/>
              <w:left w:val="nil"/>
              <w:bottom w:val="nil"/>
              <w:right w:val="nil"/>
            </w:tcBorders>
          </w:tcPr>
          <w:p>
            <w:pPr>
              <w:pStyle w:val="TableParagraph"/>
              <w:ind w:left="206"/>
              <w:jc w:val="left"/>
              <w:rPr>
                <w:sz w:val="20"/>
              </w:rPr>
            </w:pPr>
            <w:r>
              <w:rPr>
                <w:sz w:val="20"/>
              </w:rPr>
              <w:t>30.00</w:t>
            </w:r>
          </w:p>
        </w:tc>
        <w:tc>
          <w:tcPr>
            <w:tcW w:w="867" w:type="dxa"/>
            <w:tcBorders>
              <w:top w:val="nil"/>
              <w:left w:val="nil"/>
              <w:bottom w:val="nil"/>
              <w:right w:val="nil"/>
            </w:tcBorders>
          </w:tcPr>
          <w:p>
            <w:pPr>
              <w:pStyle w:val="TableParagraph"/>
              <w:ind w:left="204"/>
              <w:jc w:val="left"/>
              <w:rPr>
                <w:sz w:val="20"/>
              </w:rPr>
            </w:pPr>
            <w:r>
              <w:rPr>
                <w:sz w:val="20"/>
              </w:rPr>
              <w:t>30.63</w:t>
            </w:r>
          </w:p>
        </w:tc>
        <w:tc>
          <w:tcPr>
            <w:tcW w:w="886" w:type="dxa"/>
            <w:tcBorders>
              <w:top w:val="nil"/>
              <w:left w:val="nil"/>
              <w:bottom w:val="nil"/>
              <w:right w:val="nil"/>
            </w:tcBorders>
          </w:tcPr>
          <w:p>
            <w:pPr>
              <w:pStyle w:val="TableParagraph"/>
              <w:ind w:left="206"/>
              <w:jc w:val="left"/>
              <w:rPr>
                <w:sz w:val="20"/>
              </w:rPr>
            </w:pPr>
            <w:r>
              <w:rPr>
                <w:sz w:val="20"/>
              </w:rPr>
              <w:t>30.63</w:t>
            </w:r>
          </w:p>
        </w:tc>
        <w:tc>
          <w:tcPr>
            <w:tcW w:w="867" w:type="dxa"/>
            <w:tcBorders>
              <w:top w:val="nil"/>
              <w:left w:val="nil"/>
              <w:bottom w:val="nil"/>
              <w:right w:val="nil"/>
            </w:tcBorders>
          </w:tcPr>
          <w:p>
            <w:pPr>
              <w:pStyle w:val="TableParagraph"/>
              <w:ind w:right="223"/>
              <w:rPr>
                <w:sz w:val="20"/>
              </w:rPr>
            </w:pPr>
            <w:r>
              <w:rPr>
                <w:sz w:val="20"/>
              </w:rPr>
              <w:t>0.00</w:t>
            </w:r>
          </w:p>
        </w:tc>
        <w:tc>
          <w:tcPr>
            <w:tcW w:w="843" w:type="dxa"/>
            <w:tcBorders>
              <w:top w:val="nil"/>
              <w:left w:val="nil"/>
              <w:bottom w:val="nil"/>
              <w:right w:val="nil"/>
            </w:tcBorders>
          </w:tcPr>
          <w:p>
            <w:pPr>
              <w:pStyle w:val="TableParagraph"/>
              <w:ind w:right="197"/>
              <w:rPr>
                <w:sz w:val="20"/>
              </w:rPr>
            </w:pPr>
            <w:r>
              <w:rPr>
                <w:sz w:val="20"/>
              </w:rPr>
              <w:t>0.00</w:t>
            </w:r>
          </w:p>
        </w:tc>
        <w:tc>
          <w:tcPr>
            <w:tcW w:w="733" w:type="dxa"/>
            <w:tcBorders>
              <w:top w:val="nil"/>
              <w:left w:val="nil"/>
              <w:bottom w:val="nil"/>
              <w:right w:val="nil"/>
            </w:tcBorders>
          </w:tcPr>
          <w:p>
            <w:pPr>
              <w:pStyle w:val="TableParagraph"/>
              <w:ind w:right="61"/>
              <w:rPr>
                <w:sz w:val="20"/>
              </w:rPr>
            </w:pPr>
            <w:r>
              <w:rPr>
                <w:sz w:val="20"/>
              </w:rPr>
              <w:t>0.00</w:t>
            </w:r>
          </w:p>
        </w:tc>
      </w:tr>
      <w:tr>
        <w:trPr>
          <w:trHeight w:val="298" w:hRule="exact"/>
        </w:trPr>
        <w:tc>
          <w:tcPr>
            <w:tcW w:w="1477" w:type="dxa"/>
            <w:tcBorders>
              <w:top w:val="nil"/>
              <w:left w:val="nil"/>
              <w:bottom w:val="nil"/>
              <w:right w:val="nil"/>
            </w:tcBorders>
          </w:tcPr>
          <w:p>
            <w:pPr>
              <w:pStyle w:val="TableParagraph"/>
              <w:ind w:left="86"/>
              <w:jc w:val="left"/>
              <w:rPr>
                <w:sz w:val="20"/>
              </w:rPr>
            </w:pPr>
            <w:r>
              <w:rPr>
                <w:sz w:val="20"/>
              </w:rPr>
              <w:t>TEJ_HlFd</w:t>
            </w:r>
          </w:p>
        </w:tc>
        <w:tc>
          <w:tcPr>
            <w:tcW w:w="871" w:type="dxa"/>
            <w:tcBorders>
              <w:top w:val="nil"/>
              <w:left w:val="nil"/>
              <w:bottom w:val="nil"/>
              <w:right w:val="nil"/>
            </w:tcBorders>
          </w:tcPr>
          <w:p>
            <w:pPr>
              <w:pStyle w:val="TableParagraph"/>
              <w:ind w:right="204"/>
              <w:rPr>
                <w:sz w:val="20"/>
              </w:rPr>
            </w:pPr>
            <w:r>
              <w:rPr>
                <w:sz w:val="20"/>
              </w:rPr>
              <w:t>26.00</w:t>
            </w:r>
          </w:p>
        </w:tc>
        <w:tc>
          <w:tcPr>
            <w:tcW w:w="867" w:type="dxa"/>
            <w:tcBorders>
              <w:top w:val="nil"/>
              <w:left w:val="nil"/>
              <w:bottom w:val="nil"/>
              <w:right w:val="nil"/>
            </w:tcBorders>
          </w:tcPr>
          <w:p>
            <w:pPr>
              <w:pStyle w:val="TableParagraph"/>
              <w:ind w:right="202"/>
              <w:rPr>
                <w:sz w:val="20"/>
              </w:rPr>
            </w:pPr>
            <w:r>
              <w:rPr>
                <w:sz w:val="20"/>
              </w:rPr>
              <w:t>26.86</w:t>
            </w:r>
          </w:p>
        </w:tc>
        <w:tc>
          <w:tcPr>
            <w:tcW w:w="867" w:type="dxa"/>
            <w:tcBorders>
              <w:top w:val="nil"/>
              <w:left w:val="nil"/>
              <w:bottom w:val="nil"/>
              <w:right w:val="nil"/>
            </w:tcBorders>
          </w:tcPr>
          <w:p>
            <w:pPr>
              <w:pStyle w:val="TableParagraph"/>
              <w:ind w:left="204"/>
              <w:jc w:val="left"/>
              <w:rPr>
                <w:sz w:val="20"/>
              </w:rPr>
            </w:pPr>
            <w:r>
              <w:rPr>
                <w:sz w:val="20"/>
              </w:rPr>
              <w:t>27.71</w:t>
            </w:r>
          </w:p>
        </w:tc>
        <w:tc>
          <w:tcPr>
            <w:tcW w:w="869" w:type="dxa"/>
            <w:tcBorders>
              <w:top w:val="nil"/>
              <w:left w:val="nil"/>
              <w:bottom w:val="nil"/>
              <w:right w:val="nil"/>
            </w:tcBorders>
          </w:tcPr>
          <w:p>
            <w:pPr>
              <w:pStyle w:val="TableParagraph"/>
              <w:ind w:left="206"/>
              <w:jc w:val="left"/>
              <w:rPr>
                <w:sz w:val="20"/>
              </w:rPr>
            </w:pPr>
            <w:r>
              <w:rPr>
                <w:sz w:val="20"/>
              </w:rPr>
              <w:t>32.00</w:t>
            </w:r>
          </w:p>
        </w:tc>
        <w:tc>
          <w:tcPr>
            <w:tcW w:w="867" w:type="dxa"/>
            <w:tcBorders>
              <w:top w:val="nil"/>
              <w:left w:val="nil"/>
              <w:bottom w:val="nil"/>
              <w:right w:val="nil"/>
            </w:tcBorders>
          </w:tcPr>
          <w:p>
            <w:pPr>
              <w:pStyle w:val="TableParagraph"/>
              <w:ind w:left="206"/>
              <w:jc w:val="left"/>
              <w:rPr>
                <w:sz w:val="20"/>
              </w:rPr>
            </w:pPr>
            <w:r>
              <w:rPr>
                <w:sz w:val="20"/>
              </w:rPr>
              <w:t>33.23</w:t>
            </w:r>
          </w:p>
        </w:tc>
        <w:tc>
          <w:tcPr>
            <w:tcW w:w="867" w:type="dxa"/>
            <w:tcBorders>
              <w:top w:val="nil"/>
              <w:left w:val="nil"/>
              <w:bottom w:val="nil"/>
              <w:right w:val="nil"/>
            </w:tcBorders>
          </w:tcPr>
          <w:p>
            <w:pPr>
              <w:pStyle w:val="TableParagraph"/>
              <w:ind w:left="204"/>
              <w:jc w:val="left"/>
              <w:rPr>
                <w:sz w:val="20"/>
              </w:rPr>
            </w:pPr>
            <w:r>
              <w:rPr>
                <w:sz w:val="20"/>
              </w:rPr>
              <w:t>32.07</w:t>
            </w:r>
          </w:p>
        </w:tc>
        <w:tc>
          <w:tcPr>
            <w:tcW w:w="886" w:type="dxa"/>
            <w:tcBorders>
              <w:top w:val="nil"/>
              <w:left w:val="nil"/>
              <w:bottom w:val="nil"/>
              <w:right w:val="nil"/>
            </w:tcBorders>
          </w:tcPr>
          <w:p>
            <w:pPr>
              <w:pStyle w:val="TableParagraph"/>
              <w:ind w:left="206"/>
              <w:jc w:val="left"/>
              <w:rPr>
                <w:sz w:val="20"/>
              </w:rPr>
            </w:pPr>
            <w:r>
              <w:rPr>
                <w:sz w:val="20"/>
              </w:rPr>
              <w:t>35.86</w:t>
            </w:r>
          </w:p>
        </w:tc>
        <w:tc>
          <w:tcPr>
            <w:tcW w:w="867" w:type="dxa"/>
            <w:tcBorders>
              <w:top w:val="nil"/>
              <w:left w:val="nil"/>
              <w:bottom w:val="nil"/>
              <w:right w:val="nil"/>
            </w:tcBorders>
          </w:tcPr>
          <w:p>
            <w:pPr>
              <w:pStyle w:val="TableParagraph"/>
              <w:ind w:right="223"/>
              <w:rPr>
                <w:sz w:val="20"/>
              </w:rPr>
            </w:pPr>
            <w:r>
              <w:rPr>
                <w:sz w:val="20"/>
              </w:rPr>
              <w:t>0.00</w:t>
            </w:r>
          </w:p>
        </w:tc>
        <w:tc>
          <w:tcPr>
            <w:tcW w:w="843" w:type="dxa"/>
            <w:tcBorders>
              <w:top w:val="nil"/>
              <w:left w:val="nil"/>
              <w:bottom w:val="nil"/>
              <w:right w:val="nil"/>
            </w:tcBorders>
          </w:tcPr>
          <w:p>
            <w:pPr>
              <w:pStyle w:val="TableParagraph"/>
              <w:ind w:right="197"/>
              <w:rPr>
                <w:sz w:val="20"/>
              </w:rPr>
            </w:pPr>
            <w:r>
              <w:rPr>
                <w:sz w:val="20"/>
              </w:rPr>
              <w:t>0.00</w:t>
            </w:r>
          </w:p>
        </w:tc>
        <w:tc>
          <w:tcPr>
            <w:tcW w:w="733" w:type="dxa"/>
            <w:tcBorders>
              <w:top w:val="nil"/>
              <w:left w:val="nil"/>
              <w:bottom w:val="nil"/>
              <w:right w:val="nil"/>
            </w:tcBorders>
          </w:tcPr>
          <w:p>
            <w:pPr>
              <w:pStyle w:val="TableParagraph"/>
              <w:ind w:right="61"/>
              <w:rPr>
                <w:sz w:val="20"/>
              </w:rPr>
            </w:pPr>
            <w:r>
              <w:rPr>
                <w:sz w:val="20"/>
              </w:rPr>
              <w:t>0.00</w:t>
            </w:r>
          </w:p>
        </w:tc>
      </w:tr>
      <w:tr>
        <w:trPr>
          <w:trHeight w:val="298" w:hRule="exact"/>
        </w:trPr>
        <w:tc>
          <w:tcPr>
            <w:tcW w:w="1477" w:type="dxa"/>
            <w:tcBorders>
              <w:top w:val="nil"/>
              <w:left w:val="nil"/>
              <w:bottom w:val="nil"/>
              <w:right w:val="nil"/>
            </w:tcBorders>
          </w:tcPr>
          <w:p>
            <w:pPr>
              <w:pStyle w:val="TableParagraph"/>
              <w:ind w:left="86"/>
              <w:jc w:val="left"/>
              <w:rPr>
                <w:sz w:val="20"/>
              </w:rPr>
            </w:pPr>
            <w:r>
              <w:rPr>
                <w:sz w:val="20"/>
              </w:rPr>
              <w:t>TEJ_HlFdp</w:t>
            </w:r>
          </w:p>
        </w:tc>
        <w:tc>
          <w:tcPr>
            <w:tcW w:w="871" w:type="dxa"/>
            <w:tcBorders>
              <w:top w:val="nil"/>
              <w:left w:val="nil"/>
              <w:bottom w:val="nil"/>
              <w:right w:val="nil"/>
            </w:tcBorders>
          </w:tcPr>
          <w:p>
            <w:pPr>
              <w:pStyle w:val="TableParagraph"/>
              <w:ind w:right="204"/>
              <w:rPr>
                <w:sz w:val="20"/>
              </w:rPr>
            </w:pPr>
            <w:r>
              <w:rPr>
                <w:sz w:val="20"/>
              </w:rPr>
              <w:t>28.40</w:t>
            </w:r>
          </w:p>
        </w:tc>
        <w:tc>
          <w:tcPr>
            <w:tcW w:w="867" w:type="dxa"/>
            <w:tcBorders>
              <w:top w:val="nil"/>
              <w:left w:val="nil"/>
              <w:bottom w:val="nil"/>
              <w:right w:val="nil"/>
            </w:tcBorders>
          </w:tcPr>
          <w:p>
            <w:pPr>
              <w:pStyle w:val="TableParagraph"/>
              <w:ind w:right="202"/>
              <w:rPr>
                <w:sz w:val="20"/>
              </w:rPr>
            </w:pPr>
            <w:r>
              <w:rPr>
                <w:sz w:val="20"/>
              </w:rPr>
              <w:t>28.91</w:t>
            </w:r>
          </w:p>
        </w:tc>
        <w:tc>
          <w:tcPr>
            <w:tcW w:w="867" w:type="dxa"/>
            <w:tcBorders>
              <w:top w:val="nil"/>
              <w:left w:val="nil"/>
              <w:bottom w:val="nil"/>
              <w:right w:val="nil"/>
            </w:tcBorders>
          </w:tcPr>
          <w:p>
            <w:pPr>
              <w:pStyle w:val="TableParagraph"/>
              <w:ind w:left="204"/>
              <w:jc w:val="left"/>
              <w:rPr>
                <w:sz w:val="20"/>
              </w:rPr>
            </w:pPr>
            <w:r>
              <w:rPr>
                <w:sz w:val="20"/>
              </w:rPr>
              <w:t>28.91</w:t>
            </w:r>
          </w:p>
        </w:tc>
        <w:tc>
          <w:tcPr>
            <w:tcW w:w="869" w:type="dxa"/>
            <w:tcBorders>
              <w:top w:val="nil"/>
              <w:left w:val="nil"/>
              <w:bottom w:val="nil"/>
              <w:right w:val="nil"/>
            </w:tcBorders>
          </w:tcPr>
          <w:p>
            <w:pPr>
              <w:pStyle w:val="TableParagraph"/>
              <w:ind w:left="206"/>
              <w:jc w:val="left"/>
              <w:rPr>
                <w:sz w:val="20"/>
              </w:rPr>
            </w:pPr>
            <w:r>
              <w:rPr>
                <w:sz w:val="20"/>
              </w:rPr>
              <w:t>32.78</w:t>
            </w:r>
          </w:p>
        </w:tc>
        <w:tc>
          <w:tcPr>
            <w:tcW w:w="867" w:type="dxa"/>
            <w:tcBorders>
              <w:top w:val="nil"/>
              <w:left w:val="nil"/>
              <w:bottom w:val="nil"/>
              <w:right w:val="nil"/>
            </w:tcBorders>
          </w:tcPr>
          <w:p>
            <w:pPr>
              <w:pStyle w:val="TableParagraph"/>
              <w:ind w:left="206"/>
              <w:jc w:val="left"/>
              <w:rPr>
                <w:sz w:val="20"/>
              </w:rPr>
            </w:pPr>
            <w:r>
              <w:rPr>
                <w:sz w:val="20"/>
              </w:rPr>
              <w:t>32.78</w:t>
            </w:r>
          </w:p>
        </w:tc>
        <w:tc>
          <w:tcPr>
            <w:tcW w:w="867" w:type="dxa"/>
            <w:tcBorders>
              <w:top w:val="nil"/>
              <w:left w:val="nil"/>
              <w:bottom w:val="nil"/>
              <w:right w:val="nil"/>
            </w:tcBorders>
          </w:tcPr>
          <w:p>
            <w:pPr>
              <w:pStyle w:val="TableParagraph"/>
              <w:ind w:left="204"/>
              <w:jc w:val="left"/>
              <w:rPr>
                <w:sz w:val="20"/>
              </w:rPr>
            </w:pPr>
            <w:r>
              <w:rPr>
                <w:sz w:val="20"/>
              </w:rPr>
              <w:t>30.67</w:t>
            </w:r>
          </w:p>
        </w:tc>
        <w:tc>
          <w:tcPr>
            <w:tcW w:w="886" w:type="dxa"/>
            <w:tcBorders>
              <w:top w:val="nil"/>
              <w:left w:val="nil"/>
              <w:bottom w:val="nil"/>
              <w:right w:val="nil"/>
            </w:tcBorders>
          </w:tcPr>
          <w:p>
            <w:pPr>
              <w:pStyle w:val="TableParagraph"/>
              <w:ind w:left="206"/>
              <w:jc w:val="left"/>
              <w:rPr>
                <w:sz w:val="20"/>
              </w:rPr>
            </w:pPr>
            <w:r>
              <w:rPr>
                <w:sz w:val="20"/>
              </w:rPr>
              <w:t>30.22</w:t>
            </w:r>
          </w:p>
        </w:tc>
        <w:tc>
          <w:tcPr>
            <w:tcW w:w="867" w:type="dxa"/>
            <w:tcBorders>
              <w:top w:val="nil"/>
              <w:left w:val="nil"/>
              <w:bottom w:val="nil"/>
              <w:right w:val="nil"/>
            </w:tcBorders>
          </w:tcPr>
          <w:p>
            <w:pPr>
              <w:pStyle w:val="TableParagraph"/>
              <w:ind w:right="223"/>
              <w:rPr>
                <w:sz w:val="20"/>
              </w:rPr>
            </w:pPr>
            <w:r>
              <w:rPr>
                <w:sz w:val="20"/>
              </w:rPr>
              <w:t>0.00</w:t>
            </w:r>
          </w:p>
        </w:tc>
        <w:tc>
          <w:tcPr>
            <w:tcW w:w="843" w:type="dxa"/>
            <w:tcBorders>
              <w:top w:val="nil"/>
              <w:left w:val="nil"/>
              <w:bottom w:val="nil"/>
              <w:right w:val="nil"/>
            </w:tcBorders>
          </w:tcPr>
          <w:p>
            <w:pPr>
              <w:pStyle w:val="TableParagraph"/>
              <w:ind w:right="197"/>
              <w:rPr>
                <w:sz w:val="20"/>
              </w:rPr>
            </w:pPr>
            <w:r>
              <w:rPr>
                <w:sz w:val="20"/>
              </w:rPr>
              <w:t>0.00</w:t>
            </w:r>
          </w:p>
        </w:tc>
        <w:tc>
          <w:tcPr>
            <w:tcW w:w="733" w:type="dxa"/>
            <w:tcBorders>
              <w:top w:val="nil"/>
              <w:left w:val="nil"/>
              <w:bottom w:val="nil"/>
              <w:right w:val="nil"/>
            </w:tcBorders>
          </w:tcPr>
          <w:p>
            <w:pPr>
              <w:pStyle w:val="TableParagraph"/>
              <w:ind w:right="61"/>
              <w:rPr>
                <w:sz w:val="20"/>
              </w:rPr>
            </w:pPr>
            <w:r>
              <w:rPr>
                <w:sz w:val="20"/>
              </w:rPr>
              <w:t>0.00</w:t>
            </w:r>
          </w:p>
        </w:tc>
      </w:tr>
      <w:tr>
        <w:trPr>
          <w:trHeight w:val="298" w:hRule="exact"/>
        </w:trPr>
        <w:tc>
          <w:tcPr>
            <w:tcW w:w="1477" w:type="dxa"/>
            <w:tcBorders>
              <w:top w:val="nil"/>
              <w:left w:val="nil"/>
              <w:bottom w:val="nil"/>
              <w:right w:val="nil"/>
            </w:tcBorders>
          </w:tcPr>
          <w:p>
            <w:pPr>
              <w:pStyle w:val="TableParagraph"/>
              <w:ind w:left="86"/>
              <w:jc w:val="left"/>
              <w:rPr>
                <w:sz w:val="20"/>
              </w:rPr>
            </w:pPr>
            <w:r>
              <w:rPr>
                <w:sz w:val="20"/>
              </w:rPr>
              <w:t>TEJ_HlFl</w:t>
            </w:r>
          </w:p>
        </w:tc>
        <w:tc>
          <w:tcPr>
            <w:tcW w:w="871" w:type="dxa"/>
            <w:tcBorders>
              <w:top w:val="nil"/>
              <w:left w:val="nil"/>
              <w:bottom w:val="nil"/>
              <w:right w:val="nil"/>
            </w:tcBorders>
          </w:tcPr>
          <w:p>
            <w:pPr>
              <w:pStyle w:val="TableParagraph"/>
              <w:ind w:right="204"/>
              <w:rPr>
                <w:sz w:val="20"/>
              </w:rPr>
            </w:pPr>
            <w:r>
              <w:rPr>
                <w:sz w:val="20"/>
              </w:rPr>
              <w:t>24.00</w:t>
            </w:r>
          </w:p>
        </w:tc>
        <w:tc>
          <w:tcPr>
            <w:tcW w:w="867" w:type="dxa"/>
            <w:tcBorders>
              <w:top w:val="nil"/>
              <w:left w:val="nil"/>
              <w:bottom w:val="nil"/>
              <w:right w:val="nil"/>
            </w:tcBorders>
          </w:tcPr>
          <w:p>
            <w:pPr>
              <w:pStyle w:val="TableParagraph"/>
              <w:ind w:right="202"/>
              <w:rPr>
                <w:sz w:val="20"/>
              </w:rPr>
            </w:pPr>
            <w:r>
              <w:rPr>
                <w:sz w:val="20"/>
              </w:rPr>
              <w:t>24.00</w:t>
            </w:r>
          </w:p>
        </w:tc>
        <w:tc>
          <w:tcPr>
            <w:tcW w:w="867" w:type="dxa"/>
            <w:tcBorders>
              <w:top w:val="nil"/>
              <w:left w:val="nil"/>
              <w:bottom w:val="nil"/>
              <w:right w:val="nil"/>
            </w:tcBorders>
          </w:tcPr>
          <w:p>
            <w:pPr>
              <w:pStyle w:val="TableParagraph"/>
              <w:ind w:left="204"/>
              <w:jc w:val="left"/>
              <w:rPr>
                <w:sz w:val="20"/>
              </w:rPr>
            </w:pPr>
            <w:r>
              <w:rPr>
                <w:sz w:val="20"/>
              </w:rPr>
              <w:t>40.00</w:t>
            </w:r>
          </w:p>
        </w:tc>
        <w:tc>
          <w:tcPr>
            <w:tcW w:w="869" w:type="dxa"/>
            <w:tcBorders>
              <w:top w:val="nil"/>
              <w:left w:val="nil"/>
              <w:bottom w:val="nil"/>
              <w:right w:val="nil"/>
            </w:tcBorders>
          </w:tcPr>
          <w:p>
            <w:pPr>
              <w:pStyle w:val="TableParagraph"/>
              <w:ind w:left="206"/>
              <w:jc w:val="left"/>
              <w:rPr>
                <w:sz w:val="20"/>
              </w:rPr>
            </w:pPr>
            <w:r>
              <w:rPr>
                <w:sz w:val="20"/>
              </w:rPr>
              <w:t>38.77</w:t>
            </w:r>
          </w:p>
        </w:tc>
        <w:tc>
          <w:tcPr>
            <w:tcW w:w="867" w:type="dxa"/>
            <w:tcBorders>
              <w:top w:val="nil"/>
              <w:left w:val="nil"/>
              <w:bottom w:val="nil"/>
              <w:right w:val="nil"/>
            </w:tcBorders>
          </w:tcPr>
          <w:p>
            <w:pPr>
              <w:pStyle w:val="TableParagraph"/>
              <w:ind w:left="206"/>
              <w:jc w:val="left"/>
              <w:rPr>
                <w:sz w:val="20"/>
              </w:rPr>
            </w:pPr>
            <w:r>
              <w:rPr>
                <w:sz w:val="20"/>
              </w:rPr>
              <w:t>36.75</w:t>
            </w:r>
          </w:p>
        </w:tc>
        <w:tc>
          <w:tcPr>
            <w:tcW w:w="867" w:type="dxa"/>
            <w:tcBorders>
              <w:top w:val="nil"/>
              <w:left w:val="nil"/>
              <w:bottom w:val="nil"/>
              <w:right w:val="nil"/>
            </w:tcBorders>
          </w:tcPr>
          <w:p>
            <w:pPr>
              <w:pStyle w:val="TableParagraph"/>
              <w:ind w:left="204"/>
              <w:jc w:val="left"/>
              <w:rPr>
                <w:sz w:val="20"/>
              </w:rPr>
            </w:pPr>
            <w:r>
              <w:rPr>
                <w:sz w:val="20"/>
              </w:rPr>
              <w:t>35.45</w:t>
            </w:r>
          </w:p>
        </w:tc>
        <w:tc>
          <w:tcPr>
            <w:tcW w:w="886" w:type="dxa"/>
            <w:tcBorders>
              <w:top w:val="nil"/>
              <w:left w:val="nil"/>
              <w:bottom w:val="nil"/>
              <w:right w:val="nil"/>
            </w:tcBorders>
          </w:tcPr>
          <w:p>
            <w:pPr>
              <w:pStyle w:val="TableParagraph"/>
              <w:ind w:left="206"/>
              <w:jc w:val="left"/>
              <w:rPr>
                <w:sz w:val="20"/>
              </w:rPr>
            </w:pPr>
            <w:r>
              <w:rPr>
                <w:sz w:val="20"/>
              </w:rPr>
              <w:t>37.35</w:t>
            </w:r>
          </w:p>
        </w:tc>
        <w:tc>
          <w:tcPr>
            <w:tcW w:w="867" w:type="dxa"/>
            <w:tcBorders>
              <w:top w:val="nil"/>
              <w:left w:val="nil"/>
              <w:bottom w:val="nil"/>
              <w:right w:val="nil"/>
            </w:tcBorders>
          </w:tcPr>
          <w:p>
            <w:pPr>
              <w:pStyle w:val="TableParagraph"/>
              <w:ind w:right="223"/>
              <w:rPr>
                <w:sz w:val="20"/>
              </w:rPr>
            </w:pPr>
            <w:r>
              <w:rPr>
                <w:sz w:val="20"/>
              </w:rPr>
              <w:t>0.00</w:t>
            </w:r>
          </w:p>
        </w:tc>
        <w:tc>
          <w:tcPr>
            <w:tcW w:w="843" w:type="dxa"/>
            <w:tcBorders>
              <w:top w:val="nil"/>
              <w:left w:val="nil"/>
              <w:bottom w:val="nil"/>
              <w:right w:val="nil"/>
            </w:tcBorders>
          </w:tcPr>
          <w:p>
            <w:pPr>
              <w:pStyle w:val="TableParagraph"/>
              <w:ind w:right="197"/>
              <w:rPr>
                <w:sz w:val="20"/>
              </w:rPr>
            </w:pPr>
            <w:r>
              <w:rPr>
                <w:sz w:val="20"/>
              </w:rPr>
              <w:t>0.00</w:t>
            </w:r>
          </w:p>
        </w:tc>
        <w:tc>
          <w:tcPr>
            <w:tcW w:w="733" w:type="dxa"/>
            <w:tcBorders>
              <w:top w:val="nil"/>
              <w:left w:val="nil"/>
              <w:bottom w:val="nil"/>
              <w:right w:val="nil"/>
            </w:tcBorders>
          </w:tcPr>
          <w:p>
            <w:pPr>
              <w:pStyle w:val="TableParagraph"/>
              <w:ind w:right="61"/>
              <w:rPr>
                <w:sz w:val="20"/>
              </w:rPr>
            </w:pPr>
            <w:r>
              <w:rPr>
                <w:sz w:val="20"/>
              </w:rPr>
              <w:t>0.00</w:t>
            </w:r>
          </w:p>
        </w:tc>
      </w:tr>
      <w:tr>
        <w:trPr>
          <w:trHeight w:val="298" w:hRule="exact"/>
        </w:trPr>
        <w:tc>
          <w:tcPr>
            <w:tcW w:w="1477" w:type="dxa"/>
            <w:tcBorders>
              <w:top w:val="nil"/>
              <w:left w:val="nil"/>
              <w:bottom w:val="nil"/>
              <w:right w:val="nil"/>
            </w:tcBorders>
          </w:tcPr>
          <w:p>
            <w:pPr>
              <w:pStyle w:val="TableParagraph"/>
              <w:spacing w:before="24"/>
              <w:ind w:left="86"/>
              <w:jc w:val="left"/>
              <w:rPr>
                <w:sz w:val="20"/>
              </w:rPr>
            </w:pPr>
            <w:r>
              <w:rPr>
                <w:sz w:val="20"/>
              </w:rPr>
              <w:t>TEJ_HlFlp</w:t>
            </w:r>
          </w:p>
        </w:tc>
        <w:tc>
          <w:tcPr>
            <w:tcW w:w="871" w:type="dxa"/>
            <w:tcBorders>
              <w:top w:val="nil"/>
              <w:left w:val="nil"/>
              <w:bottom w:val="nil"/>
              <w:right w:val="nil"/>
            </w:tcBorders>
          </w:tcPr>
          <w:p>
            <w:pPr>
              <w:pStyle w:val="TableParagraph"/>
              <w:spacing w:before="24"/>
              <w:ind w:right="204"/>
              <w:rPr>
                <w:sz w:val="20"/>
              </w:rPr>
            </w:pPr>
            <w:r>
              <w:rPr>
                <w:sz w:val="20"/>
              </w:rPr>
              <w:t>14.00</w:t>
            </w:r>
          </w:p>
        </w:tc>
        <w:tc>
          <w:tcPr>
            <w:tcW w:w="867" w:type="dxa"/>
            <w:tcBorders>
              <w:top w:val="nil"/>
              <w:left w:val="nil"/>
              <w:bottom w:val="nil"/>
              <w:right w:val="nil"/>
            </w:tcBorders>
          </w:tcPr>
          <w:p>
            <w:pPr>
              <w:pStyle w:val="TableParagraph"/>
              <w:spacing w:before="24"/>
              <w:ind w:right="202"/>
              <w:rPr>
                <w:sz w:val="20"/>
              </w:rPr>
            </w:pPr>
            <w:r>
              <w:rPr>
                <w:sz w:val="20"/>
              </w:rPr>
              <w:t>14.00</w:t>
            </w:r>
          </w:p>
        </w:tc>
        <w:tc>
          <w:tcPr>
            <w:tcW w:w="867" w:type="dxa"/>
            <w:tcBorders>
              <w:top w:val="nil"/>
              <w:left w:val="nil"/>
              <w:bottom w:val="nil"/>
              <w:right w:val="nil"/>
            </w:tcBorders>
          </w:tcPr>
          <w:p>
            <w:pPr>
              <w:pStyle w:val="TableParagraph"/>
              <w:spacing w:before="24"/>
              <w:ind w:left="204"/>
              <w:jc w:val="left"/>
              <w:rPr>
                <w:sz w:val="20"/>
              </w:rPr>
            </w:pPr>
            <w:r>
              <w:rPr>
                <w:sz w:val="20"/>
              </w:rPr>
              <w:t>14.00</w:t>
            </w:r>
          </w:p>
        </w:tc>
        <w:tc>
          <w:tcPr>
            <w:tcW w:w="869" w:type="dxa"/>
            <w:tcBorders>
              <w:top w:val="nil"/>
              <w:left w:val="nil"/>
              <w:bottom w:val="nil"/>
              <w:right w:val="nil"/>
            </w:tcBorders>
          </w:tcPr>
          <w:p>
            <w:pPr>
              <w:pStyle w:val="TableParagraph"/>
              <w:spacing w:before="24"/>
              <w:ind w:left="206"/>
              <w:jc w:val="left"/>
              <w:rPr>
                <w:sz w:val="20"/>
              </w:rPr>
            </w:pPr>
            <w:r>
              <w:rPr>
                <w:sz w:val="20"/>
              </w:rPr>
              <w:t>34.00</w:t>
            </w:r>
          </w:p>
        </w:tc>
        <w:tc>
          <w:tcPr>
            <w:tcW w:w="867" w:type="dxa"/>
            <w:tcBorders>
              <w:top w:val="nil"/>
              <w:left w:val="nil"/>
              <w:bottom w:val="nil"/>
              <w:right w:val="nil"/>
            </w:tcBorders>
          </w:tcPr>
          <w:p>
            <w:pPr>
              <w:pStyle w:val="TableParagraph"/>
              <w:spacing w:before="24"/>
              <w:ind w:left="206"/>
              <w:jc w:val="left"/>
              <w:rPr>
                <w:sz w:val="20"/>
              </w:rPr>
            </w:pPr>
            <w:r>
              <w:rPr>
                <w:sz w:val="20"/>
              </w:rPr>
              <w:t>34.00</w:t>
            </w:r>
          </w:p>
        </w:tc>
        <w:tc>
          <w:tcPr>
            <w:tcW w:w="867" w:type="dxa"/>
            <w:tcBorders>
              <w:top w:val="nil"/>
              <w:left w:val="nil"/>
              <w:bottom w:val="nil"/>
              <w:right w:val="nil"/>
            </w:tcBorders>
          </w:tcPr>
          <w:p>
            <w:pPr>
              <w:pStyle w:val="TableParagraph"/>
              <w:spacing w:before="24"/>
              <w:ind w:left="204"/>
              <w:jc w:val="left"/>
              <w:rPr>
                <w:sz w:val="20"/>
              </w:rPr>
            </w:pPr>
            <w:r>
              <w:rPr>
                <w:sz w:val="20"/>
              </w:rPr>
              <w:t>34.00</w:t>
            </w:r>
          </w:p>
        </w:tc>
        <w:tc>
          <w:tcPr>
            <w:tcW w:w="886" w:type="dxa"/>
            <w:tcBorders>
              <w:top w:val="nil"/>
              <w:left w:val="nil"/>
              <w:bottom w:val="nil"/>
              <w:right w:val="nil"/>
            </w:tcBorders>
          </w:tcPr>
          <w:p>
            <w:pPr>
              <w:pStyle w:val="TableParagraph"/>
              <w:spacing w:before="24"/>
              <w:ind w:left="206"/>
              <w:jc w:val="left"/>
              <w:rPr>
                <w:sz w:val="20"/>
              </w:rPr>
            </w:pPr>
            <w:r>
              <w:rPr>
                <w:sz w:val="20"/>
              </w:rPr>
              <w:t>34.00</w:t>
            </w:r>
          </w:p>
        </w:tc>
        <w:tc>
          <w:tcPr>
            <w:tcW w:w="867" w:type="dxa"/>
            <w:tcBorders>
              <w:top w:val="nil"/>
              <w:left w:val="nil"/>
              <w:bottom w:val="nil"/>
              <w:right w:val="nil"/>
            </w:tcBorders>
          </w:tcPr>
          <w:p>
            <w:pPr>
              <w:pStyle w:val="TableParagraph"/>
              <w:spacing w:before="24"/>
              <w:ind w:right="223"/>
              <w:rPr>
                <w:sz w:val="20"/>
              </w:rPr>
            </w:pPr>
            <w:r>
              <w:rPr>
                <w:sz w:val="20"/>
              </w:rPr>
              <w:t>0.00</w:t>
            </w:r>
          </w:p>
        </w:tc>
        <w:tc>
          <w:tcPr>
            <w:tcW w:w="843" w:type="dxa"/>
            <w:tcBorders>
              <w:top w:val="nil"/>
              <w:left w:val="nil"/>
              <w:bottom w:val="nil"/>
              <w:right w:val="nil"/>
            </w:tcBorders>
          </w:tcPr>
          <w:p>
            <w:pPr>
              <w:pStyle w:val="TableParagraph"/>
              <w:spacing w:before="24"/>
              <w:ind w:right="197"/>
              <w:rPr>
                <w:sz w:val="20"/>
              </w:rPr>
            </w:pPr>
            <w:r>
              <w:rPr>
                <w:sz w:val="20"/>
              </w:rPr>
              <w:t>0.00</w:t>
            </w:r>
          </w:p>
        </w:tc>
        <w:tc>
          <w:tcPr>
            <w:tcW w:w="733" w:type="dxa"/>
            <w:tcBorders>
              <w:top w:val="nil"/>
              <w:left w:val="nil"/>
              <w:bottom w:val="nil"/>
              <w:right w:val="nil"/>
            </w:tcBorders>
          </w:tcPr>
          <w:p>
            <w:pPr>
              <w:pStyle w:val="TableParagraph"/>
              <w:spacing w:before="24"/>
              <w:ind w:right="61"/>
              <w:rPr>
                <w:sz w:val="20"/>
              </w:rPr>
            </w:pPr>
            <w:r>
              <w:rPr>
                <w:sz w:val="20"/>
              </w:rPr>
              <w:t>0.00</w:t>
            </w:r>
          </w:p>
        </w:tc>
      </w:tr>
      <w:tr>
        <w:trPr>
          <w:trHeight w:val="298" w:hRule="exact"/>
        </w:trPr>
        <w:tc>
          <w:tcPr>
            <w:tcW w:w="1477" w:type="dxa"/>
            <w:tcBorders>
              <w:top w:val="nil"/>
              <w:left w:val="nil"/>
              <w:bottom w:val="nil"/>
              <w:right w:val="nil"/>
            </w:tcBorders>
          </w:tcPr>
          <w:p>
            <w:pPr>
              <w:pStyle w:val="TableParagraph"/>
              <w:ind w:left="86"/>
              <w:jc w:val="left"/>
              <w:rPr>
                <w:sz w:val="20"/>
              </w:rPr>
            </w:pPr>
            <w:r>
              <w:rPr>
                <w:sz w:val="20"/>
              </w:rPr>
              <w:t>TEJ_HlFp</w:t>
            </w:r>
          </w:p>
        </w:tc>
        <w:tc>
          <w:tcPr>
            <w:tcW w:w="871" w:type="dxa"/>
            <w:tcBorders>
              <w:top w:val="nil"/>
              <w:left w:val="nil"/>
              <w:bottom w:val="nil"/>
              <w:right w:val="nil"/>
            </w:tcBorders>
          </w:tcPr>
          <w:p>
            <w:pPr>
              <w:pStyle w:val="TableParagraph"/>
              <w:ind w:right="204"/>
              <w:rPr>
                <w:sz w:val="20"/>
              </w:rPr>
            </w:pPr>
            <w:r>
              <w:rPr>
                <w:sz w:val="20"/>
              </w:rPr>
              <w:t>24.00</w:t>
            </w:r>
          </w:p>
        </w:tc>
        <w:tc>
          <w:tcPr>
            <w:tcW w:w="867" w:type="dxa"/>
            <w:tcBorders>
              <w:top w:val="nil"/>
              <w:left w:val="nil"/>
              <w:bottom w:val="nil"/>
              <w:right w:val="nil"/>
            </w:tcBorders>
          </w:tcPr>
          <w:p>
            <w:pPr>
              <w:pStyle w:val="TableParagraph"/>
              <w:ind w:right="202"/>
              <w:rPr>
                <w:sz w:val="20"/>
              </w:rPr>
            </w:pPr>
            <w:r>
              <w:rPr>
                <w:sz w:val="20"/>
              </w:rPr>
              <w:t>24.00</w:t>
            </w:r>
          </w:p>
        </w:tc>
        <w:tc>
          <w:tcPr>
            <w:tcW w:w="867" w:type="dxa"/>
            <w:tcBorders>
              <w:top w:val="nil"/>
              <w:left w:val="nil"/>
              <w:bottom w:val="nil"/>
              <w:right w:val="nil"/>
            </w:tcBorders>
          </w:tcPr>
          <w:p>
            <w:pPr>
              <w:pStyle w:val="TableParagraph"/>
              <w:ind w:left="204"/>
              <w:jc w:val="left"/>
              <w:rPr>
                <w:sz w:val="20"/>
              </w:rPr>
            </w:pPr>
            <w:r>
              <w:rPr>
                <w:sz w:val="20"/>
              </w:rPr>
              <w:t>40.00</w:t>
            </w:r>
          </w:p>
        </w:tc>
        <w:tc>
          <w:tcPr>
            <w:tcW w:w="869" w:type="dxa"/>
            <w:tcBorders>
              <w:top w:val="nil"/>
              <w:left w:val="nil"/>
              <w:bottom w:val="nil"/>
              <w:right w:val="nil"/>
            </w:tcBorders>
          </w:tcPr>
          <w:p>
            <w:pPr>
              <w:pStyle w:val="TableParagraph"/>
              <w:ind w:left="206"/>
              <w:jc w:val="left"/>
              <w:rPr>
                <w:sz w:val="20"/>
              </w:rPr>
            </w:pPr>
            <w:r>
              <w:rPr>
                <w:sz w:val="20"/>
              </w:rPr>
              <w:t>40.00</w:t>
            </w:r>
          </w:p>
        </w:tc>
        <w:tc>
          <w:tcPr>
            <w:tcW w:w="867" w:type="dxa"/>
            <w:tcBorders>
              <w:top w:val="nil"/>
              <w:left w:val="nil"/>
              <w:bottom w:val="nil"/>
              <w:right w:val="nil"/>
            </w:tcBorders>
          </w:tcPr>
          <w:p>
            <w:pPr>
              <w:pStyle w:val="TableParagraph"/>
              <w:ind w:left="206"/>
              <w:jc w:val="left"/>
              <w:rPr>
                <w:sz w:val="20"/>
              </w:rPr>
            </w:pPr>
            <w:r>
              <w:rPr>
                <w:sz w:val="20"/>
              </w:rPr>
              <w:t>37.47</w:t>
            </w:r>
          </w:p>
        </w:tc>
        <w:tc>
          <w:tcPr>
            <w:tcW w:w="867" w:type="dxa"/>
            <w:tcBorders>
              <w:top w:val="nil"/>
              <w:left w:val="nil"/>
              <w:bottom w:val="nil"/>
              <w:right w:val="nil"/>
            </w:tcBorders>
          </w:tcPr>
          <w:p>
            <w:pPr>
              <w:pStyle w:val="TableParagraph"/>
              <w:ind w:left="204"/>
              <w:jc w:val="left"/>
              <w:rPr>
                <w:sz w:val="20"/>
              </w:rPr>
            </w:pPr>
            <w:r>
              <w:rPr>
                <w:sz w:val="20"/>
              </w:rPr>
              <w:t>30.93</w:t>
            </w:r>
          </w:p>
        </w:tc>
        <w:tc>
          <w:tcPr>
            <w:tcW w:w="886" w:type="dxa"/>
            <w:tcBorders>
              <w:top w:val="nil"/>
              <w:left w:val="nil"/>
              <w:bottom w:val="nil"/>
              <w:right w:val="nil"/>
            </w:tcBorders>
          </w:tcPr>
          <w:p>
            <w:pPr>
              <w:pStyle w:val="TableParagraph"/>
              <w:ind w:left="206"/>
              <w:jc w:val="left"/>
              <w:rPr>
                <w:sz w:val="20"/>
              </w:rPr>
            </w:pPr>
            <w:r>
              <w:rPr>
                <w:sz w:val="20"/>
              </w:rPr>
              <w:t>32.00</w:t>
            </w:r>
          </w:p>
        </w:tc>
        <w:tc>
          <w:tcPr>
            <w:tcW w:w="867" w:type="dxa"/>
            <w:tcBorders>
              <w:top w:val="nil"/>
              <w:left w:val="nil"/>
              <w:bottom w:val="nil"/>
              <w:right w:val="nil"/>
            </w:tcBorders>
          </w:tcPr>
          <w:p>
            <w:pPr>
              <w:pStyle w:val="TableParagraph"/>
              <w:ind w:right="223"/>
              <w:rPr>
                <w:sz w:val="20"/>
              </w:rPr>
            </w:pPr>
            <w:r>
              <w:rPr>
                <w:sz w:val="20"/>
              </w:rPr>
              <w:t>0.00</w:t>
            </w:r>
          </w:p>
        </w:tc>
        <w:tc>
          <w:tcPr>
            <w:tcW w:w="843" w:type="dxa"/>
            <w:tcBorders>
              <w:top w:val="nil"/>
              <w:left w:val="nil"/>
              <w:bottom w:val="nil"/>
              <w:right w:val="nil"/>
            </w:tcBorders>
          </w:tcPr>
          <w:p>
            <w:pPr>
              <w:pStyle w:val="TableParagraph"/>
              <w:ind w:right="197"/>
              <w:rPr>
                <w:sz w:val="20"/>
              </w:rPr>
            </w:pPr>
            <w:r>
              <w:rPr>
                <w:sz w:val="20"/>
              </w:rPr>
              <w:t>0.00</w:t>
            </w:r>
          </w:p>
        </w:tc>
        <w:tc>
          <w:tcPr>
            <w:tcW w:w="733" w:type="dxa"/>
            <w:tcBorders>
              <w:top w:val="nil"/>
              <w:left w:val="nil"/>
              <w:bottom w:val="nil"/>
              <w:right w:val="nil"/>
            </w:tcBorders>
          </w:tcPr>
          <w:p>
            <w:pPr>
              <w:pStyle w:val="TableParagraph"/>
              <w:ind w:right="61"/>
              <w:rPr>
                <w:sz w:val="20"/>
              </w:rPr>
            </w:pPr>
            <w:r>
              <w:rPr>
                <w:sz w:val="20"/>
              </w:rPr>
              <w:t>0.00</w:t>
            </w:r>
          </w:p>
        </w:tc>
      </w:tr>
      <w:tr>
        <w:trPr>
          <w:trHeight w:val="298" w:hRule="exact"/>
        </w:trPr>
        <w:tc>
          <w:tcPr>
            <w:tcW w:w="1477" w:type="dxa"/>
            <w:tcBorders>
              <w:top w:val="nil"/>
              <w:left w:val="nil"/>
              <w:bottom w:val="nil"/>
              <w:right w:val="nil"/>
            </w:tcBorders>
          </w:tcPr>
          <w:p>
            <w:pPr>
              <w:pStyle w:val="TableParagraph"/>
              <w:ind w:left="86"/>
              <w:jc w:val="left"/>
              <w:rPr>
                <w:sz w:val="20"/>
              </w:rPr>
            </w:pPr>
            <w:r>
              <w:rPr>
                <w:sz w:val="20"/>
              </w:rPr>
              <w:t>TEJ_HlSF</w:t>
            </w:r>
          </w:p>
        </w:tc>
        <w:tc>
          <w:tcPr>
            <w:tcW w:w="871" w:type="dxa"/>
            <w:tcBorders>
              <w:top w:val="nil"/>
              <w:left w:val="nil"/>
              <w:bottom w:val="nil"/>
              <w:right w:val="nil"/>
            </w:tcBorders>
          </w:tcPr>
          <w:p>
            <w:pPr>
              <w:pStyle w:val="TableParagraph"/>
              <w:ind w:right="204"/>
              <w:rPr>
                <w:sz w:val="20"/>
              </w:rPr>
            </w:pPr>
            <w:r>
              <w:rPr>
                <w:sz w:val="20"/>
              </w:rPr>
              <w:t>24.00</w:t>
            </w:r>
          </w:p>
        </w:tc>
        <w:tc>
          <w:tcPr>
            <w:tcW w:w="867" w:type="dxa"/>
            <w:tcBorders>
              <w:top w:val="nil"/>
              <w:left w:val="nil"/>
              <w:bottom w:val="nil"/>
              <w:right w:val="nil"/>
            </w:tcBorders>
          </w:tcPr>
          <w:p>
            <w:pPr>
              <w:pStyle w:val="TableParagraph"/>
              <w:ind w:right="202"/>
              <w:rPr>
                <w:sz w:val="20"/>
              </w:rPr>
            </w:pPr>
            <w:r>
              <w:rPr>
                <w:sz w:val="20"/>
              </w:rPr>
              <w:t>24.00</w:t>
            </w:r>
          </w:p>
        </w:tc>
        <w:tc>
          <w:tcPr>
            <w:tcW w:w="867" w:type="dxa"/>
            <w:tcBorders>
              <w:top w:val="nil"/>
              <w:left w:val="nil"/>
              <w:bottom w:val="nil"/>
              <w:right w:val="nil"/>
            </w:tcBorders>
          </w:tcPr>
          <w:p>
            <w:pPr>
              <w:pStyle w:val="TableParagraph"/>
              <w:ind w:left="204"/>
              <w:jc w:val="left"/>
              <w:rPr>
                <w:sz w:val="20"/>
              </w:rPr>
            </w:pPr>
            <w:r>
              <w:rPr>
                <w:sz w:val="20"/>
              </w:rPr>
              <w:t>24.00</w:t>
            </w:r>
          </w:p>
        </w:tc>
        <w:tc>
          <w:tcPr>
            <w:tcW w:w="869" w:type="dxa"/>
            <w:tcBorders>
              <w:top w:val="nil"/>
              <w:left w:val="nil"/>
              <w:bottom w:val="nil"/>
              <w:right w:val="nil"/>
            </w:tcBorders>
          </w:tcPr>
          <w:p>
            <w:pPr>
              <w:pStyle w:val="TableParagraph"/>
              <w:ind w:left="206"/>
              <w:jc w:val="left"/>
              <w:rPr>
                <w:sz w:val="20"/>
              </w:rPr>
            </w:pPr>
            <w:r>
              <w:rPr>
                <w:sz w:val="20"/>
              </w:rPr>
              <w:t>32.00</w:t>
            </w:r>
          </w:p>
        </w:tc>
        <w:tc>
          <w:tcPr>
            <w:tcW w:w="867" w:type="dxa"/>
            <w:tcBorders>
              <w:top w:val="nil"/>
              <w:left w:val="nil"/>
              <w:bottom w:val="nil"/>
              <w:right w:val="nil"/>
            </w:tcBorders>
          </w:tcPr>
          <w:p>
            <w:pPr>
              <w:pStyle w:val="TableParagraph"/>
              <w:ind w:left="206"/>
              <w:jc w:val="left"/>
              <w:rPr>
                <w:sz w:val="20"/>
              </w:rPr>
            </w:pPr>
            <w:r>
              <w:rPr>
                <w:sz w:val="20"/>
              </w:rPr>
              <w:t>32.00</w:t>
            </w:r>
          </w:p>
        </w:tc>
        <w:tc>
          <w:tcPr>
            <w:tcW w:w="867" w:type="dxa"/>
            <w:tcBorders>
              <w:top w:val="nil"/>
              <w:left w:val="nil"/>
              <w:bottom w:val="nil"/>
              <w:right w:val="nil"/>
            </w:tcBorders>
          </w:tcPr>
          <w:p>
            <w:pPr>
              <w:pStyle w:val="TableParagraph"/>
              <w:ind w:left="204"/>
              <w:jc w:val="left"/>
              <w:rPr>
                <w:sz w:val="20"/>
              </w:rPr>
            </w:pPr>
            <w:r>
              <w:rPr>
                <w:sz w:val="20"/>
              </w:rPr>
              <w:t>32.00</w:t>
            </w:r>
          </w:p>
        </w:tc>
        <w:tc>
          <w:tcPr>
            <w:tcW w:w="886" w:type="dxa"/>
            <w:tcBorders>
              <w:top w:val="nil"/>
              <w:left w:val="nil"/>
              <w:bottom w:val="nil"/>
              <w:right w:val="nil"/>
            </w:tcBorders>
          </w:tcPr>
          <w:p>
            <w:pPr>
              <w:pStyle w:val="TableParagraph"/>
              <w:ind w:left="206"/>
              <w:jc w:val="left"/>
              <w:rPr>
                <w:sz w:val="20"/>
              </w:rPr>
            </w:pPr>
            <w:r>
              <w:rPr>
                <w:sz w:val="20"/>
              </w:rPr>
              <w:t>32.00</w:t>
            </w:r>
          </w:p>
        </w:tc>
        <w:tc>
          <w:tcPr>
            <w:tcW w:w="867" w:type="dxa"/>
            <w:tcBorders>
              <w:top w:val="nil"/>
              <w:left w:val="nil"/>
              <w:bottom w:val="nil"/>
              <w:right w:val="nil"/>
            </w:tcBorders>
          </w:tcPr>
          <w:p>
            <w:pPr>
              <w:pStyle w:val="TableParagraph"/>
              <w:ind w:right="223"/>
              <w:rPr>
                <w:sz w:val="20"/>
              </w:rPr>
            </w:pPr>
            <w:r>
              <w:rPr>
                <w:sz w:val="20"/>
              </w:rPr>
              <w:t>0.00</w:t>
            </w:r>
          </w:p>
        </w:tc>
        <w:tc>
          <w:tcPr>
            <w:tcW w:w="843" w:type="dxa"/>
            <w:tcBorders>
              <w:top w:val="nil"/>
              <w:left w:val="nil"/>
              <w:bottom w:val="nil"/>
              <w:right w:val="nil"/>
            </w:tcBorders>
          </w:tcPr>
          <w:p>
            <w:pPr>
              <w:pStyle w:val="TableParagraph"/>
              <w:ind w:right="197"/>
              <w:rPr>
                <w:sz w:val="20"/>
              </w:rPr>
            </w:pPr>
            <w:r>
              <w:rPr>
                <w:sz w:val="20"/>
              </w:rPr>
              <w:t>0.00</w:t>
            </w:r>
          </w:p>
        </w:tc>
        <w:tc>
          <w:tcPr>
            <w:tcW w:w="733" w:type="dxa"/>
            <w:tcBorders>
              <w:top w:val="nil"/>
              <w:left w:val="nil"/>
              <w:bottom w:val="nil"/>
              <w:right w:val="nil"/>
            </w:tcBorders>
          </w:tcPr>
          <w:p>
            <w:pPr>
              <w:pStyle w:val="TableParagraph"/>
              <w:ind w:right="61"/>
              <w:rPr>
                <w:sz w:val="20"/>
              </w:rPr>
            </w:pPr>
            <w:r>
              <w:rPr>
                <w:sz w:val="20"/>
              </w:rPr>
              <w:t>0.00</w:t>
            </w:r>
          </w:p>
        </w:tc>
      </w:tr>
      <w:tr>
        <w:trPr>
          <w:trHeight w:val="300" w:hRule="exact"/>
        </w:trPr>
        <w:tc>
          <w:tcPr>
            <w:tcW w:w="1477" w:type="dxa"/>
            <w:tcBorders>
              <w:top w:val="nil"/>
              <w:left w:val="nil"/>
              <w:bottom w:val="nil"/>
              <w:right w:val="nil"/>
            </w:tcBorders>
          </w:tcPr>
          <w:p>
            <w:pPr>
              <w:pStyle w:val="TableParagraph"/>
              <w:ind w:left="86"/>
              <w:jc w:val="left"/>
              <w:rPr>
                <w:sz w:val="20"/>
              </w:rPr>
            </w:pPr>
            <w:r>
              <w:rPr>
                <w:sz w:val="20"/>
              </w:rPr>
              <w:t>TEJ_ISF</w:t>
            </w:r>
          </w:p>
        </w:tc>
        <w:tc>
          <w:tcPr>
            <w:tcW w:w="871" w:type="dxa"/>
            <w:tcBorders>
              <w:top w:val="nil"/>
              <w:left w:val="nil"/>
              <w:bottom w:val="nil"/>
              <w:right w:val="nil"/>
            </w:tcBorders>
          </w:tcPr>
          <w:p>
            <w:pPr>
              <w:pStyle w:val="TableParagraph"/>
              <w:ind w:right="204"/>
              <w:rPr>
                <w:sz w:val="20"/>
              </w:rPr>
            </w:pPr>
            <w:r>
              <w:rPr>
                <w:sz w:val="20"/>
              </w:rPr>
              <w:t>28.85</w:t>
            </w:r>
          </w:p>
        </w:tc>
        <w:tc>
          <w:tcPr>
            <w:tcW w:w="867" w:type="dxa"/>
            <w:tcBorders>
              <w:top w:val="nil"/>
              <w:left w:val="nil"/>
              <w:bottom w:val="nil"/>
              <w:right w:val="nil"/>
            </w:tcBorders>
          </w:tcPr>
          <w:p>
            <w:pPr>
              <w:pStyle w:val="TableParagraph"/>
              <w:ind w:right="202"/>
              <w:rPr>
                <w:sz w:val="20"/>
              </w:rPr>
            </w:pPr>
            <w:r>
              <w:rPr>
                <w:sz w:val="20"/>
              </w:rPr>
              <w:t>29.75</w:t>
            </w:r>
          </w:p>
        </w:tc>
        <w:tc>
          <w:tcPr>
            <w:tcW w:w="867" w:type="dxa"/>
            <w:tcBorders>
              <w:top w:val="nil"/>
              <w:left w:val="nil"/>
              <w:bottom w:val="nil"/>
              <w:right w:val="nil"/>
            </w:tcBorders>
          </w:tcPr>
          <w:p>
            <w:pPr>
              <w:pStyle w:val="TableParagraph"/>
              <w:ind w:left="204"/>
              <w:jc w:val="left"/>
              <w:rPr>
                <w:sz w:val="20"/>
              </w:rPr>
            </w:pPr>
            <w:r>
              <w:rPr>
                <w:sz w:val="20"/>
              </w:rPr>
              <w:t>31.90</w:t>
            </w:r>
          </w:p>
        </w:tc>
        <w:tc>
          <w:tcPr>
            <w:tcW w:w="869" w:type="dxa"/>
            <w:tcBorders>
              <w:top w:val="nil"/>
              <w:left w:val="nil"/>
              <w:bottom w:val="nil"/>
              <w:right w:val="nil"/>
            </w:tcBorders>
          </w:tcPr>
          <w:p>
            <w:pPr>
              <w:pStyle w:val="TableParagraph"/>
              <w:ind w:left="206"/>
              <w:jc w:val="left"/>
              <w:rPr>
                <w:sz w:val="20"/>
              </w:rPr>
            </w:pPr>
            <w:r>
              <w:rPr>
                <w:sz w:val="20"/>
              </w:rPr>
              <w:t>36.20</w:t>
            </w:r>
          </w:p>
        </w:tc>
        <w:tc>
          <w:tcPr>
            <w:tcW w:w="867" w:type="dxa"/>
            <w:tcBorders>
              <w:top w:val="nil"/>
              <w:left w:val="nil"/>
              <w:bottom w:val="nil"/>
              <w:right w:val="nil"/>
            </w:tcBorders>
          </w:tcPr>
          <w:p>
            <w:pPr>
              <w:pStyle w:val="TableParagraph"/>
              <w:ind w:left="206"/>
              <w:jc w:val="left"/>
              <w:rPr>
                <w:sz w:val="20"/>
              </w:rPr>
            </w:pPr>
            <w:r>
              <w:rPr>
                <w:sz w:val="20"/>
              </w:rPr>
              <w:t>36.55</w:t>
            </w:r>
          </w:p>
        </w:tc>
        <w:tc>
          <w:tcPr>
            <w:tcW w:w="867" w:type="dxa"/>
            <w:tcBorders>
              <w:top w:val="nil"/>
              <w:left w:val="nil"/>
              <w:bottom w:val="nil"/>
              <w:right w:val="nil"/>
            </w:tcBorders>
          </w:tcPr>
          <w:p>
            <w:pPr>
              <w:pStyle w:val="TableParagraph"/>
              <w:ind w:left="204"/>
              <w:jc w:val="left"/>
              <w:rPr>
                <w:sz w:val="20"/>
              </w:rPr>
            </w:pPr>
            <w:r>
              <w:rPr>
                <w:sz w:val="20"/>
              </w:rPr>
              <w:t>34.40</w:t>
            </w:r>
          </w:p>
        </w:tc>
        <w:tc>
          <w:tcPr>
            <w:tcW w:w="886" w:type="dxa"/>
            <w:tcBorders>
              <w:top w:val="nil"/>
              <w:left w:val="nil"/>
              <w:bottom w:val="nil"/>
              <w:right w:val="nil"/>
            </w:tcBorders>
          </w:tcPr>
          <w:p>
            <w:pPr>
              <w:pStyle w:val="TableParagraph"/>
              <w:ind w:left="206"/>
              <w:jc w:val="left"/>
              <w:rPr>
                <w:sz w:val="20"/>
              </w:rPr>
            </w:pPr>
            <w:r>
              <w:rPr>
                <w:sz w:val="20"/>
              </w:rPr>
              <w:t>36.00</w:t>
            </w:r>
          </w:p>
        </w:tc>
        <w:tc>
          <w:tcPr>
            <w:tcW w:w="867" w:type="dxa"/>
            <w:tcBorders>
              <w:top w:val="nil"/>
              <w:left w:val="nil"/>
              <w:bottom w:val="nil"/>
              <w:right w:val="nil"/>
            </w:tcBorders>
          </w:tcPr>
          <w:p>
            <w:pPr>
              <w:pStyle w:val="TableParagraph"/>
              <w:ind w:right="223"/>
              <w:rPr>
                <w:sz w:val="20"/>
              </w:rPr>
            </w:pPr>
            <w:r>
              <w:rPr>
                <w:sz w:val="20"/>
              </w:rPr>
              <w:t>0.00</w:t>
            </w:r>
          </w:p>
        </w:tc>
        <w:tc>
          <w:tcPr>
            <w:tcW w:w="843" w:type="dxa"/>
            <w:tcBorders>
              <w:top w:val="nil"/>
              <w:left w:val="nil"/>
              <w:bottom w:val="nil"/>
              <w:right w:val="nil"/>
            </w:tcBorders>
          </w:tcPr>
          <w:p>
            <w:pPr>
              <w:pStyle w:val="TableParagraph"/>
              <w:ind w:right="197"/>
              <w:rPr>
                <w:sz w:val="20"/>
              </w:rPr>
            </w:pPr>
            <w:r>
              <w:rPr>
                <w:sz w:val="20"/>
              </w:rPr>
              <w:t>0.00</w:t>
            </w:r>
          </w:p>
        </w:tc>
        <w:tc>
          <w:tcPr>
            <w:tcW w:w="733" w:type="dxa"/>
            <w:tcBorders>
              <w:top w:val="nil"/>
              <w:left w:val="nil"/>
              <w:bottom w:val="nil"/>
              <w:right w:val="nil"/>
            </w:tcBorders>
          </w:tcPr>
          <w:p>
            <w:pPr>
              <w:pStyle w:val="TableParagraph"/>
              <w:ind w:right="61"/>
              <w:rPr>
                <w:sz w:val="20"/>
              </w:rPr>
            </w:pPr>
            <w:r>
              <w:rPr>
                <w:sz w:val="20"/>
              </w:rPr>
              <w:t>0.00</w:t>
            </w:r>
          </w:p>
        </w:tc>
      </w:tr>
      <w:tr>
        <w:trPr>
          <w:trHeight w:val="300" w:hRule="exact"/>
        </w:trPr>
        <w:tc>
          <w:tcPr>
            <w:tcW w:w="1477" w:type="dxa"/>
            <w:tcBorders>
              <w:top w:val="nil"/>
              <w:left w:val="nil"/>
              <w:bottom w:val="nil"/>
              <w:right w:val="nil"/>
            </w:tcBorders>
          </w:tcPr>
          <w:p>
            <w:pPr>
              <w:pStyle w:val="TableParagraph"/>
              <w:spacing w:before="26"/>
              <w:ind w:left="86"/>
              <w:jc w:val="left"/>
              <w:rPr>
                <w:sz w:val="20"/>
              </w:rPr>
            </w:pPr>
            <w:r>
              <w:rPr>
                <w:sz w:val="20"/>
              </w:rPr>
              <w:t>TEJ_LcFdp</w:t>
            </w:r>
          </w:p>
        </w:tc>
        <w:tc>
          <w:tcPr>
            <w:tcW w:w="871" w:type="dxa"/>
            <w:tcBorders>
              <w:top w:val="nil"/>
              <w:left w:val="nil"/>
              <w:bottom w:val="nil"/>
              <w:right w:val="nil"/>
            </w:tcBorders>
          </w:tcPr>
          <w:p>
            <w:pPr>
              <w:pStyle w:val="TableParagraph"/>
              <w:spacing w:before="26"/>
              <w:ind w:right="204"/>
              <w:rPr>
                <w:sz w:val="20"/>
              </w:rPr>
            </w:pPr>
            <w:r>
              <w:rPr>
                <w:sz w:val="20"/>
              </w:rPr>
              <w:t>29.60</w:t>
            </w:r>
          </w:p>
        </w:tc>
        <w:tc>
          <w:tcPr>
            <w:tcW w:w="867" w:type="dxa"/>
            <w:tcBorders>
              <w:top w:val="nil"/>
              <w:left w:val="nil"/>
              <w:bottom w:val="nil"/>
              <w:right w:val="nil"/>
            </w:tcBorders>
          </w:tcPr>
          <w:p>
            <w:pPr>
              <w:pStyle w:val="TableParagraph"/>
              <w:spacing w:before="26"/>
              <w:ind w:right="202"/>
              <w:rPr>
                <w:sz w:val="20"/>
              </w:rPr>
            </w:pPr>
            <w:r>
              <w:rPr>
                <w:sz w:val="20"/>
              </w:rPr>
              <w:t>46.40</w:t>
            </w:r>
          </w:p>
        </w:tc>
        <w:tc>
          <w:tcPr>
            <w:tcW w:w="867" w:type="dxa"/>
            <w:tcBorders>
              <w:top w:val="nil"/>
              <w:left w:val="nil"/>
              <w:bottom w:val="nil"/>
              <w:right w:val="nil"/>
            </w:tcBorders>
          </w:tcPr>
          <w:p>
            <w:pPr>
              <w:pStyle w:val="TableParagraph"/>
              <w:spacing w:before="26"/>
              <w:ind w:left="204"/>
              <w:jc w:val="left"/>
              <w:rPr>
                <w:sz w:val="20"/>
              </w:rPr>
            </w:pPr>
            <w:r>
              <w:rPr>
                <w:sz w:val="20"/>
              </w:rPr>
              <w:t>46.40</w:t>
            </w:r>
          </w:p>
        </w:tc>
        <w:tc>
          <w:tcPr>
            <w:tcW w:w="869" w:type="dxa"/>
            <w:tcBorders>
              <w:top w:val="nil"/>
              <w:left w:val="nil"/>
              <w:bottom w:val="nil"/>
              <w:right w:val="nil"/>
            </w:tcBorders>
          </w:tcPr>
          <w:p>
            <w:pPr>
              <w:pStyle w:val="TableParagraph"/>
              <w:spacing w:before="26"/>
              <w:ind w:left="206"/>
              <w:jc w:val="left"/>
              <w:rPr>
                <w:sz w:val="20"/>
              </w:rPr>
            </w:pPr>
            <w:r>
              <w:rPr>
                <w:sz w:val="20"/>
              </w:rPr>
              <w:t>46.40</w:t>
            </w:r>
          </w:p>
        </w:tc>
        <w:tc>
          <w:tcPr>
            <w:tcW w:w="867" w:type="dxa"/>
            <w:tcBorders>
              <w:top w:val="nil"/>
              <w:left w:val="nil"/>
              <w:bottom w:val="nil"/>
              <w:right w:val="nil"/>
            </w:tcBorders>
          </w:tcPr>
          <w:p>
            <w:pPr>
              <w:pStyle w:val="TableParagraph"/>
              <w:spacing w:before="26"/>
              <w:ind w:left="206"/>
              <w:jc w:val="left"/>
              <w:rPr>
                <w:sz w:val="20"/>
              </w:rPr>
            </w:pPr>
            <w:r>
              <w:rPr>
                <w:sz w:val="20"/>
              </w:rPr>
              <w:t>46.40</w:t>
            </w:r>
          </w:p>
        </w:tc>
        <w:tc>
          <w:tcPr>
            <w:tcW w:w="867" w:type="dxa"/>
            <w:tcBorders>
              <w:top w:val="nil"/>
              <w:left w:val="nil"/>
              <w:bottom w:val="nil"/>
              <w:right w:val="nil"/>
            </w:tcBorders>
          </w:tcPr>
          <w:p>
            <w:pPr>
              <w:pStyle w:val="TableParagraph"/>
              <w:spacing w:before="26"/>
              <w:ind w:left="204"/>
              <w:jc w:val="left"/>
              <w:rPr>
                <w:sz w:val="20"/>
              </w:rPr>
            </w:pPr>
            <w:r>
              <w:rPr>
                <w:sz w:val="20"/>
              </w:rPr>
              <w:t>50.80</w:t>
            </w:r>
          </w:p>
        </w:tc>
        <w:tc>
          <w:tcPr>
            <w:tcW w:w="886" w:type="dxa"/>
            <w:tcBorders>
              <w:top w:val="nil"/>
              <w:left w:val="nil"/>
              <w:bottom w:val="nil"/>
              <w:right w:val="nil"/>
            </w:tcBorders>
          </w:tcPr>
          <w:p>
            <w:pPr>
              <w:pStyle w:val="TableParagraph"/>
              <w:spacing w:before="26"/>
              <w:ind w:left="206"/>
              <w:jc w:val="left"/>
              <w:rPr>
                <w:sz w:val="20"/>
              </w:rPr>
            </w:pPr>
            <w:r>
              <w:rPr>
                <w:sz w:val="20"/>
              </w:rPr>
              <w:t>53.00</w:t>
            </w:r>
          </w:p>
        </w:tc>
        <w:tc>
          <w:tcPr>
            <w:tcW w:w="867" w:type="dxa"/>
            <w:tcBorders>
              <w:top w:val="nil"/>
              <w:left w:val="nil"/>
              <w:bottom w:val="nil"/>
              <w:right w:val="nil"/>
            </w:tcBorders>
          </w:tcPr>
          <w:p>
            <w:pPr>
              <w:pStyle w:val="TableParagraph"/>
              <w:spacing w:before="26"/>
              <w:ind w:right="223"/>
              <w:rPr>
                <w:sz w:val="20"/>
              </w:rPr>
            </w:pPr>
            <w:r>
              <w:rPr>
                <w:sz w:val="20"/>
              </w:rPr>
              <w:t>0.00</w:t>
            </w:r>
          </w:p>
        </w:tc>
        <w:tc>
          <w:tcPr>
            <w:tcW w:w="843" w:type="dxa"/>
            <w:tcBorders>
              <w:top w:val="nil"/>
              <w:left w:val="nil"/>
              <w:bottom w:val="nil"/>
              <w:right w:val="nil"/>
            </w:tcBorders>
          </w:tcPr>
          <w:p>
            <w:pPr>
              <w:pStyle w:val="TableParagraph"/>
              <w:spacing w:before="26"/>
              <w:ind w:right="197"/>
              <w:rPr>
                <w:sz w:val="20"/>
              </w:rPr>
            </w:pPr>
            <w:r>
              <w:rPr>
                <w:sz w:val="20"/>
              </w:rPr>
              <w:t>0.00</w:t>
            </w:r>
          </w:p>
        </w:tc>
        <w:tc>
          <w:tcPr>
            <w:tcW w:w="733" w:type="dxa"/>
            <w:tcBorders>
              <w:top w:val="nil"/>
              <w:left w:val="nil"/>
              <w:bottom w:val="nil"/>
              <w:right w:val="nil"/>
            </w:tcBorders>
          </w:tcPr>
          <w:p>
            <w:pPr>
              <w:pStyle w:val="TableParagraph"/>
              <w:spacing w:before="26"/>
              <w:ind w:right="61"/>
              <w:rPr>
                <w:sz w:val="20"/>
              </w:rPr>
            </w:pPr>
            <w:r>
              <w:rPr>
                <w:sz w:val="20"/>
              </w:rPr>
              <w:t>0.00</w:t>
            </w:r>
          </w:p>
        </w:tc>
      </w:tr>
      <w:tr>
        <w:trPr>
          <w:trHeight w:val="298" w:hRule="exact"/>
        </w:trPr>
        <w:tc>
          <w:tcPr>
            <w:tcW w:w="1477" w:type="dxa"/>
            <w:tcBorders>
              <w:top w:val="nil"/>
              <w:left w:val="nil"/>
              <w:bottom w:val="nil"/>
              <w:right w:val="nil"/>
            </w:tcBorders>
          </w:tcPr>
          <w:p>
            <w:pPr>
              <w:pStyle w:val="TableParagraph"/>
              <w:ind w:left="86"/>
              <w:jc w:val="left"/>
              <w:rPr>
                <w:sz w:val="20"/>
              </w:rPr>
            </w:pPr>
            <w:r>
              <w:rPr>
                <w:sz w:val="20"/>
              </w:rPr>
              <w:t>TEJ_LcFl</w:t>
            </w:r>
          </w:p>
        </w:tc>
        <w:tc>
          <w:tcPr>
            <w:tcW w:w="871" w:type="dxa"/>
            <w:tcBorders>
              <w:top w:val="nil"/>
              <w:left w:val="nil"/>
              <w:bottom w:val="nil"/>
              <w:right w:val="nil"/>
            </w:tcBorders>
          </w:tcPr>
          <w:p>
            <w:pPr>
              <w:pStyle w:val="TableParagraph"/>
              <w:ind w:right="204"/>
              <w:rPr>
                <w:sz w:val="20"/>
              </w:rPr>
            </w:pPr>
            <w:r>
              <w:rPr>
                <w:sz w:val="20"/>
              </w:rPr>
              <w:t>48.00</w:t>
            </w:r>
          </w:p>
        </w:tc>
        <w:tc>
          <w:tcPr>
            <w:tcW w:w="867" w:type="dxa"/>
            <w:tcBorders>
              <w:top w:val="nil"/>
              <w:left w:val="nil"/>
              <w:bottom w:val="nil"/>
              <w:right w:val="nil"/>
            </w:tcBorders>
          </w:tcPr>
          <w:p>
            <w:pPr>
              <w:pStyle w:val="TableParagraph"/>
              <w:ind w:right="202"/>
              <w:rPr>
                <w:sz w:val="20"/>
              </w:rPr>
            </w:pPr>
            <w:r>
              <w:rPr>
                <w:sz w:val="20"/>
              </w:rPr>
              <w:t>49.67</w:t>
            </w:r>
          </w:p>
        </w:tc>
        <w:tc>
          <w:tcPr>
            <w:tcW w:w="867" w:type="dxa"/>
            <w:tcBorders>
              <w:top w:val="nil"/>
              <w:left w:val="nil"/>
              <w:bottom w:val="nil"/>
              <w:right w:val="nil"/>
            </w:tcBorders>
          </w:tcPr>
          <w:p>
            <w:pPr>
              <w:pStyle w:val="TableParagraph"/>
              <w:ind w:left="204"/>
              <w:jc w:val="left"/>
              <w:rPr>
                <w:sz w:val="20"/>
              </w:rPr>
            </w:pPr>
            <w:r>
              <w:rPr>
                <w:sz w:val="20"/>
              </w:rPr>
              <w:t>50.00</w:t>
            </w:r>
          </w:p>
        </w:tc>
        <w:tc>
          <w:tcPr>
            <w:tcW w:w="869" w:type="dxa"/>
            <w:tcBorders>
              <w:top w:val="nil"/>
              <w:left w:val="nil"/>
              <w:bottom w:val="nil"/>
              <w:right w:val="nil"/>
            </w:tcBorders>
          </w:tcPr>
          <w:p>
            <w:pPr>
              <w:pStyle w:val="TableParagraph"/>
              <w:ind w:left="206"/>
              <w:jc w:val="left"/>
              <w:rPr>
                <w:sz w:val="20"/>
              </w:rPr>
            </w:pPr>
            <w:r>
              <w:rPr>
                <w:sz w:val="20"/>
              </w:rPr>
              <w:t>52.00</w:t>
            </w:r>
          </w:p>
        </w:tc>
        <w:tc>
          <w:tcPr>
            <w:tcW w:w="867" w:type="dxa"/>
            <w:tcBorders>
              <w:top w:val="nil"/>
              <w:left w:val="nil"/>
              <w:bottom w:val="nil"/>
              <w:right w:val="nil"/>
            </w:tcBorders>
          </w:tcPr>
          <w:p>
            <w:pPr>
              <w:pStyle w:val="TableParagraph"/>
              <w:ind w:left="206"/>
              <w:jc w:val="left"/>
              <w:rPr>
                <w:sz w:val="20"/>
              </w:rPr>
            </w:pPr>
            <w:r>
              <w:rPr>
                <w:sz w:val="20"/>
              </w:rPr>
              <w:t>52.00</w:t>
            </w:r>
          </w:p>
        </w:tc>
        <w:tc>
          <w:tcPr>
            <w:tcW w:w="867" w:type="dxa"/>
            <w:tcBorders>
              <w:top w:val="nil"/>
              <w:left w:val="nil"/>
              <w:bottom w:val="nil"/>
              <w:right w:val="nil"/>
            </w:tcBorders>
          </w:tcPr>
          <w:p>
            <w:pPr>
              <w:pStyle w:val="TableParagraph"/>
              <w:ind w:left="204"/>
              <w:jc w:val="left"/>
              <w:rPr>
                <w:sz w:val="20"/>
              </w:rPr>
            </w:pPr>
            <w:r>
              <w:rPr>
                <w:sz w:val="20"/>
              </w:rPr>
              <w:t>33.10</w:t>
            </w:r>
          </w:p>
        </w:tc>
        <w:tc>
          <w:tcPr>
            <w:tcW w:w="886" w:type="dxa"/>
            <w:tcBorders>
              <w:top w:val="nil"/>
              <w:left w:val="nil"/>
              <w:bottom w:val="nil"/>
              <w:right w:val="nil"/>
            </w:tcBorders>
          </w:tcPr>
          <w:p>
            <w:pPr>
              <w:pStyle w:val="TableParagraph"/>
              <w:ind w:left="206"/>
              <w:jc w:val="left"/>
              <w:rPr>
                <w:sz w:val="20"/>
              </w:rPr>
            </w:pPr>
            <w:r>
              <w:rPr>
                <w:sz w:val="20"/>
              </w:rPr>
              <w:t>34.57</w:t>
            </w:r>
          </w:p>
        </w:tc>
        <w:tc>
          <w:tcPr>
            <w:tcW w:w="867" w:type="dxa"/>
            <w:tcBorders>
              <w:top w:val="nil"/>
              <w:left w:val="nil"/>
              <w:bottom w:val="nil"/>
              <w:right w:val="nil"/>
            </w:tcBorders>
          </w:tcPr>
          <w:p>
            <w:pPr>
              <w:pStyle w:val="TableParagraph"/>
              <w:ind w:right="223"/>
              <w:rPr>
                <w:sz w:val="20"/>
              </w:rPr>
            </w:pPr>
            <w:r>
              <w:rPr>
                <w:sz w:val="20"/>
              </w:rPr>
              <w:t>0.00</w:t>
            </w:r>
          </w:p>
        </w:tc>
        <w:tc>
          <w:tcPr>
            <w:tcW w:w="843" w:type="dxa"/>
            <w:tcBorders>
              <w:top w:val="nil"/>
              <w:left w:val="nil"/>
              <w:bottom w:val="nil"/>
              <w:right w:val="nil"/>
            </w:tcBorders>
          </w:tcPr>
          <w:p>
            <w:pPr>
              <w:pStyle w:val="TableParagraph"/>
              <w:ind w:right="197"/>
              <w:rPr>
                <w:sz w:val="20"/>
              </w:rPr>
            </w:pPr>
            <w:r>
              <w:rPr>
                <w:sz w:val="20"/>
              </w:rPr>
              <w:t>0.00</w:t>
            </w:r>
          </w:p>
        </w:tc>
        <w:tc>
          <w:tcPr>
            <w:tcW w:w="733" w:type="dxa"/>
            <w:tcBorders>
              <w:top w:val="nil"/>
              <w:left w:val="nil"/>
              <w:bottom w:val="nil"/>
              <w:right w:val="nil"/>
            </w:tcBorders>
          </w:tcPr>
          <w:p>
            <w:pPr>
              <w:pStyle w:val="TableParagraph"/>
              <w:ind w:right="61"/>
              <w:rPr>
                <w:sz w:val="20"/>
              </w:rPr>
            </w:pPr>
            <w:r>
              <w:rPr>
                <w:sz w:val="20"/>
              </w:rPr>
              <w:t>0.00</w:t>
            </w:r>
          </w:p>
        </w:tc>
      </w:tr>
      <w:tr>
        <w:trPr>
          <w:trHeight w:val="298" w:hRule="exact"/>
        </w:trPr>
        <w:tc>
          <w:tcPr>
            <w:tcW w:w="1477" w:type="dxa"/>
            <w:tcBorders>
              <w:top w:val="nil"/>
              <w:left w:val="nil"/>
              <w:bottom w:val="nil"/>
              <w:right w:val="nil"/>
            </w:tcBorders>
          </w:tcPr>
          <w:p>
            <w:pPr>
              <w:pStyle w:val="TableParagraph"/>
              <w:ind w:left="86"/>
              <w:jc w:val="left"/>
              <w:rPr>
                <w:sz w:val="20"/>
              </w:rPr>
            </w:pPr>
            <w:r>
              <w:rPr>
                <w:sz w:val="20"/>
              </w:rPr>
              <w:t>TEJ_LcFlp</w:t>
            </w:r>
          </w:p>
        </w:tc>
        <w:tc>
          <w:tcPr>
            <w:tcW w:w="871" w:type="dxa"/>
            <w:tcBorders>
              <w:top w:val="nil"/>
              <w:left w:val="nil"/>
              <w:bottom w:val="nil"/>
              <w:right w:val="nil"/>
            </w:tcBorders>
          </w:tcPr>
          <w:p>
            <w:pPr>
              <w:pStyle w:val="TableParagraph"/>
              <w:ind w:right="204"/>
              <w:rPr>
                <w:sz w:val="20"/>
              </w:rPr>
            </w:pPr>
            <w:r>
              <w:rPr>
                <w:sz w:val="20"/>
              </w:rPr>
              <w:t>33.00</w:t>
            </w:r>
          </w:p>
        </w:tc>
        <w:tc>
          <w:tcPr>
            <w:tcW w:w="867" w:type="dxa"/>
            <w:tcBorders>
              <w:top w:val="nil"/>
              <w:left w:val="nil"/>
              <w:bottom w:val="nil"/>
              <w:right w:val="nil"/>
            </w:tcBorders>
          </w:tcPr>
          <w:p>
            <w:pPr>
              <w:pStyle w:val="TableParagraph"/>
              <w:ind w:right="202"/>
              <w:rPr>
                <w:sz w:val="20"/>
              </w:rPr>
            </w:pPr>
            <w:r>
              <w:rPr>
                <w:sz w:val="20"/>
              </w:rPr>
              <w:t>35.13</w:t>
            </w:r>
          </w:p>
        </w:tc>
        <w:tc>
          <w:tcPr>
            <w:tcW w:w="867" w:type="dxa"/>
            <w:tcBorders>
              <w:top w:val="nil"/>
              <w:left w:val="nil"/>
              <w:bottom w:val="nil"/>
              <w:right w:val="nil"/>
            </w:tcBorders>
          </w:tcPr>
          <w:p>
            <w:pPr>
              <w:pStyle w:val="TableParagraph"/>
              <w:ind w:left="204"/>
              <w:jc w:val="left"/>
              <w:rPr>
                <w:sz w:val="20"/>
              </w:rPr>
            </w:pPr>
            <w:r>
              <w:rPr>
                <w:sz w:val="20"/>
              </w:rPr>
              <w:t>35.13</w:t>
            </w:r>
          </w:p>
        </w:tc>
        <w:tc>
          <w:tcPr>
            <w:tcW w:w="869" w:type="dxa"/>
            <w:tcBorders>
              <w:top w:val="nil"/>
              <w:left w:val="nil"/>
              <w:bottom w:val="nil"/>
              <w:right w:val="nil"/>
            </w:tcBorders>
          </w:tcPr>
          <w:p>
            <w:pPr>
              <w:pStyle w:val="TableParagraph"/>
              <w:ind w:left="206"/>
              <w:jc w:val="left"/>
              <w:rPr>
                <w:sz w:val="20"/>
              </w:rPr>
            </w:pPr>
            <w:r>
              <w:rPr>
                <w:sz w:val="20"/>
              </w:rPr>
              <w:t>50.38</w:t>
            </w:r>
          </w:p>
        </w:tc>
        <w:tc>
          <w:tcPr>
            <w:tcW w:w="867" w:type="dxa"/>
            <w:tcBorders>
              <w:top w:val="nil"/>
              <w:left w:val="nil"/>
              <w:bottom w:val="nil"/>
              <w:right w:val="nil"/>
            </w:tcBorders>
          </w:tcPr>
          <w:p>
            <w:pPr>
              <w:pStyle w:val="TableParagraph"/>
              <w:ind w:left="206"/>
              <w:jc w:val="left"/>
              <w:rPr>
                <w:sz w:val="20"/>
              </w:rPr>
            </w:pPr>
            <w:r>
              <w:rPr>
                <w:sz w:val="20"/>
              </w:rPr>
              <w:t>51.88</w:t>
            </w:r>
          </w:p>
        </w:tc>
        <w:tc>
          <w:tcPr>
            <w:tcW w:w="867" w:type="dxa"/>
            <w:tcBorders>
              <w:top w:val="nil"/>
              <w:left w:val="nil"/>
              <w:bottom w:val="nil"/>
              <w:right w:val="nil"/>
            </w:tcBorders>
          </w:tcPr>
          <w:p>
            <w:pPr>
              <w:pStyle w:val="TableParagraph"/>
              <w:ind w:left="204"/>
              <w:jc w:val="left"/>
              <w:rPr>
                <w:sz w:val="20"/>
              </w:rPr>
            </w:pPr>
            <w:r>
              <w:rPr>
                <w:sz w:val="20"/>
              </w:rPr>
              <w:t>50.44</w:t>
            </w:r>
          </w:p>
        </w:tc>
        <w:tc>
          <w:tcPr>
            <w:tcW w:w="886" w:type="dxa"/>
            <w:tcBorders>
              <w:top w:val="nil"/>
              <w:left w:val="nil"/>
              <w:bottom w:val="nil"/>
              <w:right w:val="nil"/>
            </w:tcBorders>
          </w:tcPr>
          <w:p>
            <w:pPr>
              <w:pStyle w:val="TableParagraph"/>
              <w:ind w:left="206"/>
              <w:jc w:val="left"/>
              <w:rPr>
                <w:sz w:val="20"/>
              </w:rPr>
            </w:pPr>
            <w:r>
              <w:rPr>
                <w:sz w:val="20"/>
              </w:rPr>
              <w:t>50.44</w:t>
            </w:r>
          </w:p>
        </w:tc>
        <w:tc>
          <w:tcPr>
            <w:tcW w:w="867" w:type="dxa"/>
            <w:tcBorders>
              <w:top w:val="nil"/>
              <w:left w:val="nil"/>
              <w:bottom w:val="nil"/>
              <w:right w:val="nil"/>
            </w:tcBorders>
          </w:tcPr>
          <w:p>
            <w:pPr>
              <w:pStyle w:val="TableParagraph"/>
              <w:ind w:right="223"/>
              <w:rPr>
                <w:sz w:val="20"/>
              </w:rPr>
            </w:pPr>
            <w:r>
              <w:rPr>
                <w:sz w:val="20"/>
              </w:rPr>
              <w:t>0.00</w:t>
            </w:r>
          </w:p>
        </w:tc>
        <w:tc>
          <w:tcPr>
            <w:tcW w:w="843" w:type="dxa"/>
            <w:tcBorders>
              <w:top w:val="nil"/>
              <w:left w:val="nil"/>
              <w:bottom w:val="nil"/>
              <w:right w:val="nil"/>
            </w:tcBorders>
          </w:tcPr>
          <w:p>
            <w:pPr>
              <w:pStyle w:val="TableParagraph"/>
              <w:ind w:right="197"/>
              <w:rPr>
                <w:sz w:val="20"/>
              </w:rPr>
            </w:pPr>
            <w:r>
              <w:rPr>
                <w:sz w:val="20"/>
              </w:rPr>
              <w:t>0.00</w:t>
            </w:r>
          </w:p>
        </w:tc>
        <w:tc>
          <w:tcPr>
            <w:tcW w:w="733" w:type="dxa"/>
            <w:tcBorders>
              <w:top w:val="nil"/>
              <w:left w:val="nil"/>
              <w:bottom w:val="nil"/>
              <w:right w:val="nil"/>
            </w:tcBorders>
          </w:tcPr>
          <w:p>
            <w:pPr>
              <w:pStyle w:val="TableParagraph"/>
              <w:ind w:right="61"/>
              <w:rPr>
                <w:sz w:val="20"/>
              </w:rPr>
            </w:pPr>
            <w:r>
              <w:rPr>
                <w:sz w:val="20"/>
              </w:rPr>
              <w:t>0.00</w:t>
            </w:r>
          </w:p>
        </w:tc>
      </w:tr>
      <w:tr>
        <w:trPr>
          <w:trHeight w:val="298" w:hRule="exact"/>
        </w:trPr>
        <w:tc>
          <w:tcPr>
            <w:tcW w:w="1477" w:type="dxa"/>
            <w:tcBorders>
              <w:top w:val="nil"/>
              <w:left w:val="nil"/>
              <w:bottom w:val="nil"/>
              <w:right w:val="nil"/>
            </w:tcBorders>
          </w:tcPr>
          <w:p>
            <w:pPr>
              <w:pStyle w:val="TableParagraph"/>
              <w:ind w:left="86"/>
              <w:jc w:val="left"/>
              <w:rPr>
                <w:sz w:val="20"/>
              </w:rPr>
            </w:pPr>
            <w:r>
              <w:rPr>
                <w:sz w:val="20"/>
              </w:rPr>
              <w:t>TEJ_LcSF</w:t>
            </w:r>
          </w:p>
        </w:tc>
        <w:tc>
          <w:tcPr>
            <w:tcW w:w="871" w:type="dxa"/>
            <w:tcBorders>
              <w:top w:val="nil"/>
              <w:left w:val="nil"/>
              <w:bottom w:val="nil"/>
              <w:right w:val="nil"/>
            </w:tcBorders>
          </w:tcPr>
          <w:p>
            <w:pPr>
              <w:pStyle w:val="TableParagraph"/>
              <w:ind w:right="204"/>
              <w:rPr>
                <w:sz w:val="20"/>
              </w:rPr>
            </w:pPr>
            <w:r>
              <w:rPr>
                <w:sz w:val="20"/>
              </w:rPr>
              <w:t>26.00</w:t>
            </w:r>
          </w:p>
        </w:tc>
        <w:tc>
          <w:tcPr>
            <w:tcW w:w="867" w:type="dxa"/>
            <w:tcBorders>
              <w:top w:val="nil"/>
              <w:left w:val="nil"/>
              <w:bottom w:val="nil"/>
              <w:right w:val="nil"/>
            </w:tcBorders>
          </w:tcPr>
          <w:p>
            <w:pPr>
              <w:pStyle w:val="TableParagraph"/>
              <w:ind w:right="202"/>
              <w:rPr>
                <w:sz w:val="20"/>
              </w:rPr>
            </w:pPr>
            <w:r>
              <w:rPr>
                <w:sz w:val="20"/>
              </w:rPr>
              <w:t>39.20</w:t>
            </w:r>
          </w:p>
        </w:tc>
        <w:tc>
          <w:tcPr>
            <w:tcW w:w="867" w:type="dxa"/>
            <w:tcBorders>
              <w:top w:val="nil"/>
              <w:left w:val="nil"/>
              <w:bottom w:val="nil"/>
              <w:right w:val="nil"/>
            </w:tcBorders>
          </w:tcPr>
          <w:p>
            <w:pPr>
              <w:pStyle w:val="TableParagraph"/>
              <w:ind w:left="204"/>
              <w:jc w:val="left"/>
              <w:rPr>
                <w:sz w:val="20"/>
              </w:rPr>
            </w:pPr>
            <w:r>
              <w:rPr>
                <w:sz w:val="20"/>
              </w:rPr>
              <w:t>44.70</w:t>
            </w:r>
          </w:p>
        </w:tc>
        <w:tc>
          <w:tcPr>
            <w:tcW w:w="869" w:type="dxa"/>
            <w:tcBorders>
              <w:top w:val="nil"/>
              <w:left w:val="nil"/>
              <w:bottom w:val="nil"/>
              <w:right w:val="nil"/>
            </w:tcBorders>
          </w:tcPr>
          <w:p>
            <w:pPr>
              <w:pStyle w:val="TableParagraph"/>
              <w:ind w:left="206"/>
              <w:jc w:val="left"/>
              <w:rPr>
                <w:sz w:val="20"/>
              </w:rPr>
            </w:pPr>
            <w:r>
              <w:rPr>
                <w:sz w:val="20"/>
              </w:rPr>
              <w:t>44.70</w:t>
            </w:r>
          </w:p>
        </w:tc>
        <w:tc>
          <w:tcPr>
            <w:tcW w:w="867" w:type="dxa"/>
            <w:tcBorders>
              <w:top w:val="nil"/>
              <w:left w:val="nil"/>
              <w:bottom w:val="nil"/>
              <w:right w:val="nil"/>
            </w:tcBorders>
          </w:tcPr>
          <w:p>
            <w:pPr>
              <w:pStyle w:val="TableParagraph"/>
              <w:ind w:left="206"/>
              <w:jc w:val="left"/>
              <w:rPr>
                <w:sz w:val="20"/>
              </w:rPr>
            </w:pPr>
            <w:r>
              <w:rPr>
                <w:sz w:val="20"/>
              </w:rPr>
              <w:t>41.10</w:t>
            </w:r>
          </w:p>
        </w:tc>
        <w:tc>
          <w:tcPr>
            <w:tcW w:w="867" w:type="dxa"/>
            <w:tcBorders>
              <w:top w:val="nil"/>
              <w:left w:val="nil"/>
              <w:bottom w:val="nil"/>
              <w:right w:val="nil"/>
            </w:tcBorders>
          </w:tcPr>
          <w:p>
            <w:pPr>
              <w:pStyle w:val="TableParagraph"/>
              <w:ind w:left="204"/>
              <w:jc w:val="left"/>
              <w:rPr>
                <w:sz w:val="20"/>
              </w:rPr>
            </w:pPr>
            <w:r>
              <w:rPr>
                <w:sz w:val="20"/>
              </w:rPr>
              <w:t>39.30</w:t>
            </w:r>
          </w:p>
        </w:tc>
        <w:tc>
          <w:tcPr>
            <w:tcW w:w="886" w:type="dxa"/>
            <w:tcBorders>
              <w:top w:val="nil"/>
              <w:left w:val="nil"/>
              <w:bottom w:val="nil"/>
              <w:right w:val="nil"/>
            </w:tcBorders>
          </w:tcPr>
          <w:p>
            <w:pPr>
              <w:pStyle w:val="TableParagraph"/>
              <w:ind w:left="206"/>
              <w:jc w:val="left"/>
              <w:rPr>
                <w:sz w:val="20"/>
              </w:rPr>
            </w:pPr>
            <w:r>
              <w:rPr>
                <w:sz w:val="20"/>
              </w:rPr>
              <w:t>39.30</w:t>
            </w:r>
          </w:p>
        </w:tc>
        <w:tc>
          <w:tcPr>
            <w:tcW w:w="867" w:type="dxa"/>
            <w:tcBorders>
              <w:top w:val="nil"/>
              <w:left w:val="nil"/>
              <w:bottom w:val="nil"/>
              <w:right w:val="nil"/>
            </w:tcBorders>
          </w:tcPr>
          <w:p>
            <w:pPr>
              <w:pStyle w:val="TableParagraph"/>
              <w:ind w:right="223"/>
              <w:rPr>
                <w:sz w:val="20"/>
              </w:rPr>
            </w:pPr>
            <w:r>
              <w:rPr>
                <w:sz w:val="20"/>
              </w:rPr>
              <w:t>0.00</w:t>
            </w:r>
          </w:p>
        </w:tc>
        <w:tc>
          <w:tcPr>
            <w:tcW w:w="843" w:type="dxa"/>
            <w:tcBorders>
              <w:top w:val="nil"/>
              <w:left w:val="nil"/>
              <w:bottom w:val="nil"/>
              <w:right w:val="nil"/>
            </w:tcBorders>
          </w:tcPr>
          <w:p>
            <w:pPr>
              <w:pStyle w:val="TableParagraph"/>
              <w:ind w:right="197"/>
              <w:rPr>
                <w:sz w:val="20"/>
              </w:rPr>
            </w:pPr>
            <w:r>
              <w:rPr>
                <w:sz w:val="20"/>
              </w:rPr>
              <w:t>0.00</w:t>
            </w:r>
          </w:p>
        </w:tc>
        <w:tc>
          <w:tcPr>
            <w:tcW w:w="733" w:type="dxa"/>
            <w:tcBorders>
              <w:top w:val="nil"/>
              <w:left w:val="nil"/>
              <w:bottom w:val="nil"/>
              <w:right w:val="nil"/>
            </w:tcBorders>
          </w:tcPr>
          <w:p>
            <w:pPr>
              <w:pStyle w:val="TableParagraph"/>
              <w:ind w:right="61"/>
              <w:rPr>
                <w:sz w:val="20"/>
              </w:rPr>
            </w:pPr>
            <w:r>
              <w:rPr>
                <w:sz w:val="20"/>
              </w:rPr>
              <w:t>0.00</w:t>
            </w:r>
          </w:p>
        </w:tc>
      </w:tr>
      <w:tr>
        <w:trPr>
          <w:trHeight w:val="298" w:hRule="exact"/>
        </w:trPr>
        <w:tc>
          <w:tcPr>
            <w:tcW w:w="1477" w:type="dxa"/>
            <w:tcBorders>
              <w:top w:val="nil"/>
              <w:left w:val="nil"/>
              <w:bottom w:val="nil"/>
              <w:right w:val="nil"/>
            </w:tcBorders>
          </w:tcPr>
          <w:p>
            <w:pPr>
              <w:pStyle w:val="TableParagraph"/>
              <w:ind w:left="86"/>
              <w:jc w:val="left"/>
              <w:rPr>
                <w:sz w:val="20"/>
              </w:rPr>
            </w:pPr>
            <w:r>
              <w:rPr>
                <w:sz w:val="20"/>
              </w:rPr>
              <w:t>TEJ_TmFlp</w:t>
            </w:r>
          </w:p>
        </w:tc>
        <w:tc>
          <w:tcPr>
            <w:tcW w:w="871" w:type="dxa"/>
            <w:tcBorders>
              <w:top w:val="nil"/>
              <w:left w:val="nil"/>
              <w:bottom w:val="nil"/>
              <w:right w:val="nil"/>
            </w:tcBorders>
          </w:tcPr>
          <w:p>
            <w:pPr>
              <w:pStyle w:val="TableParagraph"/>
              <w:ind w:right="204"/>
              <w:rPr>
                <w:sz w:val="20"/>
              </w:rPr>
            </w:pPr>
            <w:r>
              <w:rPr>
                <w:sz w:val="20"/>
              </w:rPr>
              <w:t>13.00</w:t>
            </w:r>
          </w:p>
        </w:tc>
        <w:tc>
          <w:tcPr>
            <w:tcW w:w="867" w:type="dxa"/>
            <w:tcBorders>
              <w:top w:val="nil"/>
              <w:left w:val="nil"/>
              <w:bottom w:val="nil"/>
              <w:right w:val="nil"/>
            </w:tcBorders>
          </w:tcPr>
          <w:p>
            <w:pPr>
              <w:pStyle w:val="TableParagraph"/>
              <w:ind w:right="202"/>
              <w:rPr>
                <w:sz w:val="20"/>
              </w:rPr>
            </w:pPr>
            <w:r>
              <w:rPr>
                <w:sz w:val="20"/>
              </w:rPr>
              <w:t>13.00</w:t>
            </w:r>
          </w:p>
        </w:tc>
        <w:tc>
          <w:tcPr>
            <w:tcW w:w="867" w:type="dxa"/>
            <w:tcBorders>
              <w:top w:val="nil"/>
              <w:left w:val="nil"/>
              <w:bottom w:val="nil"/>
              <w:right w:val="nil"/>
            </w:tcBorders>
          </w:tcPr>
          <w:p>
            <w:pPr>
              <w:pStyle w:val="TableParagraph"/>
              <w:ind w:left="204"/>
              <w:jc w:val="left"/>
              <w:rPr>
                <w:sz w:val="20"/>
              </w:rPr>
            </w:pPr>
            <w:r>
              <w:rPr>
                <w:sz w:val="20"/>
              </w:rPr>
              <w:t>11.50</w:t>
            </w:r>
          </w:p>
        </w:tc>
        <w:tc>
          <w:tcPr>
            <w:tcW w:w="869" w:type="dxa"/>
            <w:tcBorders>
              <w:top w:val="nil"/>
              <w:left w:val="nil"/>
              <w:bottom w:val="nil"/>
              <w:right w:val="nil"/>
            </w:tcBorders>
          </w:tcPr>
          <w:p>
            <w:pPr>
              <w:pStyle w:val="TableParagraph"/>
              <w:ind w:left="206"/>
              <w:jc w:val="left"/>
              <w:rPr>
                <w:sz w:val="20"/>
              </w:rPr>
            </w:pPr>
            <w:r>
              <w:rPr>
                <w:sz w:val="20"/>
              </w:rPr>
              <w:t>10.00</w:t>
            </w:r>
          </w:p>
        </w:tc>
        <w:tc>
          <w:tcPr>
            <w:tcW w:w="867" w:type="dxa"/>
            <w:tcBorders>
              <w:top w:val="nil"/>
              <w:left w:val="nil"/>
              <w:bottom w:val="nil"/>
              <w:right w:val="nil"/>
            </w:tcBorders>
          </w:tcPr>
          <w:p>
            <w:pPr>
              <w:pStyle w:val="TableParagraph"/>
              <w:ind w:left="206"/>
              <w:jc w:val="left"/>
              <w:rPr>
                <w:sz w:val="20"/>
              </w:rPr>
            </w:pPr>
            <w:r>
              <w:rPr>
                <w:sz w:val="20"/>
              </w:rPr>
              <w:t>10.00</w:t>
            </w:r>
          </w:p>
        </w:tc>
        <w:tc>
          <w:tcPr>
            <w:tcW w:w="867" w:type="dxa"/>
            <w:tcBorders>
              <w:top w:val="nil"/>
              <w:left w:val="nil"/>
              <w:bottom w:val="nil"/>
              <w:right w:val="nil"/>
            </w:tcBorders>
          </w:tcPr>
          <w:p>
            <w:pPr>
              <w:pStyle w:val="TableParagraph"/>
              <w:ind w:left="204"/>
              <w:jc w:val="left"/>
              <w:rPr>
                <w:sz w:val="20"/>
              </w:rPr>
            </w:pPr>
            <w:r>
              <w:rPr>
                <w:sz w:val="20"/>
              </w:rPr>
              <w:t>10.00</w:t>
            </w:r>
          </w:p>
        </w:tc>
        <w:tc>
          <w:tcPr>
            <w:tcW w:w="886" w:type="dxa"/>
            <w:tcBorders>
              <w:top w:val="nil"/>
              <w:left w:val="nil"/>
              <w:bottom w:val="nil"/>
              <w:right w:val="nil"/>
            </w:tcBorders>
          </w:tcPr>
          <w:p>
            <w:pPr>
              <w:pStyle w:val="TableParagraph"/>
              <w:ind w:left="206"/>
              <w:jc w:val="left"/>
              <w:rPr>
                <w:sz w:val="20"/>
              </w:rPr>
            </w:pPr>
            <w:r>
              <w:rPr>
                <w:sz w:val="20"/>
              </w:rPr>
              <w:t>10.00</w:t>
            </w:r>
          </w:p>
        </w:tc>
        <w:tc>
          <w:tcPr>
            <w:tcW w:w="867" w:type="dxa"/>
            <w:tcBorders>
              <w:top w:val="nil"/>
              <w:left w:val="nil"/>
              <w:bottom w:val="nil"/>
              <w:right w:val="nil"/>
            </w:tcBorders>
          </w:tcPr>
          <w:p>
            <w:pPr>
              <w:pStyle w:val="TableParagraph"/>
              <w:ind w:right="223"/>
              <w:rPr>
                <w:sz w:val="20"/>
              </w:rPr>
            </w:pPr>
            <w:r>
              <w:rPr>
                <w:sz w:val="20"/>
              </w:rPr>
              <w:t>0.00</w:t>
            </w:r>
          </w:p>
        </w:tc>
        <w:tc>
          <w:tcPr>
            <w:tcW w:w="843" w:type="dxa"/>
            <w:tcBorders>
              <w:top w:val="nil"/>
              <w:left w:val="nil"/>
              <w:bottom w:val="nil"/>
              <w:right w:val="nil"/>
            </w:tcBorders>
          </w:tcPr>
          <w:p>
            <w:pPr>
              <w:pStyle w:val="TableParagraph"/>
              <w:ind w:right="197"/>
              <w:rPr>
                <w:sz w:val="20"/>
              </w:rPr>
            </w:pPr>
            <w:r>
              <w:rPr>
                <w:sz w:val="20"/>
              </w:rPr>
              <w:t>0.00</w:t>
            </w:r>
          </w:p>
        </w:tc>
        <w:tc>
          <w:tcPr>
            <w:tcW w:w="733" w:type="dxa"/>
            <w:tcBorders>
              <w:top w:val="nil"/>
              <w:left w:val="nil"/>
              <w:bottom w:val="nil"/>
              <w:right w:val="nil"/>
            </w:tcBorders>
          </w:tcPr>
          <w:p>
            <w:pPr>
              <w:pStyle w:val="TableParagraph"/>
              <w:ind w:right="61"/>
              <w:rPr>
                <w:sz w:val="20"/>
              </w:rPr>
            </w:pPr>
            <w:r>
              <w:rPr>
                <w:sz w:val="20"/>
              </w:rPr>
              <w:t>0.00</w:t>
            </w:r>
          </w:p>
        </w:tc>
      </w:tr>
      <w:tr>
        <w:trPr>
          <w:trHeight w:val="298" w:hRule="exact"/>
        </w:trPr>
        <w:tc>
          <w:tcPr>
            <w:tcW w:w="1477" w:type="dxa"/>
            <w:tcBorders>
              <w:top w:val="nil"/>
              <w:left w:val="nil"/>
              <w:bottom w:val="nil"/>
              <w:right w:val="nil"/>
            </w:tcBorders>
          </w:tcPr>
          <w:p>
            <w:pPr>
              <w:pStyle w:val="TableParagraph"/>
              <w:ind w:left="86"/>
              <w:jc w:val="left"/>
              <w:rPr>
                <w:sz w:val="20"/>
              </w:rPr>
            </w:pPr>
            <w:r>
              <w:rPr>
                <w:sz w:val="20"/>
              </w:rPr>
              <w:t>TEJ_ToSF</w:t>
            </w:r>
          </w:p>
        </w:tc>
        <w:tc>
          <w:tcPr>
            <w:tcW w:w="871" w:type="dxa"/>
            <w:tcBorders>
              <w:top w:val="nil"/>
              <w:left w:val="nil"/>
              <w:bottom w:val="nil"/>
              <w:right w:val="nil"/>
            </w:tcBorders>
          </w:tcPr>
          <w:p>
            <w:pPr>
              <w:pStyle w:val="TableParagraph"/>
              <w:ind w:right="204"/>
              <w:rPr>
                <w:sz w:val="20"/>
              </w:rPr>
            </w:pPr>
            <w:r>
              <w:rPr>
                <w:sz w:val="20"/>
              </w:rPr>
              <w:t>7.40</w:t>
            </w:r>
          </w:p>
        </w:tc>
        <w:tc>
          <w:tcPr>
            <w:tcW w:w="867" w:type="dxa"/>
            <w:tcBorders>
              <w:top w:val="nil"/>
              <w:left w:val="nil"/>
              <w:bottom w:val="nil"/>
              <w:right w:val="nil"/>
            </w:tcBorders>
          </w:tcPr>
          <w:p>
            <w:pPr>
              <w:pStyle w:val="TableParagraph"/>
              <w:ind w:right="202"/>
              <w:rPr>
                <w:sz w:val="20"/>
              </w:rPr>
            </w:pPr>
            <w:r>
              <w:rPr>
                <w:sz w:val="20"/>
              </w:rPr>
              <w:t>7.40</w:t>
            </w:r>
          </w:p>
        </w:tc>
        <w:tc>
          <w:tcPr>
            <w:tcW w:w="867" w:type="dxa"/>
            <w:tcBorders>
              <w:top w:val="nil"/>
              <w:left w:val="nil"/>
              <w:bottom w:val="nil"/>
              <w:right w:val="nil"/>
            </w:tcBorders>
          </w:tcPr>
          <w:p>
            <w:pPr>
              <w:pStyle w:val="TableParagraph"/>
              <w:ind w:left="305"/>
              <w:jc w:val="left"/>
              <w:rPr>
                <w:sz w:val="20"/>
              </w:rPr>
            </w:pPr>
            <w:r>
              <w:rPr>
                <w:sz w:val="20"/>
              </w:rPr>
              <w:t>4.30</w:t>
            </w:r>
          </w:p>
        </w:tc>
        <w:tc>
          <w:tcPr>
            <w:tcW w:w="869" w:type="dxa"/>
            <w:tcBorders>
              <w:top w:val="nil"/>
              <w:left w:val="nil"/>
              <w:bottom w:val="nil"/>
              <w:right w:val="nil"/>
            </w:tcBorders>
          </w:tcPr>
          <w:p>
            <w:pPr>
              <w:pStyle w:val="TableParagraph"/>
              <w:ind w:left="307"/>
              <w:jc w:val="left"/>
              <w:rPr>
                <w:sz w:val="20"/>
              </w:rPr>
            </w:pPr>
            <w:r>
              <w:rPr>
                <w:sz w:val="20"/>
              </w:rPr>
              <w:t>4.30</w:t>
            </w:r>
          </w:p>
        </w:tc>
        <w:tc>
          <w:tcPr>
            <w:tcW w:w="867" w:type="dxa"/>
            <w:tcBorders>
              <w:top w:val="nil"/>
              <w:left w:val="nil"/>
              <w:bottom w:val="nil"/>
              <w:right w:val="nil"/>
            </w:tcBorders>
          </w:tcPr>
          <w:p>
            <w:pPr>
              <w:pStyle w:val="TableParagraph"/>
              <w:ind w:left="307"/>
              <w:jc w:val="left"/>
              <w:rPr>
                <w:sz w:val="20"/>
              </w:rPr>
            </w:pPr>
            <w:r>
              <w:rPr>
                <w:sz w:val="20"/>
              </w:rPr>
              <w:t>4.30</w:t>
            </w:r>
          </w:p>
        </w:tc>
        <w:tc>
          <w:tcPr>
            <w:tcW w:w="867" w:type="dxa"/>
            <w:tcBorders>
              <w:top w:val="nil"/>
              <w:left w:val="nil"/>
              <w:bottom w:val="nil"/>
              <w:right w:val="nil"/>
            </w:tcBorders>
          </w:tcPr>
          <w:p>
            <w:pPr>
              <w:pStyle w:val="TableParagraph"/>
              <w:ind w:left="305"/>
              <w:jc w:val="left"/>
              <w:rPr>
                <w:sz w:val="20"/>
              </w:rPr>
            </w:pPr>
            <w:r>
              <w:rPr>
                <w:sz w:val="20"/>
              </w:rPr>
              <w:t>4.30</w:t>
            </w:r>
          </w:p>
        </w:tc>
        <w:tc>
          <w:tcPr>
            <w:tcW w:w="886" w:type="dxa"/>
            <w:tcBorders>
              <w:top w:val="nil"/>
              <w:left w:val="nil"/>
              <w:bottom w:val="nil"/>
              <w:right w:val="nil"/>
            </w:tcBorders>
          </w:tcPr>
          <w:p>
            <w:pPr>
              <w:pStyle w:val="TableParagraph"/>
              <w:ind w:left="307"/>
              <w:jc w:val="left"/>
              <w:rPr>
                <w:sz w:val="20"/>
              </w:rPr>
            </w:pPr>
            <w:r>
              <w:rPr>
                <w:sz w:val="20"/>
              </w:rPr>
              <w:t>6.30</w:t>
            </w:r>
          </w:p>
        </w:tc>
        <w:tc>
          <w:tcPr>
            <w:tcW w:w="867" w:type="dxa"/>
            <w:tcBorders>
              <w:top w:val="nil"/>
              <w:left w:val="nil"/>
              <w:bottom w:val="nil"/>
              <w:right w:val="nil"/>
            </w:tcBorders>
          </w:tcPr>
          <w:p>
            <w:pPr>
              <w:pStyle w:val="TableParagraph"/>
              <w:ind w:right="223"/>
              <w:rPr>
                <w:sz w:val="20"/>
              </w:rPr>
            </w:pPr>
            <w:r>
              <w:rPr>
                <w:sz w:val="20"/>
              </w:rPr>
              <w:t>0.00</w:t>
            </w:r>
          </w:p>
        </w:tc>
        <w:tc>
          <w:tcPr>
            <w:tcW w:w="843" w:type="dxa"/>
            <w:tcBorders>
              <w:top w:val="nil"/>
              <w:left w:val="nil"/>
              <w:bottom w:val="nil"/>
              <w:right w:val="nil"/>
            </w:tcBorders>
          </w:tcPr>
          <w:p>
            <w:pPr>
              <w:pStyle w:val="TableParagraph"/>
              <w:ind w:right="197"/>
              <w:rPr>
                <w:sz w:val="20"/>
              </w:rPr>
            </w:pPr>
            <w:r>
              <w:rPr>
                <w:sz w:val="20"/>
              </w:rPr>
              <w:t>0.00</w:t>
            </w:r>
          </w:p>
        </w:tc>
        <w:tc>
          <w:tcPr>
            <w:tcW w:w="733" w:type="dxa"/>
            <w:tcBorders>
              <w:top w:val="nil"/>
              <w:left w:val="nil"/>
              <w:bottom w:val="nil"/>
              <w:right w:val="nil"/>
            </w:tcBorders>
          </w:tcPr>
          <w:p>
            <w:pPr>
              <w:pStyle w:val="TableParagraph"/>
              <w:ind w:right="61"/>
              <w:rPr>
                <w:sz w:val="20"/>
              </w:rPr>
            </w:pPr>
            <w:r>
              <w:rPr>
                <w:sz w:val="20"/>
              </w:rPr>
              <w:t>0.00</w:t>
            </w:r>
          </w:p>
        </w:tc>
      </w:tr>
      <w:tr>
        <w:trPr>
          <w:trHeight w:val="298" w:hRule="exact"/>
        </w:trPr>
        <w:tc>
          <w:tcPr>
            <w:tcW w:w="1477" w:type="dxa"/>
            <w:tcBorders>
              <w:top w:val="nil"/>
              <w:left w:val="nil"/>
              <w:bottom w:val="nil"/>
              <w:right w:val="nil"/>
            </w:tcBorders>
          </w:tcPr>
          <w:p>
            <w:pPr>
              <w:pStyle w:val="TableParagraph"/>
              <w:ind w:left="86"/>
              <w:jc w:val="left"/>
              <w:rPr>
                <w:sz w:val="20"/>
              </w:rPr>
            </w:pPr>
            <w:r>
              <w:rPr>
                <w:sz w:val="20"/>
              </w:rPr>
              <w:t>TEJ_VpFd</w:t>
            </w:r>
          </w:p>
        </w:tc>
        <w:tc>
          <w:tcPr>
            <w:tcW w:w="871" w:type="dxa"/>
            <w:tcBorders>
              <w:top w:val="nil"/>
              <w:left w:val="nil"/>
              <w:bottom w:val="nil"/>
              <w:right w:val="nil"/>
            </w:tcBorders>
          </w:tcPr>
          <w:p>
            <w:pPr>
              <w:pStyle w:val="TableParagraph"/>
              <w:ind w:right="204"/>
              <w:rPr>
                <w:sz w:val="20"/>
              </w:rPr>
            </w:pPr>
            <w:r>
              <w:rPr>
                <w:sz w:val="20"/>
              </w:rPr>
              <w:t>32.00</w:t>
            </w:r>
          </w:p>
        </w:tc>
        <w:tc>
          <w:tcPr>
            <w:tcW w:w="867" w:type="dxa"/>
            <w:tcBorders>
              <w:top w:val="nil"/>
              <w:left w:val="nil"/>
              <w:bottom w:val="nil"/>
              <w:right w:val="nil"/>
            </w:tcBorders>
          </w:tcPr>
          <w:p>
            <w:pPr>
              <w:pStyle w:val="TableParagraph"/>
              <w:ind w:right="202"/>
              <w:rPr>
                <w:sz w:val="20"/>
              </w:rPr>
            </w:pPr>
            <w:r>
              <w:rPr>
                <w:sz w:val="20"/>
              </w:rPr>
              <w:t>32.00</w:t>
            </w:r>
          </w:p>
        </w:tc>
        <w:tc>
          <w:tcPr>
            <w:tcW w:w="867" w:type="dxa"/>
            <w:tcBorders>
              <w:top w:val="nil"/>
              <w:left w:val="nil"/>
              <w:bottom w:val="nil"/>
              <w:right w:val="nil"/>
            </w:tcBorders>
          </w:tcPr>
          <w:p>
            <w:pPr>
              <w:pStyle w:val="TableParagraph"/>
              <w:ind w:left="204"/>
              <w:jc w:val="left"/>
              <w:rPr>
                <w:sz w:val="20"/>
              </w:rPr>
            </w:pPr>
            <w:r>
              <w:rPr>
                <w:sz w:val="20"/>
              </w:rPr>
              <w:t>32.00</w:t>
            </w:r>
          </w:p>
        </w:tc>
        <w:tc>
          <w:tcPr>
            <w:tcW w:w="869" w:type="dxa"/>
            <w:tcBorders>
              <w:top w:val="nil"/>
              <w:left w:val="nil"/>
              <w:bottom w:val="nil"/>
              <w:right w:val="nil"/>
            </w:tcBorders>
          </w:tcPr>
          <w:p>
            <w:pPr>
              <w:pStyle w:val="TableParagraph"/>
              <w:ind w:left="206"/>
              <w:jc w:val="left"/>
              <w:rPr>
                <w:sz w:val="20"/>
              </w:rPr>
            </w:pPr>
            <w:r>
              <w:rPr>
                <w:sz w:val="20"/>
              </w:rPr>
              <w:t>38.00</w:t>
            </w:r>
          </w:p>
        </w:tc>
        <w:tc>
          <w:tcPr>
            <w:tcW w:w="867" w:type="dxa"/>
            <w:tcBorders>
              <w:top w:val="nil"/>
              <w:left w:val="nil"/>
              <w:bottom w:val="nil"/>
              <w:right w:val="nil"/>
            </w:tcBorders>
          </w:tcPr>
          <w:p>
            <w:pPr>
              <w:pStyle w:val="TableParagraph"/>
              <w:ind w:left="206"/>
              <w:jc w:val="left"/>
              <w:rPr>
                <w:sz w:val="20"/>
              </w:rPr>
            </w:pPr>
            <w:r>
              <w:rPr>
                <w:sz w:val="20"/>
              </w:rPr>
              <w:t>38.00</w:t>
            </w:r>
          </w:p>
        </w:tc>
        <w:tc>
          <w:tcPr>
            <w:tcW w:w="867" w:type="dxa"/>
            <w:tcBorders>
              <w:top w:val="nil"/>
              <w:left w:val="nil"/>
              <w:bottom w:val="nil"/>
              <w:right w:val="nil"/>
            </w:tcBorders>
          </w:tcPr>
          <w:p>
            <w:pPr>
              <w:pStyle w:val="TableParagraph"/>
              <w:ind w:left="204"/>
              <w:jc w:val="left"/>
              <w:rPr>
                <w:sz w:val="20"/>
              </w:rPr>
            </w:pPr>
            <w:r>
              <w:rPr>
                <w:sz w:val="20"/>
              </w:rPr>
              <w:t>35.00</w:t>
            </w:r>
          </w:p>
        </w:tc>
        <w:tc>
          <w:tcPr>
            <w:tcW w:w="886" w:type="dxa"/>
            <w:tcBorders>
              <w:top w:val="nil"/>
              <w:left w:val="nil"/>
              <w:bottom w:val="nil"/>
              <w:right w:val="nil"/>
            </w:tcBorders>
          </w:tcPr>
          <w:p>
            <w:pPr>
              <w:pStyle w:val="TableParagraph"/>
              <w:ind w:left="206"/>
              <w:jc w:val="left"/>
              <w:rPr>
                <w:sz w:val="20"/>
              </w:rPr>
            </w:pPr>
            <w:r>
              <w:rPr>
                <w:sz w:val="20"/>
              </w:rPr>
              <w:t>36.90</w:t>
            </w:r>
          </w:p>
        </w:tc>
        <w:tc>
          <w:tcPr>
            <w:tcW w:w="867" w:type="dxa"/>
            <w:tcBorders>
              <w:top w:val="nil"/>
              <w:left w:val="nil"/>
              <w:bottom w:val="nil"/>
              <w:right w:val="nil"/>
            </w:tcBorders>
          </w:tcPr>
          <w:p>
            <w:pPr>
              <w:pStyle w:val="TableParagraph"/>
              <w:ind w:right="223"/>
              <w:rPr>
                <w:sz w:val="20"/>
              </w:rPr>
            </w:pPr>
            <w:r>
              <w:rPr>
                <w:sz w:val="20"/>
              </w:rPr>
              <w:t>0.00</w:t>
            </w:r>
          </w:p>
        </w:tc>
        <w:tc>
          <w:tcPr>
            <w:tcW w:w="843" w:type="dxa"/>
            <w:tcBorders>
              <w:top w:val="nil"/>
              <w:left w:val="nil"/>
              <w:bottom w:val="nil"/>
              <w:right w:val="nil"/>
            </w:tcBorders>
          </w:tcPr>
          <w:p>
            <w:pPr>
              <w:pStyle w:val="TableParagraph"/>
              <w:ind w:right="197"/>
              <w:rPr>
                <w:sz w:val="20"/>
              </w:rPr>
            </w:pPr>
            <w:r>
              <w:rPr>
                <w:sz w:val="20"/>
              </w:rPr>
              <w:t>0.00</w:t>
            </w:r>
          </w:p>
        </w:tc>
        <w:tc>
          <w:tcPr>
            <w:tcW w:w="733" w:type="dxa"/>
            <w:tcBorders>
              <w:top w:val="nil"/>
              <w:left w:val="nil"/>
              <w:bottom w:val="nil"/>
              <w:right w:val="nil"/>
            </w:tcBorders>
          </w:tcPr>
          <w:p>
            <w:pPr>
              <w:pStyle w:val="TableParagraph"/>
              <w:ind w:right="61"/>
              <w:rPr>
                <w:sz w:val="20"/>
              </w:rPr>
            </w:pPr>
            <w:r>
              <w:rPr>
                <w:sz w:val="20"/>
              </w:rPr>
              <w:t>0.00</w:t>
            </w:r>
          </w:p>
        </w:tc>
      </w:tr>
      <w:tr>
        <w:trPr>
          <w:trHeight w:val="298" w:hRule="exact"/>
        </w:trPr>
        <w:tc>
          <w:tcPr>
            <w:tcW w:w="1477" w:type="dxa"/>
            <w:tcBorders>
              <w:top w:val="nil"/>
              <w:left w:val="nil"/>
              <w:bottom w:val="nil"/>
              <w:right w:val="nil"/>
            </w:tcBorders>
          </w:tcPr>
          <w:p>
            <w:pPr>
              <w:pStyle w:val="TableParagraph"/>
              <w:ind w:left="86"/>
              <w:jc w:val="left"/>
              <w:rPr>
                <w:sz w:val="20"/>
              </w:rPr>
            </w:pPr>
            <w:r>
              <w:rPr>
                <w:sz w:val="20"/>
              </w:rPr>
              <w:t>TEJ_VpFdp</w:t>
            </w:r>
          </w:p>
        </w:tc>
        <w:tc>
          <w:tcPr>
            <w:tcW w:w="871" w:type="dxa"/>
            <w:tcBorders>
              <w:top w:val="nil"/>
              <w:left w:val="nil"/>
              <w:bottom w:val="nil"/>
              <w:right w:val="nil"/>
            </w:tcBorders>
          </w:tcPr>
          <w:p>
            <w:pPr>
              <w:pStyle w:val="TableParagraph"/>
              <w:ind w:right="204"/>
              <w:rPr>
                <w:sz w:val="20"/>
              </w:rPr>
            </w:pPr>
            <w:r>
              <w:rPr>
                <w:sz w:val="20"/>
              </w:rPr>
              <w:t>34.30</w:t>
            </w:r>
          </w:p>
        </w:tc>
        <w:tc>
          <w:tcPr>
            <w:tcW w:w="867" w:type="dxa"/>
            <w:tcBorders>
              <w:top w:val="nil"/>
              <w:left w:val="nil"/>
              <w:bottom w:val="nil"/>
              <w:right w:val="nil"/>
            </w:tcBorders>
          </w:tcPr>
          <w:p>
            <w:pPr>
              <w:pStyle w:val="TableParagraph"/>
              <w:ind w:right="202"/>
              <w:rPr>
                <w:sz w:val="20"/>
              </w:rPr>
            </w:pPr>
            <w:r>
              <w:rPr>
                <w:sz w:val="20"/>
              </w:rPr>
              <w:t>35.01</w:t>
            </w:r>
          </w:p>
        </w:tc>
        <w:tc>
          <w:tcPr>
            <w:tcW w:w="867" w:type="dxa"/>
            <w:tcBorders>
              <w:top w:val="nil"/>
              <w:left w:val="nil"/>
              <w:bottom w:val="nil"/>
              <w:right w:val="nil"/>
            </w:tcBorders>
          </w:tcPr>
          <w:p>
            <w:pPr>
              <w:pStyle w:val="TableParagraph"/>
              <w:ind w:left="204"/>
              <w:jc w:val="left"/>
              <w:rPr>
                <w:sz w:val="20"/>
              </w:rPr>
            </w:pPr>
            <w:r>
              <w:rPr>
                <w:sz w:val="20"/>
              </w:rPr>
              <w:t>35.01</w:t>
            </w:r>
          </w:p>
        </w:tc>
        <w:tc>
          <w:tcPr>
            <w:tcW w:w="869" w:type="dxa"/>
            <w:tcBorders>
              <w:top w:val="nil"/>
              <w:left w:val="nil"/>
              <w:bottom w:val="nil"/>
              <w:right w:val="nil"/>
            </w:tcBorders>
          </w:tcPr>
          <w:p>
            <w:pPr>
              <w:pStyle w:val="TableParagraph"/>
              <w:ind w:left="206"/>
              <w:jc w:val="left"/>
              <w:rPr>
                <w:sz w:val="20"/>
              </w:rPr>
            </w:pPr>
            <w:r>
              <w:rPr>
                <w:sz w:val="20"/>
              </w:rPr>
              <w:t>40.00</w:t>
            </w:r>
          </w:p>
        </w:tc>
        <w:tc>
          <w:tcPr>
            <w:tcW w:w="867" w:type="dxa"/>
            <w:tcBorders>
              <w:top w:val="nil"/>
              <w:left w:val="nil"/>
              <w:bottom w:val="nil"/>
              <w:right w:val="nil"/>
            </w:tcBorders>
          </w:tcPr>
          <w:p>
            <w:pPr>
              <w:pStyle w:val="TableParagraph"/>
              <w:ind w:left="206"/>
              <w:jc w:val="left"/>
              <w:rPr>
                <w:sz w:val="20"/>
              </w:rPr>
            </w:pPr>
            <w:r>
              <w:rPr>
                <w:sz w:val="20"/>
              </w:rPr>
              <w:t>40.00</w:t>
            </w:r>
          </w:p>
        </w:tc>
        <w:tc>
          <w:tcPr>
            <w:tcW w:w="867" w:type="dxa"/>
            <w:tcBorders>
              <w:top w:val="nil"/>
              <w:left w:val="nil"/>
              <w:bottom w:val="nil"/>
              <w:right w:val="nil"/>
            </w:tcBorders>
          </w:tcPr>
          <w:p>
            <w:pPr>
              <w:pStyle w:val="TableParagraph"/>
              <w:ind w:left="204"/>
              <w:jc w:val="left"/>
              <w:rPr>
                <w:sz w:val="20"/>
              </w:rPr>
            </w:pPr>
            <w:r>
              <w:rPr>
                <w:sz w:val="20"/>
              </w:rPr>
              <w:t>40.00</w:t>
            </w:r>
          </w:p>
        </w:tc>
        <w:tc>
          <w:tcPr>
            <w:tcW w:w="886" w:type="dxa"/>
            <w:tcBorders>
              <w:top w:val="nil"/>
              <w:left w:val="nil"/>
              <w:bottom w:val="nil"/>
              <w:right w:val="nil"/>
            </w:tcBorders>
          </w:tcPr>
          <w:p>
            <w:pPr>
              <w:pStyle w:val="TableParagraph"/>
              <w:ind w:left="206"/>
              <w:jc w:val="left"/>
              <w:rPr>
                <w:sz w:val="20"/>
              </w:rPr>
            </w:pPr>
            <w:r>
              <w:rPr>
                <w:sz w:val="20"/>
              </w:rPr>
              <w:t>40.00</w:t>
            </w:r>
          </w:p>
        </w:tc>
        <w:tc>
          <w:tcPr>
            <w:tcW w:w="867" w:type="dxa"/>
            <w:tcBorders>
              <w:top w:val="nil"/>
              <w:left w:val="nil"/>
              <w:bottom w:val="nil"/>
              <w:right w:val="nil"/>
            </w:tcBorders>
          </w:tcPr>
          <w:p>
            <w:pPr>
              <w:pStyle w:val="TableParagraph"/>
              <w:ind w:right="223"/>
              <w:rPr>
                <w:sz w:val="20"/>
              </w:rPr>
            </w:pPr>
            <w:r>
              <w:rPr>
                <w:sz w:val="20"/>
              </w:rPr>
              <w:t>0.00</w:t>
            </w:r>
          </w:p>
        </w:tc>
        <w:tc>
          <w:tcPr>
            <w:tcW w:w="843" w:type="dxa"/>
            <w:tcBorders>
              <w:top w:val="nil"/>
              <w:left w:val="nil"/>
              <w:bottom w:val="nil"/>
              <w:right w:val="nil"/>
            </w:tcBorders>
          </w:tcPr>
          <w:p>
            <w:pPr>
              <w:pStyle w:val="TableParagraph"/>
              <w:ind w:right="197"/>
              <w:rPr>
                <w:sz w:val="20"/>
              </w:rPr>
            </w:pPr>
            <w:r>
              <w:rPr>
                <w:sz w:val="20"/>
              </w:rPr>
              <w:t>0.00</w:t>
            </w:r>
          </w:p>
        </w:tc>
        <w:tc>
          <w:tcPr>
            <w:tcW w:w="733" w:type="dxa"/>
            <w:tcBorders>
              <w:top w:val="nil"/>
              <w:left w:val="nil"/>
              <w:bottom w:val="nil"/>
              <w:right w:val="nil"/>
            </w:tcBorders>
          </w:tcPr>
          <w:p>
            <w:pPr>
              <w:pStyle w:val="TableParagraph"/>
              <w:ind w:right="61"/>
              <w:rPr>
                <w:sz w:val="20"/>
              </w:rPr>
            </w:pPr>
            <w:r>
              <w:rPr>
                <w:sz w:val="20"/>
              </w:rPr>
              <w:t>0.00</w:t>
            </w:r>
          </w:p>
        </w:tc>
      </w:tr>
      <w:tr>
        <w:trPr>
          <w:trHeight w:val="298" w:hRule="exact"/>
        </w:trPr>
        <w:tc>
          <w:tcPr>
            <w:tcW w:w="1477" w:type="dxa"/>
            <w:tcBorders>
              <w:top w:val="nil"/>
              <w:left w:val="nil"/>
              <w:bottom w:val="nil"/>
              <w:right w:val="nil"/>
            </w:tcBorders>
          </w:tcPr>
          <w:p>
            <w:pPr>
              <w:pStyle w:val="TableParagraph"/>
              <w:ind w:left="86"/>
              <w:jc w:val="left"/>
              <w:rPr>
                <w:sz w:val="20"/>
              </w:rPr>
            </w:pPr>
            <w:r>
              <w:rPr>
                <w:sz w:val="20"/>
              </w:rPr>
              <w:t>TEJ_VpSF</w:t>
            </w:r>
          </w:p>
        </w:tc>
        <w:tc>
          <w:tcPr>
            <w:tcW w:w="871" w:type="dxa"/>
            <w:tcBorders>
              <w:top w:val="nil"/>
              <w:left w:val="nil"/>
              <w:bottom w:val="nil"/>
              <w:right w:val="nil"/>
            </w:tcBorders>
          </w:tcPr>
          <w:p>
            <w:pPr>
              <w:pStyle w:val="TableParagraph"/>
              <w:ind w:right="204"/>
              <w:rPr>
                <w:sz w:val="20"/>
              </w:rPr>
            </w:pPr>
            <w:r>
              <w:rPr>
                <w:sz w:val="20"/>
              </w:rPr>
              <w:t>32.40</w:t>
            </w:r>
          </w:p>
        </w:tc>
        <w:tc>
          <w:tcPr>
            <w:tcW w:w="867" w:type="dxa"/>
            <w:tcBorders>
              <w:top w:val="nil"/>
              <w:left w:val="nil"/>
              <w:bottom w:val="nil"/>
              <w:right w:val="nil"/>
            </w:tcBorders>
          </w:tcPr>
          <w:p>
            <w:pPr>
              <w:pStyle w:val="TableParagraph"/>
              <w:ind w:right="202"/>
              <w:rPr>
                <w:sz w:val="20"/>
              </w:rPr>
            </w:pPr>
            <w:r>
              <w:rPr>
                <w:sz w:val="20"/>
              </w:rPr>
              <w:t>35.53</w:t>
            </w:r>
          </w:p>
        </w:tc>
        <w:tc>
          <w:tcPr>
            <w:tcW w:w="867" w:type="dxa"/>
            <w:tcBorders>
              <w:top w:val="nil"/>
              <w:left w:val="nil"/>
              <w:bottom w:val="nil"/>
              <w:right w:val="nil"/>
            </w:tcBorders>
          </w:tcPr>
          <w:p>
            <w:pPr>
              <w:pStyle w:val="TableParagraph"/>
              <w:ind w:left="204"/>
              <w:jc w:val="left"/>
              <w:rPr>
                <w:sz w:val="20"/>
              </w:rPr>
            </w:pPr>
            <w:r>
              <w:rPr>
                <w:sz w:val="20"/>
              </w:rPr>
              <w:t>35.53</w:t>
            </w:r>
          </w:p>
        </w:tc>
        <w:tc>
          <w:tcPr>
            <w:tcW w:w="869" w:type="dxa"/>
            <w:tcBorders>
              <w:top w:val="nil"/>
              <w:left w:val="nil"/>
              <w:bottom w:val="nil"/>
              <w:right w:val="nil"/>
            </w:tcBorders>
          </w:tcPr>
          <w:p>
            <w:pPr>
              <w:pStyle w:val="TableParagraph"/>
              <w:ind w:left="206"/>
              <w:jc w:val="left"/>
              <w:rPr>
                <w:sz w:val="20"/>
              </w:rPr>
            </w:pPr>
            <w:r>
              <w:rPr>
                <w:sz w:val="20"/>
              </w:rPr>
              <w:t>46.50</w:t>
            </w:r>
          </w:p>
        </w:tc>
        <w:tc>
          <w:tcPr>
            <w:tcW w:w="867" w:type="dxa"/>
            <w:tcBorders>
              <w:top w:val="nil"/>
              <w:left w:val="nil"/>
              <w:bottom w:val="nil"/>
              <w:right w:val="nil"/>
            </w:tcBorders>
          </w:tcPr>
          <w:p>
            <w:pPr>
              <w:pStyle w:val="TableParagraph"/>
              <w:ind w:left="206"/>
              <w:jc w:val="left"/>
              <w:rPr>
                <w:sz w:val="20"/>
              </w:rPr>
            </w:pPr>
            <w:r>
              <w:rPr>
                <w:sz w:val="20"/>
              </w:rPr>
              <w:t>46.50</w:t>
            </w:r>
          </w:p>
        </w:tc>
        <w:tc>
          <w:tcPr>
            <w:tcW w:w="867" w:type="dxa"/>
            <w:tcBorders>
              <w:top w:val="nil"/>
              <w:left w:val="nil"/>
              <w:bottom w:val="nil"/>
              <w:right w:val="nil"/>
            </w:tcBorders>
          </w:tcPr>
          <w:p>
            <w:pPr>
              <w:pStyle w:val="TableParagraph"/>
              <w:ind w:left="204"/>
              <w:jc w:val="left"/>
              <w:rPr>
                <w:sz w:val="20"/>
              </w:rPr>
            </w:pPr>
            <w:r>
              <w:rPr>
                <w:sz w:val="20"/>
              </w:rPr>
              <w:t>36.33</w:t>
            </w:r>
          </w:p>
        </w:tc>
        <w:tc>
          <w:tcPr>
            <w:tcW w:w="886" w:type="dxa"/>
            <w:tcBorders>
              <w:top w:val="nil"/>
              <w:left w:val="nil"/>
              <w:bottom w:val="nil"/>
              <w:right w:val="nil"/>
            </w:tcBorders>
          </w:tcPr>
          <w:p>
            <w:pPr>
              <w:pStyle w:val="TableParagraph"/>
              <w:ind w:left="206"/>
              <w:jc w:val="left"/>
              <w:rPr>
                <w:sz w:val="20"/>
              </w:rPr>
            </w:pPr>
            <w:r>
              <w:rPr>
                <w:sz w:val="20"/>
              </w:rPr>
              <w:t>36.33</w:t>
            </w:r>
          </w:p>
        </w:tc>
        <w:tc>
          <w:tcPr>
            <w:tcW w:w="867" w:type="dxa"/>
            <w:tcBorders>
              <w:top w:val="nil"/>
              <w:left w:val="nil"/>
              <w:bottom w:val="nil"/>
              <w:right w:val="nil"/>
            </w:tcBorders>
          </w:tcPr>
          <w:p>
            <w:pPr>
              <w:pStyle w:val="TableParagraph"/>
              <w:ind w:right="223"/>
              <w:rPr>
                <w:sz w:val="20"/>
              </w:rPr>
            </w:pPr>
            <w:r>
              <w:rPr>
                <w:sz w:val="20"/>
              </w:rPr>
              <w:t>0.00</w:t>
            </w:r>
          </w:p>
        </w:tc>
        <w:tc>
          <w:tcPr>
            <w:tcW w:w="843" w:type="dxa"/>
            <w:tcBorders>
              <w:top w:val="nil"/>
              <w:left w:val="nil"/>
              <w:bottom w:val="nil"/>
              <w:right w:val="nil"/>
            </w:tcBorders>
          </w:tcPr>
          <w:p>
            <w:pPr>
              <w:pStyle w:val="TableParagraph"/>
              <w:ind w:right="197"/>
              <w:rPr>
                <w:sz w:val="20"/>
              </w:rPr>
            </w:pPr>
            <w:r>
              <w:rPr>
                <w:sz w:val="20"/>
              </w:rPr>
              <w:t>0.00</w:t>
            </w:r>
          </w:p>
        </w:tc>
        <w:tc>
          <w:tcPr>
            <w:tcW w:w="733" w:type="dxa"/>
            <w:tcBorders>
              <w:top w:val="nil"/>
              <w:left w:val="nil"/>
              <w:bottom w:val="nil"/>
              <w:right w:val="nil"/>
            </w:tcBorders>
          </w:tcPr>
          <w:p>
            <w:pPr>
              <w:pStyle w:val="TableParagraph"/>
              <w:ind w:right="61"/>
              <w:rPr>
                <w:sz w:val="20"/>
              </w:rPr>
            </w:pPr>
            <w:r>
              <w:rPr>
                <w:sz w:val="20"/>
              </w:rPr>
              <w:t>0.00</w:t>
            </w:r>
          </w:p>
        </w:tc>
      </w:tr>
      <w:tr>
        <w:trPr>
          <w:trHeight w:val="298" w:hRule="exact"/>
        </w:trPr>
        <w:tc>
          <w:tcPr>
            <w:tcW w:w="1477" w:type="dxa"/>
            <w:tcBorders>
              <w:top w:val="nil"/>
              <w:left w:val="nil"/>
              <w:bottom w:val="nil"/>
              <w:right w:val="nil"/>
            </w:tcBorders>
          </w:tcPr>
          <w:p>
            <w:pPr>
              <w:pStyle w:val="TableParagraph"/>
              <w:ind w:left="86"/>
              <w:jc w:val="left"/>
              <w:rPr>
                <w:sz w:val="20"/>
              </w:rPr>
            </w:pPr>
            <w:r>
              <w:rPr>
                <w:sz w:val="20"/>
              </w:rPr>
              <w:t>TEJ_WmFdp</w:t>
            </w:r>
          </w:p>
        </w:tc>
        <w:tc>
          <w:tcPr>
            <w:tcW w:w="871" w:type="dxa"/>
            <w:tcBorders>
              <w:top w:val="nil"/>
              <w:left w:val="nil"/>
              <w:bottom w:val="nil"/>
              <w:right w:val="nil"/>
            </w:tcBorders>
          </w:tcPr>
          <w:p>
            <w:pPr>
              <w:pStyle w:val="TableParagraph"/>
              <w:ind w:right="204"/>
              <w:rPr>
                <w:sz w:val="20"/>
              </w:rPr>
            </w:pPr>
            <w:r>
              <w:rPr>
                <w:sz w:val="20"/>
              </w:rPr>
              <w:t>35.50</w:t>
            </w:r>
          </w:p>
        </w:tc>
        <w:tc>
          <w:tcPr>
            <w:tcW w:w="867" w:type="dxa"/>
            <w:tcBorders>
              <w:top w:val="nil"/>
              <w:left w:val="nil"/>
              <w:bottom w:val="nil"/>
              <w:right w:val="nil"/>
            </w:tcBorders>
          </w:tcPr>
          <w:p>
            <w:pPr>
              <w:pStyle w:val="TableParagraph"/>
              <w:ind w:right="202"/>
              <w:rPr>
                <w:sz w:val="20"/>
              </w:rPr>
            </w:pPr>
            <w:r>
              <w:rPr>
                <w:sz w:val="20"/>
              </w:rPr>
              <w:t>37.13</w:t>
            </w:r>
          </w:p>
        </w:tc>
        <w:tc>
          <w:tcPr>
            <w:tcW w:w="867" w:type="dxa"/>
            <w:tcBorders>
              <w:top w:val="nil"/>
              <w:left w:val="nil"/>
              <w:bottom w:val="nil"/>
              <w:right w:val="nil"/>
            </w:tcBorders>
          </w:tcPr>
          <w:p>
            <w:pPr>
              <w:pStyle w:val="TableParagraph"/>
              <w:ind w:left="204"/>
              <w:jc w:val="left"/>
              <w:rPr>
                <w:sz w:val="20"/>
              </w:rPr>
            </w:pPr>
            <w:r>
              <w:rPr>
                <w:sz w:val="20"/>
              </w:rPr>
              <w:t>37.13</w:t>
            </w:r>
          </w:p>
        </w:tc>
        <w:tc>
          <w:tcPr>
            <w:tcW w:w="869" w:type="dxa"/>
            <w:tcBorders>
              <w:top w:val="nil"/>
              <w:left w:val="nil"/>
              <w:bottom w:val="nil"/>
              <w:right w:val="nil"/>
            </w:tcBorders>
          </w:tcPr>
          <w:p>
            <w:pPr>
              <w:pStyle w:val="TableParagraph"/>
              <w:ind w:left="206"/>
              <w:jc w:val="left"/>
              <w:rPr>
                <w:sz w:val="20"/>
              </w:rPr>
            </w:pPr>
            <w:r>
              <w:rPr>
                <w:sz w:val="20"/>
              </w:rPr>
              <w:t>42.00</w:t>
            </w:r>
          </w:p>
        </w:tc>
        <w:tc>
          <w:tcPr>
            <w:tcW w:w="867" w:type="dxa"/>
            <w:tcBorders>
              <w:top w:val="nil"/>
              <w:left w:val="nil"/>
              <w:bottom w:val="nil"/>
              <w:right w:val="nil"/>
            </w:tcBorders>
          </w:tcPr>
          <w:p>
            <w:pPr>
              <w:pStyle w:val="TableParagraph"/>
              <w:ind w:left="206"/>
              <w:jc w:val="left"/>
              <w:rPr>
                <w:sz w:val="20"/>
              </w:rPr>
            </w:pPr>
            <w:r>
              <w:rPr>
                <w:sz w:val="20"/>
              </w:rPr>
              <w:t>42.00</w:t>
            </w:r>
          </w:p>
        </w:tc>
        <w:tc>
          <w:tcPr>
            <w:tcW w:w="867" w:type="dxa"/>
            <w:tcBorders>
              <w:top w:val="nil"/>
              <w:left w:val="nil"/>
              <w:bottom w:val="nil"/>
              <w:right w:val="nil"/>
            </w:tcBorders>
          </w:tcPr>
          <w:p>
            <w:pPr>
              <w:pStyle w:val="TableParagraph"/>
              <w:ind w:left="204"/>
              <w:jc w:val="left"/>
              <w:rPr>
                <w:sz w:val="20"/>
              </w:rPr>
            </w:pPr>
            <w:r>
              <w:rPr>
                <w:sz w:val="20"/>
              </w:rPr>
              <w:t>42.00</w:t>
            </w:r>
          </w:p>
        </w:tc>
        <w:tc>
          <w:tcPr>
            <w:tcW w:w="886" w:type="dxa"/>
            <w:tcBorders>
              <w:top w:val="nil"/>
              <w:left w:val="nil"/>
              <w:bottom w:val="nil"/>
              <w:right w:val="nil"/>
            </w:tcBorders>
          </w:tcPr>
          <w:p>
            <w:pPr>
              <w:pStyle w:val="TableParagraph"/>
              <w:ind w:left="206"/>
              <w:jc w:val="left"/>
              <w:rPr>
                <w:sz w:val="20"/>
              </w:rPr>
            </w:pPr>
            <w:r>
              <w:rPr>
                <w:sz w:val="20"/>
              </w:rPr>
              <w:t>42.00</w:t>
            </w:r>
          </w:p>
        </w:tc>
        <w:tc>
          <w:tcPr>
            <w:tcW w:w="867" w:type="dxa"/>
            <w:tcBorders>
              <w:top w:val="nil"/>
              <w:left w:val="nil"/>
              <w:bottom w:val="nil"/>
              <w:right w:val="nil"/>
            </w:tcBorders>
          </w:tcPr>
          <w:p>
            <w:pPr>
              <w:pStyle w:val="TableParagraph"/>
              <w:ind w:right="223"/>
              <w:rPr>
                <w:sz w:val="20"/>
              </w:rPr>
            </w:pPr>
            <w:r>
              <w:rPr>
                <w:sz w:val="20"/>
              </w:rPr>
              <w:t>0.00</w:t>
            </w:r>
          </w:p>
        </w:tc>
        <w:tc>
          <w:tcPr>
            <w:tcW w:w="843" w:type="dxa"/>
            <w:tcBorders>
              <w:top w:val="nil"/>
              <w:left w:val="nil"/>
              <w:bottom w:val="nil"/>
              <w:right w:val="nil"/>
            </w:tcBorders>
          </w:tcPr>
          <w:p>
            <w:pPr>
              <w:pStyle w:val="TableParagraph"/>
              <w:ind w:right="197"/>
              <w:rPr>
                <w:sz w:val="20"/>
              </w:rPr>
            </w:pPr>
            <w:r>
              <w:rPr>
                <w:sz w:val="20"/>
              </w:rPr>
              <w:t>0.00</w:t>
            </w:r>
          </w:p>
        </w:tc>
        <w:tc>
          <w:tcPr>
            <w:tcW w:w="733" w:type="dxa"/>
            <w:tcBorders>
              <w:top w:val="nil"/>
              <w:left w:val="nil"/>
              <w:bottom w:val="nil"/>
              <w:right w:val="nil"/>
            </w:tcBorders>
          </w:tcPr>
          <w:p>
            <w:pPr>
              <w:pStyle w:val="TableParagraph"/>
              <w:ind w:right="61"/>
              <w:rPr>
                <w:sz w:val="20"/>
              </w:rPr>
            </w:pPr>
            <w:r>
              <w:rPr>
                <w:sz w:val="20"/>
              </w:rPr>
              <w:t>0.00</w:t>
            </w:r>
          </w:p>
        </w:tc>
      </w:tr>
      <w:tr>
        <w:trPr>
          <w:trHeight w:val="268" w:hRule="exact"/>
        </w:trPr>
        <w:tc>
          <w:tcPr>
            <w:tcW w:w="1477" w:type="dxa"/>
            <w:tcBorders>
              <w:top w:val="nil"/>
              <w:left w:val="nil"/>
              <w:right w:val="nil"/>
            </w:tcBorders>
          </w:tcPr>
          <w:p>
            <w:pPr>
              <w:pStyle w:val="TableParagraph"/>
              <w:ind w:left="86"/>
              <w:jc w:val="left"/>
              <w:rPr>
                <w:sz w:val="20"/>
              </w:rPr>
            </w:pPr>
            <w:r>
              <w:rPr>
                <w:sz w:val="20"/>
              </w:rPr>
              <w:t>TEJ_WmSF</w:t>
            </w:r>
          </w:p>
        </w:tc>
        <w:tc>
          <w:tcPr>
            <w:tcW w:w="871" w:type="dxa"/>
            <w:tcBorders>
              <w:top w:val="nil"/>
              <w:left w:val="nil"/>
              <w:right w:val="nil"/>
            </w:tcBorders>
          </w:tcPr>
          <w:p>
            <w:pPr>
              <w:pStyle w:val="TableParagraph"/>
              <w:ind w:right="204"/>
              <w:rPr>
                <w:sz w:val="20"/>
              </w:rPr>
            </w:pPr>
            <w:r>
              <w:rPr>
                <w:sz w:val="20"/>
              </w:rPr>
              <w:t>32.30</w:t>
            </w:r>
          </w:p>
        </w:tc>
        <w:tc>
          <w:tcPr>
            <w:tcW w:w="867" w:type="dxa"/>
            <w:tcBorders>
              <w:top w:val="nil"/>
              <w:left w:val="nil"/>
              <w:right w:val="nil"/>
            </w:tcBorders>
          </w:tcPr>
          <w:p>
            <w:pPr>
              <w:pStyle w:val="TableParagraph"/>
              <w:ind w:right="202"/>
              <w:rPr>
                <w:sz w:val="20"/>
              </w:rPr>
            </w:pPr>
            <w:r>
              <w:rPr>
                <w:sz w:val="20"/>
              </w:rPr>
              <w:t>30.46</w:t>
            </w:r>
          </w:p>
        </w:tc>
        <w:tc>
          <w:tcPr>
            <w:tcW w:w="867" w:type="dxa"/>
            <w:tcBorders>
              <w:top w:val="nil"/>
              <w:left w:val="nil"/>
              <w:right w:val="nil"/>
            </w:tcBorders>
          </w:tcPr>
          <w:p>
            <w:pPr>
              <w:pStyle w:val="TableParagraph"/>
              <w:ind w:left="204"/>
              <w:jc w:val="left"/>
              <w:rPr>
                <w:sz w:val="20"/>
              </w:rPr>
            </w:pPr>
            <w:r>
              <w:rPr>
                <w:sz w:val="20"/>
              </w:rPr>
              <w:t>32.23</w:t>
            </w:r>
          </w:p>
        </w:tc>
        <w:tc>
          <w:tcPr>
            <w:tcW w:w="869" w:type="dxa"/>
            <w:tcBorders>
              <w:top w:val="nil"/>
              <w:left w:val="nil"/>
              <w:right w:val="nil"/>
            </w:tcBorders>
          </w:tcPr>
          <w:p>
            <w:pPr>
              <w:pStyle w:val="TableParagraph"/>
              <w:ind w:left="206"/>
              <w:jc w:val="left"/>
              <w:rPr>
                <w:sz w:val="20"/>
              </w:rPr>
            </w:pPr>
            <w:r>
              <w:rPr>
                <w:sz w:val="20"/>
              </w:rPr>
              <w:t>25.78</w:t>
            </w:r>
          </w:p>
        </w:tc>
        <w:tc>
          <w:tcPr>
            <w:tcW w:w="867" w:type="dxa"/>
            <w:tcBorders>
              <w:top w:val="nil"/>
              <w:left w:val="nil"/>
              <w:right w:val="nil"/>
            </w:tcBorders>
          </w:tcPr>
          <w:p>
            <w:pPr>
              <w:pStyle w:val="TableParagraph"/>
              <w:ind w:left="206"/>
              <w:jc w:val="left"/>
              <w:rPr>
                <w:sz w:val="20"/>
              </w:rPr>
            </w:pPr>
            <w:r>
              <w:rPr>
                <w:sz w:val="20"/>
              </w:rPr>
              <w:t>32.00</w:t>
            </w:r>
          </w:p>
        </w:tc>
        <w:tc>
          <w:tcPr>
            <w:tcW w:w="867" w:type="dxa"/>
            <w:tcBorders>
              <w:top w:val="nil"/>
              <w:left w:val="nil"/>
              <w:right w:val="nil"/>
            </w:tcBorders>
          </w:tcPr>
          <w:p>
            <w:pPr>
              <w:pStyle w:val="TableParagraph"/>
              <w:ind w:left="204"/>
              <w:jc w:val="left"/>
              <w:rPr>
                <w:sz w:val="20"/>
              </w:rPr>
            </w:pPr>
            <w:r>
              <w:rPr>
                <w:sz w:val="20"/>
              </w:rPr>
              <w:t>32.00</w:t>
            </w:r>
          </w:p>
        </w:tc>
        <w:tc>
          <w:tcPr>
            <w:tcW w:w="886" w:type="dxa"/>
            <w:tcBorders>
              <w:top w:val="nil"/>
              <w:left w:val="nil"/>
              <w:right w:val="nil"/>
            </w:tcBorders>
          </w:tcPr>
          <w:p>
            <w:pPr>
              <w:pStyle w:val="TableParagraph"/>
              <w:ind w:left="206"/>
              <w:jc w:val="left"/>
              <w:rPr>
                <w:sz w:val="20"/>
              </w:rPr>
            </w:pPr>
            <w:r>
              <w:rPr>
                <w:sz w:val="20"/>
              </w:rPr>
              <w:t>32.00</w:t>
            </w:r>
          </w:p>
        </w:tc>
        <w:tc>
          <w:tcPr>
            <w:tcW w:w="867" w:type="dxa"/>
            <w:tcBorders>
              <w:top w:val="nil"/>
              <w:left w:val="nil"/>
              <w:right w:val="nil"/>
            </w:tcBorders>
          </w:tcPr>
          <w:p>
            <w:pPr>
              <w:pStyle w:val="TableParagraph"/>
              <w:ind w:right="223"/>
              <w:rPr>
                <w:sz w:val="20"/>
              </w:rPr>
            </w:pPr>
            <w:r>
              <w:rPr>
                <w:sz w:val="20"/>
              </w:rPr>
              <w:t>0.00</w:t>
            </w:r>
          </w:p>
        </w:tc>
        <w:tc>
          <w:tcPr>
            <w:tcW w:w="843" w:type="dxa"/>
            <w:tcBorders>
              <w:top w:val="nil"/>
              <w:left w:val="nil"/>
              <w:right w:val="nil"/>
            </w:tcBorders>
          </w:tcPr>
          <w:p>
            <w:pPr>
              <w:pStyle w:val="TableParagraph"/>
              <w:ind w:right="197"/>
              <w:rPr>
                <w:sz w:val="20"/>
              </w:rPr>
            </w:pPr>
            <w:r>
              <w:rPr>
                <w:sz w:val="20"/>
              </w:rPr>
              <w:t>0.00</w:t>
            </w:r>
          </w:p>
        </w:tc>
        <w:tc>
          <w:tcPr>
            <w:tcW w:w="733" w:type="dxa"/>
            <w:tcBorders>
              <w:top w:val="nil"/>
              <w:left w:val="nil"/>
              <w:right w:val="nil"/>
            </w:tcBorders>
          </w:tcPr>
          <w:p>
            <w:pPr>
              <w:pStyle w:val="TableParagraph"/>
              <w:ind w:right="61"/>
              <w:rPr>
                <w:sz w:val="20"/>
              </w:rPr>
            </w:pPr>
            <w:r>
              <w:rPr>
                <w:sz w:val="20"/>
              </w:rPr>
              <w:t>0.00</w:t>
            </w:r>
          </w:p>
        </w:tc>
      </w:tr>
    </w:tbl>
    <w:p>
      <w:pPr>
        <w:pStyle w:val="BodyText"/>
        <w:rPr>
          <w:b/>
          <w:sz w:val="20"/>
        </w:rPr>
      </w:pPr>
    </w:p>
    <w:p>
      <w:pPr>
        <w:pStyle w:val="BodyText"/>
        <w:rPr>
          <w:b/>
          <w:sz w:val="20"/>
        </w:rPr>
      </w:pPr>
    </w:p>
    <w:p>
      <w:pPr>
        <w:pStyle w:val="BodyText"/>
        <w:rPr>
          <w:b/>
          <w:sz w:val="20"/>
        </w:rPr>
      </w:pPr>
    </w:p>
    <w:p>
      <w:pPr>
        <w:spacing w:before="200"/>
        <w:ind w:left="2272" w:right="0" w:firstLine="0"/>
        <w:jc w:val="left"/>
        <w:rPr>
          <w:b/>
          <w:sz w:val="26"/>
        </w:rPr>
      </w:pPr>
      <w:bookmarkStart w:name="_bookmark154" w:id="213"/>
      <w:bookmarkEnd w:id="213"/>
      <w:r>
        <w:rPr/>
      </w:r>
      <w:r>
        <w:rPr>
          <w:b/>
          <w:sz w:val="26"/>
        </w:rPr>
        <w:t>Tabla 17. Contenido de fragmentos de roca del suelo</w:t>
      </w:r>
    </w:p>
    <w:p>
      <w:pPr>
        <w:pStyle w:val="BodyText"/>
        <w:rPr>
          <w:b/>
          <w:sz w:val="20"/>
        </w:rPr>
      </w:pPr>
    </w:p>
    <w:p>
      <w:pPr>
        <w:pStyle w:val="BodyText"/>
        <w:spacing w:before="10" w:after="1"/>
        <w:rPr>
          <w:b/>
          <w:sz w:val="23"/>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72"/>
        <w:gridCol w:w="861"/>
        <w:gridCol w:w="857"/>
        <w:gridCol w:w="857"/>
        <w:gridCol w:w="857"/>
        <w:gridCol w:w="857"/>
        <w:gridCol w:w="857"/>
        <w:gridCol w:w="879"/>
        <w:gridCol w:w="857"/>
        <w:gridCol w:w="831"/>
        <w:gridCol w:w="725"/>
      </w:tblGrid>
      <w:tr>
        <w:trPr>
          <w:trHeight w:val="395" w:hRule="exact"/>
        </w:trPr>
        <w:tc>
          <w:tcPr>
            <w:tcW w:w="1472" w:type="dxa"/>
            <w:tcBorders>
              <w:left w:val="nil"/>
              <w:bottom w:val="nil"/>
              <w:right w:val="nil"/>
            </w:tcBorders>
          </w:tcPr>
          <w:p>
            <w:pPr>
              <w:pStyle w:val="TableParagraph"/>
              <w:spacing w:before="178"/>
              <w:ind w:left="91"/>
              <w:jc w:val="left"/>
              <w:rPr>
                <w:sz w:val="20"/>
              </w:rPr>
            </w:pPr>
            <w:r>
              <w:rPr>
                <w:sz w:val="20"/>
              </w:rPr>
              <w:t>Nombre/Clave</w:t>
            </w:r>
          </w:p>
        </w:tc>
        <w:tc>
          <w:tcPr>
            <w:tcW w:w="861" w:type="dxa"/>
            <w:tcBorders>
              <w:left w:val="nil"/>
              <w:bottom w:val="nil"/>
              <w:right w:val="nil"/>
            </w:tcBorders>
          </w:tcPr>
          <w:p>
            <w:pPr/>
          </w:p>
        </w:tc>
        <w:tc>
          <w:tcPr>
            <w:tcW w:w="857" w:type="dxa"/>
            <w:tcBorders>
              <w:left w:val="nil"/>
              <w:bottom w:val="nil"/>
              <w:right w:val="nil"/>
            </w:tcBorders>
          </w:tcPr>
          <w:p>
            <w:pPr/>
          </w:p>
        </w:tc>
        <w:tc>
          <w:tcPr>
            <w:tcW w:w="857" w:type="dxa"/>
            <w:tcBorders>
              <w:left w:val="nil"/>
              <w:bottom w:val="nil"/>
              <w:right w:val="nil"/>
            </w:tcBorders>
          </w:tcPr>
          <w:p>
            <w:pPr/>
          </w:p>
        </w:tc>
        <w:tc>
          <w:tcPr>
            <w:tcW w:w="2571" w:type="dxa"/>
            <w:gridSpan w:val="3"/>
            <w:tcBorders>
              <w:left w:val="nil"/>
              <w:bottom w:val="nil"/>
              <w:right w:val="nil"/>
            </w:tcBorders>
          </w:tcPr>
          <w:p>
            <w:pPr>
              <w:pStyle w:val="TableParagraph"/>
              <w:spacing w:before="63"/>
              <w:ind w:left="715"/>
              <w:jc w:val="left"/>
              <w:rPr>
                <w:sz w:val="20"/>
              </w:rPr>
            </w:pPr>
            <w:r>
              <w:rPr>
                <w:sz w:val="20"/>
              </w:rPr>
              <w:t>N° de capas del suelo</w:t>
            </w:r>
          </w:p>
        </w:tc>
        <w:tc>
          <w:tcPr>
            <w:tcW w:w="879" w:type="dxa"/>
            <w:tcBorders>
              <w:left w:val="nil"/>
              <w:bottom w:val="nil"/>
              <w:right w:val="nil"/>
            </w:tcBorders>
          </w:tcPr>
          <w:p>
            <w:pPr/>
          </w:p>
        </w:tc>
        <w:tc>
          <w:tcPr>
            <w:tcW w:w="857" w:type="dxa"/>
            <w:tcBorders>
              <w:left w:val="nil"/>
              <w:bottom w:val="nil"/>
              <w:right w:val="nil"/>
            </w:tcBorders>
          </w:tcPr>
          <w:p>
            <w:pPr/>
          </w:p>
        </w:tc>
        <w:tc>
          <w:tcPr>
            <w:tcW w:w="831" w:type="dxa"/>
            <w:tcBorders>
              <w:left w:val="nil"/>
              <w:bottom w:val="nil"/>
              <w:right w:val="nil"/>
            </w:tcBorders>
          </w:tcPr>
          <w:p>
            <w:pPr/>
          </w:p>
        </w:tc>
        <w:tc>
          <w:tcPr>
            <w:tcW w:w="725" w:type="dxa"/>
            <w:tcBorders>
              <w:left w:val="nil"/>
              <w:bottom w:val="nil"/>
              <w:right w:val="nil"/>
            </w:tcBorders>
          </w:tcPr>
          <w:p>
            <w:pPr/>
          </w:p>
        </w:tc>
      </w:tr>
      <w:tr>
        <w:trPr>
          <w:trHeight w:val="215" w:hRule="exact"/>
        </w:trPr>
        <w:tc>
          <w:tcPr>
            <w:tcW w:w="1472" w:type="dxa"/>
            <w:tcBorders>
              <w:top w:val="nil"/>
              <w:left w:val="nil"/>
              <w:right w:val="nil"/>
            </w:tcBorders>
          </w:tcPr>
          <w:p>
            <w:pPr/>
          </w:p>
        </w:tc>
        <w:tc>
          <w:tcPr>
            <w:tcW w:w="861" w:type="dxa"/>
            <w:tcBorders>
              <w:top w:val="nil"/>
              <w:left w:val="nil"/>
              <w:right w:val="nil"/>
            </w:tcBorders>
          </w:tcPr>
          <w:p>
            <w:pPr>
              <w:pStyle w:val="TableParagraph"/>
              <w:spacing w:line="201" w:lineRule="exact" w:before="0"/>
              <w:ind w:left="246"/>
              <w:jc w:val="left"/>
              <w:rPr>
                <w:sz w:val="20"/>
              </w:rPr>
            </w:pPr>
            <w:r>
              <w:rPr>
                <w:w w:val="100"/>
                <w:sz w:val="20"/>
              </w:rPr>
              <w:t>1</w:t>
            </w:r>
          </w:p>
        </w:tc>
        <w:tc>
          <w:tcPr>
            <w:tcW w:w="857" w:type="dxa"/>
            <w:tcBorders>
              <w:top w:val="nil"/>
              <w:left w:val="nil"/>
              <w:right w:val="nil"/>
            </w:tcBorders>
          </w:tcPr>
          <w:p>
            <w:pPr>
              <w:pStyle w:val="TableParagraph"/>
              <w:spacing w:line="201" w:lineRule="exact" w:before="0"/>
              <w:ind w:left="245"/>
              <w:jc w:val="left"/>
              <w:rPr>
                <w:sz w:val="20"/>
              </w:rPr>
            </w:pPr>
            <w:r>
              <w:rPr>
                <w:w w:val="100"/>
                <w:sz w:val="20"/>
              </w:rPr>
              <w:t>2</w:t>
            </w:r>
          </w:p>
        </w:tc>
        <w:tc>
          <w:tcPr>
            <w:tcW w:w="857" w:type="dxa"/>
            <w:tcBorders>
              <w:top w:val="nil"/>
              <w:left w:val="nil"/>
              <w:right w:val="nil"/>
            </w:tcBorders>
          </w:tcPr>
          <w:p>
            <w:pPr>
              <w:pStyle w:val="TableParagraph"/>
              <w:spacing w:line="201" w:lineRule="exact" w:before="0"/>
              <w:ind w:left="242"/>
              <w:jc w:val="left"/>
              <w:rPr>
                <w:sz w:val="20"/>
              </w:rPr>
            </w:pPr>
            <w:r>
              <w:rPr>
                <w:w w:val="100"/>
                <w:sz w:val="20"/>
              </w:rPr>
              <w:t>3</w:t>
            </w:r>
          </w:p>
        </w:tc>
        <w:tc>
          <w:tcPr>
            <w:tcW w:w="857" w:type="dxa"/>
            <w:tcBorders>
              <w:top w:val="nil"/>
              <w:left w:val="nil"/>
              <w:right w:val="nil"/>
            </w:tcBorders>
          </w:tcPr>
          <w:p>
            <w:pPr>
              <w:pStyle w:val="TableParagraph"/>
              <w:spacing w:line="201" w:lineRule="exact" w:before="0"/>
              <w:ind w:left="244"/>
              <w:jc w:val="left"/>
              <w:rPr>
                <w:sz w:val="20"/>
              </w:rPr>
            </w:pPr>
            <w:r>
              <w:rPr>
                <w:w w:val="100"/>
                <w:sz w:val="20"/>
              </w:rPr>
              <w:t>4</w:t>
            </w:r>
          </w:p>
        </w:tc>
        <w:tc>
          <w:tcPr>
            <w:tcW w:w="857" w:type="dxa"/>
            <w:tcBorders>
              <w:top w:val="nil"/>
              <w:left w:val="nil"/>
              <w:right w:val="nil"/>
            </w:tcBorders>
          </w:tcPr>
          <w:p>
            <w:pPr>
              <w:pStyle w:val="TableParagraph"/>
              <w:spacing w:line="201" w:lineRule="exact" w:before="0"/>
              <w:ind w:left="242"/>
              <w:jc w:val="left"/>
              <w:rPr>
                <w:sz w:val="20"/>
              </w:rPr>
            </w:pPr>
            <w:r>
              <w:rPr>
                <w:w w:val="100"/>
                <w:sz w:val="20"/>
              </w:rPr>
              <w:t>5</w:t>
            </w:r>
          </w:p>
        </w:tc>
        <w:tc>
          <w:tcPr>
            <w:tcW w:w="857" w:type="dxa"/>
            <w:tcBorders>
              <w:top w:val="nil"/>
              <w:left w:val="nil"/>
              <w:right w:val="nil"/>
            </w:tcBorders>
          </w:tcPr>
          <w:p>
            <w:pPr>
              <w:pStyle w:val="TableParagraph"/>
              <w:spacing w:line="201" w:lineRule="exact" w:before="0"/>
              <w:ind w:left="244"/>
              <w:jc w:val="left"/>
              <w:rPr>
                <w:sz w:val="20"/>
              </w:rPr>
            </w:pPr>
            <w:r>
              <w:rPr>
                <w:w w:val="100"/>
                <w:sz w:val="20"/>
              </w:rPr>
              <w:t>6</w:t>
            </w:r>
          </w:p>
        </w:tc>
        <w:tc>
          <w:tcPr>
            <w:tcW w:w="879" w:type="dxa"/>
            <w:tcBorders>
              <w:top w:val="nil"/>
              <w:left w:val="nil"/>
              <w:right w:val="nil"/>
            </w:tcBorders>
          </w:tcPr>
          <w:p>
            <w:pPr>
              <w:pStyle w:val="TableParagraph"/>
              <w:spacing w:line="201" w:lineRule="exact" w:before="0"/>
              <w:ind w:left="242"/>
              <w:jc w:val="left"/>
              <w:rPr>
                <w:sz w:val="20"/>
              </w:rPr>
            </w:pPr>
            <w:r>
              <w:rPr>
                <w:w w:val="100"/>
                <w:sz w:val="20"/>
              </w:rPr>
              <w:t>7</w:t>
            </w:r>
          </w:p>
        </w:tc>
        <w:tc>
          <w:tcPr>
            <w:tcW w:w="857" w:type="dxa"/>
            <w:tcBorders>
              <w:top w:val="nil"/>
              <w:left w:val="nil"/>
              <w:right w:val="nil"/>
            </w:tcBorders>
          </w:tcPr>
          <w:p>
            <w:pPr>
              <w:pStyle w:val="TableParagraph"/>
              <w:spacing w:line="201" w:lineRule="exact" w:before="0"/>
              <w:ind w:left="223"/>
              <w:jc w:val="left"/>
              <w:rPr>
                <w:sz w:val="20"/>
              </w:rPr>
            </w:pPr>
            <w:r>
              <w:rPr>
                <w:w w:val="100"/>
                <w:sz w:val="20"/>
              </w:rPr>
              <w:t>8</w:t>
            </w:r>
          </w:p>
        </w:tc>
        <w:tc>
          <w:tcPr>
            <w:tcW w:w="831" w:type="dxa"/>
            <w:tcBorders>
              <w:top w:val="nil"/>
              <w:left w:val="nil"/>
              <w:right w:val="nil"/>
            </w:tcBorders>
          </w:tcPr>
          <w:p>
            <w:pPr>
              <w:pStyle w:val="TableParagraph"/>
              <w:spacing w:line="201" w:lineRule="exact" w:before="0"/>
              <w:ind w:left="220"/>
              <w:jc w:val="left"/>
              <w:rPr>
                <w:sz w:val="20"/>
              </w:rPr>
            </w:pPr>
            <w:r>
              <w:rPr>
                <w:w w:val="100"/>
                <w:sz w:val="20"/>
              </w:rPr>
              <w:t>9</w:t>
            </w:r>
          </w:p>
        </w:tc>
        <w:tc>
          <w:tcPr>
            <w:tcW w:w="725" w:type="dxa"/>
            <w:tcBorders>
              <w:top w:val="nil"/>
              <w:left w:val="nil"/>
              <w:right w:val="nil"/>
            </w:tcBorders>
          </w:tcPr>
          <w:p>
            <w:pPr>
              <w:pStyle w:val="TableParagraph"/>
              <w:spacing w:line="201" w:lineRule="exact" w:before="0"/>
              <w:ind w:left="197"/>
              <w:jc w:val="left"/>
              <w:rPr>
                <w:sz w:val="20"/>
              </w:rPr>
            </w:pPr>
            <w:r>
              <w:rPr>
                <w:sz w:val="20"/>
              </w:rPr>
              <w:t>10</w:t>
            </w:r>
          </w:p>
        </w:tc>
      </w:tr>
      <w:tr>
        <w:trPr>
          <w:trHeight w:val="337" w:hRule="exact"/>
        </w:trPr>
        <w:tc>
          <w:tcPr>
            <w:tcW w:w="1472" w:type="dxa"/>
            <w:tcBorders>
              <w:left w:val="nil"/>
              <w:bottom w:val="nil"/>
              <w:right w:val="nil"/>
            </w:tcBorders>
          </w:tcPr>
          <w:p>
            <w:pPr>
              <w:pStyle w:val="TableParagraph"/>
              <w:spacing w:before="58"/>
              <w:ind w:left="86"/>
              <w:jc w:val="left"/>
              <w:rPr>
                <w:sz w:val="20"/>
              </w:rPr>
            </w:pPr>
            <w:r>
              <w:rPr>
                <w:sz w:val="20"/>
              </w:rPr>
              <w:t>TEJ_HhFd</w:t>
            </w:r>
          </w:p>
        </w:tc>
        <w:tc>
          <w:tcPr>
            <w:tcW w:w="861" w:type="dxa"/>
            <w:tcBorders>
              <w:left w:val="nil"/>
              <w:bottom w:val="nil"/>
              <w:right w:val="nil"/>
            </w:tcBorders>
          </w:tcPr>
          <w:p>
            <w:pPr>
              <w:pStyle w:val="TableParagraph"/>
              <w:spacing w:before="58"/>
              <w:ind w:right="199"/>
              <w:rPr>
                <w:sz w:val="20"/>
              </w:rPr>
            </w:pPr>
            <w:r>
              <w:rPr>
                <w:sz w:val="20"/>
              </w:rPr>
              <w:t>0.00</w:t>
            </w:r>
          </w:p>
        </w:tc>
        <w:tc>
          <w:tcPr>
            <w:tcW w:w="857" w:type="dxa"/>
            <w:tcBorders>
              <w:left w:val="nil"/>
              <w:bottom w:val="nil"/>
              <w:right w:val="nil"/>
            </w:tcBorders>
          </w:tcPr>
          <w:p>
            <w:pPr>
              <w:pStyle w:val="TableParagraph"/>
              <w:spacing w:before="58"/>
              <w:ind w:left="302"/>
              <w:jc w:val="left"/>
              <w:rPr>
                <w:sz w:val="20"/>
              </w:rPr>
            </w:pPr>
            <w:r>
              <w:rPr>
                <w:sz w:val="20"/>
              </w:rPr>
              <w:t>0.00</w:t>
            </w:r>
          </w:p>
        </w:tc>
        <w:tc>
          <w:tcPr>
            <w:tcW w:w="857" w:type="dxa"/>
            <w:tcBorders>
              <w:left w:val="nil"/>
              <w:bottom w:val="nil"/>
              <w:right w:val="nil"/>
            </w:tcBorders>
          </w:tcPr>
          <w:p>
            <w:pPr>
              <w:pStyle w:val="TableParagraph"/>
              <w:spacing w:before="58"/>
              <w:ind w:right="199"/>
              <w:rPr>
                <w:sz w:val="20"/>
              </w:rPr>
            </w:pPr>
            <w:r>
              <w:rPr>
                <w:sz w:val="20"/>
              </w:rPr>
              <w:t>0.00</w:t>
            </w:r>
          </w:p>
        </w:tc>
        <w:tc>
          <w:tcPr>
            <w:tcW w:w="857" w:type="dxa"/>
            <w:tcBorders>
              <w:left w:val="nil"/>
              <w:bottom w:val="nil"/>
              <w:right w:val="nil"/>
            </w:tcBorders>
          </w:tcPr>
          <w:p>
            <w:pPr>
              <w:pStyle w:val="TableParagraph"/>
              <w:spacing w:before="58"/>
              <w:ind w:right="197"/>
              <w:rPr>
                <w:sz w:val="20"/>
              </w:rPr>
            </w:pPr>
            <w:r>
              <w:rPr>
                <w:sz w:val="20"/>
              </w:rPr>
              <w:t>0.00</w:t>
            </w:r>
          </w:p>
        </w:tc>
        <w:tc>
          <w:tcPr>
            <w:tcW w:w="857" w:type="dxa"/>
            <w:tcBorders>
              <w:left w:val="nil"/>
              <w:bottom w:val="nil"/>
              <w:right w:val="nil"/>
            </w:tcBorders>
          </w:tcPr>
          <w:p>
            <w:pPr>
              <w:pStyle w:val="TableParagraph"/>
              <w:spacing w:before="58"/>
              <w:ind w:right="199"/>
              <w:rPr>
                <w:sz w:val="20"/>
              </w:rPr>
            </w:pPr>
            <w:r>
              <w:rPr>
                <w:sz w:val="20"/>
              </w:rPr>
              <w:t>0.00</w:t>
            </w:r>
          </w:p>
        </w:tc>
        <w:tc>
          <w:tcPr>
            <w:tcW w:w="857" w:type="dxa"/>
            <w:tcBorders>
              <w:left w:val="nil"/>
              <w:bottom w:val="nil"/>
              <w:right w:val="nil"/>
            </w:tcBorders>
          </w:tcPr>
          <w:p>
            <w:pPr>
              <w:pStyle w:val="TableParagraph"/>
              <w:spacing w:before="58"/>
              <w:ind w:left="302"/>
              <w:jc w:val="left"/>
              <w:rPr>
                <w:sz w:val="20"/>
              </w:rPr>
            </w:pPr>
            <w:r>
              <w:rPr>
                <w:sz w:val="20"/>
              </w:rPr>
              <w:t>0.00</w:t>
            </w:r>
          </w:p>
        </w:tc>
        <w:tc>
          <w:tcPr>
            <w:tcW w:w="879" w:type="dxa"/>
            <w:tcBorders>
              <w:left w:val="nil"/>
              <w:bottom w:val="nil"/>
              <w:right w:val="nil"/>
            </w:tcBorders>
          </w:tcPr>
          <w:p>
            <w:pPr>
              <w:pStyle w:val="TableParagraph"/>
              <w:spacing w:before="58"/>
              <w:ind w:right="221"/>
              <w:rPr>
                <w:sz w:val="20"/>
              </w:rPr>
            </w:pPr>
            <w:r>
              <w:rPr>
                <w:sz w:val="20"/>
              </w:rPr>
              <w:t>0.00</w:t>
            </w:r>
          </w:p>
        </w:tc>
        <w:tc>
          <w:tcPr>
            <w:tcW w:w="857" w:type="dxa"/>
            <w:tcBorders>
              <w:left w:val="nil"/>
              <w:bottom w:val="nil"/>
              <w:right w:val="nil"/>
            </w:tcBorders>
          </w:tcPr>
          <w:p>
            <w:pPr>
              <w:pStyle w:val="TableParagraph"/>
              <w:spacing w:before="58"/>
              <w:ind w:left="281"/>
              <w:jc w:val="left"/>
              <w:rPr>
                <w:sz w:val="20"/>
              </w:rPr>
            </w:pPr>
            <w:r>
              <w:rPr>
                <w:sz w:val="20"/>
              </w:rPr>
              <w:t>0.00</w:t>
            </w:r>
          </w:p>
        </w:tc>
        <w:tc>
          <w:tcPr>
            <w:tcW w:w="831" w:type="dxa"/>
            <w:tcBorders>
              <w:left w:val="nil"/>
              <w:bottom w:val="nil"/>
              <w:right w:val="nil"/>
            </w:tcBorders>
          </w:tcPr>
          <w:p>
            <w:pPr>
              <w:pStyle w:val="TableParagraph"/>
              <w:spacing w:before="58"/>
              <w:ind w:left="278" w:right="84"/>
              <w:jc w:val="left"/>
              <w:rPr>
                <w:sz w:val="20"/>
              </w:rPr>
            </w:pPr>
            <w:r>
              <w:rPr>
                <w:sz w:val="20"/>
              </w:rPr>
              <w:t>0.00</w:t>
            </w:r>
          </w:p>
        </w:tc>
        <w:tc>
          <w:tcPr>
            <w:tcW w:w="725" w:type="dxa"/>
            <w:tcBorders>
              <w:left w:val="nil"/>
              <w:bottom w:val="nil"/>
              <w:right w:val="nil"/>
            </w:tcBorders>
          </w:tcPr>
          <w:p>
            <w:pPr>
              <w:pStyle w:val="TableParagraph"/>
              <w:spacing w:before="58"/>
              <w:ind w:right="60"/>
              <w:rPr>
                <w:sz w:val="20"/>
              </w:rPr>
            </w:pPr>
            <w:r>
              <w:rPr>
                <w:sz w:val="20"/>
              </w:rPr>
              <w:t>0.00</w:t>
            </w:r>
          </w:p>
        </w:tc>
      </w:tr>
      <w:tr>
        <w:trPr>
          <w:trHeight w:val="298" w:hRule="exact"/>
        </w:trPr>
        <w:tc>
          <w:tcPr>
            <w:tcW w:w="1472" w:type="dxa"/>
            <w:tcBorders>
              <w:top w:val="nil"/>
              <w:left w:val="nil"/>
              <w:bottom w:val="nil"/>
              <w:right w:val="nil"/>
            </w:tcBorders>
          </w:tcPr>
          <w:p>
            <w:pPr>
              <w:pStyle w:val="TableParagraph"/>
              <w:ind w:left="86"/>
              <w:jc w:val="left"/>
              <w:rPr>
                <w:sz w:val="20"/>
              </w:rPr>
            </w:pPr>
            <w:r>
              <w:rPr>
                <w:sz w:val="20"/>
              </w:rPr>
              <w:t>TEJ_HhFdp</w:t>
            </w:r>
          </w:p>
        </w:tc>
        <w:tc>
          <w:tcPr>
            <w:tcW w:w="861" w:type="dxa"/>
            <w:tcBorders>
              <w:top w:val="nil"/>
              <w:left w:val="nil"/>
              <w:bottom w:val="nil"/>
              <w:right w:val="nil"/>
            </w:tcBorders>
          </w:tcPr>
          <w:p>
            <w:pPr>
              <w:pStyle w:val="TableParagraph"/>
              <w:ind w:right="199"/>
              <w:rPr>
                <w:sz w:val="20"/>
              </w:rPr>
            </w:pPr>
            <w:r>
              <w:rPr>
                <w:sz w:val="20"/>
              </w:rPr>
              <w:t>0.00</w:t>
            </w:r>
          </w:p>
        </w:tc>
        <w:tc>
          <w:tcPr>
            <w:tcW w:w="857" w:type="dxa"/>
            <w:tcBorders>
              <w:top w:val="nil"/>
              <w:left w:val="nil"/>
              <w:bottom w:val="nil"/>
              <w:right w:val="nil"/>
            </w:tcBorders>
          </w:tcPr>
          <w:p>
            <w:pPr>
              <w:pStyle w:val="TableParagraph"/>
              <w:ind w:left="302"/>
              <w:jc w:val="left"/>
              <w:rPr>
                <w:sz w:val="20"/>
              </w:rPr>
            </w:pPr>
            <w:r>
              <w:rPr>
                <w:sz w:val="20"/>
              </w:rPr>
              <w:t>0.00</w:t>
            </w:r>
          </w:p>
        </w:tc>
        <w:tc>
          <w:tcPr>
            <w:tcW w:w="857" w:type="dxa"/>
            <w:tcBorders>
              <w:top w:val="nil"/>
              <w:left w:val="nil"/>
              <w:bottom w:val="nil"/>
              <w:right w:val="nil"/>
            </w:tcBorders>
          </w:tcPr>
          <w:p>
            <w:pPr>
              <w:pStyle w:val="TableParagraph"/>
              <w:ind w:right="199"/>
              <w:rPr>
                <w:sz w:val="20"/>
              </w:rPr>
            </w:pPr>
            <w:r>
              <w:rPr>
                <w:sz w:val="20"/>
              </w:rPr>
              <w:t>0.00</w:t>
            </w:r>
          </w:p>
        </w:tc>
        <w:tc>
          <w:tcPr>
            <w:tcW w:w="857" w:type="dxa"/>
            <w:tcBorders>
              <w:top w:val="nil"/>
              <w:left w:val="nil"/>
              <w:bottom w:val="nil"/>
              <w:right w:val="nil"/>
            </w:tcBorders>
          </w:tcPr>
          <w:p>
            <w:pPr>
              <w:pStyle w:val="TableParagraph"/>
              <w:ind w:right="197"/>
              <w:rPr>
                <w:sz w:val="20"/>
              </w:rPr>
            </w:pPr>
            <w:r>
              <w:rPr>
                <w:sz w:val="20"/>
              </w:rPr>
              <w:t>0.00</w:t>
            </w:r>
          </w:p>
        </w:tc>
        <w:tc>
          <w:tcPr>
            <w:tcW w:w="857" w:type="dxa"/>
            <w:tcBorders>
              <w:top w:val="nil"/>
              <w:left w:val="nil"/>
              <w:bottom w:val="nil"/>
              <w:right w:val="nil"/>
            </w:tcBorders>
          </w:tcPr>
          <w:p>
            <w:pPr>
              <w:pStyle w:val="TableParagraph"/>
              <w:ind w:right="199"/>
              <w:rPr>
                <w:sz w:val="20"/>
              </w:rPr>
            </w:pPr>
            <w:r>
              <w:rPr>
                <w:sz w:val="20"/>
              </w:rPr>
              <w:t>0.00</w:t>
            </w:r>
          </w:p>
        </w:tc>
        <w:tc>
          <w:tcPr>
            <w:tcW w:w="857" w:type="dxa"/>
            <w:tcBorders>
              <w:top w:val="nil"/>
              <w:left w:val="nil"/>
              <w:bottom w:val="nil"/>
              <w:right w:val="nil"/>
            </w:tcBorders>
          </w:tcPr>
          <w:p>
            <w:pPr>
              <w:pStyle w:val="TableParagraph"/>
              <w:ind w:left="302"/>
              <w:jc w:val="left"/>
              <w:rPr>
                <w:sz w:val="20"/>
              </w:rPr>
            </w:pPr>
            <w:r>
              <w:rPr>
                <w:sz w:val="20"/>
              </w:rPr>
              <w:t>0.00</w:t>
            </w:r>
          </w:p>
        </w:tc>
        <w:tc>
          <w:tcPr>
            <w:tcW w:w="879" w:type="dxa"/>
            <w:tcBorders>
              <w:top w:val="nil"/>
              <w:left w:val="nil"/>
              <w:bottom w:val="nil"/>
              <w:right w:val="nil"/>
            </w:tcBorders>
          </w:tcPr>
          <w:p>
            <w:pPr>
              <w:pStyle w:val="TableParagraph"/>
              <w:ind w:right="221"/>
              <w:rPr>
                <w:sz w:val="20"/>
              </w:rPr>
            </w:pPr>
            <w:r>
              <w:rPr>
                <w:sz w:val="20"/>
              </w:rPr>
              <w:t>0.00</w:t>
            </w:r>
          </w:p>
        </w:tc>
        <w:tc>
          <w:tcPr>
            <w:tcW w:w="857" w:type="dxa"/>
            <w:tcBorders>
              <w:top w:val="nil"/>
              <w:left w:val="nil"/>
              <w:bottom w:val="nil"/>
              <w:right w:val="nil"/>
            </w:tcBorders>
          </w:tcPr>
          <w:p>
            <w:pPr>
              <w:pStyle w:val="TableParagraph"/>
              <w:ind w:left="281"/>
              <w:jc w:val="left"/>
              <w:rPr>
                <w:sz w:val="20"/>
              </w:rPr>
            </w:pPr>
            <w:r>
              <w:rPr>
                <w:sz w:val="20"/>
              </w:rPr>
              <w:t>0.00</w:t>
            </w:r>
          </w:p>
        </w:tc>
        <w:tc>
          <w:tcPr>
            <w:tcW w:w="831" w:type="dxa"/>
            <w:tcBorders>
              <w:top w:val="nil"/>
              <w:left w:val="nil"/>
              <w:bottom w:val="nil"/>
              <w:right w:val="nil"/>
            </w:tcBorders>
          </w:tcPr>
          <w:p>
            <w:pPr>
              <w:pStyle w:val="TableParagraph"/>
              <w:ind w:left="278" w:right="84"/>
              <w:jc w:val="left"/>
              <w:rPr>
                <w:sz w:val="20"/>
              </w:rPr>
            </w:pPr>
            <w:r>
              <w:rPr>
                <w:sz w:val="20"/>
              </w:rPr>
              <w:t>0.00</w:t>
            </w:r>
          </w:p>
        </w:tc>
        <w:tc>
          <w:tcPr>
            <w:tcW w:w="725" w:type="dxa"/>
            <w:tcBorders>
              <w:top w:val="nil"/>
              <w:left w:val="nil"/>
              <w:bottom w:val="nil"/>
              <w:right w:val="nil"/>
            </w:tcBorders>
          </w:tcPr>
          <w:p>
            <w:pPr>
              <w:pStyle w:val="TableParagraph"/>
              <w:ind w:right="60"/>
              <w:rPr>
                <w:sz w:val="20"/>
              </w:rPr>
            </w:pPr>
            <w:r>
              <w:rPr>
                <w:sz w:val="20"/>
              </w:rPr>
              <w:t>0.00</w:t>
            </w:r>
          </w:p>
        </w:tc>
      </w:tr>
      <w:tr>
        <w:trPr>
          <w:trHeight w:val="298" w:hRule="exact"/>
        </w:trPr>
        <w:tc>
          <w:tcPr>
            <w:tcW w:w="1472" w:type="dxa"/>
            <w:tcBorders>
              <w:top w:val="nil"/>
              <w:left w:val="nil"/>
              <w:bottom w:val="nil"/>
              <w:right w:val="nil"/>
            </w:tcBorders>
          </w:tcPr>
          <w:p>
            <w:pPr>
              <w:pStyle w:val="TableParagraph"/>
              <w:ind w:left="86"/>
              <w:jc w:val="left"/>
              <w:rPr>
                <w:sz w:val="20"/>
              </w:rPr>
            </w:pPr>
            <w:r>
              <w:rPr>
                <w:sz w:val="20"/>
              </w:rPr>
              <w:t>TEJ_HhFl</w:t>
            </w:r>
          </w:p>
        </w:tc>
        <w:tc>
          <w:tcPr>
            <w:tcW w:w="861" w:type="dxa"/>
            <w:tcBorders>
              <w:top w:val="nil"/>
              <w:left w:val="nil"/>
              <w:bottom w:val="nil"/>
              <w:right w:val="nil"/>
            </w:tcBorders>
          </w:tcPr>
          <w:p>
            <w:pPr>
              <w:pStyle w:val="TableParagraph"/>
              <w:ind w:right="199"/>
              <w:rPr>
                <w:sz w:val="20"/>
              </w:rPr>
            </w:pPr>
            <w:r>
              <w:rPr>
                <w:sz w:val="20"/>
              </w:rPr>
              <w:t>30.00</w:t>
            </w:r>
          </w:p>
        </w:tc>
        <w:tc>
          <w:tcPr>
            <w:tcW w:w="857" w:type="dxa"/>
            <w:tcBorders>
              <w:top w:val="nil"/>
              <w:left w:val="nil"/>
              <w:bottom w:val="nil"/>
              <w:right w:val="nil"/>
            </w:tcBorders>
          </w:tcPr>
          <w:p>
            <w:pPr>
              <w:pStyle w:val="TableParagraph"/>
              <w:ind w:left="201"/>
              <w:jc w:val="left"/>
              <w:rPr>
                <w:sz w:val="20"/>
              </w:rPr>
            </w:pPr>
            <w:r>
              <w:rPr>
                <w:sz w:val="20"/>
              </w:rPr>
              <w:t>30.00</w:t>
            </w:r>
          </w:p>
        </w:tc>
        <w:tc>
          <w:tcPr>
            <w:tcW w:w="857" w:type="dxa"/>
            <w:tcBorders>
              <w:top w:val="nil"/>
              <w:left w:val="nil"/>
              <w:bottom w:val="nil"/>
              <w:right w:val="nil"/>
            </w:tcBorders>
          </w:tcPr>
          <w:p>
            <w:pPr>
              <w:pStyle w:val="TableParagraph"/>
              <w:ind w:left="199"/>
              <w:jc w:val="left"/>
              <w:rPr>
                <w:sz w:val="20"/>
              </w:rPr>
            </w:pPr>
            <w:r>
              <w:rPr>
                <w:sz w:val="20"/>
              </w:rPr>
              <w:t>30.00</w:t>
            </w:r>
          </w:p>
        </w:tc>
        <w:tc>
          <w:tcPr>
            <w:tcW w:w="857" w:type="dxa"/>
            <w:tcBorders>
              <w:top w:val="nil"/>
              <w:left w:val="nil"/>
              <w:bottom w:val="nil"/>
              <w:right w:val="nil"/>
            </w:tcBorders>
          </w:tcPr>
          <w:p>
            <w:pPr>
              <w:pStyle w:val="TableParagraph"/>
              <w:ind w:left="201"/>
              <w:jc w:val="left"/>
              <w:rPr>
                <w:sz w:val="20"/>
              </w:rPr>
            </w:pPr>
            <w:r>
              <w:rPr>
                <w:sz w:val="20"/>
              </w:rPr>
              <w:t>30.00</w:t>
            </w:r>
          </w:p>
        </w:tc>
        <w:tc>
          <w:tcPr>
            <w:tcW w:w="857" w:type="dxa"/>
            <w:tcBorders>
              <w:top w:val="nil"/>
              <w:left w:val="nil"/>
              <w:bottom w:val="nil"/>
              <w:right w:val="nil"/>
            </w:tcBorders>
          </w:tcPr>
          <w:p>
            <w:pPr>
              <w:pStyle w:val="TableParagraph"/>
              <w:ind w:right="199"/>
              <w:rPr>
                <w:sz w:val="20"/>
              </w:rPr>
            </w:pPr>
            <w:r>
              <w:rPr>
                <w:sz w:val="20"/>
              </w:rPr>
              <w:t>30.00</w:t>
            </w:r>
          </w:p>
        </w:tc>
        <w:tc>
          <w:tcPr>
            <w:tcW w:w="857" w:type="dxa"/>
            <w:tcBorders>
              <w:top w:val="nil"/>
              <w:left w:val="nil"/>
              <w:bottom w:val="nil"/>
              <w:right w:val="nil"/>
            </w:tcBorders>
          </w:tcPr>
          <w:p>
            <w:pPr>
              <w:pStyle w:val="TableParagraph"/>
              <w:ind w:left="201"/>
              <w:jc w:val="left"/>
              <w:rPr>
                <w:sz w:val="20"/>
              </w:rPr>
            </w:pPr>
            <w:r>
              <w:rPr>
                <w:sz w:val="20"/>
              </w:rPr>
              <w:t>30.00</w:t>
            </w:r>
          </w:p>
        </w:tc>
        <w:tc>
          <w:tcPr>
            <w:tcW w:w="879" w:type="dxa"/>
            <w:tcBorders>
              <w:top w:val="nil"/>
              <w:left w:val="nil"/>
              <w:bottom w:val="nil"/>
              <w:right w:val="nil"/>
            </w:tcBorders>
          </w:tcPr>
          <w:p>
            <w:pPr>
              <w:pStyle w:val="TableParagraph"/>
              <w:ind w:left="199"/>
              <w:jc w:val="left"/>
              <w:rPr>
                <w:sz w:val="20"/>
              </w:rPr>
            </w:pPr>
            <w:r>
              <w:rPr>
                <w:sz w:val="20"/>
              </w:rPr>
              <w:t>30.00</w:t>
            </w:r>
          </w:p>
        </w:tc>
        <w:tc>
          <w:tcPr>
            <w:tcW w:w="857" w:type="dxa"/>
            <w:tcBorders>
              <w:top w:val="nil"/>
              <w:left w:val="nil"/>
              <w:bottom w:val="nil"/>
              <w:right w:val="nil"/>
            </w:tcBorders>
          </w:tcPr>
          <w:p>
            <w:pPr>
              <w:pStyle w:val="TableParagraph"/>
              <w:ind w:left="281"/>
              <w:jc w:val="left"/>
              <w:rPr>
                <w:sz w:val="20"/>
              </w:rPr>
            </w:pPr>
            <w:r>
              <w:rPr>
                <w:sz w:val="20"/>
              </w:rPr>
              <w:t>0.00</w:t>
            </w:r>
          </w:p>
        </w:tc>
        <w:tc>
          <w:tcPr>
            <w:tcW w:w="831" w:type="dxa"/>
            <w:tcBorders>
              <w:top w:val="nil"/>
              <w:left w:val="nil"/>
              <w:bottom w:val="nil"/>
              <w:right w:val="nil"/>
            </w:tcBorders>
          </w:tcPr>
          <w:p>
            <w:pPr>
              <w:pStyle w:val="TableParagraph"/>
              <w:ind w:left="278" w:right="84"/>
              <w:jc w:val="left"/>
              <w:rPr>
                <w:sz w:val="20"/>
              </w:rPr>
            </w:pPr>
            <w:r>
              <w:rPr>
                <w:sz w:val="20"/>
              </w:rPr>
              <w:t>0.00</w:t>
            </w:r>
          </w:p>
        </w:tc>
        <w:tc>
          <w:tcPr>
            <w:tcW w:w="725" w:type="dxa"/>
            <w:tcBorders>
              <w:top w:val="nil"/>
              <w:left w:val="nil"/>
              <w:bottom w:val="nil"/>
              <w:right w:val="nil"/>
            </w:tcBorders>
          </w:tcPr>
          <w:p>
            <w:pPr>
              <w:pStyle w:val="TableParagraph"/>
              <w:ind w:right="60"/>
              <w:rPr>
                <w:sz w:val="20"/>
              </w:rPr>
            </w:pPr>
            <w:r>
              <w:rPr>
                <w:sz w:val="20"/>
              </w:rPr>
              <w:t>0.00</w:t>
            </w:r>
          </w:p>
        </w:tc>
      </w:tr>
      <w:tr>
        <w:trPr>
          <w:trHeight w:val="298" w:hRule="exact"/>
        </w:trPr>
        <w:tc>
          <w:tcPr>
            <w:tcW w:w="1472" w:type="dxa"/>
            <w:tcBorders>
              <w:top w:val="nil"/>
              <w:left w:val="nil"/>
              <w:bottom w:val="nil"/>
              <w:right w:val="nil"/>
            </w:tcBorders>
          </w:tcPr>
          <w:p>
            <w:pPr>
              <w:pStyle w:val="TableParagraph"/>
              <w:ind w:left="86"/>
              <w:jc w:val="left"/>
              <w:rPr>
                <w:sz w:val="20"/>
              </w:rPr>
            </w:pPr>
            <w:r>
              <w:rPr>
                <w:sz w:val="20"/>
              </w:rPr>
              <w:t>TEJ_HhFlp</w:t>
            </w:r>
          </w:p>
        </w:tc>
        <w:tc>
          <w:tcPr>
            <w:tcW w:w="861" w:type="dxa"/>
            <w:tcBorders>
              <w:top w:val="nil"/>
              <w:left w:val="nil"/>
              <w:bottom w:val="nil"/>
              <w:right w:val="nil"/>
            </w:tcBorders>
          </w:tcPr>
          <w:p>
            <w:pPr>
              <w:pStyle w:val="TableParagraph"/>
              <w:ind w:right="199"/>
              <w:rPr>
                <w:sz w:val="20"/>
              </w:rPr>
            </w:pPr>
            <w:r>
              <w:rPr>
                <w:sz w:val="20"/>
              </w:rPr>
              <w:t>40.00</w:t>
            </w:r>
          </w:p>
        </w:tc>
        <w:tc>
          <w:tcPr>
            <w:tcW w:w="857" w:type="dxa"/>
            <w:tcBorders>
              <w:top w:val="nil"/>
              <w:left w:val="nil"/>
              <w:bottom w:val="nil"/>
              <w:right w:val="nil"/>
            </w:tcBorders>
          </w:tcPr>
          <w:p>
            <w:pPr>
              <w:pStyle w:val="TableParagraph"/>
              <w:ind w:left="201"/>
              <w:jc w:val="left"/>
              <w:rPr>
                <w:sz w:val="20"/>
              </w:rPr>
            </w:pPr>
            <w:r>
              <w:rPr>
                <w:sz w:val="20"/>
              </w:rPr>
              <w:t>40.00</w:t>
            </w:r>
          </w:p>
        </w:tc>
        <w:tc>
          <w:tcPr>
            <w:tcW w:w="857" w:type="dxa"/>
            <w:tcBorders>
              <w:top w:val="nil"/>
              <w:left w:val="nil"/>
              <w:bottom w:val="nil"/>
              <w:right w:val="nil"/>
            </w:tcBorders>
          </w:tcPr>
          <w:p>
            <w:pPr>
              <w:pStyle w:val="TableParagraph"/>
              <w:ind w:left="199"/>
              <w:jc w:val="left"/>
              <w:rPr>
                <w:sz w:val="20"/>
              </w:rPr>
            </w:pPr>
            <w:r>
              <w:rPr>
                <w:sz w:val="20"/>
              </w:rPr>
              <w:t>40.00</w:t>
            </w:r>
          </w:p>
        </w:tc>
        <w:tc>
          <w:tcPr>
            <w:tcW w:w="857" w:type="dxa"/>
            <w:tcBorders>
              <w:top w:val="nil"/>
              <w:left w:val="nil"/>
              <w:bottom w:val="nil"/>
              <w:right w:val="nil"/>
            </w:tcBorders>
          </w:tcPr>
          <w:p>
            <w:pPr>
              <w:pStyle w:val="TableParagraph"/>
              <w:ind w:left="201"/>
              <w:jc w:val="left"/>
              <w:rPr>
                <w:sz w:val="20"/>
              </w:rPr>
            </w:pPr>
            <w:r>
              <w:rPr>
                <w:sz w:val="20"/>
              </w:rPr>
              <w:t>40.00</w:t>
            </w:r>
          </w:p>
        </w:tc>
        <w:tc>
          <w:tcPr>
            <w:tcW w:w="857" w:type="dxa"/>
            <w:tcBorders>
              <w:top w:val="nil"/>
              <w:left w:val="nil"/>
              <w:bottom w:val="nil"/>
              <w:right w:val="nil"/>
            </w:tcBorders>
          </w:tcPr>
          <w:p>
            <w:pPr>
              <w:pStyle w:val="TableParagraph"/>
              <w:ind w:right="199"/>
              <w:rPr>
                <w:sz w:val="20"/>
              </w:rPr>
            </w:pPr>
            <w:r>
              <w:rPr>
                <w:sz w:val="20"/>
              </w:rPr>
              <w:t>40.00</w:t>
            </w:r>
          </w:p>
        </w:tc>
        <w:tc>
          <w:tcPr>
            <w:tcW w:w="857" w:type="dxa"/>
            <w:tcBorders>
              <w:top w:val="nil"/>
              <w:left w:val="nil"/>
              <w:bottom w:val="nil"/>
              <w:right w:val="nil"/>
            </w:tcBorders>
          </w:tcPr>
          <w:p>
            <w:pPr>
              <w:pStyle w:val="TableParagraph"/>
              <w:ind w:left="201"/>
              <w:jc w:val="left"/>
              <w:rPr>
                <w:sz w:val="20"/>
              </w:rPr>
            </w:pPr>
            <w:r>
              <w:rPr>
                <w:sz w:val="20"/>
              </w:rPr>
              <w:t>40.00</w:t>
            </w:r>
          </w:p>
        </w:tc>
        <w:tc>
          <w:tcPr>
            <w:tcW w:w="879" w:type="dxa"/>
            <w:tcBorders>
              <w:top w:val="nil"/>
              <w:left w:val="nil"/>
              <w:bottom w:val="nil"/>
              <w:right w:val="nil"/>
            </w:tcBorders>
          </w:tcPr>
          <w:p>
            <w:pPr>
              <w:pStyle w:val="TableParagraph"/>
              <w:ind w:left="199"/>
              <w:jc w:val="left"/>
              <w:rPr>
                <w:sz w:val="20"/>
              </w:rPr>
            </w:pPr>
            <w:r>
              <w:rPr>
                <w:sz w:val="20"/>
              </w:rPr>
              <w:t>40.00</w:t>
            </w:r>
          </w:p>
        </w:tc>
        <w:tc>
          <w:tcPr>
            <w:tcW w:w="857" w:type="dxa"/>
            <w:tcBorders>
              <w:top w:val="nil"/>
              <w:left w:val="nil"/>
              <w:bottom w:val="nil"/>
              <w:right w:val="nil"/>
            </w:tcBorders>
          </w:tcPr>
          <w:p>
            <w:pPr>
              <w:pStyle w:val="TableParagraph"/>
              <w:ind w:left="281"/>
              <w:jc w:val="left"/>
              <w:rPr>
                <w:sz w:val="20"/>
              </w:rPr>
            </w:pPr>
            <w:r>
              <w:rPr>
                <w:sz w:val="20"/>
              </w:rPr>
              <w:t>0.00</w:t>
            </w:r>
          </w:p>
        </w:tc>
        <w:tc>
          <w:tcPr>
            <w:tcW w:w="831" w:type="dxa"/>
            <w:tcBorders>
              <w:top w:val="nil"/>
              <w:left w:val="nil"/>
              <w:bottom w:val="nil"/>
              <w:right w:val="nil"/>
            </w:tcBorders>
          </w:tcPr>
          <w:p>
            <w:pPr>
              <w:pStyle w:val="TableParagraph"/>
              <w:ind w:left="278" w:right="84"/>
              <w:jc w:val="left"/>
              <w:rPr>
                <w:sz w:val="20"/>
              </w:rPr>
            </w:pPr>
            <w:r>
              <w:rPr>
                <w:sz w:val="20"/>
              </w:rPr>
              <w:t>0.00</w:t>
            </w:r>
          </w:p>
        </w:tc>
        <w:tc>
          <w:tcPr>
            <w:tcW w:w="725" w:type="dxa"/>
            <w:tcBorders>
              <w:top w:val="nil"/>
              <w:left w:val="nil"/>
              <w:bottom w:val="nil"/>
              <w:right w:val="nil"/>
            </w:tcBorders>
          </w:tcPr>
          <w:p>
            <w:pPr>
              <w:pStyle w:val="TableParagraph"/>
              <w:ind w:right="60"/>
              <w:rPr>
                <w:sz w:val="20"/>
              </w:rPr>
            </w:pPr>
            <w:r>
              <w:rPr>
                <w:sz w:val="20"/>
              </w:rPr>
              <w:t>0.00</w:t>
            </w:r>
          </w:p>
        </w:tc>
      </w:tr>
      <w:tr>
        <w:trPr>
          <w:trHeight w:val="268" w:hRule="exact"/>
        </w:trPr>
        <w:tc>
          <w:tcPr>
            <w:tcW w:w="1472" w:type="dxa"/>
            <w:tcBorders>
              <w:top w:val="nil"/>
              <w:left w:val="nil"/>
              <w:right w:val="nil"/>
            </w:tcBorders>
          </w:tcPr>
          <w:p>
            <w:pPr>
              <w:pStyle w:val="TableParagraph"/>
              <w:ind w:left="86"/>
              <w:jc w:val="left"/>
              <w:rPr>
                <w:sz w:val="20"/>
              </w:rPr>
            </w:pPr>
            <w:r>
              <w:rPr>
                <w:sz w:val="20"/>
              </w:rPr>
              <w:t>TEJ_HhFp</w:t>
            </w:r>
          </w:p>
        </w:tc>
        <w:tc>
          <w:tcPr>
            <w:tcW w:w="861" w:type="dxa"/>
            <w:tcBorders>
              <w:top w:val="nil"/>
              <w:left w:val="nil"/>
              <w:right w:val="nil"/>
            </w:tcBorders>
          </w:tcPr>
          <w:p>
            <w:pPr>
              <w:pStyle w:val="TableParagraph"/>
              <w:ind w:right="199"/>
              <w:rPr>
                <w:sz w:val="20"/>
              </w:rPr>
            </w:pPr>
            <w:r>
              <w:rPr>
                <w:sz w:val="20"/>
              </w:rPr>
              <w:t>40.00</w:t>
            </w:r>
          </w:p>
        </w:tc>
        <w:tc>
          <w:tcPr>
            <w:tcW w:w="857" w:type="dxa"/>
            <w:tcBorders>
              <w:top w:val="nil"/>
              <w:left w:val="nil"/>
              <w:right w:val="nil"/>
            </w:tcBorders>
          </w:tcPr>
          <w:p>
            <w:pPr>
              <w:pStyle w:val="TableParagraph"/>
              <w:ind w:left="201"/>
              <w:jc w:val="left"/>
              <w:rPr>
                <w:sz w:val="20"/>
              </w:rPr>
            </w:pPr>
            <w:r>
              <w:rPr>
                <w:sz w:val="20"/>
              </w:rPr>
              <w:t>40.00</w:t>
            </w:r>
          </w:p>
        </w:tc>
        <w:tc>
          <w:tcPr>
            <w:tcW w:w="857" w:type="dxa"/>
            <w:tcBorders>
              <w:top w:val="nil"/>
              <w:left w:val="nil"/>
              <w:right w:val="nil"/>
            </w:tcBorders>
          </w:tcPr>
          <w:p>
            <w:pPr>
              <w:pStyle w:val="TableParagraph"/>
              <w:ind w:left="199"/>
              <w:jc w:val="left"/>
              <w:rPr>
                <w:sz w:val="20"/>
              </w:rPr>
            </w:pPr>
            <w:r>
              <w:rPr>
                <w:sz w:val="20"/>
              </w:rPr>
              <w:t>40.00</w:t>
            </w:r>
          </w:p>
        </w:tc>
        <w:tc>
          <w:tcPr>
            <w:tcW w:w="857" w:type="dxa"/>
            <w:tcBorders>
              <w:top w:val="nil"/>
              <w:left w:val="nil"/>
              <w:right w:val="nil"/>
            </w:tcBorders>
          </w:tcPr>
          <w:p>
            <w:pPr>
              <w:pStyle w:val="TableParagraph"/>
              <w:ind w:left="201"/>
              <w:jc w:val="left"/>
              <w:rPr>
                <w:sz w:val="20"/>
              </w:rPr>
            </w:pPr>
            <w:r>
              <w:rPr>
                <w:sz w:val="20"/>
              </w:rPr>
              <w:t>40.00</w:t>
            </w:r>
          </w:p>
        </w:tc>
        <w:tc>
          <w:tcPr>
            <w:tcW w:w="857" w:type="dxa"/>
            <w:tcBorders>
              <w:top w:val="nil"/>
              <w:left w:val="nil"/>
              <w:right w:val="nil"/>
            </w:tcBorders>
          </w:tcPr>
          <w:p>
            <w:pPr>
              <w:pStyle w:val="TableParagraph"/>
              <w:ind w:right="199"/>
              <w:rPr>
                <w:sz w:val="20"/>
              </w:rPr>
            </w:pPr>
            <w:r>
              <w:rPr>
                <w:sz w:val="20"/>
              </w:rPr>
              <w:t>40.00</w:t>
            </w:r>
          </w:p>
        </w:tc>
        <w:tc>
          <w:tcPr>
            <w:tcW w:w="857" w:type="dxa"/>
            <w:tcBorders>
              <w:top w:val="nil"/>
              <w:left w:val="nil"/>
              <w:right w:val="nil"/>
            </w:tcBorders>
          </w:tcPr>
          <w:p>
            <w:pPr>
              <w:pStyle w:val="TableParagraph"/>
              <w:ind w:left="201"/>
              <w:jc w:val="left"/>
              <w:rPr>
                <w:sz w:val="20"/>
              </w:rPr>
            </w:pPr>
            <w:r>
              <w:rPr>
                <w:sz w:val="20"/>
              </w:rPr>
              <w:t>40.00</w:t>
            </w:r>
          </w:p>
        </w:tc>
        <w:tc>
          <w:tcPr>
            <w:tcW w:w="879" w:type="dxa"/>
            <w:tcBorders>
              <w:top w:val="nil"/>
              <w:left w:val="nil"/>
              <w:right w:val="nil"/>
            </w:tcBorders>
          </w:tcPr>
          <w:p>
            <w:pPr>
              <w:pStyle w:val="TableParagraph"/>
              <w:ind w:left="199"/>
              <w:jc w:val="left"/>
              <w:rPr>
                <w:sz w:val="20"/>
              </w:rPr>
            </w:pPr>
            <w:r>
              <w:rPr>
                <w:sz w:val="20"/>
              </w:rPr>
              <w:t>40.00</w:t>
            </w:r>
          </w:p>
        </w:tc>
        <w:tc>
          <w:tcPr>
            <w:tcW w:w="857" w:type="dxa"/>
            <w:tcBorders>
              <w:top w:val="nil"/>
              <w:left w:val="nil"/>
              <w:right w:val="nil"/>
            </w:tcBorders>
          </w:tcPr>
          <w:p>
            <w:pPr>
              <w:pStyle w:val="TableParagraph"/>
              <w:ind w:left="281"/>
              <w:jc w:val="left"/>
              <w:rPr>
                <w:sz w:val="20"/>
              </w:rPr>
            </w:pPr>
            <w:r>
              <w:rPr>
                <w:sz w:val="20"/>
              </w:rPr>
              <w:t>0.00</w:t>
            </w:r>
          </w:p>
        </w:tc>
        <w:tc>
          <w:tcPr>
            <w:tcW w:w="831" w:type="dxa"/>
            <w:tcBorders>
              <w:top w:val="nil"/>
              <w:left w:val="nil"/>
              <w:right w:val="nil"/>
            </w:tcBorders>
          </w:tcPr>
          <w:p>
            <w:pPr>
              <w:pStyle w:val="TableParagraph"/>
              <w:ind w:left="278" w:right="84"/>
              <w:jc w:val="left"/>
              <w:rPr>
                <w:sz w:val="20"/>
              </w:rPr>
            </w:pPr>
            <w:r>
              <w:rPr>
                <w:sz w:val="20"/>
              </w:rPr>
              <w:t>0.00</w:t>
            </w:r>
          </w:p>
        </w:tc>
        <w:tc>
          <w:tcPr>
            <w:tcW w:w="725" w:type="dxa"/>
            <w:tcBorders>
              <w:top w:val="nil"/>
              <w:left w:val="nil"/>
              <w:right w:val="nil"/>
            </w:tcBorders>
          </w:tcPr>
          <w:p>
            <w:pPr>
              <w:pStyle w:val="TableParagraph"/>
              <w:ind w:right="60"/>
              <w:rPr>
                <w:sz w:val="20"/>
              </w:rPr>
            </w:pPr>
            <w:r>
              <w:rPr>
                <w:sz w:val="20"/>
              </w:rPr>
              <w:t>0.00</w:t>
            </w:r>
          </w:p>
        </w:tc>
      </w:tr>
    </w:tbl>
    <w:p>
      <w:pPr>
        <w:spacing w:after="0"/>
        <w:rPr>
          <w:sz w:val="20"/>
        </w:rPr>
        <w:sectPr>
          <w:pgSz w:w="12240" w:h="15840"/>
          <w:pgMar w:header="0" w:footer="1473" w:top="1500" w:bottom="1660" w:left="940" w:right="1080"/>
        </w:sectPr>
      </w:pPr>
    </w:p>
    <w:p>
      <w:pPr>
        <w:pStyle w:val="BodyText"/>
        <w:tabs>
          <w:tab w:pos="476" w:val="left" w:leader="none"/>
          <w:tab w:pos="10012" w:val="left" w:leader="none"/>
        </w:tabs>
        <w:spacing w:before="49"/>
        <w:ind w:left="116"/>
      </w:pPr>
      <w:r>
        <w:rPr>
          <w:w w:val="99"/>
          <w:u w:val="single"/>
        </w:rPr>
        <w:t> </w:t>
      </w:r>
      <w:r>
        <w:rPr>
          <w:u w:val="single"/>
        </w:rPr>
        <w:tab/>
        <w:t>Continuación Tabla</w:t>
      </w:r>
      <w:r>
        <w:rPr>
          <w:spacing w:val="-17"/>
          <w:u w:val="single"/>
        </w:rPr>
        <w:t> </w:t>
      </w:r>
      <w:r>
        <w:rPr>
          <w:u w:val="single"/>
        </w:rPr>
        <w:t>18</w:t>
        <w:tab/>
      </w:r>
    </w:p>
    <w:p>
      <w:pPr>
        <w:pStyle w:val="BodyText"/>
        <w:spacing w:before="11"/>
        <w:rPr>
          <w:sz w:val="8"/>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72"/>
        <w:gridCol w:w="861"/>
        <w:gridCol w:w="857"/>
        <w:gridCol w:w="857"/>
        <w:gridCol w:w="857"/>
        <w:gridCol w:w="857"/>
        <w:gridCol w:w="857"/>
        <w:gridCol w:w="879"/>
        <w:gridCol w:w="857"/>
        <w:gridCol w:w="831"/>
        <w:gridCol w:w="725"/>
      </w:tblGrid>
      <w:tr>
        <w:trPr>
          <w:trHeight w:val="302" w:hRule="exact"/>
        </w:trPr>
        <w:tc>
          <w:tcPr>
            <w:tcW w:w="1472" w:type="dxa"/>
          </w:tcPr>
          <w:p>
            <w:pPr>
              <w:pStyle w:val="TableParagraph"/>
              <w:spacing w:before="90"/>
              <w:ind w:left="91"/>
              <w:jc w:val="left"/>
              <w:rPr>
                <w:sz w:val="20"/>
              </w:rPr>
            </w:pPr>
            <w:r>
              <w:rPr>
                <w:sz w:val="20"/>
              </w:rPr>
              <w:t>Nombre/Clave</w:t>
            </w:r>
          </w:p>
        </w:tc>
        <w:tc>
          <w:tcPr>
            <w:tcW w:w="861" w:type="dxa"/>
          </w:tcPr>
          <w:p>
            <w:pPr/>
          </w:p>
        </w:tc>
        <w:tc>
          <w:tcPr>
            <w:tcW w:w="857" w:type="dxa"/>
          </w:tcPr>
          <w:p>
            <w:pPr/>
          </w:p>
        </w:tc>
        <w:tc>
          <w:tcPr>
            <w:tcW w:w="857" w:type="dxa"/>
          </w:tcPr>
          <w:p>
            <w:pPr/>
          </w:p>
        </w:tc>
        <w:tc>
          <w:tcPr>
            <w:tcW w:w="2571" w:type="dxa"/>
            <w:gridSpan w:val="3"/>
          </w:tcPr>
          <w:p>
            <w:pPr>
              <w:pStyle w:val="TableParagraph"/>
              <w:spacing w:line="205" w:lineRule="exact" w:before="0"/>
              <w:ind w:left="715"/>
              <w:jc w:val="left"/>
              <w:rPr>
                <w:sz w:val="20"/>
              </w:rPr>
            </w:pPr>
            <w:r>
              <w:rPr>
                <w:sz w:val="20"/>
              </w:rPr>
              <w:t>N° de capas del suelo</w:t>
            </w:r>
          </w:p>
        </w:tc>
        <w:tc>
          <w:tcPr>
            <w:tcW w:w="879" w:type="dxa"/>
          </w:tcPr>
          <w:p>
            <w:pPr/>
          </w:p>
        </w:tc>
        <w:tc>
          <w:tcPr>
            <w:tcW w:w="857" w:type="dxa"/>
          </w:tcPr>
          <w:p>
            <w:pPr/>
          </w:p>
        </w:tc>
        <w:tc>
          <w:tcPr>
            <w:tcW w:w="831" w:type="dxa"/>
          </w:tcPr>
          <w:p>
            <w:pPr/>
          </w:p>
        </w:tc>
        <w:tc>
          <w:tcPr>
            <w:tcW w:w="725" w:type="dxa"/>
          </w:tcPr>
          <w:p>
            <w:pPr/>
          </w:p>
        </w:tc>
      </w:tr>
      <w:tr>
        <w:trPr>
          <w:trHeight w:val="215" w:hRule="exact"/>
        </w:trPr>
        <w:tc>
          <w:tcPr>
            <w:tcW w:w="1472" w:type="dxa"/>
            <w:tcBorders>
              <w:bottom w:val="single" w:sz="4" w:space="0" w:color="000000"/>
            </w:tcBorders>
          </w:tcPr>
          <w:p>
            <w:pPr/>
          </w:p>
        </w:tc>
        <w:tc>
          <w:tcPr>
            <w:tcW w:w="861" w:type="dxa"/>
            <w:tcBorders>
              <w:bottom w:val="single" w:sz="4" w:space="0" w:color="000000"/>
            </w:tcBorders>
          </w:tcPr>
          <w:p>
            <w:pPr>
              <w:pStyle w:val="TableParagraph"/>
              <w:spacing w:line="201" w:lineRule="exact" w:before="0"/>
              <w:ind w:left="246"/>
              <w:jc w:val="left"/>
              <w:rPr>
                <w:sz w:val="20"/>
              </w:rPr>
            </w:pPr>
            <w:r>
              <w:rPr>
                <w:w w:val="100"/>
                <w:sz w:val="20"/>
              </w:rPr>
              <w:t>1</w:t>
            </w:r>
          </w:p>
        </w:tc>
        <w:tc>
          <w:tcPr>
            <w:tcW w:w="857" w:type="dxa"/>
            <w:tcBorders>
              <w:bottom w:val="single" w:sz="4" w:space="0" w:color="000000"/>
            </w:tcBorders>
          </w:tcPr>
          <w:p>
            <w:pPr>
              <w:pStyle w:val="TableParagraph"/>
              <w:spacing w:line="201" w:lineRule="exact" w:before="0"/>
              <w:ind w:left="245"/>
              <w:jc w:val="left"/>
              <w:rPr>
                <w:sz w:val="20"/>
              </w:rPr>
            </w:pPr>
            <w:r>
              <w:rPr>
                <w:w w:val="100"/>
                <w:sz w:val="20"/>
              </w:rPr>
              <w:t>2</w:t>
            </w:r>
          </w:p>
        </w:tc>
        <w:tc>
          <w:tcPr>
            <w:tcW w:w="857" w:type="dxa"/>
            <w:tcBorders>
              <w:bottom w:val="single" w:sz="4" w:space="0" w:color="000000"/>
            </w:tcBorders>
          </w:tcPr>
          <w:p>
            <w:pPr>
              <w:pStyle w:val="TableParagraph"/>
              <w:spacing w:line="201" w:lineRule="exact" w:before="0"/>
              <w:ind w:left="242"/>
              <w:jc w:val="left"/>
              <w:rPr>
                <w:sz w:val="20"/>
              </w:rPr>
            </w:pPr>
            <w:r>
              <w:rPr>
                <w:w w:val="100"/>
                <w:sz w:val="20"/>
              </w:rPr>
              <w:t>3</w:t>
            </w:r>
          </w:p>
        </w:tc>
        <w:tc>
          <w:tcPr>
            <w:tcW w:w="857" w:type="dxa"/>
            <w:tcBorders>
              <w:bottom w:val="single" w:sz="4" w:space="0" w:color="000000"/>
            </w:tcBorders>
          </w:tcPr>
          <w:p>
            <w:pPr>
              <w:pStyle w:val="TableParagraph"/>
              <w:spacing w:line="201" w:lineRule="exact" w:before="0"/>
              <w:ind w:left="244"/>
              <w:jc w:val="left"/>
              <w:rPr>
                <w:sz w:val="20"/>
              </w:rPr>
            </w:pPr>
            <w:r>
              <w:rPr>
                <w:w w:val="100"/>
                <w:sz w:val="20"/>
              </w:rPr>
              <w:t>4</w:t>
            </w:r>
          </w:p>
        </w:tc>
        <w:tc>
          <w:tcPr>
            <w:tcW w:w="857" w:type="dxa"/>
            <w:tcBorders>
              <w:bottom w:val="single" w:sz="4" w:space="0" w:color="000000"/>
            </w:tcBorders>
          </w:tcPr>
          <w:p>
            <w:pPr>
              <w:pStyle w:val="TableParagraph"/>
              <w:spacing w:line="201" w:lineRule="exact" w:before="0"/>
              <w:ind w:left="242"/>
              <w:jc w:val="left"/>
              <w:rPr>
                <w:sz w:val="20"/>
              </w:rPr>
            </w:pPr>
            <w:r>
              <w:rPr>
                <w:w w:val="100"/>
                <w:sz w:val="20"/>
              </w:rPr>
              <w:t>5</w:t>
            </w:r>
          </w:p>
        </w:tc>
        <w:tc>
          <w:tcPr>
            <w:tcW w:w="857" w:type="dxa"/>
            <w:tcBorders>
              <w:bottom w:val="single" w:sz="4" w:space="0" w:color="000000"/>
            </w:tcBorders>
          </w:tcPr>
          <w:p>
            <w:pPr>
              <w:pStyle w:val="TableParagraph"/>
              <w:spacing w:line="201" w:lineRule="exact" w:before="0"/>
              <w:ind w:left="244"/>
              <w:jc w:val="left"/>
              <w:rPr>
                <w:sz w:val="20"/>
              </w:rPr>
            </w:pPr>
            <w:r>
              <w:rPr>
                <w:w w:val="100"/>
                <w:sz w:val="20"/>
              </w:rPr>
              <w:t>6</w:t>
            </w:r>
          </w:p>
        </w:tc>
        <w:tc>
          <w:tcPr>
            <w:tcW w:w="879" w:type="dxa"/>
            <w:tcBorders>
              <w:bottom w:val="single" w:sz="4" w:space="0" w:color="000000"/>
            </w:tcBorders>
          </w:tcPr>
          <w:p>
            <w:pPr>
              <w:pStyle w:val="TableParagraph"/>
              <w:spacing w:line="201" w:lineRule="exact" w:before="0"/>
              <w:ind w:left="242"/>
              <w:jc w:val="left"/>
              <w:rPr>
                <w:sz w:val="20"/>
              </w:rPr>
            </w:pPr>
            <w:r>
              <w:rPr>
                <w:w w:val="100"/>
                <w:sz w:val="20"/>
              </w:rPr>
              <w:t>7</w:t>
            </w:r>
          </w:p>
        </w:tc>
        <w:tc>
          <w:tcPr>
            <w:tcW w:w="857" w:type="dxa"/>
            <w:tcBorders>
              <w:bottom w:val="single" w:sz="4" w:space="0" w:color="000000"/>
            </w:tcBorders>
          </w:tcPr>
          <w:p>
            <w:pPr>
              <w:pStyle w:val="TableParagraph"/>
              <w:spacing w:line="201" w:lineRule="exact" w:before="0"/>
              <w:ind w:left="223"/>
              <w:jc w:val="left"/>
              <w:rPr>
                <w:sz w:val="20"/>
              </w:rPr>
            </w:pPr>
            <w:r>
              <w:rPr>
                <w:w w:val="100"/>
                <w:sz w:val="20"/>
              </w:rPr>
              <w:t>8</w:t>
            </w:r>
          </w:p>
        </w:tc>
        <w:tc>
          <w:tcPr>
            <w:tcW w:w="831" w:type="dxa"/>
            <w:tcBorders>
              <w:bottom w:val="single" w:sz="4" w:space="0" w:color="000000"/>
            </w:tcBorders>
          </w:tcPr>
          <w:p>
            <w:pPr>
              <w:pStyle w:val="TableParagraph"/>
              <w:spacing w:line="201" w:lineRule="exact" w:before="0"/>
              <w:ind w:left="220"/>
              <w:jc w:val="left"/>
              <w:rPr>
                <w:sz w:val="20"/>
              </w:rPr>
            </w:pPr>
            <w:r>
              <w:rPr>
                <w:w w:val="100"/>
                <w:sz w:val="20"/>
              </w:rPr>
              <w:t>9</w:t>
            </w:r>
          </w:p>
        </w:tc>
        <w:tc>
          <w:tcPr>
            <w:tcW w:w="725" w:type="dxa"/>
            <w:tcBorders>
              <w:bottom w:val="single" w:sz="4" w:space="0" w:color="000000"/>
            </w:tcBorders>
          </w:tcPr>
          <w:p>
            <w:pPr>
              <w:pStyle w:val="TableParagraph"/>
              <w:spacing w:line="201" w:lineRule="exact" w:before="0"/>
              <w:ind w:left="197"/>
              <w:jc w:val="left"/>
              <w:rPr>
                <w:sz w:val="20"/>
              </w:rPr>
            </w:pPr>
            <w:r>
              <w:rPr>
                <w:sz w:val="20"/>
              </w:rPr>
              <w:t>10</w:t>
            </w:r>
          </w:p>
        </w:tc>
      </w:tr>
      <w:tr>
        <w:trPr>
          <w:trHeight w:val="338" w:hRule="exact"/>
        </w:trPr>
        <w:tc>
          <w:tcPr>
            <w:tcW w:w="1472" w:type="dxa"/>
            <w:tcBorders>
              <w:top w:val="single" w:sz="4" w:space="0" w:color="000000"/>
            </w:tcBorders>
          </w:tcPr>
          <w:p>
            <w:pPr>
              <w:pStyle w:val="TableParagraph"/>
              <w:spacing w:before="58"/>
              <w:ind w:left="86"/>
              <w:jc w:val="left"/>
              <w:rPr>
                <w:sz w:val="20"/>
              </w:rPr>
            </w:pPr>
            <w:r>
              <w:rPr>
                <w:sz w:val="20"/>
              </w:rPr>
              <w:t>TEJ_HhSF</w:t>
            </w:r>
          </w:p>
        </w:tc>
        <w:tc>
          <w:tcPr>
            <w:tcW w:w="861" w:type="dxa"/>
            <w:tcBorders>
              <w:top w:val="single" w:sz="4" w:space="0" w:color="000000"/>
            </w:tcBorders>
          </w:tcPr>
          <w:p>
            <w:pPr>
              <w:pStyle w:val="TableParagraph"/>
              <w:spacing w:before="58"/>
              <w:ind w:right="199"/>
              <w:rPr>
                <w:sz w:val="20"/>
              </w:rPr>
            </w:pPr>
            <w:r>
              <w:rPr>
                <w:sz w:val="20"/>
              </w:rPr>
              <w:t>0.00</w:t>
            </w:r>
          </w:p>
        </w:tc>
        <w:tc>
          <w:tcPr>
            <w:tcW w:w="857" w:type="dxa"/>
            <w:tcBorders>
              <w:top w:val="single" w:sz="4" w:space="0" w:color="000000"/>
            </w:tcBorders>
          </w:tcPr>
          <w:p>
            <w:pPr>
              <w:pStyle w:val="TableParagraph"/>
              <w:spacing w:before="58"/>
              <w:ind w:left="302"/>
              <w:jc w:val="left"/>
              <w:rPr>
                <w:sz w:val="20"/>
              </w:rPr>
            </w:pPr>
            <w:r>
              <w:rPr>
                <w:sz w:val="20"/>
              </w:rPr>
              <w:t>0.00</w:t>
            </w:r>
          </w:p>
        </w:tc>
        <w:tc>
          <w:tcPr>
            <w:tcW w:w="857" w:type="dxa"/>
            <w:tcBorders>
              <w:top w:val="single" w:sz="4" w:space="0" w:color="000000"/>
            </w:tcBorders>
          </w:tcPr>
          <w:p>
            <w:pPr>
              <w:pStyle w:val="TableParagraph"/>
              <w:spacing w:before="58"/>
              <w:ind w:right="199"/>
              <w:rPr>
                <w:sz w:val="20"/>
              </w:rPr>
            </w:pPr>
            <w:r>
              <w:rPr>
                <w:sz w:val="20"/>
              </w:rPr>
              <w:t>0.00</w:t>
            </w:r>
          </w:p>
        </w:tc>
        <w:tc>
          <w:tcPr>
            <w:tcW w:w="857" w:type="dxa"/>
            <w:tcBorders>
              <w:top w:val="single" w:sz="4" w:space="0" w:color="000000"/>
            </w:tcBorders>
          </w:tcPr>
          <w:p>
            <w:pPr>
              <w:pStyle w:val="TableParagraph"/>
              <w:spacing w:before="58"/>
              <w:ind w:right="197"/>
              <w:rPr>
                <w:sz w:val="20"/>
              </w:rPr>
            </w:pPr>
            <w:r>
              <w:rPr>
                <w:sz w:val="20"/>
              </w:rPr>
              <w:t>0.00</w:t>
            </w:r>
          </w:p>
        </w:tc>
        <w:tc>
          <w:tcPr>
            <w:tcW w:w="857" w:type="dxa"/>
            <w:tcBorders>
              <w:top w:val="single" w:sz="4" w:space="0" w:color="000000"/>
            </w:tcBorders>
          </w:tcPr>
          <w:p>
            <w:pPr>
              <w:pStyle w:val="TableParagraph"/>
              <w:spacing w:before="58"/>
              <w:ind w:right="199"/>
              <w:rPr>
                <w:sz w:val="20"/>
              </w:rPr>
            </w:pPr>
            <w:r>
              <w:rPr>
                <w:sz w:val="20"/>
              </w:rPr>
              <w:t>0.00</w:t>
            </w:r>
          </w:p>
        </w:tc>
        <w:tc>
          <w:tcPr>
            <w:tcW w:w="857" w:type="dxa"/>
            <w:tcBorders>
              <w:top w:val="single" w:sz="4" w:space="0" w:color="000000"/>
            </w:tcBorders>
          </w:tcPr>
          <w:p>
            <w:pPr>
              <w:pStyle w:val="TableParagraph"/>
              <w:spacing w:before="58"/>
              <w:ind w:left="302"/>
              <w:jc w:val="left"/>
              <w:rPr>
                <w:sz w:val="20"/>
              </w:rPr>
            </w:pPr>
            <w:r>
              <w:rPr>
                <w:sz w:val="20"/>
              </w:rPr>
              <w:t>0.00</w:t>
            </w:r>
          </w:p>
        </w:tc>
        <w:tc>
          <w:tcPr>
            <w:tcW w:w="879" w:type="dxa"/>
            <w:tcBorders>
              <w:top w:val="single" w:sz="4" w:space="0" w:color="000000"/>
            </w:tcBorders>
          </w:tcPr>
          <w:p>
            <w:pPr>
              <w:pStyle w:val="TableParagraph"/>
              <w:spacing w:before="58"/>
              <w:ind w:right="221"/>
              <w:rPr>
                <w:sz w:val="20"/>
              </w:rPr>
            </w:pPr>
            <w:r>
              <w:rPr>
                <w:sz w:val="20"/>
              </w:rPr>
              <w:t>0.00</w:t>
            </w:r>
          </w:p>
        </w:tc>
        <w:tc>
          <w:tcPr>
            <w:tcW w:w="857" w:type="dxa"/>
            <w:tcBorders>
              <w:top w:val="single" w:sz="4" w:space="0" w:color="000000"/>
            </w:tcBorders>
          </w:tcPr>
          <w:p>
            <w:pPr>
              <w:pStyle w:val="TableParagraph"/>
              <w:spacing w:before="58"/>
              <w:ind w:left="281"/>
              <w:jc w:val="left"/>
              <w:rPr>
                <w:sz w:val="20"/>
              </w:rPr>
            </w:pPr>
            <w:r>
              <w:rPr>
                <w:sz w:val="20"/>
              </w:rPr>
              <w:t>0.00</w:t>
            </w:r>
          </w:p>
        </w:tc>
        <w:tc>
          <w:tcPr>
            <w:tcW w:w="831" w:type="dxa"/>
            <w:tcBorders>
              <w:top w:val="single" w:sz="4" w:space="0" w:color="000000"/>
            </w:tcBorders>
          </w:tcPr>
          <w:p>
            <w:pPr>
              <w:pStyle w:val="TableParagraph"/>
              <w:spacing w:before="58"/>
              <w:ind w:left="278" w:right="84"/>
              <w:jc w:val="left"/>
              <w:rPr>
                <w:sz w:val="20"/>
              </w:rPr>
            </w:pPr>
            <w:r>
              <w:rPr>
                <w:sz w:val="20"/>
              </w:rPr>
              <w:t>0.00</w:t>
            </w:r>
          </w:p>
        </w:tc>
        <w:tc>
          <w:tcPr>
            <w:tcW w:w="725" w:type="dxa"/>
            <w:tcBorders>
              <w:top w:val="single" w:sz="4" w:space="0" w:color="000000"/>
            </w:tcBorders>
          </w:tcPr>
          <w:p>
            <w:pPr>
              <w:pStyle w:val="TableParagraph"/>
              <w:spacing w:before="58"/>
              <w:ind w:right="60"/>
              <w:rPr>
                <w:sz w:val="20"/>
              </w:rPr>
            </w:pPr>
            <w:r>
              <w:rPr>
                <w:sz w:val="20"/>
              </w:rPr>
              <w:t>0.00</w:t>
            </w:r>
          </w:p>
        </w:tc>
      </w:tr>
      <w:tr>
        <w:trPr>
          <w:trHeight w:val="298" w:hRule="exact"/>
        </w:trPr>
        <w:tc>
          <w:tcPr>
            <w:tcW w:w="1472" w:type="dxa"/>
          </w:tcPr>
          <w:p>
            <w:pPr>
              <w:pStyle w:val="TableParagraph"/>
              <w:ind w:left="86"/>
              <w:jc w:val="left"/>
              <w:rPr>
                <w:sz w:val="20"/>
              </w:rPr>
            </w:pPr>
            <w:r>
              <w:rPr>
                <w:sz w:val="20"/>
              </w:rPr>
              <w:t>TEJ_HlFd</w:t>
            </w:r>
          </w:p>
        </w:tc>
        <w:tc>
          <w:tcPr>
            <w:tcW w:w="861" w:type="dxa"/>
          </w:tcPr>
          <w:p>
            <w:pPr>
              <w:pStyle w:val="TableParagraph"/>
              <w:ind w:right="199"/>
              <w:rPr>
                <w:sz w:val="20"/>
              </w:rPr>
            </w:pPr>
            <w:r>
              <w:rPr>
                <w:sz w:val="20"/>
              </w:rPr>
              <w:t>0.00</w:t>
            </w:r>
          </w:p>
        </w:tc>
        <w:tc>
          <w:tcPr>
            <w:tcW w:w="857" w:type="dxa"/>
          </w:tcPr>
          <w:p>
            <w:pPr>
              <w:pStyle w:val="TableParagraph"/>
              <w:ind w:left="302"/>
              <w:jc w:val="left"/>
              <w:rPr>
                <w:sz w:val="20"/>
              </w:rPr>
            </w:pPr>
            <w:r>
              <w:rPr>
                <w:sz w:val="20"/>
              </w:rPr>
              <w:t>0.00</w:t>
            </w:r>
          </w:p>
        </w:tc>
        <w:tc>
          <w:tcPr>
            <w:tcW w:w="857" w:type="dxa"/>
          </w:tcPr>
          <w:p>
            <w:pPr>
              <w:pStyle w:val="TableParagraph"/>
              <w:ind w:right="199"/>
              <w:rPr>
                <w:sz w:val="20"/>
              </w:rPr>
            </w:pPr>
            <w:r>
              <w:rPr>
                <w:sz w:val="20"/>
              </w:rPr>
              <w:t>0.00</w:t>
            </w:r>
          </w:p>
        </w:tc>
        <w:tc>
          <w:tcPr>
            <w:tcW w:w="857" w:type="dxa"/>
          </w:tcPr>
          <w:p>
            <w:pPr>
              <w:pStyle w:val="TableParagraph"/>
              <w:ind w:right="197"/>
              <w:rPr>
                <w:sz w:val="20"/>
              </w:rPr>
            </w:pPr>
            <w:r>
              <w:rPr>
                <w:sz w:val="20"/>
              </w:rPr>
              <w:t>0.00</w:t>
            </w:r>
          </w:p>
        </w:tc>
        <w:tc>
          <w:tcPr>
            <w:tcW w:w="857" w:type="dxa"/>
          </w:tcPr>
          <w:p>
            <w:pPr>
              <w:pStyle w:val="TableParagraph"/>
              <w:ind w:right="199"/>
              <w:rPr>
                <w:sz w:val="20"/>
              </w:rPr>
            </w:pPr>
            <w:r>
              <w:rPr>
                <w:sz w:val="20"/>
              </w:rPr>
              <w:t>0.00</w:t>
            </w:r>
          </w:p>
        </w:tc>
        <w:tc>
          <w:tcPr>
            <w:tcW w:w="857" w:type="dxa"/>
          </w:tcPr>
          <w:p>
            <w:pPr>
              <w:pStyle w:val="TableParagraph"/>
              <w:ind w:left="302"/>
              <w:jc w:val="left"/>
              <w:rPr>
                <w:sz w:val="20"/>
              </w:rPr>
            </w:pPr>
            <w:r>
              <w:rPr>
                <w:sz w:val="20"/>
              </w:rPr>
              <w:t>0.00</w:t>
            </w:r>
          </w:p>
        </w:tc>
        <w:tc>
          <w:tcPr>
            <w:tcW w:w="879" w:type="dxa"/>
          </w:tcPr>
          <w:p>
            <w:pPr>
              <w:pStyle w:val="TableParagraph"/>
              <w:ind w:right="221"/>
              <w:rPr>
                <w:sz w:val="20"/>
              </w:rPr>
            </w:pPr>
            <w:r>
              <w:rPr>
                <w:sz w:val="20"/>
              </w:rPr>
              <w:t>0.00</w:t>
            </w:r>
          </w:p>
        </w:tc>
        <w:tc>
          <w:tcPr>
            <w:tcW w:w="857" w:type="dxa"/>
          </w:tcPr>
          <w:p>
            <w:pPr>
              <w:pStyle w:val="TableParagraph"/>
              <w:ind w:left="281"/>
              <w:jc w:val="left"/>
              <w:rPr>
                <w:sz w:val="20"/>
              </w:rPr>
            </w:pPr>
            <w:r>
              <w:rPr>
                <w:sz w:val="20"/>
              </w:rPr>
              <w:t>0.00</w:t>
            </w:r>
          </w:p>
        </w:tc>
        <w:tc>
          <w:tcPr>
            <w:tcW w:w="831" w:type="dxa"/>
          </w:tcPr>
          <w:p>
            <w:pPr>
              <w:pStyle w:val="TableParagraph"/>
              <w:ind w:left="278" w:right="84"/>
              <w:jc w:val="left"/>
              <w:rPr>
                <w:sz w:val="20"/>
              </w:rPr>
            </w:pPr>
            <w:r>
              <w:rPr>
                <w:sz w:val="20"/>
              </w:rPr>
              <w:t>0.00</w:t>
            </w:r>
          </w:p>
        </w:tc>
        <w:tc>
          <w:tcPr>
            <w:tcW w:w="725" w:type="dxa"/>
          </w:tcPr>
          <w:p>
            <w:pPr>
              <w:pStyle w:val="TableParagraph"/>
              <w:ind w:right="60"/>
              <w:rPr>
                <w:sz w:val="20"/>
              </w:rPr>
            </w:pPr>
            <w:r>
              <w:rPr>
                <w:sz w:val="20"/>
              </w:rPr>
              <w:t>0.00</w:t>
            </w:r>
          </w:p>
        </w:tc>
      </w:tr>
      <w:tr>
        <w:trPr>
          <w:trHeight w:val="298" w:hRule="exact"/>
        </w:trPr>
        <w:tc>
          <w:tcPr>
            <w:tcW w:w="1472" w:type="dxa"/>
          </w:tcPr>
          <w:p>
            <w:pPr>
              <w:pStyle w:val="TableParagraph"/>
              <w:ind w:left="86"/>
              <w:jc w:val="left"/>
              <w:rPr>
                <w:sz w:val="20"/>
              </w:rPr>
            </w:pPr>
            <w:r>
              <w:rPr>
                <w:sz w:val="20"/>
              </w:rPr>
              <w:t>TEJ_HlFdp</w:t>
            </w:r>
          </w:p>
        </w:tc>
        <w:tc>
          <w:tcPr>
            <w:tcW w:w="861" w:type="dxa"/>
          </w:tcPr>
          <w:p>
            <w:pPr>
              <w:pStyle w:val="TableParagraph"/>
              <w:ind w:right="199"/>
              <w:rPr>
                <w:sz w:val="20"/>
              </w:rPr>
            </w:pPr>
            <w:r>
              <w:rPr>
                <w:sz w:val="20"/>
              </w:rPr>
              <w:t>0.00</w:t>
            </w:r>
          </w:p>
        </w:tc>
        <w:tc>
          <w:tcPr>
            <w:tcW w:w="857" w:type="dxa"/>
          </w:tcPr>
          <w:p>
            <w:pPr>
              <w:pStyle w:val="TableParagraph"/>
              <w:ind w:left="302"/>
              <w:jc w:val="left"/>
              <w:rPr>
                <w:sz w:val="20"/>
              </w:rPr>
            </w:pPr>
            <w:r>
              <w:rPr>
                <w:sz w:val="20"/>
              </w:rPr>
              <w:t>0.00</w:t>
            </w:r>
          </w:p>
        </w:tc>
        <w:tc>
          <w:tcPr>
            <w:tcW w:w="857" w:type="dxa"/>
          </w:tcPr>
          <w:p>
            <w:pPr>
              <w:pStyle w:val="TableParagraph"/>
              <w:ind w:right="199"/>
              <w:rPr>
                <w:sz w:val="20"/>
              </w:rPr>
            </w:pPr>
            <w:r>
              <w:rPr>
                <w:sz w:val="20"/>
              </w:rPr>
              <w:t>0.00</w:t>
            </w:r>
          </w:p>
        </w:tc>
        <w:tc>
          <w:tcPr>
            <w:tcW w:w="857" w:type="dxa"/>
          </w:tcPr>
          <w:p>
            <w:pPr>
              <w:pStyle w:val="TableParagraph"/>
              <w:ind w:right="197"/>
              <w:rPr>
                <w:sz w:val="20"/>
              </w:rPr>
            </w:pPr>
            <w:r>
              <w:rPr>
                <w:sz w:val="20"/>
              </w:rPr>
              <w:t>0.00</w:t>
            </w:r>
          </w:p>
        </w:tc>
        <w:tc>
          <w:tcPr>
            <w:tcW w:w="857" w:type="dxa"/>
          </w:tcPr>
          <w:p>
            <w:pPr>
              <w:pStyle w:val="TableParagraph"/>
              <w:ind w:right="199"/>
              <w:rPr>
                <w:sz w:val="20"/>
              </w:rPr>
            </w:pPr>
            <w:r>
              <w:rPr>
                <w:sz w:val="20"/>
              </w:rPr>
              <w:t>0.00</w:t>
            </w:r>
          </w:p>
        </w:tc>
        <w:tc>
          <w:tcPr>
            <w:tcW w:w="857" w:type="dxa"/>
          </w:tcPr>
          <w:p>
            <w:pPr>
              <w:pStyle w:val="TableParagraph"/>
              <w:ind w:left="302"/>
              <w:jc w:val="left"/>
              <w:rPr>
                <w:sz w:val="20"/>
              </w:rPr>
            </w:pPr>
            <w:r>
              <w:rPr>
                <w:sz w:val="20"/>
              </w:rPr>
              <w:t>0.00</w:t>
            </w:r>
          </w:p>
        </w:tc>
        <w:tc>
          <w:tcPr>
            <w:tcW w:w="879" w:type="dxa"/>
          </w:tcPr>
          <w:p>
            <w:pPr>
              <w:pStyle w:val="TableParagraph"/>
              <w:ind w:right="221"/>
              <w:rPr>
                <w:sz w:val="20"/>
              </w:rPr>
            </w:pPr>
            <w:r>
              <w:rPr>
                <w:sz w:val="20"/>
              </w:rPr>
              <w:t>0.00</w:t>
            </w:r>
          </w:p>
        </w:tc>
        <w:tc>
          <w:tcPr>
            <w:tcW w:w="857" w:type="dxa"/>
          </w:tcPr>
          <w:p>
            <w:pPr>
              <w:pStyle w:val="TableParagraph"/>
              <w:ind w:left="281"/>
              <w:jc w:val="left"/>
              <w:rPr>
                <w:sz w:val="20"/>
              </w:rPr>
            </w:pPr>
            <w:r>
              <w:rPr>
                <w:sz w:val="20"/>
              </w:rPr>
              <w:t>0.00</w:t>
            </w:r>
          </w:p>
        </w:tc>
        <w:tc>
          <w:tcPr>
            <w:tcW w:w="831" w:type="dxa"/>
          </w:tcPr>
          <w:p>
            <w:pPr>
              <w:pStyle w:val="TableParagraph"/>
              <w:ind w:left="278" w:right="84"/>
              <w:jc w:val="left"/>
              <w:rPr>
                <w:sz w:val="20"/>
              </w:rPr>
            </w:pPr>
            <w:r>
              <w:rPr>
                <w:sz w:val="20"/>
              </w:rPr>
              <w:t>0.00</w:t>
            </w:r>
          </w:p>
        </w:tc>
        <w:tc>
          <w:tcPr>
            <w:tcW w:w="725" w:type="dxa"/>
          </w:tcPr>
          <w:p>
            <w:pPr>
              <w:pStyle w:val="TableParagraph"/>
              <w:ind w:right="60"/>
              <w:rPr>
                <w:sz w:val="20"/>
              </w:rPr>
            </w:pPr>
            <w:r>
              <w:rPr>
                <w:sz w:val="20"/>
              </w:rPr>
              <w:t>0.00</w:t>
            </w:r>
          </w:p>
        </w:tc>
      </w:tr>
      <w:tr>
        <w:trPr>
          <w:trHeight w:val="300" w:hRule="exact"/>
        </w:trPr>
        <w:tc>
          <w:tcPr>
            <w:tcW w:w="1472" w:type="dxa"/>
          </w:tcPr>
          <w:p>
            <w:pPr>
              <w:pStyle w:val="TableParagraph"/>
              <w:ind w:left="86"/>
              <w:jc w:val="left"/>
              <w:rPr>
                <w:sz w:val="20"/>
              </w:rPr>
            </w:pPr>
            <w:r>
              <w:rPr>
                <w:sz w:val="20"/>
              </w:rPr>
              <w:t>TEJ_HlFl</w:t>
            </w:r>
          </w:p>
        </w:tc>
        <w:tc>
          <w:tcPr>
            <w:tcW w:w="861" w:type="dxa"/>
          </w:tcPr>
          <w:p>
            <w:pPr>
              <w:pStyle w:val="TableParagraph"/>
              <w:ind w:right="199"/>
              <w:rPr>
                <w:sz w:val="20"/>
              </w:rPr>
            </w:pPr>
            <w:r>
              <w:rPr>
                <w:sz w:val="20"/>
              </w:rPr>
              <w:t>30.00</w:t>
            </w:r>
          </w:p>
        </w:tc>
        <w:tc>
          <w:tcPr>
            <w:tcW w:w="857" w:type="dxa"/>
          </w:tcPr>
          <w:p>
            <w:pPr>
              <w:pStyle w:val="TableParagraph"/>
              <w:ind w:left="201"/>
              <w:jc w:val="left"/>
              <w:rPr>
                <w:sz w:val="20"/>
              </w:rPr>
            </w:pPr>
            <w:r>
              <w:rPr>
                <w:sz w:val="20"/>
              </w:rPr>
              <w:t>30.00</w:t>
            </w:r>
          </w:p>
        </w:tc>
        <w:tc>
          <w:tcPr>
            <w:tcW w:w="857" w:type="dxa"/>
          </w:tcPr>
          <w:p>
            <w:pPr>
              <w:pStyle w:val="TableParagraph"/>
              <w:ind w:left="199"/>
              <w:jc w:val="left"/>
              <w:rPr>
                <w:sz w:val="20"/>
              </w:rPr>
            </w:pPr>
            <w:r>
              <w:rPr>
                <w:sz w:val="20"/>
              </w:rPr>
              <w:t>30.00</w:t>
            </w:r>
          </w:p>
        </w:tc>
        <w:tc>
          <w:tcPr>
            <w:tcW w:w="857" w:type="dxa"/>
          </w:tcPr>
          <w:p>
            <w:pPr>
              <w:pStyle w:val="TableParagraph"/>
              <w:ind w:right="197"/>
              <w:rPr>
                <w:sz w:val="20"/>
              </w:rPr>
            </w:pPr>
            <w:r>
              <w:rPr>
                <w:sz w:val="20"/>
              </w:rPr>
              <w:t>30.00</w:t>
            </w:r>
          </w:p>
        </w:tc>
        <w:tc>
          <w:tcPr>
            <w:tcW w:w="857" w:type="dxa"/>
          </w:tcPr>
          <w:p>
            <w:pPr>
              <w:pStyle w:val="TableParagraph"/>
              <w:ind w:right="199"/>
              <w:rPr>
                <w:sz w:val="20"/>
              </w:rPr>
            </w:pPr>
            <w:r>
              <w:rPr>
                <w:sz w:val="20"/>
              </w:rPr>
              <w:t>30.00</w:t>
            </w:r>
          </w:p>
        </w:tc>
        <w:tc>
          <w:tcPr>
            <w:tcW w:w="857" w:type="dxa"/>
          </w:tcPr>
          <w:p>
            <w:pPr>
              <w:pStyle w:val="TableParagraph"/>
              <w:ind w:left="201"/>
              <w:jc w:val="left"/>
              <w:rPr>
                <w:sz w:val="20"/>
              </w:rPr>
            </w:pPr>
            <w:r>
              <w:rPr>
                <w:sz w:val="20"/>
              </w:rPr>
              <w:t>30.00</w:t>
            </w:r>
          </w:p>
        </w:tc>
        <w:tc>
          <w:tcPr>
            <w:tcW w:w="879" w:type="dxa"/>
          </w:tcPr>
          <w:p>
            <w:pPr>
              <w:pStyle w:val="TableParagraph"/>
              <w:ind w:left="199"/>
              <w:jc w:val="left"/>
              <w:rPr>
                <w:sz w:val="20"/>
              </w:rPr>
            </w:pPr>
            <w:r>
              <w:rPr>
                <w:sz w:val="20"/>
              </w:rPr>
              <w:t>30.00</w:t>
            </w:r>
          </w:p>
        </w:tc>
        <w:tc>
          <w:tcPr>
            <w:tcW w:w="857" w:type="dxa"/>
          </w:tcPr>
          <w:p>
            <w:pPr>
              <w:pStyle w:val="TableParagraph"/>
              <w:ind w:left="281"/>
              <w:jc w:val="left"/>
              <w:rPr>
                <w:sz w:val="20"/>
              </w:rPr>
            </w:pPr>
            <w:r>
              <w:rPr>
                <w:sz w:val="20"/>
              </w:rPr>
              <w:t>0.00</w:t>
            </w:r>
          </w:p>
        </w:tc>
        <w:tc>
          <w:tcPr>
            <w:tcW w:w="831" w:type="dxa"/>
          </w:tcPr>
          <w:p>
            <w:pPr>
              <w:pStyle w:val="TableParagraph"/>
              <w:ind w:left="278" w:right="84"/>
              <w:jc w:val="left"/>
              <w:rPr>
                <w:sz w:val="20"/>
              </w:rPr>
            </w:pPr>
            <w:r>
              <w:rPr>
                <w:sz w:val="20"/>
              </w:rPr>
              <w:t>0.00</w:t>
            </w:r>
          </w:p>
        </w:tc>
        <w:tc>
          <w:tcPr>
            <w:tcW w:w="725" w:type="dxa"/>
          </w:tcPr>
          <w:p>
            <w:pPr>
              <w:pStyle w:val="TableParagraph"/>
              <w:ind w:right="60"/>
              <w:rPr>
                <w:sz w:val="20"/>
              </w:rPr>
            </w:pPr>
            <w:r>
              <w:rPr>
                <w:sz w:val="20"/>
              </w:rPr>
              <w:t>0.00</w:t>
            </w:r>
          </w:p>
        </w:tc>
      </w:tr>
      <w:tr>
        <w:trPr>
          <w:trHeight w:val="300" w:hRule="exact"/>
        </w:trPr>
        <w:tc>
          <w:tcPr>
            <w:tcW w:w="1472" w:type="dxa"/>
          </w:tcPr>
          <w:p>
            <w:pPr>
              <w:pStyle w:val="TableParagraph"/>
              <w:spacing w:before="26"/>
              <w:ind w:left="86"/>
              <w:jc w:val="left"/>
              <w:rPr>
                <w:sz w:val="20"/>
              </w:rPr>
            </w:pPr>
            <w:r>
              <w:rPr>
                <w:sz w:val="20"/>
              </w:rPr>
              <w:t>TEJ_HlFlp</w:t>
            </w:r>
          </w:p>
        </w:tc>
        <w:tc>
          <w:tcPr>
            <w:tcW w:w="861" w:type="dxa"/>
          </w:tcPr>
          <w:p>
            <w:pPr>
              <w:pStyle w:val="TableParagraph"/>
              <w:spacing w:before="26"/>
              <w:ind w:right="199"/>
              <w:rPr>
                <w:sz w:val="20"/>
              </w:rPr>
            </w:pPr>
            <w:r>
              <w:rPr>
                <w:sz w:val="20"/>
              </w:rPr>
              <w:t>40.00</w:t>
            </w:r>
          </w:p>
        </w:tc>
        <w:tc>
          <w:tcPr>
            <w:tcW w:w="857" w:type="dxa"/>
          </w:tcPr>
          <w:p>
            <w:pPr>
              <w:pStyle w:val="TableParagraph"/>
              <w:spacing w:before="26"/>
              <w:ind w:left="201"/>
              <w:jc w:val="left"/>
              <w:rPr>
                <w:sz w:val="20"/>
              </w:rPr>
            </w:pPr>
            <w:r>
              <w:rPr>
                <w:sz w:val="20"/>
              </w:rPr>
              <w:t>40.00</w:t>
            </w:r>
          </w:p>
        </w:tc>
        <w:tc>
          <w:tcPr>
            <w:tcW w:w="857" w:type="dxa"/>
          </w:tcPr>
          <w:p>
            <w:pPr>
              <w:pStyle w:val="TableParagraph"/>
              <w:spacing w:before="26"/>
              <w:ind w:left="199"/>
              <w:jc w:val="left"/>
              <w:rPr>
                <w:sz w:val="20"/>
              </w:rPr>
            </w:pPr>
            <w:r>
              <w:rPr>
                <w:sz w:val="20"/>
              </w:rPr>
              <w:t>40.00</w:t>
            </w:r>
          </w:p>
        </w:tc>
        <w:tc>
          <w:tcPr>
            <w:tcW w:w="857" w:type="dxa"/>
          </w:tcPr>
          <w:p>
            <w:pPr>
              <w:pStyle w:val="TableParagraph"/>
              <w:spacing w:before="26"/>
              <w:ind w:right="197"/>
              <w:rPr>
                <w:sz w:val="20"/>
              </w:rPr>
            </w:pPr>
            <w:r>
              <w:rPr>
                <w:sz w:val="20"/>
              </w:rPr>
              <w:t>40.00</w:t>
            </w:r>
          </w:p>
        </w:tc>
        <w:tc>
          <w:tcPr>
            <w:tcW w:w="857" w:type="dxa"/>
          </w:tcPr>
          <w:p>
            <w:pPr>
              <w:pStyle w:val="TableParagraph"/>
              <w:spacing w:before="26"/>
              <w:ind w:right="199"/>
              <w:rPr>
                <w:sz w:val="20"/>
              </w:rPr>
            </w:pPr>
            <w:r>
              <w:rPr>
                <w:sz w:val="20"/>
              </w:rPr>
              <w:t>40.00</w:t>
            </w:r>
          </w:p>
        </w:tc>
        <w:tc>
          <w:tcPr>
            <w:tcW w:w="857" w:type="dxa"/>
          </w:tcPr>
          <w:p>
            <w:pPr>
              <w:pStyle w:val="TableParagraph"/>
              <w:spacing w:before="26"/>
              <w:ind w:left="201"/>
              <w:jc w:val="left"/>
              <w:rPr>
                <w:sz w:val="20"/>
              </w:rPr>
            </w:pPr>
            <w:r>
              <w:rPr>
                <w:sz w:val="20"/>
              </w:rPr>
              <w:t>40.00</w:t>
            </w:r>
          </w:p>
        </w:tc>
        <w:tc>
          <w:tcPr>
            <w:tcW w:w="879" w:type="dxa"/>
          </w:tcPr>
          <w:p>
            <w:pPr>
              <w:pStyle w:val="TableParagraph"/>
              <w:spacing w:before="26"/>
              <w:ind w:left="199"/>
              <w:jc w:val="left"/>
              <w:rPr>
                <w:sz w:val="20"/>
              </w:rPr>
            </w:pPr>
            <w:r>
              <w:rPr>
                <w:sz w:val="20"/>
              </w:rPr>
              <w:t>40.00</w:t>
            </w:r>
          </w:p>
        </w:tc>
        <w:tc>
          <w:tcPr>
            <w:tcW w:w="857" w:type="dxa"/>
          </w:tcPr>
          <w:p>
            <w:pPr>
              <w:pStyle w:val="TableParagraph"/>
              <w:spacing w:before="26"/>
              <w:ind w:left="281"/>
              <w:jc w:val="left"/>
              <w:rPr>
                <w:sz w:val="20"/>
              </w:rPr>
            </w:pPr>
            <w:r>
              <w:rPr>
                <w:sz w:val="20"/>
              </w:rPr>
              <w:t>0.00</w:t>
            </w:r>
          </w:p>
        </w:tc>
        <w:tc>
          <w:tcPr>
            <w:tcW w:w="831" w:type="dxa"/>
          </w:tcPr>
          <w:p>
            <w:pPr>
              <w:pStyle w:val="TableParagraph"/>
              <w:spacing w:before="26"/>
              <w:ind w:left="278" w:right="84"/>
              <w:jc w:val="left"/>
              <w:rPr>
                <w:sz w:val="20"/>
              </w:rPr>
            </w:pPr>
            <w:r>
              <w:rPr>
                <w:sz w:val="20"/>
              </w:rPr>
              <w:t>0.00</w:t>
            </w:r>
          </w:p>
        </w:tc>
        <w:tc>
          <w:tcPr>
            <w:tcW w:w="725" w:type="dxa"/>
          </w:tcPr>
          <w:p>
            <w:pPr>
              <w:pStyle w:val="TableParagraph"/>
              <w:spacing w:before="26"/>
              <w:ind w:right="60"/>
              <w:rPr>
                <w:sz w:val="20"/>
              </w:rPr>
            </w:pPr>
            <w:r>
              <w:rPr>
                <w:sz w:val="20"/>
              </w:rPr>
              <w:t>0.00</w:t>
            </w:r>
          </w:p>
        </w:tc>
      </w:tr>
      <w:tr>
        <w:trPr>
          <w:trHeight w:val="298" w:hRule="exact"/>
        </w:trPr>
        <w:tc>
          <w:tcPr>
            <w:tcW w:w="1472" w:type="dxa"/>
          </w:tcPr>
          <w:p>
            <w:pPr>
              <w:pStyle w:val="TableParagraph"/>
              <w:ind w:left="86"/>
              <w:jc w:val="left"/>
              <w:rPr>
                <w:sz w:val="20"/>
              </w:rPr>
            </w:pPr>
            <w:r>
              <w:rPr>
                <w:sz w:val="20"/>
              </w:rPr>
              <w:t>TEJ_HlFp</w:t>
            </w:r>
          </w:p>
        </w:tc>
        <w:tc>
          <w:tcPr>
            <w:tcW w:w="861" w:type="dxa"/>
          </w:tcPr>
          <w:p>
            <w:pPr>
              <w:pStyle w:val="TableParagraph"/>
              <w:ind w:right="199"/>
              <w:rPr>
                <w:sz w:val="20"/>
              </w:rPr>
            </w:pPr>
            <w:r>
              <w:rPr>
                <w:sz w:val="20"/>
              </w:rPr>
              <w:t>40.00</w:t>
            </w:r>
          </w:p>
        </w:tc>
        <w:tc>
          <w:tcPr>
            <w:tcW w:w="857" w:type="dxa"/>
          </w:tcPr>
          <w:p>
            <w:pPr>
              <w:pStyle w:val="TableParagraph"/>
              <w:ind w:left="201"/>
              <w:jc w:val="left"/>
              <w:rPr>
                <w:sz w:val="20"/>
              </w:rPr>
            </w:pPr>
            <w:r>
              <w:rPr>
                <w:sz w:val="20"/>
              </w:rPr>
              <w:t>40.00</w:t>
            </w:r>
          </w:p>
        </w:tc>
        <w:tc>
          <w:tcPr>
            <w:tcW w:w="857" w:type="dxa"/>
          </w:tcPr>
          <w:p>
            <w:pPr>
              <w:pStyle w:val="TableParagraph"/>
              <w:ind w:left="199"/>
              <w:jc w:val="left"/>
              <w:rPr>
                <w:sz w:val="20"/>
              </w:rPr>
            </w:pPr>
            <w:r>
              <w:rPr>
                <w:sz w:val="20"/>
              </w:rPr>
              <w:t>40.00</w:t>
            </w:r>
          </w:p>
        </w:tc>
        <w:tc>
          <w:tcPr>
            <w:tcW w:w="857" w:type="dxa"/>
          </w:tcPr>
          <w:p>
            <w:pPr>
              <w:pStyle w:val="TableParagraph"/>
              <w:ind w:right="197"/>
              <w:rPr>
                <w:sz w:val="20"/>
              </w:rPr>
            </w:pPr>
            <w:r>
              <w:rPr>
                <w:sz w:val="20"/>
              </w:rPr>
              <w:t>40.00</w:t>
            </w:r>
          </w:p>
        </w:tc>
        <w:tc>
          <w:tcPr>
            <w:tcW w:w="857" w:type="dxa"/>
          </w:tcPr>
          <w:p>
            <w:pPr>
              <w:pStyle w:val="TableParagraph"/>
              <w:ind w:right="199"/>
              <w:rPr>
                <w:sz w:val="20"/>
              </w:rPr>
            </w:pPr>
            <w:r>
              <w:rPr>
                <w:sz w:val="20"/>
              </w:rPr>
              <w:t>40.00</w:t>
            </w:r>
          </w:p>
        </w:tc>
        <w:tc>
          <w:tcPr>
            <w:tcW w:w="857" w:type="dxa"/>
          </w:tcPr>
          <w:p>
            <w:pPr>
              <w:pStyle w:val="TableParagraph"/>
              <w:ind w:left="201"/>
              <w:jc w:val="left"/>
              <w:rPr>
                <w:sz w:val="20"/>
              </w:rPr>
            </w:pPr>
            <w:r>
              <w:rPr>
                <w:sz w:val="20"/>
              </w:rPr>
              <w:t>40.00</w:t>
            </w:r>
          </w:p>
        </w:tc>
        <w:tc>
          <w:tcPr>
            <w:tcW w:w="879" w:type="dxa"/>
          </w:tcPr>
          <w:p>
            <w:pPr>
              <w:pStyle w:val="TableParagraph"/>
              <w:ind w:left="199"/>
              <w:jc w:val="left"/>
              <w:rPr>
                <w:sz w:val="20"/>
              </w:rPr>
            </w:pPr>
            <w:r>
              <w:rPr>
                <w:sz w:val="20"/>
              </w:rPr>
              <w:t>40.00</w:t>
            </w:r>
          </w:p>
        </w:tc>
        <w:tc>
          <w:tcPr>
            <w:tcW w:w="857" w:type="dxa"/>
          </w:tcPr>
          <w:p>
            <w:pPr>
              <w:pStyle w:val="TableParagraph"/>
              <w:ind w:left="281"/>
              <w:jc w:val="left"/>
              <w:rPr>
                <w:sz w:val="20"/>
              </w:rPr>
            </w:pPr>
            <w:r>
              <w:rPr>
                <w:sz w:val="20"/>
              </w:rPr>
              <w:t>0.00</w:t>
            </w:r>
          </w:p>
        </w:tc>
        <w:tc>
          <w:tcPr>
            <w:tcW w:w="831" w:type="dxa"/>
          </w:tcPr>
          <w:p>
            <w:pPr>
              <w:pStyle w:val="TableParagraph"/>
              <w:ind w:left="278" w:right="84"/>
              <w:jc w:val="left"/>
              <w:rPr>
                <w:sz w:val="20"/>
              </w:rPr>
            </w:pPr>
            <w:r>
              <w:rPr>
                <w:sz w:val="20"/>
              </w:rPr>
              <w:t>0.00</w:t>
            </w:r>
          </w:p>
        </w:tc>
        <w:tc>
          <w:tcPr>
            <w:tcW w:w="725" w:type="dxa"/>
          </w:tcPr>
          <w:p>
            <w:pPr>
              <w:pStyle w:val="TableParagraph"/>
              <w:ind w:right="60"/>
              <w:rPr>
                <w:sz w:val="20"/>
              </w:rPr>
            </w:pPr>
            <w:r>
              <w:rPr>
                <w:sz w:val="20"/>
              </w:rPr>
              <w:t>0.00</w:t>
            </w:r>
          </w:p>
        </w:tc>
      </w:tr>
      <w:tr>
        <w:trPr>
          <w:trHeight w:val="298" w:hRule="exact"/>
        </w:trPr>
        <w:tc>
          <w:tcPr>
            <w:tcW w:w="1472" w:type="dxa"/>
          </w:tcPr>
          <w:p>
            <w:pPr>
              <w:pStyle w:val="TableParagraph"/>
              <w:ind w:left="86"/>
              <w:jc w:val="left"/>
              <w:rPr>
                <w:sz w:val="20"/>
              </w:rPr>
            </w:pPr>
            <w:r>
              <w:rPr>
                <w:sz w:val="20"/>
              </w:rPr>
              <w:t>TEJ_HlSF</w:t>
            </w:r>
          </w:p>
        </w:tc>
        <w:tc>
          <w:tcPr>
            <w:tcW w:w="861" w:type="dxa"/>
          </w:tcPr>
          <w:p>
            <w:pPr>
              <w:pStyle w:val="TableParagraph"/>
              <w:ind w:right="199"/>
              <w:rPr>
                <w:sz w:val="20"/>
              </w:rPr>
            </w:pPr>
            <w:r>
              <w:rPr>
                <w:sz w:val="20"/>
              </w:rPr>
              <w:t>0.00</w:t>
            </w:r>
          </w:p>
        </w:tc>
        <w:tc>
          <w:tcPr>
            <w:tcW w:w="857" w:type="dxa"/>
          </w:tcPr>
          <w:p>
            <w:pPr>
              <w:pStyle w:val="TableParagraph"/>
              <w:ind w:left="302"/>
              <w:jc w:val="left"/>
              <w:rPr>
                <w:sz w:val="20"/>
              </w:rPr>
            </w:pPr>
            <w:r>
              <w:rPr>
                <w:sz w:val="20"/>
              </w:rPr>
              <w:t>0.00</w:t>
            </w:r>
          </w:p>
        </w:tc>
        <w:tc>
          <w:tcPr>
            <w:tcW w:w="857" w:type="dxa"/>
          </w:tcPr>
          <w:p>
            <w:pPr>
              <w:pStyle w:val="TableParagraph"/>
              <w:ind w:right="199"/>
              <w:rPr>
                <w:sz w:val="20"/>
              </w:rPr>
            </w:pPr>
            <w:r>
              <w:rPr>
                <w:sz w:val="20"/>
              </w:rPr>
              <w:t>0.00</w:t>
            </w:r>
          </w:p>
        </w:tc>
        <w:tc>
          <w:tcPr>
            <w:tcW w:w="857" w:type="dxa"/>
          </w:tcPr>
          <w:p>
            <w:pPr>
              <w:pStyle w:val="TableParagraph"/>
              <w:ind w:right="197"/>
              <w:rPr>
                <w:sz w:val="20"/>
              </w:rPr>
            </w:pPr>
            <w:r>
              <w:rPr>
                <w:sz w:val="20"/>
              </w:rPr>
              <w:t>0.00</w:t>
            </w:r>
          </w:p>
        </w:tc>
        <w:tc>
          <w:tcPr>
            <w:tcW w:w="857" w:type="dxa"/>
          </w:tcPr>
          <w:p>
            <w:pPr>
              <w:pStyle w:val="TableParagraph"/>
              <w:ind w:right="199"/>
              <w:rPr>
                <w:sz w:val="20"/>
              </w:rPr>
            </w:pPr>
            <w:r>
              <w:rPr>
                <w:sz w:val="20"/>
              </w:rPr>
              <w:t>0.00</w:t>
            </w:r>
          </w:p>
        </w:tc>
        <w:tc>
          <w:tcPr>
            <w:tcW w:w="857" w:type="dxa"/>
          </w:tcPr>
          <w:p>
            <w:pPr>
              <w:pStyle w:val="TableParagraph"/>
              <w:ind w:left="302"/>
              <w:jc w:val="left"/>
              <w:rPr>
                <w:sz w:val="20"/>
              </w:rPr>
            </w:pPr>
            <w:r>
              <w:rPr>
                <w:sz w:val="20"/>
              </w:rPr>
              <w:t>0.00</w:t>
            </w:r>
          </w:p>
        </w:tc>
        <w:tc>
          <w:tcPr>
            <w:tcW w:w="879" w:type="dxa"/>
          </w:tcPr>
          <w:p>
            <w:pPr>
              <w:pStyle w:val="TableParagraph"/>
              <w:ind w:right="221"/>
              <w:rPr>
                <w:sz w:val="20"/>
              </w:rPr>
            </w:pPr>
            <w:r>
              <w:rPr>
                <w:sz w:val="20"/>
              </w:rPr>
              <w:t>0.00</w:t>
            </w:r>
          </w:p>
        </w:tc>
        <w:tc>
          <w:tcPr>
            <w:tcW w:w="857" w:type="dxa"/>
          </w:tcPr>
          <w:p>
            <w:pPr>
              <w:pStyle w:val="TableParagraph"/>
              <w:ind w:left="281"/>
              <w:jc w:val="left"/>
              <w:rPr>
                <w:sz w:val="20"/>
              </w:rPr>
            </w:pPr>
            <w:r>
              <w:rPr>
                <w:sz w:val="20"/>
              </w:rPr>
              <w:t>0.00</w:t>
            </w:r>
          </w:p>
        </w:tc>
        <w:tc>
          <w:tcPr>
            <w:tcW w:w="831" w:type="dxa"/>
          </w:tcPr>
          <w:p>
            <w:pPr>
              <w:pStyle w:val="TableParagraph"/>
              <w:ind w:left="278" w:right="84"/>
              <w:jc w:val="left"/>
              <w:rPr>
                <w:sz w:val="20"/>
              </w:rPr>
            </w:pPr>
            <w:r>
              <w:rPr>
                <w:sz w:val="20"/>
              </w:rPr>
              <w:t>0.00</w:t>
            </w:r>
          </w:p>
        </w:tc>
        <w:tc>
          <w:tcPr>
            <w:tcW w:w="725" w:type="dxa"/>
          </w:tcPr>
          <w:p>
            <w:pPr>
              <w:pStyle w:val="TableParagraph"/>
              <w:ind w:right="60"/>
              <w:rPr>
                <w:sz w:val="20"/>
              </w:rPr>
            </w:pPr>
            <w:r>
              <w:rPr>
                <w:sz w:val="20"/>
              </w:rPr>
              <w:t>0.00</w:t>
            </w:r>
          </w:p>
        </w:tc>
      </w:tr>
      <w:tr>
        <w:trPr>
          <w:trHeight w:val="298" w:hRule="exact"/>
        </w:trPr>
        <w:tc>
          <w:tcPr>
            <w:tcW w:w="1472" w:type="dxa"/>
          </w:tcPr>
          <w:p>
            <w:pPr>
              <w:pStyle w:val="TableParagraph"/>
              <w:ind w:left="86"/>
              <w:jc w:val="left"/>
              <w:rPr>
                <w:sz w:val="20"/>
              </w:rPr>
            </w:pPr>
            <w:r>
              <w:rPr>
                <w:sz w:val="20"/>
              </w:rPr>
              <w:t>TEJ_ISF</w:t>
            </w:r>
          </w:p>
        </w:tc>
        <w:tc>
          <w:tcPr>
            <w:tcW w:w="861" w:type="dxa"/>
          </w:tcPr>
          <w:p>
            <w:pPr>
              <w:pStyle w:val="TableParagraph"/>
              <w:ind w:right="199"/>
              <w:rPr>
                <w:sz w:val="20"/>
              </w:rPr>
            </w:pPr>
            <w:r>
              <w:rPr>
                <w:sz w:val="20"/>
              </w:rPr>
              <w:t>0.00</w:t>
            </w:r>
          </w:p>
        </w:tc>
        <w:tc>
          <w:tcPr>
            <w:tcW w:w="857" w:type="dxa"/>
          </w:tcPr>
          <w:p>
            <w:pPr>
              <w:pStyle w:val="TableParagraph"/>
              <w:ind w:left="302"/>
              <w:jc w:val="left"/>
              <w:rPr>
                <w:sz w:val="20"/>
              </w:rPr>
            </w:pPr>
            <w:r>
              <w:rPr>
                <w:sz w:val="20"/>
              </w:rPr>
              <w:t>0.00</w:t>
            </w:r>
          </w:p>
        </w:tc>
        <w:tc>
          <w:tcPr>
            <w:tcW w:w="857" w:type="dxa"/>
          </w:tcPr>
          <w:p>
            <w:pPr>
              <w:pStyle w:val="TableParagraph"/>
              <w:ind w:right="199"/>
              <w:rPr>
                <w:sz w:val="20"/>
              </w:rPr>
            </w:pPr>
            <w:r>
              <w:rPr>
                <w:sz w:val="20"/>
              </w:rPr>
              <w:t>0.00</w:t>
            </w:r>
          </w:p>
        </w:tc>
        <w:tc>
          <w:tcPr>
            <w:tcW w:w="857" w:type="dxa"/>
          </w:tcPr>
          <w:p>
            <w:pPr>
              <w:pStyle w:val="TableParagraph"/>
              <w:ind w:right="197"/>
              <w:rPr>
                <w:sz w:val="20"/>
              </w:rPr>
            </w:pPr>
            <w:r>
              <w:rPr>
                <w:sz w:val="20"/>
              </w:rPr>
              <w:t>0.00</w:t>
            </w:r>
          </w:p>
        </w:tc>
        <w:tc>
          <w:tcPr>
            <w:tcW w:w="857" w:type="dxa"/>
          </w:tcPr>
          <w:p>
            <w:pPr>
              <w:pStyle w:val="TableParagraph"/>
              <w:ind w:right="199"/>
              <w:rPr>
                <w:sz w:val="20"/>
              </w:rPr>
            </w:pPr>
            <w:r>
              <w:rPr>
                <w:sz w:val="20"/>
              </w:rPr>
              <w:t>0.00</w:t>
            </w:r>
          </w:p>
        </w:tc>
        <w:tc>
          <w:tcPr>
            <w:tcW w:w="857" w:type="dxa"/>
          </w:tcPr>
          <w:p>
            <w:pPr>
              <w:pStyle w:val="TableParagraph"/>
              <w:ind w:left="302"/>
              <w:jc w:val="left"/>
              <w:rPr>
                <w:sz w:val="20"/>
              </w:rPr>
            </w:pPr>
            <w:r>
              <w:rPr>
                <w:sz w:val="20"/>
              </w:rPr>
              <w:t>0.00</w:t>
            </w:r>
          </w:p>
        </w:tc>
        <w:tc>
          <w:tcPr>
            <w:tcW w:w="879" w:type="dxa"/>
          </w:tcPr>
          <w:p>
            <w:pPr>
              <w:pStyle w:val="TableParagraph"/>
              <w:ind w:right="221"/>
              <w:rPr>
                <w:sz w:val="20"/>
              </w:rPr>
            </w:pPr>
            <w:r>
              <w:rPr>
                <w:sz w:val="20"/>
              </w:rPr>
              <w:t>0.00</w:t>
            </w:r>
          </w:p>
        </w:tc>
        <w:tc>
          <w:tcPr>
            <w:tcW w:w="857" w:type="dxa"/>
          </w:tcPr>
          <w:p>
            <w:pPr>
              <w:pStyle w:val="TableParagraph"/>
              <w:ind w:left="281"/>
              <w:jc w:val="left"/>
              <w:rPr>
                <w:sz w:val="20"/>
              </w:rPr>
            </w:pPr>
            <w:r>
              <w:rPr>
                <w:sz w:val="20"/>
              </w:rPr>
              <w:t>0.00</w:t>
            </w:r>
          </w:p>
        </w:tc>
        <w:tc>
          <w:tcPr>
            <w:tcW w:w="831" w:type="dxa"/>
          </w:tcPr>
          <w:p>
            <w:pPr>
              <w:pStyle w:val="TableParagraph"/>
              <w:ind w:left="278" w:right="84"/>
              <w:jc w:val="left"/>
              <w:rPr>
                <w:sz w:val="20"/>
              </w:rPr>
            </w:pPr>
            <w:r>
              <w:rPr>
                <w:sz w:val="20"/>
              </w:rPr>
              <w:t>0.00</w:t>
            </w:r>
          </w:p>
        </w:tc>
        <w:tc>
          <w:tcPr>
            <w:tcW w:w="725" w:type="dxa"/>
          </w:tcPr>
          <w:p>
            <w:pPr>
              <w:pStyle w:val="TableParagraph"/>
              <w:ind w:right="60"/>
              <w:rPr>
                <w:sz w:val="20"/>
              </w:rPr>
            </w:pPr>
            <w:r>
              <w:rPr>
                <w:sz w:val="20"/>
              </w:rPr>
              <w:t>0.00</w:t>
            </w:r>
          </w:p>
        </w:tc>
      </w:tr>
      <w:tr>
        <w:trPr>
          <w:trHeight w:val="298" w:hRule="exact"/>
        </w:trPr>
        <w:tc>
          <w:tcPr>
            <w:tcW w:w="1472" w:type="dxa"/>
          </w:tcPr>
          <w:p>
            <w:pPr>
              <w:pStyle w:val="TableParagraph"/>
              <w:ind w:left="86"/>
              <w:jc w:val="left"/>
              <w:rPr>
                <w:sz w:val="20"/>
              </w:rPr>
            </w:pPr>
            <w:r>
              <w:rPr>
                <w:sz w:val="20"/>
              </w:rPr>
              <w:t>TEJ_LcFdp</w:t>
            </w:r>
          </w:p>
        </w:tc>
        <w:tc>
          <w:tcPr>
            <w:tcW w:w="861" w:type="dxa"/>
          </w:tcPr>
          <w:p>
            <w:pPr>
              <w:pStyle w:val="TableParagraph"/>
              <w:ind w:right="199"/>
              <w:rPr>
                <w:sz w:val="20"/>
              </w:rPr>
            </w:pPr>
            <w:r>
              <w:rPr>
                <w:sz w:val="20"/>
              </w:rPr>
              <w:t>0.00</w:t>
            </w:r>
          </w:p>
        </w:tc>
        <w:tc>
          <w:tcPr>
            <w:tcW w:w="857" w:type="dxa"/>
          </w:tcPr>
          <w:p>
            <w:pPr>
              <w:pStyle w:val="TableParagraph"/>
              <w:ind w:left="302"/>
              <w:jc w:val="left"/>
              <w:rPr>
                <w:sz w:val="20"/>
              </w:rPr>
            </w:pPr>
            <w:r>
              <w:rPr>
                <w:sz w:val="20"/>
              </w:rPr>
              <w:t>0.00</w:t>
            </w:r>
          </w:p>
        </w:tc>
        <w:tc>
          <w:tcPr>
            <w:tcW w:w="857" w:type="dxa"/>
          </w:tcPr>
          <w:p>
            <w:pPr>
              <w:pStyle w:val="TableParagraph"/>
              <w:ind w:right="199"/>
              <w:rPr>
                <w:sz w:val="20"/>
              </w:rPr>
            </w:pPr>
            <w:r>
              <w:rPr>
                <w:sz w:val="20"/>
              </w:rPr>
              <w:t>0.00</w:t>
            </w:r>
          </w:p>
        </w:tc>
        <w:tc>
          <w:tcPr>
            <w:tcW w:w="857" w:type="dxa"/>
          </w:tcPr>
          <w:p>
            <w:pPr>
              <w:pStyle w:val="TableParagraph"/>
              <w:ind w:right="197"/>
              <w:rPr>
                <w:sz w:val="20"/>
              </w:rPr>
            </w:pPr>
            <w:r>
              <w:rPr>
                <w:sz w:val="20"/>
              </w:rPr>
              <w:t>0.00</w:t>
            </w:r>
          </w:p>
        </w:tc>
        <w:tc>
          <w:tcPr>
            <w:tcW w:w="857" w:type="dxa"/>
          </w:tcPr>
          <w:p>
            <w:pPr>
              <w:pStyle w:val="TableParagraph"/>
              <w:ind w:right="199"/>
              <w:rPr>
                <w:sz w:val="20"/>
              </w:rPr>
            </w:pPr>
            <w:r>
              <w:rPr>
                <w:sz w:val="20"/>
              </w:rPr>
              <w:t>0.00</w:t>
            </w:r>
          </w:p>
        </w:tc>
        <w:tc>
          <w:tcPr>
            <w:tcW w:w="857" w:type="dxa"/>
          </w:tcPr>
          <w:p>
            <w:pPr>
              <w:pStyle w:val="TableParagraph"/>
              <w:ind w:left="302"/>
              <w:jc w:val="left"/>
              <w:rPr>
                <w:sz w:val="20"/>
              </w:rPr>
            </w:pPr>
            <w:r>
              <w:rPr>
                <w:sz w:val="20"/>
              </w:rPr>
              <w:t>0.00</w:t>
            </w:r>
          </w:p>
        </w:tc>
        <w:tc>
          <w:tcPr>
            <w:tcW w:w="879" w:type="dxa"/>
          </w:tcPr>
          <w:p>
            <w:pPr>
              <w:pStyle w:val="TableParagraph"/>
              <w:ind w:right="221"/>
              <w:rPr>
                <w:sz w:val="20"/>
              </w:rPr>
            </w:pPr>
            <w:r>
              <w:rPr>
                <w:sz w:val="20"/>
              </w:rPr>
              <w:t>0.00</w:t>
            </w:r>
          </w:p>
        </w:tc>
        <w:tc>
          <w:tcPr>
            <w:tcW w:w="857" w:type="dxa"/>
          </w:tcPr>
          <w:p>
            <w:pPr>
              <w:pStyle w:val="TableParagraph"/>
              <w:ind w:left="281"/>
              <w:jc w:val="left"/>
              <w:rPr>
                <w:sz w:val="20"/>
              </w:rPr>
            </w:pPr>
            <w:r>
              <w:rPr>
                <w:sz w:val="20"/>
              </w:rPr>
              <w:t>0.00</w:t>
            </w:r>
          </w:p>
        </w:tc>
        <w:tc>
          <w:tcPr>
            <w:tcW w:w="831" w:type="dxa"/>
          </w:tcPr>
          <w:p>
            <w:pPr>
              <w:pStyle w:val="TableParagraph"/>
              <w:ind w:left="278" w:right="84"/>
              <w:jc w:val="left"/>
              <w:rPr>
                <w:sz w:val="20"/>
              </w:rPr>
            </w:pPr>
            <w:r>
              <w:rPr>
                <w:sz w:val="20"/>
              </w:rPr>
              <w:t>0.00</w:t>
            </w:r>
          </w:p>
        </w:tc>
        <w:tc>
          <w:tcPr>
            <w:tcW w:w="725" w:type="dxa"/>
          </w:tcPr>
          <w:p>
            <w:pPr>
              <w:pStyle w:val="TableParagraph"/>
              <w:ind w:right="60"/>
              <w:rPr>
                <w:sz w:val="20"/>
              </w:rPr>
            </w:pPr>
            <w:r>
              <w:rPr>
                <w:sz w:val="20"/>
              </w:rPr>
              <w:t>0.00</w:t>
            </w:r>
          </w:p>
        </w:tc>
      </w:tr>
      <w:tr>
        <w:trPr>
          <w:trHeight w:val="298" w:hRule="exact"/>
        </w:trPr>
        <w:tc>
          <w:tcPr>
            <w:tcW w:w="1472" w:type="dxa"/>
          </w:tcPr>
          <w:p>
            <w:pPr>
              <w:pStyle w:val="TableParagraph"/>
              <w:ind w:left="86"/>
              <w:jc w:val="left"/>
              <w:rPr>
                <w:sz w:val="20"/>
              </w:rPr>
            </w:pPr>
            <w:r>
              <w:rPr>
                <w:sz w:val="20"/>
              </w:rPr>
              <w:t>TEJ_LcFl</w:t>
            </w:r>
          </w:p>
        </w:tc>
        <w:tc>
          <w:tcPr>
            <w:tcW w:w="861" w:type="dxa"/>
          </w:tcPr>
          <w:p>
            <w:pPr>
              <w:pStyle w:val="TableParagraph"/>
              <w:ind w:right="199"/>
              <w:rPr>
                <w:sz w:val="20"/>
              </w:rPr>
            </w:pPr>
            <w:r>
              <w:rPr>
                <w:sz w:val="20"/>
              </w:rPr>
              <w:t>30.00</w:t>
            </w:r>
          </w:p>
        </w:tc>
        <w:tc>
          <w:tcPr>
            <w:tcW w:w="857" w:type="dxa"/>
          </w:tcPr>
          <w:p>
            <w:pPr>
              <w:pStyle w:val="TableParagraph"/>
              <w:ind w:left="201"/>
              <w:jc w:val="left"/>
              <w:rPr>
                <w:sz w:val="20"/>
              </w:rPr>
            </w:pPr>
            <w:r>
              <w:rPr>
                <w:sz w:val="20"/>
              </w:rPr>
              <w:t>30.00</w:t>
            </w:r>
          </w:p>
        </w:tc>
        <w:tc>
          <w:tcPr>
            <w:tcW w:w="857" w:type="dxa"/>
          </w:tcPr>
          <w:p>
            <w:pPr>
              <w:pStyle w:val="TableParagraph"/>
              <w:ind w:left="199"/>
              <w:jc w:val="left"/>
              <w:rPr>
                <w:sz w:val="20"/>
              </w:rPr>
            </w:pPr>
            <w:r>
              <w:rPr>
                <w:sz w:val="20"/>
              </w:rPr>
              <w:t>30.00</w:t>
            </w:r>
          </w:p>
        </w:tc>
        <w:tc>
          <w:tcPr>
            <w:tcW w:w="857" w:type="dxa"/>
          </w:tcPr>
          <w:p>
            <w:pPr>
              <w:pStyle w:val="TableParagraph"/>
              <w:ind w:right="197"/>
              <w:rPr>
                <w:sz w:val="20"/>
              </w:rPr>
            </w:pPr>
            <w:r>
              <w:rPr>
                <w:sz w:val="20"/>
              </w:rPr>
              <w:t>30.00</w:t>
            </w:r>
          </w:p>
        </w:tc>
        <w:tc>
          <w:tcPr>
            <w:tcW w:w="857" w:type="dxa"/>
          </w:tcPr>
          <w:p>
            <w:pPr>
              <w:pStyle w:val="TableParagraph"/>
              <w:ind w:right="199"/>
              <w:rPr>
                <w:sz w:val="20"/>
              </w:rPr>
            </w:pPr>
            <w:r>
              <w:rPr>
                <w:sz w:val="20"/>
              </w:rPr>
              <w:t>30.00</w:t>
            </w:r>
          </w:p>
        </w:tc>
        <w:tc>
          <w:tcPr>
            <w:tcW w:w="857" w:type="dxa"/>
          </w:tcPr>
          <w:p>
            <w:pPr>
              <w:pStyle w:val="TableParagraph"/>
              <w:ind w:left="201"/>
              <w:jc w:val="left"/>
              <w:rPr>
                <w:sz w:val="20"/>
              </w:rPr>
            </w:pPr>
            <w:r>
              <w:rPr>
                <w:sz w:val="20"/>
              </w:rPr>
              <w:t>30.00</w:t>
            </w:r>
          </w:p>
        </w:tc>
        <w:tc>
          <w:tcPr>
            <w:tcW w:w="879" w:type="dxa"/>
          </w:tcPr>
          <w:p>
            <w:pPr>
              <w:pStyle w:val="TableParagraph"/>
              <w:ind w:left="199"/>
              <w:jc w:val="left"/>
              <w:rPr>
                <w:sz w:val="20"/>
              </w:rPr>
            </w:pPr>
            <w:r>
              <w:rPr>
                <w:sz w:val="20"/>
              </w:rPr>
              <w:t>30.00</w:t>
            </w:r>
          </w:p>
        </w:tc>
        <w:tc>
          <w:tcPr>
            <w:tcW w:w="857" w:type="dxa"/>
          </w:tcPr>
          <w:p>
            <w:pPr>
              <w:pStyle w:val="TableParagraph"/>
              <w:ind w:left="281"/>
              <w:jc w:val="left"/>
              <w:rPr>
                <w:sz w:val="20"/>
              </w:rPr>
            </w:pPr>
            <w:r>
              <w:rPr>
                <w:sz w:val="20"/>
              </w:rPr>
              <w:t>0.00</w:t>
            </w:r>
          </w:p>
        </w:tc>
        <w:tc>
          <w:tcPr>
            <w:tcW w:w="831" w:type="dxa"/>
          </w:tcPr>
          <w:p>
            <w:pPr>
              <w:pStyle w:val="TableParagraph"/>
              <w:ind w:left="278" w:right="84"/>
              <w:jc w:val="left"/>
              <w:rPr>
                <w:sz w:val="20"/>
              </w:rPr>
            </w:pPr>
            <w:r>
              <w:rPr>
                <w:sz w:val="20"/>
              </w:rPr>
              <w:t>0.00</w:t>
            </w:r>
          </w:p>
        </w:tc>
        <w:tc>
          <w:tcPr>
            <w:tcW w:w="725" w:type="dxa"/>
          </w:tcPr>
          <w:p>
            <w:pPr>
              <w:pStyle w:val="TableParagraph"/>
              <w:ind w:right="60"/>
              <w:rPr>
                <w:sz w:val="20"/>
              </w:rPr>
            </w:pPr>
            <w:r>
              <w:rPr>
                <w:sz w:val="20"/>
              </w:rPr>
              <w:t>0.00</w:t>
            </w:r>
          </w:p>
        </w:tc>
      </w:tr>
      <w:tr>
        <w:trPr>
          <w:trHeight w:val="298" w:hRule="exact"/>
        </w:trPr>
        <w:tc>
          <w:tcPr>
            <w:tcW w:w="1472" w:type="dxa"/>
          </w:tcPr>
          <w:p>
            <w:pPr>
              <w:pStyle w:val="TableParagraph"/>
              <w:ind w:left="86"/>
              <w:jc w:val="left"/>
              <w:rPr>
                <w:sz w:val="20"/>
              </w:rPr>
            </w:pPr>
            <w:r>
              <w:rPr>
                <w:sz w:val="20"/>
              </w:rPr>
              <w:t>TEJ_LcFlp</w:t>
            </w:r>
          </w:p>
        </w:tc>
        <w:tc>
          <w:tcPr>
            <w:tcW w:w="861" w:type="dxa"/>
          </w:tcPr>
          <w:p>
            <w:pPr>
              <w:pStyle w:val="TableParagraph"/>
              <w:ind w:right="199"/>
              <w:rPr>
                <w:sz w:val="20"/>
              </w:rPr>
            </w:pPr>
            <w:r>
              <w:rPr>
                <w:sz w:val="20"/>
              </w:rPr>
              <w:t>40.00</w:t>
            </w:r>
          </w:p>
        </w:tc>
        <w:tc>
          <w:tcPr>
            <w:tcW w:w="857" w:type="dxa"/>
          </w:tcPr>
          <w:p>
            <w:pPr>
              <w:pStyle w:val="TableParagraph"/>
              <w:ind w:left="201"/>
              <w:jc w:val="left"/>
              <w:rPr>
                <w:sz w:val="20"/>
              </w:rPr>
            </w:pPr>
            <w:r>
              <w:rPr>
                <w:sz w:val="20"/>
              </w:rPr>
              <w:t>40.00</w:t>
            </w:r>
          </w:p>
        </w:tc>
        <w:tc>
          <w:tcPr>
            <w:tcW w:w="857" w:type="dxa"/>
          </w:tcPr>
          <w:p>
            <w:pPr>
              <w:pStyle w:val="TableParagraph"/>
              <w:ind w:left="199"/>
              <w:jc w:val="left"/>
              <w:rPr>
                <w:sz w:val="20"/>
              </w:rPr>
            </w:pPr>
            <w:r>
              <w:rPr>
                <w:sz w:val="20"/>
              </w:rPr>
              <w:t>40.00</w:t>
            </w:r>
          </w:p>
        </w:tc>
        <w:tc>
          <w:tcPr>
            <w:tcW w:w="857" w:type="dxa"/>
          </w:tcPr>
          <w:p>
            <w:pPr>
              <w:pStyle w:val="TableParagraph"/>
              <w:ind w:right="197"/>
              <w:rPr>
                <w:sz w:val="20"/>
              </w:rPr>
            </w:pPr>
            <w:r>
              <w:rPr>
                <w:sz w:val="20"/>
              </w:rPr>
              <w:t>40.00</w:t>
            </w:r>
          </w:p>
        </w:tc>
        <w:tc>
          <w:tcPr>
            <w:tcW w:w="857" w:type="dxa"/>
          </w:tcPr>
          <w:p>
            <w:pPr>
              <w:pStyle w:val="TableParagraph"/>
              <w:ind w:right="199"/>
              <w:rPr>
                <w:sz w:val="20"/>
              </w:rPr>
            </w:pPr>
            <w:r>
              <w:rPr>
                <w:sz w:val="20"/>
              </w:rPr>
              <w:t>40.00</w:t>
            </w:r>
          </w:p>
        </w:tc>
        <w:tc>
          <w:tcPr>
            <w:tcW w:w="857" w:type="dxa"/>
          </w:tcPr>
          <w:p>
            <w:pPr>
              <w:pStyle w:val="TableParagraph"/>
              <w:ind w:left="201"/>
              <w:jc w:val="left"/>
              <w:rPr>
                <w:sz w:val="20"/>
              </w:rPr>
            </w:pPr>
            <w:r>
              <w:rPr>
                <w:sz w:val="20"/>
              </w:rPr>
              <w:t>40.00</w:t>
            </w:r>
          </w:p>
        </w:tc>
        <w:tc>
          <w:tcPr>
            <w:tcW w:w="879" w:type="dxa"/>
          </w:tcPr>
          <w:p>
            <w:pPr>
              <w:pStyle w:val="TableParagraph"/>
              <w:ind w:left="199"/>
              <w:jc w:val="left"/>
              <w:rPr>
                <w:sz w:val="20"/>
              </w:rPr>
            </w:pPr>
            <w:r>
              <w:rPr>
                <w:sz w:val="20"/>
              </w:rPr>
              <w:t>40.00</w:t>
            </w:r>
          </w:p>
        </w:tc>
        <w:tc>
          <w:tcPr>
            <w:tcW w:w="857" w:type="dxa"/>
          </w:tcPr>
          <w:p>
            <w:pPr>
              <w:pStyle w:val="TableParagraph"/>
              <w:ind w:left="281"/>
              <w:jc w:val="left"/>
              <w:rPr>
                <w:sz w:val="20"/>
              </w:rPr>
            </w:pPr>
            <w:r>
              <w:rPr>
                <w:sz w:val="20"/>
              </w:rPr>
              <w:t>0.00</w:t>
            </w:r>
          </w:p>
        </w:tc>
        <w:tc>
          <w:tcPr>
            <w:tcW w:w="831" w:type="dxa"/>
          </w:tcPr>
          <w:p>
            <w:pPr>
              <w:pStyle w:val="TableParagraph"/>
              <w:ind w:left="278" w:right="84"/>
              <w:jc w:val="left"/>
              <w:rPr>
                <w:sz w:val="20"/>
              </w:rPr>
            </w:pPr>
            <w:r>
              <w:rPr>
                <w:sz w:val="20"/>
              </w:rPr>
              <w:t>0.00</w:t>
            </w:r>
          </w:p>
        </w:tc>
        <w:tc>
          <w:tcPr>
            <w:tcW w:w="725" w:type="dxa"/>
          </w:tcPr>
          <w:p>
            <w:pPr>
              <w:pStyle w:val="TableParagraph"/>
              <w:ind w:right="60"/>
              <w:rPr>
                <w:sz w:val="20"/>
              </w:rPr>
            </w:pPr>
            <w:r>
              <w:rPr>
                <w:sz w:val="20"/>
              </w:rPr>
              <w:t>0.00</w:t>
            </w:r>
          </w:p>
        </w:tc>
      </w:tr>
      <w:tr>
        <w:trPr>
          <w:trHeight w:val="298" w:hRule="exact"/>
        </w:trPr>
        <w:tc>
          <w:tcPr>
            <w:tcW w:w="1472" w:type="dxa"/>
          </w:tcPr>
          <w:p>
            <w:pPr>
              <w:pStyle w:val="TableParagraph"/>
              <w:spacing w:before="24"/>
              <w:ind w:left="86"/>
              <w:jc w:val="left"/>
              <w:rPr>
                <w:sz w:val="20"/>
              </w:rPr>
            </w:pPr>
            <w:r>
              <w:rPr>
                <w:sz w:val="20"/>
              </w:rPr>
              <w:t>TEJ_LcSF</w:t>
            </w:r>
          </w:p>
        </w:tc>
        <w:tc>
          <w:tcPr>
            <w:tcW w:w="861" w:type="dxa"/>
          </w:tcPr>
          <w:p>
            <w:pPr>
              <w:pStyle w:val="TableParagraph"/>
              <w:spacing w:before="24"/>
              <w:ind w:right="199"/>
              <w:rPr>
                <w:sz w:val="20"/>
              </w:rPr>
            </w:pPr>
            <w:r>
              <w:rPr>
                <w:sz w:val="20"/>
              </w:rPr>
              <w:t>0.00</w:t>
            </w:r>
          </w:p>
        </w:tc>
        <w:tc>
          <w:tcPr>
            <w:tcW w:w="857" w:type="dxa"/>
          </w:tcPr>
          <w:p>
            <w:pPr>
              <w:pStyle w:val="TableParagraph"/>
              <w:spacing w:before="24"/>
              <w:ind w:left="302"/>
              <w:jc w:val="left"/>
              <w:rPr>
                <w:sz w:val="20"/>
              </w:rPr>
            </w:pPr>
            <w:r>
              <w:rPr>
                <w:sz w:val="20"/>
              </w:rPr>
              <w:t>0.00</w:t>
            </w:r>
          </w:p>
        </w:tc>
        <w:tc>
          <w:tcPr>
            <w:tcW w:w="857" w:type="dxa"/>
          </w:tcPr>
          <w:p>
            <w:pPr>
              <w:pStyle w:val="TableParagraph"/>
              <w:spacing w:before="24"/>
              <w:ind w:right="199"/>
              <w:rPr>
                <w:sz w:val="20"/>
              </w:rPr>
            </w:pPr>
            <w:r>
              <w:rPr>
                <w:sz w:val="20"/>
              </w:rPr>
              <w:t>0.00</w:t>
            </w:r>
          </w:p>
        </w:tc>
        <w:tc>
          <w:tcPr>
            <w:tcW w:w="857" w:type="dxa"/>
          </w:tcPr>
          <w:p>
            <w:pPr>
              <w:pStyle w:val="TableParagraph"/>
              <w:spacing w:before="24"/>
              <w:ind w:right="197"/>
              <w:rPr>
                <w:sz w:val="20"/>
              </w:rPr>
            </w:pPr>
            <w:r>
              <w:rPr>
                <w:sz w:val="20"/>
              </w:rPr>
              <w:t>0.00</w:t>
            </w:r>
          </w:p>
        </w:tc>
        <w:tc>
          <w:tcPr>
            <w:tcW w:w="857" w:type="dxa"/>
          </w:tcPr>
          <w:p>
            <w:pPr>
              <w:pStyle w:val="TableParagraph"/>
              <w:spacing w:before="24"/>
              <w:ind w:right="199"/>
              <w:rPr>
                <w:sz w:val="20"/>
              </w:rPr>
            </w:pPr>
            <w:r>
              <w:rPr>
                <w:sz w:val="20"/>
              </w:rPr>
              <w:t>0.00</w:t>
            </w:r>
          </w:p>
        </w:tc>
        <w:tc>
          <w:tcPr>
            <w:tcW w:w="857" w:type="dxa"/>
          </w:tcPr>
          <w:p>
            <w:pPr>
              <w:pStyle w:val="TableParagraph"/>
              <w:spacing w:before="24"/>
              <w:ind w:left="302"/>
              <w:jc w:val="left"/>
              <w:rPr>
                <w:sz w:val="20"/>
              </w:rPr>
            </w:pPr>
            <w:r>
              <w:rPr>
                <w:sz w:val="20"/>
              </w:rPr>
              <w:t>0.00</w:t>
            </w:r>
          </w:p>
        </w:tc>
        <w:tc>
          <w:tcPr>
            <w:tcW w:w="879" w:type="dxa"/>
          </w:tcPr>
          <w:p>
            <w:pPr>
              <w:pStyle w:val="TableParagraph"/>
              <w:spacing w:before="24"/>
              <w:ind w:right="221"/>
              <w:rPr>
                <w:sz w:val="20"/>
              </w:rPr>
            </w:pPr>
            <w:r>
              <w:rPr>
                <w:sz w:val="20"/>
              </w:rPr>
              <w:t>0.00</w:t>
            </w:r>
          </w:p>
        </w:tc>
        <w:tc>
          <w:tcPr>
            <w:tcW w:w="857" w:type="dxa"/>
          </w:tcPr>
          <w:p>
            <w:pPr>
              <w:pStyle w:val="TableParagraph"/>
              <w:spacing w:before="24"/>
              <w:ind w:left="281"/>
              <w:jc w:val="left"/>
              <w:rPr>
                <w:sz w:val="20"/>
              </w:rPr>
            </w:pPr>
            <w:r>
              <w:rPr>
                <w:sz w:val="20"/>
              </w:rPr>
              <w:t>0.00</w:t>
            </w:r>
          </w:p>
        </w:tc>
        <w:tc>
          <w:tcPr>
            <w:tcW w:w="831" w:type="dxa"/>
          </w:tcPr>
          <w:p>
            <w:pPr>
              <w:pStyle w:val="TableParagraph"/>
              <w:spacing w:before="24"/>
              <w:ind w:left="278" w:right="84"/>
              <w:jc w:val="left"/>
              <w:rPr>
                <w:sz w:val="20"/>
              </w:rPr>
            </w:pPr>
            <w:r>
              <w:rPr>
                <w:sz w:val="20"/>
              </w:rPr>
              <w:t>0.00</w:t>
            </w:r>
          </w:p>
        </w:tc>
        <w:tc>
          <w:tcPr>
            <w:tcW w:w="725" w:type="dxa"/>
          </w:tcPr>
          <w:p>
            <w:pPr>
              <w:pStyle w:val="TableParagraph"/>
              <w:spacing w:before="24"/>
              <w:ind w:right="60"/>
              <w:rPr>
                <w:sz w:val="20"/>
              </w:rPr>
            </w:pPr>
            <w:r>
              <w:rPr>
                <w:sz w:val="20"/>
              </w:rPr>
              <w:t>0.00</w:t>
            </w:r>
          </w:p>
        </w:tc>
      </w:tr>
      <w:tr>
        <w:trPr>
          <w:trHeight w:val="298" w:hRule="exact"/>
        </w:trPr>
        <w:tc>
          <w:tcPr>
            <w:tcW w:w="1472" w:type="dxa"/>
          </w:tcPr>
          <w:p>
            <w:pPr>
              <w:pStyle w:val="TableParagraph"/>
              <w:ind w:left="86"/>
              <w:jc w:val="left"/>
              <w:rPr>
                <w:sz w:val="20"/>
              </w:rPr>
            </w:pPr>
            <w:r>
              <w:rPr>
                <w:sz w:val="20"/>
              </w:rPr>
              <w:t>TEJ_TmFlp</w:t>
            </w:r>
          </w:p>
        </w:tc>
        <w:tc>
          <w:tcPr>
            <w:tcW w:w="861" w:type="dxa"/>
          </w:tcPr>
          <w:p>
            <w:pPr>
              <w:pStyle w:val="TableParagraph"/>
              <w:ind w:right="199"/>
              <w:rPr>
                <w:sz w:val="20"/>
              </w:rPr>
            </w:pPr>
            <w:r>
              <w:rPr>
                <w:sz w:val="20"/>
              </w:rPr>
              <w:t>40.00</w:t>
            </w:r>
          </w:p>
        </w:tc>
        <w:tc>
          <w:tcPr>
            <w:tcW w:w="857" w:type="dxa"/>
          </w:tcPr>
          <w:p>
            <w:pPr>
              <w:pStyle w:val="TableParagraph"/>
              <w:ind w:left="201"/>
              <w:jc w:val="left"/>
              <w:rPr>
                <w:sz w:val="20"/>
              </w:rPr>
            </w:pPr>
            <w:r>
              <w:rPr>
                <w:sz w:val="20"/>
              </w:rPr>
              <w:t>40.00</w:t>
            </w:r>
          </w:p>
        </w:tc>
        <w:tc>
          <w:tcPr>
            <w:tcW w:w="857" w:type="dxa"/>
          </w:tcPr>
          <w:p>
            <w:pPr>
              <w:pStyle w:val="TableParagraph"/>
              <w:ind w:left="199"/>
              <w:jc w:val="left"/>
              <w:rPr>
                <w:sz w:val="20"/>
              </w:rPr>
            </w:pPr>
            <w:r>
              <w:rPr>
                <w:sz w:val="20"/>
              </w:rPr>
              <w:t>40.00</w:t>
            </w:r>
          </w:p>
        </w:tc>
        <w:tc>
          <w:tcPr>
            <w:tcW w:w="857" w:type="dxa"/>
          </w:tcPr>
          <w:p>
            <w:pPr>
              <w:pStyle w:val="TableParagraph"/>
              <w:ind w:right="197"/>
              <w:rPr>
                <w:sz w:val="20"/>
              </w:rPr>
            </w:pPr>
            <w:r>
              <w:rPr>
                <w:sz w:val="20"/>
              </w:rPr>
              <w:t>40.00</w:t>
            </w:r>
          </w:p>
        </w:tc>
        <w:tc>
          <w:tcPr>
            <w:tcW w:w="857" w:type="dxa"/>
          </w:tcPr>
          <w:p>
            <w:pPr>
              <w:pStyle w:val="TableParagraph"/>
              <w:ind w:right="199"/>
              <w:rPr>
                <w:sz w:val="20"/>
              </w:rPr>
            </w:pPr>
            <w:r>
              <w:rPr>
                <w:sz w:val="20"/>
              </w:rPr>
              <w:t>40.00</w:t>
            </w:r>
          </w:p>
        </w:tc>
        <w:tc>
          <w:tcPr>
            <w:tcW w:w="857" w:type="dxa"/>
          </w:tcPr>
          <w:p>
            <w:pPr>
              <w:pStyle w:val="TableParagraph"/>
              <w:ind w:left="201"/>
              <w:jc w:val="left"/>
              <w:rPr>
                <w:sz w:val="20"/>
              </w:rPr>
            </w:pPr>
            <w:r>
              <w:rPr>
                <w:sz w:val="20"/>
              </w:rPr>
              <w:t>40.00</w:t>
            </w:r>
          </w:p>
        </w:tc>
        <w:tc>
          <w:tcPr>
            <w:tcW w:w="879" w:type="dxa"/>
          </w:tcPr>
          <w:p>
            <w:pPr>
              <w:pStyle w:val="TableParagraph"/>
              <w:ind w:left="199"/>
              <w:jc w:val="left"/>
              <w:rPr>
                <w:sz w:val="20"/>
              </w:rPr>
            </w:pPr>
            <w:r>
              <w:rPr>
                <w:sz w:val="20"/>
              </w:rPr>
              <w:t>40.00</w:t>
            </w:r>
          </w:p>
        </w:tc>
        <w:tc>
          <w:tcPr>
            <w:tcW w:w="857" w:type="dxa"/>
          </w:tcPr>
          <w:p>
            <w:pPr>
              <w:pStyle w:val="TableParagraph"/>
              <w:ind w:left="281"/>
              <w:jc w:val="left"/>
              <w:rPr>
                <w:sz w:val="20"/>
              </w:rPr>
            </w:pPr>
            <w:r>
              <w:rPr>
                <w:sz w:val="20"/>
              </w:rPr>
              <w:t>0.00</w:t>
            </w:r>
          </w:p>
        </w:tc>
        <w:tc>
          <w:tcPr>
            <w:tcW w:w="831" w:type="dxa"/>
          </w:tcPr>
          <w:p>
            <w:pPr>
              <w:pStyle w:val="TableParagraph"/>
              <w:ind w:left="278" w:right="84"/>
              <w:jc w:val="left"/>
              <w:rPr>
                <w:sz w:val="20"/>
              </w:rPr>
            </w:pPr>
            <w:r>
              <w:rPr>
                <w:sz w:val="20"/>
              </w:rPr>
              <w:t>0.00</w:t>
            </w:r>
          </w:p>
        </w:tc>
        <w:tc>
          <w:tcPr>
            <w:tcW w:w="725" w:type="dxa"/>
          </w:tcPr>
          <w:p>
            <w:pPr>
              <w:pStyle w:val="TableParagraph"/>
              <w:ind w:right="60"/>
              <w:rPr>
                <w:sz w:val="20"/>
              </w:rPr>
            </w:pPr>
            <w:r>
              <w:rPr>
                <w:sz w:val="20"/>
              </w:rPr>
              <w:t>0.00</w:t>
            </w:r>
          </w:p>
        </w:tc>
      </w:tr>
      <w:tr>
        <w:trPr>
          <w:trHeight w:val="298" w:hRule="exact"/>
        </w:trPr>
        <w:tc>
          <w:tcPr>
            <w:tcW w:w="1472" w:type="dxa"/>
          </w:tcPr>
          <w:p>
            <w:pPr>
              <w:pStyle w:val="TableParagraph"/>
              <w:ind w:left="86"/>
              <w:jc w:val="left"/>
              <w:rPr>
                <w:sz w:val="20"/>
              </w:rPr>
            </w:pPr>
            <w:r>
              <w:rPr>
                <w:sz w:val="20"/>
              </w:rPr>
              <w:t>TEJ_ToSF</w:t>
            </w:r>
          </w:p>
        </w:tc>
        <w:tc>
          <w:tcPr>
            <w:tcW w:w="861" w:type="dxa"/>
          </w:tcPr>
          <w:p>
            <w:pPr>
              <w:pStyle w:val="TableParagraph"/>
              <w:ind w:right="199"/>
              <w:rPr>
                <w:sz w:val="20"/>
              </w:rPr>
            </w:pPr>
            <w:r>
              <w:rPr>
                <w:sz w:val="20"/>
              </w:rPr>
              <w:t>0.00</w:t>
            </w:r>
          </w:p>
        </w:tc>
        <w:tc>
          <w:tcPr>
            <w:tcW w:w="857" w:type="dxa"/>
          </w:tcPr>
          <w:p>
            <w:pPr>
              <w:pStyle w:val="TableParagraph"/>
              <w:ind w:left="302"/>
              <w:jc w:val="left"/>
              <w:rPr>
                <w:sz w:val="20"/>
              </w:rPr>
            </w:pPr>
            <w:r>
              <w:rPr>
                <w:sz w:val="20"/>
              </w:rPr>
              <w:t>0.00</w:t>
            </w:r>
          </w:p>
        </w:tc>
        <w:tc>
          <w:tcPr>
            <w:tcW w:w="857" w:type="dxa"/>
          </w:tcPr>
          <w:p>
            <w:pPr>
              <w:pStyle w:val="TableParagraph"/>
              <w:ind w:right="199"/>
              <w:rPr>
                <w:sz w:val="20"/>
              </w:rPr>
            </w:pPr>
            <w:r>
              <w:rPr>
                <w:sz w:val="20"/>
              </w:rPr>
              <w:t>0.00</w:t>
            </w:r>
          </w:p>
        </w:tc>
        <w:tc>
          <w:tcPr>
            <w:tcW w:w="857" w:type="dxa"/>
          </w:tcPr>
          <w:p>
            <w:pPr>
              <w:pStyle w:val="TableParagraph"/>
              <w:ind w:right="197"/>
              <w:rPr>
                <w:sz w:val="20"/>
              </w:rPr>
            </w:pPr>
            <w:r>
              <w:rPr>
                <w:sz w:val="20"/>
              </w:rPr>
              <w:t>0.00</w:t>
            </w:r>
          </w:p>
        </w:tc>
        <w:tc>
          <w:tcPr>
            <w:tcW w:w="857" w:type="dxa"/>
          </w:tcPr>
          <w:p>
            <w:pPr>
              <w:pStyle w:val="TableParagraph"/>
              <w:ind w:right="199"/>
              <w:rPr>
                <w:sz w:val="20"/>
              </w:rPr>
            </w:pPr>
            <w:r>
              <w:rPr>
                <w:sz w:val="20"/>
              </w:rPr>
              <w:t>0.00</w:t>
            </w:r>
          </w:p>
        </w:tc>
        <w:tc>
          <w:tcPr>
            <w:tcW w:w="857" w:type="dxa"/>
          </w:tcPr>
          <w:p>
            <w:pPr>
              <w:pStyle w:val="TableParagraph"/>
              <w:ind w:left="302"/>
              <w:jc w:val="left"/>
              <w:rPr>
                <w:sz w:val="20"/>
              </w:rPr>
            </w:pPr>
            <w:r>
              <w:rPr>
                <w:sz w:val="20"/>
              </w:rPr>
              <w:t>0.00</w:t>
            </w:r>
          </w:p>
        </w:tc>
        <w:tc>
          <w:tcPr>
            <w:tcW w:w="879" w:type="dxa"/>
          </w:tcPr>
          <w:p>
            <w:pPr>
              <w:pStyle w:val="TableParagraph"/>
              <w:ind w:right="221"/>
              <w:rPr>
                <w:sz w:val="20"/>
              </w:rPr>
            </w:pPr>
            <w:r>
              <w:rPr>
                <w:sz w:val="20"/>
              </w:rPr>
              <w:t>0.00</w:t>
            </w:r>
          </w:p>
        </w:tc>
        <w:tc>
          <w:tcPr>
            <w:tcW w:w="857" w:type="dxa"/>
          </w:tcPr>
          <w:p>
            <w:pPr>
              <w:pStyle w:val="TableParagraph"/>
              <w:ind w:left="281"/>
              <w:jc w:val="left"/>
              <w:rPr>
                <w:sz w:val="20"/>
              </w:rPr>
            </w:pPr>
            <w:r>
              <w:rPr>
                <w:sz w:val="20"/>
              </w:rPr>
              <w:t>0.00</w:t>
            </w:r>
          </w:p>
        </w:tc>
        <w:tc>
          <w:tcPr>
            <w:tcW w:w="831" w:type="dxa"/>
          </w:tcPr>
          <w:p>
            <w:pPr>
              <w:pStyle w:val="TableParagraph"/>
              <w:ind w:left="278" w:right="84"/>
              <w:jc w:val="left"/>
              <w:rPr>
                <w:sz w:val="20"/>
              </w:rPr>
            </w:pPr>
            <w:r>
              <w:rPr>
                <w:sz w:val="20"/>
              </w:rPr>
              <w:t>0.00</w:t>
            </w:r>
          </w:p>
        </w:tc>
        <w:tc>
          <w:tcPr>
            <w:tcW w:w="725" w:type="dxa"/>
          </w:tcPr>
          <w:p>
            <w:pPr>
              <w:pStyle w:val="TableParagraph"/>
              <w:ind w:right="60"/>
              <w:rPr>
                <w:sz w:val="20"/>
              </w:rPr>
            </w:pPr>
            <w:r>
              <w:rPr>
                <w:sz w:val="20"/>
              </w:rPr>
              <w:t>0.00</w:t>
            </w:r>
          </w:p>
        </w:tc>
      </w:tr>
      <w:tr>
        <w:trPr>
          <w:trHeight w:val="298" w:hRule="exact"/>
        </w:trPr>
        <w:tc>
          <w:tcPr>
            <w:tcW w:w="1472" w:type="dxa"/>
          </w:tcPr>
          <w:p>
            <w:pPr>
              <w:pStyle w:val="TableParagraph"/>
              <w:ind w:left="86"/>
              <w:jc w:val="left"/>
              <w:rPr>
                <w:sz w:val="20"/>
              </w:rPr>
            </w:pPr>
            <w:r>
              <w:rPr>
                <w:sz w:val="20"/>
              </w:rPr>
              <w:t>TEJ_VpFd</w:t>
            </w:r>
          </w:p>
        </w:tc>
        <w:tc>
          <w:tcPr>
            <w:tcW w:w="861" w:type="dxa"/>
          </w:tcPr>
          <w:p>
            <w:pPr>
              <w:pStyle w:val="TableParagraph"/>
              <w:ind w:right="199"/>
              <w:rPr>
                <w:sz w:val="20"/>
              </w:rPr>
            </w:pPr>
            <w:r>
              <w:rPr>
                <w:sz w:val="20"/>
              </w:rPr>
              <w:t>0.00</w:t>
            </w:r>
          </w:p>
        </w:tc>
        <w:tc>
          <w:tcPr>
            <w:tcW w:w="857" w:type="dxa"/>
          </w:tcPr>
          <w:p>
            <w:pPr>
              <w:pStyle w:val="TableParagraph"/>
              <w:ind w:left="302"/>
              <w:jc w:val="left"/>
              <w:rPr>
                <w:sz w:val="20"/>
              </w:rPr>
            </w:pPr>
            <w:r>
              <w:rPr>
                <w:sz w:val="20"/>
              </w:rPr>
              <w:t>0.00</w:t>
            </w:r>
          </w:p>
        </w:tc>
        <w:tc>
          <w:tcPr>
            <w:tcW w:w="857" w:type="dxa"/>
          </w:tcPr>
          <w:p>
            <w:pPr>
              <w:pStyle w:val="TableParagraph"/>
              <w:ind w:right="199"/>
              <w:rPr>
                <w:sz w:val="20"/>
              </w:rPr>
            </w:pPr>
            <w:r>
              <w:rPr>
                <w:sz w:val="20"/>
              </w:rPr>
              <w:t>0.00</w:t>
            </w:r>
          </w:p>
        </w:tc>
        <w:tc>
          <w:tcPr>
            <w:tcW w:w="857" w:type="dxa"/>
          </w:tcPr>
          <w:p>
            <w:pPr>
              <w:pStyle w:val="TableParagraph"/>
              <w:ind w:right="197"/>
              <w:rPr>
                <w:sz w:val="20"/>
              </w:rPr>
            </w:pPr>
            <w:r>
              <w:rPr>
                <w:sz w:val="20"/>
              </w:rPr>
              <w:t>0.00</w:t>
            </w:r>
          </w:p>
        </w:tc>
        <w:tc>
          <w:tcPr>
            <w:tcW w:w="857" w:type="dxa"/>
          </w:tcPr>
          <w:p>
            <w:pPr>
              <w:pStyle w:val="TableParagraph"/>
              <w:ind w:right="199"/>
              <w:rPr>
                <w:sz w:val="20"/>
              </w:rPr>
            </w:pPr>
            <w:r>
              <w:rPr>
                <w:sz w:val="20"/>
              </w:rPr>
              <w:t>0.00</w:t>
            </w:r>
          </w:p>
        </w:tc>
        <w:tc>
          <w:tcPr>
            <w:tcW w:w="857" w:type="dxa"/>
          </w:tcPr>
          <w:p>
            <w:pPr>
              <w:pStyle w:val="TableParagraph"/>
              <w:ind w:left="302"/>
              <w:jc w:val="left"/>
              <w:rPr>
                <w:sz w:val="20"/>
              </w:rPr>
            </w:pPr>
            <w:r>
              <w:rPr>
                <w:sz w:val="20"/>
              </w:rPr>
              <w:t>0.00</w:t>
            </w:r>
          </w:p>
        </w:tc>
        <w:tc>
          <w:tcPr>
            <w:tcW w:w="879" w:type="dxa"/>
          </w:tcPr>
          <w:p>
            <w:pPr>
              <w:pStyle w:val="TableParagraph"/>
              <w:ind w:right="221"/>
              <w:rPr>
                <w:sz w:val="20"/>
              </w:rPr>
            </w:pPr>
            <w:r>
              <w:rPr>
                <w:sz w:val="20"/>
              </w:rPr>
              <w:t>0.00</w:t>
            </w:r>
          </w:p>
        </w:tc>
        <w:tc>
          <w:tcPr>
            <w:tcW w:w="857" w:type="dxa"/>
          </w:tcPr>
          <w:p>
            <w:pPr>
              <w:pStyle w:val="TableParagraph"/>
              <w:ind w:left="281"/>
              <w:jc w:val="left"/>
              <w:rPr>
                <w:sz w:val="20"/>
              </w:rPr>
            </w:pPr>
            <w:r>
              <w:rPr>
                <w:sz w:val="20"/>
              </w:rPr>
              <w:t>0.00</w:t>
            </w:r>
          </w:p>
        </w:tc>
        <w:tc>
          <w:tcPr>
            <w:tcW w:w="831" w:type="dxa"/>
          </w:tcPr>
          <w:p>
            <w:pPr>
              <w:pStyle w:val="TableParagraph"/>
              <w:ind w:left="278" w:right="84"/>
              <w:jc w:val="left"/>
              <w:rPr>
                <w:sz w:val="20"/>
              </w:rPr>
            </w:pPr>
            <w:r>
              <w:rPr>
                <w:sz w:val="20"/>
              </w:rPr>
              <w:t>0.00</w:t>
            </w:r>
          </w:p>
        </w:tc>
        <w:tc>
          <w:tcPr>
            <w:tcW w:w="725" w:type="dxa"/>
          </w:tcPr>
          <w:p>
            <w:pPr>
              <w:pStyle w:val="TableParagraph"/>
              <w:ind w:right="60"/>
              <w:rPr>
                <w:sz w:val="20"/>
              </w:rPr>
            </w:pPr>
            <w:r>
              <w:rPr>
                <w:sz w:val="20"/>
              </w:rPr>
              <w:t>0.00</w:t>
            </w:r>
          </w:p>
        </w:tc>
      </w:tr>
      <w:tr>
        <w:trPr>
          <w:trHeight w:val="300" w:hRule="exact"/>
        </w:trPr>
        <w:tc>
          <w:tcPr>
            <w:tcW w:w="1472" w:type="dxa"/>
          </w:tcPr>
          <w:p>
            <w:pPr>
              <w:pStyle w:val="TableParagraph"/>
              <w:ind w:left="86"/>
              <w:jc w:val="left"/>
              <w:rPr>
                <w:sz w:val="20"/>
              </w:rPr>
            </w:pPr>
            <w:r>
              <w:rPr>
                <w:sz w:val="20"/>
              </w:rPr>
              <w:t>TEJ_VpFdp</w:t>
            </w:r>
          </w:p>
        </w:tc>
        <w:tc>
          <w:tcPr>
            <w:tcW w:w="861" w:type="dxa"/>
          </w:tcPr>
          <w:p>
            <w:pPr>
              <w:pStyle w:val="TableParagraph"/>
              <w:ind w:right="199"/>
              <w:rPr>
                <w:sz w:val="20"/>
              </w:rPr>
            </w:pPr>
            <w:r>
              <w:rPr>
                <w:sz w:val="20"/>
              </w:rPr>
              <w:t>0.00</w:t>
            </w:r>
          </w:p>
        </w:tc>
        <w:tc>
          <w:tcPr>
            <w:tcW w:w="857" w:type="dxa"/>
          </w:tcPr>
          <w:p>
            <w:pPr>
              <w:pStyle w:val="TableParagraph"/>
              <w:ind w:left="302"/>
              <w:jc w:val="left"/>
              <w:rPr>
                <w:sz w:val="20"/>
              </w:rPr>
            </w:pPr>
            <w:r>
              <w:rPr>
                <w:sz w:val="20"/>
              </w:rPr>
              <w:t>0.00</w:t>
            </w:r>
          </w:p>
        </w:tc>
        <w:tc>
          <w:tcPr>
            <w:tcW w:w="857" w:type="dxa"/>
          </w:tcPr>
          <w:p>
            <w:pPr>
              <w:pStyle w:val="TableParagraph"/>
              <w:ind w:right="199"/>
              <w:rPr>
                <w:sz w:val="20"/>
              </w:rPr>
            </w:pPr>
            <w:r>
              <w:rPr>
                <w:sz w:val="20"/>
              </w:rPr>
              <w:t>0.00</w:t>
            </w:r>
          </w:p>
        </w:tc>
        <w:tc>
          <w:tcPr>
            <w:tcW w:w="857" w:type="dxa"/>
          </w:tcPr>
          <w:p>
            <w:pPr>
              <w:pStyle w:val="TableParagraph"/>
              <w:ind w:right="197"/>
              <w:rPr>
                <w:sz w:val="20"/>
              </w:rPr>
            </w:pPr>
            <w:r>
              <w:rPr>
                <w:sz w:val="20"/>
              </w:rPr>
              <w:t>0.00</w:t>
            </w:r>
          </w:p>
        </w:tc>
        <w:tc>
          <w:tcPr>
            <w:tcW w:w="857" w:type="dxa"/>
          </w:tcPr>
          <w:p>
            <w:pPr>
              <w:pStyle w:val="TableParagraph"/>
              <w:ind w:right="199"/>
              <w:rPr>
                <w:sz w:val="20"/>
              </w:rPr>
            </w:pPr>
            <w:r>
              <w:rPr>
                <w:sz w:val="20"/>
              </w:rPr>
              <w:t>0.00</w:t>
            </w:r>
          </w:p>
        </w:tc>
        <w:tc>
          <w:tcPr>
            <w:tcW w:w="857" w:type="dxa"/>
          </w:tcPr>
          <w:p>
            <w:pPr>
              <w:pStyle w:val="TableParagraph"/>
              <w:ind w:left="302"/>
              <w:jc w:val="left"/>
              <w:rPr>
                <w:sz w:val="20"/>
              </w:rPr>
            </w:pPr>
            <w:r>
              <w:rPr>
                <w:sz w:val="20"/>
              </w:rPr>
              <w:t>0.00</w:t>
            </w:r>
          </w:p>
        </w:tc>
        <w:tc>
          <w:tcPr>
            <w:tcW w:w="879" w:type="dxa"/>
          </w:tcPr>
          <w:p>
            <w:pPr>
              <w:pStyle w:val="TableParagraph"/>
              <w:ind w:right="221"/>
              <w:rPr>
                <w:sz w:val="20"/>
              </w:rPr>
            </w:pPr>
            <w:r>
              <w:rPr>
                <w:sz w:val="20"/>
              </w:rPr>
              <w:t>0.00</w:t>
            </w:r>
          </w:p>
        </w:tc>
        <w:tc>
          <w:tcPr>
            <w:tcW w:w="857" w:type="dxa"/>
          </w:tcPr>
          <w:p>
            <w:pPr>
              <w:pStyle w:val="TableParagraph"/>
              <w:ind w:left="281"/>
              <w:jc w:val="left"/>
              <w:rPr>
                <w:sz w:val="20"/>
              </w:rPr>
            </w:pPr>
            <w:r>
              <w:rPr>
                <w:sz w:val="20"/>
              </w:rPr>
              <w:t>0.00</w:t>
            </w:r>
          </w:p>
        </w:tc>
        <w:tc>
          <w:tcPr>
            <w:tcW w:w="831" w:type="dxa"/>
          </w:tcPr>
          <w:p>
            <w:pPr>
              <w:pStyle w:val="TableParagraph"/>
              <w:ind w:left="278" w:right="84"/>
              <w:jc w:val="left"/>
              <w:rPr>
                <w:sz w:val="20"/>
              </w:rPr>
            </w:pPr>
            <w:r>
              <w:rPr>
                <w:sz w:val="20"/>
              </w:rPr>
              <w:t>0.00</w:t>
            </w:r>
          </w:p>
        </w:tc>
        <w:tc>
          <w:tcPr>
            <w:tcW w:w="725" w:type="dxa"/>
          </w:tcPr>
          <w:p>
            <w:pPr>
              <w:pStyle w:val="TableParagraph"/>
              <w:ind w:right="60"/>
              <w:rPr>
                <w:sz w:val="20"/>
              </w:rPr>
            </w:pPr>
            <w:r>
              <w:rPr>
                <w:sz w:val="20"/>
              </w:rPr>
              <w:t>0.00</w:t>
            </w:r>
          </w:p>
        </w:tc>
      </w:tr>
      <w:tr>
        <w:trPr>
          <w:trHeight w:val="300" w:hRule="exact"/>
        </w:trPr>
        <w:tc>
          <w:tcPr>
            <w:tcW w:w="1472" w:type="dxa"/>
          </w:tcPr>
          <w:p>
            <w:pPr>
              <w:pStyle w:val="TableParagraph"/>
              <w:spacing w:before="26"/>
              <w:ind w:left="86"/>
              <w:jc w:val="left"/>
              <w:rPr>
                <w:sz w:val="20"/>
              </w:rPr>
            </w:pPr>
            <w:r>
              <w:rPr>
                <w:sz w:val="20"/>
              </w:rPr>
              <w:t>TEJ_VpSF</w:t>
            </w:r>
          </w:p>
        </w:tc>
        <w:tc>
          <w:tcPr>
            <w:tcW w:w="861" w:type="dxa"/>
          </w:tcPr>
          <w:p>
            <w:pPr>
              <w:pStyle w:val="TableParagraph"/>
              <w:spacing w:before="26"/>
              <w:ind w:right="199"/>
              <w:rPr>
                <w:sz w:val="20"/>
              </w:rPr>
            </w:pPr>
            <w:r>
              <w:rPr>
                <w:sz w:val="20"/>
              </w:rPr>
              <w:t>0.00</w:t>
            </w:r>
          </w:p>
        </w:tc>
        <w:tc>
          <w:tcPr>
            <w:tcW w:w="857" w:type="dxa"/>
          </w:tcPr>
          <w:p>
            <w:pPr>
              <w:pStyle w:val="TableParagraph"/>
              <w:spacing w:before="26"/>
              <w:ind w:left="302"/>
              <w:jc w:val="left"/>
              <w:rPr>
                <w:sz w:val="20"/>
              </w:rPr>
            </w:pPr>
            <w:r>
              <w:rPr>
                <w:sz w:val="20"/>
              </w:rPr>
              <w:t>0.00</w:t>
            </w:r>
          </w:p>
        </w:tc>
        <w:tc>
          <w:tcPr>
            <w:tcW w:w="857" w:type="dxa"/>
          </w:tcPr>
          <w:p>
            <w:pPr>
              <w:pStyle w:val="TableParagraph"/>
              <w:spacing w:before="26"/>
              <w:ind w:right="199"/>
              <w:rPr>
                <w:sz w:val="20"/>
              </w:rPr>
            </w:pPr>
            <w:r>
              <w:rPr>
                <w:sz w:val="20"/>
              </w:rPr>
              <w:t>0.00</w:t>
            </w:r>
          </w:p>
        </w:tc>
        <w:tc>
          <w:tcPr>
            <w:tcW w:w="857" w:type="dxa"/>
          </w:tcPr>
          <w:p>
            <w:pPr>
              <w:pStyle w:val="TableParagraph"/>
              <w:spacing w:before="26"/>
              <w:ind w:right="197"/>
              <w:rPr>
                <w:sz w:val="20"/>
              </w:rPr>
            </w:pPr>
            <w:r>
              <w:rPr>
                <w:sz w:val="20"/>
              </w:rPr>
              <w:t>0.00</w:t>
            </w:r>
          </w:p>
        </w:tc>
        <w:tc>
          <w:tcPr>
            <w:tcW w:w="857" w:type="dxa"/>
          </w:tcPr>
          <w:p>
            <w:pPr>
              <w:pStyle w:val="TableParagraph"/>
              <w:spacing w:before="26"/>
              <w:ind w:right="199"/>
              <w:rPr>
                <w:sz w:val="20"/>
              </w:rPr>
            </w:pPr>
            <w:r>
              <w:rPr>
                <w:sz w:val="20"/>
              </w:rPr>
              <w:t>0.00</w:t>
            </w:r>
          </w:p>
        </w:tc>
        <w:tc>
          <w:tcPr>
            <w:tcW w:w="857" w:type="dxa"/>
          </w:tcPr>
          <w:p>
            <w:pPr>
              <w:pStyle w:val="TableParagraph"/>
              <w:spacing w:before="26"/>
              <w:ind w:left="302"/>
              <w:jc w:val="left"/>
              <w:rPr>
                <w:sz w:val="20"/>
              </w:rPr>
            </w:pPr>
            <w:r>
              <w:rPr>
                <w:sz w:val="20"/>
              </w:rPr>
              <w:t>0.00</w:t>
            </w:r>
          </w:p>
        </w:tc>
        <w:tc>
          <w:tcPr>
            <w:tcW w:w="879" w:type="dxa"/>
          </w:tcPr>
          <w:p>
            <w:pPr>
              <w:pStyle w:val="TableParagraph"/>
              <w:spacing w:before="26"/>
              <w:ind w:right="221"/>
              <w:rPr>
                <w:sz w:val="20"/>
              </w:rPr>
            </w:pPr>
            <w:r>
              <w:rPr>
                <w:sz w:val="20"/>
              </w:rPr>
              <w:t>0.00</w:t>
            </w:r>
          </w:p>
        </w:tc>
        <w:tc>
          <w:tcPr>
            <w:tcW w:w="857" w:type="dxa"/>
          </w:tcPr>
          <w:p>
            <w:pPr>
              <w:pStyle w:val="TableParagraph"/>
              <w:spacing w:before="26"/>
              <w:ind w:left="281"/>
              <w:jc w:val="left"/>
              <w:rPr>
                <w:sz w:val="20"/>
              </w:rPr>
            </w:pPr>
            <w:r>
              <w:rPr>
                <w:sz w:val="20"/>
              </w:rPr>
              <w:t>0.00</w:t>
            </w:r>
          </w:p>
        </w:tc>
        <w:tc>
          <w:tcPr>
            <w:tcW w:w="831" w:type="dxa"/>
          </w:tcPr>
          <w:p>
            <w:pPr>
              <w:pStyle w:val="TableParagraph"/>
              <w:spacing w:before="26"/>
              <w:ind w:left="278" w:right="84"/>
              <w:jc w:val="left"/>
              <w:rPr>
                <w:sz w:val="20"/>
              </w:rPr>
            </w:pPr>
            <w:r>
              <w:rPr>
                <w:sz w:val="20"/>
              </w:rPr>
              <w:t>0.00</w:t>
            </w:r>
          </w:p>
        </w:tc>
        <w:tc>
          <w:tcPr>
            <w:tcW w:w="725" w:type="dxa"/>
          </w:tcPr>
          <w:p>
            <w:pPr>
              <w:pStyle w:val="TableParagraph"/>
              <w:spacing w:before="26"/>
              <w:ind w:right="60"/>
              <w:rPr>
                <w:sz w:val="20"/>
              </w:rPr>
            </w:pPr>
            <w:r>
              <w:rPr>
                <w:sz w:val="20"/>
              </w:rPr>
              <w:t>0.00</w:t>
            </w:r>
          </w:p>
        </w:tc>
      </w:tr>
      <w:tr>
        <w:trPr>
          <w:trHeight w:val="298" w:hRule="exact"/>
        </w:trPr>
        <w:tc>
          <w:tcPr>
            <w:tcW w:w="1472" w:type="dxa"/>
          </w:tcPr>
          <w:p>
            <w:pPr>
              <w:pStyle w:val="TableParagraph"/>
              <w:ind w:left="86"/>
              <w:jc w:val="left"/>
              <w:rPr>
                <w:sz w:val="20"/>
              </w:rPr>
            </w:pPr>
            <w:r>
              <w:rPr>
                <w:sz w:val="20"/>
              </w:rPr>
              <w:t>TEJ_WmFdp</w:t>
            </w:r>
          </w:p>
        </w:tc>
        <w:tc>
          <w:tcPr>
            <w:tcW w:w="861" w:type="dxa"/>
          </w:tcPr>
          <w:p>
            <w:pPr>
              <w:pStyle w:val="TableParagraph"/>
              <w:ind w:right="199"/>
              <w:rPr>
                <w:sz w:val="20"/>
              </w:rPr>
            </w:pPr>
            <w:r>
              <w:rPr>
                <w:sz w:val="20"/>
              </w:rPr>
              <w:t>0.00</w:t>
            </w:r>
          </w:p>
        </w:tc>
        <w:tc>
          <w:tcPr>
            <w:tcW w:w="857" w:type="dxa"/>
          </w:tcPr>
          <w:p>
            <w:pPr>
              <w:pStyle w:val="TableParagraph"/>
              <w:ind w:left="302"/>
              <w:jc w:val="left"/>
              <w:rPr>
                <w:sz w:val="20"/>
              </w:rPr>
            </w:pPr>
            <w:r>
              <w:rPr>
                <w:sz w:val="20"/>
              </w:rPr>
              <w:t>0.00</w:t>
            </w:r>
          </w:p>
        </w:tc>
        <w:tc>
          <w:tcPr>
            <w:tcW w:w="857" w:type="dxa"/>
          </w:tcPr>
          <w:p>
            <w:pPr>
              <w:pStyle w:val="TableParagraph"/>
              <w:ind w:right="199"/>
              <w:rPr>
                <w:sz w:val="20"/>
              </w:rPr>
            </w:pPr>
            <w:r>
              <w:rPr>
                <w:sz w:val="20"/>
              </w:rPr>
              <w:t>0.00</w:t>
            </w:r>
          </w:p>
        </w:tc>
        <w:tc>
          <w:tcPr>
            <w:tcW w:w="857" w:type="dxa"/>
          </w:tcPr>
          <w:p>
            <w:pPr>
              <w:pStyle w:val="TableParagraph"/>
              <w:ind w:right="197"/>
              <w:rPr>
                <w:sz w:val="20"/>
              </w:rPr>
            </w:pPr>
            <w:r>
              <w:rPr>
                <w:sz w:val="20"/>
              </w:rPr>
              <w:t>0.00</w:t>
            </w:r>
          </w:p>
        </w:tc>
        <w:tc>
          <w:tcPr>
            <w:tcW w:w="857" w:type="dxa"/>
          </w:tcPr>
          <w:p>
            <w:pPr>
              <w:pStyle w:val="TableParagraph"/>
              <w:ind w:right="199"/>
              <w:rPr>
                <w:sz w:val="20"/>
              </w:rPr>
            </w:pPr>
            <w:r>
              <w:rPr>
                <w:sz w:val="20"/>
              </w:rPr>
              <w:t>0.00</w:t>
            </w:r>
          </w:p>
        </w:tc>
        <w:tc>
          <w:tcPr>
            <w:tcW w:w="857" w:type="dxa"/>
          </w:tcPr>
          <w:p>
            <w:pPr>
              <w:pStyle w:val="TableParagraph"/>
              <w:ind w:left="302"/>
              <w:jc w:val="left"/>
              <w:rPr>
                <w:sz w:val="20"/>
              </w:rPr>
            </w:pPr>
            <w:r>
              <w:rPr>
                <w:sz w:val="20"/>
              </w:rPr>
              <w:t>0.00</w:t>
            </w:r>
          </w:p>
        </w:tc>
        <w:tc>
          <w:tcPr>
            <w:tcW w:w="879" w:type="dxa"/>
          </w:tcPr>
          <w:p>
            <w:pPr>
              <w:pStyle w:val="TableParagraph"/>
              <w:ind w:right="221"/>
              <w:rPr>
                <w:sz w:val="20"/>
              </w:rPr>
            </w:pPr>
            <w:r>
              <w:rPr>
                <w:sz w:val="20"/>
              </w:rPr>
              <w:t>0.00</w:t>
            </w:r>
          </w:p>
        </w:tc>
        <w:tc>
          <w:tcPr>
            <w:tcW w:w="857" w:type="dxa"/>
          </w:tcPr>
          <w:p>
            <w:pPr>
              <w:pStyle w:val="TableParagraph"/>
              <w:ind w:left="281"/>
              <w:jc w:val="left"/>
              <w:rPr>
                <w:sz w:val="20"/>
              </w:rPr>
            </w:pPr>
            <w:r>
              <w:rPr>
                <w:sz w:val="20"/>
              </w:rPr>
              <w:t>0.00</w:t>
            </w:r>
          </w:p>
        </w:tc>
        <w:tc>
          <w:tcPr>
            <w:tcW w:w="831" w:type="dxa"/>
          </w:tcPr>
          <w:p>
            <w:pPr>
              <w:pStyle w:val="TableParagraph"/>
              <w:ind w:left="278" w:right="84"/>
              <w:jc w:val="left"/>
              <w:rPr>
                <w:sz w:val="20"/>
              </w:rPr>
            </w:pPr>
            <w:r>
              <w:rPr>
                <w:sz w:val="20"/>
              </w:rPr>
              <w:t>0.00</w:t>
            </w:r>
          </w:p>
        </w:tc>
        <w:tc>
          <w:tcPr>
            <w:tcW w:w="725" w:type="dxa"/>
          </w:tcPr>
          <w:p>
            <w:pPr>
              <w:pStyle w:val="TableParagraph"/>
              <w:ind w:right="60"/>
              <w:rPr>
                <w:sz w:val="20"/>
              </w:rPr>
            </w:pPr>
            <w:r>
              <w:rPr>
                <w:sz w:val="20"/>
              </w:rPr>
              <w:t>0.00</w:t>
            </w:r>
          </w:p>
        </w:tc>
      </w:tr>
      <w:tr>
        <w:trPr>
          <w:trHeight w:val="268" w:hRule="exact"/>
        </w:trPr>
        <w:tc>
          <w:tcPr>
            <w:tcW w:w="1472" w:type="dxa"/>
            <w:tcBorders>
              <w:bottom w:val="single" w:sz="4" w:space="0" w:color="000000"/>
            </w:tcBorders>
          </w:tcPr>
          <w:p>
            <w:pPr>
              <w:pStyle w:val="TableParagraph"/>
              <w:ind w:left="86"/>
              <w:jc w:val="left"/>
              <w:rPr>
                <w:sz w:val="20"/>
              </w:rPr>
            </w:pPr>
            <w:r>
              <w:rPr>
                <w:sz w:val="20"/>
              </w:rPr>
              <w:t>TEJ_WmSF</w:t>
            </w:r>
          </w:p>
        </w:tc>
        <w:tc>
          <w:tcPr>
            <w:tcW w:w="861" w:type="dxa"/>
            <w:tcBorders>
              <w:bottom w:val="single" w:sz="4" w:space="0" w:color="000000"/>
            </w:tcBorders>
          </w:tcPr>
          <w:p>
            <w:pPr>
              <w:pStyle w:val="TableParagraph"/>
              <w:ind w:right="199"/>
              <w:rPr>
                <w:sz w:val="20"/>
              </w:rPr>
            </w:pPr>
            <w:r>
              <w:rPr>
                <w:sz w:val="20"/>
              </w:rPr>
              <w:t>0.00</w:t>
            </w:r>
          </w:p>
        </w:tc>
        <w:tc>
          <w:tcPr>
            <w:tcW w:w="857" w:type="dxa"/>
            <w:tcBorders>
              <w:bottom w:val="single" w:sz="4" w:space="0" w:color="000000"/>
            </w:tcBorders>
          </w:tcPr>
          <w:p>
            <w:pPr>
              <w:pStyle w:val="TableParagraph"/>
              <w:ind w:left="302"/>
              <w:jc w:val="left"/>
              <w:rPr>
                <w:sz w:val="20"/>
              </w:rPr>
            </w:pPr>
            <w:r>
              <w:rPr>
                <w:sz w:val="20"/>
              </w:rPr>
              <w:t>0.00</w:t>
            </w:r>
          </w:p>
        </w:tc>
        <w:tc>
          <w:tcPr>
            <w:tcW w:w="857" w:type="dxa"/>
            <w:tcBorders>
              <w:bottom w:val="single" w:sz="4" w:space="0" w:color="000000"/>
            </w:tcBorders>
          </w:tcPr>
          <w:p>
            <w:pPr>
              <w:pStyle w:val="TableParagraph"/>
              <w:ind w:right="199"/>
              <w:rPr>
                <w:sz w:val="20"/>
              </w:rPr>
            </w:pPr>
            <w:r>
              <w:rPr>
                <w:sz w:val="20"/>
              </w:rPr>
              <w:t>0.00</w:t>
            </w:r>
          </w:p>
        </w:tc>
        <w:tc>
          <w:tcPr>
            <w:tcW w:w="857" w:type="dxa"/>
            <w:tcBorders>
              <w:bottom w:val="single" w:sz="4" w:space="0" w:color="000000"/>
            </w:tcBorders>
          </w:tcPr>
          <w:p>
            <w:pPr>
              <w:pStyle w:val="TableParagraph"/>
              <w:ind w:right="197"/>
              <w:rPr>
                <w:sz w:val="20"/>
              </w:rPr>
            </w:pPr>
            <w:r>
              <w:rPr>
                <w:sz w:val="20"/>
              </w:rPr>
              <w:t>0.00</w:t>
            </w:r>
          </w:p>
        </w:tc>
        <w:tc>
          <w:tcPr>
            <w:tcW w:w="857" w:type="dxa"/>
            <w:tcBorders>
              <w:bottom w:val="single" w:sz="4" w:space="0" w:color="000000"/>
            </w:tcBorders>
          </w:tcPr>
          <w:p>
            <w:pPr>
              <w:pStyle w:val="TableParagraph"/>
              <w:ind w:right="199"/>
              <w:rPr>
                <w:sz w:val="20"/>
              </w:rPr>
            </w:pPr>
            <w:r>
              <w:rPr>
                <w:sz w:val="20"/>
              </w:rPr>
              <w:t>0.00</w:t>
            </w:r>
          </w:p>
        </w:tc>
        <w:tc>
          <w:tcPr>
            <w:tcW w:w="857" w:type="dxa"/>
            <w:tcBorders>
              <w:bottom w:val="single" w:sz="4" w:space="0" w:color="000000"/>
            </w:tcBorders>
          </w:tcPr>
          <w:p>
            <w:pPr>
              <w:pStyle w:val="TableParagraph"/>
              <w:ind w:left="302"/>
              <w:jc w:val="left"/>
              <w:rPr>
                <w:sz w:val="20"/>
              </w:rPr>
            </w:pPr>
            <w:r>
              <w:rPr>
                <w:sz w:val="20"/>
              </w:rPr>
              <w:t>0.00</w:t>
            </w:r>
          </w:p>
        </w:tc>
        <w:tc>
          <w:tcPr>
            <w:tcW w:w="879" w:type="dxa"/>
            <w:tcBorders>
              <w:bottom w:val="single" w:sz="4" w:space="0" w:color="000000"/>
            </w:tcBorders>
          </w:tcPr>
          <w:p>
            <w:pPr>
              <w:pStyle w:val="TableParagraph"/>
              <w:ind w:right="221"/>
              <w:rPr>
                <w:sz w:val="20"/>
              </w:rPr>
            </w:pPr>
            <w:r>
              <w:rPr>
                <w:sz w:val="20"/>
              </w:rPr>
              <w:t>0.00</w:t>
            </w:r>
          </w:p>
        </w:tc>
        <w:tc>
          <w:tcPr>
            <w:tcW w:w="857" w:type="dxa"/>
            <w:tcBorders>
              <w:bottom w:val="single" w:sz="4" w:space="0" w:color="000000"/>
            </w:tcBorders>
          </w:tcPr>
          <w:p>
            <w:pPr>
              <w:pStyle w:val="TableParagraph"/>
              <w:ind w:left="281"/>
              <w:jc w:val="left"/>
              <w:rPr>
                <w:sz w:val="20"/>
              </w:rPr>
            </w:pPr>
            <w:r>
              <w:rPr>
                <w:sz w:val="20"/>
              </w:rPr>
              <w:t>0.00</w:t>
            </w:r>
          </w:p>
        </w:tc>
        <w:tc>
          <w:tcPr>
            <w:tcW w:w="831" w:type="dxa"/>
            <w:tcBorders>
              <w:bottom w:val="single" w:sz="4" w:space="0" w:color="000000"/>
            </w:tcBorders>
          </w:tcPr>
          <w:p>
            <w:pPr>
              <w:pStyle w:val="TableParagraph"/>
              <w:ind w:left="278" w:right="84"/>
              <w:jc w:val="left"/>
              <w:rPr>
                <w:sz w:val="20"/>
              </w:rPr>
            </w:pPr>
            <w:r>
              <w:rPr>
                <w:sz w:val="20"/>
              </w:rPr>
              <w:t>0.00</w:t>
            </w:r>
          </w:p>
        </w:tc>
        <w:tc>
          <w:tcPr>
            <w:tcW w:w="725" w:type="dxa"/>
            <w:tcBorders>
              <w:bottom w:val="single" w:sz="4" w:space="0" w:color="000000"/>
            </w:tcBorders>
          </w:tcPr>
          <w:p>
            <w:pPr>
              <w:pStyle w:val="TableParagraph"/>
              <w:ind w:right="60"/>
              <w:rPr>
                <w:sz w:val="20"/>
              </w:rPr>
            </w:pPr>
            <w:r>
              <w:rPr>
                <w:sz w:val="20"/>
              </w:rPr>
              <w:t>0.00</w:t>
            </w:r>
          </w:p>
        </w:tc>
      </w:tr>
    </w:tbl>
    <w:p>
      <w:pPr>
        <w:pStyle w:val="BodyText"/>
        <w:rPr>
          <w:sz w:val="20"/>
        </w:rPr>
      </w:pPr>
    </w:p>
    <w:p>
      <w:pPr>
        <w:pStyle w:val="BodyText"/>
        <w:spacing w:before="4"/>
        <w:rPr>
          <w:sz w:val="25"/>
        </w:rPr>
      </w:pPr>
    </w:p>
    <w:p>
      <w:pPr>
        <w:pStyle w:val="Heading1"/>
        <w:spacing w:before="66"/>
        <w:ind w:left="3026"/>
      </w:pPr>
      <w:bookmarkStart w:name="_bookmark155" w:id="214"/>
      <w:bookmarkEnd w:id="214"/>
      <w:r>
        <w:rPr>
          <w:b w:val="0"/>
        </w:rPr>
      </w:r>
      <w:r>
        <w:rPr/>
        <w:t>Tabla 18. Contenido de arena del suelo</w:t>
      </w:r>
    </w:p>
    <w:p>
      <w:pPr>
        <w:pStyle w:val="BodyText"/>
        <w:rPr>
          <w:b/>
          <w:sz w:val="20"/>
        </w:rPr>
      </w:pPr>
    </w:p>
    <w:p>
      <w:pPr>
        <w:pStyle w:val="BodyText"/>
        <w:spacing w:before="4"/>
        <w:rPr>
          <w:b/>
          <w:sz w:val="24"/>
        </w:rPr>
      </w:pPr>
    </w:p>
    <w:tbl>
      <w:tblPr>
        <w:tblW w:w="0" w:type="auto"/>
        <w:jc w:val="left"/>
        <w:tblInd w:w="1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65"/>
        <w:gridCol w:w="844"/>
        <w:gridCol w:w="840"/>
        <w:gridCol w:w="840"/>
        <w:gridCol w:w="843"/>
        <w:gridCol w:w="843"/>
        <w:gridCol w:w="840"/>
        <w:gridCol w:w="864"/>
        <w:gridCol w:w="840"/>
        <w:gridCol w:w="819"/>
        <w:gridCol w:w="713"/>
      </w:tblGrid>
      <w:tr>
        <w:trPr>
          <w:trHeight w:val="386" w:hRule="exact"/>
        </w:trPr>
        <w:tc>
          <w:tcPr>
            <w:tcW w:w="1465" w:type="dxa"/>
            <w:tcBorders>
              <w:left w:val="nil"/>
              <w:bottom w:val="nil"/>
              <w:right w:val="nil"/>
            </w:tcBorders>
          </w:tcPr>
          <w:p>
            <w:pPr>
              <w:pStyle w:val="TableParagraph"/>
              <w:spacing w:before="173"/>
              <w:ind w:left="91"/>
              <w:jc w:val="left"/>
              <w:rPr>
                <w:sz w:val="20"/>
              </w:rPr>
            </w:pPr>
            <w:r>
              <w:rPr>
                <w:sz w:val="20"/>
              </w:rPr>
              <w:t>Nombre/Clave</w:t>
            </w:r>
          </w:p>
        </w:tc>
        <w:tc>
          <w:tcPr>
            <w:tcW w:w="844" w:type="dxa"/>
            <w:tcBorders>
              <w:left w:val="nil"/>
              <w:bottom w:val="nil"/>
              <w:right w:val="nil"/>
            </w:tcBorders>
          </w:tcPr>
          <w:p>
            <w:pPr/>
          </w:p>
        </w:tc>
        <w:tc>
          <w:tcPr>
            <w:tcW w:w="840" w:type="dxa"/>
            <w:tcBorders>
              <w:left w:val="nil"/>
              <w:bottom w:val="nil"/>
              <w:right w:val="nil"/>
            </w:tcBorders>
          </w:tcPr>
          <w:p>
            <w:pPr/>
          </w:p>
        </w:tc>
        <w:tc>
          <w:tcPr>
            <w:tcW w:w="840" w:type="dxa"/>
            <w:tcBorders>
              <w:left w:val="nil"/>
              <w:bottom w:val="nil"/>
              <w:right w:val="nil"/>
            </w:tcBorders>
          </w:tcPr>
          <w:p>
            <w:pPr/>
          </w:p>
        </w:tc>
        <w:tc>
          <w:tcPr>
            <w:tcW w:w="2526" w:type="dxa"/>
            <w:gridSpan w:val="3"/>
            <w:tcBorders>
              <w:left w:val="nil"/>
              <w:bottom w:val="nil"/>
              <w:right w:val="nil"/>
            </w:tcBorders>
          </w:tcPr>
          <w:p>
            <w:pPr>
              <w:pStyle w:val="TableParagraph"/>
              <w:spacing w:before="58"/>
              <w:ind w:left="696"/>
              <w:jc w:val="left"/>
              <w:rPr>
                <w:sz w:val="20"/>
              </w:rPr>
            </w:pPr>
            <w:r>
              <w:rPr>
                <w:sz w:val="20"/>
              </w:rPr>
              <w:t>N° de capas del suelo</w:t>
            </w:r>
          </w:p>
        </w:tc>
        <w:tc>
          <w:tcPr>
            <w:tcW w:w="864" w:type="dxa"/>
            <w:tcBorders>
              <w:left w:val="nil"/>
              <w:bottom w:val="nil"/>
              <w:right w:val="nil"/>
            </w:tcBorders>
          </w:tcPr>
          <w:p>
            <w:pPr/>
          </w:p>
        </w:tc>
        <w:tc>
          <w:tcPr>
            <w:tcW w:w="840" w:type="dxa"/>
            <w:tcBorders>
              <w:left w:val="nil"/>
              <w:bottom w:val="nil"/>
              <w:right w:val="nil"/>
            </w:tcBorders>
          </w:tcPr>
          <w:p>
            <w:pPr/>
          </w:p>
        </w:tc>
        <w:tc>
          <w:tcPr>
            <w:tcW w:w="819" w:type="dxa"/>
            <w:tcBorders>
              <w:left w:val="nil"/>
              <w:bottom w:val="nil"/>
              <w:right w:val="nil"/>
            </w:tcBorders>
          </w:tcPr>
          <w:p>
            <w:pPr/>
          </w:p>
        </w:tc>
        <w:tc>
          <w:tcPr>
            <w:tcW w:w="713" w:type="dxa"/>
            <w:tcBorders>
              <w:left w:val="nil"/>
              <w:bottom w:val="nil"/>
              <w:right w:val="nil"/>
            </w:tcBorders>
          </w:tcPr>
          <w:p>
            <w:pPr/>
          </w:p>
        </w:tc>
      </w:tr>
      <w:tr>
        <w:trPr>
          <w:trHeight w:val="214" w:hRule="exact"/>
        </w:trPr>
        <w:tc>
          <w:tcPr>
            <w:tcW w:w="1465" w:type="dxa"/>
            <w:tcBorders>
              <w:top w:val="nil"/>
              <w:left w:val="nil"/>
              <w:right w:val="nil"/>
            </w:tcBorders>
          </w:tcPr>
          <w:p>
            <w:pPr/>
          </w:p>
        </w:tc>
        <w:tc>
          <w:tcPr>
            <w:tcW w:w="844" w:type="dxa"/>
            <w:tcBorders>
              <w:top w:val="nil"/>
              <w:left w:val="nil"/>
              <w:right w:val="nil"/>
            </w:tcBorders>
          </w:tcPr>
          <w:p>
            <w:pPr>
              <w:pStyle w:val="TableParagraph"/>
              <w:spacing w:line="199" w:lineRule="exact" w:before="0"/>
              <w:ind w:left="244"/>
              <w:jc w:val="left"/>
              <w:rPr>
                <w:sz w:val="20"/>
              </w:rPr>
            </w:pPr>
            <w:r>
              <w:rPr>
                <w:w w:val="100"/>
                <w:sz w:val="20"/>
              </w:rPr>
              <w:t>1</w:t>
            </w:r>
          </w:p>
        </w:tc>
        <w:tc>
          <w:tcPr>
            <w:tcW w:w="840" w:type="dxa"/>
            <w:tcBorders>
              <w:top w:val="nil"/>
              <w:left w:val="nil"/>
              <w:right w:val="nil"/>
            </w:tcBorders>
          </w:tcPr>
          <w:p>
            <w:pPr>
              <w:pStyle w:val="TableParagraph"/>
              <w:spacing w:line="199" w:lineRule="exact" w:before="0"/>
              <w:ind w:left="240"/>
              <w:jc w:val="left"/>
              <w:rPr>
                <w:sz w:val="20"/>
              </w:rPr>
            </w:pPr>
            <w:r>
              <w:rPr>
                <w:w w:val="100"/>
                <w:sz w:val="20"/>
              </w:rPr>
              <w:t>2</w:t>
            </w:r>
          </w:p>
        </w:tc>
        <w:tc>
          <w:tcPr>
            <w:tcW w:w="840" w:type="dxa"/>
            <w:tcBorders>
              <w:top w:val="nil"/>
              <w:left w:val="nil"/>
              <w:right w:val="nil"/>
            </w:tcBorders>
          </w:tcPr>
          <w:p>
            <w:pPr>
              <w:pStyle w:val="TableParagraph"/>
              <w:spacing w:line="199" w:lineRule="exact" w:before="0"/>
              <w:ind w:left="240"/>
              <w:jc w:val="left"/>
              <w:rPr>
                <w:sz w:val="20"/>
              </w:rPr>
            </w:pPr>
            <w:r>
              <w:rPr>
                <w:w w:val="100"/>
                <w:sz w:val="20"/>
              </w:rPr>
              <w:t>3</w:t>
            </w:r>
          </w:p>
        </w:tc>
        <w:tc>
          <w:tcPr>
            <w:tcW w:w="843" w:type="dxa"/>
            <w:tcBorders>
              <w:top w:val="nil"/>
              <w:left w:val="nil"/>
              <w:right w:val="nil"/>
            </w:tcBorders>
          </w:tcPr>
          <w:p>
            <w:pPr>
              <w:pStyle w:val="TableParagraph"/>
              <w:spacing w:line="199" w:lineRule="exact" w:before="0"/>
              <w:ind w:left="240"/>
              <w:jc w:val="left"/>
              <w:rPr>
                <w:sz w:val="20"/>
              </w:rPr>
            </w:pPr>
            <w:r>
              <w:rPr>
                <w:w w:val="100"/>
                <w:sz w:val="20"/>
              </w:rPr>
              <w:t>4</w:t>
            </w:r>
          </w:p>
        </w:tc>
        <w:tc>
          <w:tcPr>
            <w:tcW w:w="843" w:type="dxa"/>
            <w:tcBorders>
              <w:top w:val="nil"/>
              <w:left w:val="nil"/>
              <w:right w:val="nil"/>
            </w:tcBorders>
          </w:tcPr>
          <w:p>
            <w:pPr>
              <w:pStyle w:val="TableParagraph"/>
              <w:spacing w:line="199" w:lineRule="exact" w:before="0"/>
              <w:ind w:left="242"/>
              <w:jc w:val="left"/>
              <w:rPr>
                <w:sz w:val="20"/>
              </w:rPr>
            </w:pPr>
            <w:r>
              <w:rPr>
                <w:w w:val="100"/>
                <w:sz w:val="20"/>
              </w:rPr>
              <w:t>5</w:t>
            </w:r>
          </w:p>
        </w:tc>
        <w:tc>
          <w:tcPr>
            <w:tcW w:w="840" w:type="dxa"/>
            <w:tcBorders>
              <w:top w:val="nil"/>
              <w:left w:val="nil"/>
              <w:right w:val="nil"/>
            </w:tcBorders>
          </w:tcPr>
          <w:p>
            <w:pPr>
              <w:pStyle w:val="TableParagraph"/>
              <w:spacing w:line="199" w:lineRule="exact" w:before="0"/>
              <w:ind w:left="240"/>
              <w:jc w:val="left"/>
              <w:rPr>
                <w:sz w:val="20"/>
              </w:rPr>
            </w:pPr>
            <w:r>
              <w:rPr>
                <w:w w:val="100"/>
                <w:sz w:val="20"/>
              </w:rPr>
              <w:t>6</w:t>
            </w:r>
          </w:p>
        </w:tc>
        <w:tc>
          <w:tcPr>
            <w:tcW w:w="864" w:type="dxa"/>
            <w:tcBorders>
              <w:top w:val="nil"/>
              <w:left w:val="nil"/>
              <w:right w:val="nil"/>
            </w:tcBorders>
          </w:tcPr>
          <w:p>
            <w:pPr>
              <w:pStyle w:val="TableParagraph"/>
              <w:spacing w:line="199" w:lineRule="exact" w:before="0"/>
              <w:ind w:left="240"/>
              <w:jc w:val="left"/>
              <w:rPr>
                <w:sz w:val="20"/>
              </w:rPr>
            </w:pPr>
            <w:r>
              <w:rPr>
                <w:w w:val="100"/>
                <w:sz w:val="20"/>
              </w:rPr>
              <w:t>7</w:t>
            </w:r>
          </w:p>
        </w:tc>
        <w:tc>
          <w:tcPr>
            <w:tcW w:w="840" w:type="dxa"/>
            <w:tcBorders>
              <w:top w:val="nil"/>
              <w:left w:val="nil"/>
              <w:right w:val="nil"/>
            </w:tcBorders>
          </w:tcPr>
          <w:p>
            <w:pPr>
              <w:pStyle w:val="TableParagraph"/>
              <w:spacing w:line="199" w:lineRule="exact" w:before="0"/>
              <w:ind w:left="216"/>
              <w:jc w:val="left"/>
              <w:rPr>
                <w:sz w:val="20"/>
              </w:rPr>
            </w:pPr>
            <w:r>
              <w:rPr>
                <w:w w:val="100"/>
                <w:sz w:val="20"/>
              </w:rPr>
              <w:t>8</w:t>
            </w:r>
          </w:p>
        </w:tc>
        <w:tc>
          <w:tcPr>
            <w:tcW w:w="819" w:type="dxa"/>
            <w:tcBorders>
              <w:top w:val="nil"/>
              <w:left w:val="nil"/>
              <w:right w:val="nil"/>
            </w:tcBorders>
          </w:tcPr>
          <w:p>
            <w:pPr>
              <w:pStyle w:val="TableParagraph"/>
              <w:spacing w:line="199" w:lineRule="exact" w:before="0"/>
              <w:ind w:left="216"/>
              <w:jc w:val="left"/>
              <w:rPr>
                <w:sz w:val="20"/>
              </w:rPr>
            </w:pPr>
            <w:r>
              <w:rPr>
                <w:w w:val="100"/>
                <w:sz w:val="20"/>
              </w:rPr>
              <w:t>9</w:t>
            </w:r>
          </w:p>
        </w:tc>
        <w:tc>
          <w:tcPr>
            <w:tcW w:w="713" w:type="dxa"/>
            <w:tcBorders>
              <w:top w:val="nil"/>
              <w:left w:val="nil"/>
              <w:right w:val="nil"/>
            </w:tcBorders>
          </w:tcPr>
          <w:p>
            <w:pPr>
              <w:pStyle w:val="TableParagraph"/>
              <w:spacing w:line="199" w:lineRule="exact" w:before="0"/>
              <w:ind w:left="194"/>
              <w:jc w:val="left"/>
              <w:rPr>
                <w:sz w:val="20"/>
              </w:rPr>
            </w:pPr>
            <w:r>
              <w:rPr>
                <w:sz w:val="20"/>
              </w:rPr>
              <w:t>10</w:t>
            </w:r>
          </w:p>
        </w:tc>
      </w:tr>
      <w:tr>
        <w:trPr>
          <w:trHeight w:val="337" w:hRule="exact"/>
        </w:trPr>
        <w:tc>
          <w:tcPr>
            <w:tcW w:w="1465" w:type="dxa"/>
            <w:tcBorders>
              <w:left w:val="nil"/>
              <w:bottom w:val="nil"/>
              <w:right w:val="nil"/>
            </w:tcBorders>
          </w:tcPr>
          <w:p>
            <w:pPr>
              <w:pStyle w:val="TableParagraph"/>
              <w:spacing w:before="58"/>
              <w:ind w:left="86"/>
              <w:jc w:val="left"/>
              <w:rPr>
                <w:sz w:val="20"/>
              </w:rPr>
            </w:pPr>
            <w:r>
              <w:rPr>
                <w:sz w:val="20"/>
              </w:rPr>
              <w:t>TEJ_HhFd</w:t>
            </w:r>
          </w:p>
        </w:tc>
        <w:tc>
          <w:tcPr>
            <w:tcW w:w="844" w:type="dxa"/>
            <w:tcBorders>
              <w:left w:val="nil"/>
              <w:bottom w:val="nil"/>
              <w:right w:val="nil"/>
            </w:tcBorders>
          </w:tcPr>
          <w:p>
            <w:pPr>
              <w:pStyle w:val="TableParagraph"/>
              <w:spacing w:before="58"/>
              <w:ind w:right="190"/>
              <w:rPr>
                <w:sz w:val="20"/>
              </w:rPr>
            </w:pPr>
            <w:r>
              <w:rPr>
                <w:sz w:val="20"/>
              </w:rPr>
              <w:t>58.30</w:t>
            </w:r>
          </w:p>
        </w:tc>
        <w:tc>
          <w:tcPr>
            <w:tcW w:w="840" w:type="dxa"/>
            <w:tcBorders>
              <w:left w:val="nil"/>
              <w:bottom w:val="nil"/>
              <w:right w:val="nil"/>
            </w:tcBorders>
          </w:tcPr>
          <w:p>
            <w:pPr>
              <w:pStyle w:val="TableParagraph"/>
              <w:spacing w:before="58"/>
              <w:ind w:left="192"/>
              <w:jc w:val="left"/>
              <w:rPr>
                <w:sz w:val="20"/>
              </w:rPr>
            </w:pPr>
            <w:r>
              <w:rPr>
                <w:sz w:val="20"/>
              </w:rPr>
              <w:t>53.63</w:t>
            </w:r>
          </w:p>
        </w:tc>
        <w:tc>
          <w:tcPr>
            <w:tcW w:w="840" w:type="dxa"/>
            <w:tcBorders>
              <w:left w:val="nil"/>
              <w:bottom w:val="nil"/>
              <w:right w:val="nil"/>
            </w:tcBorders>
          </w:tcPr>
          <w:p>
            <w:pPr>
              <w:pStyle w:val="TableParagraph"/>
              <w:spacing w:before="58"/>
              <w:ind w:left="192"/>
              <w:jc w:val="left"/>
              <w:rPr>
                <w:sz w:val="20"/>
              </w:rPr>
            </w:pPr>
            <w:r>
              <w:rPr>
                <w:sz w:val="20"/>
              </w:rPr>
              <w:t>51.30</w:t>
            </w:r>
          </w:p>
        </w:tc>
        <w:tc>
          <w:tcPr>
            <w:tcW w:w="843" w:type="dxa"/>
            <w:tcBorders>
              <w:left w:val="nil"/>
              <w:bottom w:val="nil"/>
              <w:right w:val="nil"/>
            </w:tcBorders>
          </w:tcPr>
          <w:p>
            <w:pPr>
              <w:pStyle w:val="TableParagraph"/>
              <w:spacing w:before="58"/>
              <w:ind w:left="192"/>
              <w:jc w:val="left"/>
              <w:rPr>
                <w:sz w:val="20"/>
              </w:rPr>
            </w:pPr>
            <w:r>
              <w:rPr>
                <w:sz w:val="20"/>
              </w:rPr>
              <w:t>39.30</w:t>
            </w:r>
          </w:p>
        </w:tc>
        <w:tc>
          <w:tcPr>
            <w:tcW w:w="843" w:type="dxa"/>
            <w:tcBorders>
              <w:left w:val="nil"/>
              <w:bottom w:val="nil"/>
              <w:right w:val="nil"/>
            </w:tcBorders>
          </w:tcPr>
          <w:p>
            <w:pPr>
              <w:pStyle w:val="TableParagraph"/>
              <w:spacing w:before="58"/>
              <w:ind w:left="194"/>
              <w:jc w:val="left"/>
              <w:rPr>
                <w:sz w:val="20"/>
              </w:rPr>
            </w:pPr>
            <w:r>
              <w:rPr>
                <w:sz w:val="20"/>
              </w:rPr>
              <w:t>37.23</w:t>
            </w:r>
          </w:p>
        </w:tc>
        <w:tc>
          <w:tcPr>
            <w:tcW w:w="840" w:type="dxa"/>
            <w:tcBorders>
              <w:left w:val="nil"/>
              <w:bottom w:val="nil"/>
              <w:right w:val="nil"/>
            </w:tcBorders>
          </w:tcPr>
          <w:p>
            <w:pPr>
              <w:pStyle w:val="TableParagraph"/>
              <w:spacing w:before="58"/>
              <w:ind w:left="192"/>
              <w:jc w:val="left"/>
              <w:rPr>
                <w:sz w:val="20"/>
              </w:rPr>
            </w:pPr>
            <w:r>
              <w:rPr>
                <w:sz w:val="20"/>
              </w:rPr>
              <w:t>39.42</w:t>
            </w:r>
          </w:p>
        </w:tc>
        <w:tc>
          <w:tcPr>
            <w:tcW w:w="864" w:type="dxa"/>
            <w:tcBorders>
              <w:left w:val="nil"/>
              <w:bottom w:val="nil"/>
              <w:right w:val="nil"/>
            </w:tcBorders>
          </w:tcPr>
          <w:p>
            <w:pPr>
              <w:pStyle w:val="TableParagraph"/>
              <w:spacing w:before="58"/>
              <w:ind w:left="192"/>
              <w:jc w:val="left"/>
              <w:rPr>
                <w:sz w:val="20"/>
              </w:rPr>
            </w:pPr>
            <w:r>
              <w:rPr>
                <w:sz w:val="20"/>
              </w:rPr>
              <w:t>36.77</w:t>
            </w:r>
          </w:p>
        </w:tc>
        <w:tc>
          <w:tcPr>
            <w:tcW w:w="840" w:type="dxa"/>
            <w:tcBorders>
              <w:left w:val="nil"/>
              <w:bottom w:val="nil"/>
              <w:right w:val="nil"/>
            </w:tcBorders>
          </w:tcPr>
          <w:p>
            <w:pPr>
              <w:pStyle w:val="TableParagraph"/>
              <w:spacing w:before="58"/>
              <w:ind w:left="269"/>
              <w:jc w:val="left"/>
              <w:rPr>
                <w:sz w:val="20"/>
              </w:rPr>
            </w:pPr>
            <w:r>
              <w:rPr>
                <w:sz w:val="20"/>
              </w:rPr>
              <w:t>0.00</w:t>
            </w:r>
          </w:p>
        </w:tc>
        <w:tc>
          <w:tcPr>
            <w:tcW w:w="819" w:type="dxa"/>
            <w:tcBorders>
              <w:left w:val="nil"/>
              <w:bottom w:val="nil"/>
              <w:right w:val="nil"/>
            </w:tcBorders>
          </w:tcPr>
          <w:p>
            <w:pPr>
              <w:pStyle w:val="TableParagraph"/>
              <w:spacing w:before="58"/>
              <w:ind w:left="268"/>
              <w:jc w:val="left"/>
              <w:rPr>
                <w:sz w:val="20"/>
              </w:rPr>
            </w:pPr>
            <w:r>
              <w:rPr>
                <w:sz w:val="20"/>
              </w:rPr>
              <w:t>0.00</w:t>
            </w:r>
          </w:p>
        </w:tc>
        <w:tc>
          <w:tcPr>
            <w:tcW w:w="713" w:type="dxa"/>
            <w:tcBorders>
              <w:left w:val="nil"/>
              <w:bottom w:val="nil"/>
              <w:right w:val="nil"/>
            </w:tcBorders>
          </w:tcPr>
          <w:p>
            <w:pPr>
              <w:pStyle w:val="TableParagraph"/>
              <w:spacing w:before="58"/>
              <w:ind w:right="60"/>
              <w:rPr>
                <w:sz w:val="20"/>
              </w:rPr>
            </w:pPr>
            <w:r>
              <w:rPr>
                <w:sz w:val="20"/>
              </w:rPr>
              <w:t>0.00</w:t>
            </w:r>
          </w:p>
        </w:tc>
      </w:tr>
      <w:tr>
        <w:trPr>
          <w:trHeight w:val="298" w:hRule="exact"/>
        </w:trPr>
        <w:tc>
          <w:tcPr>
            <w:tcW w:w="1465" w:type="dxa"/>
            <w:tcBorders>
              <w:top w:val="nil"/>
              <w:left w:val="nil"/>
              <w:bottom w:val="nil"/>
              <w:right w:val="nil"/>
            </w:tcBorders>
          </w:tcPr>
          <w:p>
            <w:pPr>
              <w:pStyle w:val="TableParagraph"/>
              <w:ind w:left="86"/>
              <w:jc w:val="left"/>
              <w:rPr>
                <w:sz w:val="20"/>
              </w:rPr>
            </w:pPr>
            <w:r>
              <w:rPr>
                <w:sz w:val="20"/>
              </w:rPr>
              <w:t>TEJ_HhFdp</w:t>
            </w:r>
          </w:p>
        </w:tc>
        <w:tc>
          <w:tcPr>
            <w:tcW w:w="844" w:type="dxa"/>
            <w:tcBorders>
              <w:top w:val="nil"/>
              <w:left w:val="nil"/>
              <w:bottom w:val="nil"/>
              <w:right w:val="nil"/>
            </w:tcBorders>
          </w:tcPr>
          <w:p>
            <w:pPr>
              <w:pStyle w:val="TableParagraph"/>
              <w:ind w:right="190"/>
              <w:rPr>
                <w:sz w:val="20"/>
              </w:rPr>
            </w:pPr>
            <w:r>
              <w:rPr>
                <w:sz w:val="20"/>
              </w:rPr>
              <w:t>43.00</w:t>
            </w:r>
          </w:p>
        </w:tc>
        <w:tc>
          <w:tcPr>
            <w:tcW w:w="840" w:type="dxa"/>
            <w:tcBorders>
              <w:top w:val="nil"/>
              <w:left w:val="nil"/>
              <w:bottom w:val="nil"/>
              <w:right w:val="nil"/>
            </w:tcBorders>
          </w:tcPr>
          <w:p>
            <w:pPr>
              <w:pStyle w:val="TableParagraph"/>
              <w:ind w:left="192"/>
              <w:jc w:val="left"/>
              <w:rPr>
                <w:sz w:val="20"/>
              </w:rPr>
            </w:pPr>
            <w:r>
              <w:rPr>
                <w:sz w:val="20"/>
              </w:rPr>
              <w:t>43.00</w:t>
            </w:r>
          </w:p>
        </w:tc>
        <w:tc>
          <w:tcPr>
            <w:tcW w:w="840" w:type="dxa"/>
            <w:tcBorders>
              <w:top w:val="nil"/>
              <w:left w:val="nil"/>
              <w:bottom w:val="nil"/>
              <w:right w:val="nil"/>
            </w:tcBorders>
          </w:tcPr>
          <w:p>
            <w:pPr>
              <w:pStyle w:val="TableParagraph"/>
              <w:ind w:left="192"/>
              <w:jc w:val="left"/>
              <w:rPr>
                <w:sz w:val="20"/>
              </w:rPr>
            </w:pPr>
            <w:r>
              <w:rPr>
                <w:sz w:val="20"/>
              </w:rPr>
              <w:t>44.80</w:t>
            </w:r>
          </w:p>
        </w:tc>
        <w:tc>
          <w:tcPr>
            <w:tcW w:w="843" w:type="dxa"/>
            <w:tcBorders>
              <w:top w:val="nil"/>
              <w:left w:val="nil"/>
              <w:bottom w:val="nil"/>
              <w:right w:val="nil"/>
            </w:tcBorders>
          </w:tcPr>
          <w:p>
            <w:pPr>
              <w:pStyle w:val="TableParagraph"/>
              <w:ind w:left="192"/>
              <w:jc w:val="left"/>
              <w:rPr>
                <w:sz w:val="20"/>
              </w:rPr>
            </w:pPr>
            <w:r>
              <w:rPr>
                <w:sz w:val="20"/>
              </w:rPr>
              <w:t>44.50</w:t>
            </w:r>
          </w:p>
        </w:tc>
        <w:tc>
          <w:tcPr>
            <w:tcW w:w="843" w:type="dxa"/>
            <w:tcBorders>
              <w:top w:val="nil"/>
              <w:left w:val="nil"/>
              <w:bottom w:val="nil"/>
              <w:right w:val="nil"/>
            </w:tcBorders>
          </w:tcPr>
          <w:p>
            <w:pPr>
              <w:pStyle w:val="TableParagraph"/>
              <w:ind w:left="194"/>
              <w:jc w:val="left"/>
              <w:rPr>
                <w:sz w:val="20"/>
              </w:rPr>
            </w:pPr>
            <w:r>
              <w:rPr>
                <w:sz w:val="20"/>
              </w:rPr>
              <w:t>44.50</w:t>
            </w:r>
          </w:p>
        </w:tc>
        <w:tc>
          <w:tcPr>
            <w:tcW w:w="840" w:type="dxa"/>
            <w:tcBorders>
              <w:top w:val="nil"/>
              <w:left w:val="nil"/>
              <w:bottom w:val="nil"/>
              <w:right w:val="nil"/>
            </w:tcBorders>
          </w:tcPr>
          <w:p>
            <w:pPr>
              <w:pStyle w:val="TableParagraph"/>
              <w:ind w:left="192"/>
              <w:jc w:val="left"/>
              <w:rPr>
                <w:sz w:val="20"/>
              </w:rPr>
            </w:pPr>
            <w:r>
              <w:rPr>
                <w:sz w:val="20"/>
              </w:rPr>
              <w:t>68.25</w:t>
            </w:r>
          </w:p>
        </w:tc>
        <w:tc>
          <w:tcPr>
            <w:tcW w:w="864" w:type="dxa"/>
            <w:tcBorders>
              <w:top w:val="nil"/>
              <w:left w:val="nil"/>
              <w:bottom w:val="nil"/>
              <w:right w:val="nil"/>
            </w:tcBorders>
          </w:tcPr>
          <w:p>
            <w:pPr>
              <w:pStyle w:val="TableParagraph"/>
              <w:ind w:left="192"/>
              <w:jc w:val="left"/>
              <w:rPr>
                <w:sz w:val="20"/>
              </w:rPr>
            </w:pPr>
            <w:r>
              <w:rPr>
                <w:sz w:val="20"/>
              </w:rPr>
              <w:t>42.45</w:t>
            </w:r>
          </w:p>
        </w:tc>
        <w:tc>
          <w:tcPr>
            <w:tcW w:w="840" w:type="dxa"/>
            <w:tcBorders>
              <w:top w:val="nil"/>
              <w:left w:val="nil"/>
              <w:bottom w:val="nil"/>
              <w:right w:val="nil"/>
            </w:tcBorders>
          </w:tcPr>
          <w:p>
            <w:pPr>
              <w:pStyle w:val="TableParagraph"/>
              <w:ind w:left="269"/>
              <w:jc w:val="left"/>
              <w:rPr>
                <w:sz w:val="20"/>
              </w:rPr>
            </w:pPr>
            <w:r>
              <w:rPr>
                <w:sz w:val="20"/>
              </w:rPr>
              <w:t>0.00</w:t>
            </w:r>
          </w:p>
        </w:tc>
        <w:tc>
          <w:tcPr>
            <w:tcW w:w="819" w:type="dxa"/>
            <w:tcBorders>
              <w:top w:val="nil"/>
              <w:left w:val="nil"/>
              <w:bottom w:val="nil"/>
              <w:right w:val="nil"/>
            </w:tcBorders>
          </w:tcPr>
          <w:p>
            <w:pPr>
              <w:pStyle w:val="TableParagraph"/>
              <w:ind w:left="268"/>
              <w:jc w:val="left"/>
              <w:rPr>
                <w:sz w:val="20"/>
              </w:rPr>
            </w:pPr>
            <w:r>
              <w:rPr>
                <w:sz w:val="20"/>
              </w:rPr>
              <w:t>0.00</w:t>
            </w:r>
          </w:p>
        </w:tc>
        <w:tc>
          <w:tcPr>
            <w:tcW w:w="713" w:type="dxa"/>
            <w:tcBorders>
              <w:top w:val="nil"/>
              <w:left w:val="nil"/>
              <w:bottom w:val="nil"/>
              <w:right w:val="nil"/>
            </w:tcBorders>
          </w:tcPr>
          <w:p>
            <w:pPr>
              <w:pStyle w:val="TableParagraph"/>
              <w:ind w:right="60"/>
              <w:rPr>
                <w:sz w:val="20"/>
              </w:rPr>
            </w:pPr>
            <w:r>
              <w:rPr>
                <w:sz w:val="20"/>
              </w:rPr>
              <w:t>0.00</w:t>
            </w:r>
          </w:p>
        </w:tc>
      </w:tr>
      <w:tr>
        <w:trPr>
          <w:trHeight w:val="298" w:hRule="exact"/>
        </w:trPr>
        <w:tc>
          <w:tcPr>
            <w:tcW w:w="1465" w:type="dxa"/>
            <w:tcBorders>
              <w:top w:val="nil"/>
              <w:left w:val="nil"/>
              <w:bottom w:val="nil"/>
              <w:right w:val="nil"/>
            </w:tcBorders>
          </w:tcPr>
          <w:p>
            <w:pPr>
              <w:pStyle w:val="TableParagraph"/>
              <w:spacing w:before="24"/>
              <w:ind w:left="86"/>
              <w:jc w:val="left"/>
              <w:rPr>
                <w:sz w:val="20"/>
              </w:rPr>
            </w:pPr>
            <w:r>
              <w:rPr>
                <w:sz w:val="20"/>
              </w:rPr>
              <w:t>TEJ_HhFl</w:t>
            </w:r>
          </w:p>
        </w:tc>
        <w:tc>
          <w:tcPr>
            <w:tcW w:w="844" w:type="dxa"/>
            <w:tcBorders>
              <w:top w:val="nil"/>
              <w:left w:val="nil"/>
              <w:bottom w:val="nil"/>
              <w:right w:val="nil"/>
            </w:tcBorders>
          </w:tcPr>
          <w:p>
            <w:pPr>
              <w:pStyle w:val="TableParagraph"/>
              <w:spacing w:before="24"/>
              <w:ind w:right="190"/>
              <w:rPr>
                <w:sz w:val="20"/>
              </w:rPr>
            </w:pPr>
            <w:r>
              <w:rPr>
                <w:sz w:val="20"/>
              </w:rPr>
              <w:t>42.00</w:t>
            </w:r>
          </w:p>
        </w:tc>
        <w:tc>
          <w:tcPr>
            <w:tcW w:w="840" w:type="dxa"/>
            <w:tcBorders>
              <w:top w:val="nil"/>
              <w:left w:val="nil"/>
              <w:bottom w:val="nil"/>
              <w:right w:val="nil"/>
            </w:tcBorders>
          </w:tcPr>
          <w:p>
            <w:pPr>
              <w:pStyle w:val="TableParagraph"/>
              <w:spacing w:before="24"/>
              <w:ind w:left="192"/>
              <w:jc w:val="left"/>
              <w:rPr>
                <w:sz w:val="20"/>
              </w:rPr>
            </w:pPr>
            <w:r>
              <w:rPr>
                <w:sz w:val="20"/>
              </w:rPr>
              <w:t>42.00</w:t>
            </w:r>
          </w:p>
        </w:tc>
        <w:tc>
          <w:tcPr>
            <w:tcW w:w="840" w:type="dxa"/>
            <w:tcBorders>
              <w:top w:val="nil"/>
              <w:left w:val="nil"/>
              <w:bottom w:val="nil"/>
              <w:right w:val="nil"/>
            </w:tcBorders>
          </w:tcPr>
          <w:p>
            <w:pPr>
              <w:pStyle w:val="TableParagraph"/>
              <w:spacing w:before="24"/>
              <w:ind w:left="192"/>
              <w:jc w:val="left"/>
              <w:rPr>
                <w:sz w:val="20"/>
              </w:rPr>
            </w:pPr>
            <w:r>
              <w:rPr>
                <w:sz w:val="20"/>
              </w:rPr>
              <w:t>42.00</w:t>
            </w:r>
          </w:p>
        </w:tc>
        <w:tc>
          <w:tcPr>
            <w:tcW w:w="843" w:type="dxa"/>
            <w:tcBorders>
              <w:top w:val="nil"/>
              <w:left w:val="nil"/>
              <w:bottom w:val="nil"/>
              <w:right w:val="nil"/>
            </w:tcBorders>
          </w:tcPr>
          <w:p>
            <w:pPr>
              <w:pStyle w:val="TableParagraph"/>
              <w:spacing w:before="24"/>
              <w:ind w:left="192"/>
              <w:jc w:val="left"/>
              <w:rPr>
                <w:sz w:val="20"/>
              </w:rPr>
            </w:pPr>
            <w:r>
              <w:rPr>
                <w:sz w:val="20"/>
              </w:rPr>
              <w:t>32.00</w:t>
            </w:r>
          </w:p>
        </w:tc>
        <w:tc>
          <w:tcPr>
            <w:tcW w:w="843" w:type="dxa"/>
            <w:tcBorders>
              <w:top w:val="nil"/>
              <w:left w:val="nil"/>
              <w:bottom w:val="nil"/>
              <w:right w:val="nil"/>
            </w:tcBorders>
          </w:tcPr>
          <w:p>
            <w:pPr>
              <w:pStyle w:val="TableParagraph"/>
              <w:spacing w:before="24"/>
              <w:ind w:left="194"/>
              <w:jc w:val="left"/>
              <w:rPr>
                <w:sz w:val="20"/>
              </w:rPr>
            </w:pPr>
            <w:r>
              <w:rPr>
                <w:sz w:val="20"/>
              </w:rPr>
              <w:t>32.00</w:t>
            </w:r>
          </w:p>
        </w:tc>
        <w:tc>
          <w:tcPr>
            <w:tcW w:w="840" w:type="dxa"/>
            <w:tcBorders>
              <w:top w:val="nil"/>
              <w:left w:val="nil"/>
              <w:bottom w:val="nil"/>
              <w:right w:val="nil"/>
            </w:tcBorders>
          </w:tcPr>
          <w:p>
            <w:pPr>
              <w:pStyle w:val="TableParagraph"/>
              <w:spacing w:before="24"/>
              <w:ind w:left="192"/>
              <w:jc w:val="left"/>
              <w:rPr>
                <w:sz w:val="20"/>
              </w:rPr>
            </w:pPr>
            <w:r>
              <w:rPr>
                <w:sz w:val="20"/>
              </w:rPr>
              <w:t>37.64</w:t>
            </w:r>
          </w:p>
        </w:tc>
        <w:tc>
          <w:tcPr>
            <w:tcW w:w="864" w:type="dxa"/>
            <w:tcBorders>
              <w:top w:val="nil"/>
              <w:left w:val="nil"/>
              <w:bottom w:val="nil"/>
              <w:right w:val="nil"/>
            </w:tcBorders>
          </w:tcPr>
          <w:p>
            <w:pPr>
              <w:pStyle w:val="TableParagraph"/>
              <w:spacing w:before="24"/>
              <w:ind w:left="192"/>
              <w:jc w:val="left"/>
              <w:rPr>
                <w:sz w:val="20"/>
              </w:rPr>
            </w:pPr>
            <w:r>
              <w:rPr>
                <w:sz w:val="20"/>
              </w:rPr>
              <w:t>36.31</w:t>
            </w:r>
          </w:p>
        </w:tc>
        <w:tc>
          <w:tcPr>
            <w:tcW w:w="840" w:type="dxa"/>
            <w:tcBorders>
              <w:top w:val="nil"/>
              <w:left w:val="nil"/>
              <w:bottom w:val="nil"/>
              <w:right w:val="nil"/>
            </w:tcBorders>
          </w:tcPr>
          <w:p>
            <w:pPr>
              <w:pStyle w:val="TableParagraph"/>
              <w:spacing w:before="24"/>
              <w:ind w:left="269"/>
              <w:jc w:val="left"/>
              <w:rPr>
                <w:sz w:val="20"/>
              </w:rPr>
            </w:pPr>
            <w:r>
              <w:rPr>
                <w:sz w:val="20"/>
              </w:rPr>
              <w:t>0.00</w:t>
            </w:r>
          </w:p>
        </w:tc>
        <w:tc>
          <w:tcPr>
            <w:tcW w:w="819" w:type="dxa"/>
            <w:tcBorders>
              <w:top w:val="nil"/>
              <w:left w:val="nil"/>
              <w:bottom w:val="nil"/>
              <w:right w:val="nil"/>
            </w:tcBorders>
          </w:tcPr>
          <w:p>
            <w:pPr>
              <w:pStyle w:val="TableParagraph"/>
              <w:spacing w:before="24"/>
              <w:ind w:left="268"/>
              <w:jc w:val="left"/>
              <w:rPr>
                <w:sz w:val="20"/>
              </w:rPr>
            </w:pPr>
            <w:r>
              <w:rPr>
                <w:sz w:val="20"/>
              </w:rPr>
              <w:t>0.00</w:t>
            </w:r>
          </w:p>
        </w:tc>
        <w:tc>
          <w:tcPr>
            <w:tcW w:w="713" w:type="dxa"/>
            <w:tcBorders>
              <w:top w:val="nil"/>
              <w:left w:val="nil"/>
              <w:bottom w:val="nil"/>
              <w:right w:val="nil"/>
            </w:tcBorders>
          </w:tcPr>
          <w:p>
            <w:pPr>
              <w:pStyle w:val="TableParagraph"/>
              <w:spacing w:before="24"/>
              <w:ind w:right="60"/>
              <w:rPr>
                <w:sz w:val="20"/>
              </w:rPr>
            </w:pPr>
            <w:r>
              <w:rPr>
                <w:sz w:val="20"/>
              </w:rPr>
              <w:t>0.00</w:t>
            </w:r>
          </w:p>
        </w:tc>
      </w:tr>
      <w:tr>
        <w:trPr>
          <w:trHeight w:val="298" w:hRule="exact"/>
        </w:trPr>
        <w:tc>
          <w:tcPr>
            <w:tcW w:w="1465" w:type="dxa"/>
            <w:tcBorders>
              <w:top w:val="nil"/>
              <w:left w:val="nil"/>
              <w:bottom w:val="nil"/>
              <w:right w:val="nil"/>
            </w:tcBorders>
          </w:tcPr>
          <w:p>
            <w:pPr>
              <w:pStyle w:val="TableParagraph"/>
              <w:ind w:left="86"/>
              <w:jc w:val="left"/>
              <w:rPr>
                <w:sz w:val="20"/>
              </w:rPr>
            </w:pPr>
            <w:r>
              <w:rPr>
                <w:sz w:val="20"/>
              </w:rPr>
              <w:t>TEJ_HhFlp</w:t>
            </w:r>
          </w:p>
        </w:tc>
        <w:tc>
          <w:tcPr>
            <w:tcW w:w="844" w:type="dxa"/>
            <w:tcBorders>
              <w:top w:val="nil"/>
              <w:left w:val="nil"/>
              <w:bottom w:val="nil"/>
              <w:right w:val="nil"/>
            </w:tcBorders>
          </w:tcPr>
          <w:p>
            <w:pPr>
              <w:pStyle w:val="TableParagraph"/>
              <w:ind w:right="190"/>
              <w:rPr>
                <w:sz w:val="20"/>
              </w:rPr>
            </w:pPr>
            <w:r>
              <w:rPr>
                <w:sz w:val="20"/>
              </w:rPr>
              <w:t>47.00</w:t>
            </w:r>
          </w:p>
        </w:tc>
        <w:tc>
          <w:tcPr>
            <w:tcW w:w="840" w:type="dxa"/>
            <w:tcBorders>
              <w:top w:val="nil"/>
              <w:left w:val="nil"/>
              <w:bottom w:val="nil"/>
              <w:right w:val="nil"/>
            </w:tcBorders>
          </w:tcPr>
          <w:p>
            <w:pPr>
              <w:pStyle w:val="TableParagraph"/>
              <w:ind w:left="192"/>
              <w:jc w:val="left"/>
              <w:rPr>
                <w:sz w:val="20"/>
              </w:rPr>
            </w:pPr>
            <w:r>
              <w:rPr>
                <w:sz w:val="20"/>
              </w:rPr>
              <w:t>47.00</w:t>
            </w:r>
          </w:p>
        </w:tc>
        <w:tc>
          <w:tcPr>
            <w:tcW w:w="840" w:type="dxa"/>
            <w:tcBorders>
              <w:top w:val="nil"/>
              <w:left w:val="nil"/>
              <w:bottom w:val="nil"/>
              <w:right w:val="nil"/>
            </w:tcBorders>
          </w:tcPr>
          <w:p>
            <w:pPr>
              <w:pStyle w:val="TableParagraph"/>
              <w:ind w:left="192"/>
              <w:jc w:val="left"/>
              <w:rPr>
                <w:sz w:val="20"/>
              </w:rPr>
            </w:pPr>
            <w:r>
              <w:rPr>
                <w:sz w:val="20"/>
              </w:rPr>
              <w:t>47.00</w:t>
            </w:r>
          </w:p>
        </w:tc>
        <w:tc>
          <w:tcPr>
            <w:tcW w:w="843" w:type="dxa"/>
            <w:tcBorders>
              <w:top w:val="nil"/>
              <w:left w:val="nil"/>
              <w:bottom w:val="nil"/>
              <w:right w:val="nil"/>
            </w:tcBorders>
          </w:tcPr>
          <w:p>
            <w:pPr>
              <w:pStyle w:val="TableParagraph"/>
              <w:ind w:left="192"/>
              <w:jc w:val="left"/>
              <w:rPr>
                <w:sz w:val="20"/>
              </w:rPr>
            </w:pPr>
            <w:r>
              <w:rPr>
                <w:sz w:val="20"/>
              </w:rPr>
              <w:t>43.00</w:t>
            </w:r>
          </w:p>
        </w:tc>
        <w:tc>
          <w:tcPr>
            <w:tcW w:w="843" w:type="dxa"/>
            <w:tcBorders>
              <w:top w:val="nil"/>
              <w:left w:val="nil"/>
              <w:bottom w:val="nil"/>
              <w:right w:val="nil"/>
            </w:tcBorders>
          </w:tcPr>
          <w:p>
            <w:pPr>
              <w:pStyle w:val="TableParagraph"/>
              <w:ind w:left="194"/>
              <w:jc w:val="left"/>
              <w:rPr>
                <w:sz w:val="20"/>
              </w:rPr>
            </w:pPr>
            <w:r>
              <w:rPr>
                <w:sz w:val="20"/>
              </w:rPr>
              <w:t>43.00</w:t>
            </w:r>
          </w:p>
        </w:tc>
        <w:tc>
          <w:tcPr>
            <w:tcW w:w="840" w:type="dxa"/>
            <w:tcBorders>
              <w:top w:val="nil"/>
              <w:left w:val="nil"/>
              <w:bottom w:val="nil"/>
              <w:right w:val="nil"/>
            </w:tcBorders>
          </w:tcPr>
          <w:p>
            <w:pPr>
              <w:pStyle w:val="TableParagraph"/>
              <w:ind w:left="192"/>
              <w:jc w:val="left"/>
              <w:rPr>
                <w:sz w:val="20"/>
              </w:rPr>
            </w:pPr>
            <w:r>
              <w:rPr>
                <w:sz w:val="20"/>
              </w:rPr>
              <w:t>43.00</w:t>
            </w:r>
          </w:p>
        </w:tc>
        <w:tc>
          <w:tcPr>
            <w:tcW w:w="864" w:type="dxa"/>
            <w:tcBorders>
              <w:top w:val="nil"/>
              <w:left w:val="nil"/>
              <w:bottom w:val="nil"/>
              <w:right w:val="nil"/>
            </w:tcBorders>
          </w:tcPr>
          <w:p>
            <w:pPr>
              <w:pStyle w:val="TableParagraph"/>
              <w:ind w:left="192"/>
              <w:jc w:val="left"/>
              <w:rPr>
                <w:sz w:val="20"/>
              </w:rPr>
            </w:pPr>
            <w:r>
              <w:rPr>
                <w:sz w:val="20"/>
              </w:rPr>
              <w:t>43.00</w:t>
            </w:r>
          </w:p>
        </w:tc>
        <w:tc>
          <w:tcPr>
            <w:tcW w:w="840" w:type="dxa"/>
            <w:tcBorders>
              <w:top w:val="nil"/>
              <w:left w:val="nil"/>
              <w:bottom w:val="nil"/>
              <w:right w:val="nil"/>
            </w:tcBorders>
          </w:tcPr>
          <w:p>
            <w:pPr>
              <w:pStyle w:val="TableParagraph"/>
              <w:ind w:left="269"/>
              <w:jc w:val="left"/>
              <w:rPr>
                <w:sz w:val="20"/>
              </w:rPr>
            </w:pPr>
            <w:r>
              <w:rPr>
                <w:sz w:val="20"/>
              </w:rPr>
              <w:t>0.00</w:t>
            </w:r>
          </w:p>
        </w:tc>
        <w:tc>
          <w:tcPr>
            <w:tcW w:w="819" w:type="dxa"/>
            <w:tcBorders>
              <w:top w:val="nil"/>
              <w:left w:val="nil"/>
              <w:bottom w:val="nil"/>
              <w:right w:val="nil"/>
            </w:tcBorders>
          </w:tcPr>
          <w:p>
            <w:pPr>
              <w:pStyle w:val="TableParagraph"/>
              <w:ind w:left="268"/>
              <w:jc w:val="left"/>
              <w:rPr>
                <w:sz w:val="20"/>
              </w:rPr>
            </w:pPr>
            <w:r>
              <w:rPr>
                <w:sz w:val="20"/>
              </w:rPr>
              <w:t>0.00</w:t>
            </w:r>
          </w:p>
        </w:tc>
        <w:tc>
          <w:tcPr>
            <w:tcW w:w="713" w:type="dxa"/>
            <w:tcBorders>
              <w:top w:val="nil"/>
              <w:left w:val="nil"/>
              <w:bottom w:val="nil"/>
              <w:right w:val="nil"/>
            </w:tcBorders>
          </w:tcPr>
          <w:p>
            <w:pPr>
              <w:pStyle w:val="TableParagraph"/>
              <w:ind w:right="60"/>
              <w:rPr>
                <w:sz w:val="20"/>
              </w:rPr>
            </w:pPr>
            <w:r>
              <w:rPr>
                <w:sz w:val="20"/>
              </w:rPr>
              <w:t>0.00</w:t>
            </w:r>
          </w:p>
        </w:tc>
      </w:tr>
      <w:tr>
        <w:trPr>
          <w:trHeight w:val="298" w:hRule="exact"/>
        </w:trPr>
        <w:tc>
          <w:tcPr>
            <w:tcW w:w="1465" w:type="dxa"/>
            <w:tcBorders>
              <w:top w:val="nil"/>
              <w:left w:val="nil"/>
              <w:bottom w:val="nil"/>
              <w:right w:val="nil"/>
            </w:tcBorders>
          </w:tcPr>
          <w:p>
            <w:pPr>
              <w:pStyle w:val="TableParagraph"/>
              <w:ind w:left="86"/>
              <w:jc w:val="left"/>
              <w:rPr>
                <w:sz w:val="20"/>
              </w:rPr>
            </w:pPr>
            <w:r>
              <w:rPr>
                <w:sz w:val="20"/>
              </w:rPr>
              <w:t>TEJ_HhFp</w:t>
            </w:r>
          </w:p>
        </w:tc>
        <w:tc>
          <w:tcPr>
            <w:tcW w:w="844" w:type="dxa"/>
            <w:tcBorders>
              <w:top w:val="nil"/>
              <w:left w:val="nil"/>
              <w:bottom w:val="nil"/>
              <w:right w:val="nil"/>
            </w:tcBorders>
          </w:tcPr>
          <w:p>
            <w:pPr>
              <w:pStyle w:val="TableParagraph"/>
              <w:ind w:right="190"/>
              <w:rPr>
                <w:sz w:val="20"/>
              </w:rPr>
            </w:pPr>
            <w:r>
              <w:rPr>
                <w:sz w:val="20"/>
              </w:rPr>
              <w:t>44.50</w:t>
            </w:r>
          </w:p>
        </w:tc>
        <w:tc>
          <w:tcPr>
            <w:tcW w:w="840" w:type="dxa"/>
            <w:tcBorders>
              <w:top w:val="nil"/>
              <w:left w:val="nil"/>
              <w:bottom w:val="nil"/>
              <w:right w:val="nil"/>
            </w:tcBorders>
          </w:tcPr>
          <w:p>
            <w:pPr>
              <w:pStyle w:val="TableParagraph"/>
              <w:ind w:left="192"/>
              <w:jc w:val="left"/>
              <w:rPr>
                <w:sz w:val="20"/>
              </w:rPr>
            </w:pPr>
            <w:r>
              <w:rPr>
                <w:sz w:val="20"/>
              </w:rPr>
              <w:t>44.50</w:t>
            </w:r>
          </w:p>
        </w:tc>
        <w:tc>
          <w:tcPr>
            <w:tcW w:w="840" w:type="dxa"/>
            <w:tcBorders>
              <w:top w:val="nil"/>
              <w:left w:val="nil"/>
              <w:bottom w:val="nil"/>
              <w:right w:val="nil"/>
            </w:tcBorders>
          </w:tcPr>
          <w:p>
            <w:pPr>
              <w:pStyle w:val="TableParagraph"/>
              <w:ind w:left="192"/>
              <w:jc w:val="left"/>
              <w:rPr>
                <w:sz w:val="20"/>
              </w:rPr>
            </w:pPr>
            <w:r>
              <w:rPr>
                <w:sz w:val="20"/>
              </w:rPr>
              <w:t>43.05</w:t>
            </w:r>
          </w:p>
        </w:tc>
        <w:tc>
          <w:tcPr>
            <w:tcW w:w="843" w:type="dxa"/>
            <w:tcBorders>
              <w:top w:val="nil"/>
              <w:left w:val="nil"/>
              <w:bottom w:val="nil"/>
              <w:right w:val="nil"/>
            </w:tcBorders>
          </w:tcPr>
          <w:p>
            <w:pPr>
              <w:pStyle w:val="TableParagraph"/>
              <w:ind w:left="192"/>
              <w:jc w:val="left"/>
              <w:rPr>
                <w:sz w:val="20"/>
              </w:rPr>
            </w:pPr>
            <w:r>
              <w:rPr>
                <w:sz w:val="20"/>
              </w:rPr>
              <w:t>43.01</w:t>
            </w:r>
          </w:p>
        </w:tc>
        <w:tc>
          <w:tcPr>
            <w:tcW w:w="843" w:type="dxa"/>
            <w:tcBorders>
              <w:top w:val="nil"/>
              <w:left w:val="nil"/>
              <w:bottom w:val="nil"/>
              <w:right w:val="nil"/>
            </w:tcBorders>
          </w:tcPr>
          <w:p>
            <w:pPr>
              <w:pStyle w:val="TableParagraph"/>
              <w:ind w:left="194"/>
              <w:jc w:val="left"/>
              <w:rPr>
                <w:sz w:val="20"/>
              </w:rPr>
            </w:pPr>
            <w:r>
              <w:rPr>
                <w:sz w:val="20"/>
              </w:rPr>
              <w:t>36.90</w:t>
            </w:r>
          </w:p>
        </w:tc>
        <w:tc>
          <w:tcPr>
            <w:tcW w:w="840" w:type="dxa"/>
            <w:tcBorders>
              <w:top w:val="nil"/>
              <w:left w:val="nil"/>
              <w:bottom w:val="nil"/>
              <w:right w:val="nil"/>
            </w:tcBorders>
          </w:tcPr>
          <w:p>
            <w:pPr>
              <w:pStyle w:val="TableParagraph"/>
              <w:ind w:left="192"/>
              <w:jc w:val="left"/>
              <w:rPr>
                <w:sz w:val="20"/>
              </w:rPr>
            </w:pPr>
            <w:r>
              <w:rPr>
                <w:sz w:val="20"/>
              </w:rPr>
              <w:t>40.83</w:t>
            </w:r>
          </w:p>
        </w:tc>
        <w:tc>
          <w:tcPr>
            <w:tcW w:w="864" w:type="dxa"/>
            <w:tcBorders>
              <w:top w:val="nil"/>
              <w:left w:val="nil"/>
              <w:bottom w:val="nil"/>
              <w:right w:val="nil"/>
            </w:tcBorders>
          </w:tcPr>
          <w:p>
            <w:pPr>
              <w:pStyle w:val="TableParagraph"/>
              <w:ind w:left="192"/>
              <w:jc w:val="left"/>
              <w:rPr>
                <w:sz w:val="20"/>
              </w:rPr>
            </w:pPr>
            <w:r>
              <w:rPr>
                <w:sz w:val="20"/>
              </w:rPr>
              <w:t>38.18</w:t>
            </w:r>
          </w:p>
        </w:tc>
        <w:tc>
          <w:tcPr>
            <w:tcW w:w="840" w:type="dxa"/>
            <w:tcBorders>
              <w:top w:val="nil"/>
              <w:left w:val="nil"/>
              <w:bottom w:val="nil"/>
              <w:right w:val="nil"/>
            </w:tcBorders>
          </w:tcPr>
          <w:p>
            <w:pPr>
              <w:pStyle w:val="TableParagraph"/>
              <w:ind w:left="269"/>
              <w:jc w:val="left"/>
              <w:rPr>
                <w:sz w:val="20"/>
              </w:rPr>
            </w:pPr>
            <w:r>
              <w:rPr>
                <w:sz w:val="20"/>
              </w:rPr>
              <w:t>0.00</w:t>
            </w:r>
          </w:p>
        </w:tc>
        <w:tc>
          <w:tcPr>
            <w:tcW w:w="819" w:type="dxa"/>
            <w:tcBorders>
              <w:top w:val="nil"/>
              <w:left w:val="nil"/>
              <w:bottom w:val="nil"/>
              <w:right w:val="nil"/>
            </w:tcBorders>
          </w:tcPr>
          <w:p>
            <w:pPr>
              <w:pStyle w:val="TableParagraph"/>
              <w:ind w:left="268"/>
              <w:jc w:val="left"/>
              <w:rPr>
                <w:sz w:val="20"/>
              </w:rPr>
            </w:pPr>
            <w:r>
              <w:rPr>
                <w:sz w:val="20"/>
              </w:rPr>
              <w:t>0.00</w:t>
            </w:r>
          </w:p>
        </w:tc>
        <w:tc>
          <w:tcPr>
            <w:tcW w:w="713" w:type="dxa"/>
            <w:tcBorders>
              <w:top w:val="nil"/>
              <w:left w:val="nil"/>
              <w:bottom w:val="nil"/>
              <w:right w:val="nil"/>
            </w:tcBorders>
          </w:tcPr>
          <w:p>
            <w:pPr>
              <w:pStyle w:val="TableParagraph"/>
              <w:ind w:right="60"/>
              <w:rPr>
                <w:sz w:val="20"/>
              </w:rPr>
            </w:pPr>
            <w:r>
              <w:rPr>
                <w:sz w:val="20"/>
              </w:rPr>
              <w:t>0.00</w:t>
            </w:r>
          </w:p>
        </w:tc>
      </w:tr>
      <w:tr>
        <w:trPr>
          <w:trHeight w:val="298" w:hRule="exact"/>
        </w:trPr>
        <w:tc>
          <w:tcPr>
            <w:tcW w:w="1465" w:type="dxa"/>
            <w:tcBorders>
              <w:top w:val="nil"/>
              <w:left w:val="nil"/>
              <w:bottom w:val="nil"/>
              <w:right w:val="nil"/>
            </w:tcBorders>
          </w:tcPr>
          <w:p>
            <w:pPr>
              <w:pStyle w:val="TableParagraph"/>
              <w:ind w:left="86"/>
              <w:jc w:val="left"/>
              <w:rPr>
                <w:sz w:val="20"/>
              </w:rPr>
            </w:pPr>
            <w:r>
              <w:rPr>
                <w:sz w:val="20"/>
              </w:rPr>
              <w:t>TEJ_HhSF</w:t>
            </w:r>
          </w:p>
        </w:tc>
        <w:tc>
          <w:tcPr>
            <w:tcW w:w="844" w:type="dxa"/>
            <w:tcBorders>
              <w:top w:val="nil"/>
              <w:left w:val="nil"/>
              <w:bottom w:val="nil"/>
              <w:right w:val="nil"/>
            </w:tcBorders>
          </w:tcPr>
          <w:p>
            <w:pPr>
              <w:pStyle w:val="TableParagraph"/>
              <w:ind w:right="190"/>
              <w:rPr>
                <w:sz w:val="20"/>
              </w:rPr>
            </w:pPr>
            <w:r>
              <w:rPr>
                <w:sz w:val="20"/>
              </w:rPr>
              <w:t>49.00</w:t>
            </w:r>
          </w:p>
        </w:tc>
        <w:tc>
          <w:tcPr>
            <w:tcW w:w="840" w:type="dxa"/>
            <w:tcBorders>
              <w:top w:val="nil"/>
              <w:left w:val="nil"/>
              <w:bottom w:val="nil"/>
              <w:right w:val="nil"/>
            </w:tcBorders>
          </w:tcPr>
          <w:p>
            <w:pPr>
              <w:pStyle w:val="TableParagraph"/>
              <w:ind w:left="192"/>
              <w:jc w:val="left"/>
              <w:rPr>
                <w:sz w:val="20"/>
              </w:rPr>
            </w:pPr>
            <w:r>
              <w:rPr>
                <w:sz w:val="20"/>
              </w:rPr>
              <w:t>49.25</w:t>
            </w:r>
          </w:p>
        </w:tc>
        <w:tc>
          <w:tcPr>
            <w:tcW w:w="840" w:type="dxa"/>
            <w:tcBorders>
              <w:top w:val="nil"/>
              <w:left w:val="nil"/>
              <w:bottom w:val="nil"/>
              <w:right w:val="nil"/>
            </w:tcBorders>
          </w:tcPr>
          <w:p>
            <w:pPr>
              <w:pStyle w:val="TableParagraph"/>
              <w:ind w:left="192"/>
              <w:jc w:val="left"/>
              <w:rPr>
                <w:sz w:val="20"/>
              </w:rPr>
            </w:pPr>
            <w:r>
              <w:rPr>
                <w:sz w:val="20"/>
              </w:rPr>
              <w:t>49.25</w:t>
            </w:r>
          </w:p>
        </w:tc>
        <w:tc>
          <w:tcPr>
            <w:tcW w:w="843" w:type="dxa"/>
            <w:tcBorders>
              <w:top w:val="nil"/>
              <w:left w:val="nil"/>
              <w:bottom w:val="nil"/>
              <w:right w:val="nil"/>
            </w:tcBorders>
          </w:tcPr>
          <w:p>
            <w:pPr>
              <w:pStyle w:val="TableParagraph"/>
              <w:ind w:left="192"/>
              <w:jc w:val="left"/>
              <w:rPr>
                <w:sz w:val="20"/>
              </w:rPr>
            </w:pPr>
            <w:r>
              <w:rPr>
                <w:sz w:val="20"/>
              </w:rPr>
              <w:t>50.00</w:t>
            </w:r>
          </w:p>
        </w:tc>
        <w:tc>
          <w:tcPr>
            <w:tcW w:w="843" w:type="dxa"/>
            <w:tcBorders>
              <w:top w:val="nil"/>
              <w:left w:val="nil"/>
              <w:bottom w:val="nil"/>
              <w:right w:val="nil"/>
            </w:tcBorders>
          </w:tcPr>
          <w:p>
            <w:pPr>
              <w:pStyle w:val="TableParagraph"/>
              <w:ind w:left="194"/>
              <w:jc w:val="left"/>
              <w:rPr>
                <w:sz w:val="20"/>
              </w:rPr>
            </w:pPr>
            <w:r>
              <w:rPr>
                <w:sz w:val="20"/>
              </w:rPr>
              <w:t>50.00</w:t>
            </w:r>
          </w:p>
        </w:tc>
        <w:tc>
          <w:tcPr>
            <w:tcW w:w="840" w:type="dxa"/>
            <w:tcBorders>
              <w:top w:val="nil"/>
              <w:left w:val="nil"/>
              <w:bottom w:val="nil"/>
              <w:right w:val="nil"/>
            </w:tcBorders>
          </w:tcPr>
          <w:p>
            <w:pPr>
              <w:pStyle w:val="TableParagraph"/>
              <w:ind w:left="192"/>
              <w:jc w:val="left"/>
              <w:rPr>
                <w:sz w:val="20"/>
              </w:rPr>
            </w:pPr>
            <w:r>
              <w:rPr>
                <w:sz w:val="20"/>
              </w:rPr>
              <w:t>48.25</w:t>
            </w:r>
          </w:p>
        </w:tc>
        <w:tc>
          <w:tcPr>
            <w:tcW w:w="864" w:type="dxa"/>
            <w:tcBorders>
              <w:top w:val="nil"/>
              <w:left w:val="nil"/>
              <w:bottom w:val="nil"/>
              <w:right w:val="nil"/>
            </w:tcBorders>
          </w:tcPr>
          <w:p>
            <w:pPr>
              <w:pStyle w:val="TableParagraph"/>
              <w:ind w:left="192"/>
              <w:jc w:val="left"/>
              <w:rPr>
                <w:sz w:val="20"/>
              </w:rPr>
            </w:pPr>
            <w:r>
              <w:rPr>
                <w:sz w:val="20"/>
              </w:rPr>
              <w:t>48.25</w:t>
            </w:r>
          </w:p>
        </w:tc>
        <w:tc>
          <w:tcPr>
            <w:tcW w:w="840" w:type="dxa"/>
            <w:tcBorders>
              <w:top w:val="nil"/>
              <w:left w:val="nil"/>
              <w:bottom w:val="nil"/>
              <w:right w:val="nil"/>
            </w:tcBorders>
          </w:tcPr>
          <w:p>
            <w:pPr>
              <w:pStyle w:val="TableParagraph"/>
              <w:ind w:left="269"/>
              <w:jc w:val="left"/>
              <w:rPr>
                <w:sz w:val="20"/>
              </w:rPr>
            </w:pPr>
            <w:r>
              <w:rPr>
                <w:sz w:val="20"/>
              </w:rPr>
              <w:t>0.00</w:t>
            </w:r>
          </w:p>
        </w:tc>
        <w:tc>
          <w:tcPr>
            <w:tcW w:w="819" w:type="dxa"/>
            <w:tcBorders>
              <w:top w:val="nil"/>
              <w:left w:val="nil"/>
              <w:bottom w:val="nil"/>
              <w:right w:val="nil"/>
            </w:tcBorders>
          </w:tcPr>
          <w:p>
            <w:pPr>
              <w:pStyle w:val="TableParagraph"/>
              <w:ind w:left="268"/>
              <w:jc w:val="left"/>
              <w:rPr>
                <w:sz w:val="20"/>
              </w:rPr>
            </w:pPr>
            <w:r>
              <w:rPr>
                <w:sz w:val="20"/>
              </w:rPr>
              <w:t>0.00</w:t>
            </w:r>
          </w:p>
        </w:tc>
        <w:tc>
          <w:tcPr>
            <w:tcW w:w="713" w:type="dxa"/>
            <w:tcBorders>
              <w:top w:val="nil"/>
              <w:left w:val="nil"/>
              <w:bottom w:val="nil"/>
              <w:right w:val="nil"/>
            </w:tcBorders>
          </w:tcPr>
          <w:p>
            <w:pPr>
              <w:pStyle w:val="TableParagraph"/>
              <w:ind w:right="60"/>
              <w:rPr>
                <w:sz w:val="20"/>
              </w:rPr>
            </w:pPr>
            <w:r>
              <w:rPr>
                <w:sz w:val="20"/>
              </w:rPr>
              <w:t>0.00</w:t>
            </w:r>
          </w:p>
        </w:tc>
      </w:tr>
      <w:tr>
        <w:trPr>
          <w:trHeight w:val="298" w:hRule="exact"/>
        </w:trPr>
        <w:tc>
          <w:tcPr>
            <w:tcW w:w="1465" w:type="dxa"/>
            <w:tcBorders>
              <w:top w:val="nil"/>
              <w:left w:val="nil"/>
              <w:bottom w:val="nil"/>
              <w:right w:val="nil"/>
            </w:tcBorders>
          </w:tcPr>
          <w:p>
            <w:pPr>
              <w:pStyle w:val="TableParagraph"/>
              <w:ind w:left="86"/>
              <w:jc w:val="left"/>
              <w:rPr>
                <w:sz w:val="20"/>
              </w:rPr>
            </w:pPr>
            <w:r>
              <w:rPr>
                <w:sz w:val="20"/>
              </w:rPr>
              <w:t>TEJ_HlFd</w:t>
            </w:r>
          </w:p>
        </w:tc>
        <w:tc>
          <w:tcPr>
            <w:tcW w:w="844" w:type="dxa"/>
            <w:tcBorders>
              <w:top w:val="nil"/>
              <w:left w:val="nil"/>
              <w:bottom w:val="nil"/>
              <w:right w:val="nil"/>
            </w:tcBorders>
          </w:tcPr>
          <w:p>
            <w:pPr>
              <w:pStyle w:val="TableParagraph"/>
              <w:ind w:right="190"/>
              <w:rPr>
                <w:sz w:val="20"/>
              </w:rPr>
            </w:pPr>
            <w:r>
              <w:rPr>
                <w:sz w:val="20"/>
              </w:rPr>
              <w:t>44.00</w:t>
            </w:r>
          </w:p>
        </w:tc>
        <w:tc>
          <w:tcPr>
            <w:tcW w:w="840" w:type="dxa"/>
            <w:tcBorders>
              <w:top w:val="nil"/>
              <w:left w:val="nil"/>
              <w:bottom w:val="nil"/>
              <w:right w:val="nil"/>
            </w:tcBorders>
          </w:tcPr>
          <w:p>
            <w:pPr>
              <w:pStyle w:val="TableParagraph"/>
              <w:ind w:left="192"/>
              <w:jc w:val="left"/>
              <w:rPr>
                <w:sz w:val="20"/>
              </w:rPr>
            </w:pPr>
            <w:r>
              <w:rPr>
                <w:sz w:val="20"/>
              </w:rPr>
              <w:t>43.71</w:t>
            </w:r>
          </w:p>
        </w:tc>
        <w:tc>
          <w:tcPr>
            <w:tcW w:w="840" w:type="dxa"/>
            <w:tcBorders>
              <w:top w:val="nil"/>
              <w:left w:val="nil"/>
              <w:bottom w:val="nil"/>
              <w:right w:val="nil"/>
            </w:tcBorders>
          </w:tcPr>
          <w:p>
            <w:pPr>
              <w:pStyle w:val="TableParagraph"/>
              <w:ind w:left="192"/>
              <w:jc w:val="left"/>
              <w:rPr>
                <w:sz w:val="20"/>
              </w:rPr>
            </w:pPr>
            <w:r>
              <w:rPr>
                <w:sz w:val="20"/>
              </w:rPr>
              <w:t>43.43</w:t>
            </w:r>
          </w:p>
        </w:tc>
        <w:tc>
          <w:tcPr>
            <w:tcW w:w="843" w:type="dxa"/>
            <w:tcBorders>
              <w:top w:val="nil"/>
              <w:left w:val="nil"/>
              <w:bottom w:val="nil"/>
              <w:right w:val="nil"/>
            </w:tcBorders>
          </w:tcPr>
          <w:p>
            <w:pPr>
              <w:pStyle w:val="TableParagraph"/>
              <w:ind w:left="192"/>
              <w:jc w:val="left"/>
              <w:rPr>
                <w:sz w:val="20"/>
              </w:rPr>
            </w:pPr>
            <w:r>
              <w:rPr>
                <w:sz w:val="20"/>
              </w:rPr>
              <w:t>42.00</w:t>
            </w:r>
          </w:p>
        </w:tc>
        <w:tc>
          <w:tcPr>
            <w:tcW w:w="843" w:type="dxa"/>
            <w:tcBorders>
              <w:top w:val="nil"/>
              <w:left w:val="nil"/>
              <w:bottom w:val="nil"/>
              <w:right w:val="nil"/>
            </w:tcBorders>
          </w:tcPr>
          <w:p>
            <w:pPr>
              <w:pStyle w:val="TableParagraph"/>
              <w:ind w:left="194"/>
              <w:jc w:val="left"/>
              <w:rPr>
                <w:sz w:val="20"/>
              </w:rPr>
            </w:pPr>
            <w:r>
              <w:rPr>
                <w:sz w:val="20"/>
              </w:rPr>
              <w:t>41.10</w:t>
            </w:r>
          </w:p>
        </w:tc>
        <w:tc>
          <w:tcPr>
            <w:tcW w:w="840" w:type="dxa"/>
            <w:tcBorders>
              <w:top w:val="nil"/>
              <w:left w:val="nil"/>
              <w:bottom w:val="nil"/>
              <w:right w:val="nil"/>
            </w:tcBorders>
          </w:tcPr>
          <w:p>
            <w:pPr>
              <w:pStyle w:val="TableParagraph"/>
              <w:ind w:left="192"/>
              <w:jc w:val="left"/>
              <w:rPr>
                <w:sz w:val="20"/>
              </w:rPr>
            </w:pPr>
            <w:r>
              <w:rPr>
                <w:sz w:val="20"/>
              </w:rPr>
              <w:t>42.14</w:t>
            </w:r>
          </w:p>
        </w:tc>
        <w:tc>
          <w:tcPr>
            <w:tcW w:w="864" w:type="dxa"/>
            <w:tcBorders>
              <w:top w:val="nil"/>
              <w:left w:val="nil"/>
              <w:bottom w:val="nil"/>
              <w:right w:val="nil"/>
            </w:tcBorders>
          </w:tcPr>
          <w:p>
            <w:pPr>
              <w:pStyle w:val="TableParagraph"/>
              <w:ind w:left="192"/>
              <w:jc w:val="left"/>
              <w:rPr>
                <w:sz w:val="20"/>
              </w:rPr>
            </w:pPr>
            <w:r>
              <w:rPr>
                <w:sz w:val="20"/>
              </w:rPr>
              <w:t>38.10</w:t>
            </w:r>
          </w:p>
        </w:tc>
        <w:tc>
          <w:tcPr>
            <w:tcW w:w="840" w:type="dxa"/>
            <w:tcBorders>
              <w:top w:val="nil"/>
              <w:left w:val="nil"/>
              <w:bottom w:val="nil"/>
              <w:right w:val="nil"/>
            </w:tcBorders>
          </w:tcPr>
          <w:p>
            <w:pPr>
              <w:pStyle w:val="TableParagraph"/>
              <w:ind w:left="269"/>
              <w:jc w:val="left"/>
              <w:rPr>
                <w:sz w:val="20"/>
              </w:rPr>
            </w:pPr>
            <w:r>
              <w:rPr>
                <w:sz w:val="20"/>
              </w:rPr>
              <w:t>0.00</w:t>
            </w:r>
          </w:p>
        </w:tc>
        <w:tc>
          <w:tcPr>
            <w:tcW w:w="819" w:type="dxa"/>
            <w:tcBorders>
              <w:top w:val="nil"/>
              <w:left w:val="nil"/>
              <w:bottom w:val="nil"/>
              <w:right w:val="nil"/>
            </w:tcBorders>
          </w:tcPr>
          <w:p>
            <w:pPr>
              <w:pStyle w:val="TableParagraph"/>
              <w:ind w:left="268"/>
              <w:jc w:val="left"/>
              <w:rPr>
                <w:sz w:val="20"/>
              </w:rPr>
            </w:pPr>
            <w:r>
              <w:rPr>
                <w:sz w:val="20"/>
              </w:rPr>
              <w:t>0.00</w:t>
            </w:r>
          </w:p>
        </w:tc>
        <w:tc>
          <w:tcPr>
            <w:tcW w:w="713" w:type="dxa"/>
            <w:tcBorders>
              <w:top w:val="nil"/>
              <w:left w:val="nil"/>
              <w:bottom w:val="nil"/>
              <w:right w:val="nil"/>
            </w:tcBorders>
          </w:tcPr>
          <w:p>
            <w:pPr>
              <w:pStyle w:val="TableParagraph"/>
              <w:ind w:right="60"/>
              <w:rPr>
                <w:sz w:val="20"/>
              </w:rPr>
            </w:pPr>
            <w:r>
              <w:rPr>
                <w:sz w:val="20"/>
              </w:rPr>
              <w:t>0.00</w:t>
            </w:r>
          </w:p>
        </w:tc>
      </w:tr>
      <w:tr>
        <w:trPr>
          <w:trHeight w:val="295" w:hRule="exact"/>
        </w:trPr>
        <w:tc>
          <w:tcPr>
            <w:tcW w:w="1465" w:type="dxa"/>
            <w:tcBorders>
              <w:top w:val="nil"/>
              <w:left w:val="nil"/>
              <w:bottom w:val="nil"/>
              <w:right w:val="nil"/>
            </w:tcBorders>
          </w:tcPr>
          <w:p>
            <w:pPr>
              <w:pStyle w:val="TableParagraph"/>
              <w:ind w:left="86"/>
              <w:jc w:val="left"/>
              <w:rPr>
                <w:sz w:val="20"/>
              </w:rPr>
            </w:pPr>
            <w:r>
              <w:rPr>
                <w:sz w:val="20"/>
              </w:rPr>
              <w:t>TEJ_HlFdp</w:t>
            </w:r>
          </w:p>
        </w:tc>
        <w:tc>
          <w:tcPr>
            <w:tcW w:w="844" w:type="dxa"/>
            <w:tcBorders>
              <w:top w:val="nil"/>
              <w:left w:val="nil"/>
              <w:bottom w:val="nil"/>
              <w:right w:val="nil"/>
            </w:tcBorders>
          </w:tcPr>
          <w:p>
            <w:pPr>
              <w:pStyle w:val="TableParagraph"/>
              <w:ind w:right="190"/>
              <w:rPr>
                <w:sz w:val="20"/>
              </w:rPr>
            </w:pPr>
            <w:r>
              <w:rPr>
                <w:sz w:val="20"/>
              </w:rPr>
              <w:t>51.00</w:t>
            </w:r>
          </w:p>
        </w:tc>
        <w:tc>
          <w:tcPr>
            <w:tcW w:w="840" w:type="dxa"/>
            <w:tcBorders>
              <w:top w:val="nil"/>
              <w:left w:val="nil"/>
              <w:bottom w:val="nil"/>
              <w:right w:val="nil"/>
            </w:tcBorders>
          </w:tcPr>
          <w:p>
            <w:pPr>
              <w:pStyle w:val="TableParagraph"/>
              <w:ind w:left="192"/>
              <w:jc w:val="left"/>
              <w:rPr>
                <w:sz w:val="20"/>
              </w:rPr>
            </w:pPr>
            <w:r>
              <w:rPr>
                <w:sz w:val="20"/>
              </w:rPr>
              <w:t>50.11</w:t>
            </w:r>
          </w:p>
        </w:tc>
        <w:tc>
          <w:tcPr>
            <w:tcW w:w="840" w:type="dxa"/>
            <w:tcBorders>
              <w:top w:val="nil"/>
              <w:left w:val="nil"/>
              <w:bottom w:val="nil"/>
              <w:right w:val="nil"/>
            </w:tcBorders>
          </w:tcPr>
          <w:p>
            <w:pPr>
              <w:pStyle w:val="TableParagraph"/>
              <w:ind w:left="192"/>
              <w:jc w:val="left"/>
              <w:rPr>
                <w:sz w:val="20"/>
              </w:rPr>
            </w:pPr>
            <w:r>
              <w:rPr>
                <w:sz w:val="20"/>
              </w:rPr>
              <w:t>50.11</w:t>
            </w:r>
          </w:p>
        </w:tc>
        <w:tc>
          <w:tcPr>
            <w:tcW w:w="843" w:type="dxa"/>
            <w:tcBorders>
              <w:top w:val="nil"/>
              <w:left w:val="nil"/>
              <w:bottom w:val="nil"/>
              <w:right w:val="nil"/>
            </w:tcBorders>
          </w:tcPr>
          <w:p>
            <w:pPr>
              <w:pStyle w:val="TableParagraph"/>
              <w:ind w:left="192"/>
              <w:jc w:val="left"/>
              <w:rPr>
                <w:sz w:val="20"/>
              </w:rPr>
            </w:pPr>
            <w:r>
              <w:rPr>
                <w:sz w:val="20"/>
              </w:rPr>
              <w:t>43.11</w:t>
            </w:r>
          </w:p>
        </w:tc>
        <w:tc>
          <w:tcPr>
            <w:tcW w:w="843" w:type="dxa"/>
            <w:tcBorders>
              <w:top w:val="nil"/>
              <w:left w:val="nil"/>
              <w:bottom w:val="nil"/>
              <w:right w:val="nil"/>
            </w:tcBorders>
          </w:tcPr>
          <w:p>
            <w:pPr>
              <w:pStyle w:val="TableParagraph"/>
              <w:ind w:left="194"/>
              <w:jc w:val="left"/>
              <w:rPr>
                <w:sz w:val="20"/>
              </w:rPr>
            </w:pPr>
            <w:r>
              <w:rPr>
                <w:sz w:val="20"/>
              </w:rPr>
              <w:t>43.11</w:t>
            </w:r>
          </w:p>
        </w:tc>
        <w:tc>
          <w:tcPr>
            <w:tcW w:w="840" w:type="dxa"/>
            <w:tcBorders>
              <w:top w:val="nil"/>
              <w:left w:val="nil"/>
              <w:bottom w:val="nil"/>
              <w:right w:val="nil"/>
            </w:tcBorders>
          </w:tcPr>
          <w:p>
            <w:pPr>
              <w:pStyle w:val="TableParagraph"/>
              <w:ind w:left="192"/>
              <w:jc w:val="left"/>
              <w:rPr>
                <w:sz w:val="20"/>
              </w:rPr>
            </w:pPr>
            <w:r>
              <w:rPr>
                <w:sz w:val="20"/>
              </w:rPr>
              <w:t>44.56</w:t>
            </w:r>
          </w:p>
        </w:tc>
        <w:tc>
          <w:tcPr>
            <w:tcW w:w="864" w:type="dxa"/>
            <w:tcBorders>
              <w:top w:val="nil"/>
              <w:left w:val="nil"/>
              <w:bottom w:val="nil"/>
              <w:right w:val="nil"/>
            </w:tcBorders>
          </w:tcPr>
          <w:p>
            <w:pPr>
              <w:pStyle w:val="TableParagraph"/>
              <w:ind w:left="192"/>
              <w:jc w:val="left"/>
              <w:rPr>
                <w:sz w:val="20"/>
              </w:rPr>
            </w:pPr>
            <w:r>
              <w:rPr>
                <w:sz w:val="20"/>
              </w:rPr>
              <w:t>44.78</w:t>
            </w:r>
          </w:p>
        </w:tc>
        <w:tc>
          <w:tcPr>
            <w:tcW w:w="840" w:type="dxa"/>
            <w:tcBorders>
              <w:top w:val="nil"/>
              <w:left w:val="nil"/>
              <w:bottom w:val="nil"/>
              <w:right w:val="nil"/>
            </w:tcBorders>
          </w:tcPr>
          <w:p>
            <w:pPr>
              <w:pStyle w:val="TableParagraph"/>
              <w:ind w:left="269"/>
              <w:jc w:val="left"/>
              <w:rPr>
                <w:sz w:val="20"/>
              </w:rPr>
            </w:pPr>
            <w:r>
              <w:rPr>
                <w:sz w:val="20"/>
              </w:rPr>
              <w:t>0.00</w:t>
            </w:r>
          </w:p>
        </w:tc>
        <w:tc>
          <w:tcPr>
            <w:tcW w:w="819" w:type="dxa"/>
            <w:tcBorders>
              <w:top w:val="nil"/>
              <w:left w:val="nil"/>
              <w:bottom w:val="nil"/>
              <w:right w:val="nil"/>
            </w:tcBorders>
          </w:tcPr>
          <w:p>
            <w:pPr>
              <w:pStyle w:val="TableParagraph"/>
              <w:ind w:left="268"/>
              <w:jc w:val="left"/>
              <w:rPr>
                <w:sz w:val="20"/>
              </w:rPr>
            </w:pPr>
            <w:r>
              <w:rPr>
                <w:sz w:val="20"/>
              </w:rPr>
              <w:t>0.00</w:t>
            </w:r>
          </w:p>
        </w:tc>
        <w:tc>
          <w:tcPr>
            <w:tcW w:w="713" w:type="dxa"/>
            <w:tcBorders>
              <w:top w:val="nil"/>
              <w:left w:val="nil"/>
              <w:bottom w:val="nil"/>
              <w:right w:val="nil"/>
            </w:tcBorders>
          </w:tcPr>
          <w:p>
            <w:pPr>
              <w:pStyle w:val="TableParagraph"/>
              <w:ind w:right="60"/>
              <w:rPr>
                <w:sz w:val="20"/>
              </w:rPr>
            </w:pPr>
            <w:r>
              <w:rPr>
                <w:sz w:val="20"/>
              </w:rPr>
              <w:t>0.00</w:t>
            </w:r>
          </w:p>
        </w:tc>
      </w:tr>
      <w:tr>
        <w:trPr>
          <w:trHeight w:val="295" w:hRule="exact"/>
        </w:trPr>
        <w:tc>
          <w:tcPr>
            <w:tcW w:w="1465" w:type="dxa"/>
            <w:tcBorders>
              <w:top w:val="nil"/>
              <w:left w:val="nil"/>
              <w:bottom w:val="nil"/>
              <w:right w:val="nil"/>
            </w:tcBorders>
          </w:tcPr>
          <w:p>
            <w:pPr>
              <w:pStyle w:val="TableParagraph"/>
              <w:spacing w:before="21"/>
              <w:ind w:left="86"/>
              <w:jc w:val="left"/>
              <w:rPr>
                <w:sz w:val="20"/>
              </w:rPr>
            </w:pPr>
            <w:r>
              <w:rPr>
                <w:sz w:val="20"/>
              </w:rPr>
              <w:t>TEJ_HlFl</w:t>
            </w:r>
          </w:p>
        </w:tc>
        <w:tc>
          <w:tcPr>
            <w:tcW w:w="844" w:type="dxa"/>
            <w:tcBorders>
              <w:top w:val="nil"/>
              <w:left w:val="nil"/>
              <w:bottom w:val="nil"/>
              <w:right w:val="nil"/>
            </w:tcBorders>
          </w:tcPr>
          <w:p>
            <w:pPr>
              <w:pStyle w:val="TableParagraph"/>
              <w:spacing w:before="21"/>
              <w:ind w:right="190"/>
              <w:rPr>
                <w:sz w:val="20"/>
              </w:rPr>
            </w:pPr>
            <w:r>
              <w:rPr>
                <w:sz w:val="20"/>
              </w:rPr>
              <w:t>56.00</w:t>
            </w:r>
          </w:p>
        </w:tc>
        <w:tc>
          <w:tcPr>
            <w:tcW w:w="840" w:type="dxa"/>
            <w:tcBorders>
              <w:top w:val="nil"/>
              <w:left w:val="nil"/>
              <w:bottom w:val="nil"/>
              <w:right w:val="nil"/>
            </w:tcBorders>
          </w:tcPr>
          <w:p>
            <w:pPr>
              <w:pStyle w:val="TableParagraph"/>
              <w:spacing w:before="21"/>
              <w:ind w:left="192"/>
              <w:jc w:val="left"/>
              <w:rPr>
                <w:sz w:val="20"/>
              </w:rPr>
            </w:pPr>
            <w:r>
              <w:rPr>
                <w:sz w:val="20"/>
              </w:rPr>
              <w:t>56.00</w:t>
            </w:r>
          </w:p>
        </w:tc>
        <w:tc>
          <w:tcPr>
            <w:tcW w:w="840" w:type="dxa"/>
            <w:tcBorders>
              <w:top w:val="nil"/>
              <w:left w:val="nil"/>
              <w:bottom w:val="nil"/>
              <w:right w:val="nil"/>
            </w:tcBorders>
          </w:tcPr>
          <w:p>
            <w:pPr>
              <w:pStyle w:val="TableParagraph"/>
              <w:spacing w:before="21"/>
              <w:ind w:left="192"/>
              <w:jc w:val="left"/>
              <w:rPr>
                <w:sz w:val="20"/>
              </w:rPr>
            </w:pPr>
            <w:r>
              <w:rPr>
                <w:sz w:val="20"/>
              </w:rPr>
              <w:t>44.00</w:t>
            </w:r>
          </w:p>
        </w:tc>
        <w:tc>
          <w:tcPr>
            <w:tcW w:w="843" w:type="dxa"/>
            <w:tcBorders>
              <w:top w:val="nil"/>
              <w:left w:val="nil"/>
              <w:bottom w:val="nil"/>
              <w:right w:val="nil"/>
            </w:tcBorders>
          </w:tcPr>
          <w:p>
            <w:pPr>
              <w:pStyle w:val="TableParagraph"/>
              <w:spacing w:before="21"/>
              <w:ind w:left="192"/>
              <w:jc w:val="left"/>
              <w:rPr>
                <w:sz w:val="20"/>
              </w:rPr>
            </w:pPr>
            <w:r>
              <w:rPr>
                <w:sz w:val="20"/>
              </w:rPr>
              <w:t>43.48</w:t>
            </w:r>
          </w:p>
        </w:tc>
        <w:tc>
          <w:tcPr>
            <w:tcW w:w="843" w:type="dxa"/>
            <w:tcBorders>
              <w:top w:val="nil"/>
              <w:left w:val="nil"/>
              <w:bottom w:val="nil"/>
              <w:right w:val="nil"/>
            </w:tcBorders>
          </w:tcPr>
          <w:p>
            <w:pPr>
              <w:pStyle w:val="TableParagraph"/>
              <w:spacing w:before="21"/>
              <w:ind w:left="194"/>
              <w:jc w:val="left"/>
              <w:rPr>
                <w:sz w:val="20"/>
              </w:rPr>
            </w:pPr>
            <w:r>
              <w:rPr>
                <w:sz w:val="20"/>
              </w:rPr>
              <w:t>37.23</w:t>
            </w:r>
          </w:p>
        </w:tc>
        <w:tc>
          <w:tcPr>
            <w:tcW w:w="840" w:type="dxa"/>
            <w:tcBorders>
              <w:top w:val="nil"/>
              <w:left w:val="nil"/>
              <w:bottom w:val="nil"/>
              <w:right w:val="nil"/>
            </w:tcBorders>
          </w:tcPr>
          <w:p>
            <w:pPr>
              <w:pStyle w:val="TableParagraph"/>
              <w:spacing w:before="21"/>
              <w:ind w:left="192"/>
              <w:jc w:val="left"/>
              <w:rPr>
                <w:sz w:val="20"/>
              </w:rPr>
            </w:pPr>
            <w:r>
              <w:rPr>
                <w:sz w:val="20"/>
              </w:rPr>
              <w:t>39.42</w:t>
            </w:r>
          </w:p>
        </w:tc>
        <w:tc>
          <w:tcPr>
            <w:tcW w:w="864" w:type="dxa"/>
            <w:tcBorders>
              <w:top w:val="nil"/>
              <w:left w:val="nil"/>
              <w:bottom w:val="nil"/>
              <w:right w:val="nil"/>
            </w:tcBorders>
          </w:tcPr>
          <w:p>
            <w:pPr>
              <w:pStyle w:val="TableParagraph"/>
              <w:spacing w:before="21"/>
              <w:ind w:left="192"/>
              <w:jc w:val="left"/>
              <w:rPr>
                <w:sz w:val="20"/>
              </w:rPr>
            </w:pPr>
            <w:r>
              <w:rPr>
                <w:sz w:val="20"/>
              </w:rPr>
              <w:t>36.77</w:t>
            </w:r>
          </w:p>
        </w:tc>
        <w:tc>
          <w:tcPr>
            <w:tcW w:w="840" w:type="dxa"/>
            <w:tcBorders>
              <w:top w:val="nil"/>
              <w:left w:val="nil"/>
              <w:bottom w:val="nil"/>
              <w:right w:val="nil"/>
            </w:tcBorders>
          </w:tcPr>
          <w:p>
            <w:pPr>
              <w:pStyle w:val="TableParagraph"/>
              <w:spacing w:before="21"/>
              <w:ind w:left="269"/>
              <w:jc w:val="left"/>
              <w:rPr>
                <w:sz w:val="20"/>
              </w:rPr>
            </w:pPr>
            <w:r>
              <w:rPr>
                <w:sz w:val="20"/>
              </w:rPr>
              <w:t>0.00</w:t>
            </w:r>
          </w:p>
        </w:tc>
        <w:tc>
          <w:tcPr>
            <w:tcW w:w="819" w:type="dxa"/>
            <w:tcBorders>
              <w:top w:val="nil"/>
              <w:left w:val="nil"/>
              <w:bottom w:val="nil"/>
              <w:right w:val="nil"/>
            </w:tcBorders>
          </w:tcPr>
          <w:p>
            <w:pPr>
              <w:pStyle w:val="TableParagraph"/>
              <w:spacing w:before="21"/>
              <w:ind w:left="268"/>
              <w:jc w:val="left"/>
              <w:rPr>
                <w:sz w:val="20"/>
              </w:rPr>
            </w:pPr>
            <w:r>
              <w:rPr>
                <w:sz w:val="20"/>
              </w:rPr>
              <w:t>0.00</w:t>
            </w:r>
          </w:p>
        </w:tc>
        <w:tc>
          <w:tcPr>
            <w:tcW w:w="713" w:type="dxa"/>
            <w:tcBorders>
              <w:top w:val="nil"/>
              <w:left w:val="nil"/>
              <w:bottom w:val="nil"/>
              <w:right w:val="nil"/>
            </w:tcBorders>
          </w:tcPr>
          <w:p>
            <w:pPr>
              <w:pStyle w:val="TableParagraph"/>
              <w:spacing w:before="21"/>
              <w:ind w:right="60"/>
              <w:rPr>
                <w:sz w:val="20"/>
              </w:rPr>
            </w:pPr>
            <w:r>
              <w:rPr>
                <w:sz w:val="20"/>
              </w:rPr>
              <w:t>0.00</w:t>
            </w:r>
          </w:p>
        </w:tc>
      </w:tr>
      <w:tr>
        <w:trPr>
          <w:trHeight w:val="298" w:hRule="exact"/>
        </w:trPr>
        <w:tc>
          <w:tcPr>
            <w:tcW w:w="1465" w:type="dxa"/>
            <w:tcBorders>
              <w:top w:val="nil"/>
              <w:left w:val="nil"/>
              <w:bottom w:val="nil"/>
              <w:right w:val="nil"/>
            </w:tcBorders>
          </w:tcPr>
          <w:p>
            <w:pPr>
              <w:pStyle w:val="TableParagraph"/>
              <w:ind w:left="86"/>
              <w:jc w:val="left"/>
              <w:rPr>
                <w:sz w:val="20"/>
              </w:rPr>
            </w:pPr>
            <w:r>
              <w:rPr>
                <w:sz w:val="20"/>
              </w:rPr>
              <w:t>TEJ_HlFlp</w:t>
            </w:r>
          </w:p>
        </w:tc>
        <w:tc>
          <w:tcPr>
            <w:tcW w:w="844" w:type="dxa"/>
            <w:tcBorders>
              <w:top w:val="nil"/>
              <w:left w:val="nil"/>
              <w:bottom w:val="nil"/>
              <w:right w:val="nil"/>
            </w:tcBorders>
          </w:tcPr>
          <w:p>
            <w:pPr>
              <w:pStyle w:val="TableParagraph"/>
              <w:ind w:right="190"/>
              <w:rPr>
                <w:sz w:val="20"/>
              </w:rPr>
            </w:pPr>
            <w:r>
              <w:rPr>
                <w:sz w:val="20"/>
              </w:rPr>
              <w:t>42.00</w:t>
            </w:r>
          </w:p>
        </w:tc>
        <w:tc>
          <w:tcPr>
            <w:tcW w:w="840" w:type="dxa"/>
            <w:tcBorders>
              <w:top w:val="nil"/>
              <w:left w:val="nil"/>
              <w:bottom w:val="nil"/>
              <w:right w:val="nil"/>
            </w:tcBorders>
          </w:tcPr>
          <w:p>
            <w:pPr>
              <w:pStyle w:val="TableParagraph"/>
              <w:ind w:left="192"/>
              <w:jc w:val="left"/>
              <w:rPr>
                <w:sz w:val="20"/>
              </w:rPr>
            </w:pPr>
            <w:r>
              <w:rPr>
                <w:sz w:val="20"/>
              </w:rPr>
              <w:t>42.00</w:t>
            </w:r>
          </w:p>
        </w:tc>
        <w:tc>
          <w:tcPr>
            <w:tcW w:w="840" w:type="dxa"/>
            <w:tcBorders>
              <w:top w:val="nil"/>
              <w:left w:val="nil"/>
              <w:bottom w:val="nil"/>
              <w:right w:val="nil"/>
            </w:tcBorders>
          </w:tcPr>
          <w:p>
            <w:pPr>
              <w:pStyle w:val="TableParagraph"/>
              <w:ind w:left="192"/>
              <w:jc w:val="left"/>
              <w:rPr>
                <w:sz w:val="20"/>
              </w:rPr>
            </w:pPr>
            <w:r>
              <w:rPr>
                <w:sz w:val="20"/>
              </w:rPr>
              <w:t>42.00</w:t>
            </w:r>
          </w:p>
        </w:tc>
        <w:tc>
          <w:tcPr>
            <w:tcW w:w="843" w:type="dxa"/>
            <w:tcBorders>
              <w:top w:val="nil"/>
              <w:left w:val="nil"/>
              <w:bottom w:val="nil"/>
              <w:right w:val="nil"/>
            </w:tcBorders>
          </w:tcPr>
          <w:p>
            <w:pPr>
              <w:pStyle w:val="TableParagraph"/>
              <w:ind w:left="192"/>
              <w:jc w:val="left"/>
              <w:rPr>
                <w:sz w:val="20"/>
              </w:rPr>
            </w:pPr>
            <w:r>
              <w:rPr>
                <w:sz w:val="20"/>
              </w:rPr>
              <w:t>30.00</w:t>
            </w:r>
          </w:p>
        </w:tc>
        <w:tc>
          <w:tcPr>
            <w:tcW w:w="843" w:type="dxa"/>
            <w:tcBorders>
              <w:top w:val="nil"/>
              <w:left w:val="nil"/>
              <w:bottom w:val="nil"/>
              <w:right w:val="nil"/>
            </w:tcBorders>
          </w:tcPr>
          <w:p>
            <w:pPr>
              <w:pStyle w:val="TableParagraph"/>
              <w:ind w:left="194"/>
              <w:jc w:val="left"/>
              <w:rPr>
                <w:sz w:val="20"/>
              </w:rPr>
            </w:pPr>
            <w:r>
              <w:rPr>
                <w:sz w:val="20"/>
              </w:rPr>
              <w:t>30.00</w:t>
            </w:r>
          </w:p>
        </w:tc>
        <w:tc>
          <w:tcPr>
            <w:tcW w:w="840" w:type="dxa"/>
            <w:tcBorders>
              <w:top w:val="nil"/>
              <w:left w:val="nil"/>
              <w:bottom w:val="nil"/>
              <w:right w:val="nil"/>
            </w:tcBorders>
          </w:tcPr>
          <w:p>
            <w:pPr>
              <w:pStyle w:val="TableParagraph"/>
              <w:ind w:left="192"/>
              <w:jc w:val="left"/>
              <w:rPr>
                <w:sz w:val="20"/>
              </w:rPr>
            </w:pPr>
            <w:r>
              <w:rPr>
                <w:sz w:val="20"/>
              </w:rPr>
              <w:t>30.00</w:t>
            </w:r>
          </w:p>
        </w:tc>
        <w:tc>
          <w:tcPr>
            <w:tcW w:w="864" w:type="dxa"/>
            <w:tcBorders>
              <w:top w:val="nil"/>
              <w:left w:val="nil"/>
              <w:bottom w:val="nil"/>
              <w:right w:val="nil"/>
            </w:tcBorders>
          </w:tcPr>
          <w:p>
            <w:pPr>
              <w:pStyle w:val="TableParagraph"/>
              <w:ind w:left="192"/>
              <w:jc w:val="left"/>
              <w:rPr>
                <w:sz w:val="20"/>
              </w:rPr>
            </w:pPr>
            <w:r>
              <w:rPr>
                <w:sz w:val="20"/>
              </w:rPr>
              <w:t>30.00</w:t>
            </w:r>
          </w:p>
        </w:tc>
        <w:tc>
          <w:tcPr>
            <w:tcW w:w="840" w:type="dxa"/>
            <w:tcBorders>
              <w:top w:val="nil"/>
              <w:left w:val="nil"/>
              <w:bottom w:val="nil"/>
              <w:right w:val="nil"/>
            </w:tcBorders>
          </w:tcPr>
          <w:p>
            <w:pPr>
              <w:pStyle w:val="TableParagraph"/>
              <w:ind w:left="269"/>
              <w:jc w:val="left"/>
              <w:rPr>
                <w:sz w:val="20"/>
              </w:rPr>
            </w:pPr>
            <w:r>
              <w:rPr>
                <w:sz w:val="20"/>
              </w:rPr>
              <w:t>0.00</w:t>
            </w:r>
          </w:p>
        </w:tc>
        <w:tc>
          <w:tcPr>
            <w:tcW w:w="819" w:type="dxa"/>
            <w:tcBorders>
              <w:top w:val="nil"/>
              <w:left w:val="nil"/>
              <w:bottom w:val="nil"/>
              <w:right w:val="nil"/>
            </w:tcBorders>
          </w:tcPr>
          <w:p>
            <w:pPr>
              <w:pStyle w:val="TableParagraph"/>
              <w:ind w:left="268"/>
              <w:jc w:val="left"/>
              <w:rPr>
                <w:sz w:val="20"/>
              </w:rPr>
            </w:pPr>
            <w:r>
              <w:rPr>
                <w:sz w:val="20"/>
              </w:rPr>
              <w:t>0.00</w:t>
            </w:r>
          </w:p>
        </w:tc>
        <w:tc>
          <w:tcPr>
            <w:tcW w:w="713" w:type="dxa"/>
            <w:tcBorders>
              <w:top w:val="nil"/>
              <w:left w:val="nil"/>
              <w:bottom w:val="nil"/>
              <w:right w:val="nil"/>
            </w:tcBorders>
          </w:tcPr>
          <w:p>
            <w:pPr>
              <w:pStyle w:val="TableParagraph"/>
              <w:ind w:right="60"/>
              <w:rPr>
                <w:sz w:val="20"/>
              </w:rPr>
            </w:pPr>
            <w:r>
              <w:rPr>
                <w:sz w:val="20"/>
              </w:rPr>
              <w:t>0.00</w:t>
            </w:r>
          </w:p>
        </w:tc>
      </w:tr>
      <w:tr>
        <w:trPr>
          <w:trHeight w:val="298" w:hRule="exact"/>
        </w:trPr>
        <w:tc>
          <w:tcPr>
            <w:tcW w:w="1465" w:type="dxa"/>
            <w:tcBorders>
              <w:top w:val="nil"/>
              <w:left w:val="nil"/>
              <w:bottom w:val="nil"/>
              <w:right w:val="nil"/>
            </w:tcBorders>
          </w:tcPr>
          <w:p>
            <w:pPr>
              <w:pStyle w:val="TableParagraph"/>
              <w:ind w:left="86"/>
              <w:jc w:val="left"/>
              <w:rPr>
                <w:sz w:val="20"/>
              </w:rPr>
            </w:pPr>
            <w:r>
              <w:rPr>
                <w:sz w:val="20"/>
              </w:rPr>
              <w:t>TEJ_HlFp</w:t>
            </w:r>
          </w:p>
        </w:tc>
        <w:tc>
          <w:tcPr>
            <w:tcW w:w="844" w:type="dxa"/>
            <w:tcBorders>
              <w:top w:val="nil"/>
              <w:left w:val="nil"/>
              <w:bottom w:val="nil"/>
              <w:right w:val="nil"/>
            </w:tcBorders>
          </w:tcPr>
          <w:p>
            <w:pPr>
              <w:pStyle w:val="TableParagraph"/>
              <w:ind w:right="190"/>
              <w:rPr>
                <w:sz w:val="20"/>
              </w:rPr>
            </w:pPr>
            <w:r>
              <w:rPr>
                <w:sz w:val="20"/>
              </w:rPr>
              <w:t>56.00</w:t>
            </w:r>
          </w:p>
        </w:tc>
        <w:tc>
          <w:tcPr>
            <w:tcW w:w="840" w:type="dxa"/>
            <w:tcBorders>
              <w:top w:val="nil"/>
              <w:left w:val="nil"/>
              <w:bottom w:val="nil"/>
              <w:right w:val="nil"/>
            </w:tcBorders>
          </w:tcPr>
          <w:p>
            <w:pPr>
              <w:pStyle w:val="TableParagraph"/>
              <w:ind w:left="192"/>
              <w:jc w:val="left"/>
              <w:rPr>
                <w:sz w:val="20"/>
              </w:rPr>
            </w:pPr>
            <w:r>
              <w:rPr>
                <w:sz w:val="20"/>
              </w:rPr>
              <w:t>56.00</w:t>
            </w:r>
          </w:p>
        </w:tc>
        <w:tc>
          <w:tcPr>
            <w:tcW w:w="840" w:type="dxa"/>
            <w:tcBorders>
              <w:top w:val="nil"/>
              <w:left w:val="nil"/>
              <w:bottom w:val="nil"/>
              <w:right w:val="nil"/>
            </w:tcBorders>
          </w:tcPr>
          <w:p>
            <w:pPr>
              <w:pStyle w:val="TableParagraph"/>
              <w:ind w:left="192"/>
              <w:jc w:val="left"/>
              <w:rPr>
                <w:sz w:val="20"/>
              </w:rPr>
            </w:pPr>
            <w:r>
              <w:rPr>
                <w:sz w:val="20"/>
              </w:rPr>
              <w:t>44.00</w:t>
            </w:r>
          </w:p>
        </w:tc>
        <w:tc>
          <w:tcPr>
            <w:tcW w:w="843" w:type="dxa"/>
            <w:tcBorders>
              <w:top w:val="nil"/>
              <w:left w:val="nil"/>
              <w:bottom w:val="nil"/>
              <w:right w:val="nil"/>
            </w:tcBorders>
          </w:tcPr>
          <w:p>
            <w:pPr>
              <w:pStyle w:val="TableParagraph"/>
              <w:ind w:left="192"/>
              <w:jc w:val="left"/>
              <w:rPr>
                <w:sz w:val="20"/>
              </w:rPr>
            </w:pPr>
            <w:r>
              <w:rPr>
                <w:sz w:val="20"/>
              </w:rPr>
              <w:t>44.00</w:t>
            </w:r>
          </w:p>
        </w:tc>
        <w:tc>
          <w:tcPr>
            <w:tcW w:w="843" w:type="dxa"/>
            <w:tcBorders>
              <w:top w:val="nil"/>
              <w:left w:val="nil"/>
              <w:bottom w:val="nil"/>
              <w:right w:val="nil"/>
            </w:tcBorders>
          </w:tcPr>
          <w:p>
            <w:pPr>
              <w:pStyle w:val="TableParagraph"/>
              <w:ind w:left="194"/>
              <w:jc w:val="left"/>
              <w:rPr>
                <w:sz w:val="20"/>
              </w:rPr>
            </w:pPr>
            <w:r>
              <w:rPr>
                <w:sz w:val="20"/>
              </w:rPr>
              <w:t>36.37</w:t>
            </w:r>
          </w:p>
        </w:tc>
        <w:tc>
          <w:tcPr>
            <w:tcW w:w="840" w:type="dxa"/>
            <w:tcBorders>
              <w:top w:val="nil"/>
              <w:left w:val="nil"/>
              <w:bottom w:val="nil"/>
              <w:right w:val="nil"/>
            </w:tcBorders>
          </w:tcPr>
          <w:p>
            <w:pPr>
              <w:pStyle w:val="TableParagraph"/>
              <w:ind w:left="192"/>
              <w:jc w:val="left"/>
              <w:rPr>
                <w:sz w:val="20"/>
              </w:rPr>
            </w:pPr>
            <w:r>
              <w:rPr>
                <w:sz w:val="20"/>
              </w:rPr>
              <w:t>43.53</w:t>
            </w:r>
          </w:p>
        </w:tc>
        <w:tc>
          <w:tcPr>
            <w:tcW w:w="864" w:type="dxa"/>
            <w:tcBorders>
              <w:top w:val="nil"/>
              <w:left w:val="nil"/>
              <w:bottom w:val="nil"/>
              <w:right w:val="nil"/>
            </w:tcBorders>
          </w:tcPr>
          <w:p>
            <w:pPr>
              <w:pStyle w:val="TableParagraph"/>
              <w:ind w:left="192"/>
              <w:jc w:val="left"/>
              <w:rPr>
                <w:sz w:val="20"/>
              </w:rPr>
            </w:pPr>
            <w:r>
              <w:rPr>
                <w:sz w:val="20"/>
              </w:rPr>
              <w:t>41.63</w:t>
            </w:r>
          </w:p>
        </w:tc>
        <w:tc>
          <w:tcPr>
            <w:tcW w:w="840" w:type="dxa"/>
            <w:tcBorders>
              <w:top w:val="nil"/>
              <w:left w:val="nil"/>
              <w:bottom w:val="nil"/>
              <w:right w:val="nil"/>
            </w:tcBorders>
          </w:tcPr>
          <w:p>
            <w:pPr>
              <w:pStyle w:val="TableParagraph"/>
              <w:ind w:left="269"/>
              <w:jc w:val="left"/>
              <w:rPr>
                <w:sz w:val="20"/>
              </w:rPr>
            </w:pPr>
            <w:r>
              <w:rPr>
                <w:sz w:val="20"/>
              </w:rPr>
              <w:t>0.00</w:t>
            </w:r>
          </w:p>
        </w:tc>
        <w:tc>
          <w:tcPr>
            <w:tcW w:w="819" w:type="dxa"/>
            <w:tcBorders>
              <w:top w:val="nil"/>
              <w:left w:val="nil"/>
              <w:bottom w:val="nil"/>
              <w:right w:val="nil"/>
            </w:tcBorders>
          </w:tcPr>
          <w:p>
            <w:pPr>
              <w:pStyle w:val="TableParagraph"/>
              <w:ind w:left="268"/>
              <w:jc w:val="left"/>
              <w:rPr>
                <w:sz w:val="20"/>
              </w:rPr>
            </w:pPr>
            <w:r>
              <w:rPr>
                <w:sz w:val="20"/>
              </w:rPr>
              <w:t>0.00</w:t>
            </w:r>
          </w:p>
        </w:tc>
        <w:tc>
          <w:tcPr>
            <w:tcW w:w="713" w:type="dxa"/>
            <w:tcBorders>
              <w:top w:val="nil"/>
              <w:left w:val="nil"/>
              <w:bottom w:val="nil"/>
              <w:right w:val="nil"/>
            </w:tcBorders>
          </w:tcPr>
          <w:p>
            <w:pPr>
              <w:pStyle w:val="TableParagraph"/>
              <w:ind w:right="60"/>
              <w:rPr>
                <w:sz w:val="20"/>
              </w:rPr>
            </w:pPr>
            <w:r>
              <w:rPr>
                <w:sz w:val="20"/>
              </w:rPr>
              <w:t>0.00</w:t>
            </w:r>
          </w:p>
        </w:tc>
      </w:tr>
      <w:tr>
        <w:trPr>
          <w:trHeight w:val="298" w:hRule="exact"/>
        </w:trPr>
        <w:tc>
          <w:tcPr>
            <w:tcW w:w="1465" w:type="dxa"/>
            <w:tcBorders>
              <w:top w:val="nil"/>
              <w:left w:val="nil"/>
              <w:bottom w:val="nil"/>
              <w:right w:val="nil"/>
            </w:tcBorders>
          </w:tcPr>
          <w:p>
            <w:pPr>
              <w:pStyle w:val="TableParagraph"/>
              <w:ind w:left="86"/>
              <w:jc w:val="left"/>
              <w:rPr>
                <w:sz w:val="20"/>
              </w:rPr>
            </w:pPr>
            <w:r>
              <w:rPr>
                <w:sz w:val="20"/>
              </w:rPr>
              <w:t>TEJ_HlSF</w:t>
            </w:r>
          </w:p>
        </w:tc>
        <w:tc>
          <w:tcPr>
            <w:tcW w:w="844" w:type="dxa"/>
            <w:tcBorders>
              <w:top w:val="nil"/>
              <w:left w:val="nil"/>
              <w:bottom w:val="nil"/>
              <w:right w:val="nil"/>
            </w:tcBorders>
          </w:tcPr>
          <w:p>
            <w:pPr>
              <w:pStyle w:val="TableParagraph"/>
              <w:ind w:right="190"/>
              <w:rPr>
                <w:sz w:val="20"/>
              </w:rPr>
            </w:pPr>
            <w:r>
              <w:rPr>
                <w:sz w:val="20"/>
              </w:rPr>
              <w:t>58.00</w:t>
            </w:r>
          </w:p>
        </w:tc>
        <w:tc>
          <w:tcPr>
            <w:tcW w:w="840" w:type="dxa"/>
            <w:tcBorders>
              <w:top w:val="nil"/>
              <w:left w:val="nil"/>
              <w:bottom w:val="nil"/>
              <w:right w:val="nil"/>
            </w:tcBorders>
          </w:tcPr>
          <w:p>
            <w:pPr>
              <w:pStyle w:val="TableParagraph"/>
              <w:ind w:left="192"/>
              <w:jc w:val="left"/>
              <w:rPr>
                <w:sz w:val="20"/>
              </w:rPr>
            </w:pPr>
            <w:r>
              <w:rPr>
                <w:sz w:val="20"/>
              </w:rPr>
              <w:t>58.00</w:t>
            </w:r>
          </w:p>
        </w:tc>
        <w:tc>
          <w:tcPr>
            <w:tcW w:w="840" w:type="dxa"/>
            <w:tcBorders>
              <w:top w:val="nil"/>
              <w:left w:val="nil"/>
              <w:bottom w:val="nil"/>
              <w:right w:val="nil"/>
            </w:tcBorders>
          </w:tcPr>
          <w:p>
            <w:pPr>
              <w:pStyle w:val="TableParagraph"/>
              <w:ind w:left="192"/>
              <w:jc w:val="left"/>
              <w:rPr>
                <w:sz w:val="20"/>
              </w:rPr>
            </w:pPr>
            <w:r>
              <w:rPr>
                <w:sz w:val="20"/>
              </w:rPr>
              <w:t>58.00</w:t>
            </w:r>
          </w:p>
        </w:tc>
        <w:tc>
          <w:tcPr>
            <w:tcW w:w="843" w:type="dxa"/>
            <w:tcBorders>
              <w:top w:val="nil"/>
              <w:left w:val="nil"/>
              <w:bottom w:val="nil"/>
              <w:right w:val="nil"/>
            </w:tcBorders>
          </w:tcPr>
          <w:p>
            <w:pPr>
              <w:pStyle w:val="TableParagraph"/>
              <w:ind w:left="192"/>
              <w:jc w:val="left"/>
              <w:rPr>
                <w:sz w:val="20"/>
              </w:rPr>
            </w:pPr>
            <w:r>
              <w:rPr>
                <w:sz w:val="20"/>
              </w:rPr>
              <w:t>42.00</w:t>
            </w:r>
          </w:p>
        </w:tc>
        <w:tc>
          <w:tcPr>
            <w:tcW w:w="843" w:type="dxa"/>
            <w:tcBorders>
              <w:top w:val="nil"/>
              <w:left w:val="nil"/>
              <w:bottom w:val="nil"/>
              <w:right w:val="nil"/>
            </w:tcBorders>
          </w:tcPr>
          <w:p>
            <w:pPr>
              <w:pStyle w:val="TableParagraph"/>
              <w:ind w:left="194"/>
              <w:jc w:val="left"/>
              <w:rPr>
                <w:sz w:val="20"/>
              </w:rPr>
            </w:pPr>
            <w:r>
              <w:rPr>
                <w:sz w:val="20"/>
              </w:rPr>
              <w:t>42.00</w:t>
            </w:r>
          </w:p>
        </w:tc>
        <w:tc>
          <w:tcPr>
            <w:tcW w:w="840" w:type="dxa"/>
            <w:tcBorders>
              <w:top w:val="nil"/>
              <w:left w:val="nil"/>
              <w:bottom w:val="nil"/>
              <w:right w:val="nil"/>
            </w:tcBorders>
          </w:tcPr>
          <w:p>
            <w:pPr>
              <w:pStyle w:val="TableParagraph"/>
              <w:ind w:left="192"/>
              <w:jc w:val="left"/>
              <w:rPr>
                <w:sz w:val="20"/>
              </w:rPr>
            </w:pPr>
            <w:r>
              <w:rPr>
                <w:sz w:val="20"/>
              </w:rPr>
              <w:t>42.00</w:t>
            </w:r>
          </w:p>
        </w:tc>
        <w:tc>
          <w:tcPr>
            <w:tcW w:w="864" w:type="dxa"/>
            <w:tcBorders>
              <w:top w:val="nil"/>
              <w:left w:val="nil"/>
              <w:bottom w:val="nil"/>
              <w:right w:val="nil"/>
            </w:tcBorders>
          </w:tcPr>
          <w:p>
            <w:pPr>
              <w:pStyle w:val="TableParagraph"/>
              <w:ind w:left="192"/>
              <w:jc w:val="left"/>
              <w:rPr>
                <w:sz w:val="20"/>
              </w:rPr>
            </w:pPr>
            <w:r>
              <w:rPr>
                <w:sz w:val="20"/>
              </w:rPr>
              <w:t>42.00</w:t>
            </w:r>
          </w:p>
        </w:tc>
        <w:tc>
          <w:tcPr>
            <w:tcW w:w="840" w:type="dxa"/>
            <w:tcBorders>
              <w:top w:val="nil"/>
              <w:left w:val="nil"/>
              <w:bottom w:val="nil"/>
              <w:right w:val="nil"/>
            </w:tcBorders>
          </w:tcPr>
          <w:p>
            <w:pPr>
              <w:pStyle w:val="TableParagraph"/>
              <w:ind w:left="269"/>
              <w:jc w:val="left"/>
              <w:rPr>
                <w:sz w:val="20"/>
              </w:rPr>
            </w:pPr>
            <w:r>
              <w:rPr>
                <w:sz w:val="20"/>
              </w:rPr>
              <w:t>0.00</w:t>
            </w:r>
          </w:p>
        </w:tc>
        <w:tc>
          <w:tcPr>
            <w:tcW w:w="819" w:type="dxa"/>
            <w:tcBorders>
              <w:top w:val="nil"/>
              <w:left w:val="nil"/>
              <w:bottom w:val="nil"/>
              <w:right w:val="nil"/>
            </w:tcBorders>
          </w:tcPr>
          <w:p>
            <w:pPr>
              <w:pStyle w:val="TableParagraph"/>
              <w:ind w:left="268"/>
              <w:jc w:val="left"/>
              <w:rPr>
                <w:sz w:val="20"/>
              </w:rPr>
            </w:pPr>
            <w:r>
              <w:rPr>
                <w:sz w:val="20"/>
              </w:rPr>
              <w:t>0.00</w:t>
            </w:r>
          </w:p>
        </w:tc>
        <w:tc>
          <w:tcPr>
            <w:tcW w:w="713" w:type="dxa"/>
            <w:tcBorders>
              <w:top w:val="nil"/>
              <w:left w:val="nil"/>
              <w:bottom w:val="nil"/>
              <w:right w:val="nil"/>
            </w:tcBorders>
          </w:tcPr>
          <w:p>
            <w:pPr>
              <w:pStyle w:val="TableParagraph"/>
              <w:ind w:right="60"/>
              <w:rPr>
                <w:sz w:val="20"/>
              </w:rPr>
            </w:pPr>
            <w:r>
              <w:rPr>
                <w:sz w:val="20"/>
              </w:rPr>
              <w:t>0.00</w:t>
            </w:r>
          </w:p>
        </w:tc>
      </w:tr>
      <w:tr>
        <w:trPr>
          <w:trHeight w:val="268" w:hRule="exact"/>
        </w:trPr>
        <w:tc>
          <w:tcPr>
            <w:tcW w:w="1465" w:type="dxa"/>
            <w:tcBorders>
              <w:top w:val="nil"/>
              <w:left w:val="nil"/>
              <w:right w:val="nil"/>
            </w:tcBorders>
          </w:tcPr>
          <w:p>
            <w:pPr>
              <w:pStyle w:val="TableParagraph"/>
              <w:ind w:left="86"/>
              <w:jc w:val="left"/>
              <w:rPr>
                <w:sz w:val="20"/>
              </w:rPr>
            </w:pPr>
            <w:r>
              <w:rPr>
                <w:sz w:val="20"/>
              </w:rPr>
              <w:t>TEJ_ISF</w:t>
            </w:r>
          </w:p>
        </w:tc>
        <w:tc>
          <w:tcPr>
            <w:tcW w:w="844" w:type="dxa"/>
            <w:tcBorders>
              <w:top w:val="nil"/>
              <w:left w:val="nil"/>
              <w:right w:val="nil"/>
            </w:tcBorders>
          </w:tcPr>
          <w:p>
            <w:pPr>
              <w:pStyle w:val="TableParagraph"/>
              <w:ind w:right="190"/>
              <w:rPr>
                <w:sz w:val="20"/>
              </w:rPr>
            </w:pPr>
            <w:r>
              <w:rPr>
                <w:sz w:val="20"/>
              </w:rPr>
              <w:t>47.50</w:t>
            </w:r>
          </w:p>
        </w:tc>
        <w:tc>
          <w:tcPr>
            <w:tcW w:w="840" w:type="dxa"/>
            <w:tcBorders>
              <w:top w:val="nil"/>
              <w:left w:val="nil"/>
              <w:right w:val="nil"/>
            </w:tcBorders>
          </w:tcPr>
          <w:p>
            <w:pPr>
              <w:pStyle w:val="TableParagraph"/>
              <w:ind w:left="192"/>
              <w:jc w:val="left"/>
              <w:rPr>
                <w:sz w:val="20"/>
              </w:rPr>
            </w:pPr>
            <w:r>
              <w:rPr>
                <w:sz w:val="20"/>
              </w:rPr>
              <w:t>46.85</w:t>
            </w:r>
          </w:p>
        </w:tc>
        <w:tc>
          <w:tcPr>
            <w:tcW w:w="840" w:type="dxa"/>
            <w:tcBorders>
              <w:top w:val="nil"/>
              <w:left w:val="nil"/>
              <w:right w:val="nil"/>
            </w:tcBorders>
          </w:tcPr>
          <w:p>
            <w:pPr>
              <w:pStyle w:val="TableParagraph"/>
              <w:ind w:left="192"/>
              <w:jc w:val="left"/>
              <w:rPr>
                <w:sz w:val="20"/>
              </w:rPr>
            </w:pPr>
            <w:r>
              <w:rPr>
                <w:sz w:val="20"/>
              </w:rPr>
              <w:t>45.25</w:t>
            </w:r>
          </w:p>
        </w:tc>
        <w:tc>
          <w:tcPr>
            <w:tcW w:w="843" w:type="dxa"/>
            <w:tcBorders>
              <w:top w:val="nil"/>
              <w:left w:val="nil"/>
              <w:right w:val="nil"/>
            </w:tcBorders>
          </w:tcPr>
          <w:p>
            <w:pPr>
              <w:pStyle w:val="TableParagraph"/>
              <w:ind w:left="192"/>
              <w:jc w:val="left"/>
              <w:rPr>
                <w:sz w:val="20"/>
              </w:rPr>
            </w:pPr>
            <w:r>
              <w:rPr>
                <w:sz w:val="20"/>
              </w:rPr>
              <w:t>39.25</w:t>
            </w:r>
          </w:p>
        </w:tc>
        <w:tc>
          <w:tcPr>
            <w:tcW w:w="843" w:type="dxa"/>
            <w:tcBorders>
              <w:top w:val="nil"/>
              <w:left w:val="nil"/>
              <w:right w:val="nil"/>
            </w:tcBorders>
          </w:tcPr>
          <w:p>
            <w:pPr>
              <w:pStyle w:val="TableParagraph"/>
              <w:ind w:left="194"/>
              <w:jc w:val="left"/>
              <w:rPr>
                <w:sz w:val="20"/>
              </w:rPr>
            </w:pPr>
            <w:r>
              <w:rPr>
                <w:sz w:val="20"/>
              </w:rPr>
              <w:t>37.40</w:t>
            </w:r>
          </w:p>
        </w:tc>
        <w:tc>
          <w:tcPr>
            <w:tcW w:w="840" w:type="dxa"/>
            <w:tcBorders>
              <w:top w:val="nil"/>
              <w:left w:val="nil"/>
              <w:right w:val="nil"/>
            </w:tcBorders>
          </w:tcPr>
          <w:p>
            <w:pPr>
              <w:pStyle w:val="TableParagraph"/>
              <w:ind w:left="192"/>
              <w:jc w:val="left"/>
              <w:rPr>
                <w:sz w:val="20"/>
              </w:rPr>
            </w:pPr>
            <w:r>
              <w:rPr>
                <w:sz w:val="20"/>
              </w:rPr>
              <w:t>39.80</w:t>
            </w:r>
          </w:p>
        </w:tc>
        <w:tc>
          <w:tcPr>
            <w:tcW w:w="864" w:type="dxa"/>
            <w:tcBorders>
              <w:top w:val="nil"/>
              <w:left w:val="nil"/>
              <w:right w:val="nil"/>
            </w:tcBorders>
          </w:tcPr>
          <w:p>
            <w:pPr>
              <w:pStyle w:val="TableParagraph"/>
              <w:ind w:left="192"/>
              <w:jc w:val="left"/>
              <w:rPr>
                <w:sz w:val="20"/>
              </w:rPr>
            </w:pPr>
            <w:r>
              <w:rPr>
                <w:sz w:val="20"/>
              </w:rPr>
              <w:t>36.95</w:t>
            </w:r>
          </w:p>
        </w:tc>
        <w:tc>
          <w:tcPr>
            <w:tcW w:w="840" w:type="dxa"/>
            <w:tcBorders>
              <w:top w:val="nil"/>
              <w:left w:val="nil"/>
              <w:right w:val="nil"/>
            </w:tcBorders>
          </w:tcPr>
          <w:p>
            <w:pPr>
              <w:pStyle w:val="TableParagraph"/>
              <w:ind w:left="269"/>
              <w:jc w:val="left"/>
              <w:rPr>
                <w:sz w:val="20"/>
              </w:rPr>
            </w:pPr>
            <w:r>
              <w:rPr>
                <w:sz w:val="20"/>
              </w:rPr>
              <w:t>0.00</w:t>
            </w:r>
          </w:p>
        </w:tc>
        <w:tc>
          <w:tcPr>
            <w:tcW w:w="819" w:type="dxa"/>
            <w:tcBorders>
              <w:top w:val="nil"/>
              <w:left w:val="nil"/>
              <w:right w:val="nil"/>
            </w:tcBorders>
          </w:tcPr>
          <w:p>
            <w:pPr>
              <w:pStyle w:val="TableParagraph"/>
              <w:ind w:left="268"/>
              <w:jc w:val="left"/>
              <w:rPr>
                <w:sz w:val="20"/>
              </w:rPr>
            </w:pPr>
            <w:r>
              <w:rPr>
                <w:sz w:val="20"/>
              </w:rPr>
              <w:t>0.00</w:t>
            </w:r>
          </w:p>
        </w:tc>
        <w:tc>
          <w:tcPr>
            <w:tcW w:w="713" w:type="dxa"/>
            <w:tcBorders>
              <w:top w:val="nil"/>
              <w:left w:val="nil"/>
              <w:right w:val="nil"/>
            </w:tcBorders>
          </w:tcPr>
          <w:p>
            <w:pPr>
              <w:pStyle w:val="TableParagraph"/>
              <w:ind w:right="60"/>
              <w:rPr>
                <w:sz w:val="20"/>
              </w:rPr>
            </w:pPr>
            <w:r>
              <w:rPr>
                <w:sz w:val="20"/>
              </w:rPr>
              <w:t>0.00</w:t>
            </w:r>
          </w:p>
        </w:tc>
      </w:tr>
    </w:tbl>
    <w:p>
      <w:pPr>
        <w:spacing w:after="0"/>
        <w:rPr>
          <w:sz w:val="20"/>
        </w:rPr>
        <w:sectPr>
          <w:pgSz w:w="12240" w:h="15840"/>
          <w:pgMar w:header="0" w:footer="1473" w:top="1360" w:bottom="1660" w:left="940" w:right="1180"/>
        </w:sectPr>
      </w:pPr>
    </w:p>
    <w:p>
      <w:pPr>
        <w:pStyle w:val="BodyText"/>
        <w:tabs>
          <w:tab w:pos="396" w:val="left" w:leader="none"/>
          <w:tab w:pos="9865" w:val="left" w:leader="none"/>
        </w:tabs>
        <w:spacing w:before="49"/>
        <w:ind w:left="127"/>
      </w:pPr>
      <w:r>
        <w:rPr>
          <w:w w:val="99"/>
          <w:u w:val="single"/>
        </w:rPr>
        <w:t> </w:t>
      </w:r>
      <w:r>
        <w:rPr>
          <w:u w:val="single"/>
        </w:rPr>
        <w:tab/>
        <w:t>Continuación Tabla</w:t>
      </w:r>
      <w:r>
        <w:rPr>
          <w:spacing w:val="-19"/>
          <w:u w:val="single"/>
        </w:rPr>
        <w:t> </w:t>
      </w:r>
      <w:r>
        <w:rPr>
          <w:u w:val="single"/>
        </w:rPr>
        <w:t>19.</w:t>
        <w:tab/>
      </w:r>
    </w:p>
    <w:p>
      <w:pPr>
        <w:pStyle w:val="BodyText"/>
        <w:spacing w:before="11"/>
        <w:rPr>
          <w:sz w:val="8"/>
        </w:rPr>
      </w:pPr>
    </w:p>
    <w:tbl>
      <w:tblPr>
        <w:tblW w:w="0" w:type="auto"/>
        <w:jc w:val="left"/>
        <w:tblInd w:w="1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65"/>
        <w:gridCol w:w="844"/>
        <w:gridCol w:w="840"/>
        <w:gridCol w:w="840"/>
        <w:gridCol w:w="843"/>
        <w:gridCol w:w="843"/>
        <w:gridCol w:w="840"/>
        <w:gridCol w:w="864"/>
        <w:gridCol w:w="840"/>
        <w:gridCol w:w="819"/>
        <w:gridCol w:w="713"/>
      </w:tblGrid>
      <w:tr>
        <w:trPr>
          <w:trHeight w:val="302" w:hRule="exact"/>
        </w:trPr>
        <w:tc>
          <w:tcPr>
            <w:tcW w:w="1465" w:type="dxa"/>
          </w:tcPr>
          <w:p>
            <w:pPr>
              <w:pStyle w:val="TableParagraph"/>
              <w:spacing w:before="90"/>
              <w:ind w:left="91"/>
              <w:jc w:val="left"/>
              <w:rPr>
                <w:sz w:val="20"/>
              </w:rPr>
            </w:pPr>
            <w:r>
              <w:rPr>
                <w:sz w:val="20"/>
              </w:rPr>
              <w:t>Nombre/Clave</w:t>
            </w:r>
          </w:p>
        </w:tc>
        <w:tc>
          <w:tcPr>
            <w:tcW w:w="844" w:type="dxa"/>
          </w:tcPr>
          <w:p>
            <w:pPr/>
          </w:p>
        </w:tc>
        <w:tc>
          <w:tcPr>
            <w:tcW w:w="840" w:type="dxa"/>
          </w:tcPr>
          <w:p>
            <w:pPr/>
          </w:p>
        </w:tc>
        <w:tc>
          <w:tcPr>
            <w:tcW w:w="840" w:type="dxa"/>
          </w:tcPr>
          <w:p>
            <w:pPr/>
          </w:p>
        </w:tc>
        <w:tc>
          <w:tcPr>
            <w:tcW w:w="2526" w:type="dxa"/>
            <w:gridSpan w:val="3"/>
          </w:tcPr>
          <w:p>
            <w:pPr>
              <w:pStyle w:val="TableParagraph"/>
              <w:spacing w:line="205" w:lineRule="exact" w:before="0"/>
              <w:ind w:left="696"/>
              <w:jc w:val="left"/>
              <w:rPr>
                <w:sz w:val="20"/>
              </w:rPr>
            </w:pPr>
            <w:r>
              <w:rPr>
                <w:sz w:val="20"/>
              </w:rPr>
              <w:t>N° de capas del suelo</w:t>
            </w:r>
          </w:p>
        </w:tc>
        <w:tc>
          <w:tcPr>
            <w:tcW w:w="864" w:type="dxa"/>
          </w:tcPr>
          <w:p>
            <w:pPr/>
          </w:p>
        </w:tc>
        <w:tc>
          <w:tcPr>
            <w:tcW w:w="840" w:type="dxa"/>
          </w:tcPr>
          <w:p>
            <w:pPr/>
          </w:p>
        </w:tc>
        <w:tc>
          <w:tcPr>
            <w:tcW w:w="819" w:type="dxa"/>
          </w:tcPr>
          <w:p>
            <w:pPr/>
          </w:p>
        </w:tc>
        <w:tc>
          <w:tcPr>
            <w:tcW w:w="713" w:type="dxa"/>
          </w:tcPr>
          <w:p>
            <w:pPr/>
          </w:p>
        </w:tc>
      </w:tr>
      <w:tr>
        <w:trPr>
          <w:trHeight w:val="215" w:hRule="exact"/>
        </w:trPr>
        <w:tc>
          <w:tcPr>
            <w:tcW w:w="1465" w:type="dxa"/>
            <w:tcBorders>
              <w:bottom w:val="single" w:sz="4" w:space="0" w:color="000000"/>
            </w:tcBorders>
          </w:tcPr>
          <w:p>
            <w:pPr/>
          </w:p>
        </w:tc>
        <w:tc>
          <w:tcPr>
            <w:tcW w:w="844" w:type="dxa"/>
            <w:tcBorders>
              <w:bottom w:val="single" w:sz="4" w:space="0" w:color="000000"/>
            </w:tcBorders>
          </w:tcPr>
          <w:p>
            <w:pPr>
              <w:pStyle w:val="TableParagraph"/>
              <w:spacing w:line="201" w:lineRule="exact" w:before="0"/>
              <w:ind w:left="244"/>
              <w:jc w:val="left"/>
              <w:rPr>
                <w:sz w:val="20"/>
              </w:rPr>
            </w:pPr>
            <w:r>
              <w:rPr>
                <w:w w:val="100"/>
                <w:sz w:val="20"/>
              </w:rPr>
              <w:t>1</w:t>
            </w:r>
          </w:p>
        </w:tc>
        <w:tc>
          <w:tcPr>
            <w:tcW w:w="840" w:type="dxa"/>
            <w:tcBorders>
              <w:bottom w:val="single" w:sz="4" w:space="0" w:color="000000"/>
            </w:tcBorders>
          </w:tcPr>
          <w:p>
            <w:pPr>
              <w:pStyle w:val="TableParagraph"/>
              <w:spacing w:line="201" w:lineRule="exact" w:before="0"/>
              <w:ind w:left="240"/>
              <w:jc w:val="left"/>
              <w:rPr>
                <w:sz w:val="20"/>
              </w:rPr>
            </w:pPr>
            <w:r>
              <w:rPr>
                <w:w w:val="100"/>
                <w:sz w:val="20"/>
              </w:rPr>
              <w:t>2</w:t>
            </w:r>
          </w:p>
        </w:tc>
        <w:tc>
          <w:tcPr>
            <w:tcW w:w="840" w:type="dxa"/>
            <w:tcBorders>
              <w:bottom w:val="single" w:sz="4" w:space="0" w:color="000000"/>
            </w:tcBorders>
          </w:tcPr>
          <w:p>
            <w:pPr>
              <w:pStyle w:val="TableParagraph"/>
              <w:spacing w:line="201" w:lineRule="exact" w:before="0"/>
              <w:ind w:left="240"/>
              <w:jc w:val="left"/>
              <w:rPr>
                <w:sz w:val="20"/>
              </w:rPr>
            </w:pPr>
            <w:r>
              <w:rPr>
                <w:w w:val="100"/>
                <w:sz w:val="20"/>
              </w:rPr>
              <w:t>3</w:t>
            </w:r>
          </w:p>
        </w:tc>
        <w:tc>
          <w:tcPr>
            <w:tcW w:w="843" w:type="dxa"/>
            <w:tcBorders>
              <w:bottom w:val="single" w:sz="4" w:space="0" w:color="000000"/>
            </w:tcBorders>
          </w:tcPr>
          <w:p>
            <w:pPr>
              <w:pStyle w:val="TableParagraph"/>
              <w:spacing w:line="201" w:lineRule="exact" w:before="0"/>
              <w:ind w:left="240"/>
              <w:jc w:val="left"/>
              <w:rPr>
                <w:sz w:val="20"/>
              </w:rPr>
            </w:pPr>
            <w:r>
              <w:rPr>
                <w:w w:val="100"/>
                <w:sz w:val="20"/>
              </w:rPr>
              <w:t>4</w:t>
            </w:r>
          </w:p>
        </w:tc>
        <w:tc>
          <w:tcPr>
            <w:tcW w:w="843" w:type="dxa"/>
            <w:tcBorders>
              <w:bottom w:val="single" w:sz="4" w:space="0" w:color="000000"/>
            </w:tcBorders>
          </w:tcPr>
          <w:p>
            <w:pPr>
              <w:pStyle w:val="TableParagraph"/>
              <w:spacing w:line="201" w:lineRule="exact" w:before="0"/>
              <w:ind w:left="242"/>
              <w:jc w:val="left"/>
              <w:rPr>
                <w:sz w:val="20"/>
              </w:rPr>
            </w:pPr>
            <w:r>
              <w:rPr>
                <w:w w:val="100"/>
                <w:sz w:val="20"/>
              </w:rPr>
              <w:t>5</w:t>
            </w:r>
          </w:p>
        </w:tc>
        <w:tc>
          <w:tcPr>
            <w:tcW w:w="840" w:type="dxa"/>
            <w:tcBorders>
              <w:bottom w:val="single" w:sz="4" w:space="0" w:color="000000"/>
            </w:tcBorders>
          </w:tcPr>
          <w:p>
            <w:pPr>
              <w:pStyle w:val="TableParagraph"/>
              <w:spacing w:line="201" w:lineRule="exact" w:before="0"/>
              <w:ind w:left="240"/>
              <w:jc w:val="left"/>
              <w:rPr>
                <w:sz w:val="20"/>
              </w:rPr>
            </w:pPr>
            <w:r>
              <w:rPr>
                <w:w w:val="100"/>
                <w:sz w:val="20"/>
              </w:rPr>
              <w:t>6</w:t>
            </w:r>
          </w:p>
        </w:tc>
        <w:tc>
          <w:tcPr>
            <w:tcW w:w="864" w:type="dxa"/>
            <w:tcBorders>
              <w:bottom w:val="single" w:sz="4" w:space="0" w:color="000000"/>
            </w:tcBorders>
          </w:tcPr>
          <w:p>
            <w:pPr>
              <w:pStyle w:val="TableParagraph"/>
              <w:spacing w:line="201" w:lineRule="exact" w:before="0"/>
              <w:ind w:left="240"/>
              <w:jc w:val="left"/>
              <w:rPr>
                <w:sz w:val="20"/>
              </w:rPr>
            </w:pPr>
            <w:r>
              <w:rPr>
                <w:w w:val="100"/>
                <w:sz w:val="20"/>
              </w:rPr>
              <w:t>7</w:t>
            </w:r>
          </w:p>
        </w:tc>
        <w:tc>
          <w:tcPr>
            <w:tcW w:w="840" w:type="dxa"/>
            <w:tcBorders>
              <w:bottom w:val="single" w:sz="4" w:space="0" w:color="000000"/>
            </w:tcBorders>
          </w:tcPr>
          <w:p>
            <w:pPr>
              <w:pStyle w:val="TableParagraph"/>
              <w:spacing w:line="201" w:lineRule="exact" w:before="0"/>
              <w:ind w:left="216"/>
              <w:jc w:val="left"/>
              <w:rPr>
                <w:sz w:val="20"/>
              </w:rPr>
            </w:pPr>
            <w:r>
              <w:rPr>
                <w:w w:val="100"/>
                <w:sz w:val="20"/>
              </w:rPr>
              <w:t>8</w:t>
            </w:r>
          </w:p>
        </w:tc>
        <w:tc>
          <w:tcPr>
            <w:tcW w:w="819" w:type="dxa"/>
            <w:tcBorders>
              <w:bottom w:val="single" w:sz="4" w:space="0" w:color="000000"/>
            </w:tcBorders>
          </w:tcPr>
          <w:p>
            <w:pPr>
              <w:pStyle w:val="TableParagraph"/>
              <w:spacing w:line="201" w:lineRule="exact" w:before="0"/>
              <w:ind w:left="216"/>
              <w:jc w:val="left"/>
              <w:rPr>
                <w:sz w:val="20"/>
              </w:rPr>
            </w:pPr>
            <w:r>
              <w:rPr>
                <w:w w:val="100"/>
                <w:sz w:val="20"/>
              </w:rPr>
              <w:t>9</w:t>
            </w:r>
          </w:p>
        </w:tc>
        <w:tc>
          <w:tcPr>
            <w:tcW w:w="713" w:type="dxa"/>
            <w:tcBorders>
              <w:bottom w:val="single" w:sz="4" w:space="0" w:color="000000"/>
            </w:tcBorders>
          </w:tcPr>
          <w:p>
            <w:pPr>
              <w:pStyle w:val="TableParagraph"/>
              <w:spacing w:line="201" w:lineRule="exact" w:before="0"/>
              <w:ind w:left="194"/>
              <w:jc w:val="left"/>
              <w:rPr>
                <w:sz w:val="20"/>
              </w:rPr>
            </w:pPr>
            <w:r>
              <w:rPr>
                <w:sz w:val="20"/>
              </w:rPr>
              <w:t>10</w:t>
            </w:r>
          </w:p>
        </w:tc>
      </w:tr>
      <w:tr>
        <w:trPr>
          <w:trHeight w:val="335" w:hRule="exact"/>
        </w:trPr>
        <w:tc>
          <w:tcPr>
            <w:tcW w:w="1465" w:type="dxa"/>
            <w:tcBorders>
              <w:top w:val="single" w:sz="4" w:space="0" w:color="000000"/>
            </w:tcBorders>
          </w:tcPr>
          <w:p>
            <w:pPr>
              <w:pStyle w:val="TableParagraph"/>
              <w:spacing w:before="58"/>
              <w:ind w:left="86"/>
              <w:jc w:val="left"/>
              <w:rPr>
                <w:sz w:val="20"/>
              </w:rPr>
            </w:pPr>
            <w:r>
              <w:rPr>
                <w:sz w:val="20"/>
              </w:rPr>
              <w:t>TEJ_LcFdp</w:t>
            </w:r>
          </w:p>
        </w:tc>
        <w:tc>
          <w:tcPr>
            <w:tcW w:w="844" w:type="dxa"/>
            <w:tcBorders>
              <w:top w:val="single" w:sz="4" w:space="0" w:color="000000"/>
            </w:tcBorders>
          </w:tcPr>
          <w:p>
            <w:pPr>
              <w:pStyle w:val="TableParagraph"/>
              <w:spacing w:before="58"/>
              <w:ind w:right="190"/>
              <w:rPr>
                <w:sz w:val="20"/>
              </w:rPr>
            </w:pPr>
            <w:r>
              <w:rPr>
                <w:sz w:val="20"/>
              </w:rPr>
              <w:t>41.60</w:t>
            </w:r>
          </w:p>
        </w:tc>
        <w:tc>
          <w:tcPr>
            <w:tcW w:w="840" w:type="dxa"/>
            <w:tcBorders>
              <w:top w:val="single" w:sz="4" w:space="0" w:color="000000"/>
            </w:tcBorders>
          </w:tcPr>
          <w:p>
            <w:pPr>
              <w:pStyle w:val="TableParagraph"/>
              <w:spacing w:before="58"/>
              <w:ind w:left="192"/>
              <w:jc w:val="left"/>
              <w:rPr>
                <w:sz w:val="20"/>
              </w:rPr>
            </w:pPr>
            <w:r>
              <w:rPr>
                <w:sz w:val="20"/>
              </w:rPr>
              <w:t>32.00</w:t>
            </w:r>
          </w:p>
        </w:tc>
        <w:tc>
          <w:tcPr>
            <w:tcW w:w="840" w:type="dxa"/>
            <w:tcBorders>
              <w:top w:val="single" w:sz="4" w:space="0" w:color="000000"/>
            </w:tcBorders>
          </w:tcPr>
          <w:p>
            <w:pPr>
              <w:pStyle w:val="TableParagraph"/>
              <w:spacing w:before="58"/>
              <w:ind w:left="192"/>
              <w:jc w:val="left"/>
              <w:rPr>
                <w:sz w:val="20"/>
              </w:rPr>
            </w:pPr>
            <w:r>
              <w:rPr>
                <w:sz w:val="20"/>
              </w:rPr>
              <w:t>32.00</w:t>
            </w:r>
          </w:p>
        </w:tc>
        <w:tc>
          <w:tcPr>
            <w:tcW w:w="843" w:type="dxa"/>
            <w:tcBorders>
              <w:top w:val="single" w:sz="4" w:space="0" w:color="000000"/>
            </w:tcBorders>
          </w:tcPr>
          <w:p>
            <w:pPr>
              <w:pStyle w:val="TableParagraph"/>
              <w:spacing w:before="58"/>
              <w:ind w:left="192"/>
              <w:jc w:val="left"/>
              <w:rPr>
                <w:sz w:val="20"/>
              </w:rPr>
            </w:pPr>
            <w:r>
              <w:rPr>
                <w:sz w:val="20"/>
              </w:rPr>
              <w:t>32.00</w:t>
            </w:r>
          </w:p>
        </w:tc>
        <w:tc>
          <w:tcPr>
            <w:tcW w:w="843" w:type="dxa"/>
            <w:tcBorders>
              <w:top w:val="single" w:sz="4" w:space="0" w:color="000000"/>
            </w:tcBorders>
          </w:tcPr>
          <w:p>
            <w:pPr>
              <w:pStyle w:val="TableParagraph"/>
              <w:spacing w:before="58"/>
              <w:ind w:left="194"/>
              <w:jc w:val="left"/>
              <w:rPr>
                <w:sz w:val="20"/>
              </w:rPr>
            </w:pPr>
            <w:r>
              <w:rPr>
                <w:sz w:val="20"/>
              </w:rPr>
              <w:t>32.00</w:t>
            </w:r>
          </w:p>
        </w:tc>
        <w:tc>
          <w:tcPr>
            <w:tcW w:w="840" w:type="dxa"/>
            <w:tcBorders>
              <w:top w:val="single" w:sz="4" w:space="0" w:color="000000"/>
            </w:tcBorders>
          </w:tcPr>
          <w:p>
            <w:pPr>
              <w:pStyle w:val="TableParagraph"/>
              <w:spacing w:before="58"/>
              <w:ind w:left="192"/>
              <w:jc w:val="left"/>
              <w:rPr>
                <w:sz w:val="20"/>
              </w:rPr>
            </w:pPr>
            <w:r>
              <w:rPr>
                <w:sz w:val="20"/>
              </w:rPr>
              <w:t>27.33</w:t>
            </w:r>
          </w:p>
        </w:tc>
        <w:tc>
          <w:tcPr>
            <w:tcW w:w="864" w:type="dxa"/>
            <w:tcBorders>
              <w:top w:val="single" w:sz="4" w:space="0" w:color="000000"/>
            </w:tcBorders>
          </w:tcPr>
          <w:p>
            <w:pPr>
              <w:pStyle w:val="TableParagraph"/>
              <w:spacing w:before="58"/>
              <w:ind w:left="192"/>
              <w:jc w:val="left"/>
              <w:rPr>
                <w:sz w:val="20"/>
              </w:rPr>
            </w:pPr>
            <w:r>
              <w:rPr>
                <w:sz w:val="20"/>
              </w:rPr>
              <w:t>25.00</w:t>
            </w:r>
          </w:p>
        </w:tc>
        <w:tc>
          <w:tcPr>
            <w:tcW w:w="840" w:type="dxa"/>
            <w:tcBorders>
              <w:top w:val="single" w:sz="4" w:space="0" w:color="000000"/>
            </w:tcBorders>
          </w:tcPr>
          <w:p>
            <w:pPr>
              <w:pStyle w:val="TableParagraph"/>
              <w:spacing w:before="58"/>
              <w:ind w:left="269"/>
              <w:jc w:val="left"/>
              <w:rPr>
                <w:sz w:val="20"/>
              </w:rPr>
            </w:pPr>
            <w:r>
              <w:rPr>
                <w:sz w:val="20"/>
              </w:rPr>
              <w:t>0.00</w:t>
            </w:r>
          </w:p>
        </w:tc>
        <w:tc>
          <w:tcPr>
            <w:tcW w:w="819" w:type="dxa"/>
            <w:tcBorders>
              <w:top w:val="single" w:sz="4" w:space="0" w:color="000000"/>
            </w:tcBorders>
          </w:tcPr>
          <w:p>
            <w:pPr>
              <w:pStyle w:val="TableParagraph"/>
              <w:spacing w:before="58"/>
              <w:ind w:left="268"/>
              <w:jc w:val="left"/>
              <w:rPr>
                <w:sz w:val="20"/>
              </w:rPr>
            </w:pPr>
            <w:r>
              <w:rPr>
                <w:sz w:val="20"/>
              </w:rPr>
              <w:t>0.00</w:t>
            </w:r>
          </w:p>
        </w:tc>
        <w:tc>
          <w:tcPr>
            <w:tcW w:w="713" w:type="dxa"/>
            <w:tcBorders>
              <w:top w:val="single" w:sz="4" w:space="0" w:color="000000"/>
            </w:tcBorders>
          </w:tcPr>
          <w:p>
            <w:pPr>
              <w:pStyle w:val="TableParagraph"/>
              <w:spacing w:before="58"/>
              <w:ind w:right="60"/>
              <w:rPr>
                <w:sz w:val="20"/>
              </w:rPr>
            </w:pPr>
            <w:r>
              <w:rPr>
                <w:sz w:val="20"/>
              </w:rPr>
              <w:t>0.00</w:t>
            </w:r>
          </w:p>
        </w:tc>
      </w:tr>
      <w:tr>
        <w:trPr>
          <w:trHeight w:val="295" w:hRule="exact"/>
        </w:trPr>
        <w:tc>
          <w:tcPr>
            <w:tcW w:w="1465" w:type="dxa"/>
          </w:tcPr>
          <w:p>
            <w:pPr>
              <w:pStyle w:val="TableParagraph"/>
              <w:spacing w:before="21"/>
              <w:ind w:left="86"/>
              <w:jc w:val="left"/>
              <w:rPr>
                <w:sz w:val="20"/>
              </w:rPr>
            </w:pPr>
            <w:r>
              <w:rPr>
                <w:sz w:val="20"/>
              </w:rPr>
              <w:t>TEJ_LcFl</w:t>
            </w:r>
          </w:p>
        </w:tc>
        <w:tc>
          <w:tcPr>
            <w:tcW w:w="844" w:type="dxa"/>
          </w:tcPr>
          <w:p>
            <w:pPr>
              <w:pStyle w:val="TableParagraph"/>
              <w:spacing w:before="21"/>
              <w:ind w:right="190"/>
              <w:rPr>
                <w:sz w:val="20"/>
              </w:rPr>
            </w:pPr>
            <w:r>
              <w:rPr>
                <w:sz w:val="20"/>
              </w:rPr>
              <w:t>30.00</w:t>
            </w:r>
          </w:p>
        </w:tc>
        <w:tc>
          <w:tcPr>
            <w:tcW w:w="840" w:type="dxa"/>
          </w:tcPr>
          <w:p>
            <w:pPr>
              <w:pStyle w:val="TableParagraph"/>
              <w:spacing w:before="21"/>
              <w:ind w:left="192"/>
              <w:jc w:val="left"/>
              <w:rPr>
                <w:sz w:val="20"/>
              </w:rPr>
            </w:pPr>
            <w:r>
              <w:rPr>
                <w:sz w:val="20"/>
              </w:rPr>
              <w:t>28.33</w:t>
            </w:r>
          </w:p>
        </w:tc>
        <w:tc>
          <w:tcPr>
            <w:tcW w:w="840" w:type="dxa"/>
          </w:tcPr>
          <w:p>
            <w:pPr>
              <w:pStyle w:val="TableParagraph"/>
              <w:spacing w:before="21"/>
              <w:ind w:left="192"/>
              <w:jc w:val="left"/>
              <w:rPr>
                <w:sz w:val="20"/>
              </w:rPr>
            </w:pPr>
            <w:r>
              <w:rPr>
                <w:sz w:val="20"/>
              </w:rPr>
              <w:t>28.00</w:t>
            </w:r>
          </w:p>
        </w:tc>
        <w:tc>
          <w:tcPr>
            <w:tcW w:w="843" w:type="dxa"/>
          </w:tcPr>
          <w:p>
            <w:pPr>
              <w:pStyle w:val="TableParagraph"/>
              <w:spacing w:before="21"/>
              <w:ind w:left="192"/>
              <w:jc w:val="left"/>
              <w:rPr>
                <w:sz w:val="20"/>
              </w:rPr>
            </w:pPr>
            <w:r>
              <w:rPr>
                <w:sz w:val="20"/>
              </w:rPr>
              <w:t>30.00</w:t>
            </w:r>
          </w:p>
        </w:tc>
        <w:tc>
          <w:tcPr>
            <w:tcW w:w="843" w:type="dxa"/>
          </w:tcPr>
          <w:p>
            <w:pPr>
              <w:pStyle w:val="TableParagraph"/>
              <w:spacing w:before="21"/>
              <w:ind w:left="194"/>
              <w:jc w:val="left"/>
              <w:rPr>
                <w:sz w:val="20"/>
              </w:rPr>
            </w:pPr>
            <w:r>
              <w:rPr>
                <w:sz w:val="20"/>
              </w:rPr>
              <w:t>30.00</w:t>
            </w:r>
          </w:p>
        </w:tc>
        <w:tc>
          <w:tcPr>
            <w:tcW w:w="840" w:type="dxa"/>
          </w:tcPr>
          <w:p>
            <w:pPr>
              <w:pStyle w:val="TableParagraph"/>
              <w:spacing w:before="21"/>
              <w:ind w:left="192"/>
              <w:jc w:val="left"/>
              <w:rPr>
                <w:sz w:val="20"/>
              </w:rPr>
            </w:pPr>
            <w:r>
              <w:rPr>
                <w:sz w:val="20"/>
              </w:rPr>
              <w:t>40.83</w:t>
            </w:r>
          </w:p>
        </w:tc>
        <w:tc>
          <w:tcPr>
            <w:tcW w:w="864" w:type="dxa"/>
          </w:tcPr>
          <w:p>
            <w:pPr>
              <w:pStyle w:val="TableParagraph"/>
              <w:spacing w:before="21"/>
              <w:ind w:left="192"/>
              <w:jc w:val="left"/>
              <w:rPr>
                <w:sz w:val="20"/>
              </w:rPr>
            </w:pPr>
            <w:r>
              <w:rPr>
                <w:sz w:val="20"/>
              </w:rPr>
              <w:t>38.17</w:t>
            </w:r>
          </w:p>
        </w:tc>
        <w:tc>
          <w:tcPr>
            <w:tcW w:w="840" w:type="dxa"/>
          </w:tcPr>
          <w:p>
            <w:pPr>
              <w:pStyle w:val="TableParagraph"/>
              <w:spacing w:before="21"/>
              <w:ind w:left="269"/>
              <w:jc w:val="left"/>
              <w:rPr>
                <w:sz w:val="20"/>
              </w:rPr>
            </w:pPr>
            <w:r>
              <w:rPr>
                <w:sz w:val="20"/>
              </w:rPr>
              <w:t>0.00</w:t>
            </w:r>
          </w:p>
        </w:tc>
        <w:tc>
          <w:tcPr>
            <w:tcW w:w="819" w:type="dxa"/>
          </w:tcPr>
          <w:p>
            <w:pPr>
              <w:pStyle w:val="TableParagraph"/>
              <w:spacing w:before="21"/>
              <w:ind w:left="268"/>
              <w:jc w:val="left"/>
              <w:rPr>
                <w:sz w:val="20"/>
              </w:rPr>
            </w:pPr>
            <w:r>
              <w:rPr>
                <w:sz w:val="20"/>
              </w:rPr>
              <w:t>0.00</w:t>
            </w:r>
          </w:p>
        </w:tc>
        <w:tc>
          <w:tcPr>
            <w:tcW w:w="713" w:type="dxa"/>
          </w:tcPr>
          <w:p>
            <w:pPr>
              <w:pStyle w:val="TableParagraph"/>
              <w:spacing w:before="21"/>
              <w:ind w:right="60"/>
              <w:rPr>
                <w:sz w:val="20"/>
              </w:rPr>
            </w:pPr>
            <w:r>
              <w:rPr>
                <w:sz w:val="20"/>
              </w:rPr>
              <w:t>0.00</w:t>
            </w:r>
          </w:p>
        </w:tc>
      </w:tr>
      <w:tr>
        <w:trPr>
          <w:trHeight w:val="298" w:hRule="exact"/>
        </w:trPr>
        <w:tc>
          <w:tcPr>
            <w:tcW w:w="1465" w:type="dxa"/>
          </w:tcPr>
          <w:p>
            <w:pPr>
              <w:pStyle w:val="TableParagraph"/>
              <w:ind w:left="86"/>
              <w:jc w:val="left"/>
              <w:rPr>
                <w:sz w:val="20"/>
              </w:rPr>
            </w:pPr>
            <w:r>
              <w:rPr>
                <w:sz w:val="20"/>
              </w:rPr>
              <w:t>TEJ_LcFlp</w:t>
            </w:r>
          </w:p>
        </w:tc>
        <w:tc>
          <w:tcPr>
            <w:tcW w:w="844" w:type="dxa"/>
          </w:tcPr>
          <w:p>
            <w:pPr>
              <w:pStyle w:val="TableParagraph"/>
              <w:ind w:right="190"/>
              <w:rPr>
                <w:sz w:val="20"/>
              </w:rPr>
            </w:pPr>
            <w:r>
              <w:rPr>
                <w:sz w:val="20"/>
              </w:rPr>
              <w:t>48.00</w:t>
            </w:r>
          </w:p>
        </w:tc>
        <w:tc>
          <w:tcPr>
            <w:tcW w:w="840" w:type="dxa"/>
          </w:tcPr>
          <w:p>
            <w:pPr>
              <w:pStyle w:val="TableParagraph"/>
              <w:ind w:left="192"/>
              <w:jc w:val="left"/>
              <w:rPr>
                <w:sz w:val="20"/>
              </w:rPr>
            </w:pPr>
            <w:r>
              <w:rPr>
                <w:sz w:val="20"/>
              </w:rPr>
              <w:t>45.58</w:t>
            </w:r>
          </w:p>
        </w:tc>
        <w:tc>
          <w:tcPr>
            <w:tcW w:w="840" w:type="dxa"/>
          </w:tcPr>
          <w:p>
            <w:pPr>
              <w:pStyle w:val="TableParagraph"/>
              <w:ind w:left="192"/>
              <w:jc w:val="left"/>
              <w:rPr>
                <w:sz w:val="20"/>
              </w:rPr>
            </w:pPr>
            <w:r>
              <w:rPr>
                <w:sz w:val="20"/>
              </w:rPr>
              <w:t>45.58</w:t>
            </w:r>
          </w:p>
        </w:tc>
        <w:tc>
          <w:tcPr>
            <w:tcW w:w="843" w:type="dxa"/>
          </w:tcPr>
          <w:p>
            <w:pPr>
              <w:pStyle w:val="TableParagraph"/>
              <w:ind w:left="192"/>
              <w:jc w:val="left"/>
              <w:rPr>
                <w:sz w:val="20"/>
              </w:rPr>
            </w:pPr>
            <w:r>
              <w:rPr>
                <w:sz w:val="20"/>
              </w:rPr>
              <w:t>28.21</w:t>
            </w:r>
          </w:p>
        </w:tc>
        <w:tc>
          <w:tcPr>
            <w:tcW w:w="843" w:type="dxa"/>
          </w:tcPr>
          <w:p>
            <w:pPr>
              <w:pStyle w:val="TableParagraph"/>
              <w:ind w:left="194"/>
              <w:jc w:val="left"/>
              <w:rPr>
                <w:sz w:val="20"/>
              </w:rPr>
            </w:pPr>
            <w:r>
              <w:rPr>
                <w:sz w:val="20"/>
              </w:rPr>
              <w:t>26.66</w:t>
            </w:r>
          </w:p>
        </w:tc>
        <w:tc>
          <w:tcPr>
            <w:tcW w:w="840" w:type="dxa"/>
          </w:tcPr>
          <w:p>
            <w:pPr>
              <w:pStyle w:val="TableParagraph"/>
              <w:ind w:left="192"/>
              <w:jc w:val="left"/>
              <w:rPr>
                <w:sz w:val="20"/>
              </w:rPr>
            </w:pPr>
            <w:r>
              <w:rPr>
                <w:sz w:val="20"/>
              </w:rPr>
              <w:t>27.69</w:t>
            </w:r>
          </w:p>
        </w:tc>
        <w:tc>
          <w:tcPr>
            <w:tcW w:w="864" w:type="dxa"/>
          </w:tcPr>
          <w:p>
            <w:pPr>
              <w:pStyle w:val="TableParagraph"/>
              <w:ind w:left="192"/>
              <w:jc w:val="left"/>
              <w:rPr>
                <w:sz w:val="20"/>
              </w:rPr>
            </w:pPr>
            <w:r>
              <w:rPr>
                <w:sz w:val="20"/>
              </w:rPr>
              <w:t>27.69</w:t>
            </w:r>
          </w:p>
        </w:tc>
        <w:tc>
          <w:tcPr>
            <w:tcW w:w="840" w:type="dxa"/>
          </w:tcPr>
          <w:p>
            <w:pPr>
              <w:pStyle w:val="TableParagraph"/>
              <w:ind w:left="269"/>
              <w:jc w:val="left"/>
              <w:rPr>
                <w:sz w:val="20"/>
              </w:rPr>
            </w:pPr>
            <w:r>
              <w:rPr>
                <w:sz w:val="20"/>
              </w:rPr>
              <w:t>0.00</w:t>
            </w:r>
          </w:p>
        </w:tc>
        <w:tc>
          <w:tcPr>
            <w:tcW w:w="819" w:type="dxa"/>
          </w:tcPr>
          <w:p>
            <w:pPr>
              <w:pStyle w:val="TableParagraph"/>
              <w:ind w:left="268"/>
              <w:jc w:val="left"/>
              <w:rPr>
                <w:sz w:val="20"/>
              </w:rPr>
            </w:pPr>
            <w:r>
              <w:rPr>
                <w:sz w:val="20"/>
              </w:rPr>
              <w:t>0.00</w:t>
            </w:r>
          </w:p>
        </w:tc>
        <w:tc>
          <w:tcPr>
            <w:tcW w:w="713" w:type="dxa"/>
          </w:tcPr>
          <w:p>
            <w:pPr>
              <w:pStyle w:val="TableParagraph"/>
              <w:ind w:right="60"/>
              <w:rPr>
                <w:sz w:val="20"/>
              </w:rPr>
            </w:pPr>
            <w:r>
              <w:rPr>
                <w:sz w:val="20"/>
              </w:rPr>
              <w:t>0.00</w:t>
            </w:r>
          </w:p>
        </w:tc>
      </w:tr>
      <w:tr>
        <w:trPr>
          <w:trHeight w:val="298" w:hRule="exact"/>
        </w:trPr>
        <w:tc>
          <w:tcPr>
            <w:tcW w:w="1465" w:type="dxa"/>
          </w:tcPr>
          <w:p>
            <w:pPr>
              <w:pStyle w:val="TableParagraph"/>
              <w:ind w:left="86"/>
              <w:jc w:val="left"/>
              <w:rPr>
                <w:sz w:val="20"/>
              </w:rPr>
            </w:pPr>
            <w:r>
              <w:rPr>
                <w:sz w:val="20"/>
              </w:rPr>
              <w:t>TEJ_LcSF</w:t>
            </w:r>
          </w:p>
        </w:tc>
        <w:tc>
          <w:tcPr>
            <w:tcW w:w="844" w:type="dxa"/>
          </w:tcPr>
          <w:p>
            <w:pPr>
              <w:pStyle w:val="TableParagraph"/>
              <w:ind w:right="190"/>
              <w:rPr>
                <w:sz w:val="20"/>
              </w:rPr>
            </w:pPr>
            <w:r>
              <w:rPr>
                <w:sz w:val="20"/>
              </w:rPr>
              <w:t>41.00</w:t>
            </w:r>
          </w:p>
        </w:tc>
        <w:tc>
          <w:tcPr>
            <w:tcW w:w="840" w:type="dxa"/>
          </w:tcPr>
          <w:p>
            <w:pPr>
              <w:pStyle w:val="TableParagraph"/>
              <w:ind w:left="192"/>
              <w:jc w:val="left"/>
              <w:rPr>
                <w:sz w:val="20"/>
              </w:rPr>
            </w:pPr>
            <w:r>
              <w:rPr>
                <w:sz w:val="20"/>
              </w:rPr>
              <w:t>34.70</w:t>
            </w:r>
          </w:p>
        </w:tc>
        <w:tc>
          <w:tcPr>
            <w:tcW w:w="840" w:type="dxa"/>
          </w:tcPr>
          <w:p>
            <w:pPr>
              <w:pStyle w:val="TableParagraph"/>
              <w:ind w:left="192"/>
              <w:jc w:val="left"/>
              <w:rPr>
                <w:sz w:val="20"/>
              </w:rPr>
            </w:pPr>
            <w:r>
              <w:rPr>
                <w:sz w:val="20"/>
              </w:rPr>
              <w:t>30.70</w:t>
            </w:r>
          </w:p>
        </w:tc>
        <w:tc>
          <w:tcPr>
            <w:tcW w:w="843" w:type="dxa"/>
          </w:tcPr>
          <w:p>
            <w:pPr>
              <w:pStyle w:val="TableParagraph"/>
              <w:ind w:left="192"/>
              <w:jc w:val="left"/>
              <w:rPr>
                <w:sz w:val="20"/>
              </w:rPr>
            </w:pPr>
            <w:r>
              <w:rPr>
                <w:sz w:val="20"/>
              </w:rPr>
              <w:t>30.70</w:t>
            </w:r>
          </w:p>
        </w:tc>
        <w:tc>
          <w:tcPr>
            <w:tcW w:w="843" w:type="dxa"/>
          </w:tcPr>
          <w:p>
            <w:pPr>
              <w:pStyle w:val="TableParagraph"/>
              <w:ind w:left="194"/>
              <w:jc w:val="left"/>
              <w:rPr>
                <w:sz w:val="20"/>
              </w:rPr>
            </w:pPr>
            <w:r>
              <w:rPr>
                <w:sz w:val="20"/>
              </w:rPr>
              <w:t>30.70</w:t>
            </w:r>
          </w:p>
        </w:tc>
        <w:tc>
          <w:tcPr>
            <w:tcW w:w="840" w:type="dxa"/>
          </w:tcPr>
          <w:p>
            <w:pPr>
              <w:pStyle w:val="TableParagraph"/>
              <w:ind w:left="192"/>
              <w:jc w:val="left"/>
              <w:rPr>
                <w:sz w:val="20"/>
              </w:rPr>
            </w:pPr>
            <w:r>
              <w:rPr>
                <w:sz w:val="20"/>
              </w:rPr>
              <w:t>30.70</w:t>
            </w:r>
          </w:p>
        </w:tc>
        <w:tc>
          <w:tcPr>
            <w:tcW w:w="864" w:type="dxa"/>
          </w:tcPr>
          <w:p>
            <w:pPr>
              <w:pStyle w:val="TableParagraph"/>
              <w:ind w:left="192"/>
              <w:jc w:val="left"/>
              <w:rPr>
                <w:sz w:val="20"/>
              </w:rPr>
            </w:pPr>
            <w:r>
              <w:rPr>
                <w:sz w:val="20"/>
              </w:rPr>
              <w:t>30.70</w:t>
            </w:r>
          </w:p>
        </w:tc>
        <w:tc>
          <w:tcPr>
            <w:tcW w:w="840" w:type="dxa"/>
          </w:tcPr>
          <w:p>
            <w:pPr>
              <w:pStyle w:val="TableParagraph"/>
              <w:ind w:left="269"/>
              <w:jc w:val="left"/>
              <w:rPr>
                <w:sz w:val="20"/>
              </w:rPr>
            </w:pPr>
            <w:r>
              <w:rPr>
                <w:sz w:val="20"/>
              </w:rPr>
              <w:t>0.00</w:t>
            </w:r>
          </w:p>
        </w:tc>
        <w:tc>
          <w:tcPr>
            <w:tcW w:w="819" w:type="dxa"/>
          </w:tcPr>
          <w:p>
            <w:pPr>
              <w:pStyle w:val="TableParagraph"/>
              <w:ind w:left="268"/>
              <w:jc w:val="left"/>
              <w:rPr>
                <w:sz w:val="20"/>
              </w:rPr>
            </w:pPr>
            <w:r>
              <w:rPr>
                <w:sz w:val="20"/>
              </w:rPr>
              <w:t>0.00</w:t>
            </w:r>
          </w:p>
        </w:tc>
        <w:tc>
          <w:tcPr>
            <w:tcW w:w="713" w:type="dxa"/>
          </w:tcPr>
          <w:p>
            <w:pPr>
              <w:pStyle w:val="TableParagraph"/>
              <w:ind w:right="60"/>
              <w:rPr>
                <w:sz w:val="20"/>
              </w:rPr>
            </w:pPr>
            <w:r>
              <w:rPr>
                <w:sz w:val="20"/>
              </w:rPr>
              <w:t>0.00</w:t>
            </w:r>
          </w:p>
        </w:tc>
      </w:tr>
      <w:tr>
        <w:trPr>
          <w:trHeight w:val="298" w:hRule="exact"/>
        </w:trPr>
        <w:tc>
          <w:tcPr>
            <w:tcW w:w="1465" w:type="dxa"/>
          </w:tcPr>
          <w:p>
            <w:pPr>
              <w:pStyle w:val="TableParagraph"/>
              <w:ind w:left="86"/>
              <w:jc w:val="left"/>
              <w:rPr>
                <w:sz w:val="20"/>
              </w:rPr>
            </w:pPr>
            <w:r>
              <w:rPr>
                <w:sz w:val="20"/>
              </w:rPr>
              <w:t>TEJ_TmFlp</w:t>
            </w:r>
          </w:p>
        </w:tc>
        <w:tc>
          <w:tcPr>
            <w:tcW w:w="844" w:type="dxa"/>
          </w:tcPr>
          <w:p>
            <w:pPr>
              <w:pStyle w:val="TableParagraph"/>
              <w:ind w:right="190"/>
              <w:rPr>
                <w:sz w:val="20"/>
              </w:rPr>
            </w:pPr>
            <w:r>
              <w:rPr>
                <w:sz w:val="20"/>
              </w:rPr>
              <w:t>58.00</w:t>
            </w:r>
          </w:p>
        </w:tc>
        <w:tc>
          <w:tcPr>
            <w:tcW w:w="840" w:type="dxa"/>
          </w:tcPr>
          <w:p>
            <w:pPr>
              <w:pStyle w:val="TableParagraph"/>
              <w:ind w:left="192"/>
              <w:jc w:val="left"/>
              <w:rPr>
                <w:sz w:val="20"/>
              </w:rPr>
            </w:pPr>
            <w:r>
              <w:rPr>
                <w:sz w:val="20"/>
              </w:rPr>
              <w:t>58.00</w:t>
            </w:r>
          </w:p>
        </w:tc>
        <w:tc>
          <w:tcPr>
            <w:tcW w:w="840" w:type="dxa"/>
          </w:tcPr>
          <w:p>
            <w:pPr>
              <w:pStyle w:val="TableParagraph"/>
              <w:ind w:left="192"/>
              <w:jc w:val="left"/>
              <w:rPr>
                <w:sz w:val="20"/>
              </w:rPr>
            </w:pPr>
            <w:r>
              <w:rPr>
                <w:sz w:val="20"/>
              </w:rPr>
              <w:t>57.00</w:t>
            </w:r>
          </w:p>
        </w:tc>
        <w:tc>
          <w:tcPr>
            <w:tcW w:w="843" w:type="dxa"/>
          </w:tcPr>
          <w:p>
            <w:pPr>
              <w:pStyle w:val="TableParagraph"/>
              <w:ind w:left="192"/>
              <w:jc w:val="left"/>
              <w:rPr>
                <w:sz w:val="20"/>
              </w:rPr>
            </w:pPr>
            <w:r>
              <w:rPr>
                <w:sz w:val="20"/>
              </w:rPr>
              <w:t>56.00</w:t>
            </w:r>
          </w:p>
        </w:tc>
        <w:tc>
          <w:tcPr>
            <w:tcW w:w="843" w:type="dxa"/>
          </w:tcPr>
          <w:p>
            <w:pPr>
              <w:pStyle w:val="TableParagraph"/>
              <w:ind w:left="194"/>
              <w:jc w:val="left"/>
              <w:rPr>
                <w:sz w:val="20"/>
              </w:rPr>
            </w:pPr>
            <w:r>
              <w:rPr>
                <w:sz w:val="20"/>
              </w:rPr>
              <w:t>56.00</w:t>
            </w:r>
          </w:p>
        </w:tc>
        <w:tc>
          <w:tcPr>
            <w:tcW w:w="840" w:type="dxa"/>
          </w:tcPr>
          <w:p>
            <w:pPr>
              <w:pStyle w:val="TableParagraph"/>
              <w:ind w:left="192"/>
              <w:jc w:val="left"/>
              <w:rPr>
                <w:sz w:val="20"/>
              </w:rPr>
            </w:pPr>
            <w:r>
              <w:rPr>
                <w:sz w:val="20"/>
              </w:rPr>
              <w:t>56.00</w:t>
            </w:r>
          </w:p>
        </w:tc>
        <w:tc>
          <w:tcPr>
            <w:tcW w:w="864" w:type="dxa"/>
          </w:tcPr>
          <w:p>
            <w:pPr>
              <w:pStyle w:val="TableParagraph"/>
              <w:ind w:left="192"/>
              <w:jc w:val="left"/>
              <w:rPr>
                <w:sz w:val="20"/>
              </w:rPr>
            </w:pPr>
            <w:r>
              <w:rPr>
                <w:sz w:val="20"/>
              </w:rPr>
              <w:t>55.00</w:t>
            </w:r>
          </w:p>
        </w:tc>
        <w:tc>
          <w:tcPr>
            <w:tcW w:w="840" w:type="dxa"/>
          </w:tcPr>
          <w:p>
            <w:pPr>
              <w:pStyle w:val="TableParagraph"/>
              <w:ind w:left="269"/>
              <w:jc w:val="left"/>
              <w:rPr>
                <w:sz w:val="20"/>
              </w:rPr>
            </w:pPr>
            <w:r>
              <w:rPr>
                <w:sz w:val="20"/>
              </w:rPr>
              <w:t>0.00</w:t>
            </w:r>
          </w:p>
        </w:tc>
        <w:tc>
          <w:tcPr>
            <w:tcW w:w="819" w:type="dxa"/>
          </w:tcPr>
          <w:p>
            <w:pPr>
              <w:pStyle w:val="TableParagraph"/>
              <w:ind w:left="268"/>
              <w:jc w:val="left"/>
              <w:rPr>
                <w:sz w:val="20"/>
              </w:rPr>
            </w:pPr>
            <w:r>
              <w:rPr>
                <w:sz w:val="20"/>
              </w:rPr>
              <w:t>0.00</w:t>
            </w:r>
          </w:p>
        </w:tc>
        <w:tc>
          <w:tcPr>
            <w:tcW w:w="713" w:type="dxa"/>
          </w:tcPr>
          <w:p>
            <w:pPr>
              <w:pStyle w:val="TableParagraph"/>
              <w:ind w:right="60"/>
              <w:rPr>
                <w:sz w:val="20"/>
              </w:rPr>
            </w:pPr>
            <w:r>
              <w:rPr>
                <w:sz w:val="20"/>
              </w:rPr>
              <w:t>0.00</w:t>
            </w:r>
          </w:p>
        </w:tc>
      </w:tr>
      <w:tr>
        <w:trPr>
          <w:trHeight w:val="298" w:hRule="exact"/>
        </w:trPr>
        <w:tc>
          <w:tcPr>
            <w:tcW w:w="1465" w:type="dxa"/>
          </w:tcPr>
          <w:p>
            <w:pPr>
              <w:pStyle w:val="TableParagraph"/>
              <w:ind w:left="86"/>
              <w:jc w:val="left"/>
              <w:rPr>
                <w:sz w:val="20"/>
              </w:rPr>
            </w:pPr>
            <w:r>
              <w:rPr>
                <w:sz w:val="20"/>
              </w:rPr>
              <w:t>TEJ_ToSF</w:t>
            </w:r>
          </w:p>
        </w:tc>
        <w:tc>
          <w:tcPr>
            <w:tcW w:w="844" w:type="dxa"/>
          </w:tcPr>
          <w:p>
            <w:pPr>
              <w:pStyle w:val="TableParagraph"/>
              <w:ind w:right="190"/>
              <w:rPr>
                <w:sz w:val="20"/>
              </w:rPr>
            </w:pPr>
            <w:r>
              <w:rPr>
                <w:sz w:val="20"/>
              </w:rPr>
              <w:t>55.70</w:t>
            </w:r>
          </w:p>
        </w:tc>
        <w:tc>
          <w:tcPr>
            <w:tcW w:w="840" w:type="dxa"/>
          </w:tcPr>
          <w:p>
            <w:pPr>
              <w:pStyle w:val="TableParagraph"/>
              <w:ind w:left="192"/>
              <w:jc w:val="left"/>
              <w:rPr>
                <w:sz w:val="20"/>
              </w:rPr>
            </w:pPr>
            <w:r>
              <w:rPr>
                <w:sz w:val="20"/>
              </w:rPr>
              <w:t>55.70</w:t>
            </w:r>
          </w:p>
        </w:tc>
        <w:tc>
          <w:tcPr>
            <w:tcW w:w="840" w:type="dxa"/>
          </w:tcPr>
          <w:p>
            <w:pPr>
              <w:pStyle w:val="TableParagraph"/>
              <w:ind w:left="192"/>
              <w:jc w:val="left"/>
              <w:rPr>
                <w:sz w:val="20"/>
              </w:rPr>
            </w:pPr>
            <w:r>
              <w:rPr>
                <w:sz w:val="20"/>
              </w:rPr>
              <w:t>53.80</w:t>
            </w:r>
          </w:p>
        </w:tc>
        <w:tc>
          <w:tcPr>
            <w:tcW w:w="843" w:type="dxa"/>
          </w:tcPr>
          <w:p>
            <w:pPr>
              <w:pStyle w:val="TableParagraph"/>
              <w:ind w:left="192"/>
              <w:jc w:val="left"/>
              <w:rPr>
                <w:sz w:val="20"/>
              </w:rPr>
            </w:pPr>
            <w:r>
              <w:rPr>
                <w:sz w:val="20"/>
              </w:rPr>
              <w:t>53.80</w:t>
            </w:r>
          </w:p>
        </w:tc>
        <w:tc>
          <w:tcPr>
            <w:tcW w:w="843" w:type="dxa"/>
          </w:tcPr>
          <w:p>
            <w:pPr>
              <w:pStyle w:val="TableParagraph"/>
              <w:ind w:left="194"/>
              <w:jc w:val="left"/>
              <w:rPr>
                <w:sz w:val="20"/>
              </w:rPr>
            </w:pPr>
            <w:r>
              <w:rPr>
                <w:sz w:val="20"/>
              </w:rPr>
              <w:t>53.80</w:t>
            </w:r>
          </w:p>
        </w:tc>
        <w:tc>
          <w:tcPr>
            <w:tcW w:w="840" w:type="dxa"/>
          </w:tcPr>
          <w:p>
            <w:pPr>
              <w:pStyle w:val="TableParagraph"/>
              <w:ind w:left="192"/>
              <w:jc w:val="left"/>
              <w:rPr>
                <w:sz w:val="20"/>
              </w:rPr>
            </w:pPr>
            <w:r>
              <w:rPr>
                <w:sz w:val="20"/>
              </w:rPr>
              <w:t>53.80</w:t>
            </w:r>
          </w:p>
        </w:tc>
        <w:tc>
          <w:tcPr>
            <w:tcW w:w="864" w:type="dxa"/>
          </w:tcPr>
          <w:p>
            <w:pPr>
              <w:pStyle w:val="TableParagraph"/>
              <w:ind w:left="192"/>
              <w:jc w:val="left"/>
              <w:rPr>
                <w:sz w:val="20"/>
              </w:rPr>
            </w:pPr>
            <w:r>
              <w:rPr>
                <w:sz w:val="20"/>
              </w:rPr>
              <w:t>56.00</w:t>
            </w:r>
          </w:p>
        </w:tc>
        <w:tc>
          <w:tcPr>
            <w:tcW w:w="840" w:type="dxa"/>
          </w:tcPr>
          <w:p>
            <w:pPr>
              <w:pStyle w:val="TableParagraph"/>
              <w:ind w:left="269"/>
              <w:jc w:val="left"/>
              <w:rPr>
                <w:sz w:val="20"/>
              </w:rPr>
            </w:pPr>
            <w:r>
              <w:rPr>
                <w:sz w:val="20"/>
              </w:rPr>
              <w:t>0.00</w:t>
            </w:r>
          </w:p>
        </w:tc>
        <w:tc>
          <w:tcPr>
            <w:tcW w:w="819" w:type="dxa"/>
          </w:tcPr>
          <w:p>
            <w:pPr>
              <w:pStyle w:val="TableParagraph"/>
              <w:ind w:left="268"/>
              <w:jc w:val="left"/>
              <w:rPr>
                <w:sz w:val="20"/>
              </w:rPr>
            </w:pPr>
            <w:r>
              <w:rPr>
                <w:sz w:val="20"/>
              </w:rPr>
              <w:t>0.00</w:t>
            </w:r>
          </w:p>
        </w:tc>
        <w:tc>
          <w:tcPr>
            <w:tcW w:w="713" w:type="dxa"/>
          </w:tcPr>
          <w:p>
            <w:pPr>
              <w:pStyle w:val="TableParagraph"/>
              <w:ind w:right="60"/>
              <w:rPr>
                <w:sz w:val="20"/>
              </w:rPr>
            </w:pPr>
            <w:r>
              <w:rPr>
                <w:sz w:val="20"/>
              </w:rPr>
              <w:t>0.00</w:t>
            </w:r>
          </w:p>
        </w:tc>
      </w:tr>
      <w:tr>
        <w:trPr>
          <w:trHeight w:val="298" w:hRule="exact"/>
        </w:trPr>
        <w:tc>
          <w:tcPr>
            <w:tcW w:w="1465" w:type="dxa"/>
          </w:tcPr>
          <w:p>
            <w:pPr>
              <w:pStyle w:val="TableParagraph"/>
              <w:ind w:left="86"/>
              <w:jc w:val="left"/>
              <w:rPr>
                <w:sz w:val="20"/>
              </w:rPr>
            </w:pPr>
            <w:r>
              <w:rPr>
                <w:sz w:val="20"/>
              </w:rPr>
              <w:t>TEJ_VpFd</w:t>
            </w:r>
          </w:p>
        </w:tc>
        <w:tc>
          <w:tcPr>
            <w:tcW w:w="844" w:type="dxa"/>
          </w:tcPr>
          <w:p>
            <w:pPr>
              <w:pStyle w:val="TableParagraph"/>
              <w:ind w:right="190"/>
              <w:rPr>
                <w:sz w:val="20"/>
              </w:rPr>
            </w:pPr>
            <w:r>
              <w:rPr>
                <w:sz w:val="20"/>
              </w:rPr>
              <w:t>53.00</w:t>
            </w:r>
          </w:p>
        </w:tc>
        <w:tc>
          <w:tcPr>
            <w:tcW w:w="840" w:type="dxa"/>
          </w:tcPr>
          <w:p>
            <w:pPr>
              <w:pStyle w:val="TableParagraph"/>
              <w:ind w:left="192"/>
              <w:jc w:val="left"/>
              <w:rPr>
                <w:sz w:val="20"/>
              </w:rPr>
            </w:pPr>
            <w:r>
              <w:rPr>
                <w:sz w:val="20"/>
              </w:rPr>
              <w:t>53.00</w:t>
            </w:r>
          </w:p>
        </w:tc>
        <w:tc>
          <w:tcPr>
            <w:tcW w:w="840" w:type="dxa"/>
          </w:tcPr>
          <w:p>
            <w:pPr>
              <w:pStyle w:val="TableParagraph"/>
              <w:ind w:left="192"/>
              <w:jc w:val="left"/>
              <w:rPr>
                <w:sz w:val="20"/>
              </w:rPr>
            </w:pPr>
            <w:r>
              <w:rPr>
                <w:sz w:val="20"/>
              </w:rPr>
              <w:t>53.00</w:t>
            </w:r>
          </w:p>
        </w:tc>
        <w:tc>
          <w:tcPr>
            <w:tcW w:w="843" w:type="dxa"/>
          </w:tcPr>
          <w:p>
            <w:pPr>
              <w:pStyle w:val="TableParagraph"/>
              <w:ind w:left="192"/>
              <w:jc w:val="left"/>
              <w:rPr>
                <w:sz w:val="20"/>
              </w:rPr>
            </w:pPr>
            <w:r>
              <w:rPr>
                <w:sz w:val="20"/>
              </w:rPr>
              <w:t>44.00</w:t>
            </w:r>
          </w:p>
        </w:tc>
        <w:tc>
          <w:tcPr>
            <w:tcW w:w="843" w:type="dxa"/>
          </w:tcPr>
          <w:p>
            <w:pPr>
              <w:pStyle w:val="TableParagraph"/>
              <w:ind w:left="194"/>
              <w:jc w:val="left"/>
              <w:rPr>
                <w:sz w:val="20"/>
              </w:rPr>
            </w:pPr>
            <w:r>
              <w:rPr>
                <w:sz w:val="20"/>
              </w:rPr>
              <w:t>44.00</w:t>
            </w:r>
          </w:p>
        </w:tc>
        <w:tc>
          <w:tcPr>
            <w:tcW w:w="840" w:type="dxa"/>
          </w:tcPr>
          <w:p>
            <w:pPr>
              <w:pStyle w:val="TableParagraph"/>
              <w:ind w:left="192"/>
              <w:jc w:val="left"/>
              <w:rPr>
                <w:sz w:val="20"/>
              </w:rPr>
            </w:pPr>
            <w:r>
              <w:rPr>
                <w:sz w:val="20"/>
              </w:rPr>
              <w:t>39.90</w:t>
            </w:r>
          </w:p>
        </w:tc>
        <w:tc>
          <w:tcPr>
            <w:tcW w:w="864" w:type="dxa"/>
          </w:tcPr>
          <w:p>
            <w:pPr>
              <w:pStyle w:val="TableParagraph"/>
              <w:ind w:left="192"/>
              <w:jc w:val="left"/>
              <w:rPr>
                <w:sz w:val="20"/>
              </w:rPr>
            </w:pPr>
            <w:r>
              <w:rPr>
                <w:sz w:val="20"/>
              </w:rPr>
              <w:t>36.70</w:t>
            </w:r>
          </w:p>
        </w:tc>
        <w:tc>
          <w:tcPr>
            <w:tcW w:w="840" w:type="dxa"/>
          </w:tcPr>
          <w:p>
            <w:pPr>
              <w:pStyle w:val="TableParagraph"/>
              <w:ind w:left="269"/>
              <w:jc w:val="left"/>
              <w:rPr>
                <w:sz w:val="20"/>
              </w:rPr>
            </w:pPr>
            <w:r>
              <w:rPr>
                <w:sz w:val="20"/>
              </w:rPr>
              <w:t>0.00</w:t>
            </w:r>
          </w:p>
        </w:tc>
        <w:tc>
          <w:tcPr>
            <w:tcW w:w="819" w:type="dxa"/>
          </w:tcPr>
          <w:p>
            <w:pPr>
              <w:pStyle w:val="TableParagraph"/>
              <w:ind w:left="268"/>
              <w:jc w:val="left"/>
              <w:rPr>
                <w:sz w:val="20"/>
              </w:rPr>
            </w:pPr>
            <w:r>
              <w:rPr>
                <w:sz w:val="20"/>
              </w:rPr>
              <w:t>0.00</w:t>
            </w:r>
          </w:p>
        </w:tc>
        <w:tc>
          <w:tcPr>
            <w:tcW w:w="713" w:type="dxa"/>
          </w:tcPr>
          <w:p>
            <w:pPr>
              <w:pStyle w:val="TableParagraph"/>
              <w:ind w:right="60"/>
              <w:rPr>
                <w:sz w:val="20"/>
              </w:rPr>
            </w:pPr>
            <w:r>
              <w:rPr>
                <w:sz w:val="20"/>
              </w:rPr>
              <w:t>0.00</w:t>
            </w:r>
          </w:p>
        </w:tc>
      </w:tr>
      <w:tr>
        <w:trPr>
          <w:trHeight w:val="298" w:hRule="exact"/>
        </w:trPr>
        <w:tc>
          <w:tcPr>
            <w:tcW w:w="1465" w:type="dxa"/>
          </w:tcPr>
          <w:p>
            <w:pPr>
              <w:pStyle w:val="TableParagraph"/>
              <w:ind w:left="86"/>
              <w:jc w:val="left"/>
              <w:rPr>
                <w:sz w:val="20"/>
              </w:rPr>
            </w:pPr>
            <w:r>
              <w:rPr>
                <w:sz w:val="20"/>
              </w:rPr>
              <w:t>TEJ_VpFdp</w:t>
            </w:r>
          </w:p>
        </w:tc>
        <w:tc>
          <w:tcPr>
            <w:tcW w:w="844" w:type="dxa"/>
          </w:tcPr>
          <w:p>
            <w:pPr>
              <w:pStyle w:val="TableParagraph"/>
              <w:ind w:right="190"/>
              <w:rPr>
                <w:sz w:val="20"/>
              </w:rPr>
            </w:pPr>
            <w:r>
              <w:rPr>
                <w:sz w:val="20"/>
              </w:rPr>
              <w:t>44.30</w:t>
            </w:r>
          </w:p>
        </w:tc>
        <w:tc>
          <w:tcPr>
            <w:tcW w:w="840" w:type="dxa"/>
          </w:tcPr>
          <w:p>
            <w:pPr>
              <w:pStyle w:val="TableParagraph"/>
              <w:ind w:left="192"/>
              <w:jc w:val="left"/>
              <w:rPr>
                <w:sz w:val="20"/>
              </w:rPr>
            </w:pPr>
            <w:r>
              <w:rPr>
                <w:sz w:val="20"/>
              </w:rPr>
              <w:t>44.26</w:t>
            </w:r>
          </w:p>
        </w:tc>
        <w:tc>
          <w:tcPr>
            <w:tcW w:w="840" w:type="dxa"/>
          </w:tcPr>
          <w:p>
            <w:pPr>
              <w:pStyle w:val="TableParagraph"/>
              <w:ind w:left="192"/>
              <w:jc w:val="left"/>
              <w:rPr>
                <w:sz w:val="20"/>
              </w:rPr>
            </w:pPr>
            <w:r>
              <w:rPr>
                <w:sz w:val="20"/>
              </w:rPr>
              <w:t>44.26</w:t>
            </w:r>
          </w:p>
        </w:tc>
        <w:tc>
          <w:tcPr>
            <w:tcW w:w="843" w:type="dxa"/>
          </w:tcPr>
          <w:p>
            <w:pPr>
              <w:pStyle w:val="TableParagraph"/>
              <w:ind w:left="192"/>
              <w:jc w:val="left"/>
              <w:rPr>
                <w:sz w:val="20"/>
              </w:rPr>
            </w:pPr>
            <w:r>
              <w:rPr>
                <w:sz w:val="20"/>
              </w:rPr>
              <w:t>43.75</w:t>
            </w:r>
          </w:p>
        </w:tc>
        <w:tc>
          <w:tcPr>
            <w:tcW w:w="843" w:type="dxa"/>
          </w:tcPr>
          <w:p>
            <w:pPr>
              <w:pStyle w:val="TableParagraph"/>
              <w:ind w:left="194"/>
              <w:jc w:val="left"/>
              <w:rPr>
                <w:sz w:val="20"/>
              </w:rPr>
            </w:pPr>
            <w:r>
              <w:rPr>
                <w:sz w:val="20"/>
              </w:rPr>
              <w:t>43.75</w:t>
            </w:r>
          </w:p>
        </w:tc>
        <w:tc>
          <w:tcPr>
            <w:tcW w:w="840" w:type="dxa"/>
          </w:tcPr>
          <w:p>
            <w:pPr>
              <w:pStyle w:val="TableParagraph"/>
              <w:ind w:left="192"/>
              <w:jc w:val="left"/>
              <w:rPr>
                <w:sz w:val="20"/>
              </w:rPr>
            </w:pPr>
            <w:r>
              <w:rPr>
                <w:sz w:val="20"/>
              </w:rPr>
              <w:t>42.25</w:t>
            </w:r>
          </w:p>
        </w:tc>
        <w:tc>
          <w:tcPr>
            <w:tcW w:w="864" w:type="dxa"/>
          </w:tcPr>
          <w:p>
            <w:pPr>
              <w:pStyle w:val="TableParagraph"/>
              <w:ind w:left="192"/>
              <w:jc w:val="left"/>
              <w:rPr>
                <w:sz w:val="20"/>
              </w:rPr>
            </w:pPr>
            <w:r>
              <w:rPr>
                <w:sz w:val="20"/>
              </w:rPr>
              <w:t>42.00</w:t>
            </w:r>
          </w:p>
        </w:tc>
        <w:tc>
          <w:tcPr>
            <w:tcW w:w="840" w:type="dxa"/>
          </w:tcPr>
          <w:p>
            <w:pPr>
              <w:pStyle w:val="TableParagraph"/>
              <w:ind w:left="269"/>
              <w:jc w:val="left"/>
              <w:rPr>
                <w:sz w:val="20"/>
              </w:rPr>
            </w:pPr>
            <w:r>
              <w:rPr>
                <w:sz w:val="20"/>
              </w:rPr>
              <w:t>0.00</w:t>
            </w:r>
          </w:p>
        </w:tc>
        <w:tc>
          <w:tcPr>
            <w:tcW w:w="819" w:type="dxa"/>
          </w:tcPr>
          <w:p>
            <w:pPr>
              <w:pStyle w:val="TableParagraph"/>
              <w:ind w:left="268"/>
              <w:jc w:val="left"/>
              <w:rPr>
                <w:sz w:val="20"/>
              </w:rPr>
            </w:pPr>
            <w:r>
              <w:rPr>
                <w:sz w:val="20"/>
              </w:rPr>
              <w:t>0.00</w:t>
            </w:r>
          </w:p>
        </w:tc>
        <w:tc>
          <w:tcPr>
            <w:tcW w:w="713" w:type="dxa"/>
          </w:tcPr>
          <w:p>
            <w:pPr>
              <w:pStyle w:val="TableParagraph"/>
              <w:ind w:right="60"/>
              <w:rPr>
                <w:sz w:val="20"/>
              </w:rPr>
            </w:pPr>
            <w:r>
              <w:rPr>
                <w:sz w:val="20"/>
              </w:rPr>
              <w:t>0.00</w:t>
            </w:r>
          </w:p>
        </w:tc>
      </w:tr>
      <w:tr>
        <w:trPr>
          <w:trHeight w:val="295" w:hRule="exact"/>
        </w:trPr>
        <w:tc>
          <w:tcPr>
            <w:tcW w:w="1465" w:type="dxa"/>
          </w:tcPr>
          <w:p>
            <w:pPr>
              <w:pStyle w:val="TableParagraph"/>
              <w:ind w:left="86"/>
              <w:jc w:val="left"/>
              <w:rPr>
                <w:sz w:val="20"/>
              </w:rPr>
            </w:pPr>
            <w:r>
              <w:rPr>
                <w:sz w:val="20"/>
              </w:rPr>
              <w:t>TEJ_VpSF</w:t>
            </w:r>
          </w:p>
        </w:tc>
        <w:tc>
          <w:tcPr>
            <w:tcW w:w="844" w:type="dxa"/>
          </w:tcPr>
          <w:p>
            <w:pPr>
              <w:pStyle w:val="TableParagraph"/>
              <w:ind w:right="190"/>
              <w:rPr>
                <w:sz w:val="20"/>
              </w:rPr>
            </w:pPr>
            <w:r>
              <w:rPr>
                <w:sz w:val="20"/>
              </w:rPr>
              <w:t>45.60</w:t>
            </w:r>
          </w:p>
        </w:tc>
        <w:tc>
          <w:tcPr>
            <w:tcW w:w="840" w:type="dxa"/>
          </w:tcPr>
          <w:p>
            <w:pPr>
              <w:pStyle w:val="TableParagraph"/>
              <w:ind w:left="192"/>
              <w:jc w:val="left"/>
              <w:rPr>
                <w:sz w:val="20"/>
              </w:rPr>
            </w:pPr>
            <w:r>
              <w:rPr>
                <w:sz w:val="20"/>
              </w:rPr>
              <w:t>42.24</w:t>
            </w:r>
          </w:p>
        </w:tc>
        <w:tc>
          <w:tcPr>
            <w:tcW w:w="840" w:type="dxa"/>
          </w:tcPr>
          <w:p>
            <w:pPr>
              <w:pStyle w:val="TableParagraph"/>
              <w:ind w:left="192"/>
              <w:jc w:val="left"/>
              <w:rPr>
                <w:sz w:val="20"/>
              </w:rPr>
            </w:pPr>
            <w:r>
              <w:rPr>
                <w:sz w:val="20"/>
              </w:rPr>
              <w:t>42.24</w:t>
            </w:r>
          </w:p>
        </w:tc>
        <w:tc>
          <w:tcPr>
            <w:tcW w:w="843" w:type="dxa"/>
          </w:tcPr>
          <w:p>
            <w:pPr>
              <w:pStyle w:val="TableParagraph"/>
              <w:ind w:left="192"/>
              <w:jc w:val="left"/>
              <w:rPr>
                <w:sz w:val="20"/>
              </w:rPr>
            </w:pPr>
            <w:r>
              <w:rPr>
                <w:sz w:val="20"/>
              </w:rPr>
              <w:t>30.50</w:t>
            </w:r>
          </w:p>
        </w:tc>
        <w:tc>
          <w:tcPr>
            <w:tcW w:w="843" w:type="dxa"/>
          </w:tcPr>
          <w:p>
            <w:pPr>
              <w:pStyle w:val="TableParagraph"/>
              <w:ind w:left="194"/>
              <w:jc w:val="left"/>
              <w:rPr>
                <w:sz w:val="20"/>
              </w:rPr>
            </w:pPr>
            <w:r>
              <w:rPr>
                <w:sz w:val="20"/>
              </w:rPr>
              <w:t>30.50</w:t>
            </w:r>
          </w:p>
        </w:tc>
        <w:tc>
          <w:tcPr>
            <w:tcW w:w="840" w:type="dxa"/>
          </w:tcPr>
          <w:p>
            <w:pPr>
              <w:pStyle w:val="TableParagraph"/>
              <w:ind w:left="192"/>
              <w:jc w:val="left"/>
              <w:rPr>
                <w:sz w:val="20"/>
              </w:rPr>
            </w:pPr>
            <w:r>
              <w:rPr>
                <w:sz w:val="20"/>
              </w:rPr>
              <w:t>41.67</w:t>
            </w:r>
          </w:p>
        </w:tc>
        <w:tc>
          <w:tcPr>
            <w:tcW w:w="864" w:type="dxa"/>
          </w:tcPr>
          <w:p>
            <w:pPr>
              <w:pStyle w:val="TableParagraph"/>
              <w:ind w:left="192"/>
              <w:jc w:val="left"/>
              <w:rPr>
                <w:sz w:val="20"/>
              </w:rPr>
            </w:pPr>
            <w:r>
              <w:rPr>
                <w:sz w:val="20"/>
              </w:rPr>
              <w:t>41.67</w:t>
            </w:r>
          </w:p>
        </w:tc>
        <w:tc>
          <w:tcPr>
            <w:tcW w:w="840" w:type="dxa"/>
          </w:tcPr>
          <w:p>
            <w:pPr>
              <w:pStyle w:val="TableParagraph"/>
              <w:ind w:left="269"/>
              <w:jc w:val="left"/>
              <w:rPr>
                <w:sz w:val="20"/>
              </w:rPr>
            </w:pPr>
            <w:r>
              <w:rPr>
                <w:sz w:val="20"/>
              </w:rPr>
              <w:t>0.00</w:t>
            </w:r>
          </w:p>
        </w:tc>
        <w:tc>
          <w:tcPr>
            <w:tcW w:w="819" w:type="dxa"/>
          </w:tcPr>
          <w:p>
            <w:pPr>
              <w:pStyle w:val="TableParagraph"/>
              <w:ind w:left="268"/>
              <w:jc w:val="left"/>
              <w:rPr>
                <w:sz w:val="20"/>
              </w:rPr>
            </w:pPr>
            <w:r>
              <w:rPr>
                <w:sz w:val="20"/>
              </w:rPr>
              <w:t>0.00</w:t>
            </w:r>
          </w:p>
        </w:tc>
        <w:tc>
          <w:tcPr>
            <w:tcW w:w="713" w:type="dxa"/>
          </w:tcPr>
          <w:p>
            <w:pPr>
              <w:pStyle w:val="TableParagraph"/>
              <w:ind w:right="60"/>
              <w:rPr>
                <w:sz w:val="20"/>
              </w:rPr>
            </w:pPr>
            <w:r>
              <w:rPr>
                <w:sz w:val="20"/>
              </w:rPr>
              <w:t>0.00</w:t>
            </w:r>
          </w:p>
        </w:tc>
      </w:tr>
      <w:tr>
        <w:trPr>
          <w:trHeight w:val="295" w:hRule="exact"/>
        </w:trPr>
        <w:tc>
          <w:tcPr>
            <w:tcW w:w="1465" w:type="dxa"/>
          </w:tcPr>
          <w:p>
            <w:pPr>
              <w:pStyle w:val="TableParagraph"/>
              <w:spacing w:before="21"/>
              <w:ind w:left="86"/>
              <w:jc w:val="left"/>
              <w:rPr>
                <w:sz w:val="20"/>
              </w:rPr>
            </w:pPr>
            <w:r>
              <w:rPr>
                <w:sz w:val="20"/>
              </w:rPr>
              <w:t>TEJ_WmFdp</w:t>
            </w:r>
          </w:p>
        </w:tc>
        <w:tc>
          <w:tcPr>
            <w:tcW w:w="844" w:type="dxa"/>
          </w:tcPr>
          <w:p>
            <w:pPr>
              <w:pStyle w:val="TableParagraph"/>
              <w:spacing w:before="21"/>
              <w:ind w:right="190"/>
              <w:rPr>
                <w:sz w:val="20"/>
              </w:rPr>
            </w:pPr>
            <w:r>
              <w:rPr>
                <w:sz w:val="20"/>
              </w:rPr>
              <w:t>49.00</w:t>
            </w:r>
          </w:p>
        </w:tc>
        <w:tc>
          <w:tcPr>
            <w:tcW w:w="840" w:type="dxa"/>
          </w:tcPr>
          <w:p>
            <w:pPr>
              <w:pStyle w:val="TableParagraph"/>
              <w:spacing w:before="21"/>
              <w:ind w:left="192"/>
              <w:jc w:val="left"/>
              <w:rPr>
                <w:sz w:val="20"/>
              </w:rPr>
            </w:pPr>
            <w:r>
              <w:rPr>
                <w:sz w:val="20"/>
              </w:rPr>
              <w:t>43.75</w:t>
            </w:r>
          </w:p>
        </w:tc>
        <w:tc>
          <w:tcPr>
            <w:tcW w:w="840" w:type="dxa"/>
          </w:tcPr>
          <w:p>
            <w:pPr>
              <w:pStyle w:val="TableParagraph"/>
              <w:spacing w:before="21"/>
              <w:ind w:left="192"/>
              <w:jc w:val="left"/>
              <w:rPr>
                <w:sz w:val="20"/>
              </w:rPr>
            </w:pPr>
            <w:r>
              <w:rPr>
                <w:sz w:val="20"/>
              </w:rPr>
              <w:t>43.75</w:t>
            </w:r>
          </w:p>
        </w:tc>
        <w:tc>
          <w:tcPr>
            <w:tcW w:w="843" w:type="dxa"/>
          </w:tcPr>
          <w:p>
            <w:pPr>
              <w:pStyle w:val="TableParagraph"/>
              <w:spacing w:before="21"/>
              <w:ind w:left="192"/>
              <w:jc w:val="left"/>
              <w:rPr>
                <w:sz w:val="20"/>
              </w:rPr>
            </w:pPr>
            <w:r>
              <w:rPr>
                <w:sz w:val="20"/>
              </w:rPr>
              <w:t>28.00</w:t>
            </w:r>
          </w:p>
        </w:tc>
        <w:tc>
          <w:tcPr>
            <w:tcW w:w="843" w:type="dxa"/>
          </w:tcPr>
          <w:p>
            <w:pPr>
              <w:pStyle w:val="TableParagraph"/>
              <w:spacing w:before="21"/>
              <w:ind w:left="194"/>
              <w:jc w:val="left"/>
              <w:rPr>
                <w:sz w:val="20"/>
              </w:rPr>
            </w:pPr>
            <w:r>
              <w:rPr>
                <w:sz w:val="20"/>
              </w:rPr>
              <w:t>28.00</w:t>
            </w:r>
          </w:p>
        </w:tc>
        <w:tc>
          <w:tcPr>
            <w:tcW w:w="840" w:type="dxa"/>
          </w:tcPr>
          <w:p>
            <w:pPr>
              <w:pStyle w:val="TableParagraph"/>
              <w:spacing w:before="21"/>
              <w:ind w:left="192"/>
              <w:jc w:val="left"/>
              <w:rPr>
                <w:sz w:val="20"/>
              </w:rPr>
            </w:pPr>
            <w:r>
              <w:rPr>
                <w:sz w:val="20"/>
              </w:rPr>
              <w:t>28.00</w:t>
            </w:r>
          </w:p>
        </w:tc>
        <w:tc>
          <w:tcPr>
            <w:tcW w:w="864" w:type="dxa"/>
          </w:tcPr>
          <w:p>
            <w:pPr>
              <w:pStyle w:val="TableParagraph"/>
              <w:spacing w:before="21"/>
              <w:ind w:left="192"/>
              <w:jc w:val="left"/>
              <w:rPr>
                <w:sz w:val="20"/>
              </w:rPr>
            </w:pPr>
            <w:r>
              <w:rPr>
                <w:sz w:val="20"/>
              </w:rPr>
              <w:t>28.00</w:t>
            </w:r>
          </w:p>
        </w:tc>
        <w:tc>
          <w:tcPr>
            <w:tcW w:w="840" w:type="dxa"/>
          </w:tcPr>
          <w:p>
            <w:pPr>
              <w:pStyle w:val="TableParagraph"/>
              <w:spacing w:before="21"/>
              <w:ind w:left="269"/>
              <w:jc w:val="left"/>
              <w:rPr>
                <w:sz w:val="20"/>
              </w:rPr>
            </w:pPr>
            <w:r>
              <w:rPr>
                <w:sz w:val="20"/>
              </w:rPr>
              <w:t>0.00</w:t>
            </w:r>
          </w:p>
        </w:tc>
        <w:tc>
          <w:tcPr>
            <w:tcW w:w="819" w:type="dxa"/>
          </w:tcPr>
          <w:p>
            <w:pPr>
              <w:pStyle w:val="TableParagraph"/>
              <w:spacing w:before="21"/>
              <w:ind w:left="268"/>
              <w:jc w:val="left"/>
              <w:rPr>
                <w:sz w:val="20"/>
              </w:rPr>
            </w:pPr>
            <w:r>
              <w:rPr>
                <w:sz w:val="20"/>
              </w:rPr>
              <w:t>0.00</w:t>
            </w:r>
          </w:p>
        </w:tc>
        <w:tc>
          <w:tcPr>
            <w:tcW w:w="713" w:type="dxa"/>
          </w:tcPr>
          <w:p>
            <w:pPr>
              <w:pStyle w:val="TableParagraph"/>
              <w:spacing w:before="21"/>
              <w:ind w:right="60"/>
              <w:rPr>
                <w:sz w:val="20"/>
              </w:rPr>
            </w:pPr>
            <w:r>
              <w:rPr>
                <w:sz w:val="20"/>
              </w:rPr>
              <w:t>0.00</w:t>
            </w:r>
          </w:p>
        </w:tc>
      </w:tr>
      <w:tr>
        <w:trPr>
          <w:trHeight w:val="268" w:hRule="exact"/>
        </w:trPr>
        <w:tc>
          <w:tcPr>
            <w:tcW w:w="1465" w:type="dxa"/>
            <w:tcBorders>
              <w:bottom w:val="single" w:sz="4" w:space="0" w:color="000000"/>
            </w:tcBorders>
          </w:tcPr>
          <w:p>
            <w:pPr>
              <w:pStyle w:val="TableParagraph"/>
              <w:ind w:left="86"/>
              <w:jc w:val="left"/>
              <w:rPr>
                <w:sz w:val="20"/>
              </w:rPr>
            </w:pPr>
            <w:r>
              <w:rPr>
                <w:sz w:val="20"/>
              </w:rPr>
              <w:t>TEJ_WmSF</w:t>
            </w:r>
          </w:p>
        </w:tc>
        <w:tc>
          <w:tcPr>
            <w:tcW w:w="844" w:type="dxa"/>
            <w:tcBorders>
              <w:bottom w:val="single" w:sz="4" w:space="0" w:color="000000"/>
            </w:tcBorders>
          </w:tcPr>
          <w:p>
            <w:pPr>
              <w:pStyle w:val="TableParagraph"/>
              <w:ind w:right="190"/>
              <w:rPr>
                <w:sz w:val="20"/>
              </w:rPr>
            </w:pPr>
            <w:r>
              <w:rPr>
                <w:sz w:val="20"/>
              </w:rPr>
              <w:t>47.20</w:t>
            </w:r>
          </w:p>
        </w:tc>
        <w:tc>
          <w:tcPr>
            <w:tcW w:w="840" w:type="dxa"/>
            <w:tcBorders>
              <w:bottom w:val="single" w:sz="4" w:space="0" w:color="000000"/>
            </w:tcBorders>
          </w:tcPr>
          <w:p>
            <w:pPr>
              <w:pStyle w:val="TableParagraph"/>
              <w:ind w:left="192"/>
              <w:jc w:val="left"/>
              <w:rPr>
                <w:sz w:val="20"/>
              </w:rPr>
            </w:pPr>
            <w:r>
              <w:rPr>
                <w:sz w:val="20"/>
              </w:rPr>
              <w:t>47.82</w:t>
            </w:r>
          </w:p>
        </w:tc>
        <w:tc>
          <w:tcPr>
            <w:tcW w:w="840" w:type="dxa"/>
            <w:tcBorders>
              <w:bottom w:val="single" w:sz="4" w:space="0" w:color="000000"/>
            </w:tcBorders>
          </w:tcPr>
          <w:p>
            <w:pPr>
              <w:pStyle w:val="TableParagraph"/>
              <w:ind w:left="192"/>
              <w:jc w:val="left"/>
              <w:rPr>
                <w:sz w:val="20"/>
              </w:rPr>
            </w:pPr>
            <w:r>
              <w:rPr>
                <w:sz w:val="20"/>
              </w:rPr>
              <w:t>45.16</w:t>
            </w:r>
          </w:p>
        </w:tc>
        <w:tc>
          <w:tcPr>
            <w:tcW w:w="843" w:type="dxa"/>
            <w:tcBorders>
              <w:bottom w:val="single" w:sz="4" w:space="0" w:color="000000"/>
            </w:tcBorders>
          </w:tcPr>
          <w:p>
            <w:pPr>
              <w:pStyle w:val="TableParagraph"/>
              <w:ind w:left="192"/>
              <w:jc w:val="left"/>
              <w:rPr>
                <w:sz w:val="20"/>
              </w:rPr>
            </w:pPr>
            <w:r>
              <w:rPr>
                <w:sz w:val="20"/>
              </w:rPr>
              <w:t>47.33</w:t>
            </w:r>
          </w:p>
        </w:tc>
        <w:tc>
          <w:tcPr>
            <w:tcW w:w="843" w:type="dxa"/>
            <w:tcBorders>
              <w:bottom w:val="single" w:sz="4" w:space="0" w:color="000000"/>
            </w:tcBorders>
          </w:tcPr>
          <w:p>
            <w:pPr>
              <w:pStyle w:val="TableParagraph"/>
              <w:ind w:left="194"/>
              <w:jc w:val="left"/>
              <w:rPr>
                <w:sz w:val="20"/>
              </w:rPr>
            </w:pPr>
            <w:r>
              <w:rPr>
                <w:sz w:val="20"/>
              </w:rPr>
              <w:t>38.00</w:t>
            </w:r>
          </w:p>
        </w:tc>
        <w:tc>
          <w:tcPr>
            <w:tcW w:w="840" w:type="dxa"/>
            <w:tcBorders>
              <w:bottom w:val="single" w:sz="4" w:space="0" w:color="000000"/>
            </w:tcBorders>
          </w:tcPr>
          <w:p>
            <w:pPr>
              <w:pStyle w:val="TableParagraph"/>
              <w:ind w:left="192"/>
              <w:jc w:val="left"/>
              <w:rPr>
                <w:sz w:val="20"/>
              </w:rPr>
            </w:pPr>
            <w:r>
              <w:rPr>
                <w:sz w:val="20"/>
              </w:rPr>
              <w:t>38.00</w:t>
            </w:r>
          </w:p>
        </w:tc>
        <w:tc>
          <w:tcPr>
            <w:tcW w:w="864" w:type="dxa"/>
            <w:tcBorders>
              <w:bottom w:val="single" w:sz="4" w:space="0" w:color="000000"/>
            </w:tcBorders>
          </w:tcPr>
          <w:p>
            <w:pPr>
              <w:pStyle w:val="TableParagraph"/>
              <w:ind w:left="192"/>
              <w:jc w:val="left"/>
              <w:rPr>
                <w:sz w:val="20"/>
              </w:rPr>
            </w:pPr>
            <w:r>
              <w:rPr>
                <w:sz w:val="20"/>
              </w:rPr>
              <w:t>38.00</w:t>
            </w:r>
          </w:p>
        </w:tc>
        <w:tc>
          <w:tcPr>
            <w:tcW w:w="840" w:type="dxa"/>
            <w:tcBorders>
              <w:bottom w:val="single" w:sz="4" w:space="0" w:color="000000"/>
            </w:tcBorders>
          </w:tcPr>
          <w:p>
            <w:pPr>
              <w:pStyle w:val="TableParagraph"/>
              <w:ind w:left="269"/>
              <w:jc w:val="left"/>
              <w:rPr>
                <w:sz w:val="20"/>
              </w:rPr>
            </w:pPr>
            <w:r>
              <w:rPr>
                <w:sz w:val="20"/>
              </w:rPr>
              <w:t>0.00</w:t>
            </w:r>
          </w:p>
        </w:tc>
        <w:tc>
          <w:tcPr>
            <w:tcW w:w="819" w:type="dxa"/>
            <w:tcBorders>
              <w:bottom w:val="single" w:sz="4" w:space="0" w:color="000000"/>
            </w:tcBorders>
          </w:tcPr>
          <w:p>
            <w:pPr>
              <w:pStyle w:val="TableParagraph"/>
              <w:ind w:left="268"/>
              <w:jc w:val="left"/>
              <w:rPr>
                <w:sz w:val="20"/>
              </w:rPr>
            </w:pPr>
            <w:r>
              <w:rPr>
                <w:sz w:val="20"/>
              </w:rPr>
              <w:t>0.00</w:t>
            </w:r>
          </w:p>
        </w:tc>
        <w:tc>
          <w:tcPr>
            <w:tcW w:w="713" w:type="dxa"/>
            <w:tcBorders>
              <w:bottom w:val="single" w:sz="4" w:space="0" w:color="000000"/>
            </w:tcBorders>
          </w:tcPr>
          <w:p>
            <w:pPr>
              <w:pStyle w:val="TableParagraph"/>
              <w:ind w:right="60"/>
              <w:rPr>
                <w:sz w:val="20"/>
              </w:rPr>
            </w:pPr>
            <w:r>
              <w:rPr>
                <w:sz w:val="20"/>
              </w:rPr>
              <w:t>0.00</w:t>
            </w:r>
          </w:p>
        </w:tc>
      </w:tr>
    </w:tbl>
    <w:p>
      <w:pPr>
        <w:pStyle w:val="BodyText"/>
        <w:rPr>
          <w:sz w:val="20"/>
        </w:rPr>
      </w:pPr>
    </w:p>
    <w:p>
      <w:pPr>
        <w:pStyle w:val="BodyText"/>
        <w:spacing w:before="9"/>
        <w:rPr>
          <w:sz w:val="25"/>
        </w:rPr>
      </w:pPr>
    </w:p>
    <w:p>
      <w:pPr>
        <w:spacing w:before="66"/>
        <w:ind w:left="3061" w:right="0" w:firstLine="0"/>
        <w:jc w:val="left"/>
        <w:rPr>
          <w:b/>
          <w:sz w:val="26"/>
        </w:rPr>
      </w:pPr>
      <w:bookmarkStart w:name="_bookmark156" w:id="215"/>
      <w:bookmarkEnd w:id="215"/>
      <w:r>
        <w:rPr/>
      </w:r>
      <w:r>
        <w:rPr>
          <w:b/>
          <w:sz w:val="24"/>
        </w:rPr>
        <w:t>Tabla 19. </w:t>
      </w:r>
      <w:r>
        <w:rPr>
          <w:b/>
          <w:sz w:val="26"/>
        </w:rPr>
        <w:t>Contenido de limo del suelo</w:t>
      </w:r>
    </w:p>
    <w:p>
      <w:pPr>
        <w:pStyle w:val="BodyText"/>
        <w:rPr>
          <w:b/>
          <w:sz w:val="20"/>
        </w:rPr>
      </w:pPr>
    </w:p>
    <w:p>
      <w:pPr>
        <w:pStyle w:val="BodyText"/>
        <w:spacing w:before="10" w:after="1"/>
        <w:rPr>
          <w:b/>
          <w:sz w:val="23"/>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68"/>
        <w:gridCol w:w="777"/>
        <w:gridCol w:w="819"/>
        <w:gridCol w:w="819"/>
        <w:gridCol w:w="817"/>
        <w:gridCol w:w="819"/>
        <w:gridCol w:w="819"/>
        <w:gridCol w:w="850"/>
        <w:gridCol w:w="819"/>
        <w:gridCol w:w="790"/>
        <w:gridCol w:w="699"/>
      </w:tblGrid>
      <w:tr>
        <w:trPr>
          <w:trHeight w:val="395" w:hRule="exact"/>
        </w:trPr>
        <w:tc>
          <w:tcPr>
            <w:tcW w:w="1468" w:type="dxa"/>
            <w:tcBorders>
              <w:left w:val="nil"/>
              <w:bottom w:val="nil"/>
              <w:right w:val="nil"/>
            </w:tcBorders>
          </w:tcPr>
          <w:p>
            <w:pPr>
              <w:pStyle w:val="TableParagraph"/>
              <w:spacing w:before="178"/>
              <w:ind w:left="148"/>
              <w:jc w:val="left"/>
              <w:rPr>
                <w:sz w:val="20"/>
              </w:rPr>
            </w:pPr>
            <w:r>
              <w:rPr>
                <w:sz w:val="20"/>
              </w:rPr>
              <w:t>Nombre/Clave</w:t>
            </w:r>
          </w:p>
        </w:tc>
        <w:tc>
          <w:tcPr>
            <w:tcW w:w="777" w:type="dxa"/>
            <w:tcBorders>
              <w:left w:val="nil"/>
              <w:bottom w:val="nil"/>
              <w:right w:val="nil"/>
            </w:tcBorders>
          </w:tcPr>
          <w:p>
            <w:pPr/>
          </w:p>
        </w:tc>
        <w:tc>
          <w:tcPr>
            <w:tcW w:w="819" w:type="dxa"/>
            <w:tcBorders>
              <w:left w:val="nil"/>
              <w:bottom w:val="nil"/>
              <w:right w:val="nil"/>
            </w:tcBorders>
          </w:tcPr>
          <w:p>
            <w:pPr/>
          </w:p>
        </w:tc>
        <w:tc>
          <w:tcPr>
            <w:tcW w:w="819" w:type="dxa"/>
            <w:tcBorders>
              <w:left w:val="nil"/>
              <w:bottom w:val="nil"/>
              <w:right w:val="nil"/>
            </w:tcBorders>
          </w:tcPr>
          <w:p>
            <w:pPr/>
          </w:p>
        </w:tc>
        <w:tc>
          <w:tcPr>
            <w:tcW w:w="2454" w:type="dxa"/>
            <w:gridSpan w:val="3"/>
            <w:tcBorders>
              <w:left w:val="nil"/>
              <w:bottom w:val="nil"/>
              <w:right w:val="nil"/>
            </w:tcBorders>
          </w:tcPr>
          <w:p>
            <w:pPr>
              <w:pStyle w:val="TableParagraph"/>
              <w:spacing w:before="63"/>
              <w:ind w:left="732" w:right="-22"/>
              <w:jc w:val="left"/>
              <w:rPr>
                <w:sz w:val="20"/>
              </w:rPr>
            </w:pPr>
            <w:r>
              <w:rPr>
                <w:sz w:val="20"/>
              </w:rPr>
              <w:t>N° de capas del</w:t>
            </w:r>
            <w:r>
              <w:rPr>
                <w:spacing w:val="-1"/>
                <w:sz w:val="20"/>
              </w:rPr>
              <w:t> </w:t>
            </w:r>
            <w:r>
              <w:rPr>
                <w:sz w:val="20"/>
              </w:rPr>
              <w:t>suelo</w:t>
            </w:r>
          </w:p>
        </w:tc>
        <w:tc>
          <w:tcPr>
            <w:tcW w:w="850" w:type="dxa"/>
            <w:tcBorders>
              <w:left w:val="nil"/>
              <w:bottom w:val="nil"/>
              <w:right w:val="nil"/>
            </w:tcBorders>
          </w:tcPr>
          <w:p>
            <w:pPr/>
          </w:p>
        </w:tc>
        <w:tc>
          <w:tcPr>
            <w:tcW w:w="819" w:type="dxa"/>
            <w:tcBorders>
              <w:left w:val="nil"/>
              <w:bottom w:val="nil"/>
              <w:right w:val="nil"/>
            </w:tcBorders>
          </w:tcPr>
          <w:p>
            <w:pPr/>
          </w:p>
        </w:tc>
        <w:tc>
          <w:tcPr>
            <w:tcW w:w="790" w:type="dxa"/>
            <w:tcBorders>
              <w:left w:val="nil"/>
              <w:bottom w:val="nil"/>
              <w:right w:val="nil"/>
            </w:tcBorders>
          </w:tcPr>
          <w:p>
            <w:pPr/>
          </w:p>
        </w:tc>
        <w:tc>
          <w:tcPr>
            <w:tcW w:w="699" w:type="dxa"/>
            <w:tcBorders>
              <w:left w:val="nil"/>
              <w:bottom w:val="nil"/>
              <w:right w:val="nil"/>
            </w:tcBorders>
          </w:tcPr>
          <w:p>
            <w:pPr/>
          </w:p>
        </w:tc>
      </w:tr>
      <w:tr>
        <w:trPr>
          <w:trHeight w:val="215" w:hRule="exact"/>
        </w:trPr>
        <w:tc>
          <w:tcPr>
            <w:tcW w:w="1468" w:type="dxa"/>
            <w:tcBorders>
              <w:top w:val="nil"/>
              <w:left w:val="nil"/>
              <w:right w:val="nil"/>
            </w:tcBorders>
          </w:tcPr>
          <w:p>
            <w:pPr/>
          </w:p>
        </w:tc>
        <w:tc>
          <w:tcPr>
            <w:tcW w:w="777" w:type="dxa"/>
            <w:tcBorders>
              <w:top w:val="nil"/>
              <w:left w:val="nil"/>
              <w:right w:val="nil"/>
            </w:tcBorders>
          </w:tcPr>
          <w:p>
            <w:pPr>
              <w:pStyle w:val="TableParagraph"/>
              <w:spacing w:line="201" w:lineRule="exact" w:before="0"/>
              <w:ind w:right="123"/>
              <w:jc w:val="center"/>
              <w:rPr>
                <w:sz w:val="20"/>
              </w:rPr>
            </w:pPr>
            <w:r>
              <w:rPr>
                <w:w w:val="100"/>
                <w:sz w:val="20"/>
              </w:rPr>
              <w:t>1</w:t>
            </w:r>
          </w:p>
        </w:tc>
        <w:tc>
          <w:tcPr>
            <w:tcW w:w="819" w:type="dxa"/>
            <w:tcBorders>
              <w:top w:val="nil"/>
              <w:left w:val="nil"/>
              <w:right w:val="nil"/>
            </w:tcBorders>
          </w:tcPr>
          <w:p>
            <w:pPr>
              <w:pStyle w:val="TableParagraph"/>
              <w:spacing w:line="201" w:lineRule="exact" w:before="0"/>
              <w:ind w:left="242"/>
              <w:jc w:val="left"/>
              <w:rPr>
                <w:sz w:val="20"/>
              </w:rPr>
            </w:pPr>
            <w:r>
              <w:rPr>
                <w:w w:val="100"/>
                <w:sz w:val="20"/>
              </w:rPr>
              <w:t>2</w:t>
            </w:r>
          </w:p>
        </w:tc>
        <w:tc>
          <w:tcPr>
            <w:tcW w:w="819" w:type="dxa"/>
            <w:tcBorders>
              <w:top w:val="nil"/>
              <w:left w:val="nil"/>
              <w:right w:val="nil"/>
            </w:tcBorders>
          </w:tcPr>
          <w:p>
            <w:pPr>
              <w:pStyle w:val="TableParagraph"/>
              <w:spacing w:line="201" w:lineRule="exact" w:before="0"/>
              <w:ind w:left="244"/>
              <w:jc w:val="left"/>
              <w:rPr>
                <w:sz w:val="20"/>
              </w:rPr>
            </w:pPr>
            <w:r>
              <w:rPr>
                <w:w w:val="100"/>
                <w:sz w:val="20"/>
              </w:rPr>
              <w:t>3</w:t>
            </w:r>
          </w:p>
        </w:tc>
        <w:tc>
          <w:tcPr>
            <w:tcW w:w="817" w:type="dxa"/>
            <w:tcBorders>
              <w:top w:val="nil"/>
              <w:left w:val="nil"/>
              <w:right w:val="nil"/>
            </w:tcBorders>
          </w:tcPr>
          <w:p>
            <w:pPr>
              <w:pStyle w:val="TableParagraph"/>
              <w:spacing w:line="201" w:lineRule="exact" w:before="0"/>
              <w:ind w:left="242"/>
              <w:jc w:val="left"/>
              <w:rPr>
                <w:sz w:val="20"/>
              </w:rPr>
            </w:pPr>
            <w:r>
              <w:rPr>
                <w:w w:val="100"/>
                <w:sz w:val="20"/>
              </w:rPr>
              <w:t>4</w:t>
            </w:r>
          </w:p>
        </w:tc>
        <w:tc>
          <w:tcPr>
            <w:tcW w:w="819" w:type="dxa"/>
            <w:tcBorders>
              <w:top w:val="nil"/>
              <w:left w:val="nil"/>
              <w:right w:val="nil"/>
            </w:tcBorders>
          </w:tcPr>
          <w:p>
            <w:pPr>
              <w:pStyle w:val="TableParagraph"/>
              <w:spacing w:line="201" w:lineRule="exact" w:before="0"/>
              <w:ind w:left="242"/>
              <w:jc w:val="left"/>
              <w:rPr>
                <w:sz w:val="20"/>
              </w:rPr>
            </w:pPr>
            <w:r>
              <w:rPr>
                <w:w w:val="100"/>
                <w:sz w:val="20"/>
              </w:rPr>
              <w:t>5</w:t>
            </w:r>
          </w:p>
        </w:tc>
        <w:tc>
          <w:tcPr>
            <w:tcW w:w="819" w:type="dxa"/>
            <w:tcBorders>
              <w:top w:val="nil"/>
              <w:left w:val="nil"/>
              <w:right w:val="nil"/>
            </w:tcBorders>
          </w:tcPr>
          <w:p>
            <w:pPr>
              <w:pStyle w:val="TableParagraph"/>
              <w:spacing w:line="201" w:lineRule="exact" w:before="0"/>
              <w:ind w:left="244"/>
              <w:jc w:val="left"/>
              <w:rPr>
                <w:sz w:val="20"/>
              </w:rPr>
            </w:pPr>
            <w:r>
              <w:rPr>
                <w:w w:val="100"/>
                <w:sz w:val="20"/>
              </w:rPr>
              <w:t>6</w:t>
            </w:r>
          </w:p>
        </w:tc>
        <w:tc>
          <w:tcPr>
            <w:tcW w:w="850" w:type="dxa"/>
            <w:tcBorders>
              <w:top w:val="nil"/>
              <w:left w:val="nil"/>
              <w:right w:val="nil"/>
            </w:tcBorders>
          </w:tcPr>
          <w:p>
            <w:pPr>
              <w:pStyle w:val="TableParagraph"/>
              <w:spacing w:line="201" w:lineRule="exact" w:before="0"/>
              <w:ind w:left="242"/>
              <w:jc w:val="left"/>
              <w:rPr>
                <w:sz w:val="20"/>
              </w:rPr>
            </w:pPr>
            <w:r>
              <w:rPr>
                <w:w w:val="100"/>
                <w:sz w:val="20"/>
              </w:rPr>
              <w:t>7</w:t>
            </w:r>
          </w:p>
        </w:tc>
        <w:tc>
          <w:tcPr>
            <w:tcW w:w="819" w:type="dxa"/>
            <w:tcBorders>
              <w:top w:val="nil"/>
              <w:left w:val="nil"/>
              <w:right w:val="nil"/>
            </w:tcBorders>
          </w:tcPr>
          <w:p>
            <w:pPr>
              <w:pStyle w:val="TableParagraph"/>
              <w:spacing w:line="201" w:lineRule="exact" w:before="0"/>
              <w:ind w:left="213"/>
              <w:jc w:val="left"/>
              <w:rPr>
                <w:sz w:val="20"/>
              </w:rPr>
            </w:pPr>
            <w:r>
              <w:rPr>
                <w:w w:val="100"/>
                <w:sz w:val="20"/>
              </w:rPr>
              <w:t>8</w:t>
            </w:r>
          </w:p>
        </w:tc>
        <w:tc>
          <w:tcPr>
            <w:tcW w:w="790" w:type="dxa"/>
            <w:tcBorders>
              <w:top w:val="nil"/>
              <w:left w:val="nil"/>
              <w:right w:val="nil"/>
            </w:tcBorders>
          </w:tcPr>
          <w:p>
            <w:pPr>
              <w:pStyle w:val="TableParagraph"/>
              <w:spacing w:line="201" w:lineRule="exact" w:before="0"/>
              <w:ind w:left="211"/>
              <w:jc w:val="left"/>
              <w:rPr>
                <w:sz w:val="20"/>
              </w:rPr>
            </w:pPr>
            <w:r>
              <w:rPr>
                <w:w w:val="100"/>
                <w:sz w:val="20"/>
              </w:rPr>
              <w:t>9</w:t>
            </w:r>
          </w:p>
        </w:tc>
        <w:tc>
          <w:tcPr>
            <w:tcW w:w="699" w:type="dxa"/>
            <w:tcBorders>
              <w:top w:val="nil"/>
              <w:left w:val="nil"/>
              <w:right w:val="nil"/>
            </w:tcBorders>
          </w:tcPr>
          <w:p>
            <w:pPr>
              <w:pStyle w:val="TableParagraph"/>
              <w:spacing w:line="201" w:lineRule="exact" w:before="0"/>
              <w:ind w:left="185"/>
              <w:jc w:val="left"/>
              <w:rPr>
                <w:sz w:val="20"/>
              </w:rPr>
            </w:pPr>
            <w:r>
              <w:rPr>
                <w:sz w:val="20"/>
              </w:rPr>
              <w:t>10</w:t>
            </w:r>
          </w:p>
        </w:tc>
      </w:tr>
      <w:tr>
        <w:trPr>
          <w:trHeight w:val="342" w:hRule="exact"/>
        </w:trPr>
        <w:tc>
          <w:tcPr>
            <w:tcW w:w="1468" w:type="dxa"/>
            <w:tcBorders>
              <w:left w:val="nil"/>
              <w:bottom w:val="nil"/>
              <w:right w:val="nil"/>
            </w:tcBorders>
          </w:tcPr>
          <w:p>
            <w:pPr>
              <w:pStyle w:val="TableParagraph"/>
              <w:spacing w:before="63"/>
              <w:ind w:left="86"/>
              <w:jc w:val="left"/>
              <w:rPr>
                <w:sz w:val="20"/>
              </w:rPr>
            </w:pPr>
            <w:r>
              <w:rPr>
                <w:sz w:val="20"/>
              </w:rPr>
              <w:t>TEJ_HhFd</w:t>
            </w:r>
          </w:p>
        </w:tc>
        <w:tc>
          <w:tcPr>
            <w:tcW w:w="777" w:type="dxa"/>
            <w:tcBorders>
              <w:left w:val="nil"/>
              <w:bottom w:val="nil"/>
              <w:right w:val="nil"/>
            </w:tcBorders>
          </w:tcPr>
          <w:p>
            <w:pPr>
              <w:pStyle w:val="TableParagraph"/>
              <w:spacing w:before="63"/>
              <w:ind w:left="125" w:right="162"/>
              <w:jc w:val="center"/>
              <w:rPr>
                <w:sz w:val="20"/>
              </w:rPr>
            </w:pPr>
            <w:r>
              <w:rPr>
                <w:sz w:val="20"/>
              </w:rPr>
              <w:t>21.70</w:t>
            </w:r>
          </w:p>
        </w:tc>
        <w:tc>
          <w:tcPr>
            <w:tcW w:w="819" w:type="dxa"/>
            <w:tcBorders>
              <w:left w:val="nil"/>
              <w:bottom w:val="nil"/>
              <w:right w:val="nil"/>
            </w:tcBorders>
          </w:tcPr>
          <w:p>
            <w:pPr>
              <w:pStyle w:val="TableParagraph"/>
              <w:spacing w:before="63"/>
              <w:ind w:left="180"/>
              <w:jc w:val="left"/>
              <w:rPr>
                <w:sz w:val="20"/>
              </w:rPr>
            </w:pPr>
            <w:r>
              <w:rPr>
                <w:sz w:val="20"/>
              </w:rPr>
              <w:t>23.03</w:t>
            </w:r>
          </w:p>
        </w:tc>
        <w:tc>
          <w:tcPr>
            <w:tcW w:w="819" w:type="dxa"/>
            <w:tcBorders>
              <w:left w:val="nil"/>
              <w:bottom w:val="nil"/>
              <w:right w:val="nil"/>
            </w:tcBorders>
          </w:tcPr>
          <w:p>
            <w:pPr>
              <w:pStyle w:val="TableParagraph"/>
              <w:spacing w:before="63"/>
              <w:ind w:left="182"/>
              <w:jc w:val="left"/>
              <w:rPr>
                <w:sz w:val="20"/>
              </w:rPr>
            </w:pPr>
            <w:r>
              <w:rPr>
                <w:sz w:val="20"/>
              </w:rPr>
              <w:t>23.70</w:t>
            </w:r>
          </w:p>
        </w:tc>
        <w:tc>
          <w:tcPr>
            <w:tcW w:w="817" w:type="dxa"/>
            <w:tcBorders>
              <w:left w:val="nil"/>
              <w:bottom w:val="nil"/>
              <w:right w:val="nil"/>
            </w:tcBorders>
          </w:tcPr>
          <w:p>
            <w:pPr>
              <w:pStyle w:val="TableParagraph"/>
              <w:spacing w:before="63"/>
              <w:ind w:left="180"/>
              <w:jc w:val="left"/>
              <w:rPr>
                <w:sz w:val="20"/>
              </w:rPr>
            </w:pPr>
            <w:r>
              <w:rPr>
                <w:sz w:val="20"/>
              </w:rPr>
              <w:t>24.87</w:t>
            </w:r>
          </w:p>
        </w:tc>
        <w:tc>
          <w:tcPr>
            <w:tcW w:w="819" w:type="dxa"/>
            <w:tcBorders>
              <w:left w:val="nil"/>
              <w:bottom w:val="nil"/>
              <w:right w:val="nil"/>
            </w:tcBorders>
          </w:tcPr>
          <w:p>
            <w:pPr>
              <w:pStyle w:val="TableParagraph"/>
              <w:spacing w:before="63"/>
              <w:ind w:left="180"/>
              <w:jc w:val="left"/>
              <w:rPr>
                <w:sz w:val="20"/>
              </w:rPr>
            </w:pPr>
            <w:r>
              <w:rPr>
                <w:sz w:val="20"/>
              </w:rPr>
              <w:t>26.08</w:t>
            </w:r>
          </w:p>
        </w:tc>
        <w:tc>
          <w:tcPr>
            <w:tcW w:w="819" w:type="dxa"/>
            <w:tcBorders>
              <w:left w:val="nil"/>
              <w:bottom w:val="nil"/>
              <w:right w:val="nil"/>
            </w:tcBorders>
          </w:tcPr>
          <w:p>
            <w:pPr>
              <w:pStyle w:val="TableParagraph"/>
              <w:spacing w:before="63"/>
              <w:ind w:left="182"/>
              <w:jc w:val="left"/>
              <w:rPr>
                <w:sz w:val="20"/>
              </w:rPr>
            </w:pPr>
            <w:r>
              <w:rPr>
                <w:sz w:val="20"/>
              </w:rPr>
              <w:t>25.15</w:t>
            </w:r>
          </w:p>
        </w:tc>
        <w:tc>
          <w:tcPr>
            <w:tcW w:w="850" w:type="dxa"/>
            <w:tcBorders>
              <w:left w:val="nil"/>
              <w:bottom w:val="nil"/>
              <w:right w:val="nil"/>
            </w:tcBorders>
          </w:tcPr>
          <w:p>
            <w:pPr>
              <w:pStyle w:val="TableParagraph"/>
              <w:spacing w:before="63"/>
              <w:ind w:left="180"/>
              <w:jc w:val="left"/>
              <w:rPr>
                <w:sz w:val="20"/>
              </w:rPr>
            </w:pPr>
            <w:r>
              <w:rPr>
                <w:sz w:val="20"/>
              </w:rPr>
              <w:t>25.95</w:t>
            </w:r>
          </w:p>
        </w:tc>
        <w:tc>
          <w:tcPr>
            <w:tcW w:w="819" w:type="dxa"/>
            <w:tcBorders>
              <w:left w:val="nil"/>
              <w:bottom w:val="nil"/>
              <w:right w:val="nil"/>
            </w:tcBorders>
          </w:tcPr>
          <w:p>
            <w:pPr>
              <w:pStyle w:val="TableParagraph"/>
              <w:spacing w:before="63"/>
              <w:ind w:left="252"/>
              <w:jc w:val="left"/>
              <w:rPr>
                <w:sz w:val="20"/>
              </w:rPr>
            </w:pPr>
            <w:r>
              <w:rPr>
                <w:sz w:val="20"/>
              </w:rPr>
              <w:t>0.00</w:t>
            </w:r>
          </w:p>
        </w:tc>
        <w:tc>
          <w:tcPr>
            <w:tcW w:w="790" w:type="dxa"/>
            <w:tcBorders>
              <w:left w:val="nil"/>
              <w:bottom w:val="nil"/>
              <w:right w:val="nil"/>
            </w:tcBorders>
          </w:tcPr>
          <w:p>
            <w:pPr>
              <w:pStyle w:val="TableParagraph"/>
              <w:spacing w:before="63"/>
              <w:ind w:left="249"/>
              <w:jc w:val="left"/>
              <w:rPr>
                <w:sz w:val="20"/>
              </w:rPr>
            </w:pPr>
            <w:r>
              <w:rPr>
                <w:sz w:val="20"/>
              </w:rPr>
              <w:t>0.00</w:t>
            </w:r>
          </w:p>
        </w:tc>
        <w:tc>
          <w:tcPr>
            <w:tcW w:w="699" w:type="dxa"/>
            <w:tcBorders>
              <w:left w:val="nil"/>
              <w:bottom w:val="nil"/>
              <w:right w:val="nil"/>
            </w:tcBorders>
          </w:tcPr>
          <w:p>
            <w:pPr>
              <w:pStyle w:val="TableParagraph"/>
              <w:spacing w:before="63"/>
              <w:ind w:right="65"/>
              <w:rPr>
                <w:sz w:val="20"/>
              </w:rPr>
            </w:pPr>
            <w:r>
              <w:rPr>
                <w:sz w:val="20"/>
              </w:rPr>
              <w:t>0.00</w:t>
            </w:r>
          </w:p>
        </w:tc>
      </w:tr>
      <w:tr>
        <w:trPr>
          <w:trHeight w:val="300" w:hRule="exact"/>
        </w:trPr>
        <w:tc>
          <w:tcPr>
            <w:tcW w:w="1468" w:type="dxa"/>
            <w:tcBorders>
              <w:top w:val="nil"/>
              <w:left w:val="nil"/>
              <w:bottom w:val="nil"/>
              <w:right w:val="nil"/>
            </w:tcBorders>
          </w:tcPr>
          <w:p>
            <w:pPr>
              <w:pStyle w:val="TableParagraph"/>
              <w:ind w:left="86"/>
              <w:jc w:val="left"/>
              <w:rPr>
                <w:sz w:val="20"/>
              </w:rPr>
            </w:pPr>
            <w:r>
              <w:rPr>
                <w:sz w:val="20"/>
              </w:rPr>
              <w:t>TEJ_HhFdp</w:t>
            </w:r>
          </w:p>
        </w:tc>
        <w:tc>
          <w:tcPr>
            <w:tcW w:w="777" w:type="dxa"/>
            <w:tcBorders>
              <w:top w:val="nil"/>
              <w:left w:val="nil"/>
              <w:bottom w:val="nil"/>
              <w:right w:val="nil"/>
            </w:tcBorders>
          </w:tcPr>
          <w:p>
            <w:pPr>
              <w:pStyle w:val="TableParagraph"/>
              <w:ind w:left="125" w:right="162"/>
              <w:jc w:val="center"/>
              <w:rPr>
                <w:sz w:val="20"/>
              </w:rPr>
            </w:pPr>
            <w:r>
              <w:rPr>
                <w:sz w:val="20"/>
              </w:rPr>
              <w:t>28.00</w:t>
            </w:r>
          </w:p>
        </w:tc>
        <w:tc>
          <w:tcPr>
            <w:tcW w:w="819" w:type="dxa"/>
            <w:tcBorders>
              <w:top w:val="nil"/>
              <w:left w:val="nil"/>
              <w:bottom w:val="nil"/>
              <w:right w:val="nil"/>
            </w:tcBorders>
          </w:tcPr>
          <w:p>
            <w:pPr>
              <w:pStyle w:val="TableParagraph"/>
              <w:ind w:left="180"/>
              <w:jc w:val="left"/>
              <w:rPr>
                <w:sz w:val="20"/>
              </w:rPr>
            </w:pPr>
            <w:r>
              <w:rPr>
                <w:sz w:val="20"/>
              </w:rPr>
              <w:t>28.00</w:t>
            </w:r>
          </w:p>
        </w:tc>
        <w:tc>
          <w:tcPr>
            <w:tcW w:w="819" w:type="dxa"/>
            <w:tcBorders>
              <w:top w:val="nil"/>
              <w:left w:val="nil"/>
              <w:bottom w:val="nil"/>
              <w:right w:val="nil"/>
            </w:tcBorders>
          </w:tcPr>
          <w:p>
            <w:pPr>
              <w:pStyle w:val="TableParagraph"/>
              <w:ind w:left="182"/>
              <w:jc w:val="left"/>
              <w:rPr>
                <w:sz w:val="20"/>
              </w:rPr>
            </w:pPr>
            <w:r>
              <w:rPr>
                <w:sz w:val="20"/>
              </w:rPr>
              <w:t>26.26</w:t>
            </w:r>
          </w:p>
        </w:tc>
        <w:tc>
          <w:tcPr>
            <w:tcW w:w="817" w:type="dxa"/>
            <w:tcBorders>
              <w:top w:val="nil"/>
              <w:left w:val="nil"/>
              <w:bottom w:val="nil"/>
              <w:right w:val="nil"/>
            </w:tcBorders>
          </w:tcPr>
          <w:p>
            <w:pPr>
              <w:pStyle w:val="TableParagraph"/>
              <w:ind w:left="180"/>
              <w:jc w:val="left"/>
              <w:rPr>
                <w:sz w:val="20"/>
              </w:rPr>
            </w:pPr>
            <w:r>
              <w:rPr>
                <w:sz w:val="20"/>
              </w:rPr>
              <w:t>26.50</w:t>
            </w:r>
          </w:p>
        </w:tc>
        <w:tc>
          <w:tcPr>
            <w:tcW w:w="819" w:type="dxa"/>
            <w:tcBorders>
              <w:top w:val="nil"/>
              <w:left w:val="nil"/>
              <w:bottom w:val="nil"/>
              <w:right w:val="nil"/>
            </w:tcBorders>
          </w:tcPr>
          <w:p>
            <w:pPr>
              <w:pStyle w:val="TableParagraph"/>
              <w:ind w:left="180"/>
              <w:jc w:val="left"/>
              <w:rPr>
                <w:sz w:val="20"/>
              </w:rPr>
            </w:pPr>
            <w:r>
              <w:rPr>
                <w:sz w:val="20"/>
              </w:rPr>
              <w:t>26.50</w:t>
            </w:r>
          </w:p>
        </w:tc>
        <w:tc>
          <w:tcPr>
            <w:tcW w:w="819" w:type="dxa"/>
            <w:tcBorders>
              <w:top w:val="nil"/>
              <w:left w:val="nil"/>
              <w:bottom w:val="nil"/>
              <w:right w:val="nil"/>
            </w:tcBorders>
          </w:tcPr>
          <w:p>
            <w:pPr>
              <w:pStyle w:val="TableParagraph"/>
              <w:ind w:left="182"/>
              <w:jc w:val="left"/>
              <w:rPr>
                <w:sz w:val="20"/>
              </w:rPr>
            </w:pPr>
            <w:r>
              <w:rPr>
                <w:sz w:val="20"/>
              </w:rPr>
              <w:t>12.75</w:t>
            </w:r>
          </w:p>
        </w:tc>
        <w:tc>
          <w:tcPr>
            <w:tcW w:w="850" w:type="dxa"/>
            <w:tcBorders>
              <w:top w:val="nil"/>
              <w:left w:val="nil"/>
              <w:bottom w:val="nil"/>
              <w:right w:val="nil"/>
            </w:tcBorders>
          </w:tcPr>
          <w:p>
            <w:pPr>
              <w:pStyle w:val="TableParagraph"/>
              <w:ind w:left="180"/>
              <w:jc w:val="left"/>
              <w:rPr>
                <w:sz w:val="20"/>
              </w:rPr>
            </w:pPr>
            <w:r>
              <w:rPr>
                <w:sz w:val="20"/>
              </w:rPr>
              <w:t>23.70</w:t>
            </w:r>
          </w:p>
        </w:tc>
        <w:tc>
          <w:tcPr>
            <w:tcW w:w="819" w:type="dxa"/>
            <w:tcBorders>
              <w:top w:val="nil"/>
              <w:left w:val="nil"/>
              <w:bottom w:val="nil"/>
              <w:right w:val="nil"/>
            </w:tcBorders>
          </w:tcPr>
          <w:p>
            <w:pPr>
              <w:pStyle w:val="TableParagraph"/>
              <w:ind w:left="252"/>
              <w:jc w:val="left"/>
              <w:rPr>
                <w:sz w:val="20"/>
              </w:rPr>
            </w:pPr>
            <w:r>
              <w:rPr>
                <w:sz w:val="20"/>
              </w:rPr>
              <w:t>0.00</w:t>
            </w:r>
          </w:p>
        </w:tc>
        <w:tc>
          <w:tcPr>
            <w:tcW w:w="790" w:type="dxa"/>
            <w:tcBorders>
              <w:top w:val="nil"/>
              <w:left w:val="nil"/>
              <w:bottom w:val="nil"/>
              <w:right w:val="nil"/>
            </w:tcBorders>
          </w:tcPr>
          <w:p>
            <w:pPr>
              <w:pStyle w:val="TableParagraph"/>
              <w:ind w:left="249"/>
              <w:jc w:val="left"/>
              <w:rPr>
                <w:sz w:val="20"/>
              </w:rPr>
            </w:pPr>
            <w:r>
              <w:rPr>
                <w:sz w:val="20"/>
              </w:rPr>
              <w:t>0.00</w:t>
            </w:r>
          </w:p>
        </w:tc>
        <w:tc>
          <w:tcPr>
            <w:tcW w:w="699" w:type="dxa"/>
            <w:tcBorders>
              <w:top w:val="nil"/>
              <w:left w:val="nil"/>
              <w:bottom w:val="nil"/>
              <w:right w:val="nil"/>
            </w:tcBorders>
          </w:tcPr>
          <w:p>
            <w:pPr>
              <w:pStyle w:val="TableParagraph"/>
              <w:ind w:right="65"/>
              <w:rPr>
                <w:sz w:val="20"/>
              </w:rPr>
            </w:pPr>
            <w:r>
              <w:rPr>
                <w:sz w:val="20"/>
              </w:rPr>
              <w:t>0.00</w:t>
            </w:r>
          </w:p>
        </w:tc>
      </w:tr>
      <w:tr>
        <w:trPr>
          <w:trHeight w:val="300" w:hRule="exact"/>
        </w:trPr>
        <w:tc>
          <w:tcPr>
            <w:tcW w:w="1468" w:type="dxa"/>
            <w:tcBorders>
              <w:top w:val="nil"/>
              <w:left w:val="nil"/>
              <w:bottom w:val="nil"/>
              <w:right w:val="nil"/>
            </w:tcBorders>
          </w:tcPr>
          <w:p>
            <w:pPr>
              <w:pStyle w:val="TableParagraph"/>
              <w:spacing w:before="26"/>
              <w:ind w:left="86"/>
              <w:jc w:val="left"/>
              <w:rPr>
                <w:sz w:val="20"/>
              </w:rPr>
            </w:pPr>
            <w:r>
              <w:rPr>
                <w:sz w:val="20"/>
              </w:rPr>
              <w:t>TEJ_HhFl</w:t>
            </w:r>
          </w:p>
        </w:tc>
        <w:tc>
          <w:tcPr>
            <w:tcW w:w="777" w:type="dxa"/>
            <w:tcBorders>
              <w:top w:val="nil"/>
              <w:left w:val="nil"/>
              <w:bottom w:val="nil"/>
              <w:right w:val="nil"/>
            </w:tcBorders>
          </w:tcPr>
          <w:p>
            <w:pPr>
              <w:pStyle w:val="TableParagraph"/>
              <w:spacing w:before="26"/>
              <w:ind w:left="125" w:right="162"/>
              <w:jc w:val="center"/>
              <w:rPr>
                <w:sz w:val="20"/>
              </w:rPr>
            </w:pPr>
            <w:r>
              <w:rPr>
                <w:sz w:val="20"/>
              </w:rPr>
              <w:t>18.00</w:t>
            </w:r>
          </w:p>
        </w:tc>
        <w:tc>
          <w:tcPr>
            <w:tcW w:w="819" w:type="dxa"/>
            <w:tcBorders>
              <w:top w:val="nil"/>
              <w:left w:val="nil"/>
              <w:bottom w:val="nil"/>
              <w:right w:val="nil"/>
            </w:tcBorders>
          </w:tcPr>
          <w:p>
            <w:pPr>
              <w:pStyle w:val="TableParagraph"/>
              <w:spacing w:before="26"/>
              <w:ind w:left="180"/>
              <w:jc w:val="left"/>
              <w:rPr>
                <w:sz w:val="20"/>
              </w:rPr>
            </w:pPr>
            <w:r>
              <w:rPr>
                <w:sz w:val="20"/>
              </w:rPr>
              <w:t>18.00</w:t>
            </w:r>
          </w:p>
        </w:tc>
        <w:tc>
          <w:tcPr>
            <w:tcW w:w="819" w:type="dxa"/>
            <w:tcBorders>
              <w:top w:val="nil"/>
              <w:left w:val="nil"/>
              <w:bottom w:val="nil"/>
              <w:right w:val="nil"/>
            </w:tcBorders>
          </w:tcPr>
          <w:p>
            <w:pPr>
              <w:pStyle w:val="TableParagraph"/>
              <w:spacing w:before="26"/>
              <w:ind w:left="182"/>
              <w:jc w:val="left"/>
              <w:rPr>
                <w:sz w:val="20"/>
              </w:rPr>
            </w:pPr>
            <w:r>
              <w:rPr>
                <w:sz w:val="20"/>
              </w:rPr>
              <w:t>18.00</w:t>
            </w:r>
          </w:p>
        </w:tc>
        <w:tc>
          <w:tcPr>
            <w:tcW w:w="817" w:type="dxa"/>
            <w:tcBorders>
              <w:top w:val="nil"/>
              <w:left w:val="nil"/>
              <w:bottom w:val="nil"/>
              <w:right w:val="nil"/>
            </w:tcBorders>
          </w:tcPr>
          <w:p>
            <w:pPr>
              <w:pStyle w:val="TableParagraph"/>
              <w:spacing w:before="26"/>
              <w:ind w:left="180"/>
              <w:jc w:val="left"/>
              <w:rPr>
                <w:sz w:val="20"/>
              </w:rPr>
            </w:pPr>
            <w:r>
              <w:rPr>
                <w:sz w:val="20"/>
              </w:rPr>
              <w:t>32.00</w:t>
            </w:r>
          </w:p>
        </w:tc>
        <w:tc>
          <w:tcPr>
            <w:tcW w:w="819" w:type="dxa"/>
            <w:tcBorders>
              <w:top w:val="nil"/>
              <w:left w:val="nil"/>
              <w:bottom w:val="nil"/>
              <w:right w:val="nil"/>
            </w:tcBorders>
          </w:tcPr>
          <w:p>
            <w:pPr>
              <w:pStyle w:val="TableParagraph"/>
              <w:spacing w:before="26"/>
              <w:ind w:left="180"/>
              <w:jc w:val="left"/>
              <w:rPr>
                <w:sz w:val="20"/>
              </w:rPr>
            </w:pPr>
            <w:r>
              <w:rPr>
                <w:sz w:val="20"/>
              </w:rPr>
              <w:t>32.00</w:t>
            </w:r>
          </w:p>
        </w:tc>
        <w:tc>
          <w:tcPr>
            <w:tcW w:w="819" w:type="dxa"/>
            <w:tcBorders>
              <w:top w:val="nil"/>
              <w:left w:val="nil"/>
              <w:bottom w:val="nil"/>
              <w:right w:val="nil"/>
            </w:tcBorders>
          </w:tcPr>
          <w:p>
            <w:pPr>
              <w:pStyle w:val="TableParagraph"/>
              <w:spacing w:before="26"/>
              <w:ind w:left="182"/>
              <w:jc w:val="left"/>
              <w:rPr>
                <w:sz w:val="20"/>
              </w:rPr>
            </w:pPr>
            <w:r>
              <w:rPr>
                <w:sz w:val="20"/>
              </w:rPr>
              <w:t>26.60</w:t>
            </w:r>
          </w:p>
        </w:tc>
        <w:tc>
          <w:tcPr>
            <w:tcW w:w="850" w:type="dxa"/>
            <w:tcBorders>
              <w:top w:val="nil"/>
              <w:left w:val="nil"/>
              <w:bottom w:val="nil"/>
              <w:right w:val="nil"/>
            </w:tcBorders>
          </w:tcPr>
          <w:p>
            <w:pPr>
              <w:pStyle w:val="TableParagraph"/>
              <w:spacing w:before="26"/>
              <w:ind w:left="180"/>
              <w:jc w:val="left"/>
              <w:rPr>
                <w:sz w:val="20"/>
              </w:rPr>
            </w:pPr>
            <w:r>
              <w:rPr>
                <w:sz w:val="20"/>
              </w:rPr>
              <w:t>25.83</w:t>
            </w:r>
          </w:p>
        </w:tc>
        <w:tc>
          <w:tcPr>
            <w:tcW w:w="819" w:type="dxa"/>
            <w:tcBorders>
              <w:top w:val="nil"/>
              <w:left w:val="nil"/>
              <w:bottom w:val="nil"/>
              <w:right w:val="nil"/>
            </w:tcBorders>
          </w:tcPr>
          <w:p>
            <w:pPr>
              <w:pStyle w:val="TableParagraph"/>
              <w:spacing w:before="26"/>
              <w:ind w:left="252"/>
              <w:jc w:val="left"/>
              <w:rPr>
                <w:sz w:val="20"/>
              </w:rPr>
            </w:pPr>
            <w:r>
              <w:rPr>
                <w:sz w:val="20"/>
              </w:rPr>
              <w:t>0.00</w:t>
            </w:r>
          </w:p>
        </w:tc>
        <w:tc>
          <w:tcPr>
            <w:tcW w:w="790" w:type="dxa"/>
            <w:tcBorders>
              <w:top w:val="nil"/>
              <w:left w:val="nil"/>
              <w:bottom w:val="nil"/>
              <w:right w:val="nil"/>
            </w:tcBorders>
          </w:tcPr>
          <w:p>
            <w:pPr>
              <w:pStyle w:val="TableParagraph"/>
              <w:spacing w:before="26"/>
              <w:ind w:left="249"/>
              <w:jc w:val="left"/>
              <w:rPr>
                <w:sz w:val="20"/>
              </w:rPr>
            </w:pPr>
            <w:r>
              <w:rPr>
                <w:sz w:val="20"/>
              </w:rPr>
              <w:t>0.00</w:t>
            </w:r>
          </w:p>
        </w:tc>
        <w:tc>
          <w:tcPr>
            <w:tcW w:w="699" w:type="dxa"/>
            <w:tcBorders>
              <w:top w:val="nil"/>
              <w:left w:val="nil"/>
              <w:bottom w:val="nil"/>
              <w:right w:val="nil"/>
            </w:tcBorders>
          </w:tcPr>
          <w:p>
            <w:pPr>
              <w:pStyle w:val="TableParagraph"/>
              <w:spacing w:before="26"/>
              <w:ind w:right="65"/>
              <w:rPr>
                <w:sz w:val="20"/>
              </w:rPr>
            </w:pPr>
            <w:r>
              <w:rPr>
                <w:sz w:val="20"/>
              </w:rPr>
              <w:t>0.00</w:t>
            </w:r>
          </w:p>
        </w:tc>
      </w:tr>
      <w:tr>
        <w:trPr>
          <w:trHeight w:val="300" w:hRule="exact"/>
        </w:trPr>
        <w:tc>
          <w:tcPr>
            <w:tcW w:w="1468" w:type="dxa"/>
            <w:tcBorders>
              <w:top w:val="nil"/>
              <w:left w:val="nil"/>
              <w:bottom w:val="nil"/>
              <w:right w:val="nil"/>
            </w:tcBorders>
          </w:tcPr>
          <w:p>
            <w:pPr>
              <w:pStyle w:val="TableParagraph"/>
              <w:ind w:left="86"/>
              <w:jc w:val="left"/>
              <w:rPr>
                <w:sz w:val="20"/>
              </w:rPr>
            </w:pPr>
            <w:r>
              <w:rPr>
                <w:sz w:val="20"/>
              </w:rPr>
              <w:t>TEJ_HhFlp</w:t>
            </w:r>
          </w:p>
        </w:tc>
        <w:tc>
          <w:tcPr>
            <w:tcW w:w="777" w:type="dxa"/>
            <w:tcBorders>
              <w:top w:val="nil"/>
              <w:left w:val="nil"/>
              <w:bottom w:val="nil"/>
              <w:right w:val="nil"/>
            </w:tcBorders>
          </w:tcPr>
          <w:p>
            <w:pPr>
              <w:pStyle w:val="TableParagraph"/>
              <w:ind w:left="125" w:right="162"/>
              <w:jc w:val="center"/>
              <w:rPr>
                <w:sz w:val="20"/>
              </w:rPr>
            </w:pPr>
            <w:r>
              <w:rPr>
                <w:sz w:val="20"/>
              </w:rPr>
              <w:t>28.00</w:t>
            </w:r>
          </w:p>
        </w:tc>
        <w:tc>
          <w:tcPr>
            <w:tcW w:w="819" w:type="dxa"/>
            <w:tcBorders>
              <w:top w:val="nil"/>
              <w:left w:val="nil"/>
              <w:bottom w:val="nil"/>
              <w:right w:val="nil"/>
            </w:tcBorders>
          </w:tcPr>
          <w:p>
            <w:pPr>
              <w:pStyle w:val="TableParagraph"/>
              <w:ind w:left="180"/>
              <w:jc w:val="left"/>
              <w:rPr>
                <w:sz w:val="20"/>
              </w:rPr>
            </w:pPr>
            <w:r>
              <w:rPr>
                <w:sz w:val="20"/>
              </w:rPr>
              <w:t>28.00</w:t>
            </w:r>
          </w:p>
        </w:tc>
        <w:tc>
          <w:tcPr>
            <w:tcW w:w="819" w:type="dxa"/>
            <w:tcBorders>
              <w:top w:val="nil"/>
              <w:left w:val="nil"/>
              <w:bottom w:val="nil"/>
              <w:right w:val="nil"/>
            </w:tcBorders>
          </w:tcPr>
          <w:p>
            <w:pPr>
              <w:pStyle w:val="TableParagraph"/>
              <w:ind w:left="182"/>
              <w:jc w:val="left"/>
              <w:rPr>
                <w:sz w:val="20"/>
              </w:rPr>
            </w:pPr>
            <w:r>
              <w:rPr>
                <w:sz w:val="20"/>
              </w:rPr>
              <w:t>28.00</w:t>
            </w:r>
          </w:p>
        </w:tc>
        <w:tc>
          <w:tcPr>
            <w:tcW w:w="817" w:type="dxa"/>
            <w:tcBorders>
              <w:top w:val="nil"/>
              <w:left w:val="nil"/>
              <w:bottom w:val="nil"/>
              <w:right w:val="nil"/>
            </w:tcBorders>
          </w:tcPr>
          <w:p>
            <w:pPr>
              <w:pStyle w:val="TableParagraph"/>
              <w:ind w:left="180"/>
              <w:jc w:val="left"/>
              <w:rPr>
                <w:sz w:val="20"/>
              </w:rPr>
            </w:pPr>
            <w:r>
              <w:rPr>
                <w:sz w:val="20"/>
              </w:rPr>
              <w:t>31.00</w:t>
            </w:r>
          </w:p>
        </w:tc>
        <w:tc>
          <w:tcPr>
            <w:tcW w:w="819" w:type="dxa"/>
            <w:tcBorders>
              <w:top w:val="nil"/>
              <w:left w:val="nil"/>
              <w:bottom w:val="nil"/>
              <w:right w:val="nil"/>
            </w:tcBorders>
          </w:tcPr>
          <w:p>
            <w:pPr>
              <w:pStyle w:val="TableParagraph"/>
              <w:ind w:left="180"/>
              <w:jc w:val="left"/>
              <w:rPr>
                <w:sz w:val="20"/>
              </w:rPr>
            </w:pPr>
            <w:r>
              <w:rPr>
                <w:sz w:val="20"/>
              </w:rPr>
              <w:t>31.00</w:t>
            </w:r>
          </w:p>
        </w:tc>
        <w:tc>
          <w:tcPr>
            <w:tcW w:w="819" w:type="dxa"/>
            <w:tcBorders>
              <w:top w:val="nil"/>
              <w:left w:val="nil"/>
              <w:bottom w:val="nil"/>
              <w:right w:val="nil"/>
            </w:tcBorders>
          </w:tcPr>
          <w:p>
            <w:pPr>
              <w:pStyle w:val="TableParagraph"/>
              <w:ind w:left="182"/>
              <w:jc w:val="left"/>
              <w:rPr>
                <w:sz w:val="20"/>
              </w:rPr>
            </w:pPr>
            <w:r>
              <w:rPr>
                <w:sz w:val="20"/>
              </w:rPr>
              <w:t>31.00</w:t>
            </w:r>
          </w:p>
        </w:tc>
        <w:tc>
          <w:tcPr>
            <w:tcW w:w="850" w:type="dxa"/>
            <w:tcBorders>
              <w:top w:val="nil"/>
              <w:left w:val="nil"/>
              <w:bottom w:val="nil"/>
              <w:right w:val="nil"/>
            </w:tcBorders>
          </w:tcPr>
          <w:p>
            <w:pPr>
              <w:pStyle w:val="TableParagraph"/>
              <w:ind w:left="180"/>
              <w:jc w:val="left"/>
              <w:rPr>
                <w:sz w:val="20"/>
              </w:rPr>
            </w:pPr>
            <w:r>
              <w:rPr>
                <w:sz w:val="20"/>
              </w:rPr>
              <w:t>31.00</w:t>
            </w:r>
          </w:p>
        </w:tc>
        <w:tc>
          <w:tcPr>
            <w:tcW w:w="819" w:type="dxa"/>
            <w:tcBorders>
              <w:top w:val="nil"/>
              <w:left w:val="nil"/>
              <w:bottom w:val="nil"/>
              <w:right w:val="nil"/>
            </w:tcBorders>
          </w:tcPr>
          <w:p>
            <w:pPr>
              <w:pStyle w:val="TableParagraph"/>
              <w:ind w:left="252"/>
              <w:jc w:val="left"/>
              <w:rPr>
                <w:sz w:val="20"/>
              </w:rPr>
            </w:pPr>
            <w:r>
              <w:rPr>
                <w:sz w:val="20"/>
              </w:rPr>
              <w:t>0.00</w:t>
            </w:r>
          </w:p>
        </w:tc>
        <w:tc>
          <w:tcPr>
            <w:tcW w:w="790" w:type="dxa"/>
            <w:tcBorders>
              <w:top w:val="nil"/>
              <w:left w:val="nil"/>
              <w:bottom w:val="nil"/>
              <w:right w:val="nil"/>
            </w:tcBorders>
          </w:tcPr>
          <w:p>
            <w:pPr>
              <w:pStyle w:val="TableParagraph"/>
              <w:ind w:left="249"/>
              <w:jc w:val="left"/>
              <w:rPr>
                <w:sz w:val="20"/>
              </w:rPr>
            </w:pPr>
            <w:r>
              <w:rPr>
                <w:sz w:val="20"/>
              </w:rPr>
              <w:t>0.00</w:t>
            </w:r>
          </w:p>
        </w:tc>
        <w:tc>
          <w:tcPr>
            <w:tcW w:w="699" w:type="dxa"/>
            <w:tcBorders>
              <w:top w:val="nil"/>
              <w:left w:val="nil"/>
              <w:bottom w:val="nil"/>
              <w:right w:val="nil"/>
            </w:tcBorders>
          </w:tcPr>
          <w:p>
            <w:pPr>
              <w:pStyle w:val="TableParagraph"/>
              <w:ind w:right="65"/>
              <w:rPr>
                <w:sz w:val="20"/>
              </w:rPr>
            </w:pPr>
            <w:r>
              <w:rPr>
                <w:sz w:val="20"/>
              </w:rPr>
              <w:t>0.00</w:t>
            </w:r>
          </w:p>
        </w:tc>
      </w:tr>
      <w:tr>
        <w:trPr>
          <w:trHeight w:val="300" w:hRule="exact"/>
        </w:trPr>
        <w:tc>
          <w:tcPr>
            <w:tcW w:w="1468" w:type="dxa"/>
            <w:tcBorders>
              <w:top w:val="nil"/>
              <w:left w:val="nil"/>
              <w:bottom w:val="nil"/>
              <w:right w:val="nil"/>
            </w:tcBorders>
          </w:tcPr>
          <w:p>
            <w:pPr>
              <w:pStyle w:val="TableParagraph"/>
              <w:spacing w:before="26"/>
              <w:ind w:left="86"/>
              <w:jc w:val="left"/>
              <w:rPr>
                <w:sz w:val="20"/>
              </w:rPr>
            </w:pPr>
            <w:r>
              <w:rPr>
                <w:sz w:val="20"/>
              </w:rPr>
              <w:t>TEJ_HhFp</w:t>
            </w:r>
          </w:p>
        </w:tc>
        <w:tc>
          <w:tcPr>
            <w:tcW w:w="777" w:type="dxa"/>
            <w:tcBorders>
              <w:top w:val="nil"/>
              <w:left w:val="nil"/>
              <w:bottom w:val="nil"/>
              <w:right w:val="nil"/>
            </w:tcBorders>
          </w:tcPr>
          <w:p>
            <w:pPr>
              <w:pStyle w:val="TableParagraph"/>
              <w:spacing w:before="26"/>
              <w:ind w:left="125" w:right="162"/>
              <w:jc w:val="center"/>
              <w:rPr>
                <w:sz w:val="20"/>
              </w:rPr>
            </w:pPr>
            <w:r>
              <w:rPr>
                <w:sz w:val="20"/>
              </w:rPr>
              <w:t>25.00</w:t>
            </w:r>
          </w:p>
        </w:tc>
        <w:tc>
          <w:tcPr>
            <w:tcW w:w="819" w:type="dxa"/>
            <w:tcBorders>
              <w:top w:val="nil"/>
              <w:left w:val="nil"/>
              <w:bottom w:val="nil"/>
              <w:right w:val="nil"/>
            </w:tcBorders>
          </w:tcPr>
          <w:p>
            <w:pPr>
              <w:pStyle w:val="TableParagraph"/>
              <w:spacing w:before="26"/>
              <w:ind w:left="180"/>
              <w:jc w:val="left"/>
              <w:rPr>
                <w:sz w:val="20"/>
              </w:rPr>
            </w:pPr>
            <w:r>
              <w:rPr>
                <w:sz w:val="20"/>
              </w:rPr>
              <w:t>25.00</w:t>
            </w:r>
          </w:p>
        </w:tc>
        <w:tc>
          <w:tcPr>
            <w:tcW w:w="819" w:type="dxa"/>
            <w:tcBorders>
              <w:top w:val="nil"/>
              <w:left w:val="nil"/>
              <w:bottom w:val="nil"/>
              <w:right w:val="nil"/>
            </w:tcBorders>
          </w:tcPr>
          <w:p>
            <w:pPr>
              <w:pStyle w:val="TableParagraph"/>
              <w:spacing w:before="26"/>
              <w:ind w:left="182"/>
              <w:jc w:val="left"/>
              <w:rPr>
                <w:sz w:val="20"/>
              </w:rPr>
            </w:pPr>
            <w:r>
              <w:rPr>
                <w:sz w:val="20"/>
              </w:rPr>
              <w:t>24.95</w:t>
            </w:r>
          </w:p>
        </w:tc>
        <w:tc>
          <w:tcPr>
            <w:tcW w:w="817" w:type="dxa"/>
            <w:tcBorders>
              <w:top w:val="nil"/>
              <w:left w:val="nil"/>
              <w:bottom w:val="nil"/>
              <w:right w:val="nil"/>
            </w:tcBorders>
          </w:tcPr>
          <w:p>
            <w:pPr>
              <w:pStyle w:val="TableParagraph"/>
              <w:spacing w:before="26"/>
              <w:ind w:left="180"/>
              <w:jc w:val="left"/>
              <w:rPr>
                <w:sz w:val="20"/>
              </w:rPr>
            </w:pPr>
            <w:r>
              <w:rPr>
                <w:sz w:val="20"/>
              </w:rPr>
              <w:t>25.01</w:t>
            </w:r>
          </w:p>
        </w:tc>
        <w:tc>
          <w:tcPr>
            <w:tcW w:w="819" w:type="dxa"/>
            <w:tcBorders>
              <w:top w:val="nil"/>
              <w:left w:val="nil"/>
              <w:bottom w:val="nil"/>
              <w:right w:val="nil"/>
            </w:tcBorders>
          </w:tcPr>
          <w:p>
            <w:pPr>
              <w:pStyle w:val="TableParagraph"/>
              <w:spacing w:before="26"/>
              <w:ind w:left="180"/>
              <w:jc w:val="left"/>
              <w:rPr>
                <w:sz w:val="20"/>
              </w:rPr>
            </w:pPr>
            <w:r>
              <w:rPr>
                <w:sz w:val="20"/>
              </w:rPr>
              <w:t>25.77</w:t>
            </w:r>
          </w:p>
        </w:tc>
        <w:tc>
          <w:tcPr>
            <w:tcW w:w="819" w:type="dxa"/>
            <w:tcBorders>
              <w:top w:val="nil"/>
              <w:left w:val="nil"/>
              <w:bottom w:val="nil"/>
              <w:right w:val="nil"/>
            </w:tcBorders>
          </w:tcPr>
          <w:p>
            <w:pPr>
              <w:pStyle w:val="TableParagraph"/>
              <w:spacing w:before="26"/>
              <w:ind w:left="182"/>
              <w:jc w:val="left"/>
              <w:rPr>
                <w:sz w:val="20"/>
              </w:rPr>
            </w:pPr>
            <w:r>
              <w:rPr>
                <w:sz w:val="20"/>
              </w:rPr>
              <w:t>24.74</w:t>
            </w:r>
          </w:p>
        </w:tc>
        <w:tc>
          <w:tcPr>
            <w:tcW w:w="850" w:type="dxa"/>
            <w:tcBorders>
              <w:top w:val="nil"/>
              <w:left w:val="nil"/>
              <w:bottom w:val="nil"/>
              <w:right w:val="nil"/>
            </w:tcBorders>
          </w:tcPr>
          <w:p>
            <w:pPr>
              <w:pStyle w:val="TableParagraph"/>
              <w:spacing w:before="26"/>
              <w:ind w:left="180"/>
              <w:jc w:val="left"/>
              <w:rPr>
                <w:sz w:val="20"/>
              </w:rPr>
            </w:pPr>
            <w:r>
              <w:rPr>
                <w:sz w:val="20"/>
              </w:rPr>
              <w:t>25.54</w:t>
            </w:r>
          </w:p>
        </w:tc>
        <w:tc>
          <w:tcPr>
            <w:tcW w:w="819" w:type="dxa"/>
            <w:tcBorders>
              <w:top w:val="nil"/>
              <w:left w:val="nil"/>
              <w:bottom w:val="nil"/>
              <w:right w:val="nil"/>
            </w:tcBorders>
          </w:tcPr>
          <w:p>
            <w:pPr>
              <w:pStyle w:val="TableParagraph"/>
              <w:spacing w:before="26"/>
              <w:ind w:left="252"/>
              <w:jc w:val="left"/>
              <w:rPr>
                <w:sz w:val="20"/>
              </w:rPr>
            </w:pPr>
            <w:r>
              <w:rPr>
                <w:sz w:val="20"/>
              </w:rPr>
              <w:t>0.00</w:t>
            </w:r>
          </w:p>
        </w:tc>
        <w:tc>
          <w:tcPr>
            <w:tcW w:w="790" w:type="dxa"/>
            <w:tcBorders>
              <w:top w:val="nil"/>
              <w:left w:val="nil"/>
              <w:bottom w:val="nil"/>
              <w:right w:val="nil"/>
            </w:tcBorders>
          </w:tcPr>
          <w:p>
            <w:pPr>
              <w:pStyle w:val="TableParagraph"/>
              <w:spacing w:before="26"/>
              <w:ind w:left="249"/>
              <w:jc w:val="left"/>
              <w:rPr>
                <w:sz w:val="20"/>
              </w:rPr>
            </w:pPr>
            <w:r>
              <w:rPr>
                <w:sz w:val="20"/>
              </w:rPr>
              <w:t>0.00</w:t>
            </w:r>
          </w:p>
        </w:tc>
        <w:tc>
          <w:tcPr>
            <w:tcW w:w="699" w:type="dxa"/>
            <w:tcBorders>
              <w:top w:val="nil"/>
              <w:left w:val="nil"/>
              <w:bottom w:val="nil"/>
              <w:right w:val="nil"/>
            </w:tcBorders>
          </w:tcPr>
          <w:p>
            <w:pPr>
              <w:pStyle w:val="TableParagraph"/>
              <w:spacing w:before="26"/>
              <w:ind w:right="65"/>
              <w:rPr>
                <w:sz w:val="20"/>
              </w:rPr>
            </w:pPr>
            <w:r>
              <w:rPr>
                <w:sz w:val="20"/>
              </w:rPr>
              <w:t>0.00</w:t>
            </w:r>
          </w:p>
        </w:tc>
      </w:tr>
      <w:tr>
        <w:trPr>
          <w:trHeight w:val="300" w:hRule="exact"/>
        </w:trPr>
        <w:tc>
          <w:tcPr>
            <w:tcW w:w="1468" w:type="dxa"/>
            <w:tcBorders>
              <w:top w:val="nil"/>
              <w:left w:val="nil"/>
              <w:bottom w:val="nil"/>
              <w:right w:val="nil"/>
            </w:tcBorders>
          </w:tcPr>
          <w:p>
            <w:pPr>
              <w:pStyle w:val="TableParagraph"/>
              <w:ind w:left="86"/>
              <w:jc w:val="left"/>
              <w:rPr>
                <w:sz w:val="20"/>
              </w:rPr>
            </w:pPr>
            <w:r>
              <w:rPr>
                <w:sz w:val="20"/>
              </w:rPr>
              <w:t>TEJ_HhSF</w:t>
            </w:r>
          </w:p>
        </w:tc>
        <w:tc>
          <w:tcPr>
            <w:tcW w:w="777" w:type="dxa"/>
            <w:tcBorders>
              <w:top w:val="nil"/>
              <w:left w:val="nil"/>
              <w:bottom w:val="nil"/>
              <w:right w:val="nil"/>
            </w:tcBorders>
          </w:tcPr>
          <w:p>
            <w:pPr>
              <w:pStyle w:val="TableParagraph"/>
              <w:ind w:left="125" w:right="162"/>
              <w:jc w:val="center"/>
              <w:rPr>
                <w:sz w:val="20"/>
              </w:rPr>
            </w:pPr>
            <w:r>
              <w:rPr>
                <w:sz w:val="20"/>
              </w:rPr>
              <w:t>23.70</w:t>
            </w:r>
          </w:p>
        </w:tc>
        <w:tc>
          <w:tcPr>
            <w:tcW w:w="819" w:type="dxa"/>
            <w:tcBorders>
              <w:top w:val="nil"/>
              <w:left w:val="nil"/>
              <w:bottom w:val="nil"/>
              <w:right w:val="nil"/>
            </w:tcBorders>
          </w:tcPr>
          <w:p>
            <w:pPr>
              <w:pStyle w:val="TableParagraph"/>
              <w:ind w:left="180"/>
              <w:jc w:val="left"/>
              <w:rPr>
                <w:sz w:val="20"/>
              </w:rPr>
            </w:pPr>
            <w:r>
              <w:rPr>
                <w:sz w:val="20"/>
              </w:rPr>
              <w:t>22.78</w:t>
            </w:r>
          </w:p>
        </w:tc>
        <w:tc>
          <w:tcPr>
            <w:tcW w:w="819" w:type="dxa"/>
            <w:tcBorders>
              <w:top w:val="nil"/>
              <w:left w:val="nil"/>
              <w:bottom w:val="nil"/>
              <w:right w:val="nil"/>
            </w:tcBorders>
          </w:tcPr>
          <w:p>
            <w:pPr>
              <w:pStyle w:val="TableParagraph"/>
              <w:ind w:left="182"/>
              <w:jc w:val="left"/>
              <w:rPr>
                <w:sz w:val="20"/>
              </w:rPr>
            </w:pPr>
            <w:r>
              <w:rPr>
                <w:sz w:val="20"/>
              </w:rPr>
              <w:t>22.78</w:t>
            </w:r>
          </w:p>
        </w:tc>
        <w:tc>
          <w:tcPr>
            <w:tcW w:w="817" w:type="dxa"/>
            <w:tcBorders>
              <w:top w:val="nil"/>
              <w:left w:val="nil"/>
              <w:bottom w:val="nil"/>
              <w:right w:val="nil"/>
            </w:tcBorders>
          </w:tcPr>
          <w:p>
            <w:pPr>
              <w:pStyle w:val="TableParagraph"/>
              <w:ind w:left="180"/>
              <w:jc w:val="left"/>
              <w:rPr>
                <w:sz w:val="20"/>
              </w:rPr>
            </w:pPr>
            <w:r>
              <w:rPr>
                <w:sz w:val="20"/>
              </w:rPr>
              <w:t>20.00</w:t>
            </w:r>
          </w:p>
        </w:tc>
        <w:tc>
          <w:tcPr>
            <w:tcW w:w="819" w:type="dxa"/>
            <w:tcBorders>
              <w:top w:val="nil"/>
              <w:left w:val="nil"/>
              <w:bottom w:val="nil"/>
              <w:right w:val="nil"/>
            </w:tcBorders>
          </w:tcPr>
          <w:p>
            <w:pPr>
              <w:pStyle w:val="TableParagraph"/>
              <w:ind w:left="180"/>
              <w:jc w:val="left"/>
              <w:rPr>
                <w:sz w:val="20"/>
              </w:rPr>
            </w:pPr>
            <w:r>
              <w:rPr>
                <w:sz w:val="20"/>
              </w:rPr>
              <w:t>20.00</w:t>
            </w:r>
          </w:p>
        </w:tc>
        <w:tc>
          <w:tcPr>
            <w:tcW w:w="819" w:type="dxa"/>
            <w:tcBorders>
              <w:top w:val="nil"/>
              <w:left w:val="nil"/>
              <w:bottom w:val="nil"/>
              <w:right w:val="nil"/>
            </w:tcBorders>
          </w:tcPr>
          <w:p>
            <w:pPr>
              <w:pStyle w:val="TableParagraph"/>
              <w:ind w:left="182"/>
              <w:jc w:val="left"/>
              <w:rPr>
                <w:sz w:val="20"/>
              </w:rPr>
            </w:pPr>
            <w:r>
              <w:rPr>
                <w:sz w:val="20"/>
              </w:rPr>
              <w:t>21.13</w:t>
            </w:r>
          </w:p>
        </w:tc>
        <w:tc>
          <w:tcPr>
            <w:tcW w:w="850" w:type="dxa"/>
            <w:tcBorders>
              <w:top w:val="nil"/>
              <w:left w:val="nil"/>
              <w:bottom w:val="nil"/>
              <w:right w:val="nil"/>
            </w:tcBorders>
          </w:tcPr>
          <w:p>
            <w:pPr>
              <w:pStyle w:val="TableParagraph"/>
              <w:ind w:left="180"/>
              <w:jc w:val="left"/>
              <w:rPr>
                <w:sz w:val="20"/>
              </w:rPr>
            </w:pPr>
            <w:r>
              <w:rPr>
                <w:sz w:val="20"/>
              </w:rPr>
              <w:t>21.13</w:t>
            </w:r>
          </w:p>
        </w:tc>
        <w:tc>
          <w:tcPr>
            <w:tcW w:w="819" w:type="dxa"/>
            <w:tcBorders>
              <w:top w:val="nil"/>
              <w:left w:val="nil"/>
              <w:bottom w:val="nil"/>
              <w:right w:val="nil"/>
            </w:tcBorders>
          </w:tcPr>
          <w:p>
            <w:pPr>
              <w:pStyle w:val="TableParagraph"/>
              <w:ind w:left="252"/>
              <w:jc w:val="left"/>
              <w:rPr>
                <w:sz w:val="20"/>
              </w:rPr>
            </w:pPr>
            <w:r>
              <w:rPr>
                <w:sz w:val="20"/>
              </w:rPr>
              <w:t>0.00</w:t>
            </w:r>
          </w:p>
        </w:tc>
        <w:tc>
          <w:tcPr>
            <w:tcW w:w="790" w:type="dxa"/>
            <w:tcBorders>
              <w:top w:val="nil"/>
              <w:left w:val="nil"/>
              <w:bottom w:val="nil"/>
              <w:right w:val="nil"/>
            </w:tcBorders>
          </w:tcPr>
          <w:p>
            <w:pPr>
              <w:pStyle w:val="TableParagraph"/>
              <w:ind w:left="249"/>
              <w:jc w:val="left"/>
              <w:rPr>
                <w:sz w:val="20"/>
              </w:rPr>
            </w:pPr>
            <w:r>
              <w:rPr>
                <w:sz w:val="20"/>
              </w:rPr>
              <w:t>0.00</w:t>
            </w:r>
          </w:p>
        </w:tc>
        <w:tc>
          <w:tcPr>
            <w:tcW w:w="699" w:type="dxa"/>
            <w:tcBorders>
              <w:top w:val="nil"/>
              <w:left w:val="nil"/>
              <w:bottom w:val="nil"/>
              <w:right w:val="nil"/>
            </w:tcBorders>
          </w:tcPr>
          <w:p>
            <w:pPr>
              <w:pStyle w:val="TableParagraph"/>
              <w:ind w:right="65"/>
              <w:rPr>
                <w:sz w:val="20"/>
              </w:rPr>
            </w:pPr>
            <w:r>
              <w:rPr>
                <w:sz w:val="20"/>
              </w:rPr>
              <w:t>0.00</w:t>
            </w:r>
          </w:p>
        </w:tc>
      </w:tr>
      <w:tr>
        <w:trPr>
          <w:trHeight w:val="300" w:hRule="exact"/>
        </w:trPr>
        <w:tc>
          <w:tcPr>
            <w:tcW w:w="1468" w:type="dxa"/>
            <w:tcBorders>
              <w:top w:val="nil"/>
              <w:left w:val="nil"/>
              <w:bottom w:val="nil"/>
              <w:right w:val="nil"/>
            </w:tcBorders>
          </w:tcPr>
          <w:p>
            <w:pPr>
              <w:pStyle w:val="TableParagraph"/>
              <w:spacing w:before="26"/>
              <w:ind w:left="86"/>
              <w:jc w:val="left"/>
              <w:rPr>
                <w:sz w:val="20"/>
              </w:rPr>
            </w:pPr>
            <w:r>
              <w:rPr>
                <w:sz w:val="20"/>
              </w:rPr>
              <w:t>TEJ_HlFd</w:t>
            </w:r>
          </w:p>
        </w:tc>
        <w:tc>
          <w:tcPr>
            <w:tcW w:w="777" w:type="dxa"/>
            <w:tcBorders>
              <w:top w:val="nil"/>
              <w:left w:val="nil"/>
              <w:bottom w:val="nil"/>
              <w:right w:val="nil"/>
            </w:tcBorders>
          </w:tcPr>
          <w:p>
            <w:pPr>
              <w:pStyle w:val="TableParagraph"/>
              <w:spacing w:before="26"/>
              <w:ind w:left="125" w:right="162"/>
              <w:jc w:val="center"/>
              <w:rPr>
                <w:sz w:val="20"/>
              </w:rPr>
            </w:pPr>
            <w:r>
              <w:rPr>
                <w:sz w:val="20"/>
              </w:rPr>
              <w:t>30.00</w:t>
            </w:r>
          </w:p>
        </w:tc>
        <w:tc>
          <w:tcPr>
            <w:tcW w:w="819" w:type="dxa"/>
            <w:tcBorders>
              <w:top w:val="nil"/>
              <w:left w:val="nil"/>
              <w:bottom w:val="nil"/>
              <w:right w:val="nil"/>
            </w:tcBorders>
          </w:tcPr>
          <w:p>
            <w:pPr>
              <w:pStyle w:val="TableParagraph"/>
              <w:spacing w:before="26"/>
              <w:ind w:left="180"/>
              <w:jc w:val="left"/>
              <w:rPr>
                <w:sz w:val="20"/>
              </w:rPr>
            </w:pPr>
            <w:r>
              <w:rPr>
                <w:sz w:val="20"/>
              </w:rPr>
              <w:t>29.43</w:t>
            </w:r>
          </w:p>
        </w:tc>
        <w:tc>
          <w:tcPr>
            <w:tcW w:w="819" w:type="dxa"/>
            <w:tcBorders>
              <w:top w:val="nil"/>
              <w:left w:val="nil"/>
              <w:bottom w:val="nil"/>
              <w:right w:val="nil"/>
            </w:tcBorders>
          </w:tcPr>
          <w:p>
            <w:pPr>
              <w:pStyle w:val="TableParagraph"/>
              <w:spacing w:before="26"/>
              <w:ind w:left="182"/>
              <w:jc w:val="left"/>
              <w:rPr>
                <w:sz w:val="20"/>
              </w:rPr>
            </w:pPr>
            <w:r>
              <w:rPr>
                <w:sz w:val="20"/>
              </w:rPr>
              <w:t>28.86</w:t>
            </w:r>
          </w:p>
        </w:tc>
        <w:tc>
          <w:tcPr>
            <w:tcW w:w="817" w:type="dxa"/>
            <w:tcBorders>
              <w:top w:val="nil"/>
              <w:left w:val="nil"/>
              <w:bottom w:val="nil"/>
              <w:right w:val="nil"/>
            </w:tcBorders>
          </w:tcPr>
          <w:p>
            <w:pPr>
              <w:pStyle w:val="TableParagraph"/>
              <w:spacing w:before="26"/>
              <w:ind w:left="180"/>
              <w:jc w:val="left"/>
              <w:rPr>
                <w:sz w:val="20"/>
              </w:rPr>
            </w:pPr>
            <w:r>
              <w:rPr>
                <w:sz w:val="20"/>
              </w:rPr>
              <w:t>26.00</w:t>
            </w:r>
          </w:p>
        </w:tc>
        <w:tc>
          <w:tcPr>
            <w:tcW w:w="819" w:type="dxa"/>
            <w:tcBorders>
              <w:top w:val="nil"/>
              <w:left w:val="nil"/>
              <w:bottom w:val="nil"/>
              <w:right w:val="nil"/>
            </w:tcBorders>
          </w:tcPr>
          <w:p>
            <w:pPr>
              <w:pStyle w:val="TableParagraph"/>
              <w:spacing w:before="26"/>
              <w:ind w:left="180"/>
              <w:jc w:val="left"/>
              <w:rPr>
                <w:sz w:val="20"/>
              </w:rPr>
            </w:pPr>
            <w:r>
              <w:rPr>
                <w:sz w:val="20"/>
              </w:rPr>
              <w:t>25.69</w:t>
            </w:r>
          </w:p>
        </w:tc>
        <w:tc>
          <w:tcPr>
            <w:tcW w:w="819" w:type="dxa"/>
            <w:tcBorders>
              <w:top w:val="nil"/>
              <w:left w:val="nil"/>
              <w:bottom w:val="nil"/>
              <w:right w:val="nil"/>
            </w:tcBorders>
          </w:tcPr>
          <w:p>
            <w:pPr>
              <w:pStyle w:val="TableParagraph"/>
              <w:spacing w:before="26"/>
              <w:ind w:left="182"/>
              <w:jc w:val="left"/>
              <w:rPr>
                <w:sz w:val="20"/>
              </w:rPr>
            </w:pPr>
            <w:r>
              <w:rPr>
                <w:sz w:val="20"/>
              </w:rPr>
              <w:t>25.79</w:t>
            </w:r>
          </w:p>
        </w:tc>
        <w:tc>
          <w:tcPr>
            <w:tcW w:w="850" w:type="dxa"/>
            <w:tcBorders>
              <w:top w:val="nil"/>
              <w:left w:val="nil"/>
              <w:bottom w:val="nil"/>
              <w:right w:val="nil"/>
            </w:tcBorders>
          </w:tcPr>
          <w:p>
            <w:pPr>
              <w:pStyle w:val="TableParagraph"/>
              <w:spacing w:before="26"/>
              <w:ind w:left="180"/>
              <w:jc w:val="left"/>
              <w:rPr>
                <w:sz w:val="20"/>
              </w:rPr>
            </w:pPr>
            <w:r>
              <w:rPr>
                <w:sz w:val="20"/>
              </w:rPr>
              <w:t>26.10</w:t>
            </w:r>
          </w:p>
        </w:tc>
        <w:tc>
          <w:tcPr>
            <w:tcW w:w="819" w:type="dxa"/>
            <w:tcBorders>
              <w:top w:val="nil"/>
              <w:left w:val="nil"/>
              <w:bottom w:val="nil"/>
              <w:right w:val="nil"/>
            </w:tcBorders>
          </w:tcPr>
          <w:p>
            <w:pPr>
              <w:pStyle w:val="TableParagraph"/>
              <w:spacing w:before="26"/>
              <w:ind w:left="252"/>
              <w:jc w:val="left"/>
              <w:rPr>
                <w:sz w:val="20"/>
              </w:rPr>
            </w:pPr>
            <w:r>
              <w:rPr>
                <w:sz w:val="20"/>
              </w:rPr>
              <w:t>0.00</w:t>
            </w:r>
          </w:p>
        </w:tc>
        <w:tc>
          <w:tcPr>
            <w:tcW w:w="790" w:type="dxa"/>
            <w:tcBorders>
              <w:top w:val="nil"/>
              <w:left w:val="nil"/>
              <w:bottom w:val="nil"/>
              <w:right w:val="nil"/>
            </w:tcBorders>
          </w:tcPr>
          <w:p>
            <w:pPr>
              <w:pStyle w:val="TableParagraph"/>
              <w:spacing w:before="26"/>
              <w:ind w:left="249"/>
              <w:jc w:val="left"/>
              <w:rPr>
                <w:sz w:val="20"/>
              </w:rPr>
            </w:pPr>
            <w:r>
              <w:rPr>
                <w:sz w:val="20"/>
              </w:rPr>
              <w:t>0.00</w:t>
            </w:r>
          </w:p>
        </w:tc>
        <w:tc>
          <w:tcPr>
            <w:tcW w:w="699" w:type="dxa"/>
            <w:tcBorders>
              <w:top w:val="nil"/>
              <w:left w:val="nil"/>
              <w:bottom w:val="nil"/>
              <w:right w:val="nil"/>
            </w:tcBorders>
          </w:tcPr>
          <w:p>
            <w:pPr>
              <w:pStyle w:val="TableParagraph"/>
              <w:spacing w:before="26"/>
              <w:ind w:right="65"/>
              <w:rPr>
                <w:sz w:val="20"/>
              </w:rPr>
            </w:pPr>
            <w:r>
              <w:rPr>
                <w:sz w:val="20"/>
              </w:rPr>
              <w:t>0.00</w:t>
            </w:r>
          </w:p>
        </w:tc>
      </w:tr>
      <w:tr>
        <w:trPr>
          <w:trHeight w:val="300" w:hRule="exact"/>
        </w:trPr>
        <w:tc>
          <w:tcPr>
            <w:tcW w:w="1468" w:type="dxa"/>
            <w:tcBorders>
              <w:top w:val="nil"/>
              <w:left w:val="nil"/>
              <w:bottom w:val="nil"/>
              <w:right w:val="nil"/>
            </w:tcBorders>
          </w:tcPr>
          <w:p>
            <w:pPr>
              <w:pStyle w:val="TableParagraph"/>
              <w:ind w:left="86"/>
              <w:jc w:val="left"/>
              <w:rPr>
                <w:sz w:val="20"/>
              </w:rPr>
            </w:pPr>
            <w:r>
              <w:rPr>
                <w:sz w:val="20"/>
              </w:rPr>
              <w:t>TEJ_HlFdp</w:t>
            </w:r>
          </w:p>
        </w:tc>
        <w:tc>
          <w:tcPr>
            <w:tcW w:w="777" w:type="dxa"/>
            <w:tcBorders>
              <w:top w:val="nil"/>
              <w:left w:val="nil"/>
              <w:bottom w:val="nil"/>
              <w:right w:val="nil"/>
            </w:tcBorders>
          </w:tcPr>
          <w:p>
            <w:pPr>
              <w:pStyle w:val="TableParagraph"/>
              <w:ind w:left="125" w:right="162"/>
              <w:jc w:val="center"/>
              <w:rPr>
                <w:sz w:val="20"/>
              </w:rPr>
            </w:pPr>
            <w:r>
              <w:rPr>
                <w:sz w:val="20"/>
              </w:rPr>
              <w:t>20.60</w:t>
            </w:r>
          </w:p>
        </w:tc>
        <w:tc>
          <w:tcPr>
            <w:tcW w:w="819" w:type="dxa"/>
            <w:tcBorders>
              <w:top w:val="nil"/>
              <w:left w:val="nil"/>
              <w:bottom w:val="nil"/>
              <w:right w:val="nil"/>
            </w:tcBorders>
          </w:tcPr>
          <w:p>
            <w:pPr>
              <w:pStyle w:val="TableParagraph"/>
              <w:ind w:left="180"/>
              <w:jc w:val="left"/>
              <w:rPr>
                <w:sz w:val="20"/>
              </w:rPr>
            </w:pPr>
            <w:r>
              <w:rPr>
                <w:sz w:val="20"/>
              </w:rPr>
              <w:t>20.98</w:t>
            </w:r>
          </w:p>
        </w:tc>
        <w:tc>
          <w:tcPr>
            <w:tcW w:w="819" w:type="dxa"/>
            <w:tcBorders>
              <w:top w:val="nil"/>
              <w:left w:val="nil"/>
              <w:bottom w:val="nil"/>
              <w:right w:val="nil"/>
            </w:tcBorders>
          </w:tcPr>
          <w:p>
            <w:pPr>
              <w:pStyle w:val="TableParagraph"/>
              <w:ind w:left="182"/>
              <w:jc w:val="left"/>
              <w:rPr>
                <w:sz w:val="20"/>
              </w:rPr>
            </w:pPr>
            <w:r>
              <w:rPr>
                <w:sz w:val="20"/>
              </w:rPr>
              <w:t>20.98</w:t>
            </w:r>
          </w:p>
        </w:tc>
        <w:tc>
          <w:tcPr>
            <w:tcW w:w="817" w:type="dxa"/>
            <w:tcBorders>
              <w:top w:val="nil"/>
              <w:left w:val="nil"/>
              <w:bottom w:val="nil"/>
              <w:right w:val="nil"/>
            </w:tcBorders>
          </w:tcPr>
          <w:p>
            <w:pPr>
              <w:pStyle w:val="TableParagraph"/>
              <w:ind w:left="180"/>
              <w:jc w:val="left"/>
              <w:rPr>
                <w:sz w:val="20"/>
              </w:rPr>
            </w:pPr>
            <w:r>
              <w:rPr>
                <w:sz w:val="20"/>
              </w:rPr>
              <w:t>24.11</w:t>
            </w:r>
          </w:p>
        </w:tc>
        <w:tc>
          <w:tcPr>
            <w:tcW w:w="819" w:type="dxa"/>
            <w:tcBorders>
              <w:top w:val="nil"/>
              <w:left w:val="nil"/>
              <w:bottom w:val="nil"/>
              <w:right w:val="nil"/>
            </w:tcBorders>
          </w:tcPr>
          <w:p>
            <w:pPr>
              <w:pStyle w:val="TableParagraph"/>
              <w:ind w:left="180"/>
              <w:jc w:val="left"/>
              <w:rPr>
                <w:sz w:val="20"/>
              </w:rPr>
            </w:pPr>
            <w:r>
              <w:rPr>
                <w:sz w:val="20"/>
              </w:rPr>
              <w:t>24.11</w:t>
            </w:r>
          </w:p>
        </w:tc>
        <w:tc>
          <w:tcPr>
            <w:tcW w:w="819" w:type="dxa"/>
            <w:tcBorders>
              <w:top w:val="nil"/>
              <w:left w:val="nil"/>
              <w:bottom w:val="nil"/>
              <w:right w:val="nil"/>
            </w:tcBorders>
          </w:tcPr>
          <w:p>
            <w:pPr>
              <w:pStyle w:val="TableParagraph"/>
              <w:ind w:left="182"/>
              <w:jc w:val="left"/>
              <w:rPr>
                <w:sz w:val="20"/>
              </w:rPr>
            </w:pPr>
            <w:r>
              <w:rPr>
                <w:sz w:val="20"/>
              </w:rPr>
              <w:t>24.78</w:t>
            </w:r>
          </w:p>
        </w:tc>
        <w:tc>
          <w:tcPr>
            <w:tcW w:w="850" w:type="dxa"/>
            <w:tcBorders>
              <w:top w:val="nil"/>
              <w:left w:val="nil"/>
              <w:bottom w:val="nil"/>
              <w:right w:val="nil"/>
            </w:tcBorders>
          </w:tcPr>
          <w:p>
            <w:pPr>
              <w:pStyle w:val="TableParagraph"/>
              <w:ind w:left="180"/>
              <w:jc w:val="left"/>
              <w:rPr>
                <w:sz w:val="20"/>
              </w:rPr>
            </w:pPr>
            <w:r>
              <w:rPr>
                <w:sz w:val="20"/>
              </w:rPr>
              <w:t>25.00</w:t>
            </w:r>
          </w:p>
        </w:tc>
        <w:tc>
          <w:tcPr>
            <w:tcW w:w="819" w:type="dxa"/>
            <w:tcBorders>
              <w:top w:val="nil"/>
              <w:left w:val="nil"/>
              <w:bottom w:val="nil"/>
              <w:right w:val="nil"/>
            </w:tcBorders>
          </w:tcPr>
          <w:p>
            <w:pPr>
              <w:pStyle w:val="TableParagraph"/>
              <w:ind w:left="252"/>
              <w:jc w:val="left"/>
              <w:rPr>
                <w:sz w:val="20"/>
              </w:rPr>
            </w:pPr>
            <w:r>
              <w:rPr>
                <w:sz w:val="20"/>
              </w:rPr>
              <w:t>0.00</w:t>
            </w:r>
          </w:p>
        </w:tc>
        <w:tc>
          <w:tcPr>
            <w:tcW w:w="790" w:type="dxa"/>
            <w:tcBorders>
              <w:top w:val="nil"/>
              <w:left w:val="nil"/>
              <w:bottom w:val="nil"/>
              <w:right w:val="nil"/>
            </w:tcBorders>
          </w:tcPr>
          <w:p>
            <w:pPr>
              <w:pStyle w:val="TableParagraph"/>
              <w:ind w:left="249"/>
              <w:jc w:val="left"/>
              <w:rPr>
                <w:sz w:val="20"/>
              </w:rPr>
            </w:pPr>
            <w:r>
              <w:rPr>
                <w:sz w:val="20"/>
              </w:rPr>
              <w:t>0.00</w:t>
            </w:r>
          </w:p>
        </w:tc>
        <w:tc>
          <w:tcPr>
            <w:tcW w:w="699" w:type="dxa"/>
            <w:tcBorders>
              <w:top w:val="nil"/>
              <w:left w:val="nil"/>
              <w:bottom w:val="nil"/>
              <w:right w:val="nil"/>
            </w:tcBorders>
          </w:tcPr>
          <w:p>
            <w:pPr>
              <w:pStyle w:val="TableParagraph"/>
              <w:ind w:right="65"/>
              <w:rPr>
                <w:sz w:val="20"/>
              </w:rPr>
            </w:pPr>
            <w:r>
              <w:rPr>
                <w:sz w:val="20"/>
              </w:rPr>
              <w:t>0.00</w:t>
            </w:r>
          </w:p>
        </w:tc>
      </w:tr>
      <w:tr>
        <w:trPr>
          <w:trHeight w:val="300" w:hRule="exact"/>
        </w:trPr>
        <w:tc>
          <w:tcPr>
            <w:tcW w:w="1468" w:type="dxa"/>
            <w:tcBorders>
              <w:top w:val="nil"/>
              <w:left w:val="nil"/>
              <w:bottom w:val="nil"/>
              <w:right w:val="nil"/>
            </w:tcBorders>
          </w:tcPr>
          <w:p>
            <w:pPr>
              <w:pStyle w:val="TableParagraph"/>
              <w:spacing w:before="26"/>
              <w:ind w:left="86"/>
              <w:jc w:val="left"/>
              <w:rPr>
                <w:sz w:val="20"/>
              </w:rPr>
            </w:pPr>
            <w:r>
              <w:rPr>
                <w:sz w:val="20"/>
              </w:rPr>
              <w:t>TEJ_HlFl</w:t>
            </w:r>
          </w:p>
        </w:tc>
        <w:tc>
          <w:tcPr>
            <w:tcW w:w="777" w:type="dxa"/>
            <w:tcBorders>
              <w:top w:val="nil"/>
              <w:left w:val="nil"/>
              <w:bottom w:val="nil"/>
              <w:right w:val="nil"/>
            </w:tcBorders>
          </w:tcPr>
          <w:p>
            <w:pPr>
              <w:pStyle w:val="TableParagraph"/>
              <w:spacing w:before="26"/>
              <w:ind w:left="125" w:right="162"/>
              <w:jc w:val="center"/>
              <w:rPr>
                <w:sz w:val="20"/>
              </w:rPr>
            </w:pPr>
            <w:r>
              <w:rPr>
                <w:sz w:val="20"/>
              </w:rPr>
              <w:t>20.00</w:t>
            </w:r>
          </w:p>
        </w:tc>
        <w:tc>
          <w:tcPr>
            <w:tcW w:w="819" w:type="dxa"/>
            <w:tcBorders>
              <w:top w:val="nil"/>
              <w:left w:val="nil"/>
              <w:bottom w:val="nil"/>
              <w:right w:val="nil"/>
            </w:tcBorders>
          </w:tcPr>
          <w:p>
            <w:pPr>
              <w:pStyle w:val="TableParagraph"/>
              <w:spacing w:before="26"/>
              <w:ind w:left="180"/>
              <w:jc w:val="left"/>
              <w:rPr>
                <w:sz w:val="20"/>
              </w:rPr>
            </w:pPr>
            <w:r>
              <w:rPr>
                <w:sz w:val="20"/>
              </w:rPr>
              <w:t>20.00</w:t>
            </w:r>
          </w:p>
        </w:tc>
        <w:tc>
          <w:tcPr>
            <w:tcW w:w="819" w:type="dxa"/>
            <w:tcBorders>
              <w:top w:val="nil"/>
              <w:left w:val="nil"/>
              <w:bottom w:val="nil"/>
              <w:right w:val="nil"/>
            </w:tcBorders>
          </w:tcPr>
          <w:p>
            <w:pPr>
              <w:pStyle w:val="TableParagraph"/>
              <w:spacing w:before="26"/>
              <w:ind w:left="182"/>
              <w:jc w:val="left"/>
              <w:rPr>
                <w:sz w:val="20"/>
              </w:rPr>
            </w:pPr>
            <w:r>
              <w:rPr>
                <w:sz w:val="20"/>
              </w:rPr>
              <w:t>16.00</w:t>
            </w:r>
          </w:p>
        </w:tc>
        <w:tc>
          <w:tcPr>
            <w:tcW w:w="817" w:type="dxa"/>
            <w:tcBorders>
              <w:top w:val="nil"/>
              <w:left w:val="nil"/>
              <w:bottom w:val="nil"/>
              <w:right w:val="nil"/>
            </w:tcBorders>
          </w:tcPr>
          <w:p>
            <w:pPr>
              <w:pStyle w:val="TableParagraph"/>
              <w:spacing w:before="26"/>
              <w:ind w:left="180"/>
              <w:jc w:val="left"/>
              <w:rPr>
                <w:sz w:val="20"/>
              </w:rPr>
            </w:pPr>
            <w:r>
              <w:rPr>
                <w:sz w:val="20"/>
              </w:rPr>
              <w:t>17.77</w:t>
            </w:r>
          </w:p>
        </w:tc>
        <w:tc>
          <w:tcPr>
            <w:tcW w:w="819" w:type="dxa"/>
            <w:tcBorders>
              <w:top w:val="nil"/>
              <w:left w:val="nil"/>
              <w:bottom w:val="nil"/>
              <w:right w:val="nil"/>
            </w:tcBorders>
          </w:tcPr>
          <w:p>
            <w:pPr>
              <w:pStyle w:val="TableParagraph"/>
              <w:spacing w:before="26"/>
              <w:ind w:left="180"/>
              <w:jc w:val="left"/>
              <w:rPr>
                <w:sz w:val="20"/>
              </w:rPr>
            </w:pPr>
            <w:r>
              <w:rPr>
                <w:sz w:val="20"/>
              </w:rPr>
              <w:t>26.08</w:t>
            </w:r>
          </w:p>
        </w:tc>
        <w:tc>
          <w:tcPr>
            <w:tcW w:w="819" w:type="dxa"/>
            <w:tcBorders>
              <w:top w:val="nil"/>
              <w:left w:val="nil"/>
              <w:bottom w:val="nil"/>
              <w:right w:val="nil"/>
            </w:tcBorders>
          </w:tcPr>
          <w:p>
            <w:pPr>
              <w:pStyle w:val="TableParagraph"/>
              <w:spacing w:before="26"/>
              <w:ind w:left="182"/>
              <w:jc w:val="left"/>
              <w:rPr>
                <w:sz w:val="20"/>
              </w:rPr>
            </w:pPr>
            <w:r>
              <w:rPr>
                <w:sz w:val="20"/>
              </w:rPr>
              <w:t>25.15</w:t>
            </w:r>
          </w:p>
        </w:tc>
        <w:tc>
          <w:tcPr>
            <w:tcW w:w="850" w:type="dxa"/>
            <w:tcBorders>
              <w:top w:val="nil"/>
              <w:left w:val="nil"/>
              <w:bottom w:val="nil"/>
              <w:right w:val="nil"/>
            </w:tcBorders>
          </w:tcPr>
          <w:p>
            <w:pPr>
              <w:pStyle w:val="TableParagraph"/>
              <w:spacing w:before="26"/>
              <w:ind w:left="180"/>
              <w:jc w:val="left"/>
              <w:rPr>
                <w:sz w:val="20"/>
              </w:rPr>
            </w:pPr>
            <w:r>
              <w:rPr>
                <w:sz w:val="20"/>
              </w:rPr>
              <w:t>25.95</w:t>
            </w:r>
          </w:p>
        </w:tc>
        <w:tc>
          <w:tcPr>
            <w:tcW w:w="819" w:type="dxa"/>
            <w:tcBorders>
              <w:top w:val="nil"/>
              <w:left w:val="nil"/>
              <w:bottom w:val="nil"/>
              <w:right w:val="nil"/>
            </w:tcBorders>
          </w:tcPr>
          <w:p>
            <w:pPr>
              <w:pStyle w:val="TableParagraph"/>
              <w:spacing w:before="26"/>
              <w:ind w:left="252"/>
              <w:jc w:val="left"/>
              <w:rPr>
                <w:sz w:val="20"/>
              </w:rPr>
            </w:pPr>
            <w:r>
              <w:rPr>
                <w:sz w:val="20"/>
              </w:rPr>
              <w:t>0.00</w:t>
            </w:r>
          </w:p>
        </w:tc>
        <w:tc>
          <w:tcPr>
            <w:tcW w:w="790" w:type="dxa"/>
            <w:tcBorders>
              <w:top w:val="nil"/>
              <w:left w:val="nil"/>
              <w:bottom w:val="nil"/>
              <w:right w:val="nil"/>
            </w:tcBorders>
          </w:tcPr>
          <w:p>
            <w:pPr>
              <w:pStyle w:val="TableParagraph"/>
              <w:spacing w:before="26"/>
              <w:ind w:left="249"/>
              <w:jc w:val="left"/>
              <w:rPr>
                <w:sz w:val="20"/>
              </w:rPr>
            </w:pPr>
            <w:r>
              <w:rPr>
                <w:sz w:val="20"/>
              </w:rPr>
              <w:t>0.00</w:t>
            </w:r>
          </w:p>
        </w:tc>
        <w:tc>
          <w:tcPr>
            <w:tcW w:w="699" w:type="dxa"/>
            <w:tcBorders>
              <w:top w:val="nil"/>
              <w:left w:val="nil"/>
              <w:bottom w:val="nil"/>
              <w:right w:val="nil"/>
            </w:tcBorders>
          </w:tcPr>
          <w:p>
            <w:pPr>
              <w:pStyle w:val="TableParagraph"/>
              <w:spacing w:before="26"/>
              <w:ind w:right="65"/>
              <w:rPr>
                <w:sz w:val="20"/>
              </w:rPr>
            </w:pPr>
            <w:r>
              <w:rPr>
                <w:sz w:val="20"/>
              </w:rPr>
              <w:t>0.00</w:t>
            </w:r>
          </w:p>
        </w:tc>
      </w:tr>
      <w:tr>
        <w:trPr>
          <w:trHeight w:val="300" w:hRule="exact"/>
        </w:trPr>
        <w:tc>
          <w:tcPr>
            <w:tcW w:w="1468" w:type="dxa"/>
            <w:tcBorders>
              <w:top w:val="nil"/>
              <w:left w:val="nil"/>
              <w:bottom w:val="nil"/>
              <w:right w:val="nil"/>
            </w:tcBorders>
          </w:tcPr>
          <w:p>
            <w:pPr>
              <w:pStyle w:val="TableParagraph"/>
              <w:ind w:left="86"/>
              <w:jc w:val="left"/>
              <w:rPr>
                <w:sz w:val="20"/>
              </w:rPr>
            </w:pPr>
            <w:r>
              <w:rPr>
                <w:sz w:val="20"/>
              </w:rPr>
              <w:t>TEJ_HlFlp</w:t>
            </w:r>
          </w:p>
        </w:tc>
        <w:tc>
          <w:tcPr>
            <w:tcW w:w="777" w:type="dxa"/>
            <w:tcBorders>
              <w:top w:val="nil"/>
              <w:left w:val="nil"/>
              <w:bottom w:val="nil"/>
              <w:right w:val="nil"/>
            </w:tcBorders>
          </w:tcPr>
          <w:p>
            <w:pPr>
              <w:pStyle w:val="TableParagraph"/>
              <w:ind w:left="125" w:right="162"/>
              <w:jc w:val="center"/>
              <w:rPr>
                <w:sz w:val="20"/>
              </w:rPr>
            </w:pPr>
            <w:r>
              <w:rPr>
                <w:sz w:val="20"/>
              </w:rPr>
              <w:t>44.00</w:t>
            </w:r>
          </w:p>
        </w:tc>
        <w:tc>
          <w:tcPr>
            <w:tcW w:w="819" w:type="dxa"/>
            <w:tcBorders>
              <w:top w:val="nil"/>
              <w:left w:val="nil"/>
              <w:bottom w:val="nil"/>
              <w:right w:val="nil"/>
            </w:tcBorders>
          </w:tcPr>
          <w:p>
            <w:pPr>
              <w:pStyle w:val="TableParagraph"/>
              <w:ind w:left="180"/>
              <w:jc w:val="left"/>
              <w:rPr>
                <w:sz w:val="20"/>
              </w:rPr>
            </w:pPr>
            <w:r>
              <w:rPr>
                <w:sz w:val="20"/>
              </w:rPr>
              <w:t>44.00</w:t>
            </w:r>
          </w:p>
        </w:tc>
        <w:tc>
          <w:tcPr>
            <w:tcW w:w="819" w:type="dxa"/>
            <w:tcBorders>
              <w:top w:val="nil"/>
              <w:left w:val="nil"/>
              <w:bottom w:val="nil"/>
              <w:right w:val="nil"/>
            </w:tcBorders>
          </w:tcPr>
          <w:p>
            <w:pPr>
              <w:pStyle w:val="TableParagraph"/>
              <w:ind w:left="182"/>
              <w:jc w:val="left"/>
              <w:rPr>
                <w:sz w:val="20"/>
              </w:rPr>
            </w:pPr>
            <w:r>
              <w:rPr>
                <w:sz w:val="20"/>
              </w:rPr>
              <w:t>44.00</w:t>
            </w:r>
          </w:p>
        </w:tc>
        <w:tc>
          <w:tcPr>
            <w:tcW w:w="817" w:type="dxa"/>
            <w:tcBorders>
              <w:top w:val="nil"/>
              <w:left w:val="nil"/>
              <w:bottom w:val="nil"/>
              <w:right w:val="nil"/>
            </w:tcBorders>
          </w:tcPr>
          <w:p>
            <w:pPr>
              <w:pStyle w:val="TableParagraph"/>
              <w:ind w:left="180"/>
              <w:jc w:val="left"/>
              <w:rPr>
                <w:sz w:val="20"/>
              </w:rPr>
            </w:pPr>
            <w:r>
              <w:rPr>
                <w:sz w:val="20"/>
              </w:rPr>
              <w:t>36.00</w:t>
            </w:r>
          </w:p>
        </w:tc>
        <w:tc>
          <w:tcPr>
            <w:tcW w:w="819" w:type="dxa"/>
            <w:tcBorders>
              <w:top w:val="nil"/>
              <w:left w:val="nil"/>
              <w:bottom w:val="nil"/>
              <w:right w:val="nil"/>
            </w:tcBorders>
          </w:tcPr>
          <w:p>
            <w:pPr>
              <w:pStyle w:val="TableParagraph"/>
              <w:ind w:left="180"/>
              <w:jc w:val="left"/>
              <w:rPr>
                <w:sz w:val="20"/>
              </w:rPr>
            </w:pPr>
            <w:r>
              <w:rPr>
                <w:sz w:val="20"/>
              </w:rPr>
              <w:t>36.00</w:t>
            </w:r>
          </w:p>
        </w:tc>
        <w:tc>
          <w:tcPr>
            <w:tcW w:w="819" w:type="dxa"/>
            <w:tcBorders>
              <w:top w:val="nil"/>
              <w:left w:val="nil"/>
              <w:bottom w:val="nil"/>
              <w:right w:val="nil"/>
            </w:tcBorders>
          </w:tcPr>
          <w:p>
            <w:pPr>
              <w:pStyle w:val="TableParagraph"/>
              <w:ind w:left="182"/>
              <w:jc w:val="left"/>
              <w:rPr>
                <w:sz w:val="20"/>
              </w:rPr>
            </w:pPr>
            <w:r>
              <w:rPr>
                <w:sz w:val="20"/>
              </w:rPr>
              <w:t>36.00</w:t>
            </w:r>
          </w:p>
        </w:tc>
        <w:tc>
          <w:tcPr>
            <w:tcW w:w="850" w:type="dxa"/>
            <w:tcBorders>
              <w:top w:val="nil"/>
              <w:left w:val="nil"/>
              <w:bottom w:val="nil"/>
              <w:right w:val="nil"/>
            </w:tcBorders>
          </w:tcPr>
          <w:p>
            <w:pPr>
              <w:pStyle w:val="TableParagraph"/>
              <w:ind w:left="180"/>
              <w:jc w:val="left"/>
              <w:rPr>
                <w:sz w:val="20"/>
              </w:rPr>
            </w:pPr>
            <w:r>
              <w:rPr>
                <w:sz w:val="20"/>
              </w:rPr>
              <w:t>36.00</w:t>
            </w:r>
          </w:p>
        </w:tc>
        <w:tc>
          <w:tcPr>
            <w:tcW w:w="819" w:type="dxa"/>
            <w:tcBorders>
              <w:top w:val="nil"/>
              <w:left w:val="nil"/>
              <w:bottom w:val="nil"/>
              <w:right w:val="nil"/>
            </w:tcBorders>
          </w:tcPr>
          <w:p>
            <w:pPr>
              <w:pStyle w:val="TableParagraph"/>
              <w:ind w:left="252"/>
              <w:jc w:val="left"/>
              <w:rPr>
                <w:sz w:val="20"/>
              </w:rPr>
            </w:pPr>
            <w:r>
              <w:rPr>
                <w:sz w:val="20"/>
              </w:rPr>
              <w:t>0.00</w:t>
            </w:r>
          </w:p>
        </w:tc>
        <w:tc>
          <w:tcPr>
            <w:tcW w:w="790" w:type="dxa"/>
            <w:tcBorders>
              <w:top w:val="nil"/>
              <w:left w:val="nil"/>
              <w:bottom w:val="nil"/>
              <w:right w:val="nil"/>
            </w:tcBorders>
          </w:tcPr>
          <w:p>
            <w:pPr>
              <w:pStyle w:val="TableParagraph"/>
              <w:ind w:left="249"/>
              <w:jc w:val="left"/>
              <w:rPr>
                <w:sz w:val="20"/>
              </w:rPr>
            </w:pPr>
            <w:r>
              <w:rPr>
                <w:sz w:val="20"/>
              </w:rPr>
              <w:t>0.00</w:t>
            </w:r>
          </w:p>
        </w:tc>
        <w:tc>
          <w:tcPr>
            <w:tcW w:w="699" w:type="dxa"/>
            <w:tcBorders>
              <w:top w:val="nil"/>
              <w:left w:val="nil"/>
              <w:bottom w:val="nil"/>
              <w:right w:val="nil"/>
            </w:tcBorders>
          </w:tcPr>
          <w:p>
            <w:pPr>
              <w:pStyle w:val="TableParagraph"/>
              <w:ind w:right="65"/>
              <w:rPr>
                <w:sz w:val="20"/>
              </w:rPr>
            </w:pPr>
            <w:r>
              <w:rPr>
                <w:sz w:val="20"/>
              </w:rPr>
              <w:t>0.00</w:t>
            </w:r>
          </w:p>
        </w:tc>
      </w:tr>
      <w:tr>
        <w:trPr>
          <w:trHeight w:val="300" w:hRule="exact"/>
        </w:trPr>
        <w:tc>
          <w:tcPr>
            <w:tcW w:w="1468" w:type="dxa"/>
            <w:tcBorders>
              <w:top w:val="nil"/>
              <w:left w:val="nil"/>
              <w:bottom w:val="nil"/>
              <w:right w:val="nil"/>
            </w:tcBorders>
          </w:tcPr>
          <w:p>
            <w:pPr>
              <w:pStyle w:val="TableParagraph"/>
              <w:spacing w:before="26"/>
              <w:ind w:left="86"/>
              <w:jc w:val="left"/>
              <w:rPr>
                <w:sz w:val="20"/>
              </w:rPr>
            </w:pPr>
            <w:r>
              <w:rPr>
                <w:sz w:val="20"/>
              </w:rPr>
              <w:t>TEJ_HlFp</w:t>
            </w:r>
          </w:p>
        </w:tc>
        <w:tc>
          <w:tcPr>
            <w:tcW w:w="777" w:type="dxa"/>
            <w:tcBorders>
              <w:top w:val="nil"/>
              <w:left w:val="nil"/>
              <w:bottom w:val="nil"/>
              <w:right w:val="nil"/>
            </w:tcBorders>
          </w:tcPr>
          <w:p>
            <w:pPr>
              <w:pStyle w:val="TableParagraph"/>
              <w:spacing w:before="26"/>
              <w:ind w:left="125" w:right="162"/>
              <w:jc w:val="center"/>
              <w:rPr>
                <w:sz w:val="20"/>
              </w:rPr>
            </w:pPr>
            <w:r>
              <w:rPr>
                <w:sz w:val="20"/>
              </w:rPr>
              <w:t>20.00</w:t>
            </w:r>
          </w:p>
        </w:tc>
        <w:tc>
          <w:tcPr>
            <w:tcW w:w="819" w:type="dxa"/>
            <w:tcBorders>
              <w:top w:val="nil"/>
              <w:left w:val="nil"/>
              <w:bottom w:val="nil"/>
              <w:right w:val="nil"/>
            </w:tcBorders>
          </w:tcPr>
          <w:p>
            <w:pPr>
              <w:pStyle w:val="TableParagraph"/>
              <w:spacing w:before="26"/>
              <w:ind w:left="180"/>
              <w:jc w:val="left"/>
              <w:rPr>
                <w:sz w:val="20"/>
              </w:rPr>
            </w:pPr>
            <w:r>
              <w:rPr>
                <w:sz w:val="20"/>
              </w:rPr>
              <w:t>20.00</w:t>
            </w:r>
          </w:p>
        </w:tc>
        <w:tc>
          <w:tcPr>
            <w:tcW w:w="819" w:type="dxa"/>
            <w:tcBorders>
              <w:top w:val="nil"/>
              <w:left w:val="nil"/>
              <w:bottom w:val="nil"/>
              <w:right w:val="nil"/>
            </w:tcBorders>
          </w:tcPr>
          <w:p>
            <w:pPr>
              <w:pStyle w:val="TableParagraph"/>
              <w:spacing w:before="26"/>
              <w:ind w:left="182"/>
              <w:jc w:val="left"/>
              <w:rPr>
                <w:sz w:val="20"/>
              </w:rPr>
            </w:pPr>
            <w:r>
              <w:rPr>
                <w:sz w:val="20"/>
              </w:rPr>
              <w:t>16.00</w:t>
            </w:r>
          </w:p>
        </w:tc>
        <w:tc>
          <w:tcPr>
            <w:tcW w:w="817" w:type="dxa"/>
            <w:tcBorders>
              <w:top w:val="nil"/>
              <w:left w:val="nil"/>
              <w:bottom w:val="nil"/>
              <w:right w:val="nil"/>
            </w:tcBorders>
          </w:tcPr>
          <w:p>
            <w:pPr>
              <w:pStyle w:val="TableParagraph"/>
              <w:spacing w:before="26"/>
              <w:ind w:left="180"/>
              <w:jc w:val="left"/>
              <w:rPr>
                <w:sz w:val="20"/>
              </w:rPr>
            </w:pPr>
            <w:r>
              <w:rPr>
                <w:sz w:val="20"/>
              </w:rPr>
              <w:t>16.00</w:t>
            </w:r>
          </w:p>
        </w:tc>
        <w:tc>
          <w:tcPr>
            <w:tcW w:w="819" w:type="dxa"/>
            <w:tcBorders>
              <w:top w:val="nil"/>
              <w:left w:val="nil"/>
              <w:bottom w:val="nil"/>
              <w:right w:val="nil"/>
            </w:tcBorders>
          </w:tcPr>
          <w:p>
            <w:pPr>
              <w:pStyle w:val="TableParagraph"/>
              <w:spacing w:before="26"/>
              <w:ind w:left="180"/>
              <w:jc w:val="left"/>
              <w:rPr>
                <w:sz w:val="20"/>
              </w:rPr>
            </w:pPr>
            <w:r>
              <w:rPr>
                <w:sz w:val="20"/>
              </w:rPr>
              <w:t>26.20</w:t>
            </w:r>
          </w:p>
        </w:tc>
        <w:tc>
          <w:tcPr>
            <w:tcW w:w="819" w:type="dxa"/>
            <w:tcBorders>
              <w:top w:val="nil"/>
              <w:left w:val="nil"/>
              <w:bottom w:val="nil"/>
              <w:right w:val="nil"/>
            </w:tcBorders>
          </w:tcPr>
          <w:p>
            <w:pPr>
              <w:pStyle w:val="TableParagraph"/>
              <w:spacing w:before="26"/>
              <w:ind w:left="182"/>
              <w:jc w:val="left"/>
              <w:rPr>
                <w:sz w:val="20"/>
              </w:rPr>
            </w:pPr>
            <w:r>
              <w:rPr>
                <w:sz w:val="20"/>
              </w:rPr>
              <w:t>25.53</w:t>
            </w:r>
          </w:p>
        </w:tc>
        <w:tc>
          <w:tcPr>
            <w:tcW w:w="850" w:type="dxa"/>
            <w:tcBorders>
              <w:top w:val="nil"/>
              <w:left w:val="nil"/>
              <w:bottom w:val="nil"/>
              <w:right w:val="nil"/>
            </w:tcBorders>
          </w:tcPr>
          <w:p>
            <w:pPr>
              <w:pStyle w:val="TableParagraph"/>
              <w:spacing w:before="26"/>
              <w:ind w:left="180"/>
              <w:jc w:val="left"/>
              <w:rPr>
                <w:sz w:val="20"/>
              </w:rPr>
            </w:pPr>
            <w:r>
              <w:rPr>
                <w:sz w:val="20"/>
              </w:rPr>
              <w:t>26.40</w:t>
            </w:r>
          </w:p>
        </w:tc>
        <w:tc>
          <w:tcPr>
            <w:tcW w:w="819" w:type="dxa"/>
            <w:tcBorders>
              <w:top w:val="nil"/>
              <w:left w:val="nil"/>
              <w:bottom w:val="nil"/>
              <w:right w:val="nil"/>
            </w:tcBorders>
          </w:tcPr>
          <w:p>
            <w:pPr>
              <w:pStyle w:val="TableParagraph"/>
              <w:spacing w:before="26"/>
              <w:ind w:left="252"/>
              <w:jc w:val="left"/>
              <w:rPr>
                <w:sz w:val="20"/>
              </w:rPr>
            </w:pPr>
            <w:r>
              <w:rPr>
                <w:sz w:val="20"/>
              </w:rPr>
              <w:t>0.00</w:t>
            </w:r>
          </w:p>
        </w:tc>
        <w:tc>
          <w:tcPr>
            <w:tcW w:w="790" w:type="dxa"/>
            <w:tcBorders>
              <w:top w:val="nil"/>
              <w:left w:val="nil"/>
              <w:bottom w:val="nil"/>
              <w:right w:val="nil"/>
            </w:tcBorders>
          </w:tcPr>
          <w:p>
            <w:pPr>
              <w:pStyle w:val="TableParagraph"/>
              <w:spacing w:before="26"/>
              <w:ind w:left="249"/>
              <w:jc w:val="left"/>
              <w:rPr>
                <w:sz w:val="20"/>
              </w:rPr>
            </w:pPr>
            <w:r>
              <w:rPr>
                <w:sz w:val="20"/>
              </w:rPr>
              <w:t>0.00</w:t>
            </w:r>
          </w:p>
        </w:tc>
        <w:tc>
          <w:tcPr>
            <w:tcW w:w="699" w:type="dxa"/>
            <w:tcBorders>
              <w:top w:val="nil"/>
              <w:left w:val="nil"/>
              <w:bottom w:val="nil"/>
              <w:right w:val="nil"/>
            </w:tcBorders>
          </w:tcPr>
          <w:p>
            <w:pPr>
              <w:pStyle w:val="TableParagraph"/>
              <w:spacing w:before="26"/>
              <w:ind w:right="65"/>
              <w:rPr>
                <w:sz w:val="20"/>
              </w:rPr>
            </w:pPr>
            <w:r>
              <w:rPr>
                <w:sz w:val="20"/>
              </w:rPr>
              <w:t>0.00</w:t>
            </w:r>
          </w:p>
        </w:tc>
      </w:tr>
      <w:tr>
        <w:trPr>
          <w:trHeight w:val="300" w:hRule="exact"/>
        </w:trPr>
        <w:tc>
          <w:tcPr>
            <w:tcW w:w="1468" w:type="dxa"/>
            <w:tcBorders>
              <w:top w:val="nil"/>
              <w:left w:val="nil"/>
              <w:bottom w:val="nil"/>
              <w:right w:val="nil"/>
            </w:tcBorders>
          </w:tcPr>
          <w:p>
            <w:pPr>
              <w:pStyle w:val="TableParagraph"/>
              <w:ind w:left="86"/>
              <w:jc w:val="left"/>
              <w:rPr>
                <w:sz w:val="20"/>
              </w:rPr>
            </w:pPr>
            <w:r>
              <w:rPr>
                <w:sz w:val="20"/>
              </w:rPr>
              <w:t>TEJ_HlSF</w:t>
            </w:r>
          </w:p>
        </w:tc>
        <w:tc>
          <w:tcPr>
            <w:tcW w:w="777" w:type="dxa"/>
            <w:tcBorders>
              <w:top w:val="nil"/>
              <w:left w:val="nil"/>
              <w:bottom w:val="nil"/>
              <w:right w:val="nil"/>
            </w:tcBorders>
          </w:tcPr>
          <w:p>
            <w:pPr>
              <w:pStyle w:val="TableParagraph"/>
              <w:ind w:left="125" w:right="162"/>
              <w:jc w:val="center"/>
              <w:rPr>
                <w:sz w:val="20"/>
              </w:rPr>
            </w:pPr>
            <w:r>
              <w:rPr>
                <w:sz w:val="20"/>
              </w:rPr>
              <w:t>18.00</w:t>
            </w:r>
          </w:p>
        </w:tc>
        <w:tc>
          <w:tcPr>
            <w:tcW w:w="819" w:type="dxa"/>
            <w:tcBorders>
              <w:top w:val="nil"/>
              <w:left w:val="nil"/>
              <w:bottom w:val="nil"/>
              <w:right w:val="nil"/>
            </w:tcBorders>
          </w:tcPr>
          <w:p>
            <w:pPr>
              <w:pStyle w:val="TableParagraph"/>
              <w:ind w:left="180"/>
              <w:jc w:val="left"/>
              <w:rPr>
                <w:sz w:val="20"/>
              </w:rPr>
            </w:pPr>
            <w:r>
              <w:rPr>
                <w:sz w:val="20"/>
              </w:rPr>
              <w:t>18.00</w:t>
            </w:r>
          </w:p>
        </w:tc>
        <w:tc>
          <w:tcPr>
            <w:tcW w:w="819" w:type="dxa"/>
            <w:tcBorders>
              <w:top w:val="nil"/>
              <w:left w:val="nil"/>
              <w:bottom w:val="nil"/>
              <w:right w:val="nil"/>
            </w:tcBorders>
          </w:tcPr>
          <w:p>
            <w:pPr>
              <w:pStyle w:val="TableParagraph"/>
              <w:ind w:left="182"/>
              <w:jc w:val="left"/>
              <w:rPr>
                <w:sz w:val="20"/>
              </w:rPr>
            </w:pPr>
            <w:r>
              <w:rPr>
                <w:sz w:val="20"/>
              </w:rPr>
              <w:t>18.00</w:t>
            </w:r>
          </w:p>
        </w:tc>
        <w:tc>
          <w:tcPr>
            <w:tcW w:w="817" w:type="dxa"/>
            <w:tcBorders>
              <w:top w:val="nil"/>
              <w:left w:val="nil"/>
              <w:bottom w:val="nil"/>
              <w:right w:val="nil"/>
            </w:tcBorders>
          </w:tcPr>
          <w:p>
            <w:pPr>
              <w:pStyle w:val="TableParagraph"/>
              <w:ind w:left="180"/>
              <w:jc w:val="left"/>
              <w:rPr>
                <w:sz w:val="20"/>
              </w:rPr>
            </w:pPr>
            <w:r>
              <w:rPr>
                <w:sz w:val="20"/>
              </w:rPr>
              <w:t>26.00</w:t>
            </w:r>
          </w:p>
        </w:tc>
        <w:tc>
          <w:tcPr>
            <w:tcW w:w="819" w:type="dxa"/>
            <w:tcBorders>
              <w:top w:val="nil"/>
              <w:left w:val="nil"/>
              <w:bottom w:val="nil"/>
              <w:right w:val="nil"/>
            </w:tcBorders>
          </w:tcPr>
          <w:p>
            <w:pPr>
              <w:pStyle w:val="TableParagraph"/>
              <w:ind w:left="180"/>
              <w:jc w:val="left"/>
              <w:rPr>
                <w:sz w:val="20"/>
              </w:rPr>
            </w:pPr>
            <w:r>
              <w:rPr>
                <w:sz w:val="20"/>
              </w:rPr>
              <w:t>26.00</w:t>
            </w:r>
          </w:p>
        </w:tc>
        <w:tc>
          <w:tcPr>
            <w:tcW w:w="819" w:type="dxa"/>
            <w:tcBorders>
              <w:top w:val="nil"/>
              <w:left w:val="nil"/>
              <w:bottom w:val="nil"/>
              <w:right w:val="nil"/>
            </w:tcBorders>
          </w:tcPr>
          <w:p>
            <w:pPr>
              <w:pStyle w:val="TableParagraph"/>
              <w:ind w:left="182"/>
              <w:jc w:val="left"/>
              <w:rPr>
                <w:sz w:val="20"/>
              </w:rPr>
            </w:pPr>
            <w:r>
              <w:rPr>
                <w:sz w:val="20"/>
              </w:rPr>
              <w:t>26.00</w:t>
            </w:r>
          </w:p>
        </w:tc>
        <w:tc>
          <w:tcPr>
            <w:tcW w:w="850" w:type="dxa"/>
            <w:tcBorders>
              <w:top w:val="nil"/>
              <w:left w:val="nil"/>
              <w:bottom w:val="nil"/>
              <w:right w:val="nil"/>
            </w:tcBorders>
          </w:tcPr>
          <w:p>
            <w:pPr>
              <w:pStyle w:val="TableParagraph"/>
              <w:ind w:left="180"/>
              <w:jc w:val="left"/>
              <w:rPr>
                <w:sz w:val="20"/>
              </w:rPr>
            </w:pPr>
            <w:r>
              <w:rPr>
                <w:sz w:val="20"/>
              </w:rPr>
              <w:t>26.00</w:t>
            </w:r>
          </w:p>
        </w:tc>
        <w:tc>
          <w:tcPr>
            <w:tcW w:w="819" w:type="dxa"/>
            <w:tcBorders>
              <w:top w:val="nil"/>
              <w:left w:val="nil"/>
              <w:bottom w:val="nil"/>
              <w:right w:val="nil"/>
            </w:tcBorders>
          </w:tcPr>
          <w:p>
            <w:pPr>
              <w:pStyle w:val="TableParagraph"/>
              <w:ind w:left="252"/>
              <w:jc w:val="left"/>
              <w:rPr>
                <w:sz w:val="20"/>
              </w:rPr>
            </w:pPr>
            <w:r>
              <w:rPr>
                <w:sz w:val="20"/>
              </w:rPr>
              <w:t>0.00</w:t>
            </w:r>
          </w:p>
        </w:tc>
        <w:tc>
          <w:tcPr>
            <w:tcW w:w="790" w:type="dxa"/>
            <w:tcBorders>
              <w:top w:val="nil"/>
              <w:left w:val="nil"/>
              <w:bottom w:val="nil"/>
              <w:right w:val="nil"/>
            </w:tcBorders>
          </w:tcPr>
          <w:p>
            <w:pPr>
              <w:pStyle w:val="TableParagraph"/>
              <w:ind w:left="249"/>
              <w:jc w:val="left"/>
              <w:rPr>
                <w:sz w:val="20"/>
              </w:rPr>
            </w:pPr>
            <w:r>
              <w:rPr>
                <w:sz w:val="20"/>
              </w:rPr>
              <w:t>0.00</w:t>
            </w:r>
          </w:p>
        </w:tc>
        <w:tc>
          <w:tcPr>
            <w:tcW w:w="699" w:type="dxa"/>
            <w:tcBorders>
              <w:top w:val="nil"/>
              <w:left w:val="nil"/>
              <w:bottom w:val="nil"/>
              <w:right w:val="nil"/>
            </w:tcBorders>
          </w:tcPr>
          <w:p>
            <w:pPr>
              <w:pStyle w:val="TableParagraph"/>
              <w:ind w:right="65"/>
              <w:rPr>
                <w:sz w:val="20"/>
              </w:rPr>
            </w:pPr>
            <w:r>
              <w:rPr>
                <w:sz w:val="20"/>
              </w:rPr>
              <w:t>0.00</w:t>
            </w:r>
          </w:p>
        </w:tc>
      </w:tr>
      <w:tr>
        <w:trPr>
          <w:trHeight w:val="300" w:hRule="exact"/>
        </w:trPr>
        <w:tc>
          <w:tcPr>
            <w:tcW w:w="1468" w:type="dxa"/>
            <w:tcBorders>
              <w:top w:val="nil"/>
              <w:left w:val="nil"/>
              <w:bottom w:val="nil"/>
              <w:right w:val="nil"/>
            </w:tcBorders>
          </w:tcPr>
          <w:p>
            <w:pPr>
              <w:pStyle w:val="TableParagraph"/>
              <w:spacing w:before="26"/>
              <w:ind w:left="86"/>
              <w:jc w:val="left"/>
              <w:rPr>
                <w:sz w:val="20"/>
              </w:rPr>
            </w:pPr>
            <w:r>
              <w:rPr>
                <w:sz w:val="20"/>
              </w:rPr>
              <w:t>TEJ_ISF</w:t>
            </w:r>
          </w:p>
        </w:tc>
        <w:tc>
          <w:tcPr>
            <w:tcW w:w="777" w:type="dxa"/>
            <w:tcBorders>
              <w:top w:val="nil"/>
              <w:left w:val="nil"/>
              <w:bottom w:val="nil"/>
              <w:right w:val="nil"/>
            </w:tcBorders>
          </w:tcPr>
          <w:p>
            <w:pPr>
              <w:pStyle w:val="TableParagraph"/>
              <w:spacing w:before="26"/>
              <w:ind w:left="125" w:right="162"/>
              <w:jc w:val="center"/>
              <w:rPr>
                <w:sz w:val="20"/>
              </w:rPr>
            </w:pPr>
            <w:r>
              <w:rPr>
                <w:sz w:val="20"/>
              </w:rPr>
              <w:t>23.65</w:t>
            </w:r>
          </w:p>
        </w:tc>
        <w:tc>
          <w:tcPr>
            <w:tcW w:w="819" w:type="dxa"/>
            <w:tcBorders>
              <w:top w:val="nil"/>
              <w:left w:val="nil"/>
              <w:bottom w:val="nil"/>
              <w:right w:val="nil"/>
            </w:tcBorders>
          </w:tcPr>
          <w:p>
            <w:pPr>
              <w:pStyle w:val="TableParagraph"/>
              <w:spacing w:before="26"/>
              <w:ind w:left="180"/>
              <w:jc w:val="left"/>
              <w:rPr>
                <w:sz w:val="20"/>
              </w:rPr>
            </w:pPr>
            <w:r>
              <w:rPr>
                <w:sz w:val="20"/>
              </w:rPr>
              <w:t>23.40</w:t>
            </w:r>
          </w:p>
        </w:tc>
        <w:tc>
          <w:tcPr>
            <w:tcW w:w="819" w:type="dxa"/>
            <w:tcBorders>
              <w:top w:val="nil"/>
              <w:left w:val="nil"/>
              <w:bottom w:val="nil"/>
              <w:right w:val="nil"/>
            </w:tcBorders>
          </w:tcPr>
          <w:p>
            <w:pPr>
              <w:pStyle w:val="TableParagraph"/>
              <w:spacing w:before="26"/>
              <w:ind w:left="182"/>
              <w:jc w:val="left"/>
              <w:rPr>
                <w:sz w:val="20"/>
              </w:rPr>
            </w:pPr>
            <w:r>
              <w:rPr>
                <w:sz w:val="20"/>
              </w:rPr>
              <w:t>22.90</w:t>
            </w:r>
          </w:p>
        </w:tc>
        <w:tc>
          <w:tcPr>
            <w:tcW w:w="817" w:type="dxa"/>
            <w:tcBorders>
              <w:top w:val="nil"/>
              <w:left w:val="nil"/>
              <w:bottom w:val="nil"/>
              <w:right w:val="nil"/>
            </w:tcBorders>
          </w:tcPr>
          <w:p>
            <w:pPr>
              <w:pStyle w:val="TableParagraph"/>
              <w:spacing w:before="26"/>
              <w:ind w:left="180"/>
              <w:jc w:val="left"/>
              <w:rPr>
                <w:sz w:val="20"/>
              </w:rPr>
            </w:pPr>
            <w:r>
              <w:rPr>
                <w:sz w:val="20"/>
              </w:rPr>
              <w:t>24.55</w:t>
            </w:r>
          </w:p>
        </w:tc>
        <w:tc>
          <w:tcPr>
            <w:tcW w:w="819" w:type="dxa"/>
            <w:tcBorders>
              <w:top w:val="nil"/>
              <w:left w:val="nil"/>
              <w:bottom w:val="nil"/>
              <w:right w:val="nil"/>
            </w:tcBorders>
          </w:tcPr>
          <w:p>
            <w:pPr>
              <w:pStyle w:val="TableParagraph"/>
              <w:spacing w:before="26"/>
              <w:ind w:left="180"/>
              <w:jc w:val="left"/>
              <w:rPr>
                <w:sz w:val="20"/>
              </w:rPr>
            </w:pPr>
            <w:r>
              <w:rPr>
                <w:sz w:val="20"/>
              </w:rPr>
              <w:t>26.05</w:t>
            </w:r>
          </w:p>
        </w:tc>
        <w:tc>
          <w:tcPr>
            <w:tcW w:w="819" w:type="dxa"/>
            <w:tcBorders>
              <w:top w:val="nil"/>
              <w:left w:val="nil"/>
              <w:bottom w:val="nil"/>
              <w:right w:val="nil"/>
            </w:tcBorders>
          </w:tcPr>
          <w:p>
            <w:pPr>
              <w:pStyle w:val="TableParagraph"/>
              <w:spacing w:before="26"/>
              <w:ind w:left="182"/>
              <w:jc w:val="left"/>
              <w:rPr>
                <w:sz w:val="20"/>
              </w:rPr>
            </w:pPr>
            <w:r>
              <w:rPr>
                <w:sz w:val="20"/>
              </w:rPr>
              <w:t>25.80</w:t>
            </w:r>
          </w:p>
        </w:tc>
        <w:tc>
          <w:tcPr>
            <w:tcW w:w="850" w:type="dxa"/>
            <w:tcBorders>
              <w:top w:val="nil"/>
              <w:left w:val="nil"/>
              <w:bottom w:val="nil"/>
              <w:right w:val="nil"/>
            </w:tcBorders>
          </w:tcPr>
          <w:p>
            <w:pPr>
              <w:pStyle w:val="TableParagraph"/>
              <w:spacing w:before="26"/>
              <w:ind w:left="180"/>
              <w:jc w:val="left"/>
              <w:rPr>
                <w:sz w:val="20"/>
              </w:rPr>
            </w:pPr>
            <w:r>
              <w:rPr>
                <w:sz w:val="20"/>
              </w:rPr>
              <w:t>27.10</w:t>
            </w:r>
          </w:p>
        </w:tc>
        <w:tc>
          <w:tcPr>
            <w:tcW w:w="819" w:type="dxa"/>
            <w:tcBorders>
              <w:top w:val="nil"/>
              <w:left w:val="nil"/>
              <w:bottom w:val="nil"/>
              <w:right w:val="nil"/>
            </w:tcBorders>
          </w:tcPr>
          <w:p>
            <w:pPr>
              <w:pStyle w:val="TableParagraph"/>
              <w:spacing w:before="26"/>
              <w:ind w:left="252"/>
              <w:jc w:val="left"/>
              <w:rPr>
                <w:sz w:val="20"/>
              </w:rPr>
            </w:pPr>
            <w:r>
              <w:rPr>
                <w:sz w:val="20"/>
              </w:rPr>
              <w:t>0.00</w:t>
            </w:r>
          </w:p>
        </w:tc>
        <w:tc>
          <w:tcPr>
            <w:tcW w:w="790" w:type="dxa"/>
            <w:tcBorders>
              <w:top w:val="nil"/>
              <w:left w:val="nil"/>
              <w:bottom w:val="nil"/>
              <w:right w:val="nil"/>
            </w:tcBorders>
          </w:tcPr>
          <w:p>
            <w:pPr>
              <w:pStyle w:val="TableParagraph"/>
              <w:spacing w:before="26"/>
              <w:ind w:left="249"/>
              <w:jc w:val="left"/>
              <w:rPr>
                <w:sz w:val="20"/>
              </w:rPr>
            </w:pPr>
            <w:r>
              <w:rPr>
                <w:sz w:val="20"/>
              </w:rPr>
              <w:t>0.00</w:t>
            </w:r>
          </w:p>
        </w:tc>
        <w:tc>
          <w:tcPr>
            <w:tcW w:w="699" w:type="dxa"/>
            <w:tcBorders>
              <w:top w:val="nil"/>
              <w:left w:val="nil"/>
              <w:bottom w:val="nil"/>
              <w:right w:val="nil"/>
            </w:tcBorders>
          </w:tcPr>
          <w:p>
            <w:pPr>
              <w:pStyle w:val="TableParagraph"/>
              <w:spacing w:before="26"/>
              <w:ind w:right="65"/>
              <w:rPr>
                <w:sz w:val="20"/>
              </w:rPr>
            </w:pPr>
            <w:r>
              <w:rPr>
                <w:sz w:val="20"/>
              </w:rPr>
              <w:t>0.00</w:t>
            </w:r>
          </w:p>
        </w:tc>
      </w:tr>
      <w:tr>
        <w:trPr>
          <w:trHeight w:val="300" w:hRule="exact"/>
        </w:trPr>
        <w:tc>
          <w:tcPr>
            <w:tcW w:w="1468" w:type="dxa"/>
            <w:tcBorders>
              <w:top w:val="nil"/>
              <w:left w:val="nil"/>
              <w:bottom w:val="nil"/>
              <w:right w:val="nil"/>
            </w:tcBorders>
          </w:tcPr>
          <w:p>
            <w:pPr>
              <w:pStyle w:val="TableParagraph"/>
              <w:ind w:left="86"/>
              <w:jc w:val="left"/>
              <w:rPr>
                <w:sz w:val="20"/>
              </w:rPr>
            </w:pPr>
            <w:r>
              <w:rPr>
                <w:sz w:val="20"/>
              </w:rPr>
              <w:t>TEJ_LcFdp</w:t>
            </w:r>
          </w:p>
        </w:tc>
        <w:tc>
          <w:tcPr>
            <w:tcW w:w="777" w:type="dxa"/>
            <w:tcBorders>
              <w:top w:val="nil"/>
              <w:left w:val="nil"/>
              <w:bottom w:val="nil"/>
              <w:right w:val="nil"/>
            </w:tcBorders>
          </w:tcPr>
          <w:p>
            <w:pPr>
              <w:pStyle w:val="TableParagraph"/>
              <w:ind w:left="125" w:right="162"/>
              <w:jc w:val="center"/>
              <w:rPr>
                <w:sz w:val="20"/>
              </w:rPr>
            </w:pPr>
            <w:r>
              <w:rPr>
                <w:sz w:val="20"/>
              </w:rPr>
              <w:t>28.80</w:t>
            </w:r>
          </w:p>
        </w:tc>
        <w:tc>
          <w:tcPr>
            <w:tcW w:w="819" w:type="dxa"/>
            <w:tcBorders>
              <w:top w:val="nil"/>
              <w:left w:val="nil"/>
              <w:bottom w:val="nil"/>
              <w:right w:val="nil"/>
            </w:tcBorders>
          </w:tcPr>
          <w:p>
            <w:pPr>
              <w:pStyle w:val="TableParagraph"/>
              <w:ind w:left="180"/>
              <w:jc w:val="left"/>
              <w:rPr>
                <w:sz w:val="20"/>
              </w:rPr>
            </w:pPr>
            <w:r>
              <w:rPr>
                <w:sz w:val="20"/>
              </w:rPr>
              <w:t>21.60</w:t>
            </w:r>
          </w:p>
        </w:tc>
        <w:tc>
          <w:tcPr>
            <w:tcW w:w="819" w:type="dxa"/>
            <w:tcBorders>
              <w:top w:val="nil"/>
              <w:left w:val="nil"/>
              <w:bottom w:val="nil"/>
              <w:right w:val="nil"/>
            </w:tcBorders>
          </w:tcPr>
          <w:p>
            <w:pPr>
              <w:pStyle w:val="TableParagraph"/>
              <w:ind w:left="182"/>
              <w:jc w:val="left"/>
              <w:rPr>
                <w:sz w:val="20"/>
              </w:rPr>
            </w:pPr>
            <w:r>
              <w:rPr>
                <w:sz w:val="20"/>
              </w:rPr>
              <w:t>21.60</w:t>
            </w:r>
          </w:p>
        </w:tc>
        <w:tc>
          <w:tcPr>
            <w:tcW w:w="817" w:type="dxa"/>
            <w:tcBorders>
              <w:top w:val="nil"/>
              <w:left w:val="nil"/>
              <w:bottom w:val="nil"/>
              <w:right w:val="nil"/>
            </w:tcBorders>
          </w:tcPr>
          <w:p>
            <w:pPr>
              <w:pStyle w:val="TableParagraph"/>
              <w:ind w:left="180"/>
              <w:jc w:val="left"/>
              <w:rPr>
                <w:sz w:val="20"/>
              </w:rPr>
            </w:pPr>
            <w:r>
              <w:rPr>
                <w:sz w:val="20"/>
              </w:rPr>
              <w:t>21.60</w:t>
            </w:r>
          </w:p>
        </w:tc>
        <w:tc>
          <w:tcPr>
            <w:tcW w:w="819" w:type="dxa"/>
            <w:tcBorders>
              <w:top w:val="nil"/>
              <w:left w:val="nil"/>
              <w:bottom w:val="nil"/>
              <w:right w:val="nil"/>
            </w:tcBorders>
          </w:tcPr>
          <w:p>
            <w:pPr>
              <w:pStyle w:val="TableParagraph"/>
              <w:ind w:left="180"/>
              <w:jc w:val="left"/>
              <w:rPr>
                <w:sz w:val="20"/>
              </w:rPr>
            </w:pPr>
            <w:r>
              <w:rPr>
                <w:sz w:val="20"/>
              </w:rPr>
              <w:t>21.60</w:t>
            </w:r>
          </w:p>
        </w:tc>
        <w:tc>
          <w:tcPr>
            <w:tcW w:w="819" w:type="dxa"/>
            <w:tcBorders>
              <w:top w:val="nil"/>
              <w:left w:val="nil"/>
              <w:bottom w:val="nil"/>
              <w:right w:val="nil"/>
            </w:tcBorders>
          </w:tcPr>
          <w:p>
            <w:pPr>
              <w:pStyle w:val="TableParagraph"/>
              <w:ind w:left="182"/>
              <w:jc w:val="left"/>
              <w:rPr>
                <w:sz w:val="20"/>
              </w:rPr>
            </w:pPr>
            <w:r>
              <w:rPr>
                <w:sz w:val="20"/>
              </w:rPr>
              <w:t>21.87</w:t>
            </w:r>
          </w:p>
        </w:tc>
        <w:tc>
          <w:tcPr>
            <w:tcW w:w="850" w:type="dxa"/>
            <w:tcBorders>
              <w:top w:val="nil"/>
              <w:left w:val="nil"/>
              <w:bottom w:val="nil"/>
              <w:right w:val="nil"/>
            </w:tcBorders>
          </w:tcPr>
          <w:p>
            <w:pPr>
              <w:pStyle w:val="TableParagraph"/>
              <w:ind w:left="180"/>
              <w:jc w:val="left"/>
              <w:rPr>
                <w:sz w:val="20"/>
              </w:rPr>
            </w:pPr>
            <w:r>
              <w:rPr>
                <w:sz w:val="20"/>
              </w:rPr>
              <w:t>22.00</w:t>
            </w:r>
          </w:p>
        </w:tc>
        <w:tc>
          <w:tcPr>
            <w:tcW w:w="819" w:type="dxa"/>
            <w:tcBorders>
              <w:top w:val="nil"/>
              <w:left w:val="nil"/>
              <w:bottom w:val="nil"/>
              <w:right w:val="nil"/>
            </w:tcBorders>
          </w:tcPr>
          <w:p>
            <w:pPr>
              <w:pStyle w:val="TableParagraph"/>
              <w:ind w:left="252"/>
              <w:jc w:val="left"/>
              <w:rPr>
                <w:sz w:val="20"/>
              </w:rPr>
            </w:pPr>
            <w:r>
              <w:rPr>
                <w:sz w:val="20"/>
              </w:rPr>
              <w:t>0.00</w:t>
            </w:r>
          </w:p>
        </w:tc>
        <w:tc>
          <w:tcPr>
            <w:tcW w:w="790" w:type="dxa"/>
            <w:tcBorders>
              <w:top w:val="nil"/>
              <w:left w:val="nil"/>
              <w:bottom w:val="nil"/>
              <w:right w:val="nil"/>
            </w:tcBorders>
          </w:tcPr>
          <w:p>
            <w:pPr>
              <w:pStyle w:val="TableParagraph"/>
              <w:ind w:left="249"/>
              <w:jc w:val="left"/>
              <w:rPr>
                <w:sz w:val="20"/>
              </w:rPr>
            </w:pPr>
            <w:r>
              <w:rPr>
                <w:sz w:val="20"/>
              </w:rPr>
              <w:t>0.00</w:t>
            </w:r>
          </w:p>
        </w:tc>
        <w:tc>
          <w:tcPr>
            <w:tcW w:w="699" w:type="dxa"/>
            <w:tcBorders>
              <w:top w:val="nil"/>
              <w:left w:val="nil"/>
              <w:bottom w:val="nil"/>
              <w:right w:val="nil"/>
            </w:tcBorders>
          </w:tcPr>
          <w:p>
            <w:pPr>
              <w:pStyle w:val="TableParagraph"/>
              <w:ind w:right="65"/>
              <w:rPr>
                <w:sz w:val="20"/>
              </w:rPr>
            </w:pPr>
            <w:r>
              <w:rPr>
                <w:sz w:val="20"/>
              </w:rPr>
              <w:t>0.00</w:t>
            </w:r>
          </w:p>
        </w:tc>
      </w:tr>
      <w:tr>
        <w:trPr>
          <w:trHeight w:val="300" w:hRule="exact"/>
        </w:trPr>
        <w:tc>
          <w:tcPr>
            <w:tcW w:w="1468" w:type="dxa"/>
            <w:tcBorders>
              <w:top w:val="nil"/>
              <w:left w:val="nil"/>
              <w:bottom w:val="nil"/>
              <w:right w:val="nil"/>
            </w:tcBorders>
          </w:tcPr>
          <w:p>
            <w:pPr>
              <w:pStyle w:val="TableParagraph"/>
              <w:spacing w:before="26"/>
              <w:ind w:left="86"/>
              <w:jc w:val="left"/>
              <w:rPr>
                <w:sz w:val="20"/>
              </w:rPr>
            </w:pPr>
            <w:r>
              <w:rPr>
                <w:sz w:val="20"/>
              </w:rPr>
              <w:t>TEJ_LcFl</w:t>
            </w:r>
          </w:p>
        </w:tc>
        <w:tc>
          <w:tcPr>
            <w:tcW w:w="777" w:type="dxa"/>
            <w:tcBorders>
              <w:top w:val="nil"/>
              <w:left w:val="nil"/>
              <w:bottom w:val="nil"/>
              <w:right w:val="nil"/>
            </w:tcBorders>
          </w:tcPr>
          <w:p>
            <w:pPr>
              <w:pStyle w:val="TableParagraph"/>
              <w:spacing w:before="26"/>
              <w:ind w:left="125" w:right="162"/>
              <w:jc w:val="center"/>
              <w:rPr>
                <w:sz w:val="20"/>
              </w:rPr>
            </w:pPr>
            <w:r>
              <w:rPr>
                <w:sz w:val="20"/>
              </w:rPr>
              <w:t>22.00</w:t>
            </w:r>
          </w:p>
        </w:tc>
        <w:tc>
          <w:tcPr>
            <w:tcW w:w="819" w:type="dxa"/>
            <w:tcBorders>
              <w:top w:val="nil"/>
              <w:left w:val="nil"/>
              <w:bottom w:val="nil"/>
              <w:right w:val="nil"/>
            </w:tcBorders>
          </w:tcPr>
          <w:p>
            <w:pPr>
              <w:pStyle w:val="TableParagraph"/>
              <w:spacing w:before="26"/>
              <w:ind w:left="180"/>
              <w:jc w:val="left"/>
              <w:rPr>
                <w:sz w:val="20"/>
              </w:rPr>
            </w:pPr>
            <w:r>
              <w:rPr>
                <w:sz w:val="20"/>
              </w:rPr>
              <w:t>22.00</w:t>
            </w:r>
          </w:p>
        </w:tc>
        <w:tc>
          <w:tcPr>
            <w:tcW w:w="819" w:type="dxa"/>
            <w:tcBorders>
              <w:top w:val="nil"/>
              <w:left w:val="nil"/>
              <w:bottom w:val="nil"/>
              <w:right w:val="nil"/>
            </w:tcBorders>
          </w:tcPr>
          <w:p>
            <w:pPr>
              <w:pStyle w:val="TableParagraph"/>
              <w:spacing w:before="26"/>
              <w:ind w:left="182"/>
              <w:jc w:val="left"/>
              <w:rPr>
                <w:sz w:val="20"/>
              </w:rPr>
            </w:pPr>
            <w:r>
              <w:rPr>
                <w:sz w:val="20"/>
              </w:rPr>
              <w:t>22.00</w:t>
            </w:r>
          </w:p>
        </w:tc>
        <w:tc>
          <w:tcPr>
            <w:tcW w:w="817" w:type="dxa"/>
            <w:tcBorders>
              <w:top w:val="nil"/>
              <w:left w:val="nil"/>
              <w:bottom w:val="nil"/>
              <w:right w:val="nil"/>
            </w:tcBorders>
          </w:tcPr>
          <w:p>
            <w:pPr>
              <w:pStyle w:val="TableParagraph"/>
              <w:spacing w:before="26"/>
              <w:ind w:left="180"/>
              <w:jc w:val="left"/>
              <w:rPr>
                <w:sz w:val="20"/>
              </w:rPr>
            </w:pPr>
            <w:r>
              <w:rPr>
                <w:sz w:val="20"/>
              </w:rPr>
              <w:t>18.00</w:t>
            </w:r>
          </w:p>
        </w:tc>
        <w:tc>
          <w:tcPr>
            <w:tcW w:w="819" w:type="dxa"/>
            <w:tcBorders>
              <w:top w:val="nil"/>
              <w:left w:val="nil"/>
              <w:bottom w:val="nil"/>
              <w:right w:val="nil"/>
            </w:tcBorders>
          </w:tcPr>
          <w:p>
            <w:pPr>
              <w:pStyle w:val="TableParagraph"/>
              <w:spacing w:before="26"/>
              <w:ind w:left="180"/>
              <w:jc w:val="left"/>
              <w:rPr>
                <w:sz w:val="20"/>
              </w:rPr>
            </w:pPr>
            <w:r>
              <w:rPr>
                <w:sz w:val="20"/>
              </w:rPr>
              <w:t>18.00</w:t>
            </w:r>
          </w:p>
        </w:tc>
        <w:tc>
          <w:tcPr>
            <w:tcW w:w="819" w:type="dxa"/>
            <w:tcBorders>
              <w:top w:val="nil"/>
              <w:left w:val="nil"/>
              <w:bottom w:val="nil"/>
              <w:right w:val="nil"/>
            </w:tcBorders>
          </w:tcPr>
          <w:p>
            <w:pPr>
              <w:pStyle w:val="TableParagraph"/>
              <w:spacing w:before="26"/>
              <w:ind w:left="182"/>
              <w:jc w:val="left"/>
              <w:rPr>
                <w:sz w:val="20"/>
              </w:rPr>
            </w:pPr>
            <w:r>
              <w:rPr>
                <w:sz w:val="20"/>
              </w:rPr>
              <w:t>26.07</w:t>
            </w:r>
          </w:p>
        </w:tc>
        <w:tc>
          <w:tcPr>
            <w:tcW w:w="850" w:type="dxa"/>
            <w:tcBorders>
              <w:top w:val="nil"/>
              <w:left w:val="nil"/>
              <w:bottom w:val="nil"/>
              <w:right w:val="nil"/>
            </w:tcBorders>
          </w:tcPr>
          <w:p>
            <w:pPr>
              <w:pStyle w:val="TableParagraph"/>
              <w:spacing w:before="26"/>
              <w:ind w:left="180"/>
              <w:jc w:val="left"/>
              <w:rPr>
                <w:sz w:val="20"/>
              </w:rPr>
            </w:pPr>
            <w:r>
              <w:rPr>
                <w:sz w:val="20"/>
              </w:rPr>
              <w:t>27.33</w:t>
            </w:r>
          </w:p>
        </w:tc>
        <w:tc>
          <w:tcPr>
            <w:tcW w:w="819" w:type="dxa"/>
            <w:tcBorders>
              <w:top w:val="nil"/>
              <w:left w:val="nil"/>
              <w:bottom w:val="nil"/>
              <w:right w:val="nil"/>
            </w:tcBorders>
          </w:tcPr>
          <w:p>
            <w:pPr>
              <w:pStyle w:val="TableParagraph"/>
              <w:spacing w:before="26"/>
              <w:ind w:left="252"/>
              <w:jc w:val="left"/>
              <w:rPr>
                <w:sz w:val="20"/>
              </w:rPr>
            </w:pPr>
            <w:r>
              <w:rPr>
                <w:sz w:val="20"/>
              </w:rPr>
              <w:t>0.00</w:t>
            </w:r>
          </w:p>
        </w:tc>
        <w:tc>
          <w:tcPr>
            <w:tcW w:w="790" w:type="dxa"/>
            <w:tcBorders>
              <w:top w:val="nil"/>
              <w:left w:val="nil"/>
              <w:bottom w:val="nil"/>
              <w:right w:val="nil"/>
            </w:tcBorders>
          </w:tcPr>
          <w:p>
            <w:pPr>
              <w:pStyle w:val="TableParagraph"/>
              <w:spacing w:before="26"/>
              <w:ind w:left="249"/>
              <w:jc w:val="left"/>
              <w:rPr>
                <w:sz w:val="20"/>
              </w:rPr>
            </w:pPr>
            <w:r>
              <w:rPr>
                <w:sz w:val="20"/>
              </w:rPr>
              <w:t>0.00</w:t>
            </w:r>
          </w:p>
        </w:tc>
        <w:tc>
          <w:tcPr>
            <w:tcW w:w="699" w:type="dxa"/>
            <w:tcBorders>
              <w:top w:val="nil"/>
              <w:left w:val="nil"/>
              <w:bottom w:val="nil"/>
              <w:right w:val="nil"/>
            </w:tcBorders>
          </w:tcPr>
          <w:p>
            <w:pPr>
              <w:pStyle w:val="TableParagraph"/>
              <w:spacing w:before="26"/>
              <w:ind w:right="65"/>
              <w:rPr>
                <w:sz w:val="20"/>
              </w:rPr>
            </w:pPr>
            <w:r>
              <w:rPr>
                <w:sz w:val="20"/>
              </w:rPr>
              <w:t>0.00</w:t>
            </w:r>
          </w:p>
        </w:tc>
      </w:tr>
      <w:tr>
        <w:trPr>
          <w:trHeight w:val="300" w:hRule="exact"/>
        </w:trPr>
        <w:tc>
          <w:tcPr>
            <w:tcW w:w="1468" w:type="dxa"/>
            <w:tcBorders>
              <w:top w:val="nil"/>
              <w:left w:val="nil"/>
              <w:bottom w:val="nil"/>
              <w:right w:val="nil"/>
            </w:tcBorders>
          </w:tcPr>
          <w:p>
            <w:pPr>
              <w:pStyle w:val="TableParagraph"/>
              <w:ind w:left="86"/>
              <w:jc w:val="left"/>
              <w:rPr>
                <w:sz w:val="20"/>
              </w:rPr>
            </w:pPr>
            <w:r>
              <w:rPr>
                <w:sz w:val="20"/>
              </w:rPr>
              <w:t>TEJ_LcFlp</w:t>
            </w:r>
          </w:p>
        </w:tc>
        <w:tc>
          <w:tcPr>
            <w:tcW w:w="777" w:type="dxa"/>
            <w:tcBorders>
              <w:top w:val="nil"/>
              <w:left w:val="nil"/>
              <w:bottom w:val="nil"/>
              <w:right w:val="nil"/>
            </w:tcBorders>
          </w:tcPr>
          <w:p>
            <w:pPr>
              <w:pStyle w:val="TableParagraph"/>
              <w:ind w:left="125" w:right="162"/>
              <w:jc w:val="center"/>
              <w:rPr>
                <w:sz w:val="20"/>
              </w:rPr>
            </w:pPr>
            <w:r>
              <w:rPr>
                <w:sz w:val="20"/>
              </w:rPr>
              <w:t>19.00</w:t>
            </w:r>
          </w:p>
        </w:tc>
        <w:tc>
          <w:tcPr>
            <w:tcW w:w="819" w:type="dxa"/>
            <w:tcBorders>
              <w:top w:val="nil"/>
              <w:left w:val="nil"/>
              <w:bottom w:val="nil"/>
              <w:right w:val="nil"/>
            </w:tcBorders>
          </w:tcPr>
          <w:p>
            <w:pPr>
              <w:pStyle w:val="TableParagraph"/>
              <w:ind w:left="180"/>
              <w:jc w:val="left"/>
              <w:rPr>
                <w:sz w:val="20"/>
              </w:rPr>
            </w:pPr>
            <w:r>
              <w:rPr>
                <w:sz w:val="20"/>
              </w:rPr>
              <w:t>19.30</w:t>
            </w:r>
          </w:p>
        </w:tc>
        <w:tc>
          <w:tcPr>
            <w:tcW w:w="819" w:type="dxa"/>
            <w:tcBorders>
              <w:top w:val="nil"/>
              <w:left w:val="nil"/>
              <w:bottom w:val="nil"/>
              <w:right w:val="nil"/>
            </w:tcBorders>
          </w:tcPr>
          <w:p>
            <w:pPr>
              <w:pStyle w:val="TableParagraph"/>
              <w:ind w:left="182"/>
              <w:jc w:val="left"/>
              <w:rPr>
                <w:sz w:val="20"/>
              </w:rPr>
            </w:pPr>
            <w:r>
              <w:rPr>
                <w:sz w:val="20"/>
              </w:rPr>
              <w:t>19.30</w:t>
            </w:r>
          </w:p>
        </w:tc>
        <w:tc>
          <w:tcPr>
            <w:tcW w:w="817" w:type="dxa"/>
            <w:tcBorders>
              <w:top w:val="nil"/>
              <w:left w:val="nil"/>
              <w:bottom w:val="nil"/>
              <w:right w:val="nil"/>
            </w:tcBorders>
          </w:tcPr>
          <w:p>
            <w:pPr>
              <w:pStyle w:val="TableParagraph"/>
              <w:ind w:left="180"/>
              <w:jc w:val="left"/>
              <w:rPr>
                <w:sz w:val="20"/>
              </w:rPr>
            </w:pPr>
            <w:r>
              <w:rPr>
                <w:sz w:val="20"/>
              </w:rPr>
              <w:t>21.41</w:t>
            </w:r>
          </w:p>
        </w:tc>
        <w:tc>
          <w:tcPr>
            <w:tcW w:w="819" w:type="dxa"/>
            <w:tcBorders>
              <w:top w:val="nil"/>
              <w:left w:val="nil"/>
              <w:bottom w:val="nil"/>
              <w:right w:val="nil"/>
            </w:tcBorders>
          </w:tcPr>
          <w:p>
            <w:pPr>
              <w:pStyle w:val="TableParagraph"/>
              <w:ind w:left="180"/>
              <w:jc w:val="left"/>
              <w:rPr>
                <w:sz w:val="20"/>
              </w:rPr>
            </w:pPr>
            <w:r>
              <w:rPr>
                <w:sz w:val="20"/>
              </w:rPr>
              <w:t>21.46</w:t>
            </w:r>
          </w:p>
        </w:tc>
        <w:tc>
          <w:tcPr>
            <w:tcW w:w="819" w:type="dxa"/>
            <w:tcBorders>
              <w:top w:val="nil"/>
              <w:left w:val="nil"/>
              <w:bottom w:val="nil"/>
              <w:right w:val="nil"/>
            </w:tcBorders>
          </w:tcPr>
          <w:p>
            <w:pPr>
              <w:pStyle w:val="TableParagraph"/>
              <w:ind w:left="182"/>
              <w:jc w:val="left"/>
              <w:rPr>
                <w:sz w:val="20"/>
              </w:rPr>
            </w:pPr>
            <w:r>
              <w:rPr>
                <w:sz w:val="20"/>
              </w:rPr>
              <w:t>21.88</w:t>
            </w:r>
          </w:p>
        </w:tc>
        <w:tc>
          <w:tcPr>
            <w:tcW w:w="850" w:type="dxa"/>
            <w:tcBorders>
              <w:top w:val="nil"/>
              <w:left w:val="nil"/>
              <w:bottom w:val="nil"/>
              <w:right w:val="nil"/>
            </w:tcBorders>
          </w:tcPr>
          <w:p>
            <w:pPr>
              <w:pStyle w:val="TableParagraph"/>
              <w:ind w:left="180"/>
              <w:jc w:val="left"/>
              <w:rPr>
                <w:sz w:val="20"/>
              </w:rPr>
            </w:pPr>
            <w:r>
              <w:rPr>
                <w:sz w:val="20"/>
              </w:rPr>
              <w:t>21.88</w:t>
            </w:r>
          </w:p>
        </w:tc>
        <w:tc>
          <w:tcPr>
            <w:tcW w:w="819" w:type="dxa"/>
            <w:tcBorders>
              <w:top w:val="nil"/>
              <w:left w:val="nil"/>
              <w:bottom w:val="nil"/>
              <w:right w:val="nil"/>
            </w:tcBorders>
          </w:tcPr>
          <w:p>
            <w:pPr>
              <w:pStyle w:val="TableParagraph"/>
              <w:ind w:left="252"/>
              <w:jc w:val="left"/>
              <w:rPr>
                <w:sz w:val="20"/>
              </w:rPr>
            </w:pPr>
            <w:r>
              <w:rPr>
                <w:sz w:val="20"/>
              </w:rPr>
              <w:t>0.00</w:t>
            </w:r>
          </w:p>
        </w:tc>
        <w:tc>
          <w:tcPr>
            <w:tcW w:w="790" w:type="dxa"/>
            <w:tcBorders>
              <w:top w:val="nil"/>
              <w:left w:val="nil"/>
              <w:bottom w:val="nil"/>
              <w:right w:val="nil"/>
            </w:tcBorders>
          </w:tcPr>
          <w:p>
            <w:pPr>
              <w:pStyle w:val="TableParagraph"/>
              <w:ind w:left="249"/>
              <w:jc w:val="left"/>
              <w:rPr>
                <w:sz w:val="20"/>
              </w:rPr>
            </w:pPr>
            <w:r>
              <w:rPr>
                <w:sz w:val="20"/>
              </w:rPr>
              <w:t>0.00</w:t>
            </w:r>
          </w:p>
        </w:tc>
        <w:tc>
          <w:tcPr>
            <w:tcW w:w="699" w:type="dxa"/>
            <w:tcBorders>
              <w:top w:val="nil"/>
              <w:left w:val="nil"/>
              <w:bottom w:val="nil"/>
              <w:right w:val="nil"/>
            </w:tcBorders>
          </w:tcPr>
          <w:p>
            <w:pPr>
              <w:pStyle w:val="TableParagraph"/>
              <w:ind w:right="65"/>
              <w:rPr>
                <w:sz w:val="20"/>
              </w:rPr>
            </w:pPr>
            <w:r>
              <w:rPr>
                <w:sz w:val="20"/>
              </w:rPr>
              <w:t>0.00</w:t>
            </w:r>
          </w:p>
        </w:tc>
      </w:tr>
      <w:tr>
        <w:trPr>
          <w:trHeight w:val="300" w:hRule="exact"/>
        </w:trPr>
        <w:tc>
          <w:tcPr>
            <w:tcW w:w="1468" w:type="dxa"/>
            <w:tcBorders>
              <w:top w:val="nil"/>
              <w:left w:val="nil"/>
              <w:bottom w:val="nil"/>
              <w:right w:val="nil"/>
            </w:tcBorders>
          </w:tcPr>
          <w:p>
            <w:pPr>
              <w:pStyle w:val="TableParagraph"/>
              <w:spacing w:before="26"/>
              <w:ind w:left="86"/>
              <w:jc w:val="left"/>
              <w:rPr>
                <w:sz w:val="20"/>
              </w:rPr>
            </w:pPr>
            <w:r>
              <w:rPr>
                <w:sz w:val="20"/>
              </w:rPr>
              <w:t>TEJ_LcSF</w:t>
            </w:r>
          </w:p>
        </w:tc>
        <w:tc>
          <w:tcPr>
            <w:tcW w:w="777" w:type="dxa"/>
            <w:tcBorders>
              <w:top w:val="nil"/>
              <w:left w:val="nil"/>
              <w:bottom w:val="nil"/>
              <w:right w:val="nil"/>
            </w:tcBorders>
          </w:tcPr>
          <w:p>
            <w:pPr>
              <w:pStyle w:val="TableParagraph"/>
              <w:spacing w:before="26"/>
              <w:ind w:left="125" w:right="162"/>
              <w:jc w:val="center"/>
              <w:rPr>
                <w:sz w:val="20"/>
              </w:rPr>
            </w:pPr>
            <w:r>
              <w:rPr>
                <w:sz w:val="20"/>
              </w:rPr>
              <w:t>33.00</w:t>
            </w:r>
          </w:p>
        </w:tc>
        <w:tc>
          <w:tcPr>
            <w:tcW w:w="819" w:type="dxa"/>
            <w:tcBorders>
              <w:top w:val="nil"/>
              <w:left w:val="nil"/>
              <w:bottom w:val="nil"/>
              <w:right w:val="nil"/>
            </w:tcBorders>
          </w:tcPr>
          <w:p>
            <w:pPr>
              <w:pStyle w:val="TableParagraph"/>
              <w:spacing w:before="26"/>
              <w:ind w:left="180"/>
              <w:jc w:val="left"/>
              <w:rPr>
                <w:sz w:val="20"/>
              </w:rPr>
            </w:pPr>
            <w:r>
              <w:rPr>
                <w:sz w:val="20"/>
              </w:rPr>
              <w:t>26.10</w:t>
            </w:r>
          </w:p>
        </w:tc>
        <w:tc>
          <w:tcPr>
            <w:tcW w:w="819" w:type="dxa"/>
            <w:tcBorders>
              <w:top w:val="nil"/>
              <w:left w:val="nil"/>
              <w:bottom w:val="nil"/>
              <w:right w:val="nil"/>
            </w:tcBorders>
          </w:tcPr>
          <w:p>
            <w:pPr>
              <w:pStyle w:val="TableParagraph"/>
              <w:spacing w:before="26"/>
              <w:ind w:left="182"/>
              <w:jc w:val="left"/>
              <w:rPr>
                <w:sz w:val="20"/>
              </w:rPr>
            </w:pPr>
            <w:r>
              <w:rPr>
                <w:sz w:val="20"/>
              </w:rPr>
              <w:t>24.70</w:t>
            </w:r>
          </w:p>
        </w:tc>
        <w:tc>
          <w:tcPr>
            <w:tcW w:w="817" w:type="dxa"/>
            <w:tcBorders>
              <w:top w:val="nil"/>
              <w:left w:val="nil"/>
              <w:bottom w:val="nil"/>
              <w:right w:val="nil"/>
            </w:tcBorders>
          </w:tcPr>
          <w:p>
            <w:pPr>
              <w:pStyle w:val="TableParagraph"/>
              <w:spacing w:before="26"/>
              <w:ind w:left="180"/>
              <w:jc w:val="left"/>
              <w:rPr>
                <w:sz w:val="20"/>
              </w:rPr>
            </w:pPr>
            <w:r>
              <w:rPr>
                <w:sz w:val="20"/>
              </w:rPr>
              <w:t>24.70</w:t>
            </w:r>
          </w:p>
        </w:tc>
        <w:tc>
          <w:tcPr>
            <w:tcW w:w="819" w:type="dxa"/>
            <w:tcBorders>
              <w:top w:val="nil"/>
              <w:left w:val="nil"/>
              <w:bottom w:val="nil"/>
              <w:right w:val="nil"/>
            </w:tcBorders>
          </w:tcPr>
          <w:p>
            <w:pPr>
              <w:pStyle w:val="TableParagraph"/>
              <w:spacing w:before="26"/>
              <w:ind w:left="180"/>
              <w:jc w:val="left"/>
              <w:rPr>
                <w:sz w:val="20"/>
              </w:rPr>
            </w:pPr>
            <w:r>
              <w:rPr>
                <w:sz w:val="20"/>
              </w:rPr>
              <w:t>28.23</w:t>
            </w:r>
          </w:p>
        </w:tc>
        <w:tc>
          <w:tcPr>
            <w:tcW w:w="819" w:type="dxa"/>
            <w:tcBorders>
              <w:top w:val="nil"/>
              <w:left w:val="nil"/>
              <w:bottom w:val="nil"/>
              <w:right w:val="nil"/>
            </w:tcBorders>
          </w:tcPr>
          <w:p>
            <w:pPr>
              <w:pStyle w:val="TableParagraph"/>
              <w:spacing w:before="26"/>
              <w:ind w:left="182"/>
              <w:jc w:val="left"/>
              <w:rPr>
                <w:sz w:val="20"/>
              </w:rPr>
            </w:pPr>
            <w:r>
              <w:rPr>
                <w:sz w:val="20"/>
              </w:rPr>
              <w:t>30.00</w:t>
            </w:r>
          </w:p>
        </w:tc>
        <w:tc>
          <w:tcPr>
            <w:tcW w:w="850" w:type="dxa"/>
            <w:tcBorders>
              <w:top w:val="nil"/>
              <w:left w:val="nil"/>
              <w:bottom w:val="nil"/>
              <w:right w:val="nil"/>
            </w:tcBorders>
          </w:tcPr>
          <w:p>
            <w:pPr>
              <w:pStyle w:val="TableParagraph"/>
              <w:spacing w:before="26"/>
              <w:ind w:left="180"/>
              <w:jc w:val="left"/>
              <w:rPr>
                <w:sz w:val="20"/>
              </w:rPr>
            </w:pPr>
            <w:r>
              <w:rPr>
                <w:sz w:val="20"/>
              </w:rPr>
              <w:t>30.00</w:t>
            </w:r>
          </w:p>
        </w:tc>
        <w:tc>
          <w:tcPr>
            <w:tcW w:w="819" w:type="dxa"/>
            <w:tcBorders>
              <w:top w:val="nil"/>
              <w:left w:val="nil"/>
              <w:bottom w:val="nil"/>
              <w:right w:val="nil"/>
            </w:tcBorders>
          </w:tcPr>
          <w:p>
            <w:pPr>
              <w:pStyle w:val="TableParagraph"/>
              <w:spacing w:before="26"/>
              <w:ind w:left="252"/>
              <w:jc w:val="left"/>
              <w:rPr>
                <w:sz w:val="20"/>
              </w:rPr>
            </w:pPr>
            <w:r>
              <w:rPr>
                <w:sz w:val="20"/>
              </w:rPr>
              <w:t>0.00</w:t>
            </w:r>
          </w:p>
        </w:tc>
        <w:tc>
          <w:tcPr>
            <w:tcW w:w="790" w:type="dxa"/>
            <w:tcBorders>
              <w:top w:val="nil"/>
              <w:left w:val="nil"/>
              <w:bottom w:val="nil"/>
              <w:right w:val="nil"/>
            </w:tcBorders>
          </w:tcPr>
          <w:p>
            <w:pPr>
              <w:pStyle w:val="TableParagraph"/>
              <w:spacing w:before="26"/>
              <w:ind w:left="249"/>
              <w:jc w:val="left"/>
              <w:rPr>
                <w:sz w:val="20"/>
              </w:rPr>
            </w:pPr>
            <w:r>
              <w:rPr>
                <w:sz w:val="20"/>
              </w:rPr>
              <w:t>0.00</w:t>
            </w:r>
          </w:p>
        </w:tc>
        <w:tc>
          <w:tcPr>
            <w:tcW w:w="699" w:type="dxa"/>
            <w:tcBorders>
              <w:top w:val="nil"/>
              <w:left w:val="nil"/>
              <w:bottom w:val="nil"/>
              <w:right w:val="nil"/>
            </w:tcBorders>
          </w:tcPr>
          <w:p>
            <w:pPr>
              <w:pStyle w:val="TableParagraph"/>
              <w:spacing w:before="26"/>
              <w:ind w:right="65"/>
              <w:rPr>
                <w:sz w:val="20"/>
              </w:rPr>
            </w:pPr>
            <w:r>
              <w:rPr>
                <w:sz w:val="20"/>
              </w:rPr>
              <w:t>0.00</w:t>
            </w:r>
          </w:p>
        </w:tc>
      </w:tr>
      <w:tr>
        <w:trPr>
          <w:trHeight w:val="300" w:hRule="exact"/>
        </w:trPr>
        <w:tc>
          <w:tcPr>
            <w:tcW w:w="1468" w:type="dxa"/>
            <w:tcBorders>
              <w:top w:val="nil"/>
              <w:left w:val="nil"/>
              <w:bottom w:val="nil"/>
              <w:right w:val="nil"/>
            </w:tcBorders>
          </w:tcPr>
          <w:p>
            <w:pPr>
              <w:pStyle w:val="TableParagraph"/>
              <w:ind w:left="86"/>
              <w:jc w:val="left"/>
              <w:rPr>
                <w:sz w:val="20"/>
              </w:rPr>
            </w:pPr>
            <w:r>
              <w:rPr>
                <w:sz w:val="20"/>
              </w:rPr>
              <w:t>TEJ_TmFlp</w:t>
            </w:r>
          </w:p>
        </w:tc>
        <w:tc>
          <w:tcPr>
            <w:tcW w:w="777" w:type="dxa"/>
            <w:tcBorders>
              <w:top w:val="nil"/>
              <w:left w:val="nil"/>
              <w:bottom w:val="nil"/>
              <w:right w:val="nil"/>
            </w:tcBorders>
          </w:tcPr>
          <w:p>
            <w:pPr>
              <w:pStyle w:val="TableParagraph"/>
              <w:ind w:left="125" w:right="162"/>
              <w:jc w:val="center"/>
              <w:rPr>
                <w:sz w:val="20"/>
              </w:rPr>
            </w:pPr>
            <w:r>
              <w:rPr>
                <w:sz w:val="20"/>
              </w:rPr>
              <w:t>29.00</w:t>
            </w:r>
          </w:p>
        </w:tc>
        <w:tc>
          <w:tcPr>
            <w:tcW w:w="819" w:type="dxa"/>
            <w:tcBorders>
              <w:top w:val="nil"/>
              <w:left w:val="nil"/>
              <w:bottom w:val="nil"/>
              <w:right w:val="nil"/>
            </w:tcBorders>
          </w:tcPr>
          <w:p>
            <w:pPr>
              <w:pStyle w:val="TableParagraph"/>
              <w:ind w:left="180"/>
              <w:jc w:val="left"/>
              <w:rPr>
                <w:sz w:val="20"/>
              </w:rPr>
            </w:pPr>
            <w:r>
              <w:rPr>
                <w:sz w:val="20"/>
              </w:rPr>
              <w:t>29.00</w:t>
            </w:r>
          </w:p>
        </w:tc>
        <w:tc>
          <w:tcPr>
            <w:tcW w:w="819" w:type="dxa"/>
            <w:tcBorders>
              <w:top w:val="nil"/>
              <w:left w:val="nil"/>
              <w:bottom w:val="nil"/>
              <w:right w:val="nil"/>
            </w:tcBorders>
          </w:tcPr>
          <w:p>
            <w:pPr>
              <w:pStyle w:val="TableParagraph"/>
              <w:ind w:left="182"/>
              <w:jc w:val="left"/>
              <w:rPr>
                <w:sz w:val="20"/>
              </w:rPr>
            </w:pPr>
            <w:r>
              <w:rPr>
                <w:sz w:val="20"/>
              </w:rPr>
              <w:t>31.50</w:t>
            </w:r>
          </w:p>
        </w:tc>
        <w:tc>
          <w:tcPr>
            <w:tcW w:w="817" w:type="dxa"/>
            <w:tcBorders>
              <w:top w:val="nil"/>
              <w:left w:val="nil"/>
              <w:bottom w:val="nil"/>
              <w:right w:val="nil"/>
            </w:tcBorders>
          </w:tcPr>
          <w:p>
            <w:pPr>
              <w:pStyle w:val="TableParagraph"/>
              <w:ind w:left="180"/>
              <w:jc w:val="left"/>
              <w:rPr>
                <w:sz w:val="20"/>
              </w:rPr>
            </w:pPr>
            <w:r>
              <w:rPr>
                <w:sz w:val="20"/>
              </w:rPr>
              <w:t>34.00</w:t>
            </w:r>
          </w:p>
        </w:tc>
        <w:tc>
          <w:tcPr>
            <w:tcW w:w="819" w:type="dxa"/>
            <w:tcBorders>
              <w:top w:val="nil"/>
              <w:left w:val="nil"/>
              <w:bottom w:val="nil"/>
              <w:right w:val="nil"/>
            </w:tcBorders>
          </w:tcPr>
          <w:p>
            <w:pPr>
              <w:pStyle w:val="TableParagraph"/>
              <w:ind w:left="180"/>
              <w:jc w:val="left"/>
              <w:rPr>
                <w:sz w:val="20"/>
              </w:rPr>
            </w:pPr>
            <w:r>
              <w:rPr>
                <w:sz w:val="20"/>
              </w:rPr>
              <w:t>34.00</w:t>
            </w:r>
          </w:p>
        </w:tc>
        <w:tc>
          <w:tcPr>
            <w:tcW w:w="819" w:type="dxa"/>
            <w:tcBorders>
              <w:top w:val="nil"/>
              <w:left w:val="nil"/>
              <w:bottom w:val="nil"/>
              <w:right w:val="nil"/>
            </w:tcBorders>
          </w:tcPr>
          <w:p>
            <w:pPr>
              <w:pStyle w:val="TableParagraph"/>
              <w:ind w:left="182"/>
              <w:jc w:val="left"/>
              <w:rPr>
                <w:sz w:val="20"/>
              </w:rPr>
            </w:pPr>
            <w:r>
              <w:rPr>
                <w:sz w:val="20"/>
              </w:rPr>
              <w:t>34.00</w:t>
            </w:r>
          </w:p>
        </w:tc>
        <w:tc>
          <w:tcPr>
            <w:tcW w:w="850" w:type="dxa"/>
            <w:tcBorders>
              <w:top w:val="nil"/>
              <w:left w:val="nil"/>
              <w:bottom w:val="nil"/>
              <w:right w:val="nil"/>
            </w:tcBorders>
          </w:tcPr>
          <w:p>
            <w:pPr>
              <w:pStyle w:val="TableParagraph"/>
              <w:ind w:left="180"/>
              <w:jc w:val="left"/>
              <w:rPr>
                <w:sz w:val="20"/>
              </w:rPr>
            </w:pPr>
            <w:r>
              <w:rPr>
                <w:sz w:val="20"/>
              </w:rPr>
              <w:t>35.00</w:t>
            </w:r>
          </w:p>
        </w:tc>
        <w:tc>
          <w:tcPr>
            <w:tcW w:w="819" w:type="dxa"/>
            <w:tcBorders>
              <w:top w:val="nil"/>
              <w:left w:val="nil"/>
              <w:bottom w:val="nil"/>
              <w:right w:val="nil"/>
            </w:tcBorders>
          </w:tcPr>
          <w:p>
            <w:pPr>
              <w:pStyle w:val="TableParagraph"/>
              <w:ind w:left="252"/>
              <w:jc w:val="left"/>
              <w:rPr>
                <w:sz w:val="20"/>
              </w:rPr>
            </w:pPr>
            <w:r>
              <w:rPr>
                <w:sz w:val="20"/>
              </w:rPr>
              <w:t>0.00</w:t>
            </w:r>
          </w:p>
        </w:tc>
        <w:tc>
          <w:tcPr>
            <w:tcW w:w="790" w:type="dxa"/>
            <w:tcBorders>
              <w:top w:val="nil"/>
              <w:left w:val="nil"/>
              <w:bottom w:val="nil"/>
              <w:right w:val="nil"/>
            </w:tcBorders>
          </w:tcPr>
          <w:p>
            <w:pPr>
              <w:pStyle w:val="TableParagraph"/>
              <w:ind w:left="249"/>
              <w:jc w:val="left"/>
              <w:rPr>
                <w:sz w:val="20"/>
              </w:rPr>
            </w:pPr>
            <w:r>
              <w:rPr>
                <w:sz w:val="20"/>
              </w:rPr>
              <w:t>0.00</w:t>
            </w:r>
          </w:p>
        </w:tc>
        <w:tc>
          <w:tcPr>
            <w:tcW w:w="699" w:type="dxa"/>
            <w:tcBorders>
              <w:top w:val="nil"/>
              <w:left w:val="nil"/>
              <w:bottom w:val="nil"/>
              <w:right w:val="nil"/>
            </w:tcBorders>
          </w:tcPr>
          <w:p>
            <w:pPr>
              <w:pStyle w:val="TableParagraph"/>
              <w:ind w:right="65"/>
              <w:rPr>
                <w:sz w:val="20"/>
              </w:rPr>
            </w:pPr>
            <w:r>
              <w:rPr>
                <w:sz w:val="20"/>
              </w:rPr>
              <w:t>0.00</w:t>
            </w:r>
          </w:p>
        </w:tc>
      </w:tr>
      <w:tr>
        <w:trPr>
          <w:trHeight w:val="300" w:hRule="exact"/>
        </w:trPr>
        <w:tc>
          <w:tcPr>
            <w:tcW w:w="1468" w:type="dxa"/>
            <w:tcBorders>
              <w:top w:val="nil"/>
              <w:left w:val="nil"/>
              <w:bottom w:val="nil"/>
              <w:right w:val="nil"/>
            </w:tcBorders>
          </w:tcPr>
          <w:p>
            <w:pPr>
              <w:pStyle w:val="TableParagraph"/>
              <w:spacing w:before="26"/>
              <w:ind w:left="86"/>
              <w:jc w:val="left"/>
              <w:rPr>
                <w:sz w:val="20"/>
              </w:rPr>
            </w:pPr>
            <w:r>
              <w:rPr>
                <w:sz w:val="20"/>
              </w:rPr>
              <w:t>TEJ_ToSF</w:t>
            </w:r>
          </w:p>
        </w:tc>
        <w:tc>
          <w:tcPr>
            <w:tcW w:w="777" w:type="dxa"/>
            <w:tcBorders>
              <w:top w:val="nil"/>
              <w:left w:val="nil"/>
              <w:bottom w:val="nil"/>
              <w:right w:val="nil"/>
            </w:tcBorders>
          </w:tcPr>
          <w:p>
            <w:pPr>
              <w:pStyle w:val="TableParagraph"/>
              <w:spacing w:before="26"/>
              <w:ind w:left="125" w:right="162"/>
              <w:jc w:val="center"/>
              <w:rPr>
                <w:sz w:val="20"/>
              </w:rPr>
            </w:pPr>
            <w:r>
              <w:rPr>
                <w:sz w:val="20"/>
              </w:rPr>
              <w:t>36.90</w:t>
            </w:r>
          </w:p>
        </w:tc>
        <w:tc>
          <w:tcPr>
            <w:tcW w:w="819" w:type="dxa"/>
            <w:tcBorders>
              <w:top w:val="nil"/>
              <w:left w:val="nil"/>
              <w:bottom w:val="nil"/>
              <w:right w:val="nil"/>
            </w:tcBorders>
          </w:tcPr>
          <w:p>
            <w:pPr>
              <w:pStyle w:val="TableParagraph"/>
              <w:spacing w:before="26"/>
              <w:ind w:left="180"/>
              <w:jc w:val="left"/>
              <w:rPr>
                <w:sz w:val="20"/>
              </w:rPr>
            </w:pPr>
            <w:r>
              <w:rPr>
                <w:sz w:val="20"/>
              </w:rPr>
              <w:t>36.90</w:t>
            </w:r>
          </w:p>
        </w:tc>
        <w:tc>
          <w:tcPr>
            <w:tcW w:w="819" w:type="dxa"/>
            <w:tcBorders>
              <w:top w:val="nil"/>
              <w:left w:val="nil"/>
              <w:bottom w:val="nil"/>
              <w:right w:val="nil"/>
            </w:tcBorders>
          </w:tcPr>
          <w:p>
            <w:pPr>
              <w:pStyle w:val="TableParagraph"/>
              <w:spacing w:before="26"/>
              <w:ind w:left="182"/>
              <w:jc w:val="left"/>
              <w:rPr>
                <w:sz w:val="20"/>
              </w:rPr>
            </w:pPr>
            <w:r>
              <w:rPr>
                <w:sz w:val="20"/>
              </w:rPr>
              <w:t>42.00</w:t>
            </w:r>
          </w:p>
        </w:tc>
        <w:tc>
          <w:tcPr>
            <w:tcW w:w="817" w:type="dxa"/>
            <w:tcBorders>
              <w:top w:val="nil"/>
              <w:left w:val="nil"/>
              <w:bottom w:val="nil"/>
              <w:right w:val="nil"/>
            </w:tcBorders>
          </w:tcPr>
          <w:p>
            <w:pPr>
              <w:pStyle w:val="TableParagraph"/>
              <w:spacing w:before="26"/>
              <w:ind w:left="180"/>
              <w:jc w:val="left"/>
              <w:rPr>
                <w:sz w:val="20"/>
              </w:rPr>
            </w:pPr>
            <w:r>
              <w:rPr>
                <w:sz w:val="20"/>
              </w:rPr>
              <w:t>42.00</w:t>
            </w:r>
          </w:p>
        </w:tc>
        <w:tc>
          <w:tcPr>
            <w:tcW w:w="819" w:type="dxa"/>
            <w:tcBorders>
              <w:top w:val="nil"/>
              <w:left w:val="nil"/>
              <w:bottom w:val="nil"/>
              <w:right w:val="nil"/>
            </w:tcBorders>
          </w:tcPr>
          <w:p>
            <w:pPr>
              <w:pStyle w:val="TableParagraph"/>
              <w:spacing w:before="26"/>
              <w:ind w:left="180"/>
              <w:jc w:val="left"/>
              <w:rPr>
                <w:sz w:val="20"/>
              </w:rPr>
            </w:pPr>
            <w:r>
              <w:rPr>
                <w:sz w:val="20"/>
              </w:rPr>
              <w:t>42.00</w:t>
            </w:r>
          </w:p>
        </w:tc>
        <w:tc>
          <w:tcPr>
            <w:tcW w:w="819" w:type="dxa"/>
            <w:tcBorders>
              <w:top w:val="nil"/>
              <w:left w:val="nil"/>
              <w:bottom w:val="nil"/>
              <w:right w:val="nil"/>
            </w:tcBorders>
          </w:tcPr>
          <w:p>
            <w:pPr>
              <w:pStyle w:val="TableParagraph"/>
              <w:spacing w:before="26"/>
              <w:ind w:left="182"/>
              <w:jc w:val="left"/>
              <w:rPr>
                <w:sz w:val="20"/>
              </w:rPr>
            </w:pPr>
            <w:r>
              <w:rPr>
                <w:sz w:val="20"/>
              </w:rPr>
              <w:t>42.00</w:t>
            </w:r>
          </w:p>
        </w:tc>
        <w:tc>
          <w:tcPr>
            <w:tcW w:w="850" w:type="dxa"/>
            <w:tcBorders>
              <w:top w:val="nil"/>
              <w:left w:val="nil"/>
              <w:bottom w:val="nil"/>
              <w:right w:val="nil"/>
            </w:tcBorders>
          </w:tcPr>
          <w:p>
            <w:pPr>
              <w:pStyle w:val="TableParagraph"/>
              <w:spacing w:before="26"/>
              <w:ind w:left="180"/>
              <w:jc w:val="left"/>
              <w:rPr>
                <w:sz w:val="20"/>
              </w:rPr>
            </w:pPr>
            <w:r>
              <w:rPr>
                <w:sz w:val="20"/>
              </w:rPr>
              <w:t>37.70</w:t>
            </w:r>
          </w:p>
        </w:tc>
        <w:tc>
          <w:tcPr>
            <w:tcW w:w="819" w:type="dxa"/>
            <w:tcBorders>
              <w:top w:val="nil"/>
              <w:left w:val="nil"/>
              <w:bottom w:val="nil"/>
              <w:right w:val="nil"/>
            </w:tcBorders>
          </w:tcPr>
          <w:p>
            <w:pPr>
              <w:pStyle w:val="TableParagraph"/>
              <w:spacing w:before="26"/>
              <w:ind w:left="252"/>
              <w:jc w:val="left"/>
              <w:rPr>
                <w:sz w:val="20"/>
              </w:rPr>
            </w:pPr>
            <w:r>
              <w:rPr>
                <w:sz w:val="20"/>
              </w:rPr>
              <w:t>0.00</w:t>
            </w:r>
          </w:p>
        </w:tc>
        <w:tc>
          <w:tcPr>
            <w:tcW w:w="790" w:type="dxa"/>
            <w:tcBorders>
              <w:top w:val="nil"/>
              <w:left w:val="nil"/>
              <w:bottom w:val="nil"/>
              <w:right w:val="nil"/>
            </w:tcBorders>
          </w:tcPr>
          <w:p>
            <w:pPr>
              <w:pStyle w:val="TableParagraph"/>
              <w:spacing w:before="26"/>
              <w:ind w:left="249"/>
              <w:jc w:val="left"/>
              <w:rPr>
                <w:sz w:val="20"/>
              </w:rPr>
            </w:pPr>
            <w:r>
              <w:rPr>
                <w:sz w:val="20"/>
              </w:rPr>
              <w:t>0.00</w:t>
            </w:r>
          </w:p>
        </w:tc>
        <w:tc>
          <w:tcPr>
            <w:tcW w:w="699" w:type="dxa"/>
            <w:tcBorders>
              <w:top w:val="nil"/>
              <w:left w:val="nil"/>
              <w:bottom w:val="nil"/>
              <w:right w:val="nil"/>
            </w:tcBorders>
          </w:tcPr>
          <w:p>
            <w:pPr>
              <w:pStyle w:val="TableParagraph"/>
              <w:spacing w:before="26"/>
              <w:ind w:right="65"/>
              <w:rPr>
                <w:sz w:val="20"/>
              </w:rPr>
            </w:pPr>
            <w:r>
              <w:rPr>
                <w:sz w:val="20"/>
              </w:rPr>
              <w:t>0.00</w:t>
            </w:r>
          </w:p>
        </w:tc>
      </w:tr>
      <w:tr>
        <w:trPr>
          <w:trHeight w:val="300" w:hRule="exact"/>
        </w:trPr>
        <w:tc>
          <w:tcPr>
            <w:tcW w:w="1468" w:type="dxa"/>
            <w:tcBorders>
              <w:top w:val="nil"/>
              <w:left w:val="nil"/>
              <w:bottom w:val="nil"/>
              <w:right w:val="nil"/>
            </w:tcBorders>
          </w:tcPr>
          <w:p>
            <w:pPr>
              <w:pStyle w:val="TableParagraph"/>
              <w:ind w:left="86"/>
              <w:jc w:val="left"/>
              <w:rPr>
                <w:sz w:val="20"/>
              </w:rPr>
            </w:pPr>
            <w:r>
              <w:rPr>
                <w:sz w:val="20"/>
              </w:rPr>
              <w:t>TEJ_VpFd</w:t>
            </w:r>
          </w:p>
        </w:tc>
        <w:tc>
          <w:tcPr>
            <w:tcW w:w="777" w:type="dxa"/>
            <w:tcBorders>
              <w:top w:val="nil"/>
              <w:left w:val="nil"/>
              <w:bottom w:val="nil"/>
              <w:right w:val="nil"/>
            </w:tcBorders>
          </w:tcPr>
          <w:p>
            <w:pPr>
              <w:pStyle w:val="TableParagraph"/>
              <w:ind w:left="125" w:right="162"/>
              <w:jc w:val="center"/>
              <w:rPr>
                <w:sz w:val="20"/>
              </w:rPr>
            </w:pPr>
            <w:r>
              <w:rPr>
                <w:sz w:val="20"/>
              </w:rPr>
              <w:t>15.00</w:t>
            </w:r>
          </w:p>
        </w:tc>
        <w:tc>
          <w:tcPr>
            <w:tcW w:w="819" w:type="dxa"/>
            <w:tcBorders>
              <w:top w:val="nil"/>
              <w:left w:val="nil"/>
              <w:bottom w:val="nil"/>
              <w:right w:val="nil"/>
            </w:tcBorders>
          </w:tcPr>
          <w:p>
            <w:pPr>
              <w:pStyle w:val="TableParagraph"/>
              <w:ind w:left="180"/>
              <w:jc w:val="left"/>
              <w:rPr>
                <w:sz w:val="20"/>
              </w:rPr>
            </w:pPr>
            <w:r>
              <w:rPr>
                <w:sz w:val="20"/>
              </w:rPr>
              <w:t>15.00</w:t>
            </w:r>
          </w:p>
        </w:tc>
        <w:tc>
          <w:tcPr>
            <w:tcW w:w="819" w:type="dxa"/>
            <w:tcBorders>
              <w:top w:val="nil"/>
              <w:left w:val="nil"/>
              <w:bottom w:val="nil"/>
              <w:right w:val="nil"/>
            </w:tcBorders>
          </w:tcPr>
          <w:p>
            <w:pPr>
              <w:pStyle w:val="TableParagraph"/>
              <w:ind w:left="182"/>
              <w:jc w:val="left"/>
              <w:rPr>
                <w:sz w:val="20"/>
              </w:rPr>
            </w:pPr>
            <w:r>
              <w:rPr>
                <w:sz w:val="20"/>
              </w:rPr>
              <w:t>15.00</w:t>
            </w:r>
          </w:p>
        </w:tc>
        <w:tc>
          <w:tcPr>
            <w:tcW w:w="817" w:type="dxa"/>
            <w:tcBorders>
              <w:top w:val="nil"/>
              <w:left w:val="nil"/>
              <w:bottom w:val="nil"/>
              <w:right w:val="nil"/>
            </w:tcBorders>
          </w:tcPr>
          <w:p>
            <w:pPr>
              <w:pStyle w:val="TableParagraph"/>
              <w:ind w:left="180"/>
              <w:jc w:val="left"/>
              <w:rPr>
                <w:sz w:val="20"/>
              </w:rPr>
            </w:pPr>
            <w:r>
              <w:rPr>
                <w:sz w:val="20"/>
              </w:rPr>
              <w:t>18.00</w:t>
            </w:r>
          </w:p>
        </w:tc>
        <w:tc>
          <w:tcPr>
            <w:tcW w:w="819" w:type="dxa"/>
            <w:tcBorders>
              <w:top w:val="nil"/>
              <w:left w:val="nil"/>
              <w:bottom w:val="nil"/>
              <w:right w:val="nil"/>
            </w:tcBorders>
          </w:tcPr>
          <w:p>
            <w:pPr>
              <w:pStyle w:val="TableParagraph"/>
              <w:ind w:left="180"/>
              <w:jc w:val="left"/>
              <w:rPr>
                <w:sz w:val="20"/>
              </w:rPr>
            </w:pPr>
            <w:r>
              <w:rPr>
                <w:sz w:val="20"/>
              </w:rPr>
              <w:t>18.00</w:t>
            </w:r>
          </w:p>
        </w:tc>
        <w:tc>
          <w:tcPr>
            <w:tcW w:w="819" w:type="dxa"/>
            <w:tcBorders>
              <w:top w:val="nil"/>
              <w:left w:val="nil"/>
              <w:bottom w:val="nil"/>
              <w:right w:val="nil"/>
            </w:tcBorders>
          </w:tcPr>
          <w:p>
            <w:pPr>
              <w:pStyle w:val="TableParagraph"/>
              <w:ind w:left="182"/>
              <w:jc w:val="left"/>
              <w:rPr>
                <w:sz w:val="20"/>
              </w:rPr>
            </w:pPr>
            <w:r>
              <w:rPr>
                <w:sz w:val="20"/>
              </w:rPr>
              <w:t>25.10</w:t>
            </w:r>
          </w:p>
        </w:tc>
        <w:tc>
          <w:tcPr>
            <w:tcW w:w="850" w:type="dxa"/>
            <w:tcBorders>
              <w:top w:val="nil"/>
              <w:left w:val="nil"/>
              <w:bottom w:val="nil"/>
              <w:right w:val="nil"/>
            </w:tcBorders>
          </w:tcPr>
          <w:p>
            <w:pPr>
              <w:pStyle w:val="TableParagraph"/>
              <w:ind w:left="180"/>
              <w:jc w:val="left"/>
              <w:rPr>
                <w:sz w:val="20"/>
              </w:rPr>
            </w:pPr>
            <w:r>
              <w:rPr>
                <w:sz w:val="20"/>
              </w:rPr>
              <w:t>26.40</w:t>
            </w:r>
          </w:p>
        </w:tc>
        <w:tc>
          <w:tcPr>
            <w:tcW w:w="819" w:type="dxa"/>
            <w:tcBorders>
              <w:top w:val="nil"/>
              <w:left w:val="nil"/>
              <w:bottom w:val="nil"/>
              <w:right w:val="nil"/>
            </w:tcBorders>
          </w:tcPr>
          <w:p>
            <w:pPr>
              <w:pStyle w:val="TableParagraph"/>
              <w:ind w:left="252"/>
              <w:jc w:val="left"/>
              <w:rPr>
                <w:sz w:val="20"/>
              </w:rPr>
            </w:pPr>
            <w:r>
              <w:rPr>
                <w:sz w:val="20"/>
              </w:rPr>
              <w:t>0.00</w:t>
            </w:r>
          </w:p>
        </w:tc>
        <w:tc>
          <w:tcPr>
            <w:tcW w:w="790" w:type="dxa"/>
            <w:tcBorders>
              <w:top w:val="nil"/>
              <w:left w:val="nil"/>
              <w:bottom w:val="nil"/>
              <w:right w:val="nil"/>
            </w:tcBorders>
          </w:tcPr>
          <w:p>
            <w:pPr>
              <w:pStyle w:val="TableParagraph"/>
              <w:ind w:left="249"/>
              <w:jc w:val="left"/>
              <w:rPr>
                <w:sz w:val="20"/>
              </w:rPr>
            </w:pPr>
            <w:r>
              <w:rPr>
                <w:sz w:val="20"/>
              </w:rPr>
              <w:t>0.00</w:t>
            </w:r>
          </w:p>
        </w:tc>
        <w:tc>
          <w:tcPr>
            <w:tcW w:w="699" w:type="dxa"/>
            <w:tcBorders>
              <w:top w:val="nil"/>
              <w:left w:val="nil"/>
              <w:bottom w:val="nil"/>
              <w:right w:val="nil"/>
            </w:tcBorders>
          </w:tcPr>
          <w:p>
            <w:pPr>
              <w:pStyle w:val="TableParagraph"/>
              <w:ind w:right="65"/>
              <w:rPr>
                <w:sz w:val="20"/>
              </w:rPr>
            </w:pPr>
            <w:r>
              <w:rPr>
                <w:sz w:val="20"/>
              </w:rPr>
              <w:t>0.00</w:t>
            </w:r>
          </w:p>
        </w:tc>
      </w:tr>
      <w:tr>
        <w:trPr>
          <w:trHeight w:val="270" w:hRule="exact"/>
        </w:trPr>
        <w:tc>
          <w:tcPr>
            <w:tcW w:w="1468" w:type="dxa"/>
            <w:tcBorders>
              <w:top w:val="nil"/>
              <w:left w:val="nil"/>
              <w:right w:val="nil"/>
            </w:tcBorders>
          </w:tcPr>
          <w:p>
            <w:pPr>
              <w:pStyle w:val="TableParagraph"/>
              <w:spacing w:before="26"/>
              <w:ind w:left="86"/>
              <w:jc w:val="left"/>
              <w:rPr>
                <w:sz w:val="20"/>
              </w:rPr>
            </w:pPr>
            <w:r>
              <w:rPr>
                <w:sz w:val="20"/>
              </w:rPr>
              <w:t>TEJ_VpFdp</w:t>
            </w:r>
          </w:p>
        </w:tc>
        <w:tc>
          <w:tcPr>
            <w:tcW w:w="777" w:type="dxa"/>
            <w:tcBorders>
              <w:top w:val="nil"/>
              <w:left w:val="nil"/>
              <w:right w:val="nil"/>
            </w:tcBorders>
          </w:tcPr>
          <w:p>
            <w:pPr>
              <w:pStyle w:val="TableParagraph"/>
              <w:spacing w:before="26"/>
              <w:ind w:left="125" w:right="162"/>
              <w:jc w:val="center"/>
              <w:rPr>
                <w:sz w:val="20"/>
              </w:rPr>
            </w:pPr>
            <w:r>
              <w:rPr>
                <w:sz w:val="20"/>
              </w:rPr>
              <w:t>21.50</w:t>
            </w:r>
          </w:p>
        </w:tc>
        <w:tc>
          <w:tcPr>
            <w:tcW w:w="819" w:type="dxa"/>
            <w:tcBorders>
              <w:top w:val="nil"/>
              <w:left w:val="nil"/>
              <w:right w:val="nil"/>
            </w:tcBorders>
          </w:tcPr>
          <w:p>
            <w:pPr>
              <w:pStyle w:val="TableParagraph"/>
              <w:spacing w:before="26"/>
              <w:ind w:left="180"/>
              <w:jc w:val="left"/>
              <w:rPr>
                <w:sz w:val="20"/>
              </w:rPr>
            </w:pPr>
            <w:r>
              <w:rPr>
                <w:sz w:val="20"/>
              </w:rPr>
              <w:t>20.81</w:t>
            </w:r>
          </w:p>
        </w:tc>
        <w:tc>
          <w:tcPr>
            <w:tcW w:w="819" w:type="dxa"/>
            <w:tcBorders>
              <w:top w:val="nil"/>
              <w:left w:val="nil"/>
              <w:right w:val="nil"/>
            </w:tcBorders>
          </w:tcPr>
          <w:p>
            <w:pPr>
              <w:pStyle w:val="TableParagraph"/>
              <w:spacing w:before="26"/>
              <w:ind w:left="182"/>
              <w:jc w:val="left"/>
              <w:rPr>
                <w:sz w:val="20"/>
              </w:rPr>
            </w:pPr>
            <w:r>
              <w:rPr>
                <w:sz w:val="20"/>
              </w:rPr>
              <w:t>20.81</w:t>
            </w:r>
          </w:p>
        </w:tc>
        <w:tc>
          <w:tcPr>
            <w:tcW w:w="817" w:type="dxa"/>
            <w:tcBorders>
              <w:top w:val="nil"/>
              <w:left w:val="nil"/>
              <w:right w:val="nil"/>
            </w:tcBorders>
          </w:tcPr>
          <w:p>
            <w:pPr>
              <w:pStyle w:val="TableParagraph"/>
              <w:spacing w:before="26"/>
              <w:ind w:left="180"/>
              <w:jc w:val="left"/>
              <w:rPr>
                <w:sz w:val="20"/>
              </w:rPr>
            </w:pPr>
            <w:r>
              <w:rPr>
                <w:sz w:val="20"/>
              </w:rPr>
              <w:t>16.25</w:t>
            </w:r>
          </w:p>
        </w:tc>
        <w:tc>
          <w:tcPr>
            <w:tcW w:w="819" w:type="dxa"/>
            <w:tcBorders>
              <w:top w:val="nil"/>
              <w:left w:val="nil"/>
              <w:right w:val="nil"/>
            </w:tcBorders>
          </w:tcPr>
          <w:p>
            <w:pPr>
              <w:pStyle w:val="TableParagraph"/>
              <w:spacing w:before="26"/>
              <w:ind w:left="180"/>
              <w:jc w:val="left"/>
              <w:rPr>
                <w:sz w:val="20"/>
              </w:rPr>
            </w:pPr>
            <w:r>
              <w:rPr>
                <w:sz w:val="20"/>
              </w:rPr>
              <w:t>16.25</w:t>
            </w:r>
          </w:p>
        </w:tc>
        <w:tc>
          <w:tcPr>
            <w:tcW w:w="819" w:type="dxa"/>
            <w:tcBorders>
              <w:top w:val="nil"/>
              <w:left w:val="nil"/>
              <w:right w:val="nil"/>
            </w:tcBorders>
          </w:tcPr>
          <w:p>
            <w:pPr>
              <w:pStyle w:val="TableParagraph"/>
              <w:spacing w:before="26"/>
              <w:ind w:left="182"/>
              <w:jc w:val="left"/>
              <w:rPr>
                <w:sz w:val="20"/>
              </w:rPr>
            </w:pPr>
            <w:r>
              <w:rPr>
                <w:sz w:val="20"/>
              </w:rPr>
              <w:t>17.75</w:t>
            </w:r>
          </w:p>
        </w:tc>
        <w:tc>
          <w:tcPr>
            <w:tcW w:w="850" w:type="dxa"/>
            <w:tcBorders>
              <w:top w:val="nil"/>
              <w:left w:val="nil"/>
              <w:right w:val="nil"/>
            </w:tcBorders>
          </w:tcPr>
          <w:p>
            <w:pPr>
              <w:pStyle w:val="TableParagraph"/>
              <w:spacing w:before="26"/>
              <w:ind w:left="180"/>
              <w:jc w:val="left"/>
              <w:rPr>
                <w:sz w:val="20"/>
              </w:rPr>
            </w:pPr>
            <w:r>
              <w:rPr>
                <w:sz w:val="20"/>
              </w:rPr>
              <w:t>18.00</w:t>
            </w:r>
          </w:p>
        </w:tc>
        <w:tc>
          <w:tcPr>
            <w:tcW w:w="819" w:type="dxa"/>
            <w:tcBorders>
              <w:top w:val="nil"/>
              <w:left w:val="nil"/>
              <w:right w:val="nil"/>
            </w:tcBorders>
          </w:tcPr>
          <w:p>
            <w:pPr>
              <w:pStyle w:val="TableParagraph"/>
              <w:spacing w:before="26"/>
              <w:ind w:left="252"/>
              <w:jc w:val="left"/>
              <w:rPr>
                <w:sz w:val="20"/>
              </w:rPr>
            </w:pPr>
            <w:r>
              <w:rPr>
                <w:sz w:val="20"/>
              </w:rPr>
              <w:t>0.00</w:t>
            </w:r>
          </w:p>
        </w:tc>
        <w:tc>
          <w:tcPr>
            <w:tcW w:w="790" w:type="dxa"/>
            <w:tcBorders>
              <w:top w:val="nil"/>
              <w:left w:val="nil"/>
              <w:right w:val="nil"/>
            </w:tcBorders>
          </w:tcPr>
          <w:p>
            <w:pPr>
              <w:pStyle w:val="TableParagraph"/>
              <w:spacing w:before="26"/>
              <w:ind w:left="249"/>
              <w:jc w:val="left"/>
              <w:rPr>
                <w:sz w:val="20"/>
              </w:rPr>
            </w:pPr>
            <w:r>
              <w:rPr>
                <w:sz w:val="20"/>
              </w:rPr>
              <w:t>0.00</w:t>
            </w:r>
          </w:p>
        </w:tc>
        <w:tc>
          <w:tcPr>
            <w:tcW w:w="699" w:type="dxa"/>
            <w:tcBorders>
              <w:top w:val="nil"/>
              <w:left w:val="nil"/>
              <w:right w:val="nil"/>
            </w:tcBorders>
          </w:tcPr>
          <w:p>
            <w:pPr>
              <w:pStyle w:val="TableParagraph"/>
              <w:spacing w:before="26"/>
              <w:ind w:right="65"/>
              <w:rPr>
                <w:sz w:val="20"/>
              </w:rPr>
            </w:pPr>
            <w:r>
              <w:rPr>
                <w:sz w:val="20"/>
              </w:rPr>
              <w:t>0.00</w:t>
            </w:r>
          </w:p>
        </w:tc>
      </w:tr>
    </w:tbl>
    <w:p>
      <w:pPr>
        <w:spacing w:after="0"/>
        <w:rPr>
          <w:sz w:val="20"/>
        </w:rPr>
        <w:sectPr>
          <w:pgSz w:w="12240" w:h="15840"/>
          <w:pgMar w:header="0" w:footer="1473" w:top="1360" w:bottom="1660" w:left="1020" w:right="1240"/>
        </w:sectPr>
      </w:pPr>
    </w:p>
    <w:p>
      <w:pPr>
        <w:pStyle w:val="BodyText"/>
        <w:tabs>
          <w:tab w:pos="396" w:val="left" w:leader="none"/>
          <w:tab w:pos="9606" w:val="left" w:leader="none"/>
        </w:tabs>
        <w:spacing w:before="49"/>
        <w:ind w:left="127"/>
      </w:pPr>
      <w:r>
        <w:rPr>
          <w:w w:val="99"/>
          <w:u w:val="single"/>
        </w:rPr>
        <w:t> </w:t>
      </w:r>
      <w:r>
        <w:rPr>
          <w:u w:val="single"/>
        </w:rPr>
        <w:tab/>
        <w:t>Continuación Tabla</w:t>
      </w:r>
      <w:r>
        <w:rPr>
          <w:spacing w:val="-19"/>
          <w:u w:val="single"/>
        </w:rPr>
        <w:t> </w:t>
      </w:r>
      <w:r>
        <w:rPr>
          <w:u w:val="single"/>
        </w:rPr>
        <w:t>20.</w:t>
        <w:tab/>
      </w:r>
    </w:p>
    <w:p>
      <w:pPr>
        <w:pStyle w:val="BodyText"/>
        <w:spacing w:before="11"/>
        <w:rPr>
          <w:sz w:val="8"/>
        </w:rPr>
      </w:pPr>
    </w:p>
    <w:tbl>
      <w:tblPr>
        <w:tblW w:w="0" w:type="auto"/>
        <w:jc w:val="left"/>
        <w:tblInd w:w="1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68"/>
        <w:gridCol w:w="777"/>
        <w:gridCol w:w="819"/>
        <w:gridCol w:w="819"/>
        <w:gridCol w:w="817"/>
        <w:gridCol w:w="819"/>
        <w:gridCol w:w="819"/>
        <w:gridCol w:w="850"/>
        <w:gridCol w:w="819"/>
        <w:gridCol w:w="790"/>
        <w:gridCol w:w="699"/>
      </w:tblGrid>
      <w:tr>
        <w:trPr>
          <w:trHeight w:val="306" w:hRule="exact"/>
        </w:trPr>
        <w:tc>
          <w:tcPr>
            <w:tcW w:w="1468" w:type="dxa"/>
          </w:tcPr>
          <w:p>
            <w:pPr>
              <w:pStyle w:val="TableParagraph"/>
              <w:spacing w:before="90"/>
              <w:ind w:left="148"/>
              <w:jc w:val="left"/>
              <w:rPr>
                <w:sz w:val="20"/>
              </w:rPr>
            </w:pPr>
            <w:r>
              <w:rPr>
                <w:sz w:val="20"/>
              </w:rPr>
              <w:t>Nombre/Clave</w:t>
            </w:r>
          </w:p>
        </w:tc>
        <w:tc>
          <w:tcPr>
            <w:tcW w:w="777" w:type="dxa"/>
          </w:tcPr>
          <w:p>
            <w:pPr/>
          </w:p>
        </w:tc>
        <w:tc>
          <w:tcPr>
            <w:tcW w:w="819" w:type="dxa"/>
          </w:tcPr>
          <w:p>
            <w:pPr/>
          </w:p>
        </w:tc>
        <w:tc>
          <w:tcPr>
            <w:tcW w:w="819" w:type="dxa"/>
          </w:tcPr>
          <w:p>
            <w:pPr/>
          </w:p>
        </w:tc>
        <w:tc>
          <w:tcPr>
            <w:tcW w:w="2454" w:type="dxa"/>
            <w:gridSpan w:val="3"/>
          </w:tcPr>
          <w:p>
            <w:pPr>
              <w:pStyle w:val="TableParagraph"/>
              <w:spacing w:line="205" w:lineRule="exact" w:before="0"/>
              <w:ind w:left="732" w:right="-22"/>
              <w:jc w:val="left"/>
              <w:rPr>
                <w:sz w:val="20"/>
              </w:rPr>
            </w:pPr>
            <w:r>
              <w:rPr>
                <w:sz w:val="20"/>
              </w:rPr>
              <w:t>N° de capas del</w:t>
            </w:r>
            <w:r>
              <w:rPr>
                <w:spacing w:val="-1"/>
                <w:sz w:val="20"/>
              </w:rPr>
              <w:t> </w:t>
            </w:r>
            <w:r>
              <w:rPr>
                <w:sz w:val="20"/>
              </w:rPr>
              <w:t>suelo</w:t>
            </w:r>
          </w:p>
        </w:tc>
        <w:tc>
          <w:tcPr>
            <w:tcW w:w="850" w:type="dxa"/>
          </w:tcPr>
          <w:p>
            <w:pPr/>
          </w:p>
        </w:tc>
        <w:tc>
          <w:tcPr>
            <w:tcW w:w="819" w:type="dxa"/>
          </w:tcPr>
          <w:p>
            <w:pPr/>
          </w:p>
        </w:tc>
        <w:tc>
          <w:tcPr>
            <w:tcW w:w="790" w:type="dxa"/>
          </w:tcPr>
          <w:p>
            <w:pPr/>
          </w:p>
        </w:tc>
        <w:tc>
          <w:tcPr>
            <w:tcW w:w="699" w:type="dxa"/>
          </w:tcPr>
          <w:p>
            <w:pPr/>
          </w:p>
        </w:tc>
      </w:tr>
      <w:tr>
        <w:trPr>
          <w:trHeight w:val="216" w:hRule="exact"/>
        </w:trPr>
        <w:tc>
          <w:tcPr>
            <w:tcW w:w="1468" w:type="dxa"/>
            <w:tcBorders>
              <w:bottom w:val="single" w:sz="4" w:space="0" w:color="000000"/>
            </w:tcBorders>
          </w:tcPr>
          <w:p>
            <w:pPr/>
          </w:p>
        </w:tc>
        <w:tc>
          <w:tcPr>
            <w:tcW w:w="777" w:type="dxa"/>
            <w:tcBorders>
              <w:bottom w:val="single" w:sz="4" w:space="0" w:color="000000"/>
            </w:tcBorders>
          </w:tcPr>
          <w:p>
            <w:pPr>
              <w:pStyle w:val="TableParagraph"/>
              <w:spacing w:line="202" w:lineRule="exact" w:before="0"/>
              <w:ind w:right="123"/>
              <w:jc w:val="center"/>
              <w:rPr>
                <w:sz w:val="20"/>
              </w:rPr>
            </w:pPr>
            <w:r>
              <w:rPr>
                <w:w w:val="100"/>
                <w:sz w:val="20"/>
              </w:rPr>
              <w:t>1</w:t>
            </w:r>
          </w:p>
        </w:tc>
        <w:tc>
          <w:tcPr>
            <w:tcW w:w="819" w:type="dxa"/>
            <w:tcBorders>
              <w:bottom w:val="single" w:sz="4" w:space="0" w:color="000000"/>
            </w:tcBorders>
          </w:tcPr>
          <w:p>
            <w:pPr>
              <w:pStyle w:val="TableParagraph"/>
              <w:spacing w:line="202" w:lineRule="exact" w:before="0"/>
              <w:ind w:left="242"/>
              <w:jc w:val="left"/>
              <w:rPr>
                <w:sz w:val="20"/>
              </w:rPr>
            </w:pPr>
            <w:r>
              <w:rPr>
                <w:w w:val="100"/>
                <w:sz w:val="20"/>
              </w:rPr>
              <w:t>2</w:t>
            </w:r>
          </w:p>
        </w:tc>
        <w:tc>
          <w:tcPr>
            <w:tcW w:w="819" w:type="dxa"/>
            <w:tcBorders>
              <w:bottom w:val="single" w:sz="4" w:space="0" w:color="000000"/>
            </w:tcBorders>
          </w:tcPr>
          <w:p>
            <w:pPr>
              <w:pStyle w:val="TableParagraph"/>
              <w:spacing w:line="202" w:lineRule="exact" w:before="0"/>
              <w:ind w:left="244"/>
              <w:jc w:val="left"/>
              <w:rPr>
                <w:sz w:val="20"/>
              </w:rPr>
            </w:pPr>
            <w:r>
              <w:rPr>
                <w:w w:val="100"/>
                <w:sz w:val="20"/>
              </w:rPr>
              <w:t>3</w:t>
            </w:r>
          </w:p>
        </w:tc>
        <w:tc>
          <w:tcPr>
            <w:tcW w:w="817" w:type="dxa"/>
            <w:tcBorders>
              <w:bottom w:val="single" w:sz="4" w:space="0" w:color="000000"/>
            </w:tcBorders>
          </w:tcPr>
          <w:p>
            <w:pPr>
              <w:pStyle w:val="TableParagraph"/>
              <w:spacing w:line="202" w:lineRule="exact" w:before="0"/>
              <w:ind w:left="242"/>
              <w:jc w:val="left"/>
              <w:rPr>
                <w:sz w:val="20"/>
              </w:rPr>
            </w:pPr>
            <w:r>
              <w:rPr>
                <w:w w:val="100"/>
                <w:sz w:val="20"/>
              </w:rPr>
              <w:t>4</w:t>
            </w:r>
          </w:p>
        </w:tc>
        <w:tc>
          <w:tcPr>
            <w:tcW w:w="819" w:type="dxa"/>
            <w:tcBorders>
              <w:bottom w:val="single" w:sz="4" w:space="0" w:color="000000"/>
            </w:tcBorders>
          </w:tcPr>
          <w:p>
            <w:pPr>
              <w:pStyle w:val="TableParagraph"/>
              <w:spacing w:line="202" w:lineRule="exact" w:before="0"/>
              <w:ind w:left="242"/>
              <w:jc w:val="left"/>
              <w:rPr>
                <w:sz w:val="20"/>
              </w:rPr>
            </w:pPr>
            <w:r>
              <w:rPr>
                <w:w w:val="100"/>
                <w:sz w:val="20"/>
              </w:rPr>
              <w:t>5</w:t>
            </w:r>
          </w:p>
        </w:tc>
        <w:tc>
          <w:tcPr>
            <w:tcW w:w="819" w:type="dxa"/>
            <w:tcBorders>
              <w:bottom w:val="single" w:sz="4" w:space="0" w:color="000000"/>
            </w:tcBorders>
          </w:tcPr>
          <w:p>
            <w:pPr>
              <w:pStyle w:val="TableParagraph"/>
              <w:spacing w:line="202" w:lineRule="exact" w:before="0"/>
              <w:ind w:left="244"/>
              <w:jc w:val="left"/>
              <w:rPr>
                <w:sz w:val="20"/>
              </w:rPr>
            </w:pPr>
            <w:r>
              <w:rPr>
                <w:w w:val="100"/>
                <w:sz w:val="20"/>
              </w:rPr>
              <w:t>6</w:t>
            </w:r>
          </w:p>
        </w:tc>
        <w:tc>
          <w:tcPr>
            <w:tcW w:w="850" w:type="dxa"/>
            <w:tcBorders>
              <w:bottom w:val="single" w:sz="4" w:space="0" w:color="000000"/>
            </w:tcBorders>
          </w:tcPr>
          <w:p>
            <w:pPr>
              <w:pStyle w:val="TableParagraph"/>
              <w:spacing w:line="202" w:lineRule="exact" w:before="0"/>
              <w:ind w:left="242"/>
              <w:jc w:val="left"/>
              <w:rPr>
                <w:sz w:val="20"/>
              </w:rPr>
            </w:pPr>
            <w:r>
              <w:rPr>
                <w:w w:val="100"/>
                <w:sz w:val="20"/>
              </w:rPr>
              <w:t>7</w:t>
            </w:r>
          </w:p>
        </w:tc>
        <w:tc>
          <w:tcPr>
            <w:tcW w:w="819" w:type="dxa"/>
            <w:tcBorders>
              <w:bottom w:val="single" w:sz="4" w:space="0" w:color="000000"/>
            </w:tcBorders>
          </w:tcPr>
          <w:p>
            <w:pPr>
              <w:pStyle w:val="TableParagraph"/>
              <w:spacing w:line="202" w:lineRule="exact" w:before="0"/>
              <w:ind w:left="213"/>
              <w:jc w:val="left"/>
              <w:rPr>
                <w:sz w:val="20"/>
              </w:rPr>
            </w:pPr>
            <w:r>
              <w:rPr>
                <w:w w:val="100"/>
                <w:sz w:val="20"/>
              </w:rPr>
              <w:t>8</w:t>
            </w:r>
          </w:p>
        </w:tc>
        <w:tc>
          <w:tcPr>
            <w:tcW w:w="790" w:type="dxa"/>
            <w:tcBorders>
              <w:bottom w:val="single" w:sz="4" w:space="0" w:color="000000"/>
            </w:tcBorders>
          </w:tcPr>
          <w:p>
            <w:pPr>
              <w:pStyle w:val="TableParagraph"/>
              <w:spacing w:line="202" w:lineRule="exact" w:before="0"/>
              <w:ind w:left="211"/>
              <w:jc w:val="left"/>
              <w:rPr>
                <w:sz w:val="20"/>
              </w:rPr>
            </w:pPr>
            <w:r>
              <w:rPr>
                <w:w w:val="100"/>
                <w:sz w:val="20"/>
              </w:rPr>
              <w:t>9</w:t>
            </w:r>
          </w:p>
        </w:tc>
        <w:tc>
          <w:tcPr>
            <w:tcW w:w="699" w:type="dxa"/>
            <w:tcBorders>
              <w:bottom w:val="single" w:sz="4" w:space="0" w:color="000000"/>
            </w:tcBorders>
          </w:tcPr>
          <w:p>
            <w:pPr>
              <w:pStyle w:val="TableParagraph"/>
              <w:spacing w:line="202" w:lineRule="exact" w:before="0"/>
              <w:ind w:left="185"/>
              <w:jc w:val="left"/>
              <w:rPr>
                <w:sz w:val="20"/>
              </w:rPr>
            </w:pPr>
            <w:r>
              <w:rPr>
                <w:sz w:val="20"/>
              </w:rPr>
              <w:t>10</w:t>
            </w:r>
          </w:p>
        </w:tc>
      </w:tr>
      <w:tr>
        <w:trPr>
          <w:trHeight w:val="340" w:hRule="exact"/>
        </w:trPr>
        <w:tc>
          <w:tcPr>
            <w:tcW w:w="1468" w:type="dxa"/>
            <w:tcBorders>
              <w:top w:val="single" w:sz="4" w:space="0" w:color="000000"/>
            </w:tcBorders>
          </w:tcPr>
          <w:p>
            <w:pPr>
              <w:pStyle w:val="TableParagraph"/>
              <w:spacing w:before="58"/>
              <w:ind w:left="86"/>
              <w:jc w:val="left"/>
              <w:rPr>
                <w:sz w:val="20"/>
              </w:rPr>
            </w:pPr>
            <w:r>
              <w:rPr>
                <w:sz w:val="20"/>
              </w:rPr>
              <w:t>TEJ_VpSF</w:t>
            </w:r>
          </w:p>
        </w:tc>
        <w:tc>
          <w:tcPr>
            <w:tcW w:w="777" w:type="dxa"/>
            <w:tcBorders>
              <w:top w:val="single" w:sz="4" w:space="0" w:color="000000"/>
            </w:tcBorders>
          </w:tcPr>
          <w:p>
            <w:pPr>
              <w:pStyle w:val="TableParagraph"/>
              <w:spacing w:before="58"/>
              <w:ind w:left="125" w:right="162"/>
              <w:jc w:val="center"/>
              <w:rPr>
                <w:sz w:val="20"/>
              </w:rPr>
            </w:pPr>
            <w:r>
              <w:rPr>
                <w:sz w:val="20"/>
              </w:rPr>
              <w:t>22.00</w:t>
            </w:r>
          </w:p>
        </w:tc>
        <w:tc>
          <w:tcPr>
            <w:tcW w:w="819" w:type="dxa"/>
            <w:tcBorders>
              <w:top w:val="single" w:sz="4" w:space="0" w:color="000000"/>
            </w:tcBorders>
          </w:tcPr>
          <w:p>
            <w:pPr>
              <w:pStyle w:val="TableParagraph"/>
              <w:spacing w:before="58"/>
              <w:ind w:left="180"/>
              <w:jc w:val="left"/>
              <w:rPr>
                <w:sz w:val="20"/>
              </w:rPr>
            </w:pPr>
            <w:r>
              <w:rPr>
                <w:sz w:val="20"/>
              </w:rPr>
              <w:t>22.22</w:t>
            </w:r>
          </w:p>
        </w:tc>
        <w:tc>
          <w:tcPr>
            <w:tcW w:w="819" w:type="dxa"/>
            <w:tcBorders>
              <w:top w:val="single" w:sz="4" w:space="0" w:color="000000"/>
            </w:tcBorders>
          </w:tcPr>
          <w:p>
            <w:pPr>
              <w:pStyle w:val="TableParagraph"/>
              <w:spacing w:before="58"/>
              <w:ind w:left="182"/>
              <w:jc w:val="left"/>
              <w:rPr>
                <w:sz w:val="20"/>
              </w:rPr>
            </w:pPr>
            <w:r>
              <w:rPr>
                <w:sz w:val="20"/>
              </w:rPr>
              <w:t>22.22</w:t>
            </w:r>
          </w:p>
        </w:tc>
        <w:tc>
          <w:tcPr>
            <w:tcW w:w="817" w:type="dxa"/>
            <w:tcBorders>
              <w:top w:val="single" w:sz="4" w:space="0" w:color="000000"/>
            </w:tcBorders>
          </w:tcPr>
          <w:p>
            <w:pPr>
              <w:pStyle w:val="TableParagraph"/>
              <w:spacing w:before="58"/>
              <w:ind w:left="180"/>
              <w:jc w:val="left"/>
              <w:rPr>
                <w:sz w:val="20"/>
              </w:rPr>
            </w:pPr>
            <w:r>
              <w:rPr>
                <w:sz w:val="20"/>
              </w:rPr>
              <w:t>23.00</w:t>
            </w:r>
          </w:p>
        </w:tc>
        <w:tc>
          <w:tcPr>
            <w:tcW w:w="819" w:type="dxa"/>
            <w:tcBorders>
              <w:top w:val="single" w:sz="4" w:space="0" w:color="000000"/>
            </w:tcBorders>
          </w:tcPr>
          <w:p>
            <w:pPr>
              <w:pStyle w:val="TableParagraph"/>
              <w:spacing w:before="58"/>
              <w:ind w:left="180"/>
              <w:jc w:val="left"/>
              <w:rPr>
                <w:sz w:val="20"/>
              </w:rPr>
            </w:pPr>
            <w:r>
              <w:rPr>
                <w:sz w:val="20"/>
              </w:rPr>
              <w:t>23.00</w:t>
            </w:r>
          </w:p>
        </w:tc>
        <w:tc>
          <w:tcPr>
            <w:tcW w:w="819" w:type="dxa"/>
            <w:tcBorders>
              <w:top w:val="single" w:sz="4" w:space="0" w:color="000000"/>
            </w:tcBorders>
          </w:tcPr>
          <w:p>
            <w:pPr>
              <w:pStyle w:val="TableParagraph"/>
              <w:spacing w:before="58"/>
              <w:ind w:left="182"/>
              <w:jc w:val="left"/>
              <w:rPr>
                <w:sz w:val="20"/>
              </w:rPr>
            </w:pPr>
            <w:r>
              <w:rPr>
                <w:sz w:val="20"/>
              </w:rPr>
              <w:t>22.00</w:t>
            </w:r>
          </w:p>
        </w:tc>
        <w:tc>
          <w:tcPr>
            <w:tcW w:w="850" w:type="dxa"/>
            <w:tcBorders>
              <w:top w:val="single" w:sz="4" w:space="0" w:color="000000"/>
            </w:tcBorders>
          </w:tcPr>
          <w:p>
            <w:pPr>
              <w:pStyle w:val="TableParagraph"/>
              <w:spacing w:before="58"/>
              <w:ind w:left="180"/>
              <w:jc w:val="left"/>
              <w:rPr>
                <w:sz w:val="20"/>
              </w:rPr>
            </w:pPr>
            <w:r>
              <w:rPr>
                <w:sz w:val="20"/>
              </w:rPr>
              <w:t>22.00</w:t>
            </w:r>
          </w:p>
        </w:tc>
        <w:tc>
          <w:tcPr>
            <w:tcW w:w="819" w:type="dxa"/>
            <w:tcBorders>
              <w:top w:val="single" w:sz="4" w:space="0" w:color="000000"/>
            </w:tcBorders>
          </w:tcPr>
          <w:p>
            <w:pPr>
              <w:pStyle w:val="TableParagraph"/>
              <w:spacing w:before="58"/>
              <w:ind w:left="252"/>
              <w:jc w:val="left"/>
              <w:rPr>
                <w:sz w:val="20"/>
              </w:rPr>
            </w:pPr>
            <w:r>
              <w:rPr>
                <w:sz w:val="20"/>
              </w:rPr>
              <w:t>0.00</w:t>
            </w:r>
          </w:p>
        </w:tc>
        <w:tc>
          <w:tcPr>
            <w:tcW w:w="790" w:type="dxa"/>
            <w:tcBorders>
              <w:top w:val="single" w:sz="4" w:space="0" w:color="000000"/>
            </w:tcBorders>
          </w:tcPr>
          <w:p>
            <w:pPr>
              <w:pStyle w:val="TableParagraph"/>
              <w:spacing w:before="58"/>
              <w:ind w:left="249"/>
              <w:jc w:val="left"/>
              <w:rPr>
                <w:sz w:val="20"/>
              </w:rPr>
            </w:pPr>
            <w:r>
              <w:rPr>
                <w:sz w:val="20"/>
              </w:rPr>
              <w:t>0.00</w:t>
            </w:r>
          </w:p>
        </w:tc>
        <w:tc>
          <w:tcPr>
            <w:tcW w:w="699" w:type="dxa"/>
            <w:tcBorders>
              <w:top w:val="single" w:sz="4" w:space="0" w:color="000000"/>
            </w:tcBorders>
          </w:tcPr>
          <w:p>
            <w:pPr>
              <w:pStyle w:val="TableParagraph"/>
              <w:spacing w:before="58"/>
              <w:ind w:right="65"/>
              <w:rPr>
                <w:sz w:val="20"/>
              </w:rPr>
            </w:pPr>
            <w:r>
              <w:rPr>
                <w:sz w:val="20"/>
              </w:rPr>
              <w:t>0.00</w:t>
            </w:r>
          </w:p>
        </w:tc>
      </w:tr>
      <w:tr>
        <w:trPr>
          <w:trHeight w:val="300" w:hRule="exact"/>
        </w:trPr>
        <w:tc>
          <w:tcPr>
            <w:tcW w:w="1468" w:type="dxa"/>
          </w:tcPr>
          <w:p>
            <w:pPr>
              <w:pStyle w:val="TableParagraph"/>
              <w:spacing w:before="26"/>
              <w:ind w:left="86"/>
              <w:jc w:val="left"/>
              <w:rPr>
                <w:sz w:val="20"/>
              </w:rPr>
            </w:pPr>
            <w:r>
              <w:rPr>
                <w:sz w:val="20"/>
              </w:rPr>
              <w:t>TEJ_WmFdp</w:t>
            </w:r>
          </w:p>
        </w:tc>
        <w:tc>
          <w:tcPr>
            <w:tcW w:w="777" w:type="dxa"/>
          </w:tcPr>
          <w:p>
            <w:pPr>
              <w:pStyle w:val="TableParagraph"/>
              <w:spacing w:before="26"/>
              <w:ind w:left="125" w:right="162"/>
              <w:jc w:val="center"/>
              <w:rPr>
                <w:sz w:val="20"/>
              </w:rPr>
            </w:pPr>
            <w:r>
              <w:rPr>
                <w:sz w:val="20"/>
              </w:rPr>
              <w:t>15.50</w:t>
            </w:r>
          </w:p>
        </w:tc>
        <w:tc>
          <w:tcPr>
            <w:tcW w:w="819" w:type="dxa"/>
          </w:tcPr>
          <w:p>
            <w:pPr>
              <w:pStyle w:val="TableParagraph"/>
              <w:spacing w:before="26"/>
              <w:ind w:left="180"/>
              <w:jc w:val="left"/>
              <w:rPr>
                <w:sz w:val="20"/>
              </w:rPr>
            </w:pPr>
            <w:r>
              <w:rPr>
                <w:sz w:val="20"/>
              </w:rPr>
              <w:t>19.13</w:t>
            </w:r>
          </w:p>
        </w:tc>
        <w:tc>
          <w:tcPr>
            <w:tcW w:w="819" w:type="dxa"/>
          </w:tcPr>
          <w:p>
            <w:pPr>
              <w:pStyle w:val="TableParagraph"/>
              <w:spacing w:before="26"/>
              <w:ind w:left="182"/>
              <w:jc w:val="left"/>
              <w:rPr>
                <w:sz w:val="20"/>
              </w:rPr>
            </w:pPr>
            <w:r>
              <w:rPr>
                <w:sz w:val="20"/>
              </w:rPr>
              <w:t>19.13</w:t>
            </w:r>
          </w:p>
        </w:tc>
        <w:tc>
          <w:tcPr>
            <w:tcW w:w="817" w:type="dxa"/>
          </w:tcPr>
          <w:p>
            <w:pPr>
              <w:pStyle w:val="TableParagraph"/>
              <w:spacing w:before="26"/>
              <w:ind w:left="180"/>
              <w:jc w:val="left"/>
              <w:rPr>
                <w:sz w:val="20"/>
              </w:rPr>
            </w:pPr>
            <w:r>
              <w:rPr>
                <w:sz w:val="20"/>
              </w:rPr>
              <w:t>30.00</w:t>
            </w:r>
          </w:p>
        </w:tc>
        <w:tc>
          <w:tcPr>
            <w:tcW w:w="819" w:type="dxa"/>
          </w:tcPr>
          <w:p>
            <w:pPr>
              <w:pStyle w:val="TableParagraph"/>
              <w:spacing w:before="26"/>
              <w:ind w:left="180"/>
              <w:jc w:val="left"/>
              <w:rPr>
                <w:sz w:val="20"/>
              </w:rPr>
            </w:pPr>
            <w:r>
              <w:rPr>
                <w:sz w:val="20"/>
              </w:rPr>
              <w:t>30.00</w:t>
            </w:r>
          </w:p>
        </w:tc>
        <w:tc>
          <w:tcPr>
            <w:tcW w:w="819" w:type="dxa"/>
          </w:tcPr>
          <w:p>
            <w:pPr>
              <w:pStyle w:val="TableParagraph"/>
              <w:spacing w:before="26"/>
              <w:ind w:left="182"/>
              <w:jc w:val="left"/>
              <w:rPr>
                <w:sz w:val="20"/>
              </w:rPr>
            </w:pPr>
            <w:r>
              <w:rPr>
                <w:sz w:val="20"/>
              </w:rPr>
              <w:t>30.00</w:t>
            </w:r>
          </w:p>
        </w:tc>
        <w:tc>
          <w:tcPr>
            <w:tcW w:w="850" w:type="dxa"/>
          </w:tcPr>
          <w:p>
            <w:pPr>
              <w:pStyle w:val="TableParagraph"/>
              <w:spacing w:before="26"/>
              <w:ind w:left="180"/>
              <w:jc w:val="left"/>
              <w:rPr>
                <w:sz w:val="20"/>
              </w:rPr>
            </w:pPr>
            <w:r>
              <w:rPr>
                <w:sz w:val="20"/>
              </w:rPr>
              <w:t>30.00</w:t>
            </w:r>
          </w:p>
        </w:tc>
        <w:tc>
          <w:tcPr>
            <w:tcW w:w="819" w:type="dxa"/>
          </w:tcPr>
          <w:p>
            <w:pPr>
              <w:pStyle w:val="TableParagraph"/>
              <w:spacing w:before="26"/>
              <w:ind w:left="252"/>
              <w:jc w:val="left"/>
              <w:rPr>
                <w:sz w:val="20"/>
              </w:rPr>
            </w:pPr>
            <w:r>
              <w:rPr>
                <w:sz w:val="20"/>
              </w:rPr>
              <w:t>0.00</w:t>
            </w:r>
          </w:p>
        </w:tc>
        <w:tc>
          <w:tcPr>
            <w:tcW w:w="790" w:type="dxa"/>
          </w:tcPr>
          <w:p>
            <w:pPr>
              <w:pStyle w:val="TableParagraph"/>
              <w:spacing w:before="26"/>
              <w:ind w:left="249"/>
              <w:jc w:val="left"/>
              <w:rPr>
                <w:sz w:val="20"/>
              </w:rPr>
            </w:pPr>
            <w:r>
              <w:rPr>
                <w:sz w:val="20"/>
              </w:rPr>
              <w:t>0.00</w:t>
            </w:r>
          </w:p>
        </w:tc>
        <w:tc>
          <w:tcPr>
            <w:tcW w:w="699" w:type="dxa"/>
          </w:tcPr>
          <w:p>
            <w:pPr>
              <w:pStyle w:val="TableParagraph"/>
              <w:spacing w:before="26"/>
              <w:ind w:right="65"/>
              <w:rPr>
                <w:sz w:val="20"/>
              </w:rPr>
            </w:pPr>
            <w:r>
              <w:rPr>
                <w:sz w:val="20"/>
              </w:rPr>
              <w:t>0.00</w:t>
            </w:r>
          </w:p>
        </w:tc>
      </w:tr>
      <w:tr>
        <w:trPr>
          <w:trHeight w:val="268" w:hRule="exact"/>
        </w:trPr>
        <w:tc>
          <w:tcPr>
            <w:tcW w:w="1468" w:type="dxa"/>
            <w:tcBorders>
              <w:bottom w:val="single" w:sz="4" w:space="0" w:color="000000"/>
            </w:tcBorders>
          </w:tcPr>
          <w:p>
            <w:pPr>
              <w:pStyle w:val="TableParagraph"/>
              <w:ind w:left="86"/>
              <w:jc w:val="left"/>
              <w:rPr>
                <w:sz w:val="20"/>
              </w:rPr>
            </w:pPr>
            <w:r>
              <w:rPr>
                <w:sz w:val="20"/>
              </w:rPr>
              <w:t>TEJ_WmSF</w:t>
            </w:r>
          </w:p>
        </w:tc>
        <w:tc>
          <w:tcPr>
            <w:tcW w:w="777" w:type="dxa"/>
            <w:tcBorders>
              <w:bottom w:val="single" w:sz="4" w:space="0" w:color="000000"/>
            </w:tcBorders>
          </w:tcPr>
          <w:p>
            <w:pPr>
              <w:pStyle w:val="TableParagraph"/>
              <w:ind w:left="125" w:right="162"/>
              <w:jc w:val="center"/>
              <w:rPr>
                <w:sz w:val="20"/>
              </w:rPr>
            </w:pPr>
            <w:r>
              <w:rPr>
                <w:sz w:val="20"/>
              </w:rPr>
              <w:t>20.50</w:t>
            </w:r>
          </w:p>
        </w:tc>
        <w:tc>
          <w:tcPr>
            <w:tcW w:w="819" w:type="dxa"/>
            <w:tcBorders>
              <w:bottom w:val="single" w:sz="4" w:space="0" w:color="000000"/>
            </w:tcBorders>
          </w:tcPr>
          <w:p>
            <w:pPr>
              <w:pStyle w:val="TableParagraph"/>
              <w:ind w:left="180"/>
              <w:jc w:val="left"/>
              <w:rPr>
                <w:sz w:val="20"/>
              </w:rPr>
            </w:pPr>
            <w:r>
              <w:rPr>
                <w:sz w:val="20"/>
              </w:rPr>
              <w:t>21.72</w:t>
            </w:r>
          </w:p>
        </w:tc>
        <w:tc>
          <w:tcPr>
            <w:tcW w:w="819" w:type="dxa"/>
            <w:tcBorders>
              <w:bottom w:val="single" w:sz="4" w:space="0" w:color="000000"/>
            </w:tcBorders>
          </w:tcPr>
          <w:p>
            <w:pPr>
              <w:pStyle w:val="TableParagraph"/>
              <w:ind w:left="182"/>
              <w:jc w:val="left"/>
              <w:rPr>
                <w:sz w:val="20"/>
              </w:rPr>
            </w:pPr>
            <w:r>
              <w:rPr>
                <w:sz w:val="20"/>
              </w:rPr>
              <w:t>22.61</w:t>
            </w:r>
          </w:p>
        </w:tc>
        <w:tc>
          <w:tcPr>
            <w:tcW w:w="817" w:type="dxa"/>
            <w:tcBorders>
              <w:bottom w:val="single" w:sz="4" w:space="0" w:color="000000"/>
            </w:tcBorders>
          </w:tcPr>
          <w:p>
            <w:pPr>
              <w:pStyle w:val="TableParagraph"/>
              <w:ind w:left="180"/>
              <w:jc w:val="left"/>
              <w:rPr>
                <w:sz w:val="20"/>
              </w:rPr>
            </w:pPr>
            <w:r>
              <w:rPr>
                <w:sz w:val="20"/>
              </w:rPr>
              <w:t>26.89</w:t>
            </w:r>
          </w:p>
        </w:tc>
        <w:tc>
          <w:tcPr>
            <w:tcW w:w="819" w:type="dxa"/>
            <w:tcBorders>
              <w:bottom w:val="single" w:sz="4" w:space="0" w:color="000000"/>
            </w:tcBorders>
          </w:tcPr>
          <w:p>
            <w:pPr>
              <w:pStyle w:val="TableParagraph"/>
              <w:ind w:left="180"/>
              <w:jc w:val="left"/>
              <w:rPr>
                <w:sz w:val="20"/>
              </w:rPr>
            </w:pPr>
            <w:r>
              <w:rPr>
                <w:sz w:val="20"/>
              </w:rPr>
              <w:t>30.00</w:t>
            </w:r>
          </w:p>
        </w:tc>
        <w:tc>
          <w:tcPr>
            <w:tcW w:w="819" w:type="dxa"/>
            <w:tcBorders>
              <w:bottom w:val="single" w:sz="4" w:space="0" w:color="000000"/>
            </w:tcBorders>
          </w:tcPr>
          <w:p>
            <w:pPr>
              <w:pStyle w:val="TableParagraph"/>
              <w:ind w:left="182"/>
              <w:jc w:val="left"/>
              <w:rPr>
                <w:sz w:val="20"/>
              </w:rPr>
            </w:pPr>
            <w:r>
              <w:rPr>
                <w:sz w:val="20"/>
              </w:rPr>
              <w:t>30.00</w:t>
            </w:r>
          </w:p>
        </w:tc>
        <w:tc>
          <w:tcPr>
            <w:tcW w:w="850" w:type="dxa"/>
            <w:tcBorders>
              <w:bottom w:val="single" w:sz="4" w:space="0" w:color="000000"/>
            </w:tcBorders>
          </w:tcPr>
          <w:p>
            <w:pPr>
              <w:pStyle w:val="TableParagraph"/>
              <w:ind w:left="180"/>
              <w:jc w:val="left"/>
              <w:rPr>
                <w:sz w:val="20"/>
              </w:rPr>
            </w:pPr>
            <w:r>
              <w:rPr>
                <w:sz w:val="20"/>
              </w:rPr>
              <w:t>30.00</w:t>
            </w:r>
          </w:p>
        </w:tc>
        <w:tc>
          <w:tcPr>
            <w:tcW w:w="819" w:type="dxa"/>
            <w:tcBorders>
              <w:bottom w:val="single" w:sz="4" w:space="0" w:color="000000"/>
            </w:tcBorders>
          </w:tcPr>
          <w:p>
            <w:pPr>
              <w:pStyle w:val="TableParagraph"/>
              <w:ind w:left="252"/>
              <w:jc w:val="left"/>
              <w:rPr>
                <w:sz w:val="20"/>
              </w:rPr>
            </w:pPr>
            <w:r>
              <w:rPr>
                <w:sz w:val="20"/>
              </w:rPr>
              <w:t>0.00</w:t>
            </w:r>
          </w:p>
        </w:tc>
        <w:tc>
          <w:tcPr>
            <w:tcW w:w="790" w:type="dxa"/>
            <w:tcBorders>
              <w:bottom w:val="single" w:sz="4" w:space="0" w:color="000000"/>
            </w:tcBorders>
          </w:tcPr>
          <w:p>
            <w:pPr>
              <w:pStyle w:val="TableParagraph"/>
              <w:ind w:left="249"/>
              <w:jc w:val="left"/>
              <w:rPr>
                <w:sz w:val="20"/>
              </w:rPr>
            </w:pPr>
            <w:r>
              <w:rPr>
                <w:sz w:val="20"/>
              </w:rPr>
              <w:t>0.00</w:t>
            </w:r>
          </w:p>
        </w:tc>
        <w:tc>
          <w:tcPr>
            <w:tcW w:w="699" w:type="dxa"/>
            <w:tcBorders>
              <w:bottom w:val="single" w:sz="4" w:space="0" w:color="000000"/>
            </w:tcBorders>
          </w:tcPr>
          <w:p>
            <w:pPr>
              <w:pStyle w:val="TableParagraph"/>
              <w:ind w:right="65"/>
              <w:rPr>
                <w:sz w:val="20"/>
              </w:rPr>
            </w:pPr>
            <w:r>
              <w:rPr>
                <w:sz w:val="20"/>
              </w:rPr>
              <w:t>0.00</w:t>
            </w:r>
          </w:p>
        </w:tc>
      </w:tr>
    </w:tbl>
    <w:p>
      <w:pPr>
        <w:pStyle w:val="BodyText"/>
        <w:rPr>
          <w:sz w:val="20"/>
        </w:rPr>
      </w:pPr>
    </w:p>
    <w:p>
      <w:pPr>
        <w:pStyle w:val="BodyText"/>
        <w:spacing w:before="9"/>
        <w:rPr>
          <w:sz w:val="25"/>
        </w:rPr>
      </w:pPr>
    </w:p>
    <w:p>
      <w:pPr>
        <w:pStyle w:val="Heading1"/>
        <w:spacing w:before="66"/>
        <w:ind w:left="3157"/>
      </w:pPr>
      <w:bookmarkStart w:name="_bookmark157" w:id="216"/>
      <w:bookmarkEnd w:id="216"/>
      <w:r>
        <w:rPr>
          <w:b w:val="0"/>
        </w:rPr>
      </w:r>
      <w:r>
        <w:rPr/>
        <w:t>Tabla 20. Albedo húmedo del suelo</w:t>
      </w:r>
    </w:p>
    <w:p>
      <w:pPr>
        <w:pStyle w:val="BodyText"/>
        <w:rPr>
          <w:b/>
          <w:sz w:val="20"/>
        </w:rPr>
      </w:pPr>
    </w:p>
    <w:p>
      <w:pPr>
        <w:pStyle w:val="BodyText"/>
        <w:spacing w:before="11"/>
        <w:rPr>
          <w:b/>
          <w:sz w:val="23"/>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64"/>
        <w:gridCol w:w="657"/>
        <w:gridCol w:w="838"/>
        <w:gridCol w:w="838"/>
        <w:gridCol w:w="838"/>
        <w:gridCol w:w="838"/>
        <w:gridCol w:w="835"/>
        <w:gridCol w:w="838"/>
        <w:gridCol w:w="838"/>
        <w:gridCol w:w="831"/>
        <w:gridCol w:w="778"/>
      </w:tblGrid>
      <w:tr>
        <w:trPr>
          <w:trHeight w:val="393" w:hRule="exact"/>
        </w:trPr>
        <w:tc>
          <w:tcPr>
            <w:tcW w:w="1364" w:type="dxa"/>
            <w:tcBorders>
              <w:left w:val="nil"/>
              <w:bottom w:val="nil"/>
              <w:right w:val="nil"/>
            </w:tcBorders>
          </w:tcPr>
          <w:p>
            <w:pPr>
              <w:pStyle w:val="TableParagraph"/>
              <w:spacing w:before="173"/>
              <w:ind w:left="100"/>
              <w:jc w:val="left"/>
              <w:rPr>
                <w:sz w:val="20"/>
              </w:rPr>
            </w:pPr>
            <w:r>
              <w:rPr>
                <w:sz w:val="20"/>
              </w:rPr>
              <w:t>Nombre/Clave</w:t>
            </w:r>
          </w:p>
        </w:tc>
        <w:tc>
          <w:tcPr>
            <w:tcW w:w="657" w:type="dxa"/>
            <w:tcBorders>
              <w:left w:val="nil"/>
              <w:bottom w:val="nil"/>
              <w:right w:val="nil"/>
            </w:tcBorders>
          </w:tcPr>
          <w:p>
            <w:pPr/>
          </w:p>
        </w:tc>
        <w:tc>
          <w:tcPr>
            <w:tcW w:w="838" w:type="dxa"/>
            <w:tcBorders>
              <w:left w:val="nil"/>
              <w:bottom w:val="nil"/>
              <w:right w:val="nil"/>
            </w:tcBorders>
          </w:tcPr>
          <w:p>
            <w:pPr/>
          </w:p>
        </w:tc>
        <w:tc>
          <w:tcPr>
            <w:tcW w:w="838" w:type="dxa"/>
            <w:tcBorders>
              <w:left w:val="nil"/>
              <w:bottom w:val="nil"/>
              <w:right w:val="nil"/>
            </w:tcBorders>
          </w:tcPr>
          <w:p>
            <w:pPr/>
          </w:p>
        </w:tc>
        <w:tc>
          <w:tcPr>
            <w:tcW w:w="838" w:type="dxa"/>
            <w:tcBorders>
              <w:left w:val="nil"/>
              <w:bottom w:val="nil"/>
              <w:right w:val="nil"/>
            </w:tcBorders>
          </w:tcPr>
          <w:p>
            <w:pPr/>
          </w:p>
        </w:tc>
        <w:tc>
          <w:tcPr>
            <w:tcW w:w="2511" w:type="dxa"/>
            <w:gridSpan w:val="3"/>
            <w:tcBorders>
              <w:left w:val="nil"/>
              <w:bottom w:val="nil"/>
              <w:right w:val="nil"/>
            </w:tcBorders>
          </w:tcPr>
          <w:p>
            <w:pPr>
              <w:pStyle w:val="TableParagraph"/>
              <w:spacing w:before="63"/>
              <w:ind w:left="31"/>
              <w:jc w:val="left"/>
              <w:rPr>
                <w:sz w:val="20"/>
              </w:rPr>
            </w:pPr>
            <w:r>
              <w:rPr>
                <w:sz w:val="20"/>
              </w:rPr>
              <w:t>N° de capas del suelo</w:t>
            </w:r>
          </w:p>
        </w:tc>
        <w:tc>
          <w:tcPr>
            <w:tcW w:w="838" w:type="dxa"/>
            <w:tcBorders>
              <w:left w:val="nil"/>
              <w:bottom w:val="nil"/>
              <w:right w:val="nil"/>
            </w:tcBorders>
          </w:tcPr>
          <w:p>
            <w:pPr/>
          </w:p>
        </w:tc>
        <w:tc>
          <w:tcPr>
            <w:tcW w:w="831" w:type="dxa"/>
            <w:tcBorders>
              <w:left w:val="nil"/>
              <w:bottom w:val="nil"/>
              <w:right w:val="nil"/>
            </w:tcBorders>
          </w:tcPr>
          <w:p>
            <w:pPr/>
          </w:p>
        </w:tc>
        <w:tc>
          <w:tcPr>
            <w:tcW w:w="778" w:type="dxa"/>
            <w:tcBorders>
              <w:left w:val="nil"/>
              <w:bottom w:val="nil"/>
              <w:right w:val="nil"/>
            </w:tcBorders>
          </w:tcPr>
          <w:p>
            <w:pPr/>
          </w:p>
        </w:tc>
      </w:tr>
      <w:tr>
        <w:trPr>
          <w:trHeight w:val="216" w:hRule="exact"/>
        </w:trPr>
        <w:tc>
          <w:tcPr>
            <w:tcW w:w="1364" w:type="dxa"/>
            <w:tcBorders>
              <w:top w:val="nil"/>
              <w:left w:val="nil"/>
              <w:right w:val="nil"/>
            </w:tcBorders>
          </w:tcPr>
          <w:p>
            <w:pPr/>
          </w:p>
        </w:tc>
        <w:tc>
          <w:tcPr>
            <w:tcW w:w="657" w:type="dxa"/>
            <w:tcBorders>
              <w:top w:val="nil"/>
              <w:left w:val="nil"/>
              <w:right w:val="nil"/>
            </w:tcBorders>
          </w:tcPr>
          <w:p>
            <w:pPr>
              <w:pStyle w:val="TableParagraph"/>
              <w:spacing w:line="202" w:lineRule="exact" w:before="0"/>
              <w:ind w:right="152"/>
              <w:jc w:val="center"/>
              <w:rPr>
                <w:sz w:val="20"/>
              </w:rPr>
            </w:pPr>
            <w:r>
              <w:rPr>
                <w:w w:val="100"/>
                <w:sz w:val="20"/>
              </w:rPr>
              <w:t>1</w:t>
            </w:r>
          </w:p>
        </w:tc>
        <w:tc>
          <w:tcPr>
            <w:tcW w:w="838" w:type="dxa"/>
            <w:tcBorders>
              <w:top w:val="nil"/>
              <w:left w:val="nil"/>
              <w:right w:val="nil"/>
            </w:tcBorders>
          </w:tcPr>
          <w:p>
            <w:pPr>
              <w:pStyle w:val="TableParagraph"/>
              <w:spacing w:line="202" w:lineRule="exact" w:before="0"/>
              <w:ind w:left="216"/>
              <w:jc w:val="left"/>
              <w:rPr>
                <w:sz w:val="20"/>
              </w:rPr>
            </w:pPr>
            <w:r>
              <w:rPr>
                <w:w w:val="100"/>
                <w:sz w:val="20"/>
              </w:rPr>
              <w:t>2</w:t>
            </w:r>
          </w:p>
        </w:tc>
        <w:tc>
          <w:tcPr>
            <w:tcW w:w="838" w:type="dxa"/>
            <w:tcBorders>
              <w:top w:val="nil"/>
              <w:left w:val="nil"/>
              <w:right w:val="nil"/>
            </w:tcBorders>
          </w:tcPr>
          <w:p>
            <w:pPr>
              <w:pStyle w:val="TableParagraph"/>
              <w:spacing w:line="202" w:lineRule="exact" w:before="0"/>
              <w:ind w:left="218"/>
              <w:jc w:val="left"/>
              <w:rPr>
                <w:sz w:val="20"/>
              </w:rPr>
            </w:pPr>
            <w:r>
              <w:rPr>
                <w:w w:val="100"/>
                <w:sz w:val="20"/>
              </w:rPr>
              <w:t>3</w:t>
            </w:r>
          </w:p>
        </w:tc>
        <w:tc>
          <w:tcPr>
            <w:tcW w:w="838" w:type="dxa"/>
            <w:tcBorders>
              <w:top w:val="nil"/>
              <w:left w:val="nil"/>
              <w:right w:val="nil"/>
            </w:tcBorders>
          </w:tcPr>
          <w:p>
            <w:pPr>
              <w:pStyle w:val="TableParagraph"/>
              <w:spacing w:line="202" w:lineRule="exact" w:before="0"/>
              <w:ind w:left="216"/>
              <w:jc w:val="left"/>
              <w:rPr>
                <w:sz w:val="20"/>
              </w:rPr>
            </w:pPr>
            <w:r>
              <w:rPr>
                <w:w w:val="100"/>
                <w:sz w:val="20"/>
              </w:rPr>
              <w:t>4</w:t>
            </w:r>
          </w:p>
        </w:tc>
        <w:tc>
          <w:tcPr>
            <w:tcW w:w="838" w:type="dxa"/>
            <w:tcBorders>
              <w:top w:val="nil"/>
              <w:left w:val="nil"/>
              <w:right w:val="nil"/>
            </w:tcBorders>
          </w:tcPr>
          <w:p>
            <w:pPr>
              <w:pStyle w:val="TableParagraph"/>
              <w:spacing w:line="202" w:lineRule="exact" w:before="0"/>
              <w:ind w:left="218"/>
              <w:jc w:val="left"/>
              <w:rPr>
                <w:sz w:val="20"/>
              </w:rPr>
            </w:pPr>
            <w:r>
              <w:rPr>
                <w:w w:val="100"/>
                <w:sz w:val="20"/>
              </w:rPr>
              <w:t>5</w:t>
            </w:r>
          </w:p>
        </w:tc>
        <w:tc>
          <w:tcPr>
            <w:tcW w:w="835" w:type="dxa"/>
            <w:tcBorders>
              <w:top w:val="nil"/>
              <w:left w:val="nil"/>
              <w:right w:val="nil"/>
            </w:tcBorders>
          </w:tcPr>
          <w:p>
            <w:pPr>
              <w:pStyle w:val="TableParagraph"/>
              <w:spacing w:line="202" w:lineRule="exact" w:before="0"/>
              <w:ind w:left="216"/>
              <w:jc w:val="left"/>
              <w:rPr>
                <w:sz w:val="20"/>
              </w:rPr>
            </w:pPr>
            <w:r>
              <w:rPr>
                <w:w w:val="100"/>
                <w:sz w:val="20"/>
              </w:rPr>
              <w:t>6</w:t>
            </w:r>
          </w:p>
        </w:tc>
        <w:tc>
          <w:tcPr>
            <w:tcW w:w="838" w:type="dxa"/>
            <w:tcBorders>
              <w:top w:val="nil"/>
              <w:left w:val="nil"/>
              <w:right w:val="nil"/>
            </w:tcBorders>
          </w:tcPr>
          <w:p>
            <w:pPr>
              <w:pStyle w:val="TableParagraph"/>
              <w:spacing w:line="202" w:lineRule="exact" w:before="0"/>
              <w:ind w:left="216"/>
              <w:jc w:val="left"/>
              <w:rPr>
                <w:sz w:val="20"/>
              </w:rPr>
            </w:pPr>
            <w:r>
              <w:rPr>
                <w:w w:val="100"/>
                <w:sz w:val="20"/>
              </w:rPr>
              <w:t>7</w:t>
            </w:r>
          </w:p>
        </w:tc>
        <w:tc>
          <w:tcPr>
            <w:tcW w:w="838" w:type="dxa"/>
            <w:tcBorders>
              <w:top w:val="nil"/>
              <w:left w:val="nil"/>
              <w:right w:val="nil"/>
            </w:tcBorders>
          </w:tcPr>
          <w:p>
            <w:pPr>
              <w:pStyle w:val="TableParagraph"/>
              <w:spacing w:line="202" w:lineRule="exact" w:before="0"/>
              <w:ind w:left="218"/>
              <w:jc w:val="left"/>
              <w:rPr>
                <w:sz w:val="20"/>
              </w:rPr>
            </w:pPr>
            <w:r>
              <w:rPr>
                <w:w w:val="100"/>
                <w:sz w:val="20"/>
              </w:rPr>
              <w:t>8</w:t>
            </w:r>
          </w:p>
        </w:tc>
        <w:tc>
          <w:tcPr>
            <w:tcW w:w="831" w:type="dxa"/>
            <w:tcBorders>
              <w:top w:val="nil"/>
              <w:left w:val="nil"/>
              <w:right w:val="nil"/>
            </w:tcBorders>
          </w:tcPr>
          <w:p>
            <w:pPr>
              <w:pStyle w:val="TableParagraph"/>
              <w:spacing w:line="202" w:lineRule="exact" w:before="0"/>
              <w:ind w:left="216"/>
              <w:jc w:val="left"/>
              <w:rPr>
                <w:sz w:val="20"/>
              </w:rPr>
            </w:pPr>
            <w:r>
              <w:rPr>
                <w:w w:val="100"/>
                <w:sz w:val="20"/>
              </w:rPr>
              <w:t>9</w:t>
            </w:r>
          </w:p>
        </w:tc>
        <w:tc>
          <w:tcPr>
            <w:tcW w:w="778" w:type="dxa"/>
            <w:tcBorders>
              <w:top w:val="nil"/>
              <w:left w:val="nil"/>
              <w:right w:val="nil"/>
            </w:tcBorders>
          </w:tcPr>
          <w:p>
            <w:pPr>
              <w:pStyle w:val="TableParagraph"/>
              <w:spacing w:line="202" w:lineRule="exact" w:before="0"/>
              <w:ind w:left="211"/>
              <w:jc w:val="left"/>
              <w:rPr>
                <w:sz w:val="20"/>
              </w:rPr>
            </w:pPr>
            <w:r>
              <w:rPr>
                <w:sz w:val="20"/>
              </w:rPr>
              <w:t>10</w:t>
            </w:r>
          </w:p>
        </w:tc>
      </w:tr>
      <w:tr>
        <w:trPr>
          <w:trHeight w:val="337" w:hRule="exact"/>
        </w:trPr>
        <w:tc>
          <w:tcPr>
            <w:tcW w:w="1364" w:type="dxa"/>
            <w:tcBorders>
              <w:left w:val="nil"/>
              <w:bottom w:val="nil"/>
              <w:right w:val="nil"/>
            </w:tcBorders>
          </w:tcPr>
          <w:p>
            <w:pPr>
              <w:pStyle w:val="TableParagraph"/>
              <w:spacing w:before="58"/>
              <w:ind w:left="86"/>
              <w:jc w:val="left"/>
              <w:rPr>
                <w:sz w:val="20"/>
              </w:rPr>
            </w:pPr>
            <w:r>
              <w:rPr>
                <w:sz w:val="20"/>
              </w:rPr>
              <w:t>TEJ_HhFd</w:t>
            </w:r>
          </w:p>
        </w:tc>
        <w:tc>
          <w:tcPr>
            <w:tcW w:w="657" w:type="dxa"/>
            <w:tcBorders>
              <w:left w:val="nil"/>
              <w:bottom w:val="nil"/>
              <w:right w:val="nil"/>
            </w:tcBorders>
          </w:tcPr>
          <w:p>
            <w:pPr>
              <w:pStyle w:val="TableParagraph"/>
              <w:spacing w:before="58"/>
              <w:ind w:left="69" w:right="197"/>
              <w:jc w:val="center"/>
              <w:rPr>
                <w:sz w:val="20"/>
              </w:rPr>
            </w:pPr>
            <w:r>
              <w:rPr>
                <w:sz w:val="20"/>
              </w:rPr>
              <w:t>0.13</w:t>
            </w:r>
          </w:p>
        </w:tc>
        <w:tc>
          <w:tcPr>
            <w:tcW w:w="838" w:type="dxa"/>
            <w:tcBorders>
              <w:left w:val="nil"/>
              <w:bottom w:val="nil"/>
              <w:right w:val="nil"/>
            </w:tcBorders>
          </w:tcPr>
          <w:p>
            <w:pPr>
              <w:pStyle w:val="TableParagraph"/>
              <w:spacing w:before="58"/>
              <w:ind w:left="264"/>
              <w:jc w:val="left"/>
              <w:rPr>
                <w:sz w:val="20"/>
              </w:rPr>
            </w:pPr>
            <w:r>
              <w:rPr>
                <w:sz w:val="20"/>
              </w:rPr>
              <w:t>0.13</w:t>
            </w:r>
          </w:p>
        </w:tc>
        <w:tc>
          <w:tcPr>
            <w:tcW w:w="838" w:type="dxa"/>
            <w:tcBorders>
              <w:left w:val="nil"/>
              <w:bottom w:val="nil"/>
              <w:right w:val="nil"/>
            </w:tcBorders>
          </w:tcPr>
          <w:p>
            <w:pPr>
              <w:pStyle w:val="TableParagraph"/>
              <w:spacing w:before="58"/>
              <w:ind w:left="266"/>
              <w:jc w:val="left"/>
              <w:rPr>
                <w:sz w:val="20"/>
              </w:rPr>
            </w:pPr>
            <w:r>
              <w:rPr>
                <w:sz w:val="20"/>
              </w:rPr>
              <w:t>0.13</w:t>
            </w:r>
          </w:p>
        </w:tc>
        <w:tc>
          <w:tcPr>
            <w:tcW w:w="838" w:type="dxa"/>
            <w:tcBorders>
              <w:left w:val="nil"/>
              <w:bottom w:val="nil"/>
              <w:right w:val="nil"/>
            </w:tcBorders>
          </w:tcPr>
          <w:p>
            <w:pPr>
              <w:pStyle w:val="TableParagraph"/>
              <w:spacing w:before="58"/>
              <w:ind w:left="264"/>
              <w:jc w:val="left"/>
              <w:rPr>
                <w:sz w:val="20"/>
              </w:rPr>
            </w:pPr>
            <w:r>
              <w:rPr>
                <w:sz w:val="20"/>
              </w:rPr>
              <w:t>0.13</w:t>
            </w:r>
          </w:p>
        </w:tc>
        <w:tc>
          <w:tcPr>
            <w:tcW w:w="838" w:type="dxa"/>
            <w:tcBorders>
              <w:left w:val="nil"/>
              <w:bottom w:val="nil"/>
              <w:right w:val="nil"/>
            </w:tcBorders>
          </w:tcPr>
          <w:p>
            <w:pPr>
              <w:pStyle w:val="TableParagraph"/>
              <w:spacing w:before="58"/>
              <w:ind w:left="266"/>
              <w:jc w:val="left"/>
              <w:rPr>
                <w:sz w:val="20"/>
              </w:rPr>
            </w:pPr>
            <w:r>
              <w:rPr>
                <w:sz w:val="20"/>
              </w:rPr>
              <w:t>0.13</w:t>
            </w:r>
          </w:p>
        </w:tc>
        <w:tc>
          <w:tcPr>
            <w:tcW w:w="835" w:type="dxa"/>
            <w:tcBorders>
              <w:left w:val="nil"/>
              <w:bottom w:val="nil"/>
              <w:right w:val="nil"/>
            </w:tcBorders>
          </w:tcPr>
          <w:p>
            <w:pPr>
              <w:pStyle w:val="TableParagraph"/>
              <w:spacing w:before="58"/>
              <w:ind w:left="264"/>
              <w:jc w:val="left"/>
              <w:rPr>
                <w:sz w:val="20"/>
              </w:rPr>
            </w:pPr>
            <w:r>
              <w:rPr>
                <w:sz w:val="20"/>
              </w:rPr>
              <w:t>0.13</w:t>
            </w:r>
          </w:p>
        </w:tc>
        <w:tc>
          <w:tcPr>
            <w:tcW w:w="838" w:type="dxa"/>
            <w:tcBorders>
              <w:left w:val="nil"/>
              <w:bottom w:val="nil"/>
              <w:right w:val="nil"/>
            </w:tcBorders>
          </w:tcPr>
          <w:p>
            <w:pPr>
              <w:pStyle w:val="TableParagraph"/>
              <w:spacing w:before="58"/>
              <w:ind w:right="216"/>
              <w:rPr>
                <w:sz w:val="20"/>
              </w:rPr>
            </w:pPr>
            <w:r>
              <w:rPr>
                <w:sz w:val="20"/>
              </w:rPr>
              <w:t>0.13</w:t>
            </w:r>
          </w:p>
        </w:tc>
        <w:tc>
          <w:tcPr>
            <w:tcW w:w="838" w:type="dxa"/>
            <w:tcBorders>
              <w:left w:val="nil"/>
              <w:bottom w:val="nil"/>
              <w:right w:val="nil"/>
            </w:tcBorders>
          </w:tcPr>
          <w:p>
            <w:pPr>
              <w:pStyle w:val="TableParagraph"/>
              <w:spacing w:before="58"/>
              <w:ind w:right="214"/>
              <w:rPr>
                <w:sz w:val="20"/>
              </w:rPr>
            </w:pPr>
            <w:r>
              <w:rPr>
                <w:sz w:val="20"/>
              </w:rPr>
              <w:t>0.00</w:t>
            </w:r>
          </w:p>
        </w:tc>
        <w:tc>
          <w:tcPr>
            <w:tcW w:w="831" w:type="dxa"/>
            <w:tcBorders>
              <w:left w:val="nil"/>
              <w:bottom w:val="nil"/>
              <w:right w:val="nil"/>
            </w:tcBorders>
          </w:tcPr>
          <w:p>
            <w:pPr>
              <w:pStyle w:val="TableParagraph"/>
              <w:spacing w:before="58"/>
              <w:ind w:right="209"/>
              <w:rPr>
                <w:sz w:val="20"/>
              </w:rPr>
            </w:pPr>
            <w:r>
              <w:rPr>
                <w:sz w:val="20"/>
              </w:rPr>
              <w:t>0.00</w:t>
            </w:r>
          </w:p>
        </w:tc>
        <w:tc>
          <w:tcPr>
            <w:tcW w:w="778" w:type="dxa"/>
            <w:tcBorders>
              <w:left w:val="nil"/>
              <w:bottom w:val="nil"/>
              <w:right w:val="nil"/>
            </w:tcBorders>
          </w:tcPr>
          <w:p>
            <w:pPr>
              <w:pStyle w:val="TableParagraph"/>
              <w:spacing w:before="58"/>
              <w:ind w:right="65"/>
              <w:rPr>
                <w:sz w:val="20"/>
              </w:rPr>
            </w:pPr>
            <w:r>
              <w:rPr>
                <w:sz w:val="20"/>
              </w:rPr>
              <w:t>0.00</w:t>
            </w:r>
          </w:p>
        </w:tc>
      </w:tr>
      <w:tr>
        <w:trPr>
          <w:trHeight w:val="298" w:hRule="exact"/>
        </w:trPr>
        <w:tc>
          <w:tcPr>
            <w:tcW w:w="1364" w:type="dxa"/>
            <w:tcBorders>
              <w:top w:val="nil"/>
              <w:left w:val="nil"/>
              <w:bottom w:val="nil"/>
              <w:right w:val="nil"/>
            </w:tcBorders>
          </w:tcPr>
          <w:p>
            <w:pPr>
              <w:pStyle w:val="TableParagraph"/>
              <w:ind w:left="86"/>
              <w:jc w:val="left"/>
              <w:rPr>
                <w:sz w:val="20"/>
              </w:rPr>
            </w:pPr>
            <w:r>
              <w:rPr>
                <w:sz w:val="20"/>
              </w:rPr>
              <w:t>TEJ_HhFdp</w:t>
            </w:r>
          </w:p>
        </w:tc>
        <w:tc>
          <w:tcPr>
            <w:tcW w:w="657" w:type="dxa"/>
            <w:tcBorders>
              <w:top w:val="nil"/>
              <w:left w:val="nil"/>
              <w:bottom w:val="nil"/>
              <w:right w:val="nil"/>
            </w:tcBorders>
          </w:tcPr>
          <w:p>
            <w:pPr>
              <w:pStyle w:val="TableParagraph"/>
              <w:ind w:left="69" w:right="197"/>
              <w:jc w:val="center"/>
              <w:rPr>
                <w:sz w:val="20"/>
              </w:rPr>
            </w:pPr>
            <w:r>
              <w:rPr>
                <w:sz w:val="20"/>
              </w:rPr>
              <w:t>0.13</w:t>
            </w:r>
          </w:p>
        </w:tc>
        <w:tc>
          <w:tcPr>
            <w:tcW w:w="838"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left="266"/>
              <w:jc w:val="left"/>
              <w:rPr>
                <w:sz w:val="20"/>
              </w:rPr>
            </w:pPr>
            <w:r>
              <w:rPr>
                <w:sz w:val="20"/>
              </w:rPr>
              <w:t>0.13</w:t>
            </w:r>
          </w:p>
        </w:tc>
        <w:tc>
          <w:tcPr>
            <w:tcW w:w="838"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left="266"/>
              <w:jc w:val="left"/>
              <w:rPr>
                <w:sz w:val="20"/>
              </w:rPr>
            </w:pPr>
            <w:r>
              <w:rPr>
                <w:sz w:val="20"/>
              </w:rPr>
              <w:t>0.13</w:t>
            </w:r>
          </w:p>
        </w:tc>
        <w:tc>
          <w:tcPr>
            <w:tcW w:w="835"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right="216"/>
              <w:rPr>
                <w:sz w:val="20"/>
              </w:rPr>
            </w:pPr>
            <w:r>
              <w:rPr>
                <w:sz w:val="20"/>
              </w:rPr>
              <w:t>0.13</w:t>
            </w:r>
          </w:p>
        </w:tc>
        <w:tc>
          <w:tcPr>
            <w:tcW w:w="838" w:type="dxa"/>
            <w:tcBorders>
              <w:top w:val="nil"/>
              <w:left w:val="nil"/>
              <w:bottom w:val="nil"/>
              <w:right w:val="nil"/>
            </w:tcBorders>
          </w:tcPr>
          <w:p>
            <w:pPr>
              <w:pStyle w:val="TableParagraph"/>
              <w:ind w:right="214"/>
              <w:rPr>
                <w:sz w:val="20"/>
              </w:rPr>
            </w:pPr>
            <w:r>
              <w:rPr>
                <w:sz w:val="20"/>
              </w:rPr>
              <w:t>0.00</w:t>
            </w:r>
          </w:p>
        </w:tc>
        <w:tc>
          <w:tcPr>
            <w:tcW w:w="831" w:type="dxa"/>
            <w:tcBorders>
              <w:top w:val="nil"/>
              <w:left w:val="nil"/>
              <w:bottom w:val="nil"/>
              <w:right w:val="nil"/>
            </w:tcBorders>
          </w:tcPr>
          <w:p>
            <w:pPr>
              <w:pStyle w:val="TableParagraph"/>
              <w:ind w:right="209"/>
              <w:rPr>
                <w:sz w:val="20"/>
              </w:rPr>
            </w:pPr>
            <w:r>
              <w:rPr>
                <w:sz w:val="20"/>
              </w:rPr>
              <w:t>0.00</w:t>
            </w:r>
          </w:p>
        </w:tc>
        <w:tc>
          <w:tcPr>
            <w:tcW w:w="778" w:type="dxa"/>
            <w:tcBorders>
              <w:top w:val="nil"/>
              <w:left w:val="nil"/>
              <w:bottom w:val="nil"/>
              <w:right w:val="nil"/>
            </w:tcBorders>
          </w:tcPr>
          <w:p>
            <w:pPr>
              <w:pStyle w:val="TableParagraph"/>
              <w:ind w:right="65"/>
              <w:rPr>
                <w:sz w:val="20"/>
              </w:rPr>
            </w:pPr>
            <w:r>
              <w:rPr>
                <w:sz w:val="20"/>
              </w:rPr>
              <w:t>0.00</w:t>
            </w:r>
          </w:p>
        </w:tc>
      </w:tr>
      <w:tr>
        <w:trPr>
          <w:trHeight w:val="298" w:hRule="exact"/>
        </w:trPr>
        <w:tc>
          <w:tcPr>
            <w:tcW w:w="1364" w:type="dxa"/>
            <w:tcBorders>
              <w:top w:val="nil"/>
              <w:left w:val="nil"/>
              <w:bottom w:val="nil"/>
              <w:right w:val="nil"/>
            </w:tcBorders>
          </w:tcPr>
          <w:p>
            <w:pPr>
              <w:pStyle w:val="TableParagraph"/>
              <w:spacing w:before="24"/>
              <w:ind w:left="86"/>
              <w:jc w:val="left"/>
              <w:rPr>
                <w:sz w:val="20"/>
              </w:rPr>
            </w:pPr>
            <w:r>
              <w:rPr>
                <w:sz w:val="20"/>
              </w:rPr>
              <w:t>TEJ_HhFl</w:t>
            </w:r>
          </w:p>
        </w:tc>
        <w:tc>
          <w:tcPr>
            <w:tcW w:w="657" w:type="dxa"/>
            <w:tcBorders>
              <w:top w:val="nil"/>
              <w:left w:val="nil"/>
              <w:bottom w:val="nil"/>
              <w:right w:val="nil"/>
            </w:tcBorders>
          </w:tcPr>
          <w:p>
            <w:pPr>
              <w:pStyle w:val="TableParagraph"/>
              <w:spacing w:before="24"/>
              <w:ind w:left="69" w:right="197"/>
              <w:jc w:val="center"/>
              <w:rPr>
                <w:sz w:val="20"/>
              </w:rPr>
            </w:pPr>
            <w:r>
              <w:rPr>
                <w:sz w:val="20"/>
              </w:rPr>
              <w:t>0.13</w:t>
            </w:r>
          </w:p>
        </w:tc>
        <w:tc>
          <w:tcPr>
            <w:tcW w:w="838" w:type="dxa"/>
            <w:tcBorders>
              <w:top w:val="nil"/>
              <w:left w:val="nil"/>
              <w:bottom w:val="nil"/>
              <w:right w:val="nil"/>
            </w:tcBorders>
          </w:tcPr>
          <w:p>
            <w:pPr>
              <w:pStyle w:val="TableParagraph"/>
              <w:spacing w:before="24"/>
              <w:ind w:left="264"/>
              <w:jc w:val="left"/>
              <w:rPr>
                <w:sz w:val="20"/>
              </w:rPr>
            </w:pPr>
            <w:r>
              <w:rPr>
                <w:sz w:val="20"/>
              </w:rPr>
              <w:t>0.13</w:t>
            </w:r>
          </w:p>
        </w:tc>
        <w:tc>
          <w:tcPr>
            <w:tcW w:w="838" w:type="dxa"/>
            <w:tcBorders>
              <w:top w:val="nil"/>
              <w:left w:val="nil"/>
              <w:bottom w:val="nil"/>
              <w:right w:val="nil"/>
            </w:tcBorders>
          </w:tcPr>
          <w:p>
            <w:pPr>
              <w:pStyle w:val="TableParagraph"/>
              <w:spacing w:before="24"/>
              <w:ind w:left="266"/>
              <w:jc w:val="left"/>
              <w:rPr>
                <w:sz w:val="20"/>
              </w:rPr>
            </w:pPr>
            <w:r>
              <w:rPr>
                <w:sz w:val="20"/>
              </w:rPr>
              <w:t>0.13</w:t>
            </w:r>
          </w:p>
        </w:tc>
        <w:tc>
          <w:tcPr>
            <w:tcW w:w="838" w:type="dxa"/>
            <w:tcBorders>
              <w:top w:val="nil"/>
              <w:left w:val="nil"/>
              <w:bottom w:val="nil"/>
              <w:right w:val="nil"/>
            </w:tcBorders>
          </w:tcPr>
          <w:p>
            <w:pPr>
              <w:pStyle w:val="TableParagraph"/>
              <w:spacing w:before="24"/>
              <w:ind w:left="264"/>
              <w:jc w:val="left"/>
              <w:rPr>
                <w:sz w:val="20"/>
              </w:rPr>
            </w:pPr>
            <w:r>
              <w:rPr>
                <w:sz w:val="20"/>
              </w:rPr>
              <w:t>0.13</w:t>
            </w:r>
          </w:p>
        </w:tc>
        <w:tc>
          <w:tcPr>
            <w:tcW w:w="838" w:type="dxa"/>
            <w:tcBorders>
              <w:top w:val="nil"/>
              <w:left w:val="nil"/>
              <w:bottom w:val="nil"/>
              <w:right w:val="nil"/>
            </w:tcBorders>
          </w:tcPr>
          <w:p>
            <w:pPr>
              <w:pStyle w:val="TableParagraph"/>
              <w:spacing w:before="24"/>
              <w:ind w:left="266"/>
              <w:jc w:val="left"/>
              <w:rPr>
                <w:sz w:val="20"/>
              </w:rPr>
            </w:pPr>
            <w:r>
              <w:rPr>
                <w:sz w:val="20"/>
              </w:rPr>
              <w:t>0.13</w:t>
            </w:r>
          </w:p>
        </w:tc>
        <w:tc>
          <w:tcPr>
            <w:tcW w:w="835" w:type="dxa"/>
            <w:tcBorders>
              <w:top w:val="nil"/>
              <w:left w:val="nil"/>
              <w:bottom w:val="nil"/>
              <w:right w:val="nil"/>
            </w:tcBorders>
          </w:tcPr>
          <w:p>
            <w:pPr>
              <w:pStyle w:val="TableParagraph"/>
              <w:spacing w:before="24"/>
              <w:ind w:left="264"/>
              <w:jc w:val="left"/>
              <w:rPr>
                <w:sz w:val="20"/>
              </w:rPr>
            </w:pPr>
            <w:r>
              <w:rPr>
                <w:sz w:val="20"/>
              </w:rPr>
              <w:t>0.13</w:t>
            </w:r>
          </w:p>
        </w:tc>
        <w:tc>
          <w:tcPr>
            <w:tcW w:w="838" w:type="dxa"/>
            <w:tcBorders>
              <w:top w:val="nil"/>
              <w:left w:val="nil"/>
              <w:bottom w:val="nil"/>
              <w:right w:val="nil"/>
            </w:tcBorders>
          </w:tcPr>
          <w:p>
            <w:pPr>
              <w:pStyle w:val="TableParagraph"/>
              <w:spacing w:before="24"/>
              <w:ind w:right="216"/>
              <w:rPr>
                <w:sz w:val="20"/>
              </w:rPr>
            </w:pPr>
            <w:r>
              <w:rPr>
                <w:sz w:val="20"/>
              </w:rPr>
              <w:t>0.13</w:t>
            </w:r>
          </w:p>
        </w:tc>
        <w:tc>
          <w:tcPr>
            <w:tcW w:w="838" w:type="dxa"/>
            <w:tcBorders>
              <w:top w:val="nil"/>
              <w:left w:val="nil"/>
              <w:bottom w:val="nil"/>
              <w:right w:val="nil"/>
            </w:tcBorders>
          </w:tcPr>
          <w:p>
            <w:pPr>
              <w:pStyle w:val="TableParagraph"/>
              <w:spacing w:before="24"/>
              <w:ind w:right="214"/>
              <w:rPr>
                <w:sz w:val="20"/>
              </w:rPr>
            </w:pPr>
            <w:r>
              <w:rPr>
                <w:sz w:val="20"/>
              </w:rPr>
              <w:t>0.00</w:t>
            </w:r>
          </w:p>
        </w:tc>
        <w:tc>
          <w:tcPr>
            <w:tcW w:w="831" w:type="dxa"/>
            <w:tcBorders>
              <w:top w:val="nil"/>
              <w:left w:val="nil"/>
              <w:bottom w:val="nil"/>
              <w:right w:val="nil"/>
            </w:tcBorders>
          </w:tcPr>
          <w:p>
            <w:pPr>
              <w:pStyle w:val="TableParagraph"/>
              <w:spacing w:before="24"/>
              <w:ind w:right="209"/>
              <w:rPr>
                <w:sz w:val="20"/>
              </w:rPr>
            </w:pPr>
            <w:r>
              <w:rPr>
                <w:sz w:val="20"/>
              </w:rPr>
              <w:t>0.00</w:t>
            </w:r>
          </w:p>
        </w:tc>
        <w:tc>
          <w:tcPr>
            <w:tcW w:w="778" w:type="dxa"/>
            <w:tcBorders>
              <w:top w:val="nil"/>
              <w:left w:val="nil"/>
              <w:bottom w:val="nil"/>
              <w:right w:val="nil"/>
            </w:tcBorders>
          </w:tcPr>
          <w:p>
            <w:pPr>
              <w:pStyle w:val="TableParagraph"/>
              <w:spacing w:before="24"/>
              <w:ind w:right="65"/>
              <w:rPr>
                <w:sz w:val="20"/>
              </w:rPr>
            </w:pPr>
            <w:r>
              <w:rPr>
                <w:sz w:val="20"/>
              </w:rPr>
              <w:t>0.00</w:t>
            </w:r>
          </w:p>
        </w:tc>
      </w:tr>
      <w:tr>
        <w:trPr>
          <w:trHeight w:val="298" w:hRule="exact"/>
        </w:trPr>
        <w:tc>
          <w:tcPr>
            <w:tcW w:w="1364" w:type="dxa"/>
            <w:tcBorders>
              <w:top w:val="nil"/>
              <w:left w:val="nil"/>
              <w:bottom w:val="nil"/>
              <w:right w:val="nil"/>
            </w:tcBorders>
          </w:tcPr>
          <w:p>
            <w:pPr>
              <w:pStyle w:val="TableParagraph"/>
              <w:ind w:left="86"/>
              <w:jc w:val="left"/>
              <w:rPr>
                <w:sz w:val="20"/>
              </w:rPr>
            </w:pPr>
            <w:r>
              <w:rPr>
                <w:sz w:val="20"/>
              </w:rPr>
              <w:t>TEJ_HhFlp</w:t>
            </w:r>
          </w:p>
        </w:tc>
        <w:tc>
          <w:tcPr>
            <w:tcW w:w="657" w:type="dxa"/>
            <w:tcBorders>
              <w:top w:val="nil"/>
              <w:left w:val="nil"/>
              <w:bottom w:val="nil"/>
              <w:right w:val="nil"/>
            </w:tcBorders>
          </w:tcPr>
          <w:p>
            <w:pPr>
              <w:pStyle w:val="TableParagraph"/>
              <w:ind w:left="69" w:right="197"/>
              <w:jc w:val="center"/>
              <w:rPr>
                <w:sz w:val="20"/>
              </w:rPr>
            </w:pPr>
            <w:r>
              <w:rPr>
                <w:sz w:val="20"/>
              </w:rPr>
              <w:t>0.13</w:t>
            </w:r>
          </w:p>
        </w:tc>
        <w:tc>
          <w:tcPr>
            <w:tcW w:w="838"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left="266"/>
              <w:jc w:val="left"/>
              <w:rPr>
                <w:sz w:val="20"/>
              </w:rPr>
            </w:pPr>
            <w:r>
              <w:rPr>
                <w:sz w:val="20"/>
              </w:rPr>
              <w:t>0.13</w:t>
            </w:r>
          </w:p>
        </w:tc>
        <w:tc>
          <w:tcPr>
            <w:tcW w:w="838"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left="266"/>
              <w:jc w:val="left"/>
              <w:rPr>
                <w:sz w:val="20"/>
              </w:rPr>
            </w:pPr>
            <w:r>
              <w:rPr>
                <w:sz w:val="20"/>
              </w:rPr>
              <w:t>0.13</w:t>
            </w:r>
          </w:p>
        </w:tc>
        <w:tc>
          <w:tcPr>
            <w:tcW w:w="835"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right="216"/>
              <w:rPr>
                <w:sz w:val="20"/>
              </w:rPr>
            </w:pPr>
            <w:r>
              <w:rPr>
                <w:sz w:val="20"/>
              </w:rPr>
              <w:t>0.13</w:t>
            </w:r>
          </w:p>
        </w:tc>
        <w:tc>
          <w:tcPr>
            <w:tcW w:w="838" w:type="dxa"/>
            <w:tcBorders>
              <w:top w:val="nil"/>
              <w:left w:val="nil"/>
              <w:bottom w:val="nil"/>
              <w:right w:val="nil"/>
            </w:tcBorders>
          </w:tcPr>
          <w:p>
            <w:pPr>
              <w:pStyle w:val="TableParagraph"/>
              <w:ind w:right="214"/>
              <w:rPr>
                <w:sz w:val="20"/>
              </w:rPr>
            </w:pPr>
            <w:r>
              <w:rPr>
                <w:sz w:val="20"/>
              </w:rPr>
              <w:t>0.00</w:t>
            </w:r>
          </w:p>
        </w:tc>
        <w:tc>
          <w:tcPr>
            <w:tcW w:w="831" w:type="dxa"/>
            <w:tcBorders>
              <w:top w:val="nil"/>
              <w:left w:val="nil"/>
              <w:bottom w:val="nil"/>
              <w:right w:val="nil"/>
            </w:tcBorders>
          </w:tcPr>
          <w:p>
            <w:pPr>
              <w:pStyle w:val="TableParagraph"/>
              <w:ind w:right="209"/>
              <w:rPr>
                <w:sz w:val="20"/>
              </w:rPr>
            </w:pPr>
            <w:r>
              <w:rPr>
                <w:sz w:val="20"/>
              </w:rPr>
              <w:t>0.00</w:t>
            </w:r>
          </w:p>
        </w:tc>
        <w:tc>
          <w:tcPr>
            <w:tcW w:w="778" w:type="dxa"/>
            <w:tcBorders>
              <w:top w:val="nil"/>
              <w:left w:val="nil"/>
              <w:bottom w:val="nil"/>
              <w:right w:val="nil"/>
            </w:tcBorders>
          </w:tcPr>
          <w:p>
            <w:pPr>
              <w:pStyle w:val="TableParagraph"/>
              <w:ind w:right="65"/>
              <w:rPr>
                <w:sz w:val="20"/>
              </w:rPr>
            </w:pPr>
            <w:r>
              <w:rPr>
                <w:sz w:val="20"/>
              </w:rPr>
              <w:t>0.00</w:t>
            </w:r>
          </w:p>
        </w:tc>
      </w:tr>
      <w:tr>
        <w:trPr>
          <w:trHeight w:val="298" w:hRule="exact"/>
        </w:trPr>
        <w:tc>
          <w:tcPr>
            <w:tcW w:w="1364" w:type="dxa"/>
            <w:tcBorders>
              <w:top w:val="nil"/>
              <w:left w:val="nil"/>
              <w:bottom w:val="nil"/>
              <w:right w:val="nil"/>
            </w:tcBorders>
          </w:tcPr>
          <w:p>
            <w:pPr>
              <w:pStyle w:val="TableParagraph"/>
              <w:ind w:left="86"/>
              <w:jc w:val="left"/>
              <w:rPr>
                <w:sz w:val="20"/>
              </w:rPr>
            </w:pPr>
            <w:r>
              <w:rPr>
                <w:sz w:val="20"/>
              </w:rPr>
              <w:t>TEJ_HhFp</w:t>
            </w:r>
          </w:p>
        </w:tc>
        <w:tc>
          <w:tcPr>
            <w:tcW w:w="657" w:type="dxa"/>
            <w:tcBorders>
              <w:top w:val="nil"/>
              <w:left w:val="nil"/>
              <w:bottom w:val="nil"/>
              <w:right w:val="nil"/>
            </w:tcBorders>
          </w:tcPr>
          <w:p>
            <w:pPr>
              <w:pStyle w:val="TableParagraph"/>
              <w:ind w:left="69" w:right="197"/>
              <w:jc w:val="center"/>
              <w:rPr>
                <w:sz w:val="20"/>
              </w:rPr>
            </w:pPr>
            <w:r>
              <w:rPr>
                <w:sz w:val="20"/>
              </w:rPr>
              <w:t>0.13</w:t>
            </w:r>
          </w:p>
        </w:tc>
        <w:tc>
          <w:tcPr>
            <w:tcW w:w="838"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left="266"/>
              <w:jc w:val="left"/>
              <w:rPr>
                <w:sz w:val="20"/>
              </w:rPr>
            </w:pPr>
            <w:r>
              <w:rPr>
                <w:sz w:val="20"/>
              </w:rPr>
              <w:t>0.13</w:t>
            </w:r>
          </w:p>
        </w:tc>
        <w:tc>
          <w:tcPr>
            <w:tcW w:w="838"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left="266"/>
              <w:jc w:val="left"/>
              <w:rPr>
                <w:sz w:val="20"/>
              </w:rPr>
            </w:pPr>
            <w:r>
              <w:rPr>
                <w:sz w:val="20"/>
              </w:rPr>
              <w:t>0.13</w:t>
            </w:r>
          </w:p>
        </w:tc>
        <w:tc>
          <w:tcPr>
            <w:tcW w:w="835"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right="216"/>
              <w:rPr>
                <w:sz w:val="20"/>
              </w:rPr>
            </w:pPr>
            <w:r>
              <w:rPr>
                <w:sz w:val="20"/>
              </w:rPr>
              <w:t>0.13</w:t>
            </w:r>
          </w:p>
        </w:tc>
        <w:tc>
          <w:tcPr>
            <w:tcW w:w="838" w:type="dxa"/>
            <w:tcBorders>
              <w:top w:val="nil"/>
              <w:left w:val="nil"/>
              <w:bottom w:val="nil"/>
              <w:right w:val="nil"/>
            </w:tcBorders>
          </w:tcPr>
          <w:p>
            <w:pPr>
              <w:pStyle w:val="TableParagraph"/>
              <w:ind w:right="214"/>
              <w:rPr>
                <w:sz w:val="20"/>
              </w:rPr>
            </w:pPr>
            <w:r>
              <w:rPr>
                <w:sz w:val="20"/>
              </w:rPr>
              <w:t>0.00</w:t>
            </w:r>
          </w:p>
        </w:tc>
        <w:tc>
          <w:tcPr>
            <w:tcW w:w="831" w:type="dxa"/>
            <w:tcBorders>
              <w:top w:val="nil"/>
              <w:left w:val="nil"/>
              <w:bottom w:val="nil"/>
              <w:right w:val="nil"/>
            </w:tcBorders>
          </w:tcPr>
          <w:p>
            <w:pPr>
              <w:pStyle w:val="TableParagraph"/>
              <w:ind w:right="209"/>
              <w:rPr>
                <w:sz w:val="20"/>
              </w:rPr>
            </w:pPr>
            <w:r>
              <w:rPr>
                <w:sz w:val="20"/>
              </w:rPr>
              <w:t>0.00</w:t>
            </w:r>
          </w:p>
        </w:tc>
        <w:tc>
          <w:tcPr>
            <w:tcW w:w="778" w:type="dxa"/>
            <w:tcBorders>
              <w:top w:val="nil"/>
              <w:left w:val="nil"/>
              <w:bottom w:val="nil"/>
              <w:right w:val="nil"/>
            </w:tcBorders>
          </w:tcPr>
          <w:p>
            <w:pPr>
              <w:pStyle w:val="TableParagraph"/>
              <w:ind w:right="65"/>
              <w:rPr>
                <w:sz w:val="20"/>
              </w:rPr>
            </w:pPr>
            <w:r>
              <w:rPr>
                <w:sz w:val="20"/>
              </w:rPr>
              <w:t>0.00</w:t>
            </w:r>
          </w:p>
        </w:tc>
      </w:tr>
      <w:tr>
        <w:trPr>
          <w:trHeight w:val="298" w:hRule="exact"/>
        </w:trPr>
        <w:tc>
          <w:tcPr>
            <w:tcW w:w="1364" w:type="dxa"/>
            <w:tcBorders>
              <w:top w:val="nil"/>
              <w:left w:val="nil"/>
              <w:bottom w:val="nil"/>
              <w:right w:val="nil"/>
            </w:tcBorders>
          </w:tcPr>
          <w:p>
            <w:pPr>
              <w:pStyle w:val="TableParagraph"/>
              <w:ind w:left="86"/>
              <w:jc w:val="left"/>
              <w:rPr>
                <w:sz w:val="20"/>
              </w:rPr>
            </w:pPr>
            <w:r>
              <w:rPr>
                <w:sz w:val="20"/>
              </w:rPr>
              <w:t>TEJ_HhSF</w:t>
            </w:r>
          </w:p>
        </w:tc>
        <w:tc>
          <w:tcPr>
            <w:tcW w:w="657" w:type="dxa"/>
            <w:tcBorders>
              <w:top w:val="nil"/>
              <w:left w:val="nil"/>
              <w:bottom w:val="nil"/>
              <w:right w:val="nil"/>
            </w:tcBorders>
          </w:tcPr>
          <w:p>
            <w:pPr>
              <w:pStyle w:val="TableParagraph"/>
              <w:ind w:left="69" w:right="197"/>
              <w:jc w:val="center"/>
              <w:rPr>
                <w:sz w:val="20"/>
              </w:rPr>
            </w:pPr>
            <w:r>
              <w:rPr>
                <w:sz w:val="20"/>
              </w:rPr>
              <w:t>0.13</w:t>
            </w:r>
          </w:p>
        </w:tc>
        <w:tc>
          <w:tcPr>
            <w:tcW w:w="838"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left="266"/>
              <w:jc w:val="left"/>
              <w:rPr>
                <w:sz w:val="20"/>
              </w:rPr>
            </w:pPr>
            <w:r>
              <w:rPr>
                <w:sz w:val="20"/>
              </w:rPr>
              <w:t>0.13</w:t>
            </w:r>
          </w:p>
        </w:tc>
        <w:tc>
          <w:tcPr>
            <w:tcW w:w="838"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left="266"/>
              <w:jc w:val="left"/>
              <w:rPr>
                <w:sz w:val="20"/>
              </w:rPr>
            </w:pPr>
            <w:r>
              <w:rPr>
                <w:sz w:val="20"/>
              </w:rPr>
              <w:t>0.13</w:t>
            </w:r>
          </w:p>
        </w:tc>
        <w:tc>
          <w:tcPr>
            <w:tcW w:w="835"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right="216"/>
              <w:rPr>
                <w:sz w:val="20"/>
              </w:rPr>
            </w:pPr>
            <w:r>
              <w:rPr>
                <w:sz w:val="20"/>
              </w:rPr>
              <w:t>0.13</w:t>
            </w:r>
          </w:p>
        </w:tc>
        <w:tc>
          <w:tcPr>
            <w:tcW w:w="838" w:type="dxa"/>
            <w:tcBorders>
              <w:top w:val="nil"/>
              <w:left w:val="nil"/>
              <w:bottom w:val="nil"/>
              <w:right w:val="nil"/>
            </w:tcBorders>
          </w:tcPr>
          <w:p>
            <w:pPr>
              <w:pStyle w:val="TableParagraph"/>
              <w:ind w:right="214"/>
              <w:rPr>
                <w:sz w:val="20"/>
              </w:rPr>
            </w:pPr>
            <w:r>
              <w:rPr>
                <w:sz w:val="20"/>
              </w:rPr>
              <w:t>0.00</w:t>
            </w:r>
          </w:p>
        </w:tc>
        <w:tc>
          <w:tcPr>
            <w:tcW w:w="831" w:type="dxa"/>
            <w:tcBorders>
              <w:top w:val="nil"/>
              <w:left w:val="nil"/>
              <w:bottom w:val="nil"/>
              <w:right w:val="nil"/>
            </w:tcBorders>
          </w:tcPr>
          <w:p>
            <w:pPr>
              <w:pStyle w:val="TableParagraph"/>
              <w:ind w:right="209"/>
              <w:rPr>
                <w:sz w:val="20"/>
              </w:rPr>
            </w:pPr>
            <w:r>
              <w:rPr>
                <w:sz w:val="20"/>
              </w:rPr>
              <w:t>0.00</w:t>
            </w:r>
          </w:p>
        </w:tc>
        <w:tc>
          <w:tcPr>
            <w:tcW w:w="778" w:type="dxa"/>
            <w:tcBorders>
              <w:top w:val="nil"/>
              <w:left w:val="nil"/>
              <w:bottom w:val="nil"/>
              <w:right w:val="nil"/>
            </w:tcBorders>
          </w:tcPr>
          <w:p>
            <w:pPr>
              <w:pStyle w:val="TableParagraph"/>
              <w:ind w:right="65"/>
              <w:rPr>
                <w:sz w:val="20"/>
              </w:rPr>
            </w:pPr>
            <w:r>
              <w:rPr>
                <w:sz w:val="20"/>
              </w:rPr>
              <w:t>0.00</w:t>
            </w:r>
          </w:p>
        </w:tc>
      </w:tr>
      <w:tr>
        <w:trPr>
          <w:trHeight w:val="298" w:hRule="exact"/>
        </w:trPr>
        <w:tc>
          <w:tcPr>
            <w:tcW w:w="1364" w:type="dxa"/>
            <w:tcBorders>
              <w:top w:val="nil"/>
              <w:left w:val="nil"/>
              <w:bottom w:val="nil"/>
              <w:right w:val="nil"/>
            </w:tcBorders>
          </w:tcPr>
          <w:p>
            <w:pPr>
              <w:pStyle w:val="TableParagraph"/>
              <w:ind w:left="86"/>
              <w:jc w:val="left"/>
              <w:rPr>
                <w:sz w:val="20"/>
              </w:rPr>
            </w:pPr>
            <w:r>
              <w:rPr>
                <w:sz w:val="20"/>
              </w:rPr>
              <w:t>TEJ_HlFd</w:t>
            </w:r>
          </w:p>
        </w:tc>
        <w:tc>
          <w:tcPr>
            <w:tcW w:w="657" w:type="dxa"/>
            <w:tcBorders>
              <w:top w:val="nil"/>
              <w:left w:val="nil"/>
              <w:bottom w:val="nil"/>
              <w:right w:val="nil"/>
            </w:tcBorders>
          </w:tcPr>
          <w:p>
            <w:pPr>
              <w:pStyle w:val="TableParagraph"/>
              <w:ind w:left="69" w:right="197"/>
              <w:jc w:val="center"/>
              <w:rPr>
                <w:sz w:val="20"/>
              </w:rPr>
            </w:pPr>
            <w:r>
              <w:rPr>
                <w:sz w:val="20"/>
              </w:rPr>
              <w:t>0.13</w:t>
            </w:r>
          </w:p>
        </w:tc>
        <w:tc>
          <w:tcPr>
            <w:tcW w:w="838"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left="266"/>
              <w:jc w:val="left"/>
              <w:rPr>
                <w:sz w:val="20"/>
              </w:rPr>
            </w:pPr>
            <w:r>
              <w:rPr>
                <w:sz w:val="20"/>
              </w:rPr>
              <w:t>0.13</w:t>
            </w:r>
          </w:p>
        </w:tc>
        <w:tc>
          <w:tcPr>
            <w:tcW w:w="838"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left="266"/>
              <w:jc w:val="left"/>
              <w:rPr>
                <w:sz w:val="20"/>
              </w:rPr>
            </w:pPr>
            <w:r>
              <w:rPr>
                <w:sz w:val="20"/>
              </w:rPr>
              <w:t>0.13</w:t>
            </w:r>
          </w:p>
        </w:tc>
        <w:tc>
          <w:tcPr>
            <w:tcW w:w="835"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right="216"/>
              <w:rPr>
                <w:sz w:val="20"/>
              </w:rPr>
            </w:pPr>
            <w:r>
              <w:rPr>
                <w:sz w:val="20"/>
              </w:rPr>
              <w:t>0.13</w:t>
            </w:r>
          </w:p>
        </w:tc>
        <w:tc>
          <w:tcPr>
            <w:tcW w:w="838" w:type="dxa"/>
            <w:tcBorders>
              <w:top w:val="nil"/>
              <w:left w:val="nil"/>
              <w:bottom w:val="nil"/>
              <w:right w:val="nil"/>
            </w:tcBorders>
          </w:tcPr>
          <w:p>
            <w:pPr>
              <w:pStyle w:val="TableParagraph"/>
              <w:ind w:right="214"/>
              <w:rPr>
                <w:sz w:val="20"/>
              </w:rPr>
            </w:pPr>
            <w:r>
              <w:rPr>
                <w:sz w:val="20"/>
              </w:rPr>
              <w:t>0.00</w:t>
            </w:r>
          </w:p>
        </w:tc>
        <w:tc>
          <w:tcPr>
            <w:tcW w:w="831" w:type="dxa"/>
            <w:tcBorders>
              <w:top w:val="nil"/>
              <w:left w:val="nil"/>
              <w:bottom w:val="nil"/>
              <w:right w:val="nil"/>
            </w:tcBorders>
          </w:tcPr>
          <w:p>
            <w:pPr>
              <w:pStyle w:val="TableParagraph"/>
              <w:ind w:right="209"/>
              <w:rPr>
                <w:sz w:val="20"/>
              </w:rPr>
            </w:pPr>
            <w:r>
              <w:rPr>
                <w:sz w:val="20"/>
              </w:rPr>
              <w:t>0.00</w:t>
            </w:r>
          </w:p>
        </w:tc>
        <w:tc>
          <w:tcPr>
            <w:tcW w:w="778" w:type="dxa"/>
            <w:tcBorders>
              <w:top w:val="nil"/>
              <w:left w:val="nil"/>
              <w:bottom w:val="nil"/>
              <w:right w:val="nil"/>
            </w:tcBorders>
          </w:tcPr>
          <w:p>
            <w:pPr>
              <w:pStyle w:val="TableParagraph"/>
              <w:ind w:right="65"/>
              <w:rPr>
                <w:sz w:val="20"/>
              </w:rPr>
            </w:pPr>
            <w:r>
              <w:rPr>
                <w:sz w:val="20"/>
              </w:rPr>
              <w:t>0.00</w:t>
            </w:r>
          </w:p>
        </w:tc>
      </w:tr>
      <w:tr>
        <w:trPr>
          <w:trHeight w:val="298" w:hRule="exact"/>
        </w:trPr>
        <w:tc>
          <w:tcPr>
            <w:tcW w:w="1364" w:type="dxa"/>
            <w:tcBorders>
              <w:top w:val="nil"/>
              <w:left w:val="nil"/>
              <w:bottom w:val="nil"/>
              <w:right w:val="nil"/>
            </w:tcBorders>
          </w:tcPr>
          <w:p>
            <w:pPr>
              <w:pStyle w:val="TableParagraph"/>
              <w:ind w:left="86"/>
              <w:jc w:val="left"/>
              <w:rPr>
                <w:sz w:val="20"/>
              </w:rPr>
            </w:pPr>
            <w:r>
              <w:rPr>
                <w:sz w:val="20"/>
              </w:rPr>
              <w:t>TEJ_HlFdp</w:t>
            </w:r>
          </w:p>
        </w:tc>
        <w:tc>
          <w:tcPr>
            <w:tcW w:w="657" w:type="dxa"/>
            <w:tcBorders>
              <w:top w:val="nil"/>
              <w:left w:val="nil"/>
              <w:bottom w:val="nil"/>
              <w:right w:val="nil"/>
            </w:tcBorders>
          </w:tcPr>
          <w:p>
            <w:pPr>
              <w:pStyle w:val="TableParagraph"/>
              <w:ind w:left="69" w:right="197"/>
              <w:jc w:val="center"/>
              <w:rPr>
                <w:sz w:val="20"/>
              </w:rPr>
            </w:pPr>
            <w:r>
              <w:rPr>
                <w:sz w:val="20"/>
              </w:rPr>
              <w:t>0.13</w:t>
            </w:r>
          </w:p>
        </w:tc>
        <w:tc>
          <w:tcPr>
            <w:tcW w:w="838"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left="266"/>
              <w:jc w:val="left"/>
              <w:rPr>
                <w:sz w:val="20"/>
              </w:rPr>
            </w:pPr>
            <w:r>
              <w:rPr>
                <w:sz w:val="20"/>
              </w:rPr>
              <w:t>0.13</w:t>
            </w:r>
          </w:p>
        </w:tc>
        <w:tc>
          <w:tcPr>
            <w:tcW w:w="838"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left="266"/>
              <w:jc w:val="left"/>
              <w:rPr>
                <w:sz w:val="20"/>
              </w:rPr>
            </w:pPr>
            <w:r>
              <w:rPr>
                <w:sz w:val="20"/>
              </w:rPr>
              <w:t>0.13</w:t>
            </w:r>
          </w:p>
        </w:tc>
        <w:tc>
          <w:tcPr>
            <w:tcW w:w="835"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right="216"/>
              <w:rPr>
                <w:sz w:val="20"/>
              </w:rPr>
            </w:pPr>
            <w:r>
              <w:rPr>
                <w:sz w:val="20"/>
              </w:rPr>
              <w:t>0.13</w:t>
            </w:r>
          </w:p>
        </w:tc>
        <w:tc>
          <w:tcPr>
            <w:tcW w:w="838" w:type="dxa"/>
            <w:tcBorders>
              <w:top w:val="nil"/>
              <w:left w:val="nil"/>
              <w:bottom w:val="nil"/>
              <w:right w:val="nil"/>
            </w:tcBorders>
          </w:tcPr>
          <w:p>
            <w:pPr>
              <w:pStyle w:val="TableParagraph"/>
              <w:ind w:right="214"/>
              <w:rPr>
                <w:sz w:val="20"/>
              </w:rPr>
            </w:pPr>
            <w:r>
              <w:rPr>
                <w:sz w:val="20"/>
              </w:rPr>
              <w:t>0.00</w:t>
            </w:r>
          </w:p>
        </w:tc>
        <w:tc>
          <w:tcPr>
            <w:tcW w:w="831" w:type="dxa"/>
            <w:tcBorders>
              <w:top w:val="nil"/>
              <w:left w:val="nil"/>
              <w:bottom w:val="nil"/>
              <w:right w:val="nil"/>
            </w:tcBorders>
          </w:tcPr>
          <w:p>
            <w:pPr>
              <w:pStyle w:val="TableParagraph"/>
              <w:ind w:right="209"/>
              <w:rPr>
                <w:sz w:val="20"/>
              </w:rPr>
            </w:pPr>
            <w:r>
              <w:rPr>
                <w:sz w:val="20"/>
              </w:rPr>
              <w:t>0.00</w:t>
            </w:r>
          </w:p>
        </w:tc>
        <w:tc>
          <w:tcPr>
            <w:tcW w:w="778" w:type="dxa"/>
            <w:tcBorders>
              <w:top w:val="nil"/>
              <w:left w:val="nil"/>
              <w:bottom w:val="nil"/>
              <w:right w:val="nil"/>
            </w:tcBorders>
          </w:tcPr>
          <w:p>
            <w:pPr>
              <w:pStyle w:val="TableParagraph"/>
              <w:ind w:right="65"/>
              <w:rPr>
                <w:sz w:val="20"/>
              </w:rPr>
            </w:pPr>
            <w:r>
              <w:rPr>
                <w:sz w:val="20"/>
              </w:rPr>
              <w:t>0.00</w:t>
            </w:r>
          </w:p>
        </w:tc>
      </w:tr>
      <w:tr>
        <w:trPr>
          <w:trHeight w:val="300" w:hRule="exact"/>
        </w:trPr>
        <w:tc>
          <w:tcPr>
            <w:tcW w:w="1364" w:type="dxa"/>
            <w:tcBorders>
              <w:top w:val="nil"/>
              <w:left w:val="nil"/>
              <w:bottom w:val="nil"/>
              <w:right w:val="nil"/>
            </w:tcBorders>
          </w:tcPr>
          <w:p>
            <w:pPr>
              <w:pStyle w:val="TableParagraph"/>
              <w:ind w:left="86"/>
              <w:jc w:val="left"/>
              <w:rPr>
                <w:sz w:val="20"/>
              </w:rPr>
            </w:pPr>
            <w:r>
              <w:rPr>
                <w:sz w:val="20"/>
              </w:rPr>
              <w:t>TEJ_HlFl</w:t>
            </w:r>
          </w:p>
        </w:tc>
        <w:tc>
          <w:tcPr>
            <w:tcW w:w="657" w:type="dxa"/>
            <w:tcBorders>
              <w:top w:val="nil"/>
              <w:left w:val="nil"/>
              <w:bottom w:val="nil"/>
              <w:right w:val="nil"/>
            </w:tcBorders>
          </w:tcPr>
          <w:p>
            <w:pPr>
              <w:pStyle w:val="TableParagraph"/>
              <w:ind w:left="69" w:right="197"/>
              <w:jc w:val="center"/>
              <w:rPr>
                <w:sz w:val="20"/>
              </w:rPr>
            </w:pPr>
            <w:r>
              <w:rPr>
                <w:sz w:val="20"/>
              </w:rPr>
              <w:t>0.13</w:t>
            </w:r>
          </w:p>
        </w:tc>
        <w:tc>
          <w:tcPr>
            <w:tcW w:w="838"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left="266"/>
              <w:jc w:val="left"/>
              <w:rPr>
                <w:sz w:val="20"/>
              </w:rPr>
            </w:pPr>
            <w:r>
              <w:rPr>
                <w:sz w:val="20"/>
              </w:rPr>
              <w:t>0.13</w:t>
            </w:r>
          </w:p>
        </w:tc>
        <w:tc>
          <w:tcPr>
            <w:tcW w:w="838"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left="266"/>
              <w:jc w:val="left"/>
              <w:rPr>
                <w:sz w:val="20"/>
              </w:rPr>
            </w:pPr>
            <w:r>
              <w:rPr>
                <w:sz w:val="20"/>
              </w:rPr>
              <w:t>0.13</w:t>
            </w:r>
          </w:p>
        </w:tc>
        <w:tc>
          <w:tcPr>
            <w:tcW w:w="835"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right="216"/>
              <w:rPr>
                <w:sz w:val="20"/>
              </w:rPr>
            </w:pPr>
            <w:r>
              <w:rPr>
                <w:sz w:val="20"/>
              </w:rPr>
              <w:t>0.13</w:t>
            </w:r>
          </w:p>
        </w:tc>
        <w:tc>
          <w:tcPr>
            <w:tcW w:w="838" w:type="dxa"/>
            <w:tcBorders>
              <w:top w:val="nil"/>
              <w:left w:val="nil"/>
              <w:bottom w:val="nil"/>
              <w:right w:val="nil"/>
            </w:tcBorders>
          </w:tcPr>
          <w:p>
            <w:pPr>
              <w:pStyle w:val="TableParagraph"/>
              <w:ind w:right="214"/>
              <w:rPr>
                <w:sz w:val="20"/>
              </w:rPr>
            </w:pPr>
            <w:r>
              <w:rPr>
                <w:sz w:val="20"/>
              </w:rPr>
              <w:t>0.00</w:t>
            </w:r>
          </w:p>
        </w:tc>
        <w:tc>
          <w:tcPr>
            <w:tcW w:w="831" w:type="dxa"/>
            <w:tcBorders>
              <w:top w:val="nil"/>
              <w:left w:val="nil"/>
              <w:bottom w:val="nil"/>
              <w:right w:val="nil"/>
            </w:tcBorders>
          </w:tcPr>
          <w:p>
            <w:pPr>
              <w:pStyle w:val="TableParagraph"/>
              <w:ind w:right="209"/>
              <w:rPr>
                <w:sz w:val="20"/>
              </w:rPr>
            </w:pPr>
            <w:r>
              <w:rPr>
                <w:sz w:val="20"/>
              </w:rPr>
              <w:t>0.00</w:t>
            </w:r>
          </w:p>
        </w:tc>
        <w:tc>
          <w:tcPr>
            <w:tcW w:w="778" w:type="dxa"/>
            <w:tcBorders>
              <w:top w:val="nil"/>
              <w:left w:val="nil"/>
              <w:bottom w:val="nil"/>
              <w:right w:val="nil"/>
            </w:tcBorders>
          </w:tcPr>
          <w:p>
            <w:pPr>
              <w:pStyle w:val="TableParagraph"/>
              <w:ind w:right="65"/>
              <w:rPr>
                <w:sz w:val="20"/>
              </w:rPr>
            </w:pPr>
            <w:r>
              <w:rPr>
                <w:sz w:val="20"/>
              </w:rPr>
              <w:t>0.00</w:t>
            </w:r>
          </w:p>
        </w:tc>
      </w:tr>
      <w:tr>
        <w:trPr>
          <w:trHeight w:val="300" w:hRule="exact"/>
        </w:trPr>
        <w:tc>
          <w:tcPr>
            <w:tcW w:w="1364" w:type="dxa"/>
            <w:tcBorders>
              <w:top w:val="nil"/>
              <w:left w:val="nil"/>
              <w:bottom w:val="nil"/>
              <w:right w:val="nil"/>
            </w:tcBorders>
          </w:tcPr>
          <w:p>
            <w:pPr>
              <w:pStyle w:val="TableParagraph"/>
              <w:spacing w:before="26"/>
              <w:ind w:left="86"/>
              <w:jc w:val="left"/>
              <w:rPr>
                <w:sz w:val="20"/>
              </w:rPr>
            </w:pPr>
            <w:r>
              <w:rPr>
                <w:sz w:val="20"/>
              </w:rPr>
              <w:t>TEJ_HlFlp</w:t>
            </w:r>
          </w:p>
        </w:tc>
        <w:tc>
          <w:tcPr>
            <w:tcW w:w="657" w:type="dxa"/>
            <w:tcBorders>
              <w:top w:val="nil"/>
              <w:left w:val="nil"/>
              <w:bottom w:val="nil"/>
              <w:right w:val="nil"/>
            </w:tcBorders>
          </w:tcPr>
          <w:p>
            <w:pPr>
              <w:pStyle w:val="TableParagraph"/>
              <w:spacing w:before="26"/>
              <w:ind w:left="69" w:right="197"/>
              <w:jc w:val="center"/>
              <w:rPr>
                <w:sz w:val="20"/>
              </w:rPr>
            </w:pPr>
            <w:r>
              <w:rPr>
                <w:sz w:val="20"/>
              </w:rPr>
              <w:t>0.13</w:t>
            </w:r>
          </w:p>
        </w:tc>
        <w:tc>
          <w:tcPr>
            <w:tcW w:w="838" w:type="dxa"/>
            <w:tcBorders>
              <w:top w:val="nil"/>
              <w:left w:val="nil"/>
              <w:bottom w:val="nil"/>
              <w:right w:val="nil"/>
            </w:tcBorders>
          </w:tcPr>
          <w:p>
            <w:pPr>
              <w:pStyle w:val="TableParagraph"/>
              <w:spacing w:before="26"/>
              <w:ind w:left="264"/>
              <w:jc w:val="left"/>
              <w:rPr>
                <w:sz w:val="20"/>
              </w:rPr>
            </w:pPr>
            <w:r>
              <w:rPr>
                <w:sz w:val="20"/>
              </w:rPr>
              <w:t>0.13</w:t>
            </w:r>
          </w:p>
        </w:tc>
        <w:tc>
          <w:tcPr>
            <w:tcW w:w="838" w:type="dxa"/>
            <w:tcBorders>
              <w:top w:val="nil"/>
              <w:left w:val="nil"/>
              <w:bottom w:val="nil"/>
              <w:right w:val="nil"/>
            </w:tcBorders>
          </w:tcPr>
          <w:p>
            <w:pPr>
              <w:pStyle w:val="TableParagraph"/>
              <w:spacing w:before="26"/>
              <w:ind w:left="266"/>
              <w:jc w:val="left"/>
              <w:rPr>
                <w:sz w:val="20"/>
              </w:rPr>
            </w:pPr>
            <w:r>
              <w:rPr>
                <w:sz w:val="20"/>
              </w:rPr>
              <w:t>0.13</w:t>
            </w:r>
          </w:p>
        </w:tc>
        <w:tc>
          <w:tcPr>
            <w:tcW w:w="838" w:type="dxa"/>
            <w:tcBorders>
              <w:top w:val="nil"/>
              <w:left w:val="nil"/>
              <w:bottom w:val="nil"/>
              <w:right w:val="nil"/>
            </w:tcBorders>
          </w:tcPr>
          <w:p>
            <w:pPr>
              <w:pStyle w:val="TableParagraph"/>
              <w:spacing w:before="26"/>
              <w:ind w:left="264"/>
              <w:jc w:val="left"/>
              <w:rPr>
                <w:sz w:val="20"/>
              </w:rPr>
            </w:pPr>
            <w:r>
              <w:rPr>
                <w:sz w:val="20"/>
              </w:rPr>
              <w:t>0.13</w:t>
            </w:r>
          </w:p>
        </w:tc>
        <w:tc>
          <w:tcPr>
            <w:tcW w:w="838" w:type="dxa"/>
            <w:tcBorders>
              <w:top w:val="nil"/>
              <w:left w:val="nil"/>
              <w:bottom w:val="nil"/>
              <w:right w:val="nil"/>
            </w:tcBorders>
          </w:tcPr>
          <w:p>
            <w:pPr>
              <w:pStyle w:val="TableParagraph"/>
              <w:spacing w:before="26"/>
              <w:ind w:left="266"/>
              <w:jc w:val="left"/>
              <w:rPr>
                <w:sz w:val="20"/>
              </w:rPr>
            </w:pPr>
            <w:r>
              <w:rPr>
                <w:sz w:val="20"/>
              </w:rPr>
              <w:t>0.13</w:t>
            </w:r>
          </w:p>
        </w:tc>
        <w:tc>
          <w:tcPr>
            <w:tcW w:w="835" w:type="dxa"/>
            <w:tcBorders>
              <w:top w:val="nil"/>
              <w:left w:val="nil"/>
              <w:bottom w:val="nil"/>
              <w:right w:val="nil"/>
            </w:tcBorders>
          </w:tcPr>
          <w:p>
            <w:pPr>
              <w:pStyle w:val="TableParagraph"/>
              <w:spacing w:before="26"/>
              <w:ind w:left="264"/>
              <w:jc w:val="left"/>
              <w:rPr>
                <w:sz w:val="20"/>
              </w:rPr>
            </w:pPr>
            <w:r>
              <w:rPr>
                <w:sz w:val="20"/>
              </w:rPr>
              <w:t>0.13</w:t>
            </w:r>
          </w:p>
        </w:tc>
        <w:tc>
          <w:tcPr>
            <w:tcW w:w="838" w:type="dxa"/>
            <w:tcBorders>
              <w:top w:val="nil"/>
              <w:left w:val="nil"/>
              <w:bottom w:val="nil"/>
              <w:right w:val="nil"/>
            </w:tcBorders>
          </w:tcPr>
          <w:p>
            <w:pPr>
              <w:pStyle w:val="TableParagraph"/>
              <w:spacing w:before="26"/>
              <w:ind w:right="216"/>
              <w:rPr>
                <w:sz w:val="20"/>
              </w:rPr>
            </w:pPr>
            <w:r>
              <w:rPr>
                <w:sz w:val="20"/>
              </w:rPr>
              <w:t>0.13</w:t>
            </w:r>
          </w:p>
        </w:tc>
        <w:tc>
          <w:tcPr>
            <w:tcW w:w="838" w:type="dxa"/>
            <w:tcBorders>
              <w:top w:val="nil"/>
              <w:left w:val="nil"/>
              <w:bottom w:val="nil"/>
              <w:right w:val="nil"/>
            </w:tcBorders>
          </w:tcPr>
          <w:p>
            <w:pPr>
              <w:pStyle w:val="TableParagraph"/>
              <w:spacing w:before="26"/>
              <w:ind w:right="214"/>
              <w:rPr>
                <w:sz w:val="20"/>
              </w:rPr>
            </w:pPr>
            <w:r>
              <w:rPr>
                <w:sz w:val="20"/>
              </w:rPr>
              <w:t>0.00</w:t>
            </w:r>
          </w:p>
        </w:tc>
        <w:tc>
          <w:tcPr>
            <w:tcW w:w="831" w:type="dxa"/>
            <w:tcBorders>
              <w:top w:val="nil"/>
              <w:left w:val="nil"/>
              <w:bottom w:val="nil"/>
              <w:right w:val="nil"/>
            </w:tcBorders>
          </w:tcPr>
          <w:p>
            <w:pPr>
              <w:pStyle w:val="TableParagraph"/>
              <w:spacing w:before="26"/>
              <w:ind w:right="209"/>
              <w:rPr>
                <w:sz w:val="20"/>
              </w:rPr>
            </w:pPr>
            <w:r>
              <w:rPr>
                <w:sz w:val="20"/>
              </w:rPr>
              <w:t>0.00</w:t>
            </w:r>
          </w:p>
        </w:tc>
        <w:tc>
          <w:tcPr>
            <w:tcW w:w="778" w:type="dxa"/>
            <w:tcBorders>
              <w:top w:val="nil"/>
              <w:left w:val="nil"/>
              <w:bottom w:val="nil"/>
              <w:right w:val="nil"/>
            </w:tcBorders>
          </w:tcPr>
          <w:p>
            <w:pPr>
              <w:pStyle w:val="TableParagraph"/>
              <w:spacing w:before="26"/>
              <w:ind w:right="65"/>
              <w:rPr>
                <w:sz w:val="20"/>
              </w:rPr>
            </w:pPr>
            <w:r>
              <w:rPr>
                <w:sz w:val="20"/>
              </w:rPr>
              <w:t>0.00</w:t>
            </w:r>
          </w:p>
        </w:tc>
      </w:tr>
      <w:tr>
        <w:trPr>
          <w:trHeight w:val="298" w:hRule="exact"/>
        </w:trPr>
        <w:tc>
          <w:tcPr>
            <w:tcW w:w="1364" w:type="dxa"/>
            <w:tcBorders>
              <w:top w:val="nil"/>
              <w:left w:val="nil"/>
              <w:bottom w:val="nil"/>
              <w:right w:val="nil"/>
            </w:tcBorders>
          </w:tcPr>
          <w:p>
            <w:pPr>
              <w:pStyle w:val="TableParagraph"/>
              <w:ind w:left="86"/>
              <w:jc w:val="left"/>
              <w:rPr>
                <w:sz w:val="20"/>
              </w:rPr>
            </w:pPr>
            <w:r>
              <w:rPr>
                <w:sz w:val="20"/>
              </w:rPr>
              <w:t>TEJ_HlFp</w:t>
            </w:r>
          </w:p>
        </w:tc>
        <w:tc>
          <w:tcPr>
            <w:tcW w:w="657" w:type="dxa"/>
            <w:tcBorders>
              <w:top w:val="nil"/>
              <w:left w:val="nil"/>
              <w:bottom w:val="nil"/>
              <w:right w:val="nil"/>
            </w:tcBorders>
          </w:tcPr>
          <w:p>
            <w:pPr>
              <w:pStyle w:val="TableParagraph"/>
              <w:ind w:left="69" w:right="197"/>
              <w:jc w:val="center"/>
              <w:rPr>
                <w:sz w:val="20"/>
              </w:rPr>
            </w:pPr>
            <w:r>
              <w:rPr>
                <w:sz w:val="20"/>
              </w:rPr>
              <w:t>0.13</w:t>
            </w:r>
          </w:p>
        </w:tc>
        <w:tc>
          <w:tcPr>
            <w:tcW w:w="838"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left="266"/>
              <w:jc w:val="left"/>
              <w:rPr>
                <w:sz w:val="20"/>
              </w:rPr>
            </w:pPr>
            <w:r>
              <w:rPr>
                <w:sz w:val="20"/>
              </w:rPr>
              <w:t>0.13</w:t>
            </w:r>
          </w:p>
        </w:tc>
        <w:tc>
          <w:tcPr>
            <w:tcW w:w="838"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left="266"/>
              <w:jc w:val="left"/>
              <w:rPr>
                <w:sz w:val="20"/>
              </w:rPr>
            </w:pPr>
            <w:r>
              <w:rPr>
                <w:sz w:val="20"/>
              </w:rPr>
              <w:t>0.13</w:t>
            </w:r>
          </w:p>
        </w:tc>
        <w:tc>
          <w:tcPr>
            <w:tcW w:w="835"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right="216"/>
              <w:rPr>
                <w:sz w:val="20"/>
              </w:rPr>
            </w:pPr>
            <w:r>
              <w:rPr>
                <w:sz w:val="20"/>
              </w:rPr>
              <w:t>0.13</w:t>
            </w:r>
          </w:p>
        </w:tc>
        <w:tc>
          <w:tcPr>
            <w:tcW w:w="838" w:type="dxa"/>
            <w:tcBorders>
              <w:top w:val="nil"/>
              <w:left w:val="nil"/>
              <w:bottom w:val="nil"/>
              <w:right w:val="nil"/>
            </w:tcBorders>
          </w:tcPr>
          <w:p>
            <w:pPr>
              <w:pStyle w:val="TableParagraph"/>
              <w:ind w:right="214"/>
              <w:rPr>
                <w:sz w:val="20"/>
              </w:rPr>
            </w:pPr>
            <w:r>
              <w:rPr>
                <w:sz w:val="20"/>
              </w:rPr>
              <w:t>0.00</w:t>
            </w:r>
          </w:p>
        </w:tc>
        <w:tc>
          <w:tcPr>
            <w:tcW w:w="831" w:type="dxa"/>
            <w:tcBorders>
              <w:top w:val="nil"/>
              <w:left w:val="nil"/>
              <w:bottom w:val="nil"/>
              <w:right w:val="nil"/>
            </w:tcBorders>
          </w:tcPr>
          <w:p>
            <w:pPr>
              <w:pStyle w:val="TableParagraph"/>
              <w:ind w:right="209"/>
              <w:rPr>
                <w:sz w:val="20"/>
              </w:rPr>
            </w:pPr>
            <w:r>
              <w:rPr>
                <w:sz w:val="20"/>
              </w:rPr>
              <w:t>0.00</w:t>
            </w:r>
          </w:p>
        </w:tc>
        <w:tc>
          <w:tcPr>
            <w:tcW w:w="778" w:type="dxa"/>
            <w:tcBorders>
              <w:top w:val="nil"/>
              <w:left w:val="nil"/>
              <w:bottom w:val="nil"/>
              <w:right w:val="nil"/>
            </w:tcBorders>
          </w:tcPr>
          <w:p>
            <w:pPr>
              <w:pStyle w:val="TableParagraph"/>
              <w:ind w:right="65"/>
              <w:rPr>
                <w:sz w:val="20"/>
              </w:rPr>
            </w:pPr>
            <w:r>
              <w:rPr>
                <w:sz w:val="20"/>
              </w:rPr>
              <w:t>0.00</w:t>
            </w:r>
          </w:p>
        </w:tc>
      </w:tr>
      <w:tr>
        <w:trPr>
          <w:trHeight w:val="298" w:hRule="exact"/>
        </w:trPr>
        <w:tc>
          <w:tcPr>
            <w:tcW w:w="1364" w:type="dxa"/>
            <w:tcBorders>
              <w:top w:val="nil"/>
              <w:left w:val="nil"/>
              <w:bottom w:val="nil"/>
              <w:right w:val="nil"/>
            </w:tcBorders>
          </w:tcPr>
          <w:p>
            <w:pPr>
              <w:pStyle w:val="TableParagraph"/>
              <w:ind w:left="86"/>
              <w:jc w:val="left"/>
              <w:rPr>
                <w:sz w:val="20"/>
              </w:rPr>
            </w:pPr>
            <w:r>
              <w:rPr>
                <w:sz w:val="20"/>
              </w:rPr>
              <w:t>TEJ_HlSF</w:t>
            </w:r>
          </w:p>
        </w:tc>
        <w:tc>
          <w:tcPr>
            <w:tcW w:w="657" w:type="dxa"/>
            <w:tcBorders>
              <w:top w:val="nil"/>
              <w:left w:val="nil"/>
              <w:bottom w:val="nil"/>
              <w:right w:val="nil"/>
            </w:tcBorders>
          </w:tcPr>
          <w:p>
            <w:pPr>
              <w:pStyle w:val="TableParagraph"/>
              <w:ind w:left="69" w:right="197"/>
              <w:jc w:val="center"/>
              <w:rPr>
                <w:sz w:val="20"/>
              </w:rPr>
            </w:pPr>
            <w:r>
              <w:rPr>
                <w:sz w:val="20"/>
              </w:rPr>
              <w:t>0.13</w:t>
            </w:r>
          </w:p>
        </w:tc>
        <w:tc>
          <w:tcPr>
            <w:tcW w:w="838"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left="266"/>
              <w:jc w:val="left"/>
              <w:rPr>
                <w:sz w:val="20"/>
              </w:rPr>
            </w:pPr>
            <w:r>
              <w:rPr>
                <w:sz w:val="20"/>
              </w:rPr>
              <w:t>0.13</w:t>
            </w:r>
          </w:p>
        </w:tc>
        <w:tc>
          <w:tcPr>
            <w:tcW w:w="838"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left="266"/>
              <w:jc w:val="left"/>
              <w:rPr>
                <w:sz w:val="20"/>
              </w:rPr>
            </w:pPr>
            <w:r>
              <w:rPr>
                <w:sz w:val="20"/>
              </w:rPr>
              <w:t>0.13</w:t>
            </w:r>
          </w:p>
        </w:tc>
        <w:tc>
          <w:tcPr>
            <w:tcW w:w="835"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right="216"/>
              <w:rPr>
                <w:sz w:val="20"/>
              </w:rPr>
            </w:pPr>
            <w:r>
              <w:rPr>
                <w:sz w:val="20"/>
              </w:rPr>
              <w:t>0.13</w:t>
            </w:r>
          </w:p>
        </w:tc>
        <w:tc>
          <w:tcPr>
            <w:tcW w:w="838" w:type="dxa"/>
            <w:tcBorders>
              <w:top w:val="nil"/>
              <w:left w:val="nil"/>
              <w:bottom w:val="nil"/>
              <w:right w:val="nil"/>
            </w:tcBorders>
          </w:tcPr>
          <w:p>
            <w:pPr>
              <w:pStyle w:val="TableParagraph"/>
              <w:ind w:right="214"/>
              <w:rPr>
                <w:sz w:val="20"/>
              </w:rPr>
            </w:pPr>
            <w:r>
              <w:rPr>
                <w:sz w:val="20"/>
              </w:rPr>
              <w:t>0.00</w:t>
            </w:r>
          </w:p>
        </w:tc>
        <w:tc>
          <w:tcPr>
            <w:tcW w:w="831" w:type="dxa"/>
            <w:tcBorders>
              <w:top w:val="nil"/>
              <w:left w:val="nil"/>
              <w:bottom w:val="nil"/>
              <w:right w:val="nil"/>
            </w:tcBorders>
          </w:tcPr>
          <w:p>
            <w:pPr>
              <w:pStyle w:val="TableParagraph"/>
              <w:ind w:right="209"/>
              <w:rPr>
                <w:sz w:val="20"/>
              </w:rPr>
            </w:pPr>
            <w:r>
              <w:rPr>
                <w:sz w:val="20"/>
              </w:rPr>
              <w:t>0.00</w:t>
            </w:r>
          </w:p>
        </w:tc>
        <w:tc>
          <w:tcPr>
            <w:tcW w:w="778" w:type="dxa"/>
            <w:tcBorders>
              <w:top w:val="nil"/>
              <w:left w:val="nil"/>
              <w:bottom w:val="nil"/>
              <w:right w:val="nil"/>
            </w:tcBorders>
          </w:tcPr>
          <w:p>
            <w:pPr>
              <w:pStyle w:val="TableParagraph"/>
              <w:ind w:right="65"/>
              <w:rPr>
                <w:sz w:val="20"/>
              </w:rPr>
            </w:pPr>
            <w:r>
              <w:rPr>
                <w:sz w:val="20"/>
              </w:rPr>
              <w:t>0.00</w:t>
            </w:r>
          </w:p>
        </w:tc>
      </w:tr>
      <w:tr>
        <w:trPr>
          <w:trHeight w:val="298" w:hRule="exact"/>
        </w:trPr>
        <w:tc>
          <w:tcPr>
            <w:tcW w:w="1364" w:type="dxa"/>
            <w:tcBorders>
              <w:top w:val="nil"/>
              <w:left w:val="nil"/>
              <w:bottom w:val="nil"/>
              <w:right w:val="nil"/>
            </w:tcBorders>
          </w:tcPr>
          <w:p>
            <w:pPr>
              <w:pStyle w:val="TableParagraph"/>
              <w:ind w:left="86"/>
              <w:jc w:val="left"/>
              <w:rPr>
                <w:sz w:val="20"/>
              </w:rPr>
            </w:pPr>
            <w:r>
              <w:rPr>
                <w:sz w:val="20"/>
              </w:rPr>
              <w:t>TEJ_ISF</w:t>
            </w:r>
          </w:p>
        </w:tc>
        <w:tc>
          <w:tcPr>
            <w:tcW w:w="657" w:type="dxa"/>
            <w:tcBorders>
              <w:top w:val="nil"/>
              <w:left w:val="nil"/>
              <w:bottom w:val="nil"/>
              <w:right w:val="nil"/>
            </w:tcBorders>
          </w:tcPr>
          <w:p>
            <w:pPr>
              <w:pStyle w:val="TableParagraph"/>
              <w:ind w:left="69" w:right="197"/>
              <w:jc w:val="center"/>
              <w:rPr>
                <w:sz w:val="20"/>
              </w:rPr>
            </w:pPr>
            <w:r>
              <w:rPr>
                <w:sz w:val="20"/>
              </w:rPr>
              <w:t>0.13</w:t>
            </w:r>
          </w:p>
        </w:tc>
        <w:tc>
          <w:tcPr>
            <w:tcW w:w="838"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left="266"/>
              <w:jc w:val="left"/>
              <w:rPr>
                <w:sz w:val="20"/>
              </w:rPr>
            </w:pPr>
            <w:r>
              <w:rPr>
                <w:sz w:val="20"/>
              </w:rPr>
              <w:t>0.13</w:t>
            </w:r>
          </w:p>
        </w:tc>
        <w:tc>
          <w:tcPr>
            <w:tcW w:w="838"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left="266"/>
              <w:jc w:val="left"/>
              <w:rPr>
                <w:sz w:val="20"/>
              </w:rPr>
            </w:pPr>
            <w:r>
              <w:rPr>
                <w:sz w:val="20"/>
              </w:rPr>
              <w:t>0.13</w:t>
            </w:r>
          </w:p>
        </w:tc>
        <w:tc>
          <w:tcPr>
            <w:tcW w:w="835"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right="216"/>
              <w:rPr>
                <w:sz w:val="20"/>
              </w:rPr>
            </w:pPr>
            <w:r>
              <w:rPr>
                <w:sz w:val="20"/>
              </w:rPr>
              <w:t>0.13</w:t>
            </w:r>
          </w:p>
        </w:tc>
        <w:tc>
          <w:tcPr>
            <w:tcW w:w="838" w:type="dxa"/>
            <w:tcBorders>
              <w:top w:val="nil"/>
              <w:left w:val="nil"/>
              <w:bottom w:val="nil"/>
              <w:right w:val="nil"/>
            </w:tcBorders>
          </w:tcPr>
          <w:p>
            <w:pPr>
              <w:pStyle w:val="TableParagraph"/>
              <w:ind w:right="214"/>
              <w:rPr>
                <w:sz w:val="20"/>
              </w:rPr>
            </w:pPr>
            <w:r>
              <w:rPr>
                <w:sz w:val="20"/>
              </w:rPr>
              <w:t>0.00</w:t>
            </w:r>
          </w:p>
        </w:tc>
        <w:tc>
          <w:tcPr>
            <w:tcW w:w="831" w:type="dxa"/>
            <w:tcBorders>
              <w:top w:val="nil"/>
              <w:left w:val="nil"/>
              <w:bottom w:val="nil"/>
              <w:right w:val="nil"/>
            </w:tcBorders>
          </w:tcPr>
          <w:p>
            <w:pPr>
              <w:pStyle w:val="TableParagraph"/>
              <w:ind w:right="209"/>
              <w:rPr>
                <w:sz w:val="20"/>
              </w:rPr>
            </w:pPr>
            <w:r>
              <w:rPr>
                <w:sz w:val="20"/>
              </w:rPr>
              <w:t>0.00</w:t>
            </w:r>
          </w:p>
        </w:tc>
        <w:tc>
          <w:tcPr>
            <w:tcW w:w="778" w:type="dxa"/>
            <w:tcBorders>
              <w:top w:val="nil"/>
              <w:left w:val="nil"/>
              <w:bottom w:val="nil"/>
              <w:right w:val="nil"/>
            </w:tcBorders>
          </w:tcPr>
          <w:p>
            <w:pPr>
              <w:pStyle w:val="TableParagraph"/>
              <w:ind w:right="65"/>
              <w:rPr>
                <w:sz w:val="20"/>
              </w:rPr>
            </w:pPr>
            <w:r>
              <w:rPr>
                <w:sz w:val="20"/>
              </w:rPr>
              <w:t>0.00</w:t>
            </w:r>
          </w:p>
        </w:tc>
      </w:tr>
      <w:tr>
        <w:trPr>
          <w:trHeight w:val="298" w:hRule="exact"/>
        </w:trPr>
        <w:tc>
          <w:tcPr>
            <w:tcW w:w="1364" w:type="dxa"/>
            <w:tcBorders>
              <w:top w:val="nil"/>
              <w:left w:val="nil"/>
              <w:bottom w:val="nil"/>
              <w:right w:val="nil"/>
            </w:tcBorders>
          </w:tcPr>
          <w:p>
            <w:pPr>
              <w:pStyle w:val="TableParagraph"/>
              <w:ind w:left="86"/>
              <w:jc w:val="left"/>
              <w:rPr>
                <w:sz w:val="20"/>
              </w:rPr>
            </w:pPr>
            <w:r>
              <w:rPr>
                <w:sz w:val="20"/>
              </w:rPr>
              <w:t>TEJ_LcFdp</w:t>
            </w:r>
          </w:p>
        </w:tc>
        <w:tc>
          <w:tcPr>
            <w:tcW w:w="657" w:type="dxa"/>
            <w:tcBorders>
              <w:top w:val="nil"/>
              <w:left w:val="nil"/>
              <w:bottom w:val="nil"/>
              <w:right w:val="nil"/>
            </w:tcBorders>
          </w:tcPr>
          <w:p>
            <w:pPr>
              <w:pStyle w:val="TableParagraph"/>
              <w:ind w:left="69" w:right="197"/>
              <w:jc w:val="center"/>
              <w:rPr>
                <w:sz w:val="20"/>
              </w:rPr>
            </w:pPr>
            <w:r>
              <w:rPr>
                <w:sz w:val="20"/>
              </w:rPr>
              <w:t>0.13</w:t>
            </w:r>
          </w:p>
        </w:tc>
        <w:tc>
          <w:tcPr>
            <w:tcW w:w="838"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left="266"/>
              <w:jc w:val="left"/>
              <w:rPr>
                <w:sz w:val="20"/>
              </w:rPr>
            </w:pPr>
            <w:r>
              <w:rPr>
                <w:sz w:val="20"/>
              </w:rPr>
              <w:t>0.13</w:t>
            </w:r>
          </w:p>
        </w:tc>
        <w:tc>
          <w:tcPr>
            <w:tcW w:w="838"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left="266"/>
              <w:jc w:val="left"/>
              <w:rPr>
                <w:sz w:val="20"/>
              </w:rPr>
            </w:pPr>
            <w:r>
              <w:rPr>
                <w:sz w:val="20"/>
              </w:rPr>
              <w:t>0.13</w:t>
            </w:r>
          </w:p>
        </w:tc>
        <w:tc>
          <w:tcPr>
            <w:tcW w:w="835"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right="216"/>
              <w:rPr>
                <w:sz w:val="20"/>
              </w:rPr>
            </w:pPr>
            <w:r>
              <w:rPr>
                <w:sz w:val="20"/>
              </w:rPr>
              <w:t>0.13</w:t>
            </w:r>
          </w:p>
        </w:tc>
        <w:tc>
          <w:tcPr>
            <w:tcW w:w="838" w:type="dxa"/>
            <w:tcBorders>
              <w:top w:val="nil"/>
              <w:left w:val="nil"/>
              <w:bottom w:val="nil"/>
              <w:right w:val="nil"/>
            </w:tcBorders>
          </w:tcPr>
          <w:p>
            <w:pPr>
              <w:pStyle w:val="TableParagraph"/>
              <w:ind w:right="214"/>
              <w:rPr>
                <w:sz w:val="20"/>
              </w:rPr>
            </w:pPr>
            <w:r>
              <w:rPr>
                <w:sz w:val="20"/>
              </w:rPr>
              <w:t>0.00</w:t>
            </w:r>
          </w:p>
        </w:tc>
        <w:tc>
          <w:tcPr>
            <w:tcW w:w="831" w:type="dxa"/>
            <w:tcBorders>
              <w:top w:val="nil"/>
              <w:left w:val="nil"/>
              <w:bottom w:val="nil"/>
              <w:right w:val="nil"/>
            </w:tcBorders>
          </w:tcPr>
          <w:p>
            <w:pPr>
              <w:pStyle w:val="TableParagraph"/>
              <w:ind w:right="209"/>
              <w:rPr>
                <w:sz w:val="20"/>
              </w:rPr>
            </w:pPr>
            <w:r>
              <w:rPr>
                <w:sz w:val="20"/>
              </w:rPr>
              <w:t>0.00</w:t>
            </w:r>
          </w:p>
        </w:tc>
        <w:tc>
          <w:tcPr>
            <w:tcW w:w="778" w:type="dxa"/>
            <w:tcBorders>
              <w:top w:val="nil"/>
              <w:left w:val="nil"/>
              <w:bottom w:val="nil"/>
              <w:right w:val="nil"/>
            </w:tcBorders>
          </w:tcPr>
          <w:p>
            <w:pPr>
              <w:pStyle w:val="TableParagraph"/>
              <w:ind w:right="65"/>
              <w:rPr>
                <w:sz w:val="20"/>
              </w:rPr>
            </w:pPr>
            <w:r>
              <w:rPr>
                <w:sz w:val="20"/>
              </w:rPr>
              <w:t>0.00</w:t>
            </w:r>
          </w:p>
        </w:tc>
      </w:tr>
      <w:tr>
        <w:trPr>
          <w:trHeight w:val="298" w:hRule="exact"/>
        </w:trPr>
        <w:tc>
          <w:tcPr>
            <w:tcW w:w="1364" w:type="dxa"/>
            <w:tcBorders>
              <w:top w:val="nil"/>
              <w:left w:val="nil"/>
              <w:bottom w:val="nil"/>
              <w:right w:val="nil"/>
            </w:tcBorders>
          </w:tcPr>
          <w:p>
            <w:pPr>
              <w:pStyle w:val="TableParagraph"/>
              <w:ind w:left="86"/>
              <w:jc w:val="left"/>
              <w:rPr>
                <w:sz w:val="20"/>
              </w:rPr>
            </w:pPr>
            <w:r>
              <w:rPr>
                <w:sz w:val="20"/>
              </w:rPr>
              <w:t>TEJ_LcFl</w:t>
            </w:r>
          </w:p>
        </w:tc>
        <w:tc>
          <w:tcPr>
            <w:tcW w:w="657" w:type="dxa"/>
            <w:tcBorders>
              <w:top w:val="nil"/>
              <w:left w:val="nil"/>
              <w:bottom w:val="nil"/>
              <w:right w:val="nil"/>
            </w:tcBorders>
          </w:tcPr>
          <w:p>
            <w:pPr>
              <w:pStyle w:val="TableParagraph"/>
              <w:ind w:left="69" w:right="197"/>
              <w:jc w:val="center"/>
              <w:rPr>
                <w:sz w:val="20"/>
              </w:rPr>
            </w:pPr>
            <w:r>
              <w:rPr>
                <w:sz w:val="20"/>
              </w:rPr>
              <w:t>0.13</w:t>
            </w:r>
          </w:p>
        </w:tc>
        <w:tc>
          <w:tcPr>
            <w:tcW w:w="838"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left="266"/>
              <w:jc w:val="left"/>
              <w:rPr>
                <w:sz w:val="20"/>
              </w:rPr>
            </w:pPr>
            <w:r>
              <w:rPr>
                <w:sz w:val="20"/>
              </w:rPr>
              <w:t>0.13</w:t>
            </w:r>
          </w:p>
        </w:tc>
        <w:tc>
          <w:tcPr>
            <w:tcW w:w="838"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left="266"/>
              <w:jc w:val="left"/>
              <w:rPr>
                <w:sz w:val="20"/>
              </w:rPr>
            </w:pPr>
            <w:r>
              <w:rPr>
                <w:sz w:val="20"/>
              </w:rPr>
              <w:t>0.13</w:t>
            </w:r>
          </w:p>
        </w:tc>
        <w:tc>
          <w:tcPr>
            <w:tcW w:w="835"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right="216"/>
              <w:rPr>
                <w:sz w:val="20"/>
              </w:rPr>
            </w:pPr>
            <w:r>
              <w:rPr>
                <w:sz w:val="20"/>
              </w:rPr>
              <w:t>0.13</w:t>
            </w:r>
          </w:p>
        </w:tc>
        <w:tc>
          <w:tcPr>
            <w:tcW w:w="838" w:type="dxa"/>
            <w:tcBorders>
              <w:top w:val="nil"/>
              <w:left w:val="nil"/>
              <w:bottom w:val="nil"/>
              <w:right w:val="nil"/>
            </w:tcBorders>
          </w:tcPr>
          <w:p>
            <w:pPr>
              <w:pStyle w:val="TableParagraph"/>
              <w:ind w:right="214"/>
              <w:rPr>
                <w:sz w:val="20"/>
              </w:rPr>
            </w:pPr>
            <w:r>
              <w:rPr>
                <w:sz w:val="20"/>
              </w:rPr>
              <w:t>0.00</w:t>
            </w:r>
          </w:p>
        </w:tc>
        <w:tc>
          <w:tcPr>
            <w:tcW w:w="831" w:type="dxa"/>
            <w:tcBorders>
              <w:top w:val="nil"/>
              <w:left w:val="nil"/>
              <w:bottom w:val="nil"/>
              <w:right w:val="nil"/>
            </w:tcBorders>
          </w:tcPr>
          <w:p>
            <w:pPr>
              <w:pStyle w:val="TableParagraph"/>
              <w:ind w:right="209"/>
              <w:rPr>
                <w:sz w:val="20"/>
              </w:rPr>
            </w:pPr>
            <w:r>
              <w:rPr>
                <w:sz w:val="20"/>
              </w:rPr>
              <w:t>0.00</w:t>
            </w:r>
          </w:p>
        </w:tc>
        <w:tc>
          <w:tcPr>
            <w:tcW w:w="778" w:type="dxa"/>
            <w:tcBorders>
              <w:top w:val="nil"/>
              <w:left w:val="nil"/>
              <w:bottom w:val="nil"/>
              <w:right w:val="nil"/>
            </w:tcBorders>
          </w:tcPr>
          <w:p>
            <w:pPr>
              <w:pStyle w:val="TableParagraph"/>
              <w:ind w:right="65"/>
              <w:rPr>
                <w:sz w:val="20"/>
              </w:rPr>
            </w:pPr>
            <w:r>
              <w:rPr>
                <w:sz w:val="20"/>
              </w:rPr>
              <w:t>0.00</w:t>
            </w:r>
          </w:p>
        </w:tc>
      </w:tr>
      <w:tr>
        <w:trPr>
          <w:trHeight w:val="298" w:hRule="exact"/>
        </w:trPr>
        <w:tc>
          <w:tcPr>
            <w:tcW w:w="1364" w:type="dxa"/>
            <w:tcBorders>
              <w:top w:val="nil"/>
              <w:left w:val="nil"/>
              <w:bottom w:val="nil"/>
              <w:right w:val="nil"/>
            </w:tcBorders>
          </w:tcPr>
          <w:p>
            <w:pPr>
              <w:pStyle w:val="TableParagraph"/>
              <w:ind w:left="86"/>
              <w:jc w:val="left"/>
              <w:rPr>
                <w:sz w:val="20"/>
              </w:rPr>
            </w:pPr>
            <w:r>
              <w:rPr>
                <w:sz w:val="20"/>
              </w:rPr>
              <w:t>TEJ_LcFlp</w:t>
            </w:r>
          </w:p>
        </w:tc>
        <w:tc>
          <w:tcPr>
            <w:tcW w:w="657" w:type="dxa"/>
            <w:tcBorders>
              <w:top w:val="nil"/>
              <w:left w:val="nil"/>
              <w:bottom w:val="nil"/>
              <w:right w:val="nil"/>
            </w:tcBorders>
          </w:tcPr>
          <w:p>
            <w:pPr>
              <w:pStyle w:val="TableParagraph"/>
              <w:ind w:left="69" w:right="197"/>
              <w:jc w:val="center"/>
              <w:rPr>
                <w:sz w:val="20"/>
              </w:rPr>
            </w:pPr>
            <w:r>
              <w:rPr>
                <w:sz w:val="20"/>
              </w:rPr>
              <w:t>0.13</w:t>
            </w:r>
          </w:p>
        </w:tc>
        <w:tc>
          <w:tcPr>
            <w:tcW w:w="838"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left="266"/>
              <w:jc w:val="left"/>
              <w:rPr>
                <w:sz w:val="20"/>
              </w:rPr>
            </w:pPr>
            <w:r>
              <w:rPr>
                <w:sz w:val="20"/>
              </w:rPr>
              <w:t>0.13</w:t>
            </w:r>
          </w:p>
        </w:tc>
        <w:tc>
          <w:tcPr>
            <w:tcW w:w="838"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left="266"/>
              <w:jc w:val="left"/>
              <w:rPr>
                <w:sz w:val="20"/>
              </w:rPr>
            </w:pPr>
            <w:r>
              <w:rPr>
                <w:sz w:val="20"/>
              </w:rPr>
              <w:t>0.13</w:t>
            </w:r>
          </w:p>
        </w:tc>
        <w:tc>
          <w:tcPr>
            <w:tcW w:w="835"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right="216"/>
              <w:rPr>
                <w:sz w:val="20"/>
              </w:rPr>
            </w:pPr>
            <w:r>
              <w:rPr>
                <w:sz w:val="20"/>
              </w:rPr>
              <w:t>0.13</w:t>
            </w:r>
          </w:p>
        </w:tc>
        <w:tc>
          <w:tcPr>
            <w:tcW w:w="838" w:type="dxa"/>
            <w:tcBorders>
              <w:top w:val="nil"/>
              <w:left w:val="nil"/>
              <w:bottom w:val="nil"/>
              <w:right w:val="nil"/>
            </w:tcBorders>
          </w:tcPr>
          <w:p>
            <w:pPr>
              <w:pStyle w:val="TableParagraph"/>
              <w:ind w:right="214"/>
              <w:rPr>
                <w:sz w:val="20"/>
              </w:rPr>
            </w:pPr>
            <w:r>
              <w:rPr>
                <w:sz w:val="20"/>
              </w:rPr>
              <w:t>0.00</w:t>
            </w:r>
          </w:p>
        </w:tc>
        <w:tc>
          <w:tcPr>
            <w:tcW w:w="831" w:type="dxa"/>
            <w:tcBorders>
              <w:top w:val="nil"/>
              <w:left w:val="nil"/>
              <w:bottom w:val="nil"/>
              <w:right w:val="nil"/>
            </w:tcBorders>
          </w:tcPr>
          <w:p>
            <w:pPr>
              <w:pStyle w:val="TableParagraph"/>
              <w:ind w:right="209"/>
              <w:rPr>
                <w:sz w:val="20"/>
              </w:rPr>
            </w:pPr>
            <w:r>
              <w:rPr>
                <w:sz w:val="20"/>
              </w:rPr>
              <w:t>0.00</w:t>
            </w:r>
          </w:p>
        </w:tc>
        <w:tc>
          <w:tcPr>
            <w:tcW w:w="778" w:type="dxa"/>
            <w:tcBorders>
              <w:top w:val="nil"/>
              <w:left w:val="nil"/>
              <w:bottom w:val="nil"/>
              <w:right w:val="nil"/>
            </w:tcBorders>
          </w:tcPr>
          <w:p>
            <w:pPr>
              <w:pStyle w:val="TableParagraph"/>
              <w:ind w:right="65"/>
              <w:rPr>
                <w:sz w:val="20"/>
              </w:rPr>
            </w:pPr>
            <w:r>
              <w:rPr>
                <w:sz w:val="20"/>
              </w:rPr>
              <w:t>0.00</w:t>
            </w:r>
          </w:p>
        </w:tc>
      </w:tr>
      <w:tr>
        <w:trPr>
          <w:trHeight w:val="298" w:hRule="exact"/>
        </w:trPr>
        <w:tc>
          <w:tcPr>
            <w:tcW w:w="1364" w:type="dxa"/>
            <w:tcBorders>
              <w:top w:val="nil"/>
              <w:left w:val="nil"/>
              <w:bottom w:val="nil"/>
              <w:right w:val="nil"/>
            </w:tcBorders>
          </w:tcPr>
          <w:p>
            <w:pPr>
              <w:pStyle w:val="TableParagraph"/>
              <w:ind w:left="86"/>
              <w:jc w:val="left"/>
              <w:rPr>
                <w:sz w:val="20"/>
              </w:rPr>
            </w:pPr>
            <w:r>
              <w:rPr>
                <w:sz w:val="20"/>
              </w:rPr>
              <w:t>TEJ_LcSF</w:t>
            </w:r>
          </w:p>
        </w:tc>
        <w:tc>
          <w:tcPr>
            <w:tcW w:w="657" w:type="dxa"/>
            <w:tcBorders>
              <w:top w:val="nil"/>
              <w:left w:val="nil"/>
              <w:bottom w:val="nil"/>
              <w:right w:val="nil"/>
            </w:tcBorders>
          </w:tcPr>
          <w:p>
            <w:pPr>
              <w:pStyle w:val="TableParagraph"/>
              <w:ind w:left="69" w:right="197"/>
              <w:jc w:val="center"/>
              <w:rPr>
                <w:sz w:val="20"/>
              </w:rPr>
            </w:pPr>
            <w:r>
              <w:rPr>
                <w:sz w:val="20"/>
              </w:rPr>
              <w:t>0.13</w:t>
            </w:r>
          </w:p>
        </w:tc>
        <w:tc>
          <w:tcPr>
            <w:tcW w:w="838"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left="266"/>
              <w:jc w:val="left"/>
              <w:rPr>
                <w:sz w:val="20"/>
              </w:rPr>
            </w:pPr>
            <w:r>
              <w:rPr>
                <w:sz w:val="20"/>
              </w:rPr>
              <w:t>0.13</w:t>
            </w:r>
          </w:p>
        </w:tc>
        <w:tc>
          <w:tcPr>
            <w:tcW w:w="838"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left="266"/>
              <w:jc w:val="left"/>
              <w:rPr>
                <w:sz w:val="20"/>
              </w:rPr>
            </w:pPr>
            <w:r>
              <w:rPr>
                <w:sz w:val="20"/>
              </w:rPr>
              <w:t>0.13</w:t>
            </w:r>
          </w:p>
        </w:tc>
        <w:tc>
          <w:tcPr>
            <w:tcW w:w="835"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right="216"/>
              <w:rPr>
                <w:sz w:val="20"/>
              </w:rPr>
            </w:pPr>
            <w:r>
              <w:rPr>
                <w:sz w:val="20"/>
              </w:rPr>
              <w:t>0.13</w:t>
            </w:r>
          </w:p>
        </w:tc>
        <w:tc>
          <w:tcPr>
            <w:tcW w:w="838" w:type="dxa"/>
            <w:tcBorders>
              <w:top w:val="nil"/>
              <w:left w:val="nil"/>
              <w:bottom w:val="nil"/>
              <w:right w:val="nil"/>
            </w:tcBorders>
          </w:tcPr>
          <w:p>
            <w:pPr>
              <w:pStyle w:val="TableParagraph"/>
              <w:ind w:right="214"/>
              <w:rPr>
                <w:sz w:val="20"/>
              </w:rPr>
            </w:pPr>
            <w:r>
              <w:rPr>
                <w:sz w:val="20"/>
              </w:rPr>
              <w:t>0.00</w:t>
            </w:r>
          </w:p>
        </w:tc>
        <w:tc>
          <w:tcPr>
            <w:tcW w:w="831" w:type="dxa"/>
            <w:tcBorders>
              <w:top w:val="nil"/>
              <w:left w:val="nil"/>
              <w:bottom w:val="nil"/>
              <w:right w:val="nil"/>
            </w:tcBorders>
          </w:tcPr>
          <w:p>
            <w:pPr>
              <w:pStyle w:val="TableParagraph"/>
              <w:ind w:right="209"/>
              <w:rPr>
                <w:sz w:val="20"/>
              </w:rPr>
            </w:pPr>
            <w:r>
              <w:rPr>
                <w:sz w:val="20"/>
              </w:rPr>
              <w:t>0.00</w:t>
            </w:r>
          </w:p>
        </w:tc>
        <w:tc>
          <w:tcPr>
            <w:tcW w:w="778" w:type="dxa"/>
            <w:tcBorders>
              <w:top w:val="nil"/>
              <w:left w:val="nil"/>
              <w:bottom w:val="nil"/>
              <w:right w:val="nil"/>
            </w:tcBorders>
          </w:tcPr>
          <w:p>
            <w:pPr>
              <w:pStyle w:val="TableParagraph"/>
              <w:ind w:right="65"/>
              <w:rPr>
                <w:sz w:val="20"/>
              </w:rPr>
            </w:pPr>
            <w:r>
              <w:rPr>
                <w:sz w:val="20"/>
              </w:rPr>
              <w:t>0.00</w:t>
            </w:r>
          </w:p>
        </w:tc>
      </w:tr>
      <w:tr>
        <w:trPr>
          <w:trHeight w:val="298" w:hRule="exact"/>
        </w:trPr>
        <w:tc>
          <w:tcPr>
            <w:tcW w:w="1364" w:type="dxa"/>
            <w:tcBorders>
              <w:top w:val="nil"/>
              <w:left w:val="nil"/>
              <w:bottom w:val="nil"/>
              <w:right w:val="nil"/>
            </w:tcBorders>
          </w:tcPr>
          <w:p>
            <w:pPr>
              <w:pStyle w:val="TableParagraph"/>
              <w:ind w:left="86"/>
              <w:jc w:val="left"/>
              <w:rPr>
                <w:sz w:val="20"/>
              </w:rPr>
            </w:pPr>
            <w:r>
              <w:rPr>
                <w:sz w:val="20"/>
              </w:rPr>
              <w:t>TEJ_TmFlp</w:t>
            </w:r>
          </w:p>
        </w:tc>
        <w:tc>
          <w:tcPr>
            <w:tcW w:w="657" w:type="dxa"/>
            <w:tcBorders>
              <w:top w:val="nil"/>
              <w:left w:val="nil"/>
              <w:bottom w:val="nil"/>
              <w:right w:val="nil"/>
            </w:tcBorders>
          </w:tcPr>
          <w:p>
            <w:pPr>
              <w:pStyle w:val="TableParagraph"/>
              <w:ind w:left="69" w:right="197"/>
              <w:jc w:val="center"/>
              <w:rPr>
                <w:sz w:val="20"/>
              </w:rPr>
            </w:pPr>
            <w:r>
              <w:rPr>
                <w:sz w:val="20"/>
              </w:rPr>
              <w:t>0.11</w:t>
            </w:r>
          </w:p>
        </w:tc>
        <w:tc>
          <w:tcPr>
            <w:tcW w:w="838" w:type="dxa"/>
            <w:tcBorders>
              <w:top w:val="nil"/>
              <w:left w:val="nil"/>
              <w:bottom w:val="nil"/>
              <w:right w:val="nil"/>
            </w:tcBorders>
          </w:tcPr>
          <w:p>
            <w:pPr>
              <w:pStyle w:val="TableParagraph"/>
              <w:ind w:left="264"/>
              <w:jc w:val="left"/>
              <w:rPr>
                <w:sz w:val="20"/>
              </w:rPr>
            </w:pPr>
            <w:r>
              <w:rPr>
                <w:sz w:val="20"/>
              </w:rPr>
              <w:t>0.11</w:t>
            </w:r>
          </w:p>
        </w:tc>
        <w:tc>
          <w:tcPr>
            <w:tcW w:w="838" w:type="dxa"/>
            <w:tcBorders>
              <w:top w:val="nil"/>
              <w:left w:val="nil"/>
              <w:bottom w:val="nil"/>
              <w:right w:val="nil"/>
            </w:tcBorders>
          </w:tcPr>
          <w:p>
            <w:pPr>
              <w:pStyle w:val="TableParagraph"/>
              <w:ind w:left="266"/>
              <w:jc w:val="left"/>
              <w:rPr>
                <w:sz w:val="20"/>
              </w:rPr>
            </w:pPr>
            <w:r>
              <w:rPr>
                <w:sz w:val="20"/>
              </w:rPr>
              <w:t>0.11</w:t>
            </w:r>
          </w:p>
        </w:tc>
        <w:tc>
          <w:tcPr>
            <w:tcW w:w="838" w:type="dxa"/>
            <w:tcBorders>
              <w:top w:val="nil"/>
              <w:left w:val="nil"/>
              <w:bottom w:val="nil"/>
              <w:right w:val="nil"/>
            </w:tcBorders>
          </w:tcPr>
          <w:p>
            <w:pPr>
              <w:pStyle w:val="TableParagraph"/>
              <w:ind w:left="264"/>
              <w:jc w:val="left"/>
              <w:rPr>
                <w:sz w:val="20"/>
              </w:rPr>
            </w:pPr>
            <w:r>
              <w:rPr>
                <w:sz w:val="20"/>
              </w:rPr>
              <w:t>0.11</w:t>
            </w:r>
          </w:p>
        </w:tc>
        <w:tc>
          <w:tcPr>
            <w:tcW w:w="838" w:type="dxa"/>
            <w:tcBorders>
              <w:top w:val="nil"/>
              <w:left w:val="nil"/>
              <w:bottom w:val="nil"/>
              <w:right w:val="nil"/>
            </w:tcBorders>
          </w:tcPr>
          <w:p>
            <w:pPr>
              <w:pStyle w:val="TableParagraph"/>
              <w:ind w:left="266"/>
              <w:jc w:val="left"/>
              <w:rPr>
                <w:sz w:val="20"/>
              </w:rPr>
            </w:pPr>
            <w:r>
              <w:rPr>
                <w:sz w:val="20"/>
              </w:rPr>
              <w:t>0.11</w:t>
            </w:r>
          </w:p>
        </w:tc>
        <w:tc>
          <w:tcPr>
            <w:tcW w:w="835" w:type="dxa"/>
            <w:tcBorders>
              <w:top w:val="nil"/>
              <w:left w:val="nil"/>
              <w:bottom w:val="nil"/>
              <w:right w:val="nil"/>
            </w:tcBorders>
          </w:tcPr>
          <w:p>
            <w:pPr>
              <w:pStyle w:val="TableParagraph"/>
              <w:ind w:left="264"/>
              <w:jc w:val="left"/>
              <w:rPr>
                <w:sz w:val="20"/>
              </w:rPr>
            </w:pPr>
            <w:r>
              <w:rPr>
                <w:sz w:val="20"/>
              </w:rPr>
              <w:t>0.11</w:t>
            </w:r>
          </w:p>
        </w:tc>
        <w:tc>
          <w:tcPr>
            <w:tcW w:w="838" w:type="dxa"/>
            <w:tcBorders>
              <w:top w:val="nil"/>
              <w:left w:val="nil"/>
              <w:bottom w:val="nil"/>
              <w:right w:val="nil"/>
            </w:tcBorders>
          </w:tcPr>
          <w:p>
            <w:pPr>
              <w:pStyle w:val="TableParagraph"/>
              <w:ind w:right="216"/>
              <w:rPr>
                <w:sz w:val="20"/>
              </w:rPr>
            </w:pPr>
            <w:r>
              <w:rPr>
                <w:sz w:val="20"/>
              </w:rPr>
              <w:t>0.11</w:t>
            </w:r>
          </w:p>
        </w:tc>
        <w:tc>
          <w:tcPr>
            <w:tcW w:w="838" w:type="dxa"/>
            <w:tcBorders>
              <w:top w:val="nil"/>
              <w:left w:val="nil"/>
              <w:bottom w:val="nil"/>
              <w:right w:val="nil"/>
            </w:tcBorders>
          </w:tcPr>
          <w:p>
            <w:pPr>
              <w:pStyle w:val="TableParagraph"/>
              <w:ind w:right="214"/>
              <w:rPr>
                <w:sz w:val="20"/>
              </w:rPr>
            </w:pPr>
            <w:r>
              <w:rPr>
                <w:sz w:val="20"/>
              </w:rPr>
              <w:t>0.00</w:t>
            </w:r>
          </w:p>
        </w:tc>
        <w:tc>
          <w:tcPr>
            <w:tcW w:w="831" w:type="dxa"/>
            <w:tcBorders>
              <w:top w:val="nil"/>
              <w:left w:val="nil"/>
              <w:bottom w:val="nil"/>
              <w:right w:val="nil"/>
            </w:tcBorders>
          </w:tcPr>
          <w:p>
            <w:pPr>
              <w:pStyle w:val="TableParagraph"/>
              <w:ind w:right="209"/>
              <w:rPr>
                <w:sz w:val="20"/>
              </w:rPr>
            </w:pPr>
            <w:r>
              <w:rPr>
                <w:sz w:val="20"/>
              </w:rPr>
              <w:t>0.00</w:t>
            </w:r>
          </w:p>
        </w:tc>
        <w:tc>
          <w:tcPr>
            <w:tcW w:w="778" w:type="dxa"/>
            <w:tcBorders>
              <w:top w:val="nil"/>
              <w:left w:val="nil"/>
              <w:bottom w:val="nil"/>
              <w:right w:val="nil"/>
            </w:tcBorders>
          </w:tcPr>
          <w:p>
            <w:pPr>
              <w:pStyle w:val="TableParagraph"/>
              <w:ind w:right="65"/>
              <w:rPr>
                <w:sz w:val="20"/>
              </w:rPr>
            </w:pPr>
            <w:r>
              <w:rPr>
                <w:sz w:val="20"/>
              </w:rPr>
              <w:t>0.00</w:t>
            </w:r>
          </w:p>
        </w:tc>
      </w:tr>
      <w:tr>
        <w:trPr>
          <w:trHeight w:val="298" w:hRule="exact"/>
        </w:trPr>
        <w:tc>
          <w:tcPr>
            <w:tcW w:w="1364" w:type="dxa"/>
            <w:tcBorders>
              <w:top w:val="nil"/>
              <w:left w:val="nil"/>
              <w:bottom w:val="nil"/>
              <w:right w:val="nil"/>
            </w:tcBorders>
          </w:tcPr>
          <w:p>
            <w:pPr>
              <w:pStyle w:val="TableParagraph"/>
              <w:spacing w:before="24"/>
              <w:ind w:left="86"/>
              <w:jc w:val="left"/>
              <w:rPr>
                <w:sz w:val="20"/>
              </w:rPr>
            </w:pPr>
            <w:r>
              <w:rPr>
                <w:sz w:val="20"/>
              </w:rPr>
              <w:t>TEJ_ToSF</w:t>
            </w:r>
          </w:p>
        </w:tc>
        <w:tc>
          <w:tcPr>
            <w:tcW w:w="657" w:type="dxa"/>
            <w:tcBorders>
              <w:top w:val="nil"/>
              <w:left w:val="nil"/>
              <w:bottom w:val="nil"/>
              <w:right w:val="nil"/>
            </w:tcBorders>
          </w:tcPr>
          <w:p>
            <w:pPr>
              <w:pStyle w:val="TableParagraph"/>
              <w:spacing w:before="24"/>
              <w:ind w:left="69" w:right="197"/>
              <w:jc w:val="center"/>
              <w:rPr>
                <w:sz w:val="20"/>
              </w:rPr>
            </w:pPr>
            <w:r>
              <w:rPr>
                <w:sz w:val="20"/>
              </w:rPr>
              <w:t>0.11</w:t>
            </w:r>
          </w:p>
        </w:tc>
        <w:tc>
          <w:tcPr>
            <w:tcW w:w="838" w:type="dxa"/>
            <w:tcBorders>
              <w:top w:val="nil"/>
              <w:left w:val="nil"/>
              <w:bottom w:val="nil"/>
              <w:right w:val="nil"/>
            </w:tcBorders>
          </w:tcPr>
          <w:p>
            <w:pPr>
              <w:pStyle w:val="TableParagraph"/>
              <w:spacing w:before="24"/>
              <w:ind w:left="264"/>
              <w:jc w:val="left"/>
              <w:rPr>
                <w:sz w:val="20"/>
              </w:rPr>
            </w:pPr>
            <w:r>
              <w:rPr>
                <w:sz w:val="20"/>
              </w:rPr>
              <w:t>0.11</w:t>
            </w:r>
          </w:p>
        </w:tc>
        <w:tc>
          <w:tcPr>
            <w:tcW w:w="838" w:type="dxa"/>
            <w:tcBorders>
              <w:top w:val="nil"/>
              <w:left w:val="nil"/>
              <w:bottom w:val="nil"/>
              <w:right w:val="nil"/>
            </w:tcBorders>
          </w:tcPr>
          <w:p>
            <w:pPr>
              <w:pStyle w:val="TableParagraph"/>
              <w:spacing w:before="24"/>
              <w:ind w:left="266"/>
              <w:jc w:val="left"/>
              <w:rPr>
                <w:sz w:val="20"/>
              </w:rPr>
            </w:pPr>
            <w:r>
              <w:rPr>
                <w:sz w:val="20"/>
              </w:rPr>
              <w:t>0.11</w:t>
            </w:r>
          </w:p>
        </w:tc>
        <w:tc>
          <w:tcPr>
            <w:tcW w:w="838" w:type="dxa"/>
            <w:tcBorders>
              <w:top w:val="nil"/>
              <w:left w:val="nil"/>
              <w:bottom w:val="nil"/>
              <w:right w:val="nil"/>
            </w:tcBorders>
          </w:tcPr>
          <w:p>
            <w:pPr>
              <w:pStyle w:val="TableParagraph"/>
              <w:spacing w:before="24"/>
              <w:ind w:left="264"/>
              <w:jc w:val="left"/>
              <w:rPr>
                <w:sz w:val="20"/>
              </w:rPr>
            </w:pPr>
            <w:r>
              <w:rPr>
                <w:sz w:val="20"/>
              </w:rPr>
              <w:t>0.11</w:t>
            </w:r>
          </w:p>
        </w:tc>
        <w:tc>
          <w:tcPr>
            <w:tcW w:w="838" w:type="dxa"/>
            <w:tcBorders>
              <w:top w:val="nil"/>
              <w:left w:val="nil"/>
              <w:bottom w:val="nil"/>
              <w:right w:val="nil"/>
            </w:tcBorders>
          </w:tcPr>
          <w:p>
            <w:pPr>
              <w:pStyle w:val="TableParagraph"/>
              <w:spacing w:before="24"/>
              <w:ind w:left="266"/>
              <w:jc w:val="left"/>
              <w:rPr>
                <w:sz w:val="20"/>
              </w:rPr>
            </w:pPr>
            <w:r>
              <w:rPr>
                <w:sz w:val="20"/>
              </w:rPr>
              <w:t>0.11</w:t>
            </w:r>
          </w:p>
        </w:tc>
        <w:tc>
          <w:tcPr>
            <w:tcW w:w="835" w:type="dxa"/>
            <w:tcBorders>
              <w:top w:val="nil"/>
              <w:left w:val="nil"/>
              <w:bottom w:val="nil"/>
              <w:right w:val="nil"/>
            </w:tcBorders>
          </w:tcPr>
          <w:p>
            <w:pPr>
              <w:pStyle w:val="TableParagraph"/>
              <w:spacing w:before="24"/>
              <w:ind w:left="264"/>
              <w:jc w:val="left"/>
              <w:rPr>
                <w:sz w:val="20"/>
              </w:rPr>
            </w:pPr>
            <w:r>
              <w:rPr>
                <w:sz w:val="20"/>
              </w:rPr>
              <w:t>0.11</w:t>
            </w:r>
          </w:p>
        </w:tc>
        <w:tc>
          <w:tcPr>
            <w:tcW w:w="838" w:type="dxa"/>
            <w:tcBorders>
              <w:top w:val="nil"/>
              <w:left w:val="nil"/>
              <w:bottom w:val="nil"/>
              <w:right w:val="nil"/>
            </w:tcBorders>
          </w:tcPr>
          <w:p>
            <w:pPr>
              <w:pStyle w:val="TableParagraph"/>
              <w:spacing w:before="24"/>
              <w:ind w:right="216"/>
              <w:rPr>
                <w:sz w:val="20"/>
              </w:rPr>
            </w:pPr>
            <w:r>
              <w:rPr>
                <w:sz w:val="20"/>
              </w:rPr>
              <w:t>0.11</w:t>
            </w:r>
          </w:p>
        </w:tc>
        <w:tc>
          <w:tcPr>
            <w:tcW w:w="838" w:type="dxa"/>
            <w:tcBorders>
              <w:top w:val="nil"/>
              <w:left w:val="nil"/>
              <w:bottom w:val="nil"/>
              <w:right w:val="nil"/>
            </w:tcBorders>
          </w:tcPr>
          <w:p>
            <w:pPr>
              <w:pStyle w:val="TableParagraph"/>
              <w:spacing w:before="24"/>
              <w:ind w:right="214"/>
              <w:rPr>
                <w:sz w:val="20"/>
              </w:rPr>
            </w:pPr>
            <w:r>
              <w:rPr>
                <w:sz w:val="20"/>
              </w:rPr>
              <w:t>0.00</w:t>
            </w:r>
          </w:p>
        </w:tc>
        <w:tc>
          <w:tcPr>
            <w:tcW w:w="831" w:type="dxa"/>
            <w:tcBorders>
              <w:top w:val="nil"/>
              <w:left w:val="nil"/>
              <w:bottom w:val="nil"/>
              <w:right w:val="nil"/>
            </w:tcBorders>
          </w:tcPr>
          <w:p>
            <w:pPr>
              <w:pStyle w:val="TableParagraph"/>
              <w:spacing w:before="24"/>
              <w:ind w:right="209"/>
              <w:rPr>
                <w:sz w:val="20"/>
              </w:rPr>
            </w:pPr>
            <w:r>
              <w:rPr>
                <w:sz w:val="20"/>
              </w:rPr>
              <w:t>0.00</w:t>
            </w:r>
          </w:p>
        </w:tc>
        <w:tc>
          <w:tcPr>
            <w:tcW w:w="778" w:type="dxa"/>
            <w:tcBorders>
              <w:top w:val="nil"/>
              <w:left w:val="nil"/>
              <w:bottom w:val="nil"/>
              <w:right w:val="nil"/>
            </w:tcBorders>
          </w:tcPr>
          <w:p>
            <w:pPr>
              <w:pStyle w:val="TableParagraph"/>
              <w:spacing w:before="24"/>
              <w:ind w:right="65"/>
              <w:rPr>
                <w:sz w:val="20"/>
              </w:rPr>
            </w:pPr>
            <w:r>
              <w:rPr>
                <w:sz w:val="20"/>
              </w:rPr>
              <w:t>0.00</w:t>
            </w:r>
          </w:p>
        </w:tc>
      </w:tr>
      <w:tr>
        <w:trPr>
          <w:trHeight w:val="298" w:hRule="exact"/>
        </w:trPr>
        <w:tc>
          <w:tcPr>
            <w:tcW w:w="1364" w:type="dxa"/>
            <w:tcBorders>
              <w:top w:val="nil"/>
              <w:left w:val="nil"/>
              <w:bottom w:val="nil"/>
              <w:right w:val="nil"/>
            </w:tcBorders>
          </w:tcPr>
          <w:p>
            <w:pPr>
              <w:pStyle w:val="TableParagraph"/>
              <w:ind w:left="86"/>
              <w:jc w:val="left"/>
              <w:rPr>
                <w:sz w:val="20"/>
              </w:rPr>
            </w:pPr>
            <w:r>
              <w:rPr>
                <w:sz w:val="20"/>
              </w:rPr>
              <w:t>TEJ_VpFd</w:t>
            </w:r>
          </w:p>
        </w:tc>
        <w:tc>
          <w:tcPr>
            <w:tcW w:w="657" w:type="dxa"/>
            <w:tcBorders>
              <w:top w:val="nil"/>
              <w:left w:val="nil"/>
              <w:bottom w:val="nil"/>
              <w:right w:val="nil"/>
            </w:tcBorders>
          </w:tcPr>
          <w:p>
            <w:pPr>
              <w:pStyle w:val="TableParagraph"/>
              <w:ind w:left="69" w:right="197"/>
              <w:jc w:val="center"/>
              <w:rPr>
                <w:sz w:val="20"/>
              </w:rPr>
            </w:pPr>
            <w:r>
              <w:rPr>
                <w:sz w:val="20"/>
              </w:rPr>
              <w:t>0.13</w:t>
            </w:r>
          </w:p>
        </w:tc>
        <w:tc>
          <w:tcPr>
            <w:tcW w:w="838"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left="266"/>
              <w:jc w:val="left"/>
              <w:rPr>
                <w:sz w:val="20"/>
              </w:rPr>
            </w:pPr>
            <w:r>
              <w:rPr>
                <w:sz w:val="20"/>
              </w:rPr>
              <w:t>0.13</w:t>
            </w:r>
          </w:p>
        </w:tc>
        <w:tc>
          <w:tcPr>
            <w:tcW w:w="838"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left="266"/>
              <w:jc w:val="left"/>
              <w:rPr>
                <w:sz w:val="20"/>
              </w:rPr>
            </w:pPr>
            <w:r>
              <w:rPr>
                <w:sz w:val="20"/>
              </w:rPr>
              <w:t>0.13</w:t>
            </w:r>
          </w:p>
        </w:tc>
        <w:tc>
          <w:tcPr>
            <w:tcW w:w="835"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right="216"/>
              <w:rPr>
                <w:sz w:val="20"/>
              </w:rPr>
            </w:pPr>
            <w:r>
              <w:rPr>
                <w:sz w:val="20"/>
              </w:rPr>
              <w:t>0.13</w:t>
            </w:r>
          </w:p>
        </w:tc>
        <w:tc>
          <w:tcPr>
            <w:tcW w:w="838" w:type="dxa"/>
            <w:tcBorders>
              <w:top w:val="nil"/>
              <w:left w:val="nil"/>
              <w:bottom w:val="nil"/>
              <w:right w:val="nil"/>
            </w:tcBorders>
          </w:tcPr>
          <w:p>
            <w:pPr>
              <w:pStyle w:val="TableParagraph"/>
              <w:ind w:right="214"/>
              <w:rPr>
                <w:sz w:val="20"/>
              </w:rPr>
            </w:pPr>
            <w:r>
              <w:rPr>
                <w:sz w:val="20"/>
              </w:rPr>
              <w:t>0.00</w:t>
            </w:r>
          </w:p>
        </w:tc>
        <w:tc>
          <w:tcPr>
            <w:tcW w:w="831" w:type="dxa"/>
            <w:tcBorders>
              <w:top w:val="nil"/>
              <w:left w:val="nil"/>
              <w:bottom w:val="nil"/>
              <w:right w:val="nil"/>
            </w:tcBorders>
          </w:tcPr>
          <w:p>
            <w:pPr>
              <w:pStyle w:val="TableParagraph"/>
              <w:ind w:right="209"/>
              <w:rPr>
                <w:sz w:val="20"/>
              </w:rPr>
            </w:pPr>
            <w:r>
              <w:rPr>
                <w:sz w:val="20"/>
              </w:rPr>
              <w:t>0.00</w:t>
            </w:r>
          </w:p>
        </w:tc>
        <w:tc>
          <w:tcPr>
            <w:tcW w:w="778" w:type="dxa"/>
            <w:tcBorders>
              <w:top w:val="nil"/>
              <w:left w:val="nil"/>
              <w:bottom w:val="nil"/>
              <w:right w:val="nil"/>
            </w:tcBorders>
          </w:tcPr>
          <w:p>
            <w:pPr>
              <w:pStyle w:val="TableParagraph"/>
              <w:ind w:right="65"/>
              <w:rPr>
                <w:sz w:val="20"/>
              </w:rPr>
            </w:pPr>
            <w:r>
              <w:rPr>
                <w:sz w:val="20"/>
              </w:rPr>
              <w:t>0.00</w:t>
            </w:r>
          </w:p>
        </w:tc>
      </w:tr>
      <w:tr>
        <w:trPr>
          <w:trHeight w:val="300" w:hRule="exact"/>
        </w:trPr>
        <w:tc>
          <w:tcPr>
            <w:tcW w:w="1364" w:type="dxa"/>
            <w:tcBorders>
              <w:top w:val="nil"/>
              <w:left w:val="nil"/>
              <w:bottom w:val="nil"/>
              <w:right w:val="nil"/>
            </w:tcBorders>
          </w:tcPr>
          <w:p>
            <w:pPr>
              <w:pStyle w:val="TableParagraph"/>
              <w:ind w:left="86"/>
              <w:jc w:val="left"/>
              <w:rPr>
                <w:sz w:val="20"/>
              </w:rPr>
            </w:pPr>
            <w:r>
              <w:rPr>
                <w:sz w:val="20"/>
              </w:rPr>
              <w:t>TEJ_VpFdp</w:t>
            </w:r>
          </w:p>
        </w:tc>
        <w:tc>
          <w:tcPr>
            <w:tcW w:w="657" w:type="dxa"/>
            <w:tcBorders>
              <w:top w:val="nil"/>
              <w:left w:val="nil"/>
              <w:bottom w:val="nil"/>
              <w:right w:val="nil"/>
            </w:tcBorders>
          </w:tcPr>
          <w:p>
            <w:pPr>
              <w:pStyle w:val="TableParagraph"/>
              <w:ind w:left="69" w:right="197"/>
              <w:jc w:val="center"/>
              <w:rPr>
                <w:sz w:val="20"/>
              </w:rPr>
            </w:pPr>
            <w:r>
              <w:rPr>
                <w:sz w:val="20"/>
              </w:rPr>
              <w:t>0.13</w:t>
            </w:r>
          </w:p>
        </w:tc>
        <w:tc>
          <w:tcPr>
            <w:tcW w:w="838"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left="266"/>
              <w:jc w:val="left"/>
              <w:rPr>
                <w:sz w:val="20"/>
              </w:rPr>
            </w:pPr>
            <w:r>
              <w:rPr>
                <w:sz w:val="20"/>
              </w:rPr>
              <w:t>0.13</w:t>
            </w:r>
          </w:p>
        </w:tc>
        <w:tc>
          <w:tcPr>
            <w:tcW w:w="838"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left="266"/>
              <w:jc w:val="left"/>
              <w:rPr>
                <w:sz w:val="20"/>
              </w:rPr>
            </w:pPr>
            <w:r>
              <w:rPr>
                <w:sz w:val="20"/>
              </w:rPr>
              <w:t>0.13</w:t>
            </w:r>
          </w:p>
        </w:tc>
        <w:tc>
          <w:tcPr>
            <w:tcW w:w="835"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right="216"/>
              <w:rPr>
                <w:sz w:val="20"/>
              </w:rPr>
            </w:pPr>
            <w:r>
              <w:rPr>
                <w:sz w:val="20"/>
              </w:rPr>
              <w:t>0.13</w:t>
            </w:r>
          </w:p>
        </w:tc>
        <w:tc>
          <w:tcPr>
            <w:tcW w:w="838" w:type="dxa"/>
            <w:tcBorders>
              <w:top w:val="nil"/>
              <w:left w:val="nil"/>
              <w:bottom w:val="nil"/>
              <w:right w:val="nil"/>
            </w:tcBorders>
          </w:tcPr>
          <w:p>
            <w:pPr>
              <w:pStyle w:val="TableParagraph"/>
              <w:ind w:right="214"/>
              <w:rPr>
                <w:sz w:val="20"/>
              </w:rPr>
            </w:pPr>
            <w:r>
              <w:rPr>
                <w:sz w:val="20"/>
              </w:rPr>
              <w:t>0.00</w:t>
            </w:r>
          </w:p>
        </w:tc>
        <w:tc>
          <w:tcPr>
            <w:tcW w:w="831" w:type="dxa"/>
            <w:tcBorders>
              <w:top w:val="nil"/>
              <w:left w:val="nil"/>
              <w:bottom w:val="nil"/>
              <w:right w:val="nil"/>
            </w:tcBorders>
          </w:tcPr>
          <w:p>
            <w:pPr>
              <w:pStyle w:val="TableParagraph"/>
              <w:ind w:right="209"/>
              <w:rPr>
                <w:sz w:val="20"/>
              </w:rPr>
            </w:pPr>
            <w:r>
              <w:rPr>
                <w:sz w:val="20"/>
              </w:rPr>
              <w:t>0.00</w:t>
            </w:r>
          </w:p>
        </w:tc>
        <w:tc>
          <w:tcPr>
            <w:tcW w:w="778" w:type="dxa"/>
            <w:tcBorders>
              <w:top w:val="nil"/>
              <w:left w:val="nil"/>
              <w:bottom w:val="nil"/>
              <w:right w:val="nil"/>
            </w:tcBorders>
          </w:tcPr>
          <w:p>
            <w:pPr>
              <w:pStyle w:val="TableParagraph"/>
              <w:ind w:right="65"/>
              <w:rPr>
                <w:sz w:val="20"/>
              </w:rPr>
            </w:pPr>
            <w:r>
              <w:rPr>
                <w:sz w:val="20"/>
              </w:rPr>
              <w:t>0.00</w:t>
            </w:r>
          </w:p>
        </w:tc>
      </w:tr>
      <w:tr>
        <w:trPr>
          <w:trHeight w:val="300" w:hRule="exact"/>
        </w:trPr>
        <w:tc>
          <w:tcPr>
            <w:tcW w:w="1364" w:type="dxa"/>
            <w:tcBorders>
              <w:top w:val="nil"/>
              <w:left w:val="nil"/>
              <w:bottom w:val="nil"/>
              <w:right w:val="nil"/>
            </w:tcBorders>
          </w:tcPr>
          <w:p>
            <w:pPr>
              <w:pStyle w:val="TableParagraph"/>
              <w:spacing w:before="26"/>
              <w:ind w:left="86"/>
              <w:jc w:val="left"/>
              <w:rPr>
                <w:sz w:val="20"/>
              </w:rPr>
            </w:pPr>
            <w:r>
              <w:rPr>
                <w:sz w:val="20"/>
              </w:rPr>
              <w:t>TEJ_VpSF</w:t>
            </w:r>
          </w:p>
        </w:tc>
        <w:tc>
          <w:tcPr>
            <w:tcW w:w="657" w:type="dxa"/>
            <w:tcBorders>
              <w:top w:val="nil"/>
              <w:left w:val="nil"/>
              <w:bottom w:val="nil"/>
              <w:right w:val="nil"/>
            </w:tcBorders>
          </w:tcPr>
          <w:p>
            <w:pPr>
              <w:pStyle w:val="TableParagraph"/>
              <w:spacing w:before="26"/>
              <w:ind w:left="69" w:right="197"/>
              <w:jc w:val="center"/>
              <w:rPr>
                <w:sz w:val="20"/>
              </w:rPr>
            </w:pPr>
            <w:r>
              <w:rPr>
                <w:sz w:val="20"/>
              </w:rPr>
              <w:t>0.13</w:t>
            </w:r>
          </w:p>
        </w:tc>
        <w:tc>
          <w:tcPr>
            <w:tcW w:w="838" w:type="dxa"/>
            <w:tcBorders>
              <w:top w:val="nil"/>
              <w:left w:val="nil"/>
              <w:bottom w:val="nil"/>
              <w:right w:val="nil"/>
            </w:tcBorders>
          </w:tcPr>
          <w:p>
            <w:pPr>
              <w:pStyle w:val="TableParagraph"/>
              <w:spacing w:before="26"/>
              <w:ind w:left="264"/>
              <w:jc w:val="left"/>
              <w:rPr>
                <w:sz w:val="20"/>
              </w:rPr>
            </w:pPr>
            <w:r>
              <w:rPr>
                <w:sz w:val="20"/>
              </w:rPr>
              <w:t>0.13</w:t>
            </w:r>
          </w:p>
        </w:tc>
        <w:tc>
          <w:tcPr>
            <w:tcW w:w="838" w:type="dxa"/>
            <w:tcBorders>
              <w:top w:val="nil"/>
              <w:left w:val="nil"/>
              <w:bottom w:val="nil"/>
              <w:right w:val="nil"/>
            </w:tcBorders>
          </w:tcPr>
          <w:p>
            <w:pPr>
              <w:pStyle w:val="TableParagraph"/>
              <w:spacing w:before="26"/>
              <w:ind w:left="266"/>
              <w:jc w:val="left"/>
              <w:rPr>
                <w:sz w:val="20"/>
              </w:rPr>
            </w:pPr>
            <w:r>
              <w:rPr>
                <w:sz w:val="20"/>
              </w:rPr>
              <w:t>0.13</w:t>
            </w:r>
          </w:p>
        </w:tc>
        <w:tc>
          <w:tcPr>
            <w:tcW w:w="838" w:type="dxa"/>
            <w:tcBorders>
              <w:top w:val="nil"/>
              <w:left w:val="nil"/>
              <w:bottom w:val="nil"/>
              <w:right w:val="nil"/>
            </w:tcBorders>
          </w:tcPr>
          <w:p>
            <w:pPr>
              <w:pStyle w:val="TableParagraph"/>
              <w:spacing w:before="26"/>
              <w:ind w:left="264"/>
              <w:jc w:val="left"/>
              <w:rPr>
                <w:sz w:val="20"/>
              </w:rPr>
            </w:pPr>
            <w:r>
              <w:rPr>
                <w:sz w:val="20"/>
              </w:rPr>
              <w:t>0.13</w:t>
            </w:r>
          </w:p>
        </w:tc>
        <w:tc>
          <w:tcPr>
            <w:tcW w:w="838" w:type="dxa"/>
            <w:tcBorders>
              <w:top w:val="nil"/>
              <w:left w:val="nil"/>
              <w:bottom w:val="nil"/>
              <w:right w:val="nil"/>
            </w:tcBorders>
          </w:tcPr>
          <w:p>
            <w:pPr>
              <w:pStyle w:val="TableParagraph"/>
              <w:spacing w:before="26"/>
              <w:ind w:left="266"/>
              <w:jc w:val="left"/>
              <w:rPr>
                <w:sz w:val="20"/>
              </w:rPr>
            </w:pPr>
            <w:r>
              <w:rPr>
                <w:sz w:val="20"/>
              </w:rPr>
              <w:t>0.13</w:t>
            </w:r>
          </w:p>
        </w:tc>
        <w:tc>
          <w:tcPr>
            <w:tcW w:w="835" w:type="dxa"/>
            <w:tcBorders>
              <w:top w:val="nil"/>
              <w:left w:val="nil"/>
              <w:bottom w:val="nil"/>
              <w:right w:val="nil"/>
            </w:tcBorders>
          </w:tcPr>
          <w:p>
            <w:pPr>
              <w:pStyle w:val="TableParagraph"/>
              <w:spacing w:before="26"/>
              <w:ind w:left="264"/>
              <w:jc w:val="left"/>
              <w:rPr>
                <w:sz w:val="20"/>
              </w:rPr>
            </w:pPr>
            <w:r>
              <w:rPr>
                <w:sz w:val="20"/>
              </w:rPr>
              <w:t>0.13</w:t>
            </w:r>
          </w:p>
        </w:tc>
        <w:tc>
          <w:tcPr>
            <w:tcW w:w="838" w:type="dxa"/>
            <w:tcBorders>
              <w:top w:val="nil"/>
              <w:left w:val="nil"/>
              <w:bottom w:val="nil"/>
              <w:right w:val="nil"/>
            </w:tcBorders>
          </w:tcPr>
          <w:p>
            <w:pPr>
              <w:pStyle w:val="TableParagraph"/>
              <w:spacing w:before="26"/>
              <w:ind w:right="216"/>
              <w:rPr>
                <w:sz w:val="20"/>
              </w:rPr>
            </w:pPr>
            <w:r>
              <w:rPr>
                <w:sz w:val="20"/>
              </w:rPr>
              <w:t>0.13</w:t>
            </w:r>
          </w:p>
        </w:tc>
        <w:tc>
          <w:tcPr>
            <w:tcW w:w="838" w:type="dxa"/>
            <w:tcBorders>
              <w:top w:val="nil"/>
              <w:left w:val="nil"/>
              <w:bottom w:val="nil"/>
              <w:right w:val="nil"/>
            </w:tcBorders>
          </w:tcPr>
          <w:p>
            <w:pPr>
              <w:pStyle w:val="TableParagraph"/>
              <w:spacing w:before="26"/>
              <w:ind w:right="214"/>
              <w:rPr>
                <w:sz w:val="20"/>
              </w:rPr>
            </w:pPr>
            <w:r>
              <w:rPr>
                <w:sz w:val="20"/>
              </w:rPr>
              <w:t>0.00</w:t>
            </w:r>
          </w:p>
        </w:tc>
        <w:tc>
          <w:tcPr>
            <w:tcW w:w="831" w:type="dxa"/>
            <w:tcBorders>
              <w:top w:val="nil"/>
              <w:left w:val="nil"/>
              <w:bottom w:val="nil"/>
              <w:right w:val="nil"/>
            </w:tcBorders>
          </w:tcPr>
          <w:p>
            <w:pPr>
              <w:pStyle w:val="TableParagraph"/>
              <w:spacing w:before="26"/>
              <w:ind w:right="209"/>
              <w:rPr>
                <w:sz w:val="20"/>
              </w:rPr>
            </w:pPr>
            <w:r>
              <w:rPr>
                <w:sz w:val="20"/>
              </w:rPr>
              <w:t>0.00</w:t>
            </w:r>
          </w:p>
        </w:tc>
        <w:tc>
          <w:tcPr>
            <w:tcW w:w="778" w:type="dxa"/>
            <w:tcBorders>
              <w:top w:val="nil"/>
              <w:left w:val="nil"/>
              <w:bottom w:val="nil"/>
              <w:right w:val="nil"/>
            </w:tcBorders>
          </w:tcPr>
          <w:p>
            <w:pPr>
              <w:pStyle w:val="TableParagraph"/>
              <w:spacing w:before="26"/>
              <w:ind w:right="65"/>
              <w:rPr>
                <w:sz w:val="20"/>
              </w:rPr>
            </w:pPr>
            <w:r>
              <w:rPr>
                <w:sz w:val="20"/>
              </w:rPr>
              <w:t>0.00</w:t>
            </w:r>
          </w:p>
        </w:tc>
      </w:tr>
      <w:tr>
        <w:trPr>
          <w:trHeight w:val="317" w:hRule="exact"/>
        </w:trPr>
        <w:tc>
          <w:tcPr>
            <w:tcW w:w="1364" w:type="dxa"/>
            <w:tcBorders>
              <w:top w:val="nil"/>
              <w:left w:val="nil"/>
              <w:bottom w:val="nil"/>
              <w:right w:val="nil"/>
            </w:tcBorders>
          </w:tcPr>
          <w:p>
            <w:pPr>
              <w:pStyle w:val="TableParagraph"/>
              <w:ind w:left="86"/>
              <w:jc w:val="left"/>
              <w:rPr>
                <w:sz w:val="20"/>
              </w:rPr>
            </w:pPr>
            <w:r>
              <w:rPr>
                <w:sz w:val="20"/>
              </w:rPr>
              <w:t>TEJ_WmFdp</w:t>
            </w:r>
          </w:p>
        </w:tc>
        <w:tc>
          <w:tcPr>
            <w:tcW w:w="657" w:type="dxa"/>
            <w:tcBorders>
              <w:top w:val="nil"/>
              <w:left w:val="nil"/>
              <w:bottom w:val="nil"/>
              <w:right w:val="nil"/>
            </w:tcBorders>
          </w:tcPr>
          <w:p>
            <w:pPr>
              <w:pStyle w:val="TableParagraph"/>
              <w:ind w:left="69" w:right="197"/>
              <w:jc w:val="center"/>
              <w:rPr>
                <w:sz w:val="20"/>
              </w:rPr>
            </w:pPr>
            <w:r>
              <w:rPr>
                <w:sz w:val="20"/>
              </w:rPr>
              <w:t>0.13</w:t>
            </w:r>
          </w:p>
        </w:tc>
        <w:tc>
          <w:tcPr>
            <w:tcW w:w="838"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left="266"/>
              <w:jc w:val="left"/>
              <w:rPr>
                <w:sz w:val="20"/>
              </w:rPr>
            </w:pPr>
            <w:r>
              <w:rPr>
                <w:sz w:val="20"/>
              </w:rPr>
              <w:t>0.13</w:t>
            </w:r>
          </w:p>
        </w:tc>
        <w:tc>
          <w:tcPr>
            <w:tcW w:w="838"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left="266"/>
              <w:jc w:val="left"/>
              <w:rPr>
                <w:sz w:val="20"/>
              </w:rPr>
            </w:pPr>
            <w:r>
              <w:rPr>
                <w:sz w:val="20"/>
              </w:rPr>
              <w:t>0.13</w:t>
            </w:r>
          </w:p>
        </w:tc>
        <w:tc>
          <w:tcPr>
            <w:tcW w:w="835" w:type="dxa"/>
            <w:tcBorders>
              <w:top w:val="nil"/>
              <w:left w:val="nil"/>
              <w:bottom w:val="nil"/>
              <w:right w:val="nil"/>
            </w:tcBorders>
          </w:tcPr>
          <w:p>
            <w:pPr>
              <w:pStyle w:val="TableParagraph"/>
              <w:ind w:left="264"/>
              <w:jc w:val="left"/>
              <w:rPr>
                <w:sz w:val="20"/>
              </w:rPr>
            </w:pPr>
            <w:r>
              <w:rPr>
                <w:sz w:val="20"/>
              </w:rPr>
              <w:t>0.13</w:t>
            </w:r>
          </w:p>
        </w:tc>
        <w:tc>
          <w:tcPr>
            <w:tcW w:w="838" w:type="dxa"/>
            <w:tcBorders>
              <w:top w:val="nil"/>
              <w:left w:val="nil"/>
              <w:bottom w:val="nil"/>
              <w:right w:val="nil"/>
            </w:tcBorders>
          </w:tcPr>
          <w:p>
            <w:pPr>
              <w:pStyle w:val="TableParagraph"/>
              <w:ind w:right="216"/>
              <w:rPr>
                <w:sz w:val="20"/>
              </w:rPr>
            </w:pPr>
            <w:r>
              <w:rPr>
                <w:sz w:val="20"/>
              </w:rPr>
              <w:t>0.13</w:t>
            </w:r>
          </w:p>
        </w:tc>
        <w:tc>
          <w:tcPr>
            <w:tcW w:w="838" w:type="dxa"/>
            <w:tcBorders>
              <w:top w:val="nil"/>
              <w:left w:val="nil"/>
              <w:bottom w:val="nil"/>
              <w:right w:val="nil"/>
            </w:tcBorders>
          </w:tcPr>
          <w:p>
            <w:pPr>
              <w:pStyle w:val="TableParagraph"/>
              <w:ind w:right="214"/>
              <w:rPr>
                <w:sz w:val="20"/>
              </w:rPr>
            </w:pPr>
            <w:r>
              <w:rPr>
                <w:sz w:val="20"/>
              </w:rPr>
              <w:t>0.00</w:t>
            </w:r>
          </w:p>
        </w:tc>
        <w:tc>
          <w:tcPr>
            <w:tcW w:w="831" w:type="dxa"/>
            <w:tcBorders>
              <w:top w:val="nil"/>
              <w:left w:val="nil"/>
              <w:bottom w:val="nil"/>
              <w:right w:val="nil"/>
            </w:tcBorders>
          </w:tcPr>
          <w:p>
            <w:pPr>
              <w:pStyle w:val="TableParagraph"/>
              <w:ind w:right="209"/>
              <w:rPr>
                <w:sz w:val="20"/>
              </w:rPr>
            </w:pPr>
            <w:r>
              <w:rPr>
                <w:sz w:val="20"/>
              </w:rPr>
              <w:t>0.00</w:t>
            </w:r>
          </w:p>
        </w:tc>
        <w:tc>
          <w:tcPr>
            <w:tcW w:w="778" w:type="dxa"/>
            <w:tcBorders>
              <w:top w:val="nil"/>
              <w:left w:val="nil"/>
              <w:bottom w:val="nil"/>
              <w:right w:val="nil"/>
            </w:tcBorders>
          </w:tcPr>
          <w:p>
            <w:pPr>
              <w:pStyle w:val="TableParagraph"/>
              <w:ind w:right="65"/>
              <w:rPr>
                <w:sz w:val="20"/>
              </w:rPr>
            </w:pPr>
            <w:r>
              <w:rPr>
                <w:sz w:val="20"/>
              </w:rPr>
              <w:t>0.00</w:t>
            </w:r>
          </w:p>
        </w:tc>
      </w:tr>
      <w:tr>
        <w:trPr>
          <w:trHeight w:val="287" w:hRule="exact"/>
        </w:trPr>
        <w:tc>
          <w:tcPr>
            <w:tcW w:w="1364" w:type="dxa"/>
            <w:tcBorders>
              <w:top w:val="nil"/>
              <w:left w:val="nil"/>
              <w:right w:val="nil"/>
            </w:tcBorders>
          </w:tcPr>
          <w:p>
            <w:pPr>
              <w:pStyle w:val="TableParagraph"/>
              <w:spacing w:before="42"/>
              <w:ind w:left="86"/>
              <w:jc w:val="left"/>
              <w:rPr>
                <w:sz w:val="20"/>
              </w:rPr>
            </w:pPr>
            <w:r>
              <w:rPr>
                <w:sz w:val="20"/>
              </w:rPr>
              <w:t>TEJ_WmSF</w:t>
            </w:r>
          </w:p>
        </w:tc>
        <w:tc>
          <w:tcPr>
            <w:tcW w:w="657" w:type="dxa"/>
            <w:tcBorders>
              <w:top w:val="nil"/>
              <w:left w:val="nil"/>
              <w:right w:val="nil"/>
            </w:tcBorders>
          </w:tcPr>
          <w:p>
            <w:pPr>
              <w:pStyle w:val="TableParagraph"/>
              <w:spacing w:before="42"/>
              <w:ind w:left="69" w:right="197"/>
              <w:jc w:val="center"/>
              <w:rPr>
                <w:sz w:val="20"/>
              </w:rPr>
            </w:pPr>
            <w:r>
              <w:rPr>
                <w:sz w:val="20"/>
              </w:rPr>
              <w:t>0.13</w:t>
            </w:r>
          </w:p>
        </w:tc>
        <w:tc>
          <w:tcPr>
            <w:tcW w:w="838" w:type="dxa"/>
            <w:tcBorders>
              <w:top w:val="nil"/>
              <w:left w:val="nil"/>
              <w:right w:val="nil"/>
            </w:tcBorders>
          </w:tcPr>
          <w:p>
            <w:pPr>
              <w:pStyle w:val="TableParagraph"/>
              <w:spacing w:before="42"/>
              <w:ind w:left="264"/>
              <w:jc w:val="left"/>
              <w:rPr>
                <w:sz w:val="20"/>
              </w:rPr>
            </w:pPr>
            <w:r>
              <w:rPr>
                <w:sz w:val="20"/>
              </w:rPr>
              <w:t>0.13</w:t>
            </w:r>
          </w:p>
        </w:tc>
        <w:tc>
          <w:tcPr>
            <w:tcW w:w="838" w:type="dxa"/>
            <w:tcBorders>
              <w:top w:val="nil"/>
              <w:left w:val="nil"/>
              <w:right w:val="nil"/>
            </w:tcBorders>
          </w:tcPr>
          <w:p>
            <w:pPr>
              <w:pStyle w:val="TableParagraph"/>
              <w:spacing w:before="42"/>
              <w:ind w:left="266"/>
              <w:jc w:val="left"/>
              <w:rPr>
                <w:sz w:val="20"/>
              </w:rPr>
            </w:pPr>
            <w:r>
              <w:rPr>
                <w:sz w:val="20"/>
              </w:rPr>
              <w:t>0.13</w:t>
            </w:r>
          </w:p>
        </w:tc>
        <w:tc>
          <w:tcPr>
            <w:tcW w:w="838" w:type="dxa"/>
            <w:tcBorders>
              <w:top w:val="nil"/>
              <w:left w:val="nil"/>
              <w:right w:val="nil"/>
            </w:tcBorders>
          </w:tcPr>
          <w:p>
            <w:pPr>
              <w:pStyle w:val="TableParagraph"/>
              <w:spacing w:before="42"/>
              <w:ind w:left="264"/>
              <w:jc w:val="left"/>
              <w:rPr>
                <w:sz w:val="20"/>
              </w:rPr>
            </w:pPr>
            <w:r>
              <w:rPr>
                <w:sz w:val="20"/>
              </w:rPr>
              <w:t>0.13</w:t>
            </w:r>
          </w:p>
        </w:tc>
        <w:tc>
          <w:tcPr>
            <w:tcW w:w="838" w:type="dxa"/>
            <w:tcBorders>
              <w:top w:val="nil"/>
              <w:left w:val="nil"/>
              <w:right w:val="nil"/>
            </w:tcBorders>
          </w:tcPr>
          <w:p>
            <w:pPr>
              <w:pStyle w:val="TableParagraph"/>
              <w:spacing w:before="42"/>
              <w:ind w:left="266"/>
              <w:jc w:val="left"/>
              <w:rPr>
                <w:sz w:val="20"/>
              </w:rPr>
            </w:pPr>
            <w:r>
              <w:rPr>
                <w:sz w:val="20"/>
              </w:rPr>
              <w:t>0.13</w:t>
            </w:r>
          </w:p>
        </w:tc>
        <w:tc>
          <w:tcPr>
            <w:tcW w:w="835" w:type="dxa"/>
            <w:tcBorders>
              <w:top w:val="nil"/>
              <w:left w:val="nil"/>
              <w:right w:val="nil"/>
            </w:tcBorders>
          </w:tcPr>
          <w:p>
            <w:pPr>
              <w:pStyle w:val="TableParagraph"/>
              <w:spacing w:before="42"/>
              <w:ind w:left="264"/>
              <w:jc w:val="left"/>
              <w:rPr>
                <w:sz w:val="20"/>
              </w:rPr>
            </w:pPr>
            <w:r>
              <w:rPr>
                <w:sz w:val="20"/>
              </w:rPr>
              <w:t>0.13</w:t>
            </w:r>
          </w:p>
        </w:tc>
        <w:tc>
          <w:tcPr>
            <w:tcW w:w="838" w:type="dxa"/>
            <w:tcBorders>
              <w:top w:val="nil"/>
              <w:left w:val="nil"/>
              <w:right w:val="nil"/>
            </w:tcBorders>
          </w:tcPr>
          <w:p>
            <w:pPr>
              <w:pStyle w:val="TableParagraph"/>
              <w:spacing w:before="42"/>
              <w:ind w:right="216"/>
              <w:rPr>
                <w:sz w:val="20"/>
              </w:rPr>
            </w:pPr>
            <w:r>
              <w:rPr>
                <w:sz w:val="20"/>
              </w:rPr>
              <w:t>0.13</w:t>
            </w:r>
          </w:p>
        </w:tc>
        <w:tc>
          <w:tcPr>
            <w:tcW w:w="838" w:type="dxa"/>
            <w:tcBorders>
              <w:top w:val="nil"/>
              <w:left w:val="nil"/>
              <w:right w:val="nil"/>
            </w:tcBorders>
          </w:tcPr>
          <w:p>
            <w:pPr>
              <w:pStyle w:val="TableParagraph"/>
              <w:spacing w:before="42"/>
              <w:ind w:right="214"/>
              <w:rPr>
                <w:sz w:val="20"/>
              </w:rPr>
            </w:pPr>
            <w:r>
              <w:rPr>
                <w:sz w:val="20"/>
              </w:rPr>
              <w:t>0.00</w:t>
            </w:r>
          </w:p>
        </w:tc>
        <w:tc>
          <w:tcPr>
            <w:tcW w:w="831" w:type="dxa"/>
            <w:tcBorders>
              <w:top w:val="nil"/>
              <w:left w:val="nil"/>
              <w:right w:val="nil"/>
            </w:tcBorders>
          </w:tcPr>
          <w:p>
            <w:pPr>
              <w:pStyle w:val="TableParagraph"/>
              <w:spacing w:before="42"/>
              <w:ind w:right="209"/>
              <w:rPr>
                <w:sz w:val="20"/>
              </w:rPr>
            </w:pPr>
            <w:r>
              <w:rPr>
                <w:sz w:val="20"/>
              </w:rPr>
              <w:t>0.00</w:t>
            </w:r>
          </w:p>
        </w:tc>
        <w:tc>
          <w:tcPr>
            <w:tcW w:w="778" w:type="dxa"/>
            <w:tcBorders>
              <w:top w:val="nil"/>
              <w:left w:val="nil"/>
              <w:right w:val="nil"/>
            </w:tcBorders>
          </w:tcPr>
          <w:p>
            <w:pPr>
              <w:pStyle w:val="TableParagraph"/>
              <w:spacing w:before="42"/>
              <w:ind w:right="65"/>
              <w:rPr>
                <w:sz w:val="20"/>
              </w:rPr>
            </w:pPr>
            <w:r>
              <w:rPr>
                <w:sz w:val="20"/>
              </w:rPr>
              <w:t>0.00</w:t>
            </w:r>
          </w:p>
        </w:tc>
      </w:tr>
    </w:tbl>
    <w:p>
      <w:pPr>
        <w:spacing w:after="0"/>
        <w:rPr>
          <w:sz w:val="20"/>
        </w:rPr>
        <w:sectPr>
          <w:footerReference w:type="default" r:id="rId204"/>
          <w:pgSz w:w="12240" w:h="15840"/>
          <w:pgMar w:footer="1473" w:header="0" w:top="1360" w:bottom="1660" w:left="1020" w:right="1300"/>
        </w:sectPr>
      </w:pPr>
    </w:p>
    <w:p>
      <w:pPr>
        <w:pStyle w:val="Heading1"/>
        <w:spacing w:before="49"/>
        <w:ind w:left="2355"/>
      </w:pPr>
      <w:bookmarkStart w:name="_bookmark158" w:id="217"/>
      <w:bookmarkEnd w:id="217"/>
      <w:r>
        <w:rPr>
          <w:b w:val="0"/>
        </w:rPr>
      </w:r>
      <w:r>
        <w:rPr/>
        <w:t>Tabla 21. Capacidad disponible de agua en suelos</w:t>
      </w:r>
    </w:p>
    <w:p>
      <w:pPr>
        <w:pStyle w:val="BodyText"/>
        <w:rPr>
          <w:b/>
          <w:sz w:val="20"/>
        </w:rPr>
      </w:pPr>
    </w:p>
    <w:p>
      <w:pPr>
        <w:pStyle w:val="BodyText"/>
        <w:spacing w:before="4"/>
        <w:rPr>
          <w:b/>
          <w:sz w:val="24"/>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4"/>
        <w:gridCol w:w="681"/>
        <w:gridCol w:w="749"/>
        <w:gridCol w:w="850"/>
        <w:gridCol w:w="850"/>
        <w:gridCol w:w="852"/>
        <w:gridCol w:w="852"/>
        <w:gridCol w:w="850"/>
        <w:gridCol w:w="850"/>
        <w:gridCol w:w="845"/>
        <w:gridCol w:w="780"/>
      </w:tblGrid>
      <w:tr>
        <w:trPr>
          <w:trHeight w:val="390" w:hRule="exact"/>
        </w:trPr>
        <w:tc>
          <w:tcPr>
            <w:tcW w:w="1424" w:type="dxa"/>
            <w:tcBorders>
              <w:left w:val="nil"/>
              <w:bottom w:val="nil"/>
              <w:right w:val="nil"/>
            </w:tcBorders>
          </w:tcPr>
          <w:p>
            <w:pPr>
              <w:pStyle w:val="TableParagraph"/>
              <w:spacing w:before="174"/>
              <w:ind w:left="95"/>
              <w:jc w:val="left"/>
              <w:rPr>
                <w:sz w:val="20"/>
              </w:rPr>
            </w:pPr>
            <w:r>
              <w:rPr>
                <w:sz w:val="20"/>
              </w:rPr>
              <w:t>Nombre/Clave</w:t>
            </w:r>
          </w:p>
        </w:tc>
        <w:tc>
          <w:tcPr>
            <w:tcW w:w="681" w:type="dxa"/>
            <w:tcBorders>
              <w:left w:val="nil"/>
              <w:bottom w:val="nil"/>
              <w:right w:val="nil"/>
            </w:tcBorders>
          </w:tcPr>
          <w:p>
            <w:pPr/>
          </w:p>
        </w:tc>
        <w:tc>
          <w:tcPr>
            <w:tcW w:w="749" w:type="dxa"/>
            <w:tcBorders>
              <w:left w:val="nil"/>
              <w:bottom w:val="nil"/>
              <w:right w:val="nil"/>
            </w:tcBorders>
          </w:tcPr>
          <w:p>
            <w:pPr/>
          </w:p>
        </w:tc>
        <w:tc>
          <w:tcPr>
            <w:tcW w:w="850" w:type="dxa"/>
            <w:tcBorders>
              <w:left w:val="nil"/>
              <w:bottom w:val="nil"/>
              <w:right w:val="nil"/>
            </w:tcBorders>
          </w:tcPr>
          <w:p>
            <w:pPr/>
          </w:p>
        </w:tc>
        <w:tc>
          <w:tcPr>
            <w:tcW w:w="850" w:type="dxa"/>
            <w:tcBorders>
              <w:left w:val="nil"/>
              <w:bottom w:val="nil"/>
              <w:right w:val="nil"/>
            </w:tcBorders>
          </w:tcPr>
          <w:p>
            <w:pPr/>
          </w:p>
        </w:tc>
        <w:tc>
          <w:tcPr>
            <w:tcW w:w="2555" w:type="dxa"/>
            <w:gridSpan w:val="3"/>
            <w:tcBorders>
              <w:left w:val="nil"/>
              <w:bottom w:val="nil"/>
              <w:right w:val="nil"/>
            </w:tcBorders>
          </w:tcPr>
          <w:p>
            <w:pPr>
              <w:pStyle w:val="TableParagraph"/>
              <w:spacing w:before="58"/>
              <w:ind w:left="50"/>
              <w:jc w:val="left"/>
              <w:rPr>
                <w:sz w:val="20"/>
              </w:rPr>
            </w:pPr>
            <w:r>
              <w:rPr>
                <w:sz w:val="20"/>
              </w:rPr>
              <w:t>N° de capas del suelo</w:t>
            </w:r>
          </w:p>
        </w:tc>
        <w:tc>
          <w:tcPr>
            <w:tcW w:w="850" w:type="dxa"/>
            <w:tcBorders>
              <w:left w:val="nil"/>
              <w:bottom w:val="nil"/>
              <w:right w:val="nil"/>
            </w:tcBorders>
          </w:tcPr>
          <w:p>
            <w:pPr/>
          </w:p>
        </w:tc>
        <w:tc>
          <w:tcPr>
            <w:tcW w:w="845" w:type="dxa"/>
            <w:tcBorders>
              <w:left w:val="nil"/>
              <w:bottom w:val="nil"/>
              <w:right w:val="nil"/>
            </w:tcBorders>
          </w:tcPr>
          <w:p>
            <w:pPr/>
          </w:p>
        </w:tc>
        <w:tc>
          <w:tcPr>
            <w:tcW w:w="780" w:type="dxa"/>
            <w:tcBorders>
              <w:left w:val="nil"/>
              <w:bottom w:val="nil"/>
              <w:right w:val="nil"/>
            </w:tcBorders>
          </w:tcPr>
          <w:p>
            <w:pPr/>
          </w:p>
        </w:tc>
      </w:tr>
      <w:tr>
        <w:trPr>
          <w:trHeight w:val="215" w:hRule="exact"/>
        </w:trPr>
        <w:tc>
          <w:tcPr>
            <w:tcW w:w="1424" w:type="dxa"/>
            <w:tcBorders>
              <w:top w:val="nil"/>
              <w:left w:val="nil"/>
              <w:right w:val="nil"/>
            </w:tcBorders>
          </w:tcPr>
          <w:p>
            <w:pPr/>
          </w:p>
        </w:tc>
        <w:tc>
          <w:tcPr>
            <w:tcW w:w="681" w:type="dxa"/>
            <w:tcBorders>
              <w:top w:val="nil"/>
              <w:left w:val="nil"/>
              <w:right w:val="nil"/>
            </w:tcBorders>
          </w:tcPr>
          <w:p>
            <w:pPr>
              <w:pStyle w:val="TableParagraph"/>
              <w:spacing w:line="201" w:lineRule="exact" w:before="0"/>
              <w:ind w:left="198"/>
              <w:jc w:val="left"/>
              <w:rPr>
                <w:sz w:val="20"/>
              </w:rPr>
            </w:pPr>
            <w:r>
              <w:rPr>
                <w:w w:val="100"/>
                <w:sz w:val="20"/>
              </w:rPr>
              <w:t>1</w:t>
            </w:r>
          </w:p>
        </w:tc>
        <w:tc>
          <w:tcPr>
            <w:tcW w:w="749" w:type="dxa"/>
            <w:tcBorders>
              <w:top w:val="nil"/>
              <w:left w:val="nil"/>
              <w:right w:val="nil"/>
            </w:tcBorders>
          </w:tcPr>
          <w:p>
            <w:pPr>
              <w:pStyle w:val="TableParagraph"/>
              <w:spacing w:line="201" w:lineRule="exact" w:before="0"/>
              <w:ind w:left="189"/>
              <w:jc w:val="left"/>
              <w:rPr>
                <w:sz w:val="20"/>
              </w:rPr>
            </w:pPr>
            <w:r>
              <w:rPr>
                <w:w w:val="100"/>
                <w:sz w:val="20"/>
              </w:rPr>
              <w:t>2</w:t>
            </w:r>
          </w:p>
        </w:tc>
        <w:tc>
          <w:tcPr>
            <w:tcW w:w="850" w:type="dxa"/>
            <w:tcBorders>
              <w:top w:val="nil"/>
              <w:left w:val="nil"/>
              <w:right w:val="nil"/>
            </w:tcBorders>
          </w:tcPr>
          <w:p>
            <w:pPr>
              <w:pStyle w:val="TableParagraph"/>
              <w:spacing w:line="201" w:lineRule="exact" w:before="0"/>
              <w:ind w:left="218"/>
              <w:jc w:val="left"/>
              <w:rPr>
                <w:sz w:val="20"/>
              </w:rPr>
            </w:pPr>
            <w:r>
              <w:rPr>
                <w:w w:val="100"/>
                <w:sz w:val="20"/>
              </w:rPr>
              <w:t>3</w:t>
            </w:r>
          </w:p>
        </w:tc>
        <w:tc>
          <w:tcPr>
            <w:tcW w:w="850" w:type="dxa"/>
            <w:tcBorders>
              <w:top w:val="nil"/>
              <w:left w:val="nil"/>
              <w:right w:val="nil"/>
            </w:tcBorders>
          </w:tcPr>
          <w:p>
            <w:pPr>
              <w:pStyle w:val="TableParagraph"/>
              <w:spacing w:line="201" w:lineRule="exact" w:before="0"/>
              <w:ind w:left="218"/>
              <w:jc w:val="left"/>
              <w:rPr>
                <w:sz w:val="20"/>
              </w:rPr>
            </w:pPr>
            <w:r>
              <w:rPr>
                <w:w w:val="100"/>
                <w:sz w:val="20"/>
              </w:rPr>
              <w:t>4</w:t>
            </w:r>
          </w:p>
        </w:tc>
        <w:tc>
          <w:tcPr>
            <w:tcW w:w="852" w:type="dxa"/>
            <w:tcBorders>
              <w:top w:val="nil"/>
              <w:left w:val="nil"/>
              <w:right w:val="nil"/>
            </w:tcBorders>
          </w:tcPr>
          <w:p>
            <w:pPr>
              <w:pStyle w:val="TableParagraph"/>
              <w:spacing w:line="201" w:lineRule="exact" w:before="0"/>
              <w:ind w:left="218"/>
              <w:jc w:val="left"/>
              <w:rPr>
                <w:sz w:val="20"/>
              </w:rPr>
            </w:pPr>
            <w:r>
              <w:rPr>
                <w:w w:val="100"/>
                <w:sz w:val="20"/>
              </w:rPr>
              <w:t>5</w:t>
            </w:r>
          </w:p>
        </w:tc>
        <w:tc>
          <w:tcPr>
            <w:tcW w:w="852" w:type="dxa"/>
            <w:tcBorders>
              <w:top w:val="nil"/>
              <w:left w:val="nil"/>
              <w:right w:val="nil"/>
            </w:tcBorders>
          </w:tcPr>
          <w:p>
            <w:pPr>
              <w:pStyle w:val="TableParagraph"/>
              <w:spacing w:line="201" w:lineRule="exact" w:before="0"/>
              <w:ind w:left="220"/>
              <w:jc w:val="left"/>
              <w:rPr>
                <w:sz w:val="20"/>
              </w:rPr>
            </w:pPr>
            <w:r>
              <w:rPr>
                <w:w w:val="100"/>
                <w:sz w:val="20"/>
              </w:rPr>
              <w:t>6</w:t>
            </w:r>
          </w:p>
        </w:tc>
        <w:tc>
          <w:tcPr>
            <w:tcW w:w="850" w:type="dxa"/>
            <w:tcBorders>
              <w:top w:val="nil"/>
              <w:left w:val="nil"/>
              <w:right w:val="nil"/>
            </w:tcBorders>
          </w:tcPr>
          <w:p>
            <w:pPr>
              <w:pStyle w:val="TableParagraph"/>
              <w:spacing w:line="201" w:lineRule="exact" w:before="0"/>
              <w:ind w:left="218"/>
              <w:jc w:val="left"/>
              <w:rPr>
                <w:sz w:val="20"/>
              </w:rPr>
            </w:pPr>
            <w:r>
              <w:rPr>
                <w:w w:val="100"/>
                <w:sz w:val="20"/>
              </w:rPr>
              <w:t>7</w:t>
            </w:r>
          </w:p>
        </w:tc>
        <w:tc>
          <w:tcPr>
            <w:tcW w:w="850" w:type="dxa"/>
            <w:tcBorders>
              <w:top w:val="nil"/>
              <w:left w:val="nil"/>
              <w:right w:val="nil"/>
            </w:tcBorders>
          </w:tcPr>
          <w:p>
            <w:pPr>
              <w:pStyle w:val="TableParagraph"/>
              <w:spacing w:line="201" w:lineRule="exact" w:before="0"/>
              <w:ind w:left="218"/>
              <w:jc w:val="left"/>
              <w:rPr>
                <w:sz w:val="20"/>
              </w:rPr>
            </w:pPr>
            <w:r>
              <w:rPr>
                <w:w w:val="100"/>
                <w:sz w:val="20"/>
              </w:rPr>
              <w:t>8</w:t>
            </w:r>
          </w:p>
        </w:tc>
        <w:tc>
          <w:tcPr>
            <w:tcW w:w="845" w:type="dxa"/>
            <w:tcBorders>
              <w:top w:val="nil"/>
              <w:left w:val="nil"/>
              <w:right w:val="nil"/>
            </w:tcBorders>
          </w:tcPr>
          <w:p>
            <w:pPr>
              <w:pStyle w:val="TableParagraph"/>
              <w:spacing w:line="201" w:lineRule="exact" w:before="0"/>
              <w:ind w:left="218"/>
              <w:jc w:val="left"/>
              <w:rPr>
                <w:sz w:val="20"/>
              </w:rPr>
            </w:pPr>
            <w:r>
              <w:rPr>
                <w:w w:val="100"/>
                <w:sz w:val="20"/>
              </w:rPr>
              <w:t>9</w:t>
            </w:r>
          </w:p>
        </w:tc>
        <w:tc>
          <w:tcPr>
            <w:tcW w:w="780" w:type="dxa"/>
            <w:tcBorders>
              <w:top w:val="nil"/>
              <w:left w:val="nil"/>
              <w:right w:val="nil"/>
            </w:tcBorders>
          </w:tcPr>
          <w:p>
            <w:pPr>
              <w:pStyle w:val="TableParagraph"/>
              <w:spacing w:line="201" w:lineRule="exact" w:before="0"/>
              <w:ind w:left="213"/>
              <w:jc w:val="left"/>
              <w:rPr>
                <w:sz w:val="20"/>
              </w:rPr>
            </w:pPr>
            <w:r>
              <w:rPr>
                <w:sz w:val="20"/>
              </w:rPr>
              <w:t>10</w:t>
            </w:r>
          </w:p>
        </w:tc>
      </w:tr>
      <w:tr>
        <w:trPr>
          <w:trHeight w:val="342" w:hRule="exact"/>
        </w:trPr>
        <w:tc>
          <w:tcPr>
            <w:tcW w:w="1424" w:type="dxa"/>
            <w:tcBorders>
              <w:left w:val="nil"/>
              <w:bottom w:val="nil"/>
              <w:right w:val="nil"/>
            </w:tcBorders>
          </w:tcPr>
          <w:p>
            <w:pPr>
              <w:pStyle w:val="TableParagraph"/>
              <w:spacing w:before="63"/>
              <w:ind w:left="86"/>
              <w:jc w:val="left"/>
              <w:rPr>
                <w:sz w:val="20"/>
              </w:rPr>
            </w:pPr>
            <w:r>
              <w:rPr>
                <w:sz w:val="20"/>
              </w:rPr>
              <w:t>TEJ_HhFd</w:t>
            </w:r>
          </w:p>
        </w:tc>
        <w:tc>
          <w:tcPr>
            <w:tcW w:w="681" w:type="dxa"/>
            <w:tcBorders>
              <w:left w:val="nil"/>
              <w:bottom w:val="nil"/>
              <w:right w:val="nil"/>
            </w:tcBorders>
          </w:tcPr>
          <w:p>
            <w:pPr>
              <w:pStyle w:val="TableParagraph"/>
              <w:spacing w:before="63"/>
              <w:ind w:left="150"/>
              <w:jc w:val="left"/>
              <w:rPr>
                <w:sz w:val="20"/>
              </w:rPr>
            </w:pPr>
            <w:r>
              <w:rPr>
                <w:sz w:val="20"/>
              </w:rPr>
              <w:t>0.14</w:t>
            </w:r>
          </w:p>
        </w:tc>
        <w:tc>
          <w:tcPr>
            <w:tcW w:w="749" w:type="dxa"/>
            <w:tcBorders>
              <w:left w:val="nil"/>
              <w:bottom w:val="nil"/>
              <w:right w:val="nil"/>
            </w:tcBorders>
          </w:tcPr>
          <w:p>
            <w:pPr>
              <w:pStyle w:val="TableParagraph"/>
              <w:spacing w:before="63"/>
              <w:ind w:left="175"/>
              <w:jc w:val="left"/>
              <w:rPr>
                <w:sz w:val="20"/>
              </w:rPr>
            </w:pPr>
            <w:r>
              <w:rPr>
                <w:sz w:val="20"/>
              </w:rPr>
              <w:t>0.14</w:t>
            </w:r>
          </w:p>
        </w:tc>
        <w:tc>
          <w:tcPr>
            <w:tcW w:w="850" w:type="dxa"/>
            <w:tcBorders>
              <w:left w:val="nil"/>
              <w:bottom w:val="nil"/>
              <w:right w:val="nil"/>
            </w:tcBorders>
          </w:tcPr>
          <w:p>
            <w:pPr>
              <w:pStyle w:val="TableParagraph"/>
              <w:spacing w:before="63"/>
              <w:ind w:left="276"/>
              <w:jc w:val="left"/>
              <w:rPr>
                <w:sz w:val="20"/>
              </w:rPr>
            </w:pPr>
            <w:r>
              <w:rPr>
                <w:sz w:val="20"/>
              </w:rPr>
              <w:t>0.14</w:t>
            </w:r>
          </w:p>
        </w:tc>
        <w:tc>
          <w:tcPr>
            <w:tcW w:w="850" w:type="dxa"/>
            <w:tcBorders>
              <w:left w:val="nil"/>
              <w:bottom w:val="nil"/>
              <w:right w:val="nil"/>
            </w:tcBorders>
          </w:tcPr>
          <w:p>
            <w:pPr>
              <w:pStyle w:val="TableParagraph"/>
              <w:spacing w:before="63"/>
              <w:ind w:left="276"/>
              <w:jc w:val="left"/>
              <w:rPr>
                <w:sz w:val="20"/>
              </w:rPr>
            </w:pPr>
            <w:r>
              <w:rPr>
                <w:sz w:val="20"/>
              </w:rPr>
              <w:t>0.13</w:t>
            </w:r>
          </w:p>
        </w:tc>
        <w:tc>
          <w:tcPr>
            <w:tcW w:w="852" w:type="dxa"/>
            <w:tcBorders>
              <w:left w:val="nil"/>
              <w:bottom w:val="nil"/>
              <w:right w:val="nil"/>
            </w:tcBorders>
          </w:tcPr>
          <w:p>
            <w:pPr>
              <w:pStyle w:val="TableParagraph"/>
              <w:spacing w:before="63"/>
              <w:ind w:right="218"/>
              <w:rPr>
                <w:sz w:val="20"/>
              </w:rPr>
            </w:pPr>
            <w:r>
              <w:rPr>
                <w:sz w:val="20"/>
              </w:rPr>
              <w:t>0.13</w:t>
            </w:r>
          </w:p>
        </w:tc>
        <w:tc>
          <w:tcPr>
            <w:tcW w:w="852" w:type="dxa"/>
            <w:tcBorders>
              <w:left w:val="nil"/>
              <w:bottom w:val="nil"/>
              <w:right w:val="nil"/>
            </w:tcBorders>
          </w:tcPr>
          <w:p>
            <w:pPr>
              <w:pStyle w:val="TableParagraph"/>
              <w:spacing w:before="63"/>
              <w:ind w:left="278"/>
              <w:jc w:val="left"/>
              <w:rPr>
                <w:sz w:val="20"/>
              </w:rPr>
            </w:pPr>
            <w:r>
              <w:rPr>
                <w:sz w:val="20"/>
              </w:rPr>
              <w:t>0.13</w:t>
            </w:r>
          </w:p>
        </w:tc>
        <w:tc>
          <w:tcPr>
            <w:tcW w:w="850" w:type="dxa"/>
            <w:tcBorders>
              <w:left w:val="nil"/>
              <w:bottom w:val="nil"/>
              <w:right w:val="nil"/>
            </w:tcBorders>
          </w:tcPr>
          <w:p>
            <w:pPr>
              <w:pStyle w:val="TableParagraph"/>
              <w:spacing w:before="63"/>
              <w:ind w:left="276"/>
              <w:jc w:val="left"/>
              <w:rPr>
                <w:sz w:val="20"/>
              </w:rPr>
            </w:pPr>
            <w:r>
              <w:rPr>
                <w:sz w:val="20"/>
              </w:rPr>
              <w:t>0.11</w:t>
            </w:r>
          </w:p>
        </w:tc>
        <w:tc>
          <w:tcPr>
            <w:tcW w:w="850" w:type="dxa"/>
            <w:tcBorders>
              <w:left w:val="nil"/>
              <w:bottom w:val="nil"/>
              <w:right w:val="nil"/>
            </w:tcBorders>
          </w:tcPr>
          <w:p>
            <w:pPr>
              <w:pStyle w:val="TableParagraph"/>
              <w:spacing w:before="63"/>
              <w:ind w:left="276"/>
              <w:jc w:val="left"/>
              <w:rPr>
                <w:sz w:val="20"/>
              </w:rPr>
            </w:pPr>
            <w:r>
              <w:rPr>
                <w:sz w:val="20"/>
              </w:rPr>
              <w:t>0.00</w:t>
            </w:r>
          </w:p>
        </w:tc>
        <w:tc>
          <w:tcPr>
            <w:tcW w:w="845" w:type="dxa"/>
            <w:tcBorders>
              <w:left w:val="nil"/>
              <w:bottom w:val="nil"/>
              <w:right w:val="nil"/>
            </w:tcBorders>
          </w:tcPr>
          <w:p>
            <w:pPr>
              <w:pStyle w:val="TableParagraph"/>
              <w:spacing w:before="63"/>
              <w:ind w:right="211"/>
              <w:rPr>
                <w:sz w:val="20"/>
              </w:rPr>
            </w:pPr>
            <w:r>
              <w:rPr>
                <w:sz w:val="20"/>
              </w:rPr>
              <w:t>0.00</w:t>
            </w:r>
          </w:p>
        </w:tc>
        <w:tc>
          <w:tcPr>
            <w:tcW w:w="780" w:type="dxa"/>
            <w:tcBorders>
              <w:left w:val="nil"/>
              <w:bottom w:val="nil"/>
              <w:right w:val="nil"/>
            </w:tcBorders>
          </w:tcPr>
          <w:p>
            <w:pPr>
              <w:pStyle w:val="TableParagraph"/>
              <w:spacing w:before="63"/>
              <w:ind w:right="60"/>
              <w:rPr>
                <w:sz w:val="20"/>
              </w:rPr>
            </w:pPr>
            <w:r>
              <w:rPr>
                <w:sz w:val="20"/>
              </w:rPr>
              <w:t>0.00</w:t>
            </w:r>
          </w:p>
        </w:tc>
      </w:tr>
      <w:tr>
        <w:trPr>
          <w:trHeight w:val="298" w:hRule="exact"/>
        </w:trPr>
        <w:tc>
          <w:tcPr>
            <w:tcW w:w="1424" w:type="dxa"/>
            <w:tcBorders>
              <w:top w:val="nil"/>
              <w:left w:val="nil"/>
              <w:bottom w:val="nil"/>
              <w:right w:val="nil"/>
            </w:tcBorders>
          </w:tcPr>
          <w:p>
            <w:pPr>
              <w:pStyle w:val="TableParagraph"/>
              <w:ind w:left="86"/>
              <w:jc w:val="left"/>
              <w:rPr>
                <w:sz w:val="20"/>
              </w:rPr>
            </w:pPr>
            <w:r>
              <w:rPr>
                <w:sz w:val="20"/>
              </w:rPr>
              <w:t>TEJ_HhFdp</w:t>
            </w:r>
          </w:p>
        </w:tc>
        <w:tc>
          <w:tcPr>
            <w:tcW w:w="681" w:type="dxa"/>
            <w:tcBorders>
              <w:top w:val="nil"/>
              <w:left w:val="nil"/>
              <w:bottom w:val="nil"/>
              <w:right w:val="nil"/>
            </w:tcBorders>
          </w:tcPr>
          <w:p>
            <w:pPr>
              <w:pStyle w:val="TableParagraph"/>
              <w:ind w:left="150"/>
              <w:jc w:val="left"/>
              <w:rPr>
                <w:sz w:val="20"/>
              </w:rPr>
            </w:pPr>
            <w:r>
              <w:rPr>
                <w:sz w:val="20"/>
              </w:rPr>
              <w:t>0.13</w:t>
            </w:r>
          </w:p>
        </w:tc>
        <w:tc>
          <w:tcPr>
            <w:tcW w:w="749" w:type="dxa"/>
            <w:tcBorders>
              <w:top w:val="nil"/>
              <w:left w:val="nil"/>
              <w:bottom w:val="nil"/>
              <w:right w:val="nil"/>
            </w:tcBorders>
          </w:tcPr>
          <w:p>
            <w:pPr>
              <w:pStyle w:val="TableParagraph"/>
              <w:ind w:left="175"/>
              <w:jc w:val="left"/>
              <w:rPr>
                <w:sz w:val="20"/>
              </w:rPr>
            </w:pPr>
            <w:r>
              <w:rPr>
                <w:sz w:val="20"/>
              </w:rPr>
              <w:t>0.13</w:t>
            </w:r>
          </w:p>
        </w:tc>
        <w:tc>
          <w:tcPr>
            <w:tcW w:w="850" w:type="dxa"/>
            <w:tcBorders>
              <w:top w:val="nil"/>
              <w:left w:val="nil"/>
              <w:bottom w:val="nil"/>
              <w:right w:val="nil"/>
            </w:tcBorders>
          </w:tcPr>
          <w:p>
            <w:pPr>
              <w:pStyle w:val="TableParagraph"/>
              <w:ind w:left="276"/>
              <w:jc w:val="left"/>
              <w:rPr>
                <w:sz w:val="20"/>
              </w:rPr>
            </w:pPr>
            <w:r>
              <w:rPr>
                <w:sz w:val="20"/>
              </w:rPr>
              <w:t>0.13</w:t>
            </w:r>
          </w:p>
        </w:tc>
        <w:tc>
          <w:tcPr>
            <w:tcW w:w="850" w:type="dxa"/>
            <w:tcBorders>
              <w:top w:val="nil"/>
              <w:left w:val="nil"/>
              <w:bottom w:val="nil"/>
              <w:right w:val="nil"/>
            </w:tcBorders>
          </w:tcPr>
          <w:p>
            <w:pPr>
              <w:pStyle w:val="TableParagraph"/>
              <w:ind w:left="276"/>
              <w:jc w:val="left"/>
              <w:rPr>
                <w:sz w:val="20"/>
              </w:rPr>
            </w:pPr>
            <w:r>
              <w:rPr>
                <w:sz w:val="20"/>
              </w:rPr>
              <w:t>0.13</w:t>
            </w:r>
          </w:p>
        </w:tc>
        <w:tc>
          <w:tcPr>
            <w:tcW w:w="852" w:type="dxa"/>
            <w:tcBorders>
              <w:top w:val="nil"/>
              <w:left w:val="nil"/>
              <w:bottom w:val="nil"/>
              <w:right w:val="nil"/>
            </w:tcBorders>
          </w:tcPr>
          <w:p>
            <w:pPr>
              <w:pStyle w:val="TableParagraph"/>
              <w:ind w:right="218"/>
              <w:rPr>
                <w:sz w:val="20"/>
              </w:rPr>
            </w:pPr>
            <w:r>
              <w:rPr>
                <w:sz w:val="20"/>
              </w:rPr>
              <w:t>0.13</w:t>
            </w:r>
          </w:p>
        </w:tc>
        <w:tc>
          <w:tcPr>
            <w:tcW w:w="852" w:type="dxa"/>
            <w:tcBorders>
              <w:top w:val="nil"/>
              <w:left w:val="nil"/>
              <w:bottom w:val="nil"/>
              <w:right w:val="nil"/>
            </w:tcBorders>
          </w:tcPr>
          <w:p>
            <w:pPr>
              <w:pStyle w:val="TableParagraph"/>
              <w:ind w:left="278"/>
              <w:jc w:val="left"/>
              <w:rPr>
                <w:sz w:val="20"/>
              </w:rPr>
            </w:pPr>
            <w:r>
              <w:rPr>
                <w:sz w:val="20"/>
              </w:rPr>
              <w:t>0.23</w:t>
            </w:r>
          </w:p>
        </w:tc>
        <w:tc>
          <w:tcPr>
            <w:tcW w:w="850" w:type="dxa"/>
            <w:tcBorders>
              <w:top w:val="nil"/>
              <w:left w:val="nil"/>
              <w:bottom w:val="nil"/>
              <w:right w:val="nil"/>
            </w:tcBorders>
          </w:tcPr>
          <w:p>
            <w:pPr>
              <w:pStyle w:val="TableParagraph"/>
              <w:ind w:left="276"/>
              <w:jc w:val="left"/>
              <w:rPr>
                <w:sz w:val="20"/>
              </w:rPr>
            </w:pPr>
            <w:r>
              <w:rPr>
                <w:sz w:val="20"/>
              </w:rPr>
              <w:t>0.13</w:t>
            </w:r>
          </w:p>
        </w:tc>
        <w:tc>
          <w:tcPr>
            <w:tcW w:w="850" w:type="dxa"/>
            <w:tcBorders>
              <w:top w:val="nil"/>
              <w:left w:val="nil"/>
              <w:bottom w:val="nil"/>
              <w:right w:val="nil"/>
            </w:tcBorders>
          </w:tcPr>
          <w:p>
            <w:pPr>
              <w:pStyle w:val="TableParagraph"/>
              <w:ind w:left="276"/>
              <w:jc w:val="left"/>
              <w:rPr>
                <w:sz w:val="20"/>
              </w:rPr>
            </w:pPr>
            <w:r>
              <w:rPr>
                <w:sz w:val="20"/>
              </w:rPr>
              <w:t>0.00</w:t>
            </w:r>
          </w:p>
        </w:tc>
        <w:tc>
          <w:tcPr>
            <w:tcW w:w="845" w:type="dxa"/>
            <w:tcBorders>
              <w:top w:val="nil"/>
              <w:left w:val="nil"/>
              <w:bottom w:val="nil"/>
              <w:right w:val="nil"/>
            </w:tcBorders>
          </w:tcPr>
          <w:p>
            <w:pPr>
              <w:pStyle w:val="TableParagraph"/>
              <w:ind w:right="211"/>
              <w:rPr>
                <w:sz w:val="20"/>
              </w:rPr>
            </w:pPr>
            <w:r>
              <w:rPr>
                <w:sz w:val="20"/>
              </w:rPr>
              <w:t>0.00</w:t>
            </w:r>
          </w:p>
        </w:tc>
        <w:tc>
          <w:tcPr>
            <w:tcW w:w="780" w:type="dxa"/>
            <w:tcBorders>
              <w:top w:val="nil"/>
              <w:left w:val="nil"/>
              <w:bottom w:val="nil"/>
              <w:right w:val="nil"/>
            </w:tcBorders>
          </w:tcPr>
          <w:p>
            <w:pPr>
              <w:pStyle w:val="TableParagraph"/>
              <w:ind w:right="60"/>
              <w:rPr>
                <w:sz w:val="20"/>
              </w:rPr>
            </w:pPr>
            <w:r>
              <w:rPr>
                <w:sz w:val="20"/>
              </w:rPr>
              <w:t>0.00</w:t>
            </w:r>
          </w:p>
        </w:tc>
      </w:tr>
      <w:tr>
        <w:trPr>
          <w:trHeight w:val="300" w:hRule="exact"/>
        </w:trPr>
        <w:tc>
          <w:tcPr>
            <w:tcW w:w="1424" w:type="dxa"/>
            <w:tcBorders>
              <w:top w:val="nil"/>
              <w:left w:val="nil"/>
              <w:bottom w:val="nil"/>
              <w:right w:val="nil"/>
            </w:tcBorders>
          </w:tcPr>
          <w:p>
            <w:pPr>
              <w:pStyle w:val="TableParagraph"/>
              <w:ind w:left="86"/>
              <w:jc w:val="left"/>
              <w:rPr>
                <w:sz w:val="20"/>
              </w:rPr>
            </w:pPr>
            <w:r>
              <w:rPr>
                <w:sz w:val="20"/>
              </w:rPr>
              <w:t>TEJ_HhFl</w:t>
            </w:r>
          </w:p>
        </w:tc>
        <w:tc>
          <w:tcPr>
            <w:tcW w:w="681" w:type="dxa"/>
            <w:tcBorders>
              <w:top w:val="nil"/>
              <w:left w:val="nil"/>
              <w:bottom w:val="nil"/>
              <w:right w:val="nil"/>
            </w:tcBorders>
          </w:tcPr>
          <w:p>
            <w:pPr>
              <w:pStyle w:val="TableParagraph"/>
              <w:ind w:left="150"/>
              <w:jc w:val="left"/>
              <w:rPr>
                <w:sz w:val="20"/>
              </w:rPr>
            </w:pPr>
            <w:r>
              <w:rPr>
                <w:sz w:val="20"/>
              </w:rPr>
              <w:t>0.13</w:t>
            </w:r>
          </w:p>
        </w:tc>
        <w:tc>
          <w:tcPr>
            <w:tcW w:w="749" w:type="dxa"/>
            <w:tcBorders>
              <w:top w:val="nil"/>
              <w:left w:val="nil"/>
              <w:bottom w:val="nil"/>
              <w:right w:val="nil"/>
            </w:tcBorders>
          </w:tcPr>
          <w:p>
            <w:pPr>
              <w:pStyle w:val="TableParagraph"/>
              <w:ind w:left="175"/>
              <w:jc w:val="left"/>
              <w:rPr>
                <w:sz w:val="20"/>
              </w:rPr>
            </w:pPr>
            <w:r>
              <w:rPr>
                <w:sz w:val="20"/>
              </w:rPr>
              <w:t>0.13</w:t>
            </w:r>
          </w:p>
        </w:tc>
        <w:tc>
          <w:tcPr>
            <w:tcW w:w="850" w:type="dxa"/>
            <w:tcBorders>
              <w:top w:val="nil"/>
              <w:left w:val="nil"/>
              <w:bottom w:val="nil"/>
              <w:right w:val="nil"/>
            </w:tcBorders>
          </w:tcPr>
          <w:p>
            <w:pPr>
              <w:pStyle w:val="TableParagraph"/>
              <w:ind w:left="276"/>
              <w:jc w:val="left"/>
              <w:rPr>
                <w:sz w:val="20"/>
              </w:rPr>
            </w:pPr>
            <w:r>
              <w:rPr>
                <w:sz w:val="20"/>
              </w:rPr>
              <w:t>0.13</w:t>
            </w:r>
          </w:p>
        </w:tc>
        <w:tc>
          <w:tcPr>
            <w:tcW w:w="850" w:type="dxa"/>
            <w:tcBorders>
              <w:top w:val="nil"/>
              <w:left w:val="nil"/>
              <w:bottom w:val="nil"/>
              <w:right w:val="nil"/>
            </w:tcBorders>
          </w:tcPr>
          <w:p>
            <w:pPr>
              <w:pStyle w:val="TableParagraph"/>
              <w:ind w:left="276"/>
              <w:jc w:val="left"/>
              <w:rPr>
                <w:sz w:val="20"/>
              </w:rPr>
            </w:pPr>
            <w:r>
              <w:rPr>
                <w:sz w:val="20"/>
              </w:rPr>
              <w:t>0.13</w:t>
            </w:r>
          </w:p>
        </w:tc>
        <w:tc>
          <w:tcPr>
            <w:tcW w:w="852" w:type="dxa"/>
            <w:tcBorders>
              <w:top w:val="nil"/>
              <w:left w:val="nil"/>
              <w:bottom w:val="nil"/>
              <w:right w:val="nil"/>
            </w:tcBorders>
          </w:tcPr>
          <w:p>
            <w:pPr>
              <w:pStyle w:val="TableParagraph"/>
              <w:ind w:right="218"/>
              <w:rPr>
                <w:sz w:val="20"/>
              </w:rPr>
            </w:pPr>
            <w:r>
              <w:rPr>
                <w:sz w:val="20"/>
              </w:rPr>
              <w:t>0.13</w:t>
            </w:r>
          </w:p>
        </w:tc>
        <w:tc>
          <w:tcPr>
            <w:tcW w:w="852" w:type="dxa"/>
            <w:tcBorders>
              <w:top w:val="nil"/>
              <w:left w:val="nil"/>
              <w:bottom w:val="nil"/>
              <w:right w:val="nil"/>
            </w:tcBorders>
          </w:tcPr>
          <w:p>
            <w:pPr>
              <w:pStyle w:val="TableParagraph"/>
              <w:ind w:left="278"/>
              <w:jc w:val="left"/>
              <w:rPr>
                <w:sz w:val="20"/>
              </w:rPr>
            </w:pPr>
            <w:r>
              <w:rPr>
                <w:sz w:val="20"/>
              </w:rPr>
              <w:t>0.13</w:t>
            </w:r>
          </w:p>
        </w:tc>
        <w:tc>
          <w:tcPr>
            <w:tcW w:w="850" w:type="dxa"/>
            <w:tcBorders>
              <w:top w:val="nil"/>
              <w:left w:val="nil"/>
              <w:bottom w:val="nil"/>
              <w:right w:val="nil"/>
            </w:tcBorders>
          </w:tcPr>
          <w:p>
            <w:pPr>
              <w:pStyle w:val="TableParagraph"/>
              <w:ind w:left="276"/>
              <w:jc w:val="left"/>
              <w:rPr>
                <w:sz w:val="20"/>
              </w:rPr>
            </w:pPr>
            <w:r>
              <w:rPr>
                <w:sz w:val="20"/>
              </w:rPr>
              <w:t>0.11</w:t>
            </w:r>
          </w:p>
        </w:tc>
        <w:tc>
          <w:tcPr>
            <w:tcW w:w="850" w:type="dxa"/>
            <w:tcBorders>
              <w:top w:val="nil"/>
              <w:left w:val="nil"/>
              <w:bottom w:val="nil"/>
              <w:right w:val="nil"/>
            </w:tcBorders>
          </w:tcPr>
          <w:p>
            <w:pPr>
              <w:pStyle w:val="TableParagraph"/>
              <w:ind w:left="276"/>
              <w:jc w:val="left"/>
              <w:rPr>
                <w:sz w:val="20"/>
              </w:rPr>
            </w:pPr>
            <w:r>
              <w:rPr>
                <w:sz w:val="20"/>
              </w:rPr>
              <w:t>0.00</w:t>
            </w:r>
          </w:p>
        </w:tc>
        <w:tc>
          <w:tcPr>
            <w:tcW w:w="845" w:type="dxa"/>
            <w:tcBorders>
              <w:top w:val="nil"/>
              <w:left w:val="nil"/>
              <w:bottom w:val="nil"/>
              <w:right w:val="nil"/>
            </w:tcBorders>
          </w:tcPr>
          <w:p>
            <w:pPr>
              <w:pStyle w:val="TableParagraph"/>
              <w:ind w:right="211"/>
              <w:rPr>
                <w:sz w:val="20"/>
              </w:rPr>
            </w:pPr>
            <w:r>
              <w:rPr>
                <w:sz w:val="20"/>
              </w:rPr>
              <w:t>0.00</w:t>
            </w:r>
          </w:p>
        </w:tc>
        <w:tc>
          <w:tcPr>
            <w:tcW w:w="780" w:type="dxa"/>
            <w:tcBorders>
              <w:top w:val="nil"/>
              <w:left w:val="nil"/>
              <w:bottom w:val="nil"/>
              <w:right w:val="nil"/>
            </w:tcBorders>
          </w:tcPr>
          <w:p>
            <w:pPr>
              <w:pStyle w:val="TableParagraph"/>
              <w:ind w:right="60"/>
              <w:rPr>
                <w:sz w:val="20"/>
              </w:rPr>
            </w:pPr>
            <w:r>
              <w:rPr>
                <w:sz w:val="20"/>
              </w:rPr>
              <w:t>0.00</w:t>
            </w:r>
          </w:p>
        </w:tc>
      </w:tr>
      <w:tr>
        <w:trPr>
          <w:trHeight w:val="300" w:hRule="exact"/>
        </w:trPr>
        <w:tc>
          <w:tcPr>
            <w:tcW w:w="1424" w:type="dxa"/>
            <w:tcBorders>
              <w:top w:val="nil"/>
              <w:left w:val="nil"/>
              <w:bottom w:val="nil"/>
              <w:right w:val="nil"/>
            </w:tcBorders>
          </w:tcPr>
          <w:p>
            <w:pPr>
              <w:pStyle w:val="TableParagraph"/>
              <w:spacing w:before="26"/>
              <w:ind w:left="86"/>
              <w:jc w:val="left"/>
              <w:rPr>
                <w:sz w:val="20"/>
              </w:rPr>
            </w:pPr>
            <w:r>
              <w:rPr>
                <w:sz w:val="20"/>
              </w:rPr>
              <w:t>TEJ_HhFlp</w:t>
            </w:r>
          </w:p>
        </w:tc>
        <w:tc>
          <w:tcPr>
            <w:tcW w:w="681" w:type="dxa"/>
            <w:tcBorders>
              <w:top w:val="nil"/>
              <w:left w:val="nil"/>
              <w:bottom w:val="nil"/>
              <w:right w:val="nil"/>
            </w:tcBorders>
          </w:tcPr>
          <w:p>
            <w:pPr>
              <w:pStyle w:val="TableParagraph"/>
              <w:spacing w:before="26"/>
              <w:ind w:left="150"/>
              <w:jc w:val="left"/>
              <w:rPr>
                <w:sz w:val="20"/>
              </w:rPr>
            </w:pPr>
            <w:r>
              <w:rPr>
                <w:sz w:val="20"/>
              </w:rPr>
              <w:t>0.19</w:t>
            </w:r>
          </w:p>
        </w:tc>
        <w:tc>
          <w:tcPr>
            <w:tcW w:w="749" w:type="dxa"/>
            <w:tcBorders>
              <w:top w:val="nil"/>
              <w:left w:val="nil"/>
              <w:bottom w:val="nil"/>
              <w:right w:val="nil"/>
            </w:tcBorders>
          </w:tcPr>
          <w:p>
            <w:pPr>
              <w:pStyle w:val="TableParagraph"/>
              <w:spacing w:before="26"/>
              <w:ind w:left="175"/>
              <w:jc w:val="left"/>
              <w:rPr>
                <w:sz w:val="20"/>
              </w:rPr>
            </w:pPr>
            <w:r>
              <w:rPr>
                <w:sz w:val="20"/>
              </w:rPr>
              <w:t>0.19</w:t>
            </w:r>
          </w:p>
        </w:tc>
        <w:tc>
          <w:tcPr>
            <w:tcW w:w="850" w:type="dxa"/>
            <w:tcBorders>
              <w:top w:val="nil"/>
              <w:left w:val="nil"/>
              <w:bottom w:val="nil"/>
              <w:right w:val="nil"/>
            </w:tcBorders>
          </w:tcPr>
          <w:p>
            <w:pPr>
              <w:pStyle w:val="TableParagraph"/>
              <w:spacing w:before="26"/>
              <w:ind w:left="276"/>
              <w:jc w:val="left"/>
              <w:rPr>
                <w:sz w:val="20"/>
              </w:rPr>
            </w:pPr>
            <w:r>
              <w:rPr>
                <w:sz w:val="20"/>
              </w:rPr>
              <w:t>0.19</w:t>
            </w:r>
          </w:p>
        </w:tc>
        <w:tc>
          <w:tcPr>
            <w:tcW w:w="850" w:type="dxa"/>
            <w:tcBorders>
              <w:top w:val="nil"/>
              <w:left w:val="nil"/>
              <w:bottom w:val="nil"/>
              <w:right w:val="nil"/>
            </w:tcBorders>
          </w:tcPr>
          <w:p>
            <w:pPr>
              <w:pStyle w:val="TableParagraph"/>
              <w:spacing w:before="26"/>
              <w:ind w:left="276"/>
              <w:jc w:val="left"/>
              <w:rPr>
                <w:sz w:val="20"/>
              </w:rPr>
            </w:pPr>
            <w:r>
              <w:rPr>
                <w:sz w:val="20"/>
              </w:rPr>
              <w:t>0.19</w:t>
            </w:r>
          </w:p>
        </w:tc>
        <w:tc>
          <w:tcPr>
            <w:tcW w:w="852" w:type="dxa"/>
            <w:tcBorders>
              <w:top w:val="nil"/>
              <w:left w:val="nil"/>
              <w:bottom w:val="nil"/>
              <w:right w:val="nil"/>
            </w:tcBorders>
          </w:tcPr>
          <w:p>
            <w:pPr>
              <w:pStyle w:val="TableParagraph"/>
              <w:spacing w:before="26"/>
              <w:ind w:right="218"/>
              <w:rPr>
                <w:sz w:val="20"/>
              </w:rPr>
            </w:pPr>
            <w:r>
              <w:rPr>
                <w:sz w:val="20"/>
              </w:rPr>
              <w:t>0.19</w:t>
            </w:r>
          </w:p>
        </w:tc>
        <w:tc>
          <w:tcPr>
            <w:tcW w:w="852" w:type="dxa"/>
            <w:tcBorders>
              <w:top w:val="nil"/>
              <w:left w:val="nil"/>
              <w:bottom w:val="nil"/>
              <w:right w:val="nil"/>
            </w:tcBorders>
          </w:tcPr>
          <w:p>
            <w:pPr>
              <w:pStyle w:val="TableParagraph"/>
              <w:spacing w:before="26"/>
              <w:ind w:left="278"/>
              <w:jc w:val="left"/>
              <w:rPr>
                <w:sz w:val="20"/>
              </w:rPr>
            </w:pPr>
            <w:r>
              <w:rPr>
                <w:sz w:val="20"/>
              </w:rPr>
              <w:t>0.19</w:t>
            </w:r>
          </w:p>
        </w:tc>
        <w:tc>
          <w:tcPr>
            <w:tcW w:w="850" w:type="dxa"/>
            <w:tcBorders>
              <w:top w:val="nil"/>
              <w:left w:val="nil"/>
              <w:bottom w:val="nil"/>
              <w:right w:val="nil"/>
            </w:tcBorders>
          </w:tcPr>
          <w:p>
            <w:pPr>
              <w:pStyle w:val="TableParagraph"/>
              <w:spacing w:before="26"/>
              <w:ind w:left="276"/>
              <w:jc w:val="left"/>
              <w:rPr>
                <w:sz w:val="20"/>
              </w:rPr>
            </w:pPr>
            <w:r>
              <w:rPr>
                <w:sz w:val="20"/>
              </w:rPr>
              <w:t>0.19</w:t>
            </w:r>
          </w:p>
        </w:tc>
        <w:tc>
          <w:tcPr>
            <w:tcW w:w="850" w:type="dxa"/>
            <w:tcBorders>
              <w:top w:val="nil"/>
              <w:left w:val="nil"/>
              <w:bottom w:val="nil"/>
              <w:right w:val="nil"/>
            </w:tcBorders>
          </w:tcPr>
          <w:p>
            <w:pPr>
              <w:pStyle w:val="TableParagraph"/>
              <w:spacing w:before="26"/>
              <w:ind w:left="276"/>
              <w:jc w:val="left"/>
              <w:rPr>
                <w:sz w:val="20"/>
              </w:rPr>
            </w:pPr>
            <w:r>
              <w:rPr>
                <w:sz w:val="20"/>
              </w:rPr>
              <w:t>0.00</w:t>
            </w:r>
          </w:p>
        </w:tc>
        <w:tc>
          <w:tcPr>
            <w:tcW w:w="845" w:type="dxa"/>
            <w:tcBorders>
              <w:top w:val="nil"/>
              <w:left w:val="nil"/>
              <w:bottom w:val="nil"/>
              <w:right w:val="nil"/>
            </w:tcBorders>
          </w:tcPr>
          <w:p>
            <w:pPr>
              <w:pStyle w:val="TableParagraph"/>
              <w:spacing w:before="26"/>
              <w:ind w:right="211"/>
              <w:rPr>
                <w:sz w:val="20"/>
              </w:rPr>
            </w:pPr>
            <w:r>
              <w:rPr>
                <w:sz w:val="20"/>
              </w:rPr>
              <w:t>0.00</w:t>
            </w:r>
          </w:p>
        </w:tc>
        <w:tc>
          <w:tcPr>
            <w:tcW w:w="780" w:type="dxa"/>
            <w:tcBorders>
              <w:top w:val="nil"/>
              <w:left w:val="nil"/>
              <w:bottom w:val="nil"/>
              <w:right w:val="nil"/>
            </w:tcBorders>
          </w:tcPr>
          <w:p>
            <w:pPr>
              <w:pStyle w:val="TableParagraph"/>
              <w:spacing w:before="26"/>
              <w:ind w:right="60"/>
              <w:rPr>
                <w:sz w:val="20"/>
              </w:rPr>
            </w:pPr>
            <w:r>
              <w:rPr>
                <w:sz w:val="20"/>
              </w:rPr>
              <w:t>0.00</w:t>
            </w:r>
          </w:p>
        </w:tc>
      </w:tr>
      <w:tr>
        <w:trPr>
          <w:trHeight w:val="298" w:hRule="exact"/>
        </w:trPr>
        <w:tc>
          <w:tcPr>
            <w:tcW w:w="1424" w:type="dxa"/>
            <w:tcBorders>
              <w:top w:val="nil"/>
              <w:left w:val="nil"/>
              <w:bottom w:val="nil"/>
              <w:right w:val="nil"/>
            </w:tcBorders>
          </w:tcPr>
          <w:p>
            <w:pPr>
              <w:pStyle w:val="TableParagraph"/>
              <w:ind w:left="86"/>
              <w:jc w:val="left"/>
              <w:rPr>
                <w:sz w:val="20"/>
              </w:rPr>
            </w:pPr>
            <w:r>
              <w:rPr>
                <w:sz w:val="20"/>
              </w:rPr>
              <w:t>TEJ_HhFp</w:t>
            </w:r>
          </w:p>
        </w:tc>
        <w:tc>
          <w:tcPr>
            <w:tcW w:w="681" w:type="dxa"/>
            <w:tcBorders>
              <w:top w:val="nil"/>
              <w:left w:val="nil"/>
              <w:bottom w:val="nil"/>
              <w:right w:val="nil"/>
            </w:tcBorders>
          </w:tcPr>
          <w:p>
            <w:pPr>
              <w:pStyle w:val="TableParagraph"/>
              <w:ind w:left="150"/>
              <w:jc w:val="left"/>
              <w:rPr>
                <w:sz w:val="20"/>
              </w:rPr>
            </w:pPr>
            <w:r>
              <w:rPr>
                <w:sz w:val="20"/>
              </w:rPr>
              <w:t>0.13</w:t>
            </w:r>
          </w:p>
        </w:tc>
        <w:tc>
          <w:tcPr>
            <w:tcW w:w="749" w:type="dxa"/>
            <w:tcBorders>
              <w:top w:val="nil"/>
              <w:left w:val="nil"/>
              <w:bottom w:val="nil"/>
              <w:right w:val="nil"/>
            </w:tcBorders>
          </w:tcPr>
          <w:p>
            <w:pPr>
              <w:pStyle w:val="TableParagraph"/>
              <w:ind w:left="175"/>
              <w:jc w:val="left"/>
              <w:rPr>
                <w:sz w:val="20"/>
              </w:rPr>
            </w:pPr>
            <w:r>
              <w:rPr>
                <w:sz w:val="20"/>
              </w:rPr>
              <w:t>0.13</w:t>
            </w:r>
          </w:p>
        </w:tc>
        <w:tc>
          <w:tcPr>
            <w:tcW w:w="850" w:type="dxa"/>
            <w:tcBorders>
              <w:top w:val="nil"/>
              <w:left w:val="nil"/>
              <w:bottom w:val="nil"/>
              <w:right w:val="nil"/>
            </w:tcBorders>
          </w:tcPr>
          <w:p>
            <w:pPr>
              <w:pStyle w:val="TableParagraph"/>
              <w:ind w:left="276"/>
              <w:jc w:val="left"/>
              <w:rPr>
                <w:sz w:val="20"/>
              </w:rPr>
            </w:pPr>
            <w:r>
              <w:rPr>
                <w:sz w:val="20"/>
              </w:rPr>
              <w:t>0.13</w:t>
            </w:r>
          </w:p>
        </w:tc>
        <w:tc>
          <w:tcPr>
            <w:tcW w:w="850" w:type="dxa"/>
            <w:tcBorders>
              <w:top w:val="nil"/>
              <w:left w:val="nil"/>
              <w:bottom w:val="nil"/>
              <w:right w:val="nil"/>
            </w:tcBorders>
          </w:tcPr>
          <w:p>
            <w:pPr>
              <w:pStyle w:val="TableParagraph"/>
              <w:ind w:left="276"/>
              <w:jc w:val="left"/>
              <w:rPr>
                <w:sz w:val="20"/>
              </w:rPr>
            </w:pPr>
            <w:r>
              <w:rPr>
                <w:sz w:val="20"/>
              </w:rPr>
              <w:t>0.13</w:t>
            </w:r>
          </w:p>
        </w:tc>
        <w:tc>
          <w:tcPr>
            <w:tcW w:w="852" w:type="dxa"/>
            <w:tcBorders>
              <w:top w:val="nil"/>
              <w:left w:val="nil"/>
              <w:bottom w:val="nil"/>
              <w:right w:val="nil"/>
            </w:tcBorders>
          </w:tcPr>
          <w:p>
            <w:pPr>
              <w:pStyle w:val="TableParagraph"/>
              <w:ind w:right="218"/>
              <w:rPr>
                <w:sz w:val="20"/>
              </w:rPr>
            </w:pPr>
            <w:r>
              <w:rPr>
                <w:sz w:val="20"/>
              </w:rPr>
              <w:t>0.13</w:t>
            </w:r>
          </w:p>
        </w:tc>
        <w:tc>
          <w:tcPr>
            <w:tcW w:w="852" w:type="dxa"/>
            <w:tcBorders>
              <w:top w:val="nil"/>
              <w:left w:val="nil"/>
              <w:bottom w:val="nil"/>
              <w:right w:val="nil"/>
            </w:tcBorders>
          </w:tcPr>
          <w:p>
            <w:pPr>
              <w:pStyle w:val="TableParagraph"/>
              <w:ind w:left="278"/>
              <w:jc w:val="left"/>
              <w:rPr>
                <w:sz w:val="20"/>
              </w:rPr>
            </w:pPr>
            <w:r>
              <w:rPr>
                <w:sz w:val="20"/>
              </w:rPr>
              <w:t>0.13</w:t>
            </w:r>
          </w:p>
        </w:tc>
        <w:tc>
          <w:tcPr>
            <w:tcW w:w="850" w:type="dxa"/>
            <w:tcBorders>
              <w:top w:val="nil"/>
              <w:left w:val="nil"/>
              <w:bottom w:val="nil"/>
              <w:right w:val="nil"/>
            </w:tcBorders>
          </w:tcPr>
          <w:p>
            <w:pPr>
              <w:pStyle w:val="TableParagraph"/>
              <w:ind w:left="276"/>
              <w:jc w:val="left"/>
              <w:rPr>
                <w:sz w:val="20"/>
              </w:rPr>
            </w:pPr>
            <w:r>
              <w:rPr>
                <w:sz w:val="20"/>
              </w:rPr>
              <w:t>0.11</w:t>
            </w:r>
          </w:p>
        </w:tc>
        <w:tc>
          <w:tcPr>
            <w:tcW w:w="850" w:type="dxa"/>
            <w:tcBorders>
              <w:top w:val="nil"/>
              <w:left w:val="nil"/>
              <w:bottom w:val="nil"/>
              <w:right w:val="nil"/>
            </w:tcBorders>
          </w:tcPr>
          <w:p>
            <w:pPr>
              <w:pStyle w:val="TableParagraph"/>
              <w:ind w:left="276"/>
              <w:jc w:val="left"/>
              <w:rPr>
                <w:sz w:val="20"/>
              </w:rPr>
            </w:pPr>
            <w:r>
              <w:rPr>
                <w:sz w:val="20"/>
              </w:rPr>
              <w:t>0.00</w:t>
            </w:r>
          </w:p>
        </w:tc>
        <w:tc>
          <w:tcPr>
            <w:tcW w:w="845" w:type="dxa"/>
            <w:tcBorders>
              <w:top w:val="nil"/>
              <w:left w:val="nil"/>
              <w:bottom w:val="nil"/>
              <w:right w:val="nil"/>
            </w:tcBorders>
          </w:tcPr>
          <w:p>
            <w:pPr>
              <w:pStyle w:val="TableParagraph"/>
              <w:ind w:right="211"/>
              <w:rPr>
                <w:sz w:val="20"/>
              </w:rPr>
            </w:pPr>
            <w:r>
              <w:rPr>
                <w:sz w:val="20"/>
              </w:rPr>
              <w:t>0.00</w:t>
            </w:r>
          </w:p>
        </w:tc>
        <w:tc>
          <w:tcPr>
            <w:tcW w:w="780" w:type="dxa"/>
            <w:tcBorders>
              <w:top w:val="nil"/>
              <w:left w:val="nil"/>
              <w:bottom w:val="nil"/>
              <w:right w:val="nil"/>
            </w:tcBorders>
          </w:tcPr>
          <w:p>
            <w:pPr>
              <w:pStyle w:val="TableParagraph"/>
              <w:ind w:right="60"/>
              <w:rPr>
                <w:sz w:val="20"/>
              </w:rPr>
            </w:pPr>
            <w:r>
              <w:rPr>
                <w:sz w:val="20"/>
              </w:rPr>
              <w:t>0.00</w:t>
            </w:r>
          </w:p>
        </w:tc>
      </w:tr>
      <w:tr>
        <w:trPr>
          <w:trHeight w:val="300" w:hRule="exact"/>
        </w:trPr>
        <w:tc>
          <w:tcPr>
            <w:tcW w:w="1424" w:type="dxa"/>
            <w:tcBorders>
              <w:top w:val="nil"/>
              <w:left w:val="nil"/>
              <w:bottom w:val="nil"/>
              <w:right w:val="nil"/>
            </w:tcBorders>
          </w:tcPr>
          <w:p>
            <w:pPr>
              <w:pStyle w:val="TableParagraph"/>
              <w:ind w:left="86"/>
              <w:jc w:val="left"/>
              <w:rPr>
                <w:sz w:val="20"/>
              </w:rPr>
            </w:pPr>
            <w:r>
              <w:rPr>
                <w:sz w:val="20"/>
              </w:rPr>
              <w:t>TEJ_HhSF</w:t>
            </w:r>
          </w:p>
        </w:tc>
        <w:tc>
          <w:tcPr>
            <w:tcW w:w="681" w:type="dxa"/>
            <w:tcBorders>
              <w:top w:val="nil"/>
              <w:left w:val="nil"/>
              <w:bottom w:val="nil"/>
              <w:right w:val="nil"/>
            </w:tcBorders>
          </w:tcPr>
          <w:p>
            <w:pPr>
              <w:pStyle w:val="TableParagraph"/>
              <w:ind w:left="150"/>
              <w:jc w:val="left"/>
              <w:rPr>
                <w:sz w:val="20"/>
              </w:rPr>
            </w:pPr>
            <w:r>
              <w:rPr>
                <w:sz w:val="20"/>
              </w:rPr>
              <w:t>0.14</w:t>
            </w:r>
          </w:p>
        </w:tc>
        <w:tc>
          <w:tcPr>
            <w:tcW w:w="749" w:type="dxa"/>
            <w:tcBorders>
              <w:top w:val="nil"/>
              <w:left w:val="nil"/>
              <w:bottom w:val="nil"/>
              <w:right w:val="nil"/>
            </w:tcBorders>
          </w:tcPr>
          <w:p>
            <w:pPr>
              <w:pStyle w:val="TableParagraph"/>
              <w:ind w:left="175"/>
              <w:jc w:val="left"/>
              <w:rPr>
                <w:sz w:val="20"/>
              </w:rPr>
            </w:pPr>
            <w:r>
              <w:rPr>
                <w:sz w:val="20"/>
              </w:rPr>
              <w:t>0.14</w:t>
            </w:r>
          </w:p>
        </w:tc>
        <w:tc>
          <w:tcPr>
            <w:tcW w:w="850" w:type="dxa"/>
            <w:tcBorders>
              <w:top w:val="nil"/>
              <w:left w:val="nil"/>
              <w:bottom w:val="nil"/>
              <w:right w:val="nil"/>
            </w:tcBorders>
          </w:tcPr>
          <w:p>
            <w:pPr>
              <w:pStyle w:val="TableParagraph"/>
              <w:ind w:left="276"/>
              <w:jc w:val="left"/>
              <w:rPr>
                <w:sz w:val="20"/>
              </w:rPr>
            </w:pPr>
            <w:r>
              <w:rPr>
                <w:sz w:val="20"/>
              </w:rPr>
              <w:t>0.14</w:t>
            </w:r>
          </w:p>
        </w:tc>
        <w:tc>
          <w:tcPr>
            <w:tcW w:w="850" w:type="dxa"/>
            <w:tcBorders>
              <w:top w:val="nil"/>
              <w:left w:val="nil"/>
              <w:bottom w:val="nil"/>
              <w:right w:val="nil"/>
            </w:tcBorders>
          </w:tcPr>
          <w:p>
            <w:pPr>
              <w:pStyle w:val="TableParagraph"/>
              <w:ind w:left="276"/>
              <w:jc w:val="left"/>
              <w:rPr>
                <w:sz w:val="20"/>
              </w:rPr>
            </w:pPr>
            <w:r>
              <w:rPr>
                <w:sz w:val="20"/>
              </w:rPr>
              <w:t>0.14</w:t>
            </w:r>
          </w:p>
        </w:tc>
        <w:tc>
          <w:tcPr>
            <w:tcW w:w="852" w:type="dxa"/>
            <w:tcBorders>
              <w:top w:val="nil"/>
              <w:left w:val="nil"/>
              <w:bottom w:val="nil"/>
              <w:right w:val="nil"/>
            </w:tcBorders>
          </w:tcPr>
          <w:p>
            <w:pPr>
              <w:pStyle w:val="TableParagraph"/>
              <w:ind w:right="218"/>
              <w:rPr>
                <w:sz w:val="20"/>
              </w:rPr>
            </w:pPr>
            <w:r>
              <w:rPr>
                <w:sz w:val="20"/>
              </w:rPr>
              <w:t>0.14</w:t>
            </w:r>
          </w:p>
        </w:tc>
        <w:tc>
          <w:tcPr>
            <w:tcW w:w="852" w:type="dxa"/>
            <w:tcBorders>
              <w:top w:val="nil"/>
              <w:left w:val="nil"/>
              <w:bottom w:val="nil"/>
              <w:right w:val="nil"/>
            </w:tcBorders>
          </w:tcPr>
          <w:p>
            <w:pPr>
              <w:pStyle w:val="TableParagraph"/>
              <w:ind w:left="278"/>
              <w:jc w:val="left"/>
              <w:rPr>
                <w:sz w:val="20"/>
              </w:rPr>
            </w:pPr>
            <w:r>
              <w:rPr>
                <w:sz w:val="20"/>
              </w:rPr>
              <w:t>0.14</w:t>
            </w:r>
          </w:p>
        </w:tc>
        <w:tc>
          <w:tcPr>
            <w:tcW w:w="850" w:type="dxa"/>
            <w:tcBorders>
              <w:top w:val="nil"/>
              <w:left w:val="nil"/>
              <w:bottom w:val="nil"/>
              <w:right w:val="nil"/>
            </w:tcBorders>
          </w:tcPr>
          <w:p>
            <w:pPr>
              <w:pStyle w:val="TableParagraph"/>
              <w:ind w:left="276"/>
              <w:jc w:val="left"/>
              <w:rPr>
                <w:sz w:val="20"/>
              </w:rPr>
            </w:pPr>
            <w:r>
              <w:rPr>
                <w:sz w:val="20"/>
              </w:rPr>
              <w:t>0.14</w:t>
            </w:r>
          </w:p>
        </w:tc>
        <w:tc>
          <w:tcPr>
            <w:tcW w:w="850" w:type="dxa"/>
            <w:tcBorders>
              <w:top w:val="nil"/>
              <w:left w:val="nil"/>
              <w:bottom w:val="nil"/>
              <w:right w:val="nil"/>
            </w:tcBorders>
          </w:tcPr>
          <w:p>
            <w:pPr>
              <w:pStyle w:val="TableParagraph"/>
              <w:ind w:left="276"/>
              <w:jc w:val="left"/>
              <w:rPr>
                <w:sz w:val="20"/>
              </w:rPr>
            </w:pPr>
            <w:r>
              <w:rPr>
                <w:sz w:val="20"/>
              </w:rPr>
              <w:t>0.00</w:t>
            </w:r>
          </w:p>
        </w:tc>
        <w:tc>
          <w:tcPr>
            <w:tcW w:w="845" w:type="dxa"/>
            <w:tcBorders>
              <w:top w:val="nil"/>
              <w:left w:val="nil"/>
              <w:bottom w:val="nil"/>
              <w:right w:val="nil"/>
            </w:tcBorders>
          </w:tcPr>
          <w:p>
            <w:pPr>
              <w:pStyle w:val="TableParagraph"/>
              <w:ind w:right="211"/>
              <w:rPr>
                <w:sz w:val="20"/>
              </w:rPr>
            </w:pPr>
            <w:r>
              <w:rPr>
                <w:sz w:val="20"/>
              </w:rPr>
              <w:t>0.00</w:t>
            </w:r>
          </w:p>
        </w:tc>
        <w:tc>
          <w:tcPr>
            <w:tcW w:w="780" w:type="dxa"/>
            <w:tcBorders>
              <w:top w:val="nil"/>
              <w:left w:val="nil"/>
              <w:bottom w:val="nil"/>
              <w:right w:val="nil"/>
            </w:tcBorders>
          </w:tcPr>
          <w:p>
            <w:pPr>
              <w:pStyle w:val="TableParagraph"/>
              <w:ind w:right="60"/>
              <w:rPr>
                <w:sz w:val="20"/>
              </w:rPr>
            </w:pPr>
            <w:r>
              <w:rPr>
                <w:sz w:val="20"/>
              </w:rPr>
              <w:t>0.00</w:t>
            </w:r>
          </w:p>
        </w:tc>
      </w:tr>
      <w:tr>
        <w:trPr>
          <w:trHeight w:val="300" w:hRule="exact"/>
        </w:trPr>
        <w:tc>
          <w:tcPr>
            <w:tcW w:w="1424" w:type="dxa"/>
            <w:tcBorders>
              <w:top w:val="nil"/>
              <w:left w:val="nil"/>
              <w:bottom w:val="nil"/>
              <w:right w:val="nil"/>
            </w:tcBorders>
          </w:tcPr>
          <w:p>
            <w:pPr>
              <w:pStyle w:val="TableParagraph"/>
              <w:spacing w:before="26"/>
              <w:ind w:left="86"/>
              <w:jc w:val="left"/>
              <w:rPr>
                <w:sz w:val="20"/>
              </w:rPr>
            </w:pPr>
            <w:r>
              <w:rPr>
                <w:sz w:val="20"/>
              </w:rPr>
              <w:t>TEJ_HlFd</w:t>
            </w:r>
          </w:p>
        </w:tc>
        <w:tc>
          <w:tcPr>
            <w:tcW w:w="681" w:type="dxa"/>
            <w:tcBorders>
              <w:top w:val="nil"/>
              <w:left w:val="nil"/>
              <w:bottom w:val="nil"/>
              <w:right w:val="nil"/>
            </w:tcBorders>
          </w:tcPr>
          <w:p>
            <w:pPr>
              <w:pStyle w:val="TableParagraph"/>
              <w:spacing w:before="26"/>
              <w:ind w:left="150"/>
              <w:jc w:val="left"/>
              <w:rPr>
                <w:sz w:val="20"/>
              </w:rPr>
            </w:pPr>
            <w:r>
              <w:rPr>
                <w:sz w:val="20"/>
              </w:rPr>
              <w:t>0.19</w:t>
            </w:r>
          </w:p>
        </w:tc>
        <w:tc>
          <w:tcPr>
            <w:tcW w:w="749" w:type="dxa"/>
            <w:tcBorders>
              <w:top w:val="nil"/>
              <w:left w:val="nil"/>
              <w:bottom w:val="nil"/>
              <w:right w:val="nil"/>
            </w:tcBorders>
          </w:tcPr>
          <w:p>
            <w:pPr>
              <w:pStyle w:val="TableParagraph"/>
              <w:spacing w:before="26"/>
              <w:ind w:left="175"/>
              <w:jc w:val="left"/>
              <w:rPr>
                <w:sz w:val="20"/>
              </w:rPr>
            </w:pPr>
            <w:r>
              <w:rPr>
                <w:sz w:val="20"/>
              </w:rPr>
              <w:t>0.18</w:t>
            </w:r>
          </w:p>
        </w:tc>
        <w:tc>
          <w:tcPr>
            <w:tcW w:w="850" w:type="dxa"/>
            <w:tcBorders>
              <w:top w:val="nil"/>
              <w:left w:val="nil"/>
              <w:bottom w:val="nil"/>
              <w:right w:val="nil"/>
            </w:tcBorders>
          </w:tcPr>
          <w:p>
            <w:pPr>
              <w:pStyle w:val="TableParagraph"/>
              <w:spacing w:before="26"/>
              <w:ind w:left="276"/>
              <w:jc w:val="left"/>
              <w:rPr>
                <w:sz w:val="20"/>
              </w:rPr>
            </w:pPr>
            <w:r>
              <w:rPr>
                <w:sz w:val="20"/>
              </w:rPr>
              <w:t>0.17</w:t>
            </w:r>
          </w:p>
        </w:tc>
        <w:tc>
          <w:tcPr>
            <w:tcW w:w="850" w:type="dxa"/>
            <w:tcBorders>
              <w:top w:val="nil"/>
              <w:left w:val="nil"/>
              <w:bottom w:val="nil"/>
              <w:right w:val="nil"/>
            </w:tcBorders>
          </w:tcPr>
          <w:p>
            <w:pPr>
              <w:pStyle w:val="TableParagraph"/>
              <w:spacing w:before="26"/>
              <w:ind w:left="276"/>
              <w:jc w:val="left"/>
              <w:rPr>
                <w:sz w:val="20"/>
              </w:rPr>
            </w:pPr>
            <w:r>
              <w:rPr>
                <w:sz w:val="20"/>
              </w:rPr>
              <w:t>0.13</w:t>
            </w:r>
          </w:p>
        </w:tc>
        <w:tc>
          <w:tcPr>
            <w:tcW w:w="852" w:type="dxa"/>
            <w:tcBorders>
              <w:top w:val="nil"/>
              <w:left w:val="nil"/>
              <w:bottom w:val="nil"/>
              <w:right w:val="nil"/>
            </w:tcBorders>
          </w:tcPr>
          <w:p>
            <w:pPr>
              <w:pStyle w:val="TableParagraph"/>
              <w:spacing w:before="26"/>
              <w:ind w:right="218"/>
              <w:rPr>
                <w:sz w:val="20"/>
              </w:rPr>
            </w:pPr>
            <w:r>
              <w:rPr>
                <w:sz w:val="20"/>
              </w:rPr>
              <w:t>0.12</w:t>
            </w:r>
          </w:p>
        </w:tc>
        <w:tc>
          <w:tcPr>
            <w:tcW w:w="852" w:type="dxa"/>
            <w:tcBorders>
              <w:top w:val="nil"/>
              <w:left w:val="nil"/>
              <w:bottom w:val="nil"/>
              <w:right w:val="nil"/>
            </w:tcBorders>
          </w:tcPr>
          <w:p>
            <w:pPr>
              <w:pStyle w:val="TableParagraph"/>
              <w:spacing w:before="26"/>
              <w:ind w:left="278"/>
              <w:jc w:val="left"/>
              <w:rPr>
                <w:sz w:val="20"/>
              </w:rPr>
            </w:pPr>
            <w:r>
              <w:rPr>
                <w:sz w:val="20"/>
              </w:rPr>
              <w:t>0.13</w:t>
            </w:r>
          </w:p>
        </w:tc>
        <w:tc>
          <w:tcPr>
            <w:tcW w:w="850" w:type="dxa"/>
            <w:tcBorders>
              <w:top w:val="nil"/>
              <w:left w:val="nil"/>
              <w:bottom w:val="nil"/>
              <w:right w:val="nil"/>
            </w:tcBorders>
          </w:tcPr>
          <w:p>
            <w:pPr>
              <w:pStyle w:val="TableParagraph"/>
              <w:spacing w:before="26"/>
              <w:ind w:left="276"/>
              <w:jc w:val="left"/>
              <w:rPr>
                <w:sz w:val="20"/>
              </w:rPr>
            </w:pPr>
            <w:r>
              <w:rPr>
                <w:sz w:val="20"/>
              </w:rPr>
              <w:t>0.12</w:t>
            </w:r>
          </w:p>
        </w:tc>
        <w:tc>
          <w:tcPr>
            <w:tcW w:w="850" w:type="dxa"/>
            <w:tcBorders>
              <w:top w:val="nil"/>
              <w:left w:val="nil"/>
              <w:bottom w:val="nil"/>
              <w:right w:val="nil"/>
            </w:tcBorders>
          </w:tcPr>
          <w:p>
            <w:pPr>
              <w:pStyle w:val="TableParagraph"/>
              <w:spacing w:before="26"/>
              <w:ind w:left="276"/>
              <w:jc w:val="left"/>
              <w:rPr>
                <w:sz w:val="20"/>
              </w:rPr>
            </w:pPr>
            <w:r>
              <w:rPr>
                <w:sz w:val="20"/>
              </w:rPr>
              <w:t>0.00</w:t>
            </w:r>
          </w:p>
        </w:tc>
        <w:tc>
          <w:tcPr>
            <w:tcW w:w="845" w:type="dxa"/>
            <w:tcBorders>
              <w:top w:val="nil"/>
              <w:left w:val="nil"/>
              <w:bottom w:val="nil"/>
              <w:right w:val="nil"/>
            </w:tcBorders>
          </w:tcPr>
          <w:p>
            <w:pPr>
              <w:pStyle w:val="TableParagraph"/>
              <w:spacing w:before="26"/>
              <w:ind w:right="211"/>
              <w:rPr>
                <w:sz w:val="20"/>
              </w:rPr>
            </w:pPr>
            <w:r>
              <w:rPr>
                <w:sz w:val="20"/>
              </w:rPr>
              <w:t>0.00</w:t>
            </w:r>
          </w:p>
        </w:tc>
        <w:tc>
          <w:tcPr>
            <w:tcW w:w="780" w:type="dxa"/>
            <w:tcBorders>
              <w:top w:val="nil"/>
              <w:left w:val="nil"/>
              <w:bottom w:val="nil"/>
              <w:right w:val="nil"/>
            </w:tcBorders>
          </w:tcPr>
          <w:p>
            <w:pPr>
              <w:pStyle w:val="TableParagraph"/>
              <w:spacing w:before="26"/>
              <w:ind w:right="60"/>
              <w:rPr>
                <w:sz w:val="20"/>
              </w:rPr>
            </w:pPr>
            <w:r>
              <w:rPr>
                <w:sz w:val="20"/>
              </w:rPr>
              <w:t>0.00</w:t>
            </w:r>
          </w:p>
        </w:tc>
      </w:tr>
      <w:tr>
        <w:trPr>
          <w:trHeight w:val="298" w:hRule="exact"/>
        </w:trPr>
        <w:tc>
          <w:tcPr>
            <w:tcW w:w="1424" w:type="dxa"/>
            <w:tcBorders>
              <w:top w:val="nil"/>
              <w:left w:val="nil"/>
              <w:bottom w:val="nil"/>
              <w:right w:val="nil"/>
            </w:tcBorders>
          </w:tcPr>
          <w:p>
            <w:pPr>
              <w:pStyle w:val="TableParagraph"/>
              <w:ind w:left="86"/>
              <w:jc w:val="left"/>
              <w:rPr>
                <w:sz w:val="20"/>
              </w:rPr>
            </w:pPr>
            <w:r>
              <w:rPr>
                <w:sz w:val="20"/>
              </w:rPr>
              <w:t>TEJ_HlFdp</w:t>
            </w:r>
          </w:p>
        </w:tc>
        <w:tc>
          <w:tcPr>
            <w:tcW w:w="681" w:type="dxa"/>
            <w:tcBorders>
              <w:top w:val="nil"/>
              <w:left w:val="nil"/>
              <w:bottom w:val="nil"/>
              <w:right w:val="nil"/>
            </w:tcBorders>
          </w:tcPr>
          <w:p>
            <w:pPr>
              <w:pStyle w:val="TableParagraph"/>
              <w:ind w:left="150"/>
              <w:jc w:val="left"/>
              <w:rPr>
                <w:sz w:val="20"/>
              </w:rPr>
            </w:pPr>
            <w:r>
              <w:rPr>
                <w:sz w:val="20"/>
              </w:rPr>
              <w:t>0.14</w:t>
            </w:r>
          </w:p>
        </w:tc>
        <w:tc>
          <w:tcPr>
            <w:tcW w:w="749" w:type="dxa"/>
            <w:tcBorders>
              <w:top w:val="nil"/>
              <w:left w:val="nil"/>
              <w:bottom w:val="nil"/>
              <w:right w:val="nil"/>
            </w:tcBorders>
          </w:tcPr>
          <w:p>
            <w:pPr>
              <w:pStyle w:val="TableParagraph"/>
              <w:ind w:left="175"/>
              <w:jc w:val="left"/>
              <w:rPr>
                <w:sz w:val="20"/>
              </w:rPr>
            </w:pPr>
            <w:r>
              <w:rPr>
                <w:sz w:val="20"/>
              </w:rPr>
              <w:t>0.14</w:t>
            </w:r>
          </w:p>
        </w:tc>
        <w:tc>
          <w:tcPr>
            <w:tcW w:w="850" w:type="dxa"/>
            <w:tcBorders>
              <w:top w:val="nil"/>
              <w:left w:val="nil"/>
              <w:bottom w:val="nil"/>
              <w:right w:val="nil"/>
            </w:tcBorders>
          </w:tcPr>
          <w:p>
            <w:pPr>
              <w:pStyle w:val="TableParagraph"/>
              <w:ind w:left="276"/>
              <w:jc w:val="left"/>
              <w:rPr>
                <w:sz w:val="20"/>
              </w:rPr>
            </w:pPr>
            <w:r>
              <w:rPr>
                <w:sz w:val="20"/>
              </w:rPr>
              <w:t>0.14</w:t>
            </w:r>
          </w:p>
        </w:tc>
        <w:tc>
          <w:tcPr>
            <w:tcW w:w="850" w:type="dxa"/>
            <w:tcBorders>
              <w:top w:val="nil"/>
              <w:left w:val="nil"/>
              <w:bottom w:val="nil"/>
              <w:right w:val="nil"/>
            </w:tcBorders>
          </w:tcPr>
          <w:p>
            <w:pPr>
              <w:pStyle w:val="TableParagraph"/>
              <w:ind w:left="276"/>
              <w:jc w:val="left"/>
              <w:rPr>
                <w:sz w:val="20"/>
              </w:rPr>
            </w:pPr>
            <w:r>
              <w:rPr>
                <w:sz w:val="20"/>
              </w:rPr>
              <w:t>0.13</w:t>
            </w:r>
          </w:p>
        </w:tc>
        <w:tc>
          <w:tcPr>
            <w:tcW w:w="852" w:type="dxa"/>
            <w:tcBorders>
              <w:top w:val="nil"/>
              <w:left w:val="nil"/>
              <w:bottom w:val="nil"/>
              <w:right w:val="nil"/>
            </w:tcBorders>
          </w:tcPr>
          <w:p>
            <w:pPr>
              <w:pStyle w:val="TableParagraph"/>
              <w:ind w:right="218"/>
              <w:rPr>
                <w:sz w:val="20"/>
              </w:rPr>
            </w:pPr>
            <w:r>
              <w:rPr>
                <w:sz w:val="20"/>
              </w:rPr>
              <w:t>0.13</w:t>
            </w:r>
          </w:p>
        </w:tc>
        <w:tc>
          <w:tcPr>
            <w:tcW w:w="852" w:type="dxa"/>
            <w:tcBorders>
              <w:top w:val="nil"/>
              <w:left w:val="nil"/>
              <w:bottom w:val="nil"/>
              <w:right w:val="nil"/>
            </w:tcBorders>
          </w:tcPr>
          <w:p>
            <w:pPr>
              <w:pStyle w:val="TableParagraph"/>
              <w:ind w:left="278"/>
              <w:jc w:val="left"/>
              <w:rPr>
                <w:sz w:val="20"/>
              </w:rPr>
            </w:pPr>
            <w:r>
              <w:rPr>
                <w:sz w:val="20"/>
              </w:rPr>
              <w:t>0.13</w:t>
            </w:r>
          </w:p>
        </w:tc>
        <w:tc>
          <w:tcPr>
            <w:tcW w:w="850" w:type="dxa"/>
            <w:tcBorders>
              <w:top w:val="nil"/>
              <w:left w:val="nil"/>
              <w:bottom w:val="nil"/>
              <w:right w:val="nil"/>
            </w:tcBorders>
          </w:tcPr>
          <w:p>
            <w:pPr>
              <w:pStyle w:val="TableParagraph"/>
              <w:ind w:left="276"/>
              <w:jc w:val="left"/>
              <w:rPr>
                <w:sz w:val="20"/>
              </w:rPr>
            </w:pPr>
            <w:r>
              <w:rPr>
                <w:sz w:val="20"/>
              </w:rPr>
              <w:t>0.13</w:t>
            </w:r>
          </w:p>
        </w:tc>
        <w:tc>
          <w:tcPr>
            <w:tcW w:w="850" w:type="dxa"/>
            <w:tcBorders>
              <w:top w:val="nil"/>
              <w:left w:val="nil"/>
              <w:bottom w:val="nil"/>
              <w:right w:val="nil"/>
            </w:tcBorders>
          </w:tcPr>
          <w:p>
            <w:pPr>
              <w:pStyle w:val="TableParagraph"/>
              <w:ind w:left="276"/>
              <w:jc w:val="left"/>
              <w:rPr>
                <w:sz w:val="20"/>
              </w:rPr>
            </w:pPr>
            <w:r>
              <w:rPr>
                <w:sz w:val="20"/>
              </w:rPr>
              <w:t>0.00</w:t>
            </w:r>
          </w:p>
        </w:tc>
        <w:tc>
          <w:tcPr>
            <w:tcW w:w="845" w:type="dxa"/>
            <w:tcBorders>
              <w:top w:val="nil"/>
              <w:left w:val="nil"/>
              <w:bottom w:val="nil"/>
              <w:right w:val="nil"/>
            </w:tcBorders>
          </w:tcPr>
          <w:p>
            <w:pPr>
              <w:pStyle w:val="TableParagraph"/>
              <w:ind w:right="211"/>
              <w:rPr>
                <w:sz w:val="20"/>
              </w:rPr>
            </w:pPr>
            <w:r>
              <w:rPr>
                <w:sz w:val="20"/>
              </w:rPr>
              <w:t>0.00</w:t>
            </w:r>
          </w:p>
        </w:tc>
        <w:tc>
          <w:tcPr>
            <w:tcW w:w="780" w:type="dxa"/>
            <w:tcBorders>
              <w:top w:val="nil"/>
              <w:left w:val="nil"/>
              <w:bottom w:val="nil"/>
              <w:right w:val="nil"/>
            </w:tcBorders>
          </w:tcPr>
          <w:p>
            <w:pPr>
              <w:pStyle w:val="TableParagraph"/>
              <w:ind w:right="60"/>
              <w:rPr>
                <w:sz w:val="20"/>
              </w:rPr>
            </w:pPr>
            <w:r>
              <w:rPr>
                <w:sz w:val="20"/>
              </w:rPr>
              <w:t>0.00</w:t>
            </w:r>
          </w:p>
        </w:tc>
      </w:tr>
      <w:tr>
        <w:trPr>
          <w:trHeight w:val="298" w:hRule="exact"/>
        </w:trPr>
        <w:tc>
          <w:tcPr>
            <w:tcW w:w="1424" w:type="dxa"/>
            <w:tcBorders>
              <w:top w:val="nil"/>
              <w:left w:val="nil"/>
              <w:bottom w:val="nil"/>
              <w:right w:val="nil"/>
            </w:tcBorders>
          </w:tcPr>
          <w:p>
            <w:pPr>
              <w:pStyle w:val="TableParagraph"/>
              <w:ind w:left="86"/>
              <w:jc w:val="left"/>
              <w:rPr>
                <w:sz w:val="20"/>
              </w:rPr>
            </w:pPr>
            <w:r>
              <w:rPr>
                <w:sz w:val="20"/>
              </w:rPr>
              <w:t>TEJ_HlFl</w:t>
            </w:r>
          </w:p>
        </w:tc>
        <w:tc>
          <w:tcPr>
            <w:tcW w:w="681" w:type="dxa"/>
            <w:tcBorders>
              <w:top w:val="nil"/>
              <w:left w:val="nil"/>
              <w:bottom w:val="nil"/>
              <w:right w:val="nil"/>
            </w:tcBorders>
          </w:tcPr>
          <w:p>
            <w:pPr>
              <w:pStyle w:val="TableParagraph"/>
              <w:ind w:left="150"/>
              <w:jc w:val="left"/>
              <w:rPr>
                <w:sz w:val="20"/>
              </w:rPr>
            </w:pPr>
            <w:r>
              <w:rPr>
                <w:sz w:val="20"/>
              </w:rPr>
              <w:t>0.14</w:t>
            </w:r>
          </w:p>
        </w:tc>
        <w:tc>
          <w:tcPr>
            <w:tcW w:w="749" w:type="dxa"/>
            <w:tcBorders>
              <w:top w:val="nil"/>
              <w:left w:val="nil"/>
              <w:bottom w:val="nil"/>
              <w:right w:val="nil"/>
            </w:tcBorders>
          </w:tcPr>
          <w:p>
            <w:pPr>
              <w:pStyle w:val="TableParagraph"/>
              <w:ind w:left="175"/>
              <w:jc w:val="left"/>
              <w:rPr>
                <w:sz w:val="20"/>
              </w:rPr>
            </w:pPr>
            <w:r>
              <w:rPr>
                <w:sz w:val="20"/>
              </w:rPr>
              <w:t>0.14</w:t>
            </w:r>
          </w:p>
        </w:tc>
        <w:tc>
          <w:tcPr>
            <w:tcW w:w="850" w:type="dxa"/>
            <w:tcBorders>
              <w:top w:val="nil"/>
              <w:left w:val="nil"/>
              <w:bottom w:val="nil"/>
              <w:right w:val="nil"/>
            </w:tcBorders>
          </w:tcPr>
          <w:p>
            <w:pPr>
              <w:pStyle w:val="TableParagraph"/>
              <w:ind w:left="276"/>
              <w:jc w:val="left"/>
              <w:rPr>
                <w:sz w:val="20"/>
              </w:rPr>
            </w:pPr>
            <w:r>
              <w:rPr>
                <w:sz w:val="20"/>
              </w:rPr>
              <w:t>0.08</w:t>
            </w:r>
          </w:p>
        </w:tc>
        <w:tc>
          <w:tcPr>
            <w:tcW w:w="850" w:type="dxa"/>
            <w:tcBorders>
              <w:top w:val="nil"/>
              <w:left w:val="nil"/>
              <w:bottom w:val="nil"/>
              <w:right w:val="nil"/>
            </w:tcBorders>
          </w:tcPr>
          <w:p>
            <w:pPr>
              <w:pStyle w:val="TableParagraph"/>
              <w:ind w:left="276"/>
              <w:jc w:val="left"/>
              <w:rPr>
                <w:sz w:val="20"/>
              </w:rPr>
            </w:pPr>
            <w:r>
              <w:rPr>
                <w:sz w:val="20"/>
              </w:rPr>
              <w:t>0.09</w:t>
            </w:r>
          </w:p>
        </w:tc>
        <w:tc>
          <w:tcPr>
            <w:tcW w:w="852" w:type="dxa"/>
            <w:tcBorders>
              <w:top w:val="nil"/>
              <w:left w:val="nil"/>
              <w:bottom w:val="nil"/>
              <w:right w:val="nil"/>
            </w:tcBorders>
          </w:tcPr>
          <w:p>
            <w:pPr>
              <w:pStyle w:val="TableParagraph"/>
              <w:ind w:right="218"/>
              <w:rPr>
                <w:sz w:val="20"/>
              </w:rPr>
            </w:pPr>
            <w:r>
              <w:rPr>
                <w:sz w:val="20"/>
              </w:rPr>
              <w:t>0.13</w:t>
            </w:r>
          </w:p>
        </w:tc>
        <w:tc>
          <w:tcPr>
            <w:tcW w:w="852" w:type="dxa"/>
            <w:tcBorders>
              <w:top w:val="nil"/>
              <w:left w:val="nil"/>
              <w:bottom w:val="nil"/>
              <w:right w:val="nil"/>
            </w:tcBorders>
          </w:tcPr>
          <w:p>
            <w:pPr>
              <w:pStyle w:val="TableParagraph"/>
              <w:ind w:left="278"/>
              <w:jc w:val="left"/>
              <w:rPr>
                <w:sz w:val="20"/>
              </w:rPr>
            </w:pPr>
            <w:r>
              <w:rPr>
                <w:sz w:val="20"/>
              </w:rPr>
              <w:t>0.13</w:t>
            </w:r>
          </w:p>
        </w:tc>
        <w:tc>
          <w:tcPr>
            <w:tcW w:w="850" w:type="dxa"/>
            <w:tcBorders>
              <w:top w:val="nil"/>
              <w:left w:val="nil"/>
              <w:bottom w:val="nil"/>
              <w:right w:val="nil"/>
            </w:tcBorders>
          </w:tcPr>
          <w:p>
            <w:pPr>
              <w:pStyle w:val="TableParagraph"/>
              <w:ind w:left="276"/>
              <w:jc w:val="left"/>
              <w:rPr>
                <w:sz w:val="20"/>
              </w:rPr>
            </w:pPr>
            <w:r>
              <w:rPr>
                <w:sz w:val="20"/>
              </w:rPr>
              <w:t>0.11</w:t>
            </w:r>
          </w:p>
        </w:tc>
        <w:tc>
          <w:tcPr>
            <w:tcW w:w="850" w:type="dxa"/>
            <w:tcBorders>
              <w:top w:val="nil"/>
              <w:left w:val="nil"/>
              <w:bottom w:val="nil"/>
              <w:right w:val="nil"/>
            </w:tcBorders>
          </w:tcPr>
          <w:p>
            <w:pPr>
              <w:pStyle w:val="TableParagraph"/>
              <w:ind w:left="276"/>
              <w:jc w:val="left"/>
              <w:rPr>
                <w:sz w:val="20"/>
              </w:rPr>
            </w:pPr>
            <w:r>
              <w:rPr>
                <w:sz w:val="20"/>
              </w:rPr>
              <w:t>0.00</w:t>
            </w:r>
          </w:p>
        </w:tc>
        <w:tc>
          <w:tcPr>
            <w:tcW w:w="845" w:type="dxa"/>
            <w:tcBorders>
              <w:top w:val="nil"/>
              <w:left w:val="nil"/>
              <w:bottom w:val="nil"/>
              <w:right w:val="nil"/>
            </w:tcBorders>
          </w:tcPr>
          <w:p>
            <w:pPr>
              <w:pStyle w:val="TableParagraph"/>
              <w:ind w:right="211"/>
              <w:rPr>
                <w:sz w:val="20"/>
              </w:rPr>
            </w:pPr>
            <w:r>
              <w:rPr>
                <w:sz w:val="20"/>
              </w:rPr>
              <w:t>0.00</w:t>
            </w:r>
          </w:p>
        </w:tc>
        <w:tc>
          <w:tcPr>
            <w:tcW w:w="780" w:type="dxa"/>
            <w:tcBorders>
              <w:top w:val="nil"/>
              <w:left w:val="nil"/>
              <w:bottom w:val="nil"/>
              <w:right w:val="nil"/>
            </w:tcBorders>
          </w:tcPr>
          <w:p>
            <w:pPr>
              <w:pStyle w:val="TableParagraph"/>
              <w:ind w:right="60"/>
              <w:rPr>
                <w:sz w:val="20"/>
              </w:rPr>
            </w:pPr>
            <w:r>
              <w:rPr>
                <w:sz w:val="20"/>
              </w:rPr>
              <w:t>0.00</w:t>
            </w:r>
          </w:p>
        </w:tc>
      </w:tr>
      <w:tr>
        <w:trPr>
          <w:trHeight w:val="300" w:hRule="exact"/>
        </w:trPr>
        <w:tc>
          <w:tcPr>
            <w:tcW w:w="1424" w:type="dxa"/>
            <w:tcBorders>
              <w:top w:val="nil"/>
              <w:left w:val="nil"/>
              <w:bottom w:val="nil"/>
              <w:right w:val="nil"/>
            </w:tcBorders>
          </w:tcPr>
          <w:p>
            <w:pPr>
              <w:pStyle w:val="TableParagraph"/>
              <w:ind w:left="86"/>
              <w:jc w:val="left"/>
              <w:rPr>
                <w:sz w:val="20"/>
              </w:rPr>
            </w:pPr>
            <w:r>
              <w:rPr>
                <w:sz w:val="20"/>
              </w:rPr>
              <w:t>TEJ_HlFlp</w:t>
            </w:r>
          </w:p>
        </w:tc>
        <w:tc>
          <w:tcPr>
            <w:tcW w:w="681" w:type="dxa"/>
            <w:tcBorders>
              <w:top w:val="nil"/>
              <w:left w:val="nil"/>
              <w:bottom w:val="nil"/>
              <w:right w:val="nil"/>
            </w:tcBorders>
          </w:tcPr>
          <w:p>
            <w:pPr>
              <w:pStyle w:val="TableParagraph"/>
              <w:ind w:left="150"/>
              <w:jc w:val="left"/>
              <w:rPr>
                <w:sz w:val="20"/>
              </w:rPr>
            </w:pPr>
            <w:r>
              <w:rPr>
                <w:sz w:val="20"/>
              </w:rPr>
              <w:t>0.19</w:t>
            </w:r>
          </w:p>
        </w:tc>
        <w:tc>
          <w:tcPr>
            <w:tcW w:w="749" w:type="dxa"/>
            <w:tcBorders>
              <w:top w:val="nil"/>
              <w:left w:val="nil"/>
              <w:bottom w:val="nil"/>
              <w:right w:val="nil"/>
            </w:tcBorders>
          </w:tcPr>
          <w:p>
            <w:pPr>
              <w:pStyle w:val="TableParagraph"/>
              <w:ind w:left="175"/>
              <w:jc w:val="left"/>
              <w:rPr>
                <w:sz w:val="20"/>
              </w:rPr>
            </w:pPr>
            <w:r>
              <w:rPr>
                <w:sz w:val="20"/>
              </w:rPr>
              <w:t>0.19</w:t>
            </w:r>
          </w:p>
        </w:tc>
        <w:tc>
          <w:tcPr>
            <w:tcW w:w="850" w:type="dxa"/>
            <w:tcBorders>
              <w:top w:val="nil"/>
              <w:left w:val="nil"/>
              <w:bottom w:val="nil"/>
              <w:right w:val="nil"/>
            </w:tcBorders>
          </w:tcPr>
          <w:p>
            <w:pPr>
              <w:pStyle w:val="TableParagraph"/>
              <w:ind w:left="276"/>
              <w:jc w:val="left"/>
              <w:rPr>
                <w:sz w:val="20"/>
              </w:rPr>
            </w:pPr>
            <w:r>
              <w:rPr>
                <w:sz w:val="20"/>
              </w:rPr>
              <w:t>0.19</w:t>
            </w:r>
          </w:p>
        </w:tc>
        <w:tc>
          <w:tcPr>
            <w:tcW w:w="850" w:type="dxa"/>
            <w:tcBorders>
              <w:top w:val="nil"/>
              <w:left w:val="nil"/>
              <w:bottom w:val="nil"/>
              <w:right w:val="nil"/>
            </w:tcBorders>
          </w:tcPr>
          <w:p>
            <w:pPr>
              <w:pStyle w:val="TableParagraph"/>
              <w:ind w:left="276"/>
              <w:jc w:val="left"/>
              <w:rPr>
                <w:sz w:val="20"/>
              </w:rPr>
            </w:pPr>
            <w:r>
              <w:rPr>
                <w:sz w:val="20"/>
              </w:rPr>
              <w:t>0.13</w:t>
            </w:r>
          </w:p>
        </w:tc>
        <w:tc>
          <w:tcPr>
            <w:tcW w:w="852" w:type="dxa"/>
            <w:tcBorders>
              <w:top w:val="nil"/>
              <w:left w:val="nil"/>
              <w:bottom w:val="nil"/>
              <w:right w:val="nil"/>
            </w:tcBorders>
          </w:tcPr>
          <w:p>
            <w:pPr>
              <w:pStyle w:val="TableParagraph"/>
              <w:ind w:right="218"/>
              <w:rPr>
                <w:sz w:val="20"/>
              </w:rPr>
            </w:pPr>
            <w:r>
              <w:rPr>
                <w:sz w:val="20"/>
              </w:rPr>
              <w:t>0.13</w:t>
            </w:r>
          </w:p>
        </w:tc>
        <w:tc>
          <w:tcPr>
            <w:tcW w:w="852" w:type="dxa"/>
            <w:tcBorders>
              <w:top w:val="nil"/>
              <w:left w:val="nil"/>
              <w:bottom w:val="nil"/>
              <w:right w:val="nil"/>
            </w:tcBorders>
          </w:tcPr>
          <w:p>
            <w:pPr>
              <w:pStyle w:val="TableParagraph"/>
              <w:ind w:left="278"/>
              <w:jc w:val="left"/>
              <w:rPr>
                <w:sz w:val="20"/>
              </w:rPr>
            </w:pPr>
            <w:r>
              <w:rPr>
                <w:sz w:val="20"/>
              </w:rPr>
              <w:t>0.13</w:t>
            </w:r>
          </w:p>
        </w:tc>
        <w:tc>
          <w:tcPr>
            <w:tcW w:w="850" w:type="dxa"/>
            <w:tcBorders>
              <w:top w:val="nil"/>
              <w:left w:val="nil"/>
              <w:bottom w:val="nil"/>
              <w:right w:val="nil"/>
            </w:tcBorders>
          </w:tcPr>
          <w:p>
            <w:pPr>
              <w:pStyle w:val="TableParagraph"/>
              <w:ind w:left="276"/>
              <w:jc w:val="left"/>
              <w:rPr>
                <w:sz w:val="20"/>
              </w:rPr>
            </w:pPr>
            <w:r>
              <w:rPr>
                <w:sz w:val="20"/>
              </w:rPr>
              <w:t>0.13</w:t>
            </w:r>
          </w:p>
        </w:tc>
        <w:tc>
          <w:tcPr>
            <w:tcW w:w="850" w:type="dxa"/>
            <w:tcBorders>
              <w:top w:val="nil"/>
              <w:left w:val="nil"/>
              <w:bottom w:val="nil"/>
              <w:right w:val="nil"/>
            </w:tcBorders>
          </w:tcPr>
          <w:p>
            <w:pPr>
              <w:pStyle w:val="TableParagraph"/>
              <w:ind w:left="276"/>
              <w:jc w:val="left"/>
              <w:rPr>
                <w:sz w:val="20"/>
              </w:rPr>
            </w:pPr>
            <w:r>
              <w:rPr>
                <w:sz w:val="20"/>
              </w:rPr>
              <w:t>0.00</w:t>
            </w:r>
          </w:p>
        </w:tc>
        <w:tc>
          <w:tcPr>
            <w:tcW w:w="845" w:type="dxa"/>
            <w:tcBorders>
              <w:top w:val="nil"/>
              <w:left w:val="nil"/>
              <w:bottom w:val="nil"/>
              <w:right w:val="nil"/>
            </w:tcBorders>
          </w:tcPr>
          <w:p>
            <w:pPr>
              <w:pStyle w:val="TableParagraph"/>
              <w:ind w:right="211"/>
              <w:rPr>
                <w:sz w:val="20"/>
              </w:rPr>
            </w:pPr>
            <w:r>
              <w:rPr>
                <w:sz w:val="20"/>
              </w:rPr>
              <w:t>0.00</w:t>
            </w:r>
          </w:p>
        </w:tc>
        <w:tc>
          <w:tcPr>
            <w:tcW w:w="780" w:type="dxa"/>
            <w:tcBorders>
              <w:top w:val="nil"/>
              <w:left w:val="nil"/>
              <w:bottom w:val="nil"/>
              <w:right w:val="nil"/>
            </w:tcBorders>
          </w:tcPr>
          <w:p>
            <w:pPr>
              <w:pStyle w:val="TableParagraph"/>
              <w:ind w:right="60"/>
              <w:rPr>
                <w:sz w:val="20"/>
              </w:rPr>
            </w:pPr>
            <w:r>
              <w:rPr>
                <w:sz w:val="20"/>
              </w:rPr>
              <w:t>0.00</w:t>
            </w:r>
          </w:p>
        </w:tc>
      </w:tr>
      <w:tr>
        <w:trPr>
          <w:trHeight w:val="300" w:hRule="exact"/>
        </w:trPr>
        <w:tc>
          <w:tcPr>
            <w:tcW w:w="1424" w:type="dxa"/>
            <w:tcBorders>
              <w:top w:val="nil"/>
              <w:left w:val="nil"/>
              <w:bottom w:val="nil"/>
              <w:right w:val="nil"/>
            </w:tcBorders>
          </w:tcPr>
          <w:p>
            <w:pPr>
              <w:pStyle w:val="TableParagraph"/>
              <w:spacing w:before="26"/>
              <w:ind w:left="86"/>
              <w:jc w:val="left"/>
              <w:rPr>
                <w:sz w:val="20"/>
              </w:rPr>
            </w:pPr>
            <w:r>
              <w:rPr>
                <w:sz w:val="20"/>
              </w:rPr>
              <w:t>TEJ_HlFp</w:t>
            </w:r>
          </w:p>
        </w:tc>
        <w:tc>
          <w:tcPr>
            <w:tcW w:w="681" w:type="dxa"/>
            <w:tcBorders>
              <w:top w:val="nil"/>
              <w:left w:val="nil"/>
              <w:bottom w:val="nil"/>
              <w:right w:val="nil"/>
            </w:tcBorders>
          </w:tcPr>
          <w:p>
            <w:pPr>
              <w:pStyle w:val="TableParagraph"/>
              <w:spacing w:before="26"/>
              <w:ind w:left="150"/>
              <w:jc w:val="left"/>
              <w:rPr>
                <w:sz w:val="20"/>
              </w:rPr>
            </w:pPr>
            <w:r>
              <w:rPr>
                <w:sz w:val="20"/>
              </w:rPr>
              <w:t>0.14</w:t>
            </w:r>
          </w:p>
        </w:tc>
        <w:tc>
          <w:tcPr>
            <w:tcW w:w="749" w:type="dxa"/>
            <w:tcBorders>
              <w:top w:val="nil"/>
              <w:left w:val="nil"/>
              <w:bottom w:val="nil"/>
              <w:right w:val="nil"/>
            </w:tcBorders>
          </w:tcPr>
          <w:p>
            <w:pPr>
              <w:pStyle w:val="TableParagraph"/>
              <w:spacing w:before="26"/>
              <w:ind w:left="175"/>
              <w:jc w:val="left"/>
              <w:rPr>
                <w:sz w:val="20"/>
              </w:rPr>
            </w:pPr>
            <w:r>
              <w:rPr>
                <w:sz w:val="20"/>
              </w:rPr>
              <w:t>0.14</w:t>
            </w:r>
          </w:p>
        </w:tc>
        <w:tc>
          <w:tcPr>
            <w:tcW w:w="850" w:type="dxa"/>
            <w:tcBorders>
              <w:top w:val="nil"/>
              <w:left w:val="nil"/>
              <w:bottom w:val="nil"/>
              <w:right w:val="nil"/>
            </w:tcBorders>
          </w:tcPr>
          <w:p>
            <w:pPr>
              <w:pStyle w:val="TableParagraph"/>
              <w:spacing w:before="26"/>
              <w:ind w:left="276"/>
              <w:jc w:val="left"/>
              <w:rPr>
                <w:sz w:val="20"/>
              </w:rPr>
            </w:pPr>
            <w:r>
              <w:rPr>
                <w:sz w:val="20"/>
              </w:rPr>
              <w:t>0.08</w:t>
            </w:r>
          </w:p>
        </w:tc>
        <w:tc>
          <w:tcPr>
            <w:tcW w:w="850" w:type="dxa"/>
            <w:tcBorders>
              <w:top w:val="nil"/>
              <w:left w:val="nil"/>
              <w:bottom w:val="nil"/>
              <w:right w:val="nil"/>
            </w:tcBorders>
          </w:tcPr>
          <w:p>
            <w:pPr>
              <w:pStyle w:val="TableParagraph"/>
              <w:spacing w:before="26"/>
              <w:ind w:left="276"/>
              <w:jc w:val="left"/>
              <w:rPr>
                <w:sz w:val="20"/>
              </w:rPr>
            </w:pPr>
            <w:r>
              <w:rPr>
                <w:sz w:val="20"/>
              </w:rPr>
              <w:t>0.08</w:t>
            </w:r>
          </w:p>
        </w:tc>
        <w:tc>
          <w:tcPr>
            <w:tcW w:w="852" w:type="dxa"/>
            <w:tcBorders>
              <w:top w:val="nil"/>
              <w:left w:val="nil"/>
              <w:bottom w:val="nil"/>
              <w:right w:val="nil"/>
            </w:tcBorders>
          </w:tcPr>
          <w:p>
            <w:pPr>
              <w:pStyle w:val="TableParagraph"/>
              <w:spacing w:before="26"/>
              <w:ind w:right="218"/>
              <w:rPr>
                <w:sz w:val="20"/>
              </w:rPr>
            </w:pPr>
            <w:r>
              <w:rPr>
                <w:sz w:val="20"/>
              </w:rPr>
              <w:t>0.13</w:t>
            </w:r>
          </w:p>
        </w:tc>
        <w:tc>
          <w:tcPr>
            <w:tcW w:w="852" w:type="dxa"/>
            <w:tcBorders>
              <w:top w:val="nil"/>
              <w:left w:val="nil"/>
              <w:bottom w:val="nil"/>
              <w:right w:val="nil"/>
            </w:tcBorders>
          </w:tcPr>
          <w:p>
            <w:pPr>
              <w:pStyle w:val="TableParagraph"/>
              <w:spacing w:before="26"/>
              <w:ind w:left="278"/>
              <w:jc w:val="left"/>
              <w:rPr>
                <w:sz w:val="20"/>
              </w:rPr>
            </w:pPr>
            <w:r>
              <w:rPr>
                <w:sz w:val="20"/>
              </w:rPr>
              <w:t>0.13</w:t>
            </w:r>
          </w:p>
        </w:tc>
        <w:tc>
          <w:tcPr>
            <w:tcW w:w="850" w:type="dxa"/>
            <w:tcBorders>
              <w:top w:val="nil"/>
              <w:left w:val="nil"/>
              <w:bottom w:val="nil"/>
              <w:right w:val="nil"/>
            </w:tcBorders>
          </w:tcPr>
          <w:p>
            <w:pPr>
              <w:pStyle w:val="TableParagraph"/>
              <w:spacing w:before="26"/>
              <w:ind w:left="276"/>
              <w:jc w:val="left"/>
              <w:rPr>
                <w:sz w:val="20"/>
              </w:rPr>
            </w:pPr>
            <w:r>
              <w:rPr>
                <w:sz w:val="20"/>
              </w:rPr>
              <w:t>0.13</w:t>
            </w:r>
          </w:p>
        </w:tc>
        <w:tc>
          <w:tcPr>
            <w:tcW w:w="850" w:type="dxa"/>
            <w:tcBorders>
              <w:top w:val="nil"/>
              <w:left w:val="nil"/>
              <w:bottom w:val="nil"/>
              <w:right w:val="nil"/>
            </w:tcBorders>
          </w:tcPr>
          <w:p>
            <w:pPr>
              <w:pStyle w:val="TableParagraph"/>
              <w:spacing w:before="26"/>
              <w:ind w:left="276"/>
              <w:jc w:val="left"/>
              <w:rPr>
                <w:sz w:val="20"/>
              </w:rPr>
            </w:pPr>
            <w:r>
              <w:rPr>
                <w:sz w:val="20"/>
              </w:rPr>
              <w:t>0.00</w:t>
            </w:r>
          </w:p>
        </w:tc>
        <w:tc>
          <w:tcPr>
            <w:tcW w:w="845" w:type="dxa"/>
            <w:tcBorders>
              <w:top w:val="nil"/>
              <w:left w:val="nil"/>
              <w:bottom w:val="nil"/>
              <w:right w:val="nil"/>
            </w:tcBorders>
          </w:tcPr>
          <w:p>
            <w:pPr>
              <w:pStyle w:val="TableParagraph"/>
              <w:spacing w:before="26"/>
              <w:ind w:right="211"/>
              <w:rPr>
                <w:sz w:val="20"/>
              </w:rPr>
            </w:pPr>
            <w:r>
              <w:rPr>
                <w:sz w:val="20"/>
              </w:rPr>
              <w:t>0.00</w:t>
            </w:r>
          </w:p>
        </w:tc>
        <w:tc>
          <w:tcPr>
            <w:tcW w:w="780" w:type="dxa"/>
            <w:tcBorders>
              <w:top w:val="nil"/>
              <w:left w:val="nil"/>
              <w:bottom w:val="nil"/>
              <w:right w:val="nil"/>
            </w:tcBorders>
          </w:tcPr>
          <w:p>
            <w:pPr>
              <w:pStyle w:val="TableParagraph"/>
              <w:spacing w:before="26"/>
              <w:ind w:right="60"/>
              <w:rPr>
                <w:sz w:val="20"/>
              </w:rPr>
            </w:pPr>
            <w:r>
              <w:rPr>
                <w:sz w:val="20"/>
              </w:rPr>
              <w:t>0.00</w:t>
            </w:r>
          </w:p>
        </w:tc>
      </w:tr>
      <w:tr>
        <w:trPr>
          <w:trHeight w:val="298" w:hRule="exact"/>
        </w:trPr>
        <w:tc>
          <w:tcPr>
            <w:tcW w:w="1424" w:type="dxa"/>
            <w:tcBorders>
              <w:top w:val="nil"/>
              <w:left w:val="nil"/>
              <w:bottom w:val="nil"/>
              <w:right w:val="nil"/>
            </w:tcBorders>
          </w:tcPr>
          <w:p>
            <w:pPr>
              <w:pStyle w:val="TableParagraph"/>
              <w:ind w:left="86"/>
              <w:jc w:val="left"/>
              <w:rPr>
                <w:sz w:val="20"/>
              </w:rPr>
            </w:pPr>
            <w:r>
              <w:rPr>
                <w:sz w:val="20"/>
              </w:rPr>
              <w:t>TEJ_HlSF</w:t>
            </w:r>
          </w:p>
        </w:tc>
        <w:tc>
          <w:tcPr>
            <w:tcW w:w="681" w:type="dxa"/>
            <w:tcBorders>
              <w:top w:val="nil"/>
              <w:left w:val="nil"/>
              <w:bottom w:val="nil"/>
              <w:right w:val="nil"/>
            </w:tcBorders>
          </w:tcPr>
          <w:p>
            <w:pPr>
              <w:pStyle w:val="TableParagraph"/>
              <w:ind w:left="150"/>
              <w:jc w:val="left"/>
              <w:rPr>
                <w:sz w:val="20"/>
              </w:rPr>
            </w:pPr>
            <w:r>
              <w:rPr>
                <w:sz w:val="20"/>
              </w:rPr>
              <w:t>0.14</w:t>
            </w:r>
          </w:p>
        </w:tc>
        <w:tc>
          <w:tcPr>
            <w:tcW w:w="749" w:type="dxa"/>
            <w:tcBorders>
              <w:top w:val="nil"/>
              <w:left w:val="nil"/>
              <w:bottom w:val="nil"/>
              <w:right w:val="nil"/>
            </w:tcBorders>
          </w:tcPr>
          <w:p>
            <w:pPr>
              <w:pStyle w:val="TableParagraph"/>
              <w:ind w:left="175"/>
              <w:jc w:val="left"/>
              <w:rPr>
                <w:sz w:val="20"/>
              </w:rPr>
            </w:pPr>
            <w:r>
              <w:rPr>
                <w:sz w:val="20"/>
              </w:rPr>
              <w:t>0.14</w:t>
            </w:r>
          </w:p>
        </w:tc>
        <w:tc>
          <w:tcPr>
            <w:tcW w:w="850" w:type="dxa"/>
            <w:tcBorders>
              <w:top w:val="nil"/>
              <w:left w:val="nil"/>
              <w:bottom w:val="nil"/>
              <w:right w:val="nil"/>
            </w:tcBorders>
          </w:tcPr>
          <w:p>
            <w:pPr>
              <w:pStyle w:val="TableParagraph"/>
              <w:ind w:left="276"/>
              <w:jc w:val="left"/>
              <w:rPr>
                <w:sz w:val="20"/>
              </w:rPr>
            </w:pPr>
            <w:r>
              <w:rPr>
                <w:sz w:val="20"/>
              </w:rPr>
              <w:t>0.14</w:t>
            </w:r>
          </w:p>
        </w:tc>
        <w:tc>
          <w:tcPr>
            <w:tcW w:w="850" w:type="dxa"/>
            <w:tcBorders>
              <w:top w:val="nil"/>
              <w:left w:val="nil"/>
              <w:bottom w:val="nil"/>
              <w:right w:val="nil"/>
            </w:tcBorders>
          </w:tcPr>
          <w:p>
            <w:pPr>
              <w:pStyle w:val="TableParagraph"/>
              <w:ind w:left="276"/>
              <w:jc w:val="left"/>
              <w:rPr>
                <w:sz w:val="20"/>
              </w:rPr>
            </w:pPr>
            <w:r>
              <w:rPr>
                <w:sz w:val="20"/>
              </w:rPr>
              <w:t>0.13</w:t>
            </w:r>
          </w:p>
        </w:tc>
        <w:tc>
          <w:tcPr>
            <w:tcW w:w="852" w:type="dxa"/>
            <w:tcBorders>
              <w:top w:val="nil"/>
              <w:left w:val="nil"/>
              <w:bottom w:val="nil"/>
              <w:right w:val="nil"/>
            </w:tcBorders>
          </w:tcPr>
          <w:p>
            <w:pPr>
              <w:pStyle w:val="TableParagraph"/>
              <w:ind w:right="218"/>
              <w:rPr>
                <w:sz w:val="20"/>
              </w:rPr>
            </w:pPr>
            <w:r>
              <w:rPr>
                <w:sz w:val="20"/>
              </w:rPr>
              <w:t>0.13</w:t>
            </w:r>
          </w:p>
        </w:tc>
        <w:tc>
          <w:tcPr>
            <w:tcW w:w="852" w:type="dxa"/>
            <w:tcBorders>
              <w:top w:val="nil"/>
              <w:left w:val="nil"/>
              <w:bottom w:val="nil"/>
              <w:right w:val="nil"/>
            </w:tcBorders>
          </w:tcPr>
          <w:p>
            <w:pPr>
              <w:pStyle w:val="TableParagraph"/>
              <w:ind w:left="278"/>
              <w:jc w:val="left"/>
              <w:rPr>
                <w:sz w:val="20"/>
              </w:rPr>
            </w:pPr>
            <w:r>
              <w:rPr>
                <w:sz w:val="20"/>
              </w:rPr>
              <w:t>0.13</w:t>
            </w:r>
          </w:p>
        </w:tc>
        <w:tc>
          <w:tcPr>
            <w:tcW w:w="850" w:type="dxa"/>
            <w:tcBorders>
              <w:top w:val="nil"/>
              <w:left w:val="nil"/>
              <w:bottom w:val="nil"/>
              <w:right w:val="nil"/>
            </w:tcBorders>
          </w:tcPr>
          <w:p>
            <w:pPr>
              <w:pStyle w:val="TableParagraph"/>
              <w:ind w:left="276"/>
              <w:jc w:val="left"/>
              <w:rPr>
                <w:sz w:val="20"/>
              </w:rPr>
            </w:pPr>
            <w:r>
              <w:rPr>
                <w:sz w:val="20"/>
              </w:rPr>
              <w:t>0.13</w:t>
            </w:r>
          </w:p>
        </w:tc>
        <w:tc>
          <w:tcPr>
            <w:tcW w:w="850" w:type="dxa"/>
            <w:tcBorders>
              <w:top w:val="nil"/>
              <w:left w:val="nil"/>
              <w:bottom w:val="nil"/>
              <w:right w:val="nil"/>
            </w:tcBorders>
          </w:tcPr>
          <w:p>
            <w:pPr>
              <w:pStyle w:val="TableParagraph"/>
              <w:ind w:left="276"/>
              <w:jc w:val="left"/>
              <w:rPr>
                <w:sz w:val="20"/>
              </w:rPr>
            </w:pPr>
            <w:r>
              <w:rPr>
                <w:sz w:val="20"/>
              </w:rPr>
              <w:t>0.00</w:t>
            </w:r>
          </w:p>
        </w:tc>
        <w:tc>
          <w:tcPr>
            <w:tcW w:w="845" w:type="dxa"/>
            <w:tcBorders>
              <w:top w:val="nil"/>
              <w:left w:val="nil"/>
              <w:bottom w:val="nil"/>
              <w:right w:val="nil"/>
            </w:tcBorders>
          </w:tcPr>
          <w:p>
            <w:pPr>
              <w:pStyle w:val="TableParagraph"/>
              <w:ind w:right="211"/>
              <w:rPr>
                <w:sz w:val="20"/>
              </w:rPr>
            </w:pPr>
            <w:r>
              <w:rPr>
                <w:sz w:val="20"/>
              </w:rPr>
              <w:t>0.00</w:t>
            </w:r>
          </w:p>
        </w:tc>
        <w:tc>
          <w:tcPr>
            <w:tcW w:w="780" w:type="dxa"/>
            <w:tcBorders>
              <w:top w:val="nil"/>
              <w:left w:val="nil"/>
              <w:bottom w:val="nil"/>
              <w:right w:val="nil"/>
            </w:tcBorders>
          </w:tcPr>
          <w:p>
            <w:pPr>
              <w:pStyle w:val="TableParagraph"/>
              <w:ind w:right="60"/>
              <w:rPr>
                <w:sz w:val="20"/>
              </w:rPr>
            </w:pPr>
            <w:r>
              <w:rPr>
                <w:sz w:val="20"/>
              </w:rPr>
              <w:t>0.00</w:t>
            </w:r>
          </w:p>
        </w:tc>
      </w:tr>
      <w:tr>
        <w:trPr>
          <w:trHeight w:val="300" w:hRule="exact"/>
        </w:trPr>
        <w:tc>
          <w:tcPr>
            <w:tcW w:w="1424" w:type="dxa"/>
            <w:tcBorders>
              <w:top w:val="nil"/>
              <w:left w:val="nil"/>
              <w:bottom w:val="nil"/>
              <w:right w:val="nil"/>
            </w:tcBorders>
          </w:tcPr>
          <w:p>
            <w:pPr>
              <w:pStyle w:val="TableParagraph"/>
              <w:ind w:left="86"/>
              <w:jc w:val="left"/>
              <w:rPr>
                <w:sz w:val="20"/>
              </w:rPr>
            </w:pPr>
            <w:r>
              <w:rPr>
                <w:sz w:val="20"/>
              </w:rPr>
              <w:t>TEJ_ISF</w:t>
            </w:r>
          </w:p>
        </w:tc>
        <w:tc>
          <w:tcPr>
            <w:tcW w:w="681" w:type="dxa"/>
            <w:tcBorders>
              <w:top w:val="nil"/>
              <w:left w:val="nil"/>
              <w:bottom w:val="nil"/>
              <w:right w:val="nil"/>
            </w:tcBorders>
          </w:tcPr>
          <w:p>
            <w:pPr>
              <w:pStyle w:val="TableParagraph"/>
              <w:ind w:left="150"/>
              <w:jc w:val="left"/>
              <w:rPr>
                <w:sz w:val="20"/>
              </w:rPr>
            </w:pPr>
            <w:r>
              <w:rPr>
                <w:sz w:val="20"/>
              </w:rPr>
              <w:t>0.14</w:t>
            </w:r>
          </w:p>
        </w:tc>
        <w:tc>
          <w:tcPr>
            <w:tcW w:w="749" w:type="dxa"/>
            <w:tcBorders>
              <w:top w:val="nil"/>
              <w:left w:val="nil"/>
              <w:bottom w:val="nil"/>
              <w:right w:val="nil"/>
            </w:tcBorders>
          </w:tcPr>
          <w:p>
            <w:pPr>
              <w:pStyle w:val="TableParagraph"/>
              <w:ind w:left="175"/>
              <w:jc w:val="left"/>
              <w:rPr>
                <w:sz w:val="20"/>
              </w:rPr>
            </w:pPr>
            <w:r>
              <w:rPr>
                <w:sz w:val="20"/>
              </w:rPr>
              <w:t>0.14</w:t>
            </w:r>
          </w:p>
        </w:tc>
        <w:tc>
          <w:tcPr>
            <w:tcW w:w="850" w:type="dxa"/>
            <w:tcBorders>
              <w:top w:val="nil"/>
              <w:left w:val="nil"/>
              <w:bottom w:val="nil"/>
              <w:right w:val="nil"/>
            </w:tcBorders>
          </w:tcPr>
          <w:p>
            <w:pPr>
              <w:pStyle w:val="TableParagraph"/>
              <w:ind w:left="276"/>
              <w:jc w:val="left"/>
              <w:rPr>
                <w:sz w:val="20"/>
              </w:rPr>
            </w:pPr>
            <w:r>
              <w:rPr>
                <w:sz w:val="20"/>
              </w:rPr>
              <w:t>0.13</w:t>
            </w:r>
          </w:p>
        </w:tc>
        <w:tc>
          <w:tcPr>
            <w:tcW w:w="850" w:type="dxa"/>
            <w:tcBorders>
              <w:top w:val="nil"/>
              <w:left w:val="nil"/>
              <w:bottom w:val="nil"/>
              <w:right w:val="nil"/>
            </w:tcBorders>
          </w:tcPr>
          <w:p>
            <w:pPr>
              <w:pStyle w:val="TableParagraph"/>
              <w:ind w:left="276"/>
              <w:jc w:val="left"/>
              <w:rPr>
                <w:sz w:val="20"/>
              </w:rPr>
            </w:pPr>
            <w:r>
              <w:rPr>
                <w:sz w:val="20"/>
              </w:rPr>
              <w:t>0.13</w:t>
            </w:r>
          </w:p>
        </w:tc>
        <w:tc>
          <w:tcPr>
            <w:tcW w:w="852" w:type="dxa"/>
            <w:tcBorders>
              <w:top w:val="nil"/>
              <w:left w:val="nil"/>
              <w:bottom w:val="nil"/>
              <w:right w:val="nil"/>
            </w:tcBorders>
          </w:tcPr>
          <w:p>
            <w:pPr>
              <w:pStyle w:val="TableParagraph"/>
              <w:ind w:right="218"/>
              <w:rPr>
                <w:sz w:val="20"/>
              </w:rPr>
            </w:pPr>
            <w:r>
              <w:rPr>
                <w:sz w:val="20"/>
              </w:rPr>
              <w:t>0.13</w:t>
            </w:r>
          </w:p>
        </w:tc>
        <w:tc>
          <w:tcPr>
            <w:tcW w:w="852" w:type="dxa"/>
            <w:tcBorders>
              <w:top w:val="nil"/>
              <w:left w:val="nil"/>
              <w:bottom w:val="nil"/>
              <w:right w:val="nil"/>
            </w:tcBorders>
          </w:tcPr>
          <w:p>
            <w:pPr>
              <w:pStyle w:val="TableParagraph"/>
              <w:ind w:left="278"/>
              <w:jc w:val="left"/>
              <w:rPr>
                <w:sz w:val="20"/>
              </w:rPr>
            </w:pPr>
            <w:r>
              <w:rPr>
                <w:sz w:val="20"/>
              </w:rPr>
              <w:t>0.13</w:t>
            </w:r>
          </w:p>
        </w:tc>
        <w:tc>
          <w:tcPr>
            <w:tcW w:w="850" w:type="dxa"/>
            <w:tcBorders>
              <w:top w:val="nil"/>
              <w:left w:val="nil"/>
              <w:bottom w:val="nil"/>
              <w:right w:val="nil"/>
            </w:tcBorders>
          </w:tcPr>
          <w:p>
            <w:pPr>
              <w:pStyle w:val="TableParagraph"/>
              <w:ind w:left="276"/>
              <w:jc w:val="left"/>
              <w:rPr>
                <w:sz w:val="20"/>
              </w:rPr>
            </w:pPr>
            <w:r>
              <w:rPr>
                <w:sz w:val="20"/>
              </w:rPr>
              <w:t>0.13</w:t>
            </w:r>
          </w:p>
        </w:tc>
        <w:tc>
          <w:tcPr>
            <w:tcW w:w="850" w:type="dxa"/>
            <w:tcBorders>
              <w:top w:val="nil"/>
              <w:left w:val="nil"/>
              <w:bottom w:val="nil"/>
              <w:right w:val="nil"/>
            </w:tcBorders>
          </w:tcPr>
          <w:p>
            <w:pPr>
              <w:pStyle w:val="TableParagraph"/>
              <w:ind w:left="276"/>
              <w:jc w:val="left"/>
              <w:rPr>
                <w:sz w:val="20"/>
              </w:rPr>
            </w:pPr>
            <w:r>
              <w:rPr>
                <w:sz w:val="20"/>
              </w:rPr>
              <w:t>0.00</w:t>
            </w:r>
          </w:p>
        </w:tc>
        <w:tc>
          <w:tcPr>
            <w:tcW w:w="845" w:type="dxa"/>
            <w:tcBorders>
              <w:top w:val="nil"/>
              <w:left w:val="nil"/>
              <w:bottom w:val="nil"/>
              <w:right w:val="nil"/>
            </w:tcBorders>
          </w:tcPr>
          <w:p>
            <w:pPr>
              <w:pStyle w:val="TableParagraph"/>
              <w:ind w:right="211"/>
              <w:rPr>
                <w:sz w:val="20"/>
              </w:rPr>
            </w:pPr>
            <w:r>
              <w:rPr>
                <w:sz w:val="20"/>
              </w:rPr>
              <w:t>0.00</w:t>
            </w:r>
          </w:p>
        </w:tc>
        <w:tc>
          <w:tcPr>
            <w:tcW w:w="780" w:type="dxa"/>
            <w:tcBorders>
              <w:top w:val="nil"/>
              <w:left w:val="nil"/>
              <w:bottom w:val="nil"/>
              <w:right w:val="nil"/>
            </w:tcBorders>
          </w:tcPr>
          <w:p>
            <w:pPr>
              <w:pStyle w:val="TableParagraph"/>
              <w:ind w:right="60"/>
              <w:rPr>
                <w:sz w:val="20"/>
              </w:rPr>
            </w:pPr>
            <w:r>
              <w:rPr>
                <w:sz w:val="20"/>
              </w:rPr>
              <w:t>0.00</w:t>
            </w:r>
          </w:p>
        </w:tc>
      </w:tr>
      <w:tr>
        <w:trPr>
          <w:trHeight w:val="300" w:hRule="exact"/>
        </w:trPr>
        <w:tc>
          <w:tcPr>
            <w:tcW w:w="1424" w:type="dxa"/>
            <w:tcBorders>
              <w:top w:val="nil"/>
              <w:left w:val="nil"/>
              <w:bottom w:val="nil"/>
              <w:right w:val="nil"/>
            </w:tcBorders>
          </w:tcPr>
          <w:p>
            <w:pPr>
              <w:pStyle w:val="TableParagraph"/>
              <w:spacing w:before="26"/>
              <w:ind w:left="86"/>
              <w:jc w:val="left"/>
              <w:rPr>
                <w:sz w:val="20"/>
              </w:rPr>
            </w:pPr>
            <w:r>
              <w:rPr>
                <w:sz w:val="20"/>
              </w:rPr>
              <w:t>TEJ_LcFdp</w:t>
            </w:r>
          </w:p>
        </w:tc>
        <w:tc>
          <w:tcPr>
            <w:tcW w:w="681" w:type="dxa"/>
            <w:tcBorders>
              <w:top w:val="nil"/>
              <w:left w:val="nil"/>
              <w:bottom w:val="nil"/>
              <w:right w:val="nil"/>
            </w:tcBorders>
          </w:tcPr>
          <w:p>
            <w:pPr>
              <w:pStyle w:val="TableParagraph"/>
              <w:spacing w:before="26"/>
              <w:ind w:left="150"/>
              <w:jc w:val="left"/>
              <w:rPr>
                <w:sz w:val="20"/>
              </w:rPr>
            </w:pPr>
            <w:r>
              <w:rPr>
                <w:sz w:val="20"/>
              </w:rPr>
              <w:t>0.13</w:t>
            </w:r>
          </w:p>
        </w:tc>
        <w:tc>
          <w:tcPr>
            <w:tcW w:w="749" w:type="dxa"/>
            <w:tcBorders>
              <w:top w:val="nil"/>
              <w:left w:val="nil"/>
              <w:bottom w:val="nil"/>
              <w:right w:val="nil"/>
            </w:tcBorders>
          </w:tcPr>
          <w:p>
            <w:pPr>
              <w:pStyle w:val="TableParagraph"/>
              <w:spacing w:before="26"/>
              <w:ind w:left="175"/>
              <w:jc w:val="left"/>
              <w:rPr>
                <w:sz w:val="20"/>
              </w:rPr>
            </w:pPr>
            <w:r>
              <w:rPr>
                <w:sz w:val="20"/>
              </w:rPr>
              <w:t>0.08</w:t>
            </w:r>
          </w:p>
        </w:tc>
        <w:tc>
          <w:tcPr>
            <w:tcW w:w="850" w:type="dxa"/>
            <w:tcBorders>
              <w:top w:val="nil"/>
              <w:left w:val="nil"/>
              <w:bottom w:val="nil"/>
              <w:right w:val="nil"/>
            </w:tcBorders>
          </w:tcPr>
          <w:p>
            <w:pPr>
              <w:pStyle w:val="TableParagraph"/>
              <w:spacing w:before="26"/>
              <w:ind w:left="276"/>
              <w:jc w:val="left"/>
              <w:rPr>
                <w:sz w:val="20"/>
              </w:rPr>
            </w:pPr>
            <w:r>
              <w:rPr>
                <w:sz w:val="20"/>
              </w:rPr>
              <w:t>0.08</w:t>
            </w:r>
          </w:p>
        </w:tc>
        <w:tc>
          <w:tcPr>
            <w:tcW w:w="850" w:type="dxa"/>
            <w:tcBorders>
              <w:top w:val="nil"/>
              <w:left w:val="nil"/>
              <w:bottom w:val="nil"/>
              <w:right w:val="nil"/>
            </w:tcBorders>
          </w:tcPr>
          <w:p>
            <w:pPr>
              <w:pStyle w:val="TableParagraph"/>
              <w:spacing w:before="26"/>
              <w:ind w:left="276"/>
              <w:jc w:val="left"/>
              <w:rPr>
                <w:sz w:val="20"/>
              </w:rPr>
            </w:pPr>
            <w:r>
              <w:rPr>
                <w:sz w:val="20"/>
              </w:rPr>
              <w:t>0.08</w:t>
            </w:r>
          </w:p>
        </w:tc>
        <w:tc>
          <w:tcPr>
            <w:tcW w:w="852" w:type="dxa"/>
            <w:tcBorders>
              <w:top w:val="nil"/>
              <w:left w:val="nil"/>
              <w:bottom w:val="nil"/>
              <w:right w:val="nil"/>
            </w:tcBorders>
          </w:tcPr>
          <w:p>
            <w:pPr>
              <w:pStyle w:val="TableParagraph"/>
              <w:spacing w:before="26"/>
              <w:ind w:right="218"/>
              <w:rPr>
                <w:sz w:val="20"/>
              </w:rPr>
            </w:pPr>
            <w:r>
              <w:rPr>
                <w:sz w:val="20"/>
              </w:rPr>
              <w:t>0.08</w:t>
            </w:r>
          </w:p>
        </w:tc>
        <w:tc>
          <w:tcPr>
            <w:tcW w:w="852" w:type="dxa"/>
            <w:tcBorders>
              <w:top w:val="nil"/>
              <w:left w:val="nil"/>
              <w:bottom w:val="nil"/>
              <w:right w:val="nil"/>
            </w:tcBorders>
          </w:tcPr>
          <w:p>
            <w:pPr>
              <w:pStyle w:val="TableParagraph"/>
              <w:spacing w:before="26"/>
              <w:ind w:left="278"/>
              <w:jc w:val="left"/>
              <w:rPr>
                <w:sz w:val="20"/>
              </w:rPr>
            </w:pPr>
            <w:r>
              <w:rPr>
                <w:sz w:val="20"/>
              </w:rPr>
              <w:t>0.08</w:t>
            </w:r>
          </w:p>
        </w:tc>
        <w:tc>
          <w:tcPr>
            <w:tcW w:w="850" w:type="dxa"/>
            <w:tcBorders>
              <w:top w:val="nil"/>
              <w:left w:val="nil"/>
              <w:bottom w:val="nil"/>
              <w:right w:val="nil"/>
            </w:tcBorders>
          </w:tcPr>
          <w:p>
            <w:pPr>
              <w:pStyle w:val="TableParagraph"/>
              <w:spacing w:before="26"/>
              <w:ind w:left="276"/>
              <w:jc w:val="left"/>
              <w:rPr>
                <w:sz w:val="20"/>
              </w:rPr>
            </w:pPr>
            <w:r>
              <w:rPr>
                <w:sz w:val="20"/>
              </w:rPr>
              <w:t>0.08</w:t>
            </w:r>
          </w:p>
        </w:tc>
        <w:tc>
          <w:tcPr>
            <w:tcW w:w="850" w:type="dxa"/>
            <w:tcBorders>
              <w:top w:val="nil"/>
              <w:left w:val="nil"/>
              <w:bottom w:val="nil"/>
              <w:right w:val="nil"/>
            </w:tcBorders>
          </w:tcPr>
          <w:p>
            <w:pPr>
              <w:pStyle w:val="TableParagraph"/>
              <w:spacing w:before="26"/>
              <w:ind w:left="276"/>
              <w:jc w:val="left"/>
              <w:rPr>
                <w:sz w:val="20"/>
              </w:rPr>
            </w:pPr>
            <w:r>
              <w:rPr>
                <w:sz w:val="20"/>
              </w:rPr>
              <w:t>0.00</w:t>
            </w:r>
          </w:p>
        </w:tc>
        <w:tc>
          <w:tcPr>
            <w:tcW w:w="845" w:type="dxa"/>
            <w:tcBorders>
              <w:top w:val="nil"/>
              <w:left w:val="nil"/>
              <w:bottom w:val="nil"/>
              <w:right w:val="nil"/>
            </w:tcBorders>
          </w:tcPr>
          <w:p>
            <w:pPr>
              <w:pStyle w:val="TableParagraph"/>
              <w:spacing w:before="26"/>
              <w:ind w:right="211"/>
              <w:rPr>
                <w:sz w:val="20"/>
              </w:rPr>
            </w:pPr>
            <w:r>
              <w:rPr>
                <w:sz w:val="20"/>
              </w:rPr>
              <w:t>0.00</w:t>
            </w:r>
          </w:p>
        </w:tc>
        <w:tc>
          <w:tcPr>
            <w:tcW w:w="780" w:type="dxa"/>
            <w:tcBorders>
              <w:top w:val="nil"/>
              <w:left w:val="nil"/>
              <w:bottom w:val="nil"/>
              <w:right w:val="nil"/>
            </w:tcBorders>
          </w:tcPr>
          <w:p>
            <w:pPr>
              <w:pStyle w:val="TableParagraph"/>
              <w:spacing w:before="26"/>
              <w:ind w:right="60"/>
              <w:rPr>
                <w:sz w:val="20"/>
              </w:rPr>
            </w:pPr>
            <w:r>
              <w:rPr>
                <w:sz w:val="20"/>
              </w:rPr>
              <w:t>0.00</w:t>
            </w:r>
          </w:p>
        </w:tc>
      </w:tr>
      <w:tr>
        <w:trPr>
          <w:trHeight w:val="298" w:hRule="exact"/>
        </w:trPr>
        <w:tc>
          <w:tcPr>
            <w:tcW w:w="1424" w:type="dxa"/>
            <w:tcBorders>
              <w:top w:val="nil"/>
              <w:left w:val="nil"/>
              <w:bottom w:val="nil"/>
              <w:right w:val="nil"/>
            </w:tcBorders>
          </w:tcPr>
          <w:p>
            <w:pPr>
              <w:pStyle w:val="TableParagraph"/>
              <w:ind w:left="86"/>
              <w:jc w:val="left"/>
              <w:rPr>
                <w:sz w:val="20"/>
              </w:rPr>
            </w:pPr>
            <w:r>
              <w:rPr>
                <w:sz w:val="20"/>
              </w:rPr>
              <w:t>TEJ_LcFl</w:t>
            </w:r>
          </w:p>
        </w:tc>
        <w:tc>
          <w:tcPr>
            <w:tcW w:w="681" w:type="dxa"/>
            <w:tcBorders>
              <w:top w:val="nil"/>
              <w:left w:val="nil"/>
              <w:bottom w:val="nil"/>
              <w:right w:val="nil"/>
            </w:tcBorders>
          </w:tcPr>
          <w:p>
            <w:pPr>
              <w:pStyle w:val="TableParagraph"/>
              <w:ind w:left="150"/>
              <w:jc w:val="left"/>
              <w:rPr>
                <w:sz w:val="20"/>
              </w:rPr>
            </w:pPr>
            <w:r>
              <w:rPr>
                <w:sz w:val="20"/>
              </w:rPr>
              <w:t>0.08</w:t>
            </w:r>
          </w:p>
        </w:tc>
        <w:tc>
          <w:tcPr>
            <w:tcW w:w="749" w:type="dxa"/>
            <w:tcBorders>
              <w:top w:val="nil"/>
              <w:left w:val="nil"/>
              <w:bottom w:val="nil"/>
              <w:right w:val="nil"/>
            </w:tcBorders>
          </w:tcPr>
          <w:p>
            <w:pPr>
              <w:pStyle w:val="TableParagraph"/>
              <w:ind w:left="175"/>
              <w:jc w:val="left"/>
              <w:rPr>
                <w:sz w:val="20"/>
              </w:rPr>
            </w:pPr>
            <w:r>
              <w:rPr>
                <w:sz w:val="20"/>
              </w:rPr>
              <w:t>0.08</w:t>
            </w:r>
          </w:p>
        </w:tc>
        <w:tc>
          <w:tcPr>
            <w:tcW w:w="850" w:type="dxa"/>
            <w:tcBorders>
              <w:top w:val="nil"/>
              <w:left w:val="nil"/>
              <w:bottom w:val="nil"/>
              <w:right w:val="nil"/>
            </w:tcBorders>
          </w:tcPr>
          <w:p>
            <w:pPr>
              <w:pStyle w:val="TableParagraph"/>
              <w:ind w:left="276"/>
              <w:jc w:val="left"/>
              <w:rPr>
                <w:sz w:val="20"/>
              </w:rPr>
            </w:pPr>
            <w:r>
              <w:rPr>
                <w:sz w:val="20"/>
              </w:rPr>
              <w:t>0.08</w:t>
            </w:r>
          </w:p>
        </w:tc>
        <w:tc>
          <w:tcPr>
            <w:tcW w:w="850" w:type="dxa"/>
            <w:tcBorders>
              <w:top w:val="nil"/>
              <w:left w:val="nil"/>
              <w:bottom w:val="nil"/>
              <w:right w:val="nil"/>
            </w:tcBorders>
          </w:tcPr>
          <w:p>
            <w:pPr>
              <w:pStyle w:val="TableParagraph"/>
              <w:ind w:left="276"/>
              <w:jc w:val="left"/>
              <w:rPr>
                <w:sz w:val="20"/>
              </w:rPr>
            </w:pPr>
            <w:r>
              <w:rPr>
                <w:sz w:val="20"/>
              </w:rPr>
              <w:t>0.08</w:t>
            </w:r>
          </w:p>
        </w:tc>
        <w:tc>
          <w:tcPr>
            <w:tcW w:w="852" w:type="dxa"/>
            <w:tcBorders>
              <w:top w:val="nil"/>
              <w:left w:val="nil"/>
              <w:bottom w:val="nil"/>
              <w:right w:val="nil"/>
            </w:tcBorders>
          </w:tcPr>
          <w:p>
            <w:pPr>
              <w:pStyle w:val="TableParagraph"/>
              <w:ind w:right="218"/>
              <w:rPr>
                <w:sz w:val="20"/>
              </w:rPr>
            </w:pPr>
            <w:r>
              <w:rPr>
                <w:sz w:val="20"/>
              </w:rPr>
              <w:t>0.08</w:t>
            </w:r>
          </w:p>
        </w:tc>
        <w:tc>
          <w:tcPr>
            <w:tcW w:w="852" w:type="dxa"/>
            <w:tcBorders>
              <w:top w:val="nil"/>
              <w:left w:val="nil"/>
              <w:bottom w:val="nil"/>
              <w:right w:val="nil"/>
            </w:tcBorders>
          </w:tcPr>
          <w:p>
            <w:pPr>
              <w:pStyle w:val="TableParagraph"/>
              <w:ind w:left="278"/>
              <w:jc w:val="left"/>
              <w:rPr>
                <w:sz w:val="20"/>
              </w:rPr>
            </w:pPr>
            <w:r>
              <w:rPr>
                <w:sz w:val="20"/>
              </w:rPr>
              <w:t>0.13</w:t>
            </w:r>
          </w:p>
        </w:tc>
        <w:tc>
          <w:tcPr>
            <w:tcW w:w="850" w:type="dxa"/>
            <w:tcBorders>
              <w:top w:val="nil"/>
              <w:left w:val="nil"/>
              <w:bottom w:val="nil"/>
              <w:right w:val="nil"/>
            </w:tcBorders>
          </w:tcPr>
          <w:p>
            <w:pPr>
              <w:pStyle w:val="TableParagraph"/>
              <w:ind w:left="276"/>
              <w:jc w:val="left"/>
              <w:rPr>
                <w:sz w:val="20"/>
              </w:rPr>
            </w:pPr>
            <w:r>
              <w:rPr>
                <w:sz w:val="20"/>
              </w:rPr>
              <w:t>0.13</w:t>
            </w:r>
          </w:p>
        </w:tc>
        <w:tc>
          <w:tcPr>
            <w:tcW w:w="850" w:type="dxa"/>
            <w:tcBorders>
              <w:top w:val="nil"/>
              <w:left w:val="nil"/>
              <w:bottom w:val="nil"/>
              <w:right w:val="nil"/>
            </w:tcBorders>
          </w:tcPr>
          <w:p>
            <w:pPr>
              <w:pStyle w:val="TableParagraph"/>
              <w:ind w:left="276"/>
              <w:jc w:val="left"/>
              <w:rPr>
                <w:sz w:val="20"/>
              </w:rPr>
            </w:pPr>
            <w:r>
              <w:rPr>
                <w:sz w:val="20"/>
              </w:rPr>
              <w:t>0.00</w:t>
            </w:r>
          </w:p>
        </w:tc>
        <w:tc>
          <w:tcPr>
            <w:tcW w:w="845" w:type="dxa"/>
            <w:tcBorders>
              <w:top w:val="nil"/>
              <w:left w:val="nil"/>
              <w:bottom w:val="nil"/>
              <w:right w:val="nil"/>
            </w:tcBorders>
          </w:tcPr>
          <w:p>
            <w:pPr>
              <w:pStyle w:val="TableParagraph"/>
              <w:ind w:right="211"/>
              <w:rPr>
                <w:sz w:val="20"/>
              </w:rPr>
            </w:pPr>
            <w:r>
              <w:rPr>
                <w:sz w:val="20"/>
              </w:rPr>
              <w:t>0.00</w:t>
            </w:r>
          </w:p>
        </w:tc>
        <w:tc>
          <w:tcPr>
            <w:tcW w:w="780" w:type="dxa"/>
            <w:tcBorders>
              <w:top w:val="nil"/>
              <w:left w:val="nil"/>
              <w:bottom w:val="nil"/>
              <w:right w:val="nil"/>
            </w:tcBorders>
          </w:tcPr>
          <w:p>
            <w:pPr>
              <w:pStyle w:val="TableParagraph"/>
              <w:ind w:right="60"/>
              <w:rPr>
                <w:sz w:val="20"/>
              </w:rPr>
            </w:pPr>
            <w:r>
              <w:rPr>
                <w:sz w:val="20"/>
              </w:rPr>
              <w:t>0.00</w:t>
            </w:r>
          </w:p>
        </w:tc>
      </w:tr>
      <w:tr>
        <w:trPr>
          <w:trHeight w:val="298" w:hRule="exact"/>
        </w:trPr>
        <w:tc>
          <w:tcPr>
            <w:tcW w:w="1424" w:type="dxa"/>
            <w:tcBorders>
              <w:top w:val="nil"/>
              <w:left w:val="nil"/>
              <w:bottom w:val="nil"/>
              <w:right w:val="nil"/>
            </w:tcBorders>
          </w:tcPr>
          <w:p>
            <w:pPr>
              <w:pStyle w:val="TableParagraph"/>
              <w:ind w:left="86"/>
              <w:jc w:val="left"/>
              <w:rPr>
                <w:sz w:val="20"/>
              </w:rPr>
            </w:pPr>
            <w:r>
              <w:rPr>
                <w:sz w:val="20"/>
              </w:rPr>
              <w:t>TEJ_LcFlp</w:t>
            </w:r>
          </w:p>
        </w:tc>
        <w:tc>
          <w:tcPr>
            <w:tcW w:w="681" w:type="dxa"/>
            <w:tcBorders>
              <w:top w:val="nil"/>
              <w:left w:val="nil"/>
              <w:bottom w:val="nil"/>
              <w:right w:val="nil"/>
            </w:tcBorders>
          </w:tcPr>
          <w:p>
            <w:pPr>
              <w:pStyle w:val="TableParagraph"/>
              <w:ind w:left="150"/>
              <w:jc w:val="left"/>
              <w:rPr>
                <w:sz w:val="20"/>
              </w:rPr>
            </w:pPr>
            <w:r>
              <w:rPr>
                <w:sz w:val="20"/>
              </w:rPr>
              <w:t>0.14</w:t>
            </w:r>
          </w:p>
        </w:tc>
        <w:tc>
          <w:tcPr>
            <w:tcW w:w="749" w:type="dxa"/>
            <w:tcBorders>
              <w:top w:val="nil"/>
              <w:left w:val="nil"/>
              <w:bottom w:val="nil"/>
              <w:right w:val="nil"/>
            </w:tcBorders>
          </w:tcPr>
          <w:p>
            <w:pPr>
              <w:pStyle w:val="TableParagraph"/>
              <w:ind w:left="175"/>
              <w:jc w:val="left"/>
              <w:rPr>
                <w:sz w:val="20"/>
              </w:rPr>
            </w:pPr>
            <w:r>
              <w:rPr>
                <w:sz w:val="20"/>
              </w:rPr>
              <w:t>0.13</w:t>
            </w:r>
          </w:p>
        </w:tc>
        <w:tc>
          <w:tcPr>
            <w:tcW w:w="850" w:type="dxa"/>
            <w:tcBorders>
              <w:top w:val="nil"/>
              <w:left w:val="nil"/>
              <w:bottom w:val="nil"/>
              <w:right w:val="nil"/>
            </w:tcBorders>
          </w:tcPr>
          <w:p>
            <w:pPr>
              <w:pStyle w:val="TableParagraph"/>
              <w:ind w:left="276"/>
              <w:jc w:val="left"/>
              <w:rPr>
                <w:sz w:val="20"/>
              </w:rPr>
            </w:pPr>
            <w:r>
              <w:rPr>
                <w:sz w:val="20"/>
              </w:rPr>
              <w:t>0.13</w:t>
            </w:r>
          </w:p>
        </w:tc>
        <w:tc>
          <w:tcPr>
            <w:tcW w:w="850" w:type="dxa"/>
            <w:tcBorders>
              <w:top w:val="nil"/>
              <w:left w:val="nil"/>
              <w:bottom w:val="nil"/>
              <w:right w:val="nil"/>
            </w:tcBorders>
          </w:tcPr>
          <w:p>
            <w:pPr>
              <w:pStyle w:val="TableParagraph"/>
              <w:ind w:left="276"/>
              <w:jc w:val="left"/>
              <w:rPr>
                <w:sz w:val="20"/>
              </w:rPr>
            </w:pPr>
            <w:r>
              <w:rPr>
                <w:sz w:val="20"/>
              </w:rPr>
              <w:t>0.08</w:t>
            </w:r>
          </w:p>
        </w:tc>
        <w:tc>
          <w:tcPr>
            <w:tcW w:w="852" w:type="dxa"/>
            <w:tcBorders>
              <w:top w:val="nil"/>
              <w:left w:val="nil"/>
              <w:bottom w:val="nil"/>
              <w:right w:val="nil"/>
            </w:tcBorders>
          </w:tcPr>
          <w:p>
            <w:pPr>
              <w:pStyle w:val="TableParagraph"/>
              <w:ind w:right="218"/>
              <w:rPr>
                <w:sz w:val="20"/>
              </w:rPr>
            </w:pPr>
            <w:r>
              <w:rPr>
                <w:sz w:val="20"/>
              </w:rPr>
              <w:t>0.08</w:t>
            </w:r>
          </w:p>
        </w:tc>
        <w:tc>
          <w:tcPr>
            <w:tcW w:w="852" w:type="dxa"/>
            <w:tcBorders>
              <w:top w:val="nil"/>
              <w:left w:val="nil"/>
              <w:bottom w:val="nil"/>
              <w:right w:val="nil"/>
            </w:tcBorders>
          </w:tcPr>
          <w:p>
            <w:pPr>
              <w:pStyle w:val="TableParagraph"/>
              <w:ind w:left="278"/>
              <w:jc w:val="left"/>
              <w:rPr>
                <w:sz w:val="20"/>
              </w:rPr>
            </w:pPr>
            <w:r>
              <w:rPr>
                <w:sz w:val="20"/>
              </w:rPr>
              <w:t>0.09</w:t>
            </w:r>
          </w:p>
        </w:tc>
        <w:tc>
          <w:tcPr>
            <w:tcW w:w="850" w:type="dxa"/>
            <w:tcBorders>
              <w:top w:val="nil"/>
              <w:left w:val="nil"/>
              <w:bottom w:val="nil"/>
              <w:right w:val="nil"/>
            </w:tcBorders>
          </w:tcPr>
          <w:p>
            <w:pPr>
              <w:pStyle w:val="TableParagraph"/>
              <w:ind w:left="276"/>
              <w:jc w:val="left"/>
              <w:rPr>
                <w:sz w:val="20"/>
              </w:rPr>
            </w:pPr>
            <w:r>
              <w:rPr>
                <w:sz w:val="20"/>
              </w:rPr>
              <w:t>0.09</w:t>
            </w:r>
          </w:p>
        </w:tc>
        <w:tc>
          <w:tcPr>
            <w:tcW w:w="850" w:type="dxa"/>
            <w:tcBorders>
              <w:top w:val="nil"/>
              <w:left w:val="nil"/>
              <w:bottom w:val="nil"/>
              <w:right w:val="nil"/>
            </w:tcBorders>
          </w:tcPr>
          <w:p>
            <w:pPr>
              <w:pStyle w:val="TableParagraph"/>
              <w:ind w:left="276"/>
              <w:jc w:val="left"/>
              <w:rPr>
                <w:sz w:val="20"/>
              </w:rPr>
            </w:pPr>
            <w:r>
              <w:rPr>
                <w:sz w:val="20"/>
              </w:rPr>
              <w:t>0.00</w:t>
            </w:r>
          </w:p>
        </w:tc>
        <w:tc>
          <w:tcPr>
            <w:tcW w:w="845" w:type="dxa"/>
            <w:tcBorders>
              <w:top w:val="nil"/>
              <w:left w:val="nil"/>
              <w:bottom w:val="nil"/>
              <w:right w:val="nil"/>
            </w:tcBorders>
          </w:tcPr>
          <w:p>
            <w:pPr>
              <w:pStyle w:val="TableParagraph"/>
              <w:ind w:right="211"/>
              <w:rPr>
                <w:sz w:val="20"/>
              </w:rPr>
            </w:pPr>
            <w:r>
              <w:rPr>
                <w:sz w:val="20"/>
              </w:rPr>
              <w:t>0.00</w:t>
            </w:r>
          </w:p>
        </w:tc>
        <w:tc>
          <w:tcPr>
            <w:tcW w:w="780" w:type="dxa"/>
            <w:tcBorders>
              <w:top w:val="nil"/>
              <w:left w:val="nil"/>
              <w:bottom w:val="nil"/>
              <w:right w:val="nil"/>
            </w:tcBorders>
          </w:tcPr>
          <w:p>
            <w:pPr>
              <w:pStyle w:val="TableParagraph"/>
              <w:ind w:right="60"/>
              <w:rPr>
                <w:sz w:val="20"/>
              </w:rPr>
            </w:pPr>
            <w:r>
              <w:rPr>
                <w:sz w:val="20"/>
              </w:rPr>
              <w:t>0.00</w:t>
            </w:r>
          </w:p>
        </w:tc>
      </w:tr>
      <w:tr>
        <w:trPr>
          <w:trHeight w:val="300" w:hRule="exact"/>
        </w:trPr>
        <w:tc>
          <w:tcPr>
            <w:tcW w:w="1424" w:type="dxa"/>
            <w:tcBorders>
              <w:top w:val="nil"/>
              <w:left w:val="nil"/>
              <w:bottom w:val="nil"/>
              <w:right w:val="nil"/>
            </w:tcBorders>
          </w:tcPr>
          <w:p>
            <w:pPr>
              <w:pStyle w:val="TableParagraph"/>
              <w:ind w:left="86"/>
              <w:jc w:val="left"/>
              <w:rPr>
                <w:sz w:val="20"/>
              </w:rPr>
            </w:pPr>
            <w:r>
              <w:rPr>
                <w:sz w:val="20"/>
              </w:rPr>
              <w:t>TEJ_LcSF</w:t>
            </w:r>
          </w:p>
        </w:tc>
        <w:tc>
          <w:tcPr>
            <w:tcW w:w="681" w:type="dxa"/>
            <w:tcBorders>
              <w:top w:val="nil"/>
              <w:left w:val="nil"/>
              <w:bottom w:val="nil"/>
              <w:right w:val="nil"/>
            </w:tcBorders>
          </w:tcPr>
          <w:p>
            <w:pPr>
              <w:pStyle w:val="TableParagraph"/>
              <w:ind w:left="150"/>
              <w:jc w:val="left"/>
              <w:rPr>
                <w:sz w:val="20"/>
              </w:rPr>
            </w:pPr>
            <w:r>
              <w:rPr>
                <w:sz w:val="20"/>
              </w:rPr>
              <w:t>0.19</w:t>
            </w:r>
          </w:p>
        </w:tc>
        <w:tc>
          <w:tcPr>
            <w:tcW w:w="749" w:type="dxa"/>
            <w:tcBorders>
              <w:top w:val="nil"/>
              <w:left w:val="nil"/>
              <w:bottom w:val="nil"/>
              <w:right w:val="nil"/>
            </w:tcBorders>
          </w:tcPr>
          <w:p>
            <w:pPr>
              <w:pStyle w:val="TableParagraph"/>
              <w:ind w:left="175"/>
              <w:jc w:val="left"/>
              <w:rPr>
                <w:sz w:val="20"/>
              </w:rPr>
            </w:pPr>
            <w:r>
              <w:rPr>
                <w:sz w:val="20"/>
              </w:rPr>
              <w:t>0.11</w:t>
            </w:r>
          </w:p>
        </w:tc>
        <w:tc>
          <w:tcPr>
            <w:tcW w:w="850" w:type="dxa"/>
            <w:tcBorders>
              <w:top w:val="nil"/>
              <w:left w:val="nil"/>
              <w:bottom w:val="nil"/>
              <w:right w:val="nil"/>
            </w:tcBorders>
          </w:tcPr>
          <w:p>
            <w:pPr>
              <w:pStyle w:val="TableParagraph"/>
              <w:ind w:left="276"/>
              <w:jc w:val="left"/>
              <w:rPr>
                <w:sz w:val="20"/>
              </w:rPr>
            </w:pPr>
            <w:r>
              <w:rPr>
                <w:sz w:val="20"/>
              </w:rPr>
              <w:t>0.08</w:t>
            </w:r>
          </w:p>
        </w:tc>
        <w:tc>
          <w:tcPr>
            <w:tcW w:w="850" w:type="dxa"/>
            <w:tcBorders>
              <w:top w:val="nil"/>
              <w:left w:val="nil"/>
              <w:bottom w:val="nil"/>
              <w:right w:val="nil"/>
            </w:tcBorders>
          </w:tcPr>
          <w:p>
            <w:pPr>
              <w:pStyle w:val="TableParagraph"/>
              <w:ind w:left="276"/>
              <w:jc w:val="left"/>
              <w:rPr>
                <w:sz w:val="20"/>
              </w:rPr>
            </w:pPr>
            <w:r>
              <w:rPr>
                <w:sz w:val="20"/>
              </w:rPr>
              <w:t>0.08</w:t>
            </w:r>
          </w:p>
        </w:tc>
        <w:tc>
          <w:tcPr>
            <w:tcW w:w="852" w:type="dxa"/>
            <w:tcBorders>
              <w:top w:val="nil"/>
              <w:left w:val="nil"/>
              <w:bottom w:val="nil"/>
              <w:right w:val="nil"/>
            </w:tcBorders>
          </w:tcPr>
          <w:p>
            <w:pPr>
              <w:pStyle w:val="TableParagraph"/>
              <w:ind w:right="218"/>
              <w:rPr>
                <w:sz w:val="20"/>
              </w:rPr>
            </w:pPr>
            <w:r>
              <w:rPr>
                <w:sz w:val="20"/>
              </w:rPr>
              <w:t>0.11</w:t>
            </w:r>
          </w:p>
        </w:tc>
        <w:tc>
          <w:tcPr>
            <w:tcW w:w="852" w:type="dxa"/>
            <w:tcBorders>
              <w:top w:val="nil"/>
              <w:left w:val="nil"/>
              <w:bottom w:val="nil"/>
              <w:right w:val="nil"/>
            </w:tcBorders>
          </w:tcPr>
          <w:p>
            <w:pPr>
              <w:pStyle w:val="TableParagraph"/>
              <w:ind w:left="278"/>
              <w:jc w:val="left"/>
              <w:rPr>
                <w:sz w:val="20"/>
              </w:rPr>
            </w:pPr>
            <w:r>
              <w:rPr>
                <w:sz w:val="20"/>
              </w:rPr>
              <w:t>0.13</w:t>
            </w:r>
          </w:p>
        </w:tc>
        <w:tc>
          <w:tcPr>
            <w:tcW w:w="850" w:type="dxa"/>
            <w:tcBorders>
              <w:top w:val="nil"/>
              <w:left w:val="nil"/>
              <w:bottom w:val="nil"/>
              <w:right w:val="nil"/>
            </w:tcBorders>
          </w:tcPr>
          <w:p>
            <w:pPr>
              <w:pStyle w:val="TableParagraph"/>
              <w:ind w:left="276"/>
              <w:jc w:val="left"/>
              <w:rPr>
                <w:sz w:val="20"/>
              </w:rPr>
            </w:pPr>
            <w:r>
              <w:rPr>
                <w:sz w:val="20"/>
              </w:rPr>
              <w:t>0.13</w:t>
            </w:r>
          </w:p>
        </w:tc>
        <w:tc>
          <w:tcPr>
            <w:tcW w:w="850" w:type="dxa"/>
            <w:tcBorders>
              <w:top w:val="nil"/>
              <w:left w:val="nil"/>
              <w:bottom w:val="nil"/>
              <w:right w:val="nil"/>
            </w:tcBorders>
          </w:tcPr>
          <w:p>
            <w:pPr>
              <w:pStyle w:val="TableParagraph"/>
              <w:ind w:left="276"/>
              <w:jc w:val="left"/>
              <w:rPr>
                <w:sz w:val="20"/>
              </w:rPr>
            </w:pPr>
            <w:r>
              <w:rPr>
                <w:sz w:val="20"/>
              </w:rPr>
              <w:t>0.00</w:t>
            </w:r>
          </w:p>
        </w:tc>
        <w:tc>
          <w:tcPr>
            <w:tcW w:w="845" w:type="dxa"/>
            <w:tcBorders>
              <w:top w:val="nil"/>
              <w:left w:val="nil"/>
              <w:bottom w:val="nil"/>
              <w:right w:val="nil"/>
            </w:tcBorders>
          </w:tcPr>
          <w:p>
            <w:pPr>
              <w:pStyle w:val="TableParagraph"/>
              <w:ind w:right="211"/>
              <w:rPr>
                <w:sz w:val="20"/>
              </w:rPr>
            </w:pPr>
            <w:r>
              <w:rPr>
                <w:sz w:val="20"/>
              </w:rPr>
              <w:t>0.00</w:t>
            </w:r>
          </w:p>
        </w:tc>
        <w:tc>
          <w:tcPr>
            <w:tcW w:w="780" w:type="dxa"/>
            <w:tcBorders>
              <w:top w:val="nil"/>
              <w:left w:val="nil"/>
              <w:bottom w:val="nil"/>
              <w:right w:val="nil"/>
            </w:tcBorders>
          </w:tcPr>
          <w:p>
            <w:pPr>
              <w:pStyle w:val="TableParagraph"/>
              <w:ind w:right="60"/>
              <w:rPr>
                <w:sz w:val="20"/>
              </w:rPr>
            </w:pPr>
            <w:r>
              <w:rPr>
                <w:sz w:val="20"/>
              </w:rPr>
              <w:t>0.00</w:t>
            </w:r>
          </w:p>
        </w:tc>
      </w:tr>
      <w:tr>
        <w:trPr>
          <w:trHeight w:val="300" w:hRule="exact"/>
        </w:trPr>
        <w:tc>
          <w:tcPr>
            <w:tcW w:w="1424" w:type="dxa"/>
            <w:tcBorders>
              <w:top w:val="nil"/>
              <w:left w:val="nil"/>
              <w:bottom w:val="nil"/>
              <w:right w:val="nil"/>
            </w:tcBorders>
          </w:tcPr>
          <w:p>
            <w:pPr>
              <w:pStyle w:val="TableParagraph"/>
              <w:spacing w:before="26"/>
              <w:ind w:left="86"/>
              <w:jc w:val="left"/>
              <w:rPr>
                <w:sz w:val="20"/>
              </w:rPr>
            </w:pPr>
            <w:r>
              <w:rPr>
                <w:sz w:val="20"/>
              </w:rPr>
              <w:t>TEJ_TmFlp</w:t>
            </w:r>
          </w:p>
        </w:tc>
        <w:tc>
          <w:tcPr>
            <w:tcW w:w="681" w:type="dxa"/>
            <w:tcBorders>
              <w:top w:val="nil"/>
              <w:left w:val="nil"/>
              <w:bottom w:val="nil"/>
              <w:right w:val="nil"/>
            </w:tcBorders>
          </w:tcPr>
          <w:p>
            <w:pPr>
              <w:pStyle w:val="TableParagraph"/>
              <w:spacing w:before="26"/>
              <w:ind w:left="150"/>
              <w:jc w:val="left"/>
              <w:rPr>
                <w:sz w:val="20"/>
              </w:rPr>
            </w:pPr>
            <w:r>
              <w:rPr>
                <w:sz w:val="20"/>
              </w:rPr>
              <w:t>0.25</w:t>
            </w:r>
          </w:p>
        </w:tc>
        <w:tc>
          <w:tcPr>
            <w:tcW w:w="749" w:type="dxa"/>
            <w:tcBorders>
              <w:top w:val="nil"/>
              <w:left w:val="nil"/>
              <w:bottom w:val="nil"/>
              <w:right w:val="nil"/>
            </w:tcBorders>
          </w:tcPr>
          <w:p>
            <w:pPr>
              <w:pStyle w:val="TableParagraph"/>
              <w:spacing w:before="26"/>
              <w:ind w:left="175"/>
              <w:jc w:val="left"/>
              <w:rPr>
                <w:sz w:val="20"/>
              </w:rPr>
            </w:pPr>
            <w:r>
              <w:rPr>
                <w:sz w:val="20"/>
              </w:rPr>
              <w:t>0.25</w:t>
            </w:r>
          </w:p>
        </w:tc>
        <w:tc>
          <w:tcPr>
            <w:tcW w:w="850" w:type="dxa"/>
            <w:tcBorders>
              <w:top w:val="nil"/>
              <w:left w:val="nil"/>
              <w:bottom w:val="nil"/>
              <w:right w:val="nil"/>
            </w:tcBorders>
          </w:tcPr>
          <w:p>
            <w:pPr>
              <w:pStyle w:val="TableParagraph"/>
              <w:spacing w:before="26"/>
              <w:ind w:left="276"/>
              <w:jc w:val="left"/>
              <w:rPr>
                <w:sz w:val="20"/>
              </w:rPr>
            </w:pPr>
            <w:r>
              <w:rPr>
                <w:sz w:val="20"/>
              </w:rPr>
              <w:t>0.25</w:t>
            </w:r>
          </w:p>
        </w:tc>
        <w:tc>
          <w:tcPr>
            <w:tcW w:w="850" w:type="dxa"/>
            <w:tcBorders>
              <w:top w:val="nil"/>
              <w:left w:val="nil"/>
              <w:bottom w:val="nil"/>
              <w:right w:val="nil"/>
            </w:tcBorders>
          </w:tcPr>
          <w:p>
            <w:pPr>
              <w:pStyle w:val="TableParagraph"/>
              <w:spacing w:before="26"/>
              <w:ind w:left="276"/>
              <w:jc w:val="left"/>
              <w:rPr>
                <w:sz w:val="20"/>
              </w:rPr>
            </w:pPr>
            <w:r>
              <w:rPr>
                <w:sz w:val="20"/>
              </w:rPr>
              <w:t>0.25</w:t>
            </w:r>
          </w:p>
        </w:tc>
        <w:tc>
          <w:tcPr>
            <w:tcW w:w="852" w:type="dxa"/>
            <w:tcBorders>
              <w:top w:val="nil"/>
              <w:left w:val="nil"/>
              <w:bottom w:val="nil"/>
              <w:right w:val="nil"/>
            </w:tcBorders>
          </w:tcPr>
          <w:p>
            <w:pPr>
              <w:pStyle w:val="TableParagraph"/>
              <w:spacing w:before="26"/>
              <w:ind w:right="218"/>
              <w:rPr>
                <w:sz w:val="20"/>
              </w:rPr>
            </w:pPr>
            <w:r>
              <w:rPr>
                <w:sz w:val="20"/>
              </w:rPr>
              <w:t>0.25</w:t>
            </w:r>
          </w:p>
        </w:tc>
        <w:tc>
          <w:tcPr>
            <w:tcW w:w="852" w:type="dxa"/>
            <w:tcBorders>
              <w:top w:val="nil"/>
              <w:left w:val="nil"/>
              <w:bottom w:val="nil"/>
              <w:right w:val="nil"/>
            </w:tcBorders>
          </w:tcPr>
          <w:p>
            <w:pPr>
              <w:pStyle w:val="TableParagraph"/>
              <w:spacing w:before="26"/>
              <w:ind w:left="278"/>
              <w:jc w:val="left"/>
              <w:rPr>
                <w:sz w:val="20"/>
              </w:rPr>
            </w:pPr>
            <w:r>
              <w:rPr>
                <w:sz w:val="20"/>
              </w:rPr>
              <w:t>0.25</w:t>
            </w:r>
          </w:p>
        </w:tc>
        <w:tc>
          <w:tcPr>
            <w:tcW w:w="850" w:type="dxa"/>
            <w:tcBorders>
              <w:top w:val="nil"/>
              <w:left w:val="nil"/>
              <w:bottom w:val="nil"/>
              <w:right w:val="nil"/>
            </w:tcBorders>
          </w:tcPr>
          <w:p>
            <w:pPr>
              <w:pStyle w:val="TableParagraph"/>
              <w:spacing w:before="26"/>
              <w:ind w:left="276"/>
              <w:jc w:val="left"/>
              <w:rPr>
                <w:sz w:val="20"/>
              </w:rPr>
            </w:pPr>
            <w:r>
              <w:rPr>
                <w:sz w:val="20"/>
              </w:rPr>
              <w:t>0.25</w:t>
            </w:r>
          </w:p>
        </w:tc>
        <w:tc>
          <w:tcPr>
            <w:tcW w:w="850" w:type="dxa"/>
            <w:tcBorders>
              <w:top w:val="nil"/>
              <w:left w:val="nil"/>
              <w:bottom w:val="nil"/>
              <w:right w:val="nil"/>
            </w:tcBorders>
          </w:tcPr>
          <w:p>
            <w:pPr>
              <w:pStyle w:val="TableParagraph"/>
              <w:spacing w:before="26"/>
              <w:ind w:left="276"/>
              <w:jc w:val="left"/>
              <w:rPr>
                <w:sz w:val="20"/>
              </w:rPr>
            </w:pPr>
            <w:r>
              <w:rPr>
                <w:sz w:val="20"/>
              </w:rPr>
              <w:t>0.00</w:t>
            </w:r>
          </w:p>
        </w:tc>
        <w:tc>
          <w:tcPr>
            <w:tcW w:w="845" w:type="dxa"/>
            <w:tcBorders>
              <w:top w:val="nil"/>
              <w:left w:val="nil"/>
              <w:bottom w:val="nil"/>
              <w:right w:val="nil"/>
            </w:tcBorders>
          </w:tcPr>
          <w:p>
            <w:pPr>
              <w:pStyle w:val="TableParagraph"/>
              <w:spacing w:before="26"/>
              <w:ind w:right="211"/>
              <w:rPr>
                <w:sz w:val="20"/>
              </w:rPr>
            </w:pPr>
            <w:r>
              <w:rPr>
                <w:sz w:val="20"/>
              </w:rPr>
              <w:t>0.00</w:t>
            </w:r>
          </w:p>
        </w:tc>
        <w:tc>
          <w:tcPr>
            <w:tcW w:w="780" w:type="dxa"/>
            <w:tcBorders>
              <w:top w:val="nil"/>
              <w:left w:val="nil"/>
              <w:bottom w:val="nil"/>
              <w:right w:val="nil"/>
            </w:tcBorders>
          </w:tcPr>
          <w:p>
            <w:pPr>
              <w:pStyle w:val="TableParagraph"/>
              <w:spacing w:before="26"/>
              <w:ind w:right="60"/>
              <w:rPr>
                <w:sz w:val="20"/>
              </w:rPr>
            </w:pPr>
            <w:r>
              <w:rPr>
                <w:sz w:val="20"/>
              </w:rPr>
              <w:t>0.00</w:t>
            </w:r>
          </w:p>
        </w:tc>
      </w:tr>
      <w:tr>
        <w:trPr>
          <w:trHeight w:val="298" w:hRule="exact"/>
        </w:trPr>
        <w:tc>
          <w:tcPr>
            <w:tcW w:w="1424" w:type="dxa"/>
            <w:tcBorders>
              <w:top w:val="nil"/>
              <w:left w:val="nil"/>
              <w:bottom w:val="nil"/>
              <w:right w:val="nil"/>
            </w:tcBorders>
          </w:tcPr>
          <w:p>
            <w:pPr>
              <w:pStyle w:val="TableParagraph"/>
              <w:ind w:left="86"/>
              <w:jc w:val="left"/>
              <w:rPr>
                <w:sz w:val="20"/>
              </w:rPr>
            </w:pPr>
            <w:r>
              <w:rPr>
                <w:sz w:val="20"/>
              </w:rPr>
              <w:t>TEJ_ToSF</w:t>
            </w:r>
          </w:p>
        </w:tc>
        <w:tc>
          <w:tcPr>
            <w:tcW w:w="681" w:type="dxa"/>
            <w:tcBorders>
              <w:top w:val="nil"/>
              <w:left w:val="nil"/>
              <w:bottom w:val="nil"/>
              <w:right w:val="nil"/>
            </w:tcBorders>
          </w:tcPr>
          <w:p>
            <w:pPr>
              <w:pStyle w:val="TableParagraph"/>
              <w:ind w:left="150"/>
              <w:jc w:val="left"/>
              <w:rPr>
                <w:sz w:val="20"/>
              </w:rPr>
            </w:pPr>
            <w:r>
              <w:rPr>
                <w:sz w:val="20"/>
              </w:rPr>
              <w:t>0.25</w:t>
            </w:r>
          </w:p>
        </w:tc>
        <w:tc>
          <w:tcPr>
            <w:tcW w:w="749" w:type="dxa"/>
            <w:tcBorders>
              <w:top w:val="nil"/>
              <w:left w:val="nil"/>
              <w:bottom w:val="nil"/>
              <w:right w:val="nil"/>
            </w:tcBorders>
          </w:tcPr>
          <w:p>
            <w:pPr>
              <w:pStyle w:val="TableParagraph"/>
              <w:ind w:left="175"/>
              <w:jc w:val="left"/>
              <w:rPr>
                <w:sz w:val="20"/>
              </w:rPr>
            </w:pPr>
            <w:r>
              <w:rPr>
                <w:sz w:val="20"/>
              </w:rPr>
              <w:t>0.25</w:t>
            </w:r>
          </w:p>
        </w:tc>
        <w:tc>
          <w:tcPr>
            <w:tcW w:w="850" w:type="dxa"/>
            <w:tcBorders>
              <w:top w:val="nil"/>
              <w:left w:val="nil"/>
              <w:bottom w:val="nil"/>
              <w:right w:val="nil"/>
            </w:tcBorders>
          </w:tcPr>
          <w:p>
            <w:pPr>
              <w:pStyle w:val="TableParagraph"/>
              <w:ind w:left="276"/>
              <w:jc w:val="left"/>
              <w:rPr>
                <w:sz w:val="20"/>
              </w:rPr>
            </w:pPr>
            <w:r>
              <w:rPr>
                <w:sz w:val="20"/>
              </w:rPr>
              <w:t>0.25</w:t>
            </w:r>
          </w:p>
        </w:tc>
        <w:tc>
          <w:tcPr>
            <w:tcW w:w="850" w:type="dxa"/>
            <w:tcBorders>
              <w:top w:val="nil"/>
              <w:left w:val="nil"/>
              <w:bottom w:val="nil"/>
              <w:right w:val="nil"/>
            </w:tcBorders>
          </w:tcPr>
          <w:p>
            <w:pPr>
              <w:pStyle w:val="TableParagraph"/>
              <w:ind w:left="276"/>
              <w:jc w:val="left"/>
              <w:rPr>
                <w:sz w:val="20"/>
              </w:rPr>
            </w:pPr>
            <w:r>
              <w:rPr>
                <w:sz w:val="20"/>
              </w:rPr>
              <w:t>0.25</w:t>
            </w:r>
          </w:p>
        </w:tc>
        <w:tc>
          <w:tcPr>
            <w:tcW w:w="852" w:type="dxa"/>
            <w:tcBorders>
              <w:top w:val="nil"/>
              <w:left w:val="nil"/>
              <w:bottom w:val="nil"/>
              <w:right w:val="nil"/>
            </w:tcBorders>
          </w:tcPr>
          <w:p>
            <w:pPr>
              <w:pStyle w:val="TableParagraph"/>
              <w:ind w:right="218"/>
              <w:rPr>
                <w:sz w:val="20"/>
              </w:rPr>
            </w:pPr>
            <w:r>
              <w:rPr>
                <w:sz w:val="20"/>
              </w:rPr>
              <w:t>0.25</w:t>
            </w:r>
          </w:p>
        </w:tc>
        <w:tc>
          <w:tcPr>
            <w:tcW w:w="852" w:type="dxa"/>
            <w:tcBorders>
              <w:top w:val="nil"/>
              <w:left w:val="nil"/>
              <w:bottom w:val="nil"/>
              <w:right w:val="nil"/>
            </w:tcBorders>
          </w:tcPr>
          <w:p>
            <w:pPr>
              <w:pStyle w:val="TableParagraph"/>
              <w:ind w:left="278"/>
              <w:jc w:val="left"/>
              <w:rPr>
                <w:sz w:val="20"/>
              </w:rPr>
            </w:pPr>
            <w:r>
              <w:rPr>
                <w:sz w:val="20"/>
              </w:rPr>
              <w:t>0.25</w:t>
            </w:r>
          </w:p>
        </w:tc>
        <w:tc>
          <w:tcPr>
            <w:tcW w:w="850" w:type="dxa"/>
            <w:tcBorders>
              <w:top w:val="nil"/>
              <w:left w:val="nil"/>
              <w:bottom w:val="nil"/>
              <w:right w:val="nil"/>
            </w:tcBorders>
          </w:tcPr>
          <w:p>
            <w:pPr>
              <w:pStyle w:val="TableParagraph"/>
              <w:ind w:left="276"/>
              <w:jc w:val="left"/>
              <w:rPr>
                <w:sz w:val="20"/>
              </w:rPr>
            </w:pPr>
            <w:r>
              <w:rPr>
                <w:sz w:val="20"/>
              </w:rPr>
              <w:t>0.25</w:t>
            </w:r>
          </w:p>
        </w:tc>
        <w:tc>
          <w:tcPr>
            <w:tcW w:w="850" w:type="dxa"/>
            <w:tcBorders>
              <w:top w:val="nil"/>
              <w:left w:val="nil"/>
              <w:bottom w:val="nil"/>
              <w:right w:val="nil"/>
            </w:tcBorders>
          </w:tcPr>
          <w:p>
            <w:pPr>
              <w:pStyle w:val="TableParagraph"/>
              <w:ind w:left="276"/>
              <w:jc w:val="left"/>
              <w:rPr>
                <w:sz w:val="20"/>
              </w:rPr>
            </w:pPr>
            <w:r>
              <w:rPr>
                <w:sz w:val="20"/>
              </w:rPr>
              <w:t>0.00</w:t>
            </w:r>
          </w:p>
        </w:tc>
        <w:tc>
          <w:tcPr>
            <w:tcW w:w="845" w:type="dxa"/>
            <w:tcBorders>
              <w:top w:val="nil"/>
              <w:left w:val="nil"/>
              <w:bottom w:val="nil"/>
              <w:right w:val="nil"/>
            </w:tcBorders>
          </w:tcPr>
          <w:p>
            <w:pPr>
              <w:pStyle w:val="TableParagraph"/>
              <w:ind w:right="211"/>
              <w:rPr>
                <w:sz w:val="20"/>
              </w:rPr>
            </w:pPr>
            <w:r>
              <w:rPr>
                <w:sz w:val="20"/>
              </w:rPr>
              <w:t>0.00</w:t>
            </w:r>
          </w:p>
        </w:tc>
        <w:tc>
          <w:tcPr>
            <w:tcW w:w="780" w:type="dxa"/>
            <w:tcBorders>
              <w:top w:val="nil"/>
              <w:left w:val="nil"/>
              <w:bottom w:val="nil"/>
              <w:right w:val="nil"/>
            </w:tcBorders>
          </w:tcPr>
          <w:p>
            <w:pPr>
              <w:pStyle w:val="TableParagraph"/>
              <w:ind w:right="60"/>
              <w:rPr>
                <w:sz w:val="20"/>
              </w:rPr>
            </w:pPr>
            <w:r>
              <w:rPr>
                <w:sz w:val="20"/>
              </w:rPr>
              <w:t>0.00</w:t>
            </w:r>
          </w:p>
        </w:tc>
      </w:tr>
      <w:tr>
        <w:trPr>
          <w:trHeight w:val="300" w:hRule="exact"/>
        </w:trPr>
        <w:tc>
          <w:tcPr>
            <w:tcW w:w="1424" w:type="dxa"/>
            <w:tcBorders>
              <w:top w:val="nil"/>
              <w:left w:val="nil"/>
              <w:bottom w:val="nil"/>
              <w:right w:val="nil"/>
            </w:tcBorders>
          </w:tcPr>
          <w:p>
            <w:pPr>
              <w:pStyle w:val="TableParagraph"/>
              <w:ind w:left="86"/>
              <w:jc w:val="left"/>
              <w:rPr>
                <w:sz w:val="20"/>
              </w:rPr>
            </w:pPr>
            <w:r>
              <w:rPr>
                <w:sz w:val="20"/>
              </w:rPr>
              <w:t>TEJ_VpFd</w:t>
            </w:r>
          </w:p>
        </w:tc>
        <w:tc>
          <w:tcPr>
            <w:tcW w:w="681" w:type="dxa"/>
            <w:tcBorders>
              <w:top w:val="nil"/>
              <w:left w:val="nil"/>
              <w:bottom w:val="nil"/>
              <w:right w:val="nil"/>
            </w:tcBorders>
          </w:tcPr>
          <w:p>
            <w:pPr>
              <w:pStyle w:val="TableParagraph"/>
              <w:ind w:left="150"/>
              <w:jc w:val="left"/>
              <w:rPr>
                <w:sz w:val="20"/>
              </w:rPr>
            </w:pPr>
            <w:r>
              <w:rPr>
                <w:sz w:val="20"/>
              </w:rPr>
              <w:t>0.14</w:t>
            </w:r>
          </w:p>
        </w:tc>
        <w:tc>
          <w:tcPr>
            <w:tcW w:w="749" w:type="dxa"/>
            <w:tcBorders>
              <w:top w:val="nil"/>
              <w:left w:val="nil"/>
              <w:bottom w:val="nil"/>
              <w:right w:val="nil"/>
            </w:tcBorders>
          </w:tcPr>
          <w:p>
            <w:pPr>
              <w:pStyle w:val="TableParagraph"/>
              <w:ind w:left="175"/>
              <w:jc w:val="left"/>
              <w:rPr>
                <w:sz w:val="20"/>
              </w:rPr>
            </w:pPr>
            <w:r>
              <w:rPr>
                <w:sz w:val="20"/>
              </w:rPr>
              <w:t>0.14</w:t>
            </w:r>
          </w:p>
        </w:tc>
        <w:tc>
          <w:tcPr>
            <w:tcW w:w="850" w:type="dxa"/>
            <w:tcBorders>
              <w:top w:val="nil"/>
              <w:left w:val="nil"/>
              <w:bottom w:val="nil"/>
              <w:right w:val="nil"/>
            </w:tcBorders>
          </w:tcPr>
          <w:p>
            <w:pPr>
              <w:pStyle w:val="TableParagraph"/>
              <w:ind w:left="276"/>
              <w:jc w:val="left"/>
              <w:rPr>
                <w:sz w:val="20"/>
              </w:rPr>
            </w:pPr>
            <w:r>
              <w:rPr>
                <w:sz w:val="20"/>
              </w:rPr>
              <w:t>0.14</w:t>
            </w:r>
          </w:p>
        </w:tc>
        <w:tc>
          <w:tcPr>
            <w:tcW w:w="850" w:type="dxa"/>
            <w:tcBorders>
              <w:top w:val="nil"/>
              <w:left w:val="nil"/>
              <w:bottom w:val="nil"/>
              <w:right w:val="nil"/>
            </w:tcBorders>
          </w:tcPr>
          <w:p>
            <w:pPr>
              <w:pStyle w:val="TableParagraph"/>
              <w:ind w:left="276"/>
              <w:jc w:val="left"/>
              <w:rPr>
                <w:sz w:val="20"/>
              </w:rPr>
            </w:pPr>
            <w:r>
              <w:rPr>
                <w:sz w:val="20"/>
              </w:rPr>
              <w:t>0.13</w:t>
            </w:r>
          </w:p>
        </w:tc>
        <w:tc>
          <w:tcPr>
            <w:tcW w:w="852" w:type="dxa"/>
            <w:tcBorders>
              <w:top w:val="nil"/>
              <w:left w:val="nil"/>
              <w:bottom w:val="nil"/>
              <w:right w:val="nil"/>
            </w:tcBorders>
          </w:tcPr>
          <w:p>
            <w:pPr>
              <w:pStyle w:val="TableParagraph"/>
              <w:ind w:right="218"/>
              <w:rPr>
                <w:sz w:val="20"/>
              </w:rPr>
            </w:pPr>
            <w:r>
              <w:rPr>
                <w:sz w:val="20"/>
              </w:rPr>
              <w:t>0.13</w:t>
            </w:r>
          </w:p>
        </w:tc>
        <w:tc>
          <w:tcPr>
            <w:tcW w:w="852" w:type="dxa"/>
            <w:tcBorders>
              <w:top w:val="nil"/>
              <w:left w:val="nil"/>
              <w:bottom w:val="nil"/>
              <w:right w:val="nil"/>
            </w:tcBorders>
          </w:tcPr>
          <w:p>
            <w:pPr>
              <w:pStyle w:val="TableParagraph"/>
              <w:ind w:left="278"/>
              <w:jc w:val="left"/>
              <w:rPr>
                <w:sz w:val="20"/>
              </w:rPr>
            </w:pPr>
            <w:r>
              <w:rPr>
                <w:sz w:val="20"/>
              </w:rPr>
              <w:t>0.13</w:t>
            </w:r>
          </w:p>
        </w:tc>
        <w:tc>
          <w:tcPr>
            <w:tcW w:w="850" w:type="dxa"/>
            <w:tcBorders>
              <w:top w:val="nil"/>
              <w:left w:val="nil"/>
              <w:bottom w:val="nil"/>
              <w:right w:val="nil"/>
            </w:tcBorders>
          </w:tcPr>
          <w:p>
            <w:pPr>
              <w:pStyle w:val="TableParagraph"/>
              <w:ind w:left="276"/>
              <w:jc w:val="left"/>
              <w:rPr>
                <w:sz w:val="20"/>
              </w:rPr>
            </w:pPr>
            <w:r>
              <w:rPr>
                <w:sz w:val="20"/>
              </w:rPr>
              <w:t>0.13</w:t>
            </w:r>
          </w:p>
        </w:tc>
        <w:tc>
          <w:tcPr>
            <w:tcW w:w="850" w:type="dxa"/>
            <w:tcBorders>
              <w:top w:val="nil"/>
              <w:left w:val="nil"/>
              <w:bottom w:val="nil"/>
              <w:right w:val="nil"/>
            </w:tcBorders>
          </w:tcPr>
          <w:p>
            <w:pPr>
              <w:pStyle w:val="TableParagraph"/>
              <w:ind w:left="276"/>
              <w:jc w:val="left"/>
              <w:rPr>
                <w:sz w:val="20"/>
              </w:rPr>
            </w:pPr>
            <w:r>
              <w:rPr>
                <w:sz w:val="20"/>
              </w:rPr>
              <w:t>0.00</w:t>
            </w:r>
          </w:p>
        </w:tc>
        <w:tc>
          <w:tcPr>
            <w:tcW w:w="845" w:type="dxa"/>
            <w:tcBorders>
              <w:top w:val="nil"/>
              <w:left w:val="nil"/>
              <w:bottom w:val="nil"/>
              <w:right w:val="nil"/>
            </w:tcBorders>
          </w:tcPr>
          <w:p>
            <w:pPr>
              <w:pStyle w:val="TableParagraph"/>
              <w:ind w:right="211"/>
              <w:rPr>
                <w:sz w:val="20"/>
              </w:rPr>
            </w:pPr>
            <w:r>
              <w:rPr>
                <w:sz w:val="20"/>
              </w:rPr>
              <w:t>0.00</w:t>
            </w:r>
          </w:p>
        </w:tc>
        <w:tc>
          <w:tcPr>
            <w:tcW w:w="780" w:type="dxa"/>
            <w:tcBorders>
              <w:top w:val="nil"/>
              <w:left w:val="nil"/>
              <w:bottom w:val="nil"/>
              <w:right w:val="nil"/>
            </w:tcBorders>
          </w:tcPr>
          <w:p>
            <w:pPr>
              <w:pStyle w:val="TableParagraph"/>
              <w:ind w:right="60"/>
              <w:rPr>
                <w:sz w:val="20"/>
              </w:rPr>
            </w:pPr>
            <w:r>
              <w:rPr>
                <w:sz w:val="20"/>
              </w:rPr>
              <w:t>0.00</w:t>
            </w:r>
          </w:p>
        </w:tc>
      </w:tr>
      <w:tr>
        <w:trPr>
          <w:trHeight w:val="300" w:hRule="exact"/>
        </w:trPr>
        <w:tc>
          <w:tcPr>
            <w:tcW w:w="1424" w:type="dxa"/>
            <w:tcBorders>
              <w:top w:val="nil"/>
              <w:left w:val="nil"/>
              <w:bottom w:val="nil"/>
              <w:right w:val="nil"/>
            </w:tcBorders>
          </w:tcPr>
          <w:p>
            <w:pPr>
              <w:pStyle w:val="TableParagraph"/>
              <w:spacing w:before="26"/>
              <w:ind w:left="86"/>
              <w:jc w:val="left"/>
              <w:rPr>
                <w:sz w:val="20"/>
              </w:rPr>
            </w:pPr>
            <w:r>
              <w:rPr>
                <w:sz w:val="20"/>
              </w:rPr>
              <w:t>TEJ_VpFdp</w:t>
            </w:r>
          </w:p>
        </w:tc>
        <w:tc>
          <w:tcPr>
            <w:tcW w:w="681" w:type="dxa"/>
            <w:tcBorders>
              <w:top w:val="nil"/>
              <w:left w:val="nil"/>
              <w:bottom w:val="nil"/>
              <w:right w:val="nil"/>
            </w:tcBorders>
          </w:tcPr>
          <w:p>
            <w:pPr>
              <w:pStyle w:val="TableParagraph"/>
              <w:spacing w:before="26"/>
              <w:ind w:left="150"/>
              <w:jc w:val="left"/>
              <w:rPr>
                <w:sz w:val="20"/>
              </w:rPr>
            </w:pPr>
            <w:r>
              <w:rPr>
                <w:sz w:val="20"/>
              </w:rPr>
              <w:t>0.13</w:t>
            </w:r>
          </w:p>
        </w:tc>
        <w:tc>
          <w:tcPr>
            <w:tcW w:w="749" w:type="dxa"/>
            <w:tcBorders>
              <w:top w:val="nil"/>
              <w:left w:val="nil"/>
              <w:bottom w:val="nil"/>
              <w:right w:val="nil"/>
            </w:tcBorders>
          </w:tcPr>
          <w:p>
            <w:pPr>
              <w:pStyle w:val="TableParagraph"/>
              <w:spacing w:before="26"/>
              <w:ind w:left="175"/>
              <w:jc w:val="left"/>
              <w:rPr>
                <w:sz w:val="20"/>
              </w:rPr>
            </w:pPr>
            <w:r>
              <w:rPr>
                <w:sz w:val="20"/>
              </w:rPr>
              <w:t>0.12</w:t>
            </w:r>
          </w:p>
        </w:tc>
        <w:tc>
          <w:tcPr>
            <w:tcW w:w="850" w:type="dxa"/>
            <w:tcBorders>
              <w:top w:val="nil"/>
              <w:left w:val="nil"/>
              <w:bottom w:val="nil"/>
              <w:right w:val="nil"/>
            </w:tcBorders>
          </w:tcPr>
          <w:p>
            <w:pPr>
              <w:pStyle w:val="TableParagraph"/>
              <w:spacing w:before="26"/>
              <w:ind w:left="276"/>
              <w:jc w:val="left"/>
              <w:rPr>
                <w:sz w:val="20"/>
              </w:rPr>
            </w:pPr>
            <w:r>
              <w:rPr>
                <w:sz w:val="20"/>
              </w:rPr>
              <w:t>0.12</w:t>
            </w:r>
          </w:p>
        </w:tc>
        <w:tc>
          <w:tcPr>
            <w:tcW w:w="850" w:type="dxa"/>
            <w:tcBorders>
              <w:top w:val="nil"/>
              <w:left w:val="nil"/>
              <w:bottom w:val="nil"/>
              <w:right w:val="nil"/>
            </w:tcBorders>
          </w:tcPr>
          <w:p>
            <w:pPr>
              <w:pStyle w:val="TableParagraph"/>
              <w:spacing w:before="26"/>
              <w:ind w:left="276"/>
              <w:jc w:val="left"/>
              <w:rPr>
                <w:sz w:val="20"/>
              </w:rPr>
            </w:pPr>
            <w:r>
              <w:rPr>
                <w:sz w:val="20"/>
              </w:rPr>
              <w:t>0.09</w:t>
            </w:r>
          </w:p>
        </w:tc>
        <w:tc>
          <w:tcPr>
            <w:tcW w:w="852" w:type="dxa"/>
            <w:tcBorders>
              <w:top w:val="nil"/>
              <w:left w:val="nil"/>
              <w:bottom w:val="nil"/>
              <w:right w:val="nil"/>
            </w:tcBorders>
          </w:tcPr>
          <w:p>
            <w:pPr>
              <w:pStyle w:val="TableParagraph"/>
              <w:spacing w:before="26"/>
              <w:ind w:right="218"/>
              <w:rPr>
                <w:sz w:val="20"/>
              </w:rPr>
            </w:pPr>
            <w:r>
              <w:rPr>
                <w:sz w:val="20"/>
              </w:rPr>
              <w:t>0.09</w:t>
            </w:r>
          </w:p>
        </w:tc>
        <w:tc>
          <w:tcPr>
            <w:tcW w:w="852" w:type="dxa"/>
            <w:tcBorders>
              <w:top w:val="nil"/>
              <w:left w:val="nil"/>
              <w:bottom w:val="nil"/>
              <w:right w:val="nil"/>
            </w:tcBorders>
          </w:tcPr>
          <w:p>
            <w:pPr>
              <w:pStyle w:val="TableParagraph"/>
              <w:spacing w:before="26"/>
              <w:ind w:left="278"/>
              <w:jc w:val="left"/>
              <w:rPr>
                <w:sz w:val="20"/>
              </w:rPr>
            </w:pPr>
            <w:r>
              <w:rPr>
                <w:sz w:val="20"/>
              </w:rPr>
              <w:t>0.12</w:t>
            </w:r>
          </w:p>
        </w:tc>
        <w:tc>
          <w:tcPr>
            <w:tcW w:w="850" w:type="dxa"/>
            <w:tcBorders>
              <w:top w:val="nil"/>
              <w:left w:val="nil"/>
              <w:bottom w:val="nil"/>
              <w:right w:val="nil"/>
            </w:tcBorders>
          </w:tcPr>
          <w:p>
            <w:pPr>
              <w:pStyle w:val="TableParagraph"/>
              <w:spacing w:before="26"/>
              <w:ind w:left="276"/>
              <w:jc w:val="left"/>
              <w:rPr>
                <w:sz w:val="20"/>
              </w:rPr>
            </w:pPr>
            <w:r>
              <w:rPr>
                <w:sz w:val="20"/>
              </w:rPr>
              <w:t>0.13</w:t>
            </w:r>
          </w:p>
        </w:tc>
        <w:tc>
          <w:tcPr>
            <w:tcW w:w="850" w:type="dxa"/>
            <w:tcBorders>
              <w:top w:val="nil"/>
              <w:left w:val="nil"/>
              <w:bottom w:val="nil"/>
              <w:right w:val="nil"/>
            </w:tcBorders>
          </w:tcPr>
          <w:p>
            <w:pPr>
              <w:pStyle w:val="TableParagraph"/>
              <w:spacing w:before="26"/>
              <w:ind w:left="276"/>
              <w:jc w:val="left"/>
              <w:rPr>
                <w:sz w:val="20"/>
              </w:rPr>
            </w:pPr>
            <w:r>
              <w:rPr>
                <w:sz w:val="20"/>
              </w:rPr>
              <w:t>0.00</w:t>
            </w:r>
          </w:p>
        </w:tc>
        <w:tc>
          <w:tcPr>
            <w:tcW w:w="845" w:type="dxa"/>
            <w:tcBorders>
              <w:top w:val="nil"/>
              <w:left w:val="nil"/>
              <w:bottom w:val="nil"/>
              <w:right w:val="nil"/>
            </w:tcBorders>
          </w:tcPr>
          <w:p>
            <w:pPr>
              <w:pStyle w:val="TableParagraph"/>
              <w:spacing w:before="26"/>
              <w:ind w:right="211"/>
              <w:rPr>
                <w:sz w:val="20"/>
              </w:rPr>
            </w:pPr>
            <w:r>
              <w:rPr>
                <w:sz w:val="20"/>
              </w:rPr>
              <w:t>0.00</w:t>
            </w:r>
          </w:p>
        </w:tc>
        <w:tc>
          <w:tcPr>
            <w:tcW w:w="780" w:type="dxa"/>
            <w:tcBorders>
              <w:top w:val="nil"/>
              <w:left w:val="nil"/>
              <w:bottom w:val="nil"/>
              <w:right w:val="nil"/>
            </w:tcBorders>
          </w:tcPr>
          <w:p>
            <w:pPr>
              <w:pStyle w:val="TableParagraph"/>
              <w:spacing w:before="26"/>
              <w:ind w:right="60"/>
              <w:rPr>
                <w:sz w:val="20"/>
              </w:rPr>
            </w:pPr>
            <w:r>
              <w:rPr>
                <w:sz w:val="20"/>
              </w:rPr>
              <w:t>0.00</w:t>
            </w:r>
          </w:p>
        </w:tc>
      </w:tr>
      <w:tr>
        <w:trPr>
          <w:trHeight w:val="298" w:hRule="exact"/>
        </w:trPr>
        <w:tc>
          <w:tcPr>
            <w:tcW w:w="1424" w:type="dxa"/>
            <w:tcBorders>
              <w:top w:val="nil"/>
              <w:left w:val="nil"/>
              <w:bottom w:val="nil"/>
              <w:right w:val="nil"/>
            </w:tcBorders>
          </w:tcPr>
          <w:p>
            <w:pPr>
              <w:pStyle w:val="TableParagraph"/>
              <w:ind w:left="86"/>
              <w:jc w:val="left"/>
              <w:rPr>
                <w:sz w:val="20"/>
              </w:rPr>
            </w:pPr>
            <w:r>
              <w:rPr>
                <w:sz w:val="20"/>
              </w:rPr>
              <w:t>TEJ_VpSF</w:t>
            </w:r>
          </w:p>
        </w:tc>
        <w:tc>
          <w:tcPr>
            <w:tcW w:w="681" w:type="dxa"/>
            <w:tcBorders>
              <w:top w:val="nil"/>
              <w:left w:val="nil"/>
              <w:bottom w:val="nil"/>
              <w:right w:val="nil"/>
            </w:tcBorders>
          </w:tcPr>
          <w:p>
            <w:pPr>
              <w:pStyle w:val="TableParagraph"/>
              <w:ind w:left="150"/>
              <w:jc w:val="left"/>
              <w:rPr>
                <w:sz w:val="20"/>
              </w:rPr>
            </w:pPr>
            <w:r>
              <w:rPr>
                <w:sz w:val="20"/>
              </w:rPr>
              <w:t>0.14</w:t>
            </w:r>
          </w:p>
        </w:tc>
        <w:tc>
          <w:tcPr>
            <w:tcW w:w="749" w:type="dxa"/>
            <w:tcBorders>
              <w:top w:val="nil"/>
              <w:left w:val="nil"/>
              <w:bottom w:val="nil"/>
              <w:right w:val="nil"/>
            </w:tcBorders>
          </w:tcPr>
          <w:p>
            <w:pPr>
              <w:pStyle w:val="TableParagraph"/>
              <w:ind w:left="175"/>
              <w:jc w:val="left"/>
              <w:rPr>
                <w:sz w:val="20"/>
              </w:rPr>
            </w:pPr>
            <w:r>
              <w:rPr>
                <w:sz w:val="20"/>
              </w:rPr>
              <w:t>0.13</w:t>
            </w:r>
          </w:p>
        </w:tc>
        <w:tc>
          <w:tcPr>
            <w:tcW w:w="850" w:type="dxa"/>
            <w:tcBorders>
              <w:top w:val="nil"/>
              <w:left w:val="nil"/>
              <w:bottom w:val="nil"/>
              <w:right w:val="nil"/>
            </w:tcBorders>
          </w:tcPr>
          <w:p>
            <w:pPr>
              <w:pStyle w:val="TableParagraph"/>
              <w:ind w:left="276"/>
              <w:jc w:val="left"/>
              <w:rPr>
                <w:sz w:val="20"/>
              </w:rPr>
            </w:pPr>
            <w:r>
              <w:rPr>
                <w:sz w:val="20"/>
              </w:rPr>
              <w:t>0.13</w:t>
            </w:r>
          </w:p>
        </w:tc>
        <w:tc>
          <w:tcPr>
            <w:tcW w:w="850" w:type="dxa"/>
            <w:tcBorders>
              <w:top w:val="nil"/>
              <w:left w:val="nil"/>
              <w:bottom w:val="nil"/>
              <w:right w:val="nil"/>
            </w:tcBorders>
          </w:tcPr>
          <w:p>
            <w:pPr>
              <w:pStyle w:val="TableParagraph"/>
              <w:ind w:left="276"/>
              <w:jc w:val="left"/>
              <w:rPr>
                <w:sz w:val="20"/>
              </w:rPr>
            </w:pPr>
            <w:r>
              <w:rPr>
                <w:sz w:val="20"/>
              </w:rPr>
              <w:t>0.08</w:t>
            </w:r>
          </w:p>
        </w:tc>
        <w:tc>
          <w:tcPr>
            <w:tcW w:w="852" w:type="dxa"/>
            <w:tcBorders>
              <w:top w:val="nil"/>
              <w:left w:val="nil"/>
              <w:bottom w:val="nil"/>
              <w:right w:val="nil"/>
            </w:tcBorders>
          </w:tcPr>
          <w:p>
            <w:pPr>
              <w:pStyle w:val="TableParagraph"/>
              <w:ind w:right="218"/>
              <w:rPr>
                <w:sz w:val="20"/>
              </w:rPr>
            </w:pPr>
            <w:r>
              <w:rPr>
                <w:sz w:val="20"/>
              </w:rPr>
              <w:t>0.08</w:t>
            </w:r>
          </w:p>
        </w:tc>
        <w:tc>
          <w:tcPr>
            <w:tcW w:w="852" w:type="dxa"/>
            <w:tcBorders>
              <w:top w:val="nil"/>
              <w:left w:val="nil"/>
              <w:bottom w:val="nil"/>
              <w:right w:val="nil"/>
            </w:tcBorders>
          </w:tcPr>
          <w:p>
            <w:pPr>
              <w:pStyle w:val="TableParagraph"/>
              <w:ind w:left="278"/>
              <w:jc w:val="left"/>
              <w:rPr>
                <w:sz w:val="20"/>
              </w:rPr>
            </w:pPr>
            <w:r>
              <w:rPr>
                <w:sz w:val="20"/>
              </w:rPr>
              <w:t>0.14</w:t>
            </w:r>
          </w:p>
        </w:tc>
        <w:tc>
          <w:tcPr>
            <w:tcW w:w="850" w:type="dxa"/>
            <w:tcBorders>
              <w:top w:val="nil"/>
              <w:left w:val="nil"/>
              <w:bottom w:val="nil"/>
              <w:right w:val="nil"/>
            </w:tcBorders>
          </w:tcPr>
          <w:p>
            <w:pPr>
              <w:pStyle w:val="TableParagraph"/>
              <w:ind w:left="276"/>
              <w:jc w:val="left"/>
              <w:rPr>
                <w:sz w:val="20"/>
              </w:rPr>
            </w:pPr>
            <w:r>
              <w:rPr>
                <w:sz w:val="20"/>
              </w:rPr>
              <w:t>0.14</w:t>
            </w:r>
          </w:p>
        </w:tc>
        <w:tc>
          <w:tcPr>
            <w:tcW w:w="850" w:type="dxa"/>
            <w:tcBorders>
              <w:top w:val="nil"/>
              <w:left w:val="nil"/>
              <w:bottom w:val="nil"/>
              <w:right w:val="nil"/>
            </w:tcBorders>
          </w:tcPr>
          <w:p>
            <w:pPr>
              <w:pStyle w:val="TableParagraph"/>
              <w:ind w:left="276"/>
              <w:jc w:val="left"/>
              <w:rPr>
                <w:sz w:val="20"/>
              </w:rPr>
            </w:pPr>
            <w:r>
              <w:rPr>
                <w:sz w:val="20"/>
              </w:rPr>
              <w:t>0.00</w:t>
            </w:r>
          </w:p>
        </w:tc>
        <w:tc>
          <w:tcPr>
            <w:tcW w:w="845" w:type="dxa"/>
            <w:tcBorders>
              <w:top w:val="nil"/>
              <w:left w:val="nil"/>
              <w:bottom w:val="nil"/>
              <w:right w:val="nil"/>
            </w:tcBorders>
          </w:tcPr>
          <w:p>
            <w:pPr>
              <w:pStyle w:val="TableParagraph"/>
              <w:ind w:right="211"/>
              <w:rPr>
                <w:sz w:val="20"/>
              </w:rPr>
            </w:pPr>
            <w:r>
              <w:rPr>
                <w:sz w:val="20"/>
              </w:rPr>
              <w:t>0.00</w:t>
            </w:r>
          </w:p>
        </w:tc>
        <w:tc>
          <w:tcPr>
            <w:tcW w:w="780" w:type="dxa"/>
            <w:tcBorders>
              <w:top w:val="nil"/>
              <w:left w:val="nil"/>
              <w:bottom w:val="nil"/>
              <w:right w:val="nil"/>
            </w:tcBorders>
          </w:tcPr>
          <w:p>
            <w:pPr>
              <w:pStyle w:val="TableParagraph"/>
              <w:ind w:right="60"/>
              <w:rPr>
                <w:sz w:val="20"/>
              </w:rPr>
            </w:pPr>
            <w:r>
              <w:rPr>
                <w:sz w:val="20"/>
              </w:rPr>
              <w:t>0.00</w:t>
            </w:r>
          </w:p>
        </w:tc>
      </w:tr>
      <w:tr>
        <w:trPr>
          <w:trHeight w:val="298" w:hRule="exact"/>
        </w:trPr>
        <w:tc>
          <w:tcPr>
            <w:tcW w:w="1424" w:type="dxa"/>
            <w:tcBorders>
              <w:top w:val="nil"/>
              <w:left w:val="nil"/>
              <w:bottom w:val="nil"/>
              <w:right w:val="nil"/>
            </w:tcBorders>
          </w:tcPr>
          <w:p>
            <w:pPr>
              <w:pStyle w:val="TableParagraph"/>
              <w:ind w:left="86"/>
              <w:jc w:val="left"/>
              <w:rPr>
                <w:sz w:val="20"/>
              </w:rPr>
            </w:pPr>
            <w:r>
              <w:rPr>
                <w:sz w:val="20"/>
              </w:rPr>
              <w:t>TEJ_WmFdp</w:t>
            </w:r>
          </w:p>
        </w:tc>
        <w:tc>
          <w:tcPr>
            <w:tcW w:w="681" w:type="dxa"/>
            <w:tcBorders>
              <w:top w:val="nil"/>
              <w:left w:val="nil"/>
              <w:bottom w:val="nil"/>
              <w:right w:val="nil"/>
            </w:tcBorders>
          </w:tcPr>
          <w:p>
            <w:pPr>
              <w:pStyle w:val="TableParagraph"/>
              <w:ind w:left="150"/>
              <w:jc w:val="left"/>
              <w:rPr>
                <w:sz w:val="20"/>
              </w:rPr>
            </w:pPr>
            <w:r>
              <w:rPr>
                <w:sz w:val="20"/>
              </w:rPr>
              <w:t>0.25</w:t>
            </w:r>
          </w:p>
        </w:tc>
        <w:tc>
          <w:tcPr>
            <w:tcW w:w="749" w:type="dxa"/>
            <w:tcBorders>
              <w:top w:val="nil"/>
              <w:left w:val="nil"/>
              <w:bottom w:val="nil"/>
              <w:right w:val="nil"/>
            </w:tcBorders>
          </w:tcPr>
          <w:p>
            <w:pPr>
              <w:pStyle w:val="TableParagraph"/>
              <w:ind w:left="175"/>
              <w:jc w:val="left"/>
              <w:rPr>
                <w:sz w:val="20"/>
              </w:rPr>
            </w:pPr>
            <w:r>
              <w:rPr>
                <w:sz w:val="20"/>
              </w:rPr>
              <w:t>0.21</w:t>
            </w:r>
          </w:p>
        </w:tc>
        <w:tc>
          <w:tcPr>
            <w:tcW w:w="850" w:type="dxa"/>
            <w:tcBorders>
              <w:top w:val="nil"/>
              <w:left w:val="nil"/>
              <w:bottom w:val="nil"/>
              <w:right w:val="nil"/>
            </w:tcBorders>
          </w:tcPr>
          <w:p>
            <w:pPr>
              <w:pStyle w:val="TableParagraph"/>
              <w:ind w:left="276"/>
              <w:jc w:val="left"/>
              <w:rPr>
                <w:sz w:val="20"/>
              </w:rPr>
            </w:pPr>
            <w:r>
              <w:rPr>
                <w:sz w:val="20"/>
              </w:rPr>
              <w:t>0.21</w:t>
            </w:r>
          </w:p>
        </w:tc>
        <w:tc>
          <w:tcPr>
            <w:tcW w:w="850" w:type="dxa"/>
            <w:tcBorders>
              <w:top w:val="nil"/>
              <w:left w:val="nil"/>
              <w:bottom w:val="nil"/>
              <w:right w:val="nil"/>
            </w:tcBorders>
          </w:tcPr>
          <w:p>
            <w:pPr>
              <w:pStyle w:val="TableParagraph"/>
              <w:ind w:left="276"/>
              <w:jc w:val="left"/>
              <w:rPr>
                <w:sz w:val="20"/>
              </w:rPr>
            </w:pPr>
            <w:r>
              <w:rPr>
                <w:sz w:val="20"/>
              </w:rPr>
              <w:t>0.08</w:t>
            </w:r>
          </w:p>
        </w:tc>
        <w:tc>
          <w:tcPr>
            <w:tcW w:w="852" w:type="dxa"/>
            <w:tcBorders>
              <w:top w:val="nil"/>
              <w:left w:val="nil"/>
              <w:bottom w:val="nil"/>
              <w:right w:val="nil"/>
            </w:tcBorders>
          </w:tcPr>
          <w:p>
            <w:pPr>
              <w:pStyle w:val="TableParagraph"/>
              <w:ind w:right="218"/>
              <w:rPr>
                <w:sz w:val="20"/>
              </w:rPr>
            </w:pPr>
            <w:r>
              <w:rPr>
                <w:sz w:val="20"/>
              </w:rPr>
              <w:t>0.08</w:t>
            </w:r>
          </w:p>
        </w:tc>
        <w:tc>
          <w:tcPr>
            <w:tcW w:w="852" w:type="dxa"/>
            <w:tcBorders>
              <w:top w:val="nil"/>
              <w:left w:val="nil"/>
              <w:bottom w:val="nil"/>
              <w:right w:val="nil"/>
            </w:tcBorders>
          </w:tcPr>
          <w:p>
            <w:pPr>
              <w:pStyle w:val="TableParagraph"/>
              <w:ind w:left="278"/>
              <w:jc w:val="left"/>
              <w:rPr>
                <w:sz w:val="20"/>
              </w:rPr>
            </w:pPr>
            <w:r>
              <w:rPr>
                <w:sz w:val="20"/>
              </w:rPr>
              <w:t>0.08</w:t>
            </w:r>
          </w:p>
        </w:tc>
        <w:tc>
          <w:tcPr>
            <w:tcW w:w="850" w:type="dxa"/>
            <w:tcBorders>
              <w:top w:val="nil"/>
              <w:left w:val="nil"/>
              <w:bottom w:val="nil"/>
              <w:right w:val="nil"/>
            </w:tcBorders>
          </w:tcPr>
          <w:p>
            <w:pPr>
              <w:pStyle w:val="TableParagraph"/>
              <w:ind w:left="276"/>
              <w:jc w:val="left"/>
              <w:rPr>
                <w:sz w:val="20"/>
              </w:rPr>
            </w:pPr>
            <w:r>
              <w:rPr>
                <w:sz w:val="20"/>
              </w:rPr>
              <w:t>0.08</w:t>
            </w:r>
          </w:p>
        </w:tc>
        <w:tc>
          <w:tcPr>
            <w:tcW w:w="850" w:type="dxa"/>
            <w:tcBorders>
              <w:top w:val="nil"/>
              <w:left w:val="nil"/>
              <w:bottom w:val="nil"/>
              <w:right w:val="nil"/>
            </w:tcBorders>
          </w:tcPr>
          <w:p>
            <w:pPr>
              <w:pStyle w:val="TableParagraph"/>
              <w:ind w:left="276"/>
              <w:jc w:val="left"/>
              <w:rPr>
                <w:sz w:val="20"/>
              </w:rPr>
            </w:pPr>
            <w:r>
              <w:rPr>
                <w:sz w:val="20"/>
              </w:rPr>
              <w:t>0.00</w:t>
            </w:r>
          </w:p>
        </w:tc>
        <w:tc>
          <w:tcPr>
            <w:tcW w:w="845" w:type="dxa"/>
            <w:tcBorders>
              <w:top w:val="nil"/>
              <w:left w:val="nil"/>
              <w:bottom w:val="nil"/>
              <w:right w:val="nil"/>
            </w:tcBorders>
          </w:tcPr>
          <w:p>
            <w:pPr>
              <w:pStyle w:val="TableParagraph"/>
              <w:ind w:right="211"/>
              <w:rPr>
                <w:sz w:val="20"/>
              </w:rPr>
            </w:pPr>
            <w:r>
              <w:rPr>
                <w:sz w:val="20"/>
              </w:rPr>
              <w:t>0.00</w:t>
            </w:r>
          </w:p>
        </w:tc>
        <w:tc>
          <w:tcPr>
            <w:tcW w:w="780" w:type="dxa"/>
            <w:tcBorders>
              <w:top w:val="nil"/>
              <w:left w:val="nil"/>
              <w:bottom w:val="nil"/>
              <w:right w:val="nil"/>
            </w:tcBorders>
          </w:tcPr>
          <w:p>
            <w:pPr>
              <w:pStyle w:val="TableParagraph"/>
              <w:ind w:right="60"/>
              <w:rPr>
                <w:sz w:val="20"/>
              </w:rPr>
            </w:pPr>
            <w:r>
              <w:rPr>
                <w:sz w:val="20"/>
              </w:rPr>
              <w:t>0.00</w:t>
            </w:r>
          </w:p>
        </w:tc>
      </w:tr>
      <w:tr>
        <w:trPr>
          <w:trHeight w:val="268" w:hRule="exact"/>
        </w:trPr>
        <w:tc>
          <w:tcPr>
            <w:tcW w:w="1424" w:type="dxa"/>
            <w:tcBorders>
              <w:top w:val="nil"/>
              <w:left w:val="nil"/>
              <w:right w:val="nil"/>
            </w:tcBorders>
          </w:tcPr>
          <w:p>
            <w:pPr>
              <w:pStyle w:val="TableParagraph"/>
              <w:ind w:left="86"/>
              <w:jc w:val="left"/>
              <w:rPr>
                <w:sz w:val="20"/>
              </w:rPr>
            </w:pPr>
            <w:r>
              <w:rPr>
                <w:sz w:val="20"/>
              </w:rPr>
              <w:t>TEJ_WmSF</w:t>
            </w:r>
          </w:p>
        </w:tc>
        <w:tc>
          <w:tcPr>
            <w:tcW w:w="681" w:type="dxa"/>
            <w:tcBorders>
              <w:top w:val="nil"/>
              <w:left w:val="nil"/>
              <w:right w:val="nil"/>
            </w:tcBorders>
          </w:tcPr>
          <w:p>
            <w:pPr>
              <w:pStyle w:val="TableParagraph"/>
              <w:ind w:left="150"/>
              <w:jc w:val="left"/>
              <w:rPr>
                <w:sz w:val="20"/>
              </w:rPr>
            </w:pPr>
            <w:r>
              <w:rPr>
                <w:sz w:val="20"/>
              </w:rPr>
              <w:t>0.14</w:t>
            </w:r>
          </w:p>
        </w:tc>
        <w:tc>
          <w:tcPr>
            <w:tcW w:w="749" w:type="dxa"/>
            <w:tcBorders>
              <w:top w:val="nil"/>
              <w:left w:val="nil"/>
              <w:right w:val="nil"/>
            </w:tcBorders>
          </w:tcPr>
          <w:p>
            <w:pPr>
              <w:pStyle w:val="TableParagraph"/>
              <w:ind w:left="175"/>
              <w:jc w:val="left"/>
              <w:rPr>
                <w:sz w:val="20"/>
              </w:rPr>
            </w:pPr>
            <w:r>
              <w:rPr>
                <w:sz w:val="20"/>
              </w:rPr>
              <w:t>0.14</w:t>
            </w:r>
          </w:p>
        </w:tc>
        <w:tc>
          <w:tcPr>
            <w:tcW w:w="850" w:type="dxa"/>
            <w:tcBorders>
              <w:top w:val="nil"/>
              <w:left w:val="nil"/>
              <w:right w:val="nil"/>
            </w:tcBorders>
          </w:tcPr>
          <w:p>
            <w:pPr>
              <w:pStyle w:val="TableParagraph"/>
              <w:ind w:left="276"/>
              <w:jc w:val="left"/>
              <w:rPr>
                <w:sz w:val="20"/>
              </w:rPr>
            </w:pPr>
            <w:r>
              <w:rPr>
                <w:sz w:val="20"/>
              </w:rPr>
              <w:t>0.14</w:t>
            </w:r>
          </w:p>
        </w:tc>
        <w:tc>
          <w:tcPr>
            <w:tcW w:w="850" w:type="dxa"/>
            <w:tcBorders>
              <w:top w:val="nil"/>
              <w:left w:val="nil"/>
              <w:right w:val="nil"/>
            </w:tcBorders>
          </w:tcPr>
          <w:p>
            <w:pPr>
              <w:pStyle w:val="TableParagraph"/>
              <w:ind w:left="276"/>
              <w:jc w:val="left"/>
              <w:rPr>
                <w:sz w:val="20"/>
              </w:rPr>
            </w:pPr>
            <w:r>
              <w:rPr>
                <w:sz w:val="20"/>
              </w:rPr>
              <w:t>0.14</w:t>
            </w:r>
          </w:p>
        </w:tc>
        <w:tc>
          <w:tcPr>
            <w:tcW w:w="852" w:type="dxa"/>
            <w:tcBorders>
              <w:top w:val="nil"/>
              <w:left w:val="nil"/>
              <w:right w:val="nil"/>
            </w:tcBorders>
          </w:tcPr>
          <w:p>
            <w:pPr>
              <w:pStyle w:val="TableParagraph"/>
              <w:ind w:right="218"/>
              <w:rPr>
                <w:sz w:val="20"/>
              </w:rPr>
            </w:pPr>
            <w:r>
              <w:rPr>
                <w:sz w:val="20"/>
              </w:rPr>
              <w:t>0.13</w:t>
            </w:r>
          </w:p>
        </w:tc>
        <w:tc>
          <w:tcPr>
            <w:tcW w:w="852" w:type="dxa"/>
            <w:tcBorders>
              <w:top w:val="nil"/>
              <w:left w:val="nil"/>
              <w:right w:val="nil"/>
            </w:tcBorders>
          </w:tcPr>
          <w:p>
            <w:pPr>
              <w:pStyle w:val="TableParagraph"/>
              <w:ind w:left="278"/>
              <w:jc w:val="left"/>
              <w:rPr>
                <w:sz w:val="20"/>
              </w:rPr>
            </w:pPr>
            <w:r>
              <w:rPr>
                <w:sz w:val="20"/>
              </w:rPr>
              <w:t>0.13</w:t>
            </w:r>
          </w:p>
        </w:tc>
        <w:tc>
          <w:tcPr>
            <w:tcW w:w="850" w:type="dxa"/>
            <w:tcBorders>
              <w:top w:val="nil"/>
              <w:left w:val="nil"/>
              <w:right w:val="nil"/>
            </w:tcBorders>
          </w:tcPr>
          <w:p>
            <w:pPr>
              <w:pStyle w:val="TableParagraph"/>
              <w:ind w:left="276"/>
              <w:jc w:val="left"/>
              <w:rPr>
                <w:sz w:val="20"/>
              </w:rPr>
            </w:pPr>
            <w:r>
              <w:rPr>
                <w:sz w:val="20"/>
              </w:rPr>
              <w:t>0.13</w:t>
            </w:r>
          </w:p>
        </w:tc>
        <w:tc>
          <w:tcPr>
            <w:tcW w:w="850" w:type="dxa"/>
            <w:tcBorders>
              <w:top w:val="nil"/>
              <w:left w:val="nil"/>
              <w:right w:val="nil"/>
            </w:tcBorders>
          </w:tcPr>
          <w:p>
            <w:pPr>
              <w:pStyle w:val="TableParagraph"/>
              <w:ind w:left="276"/>
              <w:jc w:val="left"/>
              <w:rPr>
                <w:sz w:val="20"/>
              </w:rPr>
            </w:pPr>
            <w:r>
              <w:rPr>
                <w:sz w:val="20"/>
              </w:rPr>
              <w:t>0.00</w:t>
            </w:r>
          </w:p>
        </w:tc>
        <w:tc>
          <w:tcPr>
            <w:tcW w:w="845" w:type="dxa"/>
            <w:tcBorders>
              <w:top w:val="nil"/>
              <w:left w:val="nil"/>
              <w:right w:val="nil"/>
            </w:tcBorders>
          </w:tcPr>
          <w:p>
            <w:pPr>
              <w:pStyle w:val="TableParagraph"/>
              <w:ind w:right="211"/>
              <w:rPr>
                <w:sz w:val="20"/>
              </w:rPr>
            </w:pPr>
            <w:r>
              <w:rPr>
                <w:sz w:val="20"/>
              </w:rPr>
              <w:t>0.00</w:t>
            </w:r>
          </w:p>
        </w:tc>
        <w:tc>
          <w:tcPr>
            <w:tcW w:w="780" w:type="dxa"/>
            <w:tcBorders>
              <w:top w:val="nil"/>
              <w:left w:val="nil"/>
              <w:right w:val="nil"/>
            </w:tcBorders>
          </w:tcPr>
          <w:p>
            <w:pPr>
              <w:pStyle w:val="TableParagraph"/>
              <w:ind w:right="60"/>
              <w:rPr>
                <w:sz w:val="20"/>
              </w:rPr>
            </w:pPr>
            <w:r>
              <w:rPr>
                <w:sz w:val="20"/>
              </w:rPr>
              <w:t>0.00</w:t>
            </w:r>
          </w:p>
        </w:tc>
      </w:tr>
    </w:tbl>
    <w:p>
      <w:pPr>
        <w:pStyle w:val="BodyText"/>
        <w:rPr>
          <w:b/>
          <w:sz w:val="20"/>
        </w:rPr>
      </w:pPr>
    </w:p>
    <w:p>
      <w:pPr>
        <w:pStyle w:val="BodyText"/>
        <w:rPr>
          <w:b/>
          <w:sz w:val="20"/>
        </w:rPr>
      </w:pPr>
    </w:p>
    <w:p>
      <w:pPr>
        <w:pStyle w:val="BodyText"/>
        <w:rPr>
          <w:b/>
          <w:sz w:val="20"/>
        </w:rPr>
      </w:pPr>
    </w:p>
    <w:p>
      <w:pPr>
        <w:spacing w:before="200"/>
        <w:ind w:left="2509" w:right="0" w:firstLine="0"/>
        <w:jc w:val="left"/>
        <w:rPr>
          <w:b/>
          <w:sz w:val="26"/>
        </w:rPr>
      </w:pPr>
      <w:bookmarkStart w:name="_bookmark159" w:id="218"/>
      <w:bookmarkEnd w:id="218"/>
      <w:r>
        <w:rPr/>
      </w:r>
      <w:r>
        <w:rPr>
          <w:b/>
          <w:sz w:val="26"/>
        </w:rPr>
        <w:t>Tabla 22. Densidad húmeda aparente del suelo</w:t>
      </w:r>
    </w:p>
    <w:p>
      <w:pPr>
        <w:pStyle w:val="BodyText"/>
        <w:rPr>
          <w:b/>
          <w:sz w:val="20"/>
        </w:rPr>
      </w:pPr>
    </w:p>
    <w:p>
      <w:pPr>
        <w:pStyle w:val="BodyText"/>
        <w:spacing w:before="4"/>
        <w:rPr>
          <w:b/>
          <w:sz w:val="24"/>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42"/>
        <w:gridCol w:w="703"/>
        <w:gridCol w:w="701"/>
        <w:gridCol w:w="826"/>
        <w:gridCol w:w="826"/>
        <w:gridCol w:w="826"/>
        <w:gridCol w:w="826"/>
        <w:gridCol w:w="826"/>
        <w:gridCol w:w="826"/>
        <w:gridCol w:w="821"/>
        <w:gridCol w:w="771"/>
      </w:tblGrid>
      <w:tr>
        <w:trPr>
          <w:trHeight w:val="390" w:hRule="exact"/>
        </w:trPr>
        <w:tc>
          <w:tcPr>
            <w:tcW w:w="1542" w:type="dxa"/>
            <w:tcBorders>
              <w:left w:val="nil"/>
              <w:bottom w:val="nil"/>
              <w:right w:val="nil"/>
            </w:tcBorders>
          </w:tcPr>
          <w:p>
            <w:pPr>
              <w:pStyle w:val="TableParagraph"/>
              <w:spacing w:before="173"/>
              <w:ind w:left="148"/>
              <w:jc w:val="left"/>
              <w:rPr>
                <w:sz w:val="20"/>
              </w:rPr>
            </w:pPr>
            <w:r>
              <w:rPr>
                <w:sz w:val="20"/>
              </w:rPr>
              <w:t>Nombre/Clave</w:t>
            </w:r>
          </w:p>
        </w:tc>
        <w:tc>
          <w:tcPr>
            <w:tcW w:w="703" w:type="dxa"/>
            <w:tcBorders>
              <w:left w:val="nil"/>
              <w:bottom w:val="nil"/>
              <w:right w:val="nil"/>
            </w:tcBorders>
          </w:tcPr>
          <w:p>
            <w:pPr/>
          </w:p>
        </w:tc>
        <w:tc>
          <w:tcPr>
            <w:tcW w:w="701" w:type="dxa"/>
            <w:tcBorders>
              <w:left w:val="nil"/>
              <w:bottom w:val="nil"/>
              <w:right w:val="nil"/>
            </w:tcBorders>
          </w:tcPr>
          <w:p>
            <w:pPr/>
          </w:p>
        </w:tc>
        <w:tc>
          <w:tcPr>
            <w:tcW w:w="826" w:type="dxa"/>
            <w:tcBorders>
              <w:left w:val="nil"/>
              <w:bottom w:val="nil"/>
              <w:right w:val="nil"/>
            </w:tcBorders>
          </w:tcPr>
          <w:p>
            <w:pPr/>
          </w:p>
        </w:tc>
        <w:tc>
          <w:tcPr>
            <w:tcW w:w="826" w:type="dxa"/>
            <w:tcBorders>
              <w:left w:val="nil"/>
              <w:bottom w:val="nil"/>
              <w:right w:val="nil"/>
            </w:tcBorders>
          </w:tcPr>
          <w:p>
            <w:pPr/>
          </w:p>
        </w:tc>
        <w:tc>
          <w:tcPr>
            <w:tcW w:w="2478" w:type="dxa"/>
            <w:gridSpan w:val="3"/>
            <w:tcBorders>
              <w:left w:val="nil"/>
              <w:bottom w:val="nil"/>
              <w:right w:val="nil"/>
            </w:tcBorders>
          </w:tcPr>
          <w:p>
            <w:pPr>
              <w:pStyle w:val="TableParagraph"/>
              <w:spacing w:before="58"/>
              <w:ind w:left="16"/>
              <w:jc w:val="left"/>
              <w:rPr>
                <w:sz w:val="20"/>
              </w:rPr>
            </w:pPr>
            <w:r>
              <w:rPr>
                <w:sz w:val="20"/>
              </w:rPr>
              <w:t>N° de capas del suelo</w:t>
            </w:r>
          </w:p>
        </w:tc>
        <w:tc>
          <w:tcPr>
            <w:tcW w:w="826" w:type="dxa"/>
            <w:tcBorders>
              <w:left w:val="nil"/>
              <w:bottom w:val="nil"/>
              <w:right w:val="nil"/>
            </w:tcBorders>
          </w:tcPr>
          <w:p>
            <w:pPr/>
          </w:p>
        </w:tc>
        <w:tc>
          <w:tcPr>
            <w:tcW w:w="821" w:type="dxa"/>
            <w:tcBorders>
              <w:left w:val="nil"/>
              <w:bottom w:val="nil"/>
              <w:right w:val="nil"/>
            </w:tcBorders>
          </w:tcPr>
          <w:p>
            <w:pPr/>
          </w:p>
        </w:tc>
        <w:tc>
          <w:tcPr>
            <w:tcW w:w="771" w:type="dxa"/>
            <w:tcBorders>
              <w:left w:val="nil"/>
              <w:bottom w:val="nil"/>
              <w:right w:val="nil"/>
            </w:tcBorders>
          </w:tcPr>
          <w:p>
            <w:pPr/>
          </w:p>
        </w:tc>
      </w:tr>
      <w:tr>
        <w:trPr>
          <w:trHeight w:val="215" w:hRule="exact"/>
        </w:trPr>
        <w:tc>
          <w:tcPr>
            <w:tcW w:w="1542" w:type="dxa"/>
            <w:tcBorders>
              <w:top w:val="nil"/>
              <w:left w:val="nil"/>
              <w:right w:val="nil"/>
            </w:tcBorders>
          </w:tcPr>
          <w:p>
            <w:pPr/>
          </w:p>
        </w:tc>
        <w:tc>
          <w:tcPr>
            <w:tcW w:w="703" w:type="dxa"/>
            <w:tcBorders>
              <w:top w:val="nil"/>
              <w:left w:val="nil"/>
              <w:right w:val="nil"/>
            </w:tcBorders>
          </w:tcPr>
          <w:p>
            <w:pPr>
              <w:pStyle w:val="TableParagraph"/>
              <w:spacing w:line="201" w:lineRule="exact" w:before="0"/>
              <w:ind w:left="224"/>
              <w:jc w:val="left"/>
              <w:rPr>
                <w:sz w:val="20"/>
              </w:rPr>
            </w:pPr>
            <w:r>
              <w:rPr>
                <w:w w:val="100"/>
                <w:sz w:val="20"/>
              </w:rPr>
              <w:t>1</w:t>
            </w:r>
          </w:p>
        </w:tc>
        <w:tc>
          <w:tcPr>
            <w:tcW w:w="701" w:type="dxa"/>
            <w:tcBorders>
              <w:top w:val="nil"/>
              <w:left w:val="nil"/>
              <w:right w:val="nil"/>
            </w:tcBorders>
          </w:tcPr>
          <w:p>
            <w:pPr>
              <w:pStyle w:val="TableParagraph"/>
              <w:spacing w:line="201" w:lineRule="exact" w:before="0"/>
              <w:ind w:left="189"/>
              <w:jc w:val="left"/>
              <w:rPr>
                <w:sz w:val="20"/>
              </w:rPr>
            </w:pPr>
            <w:r>
              <w:rPr>
                <w:w w:val="100"/>
                <w:sz w:val="20"/>
              </w:rPr>
              <w:t>2</w:t>
            </w:r>
          </w:p>
        </w:tc>
        <w:tc>
          <w:tcPr>
            <w:tcW w:w="826" w:type="dxa"/>
            <w:tcBorders>
              <w:top w:val="nil"/>
              <w:left w:val="nil"/>
              <w:right w:val="nil"/>
            </w:tcBorders>
          </w:tcPr>
          <w:p>
            <w:pPr>
              <w:pStyle w:val="TableParagraph"/>
              <w:spacing w:line="201" w:lineRule="exact" w:before="0"/>
              <w:ind w:left="213"/>
              <w:jc w:val="left"/>
              <w:rPr>
                <w:sz w:val="20"/>
              </w:rPr>
            </w:pPr>
            <w:r>
              <w:rPr>
                <w:w w:val="100"/>
                <w:sz w:val="20"/>
              </w:rPr>
              <w:t>3</w:t>
            </w:r>
          </w:p>
        </w:tc>
        <w:tc>
          <w:tcPr>
            <w:tcW w:w="826" w:type="dxa"/>
            <w:tcBorders>
              <w:top w:val="nil"/>
              <w:left w:val="nil"/>
              <w:right w:val="nil"/>
            </w:tcBorders>
          </w:tcPr>
          <w:p>
            <w:pPr>
              <w:pStyle w:val="TableParagraph"/>
              <w:spacing w:line="201" w:lineRule="exact" w:before="0"/>
              <w:ind w:left="213"/>
              <w:jc w:val="left"/>
              <w:rPr>
                <w:sz w:val="20"/>
              </w:rPr>
            </w:pPr>
            <w:r>
              <w:rPr>
                <w:w w:val="100"/>
                <w:sz w:val="20"/>
              </w:rPr>
              <w:t>4</w:t>
            </w:r>
          </w:p>
        </w:tc>
        <w:tc>
          <w:tcPr>
            <w:tcW w:w="826" w:type="dxa"/>
            <w:tcBorders>
              <w:top w:val="nil"/>
              <w:left w:val="nil"/>
              <w:right w:val="nil"/>
            </w:tcBorders>
          </w:tcPr>
          <w:p>
            <w:pPr>
              <w:pStyle w:val="TableParagraph"/>
              <w:spacing w:line="201" w:lineRule="exact" w:before="0"/>
              <w:ind w:left="213"/>
              <w:jc w:val="left"/>
              <w:rPr>
                <w:sz w:val="20"/>
              </w:rPr>
            </w:pPr>
            <w:r>
              <w:rPr>
                <w:w w:val="100"/>
                <w:sz w:val="20"/>
              </w:rPr>
              <w:t>5</w:t>
            </w:r>
          </w:p>
        </w:tc>
        <w:tc>
          <w:tcPr>
            <w:tcW w:w="826" w:type="dxa"/>
            <w:tcBorders>
              <w:top w:val="nil"/>
              <w:left w:val="nil"/>
              <w:right w:val="nil"/>
            </w:tcBorders>
          </w:tcPr>
          <w:p>
            <w:pPr>
              <w:pStyle w:val="TableParagraph"/>
              <w:spacing w:line="201" w:lineRule="exact" w:before="0"/>
              <w:ind w:left="213"/>
              <w:jc w:val="left"/>
              <w:rPr>
                <w:sz w:val="20"/>
              </w:rPr>
            </w:pPr>
            <w:r>
              <w:rPr>
                <w:w w:val="100"/>
                <w:sz w:val="20"/>
              </w:rPr>
              <w:t>6</w:t>
            </w:r>
          </w:p>
        </w:tc>
        <w:tc>
          <w:tcPr>
            <w:tcW w:w="826" w:type="dxa"/>
            <w:tcBorders>
              <w:top w:val="nil"/>
              <w:left w:val="nil"/>
              <w:right w:val="nil"/>
            </w:tcBorders>
          </w:tcPr>
          <w:p>
            <w:pPr>
              <w:pStyle w:val="TableParagraph"/>
              <w:spacing w:line="201" w:lineRule="exact" w:before="0"/>
              <w:ind w:left="213"/>
              <w:jc w:val="left"/>
              <w:rPr>
                <w:sz w:val="20"/>
              </w:rPr>
            </w:pPr>
            <w:r>
              <w:rPr>
                <w:w w:val="100"/>
                <w:sz w:val="20"/>
              </w:rPr>
              <w:t>7</w:t>
            </w:r>
          </w:p>
        </w:tc>
        <w:tc>
          <w:tcPr>
            <w:tcW w:w="826" w:type="dxa"/>
            <w:tcBorders>
              <w:top w:val="nil"/>
              <w:left w:val="nil"/>
              <w:right w:val="nil"/>
            </w:tcBorders>
          </w:tcPr>
          <w:p>
            <w:pPr>
              <w:pStyle w:val="TableParagraph"/>
              <w:spacing w:line="201" w:lineRule="exact" w:before="0"/>
              <w:ind w:left="213"/>
              <w:jc w:val="left"/>
              <w:rPr>
                <w:sz w:val="20"/>
              </w:rPr>
            </w:pPr>
            <w:r>
              <w:rPr>
                <w:w w:val="100"/>
                <w:sz w:val="20"/>
              </w:rPr>
              <w:t>8</w:t>
            </w:r>
          </w:p>
        </w:tc>
        <w:tc>
          <w:tcPr>
            <w:tcW w:w="821" w:type="dxa"/>
            <w:tcBorders>
              <w:top w:val="nil"/>
              <w:left w:val="nil"/>
              <w:right w:val="nil"/>
            </w:tcBorders>
          </w:tcPr>
          <w:p>
            <w:pPr>
              <w:pStyle w:val="TableParagraph"/>
              <w:spacing w:line="201" w:lineRule="exact" w:before="0"/>
              <w:ind w:left="213"/>
              <w:jc w:val="left"/>
              <w:rPr>
                <w:sz w:val="20"/>
              </w:rPr>
            </w:pPr>
            <w:r>
              <w:rPr>
                <w:w w:val="100"/>
                <w:sz w:val="20"/>
              </w:rPr>
              <w:t>9</w:t>
            </w:r>
          </w:p>
        </w:tc>
        <w:tc>
          <w:tcPr>
            <w:tcW w:w="771" w:type="dxa"/>
            <w:tcBorders>
              <w:top w:val="nil"/>
              <w:left w:val="nil"/>
              <w:right w:val="nil"/>
            </w:tcBorders>
          </w:tcPr>
          <w:p>
            <w:pPr>
              <w:pStyle w:val="TableParagraph"/>
              <w:spacing w:line="201" w:lineRule="exact" w:before="0"/>
              <w:ind w:left="209"/>
              <w:jc w:val="left"/>
              <w:rPr>
                <w:sz w:val="20"/>
              </w:rPr>
            </w:pPr>
            <w:r>
              <w:rPr>
                <w:sz w:val="20"/>
              </w:rPr>
              <w:t>10</w:t>
            </w:r>
          </w:p>
        </w:tc>
      </w:tr>
      <w:tr>
        <w:trPr>
          <w:trHeight w:val="342" w:hRule="exact"/>
        </w:trPr>
        <w:tc>
          <w:tcPr>
            <w:tcW w:w="1542" w:type="dxa"/>
            <w:tcBorders>
              <w:left w:val="nil"/>
              <w:bottom w:val="nil"/>
              <w:right w:val="nil"/>
            </w:tcBorders>
          </w:tcPr>
          <w:p>
            <w:pPr>
              <w:pStyle w:val="TableParagraph"/>
              <w:spacing w:before="63"/>
              <w:ind w:left="86"/>
              <w:jc w:val="left"/>
              <w:rPr>
                <w:sz w:val="20"/>
              </w:rPr>
            </w:pPr>
            <w:r>
              <w:rPr>
                <w:sz w:val="20"/>
              </w:rPr>
              <w:t>TEJ_HhFd</w:t>
            </w:r>
          </w:p>
        </w:tc>
        <w:tc>
          <w:tcPr>
            <w:tcW w:w="703" w:type="dxa"/>
            <w:tcBorders>
              <w:left w:val="nil"/>
              <w:bottom w:val="nil"/>
              <w:right w:val="nil"/>
            </w:tcBorders>
          </w:tcPr>
          <w:p>
            <w:pPr>
              <w:pStyle w:val="TableParagraph"/>
              <w:spacing w:before="63"/>
              <w:ind w:left="215"/>
              <w:jc w:val="left"/>
              <w:rPr>
                <w:sz w:val="20"/>
              </w:rPr>
            </w:pPr>
            <w:r>
              <w:rPr>
                <w:sz w:val="20"/>
              </w:rPr>
              <w:t>1.60</w:t>
            </w:r>
          </w:p>
        </w:tc>
        <w:tc>
          <w:tcPr>
            <w:tcW w:w="701" w:type="dxa"/>
            <w:tcBorders>
              <w:left w:val="nil"/>
              <w:bottom w:val="nil"/>
              <w:right w:val="nil"/>
            </w:tcBorders>
          </w:tcPr>
          <w:p>
            <w:pPr>
              <w:pStyle w:val="TableParagraph"/>
              <w:spacing w:before="63"/>
              <w:ind w:left="132"/>
              <w:jc w:val="left"/>
              <w:rPr>
                <w:sz w:val="20"/>
              </w:rPr>
            </w:pPr>
            <w:r>
              <w:rPr>
                <w:sz w:val="20"/>
              </w:rPr>
              <w:t>1.60</w:t>
            </w:r>
          </w:p>
        </w:tc>
        <w:tc>
          <w:tcPr>
            <w:tcW w:w="826" w:type="dxa"/>
            <w:tcBorders>
              <w:left w:val="nil"/>
              <w:bottom w:val="nil"/>
              <w:right w:val="nil"/>
            </w:tcBorders>
          </w:tcPr>
          <w:p>
            <w:pPr>
              <w:pStyle w:val="TableParagraph"/>
              <w:spacing w:before="63"/>
              <w:ind w:left="256"/>
              <w:jc w:val="left"/>
              <w:rPr>
                <w:sz w:val="20"/>
              </w:rPr>
            </w:pPr>
            <w:r>
              <w:rPr>
                <w:sz w:val="20"/>
              </w:rPr>
              <w:t>1.60</w:t>
            </w:r>
          </w:p>
        </w:tc>
        <w:tc>
          <w:tcPr>
            <w:tcW w:w="826" w:type="dxa"/>
            <w:tcBorders>
              <w:left w:val="nil"/>
              <w:bottom w:val="nil"/>
              <w:right w:val="nil"/>
            </w:tcBorders>
          </w:tcPr>
          <w:p>
            <w:pPr>
              <w:pStyle w:val="TableParagraph"/>
              <w:spacing w:before="63"/>
              <w:ind w:right="211"/>
              <w:rPr>
                <w:sz w:val="20"/>
              </w:rPr>
            </w:pPr>
            <w:r>
              <w:rPr>
                <w:sz w:val="20"/>
              </w:rPr>
              <w:t>1.60</w:t>
            </w:r>
          </w:p>
        </w:tc>
        <w:tc>
          <w:tcPr>
            <w:tcW w:w="826" w:type="dxa"/>
            <w:tcBorders>
              <w:left w:val="nil"/>
              <w:bottom w:val="nil"/>
              <w:right w:val="nil"/>
            </w:tcBorders>
          </w:tcPr>
          <w:p>
            <w:pPr>
              <w:pStyle w:val="TableParagraph"/>
              <w:spacing w:before="63"/>
              <w:ind w:left="257"/>
              <w:jc w:val="left"/>
              <w:rPr>
                <w:sz w:val="20"/>
              </w:rPr>
            </w:pPr>
            <w:r>
              <w:rPr>
                <w:sz w:val="20"/>
              </w:rPr>
              <w:t>1.60</w:t>
            </w:r>
          </w:p>
        </w:tc>
        <w:tc>
          <w:tcPr>
            <w:tcW w:w="826" w:type="dxa"/>
            <w:tcBorders>
              <w:left w:val="nil"/>
              <w:bottom w:val="nil"/>
              <w:right w:val="nil"/>
            </w:tcBorders>
          </w:tcPr>
          <w:p>
            <w:pPr>
              <w:pStyle w:val="TableParagraph"/>
              <w:spacing w:before="63"/>
              <w:ind w:left="256"/>
              <w:jc w:val="left"/>
              <w:rPr>
                <w:sz w:val="20"/>
              </w:rPr>
            </w:pPr>
            <w:r>
              <w:rPr>
                <w:sz w:val="20"/>
              </w:rPr>
              <w:t>1.60</w:t>
            </w:r>
          </w:p>
        </w:tc>
        <w:tc>
          <w:tcPr>
            <w:tcW w:w="826" w:type="dxa"/>
            <w:tcBorders>
              <w:left w:val="nil"/>
              <w:bottom w:val="nil"/>
              <w:right w:val="nil"/>
            </w:tcBorders>
          </w:tcPr>
          <w:p>
            <w:pPr>
              <w:pStyle w:val="TableParagraph"/>
              <w:spacing w:before="63"/>
              <w:ind w:left="257"/>
              <w:jc w:val="left"/>
              <w:rPr>
                <w:sz w:val="20"/>
              </w:rPr>
            </w:pPr>
            <w:r>
              <w:rPr>
                <w:sz w:val="20"/>
              </w:rPr>
              <w:t>1.53</w:t>
            </w:r>
          </w:p>
        </w:tc>
        <w:tc>
          <w:tcPr>
            <w:tcW w:w="826" w:type="dxa"/>
            <w:tcBorders>
              <w:left w:val="nil"/>
              <w:bottom w:val="nil"/>
              <w:right w:val="nil"/>
            </w:tcBorders>
          </w:tcPr>
          <w:p>
            <w:pPr>
              <w:pStyle w:val="TableParagraph"/>
              <w:spacing w:before="63"/>
              <w:ind w:left="257"/>
              <w:jc w:val="left"/>
              <w:rPr>
                <w:sz w:val="20"/>
              </w:rPr>
            </w:pPr>
            <w:r>
              <w:rPr>
                <w:sz w:val="20"/>
              </w:rPr>
              <w:t>0.00</w:t>
            </w:r>
          </w:p>
        </w:tc>
        <w:tc>
          <w:tcPr>
            <w:tcW w:w="821" w:type="dxa"/>
            <w:tcBorders>
              <w:left w:val="nil"/>
              <w:bottom w:val="nil"/>
              <w:right w:val="nil"/>
            </w:tcBorders>
          </w:tcPr>
          <w:p>
            <w:pPr>
              <w:pStyle w:val="TableParagraph"/>
              <w:spacing w:before="63"/>
              <w:ind w:left="256" w:right="84"/>
              <w:jc w:val="left"/>
              <w:rPr>
                <w:sz w:val="20"/>
              </w:rPr>
            </w:pPr>
            <w:r>
              <w:rPr>
                <w:sz w:val="20"/>
              </w:rPr>
              <w:t>0.00</w:t>
            </w:r>
          </w:p>
        </w:tc>
        <w:tc>
          <w:tcPr>
            <w:tcW w:w="771" w:type="dxa"/>
            <w:tcBorders>
              <w:left w:val="nil"/>
              <w:bottom w:val="nil"/>
              <w:right w:val="nil"/>
            </w:tcBorders>
          </w:tcPr>
          <w:p>
            <w:pPr>
              <w:pStyle w:val="TableParagraph"/>
              <w:spacing w:before="63"/>
              <w:ind w:right="65"/>
              <w:rPr>
                <w:sz w:val="20"/>
              </w:rPr>
            </w:pPr>
            <w:r>
              <w:rPr>
                <w:sz w:val="20"/>
              </w:rPr>
              <w:t>0.00</w:t>
            </w:r>
          </w:p>
        </w:tc>
      </w:tr>
      <w:tr>
        <w:trPr>
          <w:trHeight w:val="298" w:hRule="exact"/>
        </w:trPr>
        <w:tc>
          <w:tcPr>
            <w:tcW w:w="1542" w:type="dxa"/>
            <w:tcBorders>
              <w:top w:val="nil"/>
              <w:left w:val="nil"/>
              <w:bottom w:val="nil"/>
              <w:right w:val="nil"/>
            </w:tcBorders>
          </w:tcPr>
          <w:p>
            <w:pPr>
              <w:pStyle w:val="TableParagraph"/>
              <w:ind w:left="86"/>
              <w:jc w:val="left"/>
              <w:rPr>
                <w:sz w:val="20"/>
              </w:rPr>
            </w:pPr>
            <w:r>
              <w:rPr>
                <w:sz w:val="20"/>
              </w:rPr>
              <w:t>TEJ_HhFdp</w:t>
            </w:r>
          </w:p>
        </w:tc>
        <w:tc>
          <w:tcPr>
            <w:tcW w:w="703" w:type="dxa"/>
            <w:tcBorders>
              <w:top w:val="nil"/>
              <w:left w:val="nil"/>
              <w:bottom w:val="nil"/>
              <w:right w:val="nil"/>
            </w:tcBorders>
          </w:tcPr>
          <w:p>
            <w:pPr>
              <w:pStyle w:val="TableParagraph"/>
              <w:ind w:left="215"/>
              <w:jc w:val="left"/>
              <w:rPr>
                <w:sz w:val="20"/>
              </w:rPr>
            </w:pPr>
            <w:r>
              <w:rPr>
                <w:sz w:val="20"/>
              </w:rPr>
              <w:t>1.60</w:t>
            </w:r>
          </w:p>
        </w:tc>
        <w:tc>
          <w:tcPr>
            <w:tcW w:w="701" w:type="dxa"/>
            <w:tcBorders>
              <w:top w:val="nil"/>
              <w:left w:val="nil"/>
              <w:bottom w:val="nil"/>
              <w:right w:val="nil"/>
            </w:tcBorders>
          </w:tcPr>
          <w:p>
            <w:pPr>
              <w:pStyle w:val="TableParagraph"/>
              <w:ind w:left="132"/>
              <w:jc w:val="left"/>
              <w:rPr>
                <w:sz w:val="20"/>
              </w:rPr>
            </w:pPr>
            <w:r>
              <w:rPr>
                <w:sz w:val="20"/>
              </w:rPr>
              <w:t>1.60</w:t>
            </w:r>
          </w:p>
        </w:tc>
        <w:tc>
          <w:tcPr>
            <w:tcW w:w="826" w:type="dxa"/>
            <w:tcBorders>
              <w:top w:val="nil"/>
              <w:left w:val="nil"/>
              <w:bottom w:val="nil"/>
              <w:right w:val="nil"/>
            </w:tcBorders>
          </w:tcPr>
          <w:p>
            <w:pPr>
              <w:pStyle w:val="TableParagraph"/>
              <w:ind w:left="256"/>
              <w:jc w:val="left"/>
              <w:rPr>
                <w:sz w:val="20"/>
              </w:rPr>
            </w:pPr>
            <w:r>
              <w:rPr>
                <w:sz w:val="20"/>
              </w:rPr>
              <w:t>1.60</w:t>
            </w:r>
          </w:p>
        </w:tc>
        <w:tc>
          <w:tcPr>
            <w:tcW w:w="826" w:type="dxa"/>
            <w:tcBorders>
              <w:top w:val="nil"/>
              <w:left w:val="nil"/>
              <w:bottom w:val="nil"/>
              <w:right w:val="nil"/>
            </w:tcBorders>
          </w:tcPr>
          <w:p>
            <w:pPr>
              <w:pStyle w:val="TableParagraph"/>
              <w:ind w:right="211"/>
              <w:rPr>
                <w:sz w:val="20"/>
              </w:rPr>
            </w:pPr>
            <w:r>
              <w:rPr>
                <w:sz w:val="20"/>
              </w:rPr>
              <w:t>1.60</w:t>
            </w:r>
          </w:p>
        </w:tc>
        <w:tc>
          <w:tcPr>
            <w:tcW w:w="826" w:type="dxa"/>
            <w:tcBorders>
              <w:top w:val="nil"/>
              <w:left w:val="nil"/>
              <w:bottom w:val="nil"/>
              <w:right w:val="nil"/>
            </w:tcBorders>
          </w:tcPr>
          <w:p>
            <w:pPr>
              <w:pStyle w:val="TableParagraph"/>
              <w:ind w:left="257"/>
              <w:jc w:val="left"/>
              <w:rPr>
                <w:sz w:val="20"/>
              </w:rPr>
            </w:pPr>
            <w:r>
              <w:rPr>
                <w:sz w:val="20"/>
              </w:rPr>
              <w:t>1.60</w:t>
            </w:r>
          </w:p>
        </w:tc>
        <w:tc>
          <w:tcPr>
            <w:tcW w:w="826" w:type="dxa"/>
            <w:tcBorders>
              <w:top w:val="nil"/>
              <w:left w:val="nil"/>
              <w:bottom w:val="nil"/>
              <w:right w:val="nil"/>
            </w:tcBorders>
          </w:tcPr>
          <w:p>
            <w:pPr>
              <w:pStyle w:val="TableParagraph"/>
              <w:ind w:left="256"/>
              <w:jc w:val="left"/>
              <w:rPr>
                <w:sz w:val="20"/>
              </w:rPr>
            </w:pPr>
            <w:r>
              <w:rPr>
                <w:sz w:val="20"/>
              </w:rPr>
              <w:t>1.60</w:t>
            </w:r>
          </w:p>
        </w:tc>
        <w:tc>
          <w:tcPr>
            <w:tcW w:w="826" w:type="dxa"/>
            <w:tcBorders>
              <w:top w:val="nil"/>
              <w:left w:val="nil"/>
              <w:bottom w:val="nil"/>
              <w:right w:val="nil"/>
            </w:tcBorders>
          </w:tcPr>
          <w:p>
            <w:pPr>
              <w:pStyle w:val="TableParagraph"/>
              <w:ind w:left="257"/>
              <w:jc w:val="left"/>
              <w:rPr>
                <w:sz w:val="20"/>
              </w:rPr>
            </w:pPr>
            <w:r>
              <w:rPr>
                <w:sz w:val="20"/>
              </w:rPr>
              <w:t>1.53</w:t>
            </w:r>
          </w:p>
        </w:tc>
        <w:tc>
          <w:tcPr>
            <w:tcW w:w="826" w:type="dxa"/>
            <w:tcBorders>
              <w:top w:val="nil"/>
              <w:left w:val="nil"/>
              <w:bottom w:val="nil"/>
              <w:right w:val="nil"/>
            </w:tcBorders>
          </w:tcPr>
          <w:p>
            <w:pPr>
              <w:pStyle w:val="TableParagraph"/>
              <w:ind w:left="257"/>
              <w:jc w:val="left"/>
              <w:rPr>
                <w:sz w:val="20"/>
              </w:rPr>
            </w:pPr>
            <w:r>
              <w:rPr>
                <w:sz w:val="20"/>
              </w:rPr>
              <w:t>0.00</w:t>
            </w:r>
          </w:p>
        </w:tc>
        <w:tc>
          <w:tcPr>
            <w:tcW w:w="821" w:type="dxa"/>
            <w:tcBorders>
              <w:top w:val="nil"/>
              <w:left w:val="nil"/>
              <w:bottom w:val="nil"/>
              <w:right w:val="nil"/>
            </w:tcBorders>
          </w:tcPr>
          <w:p>
            <w:pPr>
              <w:pStyle w:val="TableParagraph"/>
              <w:ind w:left="256" w:right="84"/>
              <w:jc w:val="left"/>
              <w:rPr>
                <w:sz w:val="20"/>
              </w:rPr>
            </w:pPr>
            <w:r>
              <w:rPr>
                <w:sz w:val="20"/>
              </w:rPr>
              <w:t>0.00</w:t>
            </w:r>
          </w:p>
        </w:tc>
        <w:tc>
          <w:tcPr>
            <w:tcW w:w="771" w:type="dxa"/>
            <w:tcBorders>
              <w:top w:val="nil"/>
              <w:left w:val="nil"/>
              <w:bottom w:val="nil"/>
              <w:right w:val="nil"/>
            </w:tcBorders>
          </w:tcPr>
          <w:p>
            <w:pPr>
              <w:pStyle w:val="TableParagraph"/>
              <w:ind w:right="65"/>
              <w:rPr>
                <w:sz w:val="20"/>
              </w:rPr>
            </w:pPr>
            <w:r>
              <w:rPr>
                <w:sz w:val="20"/>
              </w:rPr>
              <w:t>0.00</w:t>
            </w:r>
          </w:p>
        </w:tc>
      </w:tr>
      <w:tr>
        <w:trPr>
          <w:trHeight w:val="300" w:hRule="exact"/>
        </w:trPr>
        <w:tc>
          <w:tcPr>
            <w:tcW w:w="1542" w:type="dxa"/>
            <w:tcBorders>
              <w:top w:val="nil"/>
              <w:left w:val="nil"/>
              <w:bottom w:val="nil"/>
              <w:right w:val="nil"/>
            </w:tcBorders>
          </w:tcPr>
          <w:p>
            <w:pPr>
              <w:pStyle w:val="TableParagraph"/>
              <w:ind w:left="86"/>
              <w:jc w:val="left"/>
              <w:rPr>
                <w:sz w:val="20"/>
              </w:rPr>
            </w:pPr>
            <w:r>
              <w:rPr>
                <w:sz w:val="20"/>
              </w:rPr>
              <w:t>TEJ_HhFl</w:t>
            </w:r>
          </w:p>
        </w:tc>
        <w:tc>
          <w:tcPr>
            <w:tcW w:w="703" w:type="dxa"/>
            <w:tcBorders>
              <w:top w:val="nil"/>
              <w:left w:val="nil"/>
              <w:bottom w:val="nil"/>
              <w:right w:val="nil"/>
            </w:tcBorders>
          </w:tcPr>
          <w:p>
            <w:pPr>
              <w:pStyle w:val="TableParagraph"/>
              <w:ind w:left="215"/>
              <w:jc w:val="left"/>
              <w:rPr>
                <w:sz w:val="20"/>
              </w:rPr>
            </w:pPr>
            <w:r>
              <w:rPr>
                <w:sz w:val="20"/>
              </w:rPr>
              <w:t>1.60</w:t>
            </w:r>
          </w:p>
        </w:tc>
        <w:tc>
          <w:tcPr>
            <w:tcW w:w="701" w:type="dxa"/>
            <w:tcBorders>
              <w:top w:val="nil"/>
              <w:left w:val="nil"/>
              <w:bottom w:val="nil"/>
              <w:right w:val="nil"/>
            </w:tcBorders>
          </w:tcPr>
          <w:p>
            <w:pPr>
              <w:pStyle w:val="TableParagraph"/>
              <w:ind w:left="132"/>
              <w:jc w:val="left"/>
              <w:rPr>
                <w:sz w:val="20"/>
              </w:rPr>
            </w:pPr>
            <w:r>
              <w:rPr>
                <w:sz w:val="20"/>
              </w:rPr>
              <w:t>1.60</w:t>
            </w:r>
          </w:p>
        </w:tc>
        <w:tc>
          <w:tcPr>
            <w:tcW w:w="826" w:type="dxa"/>
            <w:tcBorders>
              <w:top w:val="nil"/>
              <w:left w:val="nil"/>
              <w:bottom w:val="nil"/>
              <w:right w:val="nil"/>
            </w:tcBorders>
          </w:tcPr>
          <w:p>
            <w:pPr>
              <w:pStyle w:val="TableParagraph"/>
              <w:ind w:left="256"/>
              <w:jc w:val="left"/>
              <w:rPr>
                <w:sz w:val="20"/>
              </w:rPr>
            </w:pPr>
            <w:r>
              <w:rPr>
                <w:sz w:val="20"/>
              </w:rPr>
              <w:t>1.60</w:t>
            </w:r>
          </w:p>
        </w:tc>
        <w:tc>
          <w:tcPr>
            <w:tcW w:w="826" w:type="dxa"/>
            <w:tcBorders>
              <w:top w:val="nil"/>
              <w:left w:val="nil"/>
              <w:bottom w:val="nil"/>
              <w:right w:val="nil"/>
            </w:tcBorders>
          </w:tcPr>
          <w:p>
            <w:pPr>
              <w:pStyle w:val="TableParagraph"/>
              <w:ind w:right="211"/>
              <w:rPr>
                <w:sz w:val="20"/>
              </w:rPr>
            </w:pPr>
            <w:r>
              <w:rPr>
                <w:sz w:val="20"/>
              </w:rPr>
              <w:t>1.60</w:t>
            </w:r>
          </w:p>
        </w:tc>
        <w:tc>
          <w:tcPr>
            <w:tcW w:w="826" w:type="dxa"/>
            <w:tcBorders>
              <w:top w:val="nil"/>
              <w:left w:val="nil"/>
              <w:bottom w:val="nil"/>
              <w:right w:val="nil"/>
            </w:tcBorders>
          </w:tcPr>
          <w:p>
            <w:pPr>
              <w:pStyle w:val="TableParagraph"/>
              <w:ind w:left="257"/>
              <w:jc w:val="left"/>
              <w:rPr>
                <w:sz w:val="20"/>
              </w:rPr>
            </w:pPr>
            <w:r>
              <w:rPr>
                <w:sz w:val="20"/>
              </w:rPr>
              <w:t>1.60</w:t>
            </w:r>
          </w:p>
        </w:tc>
        <w:tc>
          <w:tcPr>
            <w:tcW w:w="826" w:type="dxa"/>
            <w:tcBorders>
              <w:top w:val="nil"/>
              <w:left w:val="nil"/>
              <w:bottom w:val="nil"/>
              <w:right w:val="nil"/>
            </w:tcBorders>
          </w:tcPr>
          <w:p>
            <w:pPr>
              <w:pStyle w:val="TableParagraph"/>
              <w:ind w:left="256"/>
              <w:jc w:val="left"/>
              <w:rPr>
                <w:sz w:val="20"/>
              </w:rPr>
            </w:pPr>
            <w:r>
              <w:rPr>
                <w:sz w:val="20"/>
              </w:rPr>
              <w:t>1.60</w:t>
            </w:r>
          </w:p>
        </w:tc>
        <w:tc>
          <w:tcPr>
            <w:tcW w:w="826" w:type="dxa"/>
            <w:tcBorders>
              <w:top w:val="nil"/>
              <w:left w:val="nil"/>
              <w:bottom w:val="nil"/>
              <w:right w:val="nil"/>
            </w:tcBorders>
          </w:tcPr>
          <w:p>
            <w:pPr>
              <w:pStyle w:val="TableParagraph"/>
              <w:ind w:left="257"/>
              <w:jc w:val="left"/>
              <w:rPr>
                <w:sz w:val="20"/>
              </w:rPr>
            </w:pPr>
            <w:r>
              <w:rPr>
                <w:sz w:val="20"/>
              </w:rPr>
              <w:t>1.51</w:t>
            </w:r>
          </w:p>
        </w:tc>
        <w:tc>
          <w:tcPr>
            <w:tcW w:w="826" w:type="dxa"/>
            <w:tcBorders>
              <w:top w:val="nil"/>
              <w:left w:val="nil"/>
              <w:bottom w:val="nil"/>
              <w:right w:val="nil"/>
            </w:tcBorders>
          </w:tcPr>
          <w:p>
            <w:pPr>
              <w:pStyle w:val="TableParagraph"/>
              <w:ind w:left="257"/>
              <w:jc w:val="left"/>
              <w:rPr>
                <w:sz w:val="20"/>
              </w:rPr>
            </w:pPr>
            <w:r>
              <w:rPr>
                <w:sz w:val="20"/>
              </w:rPr>
              <w:t>0.00</w:t>
            </w:r>
          </w:p>
        </w:tc>
        <w:tc>
          <w:tcPr>
            <w:tcW w:w="821" w:type="dxa"/>
            <w:tcBorders>
              <w:top w:val="nil"/>
              <w:left w:val="nil"/>
              <w:bottom w:val="nil"/>
              <w:right w:val="nil"/>
            </w:tcBorders>
          </w:tcPr>
          <w:p>
            <w:pPr>
              <w:pStyle w:val="TableParagraph"/>
              <w:ind w:left="256" w:right="84"/>
              <w:jc w:val="left"/>
              <w:rPr>
                <w:sz w:val="20"/>
              </w:rPr>
            </w:pPr>
            <w:r>
              <w:rPr>
                <w:sz w:val="20"/>
              </w:rPr>
              <w:t>0.00</w:t>
            </w:r>
          </w:p>
        </w:tc>
        <w:tc>
          <w:tcPr>
            <w:tcW w:w="771" w:type="dxa"/>
            <w:tcBorders>
              <w:top w:val="nil"/>
              <w:left w:val="nil"/>
              <w:bottom w:val="nil"/>
              <w:right w:val="nil"/>
            </w:tcBorders>
          </w:tcPr>
          <w:p>
            <w:pPr>
              <w:pStyle w:val="TableParagraph"/>
              <w:ind w:right="65"/>
              <w:rPr>
                <w:sz w:val="20"/>
              </w:rPr>
            </w:pPr>
            <w:r>
              <w:rPr>
                <w:sz w:val="20"/>
              </w:rPr>
              <w:t>0.00</w:t>
            </w:r>
          </w:p>
        </w:tc>
      </w:tr>
      <w:tr>
        <w:trPr>
          <w:trHeight w:val="300" w:hRule="exact"/>
        </w:trPr>
        <w:tc>
          <w:tcPr>
            <w:tcW w:w="1542" w:type="dxa"/>
            <w:tcBorders>
              <w:top w:val="nil"/>
              <w:left w:val="nil"/>
              <w:bottom w:val="nil"/>
              <w:right w:val="nil"/>
            </w:tcBorders>
          </w:tcPr>
          <w:p>
            <w:pPr>
              <w:pStyle w:val="TableParagraph"/>
              <w:spacing w:before="26"/>
              <w:ind w:left="86"/>
              <w:jc w:val="left"/>
              <w:rPr>
                <w:sz w:val="20"/>
              </w:rPr>
            </w:pPr>
            <w:r>
              <w:rPr>
                <w:sz w:val="20"/>
              </w:rPr>
              <w:t>TEJ_HhFlp</w:t>
            </w:r>
          </w:p>
        </w:tc>
        <w:tc>
          <w:tcPr>
            <w:tcW w:w="703" w:type="dxa"/>
            <w:tcBorders>
              <w:top w:val="nil"/>
              <w:left w:val="nil"/>
              <w:bottom w:val="nil"/>
              <w:right w:val="nil"/>
            </w:tcBorders>
          </w:tcPr>
          <w:p>
            <w:pPr>
              <w:pStyle w:val="TableParagraph"/>
              <w:spacing w:before="26"/>
              <w:ind w:left="215"/>
              <w:jc w:val="left"/>
              <w:rPr>
                <w:sz w:val="20"/>
              </w:rPr>
            </w:pPr>
            <w:r>
              <w:rPr>
                <w:sz w:val="20"/>
              </w:rPr>
              <w:t>1.60</w:t>
            </w:r>
          </w:p>
        </w:tc>
        <w:tc>
          <w:tcPr>
            <w:tcW w:w="701" w:type="dxa"/>
            <w:tcBorders>
              <w:top w:val="nil"/>
              <w:left w:val="nil"/>
              <w:bottom w:val="nil"/>
              <w:right w:val="nil"/>
            </w:tcBorders>
          </w:tcPr>
          <w:p>
            <w:pPr>
              <w:pStyle w:val="TableParagraph"/>
              <w:spacing w:before="26"/>
              <w:ind w:left="132"/>
              <w:jc w:val="left"/>
              <w:rPr>
                <w:sz w:val="20"/>
              </w:rPr>
            </w:pPr>
            <w:r>
              <w:rPr>
                <w:sz w:val="20"/>
              </w:rPr>
              <w:t>1.60</w:t>
            </w:r>
          </w:p>
        </w:tc>
        <w:tc>
          <w:tcPr>
            <w:tcW w:w="826" w:type="dxa"/>
            <w:tcBorders>
              <w:top w:val="nil"/>
              <w:left w:val="nil"/>
              <w:bottom w:val="nil"/>
              <w:right w:val="nil"/>
            </w:tcBorders>
          </w:tcPr>
          <w:p>
            <w:pPr>
              <w:pStyle w:val="TableParagraph"/>
              <w:spacing w:before="26"/>
              <w:ind w:left="256"/>
              <w:jc w:val="left"/>
              <w:rPr>
                <w:sz w:val="20"/>
              </w:rPr>
            </w:pPr>
            <w:r>
              <w:rPr>
                <w:sz w:val="20"/>
              </w:rPr>
              <w:t>1.60</w:t>
            </w:r>
          </w:p>
        </w:tc>
        <w:tc>
          <w:tcPr>
            <w:tcW w:w="826" w:type="dxa"/>
            <w:tcBorders>
              <w:top w:val="nil"/>
              <w:left w:val="nil"/>
              <w:bottom w:val="nil"/>
              <w:right w:val="nil"/>
            </w:tcBorders>
          </w:tcPr>
          <w:p>
            <w:pPr>
              <w:pStyle w:val="TableParagraph"/>
              <w:spacing w:before="26"/>
              <w:ind w:right="211"/>
              <w:rPr>
                <w:sz w:val="20"/>
              </w:rPr>
            </w:pPr>
            <w:r>
              <w:rPr>
                <w:sz w:val="20"/>
              </w:rPr>
              <w:t>1.60</w:t>
            </w:r>
          </w:p>
        </w:tc>
        <w:tc>
          <w:tcPr>
            <w:tcW w:w="826" w:type="dxa"/>
            <w:tcBorders>
              <w:top w:val="nil"/>
              <w:left w:val="nil"/>
              <w:bottom w:val="nil"/>
              <w:right w:val="nil"/>
            </w:tcBorders>
          </w:tcPr>
          <w:p>
            <w:pPr>
              <w:pStyle w:val="TableParagraph"/>
              <w:spacing w:before="26"/>
              <w:ind w:left="257"/>
              <w:jc w:val="left"/>
              <w:rPr>
                <w:sz w:val="20"/>
              </w:rPr>
            </w:pPr>
            <w:r>
              <w:rPr>
                <w:sz w:val="20"/>
              </w:rPr>
              <w:t>1.60</w:t>
            </w:r>
          </w:p>
        </w:tc>
        <w:tc>
          <w:tcPr>
            <w:tcW w:w="826" w:type="dxa"/>
            <w:tcBorders>
              <w:top w:val="nil"/>
              <w:left w:val="nil"/>
              <w:bottom w:val="nil"/>
              <w:right w:val="nil"/>
            </w:tcBorders>
          </w:tcPr>
          <w:p>
            <w:pPr>
              <w:pStyle w:val="TableParagraph"/>
              <w:spacing w:before="26"/>
              <w:ind w:left="256"/>
              <w:jc w:val="left"/>
              <w:rPr>
                <w:sz w:val="20"/>
              </w:rPr>
            </w:pPr>
            <w:r>
              <w:rPr>
                <w:sz w:val="20"/>
              </w:rPr>
              <w:t>1.60</w:t>
            </w:r>
          </w:p>
        </w:tc>
        <w:tc>
          <w:tcPr>
            <w:tcW w:w="826" w:type="dxa"/>
            <w:tcBorders>
              <w:top w:val="nil"/>
              <w:left w:val="nil"/>
              <w:bottom w:val="nil"/>
              <w:right w:val="nil"/>
            </w:tcBorders>
          </w:tcPr>
          <w:p>
            <w:pPr>
              <w:pStyle w:val="TableParagraph"/>
              <w:spacing w:before="26"/>
              <w:ind w:left="257"/>
              <w:jc w:val="left"/>
              <w:rPr>
                <w:sz w:val="20"/>
              </w:rPr>
            </w:pPr>
            <w:r>
              <w:rPr>
                <w:sz w:val="20"/>
              </w:rPr>
              <w:t>1.60</w:t>
            </w:r>
          </w:p>
        </w:tc>
        <w:tc>
          <w:tcPr>
            <w:tcW w:w="826" w:type="dxa"/>
            <w:tcBorders>
              <w:top w:val="nil"/>
              <w:left w:val="nil"/>
              <w:bottom w:val="nil"/>
              <w:right w:val="nil"/>
            </w:tcBorders>
          </w:tcPr>
          <w:p>
            <w:pPr>
              <w:pStyle w:val="TableParagraph"/>
              <w:spacing w:before="26"/>
              <w:ind w:left="257"/>
              <w:jc w:val="left"/>
              <w:rPr>
                <w:sz w:val="20"/>
              </w:rPr>
            </w:pPr>
            <w:r>
              <w:rPr>
                <w:sz w:val="20"/>
              </w:rPr>
              <w:t>0.00</w:t>
            </w:r>
          </w:p>
        </w:tc>
        <w:tc>
          <w:tcPr>
            <w:tcW w:w="821" w:type="dxa"/>
            <w:tcBorders>
              <w:top w:val="nil"/>
              <w:left w:val="nil"/>
              <w:bottom w:val="nil"/>
              <w:right w:val="nil"/>
            </w:tcBorders>
          </w:tcPr>
          <w:p>
            <w:pPr>
              <w:pStyle w:val="TableParagraph"/>
              <w:spacing w:before="26"/>
              <w:ind w:left="256" w:right="84"/>
              <w:jc w:val="left"/>
              <w:rPr>
                <w:sz w:val="20"/>
              </w:rPr>
            </w:pPr>
            <w:r>
              <w:rPr>
                <w:sz w:val="20"/>
              </w:rPr>
              <w:t>0.00</w:t>
            </w:r>
          </w:p>
        </w:tc>
        <w:tc>
          <w:tcPr>
            <w:tcW w:w="771" w:type="dxa"/>
            <w:tcBorders>
              <w:top w:val="nil"/>
              <w:left w:val="nil"/>
              <w:bottom w:val="nil"/>
              <w:right w:val="nil"/>
            </w:tcBorders>
          </w:tcPr>
          <w:p>
            <w:pPr>
              <w:pStyle w:val="TableParagraph"/>
              <w:spacing w:before="26"/>
              <w:ind w:right="65"/>
              <w:rPr>
                <w:sz w:val="20"/>
              </w:rPr>
            </w:pPr>
            <w:r>
              <w:rPr>
                <w:sz w:val="20"/>
              </w:rPr>
              <w:t>0.00</w:t>
            </w:r>
          </w:p>
        </w:tc>
      </w:tr>
      <w:tr>
        <w:trPr>
          <w:trHeight w:val="268" w:hRule="exact"/>
        </w:trPr>
        <w:tc>
          <w:tcPr>
            <w:tcW w:w="1542" w:type="dxa"/>
            <w:tcBorders>
              <w:top w:val="nil"/>
              <w:left w:val="nil"/>
              <w:right w:val="nil"/>
            </w:tcBorders>
          </w:tcPr>
          <w:p>
            <w:pPr>
              <w:pStyle w:val="TableParagraph"/>
              <w:ind w:left="86"/>
              <w:jc w:val="left"/>
              <w:rPr>
                <w:sz w:val="20"/>
              </w:rPr>
            </w:pPr>
            <w:r>
              <w:rPr>
                <w:sz w:val="20"/>
              </w:rPr>
              <w:t>TEJ_HhFp</w:t>
            </w:r>
          </w:p>
        </w:tc>
        <w:tc>
          <w:tcPr>
            <w:tcW w:w="703" w:type="dxa"/>
            <w:tcBorders>
              <w:top w:val="nil"/>
              <w:left w:val="nil"/>
              <w:right w:val="nil"/>
            </w:tcBorders>
          </w:tcPr>
          <w:p>
            <w:pPr>
              <w:pStyle w:val="TableParagraph"/>
              <w:ind w:left="215"/>
              <w:jc w:val="left"/>
              <w:rPr>
                <w:sz w:val="20"/>
              </w:rPr>
            </w:pPr>
            <w:r>
              <w:rPr>
                <w:sz w:val="20"/>
              </w:rPr>
              <w:t>1.60</w:t>
            </w:r>
          </w:p>
        </w:tc>
        <w:tc>
          <w:tcPr>
            <w:tcW w:w="701" w:type="dxa"/>
            <w:tcBorders>
              <w:top w:val="nil"/>
              <w:left w:val="nil"/>
              <w:right w:val="nil"/>
            </w:tcBorders>
          </w:tcPr>
          <w:p>
            <w:pPr>
              <w:pStyle w:val="TableParagraph"/>
              <w:ind w:left="132"/>
              <w:jc w:val="left"/>
              <w:rPr>
                <w:sz w:val="20"/>
              </w:rPr>
            </w:pPr>
            <w:r>
              <w:rPr>
                <w:sz w:val="20"/>
              </w:rPr>
              <w:t>1.60</w:t>
            </w:r>
          </w:p>
        </w:tc>
        <w:tc>
          <w:tcPr>
            <w:tcW w:w="826" w:type="dxa"/>
            <w:tcBorders>
              <w:top w:val="nil"/>
              <w:left w:val="nil"/>
              <w:right w:val="nil"/>
            </w:tcBorders>
          </w:tcPr>
          <w:p>
            <w:pPr>
              <w:pStyle w:val="TableParagraph"/>
              <w:ind w:left="256"/>
              <w:jc w:val="left"/>
              <w:rPr>
                <w:sz w:val="20"/>
              </w:rPr>
            </w:pPr>
            <w:r>
              <w:rPr>
                <w:sz w:val="20"/>
              </w:rPr>
              <w:t>1.60</w:t>
            </w:r>
          </w:p>
        </w:tc>
        <w:tc>
          <w:tcPr>
            <w:tcW w:w="826" w:type="dxa"/>
            <w:tcBorders>
              <w:top w:val="nil"/>
              <w:left w:val="nil"/>
              <w:right w:val="nil"/>
            </w:tcBorders>
          </w:tcPr>
          <w:p>
            <w:pPr>
              <w:pStyle w:val="TableParagraph"/>
              <w:ind w:right="211"/>
              <w:rPr>
                <w:sz w:val="20"/>
              </w:rPr>
            </w:pPr>
            <w:r>
              <w:rPr>
                <w:sz w:val="20"/>
              </w:rPr>
              <w:t>1.60</w:t>
            </w:r>
          </w:p>
        </w:tc>
        <w:tc>
          <w:tcPr>
            <w:tcW w:w="826" w:type="dxa"/>
            <w:tcBorders>
              <w:top w:val="nil"/>
              <w:left w:val="nil"/>
              <w:right w:val="nil"/>
            </w:tcBorders>
          </w:tcPr>
          <w:p>
            <w:pPr>
              <w:pStyle w:val="TableParagraph"/>
              <w:ind w:left="257"/>
              <w:jc w:val="left"/>
              <w:rPr>
                <w:sz w:val="20"/>
              </w:rPr>
            </w:pPr>
            <w:r>
              <w:rPr>
                <w:sz w:val="20"/>
              </w:rPr>
              <w:t>1.58</w:t>
            </w:r>
          </w:p>
        </w:tc>
        <w:tc>
          <w:tcPr>
            <w:tcW w:w="826" w:type="dxa"/>
            <w:tcBorders>
              <w:top w:val="nil"/>
              <w:left w:val="nil"/>
              <w:right w:val="nil"/>
            </w:tcBorders>
          </w:tcPr>
          <w:p>
            <w:pPr>
              <w:pStyle w:val="TableParagraph"/>
              <w:ind w:left="256"/>
              <w:jc w:val="left"/>
              <w:rPr>
                <w:sz w:val="20"/>
              </w:rPr>
            </w:pPr>
            <w:r>
              <w:rPr>
                <w:sz w:val="20"/>
              </w:rPr>
              <w:t>1.60</w:t>
            </w:r>
          </w:p>
        </w:tc>
        <w:tc>
          <w:tcPr>
            <w:tcW w:w="826" w:type="dxa"/>
            <w:tcBorders>
              <w:top w:val="nil"/>
              <w:left w:val="nil"/>
              <w:right w:val="nil"/>
            </w:tcBorders>
          </w:tcPr>
          <w:p>
            <w:pPr>
              <w:pStyle w:val="TableParagraph"/>
              <w:ind w:left="257"/>
              <w:jc w:val="left"/>
              <w:rPr>
                <w:sz w:val="20"/>
              </w:rPr>
            </w:pPr>
            <w:r>
              <w:rPr>
                <w:sz w:val="20"/>
              </w:rPr>
              <w:t>1.52</w:t>
            </w:r>
          </w:p>
        </w:tc>
        <w:tc>
          <w:tcPr>
            <w:tcW w:w="826" w:type="dxa"/>
            <w:tcBorders>
              <w:top w:val="nil"/>
              <w:left w:val="nil"/>
              <w:right w:val="nil"/>
            </w:tcBorders>
          </w:tcPr>
          <w:p>
            <w:pPr>
              <w:pStyle w:val="TableParagraph"/>
              <w:ind w:left="257"/>
              <w:jc w:val="left"/>
              <w:rPr>
                <w:sz w:val="20"/>
              </w:rPr>
            </w:pPr>
            <w:r>
              <w:rPr>
                <w:sz w:val="20"/>
              </w:rPr>
              <w:t>0.00</w:t>
            </w:r>
          </w:p>
        </w:tc>
        <w:tc>
          <w:tcPr>
            <w:tcW w:w="821" w:type="dxa"/>
            <w:tcBorders>
              <w:top w:val="nil"/>
              <w:left w:val="nil"/>
              <w:right w:val="nil"/>
            </w:tcBorders>
          </w:tcPr>
          <w:p>
            <w:pPr>
              <w:pStyle w:val="TableParagraph"/>
              <w:ind w:left="256" w:right="84"/>
              <w:jc w:val="left"/>
              <w:rPr>
                <w:sz w:val="20"/>
              </w:rPr>
            </w:pPr>
            <w:r>
              <w:rPr>
                <w:sz w:val="20"/>
              </w:rPr>
              <w:t>0.00</w:t>
            </w:r>
          </w:p>
        </w:tc>
        <w:tc>
          <w:tcPr>
            <w:tcW w:w="771" w:type="dxa"/>
            <w:tcBorders>
              <w:top w:val="nil"/>
              <w:left w:val="nil"/>
              <w:right w:val="nil"/>
            </w:tcBorders>
          </w:tcPr>
          <w:p>
            <w:pPr>
              <w:pStyle w:val="TableParagraph"/>
              <w:ind w:right="65"/>
              <w:rPr>
                <w:sz w:val="20"/>
              </w:rPr>
            </w:pPr>
            <w:r>
              <w:rPr>
                <w:sz w:val="20"/>
              </w:rPr>
              <w:t>0.00</w:t>
            </w:r>
          </w:p>
        </w:tc>
      </w:tr>
    </w:tbl>
    <w:p>
      <w:pPr>
        <w:spacing w:after="0"/>
        <w:rPr>
          <w:sz w:val="20"/>
        </w:rPr>
        <w:sectPr>
          <w:footerReference w:type="default" r:id="rId205"/>
          <w:pgSz w:w="12240" w:h="15840"/>
          <w:pgMar w:footer="1473" w:header="0" w:top="1360" w:bottom="1660" w:left="1020" w:right="1300"/>
          <w:pgNumType w:start="201"/>
        </w:sectPr>
      </w:pPr>
    </w:p>
    <w:p>
      <w:pPr>
        <w:pStyle w:val="BodyText"/>
        <w:tabs>
          <w:tab w:pos="396" w:val="left" w:leader="none"/>
          <w:tab w:pos="9606" w:val="left" w:leader="none"/>
        </w:tabs>
        <w:spacing w:before="49"/>
        <w:ind w:left="127"/>
      </w:pPr>
      <w:r>
        <w:rPr>
          <w:w w:val="99"/>
          <w:u w:val="single"/>
        </w:rPr>
        <w:t> </w:t>
      </w:r>
      <w:r>
        <w:rPr>
          <w:u w:val="single"/>
        </w:rPr>
        <w:tab/>
        <w:t>Continuación Tabla</w:t>
      </w:r>
      <w:r>
        <w:rPr>
          <w:spacing w:val="-19"/>
          <w:u w:val="single"/>
        </w:rPr>
        <w:t> </w:t>
      </w:r>
      <w:r>
        <w:rPr>
          <w:u w:val="single"/>
        </w:rPr>
        <w:t>23.</w:t>
        <w:tab/>
      </w:r>
    </w:p>
    <w:p>
      <w:pPr>
        <w:pStyle w:val="BodyText"/>
        <w:spacing w:before="11"/>
        <w:rPr>
          <w:sz w:val="8"/>
        </w:rPr>
      </w:pPr>
    </w:p>
    <w:tbl>
      <w:tblPr>
        <w:tblW w:w="0" w:type="auto"/>
        <w:jc w:val="left"/>
        <w:tblInd w:w="1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42"/>
        <w:gridCol w:w="703"/>
        <w:gridCol w:w="701"/>
        <w:gridCol w:w="826"/>
        <w:gridCol w:w="826"/>
        <w:gridCol w:w="826"/>
        <w:gridCol w:w="826"/>
        <w:gridCol w:w="826"/>
        <w:gridCol w:w="826"/>
        <w:gridCol w:w="821"/>
        <w:gridCol w:w="771"/>
      </w:tblGrid>
      <w:tr>
        <w:trPr>
          <w:trHeight w:val="302" w:hRule="exact"/>
        </w:trPr>
        <w:tc>
          <w:tcPr>
            <w:tcW w:w="1542" w:type="dxa"/>
          </w:tcPr>
          <w:p>
            <w:pPr>
              <w:pStyle w:val="TableParagraph"/>
              <w:spacing w:before="90"/>
              <w:ind w:left="148"/>
              <w:jc w:val="left"/>
              <w:rPr>
                <w:sz w:val="20"/>
              </w:rPr>
            </w:pPr>
            <w:r>
              <w:rPr>
                <w:sz w:val="20"/>
              </w:rPr>
              <w:t>Nombre/Clave</w:t>
            </w:r>
          </w:p>
        </w:tc>
        <w:tc>
          <w:tcPr>
            <w:tcW w:w="703" w:type="dxa"/>
          </w:tcPr>
          <w:p>
            <w:pPr/>
          </w:p>
        </w:tc>
        <w:tc>
          <w:tcPr>
            <w:tcW w:w="701" w:type="dxa"/>
          </w:tcPr>
          <w:p>
            <w:pPr/>
          </w:p>
        </w:tc>
        <w:tc>
          <w:tcPr>
            <w:tcW w:w="826" w:type="dxa"/>
          </w:tcPr>
          <w:p>
            <w:pPr/>
          </w:p>
        </w:tc>
        <w:tc>
          <w:tcPr>
            <w:tcW w:w="826" w:type="dxa"/>
          </w:tcPr>
          <w:p>
            <w:pPr/>
          </w:p>
        </w:tc>
        <w:tc>
          <w:tcPr>
            <w:tcW w:w="2478" w:type="dxa"/>
            <w:gridSpan w:val="3"/>
          </w:tcPr>
          <w:p>
            <w:pPr>
              <w:pStyle w:val="TableParagraph"/>
              <w:spacing w:line="205" w:lineRule="exact" w:before="0"/>
              <w:ind w:left="16"/>
              <w:jc w:val="left"/>
              <w:rPr>
                <w:sz w:val="20"/>
              </w:rPr>
            </w:pPr>
            <w:r>
              <w:rPr>
                <w:sz w:val="20"/>
              </w:rPr>
              <w:t>N° de capas del suelo</w:t>
            </w:r>
          </w:p>
        </w:tc>
        <w:tc>
          <w:tcPr>
            <w:tcW w:w="826" w:type="dxa"/>
          </w:tcPr>
          <w:p>
            <w:pPr/>
          </w:p>
        </w:tc>
        <w:tc>
          <w:tcPr>
            <w:tcW w:w="821" w:type="dxa"/>
          </w:tcPr>
          <w:p>
            <w:pPr/>
          </w:p>
        </w:tc>
        <w:tc>
          <w:tcPr>
            <w:tcW w:w="771" w:type="dxa"/>
          </w:tcPr>
          <w:p>
            <w:pPr/>
          </w:p>
        </w:tc>
      </w:tr>
      <w:tr>
        <w:trPr>
          <w:trHeight w:val="215" w:hRule="exact"/>
        </w:trPr>
        <w:tc>
          <w:tcPr>
            <w:tcW w:w="1542" w:type="dxa"/>
            <w:tcBorders>
              <w:bottom w:val="single" w:sz="4" w:space="0" w:color="000000"/>
            </w:tcBorders>
          </w:tcPr>
          <w:p>
            <w:pPr/>
          </w:p>
        </w:tc>
        <w:tc>
          <w:tcPr>
            <w:tcW w:w="703" w:type="dxa"/>
            <w:tcBorders>
              <w:bottom w:val="single" w:sz="4" w:space="0" w:color="000000"/>
            </w:tcBorders>
          </w:tcPr>
          <w:p>
            <w:pPr>
              <w:pStyle w:val="TableParagraph"/>
              <w:spacing w:line="201" w:lineRule="exact" w:before="0"/>
              <w:ind w:left="224"/>
              <w:jc w:val="left"/>
              <w:rPr>
                <w:sz w:val="20"/>
              </w:rPr>
            </w:pPr>
            <w:r>
              <w:rPr>
                <w:w w:val="100"/>
                <w:sz w:val="20"/>
              </w:rPr>
              <w:t>1</w:t>
            </w:r>
          </w:p>
        </w:tc>
        <w:tc>
          <w:tcPr>
            <w:tcW w:w="701" w:type="dxa"/>
            <w:tcBorders>
              <w:bottom w:val="single" w:sz="4" w:space="0" w:color="000000"/>
            </w:tcBorders>
          </w:tcPr>
          <w:p>
            <w:pPr>
              <w:pStyle w:val="TableParagraph"/>
              <w:spacing w:line="201" w:lineRule="exact" w:before="0"/>
              <w:ind w:left="189"/>
              <w:jc w:val="left"/>
              <w:rPr>
                <w:sz w:val="20"/>
              </w:rPr>
            </w:pPr>
            <w:r>
              <w:rPr>
                <w:w w:val="100"/>
                <w:sz w:val="20"/>
              </w:rPr>
              <w:t>2</w:t>
            </w:r>
          </w:p>
        </w:tc>
        <w:tc>
          <w:tcPr>
            <w:tcW w:w="826" w:type="dxa"/>
            <w:tcBorders>
              <w:bottom w:val="single" w:sz="4" w:space="0" w:color="000000"/>
            </w:tcBorders>
          </w:tcPr>
          <w:p>
            <w:pPr>
              <w:pStyle w:val="TableParagraph"/>
              <w:spacing w:line="201" w:lineRule="exact" w:before="0"/>
              <w:ind w:left="213"/>
              <w:jc w:val="left"/>
              <w:rPr>
                <w:sz w:val="20"/>
              </w:rPr>
            </w:pPr>
            <w:r>
              <w:rPr>
                <w:w w:val="100"/>
                <w:sz w:val="20"/>
              </w:rPr>
              <w:t>3</w:t>
            </w:r>
          </w:p>
        </w:tc>
        <w:tc>
          <w:tcPr>
            <w:tcW w:w="826" w:type="dxa"/>
            <w:tcBorders>
              <w:bottom w:val="single" w:sz="4" w:space="0" w:color="000000"/>
            </w:tcBorders>
          </w:tcPr>
          <w:p>
            <w:pPr>
              <w:pStyle w:val="TableParagraph"/>
              <w:spacing w:line="201" w:lineRule="exact" w:before="0"/>
              <w:ind w:left="213"/>
              <w:jc w:val="left"/>
              <w:rPr>
                <w:sz w:val="20"/>
              </w:rPr>
            </w:pPr>
            <w:r>
              <w:rPr>
                <w:w w:val="100"/>
                <w:sz w:val="20"/>
              </w:rPr>
              <w:t>4</w:t>
            </w:r>
          </w:p>
        </w:tc>
        <w:tc>
          <w:tcPr>
            <w:tcW w:w="826" w:type="dxa"/>
            <w:tcBorders>
              <w:bottom w:val="single" w:sz="4" w:space="0" w:color="000000"/>
            </w:tcBorders>
          </w:tcPr>
          <w:p>
            <w:pPr>
              <w:pStyle w:val="TableParagraph"/>
              <w:spacing w:line="201" w:lineRule="exact" w:before="0"/>
              <w:ind w:left="213"/>
              <w:jc w:val="left"/>
              <w:rPr>
                <w:sz w:val="20"/>
              </w:rPr>
            </w:pPr>
            <w:r>
              <w:rPr>
                <w:w w:val="100"/>
                <w:sz w:val="20"/>
              </w:rPr>
              <w:t>5</w:t>
            </w:r>
          </w:p>
        </w:tc>
        <w:tc>
          <w:tcPr>
            <w:tcW w:w="826" w:type="dxa"/>
            <w:tcBorders>
              <w:bottom w:val="single" w:sz="4" w:space="0" w:color="000000"/>
            </w:tcBorders>
          </w:tcPr>
          <w:p>
            <w:pPr>
              <w:pStyle w:val="TableParagraph"/>
              <w:spacing w:line="201" w:lineRule="exact" w:before="0"/>
              <w:ind w:left="213"/>
              <w:jc w:val="left"/>
              <w:rPr>
                <w:sz w:val="20"/>
              </w:rPr>
            </w:pPr>
            <w:r>
              <w:rPr>
                <w:w w:val="100"/>
                <w:sz w:val="20"/>
              </w:rPr>
              <w:t>6</w:t>
            </w:r>
          </w:p>
        </w:tc>
        <w:tc>
          <w:tcPr>
            <w:tcW w:w="826" w:type="dxa"/>
            <w:tcBorders>
              <w:bottom w:val="single" w:sz="4" w:space="0" w:color="000000"/>
            </w:tcBorders>
          </w:tcPr>
          <w:p>
            <w:pPr>
              <w:pStyle w:val="TableParagraph"/>
              <w:spacing w:line="201" w:lineRule="exact" w:before="0"/>
              <w:ind w:left="213"/>
              <w:jc w:val="left"/>
              <w:rPr>
                <w:sz w:val="20"/>
              </w:rPr>
            </w:pPr>
            <w:r>
              <w:rPr>
                <w:w w:val="100"/>
                <w:sz w:val="20"/>
              </w:rPr>
              <w:t>7</w:t>
            </w:r>
          </w:p>
        </w:tc>
        <w:tc>
          <w:tcPr>
            <w:tcW w:w="826" w:type="dxa"/>
            <w:tcBorders>
              <w:bottom w:val="single" w:sz="4" w:space="0" w:color="000000"/>
            </w:tcBorders>
          </w:tcPr>
          <w:p>
            <w:pPr>
              <w:pStyle w:val="TableParagraph"/>
              <w:spacing w:line="201" w:lineRule="exact" w:before="0"/>
              <w:ind w:left="213"/>
              <w:jc w:val="left"/>
              <w:rPr>
                <w:sz w:val="20"/>
              </w:rPr>
            </w:pPr>
            <w:r>
              <w:rPr>
                <w:w w:val="100"/>
                <w:sz w:val="20"/>
              </w:rPr>
              <w:t>8</w:t>
            </w:r>
          </w:p>
        </w:tc>
        <w:tc>
          <w:tcPr>
            <w:tcW w:w="821" w:type="dxa"/>
            <w:tcBorders>
              <w:bottom w:val="single" w:sz="4" w:space="0" w:color="000000"/>
            </w:tcBorders>
          </w:tcPr>
          <w:p>
            <w:pPr>
              <w:pStyle w:val="TableParagraph"/>
              <w:spacing w:line="201" w:lineRule="exact" w:before="0"/>
              <w:ind w:left="213"/>
              <w:jc w:val="left"/>
              <w:rPr>
                <w:sz w:val="20"/>
              </w:rPr>
            </w:pPr>
            <w:r>
              <w:rPr>
                <w:w w:val="100"/>
                <w:sz w:val="20"/>
              </w:rPr>
              <w:t>9</w:t>
            </w:r>
          </w:p>
        </w:tc>
        <w:tc>
          <w:tcPr>
            <w:tcW w:w="771" w:type="dxa"/>
            <w:tcBorders>
              <w:bottom w:val="single" w:sz="4" w:space="0" w:color="000000"/>
            </w:tcBorders>
          </w:tcPr>
          <w:p>
            <w:pPr>
              <w:pStyle w:val="TableParagraph"/>
              <w:spacing w:line="201" w:lineRule="exact" w:before="0"/>
              <w:ind w:left="209"/>
              <w:jc w:val="left"/>
              <w:rPr>
                <w:sz w:val="20"/>
              </w:rPr>
            </w:pPr>
            <w:r>
              <w:rPr>
                <w:sz w:val="20"/>
              </w:rPr>
              <w:t>10</w:t>
            </w:r>
          </w:p>
        </w:tc>
      </w:tr>
      <w:tr>
        <w:trPr>
          <w:trHeight w:val="342" w:hRule="exact"/>
        </w:trPr>
        <w:tc>
          <w:tcPr>
            <w:tcW w:w="1542" w:type="dxa"/>
            <w:tcBorders>
              <w:top w:val="single" w:sz="4" w:space="0" w:color="000000"/>
            </w:tcBorders>
          </w:tcPr>
          <w:p>
            <w:pPr>
              <w:pStyle w:val="TableParagraph"/>
              <w:spacing w:before="63"/>
              <w:ind w:left="86"/>
              <w:jc w:val="left"/>
              <w:rPr>
                <w:sz w:val="20"/>
              </w:rPr>
            </w:pPr>
            <w:r>
              <w:rPr>
                <w:sz w:val="20"/>
              </w:rPr>
              <w:t>TEJ_HhSF</w:t>
            </w:r>
          </w:p>
        </w:tc>
        <w:tc>
          <w:tcPr>
            <w:tcW w:w="703" w:type="dxa"/>
            <w:tcBorders>
              <w:top w:val="single" w:sz="4" w:space="0" w:color="000000"/>
            </w:tcBorders>
          </w:tcPr>
          <w:p>
            <w:pPr>
              <w:pStyle w:val="TableParagraph"/>
              <w:spacing w:before="63"/>
              <w:ind w:left="215"/>
              <w:jc w:val="left"/>
              <w:rPr>
                <w:sz w:val="20"/>
              </w:rPr>
            </w:pPr>
            <w:r>
              <w:rPr>
                <w:sz w:val="20"/>
              </w:rPr>
              <w:t>1.60</w:t>
            </w:r>
          </w:p>
        </w:tc>
        <w:tc>
          <w:tcPr>
            <w:tcW w:w="701" w:type="dxa"/>
            <w:tcBorders>
              <w:top w:val="single" w:sz="4" w:space="0" w:color="000000"/>
            </w:tcBorders>
          </w:tcPr>
          <w:p>
            <w:pPr>
              <w:pStyle w:val="TableParagraph"/>
              <w:spacing w:before="63"/>
              <w:ind w:left="132"/>
              <w:jc w:val="left"/>
              <w:rPr>
                <w:sz w:val="20"/>
              </w:rPr>
            </w:pPr>
            <w:r>
              <w:rPr>
                <w:sz w:val="20"/>
              </w:rPr>
              <w:t>1.60</w:t>
            </w:r>
          </w:p>
        </w:tc>
        <w:tc>
          <w:tcPr>
            <w:tcW w:w="826" w:type="dxa"/>
            <w:tcBorders>
              <w:top w:val="single" w:sz="4" w:space="0" w:color="000000"/>
            </w:tcBorders>
          </w:tcPr>
          <w:p>
            <w:pPr>
              <w:pStyle w:val="TableParagraph"/>
              <w:spacing w:before="63"/>
              <w:ind w:left="256"/>
              <w:jc w:val="left"/>
              <w:rPr>
                <w:sz w:val="20"/>
              </w:rPr>
            </w:pPr>
            <w:r>
              <w:rPr>
                <w:sz w:val="20"/>
              </w:rPr>
              <w:t>1.60</w:t>
            </w:r>
          </w:p>
        </w:tc>
        <w:tc>
          <w:tcPr>
            <w:tcW w:w="826" w:type="dxa"/>
            <w:tcBorders>
              <w:top w:val="single" w:sz="4" w:space="0" w:color="000000"/>
            </w:tcBorders>
          </w:tcPr>
          <w:p>
            <w:pPr>
              <w:pStyle w:val="TableParagraph"/>
              <w:spacing w:before="63"/>
              <w:ind w:right="211"/>
              <w:rPr>
                <w:sz w:val="20"/>
              </w:rPr>
            </w:pPr>
            <w:r>
              <w:rPr>
                <w:sz w:val="20"/>
              </w:rPr>
              <w:t>1.60</w:t>
            </w:r>
          </w:p>
        </w:tc>
        <w:tc>
          <w:tcPr>
            <w:tcW w:w="826" w:type="dxa"/>
            <w:tcBorders>
              <w:top w:val="single" w:sz="4" w:space="0" w:color="000000"/>
            </w:tcBorders>
          </w:tcPr>
          <w:p>
            <w:pPr>
              <w:pStyle w:val="TableParagraph"/>
              <w:spacing w:before="63"/>
              <w:ind w:left="257"/>
              <w:jc w:val="left"/>
              <w:rPr>
                <w:sz w:val="20"/>
              </w:rPr>
            </w:pPr>
            <w:r>
              <w:rPr>
                <w:sz w:val="20"/>
              </w:rPr>
              <w:t>1.60</w:t>
            </w:r>
          </w:p>
        </w:tc>
        <w:tc>
          <w:tcPr>
            <w:tcW w:w="826" w:type="dxa"/>
            <w:tcBorders>
              <w:top w:val="single" w:sz="4" w:space="0" w:color="000000"/>
            </w:tcBorders>
          </w:tcPr>
          <w:p>
            <w:pPr>
              <w:pStyle w:val="TableParagraph"/>
              <w:spacing w:before="63"/>
              <w:ind w:left="256"/>
              <w:jc w:val="left"/>
              <w:rPr>
                <w:sz w:val="20"/>
              </w:rPr>
            </w:pPr>
            <w:r>
              <w:rPr>
                <w:sz w:val="20"/>
              </w:rPr>
              <w:t>1.60</w:t>
            </w:r>
          </w:p>
        </w:tc>
        <w:tc>
          <w:tcPr>
            <w:tcW w:w="826" w:type="dxa"/>
            <w:tcBorders>
              <w:top w:val="single" w:sz="4" w:space="0" w:color="000000"/>
            </w:tcBorders>
          </w:tcPr>
          <w:p>
            <w:pPr>
              <w:pStyle w:val="TableParagraph"/>
              <w:spacing w:before="63"/>
              <w:ind w:left="257"/>
              <w:jc w:val="left"/>
              <w:rPr>
                <w:sz w:val="20"/>
              </w:rPr>
            </w:pPr>
            <w:r>
              <w:rPr>
                <w:sz w:val="20"/>
              </w:rPr>
              <w:t>1.60</w:t>
            </w:r>
          </w:p>
        </w:tc>
        <w:tc>
          <w:tcPr>
            <w:tcW w:w="826" w:type="dxa"/>
            <w:tcBorders>
              <w:top w:val="single" w:sz="4" w:space="0" w:color="000000"/>
            </w:tcBorders>
          </w:tcPr>
          <w:p>
            <w:pPr>
              <w:pStyle w:val="TableParagraph"/>
              <w:spacing w:before="63"/>
              <w:ind w:left="257"/>
              <w:jc w:val="left"/>
              <w:rPr>
                <w:sz w:val="20"/>
              </w:rPr>
            </w:pPr>
            <w:r>
              <w:rPr>
                <w:sz w:val="20"/>
              </w:rPr>
              <w:t>0.00</w:t>
            </w:r>
          </w:p>
        </w:tc>
        <w:tc>
          <w:tcPr>
            <w:tcW w:w="821" w:type="dxa"/>
            <w:tcBorders>
              <w:top w:val="single" w:sz="4" w:space="0" w:color="000000"/>
            </w:tcBorders>
          </w:tcPr>
          <w:p>
            <w:pPr>
              <w:pStyle w:val="TableParagraph"/>
              <w:spacing w:before="63"/>
              <w:ind w:left="256" w:right="84"/>
              <w:jc w:val="left"/>
              <w:rPr>
                <w:sz w:val="20"/>
              </w:rPr>
            </w:pPr>
            <w:r>
              <w:rPr>
                <w:sz w:val="20"/>
              </w:rPr>
              <w:t>0.00</w:t>
            </w:r>
          </w:p>
        </w:tc>
        <w:tc>
          <w:tcPr>
            <w:tcW w:w="771" w:type="dxa"/>
            <w:tcBorders>
              <w:top w:val="single" w:sz="4" w:space="0" w:color="000000"/>
            </w:tcBorders>
          </w:tcPr>
          <w:p>
            <w:pPr>
              <w:pStyle w:val="TableParagraph"/>
              <w:spacing w:before="63"/>
              <w:ind w:right="65"/>
              <w:rPr>
                <w:sz w:val="20"/>
              </w:rPr>
            </w:pPr>
            <w:r>
              <w:rPr>
                <w:sz w:val="20"/>
              </w:rPr>
              <w:t>0.00</w:t>
            </w:r>
          </w:p>
        </w:tc>
      </w:tr>
      <w:tr>
        <w:trPr>
          <w:trHeight w:val="298" w:hRule="exact"/>
        </w:trPr>
        <w:tc>
          <w:tcPr>
            <w:tcW w:w="1542" w:type="dxa"/>
          </w:tcPr>
          <w:p>
            <w:pPr>
              <w:pStyle w:val="TableParagraph"/>
              <w:ind w:left="86"/>
              <w:jc w:val="left"/>
              <w:rPr>
                <w:sz w:val="20"/>
              </w:rPr>
            </w:pPr>
            <w:r>
              <w:rPr>
                <w:sz w:val="20"/>
              </w:rPr>
              <w:t>TEJ_HlFd</w:t>
            </w:r>
          </w:p>
        </w:tc>
        <w:tc>
          <w:tcPr>
            <w:tcW w:w="703" w:type="dxa"/>
          </w:tcPr>
          <w:p>
            <w:pPr>
              <w:pStyle w:val="TableParagraph"/>
              <w:ind w:left="215"/>
              <w:jc w:val="left"/>
              <w:rPr>
                <w:sz w:val="20"/>
              </w:rPr>
            </w:pPr>
            <w:r>
              <w:rPr>
                <w:sz w:val="20"/>
              </w:rPr>
              <w:t>1.60</w:t>
            </w:r>
          </w:p>
        </w:tc>
        <w:tc>
          <w:tcPr>
            <w:tcW w:w="701" w:type="dxa"/>
          </w:tcPr>
          <w:p>
            <w:pPr>
              <w:pStyle w:val="TableParagraph"/>
              <w:ind w:left="132"/>
              <w:jc w:val="left"/>
              <w:rPr>
                <w:sz w:val="20"/>
              </w:rPr>
            </w:pPr>
            <w:r>
              <w:rPr>
                <w:sz w:val="20"/>
              </w:rPr>
              <w:t>1.60</w:t>
            </w:r>
          </w:p>
        </w:tc>
        <w:tc>
          <w:tcPr>
            <w:tcW w:w="826" w:type="dxa"/>
          </w:tcPr>
          <w:p>
            <w:pPr>
              <w:pStyle w:val="TableParagraph"/>
              <w:ind w:left="256"/>
              <w:jc w:val="left"/>
              <w:rPr>
                <w:sz w:val="20"/>
              </w:rPr>
            </w:pPr>
            <w:r>
              <w:rPr>
                <w:sz w:val="20"/>
              </w:rPr>
              <w:t>1.60</w:t>
            </w:r>
          </w:p>
        </w:tc>
        <w:tc>
          <w:tcPr>
            <w:tcW w:w="826" w:type="dxa"/>
          </w:tcPr>
          <w:p>
            <w:pPr>
              <w:pStyle w:val="TableParagraph"/>
              <w:ind w:right="211"/>
              <w:rPr>
                <w:sz w:val="20"/>
              </w:rPr>
            </w:pPr>
            <w:r>
              <w:rPr>
                <w:sz w:val="20"/>
              </w:rPr>
              <w:t>1.60</w:t>
            </w:r>
          </w:p>
        </w:tc>
        <w:tc>
          <w:tcPr>
            <w:tcW w:w="826" w:type="dxa"/>
          </w:tcPr>
          <w:p>
            <w:pPr>
              <w:pStyle w:val="TableParagraph"/>
              <w:ind w:left="257"/>
              <w:jc w:val="left"/>
              <w:rPr>
                <w:sz w:val="20"/>
              </w:rPr>
            </w:pPr>
            <w:r>
              <w:rPr>
                <w:sz w:val="20"/>
              </w:rPr>
              <w:t>1.57</w:t>
            </w:r>
          </w:p>
        </w:tc>
        <w:tc>
          <w:tcPr>
            <w:tcW w:w="826" w:type="dxa"/>
          </w:tcPr>
          <w:p>
            <w:pPr>
              <w:pStyle w:val="TableParagraph"/>
              <w:ind w:left="256"/>
              <w:jc w:val="left"/>
              <w:rPr>
                <w:sz w:val="20"/>
              </w:rPr>
            </w:pPr>
            <w:r>
              <w:rPr>
                <w:sz w:val="20"/>
              </w:rPr>
              <w:t>1.60</w:t>
            </w:r>
          </w:p>
        </w:tc>
        <w:tc>
          <w:tcPr>
            <w:tcW w:w="826" w:type="dxa"/>
          </w:tcPr>
          <w:p>
            <w:pPr>
              <w:pStyle w:val="TableParagraph"/>
              <w:ind w:left="257"/>
              <w:jc w:val="left"/>
              <w:rPr>
                <w:sz w:val="20"/>
              </w:rPr>
            </w:pPr>
            <w:r>
              <w:rPr>
                <w:sz w:val="20"/>
              </w:rPr>
              <w:t>1.54</w:t>
            </w:r>
          </w:p>
        </w:tc>
        <w:tc>
          <w:tcPr>
            <w:tcW w:w="826" w:type="dxa"/>
          </w:tcPr>
          <w:p>
            <w:pPr>
              <w:pStyle w:val="TableParagraph"/>
              <w:ind w:left="257"/>
              <w:jc w:val="left"/>
              <w:rPr>
                <w:sz w:val="20"/>
              </w:rPr>
            </w:pPr>
            <w:r>
              <w:rPr>
                <w:sz w:val="20"/>
              </w:rPr>
              <w:t>0.00</w:t>
            </w:r>
          </w:p>
        </w:tc>
        <w:tc>
          <w:tcPr>
            <w:tcW w:w="821" w:type="dxa"/>
          </w:tcPr>
          <w:p>
            <w:pPr>
              <w:pStyle w:val="TableParagraph"/>
              <w:ind w:left="256" w:right="84"/>
              <w:jc w:val="left"/>
              <w:rPr>
                <w:sz w:val="20"/>
              </w:rPr>
            </w:pPr>
            <w:r>
              <w:rPr>
                <w:sz w:val="20"/>
              </w:rPr>
              <w:t>0.00</w:t>
            </w:r>
          </w:p>
        </w:tc>
        <w:tc>
          <w:tcPr>
            <w:tcW w:w="771" w:type="dxa"/>
          </w:tcPr>
          <w:p>
            <w:pPr>
              <w:pStyle w:val="TableParagraph"/>
              <w:ind w:right="65"/>
              <w:rPr>
                <w:sz w:val="20"/>
              </w:rPr>
            </w:pPr>
            <w:r>
              <w:rPr>
                <w:sz w:val="20"/>
              </w:rPr>
              <w:t>0.00</w:t>
            </w:r>
          </w:p>
        </w:tc>
      </w:tr>
      <w:tr>
        <w:trPr>
          <w:trHeight w:val="300" w:hRule="exact"/>
        </w:trPr>
        <w:tc>
          <w:tcPr>
            <w:tcW w:w="1542" w:type="dxa"/>
          </w:tcPr>
          <w:p>
            <w:pPr>
              <w:pStyle w:val="TableParagraph"/>
              <w:ind w:left="86"/>
              <w:jc w:val="left"/>
              <w:rPr>
                <w:sz w:val="20"/>
              </w:rPr>
            </w:pPr>
            <w:r>
              <w:rPr>
                <w:sz w:val="20"/>
              </w:rPr>
              <w:t>TEJ_HlFdp</w:t>
            </w:r>
          </w:p>
        </w:tc>
        <w:tc>
          <w:tcPr>
            <w:tcW w:w="703" w:type="dxa"/>
          </w:tcPr>
          <w:p>
            <w:pPr>
              <w:pStyle w:val="TableParagraph"/>
              <w:ind w:left="215"/>
              <w:jc w:val="left"/>
              <w:rPr>
                <w:sz w:val="20"/>
              </w:rPr>
            </w:pPr>
            <w:r>
              <w:rPr>
                <w:sz w:val="20"/>
              </w:rPr>
              <w:t>1.60</w:t>
            </w:r>
          </w:p>
        </w:tc>
        <w:tc>
          <w:tcPr>
            <w:tcW w:w="701" w:type="dxa"/>
          </w:tcPr>
          <w:p>
            <w:pPr>
              <w:pStyle w:val="TableParagraph"/>
              <w:ind w:left="132"/>
              <w:jc w:val="left"/>
              <w:rPr>
                <w:sz w:val="20"/>
              </w:rPr>
            </w:pPr>
            <w:r>
              <w:rPr>
                <w:sz w:val="20"/>
              </w:rPr>
              <w:t>1.60</w:t>
            </w:r>
          </w:p>
        </w:tc>
        <w:tc>
          <w:tcPr>
            <w:tcW w:w="826" w:type="dxa"/>
          </w:tcPr>
          <w:p>
            <w:pPr>
              <w:pStyle w:val="TableParagraph"/>
              <w:ind w:left="256"/>
              <w:jc w:val="left"/>
              <w:rPr>
                <w:sz w:val="20"/>
              </w:rPr>
            </w:pPr>
            <w:r>
              <w:rPr>
                <w:sz w:val="20"/>
              </w:rPr>
              <w:t>1.60</w:t>
            </w:r>
          </w:p>
        </w:tc>
        <w:tc>
          <w:tcPr>
            <w:tcW w:w="826" w:type="dxa"/>
          </w:tcPr>
          <w:p>
            <w:pPr>
              <w:pStyle w:val="TableParagraph"/>
              <w:ind w:right="211"/>
              <w:rPr>
                <w:sz w:val="20"/>
              </w:rPr>
            </w:pPr>
            <w:r>
              <w:rPr>
                <w:sz w:val="20"/>
              </w:rPr>
              <w:t>1.60</w:t>
            </w:r>
          </w:p>
        </w:tc>
        <w:tc>
          <w:tcPr>
            <w:tcW w:w="826" w:type="dxa"/>
          </w:tcPr>
          <w:p>
            <w:pPr>
              <w:pStyle w:val="TableParagraph"/>
              <w:ind w:left="257"/>
              <w:jc w:val="left"/>
              <w:rPr>
                <w:sz w:val="20"/>
              </w:rPr>
            </w:pPr>
            <w:r>
              <w:rPr>
                <w:sz w:val="20"/>
              </w:rPr>
              <w:t>1.60</w:t>
            </w:r>
          </w:p>
        </w:tc>
        <w:tc>
          <w:tcPr>
            <w:tcW w:w="826" w:type="dxa"/>
          </w:tcPr>
          <w:p>
            <w:pPr>
              <w:pStyle w:val="TableParagraph"/>
              <w:ind w:left="256"/>
              <w:jc w:val="left"/>
              <w:rPr>
                <w:sz w:val="20"/>
              </w:rPr>
            </w:pPr>
            <w:r>
              <w:rPr>
                <w:sz w:val="20"/>
              </w:rPr>
              <w:t>1.60</w:t>
            </w:r>
          </w:p>
        </w:tc>
        <w:tc>
          <w:tcPr>
            <w:tcW w:w="826" w:type="dxa"/>
          </w:tcPr>
          <w:p>
            <w:pPr>
              <w:pStyle w:val="TableParagraph"/>
              <w:ind w:left="257"/>
              <w:jc w:val="left"/>
              <w:rPr>
                <w:sz w:val="20"/>
              </w:rPr>
            </w:pPr>
            <w:r>
              <w:rPr>
                <w:sz w:val="20"/>
              </w:rPr>
              <w:t>1.60</w:t>
            </w:r>
          </w:p>
        </w:tc>
        <w:tc>
          <w:tcPr>
            <w:tcW w:w="826" w:type="dxa"/>
          </w:tcPr>
          <w:p>
            <w:pPr>
              <w:pStyle w:val="TableParagraph"/>
              <w:ind w:left="257"/>
              <w:jc w:val="left"/>
              <w:rPr>
                <w:sz w:val="20"/>
              </w:rPr>
            </w:pPr>
            <w:r>
              <w:rPr>
                <w:sz w:val="20"/>
              </w:rPr>
              <w:t>0.00</w:t>
            </w:r>
          </w:p>
        </w:tc>
        <w:tc>
          <w:tcPr>
            <w:tcW w:w="821" w:type="dxa"/>
          </w:tcPr>
          <w:p>
            <w:pPr>
              <w:pStyle w:val="TableParagraph"/>
              <w:ind w:left="256" w:right="84"/>
              <w:jc w:val="left"/>
              <w:rPr>
                <w:sz w:val="20"/>
              </w:rPr>
            </w:pPr>
            <w:r>
              <w:rPr>
                <w:sz w:val="20"/>
              </w:rPr>
              <w:t>0.00</w:t>
            </w:r>
          </w:p>
        </w:tc>
        <w:tc>
          <w:tcPr>
            <w:tcW w:w="771" w:type="dxa"/>
          </w:tcPr>
          <w:p>
            <w:pPr>
              <w:pStyle w:val="TableParagraph"/>
              <w:ind w:right="65"/>
              <w:rPr>
                <w:sz w:val="20"/>
              </w:rPr>
            </w:pPr>
            <w:r>
              <w:rPr>
                <w:sz w:val="20"/>
              </w:rPr>
              <w:t>0.00</w:t>
            </w:r>
          </w:p>
        </w:tc>
      </w:tr>
      <w:tr>
        <w:trPr>
          <w:trHeight w:val="300" w:hRule="exact"/>
        </w:trPr>
        <w:tc>
          <w:tcPr>
            <w:tcW w:w="1542" w:type="dxa"/>
          </w:tcPr>
          <w:p>
            <w:pPr>
              <w:pStyle w:val="TableParagraph"/>
              <w:spacing w:before="26"/>
              <w:ind w:left="86"/>
              <w:jc w:val="left"/>
              <w:rPr>
                <w:sz w:val="20"/>
              </w:rPr>
            </w:pPr>
            <w:r>
              <w:rPr>
                <w:sz w:val="20"/>
              </w:rPr>
              <w:t>TEJ_HlFl</w:t>
            </w:r>
          </w:p>
        </w:tc>
        <w:tc>
          <w:tcPr>
            <w:tcW w:w="703" w:type="dxa"/>
          </w:tcPr>
          <w:p>
            <w:pPr>
              <w:pStyle w:val="TableParagraph"/>
              <w:spacing w:before="26"/>
              <w:ind w:left="215"/>
              <w:jc w:val="left"/>
              <w:rPr>
                <w:sz w:val="20"/>
              </w:rPr>
            </w:pPr>
            <w:r>
              <w:rPr>
                <w:sz w:val="20"/>
              </w:rPr>
              <w:t>1.60</w:t>
            </w:r>
          </w:p>
        </w:tc>
        <w:tc>
          <w:tcPr>
            <w:tcW w:w="701" w:type="dxa"/>
          </w:tcPr>
          <w:p>
            <w:pPr>
              <w:pStyle w:val="TableParagraph"/>
              <w:spacing w:before="26"/>
              <w:ind w:left="132"/>
              <w:jc w:val="left"/>
              <w:rPr>
                <w:sz w:val="20"/>
              </w:rPr>
            </w:pPr>
            <w:r>
              <w:rPr>
                <w:sz w:val="20"/>
              </w:rPr>
              <w:t>1.60</w:t>
            </w:r>
          </w:p>
        </w:tc>
        <w:tc>
          <w:tcPr>
            <w:tcW w:w="826" w:type="dxa"/>
          </w:tcPr>
          <w:p>
            <w:pPr>
              <w:pStyle w:val="TableParagraph"/>
              <w:spacing w:before="26"/>
              <w:ind w:left="256"/>
              <w:jc w:val="left"/>
              <w:rPr>
                <w:sz w:val="20"/>
              </w:rPr>
            </w:pPr>
            <w:r>
              <w:rPr>
                <w:sz w:val="20"/>
              </w:rPr>
              <w:t>1.40</w:t>
            </w:r>
          </w:p>
        </w:tc>
        <w:tc>
          <w:tcPr>
            <w:tcW w:w="826" w:type="dxa"/>
          </w:tcPr>
          <w:p>
            <w:pPr>
              <w:pStyle w:val="TableParagraph"/>
              <w:spacing w:before="26"/>
              <w:ind w:right="211"/>
              <w:rPr>
                <w:sz w:val="20"/>
              </w:rPr>
            </w:pPr>
            <w:r>
              <w:rPr>
                <w:sz w:val="20"/>
              </w:rPr>
              <w:t>1.43</w:t>
            </w:r>
          </w:p>
        </w:tc>
        <w:tc>
          <w:tcPr>
            <w:tcW w:w="826" w:type="dxa"/>
          </w:tcPr>
          <w:p>
            <w:pPr>
              <w:pStyle w:val="TableParagraph"/>
              <w:spacing w:before="26"/>
              <w:ind w:left="257"/>
              <w:jc w:val="left"/>
              <w:rPr>
                <w:sz w:val="20"/>
              </w:rPr>
            </w:pPr>
            <w:r>
              <w:rPr>
                <w:sz w:val="20"/>
              </w:rPr>
              <w:t>1.60</w:t>
            </w:r>
          </w:p>
        </w:tc>
        <w:tc>
          <w:tcPr>
            <w:tcW w:w="826" w:type="dxa"/>
          </w:tcPr>
          <w:p>
            <w:pPr>
              <w:pStyle w:val="TableParagraph"/>
              <w:spacing w:before="26"/>
              <w:ind w:left="256"/>
              <w:jc w:val="left"/>
              <w:rPr>
                <w:sz w:val="20"/>
              </w:rPr>
            </w:pPr>
            <w:r>
              <w:rPr>
                <w:sz w:val="20"/>
              </w:rPr>
              <w:t>1.60</w:t>
            </w:r>
          </w:p>
        </w:tc>
        <w:tc>
          <w:tcPr>
            <w:tcW w:w="826" w:type="dxa"/>
          </w:tcPr>
          <w:p>
            <w:pPr>
              <w:pStyle w:val="TableParagraph"/>
              <w:spacing w:before="26"/>
              <w:ind w:left="257"/>
              <w:jc w:val="left"/>
              <w:rPr>
                <w:sz w:val="20"/>
              </w:rPr>
            </w:pPr>
            <w:r>
              <w:rPr>
                <w:sz w:val="20"/>
              </w:rPr>
              <w:t>1.53</w:t>
            </w:r>
          </w:p>
        </w:tc>
        <w:tc>
          <w:tcPr>
            <w:tcW w:w="826" w:type="dxa"/>
          </w:tcPr>
          <w:p>
            <w:pPr>
              <w:pStyle w:val="TableParagraph"/>
              <w:spacing w:before="26"/>
              <w:ind w:left="257"/>
              <w:jc w:val="left"/>
              <w:rPr>
                <w:sz w:val="20"/>
              </w:rPr>
            </w:pPr>
            <w:r>
              <w:rPr>
                <w:sz w:val="20"/>
              </w:rPr>
              <w:t>0.00</w:t>
            </w:r>
          </w:p>
        </w:tc>
        <w:tc>
          <w:tcPr>
            <w:tcW w:w="821" w:type="dxa"/>
          </w:tcPr>
          <w:p>
            <w:pPr>
              <w:pStyle w:val="TableParagraph"/>
              <w:spacing w:before="26"/>
              <w:ind w:left="256" w:right="84"/>
              <w:jc w:val="left"/>
              <w:rPr>
                <w:sz w:val="20"/>
              </w:rPr>
            </w:pPr>
            <w:r>
              <w:rPr>
                <w:sz w:val="20"/>
              </w:rPr>
              <w:t>0.00</w:t>
            </w:r>
          </w:p>
        </w:tc>
        <w:tc>
          <w:tcPr>
            <w:tcW w:w="771" w:type="dxa"/>
          </w:tcPr>
          <w:p>
            <w:pPr>
              <w:pStyle w:val="TableParagraph"/>
              <w:spacing w:before="26"/>
              <w:ind w:right="65"/>
              <w:rPr>
                <w:sz w:val="20"/>
              </w:rPr>
            </w:pPr>
            <w:r>
              <w:rPr>
                <w:sz w:val="20"/>
              </w:rPr>
              <w:t>0.00</w:t>
            </w:r>
          </w:p>
        </w:tc>
      </w:tr>
      <w:tr>
        <w:trPr>
          <w:trHeight w:val="298" w:hRule="exact"/>
        </w:trPr>
        <w:tc>
          <w:tcPr>
            <w:tcW w:w="1542" w:type="dxa"/>
          </w:tcPr>
          <w:p>
            <w:pPr>
              <w:pStyle w:val="TableParagraph"/>
              <w:ind w:left="86"/>
              <w:jc w:val="left"/>
              <w:rPr>
                <w:sz w:val="20"/>
              </w:rPr>
            </w:pPr>
            <w:r>
              <w:rPr>
                <w:sz w:val="20"/>
              </w:rPr>
              <w:t>TEJ_HlFlp</w:t>
            </w:r>
          </w:p>
        </w:tc>
        <w:tc>
          <w:tcPr>
            <w:tcW w:w="703" w:type="dxa"/>
          </w:tcPr>
          <w:p>
            <w:pPr>
              <w:pStyle w:val="TableParagraph"/>
              <w:ind w:left="215"/>
              <w:jc w:val="left"/>
              <w:rPr>
                <w:sz w:val="20"/>
              </w:rPr>
            </w:pPr>
            <w:r>
              <w:rPr>
                <w:sz w:val="20"/>
              </w:rPr>
              <w:t>1.60</w:t>
            </w:r>
          </w:p>
        </w:tc>
        <w:tc>
          <w:tcPr>
            <w:tcW w:w="701" w:type="dxa"/>
          </w:tcPr>
          <w:p>
            <w:pPr>
              <w:pStyle w:val="TableParagraph"/>
              <w:ind w:left="132"/>
              <w:jc w:val="left"/>
              <w:rPr>
                <w:sz w:val="20"/>
              </w:rPr>
            </w:pPr>
            <w:r>
              <w:rPr>
                <w:sz w:val="20"/>
              </w:rPr>
              <w:t>1.60</w:t>
            </w:r>
          </w:p>
        </w:tc>
        <w:tc>
          <w:tcPr>
            <w:tcW w:w="826" w:type="dxa"/>
          </w:tcPr>
          <w:p>
            <w:pPr>
              <w:pStyle w:val="TableParagraph"/>
              <w:ind w:left="256"/>
              <w:jc w:val="left"/>
              <w:rPr>
                <w:sz w:val="20"/>
              </w:rPr>
            </w:pPr>
            <w:r>
              <w:rPr>
                <w:sz w:val="20"/>
              </w:rPr>
              <w:t>1.60</w:t>
            </w:r>
          </w:p>
        </w:tc>
        <w:tc>
          <w:tcPr>
            <w:tcW w:w="826" w:type="dxa"/>
          </w:tcPr>
          <w:p>
            <w:pPr>
              <w:pStyle w:val="TableParagraph"/>
              <w:ind w:right="211"/>
              <w:rPr>
                <w:sz w:val="20"/>
              </w:rPr>
            </w:pPr>
            <w:r>
              <w:rPr>
                <w:sz w:val="20"/>
              </w:rPr>
              <w:t>1.60</w:t>
            </w:r>
          </w:p>
        </w:tc>
        <w:tc>
          <w:tcPr>
            <w:tcW w:w="826" w:type="dxa"/>
          </w:tcPr>
          <w:p>
            <w:pPr>
              <w:pStyle w:val="TableParagraph"/>
              <w:ind w:left="257"/>
              <w:jc w:val="left"/>
              <w:rPr>
                <w:sz w:val="20"/>
              </w:rPr>
            </w:pPr>
            <w:r>
              <w:rPr>
                <w:sz w:val="20"/>
              </w:rPr>
              <w:t>1.60</w:t>
            </w:r>
          </w:p>
        </w:tc>
        <w:tc>
          <w:tcPr>
            <w:tcW w:w="826" w:type="dxa"/>
          </w:tcPr>
          <w:p>
            <w:pPr>
              <w:pStyle w:val="TableParagraph"/>
              <w:ind w:left="256"/>
              <w:jc w:val="left"/>
              <w:rPr>
                <w:sz w:val="20"/>
              </w:rPr>
            </w:pPr>
            <w:r>
              <w:rPr>
                <w:sz w:val="20"/>
              </w:rPr>
              <w:t>1.60</w:t>
            </w:r>
          </w:p>
        </w:tc>
        <w:tc>
          <w:tcPr>
            <w:tcW w:w="826" w:type="dxa"/>
          </w:tcPr>
          <w:p>
            <w:pPr>
              <w:pStyle w:val="TableParagraph"/>
              <w:ind w:left="257"/>
              <w:jc w:val="left"/>
              <w:rPr>
                <w:sz w:val="20"/>
              </w:rPr>
            </w:pPr>
            <w:r>
              <w:rPr>
                <w:sz w:val="20"/>
              </w:rPr>
              <w:t>1.60</w:t>
            </w:r>
          </w:p>
        </w:tc>
        <w:tc>
          <w:tcPr>
            <w:tcW w:w="826" w:type="dxa"/>
          </w:tcPr>
          <w:p>
            <w:pPr>
              <w:pStyle w:val="TableParagraph"/>
              <w:ind w:left="257"/>
              <w:jc w:val="left"/>
              <w:rPr>
                <w:sz w:val="20"/>
              </w:rPr>
            </w:pPr>
            <w:r>
              <w:rPr>
                <w:sz w:val="20"/>
              </w:rPr>
              <w:t>0.00</w:t>
            </w:r>
          </w:p>
        </w:tc>
        <w:tc>
          <w:tcPr>
            <w:tcW w:w="821" w:type="dxa"/>
          </w:tcPr>
          <w:p>
            <w:pPr>
              <w:pStyle w:val="TableParagraph"/>
              <w:ind w:left="256" w:right="84"/>
              <w:jc w:val="left"/>
              <w:rPr>
                <w:sz w:val="20"/>
              </w:rPr>
            </w:pPr>
            <w:r>
              <w:rPr>
                <w:sz w:val="20"/>
              </w:rPr>
              <w:t>0.00</w:t>
            </w:r>
          </w:p>
        </w:tc>
        <w:tc>
          <w:tcPr>
            <w:tcW w:w="771" w:type="dxa"/>
          </w:tcPr>
          <w:p>
            <w:pPr>
              <w:pStyle w:val="TableParagraph"/>
              <w:ind w:right="65"/>
              <w:rPr>
                <w:sz w:val="20"/>
              </w:rPr>
            </w:pPr>
            <w:r>
              <w:rPr>
                <w:sz w:val="20"/>
              </w:rPr>
              <w:t>0.00</w:t>
            </w:r>
          </w:p>
        </w:tc>
      </w:tr>
      <w:tr>
        <w:trPr>
          <w:trHeight w:val="300" w:hRule="exact"/>
        </w:trPr>
        <w:tc>
          <w:tcPr>
            <w:tcW w:w="1542" w:type="dxa"/>
          </w:tcPr>
          <w:p>
            <w:pPr>
              <w:pStyle w:val="TableParagraph"/>
              <w:ind w:left="86"/>
              <w:jc w:val="left"/>
              <w:rPr>
                <w:sz w:val="20"/>
              </w:rPr>
            </w:pPr>
            <w:r>
              <w:rPr>
                <w:sz w:val="20"/>
              </w:rPr>
              <w:t>TEJ_HlFp</w:t>
            </w:r>
          </w:p>
        </w:tc>
        <w:tc>
          <w:tcPr>
            <w:tcW w:w="703" w:type="dxa"/>
          </w:tcPr>
          <w:p>
            <w:pPr>
              <w:pStyle w:val="TableParagraph"/>
              <w:ind w:left="215"/>
              <w:jc w:val="left"/>
              <w:rPr>
                <w:sz w:val="20"/>
              </w:rPr>
            </w:pPr>
            <w:r>
              <w:rPr>
                <w:sz w:val="20"/>
              </w:rPr>
              <w:t>1.60</w:t>
            </w:r>
          </w:p>
        </w:tc>
        <w:tc>
          <w:tcPr>
            <w:tcW w:w="701" w:type="dxa"/>
          </w:tcPr>
          <w:p>
            <w:pPr>
              <w:pStyle w:val="TableParagraph"/>
              <w:ind w:left="132"/>
              <w:jc w:val="left"/>
              <w:rPr>
                <w:sz w:val="20"/>
              </w:rPr>
            </w:pPr>
            <w:r>
              <w:rPr>
                <w:sz w:val="20"/>
              </w:rPr>
              <w:t>1.60</w:t>
            </w:r>
          </w:p>
        </w:tc>
        <w:tc>
          <w:tcPr>
            <w:tcW w:w="826" w:type="dxa"/>
          </w:tcPr>
          <w:p>
            <w:pPr>
              <w:pStyle w:val="TableParagraph"/>
              <w:ind w:left="256"/>
              <w:jc w:val="left"/>
              <w:rPr>
                <w:sz w:val="20"/>
              </w:rPr>
            </w:pPr>
            <w:r>
              <w:rPr>
                <w:sz w:val="20"/>
              </w:rPr>
              <w:t>1.40</w:t>
            </w:r>
          </w:p>
        </w:tc>
        <w:tc>
          <w:tcPr>
            <w:tcW w:w="826" w:type="dxa"/>
          </w:tcPr>
          <w:p>
            <w:pPr>
              <w:pStyle w:val="TableParagraph"/>
              <w:ind w:right="211"/>
              <w:rPr>
                <w:sz w:val="20"/>
              </w:rPr>
            </w:pPr>
            <w:r>
              <w:rPr>
                <w:sz w:val="20"/>
              </w:rPr>
              <w:t>1.40</w:t>
            </w:r>
          </w:p>
        </w:tc>
        <w:tc>
          <w:tcPr>
            <w:tcW w:w="826" w:type="dxa"/>
          </w:tcPr>
          <w:p>
            <w:pPr>
              <w:pStyle w:val="TableParagraph"/>
              <w:ind w:left="257"/>
              <w:jc w:val="left"/>
              <w:rPr>
                <w:sz w:val="20"/>
              </w:rPr>
            </w:pPr>
            <w:r>
              <w:rPr>
                <w:sz w:val="20"/>
              </w:rPr>
              <w:t>1.60</w:t>
            </w:r>
          </w:p>
        </w:tc>
        <w:tc>
          <w:tcPr>
            <w:tcW w:w="826" w:type="dxa"/>
          </w:tcPr>
          <w:p>
            <w:pPr>
              <w:pStyle w:val="TableParagraph"/>
              <w:ind w:left="256"/>
              <w:jc w:val="left"/>
              <w:rPr>
                <w:sz w:val="20"/>
              </w:rPr>
            </w:pPr>
            <w:r>
              <w:rPr>
                <w:sz w:val="20"/>
              </w:rPr>
              <w:t>1.60</w:t>
            </w:r>
          </w:p>
        </w:tc>
        <w:tc>
          <w:tcPr>
            <w:tcW w:w="826" w:type="dxa"/>
          </w:tcPr>
          <w:p>
            <w:pPr>
              <w:pStyle w:val="TableParagraph"/>
              <w:ind w:left="257"/>
              <w:jc w:val="left"/>
              <w:rPr>
                <w:sz w:val="20"/>
              </w:rPr>
            </w:pPr>
            <w:r>
              <w:rPr>
                <w:sz w:val="20"/>
              </w:rPr>
              <w:t>1.60</w:t>
            </w:r>
          </w:p>
        </w:tc>
        <w:tc>
          <w:tcPr>
            <w:tcW w:w="826" w:type="dxa"/>
          </w:tcPr>
          <w:p>
            <w:pPr>
              <w:pStyle w:val="TableParagraph"/>
              <w:ind w:left="257"/>
              <w:jc w:val="left"/>
              <w:rPr>
                <w:sz w:val="20"/>
              </w:rPr>
            </w:pPr>
            <w:r>
              <w:rPr>
                <w:sz w:val="20"/>
              </w:rPr>
              <w:t>0.00</w:t>
            </w:r>
          </w:p>
        </w:tc>
        <w:tc>
          <w:tcPr>
            <w:tcW w:w="821" w:type="dxa"/>
          </w:tcPr>
          <w:p>
            <w:pPr>
              <w:pStyle w:val="TableParagraph"/>
              <w:ind w:left="256" w:right="84"/>
              <w:jc w:val="left"/>
              <w:rPr>
                <w:sz w:val="20"/>
              </w:rPr>
            </w:pPr>
            <w:r>
              <w:rPr>
                <w:sz w:val="20"/>
              </w:rPr>
              <w:t>0.00</w:t>
            </w:r>
          </w:p>
        </w:tc>
        <w:tc>
          <w:tcPr>
            <w:tcW w:w="771" w:type="dxa"/>
          </w:tcPr>
          <w:p>
            <w:pPr>
              <w:pStyle w:val="TableParagraph"/>
              <w:ind w:right="65"/>
              <w:rPr>
                <w:sz w:val="20"/>
              </w:rPr>
            </w:pPr>
            <w:r>
              <w:rPr>
                <w:sz w:val="20"/>
              </w:rPr>
              <w:t>0.00</w:t>
            </w:r>
          </w:p>
        </w:tc>
      </w:tr>
      <w:tr>
        <w:trPr>
          <w:trHeight w:val="300" w:hRule="exact"/>
        </w:trPr>
        <w:tc>
          <w:tcPr>
            <w:tcW w:w="1542" w:type="dxa"/>
          </w:tcPr>
          <w:p>
            <w:pPr>
              <w:pStyle w:val="TableParagraph"/>
              <w:spacing w:before="26"/>
              <w:ind w:left="86"/>
              <w:jc w:val="left"/>
              <w:rPr>
                <w:sz w:val="20"/>
              </w:rPr>
            </w:pPr>
            <w:r>
              <w:rPr>
                <w:sz w:val="20"/>
              </w:rPr>
              <w:t>TEJ_HlSF</w:t>
            </w:r>
          </w:p>
        </w:tc>
        <w:tc>
          <w:tcPr>
            <w:tcW w:w="703" w:type="dxa"/>
          </w:tcPr>
          <w:p>
            <w:pPr>
              <w:pStyle w:val="TableParagraph"/>
              <w:spacing w:before="26"/>
              <w:ind w:left="215"/>
              <w:jc w:val="left"/>
              <w:rPr>
                <w:sz w:val="20"/>
              </w:rPr>
            </w:pPr>
            <w:r>
              <w:rPr>
                <w:sz w:val="20"/>
              </w:rPr>
              <w:t>1.60</w:t>
            </w:r>
          </w:p>
        </w:tc>
        <w:tc>
          <w:tcPr>
            <w:tcW w:w="701" w:type="dxa"/>
          </w:tcPr>
          <w:p>
            <w:pPr>
              <w:pStyle w:val="TableParagraph"/>
              <w:spacing w:before="26"/>
              <w:ind w:left="132"/>
              <w:jc w:val="left"/>
              <w:rPr>
                <w:sz w:val="20"/>
              </w:rPr>
            </w:pPr>
            <w:r>
              <w:rPr>
                <w:sz w:val="20"/>
              </w:rPr>
              <w:t>1.60</w:t>
            </w:r>
          </w:p>
        </w:tc>
        <w:tc>
          <w:tcPr>
            <w:tcW w:w="826" w:type="dxa"/>
          </w:tcPr>
          <w:p>
            <w:pPr>
              <w:pStyle w:val="TableParagraph"/>
              <w:spacing w:before="26"/>
              <w:ind w:left="256"/>
              <w:jc w:val="left"/>
              <w:rPr>
                <w:sz w:val="20"/>
              </w:rPr>
            </w:pPr>
            <w:r>
              <w:rPr>
                <w:sz w:val="20"/>
              </w:rPr>
              <w:t>1.60</w:t>
            </w:r>
          </w:p>
        </w:tc>
        <w:tc>
          <w:tcPr>
            <w:tcW w:w="826" w:type="dxa"/>
          </w:tcPr>
          <w:p>
            <w:pPr>
              <w:pStyle w:val="TableParagraph"/>
              <w:spacing w:before="26"/>
              <w:ind w:right="211"/>
              <w:rPr>
                <w:sz w:val="20"/>
              </w:rPr>
            </w:pPr>
            <w:r>
              <w:rPr>
                <w:sz w:val="20"/>
              </w:rPr>
              <w:t>1.60</w:t>
            </w:r>
          </w:p>
        </w:tc>
        <w:tc>
          <w:tcPr>
            <w:tcW w:w="826" w:type="dxa"/>
          </w:tcPr>
          <w:p>
            <w:pPr>
              <w:pStyle w:val="TableParagraph"/>
              <w:spacing w:before="26"/>
              <w:ind w:left="257"/>
              <w:jc w:val="left"/>
              <w:rPr>
                <w:sz w:val="20"/>
              </w:rPr>
            </w:pPr>
            <w:r>
              <w:rPr>
                <w:sz w:val="20"/>
              </w:rPr>
              <w:t>1.60</w:t>
            </w:r>
          </w:p>
        </w:tc>
        <w:tc>
          <w:tcPr>
            <w:tcW w:w="826" w:type="dxa"/>
          </w:tcPr>
          <w:p>
            <w:pPr>
              <w:pStyle w:val="TableParagraph"/>
              <w:spacing w:before="26"/>
              <w:ind w:left="256"/>
              <w:jc w:val="left"/>
              <w:rPr>
                <w:sz w:val="20"/>
              </w:rPr>
            </w:pPr>
            <w:r>
              <w:rPr>
                <w:sz w:val="20"/>
              </w:rPr>
              <w:t>1.60</w:t>
            </w:r>
          </w:p>
        </w:tc>
        <w:tc>
          <w:tcPr>
            <w:tcW w:w="826" w:type="dxa"/>
          </w:tcPr>
          <w:p>
            <w:pPr>
              <w:pStyle w:val="TableParagraph"/>
              <w:spacing w:before="26"/>
              <w:ind w:left="257"/>
              <w:jc w:val="left"/>
              <w:rPr>
                <w:sz w:val="20"/>
              </w:rPr>
            </w:pPr>
            <w:r>
              <w:rPr>
                <w:sz w:val="20"/>
              </w:rPr>
              <w:t>1.60</w:t>
            </w:r>
          </w:p>
        </w:tc>
        <w:tc>
          <w:tcPr>
            <w:tcW w:w="826" w:type="dxa"/>
          </w:tcPr>
          <w:p>
            <w:pPr>
              <w:pStyle w:val="TableParagraph"/>
              <w:spacing w:before="26"/>
              <w:ind w:left="257"/>
              <w:jc w:val="left"/>
              <w:rPr>
                <w:sz w:val="20"/>
              </w:rPr>
            </w:pPr>
            <w:r>
              <w:rPr>
                <w:sz w:val="20"/>
              </w:rPr>
              <w:t>0.00</w:t>
            </w:r>
          </w:p>
        </w:tc>
        <w:tc>
          <w:tcPr>
            <w:tcW w:w="821" w:type="dxa"/>
          </w:tcPr>
          <w:p>
            <w:pPr>
              <w:pStyle w:val="TableParagraph"/>
              <w:spacing w:before="26"/>
              <w:ind w:left="256" w:right="84"/>
              <w:jc w:val="left"/>
              <w:rPr>
                <w:sz w:val="20"/>
              </w:rPr>
            </w:pPr>
            <w:r>
              <w:rPr>
                <w:sz w:val="20"/>
              </w:rPr>
              <w:t>0.00</w:t>
            </w:r>
          </w:p>
        </w:tc>
        <w:tc>
          <w:tcPr>
            <w:tcW w:w="771" w:type="dxa"/>
          </w:tcPr>
          <w:p>
            <w:pPr>
              <w:pStyle w:val="TableParagraph"/>
              <w:spacing w:before="26"/>
              <w:ind w:right="65"/>
              <w:rPr>
                <w:sz w:val="20"/>
              </w:rPr>
            </w:pPr>
            <w:r>
              <w:rPr>
                <w:sz w:val="20"/>
              </w:rPr>
              <w:t>0.00</w:t>
            </w:r>
          </w:p>
        </w:tc>
      </w:tr>
      <w:tr>
        <w:trPr>
          <w:trHeight w:val="298" w:hRule="exact"/>
        </w:trPr>
        <w:tc>
          <w:tcPr>
            <w:tcW w:w="1542" w:type="dxa"/>
          </w:tcPr>
          <w:p>
            <w:pPr>
              <w:pStyle w:val="TableParagraph"/>
              <w:ind w:left="86"/>
              <w:jc w:val="left"/>
              <w:rPr>
                <w:sz w:val="20"/>
              </w:rPr>
            </w:pPr>
            <w:r>
              <w:rPr>
                <w:sz w:val="20"/>
              </w:rPr>
              <w:t>TEJ_ISF</w:t>
            </w:r>
          </w:p>
        </w:tc>
        <w:tc>
          <w:tcPr>
            <w:tcW w:w="703" w:type="dxa"/>
          </w:tcPr>
          <w:p>
            <w:pPr>
              <w:pStyle w:val="TableParagraph"/>
              <w:ind w:left="215"/>
              <w:jc w:val="left"/>
              <w:rPr>
                <w:sz w:val="20"/>
              </w:rPr>
            </w:pPr>
            <w:r>
              <w:rPr>
                <w:sz w:val="20"/>
              </w:rPr>
              <w:t>1.60</w:t>
            </w:r>
          </w:p>
        </w:tc>
        <w:tc>
          <w:tcPr>
            <w:tcW w:w="701" w:type="dxa"/>
          </w:tcPr>
          <w:p>
            <w:pPr>
              <w:pStyle w:val="TableParagraph"/>
              <w:ind w:left="132"/>
              <w:jc w:val="left"/>
              <w:rPr>
                <w:sz w:val="20"/>
              </w:rPr>
            </w:pPr>
            <w:r>
              <w:rPr>
                <w:sz w:val="20"/>
              </w:rPr>
              <w:t>1.60</w:t>
            </w:r>
          </w:p>
        </w:tc>
        <w:tc>
          <w:tcPr>
            <w:tcW w:w="826" w:type="dxa"/>
          </w:tcPr>
          <w:p>
            <w:pPr>
              <w:pStyle w:val="TableParagraph"/>
              <w:ind w:left="256"/>
              <w:jc w:val="left"/>
              <w:rPr>
                <w:sz w:val="20"/>
              </w:rPr>
            </w:pPr>
            <w:r>
              <w:rPr>
                <w:sz w:val="20"/>
              </w:rPr>
              <w:t>1.60</w:t>
            </w:r>
          </w:p>
        </w:tc>
        <w:tc>
          <w:tcPr>
            <w:tcW w:w="826" w:type="dxa"/>
          </w:tcPr>
          <w:p>
            <w:pPr>
              <w:pStyle w:val="TableParagraph"/>
              <w:ind w:right="211"/>
              <w:rPr>
                <w:sz w:val="20"/>
              </w:rPr>
            </w:pPr>
            <w:r>
              <w:rPr>
                <w:sz w:val="20"/>
              </w:rPr>
              <w:t>1.60</w:t>
            </w:r>
          </w:p>
        </w:tc>
        <w:tc>
          <w:tcPr>
            <w:tcW w:w="826" w:type="dxa"/>
          </w:tcPr>
          <w:p>
            <w:pPr>
              <w:pStyle w:val="TableParagraph"/>
              <w:ind w:left="257"/>
              <w:jc w:val="left"/>
              <w:rPr>
                <w:sz w:val="20"/>
              </w:rPr>
            </w:pPr>
            <w:r>
              <w:rPr>
                <w:sz w:val="20"/>
              </w:rPr>
              <w:t>1.60</w:t>
            </w:r>
          </w:p>
        </w:tc>
        <w:tc>
          <w:tcPr>
            <w:tcW w:w="826" w:type="dxa"/>
          </w:tcPr>
          <w:p>
            <w:pPr>
              <w:pStyle w:val="TableParagraph"/>
              <w:ind w:left="256"/>
              <w:jc w:val="left"/>
              <w:rPr>
                <w:sz w:val="20"/>
              </w:rPr>
            </w:pPr>
            <w:r>
              <w:rPr>
                <w:sz w:val="20"/>
              </w:rPr>
              <w:t>1.60</w:t>
            </w:r>
          </w:p>
        </w:tc>
        <w:tc>
          <w:tcPr>
            <w:tcW w:w="826" w:type="dxa"/>
          </w:tcPr>
          <w:p>
            <w:pPr>
              <w:pStyle w:val="TableParagraph"/>
              <w:ind w:left="257"/>
              <w:jc w:val="left"/>
              <w:rPr>
                <w:sz w:val="20"/>
              </w:rPr>
            </w:pPr>
            <w:r>
              <w:rPr>
                <w:sz w:val="20"/>
              </w:rPr>
              <w:t>1.60</w:t>
            </w:r>
          </w:p>
        </w:tc>
        <w:tc>
          <w:tcPr>
            <w:tcW w:w="826" w:type="dxa"/>
          </w:tcPr>
          <w:p>
            <w:pPr>
              <w:pStyle w:val="TableParagraph"/>
              <w:ind w:left="257"/>
              <w:jc w:val="left"/>
              <w:rPr>
                <w:sz w:val="20"/>
              </w:rPr>
            </w:pPr>
            <w:r>
              <w:rPr>
                <w:sz w:val="20"/>
              </w:rPr>
              <w:t>0.00</w:t>
            </w:r>
          </w:p>
        </w:tc>
        <w:tc>
          <w:tcPr>
            <w:tcW w:w="821" w:type="dxa"/>
          </w:tcPr>
          <w:p>
            <w:pPr>
              <w:pStyle w:val="TableParagraph"/>
              <w:ind w:left="256" w:right="84"/>
              <w:jc w:val="left"/>
              <w:rPr>
                <w:sz w:val="20"/>
              </w:rPr>
            </w:pPr>
            <w:r>
              <w:rPr>
                <w:sz w:val="20"/>
              </w:rPr>
              <w:t>0.00</w:t>
            </w:r>
          </w:p>
        </w:tc>
        <w:tc>
          <w:tcPr>
            <w:tcW w:w="771" w:type="dxa"/>
          </w:tcPr>
          <w:p>
            <w:pPr>
              <w:pStyle w:val="TableParagraph"/>
              <w:ind w:right="65"/>
              <w:rPr>
                <w:sz w:val="20"/>
              </w:rPr>
            </w:pPr>
            <w:r>
              <w:rPr>
                <w:sz w:val="20"/>
              </w:rPr>
              <w:t>0.00</w:t>
            </w:r>
          </w:p>
        </w:tc>
      </w:tr>
      <w:tr>
        <w:trPr>
          <w:trHeight w:val="298" w:hRule="exact"/>
        </w:trPr>
        <w:tc>
          <w:tcPr>
            <w:tcW w:w="1542" w:type="dxa"/>
          </w:tcPr>
          <w:p>
            <w:pPr>
              <w:pStyle w:val="TableParagraph"/>
              <w:ind w:left="86"/>
              <w:jc w:val="left"/>
              <w:rPr>
                <w:sz w:val="20"/>
              </w:rPr>
            </w:pPr>
            <w:r>
              <w:rPr>
                <w:sz w:val="20"/>
              </w:rPr>
              <w:t>TEJ_LcFdp</w:t>
            </w:r>
          </w:p>
        </w:tc>
        <w:tc>
          <w:tcPr>
            <w:tcW w:w="703" w:type="dxa"/>
          </w:tcPr>
          <w:p>
            <w:pPr>
              <w:pStyle w:val="TableParagraph"/>
              <w:ind w:left="215"/>
              <w:jc w:val="left"/>
              <w:rPr>
                <w:sz w:val="20"/>
              </w:rPr>
            </w:pPr>
            <w:r>
              <w:rPr>
                <w:sz w:val="20"/>
              </w:rPr>
              <w:t>1.60</w:t>
            </w:r>
          </w:p>
        </w:tc>
        <w:tc>
          <w:tcPr>
            <w:tcW w:w="701" w:type="dxa"/>
          </w:tcPr>
          <w:p>
            <w:pPr>
              <w:pStyle w:val="TableParagraph"/>
              <w:ind w:left="132"/>
              <w:jc w:val="left"/>
              <w:rPr>
                <w:sz w:val="20"/>
              </w:rPr>
            </w:pPr>
            <w:r>
              <w:rPr>
                <w:sz w:val="20"/>
              </w:rPr>
              <w:t>1.40</w:t>
            </w:r>
          </w:p>
        </w:tc>
        <w:tc>
          <w:tcPr>
            <w:tcW w:w="826" w:type="dxa"/>
          </w:tcPr>
          <w:p>
            <w:pPr>
              <w:pStyle w:val="TableParagraph"/>
              <w:ind w:left="256"/>
              <w:jc w:val="left"/>
              <w:rPr>
                <w:sz w:val="20"/>
              </w:rPr>
            </w:pPr>
            <w:r>
              <w:rPr>
                <w:sz w:val="20"/>
              </w:rPr>
              <w:t>1.40</w:t>
            </w:r>
          </w:p>
        </w:tc>
        <w:tc>
          <w:tcPr>
            <w:tcW w:w="826" w:type="dxa"/>
          </w:tcPr>
          <w:p>
            <w:pPr>
              <w:pStyle w:val="TableParagraph"/>
              <w:ind w:right="211"/>
              <w:rPr>
                <w:sz w:val="20"/>
              </w:rPr>
            </w:pPr>
            <w:r>
              <w:rPr>
                <w:sz w:val="20"/>
              </w:rPr>
              <w:t>1.40</w:t>
            </w:r>
          </w:p>
        </w:tc>
        <w:tc>
          <w:tcPr>
            <w:tcW w:w="826" w:type="dxa"/>
          </w:tcPr>
          <w:p>
            <w:pPr>
              <w:pStyle w:val="TableParagraph"/>
              <w:ind w:left="257"/>
              <w:jc w:val="left"/>
              <w:rPr>
                <w:sz w:val="20"/>
              </w:rPr>
            </w:pPr>
            <w:r>
              <w:rPr>
                <w:sz w:val="20"/>
              </w:rPr>
              <w:t>1.40</w:t>
            </w:r>
          </w:p>
        </w:tc>
        <w:tc>
          <w:tcPr>
            <w:tcW w:w="826" w:type="dxa"/>
          </w:tcPr>
          <w:p>
            <w:pPr>
              <w:pStyle w:val="TableParagraph"/>
              <w:ind w:left="256"/>
              <w:jc w:val="left"/>
              <w:rPr>
                <w:sz w:val="20"/>
              </w:rPr>
            </w:pPr>
            <w:r>
              <w:rPr>
                <w:sz w:val="20"/>
              </w:rPr>
              <w:t>1.40</w:t>
            </w:r>
          </w:p>
        </w:tc>
        <w:tc>
          <w:tcPr>
            <w:tcW w:w="826" w:type="dxa"/>
          </w:tcPr>
          <w:p>
            <w:pPr>
              <w:pStyle w:val="TableParagraph"/>
              <w:ind w:left="257"/>
              <w:jc w:val="left"/>
              <w:rPr>
                <w:sz w:val="20"/>
              </w:rPr>
            </w:pPr>
            <w:r>
              <w:rPr>
                <w:sz w:val="20"/>
              </w:rPr>
              <w:t>1.40</w:t>
            </w:r>
          </w:p>
        </w:tc>
        <w:tc>
          <w:tcPr>
            <w:tcW w:w="826" w:type="dxa"/>
          </w:tcPr>
          <w:p>
            <w:pPr>
              <w:pStyle w:val="TableParagraph"/>
              <w:ind w:left="257"/>
              <w:jc w:val="left"/>
              <w:rPr>
                <w:sz w:val="20"/>
              </w:rPr>
            </w:pPr>
            <w:r>
              <w:rPr>
                <w:sz w:val="20"/>
              </w:rPr>
              <w:t>0.00</w:t>
            </w:r>
          </w:p>
        </w:tc>
        <w:tc>
          <w:tcPr>
            <w:tcW w:w="821" w:type="dxa"/>
          </w:tcPr>
          <w:p>
            <w:pPr>
              <w:pStyle w:val="TableParagraph"/>
              <w:ind w:left="256" w:right="84"/>
              <w:jc w:val="left"/>
              <w:rPr>
                <w:sz w:val="20"/>
              </w:rPr>
            </w:pPr>
            <w:r>
              <w:rPr>
                <w:sz w:val="20"/>
              </w:rPr>
              <w:t>0.00</w:t>
            </w:r>
          </w:p>
        </w:tc>
        <w:tc>
          <w:tcPr>
            <w:tcW w:w="771" w:type="dxa"/>
          </w:tcPr>
          <w:p>
            <w:pPr>
              <w:pStyle w:val="TableParagraph"/>
              <w:ind w:right="65"/>
              <w:rPr>
                <w:sz w:val="20"/>
              </w:rPr>
            </w:pPr>
            <w:r>
              <w:rPr>
                <w:sz w:val="20"/>
              </w:rPr>
              <w:t>0.00</w:t>
            </w:r>
          </w:p>
        </w:tc>
      </w:tr>
      <w:tr>
        <w:trPr>
          <w:trHeight w:val="300" w:hRule="exact"/>
        </w:trPr>
        <w:tc>
          <w:tcPr>
            <w:tcW w:w="1542" w:type="dxa"/>
          </w:tcPr>
          <w:p>
            <w:pPr>
              <w:pStyle w:val="TableParagraph"/>
              <w:ind w:left="86"/>
              <w:jc w:val="left"/>
              <w:rPr>
                <w:sz w:val="20"/>
              </w:rPr>
            </w:pPr>
            <w:r>
              <w:rPr>
                <w:sz w:val="20"/>
              </w:rPr>
              <w:t>TEJ_LcFl</w:t>
            </w:r>
          </w:p>
        </w:tc>
        <w:tc>
          <w:tcPr>
            <w:tcW w:w="703" w:type="dxa"/>
          </w:tcPr>
          <w:p>
            <w:pPr>
              <w:pStyle w:val="TableParagraph"/>
              <w:ind w:left="215"/>
              <w:jc w:val="left"/>
              <w:rPr>
                <w:sz w:val="20"/>
              </w:rPr>
            </w:pPr>
            <w:r>
              <w:rPr>
                <w:sz w:val="20"/>
              </w:rPr>
              <w:t>1.40</w:t>
            </w:r>
          </w:p>
        </w:tc>
        <w:tc>
          <w:tcPr>
            <w:tcW w:w="701" w:type="dxa"/>
          </w:tcPr>
          <w:p>
            <w:pPr>
              <w:pStyle w:val="TableParagraph"/>
              <w:ind w:left="132"/>
              <w:jc w:val="left"/>
              <w:rPr>
                <w:sz w:val="20"/>
              </w:rPr>
            </w:pPr>
            <w:r>
              <w:rPr>
                <w:sz w:val="20"/>
              </w:rPr>
              <w:t>1.40</w:t>
            </w:r>
          </w:p>
        </w:tc>
        <w:tc>
          <w:tcPr>
            <w:tcW w:w="826" w:type="dxa"/>
          </w:tcPr>
          <w:p>
            <w:pPr>
              <w:pStyle w:val="TableParagraph"/>
              <w:ind w:left="256"/>
              <w:jc w:val="left"/>
              <w:rPr>
                <w:sz w:val="20"/>
              </w:rPr>
            </w:pPr>
            <w:r>
              <w:rPr>
                <w:sz w:val="20"/>
              </w:rPr>
              <w:t>1.40</w:t>
            </w:r>
          </w:p>
        </w:tc>
        <w:tc>
          <w:tcPr>
            <w:tcW w:w="826" w:type="dxa"/>
          </w:tcPr>
          <w:p>
            <w:pPr>
              <w:pStyle w:val="TableParagraph"/>
              <w:ind w:right="211"/>
              <w:rPr>
                <w:sz w:val="20"/>
              </w:rPr>
            </w:pPr>
            <w:r>
              <w:rPr>
                <w:sz w:val="20"/>
              </w:rPr>
              <w:t>1.40</w:t>
            </w:r>
          </w:p>
        </w:tc>
        <w:tc>
          <w:tcPr>
            <w:tcW w:w="826" w:type="dxa"/>
          </w:tcPr>
          <w:p>
            <w:pPr>
              <w:pStyle w:val="TableParagraph"/>
              <w:ind w:left="257"/>
              <w:jc w:val="left"/>
              <w:rPr>
                <w:sz w:val="20"/>
              </w:rPr>
            </w:pPr>
            <w:r>
              <w:rPr>
                <w:sz w:val="20"/>
              </w:rPr>
              <w:t>1.40</w:t>
            </w:r>
          </w:p>
        </w:tc>
        <w:tc>
          <w:tcPr>
            <w:tcW w:w="826" w:type="dxa"/>
          </w:tcPr>
          <w:p>
            <w:pPr>
              <w:pStyle w:val="TableParagraph"/>
              <w:ind w:left="256"/>
              <w:jc w:val="left"/>
              <w:rPr>
                <w:sz w:val="20"/>
              </w:rPr>
            </w:pPr>
            <w:r>
              <w:rPr>
                <w:sz w:val="20"/>
              </w:rPr>
              <w:t>1.60</w:t>
            </w:r>
          </w:p>
        </w:tc>
        <w:tc>
          <w:tcPr>
            <w:tcW w:w="826" w:type="dxa"/>
          </w:tcPr>
          <w:p>
            <w:pPr>
              <w:pStyle w:val="TableParagraph"/>
              <w:ind w:left="257"/>
              <w:jc w:val="left"/>
              <w:rPr>
                <w:sz w:val="20"/>
              </w:rPr>
            </w:pPr>
            <w:r>
              <w:rPr>
                <w:sz w:val="20"/>
              </w:rPr>
              <w:t>1.60</w:t>
            </w:r>
          </w:p>
        </w:tc>
        <w:tc>
          <w:tcPr>
            <w:tcW w:w="826" w:type="dxa"/>
          </w:tcPr>
          <w:p>
            <w:pPr>
              <w:pStyle w:val="TableParagraph"/>
              <w:ind w:left="257"/>
              <w:jc w:val="left"/>
              <w:rPr>
                <w:sz w:val="20"/>
              </w:rPr>
            </w:pPr>
            <w:r>
              <w:rPr>
                <w:sz w:val="20"/>
              </w:rPr>
              <w:t>0.00</w:t>
            </w:r>
          </w:p>
        </w:tc>
        <w:tc>
          <w:tcPr>
            <w:tcW w:w="821" w:type="dxa"/>
          </w:tcPr>
          <w:p>
            <w:pPr>
              <w:pStyle w:val="TableParagraph"/>
              <w:ind w:left="256" w:right="84"/>
              <w:jc w:val="left"/>
              <w:rPr>
                <w:sz w:val="20"/>
              </w:rPr>
            </w:pPr>
            <w:r>
              <w:rPr>
                <w:sz w:val="20"/>
              </w:rPr>
              <w:t>0.00</w:t>
            </w:r>
          </w:p>
        </w:tc>
        <w:tc>
          <w:tcPr>
            <w:tcW w:w="771" w:type="dxa"/>
          </w:tcPr>
          <w:p>
            <w:pPr>
              <w:pStyle w:val="TableParagraph"/>
              <w:ind w:right="65"/>
              <w:rPr>
                <w:sz w:val="20"/>
              </w:rPr>
            </w:pPr>
            <w:r>
              <w:rPr>
                <w:sz w:val="20"/>
              </w:rPr>
              <w:t>0.00</w:t>
            </w:r>
          </w:p>
        </w:tc>
      </w:tr>
      <w:tr>
        <w:trPr>
          <w:trHeight w:val="300" w:hRule="exact"/>
        </w:trPr>
        <w:tc>
          <w:tcPr>
            <w:tcW w:w="1542" w:type="dxa"/>
          </w:tcPr>
          <w:p>
            <w:pPr>
              <w:pStyle w:val="TableParagraph"/>
              <w:spacing w:before="26"/>
              <w:ind w:left="86"/>
              <w:jc w:val="left"/>
              <w:rPr>
                <w:sz w:val="20"/>
              </w:rPr>
            </w:pPr>
            <w:r>
              <w:rPr>
                <w:sz w:val="20"/>
              </w:rPr>
              <w:t>TEJ_LcFlp</w:t>
            </w:r>
          </w:p>
        </w:tc>
        <w:tc>
          <w:tcPr>
            <w:tcW w:w="703" w:type="dxa"/>
          </w:tcPr>
          <w:p>
            <w:pPr>
              <w:pStyle w:val="TableParagraph"/>
              <w:spacing w:before="26"/>
              <w:ind w:left="215"/>
              <w:jc w:val="left"/>
              <w:rPr>
                <w:sz w:val="20"/>
              </w:rPr>
            </w:pPr>
            <w:r>
              <w:rPr>
                <w:sz w:val="20"/>
              </w:rPr>
              <w:t>1.60</w:t>
            </w:r>
          </w:p>
        </w:tc>
        <w:tc>
          <w:tcPr>
            <w:tcW w:w="701" w:type="dxa"/>
          </w:tcPr>
          <w:p>
            <w:pPr>
              <w:pStyle w:val="TableParagraph"/>
              <w:spacing w:before="26"/>
              <w:ind w:left="132"/>
              <w:jc w:val="left"/>
              <w:rPr>
                <w:sz w:val="20"/>
              </w:rPr>
            </w:pPr>
            <w:r>
              <w:rPr>
                <w:sz w:val="20"/>
              </w:rPr>
              <w:t>1.58</w:t>
            </w:r>
          </w:p>
        </w:tc>
        <w:tc>
          <w:tcPr>
            <w:tcW w:w="826" w:type="dxa"/>
          </w:tcPr>
          <w:p>
            <w:pPr>
              <w:pStyle w:val="TableParagraph"/>
              <w:spacing w:before="26"/>
              <w:ind w:left="256"/>
              <w:jc w:val="left"/>
              <w:rPr>
                <w:sz w:val="20"/>
              </w:rPr>
            </w:pPr>
            <w:r>
              <w:rPr>
                <w:sz w:val="20"/>
              </w:rPr>
              <w:t>1.58</w:t>
            </w:r>
          </w:p>
        </w:tc>
        <w:tc>
          <w:tcPr>
            <w:tcW w:w="826" w:type="dxa"/>
          </w:tcPr>
          <w:p>
            <w:pPr>
              <w:pStyle w:val="TableParagraph"/>
              <w:spacing w:before="26"/>
              <w:ind w:right="211"/>
              <w:rPr>
                <w:sz w:val="20"/>
              </w:rPr>
            </w:pPr>
            <w:r>
              <w:rPr>
                <w:sz w:val="20"/>
              </w:rPr>
              <w:t>1.40</w:t>
            </w:r>
          </w:p>
        </w:tc>
        <w:tc>
          <w:tcPr>
            <w:tcW w:w="826" w:type="dxa"/>
          </w:tcPr>
          <w:p>
            <w:pPr>
              <w:pStyle w:val="TableParagraph"/>
              <w:spacing w:before="26"/>
              <w:ind w:left="257"/>
              <w:jc w:val="left"/>
              <w:rPr>
                <w:sz w:val="20"/>
              </w:rPr>
            </w:pPr>
            <w:r>
              <w:rPr>
                <w:sz w:val="20"/>
              </w:rPr>
              <w:t>1.40</w:t>
            </w:r>
          </w:p>
        </w:tc>
        <w:tc>
          <w:tcPr>
            <w:tcW w:w="826" w:type="dxa"/>
          </w:tcPr>
          <w:p>
            <w:pPr>
              <w:pStyle w:val="TableParagraph"/>
              <w:spacing w:before="26"/>
              <w:ind w:left="256"/>
              <w:jc w:val="left"/>
              <w:rPr>
                <w:sz w:val="20"/>
              </w:rPr>
            </w:pPr>
            <w:r>
              <w:rPr>
                <w:sz w:val="20"/>
              </w:rPr>
              <w:t>1.43</w:t>
            </w:r>
          </w:p>
        </w:tc>
        <w:tc>
          <w:tcPr>
            <w:tcW w:w="826" w:type="dxa"/>
          </w:tcPr>
          <w:p>
            <w:pPr>
              <w:pStyle w:val="TableParagraph"/>
              <w:spacing w:before="26"/>
              <w:ind w:left="257"/>
              <w:jc w:val="left"/>
              <w:rPr>
                <w:sz w:val="20"/>
              </w:rPr>
            </w:pPr>
            <w:r>
              <w:rPr>
                <w:sz w:val="20"/>
              </w:rPr>
              <w:t>1.43</w:t>
            </w:r>
          </w:p>
        </w:tc>
        <w:tc>
          <w:tcPr>
            <w:tcW w:w="826" w:type="dxa"/>
          </w:tcPr>
          <w:p>
            <w:pPr>
              <w:pStyle w:val="TableParagraph"/>
              <w:spacing w:before="26"/>
              <w:ind w:left="257"/>
              <w:jc w:val="left"/>
              <w:rPr>
                <w:sz w:val="20"/>
              </w:rPr>
            </w:pPr>
            <w:r>
              <w:rPr>
                <w:sz w:val="20"/>
              </w:rPr>
              <w:t>0.00</w:t>
            </w:r>
          </w:p>
        </w:tc>
        <w:tc>
          <w:tcPr>
            <w:tcW w:w="821" w:type="dxa"/>
          </w:tcPr>
          <w:p>
            <w:pPr>
              <w:pStyle w:val="TableParagraph"/>
              <w:spacing w:before="26"/>
              <w:ind w:left="256" w:right="84"/>
              <w:jc w:val="left"/>
              <w:rPr>
                <w:sz w:val="20"/>
              </w:rPr>
            </w:pPr>
            <w:r>
              <w:rPr>
                <w:sz w:val="20"/>
              </w:rPr>
              <w:t>0.00</w:t>
            </w:r>
          </w:p>
        </w:tc>
        <w:tc>
          <w:tcPr>
            <w:tcW w:w="771" w:type="dxa"/>
          </w:tcPr>
          <w:p>
            <w:pPr>
              <w:pStyle w:val="TableParagraph"/>
              <w:spacing w:before="26"/>
              <w:ind w:right="65"/>
              <w:rPr>
                <w:sz w:val="20"/>
              </w:rPr>
            </w:pPr>
            <w:r>
              <w:rPr>
                <w:sz w:val="20"/>
              </w:rPr>
              <w:t>0.00</w:t>
            </w:r>
          </w:p>
        </w:tc>
      </w:tr>
      <w:tr>
        <w:trPr>
          <w:trHeight w:val="298" w:hRule="exact"/>
        </w:trPr>
        <w:tc>
          <w:tcPr>
            <w:tcW w:w="1542" w:type="dxa"/>
          </w:tcPr>
          <w:p>
            <w:pPr>
              <w:pStyle w:val="TableParagraph"/>
              <w:spacing w:before="24"/>
              <w:ind w:left="86"/>
              <w:jc w:val="left"/>
              <w:rPr>
                <w:sz w:val="20"/>
              </w:rPr>
            </w:pPr>
            <w:r>
              <w:rPr>
                <w:sz w:val="20"/>
              </w:rPr>
              <w:t>TEJ_LcSF</w:t>
            </w:r>
          </w:p>
        </w:tc>
        <w:tc>
          <w:tcPr>
            <w:tcW w:w="703" w:type="dxa"/>
          </w:tcPr>
          <w:p>
            <w:pPr>
              <w:pStyle w:val="TableParagraph"/>
              <w:spacing w:before="24"/>
              <w:ind w:left="215"/>
              <w:jc w:val="left"/>
              <w:rPr>
                <w:sz w:val="20"/>
              </w:rPr>
            </w:pPr>
            <w:r>
              <w:rPr>
                <w:sz w:val="20"/>
              </w:rPr>
              <w:t>1.60</w:t>
            </w:r>
          </w:p>
        </w:tc>
        <w:tc>
          <w:tcPr>
            <w:tcW w:w="701" w:type="dxa"/>
          </w:tcPr>
          <w:p>
            <w:pPr>
              <w:pStyle w:val="TableParagraph"/>
              <w:spacing w:before="24"/>
              <w:ind w:left="132"/>
              <w:jc w:val="left"/>
              <w:rPr>
                <w:sz w:val="20"/>
              </w:rPr>
            </w:pPr>
            <w:r>
              <w:rPr>
                <w:sz w:val="20"/>
              </w:rPr>
              <w:t>1.53</w:t>
            </w:r>
          </w:p>
        </w:tc>
        <w:tc>
          <w:tcPr>
            <w:tcW w:w="826" w:type="dxa"/>
          </w:tcPr>
          <w:p>
            <w:pPr>
              <w:pStyle w:val="TableParagraph"/>
              <w:spacing w:before="24"/>
              <w:ind w:left="256"/>
              <w:jc w:val="left"/>
              <w:rPr>
                <w:sz w:val="20"/>
              </w:rPr>
            </w:pPr>
            <w:r>
              <w:rPr>
                <w:sz w:val="20"/>
              </w:rPr>
              <w:t>1.40</w:t>
            </w:r>
          </w:p>
        </w:tc>
        <w:tc>
          <w:tcPr>
            <w:tcW w:w="826" w:type="dxa"/>
          </w:tcPr>
          <w:p>
            <w:pPr>
              <w:pStyle w:val="TableParagraph"/>
              <w:spacing w:before="24"/>
              <w:ind w:right="211"/>
              <w:rPr>
                <w:sz w:val="20"/>
              </w:rPr>
            </w:pPr>
            <w:r>
              <w:rPr>
                <w:sz w:val="20"/>
              </w:rPr>
              <w:t>1.40</w:t>
            </w:r>
          </w:p>
        </w:tc>
        <w:tc>
          <w:tcPr>
            <w:tcW w:w="826" w:type="dxa"/>
          </w:tcPr>
          <w:p>
            <w:pPr>
              <w:pStyle w:val="TableParagraph"/>
              <w:spacing w:before="24"/>
              <w:ind w:left="257"/>
              <w:jc w:val="left"/>
              <w:rPr>
                <w:sz w:val="20"/>
              </w:rPr>
            </w:pPr>
            <w:r>
              <w:rPr>
                <w:sz w:val="20"/>
              </w:rPr>
              <w:t>1.53</w:t>
            </w:r>
          </w:p>
        </w:tc>
        <w:tc>
          <w:tcPr>
            <w:tcW w:w="826" w:type="dxa"/>
          </w:tcPr>
          <w:p>
            <w:pPr>
              <w:pStyle w:val="TableParagraph"/>
              <w:spacing w:before="24"/>
              <w:ind w:left="256"/>
              <w:jc w:val="left"/>
              <w:rPr>
                <w:sz w:val="20"/>
              </w:rPr>
            </w:pPr>
            <w:r>
              <w:rPr>
                <w:sz w:val="20"/>
              </w:rPr>
              <w:t>1.60</w:t>
            </w:r>
          </w:p>
        </w:tc>
        <w:tc>
          <w:tcPr>
            <w:tcW w:w="826" w:type="dxa"/>
          </w:tcPr>
          <w:p>
            <w:pPr>
              <w:pStyle w:val="TableParagraph"/>
              <w:spacing w:before="24"/>
              <w:ind w:left="257"/>
              <w:jc w:val="left"/>
              <w:rPr>
                <w:sz w:val="20"/>
              </w:rPr>
            </w:pPr>
            <w:r>
              <w:rPr>
                <w:sz w:val="20"/>
              </w:rPr>
              <w:t>1.60</w:t>
            </w:r>
          </w:p>
        </w:tc>
        <w:tc>
          <w:tcPr>
            <w:tcW w:w="826" w:type="dxa"/>
          </w:tcPr>
          <w:p>
            <w:pPr>
              <w:pStyle w:val="TableParagraph"/>
              <w:spacing w:before="24"/>
              <w:ind w:left="257"/>
              <w:jc w:val="left"/>
              <w:rPr>
                <w:sz w:val="20"/>
              </w:rPr>
            </w:pPr>
            <w:r>
              <w:rPr>
                <w:sz w:val="20"/>
              </w:rPr>
              <w:t>0.00</w:t>
            </w:r>
          </w:p>
        </w:tc>
        <w:tc>
          <w:tcPr>
            <w:tcW w:w="821" w:type="dxa"/>
          </w:tcPr>
          <w:p>
            <w:pPr>
              <w:pStyle w:val="TableParagraph"/>
              <w:spacing w:before="24"/>
              <w:ind w:left="256" w:right="84"/>
              <w:jc w:val="left"/>
              <w:rPr>
                <w:sz w:val="20"/>
              </w:rPr>
            </w:pPr>
            <w:r>
              <w:rPr>
                <w:sz w:val="20"/>
              </w:rPr>
              <w:t>0.00</w:t>
            </w:r>
          </w:p>
        </w:tc>
        <w:tc>
          <w:tcPr>
            <w:tcW w:w="771" w:type="dxa"/>
          </w:tcPr>
          <w:p>
            <w:pPr>
              <w:pStyle w:val="TableParagraph"/>
              <w:spacing w:before="24"/>
              <w:ind w:right="65"/>
              <w:rPr>
                <w:sz w:val="20"/>
              </w:rPr>
            </w:pPr>
            <w:r>
              <w:rPr>
                <w:sz w:val="20"/>
              </w:rPr>
              <w:t>0.00</w:t>
            </w:r>
          </w:p>
        </w:tc>
      </w:tr>
      <w:tr>
        <w:trPr>
          <w:trHeight w:val="300" w:hRule="exact"/>
        </w:trPr>
        <w:tc>
          <w:tcPr>
            <w:tcW w:w="1542" w:type="dxa"/>
          </w:tcPr>
          <w:p>
            <w:pPr>
              <w:pStyle w:val="TableParagraph"/>
              <w:ind w:left="86"/>
              <w:jc w:val="left"/>
              <w:rPr>
                <w:sz w:val="20"/>
              </w:rPr>
            </w:pPr>
            <w:r>
              <w:rPr>
                <w:sz w:val="20"/>
              </w:rPr>
              <w:t>TEJ_TmFlp</w:t>
            </w:r>
          </w:p>
        </w:tc>
        <w:tc>
          <w:tcPr>
            <w:tcW w:w="703" w:type="dxa"/>
          </w:tcPr>
          <w:p>
            <w:pPr>
              <w:pStyle w:val="TableParagraph"/>
              <w:ind w:left="215"/>
              <w:jc w:val="left"/>
              <w:rPr>
                <w:sz w:val="20"/>
              </w:rPr>
            </w:pPr>
            <w:r>
              <w:rPr>
                <w:sz w:val="20"/>
              </w:rPr>
              <w:t>1.60</w:t>
            </w:r>
          </w:p>
        </w:tc>
        <w:tc>
          <w:tcPr>
            <w:tcW w:w="701" w:type="dxa"/>
          </w:tcPr>
          <w:p>
            <w:pPr>
              <w:pStyle w:val="TableParagraph"/>
              <w:ind w:left="132"/>
              <w:jc w:val="left"/>
              <w:rPr>
                <w:sz w:val="20"/>
              </w:rPr>
            </w:pPr>
            <w:r>
              <w:rPr>
                <w:sz w:val="20"/>
              </w:rPr>
              <w:t>1.60</w:t>
            </w:r>
          </w:p>
        </w:tc>
        <w:tc>
          <w:tcPr>
            <w:tcW w:w="826" w:type="dxa"/>
          </w:tcPr>
          <w:p>
            <w:pPr>
              <w:pStyle w:val="TableParagraph"/>
              <w:ind w:left="256"/>
              <w:jc w:val="left"/>
              <w:rPr>
                <w:sz w:val="20"/>
              </w:rPr>
            </w:pPr>
            <w:r>
              <w:rPr>
                <w:sz w:val="20"/>
              </w:rPr>
              <w:t>1.60</w:t>
            </w:r>
          </w:p>
        </w:tc>
        <w:tc>
          <w:tcPr>
            <w:tcW w:w="826" w:type="dxa"/>
          </w:tcPr>
          <w:p>
            <w:pPr>
              <w:pStyle w:val="TableParagraph"/>
              <w:ind w:right="211"/>
              <w:rPr>
                <w:sz w:val="20"/>
              </w:rPr>
            </w:pPr>
            <w:r>
              <w:rPr>
                <w:sz w:val="20"/>
              </w:rPr>
              <w:t>1.60</w:t>
            </w:r>
          </w:p>
        </w:tc>
        <w:tc>
          <w:tcPr>
            <w:tcW w:w="826" w:type="dxa"/>
          </w:tcPr>
          <w:p>
            <w:pPr>
              <w:pStyle w:val="TableParagraph"/>
              <w:ind w:left="257"/>
              <w:jc w:val="left"/>
              <w:rPr>
                <w:sz w:val="20"/>
              </w:rPr>
            </w:pPr>
            <w:r>
              <w:rPr>
                <w:sz w:val="20"/>
              </w:rPr>
              <w:t>1.60</w:t>
            </w:r>
          </w:p>
        </w:tc>
        <w:tc>
          <w:tcPr>
            <w:tcW w:w="826" w:type="dxa"/>
          </w:tcPr>
          <w:p>
            <w:pPr>
              <w:pStyle w:val="TableParagraph"/>
              <w:ind w:left="256"/>
              <w:jc w:val="left"/>
              <w:rPr>
                <w:sz w:val="20"/>
              </w:rPr>
            </w:pPr>
            <w:r>
              <w:rPr>
                <w:sz w:val="20"/>
              </w:rPr>
              <w:t>1.60</w:t>
            </w:r>
          </w:p>
        </w:tc>
        <w:tc>
          <w:tcPr>
            <w:tcW w:w="826" w:type="dxa"/>
          </w:tcPr>
          <w:p>
            <w:pPr>
              <w:pStyle w:val="TableParagraph"/>
              <w:ind w:left="257"/>
              <w:jc w:val="left"/>
              <w:rPr>
                <w:sz w:val="20"/>
              </w:rPr>
            </w:pPr>
            <w:r>
              <w:rPr>
                <w:sz w:val="20"/>
              </w:rPr>
              <w:t>1.60</w:t>
            </w:r>
          </w:p>
        </w:tc>
        <w:tc>
          <w:tcPr>
            <w:tcW w:w="826" w:type="dxa"/>
          </w:tcPr>
          <w:p>
            <w:pPr>
              <w:pStyle w:val="TableParagraph"/>
              <w:ind w:left="257"/>
              <w:jc w:val="left"/>
              <w:rPr>
                <w:sz w:val="20"/>
              </w:rPr>
            </w:pPr>
            <w:r>
              <w:rPr>
                <w:sz w:val="20"/>
              </w:rPr>
              <w:t>0.00</w:t>
            </w:r>
          </w:p>
        </w:tc>
        <w:tc>
          <w:tcPr>
            <w:tcW w:w="821" w:type="dxa"/>
          </w:tcPr>
          <w:p>
            <w:pPr>
              <w:pStyle w:val="TableParagraph"/>
              <w:ind w:left="256" w:right="84"/>
              <w:jc w:val="left"/>
              <w:rPr>
                <w:sz w:val="20"/>
              </w:rPr>
            </w:pPr>
            <w:r>
              <w:rPr>
                <w:sz w:val="20"/>
              </w:rPr>
              <w:t>0.00</w:t>
            </w:r>
          </w:p>
        </w:tc>
        <w:tc>
          <w:tcPr>
            <w:tcW w:w="771" w:type="dxa"/>
          </w:tcPr>
          <w:p>
            <w:pPr>
              <w:pStyle w:val="TableParagraph"/>
              <w:ind w:right="65"/>
              <w:rPr>
                <w:sz w:val="20"/>
              </w:rPr>
            </w:pPr>
            <w:r>
              <w:rPr>
                <w:sz w:val="20"/>
              </w:rPr>
              <w:t>0.00</w:t>
            </w:r>
          </w:p>
        </w:tc>
      </w:tr>
      <w:tr>
        <w:trPr>
          <w:trHeight w:val="300" w:hRule="exact"/>
        </w:trPr>
        <w:tc>
          <w:tcPr>
            <w:tcW w:w="1542" w:type="dxa"/>
          </w:tcPr>
          <w:p>
            <w:pPr>
              <w:pStyle w:val="TableParagraph"/>
              <w:spacing w:before="26"/>
              <w:ind w:left="86"/>
              <w:jc w:val="left"/>
              <w:rPr>
                <w:sz w:val="20"/>
              </w:rPr>
            </w:pPr>
            <w:r>
              <w:rPr>
                <w:sz w:val="20"/>
              </w:rPr>
              <w:t>TEJ_ToSF</w:t>
            </w:r>
          </w:p>
        </w:tc>
        <w:tc>
          <w:tcPr>
            <w:tcW w:w="703" w:type="dxa"/>
          </w:tcPr>
          <w:p>
            <w:pPr>
              <w:pStyle w:val="TableParagraph"/>
              <w:spacing w:before="26"/>
              <w:ind w:left="215"/>
              <w:jc w:val="left"/>
              <w:rPr>
                <w:sz w:val="20"/>
              </w:rPr>
            </w:pPr>
            <w:r>
              <w:rPr>
                <w:sz w:val="20"/>
              </w:rPr>
              <w:t>1.60</w:t>
            </w:r>
          </w:p>
        </w:tc>
        <w:tc>
          <w:tcPr>
            <w:tcW w:w="701" w:type="dxa"/>
          </w:tcPr>
          <w:p>
            <w:pPr>
              <w:pStyle w:val="TableParagraph"/>
              <w:spacing w:before="26"/>
              <w:ind w:left="132"/>
              <w:jc w:val="left"/>
              <w:rPr>
                <w:sz w:val="20"/>
              </w:rPr>
            </w:pPr>
            <w:r>
              <w:rPr>
                <w:sz w:val="20"/>
              </w:rPr>
              <w:t>1.60</w:t>
            </w:r>
          </w:p>
        </w:tc>
        <w:tc>
          <w:tcPr>
            <w:tcW w:w="826" w:type="dxa"/>
          </w:tcPr>
          <w:p>
            <w:pPr>
              <w:pStyle w:val="TableParagraph"/>
              <w:spacing w:before="26"/>
              <w:ind w:left="256"/>
              <w:jc w:val="left"/>
              <w:rPr>
                <w:sz w:val="20"/>
              </w:rPr>
            </w:pPr>
            <w:r>
              <w:rPr>
                <w:sz w:val="20"/>
              </w:rPr>
              <w:t>1.60</w:t>
            </w:r>
          </w:p>
        </w:tc>
        <w:tc>
          <w:tcPr>
            <w:tcW w:w="826" w:type="dxa"/>
          </w:tcPr>
          <w:p>
            <w:pPr>
              <w:pStyle w:val="TableParagraph"/>
              <w:spacing w:before="26"/>
              <w:ind w:right="211"/>
              <w:rPr>
                <w:sz w:val="20"/>
              </w:rPr>
            </w:pPr>
            <w:r>
              <w:rPr>
                <w:sz w:val="20"/>
              </w:rPr>
              <w:t>1.60</w:t>
            </w:r>
          </w:p>
        </w:tc>
        <w:tc>
          <w:tcPr>
            <w:tcW w:w="826" w:type="dxa"/>
          </w:tcPr>
          <w:p>
            <w:pPr>
              <w:pStyle w:val="TableParagraph"/>
              <w:spacing w:before="26"/>
              <w:ind w:left="257"/>
              <w:jc w:val="left"/>
              <w:rPr>
                <w:sz w:val="20"/>
              </w:rPr>
            </w:pPr>
            <w:r>
              <w:rPr>
                <w:sz w:val="20"/>
              </w:rPr>
              <w:t>1.60</w:t>
            </w:r>
          </w:p>
        </w:tc>
        <w:tc>
          <w:tcPr>
            <w:tcW w:w="826" w:type="dxa"/>
          </w:tcPr>
          <w:p>
            <w:pPr>
              <w:pStyle w:val="TableParagraph"/>
              <w:spacing w:before="26"/>
              <w:ind w:left="256"/>
              <w:jc w:val="left"/>
              <w:rPr>
                <w:sz w:val="20"/>
              </w:rPr>
            </w:pPr>
            <w:r>
              <w:rPr>
                <w:sz w:val="20"/>
              </w:rPr>
              <w:t>1.60</w:t>
            </w:r>
          </w:p>
        </w:tc>
        <w:tc>
          <w:tcPr>
            <w:tcW w:w="826" w:type="dxa"/>
          </w:tcPr>
          <w:p>
            <w:pPr>
              <w:pStyle w:val="TableParagraph"/>
              <w:spacing w:before="26"/>
              <w:ind w:left="257"/>
              <w:jc w:val="left"/>
              <w:rPr>
                <w:sz w:val="20"/>
              </w:rPr>
            </w:pPr>
            <w:r>
              <w:rPr>
                <w:sz w:val="20"/>
              </w:rPr>
              <w:t>1.60</w:t>
            </w:r>
          </w:p>
        </w:tc>
        <w:tc>
          <w:tcPr>
            <w:tcW w:w="826" w:type="dxa"/>
          </w:tcPr>
          <w:p>
            <w:pPr>
              <w:pStyle w:val="TableParagraph"/>
              <w:spacing w:before="26"/>
              <w:ind w:left="257"/>
              <w:jc w:val="left"/>
              <w:rPr>
                <w:sz w:val="20"/>
              </w:rPr>
            </w:pPr>
            <w:r>
              <w:rPr>
                <w:sz w:val="20"/>
              </w:rPr>
              <w:t>0.00</w:t>
            </w:r>
          </w:p>
        </w:tc>
        <w:tc>
          <w:tcPr>
            <w:tcW w:w="821" w:type="dxa"/>
          </w:tcPr>
          <w:p>
            <w:pPr>
              <w:pStyle w:val="TableParagraph"/>
              <w:spacing w:before="26"/>
              <w:ind w:left="256" w:right="84"/>
              <w:jc w:val="left"/>
              <w:rPr>
                <w:sz w:val="20"/>
              </w:rPr>
            </w:pPr>
            <w:r>
              <w:rPr>
                <w:sz w:val="20"/>
              </w:rPr>
              <w:t>0.00</w:t>
            </w:r>
          </w:p>
        </w:tc>
        <w:tc>
          <w:tcPr>
            <w:tcW w:w="771" w:type="dxa"/>
          </w:tcPr>
          <w:p>
            <w:pPr>
              <w:pStyle w:val="TableParagraph"/>
              <w:spacing w:before="26"/>
              <w:ind w:right="65"/>
              <w:rPr>
                <w:sz w:val="20"/>
              </w:rPr>
            </w:pPr>
            <w:r>
              <w:rPr>
                <w:sz w:val="20"/>
              </w:rPr>
              <w:t>0.00</w:t>
            </w:r>
          </w:p>
        </w:tc>
      </w:tr>
      <w:tr>
        <w:trPr>
          <w:trHeight w:val="298" w:hRule="exact"/>
        </w:trPr>
        <w:tc>
          <w:tcPr>
            <w:tcW w:w="1542" w:type="dxa"/>
          </w:tcPr>
          <w:p>
            <w:pPr>
              <w:pStyle w:val="TableParagraph"/>
              <w:ind w:left="86"/>
              <w:jc w:val="left"/>
              <w:rPr>
                <w:sz w:val="20"/>
              </w:rPr>
            </w:pPr>
            <w:r>
              <w:rPr>
                <w:sz w:val="20"/>
              </w:rPr>
              <w:t>TEJ_VpFd</w:t>
            </w:r>
          </w:p>
        </w:tc>
        <w:tc>
          <w:tcPr>
            <w:tcW w:w="703" w:type="dxa"/>
          </w:tcPr>
          <w:p>
            <w:pPr>
              <w:pStyle w:val="TableParagraph"/>
              <w:ind w:left="215"/>
              <w:jc w:val="left"/>
              <w:rPr>
                <w:sz w:val="20"/>
              </w:rPr>
            </w:pPr>
            <w:r>
              <w:rPr>
                <w:sz w:val="20"/>
              </w:rPr>
              <w:t>1.60</w:t>
            </w:r>
          </w:p>
        </w:tc>
        <w:tc>
          <w:tcPr>
            <w:tcW w:w="701" w:type="dxa"/>
          </w:tcPr>
          <w:p>
            <w:pPr>
              <w:pStyle w:val="TableParagraph"/>
              <w:ind w:left="132"/>
              <w:jc w:val="left"/>
              <w:rPr>
                <w:sz w:val="20"/>
              </w:rPr>
            </w:pPr>
            <w:r>
              <w:rPr>
                <w:sz w:val="20"/>
              </w:rPr>
              <w:t>1.60</w:t>
            </w:r>
          </w:p>
        </w:tc>
        <w:tc>
          <w:tcPr>
            <w:tcW w:w="826" w:type="dxa"/>
          </w:tcPr>
          <w:p>
            <w:pPr>
              <w:pStyle w:val="TableParagraph"/>
              <w:ind w:left="256"/>
              <w:jc w:val="left"/>
              <w:rPr>
                <w:sz w:val="20"/>
              </w:rPr>
            </w:pPr>
            <w:r>
              <w:rPr>
                <w:sz w:val="20"/>
              </w:rPr>
              <w:t>1.60</w:t>
            </w:r>
          </w:p>
        </w:tc>
        <w:tc>
          <w:tcPr>
            <w:tcW w:w="826" w:type="dxa"/>
          </w:tcPr>
          <w:p>
            <w:pPr>
              <w:pStyle w:val="TableParagraph"/>
              <w:ind w:right="211"/>
              <w:rPr>
                <w:sz w:val="20"/>
              </w:rPr>
            </w:pPr>
            <w:r>
              <w:rPr>
                <w:sz w:val="20"/>
              </w:rPr>
              <w:t>1.60</w:t>
            </w:r>
          </w:p>
        </w:tc>
        <w:tc>
          <w:tcPr>
            <w:tcW w:w="826" w:type="dxa"/>
          </w:tcPr>
          <w:p>
            <w:pPr>
              <w:pStyle w:val="TableParagraph"/>
              <w:ind w:left="257"/>
              <w:jc w:val="left"/>
              <w:rPr>
                <w:sz w:val="20"/>
              </w:rPr>
            </w:pPr>
            <w:r>
              <w:rPr>
                <w:sz w:val="20"/>
              </w:rPr>
              <w:t>1.60</w:t>
            </w:r>
          </w:p>
        </w:tc>
        <w:tc>
          <w:tcPr>
            <w:tcW w:w="826" w:type="dxa"/>
          </w:tcPr>
          <w:p>
            <w:pPr>
              <w:pStyle w:val="TableParagraph"/>
              <w:ind w:left="256"/>
              <w:jc w:val="left"/>
              <w:rPr>
                <w:sz w:val="20"/>
              </w:rPr>
            </w:pPr>
            <w:r>
              <w:rPr>
                <w:sz w:val="20"/>
              </w:rPr>
              <w:t>1.60</w:t>
            </w:r>
          </w:p>
        </w:tc>
        <w:tc>
          <w:tcPr>
            <w:tcW w:w="826" w:type="dxa"/>
          </w:tcPr>
          <w:p>
            <w:pPr>
              <w:pStyle w:val="TableParagraph"/>
              <w:ind w:left="257"/>
              <w:jc w:val="left"/>
              <w:rPr>
                <w:sz w:val="20"/>
              </w:rPr>
            </w:pPr>
            <w:r>
              <w:rPr>
                <w:sz w:val="20"/>
              </w:rPr>
              <w:t>1.60</w:t>
            </w:r>
          </w:p>
        </w:tc>
        <w:tc>
          <w:tcPr>
            <w:tcW w:w="826" w:type="dxa"/>
          </w:tcPr>
          <w:p>
            <w:pPr>
              <w:pStyle w:val="TableParagraph"/>
              <w:ind w:left="257"/>
              <w:jc w:val="left"/>
              <w:rPr>
                <w:sz w:val="20"/>
              </w:rPr>
            </w:pPr>
            <w:r>
              <w:rPr>
                <w:sz w:val="20"/>
              </w:rPr>
              <w:t>0.00</w:t>
            </w:r>
          </w:p>
        </w:tc>
        <w:tc>
          <w:tcPr>
            <w:tcW w:w="821" w:type="dxa"/>
          </w:tcPr>
          <w:p>
            <w:pPr>
              <w:pStyle w:val="TableParagraph"/>
              <w:ind w:left="256" w:right="84"/>
              <w:jc w:val="left"/>
              <w:rPr>
                <w:sz w:val="20"/>
              </w:rPr>
            </w:pPr>
            <w:r>
              <w:rPr>
                <w:sz w:val="20"/>
              </w:rPr>
              <w:t>0.00</w:t>
            </w:r>
          </w:p>
        </w:tc>
        <w:tc>
          <w:tcPr>
            <w:tcW w:w="771" w:type="dxa"/>
          </w:tcPr>
          <w:p>
            <w:pPr>
              <w:pStyle w:val="TableParagraph"/>
              <w:ind w:right="65"/>
              <w:rPr>
                <w:sz w:val="20"/>
              </w:rPr>
            </w:pPr>
            <w:r>
              <w:rPr>
                <w:sz w:val="20"/>
              </w:rPr>
              <w:t>0.00</w:t>
            </w:r>
          </w:p>
        </w:tc>
      </w:tr>
      <w:tr>
        <w:trPr>
          <w:trHeight w:val="298" w:hRule="exact"/>
        </w:trPr>
        <w:tc>
          <w:tcPr>
            <w:tcW w:w="1542" w:type="dxa"/>
          </w:tcPr>
          <w:p>
            <w:pPr>
              <w:pStyle w:val="TableParagraph"/>
              <w:ind w:left="86"/>
              <w:jc w:val="left"/>
              <w:rPr>
                <w:sz w:val="20"/>
              </w:rPr>
            </w:pPr>
            <w:r>
              <w:rPr>
                <w:sz w:val="20"/>
              </w:rPr>
              <w:t>TEJ_VpFdp</w:t>
            </w:r>
          </w:p>
        </w:tc>
        <w:tc>
          <w:tcPr>
            <w:tcW w:w="703" w:type="dxa"/>
          </w:tcPr>
          <w:p>
            <w:pPr>
              <w:pStyle w:val="TableParagraph"/>
              <w:ind w:left="215"/>
              <w:jc w:val="left"/>
              <w:rPr>
                <w:sz w:val="20"/>
              </w:rPr>
            </w:pPr>
            <w:r>
              <w:rPr>
                <w:sz w:val="20"/>
              </w:rPr>
              <w:t>1.60</w:t>
            </w:r>
          </w:p>
        </w:tc>
        <w:tc>
          <w:tcPr>
            <w:tcW w:w="701" w:type="dxa"/>
          </w:tcPr>
          <w:p>
            <w:pPr>
              <w:pStyle w:val="TableParagraph"/>
              <w:ind w:left="132"/>
              <w:jc w:val="left"/>
              <w:rPr>
                <w:sz w:val="20"/>
              </w:rPr>
            </w:pPr>
            <w:r>
              <w:rPr>
                <w:sz w:val="20"/>
              </w:rPr>
              <w:t>1.58</w:t>
            </w:r>
          </w:p>
        </w:tc>
        <w:tc>
          <w:tcPr>
            <w:tcW w:w="826" w:type="dxa"/>
          </w:tcPr>
          <w:p>
            <w:pPr>
              <w:pStyle w:val="TableParagraph"/>
              <w:ind w:left="256"/>
              <w:jc w:val="left"/>
              <w:rPr>
                <w:sz w:val="20"/>
              </w:rPr>
            </w:pPr>
            <w:r>
              <w:rPr>
                <w:sz w:val="20"/>
              </w:rPr>
              <w:t>1.58</w:t>
            </w:r>
          </w:p>
        </w:tc>
        <w:tc>
          <w:tcPr>
            <w:tcW w:w="826" w:type="dxa"/>
          </w:tcPr>
          <w:p>
            <w:pPr>
              <w:pStyle w:val="TableParagraph"/>
              <w:ind w:right="211"/>
              <w:rPr>
                <w:sz w:val="20"/>
              </w:rPr>
            </w:pPr>
            <w:r>
              <w:rPr>
                <w:sz w:val="20"/>
              </w:rPr>
              <w:t>1.43</w:t>
            </w:r>
          </w:p>
        </w:tc>
        <w:tc>
          <w:tcPr>
            <w:tcW w:w="826" w:type="dxa"/>
          </w:tcPr>
          <w:p>
            <w:pPr>
              <w:pStyle w:val="TableParagraph"/>
              <w:ind w:left="257"/>
              <w:jc w:val="left"/>
              <w:rPr>
                <w:sz w:val="20"/>
              </w:rPr>
            </w:pPr>
            <w:r>
              <w:rPr>
                <w:sz w:val="20"/>
              </w:rPr>
              <w:t>1.43</w:t>
            </w:r>
          </w:p>
        </w:tc>
        <w:tc>
          <w:tcPr>
            <w:tcW w:w="826" w:type="dxa"/>
          </w:tcPr>
          <w:p>
            <w:pPr>
              <w:pStyle w:val="TableParagraph"/>
              <w:ind w:left="256"/>
              <w:jc w:val="left"/>
              <w:rPr>
                <w:sz w:val="20"/>
              </w:rPr>
            </w:pPr>
            <w:r>
              <w:rPr>
                <w:sz w:val="20"/>
              </w:rPr>
              <w:t>1.58</w:t>
            </w:r>
          </w:p>
        </w:tc>
        <w:tc>
          <w:tcPr>
            <w:tcW w:w="826" w:type="dxa"/>
          </w:tcPr>
          <w:p>
            <w:pPr>
              <w:pStyle w:val="TableParagraph"/>
              <w:ind w:left="257"/>
              <w:jc w:val="left"/>
              <w:rPr>
                <w:sz w:val="20"/>
              </w:rPr>
            </w:pPr>
            <w:r>
              <w:rPr>
                <w:sz w:val="20"/>
              </w:rPr>
              <w:t>1.60</w:t>
            </w:r>
          </w:p>
        </w:tc>
        <w:tc>
          <w:tcPr>
            <w:tcW w:w="826" w:type="dxa"/>
          </w:tcPr>
          <w:p>
            <w:pPr>
              <w:pStyle w:val="TableParagraph"/>
              <w:ind w:left="257"/>
              <w:jc w:val="left"/>
              <w:rPr>
                <w:sz w:val="20"/>
              </w:rPr>
            </w:pPr>
            <w:r>
              <w:rPr>
                <w:sz w:val="20"/>
              </w:rPr>
              <w:t>0.00</w:t>
            </w:r>
          </w:p>
        </w:tc>
        <w:tc>
          <w:tcPr>
            <w:tcW w:w="821" w:type="dxa"/>
          </w:tcPr>
          <w:p>
            <w:pPr>
              <w:pStyle w:val="TableParagraph"/>
              <w:ind w:left="256" w:right="84"/>
              <w:jc w:val="left"/>
              <w:rPr>
                <w:sz w:val="20"/>
              </w:rPr>
            </w:pPr>
            <w:r>
              <w:rPr>
                <w:sz w:val="20"/>
              </w:rPr>
              <w:t>0.00</w:t>
            </w:r>
          </w:p>
        </w:tc>
        <w:tc>
          <w:tcPr>
            <w:tcW w:w="771" w:type="dxa"/>
          </w:tcPr>
          <w:p>
            <w:pPr>
              <w:pStyle w:val="TableParagraph"/>
              <w:ind w:right="65"/>
              <w:rPr>
                <w:sz w:val="20"/>
              </w:rPr>
            </w:pPr>
            <w:r>
              <w:rPr>
                <w:sz w:val="20"/>
              </w:rPr>
              <w:t>0.00</w:t>
            </w:r>
          </w:p>
        </w:tc>
      </w:tr>
      <w:tr>
        <w:trPr>
          <w:trHeight w:val="300" w:hRule="exact"/>
        </w:trPr>
        <w:tc>
          <w:tcPr>
            <w:tcW w:w="1542" w:type="dxa"/>
          </w:tcPr>
          <w:p>
            <w:pPr>
              <w:pStyle w:val="TableParagraph"/>
              <w:ind w:left="86"/>
              <w:jc w:val="left"/>
              <w:rPr>
                <w:sz w:val="20"/>
              </w:rPr>
            </w:pPr>
            <w:r>
              <w:rPr>
                <w:sz w:val="20"/>
              </w:rPr>
              <w:t>TEJ_VpSF</w:t>
            </w:r>
          </w:p>
        </w:tc>
        <w:tc>
          <w:tcPr>
            <w:tcW w:w="703" w:type="dxa"/>
          </w:tcPr>
          <w:p>
            <w:pPr>
              <w:pStyle w:val="TableParagraph"/>
              <w:ind w:left="215"/>
              <w:jc w:val="left"/>
              <w:rPr>
                <w:sz w:val="20"/>
              </w:rPr>
            </w:pPr>
            <w:r>
              <w:rPr>
                <w:sz w:val="20"/>
              </w:rPr>
              <w:t>1.60</w:t>
            </w:r>
          </w:p>
        </w:tc>
        <w:tc>
          <w:tcPr>
            <w:tcW w:w="701" w:type="dxa"/>
          </w:tcPr>
          <w:p>
            <w:pPr>
              <w:pStyle w:val="TableParagraph"/>
              <w:ind w:left="132"/>
              <w:jc w:val="left"/>
              <w:rPr>
                <w:sz w:val="20"/>
              </w:rPr>
            </w:pPr>
            <w:r>
              <w:rPr>
                <w:sz w:val="20"/>
              </w:rPr>
              <w:t>1.56</w:t>
            </w:r>
          </w:p>
        </w:tc>
        <w:tc>
          <w:tcPr>
            <w:tcW w:w="826" w:type="dxa"/>
          </w:tcPr>
          <w:p>
            <w:pPr>
              <w:pStyle w:val="TableParagraph"/>
              <w:ind w:left="256"/>
              <w:jc w:val="left"/>
              <w:rPr>
                <w:sz w:val="20"/>
              </w:rPr>
            </w:pPr>
            <w:r>
              <w:rPr>
                <w:sz w:val="20"/>
              </w:rPr>
              <w:t>1.56</w:t>
            </w:r>
          </w:p>
        </w:tc>
        <w:tc>
          <w:tcPr>
            <w:tcW w:w="826" w:type="dxa"/>
          </w:tcPr>
          <w:p>
            <w:pPr>
              <w:pStyle w:val="TableParagraph"/>
              <w:ind w:right="211"/>
              <w:rPr>
                <w:sz w:val="20"/>
              </w:rPr>
            </w:pPr>
            <w:r>
              <w:rPr>
                <w:sz w:val="20"/>
              </w:rPr>
              <w:t>1.40</w:t>
            </w:r>
          </w:p>
        </w:tc>
        <w:tc>
          <w:tcPr>
            <w:tcW w:w="826" w:type="dxa"/>
          </w:tcPr>
          <w:p>
            <w:pPr>
              <w:pStyle w:val="TableParagraph"/>
              <w:ind w:left="257"/>
              <w:jc w:val="left"/>
              <w:rPr>
                <w:sz w:val="20"/>
              </w:rPr>
            </w:pPr>
            <w:r>
              <w:rPr>
                <w:sz w:val="20"/>
              </w:rPr>
              <w:t>1.40</w:t>
            </w:r>
          </w:p>
        </w:tc>
        <w:tc>
          <w:tcPr>
            <w:tcW w:w="826" w:type="dxa"/>
          </w:tcPr>
          <w:p>
            <w:pPr>
              <w:pStyle w:val="TableParagraph"/>
              <w:ind w:left="256"/>
              <w:jc w:val="left"/>
              <w:rPr>
                <w:sz w:val="20"/>
              </w:rPr>
            </w:pPr>
            <w:r>
              <w:rPr>
                <w:sz w:val="20"/>
              </w:rPr>
              <w:t>1.47</w:t>
            </w:r>
          </w:p>
        </w:tc>
        <w:tc>
          <w:tcPr>
            <w:tcW w:w="826" w:type="dxa"/>
          </w:tcPr>
          <w:p>
            <w:pPr>
              <w:pStyle w:val="TableParagraph"/>
              <w:ind w:left="257"/>
              <w:jc w:val="left"/>
              <w:rPr>
                <w:sz w:val="20"/>
              </w:rPr>
            </w:pPr>
            <w:r>
              <w:rPr>
                <w:sz w:val="20"/>
              </w:rPr>
              <w:t>1.47</w:t>
            </w:r>
          </w:p>
        </w:tc>
        <w:tc>
          <w:tcPr>
            <w:tcW w:w="826" w:type="dxa"/>
          </w:tcPr>
          <w:p>
            <w:pPr>
              <w:pStyle w:val="TableParagraph"/>
              <w:ind w:left="257"/>
              <w:jc w:val="left"/>
              <w:rPr>
                <w:sz w:val="20"/>
              </w:rPr>
            </w:pPr>
            <w:r>
              <w:rPr>
                <w:sz w:val="20"/>
              </w:rPr>
              <w:t>0.00</w:t>
            </w:r>
          </w:p>
        </w:tc>
        <w:tc>
          <w:tcPr>
            <w:tcW w:w="821" w:type="dxa"/>
          </w:tcPr>
          <w:p>
            <w:pPr>
              <w:pStyle w:val="TableParagraph"/>
              <w:ind w:left="256" w:right="84"/>
              <w:jc w:val="left"/>
              <w:rPr>
                <w:sz w:val="20"/>
              </w:rPr>
            </w:pPr>
            <w:r>
              <w:rPr>
                <w:sz w:val="20"/>
              </w:rPr>
              <w:t>0.00</w:t>
            </w:r>
          </w:p>
        </w:tc>
        <w:tc>
          <w:tcPr>
            <w:tcW w:w="771" w:type="dxa"/>
          </w:tcPr>
          <w:p>
            <w:pPr>
              <w:pStyle w:val="TableParagraph"/>
              <w:ind w:right="65"/>
              <w:rPr>
                <w:sz w:val="20"/>
              </w:rPr>
            </w:pPr>
            <w:r>
              <w:rPr>
                <w:sz w:val="20"/>
              </w:rPr>
              <w:t>0.00</w:t>
            </w:r>
          </w:p>
        </w:tc>
      </w:tr>
      <w:tr>
        <w:trPr>
          <w:trHeight w:val="305" w:hRule="exact"/>
        </w:trPr>
        <w:tc>
          <w:tcPr>
            <w:tcW w:w="1542" w:type="dxa"/>
          </w:tcPr>
          <w:p>
            <w:pPr>
              <w:pStyle w:val="TableParagraph"/>
              <w:spacing w:before="26"/>
              <w:ind w:left="86"/>
              <w:jc w:val="left"/>
              <w:rPr>
                <w:sz w:val="20"/>
              </w:rPr>
            </w:pPr>
            <w:r>
              <w:rPr>
                <w:sz w:val="20"/>
              </w:rPr>
              <w:t>TEJ_WmFdp</w:t>
            </w:r>
          </w:p>
        </w:tc>
        <w:tc>
          <w:tcPr>
            <w:tcW w:w="703" w:type="dxa"/>
          </w:tcPr>
          <w:p>
            <w:pPr>
              <w:pStyle w:val="TableParagraph"/>
              <w:spacing w:before="26"/>
              <w:ind w:left="215"/>
              <w:jc w:val="left"/>
              <w:rPr>
                <w:sz w:val="20"/>
              </w:rPr>
            </w:pPr>
            <w:r>
              <w:rPr>
                <w:sz w:val="20"/>
              </w:rPr>
              <w:t>1.60</w:t>
            </w:r>
          </w:p>
        </w:tc>
        <w:tc>
          <w:tcPr>
            <w:tcW w:w="701" w:type="dxa"/>
          </w:tcPr>
          <w:p>
            <w:pPr>
              <w:pStyle w:val="TableParagraph"/>
              <w:spacing w:before="26"/>
              <w:ind w:left="132"/>
              <w:jc w:val="left"/>
              <w:rPr>
                <w:sz w:val="20"/>
              </w:rPr>
            </w:pPr>
            <w:r>
              <w:rPr>
                <w:sz w:val="20"/>
              </w:rPr>
              <w:t>1.55</w:t>
            </w:r>
          </w:p>
        </w:tc>
        <w:tc>
          <w:tcPr>
            <w:tcW w:w="826" w:type="dxa"/>
          </w:tcPr>
          <w:p>
            <w:pPr>
              <w:pStyle w:val="TableParagraph"/>
              <w:spacing w:before="26"/>
              <w:ind w:left="256"/>
              <w:jc w:val="left"/>
              <w:rPr>
                <w:sz w:val="20"/>
              </w:rPr>
            </w:pPr>
            <w:r>
              <w:rPr>
                <w:sz w:val="20"/>
              </w:rPr>
              <w:t>1.55</w:t>
            </w:r>
          </w:p>
        </w:tc>
        <w:tc>
          <w:tcPr>
            <w:tcW w:w="826" w:type="dxa"/>
          </w:tcPr>
          <w:p>
            <w:pPr>
              <w:pStyle w:val="TableParagraph"/>
              <w:spacing w:before="26"/>
              <w:ind w:right="211"/>
              <w:rPr>
                <w:sz w:val="20"/>
              </w:rPr>
            </w:pPr>
            <w:r>
              <w:rPr>
                <w:sz w:val="20"/>
              </w:rPr>
              <w:t>1.40</w:t>
            </w:r>
          </w:p>
        </w:tc>
        <w:tc>
          <w:tcPr>
            <w:tcW w:w="826" w:type="dxa"/>
          </w:tcPr>
          <w:p>
            <w:pPr>
              <w:pStyle w:val="TableParagraph"/>
              <w:spacing w:before="26"/>
              <w:ind w:left="257"/>
              <w:jc w:val="left"/>
              <w:rPr>
                <w:sz w:val="20"/>
              </w:rPr>
            </w:pPr>
            <w:r>
              <w:rPr>
                <w:sz w:val="20"/>
              </w:rPr>
              <w:t>1.40</w:t>
            </w:r>
          </w:p>
        </w:tc>
        <w:tc>
          <w:tcPr>
            <w:tcW w:w="826" w:type="dxa"/>
          </w:tcPr>
          <w:p>
            <w:pPr>
              <w:pStyle w:val="TableParagraph"/>
              <w:spacing w:before="26"/>
              <w:ind w:left="256"/>
              <w:jc w:val="left"/>
              <w:rPr>
                <w:sz w:val="20"/>
              </w:rPr>
            </w:pPr>
            <w:r>
              <w:rPr>
                <w:sz w:val="20"/>
              </w:rPr>
              <w:t>1.40</w:t>
            </w:r>
          </w:p>
        </w:tc>
        <w:tc>
          <w:tcPr>
            <w:tcW w:w="826" w:type="dxa"/>
          </w:tcPr>
          <w:p>
            <w:pPr>
              <w:pStyle w:val="TableParagraph"/>
              <w:spacing w:before="26"/>
              <w:ind w:left="257"/>
              <w:jc w:val="left"/>
              <w:rPr>
                <w:sz w:val="20"/>
              </w:rPr>
            </w:pPr>
            <w:r>
              <w:rPr>
                <w:sz w:val="20"/>
              </w:rPr>
              <w:t>1.40</w:t>
            </w:r>
          </w:p>
        </w:tc>
        <w:tc>
          <w:tcPr>
            <w:tcW w:w="826" w:type="dxa"/>
          </w:tcPr>
          <w:p>
            <w:pPr>
              <w:pStyle w:val="TableParagraph"/>
              <w:spacing w:before="26"/>
              <w:ind w:left="257"/>
              <w:jc w:val="left"/>
              <w:rPr>
                <w:sz w:val="20"/>
              </w:rPr>
            </w:pPr>
            <w:r>
              <w:rPr>
                <w:sz w:val="20"/>
              </w:rPr>
              <w:t>0.00</w:t>
            </w:r>
          </w:p>
        </w:tc>
        <w:tc>
          <w:tcPr>
            <w:tcW w:w="821" w:type="dxa"/>
          </w:tcPr>
          <w:p>
            <w:pPr>
              <w:pStyle w:val="TableParagraph"/>
              <w:spacing w:before="26"/>
              <w:ind w:left="256" w:right="84"/>
              <w:jc w:val="left"/>
              <w:rPr>
                <w:sz w:val="20"/>
              </w:rPr>
            </w:pPr>
            <w:r>
              <w:rPr>
                <w:sz w:val="20"/>
              </w:rPr>
              <w:t>0.00</w:t>
            </w:r>
          </w:p>
        </w:tc>
        <w:tc>
          <w:tcPr>
            <w:tcW w:w="771" w:type="dxa"/>
          </w:tcPr>
          <w:p>
            <w:pPr>
              <w:pStyle w:val="TableParagraph"/>
              <w:spacing w:before="26"/>
              <w:ind w:right="65"/>
              <w:rPr>
                <w:sz w:val="20"/>
              </w:rPr>
            </w:pPr>
            <w:r>
              <w:rPr>
                <w:sz w:val="20"/>
              </w:rPr>
              <w:t>0.00</w:t>
            </w:r>
          </w:p>
        </w:tc>
      </w:tr>
      <w:tr>
        <w:trPr>
          <w:trHeight w:val="273" w:hRule="exact"/>
        </w:trPr>
        <w:tc>
          <w:tcPr>
            <w:tcW w:w="1542" w:type="dxa"/>
            <w:tcBorders>
              <w:bottom w:val="single" w:sz="4" w:space="0" w:color="000000"/>
            </w:tcBorders>
          </w:tcPr>
          <w:p>
            <w:pPr>
              <w:pStyle w:val="TableParagraph"/>
              <w:spacing w:before="28"/>
              <w:ind w:left="86"/>
              <w:jc w:val="left"/>
              <w:rPr>
                <w:sz w:val="20"/>
              </w:rPr>
            </w:pPr>
            <w:r>
              <w:rPr>
                <w:sz w:val="20"/>
              </w:rPr>
              <w:t>TEJ_WmSF</w:t>
            </w:r>
          </w:p>
        </w:tc>
        <w:tc>
          <w:tcPr>
            <w:tcW w:w="703" w:type="dxa"/>
            <w:tcBorders>
              <w:bottom w:val="single" w:sz="4" w:space="0" w:color="000000"/>
            </w:tcBorders>
          </w:tcPr>
          <w:p>
            <w:pPr>
              <w:pStyle w:val="TableParagraph"/>
              <w:spacing w:before="28"/>
              <w:ind w:left="215"/>
              <w:jc w:val="left"/>
              <w:rPr>
                <w:sz w:val="20"/>
              </w:rPr>
            </w:pPr>
            <w:r>
              <w:rPr>
                <w:sz w:val="20"/>
              </w:rPr>
              <w:t>1.60</w:t>
            </w:r>
          </w:p>
        </w:tc>
        <w:tc>
          <w:tcPr>
            <w:tcW w:w="701" w:type="dxa"/>
            <w:tcBorders>
              <w:bottom w:val="single" w:sz="4" w:space="0" w:color="000000"/>
            </w:tcBorders>
          </w:tcPr>
          <w:p>
            <w:pPr>
              <w:pStyle w:val="TableParagraph"/>
              <w:spacing w:before="28"/>
              <w:ind w:left="132"/>
              <w:jc w:val="left"/>
              <w:rPr>
                <w:sz w:val="20"/>
              </w:rPr>
            </w:pPr>
            <w:r>
              <w:rPr>
                <w:sz w:val="20"/>
              </w:rPr>
              <w:t>1.60</w:t>
            </w:r>
          </w:p>
        </w:tc>
        <w:tc>
          <w:tcPr>
            <w:tcW w:w="826" w:type="dxa"/>
            <w:tcBorders>
              <w:bottom w:val="single" w:sz="4" w:space="0" w:color="000000"/>
            </w:tcBorders>
          </w:tcPr>
          <w:p>
            <w:pPr>
              <w:pStyle w:val="TableParagraph"/>
              <w:spacing w:before="28"/>
              <w:ind w:left="256"/>
              <w:jc w:val="left"/>
              <w:rPr>
                <w:sz w:val="20"/>
              </w:rPr>
            </w:pPr>
            <w:r>
              <w:rPr>
                <w:sz w:val="20"/>
              </w:rPr>
              <w:t>1.60</w:t>
            </w:r>
          </w:p>
        </w:tc>
        <w:tc>
          <w:tcPr>
            <w:tcW w:w="826" w:type="dxa"/>
            <w:tcBorders>
              <w:bottom w:val="single" w:sz="4" w:space="0" w:color="000000"/>
            </w:tcBorders>
          </w:tcPr>
          <w:p>
            <w:pPr>
              <w:pStyle w:val="TableParagraph"/>
              <w:spacing w:before="28"/>
              <w:ind w:right="211"/>
              <w:rPr>
                <w:sz w:val="20"/>
              </w:rPr>
            </w:pPr>
            <w:r>
              <w:rPr>
                <w:sz w:val="20"/>
              </w:rPr>
              <w:t>1.60</w:t>
            </w:r>
          </w:p>
        </w:tc>
        <w:tc>
          <w:tcPr>
            <w:tcW w:w="826" w:type="dxa"/>
            <w:tcBorders>
              <w:bottom w:val="single" w:sz="4" w:space="0" w:color="000000"/>
            </w:tcBorders>
          </w:tcPr>
          <w:p>
            <w:pPr>
              <w:pStyle w:val="TableParagraph"/>
              <w:spacing w:before="28"/>
              <w:ind w:left="257"/>
              <w:jc w:val="left"/>
              <w:rPr>
                <w:sz w:val="20"/>
              </w:rPr>
            </w:pPr>
            <w:r>
              <w:rPr>
                <w:sz w:val="20"/>
              </w:rPr>
              <w:t>1.60</w:t>
            </w:r>
          </w:p>
        </w:tc>
        <w:tc>
          <w:tcPr>
            <w:tcW w:w="826" w:type="dxa"/>
            <w:tcBorders>
              <w:bottom w:val="single" w:sz="4" w:space="0" w:color="000000"/>
            </w:tcBorders>
          </w:tcPr>
          <w:p>
            <w:pPr>
              <w:pStyle w:val="TableParagraph"/>
              <w:spacing w:before="28"/>
              <w:ind w:left="256"/>
              <w:jc w:val="left"/>
              <w:rPr>
                <w:sz w:val="20"/>
              </w:rPr>
            </w:pPr>
            <w:r>
              <w:rPr>
                <w:sz w:val="20"/>
              </w:rPr>
              <w:t>1.60</w:t>
            </w:r>
          </w:p>
        </w:tc>
        <w:tc>
          <w:tcPr>
            <w:tcW w:w="826" w:type="dxa"/>
            <w:tcBorders>
              <w:bottom w:val="single" w:sz="4" w:space="0" w:color="000000"/>
            </w:tcBorders>
          </w:tcPr>
          <w:p>
            <w:pPr>
              <w:pStyle w:val="TableParagraph"/>
              <w:spacing w:before="28"/>
              <w:ind w:left="257"/>
              <w:jc w:val="left"/>
              <w:rPr>
                <w:sz w:val="20"/>
              </w:rPr>
            </w:pPr>
            <w:r>
              <w:rPr>
                <w:sz w:val="20"/>
              </w:rPr>
              <w:t>1.60</w:t>
            </w:r>
          </w:p>
        </w:tc>
        <w:tc>
          <w:tcPr>
            <w:tcW w:w="826" w:type="dxa"/>
            <w:tcBorders>
              <w:bottom w:val="single" w:sz="4" w:space="0" w:color="000000"/>
            </w:tcBorders>
          </w:tcPr>
          <w:p>
            <w:pPr>
              <w:pStyle w:val="TableParagraph"/>
              <w:spacing w:before="28"/>
              <w:ind w:left="257"/>
              <w:jc w:val="left"/>
              <w:rPr>
                <w:sz w:val="20"/>
              </w:rPr>
            </w:pPr>
            <w:r>
              <w:rPr>
                <w:sz w:val="20"/>
              </w:rPr>
              <w:t>0.00</w:t>
            </w:r>
          </w:p>
        </w:tc>
        <w:tc>
          <w:tcPr>
            <w:tcW w:w="821" w:type="dxa"/>
            <w:tcBorders>
              <w:bottom w:val="single" w:sz="4" w:space="0" w:color="000000"/>
            </w:tcBorders>
          </w:tcPr>
          <w:p>
            <w:pPr>
              <w:pStyle w:val="TableParagraph"/>
              <w:spacing w:before="28"/>
              <w:ind w:left="256" w:right="84"/>
              <w:jc w:val="left"/>
              <w:rPr>
                <w:sz w:val="20"/>
              </w:rPr>
            </w:pPr>
            <w:r>
              <w:rPr>
                <w:sz w:val="20"/>
              </w:rPr>
              <w:t>0.00</w:t>
            </w:r>
          </w:p>
        </w:tc>
        <w:tc>
          <w:tcPr>
            <w:tcW w:w="771" w:type="dxa"/>
            <w:tcBorders>
              <w:bottom w:val="single" w:sz="4" w:space="0" w:color="000000"/>
            </w:tcBorders>
          </w:tcPr>
          <w:p>
            <w:pPr>
              <w:pStyle w:val="TableParagraph"/>
              <w:spacing w:before="28"/>
              <w:ind w:right="65"/>
              <w:rPr>
                <w:sz w:val="20"/>
              </w:rPr>
            </w:pPr>
            <w:r>
              <w:rPr>
                <w:sz w:val="20"/>
              </w:rPr>
              <w:t>0.00</w:t>
            </w:r>
          </w:p>
        </w:tc>
      </w:tr>
    </w:tbl>
    <w:p>
      <w:pPr>
        <w:pStyle w:val="BodyText"/>
        <w:rPr>
          <w:sz w:val="20"/>
        </w:rPr>
      </w:pPr>
    </w:p>
    <w:p>
      <w:pPr>
        <w:pStyle w:val="BodyText"/>
        <w:spacing w:before="9"/>
        <w:rPr>
          <w:sz w:val="25"/>
        </w:rPr>
      </w:pPr>
    </w:p>
    <w:p>
      <w:pPr>
        <w:pStyle w:val="Heading1"/>
        <w:spacing w:before="66"/>
        <w:ind w:left="2148"/>
      </w:pPr>
      <w:bookmarkStart w:name="_bookmark160" w:id="219"/>
      <w:bookmarkEnd w:id="219"/>
      <w:r>
        <w:rPr>
          <w:b w:val="0"/>
        </w:rPr>
      </w:r>
      <w:r>
        <w:rPr/>
        <w:t>Tabla 23. Contenido de carbonato de Calcio del suelo</w:t>
      </w:r>
    </w:p>
    <w:p>
      <w:pPr>
        <w:pStyle w:val="BodyText"/>
        <w:rPr>
          <w:b/>
          <w:sz w:val="20"/>
        </w:rPr>
      </w:pPr>
    </w:p>
    <w:p>
      <w:pPr>
        <w:pStyle w:val="BodyText"/>
        <w:spacing w:before="11"/>
        <w:rPr>
          <w:b/>
          <w:sz w:val="23"/>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56"/>
        <w:gridCol w:w="700"/>
        <w:gridCol w:w="711"/>
        <w:gridCol w:w="823"/>
        <w:gridCol w:w="824"/>
        <w:gridCol w:w="823"/>
        <w:gridCol w:w="823"/>
        <w:gridCol w:w="824"/>
        <w:gridCol w:w="824"/>
        <w:gridCol w:w="821"/>
        <w:gridCol w:w="763"/>
      </w:tblGrid>
      <w:tr>
        <w:trPr>
          <w:trHeight w:val="393" w:hRule="exact"/>
        </w:trPr>
        <w:tc>
          <w:tcPr>
            <w:tcW w:w="1556" w:type="dxa"/>
            <w:tcBorders>
              <w:left w:val="nil"/>
              <w:bottom w:val="nil"/>
              <w:right w:val="nil"/>
            </w:tcBorders>
          </w:tcPr>
          <w:p>
            <w:pPr>
              <w:pStyle w:val="TableParagraph"/>
              <w:spacing w:before="173"/>
              <w:ind w:left="177"/>
              <w:jc w:val="left"/>
              <w:rPr>
                <w:sz w:val="20"/>
              </w:rPr>
            </w:pPr>
            <w:r>
              <w:rPr>
                <w:sz w:val="20"/>
              </w:rPr>
              <w:t>Nombre/Clave</w:t>
            </w:r>
          </w:p>
        </w:tc>
        <w:tc>
          <w:tcPr>
            <w:tcW w:w="700" w:type="dxa"/>
            <w:tcBorders>
              <w:left w:val="nil"/>
              <w:bottom w:val="nil"/>
              <w:right w:val="nil"/>
            </w:tcBorders>
          </w:tcPr>
          <w:p>
            <w:pPr/>
          </w:p>
        </w:tc>
        <w:tc>
          <w:tcPr>
            <w:tcW w:w="711" w:type="dxa"/>
            <w:tcBorders>
              <w:left w:val="nil"/>
              <w:bottom w:val="nil"/>
              <w:right w:val="nil"/>
            </w:tcBorders>
          </w:tcPr>
          <w:p>
            <w:pPr/>
          </w:p>
        </w:tc>
        <w:tc>
          <w:tcPr>
            <w:tcW w:w="823" w:type="dxa"/>
            <w:tcBorders>
              <w:left w:val="nil"/>
              <w:bottom w:val="nil"/>
              <w:right w:val="nil"/>
            </w:tcBorders>
          </w:tcPr>
          <w:p>
            <w:pPr/>
          </w:p>
        </w:tc>
        <w:tc>
          <w:tcPr>
            <w:tcW w:w="824" w:type="dxa"/>
            <w:tcBorders>
              <w:left w:val="nil"/>
              <w:bottom w:val="nil"/>
              <w:right w:val="nil"/>
            </w:tcBorders>
          </w:tcPr>
          <w:p>
            <w:pPr/>
          </w:p>
        </w:tc>
        <w:tc>
          <w:tcPr>
            <w:tcW w:w="2471" w:type="dxa"/>
            <w:gridSpan w:val="3"/>
            <w:tcBorders>
              <w:left w:val="nil"/>
              <w:bottom w:val="nil"/>
              <w:right w:val="nil"/>
            </w:tcBorders>
          </w:tcPr>
          <w:p>
            <w:pPr>
              <w:pStyle w:val="TableParagraph"/>
              <w:spacing w:before="58"/>
              <w:ind w:left="28"/>
              <w:jc w:val="left"/>
              <w:rPr>
                <w:sz w:val="20"/>
              </w:rPr>
            </w:pPr>
            <w:r>
              <w:rPr>
                <w:sz w:val="20"/>
              </w:rPr>
              <w:t>N° de capas del suelo</w:t>
            </w:r>
          </w:p>
        </w:tc>
        <w:tc>
          <w:tcPr>
            <w:tcW w:w="824" w:type="dxa"/>
            <w:tcBorders>
              <w:left w:val="nil"/>
              <w:bottom w:val="nil"/>
              <w:right w:val="nil"/>
            </w:tcBorders>
          </w:tcPr>
          <w:p>
            <w:pPr/>
          </w:p>
        </w:tc>
        <w:tc>
          <w:tcPr>
            <w:tcW w:w="821" w:type="dxa"/>
            <w:tcBorders>
              <w:left w:val="nil"/>
              <w:bottom w:val="nil"/>
              <w:right w:val="nil"/>
            </w:tcBorders>
          </w:tcPr>
          <w:p>
            <w:pPr/>
          </w:p>
        </w:tc>
        <w:tc>
          <w:tcPr>
            <w:tcW w:w="763" w:type="dxa"/>
            <w:tcBorders>
              <w:left w:val="nil"/>
              <w:bottom w:val="nil"/>
              <w:right w:val="nil"/>
            </w:tcBorders>
          </w:tcPr>
          <w:p>
            <w:pPr/>
          </w:p>
        </w:tc>
      </w:tr>
      <w:tr>
        <w:trPr>
          <w:trHeight w:val="211" w:hRule="exact"/>
        </w:trPr>
        <w:tc>
          <w:tcPr>
            <w:tcW w:w="1556" w:type="dxa"/>
            <w:tcBorders>
              <w:top w:val="nil"/>
              <w:left w:val="nil"/>
              <w:right w:val="nil"/>
            </w:tcBorders>
          </w:tcPr>
          <w:p>
            <w:pPr/>
          </w:p>
        </w:tc>
        <w:tc>
          <w:tcPr>
            <w:tcW w:w="700" w:type="dxa"/>
            <w:tcBorders>
              <w:top w:val="nil"/>
              <w:left w:val="nil"/>
              <w:right w:val="nil"/>
            </w:tcBorders>
          </w:tcPr>
          <w:p>
            <w:pPr>
              <w:pStyle w:val="TableParagraph"/>
              <w:spacing w:line="202" w:lineRule="exact" w:before="0"/>
              <w:ind w:left="239"/>
              <w:jc w:val="left"/>
              <w:rPr>
                <w:sz w:val="20"/>
              </w:rPr>
            </w:pPr>
            <w:r>
              <w:rPr>
                <w:w w:val="100"/>
                <w:sz w:val="20"/>
              </w:rPr>
              <w:t>1</w:t>
            </w:r>
          </w:p>
        </w:tc>
        <w:tc>
          <w:tcPr>
            <w:tcW w:w="711" w:type="dxa"/>
            <w:tcBorders>
              <w:top w:val="nil"/>
              <w:left w:val="nil"/>
              <w:right w:val="nil"/>
            </w:tcBorders>
          </w:tcPr>
          <w:p>
            <w:pPr>
              <w:pStyle w:val="TableParagraph"/>
              <w:spacing w:line="202" w:lineRule="exact" w:before="0"/>
              <w:ind w:left="192"/>
              <w:jc w:val="left"/>
              <w:rPr>
                <w:sz w:val="20"/>
              </w:rPr>
            </w:pPr>
            <w:r>
              <w:rPr>
                <w:w w:val="100"/>
                <w:sz w:val="20"/>
              </w:rPr>
              <w:t>2</w:t>
            </w:r>
          </w:p>
        </w:tc>
        <w:tc>
          <w:tcPr>
            <w:tcW w:w="823" w:type="dxa"/>
            <w:tcBorders>
              <w:top w:val="nil"/>
              <w:left w:val="nil"/>
              <w:right w:val="nil"/>
            </w:tcBorders>
          </w:tcPr>
          <w:p>
            <w:pPr>
              <w:pStyle w:val="TableParagraph"/>
              <w:spacing w:line="202" w:lineRule="exact" w:before="0"/>
              <w:ind w:left="211"/>
              <w:jc w:val="left"/>
              <w:rPr>
                <w:sz w:val="20"/>
              </w:rPr>
            </w:pPr>
            <w:r>
              <w:rPr>
                <w:w w:val="100"/>
                <w:sz w:val="20"/>
              </w:rPr>
              <w:t>3</w:t>
            </w:r>
          </w:p>
        </w:tc>
        <w:tc>
          <w:tcPr>
            <w:tcW w:w="824" w:type="dxa"/>
            <w:tcBorders>
              <w:top w:val="nil"/>
              <w:left w:val="nil"/>
              <w:right w:val="nil"/>
            </w:tcBorders>
          </w:tcPr>
          <w:p>
            <w:pPr>
              <w:pStyle w:val="TableParagraph"/>
              <w:spacing w:line="202" w:lineRule="exact" w:before="0"/>
              <w:ind w:left="213"/>
              <w:jc w:val="left"/>
              <w:rPr>
                <w:sz w:val="20"/>
              </w:rPr>
            </w:pPr>
            <w:r>
              <w:rPr>
                <w:w w:val="100"/>
                <w:sz w:val="20"/>
              </w:rPr>
              <w:t>4</w:t>
            </w:r>
          </w:p>
        </w:tc>
        <w:tc>
          <w:tcPr>
            <w:tcW w:w="823" w:type="dxa"/>
            <w:tcBorders>
              <w:top w:val="nil"/>
              <w:left w:val="nil"/>
              <w:right w:val="nil"/>
            </w:tcBorders>
          </w:tcPr>
          <w:p>
            <w:pPr>
              <w:pStyle w:val="TableParagraph"/>
              <w:spacing w:line="202" w:lineRule="exact" w:before="0"/>
              <w:ind w:left="211"/>
              <w:jc w:val="left"/>
              <w:rPr>
                <w:sz w:val="20"/>
              </w:rPr>
            </w:pPr>
            <w:r>
              <w:rPr>
                <w:w w:val="100"/>
                <w:sz w:val="20"/>
              </w:rPr>
              <w:t>5</w:t>
            </w:r>
          </w:p>
        </w:tc>
        <w:tc>
          <w:tcPr>
            <w:tcW w:w="823" w:type="dxa"/>
            <w:tcBorders>
              <w:top w:val="nil"/>
              <w:left w:val="nil"/>
              <w:right w:val="nil"/>
            </w:tcBorders>
          </w:tcPr>
          <w:p>
            <w:pPr>
              <w:pStyle w:val="TableParagraph"/>
              <w:spacing w:line="202" w:lineRule="exact" w:before="0"/>
              <w:ind w:left="213"/>
              <w:jc w:val="left"/>
              <w:rPr>
                <w:sz w:val="20"/>
              </w:rPr>
            </w:pPr>
            <w:r>
              <w:rPr>
                <w:w w:val="100"/>
                <w:sz w:val="20"/>
              </w:rPr>
              <w:t>6</w:t>
            </w:r>
          </w:p>
        </w:tc>
        <w:tc>
          <w:tcPr>
            <w:tcW w:w="824" w:type="dxa"/>
            <w:tcBorders>
              <w:top w:val="nil"/>
              <w:left w:val="nil"/>
              <w:right w:val="nil"/>
            </w:tcBorders>
          </w:tcPr>
          <w:p>
            <w:pPr>
              <w:pStyle w:val="TableParagraph"/>
              <w:spacing w:line="202" w:lineRule="exact" w:before="0"/>
              <w:ind w:left="211"/>
              <w:jc w:val="left"/>
              <w:rPr>
                <w:sz w:val="20"/>
              </w:rPr>
            </w:pPr>
            <w:r>
              <w:rPr>
                <w:w w:val="100"/>
                <w:sz w:val="20"/>
              </w:rPr>
              <w:t>7</w:t>
            </w:r>
          </w:p>
        </w:tc>
        <w:tc>
          <w:tcPr>
            <w:tcW w:w="824" w:type="dxa"/>
            <w:tcBorders>
              <w:top w:val="nil"/>
              <w:left w:val="nil"/>
              <w:right w:val="nil"/>
            </w:tcBorders>
          </w:tcPr>
          <w:p>
            <w:pPr>
              <w:pStyle w:val="TableParagraph"/>
              <w:spacing w:line="202" w:lineRule="exact" w:before="0"/>
              <w:ind w:left="213"/>
              <w:jc w:val="left"/>
              <w:rPr>
                <w:sz w:val="20"/>
              </w:rPr>
            </w:pPr>
            <w:r>
              <w:rPr>
                <w:w w:val="100"/>
                <w:sz w:val="20"/>
              </w:rPr>
              <w:t>8</w:t>
            </w:r>
          </w:p>
        </w:tc>
        <w:tc>
          <w:tcPr>
            <w:tcW w:w="821" w:type="dxa"/>
            <w:tcBorders>
              <w:top w:val="nil"/>
              <w:left w:val="nil"/>
              <w:right w:val="nil"/>
            </w:tcBorders>
          </w:tcPr>
          <w:p>
            <w:pPr>
              <w:pStyle w:val="TableParagraph"/>
              <w:spacing w:line="202" w:lineRule="exact" w:before="0"/>
              <w:ind w:left="211"/>
              <w:jc w:val="left"/>
              <w:rPr>
                <w:sz w:val="20"/>
              </w:rPr>
            </w:pPr>
            <w:r>
              <w:rPr>
                <w:w w:val="100"/>
                <w:sz w:val="20"/>
              </w:rPr>
              <w:t>9</w:t>
            </w:r>
          </w:p>
        </w:tc>
        <w:tc>
          <w:tcPr>
            <w:tcW w:w="763" w:type="dxa"/>
            <w:tcBorders>
              <w:top w:val="nil"/>
              <w:left w:val="nil"/>
              <w:right w:val="nil"/>
            </w:tcBorders>
          </w:tcPr>
          <w:p>
            <w:pPr>
              <w:pStyle w:val="TableParagraph"/>
              <w:spacing w:line="202" w:lineRule="exact" w:before="0"/>
              <w:ind w:left="211"/>
              <w:jc w:val="left"/>
              <w:rPr>
                <w:sz w:val="20"/>
              </w:rPr>
            </w:pPr>
            <w:r>
              <w:rPr>
                <w:sz w:val="20"/>
              </w:rPr>
              <w:t>10</w:t>
            </w:r>
          </w:p>
        </w:tc>
      </w:tr>
      <w:tr>
        <w:trPr>
          <w:trHeight w:val="342" w:hRule="exact"/>
        </w:trPr>
        <w:tc>
          <w:tcPr>
            <w:tcW w:w="1556" w:type="dxa"/>
            <w:tcBorders>
              <w:left w:val="nil"/>
              <w:bottom w:val="nil"/>
              <w:right w:val="nil"/>
            </w:tcBorders>
          </w:tcPr>
          <w:p>
            <w:pPr>
              <w:pStyle w:val="TableParagraph"/>
              <w:spacing w:before="63"/>
              <w:ind w:left="86"/>
              <w:jc w:val="left"/>
              <w:rPr>
                <w:sz w:val="20"/>
              </w:rPr>
            </w:pPr>
            <w:r>
              <w:rPr>
                <w:sz w:val="20"/>
              </w:rPr>
              <w:t>TEJ_HhFd</w:t>
            </w:r>
          </w:p>
        </w:tc>
        <w:tc>
          <w:tcPr>
            <w:tcW w:w="700" w:type="dxa"/>
            <w:tcBorders>
              <w:left w:val="nil"/>
              <w:bottom w:val="nil"/>
              <w:right w:val="nil"/>
            </w:tcBorders>
          </w:tcPr>
          <w:p>
            <w:pPr>
              <w:pStyle w:val="TableParagraph"/>
              <w:spacing w:before="63"/>
              <w:ind w:left="200"/>
              <w:jc w:val="left"/>
              <w:rPr>
                <w:sz w:val="20"/>
              </w:rPr>
            </w:pPr>
            <w:r>
              <w:rPr>
                <w:sz w:val="20"/>
              </w:rPr>
              <w:t>0.00</w:t>
            </w:r>
          </w:p>
        </w:tc>
        <w:tc>
          <w:tcPr>
            <w:tcW w:w="711" w:type="dxa"/>
            <w:tcBorders>
              <w:left w:val="nil"/>
              <w:bottom w:val="nil"/>
              <w:right w:val="nil"/>
            </w:tcBorders>
          </w:tcPr>
          <w:p>
            <w:pPr>
              <w:pStyle w:val="TableParagraph"/>
              <w:spacing w:before="63"/>
              <w:ind w:left="144"/>
              <w:jc w:val="left"/>
              <w:rPr>
                <w:sz w:val="20"/>
              </w:rPr>
            </w:pPr>
            <w:r>
              <w:rPr>
                <w:sz w:val="20"/>
              </w:rPr>
              <w:t>0.00</w:t>
            </w:r>
          </w:p>
        </w:tc>
        <w:tc>
          <w:tcPr>
            <w:tcW w:w="823" w:type="dxa"/>
            <w:tcBorders>
              <w:left w:val="nil"/>
              <w:bottom w:val="nil"/>
              <w:right w:val="nil"/>
            </w:tcBorders>
          </w:tcPr>
          <w:p>
            <w:pPr>
              <w:pStyle w:val="TableParagraph"/>
              <w:spacing w:before="63"/>
              <w:ind w:left="254"/>
              <w:jc w:val="left"/>
              <w:rPr>
                <w:sz w:val="20"/>
              </w:rPr>
            </w:pPr>
            <w:r>
              <w:rPr>
                <w:sz w:val="20"/>
              </w:rPr>
              <w:t>0.00</w:t>
            </w:r>
          </w:p>
        </w:tc>
        <w:tc>
          <w:tcPr>
            <w:tcW w:w="824" w:type="dxa"/>
            <w:tcBorders>
              <w:left w:val="nil"/>
              <w:bottom w:val="nil"/>
              <w:right w:val="nil"/>
            </w:tcBorders>
          </w:tcPr>
          <w:p>
            <w:pPr>
              <w:pStyle w:val="TableParagraph"/>
              <w:spacing w:before="63"/>
              <w:ind w:left="257"/>
              <w:jc w:val="left"/>
              <w:rPr>
                <w:sz w:val="20"/>
              </w:rPr>
            </w:pPr>
            <w:r>
              <w:rPr>
                <w:sz w:val="20"/>
              </w:rPr>
              <w:t>0.00</w:t>
            </w:r>
          </w:p>
        </w:tc>
        <w:tc>
          <w:tcPr>
            <w:tcW w:w="823" w:type="dxa"/>
            <w:tcBorders>
              <w:left w:val="nil"/>
              <w:bottom w:val="nil"/>
              <w:right w:val="nil"/>
            </w:tcBorders>
          </w:tcPr>
          <w:p>
            <w:pPr>
              <w:pStyle w:val="TableParagraph"/>
              <w:spacing w:before="63"/>
              <w:ind w:right="211"/>
              <w:rPr>
                <w:sz w:val="20"/>
              </w:rPr>
            </w:pPr>
            <w:r>
              <w:rPr>
                <w:sz w:val="20"/>
              </w:rPr>
              <w:t>0.00</w:t>
            </w:r>
          </w:p>
        </w:tc>
        <w:tc>
          <w:tcPr>
            <w:tcW w:w="823" w:type="dxa"/>
            <w:tcBorders>
              <w:left w:val="nil"/>
              <w:bottom w:val="nil"/>
              <w:right w:val="nil"/>
            </w:tcBorders>
          </w:tcPr>
          <w:p>
            <w:pPr>
              <w:pStyle w:val="TableParagraph"/>
              <w:spacing w:before="63"/>
              <w:ind w:left="256"/>
              <w:jc w:val="left"/>
              <w:rPr>
                <w:sz w:val="20"/>
              </w:rPr>
            </w:pPr>
            <w:r>
              <w:rPr>
                <w:sz w:val="20"/>
              </w:rPr>
              <w:t>0.00</w:t>
            </w:r>
          </w:p>
        </w:tc>
        <w:tc>
          <w:tcPr>
            <w:tcW w:w="824" w:type="dxa"/>
            <w:tcBorders>
              <w:left w:val="nil"/>
              <w:bottom w:val="nil"/>
              <w:right w:val="nil"/>
            </w:tcBorders>
          </w:tcPr>
          <w:p>
            <w:pPr>
              <w:pStyle w:val="TableParagraph"/>
              <w:spacing w:before="63"/>
              <w:ind w:left="254"/>
              <w:jc w:val="left"/>
              <w:rPr>
                <w:sz w:val="20"/>
              </w:rPr>
            </w:pPr>
            <w:r>
              <w:rPr>
                <w:sz w:val="20"/>
              </w:rPr>
              <w:t>0.00</w:t>
            </w:r>
          </w:p>
        </w:tc>
        <w:tc>
          <w:tcPr>
            <w:tcW w:w="824" w:type="dxa"/>
            <w:tcBorders>
              <w:left w:val="nil"/>
              <w:bottom w:val="nil"/>
              <w:right w:val="nil"/>
            </w:tcBorders>
          </w:tcPr>
          <w:p>
            <w:pPr>
              <w:pStyle w:val="TableParagraph"/>
              <w:spacing w:before="63"/>
              <w:ind w:left="257"/>
              <w:jc w:val="left"/>
              <w:rPr>
                <w:sz w:val="20"/>
              </w:rPr>
            </w:pPr>
            <w:r>
              <w:rPr>
                <w:sz w:val="20"/>
              </w:rPr>
              <w:t>0.00</w:t>
            </w:r>
          </w:p>
        </w:tc>
        <w:tc>
          <w:tcPr>
            <w:tcW w:w="821" w:type="dxa"/>
            <w:tcBorders>
              <w:left w:val="nil"/>
              <w:bottom w:val="nil"/>
              <w:right w:val="nil"/>
            </w:tcBorders>
          </w:tcPr>
          <w:p>
            <w:pPr>
              <w:pStyle w:val="TableParagraph"/>
              <w:spacing w:before="63"/>
              <w:ind w:left="254" w:right="84"/>
              <w:jc w:val="left"/>
              <w:rPr>
                <w:sz w:val="20"/>
              </w:rPr>
            </w:pPr>
            <w:r>
              <w:rPr>
                <w:sz w:val="20"/>
              </w:rPr>
              <w:t>0.00</w:t>
            </w:r>
          </w:p>
        </w:tc>
        <w:tc>
          <w:tcPr>
            <w:tcW w:w="763" w:type="dxa"/>
            <w:tcBorders>
              <w:left w:val="nil"/>
              <w:bottom w:val="nil"/>
              <w:right w:val="nil"/>
            </w:tcBorders>
          </w:tcPr>
          <w:p>
            <w:pPr>
              <w:pStyle w:val="TableParagraph"/>
              <w:spacing w:before="63"/>
              <w:ind w:right="60"/>
              <w:rPr>
                <w:sz w:val="20"/>
              </w:rPr>
            </w:pPr>
            <w:r>
              <w:rPr>
                <w:sz w:val="20"/>
              </w:rPr>
              <w:t>0.00</w:t>
            </w:r>
          </w:p>
        </w:tc>
      </w:tr>
      <w:tr>
        <w:trPr>
          <w:trHeight w:val="298" w:hRule="exact"/>
        </w:trPr>
        <w:tc>
          <w:tcPr>
            <w:tcW w:w="1556" w:type="dxa"/>
            <w:tcBorders>
              <w:top w:val="nil"/>
              <w:left w:val="nil"/>
              <w:bottom w:val="nil"/>
              <w:right w:val="nil"/>
            </w:tcBorders>
          </w:tcPr>
          <w:p>
            <w:pPr>
              <w:pStyle w:val="TableParagraph"/>
              <w:ind w:left="86"/>
              <w:jc w:val="left"/>
              <w:rPr>
                <w:sz w:val="20"/>
              </w:rPr>
            </w:pPr>
            <w:r>
              <w:rPr>
                <w:sz w:val="20"/>
              </w:rPr>
              <w:t>TEJ_HhFdp</w:t>
            </w:r>
          </w:p>
        </w:tc>
        <w:tc>
          <w:tcPr>
            <w:tcW w:w="700" w:type="dxa"/>
            <w:tcBorders>
              <w:top w:val="nil"/>
              <w:left w:val="nil"/>
              <w:bottom w:val="nil"/>
              <w:right w:val="nil"/>
            </w:tcBorders>
          </w:tcPr>
          <w:p>
            <w:pPr>
              <w:pStyle w:val="TableParagraph"/>
              <w:ind w:left="200"/>
              <w:jc w:val="left"/>
              <w:rPr>
                <w:sz w:val="20"/>
              </w:rPr>
            </w:pPr>
            <w:r>
              <w:rPr>
                <w:sz w:val="20"/>
              </w:rPr>
              <w:t>0.00</w:t>
            </w:r>
          </w:p>
        </w:tc>
        <w:tc>
          <w:tcPr>
            <w:tcW w:w="711" w:type="dxa"/>
            <w:tcBorders>
              <w:top w:val="nil"/>
              <w:left w:val="nil"/>
              <w:bottom w:val="nil"/>
              <w:right w:val="nil"/>
            </w:tcBorders>
          </w:tcPr>
          <w:p>
            <w:pPr>
              <w:pStyle w:val="TableParagraph"/>
              <w:ind w:left="144"/>
              <w:jc w:val="left"/>
              <w:rPr>
                <w:sz w:val="20"/>
              </w:rPr>
            </w:pPr>
            <w:r>
              <w:rPr>
                <w:sz w:val="20"/>
              </w:rPr>
              <w:t>0.00</w:t>
            </w:r>
          </w:p>
        </w:tc>
        <w:tc>
          <w:tcPr>
            <w:tcW w:w="823" w:type="dxa"/>
            <w:tcBorders>
              <w:top w:val="nil"/>
              <w:left w:val="nil"/>
              <w:bottom w:val="nil"/>
              <w:right w:val="nil"/>
            </w:tcBorders>
          </w:tcPr>
          <w:p>
            <w:pPr>
              <w:pStyle w:val="TableParagraph"/>
              <w:ind w:left="254"/>
              <w:jc w:val="left"/>
              <w:rPr>
                <w:sz w:val="20"/>
              </w:rPr>
            </w:pPr>
            <w:r>
              <w:rPr>
                <w:sz w:val="20"/>
              </w:rPr>
              <w:t>0.00</w:t>
            </w:r>
          </w:p>
        </w:tc>
        <w:tc>
          <w:tcPr>
            <w:tcW w:w="824" w:type="dxa"/>
            <w:tcBorders>
              <w:top w:val="nil"/>
              <w:left w:val="nil"/>
              <w:bottom w:val="nil"/>
              <w:right w:val="nil"/>
            </w:tcBorders>
          </w:tcPr>
          <w:p>
            <w:pPr>
              <w:pStyle w:val="TableParagraph"/>
              <w:ind w:left="257"/>
              <w:jc w:val="left"/>
              <w:rPr>
                <w:sz w:val="20"/>
              </w:rPr>
            </w:pPr>
            <w:r>
              <w:rPr>
                <w:sz w:val="20"/>
              </w:rPr>
              <w:t>0.00</w:t>
            </w:r>
          </w:p>
        </w:tc>
        <w:tc>
          <w:tcPr>
            <w:tcW w:w="823" w:type="dxa"/>
            <w:tcBorders>
              <w:top w:val="nil"/>
              <w:left w:val="nil"/>
              <w:bottom w:val="nil"/>
              <w:right w:val="nil"/>
            </w:tcBorders>
          </w:tcPr>
          <w:p>
            <w:pPr>
              <w:pStyle w:val="TableParagraph"/>
              <w:ind w:right="211"/>
              <w:rPr>
                <w:sz w:val="20"/>
              </w:rPr>
            </w:pPr>
            <w:r>
              <w:rPr>
                <w:sz w:val="20"/>
              </w:rPr>
              <w:t>0.00</w:t>
            </w:r>
          </w:p>
        </w:tc>
        <w:tc>
          <w:tcPr>
            <w:tcW w:w="823" w:type="dxa"/>
            <w:tcBorders>
              <w:top w:val="nil"/>
              <w:left w:val="nil"/>
              <w:bottom w:val="nil"/>
              <w:right w:val="nil"/>
            </w:tcBorders>
          </w:tcPr>
          <w:p>
            <w:pPr>
              <w:pStyle w:val="TableParagraph"/>
              <w:ind w:left="256"/>
              <w:jc w:val="left"/>
              <w:rPr>
                <w:sz w:val="20"/>
              </w:rPr>
            </w:pPr>
            <w:r>
              <w:rPr>
                <w:sz w:val="20"/>
              </w:rPr>
              <w:t>0.00</w:t>
            </w:r>
          </w:p>
        </w:tc>
        <w:tc>
          <w:tcPr>
            <w:tcW w:w="824" w:type="dxa"/>
            <w:tcBorders>
              <w:top w:val="nil"/>
              <w:left w:val="nil"/>
              <w:bottom w:val="nil"/>
              <w:right w:val="nil"/>
            </w:tcBorders>
          </w:tcPr>
          <w:p>
            <w:pPr>
              <w:pStyle w:val="TableParagraph"/>
              <w:ind w:left="254"/>
              <w:jc w:val="left"/>
              <w:rPr>
                <w:sz w:val="20"/>
              </w:rPr>
            </w:pPr>
            <w:r>
              <w:rPr>
                <w:sz w:val="20"/>
              </w:rPr>
              <w:t>0.00</w:t>
            </w:r>
          </w:p>
        </w:tc>
        <w:tc>
          <w:tcPr>
            <w:tcW w:w="824" w:type="dxa"/>
            <w:tcBorders>
              <w:top w:val="nil"/>
              <w:left w:val="nil"/>
              <w:bottom w:val="nil"/>
              <w:right w:val="nil"/>
            </w:tcBorders>
          </w:tcPr>
          <w:p>
            <w:pPr>
              <w:pStyle w:val="TableParagraph"/>
              <w:ind w:left="257"/>
              <w:jc w:val="left"/>
              <w:rPr>
                <w:sz w:val="20"/>
              </w:rPr>
            </w:pPr>
            <w:r>
              <w:rPr>
                <w:sz w:val="20"/>
              </w:rPr>
              <w:t>0.00</w:t>
            </w:r>
          </w:p>
        </w:tc>
        <w:tc>
          <w:tcPr>
            <w:tcW w:w="821" w:type="dxa"/>
            <w:tcBorders>
              <w:top w:val="nil"/>
              <w:left w:val="nil"/>
              <w:bottom w:val="nil"/>
              <w:right w:val="nil"/>
            </w:tcBorders>
          </w:tcPr>
          <w:p>
            <w:pPr>
              <w:pStyle w:val="TableParagraph"/>
              <w:ind w:left="254" w:right="84"/>
              <w:jc w:val="left"/>
              <w:rPr>
                <w:sz w:val="20"/>
              </w:rPr>
            </w:pPr>
            <w:r>
              <w:rPr>
                <w:sz w:val="20"/>
              </w:rPr>
              <w:t>0.00</w:t>
            </w:r>
          </w:p>
        </w:tc>
        <w:tc>
          <w:tcPr>
            <w:tcW w:w="763" w:type="dxa"/>
            <w:tcBorders>
              <w:top w:val="nil"/>
              <w:left w:val="nil"/>
              <w:bottom w:val="nil"/>
              <w:right w:val="nil"/>
            </w:tcBorders>
          </w:tcPr>
          <w:p>
            <w:pPr>
              <w:pStyle w:val="TableParagraph"/>
              <w:ind w:right="60"/>
              <w:rPr>
                <w:sz w:val="20"/>
              </w:rPr>
            </w:pPr>
            <w:r>
              <w:rPr>
                <w:sz w:val="20"/>
              </w:rPr>
              <w:t>0.00</w:t>
            </w:r>
          </w:p>
        </w:tc>
      </w:tr>
      <w:tr>
        <w:trPr>
          <w:trHeight w:val="298" w:hRule="exact"/>
        </w:trPr>
        <w:tc>
          <w:tcPr>
            <w:tcW w:w="1556" w:type="dxa"/>
            <w:tcBorders>
              <w:top w:val="nil"/>
              <w:left w:val="nil"/>
              <w:bottom w:val="nil"/>
              <w:right w:val="nil"/>
            </w:tcBorders>
          </w:tcPr>
          <w:p>
            <w:pPr>
              <w:pStyle w:val="TableParagraph"/>
              <w:spacing w:before="24"/>
              <w:ind w:left="86"/>
              <w:jc w:val="left"/>
              <w:rPr>
                <w:sz w:val="20"/>
              </w:rPr>
            </w:pPr>
            <w:r>
              <w:rPr>
                <w:sz w:val="20"/>
              </w:rPr>
              <w:t>TEJ_HhFl</w:t>
            </w:r>
          </w:p>
        </w:tc>
        <w:tc>
          <w:tcPr>
            <w:tcW w:w="700" w:type="dxa"/>
            <w:tcBorders>
              <w:top w:val="nil"/>
              <w:left w:val="nil"/>
              <w:bottom w:val="nil"/>
              <w:right w:val="nil"/>
            </w:tcBorders>
          </w:tcPr>
          <w:p>
            <w:pPr>
              <w:pStyle w:val="TableParagraph"/>
              <w:spacing w:before="24"/>
              <w:ind w:left="200"/>
              <w:jc w:val="left"/>
              <w:rPr>
                <w:sz w:val="20"/>
              </w:rPr>
            </w:pPr>
            <w:r>
              <w:rPr>
                <w:sz w:val="20"/>
              </w:rPr>
              <w:t>0.00</w:t>
            </w:r>
          </w:p>
        </w:tc>
        <w:tc>
          <w:tcPr>
            <w:tcW w:w="711" w:type="dxa"/>
            <w:tcBorders>
              <w:top w:val="nil"/>
              <w:left w:val="nil"/>
              <w:bottom w:val="nil"/>
              <w:right w:val="nil"/>
            </w:tcBorders>
          </w:tcPr>
          <w:p>
            <w:pPr>
              <w:pStyle w:val="TableParagraph"/>
              <w:spacing w:before="24"/>
              <w:ind w:left="144"/>
              <w:jc w:val="left"/>
              <w:rPr>
                <w:sz w:val="20"/>
              </w:rPr>
            </w:pPr>
            <w:r>
              <w:rPr>
                <w:sz w:val="20"/>
              </w:rPr>
              <w:t>0.00</w:t>
            </w:r>
          </w:p>
        </w:tc>
        <w:tc>
          <w:tcPr>
            <w:tcW w:w="823" w:type="dxa"/>
            <w:tcBorders>
              <w:top w:val="nil"/>
              <w:left w:val="nil"/>
              <w:bottom w:val="nil"/>
              <w:right w:val="nil"/>
            </w:tcBorders>
          </w:tcPr>
          <w:p>
            <w:pPr>
              <w:pStyle w:val="TableParagraph"/>
              <w:spacing w:before="24"/>
              <w:ind w:left="254"/>
              <w:jc w:val="left"/>
              <w:rPr>
                <w:sz w:val="20"/>
              </w:rPr>
            </w:pPr>
            <w:r>
              <w:rPr>
                <w:sz w:val="20"/>
              </w:rPr>
              <w:t>0.00</w:t>
            </w:r>
          </w:p>
        </w:tc>
        <w:tc>
          <w:tcPr>
            <w:tcW w:w="824" w:type="dxa"/>
            <w:tcBorders>
              <w:top w:val="nil"/>
              <w:left w:val="nil"/>
              <w:bottom w:val="nil"/>
              <w:right w:val="nil"/>
            </w:tcBorders>
          </w:tcPr>
          <w:p>
            <w:pPr>
              <w:pStyle w:val="TableParagraph"/>
              <w:spacing w:before="24"/>
              <w:ind w:left="257"/>
              <w:jc w:val="left"/>
              <w:rPr>
                <w:sz w:val="20"/>
              </w:rPr>
            </w:pPr>
            <w:r>
              <w:rPr>
                <w:sz w:val="20"/>
              </w:rPr>
              <w:t>0.00</w:t>
            </w:r>
          </w:p>
        </w:tc>
        <w:tc>
          <w:tcPr>
            <w:tcW w:w="823" w:type="dxa"/>
            <w:tcBorders>
              <w:top w:val="nil"/>
              <w:left w:val="nil"/>
              <w:bottom w:val="nil"/>
              <w:right w:val="nil"/>
            </w:tcBorders>
          </w:tcPr>
          <w:p>
            <w:pPr>
              <w:pStyle w:val="TableParagraph"/>
              <w:spacing w:before="24"/>
              <w:ind w:right="211"/>
              <w:rPr>
                <w:sz w:val="20"/>
              </w:rPr>
            </w:pPr>
            <w:r>
              <w:rPr>
                <w:sz w:val="20"/>
              </w:rPr>
              <w:t>0.00</w:t>
            </w:r>
          </w:p>
        </w:tc>
        <w:tc>
          <w:tcPr>
            <w:tcW w:w="823" w:type="dxa"/>
            <w:tcBorders>
              <w:top w:val="nil"/>
              <w:left w:val="nil"/>
              <w:bottom w:val="nil"/>
              <w:right w:val="nil"/>
            </w:tcBorders>
          </w:tcPr>
          <w:p>
            <w:pPr>
              <w:pStyle w:val="TableParagraph"/>
              <w:spacing w:before="24"/>
              <w:ind w:left="256"/>
              <w:jc w:val="left"/>
              <w:rPr>
                <w:sz w:val="20"/>
              </w:rPr>
            </w:pPr>
            <w:r>
              <w:rPr>
                <w:sz w:val="20"/>
              </w:rPr>
              <w:t>0.00</w:t>
            </w:r>
          </w:p>
        </w:tc>
        <w:tc>
          <w:tcPr>
            <w:tcW w:w="824" w:type="dxa"/>
            <w:tcBorders>
              <w:top w:val="nil"/>
              <w:left w:val="nil"/>
              <w:bottom w:val="nil"/>
              <w:right w:val="nil"/>
            </w:tcBorders>
          </w:tcPr>
          <w:p>
            <w:pPr>
              <w:pStyle w:val="TableParagraph"/>
              <w:spacing w:before="24"/>
              <w:ind w:left="254"/>
              <w:jc w:val="left"/>
              <w:rPr>
                <w:sz w:val="20"/>
              </w:rPr>
            </w:pPr>
            <w:r>
              <w:rPr>
                <w:sz w:val="20"/>
              </w:rPr>
              <w:t>0.00</w:t>
            </w:r>
          </w:p>
        </w:tc>
        <w:tc>
          <w:tcPr>
            <w:tcW w:w="824" w:type="dxa"/>
            <w:tcBorders>
              <w:top w:val="nil"/>
              <w:left w:val="nil"/>
              <w:bottom w:val="nil"/>
              <w:right w:val="nil"/>
            </w:tcBorders>
          </w:tcPr>
          <w:p>
            <w:pPr>
              <w:pStyle w:val="TableParagraph"/>
              <w:spacing w:before="24"/>
              <w:ind w:left="257"/>
              <w:jc w:val="left"/>
              <w:rPr>
                <w:sz w:val="20"/>
              </w:rPr>
            </w:pPr>
            <w:r>
              <w:rPr>
                <w:sz w:val="20"/>
              </w:rPr>
              <w:t>0.00</w:t>
            </w:r>
          </w:p>
        </w:tc>
        <w:tc>
          <w:tcPr>
            <w:tcW w:w="821" w:type="dxa"/>
            <w:tcBorders>
              <w:top w:val="nil"/>
              <w:left w:val="nil"/>
              <w:bottom w:val="nil"/>
              <w:right w:val="nil"/>
            </w:tcBorders>
          </w:tcPr>
          <w:p>
            <w:pPr>
              <w:pStyle w:val="TableParagraph"/>
              <w:spacing w:before="24"/>
              <w:ind w:left="254" w:right="84"/>
              <w:jc w:val="left"/>
              <w:rPr>
                <w:sz w:val="20"/>
              </w:rPr>
            </w:pPr>
            <w:r>
              <w:rPr>
                <w:sz w:val="20"/>
              </w:rPr>
              <w:t>0.00</w:t>
            </w:r>
          </w:p>
        </w:tc>
        <w:tc>
          <w:tcPr>
            <w:tcW w:w="763" w:type="dxa"/>
            <w:tcBorders>
              <w:top w:val="nil"/>
              <w:left w:val="nil"/>
              <w:bottom w:val="nil"/>
              <w:right w:val="nil"/>
            </w:tcBorders>
          </w:tcPr>
          <w:p>
            <w:pPr>
              <w:pStyle w:val="TableParagraph"/>
              <w:spacing w:before="24"/>
              <w:ind w:right="60"/>
              <w:rPr>
                <w:sz w:val="20"/>
              </w:rPr>
            </w:pPr>
            <w:r>
              <w:rPr>
                <w:sz w:val="20"/>
              </w:rPr>
              <w:t>0.00</w:t>
            </w:r>
          </w:p>
        </w:tc>
      </w:tr>
      <w:tr>
        <w:trPr>
          <w:trHeight w:val="298" w:hRule="exact"/>
        </w:trPr>
        <w:tc>
          <w:tcPr>
            <w:tcW w:w="1556" w:type="dxa"/>
            <w:tcBorders>
              <w:top w:val="nil"/>
              <w:left w:val="nil"/>
              <w:bottom w:val="nil"/>
              <w:right w:val="nil"/>
            </w:tcBorders>
          </w:tcPr>
          <w:p>
            <w:pPr>
              <w:pStyle w:val="TableParagraph"/>
              <w:ind w:left="86"/>
              <w:jc w:val="left"/>
              <w:rPr>
                <w:sz w:val="20"/>
              </w:rPr>
            </w:pPr>
            <w:r>
              <w:rPr>
                <w:sz w:val="20"/>
              </w:rPr>
              <w:t>TEJ_HhFlp</w:t>
            </w:r>
          </w:p>
        </w:tc>
        <w:tc>
          <w:tcPr>
            <w:tcW w:w="700" w:type="dxa"/>
            <w:tcBorders>
              <w:top w:val="nil"/>
              <w:left w:val="nil"/>
              <w:bottom w:val="nil"/>
              <w:right w:val="nil"/>
            </w:tcBorders>
          </w:tcPr>
          <w:p>
            <w:pPr>
              <w:pStyle w:val="TableParagraph"/>
              <w:ind w:left="200"/>
              <w:jc w:val="left"/>
              <w:rPr>
                <w:sz w:val="20"/>
              </w:rPr>
            </w:pPr>
            <w:r>
              <w:rPr>
                <w:sz w:val="20"/>
              </w:rPr>
              <w:t>0.00</w:t>
            </w:r>
          </w:p>
        </w:tc>
        <w:tc>
          <w:tcPr>
            <w:tcW w:w="711" w:type="dxa"/>
            <w:tcBorders>
              <w:top w:val="nil"/>
              <w:left w:val="nil"/>
              <w:bottom w:val="nil"/>
              <w:right w:val="nil"/>
            </w:tcBorders>
          </w:tcPr>
          <w:p>
            <w:pPr>
              <w:pStyle w:val="TableParagraph"/>
              <w:ind w:left="144"/>
              <w:jc w:val="left"/>
              <w:rPr>
                <w:sz w:val="20"/>
              </w:rPr>
            </w:pPr>
            <w:r>
              <w:rPr>
                <w:sz w:val="20"/>
              </w:rPr>
              <w:t>0.00</w:t>
            </w:r>
          </w:p>
        </w:tc>
        <w:tc>
          <w:tcPr>
            <w:tcW w:w="823" w:type="dxa"/>
            <w:tcBorders>
              <w:top w:val="nil"/>
              <w:left w:val="nil"/>
              <w:bottom w:val="nil"/>
              <w:right w:val="nil"/>
            </w:tcBorders>
          </w:tcPr>
          <w:p>
            <w:pPr>
              <w:pStyle w:val="TableParagraph"/>
              <w:ind w:left="254"/>
              <w:jc w:val="left"/>
              <w:rPr>
                <w:sz w:val="20"/>
              </w:rPr>
            </w:pPr>
            <w:r>
              <w:rPr>
                <w:sz w:val="20"/>
              </w:rPr>
              <w:t>0.00</w:t>
            </w:r>
          </w:p>
        </w:tc>
        <w:tc>
          <w:tcPr>
            <w:tcW w:w="824" w:type="dxa"/>
            <w:tcBorders>
              <w:top w:val="nil"/>
              <w:left w:val="nil"/>
              <w:bottom w:val="nil"/>
              <w:right w:val="nil"/>
            </w:tcBorders>
          </w:tcPr>
          <w:p>
            <w:pPr>
              <w:pStyle w:val="TableParagraph"/>
              <w:ind w:left="257"/>
              <w:jc w:val="left"/>
              <w:rPr>
                <w:sz w:val="20"/>
              </w:rPr>
            </w:pPr>
            <w:r>
              <w:rPr>
                <w:sz w:val="20"/>
              </w:rPr>
              <w:t>0.00</w:t>
            </w:r>
          </w:p>
        </w:tc>
        <w:tc>
          <w:tcPr>
            <w:tcW w:w="823" w:type="dxa"/>
            <w:tcBorders>
              <w:top w:val="nil"/>
              <w:left w:val="nil"/>
              <w:bottom w:val="nil"/>
              <w:right w:val="nil"/>
            </w:tcBorders>
          </w:tcPr>
          <w:p>
            <w:pPr>
              <w:pStyle w:val="TableParagraph"/>
              <w:ind w:right="211"/>
              <w:rPr>
                <w:sz w:val="20"/>
              </w:rPr>
            </w:pPr>
            <w:r>
              <w:rPr>
                <w:sz w:val="20"/>
              </w:rPr>
              <w:t>0.00</w:t>
            </w:r>
          </w:p>
        </w:tc>
        <w:tc>
          <w:tcPr>
            <w:tcW w:w="823" w:type="dxa"/>
            <w:tcBorders>
              <w:top w:val="nil"/>
              <w:left w:val="nil"/>
              <w:bottom w:val="nil"/>
              <w:right w:val="nil"/>
            </w:tcBorders>
          </w:tcPr>
          <w:p>
            <w:pPr>
              <w:pStyle w:val="TableParagraph"/>
              <w:ind w:left="256"/>
              <w:jc w:val="left"/>
              <w:rPr>
                <w:sz w:val="20"/>
              </w:rPr>
            </w:pPr>
            <w:r>
              <w:rPr>
                <w:sz w:val="20"/>
              </w:rPr>
              <w:t>0.00</w:t>
            </w:r>
          </w:p>
        </w:tc>
        <w:tc>
          <w:tcPr>
            <w:tcW w:w="824" w:type="dxa"/>
            <w:tcBorders>
              <w:top w:val="nil"/>
              <w:left w:val="nil"/>
              <w:bottom w:val="nil"/>
              <w:right w:val="nil"/>
            </w:tcBorders>
          </w:tcPr>
          <w:p>
            <w:pPr>
              <w:pStyle w:val="TableParagraph"/>
              <w:ind w:left="254"/>
              <w:jc w:val="left"/>
              <w:rPr>
                <w:sz w:val="20"/>
              </w:rPr>
            </w:pPr>
            <w:r>
              <w:rPr>
                <w:sz w:val="20"/>
              </w:rPr>
              <w:t>0.00</w:t>
            </w:r>
          </w:p>
        </w:tc>
        <w:tc>
          <w:tcPr>
            <w:tcW w:w="824" w:type="dxa"/>
            <w:tcBorders>
              <w:top w:val="nil"/>
              <w:left w:val="nil"/>
              <w:bottom w:val="nil"/>
              <w:right w:val="nil"/>
            </w:tcBorders>
          </w:tcPr>
          <w:p>
            <w:pPr>
              <w:pStyle w:val="TableParagraph"/>
              <w:ind w:left="257"/>
              <w:jc w:val="left"/>
              <w:rPr>
                <w:sz w:val="20"/>
              </w:rPr>
            </w:pPr>
            <w:r>
              <w:rPr>
                <w:sz w:val="20"/>
              </w:rPr>
              <w:t>0.00</w:t>
            </w:r>
          </w:p>
        </w:tc>
        <w:tc>
          <w:tcPr>
            <w:tcW w:w="821" w:type="dxa"/>
            <w:tcBorders>
              <w:top w:val="nil"/>
              <w:left w:val="nil"/>
              <w:bottom w:val="nil"/>
              <w:right w:val="nil"/>
            </w:tcBorders>
          </w:tcPr>
          <w:p>
            <w:pPr>
              <w:pStyle w:val="TableParagraph"/>
              <w:ind w:left="254" w:right="84"/>
              <w:jc w:val="left"/>
              <w:rPr>
                <w:sz w:val="20"/>
              </w:rPr>
            </w:pPr>
            <w:r>
              <w:rPr>
                <w:sz w:val="20"/>
              </w:rPr>
              <w:t>0.00</w:t>
            </w:r>
          </w:p>
        </w:tc>
        <w:tc>
          <w:tcPr>
            <w:tcW w:w="763" w:type="dxa"/>
            <w:tcBorders>
              <w:top w:val="nil"/>
              <w:left w:val="nil"/>
              <w:bottom w:val="nil"/>
              <w:right w:val="nil"/>
            </w:tcBorders>
          </w:tcPr>
          <w:p>
            <w:pPr>
              <w:pStyle w:val="TableParagraph"/>
              <w:ind w:right="60"/>
              <w:rPr>
                <w:sz w:val="20"/>
              </w:rPr>
            </w:pPr>
            <w:r>
              <w:rPr>
                <w:sz w:val="20"/>
              </w:rPr>
              <w:t>0.00</w:t>
            </w:r>
          </w:p>
        </w:tc>
      </w:tr>
      <w:tr>
        <w:trPr>
          <w:trHeight w:val="298" w:hRule="exact"/>
        </w:trPr>
        <w:tc>
          <w:tcPr>
            <w:tcW w:w="1556" w:type="dxa"/>
            <w:tcBorders>
              <w:top w:val="nil"/>
              <w:left w:val="nil"/>
              <w:bottom w:val="nil"/>
              <w:right w:val="nil"/>
            </w:tcBorders>
          </w:tcPr>
          <w:p>
            <w:pPr>
              <w:pStyle w:val="TableParagraph"/>
              <w:ind w:left="86"/>
              <w:jc w:val="left"/>
              <w:rPr>
                <w:sz w:val="20"/>
              </w:rPr>
            </w:pPr>
            <w:r>
              <w:rPr>
                <w:sz w:val="20"/>
              </w:rPr>
              <w:t>TEJ_HhFp</w:t>
            </w:r>
          </w:p>
        </w:tc>
        <w:tc>
          <w:tcPr>
            <w:tcW w:w="700" w:type="dxa"/>
            <w:tcBorders>
              <w:top w:val="nil"/>
              <w:left w:val="nil"/>
              <w:bottom w:val="nil"/>
              <w:right w:val="nil"/>
            </w:tcBorders>
          </w:tcPr>
          <w:p>
            <w:pPr>
              <w:pStyle w:val="TableParagraph"/>
              <w:ind w:left="200"/>
              <w:jc w:val="left"/>
              <w:rPr>
                <w:sz w:val="20"/>
              </w:rPr>
            </w:pPr>
            <w:r>
              <w:rPr>
                <w:sz w:val="20"/>
              </w:rPr>
              <w:t>0.00</w:t>
            </w:r>
          </w:p>
        </w:tc>
        <w:tc>
          <w:tcPr>
            <w:tcW w:w="711" w:type="dxa"/>
            <w:tcBorders>
              <w:top w:val="nil"/>
              <w:left w:val="nil"/>
              <w:bottom w:val="nil"/>
              <w:right w:val="nil"/>
            </w:tcBorders>
          </w:tcPr>
          <w:p>
            <w:pPr>
              <w:pStyle w:val="TableParagraph"/>
              <w:ind w:left="144"/>
              <w:jc w:val="left"/>
              <w:rPr>
                <w:sz w:val="20"/>
              </w:rPr>
            </w:pPr>
            <w:r>
              <w:rPr>
                <w:sz w:val="20"/>
              </w:rPr>
              <w:t>0.00</w:t>
            </w:r>
          </w:p>
        </w:tc>
        <w:tc>
          <w:tcPr>
            <w:tcW w:w="823" w:type="dxa"/>
            <w:tcBorders>
              <w:top w:val="nil"/>
              <w:left w:val="nil"/>
              <w:bottom w:val="nil"/>
              <w:right w:val="nil"/>
            </w:tcBorders>
          </w:tcPr>
          <w:p>
            <w:pPr>
              <w:pStyle w:val="TableParagraph"/>
              <w:ind w:left="254"/>
              <w:jc w:val="left"/>
              <w:rPr>
                <w:sz w:val="20"/>
              </w:rPr>
            </w:pPr>
            <w:r>
              <w:rPr>
                <w:sz w:val="20"/>
              </w:rPr>
              <w:t>0.00</w:t>
            </w:r>
          </w:p>
        </w:tc>
        <w:tc>
          <w:tcPr>
            <w:tcW w:w="824" w:type="dxa"/>
            <w:tcBorders>
              <w:top w:val="nil"/>
              <w:left w:val="nil"/>
              <w:bottom w:val="nil"/>
              <w:right w:val="nil"/>
            </w:tcBorders>
          </w:tcPr>
          <w:p>
            <w:pPr>
              <w:pStyle w:val="TableParagraph"/>
              <w:ind w:left="257"/>
              <w:jc w:val="left"/>
              <w:rPr>
                <w:sz w:val="20"/>
              </w:rPr>
            </w:pPr>
            <w:r>
              <w:rPr>
                <w:sz w:val="20"/>
              </w:rPr>
              <w:t>0.00</w:t>
            </w:r>
          </w:p>
        </w:tc>
        <w:tc>
          <w:tcPr>
            <w:tcW w:w="823" w:type="dxa"/>
            <w:tcBorders>
              <w:top w:val="nil"/>
              <w:left w:val="nil"/>
              <w:bottom w:val="nil"/>
              <w:right w:val="nil"/>
            </w:tcBorders>
          </w:tcPr>
          <w:p>
            <w:pPr>
              <w:pStyle w:val="TableParagraph"/>
              <w:ind w:right="211"/>
              <w:rPr>
                <w:sz w:val="20"/>
              </w:rPr>
            </w:pPr>
            <w:r>
              <w:rPr>
                <w:sz w:val="20"/>
              </w:rPr>
              <w:t>0.00</w:t>
            </w:r>
          </w:p>
        </w:tc>
        <w:tc>
          <w:tcPr>
            <w:tcW w:w="823" w:type="dxa"/>
            <w:tcBorders>
              <w:top w:val="nil"/>
              <w:left w:val="nil"/>
              <w:bottom w:val="nil"/>
              <w:right w:val="nil"/>
            </w:tcBorders>
          </w:tcPr>
          <w:p>
            <w:pPr>
              <w:pStyle w:val="TableParagraph"/>
              <w:ind w:left="256"/>
              <w:jc w:val="left"/>
              <w:rPr>
                <w:sz w:val="20"/>
              </w:rPr>
            </w:pPr>
            <w:r>
              <w:rPr>
                <w:sz w:val="20"/>
              </w:rPr>
              <w:t>0.00</w:t>
            </w:r>
          </w:p>
        </w:tc>
        <w:tc>
          <w:tcPr>
            <w:tcW w:w="824" w:type="dxa"/>
            <w:tcBorders>
              <w:top w:val="nil"/>
              <w:left w:val="nil"/>
              <w:bottom w:val="nil"/>
              <w:right w:val="nil"/>
            </w:tcBorders>
          </w:tcPr>
          <w:p>
            <w:pPr>
              <w:pStyle w:val="TableParagraph"/>
              <w:ind w:left="254"/>
              <w:jc w:val="left"/>
              <w:rPr>
                <w:sz w:val="20"/>
              </w:rPr>
            </w:pPr>
            <w:r>
              <w:rPr>
                <w:sz w:val="20"/>
              </w:rPr>
              <w:t>0.00</w:t>
            </w:r>
          </w:p>
        </w:tc>
        <w:tc>
          <w:tcPr>
            <w:tcW w:w="824" w:type="dxa"/>
            <w:tcBorders>
              <w:top w:val="nil"/>
              <w:left w:val="nil"/>
              <w:bottom w:val="nil"/>
              <w:right w:val="nil"/>
            </w:tcBorders>
          </w:tcPr>
          <w:p>
            <w:pPr>
              <w:pStyle w:val="TableParagraph"/>
              <w:ind w:left="257"/>
              <w:jc w:val="left"/>
              <w:rPr>
                <w:sz w:val="20"/>
              </w:rPr>
            </w:pPr>
            <w:r>
              <w:rPr>
                <w:sz w:val="20"/>
              </w:rPr>
              <w:t>0.00</w:t>
            </w:r>
          </w:p>
        </w:tc>
        <w:tc>
          <w:tcPr>
            <w:tcW w:w="821" w:type="dxa"/>
            <w:tcBorders>
              <w:top w:val="nil"/>
              <w:left w:val="nil"/>
              <w:bottom w:val="nil"/>
              <w:right w:val="nil"/>
            </w:tcBorders>
          </w:tcPr>
          <w:p>
            <w:pPr>
              <w:pStyle w:val="TableParagraph"/>
              <w:ind w:left="254" w:right="84"/>
              <w:jc w:val="left"/>
              <w:rPr>
                <w:sz w:val="20"/>
              </w:rPr>
            </w:pPr>
            <w:r>
              <w:rPr>
                <w:sz w:val="20"/>
              </w:rPr>
              <w:t>0.00</w:t>
            </w:r>
          </w:p>
        </w:tc>
        <w:tc>
          <w:tcPr>
            <w:tcW w:w="763" w:type="dxa"/>
            <w:tcBorders>
              <w:top w:val="nil"/>
              <w:left w:val="nil"/>
              <w:bottom w:val="nil"/>
              <w:right w:val="nil"/>
            </w:tcBorders>
          </w:tcPr>
          <w:p>
            <w:pPr>
              <w:pStyle w:val="TableParagraph"/>
              <w:ind w:right="60"/>
              <w:rPr>
                <w:sz w:val="20"/>
              </w:rPr>
            </w:pPr>
            <w:r>
              <w:rPr>
                <w:sz w:val="20"/>
              </w:rPr>
              <w:t>0.00</w:t>
            </w:r>
          </w:p>
        </w:tc>
      </w:tr>
      <w:tr>
        <w:trPr>
          <w:trHeight w:val="298" w:hRule="exact"/>
        </w:trPr>
        <w:tc>
          <w:tcPr>
            <w:tcW w:w="1556" w:type="dxa"/>
            <w:tcBorders>
              <w:top w:val="nil"/>
              <w:left w:val="nil"/>
              <w:bottom w:val="nil"/>
              <w:right w:val="nil"/>
            </w:tcBorders>
          </w:tcPr>
          <w:p>
            <w:pPr>
              <w:pStyle w:val="TableParagraph"/>
              <w:ind w:left="86"/>
              <w:jc w:val="left"/>
              <w:rPr>
                <w:sz w:val="20"/>
              </w:rPr>
            </w:pPr>
            <w:r>
              <w:rPr>
                <w:sz w:val="20"/>
              </w:rPr>
              <w:t>TEJ_HhSF</w:t>
            </w:r>
          </w:p>
        </w:tc>
        <w:tc>
          <w:tcPr>
            <w:tcW w:w="700" w:type="dxa"/>
            <w:tcBorders>
              <w:top w:val="nil"/>
              <w:left w:val="nil"/>
              <w:bottom w:val="nil"/>
              <w:right w:val="nil"/>
            </w:tcBorders>
          </w:tcPr>
          <w:p>
            <w:pPr>
              <w:pStyle w:val="TableParagraph"/>
              <w:ind w:left="200"/>
              <w:jc w:val="left"/>
              <w:rPr>
                <w:sz w:val="20"/>
              </w:rPr>
            </w:pPr>
            <w:r>
              <w:rPr>
                <w:sz w:val="20"/>
              </w:rPr>
              <w:t>0.00</w:t>
            </w:r>
          </w:p>
        </w:tc>
        <w:tc>
          <w:tcPr>
            <w:tcW w:w="711" w:type="dxa"/>
            <w:tcBorders>
              <w:top w:val="nil"/>
              <w:left w:val="nil"/>
              <w:bottom w:val="nil"/>
              <w:right w:val="nil"/>
            </w:tcBorders>
          </w:tcPr>
          <w:p>
            <w:pPr>
              <w:pStyle w:val="TableParagraph"/>
              <w:ind w:left="144"/>
              <w:jc w:val="left"/>
              <w:rPr>
                <w:sz w:val="20"/>
              </w:rPr>
            </w:pPr>
            <w:r>
              <w:rPr>
                <w:sz w:val="20"/>
              </w:rPr>
              <w:t>0.00</w:t>
            </w:r>
          </w:p>
        </w:tc>
        <w:tc>
          <w:tcPr>
            <w:tcW w:w="823" w:type="dxa"/>
            <w:tcBorders>
              <w:top w:val="nil"/>
              <w:left w:val="nil"/>
              <w:bottom w:val="nil"/>
              <w:right w:val="nil"/>
            </w:tcBorders>
          </w:tcPr>
          <w:p>
            <w:pPr>
              <w:pStyle w:val="TableParagraph"/>
              <w:ind w:left="254"/>
              <w:jc w:val="left"/>
              <w:rPr>
                <w:sz w:val="20"/>
              </w:rPr>
            </w:pPr>
            <w:r>
              <w:rPr>
                <w:sz w:val="20"/>
              </w:rPr>
              <w:t>0.00</w:t>
            </w:r>
          </w:p>
        </w:tc>
        <w:tc>
          <w:tcPr>
            <w:tcW w:w="824" w:type="dxa"/>
            <w:tcBorders>
              <w:top w:val="nil"/>
              <w:left w:val="nil"/>
              <w:bottom w:val="nil"/>
              <w:right w:val="nil"/>
            </w:tcBorders>
          </w:tcPr>
          <w:p>
            <w:pPr>
              <w:pStyle w:val="TableParagraph"/>
              <w:ind w:left="257"/>
              <w:jc w:val="left"/>
              <w:rPr>
                <w:sz w:val="20"/>
              </w:rPr>
            </w:pPr>
            <w:r>
              <w:rPr>
                <w:sz w:val="20"/>
              </w:rPr>
              <w:t>0.00</w:t>
            </w:r>
          </w:p>
        </w:tc>
        <w:tc>
          <w:tcPr>
            <w:tcW w:w="823" w:type="dxa"/>
            <w:tcBorders>
              <w:top w:val="nil"/>
              <w:left w:val="nil"/>
              <w:bottom w:val="nil"/>
              <w:right w:val="nil"/>
            </w:tcBorders>
          </w:tcPr>
          <w:p>
            <w:pPr>
              <w:pStyle w:val="TableParagraph"/>
              <w:ind w:right="211"/>
              <w:rPr>
                <w:sz w:val="20"/>
              </w:rPr>
            </w:pPr>
            <w:r>
              <w:rPr>
                <w:sz w:val="20"/>
              </w:rPr>
              <w:t>0.00</w:t>
            </w:r>
          </w:p>
        </w:tc>
        <w:tc>
          <w:tcPr>
            <w:tcW w:w="823" w:type="dxa"/>
            <w:tcBorders>
              <w:top w:val="nil"/>
              <w:left w:val="nil"/>
              <w:bottom w:val="nil"/>
              <w:right w:val="nil"/>
            </w:tcBorders>
          </w:tcPr>
          <w:p>
            <w:pPr>
              <w:pStyle w:val="TableParagraph"/>
              <w:ind w:left="256"/>
              <w:jc w:val="left"/>
              <w:rPr>
                <w:sz w:val="20"/>
              </w:rPr>
            </w:pPr>
            <w:r>
              <w:rPr>
                <w:sz w:val="20"/>
              </w:rPr>
              <w:t>0.00</w:t>
            </w:r>
          </w:p>
        </w:tc>
        <w:tc>
          <w:tcPr>
            <w:tcW w:w="824" w:type="dxa"/>
            <w:tcBorders>
              <w:top w:val="nil"/>
              <w:left w:val="nil"/>
              <w:bottom w:val="nil"/>
              <w:right w:val="nil"/>
            </w:tcBorders>
          </w:tcPr>
          <w:p>
            <w:pPr>
              <w:pStyle w:val="TableParagraph"/>
              <w:ind w:left="254"/>
              <w:jc w:val="left"/>
              <w:rPr>
                <w:sz w:val="20"/>
              </w:rPr>
            </w:pPr>
            <w:r>
              <w:rPr>
                <w:sz w:val="20"/>
              </w:rPr>
              <w:t>0.00</w:t>
            </w:r>
          </w:p>
        </w:tc>
        <w:tc>
          <w:tcPr>
            <w:tcW w:w="824" w:type="dxa"/>
            <w:tcBorders>
              <w:top w:val="nil"/>
              <w:left w:val="nil"/>
              <w:bottom w:val="nil"/>
              <w:right w:val="nil"/>
            </w:tcBorders>
          </w:tcPr>
          <w:p>
            <w:pPr>
              <w:pStyle w:val="TableParagraph"/>
              <w:ind w:left="257"/>
              <w:jc w:val="left"/>
              <w:rPr>
                <w:sz w:val="20"/>
              </w:rPr>
            </w:pPr>
            <w:r>
              <w:rPr>
                <w:sz w:val="20"/>
              </w:rPr>
              <w:t>0.00</w:t>
            </w:r>
          </w:p>
        </w:tc>
        <w:tc>
          <w:tcPr>
            <w:tcW w:w="821" w:type="dxa"/>
            <w:tcBorders>
              <w:top w:val="nil"/>
              <w:left w:val="nil"/>
              <w:bottom w:val="nil"/>
              <w:right w:val="nil"/>
            </w:tcBorders>
          </w:tcPr>
          <w:p>
            <w:pPr>
              <w:pStyle w:val="TableParagraph"/>
              <w:ind w:left="254" w:right="84"/>
              <w:jc w:val="left"/>
              <w:rPr>
                <w:sz w:val="20"/>
              </w:rPr>
            </w:pPr>
            <w:r>
              <w:rPr>
                <w:sz w:val="20"/>
              </w:rPr>
              <w:t>0.00</w:t>
            </w:r>
          </w:p>
        </w:tc>
        <w:tc>
          <w:tcPr>
            <w:tcW w:w="763" w:type="dxa"/>
            <w:tcBorders>
              <w:top w:val="nil"/>
              <w:left w:val="nil"/>
              <w:bottom w:val="nil"/>
              <w:right w:val="nil"/>
            </w:tcBorders>
          </w:tcPr>
          <w:p>
            <w:pPr>
              <w:pStyle w:val="TableParagraph"/>
              <w:ind w:right="60"/>
              <w:rPr>
                <w:sz w:val="20"/>
              </w:rPr>
            </w:pPr>
            <w:r>
              <w:rPr>
                <w:sz w:val="20"/>
              </w:rPr>
              <w:t>0.00</w:t>
            </w:r>
          </w:p>
        </w:tc>
      </w:tr>
      <w:tr>
        <w:trPr>
          <w:trHeight w:val="298" w:hRule="exact"/>
        </w:trPr>
        <w:tc>
          <w:tcPr>
            <w:tcW w:w="1556" w:type="dxa"/>
            <w:tcBorders>
              <w:top w:val="nil"/>
              <w:left w:val="nil"/>
              <w:bottom w:val="nil"/>
              <w:right w:val="nil"/>
            </w:tcBorders>
          </w:tcPr>
          <w:p>
            <w:pPr>
              <w:pStyle w:val="TableParagraph"/>
              <w:ind w:left="86"/>
              <w:jc w:val="left"/>
              <w:rPr>
                <w:sz w:val="20"/>
              </w:rPr>
            </w:pPr>
            <w:r>
              <w:rPr>
                <w:sz w:val="20"/>
              </w:rPr>
              <w:t>TEJ_HlFd</w:t>
            </w:r>
          </w:p>
        </w:tc>
        <w:tc>
          <w:tcPr>
            <w:tcW w:w="700" w:type="dxa"/>
            <w:tcBorders>
              <w:top w:val="nil"/>
              <w:left w:val="nil"/>
              <w:bottom w:val="nil"/>
              <w:right w:val="nil"/>
            </w:tcBorders>
          </w:tcPr>
          <w:p>
            <w:pPr>
              <w:pStyle w:val="TableParagraph"/>
              <w:ind w:left="200"/>
              <w:jc w:val="left"/>
              <w:rPr>
                <w:sz w:val="20"/>
              </w:rPr>
            </w:pPr>
            <w:r>
              <w:rPr>
                <w:sz w:val="20"/>
              </w:rPr>
              <w:t>0.00</w:t>
            </w:r>
          </w:p>
        </w:tc>
        <w:tc>
          <w:tcPr>
            <w:tcW w:w="711" w:type="dxa"/>
            <w:tcBorders>
              <w:top w:val="nil"/>
              <w:left w:val="nil"/>
              <w:bottom w:val="nil"/>
              <w:right w:val="nil"/>
            </w:tcBorders>
          </w:tcPr>
          <w:p>
            <w:pPr>
              <w:pStyle w:val="TableParagraph"/>
              <w:ind w:left="144"/>
              <w:jc w:val="left"/>
              <w:rPr>
                <w:sz w:val="20"/>
              </w:rPr>
            </w:pPr>
            <w:r>
              <w:rPr>
                <w:sz w:val="20"/>
              </w:rPr>
              <w:t>0.00</w:t>
            </w:r>
          </w:p>
        </w:tc>
        <w:tc>
          <w:tcPr>
            <w:tcW w:w="823" w:type="dxa"/>
            <w:tcBorders>
              <w:top w:val="nil"/>
              <w:left w:val="nil"/>
              <w:bottom w:val="nil"/>
              <w:right w:val="nil"/>
            </w:tcBorders>
          </w:tcPr>
          <w:p>
            <w:pPr>
              <w:pStyle w:val="TableParagraph"/>
              <w:ind w:left="254"/>
              <w:jc w:val="left"/>
              <w:rPr>
                <w:sz w:val="20"/>
              </w:rPr>
            </w:pPr>
            <w:r>
              <w:rPr>
                <w:sz w:val="20"/>
              </w:rPr>
              <w:t>0.00</w:t>
            </w:r>
          </w:p>
        </w:tc>
        <w:tc>
          <w:tcPr>
            <w:tcW w:w="824" w:type="dxa"/>
            <w:tcBorders>
              <w:top w:val="nil"/>
              <w:left w:val="nil"/>
              <w:bottom w:val="nil"/>
              <w:right w:val="nil"/>
            </w:tcBorders>
          </w:tcPr>
          <w:p>
            <w:pPr>
              <w:pStyle w:val="TableParagraph"/>
              <w:ind w:left="257"/>
              <w:jc w:val="left"/>
              <w:rPr>
                <w:sz w:val="20"/>
              </w:rPr>
            </w:pPr>
            <w:r>
              <w:rPr>
                <w:sz w:val="20"/>
              </w:rPr>
              <w:t>0.00</w:t>
            </w:r>
          </w:p>
        </w:tc>
        <w:tc>
          <w:tcPr>
            <w:tcW w:w="823" w:type="dxa"/>
            <w:tcBorders>
              <w:top w:val="nil"/>
              <w:left w:val="nil"/>
              <w:bottom w:val="nil"/>
              <w:right w:val="nil"/>
            </w:tcBorders>
          </w:tcPr>
          <w:p>
            <w:pPr>
              <w:pStyle w:val="TableParagraph"/>
              <w:ind w:right="211"/>
              <w:rPr>
                <w:sz w:val="20"/>
              </w:rPr>
            </w:pPr>
            <w:r>
              <w:rPr>
                <w:sz w:val="20"/>
              </w:rPr>
              <w:t>0.00</w:t>
            </w:r>
          </w:p>
        </w:tc>
        <w:tc>
          <w:tcPr>
            <w:tcW w:w="823" w:type="dxa"/>
            <w:tcBorders>
              <w:top w:val="nil"/>
              <w:left w:val="nil"/>
              <w:bottom w:val="nil"/>
              <w:right w:val="nil"/>
            </w:tcBorders>
          </w:tcPr>
          <w:p>
            <w:pPr>
              <w:pStyle w:val="TableParagraph"/>
              <w:ind w:left="256"/>
              <w:jc w:val="left"/>
              <w:rPr>
                <w:sz w:val="20"/>
              </w:rPr>
            </w:pPr>
            <w:r>
              <w:rPr>
                <w:sz w:val="20"/>
              </w:rPr>
              <w:t>0.00</w:t>
            </w:r>
          </w:p>
        </w:tc>
        <w:tc>
          <w:tcPr>
            <w:tcW w:w="824" w:type="dxa"/>
            <w:tcBorders>
              <w:top w:val="nil"/>
              <w:left w:val="nil"/>
              <w:bottom w:val="nil"/>
              <w:right w:val="nil"/>
            </w:tcBorders>
          </w:tcPr>
          <w:p>
            <w:pPr>
              <w:pStyle w:val="TableParagraph"/>
              <w:ind w:left="254"/>
              <w:jc w:val="left"/>
              <w:rPr>
                <w:sz w:val="20"/>
              </w:rPr>
            </w:pPr>
            <w:r>
              <w:rPr>
                <w:sz w:val="20"/>
              </w:rPr>
              <w:t>0.00</w:t>
            </w:r>
          </w:p>
        </w:tc>
        <w:tc>
          <w:tcPr>
            <w:tcW w:w="824" w:type="dxa"/>
            <w:tcBorders>
              <w:top w:val="nil"/>
              <w:left w:val="nil"/>
              <w:bottom w:val="nil"/>
              <w:right w:val="nil"/>
            </w:tcBorders>
          </w:tcPr>
          <w:p>
            <w:pPr>
              <w:pStyle w:val="TableParagraph"/>
              <w:ind w:left="257"/>
              <w:jc w:val="left"/>
              <w:rPr>
                <w:sz w:val="20"/>
              </w:rPr>
            </w:pPr>
            <w:r>
              <w:rPr>
                <w:sz w:val="20"/>
              </w:rPr>
              <w:t>0.00</w:t>
            </w:r>
          </w:p>
        </w:tc>
        <w:tc>
          <w:tcPr>
            <w:tcW w:w="821" w:type="dxa"/>
            <w:tcBorders>
              <w:top w:val="nil"/>
              <w:left w:val="nil"/>
              <w:bottom w:val="nil"/>
              <w:right w:val="nil"/>
            </w:tcBorders>
          </w:tcPr>
          <w:p>
            <w:pPr>
              <w:pStyle w:val="TableParagraph"/>
              <w:ind w:left="254" w:right="84"/>
              <w:jc w:val="left"/>
              <w:rPr>
                <w:sz w:val="20"/>
              </w:rPr>
            </w:pPr>
            <w:r>
              <w:rPr>
                <w:sz w:val="20"/>
              </w:rPr>
              <w:t>0.00</w:t>
            </w:r>
          </w:p>
        </w:tc>
        <w:tc>
          <w:tcPr>
            <w:tcW w:w="763" w:type="dxa"/>
            <w:tcBorders>
              <w:top w:val="nil"/>
              <w:left w:val="nil"/>
              <w:bottom w:val="nil"/>
              <w:right w:val="nil"/>
            </w:tcBorders>
          </w:tcPr>
          <w:p>
            <w:pPr>
              <w:pStyle w:val="TableParagraph"/>
              <w:ind w:right="60"/>
              <w:rPr>
                <w:sz w:val="20"/>
              </w:rPr>
            </w:pPr>
            <w:r>
              <w:rPr>
                <w:sz w:val="20"/>
              </w:rPr>
              <w:t>0.00</w:t>
            </w:r>
          </w:p>
        </w:tc>
      </w:tr>
      <w:tr>
        <w:trPr>
          <w:trHeight w:val="298" w:hRule="exact"/>
        </w:trPr>
        <w:tc>
          <w:tcPr>
            <w:tcW w:w="1556" w:type="dxa"/>
            <w:tcBorders>
              <w:top w:val="nil"/>
              <w:left w:val="nil"/>
              <w:bottom w:val="nil"/>
              <w:right w:val="nil"/>
            </w:tcBorders>
          </w:tcPr>
          <w:p>
            <w:pPr>
              <w:pStyle w:val="TableParagraph"/>
              <w:ind w:left="86"/>
              <w:jc w:val="left"/>
              <w:rPr>
                <w:sz w:val="20"/>
              </w:rPr>
            </w:pPr>
            <w:r>
              <w:rPr>
                <w:sz w:val="20"/>
              </w:rPr>
              <w:t>TEJ_HlFdp</w:t>
            </w:r>
          </w:p>
        </w:tc>
        <w:tc>
          <w:tcPr>
            <w:tcW w:w="700" w:type="dxa"/>
            <w:tcBorders>
              <w:top w:val="nil"/>
              <w:left w:val="nil"/>
              <w:bottom w:val="nil"/>
              <w:right w:val="nil"/>
            </w:tcBorders>
          </w:tcPr>
          <w:p>
            <w:pPr>
              <w:pStyle w:val="TableParagraph"/>
              <w:ind w:left="200"/>
              <w:jc w:val="left"/>
              <w:rPr>
                <w:sz w:val="20"/>
              </w:rPr>
            </w:pPr>
            <w:r>
              <w:rPr>
                <w:sz w:val="20"/>
              </w:rPr>
              <w:t>0.00</w:t>
            </w:r>
          </w:p>
        </w:tc>
        <w:tc>
          <w:tcPr>
            <w:tcW w:w="711" w:type="dxa"/>
            <w:tcBorders>
              <w:top w:val="nil"/>
              <w:left w:val="nil"/>
              <w:bottom w:val="nil"/>
              <w:right w:val="nil"/>
            </w:tcBorders>
          </w:tcPr>
          <w:p>
            <w:pPr>
              <w:pStyle w:val="TableParagraph"/>
              <w:ind w:left="144"/>
              <w:jc w:val="left"/>
              <w:rPr>
                <w:sz w:val="20"/>
              </w:rPr>
            </w:pPr>
            <w:r>
              <w:rPr>
                <w:sz w:val="20"/>
              </w:rPr>
              <w:t>0.00</w:t>
            </w:r>
          </w:p>
        </w:tc>
        <w:tc>
          <w:tcPr>
            <w:tcW w:w="823" w:type="dxa"/>
            <w:tcBorders>
              <w:top w:val="nil"/>
              <w:left w:val="nil"/>
              <w:bottom w:val="nil"/>
              <w:right w:val="nil"/>
            </w:tcBorders>
          </w:tcPr>
          <w:p>
            <w:pPr>
              <w:pStyle w:val="TableParagraph"/>
              <w:ind w:left="254"/>
              <w:jc w:val="left"/>
              <w:rPr>
                <w:sz w:val="20"/>
              </w:rPr>
            </w:pPr>
            <w:r>
              <w:rPr>
                <w:sz w:val="20"/>
              </w:rPr>
              <w:t>0.00</w:t>
            </w:r>
          </w:p>
        </w:tc>
        <w:tc>
          <w:tcPr>
            <w:tcW w:w="824" w:type="dxa"/>
            <w:tcBorders>
              <w:top w:val="nil"/>
              <w:left w:val="nil"/>
              <w:bottom w:val="nil"/>
              <w:right w:val="nil"/>
            </w:tcBorders>
          </w:tcPr>
          <w:p>
            <w:pPr>
              <w:pStyle w:val="TableParagraph"/>
              <w:ind w:left="257"/>
              <w:jc w:val="left"/>
              <w:rPr>
                <w:sz w:val="20"/>
              </w:rPr>
            </w:pPr>
            <w:r>
              <w:rPr>
                <w:sz w:val="20"/>
              </w:rPr>
              <w:t>0.00</w:t>
            </w:r>
          </w:p>
        </w:tc>
        <w:tc>
          <w:tcPr>
            <w:tcW w:w="823" w:type="dxa"/>
            <w:tcBorders>
              <w:top w:val="nil"/>
              <w:left w:val="nil"/>
              <w:bottom w:val="nil"/>
              <w:right w:val="nil"/>
            </w:tcBorders>
          </w:tcPr>
          <w:p>
            <w:pPr>
              <w:pStyle w:val="TableParagraph"/>
              <w:ind w:right="211"/>
              <w:rPr>
                <w:sz w:val="20"/>
              </w:rPr>
            </w:pPr>
            <w:r>
              <w:rPr>
                <w:sz w:val="20"/>
              </w:rPr>
              <w:t>0.00</w:t>
            </w:r>
          </w:p>
        </w:tc>
        <w:tc>
          <w:tcPr>
            <w:tcW w:w="823" w:type="dxa"/>
            <w:tcBorders>
              <w:top w:val="nil"/>
              <w:left w:val="nil"/>
              <w:bottom w:val="nil"/>
              <w:right w:val="nil"/>
            </w:tcBorders>
          </w:tcPr>
          <w:p>
            <w:pPr>
              <w:pStyle w:val="TableParagraph"/>
              <w:ind w:left="256"/>
              <w:jc w:val="left"/>
              <w:rPr>
                <w:sz w:val="20"/>
              </w:rPr>
            </w:pPr>
            <w:r>
              <w:rPr>
                <w:sz w:val="20"/>
              </w:rPr>
              <w:t>0.00</w:t>
            </w:r>
          </w:p>
        </w:tc>
        <w:tc>
          <w:tcPr>
            <w:tcW w:w="824" w:type="dxa"/>
            <w:tcBorders>
              <w:top w:val="nil"/>
              <w:left w:val="nil"/>
              <w:bottom w:val="nil"/>
              <w:right w:val="nil"/>
            </w:tcBorders>
          </w:tcPr>
          <w:p>
            <w:pPr>
              <w:pStyle w:val="TableParagraph"/>
              <w:ind w:left="254"/>
              <w:jc w:val="left"/>
              <w:rPr>
                <w:sz w:val="20"/>
              </w:rPr>
            </w:pPr>
            <w:r>
              <w:rPr>
                <w:sz w:val="20"/>
              </w:rPr>
              <w:t>0.00</w:t>
            </w:r>
          </w:p>
        </w:tc>
        <w:tc>
          <w:tcPr>
            <w:tcW w:w="824" w:type="dxa"/>
            <w:tcBorders>
              <w:top w:val="nil"/>
              <w:left w:val="nil"/>
              <w:bottom w:val="nil"/>
              <w:right w:val="nil"/>
            </w:tcBorders>
          </w:tcPr>
          <w:p>
            <w:pPr>
              <w:pStyle w:val="TableParagraph"/>
              <w:ind w:left="257"/>
              <w:jc w:val="left"/>
              <w:rPr>
                <w:sz w:val="20"/>
              </w:rPr>
            </w:pPr>
            <w:r>
              <w:rPr>
                <w:sz w:val="20"/>
              </w:rPr>
              <w:t>0.00</w:t>
            </w:r>
          </w:p>
        </w:tc>
        <w:tc>
          <w:tcPr>
            <w:tcW w:w="821" w:type="dxa"/>
            <w:tcBorders>
              <w:top w:val="nil"/>
              <w:left w:val="nil"/>
              <w:bottom w:val="nil"/>
              <w:right w:val="nil"/>
            </w:tcBorders>
          </w:tcPr>
          <w:p>
            <w:pPr>
              <w:pStyle w:val="TableParagraph"/>
              <w:ind w:left="254" w:right="84"/>
              <w:jc w:val="left"/>
              <w:rPr>
                <w:sz w:val="20"/>
              </w:rPr>
            </w:pPr>
            <w:r>
              <w:rPr>
                <w:sz w:val="20"/>
              </w:rPr>
              <w:t>0.00</w:t>
            </w:r>
          </w:p>
        </w:tc>
        <w:tc>
          <w:tcPr>
            <w:tcW w:w="763" w:type="dxa"/>
            <w:tcBorders>
              <w:top w:val="nil"/>
              <w:left w:val="nil"/>
              <w:bottom w:val="nil"/>
              <w:right w:val="nil"/>
            </w:tcBorders>
          </w:tcPr>
          <w:p>
            <w:pPr>
              <w:pStyle w:val="TableParagraph"/>
              <w:ind w:right="60"/>
              <w:rPr>
                <w:sz w:val="20"/>
              </w:rPr>
            </w:pPr>
            <w:r>
              <w:rPr>
                <w:sz w:val="20"/>
              </w:rPr>
              <w:t>0.00</w:t>
            </w:r>
          </w:p>
        </w:tc>
      </w:tr>
      <w:tr>
        <w:trPr>
          <w:trHeight w:val="298" w:hRule="exact"/>
        </w:trPr>
        <w:tc>
          <w:tcPr>
            <w:tcW w:w="1556" w:type="dxa"/>
            <w:tcBorders>
              <w:top w:val="nil"/>
              <w:left w:val="nil"/>
              <w:bottom w:val="nil"/>
              <w:right w:val="nil"/>
            </w:tcBorders>
          </w:tcPr>
          <w:p>
            <w:pPr>
              <w:pStyle w:val="TableParagraph"/>
              <w:ind w:left="86"/>
              <w:jc w:val="left"/>
              <w:rPr>
                <w:sz w:val="20"/>
              </w:rPr>
            </w:pPr>
            <w:r>
              <w:rPr>
                <w:sz w:val="20"/>
              </w:rPr>
              <w:t>TEJ_HlFl</w:t>
            </w:r>
          </w:p>
        </w:tc>
        <w:tc>
          <w:tcPr>
            <w:tcW w:w="700" w:type="dxa"/>
            <w:tcBorders>
              <w:top w:val="nil"/>
              <w:left w:val="nil"/>
              <w:bottom w:val="nil"/>
              <w:right w:val="nil"/>
            </w:tcBorders>
          </w:tcPr>
          <w:p>
            <w:pPr>
              <w:pStyle w:val="TableParagraph"/>
              <w:ind w:left="200"/>
              <w:jc w:val="left"/>
              <w:rPr>
                <w:sz w:val="20"/>
              </w:rPr>
            </w:pPr>
            <w:r>
              <w:rPr>
                <w:sz w:val="20"/>
              </w:rPr>
              <w:t>0.00</w:t>
            </w:r>
          </w:p>
        </w:tc>
        <w:tc>
          <w:tcPr>
            <w:tcW w:w="711" w:type="dxa"/>
            <w:tcBorders>
              <w:top w:val="nil"/>
              <w:left w:val="nil"/>
              <w:bottom w:val="nil"/>
              <w:right w:val="nil"/>
            </w:tcBorders>
          </w:tcPr>
          <w:p>
            <w:pPr>
              <w:pStyle w:val="TableParagraph"/>
              <w:ind w:left="144"/>
              <w:jc w:val="left"/>
              <w:rPr>
                <w:sz w:val="20"/>
              </w:rPr>
            </w:pPr>
            <w:r>
              <w:rPr>
                <w:sz w:val="20"/>
              </w:rPr>
              <w:t>0.00</w:t>
            </w:r>
          </w:p>
        </w:tc>
        <w:tc>
          <w:tcPr>
            <w:tcW w:w="823" w:type="dxa"/>
            <w:tcBorders>
              <w:top w:val="nil"/>
              <w:left w:val="nil"/>
              <w:bottom w:val="nil"/>
              <w:right w:val="nil"/>
            </w:tcBorders>
          </w:tcPr>
          <w:p>
            <w:pPr>
              <w:pStyle w:val="TableParagraph"/>
              <w:ind w:left="254"/>
              <w:jc w:val="left"/>
              <w:rPr>
                <w:sz w:val="20"/>
              </w:rPr>
            </w:pPr>
            <w:r>
              <w:rPr>
                <w:sz w:val="20"/>
              </w:rPr>
              <w:t>0.00</w:t>
            </w:r>
          </w:p>
        </w:tc>
        <w:tc>
          <w:tcPr>
            <w:tcW w:w="824" w:type="dxa"/>
            <w:tcBorders>
              <w:top w:val="nil"/>
              <w:left w:val="nil"/>
              <w:bottom w:val="nil"/>
              <w:right w:val="nil"/>
            </w:tcBorders>
          </w:tcPr>
          <w:p>
            <w:pPr>
              <w:pStyle w:val="TableParagraph"/>
              <w:ind w:left="257"/>
              <w:jc w:val="left"/>
              <w:rPr>
                <w:sz w:val="20"/>
              </w:rPr>
            </w:pPr>
            <w:r>
              <w:rPr>
                <w:sz w:val="20"/>
              </w:rPr>
              <w:t>0.00</w:t>
            </w:r>
          </w:p>
        </w:tc>
        <w:tc>
          <w:tcPr>
            <w:tcW w:w="823" w:type="dxa"/>
            <w:tcBorders>
              <w:top w:val="nil"/>
              <w:left w:val="nil"/>
              <w:bottom w:val="nil"/>
              <w:right w:val="nil"/>
            </w:tcBorders>
          </w:tcPr>
          <w:p>
            <w:pPr>
              <w:pStyle w:val="TableParagraph"/>
              <w:ind w:right="211"/>
              <w:rPr>
                <w:sz w:val="20"/>
              </w:rPr>
            </w:pPr>
            <w:r>
              <w:rPr>
                <w:sz w:val="20"/>
              </w:rPr>
              <w:t>0.00</w:t>
            </w:r>
          </w:p>
        </w:tc>
        <w:tc>
          <w:tcPr>
            <w:tcW w:w="823" w:type="dxa"/>
            <w:tcBorders>
              <w:top w:val="nil"/>
              <w:left w:val="nil"/>
              <w:bottom w:val="nil"/>
              <w:right w:val="nil"/>
            </w:tcBorders>
          </w:tcPr>
          <w:p>
            <w:pPr>
              <w:pStyle w:val="TableParagraph"/>
              <w:ind w:left="256"/>
              <w:jc w:val="left"/>
              <w:rPr>
                <w:sz w:val="20"/>
              </w:rPr>
            </w:pPr>
            <w:r>
              <w:rPr>
                <w:sz w:val="20"/>
              </w:rPr>
              <w:t>0.00</w:t>
            </w:r>
          </w:p>
        </w:tc>
        <w:tc>
          <w:tcPr>
            <w:tcW w:w="824" w:type="dxa"/>
            <w:tcBorders>
              <w:top w:val="nil"/>
              <w:left w:val="nil"/>
              <w:bottom w:val="nil"/>
              <w:right w:val="nil"/>
            </w:tcBorders>
          </w:tcPr>
          <w:p>
            <w:pPr>
              <w:pStyle w:val="TableParagraph"/>
              <w:ind w:left="254"/>
              <w:jc w:val="left"/>
              <w:rPr>
                <w:sz w:val="20"/>
              </w:rPr>
            </w:pPr>
            <w:r>
              <w:rPr>
                <w:sz w:val="20"/>
              </w:rPr>
              <w:t>0.00</w:t>
            </w:r>
          </w:p>
        </w:tc>
        <w:tc>
          <w:tcPr>
            <w:tcW w:w="824" w:type="dxa"/>
            <w:tcBorders>
              <w:top w:val="nil"/>
              <w:left w:val="nil"/>
              <w:bottom w:val="nil"/>
              <w:right w:val="nil"/>
            </w:tcBorders>
          </w:tcPr>
          <w:p>
            <w:pPr>
              <w:pStyle w:val="TableParagraph"/>
              <w:ind w:left="257"/>
              <w:jc w:val="left"/>
              <w:rPr>
                <w:sz w:val="20"/>
              </w:rPr>
            </w:pPr>
            <w:r>
              <w:rPr>
                <w:sz w:val="20"/>
              </w:rPr>
              <w:t>0.00</w:t>
            </w:r>
          </w:p>
        </w:tc>
        <w:tc>
          <w:tcPr>
            <w:tcW w:w="821" w:type="dxa"/>
            <w:tcBorders>
              <w:top w:val="nil"/>
              <w:left w:val="nil"/>
              <w:bottom w:val="nil"/>
              <w:right w:val="nil"/>
            </w:tcBorders>
          </w:tcPr>
          <w:p>
            <w:pPr>
              <w:pStyle w:val="TableParagraph"/>
              <w:ind w:left="254" w:right="84"/>
              <w:jc w:val="left"/>
              <w:rPr>
                <w:sz w:val="20"/>
              </w:rPr>
            </w:pPr>
            <w:r>
              <w:rPr>
                <w:sz w:val="20"/>
              </w:rPr>
              <w:t>0.00</w:t>
            </w:r>
          </w:p>
        </w:tc>
        <w:tc>
          <w:tcPr>
            <w:tcW w:w="763" w:type="dxa"/>
            <w:tcBorders>
              <w:top w:val="nil"/>
              <w:left w:val="nil"/>
              <w:bottom w:val="nil"/>
              <w:right w:val="nil"/>
            </w:tcBorders>
          </w:tcPr>
          <w:p>
            <w:pPr>
              <w:pStyle w:val="TableParagraph"/>
              <w:ind w:right="60"/>
              <w:rPr>
                <w:sz w:val="20"/>
              </w:rPr>
            </w:pPr>
            <w:r>
              <w:rPr>
                <w:sz w:val="20"/>
              </w:rPr>
              <w:t>0.00</w:t>
            </w:r>
          </w:p>
        </w:tc>
      </w:tr>
      <w:tr>
        <w:trPr>
          <w:trHeight w:val="300" w:hRule="exact"/>
        </w:trPr>
        <w:tc>
          <w:tcPr>
            <w:tcW w:w="1556" w:type="dxa"/>
            <w:tcBorders>
              <w:top w:val="nil"/>
              <w:left w:val="nil"/>
              <w:bottom w:val="nil"/>
              <w:right w:val="nil"/>
            </w:tcBorders>
          </w:tcPr>
          <w:p>
            <w:pPr>
              <w:pStyle w:val="TableParagraph"/>
              <w:ind w:left="86"/>
              <w:jc w:val="left"/>
              <w:rPr>
                <w:sz w:val="20"/>
              </w:rPr>
            </w:pPr>
            <w:r>
              <w:rPr>
                <w:sz w:val="20"/>
              </w:rPr>
              <w:t>TEJ_HlFlp</w:t>
            </w:r>
          </w:p>
        </w:tc>
        <w:tc>
          <w:tcPr>
            <w:tcW w:w="700" w:type="dxa"/>
            <w:tcBorders>
              <w:top w:val="nil"/>
              <w:left w:val="nil"/>
              <w:bottom w:val="nil"/>
              <w:right w:val="nil"/>
            </w:tcBorders>
          </w:tcPr>
          <w:p>
            <w:pPr>
              <w:pStyle w:val="TableParagraph"/>
              <w:ind w:left="200"/>
              <w:jc w:val="left"/>
              <w:rPr>
                <w:sz w:val="20"/>
              </w:rPr>
            </w:pPr>
            <w:r>
              <w:rPr>
                <w:sz w:val="20"/>
              </w:rPr>
              <w:t>0.00</w:t>
            </w:r>
          </w:p>
        </w:tc>
        <w:tc>
          <w:tcPr>
            <w:tcW w:w="711" w:type="dxa"/>
            <w:tcBorders>
              <w:top w:val="nil"/>
              <w:left w:val="nil"/>
              <w:bottom w:val="nil"/>
              <w:right w:val="nil"/>
            </w:tcBorders>
          </w:tcPr>
          <w:p>
            <w:pPr>
              <w:pStyle w:val="TableParagraph"/>
              <w:ind w:left="144"/>
              <w:jc w:val="left"/>
              <w:rPr>
                <w:sz w:val="20"/>
              </w:rPr>
            </w:pPr>
            <w:r>
              <w:rPr>
                <w:sz w:val="20"/>
              </w:rPr>
              <w:t>0.00</w:t>
            </w:r>
          </w:p>
        </w:tc>
        <w:tc>
          <w:tcPr>
            <w:tcW w:w="823" w:type="dxa"/>
            <w:tcBorders>
              <w:top w:val="nil"/>
              <w:left w:val="nil"/>
              <w:bottom w:val="nil"/>
              <w:right w:val="nil"/>
            </w:tcBorders>
          </w:tcPr>
          <w:p>
            <w:pPr>
              <w:pStyle w:val="TableParagraph"/>
              <w:ind w:left="254"/>
              <w:jc w:val="left"/>
              <w:rPr>
                <w:sz w:val="20"/>
              </w:rPr>
            </w:pPr>
            <w:r>
              <w:rPr>
                <w:sz w:val="20"/>
              </w:rPr>
              <w:t>0.00</w:t>
            </w:r>
          </w:p>
        </w:tc>
        <w:tc>
          <w:tcPr>
            <w:tcW w:w="824" w:type="dxa"/>
            <w:tcBorders>
              <w:top w:val="nil"/>
              <w:left w:val="nil"/>
              <w:bottom w:val="nil"/>
              <w:right w:val="nil"/>
            </w:tcBorders>
          </w:tcPr>
          <w:p>
            <w:pPr>
              <w:pStyle w:val="TableParagraph"/>
              <w:ind w:left="257"/>
              <w:jc w:val="left"/>
              <w:rPr>
                <w:sz w:val="20"/>
              </w:rPr>
            </w:pPr>
            <w:r>
              <w:rPr>
                <w:sz w:val="20"/>
              </w:rPr>
              <w:t>0.00</w:t>
            </w:r>
          </w:p>
        </w:tc>
        <w:tc>
          <w:tcPr>
            <w:tcW w:w="823" w:type="dxa"/>
            <w:tcBorders>
              <w:top w:val="nil"/>
              <w:left w:val="nil"/>
              <w:bottom w:val="nil"/>
              <w:right w:val="nil"/>
            </w:tcBorders>
          </w:tcPr>
          <w:p>
            <w:pPr>
              <w:pStyle w:val="TableParagraph"/>
              <w:ind w:right="211"/>
              <w:rPr>
                <w:sz w:val="20"/>
              </w:rPr>
            </w:pPr>
            <w:r>
              <w:rPr>
                <w:sz w:val="20"/>
              </w:rPr>
              <w:t>0.00</w:t>
            </w:r>
          </w:p>
        </w:tc>
        <w:tc>
          <w:tcPr>
            <w:tcW w:w="823" w:type="dxa"/>
            <w:tcBorders>
              <w:top w:val="nil"/>
              <w:left w:val="nil"/>
              <w:bottom w:val="nil"/>
              <w:right w:val="nil"/>
            </w:tcBorders>
          </w:tcPr>
          <w:p>
            <w:pPr>
              <w:pStyle w:val="TableParagraph"/>
              <w:ind w:left="256"/>
              <w:jc w:val="left"/>
              <w:rPr>
                <w:sz w:val="20"/>
              </w:rPr>
            </w:pPr>
            <w:r>
              <w:rPr>
                <w:sz w:val="20"/>
              </w:rPr>
              <w:t>0.00</w:t>
            </w:r>
          </w:p>
        </w:tc>
        <w:tc>
          <w:tcPr>
            <w:tcW w:w="824" w:type="dxa"/>
            <w:tcBorders>
              <w:top w:val="nil"/>
              <w:left w:val="nil"/>
              <w:bottom w:val="nil"/>
              <w:right w:val="nil"/>
            </w:tcBorders>
          </w:tcPr>
          <w:p>
            <w:pPr>
              <w:pStyle w:val="TableParagraph"/>
              <w:ind w:left="254"/>
              <w:jc w:val="left"/>
              <w:rPr>
                <w:sz w:val="20"/>
              </w:rPr>
            </w:pPr>
            <w:r>
              <w:rPr>
                <w:sz w:val="20"/>
              </w:rPr>
              <w:t>0.00</w:t>
            </w:r>
          </w:p>
        </w:tc>
        <w:tc>
          <w:tcPr>
            <w:tcW w:w="824" w:type="dxa"/>
            <w:tcBorders>
              <w:top w:val="nil"/>
              <w:left w:val="nil"/>
              <w:bottom w:val="nil"/>
              <w:right w:val="nil"/>
            </w:tcBorders>
          </w:tcPr>
          <w:p>
            <w:pPr>
              <w:pStyle w:val="TableParagraph"/>
              <w:ind w:left="257"/>
              <w:jc w:val="left"/>
              <w:rPr>
                <w:sz w:val="20"/>
              </w:rPr>
            </w:pPr>
            <w:r>
              <w:rPr>
                <w:sz w:val="20"/>
              </w:rPr>
              <w:t>0.00</w:t>
            </w:r>
          </w:p>
        </w:tc>
        <w:tc>
          <w:tcPr>
            <w:tcW w:w="821" w:type="dxa"/>
            <w:tcBorders>
              <w:top w:val="nil"/>
              <w:left w:val="nil"/>
              <w:bottom w:val="nil"/>
              <w:right w:val="nil"/>
            </w:tcBorders>
          </w:tcPr>
          <w:p>
            <w:pPr>
              <w:pStyle w:val="TableParagraph"/>
              <w:ind w:left="254" w:right="84"/>
              <w:jc w:val="left"/>
              <w:rPr>
                <w:sz w:val="20"/>
              </w:rPr>
            </w:pPr>
            <w:r>
              <w:rPr>
                <w:sz w:val="20"/>
              </w:rPr>
              <w:t>0.00</w:t>
            </w:r>
          </w:p>
        </w:tc>
        <w:tc>
          <w:tcPr>
            <w:tcW w:w="763" w:type="dxa"/>
            <w:tcBorders>
              <w:top w:val="nil"/>
              <w:left w:val="nil"/>
              <w:bottom w:val="nil"/>
              <w:right w:val="nil"/>
            </w:tcBorders>
          </w:tcPr>
          <w:p>
            <w:pPr>
              <w:pStyle w:val="TableParagraph"/>
              <w:ind w:right="60"/>
              <w:rPr>
                <w:sz w:val="20"/>
              </w:rPr>
            </w:pPr>
            <w:r>
              <w:rPr>
                <w:sz w:val="20"/>
              </w:rPr>
              <w:t>0.00</w:t>
            </w:r>
          </w:p>
        </w:tc>
      </w:tr>
      <w:tr>
        <w:trPr>
          <w:trHeight w:val="300" w:hRule="exact"/>
        </w:trPr>
        <w:tc>
          <w:tcPr>
            <w:tcW w:w="1556" w:type="dxa"/>
            <w:tcBorders>
              <w:top w:val="nil"/>
              <w:left w:val="nil"/>
              <w:bottom w:val="nil"/>
              <w:right w:val="nil"/>
            </w:tcBorders>
          </w:tcPr>
          <w:p>
            <w:pPr>
              <w:pStyle w:val="TableParagraph"/>
              <w:spacing w:before="26"/>
              <w:ind w:left="86"/>
              <w:jc w:val="left"/>
              <w:rPr>
                <w:sz w:val="20"/>
              </w:rPr>
            </w:pPr>
            <w:r>
              <w:rPr>
                <w:sz w:val="20"/>
              </w:rPr>
              <w:t>TEJ_HlFp</w:t>
            </w:r>
          </w:p>
        </w:tc>
        <w:tc>
          <w:tcPr>
            <w:tcW w:w="700" w:type="dxa"/>
            <w:tcBorders>
              <w:top w:val="nil"/>
              <w:left w:val="nil"/>
              <w:bottom w:val="nil"/>
              <w:right w:val="nil"/>
            </w:tcBorders>
          </w:tcPr>
          <w:p>
            <w:pPr>
              <w:pStyle w:val="TableParagraph"/>
              <w:spacing w:before="26"/>
              <w:ind w:left="200"/>
              <w:jc w:val="left"/>
              <w:rPr>
                <w:sz w:val="20"/>
              </w:rPr>
            </w:pPr>
            <w:r>
              <w:rPr>
                <w:sz w:val="20"/>
              </w:rPr>
              <w:t>0.00</w:t>
            </w:r>
          </w:p>
        </w:tc>
        <w:tc>
          <w:tcPr>
            <w:tcW w:w="711" w:type="dxa"/>
            <w:tcBorders>
              <w:top w:val="nil"/>
              <w:left w:val="nil"/>
              <w:bottom w:val="nil"/>
              <w:right w:val="nil"/>
            </w:tcBorders>
          </w:tcPr>
          <w:p>
            <w:pPr>
              <w:pStyle w:val="TableParagraph"/>
              <w:spacing w:before="26"/>
              <w:ind w:left="144"/>
              <w:jc w:val="left"/>
              <w:rPr>
                <w:sz w:val="20"/>
              </w:rPr>
            </w:pPr>
            <w:r>
              <w:rPr>
                <w:sz w:val="20"/>
              </w:rPr>
              <w:t>0.00</w:t>
            </w:r>
          </w:p>
        </w:tc>
        <w:tc>
          <w:tcPr>
            <w:tcW w:w="823" w:type="dxa"/>
            <w:tcBorders>
              <w:top w:val="nil"/>
              <w:left w:val="nil"/>
              <w:bottom w:val="nil"/>
              <w:right w:val="nil"/>
            </w:tcBorders>
          </w:tcPr>
          <w:p>
            <w:pPr>
              <w:pStyle w:val="TableParagraph"/>
              <w:spacing w:before="26"/>
              <w:ind w:left="254"/>
              <w:jc w:val="left"/>
              <w:rPr>
                <w:sz w:val="20"/>
              </w:rPr>
            </w:pPr>
            <w:r>
              <w:rPr>
                <w:sz w:val="20"/>
              </w:rPr>
              <w:t>0.00</w:t>
            </w:r>
          </w:p>
        </w:tc>
        <w:tc>
          <w:tcPr>
            <w:tcW w:w="824" w:type="dxa"/>
            <w:tcBorders>
              <w:top w:val="nil"/>
              <w:left w:val="nil"/>
              <w:bottom w:val="nil"/>
              <w:right w:val="nil"/>
            </w:tcBorders>
          </w:tcPr>
          <w:p>
            <w:pPr>
              <w:pStyle w:val="TableParagraph"/>
              <w:spacing w:before="26"/>
              <w:ind w:left="257"/>
              <w:jc w:val="left"/>
              <w:rPr>
                <w:sz w:val="20"/>
              </w:rPr>
            </w:pPr>
            <w:r>
              <w:rPr>
                <w:sz w:val="20"/>
              </w:rPr>
              <w:t>0.00</w:t>
            </w:r>
          </w:p>
        </w:tc>
        <w:tc>
          <w:tcPr>
            <w:tcW w:w="823" w:type="dxa"/>
            <w:tcBorders>
              <w:top w:val="nil"/>
              <w:left w:val="nil"/>
              <w:bottom w:val="nil"/>
              <w:right w:val="nil"/>
            </w:tcBorders>
          </w:tcPr>
          <w:p>
            <w:pPr>
              <w:pStyle w:val="TableParagraph"/>
              <w:spacing w:before="26"/>
              <w:ind w:right="211"/>
              <w:rPr>
                <w:sz w:val="20"/>
              </w:rPr>
            </w:pPr>
            <w:r>
              <w:rPr>
                <w:sz w:val="20"/>
              </w:rPr>
              <w:t>0.00</w:t>
            </w:r>
          </w:p>
        </w:tc>
        <w:tc>
          <w:tcPr>
            <w:tcW w:w="823" w:type="dxa"/>
            <w:tcBorders>
              <w:top w:val="nil"/>
              <w:left w:val="nil"/>
              <w:bottom w:val="nil"/>
              <w:right w:val="nil"/>
            </w:tcBorders>
          </w:tcPr>
          <w:p>
            <w:pPr>
              <w:pStyle w:val="TableParagraph"/>
              <w:spacing w:before="26"/>
              <w:ind w:left="256"/>
              <w:jc w:val="left"/>
              <w:rPr>
                <w:sz w:val="20"/>
              </w:rPr>
            </w:pPr>
            <w:r>
              <w:rPr>
                <w:sz w:val="20"/>
              </w:rPr>
              <w:t>0.00</w:t>
            </w:r>
          </w:p>
        </w:tc>
        <w:tc>
          <w:tcPr>
            <w:tcW w:w="824" w:type="dxa"/>
            <w:tcBorders>
              <w:top w:val="nil"/>
              <w:left w:val="nil"/>
              <w:bottom w:val="nil"/>
              <w:right w:val="nil"/>
            </w:tcBorders>
          </w:tcPr>
          <w:p>
            <w:pPr>
              <w:pStyle w:val="TableParagraph"/>
              <w:spacing w:before="26"/>
              <w:ind w:left="254"/>
              <w:jc w:val="left"/>
              <w:rPr>
                <w:sz w:val="20"/>
              </w:rPr>
            </w:pPr>
            <w:r>
              <w:rPr>
                <w:sz w:val="20"/>
              </w:rPr>
              <w:t>0.00</w:t>
            </w:r>
          </w:p>
        </w:tc>
        <w:tc>
          <w:tcPr>
            <w:tcW w:w="824" w:type="dxa"/>
            <w:tcBorders>
              <w:top w:val="nil"/>
              <w:left w:val="nil"/>
              <w:bottom w:val="nil"/>
              <w:right w:val="nil"/>
            </w:tcBorders>
          </w:tcPr>
          <w:p>
            <w:pPr>
              <w:pStyle w:val="TableParagraph"/>
              <w:spacing w:before="26"/>
              <w:ind w:left="257"/>
              <w:jc w:val="left"/>
              <w:rPr>
                <w:sz w:val="20"/>
              </w:rPr>
            </w:pPr>
            <w:r>
              <w:rPr>
                <w:sz w:val="20"/>
              </w:rPr>
              <w:t>0.00</w:t>
            </w:r>
          </w:p>
        </w:tc>
        <w:tc>
          <w:tcPr>
            <w:tcW w:w="821" w:type="dxa"/>
            <w:tcBorders>
              <w:top w:val="nil"/>
              <w:left w:val="nil"/>
              <w:bottom w:val="nil"/>
              <w:right w:val="nil"/>
            </w:tcBorders>
          </w:tcPr>
          <w:p>
            <w:pPr>
              <w:pStyle w:val="TableParagraph"/>
              <w:spacing w:before="26"/>
              <w:ind w:left="254" w:right="84"/>
              <w:jc w:val="left"/>
              <w:rPr>
                <w:sz w:val="20"/>
              </w:rPr>
            </w:pPr>
            <w:r>
              <w:rPr>
                <w:sz w:val="20"/>
              </w:rPr>
              <w:t>0.00</w:t>
            </w:r>
          </w:p>
        </w:tc>
        <w:tc>
          <w:tcPr>
            <w:tcW w:w="763" w:type="dxa"/>
            <w:tcBorders>
              <w:top w:val="nil"/>
              <w:left w:val="nil"/>
              <w:bottom w:val="nil"/>
              <w:right w:val="nil"/>
            </w:tcBorders>
          </w:tcPr>
          <w:p>
            <w:pPr>
              <w:pStyle w:val="TableParagraph"/>
              <w:spacing w:before="26"/>
              <w:ind w:right="60"/>
              <w:rPr>
                <w:sz w:val="20"/>
              </w:rPr>
            </w:pPr>
            <w:r>
              <w:rPr>
                <w:sz w:val="20"/>
              </w:rPr>
              <w:t>0.00</w:t>
            </w:r>
          </w:p>
        </w:tc>
      </w:tr>
      <w:tr>
        <w:trPr>
          <w:trHeight w:val="298" w:hRule="exact"/>
        </w:trPr>
        <w:tc>
          <w:tcPr>
            <w:tcW w:w="1556" w:type="dxa"/>
            <w:tcBorders>
              <w:top w:val="nil"/>
              <w:left w:val="nil"/>
              <w:bottom w:val="nil"/>
              <w:right w:val="nil"/>
            </w:tcBorders>
          </w:tcPr>
          <w:p>
            <w:pPr>
              <w:pStyle w:val="TableParagraph"/>
              <w:ind w:left="86"/>
              <w:jc w:val="left"/>
              <w:rPr>
                <w:sz w:val="20"/>
              </w:rPr>
            </w:pPr>
            <w:r>
              <w:rPr>
                <w:sz w:val="20"/>
              </w:rPr>
              <w:t>TEJ_HlSF</w:t>
            </w:r>
          </w:p>
        </w:tc>
        <w:tc>
          <w:tcPr>
            <w:tcW w:w="700" w:type="dxa"/>
            <w:tcBorders>
              <w:top w:val="nil"/>
              <w:left w:val="nil"/>
              <w:bottom w:val="nil"/>
              <w:right w:val="nil"/>
            </w:tcBorders>
          </w:tcPr>
          <w:p>
            <w:pPr>
              <w:pStyle w:val="TableParagraph"/>
              <w:ind w:left="200"/>
              <w:jc w:val="left"/>
              <w:rPr>
                <w:sz w:val="20"/>
              </w:rPr>
            </w:pPr>
            <w:r>
              <w:rPr>
                <w:sz w:val="20"/>
              </w:rPr>
              <w:t>0.00</w:t>
            </w:r>
          </w:p>
        </w:tc>
        <w:tc>
          <w:tcPr>
            <w:tcW w:w="711" w:type="dxa"/>
            <w:tcBorders>
              <w:top w:val="nil"/>
              <w:left w:val="nil"/>
              <w:bottom w:val="nil"/>
              <w:right w:val="nil"/>
            </w:tcBorders>
          </w:tcPr>
          <w:p>
            <w:pPr>
              <w:pStyle w:val="TableParagraph"/>
              <w:ind w:left="144"/>
              <w:jc w:val="left"/>
              <w:rPr>
                <w:sz w:val="20"/>
              </w:rPr>
            </w:pPr>
            <w:r>
              <w:rPr>
                <w:sz w:val="20"/>
              </w:rPr>
              <w:t>0.00</w:t>
            </w:r>
          </w:p>
        </w:tc>
        <w:tc>
          <w:tcPr>
            <w:tcW w:w="823" w:type="dxa"/>
            <w:tcBorders>
              <w:top w:val="nil"/>
              <w:left w:val="nil"/>
              <w:bottom w:val="nil"/>
              <w:right w:val="nil"/>
            </w:tcBorders>
          </w:tcPr>
          <w:p>
            <w:pPr>
              <w:pStyle w:val="TableParagraph"/>
              <w:ind w:left="254"/>
              <w:jc w:val="left"/>
              <w:rPr>
                <w:sz w:val="20"/>
              </w:rPr>
            </w:pPr>
            <w:r>
              <w:rPr>
                <w:sz w:val="20"/>
              </w:rPr>
              <w:t>0.00</w:t>
            </w:r>
          </w:p>
        </w:tc>
        <w:tc>
          <w:tcPr>
            <w:tcW w:w="824" w:type="dxa"/>
            <w:tcBorders>
              <w:top w:val="nil"/>
              <w:left w:val="nil"/>
              <w:bottom w:val="nil"/>
              <w:right w:val="nil"/>
            </w:tcBorders>
          </w:tcPr>
          <w:p>
            <w:pPr>
              <w:pStyle w:val="TableParagraph"/>
              <w:ind w:left="257"/>
              <w:jc w:val="left"/>
              <w:rPr>
                <w:sz w:val="20"/>
              </w:rPr>
            </w:pPr>
            <w:r>
              <w:rPr>
                <w:sz w:val="20"/>
              </w:rPr>
              <w:t>0.00</w:t>
            </w:r>
          </w:p>
        </w:tc>
        <w:tc>
          <w:tcPr>
            <w:tcW w:w="823" w:type="dxa"/>
            <w:tcBorders>
              <w:top w:val="nil"/>
              <w:left w:val="nil"/>
              <w:bottom w:val="nil"/>
              <w:right w:val="nil"/>
            </w:tcBorders>
          </w:tcPr>
          <w:p>
            <w:pPr>
              <w:pStyle w:val="TableParagraph"/>
              <w:ind w:right="211"/>
              <w:rPr>
                <w:sz w:val="20"/>
              </w:rPr>
            </w:pPr>
            <w:r>
              <w:rPr>
                <w:sz w:val="20"/>
              </w:rPr>
              <w:t>0.00</w:t>
            </w:r>
          </w:p>
        </w:tc>
        <w:tc>
          <w:tcPr>
            <w:tcW w:w="823" w:type="dxa"/>
            <w:tcBorders>
              <w:top w:val="nil"/>
              <w:left w:val="nil"/>
              <w:bottom w:val="nil"/>
              <w:right w:val="nil"/>
            </w:tcBorders>
          </w:tcPr>
          <w:p>
            <w:pPr>
              <w:pStyle w:val="TableParagraph"/>
              <w:ind w:left="256"/>
              <w:jc w:val="left"/>
              <w:rPr>
                <w:sz w:val="20"/>
              </w:rPr>
            </w:pPr>
            <w:r>
              <w:rPr>
                <w:sz w:val="20"/>
              </w:rPr>
              <w:t>0.00</w:t>
            </w:r>
          </w:p>
        </w:tc>
        <w:tc>
          <w:tcPr>
            <w:tcW w:w="824" w:type="dxa"/>
            <w:tcBorders>
              <w:top w:val="nil"/>
              <w:left w:val="nil"/>
              <w:bottom w:val="nil"/>
              <w:right w:val="nil"/>
            </w:tcBorders>
          </w:tcPr>
          <w:p>
            <w:pPr>
              <w:pStyle w:val="TableParagraph"/>
              <w:ind w:left="254"/>
              <w:jc w:val="left"/>
              <w:rPr>
                <w:sz w:val="20"/>
              </w:rPr>
            </w:pPr>
            <w:r>
              <w:rPr>
                <w:sz w:val="20"/>
              </w:rPr>
              <w:t>0.00</w:t>
            </w:r>
          </w:p>
        </w:tc>
        <w:tc>
          <w:tcPr>
            <w:tcW w:w="824" w:type="dxa"/>
            <w:tcBorders>
              <w:top w:val="nil"/>
              <w:left w:val="nil"/>
              <w:bottom w:val="nil"/>
              <w:right w:val="nil"/>
            </w:tcBorders>
          </w:tcPr>
          <w:p>
            <w:pPr>
              <w:pStyle w:val="TableParagraph"/>
              <w:ind w:left="257"/>
              <w:jc w:val="left"/>
              <w:rPr>
                <w:sz w:val="20"/>
              </w:rPr>
            </w:pPr>
            <w:r>
              <w:rPr>
                <w:sz w:val="20"/>
              </w:rPr>
              <w:t>0.00</w:t>
            </w:r>
          </w:p>
        </w:tc>
        <w:tc>
          <w:tcPr>
            <w:tcW w:w="821" w:type="dxa"/>
            <w:tcBorders>
              <w:top w:val="nil"/>
              <w:left w:val="nil"/>
              <w:bottom w:val="nil"/>
              <w:right w:val="nil"/>
            </w:tcBorders>
          </w:tcPr>
          <w:p>
            <w:pPr>
              <w:pStyle w:val="TableParagraph"/>
              <w:ind w:left="254" w:right="84"/>
              <w:jc w:val="left"/>
              <w:rPr>
                <w:sz w:val="20"/>
              </w:rPr>
            </w:pPr>
            <w:r>
              <w:rPr>
                <w:sz w:val="20"/>
              </w:rPr>
              <w:t>0.00</w:t>
            </w:r>
          </w:p>
        </w:tc>
        <w:tc>
          <w:tcPr>
            <w:tcW w:w="763" w:type="dxa"/>
            <w:tcBorders>
              <w:top w:val="nil"/>
              <w:left w:val="nil"/>
              <w:bottom w:val="nil"/>
              <w:right w:val="nil"/>
            </w:tcBorders>
          </w:tcPr>
          <w:p>
            <w:pPr>
              <w:pStyle w:val="TableParagraph"/>
              <w:ind w:right="60"/>
              <w:rPr>
                <w:sz w:val="20"/>
              </w:rPr>
            </w:pPr>
            <w:r>
              <w:rPr>
                <w:sz w:val="20"/>
              </w:rPr>
              <w:t>0.00</w:t>
            </w:r>
          </w:p>
        </w:tc>
      </w:tr>
      <w:tr>
        <w:trPr>
          <w:trHeight w:val="268" w:hRule="exact"/>
        </w:trPr>
        <w:tc>
          <w:tcPr>
            <w:tcW w:w="1556" w:type="dxa"/>
            <w:tcBorders>
              <w:top w:val="nil"/>
              <w:left w:val="nil"/>
              <w:right w:val="nil"/>
            </w:tcBorders>
          </w:tcPr>
          <w:p>
            <w:pPr>
              <w:pStyle w:val="TableParagraph"/>
              <w:ind w:left="86"/>
              <w:jc w:val="left"/>
              <w:rPr>
                <w:sz w:val="20"/>
              </w:rPr>
            </w:pPr>
            <w:r>
              <w:rPr>
                <w:sz w:val="20"/>
              </w:rPr>
              <w:t>TEJ_ISF</w:t>
            </w:r>
          </w:p>
        </w:tc>
        <w:tc>
          <w:tcPr>
            <w:tcW w:w="700" w:type="dxa"/>
            <w:tcBorders>
              <w:top w:val="nil"/>
              <w:left w:val="nil"/>
              <w:right w:val="nil"/>
            </w:tcBorders>
          </w:tcPr>
          <w:p>
            <w:pPr>
              <w:pStyle w:val="TableParagraph"/>
              <w:ind w:left="200"/>
              <w:jc w:val="left"/>
              <w:rPr>
                <w:sz w:val="20"/>
              </w:rPr>
            </w:pPr>
            <w:r>
              <w:rPr>
                <w:sz w:val="20"/>
              </w:rPr>
              <w:t>0.00</w:t>
            </w:r>
          </w:p>
        </w:tc>
        <w:tc>
          <w:tcPr>
            <w:tcW w:w="711" w:type="dxa"/>
            <w:tcBorders>
              <w:top w:val="nil"/>
              <w:left w:val="nil"/>
              <w:right w:val="nil"/>
            </w:tcBorders>
          </w:tcPr>
          <w:p>
            <w:pPr>
              <w:pStyle w:val="TableParagraph"/>
              <w:ind w:left="144"/>
              <w:jc w:val="left"/>
              <w:rPr>
                <w:sz w:val="20"/>
              </w:rPr>
            </w:pPr>
            <w:r>
              <w:rPr>
                <w:sz w:val="20"/>
              </w:rPr>
              <w:t>0.00</w:t>
            </w:r>
          </w:p>
        </w:tc>
        <w:tc>
          <w:tcPr>
            <w:tcW w:w="823" w:type="dxa"/>
            <w:tcBorders>
              <w:top w:val="nil"/>
              <w:left w:val="nil"/>
              <w:right w:val="nil"/>
            </w:tcBorders>
          </w:tcPr>
          <w:p>
            <w:pPr>
              <w:pStyle w:val="TableParagraph"/>
              <w:ind w:left="254"/>
              <w:jc w:val="left"/>
              <w:rPr>
                <w:sz w:val="20"/>
              </w:rPr>
            </w:pPr>
            <w:r>
              <w:rPr>
                <w:sz w:val="20"/>
              </w:rPr>
              <w:t>0.00</w:t>
            </w:r>
          </w:p>
        </w:tc>
        <w:tc>
          <w:tcPr>
            <w:tcW w:w="824" w:type="dxa"/>
            <w:tcBorders>
              <w:top w:val="nil"/>
              <w:left w:val="nil"/>
              <w:right w:val="nil"/>
            </w:tcBorders>
          </w:tcPr>
          <w:p>
            <w:pPr>
              <w:pStyle w:val="TableParagraph"/>
              <w:ind w:left="257"/>
              <w:jc w:val="left"/>
              <w:rPr>
                <w:sz w:val="20"/>
              </w:rPr>
            </w:pPr>
            <w:r>
              <w:rPr>
                <w:sz w:val="20"/>
              </w:rPr>
              <w:t>0.00</w:t>
            </w:r>
          </w:p>
        </w:tc>
        <w:tc>
          <w:tcPr>
            <w:tcW w:w="823" w:type="dxa"/>
            <w:tcBorders>
              <w:top w:val="nil"/>
              <w:left w:val="nil"/>
              <w:right w:val="nil"/>
            </w:tcBorders>
          </w:tcPr>
          <w:p>
            <w:pPr>
              <w:pStyle w:val="TableParagraph"/>
              <w:ind w:right="211"/>
              <w:rPr>
                <w:sz w:val="20"/>
              </w:rPr>
            </w:pPr>
            <w:r>
              <w:rPr>
                <w:sz w:val="20"/>
              </w:rPr>
              <w:t>0.00</w:t>
            </w:r>
          </w:p>
        </w:tc>
        <w:tc>
          <w:tcPr>
            <w:tcW w:w="823" w:type="dxa"/>
            <w:tcBorders>
              <w:top w:val="nil"/>
              <w:left w:val="nil"/>
              <w:right w:val="nil"/>
            </w:tcBorders>
          </w:tcPr>
          <w:p>
            <w:pPr>
              <w:pStyle w:val="TableParagraph"/>
              <w:ind w:left="256"/>
              <w:jc w:val="left"/>
              <w:rPr>
                <w:sz w:val="20"/>
              </w:rPr>
            </w:pPr>
            <w:r>
              <w:rPr>
                <w:sz w:val="20"/>
              </w:rPr>
              <w:t>0.00</w:t>
            </w:r>
          </w:p>
        </w:tc>
        <w:tc>
          <w:tcPr>
            <w:tcW w:w="824" w:type="dxa"/>
            <w:tcBorders>
              <w:top w:val="nil"/>
              <w:left w:val="nil"/>
              <w:right w:val="nil"/>
            </w:tcBorders>
          </w:tcPr>
          <w:p>
            <w:pPr>
              <w:pStyle w:val="TableParagraph"/>
              <w:ind w:left="254"/>
              <w:jc w:val="left"/>
              <w:rPr>
                <w:sz w:val="20"/>
              </w:rPr>
            </w:pPr>
            <w:r>
              <w:rPr>
                <w:sz w:val="20"/>
              </w:rPr>
              <w:t>0.00</w:t>
            </w:r>
          </w:p>
        </w:tc>
        <w:tc>
          <w:tcPr>
            <w:tcW w:w="824" w:type="dxa"/>
            <w:tcBorders>
              <w:top w:val="nil"/>
              <w:left w:val="nil"/>
              <w:right w:val="nil"/>
            </w:tcBorders>
          </w:tcPr>
          <w:p>
            <w:pPr>
              <w:pStyle w:val="TableParagraph"/>
              <w:ind w:left="257"/>
              <w:jc w:val="left"/>
              <w:rPr>
                <w:sz w:val="20"/>
              </w:rPr>
            </w:pPr>
            <w:r>
              <w:rPr>
                <w:sz w:val="20"/>
              </w:rPr>
              <w:t>0.00</w:t>
            </w:r>
          </w:p>
        </w:tc>
        <w:tc>
          <w:tcPr>
            <w:tcW w:w="821" w:type="dxa"/>
            <w:tcBorders>
              <w:top w:val="nil"/>
              <w:left w:val="nil"/>
              <w:right w:val="nil"/>
            </w:tcBorders>
          </w:tcPr>
          <w:p>
            <w:pPr>
              <w:pStyle w:val="TableParagraph"/>
              <w:ind w:left="254" w:right="84"/>
              <w:jc w:val="left"/>
              <w:rPr>
                <w:sz w:val="20"/>
              </w:rPr>
            </w:pPr>
            <w:r>
              <w:rPr>
                <w:sz w:val="20"/>
              </w:rPr>
              <w:t>0.00</w:t>
            </w:r>
          </w:p>
        </w:tc>
        <w:tc>
          <w:tcPr>
            <w:tcW w:w="763" w:type="dxa"/>
            <w:tcBorders>
              <w:top w:val="nil"/>
              <w:left w:val="nil"/>
              <w:right w:val="nil"/>
            </w:tcBorders>
          </w:tcPr>
          <w:p>
            <w:pPr>
              <w:pStyle w:val="TableParagraph"/>
              <w:ind w:right="60"/>
              <w:rPr>
                <w:sz w:val="20"/>
              </w:rPr>
            </w:pPr>
            <w:r>
              <w:rPr>
                <w:sz w:val="20"/>
              </w:rPr>
              <w:t>0.00</w:t>
            </w:r>
          </w:p>
        </w:tc>
      </w:tr>
    </w:tbl>
    <w:p>
      <w:pPr>
        <w:spacing w:after="0"/>
        <w:rPr>
          <w:sz w:val="20"/>
        </w:rPr>
        <w:sectPr>
          <w:pgSz w:w="12240" w:h="15840"/>
          <w:pgMar w:header="0" w:footer="1473" w:top="1360" w:bottom="1660" w:left="1020" w:right="1300"/>
        </w:sectPr>
      </w:pPr>
    </w:p>
    <w:p>
      <w:pPr>
        <w:pStyle w:val="BodyText"/>
        <w:spacing w:before="44"/>
        <w:ind w:left="396"/>
      </w:pPr>
      <w:r>
        <w:rPr/>
        <w:t>Continuación Tabla 24.</w:t>
      </w:r>
    </w:p>
    <w:p>
      <w:pPr>
        <w:pStyle w:val="BodyText"/>
        <w:spacing w:before="5"/>
        <w:rPr>
          <w:sz w:val="18"/>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56"/>
        <w:gridCol w:w="700"/>
        <w:gridCol w:w="711"/>
        <w:gridCol w:w="823"/>
        <w:gridCol w:w="824"/>
        <w:gridCol w:w="823"/>
        <w:gridCol w:w="823"/>
        <w:gridCol w:w="824"/>
        <w:gridCol w:w="824"/>
        <w:gridCol w:w="821"/>
        <w:gridCol w:w="763"/>
      </w:tblGrid>
      <w:tr>
        <w:trPr>
          <w:trHeight w:val="395" w:hRule="exact"/>
        </w:trPr>
        <w:tc>
          <w:tcPr>
            <w:tcW w:w="1556" w:type="dxa"/>
            <w:tcBorders>
              <w:left w:val="nil"/>
              <w:bottom w:val="nil"/>
              <w:right w:val="nil"/>
            </w:tcBorders>
          </w:tcPr>
          <w:p>
            <w:pPr>
              <w:pStyle w:val="TableParagraph"/>
              <w:spacing w:before="178"/>
              <w:ind w:left="177"/>
              <w:jc w:val="left"/>
              <w:rPr>
                <w:sz w:val="20"/>
              </w:rPr>
            </w:pPr>
            <w:r>
              <w:rPr>
                <w:sz w:val="20"/>
              </w:rPr>
              <w:t>Nombre/Clave</w:t>
            </w:r>
          </w:p>
        </w:tc>
        <w:tc>
          <w:tcPr>
            <w:tcW w:w="700" w:type="dxa"/>
            <w:tcBorders>
              <w:left w:val="nil"/>
              <w:bottom w:val="nil"/>
              <w:right w:val="nil"/>
            </w:tcBorders>
          </w:tcPr>
          <w:p>
            <w:pPr/>
          </w:p>
        </w:tc>
        <w:tc>
          <w:tcPr>
            <w:tcW w:w="711" w:type="dxa"/>
            <w:tcBorders>
              <w:left w:val="nil"/>
              <w:bottom w:val="nil"/>
              <w:right w:val="nil"/>
            </w:tcBorders>
          </w:tcPr>
          <w:p>
            <w:pPr/>
          </w:p>
        </w:tc>
        <w:tc>
          <w:tcPr>
            <w:tcW w:w="823" w:type="dxa"/>
            <w:tcBorders>
              <w:left w:val="nil"/>
              <w:bottom w:val="nil"/>
              <w:right w:val="nil"/>
            </w:tcBorders>
          </w:tcPr>
          <w:p>
            <w:pPr/>
          </w:p>
        </w:tc>
        <w:tc>
          <w:tcPr>
            <w:tcW w:w="824" w:type="dxa"/>
            <w:tcBorders>
              <w:left w:val="nil"/>
              <w:bottom w:val="nil"/>
              <w:right w:val="nil"/>
            </w:tcBorders>
          </w:tcPr>
          <w:p>
            <w:pPr/>
          </w:p>
        </w:tc>
        <w:tc>
          <w:tcPr>
            <w:tcW w:w="2471" w:type="dxa"/>
            <w:gridSpan w:val="3"/>
            <w:tcBorders>
              <w:left w:val="nil"/>
              <w:bottom w:val="nil"/>
              <w:right w:val="nil"/>
            </w:tcBorders>
          </w:tcPr>
          <w:p>
            <w:pPr>
              <w:pStyle w:val="TableParagraph"/>
              <w:spacing w:before="63"/>
              <w:ind w:left="28"/>
              <w:jc w:val="left"/>
              <w:rPr>
                <w:sz w:val="20"/>
              </w:rPr>
            </w:pPr>
            <w:r>
              <w:rPr>
                <w:sz w:val="20"/>
              </w:rPr>
              <w:t>N° de capas del suelo</w:t>
            </w:r>
          </w:p>
        </w:tc>
        <w:tc>
          <w:tcPr>
            <w:tcW w:w="824" w:type="dxa"/>
            <w:tcBorders>
              <w:left w:val="nil"/>
              <w:bottom w:val="nil"/>
              <w:right w:val="nil"/>
            </w:tcBorders>
          </w:tcPr>
          <w:p>
            <w:pPr/>
          </w:p>
        </w:tc>
        <w:tc>
          <w:tcPr>
            <w:tcW w:w="821" w:type="dxa"/>
            <w:tcBorders>
              <w:left w:val="nil"/>
              <w:bottom w:val="nil"/>
              <w:right w:val="nil"/>
            </w:tcBorders>
          </w:tcPr>
          <w:p>
            <w:pPr/>
          </w:p>
        </w:tc>
        <w:tc>
          <w:tcPr>
            <w:tcW w:w="763" w:type="dxa"/>
            <w:tcBorders>
              <w:left w:val="nil"/>
              <w:bottom w:val="nil"/>
              <w:right w:val="nil"/>
            </w:tcBorders>
          </w:tcPr>
          <w:p>
            <w:pPr/>
          </w:p>
        </w:tc>
      </w:tr>
      <w:tr>
        <w:trPr>
          <w:trHeight w:val="215" w:hRule="exact"/>
        </w:trPr>
        <w:tc>
          <w:tcPr>
            <w:tcW w:w="1556" w:type="dxa"/>
            <w:tcBorders>
              <w:top w:val="nil"/>
              <w:left w:val="nil"/>
              <w:right w:val="nil"/>
            </w:tcBorders>
          </w:tcPr>
          <w:p>
            <w:pPr/>
          </w:p>
        </w:tc>
        <w:tc>
          <w:tcPr>
            <w:tcW w:w="700" w:type="dxa"/>
            <w:tcBorders>
              <w:top w:val="nil"/>
              <w:left w:val="nil"/>
              <w:right w:val="nil"/>
            </w:tcBorders>
          </w:tcPr>
          <w:p>
            <w:pPr>
              <w:pStyle w:val="TableParagraph"/>
              <w:spacing w:line="201" w:lineRule="exact" w:before="0"/>
              <w:ind w:left="239"/>
              <w:jc w:val="left"/>
              <w:rPr>
                <w:sz w:val="20"/>
              </w:rPr>
            </w:pPr>
            <w:r>
              <w:rPr>
                <w:w w:val="100"/>
                <w:sz w:val="20"/>
              </w:rPr>
              <w:t>1</w:t>
            </w:r>
          </w:p>
        </w:tc>
        <w:tc>
          <w:tcPr>
            <w:tcW w:w="711" w:type="dxa"/>
            <w:tcBorders>
              <w:top w:val="nil"/>
              <w:left w:val="nil"/>
              <w:right w:val="nil"/>
            </w:tcBorders>
          </w:tcPr>
          <w:p>
            <w:pPr>
              <w:pStyle w:val="TableParagraph"/>
              <w:spacing w:line="201" w:lineRule="exact" w:before="0"/>
              <w:ind w:left="192"/>
              <w:jc w:val="left"/>
              <w:rPr>
                <w:sz w:val="20"/>
              </w:rPr>
            </w:pPr>
            <w:r>
              <w:rPr>
                <w:w w:val="100"/>
                <w:sz w:val="20"/>
              </w:rPr>
              <w:t>2</w:t>
            </w:r>
          </w:p>
        </w:tc>
        <w:tc>
          <w:tcPr>
            <w:tcW w:w="823" w:type="dxa"/>
            <w:tcBorders>
              <w:top w:val="nil"/>
              <w:left w:val="nil"/>
              <w:right w:val="nil"/>
            </w:tcBorders>
          </w:tcPr>
          <w:p>
            <w:pPr>
              <w:pStyle w:val="TableParagraph"/>
              <w:spacing w:line="201" w:lineRule="exact" w:before="0"/>
              <w:ind w:left="211"/>
              <w:jc w:val="left"/>
              <w:rPr>
                <w:sz w:val="20"/>
              </w:rPr>
            </w:pPr>
            <w:r>
              <w:rPr>
                <w:w w:val="100"/>
                <w:sz w:val="20"/>
              </w:rPr>
              <w:t>3</w:t>
            </w:r>
          </w:p>
        </w:tc>
        <w:tc>
          <w:tcPr>
            <w:tcW w:w="824" w:type="dxa"/>
            <w:tcBorders>
              <w:top w:val="nil"/>
              <w:left w:val="nil"/>
              <w:right w:val="nil"/>
            </w:tcBorders>
          </w:tcPr>
          <w:p>
            <w:pPr>
              <w:pStyle w:val="TableParagraph"/>
              <w:spacing w:line="201" w:lineRule="exact" w:before="0"/>
              <w:ind w:left="213"/>
              <w:jc w:val="left"/>
              <w:rPr>
                <w:sz w:val="20"/>
              </w:rPr>
            </w:pPr>
            <w:r>
              <w:rPr>
                <w:w w:val="100"/>
                <w:sz w:val="20"/>
              </w:rPr>
              <w:t>4</w:t>
            </w:r>
          </w:p>
        </w:tc>
        <w:tc>
          <w:tcPr>
            <w:tcW w:w="823" w:type="dxa"/>
            <w:tcBorders>
              <w:top w:val="nil"/>
              <w:left w:val="nil"/>
              <w:right w:val="nil"/>
            </w:tcBorders>
          </w:tcPr>
          <w:p>
            <w:pPr>
              <w:pStyle w:val="TableParagraph"/>
              <w:spacing w:line="201" w:lineRule="exact" w:before="0"/>
              <w:ind w:left="211"/>
              <w:jc w:val="left"/>
              <w:rPr>
                <w:sz w:val="20"/>
              </w:rPr>
            </w:pPr>
            <w:r>
              <w:rPr>
                <w:w w:val="100"/>
                <w:sz w:val="20"/>
              </w:rPr>
              <w:t>5</w:t>
            </w:r>
          </w:p>
        </w:tc>
        <w:tc>
          <w:tcPr>
            <w:tcW w:w="823" w:type="dxa"/>
            <w:tcBorders>
              <w:top w:val="nil"/>
              <w:left w:val="nil"/>
              <w:right w:val="nil"/>
            </w:tcBorders>
          </w:tcPr>
          <w:p>
            <w:pPr>
              <w:pStyle w:val="TableParagraph"/>
              <w:spacing w:line="201" w:lineRule="exact" w:before="0"/>
              <w:ind w:left="213"/>
              <w:jc w:val="left"/>
              <w:rPr>
                <w:sz w:val="20"/>
              </w:rPr>
            </w:pPr>
            <w:r>
              <w:rPr>
                <w:w w:val="100"/>
                <w:sz w:val="20"/>
              </w:rPr>
              <w:t>6</w:t>
            </w:r>
          </w:p>
        </w:tc>
        <w:tc>
          <w:tcPr>
            <w:tcW w:w="824" w:type="dxa"/>
            <w:tcBorders>
              <w:top w:val="nil"/>
              <w:left w:val="nil"/>
              <w:right w:val="nil"/>
            </w:tcBorders>
          </w:tcPr>
          <w:p>
            <w:pPr>
              <w:pStyle w:val="TableParagraph"/>
              <w:spacing w:line="201" w:lineRule="exact" w:before="0"/>
              <w:ind w:left="211"/>
              <w:jc w:val="left"/>
              <w:rPr>
                <w:sz w:val="20"/>
              </w:rPr>
            </w:pPr>
            <w:r>
              <w:rPr>
                <w:w w:val="100"/>
                <w:sz w:val="20"/>
              </w:rPr>
              <w:t>7</w:t>
            </w:r>
          </w:p>
        </w:tc>
        <w:tc>
          <w:tcPr>
            <w:tcW w:w="824" w:type="dxa"/>
            <w:tcBorders>
              <w:top w:val="nil"/>
              <w:left w:val="nil"/>
              <w:right w:val="nil"/>
            </w:tcBorders>
          </w:tcPr>
          <w:p>
            <w:pPr>
              <w:pStyle w:val="TableParagraph"/>
              <w:spacing w:line="201" w:lineRule="exact" w:before="0"/>
              <w:ind w:left="213"/>
              <w:jc w:val="left"/>
              <w:rPr>
                <w:sz w:val="20"/>
              </w:rPr>
            </w:pPr>
            <w:r>
              <w:rPr>
                <w:w w:val="100"/>
                <w:sz w:val="20"/>
              </w:rPr>
              <w:t>8</w:t>
            </w:r>
          </w:p>
        </w:tc>
        <w:tc>
          <w:tcPr>
            <w:tcW w:w="821" w:type="dxa"/>
            <w:tcBorders>
              <w:top w:val="nil"/>
              <w:left w:val="nil"/>
              <w:right w:val="nil"/>
            </w:tcBorders>
          </w:tcPr>
          <w:p>
            <w:pPr>
              <w:pStyle w:val="TableParagraph"/>
              <w:spacing w:line="201" w:lineRule="exact" w:before="0"/>
              <w:ind w:left="211"/>
              <w:jc w:val="left"/>
              <w:rPr>
                <w:sz w:val="20"/>
              </w:rPr>
            </w:pPr>
            <w:r>
              <w:rPr>
                <w:w w:val="100"/>
                <w:sz w:val="20"/>
              </w:rPr>
              <w:t>9</w:t>
            </w:r>
          </w:p>
        </w:tc>
        <w:tc>
          <w:tcPr>
            <w:tcW w:w="763" w:type="dxa"/>
            <w:tcBorders>
              <w:top w:val="nil"/>
              <w:left w:val="nil"/>
              <w:right w:val="nil"/>
            </w:tcBorders>
          </w:tcPr>
          <w:p>
            <w:pPr>
              <w:pStyle w:val="TableParagraph"/>
              <w:spacing w:line="201" w:lineRule="exact" w:before="0"/>
              <w:ind w:left="211"/>
              <w:jc w:val="left"/>
              <w:rPr>
                <w:sz w:val="20"/>
              </w:rPr>
            </w:pPr>
            <w:r>
              <w:rPr>
                <w:sz w:val="20"/>
              </w:rPr>
              <w:t>10</w:t>
            </w:r>
          </w:p>
        </w:tc>
      </w:tr>
      <w:tr>
        <w:trPr>
          <w:trHeight w:val="337" w:hRule="exact"/>
        </w:trPr>
        <w:tc>
          <w:tcPr>
            <w:tcW w:w="1556" w:type="dxa"/>
            <w:tcBorders>
              <w:left w:val="nil"/>
              <w:bottom w:val="nil"/>
              <w:right w:val="nil"/>
            </w:tcBorders>
          </w:tcPr>
          <w:p>
            <w:pPr>
              <w:pStyle w:val="TableParagraph"/>
              <w:spacing w:before="58"/>
              <w:ind w:left="86"/>
              <w:jc w:val="left"/>
              <w:rPr>
                <w:sz w:val="20"/>
              </w:rPr>
            </w:pPr>
            <w:r>
              <w:rPr>
                <w:sz w:val="20"/>
              </w:rPr>
              <w:t>TEJ_LcFdp</w:t>
            </w:r>
          </w:p>
        </w:tc>
        <w:tc>
          <w:tcPr>
            <w:tcW w:w="700" w:type="dxa"/>
            <w:tcBorders>
              <w:left w:val="nil"/>
              <w:bottom w:val="nil"/>
              <w:right w:val="nil"/>
            </w:tcBorders>
          </w:tcPr>
          <w:p>
            <w:pPr>
              <w:pStyle w:val="TableParagraph"/>
              <w:spacing w:before="58"/>
              <w:ind w:left="200"/>
              <w:jc w:val="left"/>
              <w:rPr>
                <w:sz w:val="20"/>
              </w:rPr>
            </w:pPr>
            <w:r>
              <w:rPr>
                <w:sz w:val="20"/>
              </w:rPr>
              <w:t>0.00</w:t>
            </w:r>
          </w:p>
        </w:tc>
        <w:tc>
          <w:tcPr>
            <w:tcW w:w="711" w:type="dxa"/>
            <w:tcBorders>
              <w:left w:val="nil"/>
              <w:bottom w:val="nil"/>
              <w:right w:val="nil"/>
            </w:tcBorders>
          </w:tcPr>
          <w:p>
            <w:pPr>
              <w:pStyle w:val="TableParagraph"/>
              <w:spacing w:before="58"/>
              <w:ind w:left="144"/>
              <w:jc w:val="left"/>
              <w:rPr>
                <w:sz w:val="20"/>
              </w:rPr>
            </w:pPr>
            <w:r>
              <w:rPr>
                <w:sz w:val="20"/>
              </w:rPr>
              <w:t>0.00</w:t>
            </w:r>
          </w:p>
        </w:tc>
        <w:tc>
          <w:tcPr>
            <w:tcW w:w="823" w:type="dxa"/>
            <w:tcBorders>
              <w:left w:val="nil"/>
              <w:bottom w:val="nil"/>
              <w:right w:val="nil"/>
            </w:tcBorders>
          </w:tcPr>
          <w:p>
            <w:pPr>
              <w:pStyle w:val="TableParagraph"/>
              <w:spacing w:before="58"/>
              <w:ind w:left="254"/>
              <w:jc w:val="left"/>
              <w:rPr>
                <w:sz w:val="20"/>
              </w:rPr>
            </w:pPr>
            <w:r>
              <w:rPr>
                <w:sz w:val="20"/>
              </w:rPr>
              <w:t>0.00</w:t>
            </w:r>
          </w:p>
        </w:tc>
        <w:tc>
          <w:tcPr>
            <w:tcW w:w="824" w:type="dxa"/>
            <w:tcBorders>
              <w:left w:val="nil"/>
              <w:bottom w:val="nil"/>
              <w:right w:val="nil"/>
            </w:tcBorders>
          </w:tcPr>
          <w:p>
            <w:pPr>
              <w:pStyle w:val="TableParagraph"/>
              <w:spacing w:before="58"/>
              <w:ind w:left="257"/>
              <w:jc w:val="left"/>
              <w:rPr>
                <w:sz w:val="20"/>
              </w:rPr>
            </w:pPr>
            <w:r>
              <w:rPr>
                <w:sz w:val="20"/>
              </w:rPr>
              <w:t>0.00</w:t>
            </w:r>
          </w:p>
        </w:tc>
        <w:tc>
          <w:tcPr>
            <w:tcW w:w="823" w:type="dxa"/>
            <w:tcBorders>
              <w:left w:val="nil"/>
              <w:bottom w:val="nil"/>
              <w:right w:val="nil"/>
            </w:tcBorders>
          </w:tcPr>
          <w:p>
            <w:pPr>
              <w:pStyle w:val="TableParagraph"/>
              <w:spacing w:before="58"/>
              <w:ind w:right="211"/>
              <w:rPr>
                <w:sz w:val="20"/>
              </w:rPr>
            </w:pPr>
            <w:r>
              <w:rPr>
                <w:sz w:val="20"/>
              </w:rPr>
              <w:t>0.00</w:t>
            </w:r>
          </w:p>
        </w:tc>
        <w:tc>
          <w:tcPr>
            <w:tcW w:w="823" w:type="dxa"/>
            <w:tcBorders>
              <w:left w:val="nil"/>
              <w:bottom w:val="nil"/>
              <w:right w:val="nil"/>
            </w:tcBorders>
          </w:tcPr>
          <w:p>
            <w:pPr>
              <w:pStyle w:val="TableParagraph"/>
              <w:spacing w:before="58"/>
              <w:ind w:left="256"/>
              <w:jc w:val="left"/>
              <w:rPr>
                <w:sz w:val="20"/>
              </w:rPr>
            </w:pPr>
            <w:r>
              <w:rPr>
                <w:sz w:val="20"/>
              </w:rPr>
              <w:t>0.00</w:t>
            </w:r>
          </w:p>
        </w:tc>
        <w:tc>
          <w:tcPr>
            <w:tcW w:w="824" w:type="dxa"/>
            <w:tcBorders>
              <w:left w:val="nil"/>
              <w:bottom w:val="nil"/>
              <w:right w:val="nil"/>
            </w:tcBorders>
          </w:tcPr>
          <w:p>
            <w:pPr>
              <w:pStyle w:val="TableParagraph"/>
              <w:spacing w:before="58"/>
              <w:ind w:left="254"/>
              <w:jc w:val="left"/>
              <w:rPr>
                <w:sz w:val="20"/>
              </w:rPr>
            </w:pPr>
            <w:r>
              <w:rPr>
                <w:sz w:val="20"/>
              </w:rPr>
              <w:t>0.00</w:t>
            </w:r>
          </w:p>
        </w:tc>
        <w:tc>
          <w:tcPr>
            <w:tcW w:w="824" w:type="dxa"/>
            <w:tcBorders>
              <w:left w:val="nil"/>
              <w:bottom w:val="nil"/>
              <w:right w:val="nil"/>
            </w:tcBorders>
          </w:tcPr>
          <w:p>
            <w:pPr>
              <w:pStyle w:val="TableParagraph"/>
              <w:spacing w:before="58"/>
              <w:ind w:left="257"/>
              <w:jc w:val="left"/>
              <w:rPr>
                <w:sz w:val="20"/>
              </w:rPr>
            </w:pPr>
            <w:r>
              <w:rPr>
                <w:sz w:val="20"/>
              </w:rPr>
              <w:t>0.00</w:t>
            </w:r>
          </w:p>
        </w:tc>
        <w:tc>
          <w:tcPr>
            <w:tcW w:w="821" w:type="dxa"/>
            <w:tcBorders>
              <w:left w:val="nil"/>
              <w:bottom w:val="nil"/>
              <w:right w:val="nil"/>
            </w:tcBorders>
          </w:tcPr>
          <w:p>
            <w:pPr>
              <w:pStyle w:val="TableParagraph"/>
              <w:spacing w:before="58"/>
              <w:ind w:left="254" w:right="84"/>
              <w:jc w:val="left"/>
              <w:rPr>
                <w:sz w:val="20"/>
              </w:rPr>
            </w:pPr>
            <w:r>
              <w:rPr>
                <w:sz w:val="20"/>
              </w:rPr>
              <w:t>0.00</w:t>
            </w:r>
          </w:p>
        </w:tc>
        <w:tc>
          <w:tcPr>
            <w:tcW w:w="763" w:type="dxa"/>
            <w:tcBorders>
              <w:left w:val="nil"/>
              <w:bottom w:val="nil"/>
              <w:right w:val="nil"/>
            </w:tcBorders>
          </w:tcPr>
          <w:p>
            <w:pPr>
              <w:pStyle w:val="TableParagraph"/>
              <w:spacing w:before="58"/>
              <w:ind w:right="60"/>
              <w:rPr>
                <w:sz w:val="20"/>
              </w:rPr>
            </w:pPr>
            <w:r>
              <w:rPr>
                <w:sz w:val="20"/>
              </w:rPr>
              <w:t>0.00</w:t>
            </w:r>
          </w:p>
        </w:tc>
      </w:tr>
      <w:tr>
        <w:trPr>
          <w:trHeight w:val="298" w:hRule="exact"/>
        </w:trPr>
        <w:tc>
          <w:tcPr>
            <w:tcW w:w="1556" w:type="dxa"/>
            <w:tcBorders>
              <w:top w:val="nil"/>
              <w:left w:val="nil"/>
              <w:bottom w:val="nil"/>
              <w:right w:val="nil"/>
            </w:tcBorders>
          </w:tcPr>
          <w:p>
            <w:pPr>
              <w:pStyle w:val="TableParagraph"/>
              <w:ind w:left="86"/>
              <w:jc w:val="left"/>
              <w:rPr>
                <w:sz w:val="20"/>
              </w:rPr>
            </w:pPr>
            <w:r>
              <w:rPr>
                <w:sz w:val="20"/>
              </w:rPr>
              <w:t>TEJ_LcFl</w:t>
            </w:r>
          </w:p>
        </w:tc>
        <w:tc>
          <w:tcPr>
            <w:tcW w:w="700" w:type="dxa"/>
            <w:tcBorders>
              <w:top w:val="nil"/>
              <w:left w:val="nil"/>
              <w:bottom w:val="nil"/>
              <w:right w:val="nil"/>
            </w:tcBorders>
          </w:tcPr>
          <w:p>
            <w:pPr>
              <w:pStyle w:val="TableParagraph"/>
              <w:ind w:left="200"/>
              <w:jc w:val="left"/>
              <w:rPr>
                <w:sz w:val="20"/>
              </w:rPr>
            </w:pPr>
            <w:r>
              <w:rPr>
                <w:sz w:val="20"/>
              </w:rPr>
              <w:t>0.00</w:t>
            </w:r>
          </w:p>
        </w:tc>
        <w:tc>
          <w:tcPr>
            <w:tcW w:w="711" w:type="dxa"/>
            <w:tcBorders>
              <w:top w:val="nil"/>
              <w:left w:val="nil"/>
              <w:bottom w:val="nil"/>
              <w:right w:val="nil"/>
            </w:tcBorders>
          </w:tcPr>
          <w:p>
            <w:pPr>
              <w:pStyle w:val="TableParagraph"/>
              <w:ind w:left="144"/>
              <w:jc w:val="left"/>
              <w:rPr>
                <w:sz w:val="20"/>
              </w:rPr>
            </w:pPr>
            <w:r>
              <w:rPr>
                <w:sz w:val="20"/>
              </w:rPr>
              <w:t>0.00</w:t>
            </w:r>
          </w:p>
        </w:tc>
        <w:tc>
          <w:tcPr>
            <w:tcW w:w="823" w:type="dxa"/>
            <w:tcBorders>
              <w:top w:val="nil"/>
              <w:left w:val="nil"/>
              <w:bottom w:val="nil"/>
              <w:right w:val="nil"/>
            </w:tcBorders>
          </w:tcPr>
          <w:p>
            <w:pPr>
              <w:pStyle w:val="TableParagraph"/>
              <w:ind w:left="254"/>
              <w:jc w:val="left"/>
              <w:rPr>
                <w:sz w:val="20"/>
              </w:rPr>
            </w:pPr>
            <w:r>
              <w:rPr>
                <w:sz w:val="20"/>
              </w:rPr>
              <w:t>0.00</w:t>
            </w:r>
          </w:p>
        </w:tc>
        <w:tc>
          <w:tcPr>
            <w:tcW w:w="824" w:type="dxa"/>
            <w:tcBorders>
              <w:top w:val="nil"/>
              <w:left w:val="nil"/>
              <w:bottom w:val="nil"/>
              <w:right w:val="nil"/>
            </w:tcBorders>
          </w:tcPr>
          <w:p>
            <w:pPr>
              <w:pStyle w:val="TableParagraph"/>
              <w:ind w:left="257"/>
              <w:jc w:val="left"/>
              <w:rPr>
                <w:sz w:val="20"/>
              </w:rPr>
            </w:pPr>
            <w:r>
              <w:rPr>
                <w:sz w:val="20"/>
              </w:rPr>
              <w:t>0.00</w:t>
            </w:r>
          </w:p>
        </w:tc>
        <w:tc>
          <w:tcPr>
            <w:tcW w:w="823" w:type="dxa"/>
            <w:tcBorders>
              <w:top w:val="nil"/>
              <w:left w:val="nil"/>
              <w:bottom w:val="nil"/>
              <w:right w:val="nil"/>
            </w:tcBorders>
          </w:tcPr>
          <w:p>
            <w:pPr>
              <w:pStyle w:val="TableParagraph"/>
              <w:ind w:right="211"/>
              <w:rPr>
                <w:sz w:val="20"/>
              </w:rPr>
            </w:pPr>
            <w:r>
              <w:rPr>
                <w:sz w:val="20"/>
              </w:rPr>
              <w:t>0.00</w:t>
            </w:r>
          </w:p>
        </w:tc>
        <w:tc>
          <w:tcPr>
            <w:tcW w:w="823" w:type="dxa"/>
            <w:tcBorders>
              <w:top w:val="nil"/>
              <w:left w:val="nil"/>
              <w:bottom w:val="nil"/>
              <w:right w:val="nil"/>
            </w:tcBorders>
          </w:tcPr>
          <w:p>
            <w:pPr>
              <w:pStyle w:val="TableParagraph"/>
              <w:ind w:left="256"/>
              <w:jc w:val="left"/>
              <w:rPr>
                <w:sz w:val="20"/>
              </w:rPr>
            </w:pPr>
            <w:r>
              <w:rPr>
                <w:sz w:val="20"/>
              </w:rPr>
              <w:t>0.00</w:t>
            </w:r>
          </w:p>
        </w:tc>
        <w:tc>
          <w:tcPr>
            <w:tcW w:w="824" w:type="dxa"/>
            <w:tcBorders>
              <w:top w:val="nil"/>
              <w:left w:val="nil"/>
              <w:bottom w:val="nil"/>
              <w:right w:val="nil"/>
            </w:tcBorders>
          </w:tcPr>
          <w:p>
            <w:pPr>
              <w:pStyle w:val="TableParagraph"/>
              <w:ind w:left="254"/>
              <w:jc w:val="left"/>
              <w:rPr>
                <w:sz w:val="20"/>
              </w:rPr>
            </w:pPr>
            <w:r>
              <w:rPr>
                <w:sz w:val="20"/>
              </w:rPr>
              <w:t>0.00</w:t>
            </w:r>
          </w:p>
        </w:tc>
        <w:tc>
          <w:tcPr>
            <w:tcW w:w="824" w:type="dxa"/>
            <w:tcBorders>
              <w:top w:val="nil"/>
              <w:left w:val="nil"/>
              <w:bottom w:val="nil"/>
              <w:right w:val="nil"/>
            </w:tcBorders>
          </w:tcPr>
          <w:p>
            <w:pPr>
              <w:pStyle w:val="TableParagraph"/>
              <w:ind w:left="257"/>
              <w:jc w:val="left"/>
              <w:rPr>
                <w:sz w:val="20"/>
              </w:rPr>
            </w:pPr>
            <w:r>
              <w:rPr>
                <w:sz w:val="20"/>
              </w:rPr>
              <w:t>0.00</w:t>
            </w:r>
          </w:p>
        </w:tc>
        <w:tc>
          <w:tcPr>
            <w:tcW w:w="821" w:type="dxa"/>
            <w:tcBorders>
              <w:top w:val="nil"/>
              <w:left w:val="nil"/>
              <w:bottom w:val="nil"/>
              <w:right w:val="nil"/>
            </w:tcBorders>
          </w:tcPr>
          <w:p>
            <w:pPr>
              <w:pStyle w:val="TableParagraph"/>
              <w:ind w:left="254" w:right="84"/>
              <w:jc w:val="left"/>
              <w:rPr>
                <w:sz w:val="20"/>
              </w:rPr>
            </w:pPr>
            <w:r>
              <w:rPr>
                <w:sz w:val="20"/>
              </w:rPr>
              <w:t>0.00</w:t>
            </w:r>
          </w:p>
        </w:tc>
        <w:tc>
          <w:tcPr>
            <w:tcW w:w="763" w:type="dxa"/>
            <w:tcBorders>
              <w:top w:val="nil"/>
              <w:left w:val="nil"/>
              <w:bottom w:val="nil"/>
              <w:right w:val="nil"/>
            </w:tcBorders>
          </w:tcPr>
          <w:p>
            <w:pPr>
              <w:pStyle w:val="TableParagraph"/>
              <w:ind w:right="60"/>
              <w:rPr>
                <w:sz w:val="20"/>
              </w:rPr>
            </w:pPr>
            <w:r>
              <w:rPr>
                <w:sz w:val="20"/>
              </w:rPr>
              <w:t>0.00</w:t>
            </w:r>
          </w:p>
        </w:tc>
      </w:tr>
      <w:tr>
        <w:trPr>
          <w:trHeight w:val="298" w:hRule="exact"/>
        </w:trPr>
        <w:tc>
          <w:tcPr>
            <w:tcW w:w="1556" w:type="dxa"/>
            <w:tcBorders>
              <w:top w:val="nil"/>
              <w:left w:val="nil"/>
              <w:bottom w:val="nil"/>
              <w:right w:val="nil"/>
            </w:tcBorders>
          </w:tcPr>
          <w:p>
            <w:pPr>
              <w:pStyle w:val="TableParagraph"/>
              <w:ind w:left="86"/>
              <w:jc w:val="left"/>
              <w:rPr>
                <w:sz w:val="20"/>
              </w:rPr>
            </w:pPr>
            <w:r>
              <w:rPr>
                <w:sz w:val="20"/>
              </w:rPr>
              <w:t>TEJ_LcFlp</w:t>
            </w:r>
          </w:p>
        </w:tc>
        <w:tc>
          <w:tcPr>
            <w:tcW w:w="700" w:type="dxa"/>
            <w:tcBorders>
              <w:top w:val="nil"/>
              <w:left w:val="nil"/>
              <w:bottom w:val="nil"/>
              <w:right w:val="nil"/>
            </w:tcBorders>
          </w:tcPr>
          <w:p>
            <w:pPr>
              <w:pStyle w:val="TableParagraph"/>
              <w:ind w:left="200"/>
              <w:jc w:val="left"/>
              <w:rPr>
                <w:sz w:val="20"/>
              </w:rPr>
            </w:pPr>
            <w:r>
              <w:rPr>
                <w:sz w:val="20"/>
              </w:rPr>
              <w:t>0.00</w:t>
            </w:r>
          </w:p>
        </w:tc>
        <w:tc>
          <w:tcPr>
            <w:tcW w:w="711" w:type="dxa"/>
            <w:tcBorders>
              <w:top w:val="nil"/>
              <w:left w:val="nil"/>
              <w:bottom w:val="nil"/>
              <w:right w:val="nil"/>
            </w:tcBorders>
          </w:tcPr>
          <w:p>
            <w:pPr>
              <w:pStyle w:val="TableParagraph"/>
              <w:ind w:left="144"/>
              <w:jc w:val="left"/>
              <w:rPr>
                <w:sz w:val="20"/>
              </w:rPr>
            </w:pPr>
            <w:r>
              <w:rPr>
                <w:sz w:val="20"/>
              </w:rPr>
              <w:t>0.00</w:t>
            </w:r>
          </w:p>
        </w:tc>
        <w:tc>
          <w:tcPr>
            <w:tcW w:w="823" w:type="dxa"/>
            <w:tcBorders>
              <w:top w:val="nil"/>
              <w:left w:val="nil"/>
              <w:bottom w:val="nil"/>
              <w:right w:val="nil"/>
            </w:tcBorders>
          </w:tcPr>
          <w:p>
            <w:pPr>
              <w:pStyle w:val="TableParagraph"/>
              <w:ind w:left="254"/>
              <w:jc w:val="left"/>
              <w:rPr>
                <w:sz w:val="20"/>
              </w:rPr>
            </w:pPr>
            <w:r>
              <w:rPr>
                <w:sz w:val="20"/>
              </w:rPr>
              <w:t>0.00</w:t>
            </w:r>
          </w:p>
        </w:tc>
        <w:tc>
          <w:tcPr>
            <w:tcW w:w="824" w:type="dxa"/>
            <w:tcBorders>
              <w:top w:val="nil"/>
              <w:left w:val="nil"/>
              <w:bottom w:val="nil"/>
              <w:right w:val="nil"/>
            </w:tcBorders>
          </w:tcPr>
          <w:p>
            <w:pPr>
              <w:pStyle w:val="TableParagraph"/>
              <w:ind w:left="257"/>
              <w:jc w:val="left"/>
              <w:rPr>
                <w:sz w:val="20"/>
              </w:rPr>
            </w:pPr>
            <w:r>
              <w:rPr>
                <w:sz w:val="20"/>
              </w:rPr>
              <w:t>0.00</w:t>
            </w:r>
          </w:p>
        </w:tc>
        <w:tc>
          <w:tcPr>
            <w:tcW w:w="823" w:type="dxa"/>
            <w:tcBorders>
              <w:top w:val="nil"/>
              <w:left w:val="nil"/>
              <w:bottom w:val="nil"/>
              <w:right w:val="nil"/>
            </w:tcBorders>
          </w:tcPr>
          <w:p>
            <w:pPr>
              <w:pStyle w:val="TableParagraph"/>
              <w:ind w:right="211"/>
              <w:rPr>
                <w:sz w:val="20"/>
              </w:rPr>
            </w:pPr>
            <w:r>
              <w:rPr>
                <w:sz w:val="20"/>
              </w:rPr>
              <w:t>0.00</w:t>
            </w:r>
          </w:p>
        </w:tc>
        <w:tc>
          <w:tcPr>
            <w:tcW w:w="823" w:type="dxa"/>
            <w:tcBorders>
              <w:top w:val="nil"/>
              <w:left w:val="nil"/>
              <w:bottom w:val="nil"/>
              <w:right w:val="nil"/>
            </w:tcBorders>
          </w:tcPr>
          <w:p>
            <w:pPr>
              <w:pStyle w:val="TableParagraph"/>
              <w:ind w:left="256"/>
              <w:jc w:val="left"/>
              <w:rPr>
                <w:sz w:val="20"/>
              </w:rPr>
            </w:pPr>
            <w:r>
              <w:rPr>
                <w:sz w:val="20"/>
              </w:rPr>
              <w:t>0.00</w:t>
            </w:r>
          </w:p>
        </w:tc>
        <w:tc>
          <w:tcPr>
            <w:tcW w:w="824" w:type="dxa"/>
            <w:tcBorders>
              <w:top w:val="nil"/>
              <w:left w:val="nil"/>
              <w:bottom w:val="nil"/>
              <w:right w:val="nil"/>
            </w:tcBorders>
          </w:tcPr>
          <w:p>
            <w:pPr>
              <w:pStyle w:val="TableParagraph"/>
              <w:ind w:left="254"/>
              <w:jc w:val="left"/>
              <w:rPr>
                <w:sz w:val="20"/>
              </w:rPr>
            </w:pPr>
            <w:r>
              <w:rPr>
                <w:sz w:val="20"/>
              </w:rPr>
              <w:t>0.00</w:t>
            </w:r>
          </w:p>
        </w:tc>
        <w:tc>
          <w:tcPr>
            <w:tcW w:w="824" w:type="dxa"/>
            <w:tcBorders>
              <w:top w:val="nil"/>
              <w:left w:val="nil"/>
              <w:bottom w:val="nil"/>
              <w:right w:val="nil"/>
            </w:tcBorders>
          </w:tcPr>
          <w:p>
            <w:pPr>
              <w:pStyle w:val="TableParagraph"/>
              <w:ind w:left="257"/>
              <w:jc w:val="left"/>
              <w:rPr>
                <w:sz w:val="20"/>
              </w:rPr>
            </w:pPr>
            <w:r>
              <w:rPr>
                <w:sz w:val="20"/>
              </w:rPr>
              <w:t>0.00</w:t>
            </w:r>
          </w:p>
        </w:tc>
        <w:tc>
          <w:tcPr>
            <w:tcW w:w="821" w:type="dxa"/>
            <w:tcBorders>
              <w:top w:val="nil"/>
              <w:left w:val="nil"/>
              <w:bottom w:val="nil"/>
              <w:right w:val="nil"/>
            </w:tcBorders>
          </w:tcPr>
          <w:p>
            <w:pPr>
              <w:pStyle w:val="TableParagraph"/>
              <w:ind w:left="254" w:right="84"/>
              <w:jc w:val="left"/>
              <w:rPr>
                <w:sz w:val="20"/>
              </w:rPr>
            </w:pPr>
            <w:r>
              <w:rPr>
                <w:sz w:val="20"/>
              </w:rPr>
              <w:t>0.00</w:t>
            </w:r>
          </w:p>
        </w:tc>
        <w:tc>
          <w:tcPr>
            <w:tcW w:w="763" w:type="dxa"/>
            <w:tcBorders>
              <w:top w:val="nil"/>
              <w:left w:val="nil"/>
              <w:bottom w:val="nil"/>
              <w:right w:val="nil"/>
            </w:tcBorders>
          </w:tcPr>
          <w:p>
            <w:pPr>
              <w:pStyle w:val="TableParagraph"/>
              <w:ind w:right="60"/>
              <w:rPr>
                <w:sz w:val="20"/>
              </w:rPr>
            </w:pPr>
            <w:r>
              <w:rPr>
                <w:sz w:val="20"/>
              </w:rPr>
              <w:t>0.00</w:t>
            </w:r>
          </w:p>
        </w:tc>
      </w:tr>
      <w:tr>
        <w:trPr>
          <w:trHeight w:val="298" w:hRule="exact"/>
        </w:trPr>
        <w:tc>
          <w:tcPr>
            <w:tcW w:w="1556" w:type="dxa"/>
            <w:tcBorders>
              <w:top w:val="nil"/>
              <w:left w:val="nil"/>
              <w:bottom w:val="nil"/>
              <w:right w:val="nil"/>
            </w:tcBorders>
          </w:tcPr>
          <w:p>
            <w:pPr>
              <w:pStyle w:val="TableParagraph"/>
              <w:ind w:left="86"/>
              <w:jc w:val="left"/>
              <w:rPr>
                <w:sz w:val="20"/>
              </w:rPr>
            </w:pPr>
            <w:r>
              <w:rPr>
                <w:sz w:val="20"/>
              </w:rPr>
              <w:t>TEJ_LcSF</w:t>
            </w:r>
          </w:p>
        </w:tc>
        <w:tc>
          <w:tcPr>
            <w:tcW w:w="700" w:type="dxa"/>
            <w:tcBorders>
              <w:top w:val="nil"/>
              <w:left w:val="nil"/>
              <w:bottom w:val="nil"/>
              <w:right w:val="nil"/>
            </w:tcBorders>
          </w:tcPr>
          <w:p>
            <w:pPr>
              <w:pStyle w:val="TableParagraph"/>
              <w:ind w:left="200"/>
              <w:jc w:val="left"/>
              <w:rPr>
                <w:sz w:val="20"/>
              </w:rPr>
            </w:pPr>
            <w:r>
              <w:rPr>
                <w:sz w:val="20"/>
              </w:rPr>
              <w:t>0.00</w:t>
            </w:r>
          </w:p>
        </w:tc>
        <w:tc>
          <w:tcPr>
            <w:tcW w:w="711" w:type="dxa"/>
            <w:tcBorders>
              <w:top w:val="nil"/>
              <w:left w:val="nil"/>
              <w:bottom w:val="nil"/>
              <w:right w:val="nil"/>
            </w:tcBorders>
          </w:tcPr>
          <w:p>
            <w:pPr>
              <w:pStyle w:val="TableParagraph"/>
              <w:ind w:left="144"/>
              <w:jc w:val="left"/>
              <w:rPr>
                <w:sz w:val="20"/>
              </w:rPr>
            </w:pPr>
            <w:r>
              <w:rPr>
                <w:sz w:val="20"/>
              </w:rPr>
              <w:t>0.00</w:t>
            </w:r>
          </w:p>
        </w:tc>
        <w:tc>
          <w:tcPr>
            <w:tcW w:w="823" w:type="dxa"/>
            <w:tcBorders>
              <w:top w:val="nil"/>
              <w:left w:val="nil"/>
              <w:bottom w:val="nil"/>
              <w:right w:val="nil"/>
            </w:tcBorders>
          </w:tcPr>
          <w:p>
            <w:pPr>
              <w:pStyle w:val="TableParagraph"/>
              <w:ind w:left="254"/>
              <w:jc w:val="left"/>
              <w:rPr>
                <w:sz w:val="20"/>
              </w:rPr>
            </w:pPr>
            <w:r>
              <w:rPr>
                <w:sz w:val="20"/>
              </w:rPr>
              <w:t>0.00</w:t>
            </w:r>
          </w:p>
        </w:tc>
        <w:tc>
          <w:tcPr>
            <w:tcW w:w="824" w:type="dxa"/>
            <w:tcBorders>
              <w:top w:val="nil"/>
              <w:left w:val="nil"/>
              <w:bottom w:val="nil"/>
              <w:right w:val="nil"/>
            </w:tcBorders>
          </w:tcPr>
          <w:p>
            <w:pPr>
              <w:pStyle w:val="TableParagraph"/>
              <w:ind w:left="257"/>
              <w:jc w:val="left"/>
              <w:rPr>
                <w:sz w:val="20"/>
              </w:rPr>
            </w:pPr>
            <w:r>
              <w:rPr>
                <w:sz w:val="20"/>
              </w:rPr>
              <w:t>0.00</w:t>
            </w:r>
          </w:p>
        </w:tc>
        <w:tc>
          <w:tcPr>
            <w:tcW w:w="823" w:type="dxa"/>
            <w:tcBorders>
              <w:top w:val="nil"/>
              <w:left w:val="nil"/>
              <w:bottom w:val="nil"/>
              <w:right w:val="nil"/>
            </w:tcBorders>
          </w:tcPr>
          <w:p>
            <w:pPr>
              <w:pStyle w:val="TableParagraph"/>
              <w:ind w:right="211"/>
              <w:rPr>
                <w:sz w:val="20"/>
              </w:rPr>
            </w:pPr>
            <w:r>
              <w:rPr>
                <w:sz w:val="20"/>
              </w:rPr>
              <w:t>0.00</w:t>
            </w:r>
          </w:p>
        </w:tc>
        <w:tc>
          <w:tcPr>
            <w:tcW w:w="823" w:type="dxa"/>
            <w:tcBorders>
              <w:top w:val="nil"/>
              <w:left w:val="nil"/>
              <w:bottom w:val="nil"/>
              <w:right w:val="nil"/>
            </w:tcBorders>
          </w:tcPr>
          <w:p>
            <w:pPr>
              <w:pStyle w:val="TableParagraph"/>
              <w:ind w:left="256"/>
              <w:jc w:val="left"/>
              <w:rPr>
                <w:sz w:val="20"/>
              </w:rPr>
            </w:pPr>
            <w:r>
              <w:rPr>
                <w:sz w:val="20"/>
              </w:rPr>
              <w:t>0.00</w:t>
            </w:r>
          </w:p>
        </w:tc>
        <w:tc>
          <w:tcPr>
            <w:tcW w:w="824" w:type="dxa"/>
            <w:tcBorders>
              <w:top w:val="nil"/>
              <w:left w:val="nil"/>
              <w:bottom w:val="nil"/>
              <w:right w:val="nil"/>
            </w:tcBorders>
          </w:tcPr>
          <w:p>
            <w:pPr>
              <w:pStyle w:val="TableParagraph"/>
              <w:ind w:left="254"/>
              <w:jc w:val="left"/>
              <w:rPr>
                <w:sz w:val="20"/>
              </w:rPr>
            </w:pPr>
            <w:r>
              <w:rPr>
                <w:sz w:val="20"/>
              </w:rPr>
              <w:t>0.00</w:t>
            </w:r>
          </w:p>
        </w:tc>
        <w:tc>
          <w:tcPr>
            <w:tcW w:w="824" w:type="dxa"/>
            <w:tcBorders>
              <w:top w:val="nil"/>
              <w:left w:val="nil"/>
              <w:bottom w:val="nil"/>
              <w:right w:val="nil"/>
            </w:tcBorders>
          </w:tcPr>
          <w:p>
            <w:pPr>
              <w:pStyle w:val="TableParagraph"/>
              <w:ind w:left="257"/>
              <w:jc w:val="left"/>
              <w:rPr>
                <w:sz w:val="20"/>
              </w:rPr>
            </w:pPr>
            <w:r>
              <w:rPr>
                <w:sz w:val="20"/>
              </w:rPr>
              <w:t>0.00</w:t>
            </w:r>
          </w:p>
        </w:tc>
        <w:tc>
          <w:tcPr>
            <w:tcW w:w="821" w:type="dxa"/>
            <w:tcBorders>
              <w:top w:val="nil"/>
              <w:left w:val="nil"/>
              <w:bottom w:val="nil"/>
              <w:right w:val="nil"/>
            </w:tcBorders>
          </w:tcPr>
          <w:p>
            <w:pPr>
              <w:pStyle w:val="TableParagraph"/>
              <w:ind w:left="254" w:right="84"/>
              <w:jc w:val="left"/>
              <w:rPr>
                <w:sz w:val="20"/>
              </w:rPr>
            </w:pPr>
            <w:r>
              <w:rPr>
                <w:sz w:val="20"/>
              </w:rPr>
              <w:t>0.00</w:t>
            </w:r>
          </w:p>
        </w:tc>
        <w:tc>
          <w:tcPr>
            <w:tcW w:w="763" w:type="dxa"/>
            <w:tcBorders>
              <w:top w:val="nil"/>
              <w:left w:val="nil"/>
              <w:bottom w:val="nil"/>
              <w:right w:val="nil"/>
            </w:tcBorders>
          </w:tcPr>
          <w:p>
            <w:pPr>
              <w:pStyle w:val="TableParagraph"/>
              <w:ind w:right="60"/>
              <w:rPr>
                <w:sz w:val="20"/>
              </w:rPr>
            </w:pPr>
            <w:r>
              <w:rPr>
                <w:sz w:val="20"/>
              </w:rPr>
              <w:t>0.00</w:t>
            </w:r>
          </w:p>
        </w:tc>
      </w:tr>
      <w:tr>
        <w:trPr>
          <w:trHeight w:val="298" w:hRule="exact"/>
        </w:trPr>
        <w:tc>
          <w:tcPr>
            <w:tcW w:w="1556" w:type="dxa"/>
            <w:tcBorders>
              <w:top w:val="nil"/>
              <w:left w:val="nil"/>
              <w:bottom w:val="nil"/>
              <w:right w:val="nil"/>
            </w:tcBorders>
          </w:tcPr>
          <w:p>
            <w:pPr>
              <w:pStyle w:val="TableParagraph"/>
              <w:ind w:left="86"/>
              <w:jc w:val="left"/>
              <w:rPr>
                <w:sz w:val="20"/>
              </w:rPr>
            </w:pPr>
            <w:r>
              <w:rPr>
                <w:sz w:val="20"/>
              </w:rPr>
              <w:t>TEJ_TmFlp</w:t>
            </w:r>
          </w:p>
        </w:tc>
        <w:tc>
          <w:tcPr>
            <w:tcW w:w="700" w:type="dxa"/>
            <w:tcBorders>
              <w:top w:val="nil"/>
              <w:left w:val="nil"/>
              <w:bottom w:val="nil"/>
              <w:right w:val="nil"/>
            </w:tcBorders>
          </w:tcPr>
          <w:p>
            <w:pPr>
              <w:pStyle w:val="TableParagraph"/>
              <w:ind w:left="200"/>
              <w:jc w:val="left"/>
              <w:rPr>
                <w:sz w:val="20"/>
              </w:rPr>
            </w:pPr>
            <w:r>
              <w:rPr>
                <w:sz w:val="20"/>
              </w:rPr>
              <w:t>0.00</w:t>
            </w:r>
          </w:p>
        </w:tc>
        <w:tc>
          <w:tcPr>
            <w:tcW w:w="711" w:type="dxa"/>
            <w:tcBorders>
              <w:top w:val="nil"/>
              <w:left w:val="nil"/>
              <w:bottom w:val="nil"/>
              <w:right w:val="nil"/>
            </w:tcBorders>
          </w:tcPr>
          <w:p>
            <w:pPr>
              <w:pStyle w:val="TableParagraph"/>
              <w:ind w:left="144"/>
              <w:jc w:val="left"/>
              <w:rPr>
                <w:sz w:val="20"/>
              </w:rPr>
            </w:pPr>
            <w:r>
              <w:rPr>
                <w:sz w:val="20"/>
              </w:rPr>
              <w:t>0.00</w:t>
            </w:r>
          </w:p>
        </w:tc>
        <w:tc>
          <w:tcPr>
            <w:tcW w:w="823" w:type="dxa"/>
            <w:tcBorders>
              <w:top w:val="nil"/>
              <w:left w:val="nil"/>
              <w:bottom w:val="nil"/>
              <w:right w:val="nil"/>
            </w:tcBorders>
          </w:tcPr>
          <w:p>
            <w:pPr>
              <w:pStyle w:val="TableParagraph"/>
              <w:ind w:left="254"/>
              <w:jc w:val="left"/>
              <w:rPr>
                <w:sz w:val="20"/>
              </w:rPr>
            </w:pPr>
            <w:r>
              <w:rPr>
                <w:sz w:val="20"/>
              </w:rPr>
              <w:t>0.00</w:t>
            </w:r>
          </w:p>
        </w:tc>
        <w:tc>
          <w:tcPr>
            <w:tcW w:w="824" w:type="dxa"/>
            <w:tcBorders>
              <w:top w:val="nil"/>
              <w:left w:val="nil"/>
              <w:bottom w:val="nil"/>
              <w:right w:val="nil"/>
            </w:tcBorders>
          </w:tcPr>
          <w:p>
            <w:pPr>
              <w:pStyle w:val="TableParagraph"/>
              <w:ind w:left="257"/>
              <w:jc w:val="left"/>
              <w:rPr>
                <w:sz w:val="20"/>
              </w:rPr>
            </w:pPr>
            <w:r>
              <w:rPr>
                <w:sz w:val="20"/>
              </w:rPr>
              <w:t>0.00</w:t>
            </w:r>
          </w:p>
        </w:tc>
        <w:tc>
          <w:tcPr>
            <w:tcW w:w="823" w:type="dxa"/>
            <w:tcBorders>
              <w:top w:val="nil"/>
              <w:left w:val="nil"/>
              <w:bottom w:val="nil"/>
              <w:right w:val="nil"/>
            </w:tcBorders>
          </w:tcPr>
          <w:p>
            <w:pPr>
              <w:pStyle w:val="TableParagraph"/>
              <w:ind w:right="211"/>
              <w:rPr>
                <w:sz w:val="20"/>
              </w:rPr>
            </w:pPr>
            <w:r>
              <w:rPr>
                <w:sz w:val="20"/>
              </w:rPr>
              <w:t>0.00</w:t>
            </w:r>
          </w:p>
        </w:tc>
        <w:tc>
          <w:tcPr>
            <w:tcW w:w="823" w:type="dxa"/>
            <w:tcBorders>
              <w:top w:val="nil"/>
              <w:left w:val="nil"/>
              <w:bottom w:val="nil"/>
              <w:right w:val="nil"/>
            </w:tcBorders>
          </w:tcPr>
          <w:p>
            <w:pPr>
              <w:pStyle w:val="TableParagraph"/>
              <w:ind w:left="256"/>
              <w:jc w:val="left"/>
              <w:rPr>
                <w:sz w:val="20"/>
              </w:rPr>
            </w:pPr>
            <w:r>
              <w:rPr>
                <w:sz w:val="20"/>
              </w:rPr>
              <w:t>0.00</w:t>
            </w:r>
          </w:p>
        </w:tc>
        <w:tc>
          <w:tcPr>
            <w:tcW w:w="824" w:type="dxa"/>
            <w:tcBorders>
              <w:top w:val="nil"/>
              <w:left w:val="nil"/>
              <w:bottom w:val="nil"/>
              <w:right w:val="nil"/>
            </w:tcBorders>
          </w:tcPr>
          <w:p>
            <w:pPr>
              <w:pStyle w:val="TableParagraph"/>
              <w:ind w:left="254"/>
              <w:jc w:val="left"/>
              <w:rPr>
                <w:sz w:val="20"/>
              </w:rPr>
            </w:pPr>
            <w:r>
              <w:rPr>
                <w:sz w:val="20"/>
              </w:rPr>
              <w:t>0.00</w:t>
            </w:r>
          </w:p>
        </w:tc>
        <w:tc>
          <w:tcPr>
            <w:tcW w:w="824" w:type="dxa"/>
            <w:tcBorders>
              <w:top w:val="nil"/>
              <w:left w:val="nil"/>
              <w:bottom w:val="nil"/>
              <w:right w:val="nil"/>
            </w:tcBorders>
          </w:tcPr>
          <w:p>
            <w:pPr>
              <w:pStyle w:val="TableParagraph"/>
              <w:ind w:left="257"/>
              <w:jc w:val="left"/>
              <w:rPr>
                <w:sz w:val="20"/>
              </w:rPr>
            </w:pPr>
            <w:r>
              <w:rPr>
                <w:sz w:val="20"/>
              </w:rPr>
              <w:t>0.00</w:t>
            </w:r>
          </w:p>
        </w:tc>
        <w:tc>
          <w:tcPr>
            <w:tcW w:w="821" w:type="dxa"/>
            <w:tcBorders>
              <w:top w:val="nil"/>
              <w:left w:val="nil"/>
              <w:bottom w:val="nil"/>
              <w:right w:val="nil"/>
            </w:tcBorders>
          </w:tcPr>
          <w:p>
            <w:pPr>
              <w:pStyle w:val="TableParagraph"/>
              <w:ind w:left="254" w:right="84"/>
              <w:jc w:val="left"/>
              <w:rPr>
                <w:sz w:val="20"/>
              </w:rPr>
            </w:pPr>
            <w:r>
              <w:rPr>
                <w:sz w:val="20"/>
              </w:rPr>
              <w:t>0.00</w:t>
            </w:r>
          </w:p>
        </w:tc>
        <w:tc>
          <w:tcPr>
            <w:tcW w:w="763" w:type="dxa"/>
            <w:tcBorders>
              <w:top w:val="nil"/>
              <w:left w:val="nil"/>
              <w:bottom w:val="nil"/>
              <w:right w:val="nil"/>
            </w:tcBorders>
          </w:tcPr>
          <w:p>
            <w:pPr>
              <w:pStyle w:val="TableParagraph"/>
              <w:ind w:right="60"/>
              <w:rPr>
                <w:sz w:val="20"/>
              </w:rPr>
            </w:pPr>
            <w:r>
              <w:rPr>
                <w:sz w:val="20"/>
              </w:rPr>
              <w:t>0.00</w:t>
            </w:r>
          </w:p>
        </w:tc>
      </w:tr>
      <w:tr>
        <w:trPr>
          <w:trHeight w:val="298" w:hRule="exact"/>
        </w:trPr>
        <w:tc>
          <w:tcPr>
            <w:tcW w:w="1556" w:type="dxa"/>
            <w:tcBorders>
              <w:top w:val="nil"/>
              <w:left w:val="nil"/>
              <w:bottom w:val="nil"/>
              <w:right w:val="nil"/>
            </w:tcBorders>
          </w:tcPr>
          <w:p>
            <w:pPr>
              <w:pStyle w:val="TableParagraph"/>
              <w:ind w:left="86"/>
              <w:jc w:val="left"/>
              <w:rPr>
                <w:sz w:val="20"/>
              </w:rPr>
            </w:pPr>
            <w:r>
              <w:rPr>
                <w:sz w:val="20"/>
              </w:rPr>
              <w:t>TEJ_ToSF</w:t>
            </w:r>
          </w:p>
        </w:tc>
        <w:tc>
          <w:tcPr>
            <w:tcW w:w="700" w:type="dxa"/>
            <w:tcBorders>
              <w:top w:val="nil"/>
              <w:left w:val="nil"/>
              <w:bottom w:val="nil"/>
              <w:right w:val="nil"/>
            </w:tcBorders>
          </w:tcPr>
          <w:p>
            <w:pPr>
              <w:pStyle w:val="TableParagraph"/>
              <w:ind w:left="200"/>
              <w:jc w:val="left"/>
              <w:rPr>
                <w:sz w:val="20"/>
              </w:rPr>
            </w:pPr>
            <w:r>
              <w:rPr>
                <w:sz w:val="20"/>
              </w:rPr>
              <w:t>0.00</w:t>
            </w:r>
          </w:p>
        </w:tc>
        <w:tc>
          <w:tcPr>
            <w:tcW w:w="711" w:type="dxa"/>
            <w:tcBorders>
              <w:top w:val="nil"/>
              <w:left w:val="nil"/>
              <w:bottom w:val="nil"/>
              <w:right w:val="nil"/>
            </w:tcBorders>
          </w:tcPr>
          <w:p>
            <w:pPr>
              <w:pStyle w:val="TableParagraph"/>
              <w:ind w:left="144"/>
              <w:jc w:val="left"/>
              <w:rPr>
                <w:sz w:val="20"/>
              </w:rPr>
            </w:pPr>
            <w:r>
              <w:rPr>
                <w:sz w:val="20"/>
              </w:rPr>
              <w:t>0.00</w:t>
            </w:r>
          </w:p>
        </w:tc>
        <w:tc>
          <w:tcPr>
            <w:tcW w:w="823" w:type="dxa"/>
            <w:tcBorders>
              <w:top w:val="nil"/>
              <w:left w:val="nil"/>
              <w:bottom w:val="nil"/>
              <w:right w:val="nil"/>
            </w:tcBorders>
          </w:tcPr>
          <w:p>
            <w:pPr>
              <w:pStyle w:val="TableParagraph"/>
              <w:ind w:left="254"/>
              <w:jc w:val="left"/>
              <w:rPr>
                <w:sz w:val="20"/>
              </w:rPr>
            </w:pPr>
            <w:r>
              <w:rPr>
                <w:sz w:val="20"/>
              </w:rPr>
              <w:t>0.00</w:t>
            </w:r>
          </w:p>
        </w:tc>
        <w:tc>
          <w:tcPr>
            <w:tcW w:w="824" w:type="dxa"/>
            <w:tcBorders>
              <w:top w:val="nil"/>
              <w:left w:val="nil"/>
              <w:bottom w:val="nil"/>
              <w:right w:val="nil"/>
            </w:tcBorders>
          </w:tcPr>
          <w:p>
            <w:pPr>
              <w:pStyle w:val="TableParagraph"/>
              <w:ind w:left="257"/>
              <w:jc w:val="left"/>
              <w:rPr>
                <w:sz w:val="20"/>
              </w:rPr>
            </w:pPr>
            <w:r>
              <w:rPr>
                <w:sz w:val="20"/>
              </w:rPr>
              <w:t>0.00</w:t>
            </w:r>
          </w:p>
        </w:tc>
        <w:tc>
          <w:tcPr>
            <w:tcW w:w="823" w:type="dxa"/>
            <w:tcBorders>
              <w:top w:val="nil"/>
              <w:left w:val="nil"/>
              <w:bottom w:val="nil"/>
              <w:right w:val="nil"/>
            </w:tcBorders>
          </w:tcPr>
          <w:p>
            <w:pPr>
              <w:pStyle w:val="TableParagraph"/>
              <w:ind w:right="211"/>
              <w:rPr>
                <w:sz w:val="20"/>
              </w:rPr>
            </w:pPr>
            <w:r>
              <w:rPr>
                <w:sz w:val="20"/>
              </w:rPr>
              <w:t>0.00</w:t>
            </w:r>
          </w:p>
        </w:tc>
        <w:tc>
          <w:tcPr>
            <w:tcW w:w="823" w:type="dxa"/>
            <w:tcBorders>
              <w:top w:val="nil"/>
              <w:left w:val="nil"/>
              <w:bottom w:val="nil"/>
              <w:right w:val="nil"/>
            </w:tcBorders>
          </w:tcPr>
          <w:p>
            <w:pPr>
              <w:pStyle w:val="TableParagraph"/>
              <w:ind w:left="256"/>
              <w:jc w:val="left"/>
              <w:rPr>
                <w:sz w:val="20"/>
              </w:rPr>
            </w:pPr>
            <w:r>
              <w:rPr>
                <w:sz w:val="20"/>
              </w:rPr>
              <w:t>0.00</w:t>
            </w:r>
          </w:p>
        </w:tc>
        <w:tc>
          <w:tcPr>
            <w:tcW w:w="824" w:type="dxa"/>
            <w:tcBorders>
              <w:top w:val="nil"/>
              <w:left w:val="nil"/>
              <w:bottom w:val="nil"/>
              <w:right w:val="nil"/>
            </w:tcBorders>
          </w:tcPr>
          <w:p>
            <w:pPr>
              <w:pStyle w:val="TableParagraph"/>
              <w:ind w:left="254"/>
              <w:jc w:val="left"/>
              <w:rPr>
                <w:sz w:val="20"/>
              </w:rPr>
            </w:pPr>
            <w:r>
              <w:rPr>
                <w:sz w:val="20"/>
              </w:rPr>
              <w:t>0.00</w:t>
            </w:r>
          </w:p>
        </w:tc>
        <w:tc>
          <w:tcPr>
            <w:tcW w:w="824" w:type="dxa"/>
            <w:tcBorders>
              <w:top w:val="nil"/>
              <w:left w:val="nil"/>
              <w:bottom w:val="nil"/>
              <w:right w:val="nil"/>
            </w:tcBorders>
          </w:tcPr>
          <w:p>
            <w:pPr>
              <w:pStyle w:val="TableParagraph"/>
              <w:ind w:left="257"/>
              <w:jc w:val="left"/>
              <w:rPr>
                <w:sz w:val="20"/>
              </w:rPr>
            </w:pPr>
            <w:r>
              <w:rPr>
                <w:sz w:val="20"/>
              </w:rPr>
              <w:t>0.00</w:t>
            </w:r>
          </w:p>
        </w:tc>
        <w:tc>
          <w:tcPr>
            <w:tcW w:w="821" w:type="dxa"/>
            <w:tcBorders>
              <w:top w:val="nil"/>
              <w:left w:val="nil"/>
              <w:bottom w:val="nil"/>
              <w:right w:val="nil"/>
            </w:tcBorders>
          </w:tcPr>
          <w:p>
            <w:pPr>
              <w:pStyle w:val="TableParagraph"/>
              <w:ind w:left="254" w:right="84"/>
              <w:jc w:val="left"/>
              <w:rPr>
                <w:sz w:val="20"/>
              </w:rPr>
            </w:pPr>
            <w:r>
              <w:rPr>
                <w:sz w:val="20"/>
              </w:rPr>
              <w:t>0.00</w:t>
            </w:r>
          </w:p>
        </w:tc>
        <w:tc>
          <w:tcPr>
            <w:tcW w:w="763" w:type="dxa"/>
            <w:tcBorders>
              <w:top w:val="nil"/>
              <w:left w:val="nil"/>
              <w:bottom w:val="nil"/>
              <w:right w:val="nil"/>
            </w:tcBorders>
          </w:tcPr>
          <w:p>
            <w:pPr>
              <w:pStyle w:val="TableParagraph"/>
              <w:ind w:right="60"/>
              <w:rPr>
                <w:sz w:val="20"/>
              </w:rPr>
            </w:pPr>
            <w:r>
              <w:rPr>
                <w:sz w:val="20"/>
              </w:rPr>
              <w:t>0.00</w:t>
            </w:r>
          </w:p>
        </w:tc>
      </w:tr>
      <w:tr>
        <w:trPr>
          <w:trHeight w:val="298" w:hRule="exact"/>
        </w:trPr>
        <w:tc>
          <w:tcPr>
            <w:tcW w:w="1556" w:type="dxa"/>
            <w:tcBorders>
              <w:top w:val="nil"/>
              <w:left w:val="nil"/>
              <w:bottom w:val="nil"/>
              <w:right w:val="nil"/>
            </w:tcBorders>
          </w:tcPr>
          <w:p>
            <w:pPr>
              <w:pStyle w:val="TableParagraph"/>
              <w:ind w:left="86"/>
              <w:jc w:val="left"/>
              <w:rPr>
                <w:sz w:val="20"/>
              </w:rPr>
            </w:pPr>
            <w:r>
              <w:rPr>
                <w:sz w:val="20"/>
              </w:rPr>
              <w:t>TEJ_VpFd</w:t>
            </w:r>
          </w:p>
        </w:tc>
        <w:tc>
          <w:tcPr>
            <w:tcW w:w="700" w:type="dxa"/>
            <w:tcBorders>
              <w:top w:val="nil"/>
              <w:left w:val="nil"/>
              <w:bottom w:val="nil"/>
              <w:right w:val="nil"/>
            </w:tcBorders>
          </w:tcPr>
          <w:p>
            <w:pPr>
              <w:pStyle w:val="TableParagraph"/>
              <w:ind w:left="200"/>
              <w:jc w:val="left"/>
              <w:rPr>
                <w:sz w:val="20"/>
              </w:rPr>
            </w:pPr>
            <w:r>
              <w:rPr>
                <w:sz w:val="20"/>
              </w:rPr>
              <w:t>0.00</w:t>
            </w:r>
          </w:p>
        </w:tc>
        <w:tc>
          <w:tcPr>
            <w:tcW w:w="711" w:type="dxa"/>
            <w:tcBorders>
              <w:top w:val="nil"/>
              <w:left w:val="nil"/>
              <w:bottom w:val="nil"/>
              <w:right w:val="nil"/>
            </w:tcBorders>
          </w:tcPr>
          <w:p>
            <w:pPr>
              <w:pStyle w:val="TableParagraph"/>
              <w:ind w:left="144"/>
              <w:jc w:val="left"/>
              <w:rPr>
                <w:sz w:val="20"/>
              </w:rPr>
            </w:pPr>
            <w:r>
              <w:rPr>
                <w:sz w:val="20"/>
              </w:rPr>
              <w:t>0.00</w:t>
            </w:r>
          </w:p>
        </w:tc>
        <w:tc>
          <w:tcPr>
            <w:tcW w:w="823" w:type="dxa"/>
            <w:tcBorders>
              <w:top w:val="nil"/>
              <w:left w:val="nil"/>
              <w:bottom w:val="nil"/>
              <w:right w:val="nil"/>
            </w:tcBorders>
          </w:tcPr>
          <w:p>
            <w:pPr>
              <w:pStyle w:val="TableParagraph"/>
              <w:ind w:left="254"/>
              <w:jc w:val="left"/>
              <w:rPr>
                <w:sz w:val="20"/>
              </w:rPr>
            </w:pPr>
            <w:r>
              <w:rPr>
                <w:sz w:val="20"/>
              </w:rPr>
              <w:t>0.00</w:t>
            </w:r>
          </w:p>
        </w:tc>
        <w:tc>
          <w:tcPr>
            <w:tcW w:w="824" w:type="dxa"/>
            <w:tcBorders>
              <w:top w:val="nil"/>
              <w:left w:val="nil"/>
              <w:bottom w:val="nil"/>
              <w:right w:val="nil"/>
            </w:tcBorders>
          </w:tcPr>
          <w:p>
            <w:pPr>
              <w:pStyle w:val="TableParagraph"/>
              <w:ind w:left="257"/>
              <w:jc w:val="left"/>
              <w:rPr>
                <w:sz w:val="20"/>
              </w:rPr>
            </w:pPr>
            <w:r>
              <w:rPr>
                <w:sz w:val="20"/>
              </w:rPr>
              <w:t>0.00</w:t>
            </w:r>
          </w:p>
        </w:tc>
        <w:tc>
          <w:tcPr>
            <w:tcW w:w="823" w:type="dxa"/>
            <w:tcBorders>
              <w:top w:val="nil"/>
              <w:left w:val="nil"/>
              <w:bottom w:val="nil"/>
              <w:right w:val="nil"/>
            </w:tcBorders>
          </w:tcPr>
          <w:p>
            <w:pPr>
              <w:pStyle w:val="TableParagraph"/>
              <w:ind w:right="211"/>
              <w:rPr>
                <w:sz w:val="20"/>
              </w:rPr>
            </w:pPr>
            <w:r>
              <w:rPr>
                <w:sz w:val="20"/>
              </w:rPr>
              <w:t>0.00</w:t>
            </w:r>
          </w:p>
        </w:tc>
        <w:tc>
          <w:tcPr>
            <w:tcW w:w="823" w:type="dxa"/>
            <w:tcBorders>
              <w:top w:val="nil"/>
              <w:left w:val="nil"/>
              <w:bottom w:val="nil"/>
              <w:right w:val="nil"/>
            </w:tcBorders>
          </w:tcPr>
          <w:p>
            <w:pPr>
              <w:pStyle w:val="TableParagraph"/>
              <w:ind w:left="256"/>
              <w:jc w:val="left"/>
              <w:rPr>
                <w:sz w:val="20"/>
              </w:rPr>
            </w:pPr>
            <w:r>
              <w:rPr>
                <w:sz w:val="20"/>
              </w:rPr>
              <w:t>0.00</w:t>
            </w:r>
          </w:p>
        </w:tc>
        <w:tc>
          <w:tcPr>
            <w:tcW w:w="824" w:type="dxa"/>
            <w:tcBorders>
              <w:top w:val="nil"/>
              <w:left w:val="nil"/>
              <w:bottom w:val="nil"/>
              <w:right w:val="nil"/>
            </w:tcBorders>
          </w:tcPr>
          <w:p>
            <w:pPr>
              <w:pStyle w:val="TableParagraph"/>
              <w:ind w:left="254"/>
              <w:jc w:val="left"/>
              <w:rPr>
                <w:sz w:val="20"/>
              </w:rPr>
            </w:pPr>
            <w:r>
              <w:rPr>
                <w:sz w:val="20"/>
              </w:rPr>
              <w:t>0.00</w:t>
            </w:r>
          </w:p>
        </w:tc>
        <w:tc>
          <w:tcPr>
            <w:tcW w:w="824" w:type="dxa"/>
            <w:tcBorders>
              <w:top w:val="nil"/>
              <w:left w:val="nil"/>
              <w:bottom w:val="nil"/>
              <w:right w:val="nil"/>
            </w:tcBorders>
          </w:tcPr>
          <w:p>
            <w:pPr>
              <w:pStyle w:val="TableParagraph"/>
              <w:ind w:left="257"/>
              <w:jc w:val="left"/>
              <w:rPr>
                <w:sz w:val="20"/>
              </w:rPr>
            </w:pPr>
            <w:r>
              <w:rPr>
                <w:sz w:val="20"/>
              </w:rPr>
              <w:t>0.00</w:t>
            </w:r>
          </w:p>
        </w:tc>
        <w:tc>
          <w:tcPr>
            <w:tcW w:w="821" w:type="dxa"/>
            <w:tcBorders>
              <w:top w:val="nil"/>
              <w:left w:val="nil"/>
              <w:bottom w:val="nil"/>
              <w:right w:val="nil"/>
            </w:tcBorders>
          </w:tcPr>
          <w:p>
            <w:pPr>
              <w:pStyle w:val="TableParagraph"/>
              <w:ind w:left="254" w:right="84"/>
              <w:jc w:val="left"/>
              <w:rPr>
                <w:sz w:val="20"/>
              </w:rPr>
            </w:pPr>
            <w:r>
              <w:rPr>
                <w:sz w:val="20"/>
              </w:rPr>
              <w:t>0.00</w:t>
            </w:r>
          </w:p>
        </w:tc>
        <w:tc>
          <w:tcPr>
            <w:tcW w:w="763" w:type="dxa"/>
            <w:tcBorders>
              <w:top w:val="nil"/>
              <w:left w:val="nil"/>
              <w:bottom w:val="nil"/>
              <w:right w:val="nil"/>
            </w:tcBorders>
          </w:tcPr>
          <w:p>
            <w:pPr>
              <w:pStyle w:val="TableParagraph"/>
              <w:ind w:right="60"/>
              <w:rPr>
                <w:sz w:val="20"/>
              </w:rPr>
            </w:pPr>
            <w:r>
              <w:rPr>
                <w:sz w:val="20"/>
              </w:rPr>
              <w:t>0.00</w:t>
            </w:r>
          </w:p>
        </w:tc>
      </w:tr>
      <w:tr>
        <w:trPr>
          <w:trHeight w:val="300" w:hRule="exact"/>
        </w:trPr>
        <w:tc>
          <w:tcPr>
            <w:tcW w:w="1556" w:type="dxa"/>
            <w:tcBorders>
              <w:top w:val="nil"/>
              <w:left w:val="nil"/>
              <w:bottom w:val="nil"/>
              <w:right w:val="nil"/>
            </w:tcBorders>
          </w:tcPr>
          <w:p>
            <w:pPr>
              <w:pStyle w:val="TableParagraph"/>
              <w:ind w:left="86"/>
              <w:jc w:val="left"/>
              <w:rPr>
                <w:sz w:val="20"/>
              </w:rPr>
            </w:pPr>
            <w:r>
              <w:rPr>
                <w:sz w:val="20"/>
              </w:rPr>
              <w:t>TEJ_VpFdp</w:t>
            </w:r>
          </w:p>
        </w:tc>
        <w:tc>
          <w:tcPr>
            <w:tcW w:w="700" w:type="dxa"/>
            <w:tcBorders>
              <w:top w:val="nil"/>
              <w:left w:val="nil"/>
              <w:bottom w:val="nil"/>
              <w:right w:val="nil"/>
            </w:tcBorders>
          </w:tcPr>
          <w:p>
            <w:pPr>
              <w:pStyle w:val="TableParagraph"/>
              <w:ind w:left="200"/>
              <w:jc w:val="left"/>
              <w:rPr>
                <w:sz w:val="20"/>
              </w:rPr>
            </w:pPr>
            <w:r>
              <w:rPr>
                <w:sz w:val="20"/>
              </w:rPr>
              <w:t>0.00</w:t>
            </w:r>
          </w:p>
        </w:tc>
        <w:tc>
          <w:tcPr>
            <w:tcW w:w="711" w:type="dxa"/>
            <w:tcBorders>
              <w:top w:val="nil"/>
              <w:left w:val="nil"/>
              <w:bottom w:val="nil"/>
              <w:right w:val="nil"/>
            </w:tcBorders>
          </w:tcPr>
          <w:p>
            <w:pPr>
              <w:pStyle w:val="TableParagraph"/>
              <w:ind w:left="144"/>
              <w:jc w:val="left"/>
              <w:rPr>
                <w:sz w:val="20"/>
              </w:rPr>
            </w:pPr>
            <w:r>
              <w:rPr>
                <w:sz w:val="20"/>
              </w:rPr>
              <w:t>0.00</w:t>
            </w:r>
          </w:p>
        </w:tc>
        <w:tc>
          <w:tcPr>
            <w:tcW w:w="823" w:type="dxa"/>
            <w:tcBorders>
              <w:top w:val="nil"/>
              <w:left w:val="nil"/>
              <w:bottom w:val="nil"/>
              <w:right w:val="nil"/>
            </w:tcBorders>
          </w:tcPr>
          <w:p>
            <w:pPr>
              <w:pStyle w:val="TableParagraph"/>
              <w:ind w:left="254"/>
              <w:jc w:val="left"/>
              <w:rPr>
                <w:sz w:val="20"/>
              </w:rPr>
            </w:pPr>
            <w:r>
              <w:rPr>
                <w:sz w:val="20"/>
              </w:rPr>
              <w:t>0.00</w:t>
            </w:r>
          </w:p>
        </w:tc>
        <w:tc>
          <w:tcPr>
            <w:tcW w:w="824" w:type="dxa"/>
            <w:tcBorders>
              <w:top w:val="nil"/>
              <w:left w:val="nil"/>
              <w:bottom w:val="nil"/>
              <w:right w:val="nil"/>
            </w:tcBorders>
          </w:tcPr>
          <w:p>
            <w:pPr>
              <w:pStyle w:val="TableParagraph"/>
              <w:ind w:left="257"/>
              <w:jc w:val="left"/>
              <w:rPr>
                <w:sz w:val="20"/>
              </w:rPr>
            </w:pPr>
            <w:r>
              <w:rPr>
                <w:sz w:val="20"/>
              </w:rPr>
              <w:t>0.00</w:t>
            </w:r>
          </w:p>
        </w:tc>
        <w:tc>
          <w:tcPr>
            <w:tcW w:w="823" w:type="dxa"/>
            <w:tcBorders>
              <w:top w:val="nil"/>
              <w:left w:val="nil"/>
              <w:bottom w:val="nil"/>
              <w:right w:val="nil"/>
            </w:tcBorders>
          </w:tcPr>
          <w:p>
            <w:pPr>
              <w:pStyle w:val="TableParagraph"/>
              <w:ind w:right="211"/>
              <w:rPr>
                <w:sz w:val="20"/>
              </w:rPr>
            </w:pPr>
            <w:r>
              <w:rPr>
                <w:sz w:val="20"/>
              </w:rPr>
              <w:t>0.00</w:t>
            </w:r>
          </w:p>
        </w:tc>
        <w:tc>
          <w:tcPr>
            <w:tcW w:w="823" w:type="dxa"/>
            <w:tcBorders>
              <w:top w:val="nil"/>
              <w:left w:val="nil"/>
              <w:bottom w:val="nil"/>
              <w:right w:val="nil"/>
            </w:tcBorders>
          </w:tcPr>
          <w:p>
            <w:pPr>
              <w:pStyle w:val="TableParagraph"/>
              <w:ind w:left="256"/>
              <w:jc w:val="left"/>
              <w:rPr>
                <w:sz w:val="20"/>
              </w:rPr>
            </w:pPr>
            <w:r>
              <w:rPr>
                <w:sz w:val="20"/>
              </w:rPr>
              <w:t>0.00</w:t>
            </w:r>
          </w:p>
        </w:tc>
        <w:tc>
          <w:tcPr>
            <w:tcW w:w="824" w:type="dxa"/>
            <w:tcBorders>
              <w:top w:val="nil"/>
              <w:left w:val="nil"/>
              <w:bottom w:val="nil"/>
              <w:right w:val="nil"/>
            </w:tcBorders>
          </w:tcPr>
          <w:p>
            <w:pPr>
              <w:pStyle w:val="TableParagraph"/>
              <w:ind w:left="254"/>
              <w:jc w:val="left"/>
              <w:rPr>
                <w:sz w:val="20"/>
              </w:rPr>
            </w:pPr>
            <w:r>
              <w:rPr>
                <w:sz w:val="20"/>
              </w:rPr>
              <w:t>0.00</w:t>
            </w:r>
          </w:p>
        </w:tc>
        <w:tc>
          <w:tcPr>
            <w:tcW w:w="824" w:type="dxa"/>
            <w:tcBorders>
              <w:top w:val="nil"/>
              <w:left w:val="nil"/>
              <w:bottom w:val="nil"/>
              <w:right w:val="nil"/>
            </w:tcBorders>
          </w:tcPr>
          <w:p>
            <w:pPr>
              <w:pStyle w:val="TableParagraph"/>
              <w:ind w:left="257"/>
              <w:jc w:val="left"/>
              <w:rPr>
                <w:sz w:val="20"/>
              </w:rPr>
            </w:pPr>
            <w:r>
              <w:rPr>
                <w:sz w:val="20"/>
              </w:rPr>
              <w:t>0.00</w:t>
            </w:r>
          </w:p>
        </w:tc>
        <w:tc>
          <w:tcPr>
            <w:tcW w:w="821" w:type="dxa"/>
            <w:tcBorders>
              <w:top w:val="nil"/>
              <w:left w:val="nil"/>
              <w:bottom w:val="nil"/>
              <w:right w:val="nil"/>
            </w:tcBorders>
          </w:tcPr>
          <w:p>
            <w:pPr>
              <w:pStyle w:val="TableParagraph"/>
              <w:ind w:left="254" w:right="84"/>
              <w:jc w:val="left"/>
              <w:rPr>
                <w:sz w:val="20"/>
              </w:rPr>
            </w:pPr>
            <w:r>
              <w:rPr>
                <w:sz w:val="20"/>
              </w:rPr>
              <w:t>0.00</w:t>
            </w:r>
          </w:p>
        </w:tc>
        <w:tc>
          <w:tcPr>
            <w:tcW w:w="763" w:type="dxa"/>
            <w:tcBorders>
              <w:top w:val="nil"/>
              <w:left w:val="nil"/>
              <w:bottom w:val="nil"/>
              <w:right w:val="nil"/>
            </w:tcBorders>
          </w:tcPr>
          <w:p>
            <w:pPr>
              <w:pStyle w:val="TableParagraph"/>
              <w:ind w:right="60"/>
              <w:rPr>
                <w:sz w:val="20"/>
              </w:rPr>
            </w:pPr>
            <w:r>
              <w:rPr>
                <w:sz w:val="20"/>
              </w:rPr>
              <w:t>0.00</w:t>
            </w:r>
          </w:p>
        </w:tc>
      </w:tr>
      <w:tr>
        <w:trPr>
          <w:trHeight w:val="300" w:hRule="exact"/>
        </w:trPr>
        <w:tc>
          <w:tcPr>
            <w:tcW w:w="1556" w:type="dxa"/>
            <w:tcBorders>
              <w:top w:val="nil"/>
              <w:left w:val="nil"/>
              <w:bottom w:val="nil"/>
              <w:right w:val="nil"/>
            </w:tcBorders>
          </w:tcPr>
          <w:p>
            <w:pPr>
              <w:pStyle w:val="TableParagraph"/>
              <w:spacing w:before="26"/>
              <w:ind w:left="86"/>
              <w:jc w:val="left"/>
              <w:rPr>
                <w:sz w:val="20"/>
              </w:rPr>
            </w:pPr>
            <w:r>
              <w:rPr>
                <w:sz w:val="20"/>
              </w:rPr>
              <w:t>TEJ_VpSF</w:t>
            </w:r>
          </w:p>
        </w:tc>
        <w:tc>
          <w:tcPr>
            <w:tcW w:w="700" w:type="dxa"/>
            <w:tcBorders>
              <w:top w:val="nil"/>
              <w:left w:val="nil"/>
              <w:bottom w:val="nil"/>
              <w:right w:val="nil"/>
            </w:tcBorders>
          </w:tcPr>
          <w:p>
            <w:pPr>
              <w:pStyle w:val="TableParagraph"/>
              <w:spacing w:before="26"/>
              <w:ind w:left="200"/>
              <w:jc w:val="left"/>
              <w:rPr>
                <w:sz w:val="20"/>
              </w:rPr>
            </w:pPr>
            <w:r>
              <w:rPr>
                <w:sz w:val="20"/>
              </w:rPr>
              <w:t>0.00</w:t>
            </w:r>
          </w:p>
        </w:tc>
        <w:tc>
          <w:tcPr>
            <w:tcW w:w="711" w:type="dxa"/>
            <w:tcBorders>
              <w:top w:val="nil"/>
              <w:left w:val="nil"/>
              <w:bottom w:val="nil"/>
              <w:right w:val="nil"/>
            </w:tcBorders>
          </w:tcPr>
          <w:p>
            <w:pPr>
              <w:pStyle w:val="TableParagraph"/>
              <w:spacing w:before="26"/>
              <w:ind w:left="144"/>
              <w:jc w:val="left"/>
              <w:rPr>
                <w:sz w:val="20"/>
              </w:rPr>
            </w:pPr>
            <w:r>
              <w:rPr>
                <w:sz w:val="20"/>
              </w:rPr>
              <w:t>0.00</w:t>
            </w:r>
          </w:p>
        </w:tc>
        <w:tc>
          <w:tcPr>
            <w:tcW w:w="823" w:type="dxa"/>
            <w:tcBorders>
              <w:top w:val="nil"/>
              <w:left w:val="nil"/>
              <w:bottom w:val="nil"/>
              <w:right w:val="nil"/>
            </w:tcBorders>
          </w:tcPr>
          <w:p>
            <w:pPr>
              <w:pStyle w:val="TableParagraph"/>
              <w:spacing w:before="26"/>
              <w:ind w:left="254"/>
              <w:jc w:val="left"/>
              <w:rPr>
                <w:sz w:val="20"/>
              </w:rPr>
            </w:pPr>
            <w:r>
              <w:rPr>
                <w:sz w:val="20"/>
              </w:rPr>
              <w:t>0.00</w:t>
            </w:r>
          </w:p>
        </w:tc>
        <w:tc>
          <w:tcPr>
            <w:tcW w:w="824" w:type="dxa"/>
            <w:tcBorders>
              <w:top w:val="nil"/>
              <w:left w:val="nil"/>
              <w:bottom w:val="nil"/>
              <w:right w:val="nil"/>
            </w:tcBorders>
          </w:tcPr>
          <w:p>
            <w:pPr>
              <w:pStyle w:val="TableParagraph"/>
              <w:spacing w:before="26"/>
              <w:ind w:left="257"/>
              <w:jc w:val="left"/>
              <w:rPr>
                <w:sz w:val="20"/>
              </w:rPr>
            </w:pPr>
            <w:r>
              <w:rPr>
                <w:sz w:val="20"/>
              </w:rPr>
              <w:t>0.00</w:t>
            </w:r>
          </w:p>
        </w:tc>
        <w:tc>
          <w:tcPr>
            <w:tcW w:w="823" w:type="dxa"/>
            <w:tcBorders>
              <w:top w:val="nil"/>
              <w:left w:val="nil"/>
              <w:bottom w:val="nil"/>
              <w:right w:val="nil"/>
            </w:tcBorders>
          </w:tcPr>
          <w:p>
            <w:pPr>
              <w:pStyle w:val="TableParagraph"/>
              <w:spacing w:before="26"/>
              <w:ind w:right="211"/>
              <w:rPr>
                <w:sz w:val="20"/>
              </w:rPr>
            </w:pPr>
            <w:r>
              <w:rPr>
                <w:sz w:val="20"/>
              </w:rPr>
              <w:t>0.00</w:t>
            </w:r>
          </w:p>
        </w:tc>
        <w:tc>
          <w:tcPr>
            <w:tcW w:w="823" w:type="dxa"/>
            <w:tcBorders>
              <w:top w:val="nil"/>
              <w:left w:val="nil"/>
              <w:bottom w:val="nil"/>
              <w:right w:val="nil"/>
            </w:tcBorders>
          </w:tcPr>
          <w:p>
            <w:pPr>
              <w:pStyle w:val="TableParagraph"/>
              <w:spacing w:before="26"/>
              <w:ind w:left="256"/>
              <w:jc w:val="left"/>
              <w:rPr>
                <w:sz w:val="20"/>
              </w:rPr>
            </w:pPr>
            <w:r>
              <w:rPr>
                <w:sz w:val="20"/>
              </w:rPr>
              <w:t>0.00</w:t>
            </w:r>
          </w:p>
        </w:tc>
        <w:tc>
          <w:tcPr>
            <w:tcW w:w="824" w:type="dxa"/>
            <w:tcBorders>
              <w:top w:val="nil"/>
              <w:left w:val="nil"/>
              <w:bottom w:val="nil"/>
              <w:right w:val="nil"/>
            </w:tcBorders>
          </w:tcPr>
          <w:p>
            <w:pPr>
              <w:pStyle w:val="TableParagraph"/>
              <w:spacing w:before="26"/>
              <w:ind w:left="254"/>
              <w:jc w:val="left"/>
              <w:rPr>
                <w:sz w:val="20"/>
              </w:rPr>
            </w:pPr>
            <w:r>
              <w:rPr>
                <w:sz w:val="20"/>
              </w:rPr>
              <w:t>0.00</w:t>
            </w:r>
          </w:p>
        </w:tc>
        <w:tc>
          <w:tcPr>
            <w:tcW w:w="824" w:type="dxa"/>
            <w:tcBorders>
              <w:top w:val="nil"/>
              <w:left w:val="nil"/>
              <w:bottom w:val="nil"/>
              <w:right w:val="nil"/>
            </w:tcBorders>
          </w:tcPr>
          <w:p>
            <w:pPr>
              <w:pStyle w:val="TableParagraph"/>
              <w:spacing w:before="26"/>
              <w:ind w:left="257"/>
              <w:jc w:val="left"/>
              <w:rPr>
                <w:sz w:val="20"/>
              </w:rPr>
            </w:pPr>
            <w:r>
              <w:rPr>
                <w:sz w:val="20"/>
              </w:rPr>
              <w:t>0.00</w:t>
            </w:r>
          </w:p>
        </w:tc>
        <w:tc>
          <w:tcPr>
            <w:tcW w:w="821" w:type="dxa"/>
            <w:tcBorders>
              <w:top w:val="nil"/>
              <w:left w:val="nil"/>
              <w:bottom w:val="nil"/>
              <w:right w:val="nil"/>
            </w:tcBorders>
          </w:tcPr>
          <w:p>
            <w:pPr>
              <w:pStyle w:val="TableParagraph"/>
              <w:spacing w:before="26"/>
              <w:ind w:left="254" w:right="84"/>
              <w:jc w:val="left"/>
              <w:rPr>
                <w:sz w:val="20"/>
              </w:rPr>
            </w:pPr>
            <w:r>
              <w:rPr>
                <w:sz w:val="20"/>
              </w:rPr>
              <w:t>0.00</w:t>
            </w:r>
          </w:p>
        </w:tc>
        <w:tc>
          <w:tcPr>
            <w:tcW w:w="763" w:type="dxa"/>
            <w:tcBorders>
              <w:top w:val="nil"/>
              <w:left w:val="nil"/>
              <w:bottom w:val="nil"/>
              <w:right w:val="nil"/>
            </w:tcBorders>
          </w:tcPr>
          <w:p>
            <w:pPr>
              <w:pStyle w:val="TableParagraph"/>
              <w:spacing w:before="26"/>
              <w:ind w:right="60"/>
              <w:rPr>
                <w:sz w:val="20"/>
              </w:rPr>
            </w:pPr>
            <w:r>
              <w:rPr>
                <w:sz w:val="20"/>
              </w:rPr>
              <w:t>0.00</w:t>
            </w:r>
          </w:p>
        </w:tc>
      </w:tr>
      <w:tr>
        <w:trPr>
          <w:trHeight w:val="298" w:hRule="exact"/>
        </w:trPr>
        <w:tc>
          <w:tcPr>
            <w:tcW w:w="1556" w:type="dxa"/>
            <w:tcBorders>
              <w:top w:val="nil"/>
              <w:left w:val="nil"/>
              <w:bottom w:val="nil"/>
              <w:right w:val="nil"/>
            </w:tcBorders>
          </w:tcPr>
          <w:p>
            <w:pPr>
              <w:pStyle w:val="TableParagraph"/>
              <w:ind w:left="86"/>
              <w:jc w:val="left"/>
              <w:rPr>
                <w:sz w:val="20"/>
              </w:rPr>
            </w:pPr>
            <w:r>
              <w:rPr>
                <w:sz w:val="20"/>
              </w:rPr>
              <w:t>TEJ_WmFdp</w:t>
            </w:r>
          </w:p>
        </w:tc>
        <w:tc>
          <w:tcPr>
            <w:tcW w:w="700" w:type="dxa"/>
            <w:tcBorders>
              <w:top w:val="nil"/>
              <w:left w:val="nil"/>
              <w:bottom w:val="nil"/>
              <w:right w:val="nil"/>
            </w:tcBorders>
          </w:tcPr>
          <w:p>
            <w:pPr>
              <w:pStyle w:val="TableParagraph"/>
              <w:ind w:left="200"/>
              <w:jc w:val="left"/>
              <w:rPr>
                <w:sz w:val="20"/>
              </w:rPr>
            </w:pPr>
            <w:r>
              <w:rPr>
                <w:sz w:val="20"/>
              </w:rPr>
              <w:t>0.00</w:t>
            </w:r>
          </w:p>
        </w:tc>
        <w:tc>
          <w:tcPr>
            <w:tcW w:w="711" w:type="dxa"/>
            <w:tcBorders>
              <w:top w:val="nil"/>
              <w:left w:val="nil"/>
              <w:bottom w:val="nil"/>
              <w:right w:val="nil"/>
            </w:tcBorders>
          </w:tcPr>
          <w:p>
            <w:pPr>
              <w:pStyle w:val="TableParagraph"/>
              <w:ind w:left="144"/>
              <w:jc w:val="left"/>
              <w:rPr>
                <w:sz w:val="20"/>
              </w:rPr>
            </w:pPr>
            <w:r>
              <w:rPr>
                <w:sz w:val="20"/>
              </w:rPr>
              <w:t>0.00</w:t>
            </w:r>
          </w:p>
        </w:tc>
        <w:tc>
          <w:tcPr>
            <w:tcW w:w="823" w:type="dxa"/>
            <w:tcBorders>
              <w:top w:val="nil"/>
              <w:left w:val="nil"/>
              <w:bottom w:val="nil"/>
              <w:right w:val="nil"/>
            </w:tcBorders>
          </w:tcPr>
          <w:p>
            <w:pPr>
              <w:pStyle w:val="TableParagraph"/>
              <w:ind w:left="254"/>
              <w:jc w:val="left"/>
              <w:rPr>
                <w:sz w:val="20"/>
              </w:rPr>
            </w:pPr>
            <w:r>
              <w:rPr>
                <w:sz w:val="20"/>
              </w:rPr>
              <w:t>0.00</w:t>
            </w:r>
          </w:p>
        </w:tc>
        <w:tc>
          <w:tcPr>
            <w:tcW w:w="824" w:type="dxa"/>
            <w:tcBorders>
              <w:top w:val="nil"/>
              <w:left w:val="nil"/>
              <w:bottom w:val="nil"/>
              <w:right w:val="nil"/>
            </w:tcBorders>
          </w:tcPr>
          <w:p>
            <w:pPr>
              <w:pStyle w:val="TableParagraph"/>
              <w:ind w:left="257"/>
              <w:jc w:val="left"/>
              <w:rPr>
                <w:sz w:val="20"/>
              </w:rPr>
            </w:pPr>
            <w:r>
              <w:rPr>
                <w:sz w:val="20"/>
              </w:rPr>
              <w:t>0.00</w:t>
            </w:r>
          </w:p>
        </w:tc>
        <w:tc>
          <w:tcPr>
            <w:tcW w:w="823" w:type="dxa"/>
            <w:tcBorders>
              <w:top w:val="nil"/>
              <w:left w:val="nil"/>
              <w:bottom w:val="nil"/>
              <w:right w:val="nil"/>
            </w:tcBorders>
          </w:tcPr>
          <w:p>
            <w:pPr>
              <w:pStyle w:val="TableParagraph"/>
              <w:ind w:right="211"/>
              <w:rPr>
                <w:sz w:val="20"/>
              </w:rPr>
            </w:pPr>
            <w:r>
              <w:rPr>
                <w:sz w:val="20"/>
              </w:rPr>
              <w:t>0.00</w:t>
            </w:r>
          </w:p>
        </w:tc>
        <w:tc>
          <w:tcPr>
            <w:tcW w:w="823" w:type="dxa"/>
            <w:tcBorders>
              <w:top w:val="nil"/>
              <w:left w:val="nil"/>
              <w:bottom w:val="nil"/>
              <w:right w:val="nil"/>
            </w:tcBorders>
          </w:tcPr>
          <w:p>
            <w:pPr>
              <w:pStyle w:val="TableParagraph"/>
              <w:ind w:left="256"/>
              <w:jc w:val="left"/>
              <w:rPr>
                <w:sz w:val="20"/>
              </w:rPr>
            </w:pPr>
            <w:r>
              <w:rPr>
                <w:sz w:val="20"/>
              </w:rPr>
              <w:t>0.00</w:t>
            </w:r>
          </w:p>
        </w:tc>
        <w:tc>
          <w:tcPr>
            <w:tcW w:w="824" w:type="dxa"/>
            <w:tcBorders>
              <w:top w:val="nil"/>
              <w:left w:val="nil"/>
              <w:bottom w:val="nil"/>
              <w:right w:val="nil"/>
            </w:tcBorders>
          </w:tcPr>
          <w:p>
            <w:pPr>
              <w:pStyle w:val="TableParagraph"/>
              <w:ind w:left="254"/>
              <w:jc w:val="left"/>
              <w:rPr>
                <w:sz w:val="20"/>
              </w:rPr>
            </w:pPr>
            <w:r>
              <w:rPr>
                <w:sz w:val="20"/>
              </w:rPr>
              <w:t>0.00</w:t>
            </w:r>
          </w:p>
        </w:tc>
        <w:tc>
          <w:tcPr>
            <w:tcW w:w="824" w:type="dxa"/>
            <w:tcBorders>
              <w:top w:val="nil"/>
              <w:left w:val="nil"/>
              <w:bottom w:val="nil"/>
              <w:right w:val="nil"/>
            </w:tcBorders>
          </w:tcPr>
          <w:p>
            <w:pPr>
              <w:pStyle w:val="TableParagraph"/>
              <w:ind w:left="257"/>
              <w:jc w:val="left"/>
              <w:rPr>
                <w:sz w:val="20"/>
              </w:rPr>
            </w:pPr>
            <w:r>
              <w:rPr>
                <w:sz w:val="20"/>
              </w:rPr>
              <w:t>0.00</w:t>
            </w:r>
          </w:p>
        </w:tc>
        <w:tc>
          <w:tcPr>
            <w:tcW w:w="821" w:type="dxa"/>
            <w:tcBorders>
              <w:top w:val="nil"/>
              <w:left w:val="nil"/>
              <w:bottom w:val="nil"/>
              <w:right w:val="nil"/>
            </w:tcBorders>
          </w:tcPr>
          <w:p>
            <w:pPr>
              <w:pStyle w:val="TableParagraph"/>
              <w:ind w:left="254" w:right="84"/>
              <w:jc w:val="left"/>
              <w:rPr>
                <w:sz w:val="20"/>
              </w:rPr>
            </w:pPr>
            <w:r>
              <w:rPr>
                <w:sz w:val="20"/>
              </w:rPr>
              <w:t>0.00</w:t>
            </w:r>
          </w:p>
        </w:tc>
        <w:tc>
          <w:tcPr>
            <w:tcW w:w="763" w:type="dxa"/>
            <w:tcBorders>
              <w:top w:val="nil"/>
              <w:left w:val="nil"/>
              <w:bottom w:val="nil"/>
              <w:right w:val="nil"/>
            </w:tcBorders>
          </w:tcPr>
          <w:p>
            <w:pPr>
              <w:pStyle w:val="TableParagraph"/>
              <w:ind w:right="60"/>
              <w:rPr>
                <w:sz w:val="20"/>
              </w:rPr>
            </w:pPr>
            <w:r>
              <w:rPr>
                <w:sz w:val="20"/>
              </w:rPr>
              <w:t>0.00</w:t>
            </w:r>
          </w:p>
        </w:tc>
      </w:tr>
      <w:tr>
        <w:trPr>
          <w:trHeight w:val="268" w:hRule="exact"/>
        </w:trPr>
        <w:tc>
          <w:tcPr>
            <w:tcW w:w="1556" w:type="dxa"/>
            <w:tcBorders>
              <w:top w:val="nil"/>
              <w:left w:val="nil"/>
              <w:right w:val="nil"/>
            </w:tcBorders>
          </w:tcPr>
          <w:p>
            <w:pPr>
              <w:pStyle w:val="TableParagraph"/>
              <w:ind w:left="86"/>
              <w:jc w:val="left"/>
              <w:rPr>
                <w:sz w:val="20"/>
              </w:rPr>
            </w:pPr>
            <w:r>
              <w:rPr>
                <w:sz w:val="20"/>
              </w:rPr>
              <w:t>TEJ_WmSF</w:t>
            </w:r>
          </w:p>
        </w:tc>
        <w:tc>
          <w:tcPr>
            <w:tcW w:w="700" w:type="dxa"/>
            <w:tcBorders>
              <w:top w:val="nil"/>
              <w:left w:val="nil"/>
              <w:right w:val="nil"/>
            </w:tcBorders>
          </w:tcPr>
          <w:p>
            <w:pPr>
              <w:pStyle w:val="TableParagraph"/>
              <w:ind w:left="200"/>
              <w:jc w:val="left"/>
              <w:rPr>
                <w:sz w:val="20"/>
              </w:rPr>
            </w:pPr>
            <w:r>
              <w:rPr>
                <w:sz w:val="20"/>
              </w:rPr>
              <w:t>0.00</w:t>
            </w:r>
          </w:p>
        </w:tc>
        <w:tc>
          <w:tcPr>
            <w:tcW w:w="711" w:type="dxa"/>
            <w:tcBorders>
              <w:top w:val="nil"/>
              <w:left w:val="nil"/>
              <w:right w:val="nil"/>
            </w:tcBorders>
          </w:tcPr>
          <w:p>
            <w:pPr>
              <w:pStyle w:val="TableParagraph"/>
              <w:ind w:left="144"/>
              <w:jc w:val="left"/>
              <w:rPr>
                <w:sz w:val="20"/>
              </w:rPr>
            </w:pPr>
            <w:r>
              <w:rPr>
                <w:sz w:val="20"/>
              </w:rPr>
              <w:t>0.00</w:t>
            </w:r>
          </w:p>
        </w:tc>
        <w:tc>
          <w:tcPr>
            <w:tcW w:w="823" w:type="dxa"/>
            <w:tcBorders>
              <w:top w:val="nil"/>
              <w:left w:val="nil"/>
              <w:right w:val="nil"/>
            </w:tcBorders>
          </w:tcPr>
          <w:p>
            <w:pPr>
              <w:pStyle w:val="TableParagraph"/>
              <w:ind w:left="254"/>
              <w:jc w:val="left"/>
              <w:rPr>
                <w:sz w:val="20"/>
              </w:rPr>
            </w:pPr>
            <w:r>
              <w:rPr>
                <w:sz w:val="20"/>
              </w:rPr>
              <w:t>0.00</w:t>
            </w:r>
          </w:p>
        </w:tc>
        <w:tc>
          <w:tcPr>
            <w:tcW w:w="824" w:type="dxa"/>
            <w:tcBorders>
              <w:top w:val="nil"/>
              <w:left w:val="nil"/>
              <w:right w:val="nil"/>
            </w:tcBorders>
          </w:tcPr>
          <w:p>
            <w:pPr>
              <w:pStyle w:val="TableParagraph"/>
              <w:ind w:left="257"/>
              <w:jc w:val="left"/>
              <w:rPr>
                <w:sz w:val="20"/>
              </w:rPr>
            </w:pPr>
            <w:r>
              <w:rPr>
                <w:sz w:val="20"/>
              </w:rPr>
              <w:t>0.00</w:t>
            </w:r>
          </w:p>
        </w:tc>
        <w:tc>
          <w:tcPr>
            <w:tcW w:w="823" w:type="dxa"/>
            <w:tcBorders>
              <w:top w:val="nil"/>
              <w:left w:val="nil"/>
              <w:right w:val="nil"/>
            </w:tcBorders>
          </w:tcPr>
          <w:p>
            <w:pPr>
              <w:pStyle w:val="TableParagraph"/>
              <w:ind w:right="211"/>
              <w:rPr>
                <w:sz w:val="20"/>
              </w:rPr>
            </w:pPr>
            <w:r>
              <w:rPr>
                <w:sz w:val="20"/>
              </w:rPr>
              <w:t>0.00</w:t>
            </w:r>
          </w:p>
        </w:tc>
        <w:tc>
          <w:tcPr>
            <w:tcW w:w="823" w:type="dxa"/>
            <w:tcBorders>
              <w:top w:val="nil"/>
              <w:left w:val="nil"/>
              <w:right w:val="nil"/>
            </w:tcBorders>
          </w:tcPr>
          <w:p>
            <w:pPr>
              <w:pStyle w:val="TableParagraph"/>
              <w:ind w:left="256"/>
              <w:jc w:val="left"/>
              <w:rPr>
                <w:sz w:val="20"/>
              </w:rPr>
            </w:pPr>
            <w:r>
              <w:rPr>
                <w:sz w:val="20"/>
              </w:rPr>
              <w:t>0.00</w:t>
            </w:r>
          </w:p>
        </w:tc>
        <w:tc>
          <w:tcPr>
            <w:tcW w:w="824" w:type="dxa"/>
            <w:tcBorders>
              <w:top w:val="nil"/>
              <w:left w:val="nil"/>
              <w:right w:val="nil"/>
            </w:tcBorders>
          </w:tcPr>
          <w:p>
            <w:pPr>
              <w:pStyle w:val="TableParagraph"/>
              <w:ind w:left="254"/>
              <w:jc w:val="left"/>
              <w:rPr>
                <w:sz w:val="20"/>
              </w:rPr>
            </w:pPr>
            <w:r>
              <w:rPr>
                <w:sz w:val="20"/>
              </w:rPr>
              <w:t>0.00</w:t>
            </w:r>
          </w:p>
        </w:tc>
        <w:tc>
          <w:tcPr>
            <w:tcW w:w="824" w:type="dxa"/>
            <w:tcBorders>
              <w:top w:val="nil"/>
              <w:left w:val="nil"/>
              <w:right w:val="nil"/>
            </w:tcBorders>
          </w:tcPr>
          <w:p>
            <w:pPr>
              <w:pStyle w:val="TableParagraph"/>
              <w:ind w:left="257"/>
              <w:jc w:val="left"/>
              <w:rPr>
                <w:sz w:val="20"/>
              </w:rPr>
            </w:pPr>
            <w:r>
              <w:rPr>
                <w:sz w:val="20"/>
              </w:rPr>
              <w:t>0.00</w:t>
            </w:r>
          </w:p>
        </w:tc>
        <w:tc>
          <w:tcPr>
            <w:tcW w:w="821" w:type="dxa"/>
            <w:tcBorders>
              <w:top w:val="nil"/>
              <w:left w:val="nil"/>
              <w:right w:val="nil"/>
            </w:tcBorders>
          </w:tcPr>
          <w:p>
            <w:pPr>
              <w:pStyle w:val="TableParagraph"/>
              <w:ind w:left="254" w:right="84"/>
              <w:jc w:val="left"/>
              <w:rPr>
                <w:sz w:val="20"/>
              </w:rPr>
            </w:pPr>
            <w:r>
              <w:rPr>
                <w:sz w:val="20"/>
              </w:rPr>
              <w:t>0.00</w:t>
            </w:r>
          </w:p>
        </w:tc>
        <w:tc>
          <w:tcPr>
            <w:tcW w:w="763" w:type="dxa"/>
            <w:tcBorders>
              <w:top w:val="nil"/>
              <w:left w:val="nil"/>
              <w:right w:val="nil"/>
            </w:tcBorders>
          </w:tcPr>
          <w:p>
            <w:pPr>
              <w:pStyle w:val="TableParagraph"/>
              <w:ind w:right="60"/>
              <w:rPr>
                <w:sz w:val="20"/>
              </w:rPr>
            </w:pPr>
            <w:r>
              <w:rPr>
                <w:sz w:val="20"/>
              </w:rPr>
              <w:t>0.00</w:t>
            </w:r>
          </w:p>
        </w:tc>
      </w:tr>
    </w:tbl>
    <w:p>
      <w:pPr>
        <w:pStyle w:val="BodyText"/>
        <w:rPr>
          <w:sz w:val="20"/>
        </w:rPr>
      </w:pPr>
    </w:p>
    <w:p>
      <w:pPr>
        <w:pStyle w:val="BodyText"/>
        <w:rPr>
          <w:sz w:val="20"/>
        </w:rPr>
      </w:pPr>
    </w:p>
    <w:p>
      <w:pPr>
        <w:pStyle w:val="BodyText"/>
        <w:rPr>
          <w:sz w:val="20"/>
        </w:rPr>
      </w:pPr>
    </w:p>
    <w:p>
      <w:pPr>
        <w:pStyle w:val="BodyText"/>
        <w:spacing w:before="3"/>
        <w:rPr>
          <w:sz w:val="16"/>
        </w:rPr>
      </w:pPr>
    </w:p>
    <w:p>
      <w:pPr>
        <w:spacing w:before="66"/>
        <w:ind w:left="2398" w:right="0" w:firstLine="0"/>
        <w:jc w:val="left"/>
        <w:rPr>
          <w:b/>
          <w:sz w:val="26"/>
        </w:rPr>
      </w:pPr>
      <w:bookmarkStart w:name="_bookmark161" w:id="220"/>
      <w:bookmarkEnd w:id="220"/>
      <w:r>
        <w:rPr/>
      </w:r>
      <w:r>
        <w:rPr>
          <w:b/>
          <w:sz w:val="24"/>
        </w:rPr>
        <w:t>Tabla 24. </w:t>
      </w:r>
      <w:r>
        <w:rPr>
          <w:b/>
          <w:sz w:val="26"/>
        </w:rPr>
        <w:t>Contenido orgánico de carbón del suelo</w:t>
      </w:r>
    </w:p>
    <w:p>
      <w:pPr>
        <w:pStyle w:val="BodyText"/>
        <w:rPr>
          <w:b/>
          <w:sz w:val="20"/>
        </w:rPr>
      </w:pPr>
    </w:p>
    <w:p>
      <w:pPr>
        <w:pStyle w:val="BodyText"/>
        <w:spacing w:before="11"/>
        <w:rPr>
          <w:b/>
          <w:sz w:val="23"/>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9"/>
        <w:gridCol w:w="676"/>
        <w:gridCol w:w="742"/>
        <w:gridCol w:w="840"/>
        <w:gridCol w:w="841"/>
        <w:gridCol w:w="840"/>
        <w:gridCol w:w="838"/>
        <w:gridCol w:w="838"/>
        <w:gridCol w:w="840"/>
        <w:gridCol w:w="835"/>
        <w:gridCol w:w="773"/>
      </w:tblGrid>
      <w:tr>
        <w:trPr>
          <w:trHeight w:val="395" w:hRule="exact"/>
        </w:trPr>
        <w:tc>
          <w:tcPr>
            <w:tcW w:w="1429" w:type="dxa"/>
            <w:tcBorders>
              <w:left w:val="nil"/>
              <w:bottom w:val="nil"/>
              <w:right w:val="nil"/>
            </w:tcBorders>
          </w:tcPr>
          <w:p>
            <w:pPr>
              <w:pStyle w:val="TableParagraph"/>
              <w:spacing w:before="178"/>
              <w:ind w:left="100"/>
              <w:jc w:val="left"/>
              <w:rPr>
                <w:sz w:val="20"/>
              </w:rPr>
            </w:pPr>
            <w:r>
              <w:rPr>
                <w:sz w:val="20"/>
              </w:rPr>
              <w:t>Nombre/Clave</w:t>
            </w:r>
          </w:p>
        </w:tc>
        <w:tc>
          <w:tcPr>
            <w:tcW w:w="676" w:type="dxa"/>
            <w:tcBorders>
              <w:left w:val="nil"/>
              <w:bottom w:val="nil"/>
              <w:right w:val="nil"/>
            </w:tcBorders>
          </w:tcPr>
          <w:p>
            <w:pPr/>
          </w:p>
        </w:tc>
        <w:tc>
          <w:tcPr>
            <w:tcW w:w="742" w:type="dxa"/>
            <w:tcBorders>
              <w:left w:val="nil"/>
              <w:bottom w:val="nil"/>
              <w:right w:val="nil"/>
            </w:tcBorders>
          </w:tcPr>
          <w:p>
            <w:pPr/>
          </w:p>
        </w:tc>
        <w:tc>
          <w:tcPr>
            <w:tcW w:w="840" w:type="dxa"/>
            <w:tcBorders>
              <w:left w:val="nil"/>
              <w:bottom w:val="nil"/>
              <w:right w:val="nil"/>
            </w:tcBorders>
          </w:tcPr>
          <w:p>
            <w:pPr/>
          </w:p>
        </w:tc>
        <w:tc>
          <w:tcPr>
            <w:tcW w:w="841" w:type="dxa"/>
            <w:tcBorders>
              <w:left w:val="nil"/>
              <w:bottom w:val="nil"/>
              <w:right w:val="nil"/>
            </w:tcBorders>
          </w:tcPr>
          <w:p>
            <w:pPr/>
          </w:p>
        </w:tc>
        <w:tc>
          <w:tcPr>
            <w:tcW w:w="2516" w:type="dxa"/>
            <w:gridSpan w:val="3"/>
            <w:tcBorders>
              <w:left w:val="nil"/>
              <w:bottom w:val="nil"/>
              <w:right w:val="nil"/>
            </w:tcBorders>
          </w:tcPr>
          <w:p>
            <w:pPr>
              <w:pStyle w:val="TableParagraph"/>
              <w:spacing w:before="63"/>
              <w:ind w:left="38"/>
              <w:jc w:val="left"/>
              <w:rPr>
                <w:sz w:val="20"/>
              </w:rPr>
            </w:pPr>
            <w:r>
              <w:rPr>
                <w:sz w:val="20"/>
              </w:rPr>
              <w:t>N° de capas del suelo</w:t>
            </w:r>
          </w:p>
        </w:tc>
        <w:tc>
          <w:tcPr>
            <w:tcW w:w="840" w:type="dxa"/>
            <w:tcBorders>
              <w:left w:val="nil"/>
              <w:bottom w:val="nil"/>
              <w:right w:val="nil"/>
            </w:tcBorders>
          </w:tcPr>
          <w:p>
            <w:pPr/>
          </w:p>
        </w:tc>
        <w:tc>
          <w:tcPr>
            <w:tcW w:w="835" w:type="dxa"/>
            <w:tcBorders>
              <w:left w:val="nil"/>
              <w:bottom w:val="nil"/>
              <w:right w:val="nil"/>
            </w:tcBorders>
          </w:tcPr>
          <w:p>
            <w:pPr/>
          </w:p>
        </w:tc>
        <w:tc>
          <w:tcPr>
            <w:tcW w:w="773" w:type="dxa"/>
            <w:tcBorders>
              <w:left w:val="nil"/>
              <w:bottom w:val="nil"/>
              <w:right w:val="nil"/>
            </w:tcBorders>
          </w:tcPr>
          <w:p>
            <w:pPr/>
          </w:p>
        </w:tc>
      </w:tr>
      <w:tr>
        <w:trPr>
          <w:trHeight w:val="215" w:hRule="exact"/>
        </w:trPr>
        <w:tc>
          <w:tcPr>
            <w:tcW w:w="1429" w:type="dxa"/>
            <w:tcBorders>
              <w:top w:val="nil"/>
              <w:left w:val="nil"/>
              <w:right w:val="nil"/>
            </w:tcBorders>
          </w:tcPr>
          <w:p>
            <w:pPr/>
          </w:p>
        </w:tc>
        <w:tc>
          <w:tcPr>
            <w:tcW w:w="676" w:type="dxa"/>
            <w:tcBorders>
              <w:top w:val="nil"/>
              <w:left w:val="nil"/>
              <w:right w:val="nil"/>
            </w:tcBorders>
          </w:tcPr>
          <w:p>
            <w:pPr>
              <w:pStyle w:val="TableParagraph"/>
              <w:spacing w:line="201" w:lineRule="exact" w:before="0"/>
              <w:ind w:left="203"/>
              <w:jc w:val="left"/>
              <w:rPr>
                <w:sz w:val="20"/>
              </w:rPr>
            </w:pPr>
            <w:r>
              <w:rPr>
                <w:w w:val="100"/>
                <w:sz w:val="20"/>
              </w:rPr>
              <w:t>1</w:t>
            </w:r>
          </w:p>
        </w:tc>
        <w:tc>
          <w:tcPr>
            <w:tcW w:w="742" w:type="dxa"/>
            <w:tcBorders>
              <w:top w:val="nil"/>
              <w:left w:val="nil"/>
              <w:right w:val="nil"/>
            </w:tcBorders>
          </w:tcPr>
          <w:p>
            <w:pPr>
              <w:pStyle w:val="TableParagraph"/>
              <w:spacing w:line="201" w:lineRule="exact" w:before="0"/>
              <w:ind w:left="189"/>
              <w:jc w:val="left"/>
              <w:rPr>
                <w:sz w:val="20"/>
              </w:rPr>
            </w:pPr>
            <w:r>
              <w:rPr>
                <w:w w:val="100"/>
                <w:sz w:val="20"/>
              </w:rPr>
              <w:t>2</w:t>
            </w:r>
          </w:p>
        </w:tc>
        <w:tc>
          <w:tcPr>
            <w:tcW w:w="840" w:type="dxa"/>
            <w:tcBorders>
              <w:top w:val="nil"/>
              <w:left w:val="nil"/>
              <w:right w:val="nil"/>
            </w:tcBorders>
          </w:tcPr>
          <w:p>
            <w:pPr>
              <w:pStyle w:val="TableParagraph"/>
              <w:spacing w:line="201" w:lineRule="exact" w:before="0"/>
              <w:ind w:left="216"/>
              <w:jc w:val="left"/>
              <w:rPr>
                <w:sz w:val="20"/>
              </w:rPr>
            </w:pPr>
            <w:r>
              <w:rPr>
                <w:w w:val="100"/>
                <w:sz w:val="20"/>
              </w:rPr>
              <w:t>3</w:t>
            </w:r>
          </w:p>
        </w:tc>
        <w:tc>
          <w:tcPr>
            <w:tcW w:w="841" w:type="dxa"/>
            <w:tcBorders>
              <w:top w:val="nil"/>
              <w:left w:val="nil"/>
              <w:right w:val="nil"/>
            </w:tcBorders>
          </w:tcPr>
          <w:p>
            <w:pPr>
              <w:pStyle w:val="TableParagraph"/>
              <w:spacing w:line="201" w:lineRule="exact" w:before="0"/>
              <w:ind w:left="216"/>
              <w:jc w:val="left"/>
              <w:rPr>
                <w:sz w:val="20"/>
              </w:rPr>
            </w:pPr>
            <w:r>
              <w:rPr>
                <w:w w:val="100"/>
                <w:sz w:val="20"/>
              </w:rPr>
              <w:t>4</w:t>
            </w:r>
          </w:p>
        </w:tc>
        <w:tc>
          <w:tcPr>
            <w:tcW w:w="840" w:type="dxa"/>
            <w:tcBorders>
              <w:top w:val="nil"/>
              <w:left w:val="nil"/>
              <w:right w:val="nil"/>
            </w:tcBorders>
          </w:tcPr>
          <w:p>
            <w:pPr>
              <w:pStyle w:val="TableParagraph"/>
              <w:spacing w:line="201" w:lineRule="exact" w:before="0"/>
              <w:ind w:left="216"/>
              <w:jc w:val="left"/>
              <w:rPr>
                <w:sz w:val="20"/>
              </w:rPr>
            </w:pPr>
            <w:r>
              <w:rPr>
                <w:w w:val="100"/>
                <w:sz w:val="20"/>
              </w:rPr>
              <w:t>5</w:t>
            </w:r>
          </w:p>
        </w:tc>
        <w:tc>
          <w:tcPr>
            <w:tcW w:w="838" w:type="dxa"/>
            <w:tcBorders>
              <w:top w:val="nil"/>
              <w:left w:val="nil"/>
              <w:right w:val="nil"/>
            </w:tcBorders>
          </w:tcPr>
          <w:p>
            <w:pPr>
              <w:pStyle w:val="TableParagraph"/>
              <w:spacing w:line="201" w:lineRule="exact" w:before="0"/>
              <w:ind w:left="216"/>
              <w:jc w:val="left"/>
              <w:rPr>
                <w:sz w:val="20"/>
              </w:rPr>
            </w:pPr>
            <w:r>
              <w:rPr>
                <w:w w:val="100"/>
                <w:sz w:val="20"/>
              </w:rPr>
              <w:t>6</w:t>
            </w:r>
          </w:p>
        </w:tc>
        <w:tc>
          <w:tcPr>
            <w:tcW w:w="838" w:type="dxa"/>
            <w:tcBorders>
              <w:top w:val="nil"/>
              <w:left w:val="nil"/>
              <w:right w:val="nil"/>
            </w:tcBorders>
          </w:tcPr>
          <w:p>
            <w:pPr>
              <w:pStyle w:val="TableParagraph"/>
              <w:spacing w:line="201" w:lineRule="exact" w:before="0"/>
              <w:ind w:left="213"/>
              <w:jc w:val="left"/>
              <w:rPr>
                <w:sz w:val="20"/>
              </w:rPr>
            </w:pPr>
            <w:r>
              <w:rPr>
                <w:w w:val="100"/>
                <w:sz w:val="20"/>
              </w:rPr>
              <w:t>7</w:t>
            </w:r>
          </w:p>
        </w:tc>
        <w:tc>
          <w:tcPr>
            <w:tcW w:w="840" w:type="dxa"/>
            <w:tcBorders>
              <w:top w:val="nil"/>
              <w:left w:val="nil"/>
              <w:right w:val="nil"/>
            </w:tcBorders>
          </w:tcPr>
          <w:p>
            <w:pPr>
              <w:pStyle w:val="TableParagraph"/>
              <w:spacing w:line="201" w:lineRule="exact" w:before="0"/>
              <w:ind w:left="216"/>
              <w:jc w:val="left"/>
              <w:rPr>
                <w:sz w:val="20"/>
              </w:rPr>
            </w:pPr>
            <w:r>
              <w:rPr>
                <w:w w:val="100"/>
                <w:sz w:val="20"/>
              </w:rPr>
              <w:t>8</w:t>
            </w:r>
          </w:p>
        </w:tc>
        <w:tc>
          <w:tcPr>
            <w:tcW w:w="835" w:type="dxa"/>
            <w:tcBorders>
              <w:top w:val="nil"/>
              <w:left w:val="nil"/>
              <w:right w:val="nil"/>
            </w:tcBorders>
          </w:tcPr>
          <w:p>
            <w:pPr>
              <w:pStyle w:val="TableParagraph"/>
              <w:spacing w:line="201" w:lineRule="exact" w:before="0"/>
              <w:ind w:left="216"/>
              <w:jc w:val="left"/>
              <w:rPr>
                <w:sz w:val="20"/>
              </w:rPr>
            </w:pPr>
            <w:r>
              <w:rPr>
                <w:w w:val="100"/>
                <w:sz w:val="20"/>
              </w:rPr>
              <w:t>9</w:t>
            </w:r>
          </w:p>
        </w:tc>
        <w:tc>
          <w:tcPr>
            <w:tcW w:w="773" w:type="dxa"/>
            <w:tcBorders>
              <w:top w:val="nil"/>
              <w:left w:val="nil"/>
              <w:right w:val="nil"/>
            </w:tcBorders>
          </w:tcPr>
          <w:p>
            <w:pPr>
              <w:pStyle w:val="TableParagraph"/>
              <w:spacing w:line="201" w:lineRule="exact" w:before="0"/>
              <w:ind w:left="211"/>
              <w:jc w:val="left"/>
              <w:rPr>
                <w:sz w:val="20"/>
              </w:rPr>
            </w:pPr>
            <w:r>
              <w:rPr>
                <w:sz w:val="20"/>
              </w:rPr>
              <w:t>10</w:t>
            </w:r>
          </w:p>
        </w:tc>
      </w:tr>
      <w:tr>
        <w:trPr>
          <w:trHeight w:val="344" w:hRule="exact"/>
        </w:trPr>
        <w:tc>
          <w:tcPr>
            <w:tcW w:w="1429" w:type="dxa"/>
            <w:tcBorders>
              <w:left w:val="nil"/>
              <w:bottom w:val="nil"/>
              <w:right w:val="nil"/>
            </w:tcBorders>
          </w:tcPr>
          <w:p>
            <w:pPr>
              <w:pStyle w:val="TableParagraph"/>
              <w:spacing w:before="63"/>
              <w:ind w:left="86"/>
              <w:jc w:val="left"/>
              <w:rPr>
                <w:sz w:val="20"/>
              </w:rPr>
            </w:pPr>
            <w:r>
              <w:rPr>
                <w:sz w:val="20"/>
              </w:rPr>
              <w:t>TEJ_HhFd</w:t>
            </w:r>
          </w:p>
        </w:tc>
        <w:tc>
          <w:tcPr>
            <w:tcW w:w="676" w:type="dxa"/>
            <w:tcBorders>
              <w:left w:val="nil"/>
              <w:bottom w:val="nil"/>
              <w:right w:val="nil"/>
            </w:tcBorders>
          </w:tcPr>
          <w:p>
            <w:pPr>
              <w:pStyle w:val="TableParagraph"/>
              <w:spacing w:before="63"/>
              <w:ind w:left="150"/>
              <w:jc w:val="left"/>
              <w:rPr>
                <w:sz w:val="20"/>
              </w:rPr>
            </w:pPr>
            <w:r>
              <w:rPr>
                <w:sz w:val="20"/>
              </w:rPr>
              <w:t>0.78</w:t>
            </w:r>
          </w:p>
        </w:tc>
        <w:tc>
          <w:tcPr>
            <w:tcW w:w="742" w:type="dxa"/>
            <w:tcBorders>
              <w:left w:val="nil"/>
              <w:bottom w:val="nil"/>
              <w:right w:val="nil"/>
            </w:tcBorders>
          </w:tcPr>
          <w:p>
            <w:pPr>
              <w:pStyle w:val="TableParagraph"/>
              <w:spacing w:before="63"/>
              <w:ind w:left="170"/>
              <w:jc w:val="left"/>
              <w:rPr>
                <w:sz w:val="20"/>
              </w:rPr>
            </w:pPr>
            <w:r>
              <w:rPr>
                <w:sz w:val="20"/>
              </w:rPr>
              <w:t>0.58</w:t>
            </w:r>
          </w:p>
        </w:tc>
        <w:tc>
          <w:tcPr>
            <w:tcW w:w="840" w:type="dxa"/>
            <w:tcBorders>
              <w:left w:val="nil"/>
              <w:bottom w:val="nil"/>
              <w:right w:val="nil"/>
            </w:tcBorders>
          </w:tcPr>
          <w:p>
            <w:pPr>
              <w:pStyle w:val="TableParagraph"/>
              <w:spacing w:before="63"/>
              <w:ind w:right="214"/>
              <w:rPr>
                <w:sz w:val="20"/>
              </w:rPr>
            </w:pPr>
            <w:r>
              <w:rPr>
                <w:sz w:val="20"/>
              </w:rPr>
              <w:t>0.48</w:t>
            </w:r>
          </w:p>
        </w:tc>
        <w:tc>
          <w:tcPr>
            <w:tcW w:w="841" w:type="dxa"/>
            <w:tcBorders>
              <w:left w:val="nil"/>
              <w:bottom w:val="nil"/>
              <w:right w:val="nil"/>
            </w:tcBorders>
          </w:tcPr>
          <w:p>
            <w:pPr>
              <w:pStyle w:val="TableParagraph"/>
              <w:spacing w:before="63"/>
              <w:ind w:right="214"/>
              <w:rPr>
                <w:sz w:val="20"/>
              </w:rPr>
            </w:pPr>
            <w:r>
              <w:rPr>
                <w:sz w:val="20"/>
              </w:rPr>
              <w:t>0.81</w:t>
            </w:r>
          </w:p>
        </w:tc>
        <w:tc>
          <w:tcPr>
            <w:tcW w:w="840" w:type="dxa"/>
            <w:tcBorders>
              <w:left w:val="nil"/>
              <w:bottom w:val="nil"/>
              <w:right w:val="nil"/>
            </w:tcBorders>
          </w:tcPr>
          <w:p>
            <w:pPr>
              <w:pStyle w:val="TableParagraph"/>
              <w:spacing w:before="63"/>
              <w:ind w:right="214"/>
              <w:rPr>
                <w:sz w:val="20"/>
              </w:rPr>
            </w:pPr>
            <w:r>
              <w:rPr>
                <w:sz w:val="20"/>
              </w:rPr>
              <w:t>0.91</w:t>
            </w:r>
          </w:p>
        </w:tc>
        <w:tc>
          <w:tcPr>
            <w:tcW w:w="838" w:type="dxa"/>
            <w:tcBorders>
              <w:left w:val="nil"/>
              <w:bottom w:val="nil"/>
              <w:right w:val="nil"/>
            </w:tcBorders>
          </w:tcPr>
          <w:p>
            <w:pPr>
              <w:pStyle w:val="TableParagraph"/>
              <w:spacing w:before="63"/>
              <w:ind w:right="211"/>
              <w:rPr>
                <w:sz w:val="20"/>
              </w:rPr>
            </w:pPr>
            <w:r>
              <w:rPr>
                <w:sz w:val="20"/>
              </w:rPr>
              <w:t>0.82</w:t>
            </w:r>
          </w:p>
        </w:tc>
        <w:tc>
          <w:tcPr>
            <w:tcW w:w="838" w:type="dxa"/>
            <w:tcBorders>
              <w:left w:val="nil"/>
              <w:bottom w:val="nil"/>
              <w:right w:val="nil"/>
            </w:tcBorders>
          </w:tcPr>
          <w:p>
            <w:pPr>
              <w:pStyle w:val="TableParagraph"/>
              <w:spacing w:before="63"/>
              <w:ind w:right="214"/>
              <w:rPr>
                <w:sz w:val="20"/>
              </w:rPr>
            </w:pPr>
            <w:r>
              <w:rPr>
                <w:sz w:val="20"/>
              </w:rPr>
              <w:t>0.86</w:t>
            </w:r>
          </w:p>
        </w:tc>
        <w:tc>
          <w:tcPr>
            <w:tcW w:w="840" w:type="dxa"/>
            <w:tcBorders>
              <w:left w:val="nil"/>
              <w:bottom w:val="nil"/>
              <w:right w:val="nil"/>
            </w:tcBorders>
          </w:tcPr>
          <w:p>
            <w:pPr>
              <w:pStyle w:val="TableParagraph"/>
              <w:spacing w:before="63"/>
              <w:ind w:right="214"/>
              <w:rPr>
                <w:sz w:val="20"/>
              </w:rPr>
            </w:pPr>
            <w:r>
              <w:rPr>
                <w:sz w:val="20"/>
              </w:rPr>
              <w:t>0.00</w:t>
            </w:r>
          </w:p>
        </w:tc>
        <w:tc>
          <w:tcPr>
            <w:tcW w:w="835" w:type="dxa"/>
            <w:tcBorders>
              <w:left w:val="nil"/>
              <w:bottom w:val="nil"/>
              <w:right w:val="nil"/>
            </w:tcBorders>
          </w:tcPr>
          <w:p>
            <w:pPr>
              <w:pStyle w:val="TableParagraph"/>
              <w:spacing w:before="63"/>
              <w:ind w:right="209"/>
              <w:rPr>
                <w:sz w:val="20"/>
              </w:rPr>
            </w:pPr>
            <w:r>
              <w:rPr>
                <w:sz w:val="20"/>
              </w:rPr>
              <w:t>0.00</w:t>
            </w:r>
          </w:p>
        </w:tc>
        <w:tc>
          <w:tcPr>
            <w:tcW w:w="773" w:type="dxa"/>
            <w:tcBorders>
              <w:left w:val="nil"/>
              <w:bottom w:val="nil"/>
              <w:right w:val="nil"/>
            </w:tcBorders>
          </w:tcPr>
          <w:p>
            <w:pPr>
              <w:pStyle w:val="TableParagraph"/>
              <w:spacing w:before="63"/>
              <w:ind w:right="60"/>
              <w:rPr>
                <w:sz w:val="20"/>
              </w:rPr>
            </w:pPr>
            <w:r>
              <w:rPr>
                <w:sz w:val="20"/>
              </w:rPr>
              <w:t>0.00</w:t>
            </w:r>
          </w:p>
        </w:tc>
      </w:tr>
      <w:tr>
        <w:trPr>
          <w:trHeight w:val="300" w:hRule="exact"/>
        </w:trPr>
        <w:tc>
          <w:tcPr>
            <w:tcW w:w="1429" w:type="dxa"/>
            <w:tcBorders>
              <w:top w:val="nil"/>
              <w:left w:val="nil"/>
              <w:bottom w:val="nil"/>
              <w:right w:val="nil"/>
            </w:tcBorders>
          </w:tcPr>
          <w:p>
            <w:pPr>
              <w:pStyle w:val="TableParagraph"/>
              <w:spacing w:before="26"/>
              <w:ind w:left="86"/>
              <w:jc w:val="left"/>
              <w:rPr>
                <w:sz w:val="20"/>
              </w:rPr>
            </w:pPr>
            <w:r>
              <w:rPr>
                <w:sz w:val="20"/>
              </w:rPr>
              <w:t>TEJ_HhFdp</w:t>
            </w:r>
          </w:p>
        </w:tc>
        <w:tc>
          <w:tcPr>
            <w:tcW w:w="676" w:type="dxa"/>
            <w:tcBorders>
              <w:top w:val="nil"/>
              <w:left w:val="nil"/>
              <w:bottom w:val="nil"/>
              <w:right w:val="nil"/>
            </w:tcBorders>
          </w:tcPr>
          <w:p>
            <w:pPr>
              <w:pStyle w:val="TableParagraph"/>
              <w:spacing w:before="26"/>
              <w:ind w:left="150"/>
              <w:jc w:val="left"/>
              <w:rPr>
                <w:sz w:val="20"/>
              </w:rPr>
            </w:pPr>
            <w:r>
              <w:rPr>
                <w:sz w:val="20"/>
              </w:rPr>
              <w:t>0.94</w:t>
            </w:r>
          </w:p>
        </w:tc>
        <w:tc>
          <w:tcPr>
            <w:tcW w:w="742" w:type="dxa"/>
            <w:tcBorders>
              <w:top w:val="nil"/>
              <w:left w:val="nil"/>
              <w:bottom w:val="nil"/>
              <w:right w:val="nil"/>
            </w:tcBorders>
          </w:tcPr>
          <w:p>
            <w:pPr>
              <w:pStyle w:val="TableParagraph"/>
              <w:spacing w:before="26"/>
              <w:ind w:left="170"/>
              <w:jc w:val="left"/>
              <w:rPr>
                <w:sz w:val="20"/>
              </w:rPr>
            </w:pPr>
            <w:r>
              <w:rPr>
                <w:sz w:val="20"/>
              </w:rPr>
              <w:t>0.94</w:t>
            </w:r>
          </w:p>
        </w:tc>
        <w:tc>
          <w:tcPr>
            <w:tcW w:w="840" w:type="dxa"/>
            <w:tcBorders>
              <w:top w:val="nil"/>
              <w:left w:val="nil"/>
              <w:bottom w:val="nil"/>
              <w:right w:val="nil"/>
            </w:tcBorders>
          </w:tcPr>
          <w:p>
            <w:pPr>
              <w:pStyle w:val="TableParagraph"/>
              <w:spacing w:before="26"/>
              <w:ind w:right="214"/>
              <w:rPr>
                <w:sz w:val="20"/>
              </w:rPr>
            </w:pPr>
            <w:r>
              <w:rPr>
                <w:sz w:val="20"/>
              </w:rPr>
              <w:t>0.80</w:t>
            </w:r>
          </w:p>
        </w:tc>
        <w:tc>
          <w:tcPr>
            <w:tcW w:w="841" w:type="dxa"/>
            <w:tcBorders>
              <w:top w:val="nil"/>
              <w:left w:val="nil"/>
              <w:bottom w:val="nil"/>
              <w:right w:val="nil"/>
            </w:tcBorders>
          </w:tcPr>
          <w:p>
            <w:pPr>
              <w:pStyle w:val="TableParagraph"/>
              <w:spacing w:before="26"/>
              <w:ind w:right="214"/>
              <w:rPr>
                <w:sz w:val="20"/>
              </w:rPr>
            </w:pPr>
            <w:r>
              <w:rPr>
                <w:sz w:val="20"/>
              </w:rPr>
              <w:t>0.73</w:t>
            </w:r>
          </w:p>
        </w:tc>
        <w:tc>
          <w:tcPr>
            <w:tcW w:w="840" w:type="dxa"/>
            <w:tcBorders>
              <w:top w:val="nil"/>
              <w:left w:val="nil"/>
              <w:bottom w:val="nil"/>
              <w:right w:val="nil"/>
            </w:tcBorders>
          </w:tcPr>
          <w:p>
            <w:pPr>
              <w:pStyle w:val="TableParagraph"/>
              <w:spacing w:before="26"/>
              <w:ind w:right="214"/>
              <w:rPr>
                <w:sz w:val="20"/>
              </w:rPr>
            </w:pPr>
            <w:r>
              <w:rPr>
                <w:sz w:val="20"/>
              </w:rPr>
              <w:t>0.73</w:t>
            </w:r>
          </w:p>
        </w:tc>
        <w:tc>
          <w:tcPr>
            <w:tcW w:w="838" w:type="dxa"/>
            <w:tcBorders>
              <w:top w:val="nil"/>
              <w:left w:val="nil"/>
              <w:bottom w:val="nil"/>
              <w:right w:val="nil"/>
            </w:tcBorders>
          </w:tcPr>
          <w:p>
            <w:pPr>
              <w:pStyle w:val="TableParagraph"/>
              <w:spacing w:before="26"/>
              <w:ind w:right="211"/>
              <w:rPr>
                <w:sz w:val="20"/>
              </w:rPr>
            </w:pPr>
            <w:r>
              <w:rPr>
                <w:sz w:val="20"/>
              </w:rPr>
              <w:t>0.46</w:t>
            </w:r>
          </w:p>
        </w:tc>
        <w:tc>
          <w:tcPr>
            <w:tcW w:w="838" w:type="dxa"/>
            <w:tcBorders>
              <w:top w:val="nil"/>
              <w:left w:val="nil"/>
              <w:bottom w:val="nil"/>
              <w:right w:val="nil"/>
            </w:tcBorders>
          </w:tcPr>
          <w:p>
            <w:pPr>
              <w:pStyle w:val="TableParagraph"/>
              <w:spacing w:before="26"/>
              <w:ind w:right="214"/>
              <w:rPr>
                <w:sz w:val="20"/>
              </w:rPr>
            </w:pPr>
            <w:r>
              <w:rPr>
                <w:sz w:val="20"/>
              </w:rPr>
              <w:t>0.80</w:t>
            </w:r>
          </w:p>
        </w:tc>
        <w:tc>
          <w:tcPr>
            <w:tcW w:w="840" w:type="dxa"/>
            <w:tcBorders>
              <w:top w:val="nil"/>
              <w:left w:val="nil"/>
              <w:bottom w:val="nil"/>
              <w:right w:val="nil"/>
            </w:tcBorders>
          </w:tcPr>
          <w:p>
            <w:pPr>
              <w:pStyle w:val="TableParagraph"/>
              <w:spacing w:before="26"/>
              <w:ind w:right="214"/>
              <w:rPr>
                <w:sz w:val="20"/>
              </w:rPr>
            </w:pPr>
            <w:r>
              <w:rPr>
                <w:sz w:val="20"/>
              </w:rPr>
              <w:t>0.00</w:t>
            </w:r>
          </w:p>
        </w:tc>
        <w:tc>
          <w:tcPr>
            <w:tcW w:w="835" w:type="dxa"/>
            <w:tcBorders>
              <w:top w:val="nil"/>
              <w:left w:val="nil"/>
              <w:bottom w:val="nil"/>
              <w:right w:val="nil"/>
            </w:tcBorders>
          </w:tcPr>
          <w:p>
            <w:pPr>
              <w:pStyle w:val="TableParagraph"/>
              <w:spacing w:before="26"/>
              <w:ind w:right="209"/>
              <w:rPr>
                <w:sz w:val="20"/>
              </w:rPr>
            </w:pPr>
            <w:r>
              <w:rPr>
                <w:sz w:val="20"/>
              </w:rPr>
              <w:t>0.00</w:t>
            </w:r>
          </w:p>
        </w:tc>
        <w:tc>
          <w:tcPr>
            <w:tcW w:w="773" w:type="dxa"/>
            <w:tcBorders>
              <w:top w:val="nil"/>
              <w:left w:val="nil"/>
              <w:bottom w:val="nil"/>
              <w:right w:val="nil"/>
            </w:tcBorders>
          </w:tcPr>
          <w:p>
            <w:pPr>
              <w:pStyle w:val="TableParagraph"/>
              <w:spacing w:before="26"/>
              <w:ind w:right="60"/>
              <w:rPr>
                <w:sz w:val="20"/>
              </w:rPr>
            </w:pPr>
            <w:r>
              <w:rPr>
                <w:sz w:val="20"/>
              </w:rPr>
              <w:t>0.00</w:t>
            </w:r>
          </w:p>
        </w:tc>
      </w:tr>
      <w:tr>
        <w:trPr>
          <w:trHeight w:val="300" w:hRule="exact"/>
        </w:trPr>
        <w:tc>
          <w:tcPr>
            <w:tcW w:w="1429" w:type="dxa"/>
            <w:tcBorders>
              <w:top w:val="nil"/>
              <w:left w:val="nil"/>
              <w:bottom w:val="nil"/>
              <w:right w:val="nil"/>
            </w:tcBorders>
          </w:tcPr>
          <w:p>
            <w:pPr>
              <w:pStyle w:val="TableParagraph"/>
              <w:ind w:left="86"/>
              <w:jc w:val="left"/>
              <w:rPr>
                <w:sz w:val="20"/>
              </w:rPr>
            </w:pPr>
            <w:r>
              <w:rPr>
                <w:sz w:val="20"/>
              </w:rPr>
              <w:t>TEJ_HhFl</w:t>
            </w:r>
          </w:p>
        </w:tc>
        <w:tc>
          <w:tcPr>
            <w:tcW w:w="676" w:type="dxa"/>
            <w:tcBorders>
              <w:top w:val="nil"/>
              <w:left w:val="nil"/>
              <w:bottom w:val="nil"/>
              <w:right w:val="nil"/>
            </w:tcBorders>
          </w:tcPr>
          <w:p>
            <w:pPr>
              <w:pStyle w:val="TableParagraph"/>
              <w:ind w:left="150"/>
              <w:jc w:val="left"/>
              <w:rPr>
                <w:sz w:val="20"/>
              </w:rPr>
            </w:pPr>
            <w:r>
              <w:rPr>
                <w:sz w:val="20"/>
              </w:rPr>
              <w:t>0.90</w:t>
            </w:r>
          </w:p>
        </w:tc>
        <w:tc>
          <w:tcPr>
            <w:tcW w:w="742" w:type="dxa"/>
            <w:tcBorders>
              <w:top w:val="nil"/>
              <w:left w:val="nil"/>
              <w:bottom w:val="nil"/>
              <w:right w:val="nil"/>
            </w:tcBorders>
          </w:tcPr>
          <w:p>
            <w:pPr>
              <w:pStyle w:val="TableParagraph"/>
              <w:ind w:left="170"/>
              <w:jc w:val="left"/>
              <w:rPr>
                <w:sz w:val="20"/>
              </w:rPr>
            </w:pPr>
            <w:r>
              <w:rPr>
                <w:sz w:val="20"/>
              </w:rPr>
              <w:t>0.90</w:t>
            </w:r>
          </w:p>
        </w:tc>
        <w:tc>
          <w:tcPr>
            <w:tcW w:w="840" w:type="dxa"/>
            <w:tcBorders>
              <w:top w:val="nil"/>
              <w:left w:val="nil"/>
              <w:bottom w:val="nil"/>
              <w:right w:val="nil"/>
            </w:tcBorders>
          </w:tcPr>
          <w:p>
            <w:pPr>
              <w:pStyle w:val="TableParagraph"/>
              <w:ind w:right="214"/>
              <w:rPr>
                <w:sz w:val="20"/>
              </w:rPr>
            </w:pPr>
            <w:r>
              <w:rPr>
                <w:sz w:val="20"/>
              </w:rPr>
              <w:t>0.90</w:t>
            </w:r>
          </w:p>
        </w:tc>
        <w:tc>
          <w:tcPr>
            <w:tcW w:w="841" w:type="dxa"/>
            <w:tcBorders>
              <w:top w:val="nil"/>
              <w:left w:val="nil"/>
              <w:bottom w:val="nil"/>
              <w:right w:val="nil"/>
            </w:tcBorders>
          </w:tcPr>
          <w:p>
            <w:pPr>
              <w:pStyle w:val="TableParagraph"/>
              <w:ind w:right="214"/>
              <w:rPr>
                <w:sz w:val="20"/>
              </w:rPr>
            </w:pPr>
            <w:r>
              <w:rPr>
                <w:sz w:val="20"/>
              </w:rPr>
              <w:t>0.93</w:t>
            </w:r>
          </w:p>
        </w:tc>
        <w:tc>
          <w:tcPr>
            <w:tcW w:w="840" w:type="dxa"/>
            <w:tcBorders>
              <w:top w:val="nil"/>
              <w:left w:val="nil"/>
              <w:bottom w:val="nil"/>
              <w:right w:val="nil"/>
            </w:tcBorders>
          </w:tcPr>
          <w:p>
            <w:pPr>
              <w:pStyle w:val="TableParagraph"/>
              <w:ind w:right="214"/>
              <w:rPr>
                <w:sz w:val="20"/>
              </w:rPr>
            </w:pPr>
            <w:r>
              <w:rPr>
                <w:sz w:val="20"/>
              </w:rPr>
              <w:t>0.93</w:t>
            </w:r>
          </w:p>
        </w:tc>
        <w:tc>
          <w:tcPr>
            <w:tcW w:w="838" w:type="dxa"/>
            <w:tcBorders>
              <w:top w:val="nil"/>
              <w:left w:val="nil"/>
              <w:bottom w:val="nil"/>
              <w:right w:val="nil"/>
            </w:tcBorders>
          </w:tcPr>
          <w:p>
            <w:pPr>
              <w:pStyle w:val="TableParagraph"/>
              <w:ind w:right="211"/>
              <w:rPr>
                <w:sz w:val="20"/>
              </w:rPr>
            </w:pPr>
            <w:r>
              <w:rPr>
                <w:sz w:val="20"/>
              </w:rPr>
              <w:t>0.83</w:t>
            </w:r>
          </w:p>
        </w:tc>
        <w:tc>
          <w:tcPr>
            <w:tcW w:w="838" w:type="dxa"/>
            <w:tcBorders>
              <w:top w:val="nil"/>
              <w:left w:val="nil"/>
              <w:bottom w:val="nil"/>
              <w:right w:val="nil"/>
            </w:tcBorders>
          </w:tcPr>
          <w:p>
            <w:pPr>
              <w:pStyle w:val="TableParagraph"/>
              <w:ind w:right="214"/>
              <w:rPr>
                <w:sz w:val="20"/>
              </w:rPr>
            </w:pPr>
            <w:r>
              <w:rPr>
                <w:sz w:val="20"/>
              </w:rPr>
              <w:t>0.86</w:t>
            </w:r>
          </w:p>
        </w:tc>
        <w:tc>
          <w:tcPr>
            <w:tcW w:w="840" w:type="dxa"/>
            <w:tcBorders>
              <w:top w:val="nil"/>
              <w:left w:val="nil"/>
              <w:bottom w:val="nil"/>
              <w:right w:val="nil"/>
            </w:tcBorders>
          </w:tcPr>
          <w:p>
            <w:pPr>
              <w:pStyle w:val="TableParagraph"/>
              <w:ind w:right="214"/>
              <w:rPr>
                <w:sz w:val="20"/>
              </w:rPr>
            </w:pPr>
            <w:r>
              <w:rPr>
                <w:sz w:val="20"/>
              </w:rPr>
              <w:t>0.00</w:t>
            </w:r>
          </w:p>
        </w:tc>
        <w:tc>
          <w:tcPr>
            <w:tcW w:w="835" w:type="dxa"/>
            <w:tcBorders>
              <w:top w:val="nil"/>
              <w:left w:val="nil"/>
              <w:bottom w:val="nil"/>
              <w:right w:val="nil"/>
            </w:tcBorders>
          </w:tcPr>
          <w:p>
            <w:pPr>
              <w:pStyle w:val="TableParagraph"/>
              <w:ind w:right="209"/>
              <w:rPr>
                <w:sz w:val="20"/>
              </w:rPr>
            </w:pPr>
            <w:r>
              <w:rPr>
                <w:sz w:val="20"/>
              </w:rPr>
              <w:t>0.00</w:t>
            </w:r>
          </w:p>
        </w:tc>
        <w:tc>
          <w:tcPr>
            <w:tcW w:w="773" w:type="dxa"/>
            <w:tcBorders>
              <w:top w:val="nil"/>
              <w:left w:val="nil"/>
              <w:bottom w:val="nil"/>
              <w:right w:val="nil"/>
            </w:tcBorders>
          </w:tcPr>
          <w:p>
            <w:pPr>
              <w:pStyle w:val="TableParagraph"/>
              <w:ind w:right="60"/>
              <w:rPr>
                <w:sz w:val="20"/>
              </w:rPr>
            </w:pPr>
            <w:r>
              <w:rPr>
                <w:sz w:val="20"/>
              </w:rPr>
              <w:t>0.00</w:t>
            </w:r>
          </w:p>
        </w:tc>
      </w:tr>
      <w:tr>
        <w:trPr>
          <w:trHeight w:val="300" w:hRule="exact"/>
        </w:trPr>
        <w:tc>
          <w:tcPr>
            <w:tcW w:w="1429" w:type="dxa"/>
            <w:tcBorders>
              <w:top w:val="nil"/>
              <w:left w:val="nil"/>
              <w:bottom w:val="nil"/>
              <w:right w:val="nil"/>
            </w:tcBorders>
          </w:tcPr>
          <w:p>
            <w:pPr>
              <w:pStyle w:val="TableParagraph"/>
              <w:spacing w:before="26"/>
              <w:ind w:left="86"/>
              <w:jc w:val="left"/>
              <w:rPr>
                <w:sz w:val="20"/>
              </w:rPr>
            </w:pPr>
            <w:r>
              <w:rPr>
                <w:sz w:val="20"/>
              </w:rPr>
              <w:t>TEJ_HhFlp</w:t>
            </w:r>
          </w:p>
        </w:tc>
        <w:tc>
          <w:tcPr>
            <w:tcW w:w="676" w:type="dxa"/>
            <w:tcBorders>
              <w:top w:val="nil"/>
              <w:left w:val="nil"/>
              <w:bottom w:val="nil"/>
              <w:right w:val="nil"/>
            </w:tcBorders>
          </w:tcPr>
          <w:p>
            <w:pPr>
              <w:pStyle w:val="TableParagraph"/>
              <w:spacing w:before="26"/>
              <w:ind w:left="150"/>
              <w:jc w:val="left"/>
              <w:rPr>
                <w:sz w:val="20"/>
              </w:rPr>
            </w:pPr>
            <w:r>
              <w:rPr>
                <w:sz w:val="20"/>
              </w:rPr>
              <w:t>2.70</w:t>
            </w:r>
          </w:p>
        </w:tc>
        <w:tc>
          <w:tcPr>
            <w:tcW w:w="742" w:type="dxa"/>
            <w:tcBorders>
              <w:top w:val="nil"/>
              <w:left w:val="nil"/>
              <w:bottom w:val="nil"/>
              <w:right w:val="nil"/>
            </w:tcBorders>
          </w:tcPr>
          <w:p>
            <w:pPr>
              <w:pStyle w:val="TableParagraph"/>
              <w:spacing w:before="26"/>
              <w:ind w:left="170"/>
              <w:jc w:val="left"/>
              <w:rPr>
                <w:sz w:val="20"/>
              </w:rPr>
            </w:pPr>
            <w:r>
              <w:rPr>
                <w:sz w:val="20"/>
              </w:rPr>
              <w:t>2.70</w:t>
            </w:r>
          </w:p>
        </w:tc>
        <w:tc>
          <w:tcPr>
            <w:tcW w:w="840" w:type="dxa"/>
            <w:tcBorders>
              <w:top w:val="nil"/>
              <w:left w:val="nil"/>
              <w:bottom w:val="nil"/>
              <w:right w:val="nil"/>
            </w:tcBorders>
          </w:tcPr>
          <w:p>
            <w:pPr>
              <w:pStyle w:val="TableParagraph"/>
              <w:spacing w:before="26"/>
              <w:ind w:right="214"/>
              <w:rPr>
                <w:sz w:val="20"/>
              </w:rPr>
            </w:pPr>
            <w:r>
              <w:rPr>
                <w:sz w:val="20"/>
              </w:rPr>
              <w:t>2.70</w:t>
            </w:r>
          </w:p>
        </w:tc>
        <w:tc>
          <w:tcPr>
            <w:tcW w:w="841" w:type="dxa"/>
            <w:tcBorders>
              <w:top w:val="nil"/>
              <w:left w:val="nil"/>
              <w:bottom w:val="nil"/>
              <w:right w:val="nil"/>
            </w:tcBorders>
          </w:tcPr>
          <w:p>
            <w:pPr>
              <w:pStyle w:val="TableParagraph"/>
              <w:spacing w:before="26"/>
              <w:ind w:right="214"/>
              <w:rPr>
                <w:sz w:val="20"/>
              </w:rPr>
            </w:pPr>
            <w:r>
              <w:rPr>
                <w:sz w:val="20"/>
              </w:rPr>
              <w:t>1.16</w:t>
            </w:r>
          </w:p>
        </w:tc>
        <w:tc>
          <w:tcPr>
            <w:tcW w:w="840" w:type="dxa"/>
            <w:tcBorders>
              <w:top w:val="nil"/>
              <w:left w:val="nil"/>
              <w:bottom w:val="nil"/>
              <w:right w:val="nil"/>
            </w:tcBorders>
          </w:tcPr>
          <w:p>
            <w:pPr>
              <w:pStyle w:val="TableParagraph"/>
              <w:spacing w:before="26"/>
              <w:ind w:right="214"/>
              <w:rPr>
                <w:sz w:val="20"/>
              </w:rPr>
            </w:pPr>
            <w:r>
              <w:rPr>
                <w:sz w:val="20"/>
              </w:rPr>
              <w:t>1.16</w:t>
            </w:r>
          </w:p>
        </w:tc>
        <w:tc>
          <w:tcPr>
            <w:tcW w:w="838" w:type="dxa"/>
            <w:tcBorders>
              <w:top w:val="nil"/>
              <w:left w:val="nil"/>
              <w:bottom w:val="nil"/>
              <w:right w:val="nil"/>
            </w:tcBorders>
          </w:tcPr>
          <w:p>
            <w:pPr>
              <w:pStyle w:val="TableParagraph"/>
              <w:spacing w:before="26"/>
              <w:ind w:right="211"/>
              <w:rPr>
                <w:sz w:val="20"/>
              </w:rPr>
            </w:pPr>
            <w:r>
              <w:rPr>
                <w:sz w:val="20"/>
              </w:rPr>
              <w:t>1.16</w:t>
            </w:r>
          </w:p>
        </w:tc>
        <w:tc>
          <w:tcPr>
            <w:tcW w:w="838" w:type="dxa"/>
            <w:tcBorders>
              <w:top w:val="nil"/>
              <w:left w:val="nil"/>
              <w:bottom w:val="nil"/>
              <w:right w:val="nil"/>
            </w:tcBorders>
          </w:tcPr>
          <w:p>
            <w:pPr>
              <w:pStyle w:val="TableParagraph"/>
              <w:spacing w:before="26"/>
              <w:ind w:right="214"/>
              <w:rPr>
                <w:sz w:val="20"/>
              </w:rPr>
            </w:pPr>
            <w:r>
              <w:rPr>
                <w:sz w:val="20"/>
              </w:rPr>
              <w:t>1.16</w:t>
            </w:r>
          </w:p>
        </w:tc>
        <w:tc>
          <w:tcPr>
            <w:tcW w:w="840" w:type="dxa"/>
            <w:tcBorders>
              <w:top w:val="nil"/>
              <w:left w:val="nil"/>
              <w:bottom w:val="nil"/>
              <w:right w:val="nil"/>
            </w:tcBorders>
          </w:tcPr>
          <w:p>
            <w:pPr>
              <w:pStyle w:val="TableParagraph"/>
              <w:spacing w:before="26"/>
              <w:ind w:right="214"/>
              <w:rPr>
                <w:sz w:val="20"/>
              </w:rPr>
            </w:pPr>
            <w:r>
              <w:rPr>
                <w:sz w:val="20"/>
              </w:rPr>
              <w:t>0.00</w:t>
            </w:r>
          </w:p>
        </w:tc>
        <w:tc>
          <w:tcPr>
            <w:tcW w:w="835" w:type="dxa"/>
            <w:tcBorders>
              <w:top w:val="nil"/>
              <w:left w:val="nil"/>
              <w:bottom w:val="nil"/>
              <w:right w:val="nil"/>
            </w:tcBorders>
          </w:tcPr>
          <w:p>
            <w:pPr>
              <w:pStyle w:val="TableParagraph"/>
              <w:spacing w:before="26"/>
              <w:ind w:right="209"/>
              <w:rPr>
                <w:sz w:val="20"/>
              </w:rPr>
            </w:pPr>
            <w:r>
              <w:rPr>
                <w:sz w:val="20"/>
              </w:rPr>
              <w:t>0.00</w:t>
            </w:r>
          </w:p>
        </w:tc>
        <w:tc>
          <w:tcPr>
            <w:tcW w:w="773" w:type="dxa"/>
            <w:tcBorders>
              <w:top w:val="nil"/>
              <w:left w:val="nil"/>
              <w:bottom w:val="nil"/>
              <w:right w:val="nil"/>
            </w:tcBorders>
          </w:tcPr>
          <w:p>
            <w:pPr>
              <w:pStyle w:val="TableParagraph"/>
              <w:spacing w:before="26"/>
              <w:ind w:right="60"/>
              <w:rPr>
                <w:sz w:val="20"/>
              </w:rPr>
            </w:pPr>
            <w:r>
              <w:rPr>
                <w:sz w:val="20"/>
              </w:rPr>
              <w:t>0.00</w:t>
            </w:r>
          </w:p>
        </w:tc>
      </w:tr>
      <w:tr>
        <w:trPr>
          <w:trHeight w:val="300" w:hRule="exact"/>
        </w:trPr>
        <w:tc>
          <w:tcPr>
            <w:tcW w:w="1429" w:type="dxa"/>
            <w:tcBorders>
              <w:top w:val="nil"/>
              <w:left w:val="nil"/>
              <w:bottom w:val="nil"/>
              <w:right w:val="nil"/>
            </w:tcBorders>
          </w:tcPr>
          <w:p>
            <w:pPr>
              <w:pStyle w:val="TableParagraph"/>
              <w:ind w:left="86"/>
              <w:jc w:val="left"/>
              <w:rPr>
                <w:sz w:val="20"/>
              </w:rPr>
            </w:pPr>
            <w:r>
              <w:rPr>
                <w:sz w:val="20"/>
              </w:rPr>
              <w:t>TEJ_HhFp</w:t>
            </w:r>
          </w:p>
        </w:tc>
        <w:tc>
          <w:tcPr>
            <w:tcW w:w="676" w:type="dxa"/>
            <w:tcBorders>
              <w:top w:val="nil"/>
              <w:left w:val="nil"/>
              <w:bottom w:val="nil"/>
              <w:right w:val="nil"/>
            </w:tcBorders>
          </w:tcPr>
          <w:p>
            <w:pPr>
              <w:pStyle w:val="TableParagraph"/>
              <w:ind w:left="150"/>
              <w:jc w:val="left"/>
              <w:rPr>
                <w:sz w:val="20"/>
              </w:rPr>
            </w:pPr>
            <w:r>
              <w:rPr>
                <w:sz w:val="20"/>
              </w:rPr>
              <w:t>0.93</w:t>
            </w:r>
          </w:p>
        </w:tc>
        <w:tc>
          <w:tcPr>
            <w:tcW w:w="742" w:type="dxa"/>
            <w:tcBorders>
              <w:top w:val="nil"/>
              <w:left w:val="nil"/>
              <w:bottom w:val="nil"/>
              <w:right w:val="nil"/>
            </w:tcBorders>
          </w:tcPr>
          <w:p>
            <w:pPr>
              <w:pStyle w:val="TableParagraph"/>
              <w:ind w:left="170"/>
              <w:jc w:val="left"/>
              <w:rPr>
                <w:sz w:val="20"/>
              </w:rPr>
            </w:pPr>
            <w:r>
              <w:rPr>
                <w:sz w:val="20"/>
              </w:rPr>
              <w:t>0.93</w:t>
            </w:r>
          </w:p>
        </w:tc>
        <w:tc>
          <w:tcPr>
            <w:tcW w:w="840" w:type="dxa"/>
            <w:tcBorders>
              <w:top w:val="nil"/>
              <w:left w:val="nil"/>
              <w:bottom w:val="nil"/>
              <w:right w:val="nil"/>
            </w:tcBorders>
          </w:tcPr>
          <w:p>
            <w:pPr>
              <w:pStyle w:val="TableParagraph"/>
              <w:ind w:right="214"/>
              <w:rPr>
                <w:sz w:val="20"/>
              </w:rPr>
            </w:pPr>
            <w:r>
              <w:rPr>
                <w:sz w:val="20"/>
              </w:rPr>
              <w:t>0.94</w:t>
            </w:r>
          </w:p>
        </w:tc>
        <w:tc>
          <w:tcPr>
            <w:tcW w:w="841" w:type="dxa"/>
            <w:tcBorders>
              <w:top w:val="nil"/>
              <w:left w:val="nil"/>
              <w:bottom w:val="nil"/>
              <w:right w:val="nil"/>
            </w:tcBorders>
          </w:tcPr>
          <w:p>
            <w:pPr>
              <w:pStyle w:val="TableParagraph"/>
              <w:ind w:right="214"/>
              <w:rPr>
                <w:sz w:val="20"/>
              </w:rPr>
            </w:pPr>
            <w:r>
              <w:rPr>
                <w:sz w:val="20"/>
              </w:rPr>
              <w:t>0.92</w:t>
            </w:r>
          </w:p>
        </w:tc>
        <w:tc>
          <w:tcPr>
            <w:tcW w:w="840" w:type="dxa"/>
            <w:tcBorders>
              <w:top w:val="nil"/>
              <w:left w:val="nil"/>
              <w:bottom w:val="nil"/>
              <w:right w:val="nil"/>
            </w:tcBorders>
          </w:tcPr>
          <w:p>
            <w:pPr>
              <w:pStyle w:val="TableParagraph"/>
              <w:ind w:right="214"/>
              <w:rPr>
                <w:sz w:val="20"/>
              </w:rPr>
            </w:pPr>
            <w:r>
              <w:rPr>
                <w:sz w:val="20"/>
              </w:rPr>
              <w:t>0.91</w:t>
            </w:r>
          </w:p>
        </w:tc>
        <w:tc>
          <w:tcPr>
            <w:tcW w:w="838" w:type="dxa"/>
            <w:tcBorders>
              <w:top w:val="nil"/>
              <w:left w:val="nil"/>
              <w:bottom w:val="nil"/>
              <w:right w:val="nil"/>
            </w:tcBorders>
          </w:tcPr>
          <w:p>
            <w:pPr>
              <w:pStyle w:val="TableParagraph"/>
              <w:ind w:right="211"/>
              <w:rPr>
                <w:sz w:val="20"/>
              </w:rPr>
            </w:pPr>
            <w:r>
              <w:rPr>
                <w:sz w:val="20"/>
              </w:rPr>
              <w:t>0.85</w:t>
            </w:r>
          </w:p>
        </w:tc>
        <w:tc>
          <w:tcPr>
            <w:tcW w:w="838" w:type="dxa"/>
            <w:tcBorders>
              <w:top w:val="nil"/>
              <w:left w:val="nil"/>
              <w:bottom w:val="nil"/>
              <w:right w:val="nil"/>
            </w:tcBorders>
          </w:tcPr>
          <w:p>
            <w:pPr>
              <w:pStyle w:val="TableParagraph"/>
              <w:ind w:right="214"/>
              <w:rPr>
                <w:sz w:val="20"/>
              </w:rPr>
            </w:pPr>
            <w:r>
              <w:rPr>
                <w:sz w:val="20"/>
              </w:rPr>
              <w:t>0.89</w:t>
            </w:r>
          </w:p>
        </w:tc>
        <w:tc>
          <w:tcPr>
            <w:tcW w:w="840" w:type="dxa"/>
            <w:tcBorders>
              <w:top w:val="nil"/>
              <w:left w:val="nil"/>
              <w:bottom w:val="nil"/>
              <w:right w:val="nil"/>
            </w:tcBorders>
          </w:tcPr>
          <w:p>
            <w:pPr>
              <w:pStyle w:val="TableParagraph"/>
              <w:ind w:right="214"/>
              <w:rPr>
                <w:sz w:val="20"/>
              </w:rPr>
            </w:pPr>
            <w:r>
              <w:rPr>
                <w:sz w:val="20"/>
              </w:rPr>
              <w:t>0.00</w:t>
            </w:r>
          </w:p>
        </w:tc>
        <w:tc>
          <w:tcPr>
            <w:tcW w:w="835" w:type="dxa"/>
            <w:tcBorders>
              <w:top w:val="nil"/>
              <w:left w:val="nil"/>
              <w:bottom w:val="nil"/>
              <w:right w:val="nil"/>
            </w:tcBorders>
          </w:tcPr>
          <w:p>
            <w:pPr>
              <w:pStyle w:val="TableParagraph"/>
              <w:ind w:right="209"/>
              <w:rPr>
                <w:sz w:val="20"/>
              </w:rPr>
            </w:pPr>
            <w:r>
              <w:rPr>
                <w:sz w:val="20"/>
              </w:rPr>
              <w:t>0.00</w:t>
            </w:r>
          </w:p>
        </w:tc>
        <w:tc>
          <w:tcPr>
            <w:tcW w:w="773" w:type="dxa"/>
            <w:tcBorders>
              <w:top w:val="nil"/>
              <w:left w:val="nil"/>
              <w:bottom w:val="nil"/>
              <w:right w:val="nil"/>
            </w:tcBorders>
          </w:tcPr>
          <w:p>
            <w:pPr>
              <w:pStyle w:val="TableParagraph"/>
              <w:ind w:right="60"/>
              <w:rPr>
                <w:sz w:val="20"/>
              </w:rPr>
            </w:pPr>
            <w:r>
              <w:rPr>
                <w:sz w:val="20"/>
              </w:rPr>
              <w:t>0.00</w:t>
            </w:r>
          </w:p>
        </w:tc>
      </w:tr>
      <w:tr>
        <w:trPr>
          <w:trHeight w:val="300" w:hRule="exact"/>
        </w:trPr>
        <w:tc>
          <w:tcPr>
            <w:tcW w:w="1429" w:type="dxa"/>
            <w:tcBorders>
              <w:top w:val="nil"/>
              <w:left w:val="nil"/>
              <w:bottom w:val="nil"/>
              <w:right w:val="nil"/>
            </w:tcBorders>
          </w:tcPr>
          <w:p>
            <w:pPr>
              <w:pStyle w:val="TableParagraph"/>
              <w:spacing w:before="26"/>
              <w:ind w:left="86"/>
              <w:jc w:val="left"/>
              <w:rPr>
                <w:sz w:val="20"/>
              </w:rPr>
            </w:pPr>
            <w:r>
              <w:rPr>
                <w:sz w:val="20"/>
              </w:rPr>
              <w:t>TEJ_HhSF</w:t>
            </w:r>
          </w:p>
        </w:tc>
        <w:tc>
          <w:tcPr>
            <w:tcW w:w="676" w:type="dxa"/>
            <w:tcBorders>
              <w:top w:val="nil"/>
              <w:left w:val="nil"/>
              <w:bottom w:val="nil"/>
              <w:right w:val="nil"/>
            </w:tcBorders>
          </w:tcPr>
          <w:p>
            <w:pPr>
              <w:pStyle w:val="TableParagraph"/>
              <w:spacing w:before="26"/>
              <w:ind w:left="150"/>
              <w:jc w:val="left"/>
              <w:rPr>
                <w:sz w:val="20"/>
              </w:rPr>
            </w:pPr>
            <w:r>
              <w:rPr>
                <w:sz w:val="20"/>
              </w:rPr>
              <w:t>0.74</w:t>
            </w:r>
          </w:p>
        </w:tc>
        <w:tc>
          <w:tcPr>
            <w:tcW w:w="742" w:type="dxa"/>
            <w:tcBorders>
              <w:top w:val="nil"/>
              <w:left w:val="nil"/>
              <w:bottom w:val="nil"/>
              <w:right w:val="nil"/>
            </w:tcBorders>
          </w:tcPr>
          <w:p>
            <w:pPr>
              <w:pStyle w:val="TableParagraph"/>
              <w:spacing w:before="26"/>
              <w:ind w:left="170"/>
              <w:jc w:val="left"/>
              <w:rPr>
                <w:sz w:val="20"/>
              </w:rPr>
            </w:pPr>
            <w:r>
              <w:rPr>
                <w:sz w:val="20"/>
              </w:rPr>
              <w:t>0.62</w:t>
            </w:r>
          </w:p>
        </w:tc>
        <w:tc>
          <w:tcPr>
            <w:tcW w:w="840" w:type="dxa"/>
            <w:tcBorders>
              <w:top w:val="nil"/>
              <w:left w:val="nil"/>
              <w:bottom w:val="nil"/>
              <w:right w:val="nil"/>
            </w:tcBorders>
          </w:tcPr>
          <w:p>
            <w:pPr>
              <w:pStyle w:val="TableParagraph"/>
              <w:spacing w:before="26"/>
              <w:ind w:right="214"/>
              <w:rPr>
                <w:sz w:val="20"/>
              </w:rPr>
            </w:pPr>
            <w:r>
              <w:rPr>
                <w:sz w:val="20"/>
              </w:rPr>
              <w:t>0.62</w:t>
            </w:r>
          </w:p>
        </w:tc>
        <w:tc>
          <w:tcPr>
            <w:tcW w:w="841" w:type="dxa"/>
            <w:tcBorders>
              <w:top w:val="nil"/>
              <w:left w:val="nil"/>
              <w:bottom w:val="nil"/>
              <w:right w:val="nil"/>
            </w:tcBorders>
          </w:tcPr>
          <w:p>
            <w:pPr>
              <w:pStyle w:val="TableParagraph"/>
              <w:spacing w:before="26"/>
              <w:ind w:right="214"/>
              <w:rPr>
                <w:sz w:val="20"/>
              </w:rPr>
            </w:pPr>
            <w:r>
              <w:rPr>
                <w:sz w:val="20"/>
              </w:rPr>
              <w:t>0.29</w:t>
            </w:r>
          </w:p>
        </w:tc>
        <w:tc>
          <w:tcPr>
            <w:tcW w:w="840" w:type="dxa"/>
            <w:tcBorders>
              <w:top w:val="nil"/>
              <w:left w:val="nil"/>
              <w:bottom w:val="nil"/>
              <w:right w:val="nil"/>
            </w:tcBorders>
          </w:tcPr>
          <w:p>
            <w:pPr>
              <w:pStyle w:val="TableParagraph"/>
              <w:spacing w:before="26"/>
              <w:ind w:right="214"/>
              <w:rPr>
                <w:sz w:val="20"/>
              </w:rPr>
            </w:pPr>
            <w:r>
              <w:rPr>
                <w:sz w:val="20"/>
              </w:rPr>
              <w:t>0.29</w:t>
            </w:r>
          </w:p>
        </w:tc>
        <w:tc>
          <w:tcPr>
            <w:tcW w:w="838" w:type="dxa"/>
            <w:tcBorders>
              <w:top w:val="nil"/>
              <w:left w:val="nil"/>
              <w:bottom w:val="nil"/>
              <w:right w:val="nil"/>
            </w:tcBorders>
          </w:tcPr>
          <w:p>
            <w:pPr>
              <w:pStyle w:val="TableParagraph"/>
              <w:spacing w:before="26"/>
              <w:ind w:right="211"/>
              <w:rPr>
                <w:sz w:val="20"/>
              </w:rPr>
            </w:pPr>
            <w:r>
              <w:rPr>
                <w:sz w:val="20"/>
              </w:rPr>
              <w:t>0.46</w:t>
            </w:r>
          </w:p>
        </w:tc>
        <w:tc>
          <w:tcPr>
            <w:tcW w:w="838" w:type="dxa"/>
            <w:tcBorders>
              <w:top w:val="nil"/>
              <w:left w:val="nil"/>
              <w:bottom w:val="nil"/>
              <w:right w:val="nil"/>
            </w:tcBorders>
          </w:tcPr>
          <w:p>
            <w:pPr>
              <w:pStyle w:val="TableParagraph"/>
              <w:spacing w:before="26"/>
              <w:ind w:right="214"/>
              <w:rPr>
                <w:sz w:val="20"/>
              </w:rPr>
            </w:pPr>
            <w:r>
              <w:rPr>
                <w:sz w:val="20"/>
              </w:rPr>
              <w:t>0.46</w:t>
            </w:r>
          </w:p>
        </w:tc>
        <w:tc>
          <w:tcPr>
            <w:tcW w:w="840" w:type="dxa"/>
            <w:tcBorders>
              <w:top w:val="nil"/>
              <w:left w:val="nil"/>
              <w:bottom w:val="nil"/>
              <w:right w:val="nil"/>
            </w:tcBorders>
          </w:tcPr>
          <w:p>
            <w:pPr>
              <w:pStyle w:val="TableParagraph"/>
              <w:spacing w:before="26"/>
              <w:ind w:right="214"/>
              <w:rPr>
                <w:sz w:val="20"/>
              </w:rPr>
            </w:pPr>
            <w:r>
              <w:rPr>
                <w:sz w:val="20"/>
              </w:rPr>
              <w:t>0.00</w:t>
            </w:r>
          </w:p>
        </w:tc>
        <w:tc>
          <w:tcPr>
            <w:tcW w:w="835" w:type="dxa"/>
            <w:tcBorders>
              <w:top w:val="nil"/>
              <w:left w:val="nil"/>
              <w:bottom w:val="nil"/>
              <w:right w:val="nil"/>
            </w:tcBorders>
          </w:tcPr>
          <w:p>
            <w:pPr>
              <w:pStyle w:val="TableParagraph"/>
              <w:spacing w:before="26"/>
              <w:ind w:right="209"/>
              <w:rPr>
                <w:sz w:val="20"/>
              </w:rPr>
            </w:pPr>
            <w:r>
              <w:rPr>
                <w:sz w:val="20"/>
              </w:rPr>
              <w:t>0.00</w:t>
            </w:r>
          </w:p>
        </w:tc>
        <w:tc>
          <w:tcPr>
            <w:tcW w:w="773" w:type="dxa"/>
            <w:tcBorders>
              <w:top w:val="nil"/>
              <w:left w:val="nil"/>
              <w:bottom w:val="nil"/>
              <w:right w:val="nil"/>
            </w:tcBorders>
          </w:tcPr>
          <w:p>
            <w:pPr>
              <w:pStyle w:val="TableParagraph"/>
              <w:spacing w:before="26"/>
              <w:ind w:right="60"/>
              <w:rPr>
                <w:sz w:val="20"/>
              </w:rPr>
            </w:pPr>
            <w:r>
              <w:rPr>
                <w:sz w:val="20"/>
              </w:rPr>
              <w:t>0.00</w:t>
            </w:r>
          </w:p>
        </w:tc>
      </w:tr>
      <w:tr>
        <w:trPr>
          <w:trHeight w:val="300" w:hRule="exact"/>
        </w:trPr>
        <w:tc>
          <w:tcPr>
            <w:tcW w:w="1429" w:type="dxa"/>
            <w:tcBorders>
              <w:top w:val="nil"/>
              <w:left w:val="nil"/>
              <w:bottom w:val="nil"/>
              <w:right w:val="nil"/>
            </w:tcBorders>
          </w:tcPr>
          <w:p>
            <w:pPr>
              <w:pStyle w:val="TableParagraph"/>
              <w:ind w:left="86"/>
              <w:jc w:val="left"/>
              <w:rPr>
                <w:sz w:val="20"/>
              </w:rPr>
            </w:pPr>
            <w:r>
              <w:rPr>
                <w:sz w:val="20"/>
              </w:rPr>
              <w:t>TEJ_HlFd</w:t>
            </w:r>
          </w:p>
        </w:tc>
        <w:tc>
          <w:tcPr>
            <w:tcW w:w="676" w:type="dxa"/>
            <w:tcBorders>
              <w:top w:val="nil"/>
              <w:left w:val="nil"/>
              <w:bottom w:val="nil"/>
              <w:right w:val="nil"/>
            </w:tcBorders>
          </w:tcPr>
          <w:p>
            <w:pPr>
              <w:pStyle w:val="TableParagraph"/>
              <w:ind w:left="150"/>
              <w:jc w:val="left"/>
              <w:rPr>
                <w:sz w:val="20"/>
              </w:rPr>
            </w:pPr>
            <w:r>
              <w:rPr>
                <w:sz w:val="20"/>
              </w:rPr>
              <w:t>0.64</w:t>
            </w:r>
          </w:p>
        </w:tc>
        <w:tc>
          <w:tcPr>
            <w:tcW w:w="742" w:type="dxa"/>
            <w:tcBorders>
              <w:top w:val="nil"/>
              <w:left w:val="nil"/>
              <w:bottom w:val="nil"/>
              <w:right w:val="nil"/>
            </w:tcBorders>
          </w:tcPr>
          <w:p>
            <w:pPr>
              <w:pStyle w:val="TableParagraph"/>
              <w:ind w:left="170"/>
              <w:jc w:val="left"/>
              <w:rPr>
                <w:sz w:val="20"/>
              </w:rPr>
            </w:pPr>
            <w:r>
              <w:rPr>
                <w:sz w:val="20"/>
              </w:rPr>
              <w:t>0.59</w:t>
            </w:r>
          </w:p>
        </w:tc>
        <w:tc>
          <w:tcPr>
            <w:tcW w:w="840" w:type="dxa"/>
            <w:tcBorders>
              <w:top w:val="nil"/>
              <w:left w:val="nil"/>
              <w:bottom w:val="nil"/>
              <w:right w:val="nil"/>
            </w:tcBorders>
          </w:tcPr>
          <w:p>
            <w:pPr>
              <w:pStyle w:val="TableParagraph"/>
              <w:ind w:right="214"/>
              <w:rPr>
                <w:sz w:val="20"/>
              </w:rPr>
            </w:pPr>
            <w:r>
              <w:rPr>
                <w:sz w:val="20"/>
              </w:rPr>
              <w:t>0.54</w:t>
            </w:r>
          </w:p>
        </w:tc>
        <w:tc>
          <w:tcPr>
            <w:tcW w:w="841" w:type="dxa"/>
            <w:tcBorders>
              <w:top w:val="nil"/>
              <w:left w:val="nil"/>
              <w:bottom w:val="nil"/>
              <w:right w:val="nil"/>
            </w:tcBorders>
          </w:tcPr>
          <w:p>
            <w:pPr>
              <w:pStyle w:val="TableParagraph"/>
              <w:ind w:right="214"/>
              <w:rPr>
                <w:sz w:val="20"/>
              </w:rPr>
            </w:pPr>
            <w:r>
              <w:rPr>
                <w:sz w:val="20"/>
              </w:rPr>
              <w:t>0.29</w:t>
            </w:r>
          </w:p>
        </w:tc>
        <w:tc>
          <w:tcPr>
            <w:tcW w:w="840" w:type="dxa"/>
            <w:tcBorders>
              <w:top w:val="nil"/>
              <w:left w:val="nil"/>
              <w:bottom w:val="nil"/>
              <w:right w:val="nil"/>
            </w:tcBorders>
          </w:tcPr>
          <w:p>
            <w:pPr>
              <w:pStyle w:val="TableParagraph"/>
              <w:ind w:right="214"/>
              <w:rPr>
                <w:sz w:val="20"/>
              </w:rPr>
            </w:pPr>
            <w:r>
              <w:rPr>
                <w:sz w:val="20"/>
              </w:rPr>
              <w:t>0.38</w:t>
            </w:r>
          </w:p>
        </w:tc>
        <w:tc>
          <w:tcPr>
            <w:tcW w:w="838" w:type="dxa"/>
            <w:tcBorders>
              <w:top w:val="nil"/>
              <w:left w:val="nil"/>
              <w:bottom w:val="nil"/>
              <w:right w:val="nil"/>
            </w:tcBorders>
          </w:tcPr>
          <w:p>
            <w:pPr>
              <w:pStyle w:val="TableParagraph"/>
              <w:ind w:right="211"/>
              <w:rPr>
                <w:sz w:val="20"/>
              </w:rPr>
            </w:pPr>
            <w:r>
              <w:rPr>
                <w:sz w:val="20"/>
              </w:rPr>
              <w:t>0.39</w:t>
            </w:r>
          </w:p>
        </w:tc>
        <w:tc>
          <w:tcPr>
            <w:tcW w:w="838" w:type="dxa"/>
            <w:tcBorders>
              <w:top w:val="nil"/>
              <w:left w:val="nil"/>
              <w:bottom w:val="nil"/>
              <w:right w:val="nil"/>
            </w:tcBorders>
          </w:tcPr>
          <w:p>
            <w:pPr>
              <w:pStyle w:val="TableParagraph"/>
              <w:ind w:right="214"/>
              <w:rPr>
                <w:sz w:val="20"/>
              </w:rPr>
            </w:pPr>
            <w:r>
              <w:rPr>
                <w:sz w:val="20"/>
              </w:rPr>
              <w:t>0.81</w:t>
            </w:r>
          </w:p>
        </w:tc>
        <w:tc>
          <w:tcPr>
            <w:tcW w:w="840" w:type="dxa"/>
            <w:tcBorders>
              <w:top w:val="nil"/>
              <w:left w:val="nil"/>
              <w:bottom w:val="nil"/>
              <w:right w:val="nil"/>
            </w:tcBorders>
          </w:tcPr>
          <w:p>
            <w:pPr>
              <w:pStyle w:val="TableParagraph"/>
              <w:ind w:right="214"/>
              <w:rPr>
                <w:sz w:val="20"/>
              </w:rPr>
            </w:pPr>
            <w:r>
              <w:rPr>
                <w:sz w:val="20"/>
              </w:rPr>
              <w:t>0.00</w:t>
            </w:r>
          </w:p>
        </w:tc>
        <w:tc>
          <w:tcPr>
            <w:tcW w:w="835" w:type="dxa"/>
            <w:tcBorders>
              <w:top w:val="nil"/>
              <w:left w:val="nil"/>
              <w:bottom w:val="nil"/>
              <w:right w:val="nil"/>
            </w:tcBorders>
          </w:tcPr>
          <w:p>
            <w:pPr>
              <w:pStyle w:val="TableParagraph"/>
              <w:ind w:right="209"/>
              <w:rPr>
                <w:sz w:val="20"/>
              </w:rPr>
            </w:pPr>
            <w:r>
              <w:rPr>
                <w:sz w:val="20"/>
              </w:rPr>
              <w:t>0.00</w:t>
            </w:r>
          </w:p>
        </w:tc>
        <w:tc>
          <w:tcPr>
            <w:tcW w:w="773" w:type="dxa"/>
            <w:tcBorders>
              <w:top w:val="nil"/>
              <w:left w:val="nil"/>
              <w:bottom w:val="nil"/>
              <w:right w:val="nil"/>
            </w:tcBorders>
          </w:tcPr>
          <w:p>
            <w:pPr>
              <w:pStyle w:val="TableParagraph"/>
              <w:ind w:right="60"/>
              <w:rPr>
                <w:sz w:val="20"/>
              </w:rPr>
            </w:pPr>
            <w:r>
              <w:rPr>
                <w:sz w:val="20"/>
              </w:rPr>
              <w:t>0.00</w:t>
            </w:r>
          </w:p>
        </w:tc>
      </w:tr>
      <w:tr>
        <w:trPr>
          <w:trHeight w:val="300" w:hRule="exact"/>
        </w:trPr>
        <w:tc>
          <w:tcPr>
            <w:tcW w:w="1429" w:type="dxa"/>
            <w:tcBorders>
              <w:top w:val="nil"/>
              <w:left w:val="nil"/>
              <w:bottom w:val="nil"/>
              <w:right w:val="nil"/>
            </w:tcBorders>
          </w:tcPr>
          <w:p>
            <w:pPr>
              <w:pStyle w:val="TableParagraph"/>
              <w:spacing w:before="26"/>
              <w:ind w:left="86"/>
              <w:jc w:val="left"/>
              <w:rPr>
                <w:sz w:val="20"/>
              </w:rPr>
            </w:pPr>
            <w:r>
              <w:rPr>
                <w:sz w:val="20"/>
              </w:rPr>
              <w:t>TEJ_HlFdp</w:t>
            </w:r>
          </w:p>
        </w:tc>
        <w:tc>
          <w:tcPr>
            <w:tcW w:w="676" w:type="dxa"/>
            <w:tcBorders>
              <w:top w:val="nil"/>
              <w:left w:val="nil"/>
              <w:bottom w:val="nil"/>
              <w:right w:val="nil"/>
            </w:tcBorders>
          </w:tcPr>
          <w:p>
            <w:pPr>
              <w:pStyle w:val="TableParagraph"/>
              <w:spacing w:before="26"/>
              <w:ind w:left="150"/>
              <w:jc w:val="left"/>
              <w:rPr>
                <w:sz w:val="20"/>
              </w:rPr>
            </w:pPr>
            <w:r>
              <w:rPr>
                <w:sz w:val="20"/>
              </w:rPr>
              <w:t>1.25</w:t>
            </w:r>
          </w:p>
        </w:tc>
        <w:tc>
          <w:tcPr>
            <w:tcW w:w="742" w:type="dxa"/>
            <w:tcBorders>
              <w:top w:val="nil"/>
              <w:left w:val="nil"/>
              <w:bottom w:val="nil"/>
              <w:right w:val="nil"/>
            </w:tcBorders>
          </w:tcPr>
          <w:p>
            <w:pPr>
              <w:pStyle w:val="TableParagraph"/>
              <w:spacing w:before="26"/>
              <w:ind w:left="170"/>
              <w:jc w:val="left"/>
              <w:rPr>
                <w:sz w:val="20"/>
              </w:rPr>
            </w:pPr>
            <w:r>
              <w:rPr>
                <w:sz w:val="20"/>
              </w:rPr>
              <w:t>1.15</w:t>
            </w:r>
          </w:p>
        </w:tc>
        <w:tc>
          <w:tcPr>
            <w:tcW w:w="840" w:type="dxa"/>
            <w:tcBorders>
              <w:top w:val="nil"/>
              <w:left w:val="nil"/>
              <w:bottom w:val="nil"/>
              <w:right w:val="nil"/>
            </w:tcBorders>
          </w:tcPr>
          <w:p>
            <w:pPr>
              <w:pStyle w:val="TableParagraph"/>
              <w:spacing w:before="26"/>
              <w:ind w:right="214"/>
              <w:rPr>
                <w:sz w:val="20"/>
              </w:rPr>
            </w:pPr>
            <w:r>
              <w:rPr>
                <w:sz w:val="20"/>
              </w:rPr>
              <w:t>1.15</w:t>
            </w:r>
          </w:p>
        </w:tc>
        <w:tc>
          <w:tcPr>
            <w:tcW w:w="841" w:type="dxa"/>
            <w:tcBorders>
              <w:top w:val="nil"/>
              <w:left w:val="nil"/>
              <w:bottom w:val="nil"/>
              <w:right w:val="nil"/>
            </w:tcBorders>
          </w:tcPr>
          <w:p>
            <w:pPr>
              <w:pStyle w:val="TableParagraph"/>
              <w:spacing w:before="26"/>
              <w:ind w:right="214"/>
              <w:rPr>
                <w:sz w:val="20"/>
              </w:rPr>
            </w:pPr>
            <w:r>
              <w:rPr>
                <w:sz w:val="20"/>
              </w:rPr>
              <w:t>0.34</w:t>
            </w:r>
          </w:p>
        </w:tc>
        <w:tc>
          <w:tcPr>
            <w:tcW w:w="840" w:type="dxa"/>
            <w:tcBorders>
              <w:top w:val="nil"/>
              <w:left w:val="nil"/>
              <w:bottom w:val="nil"/>
              <w:right w:val="nil"/>
            </w:tcBorders>
          </w:tcPr>
          <w:p>
            <w:pPr>
              <w:pStyle w:val="TableParagraph"/>
              <w:spacing w:before="26"/>
              <w:ind w:right="214"/>
              <w:rPr>
                <w:sz w:val="20"/>
              </w:rPr>
            </w:pPr>
            <w:r>
              <w:rPr>
                <w:sz w:val="20"/>
              </w:rPr>
              <w:t>0.34</w:t>
            </w:r>
          </w:p>
        </w:tc>
        <w:tc>
          <w:tcPr>
            <w:tcW w:w="838" w:type="dxa"/>
            <w:tcBorders>
              <w:top w:val="nil"/>
              <w:left w:val="nil"/>
              <w:bottom w:val="nil"/>
              <w:right w:val="nil"/>
            </w:tcBorders>
          </w:tcPr>
          <w:p>
            <w:pPr>
              <w:pStyle w:val="TableParagraph"/>
              <w:spacing w:before="26"/>
              <w:ind w:right="211"/>
              <w:rPr>
                <w:sz w:val="20"/>
              </w:rPr>
            </w:pPr>
            <w:r>
              <w:rPr>
                <w:sz w:val="20"/>
              </w:rPr>
              <w:t>0.39</w:t>
            </w:r>
          </w:p>
        </w:tc>
        <w:tc>
          <w:tcPr>
            <w:tcW w:w="838" w:type="dxa"/>
            <w:tcBorders>
              <w:top w:val="nil"/>
              <w:left w:val="nil"/>
              <w:bottom w:val="nil"/>
              <w:right w:val="nil"/>
            </w:tcBorders>
          </w:tcPr>
          <w:p>
            <w:pPr>
              <w:pStyle w:val="TableParagraph"/>
              <w:spacing w:before="26"/>
              <w:ind w:right="214"/>
              <w:rPr>
                <w:sz w:val="20"/>
              </w:rPr>
            </w:pPr>
            <w:r>
              <w:rPr>
                <w:sz w:val="20"/>
              </w:rPr>
              <w:t>0.37</w:t>
            </w:r>
          </w:p>
        </w:tc>
        <w:tc>
          <w:tcPr>
            <w:tcW w:w="840" w:type="dxa"/>
            <w:tcBorders>
              <w:top w:val="nil"/>
              <w:left w:val="nil"/>
              <w:bottom w:val="nil"/>
              <w:right w:val="nil"/>
            </w:tcBorders>
          </w:tcPr>
          <w:p>
            <w:pPr>
              <w:pStyle w:val="TableParagraph"/>
              <w:spacing w:before="26"/>
              <w:ind w:right="214"/>
              <w:rPr>
                <w:sz w:val="20"/>
              </w:rPr>
            </w:pPr>
            <w:r>
              <w:rPr>
                <w:sz w:val="20"/>
              </w:rPr>
              <w:t>0.00</w:t>
            </w:r>
          </w:p>
        </w:tc>
        <w:tc>
          <w:tcPr>
            <w:tcW w:w="835" w:type="dxa"/>
            <w:tcBorders>
              <w:top w:val="nil"/>
              <w:left w:val="nil"/>
              <w:bottom w:val="nil"/>
              <w:right w:val="nil"/>
            </w:tcBorders>
          </w:tcPr>
          <w:p>
            <w:pPr>
              <w:pStyle w:val="TableParagraph"/>
              <w:spacing w:before="26"/>
              <w:ind w:right="209"/>
              <w:rPr>
                <w:sz w:val="20"/>
              </w:rPr>
            </w:pPr>
            <w:r>
              <w:rPr>
                <w:sz w:val="20"/>
              </w:rPr>
              <w:t>0.00</w:t>
            </w:r>
          </w:p>
        </w:tc>
        <w:tc>
          <w:tcPr>
            <w:tcW w:w="773" w:type="dxa"/>
            <w:tcBorders>
              <w:top w:val="nil"/>
              <w:left w:val="nil"/>
              <w:bottom w:val="nil"/>
              <w:right w:val="nil"/>
            </w:tcBorders>
          </w:tcPr>
          <w:p>
            <w:pPr>
              <w:pStyle w:val="TableParagraph"/>
              <w:spacing w:before="26"/>
              <w:ind w:right="60"/>
              <w:rPr>
                <w:sz w:val="20"/>
              </w:rPr>
            </w:pPr>
            <w:r>
              <w:rPr>
                <w:sz w:val="20"/>
              </w:rPr>
              <w:t>0.00</w:t>
            </w:r>
          </w:p>
        </w:tc>
      </w:tr>
      <w:tr>
        <w:trPr>
          <w:trHeight w:val="300" w:hRule="exact"/>
        </w:trPr>
        <w:tc>
          <w:tcPr>
            <w:tcW w:w="1429" w:type="dxa"/>
            <w:tcBorders>
              <w:top w:val="nil"/>
              <w:left w:val="nil"/>
              <w:bottom w:val="nil"/>
              <w:right w:val="nil"/>
            </w:tcBorders>
          </w:tcPr>
          <w:p>
            <w:pPr>
              <w:pStyle w:val="TableParagraph"/>
              <w:spacing w:before="24"/>
              <w:ind w:left="86"/>
              <w:jc w:val="left"/>
              <w:rPr>
                <w:sz w:val="20"/>
              </w:rPr>
            </w:pPr>
            <w:r>
              <w:rPr>
                <w:sz w:val="20"/>
              </w:rPr>
              <w:t>TEJ_HlFl</w:t>
            </w:r>
          </w:p>
        </w:tc>
        <w:tc>
          <w:tcPr>
            <w:tcW w:w="676" w:type="dxa"/>
            <w:tcBorders>
              <w:top w:val="nil"/>
              <w:left w:val="nil"/>
              <w:bottom w:val="nil"/>
              <w:right w:val="nil"/>
            </w:tcBorders>
          </w:tcPr>
          <w:p>
            <w:pPr>
              <w:pStyle w:val="TableParagraph"/>
              <w:spacing w:before="24"/>
              <w:ind w:left="150"/>
              <w:jc w:val="left"/>
              <w:rPr>
                <w:sz w:val="20"/>
              </w:rPr>
            </w:pPr>
            <w:r>
              <w:rPr>
                <w:sz w:val="20"/>
              </w:rPr>
              <w:t>1.57</w:t>
            </w:r>
          </w:p>
        </w:tc>
        <w:tc>
          <w:tcPr>
            <w:tcW w:w="742" w:type="dxa"/>
            <w:tcBorders>
              <w:top w:val="nil"/>
              <w:left w:val="nil"/>
              <w:bottom w:val="nil"/>
              <w:right w:val="nil"/>
            </w:tcBorders>
          </w:tcPr>
          <w:p>
            <w:pPr>
              <w:pStyle w:val="TableParagraph"/>
              <w:spacing w:before="24"/>
              <w:ind w:left="170"/>
              <w:jc w:val="left"/>
              <w:rPr>
                <w:sz w:val="20"/>
              </w:rPr>
            </w:pPr>
            <w:r>
              <w:rPr>
                <w:sz w:val="20"/>
              </w:rPr>
              <w:t>1.57</w:t>
            </w:r>
          </w:p>
        </w:tc>
        <w:tc>
          <w:tcPr>
            <w:tcW w:w="840" w:type="dxa"/>
            <w:tcBorders>
              <w:top w:val="nil"/>
              <w:left w:val="nil"/>
              <w:bottom w:val="nil"/>
              <w:right w:val="nil"/>
            </w:tcBorders>
          </w:tcPr>
          <w:p>
            <w:pPr>
              <w:pStyle w:val="TableParagraph"/>
              <w:spacing w:before="24"/>
              <w:ind w:right="214"/>
              <w:rPr>
                <w:sz w:val="20"/>
              </w:rPr>
            </w:pPr>
            <w:r>
              <w:rPr>
                <w:sz w:val="20"/>
              </w:rPr>
              <w:t>0.70</w:t>
            </w:r>
          </w:p>
        </w:tc>
        <w:tc>
          <w:tcPr>
            <w:tcW w:w="841" w:type="dxa"/>
            <w:tcBorders>
              <w:top w:val="nil"/>
              <w:left w:val="nil"/>
              <w:bottom w:val="nil"/>
              <w:right w:val="nil"/>
            </w:tcBorders>
          </w:tcPr>
          <w:p>
            <w:pPr>
              <w:pStyle w:val="TableParagraph"/>
              <w:spacing w:before="24"/>
              <w:ind w:right="214"/>
              <w:rPr>
                <w:sz w:val="20"/>
              </w:rPr>
            </w:pPr>
            <w:r>
              <w:rPr>
                <w:sz w:val="20"/>
              </w:rPr>
              <w:t>0.73</w:t>
            </w:r>
          </w:p>
        </w:tc>
        <w:tc>
          <w:tcPr>
            <w:tcW w:w="840" w:type="dxa"/>
            <w:tcBorders>
              <w:top w:val="nil"/>
              <w:left w:val="nil"/>
              <w:bottom w:val="nil"/>
              <w:right w:val="nil"/>
            </w:tcBorders>
          </w:tcPr>
          <w:p>
            <w:pPr>
              <w:pStyle w:val="TableParagraph"/>
              <w:spacing w:before="24"/>
              <w:ind w:right="214"/>
              <w:rPr>
                <w:sz w:val="20"/>
              </w:rPr>
            </w:pPr>
            <w:r>
              <w:rPr>
                <w:sz w:val="20"/>
              </w:rPr>
              <w:t>0.91</w:t>
            </w:r>
          </w:p>
        </w:tc>
        <w:tc>
          <w:tcPr>
            <w:tcW w:w="838" w:type="dxa"/>
            <w:tcBorders>
              <w:top w:val="nil"/>
              <w:left w:val="nil"/>
              <w:bottom w:val="nil"/>
              <w:right w:val="nil"/>
            </w:tcBorders>
          </w:tcPr>
          <w:p>
            <w:pPr>
              <w:pStyle w:val="TableParagraph"/>
              <w:spacing w:before="24"/>
              <w:ind w:right="211"/>
              <w:rPr>
                <w:sz w:val="20"/>
              </w:rPr>
            </w:pPr>
            <w:r>
              <w:rPr>
                <w:sz w:val="20"/>
              </w:rPr>
              <w:t>0.82</w:t>
            </w:r>
          </w:p>
        </w:tc>
        <w:tc>
          <w:tcPr>
            <w:tcW w:w="838" w:type="dxa"/>
            <w:tcBorders>
              <w:top w:val="nil"/>
              <w:left w:val="nil"/>
              <w:bottom w:val="nil"/>
              <w:right w:val="nil"/>
            </w:tcBorders>
          </w:tcPr>
          <w:p>
            <w:pPr>
              <w:pStyle w:val="TableParagraph"/>
              <w:spacing w:before="24"/>
              <w:ind w:right="214"/>
              <w:rPr>
                <w:sz w:val="20"/>
              </w:rPr>
            </w:pPr>
            <w:r>
              <w:rPr>
                <w:sz w:val="20"/>
              </w:rPr>
              <w:t>0.86</w:t>
            </w:r>
          </w:p>
        </w:tc>
        <w:tc>
          <w:tcPr>
            <w:tcW w:w="840" w:type="dxa"/>
            <w:tcBorders>
              <w:top w:val="nil"/>
              <w:left w:val="nil"/>
              <w:bottom w:val="nil"/>
              <w:right w:val="nil"/>
            </w:tcBorders>
          </w:tcPr>
          <w:p>
            <w:pPr>
              <w:pStyle w:val="TableParagraph"/>
              <w:spacing w:before="24"/>
              <w:ind w:right="214"/>
              <w:rPr>
                <w:sz w:val="20"/>
              </w:rPr>
            </w:pPr>
            <w:r>
              <w:rPr>
                <w:sz w:val="20"/>
              </w:rPr>
              <w:t>0.00</w:t>
            </w:r>
          </w:p>
        </w:tc>
        <w:tc>
          <w:tcPr>
            <w:tcW w:w="835" w:type="dxa"/>
            <w:tcBorders>
              <w:top w:val="nil"/>
              <w:left w:val="nil"/>
              <w:bottom w:val="nil"/>
              <w:right w:val="nil"/>
            </w:tcBorders>
          </w:tcPr>
          <w:p>
            <w:pPr>
              <w:pStyle w:val="TableParagraph"/>
              <w:spacing w:before="24"/>
              <w:ind w:right="209"/>
              <w:rPr>
                <w:sz w:val="20"/>
              </w:rPr>
            </w:pPr>
            <w:r>
              <w:rPr>
                <w:sz w:val="20"/>
              </w:rPr>
              <w:t>0.00</w:t>
            </w:r>
          </w:p>
        </w:tc>
        <w:tc>
          <w:tcPr>
            <w:tcW w:w="773" w:type="dxa"/>
            <w:tcBorders>
              <w:top w:val="nil"/>
              <w:left w:val="nil"/>
              <w:bottom w:val="nil"/>
              <w:right w:val="nil"/>
            </w:tcBorders>
          </w:tcPr>
          <w:p>
            <w:pPr>
              <w:pStyle w:val="TableParagraph"/>
              <w:spacing w:before="24"/>
              <w:ind w:right="60"/>
              <w:rPr>
                <w:sz w:val="20"/>
              </w:rPr>
            </w:pPr>
            <w:r>
              <w:rPr>
                <w:sz w:val="20"/>
              </w:rPr>
              <w:t>0.00</w:t>
            </w:r>
          </w:p>
        </w:tc>
      </w:tr>
      <w:tr>
        <w:trPr>
          <w:trHeight w:val="300" w:hRule="exact"/>
        </w:trPr>
        <w:tc>
          <w:tcPr>
            <w:tcW w:w="1429" w:type="dxa"/>
            <w:tcBorders>
              <w:top w:val="nil"/>
              <w:left w:val="nil"/>
              <w:bottom w:val="nil"/>
              <w:right w:val="nil"/>
            </w:tcBorders>
          </w:tcPr>
          <w:p>
            <w:pPr>
              <w:pStyle w:val="TableParagraph"/>
              <w:spacing w:before="26"/>
              <w:ind w:left="86"/>
              <w:jc w:val="left"/>
              <w:rPr>
                <w:sz w:val="20"/>
              </w:rPr>
            </w:pPr>
            <w:r>
              <w:rPr>
                <w:sz w:val="20"/>
              </w:rPr>
              <w:t>TEJ_HlFlp</w:t>
            </w:r>
          </w:p>
        </w:tc>
        <w:tc>
          <w:tcPr>
            <w:tcW w:w="676" w:type="dxa"/>
            <w:tcBorders>
              <w:top w:val="nil"/>
              <w:left w:val="nil"/>
              <w:bottom w:val="nil"/>
              <w:right w:val="nil"/>
            </w:tcBorders>
          </w:tcPr>
          <w:p>
            <w:pPr>
              <w:pStyle w:val="TableParagraph"/>
              <w:spacing w:before="26"/>
              <w:ind w:left="150"/>
              <w:jc w:val="left"/>
              <w:rPr>
                <w:sz w:val="20"/>
              </w:rPr>
            </w:pPr>
            <w:r>
              <w:rPr>
                <w:sz w:val="20"/>
              </w:rPr>
              <w:t>2.44</w:t>
            </w:r>
          </w:p>
        </w:tc>
        <w:tc>
          <w:tcPr>
            <w:tcW w:w="742" w:type="dxa"/>
            <w:tcBorders>
              <w:top w:val="nil"/>
              <w:left w:val="nil"/>
              <w:bottom w:val="nil"/>
              <w:right w:val="nil"/>
            </w:tcBorders>
          </w:tcPr>
          <w:p>
            <w:pPr>
              <w:pStyle w:val="TableParagraph"/>
              <w:spacing w:before="26"/>
              <w:ind w:left="170"/>
              <w:jc w:val="left"/>
              <w:rPr>
                <w:sz w:val="20"/>
              </w:rPr>
            </w:pPr>
            <w:r>
              <w:rPr>
                <w:sz w:val="20"/>
              </w:rPr>
              <w:t>2.44</w:t>
            </w:r>
          </w:p>
        </w:tc>
        <w:tc>
          <w:tcPr>
            <w:tcW w:w="840" w:type="dxa"/>
            <w:tcBorders>
              <w:top w:val="nil"/>
              <w:left w:val="nil"/>
              <w:bottom w:val="nil"/>
              <w:right w:val="nil"/>
            </w:tcBorders>
          </w:tcPr>
          <w:p>
            <w:pPr>
              <w:pStyle w:val="TableParagraph"/>
              <w:spacing w:before="26"/>
              <w:ind w:right="214"/>
              <w:rPr>
                <w:sz w:val="20"/>
              </w:rPr>
            </w:pPr>
            <w:r>
              <w:rPr>
                <w:sz w:val="20"/>
              </w:rPr>
              <w:t>2.44</w:t>
            </w:r>
          </w:p>
        </w:tc>
        <w:tc>
          <w:tcPr>
            <w:tcW w:w="841" w:type="dxa"/>
            <w:tcBorders>
              <w:top w:val="nil"/>
              <w:left w:val="nil"/>
              <w:bottom w:val="nil"/>
              <w:right w:val="nil"/>
            </w:tcBorders>
          </w:tcPr>
          <w:p>
            <w:pPr>
              <w:pStyle w:val="TableParagraph"/>
              <w:spacing w:before="26"/>
              <w:ind w:right="214"/>
              <w:rPr>
                <w:sz w:val="20"/>
              </w:rPr>
            </w:pPr>
            <w:r>
              <w:rPr>
                <w:sz w:val="20"/>
              </w:rPr>
              <w:t>1.57</w:t>
            </w:r>
          </w:p>
        </w:tc>
        <w:tc>
          <w:tcPr>
            <w:tcW w:w="840" w:type="dxa"/>
            <w:tcBorders>
              <w:top w:val="nil"/>
              <w:left w:val="nil"/>
              <w:bottom w:val="nil"/>
              <w:right w:val="nil"/>
            </w:tcBorders>
          </w:tcPr>
          <w:p>
            <w:pPr>
              <w:pStyle w:val="TableParagraph"/>
              <w:spacing w:before="26"/>
              <w:ind w:right="214"/>
              <w:rPr>
                <w:sz w:val="20"/>
              </w:rPr>
            </w:pPr>
            <w:r>
              <w:rPr>
                <w:sz w:val="20"/>
              </w:rPr>
              <w:t>1.57</w:t>
            </w:r>
          </w:p>
        </w:tc>
        <w:tc>
          <w:tcPr>
            <w:tcW w:w="838" w:type="dxa"/>
            <w:tcBorders>
              <w:top w:val="nil"/>
              <w:left w:val="nil"/>
              <w:bottom w:val="nil"/>
              <w:right w:val="nil"/>
            </w:tcBorders>
          </w:tcPr>
          <w:p>
            <w:pPr>
              <w:pStyle w:val="TableParagraph"/>
              <w:spacing w:before="26"/>
              <w:ind w:right="211"/>
              <w:rPr>
                <w:sz w:val="20"/>
              </w:rPr>
            </w:pPr>
            <w:r>
              <w:rPr>
                <w:sz w:val="20"/>
              </w:rPr>
              <w:t>1.57</w:t>
            </w:r>
          </w:p>
        </w:tc>
        <w:tc>
          <w:tcPr>
            <w:tcW w:w="838" w:type="dxa"/>
            <w:tcBorders>
              <w:top w:val="nil"/>
              <w:left w:val="nil"/>
              <w:bottom w:val="nil"/>
              <w:right w:val="nil"/>
            </w:tcBorders>
          </w:tcPr>
          <w:p>
            <w:pPr>
              <w:pStyle w:val="TableParagraph"/>
              <w:spacing w:before="26"/>
              <w:ind w:right="214"/>
              <w:rPr>
                <w:sz w:val="20"/>
              </w:rPr>
            </w:pPr>
            <w:r>
              <w:rPr>
                <w:sz w:val="20"/>
              </w:rPr>
              <w:t>1.57</w:t>
            </w:r>
          </w:p>
        </w:tc>
        <w:tc>
          <w:tcPr>
            <w:tcW w:w="840" w:type="dxa"/>
            <w:tcBorders>
              <w:top w:val="nil"/>
              <w:left w:val="nil"/>
              <w:bottom w:val="nil"/>
              <w:right w:val="nil"/>
            </w:tcBorders>
          </w:tcPr>
          <w:p>
            <w:pPr>
              <w:pStyle w:val="TableParagraph"/>
              <w:spacing w:before="26"/>
              <w:ind w:right="214"/>
              <w:rPr>
                <w:sz w:val="20"/>
              </w:rPr>
            </w:pPr>
            <w:r>
              <w:rPr>
                <w:sz w:val="20"/>
              </w:rPr>
              <w:t>0.00</w:t>
            </w:r>
          </w:p>
        </w:tc>
        <w:tc>
          <w:tcPr>
            <w:tcW w:w="835" w:type="dxa"/>
            <w:tcBorders>
              <w:top w:val="nil"/>
              <w:left w:val="nil"/>
              <w:bottom w:val="nil"/>
              <w:right w:val="nil"/>
            </w:tcBorders>
          </w:tcPr>
          <w:p>
            <w:pPr>
              <w:pStyle w:val="TableParagraph"/>
              <w:spacing w:before="26"/>
              <w:ind w:right="209"/>
              <w:rPr>
                <w:sz w:val="20"/>
              </w:rPr>
            </w:pPr>
            <w:r>
              <w:rPr>
                <w:sz w:val="20"/>
              </w:rPr>
              <w:t>0.00</w:t>
            </w:r>
          </w:p>
        </w:tc>
        <w:tc>
          <w:tcPr>
            <w:tcW w:w="773" w:type="dxa"/>
            <w:tcBorders>
              <w:top w:val="nil"/>
              <w:left w:val="nil"/>
              <w:bottom w:val="nil"/>
              <w:right w:val="nil"/>
            </w:tcBorders>
          </w:tcPr>
          <w:p>
            <w:pPr>
              <w:pStyle w:val="TableParagraph"/>
              <w:spacing w:before="26"/>
              <w:ind w:right="60"/>
              <w:rPr>
                <w:sz w:val="20"/>
              </w:rPr>
            </w:pPr>
            <w:r>
              <w:rPr>
                <w:sz w:val="20"/>
              </w:rPr>
              <w:t>0.00</w:t>
            </w:r>
          </w:p>
        </w:tc>
      </w:tr>
      <w:tr>
        <w:trPr>
          <w:trHeight w:val="300" w:hRule="exact"/>
        </w:trPr>
        <w:tc>
          <w:tcPr>
            <w:tcW w:w="1429" w:type="dxa"/>
            <w:tcBorders>
              <w:top w:val="nil"/>
              <w:left w:val="nil"/>
              <w:bottom w:val="nil"/>
              <w:right w:val="nil"/>
            </w:tcBorders>
          </w:tcPr>
          <w:p>
            <w:pPr>
              <w:pStyle w:val="TableParagraph"/>
              <w:ind w:left="86"/>
              <w:jc w:val="left"/>
              <w:rPr>
                <w:sz w:val="20"/>
              </w:rPr>
            </w:pPr>
            <w:r>
              <w:rPr>
                <w:sz w:val="20"/>
              </w:rPr>
              <w:t>TEJ_HlFp</w:t>
            </w:r>
          </w:p>
        </w:tc>
        <w:tc>
          <w:tcPr>
            <w:tcW w:w="676" w:type="dxa"/>
            <w:tcBorders>
              <w:top w:val="nil"/>
              <w:left w:val="nil"/>
              <w:bottom w:val="nil"/>
              <w:right w:val="nil"/>
            </w:tcBorders>
          </w:tcPr>
          <w:p>
            <w:pPr>
              <w:pStyle w:val="TableParagraph"/>
              <w:ind w:left="150"/>
              <w:jc w:val="left"/>
              <w:rPr>
                <w:sz w:val="20"/>
              </w:rPr>
            </w:pPr>
            <w:r>
              <w:rPr>
                <w:sz w:val="20"/>
              </w:rPr>
              <w:t>1.57</w:t>
            </w:r>
          </w:p>
        </w:tc>
        <w:tc>
          <w:tcPr>
            <w:tcW w:w="742" w:type="dxa"/>
            <w:tcBorders>
              <w:top w:val="nil"/>
              <w:left w:val="nil"/>
              <w:bottom w:val="nil"/>
              <w:right w:val="nil"/>
            </w:tcBorders>
          </w:tcPr>
          <w:p>
            <w:pPr>
              <w:pStyle w:val="TableParagraph"/>
              <w:ind w:left="170"/>
              <w:jc w:val="left"/>
              <w:rPr>
                <w:sz w:val="20"/>
              </w:rPr>
            </w:pPr>
            <w:r>
              <w:rPr>
                <w:sz w:val="20"/>
              </w:rPr>
              <w:t>1.57</w:t>
            </w:r>
          </w:p>
        </w:tc>
        <w:tc>
          <w:tcPr>
            <w:tcW w:w="840" w:type="dxa"/>
            <w:tcBorders>
              <w:top w:val="nil"/>
              <w:left w:val="nil"/>
              <w:bottom w:val="nil"/>
              <w:right w:val="nil"/>
            </w:tcBorders>
          </w:tcPr>
          <w:p>
            <w:pPr>
              <w:pStyle w:val="TableParagraph"/>
              <w:ind w:right="214"/>
              <w:rPr>
                <w:sz w:val="20"/>
              </w:rPr>
            </w:pPr>
            <w:r>
              <w:rPr>
                <w:sz w:val="20"/>
              </w:rPr>
              <w:t>0.70</w:t>
            </w:r>
          </w:p>
        </w:tc>
        <w:tc>
          <w:tcPr>
            <w:tcW w:w="841" w:type="dxa"/>
            <w:tcBorders>
              <w:top w:val="nil"/>
              <w:left w:val="nil"/>
              <w:bottom w:val="nil"/>
              <w:right w:val="nil"/>
            </w:tcBorders>
          </w:tcPr>
          <w:p>
            <w:pPr>
              <w:pStyle w:val="TableParagraph"/>
              <w:ind w:right="214"/>
              <w:rPr>
                <w:sz w:val="20"/>
              </w:rPr>
            </w:pPr>
            <w:r>
              <w:rPr>
                <w:sz w:val="20"/>
              </w:rPr>
              <w:t>0.70</w:t>
            </w:r>
          </w:p>
        </w:tc>
        <w:tc>
          <w:tcPr>
            <w:tcW w:w="840" w:type="dxa"/>
            <w:tcBorders>
              <w:top w:val="nil"/>
              <w:left w:val="nil"/>
              <w:bottom w:val="nil"/>
              <w:right w:val="nil"/>
            </w:tcBorders>
          </w:tcPr>
          <w:p>
            <w:pPr>
              <w:pStyle w:val="TableParagraph"/>
              <w:ind w:right="214"/>
              <w:rPr>
                <w:sz w:val="20"/>
              </w:rPr>
            </w:pPr>
            <w:r>
              <w:rPr>
                <w:sz w:val="20"/>
              </w:rPr>
              <w:t>1.06</w:t>
            </w:r>
          </w:p>
        </w:tc>
        <w:tc>
          <w:tcPr>
            <w:tcW w:w="838" w:type="dxa"/>
            <w:tcBorders>
              <w:top w:val="nil"/>
              <w:left w:val="nil"/>
              <w:bottom w:val="nil"/>
              <w:right w:val="nil"/>
            </w:tcBorders>
          </w:tcPr>
          <w:p>
            <w:pPr>
              <w:pStyle w:val="TableParagraph"/>
              <w:ind w:right="211"/>
              <w:rPr>
                <w:sz w:val="20"/>
              </w:rPr>
            </w:pPr>
            <w:r>
              <w:rPr>
                <w:sz w:val="20"/>
              </w:rPr>
              <w:t>0.90</w:t>
            </w:r>
          </w:p>
        </w:tc>
        <w:tc>
          <w:tcPr>
            <w:tcW w:w="838" w:type="dxa"/>
            <w:tcBorders>
              <w:top w:val="nil"/>
              <w:left w:val="nil"/>
              <w:bottom w:val="nil"/>
              <w:right w:val="nil"/>
            </w:tcBorders>
          </w:tcPr>
          <w:p>
            <w:pPr>
              <w:pStyle w:val="TableParagraph"/>
              <w:ind w:right="214"/>
              <w:rPr>
                <w:sz w:val="20"/>
              </w:rPr>
            </w:pPr>
            <w:r>
              <w:rPr>
                <w:sz w:val="20"/>
              </w:rPr>
              <w:t>0.93</w:t>
            </w:r>
          </w:p>
        </w:tc>
        <w:tc>
          <w:tcPr>
            <w:tcW w:w="840" w:type="dxa"/>
            <w:tcBorders>
              <w:top w:val="nil"/>
              <w:left w:val="nil"/>
              <w:bottom w:val="nil"/>
              <w:right w:val="nil"/>
            </w:tcBorders>
          </w:tcPr>
          <w:p>
            <w:pPr>
              <w:pStyle w:val="TableParagraph"/>
              <w:ind w:right="214"/>
              <w:rPr>
                <w:sz w:val="20"/>
              </w:rPr>
            </w:pPr>
            <w:r>
              <w:rPr>
                <w:sz w:val="20"/>
              </w:rPr>
              <w:t>0.00</w:t>
            </w:r>
          </w:p>
        </w:tc>
        <w:tc>
          <w:tcPr>
            <w:tcW w:w="835" w:type="dxa"/>
            <w:tcBorders>
              <w:top w:val="nil"/>
              <w:left w:val="nil"/>
              <w:bottom w:val="nil"/>
              <w:right w:val="nil"/>
            </w:tcBorders>
          </w:tcPr>
          <w:p>
            <w:pPr>
              <w:pStyle w:val="TableParagraph"/>
              <w:ind w:right="209"/>
              <w:rPr>
                <w:sz w:val="20"/>
              </w:rPr>
            </w:pPr>
            <w:r>
              <w:rPr>
                <w:sz w:val="20"/>
              </w:rPr>
              <w:t>0.00</w:t>
            </w:r>
          </w:p>
        </w:tc>
        <w:tc>
          <w:tcPr>
            <w:tcW w:w="773" w:type="dxa"/>
            <w:tcBorders>
              <w:top w:val="nil"/>
              <w:left w:val="nil"/>
              <w:bottom w:val="nil"/>
              <w:right w:val="nil"/>
            </w:tcBorders>
          </w:tcPr>
          <w:p>
            <w:pPr>
              <w:pStyle w:val="TableParagraph"/>
              <w:ind w:right="60"/>
              <w:rPr>
                <w:sz w:val="20"/>
              </w:rPr>
            </w:pPr>
            <w:r>
              <w:rPr>
                <w:sz w:val="20"/>
              </w:rPr>
              <w:t>0.00</w:t>
            </w:r>
          </w:p>
        </w:tc>
      </w:tr>
      <w:tr>
        <w:trPr>
          <w:trHeight w:val="300" w:hRule="exact"/>
        </w:trPr>
        <w:tc>
          <w:tcPr>
            <w:tcW w:w="1429" w:type="dxa"/>
            <w:tcBorders>
              <w:top w:val="nil"/>
              <w:left w:val="nil"/>
              <w:bottom w:val="nil"/>
              <w:right w:val="nil"/>
            </w:tcBorders>
          </w:tcPr>
          <w:p>
            <w:pPr>
              <w:pStyle w:val="TableParagraph"/>
              <w:spacing w:before="26"/>
              <w:ind w:left="86"/>
              <w:jc w:val="left"/>
              <w:rPr>
                <w:sz w:val="20"/>
              </w:rPr>
            </w:pPr>
            <w:r>
              <w:rPr>
                <w:sz w:val="20"/>
              </w:rPr>
              <w:t>TEJ_HlSF</w:t>
            </w:r>
          </w:p>
        </w:tc>
        <w:tc>
          <w:tcPr>
            <w:tcW w:w="676" w:type="dxa"/>
            <w:tcBorders>
              <w:top w:val="nil"/>
              <w:left w:val="nil"/>
              <w:bottom w:val="nil"/>
              <w:right w:val="nil"/>
            </w:tcBorders>
          </w:tcPr>
          <w:p>
            <w:pPr>
              <w:pStyle w:val="TableParagraph"/>
              <w:spacing w:before="26"/>
              <w:ind w:left="150"/>
              <w:jc w:val="left"/>
              <w:rPr>
                <w:sz w:val="20"/>
              </w:rPr>
            </w:pPr>
            <w:r>
              <w:rPr>
                <w:sz w:val="20"/>
              </w:rPr>
              <w:t>1.00</w:t>
            </w:r>
          </w:p>
        </w:tc>
        <w:tc>
          <w:tcPr>
            <w:tcW w:w="742" w:type="dxa"/>
            <w:tcBorders>
              <w:top w:val="nil"/>
              <w:left w:val="nil"/>
              <w:bottom w:val="nil"/>
              <w:right w:val="nil"/>
            </w:tcBorders>
          </w:tcPr>
          <w:p>
            <w:pPr>
              <w:pStyle w:val="TableParagraph"/>
              <w:spacing w:before="26"/>
              <w:ind w:left="170"/>
              <w:jc w:val="left"/>
              <w:rPr>
                <w:sz w:val="20"/>
              </w:rPr>
            </w:pPr>
            <w:r>
              <w:rPr>
                <w:sz w:val="20"/>
              </w:rPr>
              <w:t>1.00</w:t>
            </w:r>
          </w:p>
        </w:tc>
        <w:tc>
          <w:tcPr>
            <w:tcW w:w="840" w:type="dxa"/>
            <w:tcBorders>
              <w:top w:val="nil"/>
              <w:left w:val="nil"/>
              <w:bottom w:val="nil"/>
              <w:right w:val="nil"/>
            </w:tcBorders>
          </w:tcPr>
          <w:p>
            <w:pPr>
              <w:pStyle w:val="TableParagraph"/>
              <w:spacing w:before="26"/>
              <w:ind w:right="214"/>
              <w:rPr>
                <w:sz w:val="20"/>
              </w:rPr>
            </w:pPr>
            <w:r>
              <w:rPr>
                <w:sz w:val="20"/>
              </w:rPr>
              <w:t>1.00</w:t>
            </w:r>
          </w:p>
        </w:tc>
        <w:tc>
          <w:tcPr>
            <w:tcW w:w="841" w:type="dxa"/>
            <w:tcBorders>
              <w:top w:val="nil"/>
              <w:left w:val="nil"/>
              <w:bottom w:val="nil"/>
              <w:right w:val="nil"/>
            </w:tcBorders>
          </w:tcPr>
          <w:p>
            <w:pPr>
              <w:pStyle w:val="TableParagraph"/>
              <w:spacing w:before="26"/>
              <w:ind w:right="214"/>
              <w:rPr>
                <w:sz w:val="20"/>
              </w:rPr>
            </w:pPr>
            <w:r>
              <w:rPr>
                <w:sz w:val="20"/>
              </w:rPr>
              <w:t>0.41</w:t>
            </w:r>
          </w:p>
        </w:tc>
        <w:tc>
          <w:tcPr>
            <w:tcW w:w="840" w:type="dxa"/>
            <w:tcBorders>
              <w:top w:val="nil"/>
              <w:left w:val="nil"/>
              <w:bottom w:val="nil"/>
              <w:right w:val="nil"/>
            </w:tcBorders>
          </w:tcPr>
          <w:p>
            <w:pPr>
              <w:pStyle w:val="TableParagraph"/>
              <w:spacing w:before="26"/>
              <w:ind w:right="214"/>
              <w:rPr>
                <w:sz w:val="20"/>
              </w:rPr>
            </w:pPr>
            <w:r>
              <w:rPr>
                <w:sz w:val="20"/>
              </w:rPr>
              <w:t>0.41</w:t>
            </w:r>
          </w:p>
        </w:tc>
        <w:tc>
          <w:tcPr>
            <w:tcW w:w="838" w:type="dxa"/>
            <w:tcBorders>
              <w:top w:val="nil"/>
              <w:left w:val="nil"/>
              <w:bottom w:val="nil"/>
              <w:right w:val="nil"/>
            </w:tcBorders>
          </w:tcPr>
          <w:p>
            <w:pPr>
              <w:pStyle w:val="TableParagraph"/>
              <w:spacing w:before="26"/>
              <w:ind w:right="211"/>
              <w:rPr>
                <w:sz w:val="20"/>
              </w:rPr>
            </w:pPr>
            <w:r>
              <w:rPr>
                <w:sz w:val="20"/>
              </w:rPr>
              <w:t>0.41</w:t>
            </w:r>
          </w:p>
        </w:tc>
        <w:tc>
          <w:tcPr>
            <w:tcW w:w="838" w:type="dxa"/>
            <w:tcBorders>
              <w:top w:val="nil"/>
              <w:left w:val="nil"/>
              <w:bottom w:val="nil"/>
              <w:right w:val="nil"/>
            </w:tcBorders>
          </w:tcPr>
          <w:p>
            <w:pPr>
              <w:pStyle w:val="TableParagraph"/>
              <w:spacing w:before="26"/>
              <w:ind w:right="214"/>
              <w:rPr>
                <w:sz w:val="20"/>
              </w:rPr>
            </w:pPr>
            <w:r>
              <w:rPr>
                <w:sz w:val="20"/>
              </w:rPr>
              <w:t>0.41</w:t>
            </w:r>
          </w:p>
        </w:tc>
        <w:tc>
          <w:tcPr>
            <w:tcW w:w="840" w:type="dxa"/>
            <w:tcBorders>
              <w:top w:val="nil"/>
              <w:left w:val="nil"/>
              <w:bottom w:val="nil"/>
              <w:right w:val="nil"/>
            </w:tcBorders>
          </w:tcPr>
          <w:p>
            <w:pPr>
              <w:pStyle w:val="TableParagraph"/>
              <w:spacing w:before="26"/>
              <w:ind w:right="214"/>
              <w:rPr>
                <w:sz w:val="20"/>
              </w:rPr>
            </w:pPr>
            <w:r>
              <w:rPr>
                <w:sz w:val="20"/>
              </w:rPr>
              <w:t>0.00</w:t>
            </w:r>
          </w:p>
        </w:tc>
        <w:tc>
          <w:tcPr>
            <w:tcW w:w="835" w:type="dxa"/>
            <w:tcBorders>
              <w:top w:val="nil"/>
              <w:left w:val="nil"/>
              <w:bottom w:val="nil"/>
              <w:right w:val="nil"/>
            </w:tcBorders>
          </w:tcPr>
          <w:p>
            <w:pPr>
              <w:pStyle w:val="TableParagraph"/>
              <w:spacing w:before="26"/>
              <w:ind w:right="209"/>
              <w:rPr>
                <w:sz w:val="20"/>
              </w:rPr>
            </w:pPr>
            <w:r>
              <w:rPr>
                <w:sz w:val="20"/>
              </w:rPr>
              <w:t>0.00</w:t>
            </w:r>
          </w:p>
        </w:tc>
        <w:tc>
          <w:tcPr>
            <w:tcW w:w="773" w:type="dxa"/>
            <w:tcBorders>
              <w:top w:val="nil"/>
              <w:left w:val="nil"/>
              <w:bottom w:val="nil"/>
              <w:right w:val="nil"/>
            </w:tcBorders>
          </w:tcPr>
          <w:p>
            <w:pPr>
              <w:pStyle w:val="TableParagraph"/>
              <w:spacing w:before="26"/>
              <w:ind w:right="60"/>
              <w:rPr>
                <w:sz w:val="20"/>
              </w:rPr>
            </w:pPr>
            <w:r>
              <w:rPr>
                <w:sz w:val="20"/>
              </w:rPr>
              <w:t>0.00</w:t>
            </w:r>
          </w:p>
        </w:tc>
      </w:tr>
      <w:tr>
        <w:trPr>
          <w:trHeight w:val="300" w:hRule="exact"/>
        </w:trPr>
        <w:tc>
          <w:tcPr>
            <w:tcW w:w="1429" w:type="dxa"/>
            <w:tcBorders>
              <w:top w:val="nil"/>
              <w:left w:val="nil"/>
              <w:bottom w:val="nil"/>
              <w:right w:val="nil"/>
            </w:tcBorders>
          </w:tcPr>
          <w:p>
            <w:pPr>
              <w:pStyle w:val="TableParagraph"/>
              <w:ind w:left="86"/>
              <w:jc w:val="left"/>
              <w:rPr>
                <w:sz w:val="20"/>
              </w:rPr>
            </w:pPr>
            <w:r>
              <w:rPr>
                <w:sz w:val="20"/>
              </w:rPr>
              <w:t>TEJ_ISF</w:t>
            </w:r>
          </w:p>
        </w:tc>
        <w:tc>
          <w:tcPr>
            <w:tcW w:w="676" w:type="dxa"/>
            <w:tcBorders>
              <w:top w:val="nil"/>
              <w:left w:val="nil"/>
              <w:bottom w:val="nil"/>
              <w:right w:val="nil"/>
            </w:tcBorders>
          </w:tcPr>
          <w:p>
            <w:pPr>
              <w:pStyle w:val="TableParagraph"/>
              <w:ind w:left="150"/>
              <w:jc w:val="left"/>
              <w:rPr>
                <w:sz w:val="20"/>
              </w:rPr>
            </w:pPr>
            <w:r>
              <w:rPr>
                <w:sz w:val="20"/>
              </w:rPr>
              <w:t>1.48</w:t>
            </w:r>
          </w:p>
        </w:tc>
        <w:tc>
          <w:tcPr>
            <w:tcW w:w="742" w:type="dxa"/>
            <w:tcBorders>
              <w:top w:val="nil"/>
              <w:left w:val="nil"/>
              <w:bottom w:val="nil"/>
              <w:right w:val="nil"/>
            </w:tcBorders>
          </w:tcPr>
          <w:p>
            <w:pPr>
              <w:pStyle w:val="TableParagraph"/>
              <w:ind w:left="170"/>
              <w:jc w:val="left"/>
              <w:rPr>
                <w:sz w:val="20"/>
              </w:rPr>
            </w:pPr>
            <w:r>
              <w:rPr>
                <w:sz w:val="20"/>
              </w:rPr>
              <w:t>1.40</w:t>
            </w:r>
          </w:p>
        </w:tc>
        <w:tc>
          <w:tcPr>
            <w:tcW w:w="840" w:type="dxa"/>
            <w:tcBorders>
              <w:top w:val="nil"/>
              <w:left w:val="nil"/>
              <w:bottom w:val="nil"/>
              <w:right w:val="nil"/>
            </w:tcBorders>
          </w:tcPr>
          <w:p>
            <w:pPr>
              <w:pStyle w:val="TableParagraph"/>
              <w:ind w:right="214"/>
              <w:rPr>
                <w:sz w:val="20"/>
              </w:rPr>
            </w:pPr>
            <w:r>
              <w:rPr>
                <w:sz w:val="20"/>
              </w:rPr>
              <w:t>1.17</w:t>
            </w:r>
          </w:p>
        </w:tc>
        <w:tc>
          <w:tcPr>
            <w:tcW w:w="841" w:type="dxa"/>
            <w:tcBorders>
              <w:top w:val="nil"/>
              <w:left w:val="nil"/>
              <w:bottom w:val="nil"/>
              <w:right w:val="nil"/>
            </w:tcBorders>
          </w:tcPr>
          <w:p>
            <w:pPr>
              <w:pStyle w:val="TableParagraph"/>
              <w:ind w:right="214"/>
              <w:rPr>
                <w:sz w:val="20"/>
              </w:rPr>
            </w:pPr>
            <w:r>
              <w:rPr>
                <w:sz w:val="20"/>
              </w:rPr>
              <w:t>0.85</w:t>
            </w:r>
          </w:p>
        </w:tc>
        <w:tc>
          <w:tcPr>
            <w:tcW w:w="840" w:type="dxa"/>
            <w:tcBorders>
              <w:top w:val="nil"/>
              <w:left w:val="nil"/>
              <w:bottom w:val="nil"/>
              <w:right w:val="nil"/>
            </w:tcBorders>
          </w:tcPr>
          <w:p>
            <w:pPr>
              <w:pStyle w:val="TableParagraph"/>
              <w:ind w:right="214"/>
              <w:rPr>
                <w:sz w:val="20"/>
              </w:rPr>
            </w:pPr>
            <w:r>
              <w:rPr>
                <w:sz w:val="20"/>
              </w:rPr>
              <w:t>0.94</w:t>
            </w:r>
          </w:p>
        </w:tc>
        <w:tc>
          <w:tcPr>
            <w:tcW w:w="838" w:type="dxa"/>
            <w:tcBorders>
              <w:top w:val="nil"/>
              <w:left w:val="nil"/>
              <w:bottom w:val="nil"/>
              <w:right w:val="nil"/>
            </w:tcBorders>
          </w:tcPr>
          <w:p>
            <w:pPr>
              <w:pStyle w:val="TableParagraph"/>
              <w:ind w:right="211"/>
              <w:rPr>
                <w:sz w:val="20"/>
              </w:rPr>
            </w:pPr>
            <w:r>
              <w:rPr>
                <w:sz w:val="20"/>
              </w:rPr>
              <w:t>0.82</w:t>
            </w:r>
          </w:p>
        </w:tc>
        <w:tc>
          <w:tcPr>
            <w:tcW w:w="838" w:type="dxa"/>
            <w:tcBorders>
              <w:top w:val="nil"/>
              <w:left w:val="nil"/>
              <w:bottom w:val="nil"/>
              <w:right w:val="nil"/>
            </w:tcBorders>
          </w:tcPr>
          <w:p>
            <w:pPr>
              <w:pStyle w:val="TableParagraph"/>
              <w:ind w:right="214"/>
              <w:rPr>
                <w:sz w:val="20"/>
              </w:rPr>
            </w:pPr>
            <w:r>
              <w:rPr>
                <w:sz w:val="20"/>
              </w:rPr>
              <w:t>0.88</w:t>
            </w:r>
          </w:p>
        </w:tc>
        <w:tc>
          <w:tcPr>
            <w:tcW w:w="840" w:type="dxa"/>
            <w:tcBorders>
              <w:top w:val="nil"/>
              <w:left w:val="nil"/>
              <w:bottom w:val="nil"/>
              <w:right w:val="nil"/>
            </w:tcBorders>
          </w:tcPr>
          <w:p>
            <w:pPr>
              <w:pStyle w:val="TableParagraph"/>
              <w:ind w:right="214"/>
              <w:rPr>
                <w:sz w:val="20"/>
              </w:rPr>
            </w:pPr>
            <w:r>
              <w:rPr>
                <w:sz w:val="20"/>
              </w:rPr>
              <w:t>0.00</w:t>
            </w:r>
          </w:p>
        </w:tc>
        <w:tc>
          <w:tcPr>
            <w:tcW w:w="835" w:type="dxa"/>
            <w:tcBorders>
              <w:top w:val="nil"/>
              <w:left w:val="nil"/>
              <w:bottom w:val="nil"/>
              <w:right w:val="nil"/>
            </w:tcBorders>
          </w:tcPr>
          <w:p>
            <w:pPr>
              <w:pStyle w:val="TableParagraph"/>
              <w:ind w:right="209"/>
              <w:rPr>
                <w:sz w:val="20"/>
              </w:rPr>
            </w:pPr>
            <w:r>
              <w:rPr>
                <w:sz w:val="20"/>
              </w:rPr>
              <w:t>0.00</w:t>
            </w:r>
          </w:p>
        </w:tc>
        <w:tc>
          <w:tcPr>
            <w:tcW w:w="773" w:type="dxa"/>
            <w:tcBorders>
              <w:top w:val="nil"/>
              <w:left w:val="nil"/>
              <w:bottom w:val="nil"/>
              <w:right w:val="nil"/>
            </w:tcBorders>
          </w:tcPr>
          <w:p>
            <w:pPr>
              <w:pStyle w:val="TableParagraph"/>
              <w:ind w:right="60"/>
              <w:rPr>
                <w:sz w:val="20"/>
              </w:rPr>
            </w:pPr>
            <w:r>
              <w:rPr>
                <w:sz w:val="20"/>
              </w:rPr>
              <w:t>0.00</w:t>
            </w:r>
          </w:p>
        </w:tc>
      </w:tr>
      <w:tr>
        <w:trPr>
          <w:trHeight w:val="300" w:hRule="exact"/>
        </w:trPr>
        <w:tc>
          <w:tcPr>
            <w:tcW w:w="1429" w:type="dxa"/>
            <w:tcBorders>
              <w:top w:val="nil"/>
              <w:left w:val="nil"/>
              <w:bottom w:val="nil"/>
              <w:right w:val="nil"/>
            </w:tcBorders>
          </w:tcPr>
          <w:p>
            <w:pPr>
              <w:pStyle w:val="TableParagraph"/>
              <w:spacing w:before="26"/>
              <w:ind w:left="86"/>
              <w:jc w:val="left"/>
              <w:rPr>
                <w:sz w:val="20"/>
              </w:rPr>
            </w:pPr>
            <w:r>
              <w:rPr>
                <w:sz w:val="20"/>
              </w:rPr>
              <w:t>TEJ_LcFdp</w:t>
            </w:r>
          </w:p>
        </w:tc>
        <w:tc>
          <w:tcPr>
            <w:tcW w:w="676" w:type="dxa"/>
            <w:tcBorders>
              <w:top w:val="nil"/>
              <w:left w:val="nil"/>
              <w:bottom w:val="nil"/>
              <w:right w:val="nil"/>
            </w:tcBorders>
          </w:tcPr>
          <w:p>
            <w:pPr>
              <w:pStyle w:val="TableParagraph"/>
              <w:spacing w:before="26"/>
              <w:ind w:left="150"/>
              <w:jc w:val="left"/>
              <w:rPr>
                <w:sz w:val="20"/>
              </w:rPr>
            </w:pPr>
            <w:r>
              <w:rPr>
                <w:sz w:val="20"/>
              </w:rPr>
              <w:t>0.93</w:t>
            </w:r>
          </w:p>
        </w:tc>
        <w:tc>
          <w:tcPr>
            <w:tcW w:w="742" w:type="dxa"/>
            <w:tcBorders>
              <w:top w:val="nil"/>
              <w:left w:val="nil"/>
              <w:bottom w:val="nil"/>
              <w:right w:val="nil"/>
            </w:tcBorders>
          </w:tcPr>
          <w:p>
            <w:pPr>
              <w:pStyle w:val="TableParagraph"/>
              <w:spacing w:before="26"/>
              <w:ind w:left="170"/>
              <w:jc w:val="left"/>
              <w:rPr>
                <w:sz w:val="20"/>
              </w:rPr>
            </w:pPr>
            <w:r>
              <w:rPr>
                <w:sz w:val="20"/>
              </w:rPr>
              <w:t>0.66</w:t>
            </w:r>
          </w:p>
        </w:tc>
        <w:tc>
          <w:tcPr>
            <w:tcW w:w="840" w:type="dxa"/>
            <w:tcBorders>
              <w:top w:val="nil"/>
              <w:left w:val="nil"/>
              <w:bottom w:val="nil"/>
              <w:right w:val="nil"/>
            </w:tcBorders>
          </w:tcPr>
          <w:p>
            <w:pPr>
              <w:pStyle w:val="TableParagraph"/>
              <w:spacing w:before="26"/>
              <w:ind w:right="214"/>
              <w:rPr>
                <w:sz w:val="20"/>
              </w:rPr>
            </w:pPr>
            <w:r>
              <w:rPr>
                <w:sz w:val="20"/>
              </w:rPr>
              <w:t>0.66</w:t>
            </w:r>
          </w:p>
        </w:tc>
        <w:tc>
          <w:tcPr>
            <w:tcW w:w="841" w:type="dxa"/>
            <w:tcBorders>
              <w:top w:val="nil"/>
              <w:left w:val="nil"/>
              <w:bottom w:val="nil"/>
              <w:right w:val="nil"/>
            </w:tcBorders>
          </w:tcPr>
          <w:p>
            <w:pPr>
              <w:pStyle w:val="TableParagraph"/>
              <w:spacing w:before="26"/>
              <w:ind w:right="214"/>
              <w:rPr>
                <w:sz w:val="20"/>
              </w:rPr>
            </w:pPr>
            <w:r>
              <w:rPr>
                <w:sz w:val="20"/>
              </w:rPr>
              <w:t>0.66</w:t>
            </w:r>
          </w:p>
        </w:tc>
        <w:tc>
          <w:tcPr>
            <w:tcW w:w="840" w:type="dxa"/>
            <w:tcBorders>
              <w:top w:val="nil"/>
              <w:left w:val="nil"/>
              <w:bottom w:val="nil"/>
              <w:right w:val="nil"/>
            </w:tcBorders>
          </w:tcPr>
          <w:p>
            <w:pPr>
              <w:pStyle w:val="TableParagraph"/>
              <w:spacing w:before="26"/>
              <w:ind w:right="214"/>
              <w:rPr>
                <w:sz w:val="20"/>
              </w:rPr>
            </w:pPr>
            <w:r>
              <w:rPr>
                <w:sz w:val="20"/>
              </w:rPr>
              <w:t>0.66</w:t>
            </w:r>
          </w:p>
        </w:tc>
        <w:tc>
          <w:tcPr>
            <w:tcW w:w="838" w:type="dxa"/>
            <w:tcBorders>
              <w:top w:val="nil"/>
              <w:left w:val="nil"/>
              <w:bottom w:val="nil"/>
              <w:right w:val="nil"/>
            </w:tcBorders>
          </w:tcPr>
          <w:p>
            <w:pPr>
              <w:pStyle w:val="TableParagraph"/>
              <w:spacing w:before="26"/>
              <w:ind w:right="211"/>
              <w:rPr>
                <w:sz w:val="20"/>
              </w:rPr>
            </w:pPr>
            <w:r>
              <w:rPr>
                <w:sz w:val="20"/>
              </w:rPr>
              <w:t>0.80</w:t>
            </w:r>
          </w:p>
        </w:tc>
        <w:tc>
          <w:tcPr>
            <w:tcW w:w="838" w:type="dxa"/>
            <w:tcBorders>
              <w:top w:val="nil"/>
              <w:left w:val="nil"/>
              <w:bottom w:val="nil"/>
              <w:right w:val="nil"/>
            </w:tcBorders>
          </w:tcPr>
          <w:p>
            <w:pPr>
              <w:pStyle w:val="TableParagraph"/>
              <w:spacing w:before="26"/>
              <w:ind w:right="214"/>
              <w:rPr>
                <w:sz w:val="20"/>
              </w:rPr>
            </w:pPr>
            <w:r>
              <w:rPr>
                <w:sz w:val="20"/>
              </w:rPr>
              <w:t>0.87</w:t>
            </w:r>
          </w:p>
        </w:tc>
        <w:tc>
          <w:tcPr>
            <w:tcW w:w="840" w:type="dxa"/>
            <w:tcBorders>
              <w:top w:val="nil"/>
              <w:left w:val="nil"/>
              <w:bottom w:val="nil"/>
              <w:right w:val="nil"/>
            </w:tcBorders>
          </w:tcPr>
          <w:p>
            <w:pPr>
              <w:pStyle w:val="TableParagraph"/>
              <w:spacing w:before="26"/>
              <w:ind w:right="214"/>
              <w:rPr>
                <w:sz w:val="20"/>
              </w:rPr>
            </w:pPr>
            <w:r>
              <w:rPr>
                <w:sz w:val="20"/>
              </w:rPr>
              <w:t>0.00</w:t>
            </w:r>
          </w:p>
        </w:tc>
        <w:tc>
          <w:tcPr>
            <w:tcW w:w="835" w:type="dxa"/>
            <w:tcBorders>
              <w:top w:val="nil"/>
              <w:left w:val="nil"/>
              <w:bottom w:val="nil"/>
              <w:right w:val="nil"/>
            </w:tcBorders>
          </w:tcPr>
          <w:p>
            <w:pPr>
              <w:pStyle w:val="TableParagraph"/>
              <w:spacing w:before="26"/>
              <w:ind w:right="209"/>
              <w:rPr>
                <w:sz w:val="20"/>
              </w:rPr>
            </w:pPr>
            <w:r>
              <w:rPr>
                <w:sz w:val="20"/>
              </w:rPr>
              <w:t>0.00</w:t>
            </w:r>
          </w:p>
        </w:tc>
        <w:tc>
          <w:tcPr>
            <w:tcW w:w="773" w:type="dxa"/>
            <w:tcBorders>
              <w:top w:val="nil"/>
              <w:left w:val="nil"/>
              <w:bottom w:val="nil"/>
              <w:right w:val="nil"/>
            </w:tcBorders>
          </w:tcPr>
          <w:p>
            <w:pPr>
              <w:pStyle w:val="TableParagraph"/>
              <w:spacing w:before="26"/>
              <w:ind w:right="60"/>
              <w:rPr>
                <w:sz w:val="20"/>
              </w:rPr>
            </w:pPr>
            <w:r>
              <w:rPr>
                <w:sz w:val="20"/>
              </w:rPr>
              <w:t>0.00</w:t>
            </w:r>
          </w:p>
        </w:tc>
      </w:tr>
      <w:tr>
        <w:trPr>
          <w:trHeight w:val="300" w:hRule="exact"/>
        </w:trPr>
        <w:tc>
          <w:tcPr>
            <w:tcW w:w="1429" w:type="dxa"/>
            <w:tcBorders>
              <w:top w:val="nil"/>
              <w:left w:val="nil"/>
              <w:bottom w:val="nil"/>
              <w:right w:val="nil"/>
            </w:tcBorders>
          </w:tcPr>
          <w:p>
            <w:pPr>
              <w:pStyle w:val="TableParagraph"/>
              <w:ind w:left="86"/>
              <w:jc w:val="left"/>
              <w:rPr>
                <w:sz w:val="20"/>
              </w:rPr>
            </w:pPr>
            <w:r>
              <w:rPr>
                <w:sz w:val="20"/>
              </w:rPr>
              <w:t>TEJ_LcFl</w:t>
            </w:r>
          </w:p>
        </w:tc>
        <w:tc>
          <w:tcPr>
            <w:tcW w:w="676" w:type="dxa"/>
            <w:tcBorders>
              <w:top w:val="nil"/>
              <w:left w:val="nil"/>
              <w:bottom w:val="nil"/>
              <w:right w:val="nil"/>
            </w:tcBorders>
          </w:tcPr>
          <w:p>
            <w:pPr>
              <w:pStyle w:val="TableParagraph"/>
              <w:ind w:left="150"/>
              <w:jc w:val="left"/>
              <w:rPr>
                <w:sz w:val="20"/>
              </w:rPr>
            </w:pPr>
            <w:r>
              <w:rPr>
                <w:sz w:val="20"/>
              </w:rPr>
              <w:t>1.45</w:t>
            </w:r>
          </w:p>
        </w:tc>
        <w:tc>
          <w:tcPr>
            <w:tcW w:w="742" w:type="dxa"/>
            <w:tcBorders>
              <w:top w:val="nil"/>
              <w:left w:val="nil"/>
              <w:bottom w:val="nil"/>
              <w:right w:val="nil"/>
            </w:tcBorders>
          </w:tcPr>
          <w:p>
            <w:pPr>
              <w:pStyle w:val="TableParagraph"/>
              <w:ind w:left="170"/>
              <w:jc w:val="left"/>
              <w:rPr>
                <w:sz w:val="20"/>
              </w:rPr>
            </w:pPr>
            <w:r>
              <w:rPr>
                <w:sz w:val="20"/>
              </w:rPr>
              <w:t>1.21</w:t>
            </w:r>
          </w:p>
        </w:tc>
        <w:tc>
          <w:tcPr>
            <w:tcW w:w="840" w:type="dxa"/>
            <w:tcBorders>
              <w:top w:val="nil"/>
              <w:left w:val="nil"/>
              <w:bottom w:val="nil"/>
              <w:right w:val="nil"/>
            </w:tcBorders>
          </w:tcPr>
          <w:p>
            <w:pPr>
              <w:pStyle w:val="TableParagraph"/>
              <w:ind w:right="214"/>
              <w:rPr>
                <w:sz w:val="20"/>
              </w:rPr>
            </w:pPr>
            <w:r>
              <w:rPr>
                <w:sz w:val="20"/>
              </w:rPr>
              <w:t>1.16</w:t>
            </w:r>
          </w:p>
        </w:tc>
        <w:tc>
          <w:tcPr>
            <w:tcW w:w="841" w:type="dxa"/>
            <w:tcBorders>
              <w:top w:val="nil"/>
              <w:left w:val="nil"/>
              <w:bottom w:val="nil"/>
              <w:right w:val="nil"/>
            </w:tcBorders>
          </w:tcPr>
          <w:p>
            <w:pPr>
              <w:pStyle w:val="TableParagraph"/>
              <w:ind w:right="214"/>
              <w:rPr>
                <w:sz w:val="20"/>
              </w:rPr>
            </w:pPr>
            <w:r>
              <w:rPr>
                <w:sz w:val="20"/>
              </w:rPr>
              <w:t>1.33</w:t>
            </w:r>
          </w:p>
        </w:tc>
        <w:tc>
          <w:tcPr>
            <w:tcW w:w="840" w:type="dxa"/>
            <w:tcBorders>
              <w:top w:val="nil"/>
              <w:left w:val="nil"/>
              <w:bottom w:val="nil"/>
              <w:right w:val="nil"/>
            </w:tcBorders>
          </w:tcPr>
          <w:p>
            <w:pPr>
              <w:pStyle w:val="TableParagraph"/>
              <w:ind w:right="214"/>
              <w:rPr>
                <w:sz w:val="20"/>
              </w:rPr>
            </w:pPr>
            <w:r>
              <w:rPr>
                <w:sz w:val="20"/>
              </w:rPr>
              <w:t>1.33</w:t>
            </w:r>
          </w:p>
        </w:tc>
        <w:tc>
          <w:tcPr>
            <w:tcW w:w="838" w:type="dxa"/>
            <w:tcBorders>
              <w:top w:val="nil"/>
              <w:left w:val="nil"/>
              <w:bottom w:val="nil"/>
              <w:right w:val="nil"/>
            </w:tcBorders>
          </w:tcPr>
          <w:p>
            <w:pPr>
              <w:pStyle w:val="TableParagraph"/>
              <w:ind w:right="211"/>
              <w:rPr>
                <w:sz w:val="20"/>
              </w:rPr>
            </w:pPr>
            <w:r>
              <w:rPr>
                <w:sz w:val="20"/>
              </w:rPr>
              <w:t>0.83</w:t>
            </w:r>
          </w:p>
        </w:tc>
        <w:tc>
          <w:tcPr>
            <w:tcW w:w="838" w:type="dxa"/>
            <w:tcBorders>
              <w:top w:val="nil"/>
              <w:left w:val="nil"/>
              <w:bottom w:val="nil"/>
              <w:right w:val="nil"/>
            </w:tcBorders>
          </w:tcPr>
          <w:p>
            <w:pPr>
              <w:pStyle w:val="TableParagraph"/>
              <w:ind w:right="214"/>
              <w:rPr>
                <w:sz w:val="20"/>
              </w:rPr>
            </w:pPr>
            <w:r>
              <w:rPr>
                <w:sz w:val="20"/>
              </w:rPr>
              <w:t>0.86</w:t>
            </w:r>
          </w:p>
        </w:tc>
        <w:tc>
          <w:tcPr>
            <w:tcW w:w="840" w:type="dxa"/>
            <w:tcBorders>
              <w:top w:val="nil"/>
              <w:left w:val="nil"/>
              <w:bottom w:val="nil"/>
              <w:right w:val="nil"/>
            </w:tcBorders>
          </w:tcPr>
          <w:p>
            <w:pPr>
              <w:pStyle w:val="TableParagraph"/>
              <w:ind w:right="214"/>
              <w:rPr>
                <w:sz w:val="20"/>
              </w:rPr>
            </w:pPr>
            <w:r>
              <w:rPr>
                <w:sz w:val="20"/>
              </w:rPr>
              <w:t>0.00</w:t>
            </w:r>
          </w:p>
        </w:tc>
        <w:tc>
          <w:tcPr>
            <w:tcW w:w="835" w:type="dxa"/>
            <w:tcBorders>
              <w:top w:val="nil"/>
              <w:left w:val="nil"/>
              <w:bottom w:val="nil"/>
              <w:right w:val="nil"/>
            </w:tcBorders>
          </w:tcPr>
          <w:p>
            <w:pPr>
              <w:pStyle w:val="TableParagraph"/>
              <w:ind w:right="209"/>
              <w:rPr>
                <w:sz w:val="20"/>
              </w:rPr>
            </w:pPr>
            <w:r>
              <w:rPr>
                <w:sz w:val="20"/>
              </w:rPr>
              <w:t>0.00</w:t>
            </w:r>
          </w:p>
        </w:tc>
        <w:tc>
          <w:tcPr>
            <w:tcW w:w="773" w:type="dxa"/>
            <w:tcBorders>
              <w:top w:val="nil"/>
              <w:left w:val="nil"/>
              <w:bottom w:val="nil"/>
              <w:right w:val="nil"/>
            </w:tcBorders>
          </w:tcPr>
          <w:p>
            <w:pPr>
              <w:pStyle w:val="TableParagraph"/>
              <w:ind w:right="60"/>
              <w:rPr>
                <w:sz w:val="20"/>
              </w:rPr>
            </w:pPr>
            <w:r>
              <w:rPr>
                <w:sz w:val="20"/>
              </w:rPr>
              <w:t>0.00</w:t>
            </w:r>
          </w:p>
        </w:tc>
      </w:tr>
      <w:tr>
        <w:trPr>
          <w:trHeight w:val="300" w:hRule="exact"/>
        </w:trPr>
        <w:tc>
          <w:tcPr>
            <w:tcW w:w="1429" w:type="dxa"/>
            <w:tcBorders>
              <w:top w:val="nil"/>
              <w:left w:val="nil"/>
              <w:bottom w:val="nil"/>
              <w:right w:val="nil"/>
            </w:tcBorders>
          </w:tcPr>
          <w:p>
            <w:pPr>
              <w:pStyle w:val="TableParagraph"/>
              <w:spacing w:before="26"/>
              <w:ind w:left="86"/>
              <w:jc w:val="left"/>
              <w:rPr>
                <w:sz w:val="20"/>
              </w:rPr>
            </w:pPr>
            <w:r>
              <w:rPr>
                <w:sz w:val="20"/>
              </w:rPr>
              <w:t>TEJ_LcFlp</w:t>
            </w:r>
          </w:p>
        </w:tc>
        <w:tc>
          <w:tcPr>
            <w:tcW w:w="676" w:type="dxa"/>
            <w:tcBorders>
              <w:top w:val="nil"/>
              <w:left w:val="nil"/>
              <w:bottom w:val="nil"/>
              <w:right w:val="nil"/>
            </w:tcBorders>
          </w:tcPr>
          <w:p>
            <w:pPr>
              <w:pStyle w:val="TableParagraph"/>
              <w:spacing w:before="26"/>
              <w:ind w:left="150"/>
              <w:jc w:val="left"/>
              <w:rPr>
                <w:sz w:val="20"/>
              </w:rPr>
            </w:pPr>
            <w:r>
              <w:rPr>
                <w:sz w:val="20"/>
              </w:rPr>
              <w:t>1.29</w:t>
            </w:r>
          </w:p>
        </w:tc>
        <w:tc>
          <w:tcPr>
            <w:tcW w:w="742" w:type="dxa"/>
            <w:tcBorders>
              <w:top w:val="nil"/>
              <w:left w:val="nil"/>
              <w:bottom w:val="nil"/>
              <w:right w:val="nil"/>
            </w:tcBorders>
          </w:tcPr>
          <w:p>
            <w:pPr>
              <w:pStyle w:val="TableParagraph"/>
              <w:spacing w:before="26"/>
              <w:ind w:left="170"/>
              <w:jc w:val="left"/>
              <w:rPr>
                <w:sz w:val="20"/>
              </w:rPr>
            </w:pPr>
            <w:r>
              <w:rPr>
                <w:sz w:val="20"/>
              </w:rPr>
              <w:t>1.25</w:t>
            </w:r>
          </w:p>
        </w:tc>
        <w:tc>
          <w:tcPr>
            <w:tcW w:w="840" w:type="dxa"/>
            <w:tcBorders>
              <w:top w:val="nil"/>
              <w:left w:val="nil"/>
              <w:bottom w:val="nil"/>
              <w:right w:val="nil"/>
            </w:tcBorders>
          </w:tcPr>
          <w:p>
            <w:pPr>
              <w:pStyle w:val="TableParagraph"/>
              <w:spacing w:before="26"/>
              <w:ind w:right="214"/>
              <w:rPr>
                <w:sz w:val="20"/>
              </w:rPr>
            </w:pPr>
            <w:r>
              <w:rPr>
                <w:sz w:val="20"/>
              </w:rPr>
              <w:t>1.25</w:t>
            </w:r>
          </w:p>
        </w:tc>
        <w:tc>
          <w:tcPr>
            <w:tcW w:w="841" w:type="dxa"/>
            <w:tcBorders>
              <w:top w:val="nil"/>
              <w:left w:val="nil"/>
              <w:bottom w:val="nil"/>
              <w:right w:val="nil"/>
            </w:tcBorders>
          </w:tcPr>
          <w:p>
            <w:pPr>
              <w:pStyle w:val="TableParagraph"/>
              <w:spacing w:before="26"/>
              <w:ind w:right="214"/>
              <w:rPr>
                <w:sz w:val="20"/>
              </w:rPr>
            </w:pPr>
            <w:r>
              <w:rPr>
                <w:sz w:val="20"/>
              </w:rPr>
              <w:t>0.91</w:t>
            </w:r>
          </w:p>
        </w:tc>
        <w:tc>
          <w:tcPr>
            <w:tcW w:w="840" w:type="dxa"/>
            <w:tcBorders>
              <w:top w:val="nil"/>
              <w:left w:val="nil"/>
              <w:bottom w:val="nil"/>
              <w:right w:val="nil"/>
            </w:tcBorders>
          </w:tcPr>
          <w:p>
            <w:pPr>
              <w:pStyle w:val="TableParagraph"/>
              <w:spacing w:before="26"/>
              <w:ind w:right="214"/>
              <w:rPr>
                <w:sz w:val="20"/>
              </w:rPr>
            </w:pPr>
            <w:r>
              <w:rPr>
                <w:sz w:val="20"/>
              </w:rPr>
              <w:t>0.79</w:t>
            </w:r>
          </w:p>
        </w:tc>
        <w:tc>
          <w:tcPr>
            <w:tcW w:w="838" w:type="dxa"/>
            <w:tcBorders>
              <w:top w:val="nil"/>
              <w:left w:val="nil"/>
              <w:bottom w:val="nil"/>
              <w:right w:val="nil"/>
            </w:tcBorders>
          </w:tcPr>
          <w:p>
            <w:pPr>
              <w:pStyle w:val="TableParagraph"/>
              <w:spacing w:before="26"/>
              <w:ind w:right="211"/>
              <w:rPr>
                <w:sz w:val="20"/>
              </w:rPr>
            </w:pPr>
            <w:r>
              <w:rPr>
                <w:sz w:val="20"/>
              </w:rPr>
              <w:t>0.73</w:t>
            </w:r>
          </w:p>
        </w:tc>
        <w:tc>
          <w:tcPr>
            <w:tcW w:w="838" w:type="dxa"/>
            <w:tcBorders>
              <w:top w:val="nil"/>
              <w:left w:val="nil"/>
              <w:bottom w:val="nil"/>
              <w:right w:val="nil"/>
            </w:tcBorders>
          </w:tcPr>
          <w:p>
            <w:pPr>
              <w:pStyle w:val="TableParagraph"/>
              <w:spacing w:before="26"/>
              <w:ind w:right="214"/>
              <w:rPr>
                <w:sz w:val="20"/>
              </w:rPr>
            </w:pPr>
            <w:r>
              <w:rPr>
                <w:sz w:val="20"/>
              </w:rPr>
              <w:t>0.73</w:t>
            </w:r>
          </w:p>
        </w:tc>
        <w:tc>
          <w:tcPr>
            <w:tcW w:w="840" w:type="dxa"/>
            <w:tcBorders>
              <w:top w:val="nil"/>
              <w:left w:val="nil"/>
              <w:bottom w:val="nil"/>
              <w:right w:val="nil"/>
            </w:tcBorders>
          </w:tcPr>
          <w:p>
            <w:pPr>
              <w:pStyle w:val="TableParagraph"/>
              <w:spacing w:before="26"/>
              <w:ind w:right="214"/>
              <w:rPr>
                <w:sz w:val="20"/>
              </w:rPr>
            </w:pPr>
            <w:r>
              <w:rPr>
                <w:sz w:val="20"/>
              </w:rPr>
              <w:t>0.00</w:t>
            </w:r>
          </w:p>
        </w:tc>
        <w:tc>
          <w:tcPr>
            <w:tcW w:w="835" w:type="dxa"/>
            <w:tcBorders>
              <w:top w:val="nil"/>
              <w:left w:val="nil"/>
              <w:bottom w:val="nil"/>
              <w:right w:val="nil"/>
            </w:tcBorders>
          </w:tcPr>
          <w:p>
            <w:pPr>
              <w:pStyle w:val="TableParagraph"/>
              <w:spacing w:before="26"/>
              <w:ind w:right="209"/>
              <w:rPr>
                <w:sz w:val="20"/>
              </w:rPr>
            </w:pPr>
            <w:r>
              <w:rPr>
                <w:sz w:val="20"/>
              </w:rPr>
              <w:t>0.00</w:t>
            </w:r>
          </w:p>
        </w:tc>
        <w:tc>
          <w:tcPr>
            <w:tcW w:w="773" w:type="dxa"/>
            <w:tcBorders>
              <w:top w:val="nil"/>
              <w:left w:val="nil"/>
              <w:bottom w:val="nil"/>
              <w:right w:val="nil"/>
            </w:tcBorders>
          </w:tcPr>
          <w:p>
            <w:pPr>
              <w:pStyle w:val="TableParagraph"/>
              <w:spacing w:before="26"/>
              <w:ind w:right="60"/>
              <w:rPr>
                <w:sz w:val="20"/>
              </w:rPr>
            </w:pPr>
            <w:r>
              <w:rPr>
                <w:sz w:val="20"/>
              </w:rPr>
              <w:t>0.00</w:t>
            </w:r>
          </w:p>
        </w:tc>
      </w:tr>
      <w:tr>
        <w:trPr>
          <w:trHeight w:val="300" w:hRule="exact"/>
        </w:trPr>
        <w:tc>
          <w:tcPr>
            <w:tcW w:w="1429" w:type="dxa"/>
            <w:tcBorders>
              <w:top w:val="nil"/>
              <w:left w:val="nil"/>
              <w:bottom w:val="nil"/>
              <w:right w:val="nil"/>
            </w:tcBorders>
          </w:tcPr>
          <w:p>
            <w:pPr>
              <w:pStyle w:val="TableParagraph"/>
              <w:ind w:left="86"/>
              <w:jc w:val="left"/>
              <w:rPr>
                <w:sz w:val="20"/>
              </w:rPr>
            </w:pPr>
            <w:r>
              <w:rPr>
                <w:sz w:val="20"/>
              </w:rPr>
              <w:t>TEJ_LcSF</w:t>
            </w:r>
          </w:p>
        </w:tc>
        <w:tc>
          <w:tcPr>
            <w:tcW w:w="676" w:type="dxa"/>
            <w:tcBorders>
              <w:top w:val="nil"/>
              <w:left w:val="nil"/>
              <w:bottom w:val="nil"/>
              <w:right w:val="nil"/>
            </w:tcBorders>
          </w:tcPr>
          <w:p>
            <w:pPr>
              <w:pStyle w:val="TableParagraph"/>
              <w:ind w:left="150"/>
              <w:jc w:val="left"/>
              <w:rPr>
                <w:sz w:val="20"/>
              </w:rPr>
            </w:pPr>
            <w:r>
              <w:rPr>
                <w:sz w:val="20"/>
              </w:rPr>
              <w:t>2.30</w:t>
            </w:r>
          </w:p>
        </w:tc>
        <w:tc>
          <w:tcPr>
            <w:tcW w:w="742" w:type="dxa"/>
            <w:tcBorders>
              <w:top w:val="nil"/>
              <w:left w:val="nil"/>
              <w:bottom w:val="nil"/>
              <w:right w:val="nil"/>
            </w:tcBorders>
          </w:tcPr>
          <w:p>
            <w:pPr>
              <w:pStyle w:val="TableParagraph"/>
              <w:ind w:left="170"/>
              <w:jc w:val="left"/>
              <w:rPr>
                <w:sz w:val="20"/>
              </w:rPr>
            </w:pPr>
            <w:r>
              <w:rPr>
                <w:sz w:val="20"/>
              </w:rPr>
              <w:t>1.06</w:t>
            </w:r>
          </w:p>
        </w:tc>
        <w:tc>
          <w:tcPr>
            <w:tcW w:w="840" w:type="dxa"/>
            <w:tcBorders>
              <w:top w:val="nil"/>
              <w:left w:val="nil"/>
              <w:bottom w:val="nil"/>
              <w:right w:val="nil"/>
            </w:tcBorders>
          </w:tcPr>
          <w:p>
            <w:pPr>
              <w:pStyle w:val="TableParagraph"/>
              <w:ind w:right="214"/>
              <w:rPr>
                <w:sz w:val="20"/>
              </w:rPr>
            </w:pPr>
            <w:r>
              <w:rPr>
                <w:sz w:val="20"/>
              </w:rPr>
              <w:t>0.79</w:t>
            </w:r>
          </w:p>
        </w:tc>
        <w:tc>
          <w:tcPr>
            <w:tcW w:w="841" w:type="dxa"/>
            <w:tcBorders>
              <w:top w:val="nil"/>
              <w:left w:val="nil"/>
              <w:bottom w:val="nil"/>
              <w:right w:val="nil"/>
            </w:tcBorders>
          </w:tcPr>
          <w:p>
            <w:pPr>
              <w:pStyle w:val="TableParagraph"/>
              <w:ind w:right="214"/>
              <w:rPr>
                <w:sz w:val="20"/>
              </w:rPr>
            </w:pPr>
            <w:r>
              <w:rPr>
                <w:sz w:val="20"/>
              </w:rPr>
              <w:t>0.79</w:t>
            </w:r>
          </w:p>
        </w:tc>
        <w:tc>
          <w:tcPr>
            <w:tcW w:w="840" w:type="dxa"/>
            <w:tcBorders>
              <w:top w:val="nil"/>
              <w:left w:val="nil"/>
              <w:bottom w:val="nil"/>
              <w:right w:val="nil"/>
            </w:tcBorders>
          </w:tcPr>
          <w:p>
            <w:pPr>
              <w:pStyle w:val="TableParagraph"/>
              <w:ind w:right="214"/>
              <w:rPr>
                <w:sz w:val="20"/>
              </w:rPr>
            </w:pPr>
            <w:r>
              <w:rPr>
                <w:sz w:val="20"/>
              </w:rPr>
              <w:t>0.56</w:t>
            </w:r>
          </w:p>
        </w:tc>
        <w:tc>
          <w:tcPr>
            <w:tcW w:w="838" w:type="dxa"/>
            <w:tcBorders>
              <w:top w:val="nil"/>
              <w:left w:val="nil"/>
              <w:bottom w:val="nil"/>
              <w:right w:val="nil"/>
            </w:tcBorders>
          </w:tcPr>
          <w:p>
            <w:pPr>
              <w:pStyle w:val="TableParagraph"/>
              <w:ind w:right="211"/>
              <w:rPr>
                <w:sz w:val="20"/>
              </w:rPr>
            </w:pPr>
            <w:r>
              <w:rPr>
                <w:sz w:val="20"/>
              </w:rPr>
              <w:t>0.45</w:t>
            </w:r>
          </w:p>
        </w:tc>
        <w:tc>
          <w:tcPr>
            <w:tcW w:w="838" w:type="dxa"/>
            <w:tcBorders>
              <w:top w:val="nil"/>
              <w:left w:val="nil"/>
              <w:bottom w:val="nil"/>
              <w:right w:val="nil"/>
            </w:tcBorders>
          </w:tcPr>
          <w:p>
            <w:pPr>
              <w:pStyle w:val="TableParagraph"/>
              <w:ind w:right="214"/>
              <w:rPr>
                <w:sz w:val="20"/>
              </w:rPr>
            </w:pPr>
            <w:r>
              <w:rPr>
                <w:sz w:val="20"/>
              </w:rPr>
              <w:t>0.45</w:t>
            </w:r>
          </w:p>
        </w:tc>
        <w:tc>
          <w:tcPr>
            <w:tcW w:w="840" w:type="dxa"/>
            <w:tcBorders>
              <w:top w:val="nil"/>
              <w:left w:val="nil"/>
              <w:bottom w:val="nil"/>
              <w:right w:val="nil"/>
            </w:tcBorders>
          </w:tcPr>
          <w:p>
            <w:pPr>
              <w:pStyle w:val="TableParagraph"/>
              <w:ind w:right="214"/>
              <w:rPr>
                <w:sz w:val="20"/>
              </w:rPr>
            </w:pPr>
            <w:r>
              <w:rPr>
                <w:sz w:val="20"/>
              </w:rPr>
              <w:t>0.00</w:t>
            </w:r>
          </w:p>
        </w:tc>
        <w:tc>
          <w:tcPr>
            <w:tcW w:w="835" w:type="dxa"/>
            <w:tcBorders>
              <w:top w:val="nil"/>
              <w:left w:val="nil"/>
              <w:bottom w:val="nil"/>
              <w:right w:val="nil"/>
            </w:tcBorders>
          </w:tcPr>
          <w:p>
            <w:pPr>
              <w:pStyle w:val="TableParagraph"/>
              <w:ind w:right="209"/>
              <w:rPr>
                <w:sz w:val="20"/>
              </w:rPr>
            </w:pPr>
            <w:r>
              <w:rPr>
                <w:sz w:val="20"/>
              </w:rPr>
              <w:t>0.00</w:t>
            </w:r>
          </w:p>
        </w:tc>
        <w:tc>
          <w:tcPr>
            <w:tcW w:w="773" w:type="dxa"/>
            <w:tcBorders>
              <w:top w:val="nil"/>
              <w:left w:val="nil"/>
              <w:bottom w:val="nil"/>
              <w:right w:val="nil"/>
            </w:tcBorders>
          </w:tcPr>
          <w:p>
            <w:pPr>
              <w:pStyle w:val="TableParagraph"/>
              <w:ind w:right="60"/>
              <w:rPr>
                <w:sz w:val="20"/>
              </w:rPr>
            </w:pPr>
            <w:r>
              <w:rPr>
                <w:sz w:val="20"/>
              </w:rPr>
              <w:t>0.00</w:t>
            </w:r>
          </w:p>
        </w:tc>
      </w:tr>
      <w:tr>
        <w:trPr>
          <w:trHeight w:val="300" w:hRule="exact"/>
        </w:trPr>
        <w:tc>
          <w:tcPr>
            <w:tcW w:w="1429" w:type="dxa"/>
            <w:tcBorders>
              <w:top w:val="nil"/>
              <w:left w:val="nil"/>
              <w:bottom w:val="nil"/>
              <w:right w:val="nil"/>
            </w:tcBorders>
          </w:tcPr>
          <w:p>
            <w:pPr>
              <w:pStyle w:val="TableParagraph"/>
              <w:spacing w:before="26"/>
              <w:ind w:left="86"/>
              <w:jc w:val="left"/>
              <w:rPr>
                <w:sz w:val="20"/>
              </w:rPr>
            </w:pPr>
            <w:r>
              <w:rPr>
                <w:sz w:val="20"/>
              </w:rPr>
              <w:t>TEJ_TmFlp</w:t>
            </w:r>
          </w:p>
        </w:tc>
        <w:tc>
          <w:tcPr>
            <w:tcW w:w="676" w:type="dxa"/>
            <w:tcBorders>
              <w:top w:val="nil"/>
              <w:left w:val="nil"/>
              <w:bottom w:val="nil"/>
              <w:right w:val="nil"/>
            </w:tcBorders>
          </w:tcPr>
          <w:p>
            <w:pPr>
              <w:pStyle w:val="TableParagraph"/>
              <w:spacing w:before="26"/>
              <w:ind w:left="150"/>
              <w:jc w:val="left"/>
              <w:rPr>
                <w:sz w:val="20"/>
              </w:rPr>
            </w:pPr>
            <w:r>
              <w:rPr>
                <w:sz w:val="20"/>
              </w:rPr>
              <w:t>5.42</w:t>
            </w:r>
          </w:p>
        </w:tc>
        <w:tc>
          <w:tcPr>
            <w:tcW w:w="742" w:type="dxa"/>
            <w:tcBorders>
              <w:top w:val="nil"/>
              <w:left w:val="nil"/>
              <w:bottom w:val="nil"/>
              <w:right w:val="nil"/>
            </w:tcBorders>
          </w:tcPr>
          <w:p>
            <w:pPr>
              <w:pStyle w:val="TableParagraph"/>
              <w:spacing w:before="26"/>
              <w:ind w:left="170"/>
              <w:jc w:val="left"/>
              <w:rPr>
                <w:sz w:val="20"/>
              </w:rPr>
            </w:pPr>
            <w:r>
              <w:rPr>
                <w:sz w:val="20"/>
              </w:rPr>
              <w:t>5.42</w:t>
            </w:r>
          </w:p>
        </w:tc>
        <w:tc>
          <w:tcPr>
            <w:tcW w:w="840" w:type="dxa"/>
            <w:tcBorders>
              <w:top w:val="nil"/>
              <w:left w:val="nil"/>
              <w:bottom w:val="nil"/>
              <w:right w:val="nil"/>
            </w:tcBorders>
          </w:tcPr>
          <w:p>
            <w:pPr>
              <w:pStyle w:val="TableParagraph"/>
              <w:spacing w:before="26"/>
              <w:ind w:right="214"/>
              <w:rPr>
                <w:sz w:val="20"/>
              </w:rPr>
            </w:pPr>
            <w:r>
              <w:rPr>
                <w:sz w:val="20"/>
              </w:rPr>
              <w:t>3.55</w:t>
            </w:r>
          </w:p>
        </w:tc>
        <w:tc>
          <w:tcPr>
            <w:tcW w:w="841" w:type="dxa"/>
            <w:tcBorders>
              <w:top w:val="nil"/>
              <w:left w:val="nil"/>
              <w:bottom w:val="nil"/>
              <w:right w:val="nil"/>
            </w:tcBorders>
          </w:tcPr>
          <w:p>
            <w:pPr>
              <w:pStyle w:val="TableParagraph"/>
              <w:spacing w:before="26"/>
              <w:ind w:right="214"/>
              <w:rPr>
                <w:sz w:val="20"/>
              </w:rPr>
            </w:pPr>
            <w:r>
              <w:rPr>
                <w:sz w:val="20"/>
              </w:rPr>
              <w:t>1.68</w:t>
            </w:r>
          </w:p>
        </w:tc>
        <w:tc>
          <w:tcPr>
            <w:tcW w:w="840" w:type="dxa"/>
            <w:tcBorders>
              <w:top w:val="nil"/>
              <w:left w:val="nil"/>
              <w:bottom w:val="nil"/>
              <w:right w:val="nil"/>
            </w:tcBorders>
          </w:tcPr>
          <w:p>
            <w:pPr>
              <w:pStyle w:val="TableParagraph"/>
              <w:spacing w:before="26"/>
              <w:ind w:right="214"/>
              <w:rPr>
                <w:sz w:val="20"/>
              </w:rPr>
            </w:pPr>
            <w:r>
              <w:rPr>
                <w:sz w:val="20"/>
              </w:rPr>
              <w:t>1.68</w:t>
            </w:r>
          </w:p>
        </w:tc>
        <w:tc>
          <w:tcPr>
            <w:tcW w:w="838" w:type="dxa"/>
            <w:tcBorders>
              <w:top w:val="nil"/>
              <w:left w:val="nil"/>
              <w:bottom w:val="nil"/>
              <w:right w:val="nil"/>
            </w:tcBorders>
          </w:tcPr>
          <w:p>
            <w:pPr>
              <w:pStyle w:val="TableParagraph"/>
              <w:spacing w:before="26"/>
              <w:ind w:right="211"/>
              <w:rPr>
                <w:sz w:val="20"/>
              </w:rPr>
            </w:pPr>
            <w:r>
              <w:rPr>
                <w:sz w:val="20"/>
              </w:rPr>
              <w:t>1.68</w:t>
            </w:r>
          </w:p>
        </w:tc>
        <w:tc>
          <w:tcPr>
            <w:tcW w:w="838" w:type="dxa"/>
            <w:tcBorders>
              <w:top w:val="nil"/>
              <w:left w:val="nil"/>
              <w:bottom w:val="nil"/>
              <w:right w:val="nil"/>
            </w:tcBorders>
          </w:tcPr>
          <w:p>
            <w:pPr>
              <w:pStyle w:val="TableParagraph"/>
              <w:spacing w:before="26"/>
              <w:ind w:right="214"/>
              <w:rPr>
                <w:sz w:val="20"/>
              </w:rPr>
            </w:pPr>
            <w:r>
              <w:rPr>
                <w:sz w:val="20"/>
              </w:rPr>
              <w:t>1.13</w:t>
            </w:r>
          </w:p>
        </w:tc>
        <w:tc>
          <w:tcPr>
            <w:tcW w:w="840" w:type="dxa"/>
            <w:tcBorders>
              <w:top w:val="nil"/>
              <w:left w:val="nil"/>
              <w:bottom w:val="nil"/>
              <w:right w:val="nil"/>
            </w:tcBorders>
          </w:tcPr>
          <w:p>
            <w:pPr>
              <w:pStyle w:val="TableParagraph"/>
              <w:spacing w:before="26"/>
              <w:ind w:right="214"/>
              <w:rPr>
                <w:sz w:val="20"/>
              </w:rPr>
            </w:pPr>
            <w:r>
              <w:rPr>
                <w:sz w:val="20"/>
              </w:rPr>
              <w:t>0.00</w:t>
            </w:r>
          </w:p>
        </w:tc>
        <w:tc>
          <w:tcPr>
            <w:tcW w:w="835" w:type="dxa"/>
            <w:tcBorders>
              <w:top w:val="nil"/>
              <w:left w:val="nil"/>
              <w:bottom w:val="nil"/>
              <w:right w:val="nil"/>
            </w:tcBorders>
          </w:tcPr>
          <w:p>
            <w:pPr>
              <w:pStyle w:val="TableParagraph"/>
              <w:spacing w:before="26"/>
              <w:ind w:right="209"/>
              <w:rPr>
                <w:sz w:val="20"/>
              </w:rPr>
            </w:pPr>
            <w:r>
              <w:rPr>
                <w:sz w:val="20"/>
              </w:rPr>
              <w:t>0.00</w:t>
            </w:r>
          </w:p>
        </w:tc>
        <w:tc>
          <w:tcPr>
            <w:tcW w:w="773" w:type="dxa"/>
            <w:tcBorders>
              <w:top w:val="nil"/>
              <w:left w:val="nil"/>
              <w:bottom w:val="nil"/>
              <w:right w:val="nil"/>
            </w:tcBorders>
          </w:tcPr>
          <w:p>
            <w:pPr>
              <w:pStyle w:val="TableParagraph"/>
              <w:spacing w:before="26"/>
              <w:ind w:right="60"/>
              <w:rPr>
                <w:sz w:val="20"/>
              </w:rPr>
            </w:pPr>
            <w:r>
              <w:rPr>
                <w:sz w:val="20"/>
              </w:rPr>
              <w:t>0.00</w:t>
            </w:r>
          </w:p>
        </w:tc>
      </w:tr>
      <w:tr>
        <w:trPr>
          <w:trHeight w:val="268" w:hRule="exact"/>
        </w:trPr>
        <w:tc>
          <w:tcPr>
            <w:tcW w:w="1429" w:type="dxa"/>
            <w:tcBorders>
              <w:top w:val="nil"/>
              <w:left w:val="nil"/>
              <w:right w:val="nil"/>
            </w:tcBorders>
          </w:tcPr>
          <w:p>
            <w:pPr>
              <w:pStyle w:val="TableParagraph"/>
              <w:ind w:left="86"/>
              <w:jc w:val="left"/>
              <w:rPr>
                <w:sz w:val="20"/>
              </w:rPr>
            </w:pPr>
            <w:r>
              <w:rPr>
                <w:sz w:val="20"/>
              </w:rPr>
              <w:t>TEJ_ToSF</w:t>
            </w:r>
          </w:p>
        </w:tc>
        <w:tc>
          <w:tcPr>
            <w:tcW w:w="676" w:type="dxa"/>
            <w:tcBorders>
              <w:top w:val="nil"/>
              <w:left w:val="nil"/>
              <w:right w:val="nil"/>
            </w:tcBorders>
          </w:tcPr>
          <w:p>
            <w:pPr>
              <w:pStyle w:val="TableParagraph"/>
              <w:ind w:left="150"/>
              <w:jc w:val="left"/>
              <w:rPr>
                <w:sz w:val="20"/>
              </w:rPr>
            </w:pPr>
            <w:r>
              <w:rPr>
                <w:sz w:val="20"/>
              </w:rPr>
              <w:t>3.15</w:t>
            </w:r>
          </w:p>
        </w:tc>
        <w:tc>
          <w:tcPr>
            <w:tcW w:w="742" w:type="dxa"/>
            <w:tcBorders>
              <w:top w:val="nil"/>
              <w:left w:val="nil"/>
              <w:right w:val="nil"/>
            </w:tcBorders>
          </w:tcPr>
          <w:p>
            <w:pPr>
              <w:pStyle w:val="TableParagraph"/>
              <w:ind w:left="170"/>
              <w:jc w:val="left"/>
              <w:rPr>
                <w:sz w:val="20"/>
              </w:rPr>
            </w:pPr>
            <w:r>
              <w:rPr>
                <w:sz w:val="20"/>
              </w:rPr>
              <w:t>3.15</w:t>
            </w:r>
          </w:p>
        </w:tc>
        <w:tc>
          <w:tcPr>
            <w:tcW w:w="840" w:type="dxa"/>
            <w:tcBorders>
              <w:top w:val="nil"/>
              <w:left w:val="nil"/>
              <w:right w:val="nil"/>
            </w:tcBorders>
          </w:tcPr>
          <w:p>
            <w:pPr>
              <w:pStyle w:val="TableParagraph"/>
              <w:ind w:right="214"/>
              <w:rPr>
                <w:sz w:val="20"/>
              </w:rPr>
            </w:pPr>
            <w:r>
              <w:rPr>
                <w:sz w:val="20"/>
              </w:rPr>
              <w:t>1.83</w:t>
            </w:r>
          </w:p>
        </w:tc>
        <w:tc>
          <w:tcPr>
            <w:tcW w:w="841" w:type="dxa"/>
            <w:tcBorders>
              <w:top w:val="nil"/>
              <w:left w:val="nil"/>
              <w:right w:val="nil"/>
            </w:tcBorders>
          </w:tcPr>
          <w:p>
            <w:pPr>
              <w:pStyle w:val="TableParagraph"/>
              <w:ind w:right="214"/>
              <w:rPr>
                <w:sz w:val="20"/>
              </w:rPr>
            </w:pPr>
            <w:r>
              <w:rPr>
                <w:sz w:val="20"/>
              </w:rPr>
              <w:t>1.83</w:t>
            </w:r>
          </w:p>
        </w:tc>
        <w:tc>
          <w:tcPr>
            <w:tcW w:w="840" w:type="dxa"/>
            <w:tcBorders>
              <w:top w:val="nil"/>
              <w:left w:val="nil"/>
              <w:right w:val="nil"/>
            </w:tcBorders>
          </w:tcPr>
          <w:p>
            <w:pPr>
              <w:pStyle w:val="TableParagraph"/>
              <w:ind w:right="214"/>
              <w:rPr>
                <w:sz w:val="20"/>
              </w:rPr>
            </w:pPr>
            <w:r>
              <w:rPr>
                <w:sz w:val="20"/>
              </w:rPr>
              <w:t>1.83</w:t>
            </w:r>
          </w:p>
        </w:tc>
        <w:tc>
          <w:tcPr>
            <w:tcW w:w="838" w:type="dxa"/>
            <w:tcBorders>
              <w:top w:val="nil"/>
              <w:left w:val="nil"/>
              <w:right w:val="nil"/>
            </w:tcBorders>
          </w:tcPr>
          <w:p>
            <w:pPr>
              <w:pStyle w:val="TableParagraph"/>
              <w:ind w:right="211"/>
              <w:rPr>
                <w:sz w:val="20"/>
              </w:rPr>
            </w:pPr>
            <w:r>
              <w:rPr>
                <w:sz w:val="20"/>
              </w:rPr>
              <w:t>1.83</w:t>
            </w:r>
          </w:p>
        </w:tc>
        <w:tc>
          <w:tcPr>
            <w:tcW w:w="838" w:type="dxa"/>
            <w:tcBorders>
              <w:top w:val="nil"/>
              <w:left w:val="nil"/>
              <w:right w:val="nil"/>
            </w:tcBorders>
          </w:tcPr>
          <w:p>
            <w:pPr>
              <w:pStyle w:val="TableParagraph"/>
              <w:ind w:right="214"/>
              <w:rPr>
                <w:sz w:val="20"/>
              </w:rPr>
            </w:pPr>
            <w:r>
              <w:rPr>
                <w:sz w:val="20"/>
              </w:rPr>
              <w:t>1.23</w:t>
            </w:r>
          </w:p>
        </w:tc>
        <w:tc>
          <w:tcPr>
            <w:tcW w:w="840" w:type="dxa"/>
            <w:tcBorders>
              <w:top w:val="nil"/>
              <w:left w:val="nil"/>
              <w:right w:val="nil"/>
            </w:tcBorders>
          </w:tcPr>
          <w:p>
            <w:pPr>
              <w:pStyle w:val="TableParagraph"/>
              <w:ind w:right="214"/>
              <w:rPr>
                <w:sz w:val="20"/>
              </w:rPr>
            </w:pPr>
            <w:r>
              <w:rPr>
                <w:sz w:val="20"/>
              </w:rPr>
              <w:t>0.00</w:t>
            </w:r>
          </w:p>
        </w:tc>
        <w:tc>
          <w:tcPr>
            <w:tcW w:w="835" w:type="dxa"/>
            <w:tcBorders>
              <w:top w:val="nil"/>
              <w:left w:val="nil"/>
              <w:right w:val="nil"/>
            </w:tcBorders>
          </w:tcPr>
          <w:p>
            <w:pPr>
              <w:pStyle w:val="TableParagraph"/>
              <w:ind w:right="209"/>
              <w:rPr>
                <w:sz w:val="20"/>
              </w:rPr>
            </w:pPr>
            <w:r>
              <w:rPr>
                <w:sz w:val="20"/>
              </w:rPr>
              <w:t>0.00</w:t>
            </w:r>
          </w:p>
        </w:tc>
        <w:tc>
          <w:tcPr>
            <w:tcW w:w="773" w:type="dxa"/>
            <w:tcBorders>
              <w:top w:val="nil"/>
              <w:left w:val="nil"/>
              <w:right w:val="nil"/>
            </w:tcBorders>
          </w:tcPr>
          <w:p>
            <w:pPr>
              <w:pStyle w:val="TableParagraph"/>
              <w:ind w:right="60"/>
              <w:rPr>
                <w:sz w:val="20"/>
              </w:rPr>
            </w:pPr>
            <w:r>
              <w:rPr>
                <w:sz w:val="20"/>
              </w:rPr>
              <w:t>0.00</w:t>
            </w:r>
          </w:p>
        </w:tc>
      </w:tr>
    </w:tbl>
    <w:p>
      <w:pPr>
        <w:spacing w:after="0"/>
        <w:rPr>
          <w:sz w:val="20"/>
        </w:rPr>
        <w:sectPr>
          <w:pgSz w:w="12240" w:h="15840"/>
          <w:pgMar w:header="0" w:footer="1473" w:top="1360" w:bottom="1660" w:left="1020" w:right="1300"/>
        </w:sectPr>
      </w:pPr>
    </w:p>
    <w:p>
      <w:pPr>
        <w:pStyle w:val="BodyText"/>
        <w:tabs>
          <w:tab w:pos="396" w:val="left" w:leader="none"/>
          <w:tab w:pos="9606" w:val="left" w:leader="none"/>
        </w:tabs>
        <w:spacing w:before="49"/>
        <w:ind w:left="127"/>
      </w:pPr>
      <w:r>
        <w:rPr>
          <w:w w:val="99"/>
          <w:u w:val="single"/>
        </w:rPr>
        <w:t> </w:t>
      </w:r>
      <w:r>
        <w:rPr>
          <w:u w:val="single"/>
        </w:rPr>
        <w:tab/>
        <w:t>Continuación Tabla</w:t>
      </w:r>
      <w:r>
        <w:rPr>
          <w:spacing w:val="-19"/>
          <w:u w:val="single"/>
        </w:rPr>
        <w:t> </w:t>
      </w:r>
      <w:r>
        <w:rPr>
          <w:u w:val="single"/>
        </w:rPr>
        <w:t>25.</w:t>
        <w:tab/>
      </w:r>
    </w:p>
    <w:p>
      <w:pPr>
        <w:pStyle w:val="BodyText"/>
        <w:spacing w:before="11"/>
        <w:rPr>
          <w:sz w:val="8"/>
        </w:rPr>
      </w:pPr>
    </w:p>
    <w:tbl>
      <w:tblPr>
        <w:tblW w:w="0" w:type="auto"/>
        <w:jc w:val="left"/>
        <w:tblInd w:w="1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29"/>
        <w:gridCol w:w="676"/>
        <w:gridCol w:w="742"/>
        <w:gridCol w:w="840"/>
        <w:gridCol w:w="841"/>
        <w:gridCol w:w="840"/>
        <w:gridCol w:w="838"/>
        <w:gridCol w:w="838"/>
        <w:gridCol w:w="840"/>
        <w:gridCol w:w="835"/>
        <w:gridCol w:w="773"/>
      </w:tblGrid>
      <w:tr>
        <w:trPr>
          <w:trHeight w:val="306" w:hRule="exact"/>
        </w:trPr>
        <w:tc>
          <w:tcPr>
            <w:tcW w:w="1429" w:type="dxa"/>
          </w:tcPr>
          <w:p>
            <w:pPr>
              <w:pStyle w:val="TableParagraph"/>
              <w:spacing w:before="90"/>
              <w:ind w:left="100"/>
              <w:jc w:val="left"/>
              <w:rPr>
                <w:sz w:val="20"/>
              </w:rPr>
            </w:pPr>
            <w:r>
              <w:rPr>
                <w:sz w:val="20"/>
              </w:rPr>
              <w:t>Nombre/Clave</w:t>
            </w:r>
          </w:p>
        </w:tc>
        <w:tc>
          <w:tcPr>
            <w:tcW w:w="676" w:type="dxa"/>
          </w:tcPr>
          <w:p>
            <w:pPr/>
          </w:p>
        </w:tc>
        <w:tc>
          <w:tcPr>
            <w:tcW w:w="742" w:type="dxa"/>
          </w:tcPr>
          <w:p>
            <w:pPr/>
          </w:p>
        </w:tc>
        <w:tc>
          <w:tcPr>
            <w:tcW w:w="840" w:type="dxa"/>
          </w:tcPr>
          <w:p>
            <w:pPr/>
          </w:p>
        </w:tc>
        <w:tc>
          <w:tcPr>
            <w:tcW w:w="841" w:type="dxa"/>
          </w:tcPr>
          <w:p>
            <w:pPr/>
          </w:p>
        </w:tc>
        <w:tc>
          <w:tcPr>
            <w:tcW w:w="2516" w:type="dxa"/>
            <w:gridSpan w:val="3"/>
          </w:tcPr>
          <w:p>
            <w:pPr>
              <w:pStyle w:val="TableParagraph"/>
              <w:spacing w:line="205" w:lineRule="exact" w:before="0"/>
              <w:ind w:left="38"/>
              <w:jc w:val="left"/>
              <w:rPr>
                <w:sz w:val="20"/>
              </w:rPr>
            </w:pPr>
            <w:r>
              <w:rPr>
                <w:sz w:val="20"/>
              </w:rPr>
              <w:t>N° de capas del suelo</w:t>
            </w:r>
          </w:p>
        </w:tc>
        <w:tc>
          <w:tcPr>
            <w:tcW w:w="840" w:type="dxa"/>
          </w:tcPr>
          <w:p>
            <w:pPr/>
          </w:p>
        </w:tc>
        <w:tc>
          <w:tcPr>
            <w:tcW w:w="835" w:type="dxa"/>
          </w:tcPr>
          <w:p>
            <w:pPr/>
          </w:p>
        </w:tc>
        <w:tc>
          <w:tcPr>
            <w:tcW w:w="773" w:type="dxa"/>
          </w:tcPr>
          <w:p>
            <w:pPr/>
          </w:p>
        </w:tc>
      </w:tr>
      <w:tr>
        <w:trPr>
          <w:trHeight w:val="216" w:hRule="exact"/>
        </w:trPr>
        <w:tc>
          <w:tcPr>
            <w:tcW w:w="1429" w:type="dxa"/>
            <w:tcBorders>
              <w:bottom w:val="single" w:sz="4" w:space="0" w:color="000000"/>
            </w:tcBorders>
          </w:tcPr>
          <w:p>
            <w:pPr/>
          </w:p>
        </w:tc>
        <w:tc>
          <w:tcPr>
            <w:tcW w:w="676" w:type="dxa"/>
            <w:tcBorders>
              <w:bottom w:val="single" w:sz="4" w:space="0" w:color="000000"/>
            </w:tcBorders>
          </w:tcPr>
          <w:p>
            <w:pPr>
              <w:pStyle w:val="TableParagraph"/>
              <w:spacing w:line="202" w:lineRule="exact" w:before="0"/>
              <w:ind w:left="203"/>
              <w:jc w:val="left"/>
              <w:rPr>
                <w:sz w:val="20"/>
              </w:rPr>
            </w:pPr>
            <w:r>
              <w:rPr>
                <w:w w:val="100"/>
                <w:sz w:val="20"/>
              </w:rPr>
              <w:t>1</w:t>
            </w:r>
          </w:p>
        </w:tc>
        <w:tc>
          <w:tcPr>
            <w:tcW w:w="742" w:type="dxa"/>
            <w:tcBorders>
              <w:bottom w:val="single" w:sz="4" w:space="0" w:color="000000"/>
            </w:tcBorders>
          </w:tcPr>
          <w:p>
            <w:pPr>
              <w:pStyle w:val="TableParagraph"/>
              <w:spacing w:line="202" w:lineRule="exact" w:before="0"/>
              <w:ind w:left="189"/>
              <w:jc w:val="left"/>
              <w:rPr>
                <w:sz w:val="20"/>
              </w:rPr>
            </w:pPr>
            <w:r>
              <w:rPr>
                <w:w w:val="100"/>
                <w:sz w:val="20"/>
              </w:rPr>
              <w:t>2</w:t>
            </w:r>
          </w:p>
        </w:tc>
        <w:tc>
          <w:tcPr>
            <w:tcW w:w="840" w:type="dxa"/>
            <w:tcBorders>
              <w:bottom w:val="single" w:sz="4" w:space="0" w:color="000000"/>
            </w:tcBorders>
          </w:tcPr>
          <w:p>
            <w:pPr>
              <w:pStyle w:val="TableParagraph"/>
              <w:spacing w:line="202" w:lineRule="exact" w:before="0"/>
              <w:ind w:left="216"/>
              <w:jc w:val="left"/>
              <w:rPr>
                <w:sz w:val="20"/>
              </w:rPr>
            </w:pPr>
            <w:r>
              <w:rPr>
                <w:w w:val="100"/>
                <w:sz w:val="20"/>
              </w:rPr>
              <w:t>3</w:t>
            </w:r>
          </w:p>
        </w:tc>
        <w:tc>
          <w:tcPr>
            <w:tcW w:w="841" w:type="dxa"/>
            <w:tcBorders>
              <w:bottom w:val="single" w:sz="4" w:space="0" w:color="000000"/>
            </w:tcBorders>
          </w:tcPr>
          <w:p>
            <w:pPr>
              <w:pStyle w:val="TableParagraph"/>
              <w:spacing w:line="202" w:lineRule="exact" w:before="0"/>
              <w:ind w:left="216"/>
              <w:jc w:val="left"/>
              <w:rPr>
                <w:sz w:val="20"/>
              </w:rPr>
            </w:pPr>
            <w:r>
              <w:rPr>
                <w:w w:val="100"/>
                <w:sz w:val="20"/>
              </w:rPr>
              <w:t>4</w:t>
            </w:r>
          </w:p>
        </w:tc>
        <w:tc>
          <w:tcPr>
            <w:tcW w:w="840" w:type="dxa"/>
            <w:tcBorders>
              <w:bottom w:val="single" w:sz="4" w:space="0" w:color="000000"/>
            </w:tcBorders>
          </w:tcPr>
          <w:p>
            <w:pPr>
              <w:pStyle w:val="TableParagraph"/>
              <w:spacing w:line="202" w:lineRule="exact" w:before="0"/>
              <w:ind w:left="216"/>
              <w:jc w:val="left"/>
              <w:rPr>
                <w:sz w:val="20"/>
              </w:rPr>
            </w:pPr>
            <w:r>
              <w:rPr>
                <w:w w:val="100"/>
                <w:sz w:val="20"/>
              </w:rPr>
              <w:t>5</w:t>
            </w:r>
          </w:p>
        </w:tc>
        <w:tc>
          <w:tcPr>
            <w:tcW w:w="838" w:type="dxa"/>
            <w:tcBorders>
              <w:bottom w:val="single" w:sz="4" w:space="0" w:color="000000"/>
            </w:tcBorders>
          </w:tcPr>
          <w:p>
            <w:pPr>
              <w:pStyle w:val="TableParagraph"/>
              <w:spacing w:line="202" w:lineRule="exact" w:before="0"/>
              <w:ind w:left="216"/>
              <w:jc w:val="left"/>
              <w:rPr>
                <w:sz w:val="20"/>
              </w:rPr>
            </w:pPr>
            <w:r>
              <w:rPr>
                <w:w w:val="100"/>
                <w:sz w:val="20"/>
              </w:rPr>
              <w:t>6</w:t>
            </w:r>
          </w:p>
        </w:tc>
        <w:tc>
          <w:tcPr>
            <w:tcW w:w="838" w:type="dxa"/>
            <w:tcBorders>
              <w:bottom w:val="single" w:sz="4" w:space="0" w:color="000000"/>
            </w:tcBorders>
          </w:tcPr>
          <w:p>
            <w:pPr>
              <w:pStyle w:val="TableParagraph"/>
              <w:spacing w:line="202" w:lineRule="exact" w:before="0"/>
              <w:ind w:left="213"/>
              <w:jc w:val="left"/>
              <w:rPr>
                <w:sz w:val="20"/>
              </w:rPr>
            </w:pPr>
            <w:r>
              <w:rPr>
                <w:w w:val="100"/>
                <w:sz w:val="20"/>
              </w:rPr>
              <w:t>7</w:t>
            </w:r>
          </w:p>
        </w:tc>
        <w:tc>
          <w:tcPr>
            <w:tcW w:w="840" w:type="dxa"/>
            <w:tcBorders>
              <w:bottom w:val="single" w:sz="4" w:space="0" w:color="000000"/>
            </w:tcBorders>
          </w:tcPr>
          <w:p>
            <w:pPr>
              <w:pStyle w:val="TableParagraph"/>
              <w:spacing w:line="202" w:lineRule="exact" w:before="0"/>
              <w:ind w:left="216"/>
              <w:jc w:val="left"/>
              <w:rPr>
                <w:sz w:val="20"/>
              </w:rPr>
            </w:pPr>
            <w:r>
              <w:rPr>
                <w:w w:val="100"/>
                <w:sz w:val="20"/>
              </w:rPr>
              <w:t>8</w:t>
            </w:r>
          </w:p>
        </w:tc>
        <w:tc>
          <w:tcPr>
            <w:tcW w:w="835" w:type="dxa"/>
            <w:tcBorders>
              <w:bottom w:val="single" w:sz="4" w:space="0" w:color="000000"/>
            </w:tcBorders>
          </w:tcPr>
          <w:p>
            <w:pPr>
              <w:pStyle w:val="TableParagraph"/>
              <w:spacing w:line="202" w:lineRule="exact" w:before="0"/>
              <w:ind w:left="216"/>
              <w:jc w:val="left"/>
              <w:rPr>
                <w:sz w:val="20"/>
              </w:rPr>
            </w:pPr>
            <w:r>
              <w:rPr>
                <w:w w:val="100"/>
                <w:sz w:val="20"/>
              </w:rPr>
              <w:t>9</w:t>
            </w:r>
          </w:p>
        </w:tc>
        <w:tc>
          <w:tcPr>
            <w:tcW w:w="773" w:type="dxa"/>
            <w:tcBorders>
              <w:bottom w:val="single" w:sz="4" w:space="0" w:color="000000"/>
            </w:tcBorders>
          </w:tcPr>
          <w:p>
            <w:pPr>
              <w:pStyle w:val="TableParagraph"/>
              <w:spacing w:line="202" w:lineRule="exact" w:before="0"/>
              <w:ind w:left="211"/>
              <w:jc w:val="left"/>
              <w:rPr>
                <w:sz w:val="20"/>
              </w:rPr>
            </w:pPr>
            <w:r>
              <w:rPr>
                <w:sz w:val="20"/>
              </w:rPr>
              <w:t>10</w:t>
            </w:r>
          </w:p>
        </w:tc>
      </w:tr>
      <w:tr>
        <w:trPr>
          <w:trHeight w:val="340" w:hRule="exact"/>
        </w:trPr>
        <w:tc>
          <w:tcPr>
            <w:tcW w:w="1429" w:type="dxa"/>
            <w:tcBorders>
              <w:top w:val="single" w:sz="4" w:space="0" w:color="000000"/>
            </w:tcBorders>
          </w:tcPr>
          <w:p>
            <w:pPr>
              <w:pStyle w:val="TableParagraph"/>
              <w:spacing w:before="58"/>
              <w:ind w:left="86"/>
              <w:jc w:val="left"/>
              <w:rPr>
                <w:sz w:val="20"/>
              </w:rPr>
            </w:pPr>
            <w:r>
              <w:rPr>
                <w:sz w:val="20"/>
              </w:rPr>
              <w:t>TEJ_VpFd</w:t>
            </w:r>
          </w:p>
        </w:tc>
        <w:tc>
          <w:tcPr>
            <w:tcW w:w="676" w:type="dxa"/>
            <w:tcBorders>
              <w:top w:val="single" w:sz="4" w:space="0" w:color="000000"/>
            </w:tcBorders>
          </w:tcPr>
          <w:p>
            <w:pPr>
              <w:pStyle w:val="TableParagraph"/>
              <w:spacing w:before="58"/>
              <w:ind w:left="150"/>
              <w:jc w:val="left"/>
              <w:rPr>
                <w:sz w:val="20"/>
              </w:rPr>
            </w:pPr>
            <w:r>
              <w:rPr>
                <w:sz w:val="20"/>
              </w:rPr>
              <w:t>1.09</w:t>
            </w:r>
          </w:p>
        </w:tc>
        <w:tc>
          <w:tcPr>
            <w:tcW w:w="742" w:type="dxa"/>
            <w:tcBorders>
              <w:top w:val="single" w:sz="4" w:space="0" w:color="000000"/>
            </w:tcBorders>
          </w:tcPr>
          <w:p>
            <w:pPr>
              <w:pStyle w:val="TableParagraph"/>
              <w:spacing w:before="58"/>
              <w:ind w:left="170"/>
              <w:jc w:val="left"/>
              <w:rPr>
                <w:sz w:val="20"/>
              </w:rPr>
            </w:pPr>
            <w:r>
              <w:rPr>
                <w:sz w:val="20"/>
              </w:rPr>
              <w:t>1.09</w:t>
            </w:r>
          </w:p>
        </w:tc>
        <w:tc>
          <w:tcPr>
            <w:tcW w:w="840" w:type="dxa"/>
            <w:tcBorders>
              <w:top w:val="single" w:sz="4" w:space="0" w:color="000000"/>
            </w:tcBorders>
          </w:tcPr>
          <w:p>
            <w:pPr>
              <w:pStyle w:val="TableParagraph"/>
              <w:spacing w:before="58"/>
              <w:ind w:right="214"/>
              <w:rPr>
                <w:sz w:val="20"/>
              </w:rPr>
            </w:pPr>
            <w:r>
              <w:rPr>
                <w:sz w:val="20"/>
              </w:rPr>
              <w:t>1.09</w:t>
            </w:r>
          </w:p>
        </w:tc>
        <w:tc>
          <w:tcPr>
            <w:tcW w:w="841" w:type="dxa"/>
            <w:tcBorders>
              <w:top w:val="single" w:sz="4" w:space="0" w:color="000000"/>
            </w:tcBorders>
          </w:tcPr>
          <w:p>
            <w:pPr>
              <w:pStyle w:val="TableParagraph"/>
              <w:spacing w:before="58"/>
              <w:ind w:right="214"/>
              <w:rPr>
                <w:sz w:val="20"/>
              </w:rPr>
            </w:pPr>
            <w:r>
              <w:rPr>
                <w:sz w:val="20"/>
              </w:rPr>
              <w:t>0.62</w:t>
            </w:r>
          </w:p>
        </w:tc>
        <w:tc>
          <w:tcPr>
            <w:tcW w:w="840" w:type="dxa"/>
            <w:tcBorders>
              <w:top w:val="single" w:sz="4" w:space="0" w:color="000000"/>
            </w:tcBorders>
          </w:tcPr>
          <w:p>
            <w:pPr>
              <w:pStyle w:val="TableParagraph"/>
              <w:spacing w:before="58"/>
              <w:ind w:right="214"/>
              <w:rPr>
                <w:sz w:val="20"/>
              </w:rPr>
            </w:pPr>
            <w:r>
              <w:rPr>
                <w:sz w:val="20"/>
              </w:rPr>
              <w:t>0.62</w:t>
            </w:r>
          </w:p>
        </w:tc>
        <w:tc>
          <w:tcPr>
            <w:tcW w:w="838" w:type="dxa"/>
            <w:tcBorders>
              <w:top w:val="single" w:sz="4" w:space="0" w:color="000000"/>
            </w:tcBorders>
          </w:tcPr>
          <w:p>
            <w:pPr>
              <w:pStyle w:val="TableParagraph"/>
              <w:spacing w:before="58"/>
              <w:ind w:right="211"/>
              <w:rPr>
                <w:sz w:val="20"/>
              </w:rPr>
            </w:pPr>
            <w:r>
              <w:rPr>
                <w:sz w:val="20"/>
              </w:rPr>
              <w:t>0.76</w:t>
            </w:r>
          </w:p>
        </w:tc>
        <w:tc>
          <w:tcPr>
            <w:tcW w:w="838" w:type="dxa"/>
            <w:tcBorders>
              <w:top w:val="single" w:sz="4" w:space="0" w:color="000000"/>
            </w:tcBorders>
          </w:tcPr>
          <w:p>
            <w:pPr>
              <w:pStyle w:val="TableParagraph"/>
              <w:spacing w:before="58"/>
              <w:ind w:right="214"/>
              <w:rPr>
                <w:sz w:val="20"/>
              </w:rPr>
            </w:pPr>
            <w:r>
              <w:rPr>
                <w:sz w:val="20"/>
              </w:rPr>
              <w:t>0.84</w:t>
            </w:r>
          </w:p>
        </w:tc>
        <w:tc>
          <w:tcPr>
            <w:tcW w:w="840" w:type="dxa"/>
            <w:tcBorders>
              <w:top w:val="single" w:sz="4" w:space="0" w:color="000000"/>
            </w:tcBorders>
          </w:tcPr>
          <w:p>
            <w:pPr>
              <w:pStyle w:val="TableParagraph"/>
              <w:spacing w:before="58"/>
              <w:ind w:right="214"/>
              <w:rPr>
                <w:sz w:val="20"/>
              </w:rPr>
            </w:pPr>
            <w:r>
              <w:rPr>
                <w:sz w:val="20"/>
              </w:rPr>
              <w:t>0.00</w:t>
            </w:r>
          </w:p>
        </w:tc>
        <w:tc>
          <w:tcPr>
            <w:tcW w:w="835" w:type="dxa"/>
            <w:tcBorders>
              <w:top w:val="single" w:sz="4" w:space="0" w:color="000000"/>
            </w:tcBorders>
          </w:tcPr>
          <w:p>
            <w:pPr>
              <w:pStyle w:val="TableParagraph"/>
              <w:spacing w:before="58"/>
              <w:ind w:right="209"/>
              <w:rPr>
                <w:sz w:val="20"/>
              </w:rPr>
            </w:pPr>
            <w:r>
              <w:rPr>
                <w:sz w:val="20"/>
              </w:rPr>
              <w:t>0.00</w:t>
            </w:r>
          </w:p>
        </w:tc>
        <w:tc>
          <w:tcPr>
            <w:tcW w:w="773" w:type="dxa"/>
            <w:tcBorders>
              <w:top w:val="single" w:sz="4" w:space="0" w:color="000000"/>
            </w:tcBorders>
          </w:tcPr>
          <w:p>
            <w:pPr>
              <w:pStyle w:val="TableParagraph"/>
              <w:spacing w:before="58"/>
              <w:ind w:right="60"/>
              <w:rPr>
                <w:sz w:val="20"/>
              </w:rPr>
            </w:pPr>
            <w:r>
              <w:rPr>
                <w:sz w:val="20"/>
              </w:rPr>
              <w:t>0.00</w:t>
            </w:r>
          </w:p>
        </w:tc>
      </w:tr>
      <w:tr>
        <w:trPr>
          <w:trHeight w:val="300" w:hRule="exact"/>
        </w:trPr>
        <w:tc>
          <w:tcPr>
            <w:tcW w:w="1429" w:type="dxa"/>
          </w:tcPr>
          <w:p>
            <w:pPr>
              <w:pStyle w:val="TableParagraph"/>
              <w:spacing w:before="26"/>
              <w:ind w:left="86"/>
              <w:jc w:val="left"/>
              <w:rPr>
                <w:sz w:val="20"/>
              </w:rPr>
            </w:pPr>
            <w:r>
              <w:rPr>
                <w:sz w:val="20"/>
              </w:rPr>
              <w:t>TEJ_VpFdp</w:t>
            </w:r>
          </w:p>
        </w:tc>
        <w:tc>
          <w:tcPr>
            <w:tcW w:w="676" w:type="dxa"/>
          </w:tcPr>
          <w:p>
            <w:pPr>
              <w:pStyle w:val="TableParagraph"/>
              <w:spacing w:before="26"/>
              <w:ind w:left="150"/>
              <w:jc w:val="left"/>
              <w:rPr>
                <w:sz w:val="20"/>
              </w:rPr>
            </w:pPr>
            <w:r>
              <w:rPr>
                <w:sz w:val="20"/>
              </w:rPr>
              <w:t>1.53</w:t>
            </w:r>
          </w:p>
        </w:tc>
        <w:tc>
          <w:tcPr>
            <w:tcW w:w="742" w:type="dxa"/>
          </w:tcPr>
          <w:p>
            <w:pPr>
              <w:pStyle w:val="TableParagraph"/>
              <w:spacing w:before="26"/>
              <w:ind w:left="170"/>
              <w:jc w:val="left"/>
              <w:rPr>
                <w:sz w:val="20"/>
              </w:rPr>
            </w:pPr>
            <w:r>
              <w:rPr>
                <w:sz w:val="20"/>
              </w:rPr>
              <w:t>1.45</w:t>
            </w:r>
          </w:p>
        </w:tc>
        <w:tc>
          <w:tcPr>
            <w:tcW w:w="840" w:type="dxa"/>
          </w:tcPr>
          <w:p>
            <w:pPr>
              <w:pStyle w:val="TableParagraph"/>
              <w:spacing w:before="26"/>
              <w:ind w:right="214"/>
              <w:rPr>
                <w:sz w:val="20"/>
              </w:rPr>
            </w:pPr>
            <w:r>
              <w:rPr>
                <w:sz w:val="20"/>
              </w:rPr>
              <w:t>1.45</w:t>
            </w:r>
          </w:p>
        </w:tc>
        <w:tc>
          <w:tcPr>
            <w:tcW w:w="841" w:type="dxa"/>
          </w:tcPr>
          <w:p>
            <w:pPr>
              <w:pStyle w:val="TableParagraph"/>
              <w:spacing w:before="26"/>
              <w:ind w:right="214"/>
              <w:rPr>
                <w:sz w:val="20"/>
              </w:rPr>
            </w:pPr>
            <w:r>
              <w:rPr>
                <w:sz w:val="20"/>
              </w:rPr>
              <w:t>0.84</w:t>
            </w:r>
          </w:p>
        </w:tc>
        <w:tc>
          <w:tcPr>
            <w:tcW w:w="840" w:type="dxa"/>
          </w:tcPr>
          <w:p>
            <w:pPr>
              <w:pStyle w:val="TableParagraph"/>
              <w:spacing w:before="26"/>
              <w:ind w:right="214"/>
              <w:rPr>
                <w:sz w:val="20"/>
              </w:rPr>
            </w:pPr>
            <w:r>
              <w:rPr>
                <w:sz w:val="20"/>
              </w:rPr>
              <w:t>0.84</w:t>
            </w:r>
          </w:p>
        </w:tc>
        <w:tc>
          <w:tcPr>
            <w:tcW w:w="838" w:type="dxa"/>
          </w:tcPr>
          <w:p>
            <w:pPr>
              <w:pStyle w:val="TableParagraph"/>
              <w:spacing w:before="26"/>
              <w:ind w:right="211"/>
              <w:rPr>
                <w:sz w:val="20"/>
              </w:rPr>
            </w:pPr>
            <w:r>
              <w:rPr>
                <w:sz w:val="20"/>
              </w:rPr>
              <w:t>0.32</w:t>
            </w:r>
          </w:p>
        </w:tc>
        <w:tc>
          <w:tcPr>
            <w:tcW w:w="838" w:type="dxa"/>
          </w:tcPr>
          <w:p>
            <w:pPr>
              <w:pStyle w:val="TableParagraph"/>
              <w:spacing w:before="26"/>
              <w:ind w:right="214"/>
              <w:rPr>
                <w:sz w:val="20"/>
              </w:rPr>
            </w:pPr>
            <w:r>
              <w:rPr>
                <w:sz w:val="20"/>
              </w:rPr>
              <w:t>0.23</w:t>
            </w:r>
          </w:p>
        </w:tc>
        <w:tc>
          <w:tcPr>
            <w:tcW w:w="840" w:type="dxa"/>
          </w:tcPr>
          <w:p>
            <w:pPr>
              <w:pStyle w:val="TableParagraph"/>
              <w:spacing w:before="26"/>
              <w:ind w:right="214"/>
              <w:rPr>
                <w:sz w:val="20"/>
              </w:rPr>
            </w:pPr>
            <w:r>
              <w:rPr>
                <w:sz w:val="20"/>
              </w:rPr>
              <w:t>0.00</w:t>
            </w:r>
          </w:p>
        </w:tc>
        <w:tc>
          <w:tcPr>
            <w:tcW w:w="835" w:type="dxa"/>
          </w:tcPr>
          <w:p>
            <w:pPr>
              <w:pStyle w:val="TableParagraph"/>
              <w:spacing w:before="26"/>
              <w:ind w:right="209"/>
              <w:rPr>
                <w:sz w:val="20"/>
              </w:rPr>
            </w:pPr>
            <w:r>
              <w:rPr>
                <w:sz w:val="20"/>
              </w:rPr>
              <w:t>0.00</w:t>
            </w:r>
          </w:p>
        </w:tc>
        <w:tc>
          <w:tcPr>
            <w:tcW w:w="773" w:type="dxa"/>
          </w:tcPr>
          <w:p>
            <w:pPr>
              <w:pStyle w:val="TableParagraph"/>
              <w:spacing w:before="26"/>
              <w:ind w:right="60"/>
              <w:rPr>
                <w:sz w:val="20"/>
              </w:rPr>
            </w:pPr>
            <w:r>
              <w:rPr>
                <w:sz w:val="20"/>
              </w:rPr>
              <w:t>0.00</w:t>
            </w:r>
          </w:p>
        </w:tc>
      </w:tr>
      <w:tr>
        <w:trPr>
          <w:trHeight w:val="300" w:hRule="exact"/>
        </w:trPr>
        <w:tc>
          <w:tcPr>
            <w:tcW w:w="1429" w:type="dxa"/>
          </w:tcPr>
          <w:p>
            <w:pPr>
              <w:pStyle w:val="TableParagraph"/>
              <w:ind w:left="86"/>
              <w:jc w:val="left"/>
              <w:rPr>
                <w:sz w:val="20"/>
              </w:rPr>
            </w:pPr>
            <w:r>
              <w:rPr>
                <w:sz w:val="20"/>
              </w:rPr>
              <w:t>TEJ_VpSF</w:t>
            </w:r>
          </w:p>
        </w:tc>
        <w:tc>
          <w:tcPr>
            <w:tcW w:w="676" w:type="dxa"/>
          </w:tcPr>
          <w:p>
            <w:pPr>
              <w:pStyle w:val="TableParagraph"/>
              <w:ind w:left="150"/>
              <w:jc w:val="left"/>
              <w:rPr>
                <w:sz w:val="20"/>
              </w:rPr>
            </w:pPr>
            <w:r>
              <w:rPr>
                <w:sz w:val="20"/>
              </w:rPr>
              <w:t>0.98</w:t>
            </w:r>
          </w:p>
        </w:tc>
        <w:tc>
          <w:tcPr>
            <w:tcW w:w="742" w:type="dxa"/>
          </w:tcPr>
          <w:p>
            <w:pPr>
              <w:pStyle w:val="TableParagraph"/>
              <w:ind w:left="170"/>
              <w:jc w:val="left"/>
              <w:rPr>
                <w:sz w:val="20"/>
              </w:rPr>
            </w:pPr>
            <w:r>
              <w:rPr>
                <w:sz w:val="20"/>
              </w:rPr>
              <w:t>0.96</w:t>
            </w:r>
          </w:p>
        </w:tc>
        <w:tc>
          <w:tcPr>
            <w:tcW w:w="840" w:type="dxa"/>
          </w:tcPr>
          <w:p>
            <w:pPr>
              <w:pStyle w:val="TableParagraph"/>
              <w:ind w:right="214"/>
              <w:rPr>
                <w:sz w:val="20"/>
              </w:rPr>
            </w:pPr>
            <w:r>
              <w:rPr>
                <w:sz w:val="20"/>
              </w:rPr>
              <w:t>0.96</w:t>
            </w:r>
          </w:p>
        </w:tc>
        <w:tc>
          <w:tcPr>
            <w:tcW w:w="841" w:type="dxa"/>
          </w:tcPr>
          <w:p>
            <w:pPr>
              <w:pStyle w:val="TableParagraph"/>
              <w:ind w:right="214"/>
              <w:rPr>
                <w:sz w:val="20"/>
              </w:rPr>
            </w:pPr>
            <w:r>
              <w:rPr>
                <w:sz w:val="20"/>
              </w:rPr>
              <w:t>0.90</w:t>
            </w:r>
          </w:p>
        </w:tc>
        <w:tc>
          <w:tcPr>
            <w:tcW w:w="840" w:type="dxa"/>
          </w:tcPr>
          <w:p>
            <w:pPr>
              <w:pStyle w:val="TableParagraph"/>
              <w:ind w:right="214"/>
              <w:rPr>
                <w:sz w:val="20"/>
              </w:rPr>
            </w:pPr>
            <w:r>
              <w:rPr>
                <w:sz w:val="20"/>
              </w:rPr>
              <w:t>0.90</w:t>
            </w:r>
          </w:p>
        </w:tc>
        <w:tc>
          <w:tcPr>
            <w:tcW w:w="838" w:type="dxa"/>
          </w:tcPr>
          <w:p>
            <w:pPr>
              <w:pStyle w:val="TableParagraph"/>
              <w:ind w:right="211"/>
              <w:rPr>
                <w:sz w:val="20"/>
              </w:rPr>
            </w:pPr>
            <w:r>
              <w:rPr>
                <w:sz w:val="20"/>
              </w:rPr>
              <w:t>0.73</w:t>
            </w:r>
          </w:p>
        </w:tc>
        <w:tc>
          <w:tcPr>
            <w:tcW w:w="838" w:type="dxa"/>
          </w:tcPr>
          <w:p>
            <w:pPr>
              <w:pStyle w:val="TableParagraph"/>
              <w:ind w:right="214"/>
              <w:rPr>
                <w:sz w:val="20"/>
              </w:rPr>
            </w:pPr>
            <w:r>
              <w:rPr>
                <w:sz w:val="20"/>
              </w:rPr>
              <w:t>0.73</w:t>
            </w:r>
          </w:p>
        </w:tc>
        <w:tc>
          <w:tcPr>
            <w:tcW w:w="840" w:type="dxa"/>
          </w:tcPr>
          <w:p>
            <w:pPr>
              <w:pStyle w:val="TableParagraph"/>
              <w:ind w:right="214"/>
              <w:rPr>
                <w:sz w:val="20"/>
              </w:rPr>
            </w:pPr>
            <w:r>
              <w:rPr>
                <w:sz w:val="20"/>
              </w:rPr>
              <w:t>0.00</w:t>
            </w:r>
          </w:p>
        </w:tc>
        <w:tc>
          <w:tcPr>
            <w:tcW w:w="835" w:type="dxa"/>
          </w:tcPr>
          <w:p>
            <w:pPr>
              <w:pStyle w:val="TableParagraph"/>
              <w:ind w:right="209"/>
              <w:rPr>
                <w:sz w:val="20"/>
              </w:rPr>
            </w:pPr>
            <w:r>
              <w:rPr>
                <w:sz w:val="20"/>
              </w:rPr>
              <w:t>0.00</w:t>
            </w:r>
          </w:p>
        </w:tc>
        <w:tc>
          <w:tcPr>
            <w:tcW w:w="773" w:type="dxa"/>
          </w:tcPr>
          <w:p>
            <w:pPr>
              <w:pStyle w:val="TableParagraph"/>
              <w:ind w:right="60"/>
              <w:rPr>
                <w:sz w:val="20"/>
              </w:rPr>
            </w:pPr>
            <w:r>
              <w:rPr>
                <w:sz w:val="20"/>
              </w:rPr>
              <w:t>0.00</w:t>
            </w:r>
          </w:p>
        </w:tc>
      </w:tr>
      <w:tr>
        <w:trPr>
          <w:trHeight w:val="300" w:hRule="exact"/>
        </w:trPr>
        <w:tc>
          <w:tcPr>
            <w:tcW w:w="1429" w:type="dxa"/>
          </w:tcPr>
          <w:p>
            <w:pPr>
              <w:pStyle w:val="TableParagraph"/>
              <w:spacing w:before="26"/>
              <w:ind w:left="86"/>
              <w:jc w:val="left"/>
              <w:rPr>
                <w:sz w:val="20"/>
              </w:rPr>
            </w:pPr>
            <w:r>
              <w:rPr>
                <w:sz w:val="20"/>
              </w:rPr>
              <w:t>TEJ_WmFdp</w:t>
            </w:r>
          </w:p>
        </w:tc>
        <w:tc>
          <w:tcPr>
            <w:tcW w:w="676" w:type="dxa"/>
          </w:tcPr>
          <w:p>
            <w:pPr>
              <w:pStyle w:val="TableParagraph"/>
              <w:spacing w:before="26"/>
              <w:ind w:left="150"/>
              <w:jc w:val="left"/>
              <w:rPr>
                <w:sz w:val="20"/>
              </w:rPr>
            </w:pPr>
            <w:r>
              <w:rPr>
                <w:sz w:val="20"/>
              </w:rPr>
              <w:t>1.88</w:t>
            </w:r>
          </w:p>
        </w:tc>
        <w:tc>
          <w:tcPr>
            <w:tcW w:w="742" w:type="dxa"/>
          </w:tcPr>
          <w:p>
            <w:pPr>
              <w:pStyle w:val="TableParagraph"/>
              <w:spacing w:before="26"/>
              <w:ind w:left="170"/>
              <w:jc w:val="left"/>
              <w:rPr>
                <w:sz w:val="20"/>
              </w:rPr>
            </w:pPr>
            <w:r>
              <w:rPr>
                <w:sz w:val="20"/>
              </w:rPr>
              <w:t>1.80</w:t>
            </w:r>
          </w:p>
        </w:tc>
        <w:tc>
          <w:tcPr>
            <w:tcW w:w="840" w:type="dxa"/>
          </w:tcPr>
          <w:p>
            <w:pPr>
              <w:pStyle w:val="TableParagraph"/>
              <w:spacing w:before="26"/>
              <w:ind w:right="214"/>
              <w:rPr>
                <w:sz w:val="20"/>
              </w:rPr>
            </w:pPr>
            <w:r>
              <w:rPr>
                <w:sz w:val="20"/>
              </w:rPr>
              <w:t>1.80</w:t>
            </w:r>
          </w:p>
        </w:tc>
        <w:tc>
          <w:tcPr>
            <w:tcW w:w="841" w:type="dxa"/>
          </w:tcPr>
          <w:p>
            <w:pPr>
              <w:pStyle w:val="TableParagraph"/>
              <w:spacing w:before="26"/>
              <w:ind w:right="214"/>
              <w:rPr>
                <w:sz w:val="20"/>
              </w:rPr>
            </w:pPr>
            <w:r>
              <w:rPr>
                <w:sz w:val="20"/>
              </w:rPr>
              <w:t>1.57</w:t>
            </w:r>
          </w:p>
        </w:tc>
        <w:tc>
          <w:tcPr>
            <w:tcW w:w="840" w:type="dxa"/>
          </w:tcPr>
          <w:p>
            <w:pPr>
              <w:pStyle w:val="TableParagraph"/>
              <w:spacing w:before="26"/>
              <w:ind w:right="214"/>
              <w:rPr>
                <w:sz w:val="20"/>
              </w:rPr>
            </w:pPr>
            <w:r>
              <w:rPr>
                <w:sz w:val="20"/>
              </w:rPr>
              <w:t>1.57</w:t>
            </w:r>
          </w:p>
        </w:tc>
        <w:tc>
          <w:tcPr>
            <w:tcW w:w="838" w:type="dxa"/>
          </w:tcPr>
          <w:p>
            <w:pPr>
              <w:pStyle w:val="TableParagraph"/>
              <w:spacing w:before="26"/>
              <w:ind w:right="211"/>
              <w:rPr>
                <w:sz w:val="20"/>
              </w:rPr>
            </w:pPr>
            <w:r>
              <w:rPr>
                <w:sz w:val="20"/>
              </w:rPr>
              <w:t>1.57</w:t>
            </w:r>
          </w:p>
        </w:tc>
        <w:tc>
          <w:tcPr>
            <w:tcW w:w="838" w:type="dxa"/>
          </w:tcPr>
          <w:p>
            <w:pPr>
              <w:pStyle w:val="TableParagraph"/>
              <w:spacing w:before="26"/>
              <w:ind w:right="214"/>
              <w:rPr>
                <w:sz w:val="20"/>
              </w:rPr>
            </w:pPr>
            <w:r>
              <w:rPr>
                <w:sz w:val="20"/>
              </w:rPr>
              <w:t>1.57</w:t>
            </w:r>
          </w:p>
        </w:tc>
        <w:tc>
          <w:tcPr>
            <w:tcW w:w="840" w:type="dxa"/>
          </w:tcPr>
          <w:p>
            <w:pPr>
              <w:pStyle w:val="TableParagraph"/>
              <w:spacing w:before="26"/>
              <w:ind w:right="214"/>
              <w:rPr>
                <w:sz w:val="20"/>
              </w:rPr>
            </w:pPr>
            <w:r>
              <w:rPr>
                <w:sz w:val="20"/>
              </w:rPr>
              <w:t>0.00</w:t>
            </w:r>
          </w:p>
        </w:tc>
        <w:tc>
          <w:tcPr>
            <w:tcW w:w="835" w:type="dxa"/>
          </w:tcPr>
          <w:p>
            <w:pPr>
              <w:pStyle w:val="TableParagraph"/>
              <w:spacing w:before="26"/>
              <w:ind w:right="209"/>
              <w:rPr>
                <w:sz w:val="20"/>
              </w:rPr>
            </w:pPr>
            <w:r>
              <w:rPr>
                <w:sz w:val="20"/>
              </w:rPr>
              <w:t>0.00</w:t>
            </w:r>
          </w:p>
        </w:tc>
        <w:tc>
          <w:tcPr>
            <w:tcW w:w="773" w:type="dxa"/>
          </w:tcPr>
          <w:p>
            <w:pPr>
              <w:pStyle w:val="TableParagraph"/>
              <w:spacing w:before="26"/>
              <w:ind w:right="60"/>
              <w:rPr>
                <w:sz w:val="20"/>
              </w:rPr>
            </w:pPr>
            <w:r>
              <w:rPr>
                <w:sz w:val="20"/>
              </w:rPr>
              <w:t>0.00</w:t>
            </w:r>
          </w:p>
        </w:tc>
      </w:tr>
      <w:tr>
        <w:trPr>
          <w:trHeight w:val="268" w:hRule="exact"/>
        </w:trPr>
        <w:tc>
          <w:tcPr>
            <w:tcW w:w="1429" w:type="dxa"/>
            <w:tcBorders>
              <w:bottom w:val="single" w:sz="4" w:space="0" w:color="000000"/>
            </w:tcBorders>
          </w:tcPr>
          <w:p>
            <w:pPr>
              <w:pStyle w:val="TableParagraph"/>
              <w:ind w:left="86"/>
              <w:jc w:val="left"/>
              <w:rPr>
                <w:sz w:val="20"/>
              </w:rPr>
            </w:pPr>
            <w:r>
              <w:rPr>
                <w:sz w:val="20"/>
              </w:rPr>
              <w:t>TEJ_WmSF</w:t>
            </w:r>
          </w:p>
        </w:tc>
        <w:tc>
          <w:tcPr>
            <w:tcW w:w="676" w:type="dxa"/>
            <w:tcBorders>
              <w:bottom w:val="single" w:sz="4" w:space="0" w:color="000000"/>
            </w:tcBorders>
          </w:tcPr>
          <w:p>
            <w:pPr>
              <w:pStyle w:val="TableParagraph"/>
              <w:ind w:left="150"/>
              <w:jc w:val="left"/>
              <w:rPr>
                <w:sz w:val="20"/>
              </w:rPr>
            </w:pPr>
            <w:r>
              <w:rPr>
                <w:sz w:val="20"/>
              </w:rPr>
              <w:t>1.06</w:t>
            </w:r>
          </w:p>
        </w:tc>
        <w:tc>
          <w:tcPr>
            <w:tcW w:w="742" w:type="dxa"/>
            <w:tcBorders>
              <w:bottom w:val="single" w:sz="4" w:space="0" w:color="000000"/>
            </w:tcBorders>
          </w:tcPr>
          <w:p>
            <w:pPr>
              <w:pStyle w:val="TableParagraph"/>
              <w:ind w:left="170"/>
              <w:jc w:val="left"/>
              <w:rPr>
                <w:sz w:val="20"/>
              </w:rPr>
            </w:pPr>
            <w:r>
              <w:rPr>
                <w:sz w:val="20"/>
              </w:rPr>
              <w:t>0.85</w:t>
            </w:r>
          </w:p>
        </w:tc>
        <w:tc>
          <w:tcPr>
            <w:tcW w:w="840" w:type="dxa"/>
            <w:tcBorders>
              <w:bottom w:val="single" w:sz="4" w:space="0" w:color="000000"/>
            </w:tcBorders>
          </w:tcPr>
          <w:p>
            <w:pPr>
              <w:pStyle w:val="TableParagraph"/>
              <w:ind w:right="214"/>
              <w:rPr>
                <w:sz w:val="20"/>
              </w:rPr>
            </w:pPr>
            <w:r>
              <w:rPr>
                <w:sz w:val="20"/>
              </w:rPr>
              <w:t>1.20</w:t>
            </w:r>
          </w:p>
        </w:tc>
        <w:tc>
          <w:tcPr>
            <w:tcW w:w="841" w:type="dxa"/>
            <w:tcBorders>
              <w:bottom w:val="single" w:sz="4" w:space="0" w:color="000000"/>
            </w:tcBorders>
          </w:tcPr>
          <w:p>
            <w:pPr>
              <w:pStyle w:val="TableParagraph"/>
              <w:ind w:right="214"/>
              <w:rPr>
                <w:sz w:val="20"/>
              </w:rPr>
            </w:pPr>
            <w:r>
              <w:rPr>
                <w:sz w:val="20"/>
              </w:rPr>
              <w:t>0.46</w:t>
            </w:r>
          </w:p>
        </w:tc>
        <w:tc>
          <w:tcPr>
            <w:tcW w:w="840" w:type="dxa"/>
            <w:tcBorders>
              <w:bottom w:val="single" w:sz="4" w:space="0" w:color="000000"/>
            </w:tcBorders>
          </w:tcPr>
          <w:p>
            <w:pPr>
              <w:pStyle w:val="TableParagraph"/>
              <w:ind w:right="214"/>
              <w:rPr>
                <w:sz w:val="20"/>
              </w:rPr>
            </w:pPr>
            <w:r>
              <w:rPr>
                <w:sz w:val="20"/>
              </w:rPr>
              <w:t>1.68</w:t>
            </w:r>
          </w:p>
        </w:tc>
        <w:tc>
          <w:tcPr>
            <w:tcW w:w="838" w:type="dxa"/>
            <w:tcBorders>
              <w:bottom w:val="single" w:sz="4" w:space="0" w:color="000000"/>
            </w:tcBorders>
          </w:tcPr>
          <w:p>
            <w:pPr>
              <w:pStyle w:val="TableParagraph"/>
              <w:ind w:right="211"/>
              <w:rPr>
                <w:sz w:val="20"/>
              </w:rPr>
            </w:pPr>
            <w:r>
              <w:rPr>
                <w:sz w:val="20"/>
              </w:rPr>
              <w:t>1.68</w:t>
            </w:r>
          </w:p>
        </w:tc>
        <w:tc>
          <w:tcPr>
            <w:tcW w:w="838" w:type="dxa"/>
            <w:tcBorders>
              <w:bottom w:val="single" w:sz="4" w:space="0" w:color="000000"/>
            </w:tcBorders>
          </w:tcPr>
          <w:p>
            <w:pPr>
              <w:pStyle w:val="TableParagraph"/>
              <w:ind w:right="214"/>
              <w:rPr>
                <w:sz w:val="20"/>
              </w:rPr>
            </w:pPr>
            <w:r>
              <w:rPr>
                <w:sz w:val="20"/>
              </w:rPr>
              <w:t>1.68</w:t>
            </w:r>
          </w:p>
        </w:tc>
        <w:tc>
          <w:tcPr>
            <w:tcW w:w="840" w:type="dxa"/>
            <w:tcBorders>
              <w:bottom w:val="single" w:sz="4" w:space="0" w:color="000000"/>
            </w:tcBorders>
          </w:tcPr>
          <w:p>
            <w:pPr>
              <w:pStyle w:val="TableParagraph"/>
              <w:ind w:right="214"/>
              <w:rPr>
                <w:sz w:val="20"/>
              </w:rPr>
            </w:pPr>
            <w:r>
              <w:rPr>
                <w:sz w:val="20"/>
              </w:rPr>
              <w:t>0.00</w:t>
            </w:r>
          </w:p>
        </w:tc>
        <w:tc>
          <w:tcPr>
            <w:tcW w:w="835" w:type="dxa"/>
            <w:tcBorders>
              <w:bottom w:val="single" w:sz="4" w:space="0" w:color="000000"/>
            </w:tcBorders>
          </w:tcPr>
          <w:p>
            <w:pPr>
              <w:pStyle w:val="TableParagraph"/>
              <w:ind w:right="209"/>
              <w:rPr>
                <w:sz w:val="20"/>
              </w:rPr>
            </w:pPr>
            <w:r>
              <w:rPr>
                <w:sz w:val="20"/>
              </w:rPr>
              <w:t>0.00</w:t>
            </w:r>
          </w:p>
        </w:tc>
        <w:tc>
          <w:tcPr>
            <w:tcW w:w="773" w:type="dxa"/>
            <w:tcBorders>
              <w:bottom w:val="single" w:sz="4" w:space="0" w:color="000000"/>
            </w:tcBorders>
          </w:tcPr>
          <w:p>
            <w:pPr>
              <w:pStyle w:val="TableParagraph"/>
              <w:ind w:right="60"/>
              <w:rPr>
                <w:sz w:val="20"/>
              </w:rPr>
            </w:pPr>
            <w:r>
              <w:rPr>
                <w:sz w:val="20"/>
              </w:rPr>
              <w:t>0.00</w:t>
            </w:r>
          </w:p>
        </w:tc>
      </w:tr>
    </w:tbl>
    <w:p>
      <w:pPr>
        <w:pStyle w:val="BodyText"/>
        <w:rPr>
          <w:sz w:val="20"/>
        </w:rPr>
      </w:pPr>
    </w:p>
    <w:p>
      <w:pPr>
        <w:pStyle w:val="BodyText"/>
        <w:rPr>
          <w:sz w:val="20"/>
        </w:rPr>
      </w:pPr>
    </w:p>
    <w:p>
      <w:pPr>
        <w:pStyle w:val="BodyText"/>
        <w:rPr>
          <w:sz w:val="20"/>
        </w:rPr>
      </w:pPr>
    </w:p>
    <w:p>
      <w:pPr>
        <w:pStyle w:val="Heading1"/>
        <w:spacing w:before="200"/>
        <w:ind w:left="2711"/>
      </w:pPr>
      <w:bookmarkStart w:name="_bookmark162" w:id="221"/>
      <w:bookmarkEnd w:id="221"/>
      <w:r>
        <w:rPr>
          <w:b w:val="0"/>
        </w:rPr>
      </w:r>
      <w:r>
        <w:rPr/>
        <w:t>Tabla 25. Conductividad eléctrica del suelo</w:t>
      </w:r>
    </w:p>
    <w:p>
      <w:pPr>
        <w:pStyle w:val="BodyText"/>
        <w:rPr>
          <w:b/>
          <w:sz w:val="20"/>
        </w:rPr>
      </w:pPr>
    </w:p>
    <w:p>
      <w:pPr>
        <w:pStyle w:val="BodyText"/>
        <w:spacing w:before="4"/>
        <w:rPr>
          <w:b/>
          <w:sz w:val="24"/>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00"/>
        <w:gridCol w:w="691"/>
        <w:gridCol w:w="828"/>
        <w:gridCol w:w="828"/>
        <w:gridCol w:w="826"/>
        <w:gridCol w:w="828"/>
        <w:gridCol w:w="828"/>
        <w:gridCol w:w="828"/>
        <w:gridCol w:w="831"/>
        <w:gridCol w:w="828"/>
        <w:gridCol w:w="775"/>
      </w:tblGrid>
      <w:tr>
        <w:trPr>
          <w:trHeight w:val="390" w:hRule="exact"/>
        </w:trPr>
        <w:tc>
          <w:tcPr>
            <w:tcW w:w="1400" w:type="dxa"/>
            <w:tcBorders>
              <w:left w:val="nil"/>
              <w:bottom w:val="nil"/>
              <w:right w:val="nil"/>
            </w:tcBorders>
          </w:tcPr>
          <w:p>
            <w:pPr>
              <w:pStyle w:val="TableParagraph"/>
              <w:spacing w:before="174"/>
              <w:ind w:left="100"/>
              <w:jc w:val="left"/>
              <w:rPr>
                <w:sz w:val="20"/>
              </w:rPr>
            </w:pPr>
            <w:r>
              <w:rPr>
                <w:sz w:val="20"/>
              </w:rPr>
              <w:t>Nombre/Clave</w:t>
            </w:r>
          </w:p>
        </w:tc>
        <w:tc>
          <w:tcPr>
            <w:tcW w:w="691" w:type="dxa"/>
            <w:tcBorders>
              <w:left w:val="nil"/>
              <w:bottom w:val="nil"/>
              <w:right w:val="nil"/>
            </w:tcBorders>
          </w:tcPr>
          <w:p>
            <w:pPr/>
          </w:p>
        </w:tc>
        <w:tc>
          <w:tcPr>
            <w:tcW w:w="828" w:type="dxa"/>
            <w:tcBorders>
              <w:left w:val="nil"/>
              <w:bottom w:val="nil"/>
              <w:right w:val="nil"/>
            </w:tcBorders>
          </w:tcPr>
          <w:p>
            <w:pPr/>
          </w:p>
        </w:tc>
        <w:tc>
          <w:tcPr>
            <w:tcW w:w="828" w:type="dxa"/>
            <w:tcBorders>
              <w:left w:val="nil"/>
              <w:bottom w:val="nil"/>
              <w:right w:val="nil"/>
            </w:tcBorders>
          </w:tcPr>
          <w:p>
            <w:pPr/>
          </w:p>
        </w:tc>
        <w:tc>
          <w:tcPr>
            <w:tcW w:w="826" w:type="dxa"/>
            <w:tcBorders>
              <w:left w:val="nil"/>
              <w:bottom w:val="nil"/>
              <w:right w:val="nil"/>
            </w:tcBorders>
          </w:tcPr>
          <w:p>
            <w:pPr/>
          </w:p>
        </w:tc>
        <w:tc>
          <w:tcPr>
            <w:tcW w:w="2485" w:type="dxa"/>
            <w:gridSpan w:val="3"/>
            <w:tcBorders>
              <w:left w:val="nil"/>
              <w:bottom w:val="nil"/>
              <w:right w:val="nil"/>
            </w:tcBorders>
          </w:tcPr>
          <w:p>
            <w:pPr>
              <w:pStyle w:val="TableParagraph"/>
              <w:spacing w:before="58"/>
              <w:ind w:left="-8"/>
              <w:jc w:val="left"/>
              <w:rPr>
                <w:sz w:val="20"/>
              </w:rPr>
            </w:pPr>
            <w:r>
              <w:rPr>
                <w:sz w:val="20"/>
              </w:rPr>
              <w:t>N° de capas del suelo</w:t>
            </w:r>
          </w:p>
        </w:tc>
        <w:tc>
          <w:tcPr>
            <w:tcW w:w="831" w:type="dxa"/>
            <w:tcBorders>
              <w:left w:val="nil"/>
              <w:bottom w:val="nil"/>
              <w:right w:val="nil"/>
            </w:tcBorders>
          </w:tcPr>
          <w:p>
            <w:pPr/>
          </w:p>
        </w:tc>
        <w:tc>
          <w:tcPr>
            <w:tcW w:w="828" w:type="dxa"/>
            <w:tcBorders>
              <w:left w:val="nil"/>
              <w:bottom w:val="nil"/>
              <w:right w:val="nil"/>
            </w:tcBorders>
          </w:tcPr>
          <w:p>
            <w:pPr/>
          </w:p>
        </w:tc>
        <w:tc>
          <w:tcPr>
            <w:tcW w:w="775" w:type="dxa"/>
            <w:tcBorders>
              <w:left w:val="nil"/>
              <w:bottom w:val="nil"/>
              <w:right w:val="nil"/>
            </w:tcBorders>
          </w:tcPr>
          <w:p>
            <w:pPr/>
          </w:p>
        </w:tc>
      </w:tr>
      <w:tr>
        <w:trPr>
          <w:trHeight w:val="215" w:hRule="exact"/>
        </w:trPr>
        <w:tc>
          <w:tcPr>
            <w:tcW w:w="1400" w:type="dxa"/>
            <w:tcBorders>
              <w:top w:val="nil"/>
              <w:left w:val="nil"/>
              <w:right w:val="nil"/>
            </w:tcBorders>
          </w:tcPr>
          <w:p>
            <w:pPr/>
          </w:p>
        </w:tc>
        <w:tc>
          <w:tcPr>
            <w:tcW w:w="691" w:type="dxa"/>
            <w:tcBorders>
              <w:top w:val="nil"/>
              <w:left w:val="nil"/>
              <w:right w:val="nil"/>
            </w:tcBorders>
          </w:tcPr>
          <w:p>
            <w:pPr>
              <w:pStyle w:val="TableParagraph"/>
              <w:spacing w:line="201" w:lineRule="exact" w:before="0"/>
              <w:ind w:right="181"/>
              <w:jc w:val="center"/>
              <w:rPr>
                <w:sz w:val="20"/>
              </w:rPr>
            </w:pPr>
            <w:r>
              <w:rPr>
                <w:w w:val="100"/>
                <w:sz w:val="20"/>
              </w:rPr>
              <w:t>1</w:t>
            </w:r>
          </w:p>
        </w:tc>
        <w:tc>
          <w:tcPr>
            <w:tcW w:w="828" w:type="dxa"/>
            <w:tcBorders>
              <w:top w:val="nil"/>
              <w:left w:val="nil"/>
              <w:right w:val="nil"/>
            </w:tcBorders>
          </w:tcPr>
          <w:p>
            <w:pPr>
              <w:pStyle w:val="TableParagraph"/>
              <w:spacing w:line="201" w:lineRule="exact" w:before="0"/>
              <w:ind w:left="213"/>
              <w:jc w:val="left"/>
              <w:rPr>
                <w:sz w:val="20"/>
              </w:rPr>
            </w:pPr>
            <w:r>
              <w:rPr>
                <w:w w:val="100"/>
                <w:sz w:val="20"/>
              </w:rPr>
              <w:t>2</w:t>
            </w:r>
          </w:p>
        </w:tc>
        <w:tc>
          <w:tcPr>
            <w:tcW w:w="828" w:type="dxa"/>
            <w:tcBorders>
              <w:top w:val="nil"/>
              <w:left w:val="nil"/>
              <w:right w:val="nil"/>
            </w:tcBorders>
          </w:tcPr>
          <w:p>
            <w:pPr>
              <w:pStyle w:val="TableParagraph"/>
              <w:spacing w:line="201" w:lineRule="exact" w:before="0"/>
              <w:ind w:left="216"/>
              <w:jc w:val="left"/>
              <w:rPr>
                <w:sz w:val="20"/>
              </w:rPr>
            </w:pPr>
            <w:r>
              <w:rPr>
                <w:w w:val="100"/>
                <w:sz w:val="20"/>
              </w:rPr>
              <w:t>3</w:t>
            </w:r>
          </w:p>
        </w:tc>
        <w:tc>
          <w:tcPr>
            <w:tcW w:w="826" w:type="dxa"/>
            <w:tcBorders>
              <w:top w:val="nil"/>
              <w:left w:val="nil"/>
              <w:right w:val="nil"/>
            </w:tcBorders>
          </w:tcPr>
          <w:p>
            <w:pPr>
              <w:pStyle w:val="TableParagraph"/>
              <w:spacing w:line="201" w:lineRule="exact" w:before="0"/>
              <w:ind w:left="213"/>
              <w:jc w:val="left"/>
              <w:rPr>
                <w:sz w:val="20"/>
              </w:rPr>
            </w:pPr>
            <w:r>
              <w:rPr>
                <w:w w:val="100"/>
                <w:sz w:val="20"/>
              </w:rPr>
              <w:t>4</w:t>
            </w:r>
          </w:p>
        </w:tc>
        <w:tc>
          <w:tcPr>
            <w:tcW w:w="828" w:type="dxa"/>
            <w:tcBorders>
              <w:top w:val="nil"/>
              <w:left w:val="nil"/>
              <w:right w:val="nil"/>
            </w:tcBorders>
          </w:tcPr>
          <w:p>
            <w:pPr>
              <w:pStyle w:val="TableParagraph"/>
              <w:spacing w:line="201" w:lineRule="exact" w:before="0"/>
              <w:ind w:left="213"/>
              <w:jc w:val="left"/>
              <w:rPr>
                <w:sz w:val="20"/>
              </w:rPr>
            </w:pPr>
            <w:r>
              <w:rPr>
                <w:w w:val="100"/>
                <w:sz w:val="20"/>
              </w:rPr>
              <w:t>5</w:t>
            </w:r>
          </w:p>
        </w:tc>
        <w:tc>
          <w:tcPr>
            <w:tcW w:w="828" w:type="dxa"/>
            <w:tcBorders>
              <w:top w:val="nil"/>
              <w:left w:val="nil"/>
              <w:right w:val="nil"/>
            </w:tcBorders>
          </w:tcPr>
          <w:p>
            <w:pPr>
              <w:pStyle w:val="TableParagraph"/>
              <w:spacing w:line="201" w:lineRule="exact" w:before="0"/>
              <w:ind w:left="216"/>
              <w:jc w:val="left"/>
              <w:rPr>
                <w:sz w:val="20"/>
              </w:rPr>
            </w:pPr>
            <w:r>
              <w:rPr>
                <w:w w:val="100"/>
                <w:sz w:val="20"/>
              </w:rPr>
              <w:t>6</w:t>
            </w:r>
          </w:p>
        </w:tc>
        <w:tc>
          <w:tcPr>
            <w:tcW w:w="828" w:type="dxa"/>
            <w:tcBorders>
              <w:top w:val="nil"/>
              <w:left w:val="nil"/>
              <w:right w:val="nil"/>
            </w:tcBorders>
          </w:tcPr>
          <w:p>
            <w:pPr>
              <w:pStyle w:val="TableParagraph"/>
              <w:spacing w:line="201" w:lineRule="exact" w:before="0"/>
              <w:ind w:left="213"/>
              <w:jc w:val="left"/>
              <w:rPr>
                <w:sz w:val="20"/>
              </w:rPr>
            </w:pPr>
            <w:r>
              <w:rPr>
                <w:w w:val="100"/>
                <w:sz w:val="20"/>
              </w:rPr>
              <w:t>7</w:t>
            </w:r>
          </w:p>
        </w:tc>
        <w:tc>
          <w:tcPr>
            <w:tcW w:w="831" w:type="dxa"/>
            <w:tcBorders>
              <w:top w:val="nil"/>
              <w:left w:val="nil"/>
              <w:right w:val="nil"/>
            </w:tcBorders>
          </w:tcPr>
          <w:p>
            <w:pPr>
              <w:pStyle w:val="TableParagraph"/>
              <w:spacing w:line="201" w:lineRule="exact" w:before="0"/>
              <w:ind w:left="216"/>
              <w:jc w:val="left"/>
              <w:rPr>
                <w:sz w:val="20"/>
              </w:rPr>
            </w:pPr>
            <w:r>
              <w:rPr>
                <w:w w:val="100"/>
                <w:sz w:val="20"/>
              </w:rPr>
              <w:t>8</w:t>
            </w:r>
          </w:p>
        </w:tc>
        <w:tc>
          <w:tcPr>
            <w:tcW w:w="828" w:type="dxa"/>
            <w:tcBorders>
              <w:top w:val="nil"/>
              <w:left w:val="nil"/>
              <w:right w:val="nil"/>
            </w:tcBorders>
          </w:tcPr>
          <w:p>
            <w:pPr>
              <w:pStyle w:val="TableParagraph"/>
              <w:spacing w:line="201" w:lineRule="exact" w:before="0"/>
              <w:ind w:left="216"/>
              <w:jc w:val="left"/>
              <w:rPr>
                <w:sz w:val="20"/>
              </w:rPr>
            </w:pPr>
            <w:r>
              <w:rPr>
                <w:w w:val="100"/>
                <w:sz w:val="20"/>
              </w:rPr>
              <w:t>9</w:t>
            </w:r>
          </w:p>
        </w:tc>
        <w:tc>
          <w:tcPr>
            <w:tcW w:w="775" w:type="dxa"/>
            <w:tcBorders>
              <w:top w:val="nil"/>
              <w:left w:val="nil"/>
              <w:right w:val="nil"/>
            </w:tcBorders>
          </w:tcPr>
          <w:p>
            <w:pPr>
              <w:pStyle w:val="TableParagraph"/>
              <w:spacing w:line="201" w:lineRule="exact" w:before="0"/>
              <w:ind w:left="213"/>
              <w:jc w:val="left"/>
              <w:rPr>
                <w:sz w:val="20"/>
              </w:rPr>
            </w:pPr>
            <w:r>
              <w:rPr>
                <w:sz w:val="20"/>
              </w:rPr>
              <w:t>10</w:t>
            </w:r>
          </w:p>
        </w:tc>
      </w:tr>
      <w:tr>
        <w:trPr>
          <w:trHeight w:val="342" w:hRule="exact"/>
        </w:trPr>
        <w:tc>
          <w:tcPr>
            <w:tcW w:w="1400" w:type="dxa"/>
            <w:tcBorders>
              <w:left w:val="nil"/>
              <w:bottom w:val="nil"/>
              <w:right w:val="nil"/>
            </w:tcBorders>
          </w:tcPr>
          <w:p>
            <w:pPr>
              <w:pStyle w:val="TableParagraph"/>
              <w:spacing w:before="63"/>
              <w:ind w:left="86"/>
              <w:jc w:val="left"/>
              <w:rPr>
                <w:sz w:val="20"/>
              </w:rPr>
            </w:pPr>
            <w:r>
              <w:rPr>
                <w:sz w:val="20"/>
              </w:rPr>
              <w:t>TEJ_HhFd</w:t>
            </w:r>
          </w:p>
        </w:tc>
        <w:tc>
          <w:tcPr>
            <w:tcW w:w="691" w:type="dxa"/>
            <w:tcBorders>
              <w:left w:val="nil"/>
              <w:bottom w:val="nil"/>
              <w:right w:val="nil"/>
            </w:tcBorders>
          </w:tcPr>
          <w:p>
            <w:pPr>
              <w:pStyle w:val="TableParagraph"/>
              <w:spacing w:before="63"/>
              <w:ind w:left="105" w:right="195"/>
              <w:jc w:val="center"/>
              <w:rPr>
                <w:sz w:val="20"/>
              </w:rPr>
            </w:pPr>
            <w:r>
              <w:rPr>
                <w:sz w:val="20"/>
              </w:rPr>
              <w:t>4.00</w:t>
            </w:r>
          </w:p>
        </w:tc>
        <w:tc>
          <w:tcPr>
            <w:tcW w:w="828" w:type="dxa"/>
            <w:tcBorders>
              <w:left w:val="nil"/>
              <w:bottom w:val="nil"/>
              <w:right w:val="nil"/>
            </w:tcBorders>
          </w:tcPr>
          <w:p>
            <w:pPr>
              <w:pStyle w:val="TableParagraph"/>
              <w:spacing w:before="63"/>
              <w:ind w:right="214"/>
              <w:rPr>
                <w:sz w:val="20"/>
              </w:rPr>
            </w:pPr>
            <w:r>
              <w:rPr>
                <w:sz w:val="20"/>
              </w:rPr>
              <w:t>4.00</w:t>
            </w:r>
          </w:p>
        </w:tc>
        <w:tc>
          <w:tcPr>
            <w:tcW w:w="828" w:type="dxa"/>
            <w:tcBorders>
              <w:left w:val="nil"/>
              <w:bottom w:val="nil"/>
              <w:right w:val="nil"/>
            </w:tcBorders>
          </w:tcPr>
          <w:p>
            <w:pPr>
              <w:pStyle w:val="TableParagraph"/>
              <w:spacing w:before="63"/>
              <w:ind w:left="259"/>
              <w:jc w:val="left"/>
              <w:rPr>
                <w:sz w:val="20"/>
              </w:rPr>
            </w:pPr>
            <w:r>
              <w:rPr>
                <w:sz w:val="20"/>
              </w:rPr>
              <w:t>4.00</w:t>
            </w:r>
          </w:p>
        </w:tc>
        <w:tc>
          <w:tcPr>
            <w:tcW w:w="826" w:type="dxa"/>
            <w:tcBorders>
              <w:left w:val="nil"/>
              <w:bottom w:val="nil"/>
              <w:right w:val="nil"/>
            </w:tcBorders>
          </w:tcPr>
          <w:p>
            <w:pPr>
              <w:pStyle w:val="TableParagraph"/>
              <w:spacing w:before="63"/>
              <w:ind w:left="257"/>
              <w:jc w:val="left"/>
              <w:rPr>
                <w:sz w:val="20"/>
              </w:rPr>
            </w:pPr>
            <w:r>
              <w:rPr>
                <w:sz w:val="20"/>
              </w:rPr>
              <w:t>4.00</w:t>
            </w:r>
          </w:p>
        </w:tc>
        <w:tc>
          <w:tcPr>
            <w:tcW w:w="828" w:type="dxa"/>
            <w:tcBorders>
              <w:left w:val="nil"/>
              <w:bottom w:val="nil"/>
              <w:right w:val="nil"/>
            </w:tcBorders>
          </w:tcPr>
          <w:p>
            <w:pPr>
              <w:pStyle w:val="TableParagraph"/>
              <w:spacing w:before="63"/>
              <w:ind w:left="257"/>
              <w:jc w:val="left"/>
              <w:rPr>
                <w:sz w:val="20"/>
              </w:rPr>
            </w:pPr>
            <w:r>
              <w:rPr>
                <w:sz w:val="20"/>
              </w:rPr>
              <w:t>4.00</w:t>
            </w:r>
          </w:p>
        </w:tc>
        <w:tc>
          <w:tcPr>
            <w:tcW w:w="828" w:type="dxa"/>
            <w:tcBorders>
              <w:left w:val="nil"/>
              <w:bottom w:val="nil"/>
              <w:right w:val="nil"/>
            </w:tcBorders>
          </w:tcPr>
          <w:p>
            <w:pPr>
              <w:pStyle w:val="TableParagraph"/>
              <w:spacing w:before="63"/>
              <w:ind w:left="259"/>
              <w:jc w:val="left"/>
              <w:rPr>
                <w:sz w:val="20"/>
              </w:rPr>
            </w:pPr>
            <w:r>
              <w:rPr>
                <w:sz w:val="20"/>
              </w:rPr>
              <w:t>4.00</w:t>
            </w:r>
          </w:p>
        </w:tc>
        <w:tc>
          <w:tcPr>
            <w:tcW w:w="828" w:type="dxa"/>
            <w:tcBorders>
              <w:left w:val="nil"/>
              <w:bottom w:val="nil"/>
              <w:right w:val="nil"/>
            </w:tcBorders>
          </w:tcPr>
          <w:p>
            <w:pPr>
              <w:pStyle w:val="TableParagraph"/>
              <w:spacing w:before="63"/>
              <w:ind w:left="257"/>
              <w:jc w:val="left"/>
              <w:rPr>
                <w:sz w:val="20"/>
              </w:rPr>
            </w:pPr>
            <w:r>
              <w:rPr>
                <w:sz w:val="20"/>
              </w:rPr>
              <w:t>4.00</w:t>
            </w:r>
          </w:p>
        </w:tc>
        <w:tc>
          <w:tcPr>
            <w:tcW w:w="831" w:type="dxa"/>
            <w:tcBorders>
              <w:left w:val="nil"/>
              <w:bottom w:val="nil"/>
              <w:right w:val="nil"/>
            </w:tcBorders>
          </w:tcPr>
          <w:p>
            <w:pPr>
              <w:pStyle w:val="TableParagraph"/>
              <w:spacing w:before="63"/>
              <w:ind w:left="259"/>
              <w:jc w:val="left"/>
              <w:rPr>
                <w:sz w:val="20"/>
              </w:rPr>
            </w:pPr>
            <w:r>
              <w:rPr>
                <w:sz w:val="20"/>
              </w:rPr>
              <w:t>0.00</w:t>
            </w:r>
          </w:p>
        </w:tc>
        <w:tc>
          <w:tcPr>
            <w:tcW w:w="828" w:type="dxa"/>
            <w:tcBorders>
              <w:left w:val="nil"/>
              <w:bottom w:val="nil"/>
              <w:right w:val="nil"/>
            </w:tcBorders>
          </w:tcPr>
          <w:p>
            <w:pPr>
              <w:pStyle w:val="TableParagraph"/>
              <w:spacing w:before="63"/>
              <w:ind w:right="211"/>
              <w:rPr>
                <w:sz w:val="20"/>
              </w:rPr>
            </w:pPr>
            <w:r>
              <w:rPr>
                <w:sz w:val="20"/>
              </w:rPr>
              <w:t>0.00</w:t>
            </w:r>
          </w:p>
        </w:tc>
        <w:tc>
          <w:tcPr>
            <w:tcW w:w="775" w:type="dxa"/>
            <w:tcBorders>
              <w:left w:val="nil"/>
              <w:bottom w:val="nil"/>
              <w:right w:val="nil"/>
            </w:tcBorders>
          </w:tcPr>
          <w:p>
            <w:pPr>
              <w:pStyle w:val="TableParagraph"/>
              <w:spacing w:before="63"/>
              <w:ind w:right="60"/>
              <w:rPr>
                <w:sz w:val="20"/>
              </w:rPr>
            </w:pPr>
            <w:r>
              <w:rPr>
                <w:sz w:val="20"/>
              </w:rPr>
              <w:t>0.00</w:t>
            </w:r>
          </w:p>
        </w:tc>
      </w:tr>
      <w:tr>
        <w:trPr>
          <w:trHeight w:val="298" w:hRule="exact"/>
        </w:trPr>
        <w:tc>
          <w:tcPr>
            <w:tcW w:w="1400" w:type="dxa"/>
            <w:tcBorders>
              <w:top w:val="nil"/>
              <w:left w:val="nil"/>
              <w:bottom w:val="nil"/>
              <w:right w:val="nil"/>
            </w:tcBorders>
          </w:tcPr>
          <w:p>
            <w:pPr>
              <w:pStyle w:val="TableParagraph"/>
              <w:ind w:left="86"/>
              <w:jc w:val="left"/>
              <w:rPr>
                <w:sz w:val="20"/>
              </w:rPr>
            </w:pPr>
            <w:r>
              <w:rPr>
                <w:sz w:val="20"/>
              </w:rPr>
              <w:t>TEJ_HhFdp</w:t>
            </w:r>
          </w:p>
        </w:tc>
        <w:tc>
          <w:tcPr>
            <w:tcW w:w="691" w:type="dxa"/>
            <w:tcBorders>
              <w:top w:val="nil"/>
              <w:left w:val="nil"/>
              <w:bottom w:val="nil"/>
              <w:right w:val="nil"/>
            </w:tcBorders>
          </w:tcPr>
          <w:p>
            <w:pPr>
              <w:pStyle w:val="TableParagraph"/>
              <w:ind w:left="105" w:right="195"/>
              <w:jc w:val="center"/>
              <w:rPr>
                <w:sz w:val="20"/>
              </w:rPr>
            </w:pPr>
            <w:r>
              <w:rPr>
                <w:sz w:val="20"/>
              </w:rPr>
              <w:t>4.00</w:t>
            </w:r>
          </w:p>
        </w:tc>
        <w:tc>
          <w:tcPr>
            <w:tcW w:w="828" w:type="dxa"/>
            <w:tcBorders>
              <w:top w:val="nil"/>
              <w:left w:val="nil"/>
              <w:bottom w:val="nil"/>
              <w:right w:val="nil"/>
            </w:tcBorders>
          </w:tcPr>
          <w:p>
            <w:pPr>
              <w:pStyle w:val="TableParagraph"/>
              <w:ind w:right="214"/>
              <w:rPr>
                <w:sz w:val="20"/>
              </w:rPr>
            </w:pPr>
            <w:r>
              <w:rPr>
                <w:sz w:val="20"/>
              </w:rPr>
              <w:t>4.00</w:t>
            </w:r>
          </w:p>
        </w:tc>
        <w:tc>
          <w:tcPr>
            <w:tcW w:w="828" w:type="dxa"/>
            <w:tcBorders>
              <w:top w:val="nil"/>
              <w:left w:val="nil"/>
              <w:bottom w:val="nil"/>
              <w:right w:val="nil"/>
            </w:tcBorders>
          </w:tcPr>
          <w:p>
            <w:pPr>
              <w:pStyle w:val="TableParagraph"/>
              <w:ind w:left="259"/>
              <w:jc w:val="left"/>
              <w:rPr>
                <w:sz w:val="20"/>
              </w:rPr>
            </w:pPr>
            <w:r>
              <w:rPr>
                <w:sz w:val="20"/>
              </w:rPr>
              <w:t>4.00</w:t>
            </w:r>
          </w:p>
        </w:tc>
        <w:tc>
          <w:tcPr>
            <w:tcW w:w="826" w:type="dxa"/>
            <w:tcBorders>
              <w:top w:val="nil"/>
              <w:left w:val="nil"/>
              <w:bottom w:val="nil"/>
              <w:right w:val="nil"/>
            </w:tcBorders>
          </w:tcPr>
          <w:p>
            <w:pPr>
              <w:pStyle w:val="TableParagraph"/>
              <w:ind w:left="257"/>
              <w:jc w:val="left"/>
              <w:rPr>
                <w:sz w:val="20"/>
              </w:rPr>
            </w:pPr>
            <w:r>
              <w:rPr>
                <w:sz w:val="20"/>
              </w:rPr>
              <w:t>4.00</w:t>
            </w:r>
          </w:p>
        </w:tc>
        <w:tc>
          <w:tcPr>
            <w:tcW w:w="828" w:type="dxa"/>
            <w:tcBorders>
              <w:top w:val="nil"/>
              <w:left w:val="nil"/>
              <w:bottom w:val="nil"/>
              <w:right w:val="nil"/>
            </w:tcBorders>
          </w:tcPr>
          <w:p>
            <w:pPr>
              <w:pStyle w:val="TableParagraph"/>
              <w:ind w:left="257"/>
              <w:jc w:val="left"/>
              <w:rPr>
                <w:sz w:val="20"/>
              </w:rPr>
            </w:pPr>
            <w:r>
              <w:rPr>
                <w:sz w:val="20"/>
              </w:rPr>
              <w:t>4.00</w:t>
            </w:r>
          </w:p>
        </w:tc>
        <w:tc>
          <w:tcPr>
            <w:tcW w:w="828" w:type="dxa"/>
            <w:tcBorders>
              <w:top w:val="nil"/>
              <w:left w:val="nil"/>
              <w:bottom w:val="nil"/>
              <w:right w:val="nil"/>
            </w:tcBorders>
          </w:tcPr>
          <w:p>
            <w:pPr>
              <w:pStyle w:val="TableParagraph"/>
              <w:ind w:left="259"/>
              <w:jc w:val="left"/>
              <w:rPr>
                <w:sz w:val="20"/>
              </w:rPr>
            </w:pPr>
            <w:r>
              <w:rPr>
                <w:sz w:val="20"/>
              </w:rPr>
              <w:t>4.00</w:t>
            </w:r>
          </w:p>
        </w:tc>
        <w:tc>
          <w:tcPr>
            <w:tcW w:w="828" w:type="dxa"/>
            <w:tcBorders>
              <w:top w:val="nil"/>
              <w:left w:val="nil"/>
              <w:bottom w:val="nil"/>
              <w:right w:val="nil"/>
            </w:tcBorders>
          </w:tcPr>
          <w:p>
            <w:pPr>
              <w:pStyle w:val="TableParagraph"/>
              <w:ind w:left="257"/>
              <w:jc w:val="left"/>
              <w:rPr>
                <w:sz w:val="20"/>
              </w:rPr>
            </w:pPr>
            <w:r>
              <w:rPr>
                <w:sz w:val="20"/>
              </w:rPr>
              <w:t>4.00</w:t>
            </w:r>
          </w:p>
        </w:tc>
        <w:tc>
          <w:tcPr>
            <w:tcW w:w="831" w:type="dxa"/>
            <w:tcBorders>
              <w:top w:val="nil"/>
              <w:left w:val="nil"/>
              <w:bottom w:val="nil"/>
              <w:right w:val="nil"/>
            </w:tcBorders>
          </w:tcPr>
          <w:p>
            <w:pPr>
              <w:pStyle w:val="TableParagraph"/>
              <w:ind w:left="259"/>
              <w:jc w:val="left"/>
              <w:rPr>
                <w:sz w:val="20"/>
              </w:rPr>
            </w:pPr>
            <w:r>
              <w:rPr>
                <w:sz w:val="20"/>
              </w:rPr>
              <w:t>0.00</w:t>
            </w:r>
          </w:p>
        </w:tc>
        <w:tc>
          <w:tcPr>
            <w:tcW w:w="828" w:type="dxa"/>
            <w:tcBorders>
              <w:top w:val="nil"/>
              <w:left w:val="nil"/>
              <w:bottom w:val="nil"/>
              <w:right w:val="nil"/>
            </w:tcBorders>
          </w:tcPr>
          <w:p>
            <w:pPr>
              <w:pStyle w:val="TableParagraph"/>
              <w:ind w:right="211"/>
              <w:rPr>
                <w:sz w:val="20"/>
              </w:rPr>
            </w:pPr>
            <w:r>
              <w:rPr>
                <w:sz w:val="20"/>
              </w:rPr>
              <w:t>0.00</w:t>
            </w:r>
          </w:p>
        </w:tc>
        <w:tc>
          <w:tcPr>
            <w:tcW w:w="775" w:type="dxa"/>
            <w:tcBorders>
              <w:top w:val="nil"/>
              <w:left w:val="nil"/>
              <w:bottom w:val="nil"/>
              <w:right w:val="nil"/>
            </w:tcBorders>
          </w:tcPr>
          <w:p>
            <w:pPr>
              <w:pStyle w:val="TableParagraph"/>
              <w:ind w:right="60"/>
              <w:rPr>
                <w:sz w:val="20"/>
              </w:rPr>
            </w:pPr>
            <w:r>
              <w:rPr>
                <w:sz w:val="20"/>
              </w:rPr>
              <w:t>0.00</w:t>
            </w:r>
          </w:p>
        </w:tc>
      </w:tr>
      <w:tr>
        <w:trPr>
          <w:trHeight w:val="300" w:hRule="exact"/>
        </w:trPr>
        <w:tc>
          <w:tcPr>
            <w:tcW w:w="1400" w:type="dxa"/>
            <w:tcBorders>
              <w:top w:val="nil"/>
              <w:left w:val="nil"/>
              <w:bottom w:val="nil"/>
              <w:right w:val="nil"/>
            </w:tcBorders>
          </w:tcPr>
          <w:p>
            <w:pPr>
              <w:pStyle w:val="TableParagraph"/>
              <w:ind w:left="86"/>
              <w:jc w:val="left"/>
              <w:rPr>
                <w:sz w:val="20"/>
              </w:rPr>
            </w:pPr>
            <w:r>
              <w:rPr>
                <w:sz w:val="20"/>
              </w:rPr>
              <w:t>TEJ_HhFl</w:t>
            </w:r>
          </w:p>
        </w:tc>
        <w:tc>
          <w:tcPr>
            <w:tcW w:w="691" w:type="dxa"/>
            <w:tcBorders>
              <w:top w:val="nil"/>
              <w:left w:val="nil"/>
              <w:bottom w:val="nil"/>
              <w:right w:val="nil"/>
            </w:tcBorders>
          </w:tcPr>
          <w:p>
            <w:pPr>
              <w:pStyle w:val="TableParagraph"/>
              <w:ind w:left="105" w:right="195"/>
              <w:jc w:val="center"/>
              <w:rPr>
                <w:sz w:val="20"/>
              </w:rPr>
            </w:pPr>
            <w:r>
              <w:rPr>
                <w:sz w:val="20"/>
              </w:rPr>
              <w:t>4.00</w:t>
            </w:r>
          </w:p>
        </w:tc>
        <w:tc>
          <w:tcPr>
            <w:tcW w:w="828" w:type="dxa"/>
            <w:tcBorders>
              <w:top w:val="nil"/>
              <w:left w:val="nil"/>
              <w:bottom w:val="nil"/>
              <w:right w:val="nil"/>
            </w:tcBorders>
          </w:tcPr>
          <w:p>
            <w:pPr>
              <w:pStyle w:val="TableParagraph"/>
              <w:ind w:right="214"/>
              <w:rPr>
                <w:sz w:val="20"/>
              </w:rPr>
            </w:pPr>
            <w:r>
              <w:rPr>
                <w:sz w:val="20"/>
              </w:rPr>
              <w:t>4.00</w:t>
            </w:r>
          </w:p>
        </w:tc>
        <w:tc>
          <w:tcPr>
            <w:tcW w:w="828" w:type="dxa"/>
            <w:tcBorders>
              <w:top w:val="nil"/>
              <w:left w:val="nil"/>
              <w:bottom w:val="nil"/>
              <w:right w:val="nil"/>
            </w:tcBorders>
          </w:tcPr>
          <w:p>
            <w:pPr>
              <w:pStyle w:val="TableParagraph"/>
              <w:ind w:left="259"/>
              <w:jc w:val="left"/>
              <w:rPr>
                <w:sz w:val="20"/>
              </w:rPr>
            </w:pPr>
            <w:r>
              <w:rPr>
                <w:sz w:val="20"/>
              </w:rPr>
              <w:t>4.00</w:t>
            </w:r>
          </w:p>
        </w:tc>
        <w:tc>
          <w:tcPr>
            <w:tcW w:w="826" w:type="dxa"/>
            <w:tcBorders>
              <w:top w:val="nil"/>
              <w:left w:val="nil"/>
              <w:bottom w:val="nil"/>
              <w:right w:val="nil"/>
            </w:tcBorders>
          </w:tcPr>
          <w:p>
            <w:pPr>
              <w:pStyle w:val="TableParagraph"/>
              <w:ind w:left="257"/>
              <w:jc w:val="left"/>
              <w:rPr>
                <w:sz w:val="20"/>
              </w:rPr>
            </w:pPr>
            <w:r>
              <w:rPr>
                <w:sz w:val="20"/>
              </w:rPr>
              <w:t>4.00</w:t>
            </w:r>
          </w:p>
        </w:tc>
        <w:tc>
          <w:tcPr>
            <w:tcW w:w="828" w:type="dxa"/>
            <w:tcBorders>
              <w:top w:val="nil"/>
              <w:left w:val="nil"/>
              <w:bottom w:val="nil"/>
              <w:right w:val="nil"/>
            </w:tcBorders>
          </w:tcPr>
          <w:p>
            <w:pPr>
              <w:pStyle w:val="TableParagraph"/>
              <w:ind w:left="257"/>
              <w:jc w:val="left"/>
              <w:rPr>
                <w:sz w:val="20"/>
              </w:rPr>
            </w:pPr>
            <w:r>
              <w:rPr>
                <w:sz w:val="20"/>
              </w:rPr>
              <w:t>4.00</w:t>
            </w:r>
          </w:p>
        </w:tc>
        <w:tc>
          <w:tcPr>
            <w:tcW w:w="828" w:type="dxa"/>
            <w:tcBorders>
              <w:top w:val="nil"/>
              <w:left w:val="nil"/>
              <w:bottom w:val="nil"/>
              <w:right w:val="nil"/>
            </w:tcBorders>
          </w:tcPr>
          <w:p>
            <w:pPr>
              <w:pStyle w:val="TableParagraph"/>
              <w:ind w:left="259"/>
              <w:jc w:val="left"/>
              <w:rPr>
                <w:sz w:val="20"/>
              </w:rPr>
            </w:pPr>
            <w:r>
              <w:rPr>
                <w:sz w:val="20"/>
              </w:rPr>
              <w:t>4.00</w:t>
            </w:r>
          </w:p>
        </w:tc>
        <w:tc>
          <w:tcPr>
            <w:tcW w:w="828" w:type="dxa"/>
            <w:tcBorders>
              <w:top w:val="nil"/>
              <w:left w:val="nil"/>
              <w:bottom w:val="nil"/>
              <w:right w:val="nil"/>
            </w:tcBorders>
          </w:tcPr>
          <w:p>
            <w:pPr>
              <w:pStyle w:val="TableParagraph"/>
              <w:ind w:left="257"/>
              <w:jc w:val="left"/>
              <w:rPr>
                <w:sz w:val="20"/>
              </w:rPr>
            </w:pPr>
            <w:r>
              <w:rPr>
                <w:sz w:val="20"/>
              </w:rPr>
              <w:t>4.00</w:t>
            </w:r>
          </w:p>
        </w:tc>
        <w:tc>
          <w:tcPr>
            <w:tcW w:w="831" w:type="dxa"/>
            <w:tcBorders>
              <w:top w:val="nil"/>
              <w:left w:val="nil"/>
              <w:bottom w:val="nil"/>
              <w:right w:val="nil"/>
            </w:tcBorders>
          </w:tcPr>
          <w:p>
            <w:pPr>
              <w:pStyle w:val="TableParagraph"/>
              <w:ind w:left="259"/>
              <w:jc w:val="left"/>
              <w:rPr>
                <w:sz w:val="20"/>
              </w:rPr>
            </w:pPr>
            <w:r>
              <w:rPr>
                <w:sz w:val="20"/>
              </w:rPr>
              <w:t>0.00</w:t>
            </w:r>
          </w:p>
        </w:tc>
        <w:tc>
          <w:tcPr>
            <w:tcW w:w="828" w:type="dxa"/>
            <w:tcBorders>
              <w:top w:val="nil"/>
              <w:left w:val="nil"/>
              <w:bottom w:val="nil"/>
              <w:right w:val="nil"/>
            </w:tcBorders>
          </w:tcPr>
          <w:p>
            <w:pPr>
              <w:pStyle w:val="TableParagraph"/>
              <w:ind w:right="211"/>
              <w:rPr>
                <w:sz w:val="20"/>
              </w:rPr>
            </w:pPr>
            <w:r>
              <w:rPr>
                <w:sz w:val="20"/>
              </w:rPr>
              <w:t>0.00</w:t>
            </w:r>
          </w:p>
        </w:tc>
        <w:tc>
          <w:tcPr>
            <w:tcW w:w="775" w:type="dxa"/>
            <w:tcBorders>
              <w:top w:val="nil"/>
              <w:left w:val="nil"/>
              <w:bottom w:val="nil"/>
              <w:right w:val="nil"/>
            </w:tcBorders>
          </w:tcPr>
          <w:p>
            <w:pPr>
              <w:pStyle w:val="TableParagraph"/>
              <w:ind w:right="60"/>
              <w:rPr>
                <w:sz w:val="20"/>
              </w:rPr>
            </w:pPr>
            <w:r>
              <w:rPr>
                <w:sz w:val="20"/>
              </w:rPr>
              <w:t>0.00</w:t>
            </w:r>
          </w:p>
        </w:tc>
      </w:tr>
      <w:tr>
        <w:trPr>
          <w:trHeight w:val="300" w:hRule="exact"/>
        </w:trPr>
        <w:tc>
          <w:tcPr>
            <w:tcW w:w="1400" w:type="dxa"/>
            <w:tcBorders>
              <w:top w:val="nil"/>
              <w:left w:val="nil"/>
              <w:bottom w:val="nil"/>
              <w:right w:val="nil"/>
            </w:tcBorders>
          </w:tcPr>
          <w:p>
            <w:pPr>
              <w:pStyle w:val="TableParagraph"/>
              <w:spacing w:before="26"/>
              <w:ind w:left="86"/>
              <w:jc w:val="left"/>
              <w:rPr>
                <w:sz w:val="20"/>
              </w:rPr>
            </w:pPr>
            <w:r>
              <w:rPr>
                <w:sz w:val="20"/>
              </w:rPr>
              <w:t>TEJ_HhFlp</w:t>
            </w:r>
          </w:p>
        </w:tc>
        <w:tc>
          <w:tcPr>
            <w:tcW w:w="691" w:type="dxa"/>
            <w:tcBorders>
              <w:top w:val="nil"/>
              <w:left w:val="nil"/>
              <w:bottom w:val="nil"/>
              <w:right w:val="nil"/>
            </w:tcBorders>
          </w:tcPr>
          <w:p>
            <w:pPr>
              <w:pStyle w:val="TableParagraph"/>
              <w:spacing w:before="26"/>
              <w:ind w:left="105" w:right="195"/>
              <w:jc w:val="center"/>
              <w:rPr>
                <w:sz w:val="20"/>
              </w:rPr>
            </w:pPr>
            <w:r>
              <w:rPr>
                <w:sz w:val="20"/>
              </w:rPr>
              <w:t>4.00</w:t>
            </w:r>
          </w:p>
        </w:tc>
        <w:tc>
          <w:tcPr>
            <w:tcW w:w="828" w:type="dxa"/>
            <w:tcBorders>
              <w:top w:val="nil"/>
              <w:left w:val="nil"/>
              <w:bottom w:val="nil"/>
              <w:right w:val="nil"/>
            </w:tcBorders>
          </w:tcPr>
          <w:p>
            <w:pPr>
              <w:pStyle w:val="TableParagraph"/>
              <w:spacing w:before="26"/>
              <w:ind w:right="214"/>
              <w:rPr>
                <w:sz w:val="20"/>
              </w:rPr>
            </w:pPr>
            <w:r>
              <w:rPr>
                <w:sz w:val="20"/>
              </w:rPr>
              <w:t>4.00</w:t>
            </w:r>
          </w:p>
        </w:tc>
        <w:tc>
          <w:tcPr>
            <w:tcW w:w="828" w:type="dxa"/>
            <w:tcBorders>
              <w:top w:val="nil"/>
              <w:left w:val="nil"/>
              <w:bottom w:val="nil"/>
              <w:right w:val="nil"/>
            </w:tcBorders>
          </w:tcPr>
          <w:p>
            <w:pPr>
              <w:pStyle w:val="TableParagraph"/>
              <w:spacing w:before="26"/>
              <w:ind w:left="259"/>
              <w:jc w:val="left"/>
              <w:rPr>
                <w:sz w:val="20"/>
              </w:rPr>
            </w:pPr>
            <w:r>
              <w:rPr>
                <w:sz w:val="20"/>
              </w:rPr>
              <w:t>4.00</w:t>
            </w:r>
          </w:p>
        </w:tc>
        <w:tc>
          <w:tcPr>
            <w:tcW w:w="826" w:type="dxa"/>
            <w:tcBorders>
              <w:top w:val="nil"/>
              <w:left w:val="nil"/>
              <w:bottom w:val="nil"/>
              <w:right w:val="nil"/>
            </w:tcBorders>
          </w:tcPr>
          <w:p>
            <w:pPr>
              <w:pStyle w:val="TableParagraph"/>
              <w:spacing w:before="26"/>
              <w:ind w:left="257"/>
              <w:jc w:val="left"/>
              <w:rPr>
                <w:sz w:val="20"/>
              </w:rPr>
            </w:pPr>
            <w:r>
              <w:rPr>
                <w:sz w:val="20"/>
              </w:rPr>
              <w:t>4.00</w:t>
            </w:r>
          </w:p>
        </w:tc>
        <w:tc>
          <w:tcPr>
            <w:tcW w:w="828" w:type="dxa"/>
            <w:tcBorders>
              <w:top w:val="nil"/>
              <w:left w:val="nil"/>
              <w:bottom w:val="nil"/>
              <w:right w:val="nil"/>
            </w:tcBorders>
          </w:tcPr>
          <w:p>
            <w:pPr>
              <w:pStyle w:val="TableParagraph"/>
              <w:spacing w:before="26"/>
              <w:ind w:left="257"/>
              <w:jc w:val="left"/>
              <w:rPr>
                <w:sz w:val="20"/>
              </w:rPr>
            </w:pPr>
            <w:r>
              <w:rPr>
                <w:sz w:val="20"/>
              </w:rPr>
              <w:t>4.00</w:t>
            </w:r>
          </w:p>
        </w:tc>
        <w:tc>
          <w:tcPr>
            <w:tcW w:w="828" w:type="dxa"/>
            <w:tcBorders>
              <w:top w:val="nil"/>
              <w:left w:val="nil"/>
              <w:bottom w:val="nil"/>
              <w:right w:val="nil"/>
            </w:tcBorders>
          </w:tcPr>
          <w:p>
            <w:pPr>
              <w:pStyle w:val="TableParagraph"/>
              <w:spacing w:before="26"/>
              <w:ind w:left="259"/>
              <w:jc w:val="left"/>
              <w:rPr>
                <w:sz w:val="20"/>
              </w:rPr>
            </w:pPr>
            <w:r>
              <w:rPr>
                <w:sz w:val="20"/>
              </w:rPr>
              <w:t>4.00</w:t>
            </w:r>
          </w:p>
        </w:tc>
        <w:tc>
          <w:tcPr>
            <w:tcW w:w="828" w:type="dxa"/>
            <w:tcBorders>
              <w:top w:val="nil"/>
              <w:left w:val="nil"/>
              <w:bottom w:val="nil"/>
              <w:right w:val="nil"/>
            </w:tcBorders>
          </w:tcPr>
          <w:p>
            <w:pPr>
              <w:pStyle w:val="TableParagraph"/>
              <w:spacing w:before="26"/>
              <w:ind w:left="257"/>
              <w:jc w:val="left"/>
              <w:rPr>
                <w:sz w:val="20"/>
              </w:rPr>
            </w:pPr>
            <w:r>
              <w:rPr>
                <w:sz w:val="20"/>
              </w:rPr>
              <w:t>4.00</w:t>
            </w:r>
          </w:p>
        </w:tc>
        <w:tc>
          <w:tcPr>
            <w:tcW w:w="831" w:type="dxa"/>
            <w:tcBorders>
              <w:top w:val="nil"/>
              <w:left w:val="nil"/>
              <w:bottom w:val="nil"/>
              <w:right w:val="nil"/>
            </w:tcBorders>
          </w:tcPr>
          <w:p>
            <w:pPr>
              <w:pStyle w:val="TableParagraph"/>
              <w:spacing w:before="26"/>
              <w:ind w:left="259"/>
              <w:jc w:val="left"/>
              <w:rPr>
                <w:sz w:val="20"/>
              </w:rPr>
            </w:pPr>
            <w:r>
              <w:rPr>
                <w:sz w:val="20"/>
              </w:rPr>
              <w:t>0.00</w:t>
            </w:r>
          </w:p>
        </w:tc>
        <w:tc>
          <w:tcPr>
            <w:tcW w:w="828" w:type="dxa"/>
            <w:tcBorders>
              <w:top w:val="nil"/>
              <w:left w:val="nil"/>
              <w:bottom w:val="nil"/>
              <w:right w:val="nil"/>
            </w:tcBorders>
          </w:tcPr>
          <w:p>
            <w:pPr>
              <w:pStyle w:val="TableParagraph"/>
              <w:spacing w:before="26"/>
              <w:ind w:right="211"/>
              <w:rPr>
                <w:sz w:val="20"/>
              </w:rPr>
            </w:pPr>
            <w:r>
              <w:rPr>
                <w:sz w:val="20"/>
              </w:rPr>
              <w:t>0.00</w:t>
            </w:r>
          </w:p>
        </w:tc>
        <w:tc>
          <w:tcPr>
            <w:tcW w:w="775" w:type="dxa"/>
            <w:tcBorders>
              <w:top w:val="nil"/>
              <w:left w:val="nil"/>
              <w:bottom w:val="nil"/>
              <w:right w:val="nil"/>
            </w:tcBorders>
          </w:tcPr>
          <w:p>
            <w:pPr>
              <w:pStyle w:val="TableParagraph"/>
              <w:spacing w:before="26"/>
              <w:ind w:right="60"/>
              <w:rPr>
                <w:sz w:val="20"/>
              </w:rPr>
            </w:pPr>
            <w:r>
              <w:rPr>
                <w:sz w:val="20"/>
              </w:rPr>
              <w:t>0.00</w:t>
            </w:r>
          </w:p>
        </w:tc>
      </w:tr>
      <w:tr>
        <w:trPr>
          <w:trHeight w:val="298" w:hRule="exact"/>
        </w:trPr>
        <w:tc>
          <w:tcPr>
            <w:tcW w:w="1400" w:type="dxa"/>
            <w:tcBorders>
              <w:top w:val="nil"/>
              <w:left w:val="nil"/>
              <w:bottom w:val="nil"/>
              <w:right w:val="nil"/>
            </w:tcBorders>
          </w:tcPr>
          <w:p>
            <w:pPr>
              <w:pStyle w:val="TableParagraph"/>
              <w:ind w:left="86"/>
              <w:jc w:val="left"/>
              <w:rPr>
                <w:sz w:val="20"/>
              </w:rPr>
            </w:pPr>
            <w:r>
              <w:rPr>
                <w:sz w:val="20"/>
              </w:rPr>
              <w:t>TEJ_HhFp</w:t>
            </w:r>
          </w:p>
        </w:tc>
        <w:tc>
          <w:tcPr>
            <w:tcW w:w="691" w:type="dxa"/>
            <w:tcBorders>
              <w:top w:val="nil"/>
              <w:left w:val="nil"/>
              <w:bottom w:val="nil"/>
              <w:right w:val="nil"/>
            </w:tcBorders>
          </w:tcPr>
          <w:p>
            <w:pPr>
              <w:pStyle w:val="TableParagraph"/>
              <w:ind w:left="105" w:right="195"/>
              <w:jc w:val="center"/>
              <w:rPr>
                <w:sz w:val="20"/>
              </w:rPr>
            </w:pPr>
            <w:r>
              <w:rPr>
                <w:sz w:val="20"/>
              </w:rPr>
              <w:t>4.00</w:t>
            </w:r>
          </w:p>
        </w:tc>
        <w:tc>
          <w:tcPr>
            <w:tcW w:w="828" w:type="dxa"/>
            <w:tcBorders>
              <w:top w:val="nil"/>
              <w:left w:val="nil"/>
              <w:bottom w:val="nil"/>
              <w:right w:val="nil"/>
            </w:tcBorders>
          </w:tcPr>
          <w:p>
            <w:pPr>
              <w:pStyle w:val="TableParagraph"/>
              <w:ind w:right="214"/>
              <w:rPr>
                <w:sz w:val="20"/>
              </w:rPr>
            </w:pPr>
            <w:r>
              <w:rPr>
                <w:sz w:val="20"/>
              </w:rPr>
              <w:t>4.00</w:t>
            </w:r>
          </w:p>
        </w:tc>
        <w:tc>
          <w:tcPr>
            <w:tcW w:w="828" w:type="dxa"/>
            <w:tcBorders>
              <w:top w:val="nil"/>
              <w:left w:val="nil"/>
              <w:bottom w:val="nil"/>
              <w:right w:val="nil"/>
            </w:tcBorders>
          </w:tcPr>
          <w:p>
            <w:pPr>
              <w:pStyle w:val="TableParagraph"/>
              <w:ind w:left="259"/>
              <w:jc w:val="left"/>
              <w:rPr>
                <w:sz w:val="20"/>
              </w:rPr>
            </w:pPr>
            <w:r>
              <w:rPr>
                <w:sz w:val="20"/>
              </w:rPr>
              <w:t>4.00</w:t>
            </w:r>
          </w:p>
        </w:tc>
        <w:tc>
          <w:tcPr>
            <w:tcW w:w="826" w:type="dxa"/>
            <w:tcBorders>
              <w:top w:val="nil"/>
              <w:left w:val="nil"/>
              <w:bottom w:val="nil"/>
              <w:right w:val="nil"/>
            </w:tcBorders>
          </w:tcPr>
          <w:p>
            <w:pPr>
              <w:pStyle w:val="TableParagraph"/>
              <w:ind w:left="257"/>
              <w:jc w:val="left"/>
              <w:rPr>
                <w:sz w:val="20"/>
              </w:rPr>
            </w:pPr>
            <w:r>
              <w:rPr>
                <w:sz w:val="20"/>
              </w:rPr>
              <w:t>4.00</w:t>
            </w:r>
          </w:p>
        </w:tc>
        <w:tc>
          <w:tcPr>
            <w:tcW w:w="828" w:type="dxa"/>
            <w:tcBorders>
              <w:top w:val="nil"/>
              <w:left w:val="nil"/>
              <w:bottom w:val="nil"/>
              <w:right w:val="nil"/>
            </w:tcBorders>
          </w:tcPr>
          <w:p>
            <w:pPr>
              <w:pStyle w:val="TableParagraph"/>
              <w:ind w:left="257"/>
              <w:jc w:val="left"/>
              <w:rPr>
                <w:sz w:val="20"/>
              </w:rPr>
            </w:pPr>
            <w:r>
              <w:rPr>
                <w:sz w:val="20"/>
              </w:rPr>
              <w:t>4.00</w:t>
            </w:r>
          </w:p>
        </w:tc>
        <w:tc>
          <w:tcPr>
            <w:tcW w:w="828" w:type="dxa"/>
            <w:tcBorders>
              <w:top w:val="nil"/>
              <w:left w:val="nil"/>
              <w:bottom w:val="nil"/>
              <w:right w:val="nil"/>
            </w:tcBorders>
          </w:tcPr>
          <w:p>
            <w:pPr>
              <w:pStyle w:val="TableParagraph"/>
              <w:ind w:left="259"/>
              <w:jc w:val="left"/>
              <w:rPr>
                <w:sz w:val="20"/>
              </w:rPr>
            </w:pPr>
            <w:r>
              <w:rPr>
                <w:sz w:val="20"/>
              </w:rPr>
              <w:t>4.00</w:t>
            </w:r>
          </w:p>
        </w:tc>
        <w:tc>
          <w:tcPr>
            <w:tcW w:w="828" w:type="dxa"/>
            <w:tcBorders>
              <w:top w:val="nil"/>
              <w:left w:val="nil"/>
              <w:bottom w:val="nil"/>
              <w:right w:val="nil"/>
            </w:tcBorders>
          </w:tcPr>
          <w:p>
            <w:pPr>
              <w:pStyle w:val="TableParagraph"/>
              <w:ind w:left="257"/>
              <w:jc w:val="left"/>
              <w:rPr>
                <w:sz w:val="20"/>
              </w:rPr>
            </w:pPr>
            <w:r>
              <w:rPr>
                <w:sz w:val="20"/>
              </w:rPr>
              <w:t>4.00</w:t>
            </w:r>
          </w:p>
        </w:tc>
        <w:tc>
          <w:tcPr>
            <w:tcW w:w="831" w:type="dxa"/>
            <w:tcBorders>
              <w:top w:val="nil"/>
              <w:left w:val="nil"/>
              <w:bottom w:val="nil"/>
              <w:right w:val="nil"/>
            </w:tcBorders>
          </w:tcPr>
          <w:p>
            <w:pPr>
              <w:pStyle w:val="TableParagraph"/>
              <w:ind w:left="259"/>
              <w:jc w:val="left"/>
              <w:rPr>
                <w:sz w:val="20"/>
              </w:rPr>
            </w:pPr>
            <w:r>
              <w:rPr>
                <w:sz w:val="20"/>
              </w:rPr>
              <w:t>0.00</w:t>
            </w:r>
          </w:p>
        </w:tc>
        <w:tc>
          <w:tcPr>
            <w:tcW w:w="828" w:type="dxa"/>
            <w:tcBorders>
              <w:top w:val="nil"/>
              <w:left w:val="nil"/>
              <w:bottom w:val="nil"/>
              <w:right w:val="nil"/>
            </w:tcBorders>
          </w:tcPr>
          <w:p>
            <w:pPr>
              <w:pStyle w:val="TableParagraph"/>
              <w:ind w:right="211"/>
              <w:rPr>
                <w:sz w:val="20"/>
              </w:rPr>
            </w:pPr>
            <w:r>
              <w:rPr>
                <w:sz w:val="20"/>
              </w:rPr>
              <w:t>0.00</w:t>
            </w:r>
          </w:p>
        </w:tc>
        <w:tc>
          <w:tcPr>
            <w:tcW w:w="775" w:type="dxa"/>
            <w:tcBorders>
              <w:top w:val="nil"/>
              <w:left w:val="nil"/>
              <w:bottom w:val="nil"/>
              <w:right w:val="nil"/>
            </w:tcBorders>
          </w:tcPr>
          <w:p>
            <w:pPr>
              <w:pStyle w:val="TableParagraph"/>
              <w:ind w:right="60"/>
              <w:rPr>
                <w:sz w:val="20"/>
              </w:rPr>
            </w:pPr>
            <w:r>
              <w:rPr>
                <w:sz w:val="20"/>
              </w:rPr>
              <w:t>0.00</w:t>
            </w:r>
          </w:p>
        </w:tc>
      </w:tr>
      <w:tr>
        <w:trPr>
          <w:trHeight w:val="298" w:hRule="exact"/>
        </w:trPr>
        <w:tc>
          <w:tcPr>
            <w:tcW w:w="1400" w:type="dxa"/>
            <w:tcBorders>
              <w:top w:val="nil"/>
              <w:left w:val="nil"/>
              <w:bottom w:val="nil"/>
              <w:right w:val="nil"/>
            </w:tcBorders>
          </w:tcPr>
          <w:p>
            <w:pPr>
              <w:pStyle w:val="TableParagraph"/>
              <w:ind w:left="86"/>
              <w:jc w:val="left"/>
              <w:rPr>
                <w:sz w:val="20"/>
              </w:rPr>
            </w:pPr>
            <w:r>
              <w:rPr>
                <w:sz w:val="20"/>
              </w:rPr>
              <w:t>TEJ_HhSF</w:t>
            </w:r>
          </w:p>
        </w:tc>
        <w:tc>
          <w:tcPr>
            <w:tcW w:w="691" w:type="dxa"/>
            <w:tcBorders>
              <w:top w:val="nil"/>
              <w:left w:val="nil"/>
              <w:bottom w:val="nil"/>
              <w:right w:val="nil"/>
            </w:tcBorders>
          </w:tcPr>
          <w:p>
            <w:pPr>
              <w:pStyle w:val="TableParagraph"/>
              <w:ind w:left="105" w:right="195"/>
              <w:jc w:val="center"/>
              <w:rPr>
                <w:sz w:val="20"/>
              </w:rPr>
            </w:pPr>
            <w:r>
              <w:rPr>
                <w:sz w:val="20"/>
              </w:rPr>
              <w:t>4.00</w:t>
            </w:r>
          </w:p>
        </w:tc>
        <w:tc>
          <w:tcPr>
            <w:tcW w:w="828" w:type="dxa"/>
            <w:tcBorders>
              <w:top w:val="nil"/>
              <w:left w:val="nil"/>
              <w:bottom w:val="nil"/>
              <w:right w:val="nil"/>
            </w:tcBorders>
          </w:tcPr>
          <w:p>
            <w:pPr>
              <w:pStyle w:val="TableParagraph"/>
              <w:ind w:right="214"/>
              <w:rPr>
                <w:sz w:val="20"/>
              </w:rPr>
            </w:pPr>
            <w:r>
              <w:rPr>
                <w:sz w:val="20"/>
              </w:rPr>
              <w:t>4.00</w:t>
            </w:r>
          </w:p>
        </w:tc>
        <w:tc>
          <w:tcPr>
            <w:tcW w:w="828" w:type="dxa"/>
            <w:tcBorders>
              <w:top w:val="nil"/>
              <w:left w:val="nil"/>
              <w:bottom w:val="nil"/>
              <w:right w:val="nil"/>
            </w:tcBorders>
          </w:tcPr>
          <w:p>
            <w:pPr>
              <w:pStyle w:val="TableParagraph"/>
              <w:ind w:left="259"/>
              <w:jc w:val="left"/>
              <w:rPr>
                <w:sz w:val="20"/>
              </w:rPr>
            </w:pPr>
            <w:r>
              <w:rPr>
                <w:sz w:val="20"/>
              </w:rPr>
              <w:t>4.00</w:t>
            </w:r>
          </w:p>
        </w:tc>
        <w:tc>
          <w:tcPr>
            <w:tcW w:w="826" w:type="dxa"/>
            <w:tcBorders>
              <w:top w:val="nil"/>
              <w:left w:val="nil"/>
              <w:bottom w:val="nil"/>
              <w:right w:val="nil"/>
            </w:tcBorders>
          </w:tcPr>
          <w:p>
            <w:pPr>
              <w:pStyle w:val="TableParagraph"/>
              <w:ind w:left="257"/>
              <w:jc w:val="left"/>
              <w:rPr>
                <w:sz w:val="20"/>
              </w:rPr>
            </w:pPr>
            <w:r>
              <w:rPr>
                <w:sz w:val="20"/>
              </w:rPr>
              <w:t>4.00</w:t>
            </w:r>
          </w:p>
        </w:tc>
        <w:tc>
          <w:tcPr>
            <w:tcW w:w="828" w:type="dxa"/>
            <w:tcBorders>
              <w:top w:val="nil"/>
              <w:left w:val="nil"/>
              <w:bottom w:val="nil"/>
              <w:right w:val="nil"/>
            </w:tcBorders>
          </w:tcPr>
          <w:p>
            <w:pPr>
              <w:pStyle w:val="TableParagraph"/>
              <w:ind w:left="257"/>
              <w:jc w:val="left"/>
              <w:rPr>
                <w:sz w:val="20"/>
              </w:rPr>
            </w:pPr>
            <w:r>
              <w:rPr>
                <w:sz w:val="20"/>
              </w:rPr>
              <w:t>4.00</w:t>
            </w:r>
          </w:p>
        </w:tc>
        <w:tc>
          <w:tcPr>
            <w:tcW w:w="828" w:type="dxa"/>
            <w:tcBorders>
              <w:top w:val="nil"/>
              <w:left w:val="nil"/>
              <w:bottom w:val="nil"/>
              <w:right w:val="nil"/>
            </w:tcBorders>
          </w:tcPr>
          <w:p>
            <w:pPr>
              <w:pStyle w:val="TableParagraph"/>
              <w:ind w:left="259"/>
              <w:jc w:val="left"/>
              <w:rPr>
                <w:sz w:val="20"/>
              </w:rPr>
            </w:pPr>
            <w:r>
              <w:rPr>
                <w:sz w:val="20"/>
              </w:rPr>
              <w:t>4.00</w:t>
            </w:r>
          </w:p>
        </w:tc>
        <w:tc>
          <w:tcPr>
            <w:tcW w:w="828" w:type="dxa"/>
            <w:tcBorders>
              <w:top w:val="nil"/>
              <w:left w:val="nil"/>
              <w:bottom w:val="nil"/>
              <w:right w:val="nil"/>
            </w:tcBorders>
          </w:tcPr>
          <w:p>
            <w:pPr>
              <w:pStyle w:val="TableParagraph"/>
              <w:ind w:left="257"/>
              <w:jc w:val="left"/>
              <w:rPr>
                <w:sz w:val="20"/>
              </w:rPr>
            </w:pPr>
            <w:r>
              <w:rPr>
                <w:sz w:val="20"/>
              </w:rPr>
              <w:t>4.00</w:t>
            </w:r>
          </w:p>
        </w:tc>
        <w:tc>
          <w:tcPr>
            <w:tcW w:w="831" w:type="dxa"/>
            <w:tcBorders>
              <w:top w:val="nil"/>
              <w:left w:val="nil"/>
              <w:bottom w:val="nil"/>
              <w:right w:val="nil"/>
            </w:tcBorders>
          </w:tcPr>
          <w:p>
            <w:pPr>
              <w:pStyle w:val="TableParagraph"/>
              <w:ind w:left="259"/>
              <w:jc w:val="left"/>
              <w:rPr>
                <w:sz w:val="20"/>
              </w:rPr>
            </w:pPr>
            <w:r>
              <w:rPr>
                <w:sz w:val="20"/>
              </w:rPr>
              <w:t>0.00</w:t>
            </w:r>
          </w:p>
        </w:tc>
        <w:tc>
          <w:tcPr>
            <w:tcW w:w="828" w:type="dxa"/>
            <w:tcBorders>
              <w:top w:val="nil"/>
              <w:left w:val="nil"/>
              <w:bottom w:val="nil"/>
              <w:right w:val="nil"/>
            </w:tcBorders>
          </w:tcPr>
          <w:p>
            <w:pPr>
              <w:pStyle w:val="TableParagraph"/>
              <w:ind w:right="211"/>
              <w:rPr>
                <w:sz w:val="20"/>
              </w:rPr>
            </w:pPr>
            <w:r>
              <w:rPr>
                <w:sz w:val="20"/>
              </w:rPr>
              <w:t>0.00</w:t>
            </w:r>
          </w:p>
        </w:tc>
        <w:tc>
          <w:tcPr>
            <w:tcW w:w="775" w:type="dxa"/>
            <w:tcBorders>
              <w:top w:val="nil"/>
              <w:left w:val="nil"/>
              <w:bottom w:val="nil"/>
              <w:right w:val="nil"/>
            </w:tcBorders>
          </w:tcPr>
          <w:p>
            <w:pPr>
              <w:pStyle w:val="TableParagraph"/>
              <w:ind w:right="60"/>
              <w:rPr>
                <w:sz w:val="20"/>
              </w:rPr>
            </w:pPr>
            <w:r>
              <w:rPr>
                <w:sz w:val="20"/>
              </w:rPr>
              <w:t>0.00</w:t>
            </w:r>
          </w:p>
        </w:tc>
      </w:tr>
      <w:tr>
        <w:trPr>
          <w:trHeight w:val="300" w:hRule="exact"/>
        </w:trPr>
        <w:tc>
          <w:tcPr>
            <w:tcW w:w="1400" w:type="dxa"/>
            <w:tcBorders>
              <w:top w:val="nil"/>
              <w:left w:val="nil"/>
              <w:bottom w:val="nil"/>
              <w:right w:val="nil"/>
            </w:tcBorders>
          </w:tcPr>
          <w:p>
            <w:pPr>
              <w:pStyle w:val="TableParagraph"/>
              <w:ind w:left="86"/>
              <w:jc w:val="left"/>
              <w:rPr>
                <w:sz w:val="20"/>
              </w:rPr>
            </w:pPr>
            <w:r>
              <w:rPr>
                <w:sz w:val="20"/>
              </w:rPr>
              <w:t>TEJ_HlFd</w:t>
            </w:r>
          </w:p>
        </w:tc>
        <w:tc>
          <w:tcPr>
            <w:tcW w:w="691" w:type="dxa"/>
            <w:tcBorders>
              <w:top w:val="nil"/>
              <w:left w:val="nil"/>
              <w:bottom w:val="nil"/>
              <w:right w:val="nil"/>
            </w:tcBorders>
          </w:tcPr>
          <w:p>
            <w:pPr>
              <w:pStyle w:val="TableParagraph"/>
              <w:ind w:left="105" w:right="195"/>
              <w:jc w:val="center"/>
              <w:rPr>
                <w:sz w:val="20"/>
              </w:rPr>
            </w:pPr>
            <w:r>
              <w:rPr>
                <w:sz w:val="20"/>
              </w:rPr>
              <w:t>4.00</w:t>
            </w:r>
          </w:p>
        </w:tc>
        <w:tc>
          <w:tcPr>
            <w:tcW w:w="828" w:type="dxa"/>
            <w:tcBorders>
              <w:top w:val="nil"/>
              <w:left w:val="nil"/>
              <w:bottom w:val="nil"/>
              <w:right w:val="nil"/>
            </w:tcBorders>
          </w:tcPr>
          <w:p>
            <w:pPr>
              <w:pStyle w:val="TableParagraph"/>
              <w:ind w:right="214"/>
              <w:rPr>
                <w:sz w:val="20"/>
              </w:rPr>
            </w:pPr>
            <w:r>
              <w:rPr>
                <w:sz w:val="20"/>
              </w:rPr>
              <w:t>4.00</w:t>
            </w:r>
          </w:p>
        </w:tc>
        <w:tc>
          <w:tcPr>
            <w:tcW w:w="828" w:type="dxa"/>
            <w:tcBorders>
              <w:top w:val="nil"/>
              <w:left w:val="nil"/>
              <w:bottom w:val="nil"/>
              <w:right w:val="nil"/>
            </w:tcBorders>
          </w:tcPr>
          <w:p>
            <w:pPr>
              <w:pStyle w:val="TableParagraph"/>
              <w:ind w:left="259"/>
              <w:jc w:val="left"/>
              <w:rPr>
                <w:sz w:val="20"/>
              </w:rPr>
            </w:pPr>
            <w:r>
              <w:rPr>
                <w:sz w:val="20"/>
              </w:rPr>
              <w:t>4.00</w:t>
            </w:r>
          </w:p>
        </w:tc>
        <w:tc>
          <w:tcPr>
            <w:tcW w:w="826" w:type="dxa"/>
            <w:tcBorders>
              <w:top w:val="nil"/>
              <w:left w:val="nil"/>
              <w:bottom w:val="nil"/>
              <w:right w:val="nil"/>
            </w:tcBorders>
          </w:tcPr>
          <w:p>
            <w:pPr>
              <w:pStyle w:val="TableParagraph"/>
              <w:ind w:left="257"/>
              <w:jc w:val="left"/>
              <w:rPr>
                <w:sz w:val="20"/>
              </w:rPr>
            </w:pPr>
            <w:r>
              <w:rPr>
                <w:sz w:val="20"/>
              </w:rPr>
              <w:t>4.00</w:t>
            </w:r>
          </w:p>
        </w:tc>
        <w:tc>
          <w:tcPr>
            <w:tcW w:w="828" w:type="dxa"/>
            <w:tcBorders>
              <w:top w:val="nil"/>
              <w:left w:val="nil"/>
              <w:bottom w:val="nil"/>
              <w:right w:val="nil"/>
            </w:tcBorders>
          </w:tcPr>
          <w:p>
            <w:pPr>
              <w:pStyle w:val="TableParagraph"/>
              <w:ind w:left="257"/>
              <w:jc w:val="left"/>
              <w:rPr>
                <w:sz w:val="20"/>
              </w:rPr>
            </w:pPr>
            <w:r>
              <w:rPr>
                <w:sz w:val="20"/>
              </w:rPr>
              <w:t>4.00</w:t>
            </w:r>
          </w:p>
        </w:tc>
        <w:tc>
          <w:tcPr>
            <w:tcW w:w="828" w:type="dxa"/>
            <w:tcBorders>
              <w:top w:val="nil"/>
              <w:left w:val="nil"/>
              <w:bottom w:val="nil"/>
              <w:right w:val="nil"/>
            </w:tcBorders>
          </w:tcPr>
          <w:p>
            <w:pPr>
              <w:pStyle w:val="TableParagraph"/>
              <w:ind w:left="259"/>
              <w:jc w:val="left"/>
              <w:rPr>
                <w:sz w:val="20"/>
              </w:rPr>
            </w:pPr>
            <w:r>
              <w:rPr>
                <w:sz w:val="20"/>
              </w:rPr>
              <w:t>4.00</w:t>
            </w:r>
          </w:p>
        </w:tc>
        <w:tc>
          <w:tcPr>
            <w:tcW w:w="828" w:type="dxa"/>
            <w:tcBorders>
              <w:top w:val="nil"/>
              <w:left w:val="nil"/>
              <w:bottom w:val="nil"/>
              <w:right w:val="nil"/>
            </w:tcBorders>
          </w:tcPr>
          <w:p>
            <w:pPr>
              <w:pStyle w:val="TableParagraph"/>
              <w:ind w:left="257"/>
              <w:jc w:val="left"/>
              <w:rPr>
                <w:sz w:val="20"/>
              </w:rPr>
            </w:pPr>
            <w:r>
              <w:rPr>
                <w:sz w:val="20"/>
              </w:rPr>
              <w:t>4.00</w:t>
            </w:r>
          </w:p>
        </w:tc>
        <w:tc>
          <w:tcPr>
            <w:tcW w:w="831" w:type="dxa"/>
            <w:tcBorders>
              <w:top w:val="nil"/>
              <w:left w:val="nil"/>
              <w:bottom w:val="nil"/>
              <w:right w:val="nil"/>
            </w:tcBorders>
          </w:tcPr>
          <w:p>
            <w:pPr>
              <w:pStyle w:val="TableParagraph"/>
              <w:ind w:left="259"/>
              <w:jc w:val="left"/>
              <w:rPr>
                <w:sz w:val="20"/>
              </w:rPr>
            </w:pPr>
            <w:r>
              <w:rPr>
                <w:sz w:val="20"/>
              </w:rPr>
              <w:t>0.00</w:t>
            </w:r>
          </w:p>
        </w:tc>
        <w:tc>
          <w:tcPr>
            <w:tcW w:w="828" w:type="dxa"/>
            <w:tcBorders>
              <w:top w:val="nil"/>
              <w:left w:val="nil"/>
              <w:bottom w:val="nil"/>
              <w:right w:val="nil"/>
            </w:tcBorders>
          </w:tcPr>
          <w:p>
            <w:pPr>
              <w:pStyle w:val="TableParagraph"/>
              <w:ind w:right="211"/>
              <w:rPr>
                <w:sz w:val="20"/>
              </w:rPr>
            </w:pPr>
            <w:r>
              <w:rPr>
                <w:sz w:val="20"/>
              </w:rPr>
              <w:t>0.00</w:t>
            </w:r>
          </w:p>
        </w:tc>
        <w:tc>
          <w:tcPr>
            <w:tcW w:w="775" w:type="dxa"/>
            <w:tcBorders>
              <w:top w:val="nil"/>
              <w:left w:val="nil"/>
              <w:bottom w:val="nil"/>
              <w:right w:val="nil"/>
            </w:tcBorders>
          </w:tcPr>
          <w:p>
            <w:pPr>
              <w:pStyle w:val="TableParagraph"/>
              <w:ind w:right="60"/>
              <w:rPr>
                <w:sz w:val="20"/>
              </w:rPr>
            </w:pPr>
            <w:r>
              <w:rPr>
                <w:sz w:val="20"/>
              </w:rPr>
              <w:t>0.00</w:t>
            </w:r>
          </w:p>
        </w:tc>
      </w:tr>
      <w:tr>
        <w:trPr>
          <w:trHeight w:val="300" w:hRule="exact"/>
        </w:trPr>
        <w:tc>
          <w:tcPr>
            <w:tcW w:w="1400" w:type="dxa"/>
            <w:tcBorders>
              <w:top w:val="nil"/>
              <w:left w:val="nil"/>
              <w:bottom w:val="nil"/>
              <w:right w:val="nil"/>
            </w:tcBorders>
          </w:tcPr>
          <w:p>
            <w:pPr>
              <w:pStyle w:val="TableParagraph"/>
              <w:spacing w:before="26"/>
              <w:ind w:left="86"/>
              <w:jc w:val="left"/>
              <w:rPr>
                <w:sz w:val="20"/>
              </w:rPr>
            </w:pPr>
            <w:r>
              <w:rPr>
                <w:sz w:val="20"/>
              </w:rPr>
              <w:t>TEJ_HlFdp</w:t>
            </w:r>
          </w:p>
        </w:tc>
        <w:tc>
          <w:tcPr>
            <w:tcW w:w="691" w:type="dxa"/>
            <w:tcBorders>
              <w:top w:val="nil"/>
              <w:left w:val="nil"/>
              <w:bottom w:val="nil"/>
              <w:right w:val="nil"/>
            </w:tcBorders>
          </w:tcPr>
          <w:p>
            <w:pPr>
              <w:pStyle w:val="TableParagraph"/>
              <w:spacing w:before="26"/>
              <w:ind w:left="105" w:right="195"/>
              <w:jc w:val="center"/>
              <w:rPr>
                <w:sz w:val="20"/>
              </w:rPr>
            </w:pPr>
            <w:r>
              <w:rPr>
                <w:sz w:val="20"/>
              </w:rPr>
              <w:t>4.00</w:t>
            </w:r>
          </w:p>
        </w:tc>
        <w:tc>
          <w:tcPr>
            <w:tcW w:w="828" w:type="dxa"/>
            <w:tcBorders>
              <w:top w:val="nil"/>
              <w:left w:val="nil"/>
              <w:bottom w:val="nil"/>
              <w:right w:val="nil"/>
            </w:tcBorders>
          </w:tcPr>
          <w:p>
            <w:pPr>
              <w:pStyle w:val="TableParagraph"/>
              <w:spacing w:before="26"/>
              <w:ind w:right="214"/>
              <w:rPr>
                <w:sz w:val="20"/>
              </w:rPr>
            </w:pPr>
            <w:r>
              <w:rPr>
                <w:sz w:val="20"/>
              </w:rPr>
              <w:t>4.00</w:t>
            </w:r>
          </w:p>
        </w:tc>
        <w:tc>
          <w:tcPr>
            <w:tcW w:w="828" w:type="dxa"/>
            <w:tcBorders>
              <w:top w:val="nil"/>
              <w:left w:val="nil"/>
              <w:bottom w:val="nil"/>
              <w:right w:val="nil"/>
            </w:tcBorders>
          </w:tcPr>
          <w:p>
            <w:pPr>
              <w:pStyle w:val="TableParagraph"/>
              <w:spacing w:before="26"/>
              <w:ind w:left="259"/>
              <w:jc w:val="left"/>
              <w:rPr>
                <w:sz w:val="20"/>
              </w:rPr>
            </w:pPr>
            <w:r>
              <w:rPr>
                <w:sz w:val="20"/>
              </w:rPr>
              <w:t>4.00</w:t>
            </w:r>
          </w:p>
        </w:tc>
        <w:tc>
          <w:tcPr>
            <w:tcW w:w="826" w:type="dxa"/>
            <w:tcBorders>
              <w:top w:val="nil"/>
              <w:left w:val="nil"/>
              <w:bottom w:val="nil"/>
              <w:right w:val="nil"/>
            </w:tcBorders>
          </w:tcPr>
          <w:p>
            <w:pPr>
              <w:pStyle w:val="TableParagraph"/>
              <w:spacing w:before="26"/>
              <w:ind w:left="257"/>
              <w:jc w:val="left"/>
              <w:rPr>
                <w:sz w:val="20"/>
              </w:rPr>
            </w:pPr>
            <w:r>
              <w:rPr>
                <w:sz w:val="20"/>
              </w:rPr>
              <w:t>4.00</w:t>
            </w:r>
          </w:p>
        </w:tc>
        <w:tc>
          <w:tcPr>
            <w:tcW w:w="828" w:type="dxa"/>
            <w:tcBorders>
              <w:top w:val="nil"/>
              <w:left w:val="nil"/>
              <w:bottom w:val="nil"/>
              <w:right w:val="nil"/>
            </w:tcBorders>
          </w:tcPr>
          <w:p>
            <w:pPr>
              <w:pStyle w:val="TableParagraph"/>
              <w:spacing w:before="26"/>
              <w:ind w:left="257"/>
              <w:jc w:val="left"/>
              <w:rPr>
                <w:sz w:val="20"/>
              </w:rPr>
            </w:pPr>
            <w:r>
              <w:rPr>
                <w:sz w:val="20"/>
              </w:rPr>
              <w:t>4.00</w:t>
            </w:r>
          </w:p>
        </w:tc>
        <w:tc>
          <w:tcPr>
            <w:tcW w:w="828" w:type="dxa"/>
            <w:tcBorders>
              <w:top w:val="nil"/>
              <w:left w:val="nil"/>
              <w:bottom w:val="nil"/>
              <w:right w:val="nil"/>
            </w:tcBorders>
          </w:tcPr>
          <w:p>
            <w:pPr>
              <w:pStyle w:val="TableParagraph"/>
              <w:spacing w:before="26"/>
              <w:ind w:left="259"/>
              <w:jc w:val="left"/>
              <w:rPr>
                <w:sz w:val="20"/>
              </w:rPr>
            </w:pPr>
            <w:r>
              <w:rPr>
                <w:sz w:val="20"/>
              </w:rPr>
              <w:t>4.00</w:t>
            </w:r>
          </w:p>
        </w:tc>
        <w:tc>
          <w:tcPr>
            <w:tcW w:w="828" w:type="dxa"/>
            <w:tcBorders>
              <w:top w:val="nil"/>
              <w:left w:val="nil"/>
              <w:bottom w:val="nil"/>
              <w:right w:val="nil"/>
            </w:tcBorders>
          </w:tcPr>
          <w:p>
            <w:pPr>
              <w:pStyle w:val="TableParagraph"/>
              <w:spacing w:before="26"/>
              <w:ind w:left="257"/>
              <w:jc w:val="left"/>
              <w:rPr>
                <w:sz w:val="20"/>
              </w:rPr>
            </w:pPr>
            <w:r>
              <w:rPr>
                <w:sz w:val="20"/>
              </w:rPr>
              <w:t>4.00</w:t>
            </w:r>
          </w:p>
        </w:tc>
        <w:tc>
          <w:tcPr>
            <w:tcW w:w="831" w:type="dxa"/>
            <w:tcBorders>
              <w:top w:val="nil"/>
              <w:left w:val="nil"/>
              <w:bottom w:val="nil"/>
              <w:right w:val="nil"/>
            </w:tcBorders>
          </w:tcPr>
          <w:p>
            <w:pPr>
              <w:pStyle w:val="TableParagraph"/>
              <w:spacing w:before="26"/>
              <w:ind w:left="259"/>
              <w:jc w:val="left"/>
              <w:rPr>
                <w:sz w:val="20"/>
              </w:rPr>
            </w:pPr>
            <w:r>
              <w:rPr>
                <w:sz w:val="20"/>
              </w:rPr>
              <w:t>0.00</w:t>
            </w:r>
          </w:p>
        </w:tc>
        <w:tc>
          <w:tcPr>
            <w:tcW w:w="828" w:type="dxa"/>
            <w:tcBorders>
              <w:top w:val="nil"/>
              <w:left w:val="nil"/>
              <w:bottom w:val="nil"/>
              <w:right w:val="nil"/>
            </w:tcBorders>
          </w:tcPr>
          <w:p>
            <w:pPr>
              <w:pStyle w:val="TableParagraph"/>
              <w:spacing w:before="26"/>
              <w:ind w:right="211"/>
              <w:rPr>
                <w:sz w:val="20"/>
              </w:rPr>
            </w:pPr>
            <w:r>
              <w:rPr>
                <w:sz w:val="20"/>
              </w:rPr>
              <w:t>0.00</w:t>
            </w:r>
          </w:p>
        </w:tc>
        <w:tc>
          <w:tcPr>
            <w:tcW w:w="775" w:type="dxa"/>
            <w:tcBorders>
              <w:top w:val="nil"/>
              <w:left w:val="nil"/>
              <w:bottom w:val="nil"/>
              <w:right w:val="nil"/>
            </w:tcBorders>
          </w:tcPr>
          <w:p>
            <w:pPr>
              <w:pStyle w:val="TableParagraph"/>
              <w:spacing w:before="26"/>
              <w:ind w:right="60"/>
              <w:rPr>
                <w:sz w:val="20"/>
              </w:rPr>
            </w:pPr>
            <w:r>
              <w:rPr>
                <w:sz w:val="20"/>
              </w:rPr>
              <w:t>0.00</w:t>
            </w:r>
          </w:p>
        </w:tc>
      </w:tr>
      <w:tr>
        <w:trPr>
          <w:trHeight w:val="298" w:hRule="exact"/>
        </w:trPr>
        <w:tc>
          <w:tcPr>
            <w:tcW w:w="1400" w:type="dxa"/>
            <w:tcBorders>
              <w:top w:val="nil"/>
              <w:left w:val="nil"/>
              <w:bottom w:val="nil"/>
              <w:right w:val="nil"/>
            </w:tcBorders>
          </w:tcPr>
          <w:p>
            <w:pPr>
              <w:pStyle w:val="TableParagraph"/>
              <w:ind w:left="86"/>
              <w:jc w:val="left"/>
              <w:rPr>
                <w:sz w:val="20"/>
              </w:rPr>
            </w:pPr>
            <w:r>
              <w:rPr>
                <w:sz w:val="20"/>
              </w:rPr>
              <w:t>TEJ_HlFl</w:t>
            </w:r>
          </w:p>
        </w:tc>
        <w:tc>
          <w:tcPr>
            <w:tcW w:w="691" w:type="dxa"/>
            <w:tcBorders>
              <w:top w:val="nil"/>
              <w:left w:val="nil"/>
              <w:bottom w:val="nil"/>
              <w:right w:val="nil"/>
            </w:tcBorders>
          </w:tcPr>
          <w:p>
            <w:pPr>
              <w:pStyle w:val="TableParagraph"/>
              <w:ind w:left="105" w:right="195"/>
              <w:jc w:val="center"/>
              <w:rPr>
                <w:sz w:val="20"/>
              </w:rPr>
            </w:pPr>
            <w:r>
              <w:rPr>
                <w:sz w:val="20"/>
              </w:rPr>
              <w:t>4.00</w:t>
            </w:r>
          </w:p>
        </w:tc>
        <w:tc>
          <w:tcPr>
            <w:tcW w:w="828" w:type="dxa"/>
            <w:tcBorders>
              <w:top w:val="nil"/>
              <w:left w:val="nil"/>
              <w:bottom w:val="nil"/>
              <w:right w:val="nil"/>
            </w:tcBorders>
          </w:tcPr>
          <w:p>
            <w:pPr>
              <w:pStyle w:val="TableParagraph"/>
              <w:ind w:right="214"/>
              <w:rPr>
                <w:sz w:val="20"/>
              </w:rPr>
            </w:pPr>
            <w:r>
              <w:rPr>
                <w:sz w:val="20"/>
              </w:rPr>
              <w:t>4.00</w:t>
            </w:r>
          </w:p>
        </w:tc>
        <w:tc>
          <w:tcPr>
            <w:tcW w:w="828" w:type="dxa"/>
            <w:tcBorders>
              <w:top w:val="nil"/>
              <w:left w:val="nil"/>
              <w:bottom w:val="nil"/>
              <w:right w:val="nil"/>
            </w:tcBorders>
          </w:tcPr>
          <w:p>
            <w:pPr>
              <w:pStyle w:val="TableParagraph"/>
              <w:ind w:left="259"/>
              <w:jc w:val="left"/>
              <w:rPr>
                <w:sz w:val="20"/>
              </w:rPr>
            </w:pPr>
            <w:r>
              <w:rPr>
                <w:sz w:val="20"/>
              </w:rPr>
              <w:t>4.00</w:t>
            </w:r>
          </w:p>
        </w:tc>
        <w:tc>
          <w:tcPr>
            <w:tcW w:w="826" w:type="dxa"/>
            <w:tcBorders>
              <w:top w:val="nil"/>
              <w:left w:val="nil"/>
              <w:bottom w:val="nil"/>
              <w:right w:val="nil"/>
            </w:tcBorders>
          </w:tcPr>
          <w:p>
            <w:pPr>
              <w:pStyle w:val="TableParagraph"/>
              <w:ind w:left="257"/>
              <w:jc w:val="left"/>
              <w:rPr>
                <w:sz w:val="20"/>
              </w:rPr>
            </w:pPr>
            <w:r>
              <w:rPr>
                <w:sz w:val="20"/>
              </w:rPr>
              <w:t>4.00</w:t>
            </w:r>
          </w:p>
        </w:tc>
        <w:tc>
          <w:tcPr>
            <w:tcW w:w="828" w:type="dxa"/>
            <w:tcBorders>
              <w:top w:val="nil"/>
              <w:left w:val="nil"/>
              <w:bottom w:val="nil"/>
              <w:right w:val="nil"/>
            </w:tcBorders>
          </w:tcPr>
          <w:p>
            <w:pPr>
              <w:pStyle w:val="TableParagraph"/>
              <w:ind w:left="257"/>
              <w:jc w:val="left"/>
              <w:rPr>
                <w:sz w:val="20"/>
              </w:rPr>
            </w:pPr>
            <w:r>
              <w:rPr>
                <w:sz w:val="20"/>
              </w:rPr>
              <w:t>4.00</w:t>
            </w:r>
          </w:p>
        </w:tc>
        <w:tc>
          <w:tcPr>
            <w:tcW w:w="828" w:type="dxa"/>
            <w:tcBorders>
              <w:top w:val="nil"/>
              <w:left w:val="nil"/>
              <w:bottom w:val="nil"/>
              <w:right w:val="nil"/>
            </w:tcBorders>
          </w:tcPr>
          <w:p>
            <w:pPr>
              <w:pStyle w:val="TableParagraph"/>
              <w:ind w:left="259"/>
              <w:jc w:val="left"/>
              <w:rPr>
                <w:sz w:val="20"/>
              </w:rPr>
            </w:pPr>
            <w:r>
              <w:rPr>
                <w:sz w:val="20"/>
              </w:rPr>
              <w:t>4.00</w:t>
            </w:r>
          </w:p>
        </w:tc>
        <w:tc>
          <w:tcPr>
            <w:tcW w:w="828" w:type="dxa"/>
            <w:tcBorders>
              <w:top w:val="nil"/>
              <w:left w:val="nil"/>
              <w:bottom w:val="nil"/>
              <w:right w:val="nil"/>
            </w:tcBorders>
          </w:tcPr>
          <w:p>
            <w:pPr>
              <w:pStyle w:val="TableParagraph"/>
              <w:ind w:left="257"/>
              <w:jc w:val="left"/>
              <w:rPr>
                <w:sz w:val="20"/>
              </w:rPr>
            </w:pPr>
            <w:r>
              <w:rPr>
                <w:sz w:val="20"/>
              </w:rPr>
              <w:t>4.00</w:t>
            </w:r>
          </w:p>
        </w:tc>
        <w:tc>
          <w:tcPr>
            <w:tcW w:w="831" w:type="dxa"/>
            <w:tcBorders>
              <w:top w:val="nil"/>
              <w:left w:val="nil"/>
              <w:bottom w:val="nil"/>
              <w:right w:val="nil"/>
            </w:tcBorders>
          </w:tcPr>
          <w:p>
            <w:pPr>
              <w:pStyle w:val="TableParagraph"/>
              <w:ind w:left="259"/>
              <w:jc w:val="left"/>
              <w:rPr>
                <w:sz w:val="20"/>
              </w:rPr>
            </w:pPr>
            <w:r>
              <w:rPr>
                <w:sz w:val="20"/>
              </w:rPr>
              <w:t>0.00</w:t>
            </w:r>
          </w:p>
        </w:tc>
        <w:tc>
          <w:tcPr>
            <w:tcW w:w="828" w:type="dxa"/>
            <w:tcBorders>
              <w:top w:val="nil"/>
              <w:left w:val="nil"/>
              <w:bottom w:val="nil"/>
              <w:right w:val="nil"/>
            </w:tcBorders>
          </w:tcPr>
          <w:p>
            <w:pPr>
              <w:pStyle w:val="TableParagraph"/>
              <w:ind w:right="211"/>
              <w:rPr>
                <w:sz w:val="20"/>
              </w:rPr>
            </w:pPr>
            <w:r>
              <w:rPr>
                <w:sz w:val="20"/>
              </w:rPr>
              <w:t>0.00</w:t>
            </w:r>
          </w:p>
        </w:tc>
        <w:tc>
          <w:tcPr>
            <w:tcW w:w="775" w:type="dxa"/>
            <w:tcBorders>
              <w:top w:val="nil"/>
              <w:left w:val="nil"/>
              <w:bottom w:val="nil"/>
              <w:right w:val="nil"/>
            </w:tcBorders>
          </w:tcPr>
          <w:p>
            <w:pPr>
              <w:pStyle w:val="TableParagraph"/>
              <w:ind w:right="60"/>
              <w:rPr>
                <w:sz w:val="20"/>
              </w:rPr>
            </w:pPr>
            <w:r>
              <w:rPr>
                <w:sz w:val="20"/>
              </w:rPr>
              <w:t>0.00</w:t>
            </w:r>
          </w:p>
        </w:tc>
      </w:tr>
      <w:tr>
        <w:trPr>
          <w:trHeight w:val="300" w:hRule="exact"/>
        </w:trPr>
        <w:tc>
          <w:tcPr>
            <w:tcW w:w="1400" w:type="dxa"/>
            <w:tcBorders>
              <w:top w:val="nil"/>
              <w:left w:val="nil"/>
              <w:bottom w:val="nil"/>
              <w:right w:val="nil"/>
            </w:tcBorders>
          </w:tcPr>
          <w:p>
            <w:pPr>
              <w:pStyle w:val="TableParagraph"/>
              <w:ind w:left="86"/>
              <w:jc w:val="left"/>
              <w:rPr>
                <w:sz w:val="20"/>
              </w:rPr>
            </w:pPr>
            <w:r>
              <w:rPr>
                <w:sz w:val="20"/>
              </w:rPr>
              <w:t>TEJ_HlFlp</w:t>
            </w:r>
          </w:p>
        </w:tc>
        <w:tc>
          <w:tcPr>
            <w:tcW w:w="691" w:type="dxa"/>
            <w:tcBorders>
              <w:top w:val="nil"/>
              <w:left w:val="nil"/>
              <w:bottom w:val="nil"/>
              <w:right w:val="nil"/>
            </w:tcBorders>
          </w:tcPr>
          <w:p>
            <w:pPr>
              <w:pStyle w:val="TableParagraph"/>
              <w:ind w:left="105" w:right="195"/>
              <w:jc w:val="center"/>
              <w:rPr>
                <w:sz w:val="20"/>
              </w:rPr>
            </w:pPr>
            <w:r>
              <w:rPr>
                <w:sz w:val="20"/>
              </w:rPr>
              <w:t>4.00</w:t>
            </w:r>
          </w:p>
        </w:tc>
        <w:tc>
          <w:tcPr>
            <w:tcW w:w="828" w:type="dxa"/>
            <w:tcBorders>
              <w:top w:val="nil"/>
              <w:left w:val="nil"/>
              <w:bottom w:val="nil"/>
              <w:right w:val="nil"/>
            </w:tcBorders>
          </w:tcPr>
          <w:p>
            <w:pPr>
              <w:pStyle w:val="TableParagraph"/>
              <w:ind w:right="214"/>
              <w:rPr>
                <w:sz w:val="20"/>
              </w:rPr>
            </w:pPr>
            <w:r>
              <w:rPr>
                <w:sz w:val="20"/>
              </w:rPr>
              <w:t>4.00</w:t>
            </w:r>
          </w:p>
        </w:tc>
        <w:tc>
          <w:tcPr>
            <w:tcW w:w="828" w:type="dxa"/>
            <w:tcBorders>
              <w:top w:val="nil"/>
              <w:left w:val="nil"/>
              <w:bottom w:val="nil"/>
              <w:right w:val="nil"/>
            </w:tcBorders>
          </w:tcPr>
          <w:p>
            <w:pPr>
              <w:pStyle w:val="TableParagraph"/>
              <w:ind w:left="259"/>
              <w:jc w:val="left"/>
              <w:rPr>
                <w:sz w:val="20"/>
              </w:rPr>
            </w:pPr>
            <w:r>
              <w:rPr>
                <w:sz w:val="20"/>
              </w:rPr>
              <w:t>4.00</w:t>
            </w:r>
          </w:p>
        </w:tc>
        <w:tc>
          <w:tcPr>
            <w:tcW w:w="826" w:type="dxa"/>
            <w:tcBorders>
              <w:top w:val="nil"/>
              <w:left w:val="nil"/>
              <w:bottom w:val="nil"/>
              <w:right w:val="nil"/>
            </w:tcBorders>
          </w:tcPr>
          <w:p>
            <w:pPr>
              <w:pStyle w:val="TableParagraph"/>
              <w:ind w:left="257"/>
              <w:jc w:val="left"/>
              <w:rPr>
                <w:sz w:val="20"/>
              </w:rPr>
            </w:pPr>
            <w:r>
              <w:rPr>
                <w:sz w:val="20"/>
              </w:rPr>
              <w:t>4.00</w:t>
            </w:r>
          </w:p>
        </w:tc>
        <w:tc>
          <w:tcPr>
            <w:tcW w:w="828" w:type="dxa"/>
            <w:tcBorders>
              <w:top w:val="nil"/>
              <w:left w:val="nil"/>
              <w:bottom w:val="nil"/>
              <w:right w:val="nil"/>
            </w:tcBorders>
          </w:tcPr>
          <w:p>
            <w:pPr>
              <w:pStyle w:val="TableParagraph"/>
              <w:ind w:left="257"/>
              <w:jc w:val="left"/>
              <w:rPr>
                <w:sz w:val="20"/>
              </w:rPr>
            </w:pPr>
            <w:r>
              <w:rPr>
                <w:sz w:val="20"/>
              </w:rPr>
              <w:t>4.00</w:t>
            </w:r>
          </w:p>
        </w:tc>
        <w:tc>
          <w:tcPr>
            <w:tcW w:w="828" w:type="dxa"/>
            <w:tcBorders>
              <w:top w:val="nil"/>
              <w:left w:val="nil"/>
              <w:bottom w:val="nil"/>
              <w:right w:val="nil"/>
            </w:tcBorders>
          </w:tcPr>
          <w:p>
            <w:pPr>
              <w:pStyle w:val="TableParagraph"/>
              <w:ind w:left="259"/>
              <w:jc w:val="left"/>
              <w:rPr>
                <w:sz w:val="20"/>
              </w:rPr>
            </w:pPr>
            <w:r>
              <w:rPr>
                <w:sz w:val="20"/>
              </w:rPr>
              <w:t>4.00</w:t>
            </w:r>
          </w:p>
        </w:tc>
        <w:tc>
          <w:tcPr>
            <w:tcW w:w="828" w:type="dxa"/>
            <w:tcBorders>
              <w:top w:val="nil"/>
              <w:left w:val="nil"/>
              <w:bottom w:val="nil"/>
              <w:right w:val="nil"/>
            </w:tcBorders>
          </w:tcPr>
          <w:p>
            <w:pPr>
              <w:pStyle w:val="TableParagraph"/>
              <w:ind w:left="257"/>
              <w:jc w:val="left"/>
              <w:rPr>
                <w:sz w:val="20"/>
              </w:rPr>
            </w:pPr>
            <w:r>
              <w:rPr>
                <w:sz w:val="20"/>
              </w:rPr>
              <w:t>4.00</w:t>
            </w:r>
          </w:p>
        </w:tc>
        <w:tc>
          <w:tcPr>
            <w:tcW w:w="831" w:type="dxa"/>
            <w:tcBorders>
              <w:top w:val="nil"/>
              <w:left w:val="nil"/>
              <w:bottom w:val="nil"/>
              <w:right w:val="nil"/>
            </w:tcBorders>
          </w:tcPr>
          <w:p>
            <w:pPr>
              <w:pStyle w:val="TableParagraph"/>
              <w:ind w:left="259"/>
              <w:jc w:val="left"/>
              <w:rPr>
                <w:sz w:val="20"/>
              </w:rPr>
            </w:pPr>
            <w:r>
              <w:rPr>
                <w:sz w:val="20"/>
              </w:rPr>
              <w:t>0.00</w:t>
            </w:r>
          </w:p>
        </w:tc>
        <w:tc>
          <w:tcPr>
            <w:tcW w:w="828" w:type="dxa"/>
            <w:tcBorders>
              <w:top w:val="nil"/>
              <w:left w:val="nil"/>
              <w:bottom w:val="nil"/>
              <w:right w:val="nil"/>
            </w:tcBorders>
          </w:tcPr>
          <w:p>
            <w:pPr>
              <w:pStyle w:val="TableParagraph"/>
              <w:ind w:right="211"/>
              <w:rPr>
                <w:sz w:val="20"/>
              </w:rPr>
            </w:pPr>
            <w:r>
              <w:rPr>
                <w:sz w:val="20"/>
              </w:rPr>
              <w:t>0.00</w:t>
            </w:r>
          </w:p>
        </w:tc>
        <w:tc>
          <w:tcPr>
            <w:tcW w:w="775" w:type="dxa"/>
            <w:tcBorders>
              <w:top w:val="nil"/>
              <w:left w:val="nil"/>
              <w:bottom w:val="nil"/>
              <w:right w:val="nil"/>
            </w:tcBorders>
          </w:tcPr>
          <w:p>
            <w:pPr>
              <w:pStyle w:val="TableParagraph"/>
              <w:ind w:right="60"/>
              <w:rPr>
                <w:sz w:val="20"/>
              </w:rPr>
            </w:pPr>
            <w:r>
              <w:rPr>
                <w:sz w:val="20"/>
              </w:rPr>
              <w:t>0.00</w:t>
            </w:r>
          </w:p>
        </w:tc>
      </w:tr>
      <w:tr>
        <w:trPr>
          <w:trHeight w:val="300" w:hRule="exact"/>
        </w:trPr>
        <w:tc>
          <w:tcPr>
            <w:tcW w:w="1400" w:type="dxa"/>
            <w:tcBorders>
              <w:top w:val="nil"/>
              <w:left w:val="nil"/>
              <w:bottom w:val="nil"/>
              <w:right w:val="nil"/>
            </w:tcBorders>
          </w:tcPr>
          <w:p>
            <w:pPr>
              <w:pStyle w:val="TableParagraph"/>
              <w:spacing w:before="26"/>
              <w:ind w:left="86"/>
              <w:jc w:val="left"/>
              <w:rPr>
                <w:sz w:val="20"/>
              </w:rPr>
            </w:pPr>
            <w:r>
              <w:rPr>
                <w:sz w:val="20"/>
              </w:rPr>
              <w:t>TEJ_HlFp</w:t>
            </w:r>
          </w:p>
        </w:tc>
        <w:tc>
          <w:tcPr>
            <w:tcW w:w="691" w:type="dxa"/>
            <w:tcBorders>
              <w:top w:val="nil"/>
              <w:left w:val="nil"/>
              <w:bottom w:val="nil"/>
              <w:right w:val="nil"/>
            </w:tcBorders>
          </w:tcPr>
          <w:p>
            <w:pPr>
              <w:pStyle w:val="TableParagraph"/>
              <w:spacing w:before="26"/>
              <w:ind w:left="105" w:right="195"/>
              <w:jc w:val="center"/>
              <w:rPr>
                <w:sz w:val="20"/>
              </w:rPr>
            </w:pPr>
            <w:r>
              <w:rPr>
                <w:sz w:val="20"/>
              </w:rPr>
              <w:t>4.00</w:t>
            </w:r>
          </w:p>
        </w:tc>
        <w:tc>
          <w:tcPr>
            <w:tcW w:w="828" w:type="dxa"/>
            <w:tcBorders>
              <w:top w:val="nil"/>
              <w:left w:val="nil"/>
              <w:bottom w:val="nil"/>
              <w:right w:val="nil"/>
            </w:tcBorders>
          </w:tcPr>
          <w:p>
            <w:pPr>
              <w:pStyle w:val="TableParagraph"/>
              <w:spacing w:before="26"/>
              <w:ind w:right="214"/>
              <w:rPr>
                <w:sz w:val="20"/>
              </w:rPr>
            </w:pPr>
            <w:r>
              <w:rPr>
                <w:sz w:val="20"/>
              </w:rPr>
              <w:t>4.00</w:t>
            </w:r>
          </w:p>
        </w:tc>
        <w:tc>
          <w:tcPr>
            <w:tcW w:w="828" w:type="dxa"/>
            <w:tcBorders>
              <w:top w:val="nil"/>
              <w:left w:val="nil"/>
              <w:bottom w:val="nil"/>
              <w:right w:val="nil"/>
            </w:tcBorders>
          </w:tcPr>
          <w:p>
            <w:pPr>
              <w:pStyle w:val="TableParagraph"/>
              <w:spacing w:before="26"/>
              <w:ind w:left="259"/>
              <w:jc w:val="left"/>
              <w:rPr>
                <w:sz w:val="20"/>
              </w:rPr>
            </w:pPr>
            <w:r>
              <w:rPr>
                <w:sz w:val="20"/>
              </w:rPr>
              <w:t>4.00</w:t>
            </w:r>
          </w:p>
        </w:tc>
        <w:tc>
          <w:tcPr>
            <w:tcW w:w="826" w:type="dxa"/>
            <w:tcBorders>
              <w:top w:val="nil"/>
              <w:left w:val="nil"/>
              <w:bottom w:val="nil"/>
              <w:right w:val="nil"/>
            </w:tcBorders>
          </w:tcPr>
          <w:p>
            <w:pPr>
              <w:pStyle w:val="TableParagraph"/>
              <w:spacing w:before="26"/>
              <w:ind w:left="257"/>
              <w:jc w:val="left"/>
              <w:rPr>
                <w:sz w:val="20"/>
              </w:rPr>
            </w:pPr>
            <w:r>
              <w:rPr>
                <w:sz w:val="20"/>
              </w:rPr>
              <w:t>4.00</w:t>
            </w:r>
          </w:p>
        </w:tc>
        <w:tc>
          <w:tcPr>
            <w:tcW w:w="828" w:type="dxa"/>
            <w:tcBorders>
              <w:top w:val="nil"/>
              <w:left w:val="nil"/>
              <w:bottom w:val="nil"/>
              <w:right w:val="nil"/>
            </w:tcBorders>
          </w:tcPr>
          <w:p>
            <w:pPr>
              <w:pStyle w:val="TableParagraph"/>
              <w:spacing w:before="26"/>
              <w:ind w:left="257"/>
              <w:jc w:val="left"/>
              <w:rPr>
                <w:sz w:val="20"/>
              </w:rPr>
            </w:pPr>
            <w:r>
              <w:rPr>
                <w:sz w:val="20"/>
              </w:rPr>
              <w:t>4.00</w:t>
            </w:r>
          </w:p>
        </w:tc>
        <w:tc>
          <w:tcPr>
            <w:tcW w:w="828" w:type="dxa"/>
            <w:tcBorders>
              <w:top w:val="nil"/>
              <w:left w:val="nil"/>
              <w:bottom w:val="nil"/>
              <w:right w:val="nil"/>
            </w:tcBorders>
          </w:tcPr>
          <w:p>
            <w:pPr>
              <w:pStyle w:val="TableParagraph"/>
              <w:spacing w:before="26"/>
              <w:ind w:left="259"/>
              <w:jc w:val="left"/>
              <w:rPr>
                <w:sz w:val="20"/>
              </w:rPr>
            </w:pPr>
            <w:r>
              <w:rPr>
                <w:sz w:val="20"/>
              </w:rPr>
              <w:t>4.00</w:t>
            </w:r>
          </w:p>
        </w:tc>
        <w:tc>
          <w:tcPr>
            <w:tcW w:w="828" w:type="dxa"/>
            <w:tcBorders>
              <w:top w:val="nil"/>
              <w:left w:val="nil"/>
              <w:bottom w:val="nil"/>
              <w:right w:val="nil"/>
            </w:tcBorders>
          </w:tcPr>
          <w:p>
            <w:pPr>
              <w:pStyle w:val="TableParagraph"/>
              <w:spacing w:before="26"/>
              <w:ind w:left="257"/>
              <w:jc w:val="left"/>
              <w:rPr>
                <w:sz w:val="20"/>
              </w:rPr>
            </w:pPr>
            <w:r>
              <w:rPr>
                <w:sz w:val="20"/>
              </w:rPr>
              <w:t>4.00</w:t>
            </w:r>
          </w:p>
        </w:tc>
        <w:tc>
          <w:tcPr>
            <w:tcW w:w="831" w:type="dxa"/>
            <w:tcBorders>
              <w:top w:val="nil"/>
              <w:left w:val="nil"/>
              <w:bottom w:val="nil"/>
              <w:right w:val="nil"/>
            </w:tcBorders>
          </w:tcPr>
          <w:p>
            <w:pPr>
              <w:pStyle w:val="TableParagraph"/>
              <w:spacing w:before="26"/>
              <w:ind w:left="259"/>
              <w:jc w:val="left"/>
              <w:rPr>
                <w:sz w:val="20"/>
              </w:rPr>
            </w:pPr>
            <w:r>
              <w:rPr>
                <w:sz w:val="20"/>
              </w:rPr>
              <w:t>0.00</w:t>
            </w:r>
          </w:p>
        </w:tc>
        <w:tc>
          <w:tcPr>
            <w:tcW w:w="828" w:type="dxa"/>
            <w:tcBorders>
              <w:top w:val="nil"/>
              <w:left w:val="nil"/>
              <w:bottom w:val="nil"/>
              <w:right w:val="nil"/>
            </w:tcBorders>
          </w:tcPr>
          <w:p>
            <w:pPr>
              <w:pStyle w:val="TableParagraph"/>
              <w:spacing w:before="26"/>
              <w:ind w:right="211"/>
              <w:rPr>
                <w:sz w:val="20"/>
              </w:rPr>
            </w:pPr>
            <w:r>
              <w:rPr>
                <w:sz w:val="20"/>
              </w:rPr>
              <w:t>0.00</w:t>
            </w:r>
          </w:p>
        </w:tc>
        <w:tc>
          <w:tcPr>
            <w:tcW w:w="775" w:type="dxa"/>
            <w:tcBorders>
              <w:top w:val="nil"/>
              <w:left w:val="nil"/>
              <w:bottom w:val="nil"/>
              <w:right w:val="nil"/>
            </w:tcBorders>
          </w:tcPr>
          <w:p>
            <w:pPr>
              <w:pStyle w:val="TableParagraph"/>
              <w:spacing w:before="26"/>
              <w:ind w:right="60"/>
              <w:rPr>
                <w:sz w:val="20"/>
              </w:rPr>
            </w:pPr>
            <w:r>
              <w:rPr>
                <w:sz w:val="20"/>
              </w:rPr>
              <w:t>0.00</w:t>
            </w:r>
          </w:p>
        </w:tc>
      </w:tr>
      <w:tr>
        <w:trPr>
          <w:trHeight w:val="298" w:hRule="exact"/>
        </w:trPr>
        <w:tc>
          <w:tcPr>
            <w:tcW w:w="1400" w:type="dxa"/>
            <w:tcBorders>
              <w:top w:val="nil"/>
              <w:left w:val="nil"/>
              <w:bottom w:val="nil"/>
              <w:right w:val="nil"/>
            </w:tcBorders>
          </w:tcPr>
          <w:p>
            <w:pPr>
              <w:pStyle w:val="TableParagraph"/>
              <w:ind w:left="86"/>
              <w:jc w:val="left"/>
              <w:rPr>
                <w:sz w:val="20"/>
              </w:rPr>
            </w:pPr>
            <w:r>
              <w:rPr>
                <w:sz w:val="20"/>
              </w:rPr>
              <w:t>TEJ_HlSF</w:t>
            </w:r>
          </w:p>
        </w:tc>
        <w:tc>
          <w:tcPr>
            <w:tcW w:w="691" w:type="dxa"/>
            <w:tcBorders>
              <w:top w:val="nil"/>
              <w:left w:val="nil"/>
              <w:bottom w:val="nil"/>
              <w:right w:val="nil"/>
            </w:tcBorders>
          </w:tcPr>
          <w:p>
            <w:pPr>
              <w:pStyle w:val="TableParagraph"/>
              <w:ind w:left="105" w:right="195"/>
              <w:jc w:val="center"/>
              <w:rPr>
                <w:sz w:val="20"/>
              </w:rPr>
            </w:pPr>
            <w:r>
              <w:rPr>
                <w:sz w:val="20"/>
              </w:rPr>
              <w:t>4.00</w:t>
            </w:r>
          </w:p>
        </w:tc>
        <w:tc>
          <w:tcPr>
            <w:tcW w:w="828" w:type="dxa"/>
            <w:tcBorders>
              <w:top w:val="nil"/>
              <w:left w:val="nil"/>
              <w:bottom w:val="nil"/>
              <w:right w:val="nil"/>
            </w:tcBorders>
          </w:tcPr>
          <w:p>
            <w:pPr>
              <w:pStyle w:val="TableParagraph"/>
              <w:ind w:right="214"/>
              <w:rPr>
                <w:sz w:val="20"/>
              </w:rPr>
            </w:pPr>
            <w:r>
              <w:rPr>
                <w:sz w:val="20"/>
              </w:rPr>
              <w:t>4.00</w:t>
            </w:r>
          </w:p>
        </w:tc>
        <w:tc>
          <w:tcPr>
            <w:tcW w:w="828" w:type="dxa"/>
            <w:tcBorders>
              <w:top w:val="nil"/>
              <w:left w:val="nil"/>
              <w:bottom w:val="nil"/>
              <w:right w:val="nil"/>
            </w:tcBorders>
          </w:tcPr>
          <w:p>
            <w:pPr>
              <w:pStyle w:val="TableParagraph"/>
              <w:ind w:left="259"/>
              <w:jc w:val="left"/>
              <w:rPr>
                <w:sz w:val="20"/>
              </w:rPr>
            </w:pPr>
            <w:r>
              <w:rPr>
                <w:sz w:val="20"/>
              </w:rPr>
              <w:t>4.00</w:t>
            </w:r>
          </w:p>
        </w:tc>
        <w:tc>
          <w:tcPr>
            <w:tcW w:w="826" w:type="dxa"/>
            <w:tcBorders>
              <w:top w:val="nil"/>
              <w:left w:val="nil"/>
              <w:bottom w:val="nil"/>
              <w:right w:val="nil"/>
            </w:tcBorders>
          </w:tcPr>
          <w:p>
            <w:pPr>
              <w:pStyle w:val="TableParagraph"/>
              <w:ind w:left="257"/>
              <w:jc w:val="left"/>
              <w:rPr>
                <w:sz w:val="20"/>
              </w:rPr>
            </w:pPr>
            <w:r>
              <w:rPr>
                <w:sz w:val="20"/>
              </w:rPr>
              <w:t>4.00</w:t>
            </w:r>
          </w:p>
        </w:tc>
        <w:tc>
          <w:tcPr>
            <w:tcW w:w="828" w:type="dxa"/>
            <w:tcBorders>
              <w:top w:val="nil"/>
              <w:left w:val="nil"/>
              <w:bottom w:val="nil"/>
              <w:right w:val="nil"/>
            </w:tcBorders>
          </w:tcPr>
          <w:p>
            <w:pPr>
              <w:pStyle w:val="TableParagraph"/>
              <w:ind w:left="257"/>
              <w:jc w:val="left"/>
              <w:rPr>
                <w:sz w:val="20"/>
              </w:rPr>
            </w:pPr>
            <w:r>
              <w:rPr>
                <w:sz w:val="20"/>
              </w:rPr>
              <w:t>4.00</w:t>
            </w:r>
          </w:p>
        </w:tc>
        <w:tc>
          <w:tcPr>
            <w:tcW w:w="828" w:type="dxa"/>
            <w:tcBorders>
              <w:top w:val="nil"/>
              <w:left w:val="nil"/>
              <w:bottom w:val="nil"/>
              <w:right w:val="nil"/>
            </w:tcBorders>
          </w:tcPr>
          <w:p>
            <w:pPr>
              <w:pStyle w:val="TableParagraph"/>
              <w:ind w:left="259"/>
              <w:jc w:val="left"/>
              <w:rPr>
                <w:sz w:val="20"/>
              </w:rPr>
            </w:pPr>
            <w:r>
              <w:rPr>
                <w:sz w:val="20"/>
              </w:rPr>
              <w:t>4.00</w:t>
            </w:r>
          </w:p>
        </w:tc>
        <w:tc>
          <w:tcPr>
            <w:tcW w:w="828" w:type="dxa"/>
            <w:tcBorders>
              <w:top w:val="nil"/>
              <w:left w:val="nil"/>
              <w:bottom w:val="nil"/>
              <w:right w:val="nil"/>
            </w:tcBorders>
          </w:tcPr>
          <w:p>
            <w:pPr>
              <w:pStyle w:val="TableParagraph"/>
              <w:ind w:left="257"/>
              <w:jc w:val="left"/>
              <w:rPr>
                <w:sz w:val="20"/>
              </w:rPr>
            </w:pPr>
            <w:r>
              <w:rPr>
                <w:sz w:val="20"/>
              </w:rPr>
              <w:t>4.00</w:t>
            </w:r>
          </w:p>
        </w:tc>
        <w:tc>
          <w:tcPr>
            <w:tcW w:w="831" w:type="dxa"/>
            <w:tcBorders>
              <w:top w:val="nil"/>
              <w:left w:val="nil"/>
              <w:bottom w:val="nil"/>
              <w:right w:val="nil"/>
            </w:tcBorders>
          </w:tcPr>
          <w:p>
            <w:pPr>
              <w:pStyle w:val="TableParagraph"/>
              <w:ind w:left="259"/>
              <w:jc w:val="left"/>
              <w:rPr>
                <w:sz w:val="20"/>
              </w:rPr>
            </w:pPr>
            <w:r>
              <w:rPr>
                <w:sz w:val="20"/>
              </w:rPr>
              <w:t>0.00</w:t>
            </w:r>
          </w:p>
        </w:tc>
        <w:tc>
          <w:tcPr>
            <w:tcW w:w="828" w:type="dxa"/>
            <w:tcBorders>
              <w:top w:val="nil"/>
              <w:left w:val="nil"/>
              <w:bottom w:val="nil"/>
              <w:right w:val="nil"/>
            </w:tcBorders>
          </w:tcPr>
          <w:p>
            <w:pPr>
              <w:pStyle w:val="TableParagraph"/>
              <w:ind w:right="211"/>
              <w:rPr>
                <w:sz w:val="20"/>
              </w:rPr>
            </w:pPr>
            <w:r>
              <w:rPr>
                <w:sz w:val="20"/>
              </w:rPr>
              <w:t>0.00</w:t>
            </w:r>
          </w:p>
        </w:tc>
        <w:tc>
          <w:tcPr>
            <w:tcW w:w="775" w:type="dxa"/>
            <w:tcBorders>
              <w:top w:val="nil"/>
              <w:left w:val="nil"/>
              <w:bottom w:val="nil"/>
              <w:right w:val="nil"/>
            </w:tcBorders>
          </w:tcPr>
          <w:p>
            <w:pPr>
              <w:pStyle w:val="TableParagraph"/>
              <w:ind w:right="60"/>
              <w:rPr>
                <w:sz w:val="20"/>
              </w:rPr>
            </w:pPr>
            <w:r>
              <w:rPr>
                <w:sz w:val="20"/>
              </w:rPr>
              <w:t>0.00</w:t>
            </w:r>
          </w:p>
        </w:tc>
      </w:tr>
      <w:tr>
        <w:trPr>
          <w:trHeight w:val="298" w:hRule="exact"/>
        </w:trPr>
        <w:tc>
          <w:tcPr>
            <w:tcW w:w="1400" w:type="dxa"/>
            <w:tcBorders>
              <w:top w:val="nil"/>
              <w:left w:val="nil"/>
              <w:bottom w:val="nil"/>
              <w:right w:val="nil"/>
            </w:tcBorders>
          </w:tcPr>
          <w:p>
            <w:pPr>
              <w:pStyle w:val="TableParagraph"/>
              <w:ind w:left="86"/>
              <w:jc w:val="left"/>
              <w:rPr>
                <w:sz w:val="20"/>
              </w:rPr>
            </w:pPr>
            <w:r>
              <w:rPr>
                <w:sz w:val="20"/>
              </w:rPr>
              <w:t>TEJ_ISF</w:t>
            </w:r>
          </w:p>
        </w:tc>
        <w:tc>
          <w:tcPr>
            <w:tcW w:w="691" w:type="dxa"/>
            <w:tcBorders>
              <w:top w:val="nil"/>
              <w:left w:val="nil"/>
              <w:bottom w:val="nil"/>
              <w:right w:val="nil"/>
            </w:tcBorders>
          </w:tcPr>
          <w:p>
            <w:pPr>
              <w:pStyle w:val="TableParagraph"/>
              <w:ind w:left="105" w:right="195"/>
              <w:jc w:val="center"/>
              <w:rPr>
                <w:sz w:val="20"/>
              </w:rPr>
            </w:pPr>
            <w:r>
              <w:rPr>
                <w:sz w:val="20"/>
              </w:rPr>
              <w:t>4.00</w:t>
            </w:r>
          </w:p>
        </w:tc>
        <w:tc>
          <w:tcPr>
            <w:tcW w:w="828" w:type="dxa"/>
            <w:tcBorders>
              <w:top w:val="nil"/>
              <w:left w:val="nil"/>
              <w:bottom w:val="nil"/>
              <w:right w:val="nil"/>
            </w:tcBorders>
          </w:tcPr>
          <w:p>
            <w:pPr>
              <w:pStyle w:val="TableParagraph"/>
              <w:ind w:right="214"/>
              <w:rPr>
                <w:sz w:val="20"/>
              </w:rPr>
            </w:pPr>
            <w:r>
              <w:rPr>
                <w:sz w:val="20"/>
              </w:rPr>
              <w:t>4.00</w:t>
            </w:r>
          </w:p>
        </w:tc>
        <w:tc>
          <w:tcPr>
            <w:tcW w:w="828" w:type="dxa"/>
            <w:tcBorders>
              <w:top w:val="nil"/>
              <w:left w:val="nil"/>
              <w:bottom w:val="nil"/>
              <w:right w:val="nil"/>
            </w:tcBorders>
          </w:tcPr>
          <w:p>
            <w:pPr>
              <w:pStyle w:val="TableParagraph"/>
              <w:ind w:left="259"/>
              <w:jc w:val="left"/>
              <w:rPr>
                <w:sz w:val="20"/>
              </w:rPr>
            </w:pPr>
            <w:r>
              <w:rPr>
                <w:sz w:val="20"/>
              </w:rPr>
              <w:t>4.00</w:t>
            </w:r>
          </w:p>
        </w:tc>
        <w:tc>
          <w:tcPr>
            <w:tcW w:w="826" w:type="dxa"/>
            <w:tcBorders>
              <w:top w:val="nil"/>
              <w:left w:val="nil"/>
              <w:bottom w:val="nil"/>
              <w:right w:val="nil"/>
            </w:tcBorders>
          </w:tcPr>
          <w:p>
            <w:pPr>
              <w:pStyle w:val="TableParagraph"/>
              <w:ind w:left="257"/>
              <w:jc w:val="left"/>
              <w:rPr>
                <w:sz w:val="20"/>
              </w:rPr>
            </w:pPr>
            <w:r>
              <w:rPr>
                <w:sz w:val="20"/>
              </w:rPr>
              <w:t>4.00</w:t>
            </w:r>
          </w:p>
        </w:tc>
        <w:tc>
          <w:tcPr>
            <w:tcW w:w="828" w:type="dxa"/>
            <w:tcBorders>
              <w:top w:val="nil"/>
              <w:left w:val="nil"/>
              <w:bottom w:val="nil"/>
              <w:right w:val="nil"/>
            </w:tcBorders>
          </w:tcPr>
          <w:p>
            <w:pPr>
              <w:pStyle w:val="TableParagraph"/>
              <w:ind w:left="257"/>
              <w:jc w:val="left"/>
              <w:rPr>
                <w:sz w:val="20"/>
              </w:rPr>
            </w:pPr>
            <w:r>
              <w:rPr>
                <w:sz w:val="20"/>
              </w:rPr>
              <w:t>4.00</w:t>
            </w:r>
          </w:p>
        </w:tc>
        <w:tc>
          <w:tcPr>
            <w:tcW w:w="828" w:type="dxa"/>
            <w:tcBorders>
              <w:top w:val="nil"/>
              <w:left w:val="nil"/>
              <w:bottom w:val="nil"/>
              <w:right w:val="nil"/>
            </w:tcBorders>
          </w:tcPr>
          <w:p>
            <w:pPr>
              <w:pStyle w:val="TableParagraph"/>
              <w:ind w:left="259"/>
              <w:jc w:val="left"/>
              <w:rPr>
                <w:sz w:val="20"/>
              </w:rPr>
            </w:pPr>
            <w:r>
              <w:rPr>
                <w:sz w:val="20"/>
              </w:rPr>
              <w:t>4.00</w:t>
            </w:r>
          </w:p>
        </w:tc>
        <w:tc>
          <w:tcPr>
            <w:tcW w:w="828" w:type="dxa"/>
            <w:tcBorders>
              <w:top w:val="nil"/>
              <w:left w:val="nil"/>
              <w:bottom w:val="nil"/>
              <w:right w:val="nil"/>
            </w:tcBorders>
          </w:tcPr>
          <w:p>
            <w:pPr>
              <w:pStyle w:val="TableParagraph"/>
              <w:ind w:left="257"/>
              <w:jc w:val="left"/>
              <w:rPr>
                <w:sz w:val="20"/>
              </w:rPr>
            </w:pPr>
            <w:r>
              <w:rPr>
                <w:sz w:val="20"/>
              </w:rPr>
              <w:t>4.00</w:t>
            </w:r>
          </w:p>
        </w:tc>
        <w:tc>
          <w:tcPr>
            <w:tcW w:w="831" w:type="dxa"/>
            <w:tcBorders>
              <w:top w:val="nil"/>
              <w:left w:val="nil"/>
              <w:bottom w:val="nil"/>
              <w:right w:val="nil"/>
            </w:tcBorders>
          </w:tcPr>
          <w:p>
            <w:pPr>
              <w:pStyle w:val="TableParagraph"/>
              <w:ind w:left="259"/>
              <w:jc w:val="left"/>
              <w:rPr>
                <w:sz w:val="20"/>
              </w:rPr>
            </w:pPr>
            <w:r>
              <w:rPr>
                <w:sz w:val="20"/>
              </w:rPr>
              <w:t>0.00</w:t>
            </w:r>
          </w:p>
        </w:tc>
        <w:tc>
          <w:tcPr>
            <w:tcW w:w="828" w:type="dxa"/>
            <w:tcBorders>
              <w:top w:val="nil"/>
              <w:left w:val="nil"/>
              <w:bottom w:val="nil"/>
              <w:right w:val="nil"/>
            </w:tcBorders>
          </w:tcPr>
          <w:p>
            <w:pPr>
              <w:pStyle w:val="TableParagraph"/>
              <w:ind w:right="211"/>
              <w:rPr>
                <w:sz w:val="20"/>
              </w:rPr>
            </w:pPr>
            <w:r>
              <w:rPr>
                <w:sz w:val="20"/>
              </w:rPr>
              <w:t>0.00</w:t>
            </w:r>
          </w:p>
        </w:tc>
        <w:tc>
          <w:tcPr>
            <w:tcW w:w="775" w:type="dxa"/>
            <w:tcBorders>
              <w:top w:val="nil"/>
              <w:left w:val="nil"/>
              <w:bottom w:val="nil"/>
              <w:right w:val="nil"/>
            </w:tcBorders>
          </w:tcPr>
          <w:p>
            <w:pPr>
              <w:pStyle w:val="TableParagraph"/>
              <w:ind w:right="60"/>
              <w:rPr>
                <w:sz w:val="20"/>
              </w:rPr>
            </w:pPr>
            <w:r>
              <w:rPr>
                <w:sz w:val="20"/>
              </w:rPr>
              <w:t>0.00</w:t>
            </w:r>
          </w:p>
        </w:tc>
      </w:tr>
      <w:tr>
        <w:trPr>
          <w:trHeight w:val="300" w:hRule="exact"/>
        </w:trPr>
        <w:tc>
          <w:tcPr>
            <w:tcW w:w="1400" w:type="dxa"/>
            <w:tcBorders>
              <w:top w:val="nil"/>
              <w:left w:val="nil"/>
              <w:bottom w:val="nil"/>
              <w:right w:val="nil"/>
            </w:tcBorders>
          </w:tcPr>
          <w:p>
            <w:pPr>
              <w:pStyle w:val="TableParagraph"/>
              <w:ind w:left="86"/>
              <w:jc w:val="left"/>
              <w:rPr>
                <w:sz w:val="20"/>
              </w:rPr>
            </w:pPr>
            <w:r>
              <w:rPr>
                <w:sz w:val="20"/>
              </w:rPr>
              <w:t>TEJ_LcFdp</w:t>
            </w:r>
          </w:p>
        </w:tc>
        <w:tc>
          <w:tcPr>
            <w:tcW w:w="691" w:type="dxa"/>
            <w:tcBorders>
              <w:top w:val="nil"/>
              <w:left w:val="nil"/>
              <w:bottom w:val="nil"/>
              <w:right w:val="nil"/>
            </w:tcBorders>
          </w:tcPr>
          <w:p>
            <w:pPr>
              <w:pStyle w:val="TableParagraph"/>
              <w:ind w:left="105" w:right="195"/>
              <w:jc w:val="center"/>
              <w:rPr>
                <w:sz w:val="20"/>
              </w:rPr>
            </w:pPr>
            <w:r>
              <w:rPr>
                <w:sz w:val="20"/>
              </w:rPr>
              <w:t>2.00</w:t>
            </w:r>
          </w:p>
        </w:tc>
        <w:tc>
          <w:tcPr>
            <w:tcW w:w="828" w:type="dxa"/>
            <w:tcBorders>
              <w:top w:val="nil"/>
              <w:left w:val="nil"/>
              <w:bottom w:val="nil"/>
              <w:right w:val="nil"/>
            </w:tcBorders>
          </w:tcPr>
          <w:p>
            <w:pPr>
              <w:pStyle w:val="TableParagraph"/>
              <w:ind w:right="214"/>
              <w:rPr>
                <w:sz w:val="20"/>
              </w:rPr>
            </w:pPr>
            <w:r>
              <w:rPr>
                <w:sz w:val="20"/>
              </w:rPr>
              <w:t>2.00</w:t>
            </w:r>
          </w:p>
        </w:tc>
        <w:tc>
          <w:tcPr>
            <w:tcW w:w="828" w:type="dxa"/>
            <w:tcBorders>
              <w:top w:val="nil"/>
              <w:left w:val="nil"/>
              <w:bottom w:val="nil"/>
              <w:right w:val="nil"/>
            </w:tcBorders>
          </w:tcPr>
          <w:p>
            <w:pPr>
              <w:pStyle w:val="TableParagraph"/>
              <w:ind w:left="259"/>
              <w:jc w:val="left"/>
              <w:rPr>
                <w:sz w:val="20"/>
              </w:rPr>
            </w:pPr>
            <w:r>
              <w:rPr>
                <w:sz w:val="20"/>
              </w:rPr>
              <w:t>2.00</w:t>
            </w:r>
          </w:p>
        </w:tc>
        <w:tc>
          <w:tcPr>
            <w:tcW w:w="826" w:type="dxa"/>
            <w:tcBorders>
              <w:top w:val="nil"/>
              <w:left w:val="nil"/>
              <w:bottom w:val="nil"/>
              <w:right w:val="nil"/>
            </w:tcBorders>
          </w:tcPr>
          <w:p>
            <w:pPr>
              <w:pStyle w:val="TableParagraph"/>
              <w:ind w:left="257"/>
              <w:jc w:val="left"/>
              <w:rPr>
                <w:sz w:val="20"/>
              </w:rPr>
            </w:pPr>
            <w:r>
              <w:rPr>
                <w:sz w:val="20"/>
              </w:rPr>
              <w:t>2.00</w:t>
            </w:r>
          </w:p>
        </w:tc>
        <w:tc>
          <w:tcPr>
            <w:tcW w:w="828" w:type="dxa"/>
            <w:tcBorders>
              <w:top w:val="nil"/>
              <w:left w:val="nil"/>
              <w:bottom w:val="nil"/>
              <w:right w:val="nil"/>
            </w:tcBorders>
          </w:tcPr>
          <w:p>
            <w:pPr>
              <w:pStyle w:val="TableParagraph"/>
              <w:ind w:left="257"/>
              <w:jc w:val="left"/>
              <w:rPr>
                <w:sz w:val="20"/>
              </w:rPr>
            </w:pPr>
            <w:r>
              <w:rPr>
                <w:sz w:val="20"/>
              </w:rPr>
              <w:t>2.00</w:t>
            </w:r>
          </w:p>
        </w:tc>
        <w:tc>
          <w:tcPr>
            <w:tcW w:w="828" w:type="dxa"/>
            <w:tcBorders>
              <w:top w:val="nil"/>
              <w:left w:val="nil"/>
              <w:bottom w:val="nil"/>
              <w:right w:val="nil"/>
            </w:tcBorders>
          </w:tcPr>
          <w:p>
            <w:pPr>
              <w:pStyle w:val="TableParagraph"/>
              <w:ind w:left="259"/>
              <w:jc w:val="left"/>
              <w:rPr>
                <w:sz w:val="20"/>
              </w:rPr>
            </w:pPr>
            <w:r>
              <w:rPr>
                <w:sz w:val="20"/>
              </w:rPr>
              <w:t>2.00</w:t>
            </w:r>
          </w:p>
        </w:tc>
        <w:tc>
          <w:tcPr>
            <w:tcW w:w="828" w:type="dxa"/>
            <w:tcBorders>
              <w:top w:val="nil"/>
              <w:left w:val="nil"/>
              <w:bottom w:val="nil"/>
              <w:right w:val="nil"/>
            </w:tcBorders>
          </w:tcPr>
          <w:p>
            <w:pPr>
              <w:pStyle w:val="TableParagraph"/>
              <w:ind w:left="257"/>
              <w:jc w:val="left"/>
              <w:rPr>
                <w:sz w:val="20"/>
              </w:rPr>
            </w:pPr>
            <w:r>
              <w:rPr>
                <w:sz w:val="20"/>
              </w:rPr>
              <w:t>2.00</w:t>
            </w:r>
          </w:p>
        </w:tc>
        <w:tc>
          <w:tcPr>
            <w:tcW w:w="831" w:type="dxa"/>
            <w:tcBorders>
              <w:top w:val="nil"/>
              <w:left w:val="nil"/>
              <w:bottom w:val="nil"/>
              <w:right w:val="nil"/>
            </w:tcBorders>
          </w:tcPr>
          <w:p>
            <w:pPr>
              <w:pStyle w:val="TableParagraph"/>
              <w:ind w:left="259"/>
              <w:jc w:val="left"/>
              <w:rPr>
                <w:sz w:val="20"/>
              </w:rPr>
            </w:pPr>
            <w:r>
              <w:rPr>
                <w:sz w:val="20"/>
              </w:rPr>
              <w:t>0.00</w:t>
            </w:r>
          </w:p>
        </w:tc>
        <w:tc>
          <w:tcPr>
            <w:tcW w:w="828" w:type="dxa"/>
            <w:tcBorders>
              <w:top w:val="nil"/>
              <w:left w:val="nil"/>
              <w:bottom w:val="nil"/>
              <w:right w:val="nil"/>
            </w:tcBorders>
          </w:tcPr>
          <w:p>
            <w:pPr>
              <w:pStyle w:val="TableParagraph"/>
              <w:ind w:right="211"/>
              <w:rPr>
                <w:sz w:val="20"/>
              </w:rPr>
            </w:pPr>
            <w:r>
              <w:rPr>
                <w:sz w:val="20"/>
              </w:rPr>
              <w:t>0.00</w:t>
            </w:r>
          </w:p>
        </w:tc>
        <w:tc>
          <w:tcPr>
            <w:tcW w:w="775" w:type="dxa"/>
            <w:tcBorders>
              <w:top w:val="nil"/>
              <w:left w:val="nil"/>
              <w:bottom w:val="nil"/>
              <w:right w:val="nil"/>
            </w:tcBorders>
          </w:tcPr>
          <w:p>
            <w:pPr>
              <w:pStyle w:val="TableParagraph"/>
              <w:ind w:right="60"/>
              <w:rPr>
                <w:sz w:val="20"/>
              </w:rPr>
            </w:pPr>
            <w:r>
              <w:rPr>
                <w:sz w:val="20"/>
              </w:rPr>
              <w:t>0.00</w:t>
            </w:r>
          </w:p>
        </w:tc>
      </w:tr>
      <w:tr>
        <w:trPr>
          <w:trHeight w:val="300" w:hRule="exact"/>
        </w:trPr>
        <w:tc>
          <w:tcPr>
            <w:tcW w:w="1400" w:type="dxa"/>
            <w:tcBorders>
              <w:top w:val="nil"/>
              <w:left w:val="nil"/>
              <w:bottom w:val="nil"/>
              <w:right w:val="nil"/>
            </w:tcBorders>
          </w:tcPr>
          <w:p>
            <w:pPr>
              <w:pStyle w:val="TableParagraph"/>
              <w:spacing w:before="26"/>
              <w:ind w:left="86"/>
              <w:jc w:val="left"/>
              <w:rPr>
                <w:sz w:val="20"/>
              </w:rPr>
            </w:pPr>
            <w:r>
              <w:rPr>
                <w:sz w:val="20"/>
              </w:rPr>
              <w:t>TEJ_LcFl</w:t>
            </w:r>
          </w:p>
        </w:tc>
        <w:tc>
          <w:tcPr>
            <w:tcW w:w="691" w:type="dxa"/>
            <w:tcBorders>
              <w:top w:val="nil"/>
              <w:left w:val="nil"/>
              <w:bottom w:val="nil"/>
              <w:right w:val="nil"/>
            </w:tcBorders>
          </w:tcPr>
          <w:p>
            <w:pPr>
              <w:pStyle w:val="TableParagraph"/>
              <w:spacing w:before="26"/>
              <w:ind w:left="105" w:right="195"/>
              <w:jc w:val="center"/>
              <w:rPr>
                <w:sz w:val="20"/>
              </w:rPr>
            </w:pPr>
            <w:r>
              <w:rPr>
                <w:sz w:val="20"/>
              </w:rPr>
              <w:t>2.00</w:t>
            </w:r>
          </w:p>
        </w:tc>
        <w:tc>
          <w:tcPr>
            <w:tcW w:w="828" w:type="dxa"/>
            <w:tcBorders>
              <w:top w:val="nil"/>
              <w:left w:val="nil"/>
              <w:bottom w:val="nil"/>
              <w:right w:val="nil"/>
            </w:tcBorders>
          </w:tcPr>
          <w:p>
            <w:pPr>
              <w:pStyle w:val="TableParagraph"/>
              <w:spacing w:before="26"/>
              <w:ind w:right="214"/>
              <w:rPr>
                <w:sz w:val="20"/>
              </w:rPr>
            </w:pPr>
            <w:r>
              <w:rPr>
                <w:sz w:val="20"/>
              </w:rPr>
              <w:t>2.00</w:t>
            </w:r>
          </w:p>
        </w:tc>
        <w:tc>
          <w:tcPr>
            <w:tcW w:w="828" w:type="dxa"/>
            <w:tcBorders>
              <w:top w:val="nil"/>
              <w:left w:val="nil"/>
              <w:bottom w:val="nil"/>
              <w:right w:val="nil"/>
            </w:tcBorders>
          </w:tcPr>
          <w:p>
            <w:pPr>
              <w:pStyle w:val="TableParagraph"/>
              <w:spacing w:before="26"/>
              <w:ind w:left="259"/>
              <w:jc w:val="left"/>
              <w:rPr>
                <w:sz w:val="20"/>
              </w:rPr>
            </w:pPr>
            <w:r>
              <w:rPr>
                <w:sz w:val="20"/>
              </w:rPr>
              <w:t>2.00</w:t>
            </w:r>
          </w:p>
        </w:tc>
        <w:tc>
          <w:tcPr>
            <w:tcW w:w="826" w:type="dxa"/>
            <w:tcBorders>
              <w:top w:val="nil"/>
              <w:left w:val="nil"/>
              <w:bottom w:val="nil"/>
              <w:right w:val="nil"/>
            </w:tcBorders>
          </w:tcPr>
          <w:p>
            <w:pPr>
              <w:pStyle w:val="TableParagraph"/>
              <w:spacing w:before="26"/>
              <w:ind w:left="257"/>
              <w:jc w:val="left"/>
              <w:rPr>
                <w:sz w:val="20"/>
              </w:rPr>
            </w:pPr>
            <w:r>
              <w:rPr>
                <w:sz w:val="20"/>
              </w:rPr>
              <w:t>2.00</w:t>
            </w:r>
          </w:p>
        </w:tc>
        <w:tc>
          <w:tcPr>
            <w:tcW w:w="828" w:type="dxa"/>
            <w:tcBorders>
              <w:top w:val="nil"/>
              <w:left w:val="nil"/>
              <w:bottom w:val="nil"/>
              <w:right w:val="nil"/>
            </w:tcBorders>
          </w:tcPr>
          <w:p>
            <w:pPr>
              <w:pStyle w:val="TableParagraph"/>
              <w:spacing w:before="26"/>
              <w:ind w:left="257"/>
              <w:jc w:val="left"/>
              <w:rPr>
                <w:sz w:val="20"/>
              </w:rPr>
            </w:pPr>
            <w:r>
              <w:rPr>
                <w:sz w:val="20"/>
              </w:rPr>
              <w:t>2.00</w:t>
            </w:r>
          </w:p>
        </w:tc>
        <w:tc>
          <w:tcPr>
            <w:tcW w:w="828" w:type="dxa"/>
            <w:tcBorders>
              <w:top w:val="nil"/>
              <w:left w:val="nil"/>
              <w:bottom w:val="nil"/>
              <w:right w:val="nil"/>
            </w:tcBorders>
          </w:tcPr>
          <w:p>
            <w:pPr>
              <w:pStyle w:val="TableParagraph"/>
              <w:spacing w:before="26"/>
              <w:ind w:left="259"/>
              <w:jc w:val="left"/>
              <w:rPr>
                <w:sz w:val="20"/>
              </w:rPr>
            </w:pPr>
            <w:r>
              <w:rPr>
                <w:sz w:val="20"/>
              </w:rPr>
              <w:t>2.00</w:t>
            </w:r>
          </w:p>
        </w:tc>
        <w:tc>
          <w:tcPr>
            <w:tcW w:w="828" w:type="dxa"/>
            <w:tcBorders>
              <w:top w:val="nil"/>
              <w:left w:val="nil"/>
              <w:bottom w:val="nil"/>
              <w:right w:val="nil"/>
            </w:tcBorders>
          </w:tcPr>
          <w:p>
            <w:pPr>
              <w:pStyle w:val="TableParagraph"/>
              <w:spacing w:before="26"/>
              <w:ind w:left="257"/>
              <w:jc w:val="left"/>
              <w:rPr>
                <w:sz w:val="20"/>
              </w:rPr>
            </w:pPr>
            <w:r>
              <w:rPr>
                <w:sz w:val="20"/>
              </w:rPr>
              <w:t>2.00</w:t>
            </w:r>
          </w:p>
        </w:tc>
        <w:tc>
          <w:tcPr>
            <w:tcW w:w="831" w:type="dxa"/>
            <w:tcBorders>
              <w:top w:val="nil"/>
              <w:left w:val="nil"/>
              <w:bottom w:val="nil"/>
              <w:right w:val="nil"/>
            </w:tcBorders>
          </w:tcPr>
          <w:p>
            <w:pPr>
              <w:pStyle w:val="TableParagraph"/>
              <w:spacing w:before="26"/>
              <w:ind w:left="259"/>
              <w:jc w:val="left"/>
              <w:rPr>
                <w:sz w:val="20"/>
              </w:rPr>
            </w:pPr>
            <w:r>
              <w:rPr>
                <w:sz w:val="20"/>
              </w:rPr>
              <w:t>0.00</w:t>
            </w:r>
          </w:p>
        </w:tc>
        <w:tc>
          <w:tcPr>
            <w:tcW w:w="828" w:type="dxa"/>
            <w:tcBorders>
              <w:top w:val="nil"/>
              <w:left w:val="nil"/>
              <w:bottom w:val="nil"/>
              <w:right w:val="nil"/>
            </w:tcBorders>
          </w:tcPr>
          <w:p>
            <w:pPr>
              <w:pStyle w:val="TableParagraph"/>
              <w:spacing w:before="26"/>
              <w:ind w:right="211"/>
              <w:rPr>
                <w:sz w:val="20"/>
              </w:rPr>
            </w:pPr>
            <w:r>
              <w:rPr>
                <w:sz w:val="20"/>
              </w:rPr>
              <w:t>0.00</w:t>
            </w:r>
          </w:p>
        </w:tc>
        <w:tc>
          <w:tcPr>
            <w:tcW w:w="775" w:type="dxa"/>
            <w:tcBorders>
              <w:top w:val="nil"/>
              <w:left w:val="nil"/>
              <w:bottom w:val="nil"/>
              <w:right w:val="nil"/>
            </w:tcBorders>
          </w:tcPr>
          <w:p>
            <w:pPr>
              <w:pStyle w:val="TableParagraph"/>
              <w:spacing w:before="26"/>
              <w:ind w:right="60"/>
              <w:rPr>
                <w:sz w:val="20"/>
              </w:rPr>
            </w:pPr>
            <w:r>
              <w:rPr>
                <w:sz w:val="20"/>
              </w:rPr>
              <w:t>0.00</w:t>
            </w:r>
          </w:p>
        </w:tc>
      </w:tr>
      <w:tr>
        <w:trPr>
          <w:trHeight w:val="298" w:hRule="exact"/>
        </w:trPr>
        <w:tc>
          <w:tcPr>
            <w:tcW w:w="1400" w:type="dxa"/>
            <w:tcBorders>
              <w:top w:val="nil"/>
              <w:left w:val="nil"/>
              <w:bottom w:val="nil"/>
              <w:right w:val="nil"/>
            </w:tcBorders>
          </w:tcPr>
          <w:p>
            <w:pPr>
              <w:pStyle w:val="TableParagraph"/>
              <w:spacing w:before="24"/>
              <w:ind w:left="86"/>
              <w:jc w:val="left"/>
              <w:rPr>
                <w:sz w:val="20"/>
              </w:rPr>
            </w:pPr>
            <w:r>
              <w:rPr>
                <w:sz w:val="20"/>
              </w:rPr>
              <w:t>TEJ_LcFlp</w:t>
            </w:r>
          </w:p>
        </w:tc>
        <w:tc>
          <w:tcPr>
            <w:tcW w:w="691" w:type="dxa"/>
            <w:tcBorders>
              <w:top w:val="nil"/>
              <w:left w:val="nil"/>
              <w:bottom w:val="nil"/>
              <w:right w:val="nil"/>
            </w:tcBorders>
          </w:tcPr>
          <w:p>
            <w:pPr>
              <w:pStyle w:val="TableParagraph"/>
              <w:spacing w:before="24"/>
              <w:ind w:left="105" w:right="195"/>
              <w:jc w:val="center"/>
              <w:rPr>
                <w:sz w:val="20"/>
              </w:rPr>
            </w:pPr>
            <w:r>
              <w:rPr>
                <w:sz w:val="20"/>
              </w:rPr>
              <w:t>2.00</w:t>
            </w:r>
          </w:p>
        </w:tc>
        <w:tc>
          <w:tcPr>
            <w:tcW w:w="828" w:type="dxa"/>
            <w:tcBorders>
              <w:top w:val="nil"/>
              <w:left w:val="nil"/>
              <w:bottom w:val="nil"/>
              <w:right w:val="nil"/>
            </w:tcBorders>
          </w:tcPr>
          <w:p>
            <w:pPr>
              <w:pStyle w:val="TableParagraph"/>
              <w:spacing w:before="24"/>
              <w:ind w:right="214"/>
              <w:rPr>
                <w:sz w:val="20"/>
              </w:rPr>
            </w:pPr>
            <w:r>
              <w:rPr>
                <w:sz w:val="20"/>
              </w:rPr>
              <w:t>2.00</w:t>
            </w:r>
          </w:p>
        </w:tc>
        <w:tc>
          <w:tcPr>
            <w:tcW w:w="828" w:type="dxa"/>
            <w:tcBorders>
              <w:top w:val="nil"/>
              <w:left w:val="nil"/>
              <w:bottom w:val="nil"/>
              <w:right w:val="nil"/>
            </w:tcBorders>
          </w:tcPr>
          <w:p>
            <w:pPr>
              <w:pStyle w:val="TableParagraph"/>
              <w:spacing w:before="24"/>
              <w:ind w:left="259"/>
              <w:jc w:val="left"/>
              <w:rPr>
                <w:sz w:val="20"/>
              </w:rPr>
            </w:pPr>
            <w:r>
              <w:rPr>
                <w:sz w:val="20"/>
              </w:rPr>
              <w:t>2.00</w:t>
            </w:r>
          </w:p>
        </w:tc>
        <w:tc>
          <w:tcPr>
            <w:tcW w:w="826" w:type="dxa"/>
            <w:tcBorders>
              <w:top w:val="nil"/>
              <w:left w:val="nil"/>
              <w:bottom w:val="nil"/>
              <w:right w:val="nil"/>
            </w:tcBorders>
          </w:tcPr>
          <w:p>
            <w:pPr>
              <w:pStyle w:val="TableParagraph"/>
              <w:spacing w:before="24"/>
              <w:ind w:left="257"/>
              <w:jc w:val="left"/>
              <w:rPr>
                <w:sz w:val="20"/>
              </w:rPr>
            </w:pPr>
            <w:r>
              <w:rPr>
                <w:sz w:val="20"/>
              </w:rPr>
              <w:t>2.00</w:t>
            </w:r>
          </w:p>
        </w:tc>
        <w:tc>
          <w:tcPr>
            <w:tcW w:w="828" w:type="dxa"/>
            <w:tcBorders>
              <w:top w:val="nil"/>
              <w:left w:val="nil"/>
              <w:bottom w:val="nil"/>
              <w:right w:val="nil"/>
            </w:tcBorders>
          </w:tcPr>
          <w:p>
            <w:pPr>
              <w:pStyle w:val="TableParagraph"/>
              <w:spacing w:before="24"/>
              <w:ind w:left="257"/>
              <w:jc w:val="left"/>
              <w:rPr>
                <w:sz w:val="20"/>
              </w:rPr>
            </w:pPr>
            <w:r>
              <w:rPr>
                <w:sz w:val="20"/>
              </w:rPr>
              <w:t>2.00</w:t>
            </w:r>
          </w:p>
        </w:tc>
        <w:tc>
          <w:tcPr>
            <w:tcW w:w="828" w:type="dxa"/>
            <w:tcBorders>
              <w:top w:val="nil"/>
              <w:left w:val="nil"/>
              <w:bottom w:val="nil"/>
              <w:right w:val="nil"/>
            </w:tcBorders>
          </w:tcPr>
          <w:p>
            <w:pPr>
              <w:pStyle w:val="TableParagraph"/>
              <w:spacing w:before="24"/>
              <w:ind w:left="259"/>
              <w:jc w:val="left"/>
              <w:rPr>
                <w:sz w:val="20"/>
              </w:rPr>
            </w:pPr>
            <w:r>
              <w:rPr>
                <w:sz w:val="20"/>
              </w:rPr>
              <w:t>2.00</w:t>
            </w:r>
          </w:p>
        </w:tc>
        <w:tc>
          <w:tcPr>
            <w:tcW w:w="828" w:type="dxa"/>
            <w:tcBorders>
              <w:top w:val="nil"/>
              <w:left w:val="nil"/>
              <w:bottom w:val="nil"/>
              <w:right w:val="nil"/>
            </w:tcBorders>
          </w:tcPr>
          <w:p>
            <w:pPr>
              <w:pStyle w:val="TableParagraph"/>
              <w:spacing w:before="24"/>
              <w:ind w:left="257"/>
              <w:jc w:val="left"/>
              <w:rPr>
                <w:sz w:val="20"/>
              </w:rPr>
            </w:pPr>
            <w:r>
              <w:rPr>
                <w:sz w:val="20"/>
              </w:rPr>
              <w:t>2.00</w:t>
            </w:r>
          </w:p>
        </w:tc>
        <w:tc>
          <w:tcPr>
            <w:tcW w:w="831" w:type="dxa"/>
            <w:tcBorders>
              <w:top w:val="nil"/>
              <w:left w:val="nil"/>
              <w:bottom w:val="nil"/>
              <w:right w:val="nil"/>
            </w:tcBorders>
          </w:tcPr>
          <w:p>
            <w:pPr>
              <w:pStyle w:val="TableParagraph"/>
              <w:spacing w:before="24"/>
              <w:ind w:left="259"/>
              <w:jc w:val="left"/>
              <w:rPr>
                <w:sz w:val="20"/>
              </w:rPr>
            </w:pPr>
            <w:r>
              <w:rPr>
                <w:sz w:val="20"/>
              </w:rPr>
              <w:t>0.00</w:t>
            </w:r>
          </w:p>
        </w:tc>
        <w:tc>
          <w:tcPr>
            <w:tcW w:w="828" w:type="dxa"/>
            <w:tcBorders>
              <w:top w:val="nil"/>
              <w:left w:val="nil"/>
              <w:bottom w:val="nil"/>
              <w:right w:val="nil"/>
            </w:tcBorders>
          </w:tcPr>
          <w:p>
            <w:pPr>
              <w:pStyle w:val="TableParagraph"/>
              <w:spacing w:before="24"/>
              <w:ind w:right="211"/>
              <w:rPr>
                <w:sz w:val="20"/>
              </w:rPr>
            </w:pPr>
            <w:r>
              <w:rPr>
                <w:sz w:val="20"/>
              </w:rPr>
              <w:t>0.00</w:t>
            </w:r>
          </w:p>
        </w:tc>
        <w:tc>
          <w:tcPr>
            <w:tcW w:w="775" w:type="dxa"/>
            <w:tcBorders>
              <w:top w:val="nil"/>
              <w:left w:val="nil"/>
              <w:bottom w:val="nil"/>
              <w:right w:val="nil"/>
            </w:tcBorders>
          </w:tcPr>
          <w:p>
            <w:pPr>
              <w:pStyle w:val="TableParagraph"/>
              <w:spacing w:before="24"/>
              <w:ind w:right="60"/>
              <w:rPr>
                <w:sz w:val="20"/>
              </w:rPr>
            </w:pPr>
            <w:r>
              <w:rPr>
                <w:sz w:val="20"/>
              </w:rPr>
              <w:t>0.00</w:t>
            </w:r>
          </w:p>
        </w:tc>
      </w:tr>
      <w:tr>
        <w:trPr>
          <w:trHeight w:val="300" w:hRule="exact"/>
        </w:trPr>
        <w:tc>
          <w:tcPr>
            <w:tcW w:w="1400" w:type="dxa"/>
            <w:tcBorders>
              <w:top w:val="nil"/>
              <w:left w:val="nil"/>
              <w:bottom w:val="nil"/>
              <w:right w:val="nil"/>
            </w:tcBorders>
          </w:tcPr>
          <w:p>
            <w:pPr>
              <w:pStyle w:val="TableParagraph"/>
              <w:ind w:left="86"/>
              <w:jc w:val="left"/>
              <w:rPr>
                <w:sz w:val="20"/>
              </w:rPr>
            </w:pPr>
            <w:r>
              <w:rPr>
                <w:sz w:val="20"/>
              </w:rPr>
              <w:t>TEJ_LcSF</w:t>
            </w:r>
          </w:p>
        </w:tc>
        <w:tc>
          <w:tcPr>
            <w:tcW w:w="691" w:type="dxa"/>
            <w:tcBorders>
              <w:top w:val="nil"/>
              <w:left w:val="nil"/>
              <w:bottom w:val="nil"/>
              <w:right w:val="nil"/>
            </w:tcBorders>
          </w:tcPr>
          <w:p>
            <w:pPr>
              <w:pStyle w:val="TableParagraph"/>
              <w:ind w:left="105" w:right="195"/>
              <w:jc w:val="center"/>
              <w:rPr>
                <w:sz w:val="20"/>
              </w:rPr>
            </w:pPr>
            <w:r>
              <w:rPr>
                <w:sz w:val="20"/>
              </w:rPr>
              <w:t>2.00</w:t>
            </w:r>
          </w:p>
        </w:tc>
        <w:tc>
          <w:tcPr>
            <w:tcW w:w="828" w:type="dxa"/>
            <w:tcBorders>
              <w:top w:val="nil"/>
              <w:left w:val="nil"/>
              <w:bottom w:val="nil"/>
              <w:right w:val="nil"/>
            </w:tcBorders>
          </w:tcPr>
          <w:p>
            <w:pPr>
              <w:pStyle w:val="TableParagraph"/>
              <w:ind w:right="214"/>
              <w:rPr>
                <w:sz w:val="20"/>
              </w:rPr>
            </w:pPr>
            <w:r>
              <w:rPr>
                <w:sz w:val="20"/>
              </w:rPr>
              <w:t>2.00</w:t>
            </w:r>
          </w:p>
        </w:tc>
        <w:tc>
          <w:tcPr>
            <w:tcW w:w="828" w:type="dxa"/>
            <w:tcBorders>
              <w:top w:val="nil"/>
              <w:left w:val="nil"/>
              <w:bottom w:val="nil"/>
              <w:right w:val="nil"/>
            </w:tcBorders>
          </w:tcPr>
          <w:p>
            <w:pPr>
              <w:pStyle w:val="TableParagraph"/>
              <w:ind w:left="259"/>
              <w:jc w:val="left"/>
              <w:rPr>
                <w:sz w:val="20"/>
              </w:rPr>
            </w:pPr>
            <w:r>
              <w:rPr>
                <w:sz w:val="20"/>
              </w:rPr>
              <w:t>2.00</w:t>
            </w:r>
          </w:p>
        </w:tc>
        <w:tc>
          <w:tcPr>
            <w:tcW w:w="826" w:type="dxa"/>
            <w:tcBorders>
              <w:top w:val="nil"/>
              <w:left w:val="nil"/>
              <w:bottom w:val="nil"/>
              <w:right w:val="nil"/>
            </w:tcBorders>
          </w:tcPr>
          <w:p>
            <w:pPr>
              <w:pStyle w:val="TableParagraph"/>
              <w:ind w:left="257"/>
              <w:jc w:val="left"/>
              <w:rPr>
                <w:sz w:val="20"/>
              </w:rPr>
            </w:pPr>
            <w:r>
              <w:rPr>
                <w:sz w:val="20"/>
              </w:rPr>
              <w:t>2.00</w:t>
            </w:r>
          </w:p>
        </w:tc>
        <w:tc>
          <w:tcPr>
            <w:tcW w:w="828" w:type="dxa"/>
            <w:tcBorders>
              <w:top w:val="nil"/>
              <w:left w:val="nil"/>
              <w:bottom w:val="nil"/>
              <w:right w:val="nil"/>
            </w:tcBorders>
          </w:tcPr>
          <w:p>
            <w:pPr>
              <w:pStyle w:val="TableParagraph"/>
              <w:ind w:left="257"/>
              <w:jc w:val="left"/>
              <w:rPr>
                <w:sz w:val="20"/>
              </w:rPr>
            </w:pPr>
            <w:r>
              <w:rPr>
                <w:sz w:val="20"/>
              </w:rPr>
              <w:t>2.00</w:t>
            </w:r>
          </w:p>
        </w:tc>
        <w:tc>
          <w:tcPr>
            <w:tcW w:w="828" w:type="dxa"/>
            <w:tcBorders>
              <w:top w:val="nil"/>
              <w:left w:val="nil"/>
              <w:bottom w:val="nil"/>
              <w:right w:val="nil"/>
            </w:tcBorders>
          </w:tcPr>
          <w:p>
            <w:pPr>
              <w:pStyle w:val="TableParagraph"/>
              <w:ind w:left="259"/>
              <w:jc w:val="left"/>
              <w:rPr>
                <w:sz w:val="20"/>
              </w:rPr>
            </w:pPr>
            <w:r>
              <w:rPr>
                <w:sz w:val="20"/>
              </w:rPr>
              <w:t>2.00</w:t>
            </w:r>
          </w:p>
        </w:tc>
        <w:tc>
          <w:tcPr>
            <w:tcW w:w="828" w:type="dxa"/>
            <w:tcBorders>
              <w:top w:val="nil"/>
              <w:left w:val="nil"/>
              <w:bottom w:val="nil"/>
              <w:right w:val="nil"/>
            </w:tcBorders>
          </w:tcPr>
          <w:p>
            <w:pPr>
              <w:pStyle w:val="TableParagraph"/>
              <w:ind w:left="257"/>
              <w:jc w:val="left"/>
              <w:rPr>
                <w:sz w:val="20"/>
              </w:rPr>
            </w:pPr>
            <w:r>
              <w:rPr>
                <w:sz w:val="20"/>
              </w:rPr>
              <w:t>2.00</w:t>
            </w:r>
          </w:p>
        </w:tc>
        <w:tc>
          <w:tcPr>
            <w:tcW w:w="831" w:type="dxa"/>
            <w:tcBorders>
              <w:top w:val="nil"/>
              <w:left w:val="nil"/>
              <w:bottom w:val="nil"/>
              <w:right w:val="nil"/>
            </w:tcBorders>
          </w:tcPr>
          <w:p>
            <w:pPr>
              <w:pStyle w:val="TableParagraph"/>
              <w:ind w:left="259"/>
              <w:jc w:val="left"/>
              <w:rPr>
                <w:sz w:val="20"/>
              </w:rPr>
            </w:pPr>
            <w:r>
              <w:rPr>
                <w:sz w:val="20"/>
              </w:rPr>
              <w:t>0.00</w:t>
            </w:r>
          </w:p>
        </w:tc>
        <w:tc>
          <w:tcPr>
            <w:tcW w:w="828" w:type="dxa"/>
            <w:tcBorders>
              <w:top w:val="nil"/>
              <w:left w:val="nil"/>
              <w:bottom w:val="nil"/>
              <w:right w:val="nil"/>
            </w:tcBorders>
          </w:tcPr>
          <w:p>
            <w:pPr>
              <w:pStyle w:val="TableParagraph"/>
              <w:ind w:right="211"/>
              <w:rPr>
                <w:sz w:val="20"/>
              </w:rPr>
            </w:pPr>
            <w:r>
              <w:rPr>
                <w:sz w:val="20"/>
              </w:rPr>
              <w:t>0.00</w:t>
            </w:r>
          </w:p>
        </w:tc>
        <w:tc>
          <w:tcPr>
            <w:tcW w:w="775" w:type="dxa"/>
            <w:tcBorders>
              <w:top w:val="nil"/>
              <w:left w:val="nil"/>
              <w:bottom w:val="nil"/>
              <w:right w:val="nil"/>
            </w:tcBorders>
          </w:tcPr>
          <w:p>
            <w:pPr>
              <w:pStyle w:val="TableParagraph"/>
              <w:ind w:right="60"/>
              <w:rPr>
                <w:sz w:val="20"/>
              </w:rPr>
            </w:pPr>
            <w:r>
              <w:rPr>
                <w:sz w:val="20"/>
              </w:rPr>
              <w:t>0.00</w:t>
            </w:r>
          </w:p>
        </w:tc>
      </w:tr>
      <w:tr>
        <w:trPr>
          <w:trHeight w:val="300" w:hRule="exact"/>
        </w:trPr>
        <w:tc>
          <w:tcPr>
            <w:tcW w:w="1400" w:type="dxa"/>
            <w:tcBorders>
              <w:top w:val="nil"/>
              <w:left w:val="nil"/>
              <w:bottom w:val="nil"/>
              <w:right w:val="nil"/>
            </w:tcBorders>
          </w:tcPr>
          <w:p>
            <w:pPr>
              <w:pStyle w:val="TableParagraph"/>
              <w:spacing w:before="26"/>
              <w:ind w:left="86"/>
              <w:jc w:val="left"/>
              <w:rPr>
                <w:sz w:val="20"/>
              </w:rPr>
            </w:pPr>
            <w:r>
              <w:rPr>
                <w:sz w:val="20"/>
              </w:rPr>
              <w:t>TEJ_TmFlp</w:t>
            </w:r>
          </w:p>
        </w:tc>
        <w:tc>
          <w:tcPr>
            <w:tcW w:w="691" w:type="dxa"/>
            <w:tcBorders>
              <w:top w:val="nil"/>
              <w:left w:val="nil"/>
              <w:bottom w:val="nil"/>
              <w:right w:val="nil"/>
            </w:tcBorders>
          </w:tcPr>
          <w:p>
            <w:pPr>
              <w:pStyle w:val="TableParagraph"/>
              <w:spacing w:before="26"/>
              <w:ind w:left="105" w:right="195"/>
              <w:jc w:val="center"/>
              <w:rPr>
                <w:sz w:val="20"/>
              </w:rPr>
            </w:pPr>
            <w:r>
              <w:rPr>
                <w:sz w:val="20"/>
              </w:rPr>
              <w:t>4.00</w:t>
            </w:r>
          </w:p>
        </w:tc>
        <w:tc>
          <w:tcPr>
            <w:tcW w:w="828" w:type="dxa"/>
            <w:tcBorders>
              <w:top w:val="nil"/>
              <w:left w:val="nil"/>
              <w:bottom w:val="nil"/>
              <w:right w:val="nil"/>
            </w:tcBorders>
          </w:tcPr>
          <w:p>
            <w:pPr>
              <w:pStyle w:val="TableParagraph"/>
              <w:spacing w:before="26"/>
              <w:ind w:right="214"/>
              <w:rPr>
                <w:sz w:val="20"/>
              </w:rPr>
            </w:pPr>
            <w:r>
              <w:rPr>
                <w:sz w:val="20"/>
              </w:rPr>
              <w:t>4.00</w:t>
            </w:r>
          </w:p>
        </w:tc>
        <w:tc>
          <w:tcPr>
            <w:tcW w:w="828" w:type="dxa"/>
            <w:tcBorders>
              <w:top w:val="nil"/>
              <w:left w:val="nil"/>
              <w:bottom w:val="nil"/>
              <w:right w:val="nil"/>
            </w:tcBorders>
          </w:tcPr>
          <w:p>
            <w:pPr>
              <w:pStyle w:val="TableParagraph"/>
              <w:spacing w:before="26"/>
              <w:ind w:left="259"/>
              <w:jc w:val="left"/>
              <w:rPr>
                <w:sz w:val="20"/>
              </w:rPr>
            </w:pPr>
            <w:r>
              <w:rPr>
                <w:sz w:val="20"/>
              </w:rPr>
              <w:t>4.00</w:t>
            </w:r>
          </w:p>
        </w:tc>
        <w:tc>
          <w:tcPr>
            <w:tcW w:w="826" w:type="dxa"/>
            <w:tcBorders>
              <w:top w:val="nil"/>
              <w:left w:val="nil"/>
              <w:bottom w:val="nil"/>
              <w:right w:val="nil"/>
            </w:tcBorders>
          </w:tcPr>
          <w:p>
            <w:pPr>
              <w:pStyle w:val="TableParagraph"/>
              <w:spacing w:before="26"/>
              <w:ind w:left="257"/>
              <w:jc w:val="left"/>
              <w:rPr>
                <w:sz w:val="20"/>
              </w:rPr>
            </w:pPr>
            <w:r>
              <w:rPr>
                <w:sz w:val="20"/>
              </w:rPr>
              <w:t>4.00</w:t>
            </w:r>
          </w:p>
        </w:tc>
        <w:tc>
          <w:tcPr>
            <w:tcW w:w="828" w:type="dxa"/>
            <w:tcBorders>
              <w:top w:val="nil"/>
              <w:left w:val="nil"/>
              <w:bottom w:val="nil"/>
              <w:right w:val="nil"/>
            </w:tcBorders>
          </w:tcPr>
          <w:p>
            <w:pPr>
              <w:pStyle w:val="TableParagraph"/>
              <w:spacing w:before="26"/>
              <w:ind w:left="257"/>
              <w:jc w:val="left"/>
              <w:rPr>
                <w:sz w:val="20"/>
              </w:rPr>
            </w:pPr>
            <w:r>
              <w:rPr>
                <w:sz w:val="20"/>
              </w:rPr>
              <w:t>4.00</w:t>
            </w:r>
          </w:p>
        </w:tc>
        <w:tc>
          <w:tcPr>
            <w:tcW w:w="828" w:type="dxa"/>
            <w:tcBorders>
              <w:top w:val="nil"/>
              <w:left w:val="nil"/>
              <w:bottom w:val="nil"/>
              <w:right w:val="nil"/>
            </w:tcBorders>
          </w:tcPr>
          <w:p>
            <w:pPr>
              <w:pStyle w:val="TableParagraph"/>
              <w:spacing w:before="26"/>
              <w:ind w:left="259"/>
              <w:jc w:val="left"/>
              <w:rPr>
                <w:sz w:val="20"/>
              </w:rPr>
            </w:pPr>
            <w:r>
              <w:rPr>
                <w:sz w:val="20"/>
              </w:rPr>
              <w:t>4.00</w:t>
            </w:r>
          </w:p>
        </w:tc>
        <w:tc>
          <w:tcPr>
            <w:tcW w:w="828" w:type="dxa"/>
            <w:tcBorders>
              <w:top w:val="nil"/>
              <w:left w:val="nil"/>
              <w:bottom w:val="nil"/>
              <w:right w:val="nil"/>
            </w:tcBorders>
          </w:tcPr>
          <w:p>
            <w:pPr>
              <w:pStyle w:val="TableParagraph"/>
              <w:spacing w:before="26"/>
              <w:ind w:left="257"/>
              <w:jc w:val="left"/>
              <w:rPr>
                <w:sz w:val="20"/>
              </w:rPr>
            </w:pPr>
            <w:r>
              <w:rPr>
                <w:sz w:val="20"/>
              </w:rPr>
              <w:t>4.00</w:t>
            </w:r>
          </w:p>
        </w:tc>
        <w:tc>
          <w:tcPr>
            <w:tcW w:w="831" w:type="dxa"/>
            <w:tcBorders>
              <w:top w:val="nil"/>
              <w:left w:val="nil"/>
              <w:bottom w:val="nil"/>
              <w:right w:val="nil"/>
            </w:tcBorders>
          </w:tcPr>
          <w:p>
            <w:pPr>
              <w:pStyle w:val="TableParagraph"/>
              <w:spacing w:before="26"/>
              <w:ind w:left="259"/>
              <w:jc w:val="left"/>
              <w:rPr>
                <w:sz w:val="20"/>
              </w:rPr>
            </w:pPr>
            <w:r>
              <w:rPr>
                <w:sz w:val="20"/>
              </w:rPr>
              <w:t>0.00</w:t>
            </w:r>
          </w:p>
        </w:tc>
        <w:tc>
          <w:tcPr>
            <w:tcW w:w="828" w:type="dxa"/>
            <w:tcBorders>
              <w:top w:val="nil"/>
              <w:left w:val="nil"/>
              <w:bottom w:val="nil"/>
              <w:right w:val="nil"/>
            </w:tcBorders>
          </w:tcPr>
          <w:p>
            <w:pPr>
              <w:pStyle w:val="TableParagraph"/>
              <w:spacing w:before="26"/>
              <w:ind w:right="211"/>
              <w:rPr>
                <w:sz w:val="20"/>
              </w:rPr>
            </w:pPr>
            <w:r>
              <w:rPr>
                <w:sz w:val="20"/>
              </w:rPr>
              <w:t>0.00</w:t>
            </w:r>
          </w:p>
        </w:tc>
        <w:tc>
          <w:tcPr>
            <w:tcW w:w="775" w:type="dxa"/>
            <w:tcBorders>
              <w:top w:val="nil"/>
              <w:left w:val="nil"/>
              <w:bottom w:val="nil"/>
              <w:right w:val="nil"/>
            </w:tcBorders>
          </w:tcPr>
          <w:p>
            <w:pPr>
              <w:pStyle w:val="TableParagraph"/>
              <w:spacing w:before="26"/>
              <w:ind w:right="60"/>
              <w:rPr>
                <w:sz w:val="20"/>
              </w:rPr>
            </w:pPr>
            <w:r>
              <w:rPr>
                <w:sz w:val="20"/>
              </w:rPr>
              <w:t>0.00</w:t>
            </w:r>
          </w:p>
        </w:tc>
      </w:tr>
      <w:tr>
        <w:trPr>
          <w:trHeight w:val="298" w:hRule="exact"/>
        </w:trPr>
        <w:tc>
          <w:tcPr>
            <w:tcW w:w="1400" w:type="dxa"/>
            <w:tcBorders>
              <w:top w:val="nil"/>
              <w:left w:val="nil"/>
              <w:bottom w:val="nil"/>
              <w:right w:val="nil"/>
            </w:tcBorders>
          </w:tcPr>
          <w:p>
            <w:pPr>
              <w:pStyle w:val="TableParagraph"/>
              <w:ind w:left="86"/>
              <w:jc w:val="left"/>
              <w:rPr>
                <w:sz w:val="20"/>
              </w:rPr>
            </w:pPr>
            <w:r>
              <w:rPr>
                <w:sz w:val="20"/>
              </w:rPr>
              <w:t>TEJ_ToSF</w:t>
            </w:r>
          </w:p>
        </w:tc>
        <w:tc>
          <w:tcPr>
            <w:tcW w:w="691" w:type="dxa"/>
            <w:tcBorders>
              <w:top w:val="nil"/>
              <w:left w:val="nil"/>
              <w:bottom w:val="nil"/>
              <w:right w:val="nil"/>
            </w:tcBorders>
          </w:tcPr>
          <w:p>
            <w:pPr>
              <w:pStyle w:val="TableParagraph"/>
              <w:ind w:left="105" w:right="195"/>
              <w:jc w:val="center"/>
              <w:rPr>
                <w:sz w:val="20"/>
              </w:rPr>
            </w:pPr>
            <w:r>
              <w:rPr>
                <w:sz w:val="20"/>
              </w:rPr>
              <w:t>4.00</w:t>
            </w:r>
          </w:p>
        </w:tc>
        <w:tc>
          <w:tcPr>
            <w:tcW w:w="828" w:type="dxa"/>
            <w:tcBorders>
              <w:top w:val="nil"/>
              <w:left w:val="nil"/>
              <w:bottom w:val="nil"/>
              <w:right w:val="nil"/>
            </w:tcBorders>
          </w:tcPr>
          <w:p>
            <w:pPr>
              <w:pStyle w:val="TableParagraph"/>
              <w:ind w:right="214"/>
              <w:rPr>
                <w:sz w:val="20"/>
              </w:rPr>
            </w:pPr>
            <w:r>
              <w:rPr>
                <w:sz w:val="20"/>
              </w:rPr>
              <w:t>4.00</w:t>
            </w:r>
          </w:p>
        </w:tc>
        <w:tc>
          <w:tcPr>
            <w:tcW w:w="828" w:type="dxa"/>
            <w:tcBorders>
              <w:top w:val="nil"/>
              <w:left w:val="nil"/>
              <w:bottom w:val="nil"/>
              <w:right w:val="nil"/>
            </w:tcBorders>
          </w:tcPr>
          <w:p>
            <w:pPr>
              <w:pStyle w:val="TableParagraph"/>
              <w:ind w:left="259"/>
              <w:jc w:val="left"/>
              <w:rPr>
                <w:sz w:val="20"/>
              </w:rPr>
            </w:pPr>
            <w:r>
              <w:rPr>
                <w:sz w:val="20"/>
              </w:rPr>
              <w:t>4.00</w:t>
            </w:r>
          </w:p>
        </w:tc>
        <w:tc>
          <w:tcPr>
            <w:tcW w:w="826" w:type="dxa"/>
            <w:tcBorders>
              <w:top w:val="nil"/>
              <w:left w:val="nil"/>
              <w:bottom w:val="nil"/>
              <w:right w:val="nil"/>
            </w:tcBorders>
          </w:tcPr>
          <w:p>
            <w:pPr>
              <w:pStyle w:val="TableParagraph"/>
              <w:ind w:left="257"/>
              <w:jc w:val="left"/>
              <w:rPr>
                <w:sz w:val="20"/>
              </w:rPr>
            </w:pPr>
            <w:r>
              <w:rPr>
                <w:sz w:val="20"/>
              </w:rPr>
              <w:t>4.00</w:t>
            </w:r>
          </w:p>
        </w:tc>
        <w:tc>
          <w:tcPr>
            <w:tcW w:w="828" w:type="dxa"/>
            <w:tcBorders>
              <w:top w:val="nil"/>
              <w:left w:val="nil"/>
              <w:bottom w:val="nil"/>
              <w:right w:val="nil"/>
            </w:tcBorders>
          </w:tcPr>
          <w:p>
            <w:pPr>
              <w:pStyle w:val="TableParagraph"/>
              <w:ind w:left="257"/>
              <w:jc w:val="left"/>
              <w:rPr>
                <w:sz w:val="20"/>
              </w:rPr>
            </w:pPr>
            <w:r>
              <w:rPr>
                <w:sz w:val="20"/>
              </w:rPr>
              <w:t>4.00</w:t>
            </w:r>
          </w:p>
        </w:tc>
        <w:tc>
          <w:tcPr>
            <w:tcW w:w="828" w:type="dxa"/>
            <w:tcBorders>
              <w:top w:val="nil"/>
              <w:left w:val="nil"/>
              <w:bottom w:val="nil"/>
              <w:right w:val="nil"/>
            </w:tcBorders>
          </w:tcPr>
          <w:p>
            <w:pPr>
              <w:pStyle w:val="TableParagraph"/>
              <w:ind w:left="259"/>
              <w:jc w:val="left"/>
              <w:rPr>
                <w:sz w:val="20"/>
              </w:rPr>
            </w:pPr>
            <w:r>
              <w:rPr>
                <w:sz w:val="20"/>
              </w:rPr>
              <w:t>4.00</w:t>
            </w:r>
          </w:p>
        </w:tc>
        <w:tc>
          <w:tcPr>
            <w:tcW w:w="828" w:type="dxa"/>
            <w:tcBorders>
              <w:top w:val="nil"/>
              <w:left w:val="nil"/>
              <w:bottom w:val="nil"/>
              <w:right w:val="nil"/>
            </w:tcBorders>
          </w:tcPr>
          <w:p>
            <w:pPr>
              <w:pStyle w:val="TableParagraph"/>
              <w:ind w:left="257"/>
              <w:jc w:val="left"/>
              <w:rPr>
                <w:sz w:val="20"/>
              </w:rPr>
            </w:pPr>
            <w:r>
              <w:rPr>
                <w:sz w:val="20"/>
              </w:rPr>
              <w:t>4.00</w:t>
            </w:r>
          </w:p>
        </w:tc>
        <w:tc>
          <w:tcPr>
            <w:tcW w:w="831" w:type="dxa"/>
            <w:tcBorders>
              <w:top w:val="nil"/>
              <w:left w:val="nil"/>
              <w:bottom w:val="nil"/>
              <w:right w:val="nil"/>
            </w:tcBorders>
          </w:tcPr>
          <w:p>
            <w:pPr>
              <w:pStyle w:val="TableParagraph"/>
              <w:ind w:left="259"/>
              <w:jc w:val="left"/>
              <w:rPr>
                <w:sz w:val="20"/>
              </w:rPr>
            </w:pPr>
            <w:r>
              <w:rPr>
                <w:sz w:val="20"/>
              </w:rPr>
              <w:t>0.00</w:t>
            </w:r>
          </w:p>
        </w:tc>
        <w:tc>
          <w:tcPr>
            <w:tcW w:w="828" w:type="dxa"/>
            <w:tcBorders>
              <w:top w:val="nil"/>
              <w:left w:val="nil"/>
              <w:bottom w:val="nil"/>
              <w:right w:val="nil"/>
            </w:tcBorders>
          </w:tcPr>
          <w:p>
            <w:pPr>
              <w:pStyle w:val="TableParagraph"/>
              <w:ind w:right="211"/>
              <w:rPr>
                <w:sz w:val="20"/>
              </w:rPr>
            </w:pPr>
            <w:r>
              <w:rPr>
                <w:sz w:val="20"/>
              </w:rPr>
              <w:t>0.00</w:t>
            </w:r>
          </w:p>
        </w:tc>
        <w:tc>
          <w:tcPr>
            <w:tcW w:w="775" w:type="dxa"/>
            <w:tcBorders>
              <w:top w:val="nil"/>
              <w:left w:val="nil"/>
              <w:bottom w:val="nil"/>
              <w:right w:val="nil"/>
            </w:tcBorders>
          </w:tcPr>
          <w:p>
            <w:pPr>
              <w:pStyle w:val="TableParagraph"/>
              <w:ind w:right="60"/>
              <w:rPr>
                <w:sz w:val="20"/>
              </w:rPr>
            </w:pPr>
            <w:r>
              <w:rPr>
                <w:sz w:val="20"/>
              </w:rPr>
              <w:t>0.00</w:t>
            </w:r>
          </w:p>
        </w:tc>
      </w:tr>
      <w:tr>
        <w:trPr>
          <w:trHeight w:val="300" w:hRule="exact"/>
        </w:trPr>
        <w:tc>
          <w:tcPr>
            <w:tcW w:w="1400" w:type="dxa"/>
            <w:tcBorders>
              <w:top w:val="nil"/>
              <w:left w:val="nil"/>
              <w:bottom w:val="nil"/>
              <w:right w:val="nil"/>
            </w:tcBorders>
          </w:tcPr>
          <w:p>
            <w:pPr>
              <w:pStyle w:val="TableParagraph"/>
              <w:ind w:left="86"/>
              <w:jc w:val="left"/>
              <w:rPr>
                <w:sz w:val="20"/>
              </w:rPr>
            </w:pPr>
            <w:r>
              <w:rPr>
                <w:sz w:val="20"/>
              </w:rPr>
              <w:t>TEJ_VpFd</w:t>
            </w:r>
          </w:p>
        </w:tc>
        <w:tc>
          <w:tcPr>
            <w:tcW w:w="691" w:type="dxa"/>
            <w:tcBorders>
              <w:top w:val="nil"/>
              <w:left w:val="nil"/>
              <w:bottom w:val="nil"/>
              <w:right w:val="nil"/>
            </w:tcBorders>
          </w:tcPr>
          <w:p>
            <w:pPr>
              <w:pStyle w:val="TableParagraph"/>
              <w:ind w:left="105" w:right="195"/>
              <w:jc w:val="center"/>
              <w:rPr>
                <w:sz w:val="20"/>
              </w:rPr>
            </w:pPr>
            <w:r>
              <w:rPr>
                <w:sz w:val="20"/>
              </w:rPr>
              <w:t>4.00</w:t>
            </w:r>
          </w:p>
        </w:tc>
        <w:tc>
          <w:tcPr>
            <w:tcW w:w="828" w:type="dxa"/>
            <w:tcBorders>
              <w:top w:val="nil"/>
              <w:left w:val="nil"/>
              <w:bottom w:val="nil"/>
              <w:right w:val="nil"/>
            </w:tcBorders>
          </w:tcPr>
          <w:p>
            <w:pPr>
              <w:pStyle w:val="TableParagraph"/>
              <w:ind w:right="214"/>
              <w:rPr>
                <w:sz w:val="20"/>
              </w:rPr>
            </w:pPr>
            <w:r>
              <w:rPr>
                <w:sz w:val="20"/>
              </w:rPr>
              <w:t>4.00</w:t>
            </w:r>
          </w:p>
        </w:tc>
        <w:tc>
          <w:tcPr>
            <w:tcW w:w="828" w:type="dxa"/>
            <w:tcBorders>
              <w:top w:val="nil"/>
              <w:left w:val="nil"/>
              <w:bottom w:val="nil"/>
              <w:right w:val="nil"/>
            </w:tcBorders>
          </w:tcPr>
          <w:p>
            <w:pPr>
              <w:pStyle w:val="TableParagraph"/>
              <w:ind w:left="259"/>
              <w:jc w:val="left"/>
              <w:rPr>
                <w:sz w:val="20"/>
              </w:rPr>
            </w:pPr>
            <w:r>
              <w:rPr>
                <w:sz w:val="20"/>
              </w:rPr>
              <w:t>4.00</w:t>
            </w:r>
          </w:p>
        </w:tc>
        <w:tc>
          <w:tcPr>
            <w:tcW w:w="826" w:type="dxa"/>
            <w:tcBorders>
              <w:top w:val="nil"/>
              <w:left w:val="nil"/>
              <w:bottom w:val="nil"/>
              <w:right w:val="nil"/>
            </w:tcBorders>
          </w:tcPr>
          <w:p>
            <w:pPr>
              <w:pStyle w:val="TableParagraph"/>
              <w:ind w:left="257"/>
              <w:jc w:val="left"/>
              <w:rPr>
                <w:sz w:val="20"/>
              </w:rPr>
            </w:pPr>
            <w:r>
              <w:rPr>
                <w:sz w:val="20"/>
              </w:rPr>
              <w:t>4.00</w:t>
            </w:r>
          </w:p>
        </w:tc>
        <w:tc>
          <w:tcPr>
            <w:tcW w:w="828" w:type="dxa"/>
            <w:tcBorders>
              <w:top w:val="nil"/>
              <w:left w:val="nil"/>
              <w:bottom w:val="nil"/>
              <w:right w:val="nil"/>
            </w:tcBorders>
          </w:tcPr>
          <w:p>
            <w:pPr>
              <w:pStyle w:val="TableParagraph"/>
              <w:ind w:left="257"/>
              <w:jc w:val="left"/>
              <w:rPr>
                <w:sz w:val="20"/>
              </w:rPr>
            </w:pPr>
            <w:r>
              <w:rPr>
                <w:sz w:val="20"/>
              </w:rPr>
              <w:t>4.00</w:t>
            </w:r>
          </w:p>
        </w:tc>
        <w:tc>
          <w:tcPr>
            <w:tcW w:w="828" w:type="dxa"/>
            <w:tcBorders>
              <w:top w:val="nil"/>
              <w:left w:val="nil"/>
              <w:bottom w:val="nil"/>
              <w:right w:val="nil"/>
            </w:tcBorders>
          </w:tcPr>
          <w:p>
            <w:pPr>
              <w:pStyle w:val="TableParagraph"/>
              <w:ind w:left="259"/>
              <w:jc w:val="left"/>
              <w:rPr>
                <w:sz w:val="20"/>
              </w:rPr>
            </w:pPr>
            <w:r>
              <w:rPr>
                <w:sz w:val="20"/>
              </w:rPr>
              <w:t>4.00</w:t>
            </w:r>
          </w:p>
        </w:tc>
        <w:tc>
          <w:tcPr>
            <w:tcW w:w="828" w:type="dxa"/>
            <w:tcBorders>
              <w:top w:val="nil"/>
              <w:left w:val="nil"/>
              <w:bottom w:val="nil"/>
              <w:right w:val="nil"/>
            </w:tcBorders>
          </w:tcPr>
          <w:p>
            <w:pPr>
              <w:pStyle w:val="TableParagraph"/>
              <w:ind w:left="257"/>
              <w:jc w:val="left"/>
              <w:rPr>
                <w:sz w:val="20"/>
              </w:rPr>
            </w:pPr>
            <w:r>
              <w:rPr>
                <w:sz w:val="20"/>
              </w:rPr>
              <w:t>4.00</w:t>
            </w:r>
          </w:p>
        </w:tc>
        <w:tc>
          <w:tcPr>
            <w:tcW w:w="831" w:type="dxa"/>
            <w:tcBorders>
              <w:top w:val="nil"/>
              <w:left w:val="nil"/>
              <w:bottom w:val="nil"/>
              <w:right w:val="nil"/>
            </w:tcBorders>
          </w:tcPr>
          <w:p>
            <w:pPr>
              <w:pStyle w:val="TableParagraph"/>
              <w:ind w:left="259"/>
              <w:jc w:val="left"/>
              <w:rPr>
                <w:sz w:val="20"/>
              </w:rPr>
            </w:pPr>
            <w:r>
              <w:rPr>
                <w:sz w:val="20"/>
              </w:rPr>
              <w:t>0.00</w:t>
            </w:r>
          </w:p>
        </w:tc>
        <w:tc>
          <w:tcPr>
            <w:tcW w:w="828" w:type="dxa"/>
            <w:tcBorders>
              <w:top w:val="nil"/>
              <w:left w:val="nil"/>
              <w:bottom w:val="nil"/>
              <w:right w:val="nil"/>
            </w:tcBorders>
          </w:tcPr>
          <w:p>
            <w:pPr>
              <w:pStyle w:val="TableParagraph"/>
              <w:ind w:right="211"/>
              <w:rPr>
                <w:sz w:val="20"/>
              </w:rPr>
            </w:pPr>
            <w:r>
              <w:rPr>
                <w:sz w:val="20"/>
              </w:rPr>
              <w:t>0.00</w:t>
            </w:r>
          </w:p>
        </w:tc>
        <w:tc>
          <w:tcPr>
            <w:tcW w:w="775" w:type="dxa"/>
            <w:tcBorders>
              <w:top w:val="nil"/>
              <w:left w:val="nil"/>
              <w:bottom w:val="nil"/>
              <w:right w:val="nil"/>
            </w:tcBorders>
          </w:tcPr>
          <w:p>
            <w:pPr>
              <w:pStyle w:val="TableParagraph"/>
              <w:ind w:right="60"/>
              <w:rPr>
                <w:sz w:val="20"/>
              </w:rPr>
            </w:pPr>
            <w:r>
              <w:rPr>
                <w:sz w:val="20"/>
              </w:rPr>
              <w:t>0.00</w:t>
            </w:r>
          </w:p>
        </w:tc>
      </w:tr>
      <w:tr>
        <w:trPr>
          <w:trHeight w:val="300" w:hRule="exact"/>
        </w:trPr>
        <w:tc>
          <w:tcPr>
            <w:tcW w:w="1400" w:type="dxa"/>
            <w:tcBorders>
              <w:top w:val="nil"/>
              <w:left w:val="nil"/>
              <w:bottom w:val="nil"/>
              <w:right w:val="nil"/>
            </w:tcBorders>
          </w:tcPr>
          <w:p>
            <w:pPr>
              <w:pStyle w:val="TableParagraph"/>
              <w:spacing w:before="26"/>
              <w:ind w:left="86"/>
              <w:jc w:val="left"/>
              <w:rPr>
                <w:sz w:val="20"/>
              </w:rPr>
            </w:pPr>
            <w:r>
              <w:rPr>
                <w:sz w:val="20"/>
              </w:rPr>
              <w:t>TEJ_VpFdp</w:t>
            </w:r>
          </w:p>
        </w:tc>
        <w:tc>
          <w:tcPr>
            <w:tcW w:w="691" w:type="dxa"/>
            <w:tcBorders>
              <w:top w:val="nil"/>
              <w:left w:val="nil"/>
              <w:bottom w:val="nil"/>
              <w:right w:val="nil"/>
            </w:tcBorders>
          </w:tcPr>
          <w:p>
            <w:pPr>
              <w:pStyle w:val="TableParagraph"/>
              <w:spacing w:before="26"/>
              <w:ind w:left="105" w:right="195"/>
              <w:jc w:val="center"/>
              <w:rPr>
                <w:sz w:val="20"/>
              </w:rPr>
            </w:pPr>
            <w:r>
              <w:rPr>
                <w:sz w:val="20"/>
              </w:rPr>
              <w:t>4.00</w:t>
            </w:r>
          </w:p>
        </w:tc>
        <w:tc>
          <w:tcPr>
            <w:tcW w:w="828" w:type="dxa"/>
            <w:tcBorders>
              <w:top w:val="nil"/>
              <w:left w:val="nil"/>
              <w:bottom w:val="nil"/>
              <w:right w:val="nil"/>
            </w:tcBorders>
          </w:tcPr>
          <w:p>
            <w:pPr>
              <w:pStyle w:val="TableParagraph"/>
              <w:spacing w:before="26"/>
              <w:ind w:right="214"/>
              <w:rPr>
                <w:sz w:val="20"/>
              </w:rPr>
            </w:pPr>
            <w:r>
              <w:rPr>
                <w:sz w:val="20"/>
              </w:rPr>
              <w:t>4.00</w:t>
            </w:r>
          </w:p>
        </w:tc>
        <w:tc>
          <w:tcPr>
            <w:tcW w:w="828" w:type="dxa"/>
            <w:tcBorders>
              <w:top w:val="nil"/>
              <w:left w:val="nil"/>
              <w:bottom w:val="nil"/>
              <w:right w:val="nil"/>
            </w:tcBorders>
          </w:tcPr>
          <w:p>
            <w:pPr>
              <w:pStyle w:val="TableParagraph"/>
              <w:spacing w:before="26"/>
              <w:ind w:left="259"/>
              <w:jc w:val="left"/>
              <w:rPr>
                <w:sz w:val="20"/>
              </w:rPr>
            </w:pPr>
            <w:r>
              <w:rPr>
                <w:sz w:val="20"/>
              </w:rPr>
              <w:t>4.00</w:t>
            </w:r>
          </w:p>
        </w:tc>
        <w:tc>
          <w:tcPr>
            <w:tcW w:w="826" w:type="dxa"/>
            <w:tcBorders>
              <w:top w:val="nil"/>
              <w:left w:val="nil"/>
              <w:bottom w:val="nil"/>
              <w:right w:val="nil"/>
            </w:tcBorders>
          </w:tcPr>
          <w:p>
            <w:pPr>
              <w:pStyle w:val="TableParagraph"/>
              <w:spacing w:before="26"/>
              <w:ind w:left="257"/>
              <w:jc w:val="left"/>
              <w:rPr>
                <w:sz w:val="20"/>
              </w:rPr>
            </w:pPr>
            <w:r>
              <w:rPr>
                <w:sz w:val="20"/>
              </w:rPr>
              <w:t>4.00</w:t>
            </w:r>
          </w:p>
        </w:tc>
        <w:tc>
          <w:tcPr>
            <w:tcW w:w="828" w:type="dxa"/>
            <w:tcBorders>
              <w:top w:val="nil"/>
              <w:left w:val="nil"/>
              <w:bottom w:val="nil"/>
              <w:right w:val="nil"/>
            </w:tcBorders>
          </w:tcPr>
          <w:p>
            <w:pPr>
              <w:pStyle w:val="TableParagraph"/>
              <w:spacing w:before="26"/>
              <w:ind w:left="257"/>
              <w:jc w:val="left"/>
              <w:rPr>
                <w:sz w:val="20"/>
              </w:rPr>
            </w:pPr>
            <w:r>
              <w:rPr>
                <w:sz w:val="20"/>
              </w:rPr>
              <w:t>4.00</w:t>
            </w:r>
          </w:p>
        </w:tc>
        <w:tc>
          <w:tcPr>
            <w:tcW w:w="828" w:type="dxa"/>
            <w:tcBorders>
              <w:top w:val="nil"/>
              <w:left w:val="nil"/>
              <w:bottom w:val="nil"/>
              <w:right w:val="nil"/>
            </w:tcBorders>
          </w:tcPr>
          <w:p>
            <w:pPr>
              <w:pStyle w:val="TableParagraph"/>
              <w:spacing w:before="26"/>
              <w:ind w:left="259"/>
              <w:jc w:val="left"/>
              <w:rPr>
                <w:sz w:val="20"/>
              </w:rPr>
            </w:pPr>
            <w:r>
              <w:rPr>
                <w:sz w:val="20"/>
              </w:rPr>
              <w:t>4.00</w:t>
            </w:r>
          </w:p>
        </w:tc>
        <w:tc>
          <w:tcPr>
            <w:tcW w:w="828" w:type="dxa"/>
            <w:tcBorders>
              <w:top w:val="nil"/>
              <w:left w:val="nil"/>
              <w:bottom w:val="nil"/>
              <w:right w:val="nil"/>
            </w:tcBorders>
          </w:tcPr>
          <w:p>
            <w:pPr>
              <w:pStyle w:val="TableParagraph"/>
              <w:spacing w:before="26"/>
              <w:ind w:left="257"/>
              <w:jc w:val="left"/>
              <w:rPr>
                <w:sz w:val="20"/>
              </w:rPr>
            </w:pPr>
            <w:r>
              <w:rPr>
                <w:sz w:val="20"/>
              </w:rPr>
              <w:t>4.00</w:t>
            </w:r>
          </w:p>
        </w:tc>
        <w:tc>
          <w:tcPr>
            <w:tcW w:w="831" w:type="dxa"/>
            <w:tcBorders>
              <w:top w:val="nil"/>
              <w:left w:val="nil"/>
              <w:bottom w:val="nil"/>
              <w:right w:val="nil"/>
            </w:tcBorders>
          </w:tcPr>
          <w:p>
            <w:pPr>
              <w:pStyle w:val="TableParagraph"/>
              <w:spacing w:before="26"/>
              <w:ind w:left="259"/>
              <w:jc w:val="left"/>
              <w:rPr>
                <w:sz w:val="20"/>
              </w:rPr>
            </w:pPr>
            <w:r>
              <w:rPr>
                <w:sz w:val="20"/>
              </w:rPr>
              <w:t>0.00</w:t>
            </w:r>
          </w:p>
        </w:tc>
        <w:tc>
          <w:tcPr>
            <w:tcW w:w="828" w:type="dxa"/>
            <w:tcBorders>
              <w:top w:val="nil"/>
              <w:left w:val="nil"/>
              <w:bottom w:val="nil"/>
              <w:right w:val="nil"/>
            </w:tcBorders>
          </w:tcPr>
          <w:p>
            <w:pPr>
              <w:pStyle w:val="TableParagraph"/>
              <w:spacing w:before="26"/>
              <w:ind w:right="211"/>
              <w:rPr>
                <w:sz w:val="20"/>
              </w:rPr>
            </w:pPr>
            <w:r>
              <w:rPr>
                <w:sz w:val="20"/>
              </w:rPr>
              <w:t>0.00</w:t>
            </w:r>
          </w:p>
        </w:tc>
        <w:tc>
          <w:tcPr>
            <w:tcW w:w="775" w:type="dxa"/>
            <w:tcBorders>
              <w:top w:val="nil"/>
              <w:left w:val="nil"/>
              <w:bottom w:val="nil"/>
              <w:right w:val="nil"/>
            </w:tcBorders>
          </w:tcPr>
          <w:p>
            <w:pPr>
              <w:pStyle w:val="TableParagraph"/>
              <w:spacing w:before="26"/>
              <w:ind w:right="60"/>
              <w:rPr>
                <w:sz w:val="20"/>
              </w:rPr>
            </w:pPr>
            <w:r>
              <w:rPr>
                <w:sz w:val="20"/>
              </w:rPr>
              <w:t>0.00</w:t>
            </w:r>
          </w:p>
        </w:tc>
      </w:tr>
      <w:tr>
        <w:trPr>
          <w:trHeight w:val="298" w:hRule="exact"/>
        </w:trPr>
        <w:tc>
          <w:tcPr>
            <w:tcW w:w="1400" w:type="dxa"/>
            <w:tcBorders>
              <w:top w:val="nil"/>
              <w:left w:val="nil"/>
              <w:bottom w:val="nil"/>
              <w:right w:val="nil"/>
            </w:tcBorders>
          </w:tcPr>
          <w:p>
            <w:pPr>
              <w:pStyle w:val="TableParagraph"/>
              <w:ind w:left="86"/>
              <w:jc w:val="left"/>
              <w:rPr>
                <w:sz w:val="20"/>
              </w:rPr>
            </w:pPr>
            <w:r>
              <w:rPr>
                <w:sz w:val="20"/>
              </w:rPr>
              <w:t>TEJ_VpSF</w:t>
            </w:r>
          </w:p>
        </w:tc>
        <w:tc>
          <w:tcPr>
            <w:tcW w:w="691" w:type="dxa"/>
            <w:tcBorders>
              <w:top w:val="nil"/>
              <w:left w:val="nil"/>
              <w:bottom w:val="nil"/>
              <w:right w:val="nil"/>
            </w:tcBorders>
          </w:tcPr>
          <w:p>
            <w:pPr>
              <w:pStyle w:val="TableParagraph"/>
              <w:ind w:left="105" w:right="195"/>
              <w:jc w:val="center"/>
              <w:rPr>
                <w:sz w:val="20"/>
              </w:rPr>
            </w:pPr>
            <w:r>
              <w:rPr>
                <w:sz w:val="20"/>
              </w:rPr>
              <w:t>4.00</w:t>
            </w:r>
          </w:p>
        </w:tc>
        <w:tc>
          <w:tcPr>
            <w:tcW w:w="828" w:type="dxa"/>
            <w:tcBorders>
              <w:top w:val="nil"/>
              <w:left w:val="nil"/>
              <w:bottom w:val="nil"/>
              <w:right w:val="nil"/>
            </w:tcBorders>
          </w:tcPr>
          <w:p>
            <w:pPr>
              <w:pStyle w:val="TableParagraph"/>
              <w:ind w:right="214"/>
              <w:rPr>
                <w:sz w:val="20"/>
              </w:rPr>
            </w:pPr>
            <w:r>
              <w:rPr>
                <w:sz w:val="20"/>
              </w:rPr>
              <w:t>4.00</w:t>
            </w:r>
          </w:p>
        </w:tc>
        <w:tc>
          <w:tcPr>
            <w:tcW w:w="828" w:type="dxa"/>
            <w:tcBorders>
              <w:top w:val="nil"/>
              <w:left w:val="nil"/>
              <w:bottom w:val="nil"/>
              <w:right w:val="nil"/>
            </w:tcBorders>
          </w:tcPr>
          <w:p>
            <w:pPr>
              <w:pStyle w:val="TableParagraph"/>
              <w:ind w:left="259"/>
              <w:jc w:val="left"/>
              <w:rPr>
                <w:sz w:val="20"/>
              </w:rPr>
            </w:pPr>
            <w:r>
              <w:rPr>
                <w:sz w:val="20"/>
              </w:rPr>
              <w:t>4.00</w:t>
            </w:r>
          </w:p>
        </w:tc>
        <w:tc>
          <w:tcPr>
            <w:tcW w:w="826" w:type="dxa"/>
            <w:tcBorders>
              <w:top w:val="nil"/>
              <w:left w:val="nil"/>
              <w:bottom w:val="nil"/>
              <w:right w:val="nil"/>
            </w:tcBorders>
          </w:tcPr>
          <w:p>
            <w:pPr>
              <w:pStyle w:val="TableParagraph"/>
              <w:ind w:left="257"/>
              <w:jc w:val="left"/>
              <w:rPr>
                <w:sz w:val="20"/>
              </w:rPr>
            </w:pPr>
            <w:r>
              <w:rPr>
                <w:sz w:val="20"/>
              </w:rPr>
              <w:t>4.00</w:t>
            </w:r>
          </w:p>
        </w:tc>
        <w:tc>
          <w:tcPr>
            <w:tcW w:w="828" w:type="dxa"/>
            <w:tcBorders>
              <w:top w:val="nil"/>
              <w:left w:val="nil"/>
              <w:bottom w:val="nil"/>
              <w:right w:val="nil"/>
            </w:tcBorders>
          </w:tcPr>
          <w:p>
            <w:pPr>
              <w:pStyle w:val="TableParagraph"/>
              <w:ind w:left="257"/>
              <w:jc w:val="left"/>
              <w:rPr>
                <w:sz w:val="20"/>
              </w:rPr>
            </w:pPr>
            <w:r>
              <w:rPr>
                <w:sz w:val="20"/>
              </w:rPr>
              <w:t>4.00</w:t>
            </w:r>
          </w:p>
        </w:tc>
        <w:tc>
          <w:tcPr>
            <w:tcW w:w="828" w:type="dxa"/>
            <w:tcBorders>
              <w:top w:val="nil"/>
              <w:left w:val="nil"/>
              <w:bottom w:val="nil"/>
              <w:right w:val="nil"/>
            </w:tcBorders>
          </w:tcPr>
          <w:p>
            <w:pPr>
              <w:pStyle w:val="TableParagraph"/>
              <w:ind w:left="259"/>
              <w:jc w:val="left"/>
              <w:rPr>
                <w:sz w:val="20"/>
              </w:rPr>
            </w:pPr>
            <w:r>
              <w:rPr>
                <w:sz w:val="20"/>
              </w:rPr>
              <w:t>4.00</w:t>
            </w:r>
          </w:p>
        </w:tc>
        <w:tc>
          <w:tcPr>
            <w:tcW w:w="828" w:type="dxa"/>
            <w:tcBorders>
              <w:top w:val="nil"/>
              <w:left w:val="nil"/>
              <w:bottom w:val="nil"/>
              <w:right w:val="nil"/>
            </w:tcBorders>
          </w:tcPr>
          <w:p>
            <w:pPr>
              <w:pStyle w:val="TableParagraph"/>
              <w:ind w:left="257"/>
              <w:jc w:val="left"/>
              <w:rPr>
                <w:sz w:val="20"/>
              </w:rPr>
            </w:pPr>
            <w:r>
              <w:rPr>
                <w:sz w:val="20"/>
              </w:rPr>
              <w:t>4.00</w:t>
            </w:r>
          </w:p>
        </w:tc>
        <w:tc>
          <w:tcPr>
            <w:tcW w:w="831" w:type="dxa"/>
            <w:tcBorders>
              <w:top w:val="nil"/>
              <w:left w:val="nil"/>
              <w:bottom w:val="nil"/>
              <w:right w:val="nil"/>
            </w:tcBorders>
          </w:tcPr>
          <w:p>
            <w:pPr>
              <w:pStyle w:val="TableParagraph"/>
              <w:ind w:left="259"/>
              <w:jc w:val="left"/>
              <w:rPr>
                <w:sz w:val="20"/>
              </w:rPr>
            </w:pPr>
            <w:r>
              <w:rPr>
                <w:sz w:val="20"/>
              </w:rPr>
              <w:t>0.00</w:t>
            </w:r>
          </w:p>
        </w:tc>
        <w:tc>
          <w:tcPr>
            <w:tcW w:w="828" w:type="dxa"/>
            <w:tcBorders>
              <w:top w:val="nil"/>
              <w:left w:val="nil"/>
              <w:bottom w:val="nil"/>
              <w:right w:val="nil"/>
            </w:tcBorders>
          </w:tcPr>
          <w:p>
            <w:pPr>
              <w:pStyle w:val="TableParagraph"/>
              <w:ind w:right="211"/>
              <w:rPr>
                <w:sz w:val="20"/>
              </w:rPr>
            </w:pPr>
            <w:r>
              <w:rPr>
                <w:sz w:val="20"/>
              </w:rPr>
              <w:t>0.00</w:t>
            </w:r>
          </w:p>
        </w:tc>
        <w:tc>
          <w:tcPr>
            <w:tcW w:w="775" w:type="dxa"/>
            <w:tcBorders>
              <w:top w:val="nil"/>
              <w:left w:val="nil"/>
              <w:bottom w:val="nil"/>
              <w:right w:val="nil"/>
            </w:tcBorders>
          </w:tcPr>
          <w:p>
            <w:pPr>
              <w:pStyle w:val="TableParagraph"/>
              <w:ind w:right="60"/>
              <w:rPr>
                <w:sz w:val="20"/>
              </w:rPr>
            </w:pPr>
            <w:r>
              <w:rPr>
                <w:sz w:val="20"/>
              </w:rPr>
              <w:t>0.00</w:t>
            </w:r>
          </w:p>
        </w:tc>
      </w:tr>
      <w:tr>
        <w:trPr>
          <w:trHeight w:val="298" w:hRule="exact"/>
        </w:trPr>
        <w:tc>
          <w:tcPr>
            <w:tcW w:w="1400" w:type="dxa"/>
            <w:tcBorders>
              <w:top w:val="nil"/>
              <w:left w:val="nil"/>
              <w:bottom w:val="nil"/>
              <w:right w:val="nil"/>
            </w:tcBorders>
          </w:tcPr>
          <w:p>
            <w:pPr>
              <w:pStyle w:val="TableParagraph"/>
              <w:ind w:left="86"/>
              <w:jc w:val="left"/>
              <w:rPr>
                <w:sz w:val="20"/>
              </w:rPr>
            </w:pPr>
            <w:r>
              <w:rPr>
                <w:sz w:val="20"/>
              </w:rPr>
              <w:t>TEJ_WmFdp</w:t>
            </w:r>
          </w:p>
        </w:tc>
        <w:tc>
          <w:tcPr>
            <w:tcW w:w="691" w:type="dxa"/>
            <w:tcBorders>
              <w:top w:val="nil"/>
              <w:left w:val="nil"/>
              <w:bottom w:val="nil"/>
              <w:right w:val="nil"/>
            </w:tcBorders>
          </w:tcPr>
          <w:p>
            <w:pPr>
              <w:pStyle w:val="TableParagraph"/>
              <w:ind w:left="105" w:right="195"/>
              <w:jc w:val="center"/>
              <w:rPr>
                <w:sz w:val="20"/>
              </w:rPr>
            </w:pPr>
            <w:r>
              <w:rPr>
                <w:sz w:val="20"/>
              </w:rPr>
              <w:t>2.00</w:t>
            </w:r>
          </w:p>
        </w:tc>
        <w:tc>
          <w:tcPr>
            <w:tcW w:w="828" w:type="dxa"/>
            <w:tcBorders>
              <w:top w:val="nil"/>
              <w:left w:val="nil"/>
              <w:bottom w:val="nil"/>
              <w:right w:val="nil"/>
            </w:tcBorders>
          </w:tcPr>
          <w:p>
            <w:pPr>
              <w:pStyle w:val="TableParagraph"/>
              <w:ind w:right="214"/>
              <w:rPr>
                <w:sz w:val="20"/>
              </w:rPr>
            </w:pPr>
            <w:r>
              <w:rPr>
                <w:sz w:val="20"/>
              </w:rPr>
              <w:t>2.00</w:t>
            </w:r>
          </w:p>
        </w:tc>
        <w:tc>
          <w:tcPr>
            <w:tcW w:w="828" w:type="dxa"/>
            <w:tcBorders>
              <w:top w:val="nil"/>
              <w:left w:val="nil"/>
              <w:bottom w:val="nil"/>
              <w:right w:val="nil"/>
            </w:tcBorders>
          </w:tcPr>
          <w:p>
            <w:pPr>
              <w:pStyle w:val="TableParagraph"/>
              <w:ind w:left="259"/>
              <w:jc w:val="left"/>
              <w:rPr>
                <w:sz w:val="20"/>
              </w:rPr>
            </w:pPr>
            <w:r>
              <w:rPr>
                <w:sz w:val="20"/>
              </w:rPr>
              <w:t>2.00</w:t>
            </w:r>
          </w:p>
        </w:tc>
        <w:tc>
          <w:tcPr>
            <w:tcW w:w="826" w:type="dxa"/>
            <w:tcBorders>
              <w:top w:val="nil"/>
              <w:left w:val="nil"/>
              <w:bottom w:val="nil"/>
              <w:right w:val="nil"/>
            </w:tcBorders>
          </w:tcPr>
          <w:p>
            <w:pPr>
              <w:pStyle w:val="TableParagraph"/>
              <w:ind w:left="257"/>
              <w:jc w:val="left"/>
              <w:rPr>
                <w:sz w:val="20"/>
              </w:rPr>
            </w:pPr>
            <w:r>
              <w:rPr>
                <w:sz w:val="20"/>
              </w:rPr>
              <w:t>2.00</w:t>
            </w:r>
          </w:p>
        </w:tc>
        <w:tc>
          <w:tcPr>
            <w:tcW w:w="828" w:type="dxa"/>
            <w:tcBorders>
              <w:top w:val="nil"/>
              <w:left w:val="nil"/>
              <w:bottom w:val="nil"/>
              <w:right w:val="nil"/>
            </w:tcBorders>
          </w:tcPr>
          <w:p>
            <w:pPr>
              <w:pStyle w:val="TableParagraph"/>
              <w:ind w:left="257"/>
              <w:jc w:val="left"/>
              <w:rPr>
                <w:sz w:val="20"/>
              </w:rPr>
            </w:pPr>
            <w:r>
              <w:rPr>
                <w:sz w:val="20"/>
              </w:rPr>
              <w:t>2.00</w:t>
            </w:r>
          </w:p>
        </w:tc>
        <w:tc>
          <w:tcPr>
            <w:tcW w:w="828" w:type="dxa"/>
            <w:tcBorders>
              <w:top w:val="nil"/>
              <w:left w:val="nil"/>
              <w:bottom w:val="nil"/>
              <w:right w:val="nil"/>
            </w:tcBorders>
          </w:tcPr>
          <w:p>
            <w:pPr>
              <w:pStyle w:val="TableParagraph"/>
              <w:ind w:left="259"/>
              <w:jc w:val="left"/>
              <w:rPr>
                <w:sz w:val="20"/>
              </w:rPr>
            </w:pPr>
            <w:r>
              <w:rPr>
                <w:sz w:val="20"/>
              </w:rPr>
              <w:t>2.00</w:t>
            </w:r>
          </w:p>
        </w:tc>
        <w:tc>
          <w:tcPr>
            <w:tcW w:w="828" w:type="dxa"/>
            <w:tcBorders>
              <w:top w:val="nil"/>
              <w:left w:val="nil"/>
              <w:bottom w:val="nil"/>
              <w:right w:val="nil"/>
            </w:tcBorders>
          </w:tcPr>
          <w:p>
            <w:pPr>
              <w:pStyle w:val="TableParagraph"/>
              <w:ind w:left="257"/>
              <w:jc w:val="left"/>
              <w:rPr>
                <w:sz w:val="20"/>
              </w:rPr>
            </w:pPr>
            <w:r>
              <w:rPr>
                <w:sz w:val="20"/>
              </w:rPr>
              <w:t>2.00</w:t>
            </w:r>
          </w:p>
        </w:tc>
        <w:tc>
          <w:tcPr>
            <w:tcW w:w="831" w:type="dxa"/>
            <w:tcBorders>
              <w:top w:val="nil"/>
              <w:left w:val="nil"/>
              <w:bottom w:val="nil"/>
              <w:right w:val="nil"/>
            </w:tcBorders>
          </w:tcPr>
          <w:p>
            <w:pPr>
              <w:pStyle w:val="TableParagraph"/>
              <w:ind w:left="259"/>
              <w:jc w:val="left"/>
              <w:rPr>
                <w:sz w:val="20"/>
              </w:rPr>
            </w:pPr>
            <w:r>
              <w:rPr>
                <w:sz w:val="20"/>
              </w:rPr>
              <w:t>0.00</w:t>
            </w:r>
          </w:p>
        </w:tc>
        <w:tc>
          <w:tcPr>
            <w:tcW w:w="828" w:type="dxa"/>
            <w:tcBorders>
              <w:top w:val="nil"/>
              <w:left w:val="nil"/>
              <w:bottom w:val="nil"/>
              <w:right w:val="nil"/>
            </w:tcBorders>
          </w:tcPr>
          <w:p>
            <w:pPr>
              <w:pStyle w:val="TableParagraph"/>
              <w:ind w:right="211"/>
              <w:rPr>
                <w:sz w:val="20"/>
              </w:rPr>
            </w:pPr>
            <w:r>
              <w:rPr>
                <w:sz w:val="20"/>
              </w:rPr>
              <w:t>0.00</w:t>
            </w:r>
          </w:p>
        </w:tc>
        <w:tc>
          <w:tcPr>
            <w:tcW w:w="775" w:type="dxa"/>
            <w:tcBorders>
              <w:top w:val="nil"/>
              <w:left w:val="nil"/>
              <w:bottom w:val="nil"/>
              <w:right w:val="nil"/>
            </w:tcBorders>
          </w:tcPr>
          <w:p>
            <w:pPr>
              <w:pStyle w:val="TableParagraph"/>
              <w:ind w:right="60"/>
              <w:rPr>
                <w:sz w:val="20"/>
              </w:rPr>
            </w:pPr>
            <w:r>
              <w:rPr>
                <w:sz w:val="20"/>
              </w:rPr>
              <w:t>0.00</w:t>
            </w:r>
          </w:p>
        </w:tc>
      </w:tr>
      <w:tr>
        <w:trPr>
          <w:trHeight w:val="268" w:hRule="exact"/>
        </w:trPr>
        <w:tc>
          <w:tcPr>
            <w:tcW w:w="1400" w:type="dxa"/>
            <w:tcBorders>
              <w:top w:val="nil"/>
              <w:left w:val="nil"/>
              <w:right w:val="nil"/>
            </w:tcBorders>
          </w:tcPr>
          <w:p>
            <w:pPr>
              <w:pStyle w:val="TableParagraph"/>
              <w:ind w:left="86"/>
              <w:jc w:val="left"/>
              <w:rPr>
                <w:sz w:val="20"/>
              </w:rPr>
            </w:pPr>
            <w:r>
              <w:rPr>
                <w:sz w:val="20"/>
              </w:rPr>
              <w:t>TEJ_WmSF</w:t>
            </w:r>
          </w:p>
        </w:tc>
        <w:tc>
          <w:tcPr>
            <w:tcW w:w="691" w:type="dxa"/>
            <w:tcBorders>
              <w:top w:val="nil"/>
              <w:left w:val="nil"/>
              <w:right w:val="nil"/>
            </w:tcBorders>
          </w:tcPr>
          <w:p>
            <w:pPr>
              <w:pStyle w:val="TableParagraph"/>
              <w:ind w:left="105" w:right="195"/>
              <w:jc w:val="center"/>
              <w:rPr>
                <w:sz w:val="20"/>
              </w:rPr>
            </w:pPr>
            <w:r>
              <w:rPr>
                <w:sz w:val="20"/>
              </w:rPr>
              <w:t>2.00</w:t>
            </w:r>
          </w:p>
        </w:tc>
        <w:tc>
          <w:tcPr>
            <w:tcW w:w="828" w:type="dxa"/>
            <w:tcBorders>
              <w:top w:val="nil"/>
              <w:left w:val="nil"/>
              <w:right w:val="nil"/>
            </w:tcBorders>
          </w:tcPr>
          <w:p>
            <w:pPr>
              <w:pStyle w:val="TableParagraph"/>
              <w:ind w:right="214"/>
              <w:rPr>
                <w:sz w:val="20"/>
              </w:rPr>
            </w:pPr>
            <w:r>
              <w:rPr>
                <w:sz w:val="20"/>
              </w:rPr>
              <w:t>2.00</w:t>
            </w:r>
          </w:p>
        </w:tc>
        <w:tc>
          <w:tcPr>
            <w:tcW w:w="828" w:type="dxa"/>
            <w:tcBorders>
              <w:top w:val="nil"/>
              <w:left w:val="nil"/>
              <w:right w:val="nil"/>
            </w:tcBorders>
          </w:tcPr>
          <w:p>
            <w:pPr>
              <w:pStyle w:val="TableParagraph"/>
              <w:ind w:left="259"/>
              <w:jc w:val="left"/>
              <w:rPr>
                <w:sz w:val="20"/>
              </w:rPr>
            </w:pPr>
            <w:r>
              <w:rPr>
                <w:sz w:val="20"/>
              </w:rPr>
              <w:t>2.00</w:t>
            </w:r>
          </w:p>
        </w:tc>
        <w:tc>
          <w:tcPr>
            <w:tcW w:w="826" w:type="dxa"/>
            <w:tcBorders>
              <w:top w:val="nil"/>
              <w:left w:val="nil"/>
              <w:right w:val="nil"/>
            </w:tcBorders>
          </w:tcPr>
          <w:p>
            <w:pPr>
              <w:pStyle w:val="TableParagraph"/>
              <w:ind w:left="257"/>
              <w:jc w:val="left"/>
              <w:rPr>
                <w:sz w:val="20"/>
              </w:rPr>
            </w:pPr>
            <w:r>
              <w:rPr>
                <w:sz w:val="20"/>
              </w:rPr>
              <w:t>2.00</w:t>
            </w:r>
          </w:p>
        </w:tc>
        <w:tc>
          <w:tcPr>
            <w:tcW w:w="828" w:type="dxa"/>
            <w:tcBorders>
              <w:top w:val="nil"/>
              <w:left w:val="nil"/>
              <w:right w:val="nil"/>
            </w:tcBorders>
          </w:tcPr>
          <w:p>
            <w:pPr>
              <w:pStyle w:val="TableParagraph"/>
              <w:ind w:left="257"/>
              <w:jc w:val="left"/>
              <w:rPr>
                <w:sz w:val="20"/>
              </w:rPr>
            </w:pPr>
            <w:r>
              <w:rPr>
                <w:sz w:val="20"/>
              </w:rPr>
              <w:t>2.00</w:t>
            </w:r>
          </w:p>
        </w:tc>
        <w:tc>
          <w:tcPr>
            <w:tcW w:w="828" w:type="dxa"/>
            <w:tcBorders>
              <w:top w:val="nil"/>
              <w:left w:val="nil"/>
              <w:right w:val="nil"/>
            </w:tcBorders>
          </w:tcPr>
          <w:p>
            <w:pPr>
              <w:pStyle w:val="TableParagraph"/>
              <w:ind w:left="259"/>
              <w:jc w:val="left"/>
              <w:rPr>
                <w:sz w:val="20"/>
              </w:rPr>
            </w:pPr>
            <w:r>
              <w:rPr>
                <w:sz w:val="20"/>
              </w:rPr>
              <w:t>2.00</w:t>
            </w:r>
          </w:p>
        </w:tc>
        <w:tc>
          <w:tcPr>
            <w:tcW w:w="828" w:type="dxa"/>
            <w:tcBorders>
              <w:top w:val="nil"/>
              <w:left w:val="nil"/>
              <w:right w:val="nil"/>
            </w:tcBorders>
          </w:tcPr>
          <w:p>
            <w:pPr>
              <w:pStyle w:val="TableParagraph"/>
              <w:ind w:left="257"/>
              <w:jc w:val="left"/>
              <w:rPr>
                <w:sz w:val="20"/>
              </w:rPr>
            </w:pPr>
            <w:r>
              <w:rPr>
                <w:sz w:val="20"/>
              </w:rPr>
              <w:t>2.00</w:t>
            </w:r>
          </w:p>
        </w:tc>
        <w:tc>
          <w:tcPr>
            <w:tcW w:w="831" w:type="dxa"/>
            <w:tcBorders>
              <w:top w:val="nil"/>
              <w:left w:val="nil"/>
              <w:right w:val="nil"/>
            </w:tcBorders>
          </w:tcPr>
          <w:p>
            <w:pPr>
              <w:pStyle w:val="TableParagraph"/>
              <w:ind w:left="259"/>
              <w:jc w:val="left"/>
              <w:rPr>
                <w:sz w:val="20"/>
              </w:rPr>
            </w:pPr>
            <w:r>
              <w:rPr>
                <w:sz w:val="20"/>
              </w:rPr>
              <w:t>0.00</w:t>
            </w:r>
          </w:p>
        </w:tc>
        <w:tc>
          <w:tcPr>
            <w:tcW w:w="828" w:type="dxa"/>
            <w:tcBorders>
              <w:top w:val="nil"/>
              <w:left w:val="nil"/>
              <w:right w:val="nil"/>
            </w:tcBorders>
          </w:tcPr>
          <w:p>
            <w:pPr>
              <w:pStyle w:val="TableParagraph"/>
              <w:ind w:right="211"/>
              <w:rPr>
                <w:sz w:val="20"/>
              </w:rPr>
            </w:pPr>
            <w:r>
              <w:rPr>
                <w:sz w:val="20"/>
              </w:rPr>
              <w:t>0.00</w:t>
            </w:r>
          </w:p>
        </w:tc>
        <w:tc>
          <w:tcPr>
            <w:tcW w:w="775" w:type="dxa"/>
            <w:tcBorders>
              <w:top w:val="nil"/>
              <w:left w:val="nil"/>
              <w:right w:val="nil"/>
            </w:tcBorders>
          </w:tcPr>
          <w:p>
            <w:pPr>
              <w:pStyle w:val="TableParagraph"/>
              <w:ind w:right="60"/>
              <w:rPr>
                <w:sz w:val="20"/>
              </w:rPr>
            </w:pPr>
            <w:r>
              <w:rPr>
                <w:sz w:val="20"/>
              </w:rPr>
              <w:t>0.00</w:t>
            </w:r>
          </w:p>
        </w:tc>
      </w:tr>
    </w:tbl>
    <w:p>
      <w:pPr>
        <w:spacing w:after="0"/>
        <w:rPr>
          <w:sz w:val="20"/>
        </w:rPr>
        <w:sectPr>
          <w:pgSz w:w="12240" w:h="15840"/>
          <w:pgMar w:header="0" w:footer="1473" w:top="1360" w:bottom="1660" w:left="1020" w:right="1300"/>
        </w:sectPr>
      </w:pPr>
    </w:p>
    <w:p>
      <w:pPr>
        <w:spacing w:before="49"/>
        <w:ind w:left="2081" w:right="0" w:firstLine="0"/>
        <w:jc w:val="left"/>
        <w:rPr>
          <w:b/>
          <w:sz w:val="26"/>
        </w:rPr>
      </w:pPr>
      <w:bookmarkStart w:name="_bookmark163" w:id="222"/>
      <w:bookmarkEnd w:id="222"/>
      <w:r>
        <w:rPr/>
      </w:r>
      <w:r>
        <w:rPr>
          <w:b/>
          <w:sz w:val="26"/>
        </w:rPr>
        <w:t>Tabla 26. Conductividad hidráulica saturada del suelo</w:t>
      </w:r>
    </w:p>
    <w:p>
      <w:pPr>
        <w:pStyle w:val="BodyText"/>
        <w:rPr>
          <w:b/>
          <w:sz w:val="20"/>
        </w:rPr>
      </w:pPr>
    </w:p>
    <w:p>
      <w:pPr>
        <w:pStyle w:val="BodyText"/>
        <w:spacing w:before="4"/>
        <w:rPr>
          <w:b/>
          <w:sz w:val="24"/>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72"/>
        <w:gridCol w:w="782"/>
        <w:gridCol w:w="816"/>
        <w:gridCol w:w="816"/>
        <w:gridCol w:w="819"/>
        <w:gridCol w:w="819"/>
        <w:gridCol w:w="816"/>
        <w:gridCol w:w="848"/>
        <w:gridCol w:w="819"/>
        <w:gridCol w:w="792"/>
        <w:gridCol w:w="694"/>
      </w:tblGrid>
      <w:tr>
        <w:trPr>
          <w:trHeight w:val="390" w:hRule="exact"/>
        </w:trPr>
        <w:tc>
          <w:tcPr>
            <w:tcW w:w="1472" w:type="dxa"/>
            <w:tcBorders>
              <w:left w:val="nil"/>
              <w:bottom w:val="nil"/>
              <w:right w:val="nil"/>
            </w:tcBorders>
          </w:tcPr>
          <w:p>
            <w:pPr>
              <w:pStyle w:val="TableParagraph"/>
              <w:spacing w:before="174"/>
              <w:ind w:left="148"/>
              <w:jc w:val="left"/>
              <w:rPr>
                <w:sz w:val="20"/>
              </w:rPr>
            </w:pPr>
            <w:r>
              <w:rPr>
                <w:sz w:val="20"/>
              </w:rPr>
              <w:t>Nombre/Clave</w:t>
            </w:r>
          </w:p>
        </w:tc>
        <w:tc>
          <w:tcPr>
            <w:tcW w:w="782" w:type="dxa"/>
            <w:tcBorders>
              <w:left w:val="nil"/>
              <w:bottom w:val="nil"/>
              <w:right w:val="nil"/>
            </w:tcBorders>
          </w:tcPr>
          <w:p>
            <w:pPr/>
          </w:p>
        </w:tc>
        <w:tc>
          <w:tcPr>
            <w:tcW w:w="816" w:type="dxa"/>
            <w:tcBorders>
              <w:left w:val="nil"/>
              <w:bottom w:val="nil"/>
              <w:right w:val="nil"/>
            </w:tcBorders>
          </w:tcPr>
          <w:p>
            <w:pPr/>
          </w:p>
        </w:tc>
        <w:tc>
          <w:tcPr>
            <w:tcW w:w="816" w:type="dxa"/>
            <w:tcBorders>
              <w:left w:val="nil"/>
              <w:bottom w:val="nil"/>
              <w:right w:val="nil"/>
            </w:tcBorders>
          </w:tcPr>
          <w:p>
            <w:pPr/>
          </w:p>
        </w:tc>
        <w:tc>
          <w:tcPr>
            <w:tcW w:w="2454" w:type="dxa"/>
            <w:gridSpan w:val="3"/>
            <w:tcBorders>
              <w:left w:val="nil"/>
              <w:bottom w:val="nil"/>
              <w:right w:val="nil"/>
            </w:tcBorders>
          </w:tcPr>
          <w:p>
            <w:pPr>
              <w:pStyle w:val="TableParagraph"/>
              <w:spacing w:before="58"/>
              <w:ind w:left="727" w:right="-17"/>
              <w:jc w:val="left"/>
              <w:rPr>
                <w:sz w:val="20"/>
              </w:rPr>
            </w:pPr>
            <w:r>
              <w:rPr>
                <w:sz w:val="20"/>
              </w:rPr>
              <w:t>N° de capas del</w:t>
            </w:r>
            <w:r>
              <w:rPr>
                <w:spacing w:val="-1"/>
                <w:sz w:val="20"/>
              </w:rPr>
              <w:t> </w:t>
            </w:r>
            <w:r>
              <w:rPr>
                <w:sz w:val="20"/>
              </w:rPr>
              <w:t>suelo</w:t>
            </w:r>
          </w:p>
        </w:tc>
        <w:tc>
          <w:tcPr>
            <w:tcW w:w="848" w:type="dxa"/>
            <w:tcBorders>
              <w:left w:val="nil"/>
              <w:bottom w:val="nil"/>
              <w:right w:val="nil"/>
            </w:tcBorders>
          </w:tcPr>
          <w:p>
            <w:pPr/>
          </w:p>
        </w:tc>
        <w:tc>
          <w:tcPr>
            <w:tcW w:w="819" w:type="dxa"/>
            <w:tcBorders>
              <w:left w:val="nil"/>
              <w:bottom w:val="nil"/>
              <w:right w:val="nil"/>
            </w:tcBorders>
          </w:tcPr>
          <w:p>
            <w:pPr/>
          </w:p>
        </w:tc>
        <w:tc>
          <w:tcPr>
            <w:tcW w:w="792" w:type="dxa"/>
            <w:tcBorders>
              <w:left w:val="nil"/>
              <w:bottom w:val="nil"/>
              <w:right w:val="nil"/>
            </w:tcBorders>
          </w:tcPr>
          <w:p>
            <w:pPr/>
          </w:p>
        </w:tc>
        <w:tc>
          <w:tcPr>
            <w:tcW w:w="694" w:type="dxa"/>
            <w:tcBorders>
              <w:left w:val="nil"/>
              <w:bottom w:val="nil"/>
              <w:right w:val="nil"/>
            </w:tcBorders>
          </w:tcPr>
          <w:p>
            <w:pPr/>
          </w:p>
        </w:tc>
      </w:tr>
      <w:tr>
        <w:trPr>
          <w:trHeight w:val="210" w:hRule="exact"/>
        </w:trPr>
        <w:tc>
          <w:tcPr>
            <w:tcW w:w="1472" w:type="dxa"/>
            <w:tcBorders>
              <w:top w:val="nil"/>
              <w:left w:val="nil"/>
              <w:right w:val="nil"/>
            </w:tcBorders>
          </w:tcPr>
          <w:p>
            <w:pPr/>
          </w:p>
        </w:tc>
        <w:tc>
          <w:tcPr>
            <w:tcW w:w="782" w:type="dxa"/>
            <w:tcBorders>
              <w:top w:val="nil"/>
              <w:left w:val="nil"/>
              <w:right w:val="nil"/>
            </w:tcBorders>
          </w:tcPr>
          <w:p>
            <w:pPr>
              <w:pStyle w:val="TableParagraph"/>
              <w:spacing w:line="201" w:lineRule="exact" w:before="0"/>
              <w:ind w:right="128"/>
              <w:jc w:val="center"/>
              <w:rPr>
                <w:sz w:val="20"/>
              </w:rPr>
            </w:pPr>
            <w:r>
              <w:rPr>
                <w:w w:val="100"/>
                <w:sz w:val="20"/>
              </w:rPr>
              <w:t>1</w:t>
            </w:r>
          </w:p>
        </w:tc>
        <w:tc>
          <w:tcPr>
            <w:tcW w:w="816" w:type="dxa"/>
            <w:tcBorders>
              <w:top w:val="nil"/>
              <w:left w:val="nil"/>
              <w:right w:val="nil"/>
            </w:tcBorders>
          </w:tcPr>
          <w:p>
            <w:pPr>
              <w:pStyle w:val="TableParagraph"/>
              <w:spacing w:line="201" w:lineRule="exact" w:before="0"/>
              <w:ind w:left="242"/>
              <w:jc w:val="left"/>
              <w:rPr>
                <w:sz w:val="20"/>
              </w:rPr>
            </w:pPr>
            <w:r>
              <w:rPr>
                <w:w w:val="100"/>
                <w:sz w:val="20"/>
              </w:rPr>
              <w:t>2</w:t>
            </w:r>
          </w:p>
        </w:tc>
        <w:tc>
          <w:tcPr>
            <w:tcW w:w="816" w:type="dxa"/>
            <w:tcBorders>
              <w:top w:val="nil"/>
              <w:left w:val="nil"/>
              <w:right w:val="nil"/>
            </w:tcBorders>
          </w:tcPr>
          <w:p>
            <w:pPr>
              <w:pStyle w:val="TableParagraph"/>
              <w:spacing w:line="201" w:lineRule="exact" w:before="0"/>
              <w:ind w:left="242"/>
              <w:jc w:val="left"/>
              <w:rPr>
                <w:sz w:val="20"/>
              </w:rPr>
            </w:pPr>
            <w:r>
              <w:rPr>
                <w:w w:val="100"/>
                <w:sz w:val="20"/>
              </w:rPr>
              <w:t>3</w:t>
            </w:r>
          </w:p>
        </w:tc>
        <w:tc>
          <w:tcPr>
            <w:tcW w:w="819" w:type="dxa"/>
            <w:tcBorders>
              <w:top w:val="nil"/>
              <w:left w:val="nil"/>
              <w:right w:val="nil"/>
            </w:tcBorders>
          </w:tcPr>
          <w:p>
            <w:pPr>
              <w:pStyle w:val="TableParagraph"/>
              <w:spacing w:line="201" w:lineRule="exact" w:before="0"/>
              <w:ind w:left="242"/>
              <w:jc w:val="left"/>
              <w:rPr>
                <w:sz w:val="20"/>
              </w:rPr>
            </w:pPr>
            <w:r>
              <w:rPr>
                <w:w w:val="100"/>
                <w:sz w:val="20"/>
              </w:rPr>
              <w:t>4</w:t>
            </w:r>
          </w:p>
        </w:tc>
        <w:tc>
          <w:tcPr>
            <w:tcW w:w="819" w:type="dxa"/>
            <w:tcBorders>
              <w:top w:val="nil"/>
              <w:left w:val="nil"/>
              <w:right w:val="nil"/>
            </w:tcBorders>
          </w:tcPr>
          <w:p>
            <w:pPr>
              <w:pStyle w:val="TableParagraph"/>
              <w:spacing w:line="201" w:lineRule="exact" w:before="0"/>
              <w:ind w:left="245"/>
              <w:jc w:val="left"/>
              <w:rPr>
                <w:sz w:val="20"/>
              </w:rPr>
            </w:pPr>
            <w:r>
              <w:rPr>
                <w:w w:val="100"/>
                <w:sz w:val="20"/>
              </w:rPr>
              <w:t>5</w:t>
            </w:r>
          </w:p>
        </w:tc>
        <w:tc>
          <w:tcPr>
            <w:tcW w:w="816" w:type="dxa"/>
            <w:tcBorders>
              <w:top w:val="nil"/>
              <w:left w:val="nil"/>
              <w:right w:val="nil"/>
            </w:tcBorders>
          </w:tcPr>
          <w:p>
            <w:pPr>
              <w:pStyle w:val="TableParagraph"/>
              <w:spacing w:line="201" w:lineRule="exact" w:before="0"/>
              <w:ind w:left="242"/>
              <w:jc w:val="left"/>
              <w:rPr>
                <w:sz w:val="20"/>
              </w:rPr>
            </w:pPr>
            <w:r>
              <w:rPr>
                <w:w w:val="100"/>
                <w:sz w:val="20"/>
              </w:rPr>
              <w:t>6</w:t>
            </w:r>
          </w:p>
        </w:tc>
        <w:tc>
          <w:tcPr>
            <w:tcW w:w="848" w:type="dxa"/>
            <w:tcBorders>
              <w:top w:val="nil"/>
              <w:left w:val="nil"/>
              <w:right w:val="nil"/>
            </w:tcBorders>
          </w:tcPr>
          <w:p>
            <w:pPr>
              <w:pStyle w:val="TableParagraph"/>
              <w:spacing w:line="201" w:lineRule="exact" w:before="0"/>
              <w:ind w:left="242"/>
              <w:jc w:val="left"/>
              <w:rPr>
                <w:sz w:val="20"/>
              </w:rPr>
            </w:pPr>
            <w:r>
              <w:rPr>
                <w:w w:val="100"/>
                <w:sz w:val="20"/>
              </w:rPr>
              <w:t>7</w:t>
            </w:r>
          </w:p>
        </w:tc>
        <w:tc>
          <w:tcPr>
            <w:tcW w:w="819" w:type="dxa"/>
            <w:tcBorders>
              <w:top w:val="nil"/>
              <w:left w:val="nil"/>
              <w:right w:val="nil"/>
            </w:tcBorders>
          </w:tcPr>
          <w:p>
            <w:pPr>
              <w:pStyle w:val="TableParagraph"/>
              <w:spacing w:line="201" w:lineRule="exact" w:before="0"/>
              <w:ind w:left="211"/>
              <w:jc w:val="left"/>
              <w:rPr>
                <w:sz w:val="20"/>
              </w:rPr>
            </w:pPr>
            <w:r>
              <w:rPr>
                <w:w w:val="100"/>
                <w:sz w:val="20"/>
              </w:rPr>
              <w:t>8</w:t>
            </w:r>
          </w:p>
        </w:tc>
        <w:tc>
          <w:tcPr>
            <w:tcW w:w="792" w:type="dxa"/>
            <w:tcBorders>
              <w:top w:val="nil"/>
              <w:left w:val="nil"/>
              <w:right w:val="nil"/>
            </w:tcBorders>
          </w:tcPr>
          <w:p>
            <w:pPr>
              <w:pStyle w:val="TableParagraph"/>
              <w:spacing w:line="201" w:lineRule="exact" w:before="0"/>
              <w:ind w:left="213"/>
              <w:jc w:val="left"/>
              <w:rPr>
                <w:sz w:val="20"/>
              </w:rPr>
            </w:pPr>
            <w:r>
              <w:rPr>
                <w:w w:val="100"/>
                <w:sz w:val="20"/>
              </w:rPr>
              <w:t>9</w:t>
            </w:r>
          </w:p>
        </w:tc>
        <w:tc>
          <w:tcPr>
            <w:tcW w:w="694" w:type="dxa"/>
            <w:tcBorders>
              <w:top w:val="nil"/>
              <w:left w:val="nil"/>
              <w:right w:val="nil"/>
            </w:tcBorders>
          </w:tcPr>
          <w:p>
            <w:pPr>
              <w:pStyle w:val="TableParagraph"/>
              <w:spacing w:line="201" w:lineRule="exact" w:before="0"/>
              <w:ind w:left="185"/>
              <w:jc w:val="left"/>
              <w:rPr>
                <w:sz w:val="20"/>
              </w:rPr>
            </w:pPr>
            <w:r>
              <w:rPr>
                <w:sz w:val="20"/>
              </w:rPr>
              <w:t>10</w:t>
            </w:r>
          </w:p>
        </w:tc>
      </w:tr>
      <w:tr>
        <w:trPr>
          <w:trHeight w:val="339" w:hRule="exact"/>
        </w:trPr>
        <w:tc>
          <w:tcPr>
            <w:tcW w:w="1472" w:type="dxa"/>
            <w:tcBorders>
              <w:left w:val="nil"/>
              <w:bottom w:val="nil"/>
              <w:right w:val="nil"/>
            </w:tcBorders>
          </w:tcPr>
          <w:p>
            <w:pPr>
              <w:pStyle w:val="TableParagraph"/>
              <w:spacing w:before="63"/>
              <w:ind w:left="86"/>
              <w:jc w:val="left"/>
              <w:rPr>
                <w:sz w:val="20"/>
              </w:rPr>
            </w:pPr>
            <w:r>
              <w:rPr>
                <w:sz w:val="20"/>
              </w:rPr>
              <w:t>TEJ_HhFd</w:t>
            </w:r>
          </w:p>
        </w:tc>
        <w:tc>
          <w:tcPr>
            <w:tcW w:w="782" w:type="dxa"/>
            <w:tcBorders>
              <w:left w:val="nil"/>
              <w:bottom w:val="nil"/>
              <w:right w:val="nil"/>
            </w:tcBorders>
          </w:tcPr>
          <w:p>
            <w:pPr>
              <w:pStyle w:val="TableParagraph"/>
              <w:spacing w:before="63"/>
              <w:ind w:right="178"/>
              <w:rPr>
                <w:sz w:val="20"/>
              </w:rPr>
            </w:pPr>
            <w:r>
              <w:rPr>
                <w:sz w:val="20"/>
              </w:rPr>
              <w:t>4.32</w:t>
            </w:r>
          </w:p>
        </w:tc>
        <w:tc>
          <w:tcPr>
            <w:tcW w:w="816" w:type="dxa"/>
            <w:tcBorders>
              <w:left w:val="nil"/>
              <w:bottom w:val="nil"/>
              <w:right w:val="nil"/>
            </w:tcBorders>
          </w:tcPr>
          <w:p>
            <w:pPr>
              <w:pStyle w:val="TableParagraph"/>
              <w:spacing w:before="63"/>
              <w:ind w:left="281"/>
              <w:jc w:val="left"/>
              <w:rPr>
                <w:sz w:val="20"/>
              </w:rPr>
            </w:pPr>
            <w:r>
              <w:rPr>
                <w:sz w:val="20"/>
              </w:rPr>
              <w:t>4.32</w:t>
            </w:r>
          </w:p>
        </w:tc>
        <w:tc>
          <w:tcPr>
            <w:tcW w:w="816" w:type="dxa"/>
            <w:tcBorders>
              <w:left w:val="nil"/>
              <w:bottom w:val="nil"/>
              <w:right w:val="nil"/>
            </w:tcBorders>
          </w:tcPr>
          <w:p>
            <w:pPr>
              <w:pStyle w:val="TableParagraph"/>
              <w:spacing w:before="63"/>
              <w:ind w:right="178"/>
              <w:rPr>
                <w:sz w:val="20"/>
              </w:rPr>
            </w:pPr>
            <w:r>
              <w:rPr>
                <w:sz w:val="20"/>
              </w:rPr>
              <w:t>4.32</w:t>
            </w:r>
          </w:p>
        </w:tc>
        <w:tc>
          <w:tcPr>
            <w:tcW w:w="819" w:type="dxa"/>
            <w:tcBorders>
              <w:left w:val="nil"/>
              <w:bottom w:val="nil"/>
              <w:right w:val="nil"/>
            </w:tcBorders>
          </w:tcPr>
          <w:p>
            <w:pPr>
              <w:pStyle w:val="TableParagraph"/>
              <w:spacing w:before="63"/>
              <w:ind w:right="180"/>
              <w:rPr>
                <w:sz w:val="20"/>
              </w:rPr>
            </w:pPr>
            <w:r>
              <w:rPr>
                <w:sz w:val="20"/>
              </w:rPr>
              <w:t>2.29</w:t>
            </w:r>
          </w:p>
        </w:tc>
        <w:tc>
          <w:tcPr>
            <w:tcW w:w="819" w:type="dxa"/>
            <w:tcBorders>
              <w:left w:val="nil"/>
              <w:bottom w:val="nil"/>
              <w:right w:val="nil"/>
            </w:tcBorders>
          </w:tcPr>
          <w:p>
            <w:pPr>
              <w:pStyle w:val="TableParagraph"/>
              <w:spacing w:before="63"/>
              <w:ind w:right="178"/>
              <w:rPr>
                <w:sz w:val="20"/>
              </w:rPr>
            </w:pPr>
            <w:r>
              <w:rPr>
                <w:sz w:val="20"/>
              </w:rPr>
              <w:t>2.29</w:t>
            </w:r>
          </w:p>
        </w:tc>
        <w:tc>
          <w:tcPr>
            <w:tcW w:w="816" w:type="dxa"/>
            <w:tcBorders>
              <w:left w:val="nil"/>
              <w:bottom w:val="nil"/>
              <w:right w:val="nil"/>
            </w:tcBorders>
          </w:tcPr>
          <w:p>
            <w:pPr>
              <w:pStyle w:val="TableParagraph"/>
              <w:spacing w:before="63"/>
              <w:ind w:right="178"/>
              <w:rPr>
                <w:sz w:val="20"/>
              </w:rPr>
            </w:pPr>
            <w:r>
              <w:rPr>
                <w:sz w:val="20"/>
              </w:rPr>
              <w:t>2.29</w:t>
            </w:r>
          </w:p>
        </w:tc>
        <w:tc>
          <w:tcPr>
            <w:tcW w:w="848" w:type="dxa"/>
            <w:tcBorders>
              <w:left w:val="nil"/>
              <w:bottom w:val="nil"/>
              <w:right w:val="nil"/>
            </w:tcBorders>
          </w:tcPr>
          <w:p>
            <w:pPr>
              <w:pStyle w:val="TableParagraph"/>
              <w:spacing w:before="63"/>
              <w:ind w:left="281"/>
              <w:jc w:val="left"/>
              <w:rPr>
                <w:sz w:val="20"/>
              </w:rPr>
            </w:pPr>
            <w:r>
              <w:rPr>
                <w:sz w:val="20"/>
              </w:rPr>
              <w:t>1.69</w:t>
            </w:r>
          </w:p>
        </w:tc>
        <w:tc>
          <w:tcPr>
            <w:tcW w:w="819" w:type="dxa"/>
            <w:tcBorders>
              <w:left w:val="nil"/>
              <w:bottom w:val="nil"/>
              <w:right w:val="nil"/>
            </w:tcBorders>
          </w:tcPr>
          <w:p>
            <w:pPr>
              <w:pStyle w:val="TableParagraph"/>
              <w:spacing w:before="63"/>
              <w:ind w:left="249"/>
              <w:jc w:val="left"/>
              <w:rPr>
                <w:sz w:val="20"/>
              </w:rPr>
            </w:pPr>
            <w:r>
              <w:rPr>
                <w:sz w:val="20"/>
              </w:rPr>
              <w:t>0.00</w:t>
            </w:r>
          </w:p>
        </w:tc>
        <w:tc>
          <w:tcPr>
            <w:tcW w:w="792" w:type="dxa"/>
            <w:tcBorders>
              <w:left w:val="nil"/>
              <w:bottom w:val="nil"/>
              <w:right w:val="nil"/>
            </w:tcBorders>
          </w:tcPr>
          <w:p>
            <w:pPr>
              <w:pStyle w:val="TableParagraph"/>
              <w:spacing w:before="63"/>
              <w:ind w:left="252"/>
              <w:jc w:val="left"/>
              <w:rPr>
                <w:sz w:val="20"/>
              </w:rPr>
            </w:pPr>
            <w:r>
              <w:rPr>
                <w:sz w:val="20"/>
              </w:rPr>
              <w:t>0.00</w:t>
            </w:r>
          </w:p>
        </w:tc>
        <w:tc>
          <w:tcPr>
            <w:tcW w:w="694" w:type="dxa"/>
            <w:tcBorders>
              <w:left w:val="nil"/>
              <w:bottom w:val="nil"/>
              <w:right w:val="nil"/>
            </w:tcBorders>
          </w:tcPr>
          <w:p>
            <w:pPr>
              <w:pStyle w:val="TableParagraph"/>
              <w:spacing w:before="63"/>
              <w:ind w:right="60"/>
              <w:rPr>
                <w:sz w:val="20"/>
              </w:rPr>
            </w:pPr>
            <w:r>
              <w:rPr>
                <w:sz w:val="20"/>
              </w:rPr>
              <w:t>0.00</w:t>
            </w:r>
          </w:p>
        </w:tc>
      </w:tr>
      <w:tr>
        <w:trPr>
          <w:trHeight w:val="295" w:hRule="exact"/>
        </w:trPr>
        <w:tc>
          <w:tcPr>
            <w:tcW w:w="1472" w:type="dxa"/>
            <w:tcBorders>
              <w:top w:val="nil"/>
              <w:left w:val="nil"/>
              <w:bottom w:val="nil"/>
              <w:right w:val="nil"/>
            </w:tcBorders>
          </w:tcPr>
          <w:p>
            <w:pPr>
              <w:pStyle w:val="TableParagraph"/>
              <w:spacing w:before="21"/>
              <w:ind w:left="86"/>
              <w:jc w:val="left"/>
              <w:rPr>
                <w:sz w:val="20"/>
              </w:rPr>
            </w:pPr>
            <w:r>
              <w:rPr>
                <w:sz w:val="20"/>
              </w:rPr>
              <w:t>TEJ_HhFdp</w:t>
            </w:r>
          </w:p>
        </w:tc>
        <w:tc>
          <w:tcPr>
            <w:tcW w:w="782" w:type="dxa"/>
            <w:tcBorders>
              <w:top w:val="nil"/>
              <w:left w:val="nil"/>
              <w:bottom w:val="nil"/>
              <w:right w:val="nil"/>
            </w:tcBorders>
          </w:tcPr>
          <w:p>
            <w:pPr>
              <w:pStyle w:val="TableParagraph"/>
              <w:spacing w:before="21"/>
              <w:ind w:right="178"/>
              <w:rPr>
                <w:sz w:val="20"/>
              </w:rPr>
            </w:pPr>
            <w:r>
              <w:rPr>
                <w:sz w:val="20"/>
              </w:rPr>
              <w:t>2.29</w:t>
            </w:r>
          </w:p>
        </w:tc>
        <w:tc>
          <w:tcPr>
            <w:tcW w:w="816" w:type="dxa"/>
            <w:tcBorders>
              <w:top w:val="nil"/>
              <w:left w:val="nil"/>
              <w:bottom w:val="nil"/>
              <w:right w:val="nil"/>
            </w:tcBorders>
          </w:tcPr>
          <w:p>
            <w:pPr>
              <w:pStyle w:val="TableParagraph"/>
              <w:spacing w:before="21"/>
              <w:ind w:left="281"/>
              <w:jc w:val="left"/>
              <w:rPr>
                <w:sz w:val="20"/>
              </w:rPr>
            </w:pPr>
            <w:r>
              <w:rPr>
                <w:sz w:val="20"/>
              </w:rPr>
              <w:t>2.29</w:t>
            </w:r>
          </w:p>
        </w:tc>
        <w:tc>
          <w:tcPr>
            <w:tcW w:w="816" w:type="dxa"/>
            <w:tcBorders>
              <w:top w:val="nil"/>
              <w:left w:val="nil"/>
              <w:bottom w:val="nil"/>
              <w:right w:val="nil"/>
            </w:tcBorders>
          </w:tcPr>
          <w:p>
            <w:pPr>
              <w:pStyle w:val="TableParagraph"/>
              <w:spacing w:before="21"/>
              <w:ind w:right="178"/>
              <w:rPr>
                <w:sz w:val="20"/>
              </w:rPr>
            </w:pPr>
            <w:r>
              <w:rPr>
                <w:sz w:val="20"/>
              </w:rPr>
              <w:t>2.29</w:t>
            </w:r>
          </w:p>
        </w:tc>
        <w:tc>
          <w:tcPr>
            <w:tcW w:w="819" w:type="dxa"/>
            <w:tcBorders>
              <w:top w:val="nil"/>
              <w:left w:val="nil"/>
              <w:bottom w:val="nil"/>
              <w:right w:val="nil"/>
            </w:tcBorders>
          </w:tcPr>
          <w:p>
            <w:pPr>
              <w:pStyle w:val="TableParagraph"/>
              <w:spacing w:before="21"/>
              <w:ind w:right="180"/>
              <w:rPr>
                <w:sz w:val="20"/>
              </w:rPr>
            </w:pPr>
            <w:r>
              <w:rPr>
                <w:sz w:val="20"/>
              </w:rPr>
              <w:t>2.29</w:t>
            </w:r>
          </w:p>
        </w:tc>
        <w:tc>
          <w:tcPr>
            <w:tcW w:w="819" w:type="dxa"/>
            <w:tcBorders>
              <w:top w:val="nil"/>
              <w:left w:val="nil"/>
              <w:bottom w:val="nil"/>
              <w:right w:val="nil"/>
            </w:tcBorders>
          </w:tcPr>
          <w:p>
            <w:pPr>
              <w:pStyle w:val="TableParagraph"/>
              <w:spacing w:before="21"/>
              <w:ind w:right="178"/>
              <w:rPr>
                <w:sz w:val="20"/>
              </w:rPr>
            </w:pPr>
            <w:r>
              <w:rPr>
                <w:sz w:val="20"/>
              </w:rPr>
              <w:t>2.29</w:t>
            </w:r>
          </w:p>
        </w:tc>
        <w:tc>
          <w:tcPr>
            <w:tcW w:w="816" w:type="dxa"/>
            <w:tcBorders>
              <w:top w:val="nil"/>
              <w:left w:val="nil"/>
              <w:bottom w:val="nil"/>
              <w:right w:val="nil"/>
            </w:tcBorders>
          </w:tcPr>
          <w:p>
            <w:pPr>
              <w:pStyle w:val="TableParagraph"/>
              <w:spacing w:before="21"/>
              <w:ind w:right="178"/>
              <w:rPr>
                <w:sz w:val="20"/>
              </w:rPr>
            </w:pPr>
            <w:r>
              <w:rPr>
                <w:sz w:val="20"/>
              </w:rPr>
              <w:t>21.97</w:t>
            </w:r>
          </w:p>
        </w:tc>
        <w:tc>
          <w:tcPr>
            <w:tcW w:w="848" w:type="dxa"/>
            <w:tcBorders>
              <w:top w:val="nil"/>
              <w:left w:val="nil"/>
              <w:bottom w:val="nil"/>
              <w:right w:val="nil"/>
            </w:tcBorders>
          </w:tcPr>
          <w:p>
            <w:pPr>
              <w:pStyle w:val="TableParagraph"/>
              <w:spacing w:before="21"/>
              <w:ind w:left="281"/>
              <w:jc w:val="left"/>
              <w:rPr>
                <w:sz w:val="20"/>
              </w:rPr>
            </w:pPr>
            <w:r>
              <w:rPr>
                <w:sz w:val="20"/>
              </w:rPr>
              <w:t>5.63</w:t>
            </w:r>
          </w:p>
        </w:tc>
        <w:tc>
          <w:tcPr>
            <w:tcW w:w="819" w:type="dxa"/>
            <w:tcBorders>
              <w:top w:val="nil"/>
              <w:left w:val="nil"/>
              <w:bottom w:val="nil"/>
              <w:right w:val="nil"/>
            </w:tcBorders>
          </w:tcPr>
          <w:p>
            <w:pPr>
              <w:pStyle w:val="TableParagraph"/>
              <w:spacing w:before="21"/>
              <w:ind w:left="249"/>
              <w:jc w:val="left"/>
              <w:rPr>
                <w:sz w:val="20"/>
              </w:rPr>
            </w:pPr>
            <w:r>
              <w:rPr>
                <w:sz w:val="20"/>
              </w:rPr>
              <w:t>0.00</w:t>
            </w:r>
          </w:p>
        </w:tc>
        <w:tc>
          <w:tcPr>
            <w:tcW w:w="792" w:type="dxa"/>
            <w:tcBorders>
              <w:top w:val="nil"/>
              <w:left w:val="nil"/>
              <w:bottom w:val="nil"/>
              <w:right w:val="nil"/>
            </w:tcBorders>
          </w:tcPr>
          <w:p>
            <w:pPr>
              <w:pStyle w:val="TableParagraph"/>
              <w:spacing w:before="21"/>
              <w:ind w:left="252"/>
              <w:jc w:val="left"/>
              <w:rPr>
                <w:sz w:val="20"/>
              </w:rPr>
            </w:pPr>
            <w:r>
              <w:rPr>
                <w:sz w:val="20"/>
              </w:rPr>
              <w:t>0.00</w:t>
            </w:r>
          </w:p>
        </w:tc>
        <w:tc>
          <w:tcPr>
            <w:tcW w:w="694" w:type="dxa"/>
            <w:tcBorders>
              <w:top w:val="nil"/>
              <w:left w:val="nil"/>
              <w:bottom w:val="nil"/>
              <w:right w:val="nil"/>
            </w:tcBorders>
          </w:tcPr>
          <w:p>
            <w:pPr>
              <w:pStyle w:val="TableParagraph"/>
              <w:spacing w:before="21"/>
              <w:ind w:right="60"/>
              <w:rPr>
                <w:sz w:val="20"/>
              </w:rPr>
            </w:pPr>
            <w:r>
              <w:rPr>
                <w:sz w:val="20"/>
              </w:rPr>
              <w:t>0.00</w:t>
            </w:r>
          </w:p>
        </w:tc>
      </w:tr>
      <w:tr>
        <w:trPr>
          <w:trHeight w:val="298" w:hRule="exact"/>
        </w:trPr>
        <w:tc>
          <w:tcPr>
            <w:tcW w:w="1472" w:type="dxa"/>
            <w:tcBorders>
              <w:top w:val="nil"/>
              <w:left w:val="nil"/>
              <w:bottom w:val="nil"/>
              <w:right w:val="nil"/>
            </w:tcBorders>
          </w:tcPr>
          <w:p>
            <w:pPr>
              <w:pStyle w:val="TableParagraph"/>
              <w:ind w:left="86"/>
              <w:jc w:val="left"/>
              <w:rPr>
                <w:sz w:val="20"/>
              </w:rPr>
            </w:pPr>
            <w:r>
              <w:rPr>
                <w:sz w:val="20"/>
              </w:rPr>
              <w:t>TEJ_HhFl</w:t>
            </w:r>
          </w:p>
        </w:tc>
        <w:tc>
          <w:tcPr>
            <w:tcW w:w="782" w:type="dxa"/>
            <w:tcBorders>
              <w:top w:val="nil"/>
              <w:left w:val="nil"/>
              <w:bottom w:val="nil"/>
              <w:right w:val="nil"/>
            </w:tcBorders>
          </w:tcPr>
          <w:p>
            <w:pPr>
              <w:pStyle w:val="TableParagraph"/>
              <w:ind w:right="178"/>
              <w:rPr>
                <w:sz w:val="20"/>
              </w:rPr>
            </w:pPr>
            <w:r>
              <w:rPr>
                <w:sz w:val="20"/>
              </w:rPr>
              <w:t>2.29</w:t>
            </w:r>
          </w:p>
        </w:tc>
        <w:tc>
          <w:tcPr>
            <w:tcW w:w="816" w:type="dxa"/>
            <w:tcBorders>
              <w:top w:val="nil"/>
              <w:left w:val="nil"/>
              <w:bottom w:val="nil"/>
              <w:right w:val="nil"/>
            </w:tcBorders>
          </w:tcPr>
          <w:p>
            <w:pPr>
              <w:pStyle w:val="TableParagraph"/>
              <w:ind w:left="281"/>
              <w:jc w:val="left"/>
              <w:rPr>
                <w:sz w:val="20"/>
              </w:rPr>
            </w:pPr>
            <w:r>
              <w:rPr>
                <w:sz w:val="20"/>
              </w:rPr>
              <w:t>2.29</w:t>
            </w:r>
          </w:p>
        </w:tc>
        <w:tc>
          <w:tcPr>
            <w:tcW w:w="816" w:type="dxa"/>
            <w:tcBorders>
              <w:top w:val="nil"/>
              <w:left w:val="nil"/>
              <w:bottom w:val="nil"/>
              <w:right w:val="nil"/>
            </w:tcBorders>
          </w:tcPr>
          <w:p>
            <w:pPr>
              <w:pStyle w:val="TableParagraph"/>
              <w:ind w:right="178"/>
              <w:rPr>
                <w:sz w:val="20"/>
              </w:rPr>
            </w:pPr>
            <w:r>
              <w:rPr>
                <w:sz w:val="20"/>
              </w:rPr>
              <w:t>2.29</w:t>
            </w:r>
          </w:p>
        </w:tc>
        <w:tc>
          <w:tcPr>
            <w:tcW w:w="819" w:type="dxa"/>
            <w:tcBorders>
              <w:top w:val="nil"/>
              <w:left w:val="nil"/>
              <w:bottom w:val="nil"/>
              <w:right w:val="nil"/>
            </w:tcBorders>
          </w:tcPr>
          <w:p>
            <w:pPr>
              <w:pStyle w:val="TableParagraph"/>
              <w:ind w:right="180"/>
              <w:rPr>
                <w:sz w:val="20"/>
              </w:rPr>
            </w:pPr>
            <w:r>
              <w:rPr>
                <w:sz w:val="20"/>
              </w:rPr>
              <w:t>2.29</w:t>
            </w:r>
          </w:p>
        </w:tc>
        <w:tc>
          <w:tcPr>
            <w:tcW w:w="819" w:type="dxa"/>
            <w:tcBorders>
              <w:top w:val="nil"/>
              <w:left w:val="nil"/>
              <w:bottom w:val="nil"/>
              <w:right w:val="nil"/>
            </w:tcBorders>
          </w:tcPr>
          <w:p>
            <w:pPr>
              <w:pStyle w:val="TableParagraph"/>
              <w:ind w:right="178"/>
              <w:rPr>
                <w:sz w:val="20"/>
              </w:rPr>
            </w:pPr>
            <w:r>
              <w:rPr>
                <w:sz w:val="20"/>
              </w:rPr>
              <w:t>2.29</w:t>
            </w:r>
          </w:p>
        </w:tc>
        <w:tc>
          <w:tcPr>
            <w:tcW w:w="816" w:type="dxa"/>
            <w:tcBorders>
              <w:top w:val="nil"/>
              <w:left w:val="nil"/>
              <w:bottom w:val="nil"/>
              <w:right w:val="nil"/>
            </w:tcBorders>
          </w:tcPr>
          <w:p>
            <w:pPr>
              <w:pStyle w:val="TableParagraph"/>
              <w:ind w:right="178"/>
              <w:rPr>
                <w:sz w:val="20"/>
              </w:rPr>
            </w:pPr>
            <w:r>
              <w:rPr>
                <w:sz w:val="20"/>
              </w:rPr>
              <w:t>2.29</w:t>
            </w:r>
          </w:p>
        </w:tc>
        <w:tc>
          <w:tcPr>
            <w:tcW w:w="848" w:type="dxa"/>
            <w:tcBorders>
              <w:top w:val="nil"/>
              <w:left w:val="nil"/>
              <w:bottom w:val="nil"/>
              <w:right w:val="nil"/>
            </w:tcBorders>
          </w:tcPr>
          <w:p>
            <w:pPr>
              <w:pStyle w:val="TableParagraph"/>
              <w:ind w:left="281"/>
              <w:jc w:val="left"/>
              <w:rPr>
                <w:sz w:val="20"/>
              </w:rPr>
            </w:pPr>
            <w:r>
              <w:rPr>
                <w:sz w:val="20"/>
              </w:rPr>
              <w:t>1.52</w:t>
            </w:r>
          </w:p>
        </w:tc>
        <w:tc>
          <w:tcPr>
            <w:tcW w:w="819" w:type="dxa"/>
            <w:tcBorders>
              <w:top w:val="nil"/>
              <w:left w:val="nil"/>
              <w:bottom w:val="nil"/>
              <w:right w:val="nil"/>
            </w:tcBorders>
          </w:tcPr>
          <w:p>
            <w:pPr>
              <w:pStyle w:val="TableParagraph"/>
              <w:ind w:left="249"/>
              <w:jc w:val="left"/>
              <w:rPr>
                <w:sz w:val="20"/>
              </w:rPr>
            </w:pPr>
            <w:r>
              <w:rPr>
                <w:sz w:val="20"/>
              </w:rPr>
              <w:t>0.00</w:t>
            </w:r>
          </w:p>
        </w:tc>
        <w:tc>
          <w:tcPr>
            <w:tcW w:w="792" w:type="dxa"/>
            <w:tcBorders>
              <w:top w:val="nil"/>
              <w:left w:val="nil"/>
              <w:bottom w:val="nil"/>
              <w:right w:val="nil"/>
            </w:tcBorders>
          </w:tcPr>
          <w:p>
            <w:pPr>
              <w:pStyle w:val="TableParagraph"/>
              <w:ind w:left="252"/>
              <w:jc w:val="left"/>
              <w:rPr>
                <w:sz w:val="20"/>
              </w:rPr>
            </w:pPr>
            <w:r>
              <w:rPr>
                <w:sz w:val="20"/>
              </w:rPr>
              <w:t>0.00</w:t>
            </w:r>
          </w:p>
        </w:tc>
        <w:tc>
          <w:tcPr>
            <w:tcW w:w="694" w:type="dxa"/>
            <w:tcBorders>
              <w:top w:val="nil"/>
              <w:left w:val="nil"/>
              <w:bottom w:val="nil"/>
              <w:right w:val="nil"/>
            </w:tcBorders>
          </w:tcPr>
          <w:p>
            <w:pPr>
              <w:pStyle w:val="TableParagraph"/>
              <w:ind w:right="60"/>
              <w:rPr>
                <w:sz w:val="20"/>
              </w:rPr>
            </w:pPr>
            <w:r>
              <w:rPr>
                <w:sz w:val="20"/>
              </w:rPr>
              <w:t>0.00</w:t>
            </w:r>
          </w:p>
        </w:tc>
      </w:tr>
      <w:tr>
        <w:trPr>
          <w:trHeight w:val="298" w:hRule="exact"/>
        </w:trPr>
        <w:tc>
          <w:tcPr>
            <w:tcW w:w="1472" w:type="dxa"/>
            <w:tcBorders>
              <w:top w:val="nil"/>
              <w:left w:val="nil"/>
              <w:bottom w:val="nil"/>
              <w:right w:val="nil"/>
            </w:tcBorders>
          </w:tcPr>
          <w:p>
            <w:pPr>
              <w:pStyle w:val="TableParagraph"/>
              <w:ind w:left="86"/>
              <w:jc w:val="left"/>
              <w:rPr>
                <w:sz w:val="20"/>
              </w:rPr>
            </w:pPr>
            <w:r>
              <w:rPr>
                <w:sz w:val="20"/>
              </w:rPr>
              <w:t>TEJ_HhFlp</w:t>
            </w:r>
          </w:p>
        </w:tc>
        <w:tc>
          <w:tcPr>
            <w:tcW w:w="782" w:type="dxa"/>
            <w:tcBorders>
              <w:top w:val="nil"/>
              <w:left w:val="nil"/>
              <w:bottom w:val="nil"/>
              <w:right w:val="nil"/>
            </w:tcBorders>
          </w:tcPr>
          <w:p>
            <w:pPr>
              <w:pStyle w:val="TableParagraph"/>
              <w:ind w:right="178"/>
              <w:rPr>
                <w:sz w:val="20"/>
              </w:rPr>
            </w:pPr>
            <w:r>
              <w:rPr>
                <w:sz w:val="20"/>
              </w:rPr>
              <w:t>13.21</w:t>
            </w:r>
          </w:p>
        </w:tc>
        <w:tc>
          <w:tcPr>
            <w:tcW w:w="816" w:type="dxa"/>
            <w:tcBorders>
              <w:top w:val="nil"/>
              <w:left w:val="nil"/>
              <w:bottom w:val="nil"/>
              <w:right w:val="nil"/>
            </w:tcBorders>
          </w:tcPr>
          <w:p>
            <w:pPr>
              <w:pStyle w:val="TableParagraph"/>
              <w:ind w:left="180"/>
              <w:jc w:val="left"/>
              <w:rPr>
                <w:sz w:val="20"/>
              </w:rPr>
            </w:pPr>
            <w:r>
              <w:rPr>
                <w:sz w:val="20"/>
              </w:rPr>
              <w:t>13.21</w:t>
            </w:r>
          </w:p>
        </w:tc>
        <w:tc>
          <w:tcPr>
            <w:tcW w:w="816" w:type="dxa"/>
            <w:tcBorders>
              <w:top w:val="nil"/>
              <w:left w:val="nil"/>
              <w:bottom w:val="nil"/>
              <w:right w:val="nil"/>
            </w:tcBorders>
          </w:tcPr>
          <w:p>
            <w:pPr>
              <w:pStyle w:val="TableParagraph"/>
              <w:ind w:right="178"/>
              <w:rPr>
                <w:sz w:val="20"/>
              </w:rPr>
            </w:pPr>
            <w:r>
              <w:rPr>
                <w:sz w:val="20"/>
              </w:rPr>
              <w:t>13.21</w:t>
            </w:r>
          </w:p>
        </w:tc>
        <w:tc>
          <w:tcPr>
            <w:tcW w:w="819" w:type="dxa"/>
            <w:tcBorders>
              <w:top w:val="nil"/>
              <w:left w:val="nil"/>
              <w:bottom w:val="nil"/>
              <w:right w:val="nil"/>
            </w:tcBorders>
          </w:tcPr>
          <w:p>
            <w:pPr>
              <w:pStyle w:val="TableParagraph"/>
              <w:ind w:right="180"/>
              <w:rPr>
                <w:sz w:val="20"/>
              </w:rPr>
            </w:pPr>
            <w:r>
              <w:rPr>
                <w:sz w:val="20"/>
              </w:rPr>
              <w:t>13.21</w:t>
            </w:r>
          </w:p>
        </w:tc>
        <w:tc>
          <w:tcPr>
            <w:tcW w:w="819" w:type="dxa"/>
            <w:tcBorders>
              <w:top w:val="nil"/>
              <w:left w:val="nil"/>
              <w:bottom w:val="nil"/>
              <w:right w:val="nil"/>
            </w:tcBorders>
          </w:tcPr>
          <w:p>
            <w:pPr>
              <w:pStyle w:val="TableParagraph"/>
              <w:ind w:right="178"/>
              <w:rPr>
                <w:sz w:val="20"/>
              </w:rPr>
            </w:pPr>
            <w:r>
              <w:rPr>
                <w:sz w:val="20"/>
              </w:rPr>
              <w:t>13.21</w:t>
            </w:r>
          </w:p>
        </w:tc>
        <w:tc>
          <w:tcPr>
            <w:tcW w:w="816" w:type="dxa"/>
            <w:tcBorders>
              <w:top w:val="nil"/>
              <w:left w:val="nil"/>
              <w:bottom w:val="nil"/>
              <w:right w:val="nil"/>
            </w:tcBorders>
          </w:tcPr>
          <w:p>
            <w:pPr>
              <w:pStyle w:val="TableParagraph"/>
              <w:ind w:right="178"/>
              <w:rPr>
                <w:sz w:val="20"/>
              </w:rPr>
            </w:pPr>
            <w:r>
              <w:rPr>
                <w:sz w:val="20"/>
              </w:rPr>
              <w:t>13.21</w:t>
            </w:r>
          </w:p>
        </w:tc>
        <w:tc>
          <w:tcPr>
            <w:tcW w:w="848" w:type="dxa"/>
            <w:tcBorders>
              <w:top w:val="nil"/>
              <w:left w:val="nil"/>
              <w:bottom w:val="nil"/>
              <w:right w:val="nil"/>
            </w:tcBorders>
          </w:tcPr>
          <w:p>
            <w:pPr>
              <w:pStyle w:val="TableParagraph"/>
              <w:ind w:left="180"/>
              <w:jc w:val="left"/>
              <w:rPr>
                <w:sz w:val="20"/>
              </w:rPr>
            </w:pPr>
            <w:r>
              <w:rPr>
                <w:sz w:val="20"/>
              </w:rPr>
              <w:t>13.21</w:t>
            </w:r>
          </w:p>
        </w:tc>
        <w:tc>
          <w:tcPr>
            <w:tcW w:w="819" w:type="dxa"/>
            <w:tcBorders>
              <w:top w:val="nil"/>
              <w:left w:val="nil"/>
              <w:bottom w:val="nil"/>
              <w:right w:val="nil"/>
            </w:tcBorders>
          </w:tcPr>
          <w:p>
            <w:pPr>
              <w:pStyle w:val="TableParagraph"/>
              <w:ind w:left="249"/>
              <w:jc w:val="left"/>
              <w:rPr>
                <w:sz w:val="20"/>
              </w:rPr>
            </w:pPr>
            <w:r>
              <w:rPr>
                <w:sz w:val="20"/>
              </w:rPr>
              <w:t>0.00</w:t>
            </w:r>
          </w:p>
        </w:tc>
        <w:tc>
          <w:tcPr>
            <w:tcW w:w="792" w:type="dxa"/>
            <w:tcBorders>
              <w:top w:val="nil"/>
              <w:left w:val="nil"/>
              <w:bottom w:val="nil"/>
              <w:right w:val="nil"/>
            </w:tcBorders>
          </w:tcPr>
          <w:p>
            <w:pPr>
              <w:pStyle w:val="TableParagraph"/>
              <w:ind w:left="252"/>
              <w:jc w:val="left"/>
              <w:rPr>
                <w:sz w:val="20"/>
              </w:rPr>
            </w:pPr>
            <w:r>
              <w:rPr>
                <w:sz w:val="20"/>
              </w:rPr>
              <w:t>0.00</w:t>
            </w:r>
          </w:p>
        </w:tc>
        <w:tc>
          <w:tcPr>
            <w:tcW w:w="694" w:type="dxa"/>
            <w:tcBorders>
              <w:top w:val="nil"/>
              <w:left w:val="nil"/>
              <w:bottom w:val="nil"/>
              <w:right w:val="nil"/>
            </w:tcBorders>
          </w:tcPr>
          <w:p>
            <w:pPr>
              <w:pStyle w:val="TableParagraph"/>
              <w:ind w:right="60"/>
              <w:rPr>
                <w:sz w:val="20"/>
              </w:rPr>
            </w:pPr>
            <w:r>
              <w:rPr>
                <w:sz w:val="20"/>
              </w:rPr>
              <w:t>0.00</w:t>
            </w:r>
          </w:p>
        </w:tc>
      </w:tr>
      <w:tr>
        <w:trPr>
          <w:trHeight w:val="298" w:hRule="exact"/>
        </w:trPr>
        <w:tc>
          <w:tcPr>
            <w:tcW w:w="1472" w:type="dxa"/>
            <w:tcBorders>
              <w:top w:val="nil"/>
              <w:left w:val="nil"/>
              <w:bottom w:val="nil"/>
              <w:right w:val="nil"/>
            </w:tcBorders>
          </w:tcPr>
          <w:p>
            <w:pPr>
              <w:pStyle w:val="TableParagraph"/>
              <w:ind w:left="86"/>
              <w:jc w:val="left"/>
              <w:rPr>
                <w:sz w:val="20"/>
              </w:rPr>
            </w:pPr>
            <w:r>
              <w:rPr>
                <w:sz w:val="20"/>
              </w:rPr>
              <w:t>TEJ_HhFp</w:t>
            </w:r>
          </w:p>
        </w:tc>
        <w:tc>
          <w:tcPr>
            <w:tcW w:w="782" w:type="dxa"/>
            <w:tcBorders>
              <w:top w:val="nil"/>
              <w:left w:val="nil"/>
              <w:bottom w:val="nil"/>
              <w:right w:val="nil"/>
            </w:tcBorders>
          </w:tcPr>
          <w:p>
            <w:pPr>
              <w:pStyle w:val="TableParagraph"/>
              <w:ind w:right="178"/>
              <w:rPr>
                <w:sz w:val="20"/>
              </w:rPr>
            </w:pPr>
            <w:r>
              <w:rPr>
                <w:sz w:val="20"/>
              </w:rPr>
              <w:t>2.29</w:t>
            </w:r>
          </w:p>
        </w:tc>
        <w:tc>
          <w:tcPr>
            <w:tcW w:w="816" w:type="dxa"/>
            <w:tcBorders>
              <w:top w:val="nil"/>
              <w:left w:val="nil"/>
              <w:bottom w:val="nil"/>
              <w:right w:val="nil"/>
            </w:tcBorders>
          </w:tcPr>
          <w:p>
            <w:pPr>
              <w:pStyle w:val="TableParagraph"/>
              <w:ind w:left="281"/>
              <w:jc w:val="left"/>
              <w:rPr>
                <w:sz w:val="20"/>
              </w:rPr>
            </w:pPr>
            <w:r>
              <w:rPr>
                <w:sz w:val="20"/>
              </w:rPr>
              <w:t>2.29</w:t>
            </w:r>
          </w:p>
        </w:tc>
        <w:tc>
          <w:tcPr>
            <w:tcW w:w="816" w:type="dxa"/>
            <w:tcBorders>
              <w:top w:val="nil"/>
              <w:left w:val="nil"/>
              <w:bottom w:val="nil"/>
              <w:right w:val="nil"/>
            </w:tcBorders>
          </w:tcPr>
          <w:p>
            <w:pPr>
              <w:pStyle w:val="TableParagraph"/>
              <w:ind w:right="178"/>
              <w:rPr>
                <w:sz w:val="20"/>
              </w:rPr>
            </w:pPr>
            <w:r>
              <w:rPr>
                <w:sz w:val="20"/>
              </w:rPr>
              <w:t>2.29</w:t>
            </w:r>
          </w:p>
        </w:tc>
        <w:tc>
          <w:tcPr>
            <w:tcW w:w="819" w:type="dxa"/>
            <w:tcBorders>
              <w:top w:val="nil"/>
              <w:left w:val="nil"/>
              <w:bottom w:val="nil"/>
              <w:right w:val="nil"/>
            </w:tcBorders>
          </w:tcPr>
          <w:p>
            <w:pPr>
              <w:pStyle w:val="TableParagraph"/>
              <w:ind w:right="180"/>
              <w:rPr>
                <w:sz w:val="20"/>
              </w:rPr>
            </w:pPr>
            <w:r>
              <w:rPr>
                <w:sz w:val="20"/>
              </w:rPr>
              <w:t>2.29</w:t>
            </w:r>
          </w:p>
        </w:tc>
        <w:tc>
          <w:tcPr>
            <w:tcW w:w="819" w:type="dxa"/>
            <w:tcBorders>
              <w:top w:val="nil"/>
              <w:left w:val="nil"/>
              <w:bottom w:val="nil"/>
              <w:right w:val="nil"/>
            </w:tcBorders>
          </w:tcPr>
          <w:p>
            <w:pPr>
              <w:pStyle w:val="TableParagraph"/>
              <w:ind w:right="178"/>
              <w:rPr>
                <w:sz w:val="20"/>
              </w:rPr>
            </w:pPr>
            <w:r>
              <w:rPr>
                <w:sz w:val="20"/>
              </w:rPr>
              <w:t>2.11</w:t>
            </w:r>
          </w:p>
        </w:tc>
        <w:tc>
          <w:tcPr>
            <w:tcW w:w="816" w:type="dxa"/>
            <w:tcBorders>
              <w:top w:val="nil"/>
              <w:left w:val="nil"/>
              <w:bottom w:val="nil"/>
              <w:right w:val="nil"/>
            </w:tcBorders>
          </w:tcPr>
          <w:p>
            <w:pPr>
              <w:pStyle w:val="TableParagraph"/>
              <w:ind w:right="178"/>
              <w:rPr>
                <w:sz w:val="20"/>
              </w:rPr>
            </w:pPr>
            <w:r>
              <w:rPr>
                <w:sz w:val="20"/>
              </w:rPr>
              <w:t>2.49</w:t>
            </w:r>
          </w:p>
        </w:tc>
        <w:tc>
          <w:tcPr>
            <w:tcW w:w="848" w:type="dxa"/>
            <w:tcBorders>
              <w:top w:val="nil"/>
              <w:left w:val="nil"/>
              <w:bottom w:val="nil"/>
              <w:right w:val="nil"/>
            </w:tcBorders>
          </w:tcPr>
          <w:p>
            <w:pPr>
              <w:pStyle w:val="TableParagraph"/>
              <w:ind w:left="281"/>
              <w:jc w:val="left"/>
              <w:rPr>
                <w:sz w:val="20"/>
              </w:rPr>
            </w:pPr>
            <w:r>
              <w:rPr>
                <w:sz w:val="20"/>
              </w:rPr>
              <w:t>1.78</w:t>
            </w:r>
          </w:p>
        </w:tc>
        <w:tc>
          <w:tcPr>
            <w:tcW w:w="819" w:type="dxa"/>
            <w:tcBorders>
              <w:top w:val="nil"/>
              <w:left w:val="nil"/>
              <w:bottom w:val="nil"/>
              <w:right w:val="nil"/>
            </w:tcBorders>
          </w:tcPr>
          <w:p>
            <w:pPr>
              <w:pStyle w:val="TableParagraph"/>
              <w:ind w:left="249"/>
              <w:jc w:val="left"/>
              <w:rPr>
                <w:sz w:val="20"/>
              </w:rPr>
            </w:pPr>
            <w:r>
              <w:rPr>
                <w:sz w:val="20"/>
              </w:rPr>
              <w:t>0.00</w:t>
            </w:r>
          </w:p>
        </w:tc>
        <w:tc>
          <w:tcPr>
            <w:tcW w:w="792" w:type="dxa"/>
            <w:tcBorders>
              <w:top w:val="nil"/>
              <w:left w:val="nil"/>
              <w:bottom w:val="nil"/>
              <w:right w:val="nil"/>
            </w:tcBorders>
          </w:tcPr>
          <w:p>
            <w:pPr>
              <w:pStyle w:val="TableParagraph"/>
              <w:ind w:left="252"/>
              <w:jc w:val="left"/>
              <w:rPr>
                <w:sz w:val="20"/>
              </w:rPr>
            </w:pPr>
            <w:r>
              <w:rPr>
                <w:sz w:val="20"/>
              </w:rPr>
              <w:t>0.00</w:t>
            </w:r>
          </w:p>
        </w:tc>
        <w:tc>
          <w:tcPr>
            <w:tcW w:w="694" w:type="dxa"/>
            <w:tcBorders>
              <w:top w:val="nil"/>
              <w:left w:val="nil"/>
              <w:bottom w:val="nil"/>
              <w:right w:val="nil"/>
            </w:tcBorders>
          </w:tcPr>
          <w:p>
            <w:pPr>
              <w:pStyle w:val="TableParagraph"/>
              <w:ind w:right="60"/>
              <w:rPr>
                <w:sz w:val="20"/>
              </w:rPr>
            </w:pPr>
            <w:r>
              <w:rPr>
                <w:sz w:val="20"/>
              </w:rPr>
              <w:t>0.00</w:t>
            </w:r>
          </w:p>
        </w:tc>
      </w:tr>
      <w:tr>
        <w:trPr>
          <w:trHeight w:val="298" w:hRule="exact"/>
        </w:trPr>
        <w:tc>
          <w:tcPr>
            <w:tcW w:w="1472" w:type="dxa"/>
            <w:tcBorders>
              <w:top w:val="nil"/>
              <w:left w:val="nil"/>
              <w:bottom w:val="nil"/>
              <w:right w:val="nil"/>
            </w:tcBorders>
          </w:tcPr>
          <w:p>
            <w:pPr>
              <w:pStyle w:val="TableParagraph"/>
              <w:ind w:left="86"/>
              <w:jc w:val="left"/>
              <w:rPr>
                <w:sz w:val="20"/>
              </w:rPr>
            </w:pPr>
            <w:r>
              <w:rPr>
                <w:sz w:val="20"/>
              </w:rPr>
              <w:t>TEJ_HhSF</w:t>
            </w:r>
          </w:p>
        </w:tc>
        <w:tc>
          <w:tcPr>
            <w:tcW w:w="782" w:type="dxa"/>
            <w:tcBorders>
              <w:top w:val="nil"/>
              <w:left w:val="nil"/>
              <w:bottom w:val="nil"/>
              <w:right w:val="nil"/>
            </w:tcBorders>
          </w:tcPr>
          <w:p>
            <w:pPr>
              <w:pStyle w:val="TableParagraph"/>
              <w:ind w:right="178"/>
              <w:rPr>
                <w:sz w:val="20"/>
              </w:rPr>
            </w:pPr>
            <w:r>
              <w:rPr>
                <w:sz w:val="20"/>
              </w:rPr>
              <w:t>4.32</w:t>
            </w:r>
          </w:p>
        </w:tc>
        <w:tc>
          <w:tcPr>
            <w:tcW w:w="816" w:type="dxa"/>
            <w:tcBorders>
              <w:top w:val="nil"/>
              <w:left w:val="nil"/>
              <w:bottom w:val="nil"/>
              <w:right w:val="nil"/>
            </w:tcBorders>
          </w:tcPr>
          <w:p>
            <w:pPr>
              <w:pStyle w:val="TableParagraph"/>
              <w:ind w:left="281"/>
              <w:jc w:val="left"/>
              <w:rPr>
                <w:sz w:val="20"/>
              </w:rPr>
            </w:pPr>
            <w:r>
              <w:rPr>
                <w:sz w:val="20"/>
              </w:rPr>
              <w:t>4.32</w:t>
            </w:r>
          </w:p>
        </w:tc>
        <w:tc>
          <w:tcPr>
            <w:tcW w:w="816" w:type="dxa"/>
            <w:tcBorders>
              <w:top w:val="nil"/>
              <w:left w:val="nil"/>
              <w:bottom w:val="nil"/>
              <w:right w:val="nil"/>
            </w:tcBorders>
          </w:tcPr>
          <w:p>
            <w:pPr>
              <w:pStyle w:val="TableParagraph"/>
              <w:ind w:right="178"/>
              <w:rPr>
                <w:sz w:val="20"/>
              </w:rPr>
            </w:pPr>
            <w:r>
              <w:rPr>
                <w:sz w:val="20"/>
              </w:rPr>
              <w:t>4.32</w:t>
            </w:r>
          </w:p>
        </w:tc>
        <w:tc>
          <w:tcPr>
            <w:tcW w:w="819" w:type="dxa"/>
            <w:tcBorders>
              <w:top w:val="nil"/>
              <w:left w:val="nil"/>
              <w:bottom w:val="nil"/>
              <w:right w:val="nil"/>
            </w:tcBorders>
          </w:tcPr>
          <w:p>
            <w:pPr>
              <w:pStyle w:val="TableParagraph"/>
              <w:ind w:right="180"/>
              <w:rPr>
                <w:sz w:val="20"/>
              </w:rPr>
            </w:pPr>
            <w:r>
              <w:rPr>
                <w:sz w:val="20"/>
              </w:rPr>
              <w:t>4.32</w:t>
            </w:r>
          </w:p>
        </w:tc>
        <w:tc>
          <w:tcPr>
            <w:tcW w:w="819" w:type="dxa"/>
            <w:tcBorders>
              <w:top w:val="nil"/>
              <w:left w:val="nil"/>
              <w:bottom w:val="nil"/>
              <w:right w:val="nil"/>
            </w:tcBorders>
          </w:tcPr>
          <w:p>
            <w:pPr>
              <w:pStyle w:val="TableParagraph"/>
              <w:ind w:right="178"/>
              <w:rPr>
                <w:sz w:val="20"/>
              </w:rPr>
            </w:pPr>
            <w:r>
              <w:rPr>
                <w:sz w:val="20"/>
              </w:rPr>
              <w:t>4.32</w:t>
            </w:r>
          </w:p>
        </w:tc>
        <w:tc>
          <w:tcPr>
            <w:tcW w:w="816" w:type="dxa"/>
            <w:tcBorders>
              <w:top w:val="nil"/>
              <w:left w:val="nil"/>
              <w:bottom w:val="nil"/>
              <w:right w:val="nil"/>
            </w:tcBorders>
          </w:tcPr>
          <w:p>
            <w:pPr>
              <w:pStyle w:val="TableParagraph"/>
              <w:ind w:right="178"/>
              <w:rPr>
                <w:sz w:val="20"/>
              </w:rPr>
            </w:pPr>
            <w:r>
              <w:rPr>
                <w:sz w:val="20"/>
              </w:rPr>
              <w:t>3.81</w:t>
            </w:r>
          </w:p>
        </w:tc>
        <w:tc>
          <w:tcPr>
            <w:tcW w:w="848" w:type="dxa"/>
            <w:tcBorders>
              <w:top w:val="nil"/>
              <w:left w:val="nil"/>
              <w:bottom w:val="nil"/>
              <w:right w:val="nil"/>
            </w:tcBorders>
          </w:tcPr>
          <w:p>
            <w:pPr>
              <w:pStyle w:val="TableParagraph"/>
              <w:ind w:left="281"/>
              <w:jc w:val="left"/>
              <w:rPr>
                <w:sz w:val="20"/>
              </w:rPr>
            </w:pPr>
            <w:r>
              <w:rPr>
                <w:sz w:val="20"/>
              </w:rPr>
              <w:t>3.81</w:t>
            </w:r>
          </w:p>
        </w:tc>
        <w:tc>
          <w:tcPr>
            <w:tcW w:w="819" w:type="dxa"/>
            <w:tcBorders>
              <w:top w:val="nil"/>
              <w:left w:val="nil"/>
              <w:bottom w:val="nil"/>
              <w:right w:val="nil"/>
            </w:tcBorders>
          </w:tcPr>
          <w:p>
            <w:pPr>
              <w:pStyle w:val="TableParagraph"/>
              <w:ind w:left="249"/>
              <w:jc w:val="left"/>
              <w:rPr>
                <w:sz w:val="20"/>
              </w:rPr>
            </w:pPr>
            <w:r>
              <w:rPr>
                <w:sz w:val="20"/>
              </w:rPr>
              <w:t>0.00</w:t>
            </w:r>
          </w:p>
        </w:tc>
        <w:tc>
          <w:tcPr>
            <w:tcW w:w="792" w:type="dxa"/>
            <w:tcBorders>
              <w:top w:val="nil"/>
              <w:left w:val="nil"/>
              <w:bottom w:val="nil"/>
              <w:right w:val="nil"/>
            </w:tcBorders>
          </w:tcPr>
          <w:p>
            <w:pPr>
              <w:pStyle w:val="TableParagraph"/>
              <w:ind w:left="252"/>
              <w:jc w:val="left"/>
              <w:rPr>
                <w:sz w:val="20"/>
              </w:rPr>
            </w:pPr>
            <w:r>
              <w:rPr>
                <w:sz w:val="20"/>
              </w:rPr>
              <w:t>0.00</w:t>
            </w:r>
          </w:p>
        </w:tc>
        <w:tc>
          <w:tcPr>
            <w:tcW w:w="694" w:type="dxa"/>
            <w:tcBorders>
              <w:top w:val="nil"/>
              <w:left w:val="nil"/>
              <w:bottom w:val="nil"/>
              <w:right w:val="nil"/>
            </w:tcBorders>
          </w:tcPr>
          <w:p>
            <w:pPr>
              <w:pStyle w:val="TableParagraph"/>
              <w:ind w:right="60"/>
              <w:rPr>
                <w:sz w:val="20"/>
              </w:rPr>
            </w:pPr>
            <w:r>
              <w:rPr>
                <w:sz w:val="20"/>
              </w:rPr>
              <w:t>0.00</w:t>
            </w:r>
          </w:p>
        </w:tc>
      </w:tr>
      <w:tr>
        <w:trPr>
          <w:trHeight w:val="298" w:hRule="exact"/>
        </w:trPr>
        <w:tc>
          <w:tcPr>
            <w:tcW w:w="1472" w:type="dxa"/>
            <w:tcBorders>
              <w:top w:val="nil"/>
              <w:left w:val="nil"/>
              <w:bottom w:val="nil"/>
              <w:right w:val="nil"/>
            </w:tcBorders>
          </w:tcPr>
          <w:p>
            <w:pPr>
              <w:pStyle w:val="TableParagraph"/>
              <w:ind w:left="86"/>
              <w:jc w:val="left"/>
              <w:rPr>
                <w:sz w:val="20"/>
              </w:rPr>
            </w:pPr>
            <w:r>
              <w:rPr>
                <w:sz w:val="20"/>
              </w:rPr>
              <w:t>TEJ_HlFd</w:t>
            </w:r>
          </w:p>
        </w:tc>
        <w:tc>
          <w:tcPr>
            <w:tcW w:w="782" w:type="dxa"/>
            <w:tcBorders>
              <w:top w:val="nil"/>
              <w:left w:val="nil"/>
              <w:bottom w:val="nil"/>
              <w:right w:val="nil"/>
            </w:tcBorders>
          </w:tcPr>
          <w:p>
            <w:pPr>
              <w:pStyle w:val="TableParagraph"/>
              <w:ind w:right="178"/>
              <w:rPr>
                <w:sz w:val="20"/>
              </w:rPr>
            </w:pPr>
            <w:r>
              <w:rPr>
                <w:sz w:val="20"/>
              </w:rPr>
              <w:t>13.21</w:t>
            </w:r>
          </w:p>
        </w:tc>
        <w:tc>
          <w:tcPr>
            <w:tcW w:w="816" w:type="dxa"/>
            <w:tcBorders>
              <w:top w:val="nil"/>
              <w:left w:val="nil"/>
              <w:bottom w:val="nil"/>
              <w:right w:val="nil"/>
            </w:tcBorders>
          </w:tcPr>
          <w:p>
            <w:pPr>
              <w:pStyle w:val="TableParagraph"/>
              <w:ind w:left="180"/>
              <w:jc w:val="left"/>
              <w:rPr>
                <w:sz w:val="20"/>
              </w:rPr>
            </w:pPr>
            <w:r>
              <w:rPr>
                <w:sz w:val="20"/>
              </w:rPr>
              <w:t>11.65</w:t>
            </w:r>
          </w:p>
        </w:tc>
        <w:tc>
          <w:tcPr>
            <w:tcW w:w="816" w:type="dxa"/>
            <w:tcBorders>
              <w:top w:val="nil"/>
              <w:left w:val="nil"/>
              <w:bottom w:val="nil"/>
              <w:right w:val="nil"/>
            </w:tcBorders>
          </w:tcPr>
          <w:p>
            <w:pPr>
              <w:pStyle w:val="TableParagraph"/>
              <w:ind w:right="178"/>
              <w:rPr>
                <w:sz w:val="20"/>
              </w:rPr>
            </w:pPr>
            <w:r>
              <w:rPr>
                <w:sz w:val="20"/>
              </w:rPr>
              <w:t>10.09</w:t>
            </w:r>
          </w:p>
        </w:tc>
        <w:tc>
          <w:tcPr>
            <w:tcW w:w="819" w:type="dxa"/>
            <w:tcBorders>
              <w:top w:val="nil"/>
              <w:left w:val="nil"/>
              <w:bottom w:val="nil"/>
              <w:right w:val="nil"/>
            </w:tcBorders>
          </w:tcPr>
          <w:p>
            <w:pPr>
              <w:pStyle w:val="TableParagraph"/>
              <w:ind w:right="180"/>
              <w:rPr>
                <w:sz w:val="20"/>
              </w:rPr>
            </w:pPr>
            <w:r>
              <w:rPr>
                <w:sz w:val="20"/>
              </w:rPr>
              <w:t>2.29</w:t>
            </w:r>
          </w:p>
        </w:tc>
        <w:tc>
          <w:tcPr>
            <w:tcW w:w="819" w:type="dxa"/>
            <w:tcBorders>
              <w:top w:val="nil"/>
              <w:left w:val="nil"/>
              <w:bottom w:val="nil"/>
              <w:right w:val="nil"/>
            </w:tcBorders>
          </w:tcPr>
          <w:p>
            <w:pPr>
              <w:pStyle w:val="TableParagraph"/>
              <w:ind w:right="178"/>
              <w:rPr>
                <w:sz w:val="20"/>
              </w:rPr>
            </w:pPr>
            <w:r>
              <w:rPr>
                <w:sz w:val="20"/>
              </w:rPr>
              <w:t>2.03</w:t>
            </w:r>
          </w:p>
        </w:tc>
        <w:tc>
          <w:tcPr>
            <w:tcW w:w="816" w:type="dxa"/>
            <w:tcBorders>
              <w:top w:val="nil"/>
              <w:left w:val="nil"/>
              <w:bottom w:val="nil"/>
              <w:right w:val="nil"/>
            </w:tcBorders>
          </w:tcPr>
          <w:p>
            <w:pPr>
              <w:pStyle w:val="TableParagraph"/>
              <w:ind w:right="178"/>
              <w:rPr>
                <w:sz w:val="20"/>
              </w:rPr>
            </w:pPr>
            <w:r>
              <w:rPr>
                <w:sz w:val="20"/>
              </w:rPr>
              <w:t>2.29</w:t>
            </w:r>
          </w:p>
        </w:tc>
        <w:tc>
          <w:tcPr>
            <w:tcW w:w="848" w:type="dxa"/>
            <w:tcBorders>
              <w:top w:val="nil"/>
              <w:left w:val="nil"/>
              <w:bottom w:val="nil"/>
              <w:right w:val="nil"/>
            </w:tcBorders>
          </w:tcPr>
          <w:p>
            <w:pPr>
              <w:pStyle w:val="TableParagraph"/>
              <w:ind w:left="281"/>
              <w:jc w:val="left"/>
              <w:rPr>
                <w:sz w:val="20"/>
              </w:rPr>
            </w:pPr>
            <w:r>
              <w:rPr>
                <w:sz w:val="20"/>
              </w:rPr>
              <w:t>1.78</w:t>
            </w:r>
          </w:p>
        </w:tc>
        <w:tc>
          <w:tcPr>
            <w:tcW w:w="819" w:type="dxa"/>
            <w:tcBorders>
              <w:top w:val="nil"/>
              <w:left w:val="nil"/>
              <w:bottom w:val="nil"/>
              <w:right w:val="nil"/>
            </w:tcBorders>
          </w:tcPr>
          <w:p>
            <w:pPr>
              <w:pStyle w:val="TableParagraph"/>
              <w:ind w:left="249"/>
              <w:jc w:val="left"/>
              <w:rPr>
                <w:sz w:val="20"/>
              </w:rPr>
            </w:pPr>
            <w:r>
              <w:rPr>
                <w:sz w:val="20"/>
              </w:rPr>
              <w:t>0.00</w:t>
            </w:r>
          </w:p>
        </w:tc>
        <w:tc>
          <w:tcPr>
            <w:tcW w:w="792" w:type="dxa"/>
            <w:tcBorders>
              <w:top w:val="nil"/>
              <w:left w:val="nil"/>
              <w:bottom w:val="nil"/>
              <w:right w:val="nil"/>
            </w:tcBorders>
          </w:tcPr>
          <w:p>
            <w:pPr>
              <w:pStyle w:val="TableParagraph"/>
              <w:ind w:left="252"/>
              <w:jc w:val="left"/>
              <w:rPr>
                <w:sz w:val="20"/>
              </w:rPr>
            </w:pPr>
            <w:r>
              <w:rPr>
                <w:sz w:val="20"/>
              </w:rPr>
              <w:t>0.00</w:t>
            </w:r>
          </w:p>
        </w:tc>
        <w:tc>
          <w:tcPr>
            <w:tcW w:w="694" w:type="dxa"/>
            <w:tcBorders>
              <w:top w:val="nil"/>
              <w:left w:val="nil"/>
              <w:bottom w:val="nil"/>
              <w:right w:val="nil"/>
            </w:tcBorders>
          </w:tcPr>
          <w:p>
            <w:pPr>
              <w:pStyle w:val="TableParagraph"/>
              <w:ind w:right="60"/>
              <w:rPr>
                <w:sz w:val="20"/>
              </w:rPr>
            </w:pPr>
            <w:r>
              <w:rPr>
                <w:sz w:val="20"/>
              </w:rPr>
              <w:t>0.00</w:t>
            </w:r>
          </w:p>
        </w:tc>
      </w:tr>
      <w:tr>
        <w:trPr>
          <w:trHeight w:val="298" w:hRule="exact"/>
        </w:trPr>
        <w:tc>
          <w:tcPr>
            <w:tcW w:w="1472" w:type="dxa"/>
            <w:tcBorders>
              <w:top w:val="nil"/>
              <w:left w:val="nil"/>
              <w:bottom w:val="nil"/>
              <w:right w:val="nil"/>
            </w:tcBorders>
          </w:tcPr>
          <w:p>
            <w:pPr>
              <w:pStyle w:val="TableParagraph"/>
              <w:ind w:left="86"/>
              <w:jc w:val="left"/>
              <w:rPr>
                <w:sz w:val="20"/>
              </w:rPr>
            </w:pPr>
            <w:r>
              <w:rPr>
                <w:sz w:val="20"/>
              </w:rPr>
              <w:t>TEJ_HlFdp</w:t>
            </w:r>
          </w:p>
        </w:tc>
        <w:tc>
          <w:tcPr>
            <w:tcW w:w="782" w:type="dxa"/>
            <w:tcBorders>
              <w:top w:val="nil"/>
              <w:left w:val="nil"/>
              <w:bottom w:val="nil"/>
              <w:right w:val="nil"/>
            </w:tcBorders>
          </w:tcPr>
          <w:p>
            <w:pPr>
              <w:pStyle w:val="TableParagraph"/>
              <w:ind w:right="178"/>
              <w:rPr>
                <w:sz w:val="20"/>
              </w:rPr>
            </w:pPr>
            <w:r>
              <w:rPr>
                <w:sz w:val="20"/>
              </w:rPr>
              <w:t>4.32</w:t>
            </w:r>
          </w:p>
        </w:tc>
        <w:tc>
          <w:tcPr>
            <w:tcW w:w="816" w:type="dxa"/>
            <w:tcBorders>
              <w:top w:val="nil"/>
              <w:left w:val="nil"/>
              <w:bottom w:val="nil"/>
              <w:right w:val="nil"/>
            </w:tcBorders>
          </w:tcPr>
          <w:p>
            <w:pPr>
              <w:pStyle w:val="TableParagraph"/>
              <w:ind w:left="281"/>
              <w:jc w:val="left"/>
              <w:rPr>
                <w:sz w:val="20"/>
              </w:rPr>
            </w:pPr>
            <w:r>
              <w:rPr>
                <w:sz w:val="20"/>
              </w:rPr>
              <w:t>4.09</w:t>
            </w:r>
          </w:p>
        </w:tc>
        <w:tc>
          <w:tcPr>
            <w:tcW w:w="816" w:type="dxa"/>
            <w:tcBorders>
              <w:top w:val="nil"/>
              <w:left w:val="nil"/>
              <w:bottom w:val="nil"/>
              <w:right w:val="nil"/>
            </w:tcBorders>
          </w:tcPr>
          <w:p>
            <w:pPr>
              <w:pStyle w:val="TableParagraph"/>
              <w:ind w:right="178"/>
              <w:rPr>
                <w:sz w:val="20"/>
              </w:rPr>
            </w:pPr>
            <w:r>
              <w:rPr>
                <w:sz w:val="20"/>
              </w:rPr>
              <w:t>4.09</w:t>
            </w:r>
          </w:p>
        </w:tc>
        <w:tc>
          <w:tcPr>
            <w:tcW w:w="819" w:type="dxa"/>
            <w:tcBorders>
              <w:top w:val="nil"/>
              <w:left w:val="nil"/>
              <w:bottom w:val="nil"/>
              <w:right w:val="nil"/>
            </w:tcBorders>
          </w:tcPr>
          <w:p>
            <w:pPr>
              <w:pStyle w:val="TableParagraph"/>
              <w:ind w:right="180"/>
              <w:rPr>
                <w:sz w:val="20"/>
              </w:rPr>
            </w:pPr>
            <w:r>
              <w:rPr>
                <w:sz w:val="20"/>
              </w:rPr>
              <w:t>2.29</w:t>
            </w:r>
          </w:p>
        </w:tc>
        <w:tc>
          <w:tcPr>
            <w:tcW w:w="819" w:type="dxa"/>
            <w:tcBorders>
              <w:top w:val="nil"/>
              <w:left w:val="nil"/>
              <w:bottom w:val="nil"/>
              <w:right w:val="nil"/>
            </w:tcBorders>
          </w:tcPr>
          <w:p>
            <w:pPr>
              <w:pStyle w:val="TableParagraph"/>
              <w:ind w:right="178"/>
              <w:rPr>
                <w:sz w:val="20"/>
              </w:rPr>
            </w:pPr>
            <w:r>
              <w:rPr>
                <w:sz w:val="20"/>
              </w:rPr>
              <w:t>2.29</w:t>
            </w:r>
          </w:p>
        </w:tc>
        <w:tc>
          <w:tcPr>
            <w:tcW w:w="816" w:type="dxa"/>
            <w:tcBorders>
              <w:top w:val="nil"/>
              <w:left w:val="nil"/>
              <w:bottom w:val="nil"/>
              <w:right w:val="nil"/>
            </w:tcBorders>
          </w:tcPr>
          <w:p>
            <w:pPr>
              <w:pStyle w:val="TableParagraph"/>
              <w:ind w:right="178"/>
              <w:rPr>
                <w:sz w:val="20"/>
              </w:rPr>
            </w:pPr>
            <w:r>
              <w:rPr>
                <w:sz w:val="20"/>
              </w:rPr>
              <w:t>2.51</w:t>
            </w:r>
          </w:p>
        </w:tc>
        <w:tc>
          <w:tcPr>
            <w:tcW w:w="848" w:type="dxa"/>
            <w:tcBorders>
              <w:top w:val="nil"/>
              <w:left w:val="nil"/>
              <w:bottom w:val="nil"/>
              <w:right w:val="nil"/>
            </w:tcBorders>
          </w:tcPr>
          <w:p>
            <w:pPr>
              <w:pStyle w:val="TableParagraph"/>
              <w:ind w:left="281"/>
              <w:jc w:val="left"/>
              <w:rPr>
                <w:sz w:val="20"/>
              </w:rPr>
            </w:pPr>
            <w:r>
              <w:rPr>
                <w:sz w:val="20"/>
              </w:rPr>
              <w:t>2.51</w:t>
            </w:r>
          </w:p>
        </w:tc>
        <w:tc>
          <w:tcPr>
            <w:tcW w:w="819" w:type="dxa"/>
            <w:tcBorders>
              <w:top w:val="nil"/>
              <w:left w:val="nil"/>
              <w:bottom w:val="nil"/>
              <w:right w:val="nil"/>
            </w:tcBorders>
          </w:tcPr>
          <w:p>
            <w:pPr>
              <w:pStyle w:val="TableParagraph"/>
              <w:ind w:left="249"/>
              <w:jc w:val="left"/>
              <w:rPr>
                <w:sz w:val="20"/>
              </w:rPr>
            </w:pPr>
            <w:r>
              <w:rPr>
                <w:sz w:val="20"/>
              </w:rPr>
              <w:t>0.00</w:t>
            </w:r>
          </w:p>
        </w:tc>
        <w:tc>
          <w:tcPr>
            <w:tcW w:w="792" w:type="dxa"/>
            <w:tcBorders>
              <w:top w:val="nil"/>
              <w:left w:val="nil"/>
              <w:bottom w:val="nil"/>
              <w:right w:val="nil"/>
            </w:tcBorders>
          </w:tcPr>
          <w:p>
            <w:pPr>
              <w:pStyle w:val="TableParagraph"/>
              <w:ind w:left="252"/>
              <w:jc w:val="left"/>
              <w:rPr>
                <w:sz w:val="20"/>
              </w:rPr>
            </w:pPr>
            <w:r>
              <w:rPr>
                <w:sz w:val="20"/>
              </w:rPr>
              <w:t>0.00</w:t>
            </w:r>
          </w:p>
        </w:tc>
        <w:tc>
          <w:tcPr>
            <w:tcW w:w="694" w:type="dxa"/>
            <w:tcBorders>
              <w:top w:val="nil"/>
              <w:left w:val="nil"/>
              <w:bottom w:val="nil"/>
              <w:right w:val="nil"/>
            </w:tcBorders>
          </w:tcPr>
          <w:p>
            <w:pPr>
              <w:pStyle w:val="TableParagraph"/>
              <w:ind w:right="60"/>
              <w:rPr>
                <w:sz w:val="20"/>
              </w:rPr>
            </w:pPr>
            <w:r>
              <w:rPr>
                <w:sz w:val="20"/>
              </w:rPr>
              <w:t>0.00</w:t>
            </w:r>
          </w:p>
        </w:tc>
      </w:tr>
      <w:tr>
        <w:trPr>
          <w:trHeight w:val="295" w:hRule="exact"/>
        </w:trPr>
        <w:tc>
          <w:tcPr>
            <w:tcW w:w="1472" w:type="dxa"/>
            <w:tcBorders>
              <w:top w:val="nil"/>
              <w:left w:val="nil"/>
              <w:bottom w:val="nil"/>
              <w:right w:val="nil"/>
            </w:tcBorders>
          </w:tcPr>
          <w:p>
            <w:pPr>
              <w:pStyle w:val="TableParagraph"/>
              <w:ind w:left="86"/>
              <w:jc w:val="left"/>
              <w:rPr>
                <w:sz w:val="20"/>
              </w:rPr>
            </w:pPr>
            <w:r>
              <w:rPr>
                <w:sz w:val="20"/>
              </w:rPr>
              <w:t>TEJ_HlFl</w:t>
            </w:r>
          </w:p>
        </w:tc>
        <w:tc>
          <w:tcPr>
            <w:tcW w:w="782" w:type="dxa"/>
            <w:tcBorders>
              <w:top w:val="nil"/>
              <w:left w:val="nil"/>
              <w:bottom w:val="nil"/>
              <w:right w:val="nil"/>
            </w:tcBorders>
          </w:tcPr>
          <w:p>
            <w:pPr>
              <w:pStyle w:val="TableParagraph"/>
              <w:ind w:right="178"/>
              <w:rPr>
                <w:sz w:val="20"/>
              </w:rPr>
            </w:pPr>
            <w:r>
              <w:rPr>
                <w:sz w:val="20"/>
              </w:rPr>
              <w:t>4.32</w:t>
            </w:r>
          </w:p>
        </w:tc>
        <w:tc>
          <w:tcPr>
            <w:tcW w:w="816" w:type="dxa"/>
            <w:tcBorders>
              <w:top w:val="nil"/>
              <w:left w:val="nil"/>
              <w:bottom w:val="nil"/>
              <w:right w:val="nil"/>
            </w:tcBorders>
          </w:tcPr>
          <w:p>
            <w:pPr>
              <w:pStyle w:val="TableParagraph"/>
              <w:ind w:left="281"/>
              <w:jc w:val="left"/>
              <w:rPr>
                <w:sz w:val="20"/>
              </w:rPr>
            </w:pPr>
            <w:r>
              <w:rPr>
                <w:sz w:val="20"/>
              </w:rPr>
              <w:t>4.32</w:t>
            </w:r>
          </w:p>
        </w:tc>
        <w:tc>
          <w:tcPr>
            <w:tcW w:w="816" w:type="dxa"/>
            <w:tcBorders>
              <w:top w:val="nil"/>
              <w:left w:val="nil"/>
              <w:bottom w:val="nil"/>
              <w:right w:val="nil"/>
            </w:tcBorders>
          </w:tcPr>
          <w:p>
            <w:pPr>
              <w:pStyle w:val="TableParagraph"/>
              <w:ind w:right="178"/>
              <w:rPr>
                <w:sz w:val="20"/>
              </w:rPr>
            </w:pPr>
            <w:r>
              <w:rPr>
                <w:sz w:val="20"/>
              </w:rPr>
              <w:t>0.51</w:t>
            </w:r>
          </w:p>
        </w:tc>
        <w:tc>
          <w:tcPr>
            <w:tcW w:w="819" w:type="dxa"/>
            <w:tcBorders>
              <w:top w:val="nil"/>
              <w:left w:val="nil"/>
              <w:bottom w:val="nil"/>
              <w:right w:val="nil"/>
            </w:tcBorders>
          </w:tcPr>
          <w:p>
            <w:pPr>
              <w:pStyle w:val="TableParagraph"/>
              <w:ind w:right="180"/>
              <w:rPr>
                <w:sz w:val="20"/>
              </w:rPr>
            </w:pPr>
            <w:r>
              <w:rPr>
                <w:sz w:val="20"/>
              </w:rPr>
              <w:t>0.80</w:t>
            </w:r>
          </w:p>
        </w:tc>
        <w:tc>
          <w:tcPr>
            <w:tcW w:w="819" w:type="dxa"/>
            <w:tcBorders>
              <w:top w:val="nil"/>
              <w:left w:val="nil"/>
              <w:bottom w:val="nil"/>
              <w:right w:val="nil"/>
            </w:tcBorders>
          </w:tcPr>
          <w:p>
            <w:pPr>
              <w:pStyle w:val="TableParagraph"/>
              <w:ind w:right="178"/>
              <w:rPr>
                <w:sz w:val="20"/>
              </w:rPr>
            </w:pPr>
            <w:r>
              <w:rPr>
                <w:sz w:val="20"/>
              </w:rPr>
              <w:t>2.29</w:t>
            </w:r>
          </w:p>
        </w:tc>
        <w:tc>
          <w:tcPr>
            <w:tcW w:w="816" w:type="dxa"/>
            <w:tcBorders>
              <w:top w:val="nil"/>
              <w:left w:val="nil"/>
              <w:bottom w:val="nil"/>
              <w:right w:val="nil"/>
            </w:tcBorders>
          </w:tcPr>
          <w:p>
            <w:pPr>
              <w:pStyle w:val="TableParagraph"/>
              <w:ind w:right="178"/>
              <w:rPr>
                <w:sz w:val="20"/>
              </w:rPr>
            </w:pPr>
            <w:r>
              <w:rPr>
                <w:sz w:val="20"/>
              </w:rPr>
              <w:t>2.29</w:t>
            </w:r>
          </w:p>
        </w:tc>
        <w:tc>
          <w:tcPr>
            <w:tcW w:w="848" w:type="dxa"/>
            <w:tcBorders>
              <w:top w:val="nil"/>
              <w:left w:val="nil"/>
              <w:bottom w:val="nil"/>
              <w:right w:val="nil"/>
            </w:tcBorders>
          </w:tcPr>
          <w:p>
            <w:pPr>
              <w:pStyle w:val="TableParagraph"/>
              <w:ind w:left="281"/>
              <w:jc w:val="left"/>
              <w:rPr>
                <w:sz w:val="20"/>
              </w:rPr>
            </w:pPr>
            <w:r>
              <w:rPr>
                <w:sz w:val="20"/>
              </w:rPr>
              <w:t>1.69</w:t>
            </w:r>
          </w:p>
        </w:tc>
        <w:tc>
          <w:tcPr>
            <w:tcW w:w="819" w:type="dxa"/>
            <w:tcBorders>
              <w:top w:val="nil"/>
              <w:left w:val="nil"/>
              <w:bottom w:val="nil"/>
              <w:right w:val="nil"/>
            </w:tcBorders>
          </w:tcPr>
          <w:p>
            <w:pPr>
              <w:pStyle w:val="TableParagraph"/>
              <w:ind w:left="249"/>
              <w:jc w:val="left"/>
              <w:rPr>
                <w:sz w:val="20"/>
              </w:rPr>
            </w:pPr>
            <w:r>
              <w:rPr>
                <w:sz w:val="20"/>
              </w:rPr>
              <w:t>0.00</w:t>
            </w:r>
          </w:p>
        </w:tc>
        <w:tc>
          <w:tcPr>
            <w:tcW w:w="792" w:type="dxa"/>
            <w:tcBorders>
              <w:top w:val="nil"/>
              <w:left w:val="nil"/>
              <w:bottom w:val="nil"/>
              <w:right w:val="nil"/>
            </w:tcBorders>
          </w:tcPr>
          <w:p>
            <w:pPr>
              <w:pStyle w:val="TableParagraph"/>
              <w:ind w:left="252"/>
              <w:jc w:val="left"/>
              <w:rPr>
                <w:sz w:val="20"/>
              </w:rPr>
            </w:pPr>
            <w:r>
              <w:rPr>
                <w:sz w:val="20"/>
              </w:rPr>
              <w:t>0.00</w:t>
            </w:r>
          </w:p>
        </w:tc>
        <w:tc>
          <w:tcPr>
            <w:tcW w:w="694" w:type="dxa"/>
            <w:tcBorders>
              <w:top w:val="nil"/>
              <w:left w:val="nil"/>
              <w:bottom w:val="nil"/>
              <w:right w:val="nil"/>
            </w:tcBorders>
          </w:tcPr>
          <w:p>
            <w:pPr>
              <w:pStyle w:val="TableParagraph"/>
              <w:ind w:right="60"/>
              <w:rPr>
                <w:sz w:val="20"/>
              </w:rPr>
            </w:pPr>
            <w:r>
              <w:rPr>
                <w:sz w:val="20"/>
              </w:rPr>
              <w:t>0.00</w:t>
            </w:r>
          </w:p>
        </w:tc>
      </w:tr>
      <w:tr>
        <w:trPr>
          <w:trHeight w:val="296" w:hRule="exact"/>
        </w:trPr>
        <w:tc>
          <w:tcPr>
            <w:tcW w:w="1472" w:type="dxa"/>
            <w:tcBorders>
              <w:top w:val="nil"/>
              <w:left w:val="nil"/>
              <w:bottom w:val="nil"/>
              <w:right w:val="nil"/>
            </w:tcBorders>
          </w:tcPr>
          <w:p>
            <w:pPr>
              <w:pStyle w:val="TableParagraph"/>
              <w:spacing w:before="21"/>
              <w:ind w:left="86"/>
              <w:jc w:val="left"/>
              <w:rPr>
                <w:sz w:val="20"/>
              </w:rPr>
            </w:pPr>
            <w:r>
              <w:rPr>
                <w:sz w:val="20"/>
              </w:rPr>
              <w:t>TEJ_HlFlp</w:t>
            </w:r>
          </w:p>
        </w:tc>
        <w:tc>
          <w:tcPr>
            <w:tcW w:w="782" w:type="dxa"/>
            <w:tcBorders>
              <w:top w:val="nil"/>
              <w:left w:val="nil"/>
              <w:bottom w:val="nil"/>
              <w:right w:val="nil"/>
            </w:tcBorders>
          </w:tcPr>
          <w:p>
            <w:pPr>
              <w:pStyle w:val="TableParagraph"/>
              <w:spacing w:before="21"/>
              <w:ind w:right="178"/>
              <w:rPr>
                <w:sz w:val="20"/>
              </w:rPr>
            </w:pPr>
            <w:r>
              <w:rPr>
                <w:sz w:val="20"/>
              </w:rPr>
              <w:t>13.21</w:t>
            </w:r>
          </w:p>
        </w:tc>
        <w:tc>
          <w:tcPr>
            <w:tcW w:w="816" w:type="dxa"/>
            <w:tcBorders>
              <w:top w:val="nil"/>
              <w:left w:val="nil"/>
              <w:bottom w:val="nil"/>
              <w:right w:val="nil"/>
            </w:tcBorders>
          </w:tcPr>
          <w:p>
            <w:pPr>
              <w:pStyle w:val="TableParagraph"/>
              <w:spacing w:before="21"/>
              <w:ind w:left="180"/>
              <w:jc w:val="left"/>
              <w:rPr>
                <w:sz w:val="20"/>
              </w:rPr>
            </w:pPr>
            <w:r>
              <w:rPr>
                <w:sz w:val="20"/>
              </w:rPr>
              <w:t>13.21</w:t>
            </w:r>
          </w:p>
        </w:tc>
        <w:tc>
          <w:tcPr>
            <w:tcW w:w="816" w:type="dxa"/>
            <w:tcBorders>
              <w:top w:val="nil"/>
              <w:left w:val="nil"/>
              <w:bottom w:val="nil"/>
              <w:right w:val="nil"/>
            </w:tcBorders>
          </w:tcPr>
          <w:p>
            <w:pPr>
              <w:pStyle w:val="TableParagraph"/>
              <w:spacing w:before="21"/>
              <w:ind w:right="178"/>
              <w:rPr>
                <w:sz w:val="20"/>
              </w:rPr>
            </w:pPr>
            <w:r>
              <w:rPr>
                <w:sz w:val="20"/>
              </w:rPr>
              <w:t>13.21</w:t>
            </w:r>
          </w:p>
        </w:tc>
        <w:tc>
          <w:tcPr>
            <w:tcW w:w="819" w:type="dxa"/>
            <w:tcBorders>
              <w:top w:val="nil"/>
              <w:left w:val="nil"/>
              <w:bottom w:val="nil"/>
              <w:right w:val="nil"/>
            </w:tcBorders>
          </w:tcPr>
          <w:p>
            <w:pPr>
              <w:pStyle w:val="TableParagraph"/>
              <w:spacing w:before="21"/>
              <w:ind w:right="180"/>
              <w:rPr>
                <w:sz w:val="20"/>
              </w:rPr>
            </w:pPr>
            <w:r>
              <w:rPr>
                <w:sz w:val="20"/>
              </w:rPr>
              <w:t>2.29</w:t>
            </w:r>
          </w:p>
        </w:tc>
        <w:tc>
          <w:tcPr>
            <w:tcW w:w="819" w:type="dxa"/>
            <w:tcBorders>
              <w:top w:val="nil"/>
              <w:left w:val="nil"/>
              <w:bottom w:val="nil"/>
              <w:right w:val="nil"/>
            </w:tcBorders>
          </w:tcPr>
          <w:p>
            <w:pPr>
              <w:pStyle w:val="TableParagraph"/>
              <w:spacing w:before="21"/>
              <w:ind w:right="178"/>
              <w:rPr>
                <w:sz w:val="20"/>
              </w:rPr>
            </w:pPr>
            <w:r>
              <w:rPr>
                <w:sz w:val="20"/>
              </w:rPr>
              <w:t>2.29</w:t>
            </w:r>
          </w:p>
        </w:tc>
        <w:tc>
          <w:tcPr>
            <w:tcW w:w="816" w:type="dxa"/>
            <w:tcBorders>
              <w:top w:val="nil"/>
              <w:left w:val="nil"/>
              <w:bottom w:val="nil"/>
              <w:right w:val="nil"/>
            </w:tcBorders>
          </w:tcPr>
          <w:p>
            <w:pPr>
              <w:pStyle w:val="TableParagraph"/>
              <w:spacing w:before="21"/>
              <w:ind w:right="178"/>
              <w:rPr>
                <w:sz w:val="20"/>
              </w:rPr>
            </w:pPr>
            <w:r>
              <w:rPr>
                <w:sz w:val="20"/>
              </w:rPr>
              <w:t>2.29</w:t>
            </w:r>
          </w:p>
        </w:tc>
        <w:tc>
          <w:tcPr>
            <w:tcW w:w="848" w:type="dxa"/>
            <w:tcBorders>
              <w:top w:val="nil"/>
              <w:left w:val="nil"/>
              <w:bottom w:val="nil"/>
              <w:right w:val="nil"/>
            </w:tcBorders>
          </w:tcPr>
          <w:p>
            <w:pPr>
              <w:pStyle w:val="TableParagraph"/>
              <w:spacing w:before="21"/>
              <w:ind w:left="281"/>
              <w:jc w:val="left"/>
              <w:rPr>
                <w:sz w:val="20"/>
              </w:rPr>
            </w:pPr>
            <w:r>
              <w:rPr>
                <w:sz w:val="20"/>
              </w:rPr>
              <w:t>2.29</w:t>
            </w:r>
          </w:p>
        </w:tc>
        <w:tc>
          <w:tcPr>
            <w:tcW w:w="819" w:type="dxa"/>
            <w:tcBorders>
              <w:top w:val="nil"/>
              <w:left w:val="nil"/>
              <w:bottom w:val="nil"/>
              <w:right w:val="nil"/>
            </w:tcBorders>
          </w:tcPr>
          <w:p>
            <w:pPr>
              <w:pStyle w:val="TableParagraph"/>
              <w:spacing w:before="21"/>
              <w:ind w:left="249"/>
              <w:jc w:val="left"/>
              <w:rPr>
                <w:sz w:val="20"/>
              </w:rPr>
            </w:pPr>
            <w:r>
              <w:rPr>
                <w:sz w:val="20"/>
              </w:rPr>
              <w:t>0.00</w:t>
            </w:r>
          </w:p>
        </w:tc>
        <w:tc>
          <w:tcPr>
            <w:tcW w:w="792" w:type="dxa"/>
            <w:tcBorders>
              <w:top w:val="nil"/>
              <w:left w:val="nil"/>
              <w:bottom w:val="nil"/>
              <w:right w:val="nil"/>
            </w:tcBorders>
          </w:tcPr>
          <w:p>
            <w:pPr>
              <w:pStyle w:val="TableParagraph"/>
              <w:spacing w:before="21"/>
              <w:ind w:left="252"/>
              <w:jc w:val="left"/>
              <w:rPr>
                <w:sz w:val="20"/>
              </w:rPr>
            </w:pPr>
            <w:r>
              <w:rPr>
                <w:sz w:val="20"/>
              </w:rPr>
              <w:t>0.00</w:t>
            </w:r>
          </w:p>
        </w:tc>
        <w:tc>
          <w:tcPr>
            <w:tcW w:w="694" w:type="dxa"/>
            <w:tcBorders>
              <w:top w:val="nil"/>
              <w:left w:val="nil"/>
              <w:bottom w:val="nil"/>
              <w:right w:val="nil"/>
            </w:tcBorders>
          </w:tcPr>
          <w:p>
            <w:pPr>
              <w:pStyle w:val="TableParagraph"/>
              <w:spacing w:before="21"/>
              <w:ind w:right="60"/>
              <w:rPr>
                <w:sz w:val="20"/>
              </w:rPr>
            </w:pPr>
            <w:r>
              <w:rPr>
                <w:sz w:val="20"/>
              </w:rPr>
              <w:t>0.00</w:t>
            </w:r>
          </w:p>
        </w:tc>
      </w:tr>
      <w:tr>
        <w:trPr>
          <w:trHeight w:val="298" w:hRule="exact"/>
        </w:trPr>
        <w:tc>
          <w:tcPr>
            <w:tcW w:w="1472" w:type="dxa"/>
            <w:tcBorders>
              <w:top w:val="nil"/>
              <w:left w:val="nil"/>
              <w:bottom w:val="nil"/>
              <w:right w:val="nil"/>
            </w:tcBorders>
          </w:tcPr>
          <w:p>
            <w:pPr>
              <w:pStyle w:val="TableParagraph"/>
              <w:spacing w:before="24"/>
              <w:ind w:left="86"/>
              <w:jc w:val="left"/>
              <w:rPr>
                <w:sz w:val="20"/>
              </w:rPr>
            </w:pPr>
            <w:r>
              <w:rPr>
                <w:sz w:val="20"/>
              </w:rPr>
              <w:t>TEJ_HlFp</w:t>
            </w:r>
          </w:p>
        </w:tc>
        <w:tc>
          <w:tcPr>
            <w:tcW w:w="782" w:type="dxa"/>
            <w:tcBorders>
              <w:top w:val="nil"/>
              <w:left w:val="nil"/>
              <w:bottom w:val="nil"/>
              <w:right w:val="nil"/>
            </w:tcBorders>
          </w:tcPr>
          <w:p>
            <w:pPr>
              <w:pStyle w:val="TableParagraph"/>
              <w:spacing w:before="24"/>
              <w:ind w:right="178"/>
              <w:rPr>
                <w:sz w:val="20"/>
              </w:rPr>
            </w:pPr>
            <w:r>
              <w:rPr>
                <w:sz w:val="20"/>
              </w:rPr>
              <w:t>4.32</w:t>
            </w:r>
          </w:p>
        </w:tc>
        <w:tc>
          <w:tcPr>
            <w:tcW w:w="816" w:type="dxa"/>
            <w:tcBorders>
              <w:top w:val="nil"/>
              <w:left w:val="nil"/>
              <w:bottom w:val="nil"/>
              <w:right w:val="nil"/>
            </w:tcBorders>
          </w:tcPr>
          <w:p>
            <w:pPr>
              <w:pStyle w:val="TableParagraph"/>
              <w:spacing w:before="24"/>
              <w:ind w:left="281"/>
              <w:jc w:val="left"/>
              <w:rPr>
                <w:sz w:val="20"/>
              </w:rPr>
            </w:pPr>
            <w:r>
              <w:rPr>
                <w:sz w:val="20"/>
              </w:rPr>
              <w:t>4.32</w:t>
            </w:r>
          </w:p>
        </w:tc>
        <w:tc>
          <w:tcPr>
            <w:tcW w:w="816" w:type="dxa"/>
            <w:tcBorders>
              <w:top w:val="nil"/>
              <w:left w:val="nil"/>
              <w:bottom w:val="nil"/>
              <w:right w:val="nil"/>
            </w:tcBorders>
          </w:tcPr>
          <w:p>
            <w:pPr>
              <w:pStyle w:val="TableParagraph"/>
              <w:spacing w:before="24"/>
              <w:ind w:right="178"/>
              <w:rPr>
                <w:sz w:val="20"/>
              </w:rPr>
            </w:pPr>
            <w:r>
              <w:rPr>
                <w:sz w:val="20"/>
              </w:rPr>
              <w:t>0.51</w:t>
            </w:r>
          </w:p>
        </w:tc>
        <w:tc>
          <w:tcPr>
            <w:tcW w:w="819" w:type="dxa"/>
            <w:tcBorders>
              <w:top w:val="nil"/>
              <w:left w:val="nil"/>
              <w:bottom w:val="nil"/>
              <w:right w:val="nil"/>
            </w:tcBorders>
          </w:tcPr>
          <w:p>
            <w:pPr>
              <w:pStyle w:val="TableParagraph"/>
              <w:spacing w:before="24"/>
              <w:ind w:right="180"/>
              <w:rPr>
                <w:sz w:val="20"/>
              </w:rPr>
            </w:pPr>
            <w:r>
              <w:rPr>
                <w:sz w:val="20"/>
              </w:rPr>
              <w:t>0.51</w:t>
            </w:r>
          </w:p>
        </w:tc>
        <w:tc>
          <w:tcPr>
            <w:tcW w:w="819" w:type="dxa"/>
            <w:tcBorders>
              <w:top w:val="nil"/>
              <w:left w:val="nil"/>
              <w:bottom w:val="nil"/>
              <w:right w:val="nil"/>
            </w:tcBorders>
          </w:tcPr>
          <w:p>
            <w:pPr>
              <w:pStyle w:val="TableParagraph"/>
              <w:spacing w:before="24"/>
              <w:ind w:right="178"/>
              <w:rPr>
                <w:sz w:val="20"/>
              </w:rPr>
            </w:pPr>
            <w:r>
              <w:rPr>
                <w:sz w:val="20"/>
              </w:rPr>
              <w:t>2.29</w:t>
            </w:r>
          </w:p>
        </w:tc>
        <w:tc>
          <w:tcPr>
            <w:tcW w:w="816" w:type="dxa"/>
            <w:tcBorders>
              <w:top w:val="nil"/>
              <w:left w:val="nil"/>
              <w:bottom w:val="nil"/>
              <w:right w:val="nil"/>
            </w:tcBorders>
          </w:tcPr>
          <w:p>
            <w:pPr>
              <w:pStyle w:val="TableParagraph"/>
              <w:spacing w:before="24"/>
              <w:ind w:right="178"/>
              <w:rPr>
                <w:sz w:val="20"/>
              </w:rPr>
            </w:pPr>
            <w:r>
              <w:rPr>
                <w:sz w:val="20"/>
              </w:rPr>
              <w:t>2.96</w:t>
            </w:r>
          </w:p>
        </w:tc>
        <w:tc>
          <w:tcPr>
            <w:tcW w:w="848" w:type="dxa"/>
            <w:tcBorders>
              <w:top w:val="nil"/>
              <w:left w:val="nil"/>
              <w:bottom w:val="nil"/>
              <w:right w:val="nil"/>
            </w:tcBorders>
          </w:tcPr>
          <w:p>
            <w:pPr>
              <w:pStyle w:val="TableParagraph"/>
              <w:spacing w:before="24"/>
              <w:ind w:left="281"/>
              <w:jc w:val="left"/>
              <w:rPr>
                <w:sz w:val="20"/>
              </w:rPr>
            </w:pPr>
            <w:r>
              <w:rPr>
                <w:sz w:val="20"/>
              </w:rPr>
              <w:t>2.96</w:t>
            </w:r>
          </w:p>
        </w:tc>
        <w:tc>
          <w:tcPr>
            <w:tcW w:w="819" w:type="dxa"/>
            <w:tcBorders>
              <w:top w:val="nil"/>
              <w:left w:val="nil"/>
              <w:bottom w:val="nil"/>
              <w:right w:val="nil"/>
            </w:tcBorders>
          </w:tcPr>
          <w:p>
            <w:pPr>
              <w:pStyle w:val="TableParagraph"/>
              <w:spacing w:before="24"/>
              <w:ind w:left="249"/>
              <w:jc w:val="left"/>
              <w:rPr>
                <w:sz w:val="20"/>
              </w:rPr>
            </w:pPr>
            <w:r>
              <w:rPr>
                <w:sz w:val="20"/>
              </w:rPr>
              <w:t>0.00</w:t>
            </w:r>
          </w:p>
        </w:tc>
        <w:tc>
          <w:tcPr>
            <w:tcW w:w="792" w:type="dxa"/>
            <w:tcBorders>
              <w:top w:val="nil"/>
              <w:left w:val="nil"/>
              <w:bottom w:val="nil"/>
              <w:right w:val="nil"/>
            </w:tcBorders>
          </w:tcPr>
          <w:p>
            <w:pPr>
              <w:pStyle w:val="TableParagraph"/>
              <w:spacing w:before="24"/>
              <w:ind w:left="252"/>
              <w:jc w:val="left"/>
              <w:rPr>
                <w:sz w:val="20"/>
              </w:rPr>
            </w:pPr>
            <w:r>
              <w:rPr>
                <w:sz w:val="20"/>
              </w:rPr>
              <w:t>0.00</w:t>
            </w:r>
          </w:p>
        </w:tc>
        <w:tc>
          <w:tcPr>
            <w:tcW w:w="694" w:type="dxa"/>
            <w:tcBorders>
              <w:top w:val="nil"/>
              <w:left w:val="nil"/>
              <w:bottom w:val="nil"/>
              <w:right w:val="nil"/>
            </w:tcBorders>
          </w:tcPr>
          <w:p>
            <w:pPr>
              <w:pStyle w:val="TableParagraph"/>
              <w:spacing w:before="24"/>
              <w:ind w:right="60"/>
              <w:rPr>
                <w:sz w:val="20"/>
              </w:rPr>
            </w:pPr>
            <w:r>
              <w:rPr>
                <w:sz w:val="20"/>
              </w:rPr>
              <w:t>0.00</w:t>
            </w:r>
          </w:p>
        </w:tc>
      </w:tr>
      <w:tr>
        <w:trPr>
          <w:trHeight w:val="298" w:hRule="exact"/>
        </w:trPr>
        <w:tc>
          <w:tcPr>
            <w:tcW w:w="1472" w:type="dxa"/>
            <w:tcBorders>
              <w:top w:val="nil"/>
              <w:left w:val="nil"/>
              <w:bottom w:val="nil"/>
              <w:right w:val="nil"/>
            </w:tcBorders>
          </w:tcPr>
          <w:p>
            <w:pPr>
              <w:pStyle w:val="TableParagraph"/>
              <w:ind w:left="86"/>
              <w:jc w:val="left"/>
              <w:rPr>
                <w:sz w:val="20"/>
              </w:rPr>
            </w:pPr>
            <w:r>
              <w:rPr>
                <w:sz w:val="20"/>
              </w:rPr>
              <w:t>TEJ_HlSF</w:t>
            </w:r>
          </w:p>
        </w:tc>
        <w:tc>
          <w:tcPr>
            <w:tcW w:w="782" w:type="dxa"/>
            <w:tcBorders>
              <w:top w:val="nil"/>
              <w:left w:val="nil"/>
              <w:bottom w:val="nil"/>
              <w:right w:val="nil"/>
            </w:tcBorders>
          </w:tcPr>
          <w:p>
            <w:pPr>
              <w:pStyle w:val="TableParagraph"/>
              <w:ind w:right="178"/>
              <w:rPr>
                <w:sz w:val="20"/>
              </w:rPr>
            </w:pPr>
            <w:r>
              <w:rPr>
                <w:sz w:val="20"/>
              </w:rPr>
              <w:t>4.32</w:t>
            </w:r>
          </w:p>
        </w:tc>
        <w:tc>
          <w:tcPr>
            <w:tcW w:w="816" w:type="dxa"/>
            <w:tcBorders>
              <w:top w:val="nil"/>
              <w:left w:val="nil"/>
              <w:bottom w:val="nil"/>
              <w:right w:val="nil"/>
            </w:tcBorders>
          </w:tcPr>
          <w:p>
            <w:pPr>
              <w:pStyle w:val="TableParagraph"/>
              <w:ind w:left="281"/>
              <w:jc w:val="left"/>
              <w:rPr>
                <w:sz w:val="20"/>
              </w:rPr>
            </w:pPr>
            <w:r>
              <w:rPr>
                <w:sz w:val="20"/>
              </w:rPr>
              <w:t>4.32</w:t>
            </w:r>
          </w:p>
        </w:tc>
        <w:tc>
          <w:tcPr>
            <w:tcW w:w="816" w:type="dxa"/>
            <w:tcBorders>
              <w:top w:val="nil"/>
              <w:left w:val="nil"/>
              <w:bottom w:val="nil"/>
              <w:right w:val="nil"/>
            </w:tcBorders>
          </w:tcPr>
          <w:p>
            <w:pPr>
              <w:pStyle w:val="TableParagraph"/>
              <w:ind w:right="178"/>
              <w:rPr>
                <w:sz w:val="20"/>
              </w:rPr>
            </w:pPr>
            <w:r>
              <w:rPr>
                <w:sz w:val="20"/>
              </w:rPr>
              <w:t>4.32</w:t>
            </w:r>
          </w:p>
        </w:tc>
        <w:tc>
          <w:tcPr>
            <w:tcW w:w="819" w:type="dxa"/>
            <w:tcBorders>
              <w:top w:val="nil"/>
              <w:left w:val="nil"/>
              <w:bottom w:val="nil"/>
              <w:right w:val="nil"/>
            </w:tcBorders>
          </w:tcPr>
          <w:p>
            <w:pPr>
              <w:pStyle w:val="TableParagraph"/>
              <w:ind w:right="180"/>
              <w:rPr>
                <w:sz w:val="20"/>
              </w:rPr>
            </w:pPr>
            <w:r>
              <w:rPr>
                <w:sz w:val="20"/>
              </w:rPr>
              <w:t>2.29</w:t>
            </w:r>
          </w:p>
        </w:tc>
        <w:tc>
          <w:tcPr>
            <w:tcW w:w="819" w:type="dxa"/>
            <w:tcBorders>
              <w:top w:val="nil"/>
              <w:left w:val="nil"/>
              <w:bottom w:val="nil"/>
              <w:right w:val="nil"/>
            </w:tcBorders>
          </w:tcPr>
          <w:p>
            <w:pPr>
              <w:pStyle w:val="TableParagraph"/>
              <w:ind w:right="178"/>
              <w:rPr>
                <w:sz w:val="20"/>
              </w:rPr>
            </w:pPr>
            <w:r>
              <w:rPr>
                <w:sz w:val="20"/>
              </w:rPr>
              <w:t>2.29</w:t>
            </w:r>
          </w:p>
        </w:tc>
        <w:tc>
          <w:tcPr>
            <w:tcW w:w="816" w:type="dxa"/>
            <w:tcBorders>
              <w:top w:val="nil"/>
              <w:left w:val="nil"/>
              <w:bottom w:val="nil"/>
              <w:right w:val="nil"/>
            </w:tcBorders>
          </w:tcPr>
          <w:p>
            <w:pPr>
              <w:pStyle w:val="TableParagraph"/>
              <w:ind w:right="178"/>
              <w:rPr>
                <w:sz w:val="20"/>
              </w:rPr>
            </w:pPr>
            <w:r>
              <w:rPr>
                <w:sz w:val="20"/>
              </w:rPr>
              <w:t>2.29</w:t>
            </w:r>
          </w:p>
        </w:tc>
        <w:tc>
          <w:tcPr>
            <w:tcW w:w="848" w:type="dxa"/>
            <w:tcBorders>
              <w:top w:val="nil"/>
              <w:left w:val="nil"/>
              <w:bottom w:val="nil"/>
              <w:right w:val="nil"/>
            </w:tcBorders>
          </w:tcPr>
          <w:p>
            <w:pPr>
              <w:pStyle w:val="TableParagraph"/>
              <w:ind w:left="281"/>
              <w:jc w:val="left"/>
              <w:rPr>
                <w:sz w:val="20"/>
              </w:rPr>
            </w:pPr>
            <w:r>
              <w:rPr>
                <w:sz w:val="20"/>
              </w:rPr>
              <w:t>2.29</w:t>
            </w:r>
          </w:p>
        </w:tc>
        <w:tc>
          <w:tcPr>
            <w:tcW w:w="819" w:type="dxa"/>
            <w:tcBorders>
              <w:top w:val="nil"/>
              <w:left w:val="nil"/>
              <w:bottom w:val="nil"/>
              <w:right w:val="nil"/>
            </w:tcBorders>
          </w:tcPr>
          <w:p>
            <w:pPr>
              <w:pStyle w:val="TableParagraph"/>
              <w:ind w:left="249"/>
              <w:jc w:val="left"/>
              <w:rPr>
                <w:sz w:val="20"/>
              </w:rPr>
            </w:pPr>
            <w:r>
              <w:rPr>
                <w:sz w:val="20"/>
              </w:rPr>
              <w:t>0.00</w:t>
            </w:r>
          </w:p>
        </w:tc>
        <w:tc>
          <w:tcPr>
            <w:tcW w:w="792" w:type="dxa"/>
            <w:tcBorders>
              <w:top w:val="nil"/>
              <w:left w:val="nil"/>
              <w:bottom w:val="nil"/>
              <w:right w:val="nil"/>
            </w:tcBorders>
          </w:tcPr>
          <w:p>
            <w:pPr>
              <w:pStyle w:val="TableParagraph"/>
              <w:ind w:left="252"/>
              <w:jc w:val="left"/>
              <w:rPr>
                <w:sz w:val="20"/>
              </w:rPr>
            </w:pPr>
            <w:r>
              <w:rPr>
                <w:sz w:val="20"/>
              </w:rPr>
              <w:t>0.00</w:t>
            </w:r>
          </w:p>
        </w:tc>
        <w:tc>
          <w:tcPr>
            <w:tcW w:w="694" w:type="dxa"/>
            <w:tcBorders>
              <w:top w:val="nil"/>
              <w:left w:val="nil"/>
              <w:bottom w:val="nil"/>
              <w:right w:val="nil"/>
            </w:tcBorders>
          </w:tcPr>
          <w:p>
            <w:pPr>
              <w:pStyle w:val="TableParagraph"/>
              <w:ind w:right="60"/>
              <w:rPr>
                <w:sz w:val="20"/>
              </w:rPr>
            </w:pPr>
            <w:r>
              <w:rPr>
                <w:sz w:val="20"/>
              </w:rPr>
              <w:t>0.00</w:t>
            </w:r>
          </w:p>
        </w:tc>
      </w:tr>
      <w:tr>
        <w:trPr>
          <w:trHeight w:val="298" w:hRule="exact"/>
        </w:trPr>
        <w:tc>
          <w:tcPr>
            <w:tcW w:w="1472" w:type="dxa"/>
            <w:tcBorders>
              <w:top w:val="nil"/>
              <w:left w:val="nil"/>
              <w:bottom w:val="nil"/>
              <w:right w:val="nil"/>
            </w:tcBorders>
          </w:tcPr>
          <w:p>
            <w:pPr>
              <w:pStyle w:val="TableParagraph"/>
              <w:ind w:left="86"/>
              <w:jc w:val="left"/>
              <w:rPr>
                <w:sz w:val="20"/>
              </w:rPr>
            </w:pPr>
            <w:r>
              <w:rPr>
                <w:sz w:val="20"/>
              </w:rPr>
              <w:t>TEJ_ISF</w:t>
            </w:r>
          </w:p>
        </w:tc>
        <w:tc>
          <w:tcPr>
            <w:tcW w:w="782" w:type="dxa"/>
            <w:tcBorders>
              <w:top w:val="nil"/>
              <w:left w:val="nil"/>
              <w:bottom w:val="nil"/>
              <w:right w:val="nil"/>
            </w:tcBorders>
          </w:tcPr>
          <w:p>
            <w:pPr>
              <w:pStyle w:val="TableParagraph"/>
              <w:ind w:right="178"/>
              <w:rPr>
                <w:sz w:val="20"/>
              </w:rPr>
            </w:pPr>
            <w:r>
              <w:rPr>
                <w:sz w:val="20"/>
              </w:rPr>
              <w:t>4.32</w:t>
            </w:r>
          </w:p>
        </w:tc>
        <w:tc>
          <w:tcPr>
            <w:tcW w:w="816" w:type="dxa"/>
            <w:tcBorders>
              <w:top w:val="nil"/>
              <w:left w:val="nil"/>
              <w:bottom w:val="nil"/>
              <w:right w:val="nil"/>
            </w:tcBorders>
          </w:tcPr>
          <w:p>
            <w:pPr>
              <w:pStyle w:val="TableParagraph"/>
              <w:ind w:left="281"/>
              <w:jc w:val="left"/>
              <w:rPr>
                <w:sz w:val="20"/>
              </w:rPr>
            </w:pPr>
            <w:r>
              <w:rPr>
                <w:sz w:val="20"/>
              </w:rPr>
              <w:t>4.32</w:t>
            </w:r>
          </w:p>
        </w:tc>
        <w:tc>
          <w:tcPr>
            <w:tcW w:w="816" w:type="dxa"/>
            <w:tcBorders>
              <w:top w:val="nil"/>
              <w:left w:val="nil"/>
              <w:bottom w:val="nil"/>
              <w:right w:val="nil"/>
            </w:tcBorders>
          </w:tcPr>
          <w:p>
            <w:pPr>
              <w:pStyle w:val="TableParagraph"/>
              <w:ind w:right="178"/>
              <w:rPr>
                <w:sz w:val="20"/>
              </w:rPr>
            </w:pPr>
            <w:r>
              <w:rPr>
                <w:sz w:val="20"/>
              </w:rPr>
              <w:t>2.29</w:t>
            </w:r>
          </w:p>
        </w:tc>
        <w:tc>
          <w:tcPr>
            <w:tcW w:w="819" w:type="dxa"/>
            <w:tcBorders>
              <w:top w:val="nil"/>
              <w:left w:val="nil"/>
              <w:bottom w:val="nil"/>
              <w:right w:val="nil"/>
            </w:tcBorders>
          </w:tcPr>
          <w:p>
            <w:pPr>
              <w:pStyle w:val="TableParagraph"/>
              <w:ind w:right="180"/>
              <w:rPr>
                <w:sz w:val="20"/>
              </w:rPr>
            </w:pPr>
            <w:r>
              <w:rPr>
                <w:sz w:val="20"/>
              </w:rPr>
              <w:t>2.29</w:t>
            </w:r>
          </w:p>
        </w:tc>
        <w:tc>
          <w:tcPr>
            <w:tcW w:w="819" w:type="dxa"/>
            <w:tcBorders>
              <w:top w:val="nil"/>
              <w:left w:val="nil"/>
              <w:bottom w:val="nil"/>
              <w:right w:val="nil"/>
            </w:tcBorders>
          </w:tcPr>
          <w:p>
            <w:pPr>
              <w:pStyle w:val="TableParagraph"/>
              <w:ind w:right="178"/>
              <w:rPr>
                <w:sz w:val="20"/>
              </w:rPr>
            </w:pPr>
            <w:r>
              <w:rPr>
                <w:sz w:val="20"/>
              </w:rPr>
              <w:t>2.29</w:t>
            </w:r>
          </w:p>
        </w:tc>
        <w:tc>
          <w:tcPr>
            <w:tcW w:w="816" w:type="dxa"/>
            <w:tcBorders>
              <w:top w:val="nil"/>
              <w:left w:val="nil"/>
              <w:bottom w:val="nil"/>
              <w:right w:val="nil"/>
            </w:tcBorders>
          </w:tcPr>
          <w:p>
            <w:pPr>
              <w:pStyle w:val="TableParagraph"/>
              <w:ind w:right="178"/>
              <w:rPr>
                <w:sz w:val="20"/>
              </w:rPr>
            </w:pPr>
            <w:r>
              <w:rPr>
                <w:sz w:val="20"/>
              </w:rPr>
              <w:t>2.29</w:t>
            </w:r>
          </w:p>
        </w:tc>
        <w:tc>
          <w:tcPr>
            <w:tcW w:w="848" w:type="dxa"/>
            <w:tcBorders>
              <w:top w:val="nil"/>
              <w:left w:val="nil"/>
              <w:bottom w:val="nil"/>
              <w:right w:val="nil"/>
            </w:tcBorders>
          </w:tcPr>
          <w:p>
            <w:pPr>
              <w:pStyle w:val="TableParagraph"/>
              <w:ind w:left="281"/>
              <w:jc w:val="left"/>
              <w:rPr>
                <w:sz w:val="20"/>
              </w:rPr>
            </w:pPr>
            <w:r>
              <w:rPr>
                <w:sz w:val="20"/>
              </w:rPr>
              <w:t>2.29</w:t>
            </w:r>
          </w:p>
        </w:tc>
        <w:tc>
          <w:tcPr>
            <w:tcW w:w="819" w:type="dxa"/>
            <w:tcBorders>
              <w:top w:val="nil"/>
              <w:left w:val="nil"/>
              <w:bottom w:val="nil"/>
              <w:right w:val="nil"/>
            </w:tcBorders>
          </w:tcPr>
          <w:p>
            <w:pPr>
              <w:pStyle w:val="TableParagraph"/>
              <w:ind w:left="249"/>
              <w:jc w:val="left"/>
              <w:rPr>
                <w:sz w:val="20"/>
              </w:rPr>
            </w:pPr>
            <w:r>
              <w:rPr>
                <w:sz w:val="20"/>
              </w:rPr>
              <w:t>0.00</w:t>
            </w:r>
          </w:p>
        </w:tc>
        <w:tc>
          <w:tcPr>
            <w:tcW w:w="792" w:type="dxa"/>
            <w:tcBorders>
              <w:top w:val="nil"/>
              <w:left w:val="nil"/>
              <w:bottom w:val="nil"/>
              <w:right w:val="nil"/>
            </w:tcBorders>
          </w:tcPr>
          <w:p>
            <w:pPr>
              <w:pStyle w:val="TableParagraph"/>
              <w:ind w:left="252"/>
              <w:jc w:val="left"/>
              <w:rPr>
                <w:sz w:val="20"/>
              </w:rPr>
            </w:pPr>
            <w:r>
              <w:rPr>
                <w:sz w:val="20"/>
              </w:rPr>
              <w:t>0.00</w:t>
            </w:r>
          </w:p>
        </w:tc>
        <w:tc>
          <w:tcPr>
            <w:tcW w:w="694" w:type="dxa"/>
            <w:tcBorders>
              <w:top w:val="nil"/>
              <w:left w:val="nil"/>
              <w:bottom w:val="nil"/>
              <w:right w:val="nil"/>
            </w:tcBorders>
          </w:tcPr>
          <w:p>
            <w:pPr>
              <w:pStyle w:val="TableParagraph"/>
              <w:ind w:right="60"/>
              <w:rPr>
                <w:sz w:val="20"/>
              </w:rPr>
            </w:pPr>
            <w:r>
              <w:rPr>
                <w:sz w:val="20"/>
              </w:rPr>
              <w:t>0.00</w:t>
            </w:r>
          </w:p>
        </w:tc>
      </w:tr>
      <w:tr>
        <w:trPr>
          <w:trHeight w:val="298" w:hRule="exact"/>
        </w:trPr>
        <w:tc>
          <w:tcPr>
            <w:tcW w:w="1472" w:type="dxa"/>
            <w:tcBorders>
              <w:top w:val="nil"/>
              <w:left w:val="nil"/>
              <w:bottom w:val="nil"/>
              <w:right w:val="nil"/>
            </w:tcBorders>
          </w:tcPr>
          <w:p>
            <w:pPr>
              <w:pStyle w:val="TableParagraph"/>
              <w:ind w:left="86"/>
              <w:jc w:val="left"/>
              <w:rPr>
                <w:sz w:val="20"/>
              </w:rPr>
            </w:pPr>
            <w:r>
              <w:rPr>
                <w:sz w:val="20"/>
              </w:rPr>
              <w:t>TEJ_LcFdp</w:t>
            </w:r>
          </w:p>
        </w:tc>
        <w:tc>
          <w:tcPr>
            <w:tcW w:w="782" w:type="dxa"/>
            <w:tcBorders>
              <w:top w:val="nil"/>
              <w:left w:val="nil"/>
              <w:bottom w:val="nil"/>
              <w:right w:val="nil"/>
            </w:tcBorders>
          </w:tcPr>
          <w:p>
            <w:pPr>
              <w:pStyle w:val="TableParagraph"/>
              <w:ind w:right="178"/>
              <w:rPr>
                <w:sz w:val="20"/>
              </w:rPr>
            </w:pPr>
            <w:r>
              <w:rPr>
                <w:sz w:val="20"/>
              </w:rPr>
              <w:t>2.29</w:t>
            </w:r>
          </w:p>
        </w:tc>
        <w:tc>
          <w:tcPr>
            <w:tcW w:w="816" w:type="dxa"/>
            <w:tcBorders>
              <w:top w:val="nil"/>
              <w:left w:val="nil"/>
              <w:bottom w:val="nil"/>
              <w:right w:val="nil"/>
            </w:tcBorders>
          </w:tcPr>
          <w:p>
            <w:pPr>
              <w:pStyle w:val="TableParagraph"/>
              <w:ind w:left="281"/>
              <w:jc w:val="left"/>
              <w:rPr>
                <w:sz w:val="20"/>
              </w:rPr>
            </w:pPr>
            <w:r>
              <w:rPr>
                <w:sz w:val="20"/>
              </w:rPr>
              <w:t>0.51</w:t>
            </w:r>
          </w:p>
        </w:tc>
        <w:tc>
          <w:tcPr>
            <w:tcW w:w="816" w:type="dxa"/>
            <w:tcBorders>
              <w:top w:val="nil"/>
              <w:left w:val="nil"/>
              <w:bottom w:val="nil"/>
              <w:right w:val="nil"/>
            </w:tcBorders>
          </w:tcPr>
          <w:p>
            <w:pPr>
              <w:pStyle w:val="TableParagraph"/>
              <w:ind w:right="178"/>
              <w:rPr>
                <w:sz w:val="20"/>
              </w:rPr>
            </w:pPr>
            <w:r>
              <w:rPr>
                <w:sz w:val="20"/>
              </w:rPr>
              <w:t>0.51</w:t>
            </w:r>
          </w:p>
        </w:tc>
        <w:tc>
          <w:tcPr>
            <w:tcW w:w="819" w:type="dxa"/>
            <w:tcBorders>
              <w:top w:val="nil"/>
              <w:left w:val="nil"/>
              <w:bottom w:val="nil"/>
              <w:right w:val="nil"/>
            </w:tcBorders>
          </w:tcPr>
          <w:p>
            <w:pPr>
              <w:pStyle w:val="TableParagraph"/>
              <w:ind w:right="180"/>
              <w:rPr>
                <w:sz w:val="20"/>
              </w:rPr>
            </w:pPr>
            <w:r>
              <w:rPr>
                <w:sz w:val="20"/>
              </w:rPr>
              <w:t>0.51</w:t>
            </w:r>
          </w:p>
        </w:tc>
        <w:tc>
          <w:tcPr>
            <w:tcW w:w="819" w:type="dxa"/>
            <w:tcBorders>
              <w:top w:val="nil"/>
              <w:left w:val="nil"/>
              <w:bottom w:val="nil"/>
              <w:right w:val="nil"/>
            </w:tcBorders>
          </w:tcPr>
          <w:p>
            <w:pPr>
              <w:pStyle w:val="TableParagraph"/>
              <w:ind w:right="178"/>
              <w:rPr>
                <w:sz w:val="20"/>
              </w:rPr>
            </w:pPr>
            <w:r>
              <w:rPr>
                <w:sz w:val="20"/>
              </w:rPr>
              <w:t>0.51</w:t>
            </w:r>
          </w:p>
        </w:tc>
        <w:tc>
          <w:tcPr>
            <w:tcW w:w="816" w:type="dxa"/>
            <w:tcBorders>
              <w:top w:val="nil"/>
              <w:left w:val="nil"/>
              <w:bottom w:val="nil"/>
              <w:right w:val="nil"/>
            </w:tcBorders>
          </w:tcPr>
          <w:p>
            <w:pPr>
              <w:pStyle w:val="TableParagraph"/>
              <w:ind w:right="178"/>
              <w:rPr>
                <w:sz w:val="20"/>
              </w:rPr>
            </w:pPr>
            <w:r>
              <w:rPr>
                <w:sz w:val="20"/>
              </w:rPr>
              <w:t>0.51</w:t>
            </w:r>
          </w:p>
        </w:tc>
        <w:tc>
          <w:tcPr>
            <w:tcW w:w="848" w:type="dxa"/>
            <w:tcBorders>
              <w:top w:val="nil"/>
              <w:left w:val="nil"/>
              <w:bottom w:val="nil"/>
              <w:right w:val="nil"/>
            </w:tcBorders>
          </w:tcPr>
          <w:p>
            <w:pPr>
              <w:pStyle w:val="TableParagraph"/>
              <w:ind w:left="281"/>
              <w:jc w:val="left"/>
              <w:rPr>
                <w:sz w:val="20"/>
              </w:rPr>
            </w:pPr>
            <w:r>
              <w:rPr>
                <w:sz w:val="20"/>
              </w:rPr>
              <w:t>0.51</w:t>
            </w:r>
          </w:p>
        </w:tc>
        <w:tc>
          <w:tcPr>
            <w:tcW w:w="819" w:type="dxa"/>
            <w:tcBorders>
              <w:top w:val="nil"/>
              <w:left w:val="nil"/>
              <w:bottom w:val="nil"/>
              <w:right w:val="nil"/>
            </w:tcBorders>
          </w:tcPr>
          <w:p>
            <w:pPr>
              <w:pStyle w:val="TableParagraph"/>
              <w:ind w:left="249"/>
              <w:jc w:val="left"/>
              <w:rPr>
                <w:sz w:val="20"/>
              </w:rPr>
            </w:pPr>
            <w:r>
              <w:rPr>
                <w:sz w:val="20"/>
              </w:rPr>
              <w:t>0.00</w:t>
            </w:r>
          </w:p>
        </w:tc>
        <w:tc>
          <w:tcPr>
            <w:tcW w:w="792" w:type="dxa"/>
            <w:tcBorders>
              <w:top w:val="nil"/>
              <w:left w:val="nil"/>
              <w:bottom w:val="nil"/>
              <w:right w:val="nil"/>
            </w:tcBorders>
          </w:tcPr>
          <w:p>
            <w:pPr>
              <w:pStyle w:val="TableParagraph"/>
              <w:ind w:left="252"/>
              <w:jc w:val="left"/>
              <w:rPr>
                <w:sz w:val="20"/>
              </w:rPr>
            </w:pPr>
            <w:r>
              <w:rPr>
                <w:sz w:val="20"/>
              </w:rPr>
              <w:t>0.00</w:t>
            </w:r>
          </w:p>
        </w:tc>
        <w:tc>
          <w:tcPr>
            <w:tcW w:w="694" w:type="dxa"/>
            <w:tcBorders>
              <w:top w:val="nil"/>
              <w:left w:val="nil"/>
              <w:bottom w:val="nil"/>
              <w:right w:val="nil"/>
            </w:tcBorders>
          </w:tcPr>
          <w:p>
            <w:pPr>
              <w:pStyle w:val="TableParagraph"/>
              <w:ind w:right="60"/>
              <w:rPr>
                <w:sz w:val="20"/>
              </w:rPr>
            </w:pPr>
            <w:r>
              <w:rPr>
                <w:sz w:val="20"/>
              </w:rPr>
              <w:t>0.00</w:t>
            </w:r>
          </w:p>
        </w:tc>
      </w:tr>
      <w:tr>
        <w:trPr>
          <w:trHeight w:val="298" w:hRule="exact"/>
        </w:trPr>
        <w:tc>
          <w:tcPr>
            <w:tcW w:w="1472" w:type="dxa"/>
            <w:tcBorders>
              <w:top w:val="nil"/>
              <w:left w:val="nil"/>
              <w:bottom w:val="nil"/>
              <w:right w:val="nil"/>
            </w:tcBorders>
          </w:tcPr>
          <w:p>
            <w:pPr>
              <w:pStyle w:val="TableParagraph"/>
              <w:ind w:left="86"/>
              <w:jc w:val="left"/>
              <w:rPr>
                <w:sz w:val="20"/>
              </w:rPr>
            </w:pPr>
            <w:r>
              <w:rPr>
                <w:sz w:val="20"/>
              </w:rPr>
              <w:t>TEJ_LcFl</w:t>
            </w:r>
          </w:p>
        </w:tc>
        <w:tc>
          <w:tcPr>
            <w:tcW w:w="782" w:type="dxa"/>
            <w:tcBorders>
              <w:top w:val="nil"/>
              <w:left w:val="nil"/>
              <w:bottom w:val="nil"/>
              <w:right w:val="nil"/>
            </w:tcBorders>
          </w:tcPr>
          <w:p>
            <w:pPr>
              <w:pStyle w:val="TableParagraph"/>
              <w:ind w:right="178"/>
              <w:rPr>
                <w:sz w:val="20"/>
              </w:rPr>
            </w:pPr>
            <w:r>
              <w:rPr>
                <w:sz w:val="20"/>
              </w:rPr>
              <w:t>0.51</w:t>
            </w:r>
          </w:p>
        </w:tc>
        <w:tc>
          <w:tcPr>
            <w:tcW w:w="816" w:type="dxa"/>
            <w:tcBorders>
              <w:top w:val="nil"/>
              <w:left w:val="nil"/>
              <w:bottom w:val="nil"/>
              <w:right w:val="nil"/>
            </w:tcBorders>
          </w:tcPr>
          <w:p>
            <w:pPr>
              <w:pStyle w:val="TableParagraph"/>
              <w:ind w:left="281"/>
              <w:jc w:val="left"/>
              <w:rPr>
                <w:sz w:val="20"/>
              </w:rPr>
            </w:pPr>
            <w:r>
              <w:rPr>
                <w:sz w:val="20"/>
              </w:rPr>
              <w:t>0.51</w:t>
            </w:r>
          </w:p>
        </w:tc>
        <w:tc>
          <w:tcPr>
            <w:tcW w:w="816" w:type="dxa"/>
            <w:tcBorders>
              <w:top w:val="nil"/>
              <w:left w:val="nil"/>
              <w:bottom w:val="nil"/>
              <w:right w:val="nil"/>
            </w:tcBorders>
          </w:tcPr>
          <w:p>
            <w:pPr>
              <w:pStyle w:val="TableParagraph"/>
              <w:ind w:right="178"/>
              <w:rPr>
                <w:sz w:val="20"/>
              </w:rPr>
            </w:pPr>
            <w:r>
              <w:rPr>
                <w:sz w:val="20"/>
              </w:rPr>
              <w:t>0.51</w:t>
            </w:r>
          </w:p>
        </w:tc>
        <w:tc>
          <w:tcPr>
            <w:tcW w:w="819" w:type="dxa"/>
            <w:tcBorders>
              <w:top w:val="nil"/>
              <w:left w:val="nil"/>
              <w:bottom w:val="nil"/>
              <w:right w:val="nil"/>
            </w:tcBorders>
          </w:tcPr>
          <w:p>
            <w:pPr>
              <w:pStyle w:val="TableParagraph"/>
              <w:ind w:right="180"/>
              <w:rPr>
                <w:sz w:val="20"/>
              </w:rPr>
            </w:pPr>
            <w:r>
              <w:rPr>
                <w:sz w:val="20"/>
              </w:rPr>
              <w:t>0.51</w:t>
            </w:r>
          </w:p>
        </w:tc>
        <w:tc>
          <w:tcPr>
            <w:tcW w:w="819" w:type="dxa"/>
            <w:tcBorders>
              <w:top w:val="nil"/>
              <w:left w:val="nil"/>
              <w:bottom w:val="nil"/>
              <w:right w:val="nil"/>
            </w:tcBorders>
          </w:tcPr>
          <w:p>
            <w:pPr>
              <w:pStyle w:val="TableParagraph"/>
              <w:ind w:right="178"/>
              <w:rPr>
                <w:sz w:val="20"/>
              </w:rPr>
            </w:pPr>
            <w:r>
              <w:rPr>
                <w:sz w:val="20"/>
              </w:rPr>
              <w:t>0.51</w:t>
            </w:r>
          </w:p>
        </w:tc>
        <w:tc>
          <w:tcPr>
            <w:tcW w:w="816" w:type="dxa"/>
            <w:tcBorders>
              <w:top w:val="nil"/>
              <w:left w:val="nil"/>
              <w:bottom w:val="nil"/>
              <w:right w:val="nil"/>
            </w:tcBorders>
          </w:tcPr>
          <w:p>
            <w:pPr>
              <w:pStyle w:val="TableParagraph"/>
              <w:ind w:right="178"/>
              <w:rPr>
                <w:sz w:val="20"/>
              </w:rPr>
            </w:pPr>
            <w:r>
              <w:rPr>
                <w:sz w:val="20"/>
              </w:rPr>
              <w:t>2.29</w:t>
            </w:r>
          </w:p>
        </w:tc>
        <w:tc>
          <w:tcPr>
            <w:tcW w:w="848" w:type="dxa"/>
            <w:tcBorders>
              <w:top w:val="nil"/>
              <w:left w:val="nil"/>
              <w:bottom w:val="nil"/>
              <w:right w:val="nil"/>
            </w:tcBorders>
          </w:tcPr>
          <w:p>
            <w:pPr>
              <w:pStyle w:val="TableParagraph"/>
              <w:ind w:left="281"/>
              <w:jc w:val="left"/>
              <w:rPr>
                <w:sz w:val="20"/>
              </w:rPr>
            </w:pPr>
            <w:r>
              <w:rPr>
                <w:sz w:val="20"/>
              </w:rPr>
              <w:t>2.29</w:t>
            </w:r>
          </w:p>
        </w:tc>
        <w:tc>
          <w:tcPr>
            <w:tcW w:w="819" w:type="dxa"/>
            <w:tcBorders>
              <w:top w:val="nil"/>
              <w:left w:val="nil"/>
              <w:bottom w:val="nil"/>
              <w:right w:val="nil"/>
            </w:tcBorders>
          </w:tcPr>
          <w:p>
            <w:pPr>
              <w:pStyle w:val="TableParagraph"/>
              <w:ind w:left="249"/>
              <w:jc w:val="left"/>
              <w:rPr>
                <w:sz w:val="20"/>
              </w:rPr>
            </w:pPr>
            <w:r>
              <w:rPr>
                <w:sz w:val="20"/>
              </w:rPr>
              <w:t>0.00</w:t>
            </w:r>
          </w:p>
        </w:tc>
        <w:tc>
          <w:tcPr>
            <w:tcW w:w="792" w:type="dxa"/>
            <w:tcBorders>
              <w:top w:val="nil"/>
              <w:left w:val="nil"/>
              <w:bottom w:val="nil"/>
              <w:right w:val="nil"/>
            </w:tcBorders>
          </w:tcPr>
          <w:p>
            <w:pPr>
              <w:pStyle w:val="TableParagraph"/>
              <w:ind w:left="252"/>
              <w:jc w:val="left"/>
              <w:rPr>
                <w:sz w:val="20"/>
              </w:rPr>
            </w:pPr>
            <w:r>
              <w:rPr>
                <w:sz w:val="20"/>
              </w:rPr>
              <w:t>0.00</w:t>
            </w:r>
          </w:p>
        </w:tc>
        <w:tc>
          <w:tcPr>
            <w:tcW w:w="694" w:type="dxa"/>
            <w:tcBorders>
              <w:top w:val="nil"/>
              <w:left w:val="nil"/>
              <w:bottom w:val="nil"/>
              <w:right w:val="nil"/>
            </w:tcBorders>
          </w:tcPr>
          <w:p>
            <w:pPr>
              <w:pStyle w:val="TableParagraph"/>
              <w:ind w:right="60"/>
              <w:rPr>
                <w:sz w:val="20"/>
              </w:rPr>
            </w:pPr>
            <w:r>
              <w:rPr>
                <w:sz w:val="20"/>
              </w:rPr>
              <w:t>0.00</w:t>
            </w:r>
          </w:p>
        </w:tc>
      </w:tr>
      <w:tr>
        <w:trPr>
          <w:trHeight w:val="298" w:hRule="exact"/>
        </w:trPr>
        <w:tc>
          <w:tcPr>
            <w:tcW w:w="1472" w:type="dxa"/>
            <w:tcBorders>
              <w:top w:val="nil"/>
              <w:left w:val="nil"/>
              <w:bottom w:val="nil"/>
              <w:right w:val="nil"/>
            </w:tcBorders>
          </w:tcPr>
          <w:p>
            <w:pPr>
              <w:pStyle w:val="TableParagraph"/>
              <w:ind w:left="86"/>
              <w:jc w:val="left"/>
              <w:rPr>
                <w:sz w:val="20"/>
              </w:rPr>
            </w:pPr>
            <w:r>
              <w:rPr>
                <w:sz w:val="20"/>
              </w:rPr>
              <w:t>TEJ_LcFlp</w:t>
            </w:r>
          </w:p>
        </w:tc>
        <w:tc>
          <w:tcPr>
            <w:tcW w:w="782" w:type="dxa"/>
            <w:tcBorders>
              <w:top w:val="nil"/>
              <w:left w:val="nil"/>
              <w:bottom w:val="nil"/>
              <w:right w:val="nil"/>
            </w:tcBorders>
          </w:tcPr>
          <w:p>
            <w:pPr>
              <w:pStyle w:val="TableParagraph"/>
              <w:ind w:right="178"/>
              <w:rPr>
                <w:sz w:val="20"/>
              </w:rPr>
            </w:pPr>
            <w:r>
              <w:rPr>
                <w:sz w:val="20"/>
              </w:rPr>
              <w:t>4.32</w:t>
            </w:r>
          </w:p>
        </w:tc>
        <w:tc>
          <w:tcPr>
            <w:tcW w:w="816" w:type="dxa"/>
            <w:tcBorders>
              <w:top w:val="nil"/>
              <w:left w:val="nil"/>
              <w:bottom w:val="nil"/>
              <w:right w:val="nil"/>
            </w:tcBorders>
          </w:tcPr>
          <w:p>
            <w:pPr>
              <w:pStyle w:val="TableParagraph"/>
              <w:ind w:left="281"/>
              <w:jc w:val="left"/>
              <w:rPr>
                <w:sz w:val="20"/>
              </w:rPr>
            </w:pPr>
            <w:r>
              <w:rPr>
                <w:sz w:val="20"/>
              </w:rPr>
              <w:t>3.84</w:t>
            </w:r>
          </w:p>
        </w:tc>
        <w:tc>
          <w:tcPr>
            <w:tcW w:w="816" w:type="dxa"/>
            <w:tcBorders>
              <w:top w:val="nil"/>
              <w:left w:val="nil"/>
              <w:bottom w:val="nil"/>
              <w:right w:val="nil"/>
            </w:tcBorders>
          </w:tcPr>
          <w:p>
            <w:pPr>
              <w:pStyle w:val="TableParagraph"/>
              <w:ind w:right="178"/>
              <w:rPr>
                <w:sz w:val="20"/>
              </w:rPr>
            </w:pPr>
            <w:r>
              <w:rPr>
                <w:sz w:val="20"/>
              </w:rPr>
              <w:t>3.84</w:t>
            </w:r>
          </w:p>
        </w:tc>
        <w:tc>
          <w:tcPr>
            <w:tcW w:w="819" w:type="dxa"/>
            <w:tcBorders>
              <w:top w:val="nil"/>
              <w:left w:val="nil"/>
              <w:bottom w:val="nil"/>
              <w:right w:val="nil"/>
            </w:tcBorders>
          </w:tcPr>
          <w:p>
            <w:pPr>
              <w:pStyle w:val="TableParagraph"/>
              <w:ind w:right="180"/>
              <w:rPr>
                <w:sz w:val="20"/>
              </w:rPr>
            </w:pPr>
            <w:r>
              <w:rPr>
                <w:sz w:val="20"/>
              </w:rPr>
              <w:t>0.51</w:t>
            </w:r>
          </w:p>
        </w:tc>
        <w:tc>
          <w:tcPr>
            <w:tcW w:w="819" w:type="dxa"/>
            <w:tcBorders>
              <w:top w:val="nil"/>
              <w:left w:val="nil"/>
              <w:bottom w:val="nil"/>
              <w:right w:val="nil"/>
            </w:tcBorders>
          </w:tcPr>
          <w:p>
            <w:pPr>
              <w:pStyle w:val="TableParagraph"/>
              <w:ind w:right="178"/>
              <w:rPr>
                <w:sz w:val="20"/>
              </w:rPr>
            </w:pPr>
            <w:r>
              <w:rPr>
                <w:sz w:val="20"/>
              </w:rPr>
              <w:t>0.51</w:t>
            </w:r>
          </w:p>
        </w:tc>
        <w:tc>
          <w:tcPr>
            <w:tcW w:w="816" w:type="dxa"/>
            <w:tcBorders>
              <w:top w:val="nil"/>
              <w:left w:val="nil"/>
              <w:bottom w:val="nil"/>
              <w:right w:val="nil"/>
            </w:tcBorders>
          </w:tcPr>
          <w:p>
            <w:pPr>
              <w:pStyle w:val="TableParagraph"/>
              <w:ind w:right="178"/>
              <w:rPr>
                <w:sz w:val="20"/>
              </w:rPr>
            </w:pPr>
            <w:r>
              <w:rPr>
                <w:sz w:val="20"/>
              </w:rPr>
              <w:t>0.73</w:t>
            </w:r>
          </w:p>
        </w:tc>
        <w:tc>
          <w:tcPr>
            <w:tcW w:w="848" w:type="dxa"/>
            <w:tcBorders>
              <w:top w:val="nil"/>
              <w:left w:val="nil"/>
              <w:bottom w:val="nil"/>
              <w:right w:val="nil"/>
            </w:tcBorders>
          </w:tcPr>
          <w:p>
            <w:pPr>
              <w:pStyle w:val="TableParagraph"/>
              <w:ind w:left="281"/>
              <w:jc w:val="left"/>
              <w:rPr>
                <w:sz w:val="20"/>
              </w:rPr>
            </w:pPr>
            <w:r>
              <w:rPr>
                <w:sz w:val="20"/>
              </w:rPr>
              <w:t>0.73</w:t>
            </w:r>
          </w:p>
        </w:tc>
        <w:tc>
          <w:tcPr>
            <w:tcW w:w="819" w:type="dxa"/>
            <w:tcBorders>
              <w:top w:val="nil"/>
              <w:left w:val="nil"/>
              <w:bottom w:val="nil"/>
              <w:right w:val="nil"/>
            </w:tcBorders>
          </w:tcPr>
          <w:p>
            <w:pPr>
              <w:pStyle w:val="TableParagraph"/>
              <w:ind w:left="249"/>
              <w:jc w:val="left"/>
              <w:rPr>
                <w:sz w:val="20"/>
              </w:rPr>
            </w:pPr>
            <w:r>
              <w:rPr>
                <w:sz w:val="20"/>
              </w:rPr>
              <w:t>0.00</w:t>
            </w:r>
          </w:p>
        </w:tc>
        <w:tc>
          <w:tcPr>
            <w:tcW w:w="792" w:type="dxa"/>
            <w:tcBorders>
              <w:top w:val="nil"/>
              <w:left w:val="nil"/>
              <w:bottom w:val="nil"/>
              <w:right w:val="nil"/>
            </w:tcBorders>
          </w:tcPr>
          <w:p>
            <w:pPr>
              <w:pStyle w:val="TableParagraph"/>
              <w:ind w:left="252"/>
              <w:jc w:val="left"/>
              <w:rPr>
                <w:sz w:val="20"/>
              </w:rPr>
            </w:pPr>
            <w:r>
              <w:rPr>
                <w:sz w:val="20"/>
              </w:rPr>
              <w:t>0.00</w:t>
            </w:r>
          </w:p>
        </w:tc>
        <w:tc>
          <w:tcPr>
            <w:tcW w:w="694" w:type="dxa"/>
            <w:tcBorders>
              <w:top w:val="nil"/>
              <w:left w:val="nil"/>
              <w:bottom w:val="nil"/>
              <w:right w:val="nil"/>
            </w:tcBorders>
          </w:tcPr>
          <w:p>
            <w:pPr>
              <w:pStyle w:val="TableParagraph"/>
              <w:ind w:right="60"/>
              <w:rPr>
                <w:sz w:val="20"/>
              </w:rPr>
            </w:pPr>
            <w:r>
              <w:rPr>
                <w:sz w:val="20"/>
              </w:rPr>
              <w:t>0.00</w:t>
            </w:r>
          </w:p>
        </w:tc>
      </w:tr>
      <w:tr>
        <w:trPr>
          <w:trHeight w:val="295" w:hRule="exact"/>
        </w:trPr>
        <w:tc>
          <w:tcPr>
            <w:tcW w:w="1472" w:type="dxa"/>
            <w:tcBorders>
              <w:top w:val="nil"/>
              <w:left w:val="nil"/>
              <w:bottom w:val="nil"/>
              <w:right w:val="nil"/>
            </w:tcBorders>
          </w:tcPr>
          <w:p>
            <w:pPr>
              <w:pStyle w:val="TableParagraph"/>
              <w:ind w:left="86"/>
              <w:jc w:val="left"/>
              <w:rPr>
                <w:sz w:val="20"/>
              </w:rPr>
            </w:pPr>
            <w:r>
              <w:rPr>
                <w:sz w:val="20"/>
              </w:rPr>
              <w:t>TEJ_LcSF</w:t>
            </w:r>
          </w:p>
        </w:tc>
        <w:tc>
          <w:tcPr>
            <w:tcW w:w="782" w:type="dxa"/>
            <w:tcBorders>
              <w:top w:val="nil"/>
              <w:left w:val="nil"/>
              <w:bottom w:val="nil"/>
              <w:right w:val="nil"/>
            </w:tcBorders>
          </w:tcPr>
          <w:p>
            <w:pPr>
              <w:pStyle w:val="TableParagraph"/>
              <w:ind w:right="178"/>
              <w:rPr>
                <w:sz w:val="20"/>
              </w:rPr>
            </w:pPr>
            <w:r>
              <w:rPr>
                <w:sz w:val="20"/>
              </w:rPr>
              <w:t>13.21</w:t>
            </w:r>
          </w:p>
        </w:tc>
        <w:tc>
          <w:tcPr>
            <w:tcW w:w="816" w:type="dxa"/>
            <w:tcBorders>
              <w:top w:val="nil"/>
              <w:left w:val="nil"/>
              <w:bottom w:val="nil"/>
              <w:right w:val="nil"/>
            </w:tcBorders>
          </w:tcPr>
          <w:p>
            <w:pPr>
              <w:pStyle w:val="TableParagraph"/>
              <w:ind w:left="281"/>
              <w:jc w:val="left"/>
              <w:rPr>
                <w:sz w:val="20"/>
              </w:rPr>
            </w:pPr>
            <w:r>
              <w:rPr>
                <w:sz w:val="20"/>
              </w:rPr>
              <w:t>1.69</w:t>
            </w:r>
          </w:p>
        </w:tc>
        <w:tc>
          <w:tcPr>
            <w:tcW w:w="816" w:type="dxa"/>
            <w:tcBorders>
              <w:top w:val="nil"/>
              <w:left w:val="nil"/>
              <w:bottom w:val="nil"/>
              <w:right w:val="nil"/>
            </w:tcBorders>
          </w:tcPr>
          <w:p>
            <w:pPr>
              <w:pStyle w:val="TableParagraph"/>
              <w:ind w:right="178"/>
              <w:rPr>
                <w:sz w:val="20"/>
              </w:rPr>
            </w:pPr>
            <w:r>
              <w:rPr>
                <w:sz w:val="20"/>
              </w:rPr>
              <w:t>0.51</w:t>
            </w:r>
          </w:p>
        </w:tc>
        <w:tc>
          <w:tcPr>
            <w:tcW w:w="819" w:type="dxa"/>
            <w:tcBorders>
              <w:top w:val="nil"/>
              <w:left w:val="nil"/>
              <w:bottom w:val="nil"/>
              <w:right w:val="nil"/>
            </w:tcBorders>
          </w:tcPr>
          <w:p>
            <w:pPr>
              <w:pStyle w:val="TableParagraph"/>
              <w:ind w:right="180"/>
              <w:rPr>
                <w:sz w:val="20"/>
              </w:rPr>
            </w:pPr>
            <w:r>
              <w:rPr>
                <w:sz w:val="20"/>
              </w:rPr>
              <w:t>0.51</w:t>
            </w:r>
          </w:p>
        </w:tc>
        <w:tc>
          <w:tcPr>
            <w:tcW w:w="819" w:type="dxa"/>
            <w:tcBorders>
              <w:top w:val="nil"/>
              <w:left w:val="nil"/>
              <w:bottom w:val="nil"/>
              <w:right w:val="nil"/>
            </w:tcBorders>
          </w:tcPr>
          <w:p>
            <w:pPr>
              <w:pStyle w:val="TableParagraph"/>
              <w:ind w:right="178"/>
              <w:rPr>
                <w:sz w:val="20"/>
              </w:rPr>
            </w:pPr>
            <w:r>
              <w:rPr>
                <w:sz w:val="20"/>
              </w:rPr>
              <w:t>1.69</w:t>
            </w:r>
          </w:p>
        </w:tc>
        <w:tc>
          <w:tcPr>
            <w:tcW w:w="816" w:type="dxa"/>
            <w:tcBorders>
              <w:top w:val="nil"/>
              <w:left w:val="nil"/>
              <w:bottom w:val="nil"/>
              <w:right w:val="nil"/>
            </w:tcBorders>
          </w:tcPr>
          <w:p>
            <w:pPr>
              <w:pStyle w:val="TableParagraph"/>
              <w:ind w:right="178"/>
              <w:rPr>
                <w:sz w:val="20"/>
              </w:rPr>
            </w:pPr>
            <w:r>
              <w:rPr>
                <w:sz w:val="20"/>
              </w:rPr>
              <w:t>2.29</w:t>
            </w:r>
          </w:p>
        </w:tc>
        <w:tc>
          <w:tcPr>
            <w:tcW w:w="848" w:type="dxa"/>
            <w:tcBorders>
              <w:top w:val="nil"/>
              <w:left w:val="nil"/>
              <w:bottom w:val="nil"/>
              <w:right w:val="nil"/>
            </w:tcBorders>
          </w:tcPr>
          <w:p>
            <w:pPr>
              <w:pStyle w:val="TableParagraph"/>
              <w:ind w:left="281"/>
              <w:jc w:val="left"/>
              <w:rPr>
                <w:sz w:val="20"/>
              </w:rPr>
            </w:pPr>
            <w:r>
              <w:rPr>
                <w:sz w:val="20"/>
              </w:rPr>
              <w:t>2.29</w:t>
            </w:r>
          </w:p>
        </w:tc>
        <w:tc>
          <w:tcPr>
            <w:tcW w:w="819" w:type="dxa"/>
            <w:tcBorders>
              <w:top w:val="nil"/>
              <w:left w:val="nil"/>
              <w:bottom w:val="nil"/>
              <w:right w:val="nil"/>
            </w:tcBorders>
          </w:tcPr>
          <w:p>
            <w:pPr>
              <w:pStyle w:val="TableParagraph"/>
              <w:ind w:left="249"/>
              <w:jc w:val="left"/>
              <w:rPr>
                <w:sz w:val="20"/>
              </w:rPr>
            </w:pPr>
            <w:r>
              <w:rPr>
                <w:sz w:val="20"/>
              </w:rPr>
              <w:t>0.00</w:t>
            </w:r>
          </w:p>
        </w:tc>
        <w:tc>
          <w:tcPr>
            <w:tcW w:w="792" w:type="dxa"/>
            <w:tcBorders>
              <w:top w:val="nil"/>
              <w:left w:val="nil"/>
              <w:bottom w:val="nil"/>
              <w:right w:val="nil"/>
            </w:tcBorders>
          </w:tcPr>
          <w:p>
            <w:pPr>
              <w:pStyle w:val="TableParagraph"/>
              <w:ind w:left="252"/>
              <w:jc w:val="left"/>
              <w:rPr>
                <w:sz w:val="20"/>
              </w:rPr>
            </w:pPr>
            <w:r>
              <w:rPr>
                <w:sz w:val="20"/>
              </w:rPr>
              <w:t>0.00</w:t>
            </w:r>
          </w:p>
        </w:tc>
        <w:tc>
          <w:tcPr>
            <w:tcW w:w="694" w:type="dxa"/>
            <w:tcBorders>
              <w:top w:val="nil"/>
              <w:left w:val="nil"/>
              <w:bottom w:val="nil"/>
              <w:right w:val="nil"/>
            </w:tcBorders>
          </w:tcPr>
          <w:p>
            <w:pPr>
              <w:pStyle w:val="TableParagraph"/>
              <w:ind w:right="60"/>
              <w:rPr>
                <w:sz w:val="20"/>
              </w:rPr>
            </w:pPr>
            <w:r>
              <w:rPr>
                <w:sz w:val="20"/>
              </w:rPr>
              <w:t>0.00</w:t>
            </w:r>
          </w:p>
        </w:tc>
      </w:tr>
      <w:tr>
        <w:trPr>
          <w:trHeight w:val="295" w:hRule="exact"/>
        </w:trPr>
        <w:tc>
          <w:tcPr>
            <w:tcW w:w="1472" w:type="dxa"/>
            <w:tcBorders>
              <w:top w:val="nil"/>
              <w:left w:val="nil"/>
              <w:bottom w:val="nil"/>
              <w:right w:val="nil"/>
            </w:tcBorders>
          </w:tcPr>
          <w:p>
            <w:pPr>
              <w:pStyle w:val="TableParagraph"/>
              <w:spacing w:before="21"/>
              <w:ind w:left="86"/>
              <w:jc w:val="left"/>
              <w:rPr>
                <w:sz w:val="20"/>
              </w:rPr>
            </w:pPr>
            <w:r>
              <w:rPr>
                <w:sz w:val="20"/>
              </w:rPr>
              <w:t>TEJ_TmFlp</w:t>
            </w:r>
          </w:p>
        </w:tc>
        <w:tc>
          <w:tcPr>
            <w:tcW w:w="782" w:type="dxa"/>
            <w:tcBorders>
              <w:top w:val="nil"/>
              <w:left w:val="nil"/>
              <w:bottom w:val="nil"/>
              <w:right w:val="nil"/>
            </w:tcBorders>
          </w:tcPr>
          <w:p>
            <w:pPr>
              <w:pStyle w:val="TableParagraph"/>
              <w:spacing w:before="21"/>
              <w:ind w:right="178"/>
              <w:rPr>
                <w:sz w:val="20"/>
              </w:rPr>
            </w:pPr>
            <w:r>
              <w:rPr>
                <w:sz w:val="20"/>
              </w:rPr>
              <w:t>25.91</w:t>
            </w:r>
          </w:p>
        </w:tc>
        <w:tc>
          <w:tcPr>
            <w:tcW w:w="816" w:type="dxa"/>
            <w:tcBorders>
              <w:top w:val="nil"/>
              <w:left w:val="nil"/>
              <w:bottom w:val="nil"/>
              <w:right w:val="nil"/>
            </w:tcBorders>
          </w:tcPr>
          <w:p>
            <w:pPr>
              <w:pStyle w:val="TableParagraph"/>
              <w:spacing w:before="21"/>
              <w:ind w:left="180"/>
              <w:jc w:val="left"/>
              <w:rPr>
                <w:sz w:val="20"/>
              </w:rPr>
            </w:pPr>
            <w:r>
              <w:rPr>
                <w:sz w:val="20"/>
              </w:rPr>
              <w:t>25.91</w:t>
            </w:r>
          </w:p>
        </w:tc>
        <w:tc>
          <w:tcPr>
            <w:tcW w:w="816" w:type="dxa"/>
            <w:tcBorders>
              <w:top w:val="nil"/>
              <w:left w:val="nil"/>
              <w:bottom w:val="nil"/>
              <w:right w:val="nil"/>
            </w:tcBorders>
          </w:tcPr>
          <w:p>
            <w:pPr>
              <w:pStyle w:val="TableParagraph"/>
              <w:spacing w:before="21"/>
              <w:ind w:right="178"/>
              <w:rPr>
                <w:sz w:val="20"/>
              </w:rPr>
            </w:pPr>
            <w:r>
              <w:rPr>
                <w:sz w:val="20"/>
              </w:rPr>
              <w:t>25.91</w:t>
            </w:r>
          </w:p>
        </w:tc>
        <w:tc>
          <w:tcPr>
            <w:tcW w:w="819" w:type="dxa"/>
            <w:tcBorders>
              <w:top w:val="nil"/>
              <w:left w:val="nil"/>
              <w:bottom w:val="nil"/>
              <w:right w:val="nil"/>
            </w:tcBorders>
          </w:tcPr>
          <w:p>
            <w:pPr>
              <w:pStyle w:val="TableParagraph"/>
              <w:spacing w:before="21"/>
              <w:ind w:right="180"/>
              <w:rPr>
                <w:sz w:val="20"/>
              </w:rPr>
            </w:pPr>
            <w:r>
              <w:rPr>
                <w:sz w:val="20"/>
              </w:rPr>
              <w:t>25.91</w:t>
            </w:r>
          </w:p>
        </w:tc>
        <w:tc>
          <w:tcPr>
            <w:tcW w:w="819" w:type="dxa"/>
            <w:tcBorders>
              <w:top w:val="nil"/>
              <w:left w:val="nil"/>
              <w:bottom w:val="nil"/>
              <w:right w:val="nil"/>
            </w:tcBorders>
          </w:tcPr>
          <w:p>
            <w:pPr>
              <w:pStyle w:val="TableParagraph"/>
              <w:spacing w:before="21"/>
              <w:ind w:right="178"/>
              <w:rPr>
                <w:sz w:val="20"/>
              </w:rPr>
            </w:pPr>
            <w:r>
              <w:rPr>
                <w:sz w:val="20"/>
              </w:rPr>
              <w:t>25.91</w:t>
            </w:r>
          </w:p>
        </w:tc>
        <w:tc>
          <w:tcPr>
            <w:tcW w:w="816" w:type="dxa"/>
            <w:tcBorders>
              <w:top w:val="nil"/>
              <w:left w:val="nil"/>
              <w:bottom w:val="nil"/>
              <w:right w:val="nil"/>
            </w:tcBorders>
          </w:tcPr>
          <w:p>
            <w:pPr>
              <w:pStyle w:val="TableParagraph"/>
              <w:spacing w:before="21"/>
              <w:ind w:right="178"/>
              <w:rPr>
                <w:sz w:val="20"/>
              </w:rPr>
            </w:pPr>
            <w:r>
              <w:rPr>
                <w:sz w:val="20"/>
              </w:rPr>
              <w:t>25.91</w:t>
            </w:r>
          </w:p>
        </w:tc>
        <w:tc>
          <w:tcPr>
            <w:tcW w:w="848" w:type="dxa"/>
            <w:tcBorders>
              <w:top w:val="nil"/>
              <w:left w:val="nil"/>
              <w:bottom w:val="nil"/>
              <w:right w:val="nil"/>
            </w:tcBorders>
          </w:tcPr>
          <w:p>
            <w:pPr>
              <w:pStyle w:val="TableParagraph"/>
              <w:spacing w:before="21"/>
              <w:ind w:left="180"/>
              <w:jc w:val="left"/>
              <w:rPr>
                <w:sz w:val="20"/>
              </w:rPr>
            </w:pPr>
            <w:r>
              <w:rPr>
                <w:sz w:val="20"/>
              </w:rPr>
              <w:t>25.91</w:t>
            </w:r>
          </w:p>
        </w:tc>
        <w:tc>
          <w:tcPr>
            <w:tcW w:w="819" w:type="dxa"/>
            <w:tcBorders>
              <w:top w:val="nil"/>
              <w:left w:val="nil"/>
              <w:bottom w:val="nil"/>
              <w:right w:val="nil"/>
            </w:tcBorders>
          </w:tcPr>
          <w:p>
            <w:pPr>
              <w:pStyle w:val="TableParagraph"/>
              <w:spacing w:before="21"/>
              <w:ind w:left="249"/>
              <w:jc w:val="left"/>
              <w:rPr>
                <w:sz w:val="20"/>
              </w:rPr>
            </w:pPr>
            <w:r>
              <w:rPr>
                <w:sz w:val="20"/>
              </w:rPr>
              <w:t>0.00</w:t>
            </w:r>
          </w:p>
        </w:tc>
        <w:tc>
          <w:tcPr>
            <w:tcW w:w="792" w:type="dxa"/>
            <w:tcBorders>
              <w:top w:val="nil"/>
              <w:left w:val="nil"/>
              <w:bottom w:val="nil"/>
              <w:right w:val="nil"/>
            </w:tcBorders>
          </w:tcPr>
          <w:p>
            <w:pPr>
              <w:pStyle w:val="TableParagraph"/>
              <w:spacing w:before="21"/>
              <w:ind w:left="252"/>
              <w:jc w:val="left"/>
              <w:rPr>
                <w:sz w:val="20"/>
              </w:rPr>
            </w:pPr>
            <w:r>
              <w:rPr>
                <w:sz w:val="20"/>
              </w:rPr>
              <w:t>0.00</w:t>
            </w:r>
          </w:p>
        </w:tc>
        <w:tc>
          <w:tcPr>
            <w:tcW w:w="694" w:type="dxa"/>
            <w:tcBorders>
              <w:top w:val="nil"/>
              <w:left w:val="nil"/>
              <w:bottom w:val="nil"/>
              <w:right w:val="nil"/>
            </w:tcBorders>
          </w:tcPr>
          <w:p>
            <w:pPr>
              <w:pStyle w:val="TableParagraph"/>
              <w:spacing w:before="21"/>
              <w:ind w:right="60"/>
              <w:rPr>
                <w:sz w:val="20"/>
              </w:rPr>
            </w:pPr>
            <w:r>
              <w:rPr>
                <w:sz w:val="20"/>
              </w:rPr>
              <w:t>0.00</w:t>
            </w:r>
          </w:p>
        </w:tc>
      </w:tr>
      <w:tr>
        <w:trPr>
          <w:trHeight w:val="298" w:hRule="exact"/>
        </w:trPr>
        <w:tc>
          <w:tcPr>
            <w:tcW w:w="1472" w:type="dxa"/>
            <w:tcBorders>
              <w:top w:val="nil"/>
              <w:left w:val="nil"/>
              <w:bottom w:val="nil"/>
              <w:right w:val="nil"/>
            </w:tcBorders>
          </w:tcPr>
          <w:p>
            <w:pPr>
              <w:pStyle w:val="TableParagraph"/>
              <w:ind w:left="86"/>
              <w:jc w:val="left"/>
              <w:rPr>
                <w:sz w:val="20"/>
              </w:rPr>
            </w:pPr>
            <w:r>
              <w:rPr>
                <w:sz w:val="20"/>
              </w:rPr>
              <w:t>TEJ_ToSF</w:t>
            </w:r>
          </w:p>
        </w:tc>
        <w:tc>
          <w:tcPr>
            <w:tcW w:w="782" w:type="dxa"/>
            <w:tcBorders>
              <w:top w:val="nil"/>
              <w:left w:val="nil"/>
              <w:bottom w:val="nil"/>
              <w:right w:val="nil"/>
            </w:tcBorders>
          </w:tcPr>
          <w:p>
            <w:pPr>
              <w:pStyle w:val="TableParagraph"/>
              <w:ind w:right="178"/>
              <w:rPr>
                <w:sz w:val="20"/>
              </w:rPr>
            </w:pPr>
            <w:r>
              <w:rPr>
                <w:sz w:val="20"/>
              </w:rPr>
              <w:t>25.91</w:t>
            </w:r>
          </w:p>
        </w:tc>
        <w:tc>
          <w:tcPr>
            <w:tcW w:w="816" w:type="dxa"/>
            <w:tcBorders>
              <w:top w:val="nil"/>
              <w:left w:val="nil"/>
              <w:bottom w:val="nil"/>
              <w:right w:val="nil"/>
            </w:tcBorders>
          </w:tcPr>
          <w:p>
            <w:pPr>
              <w:pStyle w:val="TableParagraph"/>
              <w:ind w:left="180"/>
              <w:jc w:val="left"/>
              <w:rPr>
                <w:sz w:val="20"/>
              </w:rPr>
            </w:pPr>
            <w:r>
              <w:rPr>
                <w:sz w:val="20"/>
              </w:rPr>
              <w:t>25.91</w:t>
            </w:r>
          </w:p>
        </w:tc>
        <w:tc>
          <w:tcPr>
            <w:tcW w:w="816" w:type="dxa"/>
            <w:tcBorders>
              <w:top w:val="nil"/>
              <w:left w:val="nil"/>
              <w:bottom w:val="nil"/>
              <w:right w:val="nil"/>
            </w:tcBorders>
          </w:tcPr>
          <w:p>
            <w:pPr>
              <w:pStyle w:val="TableParagraph"/>
              <w:ind w:right="178"/>
              <w:rPr>
                <w:sz w:val="20"/>
              </w:rPr>
            </w:pPr>
            <w:r>
              <w:rPr>
                <w:sz w:val="20"/>
              </w:rPr>
              <w:t>25.91</w:t>
            </w:r>
          </w:p>
        </w:tc>
        <w:tc>
          <w:tcPr>
            <w:tcW w:w="819" w:type="dxa"/>
            <w:tcBorders>
              <w:top w:val="nil"/>
              <w:left w:val="nil"/>
              <w:bottom w:val="nil"/>
              <w:right w:val="nil"/>
            </w:tcBorders>
          </w:tcPr>
          <w:p>
            <w:pPr>
              <w:pStyle w:val="TableParagraph"/>
              <w:ind w:right="180"/>
              <w:rPr>
                <w:sz w:val="20"/>
              </w:rPr>
            </w:pPr>
            <w:r>
              <w:rPr>
                <w:sz w:val="20"/>
              </w:rPr>
              <w:t>25.91</w:t>
            </w:r>
          </w:p>
        </w:tc>
        <w:tc>
          <w:tcPr>
            <w:tcW w:w="819" w:type="dxa"/>
            <w:tcBorders>
              <w:top w:val="nil"/>
              <w:left w:val="nil"/>
              <w:bottom w:val="nil"/>
              <w:right w:val="nil"/>
            </w:tcBorders>
          </w:tcPr>
          <w:p>
            <w:pPr>
              <w:pStyle w:val="TableParagraph"/>
              <w:ind w:right="178"/>
              <w:rPr>
                <w:sz w:val="20"/>
              </w:rPr>
            </w:pPr>
            <w:r>
              <w:rPr>
                <w:sz w:val="20"/>
              </w:rPr>
              <w:t>25.91</w:t>
            </w:r>
          </w:p>
        </w:tc>
        <w:tc>
          <w:tcPr>
            <w:tcW w:w="816" w:type="dxa"/>
            <w:tcBorders>
              <w:top w:val="nil"/>
              <w:left w:val="nil"/>
              <w:bottom w:val="nil"/>
              <w:right w:val="nil"/>
            </w:tcBorders>
          </w:tcPr>
          <w:p>
            <w:pPr>
              <w:pStyle w:val="TableParagraph"/>
              <w:ind w:right="178"/>
              <w:rPr>
                <w:sz w:val="20"/>
              </w:rPr>
            </w:pPr>
            <w:r>
              <w:rPr>
                <w:sz w:val="20"/>
              </w:rPr>
              <w:t>25.91</w:t>
            </w:r>
          </w:p>
        </w:tc>
        <w:tc>
          <w:tcPr>
            <w:tcW w:w="848" w:type="dxa"/>
            <w:tcBorders>
              <w:top w:val="nil"/>
              <w:left w:val="nil"/>
              <w:bottom w:val="nil"/>
              <w:right w:val="nil"/>
            </w:tcBorders>
          </w:tcPr>
          <w:p>
            <w:pPr>
              <w:pStyle w:val="TableParagraph"/>
              <w:ind w:left="180"/>
              <w:jc w:val="left"/>
              <w:rPr>
                <w:sz w:val="20"/>
              </w:rPr>
            </w:pPr>
            <w:r>
              <w:rPr>
                <w:sz w:val="20"/>
              </w:rPr>
              <w:t>25.91</w:t>
            </w:r>
          </w:p>
        </w:tc>
        <w:tc>
          <w:tcPr>
            <w:tcW w:w="819" w:type="dxa"/>
            <w:tcBorders>
              <w:top w:val="nil"/>
              <w:left w:val="nil"/>
              <w:bottom w:val="nil"/>
              <w:right w:val="nil"/>
            </w:tcBorders>
          </w:tcPr>
          <w:p>
            <w:pPr>
              <w:pStyle w:val="TableParagraph"/>
              <w:ind w:left="249"/>
              <w:jc w:val="left"/>
              <w:rPr>
                <w:sz w:val="20"/>
              </w:rPr>
            </w:pPr>
            <w:r>
              <w:rPr>
                <w:sz w:val="20"/>
              </w:rPr>
              <w:t>0.00</w:t>
            </w:r>
          </w:p>
        </w:tc>
        <w:tc>
          <w:tcPr>
            <w:tcW w:w="792" w:type="dxa"/>
            <w:tcBorders>
              <w:top w:val="nil"/>
              <w:left w:val="nil"/>
              <w:bottom w:val="nil"/>
              <w:right w:val="nil"/>
            </w:tcBorders>
          </w:tcPr>
          <w:p>
            <w:pPr>
              <w:pStyle w:val="TableParagraph"/>
              <w:ind w:left="252"/>
              <w:jc w:val="left"/>
              <w:rPr>
                <w:sz w:val="20"/>
              </w:rPr>
            </w:pPr>
            <w:r>
              <w:rPr>
                <w:sz w:val="20"/>
              </w:rPr>
              <w:t>0.00</w:t>
            </w:r>
          </w:p>
        </w:tc>
        <w:tc>
          <w:tcPr>
            <w:tcW w:w="694" w:type="dxa"/>
            <w:tcBorders>
              <w:top w:val="nil"/>
              <w:left w:val="nil"/>
              <w:bottom w:val="nil"/>
              <w:right w:val="nil"/>
            </w:tcBorders>
          </w:tcPr>
          <w:p>
            <w:pPr>
              <w:pStyle w:val="TableParagraph"/>
              <w:ind w:right="60"/>
              <w:rPr>
                <w:sz w:val="20"/>
              </w:rPr>
            </w:pPr>
            <w:r>
              <w:rPr>
                <w:sz w:val="20"/>
              </w:rPr>
              <w:t>0.00</w:t>
            </w:r>
          </w:p>
        </w:tc>
      </w:tr>
      <w:tr>
        <w:trPr>
          <w:trHeight w:val="298" w:hRule="exact"/>
        </w:trPr>
        <w:tc>
          <w:tcPr>
            <w:tcW w:w="1472" w:type="dxa"/>
            <w:tcBorders>
              <w:top w:val="nil"/>
              <w:left w:val="nil"/>
              <w:bottom w:val="nil"/>
              <w:right w:val="nil"/>
            </w:tcBorders>
          </w:tcPr>
          <w:p>
            <w:pPr>
              <w:pStyle w:val="TableParagraph"/>
              <w:ind w:left="86"/>
              <w:jc w:val="left"/>
              <w:rPr>
                <w:sz w:val="20"/>
              </w:rPr>
            </w:pPr>
            <w:r>
              <w:rPr>
                <w:sz w:val="20"/>
              </w:rPr>
              <w:t>TEJ_VpFd</w:t>
            </w:r>
          </w:p>
        </w:tc>
        <w:tc>
          <w:tcPr>
            <w:tcW w:w="782" w:type="dxa"/>
            <w:tcBorders>
              <w:top w:val="nil"/>
              <w:left w:val="nil"/>
              <w:bottom w:val="nil"/>
              <w:right w:val="nil"/>
            </w:tcBorders>
          </w:tcPr>
          <w:p>
            <w:pPr>
              <w:pStyle w:val="TableParagraph"/>
              <w:ind w:right="178"/>
              <w:rPr>
                <w:sz w:val="20"/>
              </w:rPr>
            </w:pPr>
            <w:r>
              <w:rPr>
                <w:sz w:val="20"/>
              </w:rPr>
              <w:t>4.32</w:t>
            </w:r>
          </w:p>
        </w:tc>
        <w:tc>
          <w:tcPr>
            <w:tcW w:w="816" w:type="dxa"/>
            <w:tcBorders>
              <w:top w:val="nil"/>
              <w:left w:val="nil"/>
              <w:bottom w:val="nil"/>
              <w:right w:val="nil"/>
            </w:tcBorders>
          </w:tcPr>
          <w:p>
            <w:pPr>
              <w:pStyle w:val="TableParagraph"/>
              <w:ind w:left="281"/>
              <w:jc w:val="left"/>
              <w:rPr>
                <w:sz w:val="20"/>
              </w:rPr>
            </w:pPr>
            <w:r>
              <w:rPr>
                <w:sz w:val="20"/>
              </w:rPr>
              <w:t>4.32</w:t>
            </w:r>
          </w:p>
        </w:tc>
        <w:tc>
          <w:tcPr>
            <w:tcW w:w="816" w:type="dxa"/>
            <w:tcBorders>
              <w:top w:val="nil"/>
              <w:left w:val="nil"/>
              <w:bottom w:val="nil"/>
              <w:right w:val="nil"/>
            </w:tcBorders>
          </w:tcPr>
          <w:p>
            <w:pPr>
              <w:pStyle w:val="TableParagraph"/>
              <w:ind w:right="178"/>
              <w:rPr>
                <w:sz w:val="20"/>
              </w:rPr>
            </w:pPr>
            <w:r>
              <w:rPr>
                <w:sz w:val="20"/>
              </w:rPr>
              <w:t>4.32</w:t>
            </w:r>
          </w:p>
        </w:tc>
        <w:tc>
          <w:tcPr>
            <w:tcW w:w="819" w:type="dxa"/>
            <w:tcBorders>
              <w:top w:val="nil"/>
              <w:left w:val="nil"/>
              <w:bottom w:val="nil"/>
              <w:right w:val="nil"/>
            </w:tcBorders>
          </w:tcPr>
          <w:p>
            <w:pPr>
              <w:pStyle w:val="TableParagraph"/>
              <w:ind w:right="180"/>
              <w:rPr>
                <w:sz w:val="20"/>
              </w:rPr>
            </w:pPr>
            <w:r>
              <w:rPr>
                <w:sz w:val="20"/>
              </w:rPr>
              <w:t>2.29</w:t>
            </w:r>
          </w:p>
        </w:tc>
        <w:tc>
          <w:tcPr>
            <w:tcW w:w="819" w:type="dxa"/>
            <w:tcBorders>
              <w:top w:val="nil"/>
              <w:left w:val="nil"/>
              <w:bottom w:val="nil"/>
              <w:right w:val="nil"/>
            </w:tcBorders>
          </w:tcPr>
          <w:p>
            <w:pPr>
              <w:pStyle w:val="TableParagraph"/>
              <w:ind w:right="178"/>
              <w:rPr>
                <w:sz w:val="20"/>
              </w:rPr>
            </w:pPr>
            <w:r>
              <w:rPr>
                <w:sz w:val="20"/>
              </w:rPr>
              <w:t>2.29</w:t>
            </w:r>
          </w:p>
        </w:tc>
        <w:tc>
          <w:tcPr>
            <w:tcW w:w="816" w:type="dxa"/>
            <w:tcBorders>
              <w:top w:val="nil"/>
              <w:left w:val="nil"/>
              <w:bottom w:val="nil"/>
              <w:right w:val="nil"/>
            </w:tcBorders>
          </w:tcPr>
          <w:p>
            <w:pPr>
              <w:pStyle w:val="TableParagraph"/>
              <w:ind w:right="178"/>
              <w:rPr>
                <w:sz w:val="20"/>
              </w:rPr>
            </w:pPr>
            <w:r>
              <w:rPr>
                <w:sz w:val="20"/>
              </w:rPr>
              <w:t>2.29</w:t>
            </w:r>
          </w:p>
        </w:tc>
        <w:tc>
          <w:tcPr>
            <w:tcW w:w="848" w:type="dxa"/>
            <w:tcBorders>
              <w:top w:val="nil"/>
              <w:left w:val="nil"/>
              <w:bottom w:val="nil"/>
              <w:right w:val="nil"/>
            </w:tcBorders>
          </w:tcPr>
          <w:p>
            <w:pPr>
              <w:pStyle w:val="TableParagraph"/>
              <w:ind w:left="281"/>
              <w:jc w:val="left"/>
              <w:rPr>
                <w:sz w:val="20"/>
              </w:rPr>
            </w:pPr>
            <w:r>
              <w:rPr>
                <w:sz w:val="20"/>
              </w:rPr>
              <w:t>2.29</w:t>
            </w:r>
          </w:p>
        </w:tc>
        <w:tc>
          <w:tcPr>
            <w:tcW w:w="819" w:type="dxa"/>
            <w:tcBorders>
              <w:top w:val="nil"/>
              <w:left w:val="nil"/>
              <w:bottom w:val="nil"/>
              <w:right w:val="nil"/>
            </w:tcBorders>
          </w:tcPr>
          <w:p>
            <w:pPr>
              <w:pStyle w:val="TableParagraph"/>
              <w:ind w:left="249"/>
              <w:jc w:val="left"/>
              <w:rPr>
                <w:sz w:val="20"/>
              </w:rPr>
            </w:pPr>
            <w:r>
              <w:rPr>
                <w:sz w:val="20"/>
              </w:rPr>
              <w:t>0.00</w:t>
            </w:r>
          </w:p>
        </w:tc>
        <w:tc>
          <w:tcPr>
            <w:tcW w:w="792" w:type="dxa"/>
            <w:tcBorders>
              <w:top w:val="nil"/>
              <w:left w:val="nil"/>
              <w:bottom w:val="nil"/>
              <w:right w:val="nil"/>
            </w:tcBorders>
          </w:tcPr>
          <w:p>
            <w:pPr>
              <w:pStyle w:val="TableParagraph"/>
              <w:ind w:left="252"/>
              <w:jc w:val="left"/>
              <w:rPr>
                <w:sz w:val="20"/>
              </w:rPr>
            </w:pPr>
            <w:r>
              <w:rPr>
                <w:sz w:val="20"/>
              </w:rPr>
              <w:t>0.00</w:t>
            </w:r>
          </w:p>
        </w:tc>
        <w:tc>
          <w:tcPr>
            <w:tcW w:w="694" w:type="dxa"/>
            <w:tcBorders>
              <w:top w:val="nil"/>
              <w:left w:val="nil"/>
              <w:bottom w:val="nil"/>
              <w:right w:val="nil"/>
            </w:tcBorders>
          </w:tcPr>
          <w:p>
            <w:pPr>
              <w:pStyle w:val="TableParagraph"/>
              <w:ind w:right="60"/>
              <w:rPr>
                <w:sz w:val="20"/>
              </w:rPr>
            </w:pPr>
            <w:r>
              <w:rPr>
                <w:sz w:val="20"/>
              </w:rPr>
              <w:t>0.00</w:t>
            </w:r>
          </w:p>
        </w:tc>
      </w:tr>
      <w:tr>
        <w:trPr>
          <w:trHeight w:val="298" w:hRule="exact"/>
        </w:trPr>
        <w:tc>
          <w:tcPr>
            <w:tcW w:w="1472" w:type="dxa"/>
            <w:tcBorders>
              <w:top w:val="nil"/>
              <w:left w:val="nil"/>
              <w:bottom w:val="nil"/>
              <w:right w:val="nil"/>
            </w:tcBorders>
          </w:tcPr>
          <w:p>
            <w:pPr>
              <w:pStyle w:val="TableParagraph"/>
              <w:ind w:left="86"/>
              <w:jc w:val="left"/>
              <w:rPr>
                <w:sz w:val="20"/>
              </w:rPr>
            </w:pPr>
            <w:r>
              <w:rPr>
                <w:sz w:val="20"/>
              </w:rPr>
              <w:t>TEJ_VpFdp</w:t>
            </w:r>
          </w:p>
        </w:tc>
        <w:tc>
          <w:tcPr>
            <w:tcW w:w="782" w:type="dxa"/>
            <w:tcBorders>
              <w:top w:val="nil"/>
              <w:left w:val="nil"/>
              <w:bottom w:val="nil"/>
              <w:right w:val="nil"/>
            </w:tcBorders>
          </w:tcPr>
          <w:p>
            <w:pPr>
              <w:pStyle w:val="TableParagraph"/>
              <w:ind w:right="178"/>
              <w:rPr>
                <w:sz w:val="20"/>
              </w:rPr>
            </w:pPr>
            <w:r>
              <w:rPr>
                <w:sz w:val="20"/>
              </w:rPr>
              <w:t>2.29</w:t>
            </w:r>
          </w:p>
        </w:tc>
        <w:tc>
          <w:tcPr>
            <w:tcW w:w="816" w:type="dxa"/>
            <w:tcBorders>
              <w:top w:val="nil"/>
              <w:left w:val="nil"/>
              <w:bottom w:val="nil"/>
              <w:right w:val="nil"/>
            </w:tcBorders>
          </w:tcPr>
          <w:p>
            <w:pPr>
              <w:pStyle w:val="TableParagraph"/>
              <w:ind w:left="281"/>
              <w:jc w:val="left"/>
              <w:rPr>
                <w:sz w:val="20"/>
              </w:rPr>
            </w:pPr>
            <w:r>
              <w:rPr>
                <w:sz w:val="20"/>
              </w:rPr>
              <w:t>2.06</w:t>
            </w:r>
          </w:p>
        </w:tc>
        <w:tc>
          <w:tcPr>
            <w:tcW w:w="816" w:type="dxa"/>
            <w:tcBorders>
              <w:top w:val="nil"/>
              <w:left w:val="nil"/>
              <w:bottom w:val="nil"/>
              <w:right w:val="nil"/>
            </w:tcBorders>
          </w:tcPr>
          <w:p>
            <w:pPr>
              <w:pStyle w:val="TableParagraph"/>
              <w:ind w:right="178"/>
              <w:rPr>
                <w:sz w:val="20"/>
              </w:rPr>
            </w:pPr>
            <w:r>
              <w:rPr>
                <w:sz w:val="20"/>
              </w:rPr>
              <w:t>2.06</w:t>
            </w:r>
          </w:p>
        </w:tc>
        <w:tc>
          <w:tcPr>
            <w:tcW w:w="819" w:type="dxa"/>
            <w:tcBorders>
              <w:top w:val="nil"/>
              <w:left w:val="nil"/>
              <w:bottom w:val="nil"/>
              <w:right w:val="nil"/>
            </w:tcBorders>
          </w:tcPr>
          <w:p>
            <w:pPr>
              <w:pStyle w:val="TableParagraph"/>
              <w:ind w:right="180"/>
              <w:rPr>
                <w:sz w:val="20"/>
              </w:rPr>
            </w:pPr>
            <w:r>
              <w:rPr>
                <w:sz w:val="20"/>
              </w:rPr>
              <w:t>0.73</w:t>
            </w:r>
          </w:p>
        </w:tc>
        <w:tc>
          <w:tcPr>
            <w:tcW w:w="819" w:type="dxa"/>
            <w:tcBorders>
              <w:top w:val="nil"/>
              <w:left w:val="nil"/>
              <w:bottom w:val="nil"/>
              <w:right w:val="nil"/>
            </w:tcBorders>
          </w:tcPr>
          <w:p>
            <w:pPr>
              <w:pStyle w:val="TableParagraph"/>
              <w:ind w:right="178"/>
              <w:rPr>
                <w:sz w:val="20"/>
              </w:rPr>
            </w:pPr>
            <w:r>
              <w:rPr>
                <w:sz w:val="20"/>
              </w:rPr>
              <w:t>0.73</w:t>
            </w:r>
          </w:p>
        </w:tc>
        <w:tc>
          <w:tcPr>
            <w:tcW w:w="816" w:type="dxa"/>
            <w:tcBorders>
              <w:top w:val="nil"/>
              <w:left w:val="nil"/>
              <w:bottom w:val="nil"/>
              <w:right w:val="nil"/>
            </w:tcBorders>
          </w:tcPr>
          <w:p>
            <w:pPr>
              <w:pStyle w:val="TableParagraph"/>
              <w:ind w:right="178"/>
              <w:rPr>
                <w:sz w:val="20"/>
              </w:rPr>
            </w:pPr>
            <w:r>
              <w:rPr>
                <w:sz w:val="20"/>
              </w:rPr>
              <w:t>2.06</w:t>
            </w:r>
          </w:p>
        </w:tc>
        <w:tc>
          <w:tcPr>
            <w:tcW w:w="848" w:type="dxa"/>
            <w:tcBorders>
              <w:top w:val="nil"/>
              <w:left w:val="nil"/>
              <w:bottom w:val="nil"/>
              <w:right w:val="nil"/>
            </w:tcBorders>
          </w:tcPr>
          <w:p>
            <w:pPr>
              <w:pStyle w:val="TableParagraph"/>
              <w:ind w:left="281"/>
              <w:jc w:val="left"/>
              <w:rPr>
                <w:sz w:val="20"/>
              </w:rPr>
            </w:pPr>
            <w:r>
              <w:rPr>
                <w:sz w:val="20"/>
              </w:rPr>
              <w:t>2.29</w:t>
            </w:r>
          </w:p>
        </w:tc>
        <w:tc>
          <w:tcPr>
            <w:tcW w:w="819" w:type="dxa"/>
            <w:tcBorders>
              <w:top w:val="nil"/>
              <w:left w:val="nil"/>
              <w:bottom w:val="nil"/>
              <w:right w:val="nil"/>
            </w:tcBorders>
          </w:tcPr>
          <w:p>
            <w:pPr>
              <w:pStyle w:val="TableParagraph"/>
              <w:ind w:left="249"/>
              <w:jc w:val="left"/>
              <w:rPr>
                <w:sz w:val="20"/>
              </w:rPr>
            </w:pPr>
            <w:r>
              <w:rPr>
                <w:sz w:val="20"/>
              </w:rPr>
              <w:t>0.00</w:t>
            </w:r>
          </w:p>
        </w:tc>
        <w:tc>
          <w:tcPr>
            <w:tcW w:w="792" w:type="dxa"/>
            <w:tcBorders>
              <w:top w:val="nil"/>
              <w:left w:val="nil"/>
              <w:bottom w:val="nil"/>
              <w:right w:val="nil"/>
            </w:tcBorders>
          </w:tcPr>
          <w:p>
            <w:pPr>
              <w:pStyle w:val="TableParagraph"/>
              <w:ind w:left="252"/>
              <w:jc w:val="left"/>
              <w:rPr>
                <w:sz w:val="20"/>
              </w:rPr>
            </w:pPr>
            <w:r>
              <w:rPr>
                <w:sz w:val="20"/>
              </w:rPr>
              <w:t>0.00</w:t>
            </w:r>
          </w:p>
        </w:tc>
        <w:tc>
          <w:tcPr>
            <w:tcW w:w="694" w:type="dxa"/>
            <w:tcBorders>
              <w:top w:val="nil"/>
              <w:left w:val="nil"/>
              <w:bottom w:val="nil"/>
              <w:right w:val="nil"/>
            </w:tcBorders>
          </w:tcPr>
          <w:p>
            <w:pPr>
              <w:pStyle w:val="TableParagraph"/>
              <w:ind w:right="60"/>
              <w:rPr>
                <w:sz w:val="20"/>
              </w:rPr>
            </w:pPr>
            <w:r>
              <w:rPr>
                <w:sz w:val="20"/>
              </w:rPr>
              <w:t>0.00</w:t>
            </w:r>
          </w:p>
        </w:tc>
      </w:tr>
      <w:tr>
        <w:trPr>
          <w:trHeight w:val="298" w:hRule="exact"/>
        </w:trPr>
        <w:tc>
          <w:tcPr>
            <w:tcW w:w="1472" w:type="dxa"/>
            <w:tcBorders>
              <w:top w:val="nil"/>
              <w:left w:val="nil"/>
              <w:bottom w:val="nil"/>
              <w:right w:val="nil"/>
            </w:tcBorders>
          </w:tcPr>
          <w:p>
            <w:pPr>
              <w:pStyle w:val="TableParagraph"/>
              <w:ind w:left="86"/>
              <w:jc w:val="left"/>
              <w:rPr>
                <w:sz w:val="20"/>
              </w:rPr>
            </w:pPr>
            <w:r>
              <w:rPr>
                <w:sz w:val="20"/>
              </w:rPr>
              <w:t>TEJ_VpSF</w:t>
            </w:r>
          </w:p>
        </w:tc>
        <w:tc>
          <w:tcPr>
            <w:tcW w:w="782" w:type="dxa"/>
            <w:tcBorders>
              <w:top w:val="nil"/>
              <w:left w:val="nil"/>
              <w:bottom w:val="nil"/>
              <w:right w:val="nil"/>
            </w:tcBorders>
          </w:tcPr>
          <w:p>
            <w:pPr>
              <w:pStyle w:val="TableParagraph"/>
              <w:ind w:right="178"/>
              <w:rPr>
                <w:sz w:val="20"/>
              </w:rPr>
            </w:pPr>
            <w:r>
              <w:rPr>
                <w:sz w:val="20"/>
              </w:rPr>
              <w:t>4.32</w:t>
            </w:r>
          </w:p>
        </w:tc>
        <w:tc>
          <w:tcPr>
            <w:tcW w:w="816" w:type="dxa"/>
            <w:tcBorders>
              <w:top w:val="nil"/>
              <w:left w:val="nil"/>
              <w:bottom w:val="nil"/>
              <w:right w:val="nil"/>
            </w:tcBorders>
          </w:tcPr>
          <w:p>
            <w:pPr>
              <w:pStyle w:val="TableParagraph"/>
              <w:ind w:left="281"/>
              <w:jc w:val="left"/>
              <w:rPr>
                <w:sz w:val="20"/>
              </w:rPr>
            </w:pPr>
            <w:r>
              <w:rPr>
                <w:sz w:val="20"/>
              </w:rPr>
              <w:t>3.47</w:t>
            </w:r>
          </w:p>
        </w:tc>
        <w:tc>
          <w:tcPr>
            <w:tcW w:w="816" w:type="dxa"/>
            <w:tcBorders>
              <w:top w:val="nil"/>
              <w:left w:val="nil"/>
              <w:bottom w:val="nil"/>
              <w:right w:val="nil"/>
            </w:tcBorders>
          </w:tcPr>
          <w:p>
            <w:pPr>
              <w:pStyle w:val="TableParagraph"/>
              <w:ind w:right="178"/>
              <w:rPr>
                <w:sz w:val="20"/>
              </w:rPr>
            </w:pPr>
            <w:r>
              <w:rPr>
                <w:sz w:val="20"/>
              </w:rPr>
              <w:t>3.47</w:t>
            </w:r>
          </w:p>
        </w:tc>
        <w:tc>
          <w:tcPr>
            <w:tcW w:w="819" w:type="dxa"/>
            <w:tcBorders>
              <w:top w:val="nil"/>
              <w:left w:val="nil"/>
              <w:bottom w:val="nil"/>
              <w:right w:val="nil"/>
            </w:tcBorders>
          </w:tcPr>
          <w:p>
            <w:pPr>
              <w:pStyle w:val="TableParagraph"/>
              <w:ind w:right="180"/>
              <w:rPr>
                <w:sz w:val="20"/>
              </w:rPr>
            </w:pPr>
            <w:r>
              <w:rPr>
                <w:sz w:val="20"/>
              </w:rPr>
              <w:t>0.51</w:t>
            </w:r>
          </w:p>
        </w:tc>
        <w:tc>
          <w:tcPr>
            <w:tcW w:w="819" w:type="dxa"/>
            <w:tcBorders>
              <w:top w:val="nil"/>
              <w:left w:val="nil"/>
              <w:bottom w:val="nil"/>
              <w:right w:val="nil"/>
            </w:tcBorders>
          </w:tcPr>
          <w:p>
            <w:pPr>
              <w:pStyle w:val="TableParagraph"/>
              <w:ind w:right="178"/>
              <w:rPr>
                <w:sz w:val="20"/>
              </w:rPr>
            </w:pPr>
            <w:r>
              <w:rPr>
                <w:sz w:val="20"/>
              </w:rPr>
              <w:t>0.51</w:t>
            </w:r>
          </w:p>
        </w:tc>
        <w:tc>
          <w:tcPr>
            <w:tcW w:w="816" w:type="dxa"/>
            <w:tcBorders>
              <w:top w:val="nil"/>
              <w:left w:val="nil"/>
              <w:bottom w:val="nil"/>
              <w:right w:val="nil"/>
            </w:tcBorders>
          </w:tcPr>
          <w:p>
            <w:pPr>
              <w:pStyle w:val="TableParagraph"/>
              <w:ind w:right="178"/>
              <w:rPr>
                <w:sz w:val="20"/>
              </w:rPr>
            </w:pPr>
            <w:r>
              <w:rPr>
                <w:sz w:val="20"/>
              </w:rPr>
              <w:t>8.97</w:t>
            </w:r>
          </w:p>
        </w:tc>
        <w:tc>
          <w:tcPr>
            <w:tcW w:w="848" w:type="dxa"/>
            <w:tcBorders>
              <w:top w:val="nil"/>
              <w:left w:val="nil"/>
              <w:bottom w:val="nil"/>
              <w:right w:val="nil"/>
            </w:tcBorders>
          </w:tcPr>
          <w:p>
            <w:pPr>
              <w:pStyle w:val="TableParagraph"/>
              <w:ind w:left="281"/>
              <w:jc w:val="left"/>
              <w:rPr>
                <w:sz w:val="20"/>
              </w:rPr>
            </w:pPr>
            <w:r>
              <w:rPr>
                <w:sz w:val="20"/>
              </w:rPr>
              <w:t>8.97</w:t>
            </w:r>
          </w:p>
        </w:tc>
        <w:tc>
          <w:tcPr>
            <w:tcW w:w="819" w:type="dxa"/>
            <w:tcBorders>
              <w:top w:val="nil"/>
              <w:left w:val="nil"/>
              <w:bottom w:val="nil"/>
              <w:right w:val="nil"/>
            </w:tcBorders>
          </w:tcPr>
          <w:p>
            <w:pPr>
              <w:pStyle w:val="TableParagraph"/>
              <w:ind w:left="249"/>
              <w:jc w:val="left"/>
              <w:rPr>
                <w:sz w:val="20"/>
              </w:rPr>
            </w:pPr>
            <w:r>
              <w:rPr>
                <w:sz w:val="20"/>
              </w:rPr>
              <w:t>0.00</w:t>
            </w:r>
          </w:p>
        </w:tc>
        <w:tc>
          <w:tcPr>
            <w:tcW w:w="792" w:type="dxa"/>
            <w:tcBorders>
              <w:top w:val="nil"/>
              <w:left w:val="nil"/>
              <w:bottom w:val="nil"/>
              <w:right w:val="nil"/>
            </w:tcBorders>
          </w:tcPr>
          <w:p>
            <w:pPr>
              <w:pStyle w:val="TableParagraph"/>
              <w:ind w:left="252"/>
              <w:jc w:val="left"/>
              <w:rPr>
                <w:sz w:val="20"/>
              </w:rPr>
            </w:pPr>
            <w:r>
              <w:rPr>
                <w:sz w:val="20"/>
              </w:rPr>
              <w:t>0.00</w:t>
            </w:r>
          </w:p>
        </w:tc>
        <w:tc>
          <w:tcPr>
            <w:tcW w:w="694" w:type="dxa"/>
            <w:tcBorders>
              <w:top w:val="nil"/>
              <w:left w:val="nil"/>
              <w:bottom w:val="nil"/>
              <w:right w:val="nil"/>
            </w:tcBorders>
          </w:tcPr>
          <w:p>
            <w:pPr>
              <w:pStyle w:val="TableParagraph"/>
              <w:ind w:right="60"/>
              <w:rPr>
                <w:sz w:val="20"/>
              </w:rPr>
            </w:pPr>
            <w:r>
              <w:rPr>
                <w:sz w:val="20"/>
              </w:rPr>
              <w:t>0.00</w:t>
            </w:r>
          </w:p>
        </w:tc>
      </w:tr>
      <w:tr>
        <w:trPr>
          <w:trHeight w:val="298" w:hRule="exact"/>
        </w:trPr>
        <w:tc>
          <w:tcPr>
            <w:tcW w:w="1472" w:type="dxa"/>
            <w:tcBorders>
              <w:top w:val="nil"/>
              <w:left w:val="nil"/>
              <w:bottom w:val="nil"/>
              <w:right w:val="nil"/>
            </w:tcBorders>
          </w:tcPr>
          <w:p>
            <w:pPr>
              <w:pStyle w:val="TableParagraph"/>
              <w:ind w:left="86"/>
              <w:jc w:val="left"/>
              <w:rPr>
                <w:sz w:val="20"/>
              </w:rPr>
            </w:pPr>
            <w:r>
              <w:rPr>
                <w:sz w:val="20"/>
              </w:rPr>
              <w:t>TEJ_WmFdp</w:t>
            </w:r>
          </w:p>
        </w:tc>
        <w:tc>
          <w:tcPr>
            <w:tcW w:w="782" w:type="dxa"/>
            <w:tcBorders>
              <w:top w:val="nil"/>
              <w:left w:val="nil"/>
              <w:bottom w:val="nil"/>
              <w:right w:val="nil"/>
            </w:tcBorders>
          </w:tcPr>
          <w:p>
            <w:pPr>
              <w:pStyle w:val="TableParagraph"/>
              <w:ind w:right="178"/>
              <w:rPr>
                <w:sz w:val="20"/>
              </w:rPr>
            </w:pPr>
            <w:r>
              <w:rPr>
                <w:sz w:val="20"/>
              </w:rPr>
              <w:t>25.91</w:t>
            </w:r>
          </w:p>
        </w:tc>
        <w:tc>
          <w:tcPr>
            <w:tcW w:w="816" w:type="dxa"/>
            <w:tcBorders>
              <w:top w:val="nil"/>
              <w:left w:val="nil"/>
              <w:bottom w:val="nil"/>
              <w:right w:val="nil"/>
            </w:tcBorders>
          </w:tcPr>
          <w:p>
            <w:pPr>
              <w:pStyle w:val="TableParagraph"/>
              <w:ind w:left="180"/>
              <w:jc w:val="left"/>
              <w:rPr>
                <w:sz w:val="20"/>
              </w:rPr>
            </w:pPr>
            <w:r>
              <w:rPr>
                <w:sz w:val="20"/>
              </w:rPr>
              <w:t>19.56</w:t>
            </w:r>
          </w:p>
        </w:tc>
        <w:tc>
          <w:tcPr>
            <w:tcW w:w="816" w:type="dxa"/>
            <w:tcBorders>
              <w:top w:val="nil"/>
              <w:left w:val="nil"/>
              <w:bottom w:val="nil"/>
              <w:right w:val="nil"/>
            </w:tcBorders>
          </w:tcPr>
          <w:p>
            <w:pPr>
              <w:pStyle w:val="TableParagraph"/>
              <w:ind w:right="178"/>
              <w:rPr>
                <w:sz w:val="20"/>
              </w:rPr>
            </w:pPr>
            <w:r>
              <w:rPr>
                <w:sz w:val="20"/>
              </w:rPr>
              <w:t>19.56</w:t>
            </w:r>
          </w:p>
        </w:tc>
        <w:tc>
          <w:tcPr>
            <w:tcW w:w="819" w:type="dxa"/>
            <w:tcBorders>
              <w:top w:val="nil"/>
              <w:left w:val="nil"/>
              <w:bottom w:val="nil"/>
              <w:right w:val="nil"/>
            </w:tcBorders>
          </w:tcPr>
          <w:p>
            <w:pPr>
              <w:pStyle w:val="TableParagraph"/>
              <w:ind w:right="180"/>
              <w:rPr>
                <w:sz w:val="20"/>
              </w:rPr>
            </w:pPr>
            <w:r>
              <w:rPr>
                <w:sz w:val="20"/>
              </w:rPr>
              <w:t>0.51</w:t>
            </w:r>
          </w:p>
        </w:tc>
        <w:tc>
          <w:tcPr>
            <w:tcW w:w="819" w:type="dxa"/>
            <w:tcBorders>
              <w:top w:val="nil"/>
              <w:left w:val="nil"/>
              <w:bottom w:val="nil"/>
              <w:right w:val="nil"/>
            </w:tcBorders>
          </w:tcPr>
          <w:p>
            <w:pPr>
              <w:pStyle w:val="TableParagraph"/>
              <w:ind w:right="178"/>
              <w:rPr>
                <w:sz w:val="20"/>
              </w:rPr>
            </w:pPr>
            <w:r>
              <w:rPr>
                <w:sz w:val="20"/>
              </w:rPr>
              <w:t>0.51</w:t>
            </w:r>
          </w:p>
        </w:tc>
        <w:tc>
          <w:tcPr>
            <w:tcW w:w="816" w:type="dxa"/>
            <w:tcBorders>
              <w:top w:val="nil"/>
              <w:left w:val="nil"/>
              <w:bottom w:val="nil"/>
              <w:right w:val="nil"/>
            </w:tcBorders>
          </w:tcPr>
          <w:p>
            <w:pPr>
              <w:pStyle w:val="TableParagraph"/>
              <w:ind w:right="178"/>
              <w:rPr>
                <w:sz w:val="20"/>
              </w:rPr>
            </w:pPr>
            <w:r>
              <w:rPr>
                <w:sz w:val="20"/>
              </w:rPr>
              <w:t>0.51</w:t>
            </w:r>
          </w:p>
        </w:tc>
        <w:tc>
          <w:tcPr>
            <w:tcW w:w="848" w:type="dxa"/>
            <w:tcBorders>
              <w:top w:val="nil"/>
              <w:left w:val="nil"/>
              <w:bottom w:val="nil"/>
              <w:right w:val="nil"/>
            </w:tcBorders>
          </w:tcPr>
          <w:p>
            <w:pPr>
              <w:pStyle w:val="TableParagraph"/>
              <w:ind w:left="281"/>
              <w:jc w:val="left"/>
              <w:rPr>
                <w:sz w:val="20"/>
              </w:rPr>
            </w:pPr>
            <w:r>
              <w:rPr>
                <w:sz w:val="20"/>
              </w:rPr>
              <w:t>0.51</w:t>
            </w:r>
          </w:p>
        </w:tc>
        <w:tc>
          <w:tcPr>
            <w:tcW w:w="819" w:type="dxa"/>
            <w:tcBorders>
              <w:top w:val="nil"/>
              <w:left w:val="nil"/>
              <w:bottom w:val="nil"/>
              <w:right w:val="nil"/>
            </w:tcBorders>
          </w:tcPr>
          <w:p>
            <w:pPr>
              <w:pStyle w:val="TableParagraph"/>
              <w:ind w:left="249"/>
              <w:jc w:val="left"/>
              <w:rPr>
                <w:sz w:val="20"/>
              </w:rPr>
            </w:pPr>
            <w:r>
              <w:rPr>
                <w:sz w:val="20"/>
              </w:rPr>
              <w:t>0.00</w:t>
            </w:r>
          </w:p>
        </w:tc>
        <w:tc>
          <w:tcPr>
            <w:tcW w:w="792" w:type="dxa"/>
            <w:tcBorders>
              <w:top w:val="nil"/>
              <w:left w:val="nil"/>
              <w:bottom w:val="nil"/>
              <w:right w:val="nil"/>
            </w:tcBorders>
          </w:tcPr>
          <w:p>
            <w:pPr>
              <w:pStyle w:val="TableParagraph"/>
              <w:ind w:left="252"/>
              <w:jc w:val="left"/>
              <w:rPr>
                <w:sz w:val="20"/>
              </w:rPr>
            </w:pPr>
            <w:r>
              <w:rPr>
                <w:sz w:val="20"/>
              </w:rPr>
              <w:t>0.00</w:t>
            </w:r>
          </w:p>
        </w:tc>
        <w:tc>
          <w:tcPr>
            <w:tcW w:w="694" w:type="dxa"/>
            <w:tcBorders>
              <w:top w:val="nil"/>
              <w:left w:val="nil"/>
              <w:bottom w:val="nil"/>
              <w:right w:val="nil"/>
            </w:tcBorders>
          </w:tcPr>
          <w:p>
            <w:pPr>
              <w:pStyle w:val="TableParagraph"/>
              <w:ind w:right="60"/>
              <w:rPr>
                <w:sz w:val="20"/>
              </w:rPr>
            </w:pPr>
            <w:r>
              <w:rPr>
                <w:sz w:val="20"/>
              </w:rPr>
              <w:t>0.00</w:t>
            </w:r>
          </w:p>
        </w:tc>
      </w:tr>
      <w:tr>
        <w:trPr>
          <w:trHeight w:val="268" w:hRule="exact"/>
        </w:trPr>
        <w:tc>
          <w:tcPr>
            <w:tcW w:w="1472" w:type="dxa"/>
            <w:tcBorders>
              <w:top w:val="nil"/>
              <w:left w:val="nil"/>
              <w:right w:val="nil"/>
            </w:tcBorders>
          </w:tcPr>
          <w:p>
            <w:pPr>
              <w:pStyle w:val="TableParagraph"/>
              <w:ind w:left="86"/>
              <w:jc w:val="left"/>
              <w:rPr>
                <w:sz w:val="20"/>
              </w:rPr>
            </w:pPr>
            <w:r>
              <w:rPr>
                <w:sz w:val="20"/>
              </w:rPr>
              <w:t>TEJ_WmSF</w:t>
            </w:r>
          </w:p>
        </w:tc>
        <w:tc>
          <w:tcPr>
            <w:tcW w:w="782" w:type="dxa"/>
            <w:tcBorders>
              <w:top w:val="nil"/>
              <w:left w:val="nil"/>
              <w:right w:val="nil"/>
            </w:tcBorders>
          </w:tcPr>
          <w:p>
            <w:pPr>
              <w:pStyle w:val="TableParagraph"/>
              <w:ind w:right="178"/>
              <w:rPr>
                <w:sz w:val="20"/>
              </w:rPr>
            </w:pPr>
            <w:r>
              <w:rPr>
                <w:sz w:val="20"/>
              </w:rPr>
              <w:t>4.32</w:t>
            </w:r>
          </w:p>
        </w:tc>
        <w:tc>
          <w:tcPr>
            <w:tcW w:w="816" w:type="dxa"/>
            <w:tcBorders>
              <w:top w:val="nil"/>
              <w:left w:val="nil"/>
              <w:right w:val="nil"/>
            </w:tcBorders>
          </w:tcPr>
          <w:p>
            <w:pPr>
              <w:pStyle w:val="TableParagraph"/>
              <w:ind w:left="281"/>
              <w:jc w:val="left"/>
              <w:rPr>
                <w:sz w:val="20"/>
              </w:rPr>
            </w:pPr>
            <w:r>
              <w:rPr>
                <w:sz w:val="20"/>
              </w:rPr>
              <w:t>4.32</w:t>
            </w:r>
          </w:p>
        </w:tc>
        <w:tc>
          <w:tcPr>
            <w:tcW w:w="816" w:type="dxa"/>
            <w:tcBorders>
              <w:top w:val="nil"/>
              <w:left w:val="nil"/>
              <w:right w:val="nil"/>
            </w:tcBorders>
          </w:tcPr>
          <w:p>
            <w:pPr>
              <w:pStyle w:val="TableParagraph"/>
              <w:ind w:right="178"/>
              <w:rPr>
                <w:sz w:val="20"/>
              </w:rPr>
            </w:pPr>
            <w:r>
              <w:rPr>
                <w:sz w:val="20"/>
              </w:rPr>
              <w:t>3.87</w:t>
            </w:r>
          </w:p>
        </w:tc>
        <w:tc>
          <w:tcPr>
            <w:tcW w:w="819" w:type="dxa"/>
            <w:tcBorders>
              <w:top w:val="nil"/>
              <w:left w:val="nil"/>
              <w:right w:val="nil"/>
            </w:tcBorders>
          </w:tcPr>
          <w:p>
            <w:pPr>
              <w:pStyle w:val="TableParagraph"/>
              <w:ind w:right="180"/>
              <w:rPr>
                <w:sz w:val="20"/>
              </w:rPr>
            </w:pPr>
            <w:r>
              <w:rPr>
                <w:sz w:val="20"/>
              </w:rPr>
              <w:t>3.87</w:t>
            </w:r>
          </w:p>
        </w:tc>
        <w:tc>
          <w:tcPr>
            <w:tcW w:w="819" w:type="dxa"/>
            <w:tcBorders>
              <w:top w:val="nil"/>
              <w:left w:val="nil"/>
              <w:right w:val="nil"/>
            </w:tcBorders>
          </w:tcPr>
          <w:p>
            <w:pPr>
              <w:pStyle w:val="TableParagraph"/>
              <w:ind w:right="178"/>
              <w:rPr>
                <w:sz w:val="20"/>
              </w:rPr>
            </w:pPr>
            <w:r>
              <w:rPr>
                <w:sz w:val="20"/>
              </w:rPr>
              <w:t>2.29</w:t>
            </w:r>
          </w:p>
        </w:tc>
        <w:tc>
          <w:tcPr>
            <w:tcW w:w="816" w:type="dxa"/>
            <w:tcBorders>
              <w:top w:val="nil"/>
              <w:left w:val="nil"/>
              <w:right w:val="nil"/>
            </w:tcBorders>
          </w:tcPr>
          <w:p>
            <w:pPr>
              <w:pStyle w:val="TableParagraph"/>
              <w:ind w:right="178"/>
              <w:rPr>
                <w:sz w:val="20"/>
              </w:rPr>
            </w:pPr>
            <w:r>
              <w:rPr>
                <w:sz w:val="20"/>
              </w:rPr>
              <w:t>2.29</w:t>
            </w:r>
          </w:p>
        </w:tc>
        <w:tc>
          <w:tcPr>
            <w:tcW w:w="848" w:type="dxa"/>
            <w:tcBorders>
              <w:top w:val="nil"/>
              <w:left w:val="nil"/>
              <w:right w:val="nil"/>
            </w:tcBorders>
          </w:tcPr>
          <w:p>
            <w:pPr>
              <w:pStyle w:val="TableParagraph"/>
              <w:ind w:left="281"/>
              <w:jc w:val="left"/>
              <w:rPr>
                <w:sz w:val="20"/>
              </w:rPr>
            </w:pPr>
            <w:r>
              <w:rPr>
                <w:sz w:val="20"/>
              </w:rPr>
              <w:t>2.29</w:t>
            </w:r>
          </w:p>
        </w:tc>
        <w:tc>
          <w:tcPr>
            <w:tcW w:w="819" w:type="dxa"/>
            <w:tcBorders>
              <w:top w:val="nil"/>
              <w:left w:val="nil"/>
              <w:right w:val="nil"/>
            </w:tcBorders>
          </w:tcPr>
          <w:p>
            <w:pPr>
              <w:pStyle w:val="TableParagraph"/>
              <w:ind w:left="249"/>
              <w:jc w:val="left"/>
              <w:rPr>
                <w:sz w:val="20"/>
              </w:rPr>
            </w:pPr>
            <w:r>
              <w:rPr>
                <w:sz w:val="20"/>
              </w:rPr>
              <w:t>0.00</w:t>
            </w:r>
          </w:p>
        </w:tc>
        <w:tc>
          <w:tcPr>
            <w:tcW w:w="792" w:type="dxa"/>
            <w:tcBorders>
              <w:top w:val="nil"/>
              <w:left w:val="nil"/>
              <w:right w:val="nil"/>
            </w:tcBorders>
          </w:tcPr>
          <w:p>
            <w:pPr>
              <w:pStyle w:val="TableParagraph"/>
              <w:ind w:left="252"/>
              <w:jc w:val="left"/>
              <w:rPr>
                <w:sz w:val="20"/>
              </w:rPr>
            </w:pPr>
            <w:r>
              <w:rPr>
                <w:sz w:val="20"/>
              </w:rPr>
              <w:t>0.00</w:t>
            </w:r>
          </w:p>
        </w:tc>
        <w:tc>
          <w:tcPr>
            <w:tcW w:w="694" w:type="dxa"/>
            <w:tcBorders>
              <w:top w:val="nil"/>
              <w:left w:val="nil"/>
              <w:right w:val="nil"/>
            </w:tcBorders>
          </w:tcPr>
          <w:p>
            <w:pPr>
              <w:pStyle w:val="TableParagraph"/>
              <w:ind w:right="60"/>
              <w:rPr>
                <w:sz w:val="20"/>
              </w:rPr>
            </w:pPr>
            <w:r>
              <w:rPr>
                <w:sz w:val="20"/>
              </w:rPr>
              <w:t>0.00</w:t>
            </w:r>
          </w:p>
        </w:tc>
      </w:tr>
    </w:tbl>
    <w:p>
      <w:pPr>
        <w:pStyle w:val="BodyText"/>
        <w:rPr>
          <w:b/>
          <w:sz w:val="20"/>
        </w:rPr>
      </w:pPr>
    </w:p>
    <w:p>
      <w:pPr>
        <w:pStyle w:val="BodyText"/>
        <w:rPr>
          <w:b/>
          <w:sz w:val="20"/>
        </w:rPr>
      </w:pPr>
    </w:p>
    <w:p>
      <w:pPr>
        <w:pStyle w:val="BodyText"/>
        <w:rPr>
          <w:b/>
          <w:sz w:val="20"/>
        </w:rPr>
      </w:pPr>
    </w:p>
    <w:p>
      <w:pPr>
        <w:spacing w:before="200"/>
        <w:ind w:left="472" w:right="189" w:firstLine="0"/>
        <w:jc w:val="center"/>
        <w:rPr>
          <w:b/>
          <w:sz w:val="26"/>
        </w:rPr>
      </w:pPr>
      <w:bookmarkStart w:name="_bookmark164" w:id="223"/>
      <w:bookmarkEnd w:id="223"/>
      <w:r>
        <w:rPr/>
      </w:r>
      <w:r>
        <w:rPr>
          <w:b/>
          <w:sz w:val="26"/>
        </w:rPr>
        <w:t>Tabla 27. pH del suelo</w:t>
      </w:r>
    </w:p>
    <w:p>
      <w:pPr>
        <w:pStyle w:val="BodyText"/>
        <w:rPr>
          <w:b/>
          <w:sz w:val="20"/>
        </w:rPr>
      </w:pPr>
    </w:p>
    <w:p>
      <w:pPr>
        <w:pStyle w:val="BodyText"/>
        <w:spacing w:before="10" w:after="1"/>
        <w:rPr>
          <w:b/>
          <w:sz w:val="23"/>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41"/>
        <w:gridCol w:w="681"/>
        <w:gridCol w:w="823"/>
        <w:gridCol w:w="826"/>
        <w:gridCol w:w="826"/>
        <w:gridCol w:w="826"/>
        <w:gridCol w:w="826"/>
        <w:gridCol w:w="826"/>
        <w:gridCol w:w="826"/>
        <w:gridCol w:w="821"/>
        <w:gridCol w:w="771"/>
      </w:tblGrid>
      <w:tr>
        <w:trPr>
          <w:trHeight w:val="390" w:hRule="exact"/>
        </w:trPr>
        <w:tc>
          <w:tcPr>
            <w:tcW w:w="1441" w:type="dxa"/>
            <w:tcBorders>
              <w:left w:val="nil"/>
              <w:bottom w:val="nil"/>
              <w:right w:val="nil"/>
            </w:tcBorders>
          </w:tcPr>
          <w:p>
            <w:pPr>
              <w:pStyle w:val="TableParagraph"/>
              <w:spacing w:before="173"/>
              <w:ind w:left="148"/>
              <w:jc w:val="left"/>
              <w:rPr>
                <w:sz w:val="20"/>
              </w:rPr>
            </w:pPr>
            <w:r>
              <w:rPr>
                <w:sz w:val="20"/>
              </w:rPr>
              <w:t>Nombre/Clave</w:t>
            </w:r>
          </w:p>
        </w:tc>
        <w:tc>
          <w:tcPr>
            <w:tcW w:w="681" w:type="dxa"/>
            <w:tcBorders>
              <w:left w:val="nil"/>
              <w:bottom w:val="nil"/>
              <w:right w:val="nil"/>
            </w:tcBorders>
          </w:tcPr>
          <w:p>
            <w:pPr/>
          </w:p>
        </w:tc>
        <w:tc>
          <w:tcPr>
            <w:tcW w:w="823" w:type="dxa"/>
            <w:tcBorders>
              <w:left w:val="nil"/>
              <w:bottom w:val="nil"/>
              <w:right w:val="nil"/>
            </w:tcBorders>
          </w:tcPr>
          <w:p>
            <w:pPr/>
          </w:p>
        </w:tc>
        <w:tc>
          <w:tcPr>
            <w:tcW w:w="826" w:type="dxa"/>
            <w:tcBorders>
              <w:left w:val="nil"/>
              <w:bottom w:val="nil"/>
              <w:right w:val="nil"/>
            </w:tcBorders>
          </w:tcPr>
          <w:p>
            <w:pPr/>
          </w:p>
        </w:tc>
        <w:tc>
          <w:tcPr>
            <w:tcW w:w="826" w:type="dxa"/>
            <w:tcBorders>
              <w:left w:val="nil"/>
              <w:bottom w:val="nil"/>
              <w:right w:val="nil"/>
            </w:tcBorders>
          </w:tcPr>
          <w:p>
            <w:pPr/>
          </w:p>
        </w:tc>
        <w:tc>
          <w:tcPr>
            <w:tcW w:w="2478" w:type="dxa"/>
            <w:gridSpan w:val="3"/>
            <w:tcBorders>
              <w:left w:val="nil"/>
              <w:bottom w:val="nil"/>
              <w:right w:val="nil"/>
            </w:tcBorders>
          </w:tcPr>
          <w:p>
            <w:pPr>
              <w:pStyle w:val="TableParagraph"/>
              <w:spacing w:before="58"/>
              <w:ind w:left="16"/>
              <w:jc w:val="left"/>
              <w:rPr>
                <w:sz w:val="20"/>
              </w:rPr>
            </w:pPr>
            <w:r>
              <w:rPr>
                <w:sz w:val="20"/>
              </w:rPr>
              <w:t>N° de capas del suelo</w:t>
            </w:r>
          </w:p>
        </w:tc>
        <w:tc>
          <w:tcPr>
            <w:tcW w:w="826" w:type="dxa"/>
            <w:tcBorders>
              <w:left w:val="nil"/>
              <w:bottom w:val="nil"/>
              <w:right w:val="nil"/>
            </w:tcBorders>
          </w:tcPr>
          <w:p>
            <w:pPr/>
          </w:p>
        </w:tc>
        <w:tc>
          <w:tcPr>
            <w:tcW w:w="821" w:type="dxa"/>
            <w:tcBorders>
              <w:left w:val="nil"/>
              <w:bottom w:val="nil"/>
              <w:right w:val="nil"/>
            </w:tcBorders>
          </w:tcPr>
          <w:p>
            <w:pPr/>
          </w:p>
        </w:tc>
        <w:tc>
          <w:tcPr>
            <w:tcW w:w="771" w:type="dxa"/>
            <w:tcBorders>
              <w:left w:val="nil"/>
              <w:bottom w:val="nil"/>
              <w:right w:val="nil"/>
            </w:tcBorders>
          </w:tcPr>
          <w:p>
            <w:pPr/>
          </w:p>
        </w:tc>
      </w:tr>
      <w:tr>
        <w:trPr>
          <w:trHeight w:val="215" w:hRule="exact"/>
        </w:trPr>
        <w:tc>
          <w:tcPr>
            <w:tcW w:w="1441" w:type="dxa"/>
            <w:tcBorders>
              <w:top w:val="nil"/>
              <w:left w:val="nil"/>
              <w:right w:val="nil"/>
            </w:tcBorders>
          </w:tcPr>
          <w:p>
            <w:pPr/>
          </w:p>
        </w:tc>
        <w:tc>
          <w:tcPr>
            <w:tcW w:w="681" w:type="dxa"/>
            <w:tcBorders>
              <w:top w:val="nil"/>
              <w:left w:val="nil"/>
              <w:right w:val="nil"/>
            </w:tcBorders>
          </w:tcPr>
          <w:p>
            <w:pPr>
              <w:pStyle w:val="TableParagraph"/>
              <w:spacing w:line="201" w:lineRule="exact" w:before="0"/>
              <w:ind w:right="128"/>
              <w:jc w:val="center"/>
              <w:rPr>
                <w:sz w:val="20"/>
              </w:rPr>
            </w:pPr>
            <w:r>
              <w:rPr>
                <w:w w:val="100"/>
                <w:sz w:val="20"/>
              </w:rPr>
              <w:t>1</w:t>
            </w:r>
          </w:p>
        </w:tc>
        <w:tc>
          <w:tcPr>
            <w:tcW w:w="823" w:type="dxa"/>
            <w:tcBorders>
              <w:top w:val="nil"/>
              <w:left w:val="nil"/>
              <w:right w:val="nil"/>
            </w:tcBorders>
          </w:tcPr>
          <w:p>
            <w:pPr>
              <w:pStyle w:val="TableParagraph"/>
              <w:spacing w:line="201" w:lineRule="exact" w:before="0"/>
              <w:ind w:left="211"/>
              <w:jc w:val="left"/>
              <w:rPr>
                <w:sz w:val="20"/>
              </w:rPr>
            </w:pPr>
            <w:r>
              <w:rPr>
                <w:w w:val="100"/>
                <w:sz w:val="20"/>
              </w:rPr>
              <w:t>2</w:t>
            </w:r>
          </w:p>
        </w:tc>
        <w:tc>
          <w:tcPr>
            <w:tcW w:w="826" w:type="dxa"/>
            <w:tcBorders>
              <w:top w:val="nil"/>
              <w:left w:val="nil"/>
              <w:right w:val="nil"/>
            </w:tcBorders>
          </w:tcPr>
          <w:p>
            <w:pPr>
              <w:pStyle w:val="TableParagraph"/>
              <w:spacing w:line="201" w:lineRule="exact" w:before="0"/>
              <w:ind w:left="213"/>
              <w:jc w:val="left"/>
              <w:rPr>
                <w:sz w:val="20"/>
              </w:rPr>
            </w:pPr>
            <w:r>
              <w:rPr>
                <w:w w:val="100"/>
                <w:sz w:val="20"/>
              </w:rPr>
              <w:t>3</w:t>
            </w:r>
          </w:p>
        </w:tc>
        <w:tc>
          <w:tcPr>
            <w:tcW w:w="826" w:type="dxa"/>
            <w:tcBorders>
              <w:top w:val="nil"/>
              <w:left w:val="nil"/>
              <w:right w:val="nil"/>
            </w:tcBorders>
          </w:tcPr>
          <w:p>
            <w:pPr>
              <w:pStyle w:val="TableParagraph"/>
              <w:spacing w:line="201" w:lineRule="exact" w:before="0"/>
              <w:ind w:left="213"/>
              <w:jc w:val="left"/>
              <w:rPr>
                <w:sz w:val="20"/>
              </w:rPr>
            </w:pPr>
            <w:r>
              <w:rPr>
                <w:w w:val="100"/>
                <w:sz w:val="20"/>
              </w:rPr>
              <w:t>4</w:t>
            </w:r>
          </w:p>
        </w:tc>
        <w:tc>
          <w:tcPr>
            <w:tcW w:w="826" w:type="dxa"/>
            <w:tcBorders>
              <w:top w:val="nil"/>
              <w:left w:val="nil"/>
              <w:right w:val="nil"/>
            </w:tcBorders>
          </w:tcPr>
          <w:p>
            <w:pPr>
              <w:pStyle w:val="TableParagraph"/>
              <w:spacing w:line="201" w:lineRule="exact" w:before="0"/>
              <w:ind w:left="213"/>
              <w:jc w:val="left"/>
              <w:rPr>
                <w:sz w:val="20"/>
              </w:rPr>
            </w:pPr>
            <w:r>
              <w:rPr>
                <w:w w:val="100"/>
                <w:sz w:val="20"/>
              </w:rPr>
              <w:t>5</w:t>
            </w:r>
          </w:p>
        </w:tc>
        <w:tc>
          <w:tcPr>
            <w:tcW w:w="826" w:type="dxa"/>
            <w:tcBorders>
              <w:top w:val="nil"/>
              <w:left w:val="nil"/>
              <w:right w:val="nil"/>
            </w:tcBorders>
          </w:tcPr>
          <w:p>
            <w:pPr>
              <w:pStyle w:val="TableParagraph"/>
              <w:spacing w:line="201" w:lineRule="exact" w:before="0"/>
              <w:ind w:left="213"/>
              <w:jc w:val="left"/>
              <w:rPr>
                <w:sz w:val="20"/>
              </w:rPr>
            </w:pPr>
            <w:r>
              <w:rPr>
                <w:w w:val="100"/>
                <w:sz w:val="20"/>
              </w:rPr>
              <w:t>6</w:t>
            </w:r>
          </w:p>
        </w:tc>
        <w:tc>
          <w:tcPr>
            <w:tcW w:w="826" w:type="dxa"/>
            <w:tcBorders>
              <w:top w:val="nil"/>
              <w:left w:val="nil"/>
              <w:right w:val="nil"/>
            </w:tcBorders>
          </w:tcPr>
          <w:p>
            <w:pPr>
              <w:pStyle w:val="TableParagraph"/>
              <w:spacing w:line="201" w:lineRule="exact" w:before="0"/>
              <w:ind w:left="213"/>
              <w:jc w:val="left"/>
              <w:rPr>
                <w:sz w:val="20"/>
              </w:rPr>
            </w:pPr>
            <w:r>
              <w:rPr>
                <w:w w:val="100"/>
                <w:sz w:val="20"/>
              </w:rPr>
              <w:t>7</w:t>
            </w:r>
          </w:p>
        </w:tc>
        <w:tc>
          <w:tcPr>
            <w:tcW w:w="826" w:type="dxa"/>
            <w:tcBorders>
              <w:top w:val="nil"/>
              <w:left w:val="nil"/>
              <w:right w:val="nil"/>
            </w:tcBorders>
          </w:tcPr>
          <w:p>
            <w:pPr>
              <w:pStyle w:val="TableParagraph"/>
              <w:spacing w:line="201" w:lineRule="exact" w:before="0"/>
              <w:ind w:left="213"/>
              <w:jc w:val="left"/>
              <w:rPr>
                <w:sz w:val="20"/>
              </w:rPr>
            </w:pPr>
            <w:r>
              <w:rPr>
                <w:w w:val="100"/>
                <w:sz w:val="20"/>
              </w:rPr>
              <w:t>8</w:t>
            </w:r>
          </w:p>
        </w:tc>
        <w:tc>
          <w:tcPr>
            <w:tcW w:w="821" w:type="dxa"/>
            <w:tcBorders>
              <w:top w:val="nil"/>
              <w:left w:val="nil"/>
              <w:right w:val="nil"/>
            </w:tcBorders>
          </w:tcPr>
          <w:p>
            <w:pPr>
              <w:pStyle w:val="TableParagraph"/>
              <w:spacing w:line="201" w:lineRule="exact" w:before="0"/>
              <w:ind w:left="213"/>
              <w:jc w:val="left"/>
              <w:rPr>
                <w:sz w:val="20"/>
              </w:rPr>
            </w:pPr>
            <w:r>
              <w:rPr>
                <w:w w:val="100"/>
                <w:sz w:val="20"/>
              </w:rPr>
              <w:t>9</w:t>
            </w:r>
          </w:p>
        </w:tc>
        <w:tc>
          <w:tcPr>
            <w:tcW w:w="771" w:type="dxa"/>
            <w:tcBorders>
              <w:top w:val="nil"/>
              <w:left w:val="nil"/>
              <w:right w:val="nil"/>
            </w:tcBorders>
          </w:tcPr>
          <w:p>
            <w:pPr>
              <w:pStyle w:val="TableParagraph"/>
              <w:spacing w:line="201" w:lineRule="exact" w:before="0"/>
              <w:ind w:left="209"/>
              <w:jc w:val="left"/>
              <w:rPr>
                <w:sz w:val="20"/>
              </w:rPr>
            </w:pPr>
            <w:r>
              <w:rPr>
                <w:sz w:val="20"/>
              </w:rPr>
              <w:t>10</w:t>
            </w:r>
          </w:p>
        </w:tc>
      </w:tr>
      <w:tr>
        <w:trPr>
          <w:trHeight w:val="337" w:hRule="exact"/>
        </w:trPr>
        <w:tc>
          <w:tcPr>
            <w:tcW w:w="1441" w:type="dxa"/>
            <w:tcBorders>
              <w:left w:val="nil"/>
              <w:bottom w:val="nil"/>
              <w:right w:val="nil"/>
            </w:tcBorders>
          </w:tcPr>
          <w:p>
            <w:pPr>
              <w:pStyle w:val="TableParagraph"/>
              <w:spacing w:before="58"/>
              <w:ind w:left="86"/>
              <w:jc w:val="left"/>
              <w:rPr>
                <w:sz w:val="20"/>
              </w:rPr>
            </w:pPr>
            <w:r>
              <w:rPr>
                <w:sz w:val="20"/>
              </w:rPr>
              <w:t>TEJ_HhFd</w:t>
            </w:r>
          </w:p>
        </w:tc>
        <w:tc>
          <w:tcPr>
            <w:tcW w:w="681" w:type="dxa"/>
            <w:tcBorders>
              <w:left w:val="nil"/>
              <w:bottom w:val="nil"/>
              <w:right w:val="nil"/>
            </w:tcBorders>
          </w:tcPr>
          <w:p>
            <w:pPr>
              <w:pStyle w:val="TableParagraph"/>
              <w:spacing w:before="58"/>
              <w:ind w:left="97" w:right="193"/>
              <w:jc w:val="center"/>
              <w:rPr>
                <w:sz w:val="20"/>
              </w:rPr>
            </w:pPr>
            <w:r>
              <w:rPr>
                <w:sz w:val="20"/>
              </w:rPr>
              <w:t>0.00</w:t>
            </w:r>
          </w:p>
        </w:tc>
        <w:tc>
          <w:tcPr>
            <w:tcW w:w="823" w:type="dxa"/>
            <w:tcBorders>
              <w:left w:val="nil"/>
              <w:bottom w:val="nil"/>
              <w:right w:val="nil"/>
            </w:tcBorders>
          </w:tcPr>
          <w:p>
            <w:pPr>
              <w:pStyle w:val="TableParagraph"/>
              <w:spacing w:before="58"/>
              <w:ind w:left="254"/>
              <w:jc w:val="left"/>
              <w:rPr>
                <w:sz w:val="20"/>
              </w:rPr>
            </w:pPr>
            <w:r>
              <w:rPr>
                <w:sz w:val="20"/>
              </w:rPr>
              <w:t>0.00</w:t>
            </w:r>
          </w:p>
        </w:tc>
        <w:tc>
          <w:tcPr>
            <w:tcW w:w="826" w:type="dxa"/>
            <w:tcBorders>
              <w:left w:val="nil"/>
              <w:bottom w:val="nil"/>
              <w:right w:val="nil"/>
            </w:tcBorders>
          </w:tcPr>
          <w:p>
            <w:pPr>
              <w:pStyle w:val="TableParagraph"/>
              <w:spacing w:before="58"/>
              <w:ind w:left="256"/>
              <w:jc w:val="left"/>
              <w:rPr>
                <w:sz w:val="20"/>
              </w:rPr>
            </w:pPr>
            <w:r>
              <w:rPr>
                <w:sz w:val="20"/>
              </w:rPr>
              <w:t>0.00</w:t>
            </w:r>
          </w:p>
        </w:tc>
        <w:tc>
          <w:tcPr>
            <w:tcW w:w="826" w:type="dxa"/>
            <w:tcBorders>
              <w:left w:val="nil"/>
              <w:bottom w:val="nil"/>
              <w:right w:val="nil"/>
            </w:tcBorders>
          </w:tcPr>
          <w:p>
            <w:pPr>
              <w:pStyle w:val="TableParagraph"/>
              <w:spacing w:before="58"/>
              <w:ind w:right="211"/>
              <w:rPr>
                <w:sz w:val="20"/>
              </w:rPr>
            </w:pPr>
            <w:r>
              <w:rPr>
                <w:sz w:val="20"/>
              </w:rPr>
              <w:t>0.00</w:t>
            </w:r>
          </w:p>
        </w:tc>
        <w:tc>
          <w:tcPr>
            <w:tcW w:w="826" w:type="dxa"/>
            <w:tcBorders>
              <w:left w:val="nil"/>
              <w:bottom w:val="nil"/>
              <w:right w:val="nil"/>
            </w:tcBorders>
          </w:tcPr>
          <w:p>
            <w:pPr>
              <w:pStyle w:val="TableParagraph"/>
              <w:spacing w:before="58"/>
              <w:ind w:left="257"/>
              <w:jc w:val="left"/>
              <w:rPr>
                <w:sz w:val="20"/>
              </w:rPr>
            </w:pPr>
            <w:r>
              <w:rPr>
                <w:sz w:val="20"/>
              </w:rPr>
              <w:t>0.00</w:t>
            </w:r>
          </w:p>
        </w:tc>
        <w:tc>
          <w:tcPr>
            <w:tcW w:w="826" w:type="dxa"/>
            <w:tcBorders>
              <w:left w:val="nil"/>
              <w:bottom w:val="nil"/>
              <w:right w:val="nil"/>
            </w:tcBorders>
          </w:tcPr>
          <w:p>
            <w:pPr>
              <w:pStyle w:val="TableParagraph"/>
              <w:spacing w:before="58"/>
              <w:ind w:left="256"/>
              <w:jc w:val="left"/>
              <w:rPr>
                <w:sz w:val="20"/>
              </w:rPr>
            </w:pPr>
            <w:r>
              <w:rPr>
                <w:sz w:val="20"/>
              </w:rPr>
              <w:t>0.00</w:t>
            </w:r>
          </w:p>
        </w:tc>
        <w:tc>
          <w:tcPr>
            <w:tcW w:w="826" w:type="dxa"/>
            <w:tcBorders>
              <w:left w:val="nil"/>
              <w:bottom w:val="nil"/>
              <w:right w:val="nil"/>
            </w:tcBorders>
          </w:tcPr>
          <w:p>
            <w:pPr>
              <w:pStyle w:val="TableParagraph"/>
              <w:spacing w:before="58"/>
              <w:ind w:left="257"/>
              <w:jc w:val="left"/>
              <w:rPr>
                <w:sz w:val="20"/>
              </w:rPr>
            </w:pPr>
            <w:r>
              <w:rPr>
                <w:sz w:val="20"/>
              </w:rPr>
              <w:t>0.00</w:t>
            </w:r>
          </w:p>
        </w:tc>
        <w:tc>
          <w:tcPr>
            <w:tcW w:w="826" w:type="dxa"/>
            <w:tcBorders>
              <w:left w:val="nil"/>
              <w:bottom w:val="nil"/>
              <w:right w:val="nil"/>
            </w:tcBorders>
          </w:tcPr>
          <w:p>
            <w:pPr>
              <w:pStyle w:val="TableParagraph"/>
              <w:spacing w:before="58"/>
              <w:ind w:left="257"/>
              <w:jc w:val="left"/>
              <w:rPr>
                <w:sz w:val="20"/>
              </w:rPr>
            </w:pPr>
            <w:r>
              <w:rPr>
                <w:sz w:val="20"/>
              </w:rPr>
              <w:t>0.00</w:t>
            </w:r>
          </w:p>
        </w:tc>
        <w:tc>
          <w:tcPr>
            <w:tcW w:w="821" w:type="dxa"/>
            <w:tcBorders>
              <w:left w:val="nil"/>
              <w:bottom w:val="nil"/>
              <w:right w:val="nil"/>
            </w:tcBorders>
          </w:tcPr>
          <w:p>
            <w:pPr>
              <w:pStyle w:val="TableParagraph"/>
              <w:spacing w:before="58"/>
              <w:ind w:left="256" w:right="84"/>
              <w:jc w:val="left"/>
              <w:rPr>
                <w:sz w:val="20"/>
              </w:rPr>
            </w:pPr>
            <w:r>
              <w:rPr>
                <w:sz w:val="20"/>
              </w:rPr>
              <w:t>0.00</w:t>
            </w:r>
          </w:p>
        </w:tc>
        <w:tc>
          <w:tcPr>
            <w:tcW w:w="771" w:type="dxa"/>
            <w:tcBorders>
              <w:left w:val="nil"/>
              <w:bottom w:val="nil"/>
              <w:right w:val="nil"/>
            </w:tcBorders>
          </w:tcPr>
          <w:p>
            <w:pPr>
              <w:pStyle w:val="TableParagraph"/>
              <w:spacing w:before="58"/>
              <w:ind w:right="65"/>
              <w:rPr>
                <w:sz w:val="20"/>
              </w:rPr>
            </w:pPr>
            <w:r>
              <w:rPr>
                <w:sz w:val="20"/>
              </w:rPr>
              <w:t>0.00</w:t>
            </w:r>
          </w:p>
        </w:tc>
      </w:tr>
      <w:tr>
        <w:trPr>
          <w:trHeight w:val="298" w:hRule="exact"/>
        </w:trPr>
        <w:tc>
          <w:tcPr>
            <w:tcW w:w="1441" w:type="dxa"/>
            <w:tcBorders>
              <w:top w:val="nil"/>
              <w:left w:val="nil"/>
              <w:bottom w:val="nil"/>
              <w:right w:val="nil"/>
            </w:tcBorders>
          </w:tcPr>
          <w:p>
            <w:pPr>
              <w:pStyle w:val="TableParagraph"/>
              <w:ind w:left="86"/>
              <w:jc w:val="left"/>
              <w:rPr>
                <w:sz w:val="20"/>
              </w:rPr>
            </w:pPr>
            <w:r>
              <w:rPr>
                <w:sz w:val="20"/>
              </w:rPr>
              <w:t>TEJ_HhFdp</w:t>
            </w:r>
          </w:p>
        </w:tc>
        <w:tc>
          <w:tcPr>
            <w:tcW w:w="681" w:type="dxa"/>
            <w:tcBorders>
              <w:top w:val="nil"/>
              <w:left w:val="nil"/>
              <w:bottom w:val="nil"/>
              <w:right w:val="nil"/>
            </w:tcBorders>
          </w:tcPr>
          <w:p>
            <w:pPr>
              <w:pStyle w:val="TableParagraph"/>
              <w:ind w:left="97" w:right="193"/>
              <w:jc w:val="center"/>
              <w:rPr>
                <w:sz w:val="20"/>
              </w:rPr>
            </w:pPr>
            <w:r>
              <w:rPr>
                <w:sz w:val="20"/>
              </w:rPr>
              <w:t>0.00</w:t>
            </w:r>
          </w:p>
        </w:tc>
        <w:tc>
          <w:tcPr>
            <w:tcW w:w="823" w:type="dxa"/>
            <w:tcBorders>
              <w:top w:val="nil"/>
              <w:left w:val="nil"/>
              <w:bottom w:val="nil"/>
              <w:right w:val="nil"/>
            </w:tcBorders>
          </w:tcPr>
          <w:p>
            <w:pPr>
              <w:pStyle w:val="TableParagraph"/>
              <w:ind w:left="254"/>
              <w:jc w:val="left"/>
              <w:rPr>
                <w:sz w:val="20"/>
              </w:rPr>
            </w:pPr>
            <w:r>
              <w:rPr>
                <w:sz w:val="20"/>
              </w:rPr>
              <w:t>0.00</w:t>
            </w:r>
          </w:p>
        </w:tc>
        <w:tc>
          <w:tcPr>
            <w:tcW w:w="826" w:type="dxa"/>
            <w:tcBorders>
              <w:top w:val="nil"/>
              <w:left w:val="nil"/>
              <w:bottom w:val="nil"/>
              <w:right w:val="nil"/>
            </w:tcBorders>
          </w:tcPr>
          <w:p>
            <w:pPr>
              <w:pStyle w:val="TableParagraph"/>
              <w:ind w:left="256"/>
              <w:jc w:val="left"/>
              <w:rPr>
                <w:sz w:val="20"/>
              </w:rPr>
            </w:pPr>
            <w:r>
              <w:rPr>
                <w:sz w:val="20"/>
              </w:rPr>
              <w:t>0.00</w:t>
            </w:r>
          </w:p>
        </w:tc>
        <w:tc>
          <w:tcPr>
            <w:tcW w:w="826" w:type="dxa"/>
            <w:tcBorders>
              <w:top w:val="nil"/>
              <w:left w:val="nil"/>
              <w:bottom w:val="nil"/>
              <w:right w:val="nil"/>
            </w:tcBorders>
          </w:tcPr>
          <w:p>
            <w:pPr>
              <w:pStyle w:val="TableParagraph"/>
              <w:ind w:right="211"/>
              <w:rPr>
                <w:sz w:val="20"/>
              </w:rPr>
            </w:pPr>
            <w:r>
              <w:rPr>
                <w:sz w:val="20"/>
              </w:rPr>
              <w:t>0.00</w:t>
            </w:r>
          </w:p>
        </w:tc>
        <w:tc>
          <w:tcPr>
            <w:tcW w:w="826" w:type="dxa"/>
            <w:tcBorders>
              <w:top w:val="nil"/>
              <w:left w:val="nil"/>
              <w:bottom w:val="nil"/>
              <w:right w:val="nil"/>
            </w:tcBorders>
          </w:tcPr>
          <w:p>
            <w:pPr>
              <w:pStyle w:val="TableParagraph"/>
              <w:ind w:left="257"/>
              <w:jc w:val="left"/>
              <w:rPr>
                <w:sz w:val="20"/>
              </w:rPr>
            </w:pPr>
            <w:r>
              <w:rPr>
                <w:sz w:val="20"/>
              </w:rPr>
              <w:t>0.00</w:t>
            </w:r>
          </w:p>
        </w:tc>
        <w:tc>
          <w:tcPr>
            <w:tcW w:w="826" w:type="dxa"/>
            <w:tcBorders>
              <w:top w:val="nil"/>
              <w:left w:val="nil"/>
              <w:bottom w:val="nil"/>
              <w:right w:val="nil"/>
            </w:tcBorders>
          </w:tcPr>
          <w:p>
            <w:pPr>
              <w:pStyle w:val="TableParagraph"/>
              <w:ind w:left="256"/>
              <w:jc w:val="left"/>
              <w:rPr>
                <w:sz w:val="20"/>
              </w:rPr>
            </w:pPr>
            <w:r>
              <w:rPr>
                <w:sz w:val="20"/>
              </w:rPr>
              <w:t>0.00</w:t>
            </w:r>
          </w:p>
        </w:tc>
        <w:tc>
          <w:tcPr>
            <w:tcW w:w="826" w:type="dxa"/>
            <w:tcBorders>
              <w:top w:val="nil"/>
              <w:left w:val="nil"/>
              <w:bottom w:val="nil"/>
              <w:right w:val="nil"/>
            </w:tcBorders>
          </w:tcPr>
          <w:p>
            <w:pPr>
              <w:pStyle w:val="TableParagraph"/>
              <w:ind w:left="257"/>
              <w:jc w:val="left"/>
              <w:rPr>
                <w:sz w:val="20"/>
              </w:rPr>
            </w:pPr>
            <w:r>
              <w:rPr>
                <w:sz w:val="20"/>
              </w:rPr>
              <w:t>0.00</w:t>
            </w:r>
          </w:p>
        </w:tc>
        <w:tc>
          <w:tcPr>
            <w:tcW w:w="826" w:type="dxa"/>
            <w:tcBorders>
              <w:top w:val="nil"/>
              <w:left w:val="nil"/>
              <w:bottom w:val="nil"/>
              <w:right w:val="nil"/>
            </w:tcBorders>
          </w:tcPr>
          <w:p>
            <w:pPr>
              <w:pStyle w:val="TableParagraph"/>
              <w:ind w:left="257"/>
              <w:jc w:val="left"/>
              <w:rPr>
                <w:sz w:val="20"/>
              </w:rPr>
            </w:pPr>
            <w:r>
              <w:rPr>
                <w:sz w:val="20"/>
              </w:rPr>
              <w:t>0.00</w:t>
            </w:r>
          </w:p>
        </w:tc>
        <w:tc>
          <w:tcPr>
            <w:tcW w:w="821" w:type="dxa"/>
            <w:tcBorders>
              <w:top w:val="nil"/>
              <w:left w:val="nil"/>
              <w:bottom w:val="nil"/>
              <w:right w:val="nil"/>
            </w:tcBorders>
          </w:tcPr>
          <w:p>
            <w:pPr>
              <w:pStyle w:val="TableParagraph"/>
              <w:ind w:left="256" w:right="84"/>
              <w:jc w:val="left"/>
              <w:rPr>
                <w:sz w:val="20"/>
              </w:rPr>
            </w:pPr>
            <w:r>
              <w:rPr>
                <w:sz w:val="20"/>
              </w:rPr>
              <w:t>0.00</w:t>
            </w:r>
          </w:p>
        </w:tc>
        <w:tc>
          <w:tcPr>
            <w:tcW w:w="771" w:type="dxa"/>
            <w:tcBorders>
              <w:top w:val="nil"/>
              <w:left w:val="nil"/>
              <w:bottom w:val="nil"/>
              <w:right w:val="nil"/>
            </w:tcBorders>
          </w:tcPr>
          <w:p>
            <w:pPr>
              <w:pStyle w:val="TableParagraph"/>
              <w:ind w:right="65"/>
              <w:rPr>
                <w:sz w:val="20"/>
              </w:rPr>
            </w:pPr>
            <w:r>
              <w:rPr>
                <w:sz w:val="20"/>
              </w:rPr>
              <w:t>0.00</w:t>
            </w:r>
          </w:p>
        </w:tc>
      </w:tr>
      <w:tr>
        <w:trPr>
          <w:trHeight w:val="300" w:hRule="exact"/>
        </w:trPr>
        <w:tc>
          <w:tcPr>
            <w:tcW w:w="1441" w:type="dxa"/>
            <w:tcBorders>
              <w:top w:val="nil"/>
              <w:left w:val="nil"/>
              <w:bottom w:val="nil"/>
              <w:right w:val="nil"/>
            </w:tcBorders>
          </w:tcPr>
          <w:p>
            <w:pPr>
              <w:pStyle w:val="TableParagraph"/>
              <w:ind w:left="86"/>
              <w:jc w:val="left"/>
              <w:rPr>
                <w:sz w:val="20"/>
              </w:rPr>
            </w:pPr>
            <w:r>
              <w:rPr>
                <w:sz w:val="20"/>
              </w:rPr>
              <w:t>TEJ_HhFl</w:t>
            </w:r>
          </w:p>
        </w:tc>
        <w:tc>
          <w:tcPr>
            <w:tcW w:w="681" w:type="dxa"/>
            <w:tcBorders>
              <w:top w:val="nil"/>
              <w:left w:val="nil"/>
              <w:bottom w:val="nil"/>
              <w:right w:val="nil"/>
            </w:tcBorders>
          </w:tcPr>
          <w:p>
            <w:pPr>
              <w:pStyle w:val="TableParagraph"/>
              <w:ind w:left="97" w:right="193"/>
              <w:jc w:val="center"/>
              <w:rPr>
                <w:sz w:val="20"/>
              </w:rPr>
            </w:pPr>
            <w:r>
              <w:rPr>
                <w:sz w:val="20"/>
              </w:rPr>
              <w:t>0.00</w:t>
            </w:r>
          </w:p>
        </w:tc>
        <w:tc>
          <w:tcPr>
            <w:tcW w:w="823" w:type="dxa"/>
            <w:tcBorders>
              <w:top w:val="nil"/>
              <w:left w:val="nil"/>
              <w:bottom w:val="nil"/>
              <w:right w:val="nil"/>
            </w:tcBorders>
          </w:tcPr>
          <w:p>
            <w:pPr>
              <w:pStyle w:val="TableParagraph"/>
              <w:ind w:left="254"/>
              <w:jc w:val="left"/>
              <w:rPr>
                <w:sz w:val="20"/>
              </w:rPr>
            </w:pPr>
            <w:r>
              <w:rPr>
                <w:sz w:val="20"/>
              </w:rPr>
              <w:t>0.00</w:t>
            </w:r>
          </w:p>
        </w:tc>
        <w:tc>
          <w:tcPr>
            <w:tcW w:w="826" w:type="dxa"/>
            <w:tcBorders>
              <w:top w:val="nil"/>
              <w:left w:val="nil"/>
              <w:bottom w:val="nil"/>
              <w:right w:val="nil"/>
            </w:tcBorders>
          </w:tcPr>
          <w:p>
            <w:pPr>
              <w:pStyle w:val="TableParagraph"/>
              <w:ind w:left="256"/>
              <w:jc w:val="left"/>
              <w:rPr>
                <w:sz w:val="20"/>
              </w:rPr>
            </w:pPr>
            <w:r>
              <w:rPr>
                <w:sz w:val="20"/>
              </w:rPr>
              <w:t>0.00</w:t>
            </w:r>
          </w:p>
        </w:tc>
        <w:tc>
          <w:tcPr>
            <w:tcW w:w="826" w:type="dxa"/>
            <w:tcBorders>
              <w:top w:val="nil"/>
              <w:left w:val="nil"/>
              <w:bottom w:val="nil"/>
              <w:right w:val="nil"/>
            </w:tcBorders>
          </w:tcPr>
          <w:p>
            <w:pPr>
              <w:pStyle w:val="TableParagraph"/>
              <w:ind w:right="211"/>
              <w:rPr>
                <w:sz w:val="20"/>
              </w:rPr>
            </w:pPr>
            <w:r>
              <w:rPr>
                <w:sz w:val="20"/>
              </w:rPr>
              <w:t>0.00</w:t>
            </w:r>
          </w:p>
        </w:tc>
        <w:tc>
          <w:tcPr>
            <w:tcW w:w="826" w:type="dxa"/>
            <w:tcBorders>
              <w:top w:val="nil"/>
              <w:left w:val="nil"/>
              <w:bottom w:val="nil"/>
              <w:right w:val="nil"/>
            </w:tcBorders>
          </w:tcPr>
          <w:p>
            <w:pPr>
              <w:pStyle w:val="TableParagraph"/>
              <w:ind w:left="257"/>
              <w:jc w:val="left"/>
              <w:rPr>
                <w:sz w:val="20"/>
              </w:rPr>
            </w:pPr>
            <w:r>
              <w:rPr>
                <w:sz w:val="20"/>
              </w:rPr>
              <w:t>0.00</w:t>
            </w:r>
          </w:p>
        </w:tc>
        <w:tc>
          <w:tcPr>
            <w:tcW w:w="826" w:type="dxa"/>
            <w:tcBorders>
              <w:top w:val="nil"/>
              <w:left w:val="nil"/>
              <w:bottom w:val="nil"/>
              <w:right w:val="nil"/>
            </w:tcBorders>
          </w:tcPr>
          <w:p>
            <w:pPr>
              <w:pStyle w:val="TableParagraph"/>
              <w:ind w:left="256"/>
              <w:jc w:val="left"/>
              <w:rPr>
                <w:sz w:val="20"/>
              </w:rPr>
            </w:pPr>
            <w:r>
              <w:rPr>
                <w:sz w:val="20"/>
              </w:rPr>
              <w:t>0.00</w:t>
            </w:r>
          </w:p>
        </w:tc>
        <w:tc>
          <w:tcPr>
            <w:tcW w:w="826" w:type="dxa"/>
            <w:tcBorders>
              <w:top w:val="nil"/>
              <w:left w:val="nil"/>
              <w:bottom w:val="nil"/>
              <w:right w:val="nil"/>
            </w:tcBorders>
          </w:tcPr>
          <w:p>
            <w:pPr>
              <w:pStyle w:val="TableParagraph"/>
              <w:ind w:left="257"/>
              <w:jc w:val="left"/>
              <w:rPr>
                <w:sz w:val="20"/>
              </w:rPr>
            </w:pPr>
            <w:r>
              <w:rPr>
                <w:sz w:val="20"/>
              </w:rPr>
              <w:t>0.00</w:t>
            </w:r>
          </w:p>
        </w:tc>
        <w:tc>
          <w:tcPr>
            <w:tcW w:w="826" w:type="dxa"/>
            <w:tcBorders>
              <w:top w:val="nil"/>
              <w:left w:val="nil"/>
              <w:bottom w:val="nil"/>
              <w:right w:val="nil"/>
            </w:tcBorders>
          </w:tcPr>
          <w:p>
            <w:pPr>
              <w:pStyle w:val="TableParagraph"/>
              <w:ind w:left="257"/>
              <w:jc w:val="left"/>
              <w:rPr>
                <w:sz w:val="20"/>
              </w:rPr>
            </w:pPr>
            <w:r>
              <w:rPr>
                <w:sz w:val="20"/>
              </w:rPr>
              <w:t>0.00</w:t>
            </w:r>
          </w:p>
        </w:tc>
        <w:tc>
          <w:tcPr>
            <w:tcW w:w="821" w:type="dxa"/>
            <w:tcBorders>
              <w:top w:val="nil"/>
              <w:left w:val="nil"/>
              <w:bottom w:val="nil"/>
              <w:right w:val="nil"/>
            </w:tcBorders>
          </w:tcPr>
          <w:p>
            <w:pPr>
              <w:pStyle w:val="TableParagraph"/>
              <w:ind w:left="256" w:right="84"/>
              <w:jc w:val="left"/>
              <w:rPr>
                <w:sz w:val="20"/>
              </w:rPr>
            </w:pPr>
            <w:r>
              <w:rPr>
                <w:sz w:val="20"/>
              </w:rPr>
              <w:t>0.00</w:t>
            </w:r>
          </w:p>
        </w:tc>
        <w:tc>
          <w:tcPr>
            <w:tcW w:w="771" w:type="dxa"/>
            <w:tcBorders>
              <w:top w:val="nil"/>
              <w:left w:val="nil"/>
              <w:bottom w:val="nil"/>
              <w:right w:val="nil"/>
            </w:tcBorders>
          </w:tcPr>
          <w:p>
            <w:pPr>
              <w:pStyle w:val="TableParagraph"/>
              <w:ind w:right="65"/>
              <w:rPr>
                <w:sz w:val="20"/>
              </w:rPr>
            </w:pPr>
            <w:r>
              <w:rPr>
                <w:sz w:val="20"/>
              </w:rPr>
              <w:t>0.00</w:t>
            </w:r>
          </w:p>
        </w:tc>
      </w:tr>
      <w:tr>
        <w:trPr>
          <w:trHeight w:val="310" w:hRule="exact"/>
        </w:trPr>
        <w:tc>
          <w:tcPr>
            <w:tcW w:w="1441" w:type="dxa"/>
            <w:tcBorders>
              <w:top w:val="nil"/>
              <w:left w:val="nil"/>
              <w:bottom w:val="nil"/>
              <w:right w:val="nil"/>
            </w:tcBorders>
          </w:tcPr>
          <w:p>
            <w:pPr>
              <w:pStyle w:val="TableParagraph"/>
              <w:spacing w:before="26"/>
              <w:ind w:left="86"/>
              <w:jc w:val="left"/>
              <w:rPr>
                <w:sz w:val="20"/>
              </w:rPr>
            </w:pPr>
            <w:r>
              <w:rPr>
                <w:sz w:val="20"/>
              </w:rPr>
              <w:t>TEJ_HhFlp</w:t>
            </w:r>
          </w:p>
        </w:tc>
        <w:tc>
          <w:tcPr>
            <w:tcW w:w="681" w:type="dxa"/>
            <w:tcBorders>
              <w:top w:val="nil"/>
              <w:left w:val="nil"/>
              <w:bottom w:val="nil"/>
              <w:right w:val="nil"/>
            </w:tcBorders>
          </w:tcPr>
          <w:p>
            <w:pPr>
              <w:pStyle w:val="TableParagraph"/>
              <w:spacing w:before="26"/>
              <w:ind w:left="97" w:right="193"/>
              <w:jc w:val="center"/>
              <w:rPr>
                <w:sz w:val="20"/>
              </w:rPr>
            </w:pPr>
            <w:r>
              <w:rPr>
                <w:sz w:val="20"/>
              </w:rPr>
              <w:t>0.00</w:t>
            </w:r>
          </w:p>
        </w:tc>
        <w:tc>
          <w:tcPr>
            <w:tcW w:w="823" w:type="dxa"/>
            <w:tcBorders>
              <w:top w:val="nil"/>
              <w:left w:val="nil"/>
              <w:bottom w:val="nil"/>
              <w:right w:val="nil"/>
            </w:tcBorders>
          </w:tcPr>
          <w:p>
            <w:pPr>
              <w:pStyle w:val="TableParagraph"/>
              <w:spacing w:before="26"/>
              <w:ind w:left="254"/>
              <w:jc w:val="left"/>
              <w:rPr>
                <w:sz w:val="20"/>
              </w:rPr>
            </w:pPr>
            <w:r>
              <w:rPr>
                <w:sz w:val="20"/>
              </w:rPr>
              <w:t>0.00</w:t>
            </w:r>
          </w:p>
        </w:tc>
        <w:tc>
          <w:tcPr>
            <w:tcW w:w="826" w:type="dxa"/>
            <w:tcBorders>
              <w:top w:val="nil"/>
              <w:left w:val="nil"/>
              <w:bottom w:val="nil"/>
              <w:right w:val="nil"/>
            </w:tcBorders>
          </w:tcPr>
          <w:p>
            <w:pPr>
              <w:pStyle w:val="TableParagraph"/>
              <w:spacing w:before="26"/>
              <w:ind w:left="256"/>
              <w:jc w:val="left"/>
              <w:rPr>
                <w:sz w:val="20"/>
              </w:rPr>
            </w:pPr>
            <w:r>
              <w:rPr>
                <w:sz w:val="20"/>
              </w:rPr>
              <w:t>0.00</w:t>
            </w:r>
          </w:p>
        </w:tc>
        <w:tc>
          <w:tcPr>
            <w:tcW w:w="826" w:type="dxa"/>
            <w:tcBorders>
              <w:top w:val="nil"/>
              <w:left w:val="nil"/>
              <w:bottom w:val="nil"/>
              <w:right w:val="nil"/>
            </w:tcBorders>
          </w:tcPr>
          <w:p>
            <w:pPr>
              <w:pStyle w:val="TableParagraph"/>
              <w:spacing w:before="26"/>
              <w:ind w:right="211"/>
              <w:rPr>
                <w:sz w:val="20"/>
              </w:rPr>
            </w:pPr>
            <w:r>
              <w:rPr>
                <w:sz w:val="20"/>
              </w:rPr>
              <w:t>0.00</w:t>
            </w:r>
          </w:p>
        </w:tc>
        <w:tc>
          <w:tcPr>
            <w:tcW w:w="826" w:type="dxa"/>
            <w:tcBorders>
              <w:top w:val="nil"/>
              <w:left w:val="nil"/>
              <w:bottom w:val="nil"/>
              <w:right w:val="nil"/>
            </w:tcBorders>
          </w:tcPr>
          <w:p>
            <w:pPr>
              <w:pStyle w:val="TableParagraph"/>
              <w:spacing w:before="26"/>
              <w:ind w:left="257"/>
              <w:jc w:val="left"/>
              <w:rPr>
                <w:sz w:val="20"/>
              </w:rPr>
            </w:pPr>
            <w:r>
              <w:rPr>
                <w:sz w:val="20"/>
              </w:rPr>
              <w:t>0.00</w:t>
            </w:r>
          </w:p>
        </w:tc>
        <w:tc>
          <w:tcPr>
            <w:tcW w:w="826" w:type="dxa"/>
            <w:tcBorders>
              <w:top w:val="nil"/>
              <w:left w:val="nil"/>
              <w:bottom w:val="nil"/>
              <w:right w:val="nil"/>
            </w:tcBorders>
          </w:tcPr>
          <w:p>
            <w:pPr>
              <w:pStyle w:val="TableParagraph"/>
              <w:spacing w:before="26"/>
              <w:ind w:left="256"/>
              <w:jc w:val="left"/>
              <w:rPr>
                <w:sz w:val="20"/>
              </w:rPr>
            </w:pPr>
            <w:r>
              <w:rPr>
                <w:sz w:val="20"/>
              </w:rPr>
              <w:t>0.00</w:t>
            </w:r>
          </w:p>
        </w:tc>
        <w:tc>
          <w:tcPr>
            <w:tcW w:w="826" w:type="dxa"/>
            <w:tcBorders>
              <w:top w:val="nil"/>
              <w:left w:val="nil"/>
              <w:bottom w:val="nil"/>
              <w:right w:val="nil"/>
            </w:tcBorders>
          </w:tcPr>
          <w:p>
            <w:pPr>
              <w:pStyle w:val="TableParagraph"/>
              <w:spacing w:before="26"/>
              <w:ind w:left="257"/>
              <w:jc w:val="left"/>
              <w:rPr>
                <w:sz w:val="20"/>
              </w:rPr>
            </w:pPr>
            <w:r>
              <w:rPr>
                <w:sz w:val="20"/>
              </w:rPr>
              <w:t>0.00</w:t>
            </w:r>
          </w:p>
        </w:tc>
        <w:tc>
          <w:tcPr>
            <w:tcW w:w="826" w:type="dxa"/>
            <w:tcBorders>
              <w:top w:val="nil"/>
              <w:left w:val="nil"/>
              <w:bottom w:val="nil"/>
              <w:right w:val="nil"/>
            </w:tcBorders>
          </w:tcPr>
          <w:p>
            <w:pPr>
              <w:pStyle w:val="TableParagraph"/>
              <w:spacing w:before="26"/>
              <w:ind w:left="257"/>
              <w:jc w:val="left"/>
              <w:rPr>
                <w:sz w:val="20"/>
              </w:rPr>
            </w:pPr>
            <w:r>
              <w:rPr>
                <w:sz w:val="20"/>
              </w:rPr>
              <w:t>0.00</w:t>
            </w:r>
          </w:p>
        </w:tc>
        <w:tc>
          <w:tcPr>
            <w:tcW w:w="821" w:type="dxa"/>
            <w:tcBorders>
              <w:top w:val="nil"/>
              <w:left w:val="nil"/>
              <w:bottom w:val="nil"/>
              <w:right w:val="nil"/>
            </w:tcBorders>
          </w:tcPr>
          <w:p>
            <w:pPr>
              <w:pStyle w:val="TableParagraph"/>
              <w:spacing w:before="26"/>
              <w:ind w:left="256" w:right="84"/>
              <w:jc w:val="left"/>
              <w:rPr>
                <w:sz w:val="20"/>
              </w:rPr>
            </w:pPr>
            <w:r>
              <w:rPr>
                <w:sz w:val="20"/>
              </w:rPr>
              <w:t>0.00</w:t>
            </w:r>
          </w:p>
        </w:tc>
        <w:tc>
          <w:tcPr>
            <w:tcW w:w="771" w:type="dxa"/>
            <w:tcBorders>
              <w:top w:val="nil"/>
              <w:left w:val="nil"/>
              <w:bottom w:val="nil"/>
              <w:right w:val="nil"/>
            </w:tcBorders>
          </w:tcPr>
          <w:p>
            <w:pPr>
              <w:pStyle w:val="TableParagraph"/>
              <w:spacing w:before="26"/>
              <w:ind w:right="65"/>
              <w:rPr>
                <w:sz w:val="20"/>
              </w:rPr>
            </w:pPr>
            <w:r>
              <w:rPr>
                <w:sz w:val="20"/>
              </w:rPr>
              <w:t>0.00</w:t>
            </w:r>
          </w:p>
        </w:tc>
      </w:tr>
      <w:tr>
        <w:trPr>
          <w:trHeight w:val="307" w:hRule="exact"/>
        </w:trPr>
        <w:tc>
          <w:tcPr>
            <w:tcW w:w="1441" w:type="dxa"/>
            <w:tcBorders>
              <w:top w:val="nil"/>
              <w:left w:val="nil"/>
              <w:bottom w:val="nil"/>
              <w:right w:val="nil"/>
            </w:tcBorders>
          </w:tcPr>
          <w:p>
            <w:pPr>
              <w:pStyle w:val="TableParagraph"/>
              <w:spacing w:before="33"/>
              <w:ind w:left="86"/>
              <w:jc w:val="left"/>
              <w:rPr>
                <w:sz w:val="20"/>
              </w:rPr>
            </w:pPr>
            <w:r>
              <w:rPr>
                <w:sz w:val="20"/>
              </w:rPr>
              <w:t>TEJ_HhFp</w:t>
            </w:r>
          </w:p>
        </w:tc>
        <w:tc>
          <w:tcPr>
            <w:tcW w:w="681" w:type="dxa"/>
            <w:tcBorders>
              <w:top w:val="nil"/>
              <w:left w:val="nil"/>
              <w:bottom w:val="nil"/>
              <w:right w:val="nil"/>
            </w:tcBorders>
          </w:tcPr>
          <w:p>
            <w:pPr>
              <w:pStyle w:val="TableParagraph"/>
              <w:spacing w:before="33"/>
              <w:ind w:left="97" w:right="193"/>
              <w:jc w:val="center"/>
              <w:rPr>
                <w:sz w:val="20"/>
              </w:rPr>
            </w:pPr>
            <w:r>
              <w:rPr>
                <w:sz w:val="20"/>
              </w:rPr>
              <w:t>0.00</w:t>
            </w:r>
          </w:p>
        </w:tc>
        <w:tc>
          <w:tcPr>
            <w:tcW w:w="823" w:type="dxa"/>
            <w:tcBorders>
              <w:top w:val="nil"/>
              <w:left w:val="nil"/>
              <w:bottom w:val="nil"/>
              <w:right w:val="nil"/>
            </w:tcBorders>
          </w:tcPr>
          <w:p>
            <w:pPr>
              <w:pStyle w:val="TableParagraph"/>
              <w:spacing w:before="33"/>
              <w:ind w:left="254"/>
              <w:jc w:val="left"/>
              <w:rPr>
                <w:sz w:val="20"/>
              </w:rPr>
            </w:pPr>
            <w:r>
              <w:rPr>
                <w:sz w:val="20"/>
              </w:rPr>
              <w:t>0.00</w:t>
            </w:r>
          </w:p>
        </w:tc>
        <w:tc>
          <w:tcPr>
            <w:tcW w:w="826" w:type="dxa"/>
            <w:tcBorders>
              <w:top w:val="nil"/>
              <w:left w:val="nil"/>
              <w:bottom w:val="nil"/>
              <w:right w:val="nil"/>
            </w:tcBorders>
          </w:tcPr>
          <w:p>
            <w:pPr>
              <w:pStyle w:val="TableParagraph"/>
              <w:spacing w:before="33"/>
              <w:ind w:left="256"/>
              <w:jc w:val="left"/>
              <w:rPr>
                <w:sz w:val="20"/>
              </w:rPr>
            </w:pPr>
            <w:r>
              <w:rPr>
                <w:sz w:val="20"/>
              </w:rPr>
              <w:t>0.00</w:t>
            </w:r>
          </w:p>
        </w:tc>
        <w:tc>
          <w:tcPr>
            <w:tcW w:w="826" w:type="dxa"/>
            <w:tcBorders>
              <w:top w:val="nil"/>
              <w:left w:val="nil"/>
              <w:bottom w:val="nil"/>
              <w:right w:val="nil"/>
            </w:tcBorders>
          </w:tcPr>
          <w:p>
            <w:pPr>
              <w:pStyle w:val="TableParagraph"/>
              <w:spacing w:before="33"/>
              <w:ind w:right="211"/>
              <w:rPr>
                <w:sz w:val="20"/>
              </w:rPr>
            </w:pPr>
            <w:r>
              <w:rPr>
                <w:sz w:val="20"/>
              </w:rPr>
              <w:t>0.00</w:t>
            </w:r>
          </w:p>
        </w:tc>
        <w:tc>
          <w:tcPr>
            <w:tcW w:w="826" w:type="dxa"/>
            <w:tcBorders>
              <w:top w:val="nil"/>
              <w:left w:val="nil"/>
              <w:bottom w:val="nil"/>
              <w:right w:val="nil"/>
            </w:tcBorders>
          </w:tcPr>
          <w:p>
            <w:pPr>
              <w:pStyle w:val="TableParagraph"/>
              <w:spacing w:before="33"/>
              <w:ind w:left="257"/>
              <w:jc w:val="left"/>
              <w:rPr>
                <w:sz w:val="20"/>
              </w:rPr>
            </w:pPr>
            <w:r>
              <w:rPr>
                <w:sz w:val="20"/>
              </w:rPr>
              <w:t>0.00</w:t>
            </w:r>
          </w:p>
        </w:tc>
        <w:tc>
          <w:tcPr>
            <w:tcW w:w="826" w:type="dxa"/>
            <w:tcBorders>
              <w:top w:val="nil"/>
              <w:left w:val="nil"/>
              <w:bottom w:val="nil"/>
              <w:right w:val="nil"/>
            </w:tcBorders>
          </w:tcPr>
          <w:p>
            <w:pPr>
              <w:pStyle w:val="TableParagraph"/>
              <w:spacing w:before="33"/>
              <w:ind w:left="256"/>
              <w:jc w:val="left"/>
              <w:rPr>
                <w:sz w:val="20"/>
              </w:rPr>
            </w:pPr>
            <w:r>
              <w:rPr>
                <w:sz w:val="20"/>
              </w:rPr>
              <w:t>0.00</w:t>
            </w:r>
          </w:p>
        </w:tc>
        <w:tc>
          <w:tcPr>
            <w:tcW w:w="826" w:type="dxa"/>
            <w:tcBorders>
              <w:top w:val="nil"/>
              <w:left w:val="nil"/>
              <w:bottom w:val="nil"/>
              <w:right w:val="nil"/>
            </w:tcBorders>
          </w:tcPr>
          <w:p>
            <w:pPr>
              <w:pStyle w:val="TableParagraph"/>
              <w:spacing w:before="33"/>
              <w:ind w:left="257"/>
              <w:jc w:val="left"/>
              <w:rPr>
                <w:sz w:val="20"/>
              </w:rPr>
            </w:pPr>
            <w:r>
              <w:rPr>
                <w:sz w:val="20"/>
              </w:rPr>
              <w:t>0.00</w:t>
            </w:r>
          </w:p>
        </w:tc>
        <w:tc>
          <w:tcPr>
            <w:tcW w:w="826" w:type="dxa"/>
            <w:tcBorders>
              <w:top w:val="nil"/>
              <w:left w:val="nil"/>
              <w:bottom w:val="nil"/>
              <w:right w:val="nil"/>
            </w:tcBorders>
          </w:tcPr>
          <w:p>
            <w:pPr>
              <w:pStyle w:val="TableParagraph"/>
              <w:spacing w:before="33"/>
              <w:ind w:left="257"/>
              <w:jc w:val="left"/>
              <w:rPr>
                <w:sz w:val="20"/>
              </w:rPr>
            </w:pPr>
            <w:r>
              <w:rPr>
                <w:sz w:val="20"/>
              </w:rPr>
              <w:t>0.00</w:t>
            </w:r>
          </w:p>
        </w:tc>
        <w:tc>
          <w:tcPr>
            <w:tcW w:w="821" w:type="dxa"/>
            <w:tcBorders>
              <w:top w:val="nil"/>
              <w:left w:val="nil"/>
              <w:bottom w:val="nil"/>
              <w:right w:val="nil"/>
            </w:tcBorders>
          </w:tcPr>
          <w:p>
            <w:pPr>
              <w:pStyle w:val="TableParagraph"/>
              <w:spacing w:before="33"/>
              <w:ind w:left="256" w:right="84"/>
              <w:jc w:val="left"/>
              <w:rPr>
                <w:sz w:val="20"/>
              </w:rPr>
            </w:pPr>
            <w:r>
              <w:rPr>
                <w:sz w:val="20"/>
              </w:rPr>
              <w:t>0.00</w:t>
            </w:r>
          </w:p>
        </w:tc>
        <w:tc>
          <w:tcPr>
            <w:tcW w:w="771" w:type="dxa"/>
            <w:tcBorders>
              <w:top w:val="nil"/>
              <w:left w:val="nil"/>
              <w:bottom w:val="nil"/>
              <w:right w:val="nil"/>
            </w:tcBorders>
          </w:tcPr>
          <w:p>
            <w:pPr>
              <w:pStyle w:val="TableParagraph"/>
              <w:spacing w:before="33"/>
              <w:ind w:right="65"/>
              <w:rPr>
                <w:sz w:val="20"/>
              </w:rPr>
            </w:pPr>
            <w:r>
              <w:rPr>
                <w:sz w:val="20"/>
              </w:rPr>
              <w:t>0.00</w:t>
            </w:r>
          </w:p>
        </w:tc>
      </w:tr>
      <w:tr>
        <w:trPr>
          <w:trHeight w:val="268" w:hRule="exact"/>
        </w:trPr>
        <w:tc>
          <w:tcPr>
            <w:tcW w:w="1441" w:type="dxa"/>
            <w:tcBorders>
              <w:top w:val="nil"/>
              <w:left w:val="nil"/>
              <w:right w:val="nil"/>
            </w:tcBorders>
          </w:tcPr>
          <w:p>
            <w:pPr>
              <w:pStyle w:val="TableParagraph"/>
              <w:ind w:left="86"/>
              <w:jc w:val="left"/>
              <w:rPr>
                <w:sz w:val="20"/>
              </w:rPr>
            </w:pPr>
            <w:r>
              <w:rPr>
                <w:sz w:val="20"/>
              </w:rPr>
              <w:t>TEJ_HhSF</w:t>
            </w:r>
          </w:p>
        </w:tc>
        <w:tc>
          <w:tcPr>
            <w:tcW w:w="681" w:type="dxa"/>
            <w:tcBorders>
              <w:top w:val="nil"/>
              <w:left w:val="nil"/>
              <w:right w:val="nil"/>
            </w:tcBorders>
          </w:tcPr>
          <w:p>
            <w:pPr>
              <w:pStyle w:val="TableParagraph"/>
              <w:ind w:left="97" w:right="193"/>
              <w:jc w:val="center"/>
              <w:rPr>
                <w:sz w:val="20"/>
              </w:rPr>
            </w:pPr>
            <w:r>
              <w:rPr>
                <w:sz w:val="20"/>
              </w:rPr>
              <w:t>0.00</w:t>
            </w:r>
          </w:p>
        </w:tc>
        <w:tc>
          <w:tcPr>
            <w:tcW w:w="823" w:type="dxa"/>
            <w:tcBorders>
              <w:top w:val="nil"/>
              <w:left w:val="nil"/>
              <w:right w:val="nil"/>
            </w:tcBorders>
          </w:tcPr>
          <w:p>
            <w:pPr>
              <w:pStyle w:val="TableParagraph"/>
              <w:ind w:left="254"/>
              <w:jc w:val="left"/>
              <w:rPr>
                <w:sz w:val="20"/>
              </w:rPr>
            </w:pPr>
            <w:r>
              <w:rPr>
                <w:sz w:val="20"/>
              </w:rPr>
              <w:t>0.00</w:t>
            </w:r>
          </w:p>
        </w:tc>
        <w:tc>
          <w:tcPr>
            <w:tcW w:w="826" w:type="dxa"/>
            <w:tcBorders>
              <w:top w:val="nil"/>
              <w:left w:val="nil"/>
              <w:right w:val="nil"/>
            </w:tcBorders>
          </w:tcPr>
          <w:p>
            <w:pPr>
              <w:pStyle w:val="TableParagraph"/>
              <w:ind w:left="256"/>
              <w:jc w:val="left"/>
              <w:rPr>
                <w:sz w:val="20"/>
              </w:rPr>
            </w:pPr>
            <w:r>
              <w:rPr>
                <w:sz w:val="20"/>
              </w:rPr>
              <w:t>0.00</w:t>
            </w:r>
          </w:p>
        </w:tc>
        <w:tc>
          <w:tcPr>
            <w:tcW w:w="826" w:type="dxa"/>
            <w:tcBorders>
              <w:top w:val="nil"/>
              <w:left w:val="nil"/>
              <w:right w:val="nil"/>
            </w:tcBorders>
          </w:tcPr>
          <w:p>
            <w:pPr>
              <w:pStyle w:val="TableParagraph"/>
              <w:ind w:right="211"/>
              <w:rPr>
                <w:sz w:val="20"/>
              </w:rPr>
            </w:pPr>
            <w:r>
              <w:rPr>
                <w:sz w:val="20"/>
              </w:rPr>
              <w:t>0.00</w:t>
            </w:r>
          </w:p>
        </w:tc>
        <w:tc>
          <w:tcPr>
            <w:tcW w:w="826" w:type="dxa"/>
            <w:tcBorders>
              <w:top w:val="nil"/>
              <w:left w:val="nil"/>
              <w:right w:val="nil"/>
            </w:tcBorders>
          </w:tcPr>
          <w:p>
            <w:pPr>
              <w:pStyle w:val="TableParagraph"/>
              <w:ind w:left="257"/>
              <w:jc w:val="left"/>
              <w:rPr>
                <w:sz w:val="20"/>
              </w:rPr>
            </w:pPr>
            <w:r>
              <w:rPr>
                <w:sz w:val="20"/>
              </w:rPr>
              <w:t>0.00</w:t>
            </w:r>
          </w:p>
        </w:tc>
        <w:tc>
          <w:tcPr>
            <w:tcW w:w="826" w:type="dxa"/>
            <w:tcBorders>
              <w:top w:val="nil"/>
              <w:left w:val="nil"/>
              <w:right w:val="nil"/>
            </w:tcBorders>
          </w:tcPr>
          <w:p>
            <w:pPr>
              <w:pStyle w:val="TableParagraph"/>
              <w:ind w:left="256"/>
              <w:jc w:val="left"/>
              <w:rPr>
                <w:sz w:val="20"/>
              </w:rPr>
            </w:pPr>
            <w:r>
              <w:rPr>
                <w:sz w:val="20"/>
              </w:rPr>
              <w:t>0.00</w:t>
            </w:r>
          </w:p>
        </w:tc>
        <w:tc>
          <w:tcPr>
            <w:tcW w:w="826" w:type="dxa"/>
            <w:tcBorders>
              <w:top w:val="nil"/>
              <w:left w:val="nil"/>
              <w:right w:val="nil"/>
            </w:tcBorders>
          </w:tcPr>
          <w:p>
            <w:pPr>
              <w:pStyle w:val="TableParagraph"/>
              <w:ind w:left="257"/>
              <w:jc w:val="left"/>
              <w:rPr>
                <w:sz w:val="20"/>
              </w:rPr>
            </w:pPr>
            <w:r>
              <w:rPr>
                <w:sz w:val="20"/>
              </w:rPr>
              <w:t>0.00</w:t>
            </w:r>
          </w:p>
        </w:tc>
        <w:tc>
          <w:tcPr>
            <w:tcW w:w="826" w:type="dxa"/>
            <w:tcBorders>
              <w:top w:val="nil"/>
              <w:left w:val="nil"/>
              <w:right w:val="nil"/>
            </w:tcBorders>
          </w:tcPr>
          <w:p>
            <w:pPr>
              <w:pStyle w:val="TableParagraph"/>
              <w:ind w:left="257"/>
              <w:jc w:val="left"/>
              <w:rPr>
                <w:sz w:val="20"/>
              </w:rPr>
            </w:pPr>
            <w:r>
              <w:rPr>
                <w:sz w:val="20"/>
              </w:rPr>
              <w:t>0.00</w:t>
            </w:r>
          </w:p>
        </w:tc>
        <w:tc>
          <w:tcPr>
            <w:tcW w:w="821" w:type="dxa"/>
            <w:tcBorders>
              <w:top w:val="nil"/>
              <w:left w:val="nil"/>
              <w:right w:val="nil"/>
            </w:tcBorders>
          </w:tcPr>
          <w:p>
            <w:pPr>
              <w:pStyle w:val="TableParagraph"/>
              <w:ind w:left="256" w:right="84"/>
              <w:jc w:val="left"/>
              <w:rPr>
                <w:sz w:val="20"/>
              </w:rPr>
            </w:pPr>
            <w:r>
              <w:rPr>
                <w:sz w:val="20"/>
              </w:rPr>
              <w:t>0.00</w:t>
            </w:r>
          </w:p>
        </w:tc>
        <w:tc>
          <w:tcPr>
            <w:tcW w:w="771" w:type="dxa"/>
            <w:tcBorders>
              <w:top w:val="nil"/>
              <w:left w:val="nil"/>
              <w:right w:val="nil"/>
            </w:tcBorders>
          </w:tcPr>
          <w:p>
            <w:pPr>
              <w:pStyle w:val="TableParagraph"/>
              <w:ind w:right="65"/>
              <w:rPr>
                <w:sz w:val="20"/>
              </w:rPr>
            </w:pPr>
            <w:r>
              <w:rPr>
                <w:sz w:val="20"/>
              </w:rPr>
              <w:t>0.00</w:t>
            </w:r>
          </w:p>
        </w:tc>
      </w:tr>
    </w:tbl>
    <w:p>
      <w:pPr>
        <w:spacing w:after="0"/>
        <w:rPr>
          <w:sz w:val="20"/>
        </w:rPr>
        <w:sectPr>
          <w:pgSz w:w="12240" w:h="15840"/>
          <w:pgMar w:header="0" w:footer="1473" w:top="1360" w:bottom="1660" w:left="1020" w:right="1300"/>
        </w:sectPr>
      </w:pPr>
    </w:p>
    <w:p>
      <w:pPr>
        <w:pStyle w:val="BodyText"/>
        <w:tabs>
          <w:tab w:pos="476" w:val="left" w:leader="none"/>
          <w:tab w:pos="9686" w:val="left" w:leader="none"/>
        </w:tabs>
        <w:spacing w:before="49"/>
        <w:ind w:left="207"/>
      </w:pPr>
      <w:r>
        <w:rPr>
          <w:w w:val="99"/>
          <w:u w:val="single"/>
        </w:rPr>
        <w:t> </w:t>
      </w:r>
      <w:r>
        <w:rPr>
          <w:u w:val="single"/>
        </w:rPr>
        <w:tab/>
        <w:t>Continuación Tabla</w:t>
      </w:r>
      <w:r>
        <w:rPr>
          <w:spacing w:val="-19"/>
          <w:u w:val="single"/>
        </w:rPr>
        <w:t> </w:t>
      </w:r>
      <w:r>
        <w:rPr>
          <w:u w:val="single"/>
        </w:rPr>
        <w:t>28.</w:t>
        <w:tab/>
      </w:r>
    </w:p>
    <w:p>
      <w:pPr>
        <w:pStyle w:val="BodyText"/>
        <w:spacing w:before="11"/>
        <w:rPr>
          <w:sz w:val="8"/>
        </w:rPr>
      </w:pPr>
    </w:p>
    <w:tbl>
      <w:tblPr>
        <w:tblW w:w="0" w:type="auto"/>
        <w:jc w:val="left"/>
        <w:tblInd w:w="19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41"/>
        <w:gridCol w:w="681"/>
        <w:gridCol w:w="823"/>
        <w:gridCol w:w="826"/>
        <w:gridCol w:w="826"/>
        <w:gridCol w:w="826"/>
        <w:gridCol w:w="826"/>
        <w:gridCol w:w="826"/>
        <w:gridCol w:w="826"/>
        <w:gridCol w:w="821"/>
        <w:gridCol w:w="771"/>
      </w:tblGrid>
      <w:tr>
        <w:trPr>
          <w:trHeight w:val="302" w:hRule="exact"/>
        </w:trPr>
        <w:tc>
          <w:tcPr>
            <w:tcW w:w="1441" w:type="dxa"/>
          </w:tcPr>
          <w:p>
            <w:pPr>
              <w:pStyle w:val="TableParagraph"/>
              <w:spacing w:before="90"/>
              <w:ind w:left="148"/>
              <w:jc w:val="left"/>
              <w:rPr>
                <w:sz w:val="20"/>
              </w:rPr>
            </w:pPr>
            <w:r>
              <w:rPr>
                <w:sz w:val="20"/>
              </w:rPr>
              <w:t>Nombre/Clave</w:t>
            </w:r>
          </w:p>
        </w:tc>
        <w:tc>
          <w:tcPr>
            <w:tcW w:w="681" w:type="dxa"/>
          </w:tcPr>
          <w:p>
            <w:pPr/>
          </w:p>
        </w:tc>
        <w:tc>
          <w:tcPr>
            <w:tcW w:w="823" w:type="dxa"/>
          </w:tcPr>
          <w:p>
            <w:pPr/>
          </w:p>
        </w:tc>
        <w:tc>
          <w:tcPr>
            <w:tcW w:w="826" w:type="dxa"/>
          </w:tcPr>
          <w:p>
            <w:pPr/>
          </w:p>
        </w:tc>
        <w:tc>
          <w:tcPr>
            <w:tcW w:w="826" w:type="dxa"/>
          </w:tcPr>
          <w:p>
            <w:pPr/>
          </w:p>
        </w:tc>
        <w:tc>
          <w:tcPr>
            <w:tcW w:w="2478" w:type="dxa"/>
            <w:gridSpan w:val="3"/>
          </w:tcPr>
          <w:p>
            <w:pPr>
              <w:pStyle w:val="TableParagraph"/>
              <w:spacing w:line="205" w:lineRule="exact" w:before="0"/>
              <w:ind w:left="16"/>
              <w:jc w:val="left"/>
              <w:rPr>
                <w:sz w:val="20"/>
              </w:rPr>
            </w:pPr>
            <w:r>
              <w:rPr>
                <w:sz w:val="20"/>
              </w:rPr>
              <w:t>N° de capas del suelo</w:t>
            </w:r>
          </w:p>
        </w:tc>
        <w:tc>
          <w:tcPr>
            <w:tcW w:w="826" w:type="dxa"/>
          </w:tcPr>
          <w:p>
            <w:pPr/>
          </w:p>
        </w:tc>
        <w:tc>
          <w:tcPr>
            <w:tcW w:w="821" w:type="dxa"/>
          </w:tcPr>
          <w:p>
            <w:pPr/>
          </w:p>
        </w:tc>
        <w:tc>
          <w:tcPr>
            <w:tcW w:w="771" w:type="dxa"/>
          </w:tcPr>
          <w:p>
            <w:pPr/>
          </w:p>
        </w:tc>
      </w:tr>
      <w:tr>
        <w:trPr>
          <w:trHeight w:val="215" w:hRule="exact"/>
        </w:trPr>
        <w:tc>
          <w:tcPr>
            <w:tcW w:w="1441" w:type="dxa"/>
            <w:tcBorders>
              <w:bottom w:val="single" w:sz="4" w:space="0" w:color="000000"/>
            </w:tcBorders>
          </w:tcPr>
          <w:p>
            <w:pPr/>
          </w:p>
        </w:tc>
        <w:tc>
          <w:tcPr>
            <w:tcW w:w="681" w:type="dxa"/>
            <w:tcBorders>
              <w:bottom w:val="single" w:sz="4" w:space="0" w:color="000000"/>
            </w:tcBorders>
          </w:tcPr>
          <w:p>
            <w:pPr>
              <w:pStyle w:val="TableParagraph"/>
              <w:spacing w:line="201" w:lineRule="exact" w:before="0"/>
              <w:ind w:right="128"/>
              <w:jc w:val="center"/>
              <w:rPr>
                <w:sz w:val="20"/>
              </w:rPr>
            </w:pPr>
            <w:r>
              <w:rPr>
                <w:w w:val="100"/>
                <w:sz w:val="20"/>
              </w:rPr>
              <w:t>1</w:t>
            </w:r>
          </w:p>
        </w:tc>
        <w:tc>
          <w:tcPr>
            <w:tcW w:w="823" w:type="dxa"/>
            <w:tcBorders>
              <w:bottom w:val="single" w:sz="4" w:space="0" w:color="000000"/>
            </w:tcBorders>
          </w:tcPr>
          <w:p>
            <w:pPr>
              <w:pStyle w:val="TableParagraph"/>
              <w:spacing w:line="201" w:lineRule="exact" w:before="0"/>
              <w:ind w:left="211"/>
              <w:jc w:val="left"/>
              <w:rPr>
                <w:sz w:val="20"/>
              </w:rPr>
            </w:pPr>
            <w:r>
              <w:rPr>
                <w:w w:val="100"/>
                <w:sz w:val="20"/>
              </w:rPr>
              <w:t>2</w:t>
            </w:r>
          </w:p>
        </w:tc>
        <w:tc>
          <w:tcPr>
            <w:tcW w:w="826" w:type="dxa"/>
            <w:tcBorders>
              <w:bottom w:val="single" w:sz="4" w:space="0" w:color="000000"/>
            </w:tcBorders>
          </w:tcPr>
          <w:p>
            <w:pPr>
              <w:pStyle w:val="TableParagraph"/>
              <w:spacing w:line="201" w:lineRule="exact" w:before="0"/>
              <w:ind w:left="213"/>
              <w:jc w:val="left"/>
              <w:rPr>
                <w:sz w:val="20"/>
              </w:rPr>
            </w:pPr>
            <w:r>
              <w:rPr>
                <w:w w:val="100"/>
                <w:sz w:val="20"/>
              </w:rPr>
              <w:t>3</w:t>
            </w:r>
          </w:p>
        </w:tc>
        <w:tc>
          <w:tcPr>
            <w:tcW w:w="826" w:type="dxa"/>
            <w:tcBorders>
              <w:bottom w:val="single" w:sz="4" w:space="0" w:color="000000"/>
            </w:tcBorders>
          </w:tcPr>
          <w:p>
            <w:pPr>
              <w:pStyle w:val="TableParagraph"/>
              <w:spacing w:line="201" w:lineRule="exact" w:before="0"/>
              <w:ind w:left="213"/>
              <w:jc w:val="left"/>
              <w:rPr>
                <w:sz w:val="20"/>
              </w:rPr>
            </w:pPr>
            <w:r>
              <w:rPr>
                <w:w w:val="100"/>
                <w:sz w:val="20"/>
              </w:rPr>
              <w:t>4</w:t>
            </w:r>
          </w:p>
        </w:tc>
        <w:tc>
          <w:tcPr>
            <w:tcW w:w="826" w:type="dxa"/>
            <w:tcBorders>
              <w:bottom w:val="single" w:sz="4" w:space="0" w:color="000000"/>
            </w:tcBorders>
          </w:tcPr>
          <w:p>
            <w:pPr>
              <w:pStyle w:val="TableParagraph"/>
              <w:spacing w:line="201" w:lineRule="exact" w:before="0"/>
              <w:ind w:left="213"/>
              <w:jc w:val="left"/>
              <w:rPr>
                <w:sz w:val="20"/>
              </w:rPr>
            </w:pPr>
            <w:r>
              <w:rPr>
                <w:w w:val="100"/>
                <w:sz w:val="20"/>
              </w:rPr>
              <w:t>5</w:t>
            </w:r>
          </w:p>
        </w:tc>
        <w:tc>
          <w:tcPr>
            <w:tcW w:w="826" w:type="dxa"/>
            <w:tcBorders>
              <w:bottom w:val="single" w:sz="4" w:space="0" w:color="000000"/>
            </w:tcBorders>
          </w:tcPr>
          <w:p>
            <w:pPr>
              <w:pStyle w:val="TableParagraph"/>
              <w:spacing w:line="201" w:lineRule="exact" w:before="0"/>
              <w:ind w:left="213"/>
              <w:jc w:val="left"/>
              <w:rPr>
                <w:sz w:val="20"/>
              </w:rPr>
            </w:pPr>
            <w:r>
              <w:rPr>
                <w:w w:val="100"/>
                <w:sz w:val="20"/>
              </w:rPr>
              <w:t>6</w:t>
            </w:r>
          </w:p>
        </w:tc>
        <w:tc>
          <w:tcPr>
            <w:tcW w:w="826" w:type="dxa"/>
            <w:tcBorders>
              <w:bottom w:val="single" w:sz="4" w:space="0" w:color="000000"/>
            </w:tcBorders>
          </w:tcPr>
          <w:p>
            <w:pPr>
              <w:pStyle w:val="TableParagraph"/>
              <w:spacing w:line="201" w:lineRule="exact" w:before="0"/>
              <w:ind w:left="213"/>
              <w:jc w:val="left"/>
              <w:rPr>
                <w:sz w:val="20"/>
              </w:rPr>
            </w:pPr>
            <w:r>
              <w:rPr>
                <w:w w:val="100"/>
                <w:sz w:val="20"/>
              </w:rPr>
              <w:t>7</w:t>
            </w:r>
          </w:p>
        </w:tc>
        <w:tc>
          <w:tcPr>
            <w:tcW w:w="826" w:type="dxa"/>
            <w:tcBorders>
              <w:bottom w:val="single" w:sz="4" w:space="0" w:color="000000"/>
            </w:tcBorders>
          </w:tcPr>
          <w:p>
            <w:pPr>
              <w:pStyle w:val="TableParagraph"/>
              <w:spacing w:line="201" w:lineRule="exact" w:before="0"/>
              <w:ind w:left="213"/>
              <w:jc w:val="left"/>
              <w:rPr>
                <w:sz w:val="20"/>
              </w:rPr>
            </w:pPr>
            <w:r>
              <w:rPr>
                <w:w w:val="100"/>
                <w:sz w:val="20"/>
              </w:rPr>
              <w:t>8</w:t>
            </w:r>
          </w:p>
        </w:tc>
        <w:tc>
          <w:tcPr>
            <w:tcW w:w="821" w:type="dxa"/>
            <w:tcBorders>
              <w:bottom w:val="single" w:sz="4" w:space="0" w:color="000000"/>
            </w:tcBorders>
          </w:tcPr>
          <w:p>
            <w:pPr>
              <w:pStyle w:val="TableParagraph"/>
              <w:spacing w:line="201" w:lineRule="exact" w:before="0"/>
              <w:ind w:left="213"/>
              <w:jc w:val="left"/>
              <w:rPr>
                <w:sz w:val="20"/>
              </w:rPr>
            </w:pPr>
            <w:r>
              <w:rPr>
                <w:w w:val="100"/>
                <w:sz w:val="20"/>
              </w:rPr>
              <w:t>9</w:t>
            </w:r>
          </w:p>
        </w:tc>
        <w:tc>
          <w:tcPr>
            <w:tcW w:w="771" w:type="dxa"/>
            <w:tcBorders>
              <w:bottom w:val="single" w:sz="4" w:space="0" w:color="000000"/>
            </w:tcBorders>
          </w:tcPr>
          <w:p>
            <w:pPr>
              <w:pStyle w:val="TableParagraph"/>
              <w:spacing w:line="201" w:lineRule="exact" w:before="0"/>
              <w:ind w:left="209"/>
              <w:jc w:val="left"/>
              <w:rPr>
                <w:sz w:val="20"/>
              </w:rPr>
            </w:pPr>
            <w:r>
              <w:rPr>
                <w:sz w:val="20"/>
              </w:rPr>
              <w:t>10</w:t>
            </w:r>
          </w:p>
        </w:tc>
      </w:tr>
      <w:tr>
        <w:trPr>
          <w:trHeight w:val="338" w:hRule="exact"/>
        </w:trPr>
        <w:tc>
          <w:tcPr>
            <w:tcW w:w="1441" w:type="dxa"/>
            <w:tcBorders>
              <w:top w:val="single" w:sz="4" w:space="0" w:color="000000"/>
            </w:tcBorders>
          </w:tcPr>
          <w:p>
            <w:pPr>
              <w:pStyle w:val="TableParagraph"/>
              <w:spacing w:before="58"/>
              <w:ind w:left="86"/>
              <w:jc w:val="left"/>
              <w:rPr>
                <w:sz w:val="20"/>
              </w:rPr>
            </w:pPr>
            <w:r>
              <w:rPr>
                <w:sz w:val="20"/>
              </w:rPr>
              <w:t>TEJ_HlFd</w:t>
            </w:r>
          </w:p>
        </w:tc>
        <w:tc>
          <w:tcPr>
            <w:tcW w:w="681" w:type="dxa"/>
            <w:tcBorders>
              <w:top w:val="single" w:sz="4" w:space="0" w:color="000000"/>
            </w:tcBorders>
          </w:tcPr>
          <w:p>
            <w:pPr>
              <w:pStyle w:val="TableParagraph"/>
              <w:spacing w:before="58"/>
              <w:ind w:left="97" w:right="193"/>
              <w:jc w:val="center"/>
              <w:rPr>
                <w:sz w:val="20"/>
              </w:rPr>
            </w:pPr>
            <w:r>
              <w:rPr>
                <w:sz w:val="20"/>
              </w:rPr>
              <w:t>0.00</w:t>
            </w:r>
          </w:p>
        </w:tc>
        <w:tc>
          <w:tcPr>
            <w:tcW w:w="823" w:type="dxa"/>
            <w:tcBorders>
              <w:top w:val="single" w:sz="4" w:space="0" w:color="000000"/>
            </w:tcBorders>
          </w:tcPr>
          <w:p>
            <w:pPr>
              <w:pStyle w:val="TableParagraph"/>
              <w:spacing w:before="58"/>
              <w:ind w:left="254"/>
              <w:jc w:val="left"/>
              <w:rPr>
                <w:sz w:val="20"/>
              </w:rPr>
            </w:pPr>
            <w:r>
              <w:rPr>
                <w:sz w:val="20"/>
              </w:rPr>
              <w:t>0.00</w:t>
            </w:r>
          </w:p>
        </w:tc>
        <w:tc>
          <w:tcPr>
            <w:tcW w:w="826" w:type="dxa"/>
            <w:tcBorders>
              <w:top w:val="single" w:sz="4" w:space="0" w:color="000000"/>
            </w:tcBorders>
          </w:tcPr>
          <w:p>
            <w:pPr>
              <w:pStyle w:val="TableParagraph"/>
              <w:spacing w:before="58"/>
              <w:ind w:left="256"/>
              <w:jc w:val="left"/>
              <w:rPr>
                <w:sz w:val="20"/>
              </w:rPr>
            </w:pPr>
            <w:r>
              <w:rPr>
                <w:sz w:val="20"/>
              </w:rPr>
              <w:t>0.00</w:t>
            </w:r>
          </w:p>
        </w:tc>
        <w:tc>
          <w:tcPr>
            <w:tcW w:w="826" w:type="dxa"/>
            <w:tcBorders>
              <w:top w:val="single" w:sz="4" w:space="0" w:color="000000"/>
            </w:tcBorders>
          </w:tcPr>
          <w:p>
            <w:pPr>
              <w:pStyle w:val="TableParagraph"/>
              <w:spacing w:before="58"/>
              <w:ind w:right="211"/>
              <w:rPr>
                <w:sz w:val="20"/>
              </w:rPr>
            </w:pPr>
            <w:r>
              <w:rPr>
                <w:sz w:val="20"/>
              </w:rPr>
              <w:t>0.00</w:t>
            </w:r>
          </w:p>
        </w:tc>
        <w:tc>
          <w:tcPr>
            <w:tcW w:w="826" w:type="dxa"/>
            <w:tcBorders>
              <w:top w:val="single" w:sz="4" w:space="0" w:color="000000"/>
            </w:tcBorders>
          </w:tcPr>
          <w:p>
            <w:pPr>
              <w:pStyle w:val="TableParagraph"/>
              <w:spacing w:before="58"/>
              <w:ind w:left="257"/>
              <w:jc w:val="left"/>
              <w:rPr>
                <w:sz w:val="20"/>
              </w:rPr>
            </w:pPr>
            <w:r>
              <w:rPr>
                <w:sz w:val="20"/>
              </w:rPr>
              <w:t>0.00</w:t>
            </w:r>
          </w:p>
        </w:tc>
        <w:tc>
          <w:tcPr>
            <w:tcW w:w="826" w:type="dxa"/>
            <w:tcBorders>
              <w:top w:val="single" w:sz="4" w:space="0" w:color="000000"/>
            </w:tcBorders>
          </w:tcPr>
          <w:p>
            <w:pPr>
              <w:pStyle w:val="TableParagraph"/>
              <w:spacing w:before="58"/>
              <w:ind w:left="256"/>
              <w:jc w:val="left"/>
              <w:rPr>
                <w:sz w:val="20"/>
              </w:rPr>
            </w:pPr>
            <w:r>
              <w:rPr>
                <w:sz w:val="20"/>
              </w:rPr>
              <w:t>0.00</w:t>
            </w:r>
          </w:p>
        </w:tc>
        <w:tc>
          <w:tcPr>
            <w:tcW w:w="826" w:type="dxa"/>
            <w:tcBorders>
              <w:top w:val="single" w:sz="4" w:space="0" w:color="000000"/>
            </w:tcBorders>
          </w:tcPr>
          <w:p>
            <w:pPr>
              <w:pStyle w:val="TableParagraph"/>
              <w:spacing w:before="58"/>
              <w:ind w:left="257"/>
              <w:jc w:val="left"/>
              <w:rPr>
                <w:sz w:val="20"/>
              </w:rPr>
            </w:pPr>
            <w:r>
              <w:rPr>
                <w:sz w:val="20"/>
              </w:rPr>
              <w:t>0.00</w:t>
            </w:r>
          </w:p>
        </w:tc>
        <w:tc>
          <w:tcPr>
            <w:tcW w:w="826" w:type="dxa"/>
            <w:tcBorders>
              <w:top w:val="single" w:sz="4" w:space="0" w:color="000000"/>
            </w:tcBorders>
          </w:tcPr>
          <w:p>
            <w:pPr>
              <w:pStyle w:val="TableParagraph"/>
              <w:spacing w:before="58"/>
              <w:ind w:left="257"/>
              <w:jc w:val="left"/>
              <w:rPr>
                <w:sz w:val="20"/>
              </w:rPr>
            </w:pPr>
            <w:r>
              <w:rPr>
                <w:sz w:val="20"/>
              </w:rPr>
              <w:t>0.00</w:t>
            </w:r>
          </w:p>
        </w:tc>
        <w:tc>
          <w:tcPr>
            <w:tcW w:w="821" w:type="dxa"/>
            <w:tcBorders>
              <w:top w:val="single" w:sz="4" w:space="0" w:color="000000"/>
            </w:tcBorders>
          </w:tcPr>
          <w:p>
            <w:pPr>
              <w:pStyle w:val="TableParagraph"/>
              <w:spacing w:before="58"/>
              <w:ind w:left="256" w:right="84"/>
              <w:jc w:val="left"/>
              <w:rPr>
                <w:sz w:val="20"/>
              </w:rPr>
            </w:pPr>
            <w:r>
              <w:rPr>
                <w:sz w:val="20"/>
              </w:rPr>
              <w:t>0.00</w:t>
            </w:r>
          </w:p>
        </w:tc>
        <w:tc>
          <w:tcPr>
            <w:tcW w:w="771" w:type="dxa"/>
            <w:tcBorders>
              <w:top w:val="single" w:sz="4" w:space="0" w:color="000000"/>
            </w:tcBorders>
          </w:tcPr>
          <w:p>
            <w:pPr>
              <w:pStyle w:val="TableParagraph"/>
              <w:spacing w:before="58"/>
              <w:ind w:right="65"/>
              <w:rPr>
                <w:sz w:val="20"/>
              </w:rPr>
            </w:pPr>
            <w:r>
              <w:rPr>
                <w:sz w:val="20"/>
              </w:rPr>
              <w:t>0.00</w:t>
            </w:r>
          </w:p>
        </w:tc>
      </w:tr>
      <w:tr>
        <w:trPr>
          <w:trHeight w:val="298" w:hRule="exact"/>
        </w:trPr>
        <w:tc>
          <w:tcPr>
            <w:tcW w:w="1441" w:type="dxa"/>
          </w:tcPr>
          <w:p>
            <w:pPr>
              <w:pStyle w:val="TableParagraph"/>
              <w:ind w:left="86"/>
              <w:jc w:val="left"/>
              <w:rPr>
                <w:sz w:val="20"/>
              </w:rPr>
            </w:pPr>
            <w:r>
              <w:rPr>
                <w:sz w:val="20"/>
              </w:rPr>
              <w:t>TEJ_HlFdp</w:t>
            </w:r>
          </w:p>
        </w:tc>
        <w:tc>
          <w:tcPr>
            <w:tcW w:w="681" w:type="dxa"/>
          </w:tcPr>
          <w:p>
            <w:pPr>
              <w:pStyle w:val="TableParagraph"/>
              <w:ind w:left="97" w:right="193"/>
              <w:jc w:val="center"/>
              <w:rPr>
                <w:sz w:val="20"/>
              </w:rPr>
            </w:pPr>
            <w:r>
              <w:rPr>
                <w:sz w:val="20"/>
              </w:rPr>
              <w:t>0.00</w:t>
            </w:r>
          </w:p>
        </w:tc>
        <w:tc>
          <w:tcPr>
            <w:tcW w:w="823" w:type="dxa"/>
          </w:tcPr>
          <w:p>
            <w:pPr>
              <w:pStyle w:val="TableParagraph"/>
              <w:ind w:left="254"/>
              <w:jc w:val="left"/>
              <w:rPr>
                <w:sz w:val="20"/>
              </w:rPr>
            </w:pPr>
            <w:r>
              <w:rPr>
                <w:sz w:val="20"/>
              </w:rPr>
              <w:t>0.00</w:t>
            </w:r>
          </w:p>
        </w:tc>
        <w:tc>
          <w:tcPr>
            <w:tcW w:w="826" w:type="dxa"/>
          </w:tcPr>
          <w:p>
            <w:pPr>
              <w:pStyle w:val="TableParagraph"/>
              <w:ind w:left="256"/>
              <w:jc w:val="left"/>
              <w:rPr>
                <w:sz w:val="20"/>
              </w:rPr>
            </w:pPr>
            <w:r>
              <w:rPr>
                <w:sz w:val="20"/>
              </w:rPr>
              <w:t>0.00</w:t>
            </w:r>
          </w:p>
        </w:tc>
        <w:tc>
          <w:tcPr>
            <w:tcW w:w="826" w:type="dxa"/>
          </w:tcPr>
          <w:p>
            <w:pPr>
              <w:pStyle w:val="TableParagraph"/>
              <w:ind w:right="211"/>
              <w:rPr>
                <w:sz w:val="20"/>
              </w:rPr>
            </w:pPr>
            <w:r>
              <w:rPr>
                <w:sz w:val="20"/>
              </w:rPr>
              <w:t>0.00</w:t>
            </w:r>
          </w:p>
        </w:tc>
        <w:tc>
          <w:tcPr>
            <w:tcW w:w="826" w:type="dxa"/>
          </w:tcPr>
          <w:p>
            <w:pPr>
              <w:pStyle w:val="TableParagraph"/>
              <w:ind w:left="257"/>
              <w:jc w:val="left"/>
              <w:rPr>
                <w:sz w:val="20"/>
              </w:rPr>
            </w:pPr>
            <w:r>
              <w:rPr>
                <w:sz w:val="20"/>
              </w:rPr>
              <w:t>0.00</w:t>
            </w:r>
          </w:p>
        </w:tc>
        <w:tc>
          <w:tcPr>
            <w:tcW w:w="826" w:type="dxa"/>
          </w:tcPr>
          <w:p>
            <w:pPr>
              <w:pStyle w:val="TableParagraph"/>
              <w:ind w:left="256"/>
              <w:jc w:val="left"/>
              <w:rPr>
                <w:sz w:val="20"/>
              </w:rPr>
            </w:pPr>
            <w:r>
              <w:rPr>
                <w:sz w:val="20"/>
              </w:rPr>
              <w:t>0.00</w:t>
            </w:r>
          </w:p>
        </w:tc>
        <w:tc>
          <w:tcPr>
            <w:tcW w:w="826" w:type="dxa"/>
          </w:tcPr>
          <w:p>
            <w:pPr>
              <w:pStyle w:val="TableParagraph"/>
              <w:ind w:left="257"/>
              <w:jc w:val="left"/>
              <w:rPr>
                <w:sz w:val="20"/>
              </w:rPr>
            </w:pPr>
            <w:r>
              <w:rPr>
                <w:sz w:val="20"/>
              </w:rPr>
              <w:t>0.00</w:t>
            </w:r>
          </w:p>
        </w:tc>
        <w:tc>
          <w:tcPr>
            <w:tcW w:w="826" w:type="dxa"/>
          </w:tcPr>
          <w:p>
            <w:pPr>
              <w:pStyle w:val="TableParagraph"/>
              <w:ind w:left="257"/>
              <w:jc w:val="left"/>
              <w:rPr>
                <w:sz w:val="20"/>
              </w:rPr>
            </w:pPr>
            <w:r>
              <w:rPr>
                <w:sz w:val="20"/>
              </w:rPr>
              <w:t>0.00</w:t>
            </w:r>
          </w:p>
        </w:tc>
        <w:tc>
          <w:tcPr>
            <w:tcW w:w="821" w:type="dxa"/>
          </w:tcPr>
          <w:p>
            <w:pPr>
              <w:pStyle w:val="TableParagraph"/>
              <w:ind w:left="256" w:right="84"/>
              <w:jc w:val="left"/>
              <w:rPr>
                <w:sz w:val="20"/>
              </w:rPr>
            </w:pPr>
            <w:r>
              <w:rPr>
                <w:sz w:val="20"/>
              </w:rPr>
              <w:t>0.00</w:t>
            </w:r>
          </w:p>
        </w:tc>
        <w:tc>
          <w:tcPr>
            <w:tcW w:w="771" w:type="dxa"/>
          </w:tcPr>
          <w:p>
            <w:pPr>
              <w:pStyle w:val="TableParagraph"/>
              <w:ind w:right="65"/>
              <w:rPr>
                <w:sz w:val="20"/>
              </w:rPr>
            </w:pPr>
            <w:r>
              <w:rPr>
                <w:sz w:val="20"/>
              </w:rPr>
              <w:t>0.00</w:t>
            </w:r>
          </w:p>
        </w:tc>
      </w:tr>
      <w:tr>
        <w:trPr>
          <w:trHeight w:val="298" w:hRule="exact"/>
        </w:trPr>
        <w:tc>
          <w:tcPr>
            <w:tcW w:w="1441" w:type="dxa"/>
          </w:tcPr>
          <w:p>
            <w:pPr>
              <w:pStyle w:val="TableParagraph"/>
              <w:ind w:left="86"/>
              <w:jc w:val="left"/>
              <w:rPr>
                <w:sz w:val="20"/>
              </w:rPr>
            </w:pPr>
            <w:r>
              <w:rPr>
                <w:sz w:val="20"/>
              </w:rPr>
              <w:t>TEJ_HlFl</w:t>
            </w:r>
          </w:p>
        </w:tc>
        <w:tc>
          <w:tcPr>
            <w:tcW w:w="681" w:type="dxa"/>
          </w:tcPr>
          <w:p>
            <w:pPr>
              <w:pStyle w:val="TableParagraph"/>
              <w:ind w:left="97" w:right="193"/>
              <w:jc w:val="center"/>
              <w:rPr>
                <w:sz w:val="20"/>
              </w:rPr>
            </w:pPr>
            <w:r>
              <w:rPr>
                <w:sz w:val="20"/>
              </w:rPr>
              <w:t>0.00</w:t>
            </w:r>
          </w:p>
        </w:tc>
        <w:tc>
          <w:tcPr>
            <w:tcW w:w="823" w:type="dxa"/>
          </w:tcPr>
          <w:p>
            <w:pPr>
              <w:pStyle w:val="TableParagraph"/>
              <w:ind w:left="254"/>
              <w:jc w:val="left"/>
              <w:rPr>
                <w:sz w:val="20"/>
              </w:rPr>
            </w:pPr>
            <w:r>
              <w:rPr>
                <w:sz w:val="20"/>
              </w:rPr>
              <w:t>0.00</w:t>
            </w:r>
          </w:p>
        </w:tc>
        <w:tc>
          <w:tcPr>
            <w:tcW w:w="826" w:type="dxa"/>
          </w:tcPr>
          <w:p>
            <w:pPr>
              <w:pStyle w:val="TableParagraph"/>
              <w:ind w:left="256"/>
              <w:jc w:val="left"/>
              <w:rPr>
                <w:sz w:val="20"/>
              </w:rPr>
            </w:pPr>
            <w:r>
              <w:rPr>
                <w:sz w:val="20"/>
              </w:rPr>
              <w:t>0.00</w:t>
            </w:r>
          </w:p>
        </w:tc>
        <w:tc>
          <w:tcPr>
            <w:tcW w:w="826" w:type="dxa"/>
          </w:tcPr>
          <w:p>
            <w:pPr>
              <w:pStyle w:val="TableParagraph"/>
              <w:ind w:right="211"/>
              <w:rPr>
                <w:sz w:val="20"/>
              </w:rPr>
            </w:pPr>
            <w:r>
              <w:rPr>
                <w:sz w:val="20"/>
              </w:rPr>
              <w:t>0.00</w:t>
            </w:r>
          </w:p>
        </w:tc>
        <w:tc>
          <w:tcPr>
            <w:tcW w:w="826" w:type="dxa"/>
          </w:tcPr>
          <w:p>
            <w:pPr>
              <w:pStyle w:val="TableParagraph"/>
              <w:ind w:left="257"/>
              <w:jc w:val="left"/>
              <w:rPr>
                <w:sz w:val="20"/>
              </w:rPr>
            </w:pPr>
            <w:r>
              <w:rPr>
                <w:sz w:val="20"/>
              </w:rPr>
              <w:t>0.00</w:t>
            </w:r>
          </w:p>
        </w:tc>
        <w:tc>
          <w:tcPr>
            <w:tcW w:w="826" w:type="dxa"/>
          </w:tcPr>
          <w:p>
            <w:pPr>
              <w:pStyle w:val="TableParagraph"/>
              <w:ind w:left="256"/>
              <w:jc w:val="left"/>
              <w:rPr>
                <w:sz w:val="20"/>
              </w:rPr>
            </w:pPr>
            <w:r>
              <w:rPr>
                <w:sz w:val="20"/>
              </w:rPr>
              <w:t>0.00</w:t>
            </w:r>
          </w:p>
        </w:tc>
        <w:tc>
          <w:tcPr>
            <w:tcW w:w="826" w:type="dxa"/>
          </w:tcPr>
          <w:p>
            <w:pPr>
              <w:pStyle w:val="TableParagraph"/>
              <w:ind w:left="257"/>
              <w:jc w:val="left"/>
              <w:rPr>
                <w:sz w:val="20"/>
              </w:rPr>
            </w:pPr>
            <w:r>
              <w:rPr>
                <w:sz w:val="20"/>
              </w:rPr>
              <w:t>0.00</w:t>
            </w:r>
          </w:p>
        </w:tc>
        <w:tc>
          <w:tcPr>
            <w:tcW w:w="826" w:type="dxa"/>
          </w:tcPr>
          <w:p>
            <w:pPr>
              <w:pStyle w:val="TableParagraph"/>
              <w:ind w:left="257"/>
              <w:jc w:val="left"/>
              <w:rPr>
                <w:sz w:val="20"/>
              </w:rPr>
            </w:pPr>
            <w:r>
              <w:rPr>
                <w:sz w:val="20"/>
              </w:rPr>
              <w:t>0.00</w:t>
            </w:r>
          </w:p>
        </w:tc>
        <w:tc>
          <w:tcPr>
            <w:tcW w:w="821" w:type="dxa"/>
          </w:tcPr>
          <w:p>
            <w:pPr>
              <w:pStyle w:val="TableParagraph"/>
              <w:ind w:left="256" w:right="84"/>
              <w:jc w:val="left"/>
              <w:rPr>
                <w:sz w:val="20"/>
              </w:rPr>
            </w:pPr>
            <w:r>
              <w:rPr>
                <w:sz w:val="20"/>
              </w:rPr>
              <w:t>0.00</w:t>
            </w:r>
          </w:p>
        </w:tc>
        <w:tc>
          <w:tcPr>
            <w:tcW w:w="771" w:type="dxa"/>
          </w:tcPr>
          <w:p>
            <w:pPr>
              <w:pStyle w:val="TableParagraph"/>
              <w:ind w:right="65"/>
              <w:rPr>
                <w:sz w:val="20"/>
              </w:rPr>
            </w:pPr>
            <w:r>
              <w:rPr>
                <w:sz w:val="20"/>
              </w:rPr>
              <w:t>0.00</w:t>
            </w:r>
          </w:p>
        </w:tc>
      </w:tr>
      <w:tr>
        <w:trPr>
          <w:trHeight w:val="300" w:hRule="exact"/>
        </w:trPr>
        <w:tc>
          <w:tcPr>
            <w:tcW w:w="1441" w:type="dxa"/>
          </w:tcPr>
          <w:p>
            <w:pPr>
              <w:pStyle w:val="TableParagraph"/>
              <w:ind w:left="86"/>
              <w:jc w:val="left"/>
              <w:rPr>
                <w:sz w:val="20"/>
              </w:rPr>
            </w:pPr>
            <w:r>
              <w:rPr>
                <w:sz w:val="20"/>
              </w:rPr>
              <w:t>TEJ_HlFlp</w:t>
            </w:r>
          </w:p>
        </w:tc>
        <w:tc>
          <w:tcPr>
            <w:tcW w:w="681" w:type="dxa"/>
          </w:tcPr>
          <w:p>
            <w:pPr>
              <w:pStyle w:val="TableParagraph"/>
              <w:ind w:left="97" w:right="193"/>
              <w:jc w:val="center"/>
              <w:rPr>
                <w:sz w:val="20"/>
              </w:rPr>
            </w:pPr>
            <w:r>
              <w:rPr>
                <w:sz w:val="20"/>
              </w:rPr>
              <w:t>0.00</w:t>
            </w:r>
          </w:p>
        </w:tc>
        <w:tc>
          <w:tcPr>
            <w:tcW w:w="823" w:type="dxa"/>
          </w:tcPr>
          <w:p>
            <w:pPr>
              <w:pStyle w:val="TableParagraph"/>
              <w:ind w:left="254"/>
              <w:jc w:val="left"/>
              <w:rPr>
                <w:sz w:val="20"/>
              </w:rPr>
            </w:pPr>
            <w:r>
              <w:rPr>
                <w:sz w:val="20"/>
              </w:rPr>
              <w:t>0.00</w:t>
            </w:r>
          </w:p>
        </w:tc>
        <w:tc>
          <w:tcPr>
            <w:tcW w:w="826" w:type="dxa"/>
          </w:tcPr>
          <w:p>
            <w:pPr>
              <w:pStyle w:val="TableParagraph"/>
              <w:ind w:left="256"/>
              <w:jc w:val="left"/>
              <w:rPr>
                <w:sz w:val="20"/>
              </w:rPr>
            </w:pPr>
            <w:r>
              <w:rPr>
                <w:sz w:val="20"/>
              </w:rPr>
              <w:t>0.00</w:t>
            </w:r>
          </w:p>
        </w:tc>
        <w:tc>
          <w:tcPr>
            <w:tcW w:w="826" w:type="dxa"/>
          </w:tcPr>
          <w:p>
            <w:pPr>
              <w:pStyle w:val="TableParagraph"/>
              <w:ind w:right="211"/>
              <w:rPr>
                <w:sz w:val="20"/>
              </w:rPr>
            </w:pPr>
            <w:r>
              <w:rPr>
                <w:sz w:val="20"/>
              </w:rPr>
              <w:t>0.00</w:t>
            </w:r>
          </w:p>
        </w:tc>
        <w:tc>
          <w:tcPr>
            <w:tcW w:w="826" w:type="dxa"/>
          </w:tcPr>
          <w:p>
            <w:pPr>
              <w:pStyle w:val="TableParagraph"/>
              <w:ind w:left="257"/>
              <w:jc w:val="left"/>
              <w:rPr>
                <w:sz w:val="20"/>
              </w:rPr>
            </w:pPr>
            <w:r>
              <w:rPr>
                <w:sz w:val="20"/>
              </w:rPr>
              <w:t>0.00</w:t>
            </w:r>
          </w:p>
        </w:tc>
        <w:tc>
          <w:tcPr>
            <w:tcW w:w="826" w:type="dxa"/>
          </w:tcPr>
          <w:p>
            <w:pPr>
              <w:pStyle w:val="TableParagraph"/>
              <w:ind w:left="256"/>
              <w:jc w:val="left"/>
              <w:rPr>
                <w:sz w:val="20"/>
              </w:rPr>
            </w:pPr>
            <w:r>
              <w:rPr>
                <w:sz w:val="20"/>
              </w:rPr>
              <w:t>0.00</w:t>
            </w:r>
          </w:p>
        </w:tc>
        <w:tc>
          <w:tcPr>
            <w:tcW w:w="826" w:type="dxa"/>
          </w:tcPr>
          <w:p>
            <w:pPr>
              <w:pStyle w:val="TableParagraph"/>
              <w:ind w:left="257"/>
              <w:jc w:val="left"/>
              <w:rPr>
                <w:sz w:val="20"/>
              </w:rPr>
            </w:pPr>
            <w:r>
              <w:rPr>
                <w:sz w:val="20"/>
              </w:rPr>
              <w:t>0.00</w:t>
            </w:r>
          </w:p>
        </w:tc>
        <w:tc>
          <w:tcPr>
            <w:tcW w:w="826" w:type="dxa"/>
          </w:tcPr>
          <w:p>
            <w:pPr>
              <w:pStyle w:val="TableParagraph"/>
              <w:ind w:left="257"/>
              <w:jc w:val="left"/>
              <w:rPr>
                <w:sz w:val="20"/>
              </w:rPr>
            </w:pPr>
            <w:r>
              <w:rPr>
                <w:sz w:val="20"/>
              </w:rPr>
              <w:t>0.00</w:t>
            </w:r>
          </w:p>
        </w:tc>
        <w:tc>
          <w:tcPr>
            <w:tcW w:w="821" w:type="dxa"/>
          </w:tcPr>
          <w:p>
            <w:pPr>
              <w:pStyle w:val="TableParagraph"/>
              <w:ind w:left="256" w:right="84"/>
              <w:jc w:val="left"/>
              <w:rPr>
                <w:sz w:val="20"/>
              </w:rPr>
            </w:pPr>
            <w:r>
              <w:rPr>
                <w:sz w:val="20"/>
              </w:rPr>
              <w:t>0.00</w:t>
            </w:r>
          </w:p>
        </w:tc>
        <w:tc>
          <w:tcPr>
            <w:tcW w:w="771" w:type="dxa"/>
          </w:tcPr>
          <w:p>
            <w:pPr>
              <w:pStyle w:val="TableParagraph"/>
              <w:ind w:right="65"/>
              <w:rPr>
                <w:sz w:val="20"/>
              </w:rPr>
            </w:pPr>
            <w:r>
              <w:rPr>
                <w:sz w:val="20"/>
              </w:rPr>
              <w:t>0.00</w:t>
            </w:r>
          </w:p>
        </w:tc>
      </w:tr>
      <w:tr>
        <w:trPr>
          <w:trHeight w:val="300" w:hRule="exact"/>
        </w:trPr>
        <w:tc>
          <w:tcPr>
            <w:tcW w:w="1441" w:type="dxa"/>
          </w:tcPr>
          <w:p>
            <w:pPr>
              <w:pStyle w:val="TableParagraph"/>
              <w:spacing w:before="26"/>
              <w:ind w:left="86"/>
              <w:jc w:val="left"/>
              <w:rPr>
                <w:sz w:val="20"/>
              </w:rPr>
            </w:pPr>
            <w:r>
              <w:rPr>
                <w:sz w:val="20"/>
              </w:rPr>
              <w:t>TEJ_HlFp</w:t>
            </w:r>
          </w:p>
        </w:tc>
        <w:tc>
          <w:tcPr>
            <w:tcW w:w="681" w:type="dxa"/>
          </w:tcPr>
          <w:p>
            <w:pPr>
              <w:pStyle w:val="TableParagraph"/>
              <w:spacing w:before="26"/>
              <w:ind w:left="97" w:right="193"/>
              <w:jc w:val="center"/>
              <w:rPr>
                <w:sz w:val="20"/>
              </w:rPr>
            </w:pPr>
            <w:r>
              <w:rPr>
                <w:sz w:val="20"/>
              </w:rPr>
              <w:t>0.00</w:t>
            </w:r>
          </w:p>
        </w:tc>
        <w:tc>
          <w:tcPr>
            <w:tcW w:w="823" w:type="dxa"/>
          </w:tcPr>
          <w:p>
            <w:pPr>
              <w:pStyle w:val="TableParagraph"/>
              <w:spacing w:before="26"/>
              <w:ind w:left="254"/>
              <w:jc w:val="left"/>
              <w:rPr>
                <w:sz w:val="20"/>
              </w:rPr>
            </w:pPr>
            <w:r>
              <w:rPr>
                <w:sz w:val="20"/>
              </w:rPr>
              <w:t>0.00</w:t>
            </w:r>
          </w:p>
        </w:tc>
        <w:tc>
          <w:tcPr>
            <w:tcW w:w="826" w:type="dxa"/>
          </w:tcPr>
          <w:p>
            <w:pPr>
              <w:pStyle w:val="TableParagraph"/>
              <w:spacing w:before="26"/>
              <w:ind w:left="256"/>
              <w:jc w:val="left"/>
              <w:rPr>
                <w:sz w:val="20"/>
              </w:rPr>
            </w:pPr>
            <w:r>
              <w:rPr>
                <w:sz w:val="20"/>
              </w:rPr>
              <w:t>0.00</w:t>
            </w:r>
          </w:p>
        </w:tc>
        <w:tc>
          <w:tcPr>
            <w:tcW w:w="826" w:type="dxa"/>
          </w:tcPr>
          <w:p>
            <w:pPr>
              <w:pStyle w:val="TableParagraph"/>
              <w:spacing w:before="26"/>
              <w:ind w:right="211"/>
              <w:rPr>
                <w:sz w:val="20"/>
              </w:rPr>
            </w:pPr>
            <w:r>
              <w:rPr>
                <w:sz w:val="20"/>
              </w:rPr>
              <w:t>0.00</w:t>
            </w:r>
          </w:p>
        </w:tc>
        <w:tc>
          <w:tcPr>
            <w:tcW w:w="826" w:type="dxa"/>
          </w:tcPr>
          <w:p>
            <w:pPr>
              <w:pStyle w:val="TableParagraph"/>
              <w:spacing w:before="26"/>
              <w:ind w:left="257"/>
              <w:jc w:val="left"/>
              <w:rPr>
                <w:sz w:val="20"/>
              </w:rPr>
            </w:pPr>
            <w:r>
              <w:rPr>
                <w:sz w:val="20"/>
              </w:rPr>
              <w:t>0.00</w:t>
            </w:r>
          </w:p>
        </w:tc>
        <w:tc>
          <w:tcPr>
            <w:tcW w:w="826" w:type="dxa"/>
          </w:tcPr>
          <w:p>
            <w:pPr>
              <w:pStyle w:val="TableParagraph"/>
              <w:spacing w:before="26"/>
              <w:ind w:left="256"/>
              <w:jc w:val="left"/>
              <w:rPr>
                <w:sz w:val="20"/>
              </w:rPr>
            </w:pPr>
            <w:r>
              <w:rPr>
                <w:sz w:val="20"/>
              </w:rPr>
              <w:t>0.00</w:t>
            </w:r>
          </w:p>
        </w:tc>
        <w:tc>
          <w:tcPr>
            <w:tcW w:w="826" w:type="dxa"/>
          </w:tcPr>
          <w:p>
            <w:pPr>
              <w:pStyle w:val="TableParagraph"/>
              <w:spacing w:before="26"/>
              <w:ind w:left="257"/>
              <w:jc w:val="left"/>
              <w:rPr>
                <w:sz w:val="20"/>
              </w:rPr>
            </w:pPr>
            <w:r>
              <w:rPr>
                <w:sz w:val="20"/>
              </w:rPr>
              <w:t>0.00</w:t>
            </w:r>
          </w:p>
        </w:tc>
        <w:tc>
          <w:tcPr>
            <w:tcW w:w="826" w:type="dxa"/>
          </w:tcPr>
          <w:p>
            <w:pPr>
              <w:pStyle w:val="TableParagraph"/>
              <w:spacing w:before="26"/>
              <w:ind w:left="257"/>
              <w:jc w:val="left"/>
              <w:rPr>
                <w:sz w:val="20"/>
              </w:rPr>
            </w:pPr>
            <w:r>
              <w:rPr>
                <w:sz w:val="20"/>
              </w:rPr>
              <w:t>0.00</w:t>
            </w:r>
          </w:p>
        </w:tc>
        <w:tc>
          <w:tcPr>
            <w:tcW w:w="821" w:type="dxa"/>
          </w:tcPr>
          <w:p>
            <w:pPr>
              <w:pStyle w:val="TableParagraph"/>
              <w:spacing w:before="26"/>
              <w:ind w:left="256" w:right="84"/>
              <w:jc w:val="left"/>
              <w:rPr>
                <w:sz w:val="20"/>
              </w:rPr>
            </w:pPr>
            <w:r>
              <w:rPr>
                <w:sz w:val="20"/>
              </w:rPr>
              <w:t>0.00</w:t>
            </w:r>
          </w:p>
        </w:tc>
        <w:tc>
          <w:tcPr>
            <w:tcW w:w="771" w:type="dxa"/>
          </w:tcPr>
          <w:p>
            <w:pPr>
              <w:pStyle w:val="TableParagraph"/>
              <w:spacing w:before="26"/>
              <w:ind w:right="65"/>
              <w:rPr>
                <w:sz w:val="20"/>
              </w:rPr>
            </w:pPr>
            <w:r>
              <w:rPr>
                <w:sz w:val="20"/>
              </w:rPr>
              <w:t>0.00</w:t>
            </w:r>
          </w:p>
        </w:tc>
      </w:tr>
      <w:tr>
        <w:trPr>
          <w:trHeight w:val="298" w:hRule="exact"/>
        </w:trPr>
        <w:tc>
          <w:tcPr>
            <w:tcW w:w="1441" w:type="dxa"/>
          </w:tcPr>
          <w:p>
            <w:pPr>
              <w:pStyle w:val="TableParagraph"/>
              <w:ind w:left="86"/>
              <w:jc w:val="left"/>
              <w:rPr>
                <w:sz w:val="20"/>
              </w:rPr>
            </w:pPr>
            <w:r>
              <w:rPr>
                <w:sz w:val="20"/>
              </w:rPr>
              <w:t>TEJ_HlSF</w:t>
            </w:r>
          </w:p>
        </w:tc>
        <w:tc>
          <w:tcPr>
            <w:tcW w:w="681" w:type="dxa"/>
          </w:tcPr>
          <w:p>
            <w:pPr>
              <w:pStyle w:val="TableParagraph"/>
              <w:ind w:left="97" w:right="193"/>
              <w:jc w:val="center"/>
              <w:rPr>
                <w:sz w:val="20"/>
              </w:rPr>
            </w:pPr>
            <w:r>
              <w:rPr>
                <w:sz w:val="20"/>
              </w:rPr>
              <w:t>0.00</w:t>
            </w:r>
          </w:p>
        </w:tc>
        <w:tc>
          <w:tcPr>
            <w:tcW w:w="823" w:type="dxa"/>
          </w:tcPr>
          <w:p>
            <w:pPr>
              <w:pStyle w:val="TableParagraph"/>
              <w:ind w:left="254"/>
              <w:jc w:val="left"/>
              <w:rPr>
                <w:sz w:val="20"/>
              </w:rPr>
            </w:pPr>
            <w:r>
              <w:rPr>
                <w:sz w:val="20"/>
              </w:rPr>
              <w:t>0.00</w:t>
            </w:r>
          </w:p>
        </w:tc>
        <w:tc>
          <w:tcPr>
            <w:tcW w:w="826" w:type="dxa"/>
          </w:tcPr>
          <w:p>
            <w:pPr>
              <w:pStyle w:val="TableParagraph"/>
              <w:ind w:left="256"/>
              <w:jc w:val="left"/>
              <w:rPr>
                <w:sz w:val="20"/>
              </w:rPr>
            </w:pPr>
            <w:r>
              <w:rPr>
                <w:sz w:val="20"/>
              </w:rPr>
              <w:t>0.00</w:t>
            </w:r>
          </w:p>
        </w:tc>
        <w:tc>
          <w:tcPr>
            <w:tcW w:w="826" w:type="dxa"/>
          </w:tcPr>
          <w:p>
            <w:pPr>
              <w:pStyle w:val="TableParagraph"/>
              <w:ind w:right="211"/>
              <w:rPr>
                <w:sz w:val="20"/>
              </w:rPr>
            </w:pPr>
            <w:r>
              <w:rPr>
                <w:sz w:val="20"/>
              </w:rPr>
              <w:t>0.00</w:t>
            </w:r>
          </w:p>
        </w:tc>
        <w:tc>
          <w:tcPr>
            <w:tcW w:w="826" w:type="dxa"/>
          </w:tcPr>
          <w:p>
            <w:pPr>
              <w:pStyle w:val="TableParagraph"/>
              <w:ind w:left="257"/>
              <w:jc w:val="left"/>
              <w:rPr>
                <w:sz w:val="20"/>
              </w:rPr>
            </w:pPr>
            <w:r>
              <w:rPr>
                <w:sz w:val="20"/>
              </w:rPr>
              <w:t>0.00</w:t>
            </w:r>
          </w:p>
        </w:tc>
        <w:tc>
          <w:tcPr>
            <w:tcW w:w="826" w:type="dxa"/>
          </w:tcPr>
          <w:p>
            <w:pPr>
              <w:pStyle w:val="TableParagraph"/>
              <w:ind w:left="256"/>
              <w:jc w:val="left"/>
              <w:rPr>
                <w:sz w:val="20"/>
              </w:rPr>
            </w:pPr>
            <w:r>
              <w:rPr>
                <w:sz w:val="20"/>
              </w:rPr>
              <w:t>0.00</w:t>
            </w:r>
          </w:p>
        </w:tc>
        <w:tc>
          <w:tcPr>
            <w:tcW w:w="826" w:type="dxa"/>
          </w:tcPr>
          <w:p>
            <w:pPr>
              <w:pStyle w:val="TableParagraph"/>
              <w:ind w:left="257"/>
              <w:jc w:val="left"/>
              <w:rPr>
                <w:sz w:val="20"/>
              </w:rPr>
            </w:pPr>
            <w:r>
              <w:rPr>
                <w:sz w:val="20"/>
              </w:rPr>
              <w:t>0.00</w:t>
            </w:r>
          </w:p>
        </w:tc>
        <w:tc>
          <w:tcPr>
            <w:tcW w:w="826" w:type="dxa"/>
          </w:tcPr>
          <w:p>
            <w:pPr>
              <w:pStyle w:val="TableParagraph"/>
              <w:ind w:left="257"/>
              <w:jc w:val="left"/>
              <w:rPr>
                <w:sz w:val="20"/>
              </w:rPr>
            </w:pPr>
            <w:r>
              <w:rPr>
                <w:sz w:val="20"/>
              </w:rPr>
              <w:t>0.00</w:t>
            </w:r>
          </w:p>
        </w:tc>
        <w:tc>
          <w:tcPr>
            <w:tcW w:w="821" w:type="dxa"/>
          </w:tcPr>
          <w:p>
            <w:pPr>
              <w:pStyle w:val="TableParagraph"/>
              <w:ind w:left="256" w:right="84"/>
              <w:jc w:val="left"/>
              <w:rPr>
                <w:sz w:val="20"/>
              </w:rPr>
            </w:pPr>
            <w:r>
              <w:rPr>
                <w:sz w:val="20"/>
              </w:rPr>
              <w:t>0.00</w:t>
            </w:r>
          </w:p>
        </w:tc>
        <w:tc>
          <w:tcPr>
            <w:tcW w:w="771" w:type="dxa"/>
          </w:tcPr>
          <w:p>
            <w:pPr>
              <w:pStyle w:val="TableParagraph"/>
              <w:ind w:right="65"/>
              <w:rPr>
                <w:sz w:val="20"/>
              </w:rPr>
            </w:pPr>
            <w:r>
              <w:rPr>
                <w:sz w:val="20"/>
              </w:rPr>
              <w:t>0.00</w:t>
            </w:r>
          </w:p>
        </w:tc>
      </w:tr>
      <w:tr>
        <w:trPr>
          <w:trHeight w:val="298" w:hRule="exact"/>
        </w:trPr>
        <w:tc>
          <w:tcPr>
            <w:tcW w:w="1441" w:type="dxa"/>
          </w:tcPr>
          <w:p>
            <w:pPr>
              <w:pStyle w:val="TableParagraph"/>
              <w:ind w:left="86"/>
              <w:jc w:val="left"/>
              <w:rPr>
                <w:sz w:val="20"/>
              </w:rPr>
            </w:pPr>
            <w:r>
              <w:rPr>
                <w:sz w:val="20"/>
              </w:rPr>
              <w:t>TEJ_ISF</w:t>
            </w:r>
          </w:p>
        </w:tc>
        <w:tc>
          <w:tcPr>
            <w:tcW w:w="681" w:type="dxa"/>
          </w:tcPr>
          <w:p>
            <w:pPr>
              <w:pStyle w:val="TableParagraph"/>
              <w:ind w:left="97" w:right="193"/>
              <w:jc w:val="center"/>
              <w:rPr>
                <w:sz w:val="20"/>
              </w:rPr>
            </w:pPr>
            <w:r>
              <w:rPr>
                <w:sz w:val="20"/>
              </w:rPr>
              <w:t>0.00</w:t>
            </w:r>
          </w:p>
        </w:tc>
        <w:tc>
          <w:tcPr>
            <w:tcW w:w="823" w:type="dxa"/>
          </w:tcPr>
          <w:p>
            <w:pPr>
              <w:pStyle w:val="TableParagraph"/>
              <w:ind w:left="254"/>
              <w:jc w:val="left"/>
              <w:rPr>
                <w:sz w:val="20"/>
              </w:rPr>
            </w:pPr>
            <w:r>
              <w:rPr>
                <w:sz w:val="20"/>
              </w:rPr>
              <w:t>0.00</w:t>
            </w:r>
          </w:p>
        </w:tc>
        <w:tc>
          <w:tcPr>
            <w:tcW w:w="826" w:type="dxa"/>
          </w:tcPr>
          <w:p>
            <w:pPr>
              <w:pStyle w:val="TableParagraph"/>
              <w:ind w:left="256"/>
              <w:jc w:val="left"/>
              <w:rPr>
                <w:sz w:val="20"/>
              </w:rPr>
            </w:pPr>
            <w:r>
              <w:rPr>
                <w:sz w:val="20"/>
              </w:rPr>
              <w:t>0.00</w:t>
            </w:r>
          </w:p>
        </w:tc>
        <w:tc>
          <w:tcPr>
            <w:tcW w:w="826" w:type="dxa"/>
          </w:tcPr>
          <w:p>
            <w:pPr>
              <w:pStyle w:val="TableParagraph"/>
              <w:ind w:right="211"/>
              <w:rPr>
                <w:sz w:val="20"/>
              </w:rPr>
            </w:pPr>
            <w:r>
              <w:rPr>
                <w:sz w:val="20"/>
              </w:rPr>
              <w:t>0.00</w:t>
            </w:r>
          </w:p>
        </w:tc>
        <w:tc>
          <w:tcPr>
            <w:tcW w:w="826" w:type="dxa"/>
          </w:tcPr>
          <w:p>
            <w:pPr>
              <w:pStyle w:val="TableParagraph"/>
              <w:ind w:left="257"/>
              <w:jc w:val="left"/>
              <w:rPr>
                <w:sz w:val="20"/>
              </w:rPr>
            </w:pPr>
            <w:r>
              <w:rPr>
                <w:sz w:val="20"/>
              </w:rPr>
              <w:t>0.00</w:t>
            </w:r>
          </w:p>
        </w:tc>
        <w:tc>
          <w:tcPr>
            <w:tcW w:w="826" w:type="dxa"/>
          </w:tcPr>
          <w:p>
            <w:pPr>
              <w:pStyle w:val="TableParagraph"/>
              <w:ind w:left="256"/>
              <w:jc w:val="left"/>
              <w:rPr>
                <w:sz w:val="20"/>
              </w:rPr>
            </w:pPr>
            <w:r>
              <w:rPr>
                <w:sz w:val="20"/>
              </w:rPr>
              <w:t>0.00</w:t>
            </w:r>
          </w:p>
        </w:tc>
        <w:tc>
          <w:tcPr>
            <w:tcW w:w="826" w:type="dxa"/>
          </w:tcPr>
          <w:p>
            <w:pPr>
              <w:pStyle w:val="TableParagraph"/>
              <w:ind w:left="257"/>
              <w:jc w:val="left"/>
              <w:rPr>
                <w:sz w:val="20"/>
              </w:rPr>
            </w:pPr>
            <w:r>
              <w:rPr>
                <w:sz w:val="20"/>
              </w:rPr>
              <w:t>0.00</w:t>
            </w:r>
          </w:p>
        </w:tc>
        <w:tc>
          <w:tcPr>
            <w:tcW w:w="826" w:type="dxa"/>
          </w:tcPr>
          <w:p>
            <w:pPr>
              <w:pStyle w:val="TableParagraph"/>
              <w:ind w:left="257"/>
              <w:jc w:val="left"/>
              <w:rPr>
                <w:sz w:val="20"/>
              </w:rPr>
            </w:pPr>
            <w:r>
              <w:rPr>
                <w:sz w:val="20"/>
              </w:rPr>
              <w:t>0.00</w:t>
            </w:r>
          </w:p>
        </w:tc>
        <w:tc>
          <w:tcPr>
            <w:tcW w:w="821" w:type="dxa"/>
          </w:tcPr>
          <w:p>
            <w:pPr>
              <w:pStyle w:val="TableParagraph"/>
              <w:ind w:left="256" w:right="84"/>
              <w:jc w:val="left"/>
              <w:rPr>
                <w:sz w:val="20"/>
              </w:rPr>
            </w:pPr>
            <w:r>
              <w:rPr>
                <w:sz w:val="20"/>
              </w:rPr>
              <w:t>0.00</w:t>
            </w:r>
          </w:p>
        </w:tc>
        <w:tc>
          <w:tcPr>
            <w:tcW w:w="771" w:type="dxa"/>
          </w:tcPr>
          <w:p>
            <w:pPr>
              <w:pStyle w:val="TableParagraph"/>
              <w:ind w:right="65"/>
              <w:rPr>
                <w:sz w:val="20"/>
              </w:rPr>
            </w:pPr>
            <w:r>
              <w:rPr>
                <w:sz w:val="20"/>
              </w:rPr>
              <w:t>0.00</w:t>
            </w:r>
          </w:p>
        </w:tc>
      </w:tr>
      <w:tr>
        <w:trPr>
          <w:trHeight w:val="298" w:hRule="exact"/>
        </w:trPr>
        <w:tc>
          <w:tcPr>
            <w:tcW w:w="1441" w:type="dxa"/>
          </w:tcPr>
          <w:p>
            <w:pPr>
              <w:pStyle w:val="TableParagraph"/>
              <w:ind w:left="86"/>
              <w:jc w:val="left"/>
              <w:rPr>
                <w:sz w:val="20"/>
              </w:rPr>
            </w:pPr>
            <w:r>
              <w:rPr>
                <w:sz w:val="20"/>
              </w:rPr>
              <w:t>TEJ_LcFdp</w:t>
            </w:r>
          </w:p>
        </w:tc>
        <w:tc>
          <w:tcPr>
            <w:tcW w:w="681" w:type="dxa"/>
          </w:tcPr>
          <w:p>
            <w:pPr>
              <w:pStyle w:val="TableParagraph"/>
              <w:ind w:left="97" w:right="193"/>
              <w:jc w:val="center"/>
              <w:rPr>
                <w:sz w:val="20"/>
              </w:rPr>
            </w:pPr>
            <w:r>
              <w:rPr>
                <w:sz w:val="20"/>
              </w:rPr>
              <w:t>0.00</w:t>
            </w:r>
          </w:p>
        </w:tc>
        <w:tc>
          <w:tcPr>
            <w:tcW w:w="823" w:type="dxa"/>
          </w:tcPr>
          <w:p>
            <w:pPr>
              <w:pStyle w:val="TableParagraph"/>
              <w:ind w:left="254"/>
              <w:jc w:val="left"/>
              <w:rPr>
                <w:sz w:val="20"/>
              </w:rPr>
            </w:pPr>
            <w:r>
              <w:rPr>
                <w:sz w:val="20"/>
              </w:rPr>
              <w:t>0.00</w:t>
            </w:r>
          </w:p>
        </w:tc>
        <w:tc>
          <w:tcPr>
            <w:tcW w:w="826" w:type="dxa"/>
          </w:tcPr>
          <w:p>
            <w:pPr>
              <w:pStyle w:val="TableParagraph"/>
              <w:ind w:left="256"/>
              <w:jc w:val="left"/>
              <w:rPr>
                <w:sz w:val="20"/>
              </w:rPr>
            </w:pPr>
            <w:r>
              <w:rPr>
                <w:sz w:val="20"/>
              </w:rPr>
              <w:t>0.00</w:t>
            </w:r>
          </w:p>
        </w:tc>
        <w:tc>
          <w:tcPr>
            <w:tcW w:w="826" w:type="dxa"/>
          </w:tcPr>
          <w:p>
            <w:pPr>
              <w:pStyle w:val="TableParagraph"/>
              <w:ind w:right="211"/>
              <w:rPr>
                <w:sz w:val="20"/>
              </w:rPr>
            </w:pPr>
            <w:r>
              <w:rPr>
                <w:sz w:val="20"/>
              </w:rPr>
              <w:t>0.00</w:t>
            </w:r>
          </w:p>
        </w:tc>
        <w:tc>
          <w:tcPr>
            <w:tcW w:w="826" w:type="dxa"/>
          </w:tcPr>
          <w:p>
            <w:pPr>
              <w:pStyle w:val="TableParagraph"/>
              <w:ind w:left="257"/>
              <w:jc w:val="left"/>
              <w:rPr>
                <w:sz w:val="20"/>
              </w:rPr>
            </w:pPr>
            <w:r>
              <w:rPr>
                <w:sz w:val="20"/>
              </w:rPr>
              <w:t>0.00</w:t>
            </w:r>
          </w:p>
        </w:tc>
        <w:tc>
          <w:tcPr>
            <w:tcW w:w="826" w:type="dxa"/>
          </w:tcPr>
          <w:p>
            <w:pPr>
              <w:pStyle w:val="TableParagraph"/>
              <w:ind w:left="256"/>
              <w:jc w:val="left"/>
              <w:rPr>
                <w:sz w:val="20"/>
              </w:rPr>
            </w:pPr>
            <w:r>
              <w:rPr>
                <w:sz w:val="20"/>
              </w:rPr>
              <w:t>0.00</w:t>
            </w:r>
          </w:p>
        </w:tc>
        <w:tc>
          <w:tcPr>
            <w:tcW w:w="826" w:type="dxa"/>
          </w:tcPr>
          <w:p>
            <w:pPr>
              <w:pStyle w:val="TableParagraph"/>
              <w:ind w:left="257"/>
              <w:jc w:val="left"/>
              <w:rPr>
                <w:sz w:val="20"/>
              </w:rPr>
            </w:pPr>
            <w:r>
              <w:rPr>
                <w:sz w:val="20"/>
              </w:rPr>
              <w:t>0.00</w:t>
            </w:r>
          </w:p>
        </w:tc>
        <w:tc>
          <w:tcPr>
            <w:tcW w:w="826" w:type="dxa"/>
          </w:tcPr>
          <w:p>
            <w:pPr>
              <w:pStyle w:val="TableParagraph"/>
              <w:ind w:left="257"/>
              <w:jc w:val="left"/>
              <w:rPr>
                <w:sz w:val="20"/>
              </w:rPr>
            </w:pPr>
            <w:r>
              <w:rPr>
                <w:sz w:val="20"/>
              </w:rPr>
              <w:t>0.00</w:t>
            </w:r>
          </w:p>
        </w:tc>
        <w:tc>
          <w:tcPr>
            <w:tcW w:w="821" w:type="dxa"/>
          </w:tcPr>
          <w:p>
            <w:pPr>
              <w:pStyle w:val="TableParagraph"/>
              <w:ind w:left="256" w:right="84"/>
              <w:jc w:val="left"/>
              <w:rPr>
                <w:sz w:val="20"/>
              </w:rPr>
            </w:pPr>
            <w:r>
              <w:rPr>
                <w:sz w:val="20"/>
              </w:rPr>
              <w:t>0.00</w:t>
            </w:r>
          </w:p>
        </w:tc>
        <w:tc>
          <w:tcPr>
            <w:tcW w:w="771" w:type="dxa"/>
          </w:tcPr>
          <w:p>
            <w:pPr>
              <w:pStyle w:val="TableParagraph"/>
              <w:ind w:right="65"/>
              <w:rPr>
                <w:sz w:val="20"/>
              </w:rPr>
            </w:pPr>
            <w:r>
              <w:rPr>
                <w:sz w:val="20"/>
              </w:rPr>
              <w:t>0.00</w:t>
            </w:r>
          </w:p>
        </w:tc>
      </w:tr>
      <w:tr>
        <w:trPr>
          <w:trHeight w:val="298" w:hRule="exact"/>
        </w:trPr>
        <w:tc>
          <w:tcPr>
            <w:tcW w:w="1441" w:type="dxa"/>
          </w:tcPr>
          <w:p>
            <w:pPr>
              <w:pStyle w:val="TableParagraph"/>
              <w:ind w:left="86"/>
              <w:jc w:val="left"/>
              <w:rPr>
                <w:sz w:val="20"/>
              </w:rPr>
            </w:pPr>
            <w:r>
              <w:rPr>
                <w:sz w:val="20"/>
              </w:rPr>
              <w:t>TEJ_LcFl</w:t>
            </w:r>
          </w:p>
        </w:tc>
        <w:tc>
          <w:tcPr>
            <w:tcW w:w="681" w:type="dxa"/>
          </w:tcPr>
          <w:p>
            <w:pPr>
              <w:pStyle w:val="TableParagraph"/>
              <w:ind w:left="97" w:right="193"/>
              <w:jc w:val="center"/>
              <w:rPr>
                <w:sz w:val="20"/>
              </w:rPr>
            </w:pPr>
            <w:r>
              <w:rPr>
                <w:sz w:val="20"/>
              </w:rPr>
              <w:t>0.00</w:t>
            </w:r>
          </w:p>
        </w:tc>
        <w:tc>
          <w:tcPr>
            <w:tcW w:w="823" w:type="dxa"/>
          </w:tcPr>
          <w:p>
            <w:pPr>
              <w:pStyle w:val="TableParagraph"/>
              <w:ind w:left="254"/>
              <w:jc w:val="left"/>
              <w:rPr>
                <w:sz w:val="20"/>
              </w:rPr>
            </w:pPr>
            <w:r>
              <w:rPr>
                <w:sz w:val="20"/>
              </w:rPr>
              <w:t>0.00</w:t>
            </w:r>
          </w:p>
        </w:tc>
        <w:tc>
          <w:tcPr>
            <w:tcW w:w="826" w:type="dxa"/>
          </w:tcPr>
          <w:p>
            <w:pPr>
              <w:pStyle w:val="TableParagraph"/>
              <w:ind w:left="256"/>
              <w:jc w:val="left"/>
              <w:rPr>
                <w:sz w:val="20"/>
              </w:rPr>
            </w:pPr>
            <w:r>
              <w:rPr>
                <w:sz w:val="20"/>
              </w:rPr>
              <w:t>0.00</w:t>
            </w:r>
          </w:p>
        </w:tc>
        <w:tc>
          <w:tcPr>
            <w:tcW w:w="826" w:type="dxa"/>
          </w:tcPr>
          <w:p>
            <w:pPr>
              <w:pStyle w:val="TableParagraph"/>
              <w:ind w:right="211"/>
              <w:rPr>
                <w:sz w:val="20"/>
              </w:rPr>
            </w:pPr>
            <w:r>
              <w:rPr>
                <w:sz w:val="20"/>
              </w:rPr>
              <w:t>0.00</w:t>
            </w:r>
          </w:p>
        </w:tc>
        <w:tc>
          <w:tcPr>
            <w:tcW w:w="826" w:type="dxa"/>
          </w:tcPr>
          <w:p>
            <w:pPr>
              <w:pStyle w:val="TableParagraph"/>
              <w:ind w:left="257"/>
              <w:jc w:val="left"/>
              <w:rPr>
                <w:sz w:val="20"/>
              </w:rPr>
            </w:pPr>
            <w:r>
              <w:rPr>
                <w:sz w:val="20"/>
              </w:rPr>
              <w:t>0.00</w:t>
            </w:r>
          </w:p>
        </w:tc>
        <w:tc>
          <w:tcPr>
            <w:tcW w:w="826" w:type="dxa"/>
          </w:tcPr>
          <w:p>
            <w:pPr>
              <w:pStyle w:val="TableParagraph"/>
              <w:ind w:left="256"/>
              <w:jc w:val="left"/>
              <w:rPr>
                <w:sz w:val="20"/>
              </w:rPr>
            </w:pPr>
            <w:r>
              <w:rPr>
                <w:sz w:val="20"/>
              </w:rPr>
              <w:t>0.00</w:t>
            </w:r>
          </w:p>
        </w:tc>
        <w:tc>
          <w:tcPr>
            <w:tcW w:w="826" w:type="dxa"/>
          </w:tcPr>
          <w:p>
            <w:pPr>
              <w:pStyle w:val="TableParagraph"/>
              <w:ind w:left="257"/>
              <w:jc w:val="left"/>
              <w:rPr>
                <w:sz w:val="20"/>
              </w:rPr>
            </w:pPr>
            <w:r>
              <w:rPr>
                <w:sz w:val="20"/>
              </w:rPr>
              <w:t>0.00</w:t>
            </w:r>
          </w:p>
        </w:tc>
        <w:tc>
          <w:tcPr>
            <w:tcW w:w="826" w:type="dxa"/>
          </w:tcPr>
          <w:p>
            <w:pPr>
              <w:pStyle w:val="TableParagraph"/>
              <w:ind w:left="257"/>
              <w:jc w:val="left"/>
              <w:rPr>
                <w:sz w:val="20"/>
              </w:rPr>
            </w:pPr>
            <w:r>
              <w:rPr>
                <w:sz w:val="20"/>
              </w:rPr>
              <w:t>0.00</w:t>
            </w:r>
          </w:p>
        </w:tc>
        <w:tc>
          <w:tcPr>
            <w:tcW w:w="821" w:type="dxa"/>
          </w:tcPr>
          <w:p>
            <w:pPr>
              <w:pStyle w:val="TableParagraph"/>
              <w:ind w:left="256" w:right="84"/>
              <w:jc w:val="left"/>
              <w:rPr>
                <w:sz w:val="20"/>
              </w:rPr>
            </w:pPr>
            <w:r>
              <w:rPr>
                <w:sz w:val="20"/>
              </w:rPr>
              <w:t>0.00</w:t>
            </w:r>
          </w:p>
        </w:tc>
        <w:tc>
          <w:tcPr>
            <w:tcW w:w="771" w:type="dxa"/>
          </w:tcPr>
          <w:p>
            <w:pPr>
              <w:pStyle w:val="TableParagraph"/>
              <w:ind w:right="65"/>
              <w:rPr>
                <w:sz w:val="20"/>
              </w:rPr>
            </w:pPr>
            <w:r>
              <w:rPr>
                <w:sz w:val="20"/>
              </w:rPr>
              <w:t>0.00</w:t>
            </w:r>
          </w:p>
        </w:tc>
      </w:tr>
      <w:tr>
        <w:trPr>
          <w:trHeight w:val="298" w:hRule="exact"/>
        </w:trPr>
        <w:tc>
          <w:tcPr>
            <w:tcW w:w="1441" w:type="dxa"/>
          </w:tcPr>
          <w:p>
            <w:pPr>
              <w:pStyle w:val="TableParagraph"/>
              <w:ind w:left="86"/>
              <w:jc w:val="left"/>
              <w:rPr>
                <w:sz w:val="20"/>
              </w:rPr>
            </w:pPr>
            <w:r>
              <w:rPr>
                <w:sz w:val="20"/>
              </w:rPr>
              <w:t>TEJ_LcFlp</w:t>
            </w:r>
          </w:p>
        </w:tc>
        <w:tc>
          <w:tcPr>
            <w:tcW w:w="681" w:type="dxa"/>
          </w:tcPr>
          <w:p>
            <w:pPr>
              <w:pStyle w:val="TableParagraph"/>
              <w:ind w:left="97" w:right="193"/>
              <w:jc w:val="center"/>
              <w:rPr>
                <w:sz w:val="20"/>
              </w:rPr>
            </w:pPr>
            <w:r>
              <w:rPr>
                <w:sz w:val="20"/>
              </w:rPr>
              <w:t>0.00</w:t>
            </w:r>
          </w:p>
        </w:tc>
        <w:tc>
          <w:tcPr>
            <w:tcW w:w="823" w:type="dxa"/>
          </w:tcPr>
          <w:p>
            <w:pPr>
              <w:pStyle w:val="TableParagraph"/>
              <w:ind w:left="254"/>
              <w:jc w:val="left"/>
              <w:rPr>
                <w:sz w:val="20"/>
              </w:rPr>
            </w:pPr>
            <w:r>
              <w:rPr>
                <w:sz w:val="20"/>
              </w:rPr>
              <w:t>0.00</w:t>
            </w:r>
          </w:p>
        </w:tc>
        <w:tc>
          <w:tcPr>
            <w:tcW w:w="826" w:type="dxa"/>
          </w:tcPr>
          <w:p>
            <w:pPr>
              <w:pStyle w:val="TableParagraph"/>
              <w:ind w:left="256"/>
              <w:jc w:val="left"/>
              <w:rPr>
                <w:sz w:val="20"/>
              </w:rPr>
            </w:pPr>
            <w:r>
              <w:rPr>
                <w:sz w:val="20"/>
              </w:rPr>
              <w:t>0.00</w:t>
            </w:r>
          </w:p>
        </w:tc>
        <w:tc>
          <w:tcPr>
            <w:tcW w:w="826" w:type="dxa"/>
          </w:tcPr>
          <w:p>
            <w:pPr>
              <w:pStyle w:val="TableParagraph"/>
              <w:ind w:right="211"/>
              <w:rPr>
                <w:sz w:val="20"/>
              </w:rPr>
            </w:pPr>
            <w:r>
              <w:rPr>
                <w:sz w:val="20"/>
              </w:rPr>
              <w:t>0.00</w:t>
            </w:r>
          </w:p>
        </w:tc>
        <w:tc>
          <w:tcPr>
            <w:tcW w:w="826" w:type="dxa"/>
          </w:tcPr>
          <w:p>
            <w:pPr>
              <w:pStyle w:val="TableParagraph"/>
              <w:ind w:left="257"/>
              <w:jc w:val="left"/>
              <w:rPr>
                <w:sz w:val="20"/>
              </w:rPr>
            </w:pPr>
            <w:r>
              <w:rPr>
                <w:sz w:val="20"/>
              </w:rPr>
              <w:t>0.00</w:t>
            </w:r>
          </w:p>
        </w:tc>
        <w:tc>
          <w:tcPr>
            <w:tcW w:w="826" w:type="dxa"/>
          </w:tcPr>
          <w:p>
            <w:pPr>
              <w:pStyle w:val="TableParagraph"/>
              <w:ind w:left="256"/>
              <w:jc w:val="left"/>
              <w:rPr>
                <w:sz w:val="20"/>
              </w:rPr>
            </w:pPr>
            <w:r>
              <w:rPr>
                <w:sz w:val="20"/>
              </w:rPr>
              <w:t>0.00</w:t>
            </w:r>
          </w:p>
        </w:tc>
        <w:tc>
          <w:tcPr>
            <w:tcW w:w="826" w:type="dxa"/>
          </w:tcPr>
          <w:p>
            <w:pPr>
              <w:pStyle w:val="TableParagraph"/>
              <w:ind w:left="257"/>
              <w:jc w:val="left"/>
              <w:rPr>
                <w:sz w:val="20"/>
              </w:rPr>
            </w:pPr>
            <w:r>
              <w:rPr>
                <w:sz w:val="20"/>
              </w:rPr>
              <w:t>0.00</w:t>
            </w:r>
          </w:p>
        </w:tc>
        <w:tc>
          <w:tcPr>
            <w:tcW w:w="826" w:type="dxa"/>
          </w:tcPr>
          <w:p>
            <w:pPr>
              <w:pStyle w:val="TableParagraph"/>
              <w:ind w:left="257"/>
              <w:jc w:val="left"/>
              <w:rPr>
                <w:sz w:val="20"/>
              </w:rPr>
            </w:pPr>
            <w:r>
              <w:rPr>
                <w:sz w:val="20"/>
              </w:rPr>
              <w:t>0.00</w:t>
            </w:r>
          </w:p>
        </w:tc>
        <w:tc>
          <w:tcPr>
            <w:tcW w:w="821" w:type="dxa"/>
          </w:tcPr>
          <w:p>
            <w:pPr>
              <w:pStyle w:val="TableParagraph"/>
              <w:ind w:left="256" w:right="84"/>
              <w:jc w:val="left"/>
              <w:rPr>
                <w:sz w:val="20"/>
              </w:rPr>
            </w:pPr>
            <w:r>
              <w:rPr>
                <w:sz w:val="20"/>
              </w:rPr>
              <w:t>0.00</w:t>
            </w:r>
          </w:p>
        </w:tc>
        <w:tc>
          <w:tcPr>
            <w:tcW w:w="771" w:type="dxa"/>
          </w:tcPr>
          <w:p>
            <w:pPr>
              <w:pStyle w:val="TableParagraph"/>
              <w:ind w:right="65"/>
              <w:rPr>
                <w:sz w:val="20"/>
              </w:rPr>
            </w:pPr>
            <w:r>
              <w:rPr>
                <w:sz w:val="20"/>
              </w:rPr>
              <w:t>0.00</w:t>
            </w:r>
          </w:p>
        </w:tc>
      </w:tr>
      <w:tr>
        <w:trPr>
          <w:trHeight w:val="298" w:hRule="exact"/>
        </w:trPr>
        <w:tc>
          <w:tcPr>
            <w:tcW w:w="1441" w:type="dxa"/>
          </w:tcPr>
          <w:p>
            <w:pPr>
              <w:pStyle w:val="TableParagraph"/>
              <w:ind w:left="86"/>
              <w:jc w:val="left"/>
              <w:rPr>
                <w:sz w:val="20"/>
              </w:rPr>
            </w:pPr>
            <w:r>
              <w:rPr>
                <w:sz w:val="20"/>
              </w:rPr>
              <w:t>TEJ_LcSF</w:t>
            </w:r>
          </w:p>
        </w:tc>
        <w:tc>
          <w:tcPr>
            <w:tcW w:w="681" w:type="dxa"/>
          </w:tcPr>
          <w:p>
            <w:pPr>
              <w:pStyle w:val="TableParagraph"/>
              <w:ind w:left="97" w:right="193"/>
              <w:jc w:val="center"/>
              <w:rPr>
                <w:sz w:val="20"/>
              </w:rPr>
            </w:pPr>
            <w:r>
              <w:rPr>
                <w:sz w:val="20"/>
              </w:rPr>
              <w:t>0.00</w:t>
            </w:r>
          </w:p>
        </w:tc>
        <w:tc>
          <w:tcPr>
            <w:tcW w:w="823" w:type="dxa"/>
          </w:tcPr>
          <w:p>
            <w:pPr>
              <w:pStyle w:val="TableParagraph"/>
              <w:ind w:left="254"/>
              <w:jc w:val="left"/>
              <w:rPr>
                <w:sz w:val="20"/>
              </w:rPr>
            </w:pPr>
            <w:r>
              <w:rPr>
                <w:sz w:val="20"/>
              </w:rPr>
              <w:t>0.00</w:t>
            </w:r>
          </w:p>
        </w:tc>
        <w:tc>
          <w:tcPr>
            <w:tcW w:w="826" w:type="dxa"/>
          </w:tcPr>
          <w:p>
            <w:pPr>
              <w:pStyle w:val="TableParagraph"/>
              <w:ind w:left="256"/>
              <w:jc w:val="left"/>
              <w:rPr>
                <w:sz w:val="20"/>
              </w:rPr>
            </w:pPr>
            <w:r>
              <w:rPr>
                <w:sz w:val="20"/>
              </w:rPr>
              <w:t>0.00</w:t>
            </w:r>
          </w:p>
        </w:tc>
        <w:tc>
          <w:tcPr>
            <w:tcW w:w="826" w:type="dxa"/>
          </w:tcPr>
          <w:p>
            <w:pPr>
              <w:pStyle w:val="TableParagraph"/>
              <w:ind w:right="211"/>
              <w:rPr>
                <w:sz w:val="20"/>
              </w:rPr>
            </w:pPr>
            <w:r>
              <w:rPr>
                <w:sz w:val="20"/>
              </w:rPr>
              <w:t>0.00</w:t>
            </w:r>
          </w:p>
        </w:tc>
        <w:tc>
          <w:tcPr>
            <w:tcW w:w="826" w:type="dxa"/>
          </w:tcPr>
          <w:p>
            <w:pPr>
              <w:pStyle w:val="TableParagraph"/>
              <w:ind w:left="257"/>
              <w:jc w:val="left"/>
              <w:rPr>
                <w:sz w:val="20"/>
              </w:rPr>
            </w:pPr>
            <w:r>
              <w:rPr>
                <w:sz w:val="20"/>
              </w:rPr>
              <w:t>0.00</w:t>
            </w:r>
          </w:p>
        </w:tc>
        <w:tc>
          <w:tcPr>
            <w:tcW w:w="826" w:type="dxa"/>
          </w:tcPr>
          <w:p>
            <w:pPr>
              <w:pStyle w:val="TableParagraph"/>
              <w:ind w:left="256"/>
              <w:jc w:val="left"/>
              <w:rPr>
                <w:sz w:val="20"/>
              </w:rPr>
            </w:pPr>
            <w:r>
              <w:rPr>
                <w:sz w:val="20"/>
              </w:rPr>
              <w:t>0.00</w:t>
            </w:r>
          </w:p>
        </w:tc>
        <w:tc>
          <w:tcPr>
            <w:tcW w:w="826" w:type="dxa"/>
          </w:tcPr>
          <w:p>
            <w:pPr>
              <w:pStyle w:val="TableParagraph"/>
              <w:ind w:left="257"/>
              <w:jc w:val="left"/>
              <w:rPr>
                <w:sz w:val="20"/>
              </w:rPr>
            </w:pPr>
            <w:r>
              <w:rPr>
                <w:sz w:val="20"/>
              </w:rPr>
              <w:t>0.00</w:t>
            </w:r>
          </w:p>
        </w:tc>
        <w:tc>
          <w:tcPr>
            <w:tcW w:w="826" w:type="dxa"/>
          </w:tcPr>
          <w:p>
            <w:pPr>
              <w:pStyle w:val="TableParagraph"/>
              <w:ind w:left="257"/>
              <w:jc w:val="left"/>
              <w:rPr>
                <w:sz w:val="20"/>
              </w:rPr>
            </w:pPr>
            <w:r>
              <w:rPr>
                <w:sz w:val="20"/>
              </w:rPr>
              <w:t>0.00</w:t>
            </w:r>
          </w:p>
        </w:tc>
        <w:tc>
          <w:tcPr>
            <w:tcW w:w="821" w:type="dxa"/>
          </w:tcPr>
          <w:p>
            <w:pPr>
              <w:pStyle w:val="TableParagraph"/>
              <w:ind w:left="256" w:right="84"/>
              <w:jc w:val="left"/>
              <w:rPr>
                <w:sz w:val="20"/>
              </w:rPr>
            </w:pPr>
            <w:r>
              <w:rPr>
                <w:sz w:val="20"/>
              </w:rPr>
              <w:t>0.00</w:t>
            </w:r>
          </w:p>
        </w:tc>
        <w:tc>
          <w:tcPr>
            <w:tcW w:w="771" w:type="dxa"/>
          </w:tcPr>
          <w:p>
            <w:pPr>
              <w:pStyle w:val="TableParagraph"/>
              <w:ind w:right="65"/>
              <w:rPr>
                <w:sz w:val="20"/>
              </w:rPr>
            </w:pPr>
            <w:r>
              <w:rPr>
                <w:sz w:val="20"/>
              </w:rPr>
              <w:t>0.00</w:t>
            </w:r>
          </w:p>
        </w:tc>
      </w:tr>
      <w:tr>
        <w:trPr>
          <w:trHeight w:val="298" w:hRule="exact"/>
        </w:trPr>
        <w:tc>
          <w:tcPr>
            <w:tcW w:w="1441" w:type="dxa"/>
          </w:tcPr>
          <w:p>
            <w:pPr>
              <w:pStyle w:val="TableParagraph"/>
              <w:spacing w:before="24"/>
              <w:ind w:left="86"/>
              <w:jc w:val="left"/>
              <w:rPr>
                <w:sz w:val="20"/>
              </w:rPr>
            </w:pPr>
            <w:r>
              <w:rPr>
                <w:sz w:val="20"/>
              </w:rPr>
              <w:t>TEJ_TmFlp</w:t>
            </w:r>
          </w:p>
        </w:tc>
        <w:tc>
          <w:tcPr>
            <w:tcW w:w="681" w:type="dxa"/>
          </w:tcPr>
          <w:p>
            <w:pPr>
              <w:pStyle w:val="TableParagraph"/>
              <w:spacing w:before="24"/>
              <w:ind w:left="97" w:right="193"/>
              <w:jc w:val="center"/>
              <w:rPr>
                <w:sz w:val="20"/>
              </w:rPr>
            </w:pPr>
            <w:r>
              <w:rPr>
                <w:sz w:val="20"/>
              </w:rPr>
              <w:t>0.00</w:t>
            </w:r>
          </w:p>
        </w:tc>
        <w:tc>
          <w:tcPr>
            <w:tcW w:w="823" w:type="dxa"/>
          </w:tcPr>
          <w:p>
            <w:pPr>
              <w:pStyle w:val="TableParagraph"/>
              <w:spacing w:before="24"/>
              <w:ind w:left="254"/>
              <w:jc w:val="left"/>
              <w:rPr>
                <w:sz w:val="20"/>
              </w:rPr>
            </w:pPr>
            <w:r>
              <w:rPr>
                <w:sz w:val="20"/>
              </w:rPr>
              <w:t>0.00</w:t>
            </w:r>
          </w:p>
        </w:tc>
        <w:tc>
          <w:tcPr>
            <w:tcW w:w="826" w:type="dxa"/>
          </w:tcPr>
          <w:p>
            <w:pPr>
              <w:pStyle w:val="TableParagraph"/>
              <w:spacing w:before="24"/>
              <w:ind w:left="256"/>
              <w:jc w:val="left"/>
              <w:rPr>
                <w:sz w:val="20"/>
              </w:rPr>
            </w:pPr>
            <w:r>
              <w:rPr>
                <w:sz w:val="20"/>
              </w:rPr>
              <w:t>0.00</w:t>
            </w:r>
          </w:p>
        </w:tc>
        <w:tc>
          <w:tcPr>
            <w:tcW w:w="826" w:type="dxa"/>
          </w:tcPr>
          <w:p>
            <w:pPr>
              <w:pStyle w:val="TableParagraph"/>
              <w:spacing w:before="24"/>
              <w:ind w:right="211"/>
              <w:rPr>
                <w:sz w:val="20"/>
              </w:rPr>
            </w:pPr>
            <w:r>
              <w:rPr>
                <w:sz w:val="20"/>
              </w:rPr>
              <w:t>0.00</w:t>
            </w:r>
          </w:p>
        </w:tc>
        <w:tc>
          <w:tcPr>
            <w:tcW w:w="826" w:type="dxa"/>
          </w:tcPr>
          <w:p>
            <w:pPr>
              <w:pStyle w:val="TableParagraph"/>
              <w:spacing w:before="24"/>
              <w:ind w:left="257"/>
              <w:jc w:val="left"/>
              <w:rPr>
                <w:sz w:val="20"/>
              </w:rPr>
            </w:pPr>
            <w:r>
              <w:rPr>
                <w:sz w:val="20"/>
              </w:rPr>
              <w:t>0.00</w:t>
            </w:r>
          </w:p>
        </w:tc>
        <w:tc>
          <w:tcPr>
            <w:tcW w:w="826" w:type="dxa"/>
          </w:tcPr>
          <w:p>
            <w:pPr>
              <w:pStyle w:val="TableParagraph"/>
              <w:spacing w:before="24"/>
              <w:ind w:left="256"/>
              <w:jc w:val="left"/>
              <w:rPr>
                <w:sz w:val="20"/>
              </w:rPr>
            </w:pPr>
            <w:r>
              <w:rPr>
                <w:sz w:val="20"/>
              </w:rPr>
              <w:t>0.00</w:t>
            </w:r>
          </w:p>
        </w:tc>
        <w:tc>
          <w:tcPr>
            <w:tcW w:w="826" w:type="dxa"/>
          </w:tcPr>
          <w:p>
            <w:pPr>
              <w:pStyle w:val="TableParagraph"/>
              <w:spacing w:before="24"/>
              <w:ind w:left="257"/>
              <w:jc w:val="left"/>
              <w:rPr>
                <w:sz w:val="20"/>
              </w:rPr>
            </w:pPr>
            <w:r>
              <w:rPr>
                <w:sz w:val="20"/>
              </w:rPr>
              <w:t>0.00</w:t>
            </w:r>
          </w:p>
        </w:tc>
        <w:tc>
          <w:tcPr>
            <w:tcW w:w="826" w:type="dxa"/>
          </w:tcPr>
          <w:p>
            <w:pPr>
              <w:pStyle w:val="TableParagraph"/>
              <w:spacing w:before="24"/>
              <w:ind w:left="257"/>
              <w:jc w:val="left"/>
              <w:rPr>
                <w:sz w:val="20"/>
              </w:rPr>
            </w:pPr>
            <w:r>
              <w:rPr>
                <w:sz w:val="20"/>
              </w:rPr>
              <w:t>0.00</w:t>
            </w:r>
          </w:p>
        </w:tc>
        <w:tc>
          <w:tcPr>
            <w:tcW w:w="821" w:type="dxa"/>
          </w:tcPr>
          <w:p>
            <w:pPr>
              <w:pStyle w:val="TableParagraph"/>
              <w:spacing w:before="24"/>
              <w:ind w:left="256" w:right="84"/>
              <w:jc w:val="left"/>
              <w:rPr>
                <w:sz w:val="20"/>
              </w:rPr>
            </w:pPr>
            <w:r>
              <w:rPr>
                <w:sz w:val="20"/>
              </w:rPr>
              <w:t>0.00</w:t>
            </w:r>
          </w:p>
        </w:tc>
        <w:tc>
          <w:tcPr>
            <w:tcW w:w="771" w:type="dxa"/>
          </w:tcPr>
          <w:p>
            <w:pPr>
              <w:pStyle w:val="TableParagraph"/>
              <w:spacing w:before="24"/>
              <w:ind w:right="65"/>
              <w:rPr>
                <w:sz w:val="20"/>
              </w:rPr>
            </w:pPr>
            <w:r>
              <w:rPr>
                <w:sz w:val="20"/>
              </w:rPr>
              <w:t>0.00</w:t>
            </w:r>
          </w:p>
        </w:tc>
      </w:tr>
      <w:tr>
        <w:trPr>
          <w:trHeight w:val="298" w:hRule="exact"/>
        </w:trPr>
        <w:tc>
          <w:tcPr>
            <w:tcW w:w="1441" w:type="dxa"/>
          </w:tcPr>
          <w:p>
            <w:pPr>
              <w:pStyle w:val="TableParagraph"/>
              <w:ind w:left="86"/>
              <w:jc w:val="left"/>
              <w:rPr>
                <w:sz w:val="20"/>
              </w:rPr>
            </w:pPr>
            <w:r>
              <w:rPr>
                <w:sz w:val="20"/>
              </w:rPr>
              <w:t>TEJ_ToSF</w:t>
            </w:r>
          </w:p>
        </w:tc>
        <w:tc>
          <w:tcPr>
            <w:tcW w:w="681" w:type="dxa"/>
          </w:tcPr>
          <w:p>
            <w:pPr>
              <w:pStyle w:val="TableParagraph"/>
              <w:ind w:left="97" w:right="193"/>
              <w:jc w:val="center"/>
              <w:rPr>
                <w:sz w:val="20"/>
              </w:rPr>
            </w:pPr>
            <w:r>
              <w:rPr>
                <w:sz w:val="20"/>
              </w:rPr>
              <w:t>0.00</w:t>
            </w:r>
          </w:p>
        </w:tc>
        <w:tc>
          <w:tcPr>
            <w:tcW w:w="823" w:type="dxa"/>
          </w:tcPr>
          <w:p>
            <w:pPr>
              <w:pStyle w:val="TableParagraph"/>
              <w:ind w:left="254"/>
              <w:jc w:val="left"/>
              <w:rPr>
                <w:sz w:val="20"/>
              </w:rPr>
            </w:pPr>
            <w:r>
              <w:rPr>
                <w:sz w:val="20"/>
              </w:rPr>
              <w:t>0.00</w:t>
            </w:r>
          </w:p>
        </w:tc>
        <w:tc>
          <w:tcPr>
            <w:tcW w:w="826" w:type="dxa"/>
          </w:tcPr>
          <w:p>
            <w:pPr>
              <w:pStyle w:val="TableParagraph"/>
              <w:ind w:left="256"/>
              <w:jc w:val="left"/>
              <w:rPr>
                <w:sz w:val="20"/>
              </w:rPr>
            </w:pPr>
            <w:r>
              <w:rPr>
                <w:sz w:val="20"/>
              </w:rPr>
              <w:t>0.00</w:t>
            </w:r>
          </w:p>
        </w:tc>
        <w:tc>
          <w:tcPr>
            <w:tcW w:w="826" w:type="dxa"/>
          </w:tcPr>
          <w:p>
            <w:pPr>
              <w:pStyle w:val="TableParagraph"/>
              <w:ind w:right="211"/>
              <w:rPr>
                <w:sz w:val="20"/>
              </w:rPr>
            </w:pPr>
            <w:r>
              <w:rPr>
                <w:sz w:val="20"/>
              </w:rPr>
              <w:t>0.00</w:t>
            </w:r>
          </w:p>
        </w:tc>
        <w:tc>
          <w:tcPr>
            <w:tcW w:w="826" w:type="dxa"/>
          </w:tcPr>
          <w:p>
            <w:pPr>
              <w:pStyle w:val="TableParagraph"/>
              <w:ind w:left="257"/>
              <w:jc w:val="left"/>
              <w:rPr>
                <w:sz w:val="20"/>
              </w:rPr>
            </w:pPr>
            <w:r>
              <w:rPr>
                <w:sz w:val="20"/>
              </w:rPr>
              <w:t>0.00</w:t>
            </w:r>
          </w:p>
        </w:tc>
        <w:tc>
          <w:tcPr>
            <w:tcW w:w="826" w:type="dxa"/>
          </w:tcPr>
          <w:p>
            <w:pPr>
              <w:pStyle w:val="TableParagraph"/>
              <w:ind w:left="256"/>
              <w:jc w:val="left"/>
              <w:rPr>
                <w:sz w:val="20"/>
              </w:rPr>
            </w:pPr>
            <w:r>
              <w:rPr>
                <w:sz w:val="20"/>
              </w:rPr>
              <w:t>0.00</w:t>
            </w:r>
          </w:p>
        </w:tc>
        <w:tc>
          <w:tcPr>
            <w:tcW w:w="826" w:type="dxa"/>
          </w:tcPr>
          <w:p>
            <w:pPr>
              <w:pStyle w:val="TableParagraph"/>
              <w:ind w:left="257"/>
              <w:jc w:val="left"/>
              <w:rPr>
                <w:sz w:val="20"/>
              </w:rPr>
            </w:pPr>
            <w:r>
              <w:rPr>
                <w:sz w:val="20"/>
              </w:rPr>
              <w:t>0.00</w:t>
            </w:r>
          </w:p>
        </w:tc>
        <w:tc>
          <w:tcPr>
            <w:tcW w:w="826" w:type="dxa"/>
          </w:tcPr>
          <w:p>
            <w:pPr>
              <w:pStyle w:val="TableParagraph"/>
              <w:ind w:left="257"/>
              <w:jc w:val="left"/>
              <w:rPr>
                <w:sz w:val="20"/>
              </w:rPr>
            </w:pPr>
            <w:r>
              <w:rPr>
                <w:sz w:val="20"/>
              </w:rPr>
              <w:t>0.00</w:t>
            </w:r>
          </w:p>
        </w:tc>
        <w:tc>
          <w:tcPr>
            <w:tcW w:w="821" w:type="dxa"/>
          </w:tcPr>
          <w:p>
            <w:pPr>
              <w:pStyle w:val="TableParagraph"/>
              <w:ind w:left="256" w:right="84"/>
              <w:jc w:val="left"/>
              <w:rPr>
                <w:sz w:val="20"/>
              </w:rPr>
            </w:pPr>
            <w:r>
              <w:rPr>
                <w:sz w:val="20"/>
              </w:rPr>
              <w:t>0.00</w:t>
            </w:r>
          </w:p>
        </w:tc>
        <w:tc>
          <w:tcPr>
            <w:tcW w:w="771" w:type="dxa"/>
          </w:tcPr>
          <w:p>
            <w:pPr>
              <w:pStyle w:val="TableParagraph"/>
              <w:ind w:right="65"/>
              <w:rPr>
                <w:sz w:val="20"/>
              </w:rPr>
            </w:pPr>
            <w:r>
              <w:rPr>
                <w:sz w:val="20"/>
              </w:rPr>
              <w:t>0.00</w:t>
            </w:r>
          </w:p>
        </w:tc>
      </w:tr>
      <w:tr>
        <w:trPr>
          <w:trHeight w:val="298" w:hRule="exact"/>
        </w:trPr>
        <w:tc>
          <w:tcPr>
            <w:tcW w:w="1441" w:type="dxa"/>
          </w:tcPr>
          <w:p>
            <w:pPr>
              <w:pStyle w:val="TableParagraph"/>
              <w:ind w:left="86"/>
              <w:jc w:val="left"/>
              <w:rPr>
                <w:sz w:val="20"/>
              </w:rPr>
            </w:pPr>
            <w:r>
              <w:rPr>
                <w:sz w:val="20"/>
              </w:rPr>
              <w:t>TEJ_VpFd</w:t>
            </w:r>
          </w:p>
        </w:tc>
        <w:tc>
          <w:tcPr>
            <w:tcW w:w="681" w:type="dxa"/>
          </w:tcPr>
          <w:p>
            <w:pPr>
              <w:pStyle w:val="TableParagraph"/>
              <w:ind w:left="97" w:right="193"/>
              <w:jc w:val="center"/>
              <w:rPr>
                <w:sz w:val="20"/>
              </w:rPr>
            </w:pPr>
            <w:r>
              <w:rPr>
                <w:sz w:val="20"/>
              </w:rPr>
              <w:t>0.00</w:t>
            </w:r>
          </w:p>
        </w:tc>
        <w:tc>
          <w:tcPr>
            <w:tcW w:w="823" w:type="dxa"/>
          </w:tcPr>
          <w:p>
            <w:pPr>
              <w:pStyle w:val="TableParagraph"/>
              <w:ind w:left="254"/>
              <w:jc w:val="left"/>
              <w:rPr>
                <w:sz w:val="20"/>
              </w:rPr>
            </w:pPr>
            <w:r>
              <w:rPr>
                <w:sz w:val="20"/>
              </w:rPr>
              <w:t>0.00</w:t>
            </w:r>
          </w:p>
        </w:tc>
        <w:tc>
          <w:tcPr>
            <w:tcW w:w="826" w:type="dxa"/>
          </w:tcPr>
          <w:p>
            <w:pPr>
              <w:pStyle w:val="TableParagraph"/>
              <w:ind w:left="256"/>
              <w:jc w:val="left"/>
              <w:rPr>
                <w:sz w:val="20"/>
              </w:rPr>
            </w:pPr>
            <w:r>
              <w:rPr>
                <w:sz w:val="20"/>
              </w:rPr>
              <w:t>0.00</w:t>
            </w:r>
          </w:p>
        </w:tc>
        <w:tc>
          <w:tcPr>
            <w:tcW w:w="826" w:type="dxa"/>
          </w:tcPr>
          <w:p>
            <w:pPr>
              <w:pStyle w:val="TableParagraph"/>
              <w:ind w:right="211"/>
              <w:rPr>
                <w:sz w:val="20"/>
              </w:rPr>
            </w:pPr>
            <w:r>
              <w:rPr>
                <w:sz w:val="20"/>
              </w:rPr>
              <w:t>0.00</w:t>
            </w:r>
          </w:p>
        </w:tc>
        <w:tc>
          <w:tcPr>
            <w:tcW w:w="826" w:type="dxa"/>
          </w:tcPr>
          <w:p>
            <w:pPr>
              <w:pStyle w:val="TableParagraph"/>
              <w:ind w:left="257"/>
              <w:jc w:val="left"/>
              <w:rPr>
                <w:sz w:val="20"/>
              </w:rPr>
            </w:pPr>
            <w:r>
              <w:rPr>
                <w:sz w:val="20"/>
              </w:rPr>
              <w:t>0.00</w:t>
            </w:r>
          </w:p>
        </w:tc>
        <w:tc>
          <w:tcPr>
            <w:tcW w:w="826" w:type="dxa"/>
          </w:tcPr>
          <w:p>
            <w:pPr>
              <w:pStyle w:val="TableParagraph"/>
              <w:ind w:left="256"/>
              <w:jc w:val="left"/>
              <w:rPr>
                <w:sz w:val="20"/>
              </w:rPr>
            </w:pPr>
            <w:r>
              <w:rPr>
                <w:sz w:val="20"/>
              </w:rPr>
              <w:t>0.00</w:t>
            </w:r>
          </w:p>
        </w:tc>
        <w:tc>
          <w:tcPr>
            <w:tcW w:w="826" w:type="dxa"/>
          </w:tcPr>
          <w:p>
            <w:pPr>
              <w:pStyle w:val="TableParagraph"/>
              <w:ind w:left="257"/>
              <w:jc w:val="left"/>
              <w:rPr>
                <w:sz w:val="20"/>
              </w:rPr>
            </w:pPr>
            <w:r>
              <w:rPr>
                <w:sz w:val="20"/>
              </w:rPr>
              <w:t>0.00</w:t>
            </w:r>
          </w:p>
        </w:tc>
        <w:tc>
          <w:tcPr>
            <w:tcW w:w="826" w:type="dxa"/>
          </w:tcPr>
          <w:p>
            <w:pPr>
              <w:pStyle w:val="TableParagraph"/>
              <w:ind w:left="257"/>
              <w:jc w:val="left"/>
              <w:rPr>
                <w:sz w:val="20"/>
              </w:rPr>
            </w:pPr>
            <w:r>
              <w:rPr>
                <w:sz w:val="20"/>
              </w:rPr>
              <w:t>0.00</w:t>
            </w:r>
          </w:p>
        </w:tc>
        <w:tc>
          <w:tcPr>
            <w:tcW w:w="821" w:type="dxa"/>
          </w:tcPr>
          <w:p>
            <w:pPr>
              <w:pStyle w:val="TableParagraph"/>
              <w:ind w:left="256" w:right="84"/>
              <w:jc w:val="left"/>
              <w:rPr>
                <w:sz w:val="20"/>
              </w:rPr>
            </w:pPr>
            <w:r>
              <w:rPr>
                <w:sz w:val="20"/>
              </w:rPr>
              <w:t>0.00</w:t>
            </w:r>
          </w:p>
        </w:tc>
        <w:tc>
          <w:tcPr>
            <w:tcW w:w="771" w:type="dxa"/>
          </w:tcPr>
          <w:p>
            <w:pPr>
              <w:pStyle w:val="TableParagraph"/>
              <w:ind w:right="65"/>
              <w:rPr>
                <w:sz w:val="20"/>
              </w:rPr>
            </w:pPr>
            <w:r>
              <w:rPr>
                <w:sz w:val="20"/>
              </w:rPr>
              <w:t>0.00</w:t>
            </w:r>
          </w:p>
        </w:tc>
      </w:tr>
      <w:tr>
        <w:trPr>
          <w:trHeight w:val="298" w:hRule="exact"/>
        </w:trPr>
        <w:tc>
          <w:tcPr>
            <w:tcW w:w="1441" w:type="dxa"/>
          </w:tcPr>
          <w:p>
            <w:pPr>
              <w:pStyle w:val="TableParagraph"/>
              <w:ind w:left="86"/>
              <w:jc w:val="left"/>
              <w:rPr>
                <w:sz w:val="20"/>
              </w:rPr>
            </w:pPr>
            <w:r>
              <w:rPr>
                <w:sz w:val="20"/>
              </w:rPr>
              <w:t>TEJ_VpFdp</w:t>
            </w:r>
          </w:p>
        </w:tc>
        <w:tc>
          <w:tcPr>
            <w:tcW w:w="681" w:type="dxa"/>
          </w:tcPr>
          <w:p>
            <w:pPr>
              <w:pStyle w:val="TableParagraph"/>
              <w:ind w:left="97" w:right="193"/>
              <w:jc w:val="center"/>
              <w:rPr>
                <w:sz w:val="20"/>
              </w:rPr>
            </w:pPr>
            <w:r>
              <w:rPr>
                <w:sz w:val="20"/>
              </w:rPr>
              <w:t>0.00</w:t>
            </w:r>
          </w:p>
        </w:tc>
        <w:tc>
          <w:tcPr>
            <w:tcW w:w="823" w:type="dxa"/>
          </w:tcPr>
          <w:p>
            <w:pPr>
              <w:pStyle w:val="TableParagraph"/>
              <w:ind w:left="254"/>
              <w:jc w:val="left"/>
              <w:rPr>
                <w:sz w:val="20"/>
              </w:rPr>
            </w:pPr>
            <w:r>
              <w:rPr>
                <w:sz w:val="20"/>
              </w:rPr>
              <w:t>0.00</w:t>
            </w:r>
          </w:p>
        </w:tc>
        <w:tc>
          <w:tcPr>
            <w:tcW w:w="826" w:type="dxa"/>
          </w:tcPr>
          <w:p>
            <w:pPr>
              <w:pStyle w:val="TableParagraph"/>
              <w:ind w:left="256"/>
              <w:jc w:val="left"/>
              <w:rPr>
                <w:sz w:val="20"/>
              </w:rPr>
            </w:pPr>
            <w:r>
              <w:rPr>
                <w:sz w:val="20"/>
              </w:rPr>
              <w:t>0.00</w:t>
            </w:r>
          </w:p>
        </w:tc>
        <w:tc>
          <w:tcPr>
            <w:tcW w:w="826" w:type="dxa"/>
          </w:tcPr>
          <w:p>
            <w:pPr>
              <w:pStyle w:val="TableParagraph"/>
              <w:ind w:right="211"/>
              <w:rPr>
                <w:sz w:val="20"/>
              </w:rPr>
            </w:pPr>
            <w:r>
              <w:rPr>
                <w:sz w:val="20"/>
              </w:rPr>
              <w:t>0.00</w:t>
            </w:r>
          </w:p>
        </w:tc>
        <w:tc>
          <w:tcPr>
            <w:tcW w:w="826" w:type="dxa"/>
          </w:tcPr>
          <w:p>
            <w:pPr>
              <w:pStyle w:val="TableParagraph"/>
              <w:ind w:left="257"/>
              <w:jc w:val="left"/>
              <w:rPr>
                <w:sz w:val="20"/>
              </w:rPr>
            </w:pPr>
            <w:r>
              <w:rPr>
                <w:sz w:val="20"/>
              </w:rPr>
              <w:t>0.00</w:t>
            </w:r>
          </w:p>
        </w:tc>
        <w:tc>
          <w:tcPr>
            <w:tcW w:w="826" w:type="dxa"/>
          </w:tcPr>
          <w:p>
            <w:pPr>
              <w:pStyle w:val="TableParagraph"/>
              <w:ind w:left="256"/>
              <w:jc w:val="left"/>
              <w:rPr>
                <w:sz w:val="20"/>
              </w:rPr>
            </w:pPr>
            <w:r>
              <w:rPr>
                <w:sz w:val="20"/>
              </w:rPr>
              <w:t>0.00</w:t>
            </w:r>
          </w:p>
        </w:tc>
        <w:tc>
          <w:tcPr>
            <w:tcW w:w="826" w:type="dxa"/>
          </w:tcPr>
          <w:p>
            <w:pPr>
              <w:pStyle w:val="TableParagraph"/>
              <w:ind w:left="257"/>
              <w:jc w:val="left"/>
              <w:rPr>
                <w:sz w:val="20"/>
              </w:rPr>
            </w:pPr>
            <w:r>
              <w:rPr>
                <w:sz w:val="20"/>
              </w:rPr>
              <w:t>0.00</w:t>
            </w:r>
          </w:p>
        </w:tc>
        <w:tc>
          <w:tcPr>
            <w:tcW w:w="826" w:type="dxa"/>
          </w:tcPr>
          <w:p>
            <w:pPr>
              <w:pStyle w:val="TableParagraph"/>
              <w:ind w:left="257"/>
              <w:jc w:val="left"/>
              <w:rPr>
                <w:sz w:val="20"/>
              </w:rPr>
            </w:pPr>
            <w:r>
              <w:rPr>
                <w:sz w:val="20"/>
              </w:rPr>
              <w:t>0.00</w:t>
            </w:r>
          </w:p>
        </w:tc>
        <w:tc>
          <w:tcPr>
            <w:tcW w:w="821" w:type="dxa"/>
          </w:tcPr>
          <w:p>
            <w:pPr>
              <w:pStyle w:val="TableParagraph"/>
              <w:ind w:left="256" w:right="84"/>
              <w:jc w:val="left"/>
              <w:rPr>
                <w:sz w:val="20"/>
              </w:rPr>
            </w:pPr>
            <w:r>
              <w:rPr>
                <w:sz w:val="20"/>
              </w:rPr>
              <w:t>0.00</w:t>
            </w:r>
          </w:p>
        </w:tc>
        <w:tc>
          <w:tcPr>
            <w:tcW w:w="771" w:type="dxa"/>
          </w:tcPr>
          <w:p>
            <w:pPr>
              <w:pStyle w:val="TableParagraph"/>
              <w:ind w:right="65"/>
              <w:rPr>
                <w:sz w:val="20"/>
              </w:rPr>
            </w:pPr>
            <w:r>
              <w:rPr>
                <w:sz w:val="20"/>
              </w:rPr>
              <w:t>0.00</w:t>
            </w:r>
          </w:p>
        </w:tc>
      </w:tr>
      <w:tr>
        <w:trPr>
          <w:trHeight w:val="300" w:hRule="exact"/>
        </w:trPr>
        <w:tc>
          <w:tcPr>
            <w:tcW w:w="1441" w:type="dxa"/>
          </w:tcPr>
          <w:p>
            <w:pPr>
              <w:pStyle w:val="TableParagraph"/>
              <w:ind w:left="86"/>
              <w:jc w:val="left"/>
              <w:rPr>
                <w:sz w:val="20"/>
              </w:rPr>
            </w:pPr>
            <w:r>
              <w:rPr>
                <w:sz w:val="20"/>
              </w:rPr>
              <w:t>TEJ_VpSF</w:t>
            </w:r>
          </w:p>
        </w:tc>
        <w:tc>
          <w:tcPr>
            <w:tcW w:w="681" w:type="dxa"/>
          </w:tcPr>
          <w:p>
            <w:pPr>
              <w:pStyle w:val="TableParagraph"/>
              <w:ind w:left="97" w:right="193"/>
              <w:jc w:val="center"/>
              <w:rPr>
                <w:sz w:val="20"/>
              </w:rPr>
            </w:pPr>
            <w:r>
              <w:rPr>
                <w:sz w:val="20"/>
              </w:rPr>
              <w:t>0.00</w:t>
            </w:r>
          </w:p>
        </w:tc>
        <w:tc>
          <w:tcPr>
            <w:tcW w:w="823" w:type="dxa"/>
          </w:tcPr>
          <w:p>
            <w:pPr>
              <w:pStyle w:val="TableParagraph"/>
              <w:ind w:left="254"/>
              <w:jc w:val="left"/>
              <w:rPr>
                <w:sz w:val="20"/>
              </w:rPr>
            </w:pPr>
            <w:r>
              <w:rPr>
                <w:sz w:val="20"/>
              </w:rPr>
              <w:t>0.00</w:t>
            </w:r>
          </w:p>
        </w:tc>
        <w:tc>
          <w:tcPr>
            <w:tcW w:w="826" w:type="dxa"/>
          </w:tcPr>
          <w:p>
            <w:pPr>
              <w:pStyle w:val="TableParagraph"/>
              <w:ind w:left="256"/>
              <w:jc w:val="left"/>
              <w:rPr>
                <w:sz w:val="20"/>
              </w:rPr>
            </w:pPr>
            <w:r>
              <w:rPr>
                <w:sz w:val="20"/>
              </w:rPr>
              <w:t>0.00</w:t>
            </w:r>
          </w:p>
        </w:tc>
        <w:tc>
          <w:tcPr>
            <w:tcW w:w="826" w:type="dxa"/>
          </w:tcPr>
          <w:p>
            <w:pPr>
              <w:pStyle w:val="TableParagraph"/>
              <w:ind w:right="211"/>
              <w:rPr>
                <w:sz w:val="20"/>
              </w:rPr>
            </w:pPr>
            <w:r>
              <w:rPr>
                <w:sz w:val="20"/>
              </w:rPr>
              <w:t>0.00</w:t>
            </w:r>
          </w:p>
        </w:tc>
        <w:tc>
          <w:tcPr>
            <w:tcW w:w="826" w:type="dxa"/>
          </w:tcPr>
          <w:p>
            <w:pPr>
              <w:pStyle w:val="TableParagraph"/>
              <w:ind w:left="257"/>
              <w:jc w:val="left"/>
              <w:rPr>
                <w:sz w:val="20"/>
              </w:rPr>
            </w:pPr>
            <w:r>
              <w:rPr>
                <w:sz w:val="20"/>
              </w:rPr>
              <w:t>0.00</w:t>
            </w:r>
          </w:p>
        </w:tc>
        <w:tc>
          <w:tcPr>
            <w:tcW w:w="826" w:type="dxa"/>
          </w:tcPr>
          <w:p>
            <w:pPr>
              <w:pStyle w:val="TableParagraph"/>
              <w:ind w:left="256"/>
              <w:jc w:val="left"/>
              <w:rPr>
                <w:sz w:val="20"/>
              </w:rPr>
            </w:pPr>
            <w:r>
              <w:rPr>
                <w:sz w:val="20"/>
              </w:rPr>
              <w:t>0.00</w:t>
            </w:r>
          </w:p>
        </w:tc>
        <w:tc>
          <w:tcPr>
            <w:tcW w:w="826" w:type="dxa"/>
          </w:tcPr>
          <w:p>
            <w:pPr>
              <w:pStyle w:val="TableParagraph"/>
              <w:ind w:left="257"/>
              <w:jc w:val="left"/>
              <w:rPr>
                <w:sz w:val="20"/>
              </w:rPr>
            </w:pPr>
            <w:r>
              <w:rPr>
                <w:sz w:val="20"/>
              </w:rPr>
              <w:t>0.00</w:t>
            </w:r>
          </w:p>
        </w:tc>
        <w:tc>
          <w:tcPr>
            <w:tcW w:w="826" w:type="dxa"/>
          </w:tcPr>
          <w:p>
            <w:pPr>
              <w:pStyle w:val="TableParagraph"/>
              <w:ind w:left="257"/>
              <w:jc w:val="left"/>
              <w:rPr>
                <w:sz w:val="20"/>
              </w:rPr>
            </w:pPr>
            <w:r>
              <w:rPr>
                <w:sz w:val="20"/>
              </w:rPr>
              <w:t>0.00</w:t>
            </w:r>
          </w:p>
        </w:tc>
        <w:tc>
          <w:tcPr>
            <w:tcW w:w="821" w:type="dxa"/>
          </w:tcPr>
          <w:p>
            <w:pPr>
              <w:pStyle w:val="TableParagraph"/>
              <w:ind w:left="256" w:right="84"/>
              <w:jc w:val="left"/>
              <w:rPr>
                <w:sz w:val="20"/>
              </w:rPr>
            </w:pPr>
            <w:r>
              <w:rPr>
                <w:sz w:val="20"/>
              </w:rPr>
              <w:t>0.00</w:t>
            </w:r>
          </w:p>
        </w:tc>
        <w:tc>
          <w:tcPr>
            <w:tcW w:w="771" w:type="dxa"/>
          </w:tcPr>
          <w:p>
            <w:pPr>
              <w:pStyle w:val="TableParagraph"/>
              <w:ind w:right="65"/>
              <w:rPr>
                <w:sz w:val="20"/>
              </w:rPr>
            </w:pPr>
            <w:r>
              <w:rPr>
                <w:sz w:val="20"/>
              </w:rPr>
              <w:t>0.00</w:t>
            </w:r>
          </w:p>
        </w:tc>
      </w:tr>
      <w:tr>
        <w:trPr>
          <w:trHeight w:val="300" w:hRule="exact"/>
        </w:trPr>
        <w:tc>
          <w:tcPr>
            <w:tcW w:w="1441" w:type="dxa"/>
          </w:tcPr>
          <w:p>
            <w:pPr>
              <w:pStyle w:val="TableParagraph"/>
              <w:spacing w:before="26"/>
              <w:ind w:left="86"/>
              <w:jc w:val="left"/>
              <w:rPr>
                <w:sz w:val="20"/>
              </w:rPr>
            </w:pPr>
            <w:r>
              <w:rPr>
                <w:sz w:val="20"/>
              </w:rPr>
              <w:t>TEJ_WmFdp</w:t>
            </w:r>
          </w:p>
        </w:tc>
        <w:tc>
          <w:tcPr>
            <w:tcW w:w="681" w:type="dxa"/>
          </w:tcPr>
          <w:p>
            <w:pPr>
              <w:pStyle w:val="TableParagraph"/>
              <w:spacing w:before="26"/>
              <w:ind w:left="97" w:right="193"/>
              <w:jc w:val="center"/>
              <w:rPr>
                <w:sz w:val="20"/>
              </w:rPr>
            </w:pPr>
            <w:r>
              <w:rPr>
                <w:sz w:val="20"/>
              </w:rPr>
              <w:t>0.00</w:t>
            </w:r>
          </w:p>
        </w:tc>
        <w:tc>
          <w:tcPr>
            <w:tcW w:w="823" w:type="dxa"/>
          </w:tcPr>
          <w:p>
            <w:pPr>
              <w:pStyle w:val="TableParagraph"/>
              <w:spacing w:before="26"/>
              <w:ind w:left="254"/>
              <w:jc w:val="left"/>
              <w:rPr>
                <w:sz w:val="20"/>
              </w:rPr>
            </w:pPr>
            <w:r>
              <w:rPr>
                <w:sz w:val="20"/>
              </w:rPr>
              <w:t>0.00</w:t>
            </w:r>
          </w:p>
        </w:tc>
        <w:tc>
          <w:tcPr>
            <w:tcW w:w="826" w:type="dxa"/>
          </w:tcPr>
          <w:p>
            <w:pPr>
              <w:pStyle w:val="TableParagraph"/>
              <w:spacing w:before="26"/>
              <w:ind w:left="256"/>
              <w:jc w:val="left"/>
              <w:rPr>
                <w:sz w:val="20"/>
              </w:rPr>
            </w:pPr>
            <w:r>
              <w:rPr>
                <w:sz w:val="20"/>
              </w:rPr>
              <w:t>0.00</w:t>
            </w:r>
          </w:p>
        </w:tc>
        <w:tc>
          <w:tcPr>
            <w:tcW w:w="826" w:type="dxa"/>
          </w:tcPr>
          <w:p>
            <w:pPr>
              <w:pStyle w:val="TableParagraph"/>
              <w:spacing w:before="26"/>
              <w:ind w:right="211"/>
              <w:rPr>
                <w:sz w:val="20"/>
              </w:rPr>
            </w:pPr>
            <w:r>
              <w:rPr>
                <w:sz w:val="20"/>
              </w:rPr>
              <w:t>0.00</w:t>
            </w:r>
          </w:p>
        </w:tc>
        <w:tc>
          <w:tcPr>
            <w:tcW w:w="826" w:type="dxa"/>
          </w:tcPr>
          <w:p>
            <w:pPr>
              <w:pStyle w:val="TableParagraph"/>
              <w:spacing w:before="26"/>
              <w:ind w:left="257"/>
              <w:jc w:val="left"/>
              <w:rPr>
                <w:sz w:val="20"/>
              </w:rPr>
            </w:pPr>
            <w:r>
              <w:rPr>
                <w:sz w:val="20"/>
              </w:rPr>
              <w:t>0.00</w:t>
            </w:r>
          </w:p>
        </w:tc>
        <w:tc>
          <w:tcPr>
            <w:tcW w:w="826" w:type="dxa"/>
          </w:tcPr>
          <w:p>
            <w:pPr>
              <w:pStyle w:val="TableParagraph"/>
              <w:spacing w:before="26"/>
              <w:ind w:left="256"/>
              <w:jc w:val="left"/>
              <w:rPr>
                <w:sz w:val="20"/>
              </w:rPr>
            </w:pPr>
            <w:r>
              <w:rPr>
                <w:sz w:val="20"/>
              </w:rPr>
              <w:t>0.00</w:t>
            </w:r>
          </w:p>
        </w:tc>
        <w:tc>
          <w:tcPr>
            <w:tcW w:w="826" w:type="dxa"/>
          </w:tcPr>
          <w:p>
            <w:pPr>
              <w:pStyle w:val="TableParagraph"/>
              <w:spacing w:before="26"/>
              <w:ind w:left="257"/>
              <w:jc w:val="left"/>
              <w:rPr>
                <w:sz w:val="20"/>
              </w:rPr>
            </w:pPr>
            <w:r>
              <w:rPr>
                <w:sz w:val="20"/>
              </w:rPr>
              <w:t>0.00</w:t>
            </w:r>
          </w:p>
        </w:tc>
        <w:tc>
          <w:tcPr>
            <w:tcW w:w="826" w:type="dxa"/>
          </w:tcPr>
          <w:p>
            <w:pPr>
              <w:pStyle w:val="TableParagraph"/>
              <w:spacing w:before="26"/>
              <w:ind w:left="257"/>
              <w:jc w:val="left"/>
              <w:rPr>
                <w:sz w:val="20"/>
              </w:rPr>
            </w:pPr>
            <w:r>
              <w:rPr>
                <w:sz w:val="20"/>
              </w:rPr>
              <w:t>0.00</w:t>
            </w:r>
          </w:p>
        </w:tc>
        <w:tc>
          <w:tcPr>
            <w:tcW w:w="821" w:type="dxa"/>
          </w:tcPr>
          <w:p>
            <w:pPr>
              <w:pStyle w:val="TableParagraph"/>
              <w:spacing w:before="26"/>
              <w:ind w:left="256" w:right="84"/>
              <w:jc w:val="left"/>
              <w:rPr>
                <w:sz w:val="20"/>
              </w:rPr>
            </w:pPr>
            <w:r>
              <w:rPr>
                <w:sz w:val="20"/>
              </w:rPr>
              <w:t>0.00</w:t>
            </w:r>
          </w:p>
        </w:tc>
        <w:tc>
          <w:tcPr>
            <w:tcW w:w="771" w:type="dxa"/>
          </w:tcPr>
          <w:p>
            <w:pPr>
              <w:pStyle w:val="TableParagraph"/>
              <w:spacing w:before="26"/>
              <w:ind w:right="65"/>
              <w:rPr>
                <w:sz w:val="20"/>
              </w:rPr>
            </w:pPr>
            <w:r>
              <w:rPr>
                <w:sz w:val="20"/>
              </w:rPr>
              <w:t>0.00</w:t>
            </w:r>
          </w:p>
        </w:tc>
      </w:tr>
      <w:tr>
        <w:trPr>
          <w:trHeight w:val="268" w:hRule="exact"/>
        </w:trPr>
        <w:tc>
          <w:tcPr>
            <w:tcW w:w="1441" w:type="dxa"/>
            <w:tcBorders>
              <w:bottom w:val="single" w:sz="4" w:space="0" w:color="000000"/>
            </w:tcBorders>
          </w:tcPr>
          <w:p>
            <w:pPr>
              <w:pStyle w:val="TableParagraph"/>
              <w:ind w:left="86"/>
              <w:jc w:val="left"/>
              <w:rPr>
                <w:sz w:val="20"/>
              </w:rPr>
            </w:pPr>
            <w:r>
              <w:rPr>
                <w:sz w:val="20"/>
              </w:rPr>
              <w:t>TEJ_WmSF</w:t>
            </w:r>
          </w:p>
        </w:tc>
        <w:tc>
          <w:tcPr>
            <w:tcW w:w="681" w:type="dxa"/>
            <w:tcBorders>
              <w:bottom w:val="single" w:sz="4" w:space="0" w:color="000000"/>
            </w:tcBorders>
          </w:tcPr>
          <w:p>
            <w:pPr>
              <w:pStyle w:val="TableParagraph"/>
              <w:ind w:left="97" w:right="193"/>
              <w:jc w:val="center"/>
              <w:rPr>
                <w:sz w:val="20"/>
              </w:rPr>
            </w:pPr>
            <w:r>
              <w:rPr>
                <w:sz w:val="20"/>
              </w:rPr>
              <w:t>0.00</w:t>
            </w:r>
          </w:p>
        </w:tc>
        <w:tc>
          <w:tcPr>
            <w:tcW w:w="823" w:type="dxa"/>
            <w:tcBorders>
              <w:bottom w:val="single" w:sz="4" w:space="0" w:color="000000"/>
            </w:tcBorders>
          </w:tcPr>
          <w:p>
            <w:pPr>
              <w:pStyle w:val="TableParagraph"/>
              <w:ind w:left="254"/>
              <w:jc w:val="left"/>
              <w:rPr>
                <w:sz w:val="20"/>
              </w:rPr>
            </w:pPr>
            <w:r>
              <w:rPr>
                <w:sz w:val="20"/>
              </w:rPr>
              <w:t>0.00</w:t>
            </w:r>
          </w:p>
        </w:tc>
        <w:tc>
          <w:tcPr>
            <w:tcW w:w="826" w:type="dxa"/>
            <w:tcBorders>
              <w:bottom w:val="single" w:sz="4" w:space="0" w:color="000000"/>
            </w:tcBorders>
          </w:tcPr>
          <w:p>
            <w:pPr>
              <w:pStyle w:val="TableParagraph"/>
              <w:ind w:left="256"/>
              <w:jc w:val="left"/>
              <w:rPr>
                <w:sz w:val="20"/>
              </w:rPr>
            </w:pPr>
            <w:r>
              <w:rPr>
                <w:sz w:val="20"/>
              </w:rPr>
              <w:t>0.00</w:t>
            </w:r>
          </w:p>
        </w:tc>
        <w:tc>
          <w:tcPr>
            <w:tcW w:w="826" w:type="dxa"/>
            <w:tcBorders>
              <w:bottom w:val="single" w:sz="4" w:space="0" w:color="000000"/>
            </w:tcBorders>
          </w:tcPr>
          <w:p>
            <w:pPr>
              <w:pStyle w:val="TableParagraph"/>
              <w:ind w:right="211"/>
              <w:rPr>
                <w:sz w:val="20"/>
              </w:rPr>
            </w:pPr>
            <w:r>
              <w:rPr>
                <w:sz w:val="20"/>
              </w:rPr>
              <w:t>0.00</w:t>
            </w:r>
          </w:p>
        </w:tc>
        <w:tc>
          <w:tcPr>
            <w:tcW w:w="826" w:type="dxa"/>
            <w:tcBorders>
              <w:bottom w:val="single" w:sz="4" w:space="0" w:color="000000"/>
            </w:tcBorders>
          </w:tcPr>
          <w:p>
            <w:pPr>
              <w:pStyle w:val="TableParagraph"/>
              <w:ind w:left="257"/>
              <w:jc w:val="left"/>
              <w:rPr>
                <w:sz w:val="20"/>
              </w:rPr>
            </w:pPr>
            <w:r>
              <w:rPr>
                <w:sz w:val="20"/>
              </w:rPr>
              <w:t>0.00</w:t>
            </w:r>
          </w:p>
        </w:tc>
        <w:tc>
          <w:tcPr>
            <w:tcW w:w="826" w:type="dxa"/>
            <w:tcBorders>
              <w:bottom w:val="single" w:sz="4" w:space="0" w:color="000000"/>
            </w:tcBorders>
          </w:tcPr>
          <w:p>
            <w:pPr>
              <w:pStyle w:val="TableParagraph"/>
              <w:ind w:left="256"/>
              <w:jc w:val="left"/>
              <w:rPr>
                <w:sz w:val="20"/>
              </w:rPr>
            </w:pPr>
            <w:r>
              <w:rPr>
                <w:sz w:val="20"/>
              </w:rPr>
              <w:t>0.00</w:t>
            </w:r>
          </w:p>
        </w:tc>
        <w:tc>
          <w:tcPr>
            <w:tcW w:w="826" w:type="dxa"/>
            <w:tcBorders>
              <w:bottom w:val="single" w:sz="4" w:space="0" w:color="000000"/>
            </w:tcBorders>
          </w:tcPr>
          <w:p>
            <w:pPr>
              <w:pStyle w:val="TableParagraph"/>
              <w:ind w:left="257"/>
              <w:jc w:val="left"/>
              <w:rPr>
                <w:sz w:val="20"/>
              </w:rPr>
            </w:pPr>
            <w:r>
              <w:rPr>
                <w:sz w:val="20"/>
              </w:rPr>
              <w:t>0.00</w:t>
            </w:r>
          </w:p>
        </w:tc>
        <w:tc>
          <w:tcPr>
            <w:tcW w:w="826" w:type="dxa"/>
            <w:tcBorders>
              <w:bottom w:val="single" w:sz="4" w:space="0" w:color="000000"/>
            </w:tcBorders>
          </w:tcPr>
          <w:p>
            <w:pPr>
              <w:pStyle w:val="TableParagraph"/>
              <w:ind w:left="257"/>
              <w:jc w:val="left"/>
              <w:rPr>
                <w:sz w:val="20"/>
              </w:rPr>
            </w:pPr>
            <w:r>
              <w:rPr>
                <w:sz w:val="20"/>
              </w:rPr>
              <w:t>0.00</w:t>
            </w:r>
          </w:p>
        </w:tc>
        <w:tc>
          <w:tcPr>
            <w:tcW w:w="821" w:type="dxa"/>
            <w:tcBorders>
              <w:bottom w:val="single" w:sz="4" w:space="0" w:color="000000"/>
            </w:tcBorders>
          </w:tcPr>
          <w:p>
            <w:pPr>
              <w:pStyle w:val="TableParagraph"/>
              <w:ind w:left="256" w:right="84"/>
              <w:jc w:val="left"/>
              <w:rPr>
                <w:sz w:val="20"/>
              </w:rPr>
            </w:pPr>
            <w:r>
              <w:rPr>
                <w:sz w:val="20"/>
              </w:rPr>
              <w:t>0.00</w:t>
            </w:r>
          </w:p>
        </w:tc>
        <w:tc>
          <w:tcPr>
            <w:tcW w:w="771" w:type="dxa"/>
            <w:tcBorders>
              <w:bottom w:val="single" w:sz="4" w:space="0" w:color="000000"/>
            </w:tcBorders>
          </w:tcPr>
          <w:p>
            <w:pPr>
              <w:pStyle w:val="TableParagraph"/>
              <w:ind w:right="65"/>
              <w:rPr>
                <w:sz w:val="20"/>
              </w:rPr>
            </w:pPr>
            <w:r>
              <w:rPr>
                <w:sz w:val="20"/>
              </w:rPr>
              <w:t>0.00</w:t>
            </w:r>
          </w:p>
        </w:tc>
      </w:tr>
    </w:tbl>
    <w:p>
      <w:pPr>
        <w:pStyle w:val="BodyText"/>
        <w:rPr>
          <w:sz w:val="20"/>
        </w:rPr>
      </w:pPr>
    </w:p>
    <w:p>
      <w:pPr>
        <w:pStyle w:val="BodyText"/>
        <w:rPr>
          <w:sz w:val="20"/>
        </w:rPr>
      </w:pPr>
    </w:p>
    <w:p>
      <w:pPr>
        <w:pStyle w:val="BodyText"/>
        <w:spacing w:before="10"/>
        <w:rPr>
          <w:sz w:val="22"/>
        </w:rPr>
      </w:pPr>
    </w:p>
    <w:p>
      <w:pPr>
        <w:pStyle w:val="Heading1"/>
        <w:spacing w:before="66"/>
        <w:ind w:left="2661"/>
      </w:pPr>
      <w:bookmarkStart w:name="_bookmark165" w:id="224"/>
      <w:bookmarkEnd w:id="224"/>
      <w:r>
        <w:rPr>
          <w:b w:val="0"/>
        </w:rPr>
      </w:r>
      <w:r>
        <w:rPr/>
        <w:t>Tabla 28. Profundidad de cada capa del suelo</w:t>
      </w:r>
    </w:p>
    <w:p>
      <w:pPr>
        <w:pStyle w:val="BodyText"/>
        <w:rPr>
          <w:b/>
          <w:sz w:val="20"/>
        </w:rPr>
      </w:pPr>
    </w:p>
    <w:p>
      <w:pPr>
        <w:pStyle w:val="BodyText"/>
        <w:spacing w:before="11"/>
        <w:rPr>
          <w:b/>
          <w:sz w:val="23"/>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9"/>
        <w:gridCol w:w="791"/>
        <w:gridCol w:w="819"/>
        <w:gridCol w:w="816"/>
        <w:gridCol w:w="814"/>
        <w:gridCol w:w="814"/>
        <w:gridCol w:w="816"/>
        <w:gridCol w:w="898"/>
        <w:gridCol w:w="816"/>
        <w:gridCol w:w="787"/>
        <w:gridCol w:w="691"/>
      </w:tblGrid>
      <w:tr>
        <w:trPr>
          <w:trHeight w:val="381" w:hRule="exact"/>
        </w:trPr>
        <w:tc>
          <w:tcPr>
            <w:tcW w:w="1429" w:type="dxa"/>
            <w:tcBorders>
              <w:left w:val="nil"/>
              <w:bottom w:val="nil"/>
              <w:right w:val="nil"/>
            </w:tcBorders>
          </w:tcPr>
          <w:p>
            <w:pPr>
              <w:pStyle w:val="TableParagraph"/>
              <w:spacing w:before="168"/>
              <w:ind w:left="148"/>
              <w:jc w:val="left"/>
              <w:rPr>
                <w:sz w:val="20"/>
              </w:rPr>
            </w:pPr>
            <w:r>
              <w:rPr>
                <w:sz w:val="20"/>
              </w:rPr>
              <w:t>Nombre/Clave</w:t>
            </w:r>
          </w:p>
        </w:tc>
        <w:tc>
          <w:tcPr>
            <w:tcW w:w="791" w:type="dxa"/>
            <w:tcBorders>
              <w:left w:val="nil"/>
              <w:bottom w:val="nil"/>
              <w:right w:val="nil"/>
            </w:tcBorders>
          </w:tcPr>
          <w:p>
            <w:pPr/>
          </w:p>
        </w:tc>
        <w:tc>
          <w:tcPr>
            <w:tcW w:w="819" w:type="dxa"/>
            <w:tcBorders>
              <w:left w:val="nil"/>
              <w:bottom w:val="nil"/>
              <w:right w:val="nil"/>
            </w:tcBorders>
          </w:tcPr>
          <w:p>
            <w:pPr/>
          </w:p>
        </w:tc>
        <w:tc>
          <w:tcPr>
            <w:tcW w:w="816" w:type="dxa"/>
            <w:tcBorders>
              <w:left w:val="nil"/>
              <w:bottom w:val="nil"/>
              <w:right w:val="nil"/>
            </w:tcBorders>
          </w:tcPr>
          <w:p>
            <w:pPr/>
          </w:p>
        </w:tc>
        <w:tc>
          <w:tcPr>
            <w:tcW w:w="2444" w:type="dxa"/>
            <w:gridSpan w:val="3"/>
            <w:tcBorders>
              <w:left w:val="nil"/>
              <w:bottom w:val="nil"/>
              <w:right w:val="nil"/>
            </w:tcBorders>
          </w:tcPr>
          <w:p>
            <w:pPr>
              <w:pStyle w:val="TableParagraph"/>
              <w:spacing w:before="53"/>
              <w:ind w:left="758" w:right="-57"/>
              <w:jc w:val="left"/>
              <w:rPr>
                <w:sz w:val="20"/>
              </w:rPr>
            </w:pPr>
            <w:r>
              <w:rPr>
                <w:sz w:val="20"/>
              </w:rPr>
              <w:t>N° de capas del</w:t>
            </w:r>
            <w:r>
              <w:rPr>
                <w:spacing w:val="-1"/>
                <w:sz w:val="20"/>
              </w:rPr>
              <w:t> </w:t>
            </w:r>
            <w:r>
              <w:rPr>
                <w:sz w:val="20"/>
              </w:rPr>
              <w:t>suelo</w:t>
            </w:r>
          </w:p>
        </w:tc>
        <w:tc>
          <w:tcPr>
            <w:tcW w:w="898" w:type="dxa"/>
            <w:tcBorders>
              <w:left w:val="nil"/>
              <w:bottom w:val="nil"/>
              <w:right w:val="nil"/>
            </w:tcBorders>
          </w:tcPr>
          <w:p>
            <w:pPr/>
          </w:p>
        </w:tc>
        <w:tc>
          <w:tcPr>
            <w:tcW w:w="816" w:type="dxa"/>
            <w:tcBorders>
              <w:left w:val="nil"/>
              <w:bottom w:val="nil"/>
              <w:right w:val="nil"/>
            </w:tcBorders>
          </w:tcPr>
          <w:p>
            <w:pPr/>
          </w:p>
        </w:tc>
        <w:tc>
          <w:tcPr>
            <w:tcW w:w="787" w:type="dxa"/>
            <w:tcBorders>
              <w:left w:val="nil"/>
              <w:bottom w:val="nil"/>
              <w:right w:val="nil"/>
            </w:tcBorders>
          </w:tcPr>
          <w:p>
            <w:pPr/>
          </w:p>
        </w:tc>
        <w:tc>
          <w:tcPr>
            <w:tcW w:w="691" w:type="dxa"/>
            <w:tcBorders>
              <w:left w:val="nil"/>
              <w:bottom w:val="nil"/>
              <w:right w:val="nil"/>
            </w:tcBorders>
          </w:tcPr>
          <w:p>
            <w:pPr/>
          </w:p>
        </w:tc>
      </w:tr>
      <w:tr>
        <w:trPr>
          <w:trHeight w:val="214" w:hRule="exact"/>
        </w:trPr>
        <w:tc>
          <w:tcPr>
            <w:tcW w:w="1429" w:type="dxa"/>
            <w:tcBorders>
              <w:top w:val="nil"/>
              <w:left w:val="nil"/>
              <w:right w:val="nil"/>
            </w:tcBorders>
          </w:tcPr>
          <w:p>
            <w:pPr/>
          </w:p>
        </w:tc>
        <w:tc>
          <w:tcPr>
            <w:tcW w:w="791" w:type="dxa"/>
            <w:tcBorders>
              <w:top w:val="nil"/>
              <w:left w:val="nil"/>
              <w:right w:val="nil"/>
            </w:tcBorders>
          </w:tcPr>
          <w:p>
            <w:pPr>
              <w:pStyle w:val="TableParagraph"/>
              <w:spacing w:line="199" w:lineRule="exact" w:before="0"/>
              <w:ind w:right="42"/>
              <w:jc w:val="center"/>
              <w:rPr>
                <w:sz w:val="20"/>
              </w:rPr>
            </w:pPr>
            <w:r>
              <w:rPr>
                <w:w w:val="100"/>
                <w:sz w:val="20"/>
              </w:rPr>
              <w:t>1</w:t>
            </w:r>
          </w:p>
        </w:tc>
        <w:tc>
          <w:tcPr>
            <w:tcW w:w="819" w:type="dxa"/>
            <w:tcBorders>
              <w:top w:val="nil"/>
              <w:left w:val="nil"/>
              <w:right w:val="nil"/>
            </w:tcBorders>
          </w:tcPr>
          <w:p>
            <w:pPr>
              <w:pStyle w:val="TableParagraph"/>
              <w:spacing w:line="199" w:lineRule="exact" w:before="0"/>
              <w:ind w:right="124"/>
              <w:jc w:val="center"/>
              <w:rPr>
                <w:sz w:val="20"/>
              </w:rPr>
            </w:pPr>
            <w:r>
              <w:rPr>
                <w:w w:val="100"/>
                <w:sz w:val="20"/>
              </w:rPr>
              <w:t>2</w:t>
            </w:r>
          </w:p>
        </w:tc>
        <w:tc>
          <w:tcPr>
            <w:tcW w:w="816" w:type="dxa"/>
            <w:tcBorders>
              <w:top w:val="nil"/>
              <w:left w:val="nil"/>
              <w:right w:val="nil"/>
            </w:tcBorders>
          </w:tcPr>
          <w:p>
            <w:pPr>
              <w:pStyle w:val="TableParagraph"/>
              <w:spacing w:line="199" w:lineRule="exact" w:before="0"/>
              <w:ind w:right="127"/>
              <w:jc w:val="center"/>
              <w:rPr>
                <w:sz w:val="20"/>
              </w:rPr>
            </w:pPr>
            <w:r>
              <w:rPr>
                <w:w w:val="100"/>
                <w:sz w:val="20"/>
              </w:rPr>
              <w:t>3</w:t>
            </w:r>
          </w:p>
        </w:tc>
        <w:tc>
          <w:tcPr>
            <w:tcW w:w="814" w:type="dxa"/>
            <w:tcBorders>
              <w:top w:val="nil"/>
              <w:left w:val="nil"/>
              <w:right w:val="nil"/>
            </w:tcBorders>
          </w:tcPr>
          <w:p>
            <w:pPr>
              <w:pStyle w:val="TableParagraph"/>
              <w:spacing w:line="199" w:lineRule="exact" w:before="0"/>
              <w:ind w:right="124"/>
              <w:jc w:val="center"/>
              <w:rPr>
                <w:sz w:val="20"/>
              </w:rPr>
            </w:pPr>
            <w:r>
              <w:rPr>
                <w:w w:val="100"/>
                <w:sz w:val="20"/>
              </w:rPr>
              <w:t>4</w:t>
            </w:r>
          </w:p>
        </w:tc>
        <w:tc>
          <w:tcPr>
            <w:tcW w:w="814" w:type="dxa"/>
            <w:tcBorders>
              <w:top w:val="nil"/>
              <w:left w:val="nil"/>
              <w:right w:val="nil"/>
            </w:tcBorders>
          </w:tcPr>
          <w:p>
            <w:pPr>
              <w:pStyle w:val="TableParagraph"/>
              <w:spacing w:line="199" w:lineRule="exact" w:before="0"/>
              <w:ind w:right="129"/>
              <w:jc w:val="center"/>
              <w:rPr>
                <w:sz w:val="20"/>
              </w:rPr>
            </w:pPr>
            <w:r>
              <w:rPr>
                <w:w w:val="100"/>
                <w:sz w:val="20"/>
              </w:rPr>
              <w:t>5</w:t>
            </w:r>
          </w:p>
        </w:tc>
        <w:tc>
          <w:tcPr>
            <w:tcW w:w="816" w:type="dxa"/>
            <w:tcBorders>
              <w:top w:val="nil"/>
              <w:left w:val="nil"/>
              <w:right w:val="nil"/>
            </w:tcBorders>
          </w:tcPr>
          <w:p>
            <w:pPr>
              <w:pStyle w:val="TableParagraph"/>
              <w:spacing w:line="199" w:lineRule="exact" w:before="0"/>
              <w:ind w:right="127"/>
              <w:jc w:val="center"/>
              <w:rPr>
                <w:sz w:val="20"/>
              </w:rPr>
            </w:pPr>
            <w:r>
              <w:rPr>
                <w:w w:val="100"/>
                <w:sz w:val="20"/>
              </w:rPr>
              <w:t>6</w:t>
            </w:r>
          </w:p>
        </w:tc>
        <w:tc>
          <w:tcPr>
            <w:tcW w:w="898" w:type="dxa"/>
            <w:tcBorders>
              <w:top w:val="nil"/>
              <w:left w:val="nil"/>
              <w:right w:val="nil"/>
            </w:tcBorders>
          </w:tcPr>
          <w:p>
            <w:pPr>
              <w:pStyle w:val="TableParagraph"/>
              <w:spacing w:line="199" w:lineRule="exact" w:before="0"/>
              <w:ind w:right="209"/>
              <w:jc w:val="center"/>
              <w:rPr>
                <w:sz w:val="20"/>
              </w:rPr>
            </w:pPr>
            <w:r>
              <w:rPr>
                <w:w w:val="100"/>
                <w:sz w:val="20"/>
              </w:rPr>
              <w:t>7</w:t>
            </w:r>
          </w:p>
        </w:tc>
        <w:tc>
          <w:tcPr>
            <w:tcW w:w="816" w:type="dxa"/>
            <w:tcBorders>
              <w:top w:val="nil"/>
              <w:left w:val="nil"/>
              <w:right w:val="nil"/>
            </w:tcBorders>
          </w:tcPr>
          <w:p>
            <w:pPr>
              <w:pStyle w:val="TableParagraph"/>
              <w:spacing w:line="199" w:lineRule="exact" w:before="0"/>
              <w:ind w:left="211"/>
              <w:jc w:val="left"/>
              <w:rPr>
                <w:sz w:val="20"/>
              </w:rPr>
            </w:pPr>
            <w:r>
              <w:rPr>
                <w:w w:val="100"/>
                <w:sz w:val="20"/>
              </w:rPr>
              <w:t>8</w:t>
            </w:r>
          </w:p>
        </w:tc>
        <w:tc>
          <w:tcPr>
            <w:tcW w:w="787" w:type="dxa"/>
            <w:tcBorders>
              <w:top w:val="nil"/>
              <w:left w:val="nil"/>
              <w:right w:val="nil"/>
            </w:tcBorders>
          </w:tcPr>
          <w:p>
            <w:pPr>
              <w:pStyle w:val="TableParagraph"/>
              <w:spacing w:line="199" w:lineRule="exact" w:before="0"/>
              <w:ind w:left="211"/>
              <w:jc w:val="left"/>
              <w:rPr>
                <w:sz w:val="20"/>
              </w:rPr>
            </w:pPr>
            <w:r>
              <w:rPr>
                <w:w w:val="100"/>
                <w:sz w:val="20"/>
              </w:rPr>
              <w:t>9</w:t>
            </w:r>
          </w:p>
        </w:tc>
        <w:tc>
          <w:tcPr>
            <w:tcW w:w="691" w:type="dxa"/>
            <w:tcBorders>
              <w:top w:val="nil"/>
              <w:left w:val="nil"/>
              <w:right w:val="nil"/>
            </w:tcBorders>
          </w:tcPr>
          <w:p>
            <w:pPr>
              <w:pStyle w:val="TableParagraph"/>
              <w:spacing w:line="199" w:lineRule="exact" w:before="0"/>
              <w:ind w:left="182"/>
              <w:jc w:val="left"/>
              <w:rPr>
                <w:sz w:val="20"/>
              </w:rPr>
            </w:pPr>
            <w:r>
              <w:rPr>
                <w:sz w:val="20"/>
              </w:rPr>
              <w:t>10</w:t>
            </w:r>
          </w:p>
        </w:tc>
      </w:tr>
      <w:tr>
        <w:trPr>
          <w:trHeight w:val="330" w:hRule="exact"/>
        </w:trPr>
        <w:tc>
          <w:tcPr>
            <w:tcW w:w="1429" w:type="dxa"/>
            <w:tcBorders>
              <w:left w:val="nil"/>
              <w:bottom w:val="nil"/>
              <w:right w:val="nil"/>
            </w:tcBorders>
          </w:tcPr>
          <w:p>
            <w:pPr>
              <w:pStyle w:val="TableParagraph"/>
              <w:spacing w:before="53"/>
              <w:ind w:left="86"/>
              <w:jc w:val="left"/>
              <w:rPr>
                <w:sz w:val="20"/>
              </w:rPr>
            </w:pPr>
            <w:r>
              <w:rPr>
                <w:sz w:val="20"/>
              </w:rPr>
              <w:t>TEJ_HhFd</w:t>
            </w:r>
          </w:p>
        </w:tc>
        <w:tc>
          <w:tcPr>
            <w:tcW w:w="791" w:type="dxa"/>
            <w:tcBorders>
              <w:left w:val="nil"/>
              <w:bottom w:val="nil"/>
              <w:right w:val="nil"/>
            </w:tcBorders>
          </w:tcPr>
          <w:p>
            <w:pPr>
              <w:pStyle w:val="TableParagraph"/>
              <w:spacing w:before="53"/>
              <w:ind w:left="87" w:right="114"/>
              <w:jc w:val="center"/>
              <w:rPr>
                <w:sz w:val="20"/>
              </w:rPr>
            </w:pPr>
            <w:r>
              <w:rPr>
                <w:sz w:val="20"/>
              </w:rPr>
              <w:t>150.00</w:t>
            </w:r>
          </w:p>
        </w:tc>
        <w:tc>
          <w:tcPr>
            <w:tcW w:w="819" w:type="dxa"/>
            <w:tcBorders>
              <w:left w:val="nil"/>
              <w:bottom w:val="nil"/>
              <w:right w:val="nil"/>
            </w:tcBorders>
          </w:tcPr>
          <w:p>
            <w:pPr>
              <w:pStyle w:val="TableParagraph"/>
              <w:spacing w:before="53"/>
              <w:ind w:left="115" w:right="113"/>
              <w:jc w:val="center"/>
              <w:rPr>
                <w:sz w:val="20"/>
              </w:rPr>
            </w:pPr>
            <w:r>
              <w:rPr>
                <w:sz w:val="20"/>
              </w:rPr>
              <w:t>233.33</w:t>
            </w:r>
          </w:p>
        </w:tc>
        <w:tc>
          <w:tcPr>
            <w:tcW w:w="816" w:type="dxa"/>
            <w:tcBorders>
              <w:left w:val="nil"/>
              <w:bottom w:val="nil"/>
              <w:right w:val="nil"/>
            </w:tcBorders>
          </w:tcPr>
          <w:p>
            <w:pPr>
              <w:pStyle w:val="TableParagraph"/>
              <w:spacing w:before="53"/>
              <w:ind w:right="129"/>
              <w:rPr>
                <w:sz w:val="20"/>
              </w:rPr>
            </w:pPr>
            <w:r>
              <w:rPr>
                <w:sz w:val="20"/>
              </w:rPr>
              <w:t>300.00</w:t>
            </w:r>
          </w:p>
        </w:tc>
        <w:tc>
          <w:tcPr>
            <w:tcW w:w="814" w:type="dxa"/>
            <w:tcBorders>
              <w:left w:val="nil"/>
              <w:bottom w:val="nil"/>
              <w:right w:val="nil"/>
            </w:tcBorders>
          </w:tcPr>
          <w:p>
            <w:pPr>
              <w:pStyle w:val="TableParagraph"/>
              <w:spacing w:before="53"/>
              <w:ind w:left="113" w:right="111"/>
              <w:jc w:val="center"/>
              <w:rPr>
                <w:sz w:val="20"/>
              </w:rPr>
            </w:pPr>
            <w:r>
              <w:rPr>
                <w:sz w:val="20"/>
              </w:rPr>
              <w:t>383.33</w:t>
            </w:r>
          </w:p>
        </w:tc>
        <w:tc>
          <w:tcPr>
            <w:tcW w:w="814" w:type="dxa"/>
            <w:tcBorders>
              <w:left w:val="nil"/>
              <w:bottom w:val="nil"/>
              <w:right w:val="nil"/>
            </w:tcBorders>
          </w:tcPr>
          <w:p>
            <w:pPr>
              <w:pStyle w:val="TableParagraph"/>
              <w:spacing w:before="53"/>
              <w:ind w:left="111" w:right="111"/>
              <w:jc w:val="center"/>
              <w:rPr>
                <w:sz w:val="20"/>
              </w:rPr>
            </w:pPr>
            <w:r>
              <w:rPr>
                <w:sz w:val="20"/>
              </w:rPr>
              <w:t>480.00</w:t>
            </w:r>
          </w:p>
        </w:tc>
        <w:tc>
          <w:tcPr>
            <w:tcW w:w="816" w:type="dxa"/>
            <w:tcBorders>
              <w:left w:val="nil"/>
              <w:bottom w:val="nil"/>
              <w:right w:val="nil"/>
            </w:tcBorders>
          </w:tcPr>
          <w:p>
            <w:pPr>
              <w:pStyle w:val="TableParagraph"/>
              <w:spacing w:before="53"/>
              <w:ind w:left="129"/>
              <w:jc w:val="left"/>
              <w:rPr>
                <w:sz w:val="20"/>
              </w:rPr>
            </w:pPr>
            <w:r>
              <w:rPr>
                <w:sz w:val="20"/>
              </w:rPr>
              <w:t>568.33</w:t>
            </w:r>
          </w:p>
        </w:tc>
        <w:tc>
          <w:tcPr>
            <w:tcW w:w="898" w:type="dxa"/>
            <w:tcBorders>
              <w:left w:val="nil"/>
              <w:bottom w:val="nil"/>
              <w:right w:val="nil"/>
            </w:tcBorders>
          </w:tcPr>
          <w:p>
            <w:pPr>
              <w:pStyle w:val="TableParagraph"/>
              <w:spacing w:before="53"/>
              <w:ind w:left="114" w:right="193"/>
              <w:jc w:val="center"/>
              <w:rPr>
                <w:sz w:val="20"/>
              </w:rPr>
            </w:pPr>
            <w:r>
              <w:rPr>
                <w:sz w:val="20"/>
              </w:rPr>
              <w:t>691.67</w:t>
            </w:r>
          </w:p>
        </w:tc>
        <w:tc>
          <w:tcPr>
            <w:tcW w:w="816" w:type="dxa"/>
            <w:tcBorders>
              <w:left w:val="nil"/>
              <w:bottom w:val="nil"/>
              <w:right w:val="nil"/>
            </w:tcBorders>
          </w:tcPr>
          <w:p>
            <w:pPr>
              <w:pStyle w:val="TableParagraph"/>
              <w:spacing w:before="53"/>
              <w:ind w:left="249"/>
              <w:jc w:val="left"/>
              <w:rPr>
                <w:sz w:val="20"/>
              </w:rPr>
            </w:pPr>
            <w:r>
              <w:rPr>
                <w:sz w:val="20"/>
              </w:rPr>
              <w:t>0.00</w:t>
            </w:r>
          </w:p>
        </w:tc>
        <w:tc>
          <w:tcPr>
            <w:tcW w:w="787" w:type="dxa"/>
            <w:tcBorders>
              <w:left w:val="nil"/>
              <w:bottom w:val="nil"/>
              <w:right w:val="nil"/>
            </w:tcBorders>
          </w:tcPr>
          <w:p>
            <w:pPr>
              <w:pStyle w:val="TableParagraph"/>
              <w:spacing w:before="53"/>
              <w:ind w:left="249"/>
              <w:jc w:val="left"/>
              <w:rPr>
                <w:sz w:val="20"/>
              </w:rPr>
            </w:pPr>
            <w:r>
              <w:rPr>
                <w:sz w:val="20"/>
              </w:rPr>
              <w:t>0.00</w:t>
            </w:r>
          </w:p>
        </w:tc>
        <w:tc>
          <w:tcPr>
            <w:tcW w:w="691" w:type="dxa"/>
            <w:tcBorders>
              <w:left w:val="nil"/>
              <w:bottom w:val="nil"/>
              <w:right w:val="nil"/>
            </w:tcBorders>
          </w:tcPr>
          <w:p>
            <w:pPr>
              <w:pStyle w:val="TableParagraph"/>
              <w:spacing w:before="53"/>
              <w:ind w:right="60"/>
              <w:rPr>
                <w:sz w:val="20"/>
              </w:rPr>
            </w:pPr>
            <w:r>
              <w:rPr>
                <w:sz w:val="20"/>
              </w:rPr>
              <w:t>0.00</w:t>
            </w:r>
          </w:p>
        </w:tc>
      </w:tr>
      <w:tr>
        <w:trPr>
          <w:trHeight w:val="293" w:hRule="exact"/>
        </w:trPr>
        <w:tc>
          <w:tcPr>
            <w:tcW w:w="1429" w:type="dxa"/>
            <w:tcBorders>
              <w:top w:val="nil"/>
              <w:left w:val="nil"/>
              <w:bottom w:val="nil"/>
              <w:right w:val="nil"/>
            </w:tcBorders>
          </w:tcPr>
          <w:p>
            <w:pPr>
              <w:pStyle w:val="TableParagraph"/>
              <w:spacing w:before="21"/>
              <w:ind w:left="86"/>
              <w:jc w:val="left"/>
              <w:rPr>
                <w:sz w:val="20"/>
              </w:rPr>
            </w:pPr>
            <w:r>
              <w:rPr>
                <w:sz w:val="20"/>
              </w:rPr>
              <w:t>TEJ_HhFdp</w:t>
            </w:r>
          </w:p>
        </w:tc>
        <w:tc>
          <w:tcPr>
            <w:tcW w:w="791" w:type="dxa"/>
            <w:tcBorders>
              <w:top w:val="nil"/>
              <w:left w:val="nil"/>
              <w:bottom w:val="nil"/>
              <w:right w:val="nil"/>
            </w:tcBorders>
          </w:tcPr>
          <w:p>
            <w:pPr>
              <w:pStyle w:val="TableParagraph"/>
              <w:spacing w:before="21"/>
              <w:ind w:left="87" w:right="114"/>
              <w:jc w:val="center"/>
              <w:rPr>
                <w:sz w:val="20"/>
              </w:rPr>
            </w:pPr>
            <w:r>
              <w:rPr>
                <w:sz w:val="20"/>
              </w:rPr>
              <w:t>133.33</w:t>
            </w:r>
          </w:p>
        </w:tc>
        <w:tc>
          <w:tcPr>
            <w:tcW w:w="819" w:type="dxa"/>
            <w:tcBorders>
              <w:top w:val="nil"/>
              <w:left w:val="nil"/>
              <w:bottom w:val="nil"/>
              <w:right w:val="nil"/>
            </w:tcBorders>
          </w:tcPr>
          <w:p>
            <w:pPr>
              <w:pStyle w:val="TableParagraph"/>
              <w:spacing w:before="21"/>
              <w:ind w:left="115" w:right="113"/>
              <w:jc w:val="center"/>
              <w:rPr>
                <w:sz w:val="20"/>
              </w:rPr>
            </w:pPr>
            <w:r>
              <w:rPr>
                <w:sz w:val="20"/>
              </w:rPr>
              <w:t>233.33</w:t>
            </w:r>
          </w:p>
        </w:tc>
        <w:tc>
          <w:tcPr>
            <w:tcW w:w="816" w:type="dxa"/>
            <w:tcBorders>
              <w:top w:val="nil"/>
              <w:left w:val="nil"/>
              <w:bottom w:val="nil"/>
              <w:right w:val="nil"/>
            </w:tcBorders>
          </w:tcPr>
          <w:p>
            <w:pPr>
              <w:pStyle w:val="TableParagraph"/>
              <w:spacing w:before="21"/>
              <w:ind w:right="129"/>
              <w:rPr>
                <w:sz w:val="20"/>
              </w:rPr>
            </w:pPr>
            <w:r>
              <w:rPr>
                <w:sz w:val="20"/>
              </w:rPr>
              <w:t>300.00</w:t>
            </w:r>
          </w:p>
        </w:tc>
        <w:tc>
          <w:tcPr>
            <w:tcW w:w="814" w:type="dxa"/>
            <w:tcBorders>
              <w:top w:val="nil"/>
              <w:left w:val="nil"/>
              <w:bottom w:val="nil"/>
              <w:right w:val="nil"/>
            </w:tcBorders>
          </w:tcPr>
          <w:p>
            <w:pPr>
              <w:pStyle w:val="TableParagraph"/>
              <w:spacing w:before="21"/>
              <w:ind w:left="113" w:right="111"/>
              <w:jc w:val="center"/>
              <w:rPr>
                <w:sz w:val="20"/>
              </w:rPr>
            </w:pPr>
            <w:r>
              <w:rPr>
                <w:sz w:val="20"/>
              </w:rPr>
              <w:t>383.33</w:t>
            </w:r>
          </w:p>
        </w:tc>
        <w:tc>
          <w:tcPr>
            <w:tcW w:w="814" w:type="dxa"/>
            <w:tcBorders>
              <w:top w:val="nil"/>
              <w:left w:val="nil"/>
              <w:bottom w:val="nil"/>
              <w:right w:val="nil"/>
            </w:tcBorders>
          </w:tcPr>
          <w:p>
            <w:pPr>
              <w:pStyle w:val="TableParagraph"/>
              <w:spacing w:before="21"/>
              <w:ind w:left="111" w:right="111"/>
              <w:jc w:val="center"/>
              <w:rPr>
                <w:sz w:val="20"/>
              </w:rPr>
            </w:pPr>
            <w:r>
              <w:rPr>
                <w:sz w:val="20"/>
              </w:rPr>
              <w:t>480.00</w:t>
            </w:r>
          </w:p>
        </w:tc>
        <w:tc>
          <w:tcPr>
            <w:tcW w:w="816" w:type="dxa"/>
            <w:tcBorders>
              <w:top w:val="nil"/>
              <w:left w:val="nil"/>
              <w:bottom w:val="nil"/>
              <w:right w:val="nil"/>
            </w:tcBorders>
          </w:tcPr>
          <w:p>
            <w:pPr>
              <w:pStyle w:val="TableParagraph"/>
              <w:spacing w:before="21"/>
              <w:ind w:left="129"/>
              <w:jc w:val="left"/>
              <w:rPr>
                <w:sz w:val="20"/>
              </w:rPr>
            </w:pPr>
            <w:r>
              <w:rPr>
                <w:sz w:val="20"/>
              </w:rPr>
              <w:t>568.33</w:t>
            </w:r>
          </w:p>
        </w:tc>
        <w:tc>
          <w:tcPr>
            <w:tcW w:w="898" w:type="dxa"/>
            <w:tcBorders>
              <w:top w:val="nil"/>
              <w:left w:val="nil"/>
              <w:bottom w:val="nil"/>
              <w:right w:val="nil"/>
            </w:tcBorders>
          </w:tcPr>
          <w:p>
            <w:pPr>
              <w:pStyle w:val="TableParagraph"/>
              <w:spacing w:before="21"/>
              <w:ind w:left="114" w:right="193"/>
              <w:jc w:val="center"/>
              <w:rPr>
                <w:sz w:val="20"/>
              </w:rPr>
            </w:pPr>
            <w:r>
              <w:rPr>
                <w:sz w:val="20"/>
              </w:rPr>
              <w:t>691.67</w:t>
            </w:r>
          </w:p>
        </w:tc>
        <w:tc>
          <w:tcPr>
            <w:tcW w:w="816" w:type="dxa"/>
            <w:tcBorders>
              <w:top w:val="nil"/>
              <w:left w:val="nil"/>
              <w:bottom w:val="nil"/>
              <w:right w:val="nil"/>
            </w:tcBorders>
          </w:tcPr>
          <w:p>
            <w:pPr>
              <w:pStyle w:val="TableParagraph"/>
              <w:spacing w:before="21"/>
              <w:ind w:left="249"/>
              <w:jc w:val="left"/>
              <w:rPr>
                <w:sz w:val="20"/>
              </w:rPr>
            </w:pPr>
            <w:r>
              <w:rPr>
                <w:sz w:val="20"/>
              </w:rPr>
              <w:t>0.00</w:t>
            </w:r>
          </w:p>
        </w:tc>
        <w:tc>
          <w:tcPr>
            <w:tcW w:w="787" w:type="dxa"/>
            <w:tcBorders>
              <w:top w:val="nil"/>
              <w:left w:val="nil"/>
              <w:bottom w:val="nil"/>
              <w:right w:val="nil"/>
            </w:tcBorders>
          </w:tcPr>
          <w:p>
            <w:pPr>
              <w:pStyle w:val="TableParagraph"/>
              <w:spacing w:before="21"/>
              <w:ind w:left="249"/>
              <w:jc w:val="left"/>
              <w:rPr>
                <w:sz w:val="20"/>
              </w:rPr>
            </w:pPr>
            <w:r>
              <w:rPr>
                <w:sz w:val="20"/>
              </w:rPr>
              <w:t>0.00</w:t>
            </w:r>
          </w:p>
        </w:tc>
        <w:tc>
          <w:tcPr>
            <w:tcW w:w="691" w:type="dxa"/>
            <w:tcBorders>
              <w:top w:val="nil"/>
              <w:left w:val="nil"/>
              <w:bottom w:val="nil"/>
              <w:right w:val="nil"/>
            </w:tcBorders>
          </w:tcPr>
          <w:p>
            <w:pPr>
              <w:pStyle w:val="TableParagraph"/>
              <w:spacing w:before="21"/>
              <w:ind w:right="60"/>
              <w:rPr>
                <w:sz w:val="20"/>
              </w:rPr>
            </w:pPr>
            <w:r>
              <w:rPr>
                <w:sz w:val="20"/>
              </w:rPr>
              <w:t>0.00</w:t>
            </w:r>
          </w:p>
        </w:tc>
      </w:tr>
      <w:tr>
        <w:trPr>
          <w:trHeight w:val="291" w:hRule="exact"/>
        </w:trPr>
        <w:tc>
          <w:tcPr>
            <w:tcW w:w="1429" w:type="dxa"/>
            <w:tcBorders>
              <w:top w:val="nil"/>
              <w:left w:val="nil"/>
              <w:bottom w:val="nil"/>
              <w:right w:val="nil"/>
            </w:tcBorders>
          </w:tcPr>
          <w:p>
            <w:pPr>
              <w:pStyle w:val="TableParagraph"/>
              <w:spacing w:before="21"/>
              <w:ind w:left="86"/>
              <w:jc w:val="left"/>
              <w:rPr>
                <w:sz w:val="20"/>
              </w:rPr>
            </w:pPr>
            <w:r>
              <w:rPr>
                <w:sz w:val="20"/>
              </w:rPr>
              <w:t>TEJ_HhFl</w:t>
            </w:r>
          </w:p>
        </w:tc>
        <w:tc>
          <w:tcPr>
            <w:tcW w:w="791" w:type="dxa"/>
            <w:tcBorders>
              <w:top w:val="nil"/>
              <w:left w:val="nil"/>
              <w:bottom w:val="nil"/>
              <w:right w:val="nil"/>
            </w:tcBorders>
          </w:tcPr>
          <w:p>
            <w:pPr>
              <w:pStyle w:val="TableParagraph"/>
              <w:spacing w:before="21"/>
              <w:ind w:left="87" w:right="114"/>
              <w:jc w:val="center"/>
              <w:rPr>
                <w:sz w:val="20"/>
              </w:rPr>
            </w:pPr>
            <w:r>
              <w:rPr>
                <w:sz w:val="20"/>
              </w:rPr>
              <w:t>135.71</w:t>
            </w:r>
          </w:p>
        </w:tc>
        <w:tc>
          <w:tcPr>
            <w:tcW w:w="819" w:type="dxa"/>
            <w:tcBorders>
              <w:top w:val="nil"/>
              <w:left w:val="nil"/>
              <w:bottom w:val="nil"/>
              <w:right w:val="nil"/>
            </w:tcBorders>
          </w:tcPr>
          <w:p>
            <w:pPr>
              <w:pStyle w:val="TableParagraph"/>
              <w:spacing w:before="21"/>
              <w:ind w:left="115" w:right="113"/>
              <w:jc w:val="center"/>
              <w:rPr>
                <w:sz w:val="20"/>
              </w:rPr>
            </w:pPr>
            <w:r>
              <w:rPr>
                <w:sz w:val="20"/>
              </w:rPr>
              <w:t>235.71</w:t>
            </w:r>
          </w:p>
        </w:tc>
        <w:tc>
          <w:tcPr>
            <w:tcW w:w="816" w:type="dxa"/>
            <w:tcBorders>
              <w:top w:val="nil"/>
              <w:left w:val="nil"/>
              <w:bottom w:val="nil"/>
              <w:right w:val="nil"/>
            </w:tcBorders>
          </w:tcPr>
          <w:p>
            <w:pPr>
              <w:pStyle w:val="TableParagraph"/>
              <w:spacing w:before="21"/>
              <w:ind w:right="129"/>
              <w:rPr>
                <w:sz w:val="20"/>
              </w:rPr>
            </w:pPr>
            <w:r>
              <w:rPr>
                <w:sz w:val="20"/>
              </w:rPr>
              <w:t>300.00</w:t>
            </w:r>
          </w:p>
        </w:tc>
        <w:tc>
          <w:tcPr>
            <w:tcW w:w="814" w:type="dxa"/>
            <w:tcBorders>
              <w:top w:val="nil"/>
              <w:left w:val="nil"/>
              <w:bottom w:val="nil"/>
              <w:right w:val="nil"/>
            </w:tcBorders>
          </w:tcPr>
          <w:p>
            <w:pPr>
              <w:pStyle w:val="TableParagraph"/>
              <w:spacing w:before="21"/>
              <w:ind w:left="113" w:right="111"/>
              <w:jc w:val="center"/>
              <w:rPr>
                <w:sz w:val="20"/>
              </w:rPr>
            </w:pPr>
            <w:r>
              <w:rPr>
                <w:sz w:val="20"/>
              </w:rPr>
              <w:t>385.71</w:t>
            </w:r>
          </w:p>
        </w:tc>
        <w:tc>
          <w:tcPr>
            <w:tcW w:w="814" w:type="dxa"/>
            <w:tcBorders>
              <w:top w:val="nil"/>
              <w:left w:val="nil"/>
              <w:bottom w:val="nil"/>
              <w:right w:val="nil"/>
            </w:tcBorders>
          </w:tcPr>
          <w:p>
            <w:pPr>
              <w:pStyle w:val="TableParagraph"/>
              <w:spacing w:before="21"/>
              <w:ind w:left="111" w:right="111"/>
              <w:jc w:val="center"/>
              <w:rPr>
                <w:sz w:val="20"/>
              </w:rPr>
            </w:pPr>
            <w:r>
              <w:rPr>
                <w:sz w:val="20"/>
              </w:rPr>
              <w:t>482.86</w:t>
            </w:r>
          </w:p>
        </w:tc>
        <w:tc>
          <w:tcPr>
            <w:tcW w:w="816" w:type="dxa"/>
            <w:tcBorders>
              <w:top w:val="nil"/>
              <w:left w:val="nil"/>
              <w:bottom w:val="nil"/>
              <w:right w:val="nil"/>
            </w:tcBorders>
          </w:tcPr>
          <w:p>
            <w:pPr>
              <w:pStyle w:val="TableParagraph"/>
              <w:spacing w:before="21"/>
              <w:ind w:left="129"/>
              <w:jc w:val="left"/>
              <w:rPr>
                <w:sz w:val="20"/>
              </w:rPr>
            </w:pPr>
            <w:r>
              <w:rPr>
                <w:sz w:val="20"/>
              </w:rPr>
              <w:t>570.00</w:t>
            </w:r>
          </w:p>
        </w:tc>
        <w:tc>
          <w:tcPr>
            <w:tcW w:w="898" w:type="dxa"/>
            <w:tcBorders>
              <w:top w:val="nil"/>
              <w:left w:val="nil"/>
              <w:bottom w:val="nil"/>
              <w:right w:val="nil"/>
            </w:tcBorders>
          </w:tcPr>
          <w:p>
            <w:pPr>
              <w:pStyle w:val="TableParagraph"/>
              <w:spacing w:before="21"/>
              <w:ind w:left="114" w:right="193"/>
              <w:jc w:val="center"/>
              <w:rPr>
                <w:sz w:val="20"/>
              </w:rPr>
            </w:pPr>
            <w:r>
              <w:rPr>
                <w:sz w:val="20"/>
              </w:rPr>
              <w:t>692.86</w:t>
            </w:r>
          </w:p>
        </w:tc>
        <w:tc>
          <w:tcPr>
            <w:tcW w:w="816" w:type="dxa"/>
            <w:tcBorders>
              <w:top w:val="nil"/>
              <w:left w:val="nil"/>
              <w:bottom w:val="nil"/>
              <w:right w:val="nil"/>
            </w:tcBorders>
          </w:tcPr>
          <w:p>
            <w:pPr>
              <w:pStyle w:val="TableParagraph"/>
              <w:spacing w:before="21"/>
              <w:ind w:left="249"/>
              <w:jc w:val="left"/>
              <w:rPr>
                <w:sz w:val="20"/>
              </w:rPr>
            </w:pPr>
            <w:r>
              <w:rPr>
                <w:sz w:val="20"/>
              </w:rPr>
              <w:t>0.00</w:t>
            </w:r>
          </w:p>
        </w:tc>
        <w:tc>
          <w:tcPr>
            <w:tcW w:w="787" w:type="dxa"/>
            <w:tcBorders>
              <w:top w:val="nil"/>
              <w:left w:val="nil"/>
              <w:bottom w:val="nil"/>
              <w:right w:val="nil"/>
            </w:tcBorders>
          </w:tcPr>
          <w:p>
            <w:pPr>
              <w:pStyle w:val="TableParagraph"/>
              <w:spacing w:before="21"/>
              <w:ind w:left="249"/>
              <w:jc w:val="left"/>
              <w:rPr>
                <w:sz w:val="20"/>
              </w:rPr>
            </w:pPr>
            <w:r>
              <w:rPr>
                <w:sz w:val="20"/>
              </w:rPr>
              <w:t>0.00</w:t>
            </w:r>
          </w:p>
        </w:tc>
        <w:tc>
          <w:tcPr>
            <w:tcW w:w="691" w:type="dxa"/>
            <w:tcBorders>
              <w:top w:val="nil"/>
              <w:left w:val="nil"/>
              <w:bottom w:val="nil"/>
              <w:right w:val="nil"/>
            </w:tcBorders>
          </w:tcPr>
          <w:p>
            <w:pPr>
              <w:pStyle w:val="TableParagraph"/>
              <w:spacing w:before="21"/>
              <w:ind w:right="60"/>
              <w:rPr>
                <w:sz w:val="20"/>
              </w:rPr>
            </w:pPr>
            <w:r>
              <w:rPr>
                <w:sz w:val="20"/>
              </w:rPr>
              <w:t>0.00</w:t>
            </w:r>
          </w:p>
        </w:tc>
      </w:tr>
      <w:tr>
        <w:trPr>
          <w:trHeight w:val="291" w:hRule="exact"/>
        </w:trPr>
        <w:tc>
          <w:tcPr>
            <w:tcW w:w="1429" w:type="dxa"/>
            <w:tcBorders>
              <w:top w:val="nil"/>
              <w:left w:val="nil"/>
              <w:bottom w:val="nil"/>
              <w:right w:val="nil"/>
            </w:tcBorders>
          </w:tcPr>
          <w:p>
            <w:pPr>
              <w:pStyle w:val="TableParagraph"/>
              <w:spacing w:before="19"/>
              <w:ind w:left="86"/>
              <w:jc w:val="left"/>
              <w:rPr>
                <w:sz w:val="20"/>
              </w:rPr>
            </w:pPr>
            <w:r>
              <w:rPr>
                <w:sz w:val="20"/>
              </w:rPr>
              <w:t>TEJ_HhFlp</w:t>
            </w:r>
          </w:p>
        </w:tc>
        <w:tc>
          <w:tcPr>
            <w:tcW w:w="791" w:type="dxa"/>
            <w:tcBorders>
              <w:top w:val="nil"/>
              <w:left w:val="nil"/>
              <w:bottom w:val="nil"/>
              <w:right w:val="nil"/>
            </w:tcBorders>
          </w:tcPr>
          <w:p>
            <w:pPr>
              <w:pStyle w:val="TableParagraph"/>
              <w:spacing w:before="19"/>
              <w:ind w:left="87" w:right="114"/>
              <w:jc w:val="center"/>
              <w:rPr>
                <w:sz w:val="20"/>
              </w:rPr>
            </w:pPr>
            <w:r>
              <w:rPr>
                <w:sz w:val="20"/>
              </w:rPr>
              <w:t>116.67</w:t>
            </w:r>
          </w:p>
        </w:tc>
        <w:tc>
          <w:tcPr>
            <w:tcW w:w="819" w:type="dxa"/>
            <w:tcBorders>
              <w:top w:val="nil"/>
              <w:left w:val="nil"/>
              <w:bottom w:val="nil"/>
              <w:right w:val="nil"/>
            </w:tcBorders>
          </w:tcPr>
          <w:p>
            <w:pPr>
              <w:pStyle w:val="TableParagraph"/>
              <w:spacing w:before="19"/>
              <w:ind w:left="115" w:right="113"/>
              <w:jc w:val="center"/>
              <w:rPr>
                <w:sz w:val="20"/>
              </w:rPr>
            </w:pPr>
            <w:r>
              <w:rPr>
                <w:sz w:val="20"/>
              </w:rPr>
              <w:t>216.67</w:t>
            </w:r>
          </w:p>
        </w:tc>
        <w:tc>
          <w:tcPr>
            <w:tcW w:w="816" w:type="dxa"/>
            <w:tcBorders>
              <w:top w:val="nil"/>
              <w:left w:val="nil"/>
              <w:bottom w:val="nil"/>
              <w:right w:val="nil"/>
            </w:tcBorders>
          </w:tcPr>
          <w:p>
            <w:pPr>
              <w:pStyle w:val="TableParagraph"/>
              <w:spacing w:before="19"/>
              <w:ind w:right="129"/>
              <w:rPr>
                <w:sz w:val="20"/>
              </w:rPr>
            </w:pPr>
            <w:r>
              <w:rPr>
                <w:sz w:val="20"/>
              </w:rPr>
              <w:t>300.00</w:t>
            </w:r>
          </w:p>
        </w:tc>
        <w:tc>
          <w:tcPr>
            <w:tcW w:w="814" w:type="dxa"/>
            <w:tcBorders>
              <w:top w:val="nil"/>
              <w:left w:val="nil"/>
              <w:bottom w:val="nil"/>
              <w:right w:val="nil"/>
            </w:tcBorders>
          </w:tcPr>
          <w:p>
            <w:pPr>
              <w:pStyle w:val="TableParagraph"/>
              <w:spacing w:before="19"/>
              <w:ind w:left="113" w:right="111"/>
              <w:jc w:val="center"/>
              <w:rPr>
                <w:sz w:val="20"/>
              </w:rPr>
            </w:pPr>
            <w:r>
              <w:rPr>
                <w:sz w:val="20"/>
              </w:rPr>
              <w:t>383.33</w:t>
            </w:r>
          </w:p>
        </w:tc>
        <w:tc>
          <w:tcPr>
            <w:tcW w:w="814" w:type="dxa"/>
            <w:tcBorders>
              <w:top w:val="nil"/>
              <w:left w:val="nil"/>
              <w:bottom w:val="nil"/>
              <w:right w:val="nil"/>
            </w:tcBorders>
          </w:tcPr>
          <w:p>
            <w:pPr>
              <w:pStyle w:val="TableParagraph"/>
              <w:spacing w:before="19"/>
              <w:ind w:left="111" w:right="111"/>
              <w:jc w:val="center"/>
              <w:rPr>
                <w:sz w:val="20"/>
              </w:rPr>
            </w:pPr>
            <w:r>
              <w:rPr>
                <w:sz w:val="20"/>
              </w:rPr>
              <w:t>483.33</w:t>
            </w:r>
          </w:p>
        </w:tc>
        <w:tc>
          <w:tcPr>
            <w:tcW w:w="816" w:type="dxa"/>
            <w:tcBorders>
              <w:top w:val="nil"/>
              <w:left w:val="nil"/>
              <w:bottom w:val="nil"/>
              <w:right w:val="nil"/>
            </w:tcBorders>
          </w:tcPr>
          <w:p>
            <w:pPr>
              <w:pStyle w:val="TableParagraph"/>
              <w:spacing w:before="19"/>
              <w:ind w:left="129"/>
              <w:jc w:val="left"/>
              <w:rPr>
                <w:sz w:val="20"/>
              </w:rPr>
            </w:pPr>
            <w:r>
              <w:rPr>
                <w:sz w:val="20"/>
              </w:rPr>
              <w:t>583.33</w:t>
            </w:r>
          </w:p>
        </w:tc>
        <w:tc>
          <w:tcPr>
            <w:tcW w:w="898" w:type="dxa"/>
            <w:tcBorders>
              <w:top w:val="nil"/>
              <w:left w:val="nil"/>
              <w:bottom w:val="nil"/>
              <w:right w:val="nil"/>
            </w:tcBorders>
          </w:tcPr>
          <w:p>
            <w:pPr>
              <w:pStyle w:val="TableParagraph"/>
              <w:spacing w:before="19"/>
              <w:ind w:left="114" w:right="193"/>
              <w:jc w:val="center"/>
              <w:rPr>
                <w:sz w:val="20"/>
              </w:rPr>
            </w:pPr>
            <w:r>
              <w:rPr>
                <w:sz w:val="20"/>
              </w:rPr>
              <w:t>700.00</w:t>
            </w:r>
          </w:p>
        </w:tc>
        <w:tc>
          <w:tcPr>
            <w:tcW w:w="816" w:type="dxa"/>
            <w:tcBorders>
              <w:top w:val="nil"/>
              <w:left w:val="nil"/>
              <w:bottom w:val="nil"/>
              <w:right w:val="nil"/>
            </w:tcBorders>
          </w:tcPr>
          <w:p>
            <w:pPr>
              <w:pStyle w:val="TableParagraph"/>
              <w:spacing w:before="19"/>
              <w:ind w:left="249"/>
              <w:jc w:val="left"/>
              <w:rPr>
                <w:sz w:val="20"/>
              </w:rPr>
            </w:pPr>
            <w:r>
              <w:rPr>
                <w:sz w:val="20"/>
              </w:rPr>
              <w:t>0.00</w:t>
            </w:r>
          </w:p>
        </w:tc>
        <w:tc>
          <w:tcPr>
            <w:tcW w:w="787" w:type="dxa"/>
            <w:tcBorders>
              <w:top w:val="nil"/>
              <w:left w:val="nil"/>
              <w:bottom w:val="nil"/>
              <w:right w:val="nil"/>
            </w:tcBorders>
          </w:tcPr>
          <w:p>
            <w:pPr>
              <w:pStyle w:val="TableParagraph"/>
              <w:spacing w:before="19"/>
              <w:ind w:left="249"/>
              <w:jc w:val="left"/>
              <w:rPr>
                <w:sz w:val="20"/>
              </w:rPr>
            </w:pPr>
            <w:r>
              <w:rPr>
                <w:sz w:val="20"/>
              </w:rPr>
              <w:t>0.00</w:t>
            </w:r>
          </w:p>
        </w:tc>
        <w:tc>
          <w:tcPr>
            <w:tcW w:w="691" w:type="dxa"/>
            <w:tcBorders>
              <w:top w:val="nil"/>
              <w:left w:val="nil"/>
              <w:bottom w:val="nil"/>
              <w:right w:val="nil"/>
            </w:tcBorders>
          </w:tcPr>
          <w:p>
            <w:pPr>
              <w:pStyle w:val="TableParagraph"/>
              <w:spacing w:before="19"/>
              <w:ind w:right="60"/>
              <w:rPr>
                <w:sz w:val="20"/>
              </w:rPr>
            </w:pPr>
            <w:r>
              <w:rPr>
                <w:sz w:val="20"/>
              </w:rPr>
              <w:t>0.00</w:t>
            </w:r>
          </w:p>
        </w:tc>
      </w:tr>
      <w:tr>
        <w:trPr>
          <w:trHeight w:val="293" w:hRule="exact"/>
        </w:trPr>
        <w:tc>
          <w:tcPr>
            <w:tcW w:w="1429" w:type="dxa"/>
            <w:tcBorders>
              <w:top w:val="nil"/>
              <w:left w:val="nil"/>
              <w:bottom w:val="nil"/>
              <w:right w:val="nil"/>
            </w:tcBorders>
          </w:tcPr>
          <w:p>
            <w:pPr>
              <w:pStyle w:val="TableParagraph"/>
              <w:spacing w:before="21"/>
              <w:ind w:left="86"/>
              <w:jc w:val="left"/>
              <w:rPr>
                <w:sz w:val="20"/>
              </w:rPr>
            </w:pPr>
            <w:r>
              <w:rPr>
                <w:sz w:val="20"/>
              </w:rPr>
              <w:t>TEJ_HhFp</w:t>
            </w:r>
          </w:p>
        </w:tc>
        <w:tc>
          <w:tcPr>
            <w:tcW w:w="791" w:type="dxa"/>
            <w:tcBorders>
              <w:top w:val="nil"/>
              <w:left w:val="nil"/>
              <w:bottom w:val="nil"/>
              <w:right w:val="nil"/>
            </w:tcBorders>
          </w:tcPr>
          <w:p>
            <w:pPr>
              <w:pStyle w:val="TableParagraph"/>
              <w:spacing w:before="21"/>
              <w:ind w:left="87" w:right="114"/>
              <w:jc w:val="center"/>
              <w:rPr>
                <w:sz w:val="20"/>
              </w:rPr>
            </w:pPr>
            <w:r>
              <w:rPr>
                <w:sz w:val="20"/>
              </w:rPr>
              <w:t>170.00</w:t>
            </w:r>
          </w:p>
        </w:tc>
        <w:tc>
          <w:tcPr>
            <w:tcW w:w="819" w:type="dxa"/>
            <w:tcBorders>
              <w:top w:val="nil"/>
              <w:left w:val="nil"/>
              <w:bottom w:val="nil"/>
              <w:right w:val="nil"/>
            </w:tcBorders>
          </w:tcPr>
          <w:p>
            <w:pPr>
              <w:pStyle w:val="TableParagraph"/>
              <w:spacing w:before="21"/>
              <w:ind w:left="115" w:right="113"/>
              <w:jc w:val="center"/>
              <w:rPr>
                <w:sz w:val="20"/>
              </w:rPr>
            </w:pPr>
            <w:r>
              <w:rPr>
                <w:sz w:val="20"/>
              </w:rPr>
              <w:t>260.00</w:t>
            </w:r>
          </w:p>
        </w:tc>
        <w:tc>
          <w:tcPr>
            <w:tcW w:w="816" w:type="dxa"/>
            <w:tcBorders>
              <w:top w:val="nil"/>
              <w:left w:val="nil"/>
              <w:bottom w:val="nil"/>
              <w:right w:val="nil"/>
            </w:tcBorders>
          </w:tcPr>
          <w:p>
            <w:pPr>
              <w:pStyle w:val="TableParagraph"/>
              <w:spacing w:before="21"/>
              <w:ind w:right="129"/>
              <w:rPr>
                <w:sz w:val="20"/>
              </w:rPr>
            </w:pPr>
            <w:r>
              <w:rPr>
                <w:sz w:val="20"/>
              </w:rPr>
              <w:t>336.00</w:t>
            </w:r>
          </w:p>
        </w:tc>
        <w:tc>
          <w:tcPr>
            <w:tcW w:w="814" w:type="dxa"/>
            <w:tcBorders>
              <w:top w:val="nil"/>
              <w:left w:val="nil"/>
              <w:bottom w:val="nil"/>
              <w:right w:val="nil"/>
            </w:tcBorders>
          </w:tcPr>
          <w:p>
            <w:pPr>
              <w:pStyle w:val="TableParagraph"/>
              <w:spacing w:before="21"/>
              <w:ind w:left="113" w:right="111"/>
              <w:jc w:val="center"/>
              <w:rPr>
                <w:sz w:val="20"/>
              </w:rPr>
            </w:pPr>
            <w:r>
              <w:rPr>
                <w:sz w:val="20"/>
              </w:rPr>
              <w:t>440.00</w:t>
            </w:r>
          </w:p>
        </w:tc>
        <w:tc>
          <w:tcPr>
            <w:tcW w:w="814" w:type="dxa"/>
            <w:tcBorders>
              <w:top w:val="nil"/>
              <w:left w:val="nil"/>
              <w:bottom w:val="nil"/>
              <w:right w:val="nil"/>
            </w:tcBorders>
          </w:tcPr>
          <w:p>
            <w:pPr>
              <w:pStyle w:val="TableParagraph"/>
              <w:spacing w:before="21"/>
              <w:ind w:left="111" w:right="111"/>
              <w:jc w:val="center"/>
              <w:rPr>
                <w:sz w:val="20"/>
              </w:rPr>
            </w:pPr>
            <w:r>
              <w:rPr>
                <w:sz w:val="20"/>
              </w:rPr>
              <w:t>542.00</w:t>
            </w:r>
          </w:p>
        </w:tc>
        <w:tc>
          <w:tcPr>
            <w:tcW w:w="816" w:type="dxa"/>
            <w:tcBorders>
              <w:top w:val="nil"/>
              <w:left w:val="nil"/>
              <w:bottom w:val="nil"/>
              <w:right w:val="nil"/>
            </w:tcBorders>
          </w:tcPr>
          <w:p>
            <w:pPr>
              <w:pStyle w:val="TableParagraph"/>
              <w:spacing w:before="21"/>
              <w:ind w:left="129"/>
              <w:jc w:val="left"/>
              <w:rPr>
                <w:sz w:val="20"/>
              </w:rPr>
            </w:pPr>
            <w:r>
              <w:rPr>
                <w:sz w:val="20"/>
              </w:rPr>
              <w:t>637.00</w:t>
            </w:r>
          </w:p>
        </w:tc>
        <w:tc>
          <w:tcPr>
            <w:tcW w:w="898" w:type="dxa"/>
            <w:tcBorders>
              <w:top w:val="nil"/>
              <w:left w:val="nil"/>
              <w:bottom w:val="nil"/>
              <w:right w:val="nil"/>
            </w:tcBorders>
          </w:tcPr>
          <w:p>
            <w:pPr>
              <w:pStyle w:val="TableParagraph"/>
              <w:spacing w:before="21"/>
              <w:ind w:left="114" w:right="193"/>
              <w:jc w:val="center"/>
              <w:rPr>
                <w:sz w:val="20"/>
              </w:rPr>
            </w:pPr>
            <w:r>
              <w:rPr>
                <w:sz w:val="20"/>
              </w:rPr>
              <w:t>755.00</w:t>
            </w:r>
          </w:p>
        </w:tc>
        <w:tc>
          <w:tcPr>
            <w:tcW w:w="816" w:type="dxa"/>
            <w:tcBorders>
              <w:top w:val="nil"/>
              <w:left w:val="nil"/>
              <w:bottom w:val="nil"/>
              <w:right w:val="nil"/>
            </w:tcBorders>
          </w:tcPr>
          <w:p>
            <w:pPr>
              <w:pStyle w:val="TableParagraph"/>
              <w:spacing w:before="21"/>
              <w:ind w:left="249"/>
              <w:jc w:val="left"/>
              <w:rPr>
                <w:sz w:val="20"/>
              </w:rPr>
            </w:pPr>
            <w:r>
              <w:rPr>
                <w:sz w:val="20"/>
              </w:rPr>
              <w:t>0.00</w:t>
            </w:r>
          </w:p>
        </w:tc>
        <w:tc>
          <w:tcPr>
            <w:tcW w:w="787" w:type="dxa"/>
            <w:tcBorders>
              <w:top w:val="nil"/>
              <w:left w:val="nil"/>
              <w:bottom w:val="nil"/>
              <w:right w:val="nil"/>
            </w:tcBorders>
          </w:tcPr>
          <w:p>
            <w:pPr>
              <w:pStyle w:val="TableParagraph"/>
              <w:spacing w:before="21"/>
              <w:ind w:left="249"/>
              <w:jc w:val="left"/>
              <w:rPr>
                <w:sz w:val="20"/>
              </w:rPr>
            </w:pPr>
            <w:r>
              <w:rPr>
                <w:sz w:val="20"/>
              </w:rPr>
              <w:t>0.00</w:t>
            </w:r>
          </w:p>
        </w:tc>
        <w:tc>
          <w:tcPr>
            <w:tcW w:w="691" w:type="dxa"/>
            <w:tcBorders>
              <w:top w:val="nil"/>
              <w:left w:val="nil"/>
              <w:bottom w:val="nil"/>
              <w:right w:val="nil"/>
            </w:tcBorders>
          </w:tcPr>
          <w:p>
            <w:pPr>
              <w:pStyle w:val="TableParagraph"/>
              <w:spacing w:before="21"/>
              <w:ind w:right="60"/>
              <w:rPr>
                <w:sz w:val="20"/>
              </w:rPr>
            </w:pPr>
            <w:r>
              <w:rPr>
                <w:sz w:val="20"/>
              </w:rPr>
              <w:t>0.00</w:t>
            </w:r>
          </w:p>
        </w:tc>
      </w:tr>
      <w:tr>
        <w:trPr>
          <w:trHeight w:val="293" w:hRule="exact"/>
        </w:trPr>
        <w:tc>
          <w:tcPr>
            <w:tcW w:w="1429" w:type="dxa"/>
            <w:tcBorders>
              <w:top w:val="nil"/>
              <w:left w:val="nil"/>
              <w:bottom w:val="nil"/>
              <w:right w:val="nil"/>
            </w:tcBorders>
          </w:tcPr>
          <w:p>
            <w:pPr>
              <w:pStyle w:val="TableParagraph"/>
              <w:spacing w:before="21"/>
              <w:ind w:left="86"/>
              <w:jc w:val="left"/>
              <w:rPr>
                <w:sz w:val="20"/>
              </w:rPr>
            </w:pPr>
            <w:r>
              <w:rPr>
                <w:sz w:val="20"/>
              </w:rPr>
              <w:t>TEJ_HhSF</w:t>
            </w:r>
          </w:p>
        </w:tc>
        <w:tc>
          <w:tcPr>
            <w:tcW w:w="791" w:type="dxa"/>
            <w:tcBorders>
              <w:top w:val="nil"/>
              <w:left w:val="nil"/>
              <w:bottom w:val="nil"/>
              <w:right w:val="nil"/>
            </w:tcBorders>
          </w:tcPr>
          <w:p>
            <w:pPr>
              <w:pStyle w:val="TableParagraph"/>
              <w:spacing w:before="21"/>
              <w:ind w:left="87" w:right="114"/>
              <w:jc w:val="center"/>
              <w:rPr>
                <w:sz w:val="20"/>
              </w:rPr>
            </w:pPr>
            <w:r>
              <w:rPr>
                <w:sz w:val="20"/>
              </w:rPr>
              <w:t>150.00</w:t>
            </w:r>
          </w:p>
        </w:tc>
        <w:tc>
          <w:tcPr>
            <w:tcW w:w="819" w:type="dxa"/>
            <w:tcBorders>
              <w:top w:val="nil"/>
              <w:left w:val="nil"/>
              <w:bottom w:val="nil"/>
              <w:right w:val="nil"/>
            </w:tcBorders>
          </w:tcPr>
          <w:p>
            <w:pPr>
              <w:pStyle w:val="TableParagraph"/>
              <w:spacing w:before="21"/>
              <w:ind w:left="115" w:right="113"/>
              <w:jc w:val="center"/>
              <w:rPr>
                <w:sz w:val="20"/>
              </w:rPr>
            </w:pPr>
            <w:r>
              <w:rPr>
                <w:sz w:val="20"/>
              </w:rPr>
              <w:t>237.50</w:t>
            </w:r>
          </w:p>
        </w:tc>
        <w:tc>
          <w:tcPr>
            <w:tcW w:w="816" w:type="dxa"/>
            <w:tcBorders>
              <w:top w:val="nil"/>
              <w:left w:val="nil"/>
              <w:bottom w:val="nil"/>
              <w:right w:val="nil"/>
            </w:tcBorders>
          </w:tcPr>
          <w:p>
            <w:pPr>
              <w:pStyle w:val="TableParagraph"/>
              <w:spacing w:before="21"/>
              <w:ind w:right="129"/>
              <w:rPr>
                <w:sz w:val="20"/>
              </w:rPr>
            </w:pPr>
            <w:r>
              <w:rPr>
                <w:sz w:val="20"/>
              </w:rPr>
              <w:t>337.50</w:t>
            </w:r>
          </w:p>
        </w:tc>
        <w:tc>
          <w:tcPr>
            <w:tcW w:w="814" w:type="dxa"/>
            <w:tcBorders>
              <w:top w:val="nil"/>
              <w:left w:val="nil"/>
              <w:bottom w:val="nil"/>
              <w:right w:val="nil"/>
            </w:tcBorders>
          </w:tcPr>
          <w:p>
            <w:pPr>
              <w:pStyle w:val="TableParagraph"/>
              <w:spacing w:before="21"/>
              <w:ind w:left="113" w:right="111"/>
              <w:jc w:val="center"/>
              <w:rPr>
                <w:sz w:val="20"/>
              </w:rPr>
            </w:pPr>
            <w:r>
              <w:rPr>
                <w:sz w:val="20"/>
              </w:rPr>
              <w:t>437.50</w:t>
            </w:r>
          </w:p>
        </w:tc>
        <w:tc>
          <w:tcPr>
            <w:tcW w:w="814" w:type="dxa"/>
            <w:tcBorders>
              <w:top w:val="nil"/>
              <w:left w:val="nil"/>
              <w:bottom w:val="nil"/>
              <w:right w:val="nil"/>
            </w:tcBorders>
          </w:tcPr>
          <w:p>
            <w:pPr>
              <w:pStyle w:val="TableParagraph"/>
              <w:spacing w:before="21"/>
              <w:ind w:left="111" w:right="111"/>
              <w:jc w:val="center"/>
              <w:rPr>
                <w:sz w:val="20"/>
              </w:rPr>
            </w:pPr>
            <w:r>
              <w:rPr>
                <w:sz w:val="20"/>
              </w:rPr>
              <w:t>555.00</w:t>
            </w:r>
          </w:p>
        </w:tc>
        <w:tc>
          <w:tcPr>
            <w:tcW w:w="816" w:type="dxa"/>
            <w:tcBorders>
              <w:top w:val="nil"/>
              <w:left w:val="nil"/>
              <w:bottom w:val="nil"/>
              <w:right w:val="nil"/>
            </w:tcBorders>
          </w:tcPr>
          <w:p>
            <w:pPr>
              <w:pStyle w:val="TableParagraph"/>
              <w:spacing w:before="21"/>
              <w:ind w:left="129"/>
              <w:jc w:val="left"/>
              <w:rPr>
                <w:sz w:val="20"/>
              </w:rPr>
            </w:pPr>
            <w:r>
              <w:rPr>
                <w:sz w:val="20"/>
              </w:rPr>
              <w:t>675.00</w:t>
            </w:r>
          </w:p>
        </w:tc>
        <w:tc>
          <w:tcPr>
            <w:tcW w:w="898" w:type="dxa"/>
            <w:tcBorders>
              <w:top w:val="nil"/>
              <w:left w:val="nil"/>
              <w:bottom w:val="nil"/>
              <w:right w:val="nil"/>
            </w:tcBorders>
          </w:tcPr>
          <w:p>
            <w:pPr>
              <w:pStyle w:val="TableParagraph"/>
              <w:spacing w:before="21"/>
              <w:ind w:left="114" w:right="193"/>
              <w:jc w:val="center"/>
              <w:rPr>
                <w:sz w:val="20"/>
              </w:rPr>
            </w:pPr>
            <w:r>
              <w:rPr>
                <w:sz w:val="20"/>
              </w:rPr>
              <w:t>775.00</w:t>
            </w:r>
          </w:p>
        </w:tc>
        <w:tc>
          <w:tcPr>
            <w:tcW w:w="816" w:type="dxa"/>
            <w:tcBorders>
              <w:top w:val="nil"/>
              <w:left w:val="nil"/>
              <w:bottom w:val="nil"/>
              <w:right w:val="nil"/>
            </w:tcBorders>
          </w:tcPr>
          <w:p>
            <w:pPr>
              <w:pStyle w:val="TableParagraph"/>
              <w:spacing w:before="21"/>
              <w:ind w:left="249"/>
              <w:jc w:val="left"/>
              <w:rPr>
                <w:sz w:val="20"/>
              </w:rPr>
            </w:pPr>
            <w:r>
              <w:rPr>
                <w:sz w:val="20"/>
              </w:rPr>
              <w:t>0.00</w:t>
            </w:r>
          </w:p>
        </w:tc>
        <w:tc>
          <w:tcPr>
            <w:tcW w:w="787" w:type="dxa"/>
            <w:tcBorders>
              <w:top w:val="nil"/>
              <w:left w:val="nil"/>
              <w:bottom w:val="nil"/>
              <w:right w:val="nil"/>
            </w:tcBorders>
          </w:tcPr>
          <w:p>
            <w:pPr>
              <w:pStyle w:val="TableParagraph"/>
              <w:spacing w:before="21"/>
              <w:ind w:left="249"/>
              <w:jc w:val="left"/>
              <w:rPr>
                <w:sz w:val="20"/>
              </w:rPr>
            </w:pPr>
            <w:r>
              <w:rPr>
                <w:sz w:val="20"/>
              </w:rPr>
              <w:t>0.00</w:t>
            </w:r>
          </w:p>
        </w:tc>
        <w:tc>
          <w:tcPr>
            <w:tcW w:w="691" w:type="dxa"/>
            <w:tcBorders>
              <w:top w:val="nil"/>
              <w:left w:val="nil"/>
              <w:bottom w:val="nil"/>
              <w:right w:val="nil"/>
            </w:tcBorders>
          </w:tcPr>
          <w:p>
            <w:pPr>
              <w:pStyle w:val="TableParagraph"/>
              <w:spacing w:before="21"/>
              <w:ind w:right="60"/>
              <w:rPr>
                <w:sz w:val="20"/>
              </w:rPr>
            </w:pPr>
            <w:r>
              <w:rPr>
                <w:sz w:val="20"/>
              </w:rPr>
              <w:t>0.00</w:t>
            </w:r>
          </w:p>
        </w:tc>
      </w:tr>
      <w:tr>
        <w:trPr>
          <w:trHeight w:val="293" w:hRule="exact"/>
        </w:trPr>
        <w:tc>
          <w:tcPr>
            <w:tcW w:w="1429" w:type="dxa"/>
            <w:tcBorders>
              <w:top w:val="nil"/>
              <w:left w:val="nil"/>
              <w:bottom w:val="nil"/>
              <w:right w:val="nil"/>
            </w:tcBorders>
          </w:tcPr>
          <w:p>
            <w:pPr>
              <w:pStyle w:val="TableParagraph"/>
              <w:spacing w:before="21"/>
              <w:ind w:left="86"/>
              <w:jc w:val="left"/>
              <w:rPr>
                <w:sz w:val="20"/>
              </w:rPr>
            </w:pPr>
            <w:r>
              <w:rPr>
                <w:sz w:val="20"/>
              </w:rPr>
              <w:t>TEJ_HlFd</w:t>
            </w:r>
          </w:p>
        </w:tc>
        <w:tc>
          <w:tcPr>
            <w:tcW w:w="791" w:type="dxa"/>
            <w:tcBorders>
              <w:top w:val="nil"/>
              <w:left w:val="nil"/>
              <w:bottom w:val="nil"/>
              <w:right w:val="nil"/>
            </w:tcBorders>
          </w:tcPr>
          <w:p>
            <w:pPr>
              <w:pStyle w:val="TableParagraph"/>
              <w:spacing w:before="21"/>
              <w:ind w:left="87" w:right="114"/>
              <w:jc w:val="center"/>
              <w:rPr>
                <w:sz w:val="20"/>
              </w:rPr>
            </w:pPr>
            <w:r>
              <w:rPr>
                <w:sz w:val="20"/>
              </w:rPr>
              <w:t>157.14</w:t>
            </w:r>
          </w:p>
        </w:tc>
        <w:tc>
          <w:tcPr>
            <w:tcW w:w="819" w:type="dxa"/>
            <w:tcBorders>
              <w:top w:val="nil"/>
              <w:left w:val="nil"/>
              <w:bottom w:val="nil"/>
              <w:right w:val="nil"/>
            </w:tcBorders>
          </w:tcPr>
          <w:p>
            <w:pPr>
              <w:pStyle w:val="TableParagraph"/>
              <w:spacing w:before="21"/>
              <w:ind w:left="115" w:right="113"/>
              <w:jc w:val="center"/>
              <w:rPr>
                <w:sz w:val="20"/>
              </w:rPr>
            </w:pPr>
            <w:r>
              <w:rPr>
                <w:sz w:val="20"/>
              </w:rPr>
              <w:t>250.00</w:t>
            </w:r>
          </w:p>
        </w:tc>
        <w:tc>
          <w:tcPr>
            <w:tcW w:w="816" w:type="dxa"/>
            <w:tcBorders>
              <w:top w:val="nil"/>
              <w:left w:val="nil"/>
              <w:bottom w:val="nil"/>
              <w:right w:val="nil"/>
            </w:tcBorders>
          </w:tcPr>
          <w:p>
            <w:pPr>
              <w:pStyle w:val="TableParagraph"/>
              <w:spacing w:before="21"/>
              <w:ind w:right="129"/>
              <w:rPr>
                <w:sz w:val="20"/>
              </w:rPr>
            </w:pPr>
            <w:r>
              <w:rPr>
                <w:sz w:val="20"/>
              </w:rPr>
              <w:t>321.43</w:t>
            </w:r>
          </w:p>
        </w:tc>
        <w:tc>
          <w:tcPr>
            <w:tcW w:w="814" w:type="dxa"/>
            <w:tcBorders>
              <w:top w:val="nil"/>
              <w:left w:val="nil"/>
              <w:bottom w:val="nil"/>
              <w:right w:val="nil"/>
            </w:tcBorders>
          </w:tcPr>
          <w:p>
            <w:pPr>
              <w:pStyle w:val="TableParagraph"/>
              <w:spacing w:before="21"/>
              <w:ind w:left="113" w:right="111"/>
              <w:jc w:val="center"/>
              <w:rPr>
                <w:sz w:val="20"/>
              </w:rPr>
            </w:pPr>
            <w:r>
              <w:rPr>
                <w:sz w:val="20"/>
              </w:rPr>
              <w:t>407.14</w:t>
            </w:r>
          </w:p>
        </w:tc>
        <w:tc>
          <w:tcPr>
            <w:tcW w:w="814" w:type="dxa"/>
            <w:tcBorders>
              <w:top w:val="nil"/>
              <w:left w:val="nil"/>
              <w:bottom w:val="nil"/>
              <w:right w:val="nil"/>
            </w:tcBorders>
          </w:tcPr>
          <w:p>
            <w:pPr>
              <w:pStyle w:val="TableParagraph"/>
              <w:spacing w:before="21"/>
              <w:ind w:left="111" w:right="111"/>
              <w:jc w:val="center"/>
              <w:rPr>
                <w:sz w:val="20"/>
              </w:rPr>
            </w:pPr>
            <w:r>
              <w:rPr>
                <w:sz w:val="20"/>
              </w:rPr>
              <w:t>518.57</w:t>
            </w:r>
          </w:p>
        </w:tc>
        <w:tc>
          <w:tcPr>
            <w:tcW w:w="816" w:type="dxa"/>
            <w:tcBorders>
              <w:top w:val="nil"/>
              <w:left w:val="nil"/>
              <w:bottom w:val="nil"/>
              <w:right w:val="nil"/>
            </w:tcBorders>
          </w:tcPr>
          <w:p>
            <w:pPr>
              <w:pStyle w:val="TableParagraph"/>
              <w:spacing w:before="21"/>
              <w:ind w:left="129"/>
              <w:jc w:val="left"/>
              <w:rPr>
                <w:sz w:val="20"/>
              </w:rPr>
            </w:pPr>
            <w:r>
              <w:rPr>
                <w:sz w:val="20"/>
              </w:rPr>
              <w:t>615.71</w:t>
            </w:r>
          </w:p>
        </w:tc>
        <w:tc>
          <w:tcPr>
            <w:tcW w:w="898" w:type="dxa"/>
            <w:tcBorders>
              <w:top w:val="nil"/>
              <w:left w:val="nil"/>
              <w:bottom w:val="nil"/>
              <w:right w:val="nil"/>
            </w:tcBorders>
          </w:tcPr>
          <w:p>
            <w:pPr>
              <w:pStyle w:val="TableParagraph"/>
              <w:spacing w:before="21"/>
              <w:ind w:left="114" w:right="193"/>
              <w:jc w:val="center"/>
              <w:rPr>
                <w:sz w:val="20"/>
              </w:rPr>
            </w:pPr>
            <w:r>
              <w:rPr>
                <w:sz w:val="20"/>
              </w:rPr>
              <w:t>728.57</w:t>
            </w:r>
          </w:p>
        </w:tc>
        <w:tc>
          <w:tcPr>
            <w:tcW w:w="816" w:type="dxa"/>
            <w:tcBorders>
              <w:top w:val="nil"/>
              <w:left w:val="nil"/>
              <w:bottom w:val="nil"/>
              <w:right w:val="nil"/>
            </w:tcBorders>
          </w:tcPr>
          <w:p>
            <w:pPr>
              <w:pStyle w:val="TableParagraph"/>
              <w:spacing w:before="21"/>
              <w:ind w:left="249"/>
              <w:jc w:val="left"/>
              <w:rPr>
                <w:sz w:val="20"/>
              </w:rPr>
            </w:pPr>
            <w:r>
              <w:rPr>
                <w:sz w:val="20"/>
              </w:rPr>
              <w:t>0.00</w:t>
            </w:r>
          </w:p>
        </w:tc>
        <w:tc>
          <w:tcPr>
            <w:tcW w:w="787" w:type="dxa"/>
            <w:tcBorders>
              <w:top w:val="nil"/>
              <w:left w:val="nil"/>
              <w:bottom w:val="nil"/>
              <w:right w:val="nil"/>
            </w:tcBorders>
          </w:tcPr>
          <w:p>
            <w:pPr>
              <w:pStyle w:val="TableParagraph"/>
              <w:spacing w:before="21"/>
              <w:ind w:left="249"/>
              <w:jc w:val="left"/>
              <w:rPr>
                <w:sz w:val="20"/>
              </w:rPr>
            </w:pPr>
            <w:r>
              <w:rPr>
                <w:sz w:val="20"/>
              </w:rPr>
              <w:t>0.00</w:t>
            </w:r>
          </w:p>
        </w:tc>
        <w:tc>
          <w:tcPr>
            <w:tcW w:w="691" w:type="dxa"/>
            <w:tcBorders>
              <w:top w:val="nil"/>
              <w:left w:val="nil"/>
              <w:bottom w:val="nil"/>
              <w:right w:val="nil"/>
            </w:tcBorders>
          </w:tcPr>
          <w:p>
            <w:pPr>
              <w:pStyle w:val="TableParagraph"/>
              <w:spacing w:before="21"/>
              <w:ind w:right="60"/>
              <w:rPr>
                <w:sz w:val="20"/>
              </w:rPr>
            </w:pPr>
            <w:r>
              <w:rPr>
                <w:sz w:val="20"/>
              </w:rPr>
              <w:t>0.00</w:t>
            </w:r>
          </w:p>
        </w:tc>
      </w:tr>
      <w:tr>
        <w:trPr>
          <w:trHeight w:val="293" w:hRule="exact"/>
        </w:trPr>
        <w:tc>
          <w:tcPr>
            <w:tcW w:w="1429" w:type="dxa"/>
            <w:tcBorders>
              <w:top w:val="nil"/>
              <w:left w:val="nil"/>
              <w:bottom w:val="nil"/>
              <w:right w:val="nil"/>
            </w:tcBorders>
          </w:tcPr>
          <w:p>
            <w:pPr>
              <w:pStyle w:val="TableParagraph"/>
              <w:spacing w:before="21"/>
              <w:ind w:left="86"/>
              <w:jc w:val="left"/>
              <w:rPr>
                <w:sz w:val="20"/>
              </w:rPr>
            </w:pPr>
            <w:r>
              <w:rPr>
                <w:sz w:val="20"/>
              </w:rPr>
              <w:t>TEJ_HlFdp</w:t>
            </w:r>
          </w:p>
        </w:tc>
        <w:tc>
          <w:tcPr>
            <w:tcW w:w="791" w:type="dxa"/>
            <w:tcBorders>
              <w:top w:val="nil"/>
              <w:left w:val="nil"/>
              <w:bottom w:val="nil"/>
              <w:right w:val="nil"/>
            </w:tcBorders>
          </w:tcPr>
          <w:p>
            <w:pPr>
              <w:pStyle w:val="TableParagraph"/>
              <w:spacing w:before="21"/>
              <w:ind w:left="87" w:right="114"/>
              <w:jc w:val="center"/>
              <w:rPr>
                <w:sz w:val="20"/>
              </w:rPr>
            </w:pPr>
            <w:r>
              <w:rPr>
                <w:sz w:val="20"/>
              </w:rPr>
              <w:t>150.00</w:t>
            </w:r>
          </w:p>
        </w:tc>
        <w:tc>
          <w:tcPr>
            <w:tcW w:w="819" w:type="dxa"/>
            <w:tcBorders>
              <w:top w:val="nil"/>
              <w:left w:val="nil"/>
              <w:bottom w:val="nil"/>
              <w:right w:val="nil"/>
            </w:tcBorders>
          </w:tcPr>
          <w:p>
            <w:pPr>
              <w:pStyle w:val="TableParagraph"/>
              <w:spacing w:before="21"/>
              <w:ind w:left="115" w:right="113"/>
              <w:jc w:val="center"/>
              <w:rPr>
                <w:sz w:val="20"/>
              </w:rPr>
            </w:pPr>
            <w:r>
              <w:rPr>
                <w:sz w:val="20"/>
              </w:rPr>
              <w:t>244.44</w:t>
            </w:r>
          </w:p>
        </w:tc>
        <w:tc>
          <w:tcPr>
            <w:tcW w:w="816" w:type="dxa"/>
            <w:tcBorders>
              <w:top w:val="nil"/>
              <w:left w:val="nil"/>
              <w:bottom w:val="nil"/>
              <w:right w:val="nil"/>
            </w:tcBorders>
          </w:tcPr>
          <w:p>
            <w:pPr>
              <w:pStyle w:val="TableParagraph"/>
              <w:spacing w:before="21"/>
              <w:ind w:right="129"/>
              <w:rPr>
                <w:sz w:val="20"/>
              </w:rPr>
            </w:pPr>
            <w:r>
              <w:rPr>
                <w:sz w:val="20"/>
              </w:rPr>
              <w:t>323.33</w:t>
            </w:r>
          </w:p>
        </w:tc>
        <w:tc>
          <w:tcPr>
            <w:tcW w:w="814" w:type="dxa"/>
            <w:tcBorders>
              <w:top w:val="nil"/>
              <w:left w:val="nil"/>
              <w:bottom w:val="nil"/>
              <w:right w:val="nil"/>
            </w:tcBorders>
          </w:tcPr>
          <w:p>
            <w:pPr>
              <w:pStyle w:val="TableParagraph"/>
              <w:spacing w:before="21"/>
              <w:ind w:left="113" w:right="111"/>
              <w:jc w:val="center"/>
              <w:rPr>
                <w:sz w:val="20"/>
              </w:rPr>
            </w:pPr>
            <w:r>
              <w:rPr>
                <w:sz w:val="20"/>
              </w:rPr>
              <w:t>427.78</w:t>
            </w:r>
          </w:p>
        </w:tc>
        <w:tc>
          <w:tcPr>
            <w:tcW w:w="814" w:type="dxa"/>
            <w:tcBorders>
              <w:top w:val="nil"/>
              <w:left w:val="nil"/>
              <w:bottom w:val="nil"/>
              <w:right w:val="nil"/>
            </w:tcBorders>
          </w:tcPr>
          <w:p>
            <w:pPr>
              <w:pStyle w:val="TableParagraph"/>
              <w:spacing w:before="21"/>
              <w:ind w:left="111" w:right="111"/>
              <w:jc w:val="center"/>
              <w:rPr>
                <w:sz w:val="20"/>
              </w:rPr>
            </w:pPr>
            <w:r>
              <w:rPr>
                <w:sz w:val="20"/>
              </w:rPr>
              <w:t>518.89</w:t>
            </w:r>
          </w:p>
        </w:tc>
        <w:tc>
          <w:tcPr>
            <w:tcW w:w="816" w:type="dxa"/>
            <w:tcBorders>
              <w:top w:val="nil"/>
              <w:left w:val="nil"/>
              <w:bottom w:val="nil"/>
              <w:right w:val="nil"/>
            </w:tcBorders>
          </w:tcPr>
          <w:p>
            <w:pPr>
              <w:pStyle w:val="TableParagraph"/>
              <w:spacing w:before="21"/>
              <w:ind w:left="129"/>
              <w:jc w:val="left"/>
              <w:rPr>
                <w:sz w:val="20"/>
              </w:rPr>
            </w:pPr>
            <w:r>
              <w:rPr>
                <w:sz w:val="20"/>
              </w:rPr>
              <w:t>610.00</w:t>
            </w:r>
          </w:p>
        </w:tc>
        <w:tc>
          <w:tcPr>
            <w:tcW w:w="898" w:type="dxa"/>
            <w:tcBorders>
              <w:top w:val="nil"/>
              <w:left w:val="nil"/>
              <w:bottom w:val="nil"/>
              <w:right w:val="nil"/>
            </w:tcBorders>
          </w:tcPr>
          <w:p>
            <w:pPr>
              <w:pStyle w:val="TableParagraph"/>
              <w:spacing w:before="21"/>
              <w:ind w:left="114" w:right="193"/>
              <w:jc w:val="center"/>
              <w:rPr>
                <w:sz w:val="20"/>
              </w:rPr>
            </w:pPr>
            <w:r>
              <w:rPr>
                <w:sz w:val="20"/>
              </w:rPr>
              <w:t>733.33</w:t>
            </w:r>
          </w:p>
        </w:tc>
        <w:tc>
          <w:tcPr>
            <w:tcW w:w="816" w:type="dxa"/>
            <w:tcBorders>
              <w:top w:val="nil"/>
              <w:left w:val="nil"/>
              <w:bottom w:val="nil"/>
              <w:right w:val="nil"/>
            </w:tcBorders>
          </w:tcPr>
          <w:p>
            <w:pPr>
              <w:pStyle w:val="TableParagraph"/>
              <w:spacing w:before="21"/>
              <w:ind w:left="249"/>
              <w:jc w:val="left"/>
              <w:rPr>
                <w:sz w:val="20"/>
              </w:rPr>
            </w:pPr>
            <w:r>
              <w:rPr>
                <w:sz w:val="20"/>
              </w:rPr>
              <w:t>0.00</w:t>
            </w:r>
          </w:p>
        </w:tc>
        <w:tc>
          <w:tcPr>
            <w:tcW w:w="787" w:type="dxa"/>
            <w:tcBorders>
              <w:top w:val="nil"/>
              <w:left w:val="nil"/>
              <w:bottom w:val="nil"/>
              <w:right w:val="nil"/>
            </w:tcBorders>
          </w:tcPr>
          <w:p>
            <w:pPr>
              <w:pStyle w:val="TableParagraph"/>
              <w:spacing w:before="21"/>
              <w:ind w:left="249"/>
              <w:jc w:val="left"/>
              <w:rPr>
                <w:sz w:val="20"/>
              </w:rPr>
            </w:pPr>
            <w:r>
              <w:rPr>
                <w:sz w:val="20"/>
              </w:rPr>
              <w:t>0.00</w:t>
            </w:r>
          </w:p>
        </w:tc>
        <w:tc>
          <w:tcPr>
            <w:tcW w:w="691" w:type="dxa"/>
            <w:tcBorders>
              <w:top w:val="nil"/>
              <w:left w:val="nil"/>
              <w:bottom w:val="nil"/>
              <w:right w:val="nil"/>
            </w:tcBorders>
          </w:tcPr>
          <w:p>
            <w:pPr>
              <w:pStyle w:val="TableParagraph"/>
              <w:spacing w:before="21"/>
              <w:ind w:right="60"/>
              <w:rPr>
                <w:sz w:val="20"/>
              </w:rPr>
            </w:pPr>
            <w:r>
              <w:rPr>
                <w:sz w:val="20"/>
              </w:rPr>
              <w:t>0.00</w:t>
            </w:r>
          </w:p>
        </w:tc>
      </w:tr>
      <w:tr>
        <w:trPr>
          <w:trHeight w:val="291" w:hRule="exact"/>
        </w:trPr>
        <w:tc>
          <w:tcPr>
            <w:tcW w:w="1429" w:type="dxa"/>
            <w:tcBorders>
              <w:top w:val="nil"/>
              <w:left w:val="nil"/>
              <w:bottom w:val="nil"/>
              <w:right w:val="nil"/>
            </w:tcBorders>
          </w:tcPr>
          <w:p>
            <w:pPr>
              <w:pStyle w:val="TableParagraph"/>
              <w:spacing w:before="21"/>
              <w:ind w:left="86"/>
              <w:jc w:val="left"/>
              <w:rPr>
                <w:sz w:val="20"/>
              </w:rPr>
            </w:pPr>
            <w:r>
              <w:rPr>
                <w:sz w:val="20"/>
              </w:rPr>
              <w:t>TEJ_HlFl</w:t>
            </w:r>
          </w:p>
        </w:tc>
        <w:tc>
          <w:tcPr>
            <w:tcW w:w="791" w:type="dxa"/>
            <w:tcBorders>
              <w:top w:val="nil"/>
              <w:left w:val="nil"/>
              <w:bottom w:val="nil"/>
              <w:right w:val="nil"/>
            </w:tcBorders>
          </w:tcPr>
          <w:p>
            <w:pPr>
              <w:pStyle w:val="TableParagraph"/>
              <w:spacing w:before="21"/>
              <w:ind w:left="87" w:right="114"/>
              <w:jc w:val="center"/>
              <w:rPr>
                <w:sz w:val="20"/>
              </w:rPr>
            </w:pPr>
            <w:r>
              <w:rPr>
                <w:sz w:val="20"/>
              </w:rPr>
              <w:t>133.33</w:t>
            </w:r>
          </w:p>
        </w:tc>
        <w:tc>
          <w:tcPr>
            <w:tcW w:w="819" w:type="dxa"/>
            <w:tcBorders>
              <w:top w:val="nil"/>
              <w:left w:val="nil"/>
              <w:bottom w:val="nil"/>
              <w:right w:val="nil"/>
            </w:tcBorders>
          </w:tcPr>
          <w:p>
            <w:pPr>
              <w:pStyle w:val="TableParagraph"/>
              <w:spacing w:before="21"/>
              <w:ind w:left="115" w:right="113"/>
              <w:jc w:val="center"/>
              <w:rPr>
                <w:sz w:val="20"/>
              </w:rPr>
            </w:pPr>
            <w:r>
              <w:rPr>
                <w:sz w:val="20"/>
              </w:rPr>
              <w:t>233.33</w:t>
            </w:r>
          </w:p>
        </w:tc>
        <w:tc>
          <w:tcPr>
            <w:tcW w:w="816" w:type="dxa"/>
            <w:tcBorders>
              <w:top w:val="nil"/>
              <w:left w:val="nil"/>
              <w:bottom w:val="nil"/>
              <w:right w:val="nil"/>
            </w:tcBorders>
          </w:tcPr>
          <w:p>
            <w:pPr>
              <w:pStyle w:val="TableParagraph"/>
              <w:spacing w:before="21"/>
              <w:ind w:right="129"/>
              <w:rPr>
                <w:sz w:val="20"/>
              </w:rPr>
            </w:pPr>
            <w:r>
              <w:rPr>
                <w:sz w:val="20"/>
              </w:rPr>
              <w:t>300.00</w:t>
            </w:r>
          </w:p>
        </w:tc>
        <w:tc>
          <w:tcPr>
            <w:tcW w:w="814" w:type="dxa"/>
            <w:tcBorders>
              <w:top w:val="nil"/>
              <w:left w:val="nil"/>
              <w:bottom w:val="nil"/>
              <w:right w:val="nil"/>
            </w:tcBorders>
          </w:tcPr>
          <w:p>
            <w:pPr>
              <w:pStyle w:val="TableParagraph"/>
              <w:spacing w:before="21"/>
              <w:ind w:left="113" w:right="111"/>
              <w:jc w:val="center"/>
              <w:rPr>
                <w:sz w:val="20"/>
              </w:rPr>
            </w:pPr>
            <w:r>
              <w:rPr>
                <w:sz w:val="20"/>
              </w:rPr>
              <w:t>383.33</w:t>
            </w:r>
          </w:p>
        </w:tc>
        <w:tc>
          <w:tcPr>
            <w:tcW w:w="814" w:type="dxa"/>
            <w:tcBorders>
              <w:top w:val="nil"/>
              <w:left w:val="nil"/>
              <w:bottom w:val="nil"/>
              <w:right w:val="nil"/>
            </w:tcBorders>
          </w:tcPr>
          <w:p>
            <w:pPr>
              <w:pStyle w:val="TableParagraph"/>
              <w:spacing w:before="21"/>
              <w:ind w:left="111" w:right="111"/>
              <w:jc w:val="center"/>
              <w:rPr>
                <w:sz w:val="20"/>
              </w:rPr>
            </w:pPr>
            <w:r>
              <w:rPr>
                <w:sz w:val="20"/>
              </w:rPr>
              <w:t>480.00</w:t>
            </w:r>
          </w:p>
        </w:tc>
        <w:tc>
          <w:tcPr>
            <w:tcW w:w="816" w:type="dxa"/>
            <w:tcBorders>
              <w:top w:val="nil"/>
              <w:left w:val="nil"/>
              <w:bottom w:val="nil"/>
              <w:right w:val="nil"/>
            </w:tcBorders>
          </w:tcPr>
          <w:p>
            <w:pPr>
              <w:pStyle w:val="TableParagraph"/>
              <w:spacing w:before="21"/>
              <w:ind w:left="129"/>
              <w:jc w:val="left"/>
              <w:rPr>
                <w:sz w:val="20"/>
              </w:rPr>
            </w:pPr>
            <w:r>
              <w:rPr>
                <w:sz w:val="20"/>
              </w:rPr>
              <w:t>568.33</w:t>
            </w:r>
          </w:p>
        </w:tc>
        <w:tc>
          <w:tcPr>
            <w:tcW w:w="898" w:type="dxa"/>
            <w:tcBorders>
              <w:top w:val="nil"/>
              <w:left w:val="nil"/>
              <w:bottom w:val="nil"/>
              <w:right w:val="nil"/>
            </w:tcBorders>
          </w:tcPr>
          <w:p>
            <w:pPr>
              <w:pStyle w:val="TableParagraph"/>
              <w:spacing w:before="21"/>
              <w:ind w:left="114" w:right="193"/>
              <w:jc w:val="center"/>
              <w:rPr>
                <w:sz w:val="20"/>
              </w:rPr>
            </w:pPr>
            <w:r>
              <w:rPr>
                <w:sz w:val="20"/>
              </w:rPr>
              <w:t>691.67</w:t>
            </w:r>
          </w:p>
        </w:tc>
        <w:tc>
          <w:tcPr>
            <w:tcW w:w="816" w:type="dxa"/>
            <w:tcBorders>
              <w:top w:val="nil"/>
              <w:left w:val="nil"/>
              <w:bottom w:val="nil"/>
              <w:right w:val="nil"/>
            </w:tcBorders>
          </w:tcPr>
          <w:p>
            <w:pPr>
              <w:pStyle w:val="TableParagraph"/>
              <w:spacing w:before="21"/>
              <w:ind w:left="249"/>
              <w:jc w:val="left"/>
              <w:rPr>
                <w:sz w:val="20"/>
              </w:rPr>
            </w:pPr>
            <w:r>
              <w:rPr>
                <w:sz w:val="20"/>
              </w:rPr>
              <w:t>0.00</w:t>
            </w:r>
          </w:p>
        </w:tc>
        <w:tc>
          <w:tcPr>
            <w:tcW w:w="787" w:type="dxa"/>
            <w:tcBorders>
              <w:top w:val="nil"/>
              <w:left w:val="nil"/>
              <w:bottom w:val="nil"/>
              <w:right w:val="nil"/>
            </w:tcBorders>
          </w:tcPr>
          <w:p>
            <w:pPr>
              <w:pStyle w:val="TableParagraph"/>
              <w:spacing w:before="21"/>
              <w:ind w:left="249"/>
              <w:jc w:val="left"/>
              <w:rPr>
                <w:sz w:val="20"/>
              </w:rPr>
            </w:pPr>
            <w:r>
              <w:rPr>
                <w:sz w:val="20"/>
              </w:rPr>
              <w:t>0.00</w:t>
            </w:r>
          </w:p>
        </w:tc>
        <w:tc>
          <w:tcPr>
            <w:tcW w:w="691" w:type="dxa"/>
            <w:tcBorders>
              <w:top w:val="nil"/>
              <w:left w:val="nil"/>
              <w:bottom w:val="nil"/>
              <w:right w:val="nil"/>
            </w:tcBorders>
          </w:tcPr>
          <w:p>
            <w:pPr>
              <w:pStyle w:val="TableParagraph"/>
              <w:spacing w:before="21"/>
              <w:ind w:right="60"/>
              <w:rPr>
                <w:sz w:val="20"/>
              </w:rPr>
            </w:pPr>
            <w:r>
              <w:rPr>
                <w:sz w:val="20"/>
              </w:rPr>
              <w:t>0.00</w:t>
            </w:r>
          </w:p>
        </w:tc>
      </w:tr>
      <w:tr>
        <w:trPr>
          <w:trHeight w:val="291" w:hRule="exact"/>
        </w:trPr>
        <w:tc>
          <w:tcPr>
            <w:tcW w:w="1429" w:type="dxa"/>
            <w:tcBorders>
              <w:top w:val="nil"/>
              <w:left w:val="nil"/>
              <w:bottom w:val="nil"/>
              <w:right w:val="nil"/>
            </w:tcBorders>
          </w:tcPr>
          <w:p>
            <w:pPr>
              <w:pStyle w:val="TableParagraph"/>
              <w:spacing w:before="19"/>
              <w:ind w:left="86"/>
              <w:jc w:val="left"/>
              <w:rPr>
                <w:sz w:val="20"/>
              </w:rPr>
            </w:pPr>
            <w:r>
              <w:rPr>
                <w:sz w:val="20"/>
              </w:rPr>
              <w:t>TEJ_HlFlp</w:t>
            </w:r>
          </w:p>
        </w:tc>
        <w:tc>
          <w:tcPr>
            <w:tcW w:w="791" w:type="dxa"/>
            <w:tcBorders>
              <w:top w:val="nil"/>
              <w:left w:val="nil"/>
              <w:bottom w:val="nil"/>
              <w:right w:val="nil"/>
            </w:tcBorders>
          </w:tcPr>
          <w:p>
            <w:pPr>
              <w:pStyle w:val="TableParagraph"/>
              <w:spacing w:before="19"/>
              <w:ind w:left="87" w:right="114"/>
              <w:jc w:val="center"/>
              <w:rPr>
                <w:sz w:val="20"/>
              </w:rPr>
            </w:pPr>
            <w:r>
              <w:rPr>
                <w:sz w:val="20"/>
              </w:rPr>
              <w:t>128.57</w:t>
            </w:r>
          </w:p>
        </w:tc>
        <w:tc>
          <w:tcPr>
            <w:tcW w:w="819" w:type="dxa"/>
            <w:tcBorders>
              <w:top w:val="nil"/>
              <w:left w:val="nil"/>
              <w:bottom w:val="nil"/>
              <w:right w:val="nil"/>
            </w:tcBorders>
          </w:tcPr>
          <w:p>
            <w:pPr>
              <w:pStyle w:val="TableParagraph"/>
              <w:spacing w:before="19"/>
              <w:ind w:left="115" w:right="113"/>
              <w:jc w:val="center"/>
              <w:rPr>
                <w:sz w:val="20"/>
              </w:rPr>
            </w:pPr>
            <w:r>
              <w:rPr>
                <w:sz w:val="20"/>
              </w:rPr>
              <w:t>228.57</w:t>
            </w:r>
          </w:p>
        </w:tc>
        <w:tc>
          <w:tcPr>
            <w:tcW w:w="816" w:type="dxa"/>
            <w:tcBorders>
              <w:top w:val="nil"/>
              <w:left w:val="nil"/>
              <w:bottom w:val="nil"/>
              <w:right w:val="nil"/>
            </w:tcBorders>
          </w:tcPr>
          <w:p>
            <w:pPr>
              <w:pStyle w:val="TableParagraph"/>
              <w:spacing w:before="19"/>
              <w:ind w:right="129"/>
              <w:rPr>
                <w:sz w:val="20"/>
              </w:rPr>
            </w:pPr>
            <w:r>
              <w:rPr>
                <w:sz w:val="20"/>
              </w:rPr>
              <w:t>300.00</w:t>
            </w:r>
          </w:p>
        </w:tc>
        <w:tc>
          <w:tcPr>
            <w:tcW w:w="814" w:type="dxa"/>
            <w:tcBorders>
              <w:top w:val="nil"/>
              <w:left w:val="nil"/>
              <w:bottom w:val="nil"/>
              <w:right w:val="nil"/>
            </w:tcBorders>
          </w:tcPr>
          <w:p>
            <w:pPr>
              <w:pStyle w:val="TableParagraph"/>
              <w:spacing w:before="19"/>
              <w:ind w:left="113" w:right="111"/>
              <w:jc w:val="center"/>
              <w:rPr>
                <w:sz w:val="20"/>
              </w:rPr>
            </w:pPr>
            <w:r>
              <w:rPr>
                <w:sz w:val="20"/>
              </w:rPr>
              <w:t>385.71</w:t>
            </w:r>
          </w:p>
        </w:tc>
        <w:tc>
          <w:tcPr>
            <w:tcW w:w="814" w:type="dxa"/>
            <w:tcBorders>
              <w:top w:val="nil"/>
              <w:left w:val="nil"/>
              <w:bottom w:val="nil"/>
              <w:right w:val="nil"/>
            </w:tcBorders>
          </w:tcPr>
          <w:p>
            <w:pPr>
              <w:pStyle w:val="TableParagraph"/>
              <w:spacing w:before="19"/>
              <w:ind w:left="111" w:right="111"/>
              <w:jc w:val="center"/>
              <w:rPr>
                <w:sz w:val="20"/>
              </w:rPr>
            </w:pPr>
            <w:r>
              <w:rPr>
                <w:sz w:val="20"/>
              </w:rPr>
              <w:t>482.86</w:t>
            </w:r>
          </w:p>
        </w:tc>
        <w:tc>
          <w:tcPr>
            <w:tcW w:w="816" w:type="dxa"/>
            <w:tcBorders>
              <w:top w:val="nil"/>
              <w:left w:val="nil"/>
              <w:bottom w:val="nil"/>
              <w:right w:val="nil"/>
            </w:tcBorders>
          </w:tcPr>
          <w:p>
            <w:pPr>
              <w:pStyle w:val="TableParagraph"/>
              <w:spacing w:before="19"/>
              <w:ind w:left="129"/>
              <w:jc w:val="left"/>
              <w:rPr>
                <w:sz w:val="20"/>
              </w:rPr>
            </w:pPr>
            <w:r>
              <w:rPr>
                <w:sz w:val="20"/>
              </w:rPr>
              <w:t>572.86</w:t>
            </w:r>
          </w:p>
        </w:tc>
        <w:tc>
          <w:tcPr>
            <w:tcW w:w="898" w:type="dxa"/>
            <w:tcBorders>
              <w:top w:val="nil"/>
              <w:left w:val="nil"/>
              <w:bottom w:val="nil"/>
              <w:right w:val="nil"/>
            </w:tcBorders>
          </w:tcPr>
          <w:p>
            <w:pPr>
              <w:pStyle w:val="TableParagraph"/>
              <w:spacing w:before="19"/>
              <w:ind w:left="114" w:right="193"/>
              <w:jc w:val="center"/>
              <w:rPr>
                <w:sz w:val="20"/>
              </w:rPr>
            </w:pPr>
            <w:r>
              <w:rPr>
                <w:sz w:val="20"/>
              </w:rPr>
              <w:t>692.86</w:t>
            </w:r>
          </w:p>
        </w:tc>
        <w:tc>
          <w:tcPr>
            <w:tcW w:w="816" w:type="dxa"/>
            <w:tcBorders>
              <w:top w:val="nil"/>
              <w:left w:val="nil"/>
              <w:bottom w:val="nil"/>
              <w:right w:val="nil"/>
            </w:tcBorders>
          </w:tcPr>
          <w:p>
            <w:pPr>
              <w:pStyle w:val="TableParagraph"/>
              <w:spacing w:before="19"/>
              <w:ind w:left="249"/>
              <w:jc w:val="left"/>
              <w:rPr>
                <w:sz w:val="20"/>
              </w:rPr>
            </w:pPr>
            <w:r>
              <w:rPr>
                <w:sz w:val="20"/>
              </w:rPr>
              <w:t>0.00</w:t>
            </w:r>
          </w:p>
        </w:tc>
        <w:tc>
          <w:tcPr>
            <w:tcW w:w="787" w:type="dxa"/>
            <w:tcBorders>
              <w:top w:val="nil"/>
              <w:left w:val="nil"/>
              <w:bottom w:val="nil"/>
              <w:right w:val="nil"/>
            </w:tcBorders>
          </w:tcPr>
          <w:p>
            <w:pPr>
              <w:pStyle w:val="TableParagraph"/>
              <w:spacing w:before="19"/>
              <w:ind w:left="249"/>
              <w:jc w:val="left"/>
              <w:rPr>
                <w:sz w:val="20"/>
              </w:rPr>
            </w:pPr>
            <w:r>
              <w:rPr>
                <w:sz w:val="20"/>
              </w:rPr>
              <w:t>0.00</w:t>
            </w:r>
          </w:p>
        </w:tc>
        <w:tc>
          <w:tcPr>
            <w:tcW w:w="691" w:type="dxa"/>
            <w:tcBorders>
              <w:top w:val="nil"/>
              <w:left w:val="nil"/>
              <w:bottom w:val="nil"/>
              <w:right w:val="nil"/>
            </w:tcBorders>
          </w:tcPr>
          <w:p>
            <w:pPr>
              <w:pStyle w:val="TableParagraph"/>
              <w:spacing w:before="19"/>
              <w:ind w:right="60"/>
              <w:rPr>
                <w:sz w:val="20"/>
              </w:rPr>
            </w:pPr>
            <w:r>
              <w:rPr>
                <w:sz w:val="20"/>
              </w:rPr>
              <w:t>0.00</w:t>
            </w:r>
          </w:p>
        </w:tc>
      </w:tr>
      <w:tr>
        <w:trPr>
          <w:trHeight w:val="293" w:hRule="exact"/>
        </w:trPr>
        <w:tc>
          <w:tcPr>
            <w:tcW w:w="1429" w:type="dxa"/>
            <w:tcBorders>
              <w:top w:val="nil"/>
              <w:left w:val="nil"/>
              <w:bottom w:val="nil"/>
              <w:right w:val="nil"/>
            </w:tcBorders>
          </w:tcPr>
          <w:p>
            <w:pPr>
              <w:pStyle w:val="TableParagraph"/>
              <w:spacing w:before="21"/>
              <w:ind w:left="86"/>
              <w:jc w:val="left"/>
              <w:rPr>
                <w:sz w:val="20"/>
              </w:rPr>
            </w:pPr>
            <w:r>
              <w:rPr>
                <w:sz w:val="20"/>
              </w:rPr>
              <w:t>TEJ_HlFp</w:t>
            </w:r>
          </w:p>
        </w:tc>
        <w:tc>
          <w:tcPr>
            <w:tcW w:w="791" w:type="dxa"/>
            <w:tcBorders>
              <w:top w:val="nil"/>
              <w:left w:val="nil"/>
              <w:bottom w:val="nil"/>
              <w:right w:val="nil"/>
            </w:tcBorders>
          </w:tcPr>
          <w:p>
            <w:pPr>
              <w:pStyle w:val="TableParagraph"/>
              <w:spacing w:before="21"/>
              <w:ind w:left="87" w:right="114"/>
              <w:jc w:val="center"/>
              <w:rPr>
                <w:sz w:val="20"/>
              </w:rPr>
            </w:pPr>
            <w:r>
              <w:rPr>
                <w:sz w:val="20"/>
              </w:rPr>
              <w:t>116.67</w:t>
            </w:r>
          </w:p>
        </w:tc>
        <w:tc>
          <w:tcPr>
            <w:tcW w:w="819" w:type="dxa"/>
            <w:tcBorders>
              <w:top w:val="nil"/>
              <w:left w:val="nil"/>
              <w:bottom w:val="nil"/>
              <w:right w:val="nil"/>
            </w:tcBorders>
          </w:tcPr>
          <w:p>
            <w:pPr>
              <w:pStyle w:val="TableParagraph"/>
              <w:spacing w:before="21"/>
              <w:ind w:left="115" w:right="113"/>
              <w:jc w:val="center"/>
              <w:rPr>
                <w:sz w:val="20"/>
              </w:rPr>
            </w:pPr>
            <w:r>
              <w:rPr>
                <w:sz w:val="20"/>
              </w:rPr>
              <w:t>223.33</w:t>
            </w:r>
          </w:p>
        </w:tc>
        <w:tc>
          <w:tcPr>
            <w:tcW w:w="816" w:type="dxa"/>
            <w:tcBorders>
              <w:top w:val="nil"/>
              <w:left w:val="nil"/>
              <w:bottom w:val="nil"/>
              <w:right w:val="nil"/>
            </w:tcBorders>
          </w:tcPr>
          <w:p>
            <w:pPr>
              <w:pStyle w:val="TableParagraph"/>
              <w:spacing w:before="21"/>
              <w:ind w:right="129"/>
              <w:rPr>
                <w:sz w:val="20"/>
              </w:rPr>
            </w:pPr>
            <w:r>
              <w:rPr>
                <w:sz w:val="20"/>
              </w:rPr>
              <w:t>300.00</w:t>
            </w:r>
          </w:p>
        </w:tc>
        <w:tc>
          <w:tcPr>
            <w:tcW w:w="814" w:type="dxa"/>
            <w:tcBorders>
              <w:top w:val="nil"/>
              <w:left w:val="nil"/>
              <w:bottom w:val="nil"/>
              <w:right w:val="nil"/>
            </w:tcBorders>
          </w:tcPr>
          <w:p>
            <w:pPr>
              <w:pStyle w:val="TableParagraph"/>
              <w:spacing w:before="21"/>
              <w:ind w:left="113" w:right="111"/>
              <w:jc w:val="center"/>
              <w:rPr>
                <w:sz w:val="20"/>
              </w:rPr>
            </w:pPr>
            <w:r>
              <w:rPr>
                <w:sz w:val="20"/>
              </w:rPr>
              <w:t>366.67</w:t>
            </w:r>
          </w:p>
        </w:tc>
        <w:tc>
          <w:tcPr>
            <w:tcW w:w="814" w:type="dxa"/>
            <w:tcBorders>
              <w:top w:val="nil"/>
              <w:left w:val="nil"/>
              <w:bottom w:val="nil"/>
              <w:right w:val="nil"/>
            </w:tcBorders>
          </w:tcPr>
          <w:p>
            <w:pPr>
              <w:pStyle w:val="TableParagraph"/>
              <w:spacing w:before="21"/>
              <w:ind w:left="111" w:right="111"/>
              <w:jc w:val="center"/>
              <w:rPr>
                <w:sz w:val="20"/>
              </w:rPr>
            </w:pPr>
            <w:r>
              <w:rPr>
                <w:sz w:val="20"/>
              </w:rPr>
              <w:t>566.67</w:t>
            </w:r>
          </w:p>
        </w:tc>
        <w:tc>
          <w:tcPr>
            <w:tcW w:w="816" w:type="dxa"/>
            <w:tcBorders>
              <w:top w:val="nil"/>
              <w:left w:val="nil"/>
              <w:bottom w:val="nil"/>
              <w:right w:val="nil"/>
            </w:tcBorders>
          </w:tcPr>
          <w:p>
            <w:pPr>
              <w:pStyle w:val="TableParagraph"/>
              <w:spacing w:before="21"/>
              <w:ind w:left="129"/>
              <w:jc w:val="left"/>
              <w:rPr>
                <w:sz w:val="20"/>
              </w:rPr>
            </w:pPr>
            <w:r>
              <w:rPr>
                <w:sz w:val="20"/>
              </w:rPr>
              <w:t>683.33</w:t>
            </w:r>
          </w:p>
        </w:tc>
        <w:tc>
          <w:tcPr>
            <w:tcW w:w="898" w:type="dxa"/>
            <w:tcBorders>
              <w:top w:val="nil"/>
              <w:left w:val="nil"/>
              <w:bottom w:val="nil"/>
              <w:right w:val="nil"/>
            </w:tcBorders>
          </w:tcPr>
          <w:p>
            <w:pPr>
              <w:pStyle w:val="TableParagraph"/>
              <w:spacing w:before="21"/>
              <w:ind w:left="114" w:right="193"/>
              <w:jc w:val="center"/>
              <w:rPr>
                <w:sz w:val="20"/>
              </w:rPr>
            </w:pPr>
            <w:r>
              <w:rPr>
                <w:sz w:val="20"/>
              </w:rPr>
              <w:t>783.33</w:t>
            </w:r>
          </w:p>
        </w:tc>
        <w:tc>
          <w:tcPr>
            <w:tcW w:w="816" w:type="dxa"/>
            <w:tcBorders>
              <w:top w:val="nil"/>
              <w:left w:val="nil"/>
              <w:bottom w:val="nil"/>
              <w:right w:val="nil"/>
            </w:tcBorders>
          </w:tcPr>
          <w:p>
            <w:pPr>
              <w:pStyle w:val="TableParagraph"/>
              <w:spacing w:before="21"/>
              <w:ind w:left="249"/>
              <w:jc w:val="left"/>
              <w:rPr>
                <w:sz w:val="20"/>
              </w:rPr>
            </w:pPr>
            <w:r>
              <w:rPr>
                <w:sz w:val="20"/>
              </w:rPr>
              <w:t>0.00</w:t>
            </w:r>
          </w:p>
        </w:tc>
        <w:tc>
          <w:tcPr>
            <w:tcW w:w="787" w:type="dxa"/>
            <w:tcBorders>
              <w:top w:val="nil"/>
              <w:left w:val="nil"/>
              <w:bottom w:val="nil"/>
              <w:right w:val="nil"/>
            </w:tcBorders>
          </w:tcPr>
          <w:p>
            <w:pPr>
              <w:pStyle w:val="TableParagraph"/>
              <w:spacing w:before="21"/>
              <w:ind w:left="249"/>
              <w:jc w:val="left"/>
              <w:rPr>
                <w:sz w:val="20"/>
              </w:rPr>
            </w:pPr>
            <w:r>
              <w:rPr>
                <w:sz w:val="20"/>
              </w:rPr>
              <w:t>0.00</w:t>
            </w:r>
          </w:p>
        </w:tc>
        <w:tc>
          <w:tcPr>
            <w:tcW w:w="691" w:type="dxa"/>
            <w:tcBorders>
              <w:top w:val="nil"/>
              <w:left w:val="nil"/>
              <w:bottom w:val="nil"/>
              <w:right w:val="nil"/>
            </w:tcBorders>
          </w:tcPr>
          <w:p>
            <w:pPr>
              <w:pStyle w:val="TableParagraph"/>
              <w:spacing w:before="21"/>
              <w:ind w:right="60"/>
              <w:rPr>
                <w:sz w:val="20"/>
              </w:rPr>
            </w:pPr>
            <w:r>
              <w:rPr>
                <w:sz w:val="20"/>
              </w:rPr>
              <w:t>0.00</w:t>
            </w:r>
          </w:p>
        </w:tc>
      </w:tr>
      <w:tr>
        <w:trPr>
          <w:trHeight w:val="293" w:hRule="exact"/>
        </w:trPr>
        <w:tc>
          <w:tcPr>
            <w:tcW w:w="1429" w:type="dxa"/>
            <w:tcBorders>
              <w:top w:val="nil"/>
              <w:left w:val="nil"/>
              <w:bottom w:val="nil"/>
              <w:right w:val="nil"/>
            </w:tcBorders>
          </w:tcPr>
          <w:p>
            <w:pPr>
              <w:pStyle w:val="TableParagraph"/>
              <w:spacing w:before="21"/>
              <w:ind w:left="86"/>
              <w:jc w:val="left"/>
              <w:rPr>
                <w:sz w:val="20"/>
              </w:rPr>
            </w:pPr>
            <w:r>
              <w:rPr>
                <w:sz w:val="20"/>
              </w:rPr>
              <w:t>TEJ_HlSF</w:t>
            </w:r>
          </w:p>
        </w:tc>
        <w:tc>
          <w:tcPr>
            <w:tcW w:w="791" w:type="dxa"/>
            <w:tcBorders>
              <w:top w:val="nil"/>
              <w:left w:val="nil"/>
              <w:bottom w:val="nil"/>
              <w:right w:val="nil"/>
            </w:tcBorders>
          </w:tcPr>
          <w:p>
            <w:pPr>
              <w:pStyle w:val="TableParagraph"/>
              <w:spacing w:before="21"/>
              <w:ind w:left="87" w:right="114"/>
              <w:jc w:val="center"/>
              <w:rPr>
                <w:sz w:val="20"/>
              </w:rPr>
            </w:pPr>
            <w:r>
              <w:rPr>
                <w:sz w:val="20"/>
              </w:rPr>
              <w:t>116.67</w:t>
            </w:r>
          </w:p>
        </w:tc>
        <w:tc>
          <w:tcPr>
            <w:tcW w:w="819" w:type="dxa"/>
            <w:tcBorders>
              <w:top w:val="nil"/>
              <w:left w:val="nil"/>
              <w:bottom w:val="nil"/>
              <w:right w:val="nil"/>
            </w:tcBorders>
          </w:tcPr>
          <w:p>
            <w:pPr>
              <w:pStyle w:val="TableParagraph"/>
              <w:spacing w:before="21"/>
              <w:ind w:left="115" w:right="113"/>
              <w:jc w:val="center"/>
              <w:rPr>
                <w:sz w:val="20"/>
              </w:rPr>
            </w:pPr>
            <w:r>
              <w:rPr>
                <w:sz w:val="20"/>
              </w:rPr>
              <w:t>216.67</w:t>
            </w:r>
          </w:p>
        </w:tc>
        <w:tc>
          <w:tcPr>
            <w:tcW w:w="816" w:type="dxa"/>
            <w:tcBorders>
              <w:top w:val="nil"/>
              <w:left w:val="nil"/>
              <w:bottom w:val="nil"/>
              <w:right w:val="nil"/>
            </w:tcBorders>
          </w:tcPr>
          <w:p>
            <w:pPr>
              <w:pStyle w:val="TableParagraph"/>
              <w:spacing w:before="21"/>
              <w:ind w:right="129"/>
              <w:rPr>
                <w:sz w:val="20"/>
              </w:rPr>
            </w:pPr>
            <w:r>
              <w:rPr>
                <w:sz w:val="20"/>
              </w:rPr>
              <w:t>300.00</w:t>
            </w:r>
          </w:p>
        </w:tc>
        <w:tc>
          <w:tcPr>
            <w:tcW w:w="814" w:type="dxa"/>
            <w:tcBorders>
              <w:top w:val="nil"/>
              <w:left w:val="nil"/>
              <w:bottom w:val="nil"/>
              <w:right w:val="nil"/>
            </w:tcBorders>
          </w:tcPr>
          <w:p>
            <w:pPr>
              <w:pStyle w:val="TableParagraph"/>
              <w:spacing w:before="21"/>
              <w:ind w:left="113" w:right="111"/>
              <w:jc w:val="center"/>
              <w:rPr>
                <w:sz w:val="20"/>
              </w:rPr>
            </w:pPr>
            <w:r>
              <w:rPr>
                <w:sz w:val="20"/>
              </w:rPr>
              <w:t>383.33</w:t>
            </w:r>
          </w:p>
        </w:tc>
        <w:tc>
          <w:tcPr>
            <w:tcW w:w="814" w:type="dxa"/>
            <w:tcBorders>
              <w:top w:val="nil"/>
              <w:left w:val="nil"/>
              <w:bottom w:val="nil"/>
              <w:right w:val="nil"/>
            </w:tcBorders>
          </w:tcPr>
          <w:p>
            <w:pPr>
              <w:pStyle w:val="TableParagraph"/>
              <w:spacing w:before="21"/>
              <w:ind w:left="111" w:right="111"/>
              <w:jc w:val="center"/>
              <w:rPr>
                <w:sz w:val="20"/>
              </w:rPr>
            </w:pPr>
            <w:r>
              <w:rPr>
                <w:sz w:val="20"/>
              </w:rPr>
              <w:t>483.33</w:t>
            </w:r>
          </w:p>
        </w:tc>
        <w:tc>
          <w:tcPr>
            <w:tcW w:w="816" w:type="dxa"/>
            <w:tcBorders>
              <w:top w:val="nil"/>
              <w:left w:val="nil"/>
              <w:bottom w:val="nil"/>
              <w:right w:val="nil"/>
            </w:tcBorders>
          </w:tcPr>
          <w:p>
            <w:pPr>
              <w:pStyle w:val="TableParagraph"/>
              <w:spacing w:before="21"/>
              <w:ind w:left="129"/>
              <w:jc w:val="left"/>
              <w:rPr>
                <w:sz w:val="20"/>
              </w:rPr>
            </w:pPr>
            <w:r>
              <w:rPr>
                <w:sz w:val="20"/>
              </w:rPr>
              <w:t>583.33</w:t>
            </w:r>
          </w:p>
        </w:tc>
        <w:tc>
          <w:tcPr>
            <w:tcW w:w="898" w:type="dxa"/>
            <w:tcBorders>
              <w:top w:val="nil"/>
              <w:left w:val="nil"/>
              <w:bottom w:val="nil"/>
              <w:right w:val="nil"/>
            </w:tcBorders>
          </w:tcPr>
          <w:p>
            <w:pPr>
              <w:pStyle w:val="TableParagraph"/>
              <w:spacing w:before="21"/>
              <w:ind w:left="114" w:right="193"/>
              <w:jc w:val="center"/>
              <w:rPr>
                <w:sz w:val="20"/>
              </w:rPr>
            </w:pPr>
            <w:r>
              <w:rPr>
                <w:sz w:val="20"/>
              </w:rPr>
              <w:t>700.00</w:t>
            </w:r>
          </w:p>
        </w:tc>
        <w:tc>
          <w:tcPr>
            <w:tcW w:w="816" w:type="dxa"/>
            <w:tcBorders>
              <w:top w:val="nil"/>
              <w:left w:val="nil"/>
              <w:bottom w:val="nil"/>
              <w:right w:val="nil"/>
            </w:tcBorders>
          </w:tcPr>
          <w:p>
            <w:pPr>
              <w:pStyle w:val="TableParagraph"/>
              <w:spacing w:before="21"/>
              <w:ind w:left="249"/>
              <w:jc w:val="left"/>
              <w:rPr>
                <w:sz w:val="20"/>
              </w:rPr>
            </w:pPr>
            <w:r>
              <w:rPr>
                <w:sz w:val="20"/>
              </w:rPr>
              <w:t>0.00</w:t>
            </w:r>
          </w:p>
        </w:tc>
        <w:tc>
          <w:tcPr>
            <w:tcW w:w="787" w:type="dxa"/>
            <w:tcBorders>
              <w:top w:val="nil"/>
              <w:left w:val="nil"/>
              <w:bottom w:val="nil"/>
              <w:right w:val="nil"/>
            </w:tcBorders>
          </w:tcPr>
          <w:p>
            <w:pPr>
              <w:pStyle w:val="TableParagraph"/>
              <w:spacing w:before="21"/>
              <w:ind w:left="249"/>
              <w:jc w:val="left"/>
              <w:rPr>
                <w:sz w:val="20"/>
              </w:rPr>
            </w:pPr>
            <w:r>
              <w:rPr>
                <w:sz w:val="20"/>
              </w:rPr>
              <w:t>0.00</w:t>
            </w:r>
          </w:p>
        </w:tc>
        <w:tc>
          <w:tcPr>
            <w:tcW w:w="691" w:type="dxa"/>
            <w:tcBorders>
              <w:top w:val="nil"/>
              <w:left w:val="nil"/>
              <w:bottom w:val="nil"/>
              <w:right w:val="nil"/>
            </w:tcBorders>
          </w:tcPr>
          <w:p>
            <w:pPr>
              <w:pStyle w:val="TableParagraph"/>
              <w:spacing w:before="21"/>
              <w:ind w:right="60"/>
              <w:rPr>
                <w:sz w:val="20"/>
              </w:rPr>
            </w:pPr>
            <w:r>
              <w:rPr>
                <w:sz w:val="20"/>
              </w:rPr>
              <w:t>0.00</w:t>
            </w:r>
          </w:p>
        </w:tc>
      </w:tr>
      <w:tr>
        <w:trPr>
          <w:trHeight w:val="293" w:hRule="exact"/>
        </w:trPr>
        <w:tc>
          <w:tcPr>
            <w:tcW w:w="1429" w:type="dxa"/>
            <w:tcBorders>
              <w:top w:val="nil"/>
              <w:left w:val="nil"/>
              <w:bottom w:val="nil"/>
              <w:right w:val="nil"/>
            </w:tcBorders>
          </w:tcPr>
          <w:p>
            <w:pPr>
              <w:pStyle w:val="TableParagraph"/>
              <w:spacing w:before="21"/>
              <w:ind w:left="86"/>
              <w:jc w:val="left"/>
              <w:rPr>
                <w:sz w:val="20"/>
              </w:rPr>
            </w:pPr>
            <w:r>
              <w:rPr>
                <w:sz w:val="20"/>
              </w:rPr>
              <w:t>TEJ_ISF</w:t>
            </w:r>
          </w:p>
        </w:tc>
        <w:tc>
          <w:tcPr>
            <w:tcW w:w="791" w:type="dxa"/>
            <w:tcBorders>
              <w:top w:val="nil"/>
              <w:left w:val="nil"/>
              <w:bottom w:val="nil"/>
              <w:right w:val="nil"/>
            </w:tcBorders>
          </w:tcPr>
          <w:p>
            <w:pPr>
              <w:pStyle w:val="TableParagraph"/>
              <w:spacing w:before="21"/>
              <w:ind w:left="87" w:right="114"/>
              <w:jc w:val="center"/>
              <w:rPr>
                <w:sz w:val="20"/>
              </w:rPr>
            </w:pPr>
            <w:r>
              <w:rPr>
                <w:sz w:val="20"/>
              </w:rPr>
              <w:t>125.00</w:t>
            </w:r>
          </w:p>
        </w:tc>
        <w:tc>
          <w:tcPr>
            <w:tcW w:w="819" w:type="dxa"/>
            <w:tcBorders>
              <w:top w:val="nil"/>
              <w:left w:val="nil"/>
              <w:bottom w:val="nil"/>
              <w:right w:val="nil"/>
            </w:tcBorders>
          </w:tcPr>
          <w:p>
            <w:pPr>
              <w:pStyle w:val="TableParagraph"/>
              <w:spacing w:before="21"/>
              <w:ind w:left="115" w:right="113"/>
              <w:jc w:val="center"/>
              <w:rPr>
                <w:sz w:val="20"/>
              </w:rPr>
            </w:pPr>
            <w:r>
              <w:rPr>
                <w:sz w:val="20"/>
              </w:rPr>
              <w:t>225.00</w:t>
            </w:r>
          </w:p>
        </w:tc>
        <w:tc>
          <w:tcPr>
            <w:tcW w:w="816" w:type="dxa"/>
            <w:tcBorders>
              <w:top w:val="nil"/>
              <w:left w:val="nil"/>
              <w:bottom w:val="nil"/>
              <w:right w:val="nil"/>
            </w:tcBorders>
          </w:tcPr>
          <w:p>
            <w:pPr>
              <w:pStyle w:val="TableParagraph"/>
              <w:spacing w:before="21"/>
              <w:ind w:right="129"/>
              <w:rPr>
                <w:sz w:val="20"/>
              </w:rPr>
            </w:pPr>
            <w:r>
              <w:rPr>
                <w:sz w:val="20"/>
              </w:rPr>
              <w:t>300.00</w:t>
            </w:r>
          </w:p>
        </w:tc>
        <w:tc>
          <w:tcPr>
            <w:tcW w:w="814" w:type="dxa"/>
            <w:tcBorders>
              <w:top w:val="nil"/>
              <w:left w:val="nil"/>
              <w:bottom w:val="nil"/>
              <w:right w:val="nil"/>
            </w:tcBorders>
          </w:tcPr>
          <w:p>
            <w:pPr>
              <w:pStyle w:val="TableParagraph"/>
              <w:spacing w:before="21"/>
              <w:ind w:left="113" w:right="111"/>
              <w:jc w:val="center"/>
              <w:rPr>
                <w:sz w:val="20"/>
              </w:rPr>
            </w:pPr>
            <w:r>
              <w:rPr>
                <w:sz w:val="20"/>
              </w:rPr>
              <w:t>375.00</w:t>
            </w:r>
          </w:p>
        </w:tc>
        <w:tc>
          <w:tcPr>
            <w:tcW w:w="814" w:type="dxa"/>
            <w:tcBorders>
              <w:top w:val="nil"/>
              <w:left w:val="nil"/>
              <w:bottom w:val="nil"/>
              <w:right w:val="nil"/>
            </w:tcBorders>
          </w:tcPr>
          <w:p>
            <w:pPr>
              <w:pStyle w:val="TableParagraph"/>
              <w:spacing w:before="21"/>
              <w:ind w:left="111" w:right="111"/>
              <w:jc w:val="center"/>
              <w:rPr>
                <w:sz w:val="20"/>
              </w:rPr>
            </w:pPr>
            <w:r>
              <w:rPr>
                <w:sz w:val="20"/>
              </w:rPr>
              <w:t>475.00</w:t>
            </w:r>
          </w:p>
        </w:tc>
        <w:tc>
          <w:tcPr>
            <w:tcW w:w="816" w:type="dxa"/>
            <w:tcBorders>
              <w:top w:val="nil"/>
              <w:left w:val="nil"/>
              <w:bottom w:val="nil"/>
              <w:right w:val="nil"/>
            </w:tcBorders>
          </w:tcPr>
          <w:p>
            <w:pPr>
              <w:pStyle w:val="TableParagraph"/>
              <w:spacing w:before="21"/>
              <w:ind w:left="129"/>
              <w:jc w:val="left"/>
              <w:rPr>
                <w:sz w:val="20"/>
              </w:rPr>
            </w:pPr>
            <w:r>
              <w:rPr>
                <w:sz w:val="20"/>
              </w:rPr>
              <w:t>575.00</w:t>
            </w:r>
          </w:p>
        </w:tc>
        <w:tc>
          <w:tcPr>
            <w:tcW w:w="898" w:type="dxa"/>
            <w:tcBorders>
              <w:top w:val="nil"/>
              <w:left w:val="nil"/>
              <w:bottom w:val="nil"/>
              <w:right w:val="nil"/>
            </w:tcBorders>
          </w:tcPr>
          <w:p>
            <w:pPr>
              <w:pStyle w:val="TableParagraph"/>
              <w:spacing w:before="21"/>
              <w:ind w:left="114" w:right="193"/>
              <w:jc w:val="center"/>
              <w:rPr>
                <w:sz w:val="20"/>
              </w:rPr>
            </w:pPr>
            <w:r>
              <w:rPr>
                <w:sz w:val="20"/>
              </w:rPr>
              <w:t>700.00</w:t>
            </w:r>
          </w:p>
        </w:tc>
        <w:tc>
          <w:tcPr>
            <w:tcW w:w="816" w:type="dxa"/>
            <w:tcBorders>
              <w:top w:val="nil"/>
              <w:left w:val="nil"/>
              <w:bottom w:val="nil"/>
              <w:right w:val="nil"/>
            </w:tcBorders>
          </w:tcPr>
          <w:p>
            <w:pPr>
              <w:pStyle w:val="TableParagraph"/>
              <w:spacing w:before="21"/>
              <w:ind w:left="249"/>
              <w:jc w:val="left"/>
              <w:rPr>
                <w:sz w:val="20"/>
              </w:rPr>
            </w:pPr>
            <w:r>
              <w:rPr>
                <w:sz w:val="20"/>
              </w:rPr>
              <w:t>0.00</w:t>
            </w:r>
          </w:p>
        </w:tc>
        <w:tc>
          <w:tcPr>
            <w:tcW w:w="787" w:type="dxa"/>
            <w:tcBorders>
              <w:top w:val="nil"/>
              <w:left w:val="nil"/>
              <w:bottom w:val="nil"/>
              <w:right w:val="nil"/>
            </w:tcBorders>
          </w:tcPr>
          <w:p>
            <w:pPr>
              <w:pStyle w:val="TableParagraph"/>
              <w:spacing w:before="21"/>
              <w:ind w:left="249"/>
              <w:jc w:val="left"/>
              <w:rPr>
                <w:sz w:val="20"/>
              </w:rPr>
            </w:pPr>
            <w:r>
              <w:rPr>
                <w:sz w:val="20"/>
              </w:rPr>
              <w:t>0.00</w:t>
            </w:r>
          </w:p>
        </w:tc>
        <w:tc>
          <w:tcPr>
            <w:tcW w:w="691" w:type="dxa"/>
            <w:tcBorders>
              <w:top w:val="nil"/>
              <w:left w:val="nil"/>
              <w:bottom w:val="nil"/>
              <w:right w:val="nil"/>
            </w:tcBorders>
          </w:tcPr>
          <w:p>
            <w:pPr>
              <w:pStyle w:val="TableParagraph"/>
              <w:spacing w:before="21"/>
              <w:ind w:right="60"/>
              <w:rPr>
                <w:sz w:val="20"/>
              </w:rPr>
            </w:pPr>
            <w:r>
              <w:rPr>
                <w:sz w:val="20"/>
              </w:rPr>
              <w:t>0.00</w:t>
            </w:r>
          </w:p>
        </w:tc>
      </w:tr>
      <w:tr>
        <w:trPr>
          <w:trHeight w:val="265" w:hRule="exact"/>
        </w:trPr>
        <w:tc>
          <w:tcPr>
            <w:tcW w:w="1429" w:type="dxa"/>
            <w:tcBorders>
              <w:top w:val="nil"/>
              <w:left w:val="nil"/>
              <w:right w:val="nil"/>
            </w:tcBorders>
          </w:tcPr>
          <w:p>
            <w:pPr>
              <w:pStyle w:val="TableParagraph"/>
              <w:spacing w:before="21"/>
              <w:ind w:left="86"/>
              <w:jc w:val="left"/>
              <w:rPr>
                <w:sz w:val="20"/>
              </w:rPr>
            </w:pPr>
            <w:r>
              <w:rPr>
                <w:sz w:val="20"/>
              </w:rPr>
              <w:t>TEJ_LcFdp</w:t>
            </w:r>
          </w:p>
        </w:tc>
        <w:tc>
          <w:tcPr>
            <w:tcW w:w="791" w:type="dxa"/>
            <w:tcBorders>
              <w:top w:val="nil"/>
              <w:left w:val="nil"/>
              <w:right w:val="nil"/>
            </w:tcBorders>
          </w:tcPr>
          <w:p>
            <w:pPr>
              <w:pStyle w:val="TableParagraph"/>
              <w:spacing w:before="21"/>
              <w:ind w:left="87" w:right="114"/>
              <w:jc w:val="center"/>
              <w:rPr>
                <w:sz w:val="20"/>
              </w:rPr>
            </w:pPr>
            <w:r>
              <w:rPr>
                <w:sz w:val="20"/>
              </w:rPr>
              <w:t>150.00</w:t>
            </w:r>
          </w:p>
        </w:tc>
        <w:tc>
          <w:tcPr>
            <w:tcW w:w="819" w:type="dxa"/>
            <w:tcBorders>
              <w:top w:val="nil"/>
              <w:left w:val="nil"/>
              <w:right w:val="nil"/>
            </w:tcBorders>
          </w:tcPr>
          <w:p>
            <w:pPr>
              <w:pStyle w:val="TableParagraph"/>
              <w:spacing w:before="21"/>
              <w:ind w:left="115" w:right="113"/>
              <w:jc w:val="center"/>
              <w:rPr>
                <w:sz w:val="20"/>
              </w:rPr>
            </w:pPr>
            <w:r>
              <w:rPr>
                <w:sz w:val="20"/>
              </w:rPr>
              <w:t>250.00</w:t>
            </w:r>
          </w:p>
        </w:tc>
        <w:tc>
          <w:tcPr>
            <w:tcW w:w="816" w:type="dxa"/>
            <w:tcBorders>
              <w:top w:val="nil"/>
              <w:left w:val="nil"/>
              <w:right w:val="nil"/>
            </w:tcBorders>
          </w:tcPr>
          <w:p>
            <w:pPr>
              <w:pStyle w:val="TableParagraph"/>
              <w:spacing w:before="21"/>
              <w:ind w:right="129"/>
              <w:rPr>
                <w:sz w:val="20"/>
              </w:rPr>
            </w:pPr>
            <w:r>
              <w:rPr>
                <w:sz w:val="20"/>
              </w:rPr>
              <w:t>300.00</w:t>
            </w:r>
          </w:p>
        </w:tc>
        <w:tc>
          <w:tcPr>
            <w:tcW w:w="814" w:type="dxa"/>
            <w:tcBorders>
              <w:top w:val="nil"/>
              <w:left w:val="nil"/>
              <w:right w:val="nil"/>
            </w:tcBorders>
          </w:tcPr>
          <w:p>
            <w:pPr>
              <w:pStyle w:val="TableParagraph"/>
              <w:spacing w:before="21"/>
              <w:ind w:left="113" w:right="111"/>
              <w:jc w:val="center"/>
              <w:rPr>
                <w:sz w:val="20"/>
              </w:rPr>
            </w:pPr>
            <w:r>
              <w:rPr>
                <w:sz w:val="20"/>
              </w:rPr>
              <w:t>383.33</w:t>
            </w:r>
          </w:p>
        </w:tc>
        <w:tc>
          <w:tcPr>
            <w:tcW w:w="814" w:type="dxa"/>
            <w:tcBorders>
              <w:top w:val="nil"/>
              <w:left w:val="nil"/>
              <w:right w:val="nil"/>
            </w:tcBorders>
          </w:tcPr>
          <w:p>
            <w:pPr>
              <w:pStyle w:val="TableParagraph"/>
              <w:spacing w:before="21"/>
              <w:ind w:left="111" w:right="111"/>
              <w:jc w:val="center"/>
              <w:rPr>
                <w:sz w:val="20"/>
              </w:rPr>
            </w:pPr>
            <w:r>
              <w:rPr>
                <w:sz w:val="20"/>
              </w:rPr>
              <w:t>476.67</w:t>
            </w:r>
          </w:p>
        </w:tc>
        <w:tc>
          <w:tcPr>
            <w:tcW w:w="816" w:type="dxa"/>
            <w:tcBorders>
              <w:top w:val="nil"/>
              <w:left w:val="nil"/>
              <w:right w:val="nil"/>
            </w:tcBorders>
          </w:tcPr>
          <w:p>
            <w:pPr>
              <w:pStyle w:val="TableParagraph"/>
              <w:spacing w:before="21"/>
              <w:ind w:left="129"/>
              <w:jc w:val="left"/>
              <w:rPr>
                <w:sz w:val="20"/>
              </w:rPr>
            </w:pPr>
            <w:r>
              <w:rPr>
                <w:sz w:val="20"/>
              </w:rPr>
              <w:t>553.33</w:t>
            </w:r>
          </w:p>
        </w:tc>
        <w:tc>
          <w:tcPr>
            <w:tcW w:w="898" w:type="dxa"/>
            <w:tcBorders>
              <w:top w:val="nil"/>
              <w:left w:val="nil"/>
              <w:right w:val="nil"/>
            </w:tcBorders>
          </w:tcPr>
          <w:p>
            <w:pPr>
              <w:pStyle w:val="TableParagraph"/>
              <w:spacing w:before="21"/>
              <w:ind w:left="114" w:right="193"/>
              <w:jc w:val="center"/>
              <w:rPr>
                <w:sz w:val="20"/>
              </w:rPr>
            </w:pPr>
            <w:r>
              <w:rPr>
                <w:sz w:val="20"/>
              </w:rPr>
              <w:t>683.33</w:t>
            </w:r>
          </w:p>
        </w:tc>
        <w:tc>
          <w:tcPr>
            <w:tcW w:w="816" w:type="dxa"/>
            <w:tcBorders>
              <w:top w:val="nil"/>
              <w:left w:val="nil"/>
              <w:right w:val="nil"/>
            </w:tcBorders>
          </w:tcPr>
          <w:p>
            <w:pPr>
              <w:pStyle w:val="TableParagraph"/>
              <w:spacing w:before="21"/>
              <w:ind w:left="249"/>
              <w:jc w:val="left"/>
              <w:rPr>
                <w:sz w:val="20"/>
              </w:rPr>
            </w:pPr>
            <w:r>
              <w:rPr>
                <w:sz w:val="20"/>
              </w:rPr>
              <w:t>0.00</w:t>
            </w:r>
          </w:p>
        </w:tc>
        <w:tc>
          <w:tcPr>
            <w:tcW w:w="787" w:type="dxa"/>
            <w:tcBorders>
              <w:top w:val="nil"/>
              <w:left w:val="nil"/>
              <w:right w:val="nil"/>
            </w:tcBorders>
          </w:tcPr>
          <w:p>
            <w:pPr>
              <w:pStyle w:val="TableParagraph"/>
              <w:spacing w:before="21"/>
              <w:ind w:left="249"/>
              <w:jc w:val="left"/>
              <w:rPr>
                <w:sz w:val="20"/>
              </w:rPr>
            </w:pPr>
            <w:r>
              <w:rPr>
                <w:sz w:val="20"/>
              </w:rPr>
              <w:t>0.00</w:t>
            </w:r>
          </w:p>
        </w:tc>
        <w:tc>
          <w:tcPr>
            <w:tcW w:w="691" w:type="dxa"/>
            <w:tcBorders>
              <w:top w:val="nil"/>
              <w:left w:val="nil"/>
              <w:right w:val="nil"/>
            </w:tcBorders>
          </w:tcPr>
          <w:p>
            <w:pPr>
              <w:pStyle w:val="TableParagraph"/>
              <w:spacing w:before="21"/>
              <w:ind w:right="60"/>
              <w:rPr>
                <w:sz w:val="20"/>
              </w:rPr>
            </w:pPr>
            <w:r>
              <w:rPr>
                <w:sz w:val="20"/>
              </w:rPr>
              <w:t>0.00</w:t>
            </w:r>
          </w:p>
        </w:tc>
      </w:tr>
    </w:tbl>
    <w:p>
      <w:pPr>
        <w:spacing w:after="0"/>
        <w:rPr>
          <w:sz w:val="20"/>
        </w:rPr>
        <w:sectPr>
          <w:pgSz w:w="12240" w:h="15840"/>
          <w:pgMar w:header="0" w:footer="1473" w:top="1360" w:bottom="1660" w:left="940" w:right="1300"/>
        </w:sectPr>
      </w:pPr>
    </w:p>
    <w:p>
      <w:pPr>
        <w:pStyle w:val="BodyText"/>
        <w:tabs>
          <w:tab w:pos="476" w:val="left" w:leader="none"/>
          <w:tab w:pos="9594" w:val="left" w:leader="none"/>
        </w:tabs>
        <w:spacing w:before="49"/>
        <w:ind w:left="116"/>
      </w:pPr>
      <w:r>
        <w:rPr>
          <w:w w:val="99"/>
          <w:u w:val="single"/>
        </w:rPr>
        <w:t> </w:t>
      </w:r>
      <w:r>
        <w:rPr>
          <w:u w:val="single"/>
        </w:rPr>
        <w:tab/>
        <w:t>Continuación Tabla</w:t>
      </w:r>
      <w:r>
        <w:rPr>
          <w:spacing w:val="-19"/>
          <w:u w:val="single"/>
        </w:rPr>
        <w:t> </w:t>
      </w:r>
      <w:r>
        <w:rPr>
          <w:u w:val="single"/>
        </w:rPr>
        <w:t>29.</w:t>
        <w:tab/>
      </w:r>
    </w:p>
    <w:p>
      <w:pPr>
        <w:pStyle w:val="BodyText"/>
        <w:spacing w:before="6"/>
        <w:rPr>
          <w:sz w:val="8"/>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29"/>
        <w:gridCol w:w="791"/>
        <w:gridCol w:w="819"/>
        <w:gridCol w:w="816"/>
        <w:gridCol w:w="814"/>
        <w:gridCol w:w="814"/>
        <w:gridCol w:w="816"/>
        <w:gridCol w:w="898"/>
        <w:gridCol w:w="816"/>
        <w:gridCol w:w="787"/>
        <w:gridCol w:w="691"/>
      </w:tblGrid>
      <w:tr>
        <w:trPr>
          <w:trHeight w:val="299" w:hRule="exact"/>
        </w:trPr>
        <w:tc>
          <w:tcPr>
            <w:tcW w:w="1429" w:type="dxa"/>
          </w:tcPr>
          <w:p>
            <w:pPr>
              <w:pStyle w:val="TableParagraph"/>
              <w:spacing w:before="90"/>
              <w:ind w:left="148"/>
              <w:jc w:val="left"/>
              <w:rPr>
                <w:sz w:val="20"/>
              </w:rPr>
            </w:pPr>
            <w:r>
              <w:rPr>
                <w:sz w:val="20"/>
              </w:rPr>
              <w:t>Nombre/Clave</w:t>
            </w:r>
          </w:p>
        </w:tc>
        <w:tc>
          <w:tcPr>
            <w:tcW w:w="791" w:type="dxa"/>
          </w:tcPr>
          <w:p>
            <w:pPr/>
          </w:p>
        </w:tc>
        <w:tc>
          <w:tcPr>
            <w:tcW w:w="819" w:type="dxa"/>
          </w:tcPr>
          <w:p>
            <w:pPr/>
          </w:p>
        </w:tc>
        <w:tc>
          <w:tcPr>
            <w:tcW w:w="816" w:type="dxa"/>
          </w:tcPr>
          <w:p>
            <w:pPr/>
          </w:p>
        </w:tc>
        <w:tc>
          <w:tcPr>
            <w:tcW w:w="2444" w:type="dxa"/>
            <w:gridSpan w:val="3"/>
          </w:tcPr>
          <w:p>
            <w:pPr>
              <w:pStyle w:val="TableParagraph"/>
              <w:spacing w:line="205" w:lineRule="exact" w:before="0"/>
              <w:ind w:left="758" w:right="-57"/>
              <w:jc w:val="left"/>
              <w:rPr>
                <w:sz w:val="20"/>
              </w:rPr>
            </w:pPr>
            <w:r>
              <w:rPr>
                <w:sz w:val="20"/>
              </w:rPr>
              <w:t>N° de capas del</w:t>
            </w:r>
            <w:r>
              <w:rPr>
                <w:spacing w:val="-1"/>
                <w:sz w:val="20"/>
              </w:rPr>
              <w:t> </w:t>
            </w:r>
            <w:r>
              <w:rPr>
                <w:sz w:val="20"/>
              </w:rPr>
              <w:t>suelo</w:t>
            </w:r>
          </w:p>
        </w:tc>
        <w:tc>
          <w:tcPr>
            <w:tcW w:w="898" w:type="dxa"/>
          </w:tcPr>
          <w:p>
            <w:pPr/>
          </w:p>
        </w:tc>
        <w:tc>
          <w:tcPr>
            <w:tcW w:w="816" w:type="dxa"/>
          </w:tcPr>
          <w:p>
            <w:pPr/>
          </w:p>
        </w:tc>
        <w:tc>
          <w:tcPr>
            <w:tcW w:w="787" w:type="dxa"/>
          </w:tcPr>
          <w:p>
            <w:pPr/>
          </w:p>
        </w:tc>
        <w:tc>
          <w:tcPr>
            <w:tcW w:w="691" w:type="dxa"/>
          </w:tcPr>
          <w:p>
            <w:pPr/>
          </w:p>
        </w:tc>
      </w:tr>
      <w:tr>
        <w:trPr>
          <w:trHeight w:val="209" w:hRule="exact"/>
        </w:trPr>
        <w:tc>
          <w:tcPr>
            <w:tcW w:w="1429" w:type="dxa"/>
            <w:tcBorders>
              <w:bottom w:val="single" w:sz="4" w:space="0" w:color="000000"/>
            </w:tcBorders>
          </w:tcPr>
          <w:p>
            <w:pPr/>
          </w:p>
        </w:tc>
        <w:tc>
          <w:tcPr>
            <w:tcW w:w="791" w:type="dxa"/>
            <w:tcBorders>
              <w:bottom w:val="single" w:sz="4" w:space="0" w:color="000000"/>
            </w:tcBorders>
          </w:tcPr>
          <w:p>
            <w:pPr>
              <w:pStyle w:val="TableParagraph"/>
              <w:spacing w:line="199" w:lineRule="exact" w:before="0"/>
              <w:ind w:right="42"/>
              <w:jc w:val="center"/>
              <w:rPr>
                <w:sz w:val="20"/>
              </w:rPr>
            </w:pPr>
            <w:r>
              <w:rPr>
                <w:w w:val="100"/>
                <w:sz w:val="20"/>
              </w:rPr>
              <w:t>1</w:t>
            </w:r>
          </w:p>
        </w:tc>
        <w:tc>
          <w:tcPr>
            <w:tcW w:w="819" w:type="dxa"/>
            <w:tcBorders>
              <w:bottom w:val="single" w:sz="4" w:space="0" w:color="000000"/>
            </w:tcBorders>
          </w:tcPr>
          <w:p>
            <w:pPr>
              <w:pStyle w:val="TableParagraph"/>
              <w:spacing w:line="199" w:lineRule="exact" w:before="0"/>
              <w:ind w:right="124"/>
              <w:jc w:val="center"/>
              <w:rPr>
                <w:sz w:val="20"/>
              </w:rPr>
            </w:pPr>
            <w:r>
              <w:rPr>
                <w:w w:val="100"/>
                <w:sz w:val="20"/>
              </w:rPr>
              <w:t>2</w:t>
            </w:r>
          </w:p>
        </w:tc>
        <w:tc>
          <w:tcPr>
            <w:tcW w:w="816" w:type="dxa"/>
            <w:tcBorders>
              <w:bottom w:val="single" w:sz="4" w:space="0" w:color="000000"/>
            </w:tcBorders>
          </w:tcPr>
          <w:p>
            <w:pPr>
              <w:pStyle w:val="TableParagraph"/>
              <w:spacing w:line="199" w:lineRule="exact" w:before="0"/>
              <w:ind w:right="127"/>
              <w:jc w:val="center"/>
              <w:rPr>
                <w:sz w:val="20"/>
              </w:rPr>
            </w:pPr>
            <w:r>
              <w:rPr>
                <w:w w:val="100"/>
                <w:sz w:val="20"/>
              </w:rPr>
              <w:t>3</w:t>
            </w:r>
          </w:p>
        </w:tc>
        <w:tc>
          <w:tcPr>
            <w:tcW w:w="814" w:type="dxa"/>
            <w:tcBorders>
              <w:bottom w:val="single" w:sz="4" w:space="0" w:color="000000"/>
            </w:tcBorders>
          </w:tcPr>
          <w:p>
            <w:pPr>
              <w:pStyle w:val="TableParagraph"/>
              <w:spacing w:line="199" w:lineRule="exact" w:before="0"/>
              <w:ind w:right="124"/>
              <w:jc w:val="center"/>
              <w:rPr>
                <w:sz w:val="20"/>
              </w:rPr>
            </w:pPr>
            <w:r>
              <w:rPr>
                <w:w w:val="100"/>
                <w:sz w:val="20"/>
              </w:rPr>
              <w:t>4</w:t>
            </w:r>
          </w:p>
        </w:tc>
        <w:tc>
          <w:tcPr>
            <w:tcW w:w="814" w:type="dxa"/>
            <w:tcBorders>
              <w:bottom w:val="single" w:sz="4" w:space="0" w:color="000000"/>
            </w:tcBorders>
          </w:tcPr>
          <w:p>
            <w:pPr>
              <w:pStyle w:val="TableParagraph"/>
              <w:spacing w:line="199" w:lineRule="exact" w:before="0"/>
              <w:ind w:right="129"/>
              <w:jc w:val="center"/>
              <w:rPr>
                <w:sz w:val="20"/>
              </w:rPr>
            </w:pPr>
            <w:r>
              <w:rPr>
                <w:w w:val="100"/>
                <w:sz w:val="20"/>
              </w:rPr>
              <w:t>5</w:t>
            </w:r>
          </w:p>
        </w:tc>
        <w:tc>
          <w:tcPr>
            <w:tcW w:w="816" w:type="dxa"/>
            <w:tcBorders>
              <w:bottom w:val="single" w:sz="4" w:space="0" w:color="000000"/>
            </w:tcBorders>
          </w:tcPr>
          <w:p>
            <w:pPr>
              <w:pStyle w:val="TableParagraph"/>
              <w:spacing w:line="199" w:lineRule="exact" w:before="0"/>
              <w:ind w:right="127"/>
              <w:jc w:val="center"/>
              <w:rPr>
                <w:sz w:val="20"/>
              </w:rPr>
            </w:pPr>
            <w:r>
              <w:rPr>
                <w:w w:val="100"/>
                <w:sz w:val="20"/>
              </w:rPr>
              <w:t>6</w:t>
            </w:r>
          </w:p>
        </w:tc>
        <w:tc>
          <w:tcPr>
            <w:tcW w:w="898" w:type="dxa"/>
            <w:tcBorders>
              <w:bottom w:val="single" w:sz="4" w:space="0" w:color="000000"/>
            </w:tcBorders>
          </w:tcPr>
          <w:p>
            <w:pPr>
              <w:pStyle w:val="TableParagraph"/>
              <w:spacing w:line="199" w:lineRule="exact" w:before="0"/>
              <w:ind w:right="209"/>
              <w:jc w:val="center"/>
              <w:rPr>
                <w:sz w:val="20"/>
              </w:rPr>
            </w:pPr>
            <w:r>
              <w:rPr>
                <w:w w:val="100"/>
                <w:sz w:val="20"/>
              </w:rPr>
              <w:t>7</w:t>
            </w:r>
          </w:p>
        </w:tc>
        <w:tc>
          <w:tcPr>
            <w:tcW w:w="816" w:type="dxa"/>
            <w:tcBorders>
              <w:bottom w:val="single" w:sz="4" w:space="0" w:color="000000"/>
            </w:tcBorders>
          </w:tcPr>
          <w:p>
            <w:pPr>
              <w:pStyle w:val="TableParagraph"/>
              <w:spacing w:line="199" w:lineRule="exact" w:before="0"/>
              <w:ind w:left="211"/>
              <w:jc w:val="left"/>
              <w:rPr>
                <w:sz w:val="20"/>
              </w:rPr>
            </w:pPr>
            <w:r>
              <w:rPr>
                <w:w w:val="100"/>
                <w:sz w:val="20"/>
              </w:rPr>
              <w:t>8</w:t>
            </w:r>
          </w:p>
        </w:tc>
        <w:tc>
          <w:tcPr>
            <w:tcW w:w="787" w:type="dxa"/>
            <w:tcBorders>
              <w:bottom w:val="single" w:sz="4" w:space="0" w:color="000000"/>
            </w:tcBorders>
          </w:tcPr>
          <w:p>
            <w:pPr>
              <w:pStyle w:val="TableParagraph"/>
              <w:spacing w:line="199" w:lineRule="exact" w:before="0"/>
              <w:ind w:left="211"/>
              <w:jc w:val="left"/>
              <w:rPr>
                <w:sz w:val="20"/>
              </w:rPr>
            </w:pPr>
            <w:r>
              <w:rPr>
                <w:w w:val="100"/>
                <w:sz w:val="20"/>
              </w:rPr>
              <w:t>9</w:t>
            </w:r>
          </w:p>
        </w:tc>
        <w:tc>
          <w:tcPr>
            <w:tcW w:w="691" w:type="dxa"/>
            <w:tcBorders>
              <w:bottom w:val="single" w:sz="4" w:space="0" w:color="000000"/>
            </w:tcBorders>
          </w:tcPr>
          <w:p>
            <w:pPr>
              <w:pStyle w:val="TableParagraph"/>
              <w:spacing w:line="199" w:lineRule="exact" w:before="0"/>
              <w:ind w:left="182"/>
              <w:jc w:val="left"/>
              <w:rPr>
                <w:sz w:val="20"/>
              </w:rPr>
            </w:pPr>
            <w:r>
              <w:rPr>
                <w:sz w:val="20"/>
              </w:rPr>
              <w:t>10</w:t>
            </w:r>
          </w:p>
        </w:tc>
      </w:tr>
      <w:tr>
        <w:trPr>
          <w:trHeight w:val="330" w:hRule="exact"/>
        </w:trPr>
        <w:tc>
          <w:tcPr>
            <w:tcW w:w="1429" w:type="dxa"/>
            <w:tcBorders>
              <w:top w:val="single" w:sz="4" w:space="0" w:color="000000"/>
            </w:tcBorders>
          </w:tcPr>
          <w:p>
            <w:pPr>
              <w:pStyle w:val="TableParagraph"/>
              <w:spacing w:before="54"/>
              <w:ind w:left="86"/>
              <w:jc w:val="left"/>
              <w:rPr>
                <w:sz w:val="20"/>
              </w:rPr>
            </w:pPr>
            <w:r>
              <w:rPr>
                <w:sz w:val="20"/>
              </w:rPr>
              <w:t>TEJ_LcFl</w:t>
            </w:r>
          </w:p>
        </w:tc>
        <w:tc>
          <w:tcPr>
            <w:tcW w:w="791" w:type="dxa"/>
            <w:tcBorders>
              <w:top w:val="single" w:sz="4" w:space="0" w:color="000000"/>
            </w:tcBorders>
          </w:tcPr>
          <w:p>
            <w:pPr>
              <w:pStyle w:val="TableParagraph"/>
              <w:spacing w:before="54"/>
              <w:ind w:left="87" w:right="114"/>
              <w:jc w:val="center"/>
              <w:rPr>
                <w:sz w:val="20"/>
              </w:rPr>
            </w:pPr>
            <w:r>
              <w:rPr>
                <w:sz w:val="20"/>
              </w:rPr>
              <w:t>116.67</w:t>
            </w:r>
          </w:p>
        </w:tc>
        <w:tc>
          <w:tcPr>
            <w:tcW w:w="819" w:type="dxa"/>
            <w:tcBorders>
              <w:top w:val="single" w:sz="4" w:space="0" w:color="000000"/>
            </w:tcBorders>
          </w:tcPr>
          <w:p>
            <w:pPr>
              <w:pStyle w:val="TableParagraph"/>
              <w:spacing w:before="54"/>
              <w:ind w:left="115" w:right="113"/>
              <w:jc w:val="center"/>
              <w:rPr>
                <w:sz w:val="20"/>
              </w:rPr>
            </w:pPr>
            <w:r>
              <w:rPr>
                <w:sz w:val="20"/>
              </w:rPr>
              <w:t>216.67</w:t>
            </w:r>
          </w:p>
        </w:tc>
        <w:tc>
          <w:tcPr>
            <w:tcW w:w="816" w:type="dxa"/>
            <w:tcBorders>
              <w:top w:val="single" w:sz="4" w:space="0" w:color="000000"/>
            </w:tcBorders>
          </w:tcPr>
          <w:p>
            <w:pPr>
              <w:pStyle w:val="TableParagraph"/>
              <w:spacing w:before="54"/>
              <w:ind w:right="129"/>
              <w:rPr>
                <w:sz w:val="20"/>
              </w:rPr>
            </w:pPr>
            <w:r>
              <w:rPr>
                <w:sz w:val="20"/>
              </w:rPr>
              <w:t>300.00</w:t>
            </w:r>
          </w:p>
        </w:tc>
        <w:tc>
          <w:tcPr>
            <w:tcW w:w="814" w:type="dxa"/>
            <w:tcBorders>
              <w:top w:val="single" w:sz="4" w:space="0" w:color="000000"/>
            </w:tcBorders>
          </w:tcPr>
          <w:p>
            <w:pPr>
              <w:pStyle w:val="TableParagraph"/>
              <w:spacing w:before="54"/>
              <w:ind w:left="113" w:right="111"/>
              <w:jc w:val="center"/>
              <w:rPr>
                <w:sz w:val="20"/>
              </w:rPr>
            </w:pPr>
            <w:r>
              <w:rPr>
                <w:sz w:val="20"/>
              </w:rPr>
              <w:t>383.33</w:t>
            </w:r>
          </w:p>
        </w:tc>
        <w:tc>
          <w:tcPr>
            <w:tcW w:w="814" w:type="dxa"/>
            <w:tcBorders>
              <w:top w:val="single" w:sz="4" w:space="0" w:color="000000"/>
            </w:tcBorders>
          </w:tcPr>
          <w:p>
            <w:pPr>
              <w:pStyle w:val="TableParagraph"/>
              <w:spacing w:before="54"/>
              <w:ind w:left="111" w:right="111"/>
              <w:jc w:val="center"/>
              <w:rPr>
                <w:sz w:val="20"/>
              </w:rPr>
            </w:pPr>
            <w:r>
              <w:rPr>
                <w:sz w:val="20"/>
              </w:rPr>
              <w:t>483.33</w:t>
            </w:r>
          </w:p>
        </w:tc>
        <w:tc>
          <w:tcPr>
            <w:tcW w:w="816" w:type="dxa"/>
            <w:tcBorders>
              <w:top w:val="single" w:sz="4" w:space="0" w:color="000000"/>
            </w:tcBorders>
          </w:tcPr>
          <w:p>
            <w:pPr>
              <w:pStyle w:val="TableParagraph"/>
              <w:spacing w:before="54"/>
              <w:ind w:left="129"/>
              <w:jc w:val="left"/>
              <w:rPr>
                <w:sz w:val="20"/>
              </w:rPr>
            </w:pPr>
            <w:r>
              <w:rPr>
                <w:sz w:val="20"/>
              </w:rPr>
              <w:t>583.33</w:t>
            </w:r>
          </w:p>
        </w:tc>
        <w:tc>
          <w:tcPr>
            <w:tcW w:w="898" w:type="dxa"/>
            <w:tcBorders>
              <w:top w:val="single" w:sz="4" w:space="0" w:color="000000"/>
            </w:tcBorders>
          </w:tcPr>
          <w:p>
            <w:pPr>
              <w:pStyle w:val="TableParagraph"/>
              <w:spacing w:before="54"/>
              <w:ind w:left="114" w:right="193"/>
              <w:jc w:val="center"/>
              <w:rPr>
                <w:sz w:val="20"/>
              </w:rPr>
            </w:pPr>
            <w:r>
              <w:rPr>
                <w:sz w:val="20"/>
              </w:rPr>
              <w:t>700.00</w:t>
            </w:r>
          </w:p>
        </w:tc>
        <w:tc>
          <w:tcPr>
            <w:tcW w:w="816" w:type="dxa"/>
            <w:tcBorders>
              <w:top w:val="single" w:sz="4" w:space="0" w:color="000000"/>
            </w:tcBorders>
          </w:tcPr>
          <w:p>
            <w:pPr>
              <w:pStyle w:val="TableParagraph"/>
              <w:spacing w:before="54"/>
              <w:ind w:left="249"/>
              <w:jc w:val="left"/>
              <w:rPr>
                <w:sz w:val="20"/>
              </w:rPr>
            </w:pPr>
            <w:r>
              <w:rPr>
                <w:sz w:val="20"/>
              </w:rPr>
              <w:t>0.00</w:t>
            </w:r>
          </w:p>
        </w:tc>
        <w:tc>
          <w:tcPr>
            <w:tcW w:w="787" w:type="dxa"/>
            <w:tcBorders>
              <w:top w:val="single" w:sz="4" w:space="0" w:color="000000"/>
            </w:tcBorders>
          </w:tcPr>
          <w:p>
            <w:pPr>
              <w:pStyle w:val="TableParagraph"/>
              <w:spacing w:before="54"/>
              <w:ind w:left="249"/>
              <w:jc w:val="left"/>
              <w:rPr>
                <w:sz w:val="20"/>
              </w:rPr>
            </w:pPr>
            <w:r>
              <w:rPr>
                <w:sz w:val="20"/>
              </w:rPr>
              <w:t>0.00</w:t>
            </w:r>
          </w:p>
        </w:tc>
        <w:tc>
          <w:tcPr>
            <w:tcW w:w="691" w:type="dxa"/>
            <w:tcBorders>
              <w:top w:val="single" w:sz="4" w:space="0" w:color="000000"/>
            </w:tcBorders>
          </w:tcPr>
          <w:p>
            <w:pPr>
              <w:pStyle w:val="TableParagraph"/>
              <w:spacing w:before="54"/>
              <w:ind w:right="60"/>
              <w:rPr>
                <w:sz w:val="20"/>
              </w:rPr>
            </w:pPr>
            <w:r>
              <w:rPr>
                <w:sz w:val="20"/>
              </w:rPr>
              <w:t>0.00</w:t>
            </w:r>
          </w:p>
        </w:tc>
      </w:tr>
      <w:tr>
        <w:trPr>
          <w:trHeight w:val="293" w:hRule="exact"/>
        </w:trPr>
        <w:tc>
          <w:tcPr>
            <w:tcW w:w="1429" w:type="dxa"/>
          </w:tcPr>
          <w:p>
            <w:pPr>
              <w:pStyle w:val="TableParagraph"/>
              <w:spacing w:before="21"/>
              <w:ind w:left="86"/>
              <w:jc w:val="left"/>
              <w:rPr>
                <w:sz w:val="20"/>
              </w:rPr>
            </w:pPr>
            <w:r>
              <w:rPr>
                <w:sz w:val="20"/>
              </w:rPr>
              <w:t>TEJ_LcFlp</w:t>
            </w:r>
          </w:p>
        </w:tc>
        <w:tc>
          <w:tcPr>
            <w:tcW w:w="791" w:type="dxa"/>
          </w:tcPr>
          <w:p>
            <w:pPr>
              <w:pStyle w:val="TableParagraph"/>
              <w:spacing w:before="21"/>
              <w:ind w:left="87" w:right="114"/>
              <w:jc w:val="center"/>
              <w:rPr>
                <w:sz w:val="20"/>
              </w:rPr>
            </w:pPr>
            <w:r>
              <w:rPr>
                <w:sz w:val="20"/>
              </w:rPr>
              <w:t>156.25</w:t>
            </w:r>
          </w:p>
        </w:tc>
        <w:tc>
          <w:tcPr>
            <w:tcW w:w="819" w:type="dxa"/>
          </w:tcPr>
          <w:p>
            <w:pPr>
              <w:pStyle w:val="TableParagraph"/>
              <w:spacing w:before="21"/>
              <w:ind w:left="115" w:right="113"/>
              <w:jc w:val="center"/>
              <w:rPr>
                <w:sz w:val="20"/>
              </w:rPr>
            </w:pPr>
            <w:r>
              <w:rPr>
                <w:sz w:val="20"/>
              </w:rPr>
              <w:t>250.00</w:t>
            </w:r>
          </w:p>
        </w:tc>
        <w:tc>
          <w:tcPr>
            <w:tcW w:w="816" w:type="dxa"/>
          </w:tcPr>
          <w:p>
            <w:pPr>
              <w:pStyle w:val="TableParagraph"/>
              <w:spacing w:before="21"/>
              <w:ind w:right="129"/>
              <w:rPr>
                <w:sz w:val="20"/>
              </w:rPr>
            </w:pPr>
            <w:r>
              <w:rPr>
                <w:sz w:val="20"/>
              </w:rPr>
              <w:t>318.75</w:t>
            </w:r>
          </w:p>
        </w:tc>
        <w:tc>
          <w:tcPr>
            <w:tcW w:w="814" w:type="dxa"/>
          </w:tcPr>
          <w:p>
            <w:pPr>
              <w:pStyle w:val="TableParagraph"/>
              <w:spacing w:before="21"/>
              <w:ind w:left="113" w:right="111"/>
              <w:jc w:val="center"/>
              <w:rPr>
                <w:sz w:val="20"/>
              </w:rPr>
            </w:pPr>
            <w:r>
              <w:rPr>
                <w:sz w:val="20"/>
              </w:rPr>
              <w:t>400.00</w:t>
            </w:r>
          </w:p>
        </w:tc>
        <w:tc>
          <w:tcPr>
            <w:tcW w:w="814" w:type="dxa"/>
          </w:tcPr>
          <w:p>
            <w:pPr>
              <w:pStyle w:val="TableParagraph"/>
              <w:spacing w:before="21"/>
              <w:ind w:left="111" w:right="111"/>
              <w:jc w:val="center"/>
              <w:rPr>
                <w:sz w:val="20"/>
              </w:rPr>
            </w:pPr>
            <w:r>
              <w:rPr>
                <w:sz w:val="20"/>
              </w:rPr>
              <w:t>510.00</w:t>
            </w:r>
          </w:p>
        </w:tc>
        <w:tc>
          <w:tcPr>
            <w:tcW w:w="816" w:type="dxa"/>
          </w:tcPr>
          <w:p>
            <w:pPr>
              <w:pStyle w:val="TableParagraph"/>
              <w:spacing w:before="21"/>
              <w:ind w:left="129"/>
              <w:jc w:val="left"/>
              <w:rPr>
                <w:sz w:val="20"/>
              </w:rPr>
            </w:pPr>
            <w:r>
              <w:rPr>
                <w:sz w:val="20"/>
              </w:rPr>
              <w:t>607.50</w:t>
            </w:r>
          </w:p>
        </w:tc>
        <w:tc>
          <w:tcPr>
            <w:tcW w:w="898" w:type="dxa"/>
          </w:tcPr>
          <w:p>
            <w:pPr>
              <w:pStyle w:val="TableParagraph"/>
              <w:spacing w:before="21"/>
              <w:ind w:left="114" w:right="193"/>
              <w:jc w:val="center"/>
              <w:rPr>
                <w:sz w:val="20"/>
              </w:rPr>
            </w:pPr>
            <w:r>
              <w:rPr>
                <w:sz w:val="20"/>
              </w:rPr>
              <w:t>718.75</w:t>
            </w:r>
          </w:p>
        </w:tc>
        <w:tc>
          <w:tcPr>
            <w:tcW w:w="816" w:type="dxa"/>
          </w:tcPr>
          <w:p>
            <w:pPr>
              <w:pStyle w:val="TableParagraph"/>
              <w:spacing w:before="21"/>
              <w:ind w:left="249"/>
              <w:jc w:val="left"/>
              <w:rPr>
                <w:sz w:val="20"/>
              </w:rPr>
            </w:pPr>
            <w:r>
              <w:rPr>
                <w:sz w:val="20"/>
              </w:rPr>
              <w:t>0.00</w:t>
            </w:r>
          </w:p>
        </w:tc>
        <w:tc>
          <w:tcPr>
            <w:tcW w:w="787" w:type="dxa"/>
          </w:tcPr>
          <w:p>
            <w:pPr>
              <w:pStyle w:val="TableParagraph"/>
              <w:spacing w:before="21"/>
              <w:ind w:left="249"/>
              <w:jc w:val="left"/>
              <w:rPr>
                <w:sz w:val="20"/>
              </w:rPr>
            </w:pPr>
            <w:r>
              <w:rPr>
                <w:sz w:val="20"/>
              </w:rPr>
              <w:t>0.00</w:t>
            </w:r>
          </w:p>
        </w:tc>
        <w:tc>
          <w:tcPr>
            <w:tcW w:w="691" w:type="dxa"/>
          </w:tcPr>
          <w:p>
            <w:pPr>
              <w:pStyle w:val="TableParagraph"/>
              <w:spacing w:before="21"/>
              <w:ind w:right="60"/>
              <w:rPr>
                <w:sz w:val="20"/>
              </w:rPr>
            </w:pPr>
            <w:r>
              <w:rPr>
                <w:sz w:val="20"/>
              </w:rPr>
              <w:t>0.00</w:t>
            </w:r>
          </w:p>
        </w:tc>
      </w:tr>
      <w:tr>
        <w:trPr>
          <w:trHeight w:val="293" w:hRule="exact"/>
        </w:trPr>
        <w:tc>
          <w:tcPr>
            <w:tcW w:w="1429" w:type="dxa"/>
          </w:tcPr>
          <w:p>
            <w:pPr>
              <w:pStyle w:val="TableParagraph"/>
              <w:spacing w:before="21"/>
              <w:ind w:left="86"/>
              <w:jc w:val="left"/>
              <w:rPr>
                <w:sz w:val="20"/>
              </w:rPr>
            </w:pPr>
            <w:r>
              <w:rPr>
                <w:sz w:val="20"/>
              </w:rPr>
              <w:t>TEJ_LcSF</w:t>
            </w:r>
          </w:p>
        </w:tc>
        <w:tc>
          <w:tcPr>
            <w:tcW w:w="791" w:type="dxa"/>
          </w:tcPr>
          <w:p>
            <w:pPr>
              <w:pStyle w:val="TableParagraph"/>
              <w:spacing w:before="21"/>
              <w:ind w:left="87" w:right="114"/>
              <w:jc w:val="center"/>
              <w:rPr>
                <w:sz w:val="20"/>
              </w:rPr>
            </w:pPr>
            <w:r>
              <w:rPr>
                <w:sz w:val="20"/>
              </w:rPr>
              <w:t>116.67</w:t>
            </w:r>
          </w:p>
        </w:tc>
        <w:tc>
          <w:tcPr>
            <w:tcW w:w="819" w:type="dxa"/>
          </w:tcPr>
          <w:p>
            <w:pPr>
              <w:pStyle w:val="TableParagraph"/>
              <w:spacing w:before="21"/>
              <w:ind w:left="115" w:right="113"/>
              <w:jc w:val="center"/>
              <w:rPr>
                <w:sz w:val="20"/>
              </w:rPr>
            </w:pPr>
            <w:r>
              <w:rPr>
                <w:sz w:val="20"/>
              </w:rPr>
              <w:t>216.67</w:t>
            </w:r>
          </w:p>
        </w:tc>
        <w:tc>
          <w:tcPr>
            <w:tcW w:w="816" w:type="dxa"/>
          </w:tcPr>
          <w:p>
            <w:pPr>
              <w:pStyle w:val="TableParagraph"/>
              <w:spacing w:before="21"/>
              <w:ind w:right="129"/>
              <w:rPr>
                <w:sz w:val="20"/>
              </w:rPr>
            </w:pPr>
            <w:r>
              <w:rPr>
                <w:sz w:val="20"/>
              </w:rPr>
              <w:t>300.00</w:t>
            </w:r>
          </w:p>
        </w:tc>
        <w:tc>
          <w:tcPr>
            <w:tcW w:w="814" w:type="dxa"/>
          </w:tcPr>
          <w:p>
            <w:pPr>
              <w:pStyle w:val="TableParagraph"/>
              <w:spacing w:before="21"/>
              <w:ind w:left="113" w:right="111"/>
              <w:jc w:val="center"/>
              <w:rPr>
                <w:sz w:val="20"/>
              </w:rPr>
            </w:pPr>
            <w:r>
              <w:rPr>
                <w:sz w:val="20"/>
              </w:rPr>
              <w:t>383.33</w:t>
            </w:r>
          </w:p>
        </w:tc>
        <w:tc>
          <w:tcPr>
            <w:tcW w:w="814" w:type="dxa"/>
          </w:tcPr>
          <w:p>
            <w:pPr>
              <w:pStyle w:val="TableParagraph"/>
              <w:spacing w:before="21"/>
              <w:ind w:left="111" w:right="111"/>
              <w:jc w:val="center"/>
              <w:rPr>
                <w:sz w:val="20"/>
              </w:rPr>
            </w:pPr>
            <w:r>
              <w:rPr>
                <w:sz w:val="20"/>
              </w:rPr>
              <w:t>483.33</w:t>
            </w:r>
          </w:p>
        </w:tc>
        <w:tc>
          <w:tcPr>
            <w:tcW w:w="816" w:type="dxa"/>
          </w:tcPr>
          <w:p>
            <w:pPr>
              <w:pStyle w:val="TableParagraph"/>
              <w:spacing w:before="21"/>
              <w:ind w:left="129"/>
              <w:jc w:val="left"/>
              <w:rPr>
                <w:sz w:val="20"/>
              </w:rPr>
            </w:pPr>
            <w:r>
              <w:rPr>
                <w:sz w:val="20"/>
              </w:rPr>
              <w:t>583.33</w:t>
            </w:r>
          </w:p>
        </w:tc>
        <w:tc>
          <w:tcPr>
            <w:tcW w:w="898" w:type="dxa"/>
          </w:tcPr>
          <w:p>
            <w:pPr>
              <w:pStyle w:val="TableParagraph"/>
              <w:spacing w:before="21"/>
              <w:ind w:left="114" w:right="193"/>
              <w:jc w:val="center"/>
              <w:rPr>
                <w:sz w:val="20"/>
              </w:rPr>
            </w:pPr>
            <w:r>
              <w:rPr>
                <w:sz w:val="20"/>
              </w:rPr>
              <w:t>700.00</w:t>
            </w:r>
          </w:p>
        </w:tc>
        <w:tc>
          <w:tcPr>
            <w:tcW w:w="816" w:type="dxa"/>
          </w:tcPr>
          <w:p>
            <w:pPr>
              <w:pStyle w:val="TableParagraph"/>
              <w:spacing w:before="21"/>
              <w:ind w:left="249"/>
              <w:jc w:val="left"/>
              <w:rPr>
                <w:sz w:val="20"/>
              </w:rPr>
            </w:pPr>
            <w:r>
              <w:rPr>
                <w:sz w:val="20"/>
              </w:rPr>
              <w:t>0.00</w:t>
            </w:r>
          </w:p>
        </w:tc>
        <w:tc>
          <w:tcPr>
            <w:tcW w:w="787" w:type="dxa"/>
          </w:tcPr>
          <w:p>
            <w:pPr>
              <w:pStyle w:val="TableParagraph"/>
              <w:spacing w:before="21"/>
              <w:ind w:left="249"/>
              <w:jc w:val="left"/>
              <w:rPr>
                <w:sz w:val="20"/>
              </w:rPr>
            </w:pPr>
            <w:r>
              <w:rPr>
                <w:sz w:val="20"/>
              </w:rPr>
              <w:t>0.00</w:t>
            </w:r>
          </w:p>
        </w:tc>
        <w:tc>
          <w:tcPr>
            <w:tcW w:w="691" w:type="dxa"/>
          </w:tcPr>
          <w:p>
            <w:pPr>
              <w:pStyle w:val="TableParagraph"/>
              <w:spacing w:before="21"/>
              <w:ind w:right="60"/>
              <w:rPr>
                <w:sz w:val="20"/>
              </w:rPr>
            </w:pPr>
            <w:r>
              <w:rPr>
                <w:sz w:val="20"/>
              </w:rPr>
              <w:t>0.00</w:t>
            </w:r>
          </w:p>
        </w:tc>
      </w:tr>
      <w:tr>
        <w:trPr>
          <w:trHeight w:val="293" w:hRule="exact"/>
        </w:trPr>
        <w:tc>
          <w:tcPr>
            <w:tcW w:w="1429" w:type="dxa"/>
          </w:tcPr>
          <w:p>
            <w:pPr>
              <w:pStyle w:val="TableParagraph"/>
              <w:spacing w:before="21"/>
              <w:ind w:left="86"/>
              <w:jc w:val="left"/>
              <w:rPr>
                <w:sz w:val="20"/>
              </w:rPr>
            </w:pPr>
            <w:r>
              <w:rPr>
                <w:sz w:val="20"/>
              </w:rPr>
              <w:t>TEJ_TmFlp</w:t>
            </w:r>
          </w:p>
        </w:tc>
        <w:tc>
          <w:tcPr>
            <w:tcW w:w="791" w:type="dxa"/>
          </w:tcPr>
          <w:p>
            <w:pPr>
              <w:pStyle w:val="TableParagraph"/>
              <w:spacing w:before="21"/>
              <w:ind w:left="87" w:right="114"/>
              <w:jc w:val="center"/>
              <w:rPr>
                <w:sz w:val="20"/>
              </w:rPr>
            </w:pPr>
            <w:r>
              <w:rPr>
                <w:sz w:val="20"/>
              </w:rPr>
              <w:t>125.00</w:t>
            </w:r>
          </w:p>
        </w:tc>
        <w:tc>
          <w:tcPr>
            <w:tcW w:w="819" w:type="dxa"/>
          </w:tcPr>
          <w:p>
            <w:pPr>
              <w:pStyle w:val="TableParagraph"/>
              <w:spacing w:before="21"/>
              <w:ind w:left="115" w:right="113"/>
              <w:jc w:val="center"/>
              <w:rPr>
                <w:sz w:val="20"/>
              </w:rPr>
            </w:pPr>
            <w:r>
              <w:rPr>
                <w:sz w:val="20"/>
              </w:rPr>
              <w:t>225.00</w:t>
            </w:r>
          </w:p>
        </w:tc>
        <w:tc>
          <w:tcPr>
            <w:tcW w:w="816" w:type="dxa"/>
          </w:tcPr>
          <w:p>
            <w:pPr>
              <w:pStyle w:val="TableParagraph"/>
              <w:spacing w:before="21"/>
              <w:ind w:right="129"/>
              <w:rPr>
                <w:sz w:val="20"/>
              </w:rPr>
            </w:pPr>
            <w:r>
              <w:rPr>
                <w:sz w:val="20"/>
              </w:rPr>
              <w:t>300.00</w:t>
            </w:r>
          </w:p>
        </w:tc>
        <w:tc>
          <w:tcPr>
            <w:tcW w:w="814" w:type="dxa"/>
          </w:tcPr>
          <w:p>
            <w:pPr>
              <w:pStyle w:val="TableParagraph"/>
              <w:spacing w:before="21"/>
              <w:ind w:left="113" w:right="111"/>
              <w:jc w:val="center"/>
              <w:rPr>
                <w:sz w:val="20"/>
              </w:rPr>
            </w:pPr>
            <w:r>
              <w:rPr>
                <w:sz w:val="20"/>
              </w:rPr>
              <w:t>375.00</w:t>
            </w:r>
          </w:p>
        </w:tc>
        <w:tc>
          <w:tcPr>
            <w:tcW w:w="814" w:type="dxa"/>
          </w:tcPr>
          <w:p>
            <w:pPr>
              <w:pStyle w:val="TableParagraph"/>
              <w:spacing w:before="21"/>
              <w:ind w:left="111" w:right="111"/>
              <w:jc w:val="center"/>
              <w:rPr>
                <w:sz w:val="20"/>
              </w:rPr>
            </w:pPr>
            <w:r>
              <w:rPr>
                <w:sz w:val="20"/>
              </w:rPr>
              <w:t>475.00</w:t>
            </w:r>
          </w:p>
        </w:tc>
        <w:tc>
          <w:tcPr>
            <w:tcW w:w="816" w:type="dxa"/>
          </w:tcPr>
          <w:p>
            <w:pPr>
              <w:pStyle w:val="TableParagraph"/>
              <w:spacing w:before="21"/>
              <w:ind w:left="129"/>
              <w:jc w:val="left"/>
              <w:rPr>
                <w:sz w:val="20"/>
              </w:rPr>
            </w:pPr>
            <w:r>
              <w:rPr>
                <w:sz w:val="20"/>
              </w:rPr>
              <w:t>575.00</w:t>
            </w:r>
          </w:p>
        </w:tc>
        <w:tc>
          <w:tcPr>
            <w:tcW w:w="898" w:type="dxa"/>
          </w:tcPr>
          <w:p>
            <w:pPr>
              <w:pStyle w:val="TableParagraph"/>
              <w:spacing w:before="21"/>
              <w:ind w:left="114" w:right="193"/>
              <w:jc w:val="center"/>
              <w:rPr>
                <w:sz w:val="20"/>
              </w:rPr>
            </w:pPr>
            <w:r>
              <w:rPr>
                <w:sz w:val="20"/>
              </w:rPr>
              <w:t>675.00</w:t>
            </w:r>
          </w:p>
        </w:tc>
        <w:tc>
          <w:tcPr>
            <w:tcW w:w="816" w:type="dxa"/>
          </w:tcPr>
          <w:p>
            <w:pPr>
              <w:pStyle w:val="TableParagraph"/>
              <w:spacing w:before="21"/>
              <w:ind w:left="249"/>
              <w:jc w:val="left"/>
              <w:rPr>
                <w:sz w:val="20"/>
              </w:rPr>
            </w:pPr>
            <w:r>
              <w:rPr>
                <w:sz w:val="20"/>
              </w:rPr>
              <w:t>0.00</w:t>
            </w:r>
          </w:p>
        </w:tc>
        <w:tc>
          <w:tcPr>
            <w:tcW w:w="787" w:type="dxa"/>
          </w:tcPr>
          <w:p>
            <w:pPr>
              <w:pStyle w:val="TableParagraph"/>
              <w:spacing w:before="21"/>
              <w:ind w:left="249"/>
              <w:jc w:val="left"/>
              <w:rPr>
                <w:sz w:val="20"/>
              </w:rPr>
            </w:pPr>
            <w:r>
              <w:rPr>
                <w:sz w:val="20"/>
              </w:rPr>
              <w:t>0.00</w:t>
            </w:r>
          </w:p>
        </w:tc>
        <w:tc>
          <w:tcPr>
            <w:tcW w:w="691" w:type="dxa"/>
          </w:tcPr>
          <w:p>
            <w:pPr>
              <w:pStyle w:val="TableParagraph"/>
              <w:spacing w:before="21"/>
              <w:ind w:right="60"/>
              <w:rPr>
                <w:sz w:val="20"/>
              </w:rPr>
            </w:pPr>
            <w:r>
              <w:rPr>
                <w:sz w:val="20"/>
              </w:rPr>
              <w:t>0.00</w:t>
            </w:r>
          </w:p>
        </w:tc>
      </w:tr>
      <w:tr>
        <w:trPr>
          <w:trHeight w:val="293" w:hRule="exact"/>
        </w:trPr>
        <w:tc>
          <w:tcPr>
            <w:tcW w:w="1429" w:type="dxa"/>
          </w:tcPr>
          <w:p>
            <w:pPr>
              <w:pStyle w:val="TableParagraph"/>
              <w:spacing w:before="21"/>
              <w:ind w:left="86"/>
              <w:jc w:val="left"/>
              <w:rPr>
                <w:sz w:val="20"/>
              </w:rPr>
            </w:pPr>
            <w:r>
              <w:rPr>
                <w:sz w:val="20"/>
              </w:rPr>
              <w:t>TEJ_ToSF</w:t>
            </w:r>
          </w:p>
        </w:tc>
        <w:tc>
          <w:tcPr>
            <w:tcW w:w="791" w:type="dxa"/>
          </w:tcPr>
          <w:p>
            <w:pPr>
              <w:pStyle w:val="TableParagraph"/>
              <w:spacing w:before="21"/>
              <w:ind w:left="87" w:right="114"/>
              <w:jc w:val="center"/>
              <w:rPr>
                <w:sz w:val="20"/>
              </w:rPr>
            </w:pPr>
            <w:r>
              <w:rPr>
                <w:sz w:val="20"/>
              </w:rPr>
              <w:t>100.00</w:t>
            </w:r>
          </w:p>
        </w:tc>
        <w:tc>
          <w:tcPr>
            <w:tcW w:w="819" w:type="dxa"/>
          </w:tcPr>
          <w:p>
            <w:pPr>
              <w:pStyle w:val="TableParagraph"/>
              <w:spacing w:before="21"/>
              <w:ind w:left="115" w:right="113"/>
              <w:jc w:val="center"/>
              <w:rPr>
                <w:sz w:val="20"/>
              </w:rPr>
            </w:pPr>
            <w:r>
              <w:rPr>
                <w:sz w:val="20"/>
              </w:rPr>
              <w:t>200.00</w:t>
            </w:r>
          </w:p>
        </w:tc>
        <w:tc>
          <w:tcPr>
            <w:tcW w:w="816" w:type="dxa"/>
          </w:tcPr>
          <w:p>
            <w:pPr>
              <w:pStyle w:val="TableParagraph"/>
              <w:spacing w:before="21"/>
              <w:ind w:right="129"/>
              <w:rPr>
                <w:sz w:val="20"/>
              </w:rPr>
            </w:pPr>
            <w:r>
              <w:rPr>
                <w:sz w:val="20"/>
              </w:rPr>
              <w:t>300.00</w:t>
            </w:r>
          </w:p>
        </w:tc>
        <w:tc>
          <w:tcPr>
            <w:tcW w:w="814" w:type="dxa"/>
          </w:tcPr>
          <w:p>
            <w:pPr>
              <w:pStyle w:val="TableParagraph"/>
              <w:spacing w:before="21"/>
              <w:ind w:left="113" w:right="111"/>
              <w:jc w:val="center"/>
              <w:rPr>
                <w:sz w:val="20"/>
              </w:rPr>
            </w:pPr>
            <w:r>
              <w:rPr>
                <w:sz w:val="20"/>
              </w:rPr>
              <w:t>400.00</w:t>
            </w:r>
          </w:p>
        </w:tc>
        <w:tc>
          <w:tcPr>
            <w:tcW w:w="814" w:type="dxa"/>
          </w:tcPr>
          <w:p>
            <w:pPr>
              <w:pStyle w:val="TableParagraph"/>
              <w:spacing w:before="21"/>
              <w:ind w:left="111" w:right="111"/>
              <w:jc w:val="center"/>
              <w:rPr>
                <w:sz w:val="20"/>
              </w:rPr>
            </w:pPr>
            <w:r>
              <w:rPr>
                <w:sz w:val="20"/>
              </w:rPr>
              <w:t>500.00</w:t>
            </w:r>
          </w:p>
        </w:tc>
        <w:tc>
          <w:tcPr>
            <w:tcW w:w="816" w:type="dxa"/>
          </w:tcPr>
          <w:p>
            <w:pPr>
              <w:pStyle w:val="TableParagraph"/>
              <w:spacing w:before="21"/>
              <w:ind w:left="129"/>
              <w:jc w:val="left"/>
              <w:rPr>
                <w:sz w:val="20"/>
              </w:rPr>
            </w:pPr>
            <w:r>
              <w:rPr>
                <w:sz w:val="20"/>
              </w:rPr>
              <w:t>600.00</w:t>
            </w:r>
          </w:p>
        </w:tc>
        <w:tc>
          <w:tcPr>
            <w:tcW w:w="898" w:type="dxa"/>
          </w:tcPr>
          <w:p>
            <w:pPr>
              <w:pStyle w:val="TableParagraph"/>
              <w:spacing w:before="21"/>
              <w:ind w:left="114" w:right="193"/>
              <w:jc w:val="center"/>
              <w:rPr>
                <w:sz w:val="20"/>
              </w:rPr>
            </w:pPr>
            <w:r>
              <w:rPr>
                <w:sz w:val="20"/>
              </w:rPr>
              <w:t>700.00</w:t>
            </w:r>
          </w:p>
        </w:tc>
        <w:tc>
          <w:tcPr>
            <w:tcW w:w="816" w:type="dxa"/>
          </w:tcPr>
          <w:p>
            <w:pPr>
              <w:pStyle w:val="TableParagraph"/>
              <w:spacing w:before="21"/>
              <w:ind w:left="249"/>
              <w:jc w:val="left"/>
              <w:rPr>
                <w:sz w:val="20"/>
              </w:rPr>
            </w:pPr>
            <w:r>
              <w:rPr>
                <w:sz w:val="20"/>
              </w:rPr>
              <w:t>0.00</w:t>
            </w:r>
          </w:p>
        </w:tc>
        <w:tc>
          <w:tcPr>
            <w:tcW w:w="787" w:type="dxa"/>
          </w:tcPr>
          <w:p>
            <w:pPr>
              <w:pStyle w:val="TableParagraph"/>
              <w:spacing w:before="21"/>
              <w:ind w:left="249"/>
              <w:jc w:val="left"/>
              <w:rPr>
                <w:sz w:val="20"/>
              </w:rPr>
            </w:pPr>
            <w:r>
              <w:rPr>
                <w:sz w:val="20"/>
              </w:rPr>
              <w:t>0.00</w:t>
            </w:r>
          </w:p>
        </w:tc>
        <w:tc>
          <w:tcPr>
            <w:tcW w:w="691" w:type="dxa"/>
          </w:tcPr>
          <w:p>
            <w:pPr>
              <w:pStyle w:val="TableParagraph"/>
              <w:spacing w:before="21"/>
              <w:ind w:right="60"/>
              <w:rPr>
                <w:sz w:val="20"/>
              </w:rPr>
            </w:pPr>
            <w:r>
              <w:rPr>
                <w:sz w:val="20"/>
              </w:rPr>
              <w:t>0.00</w:t>
            </w:r>
          </w:p>
        </w:tc>
      </w:tr>
      <w:tr>
        <w:trPr>
          <w:trHeight w:val="291" w:hRule="exact"/>
        </w:trPr>
        <w:tc>
          <w:tcPr>
            <w:tcW w:w="1429" w:type="dxa"/>
          </w:tcPr>
          <w:p>
            <w:pPr>
              <w:pStyle w:val="TableParagraph"/>
              <w:spacing w:before="21"/>
              <w:ind w:left="86"/>
              <w:jc w:val="left"/>
              <w:rPr>
                <w:sz w:val="20"/>
              </w:rPr>
            </w:pPr>
            <w:r>
              <w:rPr>
                <w:sz w:val="20"/>
              </w:rPr>
              <w:t>TEJ_VpFd</w:t>
            </w:r>
          </w:p>
        </w:tc>
        <w:tc>
          <w:tcPr>
            <w:tcW w:w="791" w:type="dxa"/>
          </w:tcPr>
          <w:p>
            <w:pPr>
              <w:pStyle w:val="TableParagraph"/>
              <w:spacing w:before="21"/>
              <w:ind w:left="87" w:right="114"/>
              <w:jc w:val="center"/>
              <w:rPr>
                <w:sz w:val="20"/>
              </w:rPr>
            </w:pPr>
            <w:r>
              <w:rPr>
                <w:sz w:val="20"/>
              </w:rPr>
              <w:t>100.00</w:t>
            </w:r>
          </w:p>
        </w:tc>
        <w:tc>
          <w:tcPr>
            <w:tcW w:w="819" w:type="dxa"/>
          </w:tcPr>
          <w:p>
            <w:pPr>
              <w:pStyle w:val="TableParagraph"/>
              <w:spacing w:before="21"/>
              <w:ind w:left="115" w:right="113"/>
              <w:jc w:val="center"/>
              <w:rPr>
                <w:sz w:val="20"/>
              </w:rPr>
            </w:pPr>
            <w:r>
              <w:rPr>
                <w:sz w:val="20"/>
              </w:rPr>
              <w:t>200.00</w:t>
            </w:r>
          </w:p>
        </w:tc>
        <w:tc>
          <w:tcPr>
            <w:tcW w:w="816" w:type="dxa"/>
          </w:tcPr>
          <w:p>
            <w:pPr>
              <w:pStyle w:val="TableParagraph"/>
              <w:spacing w:before="21"/>
              <w:ind w:right="129"/>
              <w:rPr>
                <w:sz w:val="20"/>
              </w:rPr>
            </w:pPr>
            <w:r>
              <w:rPr>
                <w:sz w:val="20"/>
              </w:rPr>
              <w:t>300.00</w:t>
            </w:r>
          </w:p>
        </w:tc>
        <w:tc>
          <w:tcPr>
            <w:tcW w:w="814" w:type="dxa"/>
          </w:tcPr>
          <w:p>
            <w:pPr>
              <w:pStyle w:val="TableParagraph"/>
              <w:spacing w:before="21"/>
              <w:ind w:left="113" w:right="111"/>
              <w:jc w:val="center"/>
              <w:rPr>
                <w:sz w:val="20"/>
              </w:rPr>
            </w:pPr>
            <w:r>
              <w:rPr>
                <w:sz w:val="20"/>
              </w:rPr>
              <w:t>400.00</w:t>
            </w:r>
          </w:p>
        </w:tc>
        <w:tc>
          <w:tcPr>
            <w:tcW w:w="814" w:type="dxa"/>
          </w:tcPr>
          <w:p>
            <w:pPr>
              <w:pStyle w:val="TableParagraph"/>
              <w:spacing w:before="21"/>
              <w:ind w:left="111" w:right="111"/>
              <w:jc w:val="center"/>
              <w:rPr>
                <w:sz w:val="20"/>
              </w:rPr>
            </w:pPr>
            <w:r>
              <w:rPr>
                <w:sz w:val="20"/>
              </w:rPr>
              <w:t>500.00</w:t>
            </w:r>
          </w:p>
        </w:tc>
        <w:tc>
          <w:tcPr>
            <w:tcW w:w="816" w:type="dxa"/>
          </w:tcPr>
          <w:p>
            <w:pPr>
              <w:pStyle w:val="TableParagraph"/>
              <w:spacing w:before="21"/>
              <w:ind w:left="129"/>
              <w:jc w:val="left"/>
              <w:rPr>
                <w:sz w:val="20"/>
              </w:rPr>
            </w:pPr>
            <w:r>
              <w:rPr>
                <w:sz w:val="20"/>
              </w:rPr>
              <w:t>600.00</w:t>
            </w:r>
          </w:p>
        </w:tc>
        <w:tc>
          <w:tcPr>
            <w:tcW w:w="898" w:type="dxa"/>
          </w:tcPr>
          <w:p>
            <w:pPr>
              <w:pStyle w:val="TableParagraph"/>
              <w:spacing w:before="21"/>
              <w:ind w:left="114" w:right="193"/>
              <w:jc w:val="center"/>
              <w:rPr>
                <w:sz w:val="20"/>
              </w:rPr>
            </w:pPr>
            <w:r>
              <w:rPr>
                <w:sz w:val="20"/>
              </w:rPr>
              <w:t>750.00</w:t>
            </w:r>
          </w:p>
        </w:tc>
        <w:tc>
          <w:tcPr>
            <w:tcW w:w="816" w:type="dxa"/>
          </w:tcPr>
          <w:p>
            <w:pPr>
              <w:pStyle w:val="TableParagraph"/>
              <w:spacing w:before="21"/>
              <w:ind w:left="249"/>
              <w:jc w:val="left"/>
              <w:rPr>
                <w:sz w:val="20"/>
              </w:rPr>
            </w:pPr>
            <w:r>
              <w:rPr>
                <w:sz w:val="20"/>
              </w:rPr>
              <w:t>0.00</w:t>
            </w:r>
          </w:p>
        </w:tc>
        <w:tc>
          <w:tcPr>
            <w:tcW w:w="787" w:type="dxa"/>
          </w:tcPr>
          <w:p>
            <w:pPr>
              <w:pStyle w:val="TableParagraph"/>
              <w:spacing w:before="21"/>
              <w:ind w:left="249"/>
              <w:jc w:val="left"/>
              <w:rPr>
                <w:sz w:val="20"/>
              </w:rPr>
            </w:pPr>
            <w:r>
              <w:rPr>
                <w:sz w:val="20"/>
              </w:rPr>
              <w:t>0.00</w:t>
            </w:r>
          </w:p>
        </w:tc>
        <w:tc>
          <w:tcPr>
            <w:tcW w:w="691" w:type="dxa"/>
          </w:tcPr>
          <w:p>
            <w:pPr>
              <w:pStyle w:val="TableParagraph"/>
              <w:spacing w:before="21"/>
              <w:ind w:right="60"/>
              <w:rPr>
                <w:sz w:val="20"/>
              </w:rPr>
            </w:pPr>
            <w:r>
              <w:rPr>
                <w:sz w:val="20"/>
              </w:rPr>
              <w:t>0.00</w:t>
            </w:r>
          </w:p>
        </w:tc>
      </w:tr>
      <w:tr>
        <w:trPr>
          <w:trHeight w:val="291" w:hRule="exact"/>
        </w:trPr>
        <w:tc>
          <w:tcPr>
            <w:tcW w:w="1429" w:type="dxa"/>
          </w:tcPr>
          <w:p>
            <w:pPr>
              <w:pStyle w:val="TableParagraph"/>
              <w:spacing w:before="19"/>
              <w:ind w:left="86"/>
              <w:jc w:val="left"/>
              <w:rPr>
                <w:sz w:val="20"/>
              </w:rPr>
            </w:pPr>
            <w:r>
              <w:rPr>
                <w:sz w:val="20"/>
              </w:rPr>
              <w:t>TEJ_VpFdp</w:t>
            </w:r>
          </w:p>
        </w:tc>
        <w:tc>
          <w:tcPr>
            <w:tcW w:w="791" w:type="dxa"/>
          </w:tcPr>
          <w:p>
            <w:pPr>
              <w:pStyle w:val="TableParagraph"/>
              <w:spacing w:before="19"/>
              <w:ind w:left="87" w:right="114"/>
              <w:jc w:val="center"/>
              <w:rPr>
                <w:sz w:val="20"/>
              </w:rPr>
            </w:pPr>
            <w:r>
              <w:rPr>
                <w:sz w:val="20"/>
              </w:rPr>
              <w:t>150.00</w:t>
            </w:r>
          </w:p>
        </w:tc>
        <w:tc>
          <w:tcPr>
            <w:tcW w:w="819" w:type="dxa"/>
          </w:tcPr>
          <w:p>
            <w:pPr>
              <w:pStyle w:val="TableParagraph"/>
              <w:spacing w:before="19"/>
              <w:ind w:left="115" w:right="113"/>
              <w:jc w:val="center"/>
              <w:rPr>
                <w:sz w:val="20"/>
              </w:rPr>
            </w:pPr>
            <w:r>
              <w:rPr>
                <w:sz w:val="20"/>
              </w:rPr>
              <w:t>243.75</w:t>
            </w:r>
          </w:p>
        </w:tc>
        <w:tc>
          <w:tcPr>
            <w:tcW w:w="816" w:type="dxa"/>
          </w:tcPr>
          <w:p>
            <w:pPr>
              <w:pStyle w:val="TableParagraph"/>
              <w:spacing w:before="19"/>
              <w:ind w:right="129"/>
              <w:rPr>
                <w:sz w:val="20"/>
              </w:rPr>
            </w:pPr>
            <w:r>
              <w:rPr>
                <w:sz w:val="20"/>
              </w:rPr>
              <w:t>318.75</w:t>
            </w:r>
          </w:p>
        </w:tc>
        <w:tc>
          <w:tcPr>
            <w:tcW w:w="814" w:type="dxa"/>
          </w:tcPr>
          <w:p>
            <w:pPr>
              <w:pStyle w:val="TableParagraph"/>
              <w:spacing w:before="19"/>
              <w:ind w:left="113" w:right="111"/>
              <w:jc w:val="center"/>
              <w:rPr>
                <w:sz w:val="20"/>
              </w:rPr>
            </w:pPr>
            <w:r>
              <w:rPr>
                <w:sz w:val="20"/>
              </w:rPr>
              <w:t>406.25</w:t>
            </w:r>
          </w:p>
        </w:tc>
        <w:tc>
          <w:tcPr>
            <w:tcW w:w="814" w:type="dxa"/>
          </w:tcPr>
          <w:p>
            <w:pPr>
              <w:pStyle w:val="TableParagraph"/>
              <w:spacing w:before="19"/>
              <w:ind w:left="111" w:right="111"/>
              <w:jc w:val="center"/>
              <w:rPr>
                <w:sz w:val="20"/>
              </w:rPr>
            </w:pPr>
            <w:r>
              <w:rPr>
                <w:sz w:val="20"/>
              </w:rPr>
              <w:t>512.50</w:t>
            </w:r>
          </w:p>
        </w:tc>
        <w:tc>
          <w:tcPr>
            <w:tcW w:w="816" w:type="dxa"/>
          </w:tcPr>
          <w:p>
            <w:pPr>
              <w:pStyle w:val="TableParagraph"/>
              <w:spacing w:before="19"/>
              <w:ind w:left="129"/>
              <w:jc w:val="left"/>
              <w:rPr>
                <w:sz w:val="20"/>
              </w:rPr>
            </w:pPr>
            <w:r>
              <w:rPr>
                <w:sz w:val="20"/>
              </w:rPr>
              <w:t>613.75</w:t>
            </w:r>
          </w:p>
        </w:tc>
        <w:tc>
          <w:tcPr>
            <w:tcW w:w="898" w:type="dxa"/>
          </w:tcPr>
          <w:p>
            <w:pPr>
              <w:pStyle w:val="TableParagraph"/>
              <w:spacing w:before="19"/>
              <w:ind w:left="114" w:right="193"/>
              <w:jc w:val="center"/>
              <w:rPr>
                <w:sz w:val="20"/>
              </w:rPr>
            </w:pPr>
            <w:r>
              <w:rPr>
                <w:sz w:val="20"/>
              </w:rPr>
              <w:t>725.00</w:t>
            </w:r>
          </w:p>
        </w:tc>
        <w:tc>
          <w:tcPr>
            <w:tcW w:w="816" w:type="dxa"/>
          </w:tcPr>
          <w:p>
            <w:pPr>
              <w:pStyle w:val="TableParagraph"/>
              <w:spacing w:before="19"/>
              <w:ind w:left="249"/>
              <w:jc w:val="left"/>
              <w:rPr>
                <w:sz w:val="20"/>
              </w:rPr>
            </w:pPr>
            <w:r>
              <w:rPr>
                <w:sz w:val="20"/>
              </w:rPr>
              <w:t>0.00</w:t>
            </w:r>
          </w:p>
        </w:tc>
        <w:tc>
          <w:tcPr>
            <w:tcW w:w="787" w:type="dxa"/>
          </w:tcPr>
          <w:p>
            <w:pPr>
              <w:pStyle w:val="TableParagraph"/>
              <w:spacing w:before="19"/>
              <w:ind w:left="249"/>
              <w:jc w:val="left"/>
              <w:rPr>
                <w:sz w:val="20"/>
              </w:rPr>
            </w:pPr>
            <w:r>
              <w:rPr>
                <w:sz w:val="20"/>
              </w:rPr>
              <w:t>0.00</w:t>
            </w:r>
          </w:p>
        </w:tc>
        <w:tc>
          <w:tcPr>
            <w:tcW w:w="691" w:type="dxa"/>
          </w:tcPr>
          <w:p>
            <w:pPr>
              <w:pStyle w:val="TableParagraph"/>
              <w:spacing w:before="19"/>
              <w:ind w:right="60"/>
              <w:rPr>
                <w:sz w:val="20"/>
              </w:rPr>
            </w:pPr>
            <w:r>
              <w:rPr>
                <w:sz w:val="20"/>
              </w:rPr>
              <w:t>0.00</w:t>
            </w:r>
          </w:p>
        </w:tc>
      </w:tr>
      <w:tr>
        <w:trPr>
          <w:trHeight w:val="293" w:hRule="exact"/>
        </w:trPr>
        <w:tc>
          <w:tcPr>
            <w:tcW w:w="1429" w:type="dxa"/>
          </w:tcPr>
          <w:p>
            <w:pPr>
              <w:pStyle w:val="TableParagraph"/>
              <w:spacing w:before="21"/>
              <w:ind w:left="86"/>
              <w:jc w:val="left"/>
              <w:rPr>
                <w:sz w:val="20"/>
              </w:rPr>
            </w:pPr>
            <w:r>
              <w:rPr>
                <w:sz w:val="20"/>
              </w:rPr>
              <w:t>TEJ_VpSF</w:t>
            </w:r>
          </w:p>
        </w:tc>
        <w:tc>
          <w:tcPr>
            <w:tcW w:w="791" w:type="dxa"/>
          </w:tcPr>
          <w:p>
            <w:pPr>
              <w:pStyle w:val="TableParagraph"/>
              <w:spacing w:before="21"/>
              <w:ind w:left="87" w:right="114"/>
              <w:jc w:val="center"/>
              <w:rPr>
                <w:sz w:val="20"/>
              </w:rPr>
            </w:pPr>
            <w:r>
              <w:rPr>
                <w:sz w:val="20"/>
              </w:rPr>
              <w:t>166.67</w:t>
            </w:r>
          </w:p>
        </w:tc>
        <w:tc>
          <w:tcPr>
            <w:tcW w:w="819" w:type="dxa"/>
          </w:tcPr>
          <w:p>
            <w:pPr>
              <w:pStyle w:val="TableParagraph"/>
              <w:spacing w:before="21"/>
              <w:ind w:left="115" w:right="113"/>
              <w:jc w:val="center"/>
              <w:rPr>
                <w:sz w:val="20"/>
              </w:rPr>
            </w:pPr>
            <w:r>
              <w:rPr>
                <w:sz w:val="20"/>
              </w:rPr>
              <w:t>257.78</w:t>
            </w:r>
          </w:p>
        </w:tc>
        <w:tc>
          <w:tcPr>
            <w:tcW w:w="816" w:type="dxa"/>
          </w:tcPr>
          <w:p>
            <w:pPr>
              <w:pStyle w:val="TableParagraph"/>
              <w:spacing w:before="21"/>
              <w:ind w:right="129"/>
              <w:rPr>
                <w:sz w:val="20"/>
              </w:rPr>
            </w:pPr>
            <w:r>
              <w:rPr>
                <w:sz w:val="20"/>
              </w:rPr>
              <w:t>340.00</w:t>
            </w:r>
          </w:p>
        </w:tc>
        <w:tc>
          <w:tcPr>
            <w:tcW w:w="814" w:type="dxa"/>
          </w:tcPr>
          <w:p>
            <w:pPr>
              <w:pStyle w:val="TableParagraph"/>
              <w:spacing w:before="21"/>
              <w:ind w:left="113" w:right="111"/>
              <w:jc w:val="center"/>
              <w:rPr>
                <w:sz w:val="20"/>
              </w:rPr>
            </w:pPr>
            <w:r>
              <w:rPr>
                <w:sz w:val="20"/>
              </w:rPr>
              <w:t>438.89</w:t>
            </w:r>
          </w:p>
        </w:tc>
        <w:tc>
          <w:tcPr>
            <w:tcW w:w="814" w:type="dxa"/>
          </w:tcPr>
          <w:p>
            <w:pPr>
              <w:pStyle w:val="TableParagraph"/>
              <w:spacing w:before="21"/>
              <w:ind w:left="111" w:right="111"/>
              <w:jc w:val="center"/>
              <w:rPr>
                <w:sz w:val="20"/>
              </w:rPr>
            </w:pPr>
            <w:r>
              <w:rPr>
                <w:sz w:val="20"/>
              </w:rPr>
              <w:t>574.44</w:t>
            </w:r>
          </w:p>
        </w:tc>
        <w:tc>
          <w:tcPr>
            <w:tcW w:w="816" w:type="dxa"/>
          </w:tcPr>
          <w:p>
            <w:pPr>
              <w:pStyle w:val="TableParagraph"/>
              <w:spacing w:before="21"/>
              <w:ind w:left="129"/>
              <w:jc w:val="left"/>
              <w:rPr>
                <w:sz w:val="20"/>
              </w:rPr>
            </w:pPr>
            <w:r>
              <w:rPr>
                <w:sz w:val="20"/>
              </w:rPr>
              <w:t>678.89</w:t>
            </w:r>
          </w:p>
        </w:tc>
        <w:tc>
          <w:tcPr>
            <w:tcW w:w="898" w:type="dxa"/>
          </w:tcPr>
          <w:p>
            <w:pPr>
              <w:pStyle w:val="TableParagraph"/>
              <w:spacing w:before="21"/>
              <w:ind w:left="114" w:right="193"/>
              <w:jc w:val="center"/>
              <w:rPr>
                <w:sz w:val="20"/>
              </w:rPr>
            </w:pPr>
            <w:r>
              <w:rPr>
                <w:sz w:val="20"/>
              </w:rPr>
              <w:t>777.78</w:t>
            </w:r>
          </w:p>
        </w:tc>
        <w:tc>
          <w:tcPr>
            <w:tcW w:w="816" w:type="dxa"/>
          </w:tcPr>
          <w:p>
            <w:pPr>
              <w:pStyle w:val="TableParagraph"/>
              <w:spacing w:before="21"/>
              <w:ind w:left="249"/>
              <w:jc w:val="left"/>
              <w:rPr>
                <w:sz w:val="20"/>
              </w:rPr>
            </w:pPr>
            <w:r>
              <w:rPr>
                <w:sz w:val="20"/>
              </w:rPr>
              <w:t>0.00</w:t>
            </w:r>
          </w:p>
        </w:tc>
        <w:tc>
          <w:tcPr>
            <w:tcW w:w="787" w:type="dxa"/>
          </w:tcPr>
          <w:p>
            <w:pPr>
              <w:pStyle w:val="TableParagraph"/>
              <w:spacing w:before="21"/>
              <w:ind w:left="249"/>
              <w:jc w:val="left"/>
              <w:rPr>
                <w:sz w:val="20"/>
              </w:rPr>
            </w:pPr>
            <w:r>
              <w:rPr>
                <w:sz w:val="20"/>
              </w:rPr>
              <w:t>0.00</w:t>
            </w:r>
          </w:p>
        </w:tc>
        <w:tc>
          <w:tcPr>
            <w:tcW w:w="691" w:type="dxa"/>
          </w:tcPr>
          <w:p>
            <w:pPr>
              <w:pStyle w:val="TableParagraph"/>
              <w:spacing w:before="21"/>
              <w:ind w:right="60"/>
              <w:rPr>
                <w:sz w:val="20"/>
              </w:rPr>
            </w:pPr>
            <w:r>
              <w:rPr>
                <w:sz w:val="20"/>
              </w:rPr>
              <w:t>0.00</w:t>
            </w:r>
          </w:p>
        </w:tc>
      </w:tr>
      <w:tr>
        <w:trPr>
          <w:trHeight w:val="293" w:hRule="exact"/>
        </w:trPr>
        <w:tc>
          <w:tcPr>
            <w:tcW w:w="1429" w:type="dxa"/>
          </w:tcPr>
          <w:p>
            <w:pPr>
              <w:pStyle w:val="TableParagraph"/>
              <w:spacing w:before="21"/>
              <w:ind w:left="86"/>
              <w:jc w:val="left"/>
              <w:rPr>
                <w:sz w:val="20"/>
              </w:rPr>
            </w:pPr>
            <w:r>
              <w:rPr>
                <w:sz w:val="20"/>
              </w:rPr>
              <w:t>TEJ_WmFdp</w:t>
            </w:r>
          </w:p>
        </w:tc>
        <w:tc>
          <w:tcPr>
            <w:tcW w:w="791" w:type="dxa"/>
          </w:tcPr>
          <w:p>
            <w:pPr>
              <w:pStyle w:val="TableParagraph"/>
              <w:spacing w:before="21"/>
              <w:ind w:left="87" w:right="114"/>
              <w:jc w:val="center"/>
              <w:rPr>
                <w:sz w:val="20"/>
              </w:rPr>
            </w:pPr>
            <w:r>
              <w:rPr>
                <w:sz w:val="20"/>
              </w:rPr>
              <w:t>175.00</w:t>
            </w:r>
          </w:p>
        </w:tc>
        <w:tc>
          <w:tcPr>
            <w:tcW w:w="819" w:type="dxa"/>
          </w:tcPr>
          <w:p>
            <w:pPr>
              <w:pStyle w:val="TableParagraph"/>
              <w:spacing w:before="21"/>
              <w:ind w:left="115" w:right="113"/>
              <w:jc w:val="center"/>
              <w:rPr>
                <w:sz w:val="20"/>
              </w:rPr>
            </w:pPr>
            <w:r>
              <w:rPr>
                <w:sz w:val="20"/>
              </w:rPr>
              <w:t>262.50</w:t>
            </w:r>
          </w:p>
        </w:tc>
        <w:tc>
          <w:tcPr>
            <w:tcW w:w="816" w:type="dxa"/>
          </w:tcPr>
          <w:p>
            <w:pPr>
              <w:pStyle w:val="TableParagraph"/>
              <w:spacing w:before="21"/>
              <w:ind w:right="129"/>
              <w:rPr>
                <w:sz w:val="20"/>
              </w:rPr>
            </w:pPr>
            <w:r>
              <w:rPr>
                <w:sz w:val="20"/>
              </w:rPr>
              <w:t>337.50</w:t>
            </w:r>
          </w:p>
        </w:tc>
        <w:tc>
          <w:tcPr>
            <w:tcW w:w="814" w:type="dxa"/>
          </w:tcPr>
          <w:p>
            <w:pPr>
              <w:pStyle w:val="TableParagraph"/>
              <w:spacing w:before="21"/>
              <w:ind w:left="113" w:right="111"/>
              <w:jc w:val="center"/>
              <w:rPr>
                <w:sz w:val="20"/>
              </w:rPr>
            </w:pPr>
            <w:r>
              <w:rPr>
                <w:sz w:val="20"/>
              </w:rPr>
              <w:t>412.50</w:t>
            </w:r>
          </w:p>
        </w:tc>
        <w:tc>
          <w:tcPr>
            <w:tcW w:w="814" w:type="dxa"/>
          </w:tcPr>
          <w:p>
            <w:pPr>
              <w:pStyle w:val="TableParagraph"/>
              <w:spacing w:before="21"/>
              <w:ind w:left="111" w:right="111"/>
              <w:jc w:val="center"/>
              <w:rPr>
                <w:sz w:val="20"/>
              </w:rPr>
            </w:pPr>
            <w:r>
              <w:rPr>
                <w:sz w:val="20"/>
              </w:rPr>
              <w:t>537.50</w:t>
            </w:r>
          </w:p>
        </w:tc>
        <w:tc>
          <w:tcPr>
            <w:tcW w:w="816" w:type="dxa"/>
          </w:tcPr>
          <w:p>
            <w:pPr>
              <w:pStyle w:val="TableParagraph"/>
              <w:spacing w:before="21"/>
              <w:ind w:left="129"/>
              <w:jc w:val="left"/>
              <w:rPr>
                <w:sz w:val="20"/>
              </w:rPr>
            </w:pPr>
            <w:r>
              <w:rPr>
                <w:sz w:val="20"/>
              </w:rPr>
              <w:t>650.00</w:t>
            </w:r>
          </w:p>
        </w:tc>
        <w:tc>
          <w:tcPr>
            <w:tcW w:w="898" w:type="dxa"/>
          </w:tcPr>
          <w:p>
            <w:pPr>
              <w:pStyle w:val="TableParagraph"/>
              <w:spacing w:before="21"/>
              <w:ind w:left="114" w:right="193"/>
              <w:jc w:val="center"/>
              <w:rPr>
                <w:sz w:val="20"/>
              </w:rPr>
            </w:pPr>
            <w:r>
              <w:rPr>
                <w:sz w:val="20"/>
              </w:rPr>
              <w:t>750.00</w:t>
            </w:r>
          </w:p>
        </w:tc>
        <w:tc>
          <w:tcPr>
            <w:tcW w:w="816" w:type="dxa"/>
          </w:tcPr>
          <w:p>
            <w:pPr>
              <w:pStyle w:val="TableParagraph"/>
              <w:spacing w:before="21"/>
              <w:ind w:left="249"/>
              <w:jc w:val="left"/>
              <w:rPr>
                <w:sz w:val="20"/>
              </w:rPr>
            </w:pPr>
            <w:r>
              <w:rPr>
                <w:sz w:val="20"/>
              </w:rPr>
              <w:t>0.00</w:t>
            </w:r>
          </w:p>
        </w:tc>
        <w:tc>
          <w:tcPr>
            <w:tcW w:w="787" w:type="dxa"/>
          </w:tcPr>
          <w:p>
            <w:pPr>
              <w:pStyle w:val="TableParagraph"/>
              <w:spacing w:before="21"/>
              <w:ind w:left="249"/>
              <w:jc w:val="left"/>
              <w:rPr>
                <w:sz w:val="20"/>
              </w:rPr>
            </w:pPr>
            <w:r>
              <w:rPr>
                <w:sz w:val="20"/>
              </w:rPr>
              <w:t>0.00</w:t>
            </w:r>
          </w:p>
        </w:tc>
        <w:tc>
          <w:tcPr>
            <w:tcW w:w="691" w:type="dxa"/>
          </w:tcPr>
          <w:p>
            <w:pPr>
              <w:pStyle w:val="TableParagraph"/>
              <w:spacing w:before="21"/>
              <w:ind w:right="60"/>
              <w:rPr>
                <w:sz w:val="20"/>
              </w:rPr>
            </w:pPr>
            <w:r>
              <w:rPr>
                <w:sz w:val="20"/>
              </w:rPr>
              <w:t>0.00</w:t>
            </w:r>
          </w:p>
        </w:tc>
      </w:tr>
      <w:tr>
        <w:trPr>
          <w:trHeight w:val="265" w:hRule="exact"/>
        </w:trPr>
        <w:tc>
          <w:tcPr>
            <w:tcW w:w="1429" w:type="dxa"/>
            <w:tcBorders>
              <w:bottom w:val="single" w:sz="4" w:space="0" w:color="000000"/>
            </w:tcBorders>
          </w:tcPr>
          <w:p>
            <w:pPr>
              <w:pStyle w:val="TableParagraph"/>
              <w:spacing w:before="21"/>
              <w:ind w:left="86"/>
              <w:jc w:val="left"/>
              <w:rPr>
                <w:sz w:val="20"/>
              </w:rPr>
            </w:pPr>
            <w:r>
              <w:rPr>
                <w:sz w:val="20"/>
              </w:rPr>
              <w:t>TEJ_WmSF</w:t>
            </w:r>
          </w:p>
        </w:tc>
        <w:tc>
          <w:tcPr>
            <w:tcW w:w="791" w:type="dxa"/>
            <w:tcBorders>
              <w:bottom w:val="single" w:sz="4" w:space="0" w:color="000000"/>
            </w:tcBorders>
          </w:tcPr>
          <w:p>
            <w:pPr>
              <w:pStyle w:val="TableParagraph"/>
              <w:spacing w:before="21"/>
              <w:ind w:left="87" w:right="114"/>
              <w:jc w:val="center"/>
              <w:rPr>
                <w:sz w:val="20"/>
              </w:rPr>
            </w:pPr>
            <w:r>
              <w:rPr>
                <w:sz w:val="20"/>
              </w:rPr>
              <w:t>166.67</w:t>
            </w:r>
          </w:p>
        </w:tc>
        <w:tc>
          <w:tcPr>
            <w:tcW w:w="819" w:type="dxa"/>
            <w:tcBorders>
              <w:bottom w:val="single" w:sz="4" w:space="0" w:color="000000"/>
            </w:tcBorders>
          </w:tcPr>
          <w:p>
            <w:pPr>
              <w:pStyle w:val="TableParagraph"/>
              <w:spacing w:before="21"/>
              <w:ind w:left="115" w:right="113"/>
              <w:jc w:val="center"/>
              <w:rPr>
                <w:sz w:val="20"/>
              </w:rPr>
            </w:pPr>
            <w:r>
              <w:rPr>
                <w:sz w:val="20"/>
              </w:rPr>
              <w:t>257.78</w:t>
            </w:r>
          </w:p>
        </w:tc>
        <w:tc>
          <w:tcPr>
            <w:tcW w:w="816" w:type="dxa"/>
            <w:tcBorders>
              <w:bottom w:val="single" w:sz="4" w:space="0" w:color="000000"/>
            </w:tcBorders>
          </w:tcPr>
          <w:p>
            <w:pPr>
              <w:pStyle w:val="TableParagraph"/>
              <w:spacing w:before="21"/>
              <w:ind w:right="129"/>
              <w:rPr>
                <w:sz w:val="20"/>
              </w:rPr>
            </w:pPr>
            <w:r>
              <w:rPr>
                <w:sz w:val="20"/>
              </w:rPr>
              <w:t>340.00</w:t>
            </w:r>
          </w:p>
        </w:tc>
        <w:tc>
          <w:tcPr>
            <w:tcW w:w="814" w:type="dxa"/>
            <w:tcBorders>
              <w:bottom w:val="single" w:sz="4" w:space="0" w:color="000000"/>
            </w:tcBorders>
          </w:tcPr>
          <w:p>
            <w:pPr>
              <w:pStyle w:val="TableParagraph"/>
              <w:spacing w:before="21"/>
              <w:ind w:left="113" w:right="111"/>
              <w:jc w:val="center"/>
              <w:rPr>
                <w:sz w:val="20"/>
              </w:rPr>
            </w:pPr>
            <w:r>
              <w:rPr>
                <w:sz w:val="20"/>
              </w:rPr>
              <w:t>438.89</w:t>
            </w:r>
          </w:p>
        </w:tc>
        <w:tc>
          <w:tcPr>
            <w:tcW w:w="814" w:type="dxa"/>
            <w:tcBorders>
              <w:bottom w:val="single" w:sz="4" w:space="0" w:color="000000"/>
            </w:tcBorders>
          </w:tcPr>
          <w:p>
            <w:pPr>
              <w:pStyle w:val="TableParagraph"/>
              <w:spacing w:before="21"/>
              <w:ind w:left="111" w:right="111"/>
              <w:jc w:val="center"/>
              <w:rPr>
                <w:sz w:val="20"/>
              </w:rPr>
            </w:pPr>
            <w:r>
              <w:rPr>
                <w:sz w:val="20"/>
              </w:rPr>
              <w:t>574.44</w:t>
            </w:r>
          </w:p>
        </w:tc>
        <w:tc>
          <w:tcPr>
            <w:tcW w:w="816" w:type="dxa"/>
            <w:tcBorders>
              <w:bottom w:val="single" w:sz="4" w:space="0" w:color="000000"/>
            </w:tcBorders>
          </w:tcPr>
          <w:p>
            <w:pPr>
              <w:pStyle w:val="TableParagraph"/>
              <w:spacing w:before="21"/>
              <w:ind w:left="129"/>
              <w:jc w:val="left"/>
              <w:rPr>
                <w:sz w:val="20"/>
              </w:rPr>
            </w:pPr>
            <w:r>
              <w:rPr>
                <w:sz w:val="20"/>
              </w:rPr>
              <w:t>678.89</w:t>
            </w:r>
          </w:p>
        </w:tc>
        <w:tc>
          <w:tcPr>
            <w:tcW w:w="898" w:type="dxa"/>
            <w:tcBorders>
              <w:bottom w:val="single" w:sz="4" w:space="0" w:color="000000"/>
            </w:tcBorders>
          </w:tcPr>
          <w:p>
            <w:pPr>
              <w:pStyle w:val="TableParagraph"/>
              <w:spacing w:before="21"/>
              <w:ind w:left="114" w:right="193"/>
              <w:jc w:val="center"/>
              <w:rPr>
                <w:sz w:val="20"/>
              </w:rPr>
            </w:pPr>
            <w:r>
              <w:rPr>
                <w:sz w:val="20"/>
              </w:rPr>
              <w:t>777.78</w:t>
            </w:r>
          </w:p>
        </w:tc>
        <w:tc>
          <w:tcPr>
            <w:tcW w:w="816" w:type="dxa"/>
            <w:tcBorders>
              <w:bottom w:val="single" w:sz="4" w:space="0" w:color="000000"/>
            </w:tcBorders>
          </w:tcPr>
          <w:p>
            <w:pPr>
              <w:pStyle w:val="TableParagraph"/>
              <w:spacing w:before="21"/>
              <w:ind w:left="249"/>
              <w:jc w:val="left"/>
              <w:rPr>
                <w:sz w:val="20"/>
              </w:rPr>
            </w:pPr>
            <w:r>
              <w:rPr>
                <w:sz w:val="20"/>
              </w:rPr>
              <w:t>0.00</w:t>
            </w:r>
          </w:p>
        </w:tc>
        <w:tc>
          <w:tcPr>
            <w:tcW w:w="787" w:type="dxa"/>
            <w:tcBorders>
              <w:bottom w:val="single" w:sz="4" w:space="0" w:color="000000"/>
            </w:tcBorders>
          </w:tcPr>
          <w:p>
            <w:pPr>
              <w:pStyle w:val="TableParagraph"/>
              <w:spacing w:before="21"/>
              <w:ind w:left="249"/>
              <w:jc w:val="left"/>
              <w:rPr>
                <w:sz w:val="20"/>
              </w:rPr>
            </w:pPr>
            <w:r>
              <w:rPr>
                <w:sz w:val="20"/>
              </w:rPr>
              <w:t>0.00</w:t>
            </w:r>
          </w:p>
        </w:tc>
        <w:tc>
          <w:tcPr>
            <w:tcW w:w="691" w:type="dxa"/>
            <w:tcBorders>
              <w:bottom w:val="single" w:sz="4" w:space="0" w:color="000000"/>
            </w:tcBorders>
          </w:tcPr>
          <w:p>
            <w:pPr>
              <w:pStyle w:val="TableParagraph"/>
              <w:spacing w:before="21"/>
              <w:ind w:right="60"/>
              <w:rPr>
                <w:sz w:val="20"/>
              </w:rPr>
            </w:pPr>
            <w:r>
              <w:rPr>
                <w:sz w:val="20"/>
              </w:rPr>
              <w:t>0.00</w:t>
            </w:r>
          </w:p>
        </w:tc>
      </w:tr>
    </w:tbl>
    <w:p>
      <w:pPr>
        <w:pStyle w:val="BodyText"/>
        <w:rPr>
          <w:sz w:val="20"/>
        </w:rPr>
      </w:pPr>
    </w:p>
    <w:p>
      <w:pPr>
        <w:pStyle w:val="BodyText"/>
        <w:rPr>
          <w:sz w:val="20"/>
        </w:rPr>
      </w:pPr>
    </w:p>
    <w:p>
      <w:pPr>
        <w:pStyle w:val="BodyText"/>
        <w:rPr>
          <w:sz w:val="20"/>
        </w:rPr>
      </w:pPr>
    </w:p>
    <w:p>
      <w:pPr>
        <w:pStyle w:val="Heading1"/>
        <w:spacing w:before="201"/>
        <w:ind w:left="2834"/>
      </w:pPr>
      <w:bookmarkStart w:name="_bookmark166" w:id="225"/>
      <w:bookmarkEnd w:id="225"/>
      <w:r>
        <w:rPr>
          <w:b w:val="0"/>
        </w:rPr>
      </w:r>
      <w:r>
        <w:rPr/>
        <w:t>Tabla 29. Factor K de erosibidad del suelo</w:t>
      </w:r>
    </w:p>
    <w:p>
      <w:pPr>
        <w:pStyle w:val="BodyText"/>
        <w:rPr>
          <w:b/>
          <w:sz w:val="20"/>
        </w:rPr>
      </w:pPr>
    </w:p>
    <w:p>
      <w:pPr>
        <w:pStyle w:val="BodyText"/>
        <w:spacing w:before="10" w:after="1"/>
        <w:rPr>
          <w:b/>
          <w:sz w:val="23"/>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05"/>
        <w:gridCol w:w="695"/>
        <w:gridCol w:w="826"/>
        <w:gridCol w:w="826"/>
        <w:gridCol w:w="829"/>
        <w:gridCol w:w="828"/>
        <w:gridCol w:w="826"/>
        <w:gridCol w:w="828"/>
        <w:gridCol w:w="828"/>
        <w:gridCol w:w="826"/>
        <w:gridCol w:w="776"/>
      </w:tblGrid>
      <w:tr>
        <w:trPr>
          <w:trHeight w:val="398" w:hRule="exact"/>
        </w:trPr>
        <w:tc>
          <w:tcPr>
            <w:tcW w:w="1405" w:type="dxa"/>
            <w:tcBorders>
              <w:left w:val="nil"/>
              <w:bottom w:val="nil"/>
              <w:right w:val="nil"/>
            </w:tcBorders>
          </w:tcPr>
          <w:p>
            <w:pPr>
              <w:pStyle w:val="TableParagraph"/>
              <w:spacing w:before="178"/>
              <w:ind w:left="100"/>
              <w:jc w:val="left"/>
              <w:rPr>
                <w:sz w:val="20"/>
              </w:rPr>
            </w:pPr>
            <w:r>
              <w:rPr>
                <w:sz w:val="20"/>
              </w:rPr>
              <w:t>Nombre/Clave</w:t>
            </w:r>
          </w:p>
        </w:tc>
        <w:tc>
          <w:tcPr>
            <w:tcW w:w="695" w:type="dxa"/>
            <w:tcBorders>
              <w:left w:val="nil"/>
              <w:bottom w:val="nil"/>
              <w:right w:val="nil"/>
            </w:tcBorders>
          </w:tcPr>
          <w:p>
            <w:pPr/>
          </w:p>
        </w:tc>
        <w:tc>
          <w:tcPr>
            <w:tcW w:w="826" w:type="dxa"/>
            <w:tcBorders>
              <w:left w:val="nil"/>
              <w:bottom w:val="nil"/>
              <w:right w:val="nil"/>
            </w:tcBorders>
          </w:tcPr>
          <w:p>
            <w:pPr/>
          </w:p>
        </w:tc>
        <w:tc>
          <w:tcPr>
            <w:tcW w:w="826" w:type="dxa"/>
            <w:tcBorders>
              <w:left w:val="nil"/>
              <w:bottom w:val="nil"/>
              <w:right w:val="nil"/>
            </w:tcBorders>
          </w:tcPr>
          <w:p>
            <w:pPr/>
          </w:p>
        </w:tc>
        <w:tc>
          <w:tcPr>
            <w:tcW w:w="829" w:type="dxa"/>
            <w:tcBorders>
              <w:left w:val="nil"/>
              <w:bottom w:val="nil"/>
              <w:right w:val="nil"/>
            </w:tcBorders>
          </w:tcPr>
          <w:p>
            <w:pPr/>
          </w:p>
        </w:tc>
        <w:tc>
          <w:tcPr>
            <w:tcW w:w="2482" w:type="dxa"/>
            <w:gridSpan w:val="3"/>
            <w:tcBorders>
              <w:left w:val="nil"/>
              <w:bottom w:val="nil"/>
              <w:right w:val="nil"/>
            </w:tcBorders>
          </w:tcPr>
          <w:p>
            <w:pPr>
              <w:pStyle w:val="TableParagraph"/>
              <w:spacing w:before="63"/>
              <w:ind w:left="-15"/>
              <w:jc w:val="left"/>
              <w:rPr>
                <w:sz w:val="20"/>
              </w:rPr>
            </w:pPr>
            <w:r>
              <w:rPr>
                <w:sz w:val="20"/>
              </w:rPr>
              <w:t>N° de capas del suelo</w:t>
            </w:r>
          </w:p>
        </w:tc>
        <w:tc>
          <w:tcPr>
            <w:tcW w:w="828" w:type="dxa"/>
            <w:tcBorders>
              <w:left w:val="nil"/>
              <w:bottom w:val="nil"/>
              <w:right w:val="nil"/>
            </w:tcBorders>
          </w:tcPr>
          <w:p>
            <w:pPr/>
          </w:p>
        </w:tc>
        <w:tc>
          <w:tcPr>
            <w:tcW w:w="826" w:type="dxa"/>
            <w:tcBorders>
              <w:left w:val="nil"/>
              <w:bottom w:val="nil"/>
              <w:right w:val="nil"/>
            </w:tcBorders>
          </w:tcPr>
          <w:p>
            <w:pPr/>
          </w:p>
        </w:tc>
        <w:tc>
          <w:tcPr>
            <w:tcW w:w="776" w:type="dxa"/>
            <w:tcBorders>
              <w:left w:val="nil"/>
              <w:bottom w:val="nil"/>
              <w:right w:val="nil"/>
            </w:tcBorders>
          </w:tcPr>
          <w:p>
            <w:pPr/>
          </w:p>
        </w:tc>
      </w:tr>
      <w:tr>
        <w:trPr>
          <w:trHeight w:val="216" w:hRule="exact"/>
        </w:trPr>
        <w:tc>
          <w:tcPr>
            <w:tcW w:w="1405" w:type="dxa"/>
            <w:tcBorders>
              <w:top w:val="nil"/>
              <w:left w:val="nil"/>
              <w:right w:val="nil"/>
            </w:tcBorders>
          </w:tcPr>
          <w:p>
            <w:pPr/>
          </w:p>
        </w:tc>
        <w:tc>
          <w:tcPr>
            <w:tcW w:w="695" w:type="dxa"/>
            <w:tcBorders>
              <w:top w:val="nil"/>
              <w:left w:val="nil"/>
              <w:right w:val="nil"/>
            </w:tcBorders>
          </w:tcPr>
          <w:p>
            <w:pPr>
              <w:pStyle w:val="TableParagraph"/>
              <w:spacing w:line="202" w:lineRule="exact" w:before="0"/>
              <w:ind w:right="186"/>
              <w:jc w:val="center"/>
              <w:rPr>
                <w:sz w:val="20"/>
              </w:rPr>
            </w:pPr>
            <w:r>
              <w:rPr>
                <w:w w:val="100"/>
                <w:sz w:val="20"/>
              </w:rPr>
              <w:t>1</w:t>
            </w:r>
          </w:p>
        </w:tc>
        <w:tc>
          <w:tcPr>
            <w:tcW w:w="826" w:type="dxa"/>
            <w:tcBorders>
              <w:top w:val="nil"/>
              <w:left w:val="nil"/>
              <w:right w:val="nil"/>
            </w:tcBorders>
          </w:tcPr>
          <w:p>
            <w:pPr>
              <w:pStyle w:val="TableParagraph"/>
              <w:spacing w:line="202" w:lineRule="exact" w:before="0"/>
              <w:ind w:left="213"/>
              <w:jc w:val="left"/>
              <w:rPr>
                <w:sz w:val="20"/>
              </w:rPr>
            </w:pPr>
            <w:r>
              <w:rPr>
                <w:w w:val="100"/>
                <w:sz w:val="20"/>
              </w:rPr>
              <w:t>2</w:t>
            </w:r>
          </w:p>
        </w:tc>
        <w:tc>
          <w:tcPr>
            <w:tcW w:w="826" w:type="dxa"/>
            <w:tcBorders>
              <w:top w:val="nil"/>
              <w:left w:val="nil"/>
              <w:right w:val="nil"/>
            </w:tcBorders>
          </w:tcPr>
          <w:p>
            <w:pPr>
              <w:pStyle w:val="TableParagraph"/>
              <w:spacing w:line="202" w:lineRule="exact" w:before="0"/>
              <w:ind w:left="213"/>
              <w:jc w:val="left"/>
              <w:rPr>
                <w:sz w:val="20"/>
              </w:rPr>
            </w:pPr>
            <w:r>
              <w:rPr>
                <w:w w:val="100"/>
                <w:sz w:val="20"/>
              </w:rPr>
              <w:t>3</w:t>
            </w:r>
          </w:p>
        </w:tc>
        <w:tc>
          <w:tcPr>
            <w:tcW w:w="829" w:type="dxa"/>
            <w:tcBorders>
              <w:top w:val="nil"/>
              <w:left w:val="nil"/>
              <w:right w:val="nil"/>
            </w:tcBorders>
          </w:tcPr>
          <w:p>
            <w:pPr>
              <w:pStyle w:val="TableParagraph"/>
              <w:spacing w:line="202" w:lineRule="exact" w:before="0"/>
              <w:ind w:left="213"/>
              <w:jc w:val="left"/>
              <w:rPr>
                <w:sz w:val="20"/>
              </w:rPr>
            </w:pPr>
            <w:r>
              <w:rPr>
                <w:w w:val="100"/>
                <w:sz w:val="20"/>
              </w:rPr>
              <w:t>4</w:t>
            </w:r>
          </w:p>
        </w:tc>
        <w:tc>
          <w:tcPr>
            <w:tcW w:w="828" w:type="dxa"/>
            <w:tcBorders>
              <w:top w:val="nil"/>
              <w:left w:val="nil"/>
              <w:right w:val="nil"/>
            </w:tcBorders>
          </w:tcPr>
          <w:p>
            <w:pPr>
              <w:pStyle w:val="TableParagraph"/>
              <w:spacing w:line="202" w:lineRule="exact" w:before="0"/>
              <w:ind w:left="216"/>
              <w:jc w:val="left"/>
              <w:rPr>
                <w:sz w:val="20"/>
              </w:rPr>
            </w:pPr>
            <w:r>
              <w:rPr>
                <w:w w:val="100"/>
                <w:sz w:val="20"/>
              </w:rPr>
              <w:t>5</w:t>
            </w:r>
          </w:p>
        </w:tc>
        <w:tc>
          <w:tcPr>
            <w:tcW w:w="826" w:type="dxa"/>
            <w:tcBorders>
              <w:top w:val="nil"/>
              <w:left w:val="nil"/>
              <w:right w:val="nil"/>
            </w:tcBorders>
          </w:tcPr>
          <w:p>
            <w:pPr>
              <w:pStyle w:val="TableParagraph"/>
              <w:spacing w:line="202" w:lineRule="exact" w:before="0"/>
              <w:ind w:left="213"/>
              <w:jc w:val="left"/>
              <w:rPr>
                <w:sz w:val="20"/>
              </w:rPr>
            </w:pPr>
            <w:r>
              <w:rPr>
                <w:w w:val="100"/>
                <w:sz w:val="20"/>
              </w:rPr>
              <w:t>6</w:t>
            </w:r>
          </w:p>
        </w:tc>
        <w:tc>
          <w:tcPr>
            <w:tcW w:w="828" w:type="dxa"/>
            <w:tcBorders>
              <w:top w:val="nil"/>
              <w:left w:val="nil"/>
              <w:right w:val="nil"/>
            </w:tcBorders>
          </w:tcPr>
          <w:p>
            <w:pPr>
              <w:pStyle w:val="TableParagraph"/>
              <w:spacing w:line="202" w:lineRule="exact" w:before="0"/>
              <w:ind w:left="213"/>
              <w:jc w:val="left"/>
              <w:rPr>
                <w:sz w:val="20"/>
              </w:rPr>
            </w:pPr>
            <w:r>
              <w:rPr>
                <w:w w:val="100"/>
                <w:sz w:val="20"/>
              </w:rPr>
              <w:t>7</w:t>
            </w:r>
          </w:p>
        </w:tc>
        <w:tc>
          <w:tcPr>
            <w:tcW w:w="828" w:type="dxa"/>
            <w:tcBorders>
              <w:top w:val="nil"/>
              <w:left w:val="nil"/>
              <w:right w:val="nil"/>
            </w:tcBorders>
          </w:tcPr>
          <w:p>
            <w:pPr>
              <w:pStyle w:val="TableParagraph"/>
              <w:spacing w:line="202" w:lineRule="exact" w:before="0"/>
              <w:ind w:left="216"/>
              <w:jc w:val="left"/>
              <w:rPr>
                <w:sz w:val="20"/>
              </w:rPr>
            </w:pPr>
            <w:r>
              <w:rPr>
                <w:w w:val="100"/>
                <w:sz w:val="20"/>
              </w:rPr>
              <w:t>8</w:t>
            </w:r>
          </w:p>
        </w:tc>
        <w:tc>
          <w:tcPr>
            <w:tcW w:w="826" w:type="dxa"/>
            <w:tcBorders>
              <w:top w:val="nil"/>
              <w:left w:val="nil"/>
              <w:right w:val="nil"/>
            </w:tcBorders>
          </w:tcPr>
          <w:p>
            <w:pPr>
              <w:pStyle w:val="TableParagraph"/>
              <w:spacing w:line="202" w:lineRule="exact" w:before="0"/>
              <w:ind w:left="213"/>
              <w:jc w:val="left"/>
              <w:rPr>
                <w:sz w:val="20"/>
              </w:rPr>
            </w:pPr>
            <w:r>
              <w:rPr>
                <w:w w:val="100"/>
                <w:sz w:val="20"/>
              </w:rPr>
              <w:t>9</w:t>
            </w:r>
          </w:p>
        </w:tc>
        <w:tc>
          <w:tcPr>
            <w:tcW w:w="776" w:type="dxa"/>
            <w:tcBorders>
              <w:top w:val="nil"/>
              <w:left w:val="nil"/>
              <w:right w:val="nil"/>
            </w:tcBorders>
          </w:tcPr>
          <w:p>
            <w:pPr>
              <w:pStyle w:val="TableParagraph"/>
              <w:spacing w:line="202" w:lineRule="exact" w:before="0"/>
              <w:ind w:left="213"/>
              <w:jc w:val="left"/>
              <w:rPr>
                <w:sz w:val="20"/>
              </w:rPr>
            </w:pPr>
            <w:r>
              <w:rPr>
                <w:sz w:val="20"/>
              </w:rPr>
              <w:t>10</w:t>
            </w:r>
          </w:p>
        </w:tc>
      </w:tr>
      <w:tr>
        <w:trPr>
          <w:trHeight w:val="339" w:hRule="exact"/>
        </w:trPr>
        <w:tc>
          <w:tcPr>
            <w:tcW w:w="1405" w:type="dxa"/>
            <w:tcBorders>
              <w:left w:val="nil"/>
              <w:bottom w:val="nil"/>
              <w:right w:val="nil"/>
            </w:tcBorders>
          </w:tcPr>
          <w:p>
            <w:pPr>
              <w:pStyle w:val="TableParagraph"/>
              <w:spacing w:before="58"/>
              <w:ind w:left="86"/>
              <w:jc w:val="left"/>
              <w:rPr>
                <w:sz w:val="20"/>
              </w:rPr>
            </w:pPr>
            <w:r>
              <w:rPr>
                <w:sz w:val="20"/>
              </w:rPr>
              <w:t>TEJ_HhFd</w:t>
            </w:r>
          </w:p>
        </w:tc>
        <w:tc>
          <w:tcPr>
            <w:tcW w:w="695" w:type="dxa"/>
            <w:tcBorders>
              <w:left w:val="nil"/>
              <w:bottom w:val="nil"/>
              <w:right w:val="nil"/>
            </w:tcBorders>
          </w:tcPr>
          <w:p>
            <w:pPr>
              <w:pStyle w:val="TableParagraph"/>
              <w:spacing w:before="58"/>
              <w:ind w:left="110" w:right="195"/>
              <w:jc w:val="center"/>
              <w:rPr>
                <w:sz w:val="20"/>
              </w:rPr>
            </w:pPr>
            <w:r>
              <w:rPr>
                <w:sz w:val="20"/>
              </w:rPr>
              <w:t>0.14</w:t>
            </w:r>
          </w:p>
        </w:tc>
        <w:tc>
          <w:tcPr>
            <w:tcW w:w="826" w:type="dxa"/>
            <w:tcBorders>
              <w:left w:val="nil"/>
              <w:bottom w:val="nil"/>
              <w:right w:val="nil"/>
            </w:tcBorders>
          </w:tcPr>
          <w:p>
            <w:pPr>
              <w:pStyle w:val="TableParagraph"/>
              <w:spacing w:before="58"/>
              <w:ind w:left="257"/>
              <w:jc w:val="left"/>
              <w:rPr>
                <w:sz w:val="20"/>
              </w:rPr>
            </w:pPr>
            <w:r>
              <w:rPr>
                <w:sz w:val="20"/>
              </w:rPr>
              <w:t>0.14</w:t>
            </w:r>
          </w:p>
        </w:tc>
        <w:tc>
          <w:tcPr>
            <w:tcW w:w="826" w:type="dxa"/>
            <w:tcBorders>
              <w:left w:val="nil"/>
              <w:bottom w:val="nil"/>
              <w:right w:val="nil"/>
            </w:tcBorders>
          </w:tcPr>
          <w:p>
            <w:pPr>
              <w:pStyle w:val="TableParagraph"/>
              <w:spacing w:before="58"/>
              <w:ind w:left="256"/>
              <w:jc w:val="left"/>
              <w:rPr>
                <w:sz w:val="20"/>
              </w:rPr>
            </w:pPr>
            <w:r>
              <w:rPr>
                <w:sz w:val="20"/>
              </w:rPr>
              <w:t>0.14</w:t>
            </w:r>
          </w:p>
        </w:tc>
        <w:tc>
          <w:tcPr>
            <w:tcW w:w="829" w:type="dxa"/>
            <w:tcBorders>
              <w:left w:val="nil"/>
              <w:bottom w:val="nil"/>
              <w:right w:val="nil"/>
            </w:tcBorders>
          </w:tcPr>
          <w:p>
            <w:pPr>
              <w:pStyle w:val="TableParagraph"/>
              <w:spacing w:before="58"/>
              <w:ind w:left="257"/>
              <w:jc w:val="left"/>
              <w:rPr>
                <w:sz w:val="20"/>
              </w:rPr>
            </w:pPr>
            <w:r>
              <w:rPr>
                <w:sz w:val="20"/>
              </w:rPr>
              <w:t>0.14</w:t>
            </w:r>
          </w:p>
        </w:tc>
        <w:tc>
          <w:tcPr>
            <w:tcW w:w="828" w:type="dxa"/>
            <w:tcBorders>
              <w:left w:val="nil"/>
              <w:bottom w:val="nil"/>
              <w:right w:val="nil"/>
            </w:tcBorders>
          </w:tcPr>
          <w:p>
            <w:pPr>
              <w:pStyle w:val="TableParagraph"/>
              <w:spacing w:before="58"/>
              <w:ind w:right="211"/>
              <w:rPr>
                <w:sz w:val="20"/>
              </w:rPr>
            </w:pPr>
            <w:r>
              <w:rPr>
                <w:sz w:val="20"/>
              </w:rPr>
              <w:t>0.14</w:t>
            </w:r>
          </w:p>
        </w:tc>
        <w:tc>
          <w:tcPr>
            <w:tcW w:w="826" w:type="dxa"/>
            <w:tcBorders>
              <w:left w:val="nil"/>
              <w:bottom w:val="nil"/>
              <w:right w:val="nil"/>
            </w:tcBorders>
          </w:tcPr>
          <w:p>
            <w:pPr>
              <w:pStyle w:val="TableParagraph"/>
              <w:spacing w:before="58"/>
              <w:ind w:left="256"/>
              <w:jc w:val="left"/>
              <w:rPr>
                <w:sz w:val="20"/>
              </w:rPr>
            </w:pPr>
            <w:r>
              <w:rPr>
                <w:sz w:val="20"/>
              </w:rPr>
              <w:t>0.14</w:t>
            </w:r>
          </w:p>
        </w:tc>
        <w:tc>
          <w:tcPr>
            <w:tcW w:w="828" w:type="dxa"/>
            <w:tcBorders>
              <w:left w:val="nil"/>
              <w:bottom w:val="nil"/>
              <w:right w:val="nil"/>
            </w:tcBorders>
          </w:tcPr>
          <w:p>
            <w:pPr>
              <w:pStyle w:val="TableParagraph"/>
              <w:spacing w:before="58"/>
              <w:ind w:left="257"/>
              <w:jc w:val="left"/>
              <w:rPr>
                <w:sz w:val="20"/>
              </w:rPr>
            </w:pPr>
            <w:r>
              <w:rPr>
                <w:sz w:val="20"/>
              </w:rPr>
              <w:t>0.14</w:t>
            </w:r>
          </w:p>
        </w:tc>
        <w:tc>
          <w:tcPr>
            <w:tcW w:w="828" w:type="dxa"/>
            <w:tcBorders>
              <w:left w:val="nil"/>
              <w:bottom w:val="nil"/>
              <w:right w:val="nil"/>
            </w:tcBorders>
          </w:tcPr>
          <w:p>
            <w:pPr>
              <w:pStyle w:val="TableParagraph"/>
              <w:spacing w:before="58"/>
              <w:ind w:left="259"/>
              <w:jc w:val="left"/>
              <w:rPr>
                <w:sz w:val="20"/>
              </w:rPr>
            </w:pPr>
            <w:r>
              <w:rPr>
                <w:sz w:val="20"/>
              </w:rPr>
              <w:t>0.00</w:t>
            </w:r>
          </w:p>
        </w:tc>
        <w:tc>
          <w:tcPr>
            <w:tcW w:w="826" w:type="dxa"/>
            <w:tcBorders>
              <w:left w:val="nil"/>
              <w:bottom w:val="nil"/>
              <w:right w:val="nil"/>
            </w:tcBorders>
          </w:tcPr>
          <w:p>
            <w:pPr>
              <w:pStyle w:val="TableParagraph"/>
              <w:spacing w:before="58"/>
              <w:ind w:left="257"/>
              <w:jc w:val="left"/>
              <w:rPr>
                <w:sz w:val="20"/>
              </w:rPr>
            </w:pPr>
            <w:r>
              <w:rPr>
                <w:sz w:val="20"/>
              </w:rPr>
              <w:t>0.00</w:t>
            </w:r>
          </w:p>
        </w:tc>
        <w:tc>
          <w:tcPr>
            <w:tcW w:w="776" w:type="dxa"/>
            <w:tcBorders>
              <w:left w:val="nil"/>
              <w:bottom w:val="nil"/>
              <w:right w:val="nil"/>
            </w:tcBorders>
          </w:tcPr>
          <w:p>
            <w:pPr>
              <w:pStyle w:val="TableParagraph"/>
              <w:spacing w:before="58"/>
              <w:ind w:right="60"/>
              <w:rPr>
                <w:sz w:val="20"/>
              </w:rPr>
            </w:pPr>
            <w:r>
              <w:rPr>
                <w:sz w:val="20"/>
              </w:rPr>
              <w:t>0.00</w:t>
            </w:r>
          </w:p>
        </w:tc>
      </w:tr>
      <w:tr>
        <w:trPr>
          <w:trHeight w:val="302" w:hRule="exact"/>
        </w:trPr>
        <w:tc>
          <w:tcPr>
            <w:tcW w:w="1405" w:type="dxa"/>
            <w:tcBorders>
              <w:top w:val="nil"/>
              <w:left w:val="nil"/>
              <w:bottom w:val="nil"/>
              <w:right w:val="nil"/>
            </w:tcBorders>
          </w:tcPr>
          <w:p>
            <w:pPr>
              <w:pStyle w:val="TableParagraph"/>
              <w:spacing w:before="26"/>
              <w:ind w:left="86"/>
              <w:jc w:val="left"/>
              <w:rPr>
                <w:sz w:val="20"/>
              </w:rPr>
            </w:pPr>
            <w:r>
              <w:rPr>
                <w:sz w:val="20"/>
              </w:rPr>
              <w:t>TEJ_HhFdp</w:t>
            </w:r>
          </w:p>
        </w:tc>
        <w:tc>
          <w:tcPr>
            <w:tcW w:w="695" w:type="dxa"/>
            <w:tcBorders>
              <w:top w:val="nil"/>
              <w:left w:val="nil"/>
              <w:bottom w:val="nil"/>
              <w:right w:val="nil"/>
            </w:tcBorders>
          </w:tcPr>
          <w:p>
            <w:pPr>
              <w:pStyle w:val="TableParagraph"/>
              <w:spacing w:before="26"/>
              <w:ind w:left="110" w:right="195"/>
              <w:jc w:val="center"/>
              <w:rPr>
                <w:sz w:val="20"/>
              </w:rPr>
            </w:pPr>
            <w:r>
              <w:rPr>
                <w:sz w:val="20"/>
              </w:rPr>
              <w:t>0.14</w:t>
            </w:r>
          </w:p>
        </w:tc>
        <w:tc>
          <w:tcPr>
            <w:tcW w:w="826" w:type="dxa"/>
            <w:tcBorders>
              <w:top w:val="nil"/>
              <w:left w:val="nil"/>
              <w:bottom w:val="nil"/>
              <w:right w:val="nil"/>
            </w:tcBorders>
          </w:tcPr>
          <w:p>
            <w:pPr>
              <w:pStyle w:val="TableParagraph"/>
              <w:spacing w:before="26"/>
              <w:ind w:left="257"/>
              <w:jc w:val="left"/>
              <w:rPr>
                <w:sz w:val="20"/>
              </w:rPr>
            </w:pPr>
            <w:r>
              <w:rPr>
                <w:sz w:val="20"/>
              </w:rPr>
              <w:t>0.14</w:t>
            </w:r>
          </w:p>
        </w:tc>
        <w:tc>
          <w:tcPr>
            <w:tcW w:w="826" w:type="dxa"/>
            <w:tcBorders>
              <w:top w:val="nil"/>
              <w:left w:val="nil"/>
              <w:bottom w:val="nil"/>
              <w:right w:val="nil"/>
            </w:tcBorders>
          </w:tcPr>
          <w:p>
            <w:pPr>
              <w:pStyle w:val="TableParagraph"/>
              <w:spacing w:before="26"/>
              <w:ind w:left="256"/>
              <w:jc w:val="left"/>
              <w:rPr>
                <w:sz w:val="20"/>
              </w:rPr>
            </w:pPr>
            <w:r>
              <w:rPr>
                <w:sz w:val="20"/>
              </w:rPr>
              <w:t>0.14</w:t>
            </w:r>
          </w:p>
        </w:tc>
        <w:tc>
          <w:tcPr>
            <w:tcW w:w="829" w:type="dxa"/>
            <w:tcBorders>
              <w:top w:val="nil"/>
              <w:left w:val="nil"/>
              <w:bottom w:val="nil"/>
              <w:right w:val="nil"/>
            </w:tcBorders>
          </w:tcPr>
          <w:p>
            <w:pPr>
              <w:pStyle w:val="TableParagraph"/>
              <w:spacing w:before="26"/>
              <w:ind w:left="257"/>
              <w:jc w:val="left"/>
              <w:rPr>
                <w:sz w:val="20"/>
              </w:rPr>
            </w:pPr>
            <w:r>
              <w:rPr>
                <w:sz w:val="20"/>
              </w:rPr>
              <w:t>0.14</w:t>
            </w:r>
          </w:p>
        </w:tc>
        <w:tc>
          <w:tcPr>
            <w:tcW w:w="828" w:type="dxa"/>
            <w:tcBorders>
              <w:top w:val="nil"/>
              <w:left w:val="nil"/>
              <w:bottom w:val="nil"/>
              <w:right w:val="nil"/>
            </w:tcBorders>
          </w:tcPr>
          <w:p>
            <w:pPr>
              <w:pStyle w:val="TableParagraph"/>
              <w:spacing w:before="26"/>
              <w:ind w:right="211"/>
              <w:rPr>
                <w:sz w:val="20"/>
              </w:rPr>
            </w:pPr>
            <w:r>
              <w:rPr>
                <w:sz w:val="20"/>
              </w:rPr>
              <w:t>0.14</w:t>
            </w:r>
          </w:p>
        </w:tc>
        <w:tc>
          <w:tcPr>
            <w:tcW w:w="826" w:type="dxa"/>
            <w:tcBorders>
              <w:top w:val="nil"/>
              <w:left w:val="nil"/>
              <w:bottom w:val="nil"/>
              <w:right w:val="nil"/>
            </w:tcBorders>
          </w:tcPr>
          <w:p>
            <w:pPr>
              <w:pStyle w:val="TableParagraph"/>
              <w:spacing w:before="26"/>
              <w:ind w:left="256"/>
              <w:jc w:val="left"/>
              <w:rPr>
                <w:sz w:val="20"/>
              </w:rPr>
            </w:pPr>
            <w:r>
              <w:rPr>
                <w:sz w:val="20"/>
              </w:rPr>
              <w:t>0.14</w:t>
            </w:r>
          </w:p>
        </w:tc>
        <w:tc>
          <w:tcPr>
            <w:tcW w:w="828" w:type="dxa"/>
            <w:tcBorders>
              <w:top w:val="nil"/>
              <w:left w:val="nil"/>
              <w:bottom w:val="nil"/>
              <w:right w:val="nil"/>
            </w:tcBorders>
          </w:tcPr>
          <w:p>
            <w:pPr>
              <w:pStyle w:val="TableParagraph"/>
              <w:spacing w:before="26"/>
              <w:ind w:left="257"/>
              <w:jc w:val="left"/>
              <w:rPr>
                <w:sz w:val="20"/>
              </w:rPr>
            </w:pPr>
            <w:r>
              <w:rPr>
                <w:sz w:val="20"/>
              </w:rPr>
              <w:t>0.14</w:t>
            </w:r>
          </w:p>
        </w:tc>
        <w:tc>
          <w:tcPr>
            <w:tcW w:w="828" w:type="dxa"/>
            <w:tcBorders>
              <w:top w:val="nil"/>
              <w:left w:val="nil"/>
              <w:bottom w:val="nil"/>
              <w:right w:val="nil"/>
            </w:tcBorders>
          </w:tcPr>
          <w:p>
            <w:pPr>
              <w:pStyle w:val="TableParagraph"/>
              <w:spacing w:before="26"/>
              <w:ind w:left="259"/>
              <w:jc w:val="left"/>
              <w:rPr>
                <w:sz w:val="20"/>
              </w:rPr>
            </w:pPr>
            <w:r>
              <w:rPr>
                <w:sz w:val="20"/>
              </w:rPr>
              <w:t>0.00</w:t>
            </w:r>
          </w:p>
        </w:tc>
        <w:tc>
          <w:tcPr>
            <w:tcW w:w="826" w:type="dxa"/>
            <w:tcBorders>
              <w:top w:val="nil"/>
              <w:left w:val="nil"/>
              <w:bottom w:val="nil"/>
              <w:right w:val="nil"/>
            </w:tcBorders>
          </w:tcPr>
          <w:p>
            <w:pPr>
              <w:pStyle w:val="TableParagraph"/>
              <w:spacing w:before="26"/>
              <w:ind w:left="257"/>
              <w:jc w:val="left"/>
              <w:rPr>
                <w:sz w:val="20"/>
              </w:rPr>
            </w:pPr>
            <w:r>
              <w:rPr>
                <w:sz w:val="20"/>
              </w:rPr>
              <w:t>0.00</w:t>
            </w:r>
          </w:p>
        </w:tc>
        <w:tc>
          <w:tcPr>
            <w:tcW w:w="776" w:type="dxa"/>
            <w:tcBorders>
              <w:top w:val="nil"/>
              <w:left w:val="nil"/>
              <w:bottom w:val="nil"/>
              <w:right w:val="nil"/>
            </w:tcBorders>
          </w:tcPr>
          <w:p>
            <w:pPr>
              <w:pStyle w:val="TableParagraph"/>
              <w:spacing w:before="26"/>
              <w:ind w:right="60"/>
              <w:rPr>
                <w:sz w:val="20"/>
              </w:rPr>
            </w:pPr>
            <w:r>
              <w:rPr>
                <w:sz w:val="20"/>
              </w:rPr>
              <w:t>0.00</w:t>
            </w:r>
          </w:p>
        </w:tc>
      </w:tr>
      <w:tr>
        <w:trPr>
          <w:trHeight w:val="302" w:hRule="exact"/>
        </w:trPr>
        <w:tc>
          <w:tcPr>
            <w:tcW w:w="1405" w:type="dxa"/>
            <w:tcBorders>
              <w:top w:val="nil"/>
              <w:left w:val="nil"/>
              <w:bottom w:val="nil"/>
              <w:right w:val="nil"/>
            </w:tcBorders>
          </w:tcPr>
          <w:p>
            <w:pPr>
              <w:pStyle w:val="TableParagraph"/>
              <w:spacing w:before="26"/>
              <w:ind w:left="86"/>
              <w:jc w:val="left"/>
              <w:rPr>
                <w:sz w:val="20"/>
              </w:rPr>
            </w:pPr>
            <w:r>
              <w:rPr>
                <w:sz w:val="20"/>
              </w:rPr>
              <w:t>TEJ_HhFl</w:t>
            </w:r>
          </w:p>
        </w:tc>
        <w:tc>
          <w:tcPr>
            <w:tcW w:w="695" w:type="dxa"/>
            <w:tcBorders>
              <w:top w:val="nil"/>
              <w:left w:val="nil"/>
              <w:bottom w:val="nil"/>
              <w:right w:val="nil"/>
            </w:tcBorders>
          </w:tcPr>
          <w:p>
            <w:pPr>
              <w:pStyle w:val="TableParagraph"/>
              <w:spacing w:before="26"/>
              <w:ind w:left="110" w:right="195"/>
              <w:jc w:val="center"/>
              <w:rPr>
                <w:sz w:val="20"/>
              </w:rPr>
            </w:pPr>
            <w:r>
              <w:rPr>
                <w:sz w:val="20"/>
              </w:rPr>
              <w:t>0.14</w:t>
            </w:r>
          </w:p>
        </w:tc>
        <w:tc>
          <w:tcPr>
            <w:tcW w:w="826" w:type="dxa"/>
            <w:tcBorders>
              <w:top w:val="nil"/>
              <w:left w:val="nil"/>
              <w:bottom w:val="nil"/>
              <w:right w:val="nil"/>
            </w:tcBorders>
          </w:tcPr>
          <w:p>
            <w:pPr>
              <w:pStyle w:val="TableParagraph"/>
              <w:spacing w:before="26"/>
              <w:ind w:left="257"/>
              <w:jc w:val="left"/>
              <w:rPr>
                <w:sz w:val="20"/>
              </w:rPr>
            </w:pPr>
            <w:r>
              <w:rPr>
                <w:sz w:val="20"/>
              </w:rPr>
              <w:t>0.14</w:t>
            </w:r>
          </w:p>
        </w:tc>
        <w:tc>
          <w:tcPr>
            <w:tcW w:w="826" w:type="dxa"/>
            <w:tcBorders>
              <w:top w:val="nil"/>
              <w:left w:val="nil"/>
              <w:bottom w:val="nil"/>
              <w:right w:val="nil"/>
            </w:tcBorders>
          </w:tcPr>
          <w:p>
            <w:pPr>
              <w:pStyle w:val="TableParagraph"/>
              <w:spacing w:before="26"/>
              <w:ind w:left="256"/>
              <w:jc w:val="left"/>
              <w:rPr>
                <w:sz w:val="20"/>
              </w:rPr>
            </w:pPr>
            <w:r>
              <w:rPr>
                <w:sz w:val="20"/>
              </w:rPr>
              <w:t>0.14</w:t>
            </w:r>
          </w:p>
        </w:tc>
        <w:tc>
          <w:tcPr>
            <w:tcW w:w="829" w:type="dxa"/>
            <w:tcBorders>
              <w:top w:val="nil"/>
              <w:left w:val="nil"/>
              <w:bottom w:val="nil"/>
              <w:right w:val="nil"/>
            </w:tcBorders>
          </w:tcPr>
          <w:p>
            <w:pPr>
              <w:pStyle w:val="TableParagraph"/>
              <w:spacing w:before="26"/>
              <w:ind w:left="257"/>
              <w:jc w:val="left"/>
              <w:rPr>
                <w:sz w:val="20"/>
              </w:rPr>
            </w:pPr>
            <w:r>
              <w:rPr>
                <w:sz w:val="20"/>
              </w:rPr>
              <w:t>0.14</w:t>
            </w:r>
          </w:p>
        </w:tc>
        <w:tc>
          <w:tcPr>
            <w:tcW w:w="828" w:type="dxa"/>
            <w:tcBorders>
              <w:top w:val="nil"/>
              <w:left w:val="nil"/>
              <w:bottom w:val="nil"/>
              <w:right w:val="nil"/>
            </w:tcBorders>
          </w:tcPr>
          <w:p>
            <w:pPr>
              <w:pStyle w:val="TableParagraph"/>
              <w:spacing w:before="26"/>
              <w:ind w:right="211"/>
              <w:rPr>
                <w:sz w:val="20"/>
              </w:rPr>
            </w:pPr>
            <w:r>
              <w:rPr>
                <w:sz w:val="20"/>
              </w:rPr>
              <w:t>0.14</w:t>
            </w:r>
          </w:p>
        </w:tc>
        <w:tc>
          <w:tcPr>
            <w:tcW w:w="826" w:type="dxa"/>
            <w:tcBorders>
              <w:top w:val="nil"/>
              <w:left w:val="nil"/>
              <w:bottom w:val="nil"/>
              <w:right w:val="nil"/>
            </w:tcBorders>
          </w:tcPr>
          <w:p>
            <w:pPr>
              <w:pStyle w:val="TableParagraph"/>
              <w:spacing w:before="26"/>
              <w:ind w:left="256"/>
              <w:jc w:val="left"/>
              <w:rPr>
                <w:sz w:val="20"/>
              </w:rPr>
            </w:pPr>
            <w:r>
              <w:rPr>
                <w:sz w:val="20"/>
              </w:rPr>
              <w:t>0.14</w:t>
            </w:r>
          </w:p>
        </w:tc>
        <w:tc>
          <w:tcPr>
            <w:tcW w:w="828" w:type="dxa"/>
            <w:tcBorders>
              <w:top w:val="nil"/>
              <w:left w:val="nil"/>
              <w:bottom w:val="nil"/>
              <w:right w:val="nil"/>
            </w:tcBorders>
          </w:tcPr>
          <w:p>
            <w:pPr>
              <w:pStyle w:val="TableParagraph"/>
              <w:spacing w:before="26"/>
              <w:ind w:left="257"/>
              <w:jc w:val="left"/>
              <w:rPr>
                <w:sz w:val="20"/>
              </w:rPr>
            </w:pPr>
            <w:r>
              <w:rPr>
                <w:sz w:val="20"/>
              </w:rPr>
              <w:t>0.14</w:t>
            </w:r>
          </w:p>
        </w:tc>
        <w:tc>
          <w:tcPr>
            <w:tcW w:w="828" w:type="dxa"/>
            <w:tcBorders>
              <w:top w:val="nil"/>
              <w:left w:val="nil"/>
              <w:bottom w:val="nil"/>
              <w:right w:val="nil"/>
            </w:tcBorders>
          </w:tcPr>
          <w:p>
            <w:pPr>
              <w:pStyle w:val="TableParagraph"/>
              <w:spacing w:before="26"/>
              <w:ind w:left="259"/>
              <w:jc w:val="left"/>
              <w:rPr>
                <w:sz w:val="20"/>
              </w:rPr>
            </w:pPr>
            <w:r>
              <w:rPr>
                <w:sz w:val="20"/>
              </w:rPr>
              <w:t>0.00</w:t>
            </w:r>
          </w:p>
        </w:tc>
        <w:tc>
          <w:tcPr>
            <w:tcW w:w="826" w:type="dxa"/>
            <w:tcBorders>
              <w:top w:val="nil"/>
              <w:left w:val="nil"/>
              <w:bottom w:val="nil"/>
              <w:right w:val="nil"/>
            </w:tcBorders>
          </w:tcPr>
          <w:p>
            <w:pPr>
              <w:pStyle w:val="TableParagraph"/>
              <w:spacing w:before="26"/>
              <w:ind w:left="257"/>
              <w:jc w:val="left"/>
              <w:rPr>
                <w:sz w:val="20"/>
              </w:rPr>
            </w:pPr>
            <w:r>
              <w:rPr>
                <w:sz w:val="20"/>
              </w:rPr>
              <w:t>0.00</w:t>
            </w:r>
          </w:p>
        </w:tc>
        <w:tc>
          <w:tcPr>
            <w:tcW w:w="776" w:type="dxa"/>
            <w:tcBorders>
              <w:top w:val="nil"/>
              <w:left w:val="nil"/>
              <w:bottom w:val="nil"/>
              <w:right w:val="nil"/>
            </w:tcBorders>
          </w:tcPr>
          <w:p>
            <w:pPr>
              <w:pStyle w:val="TableParagraph"/>
              <w:spacing w:before="26"/>
              <w:ind w:right="60"/>
              <w:rPr>
                <w:sz w:val="20"/>
              </w:rPr>
            </w:pPr>
            <w:r>
              <w:rPr>
                <w:sz w:val="20"/>
              </w:rPr>
              <w:t>0.00</w:t>
            </w:r>
          </w:p>
        </w:tc>
      </w:tr>
      <w:tr>
        <w:trPr>
          <w:trHeight w:val="300" w:hRule="exact"/>
        </w:trPr>
        <w:tc>
          <w:tcPr>
            <w:tcW w:w="1405" w:type="dxa"/>
            <w:tcBorders>
              <w:top w:val="nil"/>
              <w:left w:val="nil"/>
              <w:bottom w:val="nil"/>
              <w:right w:val="nil"/>
            </w:tcBorders>
          </w:tcPr>
          <w:p>
            <w:pPr>
              <w:pStyle w:val="TableParagraph"/>
              <w:spacing w:before="26"/>
              <w:ind w:left="86"/>
              <w:jc w:val="left"/>
              <w:rPr>
                <w:sz w:val="20"/>
              </w:rPr>
            </w:pPr>
            <w:r>
              <w:rPr>
                <w:sz w:val="20"/>
              </w:rPr>
              <w:t>TEJ_HhFlp</w:t>
            </w:r>
          </w:p>
        </w:tc>
        <w:tc>
          <w:tcPr>
            <w:tcW w:w="695" w:type="dxa"/>
            <w:tcBorders>
              <w:top w:val="nil"/>
              <w:left w:val="nil"/>
              <w:bottom w:val="nil"/>
              <w:right w:val="nil"/>
            </w:tcBorders>
          </w:tcPr>
          <w:p>
            <w:pPr>
              <w:pStyle w:val="TableParagraph"/>
              <w:spacing w:before="26"/>
              <w:ind w:left="110" w:right="195"/>
              <w:jc w:val="center"/>
              <w:rPr>
                <w:sz w:val="20"/>
              </w:rPr>
            </w:pPr>
            <w:r>
              <w:rPr>
                <w:sz w:val="20"/>
              </w:rPr>
              <w:t>0.14</w:t>
            </w:r>
          </w:p>
        </w:tc>
        <w:tc>
          <w:tcPr>
            <w:tcW w:w="826" w:type="dxa"/>
            <w:tcBorders>
              <w:top w:val="nil"/>
              <w:left w:val="nil"/>
              <w:bottom w:val="nil"/>
              <w:right w:val="nil"/>
            </w:tcBorders>
          </w:tcPr>
          <w:p>
            <w:pPr>
              <w:pStyle w:val="TableParagraph"/>
              <w:spacing w:before="26"/>
              <w:ind w:left="257"/>
              <w:jc w:val="left"/>
              <w:rPr>
                <w:sz w:val="20"/>
              </w:rPr>
            </w:pPr>
            <w:r>
              <w:rPr>
                <w:sz w:val="20"/>
              </w:rPr>
              <w:t>0.14</w:t>
            </w:r>
          </w:p>
        </w:tc>
        <w:tc>
          <w:tcPr>
            <w:tcW w:w="826" w:type="dxa"/>
            <w:tcBorders>
              <w:top w:val="nil"/>
              <w:left w:val="nil"/>
              <w:bottom w:val="nil"/>
              <w:right w:val="nil"/>
            </w:tcBorders>
          </w:tcPr>
          <w:p>
            <w:pPr>
              <w:pStyle w:val="TableParagraph"/>
              <w:spacing w:before="26"/>
              <w:ind w:left="256"/>
              <w:jc w:val="left"/>
              <w:rPr>
                <w:sz w:val="20"/>
              </w:rPr>
            </w:pPr>
            <w:r>
              <w:rPr>
                <w:sz w:val="20"/>
              </w:rPr>
              <w:t>0.14</w:t>
            </w:r>
          </w:p>
        </w:tc>
        <w:tc>
          <w:tcPr>
            <w:tcW w:w="829" w:type="dxa"/>
            <w:tcBorders>
              <w:top w:val="nil"/>
              <w:left w:val="nil"/>
              <w:bottom w:val="nil"/>
              <w:right w:val="nil"/>
            </w:tcBorders>
          </w:tcPr>
          <w:p>
            <w:pPr>
              <w:pStyle w:val="TableParagraph"/>
              <w:spacing w:before="26"/>
              <w:ind w:left="257"/>
              <w:jc w:val="left"/>
              <w:rPr>
                <w:sz w:val="20"/>
              </w:rPr>
            </w:pPr>
            <w:r>
              <w:rPr>
                <w:sz w:val="20"/>
              </w:rPr>
              <w:t>0.14</w:t>
            </w:r>
          </w:p>
        </w:tc>
        <w:tc>
          <w:tcPr>
            <w:tcW w:w="828" w:type="dxa"/>
            <w:tcBorders>
              <w:top w:val="nil"/>
              <w:left w:val="nil"/>
              <w:bottom w:val="nil"/>
              <w:right w:val="nil"/>
            </w:tcBorders>
          </w:tcPr>
          <w:p>
            <w:pPr>
              <w:pStyle w:val="TableParagraph"/>
              <w:spacing w:before="26"/>
              <w:ind w:right="211"/>
              <w:rPr>
                <w:sz w:val="20"/>
              </w:rPr>
            </w:pPr>
            <w:r>
              <w:rPr>
                <w:sz w:val="20"/>
              </w:rPr>
              <w:t>0.14</w:t>
            </w:r>
          </w:p>
        </w:tc>
        <w:tc>
          <w:tcPr>
            <w:tcW w:w="826" w:type="dxa"/>
            <w:tcBorders>
              <w:top w:val="nil"/>
              <w:left w:val="nil"/>
              <w:bottom w:val="nil"/>
              <w:right w:val="nil"/>
            </w:tcBorders>
          </w:tcPr>
          <w:p>
            <w:pPr>
              <w:pStyle w:val="TableParagraph"/>
              <w:spacing w:before="26"/>
              <w:ind w:left="256"/>
              <w:jc w:val="left"/>
              <w:rPr>
                <w:sz w:val="20"/>
              </w:rPr>
            </w:pPr>
            <w:r>
              <w:rPr>
                <w:sz w:val="20"/>
              </w:rPr>
              <w:t>0.14</w:t>
            </w:r>
          </w:p>
        </w:tc>
        <w:tc>
          <w:tcPr>
            <w:tcW w:w="828" w:type="dxa"/>
            <w:tcBorders>
              <w:top w:val="nil"/>
              <w:left w:val="nil"/>
              <w:bottom w:val="nil"/>
              <w:right w:val="nil"/>
            </w:tcBorders>
          </w:tcPr>
          <w:p>
            <w:pPr>
              <w:pStyle w:val="TableParagraph"/>
              <w:spacing w:before="26"/>
              <w:ind w:left="257"/>
              <w:jc w:val="left"/>
              <w:rPr>
                <w:sz w:val="20"/>
              </w:rPr>
            </w:pPr>
            <w:r>
              <w:rPr>
                <w:sz w:val="20"/>
              </w:rPr>
              <w:t>0.14</w:t>
            </w:r>
          </w:p>
        </w:tc>
        <w:tc>
          <w:tcPr>
            <w:tcW w:w="828" w:type="dxa"/>
            <w:tcBorders>
              <w:top w:val="nil"/>
              <w:left w:val="nil"/>
              <w:bottom w:val="nil"/>
              <w:right w:val="nil"/>
            </w:tcBorders>
          </w:tcPr>
          <w:p>
            <w:pPr>
              <w:pStyle w:val="TableParagraph"/>
              <w:spacing w:before="26"/>
              <w:ind w:left="259"/>
              <w:jc w:val="left"/>
              <w:rPr>
                <w:sz w:val="20"/>
              </w:rPr>
            </w:pPr>
            <w:r>
              <w:rPr>
                <w:sz w:val="20"/>
              </w:rPr>
              <w:t>0.00</w:t>
            </w:r>
          </w:p>
        </w:tc>
        <w:tc>
          <w:tcPr>
            <w:tcW w:w="826" w:type="dxa"/>
            <w:tcBorders>
              <w:top w:val="nil"/>
              <w:left w:val="nil"/>
              <w:bottom w:val="nil"/>
              <w:right w:val="nil"/>
            </w:tcBorders>
          </w:tcPr>
          <w:p>
            <w:pPr>
              <w:pStyle w:val="TableParagraph"/>
              <w:spacing w:before="26"/>
              <w:ind w:left="257"/>
              <w:jc w:val="left"/>
              <w:rPr>
                <w:sz w:val="20"/>
              </w:rPr>
            </w:pPr>
            <w:r>
              <w:rPr>
                <w:sz w:val="20"/>
              </w:rPr>
              <w:t>0.00</w:t>
            </w:r>
          </w:p>
        </w:tc>
        <w:tc>
          <w:tcPr>
            <w:tcW w:w="776" w:type="dxa"/>
            <w:tcBorders>
              <w:top w:val="nil"/>
              <w:left w:val="nil"/>
              <w:bottom w:val="nil"/>
              <w:right w:val="nil"/>
            </w:tcBorders>
          </w:tcPr>
          <w:p>
            <w:pPr>
              <w:pStyle w:val="TableParagraph"/>
              <w:spacing w:before="26"/>
              <w:ind w:right="60"/>
              <w:rPr>
                <w:sz w:val="20"/>
              </w:rPr>
            </w:pPr>
            <w:r>
              <w:rPr>
                <w:sz w:val="20"/>
              </w:rPr>
              <w:t>0.00</w:t>
            </w:r>
          </w:p>
        </w:tc>
      </w:tr>
      <w:tr>
        <w:trPr>
          <w:trHeight w:val="300" w:hRule="exact"/>
        </w:trPr>
        <w:tc>
          <w:tcPr>
            <w:tcW w:w="1405" w:type="dxa"/>
            <w:tcBorders>
              <w:top w:val="nil"/>
              <w:left w:val="nil"/>
              <w:bottom w:val="nil"/>
              <w:right w:val="nil"/>
            </w:tcBorders>
          </w:tcPr>
          <w:p>
            <w:pPr>
              <w:pStyle w:val="TableParagraph"/>
              <w:ind w:left="86"/>
              <w:jc w:val="left"/>
              <w:rPr>
                <w:sz w:val="20"/>
              </w:rPr>
            </w:pPr>
            <w:r>
              <w:rPr>
                <w:sz w:val="20"/>
              </w:rPr>
              <w:t>TEJ_HhFp</w:t>
            </w:r>
          </w:p>
        </w:tc>
        <w:tc>
          <w:tcPr>
            <w:tcW w:w="695" w:type="dxa"/>
            <w:tcBorders>
              <w:top w:val="nil"/>
              <w:left w:val="nil"/>
              <w:bottom w:val="nil"/>
              <w:right w:val="nil"/>
            </w:tcBorders>
          </w:tcPr>
          <w:p>
            <w:pPr>
              <w:pStyle w:val="TableParagraph"/>
              <w:ind w:left="110" w:right="195"/>
              <w:jc w:val="center"/>
              <w:rPr>
                <w:sz w:val="20"/>
              </w:rPr>
            </w:pPr>
            <w:r>
              <w:rPr>
                <w:sz w:val="20"/>
              </w:rPr>
              <w:t>0.14</w:t>
            </w:r>
          </w:p>
        </w:tc>
        <w:tc>
          <w:tcPr>
            <w:tcW w:w="826" w:type="dxa"/>
            <w:tcBorders>
              <w:top w:val="nil"/>
              <w:left w:val="nil"/>
              <w:bottom w:val="nil"/>
              <w:right w:val="nil"/>
            </w:tcBorders>
          </w:tcPr>
          <w:p>
            <w:pPr>
              <w:pStyle w:val="TableParagraph"/>
              <w:ind w:left="257"/>
              <w:jc w:val="left"/>
              <w:rPr>
                <w:sz w:val="20"/>
              </w:rPr>
            </w:pPr>
            <w:r>
              <w:rPr>
                <w:sz w:val="20"/>
              </w:rPr>
              <w:t>0.14</w:t>
            </w:r>
          </w:p>
        </w:tc>
        <w:tc>
          <w:tcPr>
            <w:tcW w:w="826" w:type="dxa"/>
            <w:tcBorders>
              <w:top w:val="nil"/>
              <w:left w:val="nil"/>
              <w:bottom w:val="nil"/>
              <w:right w:val="nil"/>
            </w:tcBorders>
          </w:tcPr>
          <w:p>
            <w:pPr>
              <w:pStyle w:val="TableParagraph"/>
              <w:ind w:left="256"/>
              <w:jc w:val="left"/>
              <w:rPr>
                <w:sz w:val="20"/>
              </w:rPr>
            </w:pPr>
            <w:r>
              <w:rPr>
                <w:sz w:val="20"/>
              </w:rPr>
              <w:t>0.14</w:t>
            </w:r>
          </w:p>
        </w:tc>
        <w:tc>
          <w:tcPr>
            <w:tcW w:w="829" w:type="dxa"/>
            <w:tcBorders>
              <w:top w:val="nil"/>
              <w:left w:val="nil"/>
              <w:bottom w:val="nil"/>
              <w:right w:val="nil"/>
            </w:tcBorders>
          </w:tcPr>
          <w:p>
            <w:pPr>
              <w:pStyle w:val="TableParagraph"/>
              <w:ind w:left="257"/>
              <w:jc w:val="left"/>
              <w:rPr>
                <w:sz w:val="20"/>
              </w:rPr>
            </w:pPr>
            <w:r>
              <w:rPr>
                <w:sz w:val="20"/>
              </w:rPr>
              <w:t>0.14</w:t>
            </w:r>
          </w:p>
        </w:tc>
        <w:tc>
          <w:tcPr>
            <w:tcW w:w="828" w:type="dxa"/>
            <w:tcBorders>
              <w:top w:val="nil"/>
              <w:left w:val="nil"/>
              <w:bottom w:val="nil"/>
              <w:right w:val="nil"/>
            </w:tcBorders>
          </w:tcPr>
          <w:p>
            <w:pPr>
              <w:pStyle w:val="TableParagraph"/>
              <w:ind w:right="211"/>
              <w:rPr>
                <w:sz w:val="20"/>
              </w:rPr>
            </w:pPr>
            <w:r>
              <w:rPr>
                <w:sz w:val="20"/>
              </w:rPr>
              <w:t>0.14</w:t>
            </w:r>
          </w:p>
        </w:tc>
        <w:tc>
          <w:tcPr>
            <w:tcW w:w="826" w:type="dxa"/>
            <w:tcBorders>
              <w:top w:val="nil"/>
              <w:left w:val="nil"/>
              <w:bottom w:val="nil"/>
              <w:right w:val="nil"/>
            </w:tcBorders>
          </w:tcPr>
          <w:p>
            <w:pPr>
              <w:pStyle w:val="TableParagraph"/>
              <w:ind w:left="256"/>
              <w:jc w:val="left"/>
              <w:rPr>
                <w:sz w:val="20"/>
              </w:rPr>
            </w:pPr>
            <w:r>
              <w:rPr>
                <w:sz w:val="20"/>
              </w:rPr>
              <w:t>0.14</w:t>
            </w:r>
          </w:p>
        </w:tc>
        <w:tc>
          <w:tcPr>
            <w:tcW w:w="828" w:type="dxa"/>
            <w:tcBorders>
              <w:top w:val="nil"/>
              <w:left w:val="nil"/>
              <w:bottom w:val="nil"/>
              <w:right w:val="nil"/>
            </w:tcBorders>
          </w:tcPr>
          <w:p>
            <w:pPr>
              <w:pStyle w:val="TableParagraph"/>
              <w:ind w:left="257"/>
              <w:jc w:val="left"/>
              <w:rPr>
                <w:sz w:val="20"/>
              </w:rPr>
            </w:pPr>
            <w:r>
              <w:rPr>
                <w:sz w:val="20"/>
              </w:rPr>
              <w:t>0.14</w:t>
            </w:r>
          </w:p>
        </w:tc>
        <w:tc>
          <w:tcPr>
            <w:tcW w:w="828" w:type="dxa"/>
            <w:tcBorders>
              <w:top w:val="nil"/>
              <w:left w:val="nil"/>
              <w:bottom w:val="nil"/>
              <w:right w:val="nil"/>
            </w:tcBorders>
          </w:tcPr>
          <w:p>
            <w:pPr>
              <w:pStyle w:val="TableParagraph"/>
              <w:ind w:left="259"/>
              <w:jc w:val="left"/>
              <w:rPr>
                <w:sz w:val="20"/>
              </w:rPr>
            </w:pPr>
            <w:r>
              <w:rPr>
                <w:sz w:val="20"/>
              </w:rPr>
              <w:t>0.00</w:t>
            </w:r>
          </w:p>
        </w:tc>
        <w:tc>
          <w:tcPr>
            <w:tcW w:w="826" w:type="dxa"/>
            <w:tcBorders>
              <w:top w:val="nil"/>
              <w:left w:val="nil"/>
              <w:bottom w:val="nil"/>
              <w:right w:val="nil"/>
            </w:tcBorders>
          </w:tcPr>
          <w:p>
            <w:pPr>
              <w:pStyle w:val="TableParagraph"/>
              <w:ind w:left="257"/>
              <w:jc w:val="left"/>
              <w:rPr>
                <w:sz w:val="20"/>
              </w:rPr>
            </w:pPr>
            <w:r>
              <w:rPr>
                <w:sz w:val="20"/>
              </w:rPr>
              <w:t>0.00</w:t>
            </w:r>
          </w:p>
        </w:tc>
        <w:tc>
          <w:tcPr>
            <w:tcW w:w="776" w:type="dxa"/>
            <w:tcBorders>
              <w:top w:val="nil"/>
              <w:left w:val="nil"/>
              <w:bottom w:val="nil"/>
              <w:right w:val="nil"/>
            </w:tcBorders>
          </w:tcPr>
          <w:p>
            <w:pPr>
              <w:pStyle w:val="TableParagraph"/>
              <w:ind w:right="60"/>
              <w:rPr>
                <w:sz w:val="20"/>
              </w:rPr>
            </w:pPr>
            <w:r>
              <w:rPr>
                <w:sz w:val="20"/>
              </w:rPr>
              <w:t>0.00</w:t>
            </w:r>
          </w:p>
        </w:tc>
      </w:tr>
      <w:tr>
        <w:trPr>
          <w:trHeight w:val="303" w:hRule="exact"/>
        </w:trPr>
        <w:tc>
          <w:tcPr>
            <w:tcW w:w="1405" w:type="dxa"/>
            <w:tcBorders>
              <w:top w:val="nil"/>
              <w:left w:val="nil"/>
              <w:bottom w:val="nil"/>
              <w:right w:val="nil"/>
            </w:tcBorders>
          </w:tcPr>
          <w:p>
            <w:pPr>
              <w:pStyle w:val="TableParagraph"/>
              <w:spacing w:before="26"/>
              <w:ind w:left="86"/>
              <w:jc w:val="left"/>
              <w:rPr>
                <w:sz w:val="20"/>
              </w:rPr>
            </w:pPr>
            <w:r>
              <w:rPr>
                <w:sz w:val="20"/>
              </w:rPr>
              <w:t>TEJ_HhSF</w:t>
            </w:r>
          </w:p>
        </w:tc>
        <w:tc>
          <w:tcPr>
            <w:tcW w:w="695" w:type="dxa"/>
            <w:tcBorders>
              <w:top w:val="nil"/>
              <w:left w:val="nil"/>
              <w:bottom w:val="nil"/>
              <w:right w:val="nil"/>
            </w:tcBorders>
          </w:tcPr>
          <w:p>
            <w:pPr>
              <w:pStyle w:val="TableParagraph"/>
              <w:spacing w:before="26"/>
              <w:ind w:left="110" w:right="195"/>
              <w:jc w:val="center"/>
              <w:rPr>
                <w:sz w:val="20"/>
              </w:rPr>
            </w:pPr>
            <w:r>
              <w:rPr>
                <w:sz w:val="20"/>
              </w:rPr>
              <w:t>0.14</w:t>
            </w:r>
          </w:p>
        </w:tc>
        <w:tc>
          <w:tcPr>
            <w:tcW w:w="826" w:type="dxa"/>
            <w:tcBorders>
              <w:top w:val="nil"/>
              <w:left w:val="nil"/>
              <w:bottom w:val="nil"/>
              <w:right w:val="nil"/>
            </w:tcBorders>
          </w:tcPr>
          <w:p>
            <w:pPr>
              <w:pStyle w:val="TableParagraph"/>
              <w:spacing w:before="26"/>
              <w:ind w:left="257"/>
              <w:jc w:val="left"/>
              <w:rPr>
                <w:sz w:val="20"/>
              </w:rPr>
            </w:pPr>
            <w:r>
              <w:rPr>
                <w:sz w:val="20"/>
              </w:rPr>
              <w:t>0.14</w:t>
            </w:r>
          </w:p>
        </w:tc>
        <w:tc>
          <w:tcPr>
            <w:tcW w:w="826" w:type="dxa"/>
            <w:tcBorders>
              <w:top w:val="nil"/>
              <w:left w:val="nil"/>
              <w:bottom w:val="nil"/>
              <w:right w:val="nil"/>
            </w:tcBorders>
          </w:tcPr>
          <w:p>
            <w:pPr>
              <w:pStyle w:val="TableParagraph"/>
              <w:spacing w:before="26"/>
              <w:ind w:left="256"/>
              <w:jc w:val="left"/>
              <w:rPr>
                <w:sz w:val="20"/>
              </w:rPr>
            </w:pPr>
            <w:r>
              <w:rPr>
                <w:sz w:val="20"/>
              </w:rPr>
              <w:t>0.14</w:t>
            </w:r>
          </w:p>
        </w:tc>
        <w:tc>
          <w:tcPr>
            <w:tcW w:w="829" w:type="dxa"/>
            <w:tcBorders>
              <w:top w:val="nil"/>
              <w:left w:val="nil"/>
              <w:bottom w:val="nil"/>
              <w:right w:val="nil"/>
            </w:tcBorders>
          </w:tcPr>
          <w:p>
            <w:pPr>
              <w:pStyle w:val="TableParagraph"/>
              <w:spacing w:before="26"/>
              <w:ind w:left="257"/>
              <w:jc w:val="left"/>
              <w:rPr>
                <w:sz w:val="20"/>
              </w:rPr>
            </w:pPr>
            <w:r>
              <w:rPr>
                <w:sz w:val="20"/>
              </w:rPr>
              <w:t>0.14</w:t>
            </w:r>
          </w:p>
        </w:tc>
        <w:tc>
          <w:tcPr>
            <w:tcW w:w="828" w:type="dxa"/>
            <w:tcBorders>
              <w:top w:val="nil"/>
              <w:left w:val="nil"/>
              <w:bottom w:val="nil"/>
              <w:right w:val="nil"/>
            </w:tcBorders>
          </w:tcPr>
          <w:p>
            <w:pPr>
              <w:pStyle w:val="TableParagraph"/>
              <w:spacing w:before="26"/>
              <w:ind w:right="211"/>
              <w:rPr>
                <w:sz w:val="20"/>
              </w:rPr>
            </w:pPr>
            <w:r>
              <w:rPr>
                <w:sz w:val="20"/>
              </w:rPr>
              <w:t>0.14</w:t>
            </w:r>
          </w:p>
        </w:tc>
        <w:tc>
          <w:tcPr>
            <w:tcW w:w="826" w:type="dxa"/>
            <w:tcBorders>
              <w:top w:val="nil"/>
              <w:left w:val="nil"/>
              <w:bottom w:val="nil"/>
              <w:right w:val="nil"/>
            </w:tcBorders>
          </w:tcPr>
          <w:p>
            <w:pPr>
              <w:pStyle w:val="TableParagraph"/>
              <w:spacing w:before="26"/>
              <w:ind w:left="256"/>
              <w:jc w:val="left"/>
              <w:rPr>
                <w:sz w:val="20"/>
              </w:rPr>
            </w:pPr>
            <w:r>
              <w:rPr>
                <w:sz w:val="20"/>
              </w:rPr>
              <w:t>0.14</w:t>
            </w:r>
          </w:p>
        </w:tc>
        <w:tc>
          <w:tcPr>
            <w:tcW w:w="828" w:type="dxa"/>
            <w:tcBorders>
              <w:top w:val="nil"/>
              <w:left w:val="nil"/>
              <w:bottom w:val="nil"/>
              <w:right w:val="nil"/>
            </w:tcBorders>
          </w:tcPr>
          <w:p>
            <w:pPr>
              <w:pStyle w:val="TableParagraph"/>
              <w:spacing w:before="26"/>
              <w:ind w:left="257"/>
              <w:jc w:val="left"/>
              <w:rPr>
                <w:sz w:val="20"/>
              </w:rPr>
            </w:pPr>
            <w:r>
              <w:rPr>
                <w:sz w:val="20"/>
              </w:rPr>
              <w:t>0.14</w:t>
            </w:r>
          </w:p>
        </w:tc>
        <w:tc>
          <w:tcPr>
            <w:tcW w:w="828" w:type="dxa"/>
            <w:tcBorders>
              <w:top w:val="nil"/>
              <w:left w:val="nil"/>
              <w:bottom w:val="nil"/>
              <w:right w:val="nil"/>
            </w:tcBorders>
          </w:tcPr>
          <w:p>
            <w:pPr>
              <w:pStyle w:val="TableParagraph"/>
              <w:spacing w:before="26"/>
              <w:ind w:left="259"/>
              <w:jc w:val="left"/>
              <w:rPr>
                <w:sz w:val="20"/>
              </w:rPr>
            </w:pPr>
            <w:r>
              <w:rPr>
                <w:sz w:val="20"/>
              </w:rPr>
              <w:t>0.00</w:t>
            </w:r>
          </w:p>
        </w:tc>
        <w:tc>
          <w:tcPr>
            <w:tcW w:w="826" w:type="dxa"/>
            <w:tcBorders>
              <w:top w:val="nil"/>
              <w:left w:val="nil"/>
              <w:bottom w:val="nil"/>
              <w:right w:val="nil"/>
            </w:tcBorders>
          </w:tcPr>
          <w:p>
            <w:pPr>
              <w:pStyle w:val="TableParagraph"/>
              <w:spacing w:before="26"/>
              <w:ind w:left="257"/>
              <w:jc w:val="left"/>
              <w:rPr>
                <w:sz w:val="20"/>
              </w:rPr>
            </w:pPr>
            <w:r>
              <w:rPr>
                <w:sz w:val="20"/>
              </w:rPr>
              <w:t>0.00</w:t>
            </w:r>
          </w:p>
        </w:tc>
        <w:tc>
          <w:tcPr>
            <w:tcW w:w="776" w:type="dxa"/>
            <w:tcBorders>
              <w:top w:val="nil"/>
              <w:left w:val="nil"/>
              <w:bottom w:val="nil"/>
              <w:right w:val="nil"/>
            </w:tcBorders>
          </w:tcPr>
          <w:p>
            <w:pPr>
              <w:pStyle w:val="TableParagraph"/>
              <w:spacing w:before="26"/>
              <w:ind w:right="60"/>
              <w:rPr>
                <w:sz w:val="20"/>
              </w:rPr>
            </w:pPr>
            <w:r>
              <w:rPr>
                <w:sz w:val="20"/>
              </w:rPr>
              <w:t>0.00</w:t>
            </w:r>
          </w:p>
        </w:tc>
      </w:tr>
      <w:tr>
        <w:trPr>
          <w:trHeight w:val="300" w:hRule="exact"/>
        </w:trPr>
        <w:tc>
          <w:tcPr>
            <w:tcW w:w="1405" w:type="dxa"/>
            <w:tcBorders>
              <w:top w:val="nil"/>
              <w:left w:val="nil"/>
              <w:bottom w:val="nil"/>
              <w:right w:val="nil"/>
            </w:tcBorders>
          </w:tcPr>
          <w:p>
            <w:pPr>
              <w:pStyle w:val="TableParagraph"/>
              <w:spacing w:before="26"/>
              <w:ind w:left="86"/>
              <w:jc w:val="left"/>
              <w:rPr>
                <w:sz w:val="20"/>
              </w:rPr>
            </w:pPr>
            <w:r>
              <w:rPr>
                <w:sz w:val="20"/>
              </w:rPr>
              <w:t>TEJ_HlFd</w:t>
            </w:r>
          </w:p>
        </w:tc>
        <w:tc>
          <w:tcPr>
            <w:tcW w:w="695" w:type="dxa"/>
            <w:tcBorders>
              <w:top w:val="nil"/>
              <w:left w:val="nil"/>
              <w:bottom w:val="nil"/>
              <w:right w:val="nil"/>
            </w:tcBorders>
          </w:tcPr>
          <w:p>
            <w:pPr>
              <w:pStyle w:val="TableParagraph"/>
              <w:spacing w:before="26"/>
              <w:ind w:left="110" w:right="195"/>
              <w:jc w:val="center"/>
              <w:rPr>
                <w:sz w:val="20"/>
              </w:rPr>
            </w:pPr>
            <w:r>
              <w:rPr>
                <w:sz w:val="20"/>
              </w:rPr>
              <w:t>0.14</w:t>
            </w:r>
          </w:p>
        </w:tc>
        <w:tc>
          <w:tcPr>
            <w:tcW w:w="826" w:type="dxa"/>
            <w:tcBorders>
              <w:top w:val="nil"/>
              <w:left w:val="nil"/>
              <w:bottom w:val="nil"/>
              <w:right w:val="nil"/>
            </w:tcBorders>
          </w:tcPr>
          <w:p>
            <w:pPr>
              <w:pStyle w:val="TableParagraph"/>
              <w:spacing w:before="26"/>
              <w:ind w:left="257"/>
              <w:jc w:val="left"/>
              <w:rPr>
                <w:sz w:val="20"/>
              </w:rPr>
            </w:pPr>
            <w:r>
              <w:rPr>
                <w:sz w:val="20"/>
              </w:rPr>
              <w:t>0.14</w:t>
            </w:r>
          </w:p>
        </w:tc>
        <w:tc>
          <w:tcPr>
            <w:tcW w:w="826" w:type="dxa"/>
            <w:tcBorders>
              <w:top w:val="nil"/>
              <w:left w:val="nil"/>
              <w:bottom w:val="nil"/>
              <w:right w:val="nil"/>
            </w:tcBorders>
          </w:tcPr>
          <w:p>
            <w:pPr>
              <w:pStyle w:val="TableParagraph"/>
              <w:spacing w:before="26"/>
              <w:ind w:left="256"/>
              <w:jc w:val="left"/>
              <w:rPr>
                <w:sz w:val="20"/>
              </w:rPr>
            </w:pPr>
            <w:r>
              <w:rPr>
                <w:sz w:val="20"/>
              </w:rPr>
              <w:t>0.14</w:t>
            </w:r>
          </w:p>
        </w:tc>
        <w:tc>
          <w:tcPr>
            <w:tcW w:w="829" w:type="dxa"/>
            <w:tcBorders>
              <w:top w:val="nil"/>
              <w:left w:val="nil"/>
              <w:bottom w:val="nil"/>
              <w:right w:val="nil"/>
            </w:tcBorders>
          </w:tcPr>
          <w:p>
            <w:pPr>
              <w:pStyle w:val="TableParagraph"/>
              <w:spacing w:before="26"/>
              <w:ind w:left="257"/>
              <w:jc w:val="left"/>
              <w:rPr>
                <w:sz w:val="20"/>
              </w:rPr>
            </w:pPr>
            <w:r>
              <w:rPr>
                <w:sz w:val="20"/>
              </w:rPr>
              <w:t>0.14</w:t>
            </w:r>
          </w:p>
        </w:tc>
        <w:tc>
          <w:tcPr>
            <w:tcW w:w="828" w:type="dxa"/>
            <w:tcBorders>
              <w:top w:val="nil"/>
              <w:left w:val="nil"/>
              <w:bottom w:val="nil"/>
              <w:right w:val="nil"/>
            </w:tcBorders>
          </w:tcPr>
          <w:p>
            <w:pPr>
              <w:pStyle w:val="TableParagraph"/>
              <w:spacing w:before="26"/>
              <w:ind w:right="211"/>
              <w:rPr>
                <w:sz w:val="20"/>
              </w:rPr>
            </w:pPr>
            <w:r>
              <w:rPr>
                <w:sz w:val="20"/>
              </w:rPr>
              <w:t>0.14</w:t>
            </w:r>
          </w:p>
        </w:tc>
        <w:tc>
          <w:tcPr>
            <w:tcW w:w="826" w:type="dxa"/>
            <w:tcBorders>
              <w:top w:val="nil"/>
              <w:left w:val="nil"/>
              <w:bottom w:val="nil"/>
              <w:right w:val="nil"/>
            </w:tcBorders>
          </w:tcPr>
          <w:p>
            <w:pPr>
              <w:pStyle w:val="TableParagraph"/>
              <w:spacing w:before="26"/>
              <w:ind w:left="256"/>
              <w:jc w:val="left"/>
              <w:rPr>
                <w:sz w:val="20"/>
              </w:rPr>
            </w:pPr>
            <w:r>
              <w:rPr>
                <w:sz w:val="20"/>
              </w:rPr>
              <w:t>0.14</w:t>
            </w:r>
          </w:p>
        </w:tc>
        <w:tc>
          <w:tcPr>
            <w:tcW w:w="828" w:type="dxa"/>
            <w:tcBorders>
              <w:top w:val="nil"/>
              <w:left w:val="nil"/>
              <w:bottom w:val="nil"/>
              <w:right w:val="nil"/>
            </w:tcBorders>
          </w:tcPr>
          <w:p>
            <w:pPr>
              <w:pStyle w:val="TableParagraph"/>
              <w:spacing w:before="26"/>
              <w:ind w:left="257"/>
              <w:jc w:val="left"/>
              <w:rPr>
                <w:sz w:val="20"/>
              </w:rPr>
            </w:pPr>
            <w:r>
              <w:rPr>
                <w:sz w:val="20"/>
              </w:rPr>
              <w:t>0.14</w:t>
            </w:r>
          </w:p>
        </w:tc>
        <w:tc>
          <w:tcPr>
            <w:tcW w:w="828" w:type="dxa"/>
            <w:tcBorders>
              <w:top w:val="nil"/>
              <w:left w:val="nil"/>
              <w:bottom w:val="nil"/>
              <w:right w:val="nil"/>
            </w:tcBorders>
          </w:tcPr>
          <w:p>
            <w:pPr>
              <w:pStyle w:val="TableParagraph"/>
              <w:spacing w:before="26"/>
              <w:ind w:left="259"/>
              <w:jc w:val="left"/>
              <w:rPr>
                <w:sz w:val="20"/>
              </w:rPr>
            </w:pPr>
            <w:r>
              <w:rPr>
                <w:sz w:val="20"/>
              </w:rPr>
              <w:t>0.00</w:t>
            </w:r>
          </w:p>
        </w:tc>
        <w:tc>
          <w:tcPr>
            <w:tcW w:w="826" w:type="dxa"/>
            <w:tcBorders>
              <w:top w:val="nil"/>
              <w:left w:val="nil"/>
              <w:bottom w:val="nil"/>
              <w:right w:val="nil"/>
            </w:tcBorders>
          </w:tcPr>
          <w:p>
            <w:pPr>
              <w:pStyle w:val="TableParagraph"/>
              <w:spacing w:before="26"/>
              <w:ind w:left="257"/>
              <w:jc w:val="left"/>
              <w:rPr>
                <w:sz w:val="20"/>
              </w:rPr>
            </w:pPr>
            <w:r>
              <w:rPr>
                <w:sz w:val="20"/>
              </w:rPr>
              <w:t>0.00</w:t>
            </w:r>
          </w:p>
        </w:tc>
        <w:tc>
          <w:tcPr>
            <w:tcW w:w="776" w:type="dxa"/>
            <w:tcBorders>
              <w:top w:val="nil"/>
              <w:left w:val="nil"/>
              <w:bottom w:val="nil"/>
              <w:right w:val="nil"/>
            </w:tcBorders>
          </w:tcPr>
          <w:p>
            <w:pPr>
              <w:pStyle w:val="TableParagraph"/>
              <w:spacing w:before="26"/>
              <w:ind w:right="60"/>
              <w:rPr>
                <w:sz w:val="20"/>
              </w:rPr>
            </w:pPr>
            <w:r>
              <w:rPr>
                <w:sz w:val="20"/>
              </w:rPr>
              <w:t>0.00</w:t>
            </w:r>
          </w:p>
        </w:tc>
      </w:tr>
      <w:tr>
        <w:trPr>
          <w:trHeight w:val="300" w:hRule="exact"/>
        </w:trPr>
        <w:tc>
          <w:tcPr>
            <w:tcW w:w="1405" w:type="dxa"/>
            <w:tcBorders>
              <w:top w:val="nil"/>
              <w:left w:val="nil"/>
              <w:bottom w:val="nil"/>
              <w:right w:val="nil"/>
            </w:tcBorders>
          </w:tcPr>
          <w:p>
            <w:pPr>
              <w:pStyle w:val="TableParagraph"/>
              <w:ind w:left="86"/>
              <w:jc w:val="left"/>
              <w:rPr>
                <w:sz w:val="20"/>
              </w:rPr>
            </w:pPr>
            <w:r>
              <w:rPr>
                <w:sz w:val="20"/>
              </w:rPr>
              <w:t>TEJ_HlFdp</w:t>
            </w:r>
          </w:p>
        </w:tc>
        <w:tc>
          <w:tcPr>
            <w:tcW w:w="695" w:type="dxa"/>
            <w:tcBorders>
              <w:top w:val="nil"/>
              <w:left w:val="nil"/>
              <w:bottom w:val="nil"/>
              <w:right w:val="nil"/>
            </w:tcBorders>
          </w:tcPr>
          <w:p>
            <w:pPr>
              <w:pStyle w:val="TableParagraph"/>
              <w:ind w:left="110" w:right="195"/>
              <w:jc w:val="center"/>
              <w:rPr>
                <w:sz w:val="20"/>
              </w:rPr>
            </w:pPr>
            <w:r>
              <w:rPr>
                <w:sz w:val="20"/>
              </w:rPr>
              <w:t>0.14</w:t>
            </w:r>
          </w:p>
        </w:tc>
        <w:tc>
          <w:tcPr>
            <w:tcW w:w="826" w:type="dxa"/>
            <w:tcBorders>
              <w:top w:val="nil"/>
              <w:left w:val="nil"/>
              <w:bottom w:val="nil"/>
              <w:right w:val="nil"/>
            </w:tcBorders>
          </w:tcPr>
          <w:p>
            <w:pPr>
              <w:pStyle w:val="TableParagraph"/>
              <w:ind w:left="257"/>
              <w:jc w:val="left"/>
              <w:rPr>
                <w:sz w:val="20"/>
              </w:rPr>
            </w:pPr>
            <w:r>
              <w:rPr>
                <w:sz w:val="20"/>
              </w:rPr>
              <w:t>0.14</w:t>
            </w:r>
          </w:p>
        </w:tc>
        <w:tc>
          <w:tcPr>
            <w:tcW w:w="826" w:type="dxa"/>
            <w:tcBorders>
              <w:top w:val="nil"/>
              <w:left w:val="nil"/>
              <w:bottom w:val="nil"/>
              <w:right w:val="nil"/>
            </w:tcBorders>
          </w:tcPr>
          <w:p>
            <w:pPr>
              <w:pStyle w:val="TableParagraph"/>
              <w:ind w:left="256"/>
              <w:jc w:val="left"/>
              <w:rPr>
                <w:sz w:val="20"/>
              </w:rPr>
            </w:pPr>
            <w:r>
              <w:rPr>
                <w:sz w:val="20"/>
              </w:rPr>
              <w:t>0.14</w:t>
            </w:r>
          </w:p>
        </w:tc>
        <w:tc>
          <w:tcPr>
            <w:tcW w:w="829" w:type="dxa"/>
            <w:tcBorders>
              <w:top w:val="nil"/>
              <w:left w:val="nil"/>
              <w:bottom w:val="nil"/>
              <w:right w:val="nil"/>
            </w:tcBorders>
          </w:tcPr>
          <w:p>
            <w:pPr>
              <w:pStyle w:val="TableParagraph"/>
              <w:ind w:left="257"/>
              <w:jc w:val="left"/>
              <w:rPr>
                <w:sz w:val="20"/>
              </w:rPr>
            </w:pPr>
            <w:r>
              <w:rPr>
                <w:sz w:val="20"/>
              </w:rPr>
              <w:t>0.14</w:t>
            </w:r>
          </w:p>
        </w:tc>
        <w:tc>
          <w:tcPr>
            <w:tcW w:w="828" w:type="dxa"/>
            <w:tcBorders>
              <w:top w:val="nil"/>
              <w:left w:val="nil"/>
              <w:bottom w:val="nil"/>
              <w:right w:val="nil"/>
            </w:tcBorders>
          </w:tcPr>
          <w:p>
            <w:pPr>
              <w:pStyle w:val="TableParagraph"/>
              <w:ind w:right="211"/>
              <w:rPr>
                <w:sz w:val="20"/>
              </w:rPr>
            </w:pPr>
            <w:r>
              <w:rPr>
                <w:sz w:val="20"/>
              </w:rPr>
              <w:t>0.14</w:t>
            </w:r>
          </w:p>
        </w:tc>
        <w:tc>
          <w:tcPr>
            <w:tcW w:w="826" w:type="dxa"/>
            <w:tcBorders>
              <w:top w:val="nil"/>
              <w:left w:val="nil"/>
              <w:bottom w:val="nil"/>
              <w:right w:val="nil"/>
            </w:tcBorders>
          </w:tcPr>
          <w:p>
            <w:pPr>
              <w:pStyle w:val="TableParagraph"/>
              <w:ind w:left="256"/>
              <w:jc w:val="left"/>
              <w:rPr>
                <w:sz w:val="20"/>
              </w:rPr>
            </w:pPr>
            <w:r>
              <w:rPr>
                <w:sz w:val="20"/>
              </w:rPr>
              <w:t>0.14</w:t>
            </w:r>
          </w:p>
        </w:tc>
        <w:tc>
          <w:tcPr>
            <w:tcW w:w="828" w:type="dxa"/>
            <w:tcBorders>
              <w:top w:val="nil"/>
              <w:left w:val="nil"/>
              <w:bottom w:val="nil"/>
              <w:right w:val="nil"/>
            </w:tcBorders>
          </w:tcPr>
          <w:p>
            <w:pPr>
              <w:pStyle w:val="TableParagraph"/>
              <w:ind w:left="257"/>
              <w:jc w:val="left"/>
              <w:rPr>
                <w:sz w:val="20"/>
              </w:rPr>
            </w:pPr>
            <w:r>
              <w:rPr>
                <w:sz w:val="20"/>
              </w:rPr>
              <w:t>0.14</w:t>
            </w:r>
          </w:p>
        </w:tc>
        <w:tc>
          <w:tcPr>
            <w:tcW w:w="828" w:type="dxa"/>
            <w:tcBorders>
              <w:top w:val="nil"/>
              <w:left w:val="nil"/>
              <w:bottom w:val="nil"/>
              <w:right w:val="nil"/>
            </w:tcBorders>
          </w:tcPr>
          <w:p>
            <w:pPr>
              <w:pStyle w:val="TableParagraph"/>
              <w:ind w:left="259"/>
              <w:jc w:val="left"/>
              <w:rPr>
                <w:sz w:val="20"/>
              </w:rPr>
            </w:pPr>
            <w:r>
              <w:rPr>
                <w:sz w:val="20"/>
              </w:rPr>
              <w:t>0.00</w:t>
            </w:r>
          </w:p>
        </w:tc>
        <w:tc>
          <w:tcPr>
            <w:tcW w:w="826" w:type="dxa"/>
            <w:tcBorders>
              <w:top w:val="nil"/>
              <w:left w:val="nil"/>
              <w:bottom w:val="nil"/>
              <w:right w:val="nil"/>
            </w:tcBorders>
          </w:tcPr>
          <w:p>
            <w:pPr>
              <w:pStyle w:val="TableParagraph"/>
              <w:ind w:left="257"/>
              <w:jc w:val="left"/>
              <w:rPr>
                <w:sz w:val="20"/>
              </w:rPr>
            </w:pPr>
            <w:r>
              <w:rPr>
                <w:sz w:val="20"/>
              </w:rPr>
              <w:t>0.00</w:t>
            </w:r>
          </w:p>
        </w:tc>
        <w:tc>
          <w:tcPr>
            <w:tcW w:w="776" w:type="dxa"/>
            <w:tcBorders>
              <w:top w:val="nil"/>
              <w:left w:val="nil"/>
              <w:bottom w:val="nil"/>
              <w:right w:val="nil"/>
            </w:tcBorders>
          </w:tcPr>
          <w:p>
            <w:pPr>
              <w:pStyle w:val="TableParagraph"/>
              <w:ind w:right="60"/>
              <w:rPr>
                <w:sz w:val="20"/>
              </w:rPr>
            </w:pPr>
            <w:r>
              <w:rPr>
                <w:sz w:val="20"/>
              </w:rPr>
              <w:t>0.00</w:t>
            </w:r>
          </w:p>
        </w:tc>
      </w:tr>
      <w:tr>
        <w:trPr>
          <w:trHeight w:val="302" w:hRule="exact"/>
        </w:trPr>
        <w:tc>
          <w:tcPr>
            <w:tcW w:w="1405" w:type="dxa"/>
            <w:tcBorders>
              <w:top w:val="nil"/>
              <w:left w:val="nil"/>
              <w:bottom w:val="nil"/>
              <w:right w:val="nil"/>
            </w:tcBorders>
          </w:tcPr>
          <w:p>
            <w:pPr>
              <w:pStyle w:val="TableParagraph"/>
              <w:spacing w:before="26"/>
              <w:ind w:left="86"/>
              <w:jc w:val="left"/>
              <w:rPr>
                <w:sz w:val="20"/>
              </w:rPr>
            </w:pPr>
            <w:r>
              <w:rPr>
                <w:sz w:val="20"/>
              </w:rPr>
              <w:t>TEJ_HlFl</w:t>
            </w:r>
          </w:p>
        </w:tc>
        <w:tc>
          <w:tcPr>
            <w:tcW w:w="695" w:type="dxa"/>
            <w:tcBorders>
              <w:top w:val="nil"/>
              <w:left w:val="nil"/>
              <w:bottom w:val="nil"/>
              <w:right w:val="nil"/>
            </w:tcBorders>
          </w:tcPr>
          <w:p>
            <w:pPr>
              <w:pStyle w:val="TableParagraph"/>
              <w:spacing w:before="26"/>
              <w:ind w:left="110" w:right="195"/>
              <w:jc w:val="center"/>
              <w:rPr>
                <w:sz w:val="20"/>
              </w:rPr>
            </w:pPr>
            <w:r>
              <w:rPr>
                <w:sz w:val="20"/>
              </w:rPr>
              <w:t>0.14</w:t>
            </w:r>
          </w:p>
        </w:tc>
        <w:tc>
          <w:tcPr>
            <w:tcW w:w="826" w:type="dxa"/>
            <w:tcBorders>
              <w:top w:val="nil"/>
              <w:left w:val="nil"/>
              <w:bottom w:val="nil"/>
              <w:right w:val="nil"/>
            </w:tcBorders>
          </w:tcPr>
          <w:p>
            <w:pPr>
              <w:pStyle w:val="TableParagraph"/>
              <w:spacing w:before="26"/>
              <w:ind w:left="257"/>
              <w:jc w:val="left"/>
              <w:rPr>
                <w:sz w:val="20"/>
              </w:rPr>
            </w:pPr>
            <w:r>
              <w:rPr>
                <w:sz w:val="20"/>
              </w:rPr>
              <w:t>0.14</w:t>
            </w:r>
          </w:p>
        </w:tc>
        <w:tc>
          <w:tcPr>
            <w:tcW w:w="826" w:type="dxa"/>
            <w:tcBorders>
              <w:top w:val="nil"/>
              <w:left w:val="nil"/>
              <w:bottom w:val="nil"/>
              <w:right w:val="nil"/>
            </w:tcBorders>
          </w:tcPr>
          <w:p>
            <w:pPr>
              <w:pStyle w:val="TableParagraph"/>
              <w:spacing w:before="26"/>
              <w:ind w:left="256"/>
              <w:jc w:val="left"/>
              <w:rPr>
                <w:sz w:val="20"/>
              </w:rPr>
            </w:pPr>
            <w:r>
              <w:rPr>
                <w:sz w:val="20"/>
              </w:rPr>
              <w:t>0.14</w:t>
            </w:r>
          </w:p>
        </w:tc>
        <w:tc>
          <w:tcPr>
            <w:tcW w:w="829" w:type="dxa"/>
            <w:tcBorders>
              <w:top w:val="nil"/>
              <w:left w:val="nil"/>
              <w:bottom w:val="nil"/>
              <w:right w:val="nil"/>
            </w:tcBorders>
          </w:tcPr>
          <w:p>
            <w:pPr>
              <w:pStyle w:val="TableParagraph"/>
              <w:spacing w:before="26"/>
              <w:ind w:left="257"/>
              <w:jc w:val="left"/>
              <w:rPr>
                <w:sz w:val="20"/>
              </w:rPr>
            </w:pPr>
            <w:r>
              <w:rPr>
                <w:sz w:val="20"/>
              </w:rPr>
              <w:t>0.14</w:t>
            </w:r>
          </w:p>
        </w:tc>
        <w:tc>
          <w:tcPr>
            <w:tcW w:w="828" w:type="dxa"/>
            <w:tcBorders>
              <w:top w:val="nil"/>
              <w:left w:val="nil"/>
              <w:bottom w:val="nil"/>
              <w:right w:val="nil"/>
            </w:tcBorders>
          </w:tcPr>
          <w:p>
            <w:pPr>
              <w:pStyle w:val="TableParagraph"/>
              <w:spacing w:before="26"/>
              <w:ind w:right="211"/>
              <w:rPr>
                <w:sz w:val="20"/>
              </w:rPr>
            </w:pPr>
            <w:r>
              <w:rPr>
                <w:sz w:val="20"/>
              </w:rPr>
              <w:t>0.14</w:t>
            </w:r>
          </w:p>
        </w:tc>
        <w:tc>
          <w:tcPr>
            <w:tcW w:w="826" w:type="dxa"/>
            <w:tcBorders>
              <w:top w:val="nil"/>
              <w:left w:val="nil"/>
              <w:bottom w:val="nil"/>
              <w:right w:val="nil"/>
            </w:tcBorders>
          </w:tcPr>
          <w:p>
            <w:pPr>
              <w:pStyle w:val="TableParagraph"/>
              <w:spacing w:before="26"/>
              <w:ind w:left="256"/>
              <w:jc w:val="left"/>
              <w:rPr>
                <w:sz w:val="20"/>
              </w:rPr>
            </w:pPr>
            <w:r>
              <w:rPr>
                <w:sz w:val="20"/>
              </w:rPr>
              <w:t>0.14</w:t>
            </w:r>
          </w:p>
        </w:tc>
        <w:tc>
          <w:tcPr>
            <w:tcW w:w="828" w:type="dxa"/>
            <w:tcBorders>
              <w:top w:val="nil"/>
              <w:left w:val="nil"/>
              <w:bottom w:val="nil"/>
              <w:right w:val="nil"/>
            </w:tcBorders>
          </w:tcPr>
          <w:p>
            <w:pPr>
              <w:pStyle w:val="TableParagraph"/>
              <w:spacing w:before="26"/>
              <w:ind w:left="257"/>
              <w:jc w:val="left"/>
              <w:rPr>
                <w:sz w:val="20"/>
              </w:rPr>
            </w:pPr>
            <w:r>
              <w:rPr>
                <w:sz w:val="20"/>
              </w:rPr>
              <w:t>0.14</w:t>
            </w:r>
          </w:p>
        </w:tc>
        <w:tc>
          <w:tcPr>
            <w:tcW w:w="828" w:type="dxa"/>
            <w:tcBorders>
              <w:top w:val="nil"/>
              <w:left w:val="nil"/>
              <w:bottom w:val="nil"/>
              <w:right w:val="nil"/>
            </w:tcBorders>
          </w:tcPr>
          <w:p>
            <w:pPr>
              <w:pStyle w:val="TableParagraph"/>
              <w:spacing w:before="26"/>
              <w:ind w:left="259"/>
              <w:jc w:val="left"/>
              <w:rPr>
                <w:sz w:val="20"/>
              </w:rPr>
            </w:pPr>
            <w:r>
              <w:rPr>
                <w:sz w:val="20"/>
              </w:rPr>
              <w:t>0.00</w:t>
            </w:r>
          </w:p>
        </w:tc>
        <w:tc>
          <w:tcPr>
            <w:tcW w:w="826" w:type="dxa"/>
            <w:tcBorders>
              <w:top w:val="nil"/>
              <w:left w:val="nil"/>
              <w:bottom w:val="nil"/>
              <w:right w:val="nil"/>
            </w:tcBorders>
          </w:tcPr>
          <w:p>
            <w:pPr>
              <w:pStyle w:val="TableParagraph"/>
              <w:spacing w:before="26"/>
              <w:ind w:left="257"/>
              <w:jc w:val="left"/>
              <w:rPr>
                <w:sz w:val="20"/>
              </w:rPr>
            </w:pPr>
            <w:r>
              <w:rPr>
                <w:sz w:val="20"/>
              </w:rPr>
              <w:t>0.00</w:t>
            </w:r>
          </w:p>
        </w:tc>
        <w:tc>
          <w:tcPr>
            <w:tcW w:w="776" w:type="dxa"/>
            <w:tcBorders>
              <w:top w:val="nil"/>
              <w:left w:val="nil"/>
              <w:bottom w:val="nil"/>
              <w:right w:val="nil"/>
            </w:tcBorders>
          </w:tcPr>
          <w:p>
            <w:pPr>
              <w:pStyle w:val="TableParagraph"/>
              <w:spacing w:before="26"/>
              <w:ind w:right="60"/>
              <w:rPr>
                <w:sz w:val="20"/>
              </w:rPr>
            </w:pPr>
            <w:r>
              <w:rPr>
                <w:sz w:val="20"/>
              </w:rPr>
              <w:t>0.00</w:t>
            </w:r>
          </w:p>
        </w:tc>
      </w:tr>
      <w:tr>
        <w:trPr>
          <w:trHeight w:val="303" w:hRule="exact"/>
        </w:trPr>
        <w:tc>
          <w:tcPr>
            <w:tcW w:w="1405" w:type="dxa"/>
            <w:tcBorders>
              <w:top w:val="nil"/>
              <w:left w:val="nil"/>
              <w:bottom w:val="nil"/>
              <w:right w:val="nil"/>
            </w:tcBorders>
          </w:tcPr>
          <w:p>
            <w:pPr>
              <w:pStyle w:val="TableParagraph"/>
              <w:spacing w:before="26"/>
              <w:ind w:left="86"/>
              <w:jc w:val="left"/>
              <w:rPr>
                <w:sz w:val="20"/>
              </w:rPr>
            </w:pPr>
            <w:r>
              <w:rPr>
                <w:sz w:val="20"/>
              </w:rPr>
              <w:t>TEJ_HlFlp</w:t>
            </w:r>
          </w:p>
        </w:tc>
        <w:tc>
          <w:tcPr>
            <w:tcW w:w="695" w:type="dxa"/>
            <w:tcBorders>
              <w:top w:val="nil"/>
              <w:left w:val="nil"/>
              <w:bottom w:val="nil"/>
              <w:right w:val="nil"/>
            </w:tcBorders>
          </w:tcPr>
          <w:p>
            <w:pPr>
              <w:pStyle w:val="TableParagraph"/>
              <w:spacing w:before="26"/>
              <w:ind w:left="110" w:right="195"/>
              <w:jc w:val="center"/>
              <w:rPr>
                <w:sz w:val="20"/>
              </w:rPr>
            </w:pPr>
            <w:r>
              <w:rPr>
                <w:sz w:val="20"/>
              </w:rPr>
              <w:t>0.14</w:t>
            </w:r>
          </w:p>
        </w:tc>
        <w:tc>
          <w:tcPr>
            <w:tcW w:w="826" w:type="dxa"/>
            <w:tcBorders>
              <w:top w:val="nil"/>
              <w:left w:val="nil"/>
              <w:bottom w:val="nil"/>
              <w:right w:val="nil"/>
            </w:tcBorders>
          </w:tcPr>
          <w:p>
            <w:pPr>
              <w:pStyle w:val="TableParagraph"/>
              <w:spacing w:before="26"/>
              <w:ind w:left="257"/>
              <w:jc w:val="left"/>
              <w:rPr>
                <w:sz w:val="20"/>
              </w:rPr>
            </w:pPr>
            <w:r>
              <w:rPr>
                <w:sz w:val="20"/>
              </w:rPr>
              <w:t>0.14</w:t>
            </w:r>
          </w:p>
        </w:tc>
        <w:tc>
          <w:tcPr>
            <w:tcW w:w="826" w:type="dxa"/>
            <w:tcBorders>
              <w:top w:val="nil"/>
              <w:left w:val="nil"/>
              <w:bottom w:val="nil"/>
              <w:right w:val="nil"/>
            </w:tcBorders>
          </w:tcPr>
          <w:p>
            <w:pPr>
              <w:pStyle w:val="TableParagraph"/>
              <w:spacing w:before="26"/>
              <w:ind w:left="256"/>
              <w:jc w:val="left"/>
              <w:rPr>
                <w:sz w:val="20"/>
              </w:rPr>
            </w:pPr>
            <w:r>
              <w:rPr>
                <w:sz w:val="20"/>
              </w:rPr>
              <w:t>0.14</w:t>
            </w:r>
          </w:p>
        </w:tc>
        <w:tc>
          <w:tcPr>
            <w:tcW w:w="829" w:type="dxa"/>
            <w:tcBorders>
              <w:top w:val="nil"/>
              <w:left w:val="nil"/>
              <w:bottom w:val="nil"/>
              <w:right w:val="nil"/>
            </w:tcBorders>
          </w:tcPr>
          <w:p>
            <w:pPr>
              <w:pStyle w:val="TableParagraph"/>
              <w:spacing w:before="26"/>
              <w:ind w:left="257"/>
              <w:jc w:val="left"/>
              <w:rPr>
                <w:sz w:val="20"/>
              </w:rPr>
            </w:pPr>
            <w:r>
              <w:rPr>
                <w:sz w:val="20"/>
              </w:rPr>
              <w:t>0.14</w:t>
            </w:r>
          </w:p>
        </w:tc>
        <w:tc>
          <w:tcPr>
            <w:tcW w:w="828" w:type="dxa"/>
            <w:tcBorders>
              <w:top w:val="nil"/>
              <w:left w:val="nil"/>
              <w:bottom w:val="nil"/>
              <w:right w:val="nil"/>
            </w:tcBorders>
          </w:tcPr>
          <w:p>
            <w:pPr>
              <w:pStyle w:val="TableParagraph"/>
              <w:spacing w:before="26"/>
              <w:ind w:right="211"/>
              <w:rPr>
                <w:sz w:val="20"/>
              </w:rPr>
            </w:pPr>
            <w:r>
              <w:rPr>
                <w:sz w:val="20"/>
              </w:rPr>
              <w:t>0.14</w:t>
            </w:r>
          </w:p>
        </w:tc>
        <w:tc>
          <w:tcPr>
            <w:tcW w:w="826" w:type="dxa"/>
            <w:tcBorders>
              <w:top w:val="nil"/>
              <w:left w:val="nil"/>
              <w:bottom w:val="nil"/>
              <w:right w:val="nil"/>
            </w:tcBorders>
          </w:tcPr>
          <w:p>
            <w:pPr>
              <w:pStyle w:val="TableParagraph"/>
              <w:spacing w:before="26"/>
              <w:ind w:left="256"/>
              <w:jc w:val="left"/>
              <w:rPr>
                <w:sz w:val="20"/>
              </w:rPr>
            </w:pPr>
            <w:r>
              <w:rPr>
                <w:sz w:val="20"/>
              </w:rPr>
              <w:t>0.14</w:t>
            </w:r>
          </w:p>
        </w:tc>
        <w:tc>
          <w:tcPr>
            <w:tcW w:w="828" w:type="dxa"/>
            <w:tcBorders>
              <w:top w:val="nil"/>
              <w:left w:val="nil"/>
              <w:bottom w:val="nil"/>
              <w:right w:val="nil"/>
            </w:tcBorders>
          </w:tcPr>
          <w:p>
            <w:pPr>
              <w:pStyle w:val="TableParagraph"/>
              <w:spacing w:before="26"/>
              <w:ind w:left="257"/>
              <w:jc w:val="left"/>
              <w:rPr>
                <w:sz w:val="20"/>
              </w:rPr>
            </w:pPr>
            <w:r>
              <w:rPr>
                <w:sz w:val="20"/>
              </w:rPr>
              <w:t>0.14</w:t>
            </w:r>
          </w:p>
        </w:tc>
        <w:tc>
          <w:tcPr>
            <w:tcW w:w="828" w:type="dxa"/>
            <w:tcBorders>
              <w:top w:val="nil"/>
              <w:left w:val="nil"/>
              <w:bottom w:val="nil"/>
              <w:right w:val="nil"/>
            </w:tcBorders>
          </w:tcPr>
          <w:p>
            <w:pPr>
              <w:pStyle w:val="TableParagraph"/>
              <w:spacing w:before="26"/>
              <w:ind w:left="259"/>
              <w:jc w:val="left"/>
              <w:rPr>
                <w:sz w:val="20"/>
              </w:rPr>
            </w:pPr>
            <w:r>
              <w:rPr>
                <w:sz w:val="20"/>
              </w:rPr>
              <w:t>0.00</w:t>
            </w:r>
          </w:p>
        </w:tc>
        <w:tc>
          <w:tcPr>
            <w:tcW w:w="826" w:type="dxa"/>
            <w:tcBorders>
              <w:top w:val="nil"/>
              <w:left w:val="nil"/>
              <w:bottom w:val="nil"/>
              <w:right w:val="nil"/>
            </w:tcBorders>
          </w:tcPr>
          <w:p>
            <w:pPr>
              <w:pStyle w:val="TableParagraph"/>
              <w:spacing w:before="26"/>
              <w:ind w:left="257"/>
              <w:jc w:val="left"/>
              <w:rPr>
                <w:sz w:val="20"/>
              </w:rPr>
            </w:pPr>
            <w:r>
              <w:rPr>
                <w:sz w:val="20"/>
              </w:rPr>
              <w:t>0.00</w:t>
            </w:r>
          </w:p>
        </w:tc>
        <w:tc>
          <w:tcPr>
            <w:tcW w:w="776" w:type="dxa"/>
            <w:tcBorders>
              <w:top w:val="nil"/>
              <w:left w:val="nil"/>
              <w:bottom w:val="nil"/>
              <w:right w:val="nil"/>
            </w:tcBorders>
          </w:tcPr>
          <w:p>
            <w:pPr>
              <w:pStyle w:val="TableParagraph"/>
              <w:spacing w:before="26"/>
              <w:ind w:right="60"/>
              <w:rPr>
                <w:sz w:val="20"/>
              </w:rPr>
            </w:pPr>
            <w:r>
              <w:rPr>
                <w:sz w:val="20"/>
              </w:rPr>
              <w:t>0.00</w:t>
            </w:r>
          </w:p>
        </w:tc>
      </w:tr>
      <w:tr>
        <w:trPr>
          <w:trHeight w:val="300" w:hRule="exact"/>
        </w:trPr>
        <w:tc>
          <w:tcPr>
            <w:tcW w:w="1405" w:type="dxa"/>
            <w:tcBorders>
              <w:top w:val="nil"/>
              <w:left w:val="nil"/>
              <w:bottom w:val="nil"/>
              <w:right w:val="nil"/>
            </w:tcBorders>
          </w:tcPr>
          <w:p>
            <w:pPr>
              <w:pStyle w:val="TableParagraph"/>
              <w:spacing w:before="26"/>
              <w:ind w:left="86"/>
              <w:jc w:val="left"/>
              <w:rPr>
                <w:sz w:val="20"/>
              </w:rPr>
            </w:pPr>
            <w:r>
              <w:rPr>
                <w:sz w:val="20"/>
              </w:rPr>
              <w:t>TEJ_HlFp</w:t>
            </w:r>
          </w:p>
        </w:tc>
        <w:tc>
          <w:tcPr>
            <w:tcW w:w="695" w:type="dxa"/>
            <w:tcBorders>
              <w:top w:val="nil"/>
              <w:left w:val="nil"/>
              <w:bottom w:val="nil"/>
              <w:right w:val="nil"/>
            </w:tcBorders>
          </w:tcPr>
          <w:p>
            <w:pPr>
              <w:pStyle w:val="TableParagraph"/>
              <w:spacing w:before="26"/>
              <w:ind w:left="110" w:right="195"/>
              <w:jc w:val="center"/>
              <w:rPr>
                <w:sz w:val="20"/>
              </w:rPr>
            </w:pPr>
            <w:r>
              <w:rPr>
                <w:sz w:val="20"/>
              </w:rPr>
              <w:t>0.14</w:t>
            </w:r>
          </w:p>
        </w:tc>
        <w:tc>
          <w:tcPr>
            <w:tcW w:w="826" w:type="dxa"/>
            <w:tcBorders>
              <w:top w:val="nil"/>
              <w:left w:val="nil"/>
              <w:bottom w:val="nil"/>
              <w:right w:val="nil"/>
            </w:tcBorders>
          </w:tcPr>
          <w:p>
            <w:pPr>
              <w:pStyle w:val="TableParagraph"/>
              <w:spacing w:before="26"/>
              <w:ind w:left="257"/>
              <w:jc w:val="left"/>
              <w:rPr>
                <w:sz w:val="20"/>
              </w:rPr>
            </w:pPr>
            <w:r>
              <w:rPr>
                <w:sz w:val="20"/>
              </w:rPr>
              <w:t>0.14</w:t>
            </w:r>
          </w:p>
        </w:tc>
        <w:tc>
          <w:tcPr>
            <w:tcW w:w="826" w:type="dxa"/>
            <w:tcBorders>
              <w:top w:val="nil"/>
              <w:left w:val="nil"/>
              <w:bottom w:val="nil"/>
              <w:right w:val="nil"/>
            </w:tcBorders>
          </w:tcPr>
          <w:p>
            <w:pPr>
              <w:pStyle w:val="TableParagraph"/>
              <w:spacing w:before="26"/>
              <w:ind w:left="256"/>
              <w:jc w:val="left"/>
              <w:rPr>
                <w:sz w:val="20"/>
              </w:rPr>
            </w:pPr>
            <w:r>
              <w:rPr>
                <w:sz w:val="20"/>
              </w:rPr>
              <w:t>0.14</w:t>
            </w:r>
          </w:p>
        </w:tc>
        <w:tc>
          <w:tcPr>
            <w:tcW w:w="829" w:type="dxa"/>
            <w:tcBorders>
              <w:top w:val="nil"/>
              <w:left w:val="nil"/>
              <w:bottom w:val="nil"/>
              <w:right w:val="nil"/>
            </w:tcBorders>
          </w:tcPr>
          <w:p>
            <w:pPr>
              <w:pStyle w:val="TableParagraph"/>
              <w:spacing w:before="26"/>
              <w:ind w:left="257"/>
              <w:jc w:val="left"/>
              <w:rPr>
                <w:sz w:val="20"/>
              </w:rPr>
            </w:pPr>
            <w:r>
              <w:rPr>
                <w:sz w:val="20"/>
              </w:rPr>
              <w:t>0.14</w:t>
            </w:r>
          </w:p>
        </w:tc>
        <w:tc>
          <w:tcPr>
            <w:tcW w:w="828" w:type="dxa"/>
            <w:tcBorders>
              <w:top w:val="nil"/>
              <w:left w:val="nil"/>
              <w:bottom w:val="nil"/>
              <w:right w:val="nil"/>
            </w:tcBorders>
          </w:tcPr>
          <w:p>
            <w:pPr>
              <w:pStyle w:val="TableParagraph"/>
              <w:spacing w:before="26"/>
              <w:ind w:right="211"/>
              <w:rPr>
                <w:sz w:val="20"/>
              </w:rPr>
            </w:pPr>
            <w:r>
              <w:rPr>
                <w:sz w:val="20"/>
              </w:rPr>
              <w:t>0.14</w:t>
            </w:r>
          </w:p>
        </w:tc>
        <w:tc>
          <w:tcPr>
            <w:tcW w:w="826" w:type="dxa"/>
            <w:tcBorders>
              <w:top w:val="nil"/>
              <w:left w:val="nil"/>
              <w:bottom w:val="nil"/>
              <w:right w:val="nil"/>
            </w:tcBorders>
          </w:tcPr>
          <w:p>
            <w:pPr>
              <w:pStyle w:val="TableParagraph"/>
              <w:spacing w:before="26"/>
              <w:ind w:left="256"/>
              <w:jc w:val="left"/>
              <w:rPr>
                <w:sz w:val="20"/>
              </w:rPr>
            </w:pPr>
            <w:r>
              <w:rPr>
                <w:sz w:val="20"/>
              </w:rPr>
              <w:t>0.14</w:t>
            </w:r>
          </w:p>
        </w:tc>
        <w:tc>
          <w:tcPr>
            <w:tcW w:w="828" w:type="dxa"/>
            <w:tcBorders>
              <w:top w:val="nil"/>
              <w:left w:val="nil"/>
              <w:bottom w:val="nil"/>
              <w:right w:val="nil"/>
            </w:tcBorders>
          </w:tcPr>
          <w:p>
            <w:pPr>
              <w:pStyle w:val="TableParagraph"/>
              <w:spacing w:before="26"/>
              <w:ind w:left="257"/>
              <w:jc w:val="left"/>
              <w:rPr>
                <w:sz w:val="20"/>
              </w:rPr>
            </w:pPr>
            <w:r>
              <w:rPr>
                <w:sz w:val="20"/>
              </w:rPr>
              <w:t>0.14</w:t>
            </w:r>
          </w:p>
        </w:tc>
        <w:tc>
          <w:tcPr>
            <w:tcW w:w="828" w:type="dxa"/>
            <w:tcBorders>
              <w:top w:val="nil"/>
              <w:left w:val="nil"/>
              <w:bottom w:val="nil"/>
              <w:right w:val="nil"/>
            </w:tcBorders>
          </w:tcPr>
          <w:p>
            <w:pPr>
              <w:pStyle w:val="TableParagraph"/>
              <w:spacing w:before="26"/>
              <w:ind w:left="259"/>
              <w:jc w:val="left"/>
              <w:rPr>
                <w:sz w:val="20"/>
              </w:rPr>
            </w:pPr>
            <w:r>
              <w:rPr>
                <w:sz w:val="20"/>
              </w:rPr>
              <w:t>0.00</w:t>
            </w:r>
          </w:p>
        </w:tc>
        <w:tc>
          <w:tcPr>
            <w:tcW w:w="826" w:type="dxa"/>
            <w:tcBorders>
              <w:top w:val="nil"/>
              <w:left w:val="nil"/>
              <w:bottom w:val="nil"/>
              <w:right w:val="nil"/>
            </w:tcBorders>
          </w:tcPr>
          <w:p>
            <w:pPr>
              <w:pStyle w:val="TableParagraph"/>
              <w:spacing w:before="26"/>
              <w:ind w:left="257"/>
              <w:jc w:val="left"/>
              <w:rPr>
                <w:sz w:val="20"/>
              </w:rPr>
            </w:pPr>
            <w:r>
              <w:rPr>
                <w:sz w:val="20"/>
              </w:rPr>
              <w:t>0.00</w:t>
            </w:r>
          </w:p>
        </w:tc>
        <w:tc>
          <w:tcPr>
            <w:tcW w:w="776" w:type="dxa"/>
            <w:tcBorders>
              <w:top w:val="nil"/>
              <w:left w:val="nil"/>
              <w:bottom w:val="nil"/>
              <w:right w:val="nil"/>
            </w:tcBorders>
          </w:tcPr>
          <w:p>
            <w:pPr>
              <w:pStyle w:val="TableParagraph"/>
              <w:spacing w:before="26"/>
              <w:ind w:right="60"/>
              <w:rPr>
                <w:sz w:val="20"/>
              </w:rPr>
            </w:pPr>
            <w:r>
              <w:rPr>
                <w:sz w:val="20"/>
              </w:rPr>
              <w:t>0.00</w:t>
            </w:r>
          </w:p>
        </w:tc>
      </w:tr>
      <w:tr>
        <w:trPr>
          <w:trHeight w:val="300" w:hRule="exact"/>
        </w:trPr>
        <w:tc>
          <w:tcPr>
            <w:tcW w:w="1405" w:type="dxa"/>
            <w:tcBorders>
              <w:top w:val="nil"/>
              <w:left w:val="nil"/>
              <w:bottom w:val="nil"/>
              <w:right w:val="nil"/>
            </w:tcBorders>
          </w:tcPr>
          <w:p>
            <w:pPr>
              <w:pStyle w:val="TableParagraph"/>
              <w:ind w:left="86"/>
              <w:jc w:val="left"/>
              <w:rPr>
                <w:sz w:val="20"/>
              </w:rPr>
            </w:pPr>
            <w:r>
              <w:rPr>
                <w:sz w:val="20"/>
              </w:rPr>
              <w:t>TEJ_HlSF</w:t>
            </w:r>
          </w:p>
        </w:tc>
        <w:tc>
          <w:tcPr>
            <w:tcW w:w="695" w:type="dxa"/>
            <w:tcBorders>
              <w:top w:val="nil"/>
              <w:left w:val="nil"/>
              <w:bottom w:val="nil"/>
              <w:right w:val="nil"/>
            </w:tcBorders>
          </w:tcPr>
          <w:p>
            <w:pPr>
              <w:pStyle w:val="TableParagraph"/>
              <w:ind w:left="110" w:right="195"/>
              <w:jc w:val="center"/>
              <w:rPr>
                <w:sz w:val="20"/>
              </w:rPr>
            </w:pPr>
            <w:r>
              <w:rPr>
                <w:sz w:val="20"/>
              </w:rPr>
              <w:t>0.14</w:t>
            </w:r>
          </w:p>
        </w:tc>
        <w:tc>
          <w:tcPr>
            <w:tcW w:w="826" w:type="dxa"/>
            <w:tcBorders>
              <w:top w:val="nil"/>
              <w:left w:val="nil"/>
              <w:bottom w:val="nil"/>
              <w:right w:val="nil"/>
            </w:tcBorders>
          </w:tcPr>
          <w:p>
            <w:pPr>
              <w:pStyle w:val="TableParagraph"/>
              <w:ind w:left="257"/>
              <w:jc w:val="left"/>
              <w:rPr>
                <w:sz w:val="20"/>
              </w:rPr>
            </w:pPr>
            <w:r>
              <w:rPr>
                <w:sz w:val="20"/>
              </w:rPr>
              <w:t>0.14</w:t>
            </w:r>
          </w:p>
        </w:tc>
        <w:tc>
          <w:tcPr>
            <w:tcW w:w="826" w:type="dxa"/>
            <w:tcBorders>
              <w:top w:val="nil"/>
              <w:left w:val="nil"/>
              <w:bottom w:val="nil"/>
              <w:right w:val="nil"/>
            </w:tcBorders>
          </w:tcPr>
          <w:p>
            <w:pPr>
              <w:pStyle w:val="TableParagraph"/>
              <w:ind w:left="256"/>
              <w:jc w:val="left"/>
              <w:rPr>
                <w:sz w:val="20"/>
              </w:rPr>
            </w:pPr>
            <w:r>
              <w:rPr>
                <w:sz w:val="20"/>
              </w:rPr>
              <w:t>0.14</w:t>
            </w:r>
          </w:p>
        </w:tc>
        <w:tc>
          <w:tcPr>
            <w:tcW w:w="829" w:type="dxa"/>
            <w:tcBorders>
              <w:top w:val="nil"/>
              <w:left w:val="nil"/>
              <w:bottom w:val="nil"/>
              <w:right w:val="nil"/>
            </w:tcBorders>
          </w:tcPr>
          <w:p>
            <w:pPr>
              <w:pStyle w:val="TableParagraph"/>
              <w:ind w:left="257"/>
              <w:jc w:val="left"/>
              <w:rPr>
                <w:sz w:val="20"/>
              </w:rPr>
            </w:pPr>
            <w:r>
              <w:rPr>
                <w:sz w:val="20"/>
              </w:rPr>
              <w:t>0.14</w:t>
            </w:r>
          </w:p>
        </w:tc>
        <w:tc>
          <w:tcPr>
            <w:tcW w:w="828" w:type="dxa"/>
            <w:tcBorders>
              <w:top w:val="nil"/>
              <w:left w:val="nil"/>
              <w:bottom w:val="nil"/>
              <w:right w:val="nil"/>
            </w:tcBorders>
          </w:tcPr>
          <w:p>
            <w:pPr>
              <w:pStyle w:val="TableParagraph"/>
              <w:ind w:right="211"/>
              <w:rPr>
                <w:sz w:val="20"/>
              </w:rPr>
            </w:pPr>
            <w:r>
              <w:rPr>
                <w:sz w:val="20"/>
              </w:rPr>
              <w:t>0.14</w:t>
            </w:r>
          </w:p>
        </w:tc>
        <w:tc>
          <w:tcPr>
            <w:tcW w:w="826" w:type="dxa"/>
            <w:tcBorders>
              <w:top w:val="nil"/>
              <w:left w:val="nil"/>
              <w:bottom w:val="nil"/>
              <w:right w:val="nil"/>
            </w:tcBorders>
          </w:tcPr>
          <w:p>
            <w:pPr>
              <w:pStyle w:val="TableParagraph"/>
              <w:ind w:left="256"/>
              <w:jc w:val="left"/>
              <w:rPr>
                <w:sz w:val="20"/>
              </w:rPr>
            </w:pPr>
            <w:r>
              <w:rPr>
                <w:sz w:val="20"/>
              </w:rPr>
              <w:t>0.14</w:t>
            </w:r>
          </w:p>
        </w:tc>
        <w:tc>
          <w:tcPr>
            <w:tcW w:w="828" w:type="dxa"/>
            <w:tcBorders>
              <w:top w:val="nil"/>
              <w:left w:val="nil"/>
              <w:bottom w:val="nil"/>
              <w:right w:val="nil"/>
            </w:tcBorders>
          </w:tcPr>
          <w:p>
            <w:pPr>
              <w:pStyle w:val="TableParagraph"/>
              <w:ind w:left="257"/>
              <w:jc w:val="left"/>
              <w:rPr>
                <w:sz w:val="20"/>
              </w:rPr>
            </w:pPr>
            <w:r>
              <w:rPr>
                <w:sz w:val="20"/>
              </w:rPr>
              <w:t>0.14</w:t>
            </w:r>
          </w:p>
        </w:tc>
        <w:tc>
          <w:tcPr>
            <w:tcW w:w="828" w:type="dxa"/>
            <w:tcBorders>
              <w:top w:val="nil"/>
              <w:left w:val="nil"/>
              <w:bottom w:val="nil"/>
              <w:right w:val="nil"/>
            </w:tcBorders>
          </w:tcPr>
          <w:p>
            <w:pPr>
              <w:pStyle w:val="TableParagraph"/>
              <w:ind w:left="259"/>
              <w:jc w:val="left"/>
              <w:rPr>
                <w:sz w:val="20"/>
              </w:rPr>
            </w:pPr>
            <w:r>
              <w:rPr>
                <w:sz w:val="20"/>
              </w:rPr>
              <w:t>0.00</w:t>
            </w:r>
          </w:p>
        </w:tc>
        <w:tc>
          <w:tcPr>
            <w:tcW w:w="826" w:type="dxa"/>
            <w:tcBorders>
              <w:top w:val="nil"/>
              <w:left w:val="nil"/>
              <w:bottom w:val="nil"/>
              <w:right w:val="nil"/>
            </w:tcBorders>
          </w:tcPr>
          <w:p>
            <w:pPr>
              <w:pStyle w:val="TableParagraph"/>
              <w:ind w:left="257"/>
              <w:jc w:val="left"/>
              <w:rPr>
                <w:sz w:val="20"/>
              </w:rPr>
            </w:pPr>
            <w:r>
              <w:rPr>
                <w:sz w:val="20"/>
              </w:rPr>
              <w:t>0.00</w:t>
            </w:r>
          </w:p>
        </w:tc>
        <w:tc>
          <w:tcPr>
            <w:tcW w:w="776" w:type="dxa"/>
            <w:tcBorders>
              <w:top w:val="nil"/>
              <w:left w:val="nil"/>
              <w:bottom w:val="nil"/>
              <w:right w:val="nil"/>
            </w:tcBorders>
          </w:tcPr>
          <w:p>
            <w:pPr>
              <w:pStyle w:val="TableParagraph"/>
              <w:ind w:right="60"/>
              <w:rPr>
                <w:sz w:val="20"/>
              </w:rPr>
            </w:pPr>
            <w:r>
              <w:rPr>
                <w:sz w:val="20"/>
              </w:rPr>
              <w:t>0.00</w:t>
            </w:r>
          </w:p>
        </w:tc>
      </w:tr>
      <w:tr>
        <w:trPr>
          <w:trHeight w:val="302" w:hRule="exact"/>
        </w:trPr>
        <w:tc>
          <w:tcPr>
            <w:tcW w:w="1405" w:type="dxa"/>
            <w:tcBorders>
              <w:top w:val="nil"/>
              <w:left w:val="nil"/>
              <w:bottom w:val="nil"/>
              <w:right w:val="nil"/>
            </w:tcBorders>
          </w:tcPr>
          <w:p>
            <w:pPr>
              <w:pStyle w:val="TableParagraph"/>
              <w:spacing w:before="26"/>
              <w:ind w:left="86"/>
              <w:jc w:val="left"/>
              <w:rPr>
                <w:sz w:val="20"/>
              </w:rPr>
            </w:pPr>
            <w:r>
              <w:rPr>
                <w:sz w:val="20"/>
              </w:rPr>
              <w:t>TEJ_ISF</w:t>
            </w:r>
          </w:p>
        </w:tc>
        <w:tc>
          <w:tcPr>
            <w:tcW w:w="695" w:type="dxa"/>
            <w:tcBorders>
              <w:top w:val="nil"/>
              <w:left w:val="nil"/>
              <w:bottom w:val="nil"/>
              <w:right w:val="nil"/>
            </w:tcBorders>
          </w:tcPr>
          <w:p>
            <w:pPr>
              <w:pStyle w:val="TableParagraph"/>
              <w:spacing w:before="26"/>
              <w:ind w:left="110" w:right="195"/>
              <w:jc w:val="center"/>
              <w:rPr>
                <w:sz w:val="20"/>
              </w:rPr>
            </w:pPr>
            <w:r>
              <w:rPr>
                <w:sz w:val="20"/>
              </w:rPr>
              <w:t>0.14</w:t>
            </w:r>
          </w:p>
        </w:tc>
        <w:tc>
          <w:tcPr>
            <w:tcW w:w="826" w:type="dxa"/>
            <w:tcBorders>
              <w:top w:val="nil"/>
              <w:left w:val="nil"/>
              <w:bottom w:val="nil"/>
              <w:right w:val="nil"/>
            </w:tcBorders>
          </w:tcPr>
          <w:p>
            <w:pPr>
              <w:pStyle w:val="TableParagraph"/>
              <w:spacing w:before="26"/>
              <w:ind w:left="257"/>
              <w:jc w:val="left"/>
              <w:rPr>
                <w:sz w:val="20"/>
              </w:rPr>
            </w:pPr>
            <w:r>
              <w:rPr>
                <w:sz w:val="20"/>
              </w:rPr>
              <w:t>0.14</w:t>
            </w:r>
          </w:p>
        </w:tc>
        <w:tc>
          <w:tcPr>
            <w:tcW w:w="826" w:type="dxa"/>
            <w:tcBorders>
              <w:top w:val="nil"/>
              <w:left w:val="nil"/>
              <w:bottom w:val="nil"/>
              <w:right w:val="nil"/>
            </w:tcBorders>
          </w:tcPr>
          <w:p>
            <w:pPr>
              <w:pStyle w:val="TableParagraph"/>
              <w:spacing w:before="26"/>
              <w:ind w:left="256"/>
              <w:jc w:val="left"/>
              <w:rPr>
                <w:sz w:val="20"/>
              </w:rPr>
            </w:pPr>
            <w:r>
              <w:rPr>
                <w:sz w:val="20"/>
              </w:rPr>
              <w:t>0.14</w:t>
            </w:r>
          </w:p>
        </w:tc>
        <w:tc>
          <w:tcPr>
            <w:tcW w:w="829" w:type="dxa"/>
            <w:tcBorders>
              <w:top w:val="nil"/>
              <w:left w:val="nil"/>
              <w:bottom w:val="nil"/>
              <w:right w:val="nil"/>
            </w:tcBorders>
          </w:tcPr>
          <w:p>
            <w:pPr>
              <w:pStyle w:val="TableParagraph"/>
              <w:spacing w:before="26"/>
              <w:ind w:left="257"/>
              <w:jc w:val="left"/>
              <w:rPr>
                <w:sz w:val="20"/>
              </w:rPr>
            </w:pPr>
            <w:r>
              <w:rPr>
                <w:sz w:val="20"/>
              </w:rPr>
              <w:t>0.14</w:t>
            </w:r>
          </w:p>
        </w:tc>
        <w:tc>
          <w:tcPr>
            <w:tcW w:w="828" w:type="dxa"/>
            <w:tcBorders>
              <w:top w:val="nil"/>
              <w:left w:val="nil"/>
              <w:bottom w:val="nil"/>
              <w:right w:val="nil"/>
            </w:tcBorders>
          </w:tcPr>
          <w:p>
            <w:pPr>
              <w:pStyle w:val="TableParagraph"/>
              <w:spacing w:before="26"/>
              <w:ind w:right="211"/>
              <w:rPr>
                <w:sz w:val="20"/>
              </w:rPr>
            </w:pPr>
            <w:r>
              <w:rPr>
                <w:sz w:val="20"/>
              </w:rPr>
              <w:t>0.14</w:t>
            </w:r>
          </w:p>
        </w:tc>
        <w:tc>
          <w:tcPr>
            <w:tcW w:w="826" w:type="dxa"/>
            <w:tcBorders>
              <w:top w:val="nil"/>
              <w:left w:val="nil"/>
              <w:bottom w:val="nil"/>
              <w:right w:val="nil"/>
            </w:tcBorders>
          </w:tcPr>
          <w:p>
            <w:pPr>
              <w:pStyle w:val="TableParagraph"/>
              <w:spacing w:before="26"/>
              <w:ind w:left="256"/>
              <w:jc w:val="left"/>
              <w:rPr>
                <w:sz w:val="20"/>
              </w:rPr>
            </w:pPr>
            <w:r>
              <w:rPr>
                <w:sz w:val="20"/>
              </w:rPr>
              <w:t>0.14</w:t>
            </w:r>
          </w:p>
        </w:tc>
        <w:tc>
          <w:tcPr>
            <w:tcW w:w="828" w:type="dxa"/>
            <w:tcBorders>
              <w:top w:val="nil"/>
              <w:left w:val="nil"/>
              <w:bottom w:val="nil"/>
              <w:right w:val="nil"/>
            </w:tcBorders>
          </w:tcPr>
          <w:p>
            <w:pPr>
              <w:pStyle w:val="TableParagraph"/>
              <w:spacing w:before="26"/>
              <w:ind w:left="257"/>
              <w:jc w:val="left"/>
              <w:rPr>
                <w:sz w:val="20"/>
              </w:rPr>
            </w:pPr>
            <w:r>
              <w:rPr>
                <w:sz w:val="20"/>
              </w:rPr>
              <w:t>0.14</w:t>
            </w:r>
          </w:p>
        </w:tc>
        <w:tc>
          <w:tcPr>
            <w:tcW w:w="828" w:type="dxa"/>
            <w:tcBorders>
              <w:top w:val="nil"/>
              <w:left w:val="nil"/>
              <w:bottom w:val="nil"/>
              <w:right w:val="nil"/>
            </w:tcBorders>
          </w:tcPr>
          <w:p>
            <w:pPr>
              <w:pStyle w:val="TableParagraph"/>
              <w:spacing w:before="26"/>
              <w:ind w:left="259"/>
              <w:jc w:val="left"/>
              <w:rPr>
                <w:sz w:val="20"/>
              </w:rPr>
            </w:pPr>
            <w:r>
              <w:rPr>
                <w:sz w:val="20"/>
              </w:rPr>
              <w:t>0.00</w:t>
            </w:r>
          </w:p>
        </w:tc>
        <w:tc>
          <w:tcPr>
            <w:tcW w:w="826" w:type="dxa"/>
            <w:tcBorders>
              <w:top w:val="nil"/>
              <w:left w:val="nil"/>
              <w:bottom w:val="nil"/>
              <w:right w:val="nil"/>
            </w:tcBorders>
          </w:tcPr>
          <w:p>
            <w:pPr>
              <w:pStyle w:val="TableParagraph"/>
              <w:spacing w:before="26"/>
              <w:ind w:left="257"/>
              <w:jc w:val="left"/>
              <w:rPr>
                <w:sz w:val="20"/>
              </w:rPr>
            </w:pPr>
            <w:r>
              <w:rPr>
                <w:sz w:val="20"/>
              </w:rPr>
              <w:t>0.00</w:t>
            </w:r>
          </w:p>
        </w:tc>
        <w:tc>
          <w:tcPr>
            <w:tcW w:w="776" w:type="dxa"/>
            <w:tcBorders>
              <w:top w:val="nil"/>
              <w:left w:val="nil"/>
              <w:bottom w:val="nil"/>
              <w:right w:val="nil"/>
            </w:tcBorders>
          </w:tcPr>
          <w:p>
            <w:pPr>
              <w:pStyle w:val="TableParagraph"/>
              <w:spacing w:before="26"/>
              <w:ind w:right="60"/>
              <w:rPr>
                <w:sz w:val="20"/>
              </w:rPr>
            </w:pPr>
            <w:r>
              <w:rPr>
                <w:sz w:val="20"/>
              </w:rPr>
              <w:t>0.00</w:t>
            </w:r>
          </w:p>
        </w:tc>
      </w:tr>
      <w:tr>
        <w:trPr>
          <w:trHeight w:val="300" w:hRule="exact"/>
        </w:trPr>
        <w:tc>
          <w:tcPr>
            <w:tcW w:w="1405" w:type="dxa"/>
            <w:tcBorders>
              <w:top w:val="nil"/>
              <w:left w:val="nil"/>
              <w:bottom w:val="nil"/>
              <w:right w:val="nil"/>
            </w:tcBorders>
          </w:tcPr>
          <w:p>
            <w:pPr>
              <w:pStyle w:val="TableParagraph"/>
              <w:spacing w:before="26"/>
              <w:ind w:left="86"/>
              <w:jc w:val="left"/>
              <w:rPr>
                <w:sz w:val="20"/>
              </w:rPr>
            </w:pPr>
            <w:r>
              <w:rPr>
                <w:sz w:val="20"/>
              </w:rPr>
              <w:t>TEJ_LcFdp</w:t>
            </w:r>
          </w:p>
        </w:tc>
        <w:tc>
          <w:tcPr>
            <w:tcW w:w="695" w:type="dxa"/>
            <w:tcBorders>
              <w:top w:val="nil"/>
              <w:left w:val="nil"/>
              <w:bottom w:val="nil"/>
              <w:right w:val="nil"/>
            </w:tcBorders>
          </w:tcPr>
          <w:p>
            <w:pPr>
              <w:pStyle w:val="TableParagraph"/>
              <w:spacing w:before="26"/>
              <w:ind w:left="110" w:right="195"/>
              <w:jc w:val="center"/>
              <w:rPr>
                <w:sz w:val="20"/>
              </w:rPr>
            </w:pPr>
            <w:r>
              <w:rPr>
                <w:sz w:val="20"/>
              </w:rPr>
              <w:t>0.28</w:t>
            </w:r>
          </w:p>
        </w:tc>
        <w:tc>
          <w:tcPr>
            <w:tcW w:w="826" w:type="dxa"/>
            <w:tcBorders>
              <w:top w:val="nil"/>
              <w:left w:val="nil"/>
              <w:bottom w:val="nil"/>
              <w:right w:val="nil"/>
            </w:tcBorders>
          </w:tcPr>
          <w:p>
            <w:pPr>
              <w:pStyle w:val="TableParagraph"/>
              <w:spacing w:before="26"/>
              <w:ind w:left="257"/>
              <w:jc w:val="left"/>
              <w:rPr>
                <w:sz w:val="20"/>
              </w:rPr>
            </w:pPr>
            <w:r>
              <w:rPr>
                <w:sz w:val="20"/>
              </w:rPr>
              <w:t>0.28</w:t>
            </w:r>
          </w:p>
        </w:tc>
        <w:tc>
          <w:tcPr>
            <w:tcW w:w="826" w:type="dxa"/>
            <w:tcBorders>
              <w:top w:val="nil"/>
              <w:left w:val="nil"/>
              <w:bottom w:val="nil"/>
              <w:right w:val="nil"/>
            </w:tcBorders>
          </w:tcPr>
          <w:p>
            <w:pPr>
              <w:pStyle w:val="TableParagraph"/>
              <w:spacing w:before="26"/>
              <w:ind w:left="256"/>
              <w:jc w:val="left"/>
              <w:rPr>
                <w:sz w:val="20"/>
              </w:rPr>
            </w:pPr>
            <w:r>
              <w:rPr>
                <w:sz w:val="20"/>
              </w:rPr>
              <w:t>0.28</w:t>
            </w:r>
          </w:p>
        </w:tc>
        <w:tc>
          <w:tcPr>
            <w:tcW w:w="829" w:type="dxa"/>
            <w:tcBorders>
              <w:top w:val="nil"/>
              <w:left w:val="nil"/>
              <w:bottom w:val="nil"/>
              <w:right w:val="nil"/>
            </w:tcBorders>
          </w:tcPr>
          <w:p>
            <w:pPr>
              <w:pStyle w:val="TableParagraph"/>
              <w:spacing w:before="26"/>
              <w:ind w:left="257"/>
              <w:jc w:val="left"/>
              <w:rPr>
                <w:sz w:val="20"/>
              </w:rPr>
            </w:pPr>
            <w:r>
              <w:rPr>
                <w:sz w:val="20"/>
              </w:rPr>
              <w:t>0.28</w:t>
            </w:r>
          </w:p>
        </w:tc>
        <w:tc>
          <w:tcPr>
            <w:tcW w:w="828" w:type="dxa"/>
            <w:tcBorders>
              <w:top w:val="nil"/>
              <w:left w:val="nil"/>
              <w:bottom w:val="nil"/>
              <w:right w:val="nil"/>
            </w:tcBorders>
          </w:tcPr>
          <w:p>
            <w:pPr>
              <w:pStyle w:val="TableParagraph"/>
              <w:spacing w:before="26"/>
              <w:ind w:right="211"/>
              <w:rPr>
                <w:sz w:val="20"/>
              </w:rPr>
            </w:pPr>
            <w:r>
              <w:rPr>
                <w:sz w:val="20"/>
              </w:rPr>
              <w:t>0.28</w:t>
            </w:r>
          </w:p>
        </w:tc>
        <w:tc>
          <w:tcPr>
            <w:tcW w:w="826" w:type="dxa"/>
            <w:tcBorders>
              <w:top w:val="nil"/>
              <w:left w:val="nil"/>
              <w:bottom w:val="nil"/>
              <w:right w:val="nil"/>
            </w:tcBorders>
          </w:tcPr>
          <w:p>
            <w:pPr>
              <w:pStyle w:val="TableParagraph"/>
              <w:spacing w:before="26"/>
              <w:ind w:left="256"/>
              <w:jc w:val="left"/>
              <w:rPr>
                <w:sz w:val="20"/>
              </w:rPr>
            </w:pPr>
            <w:r>
              <w:rPr>
                <w:sz w:val="20"/>
              </w:rPr>
              <w:t>0.28</w:t>
            </w:r>
          </w:p>
        </w:tc>
        <w:tc>
          <w:tcPr>
            <w:tcW w:w="828" w:type="dxa"/>
            <w:tcBorders>
              <w:top w:val="nil"/>
              <w:left w:val="nil"/>
              <w:bottom w:val="nil"/>
              <w:right w:val="nil"/>
            </w:tcBorders>
          </w:tcPr>
          <w:p>
            <w:pPr>
              <w:pStyle w:val="TableParagraph"/>
              <w:spacing w:before="26"/>
              <w:ind w:left="257"/>
              <w:jc w:val="left"/>
              <w:rPr>
                <w:sz w:val="20"/>
              </w:rPr>
            </w:pPr>
            <w:r>
              <w:rPr>
                <w:sz w:val="20"/>
              </w:rPr>
              <w:t>0.28</w:t>
            </w:r>
          </w:p>
        </w:tc>
        <w:tc>
          <w:tcPr>
            <w:tcW w:w="828" w:type="dxa"/>
            <w:tcBorders>
              <w:top w:val="nil"/>
              <w:left w:val="nil"/>
              <w:bottom w:val="nil"/>
              <w:right w:val="nil"/>
            </w:tcBorders>
          </w:tcPr>
          <w:p>
            <w:pPr>
              <w:pStyle w:val="TableParagraph"/>
              <w:spacing w:before="26"/>
              <w:ind w:left="259"/>
              <w:jc w:val="left"/>
              <w:rPr>
                <w:sz w:val="20"/>
              </w:rPr>
            </w:pPr>
            <w:r>
              <w:rPr>
                <w:sz w:val="20"/>
              </w:rPr>
              <w:t>0.00</w:t>
            </w:r>
          </w:p>
        </w:tc>
        <w:tc>
          <w:tcPr>
            <w:tcW w:w="826" w:type="dxa"/>
            <w:tcBorders>
              <w:top w:val="nil"/>
              <w:left w:val="nil"/>
              <w:bottom w:val="nil"/>
              <w:right w:val="nil"/>
            </w:tcBorders>
          </w:tcPr>
          <w:p>
            <w:pPr>
              <w:pStyle w:val="TableParagraph"/>
              <w:spacing w:before="26"/>
              <w:ind w:left="257"/>
              <w:jc w:val="left"/>
              <w:rPr>
                <w:sz w:val="20"/>
              </w:rPr>
            </w:pPr>
            <w:r>
              <w:rPr>
                <w:sz w:val="20"/>
              </w:rPr>
              <w:t>0.00</w:t>
            </w:r>
          </w:p>
        </w:tc>
        <w:tc>
          <w:tcPr>
            <w:tcW w:w="776" w:type="dxa"/>
            <w:tcBorders>
              <w:top w:val="nil"/>
              <w:left w:val="nil"/>
              <w:bottom w:val="nil"/>
              <w:right w:val="nil"/>
            </w:tcBorders>
          </w:tcPr>
          <w:p>
            <w:pPr>
              <w:pStyle w:val="TableParagraph"/>
              <w:spacing w:before="26"/>
              <w:ind w:right="60"/>
              <w:rPr>
                <w:sz w:val="20"/>
              </w:rPr>
            </w:pPr>
            <w:r>
              <w:rPr>
                <w:sz w:val="20"/>
              </w:rPr>
              <w:t>0.00</w:t>
            </w:r>
          </w:p>
        </w:tc>
      </w:tr>
      <w:tr>
        <w:trPr>
          <w:trHeight w:val="300" w:hRule="exact"/>
        </w:trPr>
        <w:tc>
          <w:tcPr>
            <w:tcW w:w="1405" w:type="dxa"/>
            <w:tcBorders>
              <w:top w:val="nil"/>
              <w:left w:val="nil"/>
              <w:bottom w:val="nil"/>
              <w:right w:val="nil"/>
            </w:tcBorders>
          </w:tcPr>
          <w:p>
            <w:pPr>
              <w:pStyle w:val="TableParagraph"/>
              <w:ind w:left="86"/>
              <w:jc w:val="left"/>
              <w:rPr>
                <w:sz w:val="20"/>
              </w:rPr>
            </w:pPr>
            <w:r>
              <w:rPr>
                <w:sz w:val="20"/>
              </w:rPr>
              <w:t>TEJ_LcFl</w:t>
            </w:r>
          </w:p>
        </w:tc>
        <w:tc>
          <w:tcPr>
            <w:tcW w:w="695" w:type="dxa"/>
            <w:tcBorders>
              <w:top w:val="nil"/>
              <w:left w:val="nil"/>
              <w:bottom w:val="nil"/>
              <w:right w:val="nil"/>
            </w:tcBorders>
          </w:tcPr>
          <w:p>
            <w:pPr>
              <w:pStyle w:val="TableParagraph"/>
              <w:ind w:left="110" w:right="195"/>
              <w:jc w:val="center"/>
              <w:rPr>
                <w:sz w:val="20"/>
              </w:rPr>
            </w:pPr>
            <w:r>
              <w:rPr>
                <w:sz w:val="20"/>
              </w:rPr>
              <w:t>0.28</w:t>
            </w:r>
          </w:p>
        </w:tc>
        <w:tc>
          <w:tcPr>
            <w:tcW w:w="826" w:type="dxa"/>
            <w:tcBorders>
              <w:top w:val="nil"/>
              <w:left w:val="nil"/>
              <w:bottom w:val="nil"/>
              <w:right w:val="nil"/>
            </w:tcBorders>
          </w:tcPr>
          <w:p>
            <w:pPr>
              <w:pStyle w:val="TableParagraph"/>
              <w:ind w:left="257"/>
              <w:jc w:val="left"/>
              <w:rPr>
                <w:sz w:val="20"/>
              </w:rPr>
            </w:pPr>
            <w:r>
              <w:rPr>
                <w:sz w:val="20"/>
              </w:rPr>
              <w:t>0.28</w:t>
            </w:r>
          </w:p>
        </w:tc>
        <w:tc>
          <w:tcPr>
            <w:tcW w:w="826" w:type="dxa"/>
            <w:tcBorders>
              <w:top w:val="nil"/>
              <w:left w:val="nil"/>
              <w:bottom w:val="nil"/>
              <w:right w:val="nil"/>
            </w:tcBorders>
          </w:tcPr>
          <w:p>
            <w:pPr>
              <w:pStyle w:val="TableParagraph"/>
              <w:ind w:left="256"/>
              <w:jc w:val="left"/>
              <w:rPr>
                <w:sz w:val="20"/>
              </w:rPr>
            </w:pPr>
            <w:r>
              <w:rPr>
                <w:sz w:val="20"/>
              </w:rPr>
              <w:t>0.28</w:t>
            </w:r>
          </w:p>
        </w:tc>
        <w:tc>
          <w:tcPr>
            <w:tcW w:w="829" w:type="dxa"/>
            <w:tcBorders>
              <w:top w:val="nil"/>
              <w:left w:val="nil"/>
              <w:bottom w:val="nil"/>
              <w:right w:val="nil"/>
            </w:tcBorders>
          </w:tcPr>
          <w:p>
            <w:pPr>
              <w:pStyle w:val="TableParagraph"/>
              <w:ind w:left="257"/>
              <w:jc w:val="left"/>
              <w:rPr>
                <w:sz w:val="20"/>
              </w:rPr>
            </w:pPr>
            <w:r>
              <w:rPr>
                <w:sz w:val="20"/>
              </w:rPr>
              <w:t>0.28</w:t>
            </w:r>
          </w:p>
        </w:tc>
        <w:tc>
          <w:tcPr>
            <w:tcW w:w="828" w:type="dxa"/>
            <w:tcBorders>
              <w:top w:val="nil"/>
              <w:left w:val="nil"/>
              <w:bottom w:val="nil"/>
              <w:right w:val="nil"/>
            </w:tcBorders>
          </w:tcPr>
          <w:p>
            <w:pPr>
              <w:pStyle w:val="TableParagraph"/>
              <w:ind w:right="211"/>
              <w:rPr>
                <w:sz w:val="20"/>
              </w:rPr>
            </w:pPr>
            <w:r>
              <w:rPr>
                <w:sz w:val="20"/>
              </w:rPr>
              <w:t>0.28</w:t>
            </w:r>
          </w:p>
        </w:tc>
        <w:tc>
          <w:tcPr>
            <w:tcW w:w="826" w:type="dxa"/>
            <w:tcBorders>
              <w:top w:val="nil"/>
              <w:left w:val="nil"/>
              <w:bottom w:val="nil"/>
              <w:right w:val="nil"/>
            </w:tcBorders>
          </w:tcPr>
          <w:p>
            <w:pPr>
              <w:pStyle w:val="TableParagraph"/>
              <w:ind w:left="256"/>
              <w:jc w:val="left"/>
              <w:rPr>
                <w:sz w:val="20"/>
              </w:rPr>
            </w:pPr>
            <w:r>
              <w:rPr>
                <w:sz w:val="20"/>
              </w:rPr>
              <w:t>0.28</w:t>
            </w:r>
          </w:p>
        </w:tc>
        <w:tc>
          <w:tcPr>
            <w:tcW w:w="828" w:type="dxa"/>
            <w:tcBorders>
              <w:top w:val="nil"/>
              <w:left w:val="nil"/>
              <w:bottom w:val="nil"/>
              <w:right w:val="nil"/>
            </w:tcBorders>
          </w:tcPr>
          <w:p>
            <w:pPr>
              <w:pStyle w:val="TableParagraph"/>
              <w:ind w:left="257"/>
              <w:jc w:val="left"/>
              <w:rPr>
                <w:sz w:val="20"/>
              </w:rPr>
            </w:pPr>
            <w:r>
              <w:rPr>
                <w:sz w:val="20"/>
              </w:rPr>
              <w:t>0.28</w:t>
            </w:r>
          </w:p>
        </w:tc>
        <w:tc>
          <w:tcPr>
            <w:tcW w:w="828" w:type="dxa"/>
            <w:tcBorders>
              <w:top w:val="nil"/>
              <w:left w:val="nil"/>
              <w:bottom w:val="nil"/>
              <w:right w:val="nil"/>
            </w:tcBorders>
          </w:tcPr>
          <w:p>
            <w:pPr>
              <w:pStyle w:val="TableParagraph"/>
              <w:ind w:left="259"/>
              <w:jc w:val="left"/>
              <w:rPr>
                <w:sz w:val="20"/>
              </w:rPr>
            </w:pPr>
            <w:r>
              <w:rPr>
                <w:sz w:val="20"/>
              </w:rPr>
              <w:t>0.00</w:t>
            </w:r>
          </w:p>
        </w:tc>
        <w:tc>
          <w:tcPr>
            <w:tcW w:w="826" w:type="dxa"/>
            <w:tcBorders>
              <w:top w:val="nil"/>
              <w:left w:val="nil"/>
              <w:bottom w:val="nil"/>
              <w:right w:val="nil"/>
            </w:tcBorders>
          </w:tcPr>
          <w:p>
            <w:pPr>
              <w:pStyle w:val="TableParagraph"/>
              <w:ind w:left="257"/>
              <w:jc w:val="left"/>
              <w:rPr>
                <w:sz w:val="20"/>
              </w:rPr>
            </w:pPr>
            <w:r>
              <w:rPr>
                <w:sz w:val="20"/>
              </w:rPr>
              <w:t>0.00</w:t>
            </w:r>
          </w:p>
        </w:tc>
        <w:tc>
          <w:tcPr>
            <w:tcW w:w="776" w:type="dxa"/>
            <w:tcBorders>
              <w:top w:val="nil"/>
              <w:left w:val="nil"/>
              <w:bottom w:val="nil"/>
              <w:right w:val="nil"/>
            </w:tcBorders>
          </w:tcPr>
          <w:p>
            <w:pPr>
              <w:pStyle w:val="TableParagraph"/>
              <w:ind w:right="60"/>
              <w:rPr>
                <w:sz w:val="20"/>
              </w:rPr>
            </w:pPr>
            <w:r>
              <w:rPr>
                <w:sz w:val="20"/>
              </w:rPr>
              <w:t>0.00</w:t>
            </w:r>
          </w:p>
        </w:tc>
      </w:tr>
      <w:tr>
        <w:trPr>
          <w:trHeight w:val="303" w:hRule="exact"/>
        </w:trPr>
        <w:tc>
          <w:tcPr>
            <w:tcW w:w="1405" w:type="dxa"/>
            <w:tcBorders>
              <w:top w:val="nil"/>
              <w:left w:val="nil"/>
              <w:bottom w:val="nil"/>
              <w:right w:val="nil"/>
            </w:tcBorders>
          </w:tcPr>
          <w:p>
            <w:pPr>
              <w:pStyle w:val="TableParagraph"/>
              <w:spacing w:before="26"/>
              <w:ind w:left="86"/>
              <w:jc w:val="left"/>
              <w:rPr>
                <w:sz w:val="20"/>
              </w:rPr>
            </w:pPr>
            <w:r>
              <w:rPr>
                <w:sz w:val="20"/>
              </w:rPr>
              <w:t>TEJ_LcFlp</w:t>
            </w:r>
          </w:p>
        </w:tc>
        <w:tc>
          <w:tcPr>
            <w:tcW w:w="695" w:type="dxa"/>
            <w:tcBorders>
              <w:top w:val="nil"/>
              <w:left w:val="nil"/>
              <w:bottom w:val="nil"/>
              <w:right w:val="nil"/>
            </w:tcBorders>
          </w:tcPr>
          <w:p>
            <w:pPr>
              <w:pStyle w:val="TableParagraph"/>
              <w:spacing w:before="26"/>
              <w:ind w:left="110" w:right="195"/>
              <w:jc w:val="center"/>
              <w:rPr>
                <w:sz w:val="20"/>
              </w:rPr>
            </w:pPr>
            <w:r>
              <w:rPr>
                <w:sz w:val="20"/>
              </w:rPr>
              <w:t>0.28</w:t>
            </w:r>
          </w:p>
        </w:tc>
        <w:tc>
          <w:tcPr>
            <w:tcW w:w="826" w:type="dxa"/>
            <w:tcBorders>
              <w:top w:val="nil"/>
              <w:left w:val="nil"/>
              <w:bottom w:val="nil"/>
              <w:right w:val="nil"/>
            </w:tcBorders>
          </w:tcPr>
          <w:p>
            <w:pPr>
              <w:pStyle w:val="TableParagraph"/>
              <w:spacing w:before="26"/>
              <w:ind w:left="257"/>
              <w:jc w:val="left"/>
              <w:rPr>
                <w:sz w:val="20"/>
              </w:rPr>
            </w:pPr>
            <w:r>
              <w:rPr>
                <w:sz w:val="20"/>
              </w:rPr>
              <w:t>0.28</w:t>
            </w:r>
          </w:p>
        </w:tc>
        <w:tc>
          <w:tcPr>
            <w:tcW w:w="826" w:type="dxa"/>
            <w:tcBorders>
              <w:top w:val="nil"/>
              <w:left w:val="nil"/>
              <w:bottom w:val="nil"/>
              <w:right w:val="nil"/>
            </w:tcBorders>
          </w:tcPr>
          <w:p>
            <w:pPr>
              <w:pStyle w:val="TableParagraph"/>
              <w:spacing w:before="26"/>
              <w:ind w:left="256"/>
              <w:jc w:val="left"/>
              <w:rPr>
                <w:sz w:val="20"/>
              </w:rPr>
            </w:pPr>
            <w:r>
              <w:rPr>
                <w:sz w:val="20"/>
              </w:rPr>
              <w:t>0.28</w:t>
            </w:r>
          </w:p>
        </w:tc>
        <w:tc>
          <w:tcPr>
            <w:tcW w:w="829" w:type="dxa"/>
            <w:tcBorders>
              <w:top w:val="nil"/>
              <w:left w:val="nil"/>
              <w:bottom w:val="nil"/>
              <w:right w:val="nil"/>
            </w:tcBorders>
          </w:tcPr>
          <w:p>
            <w:pPr>
              <w:pStyle w:val="TableParagraph"/>
              <w:spacing w:before="26"/>
              <w:ind w:left="257"/>
              <w:jc w:val="left"/>
              <w:rPr>
                <w:sz w:val="20"/>
              </w:rPr>
            </w:pPr>
            <w:r>
              <w:rPr>
                <w:sz w:val="20"/>
              </w:rPr>
              <w:t>0.28</w:t>
            </w:r>
          </w:p>
        </w:tc>
        <w:tc>
          <w:tcPr>
            <w:tcW w:w="828" w:type="dxa"/>
            <w:tcBorders>
              <w:top w:val="nil"/>
              <w:left w:val="nil"/>
              <w:bottom w:val="nil"/>
              <w:right w:val="nil"/>
            </w:tcBorders>
          </w:tcPr>
          <w:p>
            <w:pPr>
              <w:pStyle w:val="TableParagraph"/>
              <w:spacing w:before="26"/>
              <w:ind w:right="211"/>
              <w:rPr>
                <w:sz w:val="20"/>
              </w:rPr>
            </w:pPr>
            <w:r>
              <w:rPr>
                <w:sz w:val="20"/>
              </w:rPr>
              <w:t>0.28</w:t>
            </w:r>
          </w:p>
        </w:tc>
        <w:tc>
          <w:tcPr>
            <w:tcW w:w="826" w:type="dxa"/>
            <w:tcBorders>
              <w:top w:val="nil"/>
              <w:left w:val="nil"/>
              <w:bottom w:val="nil"/>
              <w:right w:val="nil"/>
            </w:tcBorders>
          </w:tcPr>
          <w:p>
            <w:pPr>
              <w:pStyle w:val="TableParagraph"/>
              <w:spacing w:before="26"/>
              <w:ind w:left="256"/>
              <w:jc w:val="left"/>
              <w:rPr>
                <w:sz w:val="20"/>
              </w:rPr>
            </w:pPr>
            <w:r>
              <w:rPr>
                <w:sz w:val="20"/>
              </w:rPr>
              <w:t>0.28</w:t>
            </w:r>
          </w:p>
        </w:tc>
        <w:tc>
          <w:tcPr>
            <w:tcW w:w="828" w:type="dxa"/>
            <w:tcBorders>
              <w:top w:val="nil"/>
              <w:left w:val="nil"/>
              <w:bottom w:val="nil"/>
              <w:right w:val="nil"/>
            </w:tcBorders>
          </w:tcPr>
          <w:p>
            <w:pPr>
              <w:pStyle w:val="TableParagraph"/>
              <w:spacing w:before="26"/>
              <w:ind w:left="257"/>
              <w:jc w:val="left"/>
              <w:rPr>
                <w:sz w:val="20"/>
              </w:rPr>
            </w:pPr>
            <w:r>
              <w:rPr>
                <w:sz w:val="20"/>
              </w:rPr>
              <w:t>0.28</w:t>
            </w:r>
          </w:p>
        </w:tc>
        <w:tc>
          <w:tcPr>
            <w:tcW w:w="828" w:type="dxa"/>
            <w:tcBorders>
              <w:top w:val="nil"/>
              <w:left w:val="nil"/>
              <w:bottom w:val="nil"/>
              <w:right w:val="nil"/>
            </w:tcBorders>
          </w:tcPr>
          <w:p>
            <w:pPr>
              <w:pStyle w:val="TableParagraph"/>
              <w:spacing w:before="26"/>
              <w:ind w:left="259"/>
              <w:jc w:val="left"/>
              <w:rPr>
                <w:sz w:val="20"/>
              </w:rPr>
            </w:pPr>
            <w:r>
              <w:rPr>
                <w:sz w:val="20"/>
              </w:rPr>
              <w:t>0.00</w:t>
            </w:r>
          </w:p>
        </w:tc>
        <w:tc>
          <w:tcPr>
            <w:tcW w:w="826" w:type="dxa"/>
            <w:tcBorders>
              <w:top w:val="nil"/>
              <w:left w:val="nil"/>
              <w:bottom w:val="nil"/>
              <w:right w:val="nil"/>
            </w:tcBorders>
          </w:tcPr>
          <w:p>
            <w:pPr>
              <w:pStyle w:val="TableParagraph"/>
              <w:spacing w:before="26"/>
              <w:ind w:left="257"/>
              <w:jc w:val="left"/>
              <w:rPr>
                <w:sz w:val="20"/>
              </w:rPr>
            </w:pPr>
            <w:r>
              <w:rPr>
                <w:sz w:val="20"/>
              </w:rPr>
              <w:t>0.00</w:t>
            </w:r>
          </w:p>
        </w:tc>
        <w:tc>
          <w:tcPr>
            <w:tcW w:w="776" w:type="dxa"/>
            <w:tcBorders>
              <w:top w:val="nil"/>
              <w:left w:val="nil"/>
              <w:bottom w:val="nil"/>
              <w:right w:val="nil"/>
            </w:tcBorders>
          </w:tcPr>
          <w:p>
            <w:pPr>
              <w:pStyle w:val="TableParagraph"/>
              <w:spacing w:before="26"/>
              <w:ind w:right="60"/>
              <w:rPr>
                <w:sz w:val="20"/>
              </w:rPr>
            </w:pPr>
            <w:r>
              <w:rPr>
                <w:sz w:val="20"/>
              </w:rPr>
              <w:t>0.00</w:t>
            </w:r>
          </w:p>
        </w:tc>
      </w:tr>
      <w:tr>
        <w:trPr>
          <w:trHeight w:val="300" w:hRule="exact"/>
        </w:trPr>
        <w:tc>
          <w:tcPr>
            <w:tcW w:w="1405" w:type="dxa"/>
            <w:tcBorders>
              <w:top w:val="nil"/>
              <w:left w:val="nil"/>
              <w:bottom w:val="nil"/>
              <w:right w:val="nil"/>
            </w:tcBorders>
          </w:tcPr>
          <w:p>
            <w:pPr>
              <w:pStyle w:val="TableParagraph"/>
              <w:spacing w:before="26"/>
              <w:ind w:left="86"/>
              <w:jc w:val="left"/>
              <w:rPr>
                <w:sz w:val="20"/>
              </w:rPr>
            </w:pPr>
            <w:r>
              <w:rPr>
                <w:sz w:val="20"/>
              </w:rPr>
              <w:t>TEJ_LcSF</w:t>
            </w:r>
          </w:p>
        </w:tc>
        <w:tc>
          <w:tcPr>
            <w:tcW w:w="695" w:type="dxa"/>
            <w:tcBorders>
              <w:top w:val="nil"/>
              <w:left w:val="nil"/>
              <w:bottom w:val="nil"/>
              <w:right w:val="nil"/>
            </w:tcBorders>
          </w:tcPr>
          <w:p>
            <w:pPr>
              <w:pStyle w:val="TableParagraph"/>
              <w:spacing w:before="26"/>
              <w:ind w:left="110" w:right="195"/>
              <w:jc w:val="center"/>
              <w:rPr>
                <w:sz w:val="20"/>
              </w:rPr>
            </w:pPr>
            <w:r>
              <w:rPr>
                <w:sz w:val="20"/>
              </w:rPr>
              <w:t>0.28</w:t>
            </w:r>
          </w:p>
        </w:tc>
        <w:tc>
          <w:tcPr>
            <w:tcW w:w="826" w:type="dxa"/>
            <w:tcBorders>
              <w:top w:val="nil"/>
              <w:left w:val="nil"/>
              <w:bottom w:val="nil"/>
              <w:right w:val="nil"/>
            </w:tcBorders>
          </w:tcPr>
          <w:p>
            <w:pPr>
              <w:pStyle w:val="TableParagraph"/>
              <w:spacing w:before="26"/>
              <w:ind w:left="257"/>
              <w:jc w:val="left"/>
              <w:rPr>
                <w:sz w:val="20"/>
              </w:rPr>
            </w:pPr>
            <w:r>
              <w:rPr>
                <w:sz w:val="20"/>
              </w:rPr>
              <w:t>0.28</w:t>
            </w:r>
          </w:p>
        </w:tc>
        <w:tc>
          <w:tcPr>
            <w:tcW w:w="826" w:type="dxa"/>
            <w:tcBorders>
              <w:top w:val="nil"/>
              <w:left w:val="nil"/>
              <w:bottom w:val="nil"/>
              <w:right w:val="nil"/>
            </w:tcBorders>
          </w:tcPr>
          <w:p>
            <w:pPr>
              <w:pStyle w:val="TableParagraph"/>
              <w:spacing w:before="26"/>
              <w:ind w:left="256"/>
              <w:jc w:val="left"/>
              <w:rPr>
                <w:sz w:val="20"/>
              </w:rPr>
            </w:pPr>
            <w:r>
              <w:rPr>
                <w:sz w:val="20"/>
              </w:rPr>
              <w:t>0.28</w:t>
            </w:r>
          </w:p>
        </w:tc>
        <w:tc>
          <w:tcPr>
            <w:tcW w:w="829" w:type="dxa"/>
            <w:tcBorders>
              <w:top w:val="nil"/>
              <w:left w:val="nil"/>
              <w:bottom w:val="nil"/>
              <w:right w:val="nil"/>
            </w:tcBorders>
          </w:tcPr>
          <w:p>
            <w:pPr>
              <w:pStyle w:val="TableParagraph"/>
              <w:spacing w:before="26"/>
              <w:ind w:left="257"/>
              <w:jc w:val="left"/>
              <w:rPr>
                <w:sz w:val="20"/>
              </w:rPr>
            </w:pPr>
            <w:r>
              <w:rPr>
                <w:sz w:val="20"/>
              </w:rPr>
              <w:t>0.28</w:t>
            </w:r>
          </w:p>
        </w:tc>
        <w:tc>
          <w:tcPr>
            <w:tcW w:w="828" w:type="dxa"/>
            <w:tcBorders>
              <w:top w:val="nil"/>
              <w:left w:val="nil"/>
              <w:bottom w:val="nil"/>
              <w:right w:val="nil"/>
            </w:tcBorders>
          </w:tcPr>
          <w:p>
            <w:pPr>
              <w:pStyle w:val="TableParagraph"/>
              <w:spacing w:before="26"/>
              <w:ind w:right="211"/>
              <w:rPr>
                <w:sz w:val="20"/>
              </w:rPr>
            </w:pPr>
            <w:r>
              <w:rPr>
                <w:sz w:val="20"/>
              </w:rPr>
              <w:t>0.28</w:t>
            </w:r>
          </w:p>
        </w:tc>
        <w:tc>
          <w:tcPr>
            <w:tcW w:w="826" w:type="dxa"/>
            <w:tcBorders>
              <w:top w:val="nil"/>
              <w:left w:val="nil"/>
              <w:bottom w:val="nil"/>
              <w:right w:val="nil"/>
            </w:tcBorders>
          </w:tcPr>
          <w:p>
            <w:pPr>
              <w:pStyle w:val="TableParagraph"/>
              <w:spacing w:before="26"/>
              <w:ind w:left="256"/>
              <w:jc w:val="left"/>
              <w:rPr>
                <w:sz w:val="20"/>
              </w:rPr>
            </w:pPr>
            <w:r>
              <w:rPr>
                <w:sz w:val="20"/>
              </w:rPr>
              <w:t>0.28</w:t>
            </w:r>
          </w:p>
        </w:tc>
        <w:tc>
          <w:tcPr>
            <w:tcW w:w="828" w:type="dxa"/>
            <w:tcBorders>
              <w:top w:val="nil"/>
              <w:left w:val="nil"/>
              <w:bottom w:val="nil"/>
              <w:right w:val="nil"/>
            </w:tcBorders>
          </w:tcPr>
          <w:p>
            <w:pPr>
              <w:pStyle w:val="TableParagraph"/>
              <w:spacing w:before="26"/>
              <w:ind w:left="257"/>
              <w:jc w:val="left"/>
              <w:rPr>
                <w:sz w:val="20"/>
              </w:rPr>
            </w:pPr>
            <w:r>
              <w:rPr>
                <w:sz w:val="20"/>
              </w:rPr>
              <w:t>0.28</w:t>
            </w:r>
          </w:p>
        </w:tc>
        <w:tc>
          <w:tcPr>
            <w:tcW w:w="828" w:type="dxa"/>
            <w:tcBorders>
              <w:top w:val="nil"/>
              <w:left w:val="nil"/>
              <w:bottom w:val="nil"/>
              <w:right w:val="nil"/>
            </w:tcBorders>
          </w:tcPr>
          <w:p>
            <w:pPr>
              <w:pStyle w:val="TableParagraph"/>
              <w:spacing w:before="26"/>
              <w:ind w:left="259"/>
              <w:jc w:val="left"/>
              <w:rPr>
                <w:sz w:val="20"/>
              </w:rPr>
            </w:pPr>
            <w:r>
              <w:rPr>
                <w:sz w:val="20"/>
              </w:rPr>
              <w:t>0.00</w:t>
            </w:r>
          </w:p>
        </w:tc>
        <w:tc>
          <w:tcPr>
            <w:tcW w:w="826" w:type="dxa"/>
            <w:tcBorders>
              <w:top w:val="nil"/>
              <w:left w:val="nil"/>
              <w:bottom w:val="nil"/>
              <w:right w:val="nil"/>
            </w:tcBorders>
          </w:tcPr>
          <w:p>
            <w:pPr>
              <w:pStyle w:val="TableParagraph"/>
              <w:spacing w:before="26"/>
              <w:ind w:left="257"/>
              <w:jc w:val="left"/>
              <w:rPr>
                <w:sz w:val="20"/>
              </w:rPr>
            </w:pPr>
            <w:r>
              <w:rPr>
                <w:sz w:val="20"/>
              </w:rPr>
              <w:t>0.00</w:t>
            </w:r>
          </w:p>
        </w:tc>
        <w:tc>
          <w:tcPr>
            <w:tcW w:w="776" w:type="dxa"/>
            <w:tcBorders>
              <w:top w:val="nil"/>
              <w:left w:val="nil"/>
              <w:bottom w:val="nil"/>
              <w:right w:val="nil"/>
            </w:tcBorders>
          </w:tcPr>
          <w:p>
            <w:pPr>
              <w:pStyle w:val="TableParagraph"/>
              <w:spacing w:before="26"/>
              <w:ind w:right="60"/>
              <w:rPr>
                <w:sz w:val="20"/>
              </w:rPr>
            </w:pPr>
            <w:r>
              <w:rPr>
                <w:sz w:val="20"/>
              </w:rPr>
              <w:t>0.00</w:t>
            </w:r>
          </w:p>
        </w:tc>
      </w:tr>
      <w:tr>
        <w:trPr>
          <w:trHeight w:val="300" w:hRule="exact"/>
        </w:trPr>
        <w:tc>
          <w:tcPr>
            <w:tcW w:w="1405" w:type="dxa"/>
            <w:tcBorders>
              <w:top w:val="nil"/>
              <w:left w:val="nil"/>
              <w:bottom w:val="nil"/>
              <w:right w:val="nil"/>
            </w:tcBorders>
          </w:tcPr>
          <w:p>
            <w:pPr>
              <w:pStyle w:val="TableParagraph"/>
              <w:ind w:left="86"/>
              <w:jc w:val="left"/>
              <w:rPr>
                <w:sz w:val="20"/>
              </w:rPr>
            </w:pPr>
            <w:r>
              <w:rPr>
                <w:sz w:val="20"/>
              </w:rPr>
              <w:t>TEJ_TmFlp</w:t>
            </w:r>
          </w:p>
        </w:tc>
        <w:tc>
          <w:tcPr>
            <w:tcW w:w="695" w:type="dxa"/>
            <w:tcBorders>
              <w:top w:val="nil"/>
              <w:left w:val="nil"/>
              <w:bottom w:val="nil"/>
              <w:right w:val="nil"/>
            </w:tcBorders>
          </w:tcPr>
          <w:p>
            <w:pPr>
              <w:pStyle w:val="TableParagraph"/>
              <w:ind w:left="110" w:right="195"/>
              <w:jc w:val="center"/>
              <w:rPr>
                <w:sz w:val="20"/>
              </w:rPr>
            </w:pPr>
            <w:r>
              <w:rPr>
                <w:sz w:val="20"/>
              </w:rPr>
              <w:t>0.14</w:t>
            </w:r>
          </w:p>
        </w:tc>
        <w:tc>
          <w:tcPr>
            <w:tcW w:w="826" w:type="dxa"/>
            <w:tcBorders>
              <w:top w:val="nil"/>
              <w:left w:val="nil"/>
              <w:bottom w:val="nil"/>
              <w:right w:val="nil"/>
            </w:tcBorders>
          </w:tcPr>
          <w:p>
            <w:pPr>
              <w:pStyle w:val="TableParagraph"/>
              <w:ind w:left="257"/>
              <w:jc w:val="left"/>
              <w:rPr>
                <w:sz w:val="20"/>
              </w:rPr>
            </w:pPr>
            <w:r>
              <w:rPr>
                <w:sz w:val="20"/>
              </w:rPr>
              <w:t>0.14</w:t>
            </w:r>
          </w:p>
        </w:tc>
        <w:tc>
          <w:tcPr>
            <w:tcW w:w="826" w:type="dxa"/>
            <w:tcBorders>
              <w:top w:val="nil"/>
              <w:left w:val="nil"/>
              <w:bottom w:val="nil"/>
              <w:right w:val="nil"/>
            </w:tcBorders>
          </w:tcPr>
          <w:p>
            <w:pPr>
              <w:pStyle w:val="TableParagraph"/>
              <w:ind w:left="256"/>
              <w:jc w:val="left"/>
              <w:rPr>
                <w:sz w:val="20"/>
              </w:rPr>
            </w:pPr>
            <w:r>
              <w:rPr>
                <w:sz w:val="20"/>
              </w:rPr>
              <w:t>0.14</w:t>
            </w:r>
          </w:p>
        </w:tc>
        <w:tc>
          <w:tcPr>
            <w:tcW w:w="829" w:type="dxa"/>
            <w:tcBorders>
              <w:top w:val="nil"/>
              <w:left w:val="nil"/>
              <w:bottom w:val="nil"/>
              <w:right w:val="nil"/>
            </w:tcBorders>
          </w:tcPr>
          <w:p>
            <w:pPr>
              <w:pStyle w:val="TableParagraph"/>
              <w:ind w:left="257"/>
              <w:jc w:val="left"/>
              <w:rPr>
                <w:sz w:val="20"/>
              </w:rPr>
            </w:pPr>
            <w:r>
              <w:rPr>
                <w:sz w:val="20"/>
              </w:rPr>
              <w:t>0.14</w:t>
            </w:r>
          </w:p>
        </w:tc>
        <w:tc>
          <w:tcPr>
            <w:tcW w:w="828" w:type="dxa"/>
            <w:tcBorders>
              <w:top w:val="nil"/>
              <w:left w:val="nil"/>
              <w:bottom w:val="nil"/>
              <w:right w:val="nil"/>
            </w:tcBorders>
          </w:tcPr>
          <w:p>
            <w:pPr>
              <w:pStyle w:val="TableParagraph"/>
              <w:ind w:right="211"/>
              <w:rPr>
                <w:sz w:val="20"/>
              </w:rPr>
            </w:pPr>
            <w:r>
              <w:rPr>
                <w:sz w:val="20"/>
              </w:rPr>
              <w:t>0.14</w:t>
            </w:r>
          </w:p>
        </w:tc>
        <w:tc>
          <w:tcPr>
            <w:tcW w:w="826" w:type="dxa"/>
            <w:tcBorders>
              <w:top w:val="nil"/>
              <w:left w:val="nil"/>
              <w:bottom w:val="nil"/>
              <w:right w:val="nil"/>
            </w:tcBorders>
          </w:tcPr>
          <w:p>
            <w:pPr>
              <w:pStyle w:val="TableParagraph"/>
              <w:ind w:left="256"/>
              <w:jc w:val="left"/>
              <w:rPr>
                <w:sz w:val="20"/>
              </w:rPr>
            </w:pPr>
            <w:r>
              <w:rPr>
                <w:sz w:val="20"/>
              </w:rPr>
              <w:t>0.14</w:t>
            </w:r>
          </w:p>
        </w:tc>
        <w:tc>
          <w:tcPr>
            <w:tcW w:w="828" w:type="dxa"/>
            <w:tcBorders>
              <w:top w:val="nil"/>
              <w:left w:val="nil"/>
              <w:bottom w:val="nil"/>
              <w:right w:val="nil"/>
            </w:tcBorders>
          </w:tcPr>
          <w:p>
            <w:pPr>
              <w:pStyle w:val="TableParagraph"/>
              <w:ind w:left="257"/>
              <w:jc w:val="left"/>
              <w:rPr>
                <w:sz w:val="20"/>
              </w:rPr>
            </w:pPr>
            <w:r>
              <w:rPr>
                <w:sz w:val="20"/>
              </w:rPr>
              <w:t>0.14</w:t>
            </w:r>
          </w:p>
        </w:tc>
        <w:tc>
          <w:tcPr>
            <w:tcW w:w="828" w:type="dxa"/>
            <w:tcBorders>
              <w:top w:val="nil"/>
              <w:left w:val="nil"/>
              <w:bottom w:val="nil"/>
              <w:right w:val="nil"/>
            </w:tcBorders>
          </w:tcPr>
          <w:p>
            <w:pPr>
              <w:pStyle w:val="TableParagraph"/>
              <w:ind w:left="259"/>
              <w:jc w:val="left"/>
              <w:rPr>
                <w:sz w:val="20"/>
              </w:rPr>
            </w:pPr>
            <w:r>
              <w:rPr>
                <w:sz w:val="20"/>
              </w:rPr>
              <w:t>0.00</w:t>
            </w:r>
          </w:p>
        </w:tc>
        <w:tc>
          <w:tcPr>
            <w:tcW w:w="826" w:type="dxa"/>
            <w:tcBorders>
              <w:top w:val="nil"/>
              <w:left w:val="nil"/>
              <w:bottom w:val="nil"/>
              <w:right w:val="nil"/>
            </w:tcBorders>
          </w:tcPr>
          <w:p>
            <w:pPr>
              <w:pStyle w:val="TableParagraph"/>
              <w:ind w:left="257"/>
              <w:jc w:val="left"/>
              <w:rPr>
                <w:sz w:val="20"/>
              </w:rPr>
            </w:pPr>
            <w:r>
              <w:rPr>
                <w:sz w:val="20"/>
              </w:rPr>
              <w:t>0.00</w:t>
            </w:r>
          </w:p>
        </w:tc>
        <w:tc>
          <w:tcPr>
            <w:tcW w:w="776" w:type="dxa"/>
            <w:tcBorders>
              <w:top w:val="nil"/>
              <w:left w:val="nil"/>
              <w:bottom w:val="nil"/>
              <w:right w:val="nil"/>
            </w:tcBorders>
          </w:tcPr>
          <w:p>
            <w:pPr>
              <w:pStyle w:val="TableParagraph"/>
              <w:ind w:right="60"/>
              <w:rPr>
                <w:sz w:val="20"/>
              </w:rPr>
            </w:pPr>
            <w:r>
              <w:rPr>
                <w:sz w:val="20"/>
              </w:rPr>
              <w:t>0.00</w:t>
            </w:r>
          </w:p>
        </w:tc>
      </w:tr>
      <w:tr>
        <w:trPr>
          <w:trHeight w:val="302" w:hRule="exact"/>
        </w:trPr>
        <w:tc>
          <w:tcPr>
            <w:tcW w:w="1405" w:type="dxa"/>
            <w:tcBorders>
              <w:top w:val="nil"/>
              <w:left w:val="nil"/>
              <w:bottom w:val="nil"/>
              <w:right w:val="nil"/>
            </w:tcBorders>
          </w:tcPr>
          <w:p>
            <w:pPr>
              <w:pStyle w:val="TableParagraph"/>
              <w:spacing w:before="26"/>
              <w:ind w:left="86"/>
              <w:jc w:val="left"/>
              <w:rPr>
                <w:sz w:val="20"/>
              </w:rPr>
            </w:pPr>
            <w:r>
              <w:rPr>
                <w:sz w:val="20"/>
              </w:rPr>
              <w:t>TEJ_ToSF</w:t>
            </w:r>
          </w:p>
        </w:tc>
        <w:tc>
          <w:tcPr>
            <w:tcW w:w="695" w:type="dxa"/>
            <w:tcBorders>
              <w:top w:val="nil"/>
              <w:left w:val="nil"/>
              <w:bottom w:val="nil"/>
              <w:right w:val="nil"/>
            </w:tcBorders>
          </w:tcPr>
          <w:p>
            <w:pPr>
              <w:pStyle w:val="TableParagraph"/>
              <w:spacing w:before="26"/>
              <w:ind w:left="110" w:right="195"/>
              <w:jc w:val="center"/>
              <w:rPr>
                <w:sz w:val="20"/>
              </w:rPr>
            </w:pPr>
            <w:r>
              <w:rPr>
                <w:sz w:val="20"/>
              </w:rPr>
              <w:t>0.28</w:t>
            </w:r>
          </w:p>
        </w:tc>
        <w:tc>
          <w:tcPr>
            <w:tcW w:w="826" w:type="dxa"/>
            <w:tcBorders>
              <w:top w:val="nil"/>
              <w:left w:val="nil"/>
              <w:bottom w:val="nil"/>
              <w:right w:val="nil"/>
            </w:tcBorders>
          </w:tcPr>
          <w:p>
            <w:pPr>
              <w:pStyle w:val="TableParagraph"/>
              <w:spacing w:before="26"/>
              <w:ind w:left="257"/>
              <w:jc w:val="left"/>
              <w:rPr>
                <w:sz w:val="20"/>
              </w:rPr>
            </w:pPr>
            <w:r>
              <w:rPr>
                <w:sz w:val="20"/>
              </w:rPr>
              <w:t>0.28</w:t>
            </w:r>
          </w:p>
        </w:tc>
        <w:tc>
          <w:tcPr>
            <w:tcW w:w="826" w:type="dxa"/>
            <w:tcBorders>
              <w:top w:val="nil"/>
              <w:left w:val="nil"/>
              <w:bottom w:val="nil"/>
              <w:right w:val="nil"/>
            </w:tcBorders>
          </w:tcPr>
          <w:p>
            <w:pPr>
              <w:pStyle w:val="TableParagraph"/>
              <w:spacing w:before="26"/>
              <w:ind w:left="256"/>
              <w:jc w:val="left"/>
              <w:rPr>
                <w:sz w:val="20"/>
              </w:rPr>
            </w:pPr>
            <w:r>
              <w:rPr>
                <w:sz w:val="20"/>
              </w:rPr>
              <w:t>0.28</w:t>
            </w:r>
          </w:p>
        </w:tc>
        <w:tc>
          <w:tcPr>
            <w:tcW w:w="829" w:type="dxa"/>
            <w:tcBorders>
              <w:top w:val="nil"/>
              <w:left w:val="nil"/>
              <w:bottom w:val="nil"/>
              <w:right w:val="nil"/>
            </w:tcBorders>
          </w:tcPr>
          <w:p>
            <w:pPr>
              <w:pStyle w:val="TableParagraph"/>
              <w:spacing w:before="26"/>
              <w:ind w:left="257"/>
              <w:jc w:val="left"/>
              <w:rPr>
                <w:sz w:val="20"/>
              </w:rPr>
            </w:pPr>
            <w:r>
              <w:rPr>
                <w:sz w:val="20"/>
              </w:rPr>
              <w:t>0.28</w:t>
            </w:r>
          </w:p>
        </w:tc>
        <w:tc>
          <w:tcPr>
            <w:tcW w:w="828" w:type="dxa"/>
            <w:tcBorders>
              <w:top w:val="nil"/>
              <w:left w:val="nil"/>
              <w:bottom w:val="nil"/>
              <w:right w:val="nil"/>
            </w:tcBorders>
          </w:tcPr>
          <w:p>
            <w:pPr>
              <w:pStyle w:val="TableParagraph"/>
              <w:spacing w:before="26"/>
              <w:ind w:right="211"/>
              <w:rPr>
                <w:sz w:val="20"/>
              </w:rPr>
            </w:pPr>
            <w:r>
              <w:rPr>
                <w:sz w:val="20"/>
              </w:rPr>
              <w:t>0.28</w:t>
            </w:r>
          </w:p>
        </w:tc>
        <w:tc>
          <w:tcPr>
            <w:tcW w:w="826" w:type="dxa"/>
            <w:tcBorders>
              <w:top w:val="nil"/>
              <w:left w:val="nil"/>
              <w:bottom w:val="nil"/>
              <w:right w:val="nil"/>
            </w:tcBorders>
          </w:tcPr>
          <w:p>
            <w:pPr>
              <w:pStyle w:val="TableParagraph"/>
              <w:spacing w:before="26"/>
              <w:ind w:left="256"/>
              <w:jc w:val="left"/>
              <w:rPr>
                <w:sz w:val="20"/>
              </w:rPr>
            </w:pPr>
            <w:r>
              <w:rPr>
                <w:sz w:val="20"/>
              </w:rPr>
              <w:t>0.28</w:t>
            </w:r>
          </w:p>
        </w:tc>
        <w:tc>
          <w:tcPr>
            <w:tcW w:w="828" w:type="dxa"/>
            <w:tcBorders>
              <w:top w:val="nil"/>
              <w:left w:val="nil"/>
              <w:bottom w:val="nil"/>
              <w:right w:val="nil"/>
            </w:tcBorders>
          </w:tcPr>
          <w:p>
            <w:pPr>
              <w:pStyle w:val="TableParagraph"/>
              <w:spacing w:before="26"/>
              <w:ind w:left="257"/>
              <w:jc w:val="left"/>
              <w:rPr>
                <w:sz w:val="20"/>
              </w:rPr>
            </w:pPr>
            <w:r>
              <w:rPr>
                <w:sz w:val="20"/>
              </w:rPr>
              <w:t>0.28</w:t>
            </w:r>
          </w:p>
        </w:tc>
        <w:tc>
          <w:tcPr>
            <w:tcW w:w="828" w:type="dxa"/>
            <w:tcBorders>
              <w:top w:val="nil"/>
              <w:left w:val="nil"/>
              <w:bottom w:val="nil"/>
              <w:right w:val="nil"/>
            </w:tcBorders>
          </w:tcPr>
          <w:p>
            <w:pPr>
              <w:pStyle w:val="TableParagraph"/>
              <w:spacing w:before="26"/>
              <w:ind w:left="259"/>
              <w:jc w:val="left"/>
              <w:rPr>
                <w:sz w:val="20"/>
              </w:rPr>
            </w:pPr>
            <w:r>
              <w:rPr>
                <w:sz w:val="20"/>
              </w:rPr>
              <w:t>0.00</w:t>
            </w:r>
          </w:p>
        </w:tc>
        <w:tc>
          <w:tcPr>
            <w:tcW w:w="826" w:type="dxa"/>
            <w:tcBorders>
              <w:top w:val="nil"/>
              <w:left w:val="nil"/>
              <w:bottom w:val="nil"/>
              <w:right w:val="nil"/>
            </w:tcBorders>
          </w:tcPr>
          <w:p>
            <w:pPr>
              <w:pStyle w:val="TableParagraph"/>
              <w:spacing w:before="26"/>
              <w:ind w:left="257"/>
              <w:jc w:val="left"/>
              <w:rPr>
                <w:sz w:val="20"/>
              </w:rPr>
            </w:pPr>
            <w:r>
              <w:rPr>
                <w:sz w:val="20"/>
              </w:rPr>
              <w:t>0.00</w:t>
            </w:r>
          </w:p>
        </w:tc>
        <w:tc>
          <w:tcPr>
            <w:tcW w:w="776" w:type="dxa"/>
            <w:tcBorders>
              <w:top w:val="nil"/>
              <w:left w:val="nil"/>
              <w:bottom w:val="nil"/>
              <w:right w:val="nil"/>
            </w:tcBorders>
          </w:tcPr>
          <w:p>
            <w:pPr>
              <w:pStyle w:val="TableParagraph"/>
              <w:spacing w:before="26"/>
              <w:ind w:right="60"/>
              <w:rPr>
                <w:sz w:val="20"/>
              </w:rPr>
            </w:pPr>
            <w:r>
              <w:rPr>
                <w:sz w:val="20"/>
              </w:rPr>
              <w:t>0.00</w:t>
            </w:r>
          </w:p>
        </w:tc>
      </w:tr>
      <w:tr>
        <w:trPr>
          <w:trHeight w:val="302" w:hRule="exact"/>
        </w:trPr>
        <w:tc>
          <w:tcPr>
            <w:tcW w:w="1405" w:type="dxa"/>
            <w:tcBorders>
              <w:top w:val="nil"/>
              <w:left w:val="nil"/>
              <w:bottom w:val="nil"/>
              <w:right w:val="nil"/>
            </w:tcBorders>
          </w:tcPr>
          <w:p>
            <w:pPr>
              <w:pStyle w:val="TableParagraph"/>
              <w:spacing w:before="26"/>
              <w:ind w:left="86"/>
              <w:jc w:val="left"/>
              <w:rPr>
                <w:sz w:val="20"/>
              </w:rPr>
            </w:pPr>
            <w:r>
              <w:rPr>
                <w:sz w:val="20"/>
              </w:rPr>
              <w:t>TEJ_VpFd</w:t>
            </w:r>
          </w:p>
        </w:tc>
        <w:tc>
          <w:tcPr>
            <w:tcW w:w="695" w:type="dxa"/>
            <w:tcBorders>
              <w:top w:val="nil"/>
              <w:left w:val="nil"/>
              <w:bottom w:val="nil"/>
              <w:right w:val="nil"/>
            </w:tcBorders>
          </w:tcPr>
          <w:p>
            <w:pPr>
              <w:pStyle w:val="TableParagraph"/>
              <w:spacing w:before="26"/>
              <w:ind w:left="110" w:right="195"/>
              <w:jc w:val="center"/>
              <w:rPr>
                <w:sz w:val="20"/>
              </w:rPr>
            </w:pPr>
            <w:r>
              <w:rPr>
                <w:sz w:val="20"/>
              </w:rPr>
              <w:t>0.18</w:t>
            </w:r>
          </w:p>
        </w:tc>
        <w:tc>
          <w:tcPr>
            <w:tcW w:w="826" w:type="dxa"/>
            <w:tcBorders>
              <w:top w:val="nil"/>
              <w:left w:val="nil"/>
              <w:bottom w:val="nil"/>
              <w:right w:val="nil"/>
            </w:tcBorders>
          </w:tcPr>
          <w:p>
            <w:pPr>
              <w:pStyle w:val="TableParagraph"/>
              <w:spacing w:before="26"/>
              <w:ind w:left="257"/>
              <w:jc w:val="left"/>
              <w:rPr>
                <w:sz w:val="20"/>
              </w:rPr>
            </w:pPr>
            <w:r>
              <w:rPr>
                <w:sz w:val="20"/>
              </w:rPr>
              <w:t>0.18</w:t>
            </w:r>
          </w:p>
        </w:tc>
        <w:tc>
          <w:tcPr>
            <w:tcW w:w="826" w:type="dxa"/>
            <w:tcBorders>
              <w:top w:val="nil"/>
              <w:left w:val="nil"/>
              <w:bottom w:val="nil"/>
              <w:right w:val="nil"/>
            </w:tcBorders>
          </w:tcPr>
          <w:p>
            <w:pPr>
              <w:pStyle w:val="TableParagraph"/>
              <w:spacing w:before="26"/>
              <w:ind w:left="256"/>
              <w:jc w:val="left"/>
              <w:rPr>
                <w:sz w:val="20"/>
              </w:rPr>
            </w:pPr>
            <w:r>
              <w:rPr>
                <w:sz w:val="20"/>
              </w:rPr>
              <w:t>0.18</w:t>
            </w:r>
          </w:p>
        </w:tc>
        <w:tc>
          <w:tcPr>
            <w:tcW w:w="829" w:type="dxa"/>
            <w:tcBorders>
              <w:top w:val="nil"/>
              <w:left w:val="nil"/>
              <w:bottom w:val="nil"/>
              <w:right w:val="nil"/>
            </w:tcBorders>
          </w:tcPr>
          <w:p>
            <w:pPr>
              <w:pStyle w:val="TableParagraph"/>
              <w:spacing w:before="26"/>
              <w:ind w:left="257"/>
              <w:jc w:val="left"/>
              <w:rPr>
                <w:sz w:val="20"/>
              </w:rPr>
            </w:pPr>
            <w:r>
              <w:rPr>
                <w:sz w:val="20"/>
              </w:rPr>
              <w:t>0.18</w:t>
            </w:r>
          </w:p>
        </w:tc>
        <w:tc>
          <w:tcPr>
            <w:tcW w:w="828" w:type="dxa"/>
            <w:tcBorders>
              <w:top w:val="nil"/>
              <w:left w:val="nil"/>
              <w:bottom w:val="nil"/>
              <w:right w:val="nil"/>
            </w:tcBorders>
          </w:tcPr>
          <w:p>
            <w:pPr>
              <w:pStyle w:val="TableParagraph"/>
              <w:spacing w:before="26"/>
              <w:ind w:right="211"/>
              <w:rPr>
                <w:sz w:val="20"/>
              </w:rPr>
            </w:pPr>
            <w:r>
              <w:rPr>
                <w:sz w:val="20"/>
              </w:rPr>
              <w:t>0.18</w:t>
            </w:r>
          </w:p>
        </w:tc>
        <w:tc>
          <w:tcPr>
            <w:tcW w:w="826" w:type="dxa"/>
            <w:tcBorders>
              <w:top w:val="nil"/>
              <w:left w:val="nil"/>
              <w:bottom w:val="nil"/>
              <w:right w:val="nil"/>
            </w:tcBorders>
          </w:tcPr>
          <w:p>
            <w:pPr>
              <w:pStyle w:val="TableParagraph"/>
              <w:spacing w:before="26"/>
              <w:ind w:left="256"/>
              <w:jc w:val="left"/>
              <w:rPr>
                <w:sz w:val="20"/>
              </w:rPr>
            </w:pPr>
            <w:r>
              <w:rPr>
                <w:sz w:val="20"/>
              </w:rPr>
              <w:t>0.18</w:t>
            </w:r>
          </w:p>
        </w:tc>
        <w:tc>
          <w:tcPr>
            <w:tcW w:w="828" w:type="dxa"/>
            <w:tcBorders>
              <w:top w:val="nil"/>
              <w:left w:val="nil"/>
              <w:bottom w:val="nil"/>
              <w:right w:val="nil"/>
            </w:tcBorders>
          </w:tcPr>
          <w:p>
            <w:pPr>
              <w:pStyle w:val="TableParagraph"/>
              <w:spacing w:before="26"/>
              <w:ind w:left="257"/>
              <w:jc w:val="left"/>
              <w:rPr>
                <w:sz w:val="20"/>
              </w:rPr>
            </w:pPr>
            <w:r>
              <w:rPr>
                <w:sz w:val="20"/>
              </w:rPr>
              <w:t>0.18</w:t>
            </w:r>
          </w:p>
        </w:tc>
        <w:tc>
          <w:tcPr>
            <w:tcW w:w="828" w:type="dxa"/>
            <w:tcBorders>
              <w:top w:val="nil"/>
              <w:left w:val="nil"/>
              <w:bottom w:val="nil"/>
              <w:right w:val="nil"/>
            </w:tcBorders>
          </w:tcPr>
          <w:p>
            <w:pPr>
              <w:pStyle w:val="TableParagraph"/>
              <w:spacing w:before="26"/>
              <w:ind w:left="259"/>
              <w:jc w:val="left"/>
              <w:rPr>
                <w:sz w:val="20"/>
              </w:rPr>
            </w:pPr>
            <w:r>
              <w:rPr>
                <w:sz w:val="20"/>
              </w:rPr>
              <w:t>0.00</w:t>
            </w:r>
          </w:p>
        </w:tc>
        <w:tc>
          <w:tcPr>
            <w:tcW w:w="826" w:type="dxa"/>
            <w:tcBorders>
              <w:top w:val="nil"/>
              <w:left w:val="nil"/>
              <w:bottom w:val="nil"/>
              <w:right w:val="nil"/>
            </w:tcBorders>
          </w:tcPr>
          <w:p>
            <w:pPr>
              <w:pStyle w:val="TableParagraph"/>
              <w:spacing w:before="26"/>
              <w:ind w:left="257"/>
              <w:jc w:val="left"/>
              <w:rPr>
                <w:sz w:val="20"/>
              </w:rPr>
            </w:pPr>
            <w:r>
              <w:rPr>
                <w:sz w:val="20"/>
              </w:rPr>
              <w:t>0.00</w:t>
            </w:r>
          </w:p>
        </w:tc>
        <w:tc>
          <w:tcPr>
            <w:tcW w:w="776" w:type="dxa"/>
            <w:tcBorders>
              <w:top w:val="nil"/>
              <w:left w:val="nil"/>
              <w:bottom w:val="nil"/>
              <w:right w:val="nil"/>
            </w:tcBorders>
          </w:tcPr>
          <w:p>
            <w:pPr>
              <w:pStyle w:val="TableParagraph"/>
              <w:spacing w:before="26"/>
              <w:ind w:right="60"/>
              <w:rPr>
                <w:sz w:val="20"/>
              </w:rPr>
            </w:pPr>
            <w:r>
              <w:rPr>
                <w:sz w:val="20"/>
              </w:rPr>
              <w:t>0.00</w:t>
            </w:r>
          </w:p>
        </w:tc>
      </w:tr>
      <w:tr>
        <w:trPr>
          <w:trHeight w:val="270" w:hRule="exact"/>
        </w:trPr>
        <w:tc>
          <w:tcPr>
            <w:tcW w:w="1405" w:type="dxa"/>
            <w:tcBorders>
              <w:top w:val="nil"/>
              <w:left w:val="nil"/>
              <w:right w:val="nil"/>
            </w:tcBorders>
          </w:tcPr>
          <w:p>
            <w:pPr>
              <w:pStyle w:val="TableParagraph"/>
              <w:spacing w:before="26"/>
              <w:ind w:left="86"/>
              <w:jc w:val="left"/>
              <w:rPr>
                <w:sz w:val="20"/>
              </w:rPr>
            </w:pPr>
            <w:r>
              <w:rPr>
                <w:sz w:val="20"/>
              </w:rPr>
              <w:t>TEJ_VpFdp</w:t>
            </w:r>
          </w:p>
        </w:tc>
        <w:tc>
          <w:tcPr>
            <w:tcW w:w="695" w:type="dxa"/>
            <w:tcBorders>
              <w:top w:val="nil"/>
              <w:left w:val="nil"/>
              <w:right w:val="nil"/>
            </w:tcBorders>
          </w:tcPr>
          <w:p>
            <w:pPr>
              <w:pStyle w:val="TableParagraph"/>
              <w:spacing w:before="26"/>
              <w:ind w:left="110" w:right="195"/>
              <w:jc w:val="center"/>
              <w:rPr>
                <w:sz w:val="20"/>
              </w:rPr>
            </w:pPr>
            <w:r>
              <w:rPr>
                <w:sz w:val="20"/>
              </w:rPr>
              <w:t>0.18</w:t>
            </w:r>
          </w:p>
        </w:tc>
        <w:tc>
          <w:tcPr>
            <w:tcW w:w="826" w:type="dxa"/>
            <w:tcBorders>
              <w:top w:val="nil"/>
              <w:left w:val="nil"/>
              <w:right w:val="nil"/>
            </w:tcBorders>
          </w:tcPr>
          <w:p>
            <w:pPr>
              <w:pStyle w:val="TableParagraph"/>
              <w:spacing w:before="26"/>
              <w:ind w:left="257"/>
              <w:jc w:val="left"/>
              <w:rPr>
                <w:sz w:val="20"/>
              </w:rPr>
            </w:pPr>
            <w:r>
              <w:rPr>
                <w:sz w:val="20"/>
              </w:rPr>
              <w:t>0.18</w:t>
            </w:r>
          </w:p>
        </w:tc>
        <w:tc>
          <w:tcPr>
            <w:tcW w:w="826" w:type="dxa"/>
            <w:tcBorders>
              <w:top w:val="nil"/>
              <w:left w:val="nil"/>
              <w:right w:val="nil"/>
            </w:tcBorders>
          </w:tcPr>
          <w:p>
            <w:pPr>
              <w:pStyle w:val="TableParagraph"/>
              <w:spacing w:before="26"/>
              <w:ind w:left="256"/>
              <w:jc w:val="left"/>
              <w:rPr>
                <w:sz w:val="20"/>
              </w:rPr>
            </w:pPr>
            <w:r>
              <w:rPr>
                <w:sz w:val="20"/>
              </w:rPr>
              <w:t>0.18</w:t>
            </w:r>
          </w:p>
        </w:tc>
        <w:tc>
          <w:tcPr>
            <w:tcW w:w="829" w:type="dxa"/>
            <w:tcBorders>
              <w:top w:val="nil"/>
              <w:left w:val="nil"/>
              <w:right w:val="nil"/>
            </w:tcBorders>
          </w:tcPr>
          <w:p>
            <w:pPr>
              <w:pStyle w:val="TableParagraph"/>
              <w:spacing w:before="26"/>
              <w:ind w:left="257"/>
              <w:jc w:val="left"/>
              <w:rPr>
                <w:sz w:val="20"/>
              </w:rPr>
            </w:pPr>
            <w:r>
              <w:rPr>
                <w:sz w:val="20"/>
              </w:rPr>
              <w:t>0.18</w:t>
            </w:r>
          </w:p>
        </w:tc>
        <w:tc>
          <w:tcPr>
            <w:tcW w:w="828" w:type="dxa"/>
            <w:tcBorders>
              <w:top w:val="nil"/>
              <w:left w:val="nil"/>
              <w:right w:val="nil"/>
            </w:tcBorders>
          </w:tcPr>
          <w:p>
            <w:pPr>
              <w:pStyle w:val="TableParagraph"/>
              <w:spacing w:before="26"/>
              <w:ind w:right="211"/>
              <w:rPr>
                <w:sz w:val="20"/>
              </w:rPr>
            </w:pPr>
            <w:r>
              <w:rPr>
                <w:sz w:val="20"/>
              </w:rPr>
              <w:t>0.18</w:t>
            </w:r>
          </w:p>
        </w:tc>
        <w:tc>
          <w:tcPr>
            <w:tcW w:w="826" w:type="dxa"/>
            <w:tcBorders>
              <w:top w:val="nil"/>
              <w:left w:val="nil"/>
              <w:right w:val="nil"/>
            </w:tcBorders>
          </w:tcPr>
          <w:p>
            <w:pPr>
              <w:pStyle w:val="TableParagraph"/>
              <w:spacing w:before="26"/>
              <w:ind w:left="256"/>
              <w:jc w:val="left"/>
              <w:rPr>
                <w:sz w:val="20"/>
              </w:rPr>
            </w:pPr>
            <w:r>
              <w:rPr>
                <w:sz w:val="20"/>
              </w:rPr>
              <w:t>0.18</w:t>
            </w:r>
          </w:p>
        </w:tc>
        <w:tc>
          <w:tcPr>
            <w:tcW w:w="828" w:type="dxa"/>
            <w:tcBorders>
              <w:top w:val="nil"/>
              <w:left w:val="nil"/>
              <w:right w:val="nil"/>
            </w:tcBorders>
          </w:tcPr>
          <w:p>
            <w:pPr>
              <w:pStyle w:val="TableParagraph"/>
              <w:spacing w:before="26"/>
              <w:ind w:left="257"/>
              <w:jc w:val="left"/>
              <w:rPr>
                <w:sz w:val="20"/>
              </w:rPr>
            </w:pPr>
            <w:r>
              <w:rPr>
                <w:sz w:val="20"/>
              </w:rPr>
              <w:t>0.18</w:t>
            </w:r>
          </w:p>
        </w:tc>
        <w:tc>
          <w:tcPr>
            <w:tcW w:w="828" w:type="dxa"/>
            <w:tcBorders>
              <w:top w:val="nil"/>
              <w:left w:val="nil"/>
              <w:right w:val="nil"/>
            </w:tcBorders>
          </w:tcPr>
          <w:p>
            <w:pPr>
              <w:pStyle w:val="TableParagraph"/>
              <w:spacing w:before="26"/>
              <w:ind w:left="259"/>
              <w:jc w:val="left"/>
              <w:rPr>
                <w:sz w:val="20"/>
              </w:rPr>
            </w:pPr>
            <w:r>
              <w:rPr>
                <w:sz w:val="20"/>
              </w:rPr>
              <w:t>0.00</w:t>
            </w:r>
          </w:p>
        </w:tc>
        <w:tc>
          <w:tcPr>
            <w:tcW w:w="826" w:type="dxa"/>
            <w:tcBorders>
              <w:top w:val="nil"/>
              <w:left w:val="nil"/>
              <w:right w:val="nil"/>
            </w:tcBorders>
          </w:tcPr>
          <w:p>
            <w:pPr>
              <w:pStyle w:val="TableParagraph"/>
              <w:spacing w:before="26"/>
              <w:ind w:left="257"/>
              <w:jc w:val="left"/>
              <w:rPr>
                <w:sz w:val="20"/>
              </w:rPr>
            </w:pPr>
            <w:r>
              <w:rPr>
                <w:sz w:val="20"/>
              </w:rPr>
              <w:t>0.00</w:t>
            </w:r>
          </w:p>
        </w:tc>
        <w:tc>
          <w:tcPr>
            <w:tcW w:w="776" w:type="dxa"/>
            <w:tcBorders>
              <w:top w:val="nil"/>
              <w:left w:val="nil"/>
              <w:right w:val="nil"/>
            </w:tcBorders>
          </w:tcPr>
          <w:p>
            <w:pPr>
              <w:pStyle w:val="TableParagraph"/>
              <w:spacing w:before="26"/>
              <w:ind w:right="60"/>
              <w:rPr>
                <w:sz w:val="20"/>
              </w:rPr>
            </w:pPr>
            <w:r>
              <w:rPr>
                <w:sz w:val="20"/>
              </w:rPr>
              <w:t>0.00</w:t>
            </w:r>
          </w:p>
        </w:tc>
      </w:tr>
    </w:tbl>
    <w:p>
      <w:pPr>
        <w:spacing w:after="0"/>
        <w:rPr>
          <w:sz w:val="20"/>
        </w:rPr>
        <w:sectPr>
          <w:pgSz w:w="12240" w:h="15840"/>
          <w:pgMar w:header="0" w:footer="1473" w:top="1360" w:bottom="1660" w:left="940" w:right="1300"/>
        </w:sectPr>
      </w:pPr>
    </w:p>
    <w:p>
      <w:pPr>
        <w:pStyle w:val="BodyText"/>
        <w:tabs>
          <w:tab w:pos="476" w:val="left" w:leader="none"/>
          <w:tab w:pos="9594" w:val="left" w:leader="none"/>
        </w:tabs>
        <w:spacing w:before="49"/>
        <w:ind w:left="116"/>
      </w:pPr>
      <w:r>
        <w:rPr>
          <w:w w:val="99"/>
          <w:u w:val="single"/>
        </w:rPr>
        <w:t> </w:t>
      </w:r>
      <w:r>
        <w:rPr>
          <w:u w:val="single"/>
        </w:rPr>
        <w:tab/>
        <w:t>Continuación Tabla</w:t>
      </w:r>
      <w:r>
        <w:rPr>
          <w:spacing w:val="-19"/>
          <w:u w:val="single"/>
        </w:rPr>
        <w:t> </w:t>
      </w:r>
      <w:r>
        <w:rPr>
          <w:u w:val="single"/>
        </w:rPr>
        <w:t>30.</w:t>
        <w:tab/>
      </w:r>
    </w:p>
    <w:p>
      <w:pPr>
        <w:pStyle w:val="BodyText"/>
        <w:spacing w:before="4"/>
        <w:rPr>
          <w:sz w:val="9"/>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05"/>
        <w:gridCol w:w="695"/>
        <w:gridCol w:w="826"/>
        <w:gridCol w:w="826"/>
        <w:gridCol w:w="829"/>
        <w:gridCol w:w="828"/>
        <w:gridCol w:w="826"/>
        <w:gridCol w:w="828"/>
        <w:gridCol w:w="828"/>
        <w:gridCol w:w="826"/>
        <w:gridCol w:w="776"/>
      </w:tblGrid>
      <w:tr>
        <w:trPr>
          <w:trHeight w:val="302" w:hRule="exact"/>
        </w:trPr>
        <w:tc>
          <w:tcPr>
            <w:tcW w:w="1405" w:type="dxa"/>
          </w:tcPr>
          <w:p>
            <w:pPr>
              <w:pStyle w:val="TableParagraph"/>
              <w:spacing w:before="90"/>
              <w:ind w:left="100"/>
              <w:jc w:val="left"/>
              <w:rPr>
                <w:sz w:val="20"/>
              </w:rPr>
            </w:pPr>
            <w:r>
              <w:rPr>
                <w:sz w:val="20"/>
              </w:rPr>
              <w:t>Nombre/Clave</w:t>
            </w:r>
          </w:p>
        </w:tc>
        <w:tc>
          <w:tcPr>
            <w:tcW w:w="695" w:type="dxa"/>
          </w:tcPr>
          <w:p>
            <w:pPr/>
          </w:p>
        </w:tc>
        <w:tc>
          <w:tcPr>
            <w:tcW w:w="826" w:type="dxa"/>
          </w:tcPr>
          <w:p>
            <w:pPr/>
          </w:p>
        </w:tc>
        <w:tc>
          <w:tcPr>
            <w:tcW w:w="826" w:type="dxa"/>
          </w:tcPr>
          <w:p>
            <w:pPr/>
          </w:p>
        </w:tc>
        <w:tc>
          <w:tcPr>
            <w:tcW w:w="829" w:type="dxa"/>
          </w:tcPr>
          <w:p>
            <w:pPr/>
          </w:p>
        </w:tc>
        <w:tc>
          <w:tcPr>
            <w:tcW w:w="2482" w:type="dxa"/>
            <w:gridSpan w:val="3"/>
          </w:tcPr>
          <w:p>
            <w:pPr>
              <w:pStyle w:val="TableParagraph"/>
              <w:spacing w:line="205" w:lineRule="exact" w:before="0"/>
              <w:ind w:left="-15"/>
              <w:jc w:val="left"/>
              <w:rPr>
                <w:sz w:val="20"/>
              </w:rPr>
            </w:pPr>
            <w:r>
              <w:rPr>
                <w:sz w:val="20"/>
              </w:rPr>
              <w:t>N° de capas del suelo</w:t>
            </w:r>
          </w:p>
        </w:tc>
        <w:tc>
          <w:tcPr>
            <w:tcW w:w="828" w:type="dxa"/>
          </w:tcPr>
          <w:p>
            <w:pPr/>
          </w:p>
        </w:tc>
        <w:tc>
          <w:tcPr>
            <w:tcW w:w="826" w:type="dxa"/>
          </w:tcPr>
          <w:p>
            <w:pPr/>
          </w:p>
        </w:tc>
        <w:tc>
          <w:tcPr>
            <w:tcW w:w="776" w:type="dxa"/>
          </w:tcPr>
          <w:p>
            <w:pPr/>
          </w:p>
        </w:tc>
      </w:tr>
      <w:tr>
        <w:trPr>
          <w:trHeight w:val="215" w:hRule="exact"/>
        </w:trPr>
        <w:tc>
          <w:tcPr>
            <w:tcW w:w="1405" w:type="dxa"/>
            <w:tcBorders>
              <w:bottom w:val="single" w:sz="4" w:space="0" w:color="000000"/>
            </w:tcBorders>
          </w:tcPr>
          <w:p>
            <w:pPr/>
          </w:p>
        </w:tc>
        <w:tc>
          <w:tcPr>
            <w:tcW w:w="695" w:type="dxa"/>
            <w:tcBorders>
              <w:bottom w:val="single" w:sz="4" w:space="0" w:color="000000"/>
            </w:tcBorders>
          </w:tcPr>
          <w:p>
            <w:pPr>
              <w:pStyle w:val="TableParagraph"/>
              <w:spacing w:line="201" w:lineRule="exact" w:before="0"/>
              <w:ind w:right="186"/>
              <w:jc w:val="center"/>
              <w:rPr>
                <w:sz w:val="20"/>
              </w:rPr>
            </w:pPr>
            <w:r>
              <w:rPr>
                <w:w w:val="100"/>
                <w:sz w:val="20"/>
              </w:rPr>
              <w:t>1</w:t>
            </w:r>
          </w:p>
        </w:tc>
        <w:tc>
          <w:tcPr>
            <w:tcW w:w="826" w:type="dxa"/>
            <w:tcBorders>
              <w:bottom w:val="single" w:sz="4" w:space="0" w:color="000000"/>
            </w:tcBorders>
          </w:tcPr>
          <w:p>
            <w:pPr>
              <w:pStyle w:val="TableParagraph"/>
              <w:spacing w:line="201" w:lineRule="exact" w:before="0"/>
              <w:ind w:left="213"/>
              <w:jc w:val="left"/>
              <w:rPr>
                <w:sz w:val="20"/>
              </w:rPr>
            </w:pPr>
            <w:r>
              <w:rPr>
                <w:w w:val="100"/>
                <w:sz w:val="20"/>
              </w:rPr>
              <w:t>2</w:t>
            </w:r>
          </w:p>
        </w:tc>
        <w:tc>
          <w:tcPr>
            <w:tcW w:w="826" w:type="dxa"/>
            <w:tcBorders>
              <w:bottom w:val="single" w:sz="4" w:space="0" w:color="000000"/>
            </w:tcBorders>
          </w:tcPr>
          <w:p>
            <w:pPr>
              <w:pStyle w:val="TableParagraph"/>
              <w:spacing w:line="201" w:lineRule="exact" w:before="0"/>
              <w:ind w:left="213"/>
              <w:jc w:val="left"/>
              <w:rPr>
                <w:sz w:val="20"/>
              </w:rPr>
            </w:pPr>
            <w:r>
              <w:rPr>
                <w:w w:val="100"/>
                <w:sz w:val="20"/>
              </w:rPr>
              <w:t>3</w:t>
            </w:r>
          </w:p>
        </w:tc>
        <w:tc>
          <w:tcPr>
            <w:tcW w:w="829" w:type="dxa"/>
            <w:tcBorders>
              <w:bottom w:val="single" w:sz="4" w:space="0" w:color="000000"/>
            </w:tcBorders>
          </w:tcPr>
          <w:p>
            <w:pPr>
              <w:pStyle w:val="TableParagraph"/>
              <w:spacing w:line="201" w:lineRule="exact" w:before="0"/>
              <w:ind w:left="213"/>
              <w:jc w:val="left"/>
              <w:rPr>
                <w:sz w:val="20"/>
              </w:rPr>
            </w:pPr>
            <w:r>
              <w:rPr>
                <w:w w:val="100"/>
                <w:sz w:val="20"/>
              </w:rPr>
              <w:t>4</w:t>
            </w:r>
          </w:p>
        </w:tc>
        <w:tc>
          <w:tcPr>
            <w:tcW w:w="828" w:type="dxa"/>
            <w:tcBorders>
              <w:bottom w:val="single" w:sz="4" w:space="0" w:color="000000"/>
            </w:tcBorders>
          </w:tcPr>
          <w:p>
            <w:pPr>
              <w:pStyle w:val="TableParagraph"/>
              <w:spacing w:line="201" w:lineRule="exact" w:before="0"/>
              <w:ind w:left="216"/>
              <w:jc w:val="left"/>
              <w:rPr>
                <w:sz w:val="20"/>
              </w:rPr>
            </w:pPr>
            <w:r>
              <w:rPr>
                <w:w w:val="100"/>
                <w:sz w:val="20"/>
              </w:rPr>
              <w:t>5</w:t>
            </w:r>
          </w:p>
        </w:tc>
        <w:tc>
          <w:tcPr>
            <w:tcW w:w="826" w:type="dxa"/>
            <w:tcBorders>
              <w:bottom w:val="single" w:sz="4" w:space="0" w:color="000000"/>
            </w:tcBorders>
          </w:tcPr>
          <w:p>
            <w:pPr>
              <w:pStyle w:val="TableParagraph"/>
              <w:spacing w:line="201" w:lineRule="exact" w:before="0"/>
              <w:ind w:left="213"/>
              <w:jc w:val="left"/>
              <w:rPr>
                <w:sz w:val="20"/>
              </w:rPr>
            </w:pPr>
            <w:r>
              <w:rPr>
                <w:w w:val="100"/>
                <w:sz w:val="20"/>
              </w:rPr>
              <w:t>6</w:t>
            </w:r>
          </w:p>
        </w:tc>
        <w:tc>
          <w:tcPr>
            <w:tcW w:w="828" w:type="dxa"/>
            <w:tcBorders>
              <w:bottom w:val="single" w:sz="4" w:space="0" w:color="000000"/>
            </w:tcBorders>
          </w:tcPr>
          <w:p>
            <w:pPr>
              <w:pStyle w:val="TableParagraph"/>
              <w:spacing w:line="201" w:lineRule="exact" w:before="0"/>
              <w:ind w:left="213"/>
              <w:jc w:val="left"/>
              <w:rPr>
                <w:sz w:val="20"/>
              </w:rPr>
            </w:pPr>
            <w:r>
              <w:rPr>
                <w:w w:val="100"/>
                <w:sz w:val="20"/>
              </w:rPr>
              <w:t>7</w:t>
            </w:r>
          </w:p>
        </w:tc>
        <w:tc>
          <w:tcPr>
            <w:tcW w:w="828" w:type="dxa"/>
            <w:tcBorders>
              <w:bottom w:val="single" w:sz="4" w:space="0" w:color="000000"/>
            </w:tcBorders>
          </w:tcPr>
          <w:p>
            <w:pPr>
              <w:pStyle w:val="TableParagraph"/>
              <w:spacing w:line="201" w:lineRule="exact" w:before="0"/>
              <w:ind w:left="216"/>
              <w:jc w:val="left"/>
              <w:rPr>
                <w:sz w:val="20"/>
              </w:rPr>
            </w:pPr>
            <w:r>
              <w:rPr>
                <w:w w:val="100"/>
                <w:sz w:val="20"/>
              </w:rPr>
              <w:t>8</w:t>
            </w:r>
          </w:p>
        </w:tc>
        <w:tc>
          <w:tcPr>
            <w:tcW w:w="826" w:type="dxa"/>
            <w:tcBorders>
              <w:bottom w:val="single" w:sz="4" w:space="0" w:color="000000"/>
            </w:tcBorders>
          </w:tcPr>
          <w:p>
            <w:pPr>
              <w:pStyle w:val="TableParagraph"/>
              <w:spacing w:line="201" w:lineRule="exact" w:before="0"/>
              <w:ind w:left="213"/>
              <w:jc w:val="left"/>
              <w:rPr>
                <w:sz w:val="20"/>
              </w:rPr>
            </w:pPr>
            <w:r>
              <w:rPr>
                <w:w w:val="100"/>
                <w:sz w:val="20"/>
              </w:rPr>
              <w:t>9</w:t>
            </w:r>
          </w:p>
        </w:tc>
        <w:tc>
          <w:tcPr>
            <w:tcW w:w="776" w:type="dxa"/>
            <w:tcBorders>
              <w:bottom w:val="single" w:sz="4" w:space="0" w:color="000000"/>
            </w:tcBorders>
          </w:tcPr>
          <w:p>
            <w:pPr>
              <w:pStyle w:val="TableParagraph"/>
              <w:spacing w:line="201" w:lineRule="exact" w:before="0"/>
              <w:ind w:left="213"/>
              <w:jc w:val="left"/>
              <w:rPr>
                <w:sz w:val="20"/>
              </w:rPr>
            </w:pPr>
            <w:r>
              <w:rPr>
                <w:sz w:val="20"/>
              </w:rPr>
              <w:t>10</w:t>
            </w:r>
          </w:p>
        </w:tc>
      </w:tr>
      <w:tr>
        <w:trPr>
          <w:trHeight w:val="345" w:hRule="exact"/>
        </w:trPr>
        <w:tc>
          <w:tcPr>
            <w:tcW w:w="1405" w:type="dxa"/>
            <w:tcBorders>
              <w:top w:val="single" w:sz="4" w:space="0" w:color="000000"/>
            </w:tcBorders>
          </w:tcPr>
          <w:p>
            <w:pPr>
              <w:pStyle w:val="TableParagraph"/>
              <w:spacing w:before="63"/>
              <w:ind w:left="86"/>
              <w:jc w:val="left"/>
              <w:rPr>
                <w:sz w:val="20"/>
              </w:rPr>
            </w:pPr>
            <w:r>
              <w:rPr>
                <w:sz w:val="20"/>
              </w:rPr>
              <w:t>TEJ_VpSF</w:t>
            </w:r>
          </w:p>
        </w:tc>
        <w:tc>
          <w:tcPr>
            <w:tcW w:w="695" w:type="dxa"/>
            <w:tcBorders>
              <w:top w:val="single" w:sz="4" w:space="0" w:color="000000"/>
            </w:tcBorders>
          </w:tcPr>
          <w:p>
            <w:pPr>
              <w:pStyle w:val="TableParagraph"/>
              <w:spacing w:before="63"/>
              <w:ind w:left="110" w:right="195"/>
              <w:jc w:val="center"/>
              <w:rPr>
                <w:sz w:val="20"/>
              </w:rPr>
            </w:pPr>
            <w:r>
              <w:rPr>
                <w:sz w:val="20"/>
              </w:rPr>
              <w:t>0.18</w:t>
            </w:r>
          </w:p>
        </w:tc>
        <w:tc>
          <w:tcPr>
            <w:tcW w:w="826" w:type="dxa"/>
            <w:tcBorders>
              <w:top w:val="single" w:sz="4" w:space="0" w:color="000000"/>
            </w:tcBorders>
          </w:tcPr>
          <w:p>
            <w:pPr>
              <w:pStyle w:val="TableParagraph"/>
              <w:spacing w:before="63"/>
              <w:ind w:left="257"/>
              <w:jc w:val="left"/>
              <w:rPr>
                <w:sz w:val="20"/>
              </w:rPr>
            </w:pPr>
            <w:r>
              <w:rPr>
                <w:sz w:val="20"/>
              </w:rPr>
              <w:t>0.18</w:t>
            </w:r>
          </w:p>
        </w:tc>
        <w:tc>
          <w:tcPr>
            <w:tcW w:w="826" w:type="dxa"/>
            <w:tcBorders>
              <w:top w:val="single" w:sz="4" w:space="0" w:color="000000"/>
            </w:tcBorders>
          </w:tcPr>
          <w:p>
            <w:pPr>
              <w:pStyle w:val="TableParagraph"/>
              <w:spacing w:before="63"/>
              <w:ind w:left="256"/>
              <w:jc w:val="left"/>
              <w:rPr>
                <w:sz w:val="20"/>
              </w:rPr>
            </w:pPr>
            <w:r>
              <w:rPr>
                <w:sz w:val="20"/>
              </w:rPr>
              <w:t>0.18</w:t>
            </w:r>
          </w:p>
        </w:tc>
        <w:tc>
          <w:tcPr>
            <w:tcW w:w="829" w:type="dxa"/>
            <w:tcBorders>
              <w:top w:val="single" w:sz="4" w:space="0" w:color="000000"/>
            </w:tcBorders>
          </w:tcPr>
          <w:p>
            <w:pPr>
              <w:pStyle w:val="TableParagraph"/>
              <w:spacing w:before="63"/>
              <w:ind w:left="257"/>
              <w:jc w:val="left"/>
              <w:rPr>
                <w:sz w:val="20"/>
              </w:rPr>
            </w:pPr>
            <w:r>
              <w:rPr>
                <w:sz w:val="20"/>
              </w:rPr>
              <w:t>0.18</w:t>
            </w:r>
          </w:p>
        </w:tc>
        <w:tc>
          <w:tcPr>
            <w:tcW w:w="828" w:type="dxa"/>
            <w:tcBorders>
              <w:top w:val="single" w:sz="4" w:space="0" w:color="000000"/>
            </w:tcBorders>
          </w:tcPr>
          <w:p>
            <w:pPr>
              <w:pStyle w:val="TableParagraph"/>
              <w:spacing w:before="63"/>
              <w:ind w:right="211"/>
              <w:rPr>
                <w:sz w:val="20"/>
              </w:rPr>
            </w:pPr>
            <w:r>
              <w:rPr>
                <w:sz w:val="20"/>
              </w:rPr>
              <w:t>0.18</w:t>
            </w:r>
          </w:p>
        </w:tc>
        <w:tc>
          <w:tcPr>
            <w:tcW w:w="826" w:type="dxa"/>
            <w:tcBorders>
              <w:top w:val="single" w:sz="4" w:space="0" w:color="000000"/>
            </w:tcBorders>
          </w:tcPr>
          <w:p>
            <w:pPr>
              <w:pStyle w:val="TableParagraph"/>
              <w:spacing w:before="63"/>
              <w:ind w:left="256"/>
              <w:jc w:val="left"/>
              <w:rPr>
                <w:sz w:val="20"/>
              </w:rPr>
            </w:pPr>
            <w:r>
              <w:rPr>
                <w:sz w:val="20"/>
              </w:rPr>
              <w:t>0.18</w:t>
            </w:r>
          </w:p>
        </w:tc>
        <w:tc>
          <w:tcPr>
            <w:tcW w:w="828" w:type="dxa"/>
            <w:tcBorders>
              <w:top w:val="single" w:sz="4" w:space="0" w:color="000000"/>
            </w:tcBorders>
          </w:tcPr>
          <w:p>
            <w:pPr>
              <w:pStyle w:val="TableParagraph"/>
              <w:spacing w:before="63"/>
              <w:ind w:left="257"/>
              <w:jc w:val="left"/>
              <w:rPr>
                <w:sz w:val="20"/>
              </w:rPr>
            </w:pPr>
            <w:r>
              <w:rPr>
                <w:sz w:val="20"/>
              </w:rPr>
              <w:t>0.18</w:t>
            </w:r>
          </w:p>
        </w:tc>
        <w:tc>
          <w:tcPr>
            <w:tcW w:w="828" w:type="dxa"/>
            <w:tcBorders>
              <w:top w:val="single" w:sz="4" w:space="0" w:color="000000"/>
            </w:tcBorders>
          </w:tcPr>
          <w:p>
            <w:pPr>
              <w:pStyle w:val="TableParagraph"/>
              <w:spacing w:before="63"/>
              <w:ind w:left="259"/>
              <w:jc w:val="left"/>
              <w:rPr>
                <w:sz w:val="20"/>
              </w:rPr>
            </w:pPr>
            <w:r>
              <w:rPr>
                <w:sz w:val="20"/>
              </w:rPr>
              <w:t>0.00</w:t>
            </w:r>
          </w:p>
        </w:tc>
        <w:tc>
          <w:tcPr>
            <w:tcW w:w="826" w:type="dxa"/>
            <w:tcBorders>
              <w:top w:val="single" w:sz="4" w:space="0" w:color="000000"/>
            </w:tcBorders>
          </w:tcPr>
          <w:p>
            <w:pPr>
              <w:pStyle w:val="TableParagraph"/>
              <w:spacing w:before="63"/>
              <w:ind w:left="257"/>
              <w:jc w:val="left"/>
              <w:rPr>
                <w:sz w:val="20"/>
              </w:rPr>
            </w:pPr>
            <w:r>
              <w:rPr>
                <w:sz w:val="20"/>
              </w:rPr>
              <w:t>0.00</w:t>
            </w:r>
          </w:p>
        </w:tc>
        <w:tc>
          <w:tcPr>
            <w:tcW w:w="776" w:type="dxa"/>
            <w:tcBorders>
              <w:top w:val="single" w:sz="4" w:space="0" w:color="000000"/>
            </w:tcBorders>
          </w:tcPr>
          <w:p>
            <w:pPr>
              <w:pStyle w:val="TableParagraph"/>
              <w:spacing w:before="63"/>
              <w:ind w:right="60"/>
              <w:rPr>
                <w:sz w:val="20"/>
              </w:rPr>
            </w:pPr>
            <w:r>
              <w:rPr>
                <w:sz w:val="20"/>
              </w:rPr>
              <w:t>0.00</w:t>
            </w:r>
          </w:p>
        </w:tc>
      </w:tr>
      <w:tr>
        <w:trPr>
          <w:trHeight w:val="300" w:hRule="exact"/>
        </w:trPr>
        <w:tc>
          <w:tcPr>
            <w:tcW w:w="1405" w:type="dxa"/>
          </w:tcPr>
          <w:p>
            <w:pPr>
              <w:pStyle w:val="TableParagraph"/>
              <w:spacing w:before="26"/>
              <w:ind w:left="86"/>
              <w:jc w:val="left"/>
              <w:rPr>
                <w:sz w:val="20"/>
              </w:rPr>
            </w:pPr>
            <w:r>
              <w:rPr>
                <w:sz w:val="20"/>
              </w:rPr>
              <w:t>TEJ_WmFdp</w:t>
            </w:r>
          </w:p>
        </w:tc>
        <w:tc>
          <w:tcPr>
            <w:tcW w:w="695" w:type="dxa"/>
          </w:tcPr>
          <w:p>
            <w:pPr>
              <w:pStyle w:val="TableParagraph"/>
              <w:spacing w:before="26"/>
              <w:ind w:left="110" w:right="195"/>
              <w:jc w:val="center"/>
              <w:rPr>
                <w:sz w:val="20"/>
              </w:rPr>
            </w:pPr>
            <w:r>
              <w:rPr>
                <w:sz w:val="20"/>
              </w:rPr>
              <w:t>0.28</w:t>
            </w:r>
          </w:p>
        </w:tc>
        <w:tc>
          <w:tcPr>
            <w:tcW w:w="826" w:type="dxa"/>
          </w:tcPr>
          <w:p>
            <w:pPr>
              <w:pStyle w:val="TableParagraph"/>
              <w:spacing w:before="26"/>
              <w:ind w:left="257"/>
              <w:jc w:val="left"/>
              <w:rPr>
                <w:sz w:val="20"/>
              </w:rPr>
            </w:pPr>
            <w:r>
              <w:rPr>
                <w:sz w:val="20"/>
              </w:rPr>
              <w:t>0.28</w:t>
            </w:r>
          </w:p>
        </w:tc>
        <w:tc>
          <w:tcPr>
            <w:tcW w:w="826" w:type="dxa"/>
          </w:tcPr>
          <w:p>
            <w:pPr>
              <w:pStyle w:val="TableParagraph"/>
              <w:spacing w:before="26"/>
              <w:ind w:left="256"/>
              <w:jc w:val="left"/>
              <w:rPr>
                <w:sz w:val="20"/>
              </w:rPr>
            </w:pPr>
            <w:r>
              <w:rPr>
                <w:sz w:val="20"/>
              </w:rPr>
              <w:t>0.28</w:t>
            </w:r>
          </w:p>
        </w:tc>
        <w:tc>
          <w:tcPr>
            <w:tcW w:w="829" w:type="dxa"/>
          </w:tcPr>
          <w:p>
            <w:pPr>
              <w:pStyle w:val="TableParagraph"/>
              <w:spacing w:before="26"/>
              <w:ind w:left="257"/>
              <w:jc w:val="left"/>
              <w:rPr>
                <w:sz w:val="20"/>
              </w:rPr>
            </w:pPr>
            <w:r>
              <w:rPr>
                <w:sz w:val="20"/>
              </w:rPr>
              <w:t>0.28</w:t>
            </w:r>
          </w:p>
        </w:tc>
        <w:tc>
          <w:tcPr>
            <w:tcW w:w="828" w:type="dxa"/>
          </w:tcPr>
          <w:p>
            <w:pPr>
              <w:pStyle w:val="TableParagraph"/>
              <w:spacing w:before="26"/>
              <w:ind w:right="211"/>
              <w:rPr>
                <w:sz w:val="20"/>
              </w:rPr>
            </w:pPr>
            <w:r>
              <w:rPr>
                <w:sz w:val="20"/>
              </w:rPr>
              <w:t>0.28</w:t>
            </w:r>
          </w:p>
        </w:tc>
        <w:tc>
          <w:tcPr>
            <w:tcW w:w="826" w:type="dxa"/>
          </w:tcPr>
          <w:p>
            <w:pPr>
              <w:pStyle w:val="TableParagraph"/>
              <w:spacing w:before="26"/>
              <w:ind w:left="256"/>
              <w:jc w:val="left"/>
              <w:rPr>
                <w:sz w:val="20"/>
              </w:rPr>
            </w:pPr>
            <w:r>
              <w:rPr>
                <w:sz w:val="20"/>
              </w:rPr>
              <w:t>0.28</w:t>
            </w:r>
          </w:p>
        </w:tc>
        <w:tc>
          <w:tcPr>
            <w:tcW w:w="828" w:type="dxa"/>
          </w:tcPr>
          <w:p>
            <w:pPr>
              <w:pStyle w:val="TableParagraph"/>
              <w:spacing w:before="26"/>
              <w:ind w:left="257"/>
              <w:jc w:val="left"/>
              <w:rPr>
                <w:sz w:val="20"/>
              </w:rPr>
            </w:pPr>
            <w:r>
              <w:rPr>
                <w:sz w:val="20"/>
              </w:rPr>
              <w:t>0.28</w:t>
            </w:r>
          </w:p>
        </w:tc>
        <w:tc>
          <w:tcPr>
            <w:tcW w:w="828" w:type="dxa"/>
          </w:tcPr>
          <w:p>
            <w:pPr>
              <w:pStyle w:val="TableParagraph"/>
              <w:spacing w:before="26"/>
              <w:ind w:left="259"/>
              <w:jc w:val="left"/>
              <w:rPr>
                <w:sz w:val="20"/>
              </w:rPr>
            </w:pPr>
            <w:r>
              <w:rPr>
                <w:sz w:val="20"/>
              </w:rPr>
              <w:t>0.00</w:t>
            </w:r>
          </w:p>
        </w:tc>
        <w:tc>
          <w:tcPr>
            <w:tcW w:w="826" w:type="dxa"/>
          </w:tcPr>
          <w:p>
            <w:pPr>
              <w:pStyle w:val="TableParagraph"/>
              <w:spacing w:before="26"/>
              <w:ind w:left="257"/>
              <w:jc w:val="left"/>
              <w:rPr>
                <w:sz w:val="20"/>
              </w:rPr>
            </w:pPr>
            <w:r>
              <w:rPr>
                <w:sz w:val="20"/>
              </w:rPr>
              <w:t>0.00</w:t>
            </w:r>
          </w:p>
        </w:tc>
        <w:tc>
          <w:tcPr>
            <w:tcW w:w="776" w:type="dxa"/>
          </w:tcPr>
          <w:p>
            <w:pPr>
              <w:pStyle w:val="TableParagraph"/>
              <w:spacing w:before="26"/>
              <w:ind w:right="60"/>
              <w:rPr>
                <w:sz w:val="20"/>
              </w:rPr>
            </w:pPr>
            <w:r>
              <w:rPr>
                <w:sz w:val="20"/>
              </w:rPr>
              <w:t>0.00</w:t>
            </w:r>
          </w:p>
        </w:tc>
      </w:tr>
      <w:tr>
        <w:trPr>
          <w:trHeight w:val="268" w:hRule="exact"/>
        </w:trPr>
        <w:tc>
          <w:tcPr>
            <w:tcW w:w="1405" w:type="dxa"/>
            <w:tcBorders>
              <w:bottom w:val="single" w:sz="4" w:space="0" w:color="000000"/>
            </w:tcBorders>
          </w:tcPr>
          <w:p>
            <w:pPr>
              <w:pStyle w:val="TableParagraph"/>
              <w:ind w:left="86"/>
              <w:jc w:val="left"/>
              <w:rPr>
                <w:sz w:val="20"/>
              </w:rPr>
            </w:pPr>
            <w:r>
              <w:rPr>
                <w:sz w:val="20"/>
              </w:rPr>
              <w:t>TEJ_WmSF</w:t>
            </w:r>
          </w:p>
        </w:tc>
        <w:tc>
          <w:tcPr>
            <w:tcW w:w="695" w:type="dxa"/>
            <w:tcBorders>
              <w:bottom w:val="single" w:sz="4" w:space="0" w:color="000000"/>
            </w:tcBorders>
          </w:tcPr>
          <w:p>
            <w:pPr>
              <w:pStyle w:val="TableParagraph"/>
              <w:ind w:left="110" w:right="195"/>
              <w:jc w:val="center"/>
              <w:rPr>
                <w:sz w:val="20"/>
              </w:rPr>
            </w:pPr>
            <w:r>
              <w:rPr>
                <w:sz w:val="20"/>
              </w:rPr>
              <w:t>0.28</w:t>
            </w:r>
          </w:p>
        </w:tc>
        <w:tc>
          <w:tcPr>
            <w:tcW w:w="826" w:type="dxa"/>
            <w:tcBorders>
              <w:bottom w:val="single" w:sz="4" w:space="0" w:color="000000"/>
            </w:tcBorders>
          </w:tcPr>
          <w:p>
            <w:pPr>
              <w:pStyle w:val="TableParagraph"/>
              <w:ind w:left="257"/>
              <w:jc w:val="left"/>
              <w:rPr>
                <w:sz w:val="20"/>
              </w:rPr>
            </w:pPr>
            <w:r>
              <w:rPr>
                <w:sz w:val="20"/>
              </w:rPr>
              <w:t>0.28</w:t>
            </w:r>
          </w:p>
        </w:tc>
        <w:tc>
          <w:tcPr>
            <w:tcW w:w="826" w:type="dxa"/>
            <w:tcBorders>
              <w:bottom w:val="single" w:sz="4" w:space="0" w:color="000000"/>
            </w:tcBorders>
          </w:tcPr>
          <w:p>
            <w:pPr>
              <w:pStyle w:val="TableParagraph"/>
              <w:ind w:left="256"/>
              <w:jc w:val="left"/>
              <w:rPr>
                <w:sz w:val="20"/>
              </w:rPr>
            </w:pPr>
            <w:r>
              <w:rPr>
                <w:sz w:val="20"/>
              </w:rPr>
              <w:t>0.28</w:t>
            </w:r>
          </w:p>
        </w:tc>
        <w:tc>
          <w:tcPr>
            <w:tcW w:w="829" w:type="dxa"/>
            <w:tcBorders>
              <w:bottom w:val="single" w:sz="4" w:space="0" w:color="000000"/>
            </w:tcBorders>
          </w:tcPr>
          <w:p>
            <w:pPr>
              <w:pStyle w:val="TableParagraph"/>
              <w:ind w:left="257"/>
              <w:jc w:val="left"/>
              <w:rPr>
                <w:sz w:val="20"/>
              </w:rPr>
            </w:pPr>
            <w:r>
              <w:rPr>
                <w:sz w:val="20"/>
              </w:rPr>
              <w:t>0.28</w:t>
            </w:r>
          </w:p>
        </w:tc>
        <w:tc>
          <w:tcPr>
            <w:tcW w:w="828" w:type="dxa"/>
            <w:tcBorders>
              <w:bottom w:val="single" w:sz="4" w:space="0" w:color="000000"/>
            </w:tcBorders>
          </w:tcPr>
          <w:p>
            <w:pPr>
              <w:pStyle w:val="TableParagraph"/>
              <w:ind w:right="211"/>
              <w:rPr>
                <w:sz w:val="20"/>
              </w:rPr>
            </w:pPr>
            <w:r>
              <w:rPr>
                <w:sz w:val="20"/>
              </w:rPr>
              <w:t>0.28</w:t>
            </w:r>
          </w:p>
        </w:tc>
        <w:tc>
          <w:tcPr>
            <w:tcW w:w="826" w:type="dxa"/>
            <w:tcBorders>
              <w:bottom w:val="single" w:sz="4" w:space="0" w:color="000000"/>
            </w:tcBorders>
          </w:tcPr>
          <w:p>
            <w:pPr>
              <w:pStyle w:val="TableParagraph"/>
              <w:ind w:left="256"/>
              <w:jc w:val="left"/>
              <w:rPr>
                <w:sz w:val="20"/>
              </w:rPr>
            </w:pPr>
            <w:r>
              <w:rPr>
                <w:sz w:val="20"/>
              </w:rPr>
              <w:t>0.28</w:t>
            </w:r>
          </w:p>
        </w:tc>
        <w:tc>
          <w:tcPr>
            <w:tcW w:w="828" w:type="dxa"/>
            <w:tcBorders>
              <w:bottom w:val="single" w:sz="4" w:space="0" w:color="000000"/>
            </w:tcBorders>
          </w:tcPr>
          <w:p>
            <w:pPr>
              <w:pStyle w:val="TableParagraph"/>
              <w:ind w:left="257"/>
              <w:jc w:val="left"/>
              <w:rPr>
                <w:sz w:val="20"/>
              </w:rPr>
            </w:pPr>
            <w:r>
              <w:rPr>
                <w:sz w:val="20"/>
              </w:rPr>
              <w:t>0.28</w:t>
            </w:r>
          </w:p>
        </w:tc>
        <w:tc>
          <w:tcPr>
            <w:tcW w:w="828" w:type="dxa"/>
            <w:tcBorders>
              <w:bottom w:val="single" w:sz="4" w:space="0" w:color="000000"/>
            </w:tcBorders>
          </w:tcPr>
          <w:p>
            <w:pPr>
              <w:pStyle w:val="TableParagraph"/>
              <w:ind w:left="259"/>
              <w:jc w:val="left"/>
              <w:rPr>
                <w:sz w:val="20"/>
              </w:rPr>
            </w:pPr>
            <w:r>
              <w:rPr>
                <w:sz w:val="20"/>
              </w:rPr>
              <w:t>0.00</w:t>
            </w:r>
          </w:p>
        </w:tc>
        <w:tc>
          <w:tcPr>
            <w:tcW w:w="826" w:type="dxa"/>
            <w:tcBorders>
              <w:bottom w:val="single" w:sz="4" w:space="0" w:color="000000"/>
            </w:tcBorders>
          </w:tcPr>
          <w:p>
            <w:pPr>
              <w:pStyle w:val="TableParagraph"/>
              <w:ind w:left="257"/>
              <w:jc w:val="left"/>
              <w:rPr>
                <w:sz w:val="20"/>
              </w:rPr>
            </w:pPr>
            <w:r>
              <w:rPr>
                <w:sz w:val="20"/>
              </w:rPr>
              <w:t>0.00</w:t>
            </w:r>
          </w:p>
        </w:tc>
        <w:tc>
          <w:tcPr>
            <w:tcW w:w="776" w:type="dxa"/>
            <w:tcBorders>
              <w:bottom w:val="single" w:sz="4" w:space="0" w:color="000000"/>
            </w:tcBorders>
          </w:tcPr>
          <w:p>
            <w:pPr>
              <w:pStyle w:val="TableParagraph"/>
              <w:ind w:right="60"/>
              <w:rPr>
                <w:sz w:val="20"/>
              </w:rPr>
            </w:pPr>
            <w:r>
              <w:rPr>
                <w:sz w:val="20"/>
              </w:rPr>
              <w:t>0.00</w:t>
            </w:r>
          </w:p>
        </w:tc>
      </w:tr>
    </w:tbl>
    <w:p>
      <w:pPr>
        <w:spacing w:after="0"/>
        <w:rPr>
          <w:sz w:val="20"/>
        </w:rPr>
        <w:sectPr>
          <w:pgSz w:w="12240" w:h="15840"/>
          <w:pgMar w:header="0" w:footer="1473" w:top="1360" w:bottom="1660" w:left="940" w:right="1300"/>
        </w:sectPr>
      </w:pPr>
    </w:p>
    <w:p>
      <w:pPr>
        <w:pStyle w:val="BodyText"/>
        <w:rPr>
          <w:sz w:val="13"/>
        </w:rPr>
      </w:pPr>
    </w:p>
    <w:p>
      <w:pPr>
        <w:pStyle w:val="Heading1"/>
        <w:numPr>
          <w:ilvl w:val="1"/>
          <w:numId w:val="53"/>
        </w:numPr>
        <w:tabs>
          <w:tab w:pos="2443" w:val="left" w:leader="none"/>
        </w:tabs>
        <w:spacing w:line="240" w:lineRule="auto" w:before="66" w:after="0"/>
        <w:ind w:left="2443" w:right="0" w:hanging="360"/>
        <w:jc w:val="left"/>
      </w:pPr>
      <w:r>
        <w:rPr/>
        <w:t>ANEXO BASE DE DATOS DE</w:t>
      </w:r>
      <w:r>
        <w:rPr>
          <w:spacing w:val="-9"/>
        </w:rPr>
        <w:t> </w:t>
      </w:r>
      <w:r>
        <w:rPr/>
        <w:t>CAUCES</w:t>
      </w:r>
    </w:p>
    <w:p>
      <w:pPr>
        <w:pStyle w:val="BodyText"/>
        <w:rPr>
          <w:b/>
        </w:rPr>
      </w:pPr>
    </w:p>
    <w:p>
      <w:pPr>
        <w:spacing w:line="292" w:lineRule="exact" w:before="184"/>
        <w:ind w:left="2639" w:right="0" w:hanging="2531"/>
        <w:jc w:val="left"/>
        <w:rPr>
          <w:b/>
          <w:sz w:val="26"/>
        </w:rPr>
      </w:pPr>
      <w:bookmarkStart w:name="_bookmark167" w:id="226"/>
      <w:bookmarkEnd w:id="226"/>
      <w:r>
        <w:rPr/>
      </w:r>
      <w:r>
        <w:rPr>
          <w:b/>
          <w:sz w:val="26"/>
        </w:rPr>
        <w:t>Tabla 30. Ancho promedio, profundidad del cauce, pendiente media, longitud promedio y rugosidad del cauce</w:t>
      </w:r>
    </w:p>
    <w:p>
      <w:pPr>
        <w:pStyle w:val="BodyText"/>
        <w:spacing w:before="10"/>
        <w:rPr>
          <w:b/>
          <w:sz w:val="17"/>
        </w:rPr>
      </w:pPr>
    </w:p>
    <w:tbl>
      <w:tblPr>
        <w:tblW w:w="0" w:type="auto"/>
        <w:jc w:val="left"/>
        <w:tblInd w:w="8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80"/>
        <w:gridCol w:w="1260"/>
        <w:gridCol w:w="1184"/>
        <w:gridCol w:w="1198"/>
        <w:gridCol w:w="1193"/>
        <w:gridCol w:w="1088"/>
      </w:tblGrid>
      <w:tr>
        <w:trPr>
          <w:trHeight w:val="312" w:hRule="exact"/>
        </w:trPr>
        <w:tc>
          <w:tcPr>
            <w:tcW w:w="1280" w:type="dxa"/>
            <w:tcBorders>
              <w:left w:val="nil"/>
              <w:right w:val="nil"/>
            </w:tcBorders>
          </w:tcPr>
          <w:p>
            <w:pPr>
              <w:pStyle w:val="TableParagraph"/>
              <w:spacing w:before="63"/>
              <w:ind w:left="105"/>
              <w:jc w:val="left"/>
              <w:rPr>
                <w:sz w:val="20"/>
              </w:rPr>
            </w:pPr>
            <w:r>
              <w:rPr>
                <w:sz w:val="20"/>
              </w:rPr>
              <w:t>SUBBASIN</w:t>
            </w:r>
          </w:p>
        </w:tc>
        <w:tc>
          <w:tcPr>
            <w:tcW w:w="1260" w:type="dxa"/>
            <w:tcBorders>
              <w:left w:val="nil"/>
              <w:right w:val="nil"/>
            </w:tcBorders>
          </w:tcPr>
          <w:p>
            <w:pPr>
              <w:pStyle w:val="TableParagraph"/>
              <w:spacing w:before="63"/>
              <w:ind w:left="188"/>
              <w:jc w:val="left"/>
              <w:rPr>
                <w:sz w:val="20"/>
              </w:rPr>
            </w:pPr>
            <w:r>
              <w:rPr>
                <w:sz w:val="20"/>
              </w:rPr>
              <w:t>CH_W2</w:t>
            </w:r>
          </w:p>
        </w:tc>
        <w:tc>
          <w:tcPr>
            <w:tcW w:w="1184" w:type="dxa"/>
            <w:tcBorders>
              <w:left w:val="nil"/>
              <w:right w:val="nil"/>
            </w:tcBorders>
          </w:tcPr>
          <w:p>
            <w:pPr>
              <w:pStyle w:val="TableParagraph"/>
              <w:spacing w:before="63"/>
              <w:ind w:left="201"/>
              <w:jc w:val="left"/>
              <w:rPr>
                <w:sz w:val="20"/>
              </w:rPr>
            </w:pPr>
            <w:r>
              <w:rPr>
                <w:sz w:val="20"/>
              </w:rPr>
              <w:t>CH_D</w:t>
            </w:r>
          </w:p>
        </w:tc>
        <w:tc>
          <w:tcPr>
            <w:tcW w:w="1198" w:type="dxa"/>
            <w:tcBorders>
              <w:left w:val="nil"/>
              <w:right w:val="nil"/>
            </w:tcBorders>
          </w:tcPr>
          <w:p>
            <w:pPr>
              <w:pStyle w:val="TableParagraph"/>
              <w:spacing w:before="63"/>
              <w:ind w:left="184"/>
              <w:jc w:val="left"/>
              <w:rPr>
                <w:sz w:val="20"/>
              </w:rPr>
            </w:pPr>
            <w:r>
              <w:rPr>
                <w:sz w:val="20"/>
              </w:rPr>
              <w:t>CH_S2</w:t>
            </w:r>
          </w:p>
        </w:tc>
        <w:tc>
          <w:tcPr>
            <w:tcW w:w="1193" w:type="dxa"/>
            <w:tcBorders>
              <w:left w:val="nil"/>
              <w:right w:val="nil"/>
            </w:tcBorders>
          </w:tcPr>
          <w:p>
            <w:pPr>
              <w:pStyle w:val="TableParagraph"/>
              <w:spacing w:before="63"/>
              <w:ind w:left="182"/>
              <w:jc w:val="left"/>
              <w:rPr>
                <w:sz w:val="20"/>
              </w:rPr>
            </w:pPr>
            <w:r>
              <w:rPr>
                <w:sz w:val="20"/>
              </w:rPr>
              <w:t>CH_L2</w:t>
            </w:r>
          </w:p>
        </w:tc>
        <w:tc>
          <w:tcPr>
            <w:tcW w:w="1088" w:type="dxa"/>
            <w:tcBorders>
              <w:left w:val="nil"/>
              <w:right w:val="nil"/>
            </w:tcBorders>
          </w:tcPr>
          <w:p>
            <w:pPr>
              <w:pStyle w:val="TableParagraph"/>
              <w:spacing w:before="63"/>
              <w:ind w:left="175"/>
              <w:jc w:val="left"/>
              <w:rPr>
                <w:sz w:val="20"/>
              </w:rPr>
            </w:pPr>
            <w:r>
              <w:rPr>
                <w:sz w:val="20"/>
              </w:rPr>
              <w:t>CH_N2</w:t>
            </w:r>
          </w:p>
        </w:tc>
      </w:tr>
      <w:tr>
        <w:trPr>
          <w:trHeight w:val="342" w:hRule="exact"/>
        </w:trPr>
        <w:tc>
          <w:tcPr>
            <w:tcW w:w="1280" w:type="dxa"/>
            <w:tcBorders>
              <w:left w:val="nil"/>
              <w:bottom w:val="nil"/>
              <w:right w:val="nil"/>
            </w:tcBorders>
          </w:tcPr>
          <w:p>
            <w:pPr>
              <w:pStyle w:val="TableParagraph"/>
              <w:spacing w:before="63"/>
              <w:ind w:left="72"/>
              <w:jc w:val="left"/>
              <w:rPr>
                <w:sz w:val="20"/>
              </w:rPr>
            </w:pPr>
            <w:r>
              <w:rPr>
                <w:w w:val="100"/>
                <w:sz w:val="20"/>
              </w:rPr>
              <w:t>1</w:t>
            </w:r>
          </w:p>
        </w:tc>
        <w:tc>
          <w:tcPr>
            <w:tcW w:w="1260" w:type="dxa"/>
            <w:tcBorders>
              <w:left w:val="nil"/>
              <w:bottom w:val="nil"/>
              <w:right w:val="nil"/>
            </w:tcBorders>
          </w:tcPr>
          <w:p>
            <w:pPr>
              <w:pStyle w:val="TableParagraph"/>
              <w:spacing w:before="63"/>
              <w:ind w:right="199"/>
              <w:rPr>
                <w:sz w:val="20"/>
              </w:rPr>
            </w:pPr>
            <w:r>
              <w:rPr>
                <w:sz w:val="20"/>
              </w:rPr>
              <w:t>5.5</w:t>
            </w:r>
          </w:p>
        </w:tc>
        <w:tc>
          <w:tcPr>
            <w:tcW w:w="1184" w:type="dxa"/>
            <w:tcBorders>
              <w:left w:val="nil"/>
              <w:bottom w:val="nil"/>
              <w:right w:val="nil"/>
            </w:tcBorders>
          </w:tcPr>
          <w:p>
            <w:pPr>
              <w:pStyle w:val="TableParagraph"/>
              <w:spacing w:before="63"/>
              <w:ind w:right="183"/>
              <w:rPr>
                <w:sz w:val="20"/>
              </w:rPr>
            </w:pPr>
            <w:r>
              <w:rPr>
                <w:sz w:val="20"/>
              </w:rPr>
              <w:t>0.35</w:t>
            </w:r>
          </w:p>
        </w:tc>
        <w:tc>
          <w:tcPr>
            <w:tcW w:w="1198" w:type="dxa"/>
            <w:tcBorders>
              <w:left w:val="nil"/>
              <w:bottom w:val="nil"/>
              <w:right w:val="nil"/>
            </w:tcBorders>
          </w:tcPr>
          <w:p>
            <w:pPr>
              <w:pStyle w:val="TableParagraph"/>
              <w:spacing w:before="63"/>
              <w:ind w:right="180"/>
              <w:rPr>
                <w:sz w:val="20"/>
              </w:rPr>
            </w:pPr>
            <w:r>
              <w:rPr>
                <w:sz w:val="20"/>
              </w:rPr>
              <w:t>0.065</w:t>
            </w:r>
          </w:p>
        </w:tc>
        <w:tc>
          <w:tcPr>
            <w:tcW w:w="1193" w:type="dxa"/>
            <w:tcBorders>
              <w:left w:val="nil"/>
              <w:bottom w:val="nil"/>
              <w:right w:val="nil"/>
            </w:tcBorders>
          </w:tcPr>
          <w:p>
            <w:pPr>
              <w:pStyle w:val="TableParagraph"/>
              <w:spacing w:before="63"/>
              <w:ind w:right="173"/>
              <w:rPr>
                <w:sz w:val="20"/>
              </w:rPr>
            </w:pPr>
            <w:r>
              <w:rPr>
                <w:sz w:val="20"/>
              </w:rPr>
              <w:t>2.006</w:t>
            </w:r>
          </w:p>
        </w:tc>
        <w:tc>
          <w:tcPr>
            <w:tcW w:w="1088" w:type="dxa"/>
            <w:tcBorders>
              <w:left w:val="nil"/>
              <w:bottom w:val="nil"/>
              <w:right w:val="nil"/>
            </w:tcBorders>
          </w:tcPr>
          <w:p>
            <w:pPr>
              <w:pStyle w:val="TableParagraph"/>
              <w:spacing w:before="63"/>
              <w:ind w:right="61"/>
              <w:rPr>
                <w:sz w:val="20"/>
              </w:rPr>
            </w:pPr>
            <w:r>
              <w:rPr>
                <w:sz w:val="20"/>
              </w:rPr>
              <w:t>0.037</w:t>
            </w:r>
          </w:p>
        </w:tc>
      </w:tr>
      <w:tr>
        <w:trPr>
          <w:trHeight w:val="300" w:hRule="exact"/>
        </w:trPr>
        <w:tc>
          <w:tcPr>
            <w:tcW w:w="1280" w:type="dxa"/>
            <w:tcBorders>
              <w:top w:val="nil"/>
              <w:left w:val="nil"/>
              <w:bottom w:val="nil"/>
              <w:right w:val="nil"/>
            </w:tcBorders>
          </w:tcPr>
          <w:p>
            <w:pPr>
              <w:pStyle w:val="TableParagraph"/>
              <w:ind w:left="72"/>
              <w:jc w:val="left"/>
              <w:rPr>
                <w:sz w:val="20"/>
              </w:rPr>
            </w:pPr>
            <w:r>
              <w:rPr>
                <w:w w:val="100"/>
                <w:sz w:val="20"/>
              </w:rPr>
              <w:t>2</w:t>
            </w:r>
          </w:p>
        </w:tc>
        <w:tc>
          <w:tcPr>
            <w:tcW w:w="1260" w:type="dxa"/>
            <w:tcBorders>
              <w:top w:val="nil"/>
              <w:left w:val="nil"/>
              <w:bottom w:val="nil"/>
              <w:right w:val="nil"/>
            </w:tcBorders>
          </w:tcPr>
          <w:p>
            <w:pPr>
              <w:pStyle w:val="TableParagraph"/>
              <w:ind w:right="199"/>
              <w:rPr>
                <w:sz w:val="20"/>
              </w:rPr>
            </w:pPr>
            <w:r>
              <w:rPr>
                <w:sz w:val="20"/>
              </w:rPr>
              <w:t>5.5</w:t>
            </w:r>
          </w:p>
        </w:tc>
        <w:tc>
          <w:tcPr>
            <w:tcW w:w="1184" w:type="dxa"/>
            <w:tcBorders>
              <w:top w:val="nil"/>
              <w:left w:val="nil"/>
              <w:bottom w:val="nil"/>
              <w:right w:val="nil"/>
            </w:tcBorders>
          </w:tcPr>
          <w:p>
            <w:pPr>
              <w:pStyle w:val="TableParagraph"/>
              <w:ind w:right="183"/>
              <w:rPr>
                <w:sz w:val="20"/>
              </w:rPr>
            </w:pPr>
            <w:r>
              <w:rPr>
                <w:sz w:val="20"/>
              </w:rPr>
              <w:t>0.35</w:t>
            </w:r>
          </w:p>
        </w:tc>
        <w:tc>
          <w:tcPr>
            <w:tcW w:w="1198" w:type="dxa"/>
            <w:tcBorders>
              <w:top w:val="nil"/>
              <w:left w:val="nil"/>
              <w:bottom w:val="nil"/>
              <w:right w:val="nil"/>
            </w:tcBorders>
          </w:tcPr>
          <w:p>
            <w:pPr>
              <w:pStyle w:val="TableParagraph"/>
              <w:ind w:right="180"/>
              <w:rPr>
                <w:sz w:val="20"/>
              </w:rPr>
            </w:pPr>
            <w:r>
              <w:rPr>
                <w:sz w:val="20"/>
              </w:rPr>
              <w:t>0.065</w:t>
            </w:r>
          </w:p>
        </w:tc>
        <w:tc>
          <w:tcPr>
            <w:tcW w:w="1193" w:type="dxa"/>
            <w:tcBorders>
              <w:top w:val="nil"/>
              <w:left w:val="nil"/>
              <w:bottom w:val="nil"/>
              <w:right w:val="nil"/>
            </w:tcBorders>
          </w:tcPr>
          <w:p>
            <w:pPr>
              <w:pStyle w:val="TableParagraph"/>
              <w:ind w:right="173"/>
              <w:rPr>
                <w:sz w:val="20"/>
              </w:rPr>
            </w:pPr>
            <w:r>
              <w:rPr>
                <w:sz w:val="20"/>
              </w:rPr>
              <w:t>2.006</w:t>
            </w:r>
          </w:p>
        </w:tc>
        <w:tc>
          <w:tcPr>
            <w:tcW w:w="1088" w:type="dxa"/>
            <w:tcBorders>
              <w:top w:val="nil"/>
              <w:left w:val="nil"/>
              <w:bottom w:val="nil"/>
              <w:right w:val="nil"/>
            </w:tcBorders>
          </w:tcPr>
          <w:p>
            <w:pPr>
              <w:pStyle w:val="TableParagraph"/>
              <w:ind w:right="61"/>
              <w:rPr>
                <w:sz w:val="20"/>
              </w:rPr>
            </w:pPr>
            <w:r>
              <w:rPr>
                <w:sz w:val="20"/>
              </w:rPr>
              <w:t>0.037</w:t>
            </w:r>
          </w:p>
        </w:tc>
      </w:tr>
      <w:tr>
        <w:trPr>
          <w:trHeight w:val="300" w:hRule="exact"/>
        </w:trPr>
        <w:tc>
          <w:tcPr>
            <w:tcW w:w="1280" w:type="dxa"/>
            <w:tcBorders>
              <w:top w:val="nil"/>
              <w:left w:val="nil"/>
              <w:bottom w:val="nil"/>
              <w:right w:val="nil"/>
            </w:tcBorders>
          </w:tcPr>
          <w:p>
            <w:pPr>
              <w:pStyle w:val="TableParagraph"/>
              <w:spacing w:before="26"/>
              <w:ind w:left="72"/>
              <w:jc w:val="left"/>
              <w:rPr>
                <w:sz w:val="20"/>
              </w:rPr>
            </w:pPr>
            <w:r>
              <w:rPr>
                <w:w w:val="100"/>
                <w:sz w:val="20"/>
              </w:rPr>
              <w:t>3</w:t>
            </w:r>
          </w:p>
        </w:tc>
        <w:tc>
          <w:tcPr>
            <w:tcW w:w="1260" w:type="dxa"/>
            <w:tcBorders>
              <w:top w:val="nil"/>
              <w:left w:val="nil"/>
              <w:bottom w:val="nil"/>
              <w:right w:val="nil"/>
            </w:tcBorders>
          </w:tcPr>
          <w:p>
            <w:pPr>
              <w:pStyle w:val="TableParagraph"/>
              <w:spacing w:before="26"/>
              <w:ind w:right="199"/>
              <w:rPr>
                <w:sz w:val="20"/>
              </w:rPr>
            </w:pPr>
            <w:r>
              <w:rPr>
                <w:sz w:val="20"/>
              </w:rPr>
              <w:t>5.6</w:t>
            </w:r>
          </w:p>
        </w:tc>
        <w:tc>
          <w:tcPr>
            <w:tcW w:w="1184" w:type="dxa"/>
            <w:tcBorders>
              <w:top w:val="nil"/>
              <w:left w:val="nil"/>
              <w:bottom w:val="nil"/>
              <w:right w:val="nil"/>
            </w:tcBorders>
          </w:tcPr>
          <w:p>
            <w:pPr>
              <w:pStyle w:val="TableParagraph"/>
              <w:spacing w:before="26"/>
              <w:ind w:right="187"/>
              <w:rPr>
                <w:sz w:val="20"/>
              </w:rPr>
            </w:pPr>
            <w:r>
              <w:rPr>
                <w:w w:val="100"/>
                <w:sz w:val="20"/>
              </w:rPr>
              <w:t>1</w:t>
            </w:r>
          </w:p>
        </w:tc>
        <w:tc>
          <w:tcPr>
            <w:tcW w:w="1198" w:type="dxa"/>
            <w:tcBorders>
              <w:top w:val="nil"/>
              <w:left w:val="nil"/>
              <w:bottom w:val="nil"/>
              <w:right w:val="nil"/>
            </w:tcBorders>
          </w:tcPr>
          <w:p>
            <w:pPr>
              <w:pStyle w:val="TableParagraph"/>
              <w:spacing w:before="26"/>
              <w:ind w:right="180"/>
              <w:rPr>
                <w:sz w:val="20"/>
              </w:rPr>
            </w:pPr>
            <w:r>
              <w:rPr>
                <w:sz w:val="20"/>
              </w:rPr>
              <w:t>0.06</w:t>
            </w:r>
          </w:p>
        </w:tc>
        <w:tc>
          <w:tcPr>
            <w:tcW w:w="1193" w:type="dxa"/>
            <w:tcBorders>
              <w:top w:val="nil"/>
              <w:left w:val="nil"/>
              <w:bottom w:val="nil"/>
              <w:right w:val="nil"/>
            </w:tcBorders>
          </w:tcPr>
          <w:p>
            <w:pPr>
              <w:pStyle w:val="TableParagraph"/>
              <w:spacing w:before="26"/>
              <w:ind w:right="173"/>
              <w:rPr>
                <w:sz w:val="20"/>
              </w:rPr>
            </w:pPr>
            <w:r>
              <w:rPr>
                <w:sz w:val="20"/>
              </w:rPr>
              <w:t>3.067</w:t>
            </w:r>
          </w:p>
        </w:tc>
        <w:tc>
          <w:tcPr>
            <w:tcW w:w="1088" w:type="dxa"/>
            <w:tcBorders>
              <w:top w:val="nil"/>
              <w:left w:val="nil"/>
              <w:bottom w:val="nil"/>
              <w:right w:val="nil"/>
            </w:tcBorders>
          </w:tcPr>
          <w:p>
            <w:pPr>
              <w:pStyle w:val="TableParagraph"/>
              <w:spacing w:before="26"/>
              <w:ind w:right="61"/>
              <w:rPr>
                <w:sz w:val="20"/>
              </w:rPr>
            </w:pPr>
            <w:r>
              <w:rPr>
                <w:sz w:val="20"/>
              </w:rPr>
              <w:t>0.047</w:t>
            </w:r>
          </w:p>
        </w:tc>
      </w:tr>
      <w:tr>
        <w:trPr>
          <w:trHeight w:val="300" w:hRule="exact"/>
        </w:trPr>
        <w:tc>
          <w:tcPr>
            <w:tcW w:w="1280" w:type="dxa"/>
            <w:tcBorders>
              <w:top w:val="nil"/>
              <w:left w:val="nil"/>
              <w:bottom w:val="nil"/>
              <w:right w:val="nil"/>
            </w:tcBorders>
          </w:tcPr>
          <w:p>
            <w:pPr>
              <w:pStyle w:val="TableParagraph"/>
              <w:ind w:left="72"/>
              <w:jc w:val="left"/>
              <w:rPr>
                <w:sz w:val="20"/>
              </w:rPr>
            </w:pPr>
            <w:r>
              <w:rPr>
                <w:w w:val="100"/>
                <w:sz w:val="20"/>
              </w:rPr>
              <w:t>4</w:t>
            </w:r>
          </w:p>
        </w:tc>
        <w:tc>
          <w:tcPr>
            <w:tcW w:w="1260" w:type="dxa"/>
            <w:tcBorders>
              <w:top w:val="nil"/>
              <w:left w:val="nil"/>
              <w:bottom w:val="nil"/>
              <w:right w:val="nil"/>
            </w:tcBorders>
          </w:tcPr>
          <w:p>
            <w:pPr>
              <w:pStyle w:val="TableParagraph"/>
              <w:ind w:right="199"/>
              <w:rPr>
                <w:sz w:val="20"/>
              </w:rPr>
            </w:pPr>
            <w:r>
              <w:rPr>
                <w:sz w:val="20"/>
              </w:rPr>
              <w:t>3.2</w:t>
            </w:r>
          </w:p>
        </w:tc>
        <w:tc>
          <w:tcPr>
            <w:tcW w:w="1184" w:type="dxa"/>
            <w:tcBorders>
              <w:top w:val="nil"/>
              <w:left w:val="nil"/>
              <w:bottom w:val="nil"/>
              <w:right w:val="nil"/>
            </w:tcBorders>
          </w:tcPr>
          <w:p>
            <w:pPr>
              <w:pStyle w:val="TableParagraph"/>
              <w:ind w:right="182"/>
              <w:rPr>
                <w:sz w:val="20"/>
              </w:rPr>
            </w:pPr>
            <w:r>
              <w:rPr>
                <w:sz w:val="20"/>
              </w:rPr>
              <w:t>0.5</w:t>
            </w:r>
          </w:p>
        </w:tc>
        <w:tc>
          <w:tcPr>
            <w:tcW w:w="1198" w:type="dxa"/>
            <w:tcBorders>
              <w:top w:val="nil"/>
              <w:left w:val="nil"/>
              <w:bottom w:val="nil"/>
              <w:right w:val="nil"/>
            </w:tcBorders>
          </w:tcPr>
          <w:p>
            <w:pPr>
              <w:pStyle w:val="TableParagraph"/>
              <w:ind w:right="180"/>
              <w:rPr>
                <w:sz w:val="20"/>
              </w:rPr>
            </w:pPr>
            <w:r>
              <w:rPr>
                <w:sz w:val="20"/>
              </w:rPr>
              <w:t>0.645</w:t>
            </w:r>
          </w:p>
        </w:tc>
        <w:tc>
          <w:tcPr>
            <w:tcW w:w="1193" w:type="dxa"/>
            <w:tcBorders>
              <w:top w:val="nil"/>
              <w:left w:val="nil"/>
              <w:bottom w:val="nil"/>
              <w:right w:val="nil"/>
            </w:tcBorders>
          </w:tcPr>
          <w:p>
            <w:pPr>
              <w:pStyle w:val="TableParagraph"/>
              <w:ind w:right="173"/>
              <w:rPr>
                <w:sz w:val="20"/>
              </w:rPr>
            </w:pPr>
            <w:r>
              <w:rPr>
                <w:sz w:val="20"/>
              </w:rPr>
              <w:t>3.978</w:t>
            </w:r>
          </w:p>
        </w:tc>
        <w:tc>
          <w:tcPr>
            <w:tcW w:w="1088" w:type="dxa"/>
            <w:tcBorders>
              <w:top w:val="nil"/>
              <w:left w:val="nil"/>
              <w:bottom w:val="nil"/>
              <w:right w:val="nil"/>
            </w:tcBorders>
          </w:tcPr>
          <w:p>
            <w:pPr>
              <w:pStyle w:val="TableParagraph"/>
              <w:ind w:right="61"/>
              <w:rPr>
                <w:sz w:val="20"/>
              </w:rPr>
            </w:pPr>
            <w:r>
              <w:rPr>
                <w:sz w:val="20"/>
              </w:rPr>
              <w:t>0.033</w:t>
            </w:r>
          </w:p>
        </w:tc>
      </w:tr>
      <w:tr>
        <w:trPr>
          <w:trHeight w:val="300" w:hRule="exact"/>
        </w:trPr>
        <w:tc>
          <w:tcPr>
            <w:tcW w:w="1280" w:type="dxa"/>
            <w:tcBorders>
              <w:top w:val="nil"/>
              <w:left w:val="nil"/>
              <w:bottom w:val="nil"/>
              <w:right w:val="nil"/>
            </w:tcBorders>
          </w:tcPr>
          <w:p>
            <w:pPr>
              <w:pStyle w:val="TableParagraph"/>
              <w:spacing w:before="26"/>
              <w:ind w:left="72"/>
              <w:jc w:val="left"/>
              <w:rPr>
                <w:sz w:val="20"/>
              </w:rPr>
            </w:pPr>
            <w:r>
              <w:rPr>
                <w:w w:val="100"/>
                <w:sz w:val="20"/>
              </w:rPr>
              <w:t>5</w:t>
            </w:r>
          </w:p>
        </w:tc>
        <w:tc>
          <w:tcPr>
            <w:tcW w:w="1260" w:type="dxa"/>
            <w:tcBorders>
              <w:top w:val="nil"/>
              <w:left w:val="nil"/>
              <w:bottom w:val="nil"/>
              <w:right w:val="nil"/>
            </w:tcBorders>
          </w:tcPr>
          <w:p>
            <w:pPr>
              <w:pStyle w:val="TableParagraph"/>
              <w:spacing w:before="26"/>
              <w:ind w:right="199"/>
              <w:rPr>
                <w:sz w:val="20"/>
              </w:rPr>
            </w:pPr>
            <w:r>
              <w:rPr>
                <w:sz w:val="20"/>
              </w:rPr>
              <w:t>3.2</w:t>
            </w:r>
          </w:p>
        </w:tc>
        <w:tc>
          <w:tcPr>
            <w:tcW w:w="1184" w:type="dxa"/>
            <w:tcBorders>
              <w:top w:val="nil"/>
              <w:left w:val="nil"/>
              <w:bottom w:val="nil"/>
              <w:right w:val="nil"/>
            </w:tcBorders>
          </w:tcPr>
          <w:p>
            <w:pPr>
              <w:pStyle w:val="TableParagraph"/>
              <w:spacing w:before="26"/>
              <w:ind w:right="182"/>
              <w:rPr>
                <w:sz w:val="20"/>
              </w:rPr>
            </w:pPr>
            <w:r>
              <w:rPr>
                <w:sz w:val="20"/>
              </w:rPr>
              <w:t>0.5</w:t>
            </w:r>
          </w:p>
        </w:tc>
        <w:tc>
          <w:tcPr>
            <w:tcW w:w="1198" w:type="dxa"/>
            <w:tcBorders>
              <w:top w:val="nil"/>
              <w:left w:val="nil"/>
              <w:bottom w:val="nil"/>
              <w:right w:val="nil"/>
            </w:tcBorders>
          </w:tcPr>
          <w:p>
            <w:pPr>
              <w:pStyle w:val="TableParagraph"/>
              <w:spacing w:before="26"/>
              <w:ind w:right="180"/>
              <w:rPr>
                <w:sz w:val="20"/>
              </w:rPr>
            </w:pPr>
            <w:r>
              <w:rPr>
                <w:sz w:val="20"/>
              </w:rPr>
              <w:t>0.645</w:t>
            </w:r>
          </w:p>
        </w:tc>
        <w:tc>
          <w:tcPr>
            <w:tcW w:w="1193" w:type="dxa"/>
            <w:tcBorders>
              <w:top w:val="nil"/>
              <w:left w:val="nil"/>
              <w:bottom w:val="nil"/>
              <w:right w:val="nil"/>
            </w:tcBorders>
          </w:tcPr>
          <w:p>
            <w:pPr>
              <w:pStyle w:val="TableParagraph"/>
              <w:spacing w:before="26"/>
              <w:ind w:right="173"/>
              <w:rPr>
                <w:sz w:val="20"/>
              </w:rPr>
            </w:pPr>
            <w:r>
              <w:rPr>
                <w:sz w:val="20"/>
              </w:rPr>
              <w:t>3.978</w:t>
            </w:r>
          </w:p>
        </w:tc>
        <w:tc>
          <w:tcPr>
            <w:tcW w:w="1088" w:type="dxa"/>
            <w:tcBorders>
              <w:top w:val="nil"/>
              <w:left w:val="nil"/>
              <w:bottom w:val="nil"/>
              <w:right w:val="nil"/>
            </w:tcBorders>
          </w:tcPr>
          <w:p>
            <w:pPr>
              <w:pStyle w:val="TableParagraph"/>
              <w:spacing w:before="26"/>
              <w:ind w:right="61"/>
              <w:rPr>
                <w:sz w:val="20"/>
              </w:rPr>
            </w:pPr>
            <w:r>
              <w:rPr>
                <w:sz w:val="20"/>
              </w:rPr>
              <w:t>0.033</w:t>
            </w:r>
          </w:p>
        </w:tc>
      </w:tr>
      <w:tr>
        <w:trPr>
          <w:trHeight w:val="300" w:hRule="exact"/>
        </w:trPr>
        <w:tc>
          <w:tcPr>
            <w:tcW w:w="1280" w:type="dxa"/>
            <w:tcBorders>
              <w:top w:val="nil"/>
              <w:left w:val="nil"/>
              <w:bottom w:val="nil"/>
              <w:right w:val="nil"/>
            </w:tcBorders>
          </w:tcPr>
          <w:p>
            <w:pPr>
              <w:pStyle w:val="TableParagraph"/>
              <w:ind w:left="72"/>
              <w:jc w:val="left"/>
              <w:rPr>
                <w:sz w:val="20"/>
              </w:rPr>
            </w:pPr>
            <w:r>
              <w:rPr>
                <w:w w:val="100"/>
                <w:sz w:val="20"/>
              </w:rPr>
              <w:t>6</w:t>
            </w:r>
          </w:p>
        </w:tc>
        <w:tc>
          <w:tcPr>
            <w:tcW w:w="1260" w:type="dxa"/>
            <w:tcBorders>
              <w:top w:val="nil"/>
              <w:left w:val="nil"/>
              <w:bottom w:val="nil"/>
              <w:right w:val="nil"/>
            </w:tcBorders>
          </w:tcPr>
          <w:p>
            <w:pPr>
              <w:pStyle w:val="TableParagraph"/>
              <w:ind w:right="199"/>
              <w:rPr>
                <w:sz w:val="20"/>
              </w:rPr>
            </w:pPr>
            <w:r>
              <w:rPr>
                <w:sz w:val="20"/>
              </w:rPr>
              <w:t>3.2</w:t>
            </w:r>
          </w:p>
        </w:tc>
        <w:tc>
          <w:tcPr>
            <w:tcW w:w="1184" w:type="dxa"/>
            <w:tcBorders>
              <w:top w:val="nil"/>
              <w:left w:val="nil"/>
              <w:bottom w:val="nil"/>
              <w:right w:val="nil"/>
            </w:tcBorders>
          </w:tcPr>
          <w:p>
            <w:pPr>
              <w:pStyle w:val="TableParagraph"/>
              <w:ind w:right="182"/>
              <w:rPr>
                <w:sz w:val="20"/>
              </w:rPr>
            </w:pPr>
            <w:r>
              <w:rPr>
                <w:sz w:val="20"/>
              </w:rPr>
              <w:t>0.5</w:t>
            </w:r>
          </w:p>
        </w:tc>
        <w:tc>
          <w:tcPr>
            <w:tcW w:w="1198" w:type="dxa"/>
            <w:tcBorders>
              <w:top w:val="nil"/>
              <w:left w:val="nil"/>
              <w:bottom w:val="nil"/>
              <w:right w:val="nil"/>
            </w:tcBorders>
          </w:tcPr>
          <w:p>
            <w:pPr>
              <w:pStyle w:val="TableParagraph"/>
              <w:ind w:right="180"/>
              <w:rPr>
                <w:sz w:val="20"/>
              </w:rPr>
            </w:pPr>
            <w:r>
              <w:rPr>
                <w:sz w:val="20"/>
              </w:rPr>
              <w:t>0.645</w:t>
            </w:r>
          </w:p>
        </w:tc>
        <w:tc>
          <w:tcPr>
            <w:tcW w:w="1193" w:type="dxa"/>
            <w:tcBorders>
              <w:top w:val="nil"/>
              <w:left w:val="nil"/>
              <w:bottom w:val="nil"/>
              <w:right w:val="nil"/>
            </w:tcBorders>
          </w:tcPr>
          <w:p>
            <w:pPr>
              <w:pStyle w:val="TableParagraph"/>
              <w:ind w:right="173"/>
              <w:rPr>
                <w:sz w:val="20"/>
              </w:rPr>
            </w:pPr>
            <w:r>
              <w:rPr>
                <w:sz w:val="20"/>
              </w:rPr>
              <w:t>3.978</w:t>
            </w:r>
          </w:p>
        </w:tc>
        <w:tc>
          <w:tcPr>
            <w:tcW w:w="1088" w:type="dxa"/>
            <w:tcBorders>
              <w:top w:val="nil"/>
              <w:left w:val="nil"/>
              <w:bottom w:val="nil"/>
              <w:right w:val="nil"/>
            </w:tcBorders>
          </w:tcPr>
          <w:p>
            <w:pPr>
              <w:pStyle w:val="TableParagraph"/>
              <w:ind w:right="61"/>
              <w:rPr>
                <w:sz w:val="20"/>
              </w:rPr>
            </w:pPr>
            <w:r>
              <w:rPr>
                <w:sz w:val="20"/>
              </w:rPr>
              <w:t>0.033</w:t>
            </w:r>
          </w:p>
        </w:tc>
      </w:tr>
      <w:tr>
        <w:trPr>
          <w:trHeight w:val="300" w:hRule="exact"/>
        </w:trPr>
        <w:tc>
          <w:tcPr>
            <w:tcW w:w="1280" w:type="dxa"/>
            <w:tcBorders>
              <w:top w:val="nil"/>
              <w:left w:val="nil"/>
              <w:bottom w:val="nil"/>
              <w:right w:val="nil"/>
            </w:tcBorders>
          </w:tcPr>
          <w:p>
            <w:pPr>
              <w:pStyle w:val="TableParagraph"/>
              <w:spacing w:before="26"/>
              <w:ind w:left="72"/>
              <w:jc w:val="left"/>
              <w:rPr>
                <w:sz w:val="20"/>
              </w:rPr>
            </w:pPr>
            <w:r>
              <w:rPr>
                <w:w w:val="100"/>
                <w:sz w:val="20"/>
              </w:rPr>
              <w:t>7</w:t>
            </w:r>
          </w:p>
        </w:tc>
        <w:tc>
          <w:tcPr>
            <w:tcW w:w="1260" w:type="dxa"/>
            <w:tcBorders>
              <w:top w:val="nil"/>
              <w:left w:val="nil"/>
              <w:bottom w:val="nil"/>
              <w:right w:val="nil"/>
            </w:tcBorders>
          </w:tcPr>
          <w:p>
            <w:pPr>
              <w:pStyle w:val="TableParagraph"/>
              <w:spacing w:before="26"/>
              <w:ind w:right="199"/>
              <w:rPr>
                <w:sz w:val="20"/>
              </w:rPr>
            </w:pPr>
            <w:r>
              <w:rPr>
                <w:sz w:val="20"/>
              </w:rPr>
              <w:t>11.3</w:t>
            </w:r>
          </w:p>
        </w:tc>
        <w:tc>
          <w:tcPr>
            <w:tcW w:w="1184" w:type="dxa"/>
            <w:tcBorders>
              <w:top w:val="nil"/>
              <w:left w:val="nil"/>
              <w:bottom w:val="nil"/>
              <w:right w:val="nil"/>
            </w:tcBorders>
          </w:tcPr>
          <w:p>
            <w:pPr>
              <w:pStyle w:val="TableParagraph"/>
              <w:spacing w:before="26"/>
              <w:ind w:right="187"/>
              <w:rPr>
                <w:sz w:val="20"/>
              </w:rPr>
            </w:pPr>
            <w:r>
              <w:rPr>
                <w:w w:val="100"/>
                <w:sz w:val="20"/>
              </w:rPr>
              <w:t>1</w:t>
            </w:r>
          </w:p>
        </w:tc>
        <w:tc>
          <w:tcPr>
            <w:tcW w:w="1198" w:type="dxa"/>
            <w:tcBorders>
              <w:top w:val="nil"/>
              <w:left w:val="nil"/>
              <w:bottom w:val="nil"/>
              <w:right w:val="nil"/>
            </w:tcBorders>
          </w:tcPr>
          <w:p>
            <w:pPr>
              <w:pStyle w:val="TableParagraph"/>
              <w:spacing w:before="26"/>
              <w:ind w:right="180"/>
              <w:rPr>
                <w:sz w:val="20"/>
              </w:rPr>
            </w:pPr>
            <w:r>
              <w:rPr>
                <w:sz w:val="20"/>
              </w:rPr>
              <w:t>0.004</w:t>
            </w:r>
          </w:p>
        </w:tc>
        <w:tc>
          <w:tcPr>
            <w:tcW w:w="1193" w:type="dxa"/>
            <w:tcBorders>
              <w:top w:val="nil"/>
              <w:left w:val="nil"/>
              <w:bottom w:val="nil"/>
              <w:right w:val="nil"/>
            </w:tcBorders>
          </w:tcPr>
          <w:p>
            <w:pPr>
              <w:pStyle w:val="TableParagraph"/>
              <w:spacing w:before="26"/>
              <w:ind w:right="173"/>
              <w:rPr>
                <w:sz w:val="20"/>
              </w:rPr>
            </w:pPr>
            <w:r>
              <w:rPr>
                <w:sz w:val="20"/>
              </w:rPr>
              <w:t>4.088</w:t>
            </w:r>
          </w:p>
        </w:tc>
        <w:tc>
          <w:tcPr>
            <w:tcW w:w="1088" w:type="dxa"/>
            <w:tcBorders>
              <w:top w:val="nil"/>
              <w:left w:val="nil"/>
              <w:bottom w:val="nil"/>
              <w:right w:val="nil"/>
            </w:tcBorders>
          </w:tcPr>
          <w:p>
            <w:pPr>
              <w:pStyle w:val="TableParagraph"/>
              <w:spacing w:before="26"/>
              <w:ind w:right="61"/>
              <w:rPr>
                <w:sz w:val="20"/>
              </w:rPr>
            </w:pPr>
            <w:r>
              <w:rPr>
                <w:sz w:val="20"/>
              </w:rPr>
              <w:t>0.027</w:t>
            </w:r>
          </w:p>
        </w:tc>
      </w:tr>
      <w:tr>
        <w:trPr>
          <w:trHeight w:val="300" w:hRule="exact"/>
        </w:trPr>
        <w:tc>
          <w:tcPr>
            <w:tcW w:w="1280" w:type="dxa"/>
            <w:tcBorders>
              <w:top w:val="nil"/>
              <w:left w:val="nil"/>
              <w:bottom w:val="nil"/>
              <w:right w:val="nil"/>
            </w:tcBorders>
          </w:tcPr>
          <w:p>
            <w:pPr>
              <w:pStyle w:val="TableParagraph"/>
              <w:spacing w:before="24"/>
              <w:ind w:left="72"/>
              <w:jc w:val="left"/>
              <w:rPr>
                <w:sz w:val="20"/>
              </w:rPr>
            </w:pPr>
            <w:r>
              <w:rPr>
                <w:w w:val="100"/>
                <w:sz w:val="20"/>
              </w:rPr>
              <w:t>8</w:t>
            </w:r>
          </w:p>
        </w:tc>
        <w:tc>
          <w:tcPr>
            <w:tcW w:w="1260" w:type="dxa"/>
            <w:tcBorders>
              <w:top w:val="nil"/>
              <w:left w:val="nil"/>
              <w:bottom w:val="nil"/>
              <w:right w:val="nil"/>
            </w:tcBorders>
          </w:tcPr>
          <w:p>
            <w:pPr>
              <w:pStyle w:val="TableParagraph"/>
              <w:spacing w:before="24"/>
              <w:ind w:right="199"/>
              <w:rPr>
                <w:sz w:val="20"/>
              </w:rPr>
            </w:pPr>
            <w:r>
              <w:rPr>
                <w:sz w:val="20"/>
              </w:rPr>
              <w:t>1.7</w:t>
            </w:r>
          </w:p>
        </w:tc>
        <w:tc>
          <w:tcPr>
            <w:tcW w:w="1184" w:type="dxa"/>
            <w:tcBorders>
              <w:top w:val="nil"/>
              <w:left w:val="nil"/>
              <w:bottom w:val="nil"/>
              <w:right w:val="nil"/>
            </w:tcBorders>
          </w:tcPr>
          <w:p>
            <w:pPr>
              <w:pStyle w:val="TableParagraph"/>
              <w:spacing w:before="24"/>
              <w:ind w:right="182"/>
              <w:rPr>
                <w:sz w:val="20"/>
              </w:rPr>
            </w:pPr>
            <w:r>
              <w:rPr>
                <w:sz w:val="20"/>
              </w:rPr>
              <w:t>0.9</w:t>
            </w:r>
          </w:p>
        </w:tc>
        <w:tc>
          <w:tcPr>
            <w:tcW w:w="1198" w:type="dxa"/>
            <w:tcBorders>
              <w:top w:val="nil"/>
              <w:left w:val="nil"/>
              <w:bottom w:val="nil"/>
              <w:right w:val="nil"/>
            </w:tcBorders>
          </w:tcPr>
          <w:p>
            <w:pPr>
              <w:pStyle w:val="TableParagraph"/>
              <w:spacing w:before="24"/>
              <w:ind w:right="180"/>
              <w:rPr>
                <w:sz w:val="20"/>
              </w:rPr>
            </w:pPr>
            <w:r>
              <w:rPr>
                <w:sz w:val="20"/>
              </w:rPr>
              <w:t>0.003</w:t>
            </w:r>
          </w:p>
        </w:tc>
        <w:tc>
          <w:tcPr>
            <w:tcW w:w="1193" w:type="dxa"/>
            <w:tcBorders>
              <w:top w:val="nil"/>
              <w:left w:val="nil"/>
              <w:bottom w:val="nil"/>
              <w:right w:val="nil"/>
            </w:tcBorders>
          </w:tcPr>
          <w:p>
            <w:pPr>
              <w:pStyle w:val="TableParagraph"/>
              <w:spacing w:before="24"/>
              <w:ind w:right="173"/>
              <w:rPr>
                <w:sz w:val="20"/>
              </w:rPr>
            </w:pPr>
            <w:r>
              <w:rPr>
                <w:sz w:val="20"/>
              </w:rPr>
              <w:t>3.078</w:t>
            </w:r>
          </w:p>
        </w:tc>
        <w:tc>
          <w:tcPr>
            <w:tcW w:w="1088" w:type="dxa"/>
            <w:tcBorders>
              <w:top w:val="nil"/>
              <w:left w:val="nil"/>
              <w:bottom w:val="nil"/>
              <w:right w:val="nil"/>
            </w:tcBorders>
          </w:tcPr>
          <w:p>
            <w:pPr>
              <w:pStyle w:val="TableParagraph"/>
              <w:spacing w:before="24"/>
              <w:ind w:right="61"/>
              <w:rPr>
                <w:sz w:val="20"/>
              </w:rPr>
            </w:pPr>
            <w:r>
              <w:rPr>
                <w:sz w:val="20"/>
              </w:rPr>
              <w:t>0.03</w:t>
            </w:r>
          </w:p>
        </w:tc>
      </w:tr>
      <w:tr>
        <w:trPr>
          <w:trHeight w:val="300" w:hRule="exact"/>
        </w:trPr>
        <w:tc>
          <w:tcPr>
            <w:tcW w:w="1280" w:type="dxa"/>
            <w:tcBorders>
              <w:top w:val="nil"/>
              <w:left w:val="nil"/>
              <w:bottom w:val="nil"/>
              <w:right w:val="nil"/>
            </w:tcBorders>
          </w:tcPr>
          <w:p>
            <w:pPr>
              <w:pStyle w:val="TableParagraph"/>
              <w:spacing w:before="26"/>
              <w:ind w:left="72"/>
              <w:jc w:val="left"/>
              <w:rPr>
                <w:sz w:val="20"/>
              </w:rPr>
            </w:pPr>
            <w:r>
              <w:rPr>
                <w:w w:val="100"/>
                <w:sz w:val="20"/>
              </w:rPr>
              <w:t>9</w:t>
            </w:r>
          </w:p>
        </w:tc>
        <w:tc>
          <w:tcPr>
            <w:tcW w:w="1260" w:type="dxa"/>
            <w:tcBorders>
              <w:top w:val="nil"/>
              <w:left w:val="nil"/>
              <w:bottom w:val="nil"/>
              <w:right w:val="nil"/>
            </w:tcBorders>
          </w:tcPr>
          <w:p>
            <w:pPr>
              <w:pStyle w:val="TableParagraph"/>
              <w:spacing w:before="26"/>
              <w:ind w:right="199"/>
              <w:rPr>
                <w:sz w:val="20"/>
              </w:rPr>
            </w:pPr>
            <w:r>
              <w:rPr>
                <w:sz w:val="20"/>
              </w:rPr>
              <w:t>11.3</w:t>
            </w:r>
          </w:p>
        </w:tc>
        <w:tc>
          <w:tcPr>
            <w:tcW w:w="1184" w:type="dxa"/>
            <w:tcBorders>
              <w:top w:val="nil"/>
              <w:left w:val="nil"/>
              <w:bottom w:val="nil"/>
              <w:right w:val="nil"/>
            </w:tcBorders>
          </w:tcPr>
          <w:p>
            <w:pPr>
              <w:pStyle w:val="TableParagraph"/>
              <w:spacing w:before="26"/>
              <w:ind w:right="187"/>
              <w:rPr>
                <w:sz w:val="20"/>
              </w:rPr>
            </w:pPr>
            <w:r>
              <w:rPr>
                <w:w w:val="100"/>
                <w:sz w:val="20"/>
              </w:rPr>
              <w:t>1</w:t>
            </w:r>
          </w:p>
        </w:tc>
        <w:tc>
          <w:tcPr>
            <w:tcW w:w="1198" w:type="dxa"/>
            <w:tcBorders>
              <w:top w:val="nil"/>
              <w:left w:val="nil"/>
              <w:bottom w:val="nil"/>
              <w:right w:val="nil"/>
            </w:tcBorders>
          </w:tcPr>
          <w:p>
            <w:pPr>
              <w:pStyle w:val="TableParagraph"/>
              <w:spacing w:before="26"/>
              <w:ind w:right="180"/>
              <w:rPr>
                <w:sz w:val="20"/>
              </w:rPr>
            </w:pPr>
            <w:r>
              <w:rPr>
                <w:sz w:val="20"/>
              </w:rPr>
              <w:t>0.004</w:t>
            </w:r>
          </w:p>
        </w:tc>
        <w:tc>
          <w:tcPr>
            <w:tcW w:w="1193" w:type="dxa"/>
            <w:tcBorders>
              <w:top w:val="nil"/>
              <w:left w:val="nil"/>
              <w:bottom w:val="nil"/>
              <w:right w:val="nil"/>
            </w:tcBorders>
          </w:tcPr>
          <w:p>
            <w:pPr>
              <w:pStyle w:val="TableParagraph"/>
              <w:spacing w:before="26"/>
              <w:ind w:right="173"/>
              <w:rPr>
                <w:sz w:val="20"/>
              </w:rPr>
            </w:pPr>
            <w:r>
              <w:rPr>
                <w:sz w:val="20"/>
              </w:rPr>
              <w:t>4.088</w:t>
            </w:r>
          </w:p>
        </w:tc>
        <w:tc>
          <w:tcPr>
            <w:tcW w:w="1088" w:type="dxa"/>
            <w:tcBorders>
              <w:top w:val="nil"/>
              <w:left w:val="nil"/>
              <w:bottom w:val="nil"/>
              <w:right w:val="nil"/>
            </w:tcBorders>
          </w:tcPr>
          <w:p>
            <w:pPr>
              <w:pStyle w:val="TableParagraph"/>
              <w:spacing w:before="26"/>
              <w:ind w:right="61"/>
              <w:rPr>
                <w:sz w:val="20"/>
              </w:rPr>
            </w:pPr>
            <w:r>
              <w:rPr>
                <w:sz w:val="20"/>
              </w:rPr>
              <w:t>0.027</w:t>
            </w:r>
          </w:p>
        </w:tc>
      </w:tr>
      <w:tr>
        <w:trPr>
          <w:trHeight w:val="300" w:hRule="exact"/>
        </w:trPr>
        <w:tc>
          <w:tcPr>
            <w:tcW w:w="1280" w:type="dxa"/>
            <w:tcBorders>
              <w:top w:val="nil"/>
              <w:left w:val="nil"/>
              <w:bottom w:val="nil"/>
              <w:right w:val="nil"/>
            </w:tcBorders>
          </w:tcPr>
          <w:p>
            <w:pPr>
              <w:pStyle w:val="TableParagraph"/>
              <w:ind w:left="72"/>
              <w:jc w:val="left"/>
              <w:rPr>
                <w:sz w:val="20"/>
              </w:rPr>
            </w:pPr>
            <w:r>
              <w:rPr>
                <w:sz w:val="20"/>
              </w:rPr>
              <w:t>10</w:t>
            </w:r>
          </w:p>
        </w:tc>
        <w:tc>
          <w:tcPr>
            <w:tcW w:w="1260" w:type="dxa"/>
            <w:tcBorders>
              <w:top w:val="nil"/>
              <w:left w:val="nil"/>
              <w:bottom w:val="nil"/>
              <w:right w:val="nil"/>
            </w:tcBorders>
          </w:tcPr>
          <w:p>
            <w:pPr>
              <w:pStyle w:val="TableParagraph"/>
              <w:ind w:right="199"/>
              <w:rPr>
                <w:sz w:val="20"/>
              </w:rPr>
            </w:pPr>
            <w:r>
              <w:rPr>
                <w:sz w:val="20"/>
              </w:rPr>
              <w:t>11.3</w:t>
            </w:r>
          </w:p>
        </w:tc>
        <w:tc>
          <w:tcPr>
            <w:tcW w:w="1184" w:type="dxa"/>
            <w:tcBorders>
              <w:top w:val="nil"/>
              <w:left w:val="nil"/>
              <w:bottom w:val="nil"/>
              <w:right w:val="nil"/>
            </w:tcBorders>
          </w:tcPr>
          <w:p>
            <w:pPr>
              <w:pStyle w:val="TableParagraph"/>
              <w:ind w:right="187"/>
              <w:rPr>
                <w:sz w:val="20"/>
              </w:rPr>
            </w:pPr>
            <w:r>
              <w:rPr>
                <w:w w:val="100"/>
                <w:sz w:val="20"/>
              </w:rPr>
              <w:t>1</w:t>
            </w:r>
          </w:p>
        </w:tc>
        <w:tc>
          <w:tcPr>
            <w:tcW w:w="1198" w:type="dxa"/>
            <w:tcBorders>
              <w:top w:val="nil"/>
              <w:left w:val="nil"/>
              <w:bottom w:val="nil"/>
              <w:right w:val="nil"/>
            </w:tcBorders>
          </w:tcPr>
          <w:p>
            <w:pPr>
              <w:pStyle w:val="TableParagraph"/>
              <w:ind w:right="180"/>
              <w:rPr>
                <w:sz w:val="20"/>
              </w:rPr>
            </w:pPr>
            <w:r>
              <w:rPr>
                <w:sz w:val="20"/>
              </w:rPr>
              <w:t>0.004</w:t>
            </w:r>
          </w:p>
        </w:tc>
        <w:tc>
          <w:tcPr>
            <w:tcW w:w="1193" w:type="dxa"/>
            <w:tcBorders>
              <w:top w:val="nil"/>
              <w:left w:val="nil"/>
              <w:bottom w:val="nil"/>
              <w:right w:val="nil"/>
            </w:tcBorders>
          </w:tcPr>
          <w:p>
            <w:pPr>
              <w:pStyle w:val="TableParagraph"/>
              <w:ind w:right="173"/>
              <w:rPr>
                <w:sz w:val="20"/>
              </w:rPr>
            </w:pPr>
            <w:r>
              <w:rPr>
                <w:sz w:val="20"/>
              </w:rPr>
              <w:t>4.088</w:t>
            </w:r>
          </w:p>
        </w:tc>
        <w:tc>
          <w:tcPr>
            <w:tcW w:w="1088" w:type="dxa"/>
            <w:tcBorders>
              <w:top w:val="nil"/>
              <w:left w:val="nil"/>
              <w:bottom w:val="nil"/>
              <w:right w:val="nil"/>
            </w:tcBorders>
          </w:tcPr>
          <w:p>
            <w:pPr>
              <w:pStyle w:val="TableParagraph"/>
              <w:ind w:right="61"/>
              <w:rPr>
                <w:sz w:val="20"/>
              </w:rPr>
            </w:pPr>
            <w:r>
              <w:rPr>
                <w:sz w:val="20"/>
              </w:rPr>
              <w:t>0.027</w:t>
            </w:r>
          </w:p>
        </w:tc>
      </w:tr>
      <w:tr>
        <w:trPr>
          <w:trHeight w:val="300" w:hRule="exact"/>
        </w:trPr>
        <w:tc>
          <w:tcPr>
            <w:tcW w:w="1280" w:type="dxa"/>
            <w:tcBorders>
              <w:top w:val="nil"/>
              <w:left w:val="nil"/>
              <w:bottom w:val="nil"/>
              <w:right w:val="nil"/>
            </w:tcBorders>
          </w:tcPr>
          <w:p>
            <w:pPr>
              <w:pStyle w:val="TableParagraph"/>
              <w:spacing w:before="26"/>
              <w:ind w:left="72"/>
              <w:jc w:val="left"/>
              <w:rPr>
                <w:sz w:val="20"/>
              </w:rPr>
            </w:pPr>
            <w:r>
              <w:rPr>
                <w:sz w:val="20"/>
              </w:rPr>
              <w:t>11</w:t>
            </w:r>
          </w:p>
        </w:tc>
        <w:tc>
          <w:tcPr>
            <w:tcW w:w="1260" w:type="dxa"/>
            <w:tcBorders>
              <w:top w:val="nil"/>
              <w:left w:val="nil"/>
              <w:bottom w:val="nil"/>
              <w:right w:val="nil"/>
            </w:tcBorders>
          </w:tcPr>
          <w:p>
            <w:pPr>
              <w:pStyle w:val="TableParagraph"/>
              <w:spacing w:before="26"/>
              <w:ind w:right="204"/>
              <w:rPr>
                <w:sz w:val="20"/>
              </w:rPr>
            </w:pPr>
            <w:r>
              <w:rPr>
                <w:w w:val="100"/>
                <w:sz w:val="20"/>
              </w:rPr>
              <w:t>4</w:t>
            </w:r>
          </w:p>
        </w:tc>
        <w:tc>
          <w:tcPr>
            <w:tcW w:w="1184" w:type="dxa"/>
            <w:tcBorders>
              <w:top w:val="nil"/>
              <w:left w:val="nil"/>
              <w:bottom w:val="nil"/>
              <w:right w:val="nil"/>
            </w:tcBorders>
          </w:tcPr>
          <w:p>
            <w:pPr>
              <w:pStyle w:val="TableParagraph"/>
              <w:spacing w:before="26"/>
              <w:ind w:right="183"/>
              <w:rPr>
                <w:sz w:val="20"/>
              </w:rPr>
            </w:pPr>
            <w:r>
              <w:rPr>
                <w:sz w:val="20"/>
              </w:rPr>
              <w:t>0.35</w:t>
            </w:r>
          </w:p>
        </w:tc>
        <w:tc>
          <w:tcPr>
            <w:tcW w:w="1198" w:type="dxa"/>
            <w:tcBorders>
              <w:top w:val="nil"/>
              <w:left w:val="nil"/>
              <w:bottom w:val="nil"/>
              <w:right w:val="nil"/>
            </w:tcBorders>
          </w:tcPr>
          <w:p>
            <w:pPr>
              <w:pStyle w:val="TableParagraph"/>
              <w:spacing w:before="26"/>
              <w:ind w:right="180"/>
              <w:rPr>
                <w:sz w:val="20"/>
              </w:rPr>
            </w:pPr>
            <w:r>
              <w:rPr>
                <w:sz w:val="20"/>
              </w:rPr>
              <w:t>0.085</w:t>
            </w:r>
          </w:p>
        </w:tc>
        <w:tc>
          <w:tcPr>
            <w:tcW w:w="1193" w:type="dxa"/>
            <w:tcBorders>
              <w:top w:val="nil"/>
              <w:left w:val="nil"/>
              <w:bottom w:val="nil"/>
              <w:right w:val="nil"/>
            </w:tcBorders>
          </w:tcPr>
          <w:p>
            <w:pPr>
              <w:pStyle w:val="TableParagraph"/>
              <w:spacing w:before="26"/>
              <w:ind w:right="173"/>
              <w:rPr>
                <w:sz w:val="20"/>
              </w:rPr>
            </w:pPr>
            <w:r>
              <w:rPr>
                <w:sz w:val="20"/>
              </w:rPr>
              <w:t>2.161</w:t>
            </w:r>
          </w:p>
        </w:tc>
        <w:tc>
          <w:tcPr>
            <w:tcW w:w="1088" w:type="dxa"/>
            <w:tcBorders>
              <w:top w:val="nil"/>
              <w:left w:val="nil"/>
              <w:bottom w:val="nil"/>
              <w:right w:val="nil"/>
            </w:tcBorders>
          </w:tcPr>
          <w:p>
            <w:pPr>
              <w:pStyle w:val="TableParagraph"/>
              <w:spacing w:before="26"/>
              <w:ind w:right="61"/>
              <w:rPr>
                <w:sz w:val="20"/>
              </w:rPr>
            </w:pPr>
            <w:r>
              <w:rPr>
                <w:sz w:val="20"/>
              </w:rPr>
              <w:t>0.032</w:t>
            </w:r>
          </w:p>
        </w:tc>
      </w:tr>
      <w:tr>
        <w:trPr>
          <w:trHeight w:val="300" w:hRule="exact"/>
        </w:trPr>
        <w:tc>
          <w:tcPr>
            <w:tcW w:w="1280" w:type="dxa"/>
            <w:tcBorders>
              <w:top w:val="nil"/>
              <w:left w:val="nil"/>
              <w:bottom w:val="nil"/>
              <w:right w:val="nil"/>
            </w:tcBorders>
          </w:tcPr>
          <w:p>
            <w:pPr>
              <w:pStyle w:val="TableParagraph"/>
              <w:ind w:left="72"/>
              <w:jc w:val="left"/>
              <w:rPr>
                <w:sz w:val="20"/>
              </w:rPr>
            </w:pPr>
            <w:r>
              <w:rPr>
                <w:sz w:val="20"/>
              </w:rPr>
              <w:t>12</w:t>
            </w:r>
          </w:p>
        </w:tc>
        <w:tc>
          <w:tcPr>
            <w:tcW w:w="1260" w:type="dxa"/>
            <w:tcBorders>
              <w:top w:val="nil"/>
              <w:left w:val="nil"/>
              <w:bottom w:val="nil"/>
              <w:right w:val="nil"/>
            </w:tcBorders>
          </w:tcPr>
          <w:p>
            <w:pPr>
              <w:pStyle w:val="TableParagraph"/>
              <w:ind w:right="199"/>
              <w:rPr>
                <w:sz w:val="20"/>
              </w:rPr>
            </w:pPr>
            <w:r>
              <w:rPr>
                <w:sz w:val="20"/>
              </w:rPr>
              <w:t>11.3</w:t>
            </w:r>
          </w:p>
        </w:tc>
        <w:tc>
          <w:tcPr>
            <w:tcW w:w="1184" w:type="dxa"/>
            <w:tcBorders>
              <w:top w:val="nil"/>
              <w:left w:val="nil"/>
              <w:bottom w:val="nil"/>
              <w:right w:val="nil"/>
            </w:tcBorders>
          </w:tcPr>
          <w:p>
            <w:pPr>
              <w:pStyle w:val="TableParagraph"/>
              <w:ind w:right="187"/>
              <w:rPr>
                <w:sz w:val="20"/>
              </w:rPr>
            </w:pPr>
            <w:r>
              <w:rPr>
                <w:w w:val="100"/>
                <w:sz w:val="20"/>
              </w:rPr>
              <w:t>1</w:t>
            </w:r>
          </w:p>
        </w:tc>
        <w:tc>
          <w:tcPr>
            <w:tcW w:w="1198" w:type="dxa"/>
            <w:tcBorders>
              <w:top w:val="nil"/>
              <w:left w:val="nil"/>
              <w:bottom w:val="nil"/>
              <w:right w:val="nil"/>
            </w:tcBorders>
          </w:tcPr>
          <w:p>
            <w:pPr>
              <w:pStyle w:val="TableParagraph"/>
              <w:ind w:right="180"/>
              <w:rPr>
                <w:sz w:val="20"/>
              </w:rPr>
            </w:pPr>
            <w:r>
              <w:rPr>
                <w:sz w:val="20"/>
              </w:rPr>
              <w:t>0.004</w:t>
            </w:r>
          </w:p>
        </w:tc>
        <w:tc>
          <w:tcPr>
            <w:tcW w:w="1193" w:type="dxa"/>
            <w:tcBorders>
              <w:top w:val="nil"/>
              <w:left w:val="nil"/>
              <w:bottom w:val="nil"/>
              <w:right w:val="nil"/>
            </w:tcBorders>
          </w:tcPr>
          <w:p>
            <w:pPr>
              <w:pStyle w:val="TableParagraph"/>
              <w:ind w:right="173"/>
              <w:rPr>
                <w:sz w:val="20"/>
              </w:rPr>
            </w:pPr>
            <w:r>
              <w:rPr>
                <w:sz w:val="20"/>
              </w:rPr>
              <w:t>4.088</w:t>
            </w:r>
          </w:p>
        </w:tc>
        <w:tc>
          <w:tcPr>
            <w:tcW w:w="1088" w:type="dxa"/>
            <w:tcBorders>
              <w:top w:val="nil"/>
              <w:left w:val="nil"/>
              <w:bottom w:val="nil"/>
              <w:right w:val="nil"/>
            </w:tcBorders>
          </w:tcPr>
          <w:p>
            <w:pPr>
              <w:pStyle w:val="TableParagraph"/>
              <w:ind w:right="61"/>
              <w:rPr>
                <w:sz w:val="20"/>
              </w:rPr>
            </w:pPr>
            <w:r>
              <w:rPr>
                <w:sz w:val="20"/>
              </w:rPr>
              <w:t>0.027</w:t>
            </w:r>
          </w:p>
        </w:tc>
      </w:tr>
      <w:tr>
        <w:trPr>
          <w:trHeight w:val="300" w:hRule="exact"/>
        </w:trPr>
        <w:tc>
          <w:tcPr>
            <w:tcW w:w="1280" w:type="dxa"/>
            <w:tcBorders>
              <w:top w:val="nil"/>
              <w:left w:val="nil"/>
              <w:bottom w:val="nil"/>
              <w:right w:val="nil"/>
            </w:tcBorders>
          </w:tcPr>
          <w:p>
            <w:pPr>
              <w:pStyle w:val="TableParagraph"/>
              <w:spacing w:before="26"/>
              <w:ind w:left="72"/>
              <w:jc w:val="left"/>
              <w:rPr>
                <w:sz w:val="20"/>
              </w:rPr>
            </w:pPr>
            <w:r>
              <w:rPr>
                <w:sz w:val="20"/>
              </w:rPr>
              <w:t>13</w:t>
            </w:r>
          </w:p>
        </w:tc>
        <w:tc>
          <w:tcPr>
            <w:tcW w:w="1260" w:type="dxa"/>
            <w:tcBorders>
              <w:top w:val="nil"/>
              <w:left w:val="nil"/>
              <w:bottom w:val="nil"/>
              <w:right w:val="nil"/>
            </w:tcBorders>
          </w:tcPr>
          <w:p>
            <w:pPr>
              <w:pStyle w:val="TableParagraph"/>
              <w:spacing w:before="26"/>
              <w:ind w:right="199"/>
              <w:rPr>
                <w:sz w:val="20"/>
              </w:rPr>
            </w:pPr>
            <w:r>
              <w:rPr>
                <w:sz w:val="20"/>
              </w:rPr>
              <w:t>0.9</w:t>
            </w:r>
          </w:p>
        </w:tc>
        <w:tc>
          <w:tcPr>
            <w:tcW w:w="1184" w:type="dxa"/>
            <w:tcBorders>
              <w:top w:val="nil"/>
              <w:left w:val="nil"/>
              <w:bottom w:val="nil"/>
              <w:right w:val="nil"/>
            </w:tcBorders>
          </w:tcPr>
          <w:p>
            <w:pPr>
              <w:pStyle w:val="TableParagraph"/>
              <w:spacing w:before="26"/>
              <w:ind w:right="182"/>
              <w:rPr>
                <w:sz w:val="20"/>
              </w:rPr>
            </w:pPr>
            <w:r>
              <w:rPr>
                <w:sz w:val="20"/>
              </w:rPr>
              <w:t>0.4</w:t>
            </w:r>
          </w:p>
        </w:tc>
        <w:tc>
          <w:tcPr>
            <w:tcW w:w="1198" w:type="dxa"/>
            <w:tcBorders>
              <w:top w:val="nil"/>
              <w:left w:val="nil"/>
              <w:bottom w:val="nil"/>
              <w:right w:val="nil"/>
            </w:tcBorders>
          </w:tcPr>
          <w:p>
            <w:pPr>
              <w:pStyle w:val="TableParagraph"/>
              <w:spacing w:before="26"/>
              <w:ind w:right="180"/>
              <w:rPr>
                <w:sz w:val="20"/>
              </w:rPr>
            </w:pPr>
            <w:r>
              <w:rPr>
                <w:sz w:val="20"/>
              </w:rPr>
              <w:t>0.051</w:t>
            </w:r>
          </w:p>
        </w:tc>
        <w:tc>
          <w:tcPr>
            <w:tcW w:w="1193" w:type="dxa"/>
            <w:tcBorders>
              <w:top w:val="nil"/>
              <w:left w:val="nil"/>
              <w:bottom w:val="nil"/>
              <w:right w:val="nil"/>
            </w:tcBorders>
          </w:tcPr>
          <w:p>
            <w:pPr>
              <w:pStyle w:val="TableParagraph"/>
              <w:spacing w:before="26"/>
              <w:ind w:right="173"/>
              <w:rPr>
                <w:sz w:val="20"/>
              </w:rPr>
            </w:pPr>
            <w:r>
              <w:rPr>
                <w:sz w:val="20"/>
              </w:rPr>
              <w:t>2.38</w:t>
            </w:r>
          </w:p>
        </w:tc>
        <w:tc>
          <w:tcPr>
            <w:tcW w:w="1088" w:type="dxa"/>
            <w:tcBorders>
              <w:top w:val="nil"/>
              <w:left w:val="nil"/>
              <w:bottom w:val="nil"/>
              <w:right w:val="nil"/>
            </w:tcBorders>
          </w:tcPr>
          <w:p>
            <w:pPr>
              <w:pStyle w:val="TableParagraph"/>
              <w:spacing w:before="26"/>
              <w:ind w:right="61"/>
              <w:rPr>
                <w:sz w:val="20"/>
              </w:rPr>
            </w:pPr>
            <w:r>
              <w:rPr>
                <w:sz w:val="20"/>
              </w:rPr>
              <w:t>0.08</w:t>
            </w:r>
          </w:p>
        </w:tc>
      </w:tr>
      <w:tr>
        <w:trPr>
          <w:trHeight w:val="300" w:hRule="exact"/>
        </w:trPr>
        <w:tc>
          <w:tcPr>
            <w:tcW w:w="1280" w:type="dxa"/>
            <w:tcBorders>
              <w:top w:val="nil"/>
              <w:left w:val="nil"/>
              <w:bottom w:val="nil"/>
              <w:right w:val="nil"/>
            </w:tcBorders>
          </w:tcPr>
          <w:p>
            <w:pPr>
              <w:pStyle w:val="TableParagraph"/>
              <w:ind w:left="72"/>
              <w:jc w:val="left"/>
              <w:rPr>
                <w:sz w:val="20"/>
              </w:rPr>
            </w:pPr>
            <w:r>
              <w:rPr>
                <w:sz w:val="20"/>
              </w:rPr>
              <w:t>14</w:t>
            </w:r>
          </w:p>
        </w:tc>
        <w:tc>
          <w:tcPr>
            <w:tcW w:w="1260" w:type="dxa"/>
            <w:tcBorders>
              <w:top w:val="nil"/>
              <w:left w:val="nil"/>
              <w:bottom w:val="nil"/>
              <w:right w:val="nil"/>
            </w:tcBorders>
          </w:tcPr>
          <w:p>
            <w:pPr>
              <w:pStyle w:val="TableParagraph"/>
              <w:ind w:right="204"/>
              <w:rPr>
                <w:sz w:val="20"/>
              </w:rPr>
            </w:pPr>
            <w:r>
              <w:rPr>
                <w:sz w:val="20"/>
              </w:rPr>
              <w:t>14</w:t>
            </w:r>
          </w:p>
        </w:tc>
        <w:tc>
          <w:tcPr>
            <w:tcW w:w="1184" w:type="dxa"/>
            <w:tcBorders>
              <w:top w:val="nil"/>
              <w:left w:val="nil"/>
              <w:bottom w:val="nil"/>
              <w:right w:val="nil"/>
            </w:tcBorders>
          </w:tcPr>
          <w:p>
            <w:pPr>
              <w:pStyle w:val="TableParagraph"/>
              <w:ind w:right="182"/>
              <w:rPr>
                <w:sz w:val="20"/>
              </w:rPr>
            </w:pPr>
            <w:r>
              <w:rPr>
                <w:sz w:val="20"/>
              </w:rPr>
              <w:t>1.5</w:t>
            </w:r>
          </w:p>
        </w:tc>
        <w:tc>
          <w:tcPr>
            <w:tcW w:w="1198" w:type="dxa"/>
            <w:tcBorders>
              <w:top w:val="nil"/>
              <w:left w:val="nil"/>
              <w:bottom w:val="nil"/>
              <w:right w:val="nil"/>
            </w:tcBorders>
          </w:tcPr>
          <w:p>
            <w:pPr>
              <w:pStyle w:val="TableParagraph"/>
              <w:ind w:right="180"/>
              <w:rPr>
                <w:sz w:val="20"/>
              </w:rPr>
            </w:pPr>
            <w:r>
              <w:rPr>
                <w:sz w:val="20"/>
              </w:rPr>
              <w:t>0.001</w:t>
            </w:r>
          </w:p>
        </w:tc>
        <w:tc>
          <w:tcPr>
            <w:tcW w:w="1193" w:type="dxa"/>
            <w:tcBorders>
              <w:top w:val="nil"/>
              <w:left w:val="nil"/>
              <w:bottom w:val="nil"/>
              <w:right w:val="nil"/>
            </w:tcBorders>
          </w:tcPr>
          <w:p>
            <w:pPr>
              <w:pStyle w:val="TableParagraph"/>
              <w:ind w:right="173"/>
              <w:rPr>
                <w:sz w:val="20"/>
              </w:rPr>
            </w:pPr>
            <w:r>
              <w:rPr>
                <w:sz w:val="20"/>
              </w:rPr>
              <w:t>9.471</w:t>
            </w:r>
          </w:p>
        </w:tc>
        <w:tc>
          <w:tcPr>
            <w:tcW w:w="1088" w:type="dxa"/>
            <w:tcBorders>
              <w:top w:val="nil"/>
              <w:left w:val="nil"/>
              <w:bottom w:val="nil"/>
              <w:right w:val="nil"/>
            </w:tcBorders>
          </w:tcPr>
          <w:p>
            <w:pPr>
              <w:pStyle w:val="TableParagraph"/>
              <w:ind w:right="61"/>
              <w:rPr>
                <w:sz w:val="20"/>
              </w:rPr>
            </w:pPr>
            <w:r>
              <w:rPr>
                <w:sz w:val="20"/>
              </w:rPr>
              <w:t>0.03</w:t>
            </w:r>
          </w:p>
        </w:tc>
      </w:tr>
      <w:tr>
        <w:trPr>
          <w:trHeight w:val="300" w:hRule="exact"/>
        </w:trPr>
        <w:tc>
          <w:tcPr>
            <w:tcW w:w="1280" w:type="dxa"/>
            <w:tcBorders>
              <w:top w:val="nil"/>
              <w:left w:val="nil"/>
              <w:bottom w:val="nil"/>
              <w:right w:val="nil"/>
            </w:tcBorders>
          </w:tcPr>
          <w:p>
            <w:pPr>
              <w:pStyle w:val="TableParagraph"/>
              <w:spacing w:before="26"/>
              <w:ind w:left="72"/>
              <w:jc w:val="left"/>
              <w:rPr>
                <w:sz w:val="20"/>
              </w:rPr>
            </w:pPr>
            <w:r>
              <w:rPr>
                <w:sz w:val="20"/>
              </w:rPr>
              <w:t>15</w:t>
            </w:r>
          </w:p>
        </w:tc>
        <w:tc>
          <w:tcPr>
            <w:tcW w:w="1260" w:type="dxa"/>
            <w:tcBorders>
              <w:top w:val="nil"/>
              <w:left w:val="nil"/>
              <w:bottom w:val="nil"/>
              <w:right w:val="nil"/>
            </w:tcBorders>
          </w:tcPr>
          <w:p>
            <w:pPr>
              <w:pStyle w:val="TableParagraph"/>
              <w:spacing w:before="26"/>
              <w:ind w:right="199"/>
              <w:rPr>
                <w:sz w:val="20"/>
              </w:rPr>
            </w:pPr>
            <w:r>
              <w:rPr>
                <w:sz w:val="20"/>
              </w:rPr>
              <w:t>3.2</w:t>
            </w:r>
          </w:p>
        </w:tc>
        <w:tc>
          <w:tcPr>
            <w:tcW w:w="1184" w:type="dxa"/>
            <w:tcBorders>
              <w:top w:val="nil"/>
              <w:left w:val="nil"/>
              <w:bottom w:val="nil"/>
              <w:right w:val="nil"/>
            </w:tcBorders>
          </w:tcPr>
          <w:p>
            <w:pPr>
              <w:pStyle w:val="TableParagraph"/>
              <w:spacing w:before="26"/>
              <w:ind w:right="182"/>
              <w:rPr>
                <w:sz w:val="20"/>
              </w:rPr>
            </w:pPr>
            <w:r>
              <w:rPr>
                <w:sz w:val="20"/>
              </w:rPr>
              <w:t>0.5</w:t>
            </w:r>
          </w:p>
        </w:tc>
        <w:tc>
          <w:tcPr>
            <w:tcW w:w="1198" w:type="dxa"/>
            <w:tcBorders>
              <w:top w:val="nil"/>
              <w:left w:val="nil"/>
              <w:bottom w:val="nil"/>
              <w:right w:val="nil"/>
            </w:tcBorders>
          </w:tcPr>
          <w:p>
            <w:pPr>
              <w:pStyle w:val="TableParagraph"/>
              <w:spacing w:before="26"/>
              <w:ind w:right="180"/>
              <w:rPr>
                <w:sz w:val="20"/>
              </w:rPr>
            </w:pPr>
            <w:r>
              <w:rPr>
                <w:sz w:val="20"/>
              </w:rPr>
              <w:t>0.645</w:t>
            </w:r>
          </w:p>
        </w:tc>
        <w:tc>
          <w:tcPr>
            <w:tcW w:w="1193" w:type="dxa"/>
            <w:tcBorders>
              <w:top w:val="nil"/>
              <w:left w:val="nil"/>
              <w:bottom w:val="nil"/>
              <w:right w:val="nil"/>
            </w:tcBorders>
          </w:tcPr>
          <w:p>
            <w:pPr>
              <w:pStyle w:val="TableParagraph"/>
              <w:spacing w:before="26"/>
              <w:ind w:right="173"/>
              <w:rPr>
                <w:sz w:val="20"/>
              </w:rPr>
            </w:pPr>
            <w:r>
              <w:rPr>
                <w:sz w:val="20"/>
              </w:rPr>
              <w:t>3.978</w:t>
            </w:r>
          </w:p>
        </w:tc>
        <w:tc>
          <w:tcPr>
            <w:tcW w:w="1088" w:type="dxa"/>
            <w:tcBorders>
              <w:top w:val="nil"/>
              <w:left w:val="nil"/>
              <w:bottom w:val="nil"/>
              <w:right w:val="nil"/>
            </w:tcBorders>
          </w:tcPr>
          <w:p>
            <w:pPr>
              <w:pStyle w:val="TableParagraph"/>
              <w:spacing w:before="26"/>
              <w:ind w:right="61"/>
              <w:rPr>
                <w:sz w:val="20"/>
              </w:rPr>
            </w:pPr>
            <w:r>
              <w:rPr>
                <w:sz w:val="20"/>
              </w:rPr>
              <w:t>0.033</w:t>
            </w:r>
          </w:p>
        </w:tc>
      </w:tr>
      <w:tr>
        <w:trPr>
          <w:trHeight w:val="300" w:hRule="exact"/>
        </w:trPr>
        <w:tc>
          <w:tcPr>
            <w:tcW w:w="1280" w:type="dxa"/>
            <w:tcBorders>
              <w:top w:val="nil"/>
              <w:left w:val="nil"/>
              <w:bottom w:val="nil"/>
              <w:right w:val="nil"/>
            </w:tcBorders>
          </w:tcPr>
          <w:p>
            <w:pPr>
              <w:pStyle w:val="TableParagraph"/>
              <w:ind w:left="72"/>
              <w:jc w:val="left"/>
              <w:rPr>
                <w:sz w:val="20"/>
              </w:rPr>
            </w:pPr>
            <w:r>
              <w:rPr>
                <w:sz w:val="20"/>
              </w:rPr>
              <w:t>16</w:t>
            </w:r>
          </w:p>
        </w:tc>
        <w:tc>
          <w:tcPr>
            <w:tcW w:w="1260" w:type="dxa"/>
            <w:tcBorders>
              <w:top w:val="nil"/>
              <w:left w:val="nil"/>
              <w:bottom w:val="nil"/>
              <w:right w:val="nil"/>
            </w:tcBorders>
          </w:tcPr>
          <w:p>
            <w:pPr>
              <w:pStyle w:val="TableParagraph"/>
              <w:ind w:right="204"/>
              <w:rPr>
                <w:sz w:val="20"/>
              </w:rPr>
            </w:pPr>
            <w:r>
              <w:rPr>
                <w:sz w:val="20"/>
              </w:rPr>
              <w:t>14</w:t>
            </w:r>
          </w:p>
        </w:tc>
        <w:tc>
          <w:tcPr>
            <w:tcW w:w="1184" w:type="dxa"/>
            <w:tcBorders>
              <w:top w:val="nil"/>
              <w:left w:val="nil"/>
              <w:bottom w:val="nil"/>
              <w:right w:val="nil"/>
            </w:tcBorders>
          </w:tcPr>
          <w:p>
            <w:pPr>
              <w:pStyle w:val="TableParagraph"/>
              <w:ind w:right="182"/>
              <w:rPr>
                <w:sz w:val="20"/>
              </w:rPr>
            </w:pPr>
            <w:r>
              <w:rPr>
                <w:sz w:val="20"/>
              </w:rPr>
              <w:t>1.5</w:t>
            </w:r>
          </w:p>
        </w:tc>
        <w:tc>
          <w:tcPr>
            <w:tcW w:w="1198" w:type="dxa"/>
            <w:tcBorders>
              <w:top w:val="nil"/>
              <w:left w:val="nil"/>
              <w:bottom w:val="nil"/>
              <w:right w:val="nil"/>
            </w:tcBorders>
          </w:tcPr>
          <w:p>
            <w:pPr>
              <w:pStyle w:val="TableParagraph"/>
              <w:ind w:right="180"/>
              <w:rPr>
                <w:sz w:val="20"/>
              </w:rPr>
            </w:pPr>
            <w:r>
              <w:rPr>
                <w:sz w:val="20"/>
              </w:rPr>
              <w:t>0.001</w:t>
            </w:r>
          </w:p>
        </w:tc>
        <w:tc>
          <w:tcPr>
            <w:tcW w:w="1193" w:type="dxa"/>
            <w:tcBorders>
              <w:top w:val="nil"/>
              <w:left w:val="nil"/>
              <w:bottom w:val="nil"/>
              <w:right w:val="nil"/>
            </w:tcBorders>
          </w:tcPr>
          <w:p>
            <w:pPr>
              <w:pStyle w:val="TableParagraph"/>
              <w:ind w:right="173"/>
              <w:rPr>
                <w:sz w:val="20"/>
              </w:rPr>
            </w:pPr>
            <w:r>
              <w:rPr>
                <w:sz w:val="20"/>
              </w:rPr>
              <w:t>9.471</w:t>
            </w:r>
          </w:p>
        </w:tc>
        <w:tc>
          <w:tcPr>
            <w:tcW w:w="1088" w:type="dxa"/>
            <w:tcBorders>
              <w:top w:val="nil"/>
              <w:left w:val="nil"/>
              <w:bottom w:val="nil"/>
              <w:right w:val="nil"/>
            </w:tcBorders>
          </w:tcPr>
          <w:p>
            <w:pPr>
              <w:pStyle w:val="TableParagraph"/>
              <w:ind w:right="61"/>
              <w:rPr>
                <w:sz w:val="20"/>
              </w:rPr>
            </w:pPr>
            <w:r>
              <w:rPr>
                <w:sz w:val="20"/>
              </w:rPr>
              <w:t>0.03</w:t>
            </w:r>
          </w:p>
        </w:tc>
      </w:tr>
      <w:tr>
        <w:trPr>
          <w:trHeight w:val="300" w:hRule="exact"/>
        </w:trPr>
        <w:tc>
          <w:tcPr>
            <w:tcW w:w="1280" w:type="dxa"/>
            <w:tcBorders>
              <w:top w:val="nil"/>
              <w:left w:val="nil"/>
              <w:bottom w:val="nil"/>
              <w:right w:val="nil"/>
            </w:tcBorders>
          </w:tcPr>
          <w:p>
            <w:pPr>
              <w:pStyle w:val="TableParagraph"/>
              <w:spacing w:before="26"/>
              <w:ind w:left="72"/>
              <w:jc w:val="left"/>
              <w:rPr>
                <w:sz w:val="20"/>
              </w:rPr>
            </w:pPr>
            <w:r>
              <w:rPr>
                <w:sz w:val="20"/>
              </w:rPr>
              <w:t>17</w:t>
            </w:r>
          </w:p>
        </w:tc>
        <w:tc>
          <w:tcPr>
            <w:tcW w:w="1260" w:type="dxa"/>
            <w:tcBorders>
              <w:top w:val="nil"/>
              <w:left w:val="nil"/>
              <w:bottom w:val="nil"/>
              <w:right w:val="nil"/>
            </w:tcBorders>
          </w:tcPr>
          <w:p>
            <w:pPr>
              <w:pStyle w:val="TableParagraph"/>
              <w:spacing w:before="26"/>
              <w:ind w:right="204"/>
              <w:rPr>
                <w:sz w:val="20"/>
              </w:rPr>
            </w:pPr>
            <w:r>
              <w:rPr>
                <w:sz w:val="20"/>
              </w:rPr>
              <w:t>14</w:t>
            </w:r>
          </w:p>
        </w:tc>
        <w:tc>
          <w:tcPr>
            <w:tcW w:w="1184" w:type="dxa"/>
            <w:tcBorders>
              <w:top w:val="nil"/>
              <w:left w:val="nil"/>
              <w:bottom w:val="nil"/>
              <w:right w:val="nil"/>
            </w:tcBorders>
          </w:tcPr>
          <w:p>
            <w:pPr>
              <w:pStyle w:val="TableParagraph"/>
              <w:spacing w:before="26"/>
              <w:ind w:right="182"/>
              <w:rPr>
                <w:sz w:val="20"/>
              </w:rPr>
            </w:pPr>
            <w:r>
              <w:rPr>
                <w:sz w:val="20"/>
              </w:rPr>
              <w:t>1.5</w:t>
            </w:r>
          </w:p>
        </w:tc>
        <w:tc>
          <w:tcPr>
            <w:tcW w:w="1198" w:type="dxa"/>
            <w:tcBorders>
              <w:top w:val="nil"/>
              <w:left w:val="nil"/>
              <w:bottom w:val="nil"/>
              <w:right w:val="nil"/>
            </w:tcBorders>
          </w:tcPr>
          <w:p>
            <w:pPr>
              <w:pStyle w:val="TableParagraph"/>
              <w:spacing w:before="26"/>
              <w:ind w:right="180"/>
              <w:rPr>
                <w:sz w:val="20"/>
              </w:rPr>
            </w:pPr>
            <w:r>
              <w:rPr>
                <w:sz w:val="20"/>
              </w:rPr>
              <w:t>0.001</w:t>
            </w:r>
          </w:p>
        </w:tc>
        <w:tc>
          <w:tcPr>
            <w:tcW w:w="1193" w:type="dxa"/>
            <w:tcBorders>
              <w:top w:val="nil"/>
              <w:left w:val="nil"/>
              <w:bottom w:val="nil"/>
              <w:right w:val="nil"/>
            </w:tcBorders>
          </w:tcPr>
          <w:p>
            <w:pPr>
              <w:pStyle w:val="TableParagraph"/>
              <w:spacing w:before="26"/>
              <w:ind w:right="173"/>
              <w:rPr>
                <w:sz w:val="20"/>
              </w:rPr>
            </w:pPr>
            <w:r>
              <w:rPr>
                <w:sz w:val="20"/>
              </w:rPr>
              <w:t>9.471</w:t>
            </w:r>
          </w:p>
        </w:tc>
        <w:tc>
          <w:tcPr>
            <w:tcW w:w="1088" w:type="dxa"/>
            <w:tcBorders>
              <w:top w:val="nil"/>
              <w:left w:val="nil"/>
              <w:bottom w:val="nil"/>
              <w:right w:val="nil"/>
            </w:tcBorders>
          </w:tcPr>
          <w:p>
            <w:pPr>
              <w:pStyle w:val="TableParagraph"/>
              <w:spacing w:before="26"/>
              <w:ind w:right="61"/>
              <w:rPr>
                <w:sz w:val="20"/>
              </w:rPr>
            </w:pPr>
            <w:r>
              <w:rPr>
                <w:sz w:val="20"/>
              </w:rPr>
              <w:t>0.03</w:t>
            </w:r>
          </w:p>
        </w:tc>
      </w:tr>
      <w:tr>
        <w:trPr>
          <w:trHeight w:val="300" w:hRule="exact"/>
        </w:trPr>
        <w:tc>
          <w:tcPr>
            <w:tcW w:w="1280" w:type="dxa"/>
            <w:tcBorders>
              <w:top w:val="nil"/>
              <w:left w:val="nil"/>
              <w:bottom w:val="nil"/>
              <w:right w:val="nil"/>
            </w:tcBorders>
          </w:tcPr>
          <w:p>
            <w:pPr>
              <w:pStyle w:val="TableParagraph"/>
              <w:ind w:left="72"/>
              <w:jc w:val="left"/>
              <w:rPr>
                <w:sz w:val="20"/>
              </w:rPr>
            </w:pPr>
            <w:r>
              <w:rPr>
                <w:sz w:val="20"/>
              </w:rPr>
              <w:t>18</w:t>
            </w:r>
          </w:p>
        </w:tc>
        <w:tc>
          <w:tcPr>
            <w:tcW w:w="1260" w:type="dxa"/>
            <w:tcBorders>
              <w:top w:val="nil"/>
              <w:left w:val="nil"/>
              <w:bottom w:val="nil"/>
              <w:right w:val="nil"/>
            </w:tcBorders>
          </w:tcPr>
          <w:p>
            <w:pPr>
              <w:pStyle w:val="TableParagraph"/>
              <w:ind w:right="204"/>
              <w:rPr>
                <w:sz w:val="20"/>
              </w:rPr>
            </w:pPr>
            <w:r>
              <w:rPr>
                <w:sz w:val="20"/>
              </w:rPr>
              <w:t>14</w:t>
            </w:r>
          </w:p>
        </w:tc>
        <w:tc>
          <w:tcPr>
            <w:tcW w:w="1184" w:type="dxa"/>
            <w:tcBorders>
              <w:top w:val="nil"/>
              <w:left w:val="nil"/>
              <w:bottom w:val="nil"/>
              <w:right w:val="nil"/>
            </w:tcBorders>
          </w:tcPr>
          <w:p>
            <w:pPr>
              <w:pStyle w:val="TableParagraph"/>
              <w:ind w:right="182"/>
              <w:rPr>
                <w:sz w:val="20"/>
              </w:rPr>
            </w:pPr>
            <w:r>
              <w:rPr>
                <w:sz w:val="20"/>
              </w:rPr>
              <w:t>1.5</w:t>
            </w:r>
          </w:p>
        </w:tc>
        <w:tc>
          <w:tcPr>
            <w:tcW w:w="1198" w:type="dxa"/>
            <w:tcBorders>
              <w:top w:val="nil"/>
              <w:left w:val="nil"/>
              <w:bottom w:val="nil"/>
              <w:right w:val="nil"/>
            </w:tcBorders>
          </w:tcPr>
          <w:p>
            <w:pPr>
              <w:pStyle w:val="TableParagraph"/>
              <w:ind w:right="180"/>
              <w:rPr>
                <w:sz w:val="20"/>
              </w:rPr>
            </w:pPr>
            <w:r>
              <w:rPr>
                <w:sz w:val="20"/>
              </w:rPr>
              <w:t>0.001</w:t>
            </w:r>
          </w:p>
        </w:tc>
        <w:tc>
          <w:tcPr>
            <w:tcW w:w="1193" w:type="dxa"/>
            <w:tcBorders>
              <w:top w:val="nil"/>
              <w:left w:val="nil"/>
              <w:bottom w:val="nil"/>
              <w:right w:val="nil"/>
            </w:tcBorders>
          </w:tcPr>
          <w:p>
            <w:pPr>
              <w:pStyle w:val="TableParagraph"/>
              <w:ind w:right="173"/>
              <w:rPr>
                <w:sz w:val="20"/>
              </w:rPr>
            </w:pPr>
            <w:r>
              <w:rPr>
                <w:sz w:val="20"/>
              </w:rPr>
              <w:t>9.471</w:t>
            </w:r>
          </w:p>
        </w:tc>
        <w:tc>
          <w:tcPr>
            <w:tcW w:w="1088" w:type="dxa"/>
            <w:tcBorders>
              <w:top w:val="nil"/>
              <w:left w:val="nil"/>
              <w:bottom w:val="nil"/>
              <w:right w:val="nil"/>
            </w:tcBorders>
          </w:tcPr>
          <w:p>
            <w:pPr>
              <w:pStyle w:val="TableParagraph"/>
              <w:ind w:right="61"/>
              <w:rPr>
                <w:sz w:val="20"/>
              </w:rPr>
            </w:pPr>
            <w:r>
              <w:rPr>
                <w:sz w:val="20"/>
              </w:rPr>
              <w:t>0.03</w:t>
            </w:r>
          </w:p>
        </w:tc>
      </w:tr>
      <w:tr>
        <w:trPr>
          <w:trHeight w:val="300" w:hRule="exact"/>
        </w:trPr>
        <w:tc>
          <w:tcPr>
            <w:tcW w:w="1280" w:type="dxa"/>
            <w:tcBorders>
              <w:top w:val="nil"/>
              <w:left w:val="nil"/>
              <w:bottom w:val="nil"/>
              <w:right w:val="nil"/>
            </w:tcBorders>
          </w:tcPr>
          <w:p>
            <w:pPr>
              <w:pStyle w:val="TableParagraph"/>
              <w:spacing w:before="26"/>
              <w:ind w:left="72"/>
              <w:jc w:val="left"/>
              <w:rPr>
                <w:sz w:val="20"/>
              </w:rPr>
            </w:pPr>
            <w:r>
              <w:rPr>
                <w:sz w:val="20"/>
              </w:rPr>
              <w:t>19</w:t>
            </w:r>
          </w:p>
        </w:tc>
        <w:tc>
          <w:tcPr>
            <w:tcW w:w="1260" w:type="dxa"/>
            <w:tcBorders>
              <w:top w:val="nil"/>
              <w:left w:val="nil"/>
              <w:bottom w:val="nil"/>
              <w:right w:val="nil"/>
            </w:tcBorders>
          </w:tcPr>
          <w:p>
            <w:pPr>
              <w:pStyle w:val="TableParagraph"/>
              <w:spacing w:before="26"/>
              <w:ind w:right="199"/>
              <w:rPr>
                <w:sz w:val="20"/>
              </w:rPr>
            </w:pPr>
            <w:r>
              <w:rPr>
                <w:sz w:val="20"/>
              </w:rPr>
              <w:t>0.9</w:t>
            </w:r>
          </w:p>
        </w:tc>
        <w:tc>
          <w:tcPr>
            <w:tcW w:w="1184" w:type="dxa"/>
            <w:tcBorders>
              <w:top w:val="nil"/>
              <w:left w:val="nil"/>
              <w:bottom w:val="nil"/>
              <w:right w:val="nil"/>
            </w:tcBorders>
          </w:tcPr>
          <w:p>
            <w:pPr>
              <w:pStyle w:val="TableParagraph"/>
              <w:spacing w:before="26"/>
              <w:ind w:right="182"/>
              <w:rPr>
                <w:sz w:val="20"/>
              </w:rPr>
            </w:pPr>
            <w:r>
              <w:rPr>
                <w:sz w:val="20"/>
              </w:rPr>
              <w:t>0.4</w:t>
            </w:r>
          </w:p>
        </w:tc>
        <w:tc>
          <w:tcPr>
            <w:tcW w:w="1198" w:type="dxa"/>
            <w:tcBorders>
              <w:top w:val="nil"/>
              <w:left w:val="nil"/>
              <w:bottom w:val="nil"/>
              <w:right w:val="nil"/>
            </w:tcBorders>
          </w:tcPr>
          <w:p>
            <w:pPr>
              <w:pStyle w:val="TableParagraph"/>
              <w:spacing w:before="26"/>
              <w:ind w:right="180"/>
              <w:rPr>
                <w:sz w:val="20"/>
              </w:rPr>
            </w:pPr>
            <w:r>
              <w:rPr>
                <w:sz w:val="20"/>
              </w:rPr>
              <w:t>0.034</w:t>
            </w:r>
          </w:p>
        </w:tc>
        <w:tc>
          <w:tcPr>
            <w:tcW w:w="1193" w:type="dxa"/>
            <w:tcBorders>
              <w:top w:val="nil"/>
              <w:left w:val="nil"/>
              <w:bottom w:val="nil"/>
              <w:right w:val="nil"/>
            </w:tcBorders>
          </w:tcPr>
          <w:p>
            <w:pPr>
              <w:pStyle w:val="TableParagraph"/>
              <w:spacing w:before="26"/>
              <w:ind w:right="173"/>
              <w:rPr>
                <w:sz w:val="20"/>
              </w:rPr>
            </w:pPr>
            <w:r>
              <w:rPr>
                <w:sz w:val="20"/>
              </w:rPr>
              <w:t>1.684</w:t>
            </w:r>
          </w:p>
        </w:tc>
        <w:tc>
          <w:tcPr>
            <w:tcW w:w="1088" w:type="dxa"/>
            <w:tcBorders>
              <w:top w:val="nil"/>
              <w:left w:val="nil"/>
              <w:bottom w:val="nil"/>
              <w:right w:val="nil"/>
            </w:tcBorders>
          </w:tcPr>
          <w:p>
            <w:pPr>
              <w:pStyle w:val="TableParagraph"/>
              <w:spacing w:before="26"/>
              <w:ind w:right="61"/>
              <w:rPr>
                <w:sz w:val="20"/>
              </w:rPr>
            </w:pPr>
            <w:r>
              <w:rPr>
                <w:sz w:val="20"/>
              </w:rPr>
              <w:t>0.08</w:t>
            </w:r>
          </w:p>
        </w:tc>
      </w:tr>
      <w:tr>
        <w:trPr>
          <w:trHeight w:val="300" w:hRule="exact"/>
        </w:trPr>
        <w:tc>
          <w:tcPr>
            <w:tcW w:w="1280" w:type="dxa"/>
            <w:tcBorders>
              <w:top w:val="nil"/>
              <w:left w:val="nil"/>
              <w:bottom w:val="nil"/>
              <w:right w:val="nil"/>
            </w:tcBorders>
          </w:tcPr>
          <w:p>
            <w:pPr>
              <w:pStyle w:val="TableParagraph"/>
              <w:ind w:left="72"/>
              <w:jc w:val="left"/>
              <w:rPr>
                <w:sz w:val="20"/>
              </w:rPr>
            </w:pPr>
            <w:r>
              <w:rPr>
                <w:sz w:val="20"/>
              </w:rPr>
              <w:t>20</w:t>
            </w:r>
          </w:p>
        </w:tc>
        <w:tc>
          <w:tcPr>
            <w:tcW w:w="1260" w:type="dxa"/>
            <w:tcBorders>
              <w:top w:val="nil"/>
              <w:left w:val="nil"/>
              <w:bottom w:val="nil"/>
              <w:right w:val="nil"/>
            </w:tcBorders>
          </w:tcPr>
          <w:p>
            <w:pPr>
              <w:pStyle w:val="TableParagraph"/>
              <w:ind w:right="199"/>
              <w:rPr>
                <w:sz w:val="20"/>
              </w:rPr>
            </w:pPr>
            <w:r>
              <w:rPr>
                <w:sz w:val="20"/>
              </w:rPr>
              <w:t>11.3</w:t>
            </w:r>
          </w:p>
        </w:tc>
        <w:tc>
          <w:tcPr>
            <w:tcW w:w="1184" w:type="dxa"/>
            <w:tcBorders>
              <w:top w:val="nil"/>
              <w:left w:val="nil"/>
              <w:bottom w:val="nil"/>
              <w:right w:val="nil"/>
            </w:tcBorders>
          </w:tcPr>
          <w:p>
            <w:pPr>
              <w:pStyle w:val="TableParagraph"/>
              <w:ind w:right="187"/>
              <w:rPr>
                <w:sz w:val="20"/>
              </w:rPr>
            </w:pPr>
            <w:r>
              <w:rPr>
                <w:w w:val="100"/>
                <w:sz w:val="20"/>
              </w:rPr>
              <w:t>1</w:t>
            </w:r>
          </w:p>
        </w:tc>
        <w:tc>
          <w:tcPr>
            <w:tcW w:w="1198" w:type="dxa"/>
            <w:tcBorders>
              <w:top w:val="nil"/>
              <w:left w:val="nil"/>
              <w:bottom w:val="nil"/>
              <w:right w:val="nil"/>
            </w:tcBorders>
          </w:tcPr>
          <w:p>
            <w:pPr>
              <w:pStyle w:val="TableParagraph"/>
              <w:ind w:right="180"/>
              <w:rPr>
                <w:sz w:val="20"/>
              </w:rPr>
            </w:pPr>
            <w:r>
              <w:rPr>
                <w:sz w:val="20"/>
              </w:rPr>
              <w:t>0.004</w:t>
            </w:r>
          </w:p>
        </w:tc>
        <w:tc>
          <w:tcPr>
            <w:tcW w:w="1193" w:type="dxa"/>
            <w:tcBorders>
              <w:top w:val="nil"/>
              <w:left w:val="nil"/>
              <w:bottom w:val="nil"/>
              <w:right w:val="nil"/>
            </w:tcBorders>
          </w:tcPr>
          <w:p>
            <w:pPr>
              <w:pStyle w:val="TableParagraph"/>
              <w:ind w:right="173"/>
              <w:rPr>
                <w:sz w:val="20"/>
              </w:rPr>
            </w:pPr>
            <w:r>
              <w:rPr>
                <w:sz w:val="20"/>
              </w:rPr>
              <w:t>4.088</w:t>
            </w:r>
          </w:p>
        </w:tc>
        <w:tc>
          <w:tcPr>
            <w:tcW w:w="1088" w:type="dxa"/>
            <w:tcBorders>
              <w:top w:val="nil"/>
              <w:left w:val="nil"/>
              <w:bottom w:val="nil"/>
              <w:right w:val="nil"/>
            </w:tcBorders>
          </w:tcPr>
          <w:p>
            <w:pPr>
              <w:pStyle w:val="TableParagraph"/>
              <w:ind w:right="61"/>
              <w:rPr>
                <w:sz w:val="20"/>
              </w:rPr>
            </w:pPr>
            <w:r>
              <w:rPr>
                <w:sz w:val="20"/>
              </w:rPr>
              <w:t>0.027</w:t>
            </w:r>
          </w:p>
        </w:tc>
      </w:tr>
      <w:tr>
        <w:trPr>
          <w:trHeight w:val="300" w:hRule="exact"/>
        </w:trPr>
        <w:tc>
          <w:tcPr>
            <w:tcW w:w="1280" w:type="dxa"/>
            <w:tcBorders>
              <w:top w:val="nil"/>
              <w:left w:val="nil"/>
              <w:bottom w:val="nil"/>
              <w:right w:val="nil"/>
            </w:tcBorders>
          </w:tcPr>
          <w:p>
            <w:pPr>
              <w:pStyle w:val="TableParagraph"/>
              <w:spacing w:before="26"/>
              <w:ind w:left="72"/>
              <w:jc w:val="left"/>
              <w:rPr>
                <w:sz w:val="20"/>
              </w:rPr>
            </w:pPr>
            <w:r>
              <w:rPr>
                <w:sz w:val="20"/>
              </w:rPr>
              <w:t>21</w:t>
            </w:r>
          </w:p>
        </w:tc>
        <w:tc>
          <w:tcPr>
            <w:tcW w:w="1260" w:type="dxa"/>
            <w:tcBorders>
              <w:top w:val="nil"/>
              <w:left w:val="nil"/>
              <w:bottom w:val="nil"/>
              <w:right w:val="nil"/>
            </w:tcBorders>
          </w:tcPr>
          <w:p>
            <w:pPr>
              <w:pStyle w:val="TableParagraph"/>
              <w:spacing w:before="26"/>
              <w:ind w:right="199"/>
              <w:rPr>
                <w:sz w:val="20"/>
              </w:rPr>
            </w:pPr>
            <w:r>
              <w:rPr>
                <w:sz w:val="20"/>
              </w:rPr>
              <w:t>10.7</w:t>
            </w:r>
          </w:p>
        </w:tc>
        <w:tc>
          <w:tcPr>
            <w:tcW w:w="1184" w:type="dxa"/>
            <w:tcBorders>
              <w:top w:val="nil"/>
              <w:left w:val="nil"/>
              <w:bottom w:val="nil"/>
              <w:right w:val="nil"/>
            </w:tcBorders>
          </w:tcPr>
          <w:p>
            <w:pPr>
              <w:pStyle w:val="TableParagraph"/>
              <w:spacing w:before="26"/>
              <w:ind w:right="182"/>
              <w:rPr>
                <w:sz w:val="20"/>
              </w:rPr>
            </w:pPr>
            <w:r>
              <w:rPr>
                <w:sz w:val="20"/>
              </w:rPr>
              <w:t>0.7</w:t>
            </w:r>
          </w:p>
        </w:tc>
        <w:tc>
          <w:tcPr>
            <w:tcW w:w="1198" w:type="dxa"/>
            <w:tcBorders>
              <w:top w:val="nil"/>
              <w:left w:val="nil"/>
              <w:bottom w:val="nil"/>
              <w:right w:val="nil"/>
            </w:tcBorders>
          </w:tcPr>
          <w:p>
            <w:pPr>
              <w:pStyle w:val="TableParagraph"/>
              <w:spacing w:before="26"/>
              <w:ind w:right="180"/>
              <w:rPr>
                <w:sz w:val="20"/>
              </w:rPr>
            </w:pPr>
            <w:r>
              <w:rPr>
                <w:sz w:val="20"/>
              </w:rPr>
              <w:t>0.05</w:t>
            </w:r>
          </w:p>
        </w:tc>
        <w:tc>
          <w:tcPr>
            <w:tcW w:w="1193" w:type="dxa"/>
            <w:tcBorders>
              <w:top w:val="nil"/>
              <w:left w:val="nil"/>
              <w:bottom w:val="nil"/>
              <w:right w:val="nil"/>
            </w:tcBorders>
          </w:tcPr>
          <w:p>
            <w:pPr>
              <w:pStyle w:val="TableParagraph"/>
              <w:spacing w:before="26"/>
              <w:ind w:right="173"/>
              <w:rPr>
                <w:sz w:val="20"/>
              </w:rPr>
            </w:pPr>
            <w:r>
              <w:rPr>
                <w:sz w:val="20"/>
              </w:rPr>
              <w:t>3.575</w:t>
            </w:r>
          </w:p>
        </w:tc>
        <w:tc>
          <w:tcPr>
            <w:tcW w:w="1088" w:type="dxa"/>
            <w:tcBorders>
              <w:top w:val="nil"/>
              <w:left w:val="nil"/>
              <w:bottom w:val="nil"/>
              <w:right w:val="nil"/>
            </w:tcBorders>
          </w:tcPr>
          <w:p>
            <w:pPr>
              <w:pStyle w:val="TableParagraph"/>
              <w:spacing w:before="26"/>
              <w:ind w:right="61"/>
              <w:rPr>
                <w:sz w:val="20"/>
              </w:rPr>
            </w:pPr>
            <w:r>
              <w:rPr>
                <w:sz w:val="20"/>
              </w:rPr>
              <w:t>0.05</w:t>
            </w:r>
          </w:p>
        </w:tc>
      </w:tr>
      <w:tr>
        <w:trPr>
          <w:trHeight w:val="300" w:hRule="exact"/>
        </w:trPr>
        <w:tc>
          <w:tcPr>
            <w:tcW w:w="1280" w:type="dxa"/>
            <w:tcBorders>
              <w:top w:val="nil"/>
              <w:left w:val="nil"/>
              <w:bottom w:val="nil"/>
              <w:right w:val="nil"/>
            </w:tcBorders>
          </w:tcPr>
          <w:p>
            <w:pPr>
              <w:pStyle w:val="TableParagraph"/>
              <w:ind w:left="72"/>
              <w:jc w:val="left"/>
              <w:rPr>
                <w:sz w:val="20"/>
              </w:rPr>
            </w:pPr>
            <w:r>
              <w:rPr>
                <w:sz w:val="20"/>
              </w:rPr>
              <w:t>22</w:t>
            </w:r>
          </w:p>
        </w:tc>
        <w:tc>
          <w:tcPr>
            <w:tcW w:w="1260" w:type="dxa"/>
            <w:tcBorders>
              <w:top w:val="nil"/>
              <w:left w:val="nil"/>
              <w:bottom w:val="nil"/>
              <w:right w:val="nil"/>
            </w:tcBorders>
          </w:tcPr>
          <w:p>
            <w:pPr>
              <w:pStyle w:val="TableParagraph"/>
              <w:ind w:right="204"/>
              <w:rPr>
                <w:sz w:val="20"/>
              </w:rPr>
            </w:pPr>
            <w:r>
              <w:rPr>
                <w:w w:val="100"/>
                <w:sz w:val="20"/>
              </w:rPr>
              <w:t>3</w:t>
            </w:r>
          </w:p>
        </w:tc>
        <w:tc>
          <w:tcPr>
            <w:tcW w:w="1184" w:type="dxa"/>
            <w:tcBorders>
              <w:top w:val="nil"/>
              <w:left w:val="nil"/>
              <w:bottom w:val="nil"/>
              <w:right w:val="nil"/>
            </w:tcBorders>
          </w:tcPr>
          <w:p>
            <w:pPr>
              <w:pStyle w:val="TableParagraph"/>
              <w:ind w:right="182"/>
              <w:rPr>
                <w:sz w:val="20"/>
              </w:rPr>
            </w:pPr>
            <w:r>
              <w:rPr>
                <w:sz w:val="20"/>
              </w:rPr>
              <w:t>0.7</w:t>
            </w:r>
          </w:p>
        </w:tc>
        <w:tc>
          <w:tcPr>
            <w:tcW w:w="1198" w:type="dxa"/>
            <w:tcBorders>
              <w:top w:val="nil"/>
              <w:left w:val="nil"/>
              <w:bottom w:val="nil"/>
              <w:right w:val="nil"/>
            </w:tcBorders>
          </w:tcPr>
          <w:p>
            <w:pPr>
              <w:pStyle w:val="TableParagraph"/>
              <w:ind w:right="180"/>
              <w:rPr>
                <w:sz w:val="20"/>
              </w:rPr>
            </w:pPr>
            <w:r>
              <w:rPr>
                <w:sz w:val="20"/>
              </w:rPr>
              <w:t>0.043</w:t>
            </w:r>
          </w:p>
        </w:tc>
        <w:tc>
          <w:tcPr>
            <w:tcW w:w="1193" w:type="dxa"/>
            <w:tcBorders>
              <w:top w:val="nil"/>
              <w:left w:val="nil"/>
              <w:bottom w:val="nil"/>
              <w:right w:val="nil"/>
            </w:tcBorders>
          </w:tcPr>
          <w:p>
            <w:pPr>
              <w:pStyle w:val="TableParagraph"/>
              <w:ind w:right="173"/>
              <w:rPr>
                <w:sz w:val="20"/>
              </w:rPr>
            </w:pPr>
            <w:r>
              <w:rPr>
                <w:sz w:val="20"/>
              </w:rPr>
              <w:t>3.221</w:t>
            </w:r>
          </w:p>
        </w:tc>
        <w:tc>
          <w:tcPr>
            <w:tcW w:w="1088" w:type="dxa"/>
            <w:tcBorders>
              <w:top w:val="nil"/>
              <w:left w:val="nil"/>
              <w:bottom w:val="nil"/>
              <w:right w:val="nil"/>
            </w:tcBorders>
          </w:tcPr>
          <w:p>
            <w:pPr>
              <w:pStyle w:val="TableParagraph"/>
              <w:ind w:right="61"/>
              <w:rPr>
                <w:sz w:val="20"/>
              </w:rPr>
            </w:pPr>
            <w:r>
              <w:rPr>
                <w:sz w:val="20"/>
              </w:rPr>
              <w:t>0.029</w:t>
            </w:r>
          </w:p>
        </w:tc>
      </w:tr>
      <w:tr>
        <w:trPr>
          <w:trHeight w:val="300" w:hRule="exact"/>
        </w:trPr>
        <w:tc>
          <w:tcPr>
            <w:tcW w:w="1280" w:type="dxa"/>
            <w:tcBorders>
              <w:top w:val="nil"/>
              <w:left w:val="nil"/>
              <w:bottom w:val="nil"/>
              <w:right w:val="nil"/>
            </w:tcBorders>
          </w:tcPr>
          <w:p>
            <w:pPr>
              <w:pStyle w:val="TableParagraph"/>
              <w:spacing w:before="26"/>
              <w:ind w:left="72"/>
              <w:jc w:val="left"/>
              <w:rPr>
                <w:sz w:val="20"/>
              </w:rPr>
            </w:pPr>
            <w:r>
              <w:rPr>
                <w:sz w:val="20"/>
              </w:rPr>
              <w:t>23</w:t>
            </w:r>
          </w:p>
        </w:tc>
        <w:tc>
          <w:tcPr>
            <w:tcW w:w="1260" w:type="dxa"/>
            <w:tcBorders>
              <w:top w:val="nil"/>
              <w:left w:val="nil"/>
              <w:bottom w:val="nil"/>
              <w:right w:val="nil"/>
            </w:tcBorders>
          </w:tcPr>
          <w:p>
            <w:pPr>
              <w:pStyle w:val="TableParagraph"/>
              <w:spacing w:before="26"/>
              <w:ind w:right="204"/>
              <w:rPr>
                <w:sz w:val="20"/>
              </w:rPr>
            </w:pPr>
            <w:r>
              <w:rPr>
                <w:sz w:val="20"/>
              </w:rPr>
              <w:t>14</w:t>
            </w:r>
          </w:p>
        </w:tc>
        <w:tc>
          <w:tcPr>
            <w:tcW w:w="1184" w:type="dxa"/>
            <w:tcBorders>
              <w:top w:val="nil"/>
              <w:left w:val="nil"/>
              <w:bottom w:val="nil"/>
              <w:right w:val="nil"/>
            </w:tcBorders>
          </w:tcPr>
          <w:p>
            <w:pPr>
              <w:pStyle w:val="TableParagraph"/>
              <w:spacing w:before="26"/>
              <w:ind w:right="182"/>
              <w:rPr>
                <w:sz w:val="20"/>
              </w:rPr>
            </w:pPr>
            <w:r>
              <w:rPr>
                <w:sz w:val="20"/>
              </w:rPr>
              <w:t>1.5</w:t>
            </w:r>
          </w:p>
        </w:tc>
        <w:tc>
          <w:tcPr>
            <w:tcW w:w="1198" w:type="dxa"/>
            <w:tcBorders>
              <w:top w:val="nil"/>
              <w:left w:val="nil"/>
              <w:bottom w:val="nil"/>
              <w:right w:val="nil"/>
            </w:tcBorders>
          </w:tcPr>
          <w:p>
            <w:pPr>
              <w:pStyle w:val="TableParagraph"/>
              <w:spacing w:before="26"/>
              <w:ind w:right="180"/>
              <w:rPr>
                <w:sz w:val="20"/>
              </w:rPr>
            </w:pPr>
            <w:r>
              <w:rPr>
                <w:sz w:val="20"/>
              </w:rPr>
              <w:t>0.001</w:t>
            </w:r>
          </w:p>
        </w:tc>
        <w:tc>
          <w:tcPr>
            <w:tcW w:w="1193" w:type="dxa"/>
            <w:tcBorders>
              <w:top w:val="nil"/>
              <w:left w:val="nil"/>
              <w:bottom w:val="nil"/>
              <w:right w:val="nil"/>
            </w:tcBorders>
          </w:tcPr>
          <w:p>
            <w:pPr>
              <w:pStyle w:val="TableParagraph"/>
              <w:spacing w:before="26"/>
              <w:ind w:right="173"/>
              <w:rPr>
                <w:sz w:val="20"/>
              </w:rPr>
            </w:pPr>
            <w:r>
              <w:rPr>
                <w:sz w:val="20"/>
              </w:rPr>
              <w:t>9.471</w:t>
            </w:r>
          </w:p>
        </w:tc>
        <w:tc>
          <w:tcPr>
            <w:tcW w:w="1088" w:type="dxa"/>
            <w:tcBorders>
              <w:top w:val="nil"/>
              <w:left w:val="nil"/>
              <w:bottom w:val="nil"/>
              <w:right w:val="nil"/>
            </w:tcBorders>
          </w:tcPr>
          <w:p>
            <w:pPr>
              <w:pStyle w:val="TableParagraph"/>
              <w:spacing w:before="26"/>
              <w:ind w:right="61"/>
              <w:rPr>
                <w:sz w:val="20"/>
              </w:rPr>
            </w:pPr>
            <w:r>
              <w:rPr>
                <w:sz w:val="20"/>
              </w:rPr>
              <w:t>0.03</w:t>
            </w:r>
          </w:p>
        </w:tc>
      </w:tr>
      <w:tr>
        <w:trPr>
          <w:trHeight w:val="300" w:hRule="exact"/>
        </w:trPr>
        <w:tc>
          <w:tcPr>
            <w:tcW w:w="1280" w:type="dxa"/>
            <w:tcBorders>
              <w:top w:val="nil"/>
              <w:left w:val="nil"/>
              <w:bottom w:val="nil"/>
              <w:right w:val="nil"/>
            </w:tcBorders>
          </w:tcPr>
          <w:p>
            <w:pPr>
              <w:pStyle w:val="TableParagraph"/>
              <w:ind w:left="72"/>
              <w:jc w:val="left"/>
              <w:rPr>
                <w:sz w:val="20"/>
              </w:rPr>
            </w:pPr>
            <w:r>
              <w:rPr>
                <w:sz w:val="20"/>
              </w:rPr>
              <w:t>24</w:t>
            </w:r>
          </w:p>
        </w:tc>
        <w:tc>
          <w:tcPr>
            <w:tcW w:w="1260" w:type="dxa"/>
            <w:tcBorders>
              <w:top w:val="nil"/>
              <w:left w:val="nil"/>
              <w:bottom w:val="nil"/>
              <w:right w:val="nil"/>
            </w:tcBorders>
          </w:tcPr>
          <w:p>
            <w:pPr>
              <w:pStyle w:val="TableParagraph"/>
              <w:ind w:right="199"/>
              <w:rPr>
                <w:sz w:val="20"/>
              </w:rPr>
            </w:pPr>
            <w:r>
              <w:rPr>
                <w:sz w:val="20"/>
              </w:rPr>
              <w:t>6.6</w:t>
            </w:r>
          </w:p>
        </w:tc>
        <w:tc>
          <w:tcPr>
            <w:tcW w:w="1184" w:type="dxa"/>
            <w:tcBorders>
              <w:top w:val="nil"/>
              <w:left w:val="nil"/>
              <w:bottom w:val="nil"/>
              <w:right w:val="nil"/>
            </w:tcBorders>
          </w:tcPr>
          <w:p>
            <w:pPr>
              <w:pStyle w:val="TableParagraph"/>
              <w:ind w:right="182"/>
              <w:rPr>
                <w:sz w:val="20"/>
              </w:rPr>
            </w:pPr>
            <w:r>
              <w:rPr>
                <w:sz w:val="20"/>
              </w:rPr>
              <w:t>0.8</w:t>
            </w:r>
          </w:p>
        </w:tc>
        <w:tc>
          <w:tcPr>
            <w:tcW w:w="1198" w:type="dxa"/>
            <w:tcBorders>
              <w:top w:val="nil"/>
              <w:left w:val="nil"/>
              <w:bottom w:val="nil"/>
              <w:right w:val="nil"/>
            </w:tcBorders>
          </w:tcPr>
          <w:p>
            <w:pPr>
              <w:pStyle w:val="TableParagraph"/>
              <w:ind w:right="180"/>
              <w:rPr>
                <w:sz w:val="20"/>
              </w:rPr>
            </w:pPr>
            <w:r>
              <w:rPr>
                <w:sz w:val="20"/>
              </w:rPr>
              <w:t>0.023</w:t>
            </w:r>
          </w:p>
        </w:tc>
        <w:tc>
          <w:tcPr>
            <w:tcW w:w="1193" w:type="dxa"/>
            <w:tcBorders>
              <w:top w:val="nil"/>
              <w:left w:val="nil"/>
              <w:bottom w:val="nil"/>
              <w:right w:val="nil"/>
            </w:tcBorders>
          </w:tcPr>
          <w:p>
            <w:pPr>
              <w:pStyle w:val="TableParagraph"/>
              <w:ind w:right="173"/>
              <w:rPr>
                <w:sz w:val="20"/>
              </w:rPr>
            </w:pPr>
            <w:r>
              <w:rPr>
                <w:sz w:val="20"/>
              </w:rPr>
              <w:t>3.604</w:t>
            </w:r>
          </w:p>
        </w:tc>
        <w:tc>
          <w:tcPr>
            <w:tcW w:w="1088" w:type="dxa"/>
            <w:tcBorders>
              <w:top w:val="nil"/>
              <w:left w:val="nil"/>
              <w:bottom w:val="nil"/>
              <w:right w:val="nil"/>
            </w:tcBorders>
          </w:tcPr>
          <w:p>
            <w:pPr>
              <w:pStyle w:val="TableParagraph"/>
              <w:ind w:right="61"/>
              <w:rPr>
                <w:sz w:val="20"/>
              </w:rPr>
            </w:pPr>
            <w:r>
              <w:rPr>
                <w:sz w:val="20"/>
              </w:rPr>
              <w:t>0.04</w:t>
            </w:r>
          </w:p>
        </w:tc>
      </w:tr>
      <w:tr>
        <w:trPr>
          <w:trHeight w:val="300" w:hRule="exact"/>
        </w:trPr>
        <w:tc>
          <w:tcPr>
            <w:tcW w:w="1280" w:type="dxa"/>
            <w:tcBorders>
              <w:top w:val="nil"/>
              <w:left w:val="nil"/>
              <w:bottom w:val="nil"/>
              <w:right w:val="nil"/>
            </w:tcBorders>
          </w:tcPr>
          <w:p>
            <w:pPr>
              <w:pStyle w:val="TableParagraph"/>
              <w:spacing w:before="26"/>
              <w:ind w:left="72"/>
              <w:jc w:val="left"/>
              <w:rPr>
                <w:sz w:val="20"/>
              </w:rPr>
            </w:pPr>
            <w:r>
              <w:rPr>
                <w:sz w:val="20"/>
              </w:rPr>
              <w:t>25</w:t>
            </w:r>
          </w:p>
        </w:tc>
        <w:tc>
          <w:tcPr>
            <w:tcW w:w="1260" w:type="dxa"/>
            <w:tcBorders>
              <w:top w:val="nil"/>
              <w:left w:val="nil"/>
              <w:bottom w:val="nil"/>
              <w:right w:val="nil"/>
            </w:tcBorders>
          </w:tcPr>
          <w:p>
            <w:pPr>
              <w:pStyle w:val="TableParagraph"/>
              <w:spacing w:before="26"/>
              <w:ind w:right="204"/>
              <w:rPr>
                <w:sz w:val="20"/>
              </w:rPr>
            </w:pPr>
            <w:r>
              <w:rPr>
                <w:w w:val="100"/>
                <w:sz w:val="20"/>
              </w:rPr>
              <w:t>3</w:t>
            </w:r>
          </w:p>
        </w:tc>
        <w:tc>
          <w:tcPr>
            <w:tcW w:w="1184" w:type="dxa"/>
            <w:tcBorders>
              <w:top w:val="nil"/>
              <w:left w:val="nil"/>
              <w:bottom w:val="nil"/>
              <w:right w:val="nil"/>
            </w:tcBorders>
          </w:tcPr>
          <w:p>
            <w:pPr>
              <w:pStyle w:val="TableParagraph"/>
              <w:spacing w:before="26"/>
              <w:ind w:right="182"/>
              <w:rPr>
                <w:sz w:val="20"/>
              </w:rPr>
            </w:pPr>
            <w:r>
              <w:rPr>
                <w:sz w:val="20"/>
              </w:rPr>
              <w:t>0.7</w:t>
            </w:r>
          </w:p>
        </w:tc>
        <w:tc>
          <w:tcPr>
            <w:tcW w:w="1198" w:type="dxa"/>
            <w:tcBorders>
              <w:top w:val="nil"/>
              <w:left w:val="nil"/>
              <w:bottom w:val="nil"/>
              <w:right w:val="nil"/>
            </w:tcBorders>
          </w:tcPr>
          <w:p>
            <w:pPr>
              <w:pStyle w:val="TableParagraph"/>
              <w:spacing w:before="26"/>
              <w:ind w:right="180"/>
              <w:rPr>
                <w:sz w:val="20"/>
              </w:rPr>
            </w:pPr>
            <w:r>
              <w:rPr>
                <w:sz w:val="20"/>
              </w:rPr>
              <w:t>0.04</w:t>
            </w:r>
          </w:p>
        </w:tc>
        <w:tc>
          <w:tcPr>
            <w:tcW w:w="1193" w:type="dxa"/>
            <w:tcBorders>
              <w:top w:val="nil"/>
              <w:left w:val="nil"/>
              <w:bottom w:val="nil"/>
              <w:right w:val="nil"/>
            </w:tcBorders>
          </w:tcPr>
          <w:p>
            <w:pPr>
              <w:pStyle w:val="TableParagraph"/>
              <w:spacing w:before="26"/>
              <w:ind w:right="173"/>
              <w:rPr>
                <w:sz w:val="20"/>
              </w:rPr>
            </w:pPr>
            <w:r>
              <w:rPr>
                <w:sz w:val="20"/>
              </w:rPr>
              <w:t>3.221</w:t>
            </w:r>
          </w:p>
        </w:tc>
        <w:tc>
          <w:tcPr>
            <w:tcW w:w="1088" w:type="dxa"/>
            <w:tcBorders>
              <w:top w:val="nil"/>
              <w:left w:val="nil"/>
              <w:bottom w:val="nil"/>
              <w:right w:val="nil"/>
            </w:tcBorders>
          </w:tcPr>
          <w:p>
            <w:pPr>
              <w:pStyle w:val="TableParagraph"/>
              <w:spacing w:before="26"/>
              <w:ind w:right="61"/>
              <w:rPr>
                <w:sz w:val="20"/>
              </w:rPr>
            </w:pPr>
            <w:r>
              <w:rPr>
                <w:sz w:val="20"/>
              </w:rPr>
              <w:t>0.029</w:t>
            </w:r>
          </w:p>
        </w:tc>
      </w:tr>
      <w:tr>
        <w:trPr>
          <w:trHeight w:val="300" w:hRule="exact"/>
        </w:trPr>
        <w:tc>
          <w:tcPr>
            <w:tcW w:w="1280" w:type="dxa"/>
            <w:tcBorders>
              <w:top w:val="nil"/>
              <w:left w:val="nil"/>
              <w:bottom w:val="nil"/>
              <w:right w:val="nil"/>
            </w:tcBorders>
          </w:tcPr>
          <w:p>
            <w:pPr>
              <w:pStyle w:val="TableParagraph"/>
              <w:ind w:left="72"/>
              <w:jc w:val="left"/>
              <w:rPr>
                <w:sz w:val="20"/>
              </w:rPr>
            </w:pPr>
            <w:r>
              <w:rPr>
                <w:sz w:val="20"/>
              </w:rPr>
              <w:t>26</w:t>
            </w:r>
          </w:p>
        </w:tc>
        <w:tc>
          <w:tcPr>
            <w:tcW w:w="1260" w:type="dxa"/>
            <w:tcBorders>
              <w:top w:val="nil"/>
              <w:left w:val="nil"/>
              <w:bottom w:val="nil"/>
              <w:right w:val="nil"/>
            </w:tcBorders>
          </w:tcPr>
          <w:p>
            <w:pPr>
              <w:pStyle w:val="TableParagraph"/>
              <w:ind w:right="199"/>
              <w:rPr>
                <w:sz w:val="20"/>
              </w:rPr>
            </w:pPr>
            <w:r>
              <w:rPr>
                <w:sz w:val="20"/>
              </w:rPr>
              <w:t>6.6</w:t>
            </w:r>
          </w:p>
        </w:tc>
        <w:tc>
          <w:tcPr>
            <w:tcW w:w="1184" w:type="dxa"/>
            <w:tcBorders>
              <w:top w:val="nil"/>
              <w:left w:val="nil"/>
              <w:bottom w:val="nil"/>
              <w:right w:val="nil"/>
            </w:tcBorders>
          </w:tcPr>
          <w:p>
            <w:pPr>
              <w:pStyle w:val="TableParagraph"/>
              <w:ind w:right="182"/>
              <w:rPr>
                <w:sz w:val="20"/>
              </w:rPr>
            </w:pPr>
            <w:r>
              <w:rPr>
                <w:sz w:val="20"/>
              </w:rPr>
              <w:t>0.8</w:t>
            </w:r>
          </w:p>
        </w:tc>
        <w:tc>
          <w:tcPr>
            <w:tcW w:w="1198" w:type="dxa"/>
            <w:tcBorders>
              <w:top w:val="nil"/>
              <w:left w:val="nil"/>
              <w:bottom w:val="nil"/>
              <w:right w:val="nil"/>
            </w:tcBorders>
          </w:tcPr>
          <w:p>
            <w:pPr>
              <w:pStyle w:val="TableParagraph"/>
              <w:ind w:right="180"/>
              <w:rPr>
                <w:sz w:val="20"/>
              </w:rPr>
            </w:pPr>
            <w:r>
              <w:rPr>
                <w:sz w:val="20"/>
              </w:rPr>
              <w:t>0.023</w:t>
            </w:r>
          </w:p>
        </w:tc>
        <w:tc>
          <w:tcPr>
            <w:tcW w:w="1193" w:type="dxa"/>
            <w:tcBorders>
              <w:top w:val="nil"/>
              <w:left w:val="nil"/>
              <w:bottom w:val="nil"/>
              <w:right w:val="nil"/>
            </w:tcBorders>
          </w:tcPr>
          <w:p>
            <w:pPr>
              <w:pStyle w:val="TableParagraph"/>
              <w:ind w:right="173"/>
              <w:rPr>
                <w:sz w:val="20"/>
              </w:rPr>
            </w:pPr>
            <w:r>
              <w:rPr>
                <w:sz w:val="20"/>
              </w:rPr>
              <w:t>3.604</w:t>
            </w:r>
          </w:p>
        </w:tc>
        <w:tc>
          <w:tcPr>
            <w:tcW w:w="1088" w:type="dxa"/>
            <w:tcBorders>
              <w:top w:val="nil"/>
              <w:left w:val="nil"/>
              <w:bottom w:val="nil"/>
              <w:right w:val="nil"/>
            </w:tcBorders>
          </w:tcPr>
          <w:p>
            <w:pPr>
              <w:pStyle w:val="TableParagraph"/>
              <w:ind w:right="61"/>
              <w:rPr>
                <w:sz w:val="20"/>
              </w:rPr>
            </w:pPr>
            <w:r>
              <w:rPr>
                <w:sz w:val="20"/>
              </w:rPr>
              <w:t>0.04</w:t>
            </w:r>
          </w:p>
        </w:tc>
      </w:tr>
      <w:tr>
        <w:trPr>
          <w:trHeight w:val="300" w:hRule="exact"/>
        </w:trPr>
        <w:tc>
          <w:tcPr>
            <w:tcW w:w="1280" w:type="dxa"/>
            <w:tcBorders>
              <w:top w:val="nil"/>
              <w:left w:val="nil"/>
              <w:bottom w:val="nil"/>
              <w:right w:val="nil"/>
            </w:tcBorders>
          </w:tcPr>
          <w:p>
            <w:pPr>
              <w:pStyle w:val="TableParagraph"/>
              <w:spacing w:before="26"/>
              <w:ind w:left="72"/>
              <w:jc w:val="left"/>
              <w:rPr>
                <w:sz w:val="20"/>
              </w:rPr>
            </w:pPr>
            <w:r>
              <w:rPr>
                <w:sz w:val="20"/>
              </w:rPr>
              <w:t>27</w:t>
            </w:r>
          </w:p>
        </w:tc>
        <w:tc>
          <w:tcPr>
            <w:tcW w:w="1260" w:type="dxa"/>
            <w:tcBorders>
              <w:top w:val="nil"/>
              <w:left w:val="nil"/>
              <w:bottom w:val="nil"/>
              <w:right w:val="nil"/>
            </w:tcBorders>
          </w:tcPr>
          <w:p>
            <w:pPr>
              <w:pStyle w:val="TableParagraph"/>
              <w:spacing w:before="26"/>
              <w:ind w:right="199"/>
              <w:rPr>
                <w:sz w:val="20"/>
              </w:rPr>
            </w:pPr>
            <w:r>
              <w:rPr>
                <w:sz w:val="20"/>
              </w:rPr>
              <w:t>5.5</w:t>
            </w:r>
          </w:p>
        </w:tc>
        <w:tc>
          <w:tcPr>
            <w:tcW w:w="1184" w:type="dxa"/>
            <w:tcBorders>
              <w:top w:val="nil"/>
              <w:left w:val="nil"/>
              <w:bottom w:val="nil"/>
              <w:right w:val="nil"/>
            </w:tcBorders>
          </w:tcPr>
          <w:p>
            <w:pPr>
              <w:pStyle w:val="TableParagraph"/>
              <w:spacing w:before="26"/>
              <w:ind w:right="182"/>
              <w:rPr>
                <w:sz w:val="20"/>
              </w:rPr>
            </w:pPr>
            <w:r>
              <w:rPr>
                <w:sz w:val="20"/>
              </w:rPr>
              <w:t>1.8</w:t>
            </w:r>
          </w:p>
        </w:tc>
        <w:tc>
          <w:tcPr>
            <w:tcW w:w="1198" w:type="dxa"/>
            <w:tcBorders>
              <w:top w:val="nil"/>
              <w:left w:val="nil"/>
              <w:bottom w:val="nil"/>
              <w:right w:val="nil"/>
            </w:tcBorders>
          </w:tcPr>
          <w:p>
            <w:pPr>
              <w:pStyle w:val="TableParagraph"/>
              <w:spacing w:before="26"/>
              <w:ind w:right="180"/>
              <w:rPr>
                <w:sz w:val="20"/>
              </w:rPr>
            </w:pPr>
            <w:r>
              <w:rPr>
                <w:sz w:val="20"/>
              </w:rPr>
              <w:t>0.022</w:t>
            </w:r>
          </w:p>
        </w:tc>
        <w:tc>
          <w:tcPr>
            <w:tcW w:w="1193" w:type="dxa"/>
            <w:tcBorders>
              <w:top w:val="nil"/>
              <w:left w:val="nil"/>
              <w:bottom w:val="nil"/>
              <w:right w:val="nil"/>
            </w:tcBorders>
          </w:tcPr>
          <w:p>
            <w:pPr>
              <w:pStyle w:val="TableParagraph"/>
              <w:spacing w:before="26"/>
              <w:ind w:right="173"/>
              <w:rPr>
                <w:sz w:val="20"/>
              </w:rPr>
            </w:pPr>
            <w:r>
              <w:rPr>
                <w:sz w:val="20"/>
              </w:rPr>
              <w:t>7.402</w:t>
            </w:r>
          </w:p>
        </w:tc>
        <w:tc>
          <w:tcPr>
            <w:tcW w:w="1088" w:type="dxa"/>
            <w:tcBorders>
              <w:top w:val="nil"/>
              <w:left w:val="nil"/>
              <w:bottom w:val="nil"/>
              <w:right w:val="nil"/>
            </w:tcBorders>
          </w:tcPr>
          <w:p>
            <w:pPr>
              <w:pStyle w:val="TableParagraph"/>
              <w:spacing w:before="26"/>
              <w:ind w:right="61"/>
              <w:rPr>
                <w:sz w:val="20"/>
              </w:rPr>
            </w:pPr>
            <w:r>
              <w:rPr>
                <w:sz w:val="20"/>
              </w:rPr>
              <w:t>0.04</w:t>
            </w:r>
          </w:p>
        </w:tc>
      </w:tr>
      <w:tr>
        <w:trPr>
          <w:trHeight w:val="300" w:hRule="exact"/>
        </w:trPr>
        <w:tc>
          <w:tcPr>
            <w:tcW w:w="1280" w:type="dxa"/>
            <w:tcBorders>
              <w:top w:val="nil"/>
              <w:left w:val="nil"/>
              <w:bottom w:val="nil"/>
              <w:right w:val="nil"/>
            </w:tcBorders>
          </w:tcPr>
          <w:p>
            <w:pPr>
              <w:pStyle w:val="TableParagraph"/>
              <w:ind w:left="72"/>
              <w:jc w:val="left"/>
              <w:rPr>
                <w:sz w:val="20"/>
              </w:rPr>
            </w:pPr>
            <w:r>
              <w:rPr>
                <w:sz w:val="20"/>
              </w:rPr>
              <w:t>28</w:t>
            </w:r>
          </w:p>
        </w:tc>
        <w:tc>
          <w:tcPr>
            <w:tcW w:w="1260" w:type="dxa"/>
            <w:tcBorders>
              <w:top w:val="nil"/>
              <w:left w:val="nil"/>
              <w:bottom w:val="nil"/>
              <w:right w:val="nil"/>
            </w:tcBorders>
          </w:tcPr>
          <w:p>
            <w:pPr>
              <w:pStyle w:val="TableParagraph"/>
              <w:ind w:right="199"/>
              <w:rPr>
                <w:sz w:val="20"/>
              </w:rPr>
            </w:pPr>
            <w:r>
              <w:rPr>
                <w:sz w:val="20"/>
              </w:rPr>
              <w:t>3.1</w:t>
            </w:r>
          </w:p>
        </w:tc>
        <w:tc>
          <w:tcPr>
            <w:tcW w:w="1184" w:type="dxa"/>
            <w:tcBorders>
              <w:top w:val="nil"/>
              <w:left w:val="nil"/>
              <w:bottom w:val="nil"/>
              <w:right w:val="nil"/>
            </w:tcBorders>
          </w:tcPr>
          <w:p>
            <w:pPr>
              <w:pStyle w:val="TableParagraph"/>
              <w:ind w:right="182"/>
              <w:rPr>
                <w:sz w:val="20"/>
              </w:rPr>
            </w:pPr>
            <w:r>
              <w:rPr>
                <w:sz w:val="20"/>
              </w:rPr>
              <w:t>0.5</w:t>
            </w:r>
          </w:p>
        </w:tc>
        <w:tc>
          <w:tcPr>
            <w:tcW w:w="1198" w:type="dxa"/>
            <w:tcBorders>
              <w:top w:val="nil"/>
              <w:left w:val="nil"/>
              <w:bottom w:val="nil"/>
              <w:right w:val="nil"/>
            </w:tcBorders>
          </w:tcPr>
          <w:p>
            <w:pPr>
              <w:pStyle w:val="TableParagraph"/>
              <w:ind w:right="180"/>
              <w:rPr>
                <w:sz w:val="20"/>
              </w:rPr>
            </w:pPr>
            <w:r>
              <w:rPr>
                <w:sz w:val="20"/>
              </w:rPr>
              <w:t>0.075</w:t>
            </w:r>
          </w:p>
        </w:tc>
        <w:tc>
          <w:tcPr>
            <w:tcW w:w="1193" w:type="dxa"/>
            <w:tcBorders>
              <w:top w:val="nil"/>
              <w:left w:val="nil"/>
              <w:bottom w:val="nil"/>
              <w:right w:val="nil"/>
            </w:tcBorders>
          </w:tcPr>
          <w:p>
            <w:pPr>
              <w:pStyle w:val="TableParagraph"/>
              <w:ind w:right="173"/>
              <w:rPr>
                <w:sz w:val="20"/>
              </w:rPr>
            </w:pPr>
            <w:r>
              <w:rPr>
                <w:sz w:val="20"/>
              </w:rPr>
              <w:t>1.207</w:t>
            </w:r>
          </w:p>
        </w:tc>
        <w:tc>
          <w:tcPr>
            <w:tcW w:w="1088" w:type="dxa"/>
            <w:tcBorders>
              <w:top w:val="nil"/>
              <w:left w:val="nil"/>
              <w:bottom w:val="nil"/>
              <w:right w:val="nil"/>
            </w:tcBorders>
          </w:tcPr>
          <w:p>
            <w:pPr>
              <w:pStyle w:val="TableParagraph"/>
              <w:ind w:right="61"/>
              <w:rPr>
                <w:sz w:val="20"/>
              </w:rPr>
            </w:pPr>
            <w:r>
              <w:rPr>
                <w:sz w:val="20"/>
              </w:rPr>
              <w:t>0.03</w:t>
            </w:r>
          </w:p>
        </w:tc>
      </w:tr>
      <w:tr>
        <w:trPr>
          <w:trHeight w:val="270" w:hRule="exact"/>
        </w:trPr>
        <w:tc>
          <w:tcPr>
            <w:tcW w:w="1280" w:type="dxa"/>
            <w:tcBorders>
              <w:top w:val="nil"/>
              <w:left w:val="nil"/>
              <w:right w:val="nil"/>
            </w:tcBorders>
          </w:tcPr>
          <w:p>
            <w:pPr>
              <w:pStyle w:val="TableParagraph"/>
              <w:spacing w:before="26"/>
              <w:ind w:left="72"/>
              <w:jc w:val="left"/>
              <w:rPr>
                <w:sz w:val="20"/>
              </w:rPr>
            </w:pPr>
            <w:r>
              <w:rPr>
                <w:sz w:val="20"/>
              </w:rPr>
              <w:t>29</w:t>
            </w:r>
          </w:p>
        </w:tc>
        <w:tc>
          <w:tcPr>
            <w:tcW w:w="1260" w:type="dxa"/>
            <w:tcBorders>
              <w:top w:val="nil"/>
              <w:left w:val="nil"/>
              <w:right w:val="nil"/>
            </w:tcBorders>
          </w:tcPr>
          <w:p>
            <w:pPr>
              <w:pStyle w:val="TableParagraph"/>
              <w:spacing w:before="26"/>
              <w:ind w:right="199"/>
              <w:rPr>
                <w:sz w:val="20"/>
              </w:rPr>
            </w:pPr>
            <w:r>
              <w:rPr>
                <w:sz w:val="20"/>
              </w:rPr>
              <w:t>11.5</w:t>
            </w:r>
          </w:p>
        </w:tc>
        <w:tc>
          <w:tcPr>
            <w:tcW w:w="1184" w:type="dxa"/>
            <w:tcBorders>
              <w:top w:val="nil"/>
              <w:left w:val="nil"/>
              <w:right w:val="nil"/>
            </w:tcBorders>
          </w:tcPr>
          <w:p>
            <w:pPr>
              <w:pStyle w:val="TableParagraph"/>
              <w:spacing w:before="26"/>
              <w:ind w:right="187"/>
              <w:rPr>
                <w:sz w:val="20"/>
              </w:rPr>
            </w:pPr>
            <w:r>
              <w:rPr>
                <w:w w:val="100"/>
                <w:sz w:val="20"/>
              </w:rPr>
              <w:t>1</w:t>
            </w:r>
          </w:p>
        </w:tc>
        <w:tc>
          <w:tcPr>
            <w:tcW w:w="1198" w:type="dxa"/>
            <w:tcBorders>
              <w:top w:val="nil"/>
              <w:left w:val="nil"/>
              <w:right w:val="nil"/>
            </w:tcBorders>
          </w:tcPr>
          <w:p>
            <w:pPr>
              <w:pStyle w:val="TableParagraph"/>
              <w:spacing w:before="26"/>
              <w:ind w:right="180"/>
              <w:rPr>
                <w:sz w:val="20"/>
              </w:rPr>
            </w:pPr>
            <w:r>
              <w:rPr>
                <w:sz w:val="20"/>
              </w:rPr>
              <w:t>0.064</w:t>
            </w:r>
          </w:p>
        </w:tc>
        <w:tc>
          <w:tcPr>
            <w:tcW w:w="1193" w:type="dxa"/>
            <w:tcBorders>
              <w:top w:val="nil"/>
              <w:left w:val="nil"/>
              <w:right w:val="nil"/>
            </w:tcBorders>
          </w:tcPr>
          <w:p>
            <w:pPr>
              <w:pStyle w:val="TableParagraph"/>
              <w:spacing w:before="26"/>
              <w:ind w:right="173"/>
              <w:rPr>
                <w:sz w:val="20"/>
              </w:rPr>
            </w:pPr>
            <w:r>
              <w:rPr>
                <w:sz w:val="20"/>
              </w:rPr>
              <w:t>2.261</w:t>
            </w:r>
          </w:p>
        </w:tc>
        <w:tc>
          <w:tcPr>
            <w:tcW w:w="1088" w:type="dxa"/>
            <w:tcBorders>
              <w:top w:val="nil"/>
              <w:left w:val="nil"/>
              <w:right w:val="nil"/>
            </w:tcBorders>
          </w:tcPr>
          <w:p>
            <w:pPr>
              <w:pStyle w:val="TableParagraph"/>
              <w:spacing w:before="26"/>
              <w:ind w:right="61"/>
              <w:rPr>
                <w:sz w:val="20"/>
              </w:rPr>
            </w:pPr>
            <w:r>
              <w:rPr>
                <w:sz w:val="20"/>
              </w:rPr>
              <w:t>0.06</w:t>
            </w:r>
          </w:p>
        </w:tc>
      </w:tr>
    </w:tbl>
    <w:p>
      <w:pPr>
        <w:spacing w:after="0"/>
        <w:rPr>
          <w:sz w:val="20"/>
        </w:rPr>
        <w:sectPr>
          <w:pgSz w:w="12240" w:h="15840"/>
          <w:pgMar w:header="0" w:footer="1473" w:top="1500" w:bottom="1660" w:left="1720" w:right="1300"/>
        </w:sectPr>
      </w:pPr>
    </w:p>
    <w:p>
      <w:pPr>
        <w:pStyle w:val="BodyText"/>
        <w:rPr>
          <w:b/>
          <w:sz w:val="20"/>
        </w:rPr>
      </w:pPr>
    </w:p>
    <w:p>
      <w:pPr>
        <w:pStyle w:val="BodyText"/>
        <w:spacing w:before="6"/>
        <w:rPr>
          <w:b/>
          <w:sz w:val="18"/>
        </w:rPr>
      </w:pPr>
    </w:p>
    <w:p>
      <w:pPr>
        <w:pStyle w:val="Heading1"/>
        <w:spacing w:before="66"/>
        <w:ind w:left="2104" w:right="118"/>
      </w:pPr>
      <w:bookmarkStart w:name="_bookmark168" w:id="227"/>
      <w:bookmarkEnd w:id="227"/>
      <w:r>
        <w:rPr>
          <w:b w:val="0"/>
        </w:rPr>
      </w:r>
      <w:r>
        <w:rPr/>
        <w:t>Tabla 31. Grupos hidrológicos usados por el SCS</w:t>
      </w:r>
    </w:p>
    <w:p>
      <w:pPr>
        <w:pStyle w:val="BodyText"/>
        <w:spacing w:before="1"/>
        <w:rPr>
          <w:b/>
          <w:sz w:val="18"/>
        </w:rPr>
      </w:pP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67"/>
        <w:gridCol w:w="7935"/>
      </w:tblGrid>
      <w:tr>
        <w:trPr>
          <w:trHeight w:val="562" w:hRule="exact"/>
        </w:trPr>
        <w:tc>
          <w:tcPr>
            <w:tcW w:w="1467" w:type="dxa"/>
            <w:tcBorders>
              <w:left w:val="nil"/>
              <w:right w:val="nil"/>
            </w:tcBorders>
          </w:tcPr>
          <w:p>
            <w:pPr>
              <w:pStyle w:val="TableParagraph"/>
              <w:spacing w:line="242" w:lineRule="auto" w:before="0"/>
              <w:ind w:left="470" w:right="179" w:hanging="183"/>
              <w:jc w:val="left"/>
              <w:rPr>
                <w:b/>
                <w:sz w:val="24"/>
              </w:rPr>
            </w:pPr>
            <w:r>
              <w:rPr>
                <w:b/>
                <w:sz w:val="24"/>
              </w:rPr>
              <w:t>Grupo de suelos</w:t>
            </w:r>
          </w:p>
        </w:tc>
        <w:tc>
          <w:tcPr>
            <w:tcW w:w="7935" w:type="dxa"/>
            <w:tcBorders>
              <w:left w:val="nil"/>
              <w:right w:val="nil"/>
            </w:tcBorders>
          </w:tcPr>
          <w:p>
            <w:pPr>
              <w:pStyle w:val="TableParagraph"/>
              <w:spacing w:line="273" w:lineRule="exact" w:before="0"/>
              <w:ind w:left="1842" w:right="31"/>
              <w:jc w:val="left"/>
              <w:rPr>
                <w:b/>
                <w:sz w:val="24"/>
              </w:rPr>
            </w:pPr>
            <w:r>
              <w:rPr>
                <w:b/>
                <w:sz w:val="24"/>
              </w:rPr>
              <w:t>Descripción de las características del suelo</w:t>
            </w:r>
          </w:p>
        </w:tc>
      </w:tr>
      <w:tr>
        <w:trPr>
          <w:trHeight w:val="839" w:hRule="exact"/>
        </w:trPr>
        <w:tc>
          <w:tcPr>
            <w:tcW w:w="1467" w:type="dxa"/>
            <w:tcBorders>
              <w:left w:val="nil"/>
              <w:bottom w:val="nil"/>
              <w:right w:val="nil"/>
            </w:tcBorders>
          </w:tcPr>
          <w:p>
            <w:pPr>
              <w:pStyle w:val="TableParagraph"/>
              <w:spacing w:line="268" w:lineRule="exact" w:before="0"/>
              <w:ind w:left="110"/>
              <w:jc w:val="left"/>
              <w:rPr>
                <w:sz w:val="24"/>
              </w:rPr>
            </w:pPr>
            <w:r>
              <w:rPr>
                <w:w w:val="99"/>
                <w:sz w:val="24"/>
              </w:rPr>
              <w:t>A</w:t>
            </w:r>
          </w:p>
        </w:tc>
        <w:tc>
          <w:tcPr>
            <w:tcW w:w="7935" w:type="dxa"/>
            <w:tcBorders>
              <w:left w:val="nil"/>
              <w:bottom w:val="nil"/>
              <w:right w:val="nil"/>
            </w:tcBorders>
          </w:tcPr>
          <w:p>
            <w:pPr>
              <w:pStyle w:val="TableParagraph"/>
              <w:spacing w:before="0"/>
              <w:ind w:left="199" w:right="109"/>
              <w:jc w:val="both"/>
              <w:rPr>
                <w:sz w:val="24"/>
              </w:rPr>
            </w:pPr>
            <w:r>
              <w:rPr>
                <w:sz w:val="24"/>
              </w:rPr>
              <w:t>Suelo con </w:t>
            </w:r>
            <w:r>
              <w:rPr>
                <w:spacing w:val="-3"/>
                <w:sz w:val="24"/>
              </w:rPr>
              <w:t>bajo </w:t>
            </w:r>
            <w:r>
              <w:rPr>
                <w:sz w:val="24"/>
              </w:rPr>
              <w:t>potencial de escurrimiento, incluye arenas profundas con muy poco </w:t>
            </w:r>
            <w:r>
              <w:rPr>
                <w:spacing w:val="-5"/>
                <w:sz w:val="24"/>
              </w:rPr>
              <w:t>limo </w:t>
            </w:r>
            <w:r>
              <w:rPr>
                <w:sz w:val="24"/>
              </w:rPr>
              <w:t>y arcilla; también suelo permeable con grava en el perfil. Infiltración básica 8-12 mm/h</w:t>
            </w:r>
          </w:p>
        </w:tc>
      </w:tr>
      <w:tr>
        <w:trPr>
          <w:trHeight w:val="1104" w:hRule="exact"/>
        </w:trPr>
        <w:tc>
          <w:tcPr>
            <w:tcW w:w="1467" w:type="dxa"/>
            <w:tcBorders>
              <w:top w:val="nil"/>
              <w:left w:val="nil"/>
              <w:bottom w:val="nil"/>
              <w:right w:val="nil"/>
            </w:tcBorders>
          </w:tcPr>
          <w:p>
            <w:pPr>
              <w:pStyle w:val="TableParagraph"/>
              <w:spacing w:line="264" w:lineRule="exact" w:before="0"/>
              <w:ind w:left="110"/>
              <w:jc w:val="left"/>
              <w:rPr>
                <w:sz w:val="24"/>
              </w:rPr>
            </w:pPr>
            <w:r>
              <w:rPr>
                <w:sz w:val="24"/>
              </w:rPr>
              <w:t>B</w:t>
            </w:r>
          </w:p>
        </w:tc>
        <w:tc>
          <w:tcPr>
            <w:tcW w:w="7935" w:type="dxa"/>
            <w:tcBorders>
              <w:top w:val="nil"/>
              <w:left w:val="nil"/>
              <w:bottom w:val="nil"/>
              <w:right w:val="nil"/>
            </w:tcBorders>
          </w:tcPr>
          <w:p>
            <w:pPr>
              <w:pStyle w:val="TableParagraph"/>
              <w:spacing w:before="0"/>
              <w:ind w:left="199" w:right="116"/>
              <w:jc w:val="both"/>
              <w:rPr>
                <w:sz w:val="24"/>
              </w:rPr>
            </w:pPr>
            <w:r>
              <w:rPr>
                <w:sz w:val="24"/>
              </w:rPr>
              <w:t>Suelos con moderadamente bajo potencial de escurrimiento. Son suelos arenosos menos profundos y más agregados que el grupo A. Este grupo tiene una infiltración mayor que el promedio cuando húmedo. Ejemplos: suelos migajones, arenosos ligeros y migajones limosos. Infiltración básica 4-8 mm/h</w:t>
            </w:r>
          </w:p>
        </w:tc>
      </w:tr>
      <w:tr>
        <w:trPr>
          <w:trHeight w:val="1105" w:hRule="exact"/>
        </w:trPr>
        <w:tc>
          <w:tcPr>
            <w:tcW w:w="1467" w:type="dxa"/>
            <w:tcBorders>
              <w:top w:val="nil"/>
              <w:left w:val="nil"/>
              <w:bottom w:val="nil"/>
              <w:right w:val="nil"/>
            </w:tcBorders>
          </w:tcPr>
          <w:p>
            <w:pPr>
              <w:pStyle w:val="TableParagraph"/>
              <w:spacing w:line="264" w:lineRule="exact" w:before="0"/>
              <w:ind w:left="110"/>
              <w:jc w:val="left"/>
              <w:rPr>
                <w:sz w:val="24"/>
              </w:rPr>
            </w:pPr>
            <w:r>
              <w:rPr>
                <w:sz w:val="24"/>
              </w:rPr>
              <w:t>C</w:t>
            </w:r>
          </w:p>
        </w:tc>
        <w:tc>
          <w:tcPr>
            <w:tcW w:w="7935" w:type="dxa"/>
            <w:tcBorders>
              <w:top w:val="nil"/>
              <w:left w:val="nil"/>
              <w:bottom w:val="nil"/>
              <w:right w:val="nil"/>
            </w:tcBorders>
          </w:tcPr>
          <w:p>
            <w:pPr>
              <w:pStyle w:val="TableParagraph"/>
              <w:spacing w:line="237" w:lineRule="auto" w:before="0"/>
              <w:ind w:left="199" w:right="31"/>
              <w:jc w:val="left"/>
              <w:rPr>
                <w:sz w:val="24"/>
              </w:rPr>
            </w:pPr>
            <w:r>
              <w:rPr>
                <w:sz w:val="24"/>
              </w:rPr>
              <w:t>Suelos con moderadamente alto potencial de escurrimiento. Comprende suelos someros</w:t>
            </w:r>
            <w:r>
              <w:rPr>
                <w:spacing w:val="-15"/>
                <w:sz w:val="24"/>
              </w:rPr>
              <w:t> </w:t>
            </w:r>
            <w:r>
              <w:rPr>
                <w:sz w:val="24"/>
              </w:rPr>
              <w:t>y</w:t>
            </w:r>
            <w:r>
              <w:rPr>
                <w:spacing w:val="-21"/>
                <w:sz w:val="24"/>
              </w:rPr>
              <w:t> </w:t>
            </w:r>
            <w:r>
              <w:rPr>
                <w:sz w:val="24"/>
              </w:rPr>
              <w:t>suelos</w:t>
            </w:r>
            <w:r>
              <w:rPr>
                <w:spacing w:val="-15"/>
                <w:sz w:val="24"/>
              </w:rPr>
              <w:t> </w:t>
            </w:r>
            <w:r>
              <w:rPr>
                <w:sz w:val="24"/>
              </w:rPr>
              <w:t>con</w:t>
            </w:r>
            <w:r>
              <w:rPr>
                <w:spacing w:val="-16"/>
                <w:sz w:val="24"/>
              </w:rPr>
              <w:t> </w:t>
            </w:r>
            <w:r>
              <w:rPr>
                <w:sz w:val="24"/>
              </w:rPr>
              <w:t>considerable</w:t>
            </w:r>
            <w:r>
              <w:rPr>
                <w:spacing w:val="-14"/>
                <w:sz w:val="24"/>
              </w:rPr>
              <w:t> </w:t>
            </w:r>
            <w:r>
              <w:rPr>
                <w:sz w:val="24"/>
              </w:rPr>
              <w:t>contenido</w:t>
            </w:r>
            <w:r>
              <w:rPr>
                <w:spacing w:val="-8"/>
                <w:sz w:val="24"/>
              </w:rPr>
              <w:t> </w:t>
            </w:r>
            <w:r>
              <w:rPr>
                <w:sz w:val="24"/>
              </w:rPr>
              <w:t>de</w:t>
            </w:r>
            <w:r>
              <w:rPr>
                <w:spacing w:val="-17"/>
                <w:sz w:val="24"/>
              </w:rPr>
              <w:t> </w:t>
            </w:r>
            <w:r>
              <w:rPr>
                <w:sz w:val="24"/>
              </w:rPr>
              <w:t>arcilla,</w:t>
            </w:r>
            <w:r>
              <w:rPr>
                <w:spacing w:val="-11"/>
                <w:sz w:val="24"/>
              </w:rPr>
              <w:t> </w:t>
            </w:r>
            <w:r>
              <w:rPr>
                <w:sz w:val="24"/>
              </w:rPr>
              <w:t>pero</w:t>
            </w:r>
            <w:r>
              <w:rPr>
                <w:spacing w:val="-13"/>
                <w:sz w:val="24"/>
              </w:rPr>
              <w:t> </w:t>
            </w:r>
            <w:r>
              <w:rPr>
                <w:sz w:val="24"/>
              </w:rPr>
              <w:t>menos</w:t>
            </w:r>
            <w:r>
              <w:rPr>
                <w:spacing w:val="-15"/>
                <w:sz w:val="24"/>
              </w:rPr>
              <w:t> </w:t>
            </w:r>
            <w:r>
              <w:rPr>
                <w:sz w:val="24"/>
              </w:rPr>
              <w:t>que</w:t>
            </w:r>
            <w:r>
              <w:rPr>
                <w:spacing w:val="-14"/>
                <w:sz w:val="24"/>
              </w:rPr>
              <w:t> </w:t>
            </w:r>
            <w:r>
              <w:rPr>
                <w:sz w:val="24"/>
              </w:rPr>
              <w:t>el</w:t>
            </w:r>
            <w:r>
              <w:rPr>
                <w:spacing w:val="-21"/>
                <w:sz w:val="24"/>
              </w:rPr>
              <w:t> </w:t>
            </w:r>
            <w:r>
              <w:rPr>
                <w:sz w:val="24"/>
              </w:rPr>
              <w:t>grupo</w:t>
            </w:r>
          </w:p>
          <w:p>
            <w:pPr>
              <w:pStyle w:val="TableParagraph"/>
              <w:spacing w:before="3"/>
              <w:ind w:left="199" w:right="31"/>
              <w:jc w:val="left"/>
              <w:rPr>
                <w:sz w:val="24"/>
              </w:rPr>
            </w:pPr>
            <w:r>
              <w:rPr>
                <w:sz w:val="24"/>
              </w:rPr>
              <w:t>D. Este grupo tiene una infiltración menor que la promedio después de saturación. Ejemplo: suelos migajones arcillosos. Infiltración básica 1-4 mm/h</w:t>
            </w:r>
          </w:p>
        </w:tc>
      </w:tr>
      <w:tr>
        <w:trPr>
          <w:trHeight w:val="811" w:hRule="exact"/>
        </w:trPr>
        <w:tc>
          <w:tcPr>
            <w:tcW w:w="1467" w:type="dxa"/>
            <w:tcBorders>
              <w:top w:val="nil"/>
              <w:left w:val="nil"/>
              <w:bottom w:val="nil"/>
              <w:right w:val="nil"/>
            </w:tcBorders>
          </w:tcPr>
          <w:p>
            <w:pPr>
              <w:pStyle w:val="TableParagraph"/>
              <w:spacing w:line="264" w:lineRule="exact" w:before="0"/>
              <w:ind w:left="110"/>
              <w:jc w:val="left"/>
              <w:rPr>
                <w:sz w:val="24"/>
              </w:rPr>
            </w:pPr>
            <w:r>
              <w:rPr>
                <w:w w:val="99"/>
                <w:sz w:val="24"/>
              </w:rPr>
              <w:t>D</w:t>
            </w:r>
          </w:p>
        </w:tc>
        <w:tc>
          <w:tcPr>
            <w:tcW w:w="7935" w:type="dxa"/>
            <w:tcBorders>
              <w:top w:val="nil"/>
              <w:left w:val="nil"/>
              <w:bottom w:val="nil"/>
              <w:right w:val="nil"/>
            </w:tcBorders>
          </w:tcPr>
          <w:p>
            <w:pPr>
              <w:pStyle w:val="TableParagraph"/>
              <w:spacing w:line="237" w:lineRule="auto" w:before="0"/>
              <w:ind w:left="199" w:right="31"/>
              <w:jc w:val="left"/>
              <w:rPr>
                <w:sz w:val="24"/>
              </w:rPr>
            </w:pPr>
            <w:r>
              <w:rPr>
                <w:sz w:val="24"/>
              </w:rPr>
              <w:t>Suelos con alto potencial de escurrimiento. Por ejemplo, suelos pesados, con alto  contenido   de  arcillas  expandibles  y  suelos  someros  con     materiales</w:t>
            </w:r>
          </w:p>
          <w:p>
            <w:pPr>
              <w:pStyle w:val="TableParagraph"/>
              <w:tabs>
                <w:tab w:pos="199" w:val="left" w:leader="none"/>
                <w:tab w:pos="7934" w:val="left" w:leader="none"/>
              </w:tabs>
              <w:spacing w:before="3"/>
              <w:ind w:left="-1482" w:right="-1"/>
              <w:jc w:val="left"/>
              <w:rPr>
                <w:sz w:val="24"/>
              </w:rPr>
            </w:pPr>
            <w:r>
              <w:rPr>
                <w:sz w:val="24"/>
                <w:u w:val="single"/>
              </w:rPr>
              <w:t> </w:t>
              <w:tab/>
              <w:t>fuertemente cementados. Infiltración básica menor 1</w:t>
            </w:r>
            <w:r>
              <w:rPr>
                <w:spacing w:val="-21"/>
                <w:sz w:val="24"/>
                <w:u w:val="single"/>
              </w:rPr>
              <w:t> </w:t>
            </w:r>
            <w:r>
              <w:rPr>
                <w:sz w:val="24"/>
                <w:u w:val="single"/>
              </w:rPr>
              <w:t>mm/h</w:t>
              <w:tab/>
            </w:r>
          </w:p>
        </w:tc>
      </w:tr>
    </w:tbl>
    <w:p>
      <w:pPr>
        <w:pStyle w:val="BodyText"/>
        <w:rPr>
          <w:b/>
          <w:sz w:val="20"/>
        </w:rPr>
      </w:pPr>
    </w:p>
    <w:p>
      <w:pPr>
        <w:pStyle w:val="BodyText"/>
        <w:rPr>
          <w:b/>
          <w:sz w:val="20"/>
        </w:rPr>
      </w:pPr>
    </w:p>
    <w:p>
      <w:pPr>
        <w:pStyle w:val="BodyText"/>
        <w:spacing w:before="11"/>
        <w:rPr>
          <w:b/>
          <w:sz w:val="20"/>
        </w:rPr>
      </w:pPr>
    </w:p>
    <w:p>
      <w:pPr>
        <w:spacing w:line="237" w:lineRule="auto" w:before="68"/>
        <w:ind w:left="154" w:right="157" w:firstLine="2"/>
        <w:jc w:val="center"/>
        <w:rPr>
          <w:b/>
          <w:sz w:val="26"/>
        </w:rPr>
      </w:pPr>
      <w:bookmarkStart w:name="_bookmark169" w:id="228"/>
      <w:bookmarkEnd w:id="228"/>
      <w:r>
        <w:rPr/>
      </w:r>
      <w:r>
        <w:rPr>
          <w:b/>
          <w:sz w:val="24"/>
        </w:rPr>
        <w:t>Tabla 32. </w:t>
      </w:r>
      <w:r>
        <w:rPr>
          <w:b/>
          <w:sz w:val="26"/>
        </w:rPr>
        <w:t>Curva numérica (CN) para estimar el escurrimeitno bajo diferentes complejos suelo – cobertura y manejo de condición (condición de humedad II, y Ia = 0.2S)</w:t>
      </w:r>
    </w:p>
    <w:p>
      <w:pPr>
        <w:pStyle w:val="BodyText"/>
        <w:spacing w:before="1"/>
        <w:rPr>
          <w:b/>
          <w:sz w:val="18"/>
        </w:rPr>
      </w:pP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86"/>
        <w:gridCol w:w="3335"/>
        <w:gridCol w:w="1857"/>
        <w:gridCol w:w="605"/>
        <w:gridCol w:w="557"/>
        <w:gridCol w:w="557"/>
        <w:gridCol w:w="605"/>
      </w:tblGrid>
      <w:tr>
        <w:trPr>
          <w:trHeight w:val="292" w:hRule="exact"/>
        </w:trPr>
        <w:tc>
          <w:tcPr>
            <w:tcW w:w="1886" w:type="dxa"/>
            <w:tcBorders>
              <w:left w:val="nil"/>
              <w:bottom w:val="nil"/>
              <w:right w:val="nil"/>
            </w:tcBorders>
          </w:tcPr>
          <w:p>
            <w:pPr/>
          </w:p>
        </w:tc>
        <w:tc>
          <w:tcPr>
            <w:tcW w:w="3335" w:type="dxa"/>
            <w:tcBorders>
              <w:left w:val="nil"/>
              <w:bottom w:val="nil"/>
              <w:right w:val="nil"/>
            </w:tcBorders>
          </w:tcPr>
          <w:p>
            <w:pPr>
              <w:pStyle w:val="TableParagraph"/>
              <w:spacing w:line="273" w:lineRule="exact" w:before="0"/>
              <w:ind w:left="427" w:right="391"/>
              <w:jc w:val="center"/>
              <w:rPr>
                <w:b/>
                <w:sz w:val="24"/>
              </w:rPr>
            </w:pPr>
            <w:r>
              <w:rPr>
                <w:b/>
                <w:sz w:val="24"/>
              </w:rPr>
              <w:t>Cobertura</w:t>
            </w:r>
          </w:p>
        </w:tc>
        <w:tc>
          <w:tcPr>
            <w:tcW w:w="1857" w:type="dxa"/>
            <w:tcBorders>
              <w:left w:val="nil"/>
              <w:bottom w:val="nil"/>
              <w:right w:val="nil"/>
            </w:tcBorders>
          </w:tcPr>
          <w:p>
            <w:pPr/>
          </w:p>
        </w:tc>
        <w:tc>
          <w:tcPr>
            <w:tcW w:w="2324" w:type="dxa"/>
            <w:gridSpan w:val="4"/>
            <w:tcBorders>
              <w:left w:val="nil"/>
              <w:bottom w:val="nil"/>
              <w:right w:val="nil"/>
            </w:tcBorders>
          </w:tcPr>
          <w:p>
            <w:pPr>
              <w:pStyle w:val="TableParagraph"/>
              <w:spacing w:line="273" w:lineRule="exact" w:before="0"/>
              <w:ind w:left="370"/>
              <w:jc w:val="left"/>
              <w:rPr>
                <w:b/>
                <w:sz w:val="24"/>
              </w:rPr>
            </w:pPr>
            <w:r>
              <w:rPr>
                <w:b/>
                <w:sz w:val="24"/>
              </w:rPr>
              <w:t>Grupo de suelos</w:t>
            </w:r>
          </w:p>
        </w:tc>
      </w:tr>
      <w:tr>
        <w:trPr>
          <w:trHeight w:val="549" w:hRule="exact"/>
        </w:trPr>
        <w:tc>
          <w:tcPr>
            <w:tcW w:w="1886" w:type="dxa"/>
            <w:tcBorders>
              <w:top w:val="nil"/>
              <w:left w:val="nil"/>
              <w:right w:val="nil"/>
            </w:tcBorders>
          </w:tcPr>
          <w:p>
            <w:pPr>
              <w:pStyle w:val="TableParagraph"/>
              <w:spacing w:line="264" w:lineRule="exact" w:before="0"/>
              <w:ind w:left="110"/>
              <w:jc w:val="left"/>
              <w:rPr>
                <w:b/>
                <w:sz w:val="24"/>
              </w:rPr>
            </w:pPr>
            <w:r>
              <w:rPr>
                <w:b/>
                <w:sz w:val="24"/>
              </w:rPr>
              <w:t>Uso del suelo</w:t>
            </w:r>
          </w:p>
        </w:tc>
        <w:tc>
          <w:tcPr>
            <w:tcW w:w="3335" w:type="dxa"/>
            <w:tcBorders>
              <w:top w:val="nil"/>
              <w:left w:val="nil"/>
              <w:right w:val="nil"/>
            </w:tcBorders>
          </w:tcPr>
          <w:p>
            <w:pPr>
              <w:pStyle w:val="TableParagraph"/>
              <w:spacing w:line="264" w:lineRule="exact" w:before="0"/>
              <w:ind w:left="427" w:right="494"/>
              <w:jc w:val="center"/>
              <w:rPr>
                <w:b/>
                <w:sz w:val="24"/>
              </w:rPr>
            </w:pPr>
            <w:r>
              <w:rPr>
                <w:b/>
                <w:sz w:val="24"/>
              </w:rPr>
              <w:t>Tratamiento o práctica</w:t>
            </w:r>
          </w:p>
        </w:tc>
        <w:tc>
          <w:tcPr>
            <w:tcW w:w="1857" w:type="dxa"/>
            <w:tcBorders>
              <w:top w:val="nil"/>
              <w:left w:val="nil"/>
              <w:right w:val="nil"/>
            </w:tcBorders>
          </w:tcPr>
          <w:p>
            <w:pPr>
              <w:pStyle w:val="TableParagraph"/>
              <w:spacing w:line="237" w:lineRule="auto" w:before="0"/>
              <w:ind w:left="517" w:firstLine="52"/>
              <w:jc w:val="left"/>
              <w:rPr>
                <w:b/>
                <w:sz w:val="24"/>
              </w:rPr>
            </w:pPr>
            <w:r>
              <w:rPr>
                <w:b/>
                <w:sz w:val="24"/>
              </w:rPr>
              <w:t>Condición hidrológica</w:t>
            </w:r>
          </w:p>
        </w:tc>
        <w:tc>
          <w:tcPr>
            <w:tcW w:w="605" w:type="dxa"/>
            <w:tcBorders>
              <w:top w:val="nil"/>
              <w:left w:val="nil"/>
              <w:right w:val="nil"/>
            </w:tcBorders>
          </w:tcPr>
          <w:p>
            <w:pPr>
              <w:pStyle w:val="TableParagraph"/>
              <w:spacing w:line="264" w:lineRule="exact" w:before="0"/>
              <w:ind w:left="182"/>
              <w:jc w:val="left"/>
              <w:rPr>
                <w:b/>
                <w:sz w:val="24"/>
              </w:rPr>
            </w:pPr>
            <w:r>
              <w:rPr>
                <w:b/>
                <w:w w:val="99"/>
                <w:sz w:val="24"/>
              </w:rPr>
              <w:t>A</w:t>
            </w:r>
          </w:p>
        </w:tc>
        <w:tc>
          <w:tcPr>
            <w:tcW w:w="557" w:type="dxa"/>
            <w:tcBorders>
              <w:top w:val="nil"/>
              <w:left w:val="nil"/>
              <w:right w:val="nil"/>
            </w:tcBorders>
          </w:tcPr>
          <w:p>
            <w:pPr>
              <w:pStyle w:val="TableParagraph"/>
              <w:spacing w:line="264" w:lineRule="exact" w:before="0"/>
              <w:ind w:left="134"/>
              <w:jc w:val="left"/>
              <w:rPr>
                <w:b/>
                <w:sz w:val="24"/>
              </w:rPr>
            </w:pPr>
            <w:r>
              <w:rPr>
                <w:b/>
                <w:sz w:val="24"/>
              </w:rPr>
              <w:t>B</w:t>
            </w:r>
          </w:p>
        </w:tc>
        <w:tc>
          <w:tcPr>
            <w:tcW w:w="557" w:type="dxa"/>
            <w:tcBorders>
              <w:top w:val="nil"/>
              <w:left w:val="nil"/>
              <w:right w:val="nil"/>
            </w:tcBorders>
          </w:tcPr>
          <w:p>
            <w:pPr>
              <w:pStyle w:val="TableParagraph"/>
              <w:spacing w:line="264" w:lineRule="exact" w:before="0"/>
              <w:ind w:left="134"/>
              <w:jc w:val="left"/>
              <w:rPr>
                <w:b/>
                <w:sz w:val="24"/>
              </w:rPr>
            </w:pPr>
            <w:r>
              <w:rPr>
                <w:b/>
                <w:w w:val="99"/>
                <w:sz w:val="24"/>
              </w:rPr>
              <w:t>C</w:t>
            </w:r>
          </w:p>
        </w:tc>
        <w:tc>
          <w:tcPr>
            <w:tcW w:w="605" w:type="dxa"/>
            <w:tcBorders>
              <w:top w:val="nil"/>
              <w:left w:val="nil"/>
              <w:right w:val="nil"/>
            </w:tcBorders>
          </w:tcPr>
          <w:p>
            <w:pPr>
              <w:pStyle w:val="TableParagraph"/>
              <w:spacing w:line="264" w:lineRule="exact" w:before="0"/>
              <w:ind w:left="134"/>
              <w:jc w:val="left"/>
              <w:rPr>
                <w:b/>
                <w:sz w:val="24"/>
              </w:rPr>
            </w:pPr>
            <w:r>
              <w:rPr>
                <w:b/>
                <w:w w:val="99"/>
                <w:sz w:val="24"/>
              </w:rPr>
              <w:t>D</w:t>
            </w:r>
          </w:p>
        </w:tc>
      </w:tr>
      <w:tr>
        <w:trPr>
          <w:trHeight w:val="700" w:hRule="exact"/>
        </w:trPr>
        <w:tc>
          <w:tcPr>
            <w:tcW w:w="1886" w:type="dxa"/>
            <w:tcBorders>
              <w:left w:val="nil"/>
              <w:bottom w:val="nil"/>
              <w:right w:val="nil"/>
            </w:tcBorders>
          </w:tcPr>
          <w:p>
            <w:pPr>
              <w:pStyle w:val="TableParagraph"/>
              <w:spacing w:line="242" w:lineRule="auto" w:before="0"/>
              <w:ind w:left="345" w:firstLine="14"/>
              <w:jc w:val="left"/>
              <w:rPr>
                <w:sz w:val="24"/>
              </w:rPr>
            </w:pPr>
            <w:r>
              <w:rPr>
                <w:sz w:val="24"/>
              </w:rPr>
              <w:t>Suelo en descanso</w:t>
            </w:r>
          </w:p>
        </w:tc>
        <w:tc>
          <w:tcPr>
            <w:tcW w:w="3335" w:type="dxa"/>
            <w:tcBorders>
              <w:left w:val="nil"/>
              <w:bottom w:val="nil"/>
              <w:right w:val="nil"/>
            </w:tcBorders>
          </w:tcPr>
          <w:p>
            <w:pPr>
              <w:pStyle w:val="TableParagraph"/>
              <w:spacing w:line="268" w:lineRule="exact" w:before="0"/>
              <w:ind w:left="427" w:right="487"/>
              <w:jc w:val="center"/>
              <w:rPr>
                <w:sz w:val="24"/>
              </w:rPr>
            </w:pPr>
            <w:r>
              <w:rPr>
                <w:sz w:val="24"/>
              </w:rPr>
              <w:t>Surcos rectos</w:t>
            </w:r>
          </w:p>
        </w:tc>
        <w:tc>
          <w:tcPr>
            <w:tcW w:w="1857" w:type="dxa"/>
            <w:tcBorders>
              <w:left w:val="nil"/>
              <w:bottom w:val="nil"/>
              <w:right w:val="nil"/>
            </w:tcBorders>
          </w:tcPr>
          <w:p>
            <w:pPr/>
          </w:p>
        </w:tc>
        <w:tc>
          <w:tcPr>
            <w:tcW w:w="605" w:type="dxa"/>
            <w:tcBorders>
              <w:left w:val="nil"/>
              <w:bottom w:val="nil"/>
              <w:right w:val="nil"/>
            </w:tcBorders>
          </w:tcPr>
          <w:p>
            <w:pPr>
              <w:pStyle w:val="TableParagraph"/>
              <w:spacing w:line="268" w:lineRule="exact" w:before="0"/>
              <w:ind w:left="230"/>
              <w:jc w:val="left"/>
              <w:rPr>
                <w:sz w:val="24"/>
              </w:rPr>
            </w:pPr>
            <w:r>
              <w:rPr>
                <w:sz w:val="24"/>
              </w:rPr>
              <w:t>77</w:t>
            </w:r>
          </w:p>
        </w:tc>
        <w:tc>
          <w:tcPr>
            <w:tcW w:w="557" w:type="dxa"/>
            <w:tcBorders>
              <w:left w:val="nil"/>
              <w:bottom w:val="nil"/>
              <w:right w:val="nil"/>
            </w:tcBorders>
          </w:tcPr>
          <w:p>
            <w:pPr>
              <w:pStyle w:val="TableParagraph"/>
              <w:spacing w:line="268" w:lineRule="exact" w:before="0"/>
              <w:ind w:left="182"/>
              <w:jc w:val="left"/>
              <w:rPr>
                <w:sz w:val="24"/>
              </w:rPr>
            </w:pPr>
            <w:r>
              <w:rPr>
                <w:sz w:val="24"/>
              </w:rPr>
              <w:t>86</w:t>
            </w:r>
          </w:p>
        </w:tc>
        <w:tc>
          <w:tcPr>
            <w:tcW w:w="557" w:type="dxa"/>
            <w:tcBorders>
              <w:left w:val="nil"/>
              <w:bottom w:val="nil"/>
              <w:right w:val="nil"/>
            </w:tcBorders>
          </w:tcPr>
          <w:p>
            <w:pPr>
              <w:pStyle w:val="TableParagraph"/>
              <w:spacing w:line="268" w:lineRule="exact" w:before="0"/>
              <w:ind w:left="182"/>
              <w:jc w:val="left"/>
              <w:rPr>
                <w:sz w:val="24"/>
              </w:rPr>
            </w:pPr>
            <w:r>
              <w:rPr>
                <w:sz w:val="24"/>
              </w:rPr>
              <w:t>91</w:t>
            </w:r>
          </w:p>
        </w:tc>
        <w:tc>
          <w:tcPr>
            <w:tcW w:w="605" w:type="dxa"/>
            <w:tcBorders>
              <w:left w:val="nil"/>
              <w:bottom w:val="nil"/>
              <w:right w:val="nil"/>
            </w:tcBorders>
          </w:tcPr>
          <w:p>
            <w:pPr>
              <w:pStyle w:val="TableParagraph"/>
              <w:spacing w:line="268" w:lineRule="exact" w:before="0"/>
              <w:ind w:left="191"/>
              <w:jc w:val="left"/>
              <w:rPr>
                <w:sz w:val="24"/>
              </w:rPr>
            </w:pPr>
            <w:r>
              <w:rPr>
                <w:sz w:val="24"/>
              </w:rPr>
              <w:t>94</w:t>
            </w:r>
          </w:p>
        </w:tc>
      </w:tr>
      <w:tr>
        <w:trPr>
          <w:trHeight w:val="1933" w:hRule="exact"/>
        </w:trPr>
        <w:tc>
          <w:tcPr>
            <w:tcW w:w="1886" w:type="dxa"/>
            <w:tcBorders>
              <w:top w:val="nil"/>
              <w:left w:val="nil"/>
              <w:bottom w:val="nil"/>
              <w:right w:val="nil"/>
            </w:tcBorders>
          </w:tcPr>
          <w:p>
            <w:pPr>
              <w:pStyle w:val="TableParagraph"/>
              <w:spacing w:line="242" w:lineRule="auto" w:before="122"/>
              <w:ind w:left="417" w:right="586" w:hanging="144"/>
              <w:jc w:val="left"/>
              <w:rPr>
                <w:sz w:val="24"/>
              </w:rPr>
            </w:pPr>
            <w:r>
              <w:rPr>
                <w:sz w:val="24"/>
              </w:rPr>
              <w:t>Cultivo de escarda</w:t>
            </w:r>
          </w:p>
        </w:tc>
        <w:tc>
          <w:tcPr>
            <w:tcW w:w="3335" w:type="dxa"/>
            <w:tcBorders>
              <w:top w:val="nil"/>
              <w:left w:val="nil"/>
              <w:bottom w:val="nil"/>
              <w:right w:val="nil"/>
            </w:tcBorders>
          </w:tcPr>
          <w:p>
            <w:pPr>
              <w:pStyle w:val="TableParagraph"/>
              <w:spacing w:before="122"/>
              <w:ind w:left="989" w:right="1050"/>
              <w:jc w:val="both"/>
              <w:rPr>
                <w:sz w:val="24"/>
              </w:rPr>
            </w:pPr>
            <w:r>
              <w:rPr>
                <w:sz w:val="24"/>
              </w:rPr>
              <w:t>Surcos rectos Surcos rectos Curva a nivel Curva a nivel</w:t>
            </w:r>
          </w:p>
          <w:p>
            <w:pPr>
              <w:pStyle w:val="TableParagraph"/>
              <w:spacing w:line="242" w:lineRule="auto" w:before="0"/>
              <w:ind w:left="524" w:right="574" w:firstLine="4"/>
              <w:jc w:val="left"/>
              <w:rPr>
                <w:sz w:val="24"/>
              </w:rPr>
            </w:pPr>
            <w:r>
              <w:rPr>
                <w:sz w:val="24"/>
              </w:rPr>
              <w:t>Terraza y curva a nivel Terraza y curva a nivel</w:t>
            </w:r>
          </w:p>
        </w:tc>
        <w:tc>
          <w:tcPr>
            <w:tcW w:w="1857" w:type="dxa"/>
            <w:tcBorders>
              <w:top w:val="nil"/>
              <w:left w:val="nil"/>
              <w:bottom w:val="nil"/>
              <w:right w:val="nil"/>
            </w:tcBorders>
          </w:tcPr>
          <w:p>
            <w:pPr>
              <w:pStyle w:val="TableParagraph"/>
              <w:spacing w:before="122"/>
              <w:ind w:left="790" w:right="453" w:firstLine="62"/>
              <w:jc w:val="both"/>
              <w:rPr>
                <w:sz w:val="24"/>
              </w:rPr>
            </w:pPr>
            <w:r>
              <w:rPr>
                <w:sz w:val="24"/>
              </w:rPr>
              <w:t>Mala Buena Mala Buena Mala Buena</w:t>
            </w:r>
          </w:p>
        </w:tc>
        <w:tc>
          <w:tcPr>
            <w:tcW w:w="605" w:type="dxa"/>
            <w:tcBorders>
              <w:top w:val="nil"/>
              <w:left w:val="nil"/>
              <w:bottom w:val="nil"/>
              <w:right w:val="nil"/>
            </w:tcBorders>
          </w:tcPr>
          <w:p>
            <w:pPr>
              <w:pStyle w:val="TableParagraph"/>
              <w:spacing w:before="122"/>
              <w:ind w:left="230"/>
              <w:jc w:val="left"/>
              <w:rPr>
                <w:sz w:val="24"/>
              </w:rPr>
            </w:pPr>
            <w:r>
              <w:rPr>
                <w:sz w:val="24"/>
              </w:rPr>
              <w:t>71</w:t>
            </w:r>
          </w:p>
          <w:p>
            <w:pPr>
              <w:pStyle w:val="TableParagraph"/>
              <w:spacing w:line="275" w:lineRule="exact" w:before="3"/>
              <w:ind w:left="230"/>
              <w:jc w:val="left"/>
              <w:rPr>
                <w:sz w:val="24"/>
              </w:rPr>
            </w:pPr>
            <w:r>
              <w:rPr>
                <w:sz w:val="24"/>
              </w:rPr>
              <w:t>67</w:t>
            </w:r>
          </w:p>
          <w:p>
            <w:pPr>
              <w:pStyle w:val="TableParagraph"/>
              <w:spacing w:line="275" w:lineRule="exact" w:before="0"/>
              <w:ind w:left="230"/>
              <w:jc w:val="left"/>
              <w:rPr>
                <w:sz w:val="24"/>
              </w:rPr>
            </w:pPr>
            <w:r>
              <w:rPr>
                <w:sz w:val="24"/>
              </w:rPr>
              <w:t>70</w:t>
            </w:r>
          </w:p>
          <w:p>
            <w:pPr>
              <w:pStyle w:val="TableParagraph"/>
              <w:spacing w:line="275" w:lineRule="exact" w:before="2"/>
              <w:ind w:left="230"/>
              <w:jc w:val="left"/>
              <w:rPr>
                <w:sz w:val="24"/>
              </w:rPr>
            </w:pPr>
            <w:r>
              <w:rPr>
                <w:sz w:val="24"/>
              </w:rPr>
              <w:t>65</w:t>
            </w:r>
          </w:p>
          <w:p>
            <w:pPr>
              <w:pStyle w:val="TableParagraph"/>
              <w:spacing w:line="275" w:lineRule="exact" w:before="0"/>
              <w:ind w:left="230"/>
              <w:jc w:val="left"/>
              <w:rPr>
                <w:sz w:val="24"/>
              </w:rPr>
            </w:pPr>
            <w:r>
              <w:rPr>
                <w:sz w:val="24"/>
              </w:rPr>
              <w:t>66</w:t>
            </w:r>
          </w:p>
          <w:p>
            <w:pPr>
              <w:pStyle w:val="TableParagraph"/>
              <w:spacing w:before="2"/>
              <w:ind w:left="230"/>
              <w:jc w:val="left"/>
              <w:rPr>
                <w:sz w:val="24"/>
              </w:rPr>
            </w:pPr>
            <w:r>
              <w:rPr>
                <w:sz w:val="24"/>
              </w:rPr>
              <w:t>62</w:t>
            </w:r>
          </w:p>
        </w:tc>
        <w:tc>
          <w:tcPr>
            <w:tcW w:w="557" w:type="dxa"/>
            <w:tcBorders>
              <w:top w:val="nil"/>
              <w:left w:val="nil"/>
              <w:bottom w:val="nil"/>
              <w:right w:val="nil"/>
            </w:tcBorders>
          </w:tcPr>
          <w:p>
            <w:pPr>
              <w:pStyle w:val="TableParagraph"/>
              <w:spacing w:before="122"/>
              <w:ind w:left="182"/>
              <w:jc w:val="left"/>
              <w:rPr>
                <w:sz w:val="24"/>
              </w:rPr>
            </w:pPr>
            <w:r>
              <w:rPr>
                <w:sz w:val="24"/>
              </w:rPr>
              <w:t>81</w:t>
            </w:r>
          </w:p>
          <w:p>
            <w:pPr>
              <w:pStyle w:val="TableParagraph"/>
              <w:spacing w:line="275" w:lineRule="exact" w:before="3"/>
              <w:ind w:left="182"/>
              <w:jc w:val="left"/>
              <w:rPr>
                <w:sz w:val="24"/>
              </w:rPr>
            </w:pPr>
            <w:r>
              <w:rPr>
                <w:sz w:val="24"/>
              </w:rPr>
              <w:t>78</w:t>
            </w:r>
          </w:p>
          <w:p>
            <w:pPr>
              <w:pStyle w:val="TableParagraph"/>
              <w:spacing w:line="275" w:lineRule="exact" w:before="0"/>
              <w:ind w:left="182"/>
              <w:jc w:val="left"/>
              <w:rPr>
                <w:sz w:val="24"/>
              </w:rPr>
            </w:pPr>
            <w:r>
              <w:rPr>
                <w:sz w:val="24"/>
              </w:rPr>
              <w:t>79</w:t>
            </w:r>
          </w:p>
          <w:p>
            <w:pPr>
              <w:pStyle w:val="TableParagraph"/>
              <w:spacing w:line="275" w:lineRule="exact" w:before="2"/>
              <w:ind w:left="182"/>
              <w:jc w:val="left"/>
              <w:rPr>
                <w:sz w:val="24"/>
              </w:rPr>
            </w:pPr>
            <w:r>
              <w:rPr>
                <w:sz w:val="24"/>
              </w:rPr>
              <w:t>75</w:t>
            </w:r>
          </w:p>
          <w:p>
            <w:pPr>
              <w:pStyle w:val="TableParagraph"/>
              <w:spacing w:line="275" w:lineRule="exact" w:before="0"/>
              <w:ind w:left="182"/>
              <w:jc w:val="left"/>
              <w:rPr>
                <w:sz w:val="24"/>
              </w:rPr>
            </w:pPr>
            <w:r>
              <w:rPr>
                <w:sz w:val="24"/>
              </w:rPr>
              <w:t>74</w:t>
            </w:r>
          </w:p>
          <w:p>
            <w:pPr>
              <w:pStyle w:val="TableParagraph"/>
              <w:spacing w:before="2"/>
              <w:ind w:left="182"/>
              <w:jc w:val="left"/>
              <w:rPr>
                <w:sz w:val="24"/>
              </w:rPr>
            </w:pPr>
            <w:r>
              <w:rPr>
                <w:sz w:val="24"/>
              </w:rPr>
              <w:t>71</w:t>
            </w:r>
          </w:p>
        </w:tc>
        <w:tc>
          <w:tcPr>
            <w:tcW w:w="557" w:type="dxa"/>
            <w:tcBorders>
              <w:top w:val="nil"/>
              <w:left w:val="nil"/>
              <w:bottom w:val="nil"/>
              <w:right w:val="nil"/>
            </w:tcBorders>
          </w:tcPr>
          <w:p>
            <w:pPr>
              <w:pStyle w:val="TableParagraph"/>
              <w:spacing w:before="122"/>
              <w:ind w:left="182"/>
              <w:jc w:val="left"/>
              <w:rPr>
                <w:sz w:val="24"/>
              </w:rPr>
            </w:pPr>
            <w:r>
              <w:rPr>
                <w:sz w:val="24"/>
              </w:rPr>
              <w:t>88</w:t>
            </w:r>
          </w:p>
          <w:p>
            <w:pPr>
              <w:pStyle w:val="TableParagraph"/>
              <w:spacing w:line="275" w:lineRule="exact" w:before="3"/>
              <w:ind w:left="182"/>
              <w:jc w:val="left"/>
              <w:rPr>
                <w:sz w:val="24"/>
              </w:rPr>
            </w:pPr>
            <w:r>
              <w:rPr>
                <w:sz w:val="24"/>
              </w:rPr>
              <w:t>85</w:t>
            </w:r>
          </w:p>
          <w:p>
            <w:pPr>
              <w:pStyle w:val="TableParagraph"/>
              <w:spacing w:line="275" w:lineRule="exact" w:before="0"/>
              <w:ind w:left="182"/>
              <w:jc w:val="left"/>
              <w:rPr>
                <w:sz w:val="24"/>
              </w:rPr>
            </w:pPr>
            <w:r>
              <w:rPr>
                <w:sz w:val="24"/>
              </w:rPr>
              <w:t>84</w:t>
            </w:r>
          </w:p>
          <w:p>
            <w:pPr>
              <w:pStyle w:val="TableParagraph"/>
              <w:spacing w:line="275" w:lineRule="exact" w:before="2"/>
              <w:ind w:left="182"/>
              <w:jc w:val="left"/>
              <w:rPr>
                <w:sz w:val="24"/>
              </w:rPr>
            </w:pPr>
            <w:r>
              <w:rPr>
                <w:sz w:val="24"/>
              </w:rPr>
              <w:t>82</w:t>
            </w:r>
          </w:p>
          <w:p>
            <w:pPr>
              <w:pStyle w:val="TableParagraph"/>
              <w:spacing w:line="275" w:lineRule="exact" w:before="0"/>
              <w:ind w:left="182"/>
              <w:jc w:val="left"/>
              <w:rPr>
                <w:sz w:val="24"/>
              </w:rPr>
            </w:pPr>
            <w:r>
              <w:rPr>
                <w:sz w:val="24"/>
              </w:rPr>
              <w:t>80</w:t>
            </w:r>
          </w:p>
          <w:p>
            <w:pPr>
              <w:pStyle w:val="TableParagraph"/>
              <w:spacing w:before="2"/>
              <w:ind w:left="182"/>
              <w:jc w:val="left"/>
              <w:rPr>
                <w:sz w:val="24"/>
              </w:rPr>
            </w:pPr>
            <w:r>
              <w:rPr>
                <w:sz w:val="24"/>
              </w:rPr>
              <w:t>78</w:t>
            </w:r>
          </w:p>
        </w:tc>
        <w:tc>
          <w:tcPr>
            <w:tcW w:w="605" w:type="dxa"/>
            <w:tcBorders>
              <w:top w:val="nil"/>
              <w:left w:val="nil"/>
              <w:bottom w:val="nil"/>
              <w:right w:val="nil"/>
            </w:tcBorders>
          </w:tcPr>
          <w:p>
            <w:pPr>
              <w:pStyle w:val="TableParagraph"/>
              <w:spacing w:before="122"/>
              <w:ind w:left="191"/>
              <w:jc w:val="left"/>
              <w:rPr>
                <w:sz w:val="24"/>
              </w:rPr>
            </w:pPr>
            <w:r>
              <w:rPr>
                <w:sz w:val="24"/>
              </w:rPr>
              <w:t>91</w:t>
            </w:r>
          </w:p>
          <w:p>
            <w:pPr>
              <w:pStyle w:val="TableParagraph"/>
              <w:spacing w:line="275" w:lineRule="exact" w:before="3"/>
              <w:ind w:left="191"/>
              <w:jc w:val="left"/>
              <w:rPr>
                <w:sz w:val="24"/>
              </w:rPr>
            </w:pPr>
            <w:r>
              <w:rPr>
                <w:sz w:val="24"/>
              </w:rPr>
              <w:t>89</w:t>
            </w:r>
          </w:p>
          <w:p>
            <w:pPr>
              <w:pStyle w:val="TableParagraph"/>
              <w:spacing w:line="275" w:lineRule="exact" w:before="0"/>
              <w:ind w:left="191"/>
              <w:jc w:val="left"/>
              <w:rPr>
                <w:sz w:val="24"/>
              </w:rPr>
            </w:pPr>
            <w:r>
              <w:rPr>
                <w:sz w:val="24"/>
              </w:rPr>
              <w:t>88</w:t>
            </w:r>
          </w:p>
          <w:p>
            <w:pPr>
              <w:pStyle w:val="TableParagraph"/>
              <w:spacing w:line="275" w:lineRule="exact" w:before="2"/>
              <w:ind w:left="191"/>
              <w:jc w:val="left"/>
              <w:rPr>
                <w:sz w:val="24"/>
              </w:rPr>
            </w:pPr>
            <w:r>
              <w:rPr>
                <w:sz w:val="24"/>
              </w:rPr>
              <w:t>86</w:t>
            </w:r>
          </w:p>
          <w:p>
            <w:pPr>
              <w:pStyle w:val="TableParagraph"/>
              <w:spacing w:line="275" w:lineRule="exact" w:before="0"/>
              <w:ind w:left="191"/>
              <w:jc w:val="left"/>
              <w:rPr>
                <w:sz w:val="24"/>
              </w:rPr>
            </w:pPr>
            <w:r>
              <w:rPr>
                <w:sz w:val="24"/>
              </w:rPr>
              <w:t>82</w:t>
            </w:r>
          </w:p>
          <w:p>
            <w:pPr>
              <w:pStyle w:val="TableParagraph"/>
              <w:spacing w:before="2"/>
              <w:ind w:left="191"/>
              <w:jc w:val="left"/>
              <w:rPr>
                <w:sz w:val="24"/>
              </w:rPr>
            </w:pPr>
            <w:r>
              <w:rPr>
                <w:sz w:val="24"/>
              </w:rPr>
              <w:t>81</w:t>
            </w:r>
          </w:p>
        </w:tc>
      </w:tr>
      <w:tr>
        <w:trPr>
          <w:trHeight w:val="1774" w:hRule="exact"/>
        </w:trPr>
        <w:tc>
          <w:tcPr>
            <w:tcW w:w="1886" w:type="dxa"/>
            <w:tcBorders>
              <w:top w:val="nil"/>
              <w:left w:val="nil"/>
              <w:bottom w:val="nil"/>
              <w:right w:val="nil"/>
            </w:tcBorders>
          </w:tcPr>
          <w:p>
            <w:pPr>
              <w:pStyle w:val="TableParagraph"/>
              <w:spacing w:line="274" w:lineRule="exact" w:before="130"/>
              <w:ind w:left="422" w:right="683" w:hanging="53"/>
              <w:jc w:val="left"/>
              <w:rPr>
                <w:sz w:val="24"/>
              </w:rPr>
            </w:pPr>
            <w:r>
              <w:rPr>
                <w:sz w:val="24"/>
              </w:rPr>
              <w:t>Cultivos tupidos</w:t>
            </w:r>
          </w:p>
        </w:tc>
        <w:tc>
          <w:tcPr>
            <w:tcW w:w="3335" w:type="dxa"/>
            <w:tcBorders>
              <w:top w:val="nil"/>
              <w:left w:val="nil"/>
              <w:bottom w:val="nil"/>
              <w:right w:val="nil"/>
            </w:tcBorders>
          </w:tcPr>
          <w:p>
            <w:pPr>
              <w:pStyle w:val="TableParagraph"/>
              <w:spacing w:before="125"/>
              <w:ind w:left="989" w:right="1050"/>
              <w:jc w:val="both"/>
              <w:rPr>
                <w:sz w:val="24"/>
              </w:rPr>
            </w:pPr>
            <w:r>
              <w:rPr>
                <w:sz w:val="24"/>
              </w:rPr>
              <w:t>Surcos rectos Surcos rectos Curva a nivel Curva a nivel</w:t>
            </w:r>
          </w:p>
          <w:p>
            <w:pPr>
              <w:pStyle w:val="TableParagraph"/>
              <w:spacing w:line="274" w:lineRule="exact" w:before="7"/>
              <w:ind w:left="524" w:right="574" w:firstLine="4"/>
              <w:jc w:val="left"/>
              <w:rPr>
                <w:sz w:val="24"/>
              </w:rPr>
            </w:pPr>
            <w:r>
              <w:rPr>
                <w:sz w:val="24"/>
              </w:rPr>
              <w:t>Terraza y curva a nivel Terraza y curva a nivel</w:t>
            </w:r>
          </w:p>
        </w:tc>
        <w:tc>
          <w:tcPr>
            <w:tcW w:w="1857" w:type="dxa"/>
            <w:tcBorders>
              <w:top w:val="nil"/>
              <w:left w:val="nil"/>
              <w:bottom w:val="nil"/>
              <w:right w:val="nil"/>
            </w:tcBorders>
          </w:tcPr>
          <w:p>
            <w:pPr>
              <w:pStyle w:val="TableParagraph"/>
              <w:spacing w:before="125"/>
              <w:ind w:left="790" w:right="453" w:firstLine="62"/>
              <w:jc w:val="both"/>
              <w:rPr>
                <w:sz w:val="24"/>
              </w:rPr>
            </w:pPr>
            <w:r>
              <w:rPr>
                <w:sz w:val="24"/>
              </w:rPr>
              <w:t>Mala Buena Mala Buena Mala Buena</w:t>
            </w:r>
          </w:p>
        </w:tc>
        <w:tc>
          <w:tcPr>
            <w:tcW w:w="605" w:type="dxa"/>
            <w:tcBorders>
              <w:top w:val="nil"/>
              <w:left w:val="nil"/>
              <w:bottom w:val="nil"/>
              <w:right w:val="nil"/>
            </w:tcBorders>
          </w:tcPr>
          <w:p>
            <w:pPr>
              <w:pStyle w:val="TableParagraph"/>
              <w:spacing w:line="275" w:lineRule="exact" w:before="125"/>
              <w:ind w:left="230"/>
              <w:jc w:val="left"/>
              <w:rPr>
                <w:sz w:val="24"/>
              </w:rPr>
            </w:pPr>
            <w:r>
              <w:rPr>
                <w:sz w:val="24"/>
              </w:rPr>
              <w:t>65</w:t>
            </w:r>
          </w:p>
          <w:p>
            <w:pPr>
              <w:pStyle w:val="TableParagraph"/>
              <w:spacing w:line="275" w:lineRule="exact" w:before="0"/>
              <w:ind w:left="230"/>
              <w:jc w:val="left"/>
              <w:rPr>
                <w:sz w:val="24"/>
              </w:rPr>
            </w:pPr>
            <w:r>
              <w:rPr>
                <w:sz w:val="24"/>
              </w:rPr>
              <w:t>63</w:t>
            </w:r>
          </w:p>
          <w:p>
            <w:pPr>
              <w:pStyle w:val="TableParagraph"/>
              <w:spacing w:line="275" w:lineRule="exact" w:before="2"/>
              <w:ind w:left="230"/>
              <w:jc w:val="left"/>
              <w:rPr>
                <w:sz w:val="24"/>
              </w:rPr>
            </w:pPr>
            <w:r>
              <w:rPr>
                <w:sz w:val="24"/>
              </w:rPr>
              <w:t>63</w:t>
            </w:r>
          </w:p>
          <w:p>
            <w:pPr>
              <w:pStyle w:val="TableParagraph"/>
              <w:spacing w:line="275" w:lineRule="exact" w:before="0"/>
              <w:ind w:left="230"/>
              <w:jc w:val="left"/>
              <w:rPr>
                <w:sz w:val="24"/>
              </w:rPr>
            </w:pPr>
            <w:r>
              <w:rPr>
                <w:sz w:val="24"/>
              </w:rPr>
              <w:t>61</w:t>
            </w:r>
          </w:p>
          <w:p>
            <w:pPr>
              <w:pStyle w:val="TableParagraph"/>
              <w:spacing w:line="275" w:lineRule="exact" w:before="2"/>
              <w:ind w:left="230"/>
              <w:jc w:val="left"/>
              <w:rPr>
                <w:sz w:val="24"/>
              </w:rPr>
            </w:pPr>
            <w:r>
              <w:rPr>
                <w:sz w:val="24"/>
              </w:rPr>
              <w:t>61</w:t>
            </w:r>
          </w:p>
          <w:p>
            <w:pPr>
              <w:pStyle w:val="TableParagraph"/>
              <w:spacing w:line="275" w:lineRule="exact" w:before="0"/>
              <w:ind w:left="230"/>
              <w:jc w:val="left"/>
              <w:rPr>
                <w:sz w:val="24"/>
              </w:rPr>
            </w:pPr>
            <w:r>
              <w:rPr>
                <w:sz w:val="24"/>
              </w:rPr>
              <w:t>59</w:t>
            </w:r>
          </w:p>
        </w:tc>
        <w:tc>
          <w:tcPr>
            <w:tcW w:w="557" w:type="dxa"/>
            <w:tcBorders>
              <w:top w:val="nil"/>
              <w:left w:val="nil"/>
              <w:bottom w:val="nil"/>
              <w:right w:val="nil"/>
            </w:tcBorders>
          </w:tcPr>
          <w:p>
            <w:pPr>
              <w:pStyle w:val="TableParagraph"/>
              <w:spacing w:line="275" w:lineRule="exact" w:before="125"/>
              <w:ind w:left="182"/>
              <w:jc w:val="left"/>
              <w:rPr>
                <w:sz w:val="24"/>
              </w:rPr>
            </w:pPr>
            <w:r>
              <w:rPr>
                <w:sz w:val="24"/>
              </w:rPr>
              <w:t>76</w:t>
            </w:r>
          </w:p>
          <w:p>
            <w:pPr>
              <w:pStyle w:val="TableParagraph"/>
              <w:spacing w:line="275" w:lineRule="exact" w:before="0"/>
              <w:ind w:left="182"/>
              <w:jc w:val="left"/>
              <w:rPr>
                <w:sz w:val="24"/>
              </w:rPr>
            </w:pPr>
            <w:r>
              <w:rPr>
                <w:sz w:val="24"/>
              </w:rPr>
              <w:t>75</w:t>
            </w:r>
          </w:p>
          <w:p>
            <w:pPr>
              <w:pStyle w:val="TableParagraph"/>
              <w:spacing w:line="275" w:lineRule="exact" w:before="2"/>
              <w:ind w:left="182"/>
              <w:jc w:val="left"/>
              <w:rPr>
                <w:sz w:val="24"/>
              </w:rPr>
            </w:pPr>
            <w:r>
              <w:rPr>
                <w:sz w:val="24"/>
              </w:rPr>
              <w:t>74</w:t>
            </w:r>
          </w:p>
          <w:p>
            <w:pPr>
              <w:pStyle w:val="TableParagraph"/>
              <w:spacing w:line="275" w:lineRule="exact" w:before="0"/>
              <w:ind w:left="182"/>
              <w:jc w:val="left"/>
              <w:rPr>
                <w:sz w:val="24"/>
              </w:rPr>
            </w:pPr>
            <w:r>
              <w:rPr>
                <w:sz w:val="24"/>
              </w:rPr>
              <w:t>73</w:t>
            </w:r>
          </w:p>
          <w:p>
            <w:pPr>
              <w:pStyle w:val="TableParagraph"/>
              <w:spacing w:line="275" w:lineRule="exact" w:before="2"/>
              <w:ind w:left="182"/>
              <w:jc w:val="left"/>
              <w:rPr>
                <w:sz w:val="24"/>
              </w:rPr>
            </w:pPr>
            <w:r>
              <w:rPr>
                <w:sz w:val="24"/>
              </w:rPr>
              <w:t>72</w:t>
            </w:r>
          </w:p>
          <w:p>
            <w:pPr>
              <w:pStyle w:val="TableParagraph"/>
              <w:spacing w:line="275" w:lineRule="exact" w:before="0"/>
              <w:ind w:left="182"/>
              <w:jc w:val="left"/>
              <w:rPr>
                <w:sz w:val="24"/>
              </w:rPr>
            </w:pPr>
            <w:r>
              <w:rPr>
                <w:sz w:val="24"/>
              </w:rPr>
              <w:t>70</w:t>
            </w:r>
          </w:p>
        </w:tc>
        <w:tc>
          <w:tcPr>
            <w:tcW w:w="557" w:type="dxa"/>
            <w:tcBorders>
              <w:top w:val="nil"/>
              <w:left w:val="nil"/>
              <w:bottom w:val="nil"/>
              <w:right w:val="nil"/>
            </w:tcBorders>
          </w:tcPr>
          <w:p>
            <w:pPr>
              <w:pStyle w:val="TableParagraph"/>
              <w:spacing w:line="275" w:lineRule="exact" w:before="125"/>
              <w:ind w:left="182"/>
              <w:jc w:val="left"/>
              <w:rPr>
                <w:sz w:val="24"/>
              </w:rPr>
            </w:pPr>
            <w:r>
              <w:rPr>
                <w:sz w:val="24"/>
              </w:rPr>
              <w:t>84</w:t>
            </w:r>
          </w:p>
          <w:p>
            <w:pPr>
              <w:pStyle w:val="TableParagraph"/>
              <w:spacing w:line="275" w:lineRule="exact" w:before="0"/>
              <w:ind w:left="182"/>
              <w:jc w:val="left"/>
              <w:rPr>
                <w:sz w:val="24"/>
              </w:rPr>
            </w:pPr>
            <w:r>
              <w:rPr>
                <w:sz w:val="24"/>
              </w:rPr>
              <w:t>83</w:t>
            </w:r>
          </w:p>
          <w:p>
            <w:pPr>
              <w:pStyle w:val="TableParagraph"/>
              <w:spacing w:line="275" w:lineRule="exact" w:before="2"/>
              <w:ind w:left="182"/>
              <w:jc w:val="left"/>
              <w:rPr>
                <w:sz w:val="24"/>
              </w:rPr>
            </w:pPr>
            <w:r>
              <w:rPr>
                <w:sz w:val="24"/>
              </w:rPr>
              <w:t>82</w:t>
            </w:r>
          </w:p>
          <w:p>
            <w:pPr>
              <w:pStyle w:val="TableParagraph"/>
              <w:spacing w:line="275" w:lineRule="exact" w:before="0"/>
              <w:ind w:left="182"/>
              <w:jc w:val="left"/>
              <w:rPr>
                <w:sz w:val="24"/>
              </w:rPr>
            </w:pPr>
            <w:r>
              <w:rPr>
                <w:sz w:val="24"/>
              </w:rPr>
              <w:t>81</w:t>
            </w:r>
          </w:p>
          <w:p>
            <w:pPr>
              <w:pStyle w:val="TableParagraph"/>
              <w:spacing w:line="275" w:lineRule="exact" w:before="2"/>
              <w:ind w:left="182"/>
              <w:jc w:val="left"/>
              <w:rPr>
                <w:sz w:val="24"/>
              </w:rPr>
            </w:pPr>
            <w:r>
              <w:rPr>
                <w:sz w:val="24"/>
              </w:rPr>
              <w:t>79</w:t>
            </w:r>
          </w:p>
          <w:p>
            <w:pPr>
              <w:pStyle w:val="TableParagraph"/>
              <w:spacing w:line="275" w:lineRule="exact" w:before="0"/>
              <w:ind w:left="182"/>
              <w:jc w:val="left"/>
              <w:rPr>
                <w:sz w:val="24"/>
              </w:rPr>
            </w:pPr>
            <w:r>
              <w:rPr>
                <w:sz w:val="24"/>
              </w:rPr>
              <w:t>78</w:t>
            </w:r>
          </w:p>
        </w:tc>
        <w:tc>
          <w:tcPr>
            <w:tcW w:w="605" w:type="dxa"/>
            <w:tcBorders>
              <w:top w:val="nil"/>
              <w:left w:val="nil"/>
              <w:bottom w:val="nil"/>
              <w:right w:val="nil"/>
            </w:tcBorders>
          </w:tcPr>
          <w:p>
            <w:pPr>
              <w:pStyle w:val="TableParagraph"/>
              <w:spacing w:line="275" w:lineRule="exact" w:before="125"/>
              <w:ind w:left="191"/>
              <w:jc w:val="left"/>
              <w:rPr>
                <w:sz w:val="24"/>
              </w:rPr>
            </w:pPr>
            <w:r>
              <w:rPr>
                <w:sz w:val="24"/>
              </w:rPr>
              <w:t>88</w:t>
            </w:r>
          </w:p>
          <w:p>
            <w:pPr>
              <w:pStyle w:val="TableParagraph"/>
              <w:spacing w:line="275" w:lineRule="exact" w:before="0"/>
              <w:ind w:left="191"/>
              <w:jc w:val="left"/>
              <w:rPr>
                <w:sz w:val="24"/>
              </w:rPr>
            </w:pPr>
            <w:r>
              <w:rPr>
                <w:sz w:val="24"/>
              </w:rPr>
              <w:t>87</w:t>
            </w:r>
          </w:p>
          <w:p>
            <w:pPr>
              <w:pStyle w:val="TableParagraph"/>
              <w:spacing w:line="275" w:lineRule="exact" w:before="2"/>
              <w:ind w:left="191"/>
              <w:jc w:val="left"/>
              <w:rPr>
                <w:sz w:val="24"/>
              </w:rPr>
            </w:pPr>
            <w:r>
              <w:rPr>
                <w:sz w:val="24"/>
              </w:rPr>
              <w:t>85</w:t>
            </w:r>
          </w:p>
          <w:p>
            <w:pPr>
              <w:pStyle w:val="TableParagraph"/>
              <w:spacing w:line="275" w:lineRule="exact" w:before="0"/>
              <w:ind w:left="191"/>
              <w:jc w:val="left"/>
              <w:rPr>
                <w:sz w:val="24"/>
              </w:rPr>
            </w:pPr>
            <w:r>
              <w:rPr>
                <w:sz w:val="24"/>
              </w:rPr>
              <w:t>84</w:t>
            </w:r>
          </w:p>
          <w:p>
            <w:pPr>
              <w:pStyle w:val="TableParagraph"/>
              <w:spacing w:line="275" w:lineRule="exact" w:before="2"/>
              <w:ind w:left="191"/>
              <w:jc w:val="left"/>
              <w:rPr>
                <w:sz w:val="24"/>
              </w:rPr>
            </w:pPr>
            <w:r>
              <w:rPr>
                <w:sz w:val="24"/>
              </w:rPr>
              <w:t>82</w:t>
            </w:r>
          </w:p>
          <w:p>
            <w:pPr>
              <w:pStyle w:val="TableParagraph"/>
              <w:spacing w:line="275" w:lineRule="exact" w:before="0"/>
              <w:ind w:left="191"/>
              <w:jc w:val="left"/>
              <w:rPr>
                <w:sz w:val="24"/>
              </w:rPr>
            </w:pPr>
            <w:r>
              <w:rPr>
                <w:sz w:val="24"/>
              </w:rPr>
              <w:t>81</w:t>
            </w:r>
          </w:p>
        </w:tc>
      </w:tr>
    </w:tbl>
    <w:p>
      <w:pPr>
        <w:spacing w:after="0" w:line="275" w:lineRule="exact"/>
        <w:jc w:val="left"/>
        <w:rPr>
          <w:sz w:val="24"/>
        </w:rPr>
        <w:sectPr>
          <w:footerReference w:type="default" r:id="rId206"/>
          <w:pgSz w:w="12240" w:h="15840"/>
          <w:pgMar w:footer="1473" w:header="0" w:top="1500" w:bottom="1660" w:left="1300" w:right="1300"/>
        </w:sectPr>
      </w:pPr>
    </w:p>
    <w:p>
      <w:pPr>
        <w:pStyle w:val="BodyText"/>
        <w:spacing w:before="6"/>
        <w:rPr>
          <w:b/>
          <w:sz w:val="10"/>
        </w:rPr>
      </w:pPr>
    </w:p>
    <w:p>
      <w:pPr>
        <w:pStyle w:val="BodyText"/>
        <w:spacing w:before="66" w:after="6"/>
        <w:ind w:left="116" w:right="118"/>
      </w:pPr>
      <w:r>
        <w:rPr/>
        <w:t>Continuación Tabla 33.</w:t>
      </w: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68"/>
        <w:gridCol w:w="3369"/>
        <w:gridCol w:w="1840"/>
        <w:gridCol w:w="605"/>
        <w:gridCol w:w="557"/>
        <w:gridCol w:w="557"/>
        <w:gridCol w:w="605"/>
      </w:tblGrid>
      <w:tr>
        <w:trPr>
          <w:trHeight w:val="292" w:hRule="exact"/>
        </w:trPr>
        <w:tc>
          <w:tcPr>
            <w:tcW w:w="1868" w:type="dxa"/>
            <w:tcBorders>
              <w:left w:val="nil"/>
              <w:bottom w:val="nil"/>
              <w:right w:val="nil"/>
            </w:tcBorders>
          </w:tcPr>
          <w:p>
            <w:pPr/>
          </w:p>
        </w:tc>
        <w:tc>
          <w:tcPr>
            <w:tcW w:w="3369" w:type="dxa"/>
            <w:tcBorders>
              <w:left w:val="nil"/>
              <w:bottom w:val="nil"/>
              <w:right w:val="nil"/>
            </w:tcBorders>
          </w:tcPr>
          <w:p>
            <w:pPr>
              <w:pStyle w:val="TableParagraph"/>
              <w:spacing w:line="273" w:lineRule="exact" w:before="0"/>
              <w:ind w:left="400" w:right="362"/>
              <w:jc w:val="center"/>
              <w:rPr>
                <w:b/>
                <w:sz w:val="24"/>
              </w:rPr>
            </w:pPr>
            <w:r>
              <w:rPr>
                <w:b/>
                <w:sz w:val="24"/>
              </w:rPr>
              <w:t>Cobertura</w:t>
            </w:r>
          </w:p>
        </w:tc>
        <w:tc>
          <w:tcPr>
            <w:tcW w:w="1840" w:type="dxa"/>
            <w:tcBorders>
              <w:left w:val="nil"/>
              <w:bottom w:val="nil"/>
              <w:right w:val="nil"/>
            </w:tcBorders>
          </w:tcPr>
          <w:p>
            <w:pPr/>
          </w:p>
        </w:tc>
        <w:tc>
          <w:tcPr>
            <w:tcW w:w="2324" w:type="dxa"/>
            <w:gridSpan w:val="4"/>
            <w:tcBorders>
              <w:left w:val="nil"/>
              <w:bottom w:val="nil"/>
              <w:right w:val="nil"/>
            </w:tcBorders>
          </w:tcPr>
          <w:p>
            <w:pPr>
              <w:pStyle w:val="TableParagraph"/>
              <w:spacing w:line="273" w:lineRule="exact" w:before="0"/>
              <w:ind w:left="370"/>
              <w:jc w:val="left"/>
              <w:rPr>
                <w:b/>
                <w:sz w:val="24"/>
              </w:rPr>
            </w:pPr>
            <w:r>
              <w:rPr>
                <w:b/>
                <w:sz w:val="24"/>
              </w:rPr>
              <w:t>Grupo de suelos</w:t>
            </w:r>
          </w:p>
        </w:tc>
      </w:tr>
      <w:tr>
        <w:trPr>
          <w:trHeight w:val="549" w:hRule="exact"/>
        </w:trPr>
        <w:tc>
          <w:tcPr>
            <w:tcW w:w="1868" w:type="dxa"/>
            <w:tcBorders>
              <w:top w:val="nil"/>
              <w:left w:val="nil"/>
              <w:right w:val="nil"/>
            </w:tcBorders>
          </w:tcPr>
          <w:p>
            <w:pPr>
              <w:pStyle w:val="TableParagraph"/>
              <w:spacing w:line="265" w:lineRule="exact" w:before="0"/>
              <w:ind w:left="88" w:right="405"/>
              <w:jc w:val="center"/>
              <w:rPr>
                <w:b/>
                <w:sz w:val="24"/>
              </w:rPr>
            </w:pPr>
            <w:r>
              <w:rPr>
                <w:b/>
                <w:sz w:val="24"/>
              </w:rPr>
              <w:t>Uso del suelo</w:t>
            </w:r>
          </w:p>
        </w:tc>
        <w:tc>
          <w:tcPr>
            <w:tcW w:w="3369" w:type="dxa"/>
            <w:tcBorders>
              <w:top w:val="nil"/>
              <w:left w:val="nil"/>
              <w:right w:val="nil"/>
            </w:tcBorders>
          </w:tcPr>
          <w:p>
            <w:pPr>
              <w:pStyle w:val="TableParagraph"/>
              <w:spacing w:line="265" w:lineRule="exact" w:before="0"/>
              <w:ind w:left="400" w:right="466"/>
              <w:jc w:val="center"/>
              <w:rPr>
                <w:b/>
                <w:sz w:val="24"/>
              </w:rPr>
            </w:pPr>
            <w:r>
              <w:rPr>
                <w:b/>
                <w:sz w:val="24"/>
              </w:rPr>
              <w:t>Tratamiento o práctica</w:t>
            </w:r>
          </w:p>
        </w:tc>
        <w:tc>
          <w:tcPr>
            <w:tcW w:w="1840" w:type="dxa"/>
            <w:tcBorders>
              <w:top w:val="nil"/>
              <w:left w:val="nil"/>
              <w:right w:val="nil"/>
            </w:tcBorders>
          </w:tcPr>
          <w:p>
            <w:pPr>
              <w:pStyle w:val="TableParagraph"/>
              <w:spacing w:line="237" w:lineRule="auto" w:before="0"/>
              <w:ind w:left="501" w:firstLine="52"/>
              <w:jc w:val="left"/>
              <w:rPr>
                <w:b/>
                <w:sz w:val="24"/>
              </w:rPr>
            </w:pPr>
            <w:r>
              <w:rPr>
                <w:b/>
                <w:sz w:val="24"/>
              </w:rPr>
              <w:t>Condición hidrológica</w:t>
            </w:r>
          </w:p>
        </w:tc>
        <w:tc>
          <w:tcPr>
            <w:tcW w:w="605" w:type="dxa"/>
            <w:tcBorders>
              <w:top w:val="nil"/>
              <w:left w:val="nil"/>
              <w:right w:val="nil"/>
            </w:tcBorders>
          </w:tcPr>
          <w:p>
            <w:pPr>
              <w:pStyle w:val="TableParagraph"/>
              <w:spacing w:line="265" w:lineRule="exact" w:before="0"/>
              <w:ind w:left="182"/>
              <w:jc w:val="left"/>
              <w:rPr>
                <w:b/>
                <w:sz w:val="24"/>
              </w:rPr>
            </w:pPr>
            <w:r>
              <w:rPr>
                <w:b/>
                <w:w w:val="99"/>
                <w:sz w:val="24"/>
              </w:rPr>
              <w:t>A</w:t>
            </w:r>
          </w:p>
        </w:tc>
        <w:tc>
          <w:tcPr>
            <w:tcW w:w="557" w:type="dxa"/>
            <w:tcBorders>
              <w:top w:val="nil"/>
              <w:left w:val="nil"/>
              <w:right w:val="nil"/>
            </w:tcBorders>
          </w:tcPr>
          <w:p>
            <w:pPr>
              <w:pStyle w:val="TableParagraph"/>
              <w:spacing w:line="265" w:lineRule="exact" w:before="0"/>
              <w:ind w:left="134"/>
              <w:jc w:val="left"/>
              <w:rPr>
                <w:b/>
                <w:sz w:val="24"/>
              </w:rPr>
            </w:pPr>
            <w:r>
              <w:rPr>
                <w:b/>
                <w:sz w:val="24"/>
              </w:rPr>
              <w:t>B</w:t>
            </w:r>
          </w:p>
        </w:tc>
        <w:tc>
          <w:tcPr>
            <w:tcW w:w="557" w:type="dxa"/>
            <w:tcBorders>
              <w:top w:val="nil"/>
              <w:left w:val="nil"/>
              <w:right w:val="nil"/>
            </w:tcBorders>
          </w:tcPr>
          <w:p>
            <w:pPr>
              <w:pStyle w:val="TableParagraph"/>
              <w:spacing w:line="265" w:lineRule="exact" w:before="0"/>
              <w:ind w:left="134"/>
              <w:jc w:val="left"/>
              <w:rPr>
                <w:b/>
                <w:sz w:val="24"/>
              </w:rPr>
            </w:pPr>
            <w:r>
              <w:rPr>
                <w:b/>
                <w:w w:val="99"/>
                <w:sz w:val="24"/>
              </w:rPr>
              <w:t>C</w:t>
            </w:r>
          </w:p>
        </w:tc>
        <w:tc>
          <w:tcPr>
            <w:tcW w:w="605" w:type="dxa"/>
            <w:tcBorders>
              <w:top w:val="nil"/>
              <w:left w:val="nil"/>
              <w:right w:val="nil"/>
            </w:tcBorders>
          </w:tcPr>
          <w:p>
            <w:pPr>
              <w:pStyle w:val="TableParagraph"/>
              <w:spacing w:line="265" w:lineRule="exact" w:before="0"/>
              <w:ind w:left="134"/>
              <w:jc w:val="left"/>
              <w:rPr>
                <w:b/>
                <w:sz w:val="24"/>
              </w:rPr>
            </w:pPr>
            <w:r>
              <w:rPr>
                <w:b/>
                <w:w w:val="99"/>
                <w:sz w:val="24"/>
              </w:rPr>
              <w:t>D</w:t>
            </w:r>
          </w:p>
        </w:tc>
      </w:tr>
      <w:tr>
        <w:trPr>
          <w:trHeight w:val="1802" w:hRule="exact"/>
        </w:trPr>
        <w:tc>
          <w:tcPr>
            <w:tcW w:w="1868" w:type="dxa"/>
            <w:tcBorders>
              <w:left w:val="nil"/>
              <w:bottom w:val="nil"/>
              <w:right w:val="nil"/>
            </w:tcBorders>
          </w:tcPr>
          <w:p>
            <w:pPr>
              <w:pStyle w:val="TableParagraph"/>
              <w:spacing w:before="0"/>
              <w:ind w:left="88" w:right="397"/>
              <w:jc w:val="center"/>
              <w:rPr>
                <w:sz w:val="24"/>
              </w:rPr>
            </w:pPr>
            <w:r>
              <w:rPr>
                <w:sz w:val="24"/>
              </w:rPr>
              <w:t>Leguminosas en hilera o forraje en rotación</w:t>
            </w:r>
          </w:p>
        </w:tc>
        <w:tc>
          <w:tcPr>
            <w:tcW w:w="3369" w:type="dxa"/>
            <w:tcBorders>
              <w:left w:val="nil"/>
              <w:bottom w:val="nil"/>
              <w:right w:val="nil"/>
            </w:tcBorders>
          </w:tcPr>
          <w:p>
            <w:pPr>
              <w:pStyle w:val="TableParagraph"/>
              <w:spacing w:before="0"/>
              <w:ind w:left="1007" w:right="1066"/>
              <w:jc w:val="both"/>
              <w:rPr>
                <w:sz w:val="24"/>
              </w:rPr>
            </w:pPr>
            <w:r>
              <w:rPr>
                <w:sz w:val="24"/>
              </w:rPr>
              <w:t>Surcos rectos Surcos rectos Curva a nivel Curva a nivel</w:t>
            </w:r>
          </w:p>
          <w:p>
            <w:pPr>
              <w:pStyle w:val="TableParagraph"/>
              <w:spacing w:line="274" w:lineRule="exact" w:before="7"/>
              <w:ind w:left="542" w:right="590" w:firstLine="4"/>
              <w:jc w:val="left"/>
              <w:rPr>
                <w:sz w:val="24"/>
              </w:rPr>
            </w:pPr>
            <w:r>
              <w:rPr>
                <w:sz w:val="24"/>
              </w:rPr>
              <w:t>Terraza y curva a nivel Terraza y curva a nivel</w:t>
            </w:r>
          </w:p>
        </w:tc>
        <w:tc>
          <w:tcPr>
            <w:tcW w:w="1840" w:type="dxa"/>
            <w:tcBorders>
              <w:left w:val="nil"/>
              <w:bottom w:val="nil"/>
              <w:right w:val="nil"/>
            </w:tcBorders>
          </w:tcPr>
          <w:p>
            <w:pPr>
              <w:pStyle w:val="TableParagraph"/>
              <w:spacing w:before="0"/>
              <w:ind w:left="774" w:right="453" w:firstLine="62"/>
              <w:jc w:val="both"/>
              <w:rPr>
                <w:sz w:val="24"/>
              </w:rPr>
            </w:pPr>
            <w:r>
              <w:rPr>
                <w:sz w:val="24"/>
              </w:rPr>
              <w:t>Mala Buena Mala Buena Mala Buena</w:t>
            </w:r>
          </w:p>
        </w:tc>
        <w:tc>
          <w:tcPr>
            <w:tcW w:w="605" w:type="dxa"/>
            <w:tcBorders>
              <w:left w:val="nil"/>
              <w:bottom w:val="nil"/>
              <w:right w:val="nil"/>
            </w:tcBorders>
          </w:tcPr>
          <w:p>
            <w:pPr>
              <w:pStyle w:val="TableParagraph"/>
              <w:spacing w:line="267" w:lineRule="exact" w:before="0"/>
              <w:ind w:left="230"/>
              <w:jc w:val="left"/>
              <w:rPr>
                <w:sz w:val="24"/>
              </w:rPr>
            </w:pPr>
            <w:r>
              <w:rPr>
                <w:sz w:val="24"/>
              </w:rPr>
              <w:t>66</w:t>
            </w:r>
          </w:p>
          <w:p>
            <w:pPr>
              <w:pStyle w:val="TableParagraph"/>
              <w:spacing w:line="275" w:lineRule="exact" w:before="0"/>
              <w:ind w:left="230"/>
              <w:jc w:val="left"/>
              <w:rPr>
                <w:sz w:val="24"/>
              </w:rPr>
            </w:pPr>
            <w:r>
              <w:rPr>
                <w:sz w:val="24"/>
              </w:rPr>
              <w:t>58</w:t>
            </w:r>
          </w:p>
          <w:p>
            <w:pPr>
              <w:pStyle w:val="TableParagraph"/>
              <w:spacing w:line="275" w:lineRule="exact" w:before="2"/>
              <w:ind w:left="230"/>
              <w:jc w:val="left"/>
              <w:rPr>
                <w:sz w:val="24"/>
              </w:rPr>
            </w:pPr>
            <w:r>
              <w:rPr>
                <w:sz w:val="24"/>
              </w:rPr>
              <w:t>64</w:t>
            </w:r>
          </w:p>
          <w:p>
            <w:pPr>
              <w:pStyle w:val="TableParagraph"/>
              <w:spacing w:line="275" w:lineRule="exact" w:before="0"/>
              <w:ind w:left="230"/>
              <w:jc w:val="left"/>
              <w:rPr>
                <w:sz w:val="24"/>
              </w:rPr>
            </w:pPr>
            <w:r>
              <w:rPr>
                <w:sz w:val="24"/>
              </w:rPr>
              <w:t>55</w:t>
            </w:r>
          </w:p>
          <w:p>
            <w:pPr>
              <w:pStyle w:val="TableParagraph"/>
              <w:spacing w:line="275" w:lineRule="exact" w:before="3"/>
              <w:ind w:left="230"/>
              <w:jc w:val="left"/>
              <w:rPr>
                <w:sz w:val="24"/>
              </w:rPr>
            </w:pPr>
            <w:r>
              <w:rPr>
                <w:sz w:val="24"/>
              </w:rPr>
              <w:t>63</w:t>
            </w:r>
          </w:p>
          <w:p>
            <w:pPr>
              <w:pStyle w:val="TableParagraph"/>
              <w:spacing w:line="275" w:lineRule="exact" w:before="0"/>
              <w:ind w:left="230"/>
              <w:jc w:val="left"/>
              <w:rPr>
                <w:sz w:val="24"/>
              </w:rPr>
            </w:pPr>
            <w:r>
              <w:rPr>
                <w:sz w:val="24"/>
              </w:rPr>
              <w:t>51</w:t>
            </w:r>
          </w:p>
        </w:tc>
        <w:tc>
          <w:tcPr>
            <w:tcW w:w="557" w:type="dxa"/>
            <w:tcBorders>
              <w:left w:val="nil"/>
              <w:bottom w:val="nil"/>
              <w:right w:val="nil"/>
            </w:tcBorders>
          </w:tcPr>
          <w:p>
            <w:pPr>
              <w:pStyle w:val="TableParagraph"/>
              <w:spacing w:line="267" w:lineRule="exact" w:before="0"/>
              <w:ind w:left="182"/>
              <w:jc w:val="left"/>
              <w:rPr>
                <w:sz w:val="24"/>
              </w:rPr>
            </w:pPr>
            <w:r>
              <w:rPr>
                <w:sz w:val="24"/>
              </w:rPr>
              <w:t>77</w:t>
            </w:r>
          </w:p>
          <w:p>
            <w:pPr>
              <w:pStyle w:val="TableParagraph"/>
              <w:spacing w:line="275" w:lineRule="exact" w:before="0"/>
              <w:ind w:left="182"/>
              <w:jc w:val="left"/>
              <w:rPr>
                <w:sz w:val="24"/>
              </w:rPr>
            </w:pPr>
            <w:r>
              <w:rPr>
                <w:sz w:val="24"/>
              </w:rPr>
              <w:t>72</w:t>
            </w:r>
          </w:p>
          <w:p>
            <w:pPr>
              <w:pStyle w:val="TableParagraph"/>
              <w:spacing w:line="275" w:lineRule="exact" w:before="2"/>
              <w:ind w:left="182"/>
              <w:jc w:val="left"/>
              <w:rPr>
                <w:sz w:val="24"/>
              </w:rPr>
            </w:pPr>
            <w:r>
              <w:rPr>
                <w:sz w:val="24"/>
              </w:rPr>
              <w:t>75</w:t>
            </w:r>
          </w:p>
          <w:p>
            <w:pPr>
              <w:pStyle w:val="TableParagraph"/>
              <w:spacing w:line="275" w:lineRule="exact" w:before="0"/>
              <w:ind w:left="182"/>
              <w:jc w:val="left"/>
              <w:rPr>
                <w:sz w:val="24"/>
              </w:rPr>
            </w:pPr>
            <w:r>
              <w:rPr>
                <w:sz w:val="24"/>
              </w:rPr>
              <w:t>69</w:t>
            </w:r>
          </w:p>
          <w:p>
            <w:pPr>
              <w:pStyle w:val="TableParagraph"/>
              <w:spacing w:line="275" w:lineRule="exact" w:before="3"/>
              <w:ind w:left="182"/>
              <w:jc w:val="left"/>
              <w:rPr>
                <w:sz w:val="24"/>
              </w:rPr>
            </w:pPr>
            <w:r>
              <w:rPr>
                <w:sz w:val="24"/>
              </w:rPr>
              <w:t>73</w:t>
            </w:r>
          </w:p>
          <w:p>
            <w:pPr>
              <w:pStyle w:val="TableParagraph"/>
              <w:spacing w:line="275" w:lineRule="exact" w:before="0"/>
              <w:ind w:left="182"/>
              <w:jc w:val="left"/>
              <w:rPr>
                <w:sz w:val="24"/>
              </w:rPr>
            </w:pPr>
            <w:r>
              <w:rPr>
                <w:sz w:val="24"/>
              </w:rPr>
              <w:t>67</w:t>
            </w:r>
          </w:p>
        </w:tc>
        <w:tc>
          <w:tcPr>
            <w:tcW w:w="557" w:type="dxa"/>
            <w:tcBorders>
              <w:left w:val="nil"/>
              <w:bottom w:val="nil"/>
              <w:right w:val="nil"/>
            </w:tcBorders>
          </w:tcPr>
          <w:p>
            <w:pPr>
              <w:pStyle w:val="TableParagraph"/>
              <w:spacing w:line="267" w:lineRule="exact" w:before="0"/>
              <w:ind w:left="182"/>
              <w:jc w:val="left"/>
              <w:rPr>
                <w:sz w:val="24"/>
              </w:rPr>
            </w:pPr>
            <w:r>
              <w:rPr>
                <w:sz w:val="24"/>
              </w:rPr>
              <w:t>85</w:t>
            </w:r>
          </w:p>
          <w:p>
            <w:pPr>
              <w:pStyle w:val="TableParagraph"/>
              <w:spacing w:line="275" w:lineRule="exact" w:before="0"/>
              <w:ind w:left="182"/>
              <w:jc w:val="left"/>
              <w:rPr>
                <w:sz w:val="24"/>
              </w:rPr>
            </w:pPr>
            <w:r>
              <w:rPr>
                <w:sz w:val="24"/>
              </w:rPr>
              <w:t>81</w:t>
            </w:r>
          </w:p>
          <w:p>
            <w:pPr>
              <w:pStyle w:val="TableParagraph"/>
              <w:spacing w:line="275" w:lineRule="exact" w:before="2"/>
              <w:ind w:left="182"/>
              <w:jc w:val="left"/>
              <w:rPr>
                <w:sz w:val="24"/>
              </w:rPr>
            </w:pPr>
            <w:r>
              <w:rPr>
                <w:sz w:val="24"/>
              </w:rPr>
              <w:t>83</w:t>
            </w:r>
          </w:p>
          <w:p>
            <w:pPr>
              <w:pStyle w:val="TableParagraph"/>
              <w:spacing w:line="275" w:lineRule="exact" w:before="0"/>
              <w:ind w:left="182"/>
              <w:jc w:val="left"/>
              <w:rPr>
                <w:sz w:val="24"/>
              </w:rPr>
            </w:pPr>
            <w:r>
              <w:rPr>
                <w:sz w:val="24"/>
              </w:rPr>
              <w:t>78</w:t>
            </w:r>
          </w:p>
          <w:p>
            <w:pPr>
              <w:pStyle w:val="TableParagraph"/>
              <w:spacing w:line="275" w:lineRule="exact" w:before="3"/>
              <w:ind w:left="182"/>
              <w:jc w:val="left"/>
              <w:rPr>
                <w:sz w:val="24"/>
              </w:rPr>
            </w:pPr>
            <w:r>
              <w:rPr>
                <w:sz w:val="24"/>
              </w:rPr>
              <w:t>80</w:t>
            </w:r>
          </w:p>
          <w:p>
            <w:pPr>
              <w:pStyle w:val="TableParagraph"/>
              <w:spacing w:line="275" w:lineRule="exact" w:before="0"/>
              <w:ind w:left="182"/>
              <w:jc w:val="left"/>
              <w:rPr>
                <w:sz w:val="24"/>
              </w:rPr>
            </w:pPr>
            <w:r>
              <w:rPr>
                <w:sz w:val="24"/>
              </w:rPr>
              <w:t>76</w:t>
            </w:r>
          </w:p>
        </w:tc>
        <w:tc>
          <w:tcPr>
            <w:tcW w:w="605" w:type="dxa"/>
            <w:tcBorders>
              <w:left w:val="nil"/>
              <w:bottom w:val="nil"/>
              <w:right w:val="nil"/>
            </w:tcBorders>
          </w:tcPr>
          <w:p>
            <w:pPr>
              <w:pStyle w:val="TableParagraph"/>
              <w:spacing w:line="267" w:lineRule="exact" w:before="0"/>
              <w:ind w:left="191"/>
              <w:jc w:val="left"/>
              <w:rPr>
                <w:sz w:val="24"/>
              </w:rPr>
            </w:pPr>
            <w:r>
              <w:rPr>
                <w:sz w:val="24"/>
              </w:rPr>
              <w:t>85</w:t>
            </w:r>
          </w:p>
          <w:p>
            <w:pPr>
              <w:pStyle w:val="TableParagraph"/>
              <w:spacing w:line="275" w:lineRule="exact" w:before="0"/>
              <w:ind w:left="191"/>
              <w:jc w:val="left"/>
              <w:rPr>
                <w:sz w:val="24"/>
              </w:rPr>
            </w:pPr>
            <w:r>
              <w:rPr>
                <w:sz w:val="24"/>
              </w:rPr>
              <w:t>85</w:t>
            </w:r>
          </w:p>
          <w:p>
            <w:pPr>
              <w:pStyle w:val="TableParagraph"/>
              <w:spacing w:line="275" w:lineRule="exact" w:before="2"/>
              <w:ind w:left="191"/>
              <w:jc w:val="left"/>
              <w:rPr>
                <w:sz w:val="24"/>
              </w:rPr>
            </w:pPr>
            <w:r>
              <w:rPr>
                <w:sz w:val="24"/>
              </w:rPr>
              <w:t>85</w:t>
            </w:r>
          </w:p>
          <w:p>
            <w:pPr>
              <w:pStyle w:val="TableParagraph"/>
              <w:spacing w:line="275" w:lineRule="exact" w:before="0"/>
              <w:ind w:left="191"/>
              <w:jc w:val="left"/>
              <w:rPr>
                <w:sz w:val="24"/>
              </w:rPr>
            </w:pPr>
            <w:r>
              <w:rPr>
                <w:sz w:val="24"/>
              </w:rPr>
              <w:t>83</w:t>
            </w:r>
          </w:p>
          <w:p>
            <w:pPr>
              <w:pStyle w:val="TableParagraph"/>
              <w:spacing w:line="275" w:lineRule="exact" w:before="3"/>
              <w:ind w:left="191"/>
              <w:jc w:val="left"/>
              <w:rPr>
                <w:sz w:val="24"/>
              </w:rPr>
            </w:pPr>
            <w:r>
              <w:rPr>
                <w:sz w:val="24"/>
              </w:rPr>
              <w:t>83</w:t>
            </w:r>
          </w:p>
          <w:p>
            <w:pPr>
              <w:pStyle w:val="TableParagraph"/>
              <w:spacing w:line="275" w:lineRule="exact" w:before="0"/>
              <w:ind w:left="191"/>
              <w:jc w:val="left"/>
              <w:rPr>
                <w:sz w:val="24"/>
              </w:rPr>
            </w:pPr>
            <w:r>
              <w:rPr>
                <w:sz w:val="24"/>
              </w:rPr>
              <w:t>80</w:t>
            </w:r>
          </w:p>
        </w:tc>
      </w:tr>
      <w:tr>
        <w:trPr>
          <w:trHeight w:val="1935" w:hRule="exact"/>
        </w:trPr>
        <w:tc>
          <w:tcPr>
            <w:tcW w:w="1868" w:type="dxa"/>
            <w:tcBorders>
              <w:top w:val="nil"/>
              <w:left w:val="nil"/>
              <w:bottom w:val="nil"/>
              <w:right w:val="nil"/>
            </w:tcBorders>
          </w:tcPr>
          <w:p>
            <w:pPr>
              <w:pStyle w:val="TableParagraph"/>
              <w:spacing w:before="125"/>
              <w:ind w:left="88" w:right="397"/>
              <w:jc w:val="center"/>
              <w:rPr>
                <w:sz w:val="24"/>
              </w:rPr>
            </w:pPr>
            <w:r>
              <w:rPr>
                <w:sz w:val="24"/>
              </w:rPr>
              <w:t>Pastizales</w:t>
            </w:r>
          </w:p>
        </w:tc>
        <w:tc>
          <w:tcPr>
            <w:tcW w:w="3369" w:type="dxa"/>
            <w:tcBorders>
              <w:top w:val="nil"/>
              <w:left w:val="nil"/>
              <w:bottom w:val="nil"/>
              <w:right w:val="nil"/>
            </w:tcBorders>
          </w:tcPr>
          <w:p>
            <w:pPr>
              <w:pStyle w:val="TableParagraph"/>
              <w:spacing w:before="125"/>
              <w:ind w:left="400" w:right="477"/>
              <w:jc w:val="center"/>
              <w:rPr>
                <w:sz w:val="24"/>
              </w:rPr>
            </w:pPr>
            <w:r>
              <w:rPr>
                <w:sz w:val="24"/>
              </w:rPr>
              <w:t>Sin tratamiento mecánico Sin tratamiento mecánico Sin tratamiento mecánico Curva a nivel</w:t>
            </w:r>
          </w:p>
          <w:p>
            <w:pPr>
              <w:pStyle w:val="TableParagraph"/>
              <w:spacing w:line="242" w:lineRule="auto" w:before="0"/>
              <w:ind w:left="1002" w:right="1069" w:firstLine="4"/>
              <w:jc w:val="center"/>
              <w:rPr>
                <w:sz w:val="24"/>
              </w:rPr>
            </w:pPr>
            <w:r>
              <w:rPr>
                <w:sz w:val="24"/>
              </w:rPr>
              <w:t>Curva a nivel Curva a nivel</w:t>
            </w:r>
          </w:p>
        </w:tc>
        <w:tc>
          <w:tcPr>
            <w:tcW w:w="1840" w:type="dxa"/>
            <w:tcBorders>
              <w:top w:val="nil"/>
              <w:left w:val="nil"/>
              <w:bottom w:val="nil"/>
              <w:right w:val="nil"/>
            </w:tcBorders>
          </w:tcPr>
          <w:p>
            <w:pPr>
              <w:pStyle w:val="TableParagraph"/>
              <w:spacing w:before="125"/>
              <w:ind w:left="702" w:right="379" w:firstLine="2"/>
              <w:jc w:val="center"/>
              <w:rPr>
                <w:sz w:val="24"/>
              </w:rPr>
            </w:pPr>
            <w:r>
              <w:rPr>
                <w:sz w:val="24"/>
              </w:rPr>
              <w:t>Mala </w:t>
            </w:r>
            <w:r>
              <w:rPr>
                <w:spacing w:val="-1"/>
                <w:sz w:val="24"/>
              </w:rPr>
              <w:t>Regular </w:t>
            </w:r>
            <w:r>
              <w:rPr>
                <w:sz w:val="24"/>
              </w:rPr>
              <w:t>Buena Mala </w:t>
            </w:r>
            <w:r>
              <w:rPr>
                <w:spacing w:val="-1"/>
                <w:sz w:val="24"/>
              </w:rPr>
              <w:t>Regular </w:t>
            </w:r>
            <w:r>
              <w:rPr>
                <w:sz w:val="24"/>
              </w:rPr>
              <w:t>Buena</w:t>
            </w:r>
          </w:p>
        </w:tc>
        <w:tc>
          <w:tcPr>
            <w:tcW w:w="605" w:type="dxa"/>
            <w:tcBorders>
              <w:top w:val="nil"/>
              <w:left w:val="nil"/>
              <w:bottom w:val="nil"/>
              <w:right w:val="nil"/>
            </w:tcBorders>
          </w:tcPr>
          <w:p>
            <w:pPr>
              <w:pStyle w:val="TableParagraph"/>
              <w:spacing w:before="125"/>
              <w:ind w:left="230"/>
              <w:jc w:val="left"/>
              <w:rPr>
                <w:sz w:val="24"/>
              </w:rPr>
            </w:pPr>
            <w:r>
              <w:rPr>
                <w:sz w:val="24"/>
              </w:rPr>
              <w:t>68</w:t>
            </w:r>
          </w:p>
          <w:p>
            <w:pPr>
              <w:pStyle w:val="TableParagraph"/>
              <w:spacing w:line="275" w:lineRule="exact" w:before="2"/>
              <w:ind w:left="230"/>
              <w:jc w:val="left"/>
              <w:rPr>
                <w:sz w:val="24"/>
              </w:rPr>
            </w:pPr>
            <w:r>
              <w:rPr>
                <w:sz w:val="24"/>
              </w:rPr>
              <w:t>49</w:t>
            </w:r>
          </w:p>
          <w:p>
            <w:pPr>
              <w:pStyle w:val="TableParagraph"/>
              <w:spacing w:line="275" w:lineRule="exact" w:before="0"/>
              <w:ind w:left="230"/>
              <w:jc w:val="left"/>
              <w:rPr>
                <w:sz w:val="24"/>
              </w:rPr>
            </w:pPr>
            <w:r>
              <w:rPr>
                <w:sz w:val="24"/>
              </w:rPr>
              <w:t>39</w:t>
            </w:r>
          </w:p>
          <w:p>
            <w:pPr>
              <w:pStyle w:val="TableParagraph"/>
              <w:spacing w:line="275" w:lineRule="exact" w:before="3"/>
              <w:ind w:left="230"/>
              <w:jc w:val="left"/>
              <w:rPr>
                <w:sz w:val="24"/>
              </w:rPr>
            </w:pPr>
            <w:r>
              <w:rPr>
                <w:sz w:val="24"/>
              </w:rPr>
              <w:t>47</w:t>
            </w:r>
          </w:p>
          <w:p>
            <w:pPr>
              <w:pStyle w:val="TableParagraph"/>
              <w:spacing w:line="275" w:lineRule="exact" w:before="0"/>
              <w:ind w:left="230"/>
              <w:jc w:val="left"/>
              <w:rPr>
                <w:sz w:val="24"/>
              </w:rPr>
            </w:pPr>
            <w:r>
              <w:rPr>
                <w:sz w:val="24"/>
              </w:rPr>
              <w:t>25</w:t>
            </w:r>
          </w:p>
          <w:p>
            <w:pPr>
              <w:pStyle w:val="TableParagraph"/>
              <w:spacing w:before="2"/>
              <w:ind w:left="293"/>
              <w:jc w:val="left"/>
              <w:rPr>
                <w:sz w:val="24"/>
              </w:rPr>
            </w:pPr>
            <w:r>
              <w:rPr>
                <w:sz w:val="24"/>
              </w:rPr>
              <w:t>6</w:t>
            </w:r>
          </w:p>
        </w:tc>
        <w:tc>
          <w:tcPr>
            <w:tcW w:w="557" w:type="dxa"/>
            <w:tcBorders>
              <w:top w:val="nil"/>
              <w:left w:val="nil"/>
              <w:bottom w:val="nil"/>
              <w:right w:val="nil"/>
            </w:tcBorders>
          </w:tcPr>
          <w:p>
            <w:pPr>
              <w:pStyle w:val="TableParagraph"/>
              <w:spacing w:before="125"/>
              <w:ind w:left="182"/>
              <w:jc w:val="left"/>
              <w:rPr>
                <w:sz w:val="24"/>
              </w:rPr>
            </w:pPr>
            <w:r>
              <w:rPr>
                <w:sz w:val="24"/>
              </w:rPr>
              <w:t>79</w:t>
            </w:r>
          </w:p>
          <w:p>
            <w:pPr>
              <w:pStyle w:val="TableParagraph"/>
              <w:spacing w:line="275" w:lineRule="exact" w:before="2"/>
              <w:ind w:left="182"/>
              <w:jc w:val="left"/>
              <w:rPr>
                <w:sz w:val="24"/>
              </w:rPr>
            </w:pPr>
            <w:r>
              <w:rPr>
                <w:sz w:val="24"/>
              </w:rPr>
              <w:t>69</w:t>
            </w:r>
          </w:p>
          <w:p>
            <w:pPr>
              <w:pStyle w:val="TableParagraph"/>
              <w:spacing w:line="275" w:lineRule="exact" w:before="0"/>
              <w:ind w:left="182"/>
              <w:jc w:val="left"/>
              <w:rPr>
                <w:sz w:val="24"/>
              </w:rPr>
            </w:pPr>
            <w:r>
              <w:rPr>
                <w:sz w:val="24"/>
              </w:rPr>
              <w:t>61</w:t>
            </w:r>
          </w:p>
          <w:p>
            <w:pPr>
              <w:pStyle w:val="TableParagraph"/>
              <w:spacing w:line="275" w:lineRule="exact" w:before="3"/>
              <w:ind w:left="182"/>
              <w:jc w:val="left"/>
              <w:rPr>
                <w:sz w:val="24"/>
              </w:rPr>
            </w:pPr>
            <w:r>
              <w:rPr>
                <w:sz w:val="24"/>
              </w:rPr>
              <w:t>67</w:t>
            </w:r>
          </w:p>
          <w:p>
            <w:pPr>
              <w:pStyle w:val="TableParagraph"/>
              <w:spacing w:line="275" w:lineRule="exact" w:before="0"/>
              <w:ind w:left="182"/>
              <w:jc w:val="left"/>
              <w:rPr>
                <w:sz w:val="24"/>
              </w:rPr>
            </w:pPr>
            <w:r>
              <w:rPr>
                <w:sz w:val="24"/>
              </w:rPr>
              <w:t>59</w:t>
            </w:r>
          </w:p>
          <w:p>
            <w:pPr>
              <w:pStyle w:val="TableParagraph"/>
              <w:spacing w:before="2"/>
              <w:ind w:left="182"/>
              <w:jc w:val="left"/>
              <w:rPr>
                <w:sz w:val="24"/>
              </w:rPr>
            </w:pPr>
            <w:r>
              <w:rPr>
                <w:sz w:val="24"/>
              </w:rPr>
              <w:t>35</w:t>
            </w:r>
          </w:p>
        </w:tc>
        <w:tc>
          <w:tcPr>
            <w:tcW w:w="557" w:type="dxa"/>
            <w:tcBorders>
              <w:top w:val="nil"/>
              <w:left w:val="nil"/>
              <w:bottom w:val="nil"/>
              <w:right w:val="nil"/>
            </w:tcBorders>
          </w:tcPr>
          <w:p>
            <w:pPr>
              <w:pStyle w:val="TableParagraph"/>
              <w:spacing w:before="125"/>
              <w:ind w:left="182"/>
              <w:jc w:val="left"/>
              <w:rPr>
                <w:sz w:val="24"/>
              </w:rPr>
            </w:pPr>
            <w:r>
              <w:rPr>
                <w:sz w:val="24"/>
              </w:rPr>
              <w:t>86</w:t>
            </w:r>
          </w:p>
          <w:p>
            <w:pPr>
              <w:pStyle w:val="TableParagraph"/>
              <w:spacing w:line="275" w:lineRule="exact" w:before="2"/>
              <w:ind w:left="182"/>
              <w:jc w:val="left"/>
              <w:rPr>
                <w:sz w:val="24"/>
              </w:rPr>
            </w:pPr>
            <w:r>
              <w:rPr>
                <w:sz w:val="24"/>
              </w:rPr>
              <w:t>79</w:t>
            </w:r>
          </w:p>
          <w:p>
            <w:pPr>
              <w:pStyle w:val="TableParagraph"/>
              <w:spacing w:line="275" w:lineRule="exact" w:before="0"/>
              <w:ind w:left="182"/>
              <w:jc w:val="left"/>
              <w:rPr>
                <w:sz w:val="24"/>
              </w:rPr>
            </w:pPr>
            <w:r>
              <w:rPr>
                <w:sz w:val="24"/>
              </w:rPr>
              <w:t>74</w:t>
            </w:r>
          </w:p>
          <w:p>
            <w:pPr>
              <w:pStyle w:val="TableParagraph"/>
              <w:spacing w:line="275" w:lineRule="exact" w:before="3"/>
              <w:ind w:left="182"/>
              <w:jc w:val="left"/>
              <w:rPr>
                <w:sz w:val="24"/>
              </w:rPr>
            </w:pPr>
            <w:r>
              <w:rPr>
                <w:sz w:val="24"/>
              </w:rPr>
              <w:t>81</w:t>
            </w:r>
          </w:p>
          <w:p>
            <w:pPr>
              <w:pStyle w:val="TableParagraph"/>
              <w:spacing w:line="275" w:lineRule="exact" w:before="0"/>
              <w:ind w:left="182"/>
              <w:jc w:val="left"/>
              <w:rPr>
                <w:sz w:val="24"/>
              </w:rPr>
            </w:pPr>
            <w:r>
              <w:rPr>
                <w:sz w:val="24"/>
              </w:rPr>
              <w:t>75</w:t>
            </w:r>
          </w:p>
          <w:p>
            <w:pPr>
              <w:pStyle w:val="TableParagraph"/>
              <w:spacing w:before="2"/>
              <w:ind w:left="182"/>
              <w:jc w:val="left"/>
              <w:rPr>
                <w:sz w:val="24"/>
              </w:rPr>
            </w:pPr>
            <w:r>
              <w:rPr>
                <w:sz w:val="24"/>
              </w:rPr>
              <w:t>70</w:t>
            </w:r>
          </w:p>
        </w:tc>
        <w:tc>
          <w:tcPr>
            <w:tcW w:w="605" w:type="dxa"/>
            <w:tcBorders>
              <w:top w:val="nil"/>
              <w:left w:val="nil"/>
              <w:bottom w:val="nil"/>
              <w:right w:val="nil"/>
            </w:tcBorders>
          </w:tcPr>
          <w:p>
            <w:pPr>
              <w:pStyle w:val="TableParagraph"/>
              <w:spacing w:before="125"/>
              <w:ind w:left="191"/>
              <w:jc w:val="left"/>
              <w:rPr>
                <w:sz w:val="24"/>
              </w:rPr>
            </w:pPr>
            <w:r>
              <w:rPr>
                <w:sz w:val="24"/>
              </w:rPr>
              <w:t>89</w:t>
            </w:r>
          </w:p>
          <w:p>
            <w:pPr>
              <w:pStyle w:val="TableParagraph"/>
              <w:spacing w:line="275" w:lineRule="exact" w:before="2"/>
              <w:ind w:left="191"/>
              <w:jc w:val="left"/>
              <w:rPr>
                <w:sz w:val="24"/>
              </w:rPr>
            </w:pPr>
            <w:r>
              <w:rPr>
                <w:sz w:val="24"/>
              </w:rPr>
              <w:t>84</w:t>
            </w:r>
          </w:p>
          <w:p>
            <w:pPr>
              <w:pStyle w:val="TableParagraph"/>
              <w:spacing w:line="275" w:lineRule="exact" w:before="0"/>
              <w:ind w:left="191"/>
              <w:jc w:val="left"/>
              <w:rPr>
                <w:sz w:val="24"/>
              </w:rPr>
            </w:pPr>
            <w:r>
              <w:rPr>
                <w:sz w:val="24"/>
              </w:rPr>
              <w:t>80</w:t>
            </w:r>
          </w:p>
          <w:p>
            <w:pPr>
              <w:pStyle w:val="TableParagraph"/>
              <w:spacing w:line="275" w:lineRule="exact" w:before="3"/>
              <w:ind w:left="191"/>
              <w:jc w:val="left"/>
              <w:rPr>
                <w:sz w:val="24"/>
              </w:rPr>
            </w:pPr>
            <w:r>
              <w:rPr>
                <w:sz w:val="24"/>
              </w:rPr>
              <w:t>88</w:t>
            </w:r>
          </w:p>
          <w:p>
            <w:pPr>
              <w:pStyle w:val="TableParagraph"/>
              <w:spacing w:line="275" w:lineRule="exact" w:before="0"/>
              <w:ind w:left="191"/>
              <w:jc w:val="left"/>
              <w:rPr>
                <w:sz w:val="24"/>
              </w:rPr>
            </w:pPr>
            <w:r>
              <w:rPr>
                <w:sz w:val="24"/>
              </w:rPr>
              <w:t>83</w:t>
            </w:r>
          </w:p>
          <w:p>
            <w:pPr>
              <w:pStyle w:val="TableParagraph"/>
              <w:spacing w:before="2"/>
              <w:ind w:left="191"/>
              <w:jc w:val="left"/>
              <w:rPr>
                <w:sz w:val="24"/>
              </w:rPr>
            </w:pPr>
            <w:r>
              <w:rPr>
                <w:sz w:val="24"/>
              </w:rPr>
              <w:t>79</w:t>
            </w:r>
          </w:p>
        </w:tc>
      </w:tr>
      <w:tr>
        <w:trPr>
          <w:trHeight w:val="689" w:hRule="exact"/>
        </w:trPr>
        <w:tc>
          <w:tcPr>
            <w:tcW w:w="1868" w:type="dxa"/>
            <w:tcBorders>
              <w:top w:val="nil"/>
              <w:left w:val="nil"/>
              <w:bottom w:val="nil"/>
              <w:right w:val="nil"/>
            </w:tcBorders>
          </w:tcPr>
          <w:p>
            <w:pPr>
              <w:pStyle w:val="TableParagraph"/>
              <w:spacing w:line="274" w:lineRule="exact" w:before="130"/>
              <w:ind w:left="538" w:right="672" w:hanging="169"/>
              <w:jc w:val="left"/>
              <w:rPr>
                <w:sz w:val="24"/>
              </w:rPr>
            </w:pPr>
            <w:r>
              <w:rPr>
                <w:sz w:val="24"/>
              </w:rPr>
              <w:t>Pasto de corte</w:t>
            </w:r>
          </w:p>
        </w:tc>
        <w:tc>
          <w:tcPr>
            <w:tcW w:w="3369" w:type="dxa"/>
            <w:tcBorders>
              <w:top w:val="nil"/>
              <w:left w:val="nil"/>
              <w:bottom w:val="nil"/>
              <w:right w:val="nil"/>
            </w:tcBorders>
          </w:tcPr>
          <w:p>
            <w:pPr/>
          </w:p>
        </w:tc>
        <w:tc>
          <w:tcPr>
            <w:tcW w:w="1840" w:type="dxa"/>
            <w:tcBorders>
              <w:top w:val="nil"/>
              <w:left w:val="nil"/>
              <w:bottom w:val="nil"/>
              <w:right w:val="nil"/>
            </w:tcBorders>
          </w:tcPr>
          <w:p>
            <w:pPr>
              <w:pStyle w:val="TableParagraph"/>
              <w:spacing w:before="125"/>
              <w:ind w:right="453"/>
              <w:rPr>
                <w:sz w:val="24"/>
              </w:rPr>
            </w:pPr>
            <w:r>
              <w:rPr>
                <w:sz w:val="24"/>
              </w:rPr>
              <w:t>Buena</w:t>
            </w:r>
          </w:p>
        </w:tc>
        <w:tc>
          <w:tcPr>
            <w:tcW w:w="605" w:type="dxa"/>
            <w:tcBorders>
              <w:top w:val="nil"/>
              <w:left w:val="nil"/>
              <w:bottom w:val="nil"/>
              <w:right w:val="nil"/>
            </w:tcBorders>
          </w:tcPr>
          <w:p>
            <w:pPr>
              <w:pStyle w:val="TableParagraph"/>
              <w:spacing w:before="125"/>
              <w:ind w:right="132"/>
              <w:rPr>
                <w:sz w:val="24"/>
              </w:rPr>
            </w:pPr>
            <w:r>
              <w:rPr>
                <w:sz w:val="24"/>
              </w:rPr>
              <w:t>30</w:t>
            </w:r>
          </w:p>
        </w:tc>
        <w:tc>
          <w:tcPr>
            <w:tcW w:w="557" w:type="dxa"/>
            <w:tcBorders>
              <w:top w:val="nil"/>
              <w:left w:val="nil"/>
              <w:bottom w:val="nil"/>
              <w:right w:val="nil"/>
            </w:tcBorders>
          </w:tcPr>
          <w:p>
            <w:pPr>
              <w:pStyle w:val="TableParagraph"/>
              <w:spacing w:before="125"/>
              <w:ind w:right="132"/>
              <w:rPr>
                <w:sz w:val="24"/>
              </w:rPr>
            </w:pPr>
            <w:r>
              <w:rPr>
                <w:sz w:val="24"/>
              </w:rPr>
              <w:t>58</w:t>
            </w:r>
          </w:p>
        </w:tc>
        <w:tc>
          <w:tcPr>
            <w:tcW w:w="557" w:type="dxa"/>
            <w:tcBorders>
              <w:top w:val="nil"/>
              <w:left w:val="nil"/>
              <w:bottom w:val="nil"/>
              <w:right w:val="nil"/>
            </w:tcBorders>
          </w:tcPr>
          <w:p>
            <w:pPr>
              <w:pStyle w:val="TableParagraph"/>
              <w:spacing w:before="125"/>
              <w:ind w:left="182"/>
              <w:jc w:val="left"/>
              <w:rPr>
                <w:sz w:val="24"/>
              </w:rPr>
            </w:pPr>
            <w:r>
              <w:rPr>
                <w:sz w:val="24"/>
              </w:rPr>
              <w:t>71</w:t>
            </w:r>
          </w:p>
        </w:tc>
        <w:tc>
          <w:tcPr>
            <w:tcW w:w="605" w:type="dxa"/>
            <w:tcBorders>
              <w:top w:val="nil"/>
              <w:left w:val="nil"/>
              <w:bottom w:val="nil"/>
              <w:right w:val="nil"/>
            </w:tcBorders>
          </w:tcPr>
          <w:p>
            <w:pPr>
              <w:pStyle w:val="TableParagraph"/>
              <w:spacing w:before="125"/>
              <w:ind w:right="170"/>
              <w:rPr>
                <w:sz w:val="24"/>
              </w:rPr>
            </w:pPr>
            <w:r>
              <w:rPr>
                <w:sz w:val="24"/>
              </w:rPr>
              <w:t>78</w:t>
            </w:r>
          </w:p>
        </w:tc>
      </w:tr>
      <w:tr>
        <w:trPr>
          <w:trHeight w:val="828" w:hRule="exact"/>
        </w:trPr>
        <w:tc>
          <w:tcPr>
            <w:tcW w:w="1868" w:type="dxa"/>
            <w:tcBorders>
              <w:top w:val="nil"/>
              <w:left w:val="nil"/>
              <w:bottom w:val="nil"/>
              <w:right w:val="nil"/>
            </w:tcBorders>
          </w:tcPr>
          <w:p>
            <w:pPr>
              <w:pStyle w:val="TableParagraph"/>
              <w:spacing w:line="264" w:lineRule="exact" w:before="0"/>
              <w:ind w:left="88" w:right="398"/>
              <w:jc w:val="center"/>
              <w:rPr>
                <w:sz w:val="24"/>
              </w:rPr>
            </w:pPr>
            <w:r>
              <w:rPr>
                <w:sz w:val="24"/>
              </w:rPr>
              <w:t>Bosque</w:t>
            </w:r>
          </w:p>
        </w:tc>
        <w:tc>
          <w:tcPr>
            <w:tcW w:w="3369" w:type="dxa"/>
            <w:tcBorders>
              <w:top w:val="nil"/>
              <w:left w:val="nil"/>
              <w:bottom w:val="nil"/>
              <w:right w:val="nil"/>
            </w:tcBorders>
          </w:tcPr>
          <w:p>
            <w:pPr/>
          </w:p>
        </w:tc>
        <w:tc>
          <w:tcPr>
            <w:tcW w:w="1840" w:type="dxa"/>
            <w:tcBorders>
              <w:top w:val="nil"/>
              <w:left w:val="nil"/>
              <w:bottom w:val="nil"/>
              <w:right w:val="nil"/>
            </w:tcBorders>
          </w:tcPr>
          <w:p>
            <w:pPr>
              <w:pStyle w:val="TableParagraph"/>
              <w:spacing w:before="0"/>
              <w:ind w:left="702" w:right="379" w:firstLine="2"/>
              <w:jc w:val="center"/>
              <w:rPr>
                <w:sz w:val="24"/>
              </w:rPr>
            </w:pPr>
            <w:r>
              <w:rPr>
                <w:sz w:val="24"/>
              </w:rPr>
              <w:t>Mala </w:t>
            </w:r>
            <w:r>
              <w:rPr>
                <w:spacing w:val="-1"/>
                <w:sz w:val="24"/>
              </w:rPr>
              <w:t>Regular </w:t>
            </w:r>
            <w:r>
              <w:rPr>
                <w:sz w:val="24"/>
              </w:rPr>
              <w:t>Buena</w:t>
            </w:r>
          </w:p>
        </w:tc>
        <w:tc>
          <w:tcPr>
            <w:tcW w:w="605" w:type="dxa"/>
            <w:tcBorders>
              <w:top w:val="nil"/>
              <w:left w:val="nil"/>
              <w:bottom w:val="nil"/>
              <w:right w:val="nil"/>
            </w:tcBorders>
          </w:tcPr>
          <w:p>
            <w:pPr>
              <w:pStyle w:val="TableParagraph"/>
              <w:spacing w:line="263" w:lineRule="exact" w:before="0"/>
              <w:ind w:left="230"/>
              <w:jc w:val="left"/>
              <w:rPr>
                <w:sz w:val="24"/>
              </w:rPr>
            </w:pPr>
            <w:r>
              <w:rPr>
                <w:sz w:val="24"/>
              </w:rPr>
              <w:t>45</w:t>
            </w:r>
          </w:p>
          <w:p>
            <w:pPr>
              <w:pStyle w:val="TableParagraph"/>
              <w:spacing w:line="275" w:lineRule="exact" w:before="0"/>
              <w:ind w:left="230"/>
              <w:jc w:val="left"/>
              <w:rPr>
                <w:sz w:val="24"/>
              </w:rPr>
            </w:pPr>
            <w:r>
              <w:rPr>
                <w:sz w:val="24"/>
              </w:rPr>
              <w:t>36</w:t>
            </w:r>
          </w:p>
          <w:p>
            <w:pPr>
              <w:pStyle w:val="TableParagraph"/>
              <w:spacing w:before="2"/>
              <w:ind w:left="230"/>
              <w:jc w:val="left"/>
              <w:rPr>
                <w:sz w:val="24"/>
              </w:rPr>
            </w:pPr>
            <w:r>
              <w:rPr>
                <w:sz w:val="24"/>
              </w:rPr>
              <w:t>25</w:t>
            </w:r>
          </w:p>
        </w:tc>
        <w:tc>
          <w:tcPr>
            <w:tcW w:w="557" w:type="dxa"/>
            <w:tcBorders>
              <w:top w:val="nil"/>
              <w:left w:val="nil"/>
              <w:bottom w:val="nil"/>
              <w:right w:val="nil"/>
            </w:tcBorders>
          </w:tcPr>
          <w:p>
            <w:pPr>
              <w:pStyle w:val="TableParagraph"/>
              <w:spacing w:line="263" w:lineRule="exact" w:before="0"/>
              <w:ind w:left="182"/>
              <w:jc w:val="left"/>
              <w:rPr>
                <w:sz w:val="24"/>
              </w:rPr>
            </w:pPr>
            <w:r>
              <w:rPr>
                <w:sz w:val="24"/>
              </w:rPr>
              <w:t>66</w:t>
            </w:r>
          </w:p>
          <w:p>
            <w:pPr>
              <w:pStyle w:val="TableParagraph"/>
              <w:spacing w:line="275" w:lineRule="exact" w:before="0"/>
              <w:ind w:left="182"/>
              <w:jc w:val="left"/>
              <w:rPr>
                <w:sz w:val="24"/>
              </w:rPr>
            </w:pPr>
            <w:r>
              <w:rPr>
                <w:sz w:val="24"/>
              </w:rPr>
              <w:t>60</w:t>
            </w:r>
          </w:p>
          <w:p>
            <w:pPr>
              <w:pStyle w:val="TableParagraph"/>
              <w:spacing w:before="2"/>
              <w:ind w:left="182"/>
              <w:jc w:val="left"/>
              <w:rPr>
                <w:sz w:val="24"/>
              </w:rPr>
            </w:pPr>
            <w:r>
              <w:rPr>
                <w:sz w:val="24"/>
              </w:rPr>
              <w:t>55</w:t>
            </w:r>
          </w:p>
        </w:tc>
        <w:tc>
          <w:tcPr>
            <w:tcW w:w="557" w:type="dxa"/>
            <w:tcBorders>
              <w:top w:val="nil"/>
              <w:left w:val="nil"/>
              <w:bottom w:val="nil"/>
              <w:right w:val="nil"/>
            </w:tcBorders>
          </w:tcPr>
          <w:p>
            <w:pPr>
              <w:pStyle w:val="TableParagraph"/>
              <w:spacing w:line="263" w:lineRule="exact" w:before="0"/>
              <w:ind w:left="182"/>
              <w:jc w:val="left"/>
              <w:rPr>
                <w:sz w:val="24"/>
              </w:rPr>
            </w:pPr>
            <w:r>
              <w:rPr>
                <w:sz w:val="24"/>
              </w:rPr>
              <w:t>77</w:t>
            </w:r>
          </w:p>
          <w:p>
            <w:pPr>
              <w:pStyle w:val="TableParagraph"/>
              <w:spacing w:line="275" w:lineRule="exact" w:before="0"/>
              <w:ind w:left="182"/>
              <w:jc w:val="left"/>
              <w:rPr>
                <w:sz w:val="24"/>
              </w:rPr>
            </w:pPr>
            <w:r>
              <w:rPr>
                <w:sz w:val="24"/>
              </w:rPr>
              <w:t>73</w:t>
            </w:r>
          </w:p>
          <w:p>
            <w:pPr>
              <w:pStyle w:val="TableParagraph"/>
              <w:spacing w:before="2"/>
              <w:ind w:left="182"/>
              <w:jc w:val="left"/>
              <w:rPr>
                <w:sz w:val="24"/>
              </w:rPr>
            </w:pPr>
            <w:r>
              <w:rPr>
                <w:sz w:val="24"/>
              </w:rPr>
              <w:t>70</w:t>
            </w:r>
          </w:p>
        </w:tc>
        <w:tc>
          <w:tcPr>
            <w:tcW w:w="605" w:type="dxa"/>
            <w:tcBorders>
              <w:top w:val="nil"/>
              <w:left w:val="nil"/>
              <w:bottom w:val="nil"/>
              <w:right w:val="nil"/>
            </w:tcBorders>
          </w:tcPr>
          <w:p>
            <w:pPr>
              <w:pStyle w:val="TableParagraph"/>
              <w:spacing w:line="263" w:lineRule="exact" w:before="0"/>
              <w:ind w:left="191"/>
              <w:jc w:val="left"/>
              <w:rPr>
                <w:sz w:val="24"/>
              </w:rPr>
            </w:pPr>
            <w:r>
              <w:rPr>
                <w:sz w:val="24"/>
              </w:rPr>
              <w:t>83</w:t>
            </w:r>
          </w:p>
          <w:p>
            <w:pPr>
              <w:pStyle w:val="TableParagraph"/>
              <w:spacing w:line="275" w:lineRule="exact" w:before="0"/>
              <w:ind w:left="191"/>
              <w:jc w:val="left"/>
              <w:rPr>
                <w:sz w:val="24"/>
              </w:rPr>
            </w:pPr>
            <w:r>
              <w:rPr>
                <w:sz w:val="24"/>
              </w:rPr>
              <w:t>79</w:t>
            </w:r>
          </w:p>
          <w:p>
            <w:pPr>
              <w:pStyle w:val="TableParagraph"/>
              <w:spacing w:before="2"/>
              <w:ind w:left="191"/>
              <w:jc w:val="left"/>
              <w:rPr>
                <w:sz w:val="24"/>
              </w:rPr>
            </w:pPr>
            <w:r>
              <w:rPr>
                <w:sz w:val="24"/>
              </w:rPr>
              <w:t>77</w:t>
            </w:r>
          </w:p>
        </w:tc>
      </w:tr>
      <w:tr>
        <w:trPr>
          <w:trHeight w:val="552" w:hRule="exact"/>
        </w:trPr>
        <w:tc>
          <w:tcPr>
            <w:tcW w:w="1868" w:type="dxa"/>
            <w:tcBorders>
              <w:top w:val="nil"/>
              <w:left w:val="nil"/>
              <w:bottom w:val="nil"/>
              <w:right w:val="nil"/>
            </w:tcBorders>
          </w:tcPr>
          <w:p>
            <w:pPr>
              <w:pStyle w:val="TableParagraph"/>
              <w:spacing w:line="242" w:lineRule="auto" w:before="0"/>
              <w:ind w:left="523" w:right="503" w:hanging="318"/>
              <w:jc w:val="left"/>
              <w:rPr>
                <w:sz w:val="24"/>
              </w:rPr>
            </w:pPr>
            <w:r>
              <w:rPr>
                <w:sz w:val="24"/>
              </w:rPr>
              <w:t>Caminos de tierra</w:t>
            </w:r>
          </w:p>
        </w:tc>
        <w:tc>
          <w:tcPr>
            <w:tcW w:w="3369" w:type="dxa"/>
            <w:tcBorders>
              <w:top w:val="nil"/>
              <w:left w:val="nil"/>
              <w:bottom w:val="nil"/>
              <w:right w:val="nil"/>
            </w:tcBorders>
          </w:tcPr>
          <w:p>
            <w:pPr/>
          </w:p>
        </w:tc>
        <w:tc>
          <w:tcPr>
            <w:tcW w:w="1840" w:type="dxa"/>
            <w:tcBorders>
              <w:top w:val="nil"/>
              <w:left w:val="nil"/>
              <w:bottom w:val="nil"/>
              <w:right w:val="nil"/>
            </w:tcBorders>
          </w:tcPr>
          <w:p>
            <w:pPr>
              <w:pStyle w:val="TableParagraph"/>
              <w:spacing w:line="262" w:lineRule="exact" w:before="0"/>
              <w:ind w:right="453"/>
              <w:rPr>
                <w:sz w:val="24"/>
              </w:rPr>
            </w:pPr>
            <w:r>
              <w:rPr>
                <w:sz w:val="24"/>
              </w:rPr>
              <w:t>Buena</w:t>
            </w:r>
          </w:p>
        </w:tc>
        <w:tc>
          <w:tcPr>
            <w:tcW w:w="605" w:type="dxa"/>
            <w:tcBorders>
              <w:top w:val="nil"/>
              <w:left w:val="nil"/>
              <w:bottom w:val="nil"/>
              <w:right w:val="nil"/>
            </w:tcBorders>
          </w:tcPr>
          <w:p>
            <w:pPr>
              <w:pStyle w:val="TableParagraph"/>
              <w:spacing w:line="262" w:lineRule="exact" w:before="0"/>
              <w:ind w:right="132"/>
              <w:rPr>
                <w:sz w:val="24"/>
              </w:rPr>
            </w:pPr>
            <w:r>
              <w:rPr>
                <w:sz w:val="24"/>
              </w:rPr>
              <w:t>72</w:t>
            </w:r>
          </w:p>
        </w:tc>
        <w:tc>
          <w:tcPr>
            <w:tcW w:w="557" w:type="dxa"/>
            <w:tcBorders>
              <w:top w:val="nil"/>
              <w:left w:val="nil"/>
              <w:bottom w:val="nil"/>
              <w:right w:val="nil"/>
            </w:tcBorders>
          </w:tcPr>
          <w:p>
            <w:pPr>
              <w:pStyle w:val="TableParagraph"/>
              <w:spacing w:line="262" w:lineRule="exact" w:before="0"/>
              <w:ind w:right="132"/>
              <w:rPr>
                <w:sz w:val="24"/>
              </w:rPr>
            </w:pPr>
            <w:r>
              <w:rPr>
                <w:sz w:val="24"/>
              </w:rPr>
              <w:t>82</w:t>
            </w:r>
          </w:p>
        </w:tc>
        <w:tc>
          <w:tcPr>
            <w:tcW w:w="557" w:type="dxa"/>
            <w:tcBorders>
              <w:top w:val="nil"/>
              <w:left w:val="nil"/>
              <w:bottom w:val="nil"/>
              <w:right w:val="nil"/>
            </w:tcBorders>
          </w:tcPr>
          <w:p>
            <w:pPr>
              <w:pStyle w:val="TableParagraph"/>
              <w:spacing w:line="262" w:lineRule="exact" w:before="0"/>
              <w:ind w:left="182"/>
              <w:jc w:val="left"/>
              <w:rPr>
                <w:sz w:val="24"/>
              </w:rPr>
            </w:pPr>
            <w:r>
              <w:rPr>
                <w:sz w:val="24"/>
              </w:rPr>
              <w:t>87</w:t>
            </w:r>
          </w:p>
        </w:tc>
        <w:tc>
          <w:tcPr>
            <w:tcW w:w="605" w:type="dxa"/>
            <w:tcBorders>
              <w:top w:val="nil"/>
              <w:left w:val="nil"/>
              <w:bottom w:val="nil"/>
              <w:right w:val="nil"/>
            </w:tcBorders>
          </w:tcPr>
          <w:p>
            <w:pPr>
              <w:pStyle w:val="TableParagraph"/>
              <w:spacing w:line="262" w:lineRule="exact" w:before="0"/>
              <w:ind w:right="170"/>
              <w:rPr>
                <w:sz w:val="24"/>
              </w:rPr>
            </w:pPr>
            <w:r>
              <w:rPr>
                <w:sz w:val="24"/>
              </w:rPr>
              <w:t>89</w:t>
            </w:r>
          </w:p>
        </w:tc>
      </w:tr>
      <w:tr>
        <w:trPr>
          <w:trHeight w:val="535" w:hRule="exact"/>
        </w:trPr>
        <w:tc>
          <w:tcPr>
            <w:tcW w:w="1868" w:type="dxa"/>
            <w:tcBorders>
              <w:top w:val="nil"/>
              <w:left w:val="nil"/>
              <w:bottom w:val="nil"/>
              <w:right w:val="nil"/>
            </w:tcBorders>
          </w:tcPr>
          <w:p>
            <w:pPr>
              <w:pStyle w:val="TableParagraph"/>
              <w:spacing w:line="262" w:lineRule="exact" w:before="0"/>
              <w:ind w:left="350" w:right="503"/>
              <w:jc w:val="left"/>
              <w:rPr>
                <w:sz w:val="24"/>
              </w:rPr>
            </w:pPr>
            <w:r>
              <w:rPr>
                <w:sz w:val="24"/>
              </w:rPr>
              <w:t>Caminos</w:t>
            </w:r>
          </w:p>
          <w:p>
            <w:pPr>
              <w:pStyle w:val="TableParagraph"/>
              <w:tabs>
                <w:tab w:pos="9401" w:val="left" w:leader="none"/>
              </w:tabs>
              <w:spacing w:before="2"/>
              <w:ind w:left="-15" w:right="-7534"/>
              <w:jc w:val="left"/>
              <w:rPr>
                <w:sz w:val="24"/>
              </w:rPr>
            </w:pPr>
            <w:r>
              <w:rPr>
                <w:sz w:val="24"/>
                <w:u w:val="single"/>
              </w:rPr>
              <w:t> </w:t>
            </w:r>
            <w:r>
              <w:rPr>
                <w:spacing w:val="4"/>
                <w:sz w:val="24"/>
                <w:u w:val="single"/>
              </w:rPr>
              <w:t> </w:t>
            </w:r>
            <w:r>
              <w:rPr>
                <w:sz w:val="24"/>
                <w:u w:val="single"/>
              </w:rPr>
              <w:t>pavimentados</w:t>
              <w:tab/>
            </w:r>
          </w:p>
        </w:tc>
        <w:tc>
          <w:tcPr>
            <w:tcW w:w="3369" w:type="dxa"/>
            <w:tcBorders>
              <w:top w:val="nil"/>
              <w:left w:val="nil"/>
              <w:bottom w:val="nil"/>
              <w:right w:val="nil"/>
            </w:tcBorders>
          </w:tcPr>
          <w:p>
            <w:pPr/>
          </w:p>
        </w:tc>
        <w:tc>
          <w:tcPr>
            <w:tcW w:w="1840" w:type="dxa"/>
            <w:tcBorders>
              <w:top w:val="nil"/>
              <w:left w:val="nil"/>
              <w:bottom w:val="nil"/>
              <w:right w:val="nil"/>
            </w:tcBorders>
          </w:tcPr>
          <w:p>
            <w:pPr>
              <w:pStyle w:val="TableParagraph"/>
              <w:spacing w:line="262" w:lineRule="exact" w:before="0"/>
              <w:ind w:right="453"/>
              <w:rPr>
                <w:sz w:val="24"/>
              </w:rPr>
            </w:pPr>
            <w:r>
              <w:rPr>
                <w:sz w:val="24"/>
              </w:rPr>
              <w:t>Buena</w:t>
            </w:r>
          </w:p>
        </w:tc>
        <w:tc>
          <w:tcPr>
            <w:tcW w:w="605" w:type="dxa"/>
            <w:tcBorders>
              <w:top w:val="nil"/>
              <w:left w:val="nil"/>
              <w:bottom w:val="nil"/>
              <w:right w:val="nil"/>
            </w:tcBorders>
          </w:tcPr>
          <w:p>
            <w:pPr>
              <w:pStyle w:val="TableParagraph"/>
              <w:spacing w:line="262" w:lineRule="exact" w:before="0"/>
              <w:ind w:right="132"/>
              <w:rPr>
                <w:sz w:val="24"/>
              </w:rPr>
            </w:pPr>
            <w:r>
              <w:rPr>
                <w:sz w:val="24"/>
              </w:rPr>
              <w:t>74</w:t>
            </w:r>
          </w:p>
        </w:tc>
        <w:tc>
          <w:tcPr>
            <w:tcW w:w="557" w:type="dxa"/>
            <w:tcBorders>
              <w:top w:val="nil"/>
              <w:left w:val="nil"/>
              <w:bottom w:val="nil"/>
              <w:right w:val="nil"/>
            </w:tcBorders>
          </w:tcPr>
          <w:p>
            <w:pPr>
              <w:pStyle w:val="TableParagraph"/>
              <w:spacing w:line="262" w:lineRule="exact" w:before="0"/>
              <w:ind w:right="132"/>
              <w:rPr>
                <w:sz w:val="24"/>
              </w:rPr>
            </w:pPr>
            <w:r>
              <w:rPr>
                <w:sz w:val="24"/>
              </w:rPr>
              <w:t>84</w:t>
            </w:r>
          </w:p>
        </w:tc>
        <w:tc>
          <w:tcPr>
            <w:tcW w:w="557" w:type="dxa"/>
            <w:tcBorders>
              <w:top w:val="nil"/>
              <w:left w:val="nil"/>
              <w:bottom w:val="nil"/>
              <w:right w:val="nil"/>
            </w:tcBorders>
          </w:tcPr>
          <w:p>
            <w:pPr>
              <w:pStyle w:val="TableParagraph"/>
              <w:spacing w:line="262" w:lineRule="exact" w:before="0"/>
              <w:ind w:left="182"/>
              <w:jc w:val="left"/>
              <w:rPr>
                <w:sz w:val="24"/>
              </w:rPr>
            </w:pPr>
            <w:r>
              <w:rPr>
                <w:sz w:val="24"/>
              </w:rPr>
              <w:t>90</w:t>
            </w:r>
          </w:p>
        </w:tc>
        <w:tc>
          <w:tcPr>
            <w:tcW w:w="605" w:type="dxa"/>
            <w:tcBorders>
              <w:top w:val="nil"/>
              <w:left w:val="nil"/>
              <w:bottom w:val="nil"/>
              <w:right w:val="nil"/>
            </w:tcBorders>
          </w:tcPr>
          <w:p>
            <w:pPr>
              <w:pStyle w:val="TableParagraph"/>
              <w:spacing w:line="262" w:lineRule="exact" w:before="0"/>
              <w:ind w:left="134"/>
              <w:jc w:val="left"/>
              <w:rPr>
                <w:sz w:val="24"/>
              </w:rPr>
            </w:pPr>
            <w:r>
              <w:rPr>
                <w:sz w:val="24"/>
              </w:rPr>
              <w:t>952</w:t>
            </w:r>
          </w:p>
        </w:tc>
      </w:tr>
    </w:tbl>
    <w:p>
      <w:pPr>
        <w:spacing w:after="0" w:line="262" w:lineRule="exact"/>
        <w:jc w:val="left"/>
        <w:rPr>
          <w:sz w:val="24"/>
        </w:rPr>
        <w:sectPr>
          <w:footerReference w:type="default" r:id="rId207"/>
          <w:pgSz w:w="12240" w:h="15840"/>
          <w:pgMar w:footer="1473" w:header="0" w:top="1500" w:bottom="1660" w:left="1300" w:right="1300"/>
          <w:pgNumType w:start="211"/>
        </w:sectPr>
      </w:pPr>
    </w:p>
    <w:p>
      <w:pPr>
        <w:pStyle w:val="Heading1"/>
        <w:numPr>
          <w:ilvl w:val="1"/>
          <w:numId w:val="53"/>
        </w:numPr>
        <w:tabs>
          <w:tab w:pos="2773" w:val="left" w:leader="none"/>
        </w:tabs>
        <w:spacing w:line="240" w:lineRule="auto" w:before="53" w:after="0"/>
        <w:ind w:left="2772" w:right="0" w:hanging="360"/>
        <w:jc w:val="left"/>
      </w:pPr>
      <w:r>
        <w:rPr/>
        <w:t>ANEXO BASE DE DATOS DE CUERPOS DE</w:t>
      </w:r>
      <w:r>
        <w:rPr>
          <w:spacing w:val="-17"/>
        </w:rPr>
        <w:t> </w:t>
      </w:r>
      <w:r>
        <w:rPr/>
        <w:t>AGUA</w:t>
      </w:r>
    </w:p>
    <w:p>
      <w:pPr>
        <w:pStyle w:val="BodyText"/>
        <w:spacing w:before="9"/>
        <w:rPr>
          <w:b/>
        </w:rPr>
      </w:pPr>
    </w:p>
    <w:p>
      <w:pPr>
        <w:spacing w:line="294" w:lineRule="exact" w:before="0"/>
        <w:ind w:left="1620" w:right="564" w:hanging="635"/>
        <w:jc w:val="left"/>
        <w:rPr>
          <w:b/>
          <w:sz w:val="26"/>
        </w:rPr>
      </w:pPr>
      <w:bookmarkStart w:name="_bookmark170" w:id="229"/>
      <w:bookmarkEnd w:id="229"/>
      <w:r>
        <w:rPr/>
      </w:r>
      <w:r>
        <w:rPr>
          <w:b/>
          <w:sz w:val="26"/>
        </w:rPr>
        <w:t>Tabla 33. Fracción de cada subcuenca que drena hacia los cuerpos de agua, área total de la superficie del almacenamiento, volumen de agua necesaria</w:t>
      </w:r>
    </w:p>
    <w:p>
      <w:pPr>
        <w:pStyle w:val="BodyText"/>
        <w:rPr>
          <w:b/>
          <w:sz w:val="20"/>
        </w:rPr>
      </w:pPr>
    </w:p>
    <w:p>
      <w:pPr>
        <w:pStyle w:val="BodyText"/>
        <w:spacing w:before="1"/>
        <w:rPr>
          <w:b/>
          <w:sz w:val="24"/>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58"/>
        <w:gridCol w:w="981"/>
        <w:gridCol w:w="1035"/>
        <w:gridCol w:w="1162"/>
        <w:gridCol w:w="1016"/>
        <w:gridCol w:w="1175"/>
        <w:gridCol w:w="1060"/>
        <w:gridCol w:w="1035"/>
        <w:gridCol w:w="1203"/>
        <w:gridCol w:w="898"/>
      </w:tblGrid>
      <w:tr>
        <w:trPr>
          <w:trHeight w:val="307" w:hRule="exact"/>
        </w:trPr>
        <w:tc>
          <w:tcPr>
            <w:tcW w:w="1158" w:type="dxa"/>
            <w:tcBorders>
              <w:left w:val="nil"/>
              <w:right w:val="nil"/>
            </w:tcBorders>
          </w:tcPr>
          <w:p>
            <w:pPr>
              <w:pStyle w:val="TableParagraph"/>
              <w:spacing w:before="58"/>
              <w:ind w:left="72"/>
              <w:jc w:val="left"/>
              <w:rPr>
                <w:sz w:val="20"/>
              </w:rPr>
            </w:pPr>
            <w:r>
              <w:rPr>
                <w:sz w:val="20"/>
              </w:rPr>
              <w:t>SUBBASIN</w:t>
            </w:r>
          </w:p>
        </w:tc>
        <w:tc>
          <w:tcPr>
            <w:tcW w:w="981" w:type="dxa"/>
            <w:tcBorders>
              <w:left w:val="nil"/>
              <w:right w:val="nil"/>
            </w:tcBorders>
          </w:tcPr>
          <w:p>
            <w:pPr>
              <w:pStyle w:val="TableParagraph"/>
              <w:spacing w:before="58"/>
              <w:ind w:left="100"/>
              <w:jc w:val="left"/>
              <w:rPr>
                <w:sz w:val="20"/>
              </w:rPr>
            </w:pPr>
            <w:r>
              <w:rPr>
                <w:sz w:val="20"/>
              </w:rPr>
              <w:t>PND_FR</w:t>
            </w:r>
          </w:p>
        </w:tc>
        <w:tc>
          <w:tcPr>
            <w:tcW w:w="1035" w:type="dxa"/>
            <w:tcBorders>
              <w:left w:val="nil"/>
              <w:right w:val="nil"/>
            </w:tcBorders>
          </w:tcPr>
          <w:p>
            <w:pPr>
              <w:pStyle w:val="TableParagraph"/>
              <w:spacing w:before="58"/>
              <w:ind w:right="92"/>
              <w:rPr>
                <w:sz w:val="20"/>
              </w:rPr>
            </w:pPr>
            <w:r>
              <w:rPr>
                <w:sz w:val="20"/>
              </w:rPr>
              <w:t>PND_PSA</w:t>
            </w:r>
          </w:p>
        </w:tc>
        <w:tc>
          <w:tcPr>
            <w:tcW w:w="1162" w:type="dxa"/>
            <w:tcBorders>
              <w:left w:val="nil"/>
              <w:right w:val="nil"/>
            </w:tcBorders>
          </w:tcPr>
          <w:p>
            <w:pPr>
              <w:pStyle w:val="TableParagraph"/>
              <w:spacing w:before="58"/>
              <w:ind w:right="72"/>
              <w:rPr>
                <w:sz w:val="20"/>
              </w:rPr>
            </w:pPr>
            <w:r>
              <w:rPr>
                <w:sz w:val="20"/>
              </w:rPr>
              <w:t>PND_PVOL</w:t>
            </w:r>
          </w:p>
        </w:tc>
        <w:tc>
          <w:tcPr>
            <w:tcW w:w="1016" w:type="dxa"/>
            <w:tcBorders>
              <w:left w:val="nil"/>
              <w:right w:val="nil"/>
            </w:tcBorders>
          </w:tcPr>
          <w:p>
            <w:pPr>
              <w:pStyle w:val="TableParagraph"/>
              <w:spacing w:before="58"/>
              <w:ind w:right="67"/>
              <w:rPr>
                <w:sz w:val="20"/>
              </w:rPr>
            </w:pPr>
            <w:r>
              <w:rPr>
                <w:sz w:val="20"/>
              </w:rPr>
              <w:t>PND_ESA</w:t>
            </w:r>
          </w:p>
        </w:tc>
        <w:tc>
          <w:tcPr>
            <w:tcW w:w="1175" w:type="dxa"/>
            <w:tcBorders>
              <w:left w:val="nil"/>
              <w:right w:val="nil"/>
            </w:tcBorders>
          </w:tcPr>
          <w:p>
            <w:pPr>
              <w:pStyle w:val="TableParagraph"/>
              <w:spacing w:before="58"/>
              <w:ind w:right="68"/>
              <w:rPr>
                <w:sz w:val="20"/>
              </w:rPr>
            </w:pPr>
            <w:r>
              <w:rPr>
                <w:sz w:val="20"/>
              </w:rPr>
              <w:t>PND_EVOL</w:t>
            </w:r>
          </w:p>
        </w:tc>
        <w:tc>
          <w:tcPr>
            <w:tcW w:w="1060" w:type="dxa"/>
            <w:tcBorders>
              <w:left w:val="nil"/>
              <w:right w:val="nil"/>
            </w:tcBorders>
          </w:tcPr>
          <w:p>
            <w:pPr>
              <w:pStyle w:val="TableParagraph"/>
              <w:spacing w:before="58"/>
              <w:ind w:right="76"/>
              <w:rPr>
                <w:sz w:val="20"/>
              </w:rPr>
            </w:pPr>
            <w:r>
              <w:rPr>
                <w:sz w:val="20"/>
              </w:rPr>
              <w:t>PND_VOL</w:t>
            </w:r>
          </w:p>
        </w:tc>
        <w:tc>
          <w:tcPr>
            <w:tcW w:w="1035" w:type="dxa"/>
            <w:tcBorders>
              <w:left w:val="nil"/>
              <w:right w:val="nil"/>
            </w:tcBorders>
          </w:tcPr>
          <w:p>
            <w:pPr>
              <w:pStyle w:val="TableParagraph"/>
              <w:spacing w:before="58"/>
              <w:ind w:right="80"/>
              <w:rPr>
                <w:sz w:val="20"/>
              </w:rPr>
            </w:pPr>
            <w:r>
              <w:rPr>
                <w:sz w:val="20"/>
              </w:rPr>
              <w:t>PND_SED</w:t>
            </w:r>
          </w:p>
        </w:tc>
        <w:tc>
          <w:tcPr>
            <w:tcW w:w="1203" w:type="dxa"/>
            <w:tcBorders>
              <w:left w:val="nil"/>
              <w:right w:val="nil"/>
            </w:tcBorders>
          </w:tcPr>
          <w:p>
            <w:pPr>
              <w:pStyle w:val="TableParagraph"/>
              <w:spacing w:before="58"/>
              <w:ind w:right="107"/>
              <w:rPr>
                <w:sz w:val="20"/>
              </w:rPr>
            </w:pPr>
            <w:r>
              <w:rPr>
                <w:sz w:val="20"/>
              </w:rPr>
              <w:t>PND_NSED</w:t>
            </w:r>
          </w:p>
        </w:tc>
        <w:tc>
          <w:tcPr>
            <w:tcW w:w="898" w:type="dxa"/>
            <w:tcBorders>
              <w:left w:val="nil"/>
              <w:right w:val="nil"/>
            </w:tcBorders>
          </w:tcPr>
          <w:p>
            <w:pPr>
              <w:pStyle w:val="TableParagraph"/>
              <w:spacing w:before="58"/>
              <w:ind w:left="105"/>
              <w:jc w:val="left"/>
              <w:rPr>
                <w:sz w:val="20"/>
              </w:rPr>
            </w:pPr>
            <w:r>
              <w:rPr>
                <w:sz w:val="20"/>
              </w:rPr>
              <w:t>PND_K</w:t>
            </w:r>
          </w:p>
        </w:tc>
      </w:tr>
      <w:tr>
        <w:trPr>
          <w:trHeight w:val="342" w:hRule="exact"/>
        </w:trPr>
        <w:tc>
          <w:tcPr>
            <w:tcW w:w="1158" w:type="dxa"/>
            <w:tcBorders>
              <w:left w:val="nil"/>
              <w:bottom w:val="nil"/>
              <w:right w:val="nil"/>
            </w:tcBorders>
          </w:tcPr>
          <w:p>
            <w:pPr>
              <w:pStyle w:val="TableParagraph"/>
              <w:spacing w:before="63"/>
              <w:ind w:left="72"/>
              <w:jc w:val="left"/>
              <w:rPr>
                <w:sz w:val="20"/>
              </w:rPr>
            </w:pPr>
            <w:r>
              <w:rPr>
                <w:w w:val="100"/>
                <w:sz w:val="20"/>
              </w:rPr>
              <w:t>1</w:t>
            </w:r>
          </w:p>
        </w:tc>
        <w:tc>
          <w:tcPr>
            <w:tcW w:w="981" w:type="dxa"/>
            <w:tcBorders>
              <w:left w:val="nil"/>
              <w:bottom w:val="nil"/>
              <w:right w:val="nil"/>
            </w:tcBorders>
          </w:tcPr>
          <w:p>
            <w:pPr>
              <w:pStyle w:val="TableParagraph"/>
              <w:spacing w:before="63"/>
              <w:ind w:right="72"/>
              <w:rPr>
                <w:sz w:val="20"/>
              </w:rPr>
            </w:pPr>
            <w:r>
              <w:rPr>
                <w:sz w:val="20"/>
              </w:rPr>
              <w:t>0.452</w:t>
            </w:r>
          </w:p>
        </w:tc>
        <w:tc>
          <w:tcPr>
            <w:tcW w:w="1035" w:type="dxa"/>
            <w:tcBorders>
              <w:left w:val="nil"/>
              <w:bottom w:val="nil"/>
              <w:right w:val="nil"/>
            </w:tcBorders>
          </w:tcPr>
          <w:p>
            <w:pPr>
              <w:pStyle w:val="TableParagraph"/>
              <w:spacing w:before="63"/>
              <w:ind w:right="65"/>
              <w:rPr>
                <w:sz w:val="20"/>
              </w:rPr>
            </w:pPr>
            <w:r>
              <w:rPr>
                <w:sz w:val="20"/>
              </w:rPr>
              <w:t>11.3</w:t>
            </w:r>
          </w:p>
        </w:tc>
        <w:tc>
          <w:tcPr>
            <w:tcW w:w="1162" w:type="dxa"/>
            <w:tcBorders>
              <w:left w:val="nil"/>
              <w:bottom w:val="nil"/>
              <w:right w:val="nil"/>
            </w:tcBorders>
          </w:tcPr>
          <w:p>
            <w:pPr>
              <w:pStyle w:val="TableParagraph"/>
              <w:spacing w:before="63"/>
              <w:ind w:right="65"/>
              <w:rPr>
                <w:sz w:val="20"/>
              </w:rPr>
            </w:pPr>
            <w:r>
              <w:rPr>
                <w:sz w:val="20"/>
              </w:rPr>
              <w:t>27.2</w:t>
            </w:r>
          </w:p>
        </w:tc>
        <w:tc>
          <w:tcPr>
            <w:tcW w:w="1016" w:type="dxa"/>
            <w:tcBorders>
              <w:left w:val="nil"/>
              <w:bottom w:val="nil"/>
              <w:right w:val="nil"/>
            </w:tcBorders>
          </w:tcPr>
          <w:p>
            <w:pPr>
              <w:pStyle w:val="TableParagraph"/>
              <w:spacing w:before="63"/>
              <w:ind w:right="68"/>
              <w:rPr>
                <w:sz w:val="20"/>
              </w:rPr>
            </w:pPr>
            <w:r>
              <w:rPr>
                <w:w w:val="100"/>
                <w:sz w:val="20"/>
              </w:rPr>
              <w:t>0</w:t>
            </w:r>
          </w:p>
        </w:tc>
        <w:tc>
          <w:tcPr>
            <w:tcW w:w="1175" w:type="dxa"/>
            <w:tcBorders>
              <w:left w:val="nil"/>
              <w:bottom w:val="nil"/>
              <w:right w:val="nil"/>
            </w:tcBorders>
          </w:tcPr>
          <w:p>
            <w:pPr>
              <w:pStyle w:val="TableParagraph"/>
              <w:spacing w:before="63"/>
              <w:ind w:right="71"/>
              <w:rPr>
                <w:sz w:val="20"/>
              </w:rPr>
            </w:pPr>
            <w:r>
              <w:rPr>
                <w:w w:val="100"/>
                <w:sz w:val="20"/>
              </w:rPr>
              <w:t>0</w:t>
            </w:r>
          </w:p>
        </w:tc>
        <w:tc>
          <w:tcPr>
            <w:tcW w:w="1060" w:type="dxa"/>
            <w:tcBorders>
              <w:left w:val="nil"/>
              <w:bottom w:val="nil"/>
              <w:right w:val="nil"/>
            </w:tcBorders>
          </w:tcPr>
          <w:p>
            <w:pPr>
              <w:pStyle w:val="TableParagraph"/>
              <w:spacing w:before="63"/>
              <w:ind w:right="70"/>
              <w:rPr>
                <w:sz w:val="20"/>
              </w:rPr>
            </w:pPr>
            <w:r>
              <w:rPr>
                <w:sz w:val="20"/>
              </w:rPr>
              <w:t>20.4</w:t>
            </w:r>
          </w:p>
        </w:tc>
        <w:tc>
          <w:tcPr>
            <w:tcW w:w="1035" w:type="dxa"/>
            <w:tcBorders>
              <w:left w:val="nil"/>
              <w:bottom w:val="nil"/>
              <w:right w:val="nil"/>
            </w:tcBorders>
          </w:tcPr>
          <w:p>
            <w:pPr>
              <w:pStyle w:val="TableParagraph"/>
              <w:spacing w:before="63"/>
              <w:ind w:right="67"/>
              <w:rPr>
                <w:sz w:val="20"/>
              </w:rPr>
            </w:pPr>
            <w:r>
              <w:rPr>
                <w:sz w:val="20"/>
              </w:rPr>
              <w:t>63</w:t>
            </w:r>
          </w:p>
        </w:tc>
        <w:tc>
          <w:tcPr>
            <w:tcW w:w="1203" w:type="dxa"/>
            <w:tcBorders>
              <w:left w:val="nil"/>
              <w:bottom w:val="nil"/>
              <w:right w:val="nil"/>
            </w:tcBorders>
          </w:tcPr>
          <w:p>
            <w:pPr>
              <w:pStyle w:val="TableParagraph"/>
              <w:spacing w:before="63"/>
              <w:ind w:right="103"/>
              <w:rPr>
                <w:sz w:val="20"/>
              </w:rPr>
            </w:pPr>
            <w:r>
              <w:rPr>
                <w:sz w:val="20"/>
              </w:rPr>
              <w:t>100</w:t>
            </w:r>
          </w:p>
        </w:tc>
        <w:tc>
          <w:tcPr>
            <w:tcW w:w="898" w:type="dxa"/>
            <w:tcBorders>
              <w:left w:val="nil"/>
              <w:bottom w:val="nil"/>
              <w:right w:val="nil"/>
            </w:tcBorders>
          </w:tcPr>
          <w:p>
            <w:pPr>
              <w:pStyle w:val="TableParagraph"/>
              <w:spacing w:before="63"/>
              <w:ind w:right="60"/>
              <w:rPr>
                <w:sz w:val="20"/>
              </w:rPr>
            </w:pPr>
            <w:r>
              <w:rPr>
                <w:sz w:val="20"/>
              </w:rPr>
              <w:t>0.08</w:t>
            </w:r>
          </w:p>
        </w:tc>
      </w:tr>
      <w:tr>
        <w:trPr>
          <w:trHeight w:val="300" w:hRule="exact"/>
        </w:trPr>
        <w:tc>
          <w:tcPr>
            <w:tcW w:w="1158" w:type="dxa"/>
            <w:tcBorders>
              <w:top w:val="nil"/>
              <w:left w:val="nil"/>
              <w:bottom w:val="nil"/>
              <w:right w:val="nil"/>
            </w:tcBorders>
          </w:tcPr>
          <w:p>
            <w:pPr>
              <w:pStyle w:val="TableParagraph"/>
              <w:ind w:left="72"/>
              <w:jc w:val="left"/>
              <w:rPr>
                <w:sz w:val="20"/>
              </w:rPr>
            </w:pPr>
            <w:r>
              <w:rPr>
                <w:w w:val="100"/>
                <w:sz w:val="20"/>
              </w:rPr>
              <w:t>2</w:t>
            </w:r>
          </w:p>
        </w:tc>
        <w:tc>
          <w:tcPr>
            <w:tcW w:w="981" w:type="dxa"/>
            <w:tcBorders>
              <w:top w:val="nil"/>
              <w:left w:val="nil"/>
              <w:bottom w:val="nil"/>
              <w:right w:val="nil"/>
            </w:tcBorders>
          </w:tcPr>
          <w:p>
            <w:pPr>
              <w:pStyle w:val="TableParagraph"/>
              <w:ind w:right="72"/>
              <w:rPr>
                <w:sz w:val="20"/>
              </w:rPr>
            </w:pPr>
            <w:r>
              <w:rPr>
                <w:sz w:val="20"/>
              </w:rPr>
              <w:t>0.001</w:t>
            </w:r>
          </w:p>
        </w:tc>
        <w:tc>
          <w:tcPr>
            <w:tcW w:w="1035" w:type="dxa"/>
            <w:tcBorders>
              <w:top w:val="nil"/>
              <w:left w:val="nil"/>
              <w:bottom w:val="nil"/>
              <w:right w:val="nil"/>
            </w:tcBorders>
          </w:tcPr>
          <w:p>
            <w:pPr>
              <w:pStyle w:val="TableParagraph"/>
              <w:ind w:right="65"/>
              <w:rPr>
                <w:sz w:val="20"/>
              </w:rPr>
            </w:pPr>
            <w:r>
              <w:rPr>
                <w:sz w:val="20"/>
              </w:rPr>
              <w:t>2.1</w:t>
            </w:r>
          </w:p>
        </w:tc>
        <w:tc>
          <w:tcPr>
            <w:tcW w:w="1162" w:type="dxa"/>
            <w:tcBorders>
              <w:top w:val="nil"/>
              <w:left w:val="nil"/>
              <w:bottom w:val="nil"/>
              <w:right w:val="nil"/>
            </w:tcBorders>
          </w:tcPr>
          <w:p>
            <w:pPr>
              <w:pStyle w:val="TableParagraph"/>
              <w:ind w:right="65"/>
              <w:rPr>
                <w:sz w:val="20"/>
              </w:rPr>
            </w:pPr>
            <w:r>
              <w:rPr>
                <w:sz w:val="20"/>
              </w:rPr>
              <w:t>5.2</w:t>
            </w:r>
          </w:p>
        </w:tc>
        <w:tc>
          <w:tcPr>
            <w:tcW w:w="1016" w:type="dxa"/>
            <w:tcBorders>
              <w:top w:val="nil"/>
              <w:left w:val="nil"/>
              <w:bottom w:val="nil"/>
              <w:right w:val="nil"/>
            </w:tcBorders>
          </w:tcPr>
          <w:p>
            <w:pPr>
              <w:pStyle w:val="TableParagraph"/>
              <w:ind w:right="68"/>
              <w:rPr>
                <w:sz w:val="20"/>
              </w:rPr>
            </w:pPr>
            <w:r>
              <w:rPr>
                <w:w w:val="100"/>
                <w:sz w:val="20"/>
              </w:rPr>
              <w:t>0</w:t>
            </w:r>
          </w:p>
        </w:tc>
        <w:tc>
          <w:tcPr>
            <w:tcW w:w="1175" w:type="dxa"/>
            <w:tcBorders>
              <w:top w:val="nil"/>
              <w:left w:val="nil"/>
              <w:bottom w:val="nil"/>
              <w:right w:val="nil"/>
            </w:tcBorders>
          </w:tcPr>
          <w:p>
            <w:pPr>
              <w:pStyle w:val="TableParagraph"/>
              <w:ind w:right="71"/>
              <w:rPr>
                <w:sz w:val="20"/>
              </w:rPr>
            </w:pPr>
            <w:r>
              <w:rPr>
                <w:w w:val="100"/>
                <w:sz w:val="20"/>
              </w:rPr>
              <w:t>0</w:t>
            </w:r>
          </w:p>
        </w:tc>
        <w:tc>
          <w:tcPr>
            <w:tcW w:w="1060" w:type="dxa"/>
            <w:tcBorders>
              <w:top w:val="nil"/>
              <w:left w:val="nil"/>
              <w:bottom w:val="nil"/>
              <w:right w:val="nil"/>
            </w:tcBorders>
          </w:tcPr>
          <w:p>
            <w:pPr>
              <w:pStyle w:val="TableParagraph"/>
              <w:ind w:right="70"/>
              <w:rPr>
                <w:sz w:val="20"/>
              </w:rPr>
            </w:pPr>
            <w:r>
              <w:rPr>
                <w:sz w:val="20"/>
              </w:rPr>
              <w:t>3.9</w:t>
            </w:r>
          </w:p>
        </w:tc>
        <w:tc>
          <w:tcPr>
            <w:tcW w:w="1035" w:type="dxa"/>
            <w:tcBorders>
              <w:top w:val="nil"/>
              <w:left w:val="nil"/>
              <w:bottom w:val="nil"/>
              <w:right w:val="nil"/>
            </w:tcBorders>
          </w:tcPr>
          <w:p>
            <w:pPr>
              <w:pStyle w:val="TableParagraph"/>
              <w:ind w:right="67"/>
              <w:rPr>
                <w:sz w:val="20"/>
              </w:rPr>
            </w:pPr>
            <w:r>
              <w:rPr>
                <w:sz w:val="20"/>
              </w:rPr>
              <w:t>63</w:t>
            </w:r>
          </w:p>
        </w:tc>
        <w:tc>
          <w:tcPr>
            <w:tcW w:w="1203" w:type="dxa"/>
            <w:tcBorders>
              <w:top w:val="nil"/>
              <w:left w:val="nil"/>
              <w:bottom w:val="nil"/>
              <w:right w:val="nil"/>
            </w:tcBorders>
          </w:tcPr>
          <w:p>
            <w:pPr>
              <w:pStyle w:val="TableParagraph"/>
              <w:ind w:right="103"/>
              <w:rPr>
                <w:sz w:val="20"/>
              </w:rPr>
            </w:pPr>
            <w:r>
              <w:rPr>
                <w:sz w:val="20"/>
              </w:rPr>
              <w:t>100</w:t>
            </w:r>
          </w:p>
        </w:tc>
        <w:tc>
          <w:tcPr>
            <w:tcW w:w="898" w:type="dxa"/>
            <w:tcBorders>
              <w:top w:val="nil"/>
              <w:left w:val="nil"/>
              <w:bottom w:val="nil"/>
              <w:right w:val="nil"/>
            </w:tcBorders>
          </w:tcPr>
          <w:p>
            <w:pPr>
              <w:pStyle w:val="TableParagraph"/>
              <w:ind w:right="60"/>
              <w:rPr>
                <w:sz w:val="20"/>
              </w:rPr>
            </w:pPr>
            <w:r>
              <w:rPr>
                <w:sz w:val="20"/>
              </w:rPr>
              <w:t>0.08</w:t>
            </w:r>
          </w:p>
        </w:tc>
      </w:tr>
      <w:tr>
        <w:trPr>
          <w:trHeight w:val="300" w:hRule="exact"/>
        </w:trPr>
        <w:tc>
          <w:tcPr>
            <w:tcW w:w="1158" w:type="dxa"/>
            <w:tcBorders>
              <w:top w:val="nil"/>
              <w:left w:val="nil"/>
              <w:bottom w:val="nil"/>
              <w:right w:val="nil"/>
            </w:tcBorders>
          </w:tcPr>
          <w:p>
            <w:pPr>
              <w:pStyle w:val="TableParagraph"/>
              <w:spacing w:before="26"/>
              <w:ind w:left="72"/>
              <w:jc w:val="left"/>
              <w:rPr>
                <w:sz w:val="20"/>
              </w:rPr>
            </w:pPr>
            <w:r>
              <w:rPr>
                <w:w w:val="100"/>
                <w:sz w:val="20"/>
              </w:rPr>
              <w:t>3</w:t>
            </w:r>
          </w:p>
        </w:tc>
        <w:tc>
          <w:tcPr>
            <w:tcW w:w="981" w:type="dxa"/>
            <w:tcBorders>
              <w:top w:val="nil"/>
              <w:left w:val="nil"/>
              <w:bottom w:val="nil"/>
              <w:right w:val="nil"/>
            </w:tcBorders>
          </w:tcPr>
          <w:p>
            <w:pPr>
              <w:pStyle w:val="TableParagraph"/>
              <w:spacing w:before="26"/>
              <w:ind w:right="72"/>
              <w:rPr>
                <w:sz w:val="20"/>
              </w:rPr>
            </w:pPr>
            <w:r>
              <w:rPr>
                <w:sz w:val="20"/>
              </w:rPr>
              <w:t>0.253</w:t>
            </w:r>
          </w:p>
        </w:tc>
        <w:tc>
          <w:tcPr>
            <w:tcW w:w="1035" w:type="dxa"/>
            <w:tcBorders>
              <w:top w:val="nil"/>
              <w:left w:val="nil"/>
              <w:bottom w:val="nil"/>
              <w:right w:val="nil"/>
            </w:tcBorders>
          </w:tcPr>
          <w:p>
            <w:pPr>
              <w:pStyle w:val="TableParagraph"/>
              <w:spacing w:before="26"/>
              <w:ind w:right="65"/>
              <w:rPr>
                <w:sz w:val="20"/>
              </w:rPr>
            </w:pPr>
            <w:r>
              <w:rPr>
                <w:sz w:val="20"/>
              </w:rPr>
              <w:t>3.8</w:t>
            </w:r>
          </w:p>
        </w:tc>
        <w:tc>
          <w:tcPr>
            <w:tcW w:w="1162" w:type="dxa"/>
            <w:tcBorders>
              <w:top w:val="nil"/>
              <w:left w:val="nil"/>
              <w:bottom w:val="nil"/>
              <w:right w:val="nil"/>
            </w:tcBorders>
          </w:tcPr>
          <w:p>
            <w:pPr>
              <w:pStyle w:val="TableParagraph"/>
              <w:spacing w:before="26"/>
              <w:ind w:right="65"/>
              <w:rPr>
                <w:sz w:val="20"/>
              </w:rPr>
            </w:pPr>
            <w:r>
              <w:rPr>
                <w:sz w:val="20"/>
              </w:rPr>
              <w:t>9.1</w:t>
            </w:r>
          </w:p>
        </w:tc>
        <w:tc>
          <w:tcPr>
            <w:tcW w:w="1016" w:type="dxa"/>
            <w:tcBorders>
              <w:top w:val="nil"/>
              <w:left w:val="nil"/>
              <w:bottom w:val="nil"/>
              <w:right w:val="nil"/>
            </w:tcBorders>
          </w:tcPr>
          <w:p>
            <w:pPr>
              <w:pStyle w:val="TableParagraph"/>
              <w:spacing w:before="26"/>
              <w:ind w:right="68"/>
              <w:rPr>
                <w:sz w:val="20"/>
              </w:rPr>
            </w:pPr>
            <w:r>
              <w:rPr>
                <w:w w:val="100"/>
                <w:sz w:val="20"/>
              </w:rPr>
              <w:t>0</w:t>
            </w:r>
          </w:p>
        </w:tc>
        <w:tc>
          <w:tcPr>
            <w:tcW w:w="1175" w:type="dxa"/>
            <w:tcBorders>
              <w:top w:val="nil"/>
              <w:left w:val="nil"/>
              <w:bottom w:val="nil"/>
              <w:right w:val="nil"/>
            </w:tcBorders>
          </w:tcPr>
          <w:p>
            <w:pPr>
              <w:pStyle w:val="TableParagraph"/>
              <w:spacing w:before="26"/>
              <w:ind w:right="71"/>
              <w:rPr>
                <w:sz w:val="20"/>
              </w:rPr>
            </w:pPr>
            <w:r>
              <w:rPr>
                <w:w w:val="100"/>
                <w:sz w:val="20"/>
              </w:rPr>
              <w:t>0</w:t>
            </w:r>
          </w:p>
        </w:tc>
        <w:tc>
          <w:tcPr>
            <w:tcW w:w="1060" w:type="dxa"/>
            <w:tcBorders>
              <w:top w:val="nil"/>
              <w:left w:val="nil"/>
              <w:bottom w:val="nil"/>
              <w:right w:val="nil"/>
            </w:tcBorders>
          </w:tcPr>
          <w:p>
            <w:pPr>
              <w:pStyle w:val="TableParagraph"/>
              <w:spacing w:before="26"/>
              <w:ind w:right="70"/>
              <w:rPr>
                <w:sz w:val="20"/>
              </w:rPr>
            </w:pPr>
            <w:r>
              <w:rPr>
                <w:sz w:val="20"/>
              </w:rPr>
              <w:t>6.8</w:t>
            </w:r>
          </w:p>
        </w:tc>
        <w:tc>
          <w:tcPr>
            <w:tcW w:w="1035" w:type="dxa"/>
            <w:tcBorders>
              <w:top w:val="nil"/>
              <w:left w:val="nil"/>
              <w:bottom w:val="nil"/>
              <w:right w:val="nil"/>
            </w:tcBorders>
          </w:tcPr>
          <w:p>
            <w:pPr>
              <w:pStyle w:val="TableParagraph"/>
              <w:spacing w:before="26"/>
              <w:ind w:right="67"/>
              <w:rPr>
                <w:sz w:val="20"/>
              </w:rPr>
            </w:pPr>
            <w:r>
              <w:rPr>
                <w:sz w:val="20"/>
              </w:rPr>
              <w:t>63</w:t>
            </w:r>
          </w:p>
        </w:tc>
        <w:tc>
          <w:tcPr>
            <w:tcW w:w="1203" w:type="dxa"/>
            <w:tcBorders>
              <w:top w:val="nil"/>
              <w:left w:val="nil"/>
              <w:bottom w:val="nil"/>
              <w:right w:val="nil"/>
            </w:tcBorders>
          </w:tcPr>
          <w:p>
            <w:pPr>
              <w:pStyle w:val="TableParagraph"/>
              <w:spacing w:before="26"/>
              <w:ind w:right="103"/>
              <w:rPr>
                <w:sz w:val="20"/>
              </w:rPr>
            </w:pPr>
            <w:r>
              <w:rPr>
                <w:sz w:val="20"/>
              </w:rPr>
              <w:t>100</w:t>
            </w:r>
          </w:p>
        </w:tc>
        <w:tc>
          <w:tcPr>
            <w:tcW w:w="898" w:type="dxa"/>
            <w:tcBorders>
              <w:top w:val="nil"/>
              <w:left w:val="nil"/>
              <w:bottom w:val="nil"/>
              <w:right w:val="nil"/>
            </w:tcBorders>
          </w:tcPr>
          <w:p>
            <w:pPr>
              <w:pStyle w:val="TableParagraph"/>
              <w:spacing w:before="26"/>
              <w:ind w:right="60"/>
              <w:rPr>
                <w:sz w:val="20"/>
              </w:rPr>
            </w:pPr>
            <w:r>
              <w:rPr>
                <w:sz w:val="20"/>
              </w:rPr>
              <w:t>0.08</w:t>
            </w:r>
          </w:p>
        </w:tc>
      </w:tr>
      <w:tr>
        <w:trPr>
          <w:trHeight w:val="300" w:hRule="exact"/>
        </w:trPr>
        <w:tc>
          <w:tcPr>
            <w:tcW w:w="1158" w:type="dxa"/>
            <w:tcBorders>
              <w:top w:val="nil"/>
              <w:left w:val="nil"/>
              <w:bottom w:val="nil"/>
              <w:right w:val="nil"/>
            </w:tcBorders>
          </w:tcPr>
          <w:p>
            <w:pPr>
              <w:pStyle w:val="TableParagraph"/>
              <w:ind w:left="72"/>
              <w:jc w:val="left"/>
              <w:rPr>
                <w:sz w:val="20"/>
              </w:rPr>
            </w:pPr>
            <w:r>
              <w:rPr>
                <w:w w:val="100"/>
                <w:sz w:val="20"/>
              </w:rPr>
              <w:t>4</w:t>
            </w:r>
          </w:p>
        </w:tc>
        <w:tc>
          <w:tcPr>
            <w:tcW w:w="981" w:type="dxa"/>
            <w:tcBorders>
              <w:top w:val="nil"/>
              <w:left w:val="nil"/>
              <w:bottom w:val="nil"/>
              <w:right w:val="nil"/>
            </w:tcBorders>
          </w:tcPr>
          <w:p>
            <w:pPr>
              <w:pStyle w:val="TableParagraph"/>
              <w:ind w:right="72"/>
              <w:rPr>
                <w:sz w:val="20"/>
              </w:rPr>
            </w:pPr>
            <w:r>
              <w:rPr>
                <w:sz w:val="20"/>
              </w:rPr>
              <w:t>0.256</w:t>
            </w:r>
          </w:p>
        </w:tc>
        <w:tc>
          <w:tcPr>
            <w:tcW w:w="1035" w:type="dxa"/>
            <w:tcBorders>
              <w:top w:val="nil"/>
              <w:left w:val="nil"/>
              <w:bottom w:val="nil"/>
              <w:right w:val="nil"/>
            </w:tcBorders>
          </w:tcPr>
          <w:p>
            <w:pPr>
              <w:pStyle w:val="TableParagraph"/>
              <w:ind w:right="65"/>
              <w:rPr>
                <w:sz w:val="20"/>
              </w:rPr>
            </w:pPr>
            <w:r>
              <w:rPr>
                <w:sz w:val="20"/>
              </w:rPr>
              <w:t>5.3</w:t>
            </w:r>
          </w:p>
        </w:tc>
        <w:tc>
          <w:tcPr>
            <w:tcW w:w="1162" w:type="dxa"/>
            <w:tcBorders>
              <w:top w:val="nil"/>
              <w:left w:val="nil"/>
              <w:bottom w:val="nil"/>
              <w:right w:val="nil"/>
            </w:tcBorders>
          </w:tcPr>
          <w:p>
            <w:pPr>
              <w:pStyle w:val="TableParagraph"/>
              <w:ind w:right="65"/>
              <w:rPr>
                <w:sz w:val="20"/>
              </w:rPr>
            </w:pPr>
            <w:r>
              <w:rPr>
                <w:sz w:val="20"/>
              </w:rPr>
              <w:t>12.8</w:t>
            </w:r>
          </w:p>
        </w:tc>
        <w:tc>
          <w:tcPr>
            <w:tcW w:w="1016" w:type="dxa"/>
            <w:tcBorders>
              <w:top w:val="nil"/>
              <w:left w:val="nil"/>
              <w:bottom w:val="nil"/>
              <w:right w:val="nil"/>
            </w:tcBorders>
          </w:tcPr>
          <w:p>
            <w:pPr>
              <w:pStyle w:val="TableParagraph"/>
              <w:ind w:right="68"/>
              <w:rPr>
                <w:sz w:val="20"/>
              </w:rPr>
            </w:pPr>
            <w:r>
              <w:rPr>
                <w:w w:val="100"/>
                <w:sz w:val="20"/>
              </w:rPr>
              <w:t>0</w:t>
            </w:r>
          </w:p>
        </w:tc>
        <w:tc>
          <w:tcPr>
            <w:tcW w:w="1175" w:type="dxa"/>
            <w:tcBorders>
              <w:top w:val="nil"/>
              <w:left w:val="nil"/>
              <w:bottom w:val="nil"/>
              <w:right w:val="nil"/>
            </w:tcBorders>
          </w:tcPr>
          <w:p>
            <w:pPr>
              <w:pStyle w:val="TableParagraph"/>
              <w:ind w:right="71"/>
              <w:rPr>
                <w:sz w:val="20"/>
              </w:rPr>
            </w:pPr>
            <w:r>
              <w:rPr>
                <w:w w:val="100"/>
                <w:sz w:val="20"/>
              </w:rPr>
              <w:t>0</w:t>
            </w:r>
          </w:p>
        </w:tc>
        <w:tc>
          <w:tcPr>
            <w:tcW w:w="1060" w:type="dxa"/>
            <w:tcBorders>
              <w:top w:val="nil"/>
              <w:left w:val="nil"/>
              <w:bottom w:val="nil"/>
              <w:right w:val="nil"/>
            </w:tcBorders>
          </w:tcPr>
          <w:p>
            <w:pPr>
              <w:pStyle w:val="TableParagraph"/>
              <w:ind w:right="70"/>
              <w:rPr>
                <w:sz w:val="20"/>
              </w:rPr>
            </w:pPr>
            <w:r>
              <w:rPr>
                <w:sz w:val="20"/>
              </w:rPr>
              <w:t>9.6</w:t>
            </w:r>
          </w:p>
        </w:tc>
        <w:tc>
          <w:tcPr>
            <w:tcW w:w="1035" w:type="dxa"/>
            <w:tcBorders>
              <w:top w:val="nil"/>
              <w:left w:val="nil"/>
              <w:bottom w:val="nil"/>
              <w:right w:val="nil"/>
            </w:tcBorders>
          </w:tcPr>
          <w:p>
            <w:pPr>
              <w:pStyle w:val="TableParagraph"/>
              <w:ind w:right="67"/>
              <w:rPr>
                <w:sz w:val="20"/>
              </w:rPr>
            </w:pPr>
            <w:r>
              <w:rPr>
                <w:sz w:val="20"/>
              </w:rPr>
              <w:t>63</w:t>
            </w:r>
          </w:p>
        </w:tc>
        <w:tc>
          <w:tcPr>
            <w:tcW w:w="1203" w:type="dxa"/>
            <w:tcBorders>
              <w:top w:val="nil"/>
              <w:left w:val="nil"/>
              <w:bottom w:val="nil"/>
              <w:right w:val="nil"/>
            </w:tcBorders>
          </w:tcPr>
          <w:p>
            <w:pPr>
              <w:pStyle w:val="TableParagraph"/>
              <w:ind w:right="103"/>
              <w:rPr>
                <w:sz w:val="20"/>
              </w:rPr>
            </w:pPr>
            <w:r>
              <w:rPr>
                <w:sz w:val="20"/>
              </w:rPr>
              <w:t>100</w:t>
            </w:r>
          </w:p>
        </w:tc>
        <w:tc>
          <w:tcPr>
            <w:tcW w:w="898" w:type="dxa"/>
            <w:tcBorders>
              <w:top w:val="nil"/>
              <w:left w:val="nil"/>
              <w:bottom w:val="nil"/>
              <w:right w:val="nil"/>
            </w:tcBorders>
          </w:tcPr>
          <w:p>
            <w:pPr>
              <w:pStyle w:val="TableParagraph"/>
              <w:ind w:right="60"/>
              <w:rPr>
                <w:sz w:val="20"/>
              </w:rPr>
            </w:pPr>
            <w:r>
              <w:rPr>
                <w:sz w:val="20"/>
              </w:rPr>
              <w:t>0.08</w:t>
            </w:r>
          </w:p>
        </w:tc>
      </w:tr>
      <w:tr>
        <w:trPr>
          <w:trHeight w:val="300" w:hRule="exact"/>
        </w:trPr>
        <w:tc>
          <w:tcPr>
            <w:tcW w:w="1158" w:type="dxa"/>
            <w:tcBorders>
              <w:top w:val="nil"/>
              <w:left w:val="nil"/>
              <w:bottom w:val="nil"/>
              <w:right w:val="nil"/>
            </w:tcBorders>
          </w:tcPr>
          <w:p>
            <w:pPr>
              <w:pStyle w:val="TableParagraph"/>
              <w:spacing w:before="26"/>
              <w:ind w:left="72"/>
              <w:jc w:val="left"/>
              <w:rPr>
                <w:sz w:val="20"/>
              </w:rPr>
            </w:pPr>
            <w:r>
              <w:rPr>
                <w:w w:val="100"/>
                <w:sz w:val="20"/>
              </w:rPr>
              <w:t>5</w:t>
            </w:r>
          </w:p>
        </w:tc>
        <w:tc>
          <w:tcPr>
            <w:tcW w:w="981" w:type="dxa"/>
            <w:tcBorders>
              <w:top w:val="nil"/>
              <w:left w:val="nil"/>
              <w:bottom w:val="nil"/>
              <w:right w:val="nil"/>
            </w:tcBorders>
          </w:tcPr>
          <w:p>
            <w:pPr>
              <w:pStyle w:val="TableParagraph"/>
              <w:spacing w:before="26"/>
              <w:ind w:right="72"/>
              <w:rPr>
                <w:sz w:val="20"/>
              </w:rPr>
            </w:pPr>
            <w:r>
              <w:rPr>
                <w:sz w:val="20"/>
              </w:rPr>
              <w:t>0.001</w:t>
            </w:r>
          </w:p>
        </w:tc>
        <w:tc>
          <w:tcPr>
            <w:tcW w:w="1035" w:type="dxa"/>
            <w:tcBorders>
              <w:top w:val="nil"/>
              <w:left w:val="nil"/>
              <w:bottom w:val="nil"/>
              <w:right w:val="nil"/>
            </w:tcBorders>
          </w:tcPr>
          <w:p>
            <w:pPr>
              <w:pStyle w:val="TableParagraph"/>
              <w:spacing w:before="26"/>
              <w:ind w:right="65"/>
              <w:rPr>
                <w:sz w:val="20"/>
              </w:rPr>
            </w:pPr>
            <w:r>
              <w:rPr>
                <w:sz w:val="20"/>
              </w:rPr>
              <w:t>1.1</w:t>
            </w:r>
          </w:p>
        </w:tc>
        <w:tc>
          <w:tcPr>
            <w:tcW w:w="1162" w:type="dxa"/>
            <w:tcBorders>
              <w:top w:val="nil"/>
              <w:left w:val="nil"/>
              <w:bottom w:val="nil"/>
              <w:right w:val="nil"/>
            </w:tcBorders>
          </w:tcPr>
          <w:p>
            <w:pPr>
              <w:pStyle w:val="TableParagraph"/>
              <w:spacing w:before="26"/>
              <w:ind w:right="65"/>
              <w:rPr>
                <w:sz w:val="20"/>
              </w:rPr>
            </w:pPr>
            <w:r>
              <w:rPr>
                <w:sz w:val="20"/>
              </w:rPr>
              <w:t>2.6</w:t>
            </w:r>
          </w:p>
        </w:tc>
        <w:tc>
          <w:tcPr>
            <w:tcW w:w="1016" w:type="dxa"/>
            <w:tcBorders>
              <w:top w:val="nil"/>
              <w:left w:val="nil"/>
              <w:bottom w:val="nil"/>
              <w:right w:val="nil"/>
            </w:tcBorders>
          </w:tcPr>
          <w:p>
            <w:pPr>
              <w:pStyle w:val="TableParagraph"/>
              <w:spacing w:before="26"/>
              <w:ind w:right="68"/>
              <w:rPr>
                <w:sz w:val="20"/>
              </w:rPr>
            </w:pPr>
            <w:r>
              <w:rPr>
                <w:w w:val="100"/>
                <w:sz w:val="20"/>
              </w:rPr>
              <w:t>0</w:t>
            </w:r>
          </w:p>
        </w:tc>
        <w:tc>
          <w:tcPr>
            <w:tcW w:w="1175" w:type="dxa"/>
            <w:tcBorders>
              <w:top w:val="nil"/>
              <w:left w:val="nil"/>
              <w:bottom w:val="nil"/>
              <w:right w:val="nil"/>
            </w:tcBorders>
          </w:tcPr>
          <w:p>
            <w:pPr>
              <w:pStyle w:val="TableParagraph"/>
              <w:spacing w:before="26"/>
              <w:ind w:right="71"/>
              <w:rPr>
                <w:sz w:val="20"/>
              </w:rPr>
            </w:pPr>
            <w:r>
              <w:rPr>
                <w:w w:val="100"/>
                <w:sz w:val="20"/>
              </w:rPr>
              <w:t>0</w:t>
            </w:r>
          </w:p>
        </w:tc>
        <w:tc>
          <w:tcPr>
            <w:tcW w:w="1060" w:type="dxa"/>
            <w:tcBorders>
              <w:top w:val="nil"/>
              <w:left w:val="nil"/>
              <w:bottom w:val="nil"/>
              <w:right w:val="nil"/>
            </w:tcBorders>
          </w:tcPr>
          <w:p>
            <w:pPr>
              <w:pStyle w:val="TableParagraph"/>
              <w:spacing w:before="26"/>
              <w:ind w:right="70"/>
              <w:rPr>
                <w:sz w:val="20"/>
              </w:rPr>
            </w:pPr>
            <w:r>
              <w:rPr>
                <w:sz w:val="20"/>
              </w:rPr>
              <w:t>1.9</w:t>
            </w:r>
          </w:p>
        </w:tc>
        <w:tc>
          <w:tcPr>
            <w:tcW w:w="1035" w:type="dxa"/>
            <w:tcBorders>
              <w:top w:val="nil"/>
              <w:left w:val="nil"/>
              <w:bottom w:val="nil"/>
              <w:right w:val="nil"/>
            </w:tcBorders>
          </w:tcPr>
          <w:p>
            <w:pPr>
              <w:pStyle w:val="TableParagraph"/>
              <w:spacing w:before="26"/>
              <w:ind w:right="67"/>
              <w:rPr>
                <w:sz w:val="20"/>
              </w:rPr>
            </w:pPr>
            <w:r>
              <w:rPr>
                <w:sz w:val="20"/>
              </w:rPr>
              <w:t>63</w:t>
            </w:r>
          </w:p>
        </w:tc>
        <w:tc>
          <w:tcPr>
            <w:tcW w:w="1203" w:type="dxa"/>
            <w:tcBorders>
              <w:top w:val="nil"/>
              <w:left w:val="nil"/>
              <w:bottom w:val="nil"/>
              <w:right w:val="nil"/>
            </w:tcBorders>
          </w:tcPr>
          <w:p>
            <w:pPr>
              <w:pStyle w:val="TableParagraph"/>
              <w:spacing w:before="26"/>
              <w:ind w:right="103"/>
              <w:rPr>
                <w:sz w:val="20"/>
              </w:rPr>
            </w:pPr>
            <w:r>
              <w:rPr>
                <w:sz w:val="20"/>
              </w:rPr>
              <w:t>100</w:t>
            </w:r>
          </w:p>
        </w:tc>
        <w:tc>
          <w:tcPr>
            <w:tcW w:w="898" w:type="dxa"/>
            <w:tcBorders>
              <w:top w:val="nil"/>
              <w:left w:val="nil"/>
              <w:bottom w:val="nil"/>
              <w:right w:val="nil"/>
            </w:tcBorders>
          </w:tcPr>
          <w:p>
            <w:pPr>
              <w:pStyle w:val="TableParagraph"/>
              <w:spacing w:before="26"/>
              <w:ind w:right="60"/>
              <w:rPr>
                <w:sz w:val="20"/>
              </w:rPr>
            </w:pPr>
            <w:r>
              <w:rPr>
                <w:sz w:val="20"/>
              </w:rPr>
              <w:t>0.08</w:t>
            </w:r>
          </w:p>
        </w:tc>
      </w:tr>
      <w:tr>
        <w:trPr>
          <w:trHeight w:val="300" w:hRule="exact"/>
        </w:trPr>
        <w:tc>
          <w:tcPr>
            <w:tcW w:w="1158" w:type="dxa"/>
            <w:tcBorders>
              <w:top w:val="nil"/>
              <w:left w:val="nil"/>
              <w:bottom w:val="nil"/>
              <w:right w:val="nil"/>
            </w:tcBorders>
          </w:tcPr>
          <w:p>
            <w:pPr>
              <w:pStyle w:val="TableParagraph"/>
              <w:ind w:left="72"/>
              <w:jc w:val="left"/>
              <w:rPr>
                <w:sz w:val="20"/>
              </w:rPr>
            </w:pPr>
            <w:r>
              <w:rPr>
                <w:w w:val="100"/>
                <w:sz w:val="20"/>
              </w:rPr>
              <w:t>6</w:t>
            </w:r>
          </w:p>
        </w:tc>
        <w:tc>
          <w:tcPr>
            <w:tcW w:w="981" w:type="dxa"/>
            <w:tcBorders>
              <w:top w:val="nil"/>
              <w:left w:val="nil"/>
              <w:bottom w:val="nil"/>
              <w:right w:val="nil"/>
            </w:tcBorders>
          </w:tcPr>
          <w:p>
            <w:pPr>
              <w:pStyle w:val="TableParagraph"/>
              <w:ind w:right="72"/>
              <w:rPr>
                <w:sz w:val="20"/>
              </w:rPr>
            </w:pPr>
            <w:r>
              <w:rPr>
                <w:sz w:val="20"/>
              </w:rPr>
              <w:t>0.522</w:t>
            </w:r>
          </w:p>
        </w:tc>
        <w:tc>
          <w:tcPr>
            <w:tcW w:w="1035" w:type="dxa"/>
            <w:tcBorders>
              <w:top w:val="nil"/>
              <w:left w:val="nil"/>
              <w:bottom w:val="nil"/>
              <w:right w:val="nil"/>
            </w:tcBorders>
          </w:tcPr>
          <w:p>
            <w:pPr>
              <w:pStyle w:val="TableParagraph"/>
              <w:ind w:right="65"/>
              <w:rPr>
                <w:sz w:val="20"/>
              </w:rPr>
            </w:pPr>
            <w:r>
              <w:rPr>
                <w:sz w:val="20"/>
              </w:rPr>
              <w:t>13.5</w:t>
            </w:r>
          </w:p>
        </w:tc>
        <w:tc>
          <w:tcPr>
            <w:tcW w:w="1162" w:type="dxa"/>
            <w:tcBorders>
              <w:top w:val="nil"/>
              <w:left w:val="nil"/>
              <w:bottom w:val="nil"/>
              <w:right w:val="nil"/>
            </w:tcBorders>
          </w:tcPr>
          <w:p>
            <w:pPr>
              <w:pStyle w:val="TableParagraph"/>
              <w:ind w:right="65"/>
              <w:rPr>
                <w:sz w:val="20"/>
              </w:rPr>
            </w:pPr>
            <w:r>
              <w:rPr>
                <w:sz w:val="20"/>
              </w:rPr>
              <w:t>32.4</w:t>
            </w:r>
          </w:p>
        </w:tc>
        <w:tc>
          <w:tcPr>
            <w:tcW w:w="1016" w:type="dxa"/>
            <w:tcBorders>
              <w:top w:val="nil"/>
              <w:left w:val="nil"/>
              <w:bottom w:val="nil"/>
              <w:right w:val="nil"/>
            </w:tcBorders>
          </w:tcPr>
          <w:p>
            <w:pPr>
              <w:pStyle w:val="TableParagraph"/>
              <w:ind w:right="68"/>
              <w:rPr>
                <w:sz w:val="20"/>
              </w:rPr>
            </w:pPr>
            <w:r>
              <w:rPr>
                <w:w w:val="100"/>
                <w:sz w:val="20"/>
              </w:rPr>
              <w:t>0</w:t>
            </w:r>
          </w:p>
        </w:tc>
        <w:tc>
          <w:tcPr>
            <w:tcW w:w="1175" w:type="dxa"/>
            <w:tcBorders>
              <w:top w:val="nil"/>
              <w:left w:val="nil"/>
              <w:bottom w:val="nil"/>
              <w:right w:val="nil"/>
            </w:tcBorders>
          </w:tcPr>
          <w:p>
            <w:pPr>
              <w:pStyle w:val="TableParagraph"/>
              <w:ind w:right="71"/>
              <w:rPr>
                <w:sz w:val="20"/>
              </w:rPr>
            </w:pPr>
            <w:r>
              <w:rPr>
                <w:w w:val="100"/>
                <w:sz w:val="20"/>
              </w:rPr>
              <w:t>0</w:t>
            </w:r>
          </w:p>
        </w:tc>
        <w:tc>
          <w:tcPr>
            <w:tcW w:w="1060" w:type="dxa"/>
            <w:tcBorders>
              <w:top w:val="nil"/>
              <w:left w:val="nil"/>
              <w:bottom w:val="nil"/>
              <w:right w:val="nil"/>
            </w:tcBorders>
          </w:tcPr>
          <w:p>
            <w:pPr>
              <w:pStyle w:val="TableParagraph"/>
              <w:ind w:right="70"/>
              <w:rPr>
                <w:sz w:val="20"/>
              </w:rPr>
            </w:pPr>
            <w:r>
              <w:rPr>
                <w:sz w:val="20"/>
              </w:rPr>
              <w:t>24.3</w:t>
            </w:r>
          </w:p>
        </w:tc>
        <w:tc>
          <w:tcPr>
            <w:tcW w:w="1035" w:type="dxa"/>
            <w:tcBorders>
              <w:top w:val="nil"/>
              <w:left w:val="nil"/>
              <w:bottom w:val="nil"/>
              <w:right w:val="nil"/>
            </w:tcBorders>
          </w:tcPr>
          <w:p>
            <w:pPr>
              <w:pStyle w:val="TableParagraph"/>
              <w:ind w:right="67"/>
              <w:rPr>
                <w:sz w:val="20"/>
              </w:rPr>
            </w:pPr>
            <w:r>
              <w:rPr>
                <w:sz w:val="20"/>
              </w:rPr>
              <w:t>63</w:t>
            </w:r>
          </w:p>
        </w:tc>
        <w:tc>
          <w:tcPr>
            <w:tcW w:w="1203" w:type="dxa"/>
            <w:tcBorders>
              <w:top w:val="nil"/>
              <w:left w:val="nil"/>
              <w:bottom w:val="nil"/>
              <w:right w:val="nil"/>
            </w:tcBorders>
          </w:tcPr>
          <w:p>
            <w:pPr>
              <w:pStyle w:val="TableParagraph"/>
              <w:ind w:right="103"/>
              <w:rPr>
                <w:sz w:val="20"/>
              </w:rPr>
            </w:pPr>
            <w:r>
              <w:rPr>
                <w:sz w:val="20"/>
              </w:rPr>
              <w:t>100</w:t>
            </w:r>
          </w:p>
        </w:tc>
        <w:tc>
          <w:tcPr>
            <w:tcW w:w="898" w:type="dxa"/>
            <w:tcBorders>
              <w:top w:val="nil"/>
              <w:left w:val="nil"/>
              <w:bottom w:val="nil"/>
              <w:right w:val="nil"/>
            </w:tcBorders>
          </w:tcPr>
          <w:p>
            <w:pPr>
              <w:pStyle w:val="TableParagraph"/>
              <w:ind w:right="60"/>
              <w:rPr>
                <w:sz w:val="20"/>
              </w:rPr>
            </w:pPr>
            <w:r>
              <w:rPr>
                <w:sz w:val="20"/>
              </w:rPr>
              <w:t>0.08</w:t>
            </w:r>
          </w:p>
        </w:tc>
      </w:tr>
      <w:tr>
        <w:trPr>
          <w:trHeight w:val="300" w:hRule="exact"/>
        </w:trPr>
        <w:tc>
          <w:tcPr>
            <w:tcW w:w="1158" w:type="dxa"/>
            <w:tcBorders>
              <w:top w:val="nil"/>
              <w:left w:val="nil"/>
              <w:bottom w:val="nil"/>
              <w:right w:val="nil"/>
            </w:tcBorders>
          </w:tcPr>
          <w:p>
            <w:pPr>
              <w:pStyle w:val="TableParagraph"/>
              <w:spacing w:before="26"/>
              <w:ind w:left="72"/>
              <w:jc w:val="left"/>
              <w:rPr>
                <w:sz w:val="20"/>
              </w:rPr>
            </w:pPr>
            <w:r>
              <w:rPr>
                <w:w w:val="100"/>
                <w:sz w:val="20"/>
              </w:rPr>
              <w:t>7</w:t>
            </w:r>
          </w:p>
        </w:tc>
        <w:tc>
          <w:tcPr>
            <w:tcW w:w="981" w:type="dxa"/>
            <w:tcBorders>
              <w:top w:val="nil"/>
              <w:left w:val="nil"/>
              <w:bottom w:val="nil"/>
              <w:right w:val="nil"/>
            </w:tcBorders>
          </w:tcPr>
          <w:p>
            <w:pPr>
              <w:pStyle w:val="TableParagraph"/>
              <w:spacing w:before="26"/>
              <w:ind w:right="77"/>
              <w:rPr>
                <w:sz w:val="20"/>
              </w:rPr>
            </w:pPr>
            <w:r>
              <w:rPr>
                <w:w w:val="100"/>
                <w:sz w:val="20"/>
              </w:rPr>
              <w:t>0</w:t>
            </w:r>
          </w:p>
        </w:tc>
        <w:tc>
          <w:tcPr>
            <w:tcW w:w="1035" w:type="dxa"/>
            <w:tcBorders>
              <w:top w:val="nil"/>
              <w:left w:val="nil"/>
              <w:bottom w:val="nil"/>
              <w:right w:val="nil"/>
            </w:tcBorders>
          </w:tcPr>
          <w:p>
            <w:pPr>
              <w:pStyle w:val="TableParagraph"/>
              <w:spacing w:before="26"/>
              <w:ind w:right="69"/>
              <w:rPr>
                <w:sz w:val="20"/>
              </w:rPr>
            </w:pPr>
            <w:r>
              <w:rPr>
                <w:w w:val="100"/>
                <w:sz w:val="20"/>
              </w:rPr>
              <w:t>0</w:t>
            </w:r>
          </w:p>
        </w:tc>
        <w:tc>
          <w:tcPr>
            <w:tcW w:w="1162" w:type="dxa"/>
            <w:tcBorders>
              <w:top w:val="nil"/>
              <w:left w:val="nil"/>
              <w:bottom w:val="nil"/>
              <w:right w:val="nil"/>
            </w:tcBorders>
          </w:tcPr>
          <w:p>
            <w:pPr>
              <w:pStyle w:val="TableParagraph"/>
              <w:spacing w:before="26"/>
              <w:ind w:right="69"/>
              <w:rPr>
                <w:sz w:val="20"/>
              </w:rPr>
            </w:pPr>
            <w:r>
              <w:rPr>
                <w:w w:val="100"/>
                <w:sz w:val="20"/>
              </w:rPr>
              <w:t>0</w:t>
            </w:r>
          </w:p>
        </w:tc>
        <w:tc>
          <w:tcPr>
            <w:tcW w:w="1016" w:type="dxa"/>
            <w:tcBorders>
              <w:top w:val="nil"/>
              <w:left w:val="nil"/>
              <w:bottom w:val="nil"/>
              <w:right w:val="nil"/>
            </w:tcBorders>
          </w:tcPr>
          <w:p>
            <w:pPr>
              <w:pStyle w:val="TableParagraph"/>
              <w:spacing w:before="26"/>
              <w:ind w:right="68"/>
              <w:rPr>
                <w:sz w:val="20"/>
              </w:rPr>
            </w:pPr>
            <w:r>
              <w:rPr>
                <w:w w:val="100"/>
                <w:sz w:val="20"/>
              </w:rPr>
              <w:t>0</w:t>
            </w:r>
          </w:p>
        </w:tc>
        <w:tc>
          <w:tcPr>
            <w:tcW w:w="1175" w:type="dxa"/>
            <w:tcBorders>
              <w:top w:val="nil"/>
              <w:left w:val="nil"/>
              <w:bottom w:val="nil"/>
              <w:right w:val="nil"/>
            </w:tcBorders>
          </w:tcPr>
          <w:p>
            <w:pPr>
              <w:pStyle w:val="TableParagraph"/>
              <w:spacing w:before="26"/>
              <w:ind w:right="71"/>
              <w:rPr>
                <w:sz w:val="20"/>
              </w:rPr>
            </w:pPr>
            <w:r>
              <w:rPr>
                <w:w w:val="100"/>
                <w:sz w:val="20"/>
              </w:rPr>
              <w:t>0</w:t>
            </w:r>
          </w:p>
        </w:tc>
        <w:tc>
          <w:tcPr>
            <w:tcW w:w="1060" w:type="dxa"/>
            <w:tcBorders>
              <w:top w:val="nil"/>
              <w:left w:val="nil"/>
              <w:bottom w:val="nil"/>
              <w:right w:val="nil"/>
            </w:tcBorders>
          </w:tcPr>
          <w:p>
            <w:pPr>
              <w:pStyle w:val="TableParagraph"/>
              <w:spacing w:before="26"/>
              <w:ind w:right="75"/>
              <w:rPr>
                <w:sz w:val="20"/>
              </w:rPr>
            </w:pPr>
            <w:r>
              <w:rPr>
                <w:w w:val="100"/>
                <w:sz w:val="20"/>
              </w:rPr>
              <w:t>0</w:t>
            </w:r>
          </w:p>
        </w:tc>
        <w:tc>
          <w:tcPr>
            <w:tcW w:w="1035" w:type="dxa"/>
            <w:tcBorders>
              <w:top w:val="nil"/>
              <w:left w:val="nil"/>
              <w:bottom w:val="nil"/>
              <w:right w:val="nil"/>
            </w:tcBorders>
          </w:tcPr>
          <w:p>
            <w:pPr>
              <w:pStyle w:val="TableParagraph"/>
              <w:spacing w:before="26"/>
              <w:ind w:right="67"/>
              <w:rPr>
                <w:sz w:val="20"/>
              </w:rPr>
            </w:pPr>
            <w:r>
              <w:rPr>
                <w:w w:val="100"/>
                <w:sz w:val="20"/>
              </w:rPr>
              <w:t>0</w:t>
            </w:r>
          </w:p>
        </w:tc>
        <w:tc>
          <w:tcPr>
            <w:tcW w:w="1203" w:type="dxa"/>
            <w:tcBorders>
              <w:top w:val="nil"/>
              <w:left w:val="nil"/>
              <w:bottom w:val="nil"/>
              <w:right w:val="nil"/>
            </w:tcBorders>
          </w:tcPr>
          <w:p>
            <w:pPr>
              <w:pStyle w:val="TableParagraph"/>
              <w:spacing w:before="26"/>
              <w:ind w:right="108"/>
              <w:rPr>
                <w:sz w:val="20"/>
              </w:rPr>
            </w:pPr>
            <w:r>
              <w:rPr>
                <w:w w:val="100"/>
                <w:sz w:val="20"/>
              </w:rPr>
              <w:t>0</w:t>
            </w:r>
          </w:p>
        </w:tc>
        <w:tc>
          <w:tcPr>
            <w:tcW w:w="898" w:type="dxa"/>
            <w:tcBorders>
              <w:top w:val="nil"/>
              <w:left w:val="nil"/>
              <w:bottom w:val="nil"/>
              <w:right w:val="nil"/>
            </w:tcBorders>
          </w:tcPr>
          <w:p>
            <w:pPr>
              <w:pStyle w:val="TableParagraph"/>
              <w:spacing w:before="26"/>
              <w:ind w:right="65"/>
              <w:rPr>
                <w:sz w:val="20"/>
              </w:rPr>
            </w:pPr>
            <w:r>
              <w:rPr>
                <w:w w:val="100"/>
                <w:sz w:val="20"/>
              </w:rPr>
              <w:t>0</w:t>
            </w:r>
          </w:p>
        </w:tc>
      </w:tr>
      <w:tr>
        <w:trPr>
          <w:trHeight w:val="300" w:hRule="exact"/>
        </w:trPr>
        <w:tc>
          <w:tcPr>
            <w:tcW w:w="1158" w:type="dxa"/>
            <w:tcBorders>
              <w:top w:val="nil"/>
              <w:left w:val="nil"/>
              <w:bottom w:val="nil"/>
              <w:right w:val="nil"/>
            </w:tcBorders>
          </w:tcPr>
          <w:p>
            <w:pPr>
              <w:pStyle w:val="TableParagraph"/>
              <w:ind w:left="72"/>
              <w:jc w:val="left"/>
              <w:rPr>
                <w:sz w:val="20"/>
              </w:rPr>
            </w:pPr>
            <w:r>
              <w:rPr>
                <w:w w:val="100"/>
                <w:sz w:val="20"/>
              </w:rPr>
              <w:t>8</w:t>
            </w:r>
          </w:p>
        </w:tc>
        <w:tc>
          <w:tcPr>
            <w:tcW w:w="981" w:type="dxa"/>
            <w:tcBorders>
              <w:top w:val="nil"/>
              <w:left w:val="nil"/>
              <w:bottom w:val="nil"/>
              <w:right w:val="nil"/>
            </w:tcBorders>
          </w:tcPr>
          <w:p>
            <w:pPr>
              <w:pStyle w:val="TableParagraph"/>
              <w:ind w:right="72"/>
              <w:rPr>
                <w:sz w:val="20"/>
              </w:rPr>
            </w:pPr>
            <w:r>
              <w:rPr>
                <w:sz w:val="20"/>
              </w:rPr>
              <w:t>0.549</w:t>
            </w:r>
          </w:p>
        </w:tc>
        <w:tc>
          <w:tcPr>
            <w:tcW w:w="1035" w:type="dxa"/>
            <w:tcBorders>
              <w:top w:val="nil"/>
              <w:left w:val="nil"/>
              <w:bottom w:val="nil"/>
              <w:right w:val="nil"/>
            </w:tcBorders>
          </w:tcPr>
          <w:p>
            <w:pPr>
              <w:pStyle w:val="TableParagraph"/>
              <w:ind w:right="69"/>
              <w:rPr>
                <w:sz w:val="20"/>
              </w:rPr>
            </w:pPr>
            <w:r>
              <w:rPr>
                <w:w w:val="100"/>
                <w:sz w:val="20"/>
              </w:rPr>
              <w:t>2</w:t>
            </w:r>
          </w:p>
        </w:tc>
        <w:tc>
          <w:tcPr>
            <w:tcW w:w="1162" w:type="dxa"/>
            <w:tcBorders>
              <w:top w:val="nil"/>
              <w:left w:val="nil"/>
              <w:bottom w:val="nil"/>
              <w:right w:val="nil"/>
            </w:tcBorders>
          </w:tcPr>
          <w:p>
            <w:pPr>
              <w:pStyle w:val="TableParagraph"/>
              <w:ind w:right="65"/>
              <w:rPr>
                <w:sz w:val="20"/>
              </w:rPr>
            </w:pPr>
            <w:r>
              <w:rPr>
                <w:sz w:val="20"/>
              </w:rPr>
              <w:t>4.9</w:t>
            </w:r>
          </w:p>
        </w:tc>
        <w:tc>
          <w:tcPr>
            <w:tcW w:w="1016" w:type="dxa"/>
            <w:tcBorders>
              <w:top w:val="nil"/>
              <w:left w:val="nil"/>
              <w:bottom w:val="nil"/>
              <w:right w:val="nil"/>
            </w:tcBorders>
          </w:tcPr>
          <w:p>
            <w:pPr>
              <w:pStyle w:val="TableParagraph"/>
              <w:ind w:right="68"/>
              <w:rPr>
                <w:sz w:val="20"/>
              </w:rPr>
            </w:pPr>
            <w:r>
              <w:rPr>
                <w:w w:val="100"/>
                <w:sz w:val="20"/>
              </w:rPr>
              <w:t>0</w:t>
            </w:r>
          </w:p>
        </w:tc>
        <w:tc>
          <w:tcPr>
            <w:tcW w:w="1175" w:type="dxa"/>
            <w:tcBorders>
              <w:top w:val="nil"/>
              <w:left w:val="nil"/>
              <w:bottom w:val="nil"/>
              <w:right w:val="nil"/>
            </w:tcBorders>
          </w:tcPr>
          <w:p>
            <w:pPr>
              <w:pStyle w:val="TableParagraph"/>
              <w:ind w:right="71"/>
              <w:rPr>
                <w:sz w:val="20"/>
              </w:rPr>
            </w:pPr>
            <w:r>
              <w:rPr>
                <w:w w:val="100"/>
                <w:sz w:val="20"/>
              </w:rPr>
              <w:t>0</w:t>
            </w:r>
          </w:p>
        </w:tc>
        <w:tc>
          <w:tcPr>
            <w:tcW w:w="1060" w:type="dxa"/>
            <w:tcBorders>
              <w:top w:val="nil"/>
              <w:left w:val="nil"/>
              <w:bottom w:val="nil"/>
              <w:right w:val="nil"/>
            </w:tcBorders>
          </w:tcPr>
          <w:p>
            <w:pPr>
              <w:pStyle w:val="TableParagraph"/>
              <w:ind w:right="70"/>
              <w:rPr>
                <w:sz w:val="20"/>
              </w:rPr>
            </w:pPr>
            <w:r>
              <w:rPr>
                <w:sz w:val="20"/>
              </w:rPr>
              <w:t>3.7</w:t>
            </w:r>
          </w:p>
        </w:tc>
        <w:tc>
          <w:tcPr>
            <w:tcW w:w="1035" w:type="dxa"/>
            <w:tcBorders>
              <w:top w:val="nil"/>
              <w:left w:val="nil"/>
              <w:bottom w:val="nil"/>
              <w:right w:val="nil"/>
            </w:tcBorders>
          </w:tcPr>
          <w:p>
            <w:pPr>
              <w:pStyle w:val="TableParagraph"/>
              <w:ind w:right="67"/>
              <w:rPr>
                <w:sz w:val="20"/>
              </w:rPr>
            </w:pPr>
            <w:r>
              <w:rPr>
                <w:sz w:val="20"/>
              </w:rPr>
              <w:t>63</w:t>
            </w:r>
          </w:p>
        </w:tc>
        <w:tc>
          <w:tcPr>
            <w:tcW w:w="1203" w:type="dxa"/>
            <w:tcBorders>
              <w:top w:val="nil"/>
              <w:left w:val="nil"/>
              <w:bottom w:val="nil"/>
              <w:right w:val="nil"/>
            </w:tcBorders>
          </w:tcPr>
          <w:p>
            <w:pPr>
              <w:pStyle w:val="TableParagraph"/>
              <w:ind w:right="103"/>
              <w:rPr>
                <w:sz w:val="20"/>
              </w:rPr>
            </w:pPr>
            <w:r>
              <w:rPr>
                <w:sz w:val="20"/>
              </w:rPr>
              <w:t>100</w:t>
            </w:r>
          </w:p>
        </w:tc>
        <w:tc>
          <w:tcPr>
            <w:tcW w:w="898" w:type="dxa"/>
            <w:tcBorders>
              <w:top w:val="nil"/>
              <w:left w:val="nil"/>
              <w:bottom w:val="nil"/>
              <w:right w:val="nil"/>
            </w:tcBorders>
          </w:tcPr>
          <w:p>
            <w:pPr>
              <w:pStyle w:val="TableParagraph"/>
              <w:ind w:right="60"/>
              <w:rPr>
                <w:sz w:val="20"/>
              </w:rPr>
            </w:pPr>
            <w:r>
              <w:rPr>
                <w:sz w:val="20"/>
              </w:rPr>
              <w:t>0.08</w:t>
            </w:r>
          </w:p>
        </w:tc>
      </w:tr>
      <w:tr>
        <w:trPr>
          <w:trHeight w:val="300" w:hRule="exact"/>
        </w:trPr>
        <w:tc>
          <w:tcPr>
            <w:tcW w:w="1158" w:type="dxa"/>
            <w:tcBorders>
              <w:top w:val="nil"/>
              <w:left w:val="nil"/>
              <w:bottom w:val="nil"/>
              <w:right w:val="nil"/>
            </w:tcBorders>
          </w:tcPr>
          <w:p>
            <w:pPr>
              <w:pStyle w:val="TableParagraph"/>
              <w:spacing w:before="26"/>
              <w:ind w:left="72"/>
              <w:jc w:val="left"/>
              <w:rPr>
                <w:sz w:val="20"/>
              </w:rPr>
            </w:pPr>
            <w:r>
              <w:rPr>
                <w:w w:val="100"/>
                <w:sz w:val="20"/>
              </w:rPr>
              <w:t>9</w:t>
            </w:r>
          </w:p>
        </w:tc>
        <w:tc>
          <w:tcPr>
            <w:tcW w:w="981" w:type="dxa"/>
            <w:tcBorders>
              <w:top w:val="nil"/>
              <w:left w:val="nil"/>
              <w:bottom w:val="nil"/>
              <w:right w:val="nil"/>
            </w:tcBorders>
          </w:tcPr>
          <w:p>
            <w:pPr>
              <w:pStyle w:val="TableParagraph"/>
              <w:spacing w:before="26"/>
              <w:ind w:right="77"/>
              <w:rPr>
                <w:sz w:val="20"/>
              </w:rPr>
            </w:pPr>
            <w:r>
              <w:rPr>
                <w:w w:val="100"/>
                <w:sz w:val="20"/>
              </w:rPr>
              <w:t>0</w:t>
            </w:r>
          </w:p>
        </w:tc>
        <w:tc>
          <w:tcPr>
            <w:tcW w:w="1035" w:type="dxa"/>
            <w:tcBorders>
              <w:top w:val="nil"/>
              <w:left w:val="nil"/>
              <w:bottom w:val="nil"/>
              <w:right w:val="nil"/>
            </w:tcBorders>
          </w:tcPr>
          <w:p>
            <w:pPr>
              <w:pStyle w:val="TableParagraph"/>
              <w:spacing w:before="26"/>
              <w:ind w:right="69"/>
              <w:rPr>
                <w:sz w:val="20"/>
              </w:rPr>
            </w:pPr>
            <w:r>
              <w:rPr>
                <w:w w:val="100"/>
                <w:sz w:val="20"/>
              </w:rPr>
              <w:t>0</w:t>
            </w:r>
          </w:p>
        </w:tc>
        <w:tc>
          <w:tcPr>
            <w:tcW w:w="1162" w:type="dxa"/>
            <w:tcBorders>
              <w:top w:val="nil"/>
              <w:left w:val="nil"/>
              <w:bottom w:val="nil"/>
              <w:right w:val="nil"/>
            </w:tcBorders>
          </w:tcPr>
          <w:p>
            <w:pPr>
              <w:pStyle w:val="TableParagraph"/>
              <w:spacing w:before="26"/>
              <w:ind w:right="69"/>
              <w:rPr>
                <w:sz w:val="20"/>
              </w:rPr>
            </w:pPr>
            <w:r>
              <w:rPr>
                <w:w w:val="100"/>
                <w:sz w:val="20"/>
              </w:rPr>
              <w:t>0</w:t>
            </w:r>
          </w:p>
        </w:tc>
        <w:tc>
          <w:tcPr>
            <w:tcW w:w="1016" w:type="dxa"/>
            <w:tcBorders>
              <w:top w:val="nil"/>
              <w:left w:val="nil"/>
              <w:bottom w:val="nil"/>
              <w:right w:val="nil"/>
            </w:tcBorders>
          </w:tcPr>
          <w:p>
            <w:pPr>
              <w:pStyle w:val="TableParagraph"/>
              <w:spacing w:before="26"/>
              <w:ind w:right="68"/>
              <w:rPr>
                <w:sz w:val="20"/>
              </w:rPr>
            </w:pPr>
            <w:r>
              <w:rPr>
                <w:w w:val="100"/>
                <w:sz w:val="20"/>
              </w:rPr>
              <w:t>0</w:t>
            </w:r>
          </w:p>
        </w:tc>
        <w:tc>
          <w:tcPr>
            <w:tcW w:w="1175" w:type="dxa"/>
            <w:tcBorders>
              <w:top w:val="nil"/>
              <w:left w:val="nil"/>
              <w:bottom w:val="nil"/>
              <w:right w:val="nil"/>
            </w:tcBorders>
          </w:tcPr>
          <w:p>
            <w:pPr>
              <w:pStyle w:val="TableParagraph"/>
              <w:spacing w:before="26"/>
              <w:ind w:right="71"/>
              <w:rPr>
                <w:sz w:val="20"/>
              </w:rPr>
            </w:pPr>
            <w:r>
              <w:rPr>
                <w:w w:val="100"/>
                <w:sz w:val="20"/>
              </w:rPr>
              <w:t>0</w:t>
            </w:r>
          </w:p>
        </w:tc>
        <w:tc>
          <w:tcPr>
            <w:tcW w:w="1060" w:type="dxa"/>
            <w:tcBorders>
              <w:top w:val="nil"/>
              <w:left w:val="nil"/>
              <w:bottom w:val="nil"/>
              <w:right w:val="nil"/>
            </w:tcBorders>
          </w:tcPr>
          <w:p>
            <w:pPr>
              <w:pStyle w:val="TableParagraph"/>
              <w:spacing w:before="26"/>
              <w:ind w:right="75"/>
              <w:rPr>
                <w:sz w:val="20"/>
              </w:rPr>
            </w:pPr>
            <w:r>
              <w:rPr>
                <w:w w:val="100"/>
                <w:sz w:val="20"/>
              </w:rPr>
              <w:t>0</w:t>
            </w:r>
          </w:p>
        </w:tc>
        <w:tc>
          <w:tcPr>
            <w:tcW w:w="1035" w:type="dxa"/>
            <w:tcBorders>
              <w:top w:val="nil"/>
              <w:left w:val="nil"/>
              <w:bottom w:val="nil"/>
              <w:right w:val="nil"/>
            </w:tcBorders>
          </w:tcPr>
          <w:p>
            <w:pPr>
              <w:pStyle w:val="TableParagraph"/>
              <w:spacing w:before="26"/>
              <w:ind w:right="67"/>
              <w:rPr>
                <w:sz w:val="20"/>
              </w:rPr>
            </w:pPr>
            <w:r>
              <w:rPr>
                <w:w w:val="100"/>
                <w:sz w:val="20"/>
              </w:rPr>
              <w:t>0</w:t>
            </w:r>
          </w:p>
        </w:tc>
        <w:tc>
          <w:tcPr>
            <w:tcW w:w="1203" w:type="dxa"/>
            <w:tcBorders>
              <w:top w:val="nil"/>
              <w:left w:val="nil"/>
              <w:bottom w:val="nil"/>
              <w:right w:val="nil"/>
            </w:tcBorders>
          </w:tcPr>
          <w:p>
            <w:pPr>
              <w:pStyle w:val="TableParagraph"/>
              <w:spacing w:before="26"/>
              <w:ind w:right="108"/>
              <w:rPr>
                <w:sz w:val="20"/>
              </w:rPr>
            </w:pPr>
            <w:r>
              <w:rPr>
                <w:w w:val="100"/>
                <w:sz w:val="20"/>
              </w:rPr>
              <w:t>0</w:t>
            </w:r>
          </w:p>
        </w:tc>
        <w:tc>
          <w:tcPr>
            <w:tcW w:w="898" w:type="dxa"/>
            <w:tcBorders>
              <w:top w:val="nil"/>
              <w:left w:val="nil"/>
              <w:bottom w:val="nil"/>
              <w:right w:val="nil"/>
            </w:tcBorders>
          </w:tcPr>
          <w:p>
            <w:pPr>
              <w:pStyle w:val="TableParagraph"/>
              <w:spacing w:before="26"/>
              <w:ind w:right="65"/>
              <w:rPr>
                <w:sz w:val="20"/>
              </w:rPr>
            </w:pPr>
            <w:r>
              <w:rPr>
                <w:w w:val="100"/>
                <w:sz w:val="20"/>
              </w:rPr>
              <w:t>0</w:t>
            </w:r>
          </w:p>
        </w:tc>
      </w:tr>
      <w:tr>
        <w:trPr>
          <w:trHeight w:val="300" w:hRule="exact"/>
        </w:trPr>
        <w:tc>
          <w:tcPr>
            <w:tcW w:w="1158" w:type="dxa"/>
            <w:tcBorders>
              <w:top w:val="nil"/>
              <w:left w:val="nil"/>
              <w:bottom w:val="nil"/>
              <w:right w:val="nil"/>
            </w:tcBorders>
          </w:tcPr>
          <w:p>
            <w:pPr>
              <w:pStyle w:val="TableParagraph"/>
              <w:ind w:left="72"/>
              <w:jc w:val="left"/>
              <w:rPr>
                <w:sz w:val="20"/>
              </w:rPr>
            </w:pPr>
            <w:r>
              <w:rPr>
                <w:sz w:val="20"/>
              </w:rPr>
              <w:t>10</w:t>
            </w:r>
          </w:p>
        </w:tc>
        <w:tc>
          <w:tcPr>
            <w:tcW w:w="981" w:type="dxa"/>
            <w:tcBorders>
              <w:top w:val="nil"/>
              <w:left w:val="nil"/>
              <w:bottom w:val="nil"/>
              <w:right w:val="nil"/>
            </w:tcBorders>
          </w:tcPr>
          <w:p>
            <w:pPr>
              <w:pStyle w:val="TableParagraph"/>
              <w:ind w:right="77"/>
              <w:rPr>
                <w:sz w:val="20"/>
              </w:rPr>
            </w:pPr>
            <w:r>
              <w:rPr>
                <w:w w:val="100"/>
                <w:sz w:val="20"/>
              </w:rPr>
              <w:t>0</w:t>
            </w:r>
          </w:p>
        </w:tc>
        <w:tc>
          <w:tcPr>
            <w:tcW w:w="1035" w:type="dxa"/>
            <w:tcBorders>
              <w:top w:val="nil"/>
              <w:left w:val="nil"/>
              <w:bottom w:val="nil"/>
              <w:right w:val="nil"/>
            </w:tcBorders>
          </w:tcPr>
          <w:p>
            <w:pPr>
              <w:pStyle w:val="TableParagraph"/>
              <w:ind w:right="69"/>
              <w:rPr>
                <w:sz w:val="20"/>
              </w:rPr>
            </w:pPr>
            <w:r>
              <w:rPr>
                <w:w w:val="100"/>
                <w:sz w:val="20"/>
              </w:rPr>
              <w:t>0</w:t>
            </w:r>
          </w:p>
        </w:tc>
        <w:tc>
          <w:tcPr>
            <w:tcW w:w="1162" w:type="dxa"/>
            <w:tcBorders>
              <w:top w:val="nil"/>
              <w:left w:val="nil"/>
              <w:bottom w:val="nil"/>
              <w:right w:val="nil"/>
            </w:tcBorders>
          </w:tcPr>
          <w:p>
            <w:pPr>
              <w:pStyle w:val="TableParagraph"/>
              <w:ind w:right="69"/>
              <w:rPr>
                <w:sz w:val="20"/>
              </w:rPr>
            </w:pPr>
            <w:r>
              <w:rPr>
                <w:w w:val="100"/>
                <w:sz w:val="20"/>
              </w:rPr>
              <w:t>0</w:t>
            </w:r>
          </w:p>
        </w:tc>
        <w:tc>
          <w:tcPr>
            <w:tcW w:w="1016" w:type="dxa"/>
            <w:tcBorders>
              <w:top w:val="nil"/>
              <w:left w:val="nil"/>
              <w:bottom w:val="nil"/>
              <w:right w:val="nil"/>
            </w:tcBorders>
          </w:tcPr>
          <w:p>
            <w:pPr>
              <w:pStyle w:val="TableParagraph"/>
              <w:ind w:right="68"/>
              <w:rPr>
                <w:sz w:val="20"/>
              </w:rPr>
            </w:pPr>
            <w:r>
              <w:rPr>
                <w:w w:val="100"/>
                <w:sz w:val="20"/>
              </w:rPr>
              <w:t>0</w:t>
            </w:r>
          </w:p>
        </w:tc>
        <w:tc>
          <w:tcPr>
            <w:tcW w:w="1175" w:type="dxa"/>
            <w:tcBorders>
              <w:top w:val="nil"/>
              <w:left w:val="nil"/>
              <w:bottom w:val="nil"/>
              <w:right w:val="nil"/>
            </w:tcBorders>
          </w:tcPr>
          <w:p>
            <w:pPr>
              <w:pStyle w:val="TableParagraph"/>
              <w:ind w:right="71"/>
              <w:rPr>
                <w:sz w:val="20"/>
              </w:rPr>
            </w:pPr>
            <w:r>
              <w:rPr>
                <w:w w:val="100"/>
                <w:sz w:val="20"/>
              </w:rPr>
              <w:t>0</w:t>
            </w:r>
          </w:p>
        </w:tc>
        <w:tc>
          <w:tcPr>
            <w:tcW w:w="1060" w:type="dxa"/>
            <w:tcBorders>
              <w:top w:val="nil"/>
              <w:left w:val="nil"/>
              <w:bottom w:val="nil"/>
              <w:right w:val="nil"/>
            </w:tcBorders>
          </w:tcPr>
          <w:p>
            <w:pPr>
              <w:pStyle w:val="TableParagraph"/>
              <w:ind w:right="75"/>
              <w:rPr>
                <w:sz w:val="20"/>
              </w:rPr>
            </w:pPr>
            <w:r>
              <w:rPr>
                <w:w w:val="100"/>
                <w:sz w:val="20"/>
              </w:rPr>
              <w:t>0</w:t>
            </w:r>
          </w:p>
        </w:tc>
        <w:tc>
          <w:tcPr>
            <w:tcW w:w="1035" w:type="dxa"/>
            <w:tcBorders>
              <w:top w:val="nil"/>
              <w:left w:val="nil"/>
              <w:bottom w:val="nil"/>
              <w:right w:val="nil"/>
            </w:tcBorders>
          </w:tcPr>
          <w:p>
            <w:pPr>
              <w:pStyle w:val="TableParagraph"/>
              <w:ind w:right="67"/>
              <w:rPr>
                <w:sz w:val="20"/>
              </w:rPr>
            </w:pPr>
            <w:r>
              <w:rPr>
                <w:w w:val="100"/>
                <w:sz w:val="20"/>
              </w:rPr>
              <w:t>0</w:t>
            </w:r>
          </w:p>
        </w:tc>
        <w:tc>
          <w:tcPr>
            <w:tcW w:w="1203" w:type="dxa"/>
            <w:tcBorders>
              <w:top w:val="nil"/>
              <w:left w:val="nil"/>
              <w:bottom w:val="nil"/>
              <w:right w:val="nil"/>
            </w:tcBorders>
          </w:tcPr>
          <w:p>
            <w:pPr>
              <w:pStyle w:val="TableParagraph"/>
              <w:ind w:right="108"/>
              <w:rPr>
                <w:sz w:val="20"/>
              </w:rPr>
            </w:pPr>
            <w:r>
              <w:rPr>
                <w:w w:val="100"/>
                <w:sz w:val="20"/>
              </w:rPr>
              <w:t>0</w:t>
            </w:r>
          </w:p>
        </w:tc>
        <w:tc>
          <w:tcPr>
            <w:tcW w:w="898" w:type="dxa"/>
            <w:tcBorders>
              <w:top w:val="nil"/>
              <w:left w:val="nil"/>
              <w:bottom w:val="nil"/>
              <w:right w:val="nil"/>
            </w:tcBorders>
          </w:tcPr>
          <w:p>
            <w:pPr>
              <w:pStyle w:val="TableParagraph"/>
              <w:ind w:right="65"/>
              <w:rPr>
                <w:sz w:val="20"/>
              </w:rPr>
            </w:pPr>
            <w:r>
              <w:rPr>
                <w:w w:val="100"/>
                <w:sz w:val="20"/>
              </w:rPr>
              <w:t>0</w:t>
            </w:r>
          </w:p>
        </w:tc>
      </w:tr>
      <w:tr>
        <w:trPr>
          <w:trHeight w:val="300" w:hRule="exact"/>
        </w:trPr>
        <w:tc>
          <w:tcPr>
            <w:tcW w:w="1158" w:type="dxa"/>
            <w:tcBorders>
              <w:top w:val="nil"/>
              <w:left w:val="nil"/>
              <w:bottom w:val="nil"/>
              <w:right w:val="nil"/>
            </w:tcBorders>
          </w:tcPr>
          <w:p>
            <w:pPr>
              <w:pStyle w:val="TableParagraph"/>
              <w:spacing w:before="26"/>
              <w:ind w:left="72"/>
              <w:jc w:val="left"/>
              <w:rPr>
                <w:sz w:val="20"/>
              </w:rPr>
            </w:pPr>
            <w:r>
              <w:rPr>
                <w:sz w:val="20"/>
              </w:rPr>
              <w:t>11</w:t>
            </w:r>
          </w:p>
        </w:tc>
        <w:tc>
          <w:tcPr>
            <w:tcW w:w="981" w:type="dxa"/>
            <w:tcBorders>
              <w:top w:val="nil"/>
              <w:left w:val="nil"/>
              <w:bottom w:val="nil"/>
              <w:right w:val="nil"/>
            </w:tcBorders>
          </w:tcPr>
          <w:p>
            <w:pPr>
              <w:pStyle w:val="TableParagraph"/>
              <w:spacing w:before="26"/>
              <w:ind w:right="72"/>
              <w:rPr>
                <w:sz w:val="20"/>
              </w:rPr>
            </w:pPr>
            <w:r>
              <w:rPr>
                <w:sz w:val="20"/>
              </w:rPr>
              <w:t>0.568</w:t>
            </w:r>
          </w:p>
        </w:tc>
        <w:tc>
          <w:tcPr>
            <w:tcW w:w="1035" w:type="dxa"/>
            <w:tcBorders>
              <w:top w:val="nil"/>
              <w:left w:val="nil"/>
              <w:bottom w:val="nil"/>
              <w:right w:val="nil"/>
            </w:tcBorders>
          </w:tcPr>
          <w:p>
            <w:pPr>
              <w:pStyle w:val="TableParagraph"/>
              <w:spacing w:before="26"/>
              <w:ind w:right="65"/>
              <w:rPr>
                <w:sz w:val="20"/>
              </w:rPr>
            </w:pPr>
            <w:r>
              <w:rPr>
                <w:sz w:val="20"/>
              </w:rPr>
              <w:t>35.8</w:t>
            </w:r>
          </w:p>
        </w:tc>
        <w:tc>
          <w:tcPr>
            <w:tcW w:w="1162" w:type="dxa"/>
            <w:tcBorders>
              <w:top w:val="nil"/>
              <w:left w:val="nil"/>
              <w:bottom w:val="nil"/>
              <w:right w:val="nil"/>
            </w:tcBorders>
          </w:tcPr>
          <w:p>
            <w:pPr>
              <w:pStyle w:val="TableParagraph"/>
              <w:spacing w:before="26"/>
              <w:ind w:right="65"/>
              <w:rPr>
                <w:sz w:val="20"/>
              </w:rPr>
            </w:pPr>
            <w:r>
              <w:rPr>
                <w:sz w:val="20"/>
              </w:rPr>
              <w:t>85.9</w:t>
            </w:r>
          </w:p>
        </w:tc>
        <w:tc>
          <w:tcPr>
            <w:tcW w:w="1016" w:type="dxa"/>
            <w:tcBorders>
              <w:top w:val="nil"/>
              <w:left w:val="nil"/>
              <w:bottom w:val="nil"/>
              <w:right w:val="nil"/>
            </w:tcBorders>
          </w:tcPr>
          <w:p>
            <w:pPr>
              <w:pStyle w:val="TableParagraph"/>
              <w:spacing w:before="26"/>
              <w:ind w:right="68"/>
              <w:rPr>
                <w:sz w:val="20"/>
              </w:rPr>
            </w:pPr>
            <w:r>
              <w:rPr>
                <w:w w:val="100"/>
                <w:sz w:val="20"/>
              </w:rPr>
              <w:t>0</w:t>
            </w:r>
          </w:p>
        </w:tc>
        <w:tc>
          <w:tcPr>
            <w:tcW w:w="1175" w:type="dxa"/>
            <w:tcBorders>
              <w:top w:val="nil"/>
              <w:left w:val="nil"/>
              <w:bottom w:val="nil"/>
              <w:right w:val="nil"/>
            </w:tcBorders>
          </w:tcPr>
          <w:p>
            <w:pPr>
              <w:pStyle w:val="TableParagraph"/>
              <w:spacing w:before="26"/>
              <w:ind w:right="71"/>
              <w:rPr>
                <w:sz w:val="20"/>
              </w:rPr>
            </w:pPr>
            <w:r>
              <w:rPr>
                <w:w w:val="100"/>
                <w:sz w:val="20"/>
              </w:rPr>
              <w:t>0</w:t>
            </w:r>
          </w:p>
        </w:tc>
        <w:tc>
          <w:tcPr>
            <w:tcW w:w="1060" w:type="dxa"/>
            <w:tcBorders>
              <w:top w:val="nil"/>
              <w:left w:val="nil"/>
              <w:bottom w:val="nil"/>
              <w:right w:val="nil"/>
            </w:tcBorders>
          </w:tcPr>
          <w:p>
            <w:pPr>
              <w:pStyle w:val="TableParagraph"/>
              <w:spacing w:before="26"/>
              <w:ind w:right="70"/>
              <w:rPr>
                <w:sz w:val="20"/>
              </w:rPr>
            </w:pPr>
            <w:r>
              <w:rPr>
                <w:sz w:val="20"/>
              </w:rPr>
              <w:t>64.4</w:t>
            </w:r>
          </w:p>
        </w:tc>
        <w:tc>
          <w:tcPr>
            <w:tcW w:w="1035" w:type="dxa"/>
            <w:tcBorders>
              <w:top w:val="nil"/>
              <w:left w:val="nil"/>
              <w:bottom w:val="nil"/>
              <w:right w:val="nil"/>
            </w:tcBorders>
          </w:tcPr>
          <w:p>
            <w:pPr>
              <w:pStyle w:val="TableParagraph"/>
              <w:spacing w:before="26"/>
              <w:ind w:right="67"/>
              <w:rPr>
                <w:sz w:val="20"/>
              </w:rPr>
            </w:pPr>
            <w:r>
              <w:rPr>
                <w:sz w:val="20"/>
              </w:rPr>
              <w:t>63</w:t>
            </w:r>
          </w:p>
        </w:tc>
        <w:tc>
          <w:tcPr>
            <w:tcW w:w="1203" w:type="dxa"/>
            <w:tcBorders>
              <w:top w:val="nil"/>
              <w:left w:val="nil"/>
              <w:bottom w:val="nil"/>
              <w:right w:val="nil"/>
            </w:tcBorders>
          </w:tcPr>
          <w:p>
            <w:pPr>
              <w:pStyle w:val="TableParagraph"/>
              <w:spacing w:before="26"/>
              <w:ind w:right="103"/>
              <w:rPr>
                <w:sz w:val="20"/>
              </w:rPr>
            </w:pPr>
            <w:r>
              <w:rPr>
                <w:sz w:val="20"/>
              </w:rPr>
              <w:t>100</w:t>
            </w:r>
          </w:p>
        </w:tc>
        <w:tc>
          <w:tcPr>
            <w:tcW w:w="898" w:type="dxa"/>
            <w:tcBorders>
              <w:top w:val="nil"/>
              <w:left w:val="nil"/>
              <w:bottom w:val="nil"/>
              <w:right w:val="nil"/>
            </w:tcBorders>
          </w:tcPr>
          <w:p>
            <w:pPr>
              <w:pStyle w:val="TableParagraph"/>
              <w:spacing w:before="26"/>
              <w:ind w:right="60"/>
              <w:rPr>
                <w:sz w:val="20"/>
              </w:rPr>
            </w:pPr>
            <w:r>
              <w:rPr>
                <w:sz w:val="20"/>
              </w:rPr>
              <w:t>0.08</w:t>
            </w:r>
          </w:p>
        </w:tc>
      </w:tr>
      <w:tr>
        <w:trPr>
          <w:trHeight w:val="300" w:hRule="exact"/>
        </w:trPr>
        <w:tc>
          <w:tcPr>
            <w:tcW w:w="1158" w:type="dxa"/>
            <w:tcBorders>
              <w:top w:val="nil"/>
              <w:left w:val="nil"/>
              <w:bottom w:val="nil"/>
              <w:right w:val="nil"/>
            </w:tcBorders>
          </w:tcPr>
          <w:p>
            <w:pPr>
              <w:pStyle w:val="TableParagraph"/>
              <w:ind w:left="72"/>
              <w:jc w:val="left"/>
              <w:rPr>
                <w:sz w:val="20"/>
              </w:rPr>
            </w:pPr>
            <w:r>
              <w:rPr>
                <w:sz w:val="20"/>
              </w:rPr>
              <w:t>12</w:t>
            </w:r>
          </w:p>
        </w:tc>
        <w:tc>
          <w:tcPr>
            <w:tcW w:w="981" w:type="dxa"/>
            <w:tcBorders>
              <w:top w:val="nil"/>
              <w:left w:val="nil"/>
              <w:bottom w:val="nil"/>
              <w:right w:val="nil"/>
            </w:tcBorders>
          </w:tcPr>
          <w:p>
            <w:pPr>
              <w:pStyle w:val="TableParagraph"/>
              <w:ind w:right="72"/>
              <w:rPr>
                <w:sz w:val="20"/>
              </w:rPr>
            </w:pPr>
            <w:r>
              <w:rPr>
                <w:sz w:val="20"/>
              </w:rPr>
              <w:t>0.153</w:t>
            </w:r>
          </w:p>
        </w:tc>
        <w:tc>
          <w:tcPr>
            <w:tcW w:w="1035" w:type="dxa"/>
            <w:tcBorders>
              <w:top w:val="nil"/>
              <w:left w:val="nil"/>
              <w:bottom w:val="nil"/>
              <w:right w:val="nil"/>
            </w:tcBorders>
          </w:tcPr>
          <w:p>
            <w:pPr>
              <w:pStyle w:val="TableParagraph"/>
              <w:ind w:right="65"/>
              <w:rPr>
                <w:sz w:val="20"/>
              </w:rPr>
            </w:pPr>
            <w:r>
              <w:rPr>
                <w:sz w:val="20"/>
              </w:rPr>
              <w:t>25.3</w:t>
            </w:r>
          </w:p>
        </w:tc>
        <w:tc>
          <w:tcPr>
            <w:tcW w:w="1162" w:type="dxa"/>
            <w:tcBorders>
              <w:top w:val="nil"/>
              <w:left w:val="nil"/>
              <w:bottom w:val="nil"/>
              <w:right w:val="nil"/>
            </w:tcBorders>
          </w:tcPr>
          <w:p>
            <w:pPr>
              <w:pStyle w:val="TableParagraph"/>
              <w:ind w:right="65"/>
              <w:rPr>
                <w:sz w:val="20"/>
              </w:rPr>
            </w:pPr>
            <w:r>
              <w:rPr>
                <w:sz w:val="20"/>
              </w:rPr>
              <w:t>60.8</w:t>
            </w:r>
          </w:p>
        </w:tc>
        <w:tc>
          <w:tcPr>
            <w:tcW w:w="1016" w:type="dxa"/>
            <w:tcBorders>
              <w:top w:val="nil"/>
              <w:left w:val="nil"/>
              <w:bottom w:val="nil"/>
              <w:right w:val="nil"/>
            </w:tcBorders>
          </w:tcPr>
          <w:p>
            <w:pPr>
              <w:pStyle w:val="TableParagraph"/>
              <w:ind w:right="68"/>
              <w:rPr>
                <w:sz w:val="20"/>
              </w:rPr>
            </w:pPr>
            <w:r>
              <w:rPr>
                <w:w w:val="100"/>
                <w:sz w:val="20"/>
              </w:rPr>
              <w:t>0</w:t>
            </w:r>
          </w:p>
        </w:tc>
        <w:tc>
          <w:tcPr>
            <w:tcW w:w="1175" w:type="dxa"/>
            <w:tcBorders>
              <w:top w:val="nil"/>
              <w:left w:val="nil"/>
              <w:bottom w:val="nil"/>
              <w:right w:val="nil"/>
            </w:tcBorders>
          </w:tcPr>
          <w:p>
            <w:pPr>
              <w:pStyle w:val="TableParagraph"/>
              <w:ind w:right="71"/>
              <w:rPr>
                <w:sz w:val="20"/>
              </w:rPr>
            </w:pPr>
            <w:r>
              <w:rPr>
                <w:w w:val="100"/>
                <w:sz w:val="20"/>
              </w:rPr>
              <w:t>0</w:t>
            </w:r>
          </w:p>
        </w:tc>
        <w:tc>
          <w:tcPr>
            <w:tcW w:w="1060" w:type="dxa"/>
            <w:tcBorders>
              <w:top w:val="nil"/>
              <w:left w:val="nil"/>
              <w:bottom w:val="nil"/>
              <w:right w:val="nil"/>
            </w:tcBorders>
          </w:tcPr>
          <w:p>
            <w:pPr>
              <w:pStyle w:val="TableParagraph"/>
              <w:ind w:right="70"/>
              <w:rPr>
                <w:sz w:val="20"/>
              </w:rPr>
            </w:pPr>
            <w:r>
              <w:rPr>
                <w:sz w:val="20"/>
              </w:rPr>
              <w:t>45.6</w:t>
            </w:r>
          </w:p>
        </w:tc>
        <w:tc>
          <w:tcPr>
            <w:tcW w:w="1035" w:type="dxa"/>
            <w:tcBorders>
              <w:top w:val="nil"/>
              <w:left w:val="nil"/>
              <w:bottom w:val="nil"/>
              <w:right w:val="nil"/>
            </w:tcBorders>
          </w:tcPr>
          <w:p>
            <w:pPr>
              <w:pStyle w:val="TableParagraph"/>
              <w:ind w:right="67"/>
              <w:rPr>
                <w:sz w:val="20"/>
              </w:rPr>
            </w:pPr>
            <w:r>
              <w:rPr>
                <w:sz w:val="20"/>
              </w:rPr>
              <w:t>63</w:t>
            </w:r>
          </w:p>
        </w:tc>
        <w:tc>
          <w:tcPr>
            <w:tcW w:w="1203" w:type="dxa"/>
            <w:tcBorders>
              <w:top w:val="nil"/>
              <w:left w:val="nil"/>
              <w:bottom w:val="nil"/>
              <w:right w:val="nil"/>
            </w:tcBorders>
          </w:tcPr>
          <w:p>
            <w:pPr>
              <w:pStyle w:val="TableParagraph"/>
              <w:ind w:right="103"/>
              <w:rPr>
                <w:sz w:val="20"/>
              </w:rPr>
            </w:pPr>
            <w:r>
              <w:rPr>
                <w:sz w:val="20"/>
              </w:rPr>
              <w:t>100</w:t>
            </w:r>
          </w:p>
        </w:tc>
        <w:tc>
          <w:tcPr>
            <w:tcW w:w="898" w:type="dxa"/>
            <w:tcBorders>
              <w:top w:val="nil"/>
              <w:left w:val="nil"/>
              <w:bottom w:val="nil"/>
              <w:right w:val="nil"/>
            </w:tcBorders>
          </w:tcPr>
          <w:p>
            <w:pPr>
              <w:pStyle w:val="TableParagraph"/>
              <w:ind w:right="60"/>
              <w:rPr>
                <w:sz w:val="20"/>
              </w:rPr>
            </w:pPr>
            <w:r>
              <w:rPr>
                <w:sz w:val="20"/>
              </w:rPr>
              <w:t>0.08</w:t>
            </w:r>
          </w:p>
        </w:tc>
      </w:tr>
      <w:tr>
        <w:trPr>
          <w:trHeight w:val="300" w:hRule="exact"/>
        </w:trPr>
        <w:tc>
          <w:tcPr>
            <w:tcW w:w="1158" w:type="dxa"/>
            <w:tcBorders>
              <w:top w:val="nil"/>
              <w:left w:val="nil"/>
              <w:bottom w:val="nil"/>
              <w:right w:val="nil"/>
            </w:tcBorders>
          </w:tcPr>
          <w:p>
            <w:pPr>
              <w:pStyle w:val="TableParagraph"/>
              <w:spacing w:before="26"/>
              <w:ind w:left="72"/>
              <w:jc w:val="left"/>
              <w:rPr>
                <w:sz w:val="20"/>
              </w:rPr>
            </w:pPr>
            <w:r>
              <w:rPr>
                <w:sz w:val="20"/>
              </w:rPr>
              <w:t>13</w:t>
            </w:r>
          </w:p>
        </w:tc>
        <w:tc>
          <w:tcPr>
            <w:tcW w:w="981" w:type="dxa"/>
            <w:tcBorders>
              <w:top w:val="nil"/>
              <w:left w:val="nil"/>
              <w:bottom w:val="nil"/>
              <w:right w:val="nil"/>
            </w:tcBorders>
          </w:tcPr>
          <w:p>
            <w:pPr>
              <w:pStyle w:val="TableParagraph"/>
              <w:spacing w:before="26"/>
              <w:ind w:right="72"/>
              <w:rPr>
                <w:sz w:val="20"/>
              </w:rPr>
            </w:pPr>
            <w:r>
              <w:rPr>
                <w:sz w:val="20"/>
              </w:rPr>
              <w:t>0.425</w:t>
            </w:r>
          </w:p>
        </w:tc>
        <w:tc>
          <w:tcPr>
            <w:tcW w:w="1035" w:type="dxa"/>
            <w:tcBorders>
              <w:top w:val="nil"/>
              <w:left w:val="nil"/>
              <w:bottom w:val="nil"/>
              <w:right w:val="nil"/>
            </w:tcBorders>
          </w:tcPr>
          <w:p>
            <w:pPr>
              <w:pStyle w:val="TableParagraph"/>
              <w:spacing w:before="26"/>
              <w:ind w:right="65"/>
              <w:rPr>
                <w:sz w:val="20"/>
              </w:rPr>
            </w:pPr>
            <w:r>
              <w:rPr>
                <w:sz w:val="20"/>
              </w:rPr>
              <w:t>19.8</w:t>
            </w:r>
          </w:p>
        </w:tc>
        <w:tc>
          <w:tcPr>
            <w:tcW w:w="1162" w:type="dxa"/>
            <w:tcBorders>
              <w:top w:val="nil"/>
              <w:left w:val="nil"/>
              <w:bottom w:val="nil"/>
              <w:right w:val="nil"/>
            </w:tcBorders>
          </w:tcPr>
          <w:p>
            <w:pPr>
              <w:pStyle w:val="TableParagraph"/>
              <w:spacing w:before="26"/>
              <w:ind w:right="65"/>
              <w:rPr>
                <w:sz w:val="20"/>
              </w:rPr>
            </w:pPr>
            <w:r>
              <w:rPr>
                <w:sz w:val="20"/>
              </w:rPr>
              <w:t>47.6</w:t>
            </w:r>
          </w:p>
        </w:tc>
        <w:tc>
          <w:tcPr>
            <w:tcW w:w="1016" w:type="dxa"/>
            <w:tcBorders>
              <w:top w:val="nil"/>
              <w:left w:val="nil"/>
              <w:bottom w:val="nil"/>
              <w:right w:val="nil"/>
            </w:tcBorders>
          </w:tcPr>
          <w:p>
            <w:pPr>
              <w:pStyle w:val="TableParagraph"/>
              <w:spacing w:before="26"/>
              <w:ind w:right="68"/>
              <w:rPr>
                <w:sz w:val="20"/>
              </w:rPr>
            </w:pPr>
            <w:r>
              <w:rPr>
                <w:w w:val="100"/>
                <w:sz w:val="20"/>
              </w:rPr>
              <w:t>0</w:t>
            </w:r>
          </w:p>
        </w:tc>
        <w:tc>
          <w:tcPr>
            <w:tcW w:w="1175" w:type="dxa"/>
            <w:tcBorders>
              <w:top w:val="nil"/>
              <w:left w:val="nil"/>
              <w:bottom w:val="nil"/>
              <w:right w:val="nil"/>
            </w:tcBorders>
          </w:tcPr>
          <w:p>
            <w:pPr>
              <w:pStyle w:val="TableParagraph"/>
              <w:spacing w:before="26"/>
              <w:ind w:right="71"/>
              <w:rPr>
                <w:sz w:val="20"/>
              </w:rPr>
            </w:pPr>
            <w:r>
              <w:rPr>
                <w:w w:val="100"/>
                <w:sz w:val="20"/>
              </w:rPr>
              <w:t>0</w:t>
            </w:r>
          </w:p>
        </w:tc>
        <w:tc>
          <w:tcPr>
            <w:tcW w:w="1060" w:type="dxa"/>
            <w:tcBorders>
              <w:top w:val="nil"/>
              <w:left w:val="nil"/>
              <w:bottom w:val="nil"/>
              <w:right w:val="nil"/>
            </w:tcBorders>
          </w:tcPr>
          <w:p>
            <w:pPr>
              <w:pStyle w:val="TableParagraph"/>
              <w:spacing w:before="26"/>
              <w:ind w:right="70"/>
              <w:rPr>
                <w:sz w:val="20"/>
              </w:rPr>
            </w:pPr>
            <w:r>
              <w:rPr>
                <w:sz w:val="20"/>
              </w:rPr>
              <w:t>35.7</w:t>
            </w:r>
          </w:p>
        </w:tc>
        <w:tc>
          <w:tcPr>
            <w:tcW w:w="1035" w:type="dxa"/>
            <w:tcBorders>
              <w:top w:val="nil"/>
              <w:left w:val="nil"/>
              <w:bottom w:val="nil"/>
              <w:right w:val="nil"/>
            </w:tcBorders>
          </w:tcPr>
          <w:p>
            <w:pPr>
              <w:pStyle w:val="TableParagraph"/>
              <w:spacing w:before="26"/>
              <w:ind w:right="67"/>
              <w:rPr>
                <w:sz w:val="20"/>
              </w:rPr>
            </w:pPr>
            <w:r>
              <w:rPr>
                <w:sz w:val="20"/>
              </w:rPr>
              <w:t>63</w:t>
            </w:r>
          </w:p>
        </w:tc>
        <w:tc>
          <w:tcPr>
            <w:tcW w:w="1203" w:type="dxa"/>
            <w:tcBorders>
              <w:top w:val="nil"/>
              <w:left w:val="nil"/>
              <w:bottom w:val="nil"/>
              <w:right w:val="nil"/>
            </w:tcBorders>
          </w:tcPr>
          <w:p>
            <w:pPr>
              <w:pStyle w:val="TableParagraph"/>
              <w:spacing w:before="26"/>
              <w:ind w:right="103"/>
              <w:rPr>
                <w:sz w:val="20"/>
              </w:rPr>
            </w:pPr>
            <w:r>
              <w:rPr>
                <w:sz w:val="20"/>
              </w:rPr>
              <w:t>100</w:t>
            </w:r>
          </w:p>
        </w:tc>
        <w:tc>
          <w:tcPr>
            <w:tcW w:w="898" w:type="dxa"/>
            <w:tcBorders>
              <w:top w:val="nil"/>
              <w:left w:val="nil"/>
              <w:bottom w:val="nil"/>
              <w:right w:val="nil"/>
            </w:tcBorders>
          </w:tcPr>
          <w:p>
            <w:pPr>
              <w:pStyle w:val="TableParagraph"/>
              <w:spacing w:before="26"/>
              <w:ind w:right="60"/>
              <w:rPr>
                <w:sz w:val="20"/>
              </w:rPr>
            </w:pPr>
            <w:r>
              <w:rPr>
                <w:sz w:val="20"/>
              </w:rPr>
              <w:t>0.08</w:t>
            </w:r>
          </w:p>
        </w:tc>
      </w:tr>
      <w:tr>
        <w:trPr>
          <w:trHeight w:val="300" w:hRule="exact"/>
        </w:trPr>
        <w:tc>
          <w:tcPr>
            <w:tcW w:w="1158" w:type="dxa"/>
            <w:tcBorders>
              <w:top w:val="nil"/>
              <w:left w:val="nil"/>
              <w:bottom w:val="nil"/>
              <w:right w:val="nil"/>
            </w:tcBorders>
          </w:tcPr>
          <w:p>
            <w:pPr>
              <w:pStyle w:val="TableParagraph"/>
              <w:ind w:left="72"/>
              <w:jc w:val="left"/>
              <w:rPr>
                <w:sz w:val="20"/>
              </w:rPr>
            </w:pPr>
            <w:r>
              <w:rPr>
                <w:sz w:val="20"/>
              </w:rPr>
              <w:t>14</w:t>
            </w:r>
          </w:p>
        </w:tc>
        <w:tc>
          <w:tcPr>
            <w:tcW w:w="981" w:type="dxa"/>
            <w:tcBorders>
              <w:top w:val="nil"/>
              <w:left w:val="nil"/>
              <w:bottom w:val="nil"/>
              <w:right w:val="nil"/>
            </w:tcBorders>
          </w:tcPr>
          <w:p>
            <w:pPr>
              <w:pStyle w:val="TableParagraph"/>
              <w:ind w:right="77"/>
              <w:rPr>
                <w:sz w:val="20"/>
              </w:rPr>
            </w:pPr>
            <w:r>
              <w:rPr>
                <w:w w:val="100"/>
                <w:sz w:val="20"/>
              </w:rPr>
              <w:t>0</w:t>
            </w:r>
          </w:p>
        </w:tc>
        <w:tc>
          <w:tcPr>
            <w:tcW w:w="1035" w:type="dxa"/>
            <w:tcBorders>
              <w:top w:val="nil"/>
              <w:left w:val="nil"/>
              <w:bottom w:val="nil"/>
              <w:right w:val="nil"/>
            </w:tcBorders>
          </w:tcPr>
          <w:p>
            <w:pPr>
              <w:pStyle w:val="TableParagraph"/>
              <w:ind w:right="69"/>
              <w:rPr>
                <w:sz w:val="20"/>
              </w:rPr>
            </w:pPr>
            <w:r>
              <w:rPr>
                <w:w w:val="100"/>
                <w:sz w:val="20"/>
              </w:rPr>
              <w:t>0</w:t>
            </w:r>
          </w:p>
        </w:tc>
        <w:tc>
          <w:tcPr>
            <w:tcW w:w="1162" w:type="dxa"/>
            <w:tcBorders>
              <w:top w:val="nil"/>
              <w:left w:val="nil"/>
              <w:bottom w:val="nil"/>
              <w:right w:val="nil"/>
            </w:tcBorders>
          </w:tcPr>
          <w:p>
            <w:pPr>
              <w:pStyle w:val="TableParagraph"/>
              <w:ind w:right="69"/>
              <w:rPr>
                <w:sz w:val="20"/>
              </w:rPr>
            </w:pPr>
            <w:r>
              <w:rPr>
                <w:w w:val="100"/>
                <w:sz w:val="20"/>
              </w:rPr>
              <w:t>0</w:t>
            </w:r>
          </w:p>
        </w:tc>
        <w:tc>
          <w:tcPr>
            <w:tcW w:w="1016" w:type="dxa"/>
            <w:tcBorders>
              <w:top w:val="nil"/>
              <w:left w:val="nil"/>
              <w:bottom w:val="nil"/>
              <w:right w:val="nil"/>
            </w:tcBorders>
          </w:tcPr>
          <w:p>
            <w:pPr>
              <w:pStyle w:val="TableParagraph"/>
              <w:ind w:right="68"/>
              <w:rPr>
                <w:sz w:val="20"/>
              </w:rPr>
            </w:pPr>
            <w:r>
              <w:rPr>
                <w:w w:val="100"/>
                <w:sz w:val="20"/>
              </w:rPr>
              <w:t>0</w:t>
            </w:r>
          </w:p>
        </w:tc>
        <w:tc>
          <w:tcPr>
            <w:tcW w:w="1175" w:type="dxa"/>
            <w:tcBorders>
              <w:top w:val="nil"/>
              <w:left w:val="nil"/>
              <w:bottom w:val="nil"/>
              <w:right w:val="nil"/>
            </w:tcBorders>
          </w:tcPr>
          <w:p>
            <w:pPr>
              <w:pStyle w:val="TableParagraph"/>
              <w:ind w:right="71"/>
              <w:rPr>
                <w:sz w:val="20"/>
              </w:rPr>
            </w:pPr>
            <w:r>
              <w:rPr>
                <w:w w:val="100"/>
                <w:sz w:val="20"/>
              </w:rPr>
              <w:t>0</w:t>
            </w:r>
          </w:p>
        </w:tc>
        <w:tc>
          <w:tcPr>
            <w:tcW w:w="1060" w:type="dxa"/>
            <w:tcBorders>
              <w:top w:val="nil"/>
              <w:left w:val="nil"/>
              <w:bottom w:val="nil"/>
              <w:right w:val="nil"/>
            </w:tcBorders>
          </w:tcPr>
          <w:p>
            <w:pPr>
              <w:pStyle w:val="TableParagraph"/>
              <w:ind w:right="75"/>
              <w:rPr>
                <w:sz w:val="20"/>
              </w:rPr>
            </w:pPr>
            <w:r>
              <w:rPr>
                <w:w w:val="100"/>
                <w:sz w:val="20"/>
              </w:rPr>
              <w:t>0</w:t>
            </w:r>
          </w:p>
        </w:tc>
        <w:tc>
          <w:tcPr>
            <w:tcW w:w="1035" w:type="dxa"/>
            <w:tcBorders>
              <w:top w:val="nil"/>
              <w:left w:val="nil"/>
              <w:bottom w:val="nil"/>
              <w:right w:val="nil"/>
            </w:tcBorders>
          </w:tcPr>
          <w:p>
            <w:pPr>
              <w:pStyle w:val="TableParagraph"/>
              <w:ind w:right="67"/>
              <w:rPr>
                <w:sz w:val="20"/>
              </w:rPr>
            </w:pPr>
            <w:r>
              <w:rPr>
                <w:w w:val="100"/>
                <w:sz w:val="20"/>
              </w:rPr>
              <w:t>0</w:t>
            </w:r>
          </w:p>
        </w:tc>
        <w:tc>
          <w:tcPr>
            <w:tcW w:w="1203" w:type="dxa"/>
            <w:tcBorders>
              <w:top w:val="nil"/>
              <w:left w:val="nil"/>
              <w:bottom w:val="nil"/>
              <w:right w:val="nil"/>
            </w:tcBorders>
          </w:tcPr>
          <w:p>
            <w:pPr>
              <w:pStyle w:val="TableParagraph"/>
              <w:ind w:right="108"/>
              <w:rPr>
                <w:sz w:val="20"/>
              </w:rPr>
            </w:pPr>
            <w:r>
              <w:rPr>
                <w:w w:val="100"/>
                <w:sz w:val="20"/>
              </w:rPr>
              <w:t>0</w:t>
            </w:r>
          </w:p>
        </w:tc>
        <w:tc>
          <w:tcPr>
            <w:tcW w:w="898" w:type="dxa"/>
            <w:tcBorders>
              <w:top w:val="nil"/>
              <w:left w:val="nil"/>
              <w:bottom w:val="nil"/>
              <w:right w:val="nil"/>
            </w:tcBorders>
          </w:tcPr>
          <w:p>
            <w:pPr>
              <w:pStyle w:val="TableParagraph"/>
              <w:ind w:right="65"/>
              <w:rPr>
                <w:sz w:val="20"/>
              </w:rPr>
            </w:pPr>
            <w:r>
              <w:rPr>
                <w:w w:val="100"/>
                <w:sz w:val="20"/>
              </w:rPr>
              <w:t>0</w:t>
            </w:r>
          </w:p>
        </w:tc>
      </w:tr>
      <w:tr>
        <w:trPr>
          <w:trHeight w:val="300" w:hRule="exact"/>
        </w:trPr>
        <w:tc>
          <w:tcPr>
            <w:tcW w:w="1158" w:type="dxa"/>
            <w:tcBorders>
              <w:top w:val="nil"/>
              <w:left w:val="nil"/>
              <w:bottom w:val="nil"/>
              <w:right w:val="nil"/>
            </w:tcBorders>
          </w:tcPr>
          <w:p>
            <w:pPr>
              <w:pStyle w:val="TableParagraph"/>
              <w:spacing w:before="26"/>
              <w:ind w:left="72"/>
              <w:jc w:val="left"/>
              <w:rPr>
                <w:sz w:val="20"/>
              </w:rPr>
            </w:pPr>
            <w:r>
              <w:rPr>
                <w:sz w:val="20"/>
              </w:rPr>
              <w:t>15</w:t>
            </w:r>
          </w:p>
        </w:tc>
        <w:tc>
          <w:tcPr>
            <w:tcW w:w="981" w:type="dxa"/>
            <w:tcBorders>
              <w:top w:val="nil"/>
              <w:left w:val="nil"/>
              <w:bottom w:val="nil"/>
              <w:right w:val="nil"/>
            </w:tcBorders>
          </w:tcPr>
          <w:p>
            <w:pPr>
              <w:pStyle w:val="TableParagraph"/>
              <w:spacing w:before="26"/>
              <w:ind w:right="72"/>
              <w:rPr>
                <w:sz w:val="20"/>
              </w:rPr>
            </w:pPr>
            <w:r>
              <w:rPr>
                <w:sz w:val="20"/>
              </w:rPr>
              <w:t>0.003</w:t>
            </w:r>
          </w:p>
        </w:tc>
        <w:tc>
          <w:tcPr>
            <w:tcW w:w="1035" w:type="dxa"/>
            <w:tcBorders>
              <w:top w:val="nil"/>
              <w:left w:val="nil"/>
              <w:bottom w:val="nil"/>
              <w:right w:val="nil"/>
            </w:tcBorders>
          </w:tcPr>
          <w:p>
            <w:pPr>
              <w:pStyle w:val="TableParagraph"/>
              <w:spacing w:before="26"/>
              <w:ind w:right="65"/>
              <w:rPr>
                <w:sz w:val="20"/>
              </w:rPr>
            </w:pPr>
            <w:r>
              <w:rPr>
                <w:sz w:val="20"/>
              </w:rPr>
              <w:t>0.3</w:t>
            </w:r>
          </w:p>
        </w:tc>
        <w:tc>
          <w:tcPr>
            <w:tcW w:w="1162" w:type="dxa"/>
            <w:tcBorders>
              <w:top w:val="nil"/>
              <w:left w:val="nil"/>
              <w:bottom w:val="nil"/>
              <w:right w:val="nil"/>
            </w:tcBorders>
          </w:tcPr>
          <w:p>
            <w:pPr>
              <w:pStyle w:val="TableParagraph"/>
              <w:spacing w:before="26"/>
              <w:ind w:right="65"/>
              <w:rPr>
                <w:sz w:val="20"/>
              </w:rPr>
            </w:pPr>
            <w:r>
              <w:rPr>
                <w:sz w:val="20"/>
              </w:rPr>
              <w:t>0.7</w:t>
            </w:r>
          </w:p>
        </w:tc>
        <w:tc>
          <w:tcPr>
            <w:tcW w:w="1016" w:type="dxa"/>
            <w:tcBorders>
              <w:top w:val="nil"/>
              <w:left w:val="nil"/>
              <w:bottom w:val="nil"/>
              <w:right w:val="nil"/>
            </w:tcBorders>
          </w:tcPr>
          <w:p>
            <w:pPr>
              <w:pStyle w:val="TableParagraph"/>
              <w:spacing w:before="26"/>
              <w:ind w:right="68"/>
              <w:rPr>
                <w:sz w:val="20"/>
              </w:rPr>
            </w:pPr>
            <w:r>
              <w:rPr>
                <w:w w:val="100"/>
                <w:sz w:val="20"/>
              </w:rPr>
              <w:t>0</w:t>
            </w:r>
          </w:p>
        </w:tc>
        <w:tc>
          <w:tcPr>
            <w:tcW w:w="1175" w:type="dxa"/>
            <w:tcBorders>
              <w:top w:val="nil"/>
              <w:left w:val="nil"/>
              <w:bottom w:val="nil"/>
              <w:right w:val="nil"/>
            </w:tcBorders>
          </w:tcPr>
          <w:p>
            <w:pPr>
              <w:pStyle w:val="TableParagraph"/>
              <w:spacing w:before="26"/>
              <w:ind w:right="71"/>
              <w:rPr>
                <w:sz w:val="20"/>
              </w:rPr>
            </w:pPr>
            <w:r>
              <w:rPr>
                <w:w w:val="100"/>
                <w:sz w:val="20"/>
              </w:rPr>
              <w:t>0</w:t>
            </w:r>
          </w:p>
        </w:tc>
        <w:tc>
          <w:tcPr>
            <w:tcW w:w="1060" w:type="dxa"/>
            <w:tcBorders>
              <w:top w:val="nil"/>
              <w:left w:val="nil"/>
              <w:bottom w:val="nil"/>
              <w:right w:val="nil"/>
            </w:tcBorders>
          </w:tcPr>
          <w:p>
            <w:pPr>
              <w:pStyle w:val="TableParagraph"/>
              <w:spacing w:before="26"/>
              <w:ind w:right="70"/>
              <w:rPr>
                <w:sz w:val="20"/>
              </w:rPr>
            </w:pPr>
            <w:r>
              <w:rPr>
                <w:sz w:val="20"/>
              </w:rPr>
              <w:t>0.5</w:t>
            </w:r>
          </w:p>
        </w:tc>
        <w:tc>
          <w:tcPr>
            <w:tcW w:w="1035" w:type="dxa"/>
            <w:tcBorders>
              <w:top w:val="nil"/>
              <w:left w:val="nil"/>
              <w:bottom w:val="nil"/>
              <w:right w:val="nil"/>
            </w:tcBorders>
          </w:tcPr>
          <w:p>
            <w:pPr>
              <w:pStyle w:val="TableParagraph"/>
              <w:spacing w:before="26"/>
              <w:ind w:right="67"/>
              <w:rPr>
                <w:sz w:val="20"/>
              </w:rPr>
            </w:pPr>
            <w:r>
              <w:rPr>
                <w:sz w:val="20"/>
              </w:rPr>
              <w:t>63</w:t>
            </w:r>
          </w:p>
        </w:tc>
        <w:tc>
          <w:tcPr>
            <w:tcW w:w="1203" w:type="dxa"/>
            <w:tcBorders>
              <w:top w:val="nil"/>
              <w:left w:val="nil"/>
              <w:bottom w:val="nil"/>
              <w:right w:val="nil"/>
            </w:tcBorders>
          </w:tcPr>
          <w:p>
            <w:pPr>
              <w:pStyle w:val="TableParagraph"/>
              <w:spacing w:before="26"/>
              <w:ind w:right="103"/>
              <w:rPr>
                <w:sz w:val="20"/>
              </w:rPr>
            </w:pPr>
            <w:r>
              <w:rPr>
                <w:sz w:val="20"/>
              </w:rPr>
              <w:t>100</w:t>
            </w:r>
          </w:p>
        </w:tc>
        <w:tc>
          <w:tcPr>
            <w:tcW w:w="898" w:type="dxa"/>
            <w:tcBorders>
              <w:top w:val="nil"/>
              <w:left w:val="nil"/>
              <w:bottom w:val="nil"/>
              <w:right w:val="nil"/>
            </w:tcBorders>
          </w:tcPr>
          <w:p>
            <w:pPr>
              <w:pStyle w:val="TableParagraph"/>
              <w:spacing w:before="26"/>
              <w:ind w:right="60"/>
              <w:rPr>
                <w:sz w:val="20"/>
              </w:rPr>
            </w:pPr>
            <w:r>
              <w:rPr>
                <w:sz w:val="20"/>
              </w:rPr>
              <w:t>0.08</w:t>
            </w:r>
          </w:p>
        </w:tc>
      </w:tr>
      <w:tr>
        <w:trPr>
          <w:trHeight w:val="300" w:hRule="exact"/>
        </w:trPr>
        <w:tc>
          <w:tcPr>
            <w:tcW w:w="1158" w:type="dxa"/>
            <w:tcBorders>
              <w:top w:val="nil"/>
              <w:left w:val="nil"/>
              <w:bottom w:val="nil"/>
              <w:right w:val="nil"/>
            </w:tcBorders>
          </w:tcPr>
          <w:p>
            <w:pPr>
              <w:pStyle w:val="TableParagraph"/>
              <w:ind w:left="72"/>
              <w:jc w:val="left"/>
              <w:rPr>
                <w:sz w:val="20"/>
              </w:rPr>
            </w:pPr>
            <w:r>
              <w:rPr>
                <w:sz w:val="20"/>
              </w:rPr>
              <w:t>16</w:t>
            </w:r>
          </w:p>
        </w:tc>
        <w:tc>
          <w:tcPr>
            <w:tcW w:w="981" w:type="dxa"/>
            <w:tcBorders>
              <w:top w:val="nil"/>
              <w:left w:val="nil"/>
              <w:bottom w:val="nil"/>
              <w:right w:val="nil"/>
            </w:tcBorders>
          </w:tcPr>
          <w:p>
            <w:pPr>
              <w:pStyle w:val="TableParagraph"/>
              <w:ind w:right="72"/>
              <w:rPr>
                <w:sz w:val="20"/>
              </w:rPr>
            </w:pPr>
            <w:r>
              <w:rPr>
                <w:sz w:val="20"/>
              </w:rPr>
              <w:t>0.784</w:t>
            </w:r>
          </w:p>
        </w:tc>
        <w:tc>
          <w:tcPr>
            <w:tcW w:w="1035" w:type="dxa"/>
            <w:tcBorders>
              <w:top w:val="nil"/>
              <w:left w:val="nil"/>
              <w:bottom w:val="nil"/>
              <w:right w:val="nil"/>
            </w:tcBorders>
          </w:tcPr>
          <w:p>
            <w:pPr>
              <w:pStyle w:val="TableParagraph"/>
              <w:ind w:right="65"/>
              <w:rPr>
                <w:sz w:val="20"/>
              </w:rPr>
            </w:pPr>
            <w:r>
              <w:rPr>
                <w:sz w:val="20"/>
              </w:rPr>
              <w:t>20.9</w:t>
            </w:r>
          </w:p>
        </w:tc>
        <w:tc>
          <w:tcPr>
            <w:tcW w:w="1162" w:type="dxa"/>
            <w:tcBorders>
              <w:top w:val="nil"/>
              <w:left w:val="nil"/>
              <w:bottom w:val="nil"/>
              <w:right w:val="nil"/>
            </w:tcBorders>
          </w:tcPr>
          <w:p>
            <w:pPr>
              <w:pStyle w:val="TableParagraph"/>
              <w:ind w:right="65"/>
              <w:rPr>
                <w:sz w:val="20"/>
              </w:rPr>
            </w:pPr>
            <w:r>
              <w:rPr>
                <w:sz w:val="20"/>
              </w:rPr>
              <w:t>50.2</w:t>
            </w:r>
          </w:p>
        </w:tc>
        <w:tc>
          <w:tcPr>
            <w:tcW w:w="1016" w:type="dxa"/>
            <w:tcBorders>
              <w:top w:val="nil"/>
              <w:left w:val="nil"/>
              <w:bottom w:val="nil"/>
              <w:right w:val="nil"/>
            </w:tcBorders>
          </w:tcPr>
          <w:p>
            <w:pPr>
              <w:pStyle w:val="TableParagraph"/>
              <w:ind w:right="68"/>
              <w:rPr>
                <w:sz w:val="20"/>
              </w:rPr>
            </w:pPr>
            <w:r>
              <w:rPr>
                <w:w w:val="100"/>
                <w:sz w:val="20"/>
              </w:rPr>
              <w:t>0</w:t>
            </w:r>
          </w:p>
        </w:tc>
        <w:tc>
          <w:tcPr>
            <w:tcW w:w="1175" w:type="dxa"/>
            <w:tcBorders>
              <w:top w:val="nil"/>
              <w:left w:val="nil"/>
              <w:bottom w:val="nil"/>
              <w:right w:val="nil"/>
            </w:tcBorders>
          </w:tcPr>
          <w:p>
            <w:pPr>
              <w:pStyle w:val="TableParagraph"/>
              <w:ind w:right="71"/>
              <w:rPr>
                <w:sz w:val="20"/>
              </w:rPr>
            </w:pPr>
            <w:r>
              <w:rPr>
                <w:w w:val="100"/>
                <w:sz w:val="20"/>
              </w:rPr>
              <w:t>0</w:t>
            </w:r>
          </w:p>
        </w:tc>
        <w:tc>
          <w:tcPr>
            <w:tcW w:w="1060" w:type="dxa"/>
            <w:tcBorders>
              <w:top w:val="nil"/>
              <w:left w:val="nil"/>
              <w:bottom w:val="nil"/>
              <w:right w:val="nil"/>
            </w:tcBorders>
          </w:tcPr>
          <w:p>
            <w:pPr>
              <w:pStyle w:val="TableParagraph"/>
              <w:ind w:right="70"/>
              <w:rPr>
                <w:sz w:val="20"/>
              </w:rPr>
            </w:pPr>
            <w:r>
              <w:rPr>
                <w:sz w:val="20"/>
              </w:rPr>
              <w:t>37.6</w:t>
            </w:r>
          </w:p>
        </w:tc>
        <w:tc>
          <w:tcPr>
            <w:tcW w:w="1035" w:type="dxa"/>
            <w:tcBorders>
              <w:top w:val="nil"/>
              <w:left w:val="nil"/>
              <w:bottom w:val="nil"/>
              <w:right w:val="nil"/>
            </w:tcBorders>
          </w:tcPr>
          <w:p>
            <w:pPr>
              <w:pStyle w:val="TableParagraph"/>
              <w:ind w:right="67"/>
              <w:rPr>
                <w:sz w:val="20"/>
              </w:rPr>
            </w:pPr>
            <w:r>
              <w:rPr>
                <w:sz w:val="20"/>
              </w:rPr>
              <w:t>63</w:t>
            </w:r>
          </w:p>
        </w:tc>
        <w:tc>
          <w:tcPr>
            <w:tcW w:w="1203" w:type="dxa"/>
            <w:tcBorders>
              <w:top w:val="nil"/>
              <w:left w:val="nil"/>
              <w:bottom w:val="nil"/>
              <w:right w:val="nil"/>
            </w:tcBorders>
          </w:tcPr>
          <w:p>
            <w:pPr>
              <w:pStyle w:val="TableParagraph"/>
              <w:ind w:right="103"/>
              <w:rPr>
                <w:sz w:val="20"/>
              </w:rPr>
            </w:pPr>
            <w:r>
              <w:rPr>
                <w:sz w:val="20"/>
              </w:rPr>
              <w:t>100</w:t>
            </w:r>
          </w:p>
        </w:tc>
        <w:tc>
          <w:tcPr>
            <w:tcW w:w="898" w:type="dxa"/>
            <w:tcBorders>
              <w:top w:val="nil"/>
              <w:left w:val="nil"/>
              <w:bottom w:val="nil"/>
              <w:right w:val="nil"/>
            </w:tcBorders>
          </w:tcPr>
          <w:p>
            <w:pPr>
              <w:pStyle w:val="TableParagraph"/>
              <w:ind w:right="60"/>
              <w:rPr>
                <w:sz w:val="20"/>
              </w:rPr>
            </w:pPr>
            <w:r>
              <w:rPr>
                <w:sz w:val="20"/>
              </w:rPr>
              <w:t>0.08</w:t>
            </w:r>
          </w:p>
        </w:tc>
      </w:tr>
      <w:tr>
        <w:trPr>
          <w:trHeight w:val="300" w:hRule="exact"/>
        </w:trPr>
        <w:tc>
          <w:tcPr>
            <w:tcW w:w="1158" w:type="dxa"/>
            <w:tcBorders>
              <w:top w:val="nil"/>
              <w:left w:val="nil"/>
              <w:bottom w:val="nil"/>
              <w:right w:val="nil"/>
            </w:tcBorders>
          </w:tcPr>
          <w:p>
            <w:pPr>
              <w:pStyle w:val="TableParagraph"/>
              <w:spacing w:before="26"/>
              <w:ind w:left="72"/>
              <w:jc w:val="left"/>
              <w:rPr>
                <w:sz w:val="20"/>
              </w:rPr>
            </w:pPr>
            <w:r>
              <w:rPr>
                <w:sz w:val="20"/>
              </w:rPr>
              <w:t>17</w:t>
            </w:r>
          </w:p>
        </w:tc>
        <w:tc>
          <w:tcPr>
            <w:tcW w:w="981" w:type="dxa"/>
            <w:tcBorders>
              <w:top w:val="nil"/>
              <w:left w:val="nil"/>
              <w:bottom w:val="nil"/>
              <w:right w:val="nil"/>
            </w:tcBorders>
          </w:tcPr>
          <w:p>
            <w:pPr>
              <w:pStyle w:val="TableParagraph"/>
              <w:spacing w:before="26"/>
              <w:ind w:right="77"/>
              <w:rPr>
                <w:sz w:val="20"/>
              </w:rPr>
            </w:pPr>
            <w:r>
              <w:rPr>
                <w:w w:val="100"/>
                <w:sz w:val="20"/>
              </w:rPr>
              <w:t>0</w:t>
            </w:r>
          </w:p>
        </w:tc>
        <w:tc>
          <w:tcPr>
            <w:tcW w:w="1035" w:type="dxa"/>
            <w:tcBorders>
              <w:top w:val="nil"/>
              <w:left w:val="nil"/>
              <w:bottom w:val="nil"/>
              <w:right w:val="nil"/>
            </w:tcBorders>
          </w:tcPr>
          <w:p>
            <w:pPr>
              <w:pStyle w:val="TableParagraph"/>
              <w:spacing w:before="26"/>
              <w:ind w:right="69"/>
              <w:rPr>
                <w:sz w:val="20"/>
              </w:rPr>
            </w:pPr>
            <w:r>
              <w:rPr>
                <w:w w:val="100"/>
                <w:sz w:val="20"/>
              </w:rPr>
              <w:t>0</w:t>
            </w:r>
          </w:p>
        </w:tc>
        <w:tc>
          <w:tcPr>
            <w:tcW w:w="1162" w:type="dxa"/>
            <w:tcBorders>
              <w:top w:val="nil"/>
              <w:left w:val="nil"/>
              <w:bottom w:val="nil"/>
              <w:right w:val="nil"/>
            </w:tcBorders>
          </w:tcPr>
          <w:p>
            <w:pPr>
              <w:pStyle w:val="TableParagraph"/>
              <w:spacing w:before="26"/>
              <w:ind w:right="69"/>
              <w:rPr>
                <w:sz w:val="20"/>
              </w:rPr>
            </w:pPr>
            <w:r>
              <w:rPr>
                <w:w w:val="100"/>
                <w:sz w:val="20"/>
              </w:rPr>
              <w:t>0</w:t>
            </w:r>
          </w:p>
        </w:tc>
        <w:tc>
          <w:tcPr>
            <w:tcW w:w="1016" w:type="dxa"/>
            <w:tcBorders>
              <w:top w:val="nil"/>
              <w:left w:val="nil"/>
              <w:bottom w:val="nil"/>
              <w:right w:val="nil"/>
            </w:tcBorders>
          </w:tcPr>
          <w:p>
            <w:pPr>
              <w:pStyle w:val="TableParagraph"/>
              <w:spacing w:before="26"/>
              <w:ind w:right="68"/>
              <w:rPr>
                <w:sz w:val="20"/>
              </w:rPr>
            </w:pPr>
            <w:r>
              <w:rPr>
                <w:w w:val="100"/>
                <w:sz w:val="20"/>
              </w:rPr>
              <w:t>0</w:t>
            </w:r>
          </w:p>
        </w:tc>
        <w:tc>
          <w:tcPr>
            <w:tcW w:w="1175" w:type="dxa"/>
            <w:tcBorders>
              <w:top w:val="nil"/>
              <w:left w:val="nil"/>
              <w:bottom w:val="nil"/>
              <w:right w:val="nil"/>
            </w:tcBorders>
          </w:tcPr>
          <w:p>
            <w:pPr>
              <w:pStyle w:val="TableParagraph"/>
              <w:spacing w:before="26"/>
              <w:ind w:right="71"/>
              <w:rPr>
                <w:sz w:val="20"/>
              </w:rPr>
            </w:pPr>
            <w:r>
              <w:rPr>
                <w:w w:val="100"/>
                <w:sz w:val="20"/>
              </w:rPr>
              <w:t>0</w:t>
            </w:r>
          </w:p>
        </w:tc>
        <w:tc>
          <w:tcPr>
            <w:tcW w:w="1060" w:type="dxa"/>
            <w:tcBorders>
              <w:top w:val="nil"/>
              <w:left w:val="nil"/>
              <w:bottom w:val="nil"/>
              <w:right w:val="nil"/>
            </w:tcBorders>
          </w:tcPr>
          <w:p>
            <w:pPr>
              <w:pStyle w:val="TableParagraph"/>
              <w:spacing w:before="26"/>
              <w:ind w:right="75"/>
              <w:rPr>
                <w:sz w:val="20"/>
              </w:rPr>
            </w:pPr>
            <w:r>
              <w:rPr>
                <w:w w:val="100"/>
                <w:sz w:val="20"/>
              </w:rPr>
              <w:t>0</w:t>
            </w:r>
          </w:p>
        </w:tc>
        <w:tc>
          <w:tcPr>
            <w:tcW w:w="1035" w:type="dxa"/>
            <w:tcBorders>
              <w:top w:val="nil"/>
              <w:left w:val="nil"/>
              <w:bottom w:val="nil"/>
              <w:right w:val="nil"/>
            </w:tcBorders>
          </w:tcPr>
          <w:p>
            <w:pPr>
              <w:pStyle w:val="TableParagraph"/>
              <w:spacing w:before="26"/>
              <w:ind w:right="67"/>
              <w:rPr>
                <w:sz w:val="20"/>
              </w:rPr>
            </w:pPr>
            <w:r>
              <w:rPr>
                <w:w w:val="100"/>
                <w:sz w:val="20"/>
              </w:rPr>
              <w:t>0</w:t>
            </w:r>
          </w:p>
        </w:tc>
        <w:tc>
          <w:tcPr>
            <w:tcW w:w="1203" w:type="dxa"/>
            <w:tcBorders>
              <w:top w:val="nil"/>
              <w:left w:val="nil"/>
              <w:bottom w:val="nil"/>
              <w:right w:val="nil"/>
            </w:tcBorders>
          </w:tcPr>
          <w:p>
            <w:pPr>
              <w:pStyle w:val="TableParagraph"/>
              <w:spacing w:before="26"/>
              <w:ind w:right="108"/>
              <w:rPr>
                <w:sz w:val="20"/>
              </w:rPr>
            </w:pPr>
            <w:r>
              <w:rPr>
                <w:w w:val="100"/>
                <w:sz w:val="20"/>
              </w:rPr>
              <w:t>0</w:t>
            </w:r>
          </w:p>
        </w:tc>
        <w:tc>
          <w:tcPr>
            <w:tcW w:w="898" w:type="dxa"/>
            <w:tcBorders>
              <w:top w:val="nil"/>
              <w:left w:val="nil"/>
              <w:bottom w:val="nil"/>
              <w:right w:val="nil"/>
            </w:tcBorders>
          </w:tcPr>
          <w:p>
            <w:pPr>
              <w:pStyle w:val="TableParagraph"/>
              <w:spacing w:before="26"/>
              <w:ind w:right="65"/>
              <w:rPr>
                <w:sz w:val="20"/>
              </w:rPr>
            </w:pPr>
            <w:r>
              <w:rPr>
                <w:w w:val="100"/>
                <w:sz w:val="20"/>
              </w:rPr>
              <w:t>0</w:t>
            </w:r>
          </w:p>
        </w:tc>
      </w:tr>
      <w:tr>
        <w:trPr>
          <w:trHeight w:val="300" w:hRule="exact"/>
        </w:trPr>
        <w:tc>
          <w:tcPr>
            <w:tcW w:w="1158" w:type="dxa"/>
            <w:tcBorders>
              <w:top w:val="nil"/>
              <w:left w:val="nil"/>
              <w:bottom w:val="nil"/>
              <w:right w:val="nil"/>
            </w:tcBorders>
          </w:tcPr>
          <w:p>
            <w:pPr>
              <w:pStyle w:val="TableParagraph"/>
              <w:ind w:left="72"/>
              <w:jc w:val="left"/>
              <w:rPr>
                <w:sz w:val="20"/>
              </w:rPr>
            </w:pPr>
            <w:r>
              <w:rPr>
                <w:sz w:val="20"/>
              </w:rPr>
              <w:t>18</w:t>
            </w:r>
          </w:p>
        </w:tc>
        <w:tc>
          <w:tcPr>
            <w:tcW w:w="981" w:type="dxa"/>
            <w:tcBorders>
              <w:top w:val="nil"/>
              <w:left w:val="nil"/>
              <w:bottom w:val="nil"/>
              <w:right w:val="nil"/>
            </w:tcBorders>
          </w:tcPr>
          <w:p>
            <w:pPr>
              <w:pStyle w:val="TableParagraph"/>
              <w:ind w:right="77"/>
              <w:rPr>
                <w:sz w:val="20"/>
              </w:rPr>
            </w:pPr>
            <w:r>
              <w:rPr>
                <w:w w:val="100"/>
                <w:sz w:val="20"/>
              </w:rPr>
              <w:t>0</w:t>
            </w:r>
          </w:p>
        </w:tc>
        <w:tc>
          <w:tcPr>
            <w:tcW w:w="1035" w:type="dxa"/>
            <w:tcBorders>
              <w:top w:val="nil"/>
              <w:left w:val="nil"/>
              <w:bottom w:val="nil"/>
              <w:right w:val="nil"/>
            </w:tcBorders>
          </w:tcPr>
          <w:p>
            <w:pPr>
              <w:pStyle w:val="TableParagraph"/>
              <w:ind w:right="69"/>
              <w:rPr>
                <w:sz w:val="20"/>
              </w:rPr>
            </w:pPr>
            <w:r>
              <w:rPr>
                <w:w w:val="100"/>
                <w:sz w:val="20"/>
              </w:rPr>
              <w:t>0</w:t>
            </w:r>
          </w:p>
        </w:tc>
        <w:tc>
          <w:tcPr>
            <w:tcW w:w="1162" w:type="dxa"/>
            <w:tcBorders>
              <w:top w:val="nil"/>
              <w:left w:val="nil"/>
              <w:bottom w:val="nil"/>
              <w:right w:val="nil"/>
            </w:tcBorders>
          </w:tcPr>
          <w:p>
            <w:pPr>
              <w:pStyle w:val="TableParagraph"/>
              <w:ind w:right="69"/>
              <w:rPr>
                <w:sz w:val="20"/>
              </w:rPr>
            </w:pPr>
            <w:r>
              <w:rPr>
                <w:w w:val="100"/>
                <w:sz w:val="20"/>
              </w:rPr>
              <w:t>0</w:t>
            </w:r>
          </w:p>
        </w:tc>
        <w:tc>
          <w:tcPr>
            <w:tcW w:w="1016" w:type="dxa"/>
            <w:tcBorders>
              <w:top w:val="nil"/>
              <w:left w:val="nil"/>
              <w:bottom w:val="nil"/>
              <w:right w:val="nil"/>
            </w:tcBorders>
          </w:tcPr>
          <w:p>
            <w:pPr>
              <w:pStyle w:val="TableParagraph"/>
              <w:ind w:right="68"/>
              <w:rPr>
                <w:sz w:val="20"/>
              </w:rPr>
            </w:pPr>
            <w:r>
              <w:rPr>
                <w:w w:val="100"/>
                <w:sz w:val="20"/>
              </w:rPr>
              <w:t>0</w:t>
            </w:r>
          </w:p>
        </w:tc>
        <w:tc>
          <w:tcPr>
            <w:tcW w:w="1175" w:type="dxa"/>
            <w:tcBorders>
              <w:top w:val="nil"/>
              <w:left w:val="nil"/>
              <w:bottom w:val="nil"/>
              <w:right w:val="nil"/>
            </w:tcBorders>
          </w:tcPr>
          <w:p>
            <w:pPr>
              <w:pStyle w:val="TableParagraph"/>
              <w:ind w:right="71"/>
              <w:rPr>
                <w:sz w:val="20"/>
              </w:rPr>
            </w:pPr>
            <w:r>
              <w:rPr>
                <w:w w:val="100"/>
                <w:sz w:val="20"/>
              </w:rPr>
              <w:t>0</w:t>
            </w:r>
          </w:p>
        </w:tc>
        <w:tc>
          <w:tcPr>
            <w:tcW w:w="1060" w:type="dxa"/>
            <w:tcBorders>
              <w:top w:val="nil"/>
              <w:left w:val="nil"/>
              <w:bottom w:val="nil"/>
              <w:right w:val="nil"/>
            </w:tcBorders>
          </w:tcPr>
          <w:p>
            <w:pPr>
              <w:pStyle w:val="TableParagraph"/>
              <w:ind w:right="75"/>
              <w:rPr>
                <w:sz w:val="20"/>
              </w:rPr>
            </w:pPr>
            <w:r>
              <w:rPr>
                <w:w w:val="100"/>
                <w:sz w:val="20"/>
              </w:rPr>
              <w:t>0</w:t>
            </w:r>
          </w:p>
        </w:tc>
        <w:tc>
          <w:tcPr>
            <w:tcW w:w="1035" w:type="dxa"/>
            <w:tcBorders>
              <w:top w:val="nil"/>
              <w:left w:val="nil"/>
              <w:bottom w:val="nil"/>
              <w:right w:val="nil"/>
            </w:tcBorders>
          </w:tcPr>
          <w:p>
            <w:pPr>
              <w:pStyle w:val="TableParagraph"/>
              <w:ind w:right="67"/>
              <w:rPr>
                <w:sz w:val="20"/>
              </w:rPr>
            </w:pPr>
            <w:r>
              <w:rPr>
                <w:w w:val="100"/>
                <w:sz w:val="20"/>
              </w:rPr>
              <w:t>0</w:t>
            </w:r>
          </w:p>
        </w:tc>
        <w:tc>
          <w:tcPr>
            <w:tcW w:w="1203" w:type="dxa"/>
            <w:tcBorders>
              <w:top w:val="nil"/>
              <w:left w:val="nil"/>
              <w:bottom w:val="nil"/>
              <w:right w:val="nil"/>
            </w:tcBorders>
          </w:tcPr>
          <w:p>
            <w:pPr>
              <w:pStyle w:val="TableParagraph"/>
              <w:ind w:right="108"/>
              <w:rPr>
                <w:sz w:val="20"/>
              </w:rPr>
            </w:pPr>
            <w:r>
              <w:rPr>
                <w:w w:val="100"/>
                <w:sz w:val="20"/>
              </w:rPr>
              <w:t>0</w:t>
            </w:r>
          </w:p>
        </w:tc>
        <w:tc>
          <w:tcPr>
            <w:tcW w:w="898" w:type="dxa"/>
            <w:tcBorders>
              <w:top w:val="nil"/>
              <w:left w:val="nil"/>
              <w:bottom w:val="nil"/>
              <w:right w:val="nil"/>
            </w:tcBorders>
          </w:tcPr>
          <w:p>
            <w:pPr>
              <w:pStyle w:val="TableParagraph"/>
              <w:ind w:right="65"/>
              <w:rPr>
                <w:sz w:val="20"/>
              </w:rPr>
            </w:pPr>
            <w:r>
              <w:rPr>
                <w:w w:val="100"/>
                <w:sz w:val="20"/>
              </w:rPr>
              <w:t>0</w:t>
            </w:r>
          </w:p>
        </w:tc>
      </w:tr>
      <w:tr>
        <w:trPr>
          <w:trHeight w:val="300" w:hRule="exact"/>
        </w:trPr>
        <w:tc>
          <w:tcPr>
            <w:tcW w:w="1158" w:type="dxa"/>
            <w:tcBorders>
              <w:top w:val="nil"/>
              <w:left w:val="nil"/>
              <w:bottom w:val="nil"/>
              <w:right w:val="nil"/>
            </w:tcBorders>
          </w:tcPr>
          <w:p>
            <w:pPr>
              <w:pStyle w:val="TableParagraph"/>
              <w:spacing w:before="26"/>
              <w:ind w:left="72"/>
              <w:jc w:val="left"/>
              <w:rPr>
                <w:sz w:val="20"/>
              </w:rPr>
            </w:pPr>
            <w:r>
              <w:rPr>
                <w:sz w:val="20"/>
              </w:rPr>
              <w:t>19</w:t>
            </w:r>
          </w:p>
        </w:tc>
        <w:tc>
          <w:tcPr>
            <w:tcW w:w="981" w:type="dxa"/>
            <w:tcBorders>
              <w:top w:val="nil"/>
              <w:left w:val="nil"/>
              <w:bottom w:val="nil"/>
              <w:right w:val="nil"/>
            </w:tcBorders>
          </w:tcPr>
          <w:p>
            <w:pPr>
              <w:pStyle w:val="TableParagraph"/>
              <w:spacing w:before="26"/>
              <w:ind w:right="72"/>
              <w:rPr>
                <w:sz w:val="20"/>
              </w:rPr>
            </w:pPr>
            <w:r>
              <w:rPr>
                <w:sz w:val="20"/>
              </w:rPr>
              <w:t>0.404</w:t>
            </w:r>
          </w:p>
        </w:tc>
        <w:tc>
          <w:tcPr>
            <w:tcW w:w="1035" w:type="dxa"/>
            <w:tcBorders>
              <w:top w:val="nil"/>
              <w:left w:val="nil"/>
              <w:bottom w:val="nil"/>
              <w:right w:val="nil"/>
            </w:tcBorders>
          </w:tcPr>
          <w:p>
            <w:pPr>
              <w:pStyle w:val="TableParagraph"/>
              <w:spacing w:before="26"/>
              <w:ind w:right="65"/>
              <w:rPr>
                <w:sz w:val="20"/>
              </w:rPr>
            </w:pPr>
            <w:r>
              <w:rPr>
                <w:sz w:val="20"/>
              </w:rPr>
              <w:t>11.5</w:t>
            </w:r>
          </w:p>
        </w:tc>
        <w:tc>
          <w:tcPr>
            <w:tcW w:w="1162" w:type="dxa"/>
            <w:tcBorders>
              <w:top w:val="nil"/>
              <w:left w:val="nil"/>
              <w:bottom w:val="nil"/>
              <w:right w:val="nil"/>
            </w:tcBorders>
          </w:tcPr>
          <w:p>
            <w:pPr>
              <w:pStyle w:val="TableParagraph"/>
              <w:spacing w:before="26"/>
              <w:ind w:right="65"/>
              <w:rPr>
                <w:sz w:val="20"/>
              </w:rPr>
            </w:pPr>
            <w:r>
              <w:rPr>
                <w:sz w:val="20"/>
              </w:rPr>
              <w:t>27.7</w:t>
            </w:r>
          </w:p>
        </w:tc>
        <w:tc>
          <w:tcPr>
            <w:tcW w:w="1016" w:type="dxa"/>
            <w:tcBorders>
              <w:top w:val="nil"/>
              <w:left w:val="nil"/>
              <w:bottom w:val="nil"/>
              <w:right w:val="nil"/>
            </w:tcBorders>
          </w:tcPr>
          <w:p>
            <w:pPr>
              <w:pStyle w:val="TableParagraph"/>
              <w:spacing w:before="26"/>
              <w:ind w:right="68"/>
              <w:rPr>
                <w:sz w:val="20"/>
              </w:rPr>
            </w:pPr>
            <w:r>
              <w:rPr>
                <w:w w:val="100"/>
                <w:sz w:val="20"/>
              </w:rPr>
              <w:t>0</w:t>
            </w:r>
          </w:p>
        </w:tc>
        <w:tc>
          <w:tcPr>
            <w:tcW w:w="1175" w:type="dxa"/>
            <w:tcBorders>
              <w:top w:val="nil"/>
              <w:left w:val="nil"/>
              <w:bottom w:val="nil"/>
              <w:right w:val="nil"/>
            </w:tcBorders>
          </w:tcPr>
          <w:p>
            <w:pPr>
              <w:pStyle w:val="TableParagraph"/>
              <w:spacing w:before="26"/>
              <w:ind w:right="71"/>
              <w:rPr>
                <w:sz w:val="20"/>
              </w:rPr>
            </w:pPr>
            <w:r>
              <w:rPr>
                <w:w w:val="100"/>
                <w:sz w:val="20"/>
              </w:rPr>
              <w:t>0</w:t>
            </w:r>
          </w:p>
        </w:tc>
        <w:tc>
          <w:tcPr>
            <w:tcW w:w="1060" w:type="dxa"/>
            <w:tcBorders>
              <w:top w:val="nil"/>
              <w:left w:val="nil"/>
              <w:bottom w:val="nil"/>
              <w:right w:val="nil"/>
            </w:tcBorders>
          </w:tcPr>
          <w:p>
            <w:pPr>
              <w:pStyle w:val="TableParagraph"/>
              <w:spacing w:before="26"/>
              <w:ind w:right="70"/>
              <w:rPr>
                <w:sz w:val="20"/>
              </w:rPr>
            </w:pPr>
            <w:r>
              <w:rPr>
                <w:sz w:val="20"/>
              </w:rPr>
              <w:t>20.8</w:t>
            </w:r>
          </w:p>
        </w:tc>
        <w:tc>
          <w:tcPr>
            <w:tcW w:w="1035" w:type="dxa"/>
            <w:tcBorders>
              <w:top w:val="nil"/>
              <w:left w:val="nil"/>
              <w:bottom w:val="nil"/>
              <w:right w:val="nil"/>
            </w:tcBorders>
          </w:tcPr>
          <w:p>
            <w:pPr>
              <w:pStyle w:val="TableParagraph"/>
              <w:spacing w:before="26"/>
              <w:ind w:right="67"/>
              <w:rPr>
                <w:sz w:val="20"/>
              </w:rPr>
            </w:pPr>
            <w:r>
              <w:rPr>
                <w:sz w:val="20"/>
              </w:rPr>
              <w:t>63</w:t>
            </w:r>
          </w:p>
        </w:tc>
        <w:tc>
          <w:tcPr>
            <w:tcW w:w="1203" w:type="dxa"/>
            <w:tcBorders>
              <w:top w:val="nil"/>
              <w:left w:val="nil"/>
              <w:bottom w:val="nil"/>
              <w:right w:val="nil"/>
            </w:tcBorders>
          </w:tcPr>
          <w:p>
            <w:pPr>
              <w:pStyle w:val="TableParagraph"/>
              <w:spacing w:before="26"/>
              <w:ind w:right="103"/>
              <w:rPr>
                <w:sz w:val="20"/>
              </w:rPr>
            </w:pPr>
            <w:r>
              <w:rPr>
                <w:sz w:val="20"/>
              </w:rPr>
              <w:t>100</w:t>
            </w:r>
          </w:p>
        </w:tc>
        <w:tc>
          <w:tcPr>
            <w:tcW w:w="898" w:type="dxa"/>
            <w:tcBorders>
              <w:top w:val="nil"/>
              <w:left w:val="nil"/>
              <w:bottom w:val="nil"/>
              <w:right w:val="nil"/>
            </w:tcBorders>
          </w:tcPr>
          <w:p>
            <w:pPr>
              <w:pStyle w:val="TableParagraph"/>
              <w:spacing w:before="26"/>
              <w:ind w:right="60"/>
              <w:rPr>
                <w:sz w:val="20"/>
              </w:rPr>
            </w:pPr>
            <w:r>
              <w:rPr>
                <w:sz w:val="20"/>
              </w:rPr>
              <w:t>0.08</w:t>
            </w:r>
          </w:p>
        </w:tc>
      </w:tr>
      <w:tr>
        <w:trPr>
          <w:trHeight w:val="300" w:hRule="exact"/>
        </w:trPr>
        <w:tc>
          <w:tcPr>
            <w:tcW w:w="1158" w:type="dxa"/>
            <w:tcBorders>
              <w:top w:val="nil"/>
              <w:left w:val="nil"/>
              <w:bottom w:val="nil"/>
              <w:right w:val="nil"/>
            </w:tcBorders>
          </w:tcPr>
          <w:p>
            <w:pPr>
              <w:pStyle w:val="TableParagraph"/>
              <w:ind w:left="72"/>
              <w:jc w:val="left"/>
              <w:rPr>
                <w:sz w:val="20"/>
              </w:rPr>
            </w:pPr>
            <w:r>
              <w:rPr>
                <w:sz w:val="20"/>
              </w:rPr>
              <w:t>20</w:t>
            </w:r>
          </w:p>
        </w:tc>
        <w:tc>
          <w:tcPr>
            <w:tcW w:w="981" w:type="dxa"/>
            <w:tcBorders>
              <w:top w:val="nil"/>
              <w:left w:val="nil"/>
              <w:bottom w:val="nil"/>
              <w:right w:val="nil"/>
            </w:tcBorders>
          </w:tcPr>
          <w:p>
            <w:pPr>
              <w:pStyle w:val="TableParagraph"/>
              <w:ind w:right="72"/>
              <w:rPr>
                <w:sz w:val="20"/>
              </w:rPr>
            </w:pPr>
            <w:r>
              <w:rPr>
                <w:sz w:val="20"/>
              </w:rPr>
              <w:t>0.555</w:t>
            </w:r>
          </w:p>
        </w:tc>
        <w:tc>
          <w:tcPr>
            <w:tcW w:w="1035" w:type="dxa"/>
            <w:tcBorders>
              <w:top w:val="nil"/>
              <w:left w:val="nil"/>
              <w:bottom w:val="nil"/>
              <w:right w:val="nil"/>
            </w:tcBorders>
          </w:tcPr>
          <w:p>
            <w:pPr>
              <w:pStyle w:val="TableParagraph"/>
              <w:ind w:right="65"/>
              <w:rPr>
                <w:sz w:val="20"/>
              </w:rPr>
            </w:pPr>
            <w:r>
              <w:rPr>
                <w:sz w:val="20"/>
              </w:rPr>
              <w:t>16.7</w:t>
            </w:r>
          </w:p>
        </w:tc>
        <w:tc>
          <w:tcPr>
            <w:tcW w:w="1162" w:type="dxa"/>
            <w:tcBorders>
              <w:top w:val="nil"/>
              <w:left w:val="nil"/>
              <w:bottom w:val="nil"/>
              <w:right w:val="nil"/>
            </w:tcBorders>
          </w:tcPr>
          <w:p>
            <w:pPr>
              <w:pStyle w:val="TableParagraph"/>
              <w:ind w:right="65"/>
              <w:rPr>
                <w:sz w:val="20"/>
              </w:rPr>
            </w:pPr>
            <w:r>
              <w:rPr>
                <w:sz w:val="20"/>
              </w:rPr>
              <w:t>40.1</w:t>
            </w:r>
          </w:p>
        </w:tc>
        <w:tc>
          <w:tcPr>
            <w:tcW w:w="1016" w:type="dxa"/>
            <w:tcBorders>
              <w:top w:val="nil"/>
              <w:left w:val="nil"/>
              <w:bottom w:val="nil"/>
              <w:right w:val="nil"/>
            </w:tcBorders>
          </w:tcPr>
          <w:p>
            <w:pPr>
              <w:pStyle w:val="TableParagraph"/>
              <w:ind w:right="68"/>
              <w:rPr>
                <w:sz w:val="20"/>
              </w:rPr>
            </w:pPr>
            <w:r>
              <w:rPr>
                <w:w w:val="100"/>
                <w:sz w:val="20"/>
              </w:rPr>
              <w:t>0</w:t>
            </w:r>
          </w:p>
        </w:tc>
        <w:tc>
          <w:tcPr>
            <w:tcW w:w="1175" w:type="dxa"/>
            <w:tcBorders>
              <w:top w:val="nil"/>
              <w:left w:val="nil"/>
              <w:bottom w:val="nil"/>
              <w:right w:val="nil"/>
            </w:tcBorders>
          </w:tcPr>
          <w:p>
            <w:pPr>
              <w:pStyle w:val="TableParagraph"/>
              <w:ind w:right="71"/>
              <w:rPr>
                <w:sz w:val="20"/>
              </w:rPr>
            </w:pPr>
            <w:r>
              <w:rPr>
                <w:w w:val="100"/>
                <w:sz w:val="20"/>
              </w:rPr>
              <w:t>0</w:t>
            </w:r>
          </w:p>
        </w:tc>
        <w:tc>
          <w:tcPr>
            <w:tcW w:w="1060" w:type="dxa"/>
            <w:tcBorders>
              <w:top w:val="nil"/>
              <w:left w:val="nil"/>
              <w:bottom w:val="nil"/>
              <w:right w:val="nil"/>
            </w:tcBorders>
          </w:tcPr>
          <w:p>
            <w:pPr>
              <w:pStyle w:val="TableParagraph"/>
              <w:ind w:right="70"/>
              <w:rPr>
                <w:sz w:val="20"/>
              </w:rPr>
            </w:pPr>
            <w:r>
              <w:rPr>
                <w:sz w:val="20"/>
              </w:rPr>
              <w:t>30.1</w:t>
            </w:r>
          </w:p>
        </w:tc>
        <w:tc>
          <w:tcPr>
            <w:tcW w:w="1035" w:type="dxa"/>
            <w:tcBorders>
              <w:top w:val="nil"/>
              <w:left w:val="nil"/>
              <w:bottom w:val="nil"/>
              <w:right w:val="nil"/>
            </w:tcBorders>
          </w:tcPr>
          <w:p>
            <w:pPr>
              <w:pStyle w:val="TableParagraph"/>
              <w:ind w:right="67"/>
              <w:rPr>
                <w:sz w:val="20"/>
              </w:rPr>
            </w:pPr>
            <w:r>
              <w:rPr>
                <w:sz w:val="20"/>
              </w:rPr>
              <w:t>63</w:t>
            </w:r>
          </w:p>
        </w:tc>
        <w:tc>
          <w:tcPr>
            <w:tcW w:w="1203" w:type="dxa"/>
            <w:tcBorders>
              <w:top w:val="nil"/>
              <w:left w:val="nil"/>
              <w:bottom w:val="nil"/>
              <w:right w:val="nil"/>
            </w:tcBorders>
          </w:tcPr>
          <w:p>
            <w:pPr>
              <w:pStyle w:val="TableParagraph"/>
              <w:ind w:right="103"/>
              <w:rPr>
                <w:sz w:val="20"/>
              </w:rPr>
            </w:pPr>
            <w:r>
              <w:rPr>
                <w:sz w:val="20"/>
              </w:rPr>
              <w:t>100</w:t>
            </w:r>
          </w:p>
        </w:tc>
        <w:tc>
          <w:tcPr>
            <w:tcW w:w="898" w:type="dxa"/>
            <w:tcBorders>
              <w:top w:val="nil"/>
              <w:left w:val="nil"/>
              <w:bottom w:val="nil"/>
              <w:right w:val="nil"/>
            </w:tcBorders>
          </w:tcPr>
          <w:p>
            <w:pPr>
              <w:pStyle w:val="TableParagraph"/>
              <w:ind w:right="60"/>
              <w:rPr>
                <w:sz w:val="20"/>
              </w:rPr>
            </w:pPr>
            <w:r>
              <w:rPr>
                <w:sz w:val="20"/>
              </w:rPr>
              <w:t>0.08</w:t>
            </w:r>
          </w:p>
        </w:tc>
      </w:tr>
      <w:tr>
        <w:trPr>
          <w:trHeight w:val="300" w:hRule="exact"/>
        </w:trPr>
        <w:tc>
          <w:tcPr>
            <w:tcW w:w="1158" w:type="dxa"/>
            <w:tcBorders>
              <w:top w:val="nil"/>
              <w:left w:val="nil"/>
              <w:bottom w:val="nil"/>
              <w:right w:val="nil"/>
            </w:tcBorders>
          </w:tcPr>
          <w:p>
            <w:pPr>
              <w:pStyle w:val="TableParagraph"/>
              <w:spacing w:before="26"/>
              <w:ind w:left="72"/>
              <w:jc w:val="left"/>
              <w:rPr>
                <w:sz w:val="20"/>
              </w:rPr>
            </w:pPr>
            <w:r>
              <w:rPr>
                <w:sz w:val="20"/>
              </w:rPr>
              <w:t>21</w:t>
            </w:r>
          </w:p>
        </w:tc>
        <w:tc>
          <w:tcPr>
            <w:tcW w:w="981" w:type="dxa"/>
            <w:tcBorders>
              <w:top w:val="nil"/>
              <w:left w:val="nil"/>
              <w:bottom w:val="nil"/>
              <w:right w:val="nil"/>
            </w:tcBorders>
          </w:tcPr>
          <w:p>
            <w:pPr>
              <w:pStyle w:val="TableParagraph"/>
              <w:spacing w:before="26"/>
              <w:ind w:right="77"/>
              <w:rPr>
                <w:sz w:val="20"/>
              </w:rPr>
            </w:pPr>
            <w:r>
              <w:rPr>
                <w:w w:val="100"/>
                <w:sz w:val="20"/>
              </w:rPr>
              <w:t>0</w:t>
            </w:r>
          </w:p>
        </w:tc>
        <w:tc>
          <w:tcPr>
            <w:tcW w:w="1035" w:type="dxa"/>
            <w:tcBorders>
              <w:top w:val="nil"/>
              <w:left w:val="nil"/>
              <w:bottom w:val="nil"/>
              <w:right w:val="nil"/>
            </w:tcBorders>
          </w:tcPr>
          <w:p>
            <w:pPr>
              <w:pStyle w:val="TableParagraph"/>
              <w:spacing w:before="26"/>
              <w:ind w:right="65"/>
              <w:rPr>
                <w:sz w:val="20"/>
              </w:rPr>
            </w:pPr>
            <w:r>
              <w:rPr>
                <w:sz w:val="20"/>
              </w:rPr>
              <w:t>0.7</w:t>
            </w:r>
          </w:p>
        </w:tc>
        <w:tc>
          <w:tcPr>
            <w:tcW w:w="1162" w:type="dxa"/>
            <w:tcBorders>
              <w:top w:val="nil"/>
              <w:left w:val="nil"/>
              <w:bottom w:val="nil"/>
              <w:right w:val="nil"/>
            </w:tcBorders>
          </w:tcPr>
          <w:p>
            <w:pPr>
              <w:pStyle w:val="TableParagraph"/>
              <w:spacing w:before="26"/>
              <w:ind w:right="65"/>
              <w:rPr>
                <w:sz w:val="20"/>
              </w:rPr>
            </w:pPr>
            <w:r>
              <w:rPr>
                <w:sz w:val="20"/>
              </w:rPr>
              <w:t>1.7</w:t>
            </w:r>
          </w:p>
        </w:tc>
        <w:tc>
          <w:tcPr>
            <w:tcW w:w="1016" w:type="dxa"/>
            <w:tcBorders>
              <w:top w:val="nil"/>
              <w:left w:val="nil"/>
              <w:bottom w:val="nil"/>
              <w:right w:val="nil"/>
            </w:tcBorders>
          </w:tcPr>
          <w:p>
            <w:pPr>
              <w:pStyle w:val="TableParagraph"/>
              <w:spacing w:before="26"/>
              <w:ind w:right="68"/>
              <w:rPr>
                <w:sz w:val="20"/>
              </w:rPr>
            </w:pPr>
            <w:r>
              <w:rPr>
                <w:w w:val="100"/>
                <w:sz w:val="20"/>
              </w:rPr>
              <w:t>0</w:t>
            </w:r>
          </w:p>
        </w:tc>
        <w:tc>
          <w:tcPr>
            <w:tcW w:w="1175" w:type="dxa"/>
            <w:tcBorders>
              <w:top w:val="nil"/>
              <w:left w:val="nil"/>
              <w:bottom w:val="nil"/>
              <w:right w:val="nil"/>
            </w:tcBorders>
          </w:tcPr>
          <w:p>
            <w:pPr>
              <w:pStyle w:val="TableParagraph"/>
              <w:spacing w:before="26"/>
              <w:ind w:right="71"/>
              <w:rPr>
                <w:sz w:val="20"/>
              </w:rPr>
            </w:pPr>
            <w:r>
              <w:rPr>
                <w:w w:val="100"/>
                <w:sz w:val="20"/>
              </w:rPr>
              <w:t>0</w:t>
            </w:r>
          </w:p>
        </w:tc>
        <w:tc>
          <w:tcPr>
            <w:tcW w:w="1060" w:type="dxa"/>
            <w:tcBorders>
              <w:top w:val="nil"/>
              <w:left w:val="nil"/>
              <w:bottom w:val="nil"/>
              <w:right w:val="nil"/>
            </w:tcBorders>
          </w:tcPr>
          <w:p>
            <w:pPr>
              <w:pStyle w:val="TableParagraph"/>
              <w:spacing w:before="26"/>
              <w:ind w:right="70"/>
              <w:rPr>
                <w:sz w:val="20"/>
              </w:rPr>
            </w:pPr>
            <w:r>
              <w:rPr>
                <w:sz w:val="20"/>
              </w:rPr>
              <w:t>1.3</w:t>
            </w:r>
          </w:p>
        </w:tc>
        <w:tc>
          <w:tcPr>
            <w:tcW w:w="1035" w:type="dxa"/>
            <w:tcBorders>
              <w:top w:val="nil"/>
              <w:left w:val="nil"/>
              <w:bottom w:val="nil"/>
              <w:right w:val="nil"/>
            </w:tcBorders>
          </w:tcPr>
          <w:p>
            <w:pPr>
              <w:pStyle w:val="TableParagraph"/>
              <w:spacing w:before="26"/>
              <w:ind w:right="67"/>
              <w:rPr>
                <w:sz w:val="20"/>
              </w:rPr>
            </w:pPr>
            <w:r>
              <w:rPr>
                <w:sz w:val="20"/>
              </w:rPr>
              <w:t>63</w:t>
            </w:r>
          </w:p>
        </w:tc>
        <w:tc>
          <w:tcPr>
            <w:tcW w:w="1203" w:type="dxa"/>
            <w:tcBorders>
              <w:top w:val="nil"/>
              <w:left w:val="nil"/>
              <w:bottom w:val="nil"/>
              <w:right w:val="nil"/>
            </w:tcBorders>
          </w:tcPr>
          <w:p>
            <w:pPr>
              <w:pStyle w:val="TableParagraph"/>
              <w:spacing w:before="26"/>
              <w:ind w:right="103"/>
              <w:rPr>
                <w:sz w:val="20"/>
              </w:rPr>
            </w:pPr>
            <w:r>
              <w:rPr>
                <w:sz w:val="20"/>
              </w:rPr>
              <w:t>100</w:t>
            </w:r>
          </w:p>
        </w:tc>
        <w:tc>
          <w:tcPr>
            <w:tcW w:w="898" w:type="dxa"/>
            <w:tcBorders>
              <w:top w:val="nil"/>
              <w:left w:val="nil"/>
              <w:bottom w:val="nil"/>
              <w:right w:val="nil"/>
            </w:tcBorders>
          </w:tcPr>
          <w:p>
            <w:pPr>
              <w:pStyle w:val="TableParagraph"/>
              <w:spacing w:before="26"/>
              <w:ind w:right="60"/>
              <w:rPr>
                <w:sz w:val="20"/>
              </w:rPr>
            </w:pPr>
            <w:r>
              <w:rPr>
                <w:sz w:val="20"/>
              </w:rPr>
              <w:t>0.08</w:t>
            </w:r>
          </w:p>
        </w:tc>
      </w:tr>
      <w:tr>
        <w:trPr>
          <w:trHeight w:val="300" w:hRule="exact"/>
        </w:trPr>
        <w:tc>
          <w:tcPr>
            <w:tcW w:w="1158" w:type="dxa"/>
            <w:tcBorders>
              <w:top w:val="nil"/>
              <w:left w:val="nil"/>
              <w:bottom w:val="nil"/>
              <w:right w:val="nil"/>
            </w:tcBorders>
          </w:tcPr>
          <w:p>
            <w:pPr>
              <w:pStyle w:val="TableParagraph"/>
              <w:ind w:left="72"/>
              <w:jc w:val="left"/>
              <w:rPr>
                <w:sz w:val="20"/>
              </w:rPr>
            </w:pPr>
            <w:r>
              <w:rPr>
                <w:sz w:val="20"/>
              </w:rPr>
              <w:t>22</w:t>
            </w:r>
          </w:p>
        </w:tc>
        <w:tc>
          <w:tcPr>
            <w:tcW w:w="981" w:type="dxa"/>
            <w:tcBorders>
              <w:top w:val="nil"/>
              <w:left w:val="nil"/>
              <w:bottom w:val="nil"/>
              <w:right w:val="nil"/>
            </w:tcBorders>
          </w:tcPr>
          <w:p>
            <w:pPr>
              <w:pStyle w:val="TableParagraph"/>
              <w:ind w:right="72"/>
              <w:rPr>
                <w:sz w:val="20"/>
              </w:rPr>
            </w:pPr>
            <w:r>
              <w:rPr>
                <w:sz w:val="20"/>
              </w:rPr>
              <w:t>0.088</w:t>
            </w:r>
          </w:p>
        </w:tc>
        <w:tc>
          <w:tcPr>
            <w:tcW w:w="1035" w:type="dxa"/>
            <w:tcBorders>
              <w:top w:val="nil"/>
              <w:left w:val="nil"/>
              <w:bottom w:val="nil"/>
              <w:right w:val="nil"/>
            </w:tcBorders>
          </w:tcPr>
          <w:p>
            <w:pPr>
              <w:pStyle w:val="TableParagraph"/>
              <w:ind w:right="69"/>
              <w:rPr>
                <w:sz w:val="20"/>
              </w:rPr>
            </w:pPr>
            <w:r>
              <w:rPr>
                <w:w w:val="100"/>
                <w:sz w:val="20"/>
              </w:rPr>
              <w:t>5</w:t>
            </w:r>
          </w:p>
        </w:tc>
        <w:tc>
          <w:tcPr>
            <w:tcW w:w="1162" w:type="dxa"/>
            <w:tcBorders>
              <w:top w:val="nil"/>
              <w:left w:val="nil"/>
              <w:bottom w:val="nil"/>
              <w:right w:val="nil"/>
            </w:tcBorders>
          </w:tcPr>
          <w:p>
            <w:pPr>
              <w:pStyle w:val="TableParagraph"/>
              <w:ind w:right="69"/>
              <w:rPr>
                <w:sz w:val="20"/>
              </w:rPr>
            </w:pPr>
            <w:r>
              <w:rPr>
                <w:sz w:val="20"/>
              </w:rPr>
              <w:t>12</w:t>
            </w:r>
          </w:p>
        </w:tc>
        <w:tc>
          <w:tcPr>
            <w:tcW w:w="1016" w:type="dxa"/>
            <w:tcBorders>
              <w:top w:val="nil"/>
              <w:left w:val="nil"/>
              <w:bottom w:val="nil"/>
              <w:right w:val="nil"/>
            </w:tcBorders>
          </w:tcPr>
          <w:p>
            <w:pPr>
              <w:pStyle w:val="TableParagraph"/>
              <w:ind w:right="68"/>
              <w:rPr>
                <w:sz w:val="20"/>
              </w:rPr>
            </w:pPr>
            <w:r>
              <w:rPr>
                <w:w w:val="100"/>
                <w:sz w:val="20"/>
              </w:rPr>
              <w:t>0</w:t>
            </w:r>
          </w:p>
        </w:tc>
        <w:tc>
          <w:tcPr>
            <w:tcW w:w="1175" w:type="dxa"/>
            <w:tcBorders>
              <w:top w:val="nil"/>
              <w:left w:val="nil"/>
              <w:bottom w:val="nil"/>
              <w:right w:val="nil"/>
            </w:tcBorders>
          </w:tcPr>
          <w:p>
            <w:pPr>
              <w:pStyle w:val="TableParagraph"/>
              <w:ind w:right="71"/>
              <w:rPr>
                <w:sz w:val="20"/>
              </w:rPr>
            </w:pPr>
            <w:r>
              <w:rPr>
                <w:w w:val="100"/>
                <w:sz w:val="20"/>
              </w:rPr>
              <w:t>0</w:t>
            </w:r>
          </w:p>
        </w:tc>
        <w:tc>
          <w:tcPr>
            <w:tcW w:w="1060" w:type="dxa"/>
            <w:tcBorders>
              <w:top w:val="nil"/>
              <w:left w:val="nil"/>
              <w:bottom w:val="nil"/>
              <w:right w:val="nil"/>
            </w:tcBorders>
          </w:tcPr>
          <w:p>
            <w:pPr>
              <w:pStyle w:val="TableParagraph"/>
              <w:ind w:right="75"/>
              <w:rPr>
                <w:sz w:val="20"/>
              </w:rPr>
            </w:pPr>
            <w:r>
              <w:rPr>
                <w:w w:val="100"/>
                <w:sz w:val="20"/>
              </w:rPr>
              <w:t>9</w:t>
            </w:r>
          </w:p>
        </w:tc>
        <w:tc>
          <w:tcPr>
            <w:tcW w:w="1035" w:type="dxa"/>
            <w:tcBorders>
              <w:top w:val="nil"/>
              <w:left w:val="nil"/>
              <w:bottom w:val="nil"/>
              <w:right w:val="nil"/>
            </w:tcBorders>
          </w:tcPr>
          <w:p>
            <w:pPr>
              <w:pStyle w:val="TableParagraph"/>
              <w:ind w:right="67"/>
              <w:rPr>
                <w:sz w:val="20"/>
              </w:rPr>
            </w:pPr>
            <w:r>
              <w:rPr>
                <w:sz w:val="20"/>
              </w:rPr>
              <w:t>63</w:t>
            </w:r>
          </w:p>
        </w:tc>
        <w:tc>
          <w:tcPr>
            <w:tcW w:w="1203" w:type="dxa"/>
            <w:tcBorders>
              <w:top w:val="nil"/>
              <w:left w:val="nil"/>
              <w:bottom w:val="nil"/>
              <w:right w:val="nil"/>
            </w:tcBorders>
          </w:tcPr>
          <w:p>
            <w:pPr>
              <w:pStyle w:val="TableParagraph"/>
              <w:ind w:right="103"/>
              <w:rPr>
                <w:sz w:val="20"/>
              </w:rPr>
            </w:pPr>
            <w:r>
              <w:rPr>
                <w:sz w:val="20"/>
              </w:rPr>
              <w:t>100</w:t>
            </w:r>
          </w:p>
        </w:tc>
        <w:tc>
          <w:tcPr>
            <w:tcW w:w="898" w:type="dxa"/>
            <w:tcBorders>
              <w:top w:val="nil"/>
              <w:left w:val="nil"/>
              <w:bottom w:val="nil"/>
              <w:right w:val="nil"/>
            </w:tcBorders>
          </w:tcPr>
          <w:p>
            <w:pPr>
              <w:pStyle w:val="TableParagraph"/>
              <w:ind w:right="60"/>
              <w:rPr>
                <w:sz w:val="20"/>
              </w:rPr>
            </w:pPr>
            <w:r>
              <w:rPr>
                <w:sz w:val="20"/>
              </w:rPr>
              <w:t>0.08</w:t>
            </w:r>
          </w:p>
        </w:tc>
      </w:tr>
      <w:tr>
        <w:trPr>
          <w:trHeight w:val="300" w:hRule="exact"/>
        </w:trPr>
        <w:tc>
          <w:tcPr>
            <w:tcW w:w="1158" w:type="dxa"/>
            <w:tcBorders>
              <w:top w:val="nil"/>
              <w:left w:val="nil"/>
              <w:bottom w:val="nil"/>
              <w:right w:val="nil"/>
            </w:tcBorders>
          </w:tcPr>
          <w:p>
            <w:pPr>
              <w:pStyle w:val="TableParagraph"/>
              <w:spacing w:before="26"/>
              <w:ind w:left="72"/>
              <w:jc w:val="left"/>
              <w:rPr>
                <w:sz w:val="20"/>
              </w:rPr>
            </w:pPr>
            <w:r>
              <w:rPr>
                <w:sz w:val="20"/>
              </w:rPr>
              <w:t>23</w:t>
            </w:r>
          </w:p>
        </w:tc>
        <w:tc>
          <w:tcPr>
            <w:tcW w:w="981" w:type="dxa"/>
            <w:tcBorders>
              <w:top w:val="nil"/>
              <w:left w:val="nil"/>
              <w:bottom w:val="nil"/>
              <w:right w:val="nil"/>
            </w:tcBorders>
          </w:tcPr>
          <w:p>
            <w:pPr>
              <w:pStyle w:val="TableParagraph"/>
              <w:spacing w:before="26"/>
              <w:ind w:right="72"/>
              <w:rPr>
                <w:sz w:val="20"/>
              </w:rPr>
            </w:pPr>
            <w:r>
              <w:rPr>
                <w:sz w:val="20"/>
              </w:rPr>
              <w:t>0.002</w:t>
            </w:r>
          </w:p>
        </w:tc>
        <w:tc>
          <w:tcPr>
            <w:tcW w:w="1035" w:type="dxa"/>
            <w:tcBorders>
              <w:top w:val="nil"/>
              <w:left w:val="nil"/>
              <w:bottom w:val="nil"/>
              <w:right w:val="nil"/>
            </w:tcBorders>
          </w:tcPr>
          <w:p>
            <w:pPr>
              <w:pStyle w:val="TableParagraph"/>
              <w:spacing w:before="26"/>
              <w:ind w:right="65"/>
              <w:rPr>
                <w:sz w:val="20"/>
              </w:rPr>
            </w:pPr>
            <w:r>
              <w:rPr>
                <w:sz w:val="20"/>
              </w:rPr>
              <w:t>5.3</w:t>
            </w:r>
          </w:p>
        </w:tc>
        <w:tc>
          <w:tcPr>
            <w:tcW w:w="1162" w:type="dxa"/>
            <w:tcBorders>
              <w:top w:val="nil"/>
              <w:left w:val="nil"/>
              <w:bottom w:val="nil"/>
              <w:right w:val="nil"/>
            </w:tcBorders>
          </w:tcPr>
          <w:p>
            <w:pPr>
              <w:pStyle w:val="TableParagraph"/>
              <w:spacing w:before="26"/>
              <w:ind w:right="65"/>
              <w:rPr>
                <w:sz w:val="20"/>
              </w:rPr>
            </w:pPr>
            <w:r>
              <w:rPr>
                <w:sz w:val="20"/>
              </w:rPr>
              <w:t>12.6</w:t>
            </w:r>
          </w:p>
        </w:tc>
        <w:tc>
          <w:tcPr>
            <w:tcW w:w="1016" w:type="dxa"/>
            <w:tcBorders>
              <w:top w:val="nil"/>
              <w:left w:val="nil"/>
              <w:bottom w:val="nil"/>
              <w:right w:val="nil"/>
            </w:tcBorders>
          </w:tcPr>
          <w:p>
            <w:pPr>
              <w:pStyle w:val="TableParagraph"/>
              <w:spacing w:before="26"/>
              <w:ind w:right="68"/>
              <w:rPr>
                <w:sz w:val="20"/>
              </w:rPr>
            </w:pPr>
            <w:r>
              <w:rPr>
                <w:w w:val="100"/>
                <w:sz w:val="20"/>
              </w:rPr>
              <w:t>0</w:t>
            </w:r>
          </w:p>
        </w:tc>
        <w:tc>
          <w:tcPr>
            <w:tcW w:w="1175" w:type="dxa"/>
            <w:tcBorders>
              <w:top w:val="nil"/>
              <w:left w:val="nil"/>
              <w:bottom w:val="nil"/>
              <w:right w:val="nil"/>
            </w:tcBorders>
          </w:tcPr>
          <w:p>
            <w:pPr>
              <w:pStyle w:val="TableParagraph"/>
              <w:spacing w:before="26"/>
              <w:ind w:right="71"/>
              <w:rPr>
                <w:sz w:val="20"/>
              </w:rPr>
            </w:pPr>
            <w:r>
              <w:rPr>
                <w:w w:val="100"/>
                <w:sz w:val="20"/>
              </w:rPr>
              <w:t>0</w:t>
            </w:r>
          </w:p>
        </w:tc>
        <w:tc>
          <w:tcPr>
            <w:tcW w:w="1060" w:type="dxa"/>
            <w:tcBorders>
              <w:top w:val="nil"/>
              <w:left w:val="nil"/>
              <w:bottom w:val="nil"/>
              <w:right w:val="nil"/>
            </w:tcBorders>
          </w:tcPr>
          <w:p>
            <w:pPr>
              <w:pStyle w:val="TableParagraph"/>
              <w:spacing w:before="26"/>
              <w:ind w:right="70"/>
              <w:rPr>
                <w:sz w:val="20"/>
              </w:rPr>
            </w:pPr>
            <w:r>
              <w:rPr>
                <w:sz w:val="20"/>
              </w:rPr>
              <w:t>9.5</w:t>
            </w:r>
          </w:p>
        </w:tc>
        <w:tc>
          <w:tcPr>
            <w:tcW w:w="1035" w:type="dxa"/>
            <w:tcBorders>
              <w:top w:val="nil"/>
              <w:left w:val="nil"/>
              <w:bottom w:val="nil"/>
              <w:right w:val="nil"/>
            </w:tcBorders>
          </w:tcPr>
          <w:p>
            <w:pPr>
              <w:pStyle w:val="TableParagraph"/>
              <w:spacing w:before="26"/>
              <w:ind w:right="67"/>
              <w:rPr>
                <w:sz w:val="20"/>
              </w:rPr>
            </w:pPr>
            <w:r>
              <w:rPr>
                <w:sz w:val="20"/>
              </w:rPr>
              <w:t>63</w:t>
            </w:r>
          </w:p>
        </w:tc>
        <w:tc>
          <w:tcPr>
            <w:tcW w:w="1203" w:type="dxa"/>
            <w:tcBorders>
              <w:top w:val="nil"/>
              <w:left w:val="nil"/>
              <w:bottom w:val="nil"/>
              <w:right w:val="nil"/>
            </w:tcBorders>
          </w:tcPr>
          <w:p>
            <w:pPr>
              <w:pStyle w:val="TableParagraph"/>
              <w:spacing w:before="26"/>
              <w:ind w:right="103"/>
              <w:rPr>
                <w:sz w:val="20"/>
              </w:rPr>
            </w:pPr>
            <w:r>
              <w:rPr>
                <w:sz w:val="20"/>
              </w:rPr>
              <w:t>100</w:t>
            </w:r>
          </w:p>
        </w:tc>
        <w:tc>
          <w:tcPr>
            <w:tcW w:w="898" w:type="dxa"/>
            <w:tcBorders>
              <w:top w:val="nil"/>
              <w:left w:val="nil"/>
              <w:bottom w:val="nil"/>
              <w:right w:val="nil"/>
            </w:tcBorders>
          </w:tcPr>
          <w:p>
            <w:pPr>
              <w:pStyle w:val="TableParagraph"/>
              <w:spacing w:before="26"/>
              <w:ind w:right="60"/>
              <w:rPr>
                <w:sz w:val="20"/>
              </w:rPr>
            </w:pPr>
            <w:r>
              <w:rPr>
                <w:sz w:val="20"/>
              </w:rPr>
              <w:t>0.08</w:t>
            </w:r>
          </w:p>
        </w:tc>
      </w:tr>
      <w:tr>
        <w:trPr>
          <w:trHeight w:val="300" w:hRule="exact"/>
        </w:trPr>
        <w:tc>
          <w:tcPr>
            <w:tcW w:w="1158" w:type="dxa"/>
            <w:tcBorders>
              <w:top w:val="nil"/>
              <w:left w:val="nil"/>
              <w:bottom w:val="nil"/>
              <w:right w:val="nil"/>
            </w:tcBorders>
          </w:tcPr>
          <w:p>
            <w:pPr>
              <w:pStyle w:val="TableParagraph"/>
              <w:ind w:left="72"/>
              <w:jc w:val="left"/>
              <w:rPr>
                <w:sz w:val="20"/>
              </w:rPr>
            </w:pPr>
            <w:r>
              <w:rPr>
                <w:sz w:val="20"/>
              </w:rPr>
              <w:t>24</w:t>
            </w:r>
          </w:p>
        </w:tc>
        <w:tc>
          <w:tcPr>
            <w:tcW w:w="981" w:type="dxa"/>
            <w:tcBorders>
              <w:top w:val="nil"/>
              <w:left w:val="nil"/>
              <w:bottom w:val="nil"/>
              <w:right w:val="nil"/>
            </w:tcBorders>
          </w:tcPr>
          <w:p>
            <w:pPr>
              <w:pStyle w:val="TableParagraph"/>
              <w:ind w:right="72"/>
              <w:rPr>
                <w:sz w:val="20"/>
              </w:rPr>
            </w:pPr>
            <w:r>
              <w:rPr>
                <w:sz w:val="20"/>
              </w:rPr>
              <w:t>0.018</w:t>
            </w:r>
          </w:p>
        </w:tc>
        <w:tc>
          <w:tcPr>
            <w:tcW w:w="1035" w:type="dxa"/>
            <w:tcBorders>
              <w:top w:val="nil"/>
              <w:left w:val="nil"/>
              <w:bottom w:val="nil"/>
              <w:right w:val="nil"/>
            </w:tcBorders>
          </w:tcPr>
          <w:p>
            <w:pPr>
              <w:pStyle w:val="TableParagraph"/>
              <w:ind w:right="65"/>
              <w:rPr>
                <w:sz w:val="20"/>
              </w:rPr>
            </w:pPr>
            <w:r>
              <w:rPr>
                <w:sz w:val="20"/>
              </w:rPr>
              <w:t>22.6</w:t>
            </w:r>
          </w:p>
        </w:tc>
        <w:tc>
          <w:tcPr>
            <w:tcW w:w="1162" w:type="dxa"/>
            <w:tcBorders>
              <w:top w:val="nil"/>
              <w:left w:val="nil"/>
              <w:bottom w:val="nil"/>
              <w:right w:val="nil"/>
            </w:tcBorders>
          </w:tcPr>
          <w:p>
            <w:pPr>
              <w:pStyle w:val="TableParagraph"/>
              <w:ind w:right="65"/>
              <w:rPr>
                <w:sz w:val="20"/>
              </w:rPr>
            </w:pPr>
            <w:r>
              <w:rPr>
                <w:sz w:val="20"/>
              </w:rPr>
              <w:t>54.3</w:t>
            </w:r>
          </w:p>
        </w:tc>
        <w:tc>
          <w:tcPr>
            <w:tcW w:w="1016" w:type="dxa"/>
            <w:tcBorders>
              <w:top w:val="nil"/>
              <w:left w:val="nil"/>
              <w:bottom w:val="nil"/>
              <w:right w:val="nil"/>
            </w:tcBorders>
          </w:tcPr>
          <w:p>
            <w:pPr>
              <w:pStyle w:val="TableParagraph"/>
              <w:ind w:right="68"/>
              <w:rPr>
                <w:sz w:val="20"/>
              </w:rPr>
            </w:pPr>
            <w:r>
              <w:rPr>
                <w:w w:val="100"/>
                <w:sz w:val="20"/>
              </w:rPr>
              <w:t>0</w:t>
            </w:r>
          </w:p>
        </w:tc>
        <w:tc>
          <w:tcPr>
            <w:tcW w:w="1175" w:type="dxa"/>
            <w:tcBorders>
              <w:top w:val="nil"/>
              <w:left w:val="nil"/>
              <w:bottom w:val="nil"/>
              <w:right w:val="nil"/>
            </w:tcBorders>
          </w:tcPr>
          <w:p>
            <w:pPr>
              <w:pStyle w:val="TableParagraph"/>
              <w:ind w:right="71"/>
              <w:rPr>
                <w:sz w:val="20"/>
              </w:rPr>
            </w:pPr>
            <w:r>
              <w:rPr>
                <w:w w:val="100"/>
                <w:sz w:val="20"/>
              </w:rPr>
              <w:t>0</w:t>
            </w:r>
          </w:p>
        </w:tc>
        <w:tc>
          <w:tcPr>
            <w:tcW w:w="1060" w:type="dxa"/>
            <w:tcBorders>
              <w:top w:val="nil"/>
              <w:left w:val="nil"/>
              <w:bottom w:val="nil"/>
              <w:right w:val="nil"/>
            </w:tcBorders>
          </w:tcPr>
          <w:p>
            <w:pPr>
              <w:pStyle w:val="TableParagraph"/>
              <w:ind w:right="70"/>
              <w:rPr>
                <w:sz w:val="20"/>
              </w:rPr>
            </w:pPr>
            <w:r>
              <w:rPr>
                <w:sz w:val="20"/>
              </w:rPr>
              <w:t>40.7</w:t>
            </w:r>
          </w:p>
        </w:tc>
        <w:tc>
          <w:tcPr>
            <w:tcW w:w="1035" w:type="dxa"/>
            <w:tcBorders>
              <w:top w:val="nil"/>
              <w:left w:val="nil"/>
              <w:bottom w:val="nil"/>
              <w:right w:val="nil"/>
            </w:tcBorders>
          </w:tcPr>
          <w:p>
            <w:pPr>
              <w:pStyle w:val="TableParagraph"/>
              <w:ind w:right="67"/>
              <w:rPr>
                <w:sz w:val="20"/>
              </w:rPr>
            </w:pPr>
            <w:r>
              <w:rPr>
                <w:sz w:val="20"/>
              </w:rPr>
              <w:t>63</w:t>
            </w:r>
          </w:p>
        </w:tc>
        <w:tc>
          <w:tcPr>
            <w:tcW w:w="1203" w:type="dxa"/>
            <w:tcBorders>
              <w:top w:val="nil"/>
              <w:left w:val="nil"/>
              <w:bottom w:val="nil"/>
              <w:right w:val="nil"/>
            </w:tcBorders>
          </w:tcPr>
          <w:p>
            <w:pPr>
              <w:pStyle w:val="TableParagraph"/>
              <w:ind w:right="103"/>
              <w:rPr>
                <w:sz w:val="20"/>
              </w:rPr>
            </w:pPr>
            <w:r>
              <w:rPr>
                <w:sz w:val="20"/>
              </w:rPr>
              <w:t>100</w:t>
            </w:r>
          </w:p>
        </w:tc>
        <w:tc>
          <w:tcPr>
            <w:tcW w:w="898" w:type="dxa"/>
            <w:tcBorders>
              <w:top w:val="nil"/>
              <w:left w:val="nil"/>
              <w:bottom w:val="nil"/>
              <w:right w:val="nil"/>
            </w:tcBorders>
          </w:tcPr>
          <w:p>
            <w:pPr>
              <w:pStyle w:val="TableParagraph"/>
              <w:ind w:right="60"/>
              <w:rPr>
                <w:sz w:val="20"/>
              </w:rPr>
            </w:pPr>
            <w:r>
              <w:rPr>
                <w:sz w:val="20"/>
              </w:rPr>
              <w:t>0.08</w:t>
            </w:r>
          </w:p>
        </w:tc>
      </w:tr>
      <w:tr>
        <w:trPr>
          <w:trHeight w:val="300" w:hRule="exact"/>
        </w:trPr>
        <w:tc>
          <w:tcPr>
            <w:tcW w:w="1158" w:type="dxa"/>
            <w:tcBorders>
              <w:top w:val="nil"/>
              <w:left w:val="nil"/>
              <w:bottom w:val="nil"/>
              <w:right w:val="nil"/>
            </w:tcBorders>
          </w:tcPr>
          <w:p>
            <w:pPr>
              <w:pStyle w:val="TableParagraph"/>
              <w:spacing w:before="26"/>
              <w:ind w:left="72"/>
              <w:jc w:val="left"/>
              <w:rPr>
                <w:sz w:val="20"/>
              </w:rPr>
            </w:pPr>
            <w:r>
              <w:rPr>
                <w:sz w:val="20"/>
              </w:rPr>
              <w:t>25</w:t>
            </w:r>
          </w:p>
        </w:tc>
        <w:tc>
          <w:tcPr>
            <w:tcW w:w="981" w:type="dxa"/>
            <w:tcBorders>
              <w:top w:val="nil"/>
              <w:left w:val="nil"/>
              <w:bottom w:val="nil"/>
              <w:right w:val="nil"/>
            </w:tcBorders>
          </w:tcPr>
          <w:p>
            <w:pPr>
              <w:pStyle w:val="TableParagraph"/>
              <w:spacing w:before="26"/>
              <w:ind w:right="72"/>
              <w:rPr>
                <w:sz w:val="20"/>
              </w:rPr>
            </w:pPr>
            <w:r>
              <w:rPr>
                <w:sz w:val="20"/>
              </w:rPr>
              <w:t>0.144</w:t>
            </w:r>
          </w:p>
        </w:tc>
        <w:tc>
          <w:tcPr>
            <w:tcW w:w="1035" w:type="dxa"/>
            <w:tcBorders>
              <w:top w:val="nil"/>
              <w:left w:val="nil"/>
              <w:bottom w:val="nil"/>
              <w:right w:val="nil"/>
            </w:tcBorders>
          </w:tcPr>
          <w:p>
            <w:pPr>
              <w:pStyle w:val="TableParagraph"/>
              <w:spacing w:before="26"/>
              <w:ind w:right="65"/>
              <w:rPr>
                <w:sz w:val="20"/>
              </w:rPr>
            </w:pPr>
            <w:r>
              <w:rPr>
                <w:sz w:val="20"/>
              </w:rPr>
              <w:t>7.2</w:t>
            </w:r>
          </w:p>
        </w:tc>
        <w:tc>
          <w:tcPr>
            <w:tcW w:w="1162" w:type="dxa"/>
            <w:tcBorders>
              <w:top w:val="nil"/>
              <w:left w:val="nil"/>
              <w:bottom w:val="nil"/>
              <w:right w:val="nil"/>
            </w:tcBorders>
          </w:tcPr>
          <w:p>
            <w:pPr>
              <w:pStyle w:val="TableParagraph"/>
              <w:spacing w:before="26"/>
              <w:ind w:right="65"/>
              <w:rPr>
                <w:sz w:val="20"/>
              </w:rPr>
            </w:pPr>
            <w:r>
              <w:rPr>
                <w:sz w:val="20"/>
              </w:rPr>
              <w:t>17.3</w:t>
            </w:r>
          </w:p>
        </w:tc>
        <w:tc>
          <w:tcPr>
            <w:tcW w:w="1016" w:type="dxa"/>
            <w:tcBorders>
              <w:top w:val="nil"/>
              <w:left w:val="nil"/>
              <w:bottom w:val="nil"/>
              <w:right w:val="nil"/>
            </w:tcBorders>
          </w:tcPr>
          <w:p>
            <w:pPr>
              <w:pStyle w:val="TableParagraph"/>
              <w:spacing w:before="26"/>
              <w:ind w:right="68"/>
              <w:rPr>
                <w:sz w:val="20"/>
              </w:rPr>
            </w:pPr>
            <w:r>
              <w:rPr>
                <w:w w:val="100"/>
                <w:sz w:val="20"/>
              </w:rPr>
              <w:t>0</w:t>
            </w:r>
          </w:p>
        </w:tc>
        <w:tc>
          <w:tcPr>
            <w:tcW w:w="1175" w:type="dxa"/>
            <w:tcBorders>
              <w:top w:val="nil"/>
              <w:left w:val="nil"/>
              <w:bottom w:val="nil"/>
              <w:right w:val="nil"/>
            </w:tcBorders>
          </w:tcPr>
          <w:p>
            <w:pPr>
              <w:pStyle w:val="TableParagraph"/>
              <w:spacing w:before="26"/>
              <w:ind w:right="71"/>
              <w:rPr>
                <w:sz w:val="20"/>
              </w:rPr>
            </w:pPr>
            <w:r>
              <w:rPr>
                <w:w w:val="100"/>
                <w:sz w:val="20"/>
              </w:rPr>
              <w:t>0</w:t>
            </w:r>
          </w:p>
        </w:tc>
        <w:tc>
          <w:tcPr>
            <w:tcW w:w="1060" w:type="dxa"/>
            <w:tcBorders>
              <w:top w:val="nil"/>
              <w:left w:val="nil"/>
              <w:bottom w:val="nil"/>
              <w:right w:val="nil"/>
            </w:tcBorders>
          </w:tcPr>
          <w:p>
            <w:pPr>
              <w:pStyle w:val="TableParagraph"/>
              <w:spacing w:before="26"/>
              <w:ind w:right="70"/>
              <w:rPr>
                <w:sz w:val="20"/>
              </w:rPr>
            </w:pPr>
            <w:r>
              <w:rPr>
                <w:sz w:val="20"/>
              </w:rPr>
              <w:t>12.9</w:t>
            </w:r>
          </w:p>
        </w:tc>
        <w:tc>
          <w:tcPr>
            <w:tcW w:w="1035" w:type="dxa"/>
            <w:tcBorders>
              <w:top w:val="nil"/>
              <w:left w:val="nil"/>
              <w:bottom w:val="nil"/>
              <w:right w:val="nil"/>
            </w:tcBorders>
          </w:tcPr>
          <w:p>
            <w:pPr>
              <w:pStyle w:val="TableParagraph"/>
              <w:spacing w:before="26"/>
              <w:ind w:right="67"/>
              <w:rPr>
                <w:sz w:val="20"/>
              </w:rPr>
            </w:pPr>
            <w:r>
              <w:rPr>
                <w:sz w:val="20"/>
              </w:rPr>
              <w:t>63</w:t>
            </w:r>
          </w:p>
        </w:tc>
        <w:tc>
          <w:tcPr>
            <w:tcW w:w="1203" w:type="dxa"/>
            <w:tcBorders>
              <w:top w:val="nil"/>
              <w:left w:val="nil"/>
              <w:bottom w:val="nil"/>
              <w:right w:val="nil"/>
            </w:tcBorders>
          </w:tcPr>
          <w:p>
            <w:pPr>
              <w:pStyle w:val="TableParagraph"/>
              <w:spacing w:before="26"/>
              <w:ind w:right="103"/>
              <w:rPr>
                <w:sz w:val="20"/>
              </w:rPr>
            </w:pPr>
            <w:r>
              <w:rPr>
                <w:sz w:val="20"/>
              </w:rPr>
              <w:t>100</w:t>
            </w:r>
          </w:p>
        </w:tc>
        <w:tc>
          <w:tcPr>
            <w:tcW w:w="898" w:type="dxa"/>
            <w:tcBorders>
              <w:top w:val="nil"/>
              <w:left w:val="nil"/>
              <w:bottom w:val="nil"/>
              <w:right w:val="nil"/>
            </w:tcBorders>
          </w:tcPr>
          <w:p>
            <w:pPr>
              <w:pStyle w:val="TableParagraph"/>
              <w:spacing w:before="26"/>
              <w:ind w:right="60"/>
              <w:rPr>
                <w:sz w:val="20"/>
              </w:rPr>
            </w:pPr>
            <w:r>
              <w:rPr>
                <w:sz w:val="20"/>
              </w:rPr>
              <w:t>0.08</w:t>
            </w:r>
          </w:p>
        </w:tc>
      </w:tr>
      <w:tr>
        <w:trPr>
          <w:trHeight w:val="300" w:hRule="exact"/>
        </w:trPr>
        <w:tc>
          <w:tcPr>
            <w:tcW w:w="1158" w:type="dxa"/>
            <w:tcBorders>
              <w:top w:val="nil"/>
              <w:left w:val="nil"/>
              <w:bottom w:val="nil"/>
              <w:right w:val="nil"/>
            </w:tcBorders>
          </w:tcPr>
          <w:p>
            <w:pPr>
              <w:pStyle w:val="TableParagraph"/>
              <w:ind w:left="72"/>
              <w:jc w:val="left"/>
              <w:rPr>
                <w:sz w:val="20"/>
              </w:rPr>
            </w:pPr>
            <w:r>
              <w:rPr>
                <w:sz w:val="20"/>
              </w:rPr>
              <w:t>26</w:t>
            </w:r>
          </w:p>
        </w:tc>
        <w:tc>
          <w:tcPr>
            <w:tcW w:w="981" w:type="dxa"/>
            <w:tcBorders>
              <w:top w:val="nil"/>
              <w:left w:val="nil"/>
              <w:bottom w:val="nil"/>
              <w:right w:val="nil"/>
            </w:tcBorders>
          </w:tcPr>
          <w:p>
            <w:pPr>
              <w:pStyle w:val="TableParagraph"/>
              <w:ind w:right="72"/>
              <w:rPr>
                <w:sz w:val="20"/>
              </w:rPr>
            </w:pPr>
            <w:r>
              <w:rPr>
                <w:sz w:val="20"/>
              </w:rPr>
              <w:t>0.253</w:t>
            </w:r>
          </w:p>
        </w:tc>
        <w:tc>
          <w:tcPr>
            <w:tcW w:w="1035" w:type="dxa"/>
            <w:tcBorders>
              <w:top w:val="nil"/>
              <w:left w:val="nil"/>
              <w:bottom w:val="nil"/>
              <w:right w:val="nil"/>
            </w:tcBorders>
          </w:tcPr>
          <w:p>
            <w:pPr>
              <w:pStyle w:val="TableParagraph"/>
              <w:ind w:right="65"/>
              <w:rPr>
                <w:sz w:val="20"/>
              </w:rPr>
            </w:pPr>
            <w:r>
              <w:rPr>
                <w:sz w:val="20"/>
              </w:rPr>
              <w:t>22.9</w:t>
            </w:r>
          </w:p>
        </w:tc>
        <w:tc>
          <w:tcPr>
            <w:tcW w:w="1162" w:type="dxa"/>
            <w:tcBorders>
              <w:top w:val="nil"/>
              <w:left w:val="nil"/>
              <w:bottom w:val="nil"/>
              <w:right w:val="nil"/>
            </w:tcBorders>
          </w:tcPr>
          <w:p>
            <w:pPr>
              <w:pStyle w:val="TableParagraph"/>
              <w:ind w:right="69"/>
              <w:rPr>
                <w:sz w:val="20"/>
              </w:rPr>
            </w:pPr>
            <w:r>
              <w:rPr>
                <w:sz w:val="20"/>
              </w:rPr>
              <w:t>55</w:t>
            </w:r>
          </w:p>
        </w:tc>
        <w:tc>
          <w:tcPr>
            <w:tcW w:w="1016" w:type="dxa"/>
            <w:tcBorders>
              <w:top w:val="nil"/>
              <w:left w:val="nil"/>
              <w:bottom w:val="nil"/>
              <w:right w:val="nil"/>
            </w:tcBorders>
          </w:tcPr>
          <w:p>
            <w:pPr>
              <w:pStyle w:val="TableParagraph"/>
              <w:ind w:right="68"/>
              <w:rPr>
                <w:sz w:val="20"/>
              </w:rPr>
            </w:pPr>
            <w:r>
              <w:rPr>
                <w:w w:val="100"/>
                <w:sz w:val="20"/>
              </w:rPr>
              <w:t>0</w:t>
            </w:r>
          </w:p>
        </w:tc>
        <w:tc>
          <w:tcPr>
            <w:tcW w:w="1175" w:type="dxa"/>
            <w:tcBorders>
              <w:top w:val="nil"/>
              <w:left w:val="nil"/>
              <w:bottom w:val="nil"/>
              <w:right w:val="nil"/>
            </w:tcBorders>
          </w:tcPr>
          <w:p>
            <w:pPr>
              <w:pStyle w:val="TableParagraph"/>
              <w:ind w:right="71"/>
              <w:rPr>
                <w:sz w:val="20"/>
              </w:rPr>
            </w:pPr>
            <w:r>
              <w:rPr>
                <w:w w:val="100"/>
                <w:sz w:val="20"/>
              </w:rPr>
              <w:t>0</w:t>
            </w:r>
          </w:p>
        </w:tc>
        <w:tc>
          <w:tcPr>
            <w:tcW w:w="1060" w:type="dxa"/>
            <w:tcBorders>
              <w:top w:val="nil"/>
              <w:left w:val="nil"/>
              <w:bottom w:val="nil"/>
              <w:right w:val="nil"/>
            </w:tcBorders>
          </w:tcPr>
          <w:p>
            <w:pPr>
              <w:pStyle w:val="TableParagraph"/>
              <w:ind w:right="70"/>
              <w:rPr>
                <w:sz w:val="20"/>
              </w:rPr>
            </w:pPr>
            <w:r>
              <w:rPr>
                <w:sz w:val="20"/>
              </w:rPr>
              <w:t>41.2</w:t>
            </w:r>
          </w:p>
        </w:tc>
        <w:tc>
          <w:tcPr>
            <w:tcW w:w="1035" w:type="dxa"/>
            <w:tcBorders>
              <w:top w:val="nil"/>
              <w:left w:val="nil"/>
              <w:bottom w:val="nil"/>
              <w:right w:val="nil"/>
            </w:tcBorders>
          </w:tcPr>
          <w:p>
            <w:pPr>
              <w:pStyle w:val="TableParagraph"/>
              <w:ind w:right="67"/>
              <w:rPr>
                <w:sz w:val="20"/>
              </w:rPr>
            </w:pPr>
            <w:r>
              <w:rPr>
                <w:sz w:val="20"/>
              </w:rPr>
              <w:t>63</w:t>
            </w:r>
          </w:p>
        </w:tc>
        <w:tc>
          <w:tcPr>
            <w:tcW w:w="1203" w:type="dxa"/>
            <w:tcBorders>
              <w:top w:val="nil"/>
              <w:left w:val="nil"/>
              <w:bottom w:val="nil"/>
              <w:right w:val="nil"/>
            </w:tcBorders>
          </w:tcPr>
          <w:p>
            <w:pPr>
              <w:pStyle w:val="TableParagraph"/>
              <w:ind w:right="103"/>
              <w:rPr>
                <w:sz w:val="20"/>
              </w:rPr>
            </w:pPr>
            <w:r>
              <w:rPr>
                <w:sz w:val="20"/>
              </w:rPr>
              <w:t>100</w:t>
            </w:r>
          </w:p>
        </w:tc>
        <w:tc>
          <w:tcPr>
            <w:tcW w:w="898" w:type="dxa"/>
            <w:tcBorders>
              <w:top w:val="nil"/>
              <w:left w:val="nil"/>
              <w:bottom w:val="nil"/>
              <w:right w:val="nil"/>
            </w:tcBorders>
          </w:tcPr>
          <w:p>
            <w:pPr>
              <w:pStyle w:val="TableParagraph"/>
              <w:ind w:right="60"/>
              <w:rPr>
                <w:sz w:val="20"/>
              </w:rPr>
            </w:pPr>
            <w:r>
              <w:rPr>
                <w:sz w:val="20"/>
              </w:rPr>
              <w:t>0.08</w:t>
            </w:r>
          </w:p>
        </w:tc>
      </w:tr>
      <w:tr>
        <w:trPr>
          <w:trHeight w:val="300" w:hRule="exact"/>
        </w:trPr>
        <w:tc>
          <w:tcPr>
            <w:tcW w:w="1158" w:type="dxa"/>
            <w:tcBorders>
              <w:top w:val="nil"/>
              <w:left w:val="nil"/>
              <w:bottom w:val="nil"/>
              <w:right w:val="nil"/>
            </w:tcBorders>
          </w:tcPr>
          <w:p>
            <w:pPr>
              <w:pStyle w:val="TableParagraph"/>
              <w:spacing w:before="26"/>
              <w:ind w:left="72"/>
              <w:jc w:val="left"/>
              <w:rPr>
                <w:sz w:val="20"/>
              </w:rPr>
            </w:pPr>
            <w:r>
              <w:rPr>
                <w:sz w:val="20"/>
              </w:rPr>
              <w:t>27</w:t>
            </w:r>
          </w:p>
        </w:tc>
        <w:tc>
          <w:tcPr>
            <w:tcW w:w="981" w:type="dxa"/>
            <w:tcBorders>
              <w:top w:val="nil"/>
              <w:left w:val="nil"/>
              <w:bottom w:val="nil"/>
              <w:right w:val="nil"/>
            </w:tcBorders>
          </w:tcPr>
          <w:p>
            <w:pPr>
              <w:pStyle w:val="TableParagraph"/>
              <w:spacing w:before="26"/>
              <w:ind w:right="72"/>
              <w:rPr>
                <w:sz w:val="20"/>
              </w:rPr>
            </w:pPr>
            <w:r>
              <w:rPr>
                <w:sz w:val="20"/>
              </w:rPr>
              <w:t>0.388</w:t>
            </w:r>
          </w:p>
        </w:tc>
        <w:tc>
          <w:tcPr>
            <w:tcW w:w="1035" w:type="dxa"/>
            <w:tcBorders>
              <w:top w:val="nil"/>
              <w:left w:val="nil"/>
              <w:bottom w:val="nil"/>
              <w:right w:val="nil"/>
            </w:tcBorders>
          </w:tcPr>
          <w:p>
            <w:pPr>
              <w:pStyle w:val="TableParagraph"/>
              <w:spacing w:before="26"/>
              <w:ind w:right="65"/>
              <w:rPr>
                <w:sz w:val="20"/>
              </w:rPr>
            </w:pPr>
            <w:r>
              <w:rPr>
                <w:sz w:val="20"/>
              </w:rPr>
              <w:t>23.6</w:t>
            </w:r>
          </w:p>
        </w:tc>
        <w:tc>
          <w:tcPr>
            <w:tcW w:w="1162" w:type="dxa"/>
            <w:tcBorders>
              <w:top w:val="nil"/>
              <w:left w:val="nil"/>
              <w:bottom w:val="nil"/>
              <w:right w:val="nil"/>
            </w:tcBorders>
          </w:tcPr>
          <w:p>
            <w:pPr>
              <w:pStyle w:val="TableParagraph"/>
              <w:spacing w:before="26"/>
              <w:ind w:right="65"/>
              <w:rPr>
                <w:sz w:val="20"/>
              </w:rPr>
            </w:pPr>
            <w:r>
              <w:rPr>
                <w:sz w:val="20"/>
              </w:rPr>
              <w:t>56.7</w:t>
            </w:r>
          </w:p>
        </w:tc>
        <w:tc>
          <w:tcPr>
            <w:tcW w:w="1016" w:type="dxa"/>
            <w:tcBorders>
              <w:top w:val="nil"/>
              <w:left w:val="nil"/>
              <w:bottom w:val="nil"/>
              <w:right w:val="nil"/>
            </w:tcBorders>
          </w:tcPr>
          <w:p>
            <w:pPr>
              <w:pStyle w:val="TableParagraph"/>
              <w:spacing w:before="26"/>
              <w:ind w:right="68"/>
              <w:rPr>
                <w:sz w:val="20"/>
              </w:rPr>
            </w:pPr>
            <w:r>
              <w:rPr>
                <w:w w:val="100"/>
                <w:sz w:val="20"/>
              </w:rPr>
              <w:t>0</w:t>
            </w:r>
          </w:p>
        </w:tc>
        <w:tc>
          <w:tcPr>
            <w:tcW w:w="1175" w:type="dxa"/>
            <w:tcBorders>
              <w:top w:val="nil"/>
              <w:left w:val="nil"/>
              <w:bottom w:val="nil"/>
              <w:right w:val="nil"/>
            </w:tcBorders>
          </w:tcPr>
          <w:p>
            <w:pPr>
              <w:pStyle w:val="TableParagraph"/>
              <w:spacing w:before="26"/>
              <w:ind w:right="71"/>
              <w:rPr>
                <w:sz w:val="20"/>
              </w:rPr>
            </w:pPr>
            <w:r>
              <w:rPr>
                <w:w w:val="100"/>
                <w:sz w:val="20"/>
              </w:rPr>
              <w:t>0</w:t>
            </w:r>
          </w:p>
        </w:tc>
        <w:tc>
          <w:tcPr>
            <w:tcW w:w="1060" w:type="dxa"/>
            <w:tcBorders>
              <w:top w:val="nil"/>
              <w:left w:val="nil"/>
              <w:bottom w:val="nil"/>
              <w:right w:val="nil"/>
            </w:tcBorders>
          </w:tcPr>
          <w:p>
            <w:pPr>
              <w:pStyle w:val="TableParagraph"/>
              <w:spacing w:before="26"/>
              <w:ind w:right="70"/>
              <w:rPr>
                <w:sz w:val="20"/>
              </w:rPr>
            </w:pPr>
            <w:r>
              <w:rPr>
                <w:sz w:val="20"/>
              </w:rPr>
              <w:t>42.5</w:t>
            </w:r>
          </w:p>
        </w:tc>
        <w:tc>
          <w:tcPr>
            <w:tcW w:w="1035" w:type="dxa"/>
            <w:tcBorders>
              <w:top w:val="nil"/>
              <w:left w:val="nil"/>
              <w:bottom w:val="nil"/>
              <w:right w:val="nil"/>
            </w:tcBorders>
          </w:tcPr>
          <w:p>
            <w:pPr>
              <w:pStyle w:val="TableParagraph"/>
              <w:spacing w:before="26"/>
              <w:ind w:right="67"/>
              <w:rPr>
                <w:sz w:val="20"/>
              </w:rPr>
            </w:pPr>
            <w:r>
              <w:rPr>
                <w:sz w:val="20"/>
              </w:rPr>
              <w:t>63</w:t>
            </w:r>
          </w:p>
        </w:tc>
        <w:tc>
          <w:tcPr>
            <w:tcW w:w="1203" w:type="dxa"/>
            <w:tcBorders>
              <w:top w:val="nil"/>
              <w:left w:val="nil"/>
              <w:bottom w:val="nil"/>
              <w:right w:val="nil"/>
            </w:tcBorders>
          </w:tcPr>
          <w:p>
            <w:pPr>
              <w:pStyle w:val="TableParagraph"/>
              <w:spacing w:before="26"/>
              <w:ind w:right="103"/>
              <w:rPr>
                <w:sz w:val="20"/>
              </w:rPr>
            </w:pPr>
            <w:r>
              <w:rPr>
                <w:sz w:val="20"/>
              </w:rPr>
              <w:t>100</w:t>
            </w:r>
          </w:p>
        </w:tc>
        <w:tc>
          <w:tcPr>
            <w:tcW w:w="898" w:type="dxa"/>
            <w:tcBorders>
              <w:top w:val="nil"/>
              <w:left w:val="nil"/>
              <w:bottom w:val="nil"/>
              <w:right w:val="nil"/>
            </w:tcBorders>
          </w:tcPr>
          <w:p>
            <w:pPr>
              <w:pStyle w:val="TableParagraph"/>
              <w:spacing w:before="26"/>
              <w:ind w:right="60"/>
              <w:rPr>
                <w:sz w:val="20"/>
              </w:rPr>
            </w:pPr>
            <w:r>
              <w:rPr>
                <w:sz w:val="20"/>
              </w:rPr>
              <w:t>0.08</w:t>
            </w:r>
          </w:p>
        </w:tc>
      </w:tr>
      <w:tr>
        <w:trPr>
          <w:trHeight w:val="300" w:hRule="exact"/>
        </w:trPr>
        <w:tc>
          <w:tcPr>
            <w:tcW w:w="1158" w:type="dxa"/>
            <w:tcBorders>
              <w:top w:val="nil"/>
              <w:left w:val="nil"/>
              <w:bottom w:val="nil"/>
              <w:right w:val="nil"/>
            </w:tcBorders>
          </w:tcPr>
          <w:p>
            <w:pPr>
              <w:pStyle w:val="TableParagraph"/>
              <w:ind w:left="72"/>
              <w:jc w:val="left"/>
              <w:rPr>
                <w:sz w:val="20"/>
              </w:rPr>
            </w:pPr>
            <w:r>
              <w:rPr>
                <w:sz w:val="20"/>
              </w:rPr>
              <w:t>28</w:t>
            </w:r>
          </w:p>
        </w:tc>
        <w:tc>
          <w:tcPr>
            <w:tcW w:w="981" w:type="dxa"/>
            <w:tcBorders>
              <w:top w:val="nil"/>
              <w:left w:val="nil"/>
              <w:bottom w:val="nil"/>
              <w:right w:val="nil"/>
            </w:tcBorders>
          </w:tcPr>
          <w:p>
            <w:pPr>
              <w:pStyle w:val="TableParagraph"/>
              <w:ind w:right="77"/>
              <w:rPr>
                <w:sz w:val="20"/>
              </w:rPr>
            </w:pPr>
            <w:r>
              <w:rPr>
                <w:w w:val="100"/>
                <w:sz w:val="20"/>
              </w:rPr>
              <w:t>0</w:t>
            </w:r>
          </w:p>
        </w:tc>
        <w:tc>
          <w:tcPr>
            <w:tcW w:w="1035" w:type="dxa"/>
            <w:tcBorders>
              <w:top w:val="nil"/>
              <w:left w:val="nil"/>
              <w:bottom w:val="nil"/>
              <w:right w:val="nil"/>
            </w:tcBorders>
          </w:tcPr>
          <w:p>
            <w:pPr>
              <w:pStyle w:val="TableParagraph"/>
              <w:ind w:right="69"/>
              <w:rPr>
                <w:sz w:val="20"/>
              </w:rPr>
            </w:pPr>
            <w:r>
              <w:rPr>
                <w:w w:val="100"/>
                <w:sz w:val="20"/>
              </w:rPr>
              <w:t>0</w:t>
            </w:r>
          </w:p>
        </w:tc>
        <w:tc>
          <w:tcPr>
            <w:tcW w:w="1162" w:type="dxa"/>
            <w:tcBorders>
              <w:top w:val="nil"/>
              <w:left w:val="nil"/>
              <w:bottom w:val="nil"/>
              <w:right w:val="nil"/>
            </w:tcBorders>
          </w:tcPr>
          <w:p>
            <w:pPr>
              <w:pStyle w:val="TableParagraph"/>
              <w:ind w:right="69"/>
              <w:rPr>
                <w:sz w:val="20"/>
              </w:rPr>
            </w:pPr>
            <w:r>
              <w:rPr>
                <w:w w:val="100"/>
                <w:sz w:val="20"/>
              </w:rPr>
              <w:t>0</w:t>
            </w:r>
          </w:p>
        </w:tc>
        <w:tc>
          <w:tcPr>
            <w:tcW w:w="1016" w:type="dxa"/>
            <w:tcBorders>
              <w:top w:val="nil"/>
              <w:left w:val="nil"/>
              <w:bottom w:val="nil"/>
              <w:right w:val="nil"/>
            </w:tcBorders>
          </w:tcPr>
          <w:p>
            <w:pPr>
              <w:pStyle w:val="TableParagraph"/>
              <w:ind w:right="68"/>
              <w:rPr>
                <w:sz w:val="20"/>
              </w:rPr>
            </w:pPr>
            <w:r>
              <w:rPr>
                <w:w w:val="100"/>
                <w:sz w:val="20"/>
              </w:rPr>
              <w:t>0</w:t>
            </w:r>
          </w:p>
        </w:tc>
        <w:tc>
          <w:tcPr>
            <w:tcW w:w="1175" w:type="dxa"/>
            <w:tcBorders>
              <w:top w:val="nil"/>
              <w:left w:val="nil"/>
              <w:bottom w:val="nil"/>
              <w:right w:val="nil"/>
            </w:tcBorders>
          </w:tcPr>
          <w:p>
            <w:pPr>
              <w:pStyle w:val="TableParagraph"/>
              <w:ind w:right="71"/>
              <w:rPr>
                <w:sz w:val="20"/>
              </w:rPr>
            </w:pPr>
            <w:r>
              <w:rPr>
                <w:w w:val="100"/>
                <w:sz w:val="20"/>
              </w:rPr>
              <w:t>0</w:t>
            </w:r>
          </w:p>
        </w:tc>
        <w:tc>
          <w:tcPr>
            <w:tcW w:w="1060" w:type="dxa"/>
            <w:tcBorders>
              <w:top w:val="nil"/>
              <w:left w:val="nil"/>
              <w:bottom w:val="nil"/>
              <w:right w:val="nil"/>
            </w:tcBorders>
          </w:tcPr>
          <w:p>
            <w:pPr>
              <w:pStyle w:val="TableParagraph"/>
              <w:ind w:right="75"/>
              <w:rPr>
                <w:sz w:val="20"/>
              </w:rPr>
            </w:pPr>
            <w:r>
              <w:rPr>
                <w:w w:val="100"/>
                <w:sz w:val="20"/>
              </w:rPr>
              <w:t>0</w:t>
            </w:r>
          </w:p>
        </w:tc>
        <w:tc>
          <w:tcPr>
            <w:tcW w:w="1035" w:type="dxa"/>
            <w:tcBorders>
              <w:top w:val="nil"/>
              <w:left w:val="nil"/>
              <w:bottom w:val="nil"/>
              <w:right w:val="nil"/>
            </w:tcBorders>
          </w:tcPr>
          <w:p>
            <w:pPr>
              <w:pStyle w:val="TableParagraph"/>
              <w:ind w:right="67"/>
              <w:rPr>
                <w:sz w:val="20"/>
              </w:rPr>
            </w:pPr>
            <w:r>
              <w:rPr>
                <w:w w:val="100"/>
                <w:sz w:val="20"/>
              </w:rPr>
              <w:t>0</w:t>
            </w:r>
          </w:p>
        </w:tc>
        <w:tc>
          <w:tcPr>
            <w:tcW w:w="1203" w:type="dxa"/>
            <w:tcBorders>
              <w:top w:val="nil"/>
              <w:left w:val="nil"/>
              <w:bottom w:val="nil"/>
              <w:right w:val="nil"/>
            </w:tcBorders>
          </w:tcPr>
          <w:p>
            <w:pPr>
              <w:pStyle w:val="TableParagraph"/>
              <w:ind w:right="108"/>
              <w:rPr>
                <w:sz w:val="20"/>
              </w:rPr>
            </w:pPr>
            <w:r>
              <w:rPr>
                <w:w w:val="100"/>
                <w:sz w:val="20"/>
              </w:rPr>
              <w:t>0</w:t>
            </w:r>
          </w:p>
        </w:tc>
        <w:tc>
          <w:tcPr>
            <w:tcW w:w="898" w:type="dxa"/>
            <w:tcBorders>
              <w:top w:val="nil"/>
              <w:left w:val="nil"/>
              <w:bottom w:val="nil"/>
              <w:right w:val="nil"/>
            </w:tcBorders>
          </w:tcPr>
          <w:p>
            <w:pPr>
              <w:pStyle w:val="TableParagraph"/>
              <w:ind w:right="65"/>
              <w:rPr>
                <w:sz w:val="20"/>
              </w:rPr>
            </w:pPr>
            <w:r>
              <w:rPr>
                <w:w w:val="100"/>
                <w:sz w:val="20"/>
              </w:rPr>
              <w:t>0</w:t>
            </w:r>
          </w:p>
        </w:tc>
      </w:tr>
      <w:tr>
        <w:trPr>
          <w:trHeight w:val="270" w:hRule="exact"/>
        </w:trPr>
        <w:tc>
          <w:tcPr>
            <w:tcW w:w="1158" w:type="dxa"/>
            <w:tcBorders>
              <w:top w:val="nil"/>
              <w:left w:val="nil"/>
              <w:right w:val="nil"/>
            </w:tcBorders>
          </w:tcPr>
          <w:p>
            <w:pPr>
              <w:pStyle w:val="TableParagraph"/>
              <w:spacing w:before="26"/>
              <w:ind w:left="72"/>
              <w:jc w:val="left"/>
              <w:rPr>
                <w:sz w:val="20"/>
              </w:rPr>
            </w:pPr>
            <w:r>
              <w:rPr>
                <w:sz w:val="20"/>
              </w:rPr>
              <w:t>29</w:t>
            </w:r>
          </w:p>
        </w:tc>
        <w:tc>
          <w:tcPr>
            <w:tcW w:w="981" w:type="dxa"/>
            <w:tcBorders>
              <w:top w:val="nil"/>
              <w:left w:val="nil"/>
              <w:right w:val="nil"/>
            </w:tcBorders>
          </w:tcPr>
          <w:p>
            <w:pPr>
              <w:pStyle w:val="TableParagraph"/>
              <w:spacing w:before="26"/>
              <w:ind w:right="72"/>
              <w:rPr>
                <w:sz w:val="20"/>
              </w:rPr>
            </w:pPr>
            <w:r>
              <w:rPr>
                <w:sz w:val="20"/>
              </w:rPr>
              <w:t>0.426</w:t>
            </w:r>
          </w:p>
        </w:tc>
        <w:tc>
          <w:tcPr>
            <w:tcW w:w="1035" w:type="dxa"/>
            <w:tcBorders>
              <w:top w:val="nil"/>
              <w:left w:val="nil"/>
              <w:right w:val="nil"/>
            </w:tcBorders>
          </w:tcPr>
          <w:p>
            <w:pPr>
              <w:pStyle w:val="TableParagraph"/>
              <w:spacing w:before="26"/>
              <w:ind w:right="65"/>
              <w:rPr>
                <w:sz w:val="20"/>
              </w:rPr>
            </w:pPr>
            <w:r>
              <w:rPr>
                <w:sz w:val="20"/>
              </w:rPr>
              <w:t>23.2</w:t>
            </w:r>
          </w:p>
        </w:tc>
        <w:tc>
          <w:tcPr>
            <w:tcW w:w="1162" w:type="dxa"/>
            <w:tcBorders>
              <w:top w:val="nil"/>
              <w:left w:val="nil"/>
              <w:right w:val="nil"/>
            </w:tcBorders>
          </w:tcPr>
          <w:p>
            <w:pPr>
              <w:pStyle w:val="TableParagraph"/>
              <w:spacing w:before="26"/>
              <w:ind w:right="65"/>
              <w:rPr>
                <w:sz w:val="20"/>
              </w:rPr>
            </w:pPr>
            <w:r>
              <w:rPr>
                <w:sz w:val="20"/>
              </w:rPr>
              <w:t>55.6</w:t>
            </w:r>
          </w:p>
        </w:tc>
        <w:tc>
          <w:tcPr>
            <w:tcW w:w="1016" w:type="dxa"/>
            <w:tcBorders>
              <w:top w:val="nil"/>
              <w:left w:val="nil"/>
              <w:right w:val="nil"/>
            </w:tcBorders>
          </w:tcPr>
          <w:p>
            <w:pPr>
              <w:pStyle w:val="TableParagraph"/>
              <w:spacing w:before="26"/>
              <w:ind w:right="68"/>
              <w:rPr>
                <w:sz w:val="20"/>
              </w:rPr>
            </w:pPr>
            <w:r>
              <w:rPr>
                <w:w w:val="100"/>
                <w:sz w:val="20"/>
              </w:rPr>
              <w:t>0</w:t>
            </w:r>
          </w:p>
        </w:tc>
        <w:tc>
          <w:tcPr>
            <w:tcW w:w="1175" w:type="dxa"/>
            <w:tcBorders>
              <w:top w:val="nil"/>
              <w:left w:val="nil"/>
              <w:right w:val="nil"/>
            </w:tcBorders>
          </w:tcPr>
          <w:p>
            <w:pPr>
              <w:pStyle w:val="TableParagraph"/>
              <w:spacing w:before="26"/>
              <w:ind w:right="71"/>
              <w:rPr>
                <w:sz w:val="20"/>
              </w:rPr>
            </w:pPr>
            <w:r>
              <w:rPr>
                <w:w w:val="100"/>
                <w:sz w:val="20"/>
              </w:rPr>
              <w:t>0</w:t>
            </w:r>
          </w:p>
        </w:tc>
        <w:tc>
          <w:tcPr>
            <w:tcW w:w="1060" w:type="dxa"/>
            <w:tcBorders>
              <w:top w:val="nil"/>
              <w:left w:val="nil"/>
              <w:right w:val="nil"/>
            </w:tcBorders>
          </w:tcPr>
          <w:p>
            <w:pPr>
              <w:pStyle w:val="TableParagraph"/>
              <w:spacing w:before="26"/>
              <w:ind w:right="70"/>
              <w:rPr>
                <w:sz w:val="20"/>
              </w:rPr>
            </w:pPr>
            <w:r>
              <w:rPr>
                <w:sz w:val="20"/>
              </w:rPr>
              <w:t>41.7</w:t>
            </w:r>
          </w:p>
        </w:tc>
        <w:tc>
          <w:tcPr>
            <w:tcW w:w="1035" w:type="dxa"/>
            <w:tcBorders>
              <w:top w:val="nil"/>
              <w:left w:val="nil"/>
              <w:right w:val="nil"/>
            </w:tcBorders>
          </w:tcPr>
          <w:p>
            <w:pPr>
              <w:pStyle w:val="TableParagraph"/>
              <w:spacing w:before="26"/>
              <w:ind w:right="67"/>
              <w:rPr>
                <w:sz w:val="20"/>
              </w:rPr>
            </w:pPr>
            <w:r>
              <w:rPr>
                <w:sz w:val="20"/>
              </w:rPr>
              <w:t>63</w:t>
            </w:r>
          </w:p>
        </w:tc>
        <w:tc>
          <w:tcPr>
            <w:tcW w:w="1203" w:type="dxa"/>
            <w:tcBorders>
              <w:top w:val="nil"/>
              <w:left w:val="nil"/>
              <w:right w:val="nil"/>
            </w:tcBorders>
          </w:tcPr>
          <w:p>
            <w:pPr>
              <w:pStyle w:val="TableParagraph"/>
              <w:spacing w:before="26"/>
              <w:ind w:right="103"/>
              <w:rPr>
                <w:sz w:val="20"/>
              </w:rPr>
            </w:pPr>
            <w:r>
              <w:rPr>
                <w:sz w:val="20"/>
              </w:rPr>
              <w:t>100</w:t>
            </w:r>
          </w:p>
        </w:tc>
        <w:tc>
          <w:tcPr>
            <w:tcW w:w="898" w:type="dxa"/>
            <w:tcBorders>
              <w:top w:val="nil"/>
              <w:left w:val="nil"/>
              <w:right w:val="nil"/>
            </w:tcBorders>
          </w:tcPr>
          <w:p>
            <w:pPr>
              <w:pStyle w:val="TableParagraph"/>
              <w:spacing w:before="26"/>
              <w:ind w:right="60"/>
              <w:rPr>
                <w:sz w:val="20"/>
              </w:rPr>
            </w:pPr>
            <w:r>
              <w:rPr>
                <w:sz w:val="20"/>
              </w:rPr>
              <w:t>0.08</w:t>
            </w:r>
          </w:p>
        </w:tc>
      </w:tr>
    </w:tbl>
    <w:p>
      <w:pPr>
        <w:spacing w:after="0"/>
        <w:rPr>
          <w:sz w:val="20"/>
        </w:rPr>
        <w:sectPr>
          <w:pgSz w:w="12240" w:h="15840"/>
          <w:pgMar w:header="0" w:footer="1473" w:top="1360" w:bottom="1660" w:left="680" w:right="620"/>
        </w:sectPr>
      </w:pPr>
    </w:p>
    <w:p>
      <w:pPr>
        <w:pStyle w:val="ListParagraph"/>
        <w:numPr>
          <w:ilvl w:val="1"/>
          <w:numId w:val="53"/>
        </w:numPr>
        <w:tabs>
          <w:tab w:pos="2899" w:val="left" w:leader="none"/>
        </w:tabs>
        <w:spacing w:line="477" w:lineRule="auto" w:before="53" w:after="0"/>
        <w:ind w:left="2955" w:right="2559" w:hanging="417"/>
        <w:jc w:val="left"/>
        <w:rPr>
          <w:b/>
          <w:sz w:val="26"/>
        </w:rPr>
      </w:pPr>
      <w:r>
        <w:rPr>
          <w:b/>
          <w:sz w:val="26"/>
        </w:rPr>
        <w:t>ANEXO DE MANEJO DE</w:t>
      </w:r>
      <w:r>
        <w:rPr>
          <w:b/>
          <w:spacing w:val="-9"/>
          <w:sz w:val="26"/>
        </w:rPr>
        <w:t> </w:t>
      </w:r>
      <w:r>
        <w:rPr>
          <w:b/>
          <w:sz w:val="26"/>
        </w:rPr>
        <w:t>CULTIVOS </w:t>
      </w:r>
      <w:bookmarkStart w:name="_bookmark171" w:id="230"/>
      <w:bookmarkEnd w:id="230"/>
      <w:r>
        <w:rPr>
          <w:b/>
          <w:sz w:val="26"/>
        </w:rPr>
      </w:r>
      <w:r>
        <w:rPr>
          <w:b/>
          <w:sz w:val="26"/>
        </w:rPr>
        <w:t>Tabla 34. Manejo </w:t>
      </w:r>
      <w:r>
        <w:rPr>
          <w:b/>
          <w:spacing w:val="-3"/>
          <w:sz w:val="26"/>
        </w:rPr>
        <w:t>de </w:t>
      </w:r>
      <w:r>
        <w:rPr>
          <w:b/>
          <w:sz w:val="26"/>
        </w:rPr>
        <w:t>los</w:t>
      </w:r>
      <w:r>
        <w:rPr>
          <w:b/>
          <w:spacing w:val="-7"/>
          <w:sz w:val="26"/>
        </w:rPr>
        <w:t> </w:t>
      </w:r>
      <w:r>
        <w:rPr>
          <w:b/>
          <w:sz w:val="26"/>
        </w:rPr>
        <w:t>cultivos</w:t>
      </w:r>
    </w:p>
    <w:p>
      <w:pPr>
        <w:pStyle w:val="BodyText"/>
        <w:spacing w:before="9"/>
        <w:rPr>
          <w:b/>
          <w:sz w:val="15"/>
        </w:rPr>
      </w:pPr>
      <w:r>
        <w:rPr/>
        <w:pict>
          <v:group style="position:absolute;margin-left:74.174004pt;margin-top:11.035452pt;width:482.15pt;height:.5pt;mso-position-horizontal-relative:page;mso-position-vertical-relative:paragraph;z-index:6808;mso-wrap-distance-left:0;mso-wrap-distance-right:0" coordorigin="1483,221" coordsize="9643,10">
            <v:line style="position:absolute" from="1488,226" to="4495,226" stroked="true" strokeweight=".48pt" strokecolor="#000000"/>
            <v:line style="position:absolute" from="4495,226" to="4504,226" stroked="true" strokeweight=".48pt" strokecolor="#000000"/>
            <v:line style="position:absolute" from="4504,226" to="5268,226" stroked="true" strokeweight=".48pt" strokecolor="#000000"/>
            <v:line style="position:absolute" from="5268,226" to="5277,226" stroked="true" strokeweight=".48pt" strokecolor="#000000"/>
            <v:line style="position:absolute" from="5277,226" to="7251,226" stroked="true" strokeweight=".48pt" strokecolor="#000000"/>
            <v:line style="position:absolute" from="7251,226" to="7260,226" stroked="true" strokeweight=".48pt" strokecolor="#000000"/>
            <v:line style="position:absolute" from="7260,226" to="9229,226" stroked="true" strokeweight=".48pt" strokecolor="#000000"/>
            <v:line style="position:absolute" from="9229,226" to="9239,226" stroked="true" strokeweight=".48pt" strokecolor="#000000"/>
            <v:line style="position:absolute" from="9239,226" to="11121,226" stroked="true" strokeweight=".48pt" strokecolor="#000000"/>
            <w10:wrap type="topAndBottom"/>
          </v:group>
        </w:pict>
      </w:r>
    </w:p>
    <w:p>
      <w:pPr>
        <w:tabs>
          <w:tab w:pos="6360" w:val="left" w:leader="none"/>
          <w:tab w:pos="8554" w:val="left" w:leader="none"/>
        </w:tabs>
        <w:spacing w:before="33" w:after="36"/>
        <w:ind w:left="4276" w:right="0" w:firstLine="0"/>
        <w:jc w:val="left"/>
        <w:rPr>
          <w:sz w:val="20"/>
        </w:rPr>
      </w:pPr>
      <w:r>
        <w:rPr>
          <w:sz w:val="20"/>
        </w:rPr>
        <w:t>Temp. Laderas</w:t>
        <w:tab/>
        <w:t>Temp.</w:t>
      </w:r>
      <w:r>
        <w:rPr>
          <w:spacing w:val="1"/>
          <w:sz w:val="20"/>
        </w:rPr>
        <w:t> </w:t>
      </w:r>
      <w:r>
        <w:rPr>
          <w:sz w:val="20"/>
        </w:rPr>
        <w:t>Valle</w:t>
        <w:tab/>
        <w:t>Riego</w:t>
      </w: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82"/>
        <w:gridCol w:w="1814"/>
        <w:gridCol w:w="776"/>
        <w:gridCol w:w="1047"/>
        <w:gridCol w:w="936"/>
        <w:gridCol w:w="1016"/>
        <w:gridCol w:w="941"/>
        <w:gridCol w:w="1016"/>
        <w:gridCol w:w="906"/>
      </w:tblGrid>
      <w:tr>
        <w:trPr>
          <w:trHeight w:val="276" w:hRule="exact"/>
        </w:trPr>
        <w:tc>
          <w:tcPr>
            <w:tcW w:w="1182" w:type="dxa"/>
            <w:tcBorders>
              <w:bottom w:val="single" w:sz="4" w:space="0" w:color="000000"/>
            </w:tcBorders>
          </w:tcPr>
          <w:p>
            <w:pPr/>
          </w:p>
        </w:tc>
        <w:tc>
          <w:tcPr>
            <w:tcW w:w="1814" w:type="dxa"/>
            <w:tcBorders>
              <w:bottom w:val="single" w:sz="4" w:space="0" w:color="000000"/>
            </w:tcBorders>
          </w:tcPr>
          <w:p>
            <w:pPr>
              <w:pStyle w:val="TableParagraph"/>
              <w:spacing w:before="31"/>
              <w:ind w:left="23" w:right="406"/>
              <w:jc w:val="left"/>
              <w:rPr>
                <w:sz w:val="20"/>
              </w:rPr>
            </w:pPr>
            <w:r>
              <w:rPr>
                <w:sz w:val="20"/>
              </w:rPr>
              <w:t>Cultivo</w:t>
            </w:r>
          </w:p>
        </w:tc>
        <w:tc>
          <w:tcPr>
            <w:tcW w:w="776" w:type="dxa"/>
            <w:tcBorders>
              <w:bottom w:val="single" w:sz="4" w:space="0" w:color="000000"/>
            </w:tcBorders>
          </w:tcPr>
          <w:p>
            <w:pPr>
              <w:pStyle w:val="TableParagraph"/>
              <w:spacing w:before="31"/>
              <w:ind w:left="101"/>
              <w:jc w:val="left"/>
              <w:rPr>
                <w:sz w:val="20"/>
              </w:rPr>
            </w:pPr>
            <w:r>
              <w:rPr>
                <w:sz w:val="20"/>
              </w:rPr>
              <w:t>Unidad</w:t>
            </w:r>
          </w:p>
        </w:tc>
        <w:tc>
          <w:tcPr>
            <w:tcW w:w="1047" w:type="dxa"/>
            <w:tcBorders>
              <w:bottom w:val="single" w:sz="4" w:space="0" w:color="000000"/>
            </w:tcBorders>
          </w:tcPr>
          <w:p>
            <w:pPr>
              <w:pStyle w:val="TableParagraph"/>
              <w:spacing w:before="31"/>
              <w:ind w:left="309"/>
              <w:jc w:val="left"/>
              <w:rPr>
                <w:sz w:val="20"/>
              </w:rPr>
            </w:pPr>
            <w:r>
              <w:rPr>
                <w:sz w:val="20"/>
              </w:rPr>
              <w:t>Fecha</w:t>
            </w:r>
          </w:p>
        </w:tc>
        <w:tc>
          <w:tcPr>
            <w:tcW w:w="936" w:type="dxa"/>
            <w:tcBorders>
              <w:bottom w:val="single" w:sz="4" w:space="0" w:color="000000"/>
            </w:tcBorders>
          </w:tcPr>
          <w:p>
            <w:pPr>
              <w:pStyle w:val="TableParagraph"/>
              <w:spacing w:before="31"/>
              <w:ind w:left="113" w:right="61"/>
              <w:jc w:val="center"/>
              <w:rPr>
                <w:sz w:val="20"/>
              </w:rPr>
            </w:pPr>
            <w:r>
              <w:rPr>
                <w:sz w:val="20"/>
              </w:rPr>
              <w:t>Cantidad</w:t>
            </w:r>
          </w:p>
        </w:tc>
        <w:tc>
          <w:tcPr>
            <w:tcW w:w="1016" w:type="dxa"/>
            <w:tcBorders>
              <w:bottom w:val="single" w:sz="4" w:space="0" w:color="000000"/>
            </w:tcBorders>
          </w:tcPr>
          <w:p>
            <w:pPr>
              <w:pStyle w:val="TableParagraph"/>
              <w:spacing w:before="31"/>
              <w:ind w:left="266"/>
              <w:jc w:val="left"/>
              <w:rPr>
                <w:sz w:val="20"/>
              </w:rPr>
            </w:pPr>
            <w:r>
              <w:rPr>
                <w:sz w:val="20"/>
              </w:rPr>
              <w:t>Fecha</w:t>
            </w:r>
          </w:p>
        </w:tc>
        <w:tc>
          <w:tcPr>
            <w:tcW w:w="941" w:type="dxa"/>
            <w:tcBorders>
              <w:bottom w:val="single" w:sz="4" w:space="0" w:color="000000"/>
            </w:tcBorders>
          </w:tcPr>
          <w:p>
            <w:pPr>
              <w:pStyle w:val="TableParagraph"/>
              <w:spacing w:before="31"/>
              <w:ind w:left="95" w:right="82"/>
              <w:jc w:val="center"/>
              <w:rPr>
                <w:sz w:val="20"/>
              </w:rPr>
            </w:pPr>
            <w:r>
              <w:rPr>
                <w:sz w:val="20"/>
              </w:rPr>
              <w:t>Cantidad</w:t>
            </w:r>
          </w:p>
        </w:tc>
        <w:tc>
          <w:tcPr>
            <w:tcW w:w="1016" w:type="dxa"/>
            <w:tcBorders>
              <w:bottom w:val="single" w:sz="4" w:space="0" w:color="000000"/>
            </w:tcBorders>
          </w:tcPr>
          <w:p>
            <w:pPr>
              <w:pStyle w:val="TableParagraph"/>
              <w:spacing w:before="31"/>
              <w:ind w:left="288"/>
              <w:jc w:val="left"/>
              <w:rPr>
                <w:sz w:val="20"/>
              </w:rPr>
            </w:pPr>
            <w:r>
              <w:rPr>
                <w:sz w:val="20"/>
              </w:rPr>
              <w:t>Fecha</w:t>
            </w:r>
          </w:p>
        </w:tc>
        <w:tc>
          <w:tcPr>
            <w:tcW w:w="906" w:type="dxa"/>
            <w:tcBorders>
              <w:bottom w:val="single" w:sz="4" w:space="0" w:color="000000"/>
            </w:tcBorders>
          </w:tcPr>
          <w:p>
            <w:pPr>
              <w:pStyle w:val="TableParagraph"/>
              <w:spacing w:before="31"/>
              <w:ind w:left="74" w:right="68"/>
              <w:jc w:val="center"/>
              <w:rPr>
                <w:sz w:val="20"/>
              </w:rPr>
            </w:pPr>
            <w:r>
              <w:rPr>
                <w:sz w:val="20"/>
              </w:rPr>
              <w:t>Cantidad</w:t>
            </w:r>
          </w:p>
        </w:tc>
      </w:tr>
      <w:tr>
        <w:trPr>
          <w:trHeight w:val="359" w:hRule="exact"/>
        </w:trPr>
        <w:tc>
          <w:tcPr>
            <w:tcW w:w="1182" w:type="dxa"/>
            <w:tcBorders>
              <w:top w:val="single" w:sz="4" w:space="0" w:color="000000"/>
            </w:tcBorders>
          </w:tcPr>
          <w:p>
            <w:pPr>
              <w:pStyle w:val="TableParagraph"/>
              <w:spacing w:before="77"/>
              <w:ind w:left="71"/>
              <w:jc w:val="left"/>
              <w:rPr>
                <w:sz w:val="20"/>
              </w:rPr>
            </w:pPr>
            <w:r>
              <w:rPr>
                <w:sz w:val="20"/>
              </w:rPr>
              <w:t>Plantación</w:t>
            </w:r>
          </w:p>
        </w:tc>
        <w:tc>
          <w:tcPr>
            <w:tcW w:w="1814" w:type="dxa"/>
            <w:tcBorders>
              <w:top w:val="single" w:sz="4" w:space="0" w:color="000000"/>
            </w:tcBorders>
          </w:tcPr>
          <w:p>
            <w:pPr/>
          </w:p>
        </w:tc>
        <w:tc>
          <w:tcPr>
            <w:tcW w:w="776" w:type="dxa"/>
            <w:tcBorders>
              <w:top w:val="single" w:sz="4" w:space="0" w:color="000000"/>
            </w:tcBorders>
          </w:tcPr>
          <w:p>
            <w:pPr/>
          </w:p>
        </w:tc>
        <w:tc>
          <w:tcPr>
            <w:tcW w:w="1047" w:type="dxa"/>
            <w:tcBorders>
              <w:top w:val="single" w:sz="4" w:space="0" w:color="000000"/>
            </w:tcBorders>
          </w:tcPr>
          <w:p>
            <w:pPr>
              <w:pStyle w:val="TableParagraph"/>
              <w:spacing w:before="77"/>
              <w:ind w:right="130"/>
              <w:rPr>
                <w:sz w:val="20"/>
              </w:rPr>
            </w:pPr>
            <w:r>
              <w:rPr>
                <w:sz w:val="20"/>
              </w:rPr>
              <w:t>15-Mayo</w:t>
            </w:r>
          </w:p>
        </w:tc>
        <w:tc>
          <w:tcPr>
            <w:tcW w:w="936" w:type="dxa"/>
            <w:tcBorders>
              <w:top w:val="single" w:sz="4" w:space="0" w:color="000000"/>
            </w:tcBorders>
          </w:tcPr>
          <w:p>
            <w:pPr/>
          </w:p>
        </w:tc>
        <w:tc>
          <w:tcPr>
            <w:tcW w:w="1016" w:type="dxa"/>
            <w:tcBorders>
              <w:top w:val="single" w:sz="4" w:space="0" w:color="000000"/>
            </w:tcBorders>
          </w:tcPr>
          <w:p>
            <w:pPr>
              <w:pStyle w:val="TableParagraph"/>
              <w:spacing w:before="77"/>
              <w:ind w:right="113"/>
              <w:rPr>
                <w:sz w:val="20"/>
              </w:rPr>
            </w:pPr>
            <w:r>
              <w:rPr>
                <w:sz w:val="20"/>
              </w:rPr>
              <w:t>15-Marzo</w:t>
            </w:r>
          </w:p>
        </w:tc>
        <w:tc>
          <w:tcPr>
            <w:tcW w:w="941" w:type="dxa"/>
            <w:tcBorders>
              <w:top w:val="single" w:sz="4" w:space="0" w:color="000000"/>
            </w:tcBorders>
          </w:tcPr>
          <w:p>
            <w:pPr/>
          </w:p>
        </w:tc>
        <w:tc>
          <w:tcPr>
            <w:tcW w:w="1016" w:type="dxa"/>
            <w:tcBorders>
              <w:top w:val="single" w:sz="4" w:space="0" w:color="000000"/>
            </w:tcBorders>
          </w:tcPr>
          <w:p>
            <w:pPr>
              <w:pStyle w:val="TableParagraph"/>
              <w:spacing w:before="77"/>
              <w:ind w:left="130"/>
              <w:jc w:val="left"/>
              <w:rPr>
                <w:sz w:val="20"/>
              </w:rPr>
            </w:pPr>
            <w:r>
              <w:rPr>
                <w:sz w:val="20"/>
              </w:rPr>
              <w:t>15-Marzo</w:t>
            </w:r>
          </w:p>
        </w:tc>
        <w:tc>
          <w:tcPr>
            <w:tcW w:w="906" w:type="dxa"/>
            <w:tcBorders>
              <w:top w:val="single" w:sz="4" w:space="0" w:color="000000"/>
            </w:tcBorders>
          </w:tcPr>
          <w:p>
            <w:pPr/>
          </w:p>
        </w:tc>
      </w:tr>
      <w:tr>
        <w:trPr>
          <w:trHeight w:val="300" w:hRule="exact"/>
        </w:trPr>
        <w:tc>
          <w:tcPr>
            <w:tcW w:w="1182" w:type="dxa"/>
          </w:tcPr>
          <w:p>
            <w:pPr>
              <w:pStyle w:val="TableParagraph"/>
              <w:spacing w:before="26"/>
              <w:ind w:left="71"/>
              <w:jc w:val="left"/>
              <w:rPr>
                <w:sz w:val="20"/>
              </w:rPr>
            </w:pPr>
            <w:r>
              <w:rPr>
                <w:sz w:val="20"/>
              </w:rPr>
              <w:t>Cosecha</w:t>
            </w:r>
          </w:p>
        </w:tc>
        <w:tc>
          <w:tcPr>
            <w:tcW w:w="1814" w:type="dxa"/>
          </w:tcPr>
          <w:p>
            <w:pPr/>
          </w:p>
        </w:tc>
        <w:tc>
          <w:tcPr>
            <w:tcW w:w="776" w:type="dxa"/>
          </w:tcPr>
          <w:p>
            <w:pPr/>
          </w:p>
        </w:tc>
        <w:tc>
          <w:tcPr>
            <w:tcW w:w="1047" w:type="dxa"/>
          </w:tcPr>
          <w:p>
            <w:pPr>
              <w:pStyle w:val="TableParagraph"/>
              <w:spacing w:before="26"/>
              <w:ind w:left="295"/>
              <w:jc w:val="left"/>
              <w:rPr>
                <w:sz w:val="20"/>
              </w:rPr>
            </w:pPr>
            <w:r>
              <w:rPr>
                <w:sz w:val="20"/>
              </w:rPr>
              <w:t>3-Nov</w:t>
            </w:r>
          </w:p>
        </w:tc>
        <w:tc>
          <w:tcPr>
            <w:tcW w:w="936" w:type="dxa"/>
          </w:tcPr>
          <w:p>
            <w:pPr/>
          </w:p>
        </w:tc>
        <w:tc>
          <w:tcPr>
            <w:tcW w:w="1016" w:type="dxa"/>
          </w:tcPr>
          <w:p>
            <w:pPr>
              <w:pStyle w:val="TableParagraph"/>
              <w:spacing w:before="26"/>
              <w:ind w:left="223"/>
              <w:jc w:val="left"/>
              <w:rPr>
                <w:sz w:val="20"/>
              </w:rPr>
            </w:pPr>
            <w:r>
              <w:rPr>
                <w:sz w:val="20"/>
              </w:rPr>
              <w:t>10-Oct</w:t>
            </w:r>
          </w:p>
        </w:tc>
        <w:tc>
          <w:tcPr>
            <w:tcW w:w="941" w:type="dxa"/>
          </w:tcPr>
          <w:p>
            <w:pPr/>
          </w:p>
        </w:tc>
        <w:tc>
          <w:tcPr>
            <w:tcW w:w="1016" w:type="dxa"/>
          </w:tcPr>
          <w:p>
            <w:pPr>
              <w:pStyle w:val="TableParagraph"/>
              <w:spacing w:before="26"/>
              <w:ind w:left="245"/>
              <w:jc w:val="left"/>
              <w:rPr>
                <w:sz w:val="20"/>
              </w:rPr>
            </w:pPr>
            <w:r>
              <w:rPr>
                <w:sz w:val="20"/>
              </w:rPr>
              <w:t>16-Oct</w:t>
            </w:r>
          </w:p>
        </w:tc>
        <w:tc>
          <w:tcPr>
            <w:tcW w:w="906" w:type="dxa"/>
          </w:tcPr>
          <w:p>
            <w:pPr/>
          </w:p>
        </w:tc>
      </w:tr>
      <w:tr>
        <w:trPr>
          <w:trHeight w:val="264" w:hRule="exact"/>
        </w:trPr>
        <w:tc>
          <w:tcPr>
            <w:tcW w:w="1182" w:type="dxa"/>
          </w:tcPr>
          <w:p>
            <w:pPr>
              <w:pStyle w:val="TableParagraph"/>
              <w:ind w:left="71"/>
              <w:jc w:val="left"/>
              <w:rPr>
                <w:sz w:val="20"/>
              </w:rPr>
            </w:pPr>
            <w:r>
              <w:rPr>
                <w:sz w:val="20"/>
              </w:rPr>
              <w:t>Fertilización</w:t>
            </w:r>
          </w:p>
        </w:tc>
        <w:tc>
          <w:tcPr>
            <w:tcW w:w="1814" w:type="dxa"/>
          </w:tcPr>
          <w:p>
            <w:pPr/>
          </w:p>
        </w:tc>
        <w:tc>
          <w:tcPr>
            <w:tcW w:w="776" w:type="dxa"/>
          </w:tcPr>
          <w:p>
            <w:pPr/>
          </w:p>
        </w:tc>
        <w:tc>
          <w:tcPr>
            <w:tcW w:w="1047" w:type="dxa"/>
          </w:tcPr>
          <w:p>
            <w:pPr/>
          </w:p>
        </w:tc>
        <w:tc>
          <w:tcPr>
            <w:tcW w:w="936" w:type="dxa"/>
          </w:tcPr>
          <w:p>
            <w:pPr/>
          </w:p>
        </w:tc>
        <w:tc>
          <w:tcPr>
            <w:tcW w:w="1016" w:type="dxa"/>
          </w:tcPr>
          <w:p>
            <w:pPr/>
          </w:p>
        </w:tc>
        <w:tc>
          <w:tcPr>
            <w:tcW w:w="941" w:type="dxa"/>
          </w:tcPr>
          <w:p>
            <w:pPr/>
          </w:p>
        </w:tc>
        <w:tc>
          <w:tcPr>
            <w:tcW w:w="1016" w:type="dxa"/>
          </w:tcPr>
          <w:p>
            <w:pPr/>
          </w:p>
        </w:tc>
        <w:tc>
          <w:tcPr>
            <w:tcW w:w="906" w:type="dxa"/>
          </w:tcPr>
          <w:p>
            <w:pPr/>
          </w:p>
        </w:tc>
      </w:tr>
      <w:tr>
        <w:trPr>
          <w:trHeight w:val="230" w:hRule="exact"/>
        </w:trPr>
        <w:tc>
          <w:tcPr>
            <w:tcW w:w="1182" w:type="dxa"/>
          </w:tcPr>
          <w:p>
            <w:pPr>
              <w:pStyle w:val="TableParagraph"/>
              <w:spacing w:line="220" w:lineRule="exact" w:before="0"/>
              <w:ind w:left="71"/>
              <w:jc w:val="left"/>
              <w:rPr>
                <w:sz w:val="20"/>
              </w:rPr>
            </w:pPr>
            <w:r>
              <w:rPr>
                <w:sz w:val="20"/>
              </w:rPr>
              <w:t>Dosis y fecha</w:t>
            </w:r>
          </w:p>
        </w:tc>
        <w:tc>
          <w:tcPr>
            <w:tcW w:w="1814" w:type="dxa"/>
          </w:tcPr>
          <w:p>
            <w:pPr/>
          </w:p>
        </w:tc>
        <w:tc>
          <w:tcPr>
            <w:tcW w:w="776" w:type="dxa"/>
          </w:tcPr>
          <w:p>
            <w:pPr/>
          </w:p>
        </w:tc>
        <w:tc>
          <w:tcPr>
            <w:tcW w:w="1047" w:type="dxa"/>
          </w:tcPr>
          <w:p>
            <w:pPr/>
          </w:p>
        </w:tc>
        <w:tc>
          <w:tcPr>
            <w:tcW w:w="936" w:type="dxa"/>
          </w:tcPr>
          <w:p>
            <w:pPr/>
          </w:p>
        </w:tc>
        <w:tc>
          <w:tcPr>
            <w:tcW w:w="1016" w:type="dxa"/>
          </w:tcPr>
          <w:p>
            <w:pPr/>
          </w:p>
        </w:tc>
        <w:tc>
          <w:tcPr>
            <w:tcW w:w="941" w:type="dxa"/>
          </w:tcPr>
          <w:p>
            <w:pPr/>
          </w:p>
        </w:tc>
        <w:tc>
          <w:tcPr>
            <w:tcW w:w="1016" w:type="dxa"/>
          </w:tcPr>
          <w:p>
            <w:pPr/>
          </w:p>
        </w:tc>
        <w:tc>
          <w:tcPr>
            <w:tcW w:w="906" w:type="dxa"/>
          </w:tcPr>
          <w:p>
            <w:pPr/>
          </w:p>
        </w:tc>
      </w:tr>
      <w:tr>
        <w:trPr>
          <w:trHeight w:val="264" w:hRule="exact"/>
        </w:trPr>
        <w:tc>
          <w:tcPr>
            <w:tcW w:w="1182" w:type="dxa"/>
          </w:tcPr>
          <w:p>
            <w:pPr>
              <w:pStyle w:val="TableParagraph"/>
              <w:spacing w:line="220" w:lineRule="exact" w:before="0"/>
              <w:ind w:left="71"/>
              <w:jc w:val="left"/>
              <w:rPr>
                <w:sz w:val="20"/>
              </w:rPr>
            </w:pPr>
            <w:r>
              <w:rPr>
                <w:sz w:val="20"/>
              </w:rPr>
              <w:t>aplic.</w:t>
            </w:r>
          </w:p>
        </w:tc>
        <w:tc>
          <w:tcPr>
            <w:tcW w:w="1814" w:type="dxa"/>
          </w:tcPr>
          <w:p>
            <w:pPr>
              <w:pStyle w:val="TableParagraph"/>
              <w:spacing w:line="220" w:lineRule="exact" w:before="0"/>
              <w:ind w:left="882" w:right="406"/>
              <w:jc w:val="left"/>
              <w:rPr>
                <w:sz w:val="20"/>
              </w:rPr>
            </w:pPr>
            <w:r>
              <w:rPr>
                <w:sz w:val="20"/>
              </w:rPr>
              <w:t>Tipo</w:t>
            </w:r>
          </w:p>
        </w:tc>
        <w:tc>
          <w:tcPr>
            <w:tcW w:w="776" w:type="dxa"/>
          </w:tcPr>
          <w:p>
            <w:pPr/>
          </w:p>
        </w:tc>
        <w:tc>
          <w:tcPr>
            <w:tcW w:w="1047" w:type="dxa"/>
          </w:tcPr>
          <w:p>
            <w:pPr/>
          </w:p>
        </w:tc>
        <w:tc>
          <w:tcPr>
            <w:tcW w:w="936" w:type="dxa"/>
          </w:tcPr>
          <w:p>
            <w:pPr/>
          </w:p>
        </w:tc>
        <w:tc>
          <w:tcPr>
            <w:tcW w:w="1016" w:type="dxa"/>
          </w:tcPr>
          <w:p>
            <w:pPr/>
          </w:p>
        </w:tc>
        <w:tc>
          <w:tcPr>
            <w:tcW w:w="941" w:type="dxa"/>
          </w:tcPr>
          <w:p>
            <w:pPr/>
          </w:p>
        </w:tc>
        <w:tc>
          <w:tcPr>
            <w:tcW w:w="1016" w:type="dxa"/>
          </w:tcPr>
          <w:p>
            <w:pPr/>
          </w:p>
        </w:tc>
        <w:tc>
          <w:tcPr>
            <w:tcW w:w="906" w:type="dxa"/>
          </w:tcPr>
          <w:p>
            <w:pPr/>
          </w:p>
        </w:tc>
      </w:tr>
      <w:tr>
        <w:trPr>
          <w:trHeight w:val="319" w:hRule="exact"/>
        </w:trPr>
        <w:tc>
          <w:tcPr>
            <w:tcW w:w="1182" w:type="dxa"/>
          </w:tcPr>
          <w:p>
            <w:pPr/>
          </w:p>
        </w:tc>
        <w:tc>
          <w:tcPr>
            <w:tcW w:w="1814" w:type="dxa"/>
          </w:tcPr>
          <w:p>
            <w:pPr>
              <w:pStyle w:val="TableParagraph"/>
              <w:ind w:left="387" w:right="406"/>
              <w:jc w:val="left"/>
              <w:rPr>
                <w:sz w:val="20"/>
              </w:rPr>
            </w:pPr>
            <w:r>
              <w:rPr>
                <w:sz w:val="20"/>
              </w:rPr>
              <w:t>Nitrógeno</w:t>
            </w:r>
          </w:p>
        </w:tc>
        <w:tc>
          <w:tcPr>
            <w:tcW w:w="776" w:type="dxa"/>
          </w:tcPr>
          <w:p>
            <w:pPr>
              <w:pStyle w:val="TableParagraph"/>
              <w:spacing w:before="62"/>
              <w:ind w:left="144"/>
              <w:jc w:val="left"/>
              <w:rPr>
                <w:sz w:val="20"/>
              </w:rPr>
            </w:pPr>
            <w:r>
              <w:rPr>
                <w:sz w:val="20"/>
              </w:rPr>
              <w:t>k.ha-1</w:t>
            </w:r>
          </w:p>
        </w:tc>
        <w:tc>
          <w:tcPr>
            <w:tcW w:w="1047" w:type="dxa"/>
          </w:tcPr>
          <w:p>
            <w:pPr/>
          </w:p>
        </w:tc>
        <w:tc>
          <w:tcPr>
            <w:tcW w:w="936" w:type="dxa"/>
          </w:tcPr>
          <w:p>
            <w:pPr>
              <w:pStyle w:val="TableParagraph"/>
              <w:ind w:left="109" w:right="61"/>
              <w:jc w:val="center"/>
              <w:rPr>
                <w:sz w:val="20"/>
              </w:rPr>
            </w:pPr>
            <w:r>
              <w:rPr>
                <w:sz w:val="20"/>
              </w:rPr>
              <w:t>30</w:t>
            </w:r>
          </w:p>
        </w:tc>
        <w:tc>
          <w:tcPr>
            <w:tcW w:w="1016" w:type="dxa"/>
          </w:tcPr>
          <w:p>
            <w:pPr/>
          </w:p>
        </w:tc>
        <w:tc>
          <w:tcPr>
            <w:tcW w:w="941" w:type="dxa"/>
          </w:tcPr>
          <w:p>
            <w:pPr>
              <w:pStyle w:val="TableParagraph"/>
              <w:ind w:left="92" w:right="82"/>
              <w:jc w:val="center"/>
              <w:rPr>
                <w:sz w:val="20"/>
              </w:rPr>
            </w:pPr>
            <w:r>
              <w:rPr>
                <w:sz w:val="20"/>
              </w:rPr>
              <w:t>40</w:t>
            </w:r>
          </w:p>
        </w:tc>
        <w:tc>
          <w:tcPr>
            <w:tcW w:w="1016" w:type="dxa"/>
          </w:tcPr>
          <w:p>
            <w:pPr/>
          </w:p>
        </w:tc>
        <w:tc>
          <w:tcPr>
            <w:tcW w:w="906" w:type="dxa"/>
          </w:tcPr>
          <w:p>
            <w:pPr>
              <w:pStyle w:val="TableParagraph"/>
              <w:ind w:left="70" w:right="68"/>
              <w:jc w:val="center"/>
              <w:rPr>
                <w:sz w:val="20"/>
              </w:rPr>
            </w:pPr>
            <w:r>
              <w:rPr>
                <w:sz w:val="20"/>
              </w:rPr>
              <w:t>50</w:t>
            </w:r>
          </w:p>
        </w:tc>
      </w:tr>
      <w:tr>
        <w:trPr>
          <w:trHeight w:val="281" w:hRule="exact"/>
        </w:trPr>
        <w:tc>
          <w:tcPr>
            <w:tcW w:w="1182" w:type="dxa"/>
          </w:tcPr>
          <w:p>
            <w:pPr>
              <w:pStyle w:val="TableParagraph"/>
              <w:spacing w:before="6"/>
              <w:ind w:left="701"/>
              <w:jc w:val="left"/>
              <w:rPr>
                <w:sz w:val="20"/>
              </w:rPr>
            </w:pPr>
            <w:r>
              <w:rPr>
                <w:w w:val="100"/>
                <w:sz w:val="20"/>
              </w:rPr>
              <w:t>1</w:t>
            </w:r>
          </w:p>
        </w:tc>
        <w:tc>
          <w:tcPr>
            <w:tcW w:w="1814" w:type="dxa"/>
          </w:tcPr>
          <w:p>
            <w:pPr>
              <w:pStyle w:val="TableParagraph"/>
              <w:spacing w:before="6"/>
              <w:ind w:left="387" w:right="406"/>
              <w:jc w:val="left"/>
              <w:rPr>
                <w:sz w:val="20"/>
              </w:rPr>
            </w:pPr>
            <w:r>
              <w:rPr>
                <w:sz w:val="20"/>
              </w:rPr>
              <w:t>Fósforo</w:t>
            </w:r>
          </w:p>
        </w:tc>
        <w:tc>
          <w:tcPr>
            <w:tcW w:w="776" w:type="dxa"/>
          </w:tcPr>
          <w:p>
            <w:pPr/>
          </w:p>
        </w:tc>
        <w:tc>
          <w:tcPr>
            <w:tcW w:w="1047" w:type="dxa"/>
          </w:tcPr>
          <w:p>
            <w:pPr>
              <w:pStyle w:val="TableParagraph"/>
              <w:spacing w:before="6"/>
              <w:ind w:right="130"/>
              <w:rPr>
                <w:sz w:val="20"/>
              </w:rPr>
            </w:pPr>
            <w:r>
              <w:rPr>
                <w:sz w:val="20"/>
              </w:rPr>
              <w:t>15-Mayo</w:t>
            </w:r>
          </w:p>
        </w:tc>
        <w:tc>
          <w:tcPr>
            <w:tcW w:w="936" w:type="dxa"/>
          </w:tcPr>
          <w:p>
            <w:pPr>
              <w:pStyle w:val="TableParagraph"/>
              <w:spacing w:before="6"/>
              <w:ind w:left="109" w:right="61"/>
              <w:jc w:val="center"/>
              <w:rPr>
                <w:sz w:val="20"/>
              </w:rPr>
            </w:pPr>
            <w:r>
              <w:rPr>
                <w:sz w:val="20"/>
              </w:rPr>
              <w:t>40</w:t>
            </w:r>
          </w:p>
        </w:tc>
        <w:tc>
          <w:tcPr>
            <w:tcW w:w="1016" w:type="dxa"/>
          </w:tcPr>
          <w:p>
            <w:pPr>
              <w:pStyle w:val="TableParagraph"/>
              <w:spacing w:before="6"/>
              <w:ind w:right="113"/>
              <w:rPr>
                <w:sz w:val="20"/>
              </w:rPr>
            </w:pPr>
            <w:r>
              <w:rPr>
                <w:sz w:val="20"/>
              </w:rPr>
              <w:t>15-Marzo</w:t>
            </w:r>
          </w:p>
        </w:tc>
        <w:tc>
          <w:tcPr>
            <w:tcW w:w="941" w:type="dxa"/>
          </w:tcPr>
          <w:p>
            <w:pPr>
              <w:pStyle w:val="TableParagraph"/>
              <w:spacing w:before="6"/>
              <w:ind w:left="92" w:right="82"/>
              <w:jc w:val="center"/>
              <w:rPr>
                <w:sz w:val="20"/>
              </w:rPr>
            </w:pPr>
            <w:r>
              <w:rPr>
                <w:sz w:val="20"/>
              </w:rPr>
              <w:t>60</w:t>
            </w:r>
          </w:p>
        </w:tc>
        <w:tc>
          <w:tcPr>
            <w:tcW w:w="1016" w:type="dxa"/>
          </w:tcPr>
          <w:p>
            <w:pPr>
              <w:pStyle w:val="TableParagraph"/>
              <w:spacing w:before="6"/>
              <w:ind w:left="130"/>
              <w:jc w:val="left"/>
              <w:rPr>
                <w:sz w:val="20"/>
              </w:rPr>
            </w:pPr>
            <w:r>
              <w:rPr>
                <w:sz w:val="20"/>
              </w:rPr>
              <w:t>15-Marzo</w:t>
            </w:r>
          </w:p>
        </w:tc>
        <w:tc>
          <w:tcPr>
            <w:tcW w:w="906" w:type="dxa"/>
          </w:tcPr>
          <w:p>
            <w:pPr>
              <w:pStyle w:val="TableParagraph"/>
              <w:spacing w:before="6"/>
              <w:ind w:left="70" w:right="68"/>
              <w:jc w:val="center"/>
              <w:rPr>
                <w:sz w:val="20"/>
              </w:rPr>
            </w:pPr>
            <w:r>
              <w:rPr>
                <w:sz w:val="20"/>
              </w:rPr>
              <w:t>60</w:t>
            </w:r>
          </w:p>
        </w:tc>
      </w:tr>
      <w:tr>
        <w:trPr>
          <w:trHeight w:val="300" w:hRule="exact"/>
        </w:trPr>
        <w:tc>
          <w:tcPr>
            <w:tcW w:w="1182" w:type="dxa"/>
          </w:tcPr>
          <w:p>
            <w:pPr/>
          </w:p>
        </w:tc>
        <w:tc>
          <w:tcPr>
            <w:tcW w:w="1814" w:type="dxa"/>
          </w:tcPr>
          <w:p>
            <w:pPr>
              <w:pStyle w:val="TableParagraph"/>
              <w:ind w:left="387" w:right="406"/>
              <w:jc w:val="left"/>
              <w:rPr>
                <w:sz w:val="20"/>
              </w:rPr>
            </w:pPr>
            <w:r>
              <w:rPr>
                <w:sz w:val="20"/>
              </w:rPr>
              <w:t>Nitrógeno</w:t>
            </w:r>
          </w:p>
        </w:tc>
        <w:tc>
          <w:tcPr>
            <w:tcW w:w="776" w:type="dxa"/>
          </w:tcPr>
          <w:p>
            <w:pPr/>
          </w:p>
        </w:tc>
        <w:tc>
          <w:tcPr>
            <w:tcW w:w="1047" w:type="dxa"/>
          </w:tcPr>
          <w:p>
            <w:pPr/>
          </w:p>
        </w:tc>
        <w:tc>
          <w:tcPr>
            <w:tcW w:w="936" w:type="dxa"/>
          </w:tcPr>
          <w:p>
            <w:pPr>
              <w:pStyle w:val="TableParagraph"/>
              <w:ind w:left="109" w:right="61"/>
              <w:jc w:val="center"/>
              <w:rPr>
                <w:sz w:val="20"/>
              </w:rPr>
            </w:pPr>
            <w:r>
              <w:rPr>
                <w:sz w:val="20"/>
              </w:rPr>
              <w:t>50</w:t>
            </w:r>
          </w:p>
        </w:tc>
        <w:tc>
          <w:tcPr>
            <w:tcW w:w="1016" w:type="dxa"/>
          </w:tcPr>
          <w:p>
            <w:pPr/>
          </w:p>
        </w:tc>
        <w:tc>
          <w:tcPr>
            <w:tcW w:w="941" w:type="dxa"/>
          </w:tcPr>
          <w:p>
            <w:pPr>
              <w:pStyle w:val="TableParagraph"/>
              <w:ind w:left="92" w:right="82"/>
              <w:jc w:val="center"/>
              <w:rPr>
                <w:sz w:val="20"/>
              </w:rPr>
            </w:pPr>
            <w:r>
              <w:rPr>
                <w:sz w:val="20"/>
              </w:rPr>
              <w:t>80</w:t>
            </w:r>
          </w:p>
        </w:tc>
        <w:tc>
          <w:tcPr>
            <w:tcW w:w="1016" w:type="dxa"/>
          </w:tcPr>
          <w:p>
            <w:pPr/>
          </w:p>
        </w:tc>
        <w:tc>
          <w:tcPr>
            <w:tcW w:w="906" w:type="dxa"/>
          </w:tcPr>
          <w:p>
            <w:pPr>
              <w:pStyle w:val="TableParagraph"/>
              <w:ind w:left="70" w:right="68"/>
              <w:jc w:val="center"/>
              <w:rPr>
                <w:sz w:val="20"/>
              </w:rPr>
            </w:pPr>
            <w:r>
              <w:rPr>
                <w:sz w:val="20"/>
              </w:rPr>
              <w:t>90</w:t>
            </w:r>
          </w:p>
        </w:tc>
      </w:tr>
      <w:tr>
        <w:trPr>
          <w:trHeight w:val="267" w:hRule="exact"/>
        </w:trPr>
        <w:tc>
          <w:tcPr>
            <w:tcW w:w="1182" w:type="dxa"/>
          </w:tcPr>
          <w:p>
            <w:pPr>
              <w:pStyle w:val="TableParagraph"/>
              <w:spacing w:before="26"/>
              <w:ind w:left="701"/>
              <w:jc w:val="left"/>
              <w:rPr>
                <w:sz w:val="20"/>
              </w:rPr>
            </w:pPr>
            <w:r>
              <w:rPr>
                <w:w w:val="100"/>
                <w:sz w:val="20"/>
              </w:rPr>
              <w:t>2</w:t>
            </w:r>
          </w:p>
        </w:tc>
        <w:tc>
          <w:tcPr>
            <w:tcW w:w="1814" w:type="dxa"/>
          </w:tcPr>
          <w:p>
            <w:pPr>
              <w:pStyle w:val="TableParagraph"/>
              <w:spacing w:before="26"/>
              <w:ind w:left="387" w:right="406"/>
              <w:jc w:val="left"/>
              <w:rPr>
                <w:sz w:val="20"/>
              </w:rPr>
            </w:pPr>
            <w:r>
              <w:rPr>
                <w:sz w:val="20"/>
              </w:rPr>
              <w:t>Fósforo</w:t>
            </w:r>
          </w:p>
        </w:tc>
        <w:tc>
          <w:tcPr>
            <w:tcW w:w="776" w:type="dxa"/>
          </w:tcPr>
          <w:p>
            <w:pPr/>
          </w:p>
        </w:tc>
        <w:tc>
          <w:tcPr>
            <w:tcW w:w="1047" w:type="dxa"/>
          </w:tcPr>
          <w:p>
            <w:pPr>
              <w:pStyle w:val="TableParagraph"/>
              <w:spacing w:before="26"/>
              <w:ind w:left="271"/>
              <w:jc w:val="left"/>
              <w:rPr>
                <w:sz w:val="20"/>
              </w:rPr>
            </w:pPr>
            <w:r>
              <w:rPr>
                <w:sz w:val="20"/>
              </w:rPr>
              <w:t>4-Julio</w:t>
            </w:r>
          </w:p>
        </w:tc>
        <w:tc>
          <w:tcPr>
            <w:tcW w:w="936" w:type="dxa"/>
          </w:tcPr>
          <w:p>
            <w:pPr>
              <w:pStyle w:val="TableParagraph"/>
              <w:spacing w:before="26"/>
              <w:ind w:left="43"/>
              <w:jc w:val="center"/>
              <w:rPr>
                <w:sz w:val="20"/>
              </w:rPr>
            </w:pPr>
            <w:r>
              <w:rPr>
                <w:w w:val="100"/>
                <w:sz w:val="20"/>
              </w:rPr>
              <w:t>0</w:t>
            </w:r>
          </w:p>
        </w:tc>
        <w:tc>
          <w:tcPr>
            <w:tcW w:w="1016" w:type="dxa"/>
          </w:tcPr>
          <w:p>
            <w:pPr>
              <w:pStyle w:val="TableParagraph"/>
              <w:spacing w:before="26"/>
              <w:ind w:right="195"/>
              <w:rPr>
                <w:sz w:val="20"/>
              </w:rPr>
            </w:pPr>
            <w:r>
              <w:rPr>
                <w:sz w:val="20"/>
              </w:rPr>
              <w:t>4-Mayo</w:t>
            </w:r>
          </w:p>
        </w:tc>
        <w:tc>
          <w:tcPr>
            <w:tcW w:w="941" w:type="dxa"/>
          </w:tcPr>
          <w:p>
            <w:pPr>
              <w:pStyle w:val="TableParagraph"/>
              <w:spacing w:before="26"/>
              <w:ind w:left="15"/>
              <w:jc w:val="center"/>
              <w:rPr>
                <w:sz w:val="20"/>
              </w:rPr>
            </w:pPr>
            <w:r>
              <w:rPr>
                <w:w w:val="100"/>
                <w:sz w:val="20"/>
              </w:rPr>
              <w:t>0</w:t>
            </w:r>
          </w:p>
        </w:tc>
        <w:tc>
          <w:tcPr>
            <w:tcW w:w="1016" w:type="dxa"/>
          </w:tcPr>
          <w:p>
            <w:pPr>
              <w:pStyle w:val="TableParagraph"/>
              <w:spacing w:before="26"/>
              <w:ind w:left="206"/>
              <w:jc w:val="left"/>
              <w:rPr>
                <w:sz w:val="20"/>
              </w:rPr>
            </w:pPr>
            <w:r>
              <w:rPr>
                <w:sz w:val="20"/>
              </w:rPr>
              <w:t>4-Mayo</w:t>
            </w:r>
          </w:p>
        </w:tc>
        <w:tc>
          <w:tcPr>
            <w:tcW w:w="906" w:type="dxa"/>
          </w:tcPr>
          <w:p>
            <w:pPr>
              <w:pStyle w:val="TableParagraph"/>
              <w:spacing w:before="26"/>
              <w:jc w:val="center"/>
              <w:rPr>
                <w:sz w:val="20"/>
              </w:rPr>
            </w:pPr>
            <w:r>
              <w:rPr>
                <w:w w:val="100"/>
                <w:sz w:val="20"/>
              </w:rPr>
              <w:t>0</w:t>
            </w:r>
          </w:p>
        </w:tc>
      </w:tr>
      <w:tr>
        <w:trPr>
          <w:trHeight w:val="230" w:hRule="exact"/>
        </w:trPr>
        <w:tc>
          <w:tcPr>
            <w:tcW w:w="1182" w:type="dxa"/>
          </w:tcPr>
          <w:p>
            <w:pPr>
              <w:pStyle w:val="TableParagraph"/>
              <w:spacing w:line="220" w:lineRule="exact" w:before="0"/>
              <w:ind w:left="71"/>
              <w:jc w:val="left"/>
              <w:rPr>
                <w:sz w:val="20"/>
              </w:rPr>
            </w:pPr>
            <w:r>
              <w:rPr>
                <w:sz w:val="20"/>
              </w:rPr>
              <w:t>Pesticidas</w:t>
            </w:r>
          </w:p>
        </w:tc>
        <w:tc>
          <w:tcPr>
            <w:tcW w:w="1814" w:type="dxa"/>
          </w:tcPr>
          <w:p>
            <w:pPr/>
          </w:p>
        </w:tc>
        <w:tc>
          <w:tcPr>
            <w:tcW w:w="776" w:type="dxa"/>
          </w:tcPr>
          <w:p>
            <w:pPr/>
          </w:p>
        </w:tc>
        <w:tc>
          <w:tcPr>
            <w:tcW w:w="1047" w:type="dxa"/>
          </w:tcPr>
          <w:p>
            <w:pPr/>
          </w:p>
        </w:tc>
        <w:tc>
          <w:tcPr>
            <w:tcW w:w="936" w:type="dxa"/>
          </w:tcPr>
          <w:p>
            <w:pPr/>
          </w:p>
        </w:tc>
        <w:tc>
          <w:tcPr>
            <w:tcW w:w="1016" w:type="dxa"/>
          </w:tcPr>
          <w:p>
            <w:pPr/>
          </w:p>
        </w:tc>
        <w:tc>
          <w:tcPr>
            <w:tcW w:w="941" w:type="dxa"/>
          </w:tcPr>
          <w:p>
            <w:pPr/>
          </w:p>
        </w:tc>
        <w:tc>
          <w:tcPr>
            <w:tcW w:w="1016" w:type="dxa"/>
          </w:tcPr>
          <w:p>
            <w:pPr/>
          </w:p>
        </w:tc>
        <w:tc>
          <w:tcPr>
            <w:tcW w:w="906" w:type="dxa"/>
          </w:tcPr>
          <w:p>
            <w:pPr/>
          </w:p>
        </w:tc>
      </w:tr>
      <w:tr>
        <w:trPr>
          <w:trHeight w:val="528" w:hRule="exact"/>
        </w:trPr>
        <w:tc>
          <w:tcPr>
            <w:tcW w:w="1182" w:type="dxa"/>
          </w:tcPr>
          <w:p>
            <w:pPr>
              <w:pStyle w:val="TableParagraph"/>
              <w:spacing w:line="235" w:lineRule="auto" w:before="0"/>
              <w:ind w:left="71" w:right="2"/>
              <w:jc w:val="left"/>
              <w:rPr>
                <w:sz w:val="20"/>
              </w:rPr>
            </w:pPr>
            <w:r>
              <w:rPr>
                <w:sz w:val="20"/>
              </w:rPr>
              <w:t>Dosis y fecha aplic.</w:t>
            </w:r>
          </w:p>
        </w:tc>
        <w:tc>
          <w:tcPr>
            <w:tcW w:w="1814" w:type="dxa"/>
          </w:tcPr>
          <w:p>
            <w:pPr>
              <w:pStyle w:val="TableParagraph"/>
              <w:spacing w:before="8"/>
              <w:jc w:val="left"/>
              <w:rPr>
                <w:sz w:val="18"/>
              </w:rPr>
            </w:pPr>
          </w:p>
          <w:p>
            <w:pPr>
              <w:pStyle w:val="TableParagraph"/>
              <w:spacing w:before="0"/>
              <w:ind w:left="882" w:right="406"/>
              <w:jc w:val="left"/>
              <w:rPr>
                <w:sz w:val="20"/>
              </w:rPr>
            </w:pPr>
            <w:r>
              <w:rPr>
                <w:sz w:val="20"/>
              </w:rPr>
              <w:t>Tipo</w:t>
            </w:r>
          </w:p>
        </w:tc>
        <w:tc>
          <w:tcPr>
            <w:tcW w:w="776" w:type="dxa"/>
          </w:tcPr>
          <w:p>
            <w:pPr/>
          </w:p>
        </w:tc>
        <w:tc>
          <w:tcPr>
            <w:tcW w:w="1047" w:type="dxa"/>
          </w:tcPr>
          <w:p>
            <w:pPr/>
          </w:p>
        </w:tc>
        <w:tc>
          <w:tcPr>
            <w:tcW w:w="936" w:type="dxa"/>
          </w:tcPr>
          <w:p>
            <w:pPr/>
          </w:p>
        </w:tc>
        <w:tc>
          <w:tcPr>
            <w:tcW w:w="1016" w:type="dxa"/>
          </w:tcPr>
          <w:p>
            <w:pPr/>
          </w:p>
        </w:tc>
        <w:tc>
          <w:tcPr>
            <w:tcW w:w="941" w:type="dxa"/>
          </w:tcPr>
          <w:p>
            <w:pPr/>
          </w:p>
        </w:tc>
        <w:tc>
          <w:tcPr>
            <w:tcW w:w="1016" w:type="dxa"/>
          </w:tcPr>
          <w:p>
            <w:pPr/>
          </w:p>
        </w:tc>
        <w:tc>
          <w:tcPr>
            <w:tcW w:w="906" w:type="dxa"/>
          </w:tcPr>
          <w:p>
            <w:pPr/>
          </w:p>
        </w:tc>
      </w:tr>
      <w:tr>
        <w:trPr>
          <w:trHeight w:val="564" w:hRule="exact"/>
        </w:trPr>
        <w:tc>
          <w:tcPr>
            <w:tcW w:w="1182" w:type="dxa"/>
          </w:tcPr>
          <w:p>
            <w:pPr>
              <w:pStyle w:val="TableParagraph"/>
              <w:spacing w:line="220" w:lineRule="exact" w:before="0"/>
              <w:ind w:left="701"/>
              <w:jc w:val="left"/>
              <w:rPr>
                <w:sz w:val="20"/>
              </w:rPr>
            </w:pPr>
            <w:r>
              <w:rPr>
                <w:w w:val="100"/>
                <w:sz w:val="20"/>
              </w:rPr>
              <w:t>1</w:t>
            </w:r>
          </w:p>
          <w:p>
            <w:pPr>
              <w:pStyle w:val="TableParagraph"/>
              <w:spacing w:before="67"/>
              <w:ind w:left="701"/>
              <w:jc w:val="left"/>
              <w:rPr>
                <w:sz w:val="20"/>
              </w:rPr>
            </w:pPr>
            <w:r>
              <w:rPr>
                <w:w w:val="100"/>
                <w:sz w:val="20"/>
              </w:rPr>
              <w:t>2</w:t>
            </w:r>
          </w:p>
        </w:tc>
        <w:tc>
          <w:tcPr>
            <w:tcW w:w="1814" w:type="dxa"/>
          </w:tcPr>
          <w:p>
            <w:pPr>
              <w:pStyle w:val="TableParagraph"/>
              <w:spacing w:line="309" w:lineRule="auto" w:before="0"/>
              <w:ind w:left="387" w:right="406"/>
              <w:jc w:val="left"/>
              <w:rPr>
                <w:sz w:val="20"/>
              </w:rPr>
            </w:pPr>
            <w:r>
              <w:rPr>
                <w:sz w:val="20"/>
              </w:rPr>
              <w:t>2,4-D amina Aatrex</w:t>
            </w:r>
          </w:p>
        </w:tc>
        <w:tc>
          <w:tcPr>
            <w:tcW w:w="776" w:type="dxa"/>
          </w:tcPr>
          <w:p>
            <w:pPr>
              <w:pStyle w:val="TableParagraph"/>
              <w:spacing w:before="62"/>
              <w:ind w:left="144"/>
              <w:jc w:val="left"/>
              <w:rPr>
                <w:sz w:val="20"/>
              </w:rPr>
            </w:pPr>
            <w:r>
              <w:rPr>
                <w:sz w:val="20"/>
              </w:rPr>
              <w:t>k.ha-1</w:t>
            </w:r>
          </w:p>
        </w:tc>
        <w:tc>
          <w:tcPr>
            <w:tcW w:w="1047" w:type="dxa"/>
          </w:tcPr>
          <w:p>
            <w:pPr>
              <w:pStyle w:val="TableParagraph"/>
              <w:spacing w:line="309" w:lineRule="auto" w:before="0"/>
              <w:ind w:left="79" w:right="360"/>
              <w:jc w:val="left"/>
              <w:rPr>
                <w:sz w:val="20"/>
              </w:rPr>
            </w:pPr>
            <w:r>
              <w:rPr>
                <w:sz w:val="20"/>
              </w:rPr>
              <w:t>4-Junio 4-Junio</w:t>
            </w:r>
          </w:p>
        </w:tc>
        <w:tc>
          <w:tcPr>
            <w:tcW w:w="936" w:type="dxa"/>
          </w:tcPr>
          <w:p>
            <w:pPr>
              <w:pStyle w:val="TableParagraph"/>
              <w:spacing w:line="220" w:lineRule="exact" w:before="0"/>
              <w:ind w:left="43"/>
              <w:jc w:val="center"/>
              <w:rPr>
                <w:sz w:val="20"/>
              </w:rPr>
            </w:pPr>
            <w:r>
              <w:rPr>
                <w:w w:val="100"/>
                <w:sz w:val="20"/>
              </w:rPr>
              <w:t>1</w:t>
            </w:r>
          </w:p>
          <w:p>
            <w:pPr>
              <w:pStyle w:val="TableParagraph"/>
              <w:spacing w:before="67"/>
              <w:ind w:left="113" w:right="61"/>
              <w:jc w:val="center"/>
              <w:rPr>
                <w:sz w:val="20"/>
              </w:rPr>
            </w:pPr>
            <w:r>
              <w:rPr>
                <w:sz w:val="20"/>
              </w:rPr>
              <w:t>0.5</w:t>
            </w:r>
          </w:p>
        </w:tc>
        <w:tc>
          <w:tcPr>
            <w:tcW w:w="1016" w:type="dxa"/>
          </w:tcPr>
          <w:p>
            <w:pPr>
              <w:pStyle w:val="TableParagraph"/>
              <w:spacing w:line="309" w:lineRule="auto" w:before="0"/>
              <w:ind w:left="79" w:right="340"/>
              <w:jc w:val="left"/>
              <w:rPr>
                <w:sz w:val="20"/>
              </w:rPr>
            </w:pPr>
            <w:r>
              <w:rPr>
                <w:sz w:val="20"/>
              </w:rPr>
              <w:t>4-Abril 4-Abril</w:t>
            </w:r>
          </w:p>
        </w:tc>
        <w:tc>
          <w:tcPr>
            <w:tcW w:w="941" w:type="dxa"/>
          </w:tcPr>
          <w:p>
            <w:pPr>
              <w:pStyle w:val="TableParagraph"/>
              <w:spacing w:line="220" w:lineRule="exact" w:before="0"/>
              <w:ind w:left="15"/>
              <w:jc w:val="center"/>
              <w:rPr>
                <w:sz w:val="20"/>
              </w:rPr>
            </w:pPr>
            <w:r>
              <w:rPr>
                <w:w w:val="100"/>
                <w:sz w:val="20"/>
              </w:rPr>
              <w:t>1</w:t>
            </w:r>
          </w:p>
          <w:p>
            <w:pPr>
              <w:pStyle w:val="TableParagraph"/>
              <w:spacing w:before="67"/>
              <w:ind w:left="95" w:right="80"/>
              <w:jc w:val="center"/>
              <w:rPr>
                <w:sz w:val="20"/>
              </w:rPr>
            </w:pPr>
            <w:r>
              <w:rPr>
                <w:sz w:val="20"/>
              </w:rPr>
              <w:t>0.5</w:t>
            </w:r>
          </w:p>
        </w:tc>
        <w:tc>
          <w:tcPr>
            <w:tcW w:w="1016" w:type="dxa"/>
          </w:tcPr>
          <w:p>
            <w:pPr>
              <w:pStyle w:val="TableParagraph"/>
              <w:spacing w:line="309" w:lineRule="auto" w:before="0"/>
              <w:ind w:left="101" w:right="319"/>
              <w:jc w:val="left"/>
              <w:rPr>
                <w:sz w:val="20"/>
              </w:rPr>
            </w:pPr>
            <w:r>
              <w:rPr>
                <w:sz w:val="20"/>
              </w:rPr>
              <w:t>4-Abril 4-Abril</w:t>
            </w:r>
          </w:p>
        </w:tc>
        <w:tc>
          <w:tcPr>
            <w:tcW w:w="906" w:type="dxa"/>
          </w:tcPr>
          <w:p>
            <w:pPr>
              <w:pStyle w:val="TableParagraph"/>
              <w:spacing w:line="220" w:lineRule="exact" w:before="0"/>
              <w:jc w:val="center"/>
              <w:rPr>
                <w:sz w:val="20"/>
              </w:rPr>
            </w:pPr>
            <w:r>
              <w:rPr>
                <w:w w:val="100"/>
                <w:sz w:val="20"/>
              </w:rPr>
              <w:t>1</w:t>
            </w:r>
          </w:p>
          <w:p>
            <w:pPr>
              <w:pStyle w:val="TableParagraph"/>
              <w:spacing w:before="67"/>
              <w:ind w:left="74" w:right="68"/>
              <w:jc w:val="center"/>
              <w:rPr>
                <w:sz w:val="20"/>
              </w:rPr>
            </w:pPr>
            <w:r>
              <w:rPr>
                <w:sz w:val="20"/>
              </w:rPr>
              <w:t>0.5</w:t>
            </w:r>
          </w:p>
        </w:tc>
      </w:tr>
      <w:tr>
        <w:trPr>
          <w:trHeight w:val="300" w:hRule="exact"/>
        </w:trPr>
        <w:tc>
          <w:tcPr>
            <w:tcW w:w="1182" w:type="dxa"/>
          </w:tcPr>
          <w:p>
            <w:pPr>
              <w:pStyle w:val="TableParagraph"/>
              <w:spacing w:before="26"/>
              <w:ind w:left="701"/>
              <w:jc w:val="left"/>
              <w:rPr>
                <w:sz w:val="20"/>
              </w:rPr>
            </w:pPr>
            <w:r>
              <w:rPr>
                <w:w w:val="100"/>
                <w:sz w:val="20"/>
              </w:rPr>
              <w:t>3</w:t>
            </w:r>
          </w:p>
        </w:tc>
        <w:tc>
          <w:tcPr>
            <w:tcW w:w="1814" w:type="dxa"/>
          </w:tcPr>
          <w:p>
            <w:pPr>
              <w:pStyle w:val="TableParagraph"/>
              <w:spacing w:before="26"/>
              <w:ind w:left="387" w:right="406"/>
              <w:jc w:val="left"/>
              <w:rPr>
                <w:sz w:val="20"/>
              </w:rPr>
            </w:pPr>
            <w:r>
              <w:rPr>
                <w:sz w:val="20"/>
              </w:rPr>
              <w:t>Furadan</w:t>
            </w:r>
          </w:p>
        </w:tc>
        <w:tc>
          <w:tcPr>
            <w:tcW w:w="776" w:type="dxa"/>
          </w:tcPr>
          <w:p>
            <w:pPr/>
          </w:p>
        </w:tc>
        <w:tc>
          <w:tcPr>
            <w:tcW w:w="1047" w:type="dxa"/>
          </w:tcPr>
          <w:p>
            <w:pPr>
              <w:pStyle w:val="TableParagraph"/>
              <w:spacing w:before="26"/>
              <w:ind w:left="79"/>
              <w:jc w:val="left"/>
              <w:rPr>
                <w:sz w:val="20"/>
              </w:rPr>
            </w:pPr>
            <w:r>
              <w:rPr>
                <w:sz w:val="20"/>
              </w:rPr>
              <w:t>15-Mayo</w:t>
            </w:r>
          </w:p>
        </w:tc>
        <w:tc>
          <w:tcPr>
            <w:tcW w:w="936" w:type="dxa"/>
          </w:tcPr>
          <w:p>
            <w:pPr>
              <w:pStyle w:val="TableParagraph"/>
              <w:spacing w:before="26"/>
              <w:ind w:left="43"/>
              <w:jc w:val="center"/>
              <w:rPr>
                <w:sz w:val="20"/>
              </w:rPr>
            </w:pPr>
            <w:r>
              <w:rPr>
                <w:w w:val="100"/>
                <w:sz w:val="20"/>
              </w:rPr>
              <w:t>1</w:t>
            </w:r>
          </w:p>
        </w:tc>
        <w:tc>
          <w:tcPr>
            <w:tcW w:w="1016" w:type="dxa"/>
          </w:tcPr>
          <w:p>
            <w:pPr>
              <w:pStyle w:val="TableParagraph"/>
              <w:spacing w:before="26"/>
              <w:ind w:right="199"/>
              <w:rPr>
                <w:sz w:val="20"/>
              </w:rPr>
            </w:pPr>
            <w:r>
              <w:rPr>
                <w:sz w:val="20"/>
              </w:rPr>
              <w:t>14-Mayo</w:t>
            </w:r>
          </w:p>
        </w:tc>
        <w:tc>
          <w:tcPr>
            <w:tcW w:w="941" w:type="dxa"/>
          </w:tcPr>
          <w:p>
            <w:pPr>
              <w:pStyle w:val="TableParagraph"/>
              <w:spacing w:before="26"/>
              <w:ind w:left="15"/>
              <w:jc w:val="center"/>
              <w:rPr>
                <w:sz w:val="20"/>
              </w:rPr>
            </w:pPr>
            <w:r>
              <w:rPr>
                <w:w w:val="100"/>
                <w:sz w:val="20"/>
              </w:rPr>
              <w:t>1</w:t>
            </w:r>
          </w:p>
        </w:tc>
        <w:tc>
          <w:tcPr>
            <w:tcW w:w="1016" w:type="dxa"/>
          </w:tcPr>
          <w:p>
            <w:pPr>
              <w:pStyle w:val="TableParagraph"/>
              <w:spacing w:before="26"/>
              <w:ind w:left="101"/>
              <w:jc w:val="left"/>
              <w:rPr>
                <w:sz w:val="20"/>
              </w:rPr>
            </w:pPr>
            <w:r>
              <w:rPr>
                <w:sz w:val="20"/>
              </w:rPr>
              <w:t>15-Marzo</w:t>
            </w:r>
          </w:p>
        </w:tc>
        <w:tc>
          <w:tcPr>
            <w:tcW w:w="906" w:type="dxa"/>
          </w:tcPr>
          <w:p>
            <w:pPr>
              <w:pStyle w:val="TableParagraph"/>
              <w:spacing w:before="26"/>
              <w:jc w:val="center"/>
              <w:rPr>
                <w:sz w:val="20"/>
              </w:rPr>
            </w:pPr>
            <w:r>
              <w:rPr>
                <w:w w:val="100"/>
                <w:sz w:val="20"/>
              </w:rPr>
              <w:t>1</w:t>
            </w:r>
          </w:p>
        </w:tc>
      </w:tr>
      <w:tr>
        <w:trPr>
          <w:trHeight w:val="310" w:hRule="exact"/>
        </w:trPr>
        <w:tc>
          <w:tcPr>
            <w:tcW w:w="1182" w:type="dxa"/>
          </w:tcPr>
          <w:p>
            <w:pPr>
              <w:pStyle w:val="TableParagraph"/>
              <w:ind w:left="701"/>
              <w:jc w:val="left"/>
              <w:rPr>
                <w:sz w:val="20"/>
              </w:rPr>
            </w:pPr>
            <w:r>
              <w:rPr>
                <w:w w:val="100"/>
                <w:sz w:val="20"/>
              </w:rPr>
              <w:t>4</w:t>
            </w:r>
          </w:p>
        </w:tc>
        <w:tc>
          <w:tcPr>
            <w:tcW w:w="1814" w:type="dxa"/>
          </w:tcPr>
          <w:p>
            <w:pPr>
              <w:pStyle w:val="TableParagraph"/>
              <w:ind w:left="387"/>
              <w:jc w:val="left"/>
              <w:rPr>
                <w:sz w:val="20"/>
              </w:rPr>
            </w:pPr>
            <w:r>
              <w:rPr>
                <w:sz w:val="20"/>
              </w:rPr>
              <w:t>Parationmetílico</w:t>
            </w:r>
          </w:p>
        </w:tc>
        <w:tc>
          <w:tcPr>
            <w:tcW w:w="776" w:type="dxa"/>
          </w:tcPr>
          <w:p>
            <w:pPr/>
          </w:p>
        </w:tc>
        <w:tc>
          <w:tcPr>
            <w:tcW w:w="1047" w:type="dxa"/>
          </w:tcPr>
          <w:p>
            <w:pPr>
              <w:pStyle w:val="TableParagraph"/>
              <w:ind w:left="79"/>
              <w:jc w:val="left"/>
              <w:rPr>
                <w:sz w:val="20"/>
              </w:rPr>
            </w:pPr>
            <w:r>
              <w:rPr>
                <w:sz w:val="20"/>
              </w:rPr>
              <w:t>14-Julio</w:t>
            </w:r>
          </w:p>
        </w:tc>
        <w:tc>
          <w:tcPr>
            <w:tcW w:w="936" w:type="dxa"/>
          </w:tcPr>
          <w:p>
            <w:pPr>
              <w:pStyle w:val="TableParagraph"/>
              <w:ind w:left="43"/>
              <w:jc w:val="center"/>
              <w:rPr>
                <w:sz w:val="20"/>
              </w:rPr>
            </w:pPr>
            <w:r>
              <w:rPr>
                <w:w w:val="100"/>
                <w:sz w:val="20"/>
              </w:rPr>
              <w:t>1</w:t>
            </w:r>
          </w:p>
        </w:tc>
        <w:tc>
          <w:tcPr>
            <w:tcW w:w="1016" w:type="dxa"/>
          </w:tcPr>
          <w:p>
            <w:pPr>
              <w:pStyle w:val="TableParagraph"/>
              <w:ind w:right="142"/>
              <w:rPr>
                <w:sz w:val="20"/>
              </w:rPr>
            </w:pPr>
            <w:r>
              <w:rPr>
                <w:sz w:val="20"/>
              </w:rPr>
              <w:t>15-Marzo</w:t>
            </w:r>
          </w:p>
        </w:tc>
        <w:tc>
          <w:tcPr>
            <w:tcW w:w="941" w:type="dxa"/>
          </w:tcPr>
          <w:p>
            <w:pPr>
              <w:pStyle w:val="TableParagraph"/>
              <w:ind w:left="15"/>
              <w:jc w:val="center"/>
              <w:rPr>
                <w:sz w:val="20"/>
              </w:rPr>
            </w:pPr>
            <w:r>
              <w:rPr>
                <w:w w:val="100"/>
                <w:sz w:val="20"/>
              </w:rPr>
              <w:t>1</w:t>
            </w:r>
          </w:p>
        </w:tc>
        <w:tc>
          <w:tcPr>
            <w:tcW w:w="1016" w:type="dxa"/>
          </w:tcPr>
          <w:p>
            <w:pPr>
              <w:pStyle w:val="TableParagraph"/>
              <w:ind w:left="101"/>
              <w:jc w:val="left"/>
              <w:rPr>
                <w:sz w:val="20"/>
              </w:rPr>
            </w:pPr>
            <w:r>
              <w:rPr>
                <w:sz w:val="20"/>
              </w:rPr>
              <w:t>14-Mayo</w:t>
            </w:r>
          </w:p>
        </w:tc>
        <w:tc>
          <w:tcPr>
            <w:tcW w:w="906" w:type="dxa"/>
          </w:tcPr>
          <w:p>
            <w:pPr>
              <w:pStyle w:val="TableParagraph"/>
              <w:jc w:val="center"/>
              <w:rPr>
                <w:sz w:val="20"/>
              </w:rPr>
            </w:pPr>
            <w:r>
              <w:rPr>
                <w:w w:val="100"/>
                <w:sz w:val="20"/>
              </w:rPr>
              <w:t>1</w:t>
            </w:r>
          </w:p>
        </w:tc>
      </w:tr>
    </w:tbl>
    <w:p>
      <w:pPr>
        <w:spacing w:after="0"/>
        <w:jc w:val="center"/>
        <w:rPr>
          <w:sz w:val="20"/>
        </w:rPr>
        <w:sectPr>
          <w:pgSz w:w="12240" w:h="15840"/>
          <w:pgMar w:header="0" w:footer="1473" w:top="1360" w:bottom="1660" w:left="1380" w:right="1000"/>
        </w:sectPr>
      </w:pPr>
    </w:p>
    <w:p>
      <w:pPr>
        <w:spacing w:before="15"/>
        <w:ind w:left="180" w:right="-10" w:firstLine="0"/>
        <w:jc w:val="left"/>
        <w:rPr>
          <w:sz w:val="20"/>
        </w:rPr>
      </w:pPr>
      <w:r>
        <w:rPr>
          <w:spacing w:val="-2"/>
          <w:sz w:val="20"/>
        </w:rPr>
        <w:t>Riegos</w:t>
      </w:r>
    </w:p>
    <w:p>
      <w:pPr>
        <w:tabs>
          <w:tab w:pos="2571" w:val="left" w:leader="none"/>
          <w:tab w:pos="7147" w:val="left" w:leader="none"/>
          <w:tab w:pos="8669" w:val="right" w:leader="none"/>
        </w:tabs>
        <w:spacing w:line="326" w:lineRule="exact" w:before="313"/>
        <w:ind w:left="35" w:right="0" w:firstLine="0"/>
        <w:jc w:val="left"/>
        <w:rPr>
          <w:sz w:val="20"/>
        </w:rPr>
      </w:pPr>
      <w:r>
        <w:rPr/>
        <w:br w:type="column"/>
      </w:r>
      <w:r>
        <w:rPr>
          <w:sz w:val="20"/>
        </w:rPr>
        <w:t>1</w:t>
        <w:tab/>
      </w:r>
      <w:r>
        <w:rPr>
          <w:position w:val="-11"/>
          <w:sz w:val="20"/>
        </w:rPr>
        <w:t>mm</w:t>
        <w:tab/>
      </w:r>
      <w:r>
        <w:rPr>
          <w:sz w:val="20"/>
        </w:rPr>
        <w:t>1-Marzo</w:t>
        <w:tab/>
        <w:t>200</w:t>
      </w:r>
    </w:p>
    <w:p>
      <w:pPr>
        <w:tabs>
          <w:tab w:pos="7147" w:val="left" w:leader="none"/>
          <w:tab w:pos="8669" w:val="right" w:leader="none"/>
        </w:tabs>
        <w:spacing w:line="206" w:lineRule="exact" w:before="0"/>
        <w:ind w:left="35" w:right="0" w:firstLine="0"/>
        <w:jc w:val="left"/>
        <w:rPr>
          <w:sz w:val="20"/>
        </w:rPr>
      </w:pPr>
      <w:r>
        <w:rPr>
          <w:sz w:val="20"/>
        </w:rPr>
        <w:t>2</w:t>
        <w:tab/>
        <w:t>15-Abril</w:t>
        <w:tab/>
        <w:t>100</w:t>
      </w:r>
    </w:p>
    <w:p>
      <w:pPr>
        <w:spacing w:after="0" w:line="206" w:lineRule="exact"/>
        <w:jc w:val="left"/>
        <w:rPr>
          <w:sz w:val="20"/>
        </w:rPr>
        <w:sectPr>
          <w:type w:val="continuous"/>
          <w:pgSz w:w="12240" w:h="15840"/>
          <w:pgMar w:top="1500" w:bottom="280" w:left="1380" w:right="1000"/>
          <w:cols w:num="2" w:equalWidth="0">
            <w:col w:w="734" w:space="40"/>
            <w:col w:w="9086"/>
          </w:cols>
        </w:sectPr>
      </w:pPr>
    </w:p>
    <w:p>
      <w:pPr>
        <w:pStyle w:val="BodyText"/>
        <w:spacing w:line="20" w:lineRule="exact"/>
        <w:ind w:left="103"/>
        <w:rPr>
          <w:sz w:val="2"/>
        </w:rPr>
      </w:pPr>
      <w:r>
        <w:rPr>
          <w:sz w:val="2"/>
        </w:rPr>
        <w:pict>
          <v:group style="width:482.15pt;height:.5pt;mso-position-horizontal-relative:char;mso-position-vertical-relative:line" coordorigin="0,0" coordsize="9643,10">
            <v:line style="position:absolute" from="5,5" to="1503,5" stroked="true" strokeweight=".47998pt" strokecolor="#000000"/>
            <v:line style="position:absolute" from="1503,5" to="1513,5" stroked="true" strokeweight=".47998pt" strokecolor="#000000"/>
            <v:line style="position:absolute" from="1513,5" to="3011,5" stroked="true" strokeweight=".47998pt" strokecolor="#000000"/>
            <v:line style="position:absolute" from="3011,5" to="3021,5" stroked="true" strokeweight=".47998pt" strokecolor="#000000"/>
            <v:line style="position:absolute" from="3021,5" to="3784,5" stroked="true" strokeweight=".47998pt" strokecolor="#000000"/>
            <v:line style="position:absolute" from="3784,5" to="3794,5" stroked="true" strokeweight=".47998pt" strokecolor="#000000"/>
            <v:line style="position:absolute" from="3794,5" to="4865,5" stroked="true" strokeweight=".47998pt" strokecolor="#000000"/>
            <v:line style="position:absolute" from="4865,5" to="4874,5" stroked="true" strokeweight=".47998pt" strokecolor="#000000"/>
            <v:line style="position:absolute" from="4874,5" to="5767,5" stroked="true" strokeweight=".47998pt" strokecolor="#000000"/>
            <v:line style="position:absolute" from="5767,5" to="5777,5" stroked="true" strokeweight=".47998pt" strokecolor="#000000"/>
            <v:line style="position:absolute" from="5777,5" to="6756,5" stroked="true" strokeweight=".47998pt" strokecolor="#000000"/>
            <v:line style="position:absolute" from="6756,5" to="6766,5" stroked="true" strokeweight=".47998pt" strokecolor="#000000"/>
            <v:line style="position:absolute" from="6766,5" to="7745,5" stroked="true" strokeweight=".47998pt" strokecolor="#000000"/>
            <v:line style="position:absolute" from="7746,5" to="7755,5" stroked="true" strokeweight=".47998pt" strokecolor="#000000"/>
            <v:line style="position:absolute" from="7755,5" to="8735,5" stroked="true" strokeweight=".47998pt" strokecolor="#000000"/>
            <v:line style="position:absolute" from="8735,5" to="8744,5" stroked="true" strokeweight=".47998pt" strokecolor="#000000"/>
            <v:line style="position:absolute" from="8744,5" to="9638,5" stroked="true" strokeweight=".47998pt" strokecolor="#000000"/>
          </v:group>
        </w:pict>
      </w:r>
      <w:r>
        <w:rPr>
          <w:sz w:val="2"/>
        </w:rPr>
      </w:r>
    </w:p>
    <w:p>
      <w:pPr>
        <w:spacing w:after="0" w:line="20" w:lineRule="exact"/>
        <w:rPr>
          <w:sz w:val="2"/>
        </w:rPr>
        <w:sectPr>
          <w:type w:val="continuous"/>
          <w:pgSz w:w="12240" w:h="15840"/>
          <w:pgMar w:top="1500" w:bottom="280" w:left="1380" w:right="1000"/>
        </w:sectPr>
      </w:pPr>
    </w:p>
    <w:p>
      <w:pPr>
        <w:pStyle w:val="Heading1"/>
        <w:numPr>
          <w:ilvl w:val="1"/>
          <w:numId w:val="53"/>
        </w:numPr>
        <w:tabs>
          <w:tab w:pos="2472" w:val="left" w:leader="none"/>
        </w:tabs>
        <w:spacing w:line="240" w:lineRule="auto" w:before="53" w:after="0"/>
        <w:ind w:left="2471" w:right="0" w:hanging="360"/>
        <w:jc w:val="left"/>
      </w:pPr>
      <w:r>
        <w:rPr/>
        <w:t>ANEXO BASE DE DATOS EXTENSIÓN</w:t>
      </w:r>
      <w:r>
        <w:rPr>
          <w:spacing w:val="-10"/>
        </w:rPr>
        <w:t> </w:t>
      </w:r>
      <w:r>
        <w:rPr/>
        <w:t>.SUB</w:t>
      </w:r>
    </w:p>
    <w:p>
      <w:pPr>
        <w:pStyle w:val="BodyText"/>
        <w:spacing w:before="9"/>
        <w:rPr>
          <w:b/>
        </w:rPr>
      </w:pPr>
    </w:p>
    <w:p>
      <w:pPr>
        <w:spacing w:line="294" w:lineRule="exact" w:before="0"/>
        <w:ind w:left="2726" w:right="47" w:hanging="2622"/>
        <w:jc w:val="left"/>
        <w:rPr>
          <w:b/>
          <w:sz w:val="26"/>
        </w:rPr>
      </w:pPr>
      <w:bookmarkStart w:name="_bookmark172" w:id="231"/>
      <w:bookmarkEnd w:id="231"/>
      <w:r>
        <w:rPr/>
      </w:r>
      <w:r>
        <w:rPr>
          <w:b/>
          <w:sz w:val="26"/>
        </w:rPr>
        <w:t>Tabla 35. Longitud, pendiente promedio, ancho promedio, conductividad hidráulica y rugosidad del cauce por subcuenca</w:t>
      </w:r>
    </w:p>
    <w:p>
      <w:pPr>
        <w:pStyle w:val="BodyText"/>
        <w:spacing w:before="9"/>
        <w:rPr>
          <w:b/>
          <w:sz w:val="17"/>
        </w:rPr>
      </w:pPr>
    </w:p>
    <w:tbl>
      <w:tblPr>
        <w:tblW w:w="0" w:type="auto"/>
        <w:jc w:val="left"/>
        <w:tblInd w:w="11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97"/>
        <w:gridCol w:w="1226"/>
        <w:gridCol w:w="1181"/>
        <w:gridCol w:w="1210"/>
        <w:gridCol w:w="1198"/>
        <w:gridCol w:w="1090"/>
      </w:tblGrid>
      <w:tr>
        <w:trPr>
          <w:trHeight w:val="312" w:hRule="exact"/>
        </w:trPr>
        <w:tc>
          <w:tcPr>
            <w:tcW w:w="1297" w:type="dxa"/>
            <w:tcBorders>
              <w:left w:val="nil"/>
              <w:right w:val="nil"/>
            </w:tcBorders>
          </w:tcPr>
          <w:p>
            <w:pPr>
              <w:pStyle w:val="TableParagraph"/>
              <w:spacing w:before="63"/>
              <w:ind w:left="105"/>
              <w:jc w:val="left"/>
              <w:rPr>
                <w:sz w:val="20"/>
              </w:rPr>
            </w:pPr>
            <w:r>
              <w:rPr>
                <w:sz w:val="20"/>
              </w:rPr>
              <w:t>SUBBASIN</w:t>
            </w:r>
          </w:p>
        </w:tc>
        <w:tc>
          <w:tcPr>
            <w:tcW w:w="1226" w:type="dxa"/>
            <w:tcBorders>
              <w:left w:val="nil"/>
              <w:right w:val="nil"/>
            </w:tcBorders>
          </w:tcPr>
          <w:p>
            <w:pPr>
              <w:pStyle w:val="TableParagraph"/>
              <w:spacing w:before="63"/>
              <w:ind w:left="205"/>
              <w:jc w:val="left"/>
              <w:rPr>
                <w:sz w:val="20"/>
              </w:rPr>
            </w:pPr>
            <w:r>
              <w:rPr>
                <w:sz w:val="20"/>
              </w:rPr>
              <w:t>CH_L1</w:t>
            </w:r>
          </w:p>
        </w:tc>
        <w:tc>
          <w:tcPr>
            <w:tcW w:w="1181" w:type="dxa"/>
            <w:tcBorders>
              <w:left w:val="nil"/>
              <w:right w:val="nil"/>
            </w:tcBorders>
          </w:tcPr>
          <w:p>
            <w:pPr>
              <w:pStyle w:val="TableParagraph"/>
              <w:spacing w:before="63"/>
              <w:ind w:left="185"/>
              <w:jc w:val="left"/>
              <w:rPr>
                <w:sz w:val="20"/>
              </w:rPr>
            </w:pPr>
            <w:r>
              <w:rPr>
                <w:sz w:val="20"/>
              </w:rPr>
              <w:t>CH_S1</w:t>
            </w:r>
          </w:p>
        </w:tc>
        <w:tc>
          <w:tcPr>
            <w:tcW w:w="1210" w:type="dxa"/>
            <w:tcBorders>
              <w:left w:val="nil"/>
              <w:right w:val="nil"/>
            </w:tcBorders>
          </w:tcPr>
          <w:p>
            <w:pPr>
              <w:pStyle w:val="TableParagraph"/>
              <w:spacing w:before="63"/>
              <w:ind w:left="165"/>
              <w:jc w:val="left"/>
              <w:rPr>
                <w:sz w:val="20"/>
              </w:rPr>
            </w:pPr>
            <w:r>
              <w:rPr>
                <w:sz w:val="20"/>
              </w:rPr>
              <w:t>CH_W1</w:t>
            </w:r>
          </w:p>
        </w:tc>
        <w:tc>
          <w:tcPr>
            <w:tcW w:w="1198" w:type="dxa"/>
            <w:tcBorders>
              <w:left w:val="nil"/>
              <w:right w:val="nil"/>
            </w:tcBorders>
          </w:tcPr>
          <w:p>
            <w:pPr>
              <w:pStyle w:val="TableParagraph"/>
              <w:spacing w:before="63"/>
              <w:ind w:left="175"/>
              <w:jc w:val="left"/>
              <w:rPr>
                <w:sz w:val="20"/>
              </w:rPr>
            </w:pPr>
            <w:r>
              <w:rPr>
                <w:sz w:val="20"/>
              </w:rPr>
              <w:t>CH_K1</w:t>
            </w:r>
          </w:p>
        </w:tc>
        <w:tc>
          <w:tcPr>
            <w:tcW w:w="1090" w:type="dxa"/>
            <w:tcBorders>
              <w:left w:val="nil"/>
              <w:right w:val="nil"/>
            </w:tcBorders>
          </w:tcPr>
          <w:p>
            <w:pPr>
              <w:pStyle w:val="TableParagraph"/>
              <w:spacing w:before="63"/>
              <w:ind w:left="177"/>
              <w:jc w:val="left"/>
              <w:rPr>
                <w:sz w:val="20"/>
              </w:rPr>
            </w:pPr>
            <w:r>
              <w:rPr>
                <w:sz w:val="20"/>
              </w:rPr>
              <w:t>CH_N1</w:t>
            </w:r>
          </w:p>
        </w:tc>
      </w:tr>
      <w:tr>
        <w:trPr>
          <w:trHeight w:val="339" w:hRule="exact"/>
        </w:trPr>
        <w:tc>
          <w:tcPr>
            <w:tcW w:w="1297" w:type="dxa"/>
            <w:tcBorders>
              <w:left w:val="nil"/>
              <w:bottom w:val="nil"/>
              <w:right w:val="nil"/>
            </w:tcBorders>
          </w:tcPr>
          <w:p>
            <w:pPr>
              <w:pStyle w:val="TableParagraph"/>
              <w:spacing w:before="58"/>
              <w:ind w:left="72"/>
              <w:jc w:val="left"/>
              <w:rPr>
                <w:sz w:val="20"/>
              </w:rPr>
            </w:pPr>
            <w:r>
              <w:rPr>
                <w:w w:val="100"/>
                <w:sz w:val="20"/>
              </w:rPr>
              <w:t>1</w:t>
            </w:r>
          </w:p>
        </w:tc>
        <w:tc>
          <w:tcPr>
            <w:tcW w:w="1226" w:type="dxa"/>
            <w:tcBorders>
              <w:left w:val="nil"/>
              <w:bottom w:val="nil"/>
              <w:right w:val="nil"/>
            </w:tcBorders>
          </w:tcPr>
          <w:p>
            <w:pPr>
              <w:pStyle w:val="TableParagraph"/>
              <w:spacing w:before="58"/>
              <w:ind w:right="183"/>
              <w:rPr>
                <w:sz w:val="20"/>
              </w:rPr>
            </w:pPr>
            <w:r>
              <w:rPr>
                <w:sz w:val="20"/>
              </w:rPr>
              <w:t>4.767</w:t>
            </w:r>
          </w:p>
        </w:tc>
        <w:tc>
          <w:tcPr>
            <w:tcW w:w="1181" w:type="dxa"/>
            <w:tcBorders>
              <w:left w:val="nil"/>
              <w:bottom w:val="nil"/>
              <w:right w:val="nil"/>
            </w:tcBorders>
          </w:tcPr>
          <w:p>
            <w:pPr>
              <w:pStyle w:val="TableParagraph"/>
              <w:spacing w:before="58"/>
              <w:ind w:right="163"/>
              <w:rPr>
                <w:sz w:val="20"/>
              </w:rPr>
            </w:pPr>
            <w:r>
              <w:rPr>
                <w:sz w:val="20"/>
              </w:rPr>
              <w:t>0.089</w:t>
            </w:r>
          </w:p>
        </w:tc>
        <w:tc>
          <w:tcPr>
            <w:tcW w:w="1210" w:type="dxa"/>
            <w:tcBorders>
              <w:left w:val="nil"/>
              <w:bottom w:val="nil"/>
              <w:right w:val="nil"/>
            </w:tcBorders>
          </w:tcPr>
          <w:p>
            <w:pPr>
              <w:pStyle w:val="TableParagraph"/>
              <w:spacing w:before="58"/>
              <w:ind w:right="173"/>
              <w:rPr>
                <w:sz w:val="20"/>
              </w:rPr>
            </w:pPr>
            <w:r>
              <w:rPr>
                <w:sz w:val="20"/>
              </w:rPr>
              <w:t>3.172</w:t>
            </w:r>
          </w:p>
        </w:tc>
        <w:tc>
          <w:tcPr>
            <w:tcW w:w="1198" w:type="dxa"/>
            <w:tcBorders>
              <w:left w:val="nil"/>
              <w:bottom w:val="nil"/>
              <w:right w:val="nil"/>
            </w:tcBorders>
          </w:tcPr>
          <w:p>
            <w:pPr>
              <w:pStyle w:val="TableParagraph"/>
              <w:spacing w:before="58"/>
              <w:ind w:right="175"/>
              <w:rPr>
                <w:sz w:val="20"/>
              </w:rPr>
            </w:pPr>
            <w:r>
              <w:rPr>
                <w:w w:val="100"/>
                <w:sz w:val="20"/>
              </w:rPr>
              <w:t>0</w:t>
            </w:r>
          </w:p>
        </w:tc>
        <w:tc>
          <w:tcPr>
            <w:tcW w:w="1090" w:type="dxa"/>
            <w:tcBorders>
              <w:left w:val="nil"/>
              <w:bottom w:val="nil"/>
              <w:right w:val="nil"/>
            </w:tcBorders>
          </w:tcPr>
          <w:p>
            <w:pPr>
              <w:pStyle w:val="TableParagraph"/>
              <w:spacing w:before="58"/>
              <w:ind w:right="61"/>
              <w:rPr>
                <w:sz w:val="20"/>
              </w:rPr>
            </w:pPr>
            <w:r>
              <w:rPr>
                <w:sz w:val="20"/>
              </w:rPr>
              <w:t>0.014</w:t>
            </w:r>
          </w:p>
        </w:tc>
      </w:tr>
      <w:tr>
        <w:trPr>
          <w:trHeight w:val="300" w:hRule="exact"/>
        </w:trPr>
        <w:tc>
          <w:tcPr>
            <w:tcW w:w="1297" w:type="dxa"/>
            <w:tcBorders>
              <w:top w:val="nil"/>
              <w:left w:val="nil"/>
              <w:bottom w:val="nil"/>
              <w:right w:val="nil"/>
            </w:tcBorders>
          </w:tcPr>
          <w:p>
            <w:pPr>
              <w:pStyle w:val="TableParagraph"/>
              <w:spacing w:before="26"/>
              <w:ind w:left="72"/>
              <w:jc w:val="left"/>
              <w:rPr>
                <w:sz w:val="20"/>
              </w:rPr>
            </w:pPr>
            <w:r>
              <w:rPr>
                <w:w w:val="100"/>
                <w:sz w:val="20"/>
              </w:rPr>
              <w:t>2</w:t>
            </w:r>
          </w:p>
        </w:tc>
        <w:tc>
          <w:tcPr>
            <w:tcW w:w="1226" w:type="dxa"/>
            <w:tcBorders>
              <w:top w:val="nil"/>
              <w:left w:val="nil"/>
              <w:bottom w:val="nil"/>
              <w:right w:val="nil"/>
            </w:tcBorders>
          </w:tcPr>
          <w:p>
            <w:pPr>
              <w:pStyle w:val="TableParagraph"/>
              <w:spacing w:before="26"/>
              <w:ind w:right="183"/>
              <w:rPr>
                <w:sz w:val="20"/>
              </w:rPr>
            </w:pPr>
            <w:r>
              <w:rPr>
                <w:sz w:val="20"/>
              </w:rPr>
              <w:t>5.368</w:t>
            </w:r>
          </w:p>
        </w:tc>
        <w:tc>
          <w:tcPr>
            <w:tcW w:w="1181" w:type="dxa"/>
            <w:tcBorders>
              <w:top w:val="nil"/>
              <w:left w:val="nil"/>
              <w:bottom w:val="nil"/>
              <w:right w:val="nil"/>
            </w:tcBorders>
          </w:tcPr>
          <w:p>
            <w:pPr>
              <w:pStyle w:val="TableParagraph"/>
              <w:spacing w:before="26"/>
              <w:ind w:right="163"/>
              <w:rPr>
                <w:sz w:val="20"/>
              </w:rPr>
            </w:pPr>
            <w:r>
              <w:rPr>
                <w:sz w:val="20"/>
              </w:rPr>
              <w:t>0.113</w:t>
            </w:r>
          </w:p>
        </w:tc>
        <w:tc>
          <w:tcPr>
            <w:tcW w:w="1210" w:type="dxa"/>
            <w:tcBorders>
              <w:top w:val="nil"/>
              <w:left w:val="nil"/>
              <w:bottom w:val="nil"/>
              <w:right w:val="nil"/>
            </w:tcBorders>
          </w:tcPr>
          <w:p>
            <w:pPr>
              <w:pStyle w:val="TableParagraph"/>
              <w:spacing w:before="26"/>
              <w:ind w:right="173"/>
              <w:rPr>
                <w:sz w:val="20"/>
              </w:rPr>
            </w:pPr>
            <w:r>
              <w:rPr>
                <w:sz w:val="20"/>
              </w:rPr>
              <w:t>3.187</w:t>
            </w:r>
          </w:p>
        </w:tc>
        <w:tc>
          <w:tcPr>
            <w:tcW w:w="1198" w:type="dxa"/>
            <w:tcBorders>
              <w:top w:val="nil"/>
              <w:left w:val="nil"/>
              <w:bottom w:val="nil"/>
              <w:right w:val="nil"/>
            </w:tcBorders>
          </w:tcPr>
          <w:p>
            <w:pPr>
              <w:pStyle w:val="TableParagraph"/>
              <w:spacing w:before="26"/>
              <w:ind w:right="175"/>
              <w:rPr>
                <w:sz w:val="20"/>
              </w:rPr>
            </w:pPr>
            <w:r>
              <w:rPr>
                <w:w w:val="100"/>
                <w:sz w:val="20"/>
              </w:rPr>
              <w:t>0</w:t>
            </w:r>
          </w:p>
        </w:tc>
        <w:tc>
          <w:tcPr>
            <w:tcW w:w="1090" w:type="dxa"/>
            <w:tcBorders>
              <w:top w:val="nil"/>
              <w:left w:val="nil"/>
              <w:bottom w:val="nil"/>
              <w:right w:val="nil"/>
            </w:tcBorders>
          </w:tcPr>
          <w:p>
            <w:pPr>
              <w:pStyle w:val="TableParagraph"/>
              <w:spacing w:before="26"/>
              <w:ind w:right="61"/>
              <w:rPr>
                <w:sz w:val="20"/>
              </w:rPr>
            </w:pPr>
            <w:r>
              <w:rPr>
                <w:sz w:val="20"/>
              </w:rPr>
              <w:t>0.014</w:t>
            </w:r>
          </w:p>
        </w:tc>
      </w:tr>
      <w:tr>
        <w:trPr>
          <w:trHeight w:val="300" w:hRule="exact"/>
        </w:trPr>
        <w:tc>
          <w:tcPr>
            <w:tcW w:w="1297" w:type="dxa"/>
            <w:tcBorders>
              <w:top w:val="nil"/>
              <w:left w:val="nil"/>
              <w:bottom w:val="nil"/>
              <w:right w:val="nil"/>
            </w:tcBorders>
          </w:tcPr>
          <w:p>
            <w:pPr>
              <w:pStyle w:val="TableParagraph"/>
              <w:ind w:left="72"/>
              <w:jc w:val="left"/>
              <w:rPr>
                <w:sz w:val="20"/>
              </w:rPr>
            </w:pPr>
            <w:r>
              <w:rPr>
                <w:w w:val="100"/>
                <w:sz w:val="20"/>
              </w:rPr>
              <w:t>3</w:t>
            </w:r>
          </w:p>
        </w:tc>
        <w:tc>
          <w:tcPr>
            <w:tcW w:w="1226" w:type="dxa"/>
            <w:tcBorders>
              <w:top w:val="nil"/>
              <w:left w:val="nil"/>
              <w:bottom w:val="nil"/>
              <w:right w:val="nil"/>
            </w:tcBorders>
          </w:tcPr>
          <w:p>
            <w:pPr>
              <w:pStyle w:val="TableParagraph"/>
              <w:ind w:right="183"/>
              <w:rPr>
                <w:sz w:val="20"/>
              </w:rPr>
            </w:pPr>
            <w:r>
              <w:rPr>
                <w:sz w:val="20"/>
              </w:rPr>
              <w:t>5.431</w:t>
            </w:r>
          </w:p>
        </w:tc>
        <w:tc>
          <w:tcPr>
            <w:tcW w:w="1181" w:type="dxa"/>
            <w:tcBorders>
              <w:top w:val="nil"/>
              <w:left w:val="nil"/>
              <w:bottom w:val="nil"/>
              <w:right w:val="nil"/>
            </w:tcBorders>
          </w:tcPr>
          <w:p>
            <w:pPr>
              <w:pStyle w:val="TableParagraph"/>
              <w:ind w:right="163"/>
              <w:rPr>
                <w:sz w:val="20"/>
              </w:rPr>
            </w:pPr>
            <w:r>
              <w:rPr>
                <w:sz w:val="20"/>
              </w:rPr>
              <w:t>0.112</w:t>
            </w:r>
          </w:p>
        </w:tc>
        <w:tc>
          <w:tcPr>
            <w:tcW w:w="1210" w:type="dxa"/>
            <w:tcBorders>
              <w:top w:val="nil"/>
              <w:left w:val="nil"/>
              <w:bottom w:val="nil"/>
              <w:right w:val="nil"/>
            </w:tcBorders>
          </w:tcPr>
          <w:p>
            <w:pPr>
              <w:pStyle w:val="TableParagraph"/>
              <w:ind w:right="173"/>
              <w:rPr>
                <w:sz w:val="20"/>
              </w:rPr>
            </w:pPr>
            <w:r>
              <w:rPr>
                <w:sz w:val="20"/>
              </w:rPr>
              <w:t>4.588</w:t>
            </w:r>
          </w:p>
        </w:tc>
        <w:tc>
          <w:tcPr>
            <w:tcW w:w="1198" w:type="dxa"/>
            <w:tcBorders>
              <w:top w:val="nil"/>
              <w:left w:val="nil"/>
              <w:bottom w:val="nil"/>
              <w:right w:val="nil"/>
            </w:tcBorders>
          </w:tcPr>
          <w:p>
            <w:pPr>
              <w:pStyle w:val="TableParagraph"/>
              <w:ind w:right="175"/>
              <w:rPr>
                <w:sz w:val="20"/>
              </w:rPr>
            </w:pPr>
            <w:r>
              <w:rPr>
                <w:w w:val="100"/>
                <w:sz w:val="20"/>
              </w:rPr>
              <w:t>0</w:t>
            </w:r>
          </w:p>
        </w:tc>
        <w:tc>
          <w:tcPr>
            <w:tcW w:w="1090" w:type="dxa"/>
            <w:tcBorders>
              <w:top w:val="nil"/>
              <w:left w:val="nil"/>
              <w:bottom w:val="nil"/>
              <w:right w:val="nil"/>
            </w:tcBorders>
          </w:tcPr>
          <w:p>
            <w:pPr>
              <w:pStyle w:val="TableParagraph"/>
              <w:ind w:right="61"/>
              <w:rPr>
                <w:sz w:val="20"/>
              </w:rPr>
            </w:pPr>
            <w:r>
              <w:rPr>
                <w:sz w:val="20"/>
              </w:rPr>
              <w:t>0.014</w:t>
            </w:r>
          </w:p>
        </w:tc>
      </w:tr>
      <w:tr>
        <w:trPr>
          <w:trHeight w:val="300" w:hRule="exact"/>
        </w:trPr>
        <w:tc>
          <w:tcPr>
            <w:tcW w:w="1297" w:type="dxa"/>
            <w:tcBorders>
              <w:top w:val="nil"/>
              <w:left w:val="nil"/>
              <w:bottom w:val="nil"/>
              <w:right w:val="nil"/>
            </w:tcBorders>
          </w:tcPr>
          <w:p>
            <w:pPr>
              <w:pStyle w:val="TableParagraph"/>
              <w:spacing w:before="26"/>
              <w:ind w:left="72"/>
              <w:jc w:val="left"/>
              <w:rPr>
                <w:sz w:val="20"/>
              </w:rPr>
            </w:pPr>
            <w:r>
              <w:rPr>
                <w:w w:val="100"/>
                <w:sz w:val="20"/>
              </w:rPr>
              <w:t>4</w:t>
            </w:r>
          </w:p>
        </w:tc>
        <w:tc>
          <w:tcPr>
            <w:tcW w:w="1226" w:type="dxa"/>
            <w:tcBorders>
              <w:top w:val="nil"/>
              <w:left w:val="nil"/>
              <w:bottom w:val="nil"/>
              <w:right w:val="nil"/>
            </w:tcBorders>
          </w:tcPr>
          <w:p>
            <w:pPr>
              <w:pStyle w:val="TableParagraph"/>
              <w:spacing w:before="26"/>
              <w:ind w:right="183"/>
              <w:rPr>
                <w:sz w:val="20"/>
              </w:rPr>
            </w:pPr>
            <w:r>
              <w:rPr>
                <w:sz w:val="20"/>
              </w:rPr>
              <w:t>7.346</w:t>
            </w:r>
          </w:p>
        </w:tc>
        <w:tc>
          <w:tcPr>
            <w:tcW w:w="1181" w:type="dxa"/>
            <w:tcBorders>
              <w:top w:val="nil"/>
              <w:left w:val="nil"/>
              <w:bottom w:val="nil"/>
              <w:right w:val="nil"/>
            </w:tcBorders>
          </w:tcPr>
          <w:p>
            <w:pPr>
              <w:pStyle w:val="TableParagraph"/>
              <w:spacing w:before="26"/>
              <w:ind w:right="163"/>
              <w:rPr>
                <w:sz w:val="20"/>
              </w:rPr>
            </w:pPr>
            <w:r>
              <w:rPr>
                <w:sz w:val="20"/>
              </w:rPr>
              <w:t>0.038</w:t>
            </w:r>
          </w:p>
        </w:tc>
        <w:tc>
          <w:tcPr>
            <w:tcW w:w="1210" w:type="dxa"/>
            <w:tcBorders>
              <w:top w:val="nil"/>
              <w:left w:val="nil"/>
              <w:bottom w:val="nil"/>
              <w:right w:val="nil"/>
            </w:tcBorders>
          </w:tcPr>
          <w:p>
            <w:pPr>
              <w:pStyle w:val="TableParagraph"/>
              <w:spacing w:before="26"/>
              <w:ind w:right="173"/>
              <w:rPr>
                <w:sz w:val="20"/>
              </w:rPr>
            </w:pPr>
            <w:r>
              <w:rPr>
                <w:sz w:val="20"/>
              </w:rPr>
              <w:t>5.397</w:t>
            </w:r>
          </w:p>
        </w:tc>
        <w:tc>
          <w:tcPr>
            <w:tcW w:w="1198" w:type="dxa"/>
            <w:tcBorders>
              <w:top w:val="nil"/>
              <w:left w:val="nil"/>
              <w:bottom w:val="nil"/>
              <w:right w:val="nil"/>
            </w:tcBorders>
          </w:tcPr>
          <w:p>
            <w:pPr>
              <w:pStyle w:val="TableParagraph"/>
              <w:spacing w:before="26"/>
              <w:ind w:right="175"/>
              <w:rPr>
                <w:sz w:val="20"/>
              </w:rPr>
            </w:pPr>
            <w:r>
              <w:rPr>
                <w:w w:val="100"/>
                <w:sz w:val="20"/>
              </w:rPr>
              <w:t>0</w:t>
            </w:r>
          </w:p>
        </w:tc>
        <w:tc>
          <w:tcPr>
            <w:tcW w:w="1090" w:type="dxa"/>
            <w:tcBorders>
              <w:top w:val="nil"/>
              <w:left w:val="nil"/>
              <w:bottom w:val="nil"/>
              <w:right w:val="nil"/>
            </w:tcBorders>
          </w:tcPr>
          <w:p>
            <w:pPr>
              <w:pStyle w:val="TableParagraph"/>
              <w:spacing w:before="26"/>
              <w:ind w:right="61"/>
              <w:rPr>
                <w:sz w:val="20"/>
              </w:rPr>
            </w:pPr>
            <w:r>
              <w:rPr>
                <w:sz w:val="20"/>
              </w:rPr>
              <w:t>0.014</w:t>
            </w:r>
          </w:p>
        </w:tc>
      </w:tr>
      <w:tr>
        <w:trPr>
          <w:trHeight w:val="300" w:hRule="exact"/>
        </w:trPr>
        <w:tc>
          <w:tcPr>
            <w:tcW w:w="1297" w:type="dxa"/>
            <w:tcBorders>
              <w:top w:val="nil"/>
              <w:left w:val="nil"/>
              <w:bottom w:val="nil"/>
              <w:right w:val="nil"/>
            </w:tcBorders>
          </w:tcPr>
          <w:p>
            <w:pPr>
              <w:pStyle w:val="TableParagraph"/>
              <w:ind w:left="72"/>
              <w:jc w:val="left"/>
              <w:rPr>
                <w:sz w:val="20"/>
              </w:rPr>
            </w:pPr>
            <w:r>
              <w:rPr>
                <w:w w:val="100"/>
                <w:sz w:val="20"/>
              </w:rPr>
              <w:t>5</w:t>
            </w:r>
          </w:p>
        </w:tc>
        <w:tc>
          <w:tcPr>
            <w:tcW w:w="1226" w:type="dxa"/>
            <w:tcBorders>
              <w:top w:val="nil"/>
              <w:left w:val="nil"/>
              <w:bottom w:val="nil"/>
              <w:right w:val="nil"/>
            </w:tcBorders>
          </w:tcPr>
          <w:p>
            <w:pPr>
              <w:pStyle w:val="TableParagraph"/>
              <w:ind w:right="183"/>
              <w:rPr>
                <w:sz w:val="20"/>
              </w:rPr>
            </w:pPr>
            <w:r>
              <w:rPr>
                <w:sz w:val="20"/>
              </w:rPr>
              <w:t>4.350</w:t>
            </w:r>
          </w:p>
        </w:tc>
        <w:tc>
          <w:tcPr>
            <w:tcW w:w="1181" w:type="dxa"/>
            <w:tcBorders>
              <w:top w:val="nil"/>
              <w:left w:val="nil"/>
              <w:bottom w:val="nil"/>
              <w:right w:val="nil"/>
            </w:tcBorders>
          </w:tcPr>
          <w:p>
            <w:pPr>
              <w:pStyle w:val="TableParagraph"/>
              <w:ind w:right="163"/>
              <w:rPr>
                <w:sz w:val="20"/>
              </w:rPr>
            </w:pPr>
            <w:r>
              <w:rPr>
                <w:sz w:val="20"/>
              </w:rPr>
              <w:t>0.007</w:t>
            </w:r>
          </w:p>
        </w:tc>
        <w:tc>
          <w:tcPr>
            <w:tcW w:w="1210" w:type="dxa"/>
            <w:tcBorders>
              <w:top w:val="nil"/>
              <w:left w:val="nil"/>
              <w:bottom w:val="nil"/>
              <w:right w:val="nil"/>
            </w:tcBorders>
          </w:tcPr>
          <w:p>
            <w:pPr>
              <w:pStyle w:val="TableParagraph"/>
              <w:ind w:right="173"/>
              <w:rPr>
                <w:sz w:val="20"/>
              </w:rPr>
            </w:pPr>
            <w:r>
              <w:rPr>
                <w:sz w:val="20"/>
              </w:rPr>
              <w:t>2.197</w:t>
            </w:r>
          </w:p>
        </w:tc>
        <w:tc>
          <w:tcPr>
            <w:tcW w:w="1198" w:type="dxa"/>
            <w:tcBorders>
              <w:top w:val="nil"/>
              <w:left w:val="nil"/>
              <w:bottom w:val="nil"/>
              <w:right w:val="nil"/>
            </w:tcBorders>
          </w:tcPr>
          <w:p>
            <w:pPr>
              <w:pStyle w:val="TableParagraph"/>
              <w:ind w:right="175"/>
              <w:rPr>
                <w:sz w:val="20"/>
              </w:rPr>
            </w:pPr>
            <w:r>
              <w:rPr>
                <w:w w:val="100"/>
                <w:sz w:val="20"/>
              </w:rPr>
              <w:t>0</w:t>
            </w:r>
          </w:p>
        </w:tc>
        <w:tc>
          <w:tcPr>
            <w:tcW w:w="1090" w:type="dxa"/>
            <w:tcBorders>
              <w:top w:val="nil"/>
              <w:left w:val="nil"/>
              <w:bottom w:val="nil"/>
              <w:right w:val="nil"/>
            </w:tcBorders>
          </w:tcPr>
          <w:p>
            <w:pPr>
              <w:pStyle w:val="TableParagraph"/>
              <w:ind w:right="61"/>
              <w:rPr>
                <w:sz w:val="20"/>
              </w:rPr>
            </w:pPr>
            <w:r>
              <w:rPr>
                <w:sz w:val="20"/>
              </w:rPr>
              <w:t>0.014</w:t>
            </w:r>
          </w:p>
        </w:tc>
      </w:tr>
      <w:tr>
        <w:trPr>
          <w:trHeight w:val="300" w:hRule="exact"/>
        </w:trPr>
        <w:tc>
          <w:tcPr>
            <w:tcW w:w="1297" w:type="dxa"/>
            <w:tcBorders>
              <w:top w:val="nil"/>
              <w:left w:val="nil"/>
              <w:bottom w:val="nil"/>
              <w:right w:val="nil"/>
            </w:tcBorders>
          </w:tcPr>
          <w:p>
            <w:pPr>
              <w:pStyle w:val="TableParagraph"/>
              <w:spacing w:before="26"/>
              <w:ind w:left="72"/>
              <w:jc w:val="left"/>
              <w:rPr>
                <w:sz w:val="20"/>
              </w:rPr>
            </w:pPr>
            <w:r>
              <w:rPr>
                <w:w w:val="100"/>
                <w:sz w:val="20"/>
              </w:rPr>
              <w:t>6</w:t>
            </w:r>
          </w:p>
        </w:tc>
        <w:tc>
          <w:tcPr>
            <w:tcW w:w="1226" w:type="dxa"/>
            <w:tcBorders>
              <w:top w:val="nil"/>
              <w:left w:val="nil"/>
              <w:bottom w:val="nil"/>
              <w:right w:val="nil"/>
            </w:tcBorders>
          </w:tcPr>
          <w:p>
            <w:pPr>
              <w:pStyle w:val="TableParagraph"/>
              <w:spacing w:before="26"/>
              <w:ind w:right="183"/>
              <w:rPr>
                <w:sz w:val="20"/>
              </w:rPr>
            </w:pPr>
            <w:r>
              <w:rPr>
                <w:sz w:val="20"/>
              </w:rPr>
              <w:t>3.911</w:t>
            </w:r>
          </w:p>
        </w:tc>
        <w:tc>
          <w:tcPr>
            <w:tcW w:w="1181" w:type="dxa"/>
            <w:tcBorders>
              <w:top w:val="nil"/>
              <w:left w:val="nil"/>
              <w:bottom w:val="nil"/>
              <w:right w:val="nil"/>
            </w:tcBorders>
          </w:tcPr>
          <w:p>
            <w:pPr>
              <w:pStyle w:val="TableParagraph"/>
              <w:spacing w:before="26"/>
              <w:ind w:right="163"/>
              <w:rPr>
                <w:sz w:val="20"/>
              </w:rPr>
            </w:pPr>
            <w:r>
              <w:rPr>
                <w:sz w:val="20"/>
              </w:rPr>
              <w:t>0.001</w:t>
            </w:r>
          </w:p>
        </w:tc>
        <w:tc>
          <w:tcPr>
            <w:tcW w:w="1210" w:type="dxa"/>
            <w:tcBorders>
              <w:top w:val="nil"/>
              <w:left w:val="nil"/>
              <w:bottom w:val="nil"/>
              <w:right w:val="nil"/>
            </w:tcBorders>
          </w:tcPr>
          <w:p>
            <w:pPr>
              <w:pStyle w:val="TableParagraph"/>
              <w:spacing w:before="26"/>
              <w:ind w:right="173"/>
              <w:rPr>
                <w:sz w:val="20"/>
              </w:rPr>
            </w:pPr>
            <w:r>
              <w:rPr>
                <w:sz w:val="20"/>
              </w:rPr>
              <w:t>2.062</w:t>
            </w:r>
          </w:p>
        </w:tc>
        <w:tc>
          <w:tcPr>
            <w:tcW w:w="1198" w:type="dxa"/>
            <w:tcBorders>
              <w:top w:val="nil"/>
              <w:left w:val="nil"/>
              <w:bottom w:val="nil"/>
              <w:right w:val="nil"/>
            </w:tcBorders>
          </w:tcPr>
          <w:p>
            <w:pPr>
              <w:pStyle w:val="TableParagraph"/>
              <w:spacing w:before="26"/>
              <w:ind w:right="175"/>
              <w:rPr>
                <w:sz w:val="20"/>
              </w:rPr>
            </w:pPr>
            <w:r>
              <w:rPr>
                <w:w w:val="100"/>
                <w:sz w:val="20"/>
              </w:rPr>
              <w:t>0</w:t>
            </w:r>
          </w:p>
        </w:tc>
        <w:tc>
          <w:tcPr>
            <w:tcW w:w="1090" w:type="dxa"/>
            <w:tcBorders>
              <w:top w:val="nil"/>
              <w:left w:val="nil"/>
              <w:bottom w:val="nil"/>
              <w:right w:val="nil"/>
            </w:tcBorders>
          </w:tcPr>
          <w:p>
            <w:pPr>
              <w:pStyle w:val="TableParagraph"/>
              <w:spacing w:before="26"/>
              <w:ind w:right="61"/>
              <w:rPr>
                <w:sz w:val="20"/>
              </w:rPr>
            </w:pPr>
            <w:r>
              <w:rPr>
                <w:sz w:val="20"/>
              </w:rPr>
              <w:t>0.014</w:t>
            </w:r>
          </w:p>
        </w:tc>
      </w:tr>
      <w:tr>
        <w:trPr>
          <w:trHeight w:val="300" w:hRule="exact"/>
        </w:trPr>
        <w:tc>
          <w:tcPr>
            <w:tcW w:w="1297" w:type="dxa"/>
            <w:tcBorders>
              <w:top w:val="nil"/>
              <w:left w:val="nil"/>
              <w:bottom w:val="nil"/>
              <w:right w:val="nil"/>
            </w:tcBorders>
          </w:tcPr>
          <w:p>
            <w:pPr>
              <w:pStyle w:val="TableParagraph"/>
              <w:ind w:left="72"/>
              <w:jc w:val="left"/>
              <w:rPr>
                <w:sz w:val="20"/>
              </w:rPr>
            </w:pPr>
            <w:r>
              <w:rPr>
                <w:w w:val="100"/>
                <w:sz w:val="20"/>
              </w:rPr>
              <w:t>7</w:t>
            </w:r>
          </w:p>
        </w:tc>
        <w:tc>
          <w:tcPr>
            <w:tcW w:w="1226" w:type="dxa"/>
            <w:tcBorders>
              <w:top w:val="nil"/>
              <w:left w:val="nil"/>
              <w:bottom w:val="nil"/>
              <w:right w:val="nil"/>
            </w:tcBorders>
          </w:tcPr>
          <w:p>
            <w:pPr>
              <w:pStyle w:val="TableParagraph"/>
              <w:ind w:right="183"/>
              <w:rPr>
                <w:sz w:val="20"/>
              </w:rPr>
            </w:pPr>
            <w:r>
              <w:rPr>
                <w:sz w:val="20"/>
              </w:rPr>
              <w:t>0.121</w:t>
            </w:r>
          </w:p>
        </w:tc>
        <w:tc>
          <w:tcPr>
            <w:tcW w:w="1181" w:type="dxa"/>
            <w:tcBorders>
              <w:top w:val="nil"/>
              <w:left w:val="nil"/>
              <w:bottom w:val="nil"/>
              <w:right w:val="nil"/>
            </w:tcBorders>
          </w:tcPr>
          <w:p>
            <w:pPr>
              <w:pStyle w:val="TableParagraph"/>
              <w:ind w:right="163"/>
              <w:rPr>
                <w:sz w:val="20"/>
              </w:rPr>
            </w:pPr>
            <w:r>
              <w:rPr>
                <w:sz w:val="20"/>
              </w:rPr>
              <w:t>0.008</w:t>
            </w:r>
          </w:p>
        </w:tc>
        <w:tc>
          <w:tcPr>
            <w:tcW w:w="1210" w:type="dxa"/>
            <w:tcBorders>
              <w:top w:val="nil"/>
              <w:left w:val="nil"/>
              <w:bottom w:val="nil"/>
              <w:right w:val="nil"/>
            </w:tcBorders>
          </w:tcPr>
          <w:p>
            <w:pPr>
              <w:pStyle w:val="TableParagraph"/>
              <w:ind w:right="173"/>
              <w:rPr>
                <w:sz w:val="20"/>
              </w:rPr>
            </w:pPr>
            <w:r>
              <w:rPr>
                <w:sz w:val="20"/>
              </w:rPr>
              <w:t>0.050</w:t>
            </w:r>
          </w:p>
        </w:tc>
        <w:tc>
          <w:tcPr>
            <w:tcW w:w="1198" w:type="dxa"/>
            <w:tcBorders>
              <w:top w:val="nil"/>
              <w:left w:val="nil"/>
              <w:bottom w:val="nil"/>
              <w:right w:val="nil"/>
            </w:tcBorders>
          </w:tcPr>
          <w:p>
            <w:pPr>
              <w:pStyle w:val="TableParagraph"/>
              <w:ind w:right="175"/>
              <w:rPr>
                <w:sz w:val="20"/>
              </w:rPr>
            </w:pPr>
            <w:r>
              <w:rPr>
                <w:w w:val="100"/>
                <w:sz w:val="20"/>
              </w:rPr>
              <w:t>0</w:t>
            </w:r>
          </w:p>
        </w:tc>
        <w:tc>
          <w:tcPr>
            <w:tcW w:w="1090" w:type="dxa"/>
            <w:tcBorders>
              <w:top w:val="nil"/>
              <w:left w:val="nil"/>
              <w:bottom w:val="nil"/>
              <w:right w:val="nil"/>
            </w:tcBorders>
          </w:tcPr>
          <w:p>
            <w:pPr>
              <w:pStyle w:val="TableParagraph"/>
              <w:ind w:right="61"/>
              <w:rPr>
                <w:sz w:val="20"/>
              </w:rPr>
            </w:pPr>
            <w:r>
              <w:rPr>
                <w:sz w:val="20"/>
              </w:rPr>
              <w:t>0.014</w:t>
            </w:r>
          </w:p>
        </w:tc>
      </w:tr>
      <w:tr>
        <w:trPr>
          <w:trHeight w:val="300" w:hRule="exact"/>
        </w:trPr>
        <w:tc>
          <w:tcPr>
            <w:tcW w:w="1297" w:type="dxa"/>
            <w:tcBorders>
              <w:top w:val="nil"/>
              <w:left w:val="nil"/>
              <w:bottom w:val="nil"/>
              <w:right w:val="nil"/>
            </w:tcBorders>
          </w:tcPr>
          <w:p>
            <w:pPr>
              <w:pStyle w:val="TableParagraph"/>
              <w:spacing w:before="26"/>
              <w:ind w:left="72"/>
              <w:jc w:val="left"/>
              <w:rPr>
                <w:sz w:val="20"/>
              </w:rPr>
            </w:pPr>
            <w:r>
              <w:rPr>
                <w:w w:val="100"/>
                <w:sz w:val="20"/>
              </w:rPr>
              <w:t>8</w:t>
            </w:r>
          </w:p>
        </w:tc>
        <w:tc>
          <w:tcPr>
            <w:tcW w:w="1226" w:type="dxa"/>
            <w:tcBorders>
              <w:top w:val="nil"/>
              <w:left w:val="nil"/>
              <w:bottom w:val="nil"/>
              <w:right w:val="nil"/>
            </w:tcBorders>
          </w:tcPr>
          <w:p>
            <w:pPr>
              <w:pStyle w:val="TableParagraph"/>
              <w:spacing w:before="26"/>
              <w:ind w:right="183"/>
              <w:rPr>
                <w:sz w:val="20"/>
              </w:rPr>
            </w:pPr>
            <w:r>
              <w:rPr>
                <w:sz w:val="20"/>
              </w:rPr>
              <w:t>7.535</w:t>
            </w:r>
          </w:p>
        </w:tc>
        <w:tc>
          <w:tcPr>
            <w:tcW w:w="1181" w:type="dxa"/>
            <w:tcBorders>
              <w:top w:val="nil"/>
              <w:left w:val="nil"/>
              <w:bottom w:val="nil"/>
              <w:right w:val="nil"/>
            </w:tcBorders>
          </w:tcPr>
          <w:p>
            <w:pPr>
              <w:pStyle w:val="TableParagraph"/>
              <w:spacing w:before="26"/>
              <w:ind w:right="163"/>
              <w:rPr>
                <w:sz w:val="20"/>
              </w:rPr>
            </w:pPr>
            <w:r>
              <w:rPr>
                <w:sz w:val="20"/>
              </w:rPr>
              <w:t>0.046</w:t>
            </w:r>
          </w:p>
        </w:tc>
        <w:tc>
          <w:tcPr>
            <w:tcW w:w="1210" w:type="dxa"/>
            <w:tcBorders>
              <w:top w:val="nil"/>
              <w:left w:val="nil"/>
              <w:bottom w:val="nil"/>
              <w:right w:val="nil"/>
            </w:tcBorders>
          </w:tcPr>
          <w:p>
            <w:pPr>
              <w:pStyle w:val="TableParagraph"/>
              <w:spacing w:before="26"/>
              <w:ind w:right="173"/>
              <w:rPr>
                <w:sz w:val="20"/>
              </w:rPr>
            </w:pPr>
            <w:r>
              <w:rPr>
                <w:sz w:val="20"/>
              </w:rPr>
              <w:t>5.383</w:t>
            </w:r>
          </w:p>
        </w:tc>
        <w:tc>
          <w:tcPr>
            <w:tcW w:w="1198" w:type="dxa"/>
            <w:tcBorders>
              <w:top w:val="nil"/>
              <w:left w:val="nil"/>
              <w:bottom w:val="nil"/>
              <w:right w:val="nil"/>
            </w:tcBorders>
          </w:tcPr>
          <w:p>
            <w:pPr>
              <w:pStyle w:val="TableParagraph"/>
              <w:spacing w:before="26"/>
              <w:ind w:right="175"/>
              <w:rPr>
                <w:sz w:val="20"/>
              </w:rPr>
            </w:pPr>
            <w:r>
              <w:rPr>
                <w:w w:val="100"/>
                <w:sz w:val="20"/>
              </w:rPr>
              <w:t>0</w:t>
            </w:r>
          </w:p>
        </w:tc>
        <w:tc>
          <w:tcPr>
            <w:tcW w:w="1090" w:type="dxa"/>
            <w:tcBorders>
              <w:top w:val="nil"/>
              <w:left w:val="nil"/>
              <w:bottom w:val="nil"/>
              <w:right w:val="nil"/>
            </w:tcBorders>
          </w:tcPr>
          <w:p>
            <w:pPr>
              <w:pStyle w:val="TableParagraph"/>
              <w:spacing w:before="26"/>
              <w:ind w:right="61"/>
              <w:rPr>
                <w:sz w:val="20"/>
              </w:rPr>
            </w:pPr>
            <w:r>
              <w:rPr>
                <w:sz w:val="20"/>
              </w:rPr>
              <w:t>0.014</w:t>
            </w:r>
          </w:p>
        </w:tc>
      </w:tr>
      <w:tr>
        <w:trPr>
          <w:trHeight w:val="300" w:hRule="exact"/>
        </w:trPr>
        <w:tc>
          <w:tcPr>
            <w:tcW w:w="1297" w:type="dxa"/>
            <w:tcBorders>
              <w:top w:val="nil"/>
              <w:left w:val="nil"/>
              <w:bottom w:val="nil"/>
              <w:right w:val="nil"/>
            </w:tcBorders>
          </w:tcPr>
          <w:p>
            <w:pPr>
              <w:pStyle w:val="TableParagraph"/>
              <w:ind w:left="72"/>
              <w:jc w:val="left"/>
              <w:rPr>
                <w:sz w:val="20"/>
              </w:rPr>
            </w:pPr>
            <w:r>
              <w:rPr>
                <w:w w:val="100"/>
                <w:sz w:val="20"/>
              </w:rPr>
              <w:t>9</w:t>
            </w:r>
          </w:p>
        </w:tc>
        <w:tc>
          <w:tcPr>
            <w:tcW w:w="1226" w:type="dxa"/>
            <w:tcBorders>
              <w:top w:val="nil"/>
              <w:left w:val="nil"/>
              <w:bottom w:val="nil"/>
              <w:right w:val="nil"/>
            </w:tcBorders>
          </w:tcPr>
          <w:p>
            <w:pPr>
              <w:pStyle w:val="TableParagraph"/>
              <w:ind w:right="183"/>
              <w:rPr>
                <w:sz w:val="20"/>
              </w:rPr>
            </w:pPr>
            <w:r>
              <w:rPr>
                <w:sz w:val="20"/>
              </w:rPr>
              <w:t>0.124</w:t>
            </w:r>
          </w:p>
        </w:tc>
        <w:tc>
          <w:tcPr>
            <w:tcW w:w="1181" w:type="dxa"/>
            <w:tcBorders>
              <w:top w:val="nil"/>
              <w:left w:val="nil"/>
              <w:bottom w:val="nil"/>
              <w:right w:val="nil"/>
            </w:tcBorders>
          </w:tcPr>
          <w:p>
            <w:pPr>
              <w:pStyle w:val="TableParagraph"/>
              <w:ind w:right="163"/>
              <w:rPr>
                <w:sz w:val="20"/>
              </w:rPr>
            </w:pPr>
            <w:r>
              <w:rPr>
                <w:sz w:val="20"/>
              </w:rPr>
              <w:t>0.001</w:t>
            </w:r>
          </w:p>
        </w:tc>
        <w:tc>
          <w:tcPr>
            <w:tcW w:w="1210" w:type="dxa"/>
            <w:tcBorders>
              <w:top w:val="nil"/>
              <w:left w:val="nil"/>
              <w:bottom w:val="nil"/>
              <w:right w:val="nil"/>
            </w:tcBorders>
          </w:tcPr>
          <w:p>
            <w:pPr>
              <w:pStyle w:val="TableParagraph"/>
              <w:ind w:right="173"/>
              <w:rPr>
                <w:sz w:val="20"/>
              </w:rPr>
            </w:pPr>
            <w:r>
              <w:rPr>
                <w:sz w:val="20"/>
              </w:rPr>
              <w:t>0.058</w:t>
            </w:r>
          </w:p>
        </w:tc>
        <w:tc>
          <w:tcPr>
            <w:tcW w:w="1198" w:type="dxa"/>
            <w:tcBorders>
              <w:top w:val="nil"/>
              <w:left w:val="nil"/>
              <w:bottom w:val="nil"/>
              <w:right w:val="nil"/>
            </w:tcBorders>
          </w:tcPr>
          <w:p>
            <w:pPr>
              <w:pStyle w:val="TableParagraph"/>
              <w:ind w:right="175"/>
              <w:rPr>
                <w:sz w:val="20"/>
              </w:rPr>
            </w:pPr>
            <w:r>
              <w:rPr>
                <w:w w:val="100"/>
                <w:sz w:val="20"/>
              </w:rPr>
              <w:t>0</w:t>
            </w:r>
          </w:p>
        </w:tc>
        <w:tc>
          <w:tcPr>
            <w:tcW w:w="1090" w:type="dxa"/>
            <w:tcBorders>
              <w:top w:val="nil"/>
              <w:left w:val="nil"/>
              <w:bottom w:val="nil"/>
              <w:right w:val="nil"/>
            </w:tcBorders>
          </w:tcPr>
          <w:p>
            <w:pPr>
              <w:pStyle w:val="TableParagraph"/>
              <w:ind w:right="61"/>
              <w:rPr>
                <w:sz w:val="20"/>
              </w:rPr>
            </w:pPr>
            <w:r>
              <w:rPr>
                <w:sz w:val="20"/>
              </w:rPr>
              <w:t>0.014</w:t>
            </w:r>
          </w:p>
        </w:tc>
      </w:tr>
      <w:tr>
        <w:trPr>
          <w:trHeight w:val="300" w:hRule="exact"/>
        </w:trPr>
        <w:tc>
          <w:tcPr>
            <w:tcW w:w="1297" w:type="dxa"/>
            <w:tcBorders>
              <w:top w:val="nil"/>
              <w:left w:val="nil"/>
              <w:bottom w:val="nil"/>
              <w:right w:val="nil"/>
            </w:tcBorders>
          </w:tcPr>
          <w:p>
            <w:pPr>
              <w:pStyle w:val="TableParagraph"/>
              <w:spacing w:before="26"/>
              <w:ind w:left="72"/>
              <w:jc w:val="left"/>
              <w:rPr>
                <w:sz w:val="20"/>
              </w:rPr>
            </w:pPr>
            <w:r>
              <w:rPr>
                <w:sz w:val="20"/>
              </w:rPr>
              <w:t>10</w:t>
            </w:r>
          </w:p>
        </w:tc>
        <w:tc>
          <w:tcPr>
            <w:tcW w:w="1226" w:type="dxa"/>
            <w:tcBorders>
              <w:top w:val="nil"/>
              <w:left w:val="nil"/>
              <w:bottom w:val="nil"/>
              <w:right w:val="nil"/>
            </w:tcBorders>
          </w:tcPr>
          <w:p>
            <w:pPr>
              <w:pStyle w:val="TableParagraph"/>
              <w:spacing w:before="26"/>
              <w:ind w:right="183"/>
              <w:rPr>
                <w:sz w:val="20"/>
              </w:rPr>
            </w:pPr>
            <w:r>
              <w:rPr>
                <w:sz w:val="20"/>
              </w:rPr>
              <w:t>0.226</w:t>
            </w:r>
          </w:p>
        </w:tc>
        <w:tc>
          <w:tcPr>
            <w:tcW w:w="1181" w:type="dxa"/>
            <w:tcBorders>
              <w:top w:val="nil"/>
              <w:left w:val="nil"/>
              <w:bottom w:val="nil"/>
              <w:right w:val="nil"/>
            </w:tcBorders>
          </w:tcPr>
          <w:p>
            <w:pPr>
              <w:pStyle w:val="TableParagraph"/>
              <w:spacing w:before="26"/>
              <w:ind w:right="163"/>
              <w:rPr>
                <w:sz w:val="20"/>
              </w:rPr>
            </w:pPr>
            <w:r>
              <w:rPr>
                <w:sz w:val="20"/>
              </w:rPr>
              <w:t>0.001</w:t>
            </w:r>
          </w:p>
        </w:tc>
        <w:tc>
          <w:tcPr>
            <w:tcW w:w="1210" w:type="dxa"/>
            <w:tcBorders>
              <w:top w:val="nil"/>
              <w:left w:val="nil"/>
              <w:bottom w:val="nil"/>
              <w:right w:val="nil"/>
            </w:tcBorders>
          </w:tcPr>
          <w:p>
            <w:pPr>
              <w:pStyle w:val="TableParagraph"/>
              <w:spacing w:before="26"/>
              <w:ind w:right="173"/>
              <w:rPr>
                <w:sz w:val="20"/>
              </w:rPr>
            </w:pPr>
            <w:r>
              <w:rPr>
                <w:sz w:val="20"/>
              </w:rPr>
              <w:t>0.152</w:t>
            </w:r>
          </w:p>
        </w:tc>
        <w:tc>
          <w:tcPr>
            <w:tcW w:w="1198" w:type="dxa"/>
            <w:tcBorders>
              <w:top w:val="nil"/>
              <w:left w:val="nil"/>
              <w:bottom w:val="nil"/>
              <w:right w:val="nil"/>
            </w:tcBorders>
          </w:tcPr>
          <w:p>
            <w:pPr>
              <w:pStyle w:val="TableParagraph"/>
              <w:spacing w:before="26"/>
              <w:ind w:right="175"/>
              <w:rPr>
                <w:sz w:val="20"/>
              </w:rPr>
            </w:pPr>
            <w:r>
              <w:rPr>
                <w:w w:val="100"/>
                <w:sz w:val="20"/>
              </w:rPr>
              <w:t>0</w:t>
            </w:r>
          </w:p>
        </w:tc>
        <w:tc>
          <w:tcPr>
            <w:tcW w:w="1090" w:type="dxa"/>
            <w:tcBorders>
              <w:top w:val="nil"/>
              <w:left w:val="nil"/>
              <w:bottom w:val="nil"/>
              <w:right w:val="nil"/>
            </w:tcBorders>
          </w:tcPr>
          <w:p>
            <w:pPr>
              <w:pStyle w:val="TableParagraph"/>
              <w:spacing w:before="26"/>
              <w:ind w:right="61"/>
              <w:rPr>
                <w:sz w:val="20"/>
              </w:rPr>
            </w:pPr>
            <w:r>
              <w:rPr>
                <w:sz w:val="20"/>
              </w:rPr>
              <w:t>0.014</w:t>
            </w:r>
          </w:p>
        </w:tc>
      </w:tr>
      <w:tr>
        <w:trPr>
          <w:trHeight w:val="300" w:hRule="exact"/>
        </w:trPr>
        <w:tc>
          <w:tcPr>
            <w:tcW w:w="1297" w:type="dxa"/>
            <w:tcBorders>
              <w:top w:val="nil"/>
              <w:left w:val="nil"/>
              <w:bottom w:val="nil"/>
              <w:right w:val="nil"/>
            </w:tcBorders>
          </w:tcPr>
          <w:p>
            <w:pPr>
              <w:pStyle w:val="TableParagraph"/>
              <w:ind w:left="72"/>
              <w:jc w:val="left"/>
              <w:rPr>
                <w:sz w:val="20"/>
              </w:rPr>
            </w:pPr>
            <w:r>
              <w:rPr>
                <w:sz w:val="20"/>
              </w:rPr>
              <w:t>11</w:t>
            </w:r>
          </w:p>
        </w:tc>
        <w:tc>
          <w:tcPr>
            <w:tcW w:w="1226" w:type="dxa"/>
            <w:tcBorders>
              <w:top w:val="nil"/>
              <w:left w:val="nil"/>
              <w:bottom w:val="nil"/>
              <w:right w:val="nil"/>
            </w:tcBorders>
          </w:tcPr>
          <w:p>
            <w:pPr>
              <w:pStyle w:val="TableParagraph"/>
              <w:ind w:right="183"/>
              <w:rPr>
                <w:sz w:val="20"/>
              </w:rPr>
            </w:pPr>
            <w:r>
              <w:rPr>
                <w:sz w:val="20"/>
              </w:rPr>
              <w:t>9.508</w:t>
            </w:r>
          </w:p>
        </w:tc>
        <w:tc>
          <w:tcPr>
            <w:tcW w:w="1181" w:type="dxa"/>
            <w:tcBorders>
              <w:top w:val="nil"/>
              <w:left w:val="nil"/>
              <w:bottom w:val="nil"/>
              <w:right w:val="nil"/>
            </w:tcBorders>
          </w:tcPr>
          <w:p>
            <w:pPr>
              <w:pStyle w:val="TableParagraph"/>
              <w:ind w:right="163"/>
              <w:rPr>
                <w:sz w:val="20"/>
              </w:rPr>
            </w:pPr>
            <w:r>
              <w:rPr>
                <w:sz w:val="20"/>
              </w:rPr>
              <w:t>0.064</w:t>
            </w:r>
          </w:p>
        </w:tc>
        <w:tc>
          <w:tcPr>
            <w:tcW w:w="1210" w:type="dxa"/>
            <w:tcBorders>
              <w:top w:val="nil"/>
              <w:left w:val="nil"/>
              <w:bottom w:val="nil"/>
              <w:right w:val="nil"/>
            </w:tcBorders>
          </w:tcPr>
          <w:p>
            <w:pPr>
              <w:pStyle w:val="TableParagraph"/>
              <w:ind w:right="173"/>
              <w:rPr>
                <w:sz w:val="20"/>
              </w:rPr>
            </w:pPr>
            <w:r>
              <w:rPr>
                <w:sz w:val="20"/>
              </w:rPr>
              <w:t>5.790</w:t>
            </w:r>
          </w:p>
        </w:tc>
        <w:tc>
          <w:tcPr>
            <w:tcW w:w="1198" w:type="dxa"/>
            <w:tcBorders>
              <w:top w:val="nil"/>
              <w:left w:val="nil"/>
              <w:bottom w:val="nil"/>
              <w:right w:val="nil"/>
            </w:tcBorders>
          </w:tcPr>
          <w:p>
            <w:pPr>
              <w:pStyle w:val="TableParagraph"/>
              <w:ind w:right="175"/>
              <w:rPr>
                <w:sz w:val="20"/>
              </w:rPr>
            </w:pPr>
            <w:r>
              <w:rPr>
                <w:w w:val="100"/>
                <w:sz w:val="20"/>
              </w:rPr>
              <w:t>0</w:t>
            </w:r>
          </w:p>
        </w:tc>
        <w:tc>
          <w:tcPr>
            <w:tcW w:w="1090" w:type="dxa"/>
            <w:tcBorders>
              <w:top w:val="nil"/>
              <w:left w:val="nil"/>
              <w:bottom w:val="nil"/>
              <w:right w:val="nil"/>
            </w:tcBorders>
          </w:tcPr>
          <w:p>
            <w:pPr>
              <w:pStyle w:val="TableParagraph"/>
              <w:ind w:right="61"/>
              <w:rPr>
                <w:sz w:val="20"/>
              </w:rPr>
            </w:pPr>
            <w:r>
              <w:rPr>
                <w:sz w:val="20"/>
              </w:rPr>
              <w:t>0.014</w:t>
            </w:r>
          </w:p>
        </w:tc>
      </w:tr>
      <w:tr>
        <w:trPr>
          <w:trHeight w:val="300" w:hRule="exact"/>
        </w:trPr>
        <w:tc>
          <w:tcPr>
            <w:tcW w:w="1297" w:type="dxa"/>
            <w:tcBorders>
              <w:top w:val="nil"/>
              <w:left w:val="nil"/>
              <w:bottom w:val="nil"/>
              <w:right w:val="nil"/>
            </w:tcBorders>
          </w:tcPr>
          <w:p>
            <w:pPr>
              <w:pStyle w:val="TableParagraph"/>
              <w:spacing w:before="26"/>
              <w:ind w:left="72"/>
              <w:jc w:val="left"/>
              <w:rPr>
                <w:sz w:val="20"/>
              </w:rPr>
            </w:pPr>
            <w:r>
              <w:rPr>
                <w:sz w:val="20"/>
              </w:rPr>
              <w:t>12</w:t>
            </w:r>
          </w:p>
        </w:tc>
        <w:tc>
          <w:tcPr>
            <w:tcW w:w="1226" w:type="dxa"/>
            <w:tcBorders>
              <w:top w:val="nil"/>
              <w:left w:val="nil"/>
              <w:bottom w:val="nil"/>
              <w:right w:val="nil"/>
            </w:tcBorders>
          </w:tcPr>
          <w:p>
            <w:pPr>
              <w:pStyle w:val="TableParagraph"/>
              <w:spacing w:before="26"/>
              <w:ind w:right="183"/>
              <w:rPr>
                <w:sz w:val="20"/>
              </w:rPr>
            </w:pPr>
            <w:r>
              <w:rPr>
                <w:sz w:val="20"/>
              </w:rPr>
              <w:t>7.168</w:t>
            </w:r>
          </w:p>
        </w:tc>
        <w:tc>
          <w:tcPr>
            <w:tcW w:w="1181" w:type="dxa"/>
            <w:tcBorders>
              <w:top w:val="nil"/>
              <w:left w:val="nil"/>
              <w:bottom w:val="nil"/>
              <w:right w:val="nil"/>
            </w:tcBorders>
          </w:tcPr>
          <w:p>
            <w:pPr>
              <w:pStyle w:val="TableParagraph"/>
              <w:spacing w:before="26"/>
              <w:ind w:right="163"/>
              <w:rPr>
                <w:sz w:val="20"/>
              </w:rPr>
            </w:pPr>
            <w:r>
              <w:rPr>
                <w:sz w:val="20"/>
              </w:rPr>
              <w:t>0.013</w:t>
            </w:r>
          </w:p>
        </w:tc>
        <w:tc>
          <w:tcPr>
            <w:tcW w:w="1210" w:type="dxa"/>
            <w:tcBorders>
              <w:top w:val="nil"/>
              <w:left w:val="nil"/>
              <w:bottom w:val="nil"/>
              <w:right w:val="nil"/>
            </w:tcBorders>
          </w:tcPr>
          <w:p>
            <w:pPr>
              <w:pStyle w:val="TableParagraph"/>
              <w:spacing w:before="26"/>
              <w:ind w:right="173"/>
              <w:rPr>
                <w:sz w:val="20"/>
              </w:rPr>
            </w:pPr>
            <w:r>
              <w:rPr>
                <w:sz w:val="20"/>
              </w:rPr>
              <w:t>3.800</w:t>
            </w:r>
          </w:p>
        </w:tc>
        <w:tc>
          <w:tcPr>
            <w:tcW w:w="1198" w:type="dxa"/>
            <w:tcBorders>
              <w:top w:val="nil"/>
              <w:left w:val="nil"/>
              <w:bottom w:val="nil"/>
              <w:right w:val="nil"/>
            </w:tcBorders>
          </w:tcPr>
          <w:p>
            <w:pPr>
              <w:pStyle w:val="TableParagraph"/>
              <w:spacing w:before="26"/>
              <w:ind w:right="175"/>
              <w:rPr>
                <w:sz w:val="20"/>
              </w:rPr>
            </w:pPr>
            <w:r>
              <w:rPr>
                <w:w w:val="100"/>
                <w:sz w:val="20"/>
              </w:rPr>
              <w:t>0</w:t>
            </w:r>
          </w:p>
        </w:tc>
        <w:tc>
          <w:tcPr>
            <w:tcW w:w="1090" w:type="dxa"/>
            <w:tcBorders>
              <w:top w:val="nil"/>
              <w:left w:val="nil"/>
              <w:bottom w:val="nil"/>
              <w:right w:val="nil"/>
            </w:tcBorders>
          </w:tcPr>
          <w:p>
            <w:pPr>
              <w:pStyle w:val="TableParagraph"/>
              <w:spacing w:before="26"/>
              <w:ind w:right="61"/>
              <w:rPr>
                <w:sz w:val="20"/>
              </w:rPr>
            </w:pPr>
            <w:r>
              <w:rPr>
                <w:sz w:val="20"/>
              </w:rPr>
              <w:t>0.014</w:t>
            </w:r>
          </w:p>
        </w:tc>
      </w:tr>
      <w:tr>
        <w:trPr>
          <w:trHeight w:val="300" w:hRule="exact"/>
        </w:trPr>
        <w:tc>
          <w:tcPr>
            <w:tcW w:w="1297" w:type="dxa"/>
            <w:tcBorders>
              <w:top w:val="nil"/>
              <w:left w:val="nil"/>
              <w:bottom w:val="nil"/>
              <w:right w:val="nil"/>
            </w:tcBorders>
          </w:tcPr>
          <w:p>
            <w:pPr>
              <w:pStyle w:val="TableParagraph"/>
              <w:ind w:left="72"/>
              <w:jc w:val="left"/>
              <w:rPr>
                <w:sz w:val="20"/>
              </w:rPr>
            </w:pPr>
            <w:r>
              <w:rPr>
                <w:sz w:val="20"/>
              </w:rPr>
              <w:t>13</w:t>
            </w:r>
          </w:p>
        </w:tc>
        <w:tc>
          <w:tcPr>
            <w:tcW w:w="1226" w:type="dxa"/>
            <w:tcBorders>
              <w:top w:val="nil"/>
              <w:left w:val="nil"/>
              <w:bottom w:val="nil"/>
              <w:right w:val="nil"/>
            </w:tcBorders>
          </w:tcPr>
          <w:p>
            <w:pPr>
              <w:pStyle w:val="TableParagraph"/>
              <w:ind w:right="183"/>
              <w:rPr>
                <w:sz w:val="20"/>
              </w:rPr>
            </w:pPr>
            <w:r>
              <w:rPr>
                <w:sz w:val="20"/>
              </w:rPr>
              <w:t>8.406</w:t>
            </w:r>
          </w:p>
        </w:tc>
        <w:tc>
          <w:tcPr>
            <w:tcW w:w="1181" w:type="dxa"/>
            <w:tcBorders>
              <w:top w:val="nil"/>
              <w:left w:val="nil"/>
              <w:bottom w:val="nil"/>
              <w:right w:val="nil"/>
            </w:tcBorders>
          </w:tcPr>
          <w:p>
            <w:pPr>
              <w:pStyle w:val="TableParagraph"/>
              <w:ind w:right="163"/>
              <w:rPr>
                <w:sz w:val="20"/>
              </w:rPr>
            </w:pPr>
            <w:r>
              <w:rPr>
                <w:sz w:val="20"/>
              </w:rPr>
              <w:t>0.041</w:t>
            </w:r>
          </w:p>
        </w:tc>
        <w:tc>
          <w:tcPr>
            <w:tcW w:w="1210" w:type="dxa"/>
            <w:tcBorders>
              <w:top w:val="nil"/>
              <w:left w:val="nil"/>
              <w:bottom w:val="nil"/>
              <w:right w:val="nil"/>
            </w:tcBorders>
          </w:tcPr>
          <w:p>
            <w:pPr>
              <w:pStyle w:val="TableParagraph"/>
              <w:ind w:right="173"/>
              <w:rPr>
                <w:sz w:val="20"/>
              </w:rPr>
            </w:pPr>
            <w:r>
              <w:rPr>
                <w:sz w:val="20"/>
              </w:rPr>
              <w:t>5.024</w:t>
            </w:r>
          </w:p>
        </w:tc>
        <w:tc>
          <w:tcPr>
            <w:tcW w:w="1198" w:type="dxa"/>
            <w:tcBorders>
              <w:top w:val="nil"/>
              <w:left w:val="nil"/>
              <w:bottom w:val="nil"/>
              <w:right w:val="nil"/>
            </w:tcBorders>
          </w:tcPr>
          <w:p>
            <w:pPr>
              <w:pStyle w:val="TableParagraph"/>
              <w:ind w:right="175"/>
              <w:rPr>
                <w:sz w:val="20"/>
              </w:rPr>
            </w:pPr>
            <w:r>
              <w:rPr>
                <w:w w:val="100"/>
                <w:sz w:val="20"/>
              </w:rPr>
              <w:t>0</w:t>
            </w:r>
          </w:p>
        </w:tc>
        <w:tc>
          <w:tcPr>
            <w:tcW w:w="1090" w:type="dxa"/>
            <w:tcBorders>
              <w:top w:val="nil"/>
              <w:left w:val="nil"/>
              <w:bottom w:val="nil"/>
              <w:right w:val="nil"/>
            </w:tcBorders>
          </w:tcPr>
          <w:p>
            <w:pPr>
              <w:pStyle w:val="TableParagraph"/>
              <w:ind w:right="61"/>
              <w:rPr>
                <w:sz w:val="20"/>
              </w:rPr>
            </w:pPr>
            <w:r>
              <w:rPr>
                <w:sz w:val="20"/>
              </w:rPr>
              <w:t>0.014</w:t>
            </w:r>
          </w:p>
        </w:tc>
      </w:tr>
      <w:tr>
        <w:trPr>
          <w:trHeight w:val="300" w:hRule="exact"/>
        </w:trPr>
        <w:tc>
          <w:tcPr>
            <w:tcW w:w="1297" w:type="dxa"/>
            <w:tcBorders>
              <w:top w:val="nil"/>
              <w:left w:val="nil"/>
              <w:bottom w:val="nil"/>
              <w:right w:val="nil"/>
            </w:tcBorders>
          </w:tcPr>
          <w:p>
            <w:pPr>
              <w:pStyle w:val="TableParagraph"/>
              <w:spacing w:before="26"/>
              <w:ind w:left="72"/>
              <w:jc w:val="left"/>
              <w:rPr>
                <w:sz w:val="20"/>
              </w:rPr>
            </w:pPr>
            <w:r>
              <w:rPr>
                <w:sz w:val="20"/>
              </w:rPr>
              <w:t>14</w:t>
            </w:r>
          </w:p>
        </w:tc>
        <w:tc>
          <w:tcPr>
            <w:tcW w:w="1226" w:type="dxa"/>
            <w:tcBorders>
              <w:top w:val="nil"/>
              <w:left w:val="nil"/>
              <w:bottom w:val="nil"/>
              <w:right w:val="nil"/>
            </w:tcBorders>
          </w:tcPr>
          <w:p>
            <w:pPr>
              <w:pStyle w:val="TableParagraph"/>
              <w:spacing w:before="26"/>
              <w:ind w:right="183"/>
              <w:rPr>
                <w:sz w:val="20"/>
              </w:rPr>
            </w:pPr>
            <w:r>
              <w:rPr>
                <w:sz w:val="20"/>
              </w:rPr>
              <w:t>0.783</w:t>
            </w:r>
          </w:p>
        </w:tc>
        <w:tc>
          <w:tcPr>
            <w:tcW w:w="1181" w:type="dxa"/>
            <w:tcBorders>
              <w:top w:val="nil"/>
              <w:left w:val="nil"/>
              <w:bottom w:val="nil"/>
              <w:right w:val="nil"/>
            </w:tcBorders>
          </w:tcPr>
          <w:p>
            <w:pPr>
              <w:pStyle w:val="TableParagraph"/>
              <w:spacing w:before="26"/>
              <w:ind w:right="163"/>
              <w:rPr>
                <w:sz w:val="20"/>
              </w:rPr>
            </w:pPr>
            <w:r>
              <w:rPr>
                <w:sz w:val="20"/>
              </w:rPr>
              <w:t>0.001</w:t>
            </w:r>
          </w:p>
        </w:tc>
        <w:tc>
          <w:tcPr>
            <w:tcW w:w="1210" w:type="dxa"/>
            <w:tcBorders>
              <w:top w:val="nil"/>
              <w:left w:val="nil"/>
              <w:bottom w:val="nil"/>
              <w:right w:val="nil"/>
            </w:tcBorders>
          </w:tcPr>
          <w:p>
            <w:pPr>
              <w:pStyle w:val="TableParagraph"/>
              <w:spacing w:before="26"/>
              <w:ind w:right="173"/>
              <w:rPr>
                <w:sz w:val="20"/>
              </w:rPr>
            </w:pPr>
            <w:r>
              <w:rPr>
                <w:sz w:val="20"/>
              </w:rPr>
              <w:t>0.569</w:t>
            </w:r>
          </w:p>
        </w:tc>
        <w:tc>
          <w:tcPr>
            <w:tcW w:w="1198" w:type="dxa"/>
            <w:tcBorders>
              <w:top w:val="nil"/>
              <w:left w:val="nil"/>
              <w:bottom w:val="nil"/>
              <w:right w:val="nil"/>
            </w:tcBorders>
          </w:tcPr>
          <w:p>
            <w:pPr>
              <w:pStyle w:val="TableParagraph"/>
              <w:spacing w:before="26"/>
              <w:ind w:right="175"/>
              <w:rPr>
                <w:sz w:val="20"/>
              </w:rPr>
            </w:pPr>
            <w:r>
              <w:rPr>
                <w:w w:val="100"/>
                <w:sz w:val="20"/>
              </w:rPr>
              <w:t>0</w:t>
            </w:r>
          </w:p>
        </w:tc>
        <w:tc>
          <w:tcPr>
            <w:tcW w:w="1090" w:type="dxa"/>
            <w:tcBorders>
              <w:top w:val="nil"/>
              <w:left w:val="nil"/>
              <w:bottom w:val="nil"/>
              <w:right w:val="nil"/>
            </w:tcBorders>
          </w:tcPr>
          <w:p>
            <w:pPr>
              <w:pStyle w:val="TableParagraph"/>
              <w:spacing w:before="26"/>
              <w:ind w:right="61"/>
              <w:rPr>
                <w:sz w:val="20"/>
              </w:rPr>
            </w:pPr>
            <w:r>
              <w:rPr>
                <w:sz w:val="20"/>
              </w:rPr>
              <w:t>0.014</w:t>
            </w:r>
          </w:p>
        </w:tc>
      </w:tr>
      <w:tr>
        <w:trPr>
          <w:trHeight w:val="300" w:hRule="exact"/>
        </w:trPr>
        <w:tc>
          <w:tcPr>
            <w:tcW w:w="1297" w:type="dxa"/>
            <w:tcBorders>
              <w:top w:val="nil"/>
              <w:left w:val="nil"/>
              <w:bottom w:val="nil"/>
              <w:right w:val="nil"/>
            </w:tcBorders>
          </w:tcPr>
          <w:p>
            <w:pPr>
              <w:pStyle w:val="TableParagraph"/>
              <w:ind w:left="72"/>
              <w:jc w:val="left"/>
              <w:rPr>
                <w:sz w:val="20"/>
              </w:rPr>
            </w:pPr>
            <w:r>
              <w:rPr>
                <w:sz w:val="20"/>
              </w:rPr>
              <w:t>15</w:t>
            </w:r>
          </w:p>
        </w:tc>
        <w:tc>
          <w:tcPr>
            <w:tcW w:w="1226" w:type="dxa"/>
            <w:tcBorders>
              <w:top w:val="nil"/>
              <w:left w:val="nil"/>
              <w:bottom w:val="nil"/>
              <w:right w:val="nil"/>
            </w:tcBorders>
          </w:tcPr>
          <w:p>
            <w:pPr>
              <w:pStyle w:val="TableParagraph"/>
              <w:ind w:right="183"/>
              <w:rPr>
                <w:sz w:val="20"/>
              </w:rPr>
            </w:pPr>
            <w:r>
              <w:rPr>
                <w:sz w:val="20"/>
              </w:rPr>
              <w:t>4.513</w:t>
            </w:r>
          </w:p>
        </w:tc>
        <w:tc>
          <w:tcPr>
            <w:tcW w:w="1181" w:type="dxa"/>
            <w:tcBorders>
              <w:top w:val="nil"/>
              <w:left w:val="nil"/>
              <w:bottom w:val="nil"/>
              <w:right w:val="nil"/>
            </w:tcBorders>
          </w:tcPr>
          <w:p>
            <w:pPr>
              <w:pStyle w:val="TableParagraph"/>
              <w:ind w:right="163"/>
              <w:rPr>
                <w:sz w:val="20"/>
              </w:rPr>
            </w:pPr>
            <w:r>
              <w:rPr>
                <w:sz w:val="20"/>
              </w:rPr>
              <w:t>0.078</w:t>
            </w:r>
          </w:p>
        </w:tc>
        <w:tc>
          <w:tcPr>
            <w:tcW w:w="1210" w:type="dxa"/>
            <w:tcBorders>
              <w:top w:val="nil"/>
              <w:left w:val="nil"/>
              <w:bottom w:val="nil"/>
              <w:right w:val="nil"/>
            </w:tcBorders>
          </w:tcPr>
          <w:p>
            <w:pPr>
              <w:pStyle w:val="TableParagraph"/>
              <w:ind w:right="173"/>
              <w:rPr>
                <w:sz w:val="20"/>
              </w:rPr>
            </w:pPr>
            <w:r>
              <w:rPr>
                <w:sz w:val="20"/>
              </w:rPr>
              <w:t>3.144</w:t>
            </w:r>
          </w:p>
        </w:tc>
        <w:tc>
          <w:tcPr>
            <w:tcW w:w="1198" w:type="dxa"/>
            <w:tcBorders>
              <w:top w:val="nil"/>
              <w:left w:val="nil"/>
              <w:bottom w:val="nil"/>
              <w:right w:val="nil"/>
            </w:tcBorders>
          </w:tcPr>
          <w:p>
            <w:pPr>
              <w:pStyle w:val="TableParagraph"/>
              <w:ind w:right="175"/>
              <w:rPr>
                <w:sz w:val="20"/>
              </w:rPr>
            </w:pPr>
            <w:r>
              <w:rPr>
                <w:w w:val="100"/>
                <w:sz w:val="20"/>
              </w:rPr>
              <w:t>0</w:t>
            </w:r>
          </w:p>
        </w:tc>
        <w:tc>
          <w:tcPr>
            <w:tcW w:w="1090" w:type="dxa"/>
            <w:tcBorders>
              <w:top w:val="nil"/>
              <w:left w:val="nil"/>
              <w:bottom w:val="nil"/>
              <w:right w:val="nil"/>
            </w:tcBorders>
          </w:tcPr>
          <w:p>
            <w:pPr>
              <w:pStyle w:val="TableParagraph"/>
              <w:ind w:right="61"/>
              <w:rPr>
                <w:sz w:val="20"/>
              </w:rPr>
            </w:pPr>
            <w:r>
              <w:rPr>
                <w:sz w:val="20"/>
              </w:rPr>
              <w:t>0.014</w:t>
            </w:r>
          </w:p>
        </w:tc>
      </w:tr>
      <w:tr>
        <w:trPr>
          <w:trHeight w:val="300" w:hRule="exact"/>
        </w:trPr>
        <w:tc>
          <w:tcPr>
            <w:tcW w:w="1297" w:type="dxa"/>
            <w:tcBorders>
              <w:top w:val="nil"/>
              <w:left w:val="nil"/>
              <w:bottom w:val="nil"/>
              <w:right w:val="nil"/>
            </w:tcBorders>
          </w:tcPr>
          <w:p>
            <w:pPr>
              <w:pStyle w:val="TableParagraph"/>
              <w:spacing w:before="26"/>
              <w:ind w:left="72"/>
              <w:jc w:val="left"/>
              <w:rPr>
                <w:sz w:val="20"/>
              </w:rPr>
            </w:pPr>
            <w:r>
              <w:rPr>
                <w:sz w:val="20"/>
              </w:rPr>
              <w:t>16</w:t>
            </w:r>
          </w:p>
        </w:tc>
        <w:tc>
          <w:tcPr>
            <w:tcW w:w="1226" w:type="dxa"/>
            <w:tcBorders>
              <w:top w:val="nil"/>
              <w:left w:val="nil"/>
              <w:bottom w:val="nil"/>
              <w:right w:val="nil"/>
            </w:tcBorders>
          </w:tcPr>
          <w:p>
            <w:pPr>
              <w:pStyle w:val="TableParagraph"/>
              <w:spacing w:before="26"/>
              <w:ind w:right="183"/>
              <w:rPr>
                <w:sz w:val="20"/>
              </w:rPr>
            </w:pPr>
            <w:r>
              <w:rPr>
                <w:sz w:val="20"/>
              </w:rPr>
              <w:t>5.817</w:t>
            </w:r>
          </w:p>
        </w:tc>
        <w:tc>
          <w:tcPr>
            <w:tcW w:w="1181" w:type="dxa"/>
            <w:tcBorders>
              <w:top w:val="nil"/>
              <w:left w:val="nil"/>
              <w:bottom w:val="nil"/>
              <w:right w:val="nil"/>
            </w:tcBorders>
          </w:tcPr>
          <w:p>
            <w:pPr>
              <w:pStyle w:val="TableParagraph"/>
              <w:spacing w:before="26"/>
              <w:ind w:right="163"/>
              <w:rPr>
                <w:sz w:val="20"/>
              </w:rPr>
            </w:pPr>
            <w:r>
              <w:rPr>
                <w:sz w:val="20"/>
              </w:rPr>
              <w:t>0.026</w:t>
            </w:r>
          </w:p>
        </w:tc>
        <w:tc>
          <w:tcPr>
            <w:tcW w:w="1210" w:type="dxa"/>
            <w:tcBorders>
              <w:top w:val="nil"/>
              <w:left w:val="nil"/>
              <w:bottom w:val="nil"/>
              <w:right w:val="nil"/>
            </w:tcBorders>
          </w:tcPr>
          <w:p>
            <w:pPr>
              <w:pStyle w:val="TableParagraph"/>
              <w:spacing w:before="26"/>
              <w:ind w:right="173"/>
              <w:rPr>
                <w:sz w:val="20"/>
              </w:rPr>
            </w:pPr>
            <w:r>
              <w:rPr>
                <w:sz w:val="20"/>
              </w:rPr>
              <w:t>3.075</w:t>
            </w:r>
          </w:p>
        </w:tc>
        <w:tc>
          <w:tcPr>
            <w:tcW w:w="1198" w:type="dxa"/>
            <w:tcBorders>
              <w:top w:val="nil"/>
              <w:left w:val="nil"/>
              <w:bottom w:val="nil"/>
              <w:right w:val="nil"/>
            </w:tcBorders>
          </w:tcPr>
          <w:p>
            <w:pPr>
              <w:pStyle w:val="TableParagraph"/>
              <w:spacing w:before="26"/>
              <w:ind w:right="175"/>
              <w:rPr>
                <w:sz w:val="20"/>
              </w:rPr>
            </w:pPr>
            <w:r>
              <w:rPr>
                <w:w w:val="100"/>
                <w:sz w:val="20"/>
              </w:rPr>
              <w:t>0</w:t>
            </w:r>
          </w:p>
        </w:tc>
        <w:tc>
          <w:tcPr>
            <w:tcW w:w="1090" w:type="dxa"/>
            <w:tcBorders>
              <w:top w:val="nil"/>
              <w:left w:val="nil"/>
              <w:bottom w:val="nil"/>
              <w:right w:val="nil"/>
            </w:tcBorders>
          </w:tcPr>
          <w:p>
            <w:pPr>
              <w:pStyle w:val="TableParagraph"/>
              <w:spacing w:before="26"/>
              <w:ind w:right="61"/>
              <w:rPr>
                <w:sz w:val="20"/>
              </w:rPr>
            </w:pPr>
            <w:r>
              <w:rPr>
                <w:sz w:val="20"/>
              </w:rPr>
              <w:t>0.014</w:t>
            </w:r>
          </w:p>
        </w:tc>
      </w:tr>
      <w:tr>
        <w:trPr>
          <w:trHeight w:val="300" w:hRule="exact"/>
        </w:trPr>
        <w:tc>
          <w:tcPr>
            <w:tcW w:w="1297" w:type="dxa"/>
            <w:tcBorders>
              <w:top w:val="nil"/>
              <w:left w:val="nil"/>
              <w:bottom w:val="nil"/>
              <w:right w:val="nil"/>
            </w:tcBorders>
          </w:tcPr>
          <w:p>
            <w:pPr>
              <w:pStyle w:val="TableParagraph"/>
              <w:ind w:left="72"/>
              <w:jc w:val="left"/>
              <w:rPr>
                <w:sz w:val="20"/>
              </w:rPr>
            </w:pPr>
            <w:r>
              <w:rPr>
                <w:sz w:val="20"/>
              </w:rPr>
              <w:t>17</w:t>
            </w:r>
          </w:p>
        </w:tc>
        <w:tc>
          <w:tcPr>
            <w:tcW w:w="1226" w:type="dxa"/>
            <w:tcBorders>
              <w:top w:val="nil"/>
              <w:left w:val="nil"/>
              <w:bottom w:val="nil"/>
              <w:right w:val="nil"/>
            </w:tcBorders>
          </w:tcPr>
          <w:p>
            <w:pPr>
              <w:pStyle w:val="TableParagraph"/>
              <w:ind w:right="183"/>
              <w:rPr>
                <w:sz w:val="20"/>
              </w:rPr>
            </w:pPr>
            <w:r>
              <w:rPr>
                <w:sz w:val="20"/>
              </w:rPr>
              <w:t>0.461</w:t>
            </w:r>
          </w:p>
        </w:tc>
        <w:tc>
          <w:tcPr>
            <w:tcW w:w="1181" w:type="dxa"/>
            <w:tcBorders>
              <w:top w:val="nil"/>
              <w:left w:val="nil"/>
              <w:bottom w:val="nil"/>
              <w:right w:val="nil"/>
            </w:tcBorders>
          </w:tcPr>
          <w:p>
            <w:pPr>
              <w:pStyle w:val="TableParagraph"/>
              <w:ind w:right="163"/>
              <w:rPr>
                <w:sz w:val="20"/>
              </w:rPr>
            </w:pPr>
            <w:r>
              <w:rPr>
                <w:sz w:val="20"/>
              </w:rPr>
              <w:t>0.002</w:t>
            </w:r>
          </w:p>
        </w:tc>
        <w:tc>
          <w:tcPr>
            <w:tcW w:w="1210" w:type="dxa"/>
            <w:tcBorders>
              <w:top w:val="nil"/>
              <w:left w:val="nil"/>
              <w:bottom w:val="nil"/>
              <w:right w:val="nil"/>
            </w:tcBorders>
          </w:tcPr>
          <w:p>
            <w:pPr>
              <w:pStyle w:val="TableParagraph"/>
              <w:ind w:right="173"/>
              <w:rPr>
                <w:sz w:val="20"/>
              </w:rPr>
            </w:pPr>
            <w:r>
              <w:rPr>
                <w:sz w:val="20"/>
              </w:rPr>
              <w:t>0.301</w:t>
            </w:r>
          </w:p>
        </w:tc>
        <w:tc>
          <w:tcPr>
            <w:tcW w:w="1198" w:type="dxa"/>
            <w:tcBorders>
              <w:top w:val="nil"/>
              <w:left w:val="nil"/>
              <w:bottom w:val="nil"/>
              <w:right w:val="nil"/>
            </w:tcBorders>
          </w:tcPr>
          <w:p>
            <w:pPr>
              <w:pStyle w:val="TableParagraph"/>
              <w:ind w:right="175"/>
              <w:rPr>
                <w:sz w:val="20"/>
              </w:rPr>
            </w:pPr>
            <w:r>
              <w:rPr>
                <w:w w:val="100"/>
                <w:sz w:val="20"/>
              </w:rPr>
              <w:t>0</w:t>
            </w:r>
          </w:p>
        </w:tc>
        <w:tc>
          <w:tcPr>
            <w:tcW w:w="1090" w:type="dxa"/>
            <w:tcBorders>
              <w:top w:val="nil"/>
              <w:left w:val="nil"/>
              <w:bottom w:val="nil"/>
              <w:right w:val="nil"/>
            </w:tcBorders>
          </w:tcPr>
          <w:p>
            <w:pPr>
              <w:pStyle w:val="TableParagraph"/>
              <w:ind w:right="61"/>
              <w:rPr>
                <w:sz w:val="20"/>
              </w:rPr>
            </w:pPr>
            <w:r>
              <w:rPr>
                <w:sz w:val="20"/>
              </w:rPr>
              <w:t>0.014</w:t>
            </w:r>
          </w:p>
        </w:tc>
      </w:tr>
      <w:tr>
        <w:trPr>
          <w:trHeight w:val="300" w:hRule="exact"/>
        </w:trPr>
        <w:tc>
          <w:tcPr>
            <w:tcW w:w="1297" w:type="dxa"/>
            <w:tcBorders>
              <w:top w:val="nil"/>
              <w:left w:val="nil"/>
              <w:bottom w:val="nil"/>
              <w:right w:val="nil"/>
            </w:tcBorders>
          </w:tcPr>
          <w:p>
            <w:pPr>
              <w:pStyle w:val="TableParagraph"/>
              <w:spacing w:before="26"/>
              <w:ind w:left="72"/>
              <w:jc w:val="left"/>
              <w:rPr>
                <w:sz w:val="20"/>
              </w:rPr>
            </w:pPr>
            <w:r>
              <w:rPr>
                <w:sz w:val="20"/>
              </w:rPr>
              <w:t>18</w:t>
            </w:r>
          </w:p>
        </w:tc>
        <w:tc>
          <w:tcPr>
            <w:tcW w:w="1226" w:type="dxa"/>
            <w:tcBorders>
              <w:top w:val="nil"/>
              <w:left w:val="nil"/>
              <w:bottom w:val="nil"/>
              <w:right w:val="nil"/>
            </w:tcBorders>
          </w:tcPr>
          <w:p>
            <w:pPr>
              <w:pStyle w:val="TableParagraph"/>
              <w:spacing w:before="26"/>
              <w:ind w:right="183"/>
              <w:rPr>
                <w:sz w:val="20"/>
              </w:rPr>
            </w:pPr>
            <w:r>
              <w:rPr>
                <w:sz w:val="20"/>
              </w:rPr>
              <w:t>0.277</w:t>
            </w:r>
          </w:p>
        </w:tc>
        <w:tc>
          <w:tcPr>
            <w:tcW w:w="1181" w:type="dxa"/>
            <w:tcBorders>
              <w:top w:val="nil"/>
              <w:left w:val="nil"/>
              <w:bottom w:val="nil"/>
              <w:right w:val="nil"/>
            </w:tcBorders>
          </w:tcPr>
          <w:p>
            <w:pPr>
              <w:pStyle w:val="TableParagraph"/>
              <w:spacing w:before="26"/>
              <w:ind w:right="163"/>
              <w:rPr>
                <w:sz w:val="20"/>
              </w:rPr>
            </w:pPr>
            <w:r>
              <w:rPr>
                <w:sz w:val="20"/>
              </w:rPr>
              <w:t>0.004</w:t>
            </w:r>
          </w:p>
        </w:tc>
        <w:tc>
          <w:tcPr>
            <w:tcW w:w="1210" w:type="dxa"/>
            <w:tcBorders>
              <w:top w:val="nil"/>
              <w:left w:val="nil"/>
              <w:bottom w:val="nil"/>
              <w:right w:val="nil"/>
            </w:tcBorders>
          </w:tcPr>
          <w:p>
            <w:pPr>
              <w:pStyle w:val="TableParagraph"/>
              <w:spacing w:before="26"/>
              <w:ind w:right="173"/>
              <w:rPr>
                <w:sz w:val="20"/>
              </w:rPr>
            </w:pPr>
            <w:r>
              <w:rPr>
                <w:sz w:val="20"/>
              </w:rPr>
              <w:t>0.152</w:t>
            </w:r>
          </w:p>
        </w:tc>
        <w:tc>
          <w:tcPr>
            <w:tcW w:w="1198" w:type="dxa"/>
            <w:tcBorders>
              <w:top w:val="nil"/>
              <w:left w:val="nil"/>
              <w:bottom w:val="nil"/>
              <w:right w:val="nil"/>
            </w:tcBorders>
          </w:tcPr>
          <w:p>
            <w:pPr>
              <w:pStyle w:val="TableParagraph"/>
              <w:spacing w:before="26"/>
              <w:ind w:right="175"/>
              <w:rPr>
                <w:sz w:val="20"/>
              </w:rPr>
            </w:pPr>
            <w:r>
              <w:rPr>
                <w:w w:val="100"/>
                <w:sz w:val="20"/>
              </w:rPr>
              <w:t>0</w:t>
            </w:r>
          </w:p>
        </w:tc>
        <w:tc>
          <w:tcPr>
            <w:tcW w:w="1090" w:type="dxa"/>
            <w:tcBorders>
              <w:top w:val="nil"/>
              <w:left w:val="nil"/>
              <w:bottom w:val="nil"/>
              <w:right w:val="nil"/>
            </w:tcBorders>
          </w:tcPr>
          <w:p>
            <w:pPr>
              <w:pStyle w:val="TableParagraph"/>
              <w:spacing w:before="26"/>
              <w:ind w:right="61"/>
              <w:rPr>
                <w:sz w:val="20"/>
              </w:rPr>
            </w:pPr>
            <w:r>
              <w:rPr>
                <w:sz w:val="20"/>
              </w:rPr>
              <w:t>0.014</w:t>
            </w:r>
          </w:p>
        </w:tc>
      </w:tr>
      <w:tr>
        <w:trPr>
          <w:trHeight w:val="300" w:hRule="exact"/>
        </w:trPr>
        <w:tc>
          <w:tcPr>
            <w:tcW w:w="1297" w:type="dxa"/>
            <w:tcBorders>
              <w:top w:val="nil"/>
              <w:left w:val="nil"/>
              <w:bottom w:val="nil"/>
              <w:right w:val="nil"/>
            </w:tcBorders>
          </w:tcPr>
          <w:p>
            <w:pPr>
              <w:pStyle w:val="TableParagraph"/>
              <w:ind w:left="72"/>
              <w:jc w:val="left"/>
              <w:rPr>
                <w:sz w:val="20"/>
              </w:rPr>
            </w:pPr>
            <w:r>
              <w:rPr>
                <w:sz w:val="20"/>
              </w:rPr>
              <w:t>19</w:t>
            </w:r>
          </w:p>
        </w:tc>
        <w:tc>
          <w:tcPr>
            <w:tcW w:w="1226" w:type="dxa"/>
            <w:tcBorders>
              <w:top w:val="nil"/>
              <w:left w:val="nil"/>
              <w:bottom w:val="nil"/>
              <w:right w:val="nil"/>
            </w:tcBorders>
          </w:tcPr>
          <w:p>
            <w:pPr>
              <w:pStyle w:val="TableParagraph"/>
              <w:ind w:right="183"/>
              <w:rPr>
                <w:sz w:val="20"/>
              </w:rPr>
            </w:pPr>
            <w:r>
              <w:rPr>
                <w:sz w:val="20"/>
              </w:rPr>
              <w:t>5.875</w:t>
            </w:r>
          </w:p>
        </w:tc>
        <w:tc>
          <w:tcPr>
            <w:tcW w:w="1181" w:type="dxa"/>
            <w:tcBorders>
              <w:top w:val="nil"/>
              <w:left w:val="nil"/>
              <w:bottom w:val="nil"/>
              <w:right w:val="nil"/>
            </w:tcBorders>
          </w:tcPr>
          <w:p>
            <w:pPr>
              <w:pStyle w:val="TableParagraph"/>
              <w:ind w:right="163"/>
              <w:rPr>
                <w:sz w:val="20"/>
              </w:rPr>
            </w:pPr>
            <w:r>
              <w:rPr>
                <w:sz w:val="20"/>
              </w:rPr>
              <w:t>0.056</w:t>
            </w:r>
          </w:p>
        </w:tc>
        <w:tc>
          <w:tcPr>
            <w:tcW w:w="1210" w:type="dxa"/>
            <w:tcBorders>
              <w:top w:val="nil"/>
              <w:left w:val="nil"/>
              <w:bottom w:val="nil"/>
              <w:right w:val="nil"/>
            </w:tcBorders>
          </w:tcPr>
          <w:p>
            <w:pPr>
              <w:pStyle w:val="TableParagraph"/>
              <w:ind w:right="173"/>
              <w:rPr>
                <w:sz w:val="20"/>
              </w:rPr>
            </w:pPr>
            <w:r>
              <w:rPr>
                <w:sz w:val="20"/>
              </w:rPr>
              <w:t>3.654</w:t>
            </w:r>
          </w:p>
        </w:tc>
        <w:tc>
          <w:tcPr>
            <w:tcW w:w="1198" w:type="dxa"/>
            <w:tcBorders>
              <w:top w:val="nil"/>
              <w:left w:val="nil"/>
              <w:bottom w:val="nil"/>
              <w:right w:val="nil"/>
            </w:tcBorders>
          </w:tcPr>
          <w:p>
            <w:pPr>
              <w:pStyle w:val="TableParagraph"/>
              <w:ind w:right="175"/>
              <w:rPr>
                <w:sz w:val="20"/>
              </w:rPr>
            </w:pPr>
            <w:r>
              <w:rPr>
                <w:w w:val="100"/>
                <w:sz w:val="20"/>
              </w:rPr>
              <w:t>0</w:t>
            </w:r>
          </w:p>
        </w:tc>
        <w:tc>
          <w:tcPr>
            <w:tcW w:w="1090" w:type="dxa"/>
            <w:tcBorders>
              <w:top w:val="nil"/>
              <w:left w:val="nil"/>
              <w:bottom w:val="nil"/>
              <w:right w:val="nil"/>
            </w:tcBorders>
          </w:tcPr>
          <w:p>
            <w:pPr>
              <w:pStyle w:val="TableParagraph"/>
              <w:ind w:right="61"/>
              <w:rPr>
                <w:sz w:val="20"/>
              </w:rPr>
            </w:pPr>
            <w:r>
              <w:rPr>
                <w:sz w:val="20"/>
              </w:rPr>
              <w:t>0.014</w:t>
            </w:r>
          </w:p>
        </w:tc>
      </w:tr>
      <w:tr>
        <w:trPr>
          <w:trHeight w:val="300" w:hRule="exact"/>
        </w:trPr>
        <w:tc>
          <w:tcPr>
            <w:tcW w:w="1297" w:type="dxa"/>
            <w:tcBorders>
              <w:top w:val="nil"/>
              <w:left w:val="nil"/>
              <w:bottom w:val="nil"/>
              <w:right w:val="nil"/>
            </w:tcBorders>
          </w:tcPr>
          <w:p>
            <w:pPr>
              <w:pStyle w:val="TableParagraph"/>
              <w:spacing w:before="26"/>
              <w:ind w:left="72"/>
              <w:jc w:val="left"/>
              <w:rPr>
                <w:sz w:val="20"/>
              </w:rPr>
            </w:pPr>
            <w:r>
              <w:rPr>
                <w:sz w:val="20"/>
              </w:rPr>
              <w:t>20</w:t>
            </w:r>
          </w:p>
        </w:tc>
        <w:tc>
          <w:tcPr>
            <w:tcW w:w="1226" w:type="dxa"/>
            <w:tcBorders>
              <w:top w:val="nil"/>
              <w:left w:val="nil"/>
              <w:bottom w:val="nil"/>
              <w:right w:val="nil"/>
            </w:tcBorders>
          </w:tcPr>
          <w:p>
            <w:pPr>
              <w:pStyle w:val="TableParagraph"/>
              <w:spacing w:before="26"/>
              <w:ind w:right="183"/>
              <w:rPr>
                <w:sz w:val="20"/>
              </w:rPr>
            </w:pPr>
            <w:r>
              <w:rPr>
                <w:sz w:val="20"/>
              </w:rPr>
              <w:t>9.308</w:t>
            </w:r>
          </w:p>
        </w:tc>
        <w:tc>
          <w:tcPr>
            <w:tcW w:w="1181" w:type="dxa"/>
            <w:tcBorders>
              <w:top w:val="nil"/>
              <w:left w:val="nil"/>
              <w:bottom w:val="nil"/>
              <w:right w:val="nil"/>
            </w:tcBorders>
          </w:tcPr>
          <w:p>
            <w:pPr>
              <w:pStyle w:val="TableParagraph"/>
              <w:spacing w:before="26"/>
              <w:ind w:right="163"/>
              <w:rPr>
                <w:sz w:val="20"/>
              </w:rPr>
            </w:pPr>
            <w:r>
              <w:rPr>
                <w:sz w:val="20"/>
              </w:rPr>
              <w:t>0.051</w:t>
            </w:r>
          </w:p>
        </w:tc>
        <w:tc>
          <w:tcPr>
            <w:tcW w:w="1210" w:type="dxa"/>
            <w:tcBorders>
              <w:top w:val="nil"/>
              <w:left w:val="nil"/>
              <w:bottom w:val="nil"/>
              <w:right w:val="nil"/>
            </w:tcBorders>
          </w:tcPr>
          <w:p>
            <w:pPr>
              <w:pStyle w:val="TableParagraph"/>
              <w:spacing w:before="26"/>
              <w:ind w:right="173"/>
              <w:rPr>
                <w:sz w:val="20"/>
              </w:rPr>
            </w:pPr>
            <w:r>
              <w:rPr>
                <w:sz w:val="20"/>
              </w:rPr>
              <w:t>5.248</w:t>
            </w:r>
          </w:p>
        </w:tc>
        <w:tc>
          <w:tcPr>
            <w:tcW w:w="1198" w:type="dxa"/>
            <w:tcBorders>
              <w:top w:val="nil"/>
              <w:left w:val="nil"/>
              <w:bottom w:val="nil"/>
              <w:right w:val="nil"/>
            </w:tcBorders>
          </w:tcPr>
          <w:p>
            <w:pPr>
              <w:pStyle w:val="TableParagraph"/>
              <w:spacing w:before="26"/>
              <w:ind w:right="175"/>
              <w:rPr>
                <w:sz w:val="20"/>
              </w:rPr>
            </w:pPr>
            <w:r>
              <w:rPr>
                <w:w w:val="100"/>
                <w:sz w:val="20"/>
              </w:rPr>
              <w:t>0</w:t>
            </w:r>
          </w:p>
        </w:tc>
        <w:tc>
          <w:tcPr>
            <w:tcW w:w="1090" w:type="dxa"/>
            <w:tcBorders>
              <w:top w:val="nil"/>
              <w:left w:val="nil"/>
              <w:bottom w:val="nil"/>
              <w:right w:val="nil"/>
            </w:tcBorders>
          </w:tcPr>
          <w:p>
            <w:pPr>
              <w:pStyle w:val="TableParagraph"/>
              <w:spacing w:before="26"/>
              <w:ind w:right="61"/>
              <w:rPr>
                <w:sz w:val="20"/>
              </w:rPr>
            </w:pPr>
            <w:r>
              <w:rPr>
                <w:sz w:val="20"/>
              </w:rPr>
              <w:t>0.014</w:t>
            </w:r>
          </w:p>
        </w:tc>
      </w:tr>
      <w:tr>
        <w:trPr>
          <w:trHeight w:val="300" w:hRule="exact"/>
        </w:trPr>
        <w:tc>
          <w:tcPr>
            <w:tcW w:w="1297" w:type="dxa"/>
            <w:tcBorders>
              <w:top w:val="nil"/>
              <w:left w:val="nil"/>
              <w:bottom w:val="nil"/>
              <w:right w:val="nil"/>
            </w:tcBorders>
          </w:tcPr>
          <w:p>
            <w:pPr>
              <w:pStyle w:val="TableParagraph"/>
              <w:ind w:left="72"/>
              <w:jc w:val="left"/>
              <w:rPr>
                <w:sz w:val="20"/>
              </w:rPr>
            </w:pPr>
            <w:r>
              <w:rPr>
                <w:sz w:val="20"/>
              </w:rPr>
              <w:t>21</w:t>
            </w:r>
          </w:p>
        </w:tc>
        <w:tc>
          <w:tcPr>
            <w:tcW w:w="1226" w:type="dxa"/>
            <w:tcBorders>
              <w:top w:val="nil"/>
              <w:left w:val="nil"/>
              <w:bottom w:val="nil"/>
              <w:right w:val="nil"/>
            </w:tcBorders>
          </w:tcPr>
          <w:p>
            <w:pPr>
              <w:pStyle w:val="TableParagraph"/>
              <w:ind w:right="183"/>
              <w:rPr>
                <w:sz w:val="20"/>
              </w:rPr>
            </w:pPr>
            <w:r>
              <w:rPr>
                <w:sz w:val="20"/>
              </w:rPr>
              <w:t>5.372</w:t>
            </w:r>
          </w:p>
        </w:tc>
        <w:tc>
          <w:tcPr>
            <w:tcW w:w="1181" w:type="dxa"/>
            <w:tcBorders>
              <w:top w:val="nil"/>
              <w:left w:val="nil"/>
              <w:bottom w:val="nil"/>
              <w:right w:val="nil"/>
            </w:tcBorders>
          </w:tcPr>
          <w:p>
            <w:pPr>
              <w:pStyle w:val="TableParagraph"/>
              <w:ind w:right="163"/>
              <w:rPr>
                <w:sz w:val="20"/>
              </w:rPr>
            </w:pPr>
            <w:r>
              <w:rPr>
                <w:sz w:val="20"/>
              </w:rPr>
              <w:t>0.059</w:t>
            </w:r>
          </w:p>
        </w:tc>
        <w:tc>
          <w:tcPr>
            <w:tcW w:w="1210" w:type="dxa"/>
            <w:tcBorders>
              <w:top w:val="nil"/>
              <w:left w:val="nil"/>
              <w:bottom w:val="nil"/>
              <w:right w:val="nil"/>
            </w:tcBorders>
          </w:tcPr>
          <w:p>
            <w:pPr>
              <w:pStyle w:val="TableParagraph"/>
              <w:ind w:right="173"/>
              <w:rPr>
                <w:sz w:val="20"/>
              </w:rPr>
            </w:pPr>
            <w:r>
              <w:rPr>
                <w:sz w:val="20"/>
              </w:rPr>
              <w:t>4.078</w:t>
            </w:r>
          </w:p>
        </w:tc>
        <w:tc>
          <w:tcPr>
            <w:tcW w:w="1198" w:type="dxa"/>
            <w:tcBorders>
              <w:top w:val="nil"/>
              <w:left w:val="nil"/>
              <w:bottom w:val="nil"/>
              <w:right w:val="nil"/>
            </w:tcBorders>
          </w:tcPr>
          <w:p>
            <w:pPr>
              <w:pStyle w:val="TableParagraph"/>
              <w:ind w:right="175"/>
              <w:rPr>
                <w:sz w:val="20"/>
              </w:rPr>
            </w:pPr>
            <w:r>
              <w:rPr>
                <w:w w:val="100"/>
                <w:sz w:val="20"/>
              </w:rPr>
              <w:t>0</w:t>
            </w:r>
          </w:p>
        </w:tc>
        <w:tc>
          <w:tcPr>
            <w:tcW w:w="1090" w:type="dxa"/>
            <w:tcBorders>
              <w:top w:val="nil"/>
              <w:left w:val="nil"/>
              <w:bottom w:val="nil"/>
              <w:right w:val="nil"/>
            </w:tcBorders>
          </w:tcPr>
          <w:p>
            <w:pPr>
              <w:pStyle w:val="TableParagraph"/>
              <w:ind w:right="61"/>
              <w:rPr>
                <w:sz w:val="20"/>
              </w:rPr>
            </w:pPr>
            <w:r>
              <w:rPr>
                <w:sz w:val="20"/>
              </w:rPr>
              <w:t>0.014</w:t>
            </w:r>
          </w:p>
        </w:tc>
      </w:tr>
      <w:tr>
        <w:trPr>
          <w:trHeight w:val="300" w:hRule="exact"/>
        </w:trPr>
        <w:tc>
          <w:tcPr>
            <w:tcW w:w="1297" w:type="dxa"/>
            <w:tcBorders>
              <w:top w:val="nil"/>
              <w:left w:val="nil"/>
              <w:bottom w:val="nil"/>
              <w:right w:val="nil"/>
            </w:tcBorders>
          </w:tcPr>
          <w:p>
            <w:pPr>
              <w:pStyle w:val="TableParagraph"/>
              <w:spacing w:before="26"/>
              <w:ind w:left="72"/>
              <w:jc w:val="left"/>
              <w:rPr>
                <w:sz w:val="20"/>
              </w:rPr>
            </w:pPr>
            <w:r>
              <w:rPr>
                <w:sz w:val="20"/>
              </w:rPr>
              <w:t>22</w:t>
            </w:r>
          </w:p>
        </w:tc>
        <w:tc>
          <w:tcPr>
            <w:tcW w:w="1226" w:type="dxa"/>
            <w:tcBorders>
              <w:top w:val="nil"/>
              <w:left w:val="nil"/>
              <w:bottom w:val="nil"/>
              <w:right w:val="nil"/>
            </w:tcBorders>
          </w:tcPr>
          <w:p>
            <w:pPr>
              <w:pStyle w:val="TableParagraph"/>
              <w:spacing w:before="26"/>
              <w:ind w:right="183"/>
              <w:rPr>
                <w:sz w:val="20"/>
              </w:rPr>
            </w:pPr>
            <w:r>
              <w:rPr>
                <w:sz w:val="20"/>
              </w:rPr>
              <w:t>6.054</w:t>
            </w:r>
          </w:p>
        </w:tc>
        <w:tc>
          <w:tcPr>
            <w:tcW w:w="1181" w:type="dxa"/>
            <w:tcBorders>
              <w:top w:val="nil"/>
              <w:left w:val="nil"/>
              <w:bottom w:val="nil"/>
              <w:right w:val="nil"/>
            </w:tcBorders>
          </w:tcPr>
          <w:p>
            <w:pPr>
              <w:pStyle w:val="TableParagraph"/>
              <w:spacing w:before="26"/>
              <w:ind w:right="163"/>
              <w:rPr>
                <w:sz w:val="20"/>
              </w:rPr>
            </w:pPr>
            <w:r>
              <w:rPr>
                <w:sz w:val="20"/>
              </w:rPr>
              <w:t>0.076</w:t>
            </w:r>
          </w:p>
        </w:tc>
        <w:tc>
          <w:tcPr>
            <w:tcW w:w="1210" w:type="dxa"/>
            <w:tcBorders>
              <w:top w:val="nil"/>
              <w:left w:val="nil"/>
              <w:bottom w:val="nil"/>
              <w:right w:val="nil"/>
            </w:tcBorders>
          </w:tcPr>
          <w:p>
            <w:pPr>
              <w:pStyle w:val="TableParagraph"/>
              <w:spacing w:before="26"/>
              <w:ind w:right="173"/>
              <w:rPr>
                <w:sz w:val="20"/>
              </w:rPr>
            </w:pPr>
            <w:r>
              <w:rPr>
                <w:sz w:val="20"/>
              </w:rPr>
              <w:t>3.500</w:t>
            </w:r>
          </w:p>
        </w:tc>
        <w:tc>
          <w:tcPr>
            <w:tcW w:w="1198" w:type="dxa"/>
            <w:tcBorders>
              <w:top w:val="nil"/>
              <w:left w:val="nil"/>
              <w:bottom w:val="nil"/>
              <w:right w:val="nil"/>
            </w:tcBorders>
          </w:tcPr>
          <w:p>
            <w:pPr>
              <w:pStyle w:val="TableParagraph"/>
              <w:spacing w:before="26"/>
              <w:ind w:right="175"/>
              <w:rPr>
                <w:sz w:val="20"/>
              </w:rPr>
            </w:pPr>
            <w:r>
              <w:rPr>
                <w:w w:val="100"/>
                <w:sz w:val="20"/>
              </w:rPr>
              <w:t>0</w:t>
            </w:r>
          </w:p>
        </w:tc>
        <w:tc>
          <w:tcPr>
            <w:tcW w:w="1090" w:type="dxa"/>
            <w:tcBorders>
              <w:top w:val="nil"/>
              <w:left w:val="nil"/>
              <w:bottom w:val="nil"/>
              <w:right w:val="nil"/>
            </w:tcBorders>
          </w:tcPr>
          <w:p>
            <w:pPr>
              <w:pStyle w:val="TableParagraph"/>
              <w:spacing w:before="26"/>
              <w:ind w:right="61"/>
              <w:rPr>
                <w:sz w:val="20"/>
              </w:rPr>
            </w:pPr>
            <w:r>
              <w:rPr>
                <w:sz w:val="20"/>
              </w:rPr>
              <w:t>0.014</w:t>
            </w:r>
          </w:p>
        </w:tc>
      </w:tr>
      <w:tr>
        <w:trPr>
          <w:trHeight w:val="300" w:hRule="exact"/>
        </w:trPr>
        <w:tc>
          <w:tcPr>
            <w:tcW w:w="1297" w:type="dxa"/>
            <w:tcBorders>
              <w:top w:val="nil"/>
              <w:left w:val="nil"/>
              <w:bottom w:val="nil"/>
              <w:right w:val="nil"/>
            </w:tcBorders>
          </w:tcPr>
          <w:p>
            <w:pPr>
              <w:pStyle w:val="TableParagraph"/>
              <w:ind w:left="72"/>
              <w:jc w:val="left"/>
              <w:rPr>
                <w:sz w:val="20"/>
              </w:rPr>
            </w:pPr>
            <w:r>
              <w:rPr>
                <w:sz w:val="20"/>
              </w:rPr>
              <w:t>23</w:t>
            </w:r>
          </w:p>
        </w:tc>
        <w:tc>
          <w:tcPr>
            <w:tcW w:w="1226" w:type="dxa"/>
            <w:tcBorders>
              <w:top w:val="nil"/>
              <w:left w:val="nil"/>
              <w:bottom w:val="nil"/>
              <w:right w:val="nil"/>
            </w:tcBorders>
          </w:tcPr>
          <w:p>
            <w:pPr>
              <w:pStyle w:val="TableParagraph"/>
              <w:ind w:right="183"/>
              <w:rPr>
                <w:sz w:val="20"/>
              </w:rPr>
            </w:pPr>
            <w:r>
              <w:rPr>
                <w:sz w:val="20"/>
              </w:rPr>
              <w:t>3.517</w:t>
            </w:r>
          </w:p>
        </w:tc>
        <w:tc>
          <w:tcPr>
            <w:tcW w:w="1181" w:type="dxa"/>
            <w:tcBorders>
              <w:top w:val="nil"/>
              <w:left w:val="nil"/>
              <w:bottom w:val="nil"/>
              <w:right w:val="nil"/>
            </w:tcBorders>
          </w:tcPr>
          <w:p>
            <w:pPr>
              <w:pStyle w:val="TableParagraph"/>
              <w:ind w:right="163"/>
              <w:rPr>
                <w:sz w:val="20"/>
              </w:rPr>
            </w:pPr>
            <w:r>
              <w:rPr>
                <w:sz w:val="20"/>
              </w:rPr>
              <w:t>0.001</w:t>
            </w:r>
          </w:p>
        </w:tc>
        <w:tc>
          <w:tcPr>
            <w:tcW w:w="1210" w:type="dxa"/>
            <w:tcBorders>
              <w:top w:val="nil"/>
              <w:left w:val="nil"/>
              <w:bottom w:val="nil"/>
              <w:right w:val="nil"/>
            </w:tcBorders>
          </w:tcPr>
          <w:p>
            <w:pPr>
              <w:pStyle w:val="TableParagraph"/>
              <w:ind w:right="173"/>
              <w:rPr>
                <w:sz w:val="20"/>
              </w:rPr>
            </w:pPr>
            <w:r>
              <w:rPr>
                <w:sz w:val="20"/>
              </w:rPr>
              <w:t>1.791</w:t>
            </w:r>
          </w:p>
        </w:tc>
        <w:tc>
          <w:tcPr>
            <w:tcW w:w="1198" w:type="dxa"/>
            <w:tcBorders>
              <w:top w:val="nil"/>
              <w:left w:val="nil"/>
              <w:bottom w:val="nil"/>
              <w:right w:val="nil"/>
            </w:tcBorders>
          </w:tcPr>
          <w:p>
            <w:pPr>
              <w:pStyle w:val="TableParagraph"/>
              <w:ind w:right="175"/>
              <w:rPr>
                <w:sz w:val="20"/>
              </w:rPr>
            </w:pPr>
            <w:r>
              <w:rPr>
                <w:w w:val="100"/>
                <w:sz w:val="20"/>
              </w:rPr>
              <w:t>0</w:t>
            </w:r>
          </w:p>
        </w:tc>
        <w:tc>
          <w:tcPr>
            <w:tcW w:w="1090" w:type="dxa"/>
            <w:tcBorders>
              <w:top w:val="nil"/>
              <w:left w:val="nil"/>
              <w:bottom w:val="nil"/>
              <w:right w:val="nil"/>
            </w:tcBorders>
          </w:tcPr>
          <w:p>
            <w:pPr>
              <w:pStyle w:val="TableParagraph"/>
              <w:ind w:right="61"/>
              <w:rPr>
                <w:sz w:val="20"/>
              </w:rPr>
            </w:pPr>
            <w:r>
              <w:rPr>
                <w:sz w:val="20"/>
              </w:rPr>
              <w:t>0.014</w:t>
            </w:r>
          </w:p>
        </w:tc>
      </w:tr>
      <w:tr>
        <w:trPr>
          <w:trHeight w:val="300" w:hRule="exact"/>
        </w:trPr>
        <w:tc>
          <w:tcPr>
            <w:tcW w:w="1297" w:type="dxa"/>
            <w:tcBorders>
              <w:top w:val="nil"/>
              <w:left w:val="nil"/>
              <w:bottom w:val="nil"/>
              <w:right w:val="nil"/>
            </w:tcBorders>
          </w:tcPr>
          <w:p>
            <w:pPr>
              <w:pStyle w:val="TableParagraph"/>
              <w:spacing w:before="26"/>
              <w:ind w:left="72"/>
              <w:jc w:val="left"/>
              <w:rPr>
                <w:sz w:val="20"/>
              </w:rPr>
            </w:pPr>
            <w:r>
              <w:rPr>
                <w:sz w:val="20"/>
              </w:rPr>
              <w:t>24</w:t>
            </w:r>
          </w:p>
        </w:tc>
        <w:tc>
          <w:tcPr>
            <w:tcW w:w="1226" w:type="dxa"/>
            <w:tcBorders>
              <w:top w:val="nil"/>
              <w:left w:val="nil"/>
              <w:bottom w:val="nil"/>
              <w:right w:val="nil"/>
            </w:tcBorders>
          </w:tcPr>
          <w:p>
            <w:pPr>
              <w:pStyle w:val="TableParagraph"/>
              <w:spacing w:before="26"/>
              <w:ind w:right="183"/>
              <w:rPr>
                <w:sz w:val="20"/>
              </w:rPr>
            </w:pPr>
            <w:r>
              <w:rPr>
                <w:sz w:val="20"/>
              </w:rPr>
              <w:t>3.911</w:t>
            </w:r>
          </w:p>
        </w:tc>
        <w:tc>
          <w:tcPr>
            <w:tcW w:w="1181" w:type="dxa"/>
            <w:tcBorders>
              <w:top w:val="nil"/>
              <w:left w:val="nil"/>
              <w:bottom w:val="nil"/>
              <w:right w:val="nil"/>
            </w:tcBorders>
          </w:tcPr>
          <w:p>
            <w:pPr>
              <w:pStyle w:val="TableParagraph"/>
              <w:spacing w:before="26"/>
              <w:ind w:right="163"/>
              <w:rPr>
                <w:sz w:val="20"/>
              </w:rPr>
            </w:pPr>
            <w:r>
              <w:rPr>
                <w:sz w:val="20"/>
              </w:rPr>
              <w:t>0.022</w:t>
            </w:r>
          </w:p>
        </w:tc>
        <w:tc>
          <w:tcPr>
            <w:tcW w:w="1210" w:type="dxa"/>
            <w:tcBorders>
              <w:top w:val="nil"/>
              <w:left w:val="nil"/>
              <w:bottom w:val="nil"/>
              <w:right w:val="nil"/>
            </w:tcBorders>
          </w:tcPr>
          <w:p>
            <w:pPr>
              <w:pStyle w:val="TableParagraph"/>
              <w:spacing w:before="26"/>
              <w:ind w:right="173"/>
              <w:rPr>
                <w:sz w:val="20"/>
              </w:rPr>
            </w:pPr>
            <w:r>
              <w:rPr>
                <w:sz w:val="20"/>
              </w:rPr>
              <w:t>2.389</w:t>
            </w:r>
          </w:p>
        </w:tc>
        <w:tc>
          <w:tcPr>
            <w:tcW w:w="1198" w:type="dxa"/>
            <w:tcBorders>
              <w:top w:val="nil"/>
              <w:left w:val="nil"/>
              <w:bottom w:val="nil"/>
              <w:right w:val="nil"/>
            </w:tcBorders>
          </w:tcPr>
          <w:p>
            <w:pPr>
              <w:pStyle w:val="TableParagraph"/>
              <w:spacing w:before="26"/>
              <w:ind w:right="175"/>
              <w:rPr>
                <w:sz w:val="20"/>
              </w:rPr>
            </w:pPr>
            <w:r>
              <w:rPr>
                <w:w w:val="100"/>
                <w:sz w:val="20"/>
              </w:rPr>
              <w:t>0</w:t>
            </w:r>
          </w:p>
        </w:tc>
        <w:tc>
          <w:tcPr>
            <w:tcW w:w="1090" w:type="dxa"/>
            <w:tcBorders>
              <w:top w:val="nil"/>
              <w:left w:val="nil"/>
              <w:bottom w:val="nil"/>
              <w:right w:val="nil"/>
            </w:tcBorders>
          </w:tcPr>
          <w:p>
            <w:pPr>
              <w:pStyle w:val="TableParagraph"/>
              <w:spacing w:before="26"/>
              <w:ind w:right="61"/>
              <w:rPr>
                <w:sz w:val="20"/>
              </w:rPr>
            </w:pPr>
            <w:r>
              <w:rPr>
                <w:sz w:val="20"/>
              </w:rPr>
              <w:t>0.014</w:t>
            </w:r>
          </w:p>
        </w:tc>
      </w:tr>
      <w:tr>
        <w:trPr>
          <w:trHeight w:val="300" w:hRule="exact"/>
        </w:trPr>
        <w:tc>
          <w:tcPr>
            <w:tcW w:w="1297" w:type="dxa"/>
            <w:tcBorders>
              <w:top w:val="nil"/>
              <w:left w:val="nil"/>
              <w:bottom w:val="nil"/>
              <w:right w:val="nil"/>
            </w:tcBorders>
          </w:tcPr>
          <w:p>
            <w:pPr>
              <w:pStyle w:val="TableParagraph"/>
              <w:ind w:left="72"/>
              <w:jc w:val="left"/>
              <w:rPr>
                <w:sz w:val="20"/>
              </w:rPr>
            </w:pPr>
            <w:r>
              <w:rPr>
                <w:sz w:val="20"/>
              </w:rPr>
              <w:t>25</w:t>
            </w:r>
          </w:p>
        </w:tc>
        <w:tc>
          <w:tcPr>
            <w:tcW w:w="1226" w:type="dxa"/>
            <w:tcBorders>
              <w:top w:val="nil"/>
              <w:left w:val="nil"/>
              <w:bottom w:val="nil"/>
              <w:right w:val="nil"/>
            </w:tcBorders>
          </w:tcPr>
          <w:p>
            <w:pPr>
              <w:pStyle w:val="TableParagraph"/>
              <w:ind w:right="183"/>
              <w:rPr>
                <w:sz w:val="20"/>
              </w:rPr>
            </w:pPr>
            <w:r>
              <w:rPr>
                <w:sz w:val="20"/>
              </w:rPr>
              <w:t>5.273</w:t>
            </w:r>
          </w:p>
        </w:tc>
        <w:tc>
          <w:tcPr>
            <w:tcW w:w="1181" w:type="dxa"/>
            <w:tcBorders>
              <w:top w:val="nil"/>
              <w:left w:val="nil"/>
              <w:bottom w:val="nil"/>
              <w:right w:val="nil"/>
            </w:tcBorders>
          </w:tcPr>
          <w:p>
            <w:pPr>
              <w:pStyle w:val="TableParagraph"/>
              <w:ind w:right="163"/>
              <w:rPr>
                <w:sz w:val="20"/>
              </w:rPr>
            </w:pPr>
            <w:r>
              <w:rPr>
                <w:sz w:val="20"/>
              </w:rPr>
              <w:t>0.084</w:t>
            </w:r>
          </w:p>
        </w:tc>
        <w:tc>
          <w:tcPr>
            <w:tcW w:w="1210" w:type="dxa"/>
            <w:tcBorders>
              <w:top w:val="nil"/>
              <w:left w:val="nil"/>
              <w:bottom w:val="nil"/>
              <w:right w:val="nil"/>
            </w:tcBorders>
          </w:tcPr>
          <w:p>
            <w:pPr>
              <w:pStyle w:val="TableParagraph"/>
              <w:ind w:right="173"/>
              <w:rPr>
                <w:sz w:val="20"/>
              </w:rPr>
            </w:pPr>
            <w:r>
              <w:rPr>
                <w:sz w:val="20"/>
              </w:rPr>
              <w:t>3.414</w:t>
            </w:r>
          </w:p>
        </w:tc>
        <w:tc>
          <w:tcPr>
            <w:tcW w:w="1198" w:type="dxa"/>
            <w:tcBorders>
              <w:top w:val="nil"/>
              <w:left w:val="nil"/>
              <w:bottom w:val="nil"/>
              <w:right w:val="nil"/>
            </w:tcBorders>
          </w:tcPr>
          <w:p>
            <w:pPr>
              <w:pStyle w:val="TableParagraph"/>
              <w:ind w:right="175"/>
              <w:rPr>
                <w:sz w:val="20"/>
              </w:rPr>
            </w:pPr>
            <w:r>
              <w:rPr>
                <w:w w:val="100"/>
                <w:sz w:val="20"/>
              </w:rPr>
              <w:t>0</w:t>
            </w:r>
          </w:p>
        </w:tc>
        <w:tc>
          <w:tcPr>
            <w:tcW w:w="1090" w:type="dxa"/>
            <w:tcBorders>
              <w:top w:val="nil"/>
              <w:left w:val="nil"/>
              <w:bottom w:val="nil"/>
              <w:right w:val="nil"/>
            </w:tcBorders>
          </w:tcPr>
          <w:p>
            <w:pPr>
              <w:pStyle w:val="TableParagraph"/>
              <w:ind w:right="61"/>
              <w:rPr>
                <w:sz w:val="20"/>
              </w:rPr>
            </w:pPr>
            <w:r>
              <w:rPr>
                <w:sz w:val="20"/>
              </w:rPr>
              <w:t>0.014</w:t>
            </w:r>
          </w:p>
        </w:tc>
      </w:tr>
      <w:tr>
        <w:trPr>
          <w:trHeight w:val="300" w:hRule="exact"/>
        </w:trPr>
        <w:tc>
          <w:tcPr>
            <w:tcW w:w="1297" w:type="dxa"/>
            <w:tcBorders>
              <w:top w:val="nil"/>
              <w:left w:val="nil"/>
              <w:bottom w:val="nil"/>
              <w:right w:val="nil"/>
            </w:tcBorders>
          </w:tcPr>
          <w:p>
            <w:pPr>
              <w:pStyle w:val="TableParagraph"/>
              <w:spacing w:before="26"/>
              <w:ind w:left="72"/>
              <w:jc w:val="left"/>
              <w:rPr>
                <w:sz w:val="20"/>
              </w:rPr>
            </w:pPr>
            <w:r>
              <w:rPr>
                <w:sz w:val="20"/>
              </w:rPr>
              <w:t>26</w:t>
            </w:r>
          </w:p>
        </w:tc>
        <w:tc>
          <w:tcPr>
            <w:tcW w:w="1226" w:type="dxa"/>
            <w:tcBorders>
              <w:top w:val="nil"/>
              <w:left w:val="nil"/>
              <w:bottom w:val="nil"/>
              <w:right w:val="nil"/>
            </w:tcBorders>
          </w:tcPr>
          <w:p>
            <w:pPr>
              <w:pStyle w:val="TableParagraph"/>
              <w:spacing w:before="26"/>
              <w:ind w:right="183"/>
              <w:rPr>
                <w:sz w:val="20"/>
              </w:rPr>
            </w:pPr>
            <w:r>
              <w:rPr>
                <w:sz w:val="20"/>
              </w:rPr>
              <w:t>12.174</w:t>
            </w:r>
          </w:p>
        </w:tc>
        <w:tc>
          <w:tcPr>
            <w:tcW w:w="1181" w:type="dxa"/>
            <w:tcBorders>
              <w:top w:val="nil"/>
              <w:left w:val="nil"/>
              <w:bottom w:val="nil"/>
              <w:right w:val="nil"/>
            </w:tcBorders>
          </w:tcPr>
          <w:p>
            <w:pPr>
              <w:pStyle w:val="TableParagraph"/>
              <w:spacing w:before="26"/>
              <w:ind w:right="163"/>
              <w:rPr>
                <w:sz w:val="20"/>
              </w:rPr>
            </w:pPr>
            <w:r>
              <w:rPr>
                <w:sz w:val="20"/>
              </w:rPr>
              <w:t>0.036</w:t>
            </w:r>
          </w:p>
        </w:tc>
        <w:tc>
          <w:tcPr>
            <w:tcW w:w="1210" w:type="dxa"/>
            <w:tcBorders>
              <w:top w:val="nil"/>
              <w:left w:val="nil"/>
              <w:bottom w:val="nil"/>
              <w:right w:val="nil"/>
            </w:tcBorders>
          </w:tcPr>
          <w:p>
            <w:pPr>
              <w:pStyle w:val="TableParagraph"/>
              <w:spacing w:before="26"/>
              <w:ind w:right="173"/>
              <w:rPr>
                <w:sz w:val="20"/>
              </w:rPr>
            </w:pPr>
            <w:r>
              <w:rPr>
                <w:sz w:val="20"/>
              </w:rPr>
              <w:t>7.141</w:t>
            </w:r>
          </w:p>
        </w:tc>
        <w:tc>
          <w:tcPr>
            <w:tcW w:w="1198" w:type="dxa"/>
            <w:tcBorders>
              <w:top w:val="nil"/>
              <w:left w:val="nil"/>
              <w:bottom w:val="nil"/>
              <w:right w:val="nil"/>
            </w:tcBorders>
          </w:tcPr>
          <w:p>
            <w:pPr>
              <w:pStyle w:val="TableParagraph"/>
              <w:spacing w:before="26"/>
              <w:ind w:right="175"/>
              <w:rPr>
                <w:sz w:val="20"/>
              </w:rPr>
            </w:pPr>
            <w:r>
              <w:rPr>
                <w:w w:val="100"/>
                <w:sz w:val="20"/>
              </w:rPr>
              <w:t>0</w:t>
            </w:r>
          </w:p>
        </w:tc>
        <w:tc>
          <w:tcPr>
            <w:tcW w:w="1090" w:type="dxa"/>
            <w:tcBorders>
              <w:top w:val="nil"/>
              <w:left w:val="nil"/>
              <w:bottom w:val="nil"/>
              <w:right w:val="nil"/>
            </w:tcBorders>
          </w:tcPr>
          <w:p>
            <w:pPr>
              <w:pStyle w:val="TableParagraph"/>
              <w:spacing w:before="26"/>
              <w:ind w:right="61"/>
              <w:rPr>
                <w:sz w:val="20"/>
              </w:rPr>
            </w:pPr>
            <w:r>
              <w:rPr>
                <w:sz w:val="20"/>
              </w:rPr>
              <w:t>0.014</w:t>
            </w:r>
          </w:p>
        </w:tc>
      </w:tr>
      <w:tr>
        <w:trPr>
          <w:trHeight w:val="300" w:hRule="exact"/>
        </w:trPr>
        <w:tc>
          <w:tcPr>
            <w:tcW w:w="1297" w:type="dxa"/>
            <w:tcBorders>
              <w:top w:val="nil"/>
              <w:left w:val="nil"/>
              <w:bottom w:val="nil"/>
              <w:right w:val="nil"/>
            </w:tcBorders>
          </w:tcPr>
          <w:p>
            <w:pPr>
              <w:pStyle w:val="TableParagraph"/>
              <w:ind w:left="72"/>
              <w:jc w:val="left"/>
              <w:rPr>
                <w:sz w:val="20"/>
              </w:rPr>
            </w:pPr>
            <w:r>
              <w:rPr>
                <w:sz w:val="20"/>
              </w:rPr>
              <w:t>27</w:t>
            </w:r>
          </w:p>
        </w:tc>
        <w:tc>
          <w:tcPr>
            <w:tcW w:w="1226" w:type="dxa"/>
            <w:tcBorders>
              <w:top w:val="nil"/>
              <w:left w:val="nil"/>
              <w:bottom w:val="nil"/>
              <w:right w:val="nil"/>
            </w:tcBorders>
          </w:tcPr>
          <w:p>
            <w:pPr>
              <w:pStyle w:val="TableParagraph"/>
              <w:ind w:right="183"/>
              <w:rPr>
                <w:sz w:val="20"/>
              </w:rPr>
            </w:pPr>
            <w:r>
              <w:rPr>
                <w:sz w:val="20"/>
              </w:rPr>
              <w:t>9.432</w:t>
            </w:r>
          </w:p>
        </w:tc>
        <w:tc>
          <w:tcPr>
            <w:tcW w:w="1181" w:type="dxa"/>
            <w:tcBorders>
              <w:top w:val="nil"/>
              <w:left w:val="nil"/>
              <w:bottom w:val="nil"/>
              <w:right w:val="nil"/>
            </w:tcBorders>
          </w:tcPr>
          <w:p>
            <w:pPr>
              <w:pStyle w:val="TableParagraph"/>
              <w:ind w:right="163"/>
              <w:rPr>
                <w:sz w:val="20"/>
              </w:rPr>
            </w:pPr>
            <w:r>
              <w:rPr>
                <w:sz w:val="20"/>
              </w:rPr>
              <w:t>0.016</w:t>
            </w:r>
          </w:p>
        </w:tc>
        <w:tc>
          <w:tcPr>
            <w:tcW w:w="1210" w:type="dxa"/>
            <w:tcBorders>
              <w:top w:val="nil"/>
              <w:left w:val="nil"/>
              <w:bottom w:val="nil"/>
              <w:right w:val="nil"/>
            </w:tcBorders>
          </w:tcPr>
          <w:p>
            <w:pPr>
              <w:pStyle w:val="TableParagraph"/>
              <w:ind w:right="173"/>
              <w:rPr>
                <w:sz w:val="20"/>
              </w:rPr>
            </w:pPr>
            <w:r>
              <w:rPr>
                <w:sz w:val="20"/>
              </w:rPr>
              <w:t>5.926</w:t>
            </w:r>
          </w:p>
        </w:tc>
        <w:tc>
          <w:tcPr>
            <w:tcW w:w="1198" w:type="dxa"/>
            <w:tcBorders>
              <w:top w:val="nil"/>
              <w:left w:val="nil"/>
              <w:bottom w:val="nil"/>
              <w:right w:val="nil"/>
            </w:tcBorders>
          </w:tcPr>
          <w:p>
            <w:pPr>
              <w:pStyle w:val="TableParagraph"/>
              <w:ind w:right="175"/>
              <w:rPr>
                <w:sz w:val="20"/>
              </w:rPr>
            </w:pPr>
            <w:r>
              <w:rPr>
                <w:w w:val="100"/>
                <w:sz w:val="20"/>
              </w:rPr>
              <w:t>0</w:t>
            </w:r>
          </w:p>
        </w:tc>
        <w:tc>
          <w:tcPr>
            <w:tcW w:w="1090" w:type="dxa"/>
            <w:tcBorders>
              <w:top w:val="nil"/>
              <w:left w:val="nil"/>
              <w:bottom w:val="nil"/>
              <w:right w:val="nil"/>
            </w:tcBorders>
          </w:tcPr>
          <w:p>
            <w:pPr>
              <w:pStyle w:val="TableParagraph"/>
              <w:ind w:right="61"/>
              <w:rPr>
                <w:sz w:val="20"/>
              </w:rPr>
            </w:pPr>
            <w:r>
              <w:rPr>
                <w:sz w:val="20"/>
              </w:rPr>
              <w:t>0.014</w:t>
            </w:r>
          </w:p>
        </w:tc>
      </w:tr>
      <w:tr>
        <w:trPr>
          <w:trHeight w:val="300" w:hRule="exact"/>
        </w:trPr>
        <w:tc>
          <w:tcPr>
            <w:tcW w:w="1297" w:type="dxa"/>
            <w:tcBorders>
              <w:top w:val="nil"/>
              <w:left w:val="nil"/>
              <w:bottom w:val="nil"/>
              <w:right w:val="nil"/>
            </w:tcBorders>
          </w:tcPr>
          <w:p>
            <w:pPr>
              <w:pStyle w:val="TableParagraph"/>
              <w:spacing w:before="26"/>
              <w:ind w:left="72"/>
              <w:jc w:val="left"/>
              <w:rPr>
                <w:sz w:val="20"/>
              </w:rPr>
            </w:pPr>
            <w:r>
              <w:rPr>
                <w:sz w:val="20"/>
              </w:rPr>
              <w:t>28</w:t>
            </w:r>
          </w:p>
        </w:tc>
        <w:tc>
          <w:tcPr>
            <w:tcW w:w="1226" w:type="dxa"/>
            <w:tcBorders>
              <w:top w:val="nil"/>
              <w:left w:val="nil"/>
              <w:bottom w:val="nil"/>
              <w:right w:val="nil"/>
            </w:tcBorders>
          </w:tcPr>
          <w:p>
            <w:pPr>
              <w:pStyle w:val="TableParagraph"/>
              <w:spacing w:before="26"/>
              <w:ind w:right="183"/>
              <w:rPr>
                <w:sz w:val="20"/>
              </w:rPr>
            </w:pPr>
            <w:r>
              <w:rPr>
                <w:sz w:val="20"/>
              </w:rPr>
              <w:t>5.802</w:t>
            </w:r>
          </w:p>
        </w:tc>
        <w:tc>
          <w:tcPr>
            <w:tcW w:w="1181" w:type="dxa"/>
            <w:tcBorders>
              <w:top w:val="nil"/>
              <w:left w:val="nil"/>
              <w:bottom w:val="nil"/>
              <w:right w:val="nil"/>
            </w:tcBorders>
          </w:tcPr>
          <w:p>
            <w:pPr>
              <w:pStyle w:val="TableParagraph"/>
              <w:spacing w:before="26"/>
              <w:ind w:right="163"/>
              <w:rPr>
                <w:sz w:val="20"/>
              </w:rPr>
            </w:pPr>
            <w:r>
              <w:rPr>
                <w:sz w:val="20"/>
              </w:rPr>
              <w:t>0.014</w:t>
            </w:r>
          </w:p>
        </w:tc>
        <w:tc>
          <w:tcPr>
            <w:tcW w:w="1210" w:type="dxa"/>
            <w:tcBorders>
              <w:top w:val="nil"/>
              <w:left w:val="nil"/>
              <w:bottom w:val="nil"/>
              <w:right w:val="nil"/>
            </w:tcBorders>
          </w:tcPr>
          <w:p>
            <w:pPr>
              <w:pStyle w:val="TableParagraph"/>
              <w:spacing w:before="26"/>
              <w:ind w:right="173"/>
              <w:rPr>
                <w:sz w:val="20"/>
              </w:rPr>
            </w:pPr>
            <w:r>
              <w:rPr>
                <w:sz w:val="20"/>
              </w:rPr>
              <w:t>3.963</w:t>
            </w:r>
          </w:p>
        </w:tc>
        <w:tc>
          <w:tcPr>
            <w:tcW w:w="1198" w:type="dxa"/>
            <w:tcBorders>
              <w:top w:val="nil"/>
              <w:left w:val="nil"/>
              <w:bottom w:val="nil"/>
              <w:right w:val="nil"/>
            </w:tcBorders>
          </w:tcPr>
          <w:p>
            <w:pPr>
              <w:pStyle w:val="TableParagraph"/>
              <w:spacing w:before="26"/>
              <w:ind w:right="175"/>
              <w:rPr>
                <w:sz w:val="20"/>
              </w:rPr>
            </w:pPr>
            <w:r>
              <w:rPr>
                <w:w w:val="100"/>
                <w:sz w:val="20"/>
              </w:rPr>
              <w:t>0</w:t>
            </w:r>
          </w:p>
        </w:tc>
        <w:tc>
          <w:tcPr>
            <w:tcW w:w="1090" w:type="dxa"/>
            <w:tcBorders>
              <w:top w:val="nil"/>
              <w:left w:val="nil"/>
              <w:bottom w:val="nil"/>
              <w:right w:val="nil"/>
            </w:tcBorders>
          </w:tcPr>
          <w:p>
            <w:pPr>
              <w:pStyle w:val="TableParagraph"/>
              <w:spacing w:before="26"/>
              <w:ind w:right="61"/>
              <w:rPr>
                <w:sz w:val="20"/>
              </w:rPr>
            </w:pPr>
            <w:r>
              <w:rPr>
                <w:sz w:val="20"/>
              </w:rPr>
              <w:t>0.014</w:t>
            </w:r>
          </w:p>
        </w:tc>
      </w:tr>
      <w:tr>
        <w:trPr>
          <w:trHeight w:val="268" w:hRule="exact"/>
        </w:trPr>
        <w:tc>
          <w:tcPr>
            <w:tcW w:w="1297" w:type="dxa"/>
            <w:tcBorders>
              <w:top w:val="nil"/>
              <w:left w:val="nil"/>
              <w:right w:val="nil"/>
            </w:tcBorders>
          </w:tcPr>
          <w:p>
            <w:pPr>
              <w:pStyle w:val="TableParagraph"/>
              <w:ind w:left="72"/>
              <w:jc w:val="left"/>
              <w:rPr>
                <w:sz w:val="20"/>
              </w:rPr>
            </w:pPr>
            <w:r>
              <w:rPr>
                <w:sz w:val="20"/>
              </w:rPr>
              <w:t>29</w:t>
            </w:r>
          </w:p>
        </w:tc>
        <w:tc>
          <w:tcPr>
            <w:tcW w:w="1226" w:type="dxa"/>
            <w:tcBorders>
              <w:top w:val="nil"/>
              <w:left w:val="nil"/>
              <w:right w:val="nil"/>
            </w:tcBorders>
          </w:tcPr>
          <w:p>
            <w:pPr>
              <w:pStyle w:val="TableParagraph"/>
              <w:ind w:right="183"/>
              <w:rPr>
                <w:sz w:val="20"/>
              </w:rPr>
            </w:pPr>
            <w:r>
              <w:rPr>
                <w:sz w:val="20"/>
              </w:rPr>
              <w:t>12.424</w:t>
            </w:r>
          </w:p>
        </w:tc>
        <w:tc>
          <w:tcPr>
            <w:tcW w:w="1181" w:type="dxa"/>
            <w:tcBorders>
              <w:top w:val="nil"/>
              <w:left w:val="nil"/>
              <w:right w:val="nil"/>
            </w:tcBorders>
          </w:tcPr>
          <w:p>
            <w:pPr>
              <w:pStyle w:val="TableParagraph"/>
              <w:ind w:right="163"/>
              <w:rPr>
                <w:sz w:val="20"/>
              </w:rPr>
            </w:pPr>
            <w:r>
              <w:rPr>
                <w:sz w:val="20"/>
              </w:rPr>
              <w:t>0.038</w:t>
            </w:r>
          </w:p>
        </w:tc>
        <w:tc>
          <w:tcPr>
            <w:tcW w:w="1210" w:type="dxa"/>
            <w:tcBorders>
              <w:top w:val="nil"/>
              <w:left w:val="nil"/>
              <w:right w:val="nil"/>
            </w:tcBorders>
          </w:tcPr>
          <w:p>
            <w:pPr>
              <w:pStyle w:val="TableParagraph"/>
              <w:ind w:right="173"/>
              <w:rPr>
                <w:sz w:val="20"/>
              </w:rPr>
            </w:pPr>
            <w:r>
              <w:rPr>
                <w:sz w:val="20"/>
              </w:rPr>
              <w:t>8.085</w:t>
            </w:r>
          </w:p>
        </w:tc>
        <w:tc>
          <w:tcPr>
            <w:tcW w:w="1198" w:type="dxa"/>
            <w:tcBorders>
              <w:top w:val="nil"/>
              <w:left w:val="nil"/>
              <w:right w:val="nil"/>
            </w:tcBorders>
          </w:tcPr>
          <w:p>
            <w:pPr>
              <w:pStyle w:val="TableParagraph"/>
              <w:ind w:right="175"/>
              <w:rPr>
                <w:sz w:val="20"/>
              </w:rPr>
            </w:pPr>
            <w:r>
              <w:rPr>
                <w:w w:val="100"/>
                <w:sz w:val="20"/>
              </w:rPr>
              <w:t>0</w:t>
            </w:r>
          </w:p>
        </w:tc>
        <w:tc>
          <w:tcPr>
            <w:tcW w:w="1090" w:type="dxa"/>
            <w:tcBorders>
              <w:top w:val="nil"/>
              <w:left w:val="nil"/>
              <w:right w:val="nil"/>
            </w:tcBorders>
          </w:tcPr>
          <w:p>
            <w:pPr>
              <w:pStyle w:val="TableParagraph"/>
              <w:ind w:right="61"/>
              <w:rPr>
                <w:sz w:val="20"/>
              </w:rPr>
            </w:pPr>
            <w:r>
              <w:rPr>
                <w:sz w:val="20"/>
              </w:rPr>
              <w:t>0.014</w:t>
            </w:r>
          </w:p>
        </w:tc>
      </w:tr>
    </w:tbl>
    <w:p>
      <w:pPr>
        <w:spacing w:after="0"/>
        <w:rPr>
          <w:sz w:val="20"/>
        </w:rPr>
        <w:sectPr>
          <w:pgSz w:w="12240" w:h="15840"/>
          <w:pgMar w:header="0" w:footer="1473" w:top="1360" w:bottom="1660" w:left="1360" w:right="1300"/>
        </w:sectPr>
      </w:pPr>
    </w:p>
    <w:p>
      <w:pPr>
        <w:pStyle w:val="ListParagraph"/>
        <w:numPr>
          <w:ilvl w:val="1"/>
          <w:numId w:val="53"/>
        </w:numPr>
        <w:tabs>
          <w:tab w:pos="2242" w:val="left" w:leader="none"/>
        </w:tabs>
        <w:spacing w:line="240" w:lineRule="auto" w:before="53" w:after="0"/>
        <w:ind w:left="2241" w:right="0" w:hanging="360"/>
        <w:jc w:val="left"/>
        <w:rPr>
          <w:b/>
          <w:sz w:val="26"/>
        </w:rPr>
      </w:pPr>
      <w:r>
        <w:rPr>
          <w:b/>
          <w:sz w:val="26"/>
        </w:rPr>
        <w:t>ANEXO ARTÍCULO DE</w:t>
      </w:r>
      <w:r>
        <w:rPr>
          <w:b/>
          <w:spacing w:val="-6"/>
          <w:sz w:val="26"/>
        </w:rPr>
        <w:t> </w:t>
      </w:r>
      <w:r>
        <w:rPr>
          <w:b/>
          <w:sz w:val="26"/>
        </w:rPr>
        <w:t>INVESTIGACIÓN</w:t>
      </w:r>
    </w:p>
    <w:sectPr>
      <w:pgSz w:w="12240" w:h="15840"/>
      <w:pgMar w:header="0" w:footer="1473" w:top="1360" w:bottom="1660" w:left="172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Cambria Math">
    <w:altName w:val="Cambria Math"/>
    <w:charset w:val="0"/>
    <w:family w:val="roman"/>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97.880005pt;margin-top:707.335999pt;width:16.6pt;height:13.05pt;mso-position-horizontal-relative:page;mso-position-vertical-relative:page;z-index:-10419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viii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349976pt;margin-top:707.335999pt;width:13.05pt;height:13.05pt;mso-position-horizontal-relative:page;mso-position-vertical-relative:page;z-index:-1041736" type="#_x0000_t202" filled="false" stroked="false">
          <v:textbox inset="0,0,0,0">
            <w:txbxContent>
              <w:p>
                <w:pPr>
                  <w:spacing w:line="245" w:lineRule="exact" w:before="0"/>
                  <w:ind w:left="20" w:right="-2" w:firstLine="0"/>
                  <w:jc w:val="left"/>
                  <w:rPr>
                    <w:rFonts w:ascii="Calibri"/>
                    <w:sz w:val="22"/>
                  </w:rPr>
                </w:pPr>
                <w:r>
                  <w:rPr>
                    <w:rFonts w:ascii="Calibri"/>
                    <w:sz w:val="22"/>
                  </w:rPr>
                  <w:t>40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349976pt;margin-top:707.335999pt;width:15.05pt;height:13.05pt;mso-position-horizontal-relative:page;mso-position-vertical-relative:page;z-index:-10417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349976pt;margin-top:707.335999pt;width:13.05pt;height:13.05pt;mso-position-horizontal-relative:page;mso-position-vertical-relative:page;z-index:-1041688" type="#_x0000_t202" filled="false" stroked="false">
          <v:textbox inset="0,0,0,0">
            <w:txbxContent>
              <w:p>
                <w:pPr>
                  <w:spacing w:line="245" w:lineRule="exact" w:before="0"/>
                  <w:ind w:left="20" w:right="-2" w:firstLine="0"/>
                  <w:jc w:val="left"/>
                  <w:rPr>
                    <w:rFonts w:ascii="Calibri"/>
                    <w:sz w:val="22"/>
                  </w:rPr>
                </w:pPr>
                <w:r>
                  <w:rPr>
                    <w:rFonts w:ascii="Calibri"/>
                    <w:sz w:val="22"/>
                  </w:rPr>
                  <w:t>50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349976pt;margin-top:707.335999pt;width:15.05pt;height:13.05pt;mso-position-horizontal-relative:page;mso-position-vertical-relative:page;z-index:-10416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349976pt;margin-top:707.335999pt;width:13.05pt;height:13.05pt;mso-position-horizontal-relative:page;mso-position-vertical-relative:page;z-index:-1041640" type="#_x0000_t202" filled="false" stroked="false">
          <v:textbox inset="0,0,0,0">
            <w:txbxContent>
              <w:p>
                <w:pPr>
                  <w:spacing w:line="245" w:lineRule="exact" w:before="0"/>
                  <w:ind w:left="20" w:right="-2" w:firstLine="0"/>
                  <w:jc w:val="left"/>
                  <w:rPr>
                    <w:rFonts w:ascii="Calibri"/>
                    <w:sz w:val="22"/>
                  </w:rPr>
                </w:pPr>
                <w:r>
                  <w:rPr>
                    <w:rFonts w:ascii="Calibri"/>
                    <w:sz w:val="22"/>
                  </w:rPr>
                  <w:t>60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349976pt;margin-top:707.335999pt;width:15.05pt;height:13.05pt;mso-position-horizontal-relative:page;mso-position-vertical-relative:page;z-index:-10416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349976pt;margin-top:707.335999pt;width:13.05pt;height:13.05pt;mso-position-horizontal-relative:page;mso-position-vertical-relative:page;z-index:-1041592" type="#_x0000_t202" filled="false" stroked="false">
          <v:textbox inset="0,0,0,0">
            <w:txbxContent>
              <w:p>
                <w:pPr>
                  <w:spacing w:line="245" w:lineRule="exact" w:before="0"/>
                  <w:ind w:left="20" w:right="-2" w:firstLine="0"/>
                  <w:jc w:val="left"/>
                  <w:rPr>
                    <w:rFonts w:ascii="Calibri"/>
                    <w:sz w:val="22"/>
                  </w:rPr>
                </w:pPr>
                <w:r>
                  <w:rPr>
                    <w:rFonts w:ascii="Calibri"/>
                    <w:sz w:val="22"/>
                  </w:rPr>
                  <w:t>70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349976pt;margin-top:707.335999pt;width:15.05pt;height:13.05pt;mso-position-horizontal-relative:page;mso-position-vertical-relative:page;z-index:-10415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349976pt;margin-top:707.335999pt;width:13.05pt;height:13.05pt;mso-position-horizontal-relative:page;mso-position-vertical-relative:page;z-index:-1041544" type="#_x0000_t202" filled="false" stroked="false">
          <v:textbox inset="0,0,0,0">
            <w:txbxContent>
              <w:p>
                <w:pPr>
                  <w:spacing w:line="245" w:lineRule="exact" w:before="0"/>
                  <w:ind w:left="20" w:right="-2" w:firstLine="0"/>
                  <w:jc w:val="left"/>
                  <w:rPr>
                    <w:rFonts w:ascii="Calibri"/>
                    <w:sz w:val="22"/>
                  </w:rPr>
                </w:pPr>
                <w:r>
                  <w:rPr>
                    <w:rFonts w:ascii="Calibri"/>
                    <w:sz w:val="22"/>
                  </w:rPr>
                  <w:t>80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349976pt;margin-top:707.335999pt;width:13.05pt;height:13.05pt;mso-position-horizontal-relative:page;mso-position-vertical-relative:page;z-index:-1041520" type="#_x0000_t202" filled="false" stroked="false">
          <v:textbox inset="0,0,0,0">
            <w:txbxContent>
              <w:p>
                <w:pPr>
                  <w:spacing w:line="245" w:lineRule="exact" w:before="0"/>
                  <w:ind w:left="20" w:right="-2" w:firstLine="0"/>
                  <w:jc w:val="left"/>
                  <w:rPr>
                    <w:rFonts w:ascii="Calibri"/>
                    <w:sz w:val="22"/>
                  </w:rPr>
                </w:pPr>
                <w:r>
                  <w:rPr>
                    <w:rFonts w:ascii="Calibri"/>
                    <w:sz w:val="22"/>
                  </w:rPr>
                  <w:t>81</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079987pt;margin-top:707.335999pt;width:14pt;height:13.05pt;mso-position-horizontal-relative:page;mso-position-vertical-relative:page;z-index:-10419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xii</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349976pt;margin-top:707.335999pt;width:15.05pt;height:13.05pt;mso-position-horizontal-relative:page;mso-position-vertical-relative:page;z-index:-10414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83</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349976pt;margin-top:707.335999pt;width:13.05pt;height:13.05pt;mso-position-horizontal-relative:page;mso-position-vertical-relative:page;z-index:-1041472" type="#_x0000_t202" filled="false" stroked="false">
          <v:textbox inset="0,0,0,0">
            <w:txbxContent>
              <w:p>
                <w:pPr>
                  <w:spacing w:line="245" w:lineRule="exact" w:before="0"/>
                  <w:ind w:left="20" w:right="-2" w:firstLine="0"/>
                  <w:jc w:val="left"/>
                  <w:rPr>
                    <w:rFonts w:ascii="Calibri"/>
                    <w:sz w:val="22"/>
                  </w:rPr>
                </w:pPr>
                <w:r>
                  <w:rPr>
                    <w:rFonts w:ascii="Calibri"/>
                    <w:sz w:val="22"/>
                  </w:rPr>
                  <w:t>90</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349976pt;margin-top:707.335999pt;width:15.05pt;height:13.05pt;mso-position-horizontal-relative:page;mso-position-vertical-relative:page;z-index:-10414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590027pt;margin-top:707.335999pt;width:18.6pt;height:13.05pt;mso-position-horizontal-relative:page;mso-position-vertical-relative:page;z-index:-1041424" type="#_x0000_t202" filled="false" stroked="false">
          <v:textbox inset="0,0,0,0">
            <w:txbxContent>
              <w:p>
                <w:pPr>
                  <w:spacing w:line="245" w:lineRule="exact" w:before="0"/>
                  <w:ind w:left="20" w:right="-3" w:firstLine="0"/>
                  <w:jc w:val="left"/>
                  <w:rPr>
                    <w:rFonts w:ascii="Calibri"/>
                    <w:sz w:val="22"/>
                  </w:rPr>
                </w:pPr>
                <w:r>
                  <w:rPr>
                    <w:rFonts w:ascii="Calibri"/>
                    <w:sz w:val="22"/>
                  </w:rPr>
                  <w:t>100</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90027pt;margin-top:707.335999pt;width:20.6pt;height:13.05pt;mso-position-horizontal-relative:page;mso-position-vertical-relative:page;z-index:-10414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101</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90027pt;margin-top:707.335999pt;width:20.6pt;height:13.05pt;mso-position-horizontal-relative:page;mso-position-vertical-relative:page;z-index:-10413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105</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90027pt;margin-top:707.335999pt;width:20.6pt;height:13.05pt;mso-position-horizontal-relative:page;mso-position-vertical-relative:page;z-index:-10413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108</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3.869995pt;margin-top:707.335999pt;width:9.6pt;height:13.05pt;mso-position-horizontal-relative:page;mso-position-vertical-relative:page;z-index:-10419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90027pt;margin-top:707.335999pt;width:20.6pt;height:13.05pt;mso-position-horizontal-relative:page;mso-position-vertical-relative:page;z-index:-10413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111</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90027pt;margin-top:707.335999pt;width:20.6pt;height:13.05pt;mso-position-horizontal-relative:page;mso-position-vertical-relative:page;z-index:-10413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116</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90027pt;margin-top:707.335999pt;width:20.6pt;height:13.05pt;mso-position-horizontal-relative:page;mso-position-vertical-relative:page;z-index:-10412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120</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590027pt;margin-top:707.335999pt;width:18.6pt;height:13.05pt;mso-position-horizontal-relative:page;mso-position-vertical-relative:page;z-index:-1041256" type="#_x0000_t202" filled="false" stroked="false">
          <v:textbox inset="0,0,0,0">
            <w:txbxContent>
              <w:p>
                <w:pPr>
                  <w:spacing w:line="245" w:lineRule="exact" w:before="0"/>
                  <w:ind w:left="20" w:right="-3" w:firstLine="0"/>
                  <w:jc w:val="left"/>
                  <w:rPr>
                    <w:rFonts w:ascii="Calibri"/>
                    <w:sz w:val="22"/>
                  </w:rPr>
                </w:pPr>
                <w:r>
                  <w:rPr>
                    <w:rFonts w:ascii="Calibri"/>
                    <w:sz w:val="22"/>
                  </w:rPr>
                  <w:t>130</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590027pt;margin-top:707.335999pt;width:18.6pt;height:13.05pt;mso-position-horizontal-relative:page;mso-position-vertical-relative:page;z-index:-1041232" type="#_x0000_t202" filled="false" stroked="false">
          <v:textbox inset="0,0,0,0">
            <w:txbxContent>
              <w:p>
                <w:pPr>
                  <w:spacing w:line="245" w:lineRule="exact" w:before="0"/>
                  <w:ind w:left="20" w:right="-3" w:firstLine="0"/>
                  <w:jc w:val="left"/>
                  <w:rPr>
                    <w:rFonts w:ascii="Calibri"/>
                    <w:sz w:val="22"/>
                  </w:rPr>
                </w:pPr>
                <w:r>
                  <w:rPr>
                    <w:rFonts w:ascii="Calibri"/>
                    <w:sz w:val="22"/>
                  </w:rPr>
                  <w:t>131</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349976pt;margin-top:707.335999pt;width:13.05pt;height:13.05pt;mso-position-horizontal-relative:page;mso-position-vertical-relative:page;z-index:-1041880" type="#_x0000_t202" filled="false" stroked="false">
          <v:textbox inset="0,0,0,0">
            <w:txbxContent>
              <w:p>
                <w:pPr>
                  <w:spacing w:line="245" w:lineRule="exact" w:before="0"/>
                  <w:ind w:left="20" w:right="-2" w:firstLine="0"/>
                  <w:jc w:val="left"/>
                  <w:rPr>
                    <w:rFonts w:ascii="Calibri"/>
                    <w:sz w:val="22"/>
                  </w:rPr>
                </w:pPr>
                <w:r>
                  <w:rPr>
                    <w:rFonts w:ascii="Calibri"/>
                    <w:sz w:val="22"/>
                  </w:rPr>
                  <w:t>10</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90027pt;margin-top:707.335999pt;width:20.6pt;height:13.05pt;mso-position-horizontal-relative:page;mso-position-vertical-relative:page;z-index:-10412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133</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90027pt;margin-top:707.335999pt;width:20.6pt;height:13.05pt;mso-position-horizontal-relative:page;mso-position-vertical-relative:page;z-index:-10411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141</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90027pt;margin-top:707.335999pt;width:20.6pt;height:13.05pt;mso-position-horizontal-relative:page;mso-position-vertical-relative:page;z-index:-10411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144</w:t>
                </w:r>
                <w:r>
                  <w:rPr/>
                  <w:fldChar w:fldCharType="end"/>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90027pt;margin-top:707.335999pt;width:19.6pt;height:13.05pt;mso-position-horizontal-relative:page;mso-position-vertical-relative:page;z-index:-1041136" type="#_x0000_t202" filled="false" stroked="false">
          <v:textbox inset="0,0,0,0">
            <w:txbxContent>
              <w:p>
                <w:pPr>
                  <w:spacing w:line="245" w:lineRule="exact" w:before="0"/>
                  <w:ind w:left="40" w:right="-3" w:firstLine="0"/>
                  <w:jc w:val="left"/>
                  <w:rPr>
                    <w:rFonts w:ascii="Calibri"/>
                    <w:sz w:val="22"/>
                  </w:rPr>
                </w:pPr>
                <w:r>
                  <w:rPr/>
                  <w:fldChar w:fldCharType="begin"/>
                </w:r>
                <w:r>
                  <w:rPr>
                    <w:rFonts w:ascii="Calibri"/>
                    <w:sz w:val="22"/>
                  </w:rPr>
                  <w:instrText> PAGE </w:instrText>
                </w:r>
                <w:r>
                  <w:rPr/>
                  <w:fldChar w:fldCharType="separate"/>
                </w:r>
                <w:r>
                  <w:rPr/>
                  <w:t>14</w:t>
                </w:r>
                <w:r>
                  <w:rPr/>
                  <w:fldChar w:fldCharType="end"/>
                </w:r>
                <w:r>
                  <w:rPr>
                    <w:rFonts w:ascii="Calibri"/>
                    <w:sz w:val="22"/>
                  </w:rPr>
                  <w:t>9</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349976pt;margin-top:707.335999pt;width:15.05pt;height:13.05pt;mso-position-horizontal-relative:page;mso-position-vertical-relative:page;z-index:-10418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90027pt;margin-top:707.335999pt;width:20.6pt;height:13.05pt;mso-position-horizontal-relative:page;mso-position-vertical-relative:page;z-index:-10411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151</w:t>
                </w:r>
                <w:r>
                  <w:rPr/>
                  <w:fldChar w:fldCharType="end"/>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90027pt;margin-top:707.335999pt;width:20.6pt;height:13.05pt;mso-position-horizontal-relative:page;mso-position-vertical-relative:page;z-index:-10410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157</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590027pt;margin-top:707.335999pt;width:18.6pt;height:13.05pt;mso-position-horizontal-relative:page;mso-position-vertical-relative:page;z-index:-1041064" type="#_x0000_t202" filled="false" stroked="false">
          <v:textbox inset="0,0,0,0">
            <w:txbxContent>
              <w:p>
                <w:pPr>
                  <w:spacing w:line="245" w:lineRule="exact" w:before="0"/>
                  <w:ind w:left="20" w:right="-3" w:firstLine="0"/>
                  <w:jc w:val="left"/>
                  <w:rPr>
                    <w:rFonts w:ascii="Calibri"/>
                    <w:sz w:val="22"/>
                  </w:rPr>
                </w:pPr>
                <w:r>
                  <w:rPr>
                    <w:rFonts w:ascii="Calibri"/>
                    <w:sz w:val="22"/>
                  </w:rPr>
                  <w:t>160</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90027pt;margin-top:707.335999pt;width:20.6pt;height:13.05pt;mso-position-horizontal-relative:page;mso-position-vertical-relative:page;z-index:-10410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161</w:t>
                </w:r>
                <w:r>
                  <w:rPr/>
                  <w:fldChar w:fldCharType="end"/>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590027pt;margin-top:707.335999pt;width:18.6pt;height:13.05pt;mso-position-horizontal-relative:page;mso-position-vertical-relative:page;z-index:-1041016" type="#_x0000_t202" filled="false" stroked="false">
          <v:textbox inset="0,0,0,0">
            <w:txbxContent>
              <w:p>
                <w:pPr>
                  <w:spacing w:line="245" w:lineRule="exact" w:before="0"/>
                  <w:ind w:left="20" w:right="-3" w:firstLine="0"/>
                  <w:jc w:val="left"/>
                  <w:rPr>
                    <w:rFonts w:ascii="Calibri"/>
                    <w:sz w:val="22"/>
                  </w:rPr>
                </w:pPr>
                <w:r>
                  <w:rPr>
                    <w:rFonts w:ascii="Calibri"/>
                    <w:sz w:val="22"/>
                  </w:rPr>
                  <w:t>170</w:t>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90027pt;margin-top:707.335999pt;width:20.6pt;height:13.05pt;mso-position-horizontal-relative:page;mso-position-vertical-relative:page;z-index:-10409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171</w:t>
                </w:r>
                <w:r>
                  <w:rPr/>
                  <w:fldChar w:fldCharType="end"/>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90027pt;margin-top:527.312012pt;width:20.6pt;height:13.05pt;mso-position-horizontal-relative:page;mso-position-vertical-relative:page;z-index:-10409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174</w:t>
                </w:r>
                <w:r>
                  <w:rPr/>
                  <w:fldChar w:fldCharType="end"/>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3.590027pt;margin-top:527.312012pt;width:18.6pt;height:13.05pt;mso-position-horizontal-relative:page;mso-position-vertical-relative:page;z-index:-1040944" type="#_x0000_t202" filled="false" stroked="false">
          <v:textbox inset="0,0,0,0">
            <w:txbxContent>
              <w:p>
                <w:pPr>
                  <w:spacing w:line="245" w:lineRule="exact" w:before="0"/>
                  <w:ind w:left="20" w:right="-3" w:firstLine="0"/>
                  <w:jc w:val="left"/>
                  <w:rPr>
                    <w:rFonts w:ascii="Calibri"/>
                    <w:sz w:val="22"/>
                  </w:rPr>
                </w:pPr>
                <w:r>
                  <w:rPr>
                    <w:rFonts w:ascii="Calibri"/>
                    <w:sz w:val="22"/>
                  </w:rPr>
                  <w:t>180</w:t>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349976pt;margin-top:707.335999pt;width:13.05pt;height:13.05pt;mso-position-horizontal-relative:page;mso-position-vertical-relative:page;z-index:-1041832" type="#_x0000_t202" filled="false" stroked="false">
          <v:textbox inset="0,0,0,0">
            <w:txbxContent>
              <w:p>
                <w:pPr>
                  <w:spacing w:line="245" w:lineRule="exact" w:before="0"/>
                  <w:ind w:left="20" w:right="-2" w:firstLine="0"/>
                  <w:jc w:val="left"/>
                  <w:rPr>
                    <w:rFonts w:ascii="Calibri"/>
                    <w:sz w:val="22"/>
                  </w:rPr>
                </w:pPr>
                <w:r>
                  <w:rPr>
                    <w:rFonts w:ascii="Calibri"/>
                    <w:sz w:val="22"/>
                  </w:rPr>
                  <w:t>20</w:t>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90027pt;margin-top:527.312012pt;width:20.6pt;height:13.05pt;mso-position-horizontal-relative:page;mso-position-vertical-relative:page;z-index:-10409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182</w:t>
                </w:r>
                <w:r>
                  <w:rPr/>
                  <w:fldChar w:fldCharType="end"/>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3.590027pt;margin-top:527.312012pt;width:18.6pt;height:13.05pt;mso-position-horizontal-relative:page;mso-position-vertical-relative:page;z-index:-1040896" type="#_x0000_t202" filled="false" stroked="false">
          <v:textbox inset="0,0,0,0">
            <w:txbxContent>
              <w:p>
                <w:pPr>
                  <w:spacing w:line="245" w:lineRule="exact" w:before="0"/>
                  <w:ind w:left="20" w:right="-3" w:firstLine="0"/>
                  <w:jc w:val="left"/>
                  <w:rPr>
                    <w:rFonts w:ascii="Calibri"/>
                    <w:sz w:val="22"/>
                  </w:rPr>
                </w:pPr>
                <w:r>
                  <w:rPr>
                    <w:rFonts w:ascii="Calibri"/>
                    <w:sz w:val="22"/>
                  </w:rPr>
                  <w:t>190</w:t>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90027pt;margin-top:527.312012pt;width:20.6pt;height:13.05pt;mso-position-horizontal-relative:page;mso-position-vertical-relative:page;z-index:-10408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191</w:t>
                </w:r>
                <w:r>
                  <w:rPr/>
                  <w:fldChar w:fldCharType="end"/>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90027pt;margin-top:707.335999pt;width:20.6pt;height:13.05pt;mso-position-horizontal-relative:page;mso-position-vertical-relative:page;z-index:-10408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196</w:t>
                </w:r>
                <w:r>
                  <w:rPr/>
                  <w:fldChar w:fldCharType="end"/>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590027pt;margin-top:707.335999pt;width:18.6pt;height:13.05pt;mso-position-horizontal-relative:page;mso-position-vertical-relative:page;z-index:-1040824" type="#_x0000_t202" filled="false" stroked="false">
          <v:textbox inset="0,0,0,0">
            <w:txbxContent>
              <w:p>
                <w:pPr>
                  <w:spacing w:line="245" w:lineRule="exact" w:before="0"/>
                  <w:ind w:left="20" w:right="-3" w:firstLine="0"/>
                  <w:jc w:val="left"/>
                  <w:rPr>
                    <w:rFonts w:ascii="Calibri"/>
                    <w:sz w:val="22"/>
                  </w:rPr>
                </w:pPr>
                <w:r>
                  <w:rPr>
                    <w:rFonts w:ascii="Calibri"/>
                    <w:sz w:val="22"/>
                  </w:rPr>
                  <w:t>200</w:t>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90027pt;margin-top:707.335999pt;width:20.6pt;height:13.05pt;mso-position-horizontal-relative:page;mso-position-vertical-relative:page;z-index:-10408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201</w:t>
                </w:r>
                <w:r>
                  <w:rPr/>
                  <w:fldChar w:fldCharType="end"/>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590027pt;margin-top:707.335999pt;width:18.6pt;height:13.05pt;mso-position-horizontal-relative:page;mso-position-vertical-relative:page;z-index:-1040776" type="#_x0000_t202" filled="false" stroked="false">
          <v:textbox inset="0,0,0,0">
            <w:txbxContent>
              <w:p>
                <w:pPr>
                  <w:spacing w:line="245" w:lineRule="exact" w:before="0"/>
                  <w:ind w:left="20" w:right="-3" w:firstLine="0"/>
                  <w:jc w:val="left"/>
                  <w:rPr>
                    <w:rFonts w:ascii="Calibri"/>
                    <w:sz w:val="22"/>
                  </w:rPr>
                </w:pPr>
                <w:r>
                  <w:rPr>
                    <w:rFonts w:ascii="Calibri"/>
                    <w:sz w:val="22"/>
                  </w:rPr>
                  <w:t>210</w:t>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90027pt;margin-top:707.335999pt;width:20.6pt;height:13.05pt;mso-position-horizontal-relative:page;mso-position-vertical-relative:page;z-index:-10407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349976pt;margin-top:707.335999pt;width:15.05pt;height:13.05pt;mso-position-horizontal-relative:page;mso-position-vertical-relative:page;z-index:-10418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349976pt;margin-top:707.335999pt;width:13.05pt;height:13.05pt;mso-position-horizontal-relative:page;mso-position-vertical-relative:page;z-index:-1041784" type="#_x0000_t202" filled="false" stroked="false">
          <v:textbox inset="0,0,0,0">
            <w:txbxContent>
              <w:p>
                <w:pPr>
                  <w:spacing w:line="245" w:lineRule="exact" w:before="0"/>
                  <w:ind w:left="20" w:right="-2" w:firstLine="0"/>
                  <w:jc w:val="left"/>
                  <w:rPr>
                    <w:rFonts w:ascii="Calibri"/>
                    <w:sz w:val="22"/>
                  </w:rPr>
                </w:pPr>
                <w:r>
                  <w:rPr>
                    <w:rFonts w:ascii="Calibri"/>
                    <w:sz w:val="22"/>
                  </w:rPr>
                  <w:t>30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349976pt;margin-top:707.335999pt;width:15.05pt;height:13.05pt;mso-position-horizontal-relative:page;mso-position-vertical-relative:page;z-index:-10417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1"/>
      <w:numFmt w:val="bullet"/>
      <w:lvlText w:val=""/>
      <w:lvlJc w:val="left"/>
      <w:pPr>
        <w:ind w:left="837" w:hanging="361"/>
      </w:pPr>
      <w:rPr>
        <w:rFonts w:hint="default" w:ascii="Symbol" w:hAnsi="Symbol" w:eastAsia="Symbol" w:cs="Symbol"/>
        <w:w w:val="99"/>
        <w:sz w:val="26"/>
        <w:szCs w:val="26"/>
      </w:rPr>
    </w:lvl>
    <w:lvl w:ilvl="1">
      <w:start w:val="1"/>
      <w:numFmt w:val="bullet"/>
      <w:lvlText w:val="•"/>
      <w:lvlJc w:val="left"/>
      <w:pPr>
        <w:ind w:left="1720" w:hanging="361"/>
      </w:pPr>
      <w:rPr>
        <w:rFonts w:hint="default"/>
      </w:rPr>
    </w:lvl>
    <w:lvl w:ilvl="2">
      <w:start w:val="1"/>
      <w:numFmt w:val="bullet"/>
      <w:lvlText w:val="•"/>
      <w:lvlJc w:val="left"/>
      <w:pPr>
        <w:ind w:left="2600" w:hanging="361"/>
      </w:pPr>
      <w:rPr>
        <w:rFonts w:hint="default"/>
      </w:rPr>
    </w:lvl>
    <w:lvl w:ilvl="3">
      <w:start w:val="1"/>
      <w:numFmt w:val="bullet"/>
      <w:lvlText w:val="•"/>
      <w:lvlJc w:val="left"/>
      <w:pPr>
        <w:ind w:left="3480" w:hanging="361"/>
      </w:pPr>
      <w:rPr>
        <w:rFonts w:hint="default"/>
      </w:rPr>
    </w:lvl>
    <w:lvl w:ilvl="4">
      <w:start w:val="1"/>
      <w:numFmt w:val="bullet"/>
      <w:lvlText w:val="•"/>
      <w:lvlJc w:val="left"/>
      <w:pPr>
        <w:ind w:left="4360" w:hanging="361"/>
      </w:pPr>
      <w:rPr>
        <w:rFonts w:hint="default"/>
      </w:rPr>
    </w:lvl>
    <w:lvl w:ilvl="5">
      <w:start w:val="1"/>
      <w:numFmt w:val="bullet"/>
      <w:lvlText w:val="•"/>
      <w:lvlJc w:val="left"/>
      <w:pPr>
        <w:ind w:left="5240" w:hanging="361"/>
      </w:pPr>
      <w:rPr>
        <w:rFonts w:hint="default"/>
      </w:rPr>
    </w:lvl>
    <w:lvl w:ilvl="6">
      <w:start w:val="1"/>
      <w:numFmt w:val="bullet"/>
      <w:lvlText w:val="•"/>
      <w:lvlJc w:val="left"/>
      <w:pPr>
        <w:ind w:left="6120" w:hanging="361"/>
      </w:pPr>
      <w:rPr>
        <w:rFonts w:hint="default"/>
      </w:rPr>
    </w:lvl>
    <w:lvl w:ilvl="7">
      <w:start w:val="1"/>
      <w:numFmt w:val="bullet"/>
      <w:lvlText w:val="•"/>
      <w:lvlJc w:val="left"/>
      <w:pPr>
        <w:ind w:left="7000" w:hanging="361"/>
      </w:pPr>
      <w:rPr>
        <w:rFonts w:hint="default"/>
      </w:rPr>
    </w:lvl>
    <w:lvl w:ilvl="8">
      <w:start w:val="1"/>
      <w:numFmt w:val="bullet"/>
      <w:lvlText w:val="•"/>
      <w:lvlJc w:val="left"/>
      <w:pPr>
        <w:ind w:left="7880" w:hanging="361"/>
      </w:pPr>
      <w:rPr>
        <w:rFonts w:hint="default"/>
      </w:rPr>
    </w:lvl>
  </w:abstractNum>
  <w:abstractNum w:abstractNumId="52">
    <w:multiLevelType w:val="hybridMultilevel"/>
    <w:lvl w:ilvl="0">
      <w:start w:val="1"/>
      <w:numFmt w:val="upperRoman"/>
      <w:lvlText w:val="%1."/>
      <w:lvlJc w:val="left"/>
      <w:pPr>
        <w:ind w:left="336" w:hanging="221"/>
        <w:jc w:val="left"/>
      </w:pPr>
      <w:rPr>
        <w:rFonts w:hint="default" w:ascii="Times New Roman" w:hAnsi="Times New Roman" w:eastAsia="Times New Roman" w:cs="Times New Roman"/>
        <w:i/>
        <w:w w:val="99"/>
        <w:sz w:val="26"/>
        <w:szCs w:val="26"/>
      </w:rPr>
    </w:lvl>
    <w:lvl w:ilvl="1">
      <w:start w:val="1"/>
      <w:numFmt w:val="upperLetter"/>
      <w:lvlText w:val="%2)"/>
      <w:lvlJc w:val="left"/>
      <w:pPr>
        <w:ind w:left="2955" w:hanging="361"/>
        <w:jc w:val="right"/>
      </w:pPr>
      <w:rPr>
        <w:rFonts w:hint="default" w:ascii="Times New Roman" w:hAnsi="Times New Roman" w:eastAsia="Times New Roman" w:cs="Times New Roman"/>
        <w:b/>
        <w:bCs/>
        <w:w w:val="99"/>
        <w:sz w:val="26"/>
        <w:szCs w:val="26"/>
      </w:rPr>
    </w:lvl>
    <w:lvl w:ilvl="2">
      <w:start w:val="1"/>
      <w:numFmt w:val="bullet"/>
      <w:lvlText w:val="•"/>
      <w:lvlJc w:val="left"/>
      <w:pPr>
        <w:ind w:left="3702" w:hanging="361"/>
      </w:pPr>
      <w:rPr>
        <w:rFonts w:hint="default"/>
      </w:rPr>
    </w:lvl>
    <w:lvl w:ilvl="3">
      <w:start w:val="1"/>
      <w:numFmt w:val="bullet"/>
      <w:lvlText w:val="•"/>
      <w:lvlJc w:val="left"/>
      <w:pPr>
        <w:ind w:left="4444" w:hanging="361"/>
      </w:pPr>
      <w:rPr>
        <w:rFonts w:hint="default"/>
      </w:rPr>
    </w:lvl>
    <w:lvl w:ilvl="4">
      <w:start w:val="1"/>
      <w:numFmt w:val="bullet"/>
      <w:lvlText w:val="•"/>
      <w:lvlJc w:val="left"/>
      <w:pPr>
        <w:ind w:left="5186" w:hanging="361"/>
      </w:pPr>
      <w:rPr>
        <w:rFonts w:hint="default"/>
      </w:rPr>
    </w:lvl>
    <w:lvl w:ilvl="5">
      <w:start w:val="1"/>
      <w:numFmt w:val="bullet"/>
      <w:lvlText w:val="•"/>
      <w:lvlJc w:val="left"/>
      <w:pPr>
        <w:ind w:left="5928" w:hanging="361"/>
      </w:pPr>
      <w:rPr>
        <w:rFonts w:hint="default"/>
      </w:rPr>
    </w:lvl>
    <w:lvl w:ilvl="6">
      <w:start w:val="1"/>
      <w:numFmt w:val="bullet"/>
      <w:lvlText w:val="•"/>
      <w:lvlJc w:val="left"/>
      <w:pPr>
        <w:ind w:left="6671" w:hanging="361"/>
      </w:pPr>
      <w:rPr>
        <w:rFonts w:hint="default"/>
      </w:rPr>
    </w:lvl>
    <w:lvl w:ilvl="7">
      <w:start w:val="1"/>
      <w:numFmt w:val="bullet"/>
      <w:lvlText w:val="•"/>
      <w:lvlJc w:val="left"/>
      <w:pPr>
        <w:ind w:left="7413" w:hanging="361"/>
      </w:pPr>
      <w:rPr>
        <w:rFonts w:hint="default"/>
      </w:rPr>
    </w:lvl>
    <w:lvl w:ilvl="8">
      <w:start w:val="1"/>
      <w:numFmt w:val="bullet"/>
      <w:lvlText w:val="•"/>
      <w:lvlJc w:val="left"/>
      <w:pPr>
        <w:ind w:left="8155" w:hanging="361"/>
      </w:pPr>
      <w:rPr>
        <w:rFonts w:hint="default"/>
      </w:rPr>
    </w:lvl>
  </w:abstractNum>
  <w:abstractNum w:abstractNumId="51">
    <w:multiLevelType w:val="hybridMultilevel"/>
    <w:lvl w:ilvl="0">
      <w:start w:val="5"/>
      <w:numFmt w:val="decimal"/>
      <w:lvlText w:val="%1"/>
      <w:lvlJc w:val="left"/>
      <w:pPr>
        <w:ind w:left="510" w:hanging="394"/>
        <w:jc w:val="left"/>
      </w:pPr>
      <w:rPr>
        <w:rFonts w:hint="default"/>
      </w:rPr>
    </w:lvl>
    <w:lvl w:ilvl="1">
      <w:start w:val="4"/>
      <w:numFmt w:val="decimal"/>
      <w:lvlText w:val="%1.%2"/>
      <w:lvlJc w:val="left"/>
      <w:pPr>
        <w:ind w:left="116" w:hanging="394"/>
        <w:jc w:val="left"/>
      </w:pPr>
      <w:rPr>
        <w:rFonts w:hint="default" w:ascii="Times New Roman" w:hAnsi="Times New Roman" w:eastAsia="Times New Roman" w:cs="Times New Roman"/>
        <w:b/>
        <w:bCs/>
        <w:w w:val="99"/>
        <w:sz w:val="26"/>
        <w:szCs w:val="26"/>
      </w:rPr>
    </w:lvl>
    <w:lvl w:ilvl="2">
      <w:start w:val="1"/>
      <w:numFmt w:val="bullet"/>
      <w:lvlText w:val=""/>
      <w:lvlJc w:val="left"/>
      <w:pPr>
        <w:ind w:left="837" w:hanging="361"/>
      </w:pPr>
      <w:rPr>
        <w:rFonts w:hint="default" w:ascii="Symbol" w:hAnsi="Symbol" w:eastAsia="Symbol" w:cs="Symbol"/>
        <w:w w:val="99"/>
        <w:sz w:val="26"/>
        <w:szCs w:val="26"/>
      </w:rPr>
    </w:lvl>
    <w:lvl w:ilvl="3">
      <w:start w:val="1"/>
      <w:numFmt w:val="bullet"/>
      <w:lvlText w:val="•"/>
      <w:lvlJc w:val="left"/>
      <w:pPr>
        <w:ind w:left="1940" w:hanging="361"/>
      </w:pPr>
      <w:rPr>
        <w:rFonts w:hint="default"/>
      </w:rPr>
    </w:lvl>
    <w:lvl w:ilvl="4">
      <w:start w:val="1"/>
      <w:numFmt w:val="bullet"/>
      <w:lvlText w:val="•"/>
      <w:lvlJc w:val="left"/>
      <w:pPr>
        <w:ind w:left="3040" w:hanging="361"/>
      </w:pPr>
      <w:rPr>
        <w:rFonts w:hint="default"/>
      </w:rPr>
    </w:lvl>
    <w:lvl w:ilvl="5">
      <w:start w:val="1"/>
      <w:numFmt w:val="bullet"/>
      <w:lvlText w:val="•"/>
      <w:lvlJc w:val="left"/>
      <w:pPr>
        <w:ind w:left="4140" w:hanging="361"/>
      </w:pPr>
      <w:rPr>
        <w:rFonts w:hint="default"/>
      </w:rPr>
    </w:lvl>
    <w:lvl w:ilvl="6">
      <w:start w:val="1"/>
      <w:numFmt w:val="bullet"/>
      <w:lvlText w:val="•"/>
      <w:lvlJc w:val="left"/>
      <w:pPr>
        <w:ind w:left="5240" w:hanging="361"/>
      </w:pPr>
      <w:rPr>
        <w:rFonts w:hint="default"/>
      </w:rPr>
    </w:lvl>
    <w:lvl w:ilvl="7">
      <w:start w:val="1"/>
      <w:numFmt w:val="bullet"/>
      <w:lvlText w:val="•"/>
      <w:lvlJc w:val="left"/>
      <w:pPr>
        <w:ind w:left="6340" w:hanging="361"/>
      </w:pPr>
      <w:rPr>
        <w:rFonts w:hint="default"/>
      </w:rPr>
    </w:lvl>
    <w:lvl w:ilvl="8">
      <w:start w:val="1"/>
      <w:numFmt w:val="bullet"/>
      <w:lvlText w:val="•"/>
      <w:lvlJc w:val="left"/>
      <w:pPr>
        <w:ind w:left="7440" w:hanging="361"/>
      </w:pPr>
      <w:rPr>
        <w:rFonts w:hint="default"/>
      </w:rPr>
    </w:lvl>
  </w:abstractNum>
  <w:abstractNum w:abstractNumId="50">
    <w:multiLevelType w:val="hybridMultilevel"/>
    <w:lvl w:ilvl="0">
      <w:start w:val="5"/>
      <w:numFmt w:val="decimal"/>
      <w:lvlText w:val="%1"/>
      <w:lvlJc w:val="left"/>
      <w:pPr>
        <w:ind w:left="837" w:hanging="721"/>
        <w:jc w:val="left"/>
      </w:pPr>
      <w:rPr>
        <w:rFonts w:hint="default"/>
      </w:rPr>
    </w:lvl>
    <w:lvl w:ilvl="1">
      <w:start w:val="2"/>
      <w:numFmt w:val="decimal"/>
      <w:lvlText w:val="%1.%2"/>
      <w:lvlJc w:val="left"/>
      <w:pPr>
        <w:ind w:left="837" w:hanging="721"/>
        <w:jc w:val="left"/>
      </w:pPr>
      <w:rPr>
        <w:rFonts w:hint="default"/>
      </w:rPr>
    </w:lvl>
    <w:lvl w:ilvl="2">
      <w:start w:val="2"/>
      <w:numFmt w:val="decimal"/>
      <w:lvlText w:val="%1.%2.%3"/>
      <w:lvlJc w:val="left"/>
      <w:pPr>
        <w:ind w:left="837" w:hanging="721"/>
        <w:jc w:val="left"/>
      </w:pPr>
      <w:rPr>
        <w:rFonts w:hint="default" w:ascii="Times New Roman" w:hAnsi="Times New Roman" w:eastAsia="Times New Roman" w:cs="Times New Roman"/>
        <w:b/>
        <w:bCs/>
        <w:w w:val="99"/>
        <w:sz w:val="26"/>
        <w:szCs w:val="26"/>
      </w:rPr>
    </w:lvl>
    <w:lvl w:ilvl="3">
      <w:start w:val="1"/>
      <w:numFmt w:val="bullet"/>
      <w:lvlText w:val="•"/>
      <w:lvlJc w:val="left"/>
      <w:pPr>
        <w:ind w:left="3498" w:hanging="721"/>
      </w:pPr>
      <w:rPr>
        <w:rFonts w:hint="default"/>
      </w:rPr>
    </w:lvl>
    <w:lvl w:ilvl="4">
      <w:start w:val="1"/>
      <w:numFmt w:val="bullet"/>
      <w:lvlText w:val="•"/>
      <w:lvlJc w:val="left"/>
      <w:pPr>
        <w:ind w:left="4384" w:hanging="721"/>
      </w:pPr>
      <w:rPr>
        <w:rFonts w:hint="default"/>
      </w:rPr>
    </w:lvl>
    <w:lvl w:ilvl="5">
      <w:start w:val="1"/>
      <w:numFmt w:val="bullet"/>
      <w:lvlText w:val="•"/>
      <w:lvlJc w:val="left"/>
      <w:pPr>
        <w:ind w:left="5270" w:hanging="721"/>
      </w:pPr>
      <w:rPr>
        <w:rFonts w:hint="default"/>
      </w:rPr>
    </w:lvl>
    <w:lvl w:ilvl="6">
      <w:start w:val="1"/>
      <w:numFmt w:val="bullet"/>
      <w:lvlText w:val="•"/>
      <w:lvlJc w:val="left"/>
      <w:pPr>
        <w:ind w:left="6156" w:hanging="721"/>
      </w:pPr>
      <w:rPr>
        <w:rFonts w:hint="default"/>
      </w:rPr>
    </w:lvl>
    <w:lvl w:ilvl="7">
      <w:start w:val="1"/>
      <w:numFmt w:val="bullet"/>
      <w:lvlText w:val="•"/>
      <w:lvlJc w:val="left"/>
      <w:pPr>
        <w:ind w:left="7042" w:hanging="721"/>
      </w:pPr>
      <w:rPr>
        <w:rFonts w:hint="default"/>
      </w:rPr>
    </w:lvl>
    <w:lvl w:ilvl="8">
      <w:start w:val="1"/>
      <w:numFmt w:val="bullet"/>
      <w:lvlText w:val="•"/>
      <w:lvlJc w:val="left"/>
      <w:pPr>
        <w:ind w:left="7928" w:hanging="721"/>
      </w:pPr>
      <w:rPr>
        <w:rFonts w:hint="default"/>
      </w:rPr>
    </w:lvl>
  </w:abstractNum>
  <w:abstractNum w:abstractNumId="49">
    <w:multiLevelType w:val="hybridMultilevel"/>
    <w:lvl w:ilvl="0">
      <w:start w:val="1"/>
      <w:numFmt w:val="bullet"/>
      <w:lvlText w:val=""/>
      <w:lvlJc w:val="left"/>
      <w:pPr>
        <w:ind w:left="577" w:hanging="361"/>
      </w:pPr>
      <w:rPr>
        <w:rFonts w:hint="default" w:ascii="Symbol" w:hAnsi="Symbol" w:eastAsia="Symbol" w:cs="Symbol"/>
        <w:w w:val="99"/>
        <w:sz w:val="26"/>
        <w:szCs w:val="26"/>
      </w:rPr>
    </w:lvl>
    <w:lvl w:ilvl="1">
      <w:start w:val="1"/>
      <w:numFmt w:val="bullet"/>
      <w:lvlText w:val="•"/>
      <w:lvlJc w:val="left"/>
      <w:pPr>
        <w:ind w:left="1460" w:hanging="361"/>
      </w:pPr>
      <w:rPr>
        <w:rFonts w:hint="default"/>
      </w:rPr>
    </w:lvl>
    <w:lvl w:ilvl="2">
      <w:start w:val="1"/>
      <w:numFmt w:val="bullet"/>
      <w:lvlText w:val="•"/>
      <w:lvlJc w:val="left"/>
      <w:pPr>
        <w:ind w:left="2340" w:hanging="361"/>
      </w:pPr>
      <w:rPr>
        <w:rFonts w:hint="default"/>
      </w:rPr>
    </w:lvl>
    <w:lvl w:ilvl="3">
      <w:start w:val="1"/>
      <w:numFmt w:val="bullet"/>
      <w:lvlText w:val="•"/>
      <w:lvlJc w:val="left"/>
      <w:pPr>
        <w:ind w:left="3220" w:hanging="361"/>
      </w:pPr>
      <w:rPr>
        <w:rFonts w:hint="default"/>
      </w:rPr>
    </w:lvl>
    <w:lvl w:ilvl="4">
      <w:start w:val="1"/>
      <w:numFmt w:val="bullet"/>
      <w:lvlText w:val="•"/>
      <w:lvlJc w:val="left"/>
      <w:pPr>
        <w:ind w:left="4100" w:hanging="361"/>
      </w:pPr>
      <w:rPr>
        <w:rFonts w:hint="default"/>
      </w:rPr>
    </w:lvl>
    <w:lvl w:ilvl="5">
      <w:start w:val="1"/>
      <w:numFmt w:val="bullet"/>
      <w:lvlText w:val="•"/>
      <w:lvlJc w:val="left"/>
      <w:pPr>
        <w:ind w:left="4980" w:hanging="361"/>
      </w:pPr>
      <w:rPr>
        <w:rFonts w:hint="default"/>
      </w:rPr>
    </w:lvl>
    <w:lvl w:ilvl="6">
      <w:start w:val="1"/>
      <w:numFmt w:val="bullet"/>
      <w:lvlText w:val="•"/>
      <w:lvlJc w:val="left"/>
      <w:pPr>
        <w:ind w:left="5860" w:hanging="361"/>
      </w:pPr>
      <w:rPr>
        <w:rFonts w:hint="default"/>
      </w:rPr>
    </w:lvl>
    <w:lvl w:ilvl="7">
      <w:start w:val="1"/>
      <w:numFmt w:val="bullet"/>
      <w:lvlText w:val="•"/>
      <w:lvlJc w:val="left"/>
      <w:pPr>
        <w:ind w:left="6740" w:hanging="361"/>
      </w:pPr>
      <w:rPr>
        <w:rFonts w:hint="default"/>
      </w:rPr>
    </w:lvl>
    <w:lvl w:ilvl="8">
      <w:start w:val="1"/>
      <w:numFmt w:val="bullet"/>
      <w:lvlText w:val="•"/>
      <w:lvlJc w:val="left"/>
      <w:pPr>
        <w:ind w:left="7620" w:hanging="361"/>
      </w:pPr>
      <w:rPr>
        <w:rFonts w:hint="default"/>
      </w:rPr>
    </w:lvl>
  </w:abstractNum>
  <w:abstractNum w:abstractNumId="48">
    <w:multiLevelType w:val="hybridMultilevel"/>
    <w:lvl w:ilvl="0">
      <w:start w:val="5"/>
      <w:numFmt w:val="decimal"/>
      <w:lvlText w:val="%1"/>
      <w:lvlJc w:val="left"/>
      <w:pPr>
        <w:ind w:left="510" w:hanging="394"/>
        <w:jc w:val="left"/>
      </w:pPr>
      <w:rPr>
        <w:rFonts w:hint="default"/>
      </w:rPr>
    </w:lvl>
    <w:lvl w:ilvl="1">
      <w:start w:val="1"/>
      <w:numFmt w:val="decimal"/>
      <w:lvlText w:val="%1.%2"/>
      <w:lvlJc w:val="left"/>
      <w:pPr>
        <w:ind w:left="510" w:hanging="394"/>
        <w:jc w:val="left"/>
      </w:pPr>
      <w:rPr>
        <w:rFonts w:hint="default" w:ascii="Times New Roman" w:hAnsi="Times New Roman" w:eastAsia="Times New Roman" w:cs="Times New Roman"/>
        <w:b/>
        <w:bCs/>
        <w:w w:val="99"/>
        <w:sz w:val="26"/>
        <w:szCs w:val="26"/>
      </w:rPr>
    </w:lvl>
    <w:lvl w:ilvl="2">
      <w:start w:val="1"/>
      <w:numFmt w:val="decimal"/>
      <w:lvlText w:val="%1.%2.%3"/>
      <w:lvlJc w:val="left"/>
      <w:pPr>
        <w:ind w:left="705" w:hanging="590"/>
        <w:jc w:val="left"/>
      </w:pPr>
      <w:rPr>
        <w:rFonts w:hint="default" w:ascii="Times New Roman" w:hAnsi="Times New Roman" w:eastAsia="Times New Roman" w:cs="Times New Roman"/>
        <w:b/>
        <w:bCs/>
        <w:w w:val="99"/>
        <w:sz w:val="26"/>
        <w:szCs w:val="26"/>
      </w:rPr>
    </w:lvl>
    <w:lvl w:ilvl="3">
      <w:start w:val="1"/>
      <w:numFmt w:val="bullet"/>
      <w:lvlText w:val=""/>
      <w:lvlJc w:val="left"/>
      <w:pPr>
        <w:ind w:left="837" w:hanging="361"/>
      </w:pPr>
      <w:rPr>
        <w:rFonts w:hint="default" w:ascii="Symbol" w:hAnsi="Symbol" w:eastAsia="Symbol" w:cs="Symbol"/>
        <w:w w:val="99"/>
        <w:position w:val="2"/>
        <w:sz w:val="26"/>
        <w:szCs w:val="26"/>
      </w:rPr>
    </w:lvl>
    <w:lvl w:ilvl="4">
      <w:start w:val="1"/>
      <w:numFmt w:val="bullet"/>
      <w:lvlText w:val="•"/>
      <w:lvlJc w:val="left"/>
      <w:pPr>
        <w:ind w:left="3040" w:hanging="361"/>
      </w:pPr>
      <w:rPr>
        <w:rFonts w:hint="default"/>
      </w:rPr>
    </w:lvl>
    <w:lvl w:ilvl="5">
      <w:start w:val="1"/>
      <w:numFmt w:val="bullet"/>
      <w:lvlText w:val="•"/>
      <w:lvlJc w:val="left"/>
      <w:pPr>
        <w:ind w:left="4140" w:hanging="361"/>
      </w:pPr>
      <w:rPr>
        <w:rFonts w:hint="default"/>
      </w:rPr>
    </w:lvl>
    <w:lvl w:ilvl="6">
      <w:start w:val="1"/>
      <w:numFmt w:val="bullet"/>
      <w:lvlText w:val="•"/>
      <w:lvlJc w:val="left"/>
      <w:pPr>
        <w:ind w:left="5240" w:hanging="361"/>
      </w:pPr>
      <w:rPr>
        <w:rFonts w:hint="default"/>
      </w:rPr>
    </w:lvl>
    <w:lvl w:ilvl="7">
      <w:start w:val="1"/>
      <w:numFmt w:val="bullet"/>
      <w:lvlText w:val="•"/>
      <w:lvlJc w:val="left"/>
      <w:pPr>
        <w:ind w:left="6340" w:hanging="361"/>
      </w:pPr>
      <w:rPr>
        <w:rFonts w:hint="default"/>
      </w:rPr>
    </w:lvl>
    <w:lvl w:ilvl="8">
      <w:start w:val="1"/>
      <w:numFmt w:val="bullet"/>
      <w:lvlText w:val="•"/>
      <w:lvlJc w:val="left"/>
      <w:pPr>
        <w:ind w:left="7440" w:hanging="361"/>
      </w:pPr>
      <w:rPr>
        <w:rFonts w:hint="default"/>
      </w:rPr>
    </w:lvl>
  </w:abstractNum>
  <w:abstractNum w:abstractNumId="47">
    <w:multiLevelType w:val="hybridMultilevel"/>
    <w:lvl w:ilvl="0">
      <w:start w:val="1"/>
      <w:numFmt w:val="bullet"/>
      <w:lvlText w:val="•"/>
      <w:lvlJc w:val="left"/>
      <w:pPr>
        <w:ind w:left="184" w:hanging="149"/>
      </w:pPr>
      <w:rPr>
        <w:rFonts w:hint="default" w:ascii="Times New Roman" w:hAnsi="Times New Roman" w:eastAsia="Times New Roman" w:cs="Times New Roman"/>
        <w:w w:val="100"/>
        <w:sz w:val="22"/>
        <w:szCs w:val="22"/>
      </w:rPr>
    </w:lvl>
    <w:lvl w:ilvl="1">
      <w:start w:val="1"/>
      <w:numFmt w:val="bullet"/>
      <w:lvlText w:val="•"/>
      <w:lvlJc w:val="left"/>
      <w:pPr>
        <w:ind w:left="449" w:hanging="149"/>
      </w:pPr>
      <w:rPr>
        <w:rFonts w:hint="default"/>
      </w:rPr>
    </w:lvl>
    <w:lvl w:ilvl="2">
      <w:start w:val="1"/>
      <w:numFmt w:val="bullet"/>
      <w:lvlText w:val="•"/>
      <w:lvlJc w:val="left"/>
      <w:pPr>
        <w:ind w:left="718" w:hanging="149"/>
      </w:pPr>
      <w:rPr>
        <w:rFonts w:hint="default"/>
      </w:rPr>
    </w:lvl>
    <w:lvl w:ilvl="3">
      <w:start w:val="1"/>
      <w:numFmt w:val="bullet"/>
      <w:lvlText w:val="•"/>
      <w:lvlJc w:val="left"/>
      <w:pPr>
        <w:ind w:left="987" w:hanging="149"/>
      </w:pPr>
      <w:rPr>
        <w:rFonts w:hint="default"/>
      </w:rPr>
    </w:lvl>
    <w:lvl w:ilvl="4">
      <w:start w:val="1"/>
      <w:numFmt w:val="bullet"/>
      <w:lvlText w:val="•"/>
      <w:lvlJc w:val="left"/>
      <w:pPr>
        <w:ind w:left="1256" w:hanging="149"/>
      </w:pPr>
      <w:rPr>
        <w:rFonts w:hint="default"/>
      </w:rPr>
    </w:lvl>
    <w:lvl w:ilvl="5">
      <w:start w:val="1"/>
      <w:numFmt w:val="bullet"/>
      <w:lvlText w:val="•"/>
      <w:lvlJc w:val="left"/>
      <w:pPr>
        <w:ind w:left="1525" w:hanging="149"/>
      </w:pPr>
      <w:rPr>
        <w:rFonts w:hint="default"/>
      </w:rPr>
    </w:lvl>
    <w:lvl w:ilvl="6">
      <w:start w:val="1"/>
      <w:numFmt w:val="bullet"/>
      <w:lvlText w:val="•"/>
      <w:lvlJc w:val="left"/>
      <w:pPr>
        <w:ind w:left="1794" w:hanging="149"/>
      </w:pPr>
      <w:rPr>
        <w:rFonts w:hint="default"/>
      </w:rPr>
    </w:lvl>
    <w:lvl w:ilvl="7">
      <w:start w:val="1"/>
      <w:numFmt w:val="bullet"/>
      <w:lvlText w:val="•"/>
      <w:lvlJc w:val="left"/>
      <w:pPr>
        <w:ind w:left="2063" w:hanging="149"/>
      </w:pPr>
      <w:rPr>
        <w:rFonts w:hint="default"/>
      </w:rPr>
    </w:lvl>
    <w:lvl w:ilvl="8">
      <w:start w:val="1"/>
      <w:numFmt w:val="bullet"/>
      <w:lvlText w:val="•"/>
      <w:lvlJc w:val="left"/>
      <w:pPr>
        <w:ind w:left="2332" w:hanging="149"/>
      </w:pPr>
      <w:rPr>
        <w:rFonts w:hint="default"/>
      </w:rPr>
    </w:lvl>
  </w:abstractNum>
  <w:abstractNum w:abstractNumId="46">
    <w:multiLevelType w:val="hybridMultilevel"/>
    <w:lvl w:ilvl="0">
      <w:start w:val="1"/>
      <w:numFmt w:val="bullet"/>
      <w:lvlText w:val="•"/>
      <w:lvlJc w:val="left"/>
      <w:pPr>
        <w:ind w:left="185" w:hanging="149"/>
      </w:pPr>
      <w:rPr>
        <w:rFonts w:hint="default" w:ascii="Times New Roman" w:hAnsi="Times New Roman" w:eastAsia="Times New Roman" w:cs="Times New Roman"/>
        <w:w w:val="100"/>
        <w:sz w:val="22"/>
        <w:szCs w:val="22"/>
      </w:rPr>
    </w:lvl>
    <w:lvl w:ilvl="1">
      <w:start w:val="1"/>
      <w:numFmt w:val="bullet"/>
      <w:lvlText w:val="•"/>
      <w:lvlJc w:val="left"/>
      <w:pPr>
        <w:ind w:left="449" w:hanging="149"/>
      </w:pPr>
      <w:rPr>
        <w:rFonts w:hint="default"/>
      </w:rPr>
    </w:lvl>
    <w:lvl w:ilvl="2">
      <w:start w:val="1"/>
      <w:numFmt w:val="bullet"/>
      <w:lvlText w:val="•"/>
      <w:lvlJc w:val="left"/>
      <w:pPr>
        <w:ind w:left="718" w:hanging="149"/>
      </w:pPr>
      <w:rPr>
        <w:rFonts w:hint="default"/>
      </w:rPr>
    </w:lvl>
    <w:lvl w:ilvl="3">
      <w:start w:val="1"/>
      <w:numFmt w:val="bullet"/>
      <w:lvlText w:val="•"/>
      <w:lvlJc w:val="left"/>
      <w:pPr>
        <w:ind w:left="987" w:hanging="149"/>
      </w:pPr>
      <w:rPr>
        <w:rFonts w:hint="default"/>
      </w:rPr>
    </w:lvl>
    <w:lvl w:ilvl="4">
      <w:start w:val="1"/>
      <w:numFmt w:val="bullet"/>
      <w:lvlText w:val="•"/>
      <w:lvlJc w:val="left"/>
      <w:pPr>
        <w:ind w:left="1256" w:hanging="149"/>
      </w:pPr>
      <w:rPr>
        <w:rFonts w:hint="default"/>
      </w:rPr>
    </w:lvl>
    <w:lvl w:ilvl="5">
      <w:start w:val="1"/>
      <w:numFmt w:val="bullet"/>
      <w:lvlText w:val="•"/>
      <w:lvlJc w:val="left"/>
      <w:pPr>
        <w:ind w:left="1525" w:hanging="149"/>
      </w:pPr>
      <w:rPr>
        <w:rFonts w:hint="default"/>
      </w:rPr>
    </w:lvl>
    <w:lvl w:ilvl="6">
      <w:start w:val="1"/>
      <w:numFmt w:val="bullet"/>
      <w:lvlText w:val="•"/>
      <w:lvlJc w:val="left"/>
      <w:pPr>
        <w:ind w:left="1794" w:hanging="149"/>
      </w:pPr>
      <w:rPr>
        <w:rFonts w:hint="default"/>
      </w:rPr>
    </w:lvl>
    <w:lvl w:ilvl="7">
      <w:start w:val="1"/>
      <w:numFmt w:val="bullet"/>
      <w:lvlText w:val="•"/>
      <w:lvlJc w:val="left"/>
      <w:pPr>
        <w:ind w:left="2063" w:hanging="149"/>
      </w:pPr>
      <w:rPr>
        <w:rFonts w:hint="default"/>
      </w:rPr>
    </w:lvl>
    <w:lvl w:ilvl="8">
      <w:start w:val="1"/>
      <w:numFmt w:val="bullet"/>
      <w:lvlText w:val="•"/>
      <w:lvlJc w:val="left"/>
      <w:pPr>
        <w:ind w:left="2332" w:hanging="149"/>
      </w:pPr>
      <w:rPr>
        <w:rFonts w:hint="default"/>
      </w:rPr>
    </w:lvl>
  </w:abstractNum>
  <w:abstractNum w:abstractNumId="45">
    <w:multiLevelType w:val="hybridMultilevel"/>
    <w:lvl w:ilvl="0">
      <w:start w:val="1"/>
      <w:numFmt w:val="bullet"/>
      <w:lvlText w:val="•"/>
      <w:lvlJc w:val="left"/>
      <w:pPr>
        <w:ind w:left="144" w:hanging="144"/>
      </w:pPr>
      <w:rPr>
        <w:rFonts w:hint="default" w:ascii="Times New Roman" w:hAnsi="Times New Roman" w:eastAsia="Times New Roman" w:cs="Times New Roman"/>
        <w:w w:val="100"/>
        <w:sz w:val="22"/>
        <w:szCs w:val="22"/>
      </w:rPr>
    </w:lvl>
    <w:lvl w:ilvl="1">
      <w:start w:val="1"/>
      <w:numFmt w:val="bullet"/>
      <w:lvlText w:val="•"/>
      <w:lvlJc w:val="left"/>
      <w:pPr>
        <w:ind w:left="334" w:hanging="144"/>
      </w:pPr>
      <w:rPr>
        <w:rFonts w:hint="default"/>
      </w:rPr>
    </w:lvl>
    <w:lvl w:ilvl="2">
      <w:start w:val="1"/>
      <w:numFmt w:val="bullet"/>
      <w:lvlText w:val="•"/>
      <w:lvlJc w:val="left"/>
      <w:pPr>
        <w:ind w:left="528" w:hanging="144"/>
      </w:pPr>
      <w:rPr>
        <w:rFonts w:hint="default"/>
      </w:rPr>
    </w:lvl>
    <w:lvl w:ilvl="3">
      <w:start w:val="1"/>
      <w:numFmt w:val="bullet"/>
      <w:lvlText w:val="•"/>
      <w:lvlJc w:val="left"/>
      <w:pPr>
        <w:ind w:left="722" w:hanging="144"/>
      </w:pPr>
      <w:rPr>
        <w:rFonts w:hint="default"/>
      </w:rPr>
    </w:lvl>
    <w:lvl w:ilvl="4">
      <w:start w:val="1"/>
      <w:numFmt w:val="bullet"/>
      <w:lvlText w:val="•"/>
      <w:lvlJc w:val="left"/>
      <w:pPr>
        <w:ind w:left="916" w:hanging="144"/>
      </w:pPr>
      <w:rPr>
        <w:rFonts w:hint="default"/>
      </w:rPr>
    </w:lvl>
    <w:lvl w:ilvl="5">
      <w:start w:val="1"/>
      <w:numFmt w:val="bullet"/>
      <w:lvlText w:val="•"/>
      <w:lvlJc w:val="left"/>
      <w:pPr>
        <w:ind w:left="1111" w:hanging="144"/>
      </w:pPr>
      <w:rPr>
        <w:rFonts w:hint="default"/>
      </w:rPr>
    </w:lvl>
    <w:lvl w:ilvl="6">
      <w:start w:val="1"/>
      <w:numFmt w:val="bullet"/>
      <w:lvlText w:val="•"/>
      <w:lvlJc w:val="left"/>
      <w:pPr>
        <w:ind w:left="1305" w:hanging="144"/>
      </w:pPr>
      <w:rPr>
        <w:rFonts w:hint="default"/>
      </w:rPr>
    </w:lvl>
    <w:lvl w:ilvl="7">
      <w:start w:val="1"/>
      <w:numFmt w:val="bullet"/>
      <w:lvlText w:val="•"/>
      <w:lvlJc w:val="left"/>
      <w:pPr>
        <w:ind w:left="1499" w:hanging="144"/>
      </w:pPr>
      <w:rPr>
        <w:rFonts w:hint="default"/>
      </w:rPr>
    </w:lvl>
    <w:lvl w:ilvl="8">
      <w:start w:val="1"/>
      <w:numFmt w:val="bullet"/>
      <w:lvlText w:val="•"/>
      <w:lvlJc w:val="left"/>
      <w:pPr>
        <w:ind w:left="1693" w:hanging="144"/>
      </w:pPr>
      <w:rPr>
        <w:rFonts w:hint="default"/>
      </w:rPr>
    </w:lvl>
  </w:abstractNum>
  <w:abstractNum w:abstractNumId="44">
    <w:multiLevelType w:val="hybridMultilevel"/>
    <w:lvl w:ilvl="0">
      <w:start w:val="1"/>
      <w:numFmt w:val="bullet"/>
      <w:lvlText w:val="•"/>
      <w:lvlJc w:val="left"/>
      <w:pPr>
        <w:ind w:left="91" w:hanging="149"/>
      </w:pPr>
      <w:rPr>
        <w:rFonts w:hint="default" w:ascii="Times New Roman" w:hAnsi="Times New Roman" w:eastAsia="Times New Roman" w:cs="Times New Roman"/>
        <w:w w:val="100"/>
        <w:sz w:val="22"/>
        <w:szCs w:val="22"/>
      </w:rPr>
    </w:lvl>
    <w:lvl w:ilvl="1">
      <w:start w:val="1"/>
      <w:numFmt w:val="bullet"/>
      <w:lvlText w:val="•"/>
      <w:lvlJc w:val="left"/>
      <w:pPr>
        <w:ind w:left="355" w:hanging="149"/>
      </w:pPr>
      <w:rPr>
        <w:rFonts w:hint="default"/>
      </w:rPr>
    </w:lvl>
    <w:lvl w:ilvl="2">
      <w:start w:val="1"/>
      <w:numFmt w:val="bullet"/>
      <w:lvlText w:val="•"/>
      <w:lvlJc w:val="left"/>
      <w:pPr>
        <w:ind w:left="611" w:hanging="149"/>
      </w:pPr>
      <w:rPr>
        <w:rFonts w:hint="default"/>
      </w:rPr>
    </w:lvl>
    <w:lvl w:ilvl="3">
      <w:start w:val="1"/>
      <w:numFmt w:val="bullet"/>
      <w:lvlText w:val="•"/>
      <w:lvlJc w:val="left"/>
      <w:pPr>
        <w:ind w:left="867" w:hanging="149"/>
      </w:pPr>
      <w:rPr>
        <w:rFonts w:hint="default"/>
      </w:rPr>
    </w:lvl>
    <w:lvl w:ilvl="4">
      <w:start w:val="1"/>
      <w:numFmt w:val="bullet"/>
      <w:lvlText w:val="•"/>
      <w:lvlJc w:val="left"/>
      <w:pPr>
        <w:ind w:left="1123" w:hanging="149"/>
      </w:pPr>
      <w:rPr>
        <w:rFonts w:hint="default"/>
      </w:rPr>
    </w:lvl>
    <w:lvl w:ilvl="5">
      <w:start w:val="1"/>
      <w:numFmt w:val="bullet"/>
      <w:lvlText w:val="•"/>
      <w:lvlJc w:val="left"/>
      <w:pPr>
        <w:ind w:left="1379" w:hanging="149"/>
      </w:pPr>
      <w:rPr>
        <w:rFonts w:hint="default"/>
      </w:rPr>
    </w:lvl>
    <w:lvl w:ilvl="6">
      <w:start w:val="1"/>
      <w:numFmt w:val="bullet"/>
      <w:lvlText w:val="•"/>
      <w:lvlJc w:val="left"/>
      <w:pPr>
        <w:ind w:left="1635" w:hanging="149"/>
      </w:pPr>
      <w:rPr>
        <w:rFonts w:hint="default"/>
      </w:rPr>
    </w:lvl>
    <w:lvl w:ilvl="7">
      <w:start w:val="1"/>
      <w:numFmt w:val="bullet"/>
      <w:lvlText w:val="•"/>
      <w:lvlJc w:val="left"/>
      <w:pPr>
        <w:ind w:left="1891" w:hanging="149"/>
      </w:pPr>
      <w:rPr>
        <w:rFonts w:hint="default"/>
      </w:rPr>
    </w:lvl>
    <w:lvl w:ilvl="8">
      <w:start w:val="1"/>
      <w:numFmt w:val="bullet"/>
      <w:lvlText w:val="•"/>
      <w:lvlJc w:val="left"/>
      <w:pPr>
        <w:ind w:left="2147" w:hanging="149"/>
      </w:pPr>
      <w:rPr>
        <w:rFonts w:hint="default"/>
      </w:rPr>
    </w:lvl>
  </w:abstractNum>
  <w:abstractNum w:abstractNumId="43">
    <w:multiLevelType w:val="hybridMultilevel"/>
    <w:lvl w:ilvl="0">
      <w:start w:val="4"/>
      <w:numFmt w:val="decimal"/>
      <w:lvlText w:val="%1"/>
      <w:lvlJc w:val="left"/>
      <w:pPr>
        <w:ind w:left="897" w:hanging="781"/>
        <w:jc w:val="left"/>
      </w:pPr>
      <w:rPr>
        <w:rFonts w:hint="default"/>
      </w:rPr>
    </w:lvl>
    <w:lvl w:ilvl="1">
      <w:start w:val="3"/>
      <w:numFmt w:val="decimal"/>
      <w:lvlText w:val="%1.%2"/>
      <w:lvlJc w:val="left"/>
      <w:pPr>
        <w:ind w:left="897" w:hanging="781"/>
        <w:jc w:val="left"/>
      </w:pPr>
      <w:rPr>
        <w:rFonts w:hint="default"/>
      </w:rPr>
    </w:lvl>
    <w:lvl w:ilvl="2">
      <w:start w:val="6"/>
      <w:numFmt w:val="decimal"/>
      <w:lvlText w:val="%1.%2.%3"/>
      <w:lvlJc w:val="left"/>
      <w:pPr>
        <w:ind w:left="897" w:hanging="781"/>
        <w:jc w:val="left"/>
      </w:pPr>
      <w:rPr>
        <w:rFonts w:hint="default"/>
      </w:rPr>
    </w:lvl>
    <w:lvl w:ilvl="3">
      <w:start w:val="3"/>
      <w:numFmt w:val="decimal"/>
      <w:lvlText w:val="%1.%2.%3.%4"/>
      <w:lvlJc w:val="left"/>
      <w:pPr>
        <w:ind w:left="897" w:hanging="781"/>
        <w:jc w:val="left"/>
      </w:pPr>
      <w:rPr>
        <w:rFonts w:hint="default" w:ascii="Times New Roman" w:hAnsi="Times New Roman" w:eastAsia="Times New Roman" w:cs="Times New Roman"/>
        <w:b/>
        <w:bCs/>
        <w:w w:val="99"/>
        <w:sz w:val="26"/>
        <w:szCs w:val="26"/>
      </w:rPr>
    </w:lvl>
    <w:lvl w:ilvl="4">
      <w:start w:val="1"/>
      <w:numFmt w:val="bullet"/>
      <w:lvlText w:val="•"/>
      <w:lvlJc w:val="left"/>
      <w:pPr>
        <w:ind w:left="4396" w:hanging="781"/>
      </w:pPr>
      <w:rPr>
        <w:rFonts w:hint="default"/>
      </w:rPr>
    </w:lvl>
    <w:lvl w:ilvl="5">
      <w:start w:val="1"/>
      <w:numFmt w:val="bullet"/>
      <w:lvlText w:val="•"/>
      <w:lvlJc w:val="left"/>
      <w:pPr>
        <w:ind w:left="5270" w:hanging="781"/>
      </w:pPr>
      <w:rPr>
        <w:rFonts w:hint="default"/>
      </w:rPr>
    </w:lvl>
    <w:lvl w:ilvl="6">
      <w:start w:val="1"/>
      <w:numFmt w:val="bullet"/>
      <w:lvlText w:val="•"/>
      <w:lvlJc w:val="left"/>
      <w:pPr>
        <w:ind w:left="6144" w:hanging="781"/>
      </w:pPr>
      <w:rPr>
        <w:rFonts w:hint="default"/>
      </w:rPr>
    </w:lvl>
    <w:lvl w:ilvl="7">
      <w:start w:val="1"/>
      <w:numFmt w:val="bullet"/>
      <w:lvlText w:val="•"/>
      <w:lvlJc w:val="left"/>
      <w:pPr>
        <w:ind w:left="7018" w:hanging="781"/>
      </w:pPr>
      <w:rPr>
        <w:rFonts w:hint="default"/>
      </w:rPr>
    </w:lvl>
    <w:lvl w:ilvl="8">
      <w:start w:val="1"/>
      <w:numFmt w:val="bullet"/>
      <w:lvlText w:val="•"/>
      <w:lvlJc w:val="left"/>
      <w:pPr>
        <w:ind w:left="7892" w:hanging="781"/>
      </w:pPr>
      <w:rPr>
        <w:rFonts w:hint="default"/>
      </w:rPr>
    </w:lvl>
  </w:abstractNum>
  <w:abstractNum w:abstractNumId="42">
    <w:multiLevelType w:val="hybridMultilevel"/>
    <w:lvl w:ilvl="0">
      <w:start w:val="4"/>
      <w:numFmt w:val="decimal"/>
      <w:lvlText w:val="%1"/>
      <w:lvlJc w:val="left"/>
      <w:pPr>
        <w:ind w:left="509" w:hanging="393"/>
        <w:jc w:val="left"/>
      </w:pPr>
      <w:rPr>
        <w:rFonts w:hint="default"/>
      </w:rPr>
    </w:lvl>
    <w:lvl w:ilvl="1">
      <w:start w:val="3"/>
      <w:numFmt w:val="decimal"/>
      <w:lvlText w:val="%1.%2"/>
      <w:lvlJc w:val="left"/>
      <w:pPr>
        <w:ind w:left="509" w:hanging="393"/>
        <w:jc w:val="left"/>
      </w:pPr>
      <w:rPr>
        <w:rFonts w:hint="default" w:ascii="Times New Roman" w:hAnsi="Times New Roman" w:eastAsia="Times New Roman" w:cs="Times New Roman"/>
        <w:b/>
        <w:bCs/>
        <w:w w:val="99"/>
        <w:sz w:val="26"/>
        <w:szCs w:val="26"/>
      </w:rPr>
    </w:lvl>
    <w:lvl w:ilvl="2">
      <w:start w:val="1"/>
      <w:numFmt w:val="decimal"/>
      <w:lvlText w:val="%1.%2.%3"/>
      <w:lvlJc w:val="left"/>
      <w:pPr>
        <w:ind w:left="705" w:hanging="590"/>
        <w:jc w:val="left"/>
      </w:pPr>
      <w:rPr>
        <w:rFonts w:hint="default" w:ascii="Times New Roman" w:hAnsi="Times New Roman" w:eastAsia="Times New Roman" w:cs="Times New Roman"/>
        <w:b/>
        <w:bCs/>
        <w:w w:val="99"/>
        <w:sz w:val="26"/>
        <w:szCs w:val="26"/>
      </w:rPr>
    </w:lvl>
    <w:lvl w:ilvl="3">
      <w:start w:val="1"/>
      <w:numFmt w:val="decimal"/>
      <w:lvlText w:val="%1.%2.%3.%4"/>
      <w:lvlJc w:val="left"/>
      <w:pPr>
        <w:ind w:left="897" w:hanging="781"/>
        <w:jc w:val="left"/>
      </w:pPr>
      <w:rPr>
        <w:rFonts w:hint="default" w:ascii="Times New Roman" w:hAnsi="Times New Roman" w:eastAsia="Times New Roman" w:cs="Times New Roman"/>
        <w:b/>
        <w:bCs/>
        <w:w w:val="99"/>
        <w:sz w:val="26"/>
        <w:szCs w:val="26"/>
      </w:rPr>
    </w:lvl>
    <w:lvl w:ilvl="4">
      <w:start w:val="1"/>
      <w:numFmt w:val="bullet"/>
      <w:lvlText w:val="•"/>
      <w:lvlJc w:val="left"/>
      <w:pPr>
        <w:ind w:left="3085" w:hanging="781"/>
      </w:pPr>
      <w:rPr>
        <w:rFonts w:hint="default"/>
      </w:rPr>
    </w:lvl>
    <w:lvl w:ilvl="5">
      <w:start w:val="1"/>
      <w:numFmt w:val="bullet"/>
      <w:lvlText w:val="•"/>
      <w:lvlJc w:val="left"/>
      <w:pPr>
        <w:ind w:left="4177" w:hanging="781"/>
      </w:pPr>
      <w:rPr>
        <w:rFonts w:hint="default"/>
      </w:rPr>
    </w:lvl>
    <w:lvl w:ilvl="6">
      <w:start w:val="1"/>
      <w:numFmt w:val="bullet"/>
      <w:lvlText w:val="•"/>
      <w:lvlJc w:val="left"/>
      <w:pPr>
        <w:ind w:left="5270" w:hanging="781"/>
      </w:pPr>
      <w:rPr>
        <w:rFonts w:hint="default"/>
      </w:rPr>
    </w:lvl>
    <w:lvl w:ilvl="7">
      <w:start w:val="1"/>
      <w:numFmt w:val="bullet"/>
      <w:lvlText w:val="•"/>
      <w:lvlJc w:val="left"/>
      <w:pPr>
        <w:ind w:left="6362" w:hanging="781"/>
      </w:pPr>
      <w:rPr>
        <w:rFonts w:hint="default"/>
      </w:rPr>
    </w:lvl>
    <w:lvl w:ilvl="8">
      <w:start w:val="1"/>
      <w:numFmt w:val="bullet"/>
      <w:lvlText w:val="•"/>
      <w:lvlJc w:val="left"/>
      <w:pPr>
        <w:ind w:left="7455" w:hanging="781"/>
      </w:pPr>
      <w:rPr>
        <w:rFonts w:hint="default"/>
      </w:rPr>
    </w:lvl>
  </w:abstractNum>
  <w:abstractNum w:abstractNumId="41">
    <w:multiLevelType w:val="hybridMultilevel"/>
    <w:lvl w:ilvl="0">
      <w:start w:val="4"/>
      <w:numFmt w:val="decimal"/>
      <w:lvlText w:val="%1"/>
      <w:lvlJc w:val="left"/>
      <w:pPr>
        <w:ind w:left="707" w:hanging="591"/>
        <w:jc w:val="left"/>
      </w:pPr>
      <w:rPr>
        <w:rFonts w:hint="default"/>
      </w:rPr>
    </w:lvl>
    <w:lvl w:ilvl="1">
      <w:start w:val="2"/>
      <w:numFmt w:val="decimal"/>
      <w:lvlText w:val="%1.%2"/>
      <w:lvlJc w:val="left"/>
      <w:pPr>
        <w:ind w:left="707" w:hanging="591"/>
        <w:jc w:val="left"/>
      </w:pPr>
      <w:rPr>
        <w:rFonts w:hint="default"/>
      </w:rPr>
    </w:lvl>
    <w:lvl w:ilvl="2">
      <w:start w:val="4"/>
      <w:numFmt w:val="decimal"/>
      <w:lvlText w:val="%1.%2.%3"/>
      <w:lvlJc w:val="left"/>
      <w:pPr>
        <w:ind w:left="707" w:hanging="591"/>
        <w:jc w:val="left"/>
      </w:pPr>
      <w:rPr>
        <w:rFonts w:hint="default" w:ascii="Times New Roman" w:hAnsi="Times New Roman" w:eastAsia="Times New Roman" w:cs="Times New Roman"/>
        <w:b/>
        <w:bCs/>
        <w:w w:val="99"/>
        <w:sz w:val="26"/>
        <w:szCs w:val="26"/>
      </w:rPr>
    </w:lvl>
    <w:lvl w:ilvl="3">
      <w:start w:val="1"/>
      <w:numFmt w:val="bullet"/>
      <w:lvlText w:val="•"/>
      <w:lvlJc w:val="left"/>
      <w:pPr>
        <w:ind w:left="3382" w:hanging="591"/>
      </w:pPr>
      <w:rPr>
        <w:rFonts w:hint="default"/>
      </w:rPr>
    </w:lvl>
    <w:lvl w:ilvl="4">
      <w:start w:val="1"/>
      <w:numFmt w:val="bullet"/>
      <w:lvlText w:val="•"/>
      <w:lvlJc w:val="left"/>
      <w:pPr>
        <w:ind w:left="4276" w:hanging="591"/>
      </w:pPr>
      <w:rPr>
        <w:rFonts w:hint="default"/>
      </w:rPr>
    </w:lvl>
    <w:lvl w:ilvl="5">
      <w:start w:val="1"/>
      <w:numFmt w:val="bullet"/>
      <w:lvlText w:val="•"/>
      <w:lvlJc w:val="left"/>
      <w:pPr>
        <w:ind w:left="5170" w:hanging="591"/>
      </w:pPr>
      <w:rPr>
        <w:rFonts w:hint="default"/>
      </w:rPr>
    </w:lvl>
    <w:lvl w:ilvl="6">
      <w:start w:val="1"/>
      <w:numFmt w:val="bullet"/>
      <w:lvlText w:val="•"/>
      <w:lvlJc w:val="left"/>
      <w:pPr>
        <w:ind w:left="6064" w:hanging="591"/>
      </w:pPr>
      <w:rPr>
        <w:rFonts w:hint="default"/>
      </w:rPr>
    </w:lvl>
    <w:lvl w:ilvl="7">
      <w:start w:val="1"/>
      <w:numFmt w:val="bullet"/>
      <w:lvlText w:val="•"/>
      <w:lvlJc w:val="left"/>
      <w:pPr>
        <w:ind w:left="6958" w:hanging="591"/>
      </w:pPr>
      <w:rPr>
        <w:rFonts w:hint="default"/>
      </w:rPr>
    </w:lvl>
    <w:lvl w:ilvl="8">
      <w:start w:val="1"/>
      <w:numFmt w:val="bullet"/>
      <w:lvlText w:val="•"/>
      <w:lvlJc w:val="left"/>
      <w:pPr>
        <w:ind w:left="7852" w:hanging="591"/>
      </w:pPr>
      <w:rPr>
        <w:rFonts w:hint="default"/>
      </w:rPr>
    </w:lvl>
  </w:abstractNum>
  <w:abstractNum w:abstractNumId="40">
    <w:multiLevelType w:val="hybridMultilevel"/>
    <w:lvl w:ilvl="0">
      <w:start w:val="4"/>
      <w:numFmt w:val="decimal"/>
      <w:lvlText w:val="%1"/>
      <w:lvlJc w:val="left"/>
      <w:pPr>
        <w:ind w:left="576" w:hanging="460"/>
        <w:jc w:val="left"/>
      </w:pPr>
      <w:rPr>
        <w:rFonts w:hint="default"/>
      </w:rPr>
    </w:lvl>
    <w:lvl w:ilvl="1">
      <w:start w:val="2"/>
      <w:numFmt w:val="decimal"/>
      <w:lvlText w:val="%1.%2."/>
      <w:lvlJc w:val="left"/>
      <w:pPr>
        <w:ind w:left="576" w:hanging="460"/>
        <w:jc w:val="left"/>
      </w:pPr>
      <w:rPr>
        <w:rFonts w:hint="default" w:ascii="Times New Roman" w:hAnsi="Times New Roman" w:eastAsia="Times New Roman" w:cs="Times New Roman"/>
        <w:b/>
        <w:bCs/>
        <w:w w:val="99"/>
        <w:sz w:val="26"/>
        <w:szCs w:val="26"/>
      </w:rPr>
    </w:lvl>
    <w:lvl w:ilvl="2">
      <w:start w:val="1"/>
      <w:numFmt w:val="decimal"/>
      <w:lvlText w:val="%1.%2.%3"/>
      <w:lvlJc w:val="left"/>
      <w:pPr>
        <w:ind w:left="707" w:hanging="591"/>
        <w:jc w:val="left"/>
      </w:pPr>
      <w:rPr>
        <w:rFonts w:hint="default" w:ascii="Times New Roman" w:hAnsi="Times New Roman" w:eastAsia="Times New Roman" w:cs="Times New Roman"/>
        <w:b/>
        <w:bCs/>
        <w:w w:val="99"/>
        <w:sz w:val="26"/>
        <w:szCs w:val="26"/>
      </w:rPr>
    </w:lvl>
    <w:lvl w:ilvl="3">
      <w:start w:val="1"/>
      <w:numFmt w:val="bullet"/>
      <w:lvlText w:val="•"/>
      <w:lvlJc w:val="left"/>
      <w:pPr>
        <w:ind w:left="2686" w:hanging="591"/>
      </w:pPr>
      <w:rPr>
        <w:rFonts w:hint="default"/>
      </w:rPr>
    </w:lvl>
    <w:lvl w:ilvl="4">
      <w:start w:val="1"/>
      <w:numFmt w:val="bullet"/>
      <w:lvlText w:val="•"/>
      <w:lvlJc w:val="left"/>
      <w:pPr>
        <w:ind w:left="3680" w:hanging="591"/>
      </w:pPr>
      <w:rPr>
        <w:rFonts w:hint="default"/>
      </w:rPr>
    </w:lvl>
    <w:lvl w:ilvl="5">
      <w:start w:val="1"/>
      <w:numFmt w:val="bullet"/>
      <w:lvlText w:val="•"/>
      <w:lvlJc w:val="left"/>
      <w:pPr>
        <w:ind w:left="4673" w:hanging="591"/>
      </w:pPr>
      <w:rPr>
        <w:rFonts w:hint="default"/>
      </w:rPr>
    </w:lvl>
    <w:lvl w:ilvl="6">
      <w:start w:val="1"/>
      <w:numFmt w:val="bullet"/>
      <w:lvlText w:val="•"/>
      <w:lvlJc w:val="left"/>
      <w:pPr>
        <w:ind w:left="5666" w:hanging="591"/>
      </w:pPr>
      <w:rPr>
        <w:rFonts w:hint="default"/>
      </w:rPr>
    </w:lvl>
    <w:lvl w:ilvl="7">
      <w:start w:val="1"/>
      <w:numFmt w:val="bullet"/>
      <w:lvlText w:val="•"/>
      <w:lvlJc w:val="left"/>
      <w:pPr>
        <w:ind w:left="6660" w:hanging="591"/>
      </w:pPr>
      <w:rPr>
        <w:rFonts w:hint="default"/>
      </w:rPr>
    </w:lvl>
    <w:lvl w:ilvl="8">
      <w:start w:val="1"/>
      <w:numFmt w:val="bullet"/>
      <w:lvlText w:val="•"/>
      <w:lvlJc w:val="left"/>
      <w:pPr>
        <w:ind w:left="7653" w:hanging="591"/>
      </w:pPr>
      <w:rPr>
        <w:rFonts w:hint="default"/>
      </w:rPr>
    </w:lvl>
  </w:abstractNum>
  <w:abstractNum w:abstractNumId="39">
    <w:multiLevelType w:val="hybridMultilevel"/>
    <w:lvl w:ilvl="0">
      <w:start w:val="3"/>
      <w:numFmt w:val="decimal"/>
      <w:lvlText w:val="%1"/>
      <w:lvlJc w:val="left"/>
      <w:pPr>
        <w:ind w:left="576" w:hanging="460"/>
        <w:jc w:val="left"/>
      </w:pPr>
      <w:rPr>
        <w:rFonts w:hint="default"/>
      </w:rPr>
    </w:lvl>
    <w:lvl w:ilvl="1">
      <w:start w:val="3"/>
      <w:numFmt w:val="decimal"/>
      <w:lvlText w:val="%1.%2."/>
      <w:lvlJc w:val="left"/>
      <w:pPr>
        <w:ind w:left="576" w:hanging="460"/>
        <w:jc w:val="left"/>
      </w:pPr>
      <w:rPr>
        <w:rFonts w:hint="default" w:ascii="Times New Roman" w:hAnsi="Times New Roman" w:eastAsia="Times New Roman" w:cs="Times New Roman"/>
        <w:b/>
        <w:bCs/>
        <w:w w:val="99"/>
        <w:sz w:val="26"/>
        <w:szCs w:val="26"/>
      </w:rPr>
    </w:lvl>
    <w:lvl w:ilvl="2">
      <w:start w:val="1"/>
      <w:numFmt w:val="bullet"/>
      <w:lvlText w:val=""/>
      <w:lvlJc w:val="left"/>
      <w:pPr>
        <w:ind w:left="837" w:hanging="361"/>
      </w:pPr>
      <w:rPr>
        <w:rFonts w:hint="default" w:ascii="Symbol" w:hAnsi="Symbol" w:eastAsia="Symbol" w:cs="Symbol"/>
        <w:w w:val="99"/>
        <w:sz w:val="26"/>
        <w:szCs w:val="26"/>
      </w:rPr>
    </w:lvl>
    <w:lvl w:ilvl="3">
      <w:start w:val="1"/>
      <w:numFmt w:val="bullet"/>
      <w:lvlText w:val="•"/>
      <w:lvlJc w:val="left"/>
      <w:pPr>
        <w:ind w:left="2795" w:hanging="361"/>
      </w:pPr>
      <w:rPr>
        <w:rFonts w:hint="default"/>
      </w:rPr>
    </w:lvl>
    <w:lvl w:ilvl="4">
      <w:start w:val="1"/>
      <w:numFmt w:val="bullet"/>
      <w:lvlText w:val="•"/>
      <w:lvlJc w:val="left"/>
      <w:pPr>
        <w:ind w:left="3773" w:hanging="361"/>
      </w:pPr>
      <w:rPr>
        <w:rFonts w:hint="default"/>
      </w:rPr>
    </w:lvl>
    <w:lvl w:ilvl="5">
      <w:start w:val="1"/>
      <w:numFmt w:val="bullet"/>
      <w:lvlText w:val="•"/>
      <w:lvlJc w:val="left"/>
      <w:pPr>
        <w:ind w:left="4751" w:hanging="361"/>
      </w:pPr>
      <w:rPr>
        <w:rFonts w:hint="default"/>
      </w:rPr>
    </w:lvl>
    <w:lvl w:ilvl="6">
      <w:start w:val="1"/>
      <w:numFmt w:val="bullet"/>
      <w:lvlText w:val="•"/>
      <w:lvlJc w:val="left"/>
      <w:pPr>
        <w:ind w:left="5728" w:hanging="361"/>
      </w:pPr>
      <w:rPr>
        <w:rFonts w:hint="default"/>
      </w:rPr>
    </w:lvl>
    <w:lvl w:ilvl="7">
      <w:start w:val="1"/>
      <w:numFmt w:val="bullet"/>
      <w:lvlText w:val="•"/>
      <w:lvlJc w:val="left"/>
      <w:pPr>
        <w:ind w:left="6706" w:hanging="361"/>
      </w:pPr>
      <w:rPr>
        <w:rFonts w:hint="default"/>
      </w:rPr>
    </w:lvl>
    <w:lvl w:ilvl="8">
      <w:start w:val="1"/>
      <w:numFmt w:val="bullet"/>
      <w:lvlText w:val="•"/>
      <w:lvlJc w:val="left"/>
      <w:pPr>
        <w:ind w:left="7684" w:hanging="361"/>
      </w:pPr>
      <w:rPr>
        <w:rFonts w:hint="default"/>
      </w:rPr>
    </w:lvl>
  </w:abstractNum>
  <w:abstractNum w:abstractNumId="38">
    <w:multiLevelType w:val="hybridMultilevel"/>
    <w:lvl w:ilvl="0">
      <w:start w:val="3"/>
      <w:numFmt w:val="decimal"/>
      <w:lvlText w:val="%1"/>
      <w:lvlJc w:val="left"/>
      <w:pPr>
        <w:ind w:left="835" w:hanging="720"/>
        <w:jc w:val="left"/>
      </w:pPr>
      <w:rPr>
        <w:rFonts w:hint="default"/>
      </w:rPr>
    </w:lvl>
    <w:lvl w:ilvl="1">
      <w:start w:val="2"/>
      <w:numFmt w:val="decimal"/>
      <w:lvlText w:val="%1.%2"/>
      <w:lvlJc w:val="left"/>
      <w:pPr>
        <w:ind w:left="835" w:hanging="720"/>
        <w:jc w:val="left"/>
      </w:pPr>
      <w:rPr>
        <w:rFonts w:hint="default"/>
      </w:rPr>
    </w:lvl>
    <w:lvl w:ilvl="2">
      <w:start w:val="11"/>
      <w:numFmt w:val="decimal"/>
      <w:lvlText w:val="%1.%2.%3"/>
      <w:lvlJc w:val="left"/>
      <w:pPr>
        <w:ind w:left="835" w:hanging="720"/>
        <w:jc w:val="left"/>
      </w:pPr>
      <w:rPr>
        <w:rFonts w:hint="default" w:ascii="Times New Roman" w:hAnsi="Times New Roman" w:eastAsia="Times New Roman" w:cs="Times New Roman"/>
        <w:b/>
        <w:bCs/>
        <w:w w:val="99"/>
        <w:sz w:val="26"/>
        <w:szCs w:val="26"/>
      </w:rPr>
    </w:lvl>
    <w:lvl w:ilvl="3">
      <w:start w:val="1"/>
      <w:numFmt w:val="bullet"/>
      <w:lvlText w:val=""/>
      <w:lvlJc w:val="left"/>
      <w:pPr>
        <w:ind w:left="837" w:hanging="361"/>
      </w:pPr>
      <w:rPr>
        <w:rFonts w:hint="default" w:ascii="Symbol" w:hAnsi="Symbol" w:eastAsia="Symbol" w:cs="Symbol"/>
        <w:w w:val="99"/>
        <w:position w:val="2"/>
        <w:sz w:val="26"/>
        <w:szCs w:val="26"/>
      </w:rPr>
    </w:lvl>
    <w:lvl w:ilvl="4">
      <w:start w:val="1"/>
      <w:numFmt w:val="bullet"/>
      <w:lvlText w:val="•"/>
      <w:lvlJc w:val="left"/>
      <w:pPr>
        <w:ind w:left="4360" w:hanging="361"/>
      </w:pPr>
      <w:rPr>
        <w:rFonts w:hint="default"/>
      </w:rPr>
    </w:lvl>
    <w:lvl w:ilvl="5">
      <w:start w:val="1"/>
      <w:numFmt w:val="bullet"/>
      <w:lvlText w:val="•"/>
      <w:lvlJc w:val="left"/>
      <w:pPr>
        <w:ind w:left="5240" w:hanging="361"/>
      </w:pPr>
      <w:rPr>
        <w:rFonts w:hint="default"/>
      </w:rPr>
    </w:lvl>
    <w:lvl w:ilvl="6">
      <w:start w:val="1"/>
      <w:numFmt w:val="bullet"/>
      <w:lvlText w:val="•"/>
      <w:lvlJc w:val="left"/>
      <w:pPr>
        <w:ind w:left="6120" w:hanging="361"/>
      </w:pPr>
      <w:rPr>
        <w:rFonts w:hint="default"/>
      </w:rPr>
    </w:lvl>
    <w:lvl w:ilvl="7">
      <w:start w:val="1"/>
      <w:numFmt w:val="bullet"/>
      <w:lvlText w:val="•"/>
      <w:lvlJc w:val="left"/>
      <w:pPr>
        <w:ind w:left="7000" w:hanging="361"/>
      </w:pPr>
      <w:rPr>
        <w:rFonts w:hint="default"/>
      </w:rPr>
    </w:lvl>
    <w:lvl w:ilvl="8">
      <w:start w:val="1"/>
      <w:numFmt w:val="bullet"/>
      <w:lvlText w:val="•"/>
      <w:lvlJc w:val="left"/>
      <w:pPr>
        <w:ind w:left="7880" w:hanging="361"/>
      </w:pPr>
      <w:rPr>
        <w:rFonts w:hint="default"/>
      </w:rPr>
    </w:lvl>
  </w:abstractNum>
  <w:abstractNum w:abstractNumId="37">
    <w:multiLevelType w:val="hybridMultilevel"/>
    <w:lvl w:ilvl="0">
      <w:start w:val="24"/>
      <w:numFmt w:val="decimal"/>
      <w:lvlText w:val="%1"/>
      <w:lvlJc w:val="left"/>
      <w:pPr>
        <w:ind w:left="639" w:hanging="523"/>
        <w:jc w:val="left"/>
      </w:pPr>
      <w:rPr>
        <w:rFonts w:hint="default"/>
      </w:rPr>
    </w:lvl>
    <w:lvl w:ilvl="1">
      <w:start w:val="5"/>
      <w:numFmt w:val="decimal"/>
      <w:lvlText w:val="%1.%2"/>
      <w:lvlJc w:val="left"/>
      <w:pPr>
        <w:ind w:left="639" w:hanging="523"/>
        <w:jc w:val="left"/>
      </w:pPr>
      <w:rPr>
        <w:rFonts w:hint="default" w:ascii="Times New Roman" w:hAnsi="Times New Roman" w:eastAsia="Times New Roman" w:cs="Times New Roman"/>
        <w:w w:val="99"/>
        <w:sz w:val="26"/>
        <w:szCs w:val="26"/>
      </w:rPr>
    </w:lvl>
    <w:lvl w:ilvl="2">
      <w:start w:val="1"/>
      <w:numFmt w:val="bullet"/>
      <w:lvlText w:val=""/>
      <w:lvlJc w:val="left"/>
      <w:pPr>
        <w:ind w:left="837" w:hanging="361"/>
      </w:pPr>
      <w:rPr>
        <w:rFonts w:hint="default" w:ascii="Symbol" w:hAnsi="Symbol" w:eastAsia="Symbol" w:cs="Symbol"/>
        <w:w w:val="99"/>
        <w:sz w:val="26"/>
        <w:szCs w:val="26"/>
      </w:rPr>
    </w:lvl>
    <w:lvl w:ilvl="3">
      <w:start w:val="1"/>
      <w:numFmt w:val="bullet"/>
      <w:lvlText w:val="•"/>
      <w:lvlJc w:val="left"/>
      <w:pPr>
        <w:ind w:left="2795" w:hanging="361"/>
      </w:pPr>
      <w:rPr>
        <w:rFonts w:hint="default"/>
      </w:rPr>
    </w:lvl>
    <w:lvl w:ilvl="4">
      <w:start w:val="1"/>
      <w:numFmt w:val="bullet"/>
      <w:lvlText w:val="•"/>
      <w:lvlJc w:val="left"/>
      <w:pPr>
        <w:ind w:left="3773" w:hanging="361"/>
      </w:pPr>
      <w:rPr>
        <w:rFonts w:hint="default"/>
      </w:rPr>
    </w:lvl>
    <w:lvl w:ilvl="5">
      <w:start w:val="1"/>
      <w:numFmt w:val="bullet"/>
      <w:lvlText w:val="•"/>
      <w:lvlJc w:val="left"/>
      <w:pPr>
        <w:ind w:left="4751" w:hanging="361"/>
      </w:pPr>
      <w:rPr>
        <w:rFonts w:hint="default"/>
      </w:rPr>
    </w:lvl>
    <w:lvl w:ilvl="6">
      <w:start w:val="1"/>
      <w:numFmt w:val="bullet"/>
      <w:lvlText w:val="•"/>
      <w:lvlJc w:val="left"/>
      <w:pPr>
        <w:ind w:left="5728" w:hanging="361"/>
      </w:pPr>
      <w:rPr>
        <w:rFonts w:hint="default"/>
      </w:rPr>
    </w:lvl>
    <w:lvl w:ilvl="7">
      <w:start w:val="1"/>
      <w:numFmt w:val="bullet"/>
      <w:lvlText w:val="•"/>
      <w:lvlJc w:val="left"/>
      <w:pPr>
        <w:ind w:left="6706" w:hanging="361"/>
      </w:pPr>
      <w:rPr>
        <w:rFonts w:hint="default"/>
      </w:rPr>
    </w:lvl>
    <w:lvl w:ilvl="8">
      <w:start w:val="1"/>
      <w:numFmt w:val="bullet"/>
      <w:lvlText w:val="•"/>
      <w:lvlJc w:val="left"/>
      <w:pPr>
        <w:ind w:left="7684" w:hanging="361"/>
      </w:pPr>
      <w:rPr>
        <w:rFonts w:hint="default"/>
      </w:rPr>
    </w:lvl>
  </w:abstractNum>
  <w:abstractNum w:abstractNumId="36">
    <w:multiLevelType w:val="hybridMultilevel"/>
    <w:lvl w:ilvl="0">
      <w:start w:val="1"/>
      <w:numFmt w:val="bullet"/>
      <w:lvlText w:val=""/>
      <w:lvlJc w:val="left"/>
      <w:pPr>
        <w:ind w:left="837" w:hanging="361"/>
      </w:pPr>
      <w:rPr>
        <w:rFonts w:hint="default" w:ascii="Symbol" w:hAnsi="Symbol" w:eastAsia="Symbol" w:cs="Symbol"/>
        <w:w w:val="99"/>
        <w:sz w:val="26"/>
        <w:szCs w:val="26"/>
      </w:rPr>
    </w:lvl>
    <w:lvl w:ilvl="1">
      <w:start w:val="1"/>
      <w:numFmt w:val="bullet"/>
      <w:lvlText w:val="•"/>
      <w:lvlJc w:val="left"/>
      <w:pPr>
        <w:ind w:left="1720" w:hanging="361"/>
      </w:pPr>
      <w:rPr>
        <w:rFonts w:hint="default"/>
      </w:rPr>
    </w:lvl>
    <w:lvl w:ilvl="2">
      <w:start w:val="1"/>
      <w:numFmt w:val="bullet"/>
      <w:lvlText w:val="•"/>
      <w:lvlJc w:val="left"/>
      <w:pPr>
        <w:ind w:left="2600" w:hanging="361"/>
      </w:pPr>
      <w:rPr>
        <w:rFonts w:hint="default"/>
      </w:rPr>
    </w:lvl>
    <w:lvl w:ilvl="3">
      <w:start w:val="1"/>
      <w:numFmt w:val="bullet"/>
      <w:lvlText w:val="•"/>
      <w:lvlJc w:val="left"/>
      <w:pPr>
        <w:ind w:left="3480" w:hanging="361"/>
      </w:pPr>
      <w:rPr>
        <w:rFonts w:hint="default"/>
      </w:rPr>
    </w:lvl>
    <w:lvl w:ilvl="4">
      <w:start w:val="1"/>
      <w:numFmt w:val="bullet"/>
      <w:lvlText w:val="•"/>
      <w:lvlJc w:val="left"/>
      <w:pPr>
        <w:ind w:left="4360" w:hanging="361"/>
      </w:pPr>
      <w:rPr>
        <w:rFonts w:hint="default"/>
      </w:rPr>
    </w:lvl>
    <w:lvl w:ilvl="5">
      <w:start w:val="1"/>
      <w:numFmt w:val="bullet"/>
      <w:lvlText w:val="•"/>
      <w:lvlJc w:val="left"/>
      <w:pPr>
        <w:ind w:left="5240" w:hanging="361"/>
      </w:pPr>
      <w:rPr>
        <w:rFonts w:hint="default"/>
      </w:rPr>
    </w:lvl>
    <w:lvl w:ilvl="6">
      <w:start w:val="1"/>
      <w:numFmt w:val="bullet"/>
      <w:lvlText w:val="•"/>
      <w:lvlJc w:val="left"/>
      <w:pPr>
        <w:ind w:left="6120" w:hanging="361"/>
      </w:pPr>
      <w:rPr>
        <w:rFonts w:hint="default"/>
      </w:rPr>
    </w:lvl>
    <w:lvl w:ilvl="7">
      <w:start w:val="1"/>
      <w:numFmt w:val="bullet"/>
      <w:lvlText w:val="•"/>
      <w:lvlJc w:val="left"/>
      <w:pPr>
        <w:ind w:left="7000" w:hanging="361"/>
      </w:pPr>
      <w:rPr>
        <w:rFonts w:hint="default"/>
      </w:rPr>
    </w:lvl>
    <w:lvl w:ilvl="8">
      <w:start w:val="1"/>
      <w:numFmt w:val="bullet"/>
      <w:lvlText w:val="•"/>
      <w:lvlJc w:val="left"/>
      <w:pPr>
        <w:ind w:left="7880" w:hanging="361"/>
      </w:pPr>
      <w:rPr>
        <w:rFonts w:hint="default"/>
      </w:rPr>
    </w:lvl>
  </w:abstractNum>
  <w:abstractNum w:abstractNumId="35">
    <w:multiLevelType w:val="hybridMultilevel"/>
    <w:lvl w:ilvl="0">
      <w:start w:val="1"/>
      <w:numFmt w:val="bullet"/>
      <w:lvlText w:val=""/>
      <w:lvlJc w:val="left"/>
      <w:pPr>
        <w:ind w:left="832" w:hanging="361"/>
      </w:pPr>
      <w:rPr>
        <w:rFonts w:hint="default" w:ascii="Symbol" w:hAnsi="Symbol" w:eastAsia="Symbol" w:cs="Symbol"/>
        <w:w w:val="99"/>
        <w:sz w:val="26"/>
        <w:szCs w:val="26"/>
      </w:rPr>
    </w:lvl>
    <w:lvl w:ilvl="1">
      <w:start w:val="1"/>
      <w:numFmt w:val="bullet"/>
      <w:lvlText w:val="•"/>
      <w:lvlJc w:val="left"/>
      <w:pPr>
        <w:ind w:left="1720" w:hanging="361"/>
      </w:pPr>
      <w:rPr>
        <w:rFonts w:hint="default"/>
      </w:rPr>
    </w:lvl>
    <w:lvl w:ilvl="2">
      <w:start w:val="1"/>
      <w:numFmt w:val="bullet"/>
      <w:lvlText w:val="•"/>
      <w:lvlJc w:val="left"/>
      <w:pPr>
        <w:ind w:left="2600" w:hanging="361"/>
      </w:pPr>
      <w:rPr>
        <w:rFonts w:hint="default"/>
      </w:rPr>
    </w:lvl>
    <w:lvl w:ilvl="3">
      <w:start w:val="1"/>
      <w:numFmt w:val="bullet"/>
      <w:lvlText w:val="•"/>
      <w:lvlJc w:val="left"/>
      <w:pPr>
        <w:ind w:left="3480" w:hanging="361"/>
      </w:pPr>
      <w:rPr>
        <w:rFonts w:hint="default"/>
      </w:rPr>
    </w:lvl>
    <w:lvl w:ilvl="4">
      <w:start w:val="1"/>
      <w:numFmt w:val="bullet"/>
      <w:lvlText w:val="•"/>
      <w:lvlJc w:val="left"/>
      <w:pPr>
        <w:ind w:left="4360" w:hanging="361"/>
      </w:pPr>
      <w:rPr>
        <w:rFonts w:hint="default"/>
      </w:rPr>
    </w:lvl>
    <w:lvl w:ilvl="5">
      <w:start w:val="1"/>
      <w:numFmt w:val="bullet"/>
      <w:lvlText w:val="•"/>
      <w:lvlJc w:val="left"/>
      <w:pPr>
        <w:ind w:left="5240" w:hanging="361"/>
      </w:pPr>
      <w:rPr>
        <w:rFonts w:hint="default"/>
      </w:rPr>
    </w:lvl>
    <w:lvl w:ilvl="6">
      <w:start w:val="1"/>
      <w:numFmt w:val="bullet"/>
      <w:lvlText w:val="•"/>
      <w:lvlJc w:val="left"/>
      <w:pPr>
        <w:ind w:left="6120" w:hanging="361"/>
      </w:pPr>
      <w:rPr>
        <w:rFonts w:hint="default"/>
      </w:rPr>
    </w:lvl>
    <w:lvl w:ilvl="7">
      <w:start w:val="1"/>
      <w:numFmt w:val="bullet"/>
      <w:lvlText w:val="•"/>
      <w:lvlJc w:val="left"/>
      <w:pPr>
        <w:ind w:left="7000" w:hanging="361"/>
      </w:pPr>
      <w:rPr>
        <w:rFonts w:hint="default"/>
      </w:rPr>
    </w:lvl>
    <w:lvl w:ilvl="8">
      <w:start w:val="1"/>
      <w:numFmt w:val="bullet"/>
      <w:lvlText w:val="•"/>
      <w:lvlJc w:val="left"/>
      <w:pPr>
        <w:ind w:left="7880" w:hanging="361"/>
      </w:pPr>
      <w:rPr>
        <w:rFonts w:hint="default"/>
      </w:rPr>
    </w:lvl>
  </w:abstractNum>
  <w:abstractNum w:abstractNumId="34">
    <w:multiLevelType w:val="hybridMultilevel"/>
    <w:lvl w:ilvl="0">
      <w:start w:val="1"/>
      <w:numFmt w:val="bullet"/>
      <w:lvlText w:val=""/>
      <w:lvlJc w:val="left"/>
      <w:pPr>
        <w:ind w:left="837" w:hanging="361"/>
      </w:pPr>
      <w:rPr>
        <w:rFonts w:hint="default" w:ascii="Symbol" w:hAnsi="Symbol" w:eastAsia="Symbol" w:cs="Symbol"/>
        <w:w w:val="99"/>
        <w:sz w:val="26"/>
        <w:szCs w:val="26"/>
      </w:rPr>
    </w:lvl>
    <w:lvl w:ilvl="1">
      <w:start w:val="1"/>
      <w:numFmt w:val="bullet"/>
      <w:lvlText w:val="•"/>
      <w:lvlJc w:val="left"/>
      <w:pPr>
        <w:ind w:left="1720" w:hanging="361"/>
      </w:pPr>
      <w:rPr>
        <w:rFonts w:hint="default"/>
      </w:rPr>
    </w:lvl>
    <w:lvl w:ilvl="2">
      <w:start w:val="1"/>
      <w:numFmt w:val="bullet"/>
      <w:lvlText w:val="•"/>
      <w:lvlJc w:val="left"/>
      <w:pPr>
        <w:ind w:left="2600" w:hanging="361"/>
      </w:pPr>
      <w:rPr>
        <w:rFonts w:hint="default"/>
      </w:rPr>
    </w:lvl>
    <w:lvl w:ilvl="3">
      <w:start w:val="1"/>
      <w:numFmt w:val="bullet"/>
      <w:lvlText w:val="•"/>
      <w:lvlJc w:val="left"/>
      <w:pPr>
        <w:ind w:left="3480" w:hanging="361"/>
      </w:pPr>
      <w:rPr>
        <w:rFonts w:hint="default"/>
      </w:rPr>
    </w:lvl>
    <w:lvl w:ilvl="4">
      <w:start w:val="1"/>
      <w:numFmt w:val="bullet"/>
      <w:lvlText w:val="•"/>
      <w:lvlJc w:val="left"/>
      <w:pPr>
        <w:ind w:left="4360" w:hanging="361"/>
      </w:pPr>
      <w:rPr>
        <w:rFonts w:hint="default"/>
      </w:rPr>
    </w:lvl>
    <w:lvl w:ilvl="5">
      <w:start w:val="1"/>
      <w:numFmt w:val="bullet"/>
      <w:lvlText w:val="•"/>
      <w:lvlJc w:val="left"/>
      <w:pPr>
        <w:ind w:left="5240" w:hanging="361"/>
      </w:pPr>
      <w:rPr>
        <w:rFonts w:hint="default"/>
      </w:rPr>
    </w:lvl>
    <w:lvl w:ilvl="6">
      <w:start w:val="1"/>
      <w:numFmt w:val="bullet"/>
      <w:lvlText w:val="•"/>
      <w:lvlJc w:val="left"/>
      <w:pPr>
        <w:ind w:left="6120" w:hanging="361"/>
      </w:pPr>
      <w:rPr>
        <w:rFonts w:hint="default"/>
      </w:rPr>
    </w:lvl>
    <w:lvl w:ilvl="7">
      <w:start w:val="1"/>
      <w:numFmt w:val="bullet"/>
      <w:lvlText w:val="•"/>
      <w:lvlJc w:val="left"/>
      <w:pPr>
        <w:ind w:left="7000" w:hanging="361"/>
      </w:pPr>
      <w:rPr>
        <w:rFonts w:hint="default"/>
      </w:rPr>
    </w:lvl>
    <w:lvl w:ilvl="8">
      <w:start w:val="1"/>
      <w:numFmt w:val="bullet"/>
      <w:lvlText w:val="•"/>
      <w:lvlJc w:val="left"/>
      <w:pPr>
        <w:ind w:left="7880" w:hanging="361"/>
      </w:pPr>
      <w:rPr>
        <w:rFonts w:hint="default"/>
      </w:rPr>
    </w:lvl>
  </w:abstractNum>
  <w:abstractNum w:abstractNumId="33">
    <w:multiLevelType w:val="hybridMultilevel"/>
    <w:lvl w:ilvl="0">
      <w:start w:val="1"/>
      <w:numFmt w:val="bullet"/>
      <w:lvlText w:val=""/>
      <w:lvlJc w:val="left"/>
      <w:pPr>
        <w:ind w:left="837" w:hanging="361"/>
      </w:pPr>
      <w:rPr>
        <w:rFonts w:hint="default" w:ascii="Symbol" w:hAnsi="Symbol" w:eastAsia="Symbol" w:cs="Symbol"/>
        <w:w w:val="99"/>
        <w:sz w:val="26"/>
        <w:szCs w:val="26"/>
      </w:rPr>
    </w:lvl>
    <w:lvl w:ilvl="1">
      <w:start w:val="1"/>
      <w:numFmt w:val="bullet"/>
      <w:lvlText w:val="•"/>
      <w:lvlJc w:val="left"/>
      <w:pPr>
        <w:ind w:left="1720" w:hanging="361"/>
      </w:pPr>
      <w:rPr>
        <w:rFonts w:hint="default"/>
      </w:rPr>
    </w:lvl>
    <w:lvl w:ilvl="2">
      <w:start w:val="1"/>
      <w:numFmt w:val="bullet"/>
      <w:lvlText w:val="•"/>
      <w:lvlJc w:val="left"/>
      <w:pPr>
        <w:ind w:left="2600" w:hanging="361"/>
      </w:pPr>
      <w:rPr>
        <w:rFonts w:hint="default"/>
      </w:rPr>
    </w:lvl>
    <w:lvl w:ilvl="3">
      <w:start w:val="1"/>
      <w:numFmt w:val="bullet"/>
      <w:lvlText w:val="•"/>
      <w:lvlJc w:val="left"/>
      <w:pPr>
        <w:ind w:left="3480" w:hanging="361"/>
      </w:pPr>
      <w:rPr>
        <w:rFonts w:hint="default"/>
      </w:rPr>
    </w:lvl>
    <w:lvl w:ilvl="4">
      <w:start w:val="1"/>
      <w:numFmt w:val="bullet"/>
      <w:lvlText w:val="•"/>
      <w:lvlJc w:val="left"/>
      <w:pPr>
        <w:ind w:left="4360" w:hanging="361"/>
      </w:pPr>
      <w:rPr>
        <w:rFonts w:hint="default"/>
      </w:rPr>
    </w:lvl>
    <w:lvl w:ilvl="5">
      <w:start w:val="1"/>
      <w:numFmt w:val="bullet"/>
      <w:lvlText w:val="•"/>
      <w:lvlJc w:val="left"/>
      <w:pPr>
        <w:ind w:left="5240" w:hanging="361"/>
      </w:pPr>
      <w:rPr>
        <w:rFonts w:hint="default"/>
      </w:rPr>
    </w:lvl>
    <w:lvl w:ilvl="6">
      <w:start w:val="1"/>
      <w:numFmt w:val="bullet"/>
      <w:lvlText w:val="•"/>
      <w:lvlJc w:val="left"/>
      <w:pPr>
        <w:ind w:left="6120" w:hanging="361"/>
      </w:pPr>
      <w:rPr>
        <w:rFonts w:hint="default"/>
      </w:rPr>
    </w:lvl>
    <w:lvl w:ilvl="7">
      <w:start w:val="1"/>
      <w:numFmt w:val="bullet"/>
      <w:lvlText w:val="•"/>
      <w:lvlJc w:val="left"/>
      <w:pPr>
        <w:ind w:left="7000" w:hanging="361"/>
      </w:pPr>
      <w:rPr>
        <w:rFonts w:hint="default"/>
      </w:rPr>
    </w:lvl>
    <w:lvl w:ilvl="8">
      <w:start w:val="1"/>
      <w:numFmt w:val="bullet"/>
      <w:lvlText w:val="•"/>
      <w:lvlJc w:val="left"/>
      <w:pPr>
        <w:ind w:left="7880" w:hanging="361"/>
      </w:pPr>
      <w:rPr>
        <w:rFonts w:hint="default"/>
      </w:rPr>
    </w:lvl>
  </w:abstractNum>
  <w:abstractNum w:abstractNumId="32">
    <w:multiLevelType w:val="hybridMultilevel"/>
    <w:lvl w:ilvl="0">
      <w:start w:val="1"/>
      <w:numFmt w:val="bullet"/>
      <w:lvlText w:val=""/>
      <w:lvlJc w:val="left"/>
      <w:pPr>
        <w:ind w:left="837" w:hanging="361"/>
      </w:pPr>
      <w:rPr>
        <w:rFonts w:hint="default" w:ascii="Symbol" w:hAnsi="Symbol" w:eastAsia="Symbol" w:cs="Symbol"/>
        <w:w w:val="99"/>
        <w:sz w:val="26"/>
        <w:szCs w:val="26"/>
      </w:rPr>
    </w:lvl>
    <w:lvl w:ilvl="1">
      <w:start w:val="1"/>
      <w:numFmt w:val="bullet"/>
      <w:lvlText w:val="•"/>
      <w:lvlJc w:val="left"/>
      <w:pPr>
        <w:ind w:left="1720" w:hanging="361"/>
      </w:pPr>
      <w:rPr>
        <w:rFonts w:hint="default"/>
      </w:rPr>
    </w:lvl>
    <w:lvl w:ilvl="2">
      <w:start w:val="1"/>
      <w:numFmt w:val="bullet"/>
      <w:lvlText w:val="•"/>
      <w:lvlJc w:val="left"/>
      <w:pPr>
        <w:ind w:left="2600" w:hanging="361"/>
      </w:pPr>
      <w:rPr>
        <w:rFonts w:hint="default"/>
      </w:rPr>
    </w:lvl>
    <w:lvl w:ilvl="3">
      <w:start w:val="1"/>
      <w:numFmt w:val="bullet"/>
      <w:lvlText w:val="•"/>
      <w:lvlJc w:val="left"/>
      <w:pPr>
        <w:ind w:left="3480" w:hanging="361"/>
      </w:pPr>
      <w:rPr>
        <w:rFonts w:hint="default"/>
      </w:rPr>
    </w:lvl>
    <w:lvl w:ilvl="4">
      <w:start w:val="1"/>
      <w:numFmt w:val="bullet"/>
      <w:lvlText w:val="•"/>
      <w:lvlJc w:val="left"/>
      <w:pPr>
        <w:ind w:left="4360" w:hanging="361"/>
      </w:pPr>
      <w:rPr>
        <w:rFonts w:hint="default"/>
      </w:rPr>
    </w:lvl>
    <w:lvl w:ilvl="5">
      <w:start w:val="1"/>
      <w:numFmt w:val="bullet"/>
      <w:lvlText w:val="•"/>
      <w:lvlJc w:val="left"/>
      <w:pPr>
        <w:ind w:left="5240" w:hanging="361"/>
      </w:pPr>
      <w:rPr>
        <w:rFonts w:hint="default"/>
      </w:rPr>
    </w:lvl>
    <w:lvl w:ilvl="6">
      <w:start w:val="1"/>
      <w:numFmt w:val="bullet"/>
      <w:lvlText w:val="•"/>
      <w:lvlJc w:val="left"/>
      <w:pPr>
        <w:ind w:left="6120" w:hanging="361"/>
      </w:pPr>
      <w:rPr>
        <w:rFonts w:hint="default"/>
      </w:rPr>
    </w:lvl>
    <w:lvl w:ilvl="7">
      <w:start w:val="1"/>
      <w:numFmt w:val="bullet"/>
      <w:lvlText w:val="•"/>
      <w:lvlJc w:val="left"/>
      <w:pPr>
        <w:ind w:left="7000" w:hanging="361"/>
      </w:pPr>
      <w:rPr>
        <w:rFonts w:hint="default"/>
      </w:rPr>
    </w:lvl>
    <w:lvl w:ilvl="8">
      <w:start w:val="1"/>
      <w:numFmt w:val="bullet"/>
      <w:lvlText w:val="•"/>
      <w:lvlJc w:val="left"/>
      <w:pPr>
        <w:ind w:left="7880" w:hanging="361"/>
      </w:pPr>
      <w:rPr>
        <w:rFonts w:hint="default"/>
      </w:rPr>
    </w:lvl>
  </w:abstractNum>
  <w:abstractNum w:abstractNumId="31">
    <w:multiLevelType w:val="hybridMultilevel"/>
    <w:lvl w:ilvl="0">
      <w:start w:val="1"/>
      <w:numFmt w:val="bullet"/>
      <w:lvlText w:val=""/>
      <w:lvlJc w:val="left"/>
      <w:pPr>
        <w:ind w:left="597" w:hanging="361"/>
      </w:pPr>
      <w:rPr>
        <w:rFonts w:hint="default" w:ascii="Symbol" w:hAnsi="Symbol" w:eastAsia="Symbol" w:cs="Symbol"/>
        <w:w w:val="99"/>
        <w:sz w:val="26"/>
        <w:szCs w:val="26"/>
      </w:rPr>
    </w:lvl>
    <w:lvl w:ilvl="1">
      <w:start w:val="1"/>
      <w:numFmt w:val="bullet"/>
      <w:lvlText w:val="•"/>
      <w:lvlJc w:val="left"/>
      <w:pPr>
        <w:ind w:left="1480" w:hanging="361"/>
      </w:pPr>
      <w:rPr>
        <w:rFonts w:hint="default"/>
      </w:rPr>
    </w:lvl>
    <w:lvl w:ilvl="2">
      <w:start w:val="1"/>
      <w:numFmt w:val="bullet"/>
      <w:lvlText w:val="•"/>
      <w:lvlJc w:val="left"/>
      <w:pPr>
        <w:ind w:left="2360" w:hanging="361"/>
      </w:pPr>
      <w:rPr>
        <w:rFonts w:hint="default"/>
      </w:rPr>
    </w:lvl>
    <w:lvl w:ilvl="3">
      <w:start w:val="1"/>
      <w:numFmt w:val="bullet"/>
      <w:lvlText w:val="•"/>
      <w:lvlJc w:val="left"/>
      <w:pPr>
        <w:ind w:left="3240" w:hanging="361"/>
      </w:pPr>
      <w:rPr>
        <w:rFonts w:hint="default"/>
      </w:rPr>
    </w:lvl>
    <w:lvl w:ilvl="4">
      <w:start w:val="1"/>
      <w:numFmt w:val="bullet"/>
      <w:lvlText w:val="•"/>
      <w:lvlJc w:val="left"/>
      <w:pPr>
        <w:ind w:left="4120" w:hanging="361"/>
      </w:pPr>
      <w:rPr>
        <w:rFonts w:hint="default"/>
      </w:rPr>
    </w:lvl>
    <w:lvl w:ilvl="5">
      <w:start w:val="1"/>
      <w:numFmt w:val="bullet"/>
      <w:lvlText w:val="•"/>
      <w:lvlJc w:val="left"/>
      <w:pPr>
        <w:ind w:left="5000" w:hanging="361"/>
      </w:pPr>
      <w:rPr>
        <w:rFonts w:hint="default"/>
      </w:rPr>
    </w:lvl>
    <w:lvl w:ilvl="6">
      <w:start w:val="1"/>
      <w:numFmt w:val="bullet"/>
      <w:lvlText w:val="•"/>
      <w:lvlJc w:val="left"/>
      <w:pPr>
        <w:ind w:left="5880" w:hanging="361"/>
      </w:pPr>
      <w:rPr>
        <w:rFonts w:hint="default"/>
      </w:rPr>
    </w:lvl>
    <w:lvl w:ilvl="7">
      <w:start w:val="1"/>
      <w:numFmt w:val="bullet"/>
      <w:lvlText w:val="•"/>
      <w:lvlJc w:val="left"/>
      <w:pPr>
        <w:ind w:left="6760" w:hanging="361"/>
      </w:pPr>
      <w:rPr>
        <w:rFonts w:hint="default"/>
      </w:rPr>
    </w:lvl>
    <w:lvl w:ilvl="8">
      <w:start w:val="1"/>
      <w:numFmt w:val="bullet"/>
      <w:lvlText w:val="•"/>
      <w:lvlJc w:val="left"/>
      <w:pPr>
        <w:ind w:left="7640" w:hanging="361"/>
      </w:pPr>
      <w:rPr>
        <w:rFonts w:hint="default"/>
      </w:rPr>
    </w:lvl>
  </w:abstractNum>
  <w:abstractNum w:abstractNumId="30">
    <w:multiLevelType w:val="hybridMultilevel"/>
    <w:lvl w:ilvl="0">
      <w:start w:val="1"/>
      <w:numFmt w:val="bullet"/>
      <w:lvlText w:val=""/>
      <w:lvlJc w:val="left"/>
      <w:pPr>
        <w:ind w:left="837" w:hanging="361"/>
      </w:pPr>
      <w:rPr>
        <w:rFonts w:hint="default" w:ascii="Symbol" w:hAnsi="Symbol" w:eastAsia="Symbol" w:cs="Symbol"/>
        <w:w w:val="99"/>
        <w:sz w:val="26"/>
        <w:szCs w:val="26"/>
      </w:rPr>
    </w:lvl>
    <w:lvl w:ilvl="1">
      <w:start w:val="1"/>
      <w:numFmt w:val="bullet"/>
      <w:lvlText w:val="•"/>
      <w:lvlJc w:val="left"/>
      <w:pPr>
        <w:ind w:left="1720" w:hanging="361"/>
      </w:pPr>
      <w:rPr>
        <w:rFonts w:hint="default"/>
      </w:rPr>
    </w:lvl>
    <w:lvl w:ilvl="2">
      <w:start w:val="1"/>
      <w:numFmt w:val="bullet"/>
      <w:lvlText w:val="•"/>
      <w:lvlJc w:val="left"/>
      <w:pPr>
        <w:ind w:left="2600" w:hanging="361"/>
      </w:pPr>
      <w:rPr>
        <w:rFonts w:hint="default"/>
      </w:rPr>
    </w:lvl>
    <w:lvl w:ilvl="3">
      <w:start w:val="1"/>
      <w:numFmt w:val="bullet"/>
      <w:lvlText w:val="•"/>
      <w:lvlJc w:val="left"/>
      <w:pPr>
        <w:ind w:left="3480" w:hanging="361"/>
      </w:pPr>
      <w:rPr>
        <w:rFonts w:hint="default"/>
      </w:rPr>
    </w:lvl>
    <w:lvl w:ilvl="4">
      <w:start w:val="1"/>
      <w:numFmt w:val="bullet"/>
      <w:lvlText w:val="•"/>
      <w:lvlJc w:val="left"/>
      <w:pPr>
        <w:ind w:left="4360" w:hanging="361"/>
      </w:pPr>
      <w:rPr>
        <w:rFonts w:hint="default"/>
      </w:rPr>
    </w:lvl>
    <w:lvl w:ilvl="5">
      <w:start w:val="1"/>
      <w:numFmt w:val="bullet"/>
      <w:lvlText w:val="•"/>
      <w:lvlJc w:val="left"/>
      <w:pPr>
        <w:ind w:left="5240" w:hanging="361"/>
      </w:pPr>
      <w:rPr>
        <w:rFonts w:hint="default"/>
      </w:rPr>
    </w:lvl>
    <w:lvl w:ilvl="6">
      <w:start w:val="1"/>
      <w:numFmt w:val="bullet"/>
      <w:lvlText w:val="•"/>
      <w:lvlJc w:val="left"/>
      <w:pPr>
        <w:ind w:left="6120" w:hanging="361"/>
      </w:pPr>
      <w:rPr>
        <w:rFonts w:hint="default"/>
      </w:rPr>
    </w:lvl>
    <w:lvl w:ilvl="7">
      <w:start w:val="1"/>
      <w:numFmt w:val="bullet"/>
      <w:lvlText w:val="•"/>
      <w:lvlJc w:val="left"/>
      <w:pPr>
        <w:ind w:left="7000" w:hanging="361"/>
      </w:pPr>
      <w:rPr>
        <w:rFonts w:hint="default"/>
      </w:rPr>
    </w:lvl>
    <w:lvl w:ilvl="8">
      <w:start w:val="1"/>
      <w:numFmt w:val="bullet"/>
      <w:lvlText w:val="•"/>
      <w:lvlJc w:val="left"/>
      <w:pPr>
        <w:ind w:left="7880" w:hanging="361"/>
      </w:pPr>
      <w:rPr>
        <w:rFonts w:hint="default"/>
      </w:rPr>
    </w:lvl>
  </w:abstractNum>
  <w:abstractNum w:abstractNumId="29">
    <w:multiLevelType w:val="hybridMultilevel"/>
    <w:lvl w:ilvl="0">
      <w:start w:val="1"/>
      <w:numFmt w:val="bullet"/>
      <w:lvlText w:val=""/>
      <w:lvlJc w:val="left"/>
      <w:pPr>
        <w:ind w:left="837" w:hanging="361"/>
      </w:pPr>
      <w:rPr>
        <w:rFonts w:hint="default" w:ascii="Symbol" w:hAnsi="Symbol" w:eastAsia="Symbol" w:cs="Symbol"/>
        <w:w w:val="99"/>
        <w:sz w:val="26"/>
        <w:szCs w:val="26"/>
      </w:rPr>
    </w:lvl>
    <w:lvl w:ilvl="1">
      <w:start w:val="1"/>
      <w:numFmt w:val="bullet"/>
      <w:lvlText w:val="•"/>
      <w:lvlJc w:val="left"/>
      <w:pPr>
        <w:ind w:left="1720" w:hanging="361"/>
      </w:pPr>
      <w:rPr>
        <w:rFonts w:hint="default"/>
      </w:rPr>
    </w:lvl>
    <w:lvl w:ilvl="2">
      <w:start w:val="1"/>
      <w:numFmt w:val="bullet"/>
      <w:lvlText w:val="•"/>
      <w:lvlJc w:val="left"/>
      <w:pPr>
        <w:ind w:left="2600" w:hanging="361"/>
      </w:pPr>
      <w:rPr>
        <w:rFonts w:hint="default"/>
      </w:rPr>
    </w:lvl>
    <w:lvl w:ilvl="3">
      <w:start w:val="1"/>
      <w:numFmt w:val="bullet"/>
      <w:lvlText w:val="•"/>
      <w:lvlJc w:val="left"/>
      <w:pPr>
        <w:ind w:left="3480" w:hanging="361"/>
      </w:pPr>
      <w:rPr>
        <w:rFonts w:hint="default"/>
      </w:rPr>
    </w:lvl>
    <w:lvl w:ilvl="4">
      <w:start w:val="1"/>
      <w:numFmt w:val="bullet"/>
      <w:lvlText w:val="•"/>
      <w:lvlJc w:val="left"/>
      <w:pPr>
        <w:ind w:left="4360" w:hanging="361"/>
      </w:pPr>
      <w:rPr>
        <w:rFonts w:hint="default"/>
      </w:rPr>
    </w:lvl>
    <w:lvl w:ilvl="5">
      <w:start w:val="1"/>
      <w:numFmt w:val="bullet"/>
      <w:lvlText w:val="•"/>
      <w:lvlJc w:val="left"/>
      <w:pPr>
        <w:ind w:left="5240" w:hanging="361"/>
      </w:pPr>
      <w:rPr>
        <w:rFonts w:hint="default"/>
      </w:rPr>
    </w:lvl>
    <w:lvl w:ilvl="6">
      <w:start w:val="1"/>
      <w:numFmt w:val="bullet"/>
      <w:lvlText w:val="•"/>
      <w:lvlJc w:val="left"/>
      <w:pPr>
        <w:ind w:left="6120" w:hanging="361"/>
      </w:pPr>
      <w:rPr>
        <w:rFonts w:hint="default"/>
      </w:rPr>
    </w:lvl>
    <w:lvl w:ilvl="7">
      <w:start w:val="1"/>
      <w:numFmt w:val="bullet"/>
      <w:lvlText w:val="•"/>
      <w:lvlJc w:val="left"/>
      <w:pPr>
        <w:ind w:left="7000" w:hanging="361"/>
      </w:pPr>
      <w:rPr>
        <w:rFonts w:hint="default"/>
      </w:rPr>
    </w:lvl>
    <w:lvl w:ilvl="8">
      <w:start w:val="1"/>
      <w:numFmt w:val="bullet"/>
      <w:lvlText w:val="•"/>
      <w:lvlJc w:val="left"/>
      <w:pPr>
        <w:ind w:left="7880" w:hanging="361"/>
      </w:pPr>
      <w:rPr>
        <w:rFonts w:hint="default"/>
      </w:rPr>
    </w:lvl>
  </w:abstractNum>
  <w:abstractNum w:abstractNumId="28">
    <w:multiLevelType w:val="hybridMultilevel"/>
    <w:lvl w:ilvl="0">
      <w:start w:val="1"/>
      <w:numFmt w:val="bullet"/>
      <w:lvlText w:val=""/>
      <w:lvlJc w:val="left"/>
      <w:pPr>
        <w:ind w:left="837" w:hanging="361"/>
      </w:pPr>
      <w:rPr>
        <w:rFonts w:hint="default" w:ascii="Symbol" w:hAnsi="Symbol" w:eastAsia="Symbol" w:cs="Symbol"/>
        <w:w w:val="99"/>
        <w:sz w:val="26"/>
        <w:szCs w:val="26"/>
      </w:rPr>
    </w:lvl>
    <w:lvl w:ilvl="1">
      <w:start w:val="1"/>
      <w:numFmt w:val="bullet"/>
      <w:lvlText w:val="•"/>
      <w:lvlJc w:val="left"/>
      <w:pPr>
        <w:ind w:left="1720" w:hanging="361"/>
      </w:pPr>
      <w:rPr>
        <w:rFonts w:hint="default"/>
      </w:rPr>
    </w:lvl>
    <w:lvl w:ilvl="2">
      <w:start w:val="1"/>
      <w:numFmt w:val="bullet"/>
      <w:lvlText w:val="•"/>
      <w:lvlJc w:val="left"/>
      <w:pPr>
        <w:ind w:left="2600" w:hanging="361"/>
      </w:pPr>
      <w:rPr>
        <w:rFonts w:hint="default"/>
      </w:rPr>
    </w:lvl>
    <w:lvl w:ilvl="3">
      <w:start w:val="1"/>
      <w:numFmt w:val="bullet"/>
      <w:lvlText w:val="•"/>
      <w:lvlJc w:val="left"/>
      <w:pPr>
        <w:ind w:left="3480" w:hanging="361"/>
      </w:pPr>
      <w:rPr>
        <w:rFonts w:hint="default"/>
      </w:rPr>
    </w:lvl>
    <w:lvl w:ilvl="4">
      <w:start w:val="1"/>
      <w:numFmt w:val="bullet"/>
      <w:lvlText w:val="•"/>
      <w:lvlJc w:val="left"/>
      <w:pPr>
        <w:ind w:left="4360" w:hanging="361"/>
      </w:pPr>
      <w:rPr>
        <w:rFonts w:hint="default"/>
      </w:rPr>
    </w:lvl>
    <w:lvl w:ilvl="5">
      <w:start w:val="1"/>
      <w:numFmt w:val="bullet"/>
      <w:lvlText w:val="•"/>
      <w:lvlJc w:val="left"/>
      <w:pPr>
        <w:ind w:left="5240" w:hanging="361"/>
      </w:pPr>
      <w:rPr>
        <w:rFonts w:hint="default"/>
      </w:rPr>
    </w:lvl>
    <w:lvl w:ilvl="6">
      <w:start w:val="1"/>
      <w:numFmt w:val="bullet"/>
      <w:lvlText w:val="•"/>
      <w:lvlJc w:val="left"/>
      <w:pPr>
        <w:ind w:left="6120" w:hanging="361"/>
      </w:pPr>
      <w:rPr>
        <w:rFonts w:hint="default"/>
      </w:rPr>
    </w:lvl>
    <w:lvl w:ilvl="7">
      <w:start w:val="1"/>
      <w:numFmt w:val="bullet"/>
      <w:lvlText w:val="•"/>
      <w:lvlJc w:val="left"/>
      <w:pPr>
        <w:ind w:left="7000" w:hanging="361"/>
      </w:pPr>
      <w:rPr>
        <w:rFonts w:hint="default"/>
      </w:rPr>
    </w:lvl>
    <w:lvl w:ilvl="8">
      <w:start w:val="1"/>
      <w:numFmt w:val="bullet"/>
      <w:lvlText w:val="•"/>
      <w:lvlJc w:val="left"/>
      <w:pPr>
        <w:ind w:left="7880" w:hanging="361"/>
      </w:pPr>
      <w:rPr>
        <w:rFonts w:hint="default"/>
      </w:rPr>
    </w:lvl>
  </w:abstractNum>
  <w:abstractNum w:abstractNumId="27">
    <w:multiLevelType w:val="hybridMultilevel"/>
    <w:lvl w:ilvl="0">
      <w:start w:val="1"/>
      <w:numFmt w:val="bullet"/>
      <w:lvlText w:val=""/>
      <w:lvlJc w:val="left"/>
      <w:pPr>
        <w:ind w:left="837" w:hanging="361"/>
      </w:pPr>
      <w:rPr>
        <w:rFonts w:hint="default" w:ascii="Symbol" w:hAnsi="Symbol" w:eastAsia="Symbol" w:cs="Symbol"/>
        <w:w w:val="99"/>
        <w:sz w:val="26"/>
        <w:szCs w:val="26"/>
      </w:rPr>
    </w:lvl>
    <w:lvl w:ilvl="1">
      <w:start w:val="1"/>
      <w:numFmt w:val="bullet"/>
      <w:lvlText w:val="•"/>
      <w:lvlJc w:val="left"/>
      <w:pPr>
        <w:ind w:left="1720" w:hanging="361"/>
      </w:pPr>
      <w:rPr>
        <w:rFonts w:hint="default"/>
      </w:rPr>
    </w:lvl>
    <w:lvl w:ilvl="2">
      <w:start w:val="1"/>
      <w:numFmt w:val="bullet"/>
      <w:lvlText w:val="•"/>
      <w:lvlJc w:val="left"/>
      <w:pPr>
        <w:ind w:left="2600" w:hanging="361"/>
      </w:pPr>
      <w:rPr>
        <w:rFonts w:hint="default"/>
      </w:rPr>
    </w:lvl>
    <w:lvl w:ilvl="3">
      <w:start w:val="1"/>
      <w:numFmt w:val="bullet"/>
      <w:lvlText w:val="•"/>
      <w:lvlJc w:val="left"/>
      <w:pPr>
        <w:ind w:left="3480" w:hanging="361"/>
      </w:pPr>
      <w:rPr>
        <w:rFonts w:hint="default"/>
      </w:rPr>
    </w:lvl>
    <w:lvl w:ilvl="4">
      <w:start w:val="1"/>
      <w:numFmt w:val="bullet"/>
      <w:lvlText w:val="•"/>
      <w:lvlJc w:val="left"/>
      <w:pPr>
        <w:ind w:left="4360" w:hanging="361"/>
      </w:pPr>
      <w:rPr>
        <w:rFonts w:hint="default"/>
      </w:rPr>
    </w:lvl>
    <w:lvl w:ilvl="5">
      <w:start w:val="1"/>
      <w:numFmt w:val="bullet"/>
      <w:lvlText w:val="•"/>
      <w:lvlJc w:val="left"/>
      <w:pPr>
        <w:ind w:left="5240" w:hanging="361"/>
      </w:pPr>
      <w:rPr>
        <w:rFonts w:hint="default"/>
      </w:rPr>
    </w:lvl>
    <w:lvl w:ilvl="6">
      <w:start w:val="1"/>
      <w:numFmt w:val="bullet"/>
      <w:lvlText w:val="•"/>
      <w:lvlJc w:val="left"/>
      <w:pPr>
        <w:ind w:left="6120" w:hanging="361"/>
      </w:pPr>
      <w:rPr>
        <w:rFonts w:hint="default"/>
      </w:rPr>
    </w:lvl>
    <w:lvl w:ilvl="7">
      <w:start w:val="1"/>
      <w:numFmt w:val="bullet"/>
      <w:lvlText w:val="•"/>
      <w:lvlJc w:val="left"/>
      <w:pPr>
        <w:ind w:left="7000" w:hanging="361"/>
      </w:pPr>
      <w:rPr>
        <w:rFonts w:hint="default"/>
      </w:rPr>
    </w:lvl>
    <w:lvl w:ilvl="8">
      <w:start w:val="1"/>
      <w:numFmt w:val="bullet"/>
      <w:lvlText w:val="•"/>
      <w:lvlJc w:val="left"/>
      <w:pPr>
        <w:ind w:left="7880" w:hanging="361"/>
      </w:pPr>
      <w:rPr>
        <w:rFonts w:hint="default"/>
      </w:rPr>
    </w:lvl>
  </w:abstractNum>
  <w:abstractNum w:abstractNumId="26">
    <w:multiLevelType w:val="hybridMultilevel"/>
    <w:lvl w:ilvl="0">
      <w:start w:val="1"/>
      <w:numFmt w:val="bullet"/>
      <w:lvlText w:val=""/>
      <w:lvlJc w:val="left"/>
      <w:pPr>
        <w:ind w:left="477" w:hanging="361"/>
      </w:pPr>
      <w:rPr>
        <w:rFonts w:hint="default" w:ascii="Wingdings" w:hAnsi="Wingdings" w:eastAsia="Wingdings" w:cs="Wingdings"/>
        <w:w w:val="99"/>
        <w:sz w:val="26"/>
        <w:szCs w:val="26"/>
      </w:rPr>
    </w:lvl>
    <w:lvl w:ilvl="1">
      <w:start w:val="1"/>
      <w:numFmt w:val="bullet"/>
      <w:lvlText w:val="•"/>
      <w:lvlJc w:val="left"/>
      <w:pPr>
        <w:ind w:left="1360" w:hanging="361"/>
      </w:pPr>
      <w:rPr>
        <w:rFonts w:hint="default"/>
      </w:rPr>
    </w:lvl>
    <w:lvl w:ilvl="2">
      <w:start w:val="1"/>
      <w:numFmt w:val="bullet"/>
      <w:lvlText w:val="•"/>
      <w:lvlJc w:val="left"/>
      <w:pPr>
        <w:ind w:left="2240" w:hanging="361"/>
      </w:pPr>
      <w:rPr>
        <w:rFonts w:hint="default"/>
      </w:rPr>
    </w:lvl>
    <w:lvl w:ilvl="3">
      <w:start w:val="1"/>
      <w:numFmt w:val="bullet"/>
      <w:lvlText w:val="•"/>
      <w:lvlJc w:val="left"/>
      <w:pPr>
        <w:ind w:left="3120" w:hanging="361"/>
      </w:pPr>
      <w:rPr>
        <w:rFonts w:hint="default"/>
      </w:rPr>
    </w:lvl>
    <w:lvl w:ilvl="4">
      <w:start w:val="1"/>
      <w:numFmt w:val="bullet"/>
      <w:lvlText w:val="•"/>
      <w:lvlJc w:val="left"/>
      <w:pPr>
        <w:ind w:left="4000" w:hanging="361"/>
      </w:pPr>
      <w:rPr>
        <w:rFonts w:hint="default"/>
      </w:rPr>
    </w:lvl>
    <w:lvl w:ilvl="5">
      <w:start w:val="1"/>
      <w:numFmt w:val="bullet"/>
      <w:lvlText w:val="•"/>
      <w:lvlJc w:val="left"/>
      <w:pPr>
        <w:ind w:left="4880" w:hanging="361"/>
      </w:pPr>
      <w:rPr>
        <w:rFonts w:hint="default"/>
      </w:rPr>
    </w:lvl>
    <w:lvl w:ilvl="6">
      <w:start w:val="1"/>
      <w:numFmt w:val="bullet"/>
      <w:lvlText w:val="•"/>
      <w:lvlJc w:val="left"/>
      <w:pPr>
        <w:ind w:left="5760" w:hanging="361"/>
      </w:pPr>
      <w:rPr>
        <w:rFonts w:hint="default"/>
      </w:rPr>
    </w:lvl>
    <w:lvl w:ilvl="7">
      <w:start w:val="1"/>
      <w:numFmt w:val="bullet"/>
      <w:lvlText w:val="•"/>
      <w:lvlJc w:val="left"/>
      <w:pPr>
        <w:ind w:left="6640" w:hanging="361"/>
      </w:pPr>
      <w:rPr>
        <w:rFonts w:hint="default"/>
      </w:rPr>
    </w:lvl>
    <w:lvl w:ilvl="8">
      <w:start w:val="1"/>
      <w:numFmt w:val="bullet"/>
      <w:lvlText w:val="•"/>
      <w:lvlJc w:val="left"/>
      <w:pPr>
        <w:ind w:left="7520" w:hanging="361"/>
      </w:pPr>
      <w:rPr>
        <w:rFonts w:hint="default"/>
      </w:rPr>
    </w:lvl>
  </w:abstractNum>
  <w:abstractNum w:abstractNumId="25">
    <w:multiLevelType w:val="hybridMultilevel"/>
    <w:lvl w:ilvl="0">
      <w:start w:val="1"/>
      <w:numFmt w:val="bullet"/>
      <w:lvlText w:val=""/>
      <w:lvlJc w:val="left"/>
      <w:pPr>
        <w:ind w:left="837" w:hanging="361"/>
      </w:pPr>
      <w:rPr>
        <w:rFonts w:hint="default" w:ascii="Wingdings" w:hAnsi="Wingdings" w:eastAsia="Wingdings" w:cs="Wingdings"/>
        <w:w w:val="99"/>
        <w:sz w:val="26"/>
        <w:szCs w:val="26"/>
      </w:rPr>
    </w:lvl>
    <w:lvl w:ilvl="1">
      <w:start w:val="1"/>
      <w:numFmt w:val="bullet"/>
      <w:lvlText w:val="•"/>
      <w:lvlJc w:val="left"/>
      <w:pPr>
        <w:ind w:left="1720" w:hanging="361"/>
      </w:pPr>
      <w:rPr>
        <w:rFonts w:hint="default"/>
      </w:rPr>
    </w:lvl>
    <w:lvl w:ilvl="2">
      <w:start w:val="1"/>
      <w:numFmt w:val="bullet"/>
      <w:lvlText w:val="•"/>
      <w:lvlJc w:val="left"/>
      <w:pPr>
        <w:ind w:left="2600" w:hanging="361"/>
      </w:pPr>
      <w:rPr>
        <w:rFonts w:hint="default"/>
      </w:rPr>
    </w:lvl>
    <w:lvl w:ilvl="3">
      <w:start w:val="1"/>
      <w:numFmt w:val="bullet"/>
      <w:lvlText w:val="•"/>
      <w:lvlJc w:val="left"/>
      <w:pPr>
        <w:ind w:left="3480" w:hanging="361"/>
      </w:pPr>
      <w:rPr>
        <w:rFonts w:hint="default"/>
      </w:rPr>
    </w:lvl>
    <w:lvl w:ilvl="4">
      <w:start w:val="1"/>
      <w:numFmt w:val="bullet"/>
      <w:lvlText w:val="•"/>
      <w:lvlJc w:val="left"/>
      <w:pPr>
        <w:ind w:left="4360" w:hanging="361"/>
      </w:pPr>
      <w:rPr>
        <w:rFonts w:hint="default"/>
      </w:rPr>
    </w:lvl>
    <w:lvl w:ilvl="5">
      <w:start w:val="1"/>
      <w:numFmt w:val="bullet"/>
      <w:lvlText w:val="•"/>
      <w:lvlJc w:val="left"/>
      <w:pPr>
        <w:ind w:left="5240" w:hanging="361"/>
      </w:pPr>
      <w:rPr>
        <w:rFonts w:hint="default"/>
      </w:rPr>
    </w:lvl>
    <w:lvl w:ilvl="6">
      <w:start w:val="1"/>
      <w:numFmt w:val="bullet"/>
      <w:lvlText w:val="•"/>
      <w:lvlJc w:val="left"/>
      <w:pPr>
        <w:ind w:left="6120" w:hanging="361"/>
      </w:pPr>
      <w:rPr>
        <w:rFonts w:hint="default"/>
      </w:rPr>
    </w:lvl>
    <w:lvl w:ilvl="7">
      <w:start w:val="1"/>
      <w:numFmt w:val="bullet"/>
      <w:lvlText w:val="•"/>
      <w:lvlJc w:val="left"/>
      <w:pPr>
        <w:ind w:left="7000" w:hanging="361"/>
      </w:pPr>
      <w:rPr>
        <w:rFonts w:hint="default"/>
      </w:rPr>
    </w:lvl>
    <w:lvl w:ilvl="8">
      <w:start w:val="1"/>
      <w:numFmt w:val="bullet"/>
      <w:lvlText w:val="•"/>
      <w:lvlJc w:val="left"/>
      <w:pPr>
        <w:ind w:left="7880" w:hanging="361"/>
      </w:pPr>
      <w:rPr>
        <w:rFonts w:hint="default"/>
      </w:rPr>
    </w:lvl>
  </w:abstractNum>
  <w:abstractNum w:abstractNumId="24">
    <w:multiLevelType w:val="hybridMultilevel"/>
    <w:lvl w:ilvl="0">
      <w:start w:val="1"/>
      <w:numFmt w:val="bullet"/>
      <w:lvlText w:val=""/>
      <w:lvlJc w:val="left"/>
      <w:pPr>
        <w:ind w:left="477" w:hanging="361"/>
      </w:pPr>
      <w:rPr>
        <w:rFonts w:hint="default" w:ascii="Wingdings" w:hAnsi="Wingdings" w:eastAsia="Wingdings" w:cs="Wingdings"/>
        <w:w w:val="99"/>
        <w:sz w:val="26"/>
        <w:szCs w:val="26"/>
      </w:rPr>
    </w:lvl>
    <w:lvl w:ilvl="1">
      <w:start w:val="1"/>
      <w:numFmt w:val="bullet"/>
      <w:lvlText w:val=""/>
      <w:lvlJc w:val="left"/>
      <w:pPr>
        <w:ind w:left="837" w:hanging="361"/>
      </w:pPr>
      <w:rPr>
        <w:rFonts w:hint="default" w:ascii="Symbol" w:hAnsi="Symbol" w:eastAsia="Symbol" w:cs="Symbol"/>
        <w:w w:val="99"/>
        <w:sz w:val="26"/>
        <w:szCs w:val="26"/>
      </w:rPr>
    </w:lvl>
    <w:lvl w:ilvl="2">
      <w:start w:val="1"/>
      <w:numFmt w:val="bullet"/>
      <w:lvlText w:val="•"/>
      <w:lvlJc w:val="left"/>
      <w:pPr>
        <w:ind w:left="1777" w:hanging="361"/>
      </w:pPr>
      <w:rPr>
        <w:rFonts w:hint="default"/>
      </w:rPr>
    </w:lvl>
    <w:lvl w:ilvl="3">
      <w:start w:val="1"/>
      <w:numFmt w:val="bullet"/>
      <w:lvlText w:val="•"/>
      <w:lvlJc w:val="left"/>
      <w:pPr>
        <w:ind w:left="2715" w:hanging="361"/>
      </w:pPr>
      <w:rPr>
        <w:rFonts w:hint="default"/>
      </w:rPr>
    </w:lvl>
    <w:lvl w:ilvl="4">
      <w:start w:val="1"/>
      <w:numFmt w:val="bullet"/>
      <w:lvlText w:val="•"/>
      <w:lvlJc w:val="left"/>
      <w:pPr>
        <w:ind w:left="3653" w:hanging="361"/>
      </w:pPr>
      <w:rPr>
        <w:rFonts w:hint="default"/>
      </w:rPr>
    </w:lvl>
    <w:lvl w:ilvl="5">
      <w:start w:val="1"/>
      <w:numFmt w:val="bullet"/>
      <w:lvlText w:val="•"/>
      <w:lvlJc w:val="left"/>
      <w:pPr>
        <w:ind w:left="4591" w:hanging="361"/>
      </w:pPr>
      <w:rPr>
        <w:rFonts w:hint="default"/>
      </w:rPr>
    </w:lvl>
    <w:lvl w:ilvl="6">
      <w:start w:val="1"/>
      <w:numFmt w:val="bullet"/>
      <w:lvlText w:val="•"/>
      <w:lvlJc w:val="left"/>
      <w:pPr>
        <w:ind w:left="5528" w:hanging="361"/>
      </w:pPr>
      <w:rPr>
        <w:rFonts w:hint="default"/>
      </w:rPr>
    </w:lvl>
    <w:lvl w:ilvl="7">
      <w:start w:val="1"/>
      <w:numFmt w:val="bullet"/>
      <w:lvlText w:val="•"/>
      <w:lvlJc w:val="left"/>
      <w:pPr>
        <w:ind w:left="6466" w:hanging="361"/>
      </w:pPr>
      <w:rPr>
        <w:rFonts w:hint="default"/>
      </w:rPr>
    </w:lvl>
    <w:lvl w:ilvl="8">
      <w:start w:val="1"/>
      <w:numFmt w:val="bullet"/>
      <w:lvlText w:val="•"/>
      <w:lvlJc w:val="left"/>
      <w:pPr>
        <w:ind w:left="7404" w:hanging="361"/>
      </w:pPr>
      <w:rPr>
        <w:rFonts w:hint="default"/>
      </w:rPr>
    </w:lvl>
  </w:abstractNum>
  <w:abstractNum w:abstractNumId="23">
    <w:multiLevelType w:val="hybridMultilevel"/>
    <w:lvl w:ilvl="0">
      <w:start w:val="1"/>
      <w:numFmt w:val="bullet"/>
      <w:lvlText w:val=""/>
      <w:lvlJc w:val="left"/>
      <w:pPr>
        <w:ind w:left="544" w:hanging="428"/>
      </w:pPr>
      <w:rPr>
        <w:rFonts w:hint="default" w:ascii="Wingdings" w:hAnsi="Wingdings" w:eastAsia="Wingdings" w:cs="Wingdings"/>
        <w:w w:val="99"/>
        <w:sz w:val="26"/>
        <w:szCs w:val="26"/>
      </w:rPr>
    </w:lvl>
    <w:lvl w:ilvl="1">
      <w:start w:val="1"/>
      <w:numFmt w:val="bullet"/>
      <w:lvlText w:val="•"/>
      <w:lvlJc w:val="left"/>
      <w:pPr>
        <w:ind w:left="1414" w:hanging="428"/>
      </w:pPr>
      <w:rPr>
        <w:rFonts w:hint="default"/>
      </w:rPr>
    </w:lvl>
    <w:lvl w:ilvl="2">
      <w:start w:val="1"/>
      <w:numFmt w:val="bullet"/>
      <w:lvlText w:val="•"/>
      <w:lvlJc w:val="left"/>
      <w:pPr>
        <w:ind w:left="2288" w:hanging="428"/>
      </w:pPr>
      <w:rPr>
        <w:rFonts w:hint="default"/>
      </w:rPr>
    </w:lvl>
    <w:lvl w:ilvl="3">
      <w:start w:val="1"/>
      <w:numFmt w:val="bullet"/>
      <w:lvlText w:val="•"/>
      <w:lvlJc w:val="left"/>
      <w:pPr>
        <w:ind w:left="3162" w:hanging="428"/>
      </w:pPr>
      <w:rPr>
        <w:rFonts w:hint="default"/>
      </w:rPr>
    </w:lvl>
    <w:lvl w:ilvl="4">
      <w:start w:val="1"/>
      <w:numFmt w:val="bullet"/>
      <w:lvlText w:val="•"/>
      <w:lvlJc w:val="left"/>
      <w:pPr>
        <w:ind w:left="4036" w:hanging="428"/>
      </w:pPr>
      <w:rPr>
        <w:rFonts w:hint="default"/>
      </w:rPr>
    </w:lvl>
    <w:lvl w:ilvl="5">
      <w:start w:val="1"/>
      <w:numFmt w:val="bullet"/>
      <w:lvlText w:val="•"/>
      <w:lvlJc w:val="left"/>
      <w:pPr>
        <w:ind w:left="4910" w:hanging="428"/>
      </w:pPr>
      <w:rPr>
        <w:rFonts w:hint="default"/>
      </w:rPr>
    </w:lvl>
    <w:lvl w:ilvl="6">
      <w:start w:val="1"/>
      <w:numFmt w:val="bullet"/>
      <w:lvlText w:val="•"/>
      <w:lvlJc w:val="left"/>
      <w:pPr>
        <w:ind w:left="5784" w:hanging="428"/>
      </w:pPr>
      <w:rPr>
        <w:rFonts w:hint="default"/>
      </w:rPr>
    </w:lvl>
    <w:lvl w:ilvl="7">
      <w:start w:val="1"/>
      <w:numFmt w:val="bullet"/>
      <w:lvlText w:val="•"/>
      <w:lvlJc w:val="left"/>
      <w:pPr>
        <w:ind w:left="6658" w:hanging="428"/>
      </w:pPr>
      <w:rPr>
        <w:rFonts w:hint="default"/>
      </w:rPr>
    </w:lvl>
    <w:lvl w:ilvl="8">
      <w:start w:val="1"/>
      <w:numFmt w:val="bullet"/>
      <w:lvlText w:val="•"/>
      <w:lvlJc w:val="left"/>
      <w:pPr>
        <w:ind w:left="7532" w:hanging="428"/>
      </w:pPr>
      <w:rPr>
        <w:rFonts w:hint="default"/>
      </w:rPr>
    </w:lvl>
  </w:abstractNum>
  <w:abstractNum w:abstractNumId="22">
    <w:multiLevelType w:val="hybridMultilevel"/>
    <w:lvl w:ilvl="0">
      <w:start w:val="1"/>
      <w:numFmt w:val="bullet"/>
      <w:lvlText w:val=""/>
      <w:lvlJc w:val="left"/>
      <w:pPr>
        <w:ind w:left="904" w:hanging="361"/>
      </w:pPr>
      <w:rPr>
        <w:rFonts w:hint="default" w:ascii="Wingdings" w:hAnsi="Wingdings" w:eastAsia="Wingdings" w:cs="Wingdings"/>
        <w:w w:val="99"/>
        <w:sz w:val="26"/>
        <w:szCs w:val="26"/>
      </w:rPr>
    </w:lvl>
    <w:lvl w:ilvl="1">
      <w:start w:val="1"/>
      <w:numFmt w:val="bullet"/>
      <w:lvlText w:val="•"/>
      <w:lvlJc w:val="left"/>
      <w:pPr>
        <w:ind w:left="1774" w:hanging="361"/>
      </w:pPr>
      <w:rPr>
        <w:rFonts w:hint="default"/>
      </w:rPr>
    </w:lvl>
    <w:lvl w:ilvl="2">
      <w:start w:val="1"/>
      <w:numFmt w:val="bullet"/>
      <w:lvlText w:val="•"/>
      <w:lvlJc w:val="left"/>
      <w:pPr>
        <w:ind w:left="2648" w:hanging="361"/>
      </w:pPr>
      <w:rPr>
        <w:rFonts w:hint="default"/>
      </w:rPr>
    </w:lvl>
    <w:lvl w:ilvl="3">
      <w:start w:val="1"/>
      <w:numFmt w:val="bullet"/>
      <w:lvlText w:val="•"/>
      <w:lvlJc w:val="left"/>
      <w:pPr>
        <w:ind w:left="3522" w:hanging="361"/>
      </w:pPr>
      <w:rPr>
        <w:rFonts w:hint="default"/>
      </w:rPr>
    </w:lvl>
    <w:lvl w:ilvl="4">
      <w:start w:val="1"/>
      <w:numFmt w:val="bullet"/>
      <w:lvlText w:val="•"/>
      <w:lvlJc w:val="left"/>
      <w:pPr>
        <w:ind w:left="4396" w:hanging="361"/>
      </w:pPr>
      <w:rPr>
        <w:rFonts w:hint="default"/>
      </w:rPr>
    </w:lvl>
    <w:lvl w:ilvl="5">
      <w:start w:val="1"/>
      <w:numFmt w:val="bullet"/>
      <w:lvlText w:val="•"/>
      <w:lvlJc w:val="left"/>
      <w:pPr>
        <w:ind w:left="5270" w:hanging="361"/>
      </w:pPr>
      <w:rPr>
        <w:rFonts w:hint="default"/>
      </w:rPr>
    </w:lvl>
    <w:lvl w:ilvl="6">
      <w:start w:val="1"/>
      <w:numFmt w:val="bullet"/>
      <w:lvlText w:val="•"/>
      <w:lvlJc w:val="left"/>
      <w:pPr>
        <w:ind w:left="6144" w:hanging="361"/>
      </w:pPr>
      <w:rPr>
        <w:rFonts w:hint="default"/>
      </w:rPr>
    </w:lvl>
    <w:lvl w:ilvl="7">
      <w:start w:val="1"/>
      <w:numFmt w:val="bullet"/>
      <w:lvlText w:val="•"/>
      <w:lvlJc w:val="left"/>
      <w:pPr>
        <w:ind w:left="7018" w:hanging="361"/>
      </w:pPr>
      <w:rPr>
        <w:rFonts w:hint="default"/>
      </w:rPr>
    </w:lvl>
    <w:lvl w:ilvl="8">
      <w:start w:val="1"/>
      <w:numFmt w:val="bullet"/>
      <w:lvlText w:val="•"/>
      <w:lvlJc w:val="left"/>
      <w:pPr>
        <w:ind w:left="7892" w:hanging="361"/>
      </w:pPr>
      <w:rPr>
        <w:rFonts w:hint="default"/>
      </w:rPr>
    </w:lvl>
  </w:abstractNum>
  <w:abstractNum w:abstractNumId="21">
    <w:multiLevelType w:val="hybridMultilevel"/>
    <w:lvl w:ilvl="0">
      <w:start w:val="1"/>
      <w:numFmt w:val="bullet"/>
      <w:lvlText w:val=""/>
      <w:lvlJc w:val="left"/>
      <w:pPr>
        <w:ind w:left="837" w:hanging="361"/>
      </w:pPr>
      <w:rPr>
        <w:rFonts w:hint="default" w:ascii="Wingdings" w:hAnsi="Wingdings" w:eastAsia="Wingdings" w:cs="Wingdings"/>
        <w:w w:val="99"/>
        <w:sz w:val="26"/>
        <w:szCs w:val="26"/>
      </w:rPr>
    </w:lvl>
    <w:lvl w:ilvl="1">
      <w:start w:val="1"/>
      <w:numFmt w:val="bullet"/>
      <w:lvlText w:val="•"/>
      <w:lvlJc w:val="left"/>
      <w:pPr>
        <w:ind w:left="1720" w:hanging="361"/>
      </w:pPr>
      <w:rPr>
        <w:rFonts w:hint="default"/>
      </w:rPr>
    </w:lvl>
    <w:lvl w:ilvl="2">
      <w:start w:val="1"/>
      <w:numFmt w:val="bullet"/>
      <w:lvlText w:val="•"/>
      <w:lvlJc w:val="left"/>
      <w:pPr>
        <w:ind w:left="2600" w:hanging="361"/>
      </w:pPr>
      <w:rPr>
        <w:rFonts w:hint="default"/>
      </w:rPr>
    </w:lvl>
    <w:lvl w:ilvl="3">
      <w:start w:val="1"/>
      <w:numFmt w:val="bullet"/>
      <w:lvlText w:val="•"/>
      <w:lvlJc w:val="left"/>
      <w:pPr>
        <w:ind w:left="3480" w:hanging="361"/>
      </w:pPr>
      <w:rPr>
        <w:rFonts w:hint="default"/>
      </w:rPr>
    </w:lvl>
    <w:lvl w:ilvl="4">
      <w:start w:val="1"/>
      <w:numFmt w:val="bullet"/>
      <w:lvlText w:val="•"/>
      <w:lvlJc w:val="left"/>
      <w:pPr>
        <w:ind w:left="4360" w:hanging="361"/>
      </w:pPr>
      <w:rPr>
        <w:rFonts w:hint="default"/>
      </w:rPr>
    </w:lvl>
    <w:lvl w:ilvl="5">
      <w:start w:val="1"/>
      <w:numFmt w:val="bullet"/>
      <w:lvlText w:val="•"/>
      <w:lvlJc w:val="left"/>
      <w:pPr>
        <w:ind w:left="5240" w:hanging="361"/>
      </w:pPr>
      <w:rPr>
        <w:rFonts w:hint="default"/>
      </w:rPr>
    </w:lvl>
    <w:lvl w:ilvl="6">
      <w:start w:val="1"/>
      <w:numFmt w:val="bullet"/>
      <w:lvlText w:val="•"/>
      <w:lvlJc w:val="left"/>
      <w:pPr>
        <w:ind w:left="6120" w:hanging="361"/>
      </w:pPr>
      <w:rPr>
        <w:rFonts w:hint="default"/>
      </w:rPr>
    </w:lvl>
    <w:lvl w:ilvl="7">
      <w:start w:val="1"/>
      <w:numFmt w:val="bullet"/>
      <w:lvlText w:val="•"/>
      <w:lvlJc w:val="left"/>
      <w:pPr>
        <w:ind w:left="7000" w:hanging="361"/>
      </w:pPr>
      <w:rPr>
        <w:rFonts w:hint="default"/>
      </w:rPr>
    </w:lvl>
    <w:lvl w:ilvl="8">
      <w:start w:val="1"/>
      <w:numFmt w:val="bullet"/>
      <w:lvlText w:val="•"/>
      <w:lvlJc w:val="left"/>
      <w:pPr>
        <w:ind w:left="7880" w:hanging="361"/>
      </w:pPr>
      <w:rPr>
        <w:rFonts w:hint="default"/>
      </w:rPr>
    </w:lvl>
  </w:abstractNum>
  <w:abstractNum w:abstractNumId="20">
    <w:multiLevelType w:val="hybridMultilevel"/>
    <w:lvl w:ilvl="0">
      <w:start w:val="1"/>
      <w:numFmt w:val="bullet"/>
      <w:lvlText w:val=""/>
      <w:lvlJc w:val="left"/>
      <w:pPr>
        <w:ind w:left="837" w:hanging="361"/>
      </w:pPr>
      <w:rPr>
        <w:rFonts w:hint="default" w:ascii="Symbol" w:hAnsi="Symbol" w:eastAsia="Symbol" w:cs="Symbol"/>
        <w:w w:val="99"/>
        <w:sz w:val="26"/>
        <w:szCs w:val="26"/>
      </w:rPr>
    </w:lvl>
    <w:lvl w:ilvl="1">
      <w:start w:val="1"/>
      <w:numFmt w:val="bullet"/>
      <w:lvlText w:val="•"/>
      <w:lvlJc w:val="left"/>
      <w:pPr>
        <w:ind w:left="1720" w:hanging="361"/>
      </w:pPr>
      <w:rPr>
        <w:rFonts w:hint="default"/>
      </w:rPr>
    </w:lvl>
    <w:lvl w:ilvl="2">
      <w:start w:val="1"/>
      <w:numFmt w:val="bullet"/>
      <w:lvlText w:val="•"/>
      <w:lvlJc w:val="left"/>
      <w:pPr>
        <w:ind w:left="2600" w:hanging="361"/>
      </w:pPr>
      <w:rPr>
        <w:rFonts w:hint="default"/>
      </w:rPr>
    </w:lvl>
    <w:lvl w:ilvl="3">
      <w:start w:val="1"/>
      <w:numFmt w:val="bullet"/>
      <w:lvlText w:val="•"/>
      <w:lvlJc w:val="left"/>
      <w:pPr>
        <w:ind w:left="3480" w:hanging="361"/>
      </w:pPr>
      <w:rPr>
        <w:rFonts w:hint="default"/>
      </w:rPr>
    </w:lvl>
    <w:lvl w:ilvl="4">
      <w:start w:val="1"/>
      <w:numFmt w:val="bullet"/>
      <w:lvlText w:val="•"/>
      <w:lvlJc w:val="left"/>
      <w:pPr>
        <w:ind w:left="4360" w:hanging="361"/>
      </w:pPr>
      <w:rPr>
        <w:rFonts w:hint="default"/>
      </w:rPr>
    </w:lvl>
    <w:lvl w:ilvl="5">
      <w:start w:val="1"/>
      <w:numFmt w:val="bullet"/>
      <w:lvlText w:val="•"/>
      <w:lvlJc w:val="left"/>
      <w:pPr>
        <w:ind w:left="5240" w:hanging="361"/>
      </w:pPr>
      <w:rPr>
        <w:rFonts w:hint="default"/>
      </w:rPr>
    </w:lvl>
    <w:lvl w:ilvl="6">
      <w:start w:val="1"/>
      <w:numFmt w:val="bullet"/>
      <w:lvlText w:val="•"/>
      <w:lvlJc w:val="left"/>
      <w:pPr>
        <w:ind w:left="6120" w:hanging="361"/>
      </w:pPr>
      <w:rPr>
        <w:rFonts w:hint="default"/>
      </w:rPr>
    </w:lvl>
    <w:lvl w:ilvl="7">
      <w:start w:val="1"/>
      <w:numFmt w:val="bullet"/>
      <w:lvlText w:val="•"/>
      <w:lvlJc w:val="left"/>
      <w:pPr>
        <w:ind w:left="7000" w:hanging="361"/>
      </w:pPr>
      <w:rPr>
        <w:rFonts w:hint="default"/>
      </w:rPr>
    </w:lvl>
    <w:lvl w:ilvl="8">
      <w:start w:val="1"/>
      <w:numFmt w:val="bullet"/>
      <w:lvlText w:val="•"/>
      <w:lvlJc w:val="left"/>
      <w:pPr>
        <w:ind w:left="7880" w:hanging="361"/>
      </w:pPr>
      <w:rPr>
        <w:rFonts w:hint="default"/>
      </w:rPr>
    </w:lvl>
  </w:abstractNum>
  <w:abstractNum w:abstractNumId="19">
    <w:multiLevelType w:val="hybridMultilevel"/>
    <w:lvl w:ilvl="0">
      <w:start w:val="1"/>
      <w:numFmt w:val="bullet"/>
      <w:lvlText w:val=""/>
      <w:lvlJc w:val="left"/>
      <w:pPr>
        <w:ind w:left="837" w:hanging="361"/>
      </w:pPr>
      <w:rPr>
        <w:rFonts w:hint="default" w:ascii="Symbol" w:hAnsi="Symbol" w:eastAsia="Symbol" w:cs="Symbol"/>
        <w:w w:val="99"/>
        <w:sz w:val="26"/>
        <w:szCs w:val="26"/>
      </w:rPr>
    </w:lvl>
    <w:lvl w:ilvl="1">
      <w:start w:val="1"/>
      <w:numFmt w:val="bullet"/>
      <w:lvlText w:val="•"/>
      <w:lvlJc w:val="left"/>
      <w:pPr>
        <w:ind w:left="1720" w:hanging="361"/>
      </w:pPr>
      <w:rPr>
        <w:rFonts w:hint="default"/>
      </w:rPr>
    </w:lvl>
    <w:lvl w:ilvl="2">
      <w:start w:val="1"/>
      <w:numFmt w:val="bullet"/>
      <w:lvlText w:val="•"/>
      <w:lvlJc w:val="left"/>
      <w:pPr>
        <w:ind w:left="2600" w:hanging="361"/>
      </w:pPr>
      <w:rPr>
        <w:rFonts w:hint="default"/>
      </w:rPr>
    </w:lvl>
    <w:lvl w:ilvl="3">
      <w:start w:val="1"/>
      <w:numFmt w:val="bullet"/>
      <w:lvlText w:val="•"/>
      <w:lvlJc w:val="left"/>
      <w:pPr>
        <w:ind w:left="3480" w:hanging="361"/>
      </w:pPr>
      <w:rPr>
        <w:rFonts w:hint="default"/>
      </w:rPr>
    </w:lvl>
    <w:lvl w:ilvl="4">
      <w:start w:val="1"/>
      <w:numFmt w:val="bullet"/>
      <w:lvlText w:val="•"/>
      <w:lvlJc w:val="left"/>
      <w:pPr>
        <w:ind w:left="4360" w:hanging="361"/>
      </w:pPr>
      <w:rPr>
        <w:rFonts w:hint="default"/>
      </w:rPr>
    </w:lvl>
    <w:lvl w:ilvl="5">
      <w:start w:val="1"/>
      <w:numFmt w:val="bullet"/>
      <w:lvlText w:val="•"/>
      <w:lvlJc w:val="left"/>
      <w:pPr>
        <w:ind w:left="5240" w:hanging="361"/>
      </w:pPr>
      <w:rPr>
        <w:rFonts w:hint="default"/>
      </w:rPr>
    </w:lvl>
    <w:lvl w:ilvl="6">
      <w:start w:val="1"/>
      <w:numFmt w:val="bullet"/>
      <w:lvlText w:val="•"/>
      <w:lvlJc w:val="left"/>
      <w:pPr>
        <w:ind w:left="6120" w:hanging="361"/>
      </w:pPr>
      <w:rPr>
        <w:rFonts w:hint="default"/>
      </w:rPr>
    </w:lvl>
    <w:lvl w:ilvl="7">
      <w:start w:val="1"/>
      <w:numFmt w:val="bullet"/>
      <w:lvlText w:val="•"/>
      <w:lvlJc w:val="left"/>
      <w:pPr>
        <w:ind w:left="7000" w:hanging="361"/>
      </w:pPr>
      <w:rPr>
        <w:rFonts w:hint="default"/>
      </w:rPr>
    </w:lvl>
    <w:lvl w:ilvl="8">
      <w:start w:val="1"/>
      <w:numFmt w:val="bullet"/>
      <w:lvlText w:val="•"/>
      <w:lvlJc w:val="left"/>
      <w:pPr>
        <w:ind w:left="7880" w:hanging="361"/>
      </w:pPr>
      <w:rPr>
        <w:rFonts w:hint="default"/>
      </w:rPr>
    </w:lvl>
  </w:abstractNum>
  <w:abstractNum w:abstractNumId="18">
    <w:multiLevelType w:val="hybridMultilevel"/>
    <w:lvl w:ilvl="0">
      <w:start w:val="1"/>
      <w:numFmt w:val="lowerLetter"/>
      <w:lvlText w:val="%1)"/>
      <w:lvlJc w:val="left"/>
      <w:pPr>
        <w:ind w:left="385" w:hanging="269"/>
        <w:jc w:val="left"/>
      </w:pPr>
      <w:rPr>
        <w:rFonts w:hint="default" w:ascii="Times New Roman" w:hAnsi="Times New Roman" w:eastAsia="Times New Roman" w:cs="Times New Roman"/>
        <w:w w:val="99"/>
        <w:sz w:val="26"/>
        <w:szCs w:val="26"/>
      </w:rPr>
    </w:lvl>
    <w:lvl w:ilvl="1">
      <w:start w:val="1"/>
      <w:numFmt w:val="bullet"/>
      <w:lvlText w:val="•"/>
      <w:lvlJc w:val="left"/>
      <w:pPr>
        <w:ind w:left="1306" w:hanging="269"/>
      </w:pPr>
      <w:rPr>
        <w:rFonts w:hint="default"/>
      </w:rPr>
    </w:lvl>
    <w:lvl w:ilvl="2">
      <w:start w:val="1"/>
      <w:numFmt w:val="bullet"/>
      <w:lvlText w:val="•"/>
      <w:lvlJc w:val="left"/>
      <w:pPr>
        <w:ind w:left="2232" w:hanging="269"/>
      </w:pPr>
      <w:rPr>
        <w:rFonts w:hint="default"/>
      </w:rPr>
    </w:lvl>
    <w:lvl w:ilvl="3">
      <w:start w:val="1"/>
      <w:numFmt w:val="bullet"/>
      <w:lvlText w:val="•"/>
      <w:lvlJc w:val="left"/>
      <w:pPr>
        <w:ind w:left="3158" w:hanging="269"/>
      </w:pPr>
      <w:rPr>
        <w:rFonts w:hint="default"/>
      </w:rPr>
    </w:lvl>
    <w:lvl w:ilvl="4">
      <w:start w:val="1"/>
      <w:numFmt w:val="bullet"/>
      <w:lvlText w:val="•"/>
      <w:lvlJc w:val="left"/>
      <w:pPr>
        <w:ind w:left="4084" w:hanging="269"/>
      </w:pPr>
      <w:rPr>
        <w:rFonts w:hint="default"/>
      </w:rPr>
    </w:lvl>
    <w:lvl w:ilvl="5">
      <w:start w:val="1"/>
      <w:numFmt w:val="bullet"/>
      <w:lvlText w:val="•"/>
      <w:lvlJc w:val="left"/>
      <w:pPr>
        <w:ind w:left="5010" w:hanging="269"/>
      </w:pPr>
      <w:rPr>
        <w:rFonts w:hint="default"/>
      </w:rPr>
    </w:lvl>
    <w:lvl w:ilvl="6">
      <w:start w:val="1"/>
      <w:numFmt w:val="bullet"/>
      <w:lvlText w:val="•"/>
      <w:lvlJc w:val="left"/>
      <w:pPr>
        <w:ind w:left="5936" w:hanging="269"/>
      </w:pPr>
      <w:rPr>
        <w:rFonts w:hint="default"/>
      </w:rPr>
    </w:lvl>
    <w:lvl w:ilvl="7">
      <w:start w:val="1"/>
      <w:numFmt w:val="bullet"/>
      <w:lvlText w:val="•"/>
      <w:lvlJc w:val="left"/>
      <w:pPr>
        <w:ind w:left="6862" w:hanging="269"/>
      </w:pPr>
      <w:rPr>
        <w:rFonts w:hint="default"/>
      </w:rPr>
    </w:lvl>
    <w:lvl w:ilvl="8">
      <w:start w:val="1"/>
      <w:numFmt w:val="bullet"/>
      <w:lvlText w:val="•"/>
      <w:lvlJc w:val="left"/>
      <w:pPr>
        <w:ind w:left="7788" w:hanging="269"/>
      </w:pPr>
      <w:rPr>
        <w:rFonts w:hint="default"/>
      </w:rPr>
    </w:lvl>
  </w:abstractNum>
  <w:abstractNum w:abstractNumId="17">
    <w:multiLevelType w:val="hybridMultilevel"/>
    <w:lvl w:ilvl="0">
      <w:start w:val="1"/>
      <w:numFmt w:val="bullet"/>
      <w:lvlText w:val=""/>
      <w:lvlJc w:val="left"/>
      <w:pPr>
        <w:ind w:left="637" w:hanging="361"/>
      </w:pPr>
      <w:rPr>
        <w:rFonts w:hint="default" w:ascii="Symbol" w:hAnsi="Symbol" w:eastAsia="Symbol" w:cs="Symbol"/>
        <w:w w:val="99"/>
        <w:sz w:val="26"/>
        <w:szCs w:val="26"/>
      </w:rPr>
    </w:lvl>
    <w:lvl w:ilvl="1">
      <w:start w:val="1"/>
      <w:numFmt w:val="bullet"/>
      <w:lvlText w:val=""/>
      <w:lvlJc w:val="left"/>
      <w:pPr>
        <w:ind w:left="837" w:hanging="361"/>
      </w:pPr>
      <w:rPr>
        <w:rFonts w:hint="default" w:ascii="Symbol" w:hAnsi="Symbol" w:eastAsia="Symbol" w:cs="Symbol"/>
        <w:w w:val="99"/>
        <w:sz w:val="26"/>
        <w:szCs w:val="26"/>
      </w:rPr>
    </w:lvl>
    <w:lvl w:ilvl="2">
      <w:start w:val="1"/>
      <w:numFmt w:val="bullet"/>
      <w:lvlText w:val="•"/>
      <w:lvlJc w:val="left"/>
      <w:pPr>
        <w:ind w:left="1795" w:hanging="361"/>
      </w:pPr>
      <w:rPr>
        <w:rFonts w:hint="default"/>
      </w:rPr>
    </w:lvl>
    <w:lvl w:ilvl="3">
      <w:start w:val="1"/>
      <w:numFmt w:val="bullet"/>
      <w:lvlText w:val="•"/>
      <w:lvlJc w:val="left"/>
      <w:pPr>
        <w:ind w:left="2751" w:hanging="361"/>
      </w:pPr>
      <w:rPr>
        <w:rFonts w:hint="default"/>
      </w:rPr>
    </w:lvl>
    <w:lvl w:ilvl="4">
      <w:start w:val="1"/>
      <w:numFmt w:val="bullet"/>
      <w:lvlText w:val="•"/>
      <w:lvlJc w:val="left"/>
      <w:pPr>
        <w:ind w:left="3706" w:hanging="361"/>
      </w:pPr>
      <w:rPr>
        <w:rFonts w:hint="default"/>
      </w:rPr>
    </w:lvl>
    <w:lvl w:ilvl="5">
      <w:start w:val="1"/>
      <w:numFmt w:val="bullet"/>
      <w:lvlText w:val="•"/>
      <w:lvlJc w:val="left"/>
      <w:pPr>
        <w:ind w:left="4662" w:hanging="361"/>
      </w:pPr>
      <w:rPr>
        <w:rFonts w:hint="default"/>
      </w:rPr>
    </w:lvl>
    <w:lvl w:ilvl="6">
      <w:start w:val="1"/>
      <w:numFmt w:val="bullet"/>
      <w:lvlText w:val="•"/>
      <w:lvlJc w:val="left"/>
      <w:pPr>
        <w:ind w:left="5617" w:hanging="361"/>
      </w:pPr>
      <w:rPr>
        <w:rFonts w:hint="default"/>
      </w:rPr>
    </w:lvl>
    <w:lvl w:ilvl="7">
      <w:start w:val="1"/>
      <w:numFmt w:val="bullet"/>
      <w:lvlText w:val="•"/>
      <w:lvlJc w:val="left"/>
      <w:pPr>
        <w:ind w:left="6573" w:hanging="361"/>
      </w:pPr>
      <w:rPr>
        <w:rFonts w:hint="default"/>
      </w:rPr>
    </w:lvl>
    <w:lvl w:ilvl="8">
      <w:start w:val="1"/>
      <w:numFmt w:val="bullet"/>
      <w:lvlText w:val="•"/>
      <w:lvlJc w:val="left"/>
      <w:pPr>
        <w:ind w:left="7528" w:hanging="361"/>
      </w:pPr>
      <w:rPr>
        <w:rFonts w:hint="default"/>
      </w:rPr>
    </w:lvl>
  </w:abstractNum>
  <w:abstractNum w:abstractNumId="16">
    <w:multiLevelType w:val="hybridMultilevel"/>
    <w:lvl w:ilvl="0">
      <w:start w:val="1"/>
      <w:numFmt w:val="bullet"/>
      <w:lvlText w:val=""/>
      <w:lvlJc w:val="left"/>
      <w:pPr>
        <w:ind w:left="717" w:hanging="361"/>
      </w:pPr>
      <w:rPr>
        <w:rFonts w:hint="default" w:ascii="Symbol" w:hAnsi="Symbol" w:eastAsia="Symbol" w:cs="Symbol"/>
        <w:w w:val="99"/>
        <w:sz w:val="26"/>
        <w:szCs w:val="26"/>
      </w:rPr>
    </w:lvl>
    <w:lvl w:ilvl="1">
      <w:start w:val="1"/>
      <w:numFmt w:val="bullet"/>
      <w:lvlText w:val="•"/>
      <w:lvlJc w:val="left"/>
      <w:pPr>
        <w:ind w:left="1600" w:hanging="361"/>
      </w:pPr>
      <w:rPr>
        <w:rFonts w:hint="default"/>
      </w:rPr>
    </w:lvl>
    <w:lvl w:ilvl="2">
      <w:start w:val="1"/>
      <w:numFmt w:val="bullet"/>
      <w:lvlText w:val="•"/>
      <w:lvlJc w:val="left"/>
      <w:pPr>
        <w:ind w:left="2480" w:hanging="361"/>
      </w:pPr>
      <w:rPr>
        <w:rFonts w:hint="default"/>
      </w:rPr>
    </w:lvl>
    <w:lvl w:ilvl="3">
      <w:start w:val="1"/>
      <w:numFmt w:val="bullet"/>
      <w:lvlText w:val="•"/>
      <w:lvlJc w:val="left"/>
      <w:pPr>
        <w:ind w:left="3360" w:hanging="361"/>
      </w:pPr>
      <w:rPr>
        <w:rFonts w:hint="default"/>
      </w:rPr>
    </w:lvl>
    <w:lvl w:ilvl="4">
      <w:start w:val="1"/>
      <w:numFmt w:val="bullet"/>
      <w:lvlText w:val="•"/>
      <w:lvlJc w:val="left"/>
      <w:pPr>
        <w:ind w:left="4240" w:hanging="361"/>
      </w:pPr>
      <w:rPr>
        <w:rFonts w:hint="default"/>
      </w:rPr>
    </w:lvl>
    <w:lvl w:ilvl="5">
      <w:start w:val="1"/>
      <w:numFmt w:val="bullet"/>
      <w:lvlText w:val="•"/>
      <w:lvlJc w:val="left"/>
      <w:pPr>
        <w:ind w:left="5120" w:hanging="361"/>
      </w:pPr>
      <w:rPr>
        <w:rFonts w:hint="default"/>
      </w:rPr>
    </w:lvl>
    <w:lvl w:ilvl="6">
      <w:start w:val="1"/>
      <w:numFmt w:val="bullet"/>
      <w:lvlText w:val="•"/>
      <w:lvlJc w:val="left"/>
      <w:pPr>
        <w:ind w:left="6000" w:hanging="361"/>
      </w:pPr>
      <w:rPr>
        <w:rFonts w:hint="default"/>
      </w:rPr>
    </w:lvl>
    <w:lvl w:ilvl="7">
      <w:start w:val="1"/>
      <w:numFmt w:val="bullet"/>
      <w:lvlText w:val="•"/>
      <w:lvlJc w:val="left"/>
      <w:pPr>
        <w:ind w:left="6880" w:hanging="361"/>
      </w:pPr>
      <w:rPr>
        <w:rFonts w:hint="default"/>
      </w:rPr>
    </w:lvl>
    <w:lvl w:ilvl="8">
      <w:start w:val="1"/>
      <w:numFmt w:val="bullet"/>
      <w:lvlText w:val="•"/>
      <w:lvlJc w:val="left"/>
      <w:pPr>
        <w:ind w:left="7760" w:hanging="361"/>
      </w:pPr>
      <w:rPr>
        <w:rFonts w:hint="default"/>
      </w:rPr>
    </w:lvl>
  </w:abstractNum>
  <w:abstractNum w:abstractNumId="15">
    <w:multiLevelType w:val="hybridMultilevel"/>
    <w:lvl w:ilvl="0">
      <w:start w:val="1"/>
      <w:numFmt w:val="bullet"/>
      <w:lvlText w:val=""/>
      <w:lvlJc w:val="left"/>
      <w:pPr>
        <w:ind w:left="477" w:hanging="361"/>
      </w:pPr>
      <w:rPr>
        <w:rFonts w:hint="default" w:ascii="Symbol" w:hAnsi="Symbol" w:eastAsia="Symbol" w:cs="Symbol"/>
        <w:w w:val="99"/>
        <w:sz w:val="26"/>
        <w:szCs w:val="26"/>
      </w:rPr>
    </w:lvl>
    <w:lvl w:ilvl="1">
      <w:start w:val="1"/>
      <w:numFmt w:val="bullet"/>
      <w:lvlText w:val=""/>
      <w:lvlJc w:val="left"/>
      <w:pPr>
        <w:ind w:left="837" w:hanging="361"/>
      </w:pPr>
      <w:rPr>
        <w:rFonts w:hint="default"/>
        <w:w w:val="99"/>
      </w:rPr>
    </w:lvl>
    <w:lvl w:ilvl="2">
      <w:start w:val="1"/>
      <w:numFmt w:val="bullet"/>
      <w:lvlText w:val=""/>
      <w:lvlJc w:val="left"/>
      <w:pPr>
        <w:ind w:left="1197" w:hanging="360"/>
      </w:pPr>
      <w:rPr>
        <w:rFonts w:hint="default" w:ascii="Wingdings" w:hAnsi="Wingdings" w:eastAsia="Wingdings" w:cs="Wingdings"/>
        <w:w w:val="99"/>
        <w:sz w:val="26"/>
        <w:szCs w:val="26"/>
      </w:rPr>
    </w:lvl>
    <w:lvl w:ilvl="3">
      <w:start w:val="1"/>
      <w:numFmt w:val="bullet"/>
      <w:lvlText w:val="•"/>
      <w:lvlJc w:val="left"/>
      <w:pPr>
        <w:ind w:left="2210" w:hanging="360"/>
      </w:pPr>
      <w:rPr>
        <w:rFonts w:hint="default"/>
      </w:rPr>
    </w:lvl>
    <w:lvl w:ilvl="4">
      <w:start w:val="1"/>
      <w:numFmt w:val="bullet"/>
      <w:lvlText w:val="•"/>
      <w:lvlJc w:val="left"/>
      <w:pPr>
        <w:ind w:left="3220" w:hanging="360"/>
      </w:pPr>
      <w:rPr>
        <w:rFonts w:hint="default"/>
      </w:rPr>
    </w:lvl>
    <w:lvl w:ilvl="5">
      <w:start w:val="1"/>
      <w:numFmt w:val="bullet"/>
      <w:lvlText w:val="•"/>
      <w:lvlJc w:val="left"/>
      <w:pPr>
        <w:ind w:left="4230" w:hanging="360"/>
      </w:pPr>
      <w:rPr>
        <w:rFonts w:hint="default"/>
      </w:rPr>
    </w:lvl>
    <w:lvl w:ilvl="6">
      <w:start w:val="1"/>
      <w:numFmt w:val="bullet"/>
      <w:lvlText w:val="•"/>
      <w:lvlJc w:val="left"/>
      <w:pPr>
        <w:ind w:left="5240" w:hanging="360"/>
      </w:pPr>
      <w:rPr>
        <w:rFonts w:hint="default"/>
      </w:rPr>
    </w:lvl>
    <w:lvl w:ilvl="7">
      <w:start w:val="1"/>
      <w:numFmt w:val="bullet"/>
      <w:lvlText w:val="•"/>
      <w:lvlJc w:val="left"/>
      <w:pPr>
        <w:ind w:left="6250" w:hanging="360"/>
      </w:pPr>
      <w:rPr>
        <w:rFonts w:hint="default"/>
      </w:rPr>
    </w:lvl>
    <w:lvl w:ilvl="8">
      <w:start w:val="1"/>
      <w:numFmt w:val="bullet"/>
      <w:lvlText w:val="•"/>
      <w:lvlJc w:val="left"/>
      <w:pPr>
        <w:ind w:left="7260" w:hanging="360"/>
      </w:pPr>
      <w:rPr>
        <w:rFonts w:hint="default"/>
      </w:rPr>
    </w:lvl>
  </w:abstractNum>
  <w:abstractNum w:abstractNumId="14">
    <w:multiLevelType w:val="hybridMultilevel"/>
    <w:lvl w:ilvl="0">
      <w:start w:val="1"/>
      <w:numFmt w:val="lowerRoman"/>
      <w:lvlText w:val="%1."/>
      <w:lvlJc w:val="left"/>
      <w:pPr>
        <w:ind w:left="757" w:hanging="500"/>
        <w:jc w:val="right"/>
      </w:pPr>
      <w:rPr>
        <w:rFonts w:hint="default" w:ascii="Times New Roman" w:hAnsi="Times New Roman" w:eastAsia="Times New Roman" w:cs="Times New Roman"/>
        <w:spacing w:val="-1"/>
        <w:w w:val="99"/>
        <w:sz w:val="26"/>
        <w:szCs w:val="26"/>
      </w:rPr>
    </w:lvl>
    <w:lvl w:ilvl="1">
      <w:start w:val="1"/>
      <w:numFmt w:val="bullet"/>
      <w:lvlText w:val=""/>
      <w:lvlJc w:val="left"/>
      <w:pPr>
        <w:ind w:left="757" w:hanging="361"/>
      </w:pPr>
      <w:rPr>
        <w:rFonts w:hint="default" w:ascii="Symbol" w:hAnsi="Symbol" w:eastAsia="Symbol" w:cs="Symbol"/>
        <w:w w:val="99"/>
        <w:sz w:val="26"/>
        <w:szCs w:val="26"/>
      </w:rPr>
    </w:lvl>
    <w:lvl w:ilvl="2">
      <w:start w:val="1"/>
      <w:numFmt w:val="bullet"/>
      <w:lvlText w:val=""/>
      <w:lvlJc w:val="left"/>
      <w:pPr>
        <w:ind w:left="837" w:hanging="361"/>
      </w:pPr>
      <w:rPr>
        <w:rFonts w:hint="default" w:ascii="Symbol" w:hAnsi="Symbol" w:eastAsia="Symbol" w:cs="Symbol"/>
        <w:w w:val="99"/>
        <w:sz w:val="26"/>
        <w:szCs w:val="26"/>
      </w:rPr>
    </w:lvl>
    <w:lvl w:ilvl="3">
      <w:start w:val="1"/>
      <w:numFmt w:val="bullet"/>
      <w:lvlText w:val="•"/>
      <w:lvlJc w:val="left"/>
      <w:pPr>
        <w:ind w:left="2777" w:hanging="361"/>
      </w:pPr>
      <w:rPr>
        <w:rFonts w:hint="default"/>
      </w:rPr>
    </w:lvl>
    <w:lvl w:ilvl="4">
      <w:start w:val="1"/>
      <w:numFmt w:val="bullet"/>
      <w:lvlText w:val="•"/>
      <w:lvlJc w:val="left"/>
      <w:pPr>
        <w:ind w:left="3746" w:hanging="361"/>
      </w:pPr>
      <w:rPr>
        <w:rFonts w:hint="default"/>
      </w:rPr>
    </w:lvl>
    <w:lvl w:ilvl="5">
      <w:start w:val="1"/>
      <w:numFmt w:val="bullet"/>
      <w:lvlText w:val="•"/>
      <w:lvlJc w:val="left"/>
      <w:pPr>
        <w:ind w:left="4715" w:hanging="361"/>
      </w:pPr>
      <w:rPr>
        <w:rFonts w:hint="default"/>
      </w:rPr>
    </w:lvl>
    <w:lvl w:ilvl="6">
      <w:start w:val="1"/>
      <w:numFmt w:val="bullet"/>
      <w:lvlText w:val="•"/>
      <w:lvlJc w:val="left"/>
      <w:pPr>
        <w:ind w:left="5684" w:hanging="361"/>
      </w:pPr>
      <w:rPr>
        <w:rFonts w:hint="default"/>
      </w:rPr>
    </w:lvl>
    <w:lvl w:ilvl="7">
      <w:start w:val="1"/>
      <w:numFmt w:val="bullet"/>
      <w:lvlText w:val="•"/>
      <w:lvlJc w:val="left"/>
      <w:pPr>
        <w:ind w:left="6653" w:hanging="361"/>
      </w:pPr>
      <w:rPr>
        <w:rFonts w:hint="default"/>
      </w:rPr>
    </w:lvl>
    <w:lvl w:ilvl="8">
      <w:start w:val="1"/>
      <w:numFmt w:val="bullet"/>
      <w:lvlText w:val="•"/>
      <w:lvlJc w:val="left"/>
      <w:pPr>
        <w:ind w:left="7622" w:hanging="361"/>
      </w:pPr>
      <w:rPr>
        <w:rFonts w:hint="default"/>
      </w:rPr>
    </w:lvl>
  </w:abstractNum>
  <w:abstractNum w:abstractNumId="13">
    <w:multiLevelType w:val="hybridMultilevel"/>
    <w:lvl w:ilvl="0">
      <w:start w:val="1"/>
      <w:numFmt w:val="bullet"/>
      <w:lvlText w:val=""/>
      <w:lvlJc w:val="left"/>
      <w:pPr>
        <w:ind w:left="757" w:hanging="361"/>
      </w:pPr>
      <w:rPr>
        <w:rFonts w:hint="default" w:ascii="Symbol" w:hAnsi="Symbol" w:eastAsia="Symbol" w:cs="Symbol"/>
        <w:w w:val="99"/>
        <w:sz w:val="26"/>
        <w:szCs w:val="26"/>
      </w:rPr>
    </w:lvl>
    <w:lvl w:ilvl="1">
      <w:start w:val="1"/>
      <w:numFmt w:val="bullet"/>
      <w:lvlText w:val="•"/>
      <w:lvlJc w:val="left"/>
      <w:pPr>
        <w:ind w:left="1640" w:hanging="361"/>
      </w:pPr>
      <w:rPr>
        <w:rFonts w:hint="default"/>
      </w:rPr>
    </w:lvl>
    <w:lvl w:ilvl="2">
      <w:start w:val="1"/>
      <w:numFmt w:val="bullet"/>
      <w:lvlText w:val="•"/>
      <w:lvlJc w:val="left"/>
      <w:pPr>
        <w:ind w:left="2520" w:hanging="361"/>
      </w:pPr>
      <w:rPr>
        <w:rFonts w:hint="default"/>
      </w:rPr>
    </w:lvl>
    <w:lvl w:ilvl="3">
      <w:start w:val="1"/>
      <w:numFmt w:val="bullet"/>
      <w:lvlText w:val="•"/>
      <w:lvlJc w:val="left"/>
      <w:pPr>
        <w:ind w:left="3400" w:hanging="361"/>
      </w:pPr>
      <w:rPr>
        <w:rFonts w:hint="default"/>
      </w:rPr>
    </w:lvl>
    <w:lvl w:ilvl="4">
      <w:start w:val="1"/>
      <w:numFmt w:val="bullet"/>
      <w:lvlText w:val="•"/>
      <w:lvlJc w:val="left"/>
      <w:pPr>
        <w:ind w:left="4280" w:hanging="361"/>
      </w:pPr>
      <w:rPr>
        <w:rFonts w:hint="default"/>
      </w:rPr>
    </w:lvl>
    <w:lvl w:ilvl="5">
      <w:start w:val="1"/>
      <w:numFmt w:val="bullet"/>
      <w:lvlText w:val="•"/>
      <w:lvlJc w:val="left"/>
      <w:pPr>
        <w:ind w:left="5160" w:hanging="361"/>
      </w:pPr>
      <w:rPr>
        <w:rFonts w:hint="default"/>
      </w:rPr>
    </w:lvl>
    <w:lvl w:ilvl="6">
      <w:start w:val="1"/>
      <w:numFmt w:val="bullet"/>
      <w:lvlText w:val="•"/>
      <w:lvlJc w:val="left"/>
      <w:pPr>
        <w:ind w:left="6040" w:hanging="361"/>
      </w:pPr>
      <w:rPr>
        <w:rFonts w:hint="default"/>
      </w:rPr>
    </w:lvl>
    <w:lvl w:ilvl="7">
      <w:start w:val="1"/>
      <w:numFmt w:val="bullet"/>
      <w:lvlText w:val="•"/>
      <w:lvlJc w:val="left"/>
      <w:pPr>
        <w:ind w:left="6920" w:hanging="361"/>
      </w:pPr>
      <w:rPr>
        <w:rFonts w:hint="default"/>
      </w:rPr>
    </w:lvl>
    <w:lvl w:ilvl="8">
      <w:start w:val="1"/>
      <w:numFmt w:val="bullet"/>
      <w:lvlText w:val="•"/>
      <w:lvlJc w:val="left"/>
      <w:pPr>
        <w:ind w:left="7800" w:hanging="361"/>
      </w:pPr>
      <w:rPr>
        <w:rFonts w:hint="default"/>
      </w:rPr>
    </w:lvl>
  </w:abstractNum>
  <w:abstractNum w:abstractNumId="12">
    <w:multiLevelType w:val="hybridMultilevel"/>
    <w:lvl w:ilvl="0">
      <w:start w:val="1"/>
      <w:numFmt w:val="bullet"/>
      <w:lvlText w:val=""/>
      <w:lvlJc w:val="left"/>
      <w:pPr>
        <w:ind w:left="837" w:hanging="361"/>
      </w:pPr>
      <w:rPr>
        <w:rFonts w:hint="default" w:ascii="Symbol" w:hAnsi="Symbol" w:eastAsia="Symbol" w:cs="Symbol"/>
        <w:w w:val="99"/>
        <w:sz w:val="26"/>
        <w:szCs w:val="26"/>
      </w:rPr>
    </w:lvl>
    <w:lvl w:ilvl="1">
      <w:start w:val="1"/>
      <w:numFmt w:val="bullet"/>
      <w:lvlText w:val="•"/>
      <w:lvlJc w:val="left"/>
      <w:pPr>
        <w:ind w:left="1720" w:hanging="361"/>
      </w:pPr>
      <w:rPr>
        <w:rFonts w:hint="default"/>
      </w:rPr>
    </w:lvl>
    <w:lvl w:ilvl="2">
      <w:start w:val="1"/>
      <w:numFmt w:val="bullet"/>
      <w:lvlText w:val="•"/>
      <w:lvlJc w:val="left"/>
      <w:pPr>
        <w:ind w:left="2600" w:hanging="361"/>
      </w:pPr>
      <w:rPr>
        <w:rFonts w:hint="default"/>
      </w:rPr>
    </w:lvl>
    <w:lvl w:ilvl="3">
      <w:start w:val="1"/>
      <w:numFmt w:val="bullet"/>
      <w:lvlText w:val="•"/>
      <w:lvlJc w:val="left"/>
      <w:pPr>
        <w:ind w:left="3480" w:hanging="361"/>
      </w:pPr>
      <w:rPr>
        <w:rFonts w:hint="default"/>
      </w:rPr>
    </w:lvl>
    <w:lvl w:ilvl="4">
      <w:start w:val="1"/>
      <w:numFmt w:val="bullet"/>
      <w:lvlText w:val="•"/>
      <w:lvlJc w:val="left"/>
      <w:pPr>
        <w:ind w:left="4360" w:hanging="361"/>
      </w:pPr>
      <w:rPr>
        <w:rFonts w:hint="default"/>
      </w:rPr>
    </w:lvl>
    <w:lvl w:ilvl="5">
      <w:start w:val="1"/>
      <w:numFmt w:val="bullet"/>
      <w:lvlText w:val="•"/>
      <w:lvlJc w:val="left"/>
      <w:pPr>
        <w:ind w:left="5240" w:hanging="361"/>
      </w:pPr>
      <w:rPr>
        <w:rFonts w:hint="default"/>
      </w:rPr>
    </w:lvl>
    <w:lvl w:ilvl="6">
      <w:start w:val="1"/>
      <w:numFmt w:val="bullet"/>
      <w:lvlText w:val="•"/>
      <w:lvlJc w:val="left"/>
      <w:pPr>
        <w:ind w:left="6120" w:hanging="361"/>
      </w:pPr>
      <w:rPr>
        <w:rFonts w:hint="default"/>
      </w:rPr>
    </w:lvl>
    <w:lvl w:ilvl="7">
      <w:start w:val="1"/>
      <w:numFmt w:val="bullet"/>
      <w:lvlText w:val="•"/>
      <w:lvlJc w:val="left"/>
      <w:pPr>
        <w:ind w:left="7000" w:hanging="361"/>
      </w:pPr>
      <w:rPr>
        <w:rFonts w:hint="default"/>
      </w:rPr>
    </w:lvl>
    <w:lvl w:ilvl="8">
      <w:start w:val="1"/>
      <w:numFmt w:val="bullet"/>
      <w:lvlText w:val="•"/>
      <w:lvlJc w:val="left"/>
      <w:pPr>
        <w:ind w:left="7880" w:hanging="361"/>
      </w:pPr>
      <w:rPr>
        <w:rFonts w:hint="default"/>
      </w:rPr>
    </w:lvl>
  </w:abstractNum>
  <w:abstractNum w:abstractNumId="11">
    <w:multiLevelType w:val="hybridMultilevel"/>
    <w:lvl w:ilvl="0">
      <w:start w:val="1"/>
      <w:numFmt w:val="bullet"/>
      <w:lvlText w:val=""/>
      <w:lvlJc w:val="left"/>
      <w:pPr>
        <w:ind w:left="711" w:hanging="183"/>
      </w:pPr>
      <w:rPr>
        <w:rFonts w:hint="default" w:ascii="Symbol" w:hAnsi="Symbol" w:eastAsia="Symbol" w:cs="Symbol"/>
        <w:w w:val="99"/>
        <w:sz w:val="16"/>
        <w:szCs w:val="16"/>
      </w:rPr>
    </w:lvl>
    <w:lvl w:ilvl="1">
      <w:start w:val="1"/>
      <w:numFmt w:val="bullet"/>
      <w:lvlText w:val="•"/>
      <w:lvlJc w:val="left"/>
      <w:pPr>
        <w:ind w:left="816" w:hanging="183"/>
      </w:pPr>
      <w:rPr>
        <w:rFonts w:hint="default"/>
      </w:rPr>
    </w:lvl>
    <w:lvl w:ilvl="2">
      <w:start w:val="1"/>
      <w:numFmt w:val="bullet"/>
      <w:lvlText w:val="•"/>
      <w:lvlJc w:val="left"/>
      <w:pPr>
        <w:ind w:left="912" w:hanging="183"/>
      </w:pPr>
      <w:rPr>
        <w:rFonts w:hint="default"/>
      </w:rPr>
    </w:lvl>
    <w:lvl w:ilvl="3">
      <w:start w:val="1"/>
      <w:numFmt w:val="bullet"/>
      <w:lvlText w:val="•"/>
      <w:lvlJc w:val="left"/>
      <w:pPr>
        <w:ind w:left="1008" w:hanging="183"/>
      </w:pPr>
      <w:rPr>
        <w:rFonts w:hint="default"/>
      </w:rPr>
    </w:lvl>
    <w:lvl w:ilvl="4">
      <w:start w:val="1"/>
      <w:numFmt w:val="bullet"/>
      <w:lvlText w:val="•"/>
      <w:lvlJc w:val="left"/>
      <w:pPr>
        <w:ind w:left="1104" w:hanging="183"/>
      </w:pPr>
      <w:rPr>
        <w:rFonts w:hint="default"/>
      </w:rPr>
    </w:lvl>
    <w:lvl w:ilvl="5">
      <w:start w:val="1"/>
      <w:numFmt w:val="bullet"/>
      <w:lvlText w:val="•"/>
      <w:lvlJc w:val="left"/>
      <w:pPr>
        <w:ind w:left="1201" w:hanging="183"/>
      </w:pPr>
      <w:rPr>
        <w:rFonts w:hint="default"/>
      </w:rPr>
    </w:lvl>
    <w:lvl w:ilvl="6">
      <w:start w:val="1"/>
      <w:numFmt w:val="bullet"/>
      <w:lvlText w:val="•"/>
      <w:lvlJc w:val="left"/>
      <w:pPr>
        <w:ind w:left="1297" w:hanging="183"/>
      </w:pPr>
      <w:rPr>
        <w:rFonts w:hint="default"/>
      </w:rPr>
    </w:lvl>
    <w:lvl w:ilvl="7">
      <w:start w:val="1"/>
      <w:numFmt w:val="bullet"/>
      <w:lvlText w:val="•"/>
      <w:lvlJc w:val="left"/>
      <w:pPr>
        <w:ind w:left="1393" w:hanging="183"/>
      </w:pPr>
      <w:rPr>
        <w:rFonts w:hint="default"/>
      </w:rPr>
    </w:lvl>
    <w:lvl w:ilvl="8">
      <w:start w:val="1"/>
      <w:numFmt w:val="bullet"/>
      <w:lvlText w:val="•"/>
      <w:lvlJc w:val="left"/>
      <w:pPr>
        <w:ind w:left="1489" w:hanging="183"/>
      </w:pPr>
      <w:rPr>
        <w:rFonts w:hint="default"/>
      </w:rPr>
    </w:lvl>
  </w:abstractNum>
  <w:abstractNum w:abstractNumId="10">
    <w:multiLevelType w:val="hybridMultilevel"/>
    <w:lvl w:ilvl="0">
      <w:start w:val="1"/>
      <w:numFmt w:val="bullet"/>
      <w:lvlText w:val=""/>
      <w:lvlJc w:val="left"/>
      <w:pPr>
        <w:ind w:left="1214" w:hanging="178"/>
      </w:pPr>
      <w:rPr>
        <w:rFonts w:hint="default" w:ascii="Symbol" w:hAnsi="Symbol" w:eastAsia="Symbol" w:cs="Symbol"/>
        <w:w w:val="99"/>
        <w:sz w:val="16"/>
        <w:szCs w:val="16"/>
      </w:rPr>
    </w:lvl>
    <w:lvl w:ilvl="1">
      <w:start w:val="1"/>
      <w:numFmt w:val="bullet"/>
      <w:lvlText w:val="•"/>
      <w:lvlJc w:val="left"/>
      <w:pPr>
        <w:ind w:left="1327" w:hanging="178"/>
      </w:pPr>
      <w:rPr>
        <w:rFonts w:hint="default"/>
      </w:rPr>
    </w:lvl>
    <w:lvl w:ilvl="2">
      <w:start w:val="1"/>
      <w:numFmt w:val="bullet"/>
      <w:lvlText w:val="•"/>
      <w:lvlJc w:val="left"/>
      <w:pPr>
        <w:ind w:left="1434" w:hanging="178"/>
      </w:pPr>
      <w:rPr>
        <w:rFonts w:hint="default"/>
      </w:rPr>
    </w:lvl>
    <w:lvl w:ilvl="3">
      <w:start w:val="1"/>
      <w:numFmt w:val="bullet"/>
      <w:lvlText w:val="•"/>
      <w:lvlJc w:val="left"/>
      <w:pPr>
        <w:ind w:left="1541" w:hanging="178"/>
      </w:pPr>
      <w:rPr>
        <w:rFonts w:hint="default"/>
      </w:rPr>
    </w:lvl>
    <w:lvl w:ilvl="4">
      <w:start w:val="1"/>
      <w:numFmt w:val="bullet"/>
      <w:lvlText w:val="•"/>
      <w:lvlJc w:val="left"/>
      <w:pPr>
        <w:ind w:left="1648" w:hanging="178"/>
      </w:pPr>
      <w:rPr>
        <w:rFonts w:hint="default"/>
      </w:rPr>
    </w:lvl>
    <w:lvl w:ilvl="5">
      <w:start w:val="1"/>
      <w:numFmt w:val="bullet"/>
      <w:lvlText w:val="•"/>
      <w:lvlJc w:val="left"/>
      <w:pPr>
        <w:ind w:left="1755" w:hanging="178"/>
      </w:pPr>
      <w:rPr>
        <w:rFonts w:hint="default"/>
      </w:rPr>
    </w:lvl>
    <w:lvl w:ilvl="6">
      <w:start w:val="1"/>
      <w:numFmt w:val="bullet"/>
      <w:lvlText w:val="•"/>
      <w:lvlJc w:val="left"/>
      <w:pPr>
        <w:ind w:left="1862" w:hanging="178"/>
      </w:pPr>
      <w:rPr>
        <w:rFonts w:hint="default"/>
      </w:rPr>
    </w:lvl>
    <w:lvl w:ilvl="7">
      <w:start w:val="1"/>
      <w:numFmt w:val="bullet"/>
      <w:lvlText w:val="•"/>
      <w:lvlJc w:val="left"/>
      <w:pPr>
        <w:ind w:left="1969" w:hanging="178"/>
      </w:pPr>
      <w:rPr>
        <w:rFonts w:hint="default"/>
      </w:rPr>
    </w:lvl>
    <w:lvl w:ilvl="8">
      <w:start w:val="1"/>
      <w:numFmt w:val="bullet"/>
      <w:lvlText w:val="•"/>
      <w:lvlJc w:val="left"/>
      <w:pPr>
        <w:ind w:left="2077" w:hanging="178"/>
      </w:pPr>
      <w:rPr>
        <w:rFonts w:hint="default"/>
      </w:rPr>
    </w:lvl>
  </w:abstractNum>
  <w:abstractNum w:abstractNumId="9">
    <w:multiLevelType w:val="hybridMultilevel"/>
    <w:lvl w:ilvl="0">
      <w:start w:val="1"/>
      <w:numFmt w:val="decimal"/>
      <w:lvlText w:val="%1"/>
      <w:lvlJc w:val="left"/>
      <w:pPr>
        <w:ind w:left="809" w:hanging="654"/>
        <w:jc w:val="left"/>
      </w:pPr>
      <w:rPr>
        <w:rFonts w:hint="default"/>
      </w:rPr>
    </w:lvl>
    <w:lvl w:ilvl="1">
      <w:start w:val="3"/>
      <w:numFmt w:val="decimal"/>
      <w:lvlText w:val="%1.%2"/>
      <w:lvlJc w:val="left"/>
      <w:pPr>
        <w:ind w:left="809" w:hanging="654"/>
        <w:jc w:val="left"/>
      </w:pPr>
      <w:rPr>
        <w:rFonts w:hint="default"/>
      </w:rPr>
    </w:lvl>
    <w:lvl w:ilvl="2">
      <w:start w:val="4"/>
      <w:numFmt w:val="decimal"/>
      <w:lvlText w:val="%1.%2.%3"/>
      <w:lvlJc w:val="left"/>
      <w:pPr>
        <w:ind w:left="809" w:hanging="654"/>
        <w:jc w:val="left"/>
      </w:pPr>
      <w:rPr>
        <w:rFonts w:hint="default" w:ascii="Times New Roman" w:hAnsi="Times New Roman" w:eastAsia="Times New Roman" w:cs="Times New Roman"/>
        <w:b/>
        <w:bCs/>
        <w:w w:val="99"/>
        <w:sz w:val="26"/>
        <w:szCs w:val="26"/>
      </w:rPr>
    </w:lvl>
    <w:lvl w:ilvl="3">
      <w:start w:val="1"/>
      <w:numFmt w:val="decimal"/>
      <w:lvlText w:val="%1.%2.%3.%4"/>
      <w:lvlJc w:val="left"/>
      <w:pPr>
        <w:ind w:left="899" w:hanging="783"/>
        <w:jc w:val="left"/>
      </w:pPr>
      <w:rPr>
        <w:rFonts w:hint="default"/>
        <w:b/>
        <w:bCs/>
        <w:w w:val="99"/>
      </w:rPr>
    </w:lvl>
    <w:lvl w:ilvl="4">
      <w:start w:val="1"/>
      <w:numFmt w:val="lowerLetter"/>
      <w:lvlText w:val="%5)"/>
      <w:lvlJc w:val="left"/>
      <w:pPr>
        <w:ind w:left="837" w:hanging="361"/>
        <w:jc w:val="left"/>
      </w:pPr>
      <w:rPr>
        <w:rFonts w:hint="default" w:ascii="Times New Roman" w:hAnsi="Times New Roman" w:eastAsia="Times New Roman" w:cs="Times New Roman"/>
        <w:b/>
        <w:bCs/>
        <w:w w:val="99"/>
        <w:sz w:val="26"/>
        <w:szCs w:val="26"/>
      </w:rPr>
    </w:lvl>
    <w:lvl w:ilvl="5">
      <w:start w:val="1"/>
      <w:numFmt w:val="bullet"/>
      <w:lvlText w:val="•"/>
      <w:lvlJc w:val="left"/>
      <w:pPr>
        <w:ind w:left="4177" w:hanging="361"/>
      </w:pPr>
      <w:rPr>
        <w:rFonts w:hint="default"/>
      </w:rPr>
    </w:lvl>
    <w:lvl w:ilvl="6">
      <w:start w:val="1"/>
      <w:numFmt w:val="bullet"/>
      <w:lvlText w:val="•"/>
      <w:lvlJc w:val="left"/>
      <w:pPr>
        <w:ind w:left="5270" w:hanging="361"/>
      </w:pPr>
      <w:rPr>
        <w:rFonts w:hint="default"/>
      </w:rPr>
    </w:lvl>
    <w:lvl w:ilvl="7">
      <w:start w:val="1"/>
      <w:numFmt w:val="bullet"/>
      <w:lvlText w:val="•"/>
      <w:lvlJc w:val="left"/>
      <w:pPr>
        <w:ind w:left="6362" w:hanging="361"/>
      </w:pPr>
      <w:rPr>
        <w:rFonts w:hint="default"/>
      </w:rPr>
    </w:lvl>
    <w:lvl w:ilvl="8">
      <w:start w:val="1"/>
      <w:numFmt w:val="bullet"/>
      <w:lvlText w:val="•"/>
      <w:lvlJc w:val="left"/>
      <w:pPr>
        <w:ind w:left="7455" w:hanging="361"/>
      </w:pPr>
      <w:rPr>
        <w:rFonts w:hint="default"/>
      </w:rPr>
    </w:lvl>
  </w:abstractNum>
  <w:abstractNum w:abstractNumId="8">
    <w:multiLevelType w:val="hybridMultilevel"/>
    <w:lvl w:ilvl="0">
      <w:start w:val="1"/>
      <w:numFmt w:val="decimal"/>
      <w:lvlText w:val="%1"/>
      <w:lvlJc w:val="left"/>
      <w:pPr>
        <w:ind w:left="898" w:hanging="783"/>
        <w:jc w:val="left"/>
      </w:pPr>
      <w:rPr>
        <w:rFonts w:hint="default"/>
      </w:rPr>
    </w:lvl>
    <w:lvl w:ilvl="1">
      <w:start w:val="3"/>
      <w:numFmt w:val="decimal"/>
      <w:lvlText w:val="%1.%2"/>
      <w:lvlJc w:val="left"/>
      <w:pPr>
        <w:ind w:left="898" w:hanging="783"/>
        <w:jc w:val="left"/>
      </w:pPr>
      <w:rPr>
        <w:rFonts w:hint="default"/>
      </w:rPr>
    </w:lvl>
    <w:lvl w:ilvl="2">
      <w:start w:val="3"/>
      <w:numFmt w:val="decimal"/>
      <w:lvlText w:val="%1.%2.%3"/>
      <w:lvlJc w:val="left"/>
      <w:pPr>
        <w:ind w:left="898" w:hanging="783"/>
        <w:jc w:val="left"/>
      </w:pPr>
      <w:rPr>
        <w:rFonts w:hint="default"/>
      </w:rPr>
    </w:lvl>
    <w:lvl w:ilvl="3">
      <w:start w:val="2"/>
      <w:numFmt w:val="decimal"/>
      <w:lvlText w:val="%1.%2.%3.%4"/>
      <w:lvlJc w:val="left"/>
      <w:pPr>
        <w:ind w:left="898" w:hanging="783"/>
        <w:jc w:val="left"/>
      </w:pPr>
      <w:rPr>
        <w:rFonts w:hint="default" w:ascii="Times New Roman" w:hAnsi="Times New Roman" w:eastAsia="Times New Roman" w:cs="Times New Roman"/>
        <w:b/>
        <w:bCs/>
        <w:w w:val="99"/>
        <w:sz w:val="26"/>
        <w:szCs w:val="26"/>
      </w:rPr>
    </w:lvl>
    <w:lvl w:ilvl="4">
      <w:start w:val="1"/>
      <w:numFmt w:val="lowerLetter"/>
      <w:lvlText w:val="%5)"/>
      <w:lvlJc w:val="left"/>
      <w:pPr>
        <w:ind w:left="837" w:hanging="361"/>
        <w:jc w:val="left"/>
      </w:pPr>
      <w:rPr>
        <w:rFonts w:hint="default" w:ascii="Times New Roman" w:hAnsi="Times New Roman" w:eastAsia="Times New Roman" w:cs="Times New Roman"/>
        <w:b/>
        <w:bCs/>
        <w:w w:val="99"/>
        <w:sz w:val="26"/>
        <w:szCs w:val="26"/>
      </w:rPr>
    </w:lvl>
    <w:lvl w:ilvl="5">
      <w:start w:val="1"/>
      <w:numFmt w:val="bullet"/>
      <w:lvlText w:val="•"/>
      <w:lvlJc w:val="left"/>
      <w:pPr>
        <w:ind w:left="4784" w:hanging="361"/>
      </w:pPr>
      <w:rPr>
        <w:rFonts w:hint="default"/>
      </w:rPr>
    </w:lvl>
    <w:lvl w:ilvl="6">
      <w:start w:val="1"/>
      <w:numFmt w:val="bullet"/>
      <w:lvlText w:val="•"/>
      <w:lvlJc w:val="left"/>
      <w:pPr>
        <w:ind w:left="5755" w:hanging="361"/>
      </w:pPr>
      <w:rPr>
        <w:rFonts w:hint="default"/>
      </w:rPr>
    </w:lvl>
    <w:lvl w:ilvl="7">
      <w:start w:val="1"/>
      <w:numFmt w:val="bullet"/>
      <w:lvlText w:val="•"/>
      <w:lvlJc w:val="left"/>
      <w:pPr>
        <w:ind w:left="6726" w:hanging="361"/>
      </w:pPr>
      <w:rPr>
        <w:rFonts w:hint="default"/>
      </w:rPr>
    </w:lvl>
    <w:lvl w:ilvl="8">
      <w:start w:val="1"/>
      <w:numFmt w:val="bullet"/>
      <w:lvlText w:val="•"/>
      <w:lvlJc w:val="left"/>
      <w:pPr>
        <w:ind w:left="7697" w:hanging="361"/>
      </w:pPr>
      <w:rPr>
        <w:rFonts w:hint="default"/>
      </w:rPr>
    </w:lvl>
  </w:abstractNum>
  <w:abstractNum w:abstractNumId="7">
    <w:multiLevelType w:val="hybridMultilevel"/>
    <w:lvl w:ilvl="0">
      <w:start w:val="1"/>
      <w:numFmt w:val="decimal"/>
      <w:lvlText w:val="%1"/>
      <w:lvlJc w:val="left"/>
      <w:pPr>
        <w:ind w:left="966" w:hanging="851"/>
        <w:jc w:val="left"/>
      </w:pPr>
      <w:rPr>
        <w:rFonts w:hint="default"/>
      </w:rPr>
    </w:lvl>
    <w:lvl w:ilvl="1">
      <w:start w:val="3"/>
      <w:numFmt w:val="decimal"/>
      <w:lvlText w:val="%1.%2"/>
      <w:lvlJc w:val="left"/>
      <w:pPr>
        <w:ind w:left="966" w:hanging="851"/>
        <w:jc w:val="left"/>
      </w:pPr>
      <w:rPr>
        <w:rFonts w:hint="default"/>
      </w:rPr>
    </w:lvl>
    <w:lvl w:ilvl="2">
      <w:start w:val="3"/>
      <w:numFmt w:val="decimal"/>
      <w:lvlText w:val="%1.%2.%3"/>
      <w:lvlJc w:val="left"/>
      <w:pPr>
        <w:ind w:left="966" w:hanging="851"/>
        <w:jc w:val="left"/>
      </w:pPr>
      <w:rPr>
        <w:rFonts w:hint="default"/>
      </w:rPr>
    </w:lvl>
    <w:lvl w:ilvl="3">
      <w:start w:val="1"/>
      <w:numFmt w:val="decimal"/>
      <w:lvlText w:val="%1.%2.%3.%4."/>
      <w:lvlJc w:val="left"/>
      <w:pPr>
        <w:ind w:left="966" w:hanging="851"/>
        <w:jc w:val="left"/>
      </w:pPr>
      <w:rPr>
        <w:rFonts w:hint="default" w:ascii="Times New Roman" w:hAnsi="Times New Roman" w:eastAsia="Times New Roman" w:cs="Times New Roman"/>
        <w:b/>
        <w:bCs/>
        <w:spacing w:val="-5"/>
        <w:w w:val="99"/>
        <w:sz w:val="26"/>
        <w:szCs w:val="26"/>
      </w:rPr>
    </w:lvl>
    <w:lvl w:ilvl="4">
      <w:start w:val="1"/>
      <w:numFmt w:val="lowerLetter"/>
      <w:lvlText w:val="%5)"/>
      <w:lvlJc w:val="left"/>
      <w:pPr>
        <w:ind w:left="837" w:hanging="361"/>
        <w:jc w:val="left"/>
      </w:pPr>
      <w:rPr>
        <w:rFonts w:hint="default" w:ascii="Times New Roman" w:hAnsi="Times New Roman" w:eastAsia="Times New Roman" w:cs="Times New Roman"/>
        <w:b/>
        <w:bCs/>
        <w:w w:val="99"/>
        <w:sz w:val="26"/>
        <w:szCs w:val="26"/>
      </w:rPr>
    </w:lvl>
    <w:lvl w:ilvl="5">
      <w:start w:val="1"/>
      <w:numFmt w:val="bullet"/>
      <w:lvlText w:val="•"/>
      <w:lvlJc w:val="left"/>
      <w:pPr>
        <w:ind w:left="4817" w:hanging="361"/>
      </w:pPr>
      <w:rPr>
        <w:rFonts w:hint="default"/>
      </w:rPr>
    </w:lvl>
    <w:lvl w:ilvl="6">
      <w:start w:val="1"/>
      <w:numFmt w:val="bullet"/>
      <w:lvlText w:val="•"/>
      <w:lvlJc w:val="left"/>
      <w:pPr>
        <w:ind w:left="5782" w:hanging="361"/>
      </w:pPr>
      <w:rPr>
        <w:rFonts w:hint="default"/>
      </w:rPr>
    </w:lvl>
    <w:lvl w:ilvl="7">
      <w:start w:val="1"/>
      <w:numFmt w:val="bullet"/>
      <w:lvlText w:val="•"/>
      <w:lvlJc w:val="left"/>
      <w:pPr>
        <w:ind w:left="6746" w:hanging="361"/>
      </w:pPr>
      <w:rPr>
        <w:rFonts w:hint="default"/>
      </w:rPr>
    </w:lvl>
    <w:lvl w:ilvl="8">
      <w:start w:val="1"/>
      <w:numFmt w:val="bullet"/>
      <w:lvlText w:val="•"/>
      <w:lvlJc w:val="left"/>
      <w:pPr>
        <w:ind w:left="7711" w:hanging="361"/>
      </w:pPr>
      <w:rPr>
        <w:rFonts w:hint="default"/>
      </w:rPr>
    </w:lvl>
  </w:abstractNum>
  <w:abstractNum w:abstractNumId="6">
    <w:multiLevelType w:val="hybridMultilevel"/>
    <w:lvl w:ilvl="0">
      <w:start w:val="1"/>
      <w:numFmt w:val="decimal"/>
      <w:lvlText w:val="%1"/>
      <w:lvlJc w:val="left"/>
      <w:pPr>
        <w:ind w:left="837" w:hanging="393"/>
        <w:jc w:val="right"/>
      </w:pPr>
      <w:rPr>
        <w:rFonts w:hint="default"/>
      </w:rPr>
    </w:lvl>
    <w:lvl w:ilvl="1">
      <w:start w:val="3"/>
      <w:numFmt w:val="decimal"/>
      <w:lvlText w:val="%1.%2"/>
      <w:lvlJc w:val="left"/>
      <w:pPr>
        <w:ind w:left="509" w:hanging="393"/>
        <w:jc w:val="left"/>
      </w:pPr>
      <w:rPr>
        <w:rFonts w:hint="default" w:ascii="Times New Roman" w:hAnsi="Times New Roman" w:eastAsia="Times New Roman" w:cs="Times New Roman"/>
        <w:b/>
        <w:bCs/>
        <w:w w:val="99"/>
        <w:sz w:val="26"/>
        <w:szCs w:val="26"/>
      </w:rPr>
    </w:lvl>
    <w:lvl w:ilvl="2">
      <w:start w:val="1"/>
      <w:numFmt w:val="decimal"/>
      <w:lvlText w:val="%1.%2.%3"/>
      <w:lvlJc w:val="left"/>
      <w:pPr>
        <w:ind w:left="705" w:hanging="590"/>
        <w:jc w:val="left"/>
      </w:pPr>
      <w:rPr>
        <w:rFonts w:hint="default" w:ascii="Times New Roman" w:hAnsi="Times New Roman" w:eastAsia="Times New Roman" w:cs="Times New Roman"/>
        <w:b/>
        <w:bCs/>
        <w:w w:val="99"/>
        <w:sz w:val="26"/>
        <w:szCs w:val="26"/>
      </w:rPr>
    </w:lvl>
    <w:lvl w:ilvl="3">
      <w:start w:val="1"/>
      <w:numFmt w:val="bullet"/>
      <w:lvlText w:val=""/>
      <w:lvlJc w:val="left"/>
      <w:pPr>
        <w:ind w:left="837" w:hanging="361"/>
      </w:pPr>
      <w:rPr>
        <w:rFonts w:hint="default" w:ascii="Symbol" w:hAnsi="Symbol" w:eastAsia="Symbol" w:cs="Symbol"/>
        <w:w w:val="99"/>
        <w:sz w:val="26"/>
        <w:szCs w:val="26"/>
      </w:rPr>
    </w:lvl>
    <w:lvl w:ilvl="4">
      <w:start w:val="1"/>
      <w:numFmt w:val="bullet"/>
      <w:lvlText w:val="•"/>
      <w:lvlJc w:val="left"/>
      <w:pPr>
        <w:ind w:left="3040" w:hanging="361"/>
      </w:pPr>
      <w:rPr>
        <w:rFonts w:hint="default"/>
      </w:rPr>
    </w:lvl>
    <w:lvl w:ilvl="5">
      <w:start w:val="1"/>
      <w:numFmt w:val="bullet"/>
      <w:lvlText w:val="•"/>
      <w:lvlJc w:val="left"/>
      <w:pPr>
        <w:ind w:left="4140" w:hanging="361"/>
      </w:pPr>
      <w:rPr>
        <w:rFonts w:hint="default"/>
      </w:rPr>
    </w:lvl>
    <w:lvl w:ilvl="6">
      <w:start w:val="1"/>
      <w:numFmt w:val="bullet"/>
      <w:lvlText w:val="•"/>
      <w:lvlJc w:val="left"/>
      <w:pPr>
        <w:ind w:left="5240" w:hanging="361"/>
      </w:pPr>
      <w:rPr>
        <w:rFonts w:hint="default"/>
      </w:rPr>
    </w:lvl>
    <w:lvl w:ilvl="7">
      <w:start w:val="1"/>
      <w:numFmt w:val="bullet"/>
      <w:lvlText w:val="•"/>
      <w:lvlJc w:val="left"/>
      <w:pPr>
        <w:ind w:left="6340" w:hanging="361"/>
      </w:pPr>
      <w:rPr>
        <w:rFonts w:hint="default"/>
      </w:rPr>
    </w:lvl>
    <w:lvl w:ilvl="8">
      <w:start w:val="1"/>
      <w:numFmt w:val="bullet"/>
      <w:lvlText w:val="•"/>
      <w:lvlJc w:val="left"/>
      <w:pPr>
        <w:ind w:left="7440" w:hanging="361"/>
      </w:pPr>
      <w:rPr>
        <w:rFonts w:hint="default"/>
      </w:rPr>
    </w:lvl>
  </w:abstractNum>
  <w:abstractNum w:abstractNumId="5">
    <w:multiLevelType w:val="hybridMultilevel"/>
    <w:lvl w:ilvl="0">
      <w:start w:val="1"/>
      <w:numFmt w:val="decimal"/>
      <w:lvlText w:val="%1"/>
      <w:lvlJc w:val="left"/>
      <w:pPr>
        <w:ind w:left="509" w:hanging="393"/>
        <w:jc w:val="left"/>
      </w:pPr>
      <w:rPr>
        <w:rFonts w:hint="default"/>
      </w:rPr>
    </w:lvl>
    <w:lvl w:ilvl="1">
      <w:start w:val="2"/>
      <w:numFmt w:val="decimal"/>
      <w:lvlText w:val="%1.%2"/>
      <w:lvlJc w:val="left"/>
      <w:pPr>
        <w:ind w:left="509" w:hanging="393"/>
        <w:jc w:val="left"/>
      </w:pPr>
      <w:rPr>
        <w:rFonts w:hint="default" w:ascii="Times New Roman" w:hAnsi="Times New Roman" w:eastAsia="Times New Roman" w:cs="Times New Roman"/>
        <w:b/>
        <w:bCs/>
        <w:w w:val="99"/>
        <w:sz w:val="26"/>
        <w:szCs w:val="26"/>
      </w:rPr>
    </w:lvl>
    <w:lvl w:ilvl="2">
      <w:start w:val="1"/>
      <w:numFmt w:val="decimal"/>
      <w:lvlText w:val="%1.%2.%3"/>
      <w:lvlJc w:val="left"/>
      <w:pPr>
        <w:ind w:left="705" w:hanging="590"/>
        <w:jc w:val="left"/>
      </w:pPr>
      <w:rPr>
        <w:rFonts w:hint="default" w:ascii="Times New Roman" w:hAnsi="Times New Roman" w:eastAsia="Times New Roman" w:cs="Times New Roman"/>
        <w:b/>
        <w:bCs/>
        <w:w w:val="99"/>
        <w:sz w:val="26"/>
        <w:szCs w:val="26"/>
      </w:rPr>
    </w:lvl>
    <w:lvl w:ilvl="3">
      <w:start w:val="1"/>
      <w:numFmt w:val="bullet"/>
      <w:lvlText w:val=""/>
      <w:lvlJc w:val="left"/>
      <w:pPr>
        <w:ind w:left="837" w:hanging="361"/>
      </w:pPr>
      <w:rPr>
        <w:rFonts w:hint="default" w:ascii="Symbol" w:hAnsi="Symbol" w:eastAsia="Symbol" w:cs="Symbol"/>
        <w:w w:val="99"/>
        <w:sz w:val="26"/>
        <w:szCs w:val="26"/>
      </w:rPr>
    </w:lvl>
    <w:lvl w:ilvl="4">
      <w:start w:val="1"/>
      <w:numFmt w:val="bullet"/>
      <w:lvlText w:val="•"/>
      <w:lvlJc w:val="left"/>
      <w:pPr>
        <w:ind w:left="3040" w:hanging="361"/>
      </w:pPr>
      <w:rPr>
        <w:rFonts w:hint="default"/>
      </w:rPr>
    </w:lvl>
    <w:lvl w:ilvl="5">
      <w:start w:val="1"/>
      <w:numFmt w:val="bullet"/>
      <w:lvlText w:val="•"/>
      <w:lvlJc w:val="left"/>
      <w:pPr>
        <w:ind w:left="4140" w:hanging="361"/>
      </w:pPr>
      <w:rPr>
        <w:rFonts w:hint="default"/>
      </w:rPr>
    </w:lvl>
    <w:lvl w:ilvl="6">
      <w:start w:val="1"/>
      <w:numFmt w:val="bullet"/>
      <w:lvlText w:val="•"/>
      <w:lvlJc w:val="left"/>
      <w:pPr>
        <w:ind w:left="5240" w:hanging="361"/>
      </w:pPr>
      <w:rPr>
        <w:rFonts w:hint="default"/>
      </w:rPr>
    </w:lvl>
    <w:lvl w:ilvl="7">
      <w:start w:val="1"/>
      <w:numFmt w:val="bullet"/>
      <w:lvlText w:val="•"/>
      <w:lvlJc w:val="left"/>
      <w:pPr>
        <w:ind w:left="6340" w:hanging="361"/>
      </w:pPr>
      <w:rPr>
        <w:rFonts w:hint="default"/>
      </w:rPr>
    </w:lvl>
    <w:lvl w:ilvl="8">
      <w:start w:val="1"/>
      <w:numFmt w:val="bullet"/>
      <w:lvlText w:val="•"/>
      <w:lvlJc w:val="left"/>
      <w:pPr>
        <w:ind w:left="7440" w:hanging="361"/>
      </w:pPr>
      <w:rPr>
        <w:rFonts w:hint="default"/>
      </w:rPr>
    </w:lvl>
  </w:abstractNum>
  <w:abstractNum w:abstractNumId="4">
    <w:multiLevelType w:val="hybridMultilevel"/>
    <w:lvl w:ilvl="0">
      <w:start w:val="1"/>
      <w:numFmt w:val="decimal"/>
      <w:lvlText w:val="%1."/>
      <w:lvlJc w:val="left"/>
      <w:pPr>
        <w:ind w:left="116" w:hanging="250"/>
        <w:jc w:val="right"/>
      </w:pPr>
      <w:rPr>
        <w:rFonts w:hint="default"/>
        <w:b/>
        <w:bCs/>
        <w:w w:val="99"/>
      </w:rPr>
    </w:lvl>
    <w:lvl w:ilvl="1">
      <w:start w:val="1"/>
      <w:numFmt w:val="decimal"/>
      <w:lvlText w:val="%1.%2"/>
      <w:lvlJc w:val="left"/>
      <w:pPr>
        <w:ind w:left="509" w:hanging="394"/>
        <w:jc w:val="left"/>
      </w:pPr>
      <w:rPr>
        <w:rFonts w:hint="default" w:ascii="Times New Roman" w:hAnsi="Times New Roman" w:eastAsia="Times New Roman" w:cs="Times New Roman"/>
        <w:b/>
        <w:bCs/>
        <w:w w:val="99"/>
        <w:sz w:val="26"/>
        <w:szCs w:val="26"/>
      </w:rPr>
    </w:lvl>
    <w:lvl w:ilvl="2">
      <w:start w:val="1"/>
      <w:numFmt w:val="decimal"/>
      <w:lvlText w:val="%1.%2.%3"/>
      <w:lvlJc w:val="left"/>
      <w:pPr>
        <w:ind w:left="705" w:hanging="590"/>
        <w:jc w:val="left"/>
      </w:pPr>
      <w:rPr>
        <w:rFonts w:hint="default" w:ascii="Times New Roman" w:hAnsi="Times New Roman" w:eastAsia="Times New Roman" w:cs="Times New Roman"/>
        <w:b/>
        <w:bCs/>
        <w:w w:val="99"/>
        <w:sz w:val="26"/>
        <w:szCs w:val="26"/>
      </w:rPr>
    </w:lvl>
    <w:lvl w:ilvl="3">
      <w:start w:val="1"/>
      <w:numFmt w:val="lowerLetter"/>
      <w:lvlText w:val="%4)"/>
      <w:lvlJc w:val="left"/>
      <w:pPr>
        <w:ind w:left="837" w:hanging="361"/>
        <w:jc w:val="left"/>
      </w:pPr>
      <w:rPr>
        <w:rFonts w:hint="default" w:ascii="Times New Roman" w:hAnsi="Times New Roman" w:eastAsia="Times New Roman" w:cs="Times New Roman"/>
        <w:w w:val="99"/>
        <w:sz w:val="26"/>
        <w:szCs w:val="26"/>
      </w:rPr>
    </w:lvl>
    <w:lvl w:ilvl="4">
      <w:start w:val="1"/>
      <w:numFmt w:val="bullet"/>
      <w:lvlText w:val="•"/>
      <w:lvlJc w:val="left"/>
      <w:pPr>
        <w:ind w:left="840" w:hanging="361"/>
      </w:pPr>
      <w:rPr>
        <w:rFonts w:hint="default"/>
      </w:rPr>
    </w:lvl>
    <w:lvl w:ilvl="5">
      <w:start w:val="1"/>
      <w:numFmt w:val="bullet"/>
      <w:lvlText w:val="•"/>
      <w:lvlJc w:val="left"/>
      <w:pPr>
        <w:ind w:left="2306" w:hanging="361"/>
      </w:pPr>
      <w:rPr>
        <w:rFonts w:hint="default"/>
      </w:rPr>
    </w:lvl>
    <w:lvl w:ilvl="6">
      <w:start w:val="1"/>
      <w:numFmt w:val="bullet"/>
      <w:lvlText w:val="•"/>
      <w:lvlJc w:val="left"/>
      <w:pPr>
        <w:ind w:left="3773" w:hanging="361"/>
      </w:pPr>
      <w:rPr>
        <w:rFonts w:hint="default"/>
      </w:rPr>
    </w:lvl>
    <w:lvl w:ilvl="7">
      <w:start w:val="1"/>
      <w:numFmt w:val="bullet"/>
      <w:lvlText w:val="•"/>
      <w:lvlJc w:val="left"/>
      <w:pPr>
        <w:ind w:left="5240" w:hanging="361"/>
      </w:pPr>
      <w:rPr>
        <w:rFonts w:hint="default"/>
      </w:rPr>
    </w:lvl>
    <w:lvl w:ilvl="8">
      <w:start w:val="1"/>
      <w:numFmt w:val="bullet"/>
      <w:lvlText w:val="•"/>
      <w:lvlJc w:val="left"/>
      <w:pPr>
        <w:ind w:left="6706" w:hanging="361"/>
      </w:pPr>
      <w:rPr>
        <w:rFonts w:hint="default"/>
      </w:rPr>
    </w:lvl>
  </w:abstractNum>
  <w:abstractNum w:abstractNumId="2">
    <w:multiLevelType w:val="hybridMultilevel"/>
    <w:lvl w:ilvl="0">
      <w:start w:val="4"/>
      <w:numFmt w:val="decimal"/>
      <w:lvlText w:val="%1"/>
      <w:lvlJc w:val="left"/>
      <w:pPr>
        <w:ind w:left="730" w:hanging="393"/>
        <w:jc w:val="left"/>
      </w:pPr>
      <w:rPr>
        <w:rFonts w:hint="default"/>
      </w:rPr>
    </w:lvl>
    <w:lvl w:ilvl="1">
      <w:start w:val="3"/>
      <w:numFmt w:val="decimal"/>
      <w:lvlText w:val="%1.%2"/>
      <w:lvlJc w:val="left"/>
      <w:pPr>
        <w:ind w:left="730" w:hanging="393"/>
        <w:jc w:val="left"/>
      </w:pPr>
      <w:rPr>
        <w:rFonts w:hint="default" w:ascii="Times New Roman" w:hAnsi="Times New Roman" w:eastAsia="Times New Roman" w:cs="Times New Roman"/>
        <w:w w:val="99"/>
        <w:sz w:val="26"/>
        <w:szCs w:val="26"/>
      </w:rPr>
    </w:lvl>
    <w:lvl w:ilvl="2">
      <w:start w:val="1"/>
      <w:numFmt w:val="decimal"/>
      <w:lvlText w:val="%1.%2.%3"/>
      <w:lvlJc w:val="left"/>
      <w:pPr>
        <w:ind w:left="1147" w:hanging="590"/>
        <w:jc w:val="left"/>
      </w:pPr>
      <w:rPr>
        <w:rFonts w:hint="default" w:ascii="Times New Roman" w:hAnsi="Times New Roman" w:eastAsia="Times New Roman" w:cs="Times New Roman"/>
        <w:w w:val="99"/>
        <w:sz w:val="26"/>
        <w:szCs w:val="26"/>
      </w:rPr>
    </w:lvl>
    <w:lvl w:ilvl="3">
      <w:start w:val="1"/>
      <w:numFmt w:val="bullet"/>
      <w:lvlText w:val="•"/>
      <w:lvlJc w:val="left"/>
      <w:pPr>
        <w:ind w:left="3024" w:hanging="590"/>
      </w:pPr>
      <w:rPr>
        <w:rFonts w:hint="default"/>
      </w:rPr>
    </w:lvl>
    <w:lvl w:ilvl="4">
      <w:start w:val="1"/>
      <w:numFmt w:val="bullet"/>
      <w:lvlText w:val="•"/>
      <w:lvlJc w:val="left"/>
      <w:pPr>
        <w:ind w:left="3966" w:hanging="590"/>
      </w:pPr>
      <w:rPr>
        <w:rFonts w:hint="default"/>
      </w:rPr>
    </w:lvl>
    <w:lvl w:ilvl="5">
      <w:start w:val="1"/>
      <w:numFmt w:val="bullet"/>
      <w:lvlText w:val="•"/>
      <w:lvlJc w:val="left"/>
      <w:pPr>
        <w:ind w:left="4908" w:hanging="590"/>
      </w:pPr>
      <w:rPr>
        <w:rFonts w:hint="default"/>
      </w:rPr>
    </w:lvl>
    <w:lvl w:ilvl="6">
      <w:start w:val="1"/>
      <w:numFmt w:val="bullet"/>
      <w:lvlText w:val="•"/>
      <w:lvlJc w:val="left"/>
      <w:pPr>
        <w:ind w:left="5851" w:hanging="590"/>
      </w:pPr>
      <w:rPr>
        <w:rFonts w:hint="default"/>
      </w:rPr>
    </w:lvl>
    <w:lvl w:ilvl="7">
      <w:start w:val="1"/>
      <w:numFmt w:val="bullet"/>
      <w:lvlText w:val="•"/>
      <w:lvlJc w:val="left"/>
      <w:pPr>
        <w:ind w:left="6793" w:hanging="590"/>
      </w:pPr>
      <w:rPr>
        <w:rFonts w:hint="default"/>
      </w:rPr>
    </w:lvl>
    <w:lvl w:ilvl="8">
      <w:start w:val="1"/>
      <w:numFmt w:val="bullet"/>
      <w:lvlText w:val="•"/>
      <w:lvlJc w:val="left"/>
      <w:pPr>
        <w:ind w:left="7735" w:hanging="590"/>
      </w:pPr>
      <w:rPr>
        <w:rFonts w:hint="default"/>
      </w:rPr>
    </w:lvl>
  </w:abstractNum>
  <w:abstractNum w:abstractNumId="1">
    <w:multiLevelType w:val="hybridMultilevel"/>
    <w:lvl w:ilvl="0">
      <w:start w:val="4"/>
      <w:numFmt w:val="decimal"/>
      <w:lvlText w:val="%1"/>
      <w:lvlJc w:val="left"/>
      <w:pPr>
        <w:ind w:left="797" w:hanging="460"/>
        <w:jc w:val="left"/>
      </w:pPr>
      <w:rPr>
        <w:rFonts w:hint="default"/>
      </w:rPr>
    </w:lvl>
    <w:lvl w:ilvl="1">
      <w:start w:val="2"/>
      <w:numFmt w:val="decimal"/>
      <w:lvlText w:val="%1.%2."/>
      <w:lvlJc w:val="left"/>
      <w:pPr>
        <w:ind w:left="797" w:hanging="460"/>
        <w:jc w:val="left"/>
      </w:pPr>
      <w:rPr>
        <w:rFonts w:hint="default" w:ascii="Times New Roman" w:hAnsi="Times New Roman" w:eastAsia="Times New Roman" w:cs="Times New Roman"/>
        <w:w w:val="99"/>
        <w:sz w:val="26"/>
        <w:szCs w:val="26"/>
      </w:rPr>
    </w:lvl>
    <w:lvl w:ilvl="2">
      <w:start w:val="1"/>
      <w:numFmt w:val="decimal"/>
      <w:lvlText w:val="%1.%2.%3"/>
      <w:lvlJc w:val="left"/>
      <w:pPr>
        <w:ind w:left="1147" w:hanging="590"/>
        <w:jc w:val="left"/>
      </w:pPr>
      <w:rPr>
        <w:rFonts w:hint="default" w:ascii="Times New Roman" w:hAnsi="Times New Roman" w:eastAsia="Times New Roman" w:cs="Times New Roman"/>
        <w:w w:val="99"/>
        <w:sz w:val="26"/>
        <w:szCs w:val="26"/>
      </w:rPr>
    </w:lvl>
    <w:lvl w:ilvl="3">
      <w:start w:val="1"/>
      <w:numFmt w:val="bullet"/>
      <w:lvlText w:val="•"/>
      <w:lvlJc w:val="left"/>
      <w:pPr>
        <w:ind w:left="3024" w:hanging="590"/>
      </w:pPr>
      <w:rPr>
        <w:rFonts w:hint="default"/>
      </w:rPr>
    </w:lvl>
    <w:lvl w:ilvl="4">
      <w:start w:val="1"/>
      <w:numFmt w:val="bullet"/>
      <w:lvlText w:val="•"/>
      <w:lvlJc w:val="left"/>
      <w:pPr>
        <w:ind w:left="3966" w:hanging="590"/>
      </w:pPr>
      <w:rPr>
        <w:rFonts w:hint="default"/>
      </w:rPr>
    </w:lvl>
    <w:lvl w:ilvl="5">
      <w:start w:val="1"/>
      <w:numFmt w:val="bullet"/>
      <w:lvlText w:val="•"/>
      <w:lvlJc w:val="left"/>
      <w:pPr>
        <w:ind w:left="4908" w:hanging="590"/>
      </w:pPr>
      <w:rPr>
        <w:rFonts w:hint="default"/>
      </w:rPr>
    </w:lvl>
    <w:lvl w:ilvl="6">
      <w:start w:val="1"/>
      <w:numFmt w:val="bullet"/>
      <w:lvlText w:val="•"/>
      <w:lvlJc w:val="left"/>
      <w:pPr>
        <w:ind w:left="5851" w:hanging="590"/>
      </w:pPr>
      <w:rPr>
        <w:rFonts w:hint="default"/>
      </w:rPr>
    </w:lvl>
    <w:lvl w:ilvl="7">
      <w:start w:val="1"/>
      <w:numFmt w:val="bullet"/>
      <w:lvlText w:val="•"/>
      <w:lvlJc w:val="left"/>
      <w:pPr>
        <w:ind w:left="6793" w:hanging="590"/>
      </w:pPr>
      <w:rPr>
        <w:rFonts w:hint="default"/>
      </w:rPr>
    </w:lvl>
    <w:lvl w:ilvl="8">
      <w:start w:val="1"/>
      <w:numFmt w:val="bullet"/>
      <w:lvlText w:val="•"/>
      <w:lvlJc w:val="left"/>
      <w:pPr>
        <w:ind w:left="7735" w:hanging="590"/>
      </w:pPr>
      <w:rPr>
        <w:rFonts w:hint="default"/>
      </w:rPr>
    </w:lvl>
  </w:abstractNum>
  <w:abstractNum w:abstractNumId="0">
    <w:multiLevelType w:val="hybridMultilevel"/>
    <w:lvl w:ilvl="0">
      <w:start w:val="1"/>
      <w:numFmt w:val="decimal"/>
      <w:lvlText w:val="%1."/>
      <w:lvlJc w:val="left"/>
      <w:pPr>
        <w:ind w:left="116" w:hanging="264"/>
        <w:jc w:val="left"/>
      </w:pPr>
      <w:rPr>
        <w:rFonts w:hint="default" w:ascii="Times New Roman" w:hAnsi="Times New Roman" w:eastAsia="Times New Roman" w:cs="Times New Roman"/>
        <w:w w:val="99"/>
        <w:sz w:val="26"/>
        <w:szCs w:val="26"/>
      </w:rPr>
    </w:lvl>
    <w:lvl w:ilvl="1">
      <w:start w:val="1"/>
      <w:numFmt w:val="decimal"/>
      <w:lvlText w:val="%1.%2"/>
      <w:lvlJc w:val="left"/>
      <w:pPr>
        <w:ind w:left="730" w:hanging="393"/>
        <w:jc w:val="left"/>
      </w:pPr>
      <w:rPr>
        <w:rFonts w:hint="default" w:ascii="Times New Roman" w:hAnsi="Times New Roman" w:eastAsia="Times New Roman" w:cs="Times New Roman"/>
        <w:w w:val="99"/>
        <w:sz w:val="26"/>
        <w:szCs w:val="26"/>
      </w:rPr>
    </w:lvl>
    <w:lvl w:ilvl="2">
      <w:start w:val="1"/>
      <w:numFmt w:val="decimal"/>
      <w:lvlText w:val="%1.%2.%3"/>
      <w:lvlJc w:val="left"/>
      <w:pPr>
        <w:ind w:left="1147" w:hanging="590"/>
        <w:jc w:val="left"/>
      </w:pPr>
      <w:rPr>
        <w:rFonts w:hint="default" w:ascii="Times New Roman" w:hAnsi="Times New Roman" w:eastAsia="Times New Roman" w:cs="Times New Roman"/>
        <w:w w:val="99"/>
        <w:sz w:val="26"/>
        <w:szCs w:val="26"/>
      </w:rPr>
    </w:lvl>
    <w:lvl w:ilvl="3">
      <w:start w:val="1"/>
      <w:numFmt w:val="bullet"/>
      <w:lvlText w:val="•"/>
      <w:lvlJc w:val="left"/>
      <w:pPr>
        <w:ind w:left="1140" w:hanging="590"/>
      </w:pPr>
      <w:rPr>
        <w:rFonts w:hint="default"/>
      </w:rPr>
    </w:lvl>
    <w:lvl w:ilvl="4">
      <w:start w:val="1"/>
      <w:numFmt w:val="bullet"/>
      <w:lvlText w:val="•"/>
      <w:lvlJc w:val="left"/>
      <w:pPr>
        <w:ind w:left="1440" w:hanging="590"/>
      </w:pPr>
      <w:rPr>
        <w:rFonts w:hint="default"/>
      </w:rPr>
    </w:lvl>
    <w:lvl w:ilvl="5">
      <w:start w:val="1"/>
      <w:numFmt w:val="bullet"/>
      <w:lvlText w:val="•"/>
      <w:lvlJc w:val="left"/>
      <w:pPr>
        <w:ind w:left="2803" w:hanging="590"/>
      </w:pPr>
      <w:rPr>
        <w:rFonts w:hint="default"/>
      </w:rPr>
    </w:lvl>
    <w:lvl w:ilvl="6">
      <w:start w:val="1"/>
      <w:numFmt w:val="bullet"/>
      <w:lvlText w:val="•"/>
      <w:lvlJc w:val="left"/>
      <w:pPr>
        <w:ind w:left="4166" w:hanging="590"/>
      </w:pPr>
      <w:rPr>
        <w:rFonts w:hint="default"/>
      </w:rPr>
    </w:lvl>
    <w:lvl w:ilvl="7">
      <w:start w:val="1"/>
      <w:numFmt w:val="bullet"/>
      <w:lvlText w:val="•"/>
      <w:lvlJc w:val="left"/>
      <w:pPr>
        <w:ind w:left="5530" w:hanging="590"/>
      </w:pPr>
      <w:rPr>
        <w:rFonts w:hint="default"/>
      </w:rPr>
    </w:lvl>
    <w:lvl w:ilvl="8">
      <w:start w:val="1"/>
      <w:numFmt w:val="bullet"/>
      <w:lvlText w:val="•"/>
      <w:lvlJc w:val="left"/>
      <w:pPr>
        <w:ind w:left="6893" w:hanging="590"/>
      </w:pPr>
      <w:rPr>
        <w:rFonts w:hint="default"/>
      </w:rPr>
    </w:lvl>
  </w:abstractNum>
  <w:num w:numId="4">
    <w:abstractNumId w:val="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243"/>
      <w:ind w:left="116"/>
    </w:pPr>
    <w:rPr>
      <w:rFonts w:ascii="Times New Roman" w:hAnsi="Times New Roman" w:eastAsia="Times New Roman" w:cs="Times New Roman"/>
      <w:sz w:val="26"/>
      <w:szCs w:val="26"/>
    </w:rPr>
  </w:style>
  <w:style w:styleId="TOC2" w:type="paragraph">
    <w:name w:val="TOC 2"/>
    <w:basedOn w:val="Normal"/>
    <w:uiPriority w:val="1"/>
    <w:qFormat/>
    <w:pPr>
      <w:spacing w:before="243"/>
      <w:ind w:left="730" w:hanging="393"/>
    </w:pPr>
    <w:rPr>
      <w:rFonts w:ascii="Times New Roman" w:hAnsi="Times New Roman" w:eastAsia="Times New Roman" w:cs="Times New Roman"/>
      <w:sz w:val="26"/>
      <w:szCs w:val="26"/>
    </w:rPr>
  </w:style>
  <w:style w:styleId="TOC3" w:type="paragraph">
    <w:name w:val="TOC 3"/>
    <w:basedOn w:val="Normal"/>
    <w:uiPriority w:val="1"/>
    <w:qFormat/>
    <w:pPr>
      <w:spacing w:before="243"/>
      <w:ind w:left="1147" w:hanging="589"/>
    </w:pPr>
    <w:rPr>
      <w:rFonts w:ascii="Times New Roman" w:hAnsi="Times New Roman" w:eastAsia="Times New Roman" w:cs="Times New Roman"/>
      <w:sz w:val="26"/>
      <w:szCs w:val="26"/>
    </w:rPr>
  </w:style>
  <w:style w:styleId="BodyText" w:type="paragraph">
    <w:name w:val="Body Text"/>
    <w:basedOn w:val="Normal"/>
    <w:uiPriority w:val="1"/>
    <w:qFormat/>
    <w:pPr/>
    <w:rPr>
      <w:rFonts w:ascii="Times New Roman" w:hAnsi="Times New Roman" w:eastAsia="Times New Roman" w:cs="Times New Roman"/>
      <w:sz w:val="26"/>
      <w:szCs w:val="26"/>
    </w:rPr>
  </w:style>
  <w:style w:styleId="Heading1" w:type="paragraph">
    <w:name w:val="Heading 1"/>
    <w:basedOn w:val="Normal"/>
    <w:uiPriority w:val="1"/>
    <w:qFormat/>
    <w:pPr>
      <w:ind w:left="837"/>
      <w:outlineLvl w:val="1"/>
    </w:pPr>
    <w:rPr>
      <w:rFonts w:ascii="Times New Roman" w:hAnsi="Times New Roman" w:eastAsia="Times New Roman" w:cs="Times New Roman"/>
      <w:b/>
      <w:bCs/>
      <w:sz w:val="26"/>
      <w:szCs w:val="26"/>
    </w:rPr>
  </w:style>
  <w:style w:styleId="ListParagraph" w:type="paragraph">
    <w:name w:val="List Paragraph"/>
    <w:basedOn w:val="Normal"/>
    <w:uiPriority w:val="1"/>
    <w:qFormat/>
    <w:pPr>
      <w:ind w:left="837" w:hanging="361"/>
      <w:jc w:val="both"/>
    </w:pPr>
    <w:rPr>
      <w:rFonts w:ascii="Times New Roman" w:hAnsi="Times New Roman" w:eastAsia="Times New Roman" w:cs="Times New Roman"/>
    </w:rPr>
  </w:style>
  <w:style w:styleId="TableParagraph" w:type="paragraph">
    <w:name w:val="Table Paragraph"/>
    <w:basedOn w:val="Normal"/>
    <w:uiPriority w:val="1"/>
    <w:qFormat/>
    <w:pPr>
      <w:spacing w:before="23"/>
      <w:jc w:val="righ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footer" Target="footer7.xml"/><Relationship Id="rId14" Type="http://schemas.openxmlformats.org/officeDocument/2006/relationships/image" Target="media/image3.png"/><Relationship Id="rId15" Type="http://schemas.openxmlformats.org/officeDocument/2006/relationships/image" Target="media/image4.png"/><Relationship Id="rId16" Type="http://schemas.openxmlformats.org/officeDocument/2006/relationships/image" Target="media/image5.png"/><Relationship Id="rId17" Type="http://schemas.openxmlformats.org/officeDocument/2006/relationships/image" Target="media/image6.png"/><Relationship Id="rId18" Type="http://schemas.openxmlformats.org/officeDocument/2006/relationships/image" Target="media/image7.png"/><Relationship Id="rId19" Type="http://schemas.openxmlformats.org/officeDocument/2006/relationships/image" Target="media/image8.png"/><Relationship Id="rId20" Type="http://schemas.openxmlformats.org/officeDocument/2006/relationships/image" Target="media/image9.jpeg"/><Relationship Id="rId21" Type="http://schemas.openxmlformats.org/officeDocument/2006/relationships/image" Target="media/image10.jpeg"/><Relationship Id="rId22" Type="http://schemas.openxmlformats.org/officeDocument/2006/relationships/image" Target="media/image11.jpeg"/><Relationship Id="rId23" Type="http://schemas.openxmlformats.org/officeDocument/2006/relationships/footer" Target="footer8.xml"/><Relationship Id="rId24" Type="http://schemas.openxmlformats.org/officeDocument/2006/relationships/image" Target="media/image12.jpeg"/><Relationship Id="rId25" Type="http://schemas.openxmlformats.org/officeDocument/2006/relationships/footer" Target="footer9.xml"/><Relationship Id="rId26" Type="http://schemas.openxmlformats.org/officeDocument/2006/relationships/image" Target="media/image13.jpeg"/><Relationship Id="rId27" Type="http://schemas.openxmlformats.org/officeDocument/2006/relationships/image" Target="media/image14.jpeg"/><Relationship Id="rId28" Type="http://schemas.openxmlformats.org/officeDocument/2006/relationships/image" Target="media/image15.jpeg"/><Relationship Id="rId29" Type="http://schemas.openxmlformats.org/officeDocument/2006/relationships/image" Target="media/image16.jpeg"/><Relationship Id="rId30" Type="http://schemas.openxmlformats.org/officeDocument/2006/relationships/image" Target="media/image17.png"/><Relationship Id="rId31" Type="http://schemas.openxmlformats.org/officeDocument/2006/relationships/image" Target="media/image18.png"/><Relationship Id="rId32" Type="http://schemas.openxmlformats.org/officeDocument/2006/relationships/image" Target="media/image19.png"/><Relationship Id="rId33" Type="http://schemas.openxmlformats.org/officeDocument/2006/relationships/image" Target="media/image20.png"/><Relationship Id="rId34" Type="http://schemas.openxmlformats.org/officeDocument/2006/relationships/image" Target="media/image21.png"/><Relationship Id="rId35" Type="http://schemas.openxmlformats.org/officeDocument/2006/relationships/image" Target="media/image22.png"/><Relationship Id="rId36" Type="http://schemas.openxmlformats.org/officeDocument/2006/relationships/image" Target="media/image23.png"/><Relationship Id="rId37" Type="http://schemas.openxmlformats.org/officeDocument/2006/relationships/image" Target="media/image24.png"/><Relationship Id="rId38" Type="http://schemas.openxmlformats.org/officeDocument/2006/relationships/image" Target="media/image25.png"/><Relationship Id="rId39" Type="http://schemas.openxmlformats.org/officeDocument/2006/relationships/image" Target="media/image26.png"/><Relationship Id="rId40" Type="http://schemas.openxmlformats.org/officeDocument/2006/relationships/image" Target="media/image27.png"/><Relationship Id="rId41" Type="http://schemas.openxmlformats.org/officeDocument/2006/relationships/image" Target="media/image28.png"/><Relationship Id="rId42" Type="http://schemas.openxmlformats.org/officeDocument/2006/relationships/image" Target="media/image29.png"/><Relationship Id="rId43" Type="http://schemas.openxmlformats.org/officeDocument/2006/relationships/image" Target="media/image30.png"/><Relationship Id="rId44" Type="http://schemas.openxmlformats.org/officeDocument/2006/relationships/image" Target="media/image31.png"/><Relationship Id="rId45" Type="http://schemas.openxmlformats.org/officeDocument/2006/relationships/image" Target="media/image32.png"/><Relationship Id="rId46" Type="http://schemas.openxmlformats.org/officeDocument/2006/relationships/image" Target="media/image33.png"/><Relationship Id="rId47" Type="http://schemas.openxmlformats.org/officeDocument/2006/relationships/image" Target="media/image34.png"/><Relationship Id="rId48" Type="http://schemas.openxmlformats.org/officeDocument/2006/relationships/image" Target="media/image35.png"/><Relationship Id="rId49" Type="http://schemas.openxmlformats.org/officeDocument/2006/relationships/image" Target="media/image36.png"/><Relationship Id="rId50" Type="http://schemas.openxmlformats.org/officeDocument/2006/relationships/image" Target="media/image37.png"/><Relationship Id="rId51" Type="http://schemas.openxmlformats.org/officeDocument/2006/relationships/image" Target="media/image38.png"/><Relationship Id="rId52" Type="http://schemas.openxmlformats.org/officeDocument/2006/relationships/image" Target="media/image39.png"/><Relationship Id="rId53" Type="http://schemas.openxmlformats.org/officeDocument/2006/relationships/image" Target="media/image40.png"/><Relationship Id="rId54" Type="http://schemas.openxmlformats.org/officeDocument/2006/relationships/image" Target="media/image41.png"/><Relationship Id="rId55" Type="http://schemas.openxmlformats.org/officeDocument/2006/relationships/image" Target="media/image42.png"/><Relationship Id="rId56" Type="http://schemas.openxmlformats.org/officeDocument/2006/relationships/image" Target="media/image43.png"/><Relationship Id="rId57" Type="http://schemas.openxmlformats.org/officeDocument/2006/relationships/image" Target="media/image44.png"/><Relationship Id="rId58" Type="http://schemas.openxmlformats.org/officeDocument/2006/relationships/image" Target="media/image45.png"/><Relationship Id="rId59" Type="http://schemas.openxmlformats.org/officeDocument/2006/relationships/image" Target="media/image46.jpeg"/><Relationship Id="rId60" Type="http://schemas.openxmlformats.org/officeDocument/2006/relationships/footer" Target="footer10.xml"/><Relationship Id="rId61" Type="http://schemas.openxmlformats.org/officeDocument/2006/relationships/footer" Target="footer11.xml"/><Relationship Id="rId62" Type="http://schemas.openxmlformats.org/officeDocument/2006/relationships/image" Target="media/image47.png"/><Relationship Id="rId63" Type="http://schemas.openxmlformats.org/officeDocument/2006/relationships/image" Target="media/image48.png"/><Relationship Id="rId64" Type="http://schemas.openxmlformats.org/officeDocument/2006/relationships/image" Target="media/image49.jpeg"/><Relationship Id="rId65" Type="http://schemas.openxmlformats.org/officeDocument/2006/relationships/image" Target="media/image50.jpeg"/><Relationship Id="rId66" Type="http://schemas.openxmlformats.org/officeDocument/2006/relationships/footer" Target="footer12.xml"/><Relationship Id="rId67" Type="http://schemas.openxmlformats.org/officeDocument/2006/relationships/image" Target="media/image51.png"/><Relationship Id="rId68" Type="http://schemas.openxmlformats.org/officeDocument/2006/relationships/footer" Target="footer13.xml"/><Relationship Id="rId69" Type="http://schemas.openxmlformats.org/officeDocument/2006/relationships/footer" Target="footer14.xml"/><Relationship Id="rId70" Type="http://schemas.openxmlformats.org/officeDocument/2006/relationships/footer" Target="footer15.xml"/><Relationship Id="rId71" Type="http://schemas.openxmlformats.org/officeDocument/2006/relationships/image" Target="media/image52.jpeg"/><Relationship Id="rId72" Type="http://schemas.openxmlformats.org/officeDocument/2006/relationships/footer" Target="footer16.xml"/><Relationship Id="rId73" Type="http://schemas.openxmlformats.org/officeDocument/2006/relationships/image" Target="media/image53.png"/><Relationship Id="rId74" Type="http://schemas.openxmlformats.org/officeDocument/2006/relationships/footer" Target="footer17.xml"/><Relationship Id="rId75" Type="http://schemas.openxmlformats.org/officeDocument/2006/relationships/image" Target="media/image54.png"/><Relationship Id="rId76" Type="http://schemas.openxmlformats.org/officeDocument/2006/relationships/image" Target="media/image55.png"/><Relationship Id="rId77" Type="http://schemas.openxmlformats.org/officeDocument/2006/relationships/image" Target="media/image56.png"/><Relationship Id="rId78" Type="http://schemas.openxmlformats.org/officeDocument/2006/relationships/image" Target="media/image57.png"/><Relationship Id="rId79" Type="http://schemas.openxmlformats.org/officeDocument/2006/relationships/image" Target="media/image58.png"/><Relationship Id="rId80" Type="http://schemas.openxmlformats.org/officeDocument/2006/relationships/image" Target="media/image59.png"/><Relationship Id="rId81" Type="http://schemas.openxmlformats.org/officeDocument/2006/relationships/image" Target="media/image60.png"/><Relationship Id="rId82" Type="http://schemas.openxmlformats.org/officeDocument/2006/relationships/image" Target="media/image61.png"/><Relationship Id="rId83" Type="http://schemas.openxmlformats.org/officeDocument/2006/relationships/image" Target="media/image62.png"/><Relationship Id="rId84" Type="http://schemas.openxmlformats.org/officeDocument/2006/relationships/image" Target="media/image63.png"/><Relationship Id="rId85" Type="http://schemas.openxmlformats.org/officeDocument/2006/relationships/image" Target="media/image64.png"/><Relationship Id="rId86" Type="http://schemas.openxmlformats.org/officeDocument/2006/relationships/image" Target="media/image65.png"/><Relationship Id="rId87" Type="http://schemas.openxmlformats.org/officeDocument/2006/relationships/image" Target="media/image66.png"/><Relationship Id="rId88" Type="http://schemas.openxmlformats.org/officeDocument/2006/relationships/image" Target="media/image67.png"/><Relationship Id="rId89" Type="http://schemas.openxmlformats.org/officeDocument/2006/relationships/image" Target="media/image68.png"/><Relationship Id="rId90" Type="http://schemas.openxmlformats.org/officeDocument/2006/relationships/image" Target="media/image69.png"/><Relationship Id="rId91" Type="http://schemas.openxmlformats.org/officeDocument/2006/relationships/image" Target="media/image70.png"/><Relationship Id="rId92" Type="http://schemas.openxmlformats.org/officeDocument/2006/relationships/image" Target="media/image71.png"/><Relationship Id="rId93" Type="http://schemas.openxmlformats.org/officeDocument/2006/relationships/image" Target="media/image72.png"/><Relationship Id="rId94" Type="http://schemas.openxmlformats.org/officeDocument/2006/relationships/image" Target="media/image73.png"/><Relationship Id="rId95" Type="http://schemas.openxmlformats.org/officeDocument/2006/relationships/image" Target="media/image74.png"/><Relationship Id="rId96" Type="http://schemas.openxmlformats.org/officeDocument/2006/relationships/image" Target="media/image75.png"/><Relationship Id="rId97" Type="http://schemas.openxmlformats.org/officeDocument/2006/relationships/image" Target="media/image76.png"/><Relationship Id="rId98" Type="http://schemas.openxmlformats.org/officeDocument/2006/relationships/image" Target="media/image77.png"/><Relationship Id="rId99" Type="http://schemas.openxmlformats.org/officeDocument/2006/relationships/image" Target="media/image78.png"/><Relationship Id="rId100" Type="http://schemas.openxmlformats.org/officeDocument/2006/relationships/image" Target="media/image79.png"/><Relationship Id="rId101" Type="http://schemas.openxmlformats.org/officeDocument/2006/relationships/image" Target="media/image80.png"/><Relationship Id="rId102" Type="http://schemas.openxmlformats.org/officeDocument/2006/relationships/image" Target="media/image81.png"/><Relationship Id="rId103" Type="http://schemas.openxmlformats.org/officeDocument/2006/relationships/footer" Target="footer18.xml"/><Relationship Id="rId104" Type="http://schemas.openxmlformats.org/officeDocument/2006/relationships/footer" Target="footer19.xml"/><Relationship Id="rId105" Type="http://schemas.openxmlformats.org/officeDocument/2006/relationships/footer" Target="footer20.xml"/><Relationship Id="rId106" Type="http://schemas.openxmlformats.org/officeDocument/2006/relationships/image" Target="media/image82.jpeg"/><Relationship Id="rId107" Type="http://schemas.openxmlformats.org/officeDocument/2006/relationships/footer" Target="footer21.xml"/><Relationship Id="rId108" Type="http://schemas.openxmlformats.org/officeDocument/2006/relationships/footer" Target="footer22.xml"/><Relationship Id="rId109" Type="http://schemas.openxmlformats.org/officeDocument/2006/relationships/footer" Target="footer23.xml"/><Relationship Id="rId110" Type="http://schemas.openxmlformats.org/officeDocument/2006/relationships/footer" Target="footer24.xml"/><Relationship Id="rId111" Type="http://schemas.openxmlformats.org/officeDocument/2006/relationships/footer" Target="footer25.xml"/><Relationship Id="rId112" Type="http://schemas.openxmlformats.org/officeDocument/2006/relationships/footer" Target="footer26.xml"/><Relationship Id="rId113" Type="http://schemas.openxmlformats.org/officeDocument/2006/relationships/image" Target="media/image83.jpeg"/><Relationship Id="rId114" Type="http://schemas.openxmlformats.org/officeDocument/2006/relationships/footer" Target="footer27.xml"/><Relationship Id="rId115" Type="http://schemas.openxmlformats.org/officeDocument/2006/relationships/footer" Target="footer28.xml"/><Relationship Id="rId116" Type="http://schemas.openxmlformats.org/officeDocument/2006/relationships/image" Target="media/image84.jpeg"/><Relationship Id="rId117" Type="http://schemas.openxmlformats.org/officeDocument/2006/relationships/footer" Target="footer29.xml"/><Relationship Id="rId118" Type="http://schemas.openxmlformats.org/officeDocument/2006/relationships/footer" Target="footer30.xml"/><Relationship Id="rId119" Type="http://schemas.openxmlformats.org/officeDocument/2006/relationships/image" Target="media/image85.jpeg"/><Relationship Id="rId120" Type="http://schemas.openxmlformats.org/officeDocument/2006/relationships/footer" Target="footer31.xml"/><Relationship Id="rId121" Type="http://schemas.openxmlformats.org/officeDocument/2006/relationships/footer" Target="footer32.xml"/><Relationship Id="rId122" Type="http://schemas.openxmlformats.org/officeDocument/2006/relationships/image" Target="media/image86.jpeg"/><Relationship Id="rId123" Type="http://schemas.openxmlformats.org/officeDocument/2006/relationships/footer" Target="footer33.xml"/><Relationship Id="rId124" Type="http://schemas.openxmlformats.org/officeDocument/2006/relationships/footer" Target="footer34.xml"/><Relationship Id="rId125" Type="http://schemas.openxmlformats.org/officeDocument/2006/relationships/image" Target="media/image87.jpeg"/><Relationship Id="rId126" Type="http://schemas.openxmlformats.org/officeDocument/2006/relationships/footer" Target="footer35.xml"/><Relationship Id="rId127" Type="http://schemas.openxmlformats.org/officeDocument/2006/relationships/image" Target="media/image88.png"/><Relationship Id="rId128" Type="http://schemas.openxmlformats.org/officeDocument/2006/relationships/footer" Target="footer36.xml"/><Relationship Id="rId129" Type="http://schemas.openxmlformats.org/officeDocument/2006/relationships/footer" Target="footer37.xml"/><Relationship Id="rId130" Type="http://schemas.openxmlformats.org/officeDocument/2006/relationships/image" Target="media/image89.jpeg"/><Relationship Id="rId131" Type="http://schemas.openxmlformats.org/officeDocument/2006/relationships/image" Target="media/image90.png"/><Relationship Id="rId132" Type="http://schemas.openxmlformats.org/officeDocument/2006/relationships/image" Target="media/image91.png"/><Relationship Id="rId133" Type="http://schemas.openxmlformats.org/officeDocument/2006/relationships/footer" Target="footer38.xml"/><Relationship Id="rId134" Type="http://schemas.openxmlformats.org/officeDocument/2006/relationships/footer" Target="footer39.xml"/><Relationship Id="rId135" Type="http://schemas.openxmlformats.org/officeDocument/2006/relationships/image" Target="media/image92.png"/><Relationship Id="rId136" Type="http://schemas.openxmlformats.org/officeDocument/2006/relationships/image" Target="media/image93.png"/><Relationship Id="rId137" Type="http://schemas.openxmlformats.org/officeDocument/2006/relationships/image" Target="media/image94.png"/><Relationship Id="rId138" Type="http://schemas.openxmlformats.org/officeDocument/2006/relationships/image" Target="media/image95.png"/><Relationship Id="rId139" Type="http://schemas.openxmlformats.org/officeDocument/2006/relationships/footer" Target="footer40.xml"/><Relationship Id="rId140" Type="http://schemas.openxmlformats.org/officeDocument/2006/relationships/image" Target="media/image96.jpeg"/><Relationship Id="rId141" Type="http://schemas.openxmlformats.org/officeDocument/2006/relationships/footer" Target="footer41.xml"/><Relationship Id="rId142" Type="http://schemas.openxmlformats.org/officeDocument/2006/relationships/image" Target="media/image97.png"/><Relationship Id="rId143" Type="http://schemas.openxmlformats.org/officeDocument/2006/relationships/image" Target="media/image98.png"/><Relationship Id="rId144" Type="http://schemas.openxmlformats.org/officeDocument/2006/relationships/image" Target="media/image99.png"/><Relationship Id="rId145" Type="http://schemas.openxmlformats.org/officeDocument/2006/relationships/image" Target="media/image100.png"/><Relationship Id="rId146" Type="http://schemas.openxmlformats.org/officeDocument/2006/relationships/image" Target="media/image101.png"/><Relationship Id="rId147" Type="http://schemas.openxmlformats.org/officeDocument/2006/relationships/image" Target="media/image102.png"/><Relationship Id="rId148" Type="http://schemas.openxmlformats.org/officeDocument/2006/relationships/image" Target="media/image103.png"/><Relationship Id="rId149" Type="http://schemas.openxmlformats.org/officeDocument/2006/relationships/image" Target="media/image104.png"/><Relationship Id="rId150" Type="http://schemas.openxmlformats.org/officeDocument/2006/relationships/image" Target="media/image105.png"/><Relationship Id="rId151" Type="http://schemas.openxmlformats.org/officeDocument/2006/relationships/image" Target="media/image106.png"/><Relationship Id="rId152" Type="http://schemas.openxmlformats.org/officeDocument/2006/relationships/image" Target="media/image107.png"/><Relationship Id="rId153" Type="http://schemas.openxmlformats.org/officeDocument/2006/relationships/image" Target="media/image108.png"/><Relationship Id="rId154" Type="http://schemas.openxmlformats.org/officeDocument/2006/relationships/image" Target="media/image109.png"/><Relationship Id="rId155" Type="http://schemas.openxmlformats.org/officeDocument/2006/relationships/image" Target="media/image110.png"/><Relationship Id="rId156" Type="http://schemas.openxmlformats.org/officeDocument/2006/relationships/image" Target="media/image111.png"/><Relationship Id="rId157" Type="http://schemas.openxmlformats.org/officeDocument/2006/relationships/image" Target="media/image112.png"/><Relationship Id="rId158" Type="http://schemas.openxmlformats.org/officeDocument/2006/relationships/image" Target="media/image113.png"/><Relationship Id="rId159" Type="http://schemas.openxmlformats.org/officeDocument/2006/relationships/image" Target="media/image114.png"/><Relationship Id="rId160" Type="http://schemas.openxmlformats.org/officeDocument/2006/relationships/image" Target="media/image115.png"/><Relationship Id="rId161" Type="http://schemas.openxmlformats.org/officeDocument/2006/relationships/image" Target="media/image116.png"/><Relationship Id="rId162" Type="http://schemas.openxmlformats.org/officeDocument/2006/relationships/image" Target="media/image117.png"/><Relationship Id="rId163" Type="http://schemas.openxmlformats.org/officeDocument/2006/relationships/image" Target="media/image118.png"/><Relationship Id="rId164" Type="http://schemas.openxmlformats.org/officeDocument/2006/relationships/image" Target="media/image119.png"/><Relationship Id="rId165" Type="http://schemas.openxmlformats.org/officeDocument/2006/relationships/image" Target="media/image120.png"/><Relationship Id="rId166" Type="http://schemas.openxmlformats.org/officeDocument/2006/relationships/image" Target="media/image121.png"/><Relationship Id="rId167" Type="http://schemas.openxmlformats.org/officeDocument/2006/relationships/image" Target="media/image122.png"/><Relationship Id="rId168" Type="http://schemas.openxmlformats.org/officeDocument/2006/relationships/footer" Target="footer42.xml"/><Relationship Id="rId169" Type="http://schemas.openxmlformats.org/officeDocument/2006/relationships/image" Target="media/image123.jpeg"/><Relationship Id="rId170" Type="http://schemas.openxmlformats.org/officeDocument/2006/relationships/footer" Target="footer43.xml"/><Relationship Id="rId171" Type="http://schemas.openxmlformats.org/officeDocument/2006/relationships/footer" Target="footer44.xml"/><Relationship Id="rId172" Type="http://schemas.openxmlformats.org/officeDocument/2006/relationships/image" Target="media/image124.jpeg"/><Relationship Id="rId173" Type="http://schemas.openxmlformats.org/officeDocument/2006/relationships/footer" Target="footer45.xml"/><Relationship Id="rId174" Type="http://schemas.openxmlformats.org/officeDocument/2006/relationships/footer" Target="footer46.xml"/><Relationship Id="rId175" Type="http://schemas.openxmlformats.org/officeDocument/2006/relationships/image" Target="media/image125.jpeg"/><Relationship Id="rId176" Type="http://schemas.openxmlformats.org/officeDocument/2006/relationships/footer" Target="footer47.xml"/><Relationship Id="rId177" Type="http://schemas.openxmlformats.org/officeDocument/2006/relationships/footer" Target="footer48.xml"/><Relationship Id="rId178" Type="http://schemas.openxmlformats.org/officeDocument/2006/relationships/image" Target="media/image126.jpeg"/><Relationship Id="rId179" Type="http://schemas.openxmlformats.org/officeDocument/2006/relationships/footer" Target="footer49.xml"/><Relationship Id="rId180" Type="http://schemas.openxmlformats.org/officeDocument/2006/relationships/image" Target="media/image127.png"/><Relationship Id="rId181" Type="http://schemas.openxmlformats.org/officeDocument/2006/relationships/footer" Target="footer50.xml"/><Relationship Id="rId182" Type="http://schemas.openxmlformats.org/officeDocument/2006/relationships/image" Target="media/image128.png"/><Relationship Id="rId183" Type="http://schemas.openxmlformats.org/officeDocument/2006/relationships/image" Target="media/image129.png"/><Relationship Id="rId184" Type="http://schemas.openxmlformats.org/officeDocument/2006/relationships/footer" Target="footer51.xml"/><Relationship Id="rId185" Type="http://schemas.openxmlformats.org/officeDocument/2006/relationships/image" Target="media/image130.jpeg"/><Relationship Id="rId186" Type="http://schemas.openxmlformats.org/officeDocument/2006/relationships/footer" Target="footer52.xml"/><Relationship Id="rId187" Type="http://schemas.openxmlformats.org/officeDocument/2006/relationships/hyperlink" Target="http://132.248.10.25/era/index.php/rera/author/submission/109" TargetMode="External"/><Relationship Id="rId188" Type="http://schemas.openxmlformats.org/officeDocument/2006/relationships/hyperlink" Target="http://132.248.10.25/era/index.php/era" TargetMode="External"/><Relationship Id="rId189" Type="http://schemas.openxmlformats.org/officeDocument/2006/relationships/footer" Target="footer53.xml"/><Relationship Id="rId190" Type="http://schemas.openxmlformats.org/officeDocument/2006/relationships/footer" Target="footer54.xml"/><Relationship Id="rId191" Type="http://schemas.openxmlformats.org/officeDocument/2006/relationships/hyperlink" Target="http://gidahatari.com/ih-es/los-10-mejores-softwares-libres-en-recursos-hidricos" TargetMode="External"/><Relationship Id="rId192" Type="http://schemas.openxmlformats.org/officeDocument/2006/relationships/hyperlink" Target="http://www.geog.buffalo.edu/%7Erensch/geowepp/" TargetMode="External"/><Relationship Id="rId193" Type="http://schemas.openxmlformats.org/officeDocument/2006/relationships/footer" Target="footer55.xml"/><Relationship Id="rId194" Type="http://schemas.openxmlformats.org/officeDocument/2006/relationships/footer" Target="footer56.xml"/><Relationship Id="rId195" Type="http://schemas.openxmlformats.org/officeDocument/2006/relationships/hyperlink" Target="http://swatmodel.tamu.edu/software/swat-check" TargetMode="External"/><Relationship Id="rId196" Type="http://schemas.openxmlformats.org/officeDocument/2006/relationships/image" Target="media/image131.jpeg"/><Relationship Id="rId197" Type="http://schemas.openxmlformats.org/officeDocument/2006/relationships/footer" Target="footer57.xml"/><Relationship Id="rId198" Type="http://schemas.openxmlformats.org/officeDocument/2006/relationships/footer" Target="footer58.xml"/><Relationship Id="rId199" Type="http://schemas.openxmlformats.org/officeDocument/2006/relationships/footer" Target="footer59.xml"/><Relationship Id="rId200" Type="http://schemas.openxmlformats.org/officeDocument/2006/relationships/footer" Target="footer60.xml"/><Relationship Id="rId201" Type="http://schemas.openxmlformats.org/officeDocument/2006/relationships/footer" Target="footer61.xml"/><Relationship Id="rId202" Type="http://schemas.openxmlformats.org/officeDocument/2006/relationships/footer" Target="footer62.xml"/><Relationship Id="rId203" Type="http://schemas.openxmlformats.org/officeDocument/2006/relationships/footer" Target="footer63.xml"/><Relationship Id="rId204" Type="http://schemas.openxmlformats.org/officeDocument/2006/relationships/footer" Target="footer64.xml"/><Relationship Id="rId205" Type="http://schemas.openxmlformats.org/officeDocument/2006/relationships/footer" Target="footer65.xml"/><Relationship Id="rId206" Type="http://schemas.openxmlformats.org/officeDocument/2006/relationships/footer" Target="footer66.xml"/><Relationship Id="rId207" Type="http://schemas.openxmlformats.org/officeDocument/2006/relationships/footer" Target="footer67.xml"/><Relationship Id="rId20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Adame</dc:creator>
  <dcterms:created xsi:type="dcterms:W3CDTF">2017-05-19T19:53:29Z</dcterms:created>
  <dcterms:modified xsi:type="dcterms:W3CDTF">2017-05-19T19:53:29Z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2015-01-15T00:00:00Z</vt:filetime>
  </property>
  <property fmtid="{D5CDD505-2E9C-101B-9397-08002B2CF9AE}" pid="3" name="Creator">
    <vt:lpwstr>Microsoft® Word 2013</vt:lpwstr>
  </property>
  <property fmtid="{D5CDD505-2E9C-101B-9397-08002B2CF9AE}" pid="4" name="LastSaved">
    <vt:filetime>2017-05-19T00:00:00Z</vt:filetime>
  </property>
</Properties>
</file>